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51A46">
      <w:pPr>
        <w:pStyle w:val="12"/>
        <w:keepNext w:val="0"/>
        <w:keepLines w:val="0"/>
        <w:pageBreakBefore w:val="0"/>
        <w:widowControl w:val="0"/>
        <w:suppressLineNumbers w:val="0"/>
        <w:kinsoku/>
        <w:wordWrap/>
        <w:overflowPunct/>
        <w:topLinePunct w:val="0"/>
        <w:bidi w:val="0"/>
        <w:snapToGrid/>
        <w:spacing w:before="0" w:beforeAutospacing="0"/>
        <w:ind w:left="0"/>
        <w:jc w:val="center"/>
        <w:rPr>
          <w:sz w:val="42"/>
          <w:szCs w:val="42"/>
          <w:shd w:val="clear" w:fill="FFFFFF"/>
        </w:rPr>
      </w:pPr>
    </w:p>
    <w:p w14:paraId="5E9A957D">
      <w:pPr>
        <w:pStyle w:val="12"/>
        <w:keepNext w:val="0"/>
        <w:keepLines w:val="0"/>
        <w:pageBreakBefore w:val="0"/>
        <w:widowControl w:val="0"/>
        <w:suppressLineNumbers w:val="0"/>
        <w:kinsoku/>
        <w:wordWrap/>
        <w:overflowPunct/>
        <w:topLinePunct w:val="0"/>
        <w:bidi w:val="0"/>
        <w:snapToGrid/>
        <w:spacing w:before="0" w:beforeAutospacing="0"/>
        <w:ind w:left="0"/>
        <w:jc w:val="center"/>
        <w:rPr>
          <w:sz w:val="42"/>
          <w:szCs w:val="42"/>
          <w:shd w:val="clear" w:fill="FFFFFF"/>
        </w:rPr>
      </w:pPr>
    </w:p>
    <w:p w14:paraId="142650C7">
      <w:pPr>
        <w:pStyle w:val="12"/>
        <w:keepNext w:val="0"/>
        <w:keepLines w:val="0"/>
        <w:pageBreakBefore w:val="0"/>
        <w:widowControl w:val="0"/>
        <w:suppressLineNumbers w:val="0"/>
        <w:kinsoku/>
        <w:wordWrap/>
        <w:overflowPunct/>
        <w:topLinePunct w:val="0"/>
        <w:bidi w:val="0"/>
        <w:snapToGrid/>
        <w:spacing w:before="0" w:beforeAutospacing="0"/>
        <w:ind w:left="0"/>
        <w:jc w:val="center"/>
        <w:rPr>
          <w:sz w:val="42"/>
          <w:szCs w:val="42"/>
          <w:shd w:val="clear" w:fill="FFFFFF"/>
        </w:rPr>
      </w:pPr>
    </w:p>
    <w:p w14:paraId="5E168D5C">
      <w:pPr>
        <w:pStyle w:val="12"/>
        <w:keepNext w:val="0"/>
        <w:keepLines w:val="0"/>
        <w:pageBreakBefore w:val="0"/>
        <w:widowControl w:val="0"/>
        <w:suppressLineNumbers w:val="0"/>
        <w:kinsoku/>
        <w:wordWrap/>
        <w:overflowPunct/>
        <w:topLinePunct w:val="0"/>
        <w:bidi w:val="0"/>
        <w:snapToGrid/>
        <w:spacing w:before="0" w:beforeAutospacing="0"/>
        <w:ind w:left="0"/>
        <w:jc w:val="center"/>
        <w:rPr>
          <w:rFonts w:hint="default" w:ascii="黑体" w:hAnsi="黑体" w:eastAsia="黑体" w:cs="黑体"/>
          <w:sz w:val="44"/>
          <w:szCs w:val="44"/>
          <w:lang w:val="en-US" w:eastAsia="zh-CN"/>
        </w:rPr>
      </w:pPr>
      <w:r>
        <w:rPr>
          <w:rFonts w:hint="eastAsia" w:ascii="黑体" w:hAnsi="黑体" w:eastAsia="黑体" w:cs="黑体"/>
          <w:sz w:val="44"/>
          <w:szCs w:val="44"/>
          <w:shd w:val="clear" w:fill="FFFFFF"/>
        </w:rPr>
        <w:t>202</w:t>
      </w:r>
      <w:r>
        <w:rPr>
          <w:rFonts w:hint="eastAsia" w:ascii="黑体" w:hAnsi="黑体" w:eastAsia="黑体" w:cs="黑体"/>
          <w:sz w:val="44"/>
          <w:szCs w:val="44"/>
          <w:shd w:val="clear" w:fill="FFFFFF"/>
          <w:lang w:val="en-US" w:eastAsia="zh-CN"/>
        </w:rPr>
        <w:t>4</w:t>
      </w:r>
      <w:r>
        <w:rPr>
          <w:rFonts w:hint="eastAsia" w:ascii="黑体" w:hAnsi="黑体" w:eastAsia="黑体" w:cs="黑体"/>
          <w:sz w:val="44"/>
          <w:szCs w:val="44"/>
          <w:shd w:val="clear" w:fill="FFFFFF"/>
        </w:rPr>
        <w:t>年度</w:t>
      </w:r>
      <w:r>
        <w:rPr>
          <w:rFonts w:hint="eastAsia" w:ascii="黑体" w:hAnsi="黑体" w:eastAsia="黑体" w:cs="黑体"/>
          <w:sz w:val="44"/>
          <w:szCs w:val="44"/>
          <w:shd w:val="clear" w:fill="FFFFFF"/>
          <w:lang w:val="en-US" w:eastAsia="zh-CN"/>
        </w:rPr>
        <w:t>四川省阿坝州</w:t>
      </w:r>
    </w:p>
    <w:p w14:paraId="076B1409">
      <w:pPr>
        <w:pStyle w:val="12"/>
        <w:keepNext w:val="0"/>
        <w:keepLines w:val="0"/>
        <w:pageBreakBefore w:val="0"/>
        <w:widowControl w:val="0"/>
        <w:suppressLineNumbers w:val="0"/>
        <w:kinsoku/>
        <w:wordWrap/>
        <w:overflowPunct/>
        <w:topLinePunct w:val="0"/>
        <w:bidi w:val="0"/>
        <w:snapToGrid/>
        <w:spacing w:before="0" w:beforeAutospacing="0"/>
        <w:ind w:left="0"/>
        <w:jc w:val="center"/>
        <w:outlineLvl w:val="9"/>
        <w:rPr>
          <w:rFonts w:hint="eastAsia" w:ascii="黑体" w:hAnsi="黑体" w:eastAsia="黑体" w:cs="黑体"/>
          <w:sz w:val="44"/>
          <w:szCs w:val="44"/>
        </w:rPr>
      </w:pPr>
      <w:r>
        <w:rPr>
          <w:rFonts w:hint="eastAsia" w:ascii="黑体" w:hAnsi="黑体" w:eastAsia="黑体" w:cs="黑体"/>
          <w:sz w:val="44"/>
          <w:szCs w:val="44"/>
          <w:shd w:val="clear" w:fill="FFFFFF"/>
        </w:rPr>
        <w:t>茂县生产力促进中心单位决算公开</w:t>
      </w:r>
    </w:p>
    <w:p w14:paraId="40912142">
      <w:pPr>
        <w:pStyle w:val="12"/>
        <w:keepNext w:val="0"/>
        <w:keepLines w:val="0"/>
        <w:pageBreakBefore w:val="0"/>
        <w:widowControl w:val="0"/>
        <w:suppressLineNumbers w:val="0"/>
        <w:kinsoku/>
        <w:wordWrap/>
        <w:overflowPunct/>
        <w:topLinePunct w:val="0"/>
        <w:bidi w:val="0"/>
        <w:snapToGrid/>
        <w:spacing w:before="0" w:beforeAutospacing="0"/>
        <w:ind w:left="0"/>
        <w:jc w:val="center"/>
      </w:pPr>
      <w:r>
        <w:rPr>
          <w:shd w:val="clear" w:fill="FFFFFF"/>
        </w:rPr>
        <w:t> </w:t>
      </w:r>
    </w:p>
    <w:p w14:paraId="551B5128">
      <w:pPr>
        <w:pStyle w:val="12"/>
        <w:keepNext w:val="0"/>
        <w:keepLines w:val="0"/>
        <w:pageBreakBefore w:val="0"/>
        <w:widowControl w:val="0"/>
        <w:suppressLineNumbers w:val="0"/>
        <w:kinsoku/>
        <w:wordWrap/>
        <w:overflowPunct/>
        <w:topLinePunct w:val="0"/>
        <w:bidi w:val="0"/>
        <w:snapToGrid/>
        <w:spacing w:before="0" w:beforeAutospacing="0"/>
        <w:ind w:left="0"/>
        <w:jc w:val="center"/>
      </w:pPr>
      <w:r>
        <w:rPr>
          <w:shd w:val="clear" w:fill="FFFFFF"/>
        </w:rPr>
        <w:t> </w:t>
      </w:r>
    </w:p>
    <w:p w14:paraId="7EA6599E">
      <w:pPr>
        <w:pStyle w:val="12"/>
        <w:keepNext w:val="0"/>
        <w:keepLines w:val="0"/>
        <w:pageBreakBefore w:val="0"/>
        <w:widowControl w:val="0"/>
        <w:suppressLineNumbers w:val="0"/>
        <w:kinsoku/>
        <w:wordWrap/>
        <w:overflowPunct/>
        <w:topLinePunct w:val="0"/>
        <w:bidi w:val="0"/>
        <w:snapToGrid/>
        <w:spacing w:before="0" w:beforeAutospacing="0"/>
        <w:ind w:left="0"/>
        <w:jc w:val="center"/>
      </w:pPr>
      <w:r>
        <w:rPr>
          <w:shd w:val="clear" w:fill="FFFFFF"/>
        </w:rPr>
        <w:t> </w:t>
      </w:r>
    </w:p>
    <w:p w14:paraId="7102AE36">
      <w:pPr>
        <w:pStyle w:val="12"/>
        <w:keepNext w:val="0"/>
        <w:keepLines w:val="0"/>
        <w:pageBreakBefore w:val="0"/>
        <w:widowControl w:val="0"/>
        <w:suppressLineNumbers w:val="0"/>
        <w:kinsoku/>
        <w:wordWrap/>
        <w:overflowPunct/>
        <w:topLinePunct w:val="0"/>
        <w:bidi w:val="0"/>
        <w:snapToGrid/>
        <w:spacing w:before="0" w:beforeAutospacing="0"/>
        <w:ind w:left="0"/>
        <w:jc w:val="center"/>
      </w:pPr>
      <w:r>
        <w:rPr>
          <w:shd w:val="clear" w:fill="FFFFFF"/>
        </w:rPr>
        <w:t> </w:t>
      </w:r>
    </w:p>
    <w:p w14:paraId="0AB2C059">
      <w:pPr>
        <w:pStyle w:val="12"/>
        <w:keepNext w:val="0"/>
        <w:keepLines w:val="0"/>
        <w:pageBreakBefore w:val="0"/>
        <w:widowControl w:val="0"/>
        <w:suppressLineNumbers w:val="0"/>
        <w:kinsoku/>
        <w:wordWrap/>
        <w:overflowPunct/>
        <w:topLinePunct w:val="0"/>
        <w:bidi w:val="0"/>
        <w:snapToGrid/>
        <w:spacing w:before="0" w:beforeAutospacing="0"/>
        <w:ind w:left="0"/>
        <w:jc w:val="center"/>
      </w:pPr>
      <w:r>
        <w:rPr>
          <w:shd w:val="clear" w:fill="FFFFFF"/>
        </w:rPr>
        <w:t> </w:t>
      </w:r>
    </w:p>
    <w:p w14:paraId="322BEA30">
      <w:pPr>
        <w:pStyle w:val="12"/>
        <w:keepNext w:val="0"/>
        <w:keepLines w:val="0"/>
        <w:pageBreakBefore w:val="0"/>
        <w:widowControl w:val="0"/>
        <w:suppressLineNumbers w:val="0"/>
        <w:kinsoku/>
        <w:wordWrap/>
        <w:overflowPunct/>
        <w:topLinePunct w:val="0"/>
        <w:bidi w:val="0"/>
        <w:snapToGrid/>
        <w:spacing w:before="0" w:beforeAutospacing="0"/>
        <w:ind w:left="0"/>
        <w:jc w:val="center"/>
      </w:pPr>
      <w:r>
        <w:rPr>
          <w:shd w:val="clear" w:fill="FFFFFF"/>
        </w:rPr>
        <w:t> </w:t>
      </w:r>
    </w:p>
    <w:p w14:paraId="21C2476D">
      <w:pPr>
        <w:pStyle w:val="12"/>
        <w:keepNext w:val="0"/>
        <w:keepLines w:val="0"/>
        <w:pageBreakBefore w:val="0"/>
        <w:widowControl w:val="0"/>
        <w:suppressLineNumbers w:val="0"/>
        <w:kinsoku/>
        <w:wordWrap/>
        <w:overflowPunct/>
        <w:topLinePunct w:val="0"/>
        <w:bidi w:val="0"/>
        <w:snapToGrid/>
        <w:spacing w:before="0" w:beforeAutospacing="0"/>
        <w:ind w:left="0"/>
        <w:jc w:val="center"/>
      </w:pPr>
      <w:r>
        <w:rPr>
          <w:shd w:val="clear" w:fill="FFFFFF"/>
        </w:rPr>
        <w:t> </w:t>
      </w:r>
    </w:p>
    <w:p w14:paraId="4AC389DD">
      <w:pPr>
        <w:pStyle w:val="12"/>
        <w:keepNext w:val="0"/>
        <w:keepLines w:val="0"/>
        <w:pageBreakBefore w:val="0"/>
        <w:widowControl w:val="0"/>
        <w:suppressLineNumbers w:val="0"/>
        <w:kinsoku/>
        <w:wordWrap/>
        <w:overflowPunct/>
        <w:topLinePunct w:val="0"/>
        <w:bidi w:val="0"/>
        <w:snapToGrid/>
        <w:spacing w:before="0" w:beforeAutospacing="0"/>
        <w:ind w:left="0"/>
        <w:jc w:val="center"/>
      </w:pPr>
    </w:p>
    <w:p w14:paraId="2B5DD548">
      <w:pPr>
        <w:pStyle w:val="12"/>
        <w:keepNext w:val="0"/>
        <w:keepLines w:val="0"/>
        <w:pageBreakBefore w:val="0"/>
        <w:widowControl w:val="0"/>
        <w:suppressLineNumbers w:val="0"/>
        <w:kinsoku/>
        <w:wordWrap/>
        <w:overflowPunct/>
        <w:topLinePunct w:val="0"/>
        <w:bidi w:val="0"/>
        <w:snapToGrid/>
        <w:spacing w:before="0" w:beforeAutospacing="0"/>
        <w:ind w:left="0"/>
        <w:jc w:val="left"/>
      </w:pPr>
      <w:r>
        <w:rPr>
          <w:shd w:val="clear" w:fill="FFFFFF"/>
        </w:rPr>
        <w:t> </w:t>
      </w:r>
    </w:p>
    <w:p w14:paraId="1AD15851">
      <w:pPr>
        <w:pStyle w:val="12"/>
        <w:keepNext w:val="0"/>
        <w:keepLines w:val="0"/>
        <w:pageBreakBefore w:val="0"/>
        <w:widowControl w:val="0"/>
        <w:suppressLineNumbers w:val="0"/>
        <w:kinsoku/>
        <w:wordWrap/>
        <w:overflowPunct/>
        <w:topLinePunct w:val="0"/>
        <w:bidi w:val="0"/>
        <w:snapToGrid/>
        <w:spacing w:before="0" w:beforeAutospacing="0"/>
        <w:ind w:left="0"/>
        <w:jc w:val="center"/>
      </w:pPr>
      <w:r>
        <w:rPr>
          <w:shd w:val="clear" w:fill="FFFFFF"/>
        </w:rPr>
        <w:t> </w:t>
      </w:r>
    </w:p>
    <w:p w14:paraId="520CF5CF">
      <w:pPr>
        <w:pStyle w:val="12"/>
        <w:keepNext w:val="0"/>
        <w:keepLines w:val="0"/>
        <w:pageBreakBefore w:val="0"/>
        <w:widowControl w:val="0"/>
        <w:suppressLineNumbers w:val="0"/>
        <w:kinsoku/>
        <w:wordWrap/>
        <w:overflowPunct/>
        <w:topLinePunct w:val="0"/>
        <w:bidi w:val="0"/>
        <w:snapToGrid/>
        <w:spacing w:before="0" w:beforeAutospacing="0"/>
        <w:ind w:left="0"/>
        <w:jc w:val="left"/>
      </w:pPr>
      <w:r>
        <w:rPr>
          <w:shd w:val="clear" w:fill="FFFFFF"/>
        </w:rPr>
        <w:t> </w:t>
      </w:r>
    </w:p>
    <w:p w14:paraId="51BCAA40">
      <w:pPr>
        <w:keepNext w:val="0"/>
        <w:keepLines w:val="0"/>
        <w:pageBreakBefore w:val="0"/>
        <w:widowControl w:val="0"/>
        <w:kinsoku/>
        <w:wordWrap/>
        <w:overflowPunct/>
        <w:topLinePunct w:val="0"/>
        <w:autoSpaceDE w:val="0"/>
        <w:autoSpaceDN w:val="0"/>
        <w:bidi w:val="0"/>
        <w:adjustRightInd w:val="0"/>
        <w:snapToGrid/>
        <w:jc w:val="left"/>
        <w:rPr>
          <w:rFonts w:hint="eastAsia" w:ascii="仿宋_GB2312" w:eastAsia="仿宋_GB2312" w:cs="仿宋_GB2312"/>
          <w:sz w:val="32"/>
          <w:szCs w:val="32"/>
        </w:rPr>
      </w:pPr>
      <w:bookmarkStart w:id="63" w:name="_GoBack"/>
      <w:bookmarkEnd w:id="63"/>
      <w:r>
        <w:rPr>
          <w:rFonts w:hint="eastAsia" w:ascii="仿宋_GB2312" w:eastAsia="仿宋_GB2312" w:cs="仿宋_GB2312"/>
          <w:sz w:val="32"/>
          <w:szCs w:val="32"/>
        </w:rPr>
        <w:t>保密审查情况：</w:t>
      </w:r>
      <w:r>
        <w:rPr>
          <w:rFonts w:hint="eastAsia" w:ascii="仿宋_GB2312" w:eastAsia="仿宋_GB2312" w:cs="仿宋_GB2312" w:hAnsiTheme="minorEastAsia"/>
          <w:kern w:val="0"/>
          <w:sz w:val="32"/>
          <w:szCs w:val="32"/>
          <w:lang w:val="en-US" w:eastAsia="zh-CN" w:bidi="ar"/>
        </w:rPr>
        <w:t>已经保密审查、内容审定，同意对外公开</w:t>
      </w:r>
    </w:p>
    <w:p w14:paraId="1806B36D">
      <w:pPr>
        <w:keepNext w:val="0"/>
        <w:keepLines w:val="0"/>
        <w:pageBreakBefore w:val="0"/>
        <w:widowControl w:val="0"/>
        <w:kinsoku/>
        <w:wordWrap/>
        <w:overflowPunct/>
        <w:topLinePunct w:val="0"/>
        <w:autoSpaceDE w:val="0"/>
        <w:autoSpaceDN w:val="0"/>
        <w:bidi w:val="0"/>
        <w:adjustRightInd w:val="0"/>
        <w:snapToGrid/>
        <w:ind w:firstLine="1276"/>
        <w:jc w:val="left"/>
        <w:rPr>
          <w:rFonts w:hint="eastAsia" w:ascii="黑体" w:hAnsi="Times New Roman" w:eastAsia="黑体" w:cs="Times New Roman"/>
          <w:color w:val="000000"/>
          <w:sz w:val="48"/>
          <w:szCs w:val="48"/>
        </w:rPr>
      </w:pPr>
      <w:r>
        <w:rPr>
          <w:rFonts w:hint="eastAsia" w:ascii="仿宋_GB2312" w:eastAsia="仿宋_GB2312" w:cs="仿宋_GB2312"/>
          <w:sz w:val="32"/>
          <w:szCs w:val="32"/>
        </w:rPr>
        <w:t>部门主要负责人审签情况：</w:t>
      </w:r>
    </w:p>
    <w:p w14:paraId="324718FB">
      <w:pPr>
        <w:pStyle w:val="12"/>
        <w:keepNext w:val="0"/>
        <w:keepLines w:val="0"/>
        <w:pageBreakBefore w:val="0"/>
        <w:widowControl w:val="0"/>
        <w:suppressLineNumbers w:val="0"/>
        <w:kinsoku/>
        <w:wordWrap/>
        <w:overflowPunct/>
        <w:topLinePunct w:val="0"/>
        <w:bidi w:val="0"/>
        <w:snapToGrid/>
        <w:spacing w:before="0" w:beforeAutospacing="0"/>
        <w:ind w:left="0"/>
        <w:jc w:val="center"/>
        <w:rPr>
          <w:rFonts w:hint="eastAsia" w:eastAsiaTheme="minorEastAsia"/>
          <w:shd w:val="clear" w:fill="FFFFFF"/>
          <w:lang w:eastAsia="zh-CN"/>
        </w:rPr>
      </w:pPr>
      <w:r>
        <w:rPr>
          <w:shd w:val="clear" w:fill="FFFFFF"/>
        </w:rPr>
        <w:t>  </w:t>
      </w:r>
    </w:p>
    <w:p w14:paraId="6EDA8B7F">
      <w:pPr>
        <w:pStyle w:val="12"/>
        <w:keepNext w:val="0"/>
        <w:keepLines w:val="0"/>
        <w:pageBreakBefore w:val="0"/>
        <w:widowControl w:val="0"/>
        <w:suppressLineNumbers w:val="0"/>
        <w:kinsoku/>
        <w:wordWrap/>
        <w:overflowPunct/>
        <w:topLinePunct w:val="0"/>
        <w:bidi w:val="0"/>
        <w:snapToGrid/>
        <w:spacing w:before="0" w:beforeAutospacing="0"/>
        <w:ind w:left="0"/>
        <w:jc w:val="center"/>
        <w:rPr>
          <w:shd w:val="clear" w:fill="FFFFFF"/>
        </w:rPr>
        <w:sectPr>
          <w:pgSz w:w="11915" w:h="16851"/>
          <w:pgMar w:top="1440" w:right="1800" w:bottom="1440" w:left="1800" w:header="851" w:footer="992" w:gutter="0"/>
          <w:pgNumType w:fmt="decimal"/>
          <w:cols w:space="0" w:num="1"/>
          <w:docGrid w:type="lines" w:linePitch="312" w:charSpace="0"/>
        </w:sectPr>
      </w:pPr>
    </w:p>
    <w:p w14:paraId="767CD04B">
      <w:pPr>
        <w:pStyle w:val="12"/>
        <w:keepNext w:val="0"/>
        <w:keepLines w:val="0"/>
        <w:pageBreakBefore w:val="0"/>
        <w:widowControl w:val="0"/>
        <w:suppressLineNumbers w:val="0"/>
        <w:kinsoku/>
        <w:wordWrap/>
        <w:overflowPunct/>
        <w:topLinePunct w:val="0"/>
        <w:bidi w:val="0"/>
        <w:snapToGrid/>
        <w:spacing w:before="0" w:beforeAutospacing="0"/>
        <w:ind w:left="0"/>
        <w:jc w:val="center"/>
        <w:rPr>
          <w:rFonts w:hint="eastAsia" w:ascii="黑体" w:hAnsi="黑体" w:eastAsia="黑体" w:cs="黑体"/>
          <w:b/>
          <w:bCs/>
          <w:sz w:val="24"/>
          <w:szCs w:val="24"/>
        </w:rPr>
      </w:pPr>
      <w:r>
        <w:rPr>
          <w:rFonts w:hint="eastAsia" w:ascii="黑体" w:hAnsi="黑体" w:eastAsia="黑体" w:cs="黑体"/>
          <w:b/>
          <w:bCs/>
          <w:sz w:val="24"/>
          <w:szCs w:val="24"/>
          <w:shd w:val="clear" w:fill="FFFFFF"/>
        </w:rPr>
        <w:t>目录 </w:t>
      </w:r>
    </w:p>
    <w:p w14:paraId="54038868">
      <w:pPr>
        <w:pStyle w:val="12"/>
        <w:keepNext w:val="0"/>
        <w:keepLines w:val="0"/>
        <w:pageBreakBefore w:val="0"/>
        <w:widowControl w:val="0"/>
        <w:suppressLineNumbers w:val="0"/>
        <w:kinsoku/>
        <w:wordWrap/>
        <w:overflowPunct/>
        <w:topLinePunct w:val="0"/>
        <w:bidi w:val="0"/>
        <w:snapToGrid/>
        <w:spacing w:before="0" w:beforeAutospacing="0"/>
        <w:ind w:left="0"/>
        <w:jc w:val="center"/>
        <w:rPr>
          <w:rFonts w:hint="eastAsia" w:ascii="黑体" w:hAnsi="黑体" w:eastAsia="黑体" w:cs="黑体"/>
          <w:b/>
          <w:bCs/>
          <w:sz w:val="24"/>
          <w:szCs w:val="24"/>
        </w:rPr>
      </w:pPr>
      <w:r>
        <w:rPr>
          <w:rFonts w:hint="eastAsia" w:ascii="黑体" w:hAnsi="黑体" w:eastAsia="黑体" w:cs="黑体"/>
          <w:b/>
          <w:bCs/>
          <w:sz w:val="24"/>
          <w:szCs w:val="24"/>
          <w:shd w:val="clear" w:fill="FFFFFF"/>
        </w:rPr>
        <w:t>公开时间：202</w:t>
      </w:r>
      <w:r>
        <w:rPr>
          <w:rFonts w:hint="eastAsia" w:ascii="黑体" w:hAnsi="黑体" w:eastAsia="黑体" w:cs="黑体"/>
          <w:b/>
          <w:bCs/>
          <w:sz w:val="24"/>
          <w:szCs w:val="24"/>
          <w:shd w:val="clear" w:fill="FFFFFF"/>
          <w:lang w:val="en-US" w:eastAsia="zh-CN"/>
        </w:rPr>
        <w:t>5</w:t>
      </w:r>
      <w:r>
        <w:rPr>
          <w:rFonts w:hint="eastAsia" w:ascii="黑体" w:hAnsi="黑体" w:eastAsia="黑体" w:cs="黑体"/>
          <w:b/>
          <w:bCs/>
          <w:sz w:val="24"/>
          <w:szCs w:val="24"/>
          <w:shd w:val="clear" w:fill="FFFFFF"/>
        </w:rPr>
        <w:t>年</w:t>
      </w:r>
      <w:r>
        <w:rPr>
          <w:rFonts w:hint="eastAsia" w:ascii="黑体" w:hAnsi="黑体" w:eastAsia="黑体" w:cs="黑体"/>
          <w:b/>
          <w:bCs/>
          <w:sz w:val="24"/>
          <w:szCs w:val="24"/>
          <w:shd w:val="clear" w:fill="FFFFFF"/>
          <w:lang w:val="en-US" w:eastAsia="zh-CN"/>
        </w:rPr>
        <w:t>09</w:t>
      </w:r>
      <w:r>
        <w:rPr>
          <w:rFonts w:hint="eastAsia" w:ascii="黑体" w:hAnsi="黑体" w:eastAsia="黑体" w:cs="黑体"/>
          <w:b/>
          <w:bCs/>
          <w:sz w:val="24"/>
          <w:szCs w:val="24"/>
          <w:shd w:val="clear" w:fill="FFFFFF"/>
        </w:rPr>
        <w:t>月</w:t>
      </w:r>
      <w:r>
        <w:rPr>
          <w:rFonts w:hint="eastAsia" w:ascii="黑体" w:hAnsi="黑体" w:eastAsia="黑体" w:cs="黑体"/>
          <w:b/>
          <w:bCs/>
          <w:sz w:val="24"/>
          <w:szCs w:val="24"/>
          <w:shd w:val="clear" w:fill="FFFFFF"/>
          <w:lang w:val="en-US" w:eastAsia="zh-CN"/>
        </w:rPr>
        <w:t>25</w:t>
      </w:r>
      <w:r>
        <w:rPr>
          <w:rFonts w:hint="eastAsia" w:ascii="黑体" w:hAnsi="黑体" w:eastAsia="黑体" w:cs="黑体"/>
          <w:b/>
          <w:bCs/>
          <w:sz w:val="24"/>
          <w:szCs w:val="24"/>
          <w:shd w:val="clear" w:fill="FFFFFF"/>
        </w:rPr>
        <w:t>日</w:t>
      </w:r>
    </w:p>
    <w:sdt>
      <w:sdtPr>
        <w:rPr>
          <w:rFonts w:hint="eastAsia" w:asciiTheme="minorEastAsia" w:hAnsiTheme="minorEastAsia" w:eastAsiaTheme="minorEastAsia" w:cstheme="minorEastAsia"/>
          <w:kern w:val="0"/>
          <w:sz w:val="24"/>
          <w:szCs w:val="24"/>
          <w:lang w:val="en-US" w:eastAsia="zh-CN" w:bidi="ar"/>
        </w:rPr>
        <w:id w:val="147471481"/>
        <w15:color w:val="DBDBDB"/>
        <w:docPartObj>
          <w:docPartGallery w:val="Table of Contents"/>
          <w:docPartUnique/>
        </w:docPartObj>
      </w:sdtPr>
      <w:sdtEndPr>
        <w:rPr>
          <w:rFonts w:hint="eastAsia" w:ascii="黑体" w:hAnsi="黑体" w:eastAsia="黑体" w:cs="黑体"/>
          <w:b/>
          <w:kern w:val="0"/>
          <w:sz w:val="24"/>
          <w:szCs w:val="24"/>
          <w:lang w:val="en-US" w:eastAsia="zh-CN" w:bidi="ar"/>
        </w:rPr>
      </w:sdtEndPr>
      <w:sdtContent>
        <w:p w14:paraId="5AC76E20">
          <w:pPr>
            <w:keepNext w:val="0"/>
            <w:keepLines w:val="0"/>
            <w:pageBreakBefore w:val="0"/>
            <w:widowControl w:val="0"/>
            <w:kinsoku/>
            <w:wordWrap/>
            <w:overflowPunct/>
            <w:topLinePunct w:val="0"/>
            <w:bidi w:val="0"/>
            <w:snapToGrid/>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sz w:val="24"/>
              <w:szCs w:val="24"/>
            </w:rPr>
          </w:pPr>
        </w:p>
        <w:p w14:paraId="0031D7A0">
          <w:pPr>
            <w:pStyle w:val="9"/>
            <w:tabs>
              <w:tab w:val="right" w:leader="dot" w:pos="8315"/>
            </w:tabs>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TOC \o "1-2" \h \u </w:instrText>
          </w:r>
          <w:r>
            <w:rPr>
              <w:rFonts w:hint="eastAsia" w:ascii="黑体" w:hAnsi="黑体" w:eastAsia="黑体" w:cs="黑体"/>
              <w:sz w:val="24"/>
              <w:szCs w:val="24"/>
            </w:rPr>
            <w:fldChar w:fldCharType="separate"/>
          </w:r>
          <w:r>
            <w:rPr>
              <w:rFonts w:hint="eastAsia" w:ascii="黑体" w:hAnsi="黑体" w:eastAsia="黑体" w:cs="黑体"/>
              <w:szCs w:val="24"/>
            </w:rPr>
            <w:fldChar w:fldCharType="begin"/>
          </w:r>
          <w:r>
            <w:rPr>
              <w:rFonts w:hint="eastAsia" w:ascii="黑体" w:hAnsi="黑体" w:eastAsia="黑体" w:cs="黑体"/>
              <w:szCs w:val="24"/>
            </w:rPr>
            <w:instrText xml:space="preserve"> HYPERLINK \l _Toc8986 </w:instrText>
          </w:r>
          <w:r>
            <w:rPr>
              <w:rFonts w:hint="eastAsia" w:ascii="黑体" w:hAnsi="黑体" w:eastAsia="黑体" w:cs="黑体"/>
              <w:szCs w:val="24"/>
            </w:rPr>
            <w:fldChar w:fldCharType="separate"/>
          </w:r>
          <w:r>
            <w:rPr>
              <w:rFonts w:hint="eastAsia" w:ascii="黑体" w:hAnsi="黑体" w:eastAsia="黑体" w:cs="黑体"/>
              <w:bCs w:val="0"/>
              <w:szCs w:val="44"/>
              <w:shd w:val="clear" w:fill="FFFFFF"/>
            </w:rPr>
            <w:t>第一部分 单位概况</w:t>
          </w:r>
          <w:r>
            <w:tab/>
          </w:r>
          <w:r>
            <w:fldChar w:fldCharType="begin"/>
          </w:r>
          <w:r>
            <w:instrText xml:space="preserve"> PAGEREF _Toc8986 \h </w:instrText>
          </w:r>
          <w:r>
            <w:fldChar w:fldCharType="separate"/>
          </w:r>
          <w:r>
            <w:t>1</w:t>
          </w:r>
          <w:r>
            <w:fldChar w:fldCharType="end"/>
          </w:r>
          <w:r>
            <w:rPr>
              <w:rFonts w:hint="eastAsia" w:ascii="黑体" w:hAnsi="黑体" w:eastAsia="黑体" w:cs="黑体"/>
              <w:szCs w:val="24"/>
            </w:rPr>
            <w:fldChar w:fldCharType="end"/>
          </w:r>
        </w:p>
        <w:p w14:paraId="378BF83B">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_Toc31667 </w:instrText>
          </w:r>
          <w:r>
            <w:rPr>
              <w:rFonts w:hint="eastAsia" w:ascii="黑体" w:hAnsi="黑体" w:eastAsia="黑体" w:cs="黑体"/>
              <w:szCs w:val="24"/>
            </w:rPr>
            <w:fldChar w:fldCharType="separate"/>
          </w:r>
          <w:r>
            <w:rPr>
              <w:rFonts w:hint="eastAsia" w:ascii="黑体" w:hAnsi="黑体" w:eastAsia="黑体" w:cs="黑体"/>
              <w:bCs w:val="0"/>
              <w:szCs w:val="32"/>
              <w:shd w:val="clear" w:fill="FFFFFF"/>
            </w:rPr>
            <w:t>一、主要职责</w:t>
          </w:r>
          <w:r>
            <w:tab/>
          </w:r>
          <w:r>
            <w:fldChar w:fldCharType="begin"/>
          </w:r>
          <w:r>
            <w:instrText xml:space="preserve"> PAGEREF _Toc31667 \h </w:instrText>
          </w:r>
          <w:r>
            <w:fldChar w:fldCharType="separate"/>
          </w:r>
          <w:r>
            <w:t>1</w:t>
          </w:r>
          <w:r>
            <w:fldChar w:fldCharType="end"/>
          </w:r>
          <w:r>
            <w:rPr>
              <w:rFonts w:hint="eastAsia" w:ascii="黑体" w:hAnsi="黑体" w:eastAsia="黑体" w:cs="黑体"/>
              <w:szCs w:val="24"/>
            </w:rPr>
            <w:fldChar w:fldCharType="end"/>
          </w:r>
        </w:p>
        <w:p w14:paraId="7A1F3C61">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_Toc22552 </w:instrText>
          </w:r>
          <w:r>
            <w:rPr>
              <w:rFonts w:hint="eastAsia" w:ascii="黑体" w:hAnsi="黑体" w:eastAsia="黑体" w:cs="黑体"/>
              <w:szCs w:val="24"/>
            </w:rPr>
            <w:fldChar w:fldCharType="separate"/>
          </w:r>
          <w:r>
            <w:rPr>
              <w:rFonts w:hint="eastAsia" w:ascii="黑体" w:hAnsi="黑体" w:eastAsia="黑体" w:cs="黑体"/>
              <w:bCs w:val="0"/>
              <w:szCs w:val="32"/>
              <w:shd w:val="clear" w:fill="FFFFFF"/>
            </w:rPr>
            <w:t>二、机构设置</w:t>
          </w:r>
          <w:r>
            <w:tab/>
          </w:r>
          <w:r>
            <w:fldChar w:fldCharType="begin"/>
          </w:r>
          <w:r>
            <w:instrText xml:space="preserve"> PAGEREF _Toc22552 \h </w:instrText>
          </w:r>
          <w:r>
            <w:fldChar w:fldCharType="separate"/>
          </w:r>
          <w:r>
            <w:t>3</w:t>
          </w:r>
          <w:r>
            <w:fldChar w:fldCharType="end"/>
          </w:r>
          <w:r>
            <w:rPr>
              <w:rFonts w:hint="eastAsia" w:ascii="黑体" w:hAnsi="黑体" w:eastAsia="黑体" w:cs="黑体"/>
              <w:szCs w:val="24"/>
            </w:rPr>
            <w:fldChar w:fldCharType="end"/>
          </w:r>
        </w:p>
        <w:p w14:paraId="6AF80CE9">
          <w:pPr>
            <w:pStyle w:val="9"/>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_Toc19912 </w:instrText>
          </w:r>
          <w:r>
            <w:rPr>
              <w:rFonts w:hint="eastAsia" w:ascii="黑体" w:hAnsi="黑体" w:eastAsia="黑体" w:cs="黑体"/>
              <w:szCs w:val="24"/>
            </w:rPr>
            <w:fldChar w:fldCharType="separate"/>
          </w:r>
          <w:r>
            <w:rPr>
              <w:rFonts w:hint="eastAsia" w:ascii="黑体" w:hAnsi="黑体" w:eastAsia="黑体" w:cs="黑体"/>
              <w:bCs w:val="0"/>
              <w:szCs w:val="44"/>
              <w:shd w:val="clear" w:fill="FFFFFF"/>
            </w:rPr>
            <w:t>第二部分 202</w:t>
          </w:r>
          <w:r>
            <w:rPr>
              <w:rFonts w:hint="eastAsia" w:ascii="黑体" w:hAnsi="黑体" w:eastAsia="黑体" w:cs="黑体"/>
              <w:bCs w:val="0"/>
              <w:szCs w:val="44"/>
              <w:shd w:val="clear" w:fill="FFFFFF"/>
              <w:lang w:val="en-US" w:eastAsia="zh-CN"/>
            </w:rPr>
            <w:t>4</w:t>
          </w:r>
          <w:r>
            <w:rPr>
              <w:rFonts w:hint="eastAsia" w:ascii="黑体" w:hAnsi="黑体" w:eastAsia="黑体" w:cs="黑体"/>
              <w:bCs w:val="0"/>
              <w:szCs w:val="44"/>
              <w:shd w:val="clear" w:fill="FFFFFF"/>
            </w:rPr>
            <w:t>年度单位决算情况说明</w:t>
          </w:r>
          <w:r>
            <w:tab/>
          </w:r>
          <w:r>
            <w:fldChar w:fldCharType="begin"/>
          </w:r>
          <w:r>
            <w:instrText xml:space="preserve"> PAGEREF _Toc19912 \h </w:instrText>
          </w:r>
          <w:r>
            <w:fldChar w:fldCharType="separate"/>
          </w:r>
          <w:r>
            <w:t>4</w:t>
          </w:r>
          <w:r>
            <w:fldChar w:fldCharType="end"/>
          </w:r>
          <w:r>
            <w:rPr>
              <w:rFonts w:hint="eastAsia" w:ascii="黑体" w:hAnsi="黑体" w:eastAsia="黑体" w:cs="黑体"/>
              <w:szCs w:val="24"/>
            </w:rPr>
            <w:fldChar w:fldCharType="end"/>
          </w:r>
        </w:p>
        <w:p w14:paraId="73D5994A">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_Toc21455 </w:instrText>
          </w:r>
          <w:r>
            <w:rPr>
              <w:rFonts w:hint="eastAsia" w:ascii="黑体" w:hAnsi="黑体" w:eastAsia="黑体" w:cs="黑体"/>
              <w:szCs w:val="24"/>
            </w:rPr>
            <w:fldChar w:fldCharType="separate"/>
          </w:r>
          <w:r>
            <w:rPr>
              <w:rFonts w:hint="eastAsia" w:ascii="黑体" w:hAnsi="黑体" w:eastAsia="黑体" w:cs="黑体"/>
              <w:bCs/>
              <w:szCs w:val="32"/>
              <w:lang w:val="en-US" w:eastAsia="zh-CN"/>
            </w:rPr>
            <w:t>一、收入支出决算总体情况说明</w:t>
          </w:r>
          <w:r>
            <w:tab/>
          </w:r>
          <w:r>
            <w:fldChar w:fldCharType="begin"/>
          </w:r>
          <w:r>
            <w:instrText xml:space="preserve"> PAGEREF _Toc21455 \h </w:instrText>
          </w:r>
          <w:r>
            <w:fldChar w:fldCharType="separate"/>
          </w:r>
          <w:r>
            <w:t>4</w:t>
          </w:r>
          <w:r>
            <w:fldChar w:fldCharType="end"/>
          </w:r>
          <w:r>
            <w:rPr>
              <w:rFonts w:hint="eastAsia" w:ascii="黑体" w:hAnsi="黑体" w:eastAsia="黑体" w:cs="黑体"/>
              <w:szCs w:val="24"/>
            </w:rPr>
            <w:fldChar w:fldCharType="end"/>
          </w:r>
        </w:p>
        <w:p w14:paraId="3E234490">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_Toc13673 </w:instrText>
          </w:r>
          <w:r>
            <w:rPr>
              <w:rFonts w:hint="eastAsia" w:ascii="黑体" w:hAnsi="黑体" w:eastAsia="黑体" w:cs="黑体"/>
              <w:szCs w:val="24"/>
            </w:rPr>
            <w:fldChar w:fldCharType="separate"/>
          </w:r>
          <w:r>
            <w:rPr>
              <w:rFonts w:hint="eastAsia" w:ascii="黑体" w:hAnsi="黑体" w:eastAsia="黑体" w:cs="黑体"/>
              <w:bCs/>
              <w:szCs w:val="32"/>
              <w:lang w:val="en-US" w:eastAsia="zh-CN"/>
            </w:rPr>
            <w:t>二、收入决算情况说明</w:t>
          </w:r>
          <w:r>
            <w:tab/>
          </w:r>
          <w:r>
            <w:fldChar w:fldCharType="begin"/>
          </w:r>
          <w:r>
            <w:instrText xml:space="preserve"> PAGEREF _Toc13673 \h </w:instrText>
          </w:r>
          <w:r>
            <w:fldChar w:fldCharType="separate"/>
          </w:r>
          <w:r>
            <w:t>4</w:t>
          </w:r>
          <w:r>
            <w:fldChar w:fldCharType="end"/>
          </w:r>
          <w:r>
            <w:rPr>
              <w:rFonts w:hint="eastAsia" w:ascii="黑体" w:hAnsi="黑体" w:eastAsia="黑体" w:cs="黑体"/>
              <w:szCs w:val="24"/>
            </w:rPr>
            <w:fldChar w:fldCharType="end"/>
          </w:r>
        </w:p>
        <w:p w14:paraId="03D8196A">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_Toc31420 </w:instrText>
          </w:r>
          <w:r>
            <w:rPr>
              <w:rFonts w:hint="eastAsia" w:ascii="黑体" w:hAnsi="黑体" w:eastAsia="黑体" w:cs="黑体"/>
              <w:szCs w:val="24"/>
            </w:rPr>
            <w:fldChar w:fldCharType="separate"/>
          </w:r>
          <w:r>
            <w:rPr>
              <w:rFonts w:hint="eastAsia" w:ascii="黑体" w:hAnsi="黑体" w:eastAsia="黑体" w:cs="黑体"/>
              <w:bCs/>
              <w:szCs w:val="32"/>
              <w:lang w:val="en-US" w:eastAsia="zh-CN"/>
            </w:rPr>
            <w:t>三、支出决算情况说明</w:t>
          </w:r>
          <w:r>
            <w:tab/>
          </w:r>
          <w:r>
            <w:fldChar w:fldCharType="begin"/>
          </w:r>
          <w:r>
            <w:instrText xml:space="preserve"> PAGEREF _Toc31420 \h </w:instrText>
          </w:r>
          <w:r>
            <w:fldChar w:fldCharType="separate"/>
          </w:r>
          <w:r>
            <w:t>5</w:t>
          </w:r>
          <w:r>
            <w:fldChar w:fldCharType="end"/>
          </w:r>
          <w:r>
            <w:rPr>
              <w:rFonts w:hint="eastAsia" w:ascii="黑体" w:hAnsi="黑体" w:eastAsia="黑体" w:cs="黑体"/>
              <w:szCs w:val="24"/>
            </w:rPr>
            <w:fldChar w:fldCharType="end"/>
          </w:r>
        </w:p>
        <w:p w14:paraId="24992D4D">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_Toc23758 </w:instrText>
          </w:r>
          <w:r>
            <w:rPr>
              <w:rFonts w:hint="eastAsia" w:ascii="黑体" w:hAnsi="黑体" w:eastAsia="黑体" w:cs="黑体"/>
              <w:szCs w:val="24"/>
            </w:rPr>
            <w:fldChar w:fldCharType="separate"/>
          </w:r>
          <w:r>
            <w:rPr>
              <w:rFonts w:hint="eastAsia" w:ascii="黑体" w:hAnsi="黑体" w:eastAsia="黑体" w:cs="黑体"/>
              <w:bCs/>
              <w:szCs w:val="32"/>
              <w:lang w:val="en-US" w:eastAsia="zh-CN"/>
            </w:rPr>
            <w:t>四、财政拨款收入支出决算总体情况说明</w:t>
          </w:r>
          <w:r>
            <w:tab/>
          </w:r>
          <w:r>
            <w:fldChar w:fldCharType="begin"/>
          </w:r>
          <w:r>
            <w:instrText xml:space="preserve"> PAGEREF _Toc23758 \h </w:instrText>
          </w:r>
          <w:r>
            <w:fldChar w:fldCharType="separate"/>
          </w:r>
          <w:r>
            <w:t>5</w:t>
          </w:r>
          <w:r>
            <w:fldChar w:fldCharType="end"/>
          </w:r>
          <w:r>
            <w:rPr>
              <w:rFonts w:hint="eastAsia" w:ascii="黑体" w:hAnsi="黑体" w:eastAsia="黑体" w:cs="黑体"/>
              <w:szCs w:val="24"/>
            </w:rPr>
            <w:fldChar w:fldCharType="end"/>
          </w:r>
        </w:p>
        <w:p w14:paraId="0064303F">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_Toc3877 </w:instrText>
          </w:r>
          <w:r>
            <w:rPr>
              <w:rFonts w:hint="eastAsia" w:ascii="黑体" w:hAnsi="黑体" w:eastAsia="黑体" w:cs="黑体"/>
              <w:szCs w:val="24"/>
            </w:rPr>
            <w:fldChar w:fldCharType="separate"/>
          </w:r>
          <w:r>
            <w:rPr>
              <w:rFonts w:hint="eastAsia" w:ascii="黑体" w:hAnsi="黑体" w:eastAsia="黑体" w:cs="黑体"/>
              <w:bCs/>
              <w:szCs w:val="32"/>
              <w:lang w:val="en-US" w:eastAsia="zh-CN"/>
            </w:rPr>
            <w:t>五、一般公共预算财政拨款支出决算情况说明</w:t>
          </w:r>
          <w:r>
            <w:tab/>
          </w:r>
          <w:r>
            <w:fldChar w:fldCharType="begin"/>
          </w:r>
          <w:r>
            <w:instrText xml:space="preserve"> PAGEREF _Toc3877 \h </w:instrText>
          </w:r>
          <w:r>
            <w:fldChar w:fldCharType="separate"/>
          </w:r>
          <w:r>
            <w:t>5</w:t>
          </w:r>
          <w:r>
            <w:fldChar w:fldCharType="end"/>
          </w:r>
          <w:r>
            <w:rPr>
              <w:rFonts w:hint="eastAsia" w:ascii="黑体" w:hAnsi="黑体" w:eastAsia="黑体" w:cs="黑体"/>
              <w:szCs w:val="24"/>
            </w:rPr>
            <w:fldChar w:fldCharType="end"/>
          </w:r>
        </w:p>
        <w:p w14:paraId="0848808A">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_Toc25196 </w:instrText>
          </w:r>
          <w:r>
            <w:rPr>
              <w:rFonts w:hint="eastAsia" w:ascii="黑体" w:hAnsi="黑体" w:eastAsia="黑体" w:cs="黑体"/>
              <w:szCs w:val="24"/>
            </w:rPr>
            <w:fldChar w:fldCharType="separate"/>
          </w:r>
          <w:r>
            <w:rPr>
              <w:rFonts w:hint="eastAsia" w:ascii="黑体" w:hAnsi="黑体" w:eastAsia="黑体" w:cs="黑体"/>
              <w:szCs w:val="32"/>
              <w:shd w:val="clear" w:fill="FFFFFF"/>
            </w:rPr>
            <w:t>六、一般公共预算财政拨款基本支出决算情况说明  </w:t>
          </w:r>
          <w:r>
            <w:rPr>
              <w:shd w:val="clear" w:fill="FFFFFF"/>
            </w:rPr>
            <w:t> </w:t>
          </w:r>
          <w:r>
            <w:tab/>
          </w:r>
          <w:r>
            <w:fldChar w:fldCharType="begin"/>
          </w:r>
          <w:r>
            <w:instrText xml:space="preserve"> PAGEREF _Toc25196 \h </w:instrText>
          </w:r>
          <w:r>
            <w:fldChar w:fldCharType="separate"/>
          </w:r>
          <w:r>
            <w:t>8</w:t>
          </w:r>
          <w:r>
            <w:fldChar w:fldCharType="end"/>
          </w:r>
          <w:r>
            <w:rPr>
              <w:rFonts w:hint="eastAsia" w:ascii="黑体" w:hAnsi="黑体" w:eastAsia="黑体" w:cs="黑体"/>
              <w:szCs w:val="24"/>
            </w:rPr>
            <w:fldChar w:fldCharType="end"/>
          </w:r>
        </w:p>
        <w:p w14:paraId="16D23738">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_Toc3556 </w:instrText>
          </w:r>
          <w:r>
            <w:rPr>
              <w:rFonts w:hint="eastAsia" w:ascii="黑体" w:hAnsi="黑体" w:eastAsia="黑体" w:cs="黑体"/>
              <w:szCs w:val="24"/>
            </w:rPr>
            <w:fldChar w:fldCharType="separate"/>
          </w:r>
          <w:r>
            <w:rPr>
              <w:rFonts w:hint="eastAsia" w:ascii="黑体" w:hAnsi="黑体" w:eastAsia="黑体" w:cs="黑体"/>
              <w:szCs w:val="32"/>
              <w:shd w:val="clear" w:fill="FFFFFF"/>
            </w:rPr>
            <w:t>七、“三公”经费财政拨款支出决算情况说明</w:t>
          </w:r>
          <w:r>
            <w:tab/>
          </w:r>
          <w:r>
            <w:fldChar w:fldCharType="begin"/>
          </w:r>
          <w:r>
            <w:instrText xml:space="preserve"> PAGEREF _Toc3556 \h </w:instrText>
          </w:r>
          <w:r>
            <w:fldChar w:fldCharType="separate"/>
          </w:r>
          <w:r>
            <w:t>8</w:t>
          </w:r>
          <w:r>
            <w:fldChar w:fldCharType="end"/>
          </w:r>
          <w:r>
            <w:rPr>
              <w:rFonts w:hint="eastAsia" w:ascii="黑体" w:hAnsi="黑体" w:eastAsia="黑体" w:cs="黑体"/>
              <w:szCs w:val="24"/>
            </w:rPr>
            <w:fldChar w:fldCharType="end"/>
          </w:r>
        </w:p>
        <w:p w14:paraId="47B98E95">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_Toc12034 </w:instrText>
          </w:r>
          <w:r>
            <w:rPr>
              <w:rFonts w:hint="eastAsia" w:ascii="黑体" w:hAnsi="黑体" w:eastAsia="黑体" w:cs="黑体"/>
              <w:szCs w:val="24"/>
            </w:rPr>
            <w:fldChar w:fldCharType="separate"/>
          </w:r>
          <w:r>
            <w:rPr>
              <w:rFonts w:hint="eastAsia" w:ascii="黑体" w:hAnsi="黑体" w:eastAsia="黑体" w:cs="黑体"/>
              <w:szCs w:val="32"/>
              <w:shd w:val="clear" w:fill="FFFFFF"/>
            </w:rPr>
            <w:t>八、政府性基金预算支出决算情况说明</w:t>
          </w:r>
          <w:r>
            <w:tab/>
          </w:r>
          <w:r>
            <w:fldChar w:fldCharType="begin"/>
          </w:r>
          <w:r>
            <w:instrText xml:space="preserve"> PAGEREF _Toc12034 \h </w:instrText>
          </w:r>
          <w:r>
            <w:fldChar w:fldCharType="separate"/>
          </w:r>
          <w:r>
            <w:t>10</w:t>
          </w:r>
          <w:r>
            <w:fldChar w:fldCharType="end"/>
          </w:r>
          <w:r>
            <w:rPr>
              <w:rFonts w:hint="eastAsia" w:ascii="黑体" w:hAnsi="黑体" w:eastAsia="黑体" w:cs="黑体"/>
              <w:szCs w:val="24"/>
            </w:rPr>
            <w:fldChar w:fldCharType="end"/>
          </w:r>
        </w:p>
        <w:p w14:paraId="5376AA9C">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_Toc26311 </w:instrText>
          </w:r>
          <w:r>
            <w:rPr>
              <w:rFonts w:hint="eastAsia" w:ascii="黑体" w:hAnsi="黑体" w:eastAsia="黑体" w:cs="黑体"/>
              <w:szCs w:val="24"/>
            </w:rPr>
            <w:fldChar w:fldCharType="separate"/>
          </w:r>
          <w:r>
            <w:rPr>
              <w:rFonts w:hint="eastAsia" w:ascii="黑体" w:hAnsi="黑体" w:eastAsia="黑体" w:cs="黑体"/>
              <w:szCs w:val="32"/>
              <w:shd w:val="clear" w:fill="FFFFFF"/>
            </w:rPr>
            <w:t>九、国有资本经营预算支出决算情况说明</w:t>
          </w:r>
          <w:r>
            <w:tab/>
          </w:r>
          <w:r>
            <w:fldChar w:fldCharType="begin"/>
          </w:r>
          <w:r>
            <w:instrText xml:space="preserve"> PAGEREF _Toc26311 \h </w:instrText>
          </w:r>
          <w:r>
            <w:fldChar w:fldCharType="separate"/>
          </w:r>
          <w:r>
            <w:t>10</w:t>
          </w:r>
          <w:r>
            <w:fldChar w:fldCharType="end"/>
          </w:r>
          <w:r>
            <w:rPr>
              <w:rFonts w:hint="eastAsia" w:ascii="黑体" w:hAnsi="黑体" w:eastAsia="黑体" w:cs="黑体"/>
              <w:szCs w:val="24"/>
            </w:rPr>
            <w:fldChar w:fldCharType="end"/>
          </w:r>
        </w:p>
        <w:p w14:paraId="2F3AFA0C">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_Toc7434 </w:instrText>
          </w:r>
          <w:r>
            <w:rPr>
              <w:rFonts w:hint="eastAsia" w:ascii="黑体" w:hAnsi="黑体" w:eastAsia="黑体" w:cs="黑体"/>
              <w:szCs w:val="24"/>
            </w:rPr>
            <w:fldChar w:fldCharType="separate"/>
          </w:r>
          <w:r>
            <w:rPr>
              <w:rFonts w:hint="eastAsia" w:ascii="黑体" w:hAnsi="黑体" w:eastAsia="黑体" w:cs="黑体"/>
              <w:szCs w:val="32"/>
              <w:shd w:val="clear" w:fill="FFFFFF"/>
            </w:rPr>
            <w:t>十、其他重要事项的情况说明</w:t>
          </w:r>
          <w:r>
            <w:tab/>
          </w:r>
          <w:r>
            <w:fldChar w:fldCharType="begin"/>
          </w:r>
          <w:r>
            <w:instrText xml:space="preserve"> PAGEREF _Toc7434 \h </w:instrText>
          </w:r>
          <w:r>
            <w:fldChar w:fldCharType="separate"/>
          </w:r>
          <w:r>
            <w:t>10</w:t>
          </w:r>
          <w:r>
            <w:fldChar w:fldCharType="end"/>
          </w:r>
          <w:r>
            <w:rPr>
              <w:rFonts w:hint="eastAsia" w:ascii="黑体" w:hAnsi="黑体" w:eastAsia="黑体" w:cs="黑体"/>
              <w:szCs w:val="24"/>
            </w:rPr>
            <w:fldChar w:fldCharType="end"/>
          </w:r>
        </w:p>
        <w:p w14:paraId="37348CF3">
          <w:pPr>
            <w:pStyle w:val="9"/>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_Toc5304 </w:instrText>
          </w:r>
          <w:r>
            <w:rPr>
              <w:rFonts w:hint="eastAsia" w:ascii="黑体" w:hAnsi="黑体" w:eastAsia="黑体" w:cs="黑体"/>
              <w:szCs w:val="24"/>
            </w:rPr>
            <w:fldChar w:fldCharType="separate"/>
          </w:r>
          <w:r>
            <w:rPr>
              <w:rFonts w:hint="eastAsia" w:ascii="黑体" w:hAnsi="黑体" w:eastAsia="黑体" w:cs="黑体"/>
              <w:bCs/>
              <w:szCs w:val="44"/>
              <w:shd w:val="clear" w:fill="FFFFFF"/>
            </w:rPr>
            <w:t>第三部分 名词解释</w:t>
          </w:r>
          <w:r>
            <w:tab/>
          </w:r>
          <w:r>
            <w:fldChar w:fldCharType="begin"/>
          </w:r>
          <w:r>
            <w:instrText xml:space="preserve"> PAGEREF _Toc5304 \h </w:instrText>
          </w:r>
          <w:r>
            <w:fldChar w:fldCharType="separate"/>
          </w:r>
          <w:r>
            <w:t>12</w:t>
          </w:r>
          <w:r>
            <w:fldChar w:fldCharType="end"/>
          </w:r>
          <w:r>
            <w:rPr>
              <w:rFonts w:hint="eastAsia" w:ascii="黑体" w:hAnsi="黑体" w:eastAsia="黑体" w:cs="黑体"/>
              <w:szCs w:val="24"/>
            </w:rPr>
            <w:fldChar w:fldCharType="end"/>
          </w:r>
        </w:p>
        <w:p w14:paraId="28BA21FB">
          <w:pPr>
            <w:pStyle w:val="9"/>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_Toc1211 </w:instrText>
          </w:r>
          <w:r>
            <w:rPr>
              <w:rFonts w:hint="eastAsia" w:ascii="黑体" w:hAnsi="黑体" w:eastAsia="黑体" w:cs="黑体"/>
              <w:szCs w:val="24"/>
            </w:rPr>
            <w:fldChar w:fldCharType="separate"/>
          </w:r>
          <w:r>
            <w:rPr>
              <w:rFonts w:hint="eastAsia" w:ascii="黑体" w:hAnsi="黑体" w:eastAsia="黑体" w:cs="黑体"/>
              <w:szCs w:val="44"/>
              <w:shd w:val="clear" w:fill="FFFFFF"/>
              <w:lang w:val="en-US" w:eastAsia="zh-CN"/>
            </w:rPr>
            <w:t>第四部分 附件</w:t>
          </w:r>
          <w:r>
            <w:tab/>
          </w:r>
          <w:r>
            <w:fldChar w:fldCharType="begin"/>
          </w:r>
          <w:r>
            <w:instrText xml:space="preserve"> PAGEREF _Toc1211 \h </w:instrText>
          </w:r>
          <w:r>
            <w:fldChar w:fldCharType="separate"/>
          </w:r>
          <w:r>
            <w:t>14</w:t>
          </w:r>
          <w:r>
            <w:fldChar w:fldCharType="end"/>
          </w:r>
          <w:r>
            <w:rPr>
              <w:rFonts w:hint="eastAsia" w:ascii="黑体" w:hAnsi="黑体" w:eastAsia="黑体" w:cs="黑体"/>
              <w:szCs w:val="24"/>
            </w:rPr>
            <w:fldChar w:fldCharType="end"/>
          </w:r>
        </w:p>
        <w:p w14:paraId="7D1198E9">
          <w:pPr>
            <w:pStyle w:val="9"/>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_Toc31808 </w:instrText>
          </w:r>
          <w:r>
            <w:rPr>
              <w:rFonts w:hint="eastAsia" w:ascii="黑体" w:hAnsi="黑体" w:eastAsia="黑体" w:cs="黑体"/>
              <w:szCs w:val="24"/>
            </w:rPr>
            <w:fldChar w:fldCharType="separate"/>
          </w:r>
          <w:r>
            <w:rPr>
              <w:rFonts w:hint="eastAsia" w:ascii="黑体" w:hAnsi="黑体" w:eastAsia="黑体" w:cs="黑体"/>
              <w:bCs/>
              <w:szCs w:val="44"/>
              <w:shd w:val="clear" w:fill="FFFFFF"/>
            </w:rPr>
            <w:t>第</w:t>
          </w:r>
          <w:r>
            <w:rPr>
              <w:rFonts w:hint="eastAsia" w:ascii="黑体" w:hAnsi="黑体" w:eastAsia="黑体" w:cs="黑体"/>
              <w:bCs/>
              <w:szCs w:val="44"/>
              <w:shd w:val="clear" w:fill="FFFFFF"/>
              <w:lang w:val="en-US" w:eastAsia="zh-CN"/>
            </w:rPr>
            <w:t>五</w:t>
          </w:r>
          <w:r>
            <w:rPr>
              <w:rFonts w:hint="eastAsia" w:ascii="黑体" w:hAnsi="黑体" w:eastAsia="黑体" w:cs="黑体"/>
              <w:bCs/>
              <w:szCs w:val="44"/>
              <w:shd w:val="clear" w:fill="FFFFFF"/>
            </w:rPr>
            <w:t>部分 附表</w:t>
          </w:r>
          <w:r>
            <w:tab/>
          </w:r>
          <w:r>
            <w:fldChar w:fldCharType="begin"/>
          </w:r>
          <w:r>
            <w:instrText xml:space="preserve"> PAGEREF _Toc31808 \h </w:instrText>
          </w:r>
          <w:r>
            <w:fldChar w:fldCharType="separate"/>
          </w:r>
          <w:r>
            <w:t>16</w:t>
          </w:r>
          <w:r>
            <w:fldChar w:fldCharType="end"/>
          </w:r>
          <w:r>
            <w:rPr>
              <w:rFonts w:hint="eastAsia" w:ascii="黑体" w:hAnsi="黑体" w:eastAsia="黑体" w:cs="黑体"/>
              <w:szCs w:val="24"/>
            </w:rPr>
            <w:fldChar w:fldCharType="end"/>
          </w:r>
        </w:p>
        <w:p w14:paraId="016389A4">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_Toc6390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一、收入支出决算总表</w:t>
          </w:r>
          <w:r>
            <w:tab/>
          </w:r>
          <w:r>
            <w:fldChar w:fldCharType="begin"/>
          </w:r>
          <w:r>
            <w:instrText xml:space="preserve"> PAGEREF _Toc6390 \h </w:instrText>
          </w:r>
          <w:r>
            <w:fldChar w:fldCharType="separate"/>
          </w:r>
          <w:r>
            <w:t>16</w:t>
          </w:r>
          <w:r>
            <w:fldChar w:fldCharType="end"/>
          </w:r>
          <w:r>
            <w:rPr>
              <w:rFonts w:hint="eastAsia" w:ascii="黑体" w:hAnsi="黑体" w:eastAsia="黑体" w:cs="黑体"/>
              <w:szCs w:val="24"/>
            </w:rPr>
            <w:fldChar w:fldCharType="end"/>
          </w:r>
        </w:p>
        <w:p w14:paraId="6917986F">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_Toc27440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二、收入决算表</w:t>
          </w:r>
          <w:r>
            <w:tab/>
          </w:r>
          <w:r>
            <w:fldChar w:fldCharType="begin"/>
          </w:r>
          <w:r>
            <w:instrText xml:space="preserve"> PAGEREF _Toc27440 \h </w:instrText>
          </w:r>
          <w:r>
            <w:fldChar w:fldCharType="separate"/>
          </w:r>
          <w:r>
            <w:t>16</w:t>
          </w:r>
          <w:r>
            <w:fldChar w:fldCharType="end"/>
          </w:r>
          <w:r>
            <w:rPr>
              <w:rFonts w:hint="eastAsia" w:ascii="黑体" w:hAnsi="黑体" w:eastAsia="黑体" w:cs="黑体"/>
              <w:szCs w:val="24"/>
            </w:rPr>
            <w:fldChar w:fldCharType="end"/>
          </w:r>
        </w:p>
        <w:p w14:paraId="6843F105">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_Toc9439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三、支出决算表</w:t>
          </w:r>
          <w:r>
            <w:tab/>
          </w:r>
          <w:r>
            <w:fldChar w:fldCharType="begin"/>
          </w:r>
          <w:r>
            <w:instrText xml:space="preserve"> PAGEREF _Toc9439 \h </w:instrText>
          </w:r>
          <w:r>
            <w:fldChar w:fldCharType="separate"/>
          </w:r>
          <w:r>
            <w:t>16</w:t>
          </w:r>
          <w:r>
            <w:fldChar w:fldCharType="end"/>
          </w:r>
          <w:r>
            <w:rPr>
              <w:rFonts w:hint="eastAsia" w:ascii="黑体" w:hAnsi="黑体" w:eastAsia="黑体" w:cs="黑体"/>
              <w:szCs w:val="24"/>
            </w:rPr>
            <w:fldChar w:fldCharType="end"/>
          </w:r>
        </w:p>
        <w:p w14:paraId="3ED7377A">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_Toc10860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四、财政拨款收入支出决算总表</w:t>
          </w:r>
          <w:r>
            <w:tab/>
          </w:r>
          <w:r>
            <w:fldChar w:fldCharType="begin"/>
          </w:r>
          <w:r>
            <w:instrText xml:space="preserve"> PAGEREF _Toc10860 \h </w:instrText>
          </w:r>
          <w:r>
            <w:fldChar w:fldCharType="separate"/>
          </w:r>
          <w:r>
            <w:t>16</w:t>
          </w:r>
          <w:r>
            <w:fldChar w:fldCharType="end"/>
          </w:r>
          <w:r>
            <w:rPr>
              <w:rFonts w:hint="eastAsia" w:ascii="黑体" w:hAnsi="黑体" w:eastAsia="黑体" w:cs="黑体"/>
              <w:szCs w:val="24"/>
            </w:rPr>
            <w:fldChar w:fldCharType="end"/>
          </w:r>
        </w:p>
        <w:p w14:paraId="52050852">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_Toc30443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五、财政拨款支出决算明细表</w:t>
          </w:r>
          <w:r>
            <w:tab/>
          </w:r>
          <w:r>
            <w:fldChar w:fldCharType="begin"/>
          </w:r>
          <w:r>
            <w:instrText xml:space="preserve"> PAGEREF _Toc30443 \h </w:instrText>
          </w:r>
          <w:r>
            <w:fldChar w:fldCharType="separate"/>
          </w:r>
          <w:r>
            <w:t>16</w:t>
          </w:r>
          <w:r>
            <w:fldChar w:fldCharType="end"/>
          </w:r>
          <w:r>
            <w:rPr>
              <w:rFonts w:hint="eastAsia" w:ascii="黑体" w:hAnsi="黑体" w:eastAsia="黑体" w:cs="黑体"/>
              <w:szCs w:val="24"/>
            </w:rPr>
            <w:fldChar w:fldCharType="end"/>
          </w:r>
        </w:p>
        <w:p w14:paraId="77012447">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_Toc23338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六、一般公共预算财政拨款支出决算表</w:t>
          </w:r>
          <w:r>
            <w:tab/>
          </w:r>
          <w:r>
            <w:fldChar w:fldCharType="begin"/>
          </w:r>
          <w:r>
            <w:instrText xml:space="preserve"> PAGEREF _Toc23338 \h </w:instrText>
          </w:r>
          <w:r>
            <w:fldChar w:fldCharType="separate"/>
          </w:r>
          <w:r>
            <w:t>16</w:t>
          </w:r>
          <w:r>
            <w:fldChar w:fldCharType="end"/>
          </w:r>
          <w:r>
            <w:rPr>
              <w:rFonts w:hint="eastAsia" w:ascii="黑体" w:hAnsi="黑体" w:eastAsia="黑体" w:cs="黑体"/>
              <w:szCs w:val="24"/>
            </w:rPr>
            <w:fldChar w:fldCharType="end"/>
          </w:r>
        </w:p>
        <w:p w14:paraId="6BD73F9E">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_Toc28072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七、一般公共预算财政拨款支出决算明细表</w:t>
          </w:r>
          <w:r>
            <w:tab/>
          </w:r>
          <w:r>
            <w:fldChar w:fldCharType="begin"/>
          </w:r>
          <w:r>
            <w:instrText xml:space="preserve"> PAGEREF _Toc28072 \h </w:instrText>
          </w:r>
          <w:r>
            <w:fldChar w:fldCharType="separate"/>
          </w:r>
          <w:r>
            <w:t>16</w:t>
          </w:r>
          <w:r>
            <w:fldChar w:fldCharType="end"/>
          </w:r>
          <w:r>
            <w:rPr>
              <w:rFonts w:hint="eastAsia" w:ascii="黑体" w:hAnsi="黑体" w:eastAsia="黑体" w:cs="黑体"/>
              <w:szCs w:val="24"/>
            </w:rPr>
            <w:fldChar w:fldCharType="end"/>
          </w:r>
        </w:p>
        <w:p w14:paraId="68F8DAB9">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_Toc25388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八、一般公共预算财政拨款基本支出决算表</w:t>
          </w:r>
          <w:r>
            <w:tab/>
          </w:r>
          <w:r>
            <w:fldChar w:fldCharType="begin"/>
          </w:r>
          <w:r>
            <w:instrText xml:space="preserve"> PAGEREF _Toc25388 \h </w:instrText>
          </w:r>
          <w:r>
            <w:fldChar w:fldCharType="separate"/>
          </w:r>
          <w:r>
            <w:t>16</w:t>
          </w:r>
          <w:r>
            <w:fldChar w:fldCharType="end"/>
          </w:r>
          <w:r>
            <w:rPr>
              <w:rFonts w:hint="eastAsia" w:ascii="黑体" w:hAnsi="黑体" w:eastAsia="黑体" w:cs="黑体"/>
              <w:szCs w:val="24"/>
            </w:rPr>
            <w:fldChar w:fldCharType="end"/>
          </w:r>
        </w:p>
        <w:p w14:paraId="07F1830B">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_Toc31634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九、一般公共预算财政拨款项目支出决算表</w:t>
          </w:r>
          <w:r>
            <w:tab/>
          </w:r>
          <w:r>
            <w:fldChar w:fldCharType="begin"/>
          </w:r>
          <w:r>
            <w:instrText xml:space="preserve"> PAGEREF _Toc31634 \h </w:instrText>
          </w:r>
          <w:r>
            <w:fldChar w:fldCharType="separate"/>
          </w:r>
          <w:r>
            <w:t>16</w:t>
          </w:r>
          <w:r>
            <w:fldChar w:fldCharType="end"/>
          </w:r>
          <w:r>
            <w:rPr>
              <w:rFonts w:hint="eastAsia" w:ascii="黑体" w:hAnsi="黑体" w:eastAsia="黑体" w:cs="黑体"/>
              <w:szCs w:val="24"/>
            </w:rPr>
            <w:fldChar w:fldCharType="end"/>
          </w:r>
        </w:p>
        <w:p w14:paraId="67B84007">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_Toc1978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十、政府性基金预算财政拨款收入支出决算表</w:t>
          </w:r>
          <w:r>
            <w:tab/>
          </w:r>
          <w:r>
            <w:fldChar w:fldCharType="begin"/>
          </w:r>
          <w:r>
            <w:instrText xml:space="preserve"> PAGEREF _Toc1978 \h </w:instrText>
          </w:r>
          <w:r>
            <w:fldChar w:fldCharType="separate"/>
          </w:r>
          <w:r>
            <w:t>16</w:t>
          </w:r>
          <w:r>
            <w:fldChar w:fldCharType="end"/>
          </w:r>
          <w:r>
            <w:rPr>
              <w:rFonts w:hint="eastAsia" w:ascii="黑体" w:hAnsi="黑体" w:eastAsia="黑体" w:cs="黑体"/>
              <w:szCs w:val="24"/>
            </w:rPr>
            <w:fldChar w:fldCharType="end"/>
          </w:r>
        </w:p>
        <w:p w14:paraId="304A800E">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_Toc25256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十一、国有资本经营预算财政拨款收入支出决算表</w:t>
          </w:r>
          <w:r>
            <w:tab/>
          </w:r>
          <w:r>
            <w:fldChar w:fldCharType="begin"/>
          </w:r>
          <w:r>
            <w:instrText xml:space="preserve"> PAGEREF _Toc25256 \h </w:instrText>
          </w:r>
          <w:r>
            <w:fldChar w:fldCharType="separate"/>
          </w:r>
          <w:r>
            <w:t>16</w:t>
          </w:r>
          <w:r>
            <w:fldChar w:fldCharType="end"/>
          </w:r>
          <w:r>
            <w:rPr>
              <w:rFonts w:hint="eastAsia" w:ascii="黑体" w:hAnsi="黑体" w:eastAsia="黑体" w:cs="黑体"/>
              <w:szCs w:val="24"/>
            </w:rPr>
            <w:fldChar w:fldCharType="end"/>
          </w:r>
        </w:p>
        <w:p w14:paraId="0FC1050F">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_Toc5470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十二、国有资本经营预算财政拨款支出决算表</w:t>
          </w:r>
          <w:r>
            <w:tab/>
          </w:r>
          <w:r>
            <w:fldChar w:fldCharType="begin"/>
          </w:r>
          <w:r>
            <w:instrText xml:space="preserve"> PAGEREF _Toc5470 \h </w:instrText>
          </w:r>
          <w:r>
            <w:fldChar w:fldCharType="separate"/>
          </w:r>
          <w:r>
            <w:t>16</w:t>
          </w:r>
          <w:r>
            <w:fldChar w:fldCharType="end"/>
          </w:r>
          <w:r>
            <w:rPr>
              <w:rFonts w:hint="eastAsia" w:ascii="黑体" w:hAnsi="黑体" w:eastAsia="黑体" w:cs="黑体"/>
              <w:szCs w:val="24"/>
            </w:rPr>
            <w:fldChar w:fldCharType="end"/>
          </w:r>
        </w:p>
        <w:p w14:paraId="4FB38041">
          <w:pPr>
            <w:pStyle w:val="11"/>
            <w:tabs>
              <w:tab w:val="right" w:leader="dot" w:pos="8315"/>
            </w:tabs>
          </w:pPr>
          <w:r>
            <w:rPr>
              <w:rFonts w:hint="eastAsia" w:ascii="黑体" w:hAnsi="黑体" w:eastAsia="黑体" w:cs="黑体"/>
              <w:szCs w:val="24"/>
            </w:rPr>
            <w:fldChar w:fldCharType="begin"/>
          </w:r>
          <w:r>
            <w:rPr>
              <w:rFonts w:hint="eastAsia" w:ascii="黑体" w:hAnsi="黑体" w:eastAsia="黑体" w:cs="黑体"/>
              <w:szCs w:val="24"/>
            </w:rPr>
            <w:instrText xml:space="preserve"> HYPERLINK \l _Toc11686 </w:instrText>
          </w:r>
          <w:r>
            <w:rPr>
              <w:rFonts w:hint="eastAsia" w:ascii="黑体" w:hAnsi="黑体" w:eastAsia="黑体" w:cs="黑体"/>
              <w:szCs w:val="24"/>
            </w:rPr>
            <w:fldChar w:fldCharType="separate"/>
          </w:r>
          <w:r>
            <w:rPr>
              <w:rFonts w:hint="eastAsia" w:ascii="黑体" w:hAnsi="黑体" w:eastAsia="黑体" w:cs="黑体"/>
              <w:bCs/>
              <w:kern w:val="0"/>
              <w:szCs w:val="32"/>
              <w:lang w:val="en-US" w:eastAsia="zh-CN" w:bidi="ar"/>
            </w:rPr>
            <w:t>十三、财政拨款“三公”经费支出决算表</w:t>
          </w:r>
          <w:r>
            <w:tab/>
          </w:r>
          <w:r>
            <w:fldChar w:fldCharType="begin"/>
          </w:r>
          <w:r>
            <w:instrText xml:space="preserve"> PAGEREF _Toc11686 \h </w:instrText>
          </w:r>
          <w:r>
            <w:fldChar w:fldCharType="separate"/>
          </w:r>
          <w:r>
            <w:t>16</w:t>
          </w:r>
          <w:r>
            <w:fldChar w:fldCharType="end"/>
          </w:r>
          <w:r>
            <w:rPr>
              <w:rFonts w:hint="eastAsia" w:ascii="黑体" w:hAnsi="黑体" w:eastAsia="黑体" w:cs="黑体"/>
              <w:szCs w:val="24"/>
            </w:rPr>
            <w:fldChar w:fldCharType="end"/>
          </w:r>
        </w:p>
        <w:p w14:paraId="6458C2BF">
          <w:pPr>
            <w:keepNext w:val="0"/>
            <w:keepLines w:val="0"/>
            <w:pageBreakBefore w:val="0"/>
            <w:widowControl w:val="0"/>
            <w:kinsoku/>
            <w:wordWrap/>
            <w:overflowPunct/>
            <w:topLinePunct w:val="0"/>
            <w:bidi w:val="0"/>
            <w:snapToGrid/>
            <w:rPr>
              <w:rFonts w:hint="eastAsia"/>
              <w:lang w:val="en-US" w:eastAsia="zh-CN"/>
            </w:rPr>
            <w:sectPr>
              <w:footerReference r:id="rId3" w:type="default"/>
              <w:pgSz w:w="11915" w:h="16851"/>
              <w:pgMar w:top="1440" w:right="1800" w:bottom="1440" w:left="1800" w:header="851" w:footer="992" w:gutter="0"/>
              <w:pgNumType w:fmt="decimal" w:start="1"/>
              <w:cols w:space="0" w:num="1"/>
              <w:docGrid w:type="lines" w:linePitch="312" w:charSpace="0"/>
            </w:sectPr>
          </w:pPr>
          <w:r>
            <w:rPr>
              <w:rFonts w:hint="eastAsia" w:ascii="黑体" w:hAnsi="黑体" w:eastAsia="黑体" w:cs="黑体"/>
              <w:szCs w:val="24"/>
            </w:rPr>
            <w:fldChar w:fldCharType="end"/>
          </w:r>
        </w:p>
      </w:sdtContent>
    </w:sdt>
    <w:p w14:paraId="6DDD2BC0">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880" w:firstLineChars="200"/>
        <w:jc w:val="center"/>
        <w:textAlignment w:val="auto"/>
        <w:rPr>
          <w:rFonts w:hint="eastAsia" w:ascii="黑体" w:hAnsi="黑体" w:eastAsia="黑体" w:cs="黑体"/>
          <w:b w:val="0"/>
          <w:bCs w:val="0"/>
          <w:sz w:val="44"/>
          <w:szCs w:val="44"/>
        </w:rPr>
      </w:pPr>
      <w:bookmarkStart w:id="0" w:name="_Toc8986"/>
      <w:r>
        <w:rPr>
          <w:rFonts w:hint="eastAsia" w:ascii="黑体" w:hAnsi="黑体" w:eastAsia="黑体" w:cs="黑体"/>
          <w:b w:val="0"/>
          <w:bCs w:val="0"/>
          <w:sz w:val="44"/>
          <w:szCs w:val="44"/>
          <w:shd w:val="clear" w:fill="FFFFFF"/>
        </w:rPr>
        <w:t>第一部分 单位概况</w:t>
      </w:r>
      <w:bookmarkEnd w:id="0"/>
    </w:p>
    <w:p w14:paraId="3711C337">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1"/>
        <w:rPr>
          <w:rFonts w:hint="eastAsia" w:ascii="黑体" w:hAnsi="黑体" w:eastAsia="黑体" w:cs="黑体"/>
          <w:b w:val="0"/>
          <w:bCs w:val="0"/>
          <w:sz w:val="32"/>
          <w:szCs w:val="32"/>
        </w:rPr>
      </w:pPr>
      <w:bookmarkStart w:id="1" w:name="_Toc31667"/>
      <w:r>
        <w:rPr>
          <w:rFonts w:hint="eastAsia" w:ascii="黑体" w:hAnsi="黑体" w:eastAsia="黑体" w:cs="黑体"/>
          <w:b w:val="0"/>
          <w:bCs w:val="0"/>
          <w:sz w:val="32"/>
          <w:szCs w:val="32"/>
          <w:shd w:val="clear" w:fill="FFFFFF"/>
        </w:rPr>
        <w:t>一、主要职责</w:t>
      </w:r>
      <w:bookmarkEnd w:id="1"/>
      <w:bookmarkStart w:id="2" w:name="_Toc79163853"/>
      <w:bookmarkEnd w:id="2"/>
      <w:bookmarkStart w:id="3" w:name="_Toc79163603"/>
      <w:bookmarkEnd w:id="3"/>
      <w:bookmarkStart w:id="4" w:name="_Toc15377198"/>
      <w:bookmarkEnd w:id="4"/>
      <w:bookmarkStart w:id="5" w:name="_Toc17469"/>
      <w:bookmarkEnd w:id="5"/>
      <w:bookmarkStart w:id="6" w:name="_Toc15378445"/>
      <w:bookmarkEnd w:id="6"/>
      <w:bookmarkStart w:id="7" w:name="_Toc6001"/>
      <w:bookmarkEnd w:id="7"/>
      <w:bookmarkStart w:id="8" w:name="_Toc27980"/>
      <w:bookmarkEnd w:id="8"/>
    </w:p>
    <w:p w14:paraId="6714C672">
      <w:pPr>
        <w:pStyle w:val="12"/>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组织实施全县重大科技专项，组织参与国家、省州重大科技专项。统筹关键共性技术、前沿引领技术、现代工程技术、颠覆性技术研发和创新，牵头组织重大技术攻关和科技成果应用示范。</w:t>
      </w:r>
    </w:p>
    <w:p w14:paraId="7523D9A6">
      <w:pPr>
        <w:pStyle w:val="12"/>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2</w:t>
      </w:r>
      <w:r>
        <w:rPr>
          <w:rFonts w:ascii="仿宋_GB2312" w:eastAsia="仿宋_GB2312" w:cs="仿宋_GB2312"/>
          <w:sz w:val="32"/>
          <w:szCs w:val="32"/>
        </w:rPr>
        <w:t>.</w:t>
      </w:r>
      <w:r>
        <w:rPr>
          <w:rFonts w:hint="eastAsia" w:ascii="仿宋_GB2312" w:eastAsia="仿宋_GB2312" w:cs="仿宋_GB2312"/>
          <w:sz w:val="32"/>
          <w:szCs w:val="32"/>
        </w:rPr>
        <w:t>会同有关部门制定科技人才队伍建设规划，建立健全科技人才评价和激励机制，组织实施科技人才计划，推动科技创新人才队伍建设。</w:t>
      </w:r>
    </w:p>
    <w:p w14:paraId="0F9420F0">
      <w:pPr>
        <w:pStyle w:val="12"/>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3</w:t>
      </w:r>
      <w:r>
        <w:rPr>
          <w:rFonts w:ascii="仿宋_GB2312" w:eastAsia="仿宋_GB2312" w:cs="仿宋_GB2312"/>
          <w:sz w:val="32"/>
          <w:szCs w:val="32"/>
        </w:rPr>
        <w:t>.</w:t>
      </w:r>
      <w:r>
        <w:rPr>
          <w:rFonts w:hint="eastAsia" w:ascii="仿宋_GB2312" w:eastAsia="仿宋_GB2312" w:cs="仿宋_GB2312"/>
          <w:sz w:val="32"/>
          <w:szCs w:val="32"/>
        </w:rPr>
        <w:t>统筹研究和组织实施全县“三农”工作的发展战略、中长期规划、重大政策。贯彻执行国家有关种植业、畜牧业（草原牧业）、渔业、农业机械化、农垦等农业领域工作的法律法规、政策以及省、州、县关于“三农”工作方面的决策部署。</w:t>
      </w:r>
    </w:p>
    <w:p w14:paraId="001FD6E6">
      <w:pPr>
        <w:pStyle w:val="12"/>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4</w:t>
      </w:r>
      <w:r>
        <w:rPr>
          <w:rFonts w:ascii="仿宋_GB2312" w:eastAsia="仿宋_GB2312" w:cs="仿宋_GB2312"/>
          <w:sz w:val="32"/>
          <w:szCs w:val="32"/>
        </w:rPr>
        <w:t>.</w:t>
      </w:r>
      <w:r>
        <w:rPr>
          <w:rFonts w:hint="eastAsia" w:ascii="仿宋_GB2312" w:eastAsia="仿宋_GB2312" w:cs="仿宋_GB2312"/>
          <w:sz w:val="32"/>
          <w:szCs w:val="32"/>
        </w:rPr>
        <w:t>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14:paraId="2F2DD197">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hint="eastAsia" w:ascii="仿宋_GB2312" w:eastAsia="仿宋_GB2312" w:cs="仿宋_GB2312"/>
          <w:sz w:val="32"/>
          <w:szCs w:val="32"/>
        </w:rPr>
      </w:pPr>
      <w:bookmarkStart w:id="9" w:name="_Toc6019"/>
      <w:bookmarkStart w:id="10" w:name="_Toc25818"/>
      <w:bookmarkStart w:id="11" w:name="_Toc23906"/>
      <w:bookmarkStart w:id="12" w:name="_Toc30134"/>
      <w:r>
        <w:rPr>
          <w:rFonts w:hint="eastAsia" w:ascii="仿宋_GB2312" w:eastAsia="仿宋_GB2312" w:cs="仿宋_GB2312"/>
          <w:sz w:val="32"/>
          <w:szCs w:val="32"/>
        </w:rPr>
        <w:t>5</w:t>
      </w:r>
      <w:r>
        <w:rPr>
          <w:rFonts w:ascii="仿宋_GB2312" w:eastAsia="仿宋_GB2312" w:cs="仿宋_GB2312"/>
          <w:sz w:val="32"/>
          <w:szCs w:val="32"/>
        </w:rPr>
        <w:t>.</w:t>
      </w:r>
      <w:r>
        <w:rPr>
          <w:rFonts w:hint="eastAsia" w:ascii="仿宋_GB2312" w:eastAsia="仿宋_GB2312" w:cs="仿宋_GB2312"/>
          <w:sz w:val="32"/>
          <w:szCs w:val="32"/>
        </w:rPr>
        <w:t>深化全县农村经济体制改革和巩固完善农村基本经营制度。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bookmarkEnd w:id="9"/>
      <w:bookmarkEnd w:id="10"/>
      <w:bookmarkEnd w:id="11"/>
      <w:bookmarkEnd w:id="12"/>
    </w:p>
    <w:p w14:paraId="08046957">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hint="eastAsia" w:ascii="仿宋_GB2312" w:eastAsia="仿宋_GB2312" w:cs="仿宋_GB2312"/>
          <w:sz w:val="32"/>
          <w:szCs w:val="32"/>
        </w:rPr>
      </w:pPr>
      <w:bookmarkStart w:id="13" w:name="_Toc12359"/>
      <w:bookmarkStart w:id="14" w:name="_Toc21064"/>
      <w:bookmarkStart w:id="15" w:name="_Toc11894"/>
      <w:r>
        <w:rPr>
          <w:rFonts w:hint="eastAsia" w:ascii="仿宋_GB2312" w:eastAsia="仿宋_GB2312" w:cs="仿宋_GB2312"/>
          <w:sz w:val="32"/>
          <w:szCs w:val="32"/>
        </w:rPr>
        <w:t>6</w:t>
      </w:r>
      <w:r>
        <w:rPr>
          <w:rFonts w:ascii="仿宋_GB2312" w:eastAsia="仿宋_GB2312" w:cs="仿宋_GB2312"/>
          <w:sz w:val="32"/>
          <w:szCs w:val="32"/>
        </w:rPr>
        <w:t>.</w:t>
      </w:r>
      <w:r>
        <w:rPr>
          <w:rFonts w:hint="eastAsia" w:ascii="仿宋_GB2312" w:eastAsia="仿宋_GB2312" w:cs="仿宋_GB2312"/>
          <w:sz w:val="32"/>
          <w:szCs w:val="32"/>
        </w:rPr>
        <w:t>负责全县农产品质量安全监督管理。组织开展农产品质量安全监测、追溯、风险评估。发布有关农产品质量安全状况信息</w:t>
      </w:r>
      <w:r>
        <w:rPr>
          <w:rFonts w:ascii="仿宋_GB2312" w:eastAsia="仿宋_GB2312" w:cs="仿宋_GB2312"/>
          <w:sz w:val="32"/>
          <w:szCs w:val="32"/>
        </w:rPr>
        <w:t>,</w:t>
      </w:r>
      <w:r>
        <w:rPr>
          <w:rFonts w:hint="eastAsia" w:ascii="仿宋_GB2312" w:eastAsia="仿宋_GB2312" w:cs="仿宋_GB2312"/>
          <w:sz w:val="32"/>
          <w:szCs w:val="32"/>
        </w:rPr>
        <w:t>指导农业检验检测体系建设。依法组织实施符合安全标准的农产品生产基地认定、产品认证、农产品地理标志登记保护和监督管理。</w:t>
      </w:r>
      <w:bookmarkEnd w:id="13"/>
      <w:bookmarkEnd w:id="14"/>
      <w:bookmarkEnd w:id="15"/>
    </w:p>
    <w:p w14:paraId="22957BC1">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hint="eastAsia" w:ascii="仿宋_GB2312" w:eastAsia="仿宋_GB2312" w:cs="仿宋_GB2312"/>
          <w:sz w:val="32"/>
          <w:szCs w:val="32"/>
        </w:rPr>
      </w:pPr>
      <w:bookmarkStart w:id="16" w:name="_Toc18861"/>
      <w:bookmarkStart w:id="17" w:name="_Toc9693"/>
      <w:bookmarkStart w:id="18" w:name="_Toc11357"/>
      <w:r>
        <w:rPr>
          <w:rFonts w:hint="eastAsia" w:ascii="仿宋_GB2312" w:eastAsia="仿宋_GB2312" w:cs="仿宋_GB2312"/>
          <w:sz w:val="32"/>
          <w:szCs w:val="32"/>
        </w:rPr>
        <w:t>7</w:t>
      </w:r>
      <w:r>
        <w:rPr>
          <w:rFonts w:ascii="仿宋_GB2312" w:eastAsia="仿宋_GB2312" w:cs="仿宋_GB2312"/>
          <w:sz w:val="32"/>
          <w:szCs w:val="32"/>
        </w:rPr>
        <w:t>.</w:t>
      </w:r>
      <w:r>
        <w:rPr>
          <w:rFonts w:hint="eastAsia" w:ascii="仿宋_GB2312" w:eastAsia="仿宋_GB2312" w:cs="仿宋_GB2312"/>
          <w:sz w:val="32"/>
          <w:szCs w:val="32"/>
        </w:rPr>
        <w:t>负责全县有关农业生产资料和农业投入品的监督管理。组织农业生产资料市场体系建设，承担农作物种子（种苗）、食用菌种、饲草良种、种畜禽、水产苗种、农药、兽药、饲料、饲料添加剂等农业生产资料的监督管理职责，牵头负责“瘦肉精”监督管理工作。监督管理兽医医疗器械、肥料。会同有关部门监督实施农业生产资料国家标准。组织兽医医政、兽药药政药检工作，负责执业兽医和畜禽屠宰行业管理。</w:t>
      </w:r>
      <w:bookmarkEnd w:id="16"/>
      <w:bookmarkEnd w:id="17"/>
      <w:bookmarkEnd w:id="18"/>
    </w:p>
    <w:p w14:paraId="7E6FB687">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hint="eastAsia" w:ascii="仿宋_GB2312" w:eastAsia="仿宋_GB2312" w:cs="仿宋_GB2312"/>
          <w:sz w:val="32"/>
          <w:szCs w:val="32"/>
        </w:rPr>
      </w:pPr>
      <w:bookmarkStart w:id="19" w:name="_Toc18038"/>
      <w:bookmarkStart w:id="20" w:name="_Toc16014"/>
      <w:bookmarkStart w:id="21" w:name="_Toc24760"/>
      <w:r>
        <w:rPr>
          <w:rFonts w:hint="eastAsia" w:ascii="仿宋_GB2312" w:eastAsia="仿宋_GB2312" w:cs="仿宋_GB2312"/>
          <w:sz w:val="32"/>
          <w:szCs w:val="32"/>
        </w:rPr>
        <w:t>8</w:t>
      </w:r>
      <w:r>
        <w:rPr>
          <w:rFonts w:ascii="仿宋_GB2312" w:eastAsia="仿宋_GB2312" w:cs="仿宋_GB2312"/>
          <w:sz w:val="32"/>
          <w:szCs w:val="32"/>
        </w:rPr>
        <w:t>.</w:t>
      </w:r>
      <w:r>
        <w:rPr>
          <w:rFonts w:hint="eastAsia" w:ascii="仿宋_GB2312" w:eastAsia="仿宋_GB2312" w:cs="仿宋_GB2312"/>
          <w:sz w:val="32"/>
          <w:szCs w:val="32"/>
        </w:rPr>
        <w:t>负责全县农业防灾减灾、农作物重大病虫害防治工作。指导动植物防疫检疫体系建设，组织监督管理县内动植物防疫检疫工作，发布疫情并组织扑灭。组织植物检疫性有害生物普查。牵头管理外来农业物种。监测、核查、发布农业灾情，组织种子、种苗、化肥、兽药等农业生产救灾物资的储备和调拨，提出生产救灾资金安排建议，指导紧急救灾和灾后生产恢复。</w:t>
      </w:r>
      <w:bookmarkEnd w:id="19"/>
      <w:bookmarkEnd w:id="20"/>
      <w:bookmarkEnd w:id="21"/>
    </w:p>
    <w:p w14:paraId="0C87909E">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hint="eastAsia" w:ascii="仿宋_GB2312" w:eastAsia="仿宋_GB2312" w:cs="仿宋_GB2312"/>
          <w:sz w:val="32"/>
          <w:szCs w:val="32"/>
        </w:rPr>
      </w:pPr>
      <w:bookmarkStart w:id="22" w:name="_Toc1933"/>
      <w:bookmarkStart w:id="23" w:name="_Toc27141"/>
      <w:bookmarkStart w:id="24" w:name="_Toc4303"/>
      <w:r>
        <w:rPr>
          <w:rFonts w:hint="eastAsia" w:ascii="仿宋_GB2312" w:eastAsia="仿宋_GB2312" w:cs="仿宋_GB2312"/>
          <w:sz w:val="32"/>
          <w:szCs w:val="32"/>
        </w:rPr>
        <w:t>9</w:t>
      </w:r>
      <w:r>
        <w:rPr>
          <w:rFonts w:ascii="仿宋_GB2312" w:eastAsia="仿宋_GB2312" w:cs="仿宋_GB2312"/>
          <w:sz w:val="32"/>
          <w:szCs w:val="32"/>
        </w:rPr>
        <w:t>.</w:t>
      </w:r>
      <w:r>
        <w:rPr>
          <w:rFonts w:hint="eastAsia" w:ascii="仿宋_GB2312" w:eastAsia="仿宋_GB2312" w:cs="仿宋_GB2312"/>
          <w:sz w:val="32"/>
          <w:szCs w:val="32"/>
        </w:rPr>
        <w:t>负责全县农田建设管理。拟订农田建设发展规划，提出农田建设项目需求建议。负责全县农田建设管理、高标准农田建设和耕地质量管理。编制农业综合开发涉及农田建设项目、农田整治项目、农田水利建设项目的计划，并组织实施和管理。</w:t>
      </w:r>
      <w:bookmarkEnd w:id="22"/>
      <w:bookmarkEnd w:id="23"/>
      <w:bookmarkEnd w:id="24"/>
    </w:p>
    <w:p w14:paraId="0F9FF3C4">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ascii="仿宋_GB2312" w:eastAsia="仿宋_GB2312" w:cs="仿宋_GB2312"/>
          <w:sz w:val="32"/>
          <w:szCs w:val="32"/>
        </w:rPr>
      </w:pPr>
      <w:bookmarkStart w:id="25" w:name="_Toc1051"/>
      <w:bookmarkStart w:id="26" w:name="_Toc14965"/>
      <w:bookmarkStart w:id="27" w:name="_Toc29378"/>
      <w:r>
        <w:rPr>
          <w:rFonts w:hint="eastAsia" w:ascii="仿宋_GB2312" w:eastAsia="仿宋_GB2312" w:cs="仿宋_GB2312"/>
          <w:sz w:val="32"/>
          <w:szCs w:val="32"/>
        </w:rPr>
        <w:t>10</w:t>
      </w:r>
      <w:r>
        <w:rPr>
          <w:rFonts w:ascii="仿宋_GB2312" w:eastAsia="仿宋_GB2312" w:cs="仿宋_GB2312"/>
          <w:sz w:val="32"/>
          <w:szCs w:val="32"/>
        </w:rPr>
        <w:t>.</w:t>
      </w:r>
      <w:r>
        <w:rPr>
          <w:rFonts w:hint="eastAsia" w:ascii="仿宋_GB2312" w:eastAsia="仿宋_GB2312" w:cs="仿宋_GB2312"/>
          <w:sz w:val="32"/>
          <w:szCs w:val="32"/>
        </w:rPr>
        <w:t>负责职责范围内的安全生产、生态环境保护、审批服务便民化等工作。</w:t>
      </w:r>
      <w:bookmarkEnd w:id="25"/>
      <w:bookmarkEnd w:id="26"/>
      <w:bookmarkEnd w:id="27"/>
    </w:p>
    <w:p w14:paraId="77F7D7CD">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ascii="仿宋_GB2312" w:eastAsia="仿宋_GB2312" w:cs="仿宋_GB2312"/>
          <w:sz w:val="32"/>
          <w:szCs w:val="32"/>
        </w:rPr>
      </w:pPr>
      <w:bookmarkStart w:id="28" w:name="_Toc10528"/>
      <w:bookmarkStart w:id="29" w:name="_Toc30287"/>
      <w:bookmarkStart w:id="30" w:name="_Toc23673"/>
      <w:r>
        <w:rPr>
          <w:rFonts w:hint="eastAsia" w:ascii="仿宋_GB2312" w:eastAsia="仿宋_GB2312" w:cs="仿宋_GB2312"/>
          <w:sz w:val="32"/>
          <w:szCs w:val="32"/>
        </w:rPr>
        <w:t>11</w:t>
      </w:r>
      <w:r>
        <w:rPr>
          <w:rFonts w:ascii="仿宋_GB2312" w:eastAsia="仿宋_GB2312" w:cs="仿宋_GB2312"/>
          <w:sz w:val="32"/>
          <w:szCs w:val="32"/>
        </w:rPr>
        <w:t>.</w:t>
      </w:r>
      <w:r>
        <w:rPr>
          <w:rFonts w:hint="eastAsia" w:ascii="仿宋_GB2312" w:eastAsia="仿宋_GB2312" w:cs="仿宋_GB2312"/>
          <w:sz w:val="32"/>
          <w:szCs w:val="32"/>
        </w:rPr>
        <w:t>完成县委、县政府交办的其他任务。</w:t>
      </w:r>
      <w:bookmarkEnd w:id="28"/>
      <w:bookmarkEnd w:id="29"/>
      <w:bookmarkEnd w:id="30"/>
    </w:p>
    <w:p w14:paraId="4D236BF5">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黑体" w:hAnsi="黑体" w:eastAsia="黑体" w:cs="黑体"/>
          <w:b w:val="0"/>
          <w:bCs w:val="0"/>
          <w:sz w:val="32"/>
          <w:szCs w:val="32"/>
          <w:shd w:val="clear" w:fill="FFFFFF"/>
        </w:rPr>
      </w:pPr>
      <w:bookmarkStart w:id="31" w:name="_Toc22552"/>
      <w:r>
        <w:rPr>
          <w:rFonts w:hint="eastAsia" w:ascii="黑体" w:hAnsi="黑体" w:eastAsia="黑体" w:cs="黑体"/>
          <w:b w:val="0"/>
          <w:bCs w:val="0"/>
          <w:sz w:val="32"/>
          <w:szCs w:val="32"/>
          <w:shd w:val="clear" w:fill="FFFFFF"/>
        </w:rPr>
        <w:t>二、机构设置</w:t>
      </w:r>
      <w:bookmarkEnd w:id="31"/>
    </w:p>
    <w:p w14:paraId="3EE24D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茂县生产力促进中心下属二级决算单位1个，其中行政单位0个，参照公务员法管理的事业单位0个，其他事业单位1个。</w:t>
      </w:r>
    </w:p>
    <w:p w14:paraId="73756F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纳入茂县生产力促进中心2024年度单位决算编制范围的二级预算单位包括：茂县生产力促进中心。</w:t>
      </w:r>
    </w:p>
    <w:p w14:paraId="0BC1B10E">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5116FE9F">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5B2F8FCA">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407E6034">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6064FB98">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5DAB4D0E">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683A1C2E">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3AC7E834">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35B4E356">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7189AB8B">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01415C90">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5E81A2BD">
      <w:pPr>
        <w:pStyle w:val="12"/>
        <w:keepNext w:val="0"/>
        <w:keepLines w:val="0"/>
        <w:pageBreakBefore w:val="0"/>
        <w:widowControl w:val="0"/>
        <w:suppressLineNumbers w:val="0"/>
        <w:kinsoku/>
        <w:wordWrap/>
        <w:overflowPunct/>
        <w:topLinePunct w:val="0"/>
        <w:bidi w:val="0"/>
        <w:snapToGrid/>
        <w:spacing w:before="0" w:beforeAutospacing="0"/>
        <w:ind w:left="0"/>
        <w:jc w:val="left"/>
        <w:outlineLvl w:val="9"/>
        <w:rPr>
          <w:shd w:val="clear" w:fill="FFFFFF"/>
        </w:rPr>
      </w:pPr>
    </w:p>
    <w:p w14:paraId="4829994A">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3A615C30">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jc w:val="center"/>
        <w:textAlignment w:val="auto"/>
        <w:outlineLvl w:val="0"/>
        <w:rPr>
          <w:rFonts w:hint="eastAsia" w:ascii="黑体" w:hAnsi="黑体" w:eastAsia="黑体" w:cs="黑体"/>
          <w:b w:val="0"/>
          <w:bCs w:val="0"/>
          <w:sz w:val="44"/>
          <w:szCs w:val="44"/>
        </w:rPr>
      </w:pPr>
      <w:bookmarkStart w:id="32" w:name="_Toc19912"/>
      <w:r>
        <w:rPr>
          <w:rFonts w:hint="eastAsia" w:ascii="黑体" w:hAnsi="黑体" w:eastAsia="黑体" w:cs="黑体"/>
          <w:b w:val="0"/>
          <w:bCs w:val="0"/>
          <w:sz w:val="44"/>
          <w:szCs w:val="44"/>
          <w:shd w:val="clear" w:fill="FFFFFF"/>
        </w:rPr>
        <w:t>第二部分 202</w:t>
      </w:r>
      <w:r>
        <w:rPr>
          <w:rFonts w:hint="eastAsia" w:ascii="黑体" w:hAnsi="黑体" w:eastAsia="黑体" w:cs="黑体"/>
          <w:b w:val="0"/>
          <w:bCs w:val="0"/>
          <w:sz w:val="44"/>
          <w:szCs w:val="44"/>
          <w:shd w:val="clear" w:fill="FFFFFF"/>
          <w:lang w:val="en-US" w:eastAsia="zh-CN"/>
        </w:rPr>
        <w:t>4</w:t>
      </w:r>
      <w:r>
        <w:rPr>
          <w:rFonts w:hint="eastAsia" w:ascii="黑体" w:hAnsi="黑体" w:eastAsia="黑体" w:cs="黑体"/>
          <w:b w:val="0"/>
          <w:bCs w:val="0"/>
          <w:sz w:val="44"/>
          <w:szCs w:val="44"/>
          <w:shd w:val="clear" w:fill="FFFFFF"/>
        </w:rPr>
        <w:t>年度单位决算情况说明</w:t>
      </w:r>
      <w:bookmarkEnd w:id="32"/>
    </w:p>
    <w:p w14:paraId="45CED0A6">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1"/>
        <w:rPr>
          <w:rFonts w:hint="eastAsia" w:ascii="黑体" w:hAnsi="黑体" w:eastAsia="黑体" w:cs="黑体"/>
          <w:bCs/>
          <w:sz w:val="32"/>
          <w:szCs w:val="32"/>
          <w:lang w:val="en-US" w:eastAsia="zh-CN"/>
        </w:rPr>
      </w:pPr>
      <w:bookmarkStart w:id="33" w:name="_Toc21455"/>
      <w:r>
        <w:rPr>
          <w:rFonts w:hint="eastAsia" w:ascii="黑体" w:hAnsi="黑体" w:eastAsia="黑体" w:cs="黑体"/>
          <w:bCs/>
          <w:sz w:val="32"/>
          <w:szCs w:val="32"/>
          <w:lang w:val="en-US" w:eastAsia="zh-CN"/>
        </w:rPr>
        <w:t>一、收入支出决算总体情况说明</w:t>
      </w:r>
      <w:bookmarkEnd w:id="33"/>
    </w:p>
    <w:p w14:paraId="65B7B54C">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pPr>
      <w:r>
        <w:rPr>
          <w:rFonts w:hint="eastAsia" w:ascii="仿宋_GB2312" w:eastAsia="仿宋_GB2312" w:cs="仿宋_GB2312"/>
          <w:bCs/>
          <w:sz w:val="32"/>
          <w:szCs w:val="32"/>
          <w:lang w:val="en-US" w:eastAsia="zh-CN"/>
        </w:rPr>
        <w:t>2024年度财政拨款收入、支出总计均为355.59万元。较2023年相比，收入、支出总计</w:t>
      </w:r>
      <w:r>
        <w:rPr>
          <w:rFonts w:hint="eastAsia" w:ascii="仿宋_GB2312" w:eastAsia="仿宋_GB2312" w:cs="仿宋_GB2312" w:hAnsiTheme="minorEastAsia"/>
          <w:kern w:val="0"/>
          <w:sz w:val="32"/>
          <w:szCs w:val="32"/>
          <w:lang w:val="en-US" w:eastAsia="zh-CN" w:bidi="ar"/>
        </w:rPr>
        <w:t>各</w:t>
      </w:r>
      <w:r>
        <w:rPr>
          <w:rFonts w:hint="eastAsia" w:ascii="仿宋_GB2312" w:eastAsia="仿宋_GB2312" w:cs="仿宋_GB2312"/>
          <w:kern w:val="0"/>
          <w:sz w:val="32"/>
          <w:szCs w:val="32"/>
          <w:lang w:val="en-US" w:eastAsia="zh-CN" w:bidi="ar"/>
        </w:rPr>
        <w:t>减少14.31</w:t>
      </w:r>
      <w:r>
        <w:rPr>
          <w:rFonts w:hint="eastAsia" w:ascii="仿宋_GB2312" w:eastAsia="仿宋_GB2312" w:cs="仿宋_GB2312" w:hAnsiTheme="minorEastAsia"/>
          <w:kern w:val="0"/>
          <w:sz w:val="32"/>
          <w:szCs w:val="32"/>
          <w:lang w:val="en-US" w:eastAsia="zh-CN" w:bidi="ar"/>
        </w:rPr>
        <w:t>万元，</w:t>
      </w:r>
      <w:r>
        <w:rPr>
          <w:rFonts w:hint="eastAsia" w:ascii="仿宋_GB2312" w:eastAsia="仿宋_GB2312" w:cs="仿宋_GB2312"/>
          <w:kern w:val="0"/>
          <w:sz w:val="32"/>
          <w:szCs w:val="32"/>
          <w:lang w:val="en-US" w:eastAsia="zh-CN" w:bidi="ar"/>
        </w:rPr>
        <w:t>下降3.87</w:t>
      </w:r>
      <w:r>
        <w:rPr>
          <w:rFonts w:hint="eastAsia" w:ascii="仿宋_GB2312" w:eastAsia="仿宋_GB2312" w:cs="仿宋_GB2312" w:hAnsiTheme="minorEastAsia"/>
          <w:kern w:val="0"/>
          <w:sz w:val="32"/>
          <w:szCs w:val="32"/>
          <w:lang w:val="en-US" w:eastAsia="zh-CN" w:bidi="ar"/>
        </w:rPr>
        <w:t>%</w:t>
      </w:r>
      <w:r>
        <w:rPr>
          <w:rFonts w:hint="eastAsia" w:ascii="仿宋_GB2312" w:eastAsia="仿宋_GB2312" w:cs="仿宋_GB2312"/>
          <w:kern w:val="0"/>
          <w:sz w:val="32"/>
          <w:szCs w:val="32"/>
          <w:lang w:val="en-US" w:eastAsia="zh-CN" w:bidi="ar"/>
        </w:rPr>
        <w:t>，</w:t>
      </w:r>
      <w:r>
        <w:rPr>
          <w:rFonts w:hint="eastAsia" w:ascii="仿宋_GB2312" w:eastAsia="仿宋_GB2312" w:cs="仿宋_GB2312" w:hAnsiTheme="minorEastAsia"/>
          <w:kern w:val="0"/>
          <w:sz w:val="32"/>
          <w:szCs w:val="32"/>
          <w:lang w:val="en-US" w:eastAsia="zh-CN" w:bidi="ar"/>
        </w:rPr>
        <w:t>主要变动原因是</w:t>
      </w:r>
      <w:r>
        <w:rPr>
          <w:rFonts w:hint="eastAsia" w:ascii="仿宋_GB2312" w:eastAsia="仿宋_GB2312" w:cs="仿宋_GB2312"/>
          <w:kern w:val="0"/>
          <w:sz w:val="32"/>
          <w:szCs w:val="32"/>
          <w:lang w:val="en-US" w:eastAsia="zh-CN" w:bidi="ar"/>
        </w:rPr>
        <w:t>：</w:t>
      </w:r>
      <w:r>
        <w:rPr>
          <w:rFonts w:hint="eastAsia" w:ascii="仿宋_GB2312" w:eastAsia="仿宋_GB2312" w:cs="仿宋_GB2312" w:hAnsiTheme="minorEastAsia"/>
          <w:kern w:val="0"/>
          <w:sz w:val="32"/>
          <w:szCs w:val="32"/>
          <w:lang w:val="en-US" w:eastAsia="zh-CN" w:bidi="ar"/>
        </w:rPr>
        <w:t>科学技术支出</w:t>
      </w:r>
      <w:r>
        <w:rPr>
          <w:rFonts w:hint="eastAsia" w:ascii="仿宋_GB2312" w:eastAsia="仿宋_GB2312" w:cs="仿宋_GB2312"/>
          <w:kern w:val="0"/>
          <w:sz w:val="32"/>
          <w:szCs w:val="32"/>
          <w:lang w:val="en-US" w:eastAsia="zh-CN" w:bidi="ar"/>
        </w:rPr>
        <w:t>减少</w:t>
      </w:r>
      <w:r>
        <w:rPr>
          <w:rFonts w:hint="eastAsia" w:ascii="仿宋_GB2312" w:eastAsia="仿宋_GB2312" w:cs="仿宋_GB2312" w:hAnsiTheme="minorEastAsia"/>
          <w:kern w:val="0"/>
          <w:sz w:val="32"/>
          <w:szCs w:val="32"/>
          <w:lang w:val="en-US" w:eastAsia="zh-CN" w:bidi="ar"/>
        </w:rPr>
        <w:t>。</w:t>
      </w:r>
    </w:p>
    <w:p w14:paraId="5C6E8477">
      <w:pPr>
        <w:keepNext w:val="0"/>
        <w:keepLines w:val="0"/>
        <w:pageBreakBefore w:val="0"/>
        <w:widowControl w:val="0"/>
        <w:kinsoku/>
        <w:wordWrap/>
        <w:overflowPunct/>
        <w:topLinePunct w:val="0"/>
        <w:autoSpaceDE/>
        <w:autoSpaceDN/>
        <w:bidi w:val="0"/>
        <w:adjustRightInd/>
        <w:snapToGrid/>
        <w:spacing w:afterAutospacing="0" w:line="576" w:lineRule="exact"/>
        <w:ind w:firstLine="480" w:firstLineChars="200"/>
        <w:textAlignment w:val="auto"/>
        <w:outlineLvl w:val="1"/>
        <w:rPr>
          <w:rFonts w:hint="eastAsia" w:ascii="黑体" w:hAnsi="黑体" w:eastAsia="黑体" w:cs="黑体"/>
          <w:bCs/>
          <w:sz w:val="32"/>
          <w:szCs w:val="32"/>
          <w:lang w:val="en-US" w:eastAsia="zh-CN"/>
        </w:rPr>
      </w:pPr>
      <w:bookmarkStart w:id="34" w:name="_Toc13673"/>
      <w:r>
        <w:drawing>
          <wp:anchor distT="0" distB="0" distL="114300" distR="114300" simplePos="0" relativeHeight="251660288" behindDoc="0" locked="0" layoutInCell="1" allowOverlap="1">
            <wp:simplePos x="0" y="0"/>
            <wp:positionH relativeFrom="column">
              <wp:posOffset>320675</wp:posOffset>
            </wp:positionH>
            <wp:positionV relativeFrom="paragraph">
              <wp:posOffset>67310</wp:posOffset>
            </wp:positionV>
            <wp:extent cx="4650740" cy="2479675"/>
            <wp:effectExtent l="4445" t="5080" r="12065" b="10795"/>
            <wp:wrapSquare wrapText="bothSides"/>
            <wp:docPr id="15"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s="黑体"/>
          <w:bCs/>
          <w:sz w:val="32"/>
          <w:szCs w:val="32"/>
          <w:lang w:val="en-US" w:eastAsia="zh-CN"/>
        </w:rPr>
        <w:t>二、收入决算情况说明</w:t>
      </w:r>
      <w:bookmarkEnd w:id="34"/>
    </w:p>
    <w:p w14:paraId="5F5F7C4F">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eastAsia="仿宋_GB2312" w:cs="仿宋_GB2312" w:hAnsiTheme="minorEastAsia"/>
          <w:kern w:val="0"/>
          <w:sz w:val="32"/>
          <w:szCs w:val="32"/>
          <w:lang w:val="en-US" w:eastAsia="zh-CN" w:bidi="ar"/>
        </w:rPr>
      </w:pPr>
      <w:r>
        <w:rPr>
          <w:rFonts w:hint="eastAsia" w:ascii="仿宋_GB2312" w:eastAsia="仿宋_GB2312" w:cs="仿宋_GB2312"/>
          <w:bCs/>
          <w:sz w:val="32"/>
          <w:szCs w:val="32"/>
          <w:lang w:val="en-US" w:eastAsia="zh-CN"/>
        </w:rPr>
        <w:t>2024年度本年收入合计355.59万元，其中：一般公共预算财政</w:t>
      </w:r>
      <w:r>
        <w:rPr>
          <w:rFonts w:hint="eastAsia" w:ascii="仿宋_GB2312" w:eastAsia="仿宋_GB2312" w:cs="仿宋_GB2312" w:hAnsiTheme="minorEastAsia"/>
          <w:kern w:val="0"/>
          <w:sz w:val="32"/>
          <w:szCs w:val="32"/>
          <w:lang w:val="en-US" w:eastAsia="zh-CN" w:bidi="ar"/>
        </w:rPr>
        <w:t>拨款收入</w:t>
      </w:r>
      <w:r>
        <w:rPr>
          <w:rFonts w:hint="eastAsia" w:ascii="仿宋_GB2312" w:eastAsia="仿宋_GB2312" w:cs="仿宋_GB2312"/>
          <w:bCs/>
          <w:sz w:val="32"/>
          <w:szCs w:val="32"/>
          <w:lang w:val="en-US" w:eastAsia="zh-CN"/>
        </w:rPr>
        <w:t>355.59</w:t>
      </w:r>
      <w:r>
        <w:rPr>
          <w:rFonts w:hint="eastAsia" w:ascii="仿宋_GB2312" w:eastAsia="仿宋_GB2312" w:cs="仿宋_GB2312" w:hAnsiTheme="minorEastAsia"/>
          <w:kern w:val="0"/>
          <w:sz w:val="32"/>
          <w:szCs w:val="32"/>
          <w:lang w:val="en-US" w:eastAsia="zh-CN" w:bidi="ar"/>
        </w:rPr>
        <w:t>万元，占100%；政府性基金预算财政拨款收入0万元，占</w:t>
      </w:r>
      <w:r>
        <w:rPr>
          <w:rFonts w:hint="eastAsia" w:ascii="仿宋_GB2312" w:eastAsia="仿宋_GB2312" w:cs="仿宋_GB2312"/>
          <w:kern w:val="0"/>
          <w:sz w:val="32"/>
          <w:szCs w:val="32"/>
          <w:lang w:val="en-US" w:eastAsia="zh-CN" w:bidi="ar"/>
        </w:rPr>
        <w:t>0</w:t>
      </w:r>
      <w:r>
        <w:rPr>
          <w:rFonts w:hint="eastAsia" w:ascii="仿宋_GB2312" w:eastAsia="仿宋_GB2312" w:cs="仿宋_GB2312" w:hAnsiTheme="minorEastAsia"/>
          <w:kern w:val="0"/>
          <w:sz w:val="32"/>
          <w:szCs w:val="32"/>
          <w:lang w:val="en-US" w:eastAsia="zh-CN" w:bidi="ar"/>
        </w:rPr>
        <w:t>%。</w:t>
      </w:r>
    </w:p>
    <w:p w14:paraId="5F8F3838">
      <w:pPr>
        <w:pStyle w:val="16"/>
        <w:keepNext w:val="0"/>
        <w:keepLines w:val="0"/>
        <w:pageBreakBefore w:val="0"/>
        <w:widowControl w:val="0"/>
        <w:kinsoku/>
        <w:wordWrap/>
        <w:overflowPunct/>
        <w:topLinePunct w:val="0"/>
        <w:bidi w:val="0"/>
        <w:snapToGrid/>
        <w:rPr>
          <w:rFonts w:hint="eastAsia"/>
          <w:lang w:val="en-US" w:eastAsia="zh-CN"/>
        </w:rPr>
      </w:pPr>
      <w:r>
        <w:rPr>
          <w:rFonts w:hint="eastAsia"/>
          <w:lang w:val="en-US" w:eastAsia="zh-CN"/>
        </w:rPr>
        <w:t xml:space="preserve"> </w:t>
      </w:r>
      <w:r>
        <w:drawing>
          <wp:inline distT="0" distB="0" distL="114300" distR="114300">
            <wp:extent cx="5043170" cy="2770505"/>
            <wp:effectExtent l="6350" t="6350" r="17780" b="2349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F6C38CB">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1"/>
        <w:rPr>
          <w:rFonts w:hint="eastAsia" w:ascii="黑体" w:hAnsi="黑体" w:eastAsia="黑体" w:cs="黑体"/>
          <w:bCs/>
          <w:sz w:val="32"/>
          <w:szCs w:val="32"/>
          <w:lang w:val="en-US" w:eastAsia="zh-CN"/>
        </w:rPr>
      </w:pPr>
      <w:bookmarkStart w:id="35" w:name="_Toc31420"/>
      <w:r>
        <w:rPr>
          <w:rFonts w:hint="eastAsia" w:ascii="黑体" w:hAnsi="黑体" w:eastAsia="黑体" w:cs="黑体"/>
          <w:bCs/>
          <w:sz w:val="32"/>
          <w:szCs w:val="32"/>
          <w:lang w:val="en-US" w:eastAsia="zh-CN"/>
        </w:rPr>
        <w:t>三、支出决算情况说明</w:t>
      </w:r>
      <w:bookmarkEnd w:id="35"/>
    </w:p>
    <w:p w14:paraId="3837359C">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pPr>
      <w:r>
        <w:rPr>
          <w:rFonts w:hint="eastAsia" w:ascii="仿宋_GB2312" w:eastAsia="仿宋_GB2312" w:cs="仿宋_GB2312"/>
          <w:bCs/>
          <w:sz w:val="32"/>
          <w:szCs w:val="32"/>
          <w:lang w:val="en-US" w:eastAsia="zh-CN"/>
        </w:rPr>
        <w:t>2024年度本年支出合计355.59万元，其中：基本支出41.28万元，占11.61%；项目支出314.31万元，占88.39%</w:t>
      </w:r>
      <w:r>
        <w:rPr>
          <w:rFonts w:hint="eastAsia" w:ascii="仿宋_GB2312" w:eastAsia="仿宋_GB2312" w:cs="仿宋_GB2312" w:hAnsiTheme="minorEastAsia"/>
          <w:kern w:val="0"/>
          <w:sz w:val="32"/>
          <w:szCs w:val="32"/>
          <w:lang w:val="en-US" w:eastAsia="zh-CN" w:bidi="ar"/>
        </w:rPr>
        <w:t>。</w:t>
      </w:r>
    </w:p>
    <w:p w14:paraId="399CF3B6">
      <w:pPr>
        <w:pStyle w:val="12"/>
        <w:keepNext w:val="0"/>
        <w:keepLines w:val="0"/>
        <w:pageBreakBefore w:val="0"/>
        <w:widowControl w:val="0"/>
        <w:suppressLineNumbers w:val="0"/>
        <w:kinsoku/>
        <w:wordWrap/>
        <w:overflowPunct/>
        <w:topLinePunct w:val="0"/>
        <w:bidi w:val="0"/>
        <w:snapToGrid/>
        <w:spacing w:before="0" w:beforeAutospacing="0"/>
        <w:ind w:left="0" w:firstLine="240" w:firstLineChars="100"/>
        <w:jc w:val="left"/>
      </w:pPr>
      <w:r>
        <w:rPr>
          <w:shd w:val="clear" w:fill="FFFFFF"/>
        </w:rPr>
        <w:t> </w:t>
      </w:r>
      <w:r>
        <w:drawing>
          <wp:inline distT="0" distB="0" distL="114300" distR="114300">
            <wp:extent cx="4589780" cy="2449830"/>
            <wp:effectExtent l="6350" t="6350" r="13970" b="20320"/>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A5D9ED1">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1"/>
        <w:rPr>
          <w:rFonts w:hint="eastAsia" w:ascii="黑体" w:hAnsi="黑体" w:eastAsia="黑体" w:cs="黑体"/>
          <w:bCs/>
          <w:sz w:val="32"/>
          <w:szCs w:val="32"/>
          <w:lang w:val="en-US" w:eastAsia="zh-CN"/>
        </w:rPr>
      </w:pPr>
      <w:bookmarkStart w:id="36" w:name="_Toc23758"/>
      <w:r>
        <w:rPr>
          <w:rFonts w:hint="eastAsia" w:ascii="黑体" w:hAnsi="黑体" w:eastAsia="黑体" w:cs="黑体"/>
          <w:bCs/>
          <w:sz w:val="32"/>
          <w:szCs w:val="32"/>
          <w:lang w:val="en-US" w:eastAsia="zh-CN"/>
        </w:rPr>
        <w:t>四、财政拨款收入支出决算总体情况说明</w:t>
      </w:r>
      <w:bookmarkEnd w:id="36"/>
    </w:p>
    <w:p w14:paraId="6576A4ED">
      <w:pPr>
        <w:keepNext w:val="0"/>
        <w:keepLines w:val="0"/>
        <w:pageBreakBefore w:val="0"/>
        <w:widowControl w:val="0"/>
        <w:kinsoku/>
        <w:wordWrap/>
        <w:overflowPunct/>
        <w:topLinePunct w:val="0"/>
        <w:autoSpaceDE/>
        <w:autoSpaceDN/>
        <w:bidi w:val="0"/>
        <w:adjustRightInd/>
        <w:snapToGrid/>
        <w:spacing w:afterAutospacing="0" w:line="576" w:lineRule="exact"/>
        <w:ind w:firstLine="480" w:firstLineChars="200"/>
        <w:textAlignment w:val="auto"/>
        <w:rPr>
          <w:rFonts w:hint="eastAsia" w:ascii="仿宋_GB2312" w:eastAsia="仿宋_GB2312" w:cs="仿宋_GB2312" w:hAnsiTheme="minorEastAsia"/>
          <w:kern w:val="0"/>
          <w:sz w:val="32"/>
          <w:szCs w:val="32"/>
          <w:lang w:val="en-US" w:eastAsia="zh-CN" w:bidi="ar"/>
        </w:rPr>
      </w:pPr>
      <w:r>
        <w:drawing>
          <wp:anchor distT="0" distB="0" distL="114300" distR="114300" simplePos="0" relativeHeight="251661312" behindDoc="0" locked="0" layoutInCell="1" allowOverlap="1">
            <wp:simplePos x="0" y="0"/>
            <wp:positionH relativeFrom="column">
              <wp:posOffset>273685</wp:posOffset>
            </wp:positionH>
            <wp:positionV relativeFrom="paragraph">
              <wp:posOffset>1243965</wp:posOffset>
            </wp:positionV>
            <wp:extent cx="4681220" cy="2265045"/>
            <wp:effectExtent l="4445" t="4445" r="19685" b="16510"/>
            <wp:wrapSquare wrapText="bothSides"/>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eastAsia="仿宋_GB2312" w:cs="仿宋_GB2312"/>
          <w:bCs/>
          <w:sz w:val="32"/>
          <w:szCs w:val="32"/>
          <w:lang w:val="en-US" w:eastAsia="zh-CN"/>
        </w:rPr>
        <w:t>2024年度财政拨款收入、支出总计均为355.59万元。较2023年相比，收入、支出总计</w:t>
      </w:r>
      <w:r>
        <w:rPr>
          <w:rFonts w:hint="eastAsia" w:ascii="仿宋_GB2312" w:eastAsia="仿宋_GB2312" w:cs="仿宋_GB2312" w:hAnsiTheme="minorEastAsia"/>
          <w:kern w:val="0"/>
          <w:sz w:val="32"/>
          <w:szCs w:val="32"/>
          <w:lang w:val="en-US" w:eastAsia="zh-CN" w:bidi="ar"/>
        </w:rPr>
        <w:t>各</w:t>
      </w:r>
      <w:r>
        <w:rPr>
          <w:rFonts w:hint="eastAsia" w:ascii="仿宋_GB2312" w:eastAsia="仿宋_GB2312" w:cs="仿宋_GB2312"/>
          <w:kern w:val="0"/>
          <w:sz w:val="32"/>
          <w:szCs w:val="32"/>
          <w:lang w:val="en-US" w:eastAsia="zh-CN" w:bidi="ar"/>
        </w:rPr>
        <w:t>减少14.31</w:t>
      </w:r>
      <w:r>
        <w:rPr>
          <w:rFonts w:hint="eastAsia" w:ascii="仿宋_GB2312" w:eastAsia="仿宋_GB2312" w:cs="仿宋_GB2312" w:hAnsiTheme="minorEastAsia"/>
          <w:kern w:val="0"/>
          <w:sz w:val="32"/>
          <w:szCs w:val="32"/>
          <w:lang w:val="en-US" w:eastAsia="zh-CN" w:bidi="ar"/>
        </w:rPr>
        <w:t>万元，</w:t>
      </w:r>
      <w:r>
        <w:rPr>
          <w:rFonts w:hint="eastAsia" w:ascii="仿宋_GB2312" w:eastAsia="仿宋_GB2312" w:cs="仿宋_GB2312"/>
          <w:kern w:val="0"/>
          <w:sz w:val="32"/>
          <w:szCs w:val="32"/>
          <w:lang w:val="en-US" w:eastAsia="zh-CN" w:bidi="ar"/>
        </w:rPr>
        <w:t>下降3.87</w:t>
      </w:r>
      <w:r>
        <w:rPr>
          <w:rFonts w:hint="eastAsia" w:ascii="仿宋_GB2312" w:eastAsia="仿宋_GB2312" w:cs="仿宋_GB2312" w:hAnsiTheme="minorEastAsia"/>
          <w:kern w:val="0"/>
          <w:sz w:val="32"/>
          <w:szCs w:val="32"/>
          <w:lang w:val="en-US" w:eastAsia="zh-CN" w:bidi="ar"/>
        </w:rPr>
        <w:t>%</w:t>
      </w:r>
      <w:r>
        <w:rPr>
          <w:rFonts w:hint="eastAsia" w:ascii="仿宋_GB2312" w:eastAsia="仿宋_GB2312" w:cs="仿宋_GB2312"/>
          <w:kern w:val="0"/>
          <w:sz w:val="32"/>
          <w:szCs w:val="32"/>
          <w:lang w:val="en-US" w:eastAsia="zh-CN" w:bidi="ar"/>
        </w:rPr>
        <w:t>，</w:t>
      </w:r>
      <w:r>
        <w:rPr>
          <w:rFonts w:hint="eastAsia" w:ascii="仿宋_GB2312" w:eastAsia="仿宋_GB2312" w:cs="仿宋_GB2312" w:hAnsiTheme="minorEastAsia"/>
          <w:kern w:val="0"/>
          <w:sz w:val="32"/>
          <w:szCs w:val="32"/>
          <w:lang w:val="en-US" w:eastAsia="zh-CN" w:bidi="ar"/>
        </w:rPr>
        <w:t>主要变动原因是</w:t>
      </w:r>
      <w:r>
        <w:rPr>
          <w:rFonts w:hint="eastAsia" w:ascii="仿宋_GB2312" w:eastAsia="仿宋_GB2312" w:cs="仿宋_GB2312"/>
          <w:kern w:val="0"/>
          <w:sz w:val="32"/>
          <w:szCs w:val="32"/>
          <w:lang w:val="en-US" w:eastAsia="zh-CN" w:bidi="ar"/>
        </w:rPr>
        <w:t>：</w:t>
      </w:r>
      <w:r>
        <w:rPr>
          <w:rFonts w:hint="eastAsia" w:ascii="仿宋_GB2312" w:eastAsia="仿宋_GB2312" w:cs="仿宋_GB2312" w:hAnsiTheme="minorEastAsia"/>
          <w:kern w:val="0"/>
          <w:sz w:val="32"/>
          <w:szCs w:val="32"/>
          <w:lang w:val="en-US" w:eastAsia="zh-CN" w:bidi="ar"/>
        </w:rPr>
        <w:t>科学技术支出</w:t>
      </w:r>
      <w:r>
        <w:rPr>
          <w:rFonts w:hint="eastAsia" w:ascii="仿宋_GB2312" w:eastAsia="仿宋_GB2312" w:cs="仿宋_GB2312"/>
          <w:kern w:val="0"/>
          <w:sz w:val="32"/>
          <w:szCs w:val="32"/>
          <w:lang w:val="en-US" w:eastAsia="zh-CN" w:bidi="ar"/>
        </w:rPr>
        <w:t>减少</w:t>
      </w:r>
      <w:r>
        <w:rPr>
          <w:rFonts w:hint="eastAsia" w:ascii="仿宋_GB2312" w:eastAsia="仿宋_GB2312" w:cs="仿宋_GB2312" w:hAnsiTheme="minorEastAsia"/>
          <w:kern w:val="0"/>
          <w:sz w:val="32"/>
          <w:szCs w:val="32"/>
          <w:lang w:val="en-US" w:eastAsia="zh-CN" w:bidi="ar"/>
        </w:rPr>
        <w:t>。</w:t>
      </w:r>
    </w:p>
    <w:p w14:paraId="6C0453A2">
      <w:pPr>
        <w:pStyle w:val="16"/>
        <w:keepNext w:val="0"/>
        <w:keepLines w:val="0"/>
        <w:pageBreakBefore w:val="0"/>
        <w:widowControl w:val="0"/>
        <w:tabs>
          <w:tab w:val="right" w:pos="8315"/>
        </w:tabs>
        <w:kinsoku/>
        <w:wordWrap/>
        <w:overflowPunct/>
        <w:topLinePunct w:val="0"/>
        <w:autoSpaceDE/>
        <w:autoSpaceDN/>
        <w:bidi w:val="0"/>
        <w:snapToGrid/>
        <w:spacing w:line="576" w:lineRule="exact"/>
        <w:ind w:firstLine="640" w:firstLineChars="200"/>
        <w:outlineLvl w:val="1"/>
        <w:rPr>
          <w:rFonts w:hint="eastAsia" w:ascii="黑体" w:hAnsi="黑体" w:eastAsia="黑体" w:cs="黑体"/>
          <w:bCs/>
          <w:sz w:val="32"/>
          <w:szCs w:val="32"/>
          <w:lang w:val="en-US" w:eastAsia="zh-CN"/>
        </w:rPr>
      </w:pPr>
      <w:bookmarkStart w:id="37" w:name="_Toc3877"/>
      <w:r>
        <w:rPr>
          <w:rFonts w:hint="eastAsia" w:ascii="黑体" w:hAnsi="黑体" w:eastAsia="黑体" w:cs="黑体"/>
          <w:bCs/>
          <w:sz w:val="32"/>
          <w:szCs w:val="32"/>
          <w:lang w:val="en-US" w:eastAsia="zh-CN"/>
        </w:rPr>
        <w:t>五、一般公共预算财政拨款支出决算情况说明</w:t>
      </w:r>
      <w:bookmarkEnd w:id="37"/>
    </w:p>
    <w:p w14:paraId="4C8B4B05">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（一）一般公共预算财政拨款支出决算总体情况</w:t>
      </w:r>
    </w:p>
    <w:p w14:paraId="2B87FF60">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eastAsia="仿宋_GB2312" w:cs="仿宋_GB2312" w:hAnsiTheme="minorEastAsia"/>
          <w:kern w:val="0"/>
          <w:sz w:val="32"/>
          <w:szCs w:val="32"/>
          <w:lang w:val="en-US" w:eastAsia="zh-CN" w:bidi="ar"/>
        </w:rPr>
      </w:pPr>
      <w:r>
        <w:rPr>
          <w:rFonts w:hint="eastAsia" w:ascii="仿宋_GB2312" w:eastAsia="仿宋_GB2312" w:cs="仿宋_GB2312"/>
          <w:bCs/>
          <w:sz w:val="32"/>
          <w:szCs w:val="32"/>
          <w:lang w:val="en-US" w:eastAsia="zh-CN"/>
        </w:rPr>
        <w:t>2024</w:t>
      </w:r>
      <w:r>
        <w:rPr>
          <w:rFonts w:hint="eastAsia" w:ascii="仿宋_GB2312" w:eastAsia="仿宋_GB2312" w:cs="仿宋_GB2312" w:hAnsiTheme="minorEastAsia"/>
          <w:kern w:val="0"/>
          <w:sz w:val="32"/>
          <w:szCs w:val="32"/>
          <w:lang w:val="en-US" w:eastAsia="zh-CN" w:bidi="ar"/>
        </w:rPr>
        <w:t>年</w:t>
      </w:r>
      <w:r>
        <w:rPr>
          <w:rFonts w:hint="eastAsia" w:ascii="仿宋_GB2312" w:eastAsia="仿宋_GB2312" w:cs="仿宋_GB2312"/>
          <w:kern w:val="0"/>
          <w:sz w:val="32"/>
          <w:szCs w:val="32"/>
          <w:lang w:val="en-US" w:eastAsia="zh-CN" w:bidi="ar"/>
        </w:rPr>
        <w:t>度</w:t>
      </w:r>
      <w:r>
        <w:rPr>
          <w:rFonts w:hint="eastAsia" w:ascii="仿宋_GB2312" w:eastAsia="仿宋_GB2312" w:cs="仿宋_GB2312" w:hAnsiTheme="minorEastAsia"/>
          <w:kern w:val="0"/>
          <w:sz w:val="32"/>
          <w:szCs w:val="32"/>
          <w:lang w:val="en-US" w:eastAsia="zh-CN" w:bidi="ar"/>
        </w:rPr>
        <w:t>一般公共预算财政拨款支出</w:t>
      </w:r>
      <w:r>
        <w:rPr>
          <w:rFonts w:hint="eastAsia" w:ascii="仿宋_GB2312" w:eastAsia="仿宋_GB2312" w:cs="仿宋_GB2312"/>
          <w:kern w:val="0"/>
          <w:sz w:val="32"/>
          <w:szCs w:val="32"/>
          <w:lang w:val="en-US" w:eastAsia="zh-CN" w:bidi="ar"/>
        </w:rPr>
        <w:t>355.59</w:t>
      </w:r>
      <w:r>
        <w:rPr>
          <w:rFonts w:hint="eastAsia" w:ascii="仿宋_GB2312" w:eastAsia="仿宋_GB2312" w:cs="仿宋_GB2312" w:hAnsiTheme="minorEastAsia"/>
          <w:kern w:val="0"/>
          <w:sz w:val="32"/>
          <w:szCs w:val="32"/>
          <w:lang w:val="en-US" w:eastAsia="zh-CN" w:bidi="ar"/>
        </w:rPr>
        <w:t>万元，占本年支出合计的100%。</w:t>
      </w:r>
      <w:r>
        <w:rPr>
          <w:rFonts w:hint="eastAsia" w:ascii="仿宋_GB2312" w:eastAsia="仿宋_GB2312" w:cs="仿宋_GB2312"/>
          <w:kern w:val="0"/>
          <w:sz w:val="32"/>
          <w:szCs w:val="32"/>
          <w:lang w:val="en-US" w:eastAsia="zh-CN" w:bidi="ar"/>
        </w:rPr>
        <w:t>较</w:t>
      </w:r>
      <w:r>
        <w:rPr>
          <w:rFonts w:hint="eastAsia" w:ascii="仿宋_GB2312" w:eastAsia="仿宋_GB2312" w:cs="仿宋_GB2312" w:hAnsiTheme="minorEastAsia"/>
          <w:kern w:val="0"/>
          <w:sz w:val="32"/>
          <w:szCs w:val="32"/>
          <w:lang w:val="en-US" w:eastAsia="zh-CN" w:bidi="ar"/>
        </w:rPr>
        <w:t>202</w:t>
      </w:r>
      <w:r>
        <w:rPr>
          <w:rFonts w:hint="eastAsia" w:ascii="仿宋_GB2312" w:eastAsia="仿宋_GB2312" w:cs="仿宋_GB2312"/>
          <w:kern w:val="0"/>
          <w:sz w:val="32"/>
          <w:szCs w:val="32"/>
          <w:lang w:val="en-US" w:eastAsia="zh-CN" w:bidi="ar"/>
        </w:rPr>
        <w:t>3</w:t>
      </w:r>
      <w:r>
        <w:rPr>
          <w:rFonts w:hint="eastAsia" w:ascii="仿宋_GB2312" w:eastAsia="仿宋_GB2312" w:cs="仿宋_GB2312" w:hAnsiTheme="minorEastAsia"/>
          <w:kern w:val="0"/>
          <w:sz w:val="32"/>
          <w:szCs w:val="32"/>
          <w:lang w:val="en-US" w:eastAsia="zh-CN" w:bidi="ar"/>
        </w:rPr>
        <w:t>年相比，一般公共预算财政拨款支出</w:t>
      </w:r>
      <w:r>
        <w:rPr>
          <w:rFonts w:hint="eastAsia" w:ascii="仿宋_GB2312" w:eastAsia="仿宋_GB2312" w:cs="仿宋_GB2312"/>
          <w:kern w:val="0"/>
          <w:sz w:val="32"/>
          <w:szCs w:val="32"/>
          <w:lang w:val="en-US" w:eastAsia="zh-CN" w:bidi="ar"/>
        </w:rPr>
        <w:t>减少14.31</w:t>
      </w:r>
      <w:r>
        <w:rPr>
          <w:rFonts w:hint="eastAsia" w:ascii="仿宋_GB2312" w:eastAsia="仿宋_GB2312" w:cs="仿宋_GB2312" w:hAnsiTheme="minorEastAsia"/>
          <w:kern w:val="0"/>
          <w:sz w:val="32"/>
          <w:szCs w:val="32"/>
          <w:lang w:val="en-US" w:eastAsia="zh-CN" w:bidi="ar"/>
        </w:rPr>
        <w:t>万元，</w:t>
      </w:r>
      <w:r>
        <w:rPr>
          <w:rFonts w:hint="eastAsia" w:ascii="仿宋_GB2312" w:eastAsia="仿宋_GB2312" w:cs="仿宋_GB2312"/>
          <w:kern w:val="0"/>
          <w:sz w:val="32"/>
          <w:szCs w:val="32"/>
          <w:lang w:val="en-US" w:eastAsia="zh-CN" w:bidi="ar"/>
        </w:rPr>
        <w:t>下降3.87</w:t>
      </w:r>
      <w:r>
        <w:rPr>
          <w:rFonts w:hint="eastAsia" w:ascii="仿宋_GB2312" w:eastAsia="仿宋_GB2312" w:cs="仿宋_GB2312" w:hAnsiTheme="minorEastAsia"/>
          <w:kern w:val="0"/>
          <w:sz w:val="32"/>
          <w:szCs w:val="32"/>
          <w:lang w:val="en-US" w:eastAsia="zh-CN" w:bidi="ar"/>
        </w:rPr>
        <w:t>%</w:t>
      </w:r>
      <w:r>
        <w:rPr>
          <w:rFonts w:hint="eastAsia" w:ascii="仿宋_GB2312" w:eastAsia="仿宋_GB2312" w:cs="仿宋_GB2312"/>
          <w:kern w:val="0"/>
          <w:sz w:val="32"/>
          <w:szCs w:val="32"/>
          <w:lang w:val="en-US" w:eastAsia="zh-CN" w:bidi="ar"/>
        </w:rPr>
        <w:t>，</w:t>
      </w:r>
      <w:r>
        <w:rPr>
          <w:rFonts w:hint="eastAsia" w:ascii="仿宋_GB2312" w:eastAsia="仿宋_GB2312" w:cs="仿宋_GB2312" w:hAnsiTheme="minorEastAsia"/>
          <w:kern w:val="0"/>
          <w:sz w:val="32"/>
          <w:szCs w:val="32"/>
          <w:lang w:val="en-US" w:eastAsia="zh-CN" w:bidi="ar"/>
        </w:rPr>
        <w:t>主要变动原因是</w:t>
      </w:r>
      <w:r>
        <w:rPr>
          <w:rFonts w:hint="eastAsia" w:ascii="仿宋_GB2312" w:eastAsia="仿宋_GB2312" w:cs="仿宋_GB2312"/>
          <w:kern w:val="0"/>
          <w:sz w:val="32"/>
          <w:szCs w:val="32"/>
          <w:lang w:val="en-US" w:eastAsia="zh-CN" w:bidi="ar"/>
        </w:rPr>
        <w:t>：</w:t>
      </w:r>
      <w:r>
        <w:rPr>
          <w:rFonts w:hint="eastAsia" w:ascii="仿宋_GB2312" w:eastAsia="仿宋_GB2312" w:cs="仿宋_GB2312" w:hAnsiTheme="minorEastAsia"/>
          <w:kern w:val="0"/>
          <w:sz w:val="32"/>
          <w:szCs w:val="32"/>
          <w:lang w:val="en-US" w:eastAsia="zh-CN" w:bidi="ar"/>
        </w:rPr>
        <w:t>科学技术支出</w:t>
      </w:r>
      <w:r>
        <w:rPr>
          <w:rFonts w:hint="eastAsia" w:ascii="仿宋_GB2312" w:eastAsia="仿宋_GB2312" w:cs="仿宋_GB2312"/>
          <w:kern w:val="0"/>
          <w:sz w:val="32"/>
          <w:szCs w:val="32"/>
          <w:lang w:val="en-US" w:eastAsia="zh-CN" w:bidi="ar"/>
        </w:rPr>
        <w:t>减少</w:t>
      </w:r>
      <w:r>
        <w:rPr>
          <w:rFonts w:hint="eastAsia" w:ascii="仿宋_GB2312" w:eastAsia="仿宋_GB2312" w:cs="仿宋_GB2312" w:hAnsiTheme="minorEastAsia"/>
          <w:kern w:val="0"/>
          <w:sz w:val="32"/>
          <w:szCs w:val="32"/>
          <w:lang w:val="en-US" w:eastAsia="zh-CN" w:bidi="ar"/>
        </w:rPr>
        <w:t>。</w:t>
      </w:r>
    </w:p>
    <w:p w14:paraId="514B2B5E">
      <w:pPr>
        <w:pStyle w:val="12"/>
        <w:keepNext w:val="0"/>
        <w:keepLines w:val="0"/>
        <w:pageBreakBefore w:val="0"/>
        <w:widowControl w:val="0"/>
        <w:suppressLineNumbers w:val="0"/>
        <w:kinsoku/>
        <w:wordWrap/>
        <w:overflowPunct/>
        <w:topLinePunct w:val="0"/>
        <w:bidi w:val="0"/>
        <w:snapToGrid/>
        <w:spacing w:before="0" w:beforeAutospacing="0"/>
        <w:ind w:left="0" w:firstLine="240" w:firstLineChars="100"/>
        <w:jc w:val="left"/>
      </w:pPr>
      <w:r>
        <w:rPr>
          <w:shd w:val="clear" w:fill="FFFFFF"/>
        </w:rPr>
        <w:t> </w:t>
      </w:r>
      <w:r>
        <w:drawing>
          <wp:inline distT="0" distB="0" distL="114300" distR="114300">
            <wp:extent cx="4478020" cy="2329180"/>
            <wp:effectExtent l="6350" t="6350" r="11430" b="7620"/>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3B43856">
      <w:pPr>
        <w:keepNext w:val="0"/>
        <w:keepLines w:val="0"/>
        <w:pageBreakBefore w:val="0"/>
        <w:widowControl w:val="0"/>
        <w:kinsoku/>
        <w:wordWrap/>
        <w:overflowPunct/>
        <w:topLinePunct w:val="0"/>
        <w:autoSpaceDE/>
        <w:autoSpaceDN/>
        <w:bidi w:val="0"/>
        <w:adjustRightInd/>
        <w:snapToGrid/>
        <w:spacing w:afterAutospacing="0" w:line="576" w:lineRule="exact"/>
        <w:ind w:leftChars="0" w:firstLine="640" w:firstLineChars="200"/>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（二）一般公共预算财政拨款支出决算结构情况</w:t>
      </w:r>
    </w:p>
    <w:p w14:paraId="7D752EE3">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leftChars="0" w:right="0" w:rightChars="0" w:firstLine="640" w:firstLineChars="200"/>
        <w:jc w:val="left"/>
        <w:textAlignment w:val="auto"/>
        <w:rPr>
          <w:rFonts w:hint="eastAsia"/>
          <w:lang w:val="en-US" w:eastAsia="zh-CN"/>
        </w:rPr>
      </w:pPr>
      <w:r>
        <w:rPr>
          <w:rFonts w:hint="eastAsia" w:ascii="仿宋_GB2312" w:eastAsia="仿宋_GB2312" w:cs="仿宋_GB2312"/>
          <w:bCs/>
          <w:sz w:val="32"/>
          <w:szCs w:val="32"/>
          <w:lang w:val="en-US" w:eastAsia="zh-CN"/>
        </w:rPr>
        <w:t>2024</w:t>
      </w:r>
      <w:r>
        <w:rPr>
          <w:rFonts w:hint="eastAsia" w:ascii="仿宋_GB2312" w:eastAsia="仿宋_GB2312" w:cs="仿宋_GB2312" w:hAnsiTheme="minorEastAsia"/>
          <w:kern w:val="0"/>
          <w:sz w:val="32"/>
          <w:szCs w:val="32"/>
          <w:lang w:val="en-US" w:eastAsia="zh-CN" w:bidi="ar"/>
        </w:rPr>
        <w:t>年</w:t>
      </w:r>
      <w:r>
        <w:rPr>
          <w:rFonts w:hint="eastAsia" w:ascii="仿宋_GB2312" w:eastAsia="仿宋_GB2312" w:cs="仿宋_GB2312"/>
          <w:kern w:val="0"/>
          <w:sz w:val="32"/>
          <w:szCs w:val="32"/>
          <w:lang w:val="en-US" w:eastAsia="zh-CN" w:bidi="ar"/>
        </w:rPr>
        <w:t>度</w:t>
      </w:r>
      <w:r>
        <w:rPr>
          <w:rFonts w:hint="eastAsia" w:ascii="仿宋_GB2312" w:eastAsia="仿宋_GB2312" w:cs="仿宋_GB2312" w:hAnsiTheme="minorEastAsia"/>
          <w:kern w:val="0"/>
          <w:sz w:val="32"/>
          <w:szCs w:val="32"/>
          <w:lang w:val="en-US" w:eastAsia="zh-CN" w:bidi="ar"/>
        </w:rPr>
        <w:t>一般公共预算财政拨款支出</w:t>
      </w:r>
      <w:r>
        <w:rPr>
          <w:rFonts w:hint="eastAsia" w:ascii="仿宋_GB2312" w:eastAsia="仿宋_GB2312" w:cs="仿宋_GB2312"/>
          <w:kern w:val="0"/>
          <w:sz w:val="32"/>
          <w:szCs w:val="32"/>
          <w:lang w:val="en-US" w:eastAsia="zh-CN" w:bidi="ar"/>
        </w:rPr>
        <w:t>355.59</w:t>
      </w:r>
      <w:r>
        <w:rPr>
          <w:rFonts w:hint="eastAsia" w:ascii="仿宋_GB2312" w:eastAsia="仿宋_GB2312" w:cs="仿宋_GB2312" w:hAnsiTheme="minorEastAsia"/>
          <w:kern w:val="0"/>
          <w:sz w:val="32"/>
          <w:szCs w:val="32"/>
          <w:lang w:val="en-US" w:eastAsia="zh-CN" w:bidi="ar"/>
        </w:rPr>
        <w:t>万元，主要用于以下方面:科学技术（类）支出</w:t>
      </w:r>
      <w:r>
        <w:rPr>
          <w:rFonts w:hint="eastAsia" w:ascii="仿宋_GB2312" w:eastAsia="仿宋_GB2312" w:cs="仿宋_GB2312"/>
          <w:kern w:val="0"/>
          <w:sz w:val="32"/>
          <w:szCs w:val="32"/>
          <w:lang w:val="en-US" w:eastAsia="zh-CN" w:bidi="ar"/>
        </w:rPr>
        <w:t>344.33</w:t>
      </w:r>
      <w:r>
        <w:rPr>
          <w:rFonts w:hint="eastAsia" w:ascii="仿宋_GB2312" w:eastAsia="仿宋_GB2312" w:cs="仿宋_GB2312" w:hAnsiTheme="minorEastAsia"/>
          <w:kern w:val="0"/>
          <w:sz w:val="32"/>
          <w:szCs w:val="32"/>
          <w:lang w:val="en-US" w:eastAsia="zh-CN" w:bidi="ar"/>
        </w:rPr>
        <w:t>万元，占9</w:t>
      </w:r>
      <w:r>
        <w:rPr>
          <w:rFonts w:hint="eastAsia" w:ascii="仿宋_GB2312" w:eastAsia="仿宋_GB2312" w:cs="仿宋_GB2312"/>
          <w:kern w:val="0"/>
          <w:sz w:val="32"/>
          <w:szCs w:val="32"/>
          <w:lang w:val="en-US" w:eastAsia="zh-CN" w:bidi="ar"/>
        </w:rPr>
        <w:t>6.83</w:t>
      </w:r>
      <w:r>
        <w:rPr>
          <w:rFonts w:hint="eastAsia" w:ascii="仿宋_GB2312" w:eastAsia="仿宋_GB2312" w:cs="仿宋_GB2312" w:hAnsiTheme="minorEastAsia"/>
          <w:kern w:val="0"/>
          <w:sz w:val="32"/>
          <w:szCs w:val="32"/>
          <w:lang w:val="en-US" w:eastAsia="zh-CN" w:bidi="ar"/>
        </w:rPr>
        <w:t>%；社会保障和就业（类）支出5.</w:t>
      </w:r>
      <w:r>
        <w:rPr>
          <w:rFonts w:hint="eastAsia" w:ascii="仿宋_GB2312" w:eastAsia="仿宋_GB2312" w:cs="仿宋_GB2312"/>
          <w:kern w:val="0"/>
          <w:sz w:val="32"/>
          <w:szCs w:val="32"/>
          <w:lang w:val="en-US" w:eastAsia="zh-CN" w:bidi="ar"/>
        </w:rPr>
        <w:t>73</w:t>
      </w:r>
      <w:r>
        <w:rPr>
          <w:rFonts w:hint="eastAsia" w:ascii="仿宋_GB2312" w:eastAsia="仿宋_GB2312" w:cs="仿宋_GB2312" w:hAnsiTheme="minorEastAsia"/>
          <w:kern w:val="0"/>
          <w:sz w:val="32"/>
          <w:szCs w:val="32"/>
          <w:lang w:val="en-US" w:eastAsia="zh-CN" w:bidi="ar"/>
        </w:rPr>
        <w:t>万元，占1.</w:t>
      </w:r>
      <w:r>
        <w:rPr>
          <w:rFonts w:hint="eastAsia" w:ascii="仿宋_GB2312" w:eastAsia="仿宋_GB2312" w:cs="仿宋_GB2312"/>
          <w:kern w:val="0"/>
          <w:sz w:val="32"/>
          <w:szCs w:val="32"/>
          <w:lang w:val="en-US" w:eastAsia="zh-CN" w:bidi="ar"/>
        </w:rPr>
        <w:t>61</w:t>
      </w:r>
      <w:r>
        <w:rPr>
          <w:rFonts w:hint="eastAsia" w:ascii="仿宋_GB2312" w:eastAsia="仿宋_GB2312" w:cs="仿宋_GB2312" w:hAnsiTheme="minorEastAsia"/>
          <w:kern w:val="0"/>
          <w:sz w:val="32"/>
          <w:szCs w:val="32"/>
          <w:lang w:val="en-US" w:eastAsia="zh-CN" w:bidi="ar"/>
        </w:rPr>
        <w:t>%；卫生健康</w:t>
      </w:r>
      <w:r>
        <w:rPr>
          <w:rFonts w:hint="eastAsia" w:ascii="仿宋_GB2312" w:eastAsia="仿宋_GB2312" w:cs="仿宋_GB2312"/>
          <w:kern w:val="0"/>
          <w:sz w:val="32"/>
          <w:szCs w:val="32"/>
          <w:lang w:val="en-US" w:eastAsia="zh-CN" w:bidi="ar"/>
        </w:rPr>
        <w:t>（类）</w:t>
      </w:r>
      <w:r>
        <w:rPr>
          <w:rFonts w:hint="eastAsia" w:ascii="仿宋_GB2312" w:eastAsia="仿宋_GB2312" w:cs="仿宋_GB2312" w:hAnsiTheme="minorEastAsia"/>
          <w:kern w:val="0"/>
          <w:sz w:val="32"/>
          <w:szCs w:val="32"/>
          <w:lang w:val="en-US" w:eastAsia="zh-CN" w:bidi="ar"/>
        </w:rPr>
        <w:t>支出2.</w:t>
      </w:r>
      <w:r>
        <w:rPr>
          <w:rFonts w:hint="eastAsia" w:ascii="仿宋_GB2312" w:eastAsia="仿宋_GB2312" w:cs="仿宋_GB2312"/>
          <w:kern w:val="0"/>
          <w:sz w:val="32"/>
          <w:szCs w:val="32"/>
          <w:lang w:val="en-US" w:eastAsia="zh-CN" w:bidi="ar"/>
        </w:rPr>
        <w:t>36</w:t>
      </w:r>
      <w:r>
        <w:rPr>
          <w:rFonts w:hint="eastAsia" w:ascii="仿宋_GB2312" w:eastAsia="仿宋_GB2312" w:cs="仿宋_GB2312" w:hAnsiTheme="minorEastAsia"/>
          <w:kern w:val="0"/>
          <w:sz w:val="32"/>
          <w:szCs w:val="32"/>
          <w:lang w:val="en-US" w:eastAsia="zh-CN" w:bidi="ar"/>
        </w:rPr>
        <w:t>万元，占0.6</w:t>
      </w:r>
      <w:r>
        <w:rPr>
          <w:rFonts w:hint="eastAsia" w:ascii="仿宋_GB2312" w:eastAsia="仿宋_GB2312" w:cs="仿宋_GB2312"/>
          <w:kern w:val="0"/>
          <w:sz w:val="32"/>
          <w:szCs w:val="32"/>
          <w:lang w:val="en-US" w:eastAsia="zh-CN" w:bidi="ar"/>
        </w:rPr>
        <w:t>7</w:t>
      </w:r>
      <w:r>
        <w:rPr>
          <w:rFonts w:hint="eastAsia" w:ascii="仿宋_GB2312" w:eastAsia="仿宋_GB2312" w:cs="仿宋_GB2312" w:hAnsiTheme="minorEastAsia"/>
          <w:kern w:val="0"/>
          <w:sz w:val="32"/>
          <w:szCs w:val="32"/>
          <w:lang w:val="en-US" w:eastAsia="zh-CN" w:bidi="ar"/>
        </w:rPr>
        <w:t>%；住房保障</w:t>
      </w:r>
      <w:r>
        <w:rPr>
          <w:rFonts w:hint="eastAsia" w:ascii="仿宋_GB2312" w:eastAsia="仿宋_GB2312" w:cs="仿宋_GB2312"/>
          <w:kern w:val="0"/>
          <w:sz w:val="32"/>
          <w:szCs w:val="32"/>
          <w:lang w:val="en-US" w:eastAsia="zh-CN" w:bidi="ar"/>
        </w:rPr>
        <w:t>（类）</w:t>
      </w:r>
      <w:r>
        <w:rPr>
          <w:rFonts w:hint="eastAsia" w:ascii="仿宋_GB2312" w:eastAsia="仿宋_GB2312" w:cs="仿宋_GB2312" w:hAnsiTheme="minorEastAsia"/>
          <w:kern w:val="0"/>
          <w:sz w:val="32"/>
          <w:szCs w:val="32"/>
          <w:lang w:val="en-US" w:eastAsia="zh-CN" w:bidi="ar"/>
        </w:rPr>
        <w:t>支出</w:t>
      </w:r>
      <w:r>
        <w:rPr>
          <w:rFonts w:hint="eastAsia" w:ascii="仿宋_GB2312" w:eastAsia="仿宋_GB2312" w:cs="仿宋_GB2312"/>
          <w:kern w:val="0"/>
          <w:sz w:val="32"/>
          <w:szCs w:val="32"/>
          <w:lang w:val="en-US" w:eastAsia="zh-CN" w:bidi="ar"/>
        </w:rPr>
        <w:t>3.17</w:t>
      </w:r>
      <w:r>
        <w:rPr>
          <w:rFonts w:hint="eastAsia" w:ascii="仿宋_GB2312" w:eastAsia="仿宋_GB2312" w:cs="仿宋_GB2312" w:hAnsiTheme="minorEastAsia"/>
          <w:kern w:val="0"/>
          <w:sz w:val="32"/>
          <w:szCs w:val="32"/>
          <w:lang w:val="en-US" w:eastAsia="zh-CN" w:bidi="ar"/>
        </w:rPr>
        <w:t>万元，占</w:t>
      </w:r>
      <w:r>
        <w:rPr>
          <w:rFonts w:hint="eastAsia" w:ascii="仿宋_GB2312" w:eastAsia="仿宋_GB2312" w:cs="仿宋_GB2312"/>
          <w:kern w:val="0"/>
          <w:sz w:val="32"/>
          <w:szCs w:val="32"/>
          <w:lang w:val="en-US" w:eastAsia="zh-CN" w:bidi="ar"/>
        </w:rPr>
        <w:t>0.89</w:t>
      </w:r>
      <w:r>
        <w:rPr>
          <w:rFonts w:hint="eastAsia" w:ascii="仿宋_GB2312" w:eastAsia="仿宋_GB2312" w:cs="仿宋_GB2312" w:hAnsiTheme="minorEastAsia"/>
          <w:kern w:val="0"/>
          <w:sz w:val="32"/>
          <w:szCs w:val="32"/>
          <w:lang w:val="en-US" w:eastAsia="zh-CN" w:bidi="ar"/>
        </w:rPr>
        <w:t>%。</w:t>
      </w:r>
      <w:r>
        <w:rPr>
          <w:rFonts w:hint="eastAsia"/>
          <w:lang w:val="en-US" w:eastAsia="zh-CN"/>
        </w:rPr>
        <w:t xml:space="preserve"> </w:t>
      </w:r>
    </w:p>
    <w:p w14:paraId="55F002E5">
      <w:pPr>
        <w:pStyle w:val="12"/>
        <w:keepNext w:val="0"/>
        <w:keepLines w:val="0"/>
        <w:pageBreakBefore w:val="0"/>
        <w:widowControl w:val="0"/>
        <w:numPr>
          <w:ilvl w:val="0"/>
          <w:numId w:val="0"/>
        </w:numPr>
        <w:suppressLineNumbers w:val="0"/>
        <w:kinsoku/>
        <w:wordWrap/>
        <w:overflowPunct/>
        <w:topLinePunct w:val="0"/>
        <w:bidi w:val="0"/>
        <w:snapToGrid/>
        <w:spacing w:before="0" w:beforeAutospacing="0"/>
        <w:ind w:leftChars="100" w:right="0" w:rightChars="0" w:firstLine="480" w:firstLineChars="200"/>
        <w:jc w:val="left"/>
        <w:rPr>
          <w:rFonts w:hint="eastAsia"/>
          <w:lang w:val="en-US" w:eastAsia="zh-CN"/>
        </w:rPr>
      </w:pPr>
      <w:r>
        <w:rPr>
          <w:rFonts w:hint="eastAsia"/>
          <w:lang w:val="en-US" w:eastAsia="zh-CN"/>
        </w:rPr>
        <w:t xml:space="preserve"> </w:t>
      </w:r>
      <w:r>
        <w:drawing>
          <wp:inline distT="0" distB="0" distL="114300" distR="114300">
            <wp:extent cx="4765675" cy="2444750"/>
            <wp:effectExtent l="6350" t="6350" r="9525" b="6350"/>
            <wp:docPr id="1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D415A1">
      <w:pPr>
        <w:keepNext w:val="0"/>
        <w:keepLines w:val="0"/>
        <w:pageBreakBefore w:val="0"/>
        <w:widowControl w:val="0"/>
        <w:kinsoku/>
        <w:wordWrap/>
        <w:overflowPunct/>
        <w:topLinePunct w:val="0"/>
        <w:autoSpaceDE/>
        <w:autoSpaceDN/>
        <w:bidi w:val="0"/>
        <w:adjustRightInd/>
        <w:snapToGrid/>
        <w:spacing w:afterAutospacing="0" w:line="576" w:lineRule="exact"/>
        <w:ind w:left="0" w:firstLine="640" w:firstLineChars="200"/>
        <w:textAlignment w:val="auto"/>
        <w:rPr>
          <w:rFonts w:hint="eastAsia" w:ascii="仿宋_GB2312" w:eastAsia="仿宋_GB2312" w:cs="仿宋_GB2312" w:hAnsiTheme="minorEastAsia"/>
          <w:bCs/>
          <w:color w:val="000000"/>
          <w:kern w:val="0"/>
          <w:sz w:val="32"/>
          <w:szCs w:val="32"/>
          <w:lang w:val="en-US" w:eastAsia="zh-CN" w:bidi="ar"/>
        </w:rPr>
      </w:pPr>
      <w:r>
        <w:rPr>
          <w:rFonts w:hint="eastAsia" w:ascii="黑体" w:hAnsi="黑体" w:eastAsia="黑体" w:cs="黑体"/>
          <w:bCs/>
          <w:sz w:val="32"/>
          <w:szCs w:val="32"/>
          <w:lang w:val="en-US" w:eastAsia="zh-CN"/>
        </w:rPr>
        <w:t>（三）一般公共预算财政拨款支出决算具体情况</w:t>
      </w:r>
    </w:p>
    <w:p w14:paraId="6A8D1267">
      <w:pPr>
        <w:pStyle w:val="12"/>
        <w:keepNext w:val="0"/>
        <w:keepLines w:val="0"/>
        <w:pageBreakBefore w:val="0"/>
        <w:widowControl w:val="0"/>
        <w:numPr>
          <w:ilvl w:val="0"/>
          <w:numId w:val="0"/>
        </w:numPr>
        <w:suppressLineNumbers w:val="0"/>
        <w:kinsoku/>
        <w:wordWrap/>
        <w:overflowPunct/>
        <w:topLinePunct w:val="0"/>
        <w:bidi w:val="0"/>
        <w:snapToGrid/>
        <w:spacing w:before="0" w:beforeAutospacing="0" w:afterAutospacing="0" w:line="576" w:lineRule="exact"/>
        <w:ind w:left="0" w:leftChars="0" w:right="0" w:rightChars="0" w:firstLine="640" w:firstLineChars="200"/>
        <w:jc w:val="left"/>
        <w:textAlignment w:val="auto"/>
        <w:rPr>
          <w:rFonts w:hint="eastAsia" w:ascii="仿宋_GB2312" w:eastAsia="仿宋_GB2312" w:cs="仿宋_GB2312" w:hAnsiTheme="minorEastAsia"/>
          <w:bCs/>
          <w:color w:val="000000"/>
          <w:kern w:val="0"/>
          <w:sz w:val="32"/>
          <w:szCs w:val="32"/>
          <w:lang w:val="en-US" w:eastAsia="zh-CN" w:bidi="ar"/>
        </w:rPr>
      </w:pPr>
      <w:r>
        <w:rPr>
          <w:rFonts w:hint="eastAsia" w:ascii="仿宋_GB2312" w:eastAsia="仿宋_GB2312" w:cs="仿宋_GB2312" w:hAnsiTheme="minorEastAsia"/>
          <w:bCs/>
          <w:color w:val="000000"/>
          <w:kern w:val="0"/>
          <w:sz w:val="32"/>
          <w:szCs w:val="32"/>
          <w:lang w:val="en-US" w:eastAsia="zh-CN" w:bidi="ar"/>
        </w:rPr>
        <w:t>202</w:t>
      </w:r>
      <w:r>
        <w:rPr>
          <w:rFonts w:hint="eastAsia" w:ascii="仿宋_GB2312" w:eastAsia="仿宋_GB2312" w:cs="仿宋_GB2312"/>
          <w:bCs/>
          <w:color w:val="000000"/>
          <w:kern w:val="0"/>
          <w:sz w:val="32"/>
          <w:szCs w:val="32"/>
          <w:lang w:val="en-US" w:eastAsia="zh-CN" w:bidi="ar"/>
        </w:rPr>
        <w:t>4</w:t>
      </w:r>
      <w:r>
        <w:rPr>
          <w:rFonts w:hint="eastAsia" w:ascii="仿宋_GB2312" w:eastAsia="仿宋_GB2312" w:cs="仿宋_GB2312" w:hAnsiTheme="minorEastAsia"/>
          <w:bCs/>
          <w:color w:val="000000"/>
          <w:kern w:val="0"/>
          <w:sz w:val="32"/>
          <w:szCs w:val="32"/>
          <w:lang w:val="en-US" w:eastAsia="zh-CN" w:bidi="ar"/>
        </w:rPr>
        <w:t>年</w:t>
      </w:r>
      <w:r>
        <w:rPr>
          <w:rFonts w:hint="eastAsia" w:ascii="仿宋_GB2312" w:eastAsia="仿宋_GB2312" w:cs="仿宋_GB2312"/>
          <w:bCs/>
          <w:color w:val="000000"/>
          <w:kern w:val="0"/>
          <w:sz w:val="32"/>
          <w:szCs w:val="32"/>
          <w:lang w:val="en-US" w:eastAsia="zh-CN" w:bidi="ar"/>
        </w:rPr>
        <w:t>度</w:t>
      </w:r>
      <w:r>
        <w:rPr>
          <w:rFonts w:hint="eastAsia" w:ascii="仿宋_GB2312" w:eastAsia="仿宋_GB2312" w:cs="仿宋_GB2312" w:hAnsiTheme="minorEastAsia"/>
          <w:bCs/>
          <w:color w:val="000000"/>
          <w:kern w:val="0"/>
          <w:sz w:val="32"/>
          <w:szCs w:val="32"/>
          <w:lang w:val="en-US" w:eastAsia="zh-CN" w:bidi="ar"/>
        </w:rPr>
        <w:t>一般公共预算支出决算数为</w:t>
      </w:r>
      <w:r>
        <w:rPr>
          <w:rFonts w:hint="eastAsia" w:ascii="仿宋_GB2312" w:eastAsia="仿宋_GB2312" w:cs="仿宋_GB2312"/>
          <w:bCs/>
          <w:color w:val="000000"/>
          <w:kern w:val="0"/>
          <w:sz w:val="32"/>
          <w:szCs w:val="32"/>
          <w:lang w:val="en-US" w:eastAsia="zh-CN" w:bidi="ar"/>
        </w:rPr>
        <w:t>355.59万元</w:t>
      </w:r>
      <w:r>
        <w:rPr>
          <w:rFonts w:hint="eastAsia" w:ascii="仿宋_GB2312" w:eastAsia="仿宋_GB2312" w:cs="仿宋_GB2312" w:hAnsiTheme="minorEastAsia"/>
          <w:bCs/>
          <w:color w:val="000000"/>
          <w:kern w:val="0"/>
          <w:sz w:val="32"/>
          <w:szCs w:val="32"/>
          <w:lang w:val="en-US" w:eastAsia="zh-CN" w:bidi="ar"/>
        </w:rPr>
        <w:t>，完成预算100.00%。其中：</w:t>
      </w:r>
    </w:p>
    <w:p w14:paraId="42B6F1E5">
      <w:pPr>
        <w:pStyle w:val="17"/>
        <w:keepNext w:val="0"/>
        <w:keepLines w:val="0"/>
        <w:pageBreakBefore w:val="0"/>
        <w:widowControl w:val="0"/>
        <w:kinsoku/>
        <w:wordWrap/>
        <w:overflowPunct/>
        <w:topLinePunct w:val="0"/>
        <w:bidi w:val="0"/>
        <w:snapToGrid/>
        <w:spacing w:afterAutospacing="0" w:line="576" w:lineRule="exact"/>
        <w:ind w:left="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1.科学技术支出（206）科学技术管理事务（01）其他科学技术管理事务支出（99）支出决算为30.02万元，完成预算100%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sz w:val="32"/>
          <w:szCs w:val="32"/>
          <w:lang w:val="en-US" w:eastAsia="zh-CN"/>
        </w:rPr>
        <w:t>。</w:t>
      </w:r>
    </w:p>
    <w:p w14:paraId="095ACCB2">
      <w:pPr>
        <w:pStyle w:val="17"/>
        <w:keepNext w:val="0"/>
        <w:keepLines w:val="0"/>
        <w:pageBreakBefore w:val="0"/>
        <w:widowControl w:val="0"/>
        <w:kinsoku/>
        <w:wordWrap/>
        <w:overflowPunct/>
        <w:topLinePunct w:val="0"/>
        <w:bidi w:val="0"/>
        <w:snapToGrid/>
        <w:spacing w:line="576" w:lineRule="exact"/>
        <w:ind w:left="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2.科学技术支出（206）技术研究与开发（04）科技成果转化与扩散（04）：支出决算为15.12万元，完成预算100%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sz w:val="32"/>
          <w:szCs w:val="32"/>
          <w:lang w:val="en-US" w:eastAsia="zh-CN"/>
        </w:rPr>
        <w:t xml:space="preserve">。      </w:t>
      </w:r>
    </w:p>
    <w:p w14:paraId="5A98B20F">
      <w:pPr>
        <w:pStyle w:val="17"/>
        <w:keepNext w:val="0"/>
        <w:keepLines w:val="0"/>
        <w:pageBreakBefore w:val="0"/>
        <w:widowControl w:val="0"/>
        <w:kinsoku/>
        <w:wordWrap/>
        <w:overflowPunct/>
        <w:topLinePunct w:val="0"/>
        <w:bidi w:val="0"/>
        <w:snapToGrid/>
        <w:spacing w:line="576" w:lineRule="exact"/>
        <w:ind w:left="0" w:firstLine="640" w:firstLineChars="200"/>
        <w:textAlignment w:val="auto"/>
        <w:outlineLvl w:val="9"/>
        <w:rPr>
          <w:rFonts w:hint="eastAsia" w:ascii="仿宋_GB2312" w:eastAsia="仿宋_GB2312" w:cs="仿宋_GB2312"/>
          <w:bCs/>
          <w:color w:val="000000"/>
          <w:sz w:val="32"/>
          <w:szCs w:val="32"/>
        </w:rPr>
      </w:pPr>
      <w:r>
        <w:rPr>
          <w:rFonts w:hint="eastAsia" w:ascii="仿宋_GB2312" w:eastAsia="仿宋_GB2312"/>
          <w:sz w:val="32"/>
          <w:szCs w:val="32"/>
          <w:lang w:val="en-US" w:eastAsia="zh-CN"/>
        </w:rPr>
        <w:t>3.科学技术支出（206）科技重大项目（09）重点研发计划</w:t>
      </w:r>
      <w:r>
        <w:rPr>
          <w:rFonts w:hint="eastAsia" w:ascii="仿宋_GB2312" w:eastAsia="仿宋_GB2312" w:cs="仿宋_GB2312"/>
          <w:bCs/>
          <w:sz w:val="32"/>
          <w:szCs w:val="32"/>
          <w:lang w:val="en-US" w:eastAsia="zh-CN"/>
        </w:rPr>
        <w:t>支出（</w:t>
      </w:r>
      <w:r>
        <w:rPr>
          <w:rFonts w:hint="eastAsia" w:ascii="仿宋_GB2312" w:eastAsia="仿宋_GB2312" w:cs="仿宋_GB2312"/>
          <w:bCs/>
          <w:color w:val="000000"/>
          <w:sz w:val="32"/>
          <w:szCs w:val="32"/>
          <w:lang w:val="en-US" w:eastAsia="zh-CN"/>
        </w:rPr>
        <w:t>02</w:t>
      </w:r>
      <w:r>
        <w:rPr>
          <w:rFonts w:hint="eastAsia" w:ascii="仿宋_GB2312" w:eastAsia="仿宋_GB2312" w:cs="仿宋_GB2312"/>
          <w:bCs/>
          <w:color w:val="000000"/>
          <w:sz w:val="32"/>
          <w:szCs w:val="32"/>
        </w:rPr>
        <w:t>）：支出决算为</w:t>
      </w:r>
      <w:r>
        <w:rPr>
          <w:rFonts w:hint="eastAsia" w:ascii="仿宋_GB2312" w:eastAsia="仿宋_GB2312" w:cs="仿宋_GB2312"/>
          <w:bCs/>
          <w:color w:val="000000"/>
          <w:sz w:val="32"/>
          <w:szCs w:val="32"/>
          <w:lang w:val="en-US" w:eastAsia="zh-CN"/>
        </w:rPr>
        <w:t>210.00</w:t>
      </w:r>
      <w:r>
        <w:rPr>
          <w:rFonts w:hint="eastAsia" w:ascii="仿宋_GB2312" w:eastAsia="仿宋_GB2312" w:cs="仿宋_GB2312"/>
          <w:bCs/>
          <w:color w:val="000000"/>
          <w:sz w:val="32"/>
          <w:szCs w:val="32"/>
        </w:rPr>
        <w:t>万元，完成预算</w:t>
      </w:r>
      <w:r>
        <w:rPr>
          <w:rFonts w:hint="eastAsia" w:ascii="仿宋_GB2312" w:eastAsia="仿宋_GB2312" w:cs="仿宋_GB2312"/>
          <w:bCs/>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rPr>
        <w:t>。</w:t>
      </w:r>
    </w:p>
    <w:p w14:paraId="4F6545BA">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eastAsia="仿宋_GB2312" w:cs="仿宋_GB2312"/>
          <w:bCs/>
          <w:sz w:val="32"/>
          <w:szCs w:val="32"/>
          <w:highlight w:val="none"/>
        </w:rPr>
      </w:pPr>
      <w:r>
        <w:rPr>
          <w:rFonts w:hint="eastAsia" w:ascii="仿宋_GB2312" w:eastAsia="仿宋_GB2312" w:cs="仿宋_GB2312"/>
          <w:bCs/>
          <w:color w:val="000000"/>
          <w:sz w:val="32"/>
          <w:szCs w:val="32"/>
          <w:lang w:val="en-US" w:eastAsia="zh-CN"/>
        </w:rPr>
        <w:t>4</w:t>
      </w:r>
      <w:r>
        <w:rPr>
          <w:rFonts w:hint="eastAsia" w:ascii="仿宋_GB2312" w:eastAsia="仿宋_GB2312" w:cs="仿宋_GB2312"/>
          <w:bCs/>
          <w:color w:val="000000"/>
          <w:sz w:val="32"/>
          <w:szCs w:val="32"/>
        </w:rPr>
        <w:t>.科学技术支出（206）其他科学技术支出（</w:t>
      </w:r>
      <w:r>
        <w:rPr>
          <w:rFonts w:hint="eastAsia" w:ascii="仿宋_GB2312" w:eastAsia="仿宋_GB2312" w:cs="仿宋_GB2312"/>
          <w:bCs/>
          <w:color w:val="000000"/>
          <w:sz w:val="32"/>
          <w:szCs w:val="32"/>
          <w:lang w:val="en-US" w:eastAsia="zh-CN"/>
        </w:rPr>
        <w:t>99</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其他科学技术支出</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99</w:t>
      </w:r>
      <w:r>
        <w:rPr>
          <w:rFonts w:hint="eastAsia" w:ascii="仿宋_GB2312" w:eastAsia="仿宋_GB2312" w:cs="仿宋_GB2312"/>
          <w:bCs/>
          <w:color w:val="000000"/>
          <w:sz w:val="32"/>
          <w:szCs w:val="32"/>
        </w:rPr>
        <w:t>）：支出决算为</w:t>
      </w:r>
      <w:r>
        <w:rPr>
          <w:rFonts w:hint="eastAsia" w:ascii="仿宋_GB2312" w:eastAsia="仿宋_GB2312" w:cs="仿宋_GB2312"/>
          <w:bCs/>
          <w:color w:val="000000"/>
          <w:sz w:val="32"/>
          <w:szCs w:val="32"/>
          <w:lang w:val="en-US" w:eastAsia="zh-CN"/>
        </w:rPr>
        <w:t>89.19</w:t>
      </w:r>
      <w:r>
        <w:rPr>
          <w:rFonts w:hint="eastAsia" w:ascii="仿宋_GB2312" w:eastAsia="仿宋_GB2312" w:cs="仿宋_GB2312"/>
          <w:bCs/>
          <w:color w:val="000000"/>
          <w:sz w:val="32"/>
          <w:szCs w:val="32"/>
        </w:rPr>
        <w:t>万元，完成预算</w:t>
      </w:r>
      <w:r>
        <w:rPr>
          <w:rFonts w:hint="eastAsia" w:ascii="仿宋_GB2312" w:eastAsia="仿宋_GB2312" w:cs="仿宋_GB2312"/>
          <w:bCs/>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highlight w:val="none"/>
        </w:rPr>
        <w:t xml:space="preserve"> </w:t>
      </w:r>
    </w:p>
    <w:p w14:paraId="2FBB227D">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ascii="仿宋_GB2312" w:eastAsia="仿宋_GB2312" w:cs="仿宋_GB2312"/>
          <w:bCs/>
          <w:sz w:val="32"/>
          <w:szCs w:val="32"/>
        </w:rPr>
      </w:pPr>
      <w:r>
        <w:rPr>
          <w:rFonts w:hint="eastAsia" w:ascii="仿宋_GB2312" w:eastAsia="仿宋_GB2312" w:cs="仿宋_GB2312"/>
          <w:bCs/>
          <w:sz w:val="32"/>
          <w:szCs w:val="32"/>
          <w:highlight w:val="none"/>
          <w:lang w:val="en-US" w:eastAsia="zh-CN"/>
        </w:rPr>
        <w:t>5</w:t>
      </w:r>
      <w:r>
        <w:rPr>
          <w:rFonts w:hint="eastAsia" w:ascii="仿宋_GB2312" w:eastAsia="仿宋_GB2312" w:cs="仿宋_GB2312"/>
          <w:bCs/>
          <w:sz w:val="32"/>
          <w:szCs w:val="32"/>
          <w:highlight w:val="none"/>
        </w:rPr>
        <w:t>.社会保障和就业支出（208）行政事业单位</w:t>
      </w:r>
      <w:r>
        <w:rPr>
          <w:rFonts w:hint="eastAsia" w:ascii="仿宋_GB2312" w:eastAsia="仿宋_GB2312" w:cs="仿宋_GB2312"/>
          <w:bCs/>
          <w:sz w:val="32"/>
          <w:szCs w:val="32"/>
          <w:highlight w:val="none"/>
          <w:lang w:val="en-US" w:eastAsia="zh-CN"/>
        </w:rPr>
        <w:t>养老支出</w:t>
      </w:r>
      <w:r>
        <w:rPr>
          <w:rFonts w:hint="eastAsia" w:ascii="仿宋_GB2312" w:eastAsia="仿宋_GB2312" w:cs="仿宋_GB2312"/>
          <w:bCs/>
          <w:sz w:val="32"/>
          <w:szCs w:val="32"/>
          <w:highlight w:val="none"/>
        </w:rPr>
        <w:t>（05）</w:t>
      </w:r>
      <w:r>
        <w:rPr>
          <w:rFonts w:hint="eastAsia" w:ascii="仿宋_GB2312" w:eastAsia="仿宋_GB2312" w:cs="仿宋_GB2312"/>
          <w:bCs/>
          <w:sz w:val="32"/>
          <w:szCs w:val="32"/>
        </w:rPr>
        <w:t>机关事业单位基本养老保险缴费支出（05）</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3.82</w:t>
      </w:r>
      <w:r>
        <w:rPr>
          <w:rFonts w:hint="eastAsia" w:ascii="仿宋_GB2312" w:eastAsia="仿宋_GB2312" w:cs="仿宋_GB2312"/>
          <w:sz w:val="32"/>
          <w:szCs w:val="32"/>
        </w:rPr>
        <w:t>万元，完成预算100</w:t>
      </w:r>
      <w:r>
        <w:rPr>
          <w:rFonts w:ascii="仿宋_GB2312" w:eastAsia="仿宋_GB2312" w:cs="仿宋_GB2312"/>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sz w:val="32"/>
          <w:szCs w:val="32"/>
        </w:rPr>
        <w:t>。</w:t>
      </w:r>
    </w:p>
    <w:p w14:paraId="58D98256">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ascii="仿宋_GB2312" w:eastAsia="仿宋_GB2312"/>
          <w:sz w:val="32"/>
          <w:szCs w:val="32"/>
        </w:rPr>
      </w:pPr>
      <w:r>
        <w:rPr>
          <w:rFonts w:hint="eastAsia" w:ascii="仿宋_GB2312" w:eastAsia="仿宋_GB2312" w:cs="仿宋_GB2312"/>
          <w:bCs/>
          <w:sz w:val="32"/>
          <w:szCs w:val="32"/>
          <w:lang w:val="en-US" w:eastAsia="zh-CN"/>
        </w:rPr>
        <w:t>6</w:t>
      </w:r>
      <w:r>
        <w:rPr>
          <w:rFonts w:ascii="仿宋_GB2312" w:eastAsia="仿宋_GB2312" w:cs="仿宋_GB2312"/>
          <w:bCs/>
          <w:sz w:val="32"/>
          <w:szCs w:val="32"/>
        </w:rPr>
        <w:t>.</w:t>
      </w:r>
      <w:r>
        <w:rPr>
          <w:rFonts w:hint="eastAsia" w:ascii="仿宋_GB2312" w:eastAsia="仿宋_GB2312" w:cs="仿宋_GB2312"/>
          <w:bCs/>
          <w:sz w:val="32"/>
          <w:szCs w:val="32"/>
        </w:rPr>
        <w:t>社会保障和就业支出（208）</w:t>
      </w:r>
      <w:r>
        <w:rPr>
          <w:rFonts w:hint="eastAsia" w:ascii="仿宋_GB2312" w:eastAsia="仿宋_GB2312" w:cs="仿宋_GB2312"/>
          <w:bCs/>
          <w:sz w:val="32"/>
          <w:szCs w:val="32"/>
          <w:highlight w:val="none"/>
        </w:rPr>
        <w:t>行政事业单位</w:t>
      </w:r>
      <w:r>
        <w:rPr>
          <w:rFonts w:hint="eastAsia" w:ascii="仿宋_GB2312" w:eastAsia="仿宋_GB2312" w:cs="仿宋_GB2312"/>
          <w:bCs/>
          <w:sz w:val="32"/>
          <w:szCs w:val="32"/>
          <w:highlight w:val="none"/>
          <w:lang w:val="en-US" w:eastAsia="zh-CN"/>
        </w:rPr>
        <w:t>养老支出</w:t>
      </w:r>
      <w:r>
        <w:rPr>
          <w:rFonts w:hint="eastAsia" w:ascii="仿宋_GB2312" w:eastAsia="仿宋_GB2312" w:cs="仿宋_GB2312"/>
          <w:bCs/>
          <w:sz w:val="32"/>
          <w:szCs w:val="32"/>
        </w:rPr>
        <w:t>（05）机关事业单位职业年金缴费支出（06）</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1.91</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sz w:val="32"/>
          <w:szCs w:val="32"/>
        </w:rPr>
        <w:t>。</w:t>
      </w:r>
    </w:p>
    <w:p w14:paraId="6F3986C7">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bCs/>
          <w:sz w:val="32"/>
          <w:szCs w:val="32"/>
          <w:lang w:val="en-US" w:eastAsia="zh-CN"/>
        </w:rPr>
        <w:t>7</w:t>
      </w:r>
      <w:r>
        <w:rPr>
          <w:rFonts w:ascii="仿宋_GB2312" w:eastAsia="仿宋_GB2312" w:cs="仿宋_GB2312"/>
          <w:bCs/>
          <w:sz w:val="32"/>
          <w:szCs w:val="32"/>
        </w:rPr>
        <w:t>.</w:t>
      </w:r>
      <w:r>
        <w:rPr>
          <w:rFonts w:hint="eastAsia" w:ascii="仿宋_GB2312" w:eastAsia="仿宋_GB2312" w:cs="仿宋_GB2312"/>
          <w:bCs/>
          <w:sz w:val="32"/>
          <w:szCs w:val="32"/>
        </w:rPr>
        <w:t>卫生健康支出（210）行政事业单位医疗（11）事业单位医疗（02）</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2.36</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sz w:val="32"/>
          <w:szCs w:val="32"/>
        </w:rPr>
        <w:t>。</w:t>
      </w:r>
    </w:p>
    <w:p w14:paraId="4A71C99E">
      <w:pPr>
        <w:keepNext w:val="0"/>
        <w:keepLines w:val="0"/>
        <w:pageBreakBefore w:val="0"/>
        <w:widowControl w:val="0"/>
        <w:kinsoku/>
        <w:wordWrap/>
        <w:overflowPunct/>
        <w:topLinePunct w:val="0"/>
        <w:autoSpaceDE/>
        <w:autoSpaceDN/>
        <w:bidi w:val="0"/>
        <w:adjustRightInd/>
        <w:snapToGrid/>
        <w:spacing w:afterAutospacing="0" w:line="576"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bCs/>
          <w:sz w:val="32"/>
          <w:szCs w:val="32"/>
          <w:lang w:val="en-US" w:eastAsia="zh-CN"/>
        </w:rPr>
        <w:t>8</w:t>
      </w:r>
      <w:r>
        <w:rPr>
          <w:rFonts w:hint="eastAsia" w:ascii="仿宋_GB2312" w:eastAsia="仿宋_GB2312" w:cs="仿宋_GB2312"/>
          <w:bCs/>
          <w:sz w:val="32"/>
          <w:szCs w:val="32"/>
        </w:rPr>
        <w:t>.住房保障支出（221）住房改革支出（02）住房公积金（01）</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3.17</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sz w:val="32"/>
          <w:szCs w:val="32"/>
        </w:rPr>
        <w:t>。</w:t>
      </w:r>
    </w:p>
    <w:p w14:paraId="3096B7E5">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1"/>
      </w:pPr>
      <w:bookmarkStart w:id="38" w:name="_Toc25196"/>
      <w:r>
        <w:rPr>
          <w:rFonts w:hint="eastAsia" w:ascii="黑体" w:hAnsi="黑体" w:eastAsia="黑体" w:cs="黑体"/>
          <w:sz w:val="32"/>
          <w:szCs w:val="32"/>
          <w:shd w:val="clear" w:fill="FFFFFF"/>
        </w:rPr>
        <w:t>六、一般公共预算财政拨款基本支出决算情况说明  </w:t>
      </w:r>
      <w:r>
        <w:rPr>
          <w:shd w:val="clear" w:fill="FFFFFF"/>
        </w:rPr>
        <w:t> </w:t>
      </w:r>
      <w:bookmarkEnd w:id="38"/>
    </w:p>
    <w:p w14:paraId="2655F9A6">
      <w:pPr>
        <w:keepNext w:val="0"/>
        <w:keepLines w:val="0"/>
        <w:pageBreakBefore w:val="0"/>
        <w:widowControl w:val="0"/>
        <w:kinsoku/>
        <w:wordWrap/>
        <w:overflowPunct/>
        <w:topLinePunct w:val="0"/>
        <w:autoSpaceDE/>
        <w:autoSpaceDN/>
        <w:bidi w:val="0"/>
        <w:adjustRightInd/>
        <w:snapToGrid/>
        <w:spacing w:afterAutospacing="0" w:line="576" w:lineRule="exact"/>
        <w:ind w:left="0"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2024年度一般公共预算财政拨款基本支出41.28万元，其中：</w:t>
      </w:r>
    </w:p>
    <w:p w14:paraId="5962538C">
      <w:pPr>
        <w:keepNext w:val="0"/>
        <w:keepLines w:val="0"/>
        <w:pageBreakBefore w:val="0"/>
        <w:widowControl w:val="0"/>
        <w:kinsoku/>
        <w:wordWrap/>
        <w:overflowPunct/>
        <w:topLinePunct w:val="0"/>
        <w:autoSpaceDE/>
        <w:autoSpaceDN/>
        <w:bidi w:val="0"/>
        <w:adjustRightInd/>
        <w:snapToGrid/>
        <w:spacing w:afterAutospacing="0" w:line="576" w:lineRule="exact"/>
        <w:ind w:left="0"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人员经费39.68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48EA2421">
      <w:pPr>
        <w:keepNext w:val="0"/>
        <w:keepLines w:val="0"/>
        <w:pageBreakBefore w:val="0"/>
        <w:widowControl w:val="0"/>
        <w:kinsoku/>
        <w:wordWrap/>
        <w:overflowPunct/>
        <w:topLinePunct w:val="0"/>
        <w:autoSpaceDE/>
        <w:autoSpaceDN/>
        <w:bidi w:val="0"/>
        <w:adjustRightInd/>
        <w:snapToGrid/>
        <w:spacing w:afterAutospacing="0" w:line="576" w:lineRule="exact"/>
        <w:ind w:left="0"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公用经费1.60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A2E818E">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1"/>
        <w:rPr>
          <w:rFonts w:hint="eastAsia" w:ascii="黑体" w:hAnsi="黑体" w:eastAsia="黑体" w:cs="黑体"/>
          <w:sz w:val="32"/>
          <w:szCs w:val="32"/>
          <w:shd w:val="clear" w:fill="FFFFFF"/>
        </w:rPr>
      </w:pPr>
      <w:bookmarkStart w:id="39" w:name="_Toc3556"/>
      <w:r>
        <w:rPr>
          <w:rFonts w:hint="eastAsia" w:ascii="黑体" w:hAnsi="黑体" w:eastAsia="黑体" w:cs="黑体"/>
          <w:sz w:val="32"/>
          <w:szCs w:val="32"/>
          <w:shd w:val="clear" w:fill="FFFFFF"/>
        </w:rPr>
        <w:t>七、“三公”经费财政拨款支出决算情况说明</w:t>
      </w:r>
      <w:bookmarkEnd w:id="39"/>
    </w:p>
    <w:p w14:paraId="7FF7B93D">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rPr>
          <w:rFonts w:hint="eastAsia" w:ascii="黑体" w:hAnsi="黑体" w:eastAsia="黑体" w:cs="黑体"/>
          <w:sz w:val="32"/>
          <w:szCs w:val="32"/>
          <w:shd w:val="clear" w:fill="FFFFFF"/>
        </w:rPr>
      </w:pPr>
      <w:r>
        <w:rPr>
          <w:rFonts w:hint="eastAsia" w:ascii="黑体" w:hAnsi="黑体" w:eastAsia="黑体" w:cs="黑体"/>
          <w:sz w:val="32"/>
          <w:szCs w:val="32"/>
          <w:shd w:val="clear" w:fill="FFFFFF"/>
        </w:rPr>
        <w:t>（一）“三公”经费财政拨款支出决算总体情况说明</w:t>
      </w:r>
    </w:p>
    <w:p w14:paraId="25929F01">
      <w:pPr>
        <w:keepNext w:val="0"/>
        <w:keepLines w:val="0"/>
        <w:pageBreakBefore w:val="0"/>
        <w:widowControl w:val="0"/>
        <w:kinsoku/>
        <w:wordWrap/>
        <w:overflowPunct/>
        <w:topLinePunct w:val="0"/>
        <w:bidi w:val="0"/>
        <w:snapToGrid/>
        <w:spacing w:line="576" w:lineRule="exact"/>
        <w:ind w:left="0"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2024年度“三公”经费财政拨款支出决算为0.03万元，完成预算100%，</w:t>
      </w:r>
      <w:r>
        <w:rPr>
          <w:rFonts w:hint="eastAsia" w:ascii="仿宋_GB2312" w:eastAsia="仿宋_GB2312" w:cs="仿宋_GB2312"/>
          <w:bCs/>
          <w:kern w:val="2"/>
          <w:sz w:val="32"/>
          <w:szCs w:val="32"/>
          <w:lang w:val="en-US" w:eastAsia="zh-CN" w:bidi="ar-SA"/>
        </w:rPr>
        <w:t>较2023年无变化</w:t>
      </w:r>
      <w:r>
        <w:rPr>
          <w:rFonts w:ascii="仿宋" w:hAnsi="Times New Roman" w:eastAsia="仿宋" w:cs="Times New Roman"/>
          <w:color w:val="000000"/>
          <w:sz w:val="32"/>
          <w:szCs w:val="32"/>
        </w:rPr>
        <w:t>。</w:t>
      </w:r>
    </w:p>
    <w:p w14:paraId="2A827187">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rPr>
          <w:rFonts w:hint="eastAsia" w:ascii="黑体" w:hAnsi="黑体" w:eastAsia="黑体" w:cs="黑体"/>
          <w:sz w:val="32"/>
          <w:szCs w:val="32"/>
          <w:shd w:val="clear" w:fill="FFFFFF"/>
        </w:rPr>
      </w:pPr>
      <w:r>
        <w:rPr>
          <w:rFonts w:hint="eastAsia" w:ascii="黑体" w:hAnsi="黑体" w:eastAsia="黑体" w:cs="黑体"/>
          <w:sz w:val="32"/>
          <w:szCs w:val="32"/>
          <w:shd w:val="clear" w:fill="FFFFFF"/>
        </w:rPr>
        <w:t>（二）“三公”经费财政拨款支出决算具体情况说明</w:t>
      </w:r>
    </w:p>
    <w:p w14:paraId="7BA5D51A">
      <w:pPr>
        <w:keepNext w:val="0"/>
        <w:keepLines w:val="0"/>
        <w:pageBreakBefore w:val="0"/>
        <w:widowControl w:val="0"/>
        <w:kinsoku/>
        <w:wordWrap/>
        <w:overflowPunct/>
        <w:topLinePunct w:val="0"/>
        <w:autoSpaceDE/>
        <w:autoSpaceDN/>
        <w:bidi w:val="0"/>
        <w:adjustRightInd/>
        <w:snapToGrid/>
        <w:spacing w:afterAutospacing="0" w:line="576" w:lineRule="exact"/>
        <w:ind w:left="0" w:firstLine="640" w:firstLineChars="200"/>
        <w:jc w:val="left"/>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2024年度“三公”经费财政拨款支出决算中，因公出国（境）费支出决算0万元，</w:t>
      </w:r>
      <w:r>
        <w:rPr>
          <w:rFonts w:hint="eastAsia" w:ascii="仿宋_GB2312" w:eastAsia="仿宋_GB2312" w:cs="仿宋_GB2312"/>
          <w:bCs/>
          <w:kern w:val="2"/>
          <w:sz w:val="32"/>
          <w:szCs w:val="32"/>
          <w:lang w:val="en-US" w:eastAsia="zh-CN" w:bidi="ar-SA"/>
        </w:rPr>
        <w:t>较2023年无变化</w:t>
      </w:r>
      <w:r>
        <w:rPr>
          <w:rFonts w:hint="eastAsia" w:ascii="仿宋_GB2312" w:eastAsia="仿宋_GB2312" w:cs="仿宋_GB2312"/>
          <w:bCs/>
          <w:sz w:val="32"/>
          <w:szCs w:val="32"/>
          <w:lang w:val="en-US" w:eastAsia="zh-CN"/>
        </w:rPr>
        <w:t>；</w:t>
      </w:r>
      <w:r>
        <w:rPr>
          <w:rFonts w:ascii="仿宋_GB2312" w:eastAsia="仿宋_GB2312" w:cs="仿宋_GB2312"/>
          <w:bCs/>
          <w:kern w:val="0"/>
          <w:sz w:val="32"/>
          <w:szCs w:val="32"/>
          <w:lang w:val="en-US" w:eastAsia="zh-CN"/>
        </w:rPr>
        <w:t>公务用车购置</w:t>
      </w:r>
      <w:r>
        <w:rPr>
          <w:rFonts w:hint="eastAsia" w:ascii="仿宋_GB2312" w:eastAsia="仿宋_GB2312" w:cs="仿宋_GB2312"/>
          <w:bCs/>
          <w:kern w:val="0"/>
          <w:sz w:val="32"/>
          <w:szCs w:val="32"/>
          <w:lang w:val="en-US" w:eastAsia="zh-CN"/>
        </w:rPr>
        <w:t>及</w:t>
      </w:r>
      <w:r>
        <w:rPr>
          <w:rFonts w:ascii="仿宋_GB2312" w:eastAsia="仿宋_GB2312" w:cs="仿宋_GB2312"/>
          <w:bCs/>
          <w:kern w:val="0"/>
          <w:sz w:val="32"/>
          <w:szCs w:val="32"/>
          <w:lang w:val="en-US" w:eastAsia="zh-CN"/>
        </w:rPr>
        <w:t>运行维护费支出决算</w:t>
      </w:r>
      <w:r>
        <w:rPr>
          <w:rFonts w:hint="eastAsia" w:ascii="仿宋_GB2312" w:eastAsia="仿宋_GB2312" w:cs="仿宋_GB2312"/>
          <w:bCs/>
          <w:kern w:val="0"/>
          <w:sz w:val="32"/>
          <w:szCs w:val="32"/>
          <w:lang w:val="en-US" w:eastAsia="zh-CN"/>
        </w:rPr>
        <w:t>0</w:t>
      </w:r>
      <w:r>
        <w:rPr>
          <w:rFonts w:ascii="仿宋_GB2312" w:eastAsia="仿宋_GB2312" w:cs="仿宋_GB2312"/>
          <w:bCs/>
          <w:kern w:val="0"/>
          <w:sz w:val="32"/>
          <w:szCs w:val="32"/>
          <w:lang w:val="en-US" w:eastAsia="zh-CN"/>
        </w:rPr>
        <w:t>万元，</w:t>
      </w:r>
      <w:r>
        <w:rPr>
          <w:rFonts w:hint="eastAsia" w:ascii="仿宋_GB2312" w:eastAsia="仿宋_GB2312" w:cs="仿宋_GB2312"/>
          <w:bCs/>
          <w:kern w:val="2"/>
          <w:sz w:val="32"/>
          <w:szCs w:val="32"/>
          <w:lang w:val="en-US" w:eastAsia="zh-CN" w:bidi="ar-SA"/>
        </w:rPr>
        <w:t>较2023年无变化</w:t>
      </w:r>
      <w:r>
        <w:rPr>
          <w:rFonts w:ascii="仿宋_GB2312" w:eastAsia="仿宋_GB2312" w:cs="仿宋_GB2312"/>
          <w:bCs/>
          <w:kern w:val="0"/>
          <w:sz w:val="32"/>
          <w:szCs w:val="32"/>
        </w:rPr>
        <w:t>；</w:t>
      </w:r>
      <w:r>
        <w:rPr>
          <w:rFonts w:hint="eastAsia" w:ascii="仿宋_GB2312" w:eastAsia="仿宋_GB2312" w:cs="仿宋_GB2312"/>
          <w:bCs/>
          <w:sz w:val="32"/>
          <w:szCs w:val="32"/>
          <w:lang w:val="en-US" w:eastAsia="zh-CN"/>
        </w:rPr>
        <w:t>公务接待费支出决算0.03万元，占100%。具体情况如下：</w:t>
      </w:r>
    </w:p>
    <w:p w14:paraId="04D508ED">
      <w:pPr>
        <w:pStyle w:val="12"/>
        <w:keepNext w:val="0"/>
        <w:keepLines w:val="0"/>
        <w:pageBreakBefore w:val="0"/>
        <w:widowControl w:val="0"/>
        <w:suppressLineNumbers w:val="0"/>
        <w:kinsoku/>
        <w:wordWrap/>
        <w:overflowPunct/>
        <w:topLinePunct w:val="0"/>
        <w:bidi w:val="0"/>
        <w:snapToGrid/>
        <w:spacing w:before="0" w:beforeAutospacing="0"/>
        <w:ind w:left="0"/>
        <w:jc w:val="left"/>
      </w:pPr>
      <w:r>
        <w:rPr>
          <w:rFonts w:hint="eastAsia"/>
          <w:lang w:val="en-US" w:eastAsia="zh-CN"/>
        </w:rPr>
        <w:t xml:space="preserve">    </w:t>
      </w:r>
      <w:r>
        <w:drawing>
          <wp:inline distT="0" distB="0" distL="114300" distR="114300">
            <wp:extent cx="4601210" cy="2125980"/>
            <wp:effectExtent l="6350" t="6350" r="21590" b="20320"/>
            <wp:docPr id="7"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68914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1.因公出国（境）经费支出</w:t>
      </w:r>
      <w:r>
        <w:rPr>
          <w:rFonts w:hint="eastAsia" w:ascii="仿宋_GB2312" w:eastAsia="仿宋_GB2312" w:cs="仿宋_GB2312"/>
          <w:bCs/>
          <w:kern w:val="2"/>
          <w:sz w:val="32"/>
          <w:szCs w:val="32"/>
          <w:lang w:val="en-US" w:eastAsia="zh-CN" w:bidi="ar-SA"/>
        </w:rPr>
        <w:t>0万元，较2023年无变化</w:t>
      </w:r>
      <w:r>
        <w:rPr>
          <w:rFonts w:hint="eastAsia" w:ascii="仿宋_GB2312" w:eastAsia="仿宋_GB2312" w:cs="仿宋_GB2312"/>
          <w:bCs/>
          <w:sz w:val="32"/>
          <w:szCs w:val="32"/>
          <w:lang w:val="en-US" w:eastAsia="zh-CN"/>
        </w:rPr>
        <w:t>。</w:t>
      </w:r>
    </w:p>
    <w:p w14:paraId="01675F0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2.公务用车购置及运行维护费支出0万元,</w:t>
      </w:r>
      <w:r>
        <w:rPr>
          <w:rFonts w:hint="eastAsia" w:ascii="仿宋_GB2312" w:eastAsia="仿宋_GB2312" w:cs="仿宋_GB2312"/>
          <w:bCs/>
          <w:kern w:val="2"/>
          <w:sz w:val="32"/>
          <w:szCs w:val="32"/>
          <w:lang w:val="en-US" w:eastAsia="zh-CN" w:bidi="ar-SA"/>
        </w:rPr>
        <w:t>较2023年无变化</w:t>
      </w:r>
      <w:r>
        <w:rPr>
          <w:rFonts w:hint="eastAsia" w:ascii="仿宋_GB2312" w:eastAsia="仿宋_GB2312" w:cs="仿宋_GB2312"/>
          <w:bCs/>
          <w:sz w:val="32"/>
          <w:szCs w:val="32"/>
          <w:lang w:val="en-US" w:eastAsia="zh-CN"/>
        </w:rPr>
        <w:t>。主要原因是：我单位未安排公务用车购置及公务用车运行维护费。</w:t>
      </w:r>
    </w:p>
    <w:p w14:paraId="028192F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其中：公务用车购置支出0万元。</w:t>
      </w:r>
      <w:r>
        <w:rPr>
          <w:rFonts w:hint="eastAsia" w:ascii="Times New Roman" w:hAnsi="Times New Roman" w:eastAsia="仿宋_GB2312" w:cs="仿宋_GB2312"/>
          <w:color w:val="auto"/>
          <w:kern w:val="2"/>
          <w:sz w:val="32"/>
          <w:szCs w:val="32"/>
          <w:highlight w:val="none"/>
          <w:lang w:val="en-US" w:eastAsia="zh-CN" w:bidi="ar-SA"/>
        </w:rPr>
        <w:t>全年按规定更新购置公务用车0辆，其中：轿车0辆、金额0万元，越野车0辆、金额0万元，载客汽车0辆、金额0万元。截至2024年12月31日，单位共有公务用车0辆，其中：轿车0辆、越野车0辆、载客汽车0辆。</w:t>
      </w:r>
      <w:r>
        <w:rPr>
          <w:rFonts w:hint="eastAsia" w:ascii="仿宋_GB2312" w:eastAsia="仿宋_GB2312" w:cs="仿宋_GB2312"/>
          <w:bCs/>
          <w:sz w:val="32"/>
          <w:szCs w:val="32"/>
          <w:lang w:val="en-US" w:eastAsia="zh-CN"/>
        </w:rPr>
        <w:t>同比增加（减少）0万元，增长（下降）0%，主要原因是：无安排公务用车购置费。</w:t>
      </w:r>
    </w:p>
    <w:p w14:paraId="0E439D7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bCs/>
          <w:sz w:val="32"/>
          <w:szCs w:val="32"/>
          <w:lang w:val="en-US" w:eastAsia="zh-CN"/>
        </w:rPr>
        <w:t>公务用车运行维护费支出0万元，主要原因是：无安排公务用车运行维护费，即没有产生</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6156D0C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3.公务接待费支出0.03万元，完成预算100%。较2023年无变化。主要原因是：</w:t>
      </w:r>
      <w:r>
        <w:rPr>
          <w:rFonts w:hint="eastAsia" w:ascii="仿宋_GB2312" w:eastAsia="仿宋_GB2312" w:cs="仿宋_GB2312"/>
          <w:color w:val="000000"/>
          <w:sz w:val="32"/>
          <w:szCs w:val="32"/>
        </w:rPr>
        <w:t>我单位严格控制公务接待</w:t>
      </w:r>
      <w:r>
        <w:rPr>
          <w:rFonts w:hint="eastAsia" w:ascii="仿宋_GB2312" w:eastAsia="仿宋_GB2312" w:cs="仿宋_GB2312"/>
          <w:color w:val="000000"/>
          <w:sz w:val="32"/>
          <w:szCs w:val="32"/>
          <w:lang w:val="en-US" w:eastAsia="zh-CN"/>
        </w:rPr>
        <w:t>次数与人数，厉行节约节俭原则</w:t>
      </w:r>
      <w:r>
        <w:rPr>
          <w:rFonts w:hint="eastAsia" w:ascii="仿宋_GB2312" w:eastAsia="仿宋_GB2312" w:cs="仿宋_GB2312"/>
          <w:bCs/>
          <w:sz w:val="32"/>
          <w:szCs w:val="32"/>
          <w:lang w:val="en-US" w:eastAsia="zh-CN"/>
        </w:rPr>
        <w:t>。其中：</w:t>
      </w:r>
    </w:p>
    <w:p w14:paraId="3F834FE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sz w:val="32"/>
          <w:szCs w:val="32"/>
          <w:highlight w:val="none"/>
          <w:lang w:val="en-US" w:eastAsia="zh-CN"/>
        </w:rPr>
      </w:pPr>
      <w:r>
        <w:rPr>
          <w:rFonts w:hint="eastAsia" w:ascii="仿宋_GB2312" w:eastAsia="仿宋_GB2312" w:cs="仿宋_GB2312"/>
          <w:bCs/>
          <w:sz w:val="32"/>
          <w:szCs w:val="32"/>
          <w:lang w:val="en-US" w:eastAsia="zh-CN"/>
        </w:rPr>
        <w:t>国内公务接待支出0.03万元，主要用于</w:t>
      </w:r>
      <w:r>
        <w:rPr>
          <w:rFonts w:hint="eastAsia" w:ascii="仿宋_GB2312" w:hAnsi="Times New Roman" w:eastAsia="仿宋_GB2312" w:cs="Times New Roman"/>
          <w:color w:val="000000"/>
          <w:kern w:val="2"/>
          <w:sz w:val="32"/>
          <w:szCs w:val="32"/>
          <w:lang w:val="en-US" w:eastAsia="zh-CN" w:bidi="ar-SA"/>
        </w:rPr>
        <w:t>执行公务、开展业务工作开支的用餐费</w:t>
      </w:r>
      <w:r>
        <w:rPr>
          <w:rFonts w:hint="eastAsia" w:ascii="仿宋_GB2312" w:eastAsia="仿宋_GB2312" w:cs="仿宋_GB2312"/>
          <w:bCs/>
          <w:sz w:val="32"/>
          <w:szCs w:val="32"/>
          <w:lang w:val="en-US" w:eastAsia="zh-CN"/>
        </w:rPr>
        <w:t>。国内公务接待1批次，3人次（不包括陪同人员），</w:t>
      </w:r>
      <w:r>
        <w:rPr>
          <w:rFonts w:hint="eastAsia" w:ascii="仿宋_GB2312" w:eastAsia="仿宋_GB2312" w:cs="仿宋_GB2312"/>
          <w:bCs/>
          <w:sz w:val="32"/>
          <w:szCs w:val="32"/>
          <w:highlight w:val="none"/>
          <w:lang w:val="en-US" w:eastAsia="zh-CN"/>
        </w:rPr>
        <w:t>共计支出0.03万元，</w:t>
      </w:r>
      <w:r>
        <w:rPr>
          <w:rFonts w:hint="eastAsia" w:ascii="仿宋_GB2312" w:eastAsia="仿宋_GB2312" w:cs="仿宋_GB2312"/>
          <w:bCs/>
          <w:kern w:val="2"/>
          <w:sz w:val="32"/>
          <w:szCs w:val="32"/>
          <w:highlight w:val="none"/>
          <w:lang w:val="en-US" w:eastAsia="zh-CN" w:bidi="ar-SA"/>
        </w:rPr>
        <w:t>主要用于执行公务、开展农业农村相关业务工作开支的用餐费</w:t>
      </w:r>
      <w:r>
        <w:rPr>
          <w:rFonts w:hint="eastAsia" w:ascii="仿宋_GB2312" w:eastAsia="仿宋_GB2312" w:cs="仿宋_GB2312"/>
          <w:sz w:val="32"/>
          <w:szCs w:val="32"/>
          <w:highlight w:val="none"/>
        </w:rPr>
        <w:t>等</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合计接待金额</w:t>
      </w:r>
      <w:r>
        <w:rPr>
          <w:rFonts w:hint="eastAsia" w:ascii="仿宋_GB2312" w:eastAsia="仿宋_GB2312" w:cs="仿宋_GB2312"/>
          <w:sz w:val="32"/>
          <w:szCs w:val="32"/>
          <w:highlight w:val="none"/>
          <w:lang w:val="en-US" w:eastAsia="zh-CN"/>
        </w:rPr>
        <w:t>0.03</w:t>
      </w:r>
      <w:r>
        <w:rPr>
          <w:rFonts w:hint="eastAsia" w:ascii="仿宋_GB2312" w:eastAsia="仿宋_GB2312" w:cs="仿宋_GB2312"/>
          <w:sz w:val="32"/>
          <w:szCs w:val="32"/>
          <w:highlight w:val="none"/>
        </w:rPr>
        <w:t>万元</w:t>
      </w:r>
      <w:r>
        <w:rPr>
          <w:rFonts w:hint="eastAsia" w:ascii="仿宋_GB2312" w:eastAsia="仿宋_GB2312" w:cs="仿宋_GB2312"/>
          <w:bCs/>
          <w:sz w:val="32"/>
          <w:szCs w:val="32"/>
          <w:highlight w:val="none"/>
          <w:lang w:val="en-US" w:eastAsia="zh-CN"/>
        </w:rPr>
        <w:t>。</w:t>
      </w:r>
    </w:p>
    <w:p w14:paraId="4BA1321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lang w:val="en-US" w:eastAsia="zh-CN"/>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万元，主要原因是：无外出公务接待。</w:t>
      </w:r>
    </w:p>
    <w:p w14:paraId="02503E4D">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1"/>
        <w:rPr>
          <w:rFonts w:hint="eastAsia" w:ascii="黑体" w:hAnsi="黑体" w:eastAsia="黑体" w:cs="黑体"/>
          <w:sz w:val="32"/>
          <w:szCs w:val="32"/>
          <w:shd w:val="clear" w:fill="FFFFFF"/>
        </w:rPr>
      </w:pPr>
      <w:bookmarkStart w:id="40" w:name="_Toc12034"/>
      <w:r>
        <w:rPr>
          <w:rFonts w:hint="eastAsia" w:ascii="黑体" w:hAnsi="黑体" w:eastAsia="黑体" w:cs="黑体"/>
          <w:sz w:val="32"/>
          <w:szCs w:val="32"/>
          <w:shd w:val="clear" w:fill="FFFFFF"/>
        </w:rPr>
        <w:t>八、政府性基金预算支出决算情况说明</w:t>
      </w:r>
      <w:bookmarkEnd w:id="40"/>
    </w:p>
    <w:p w14:paraId="6A1D8979">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pPr>
      <w:r>
        <w:rPr>
          <w:rFonts w:hint="eastAsia" w:ascii="仿宋_GB2312" w:eastAsia="仿宋_GB2312" w:cs="仿宋_GB2312"/>
          <w:bCs/>
          <w:sz w:val="32"/>
          <w:szCs w:val="32"/>
          <w:lang w:val="en-US" w:eastAsia="zh-CN"/>
        </w:rPr>
        <w:t>2024年度政府性基金预算财政拨款支出0万元。</w:t>
      </w:r>
    </w:p>
    <w:p w14:paraId="0C16B6D2">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1"/>
        <w:rPr>
          <w:rFonts w:hint="eastAsia" w:ascii="黑体" w:hAnsi="黑体" w:eastAsia="黑体" w:cs="黑体"/>
          <w:sz w:val="32"/>
          <w:szCs w:val="32"/>
          <w:shd w:val="clear" w:fill="FFFFFF"/>
        </w:rPr>
      </w:pPr>
      <w:bookmarkStart w:id="41" w:name="_Toc26311"/>
      <w:r>
        <w:rPr>
          <w:rFonts w:hint="eastAsia" w:ascii="黑体" w:hAnsi="黑体" w:eastAsia="黑体" w:cs="黑体"/>
          <w:sz w:val="32"/>
          <w:szCs w:val="32"/>
          <w:shd w:val="clear" w:fill="FFFFFF"/>
        </w:rPr>
        <w:t>九、国有资本经营预算支出决算情况说明</w:t>
      </w:r>
      <w:bookmarkEnd w:id="41"/>
    </w:p>
    <w:p w14:paraId="133A9B8F">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2024年度国有资本经营预算财政拨款支出0万元。 </w:t>
      </w:r>
    </w:p>
    <w:p w14:paraId="6972FE77">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1"/>
        <w:rPr>
          <w:rFonts w:hint="eastAsia" w:ascii="黑体" w:hAnsi="黑体" w:eastAsia="黑体" w:cs="黑体"/>
          <w:sz w:val="32"/>
          <w:szCs w:val="32"/>
          <w:shd w:val="clear" w:fill="FFFFFF"/>
        </w:rPr>
      </w:pPr>
      <w:bookmarkStart w:id="42" w:name="_Toc7434"/>
      <w:r>
        <w:rPr>
          <w:rFonts w:hint="eastAsia" w:ascii="黑体" w:hAnsi="黑体" w:eastAsia="黑体" w:cs="黑体"/>
          <w:sz w:val="32"/>
          <w:szCs w:val="32"/>
          <w:shd w:val="clear" w:fill="FFFFFF"/>
        </w:rPr>
        <w:t>十、其他重要事项的情况说明</w:t>
      </w:r>
      <w:bookmarkEnd w:id="42"/>
    </w:p>
    <w:p w14:paraId="5F6E4D50">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firstLine="640" w:firstLineChars="200"/>
        <w:jc w:val="left"/>
        <w:textAlignment w:val="auto"/>
        <w:outlineLvl w:val="9"/>
        <w:rPr>
          <w:rFonts w:hint="eastAsia" w:ascii="黑体" w:hAnsi="黑体" w:eastAsia="黑体" w:cs="黑体"/>
          <w:sz w:val="32"/>
          <w:szCs w:val="32"/>
          <w:shd w:val="clear" w:fill="FFFFFF"/>
          <w:lang w:val="en-US" w:eastAsia="zh-CN"/>
        </w:rPr>
      </w:pPr>
      <w:r>
        <w:rPr>
          <w:rFonts w:hint="eastAsia" w:ascii="黑体" w:hAnsi="黑体" w:eastAsia="黑体" w:cs="黑体"/>
          <w:sz w:val="32"/>
          <w:szCs w:val="32"/>
          <w:shd w:val="clear" w:fill="FFFFFF"/>
          <w:lang w:val="en-US" w:eastAsia="zh-CN"/>
        </w:rPr>
        <w:t>（一）机关运行经费支出情况</w:t>
      </w:r>
    </w:p>
    <w:p w14:paraId="3337EB03">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pPr>
      <w:r>
        <w:rPr>
          <w:rFonts w:hint="eastAsia" w:ascii="仿宋_GB2312" w:eastAsia="仿宋_GB2312" w:cs="仿宋_GB2312"/>
          <w:bCs/>
          <w:sz w:val="32"/>
          <w:szCs w:val="32"/>
          <w:lang w:val="en-US" w:eastAsia="zh-CN"/>
        </w:rPr>
        <w:t>2024年度茂县生产力促进中心机关运行经费支出0万元，较2023年无变化。</w:t>
      </w:r>
    </w:p>
    <w:p w14:paraId="285E96C7">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firstLine="640" w:firstLineChars="200"/>
        <w:jc w:val="left"/>
        <w:textAlignment w:val="auto"/>
        <w:outlineLvl w:val="9"/>
        <w:rPr>
          <w:rFonts w:hint="eastAsia" w:ascii="黑体" w:hAnsi="黑体" w:eastAsia="黑体" w:cs="黑体"/>
          <w:sz w:val="32"/>
          <w:szCs w:val="32"/>
          <w:shd w:val="clear" w:fill="FFFFFF"/>
          <w:lang w:val="en-US" w:eastAsia="zh-CN"/>
        </w:rPr>
      </w:pPr>
      <w:r>
        <w:rPr>
          <w:rFonts w:hint="eastAsia" w:ascii="黑体" w:hAnsi="黑体" w:eastAsia="黑体" w:cs="黑体"/>
          <w:sz w:val="32"/>
          <w:szCs w:val="32"/>
          <w:shd w:val="clear" w:fill="FFFFFF"/>
          <w:lang w:val="en-US" w:eastAsia="zh-CN"/>
        </w:rPr>
        <w:t>（二）政府采购支出情况</w:t>
      </w:r>
    </w:p>
    <w:p w14:paraId="7D2C40B9">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eastAsia="仿宋_GB2312" w:cs="仿宋_GB2312" w:hAnsiTheme="minorEastAsia"/>
          <w:bCs/>
          <w:kern w:val="0"/>
          <w:sz w:val="32"/>
          <w:szCs w:val="32"/>
          <w:lang w:val="en-US" w:eastAsia="zh-CN" w:bidi="ar"/>
        </w:rPr>
      </w:pPr>
      <w:r>
        <w:rPr>
          <w:rFonts w:hint="eastAsia" w:ascii="仿宋_GB2312" w:eastAsia="仿宋_GB2312" w:cs="仿宋_GB2312" w:hAnsiTheme="minorEastAsia"/>
          <w:bCs/>
          <w:kern w:val="0"/>
          <w:sz w:val="32"/>
          <w:szCs w:val="32"/>
          <w:lang w:val="en-US" w:eastAsia="zh-CN" w:bidi="ar"/>
        </w:rPr>
        <w:t>202</w:t>
      </w:r>
      <w:r>
        <w:rPr>
          <w:rFonts w:hint="eastAsia" w:ascii="仿宋_GB2312" w:eastAsia="仿宋_GB2312" w:cs="仿宋_GB2312"/>
          <w:bCs/>
          <w:kern w:val="0"/>
          <w:sz w:val="32"/>
          <w:szCs w:val="32"/>
          <w:lang w:val="en-US" w:eastAsia="zh-CN" w:bidi="ar"/>
        </w:rPr>
        <w:t>4</w:t>
      </w:r>
      <w:r>
        <w:rPr>
          <w:rFonts w:hint="eastAsia" w:ascii="仿宋_GB2312" w:eastAsia="仿宋_GB2312" w:cs="仿宋_GB2312" w:hAnsiTheme="minorEastAsia"/>
          <w:bCs/>
          <w:kern w:val="0"/>
          <w:sz w:val="32"/>
          <w:szCs w:val="32"/>
          <w:lang w:val="en-US" w:eastAsia="zh-CN" w:bidi="ar"/>
        </w:rPr>
        <w:t>年</w:t>
      </w:r>
      <w:r>
        <w:rPr>
          <w:rFonts w:hint="eastAsia" w:ascii="仿宋_GB2312" w:eastAsia="仿宋_GB2312" w:cs="仿宋_GB2312"/>
          <w:bCs/>
          <w:kern w:val="0"/>
          <w:sz w:val="32"/>
          <w:szCs w:val="32"/>
          <w:lang w:val="en-US" w:eastAsia="zh-CN" w:bidi="ar"/>
        </w:rPr>
        <w:t>度</w:t>
      </w:r>
      <w:r>
        <w:rPr>
          <w:rFonts w:hint="eastAsia" w:ascii="仿宋_GB2312" w:eastAsia="仿宋_GB2312" w:cs="仿宋_GB2312" w:hAnsiTheme="minorEastAsia"/>
          <w:bCs/>
          <w:kern w:val="0"/>
          <w:sz w:val="32"/>
          <w:szCs w:val="32"/>
          <w:lang w:val="en-US" w:eastAsia="zh-CN" w:bidi="ar"/>
        </w:rPr>
        <w:t>茂县生产力促进中心政府采购支出总额</w:t>
      </w:r>
      <w:r>
        <w:rPr>
          <w:rFonts w:hint="eastAsia" w:ascii="仿宋_GB2312" w:eastAsia="仿宋_GB2312" w:cs="仿宋_GB2312"/>
          <w:bCs/>
          <w:kern w:val="0"/>
          <w:sz w:val="32"/>
          <w:szCs w:val="32"/>
          <w:lang w:val="en-US" w:eastAsia="zh-CN" w:bidi="ar"/>
        </w:rPr>
        <w:t>0</w:t>
      </w:r>
      <w:r>
        <w:rPr>
          <w:rFonts w:hint="eastAsia" w:ascii="仿宋_GB2312" w:eastAsia="仿宋_GB2312" w:cs="仿宋_GB2312" w:hAnsiTheme="minorEastAsia"/>
          <w:bCs/>
          <w:kern w:val="0"/>
          <w:sz w:val="32"/>
          <w:szCs w:val="32"/>
          <w:lang w:val="en-US" w:eastAsia="zh-CN" w:bidi="ar"/>
        </w:rPr>
        <w:t>万元，其中：政府采购货物支出</w:t>
      </w:r>
      <w:r>
        <w:rPr>
          <w:rFonts w:hint="eastAsia" w:ascii="仿宋_GB2312" w:eastAsia="仿宋_GB2312" w:cs="仿宋_GB2312"/>
          <w:bCs/>
          <w:kern w:val="0"/>
          <w:sz w:val="32"/>
          <w:szCs w:val="32"/>
          <w:lang w:val="en-US" w:eastAsia="zh-CN" w:bidi="ar"/>
        </w:rPr>
        <w:t>0</w:t>
      </w:r>
      <w:r>
        <w:rPr>
          <w:rFonts w:hint="eastAsia" w:ascii="仿宋_GB2312" w:eastAsia="仿宋_GB2312" w:cs="仿宋_GB2312" w:hAnsiTheme="minorEastAsia"/>
          <w:bCs/>
          <w:kern w:val="0"/>
          <w:sz w:val="32"/>
          <w:szCs w:val="32"/>
          <w:lang w:val="en-US" w:eastAsia="zh-CN" w:bidi="ar"/>
        </w:rPr>
        <w:t>万元、政府采购工程支出</w:t>
      </w:r>
      <w:r>
        <w:rPr>
          <w:rFonts w:hint="eastAsia" w:ascii="仿宋_GB2312" w:eastAsia="仿宋_GB2312" w:cs="仿宋_GB2312"/>
          <w:bCs/>
          <w:kern w:val="0"/>
          <w:sz w:val="32"/>
          <w:szCs w:val="32"/>
          <w:lang w:val="en-US" w:eastAsia="zh-CN" w:bidi="ar"/>
        </w:rPr>
        <w:t>0</w:t>
      </w:r>
      <w:r>
        <w:rPr>
          <w:rFonts w:hint="eastAsia" w:ascii="仿宋_GB2312" w:eastAsia="仿宋_GB2312" w:cs="仿宋_GB2312" w:hAnsiTheme="minorEastAsia"/>
          <w:bCs/>
          <w:kern w:val="0"/>
          <w:sz w:val="32"/>
          <w:szCs w:val="32"/>
          <w:lang w:val="en-US" w:eastAsia="zh-CN" w:bidi="ar"/>
        </w:rPr>
        <w:t>万元、政府采购服务支出</w:t>
      </w:r>
      <w:r>
        <w:rPr>
          <w:rFonts w:hint="eastAsia" w:ascii="仿宋_GB2312" w:eastAsia="仿宋_GB2312" w:cs="仿宋_GB2312"/>
          <w:bCs/>
          <w:kern w:val="0"/>
          <w:sz w:val="32"/>
          <w:szCs w:val="32"/>
          <w:lang w:val="en-US" w:eastAsia="zh-CN" w:bidi="ar"/>
        </w:rPr>
        <w:t>0</w:t>
      </w:r>
      <w:r>
        <w:rPr>
          <w:rFonts w:hint="eastAsia" w:ascii="仿宋_GB2312" w:eastAsia="仿宋_GB2312" w:cs="仿宋_GB2312" w:hAnsiTheme="minorEastAsia"/>
          <w:bCs/>
          <w:kern w:val="0"/>
          <w:sz w:val="32"/>
          <w:szCs w:val="32"/>
          <w:lang w:val="en-US" w:eastAsia="zh-CN" w:bidi="ar"/>
        </w:rPr>
        <w:t>万元。授予中小企业合同金额</w:t>
      </w:r>
      <w:r>
        <w:rPr>
          <w:rFonts w:hint="eastAsia" w:ascii="仿宋_GB2312" w:eastAsia="仿宋_GB2312" w:cs="仿宋_GB2312"/>
          <w:bCs/>
          <w:kern w:val="0"/>
          <w:sz w:val="32"/>
          <w:szCs w:val="32"/>
          <w:lang w:val="en-US" w:eastAsia="zh-CN" w:bidi="ar"/>
        </w:rPr>
        <w:t>0</w:t>
      </w:r>
      <w:r>
        <w:rPr>
          <w:rFonts w:hint="eastAsia" w:ascii="仿宋_GB2312" w:eastAsia="仿宋_GB2312" w:cs="仿宋_GB2312" w:hAnsiTheme="minorEastAsia"/>
          <w:bCs/>
          <w:kern w:val="0"/>
          <w:sz w:val="32"/>
          <w:szCs w:val="32"/>
          <w:lang w:val="en-US" w:eastAsia="zh-CN" w:bidi="ar"/>
        </w:rPr>
        <w:t>万元，占政府采购支出总额的</w:t>
      </w:r>
      <w:r>
        <w:rPr>
          <w:rFonts w:hint="eastAsia" w:ascii="仿宋_GB2312" w:eastAsia="仿宋_GB2312" w:cs="仿宋_GB2312"/>
          <w:bCs/>
          <w:kern w:val="0"/>
          <w:sz w:val="32"/>
          <w:szCs w:val="32"/>
          <w:lang w:val="en-US" w:eastAsia="zh-CN" w:bidi="ar"/>
        </w:rPr>
        <w:t>0</w:t>
      </w:r>
      <w:r>
        <w:rPr>
          <w:rFonts w:hint="eastAsia" w:ascii="仿宋_GB2312" w:eastAsia="仿宋_GB2312" w:cs="仿宋_GB2312" w:hAnsiTheme="minorEastAsia"/>
          <w:bCs/>
          <w:kern w:val="0"/>
          <w:sz w:val="32"/>
          <w:szCs w:val="32"/>
          <w:lang w:val="en-US" w:eastAsia="zh-CN" w:bidi="ar"/>
        </w:rPr>
        <w:t>%，授予小微企业合同金额</w:t>
      </w:r>
      <w:r>
        <w:rPr>
          <w:rFonts w:hint="eastAsia" w:ascii="仿宋_GB2312" w:eastAsia="仿宋_GB2312" w:cs="仿宋_GB2312"/>
          <w:bCs/>
          <w:kern w:val="0"/>
          <w:sz w:val="32"/>
          <w:szCs w:val="32"/>
          <w:lang w:val="en-US" w:eastAsia="zh-CN" w:bidi="ar"/>
        </w:rPr>
        <w:t>0</w:t>
      </w:r>
      <w:r>
        <w:rPr>
          <w:rFonts w:hint="eastAsia" w:ascii="仿宋_GB2312" w:eastAsia="仿宋_GB2312" w:cs="仿宋_GB2312" w:hAnsiTheme="minorEastAsia"/>
          <w:bCs/>
          <w:kern w:val="0"/>
          <w:sz w:val="32"/>
          <w:szCs w:val="32"/>
          <w:lang w:val="en-US" w:eastAsia="zh-CN" w:bidi="ar"/>
        </w:rPr>
        <w:t>万元，占政府采购支出总额的</w:t>
      </w:r>
      <w:r>
        <w:rPr>
          <w:rFonts w:hint="eastAsia" w:ascii="仿宋_GB2312" w:eastAsia="仿宋_GB2312" w:cs="仿宋_GB2312"/>
          <w:bCs/>
          <w:kern w:val="0"/>
          <w:sz w:val="32"/>
          <w:szCs w:val="32"/>
          <w:lang w:val="en-US" w:eastAsia="zh-CN" w:bidi="ar"/>
        </w:rPr>
        <w:t>0</w:t>
      </w:r>
      <w:r>
        <w:rPr>
          <w:rFonts w:hint="eastAsia" w:ascii="仿宋_GB2312" w:eastAsia="仿宋_GB2312" w:cs="仿宋_GB2312" w:hAnsiTheme="minorEastAsia"/>
          <w:bCs/>
          <w:kern w:val="0"/>
          <w:sz w:val="32"/>
          <w:szCs w:val="32"/>
          <w:lang w:val="en-US" w:eastAsia="zh-CN" w:bidi="ar"/>
        </w:rPr>
        <w:t>%。</w:t>
      </w:r>
    </w:p>
    <w:p w14:paraId="369FE970">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firstLine="640" w:firstLineChars="200"/>
        <w:jc w:val="left"/>
        <w:textAlignment w:val="auto"/>
        <w:outlineLvl w:val="9"/>
        <w:rPr>
          <w:rFonts w:hint="eastAsia" w:ascii="黑体" w:hAnsi="黑体" w:eastAsia="黑体" w:cs="黑体"/>
          <w:sz w:val="32"/>
          <w:szCs w:val="32"/>
          <w:shd w:val="clear" w:fill="FFFFFF"/>
          <w:lang w:val="en-US" w:eastAsia="zh-CN"/>
        </w:rPr>
      </w:pPr>
      <w:r>
        <w:rPr>
          <w:rFonts w:hint="eastAsia" w:ascii="黑体" w:hAnsi="黑体" w:eastAsia="黑体" w:cs="黑体"/>
          <w:sz w:val="32"/>
          <w:szCs w:val="32"/>
          <w:shd w:val="clear" w:fill="FFFFFF"/>
          <w:lang w:val="en-US" w:eastAsia="zh-CN"/>
        </w:rPr>
        <w:t>（三）国有资产占有使用情况</w:t>
      </w:r>
    </w:p>
    <w:p w14:paraId="76FF341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hAnsiTheme="minorEastAsia"/>
          <w:bCs/>
          <w:kern w:val="0"/>
          <w:sz w:val="32"/>
          <w:szCs w:val="32"/>
          <w:lang w:val="en-US" w:eastAsia="zh-CN" w:bidi="ar"/>
        </w:rPr>
      </w:pPr>
      <w:r>
        <w:rPr>
          <w:rFonts w:hint="eastAsia" w:ascii="仿宋_GB2312" w:eastAsia="仿宋_GB2312" w:cs="仿宋_GB2312" w:hAnsiTheme="minorEastAsia"/>
          <w:bCs/>
          <w:kern w:val="0"/>
          <w:sz w:val="32"/>
          <w:szCs w:val="32"/>
          <w:lang w:val="en-US" w:eastAsia="zh-CN" w:bidi="ar"/>
        </w:rPr>
        <w:t>截至202</w:t>
      </w:r>
      <w:r>
        <w:rPr>
          <w:rFonts w:hint="eastAsia" w:ascii="仿宋_GB2312" w:eastAsia="仿宋_GB2312" w:cs="仿宋_GB2312"/>
          <w:bCs/>
          <w:kern w:val="0"/>
          <w:sz w:val="32"/>
          <w:szCs w:val="32"/>
          <w:lang w:val="en-US" w:eastAsia="zh-CN" w:bidi="ar"/>
        </w:rPr>
        <w:t>4</w:t>
      </w:r>
      <w:r>
        <w:rPr>
          <w:rFonts w:hint="eastAsia" w:ascii="仿宋_GB2312" w:eastAsia="仿宋_GB2312" w:cs="仿宋_GB2312" w:hAnsiTheme="minorEastAsia"/>
          <w:bCs/>
          <w:kern w:val="0"/>
          <w:sz w:val="32"/>
          <w:szCs w:val="32"/>
          <w:lang w:val="en-US" w:eastAsia="zh-CN" w:bidi="ar"/>
        </w:rPr>
        <w:t>年12月31日，茂县生产力促进中心共有车辆0辆，其中：主要领导干部用车0辆、机要通信用车0辆、应急保障用车0辆、其他用车0辆</w:t>
      </w:r>
      <w:r>
        <w:rPr>
          <w:rFonts w:hint="eastAsia" w:ascii="仿宋_GB2312" w:eastAsia="仿宋_GB2312" w:cs="仿宋_GB2312"/>
          <w:bCs/>
          <w:kern w:val="0"/>
          <w:sz w:val="32"/>
          <w:szCs w:val="32"/>
          <w:lang w:val="en-US" w:eastAsia="zh-CN" w:bidi="ar"/>
        </w:rPr>
        <w:t>。</w:t>
      </w:r>
      <w:r>
        <w:rPr>
          <w:rFonts w:hint="eastAsia" w:ascii="仿宋_GB2312" w:eastAsia="仿宋_GB2312" w:cs="仿宋_GB2312"/>
          <w:sz w:val="32"/>
          <w:szCs w:val="32"/>
        </w:rPr>
        <w:t>单价</w:t>
      </w:r>
      <w:r>
        <w:rPr>
          <w:rFonts w:ascii="仿宋_GB2312" w:eastAsia="仿宋_GB2312" w:cs="仿宋_GB2312"/>
          <w:sz w:val="32"/>
          <w:szCs w:val="32"/>
        </w:rPr>
        <w:t>50</w:t>
      </w:r>
      <w:r>
        <w:rPr>
          <w:rFonts w:hint="eastAsia" w:ascii="仿宋_GB2312" w:eastAsia="仿宋_GB2312" w:cs="仿宋_GB2312"/>
          <w:sz w:val="32"/>
          <w:szCs w:val="32"/>
        </w:rPr>
        <w:t>万元以上通用设备</w:t>
      </w:r>
      <w:r>
        <w:rPr>
          <w:rFonts w:ascii="仿宋_GB2312" w:eastAsia="仿宋_GB2312" w:cs="仿宋_GB2312"/>
          <w:sz w:val="32"/>
          <w:szCs w:val="32"/>
        </w:rPr>
        <w:t>0</w:t>
      </w:r>
      <w:r>
        <w:rPr>
          <w:rFonts w:hint="eastAsia" w:ascii="仿宋_GB2312" w:eastAsia="仿宋_GB2312" w:cs="仿宋_GB2312"/>
          <w:sz w:val="32"/>
          <w:szCs w:val="32"/>
        </w:rPr>
        <w:t>台（套），单价</w:t>
      </w:r>
      <w:r>
        <w:rPr>
          <w:rFonts w:ascii="仿宋_GB2312" w:eastAsia="仿宋_GB2312" w:cs="仿宋_GB2312"/>
          <w:sz w:val="32"/>
          <w:szCs w:val="32"/>
        </w:rPr>
        <w:t>100</w:t>
      </w:r>
      <w:r>
        <w:rPr>
          <w:rFonts w:hint="eastAsia" w:ascii="仿宋_GB2312" w:eastAsia="仿宋_GB2312" w:cs="仿宋_GB2312"/>
          <w:sz w:val="32"/>
          <w:szCs w:val="32"/>
        </w:rPr>
        <w:t>万元以上专用设备</w:t>
      </w:r>
      <w:r>
        <w:rPr>
          <w:rFonts w:ascii="仿宋_GB2312" w:eastAsia="仿宋_GB2312" w:cs="仿宋_GB2312"/>
          <w:sz w:val="32"/>
          <w:szCs w:val="32"/>
        </w:rPr>
        <w:t>0</w:t>
      </w:r>
      <w:r>
        <w:rPr>
          <w:rFonts w:hint="eastAsia" w:ascii="仿宋_GB2312" w:eastAsia="仿宋_GB2312" w:cs="仿宋_GB2312"/>
          <w:sz w:val="32"/>
          <w:szCs w:val="32"/>
        </w:rPr>
        <w:t>台（套）</w:t>
      </w:r>
      <w:r>
        <w:rPr>
          <w:rFonts w:hint="eastAsia" w:ascii="仿宋_GB2312" w:eastAsia="仿宋_GB2312" w:cs="仿宋_GB2312" w:hAnsiTheme="minorEastAsia"/>
          <w:bCs/>
          <w:kern w:val="0"/>
          <w:sz w:val="32"/>
          <w:szCs w:val="32"/>
          <w:lang w:val="en-US" w:eastAsia="zh-CN" w:bidi="ar"/>
        </w:rPr>
        <w:t>。</w:t>
      </w:r>
    </w:p>
    <w:p w14:paraId="074FFE35">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firstLine="640" w:firstLineChars="200"/>
        <w:jc w:val="left"/>
        <w:textAlignment w:val="auto"/>
        <w:outlineLvl w:val="9"/>
        <w:rPr>
          <w:rFonts w:hint="eastAsia" w:ascii="黑体" w:hAnsi="黑体" w:eastAsia="黑体" w:cs="黑体"/>
          <w:sz w:val="32"/>
          <w:szCs w:val="32"/>
          <w:shd w:val="clear" w:fill="FFFFFF"/>
          <w:lang w:val="en-US" w:eastAsia="zh-CN"/>
        </w:rPr>
      </w:pPr>
      <w:r>
        <w:rPr>
          <w:rFonts w:hint="eastAsia" w:ascii="黑体" w:hAnsi="黑体" w:eastAsia="黑体" w:cs="黑体"/>
          <w:sz w:val="32"/>
          <w:szCs w:val="32"/>
          <w:shd w:val="clear" w:fill="FFFFFF"/>
          <w:lang w:val="en-US" w:eastAsia="zh-CN"/>
        </w:rPr>
        <w:t>（四）预算绩效管理情况</w:t>
      </w:r>
    </w:p>
    <w:p w14:paraId="38FFB85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2024年度</w:t>
      </w:r>
      <w:r>
        <w:rPr>
          <w:rFonts w:hint="eastAsia" w:ascii="仿宋_GB2312" w:hAnsi="Times New Roman" w:eastAsia="仿宋_GB2312" w:cs="Times New Roman"/>
          <w:color w:val="auto"/>
          <w:sz w:val="32"/>
          <w:szCs w:val="32"/>
          <w:highlight w:val="none"/>
          <w:lang w:eastAsia="zh-CN"/>
        </w:rPr>
        <w:t>预算编制阶段，组织对茂县“四川科技兴村在线”平台2023年科技信息服务后补助及2024年科技服务平台运行绩效后补助项目开展了预算事前绩效评估，预算执行过程中，茂县“四川科技兴村在线”平台2023年科技信息服务后补助及2024年科技服务平台运行绩效后补助</w:t>
      </w:r>
      <w:r>
        <w:rPr>
          <w:rFonts w:hint="eastAsia" w:ascii="仿宋_GB2312" w:hAnsi="Times New Roman" w:eastAsia="仿宋_GB2312" w:cs="Times New Roman"/>
          <w:color w:val="auto"/>
          <w:sz w:val="32"/>
          <w:szCs w:val="32"/>
          <w:highlight w:val="none"/>
          <w:lang w:val="en-US" w:eastAsia="zh-CN"/>
        </w:rPr>
        <w:t>项目开展绩效自评，绩效自评表详见第四部分附件。</w:t>
      </w:r>
    </w:p>
    <w:p w14:paraId="2D7DC45B">
      <w:pPr>
        <w:keepNext w:val="0"/>
        <w:keepLines w:val="0"/>
        <w:pageBreakBefore w:val="0"/>
        <w:widowControl w:val="0"/>
        <w:kinsoku/>
        <w:wordWrap/>
        <w:overflowPunct/>
        <w:topLinePunct w:val="0"/>
        <w:autoSpaceDE/>
        <w:autoSpaceDN/>
        <w:bidi w:val="0"/>
        <w:adjustRightInd/>
        <w:snapToGrid/>
        <w:spacing w:line="576" w:lineRule="exact"/>
        <w:ind w:firstLine="783" w:firstLineChars="200"/>
        <w:textAlignment w:val="auto"/>
        <w:rPr>
          <w:rStyle w:val="15"/>
          <w:sz w:val="39"/>
          <w:szCs w:val="39"/>
          <w:shd w:val="clear" w:fill="FFFFFF"/>
        </w:rPr>
      </w:pPr>
    </w:p>
    <w:p w14:paraId="43FB3ABA">
      <w:pPr>
        <w:pStyle w:val="12"/>
        <w:keepNext w:val="0"/>
        <w:keepLines w:val="0"/>
        <w:pageBreakBefore w:val="0"/>
        <w:widowControl w:val="0"/>
        <w:suppressLineNumbers w:val="0"/>
        <w:kinsoku/>
        <w:wordWrap/>
        <w:overflowPunct/>
        <w:topLinePunct w:val="0"/>
        <w:bidi w:val="0"/>
        <w:snapToGrid/>
        <w:spacing w:before="0" w:beforeAutospacing="0"/>
        <w:ind w:left="0"/>
        <w:jc w:val="both"/>
        <w:rPr>
          <w:rStyle w:val="15"/>
          <w:sz w:val="39"/>
          <w:szCs w:val="39"/>
          <w:shd w:val="clear" w:fill="FFFFFF"/>
        </w:rPr>
      </w:pPr>
    </w:p>
    <w:p w14:paraId="3A2BCD9A">
      <w:pPr>
        <w:pStyle w:val="12"/>
        <w:keepNext w:val="0"/>
        <w:keepLines w:val="0"/>
        <w:pageBreakBefore w:val="0"/>
        <w:widowControl w:val="0"/>
        <w:suppressLineNumbers w:val="0"/>
        <w:kinsoku/>
        <w:wordWrap/>
        <w:overflowPunct/>
        <w:topLinePunct w:val="0"/>
        <w:bidi w:val="0"/>
        <w:snapToGrid/>
        <w:spacing w:before="0" w:beforeAutospacing="0"/>
        <w:ind w:left="0"/>
        <w:jc w:val="both"/>
        <w:rPr>
          <w:rStyle w:val="15"/>
          <w:sz w:val="39"/>
          <w:szCs w:val="39"/>
          <w:shd w:val="clear" w:fill="FFFFFF"/>
        </w:rPr>
      </w:pPr>
    </w:p>
    <w:p w14:paraId="58E91CEC">
      <w:pPr>
        <w:pStyle w:val="12"/>
        <w:keepNext w:val="0"/>
        <w:keepLines w:val="0"/>
        <w:pageBreakBefore w:val="0"/>
        <w:widowControl w:val="0"/>
        <w:suppressLineNumbers w:val="0"/>
        <w:kinsoku/>
        <w:wordWrap/>
        <w:overflowPunct/>
        <w:topLinePunct w:val="0"/>
        <w:bidi w:val="0"/>
        <w:snapToGrid/>
        <w:spacing w:before="0" w:beforeAutospacing="0"/>
        <w:ind w:left="0"/>
        <w:jc w:val="both"/>
        <w:rPr>
          <w:rStyle w:val="15"/>
          <w:sz w:val="39"/>
          <w:szCs w:val="39"/>
          <w:shd w:val="clear" w:fill="FFFFFF"/>
        </w:rPr>
      </w:pPr>
    </w:p>
    <w:p w14:paraId="26CBA486">
      <w:pPr>
        <w:pStyle w:val="12"/>
        <w:keepNext w:val="0"/>
        <w:keepLines w:val="0"/>
        <w:pageBreakBefore w:val="0"/>
        <w:widowControl w:val="0"/>
        <w:suppressLineNumbers w:val="0"/>
        <w:kinsoku/>
        <w:wordWrap/>
        <w:overflowPunct/>
        <w:topLinePunct w:val="0"/>
        <w:bidi w:val="0"/>
        <w:snapToGrid/>
        <w:spacing w:before="0" w:beforeAutospacing="0"/>
        <w:ind w:left="0"/>
        <w:jc w:val="both"/>
        <w:rPr>
          <w:rStyle w:val="15"/>
          <w:sz w:val="39"/>
          <w:szCs w:val="39"/>
          <w:shd w:val="clear" w:fill="FFFFFF"/>
        </w:rPr>
      </w:pPr>
    </w:p>
    <w:p w14:paraId="7D8EC96A">
      <w:pPr>
        <w:pStyle w:val="12"/>
        <w:keepNext w:val="0"/>
        <w:keepLines w:val="0"/>
        <w:pageBreakBefore w:val="0"/>
        <w:widowControl w:val="0"/>
        <w:suppressLineNumbers w:val="0"/>
        <w:kinsoku/>
        <w:wordWrap/>
        <w:overflowPunct/>
        <w:topLinePunct w:val="0"/>
        <w:bidi w:val="0"/>
        <w:snapToGrid/>
        <w:spacing w:before="0" w:beforeAutospacing="0"/>
        <w:ind w:left="0"/>
        <w:jc w:val="both"/>
        <w:rPr>
          <w:rStyle w:val="15"/>
          <w:sz w:val="39"/>
          <w:szCs w:val="39"/>
          <w:shd w:val="clear" w:fill="FFFFFF"/>
        </w:rPr>
      </w:pPr>
    </w:p>
    <w:p w14:paraId="4F12F716">
      <w:pPr>
        <w:pStyle w:val="12"/>
        <w:keepNext w:val="0"/>
        <w:keepLines w:val="0"/>
        <w:pageBreakBefore w:val="0"/>
        <w:widowControl w:val="0"/>
        <w:suppressLineNumbers w:val="0"/>
        <w:kinsoku/>
        <w:wordWrap/>
        <w:overflowPunct/>
        <w:topLinePunct w:val="0"/>
        <w:bidi w:val="0"/>
        <w:snapToGrid/>
        <w:spacing w:before="0" w:beforeAutospacing="0"/>
        <w:ind w:left="0"/>
        <w:jc w:val="both"/>
        <w:rPr>
          <w:rStyle w:val="15"/>
          <w:sz w:val="39"/>
          <w:szCs w:val="39"/>
          <w:shd w:val="clear" w:fill="FFFFFF"/>
        </w:rPr>
      </w:pPr>
    </w:p>
    <w:p w14:paraId="0EE5835E">
      <w:pPr>
        <w:pStyle w:val="12"/>
        <w:keepNext w:val="0"/>
        <w:keepLines w:val="0"/>
        <w:pageBreakBefore w:val="0"/>
        <w:widowControl w:val="0"/>
        <w:suppressLineNumbers w:val="0"/>
        <w:kinsoku/>
        <w:wordWrap/>
        <w:overflowPunct/>
        <w:topLinePunct w:val="0"/>
        <w:bidi w:val="0"/>
        <w:snapToGrid/>
        <w:spacing w:before="0" w:beforeAutospacing="0"/>
        <w:ind w:left="0"/>
        <w:jc w:val="both"/>
        <w:rPr>
          <w:rStyle w:val="15"/>
          <w:sz w:val="39"/>
          <w:szCs w:val="39"/>
          <w:shd w:val="clear" w:fill="FFFFFF"/>
        </w:rPr>
      </w:pPr>
    </w:p>
    <w:p w14:paraId="18A14E25">
      <w:pPr>
        <w:pStyle w:val="12"/>
        <w:keepNext w:val="0"/>
        <w:keepLines w:val="0"/>
        <w:pageBreakBefore w:val="0"/>
        <w:widowControl w:val="0"/>
        <w:suppressLineNumbers w:val="0"/>
        <w:kinsoku/>
        <w:wordWrap/>
        <w:overflowPunct/>
        <w:topLinePunct w:val="0"/>
        <w:bidi w:val="0"/>
        <w:snapToGrid/>
        <w:spacing w:before="0" w:beforeAutospacing="0"/>
        <w:ind w:left="0"/>
        <w:jc w:val="both"/>
        <w:rPr>
          <w:rStyle w:val="15"/>
          <w:sz w:val="39"/>
          <w:szCs w:val="39"/>
          <w:shd w:val="clear" w:fill="FFFFFF"/>
        </w:rPr>
      </w:pPr>
    </w:p>
    <w:p w14:paraId="31EC9C81">
      <w:pPr>
        <w:pStyle w:val="12"/>
        <w:keepNext w:val="0"/>
        <w:keepLines w:val="0"/>
        <w:pageBreakBefore w:val="0"/>
        <w:widowControl w:val="0"/>
        <w:suppressLineNumbers w:val="0"/>
        <w:kinsoku/>
        <w:wordWrap/>
        <w:overflowPunct/>
        <w:topLinePunct w:val="0"/>
        <w:bidi w:val="0"/>
        <w:snapToGrid/>
        <w:spacing w:before="0" w:beforeAutospacing="0" w:afterAutospacing="0" w:line="576" w:lineRule="exact"/>
        <w:ind w:left="0" w:firstLine="880" w:firstLineChars="200"/>
        <w:jc w:val="center"/>
        <w:textAlignment w:val="auto"/>
        <w:outlineLvl w:val="0"/>
        <w:rPr>
          <w:rFonts w:hint="eastAsia" w:ascii="黑体" w:hAnsi="黑体" w:eastAsia="黑体" w:cs="黑体"/>
          <w:b w:val="0"/>
          <w:bCs/>
          <w:sz w:val="44"/>
          <w:szCs w:val="44"/>
        </w:rPr>
      </w:pPr>
      <w:bookmarkStart w:id="43" w:name="_Toc5304"/>
      <w:r>
        <w:rPr>
          <w:rStyle w:val="15"/>
          <w:rFonts w:hint="eastAsia" w:ascii="黑体" w:hAnsi="黑体" w:eastAsia="黑体" w:cs="黑体"/>
          <w:b w:val="0"/>
          <w:bCs/>
          <w:sz w:val="44"/>
          <w:szCs w:val="44"/>
          <w:shd w:val="clear" w:fill="FFFFFF"/>
        </w:rPr>
        <w:t>第三部分 名词解释</w:t>
      </w:r>
      <w:bookmarkEnd w:id="43"/>
    </w:p>
    <w:p w14:paraId="264E3F6C">
      <w:pPr>
        <w:pStyle w:val="17"/>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sz w:val="32"/>
          <w:szCs w:val="32"/>
        </w:rPr>
      </w:pPr>
      <w:r>
        <w:rPr>
          <w:rFonts w:ascii="仿宋_GB2312" w:eastAsia="仿宋_GB2312"/>
          <w:sz w:val="32"/>
          <w:szCs w:val="32"/>
        </w:rPr>
        <w:t>1.财政拨款收入：指单位从同级财政部门取得的财政预算资金。</w:t>
      </w:r>
    </w:p>
    <w:p w14:paraId="2F5DC9DD">
      <w:pPr>
        <w:pStyle w:val="17"/>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sz w:val="32"/>
          <w:szCs w:val="32"/>
        </w:rPr>
      </w:pPr>
      <w:r>
        <w:rPr>
          <w:rFonts w:ascii="仿宋_GB2312" w:eastAsia="仿宋_GB2312"/>
          <w:sz w:val="32"/>
          <w:szCs w:val="32"/>
        </w:rPr>
        <w:t>2.事业收入：指事业单位开展专业业务活动及辅助活动取得的收入。</w:t>
      </w:r>
    </w:p>
    <w:p w14:paraId="4222FD26">
      <w:pPr>
        <w:pStyle w:val="17"/>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hint="eastAsia" w:ascii="仿宋_GB2312" w:eastAsia="仿宋_GB2312"/>
          <w:sz w:val="32"/>
          <w:szCs w:val="32"/>
          <w:lang w:eastAsia="zh-CN"/>
        </w:rPr>
      </w:pPr>
      <w:r>
        <w:rPr>
          <w:rFonts w:ascii="仿宋_GB2312" w:eastAsia="仿宋_GB2312"/>
          <w:sz w:val="32"/>
          <w:szCs w:val="32"/>
        </w:rPr>
        <w:t>3.经营收入：指事业单位在专业业务活动及其辅助活动之外开展非独立核算经营活动取得的收入</w:t>
      </w:r>
      <w:r>
        <w:rPr>
          <w:rFonts w:hint="eastAsia" w:ascii="仿宋_GB2312" w:eastAsia="仿宋_GB2312"/>
          <w:sz w:val="32"/>
          <w:szCs w:val="32"/>
          <w:lang w:eastAsia="zh-CN"/>
        </w:rPr>
        <w:t>。</w:t>
      </w:r>
    </w:p>
    <w:p w14:paraId="24D564A6">
      <w:pPr>
        <w:pStyle w:val="17"/>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sz w:val="32"/>
          <w:szCs w:val="32"/>
        </w:rPr>
      </w:pPr>
      <w:r>
        <w:rPr>
          <w:rFonts w:ascii="仿宋_GB2312" w:eastAsia="仿宋_GB2312"/>
          <w:sz w:val="32"/>
          <w:szCs w:val="32"/>
        </w:rPr>
        <w:t>4.其他收入：指单位取得的除上述收入以外的各项收入。</w:t>
      </w:r>
    </w:p>
    <w:p w14:paraId="6515261F">
      <w:pPr>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bCs/>
          <w:sz w:val="32"/>
          <w:szCs w:val="32"/>
        </w:rPr>
        <w:t>科学技术支出（</w:t>
      </w:r>
      <w:r>
        <w:rPr>
          <w:rFonts w:hint="eastAsia" w:ascii="仿宋_GB2312" w:eastAsia="仿宋_GB2312" w:cs="仿宋_GB2312"/>
          <w:bCs/>
          <w:sz w:val="32"/>
          <w:szCs w:val="32"/>
          <w:lang w:val="en-US" w:eastAsia="zh-CN"/>
        </w:rPr>
        <w:t>类</w:t>
      </w:r>
      <w:r>
        <w:rPr>
          <w:rFonts w:hint="eastAsia" w:ascii="仿宋_GB2312" w:eastAsia="仿宋_GB2312" w:cs="仿宋_GB2312"/>
          <w:bCs/>
          <w:sz w:val="32"/>
          <w:szCs w:val="32"/>
        </w:rPr>
        <w:t>）科学技术管理事物（</w:t>
      </w:r>
      <w:r>
        <w:rPr>
          <w:rFonts w:hint="eastAsia" w:ascii="仿宋_GB2312" w:eastAsia="仿宋_GB2312" w:cs="仿宋_GB2312"/>
          <w:sz w:val="32"/>
          <w:szCs w:val="32"/>
          <w:lang w:val="en-US" w:eastAsia="zh-CN"/>
        </w:rPr>
        <w:t>款</w:t>
      </w:r>
      <w:r>
        <w:rPr>
          <w:rFonts w:hint="eastAsia" w:ascii="仿宋_GB2312" w:eastAsia="仿宋_GB2312" w:cs="仿宋_GB2312"/>
          <w:bCs/>
          <w:sz w:val="32"/>
          <w:szCs w:val="32"/>
        </w:rPr>
        <w:t>）其他科学技术管理事物支出（</w:t>
      </w:r>
      <w:r>
        <w:rPr>
          <w:rFonts w:hint="eastAsia" w:ascii="仿宋_GB2312" w:eastAsia="仿宋_GB2312" w:cs="仿宋_GB2312"/>
          <w:bCs/>
          <w:sz w:val="32"/>
          <w:szCs w:val="32"/>
          <w:lang w:val="en-US" w:eastAsia="zh-CN"/>
        </w:rPr>
        <w:t>项</w:t>
      </w:r>
      <w:r>
        <w:rPr>
          <w:rFonts w:hint="eastAsia" w:ascii="仿宋_GB2312" w:eastAsia="仿宋_GB2312" w:cs="仿宋_GB2312"/>
          <w:bCs/>
          <w:sz w:val="32"/>
          <w:szCs w:val="32"/>
        </w:rPr>
        <w:t>）：指反应其他用于科学技术管理事物方面的支出</w:t>
      </w:r>
      <w:r>
        <w:rPr>
          <w:rFonts w:hint="eastAsia" w:ascii="仿宋_GB2312" w:eastAsia="仿宋_GB2312" w:cs="仿宋_GB2312"/>
          <w:sz w:val="32"/>
          <w:szCs w:val="32"/>
        </w:rPr>
        <w:t>。</w:t>
      </w:r>
    </w:p>
    <w:p w14:paraId="61E7997E">
      <w:pPr>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sz w:val="32"/>
          <w:szCs w:val="32"/>
        </w:rPr>
      </w:pPr>
      <w:r>
        <w:rPr>
          <w:rFonts w:hint="eastAsia" w:ascii="仿宋_GB2312" w:eastAsia="仿宋_GB2312" w:cs="仿宋_GB2312"/>
          <w:bCs/>
          <w:sz w:val="32"/>
          <w:szCs w:val="32"/>
          <w:lang w:val="en-US" w:eastAsia="zh-CN"/>
        </w:rPr>
        <w:t>6.</w:t>
      </w:r>
      <w:r>
        <w:rPr>
          <w:rFonts w:hint="eastAsia" w:ascii="仿宋_GB2312" w:eastAsia="仿宋_GB2312" w:cs="仿宋_GB2312"/>
          <w:bCs/>
          <w:sz w:val="32"/>
          <w:szCs w:val="32"/>
        </w:rPr>
        <w:t>科学技术支出（</w:t>
      </w:r>
      <w:r>
        <w:rPr>
          <w:rFonts w:hint="eastAsia" w:ascii="仿宋_GB2312" w:eastAsia="仿宋_GB2312" w:cs="仿宋_GB2312"/>
          <w:bCs/>
          <w:sz w:val="32"/>
          <w:szCs w:val="32"/>
          <w:lang w:val="en-US" w:eastAsia="zh-CN"/>
        </w:rPr>
        <w:t>类</w:t>
      </w:r>
      <w:r>
        <w:rPr>
          <w:rFonts w:hint="eastAsia" w:ascii="仿宋_GB2312" w:eastAsia="仿宋_GB2312" w:cs="仿宋_GB2312"/>
          <w:bCs/>
          <w:sz w:val="32"/>
          <w:szCs w:val="32"/>
        </w:rPr>
        <w:t>）技术研究与开发（</w:t>
      </w:r>
      <w:r>
        <w:rPr>
          <w:rFonts w:hint="eastAsia" w:ascii="仿宋_GB2312" w:eastAsia="仿宋_GB2312" w:cs="仿宋_GB2312"/>
          <w:sz w:val="32"/>
          <w:szCs w:val="32"/>
          <w:lang w:val="en-US" w:eastAsia="zh-CN"/>
        </w:rPr>
        <w:t>款</w:t>
      </w:r>
      <w:r>
        <w:rPr>
          <w:rFonts w:hint="eastAsia" w:ascii="仿宋_GB2312" w:eastAsia="仿宋_GB2312" w:cs="仿宋_GB2312"/>
          <w:bCs/>
          <w:sz w:val="32"/>
          <w:szCs w:val="32"/>
        </w:rPr>
        <w:t>）科技成果转化与扩散（</w:t>
      </w:r>
      <w:r>
        <w:rPr>
          <w:rFonts w:hint="eastAsia" w:ascii="仿宋_GB2312" w:eastAsia="仿宋_GB2312" w:cs="仿宋_GB2312"/>
          <w:bCs/>
          <w:sz w:val="32"/>
          <w:szCs w:val="32"/>
          <w:lang w:val="en-US" w:eastAsia="zh-CN"/>
        </w:rPr>
        <w:t>项</w:t>
      </w:r>
      <w:r>
        <w:rPr>
          <w:rFonts w:hint="eastAsia" w:ascii="仿宋_GB2312" w:eastAsia="仿宋_GB2312" w:cs="仿宋_GB2312"/>
          <w:bCs/>
          <w:sz w:val="32"/>
          <w:szCs w:val="32"/>
        </w:rPr>
        <w:t>）：指反映促进科技成果转化为实现生产力的应用、推广和引导性支出，以及基本建设支出中用于支持企业科技自主创新的支出</w:t>
      </w:r>
      <w:r>
        <w:rPr>
          <w:rFonts w:hint="eastAsia" w:ascii="仿宋_GB2312" w:eastAsia="仿宋_GB2312" w:cs="仿宋_GB2312"/>
          <w:sz w:val="32"/>
          <w:szCs w:val="32"/>
        </w:rPr>
        <w:t>。</w:t>
      </w:r>
    </w:p>
    <w:p w14:paraId="5A842B3D">
      <w:pPr>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社会保障和就业支出（</w:t>
      </w:r>
      <w:r>
        <w:rPr>
          <w:rFonts w:hint="eastAsia" w:ascii="仿宋_GB2312" w:eastAsia="仿宋_GB2312" w:cs="仿宋_GB2312"/>
          <w:bCs/>
          <w:sz w:val="32"/>
          <w:szCs w:val="32"/>
          <w:lang w:val="en-US" w:eastAsia="zh-CN"/>
        </w:rPr>
        <w:t>类</w:t>
      </w:r>
      <w:r>
        <w:rPr>
          <w:rFonts w:hint="eastAsia" w:ascii="仿宋_GB2312" w:eastAsia="仿宋_GB2312" w:cs="仿宋_GB2312"/>
          <w:sz w:val="32"/>
          <w:szCs w:val="32"/>
        </w:rPr>
        <w:t>）行政事业单位退休（</w:t>
      </w:r>
      <w:r>
        <w:rPr>
          <w:rFonts w:hint="eastAsia" w:ascii="仿宋_GB2312" w:eastAsia="仿宋_GB2312" w:cs="仿宋_GB2312"/>
          <w:sz w:val="32"/>
          <w:szCs w:val="32"/>
          <w:lang w:val="en-US" w:eastAsia="zh-CN"/>
        </w:rPr>
        <w:t>款</w:t>
      </w:r>
      <w:r>
        <w:rPr>
          <w:rFonts w:hint="eastAsia" w:ascii="仿宋_GB2312" w:eastAsia="仿宋_GB2312" w:cs="仿宋_GB2312"/>
          <w:sz w:val="32"/>
          <w:szCs w:val="32"/>
        </w:rPr>
        <w:t>）机关事业单位基本养老保险缴费支出（</w:t>
      </w:r>
      <w:r>
        <w:rPr>
          <w:rFonts w:hint="eastAsia" w:ascii="仿宋_GB2312" w:eastAsia="仿宋_GB2312" w:cs="仿宋_GB2312"/>
          <w:bCs/>
          <w:sz w:val="32"/>
          <w:szCs w:val="32"/>
          <w:lang w:val="en-US" w:eastAsia="zh-CN"/>
        </w:rPr>
        <w:t>项</w:t>
      </w:r>
      <w:r>
        <w:rPr>
          <w:rFonts w:hint="eastAsia" w:ascii="仿宋_GB2312" w:eastAsia="仿宋_GB2312" w:cs="仿宋_GB2312"/>
          <w:sz w:val="32"/>
          <w:szCs w:val="32"/>
        </w:rPr>
        <w:t>）：指反映机关事业单位实施养老保险制度由单位缴纳的基本养老保险支出。</w:t>
      </w:r>
    </w:p>
    <w:p w14:paraId="42501CB6">
      <w:pPr>
        <w:pStyle w:val="17"/>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社会保障和就业支出（</w:t>
      </w:r>
      <w:r>
        <w:rPr>
          <w:rFonts w:hint="eastAsia" w:ascii="仿宋_GB2312" w:eastAsia="仿宋_GB2312" w:cs="仿宋_GB2312"/>
          <w:bCs/>
          <w:sz w:val="32"/>
          <w:szCs w:val="32"/>
          <w:lang w:val="en-US" w:eastAsia="zh-CN"/>
        </w:rPr>
        <w:t>类</w:t>
      </w:r>
      <w:r>
        <w:rPr>
          <w:rFonts w:hint="eastAsia" w:ascii="仿宋_GB2312" w:eastAsia="仿宋_GB2312"/>
          <w:sz w:val="32"/>
          <w:szCs w:val="32"/>
        </w:rPr>
        <w:t>）行政事业单位退休（</w:t>
      </w:r>
      <w:r>
        <w:rPr>
          <w:rFonts w:hint="eastAsia" w:ascii="仿宋_GB2312" w:eastAsia="仿宋_GB2312" w:cs="仿宋_GB2312"/>
          <w:sz w:val="32"/>
          <w:szCs w:val="32"/>
          <w:lang w:val="en-US" w:eastAsia="zh-CN"/>
        </w:rPr>
        <w:t>款</w:t>
      </w:r>
      <w:r>
        <w:rPr>
          <w:rFonts w:hint="eastAsia" w:ascii="仿宋_GB2312" w:eastAsia="仿宋_GB2312"/>
          <w:sz w:val="32"/>
          <w:szCs w:val="32"/>
        </w:rPr>
        <w:t>）机关事业单位职业年金缴费支出（</w:t>
      </w:r>
      <w:r>
        <w:rPr>
          <w:rFonts w:hint="eastAsia" w:ascii="仿宋_GB2312" w:eastAsia="仿宋_GB2312" w:cs="仿宋_GB2312"/>
          <w:bCs/>
          <w:sz w:val="32"/>
          <w:szCs w:val="32"/>
          <w:lang w:val="en-US" w:eastAsia="zh-CN"/>
        </w:rPr>
        <w:t>项</w:t>
      </w:r>
      <w:r>
        <w:rPr>
          <w:rFonts w:hint="eastAsia" w:ascii="仿宋_GB2312" w:eastAsia="仿宋_GB2312"/>
          <w:sz w:val="32"/>
          <w:szCs w:val="32"/>
        </w:rPr>
        <w:t>）：指反映机关事业单位实施养老保险制度由单位实际缴纳的职业年金支出。</w:t>
      </w:r>
    </w:p>
    <w:p w14:paraId="7D837432">
      <w:pPr>
        <w:pStyle w:val="17"/>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卫生健康支出（</w:t>
      </w:r>
      <w:r>
        <w:rPr>
          <w:rFonts w:hint="eastAsia" w:ascii="仿宋_GB2312" w:eastAsia="仿宋_GB2312" w:cs="仿宋_GB2312"/>
          <w:bCs/>
          <w:sz w:val="32"/>
          <w:szCs w:val="32"/>
          <w:lang w:val="en-US" w:eastAsia="zh-CN"/>
        </w:rPr>
        <w:t>类</w:t>
      </w:r>
      <w:r>
        <w:rPr>
          <w:rFonts w:hint="eastAsia" w:ascii="仿宋_GB2312" w:eastAsia="仿宋_GB2312"/>
          <w:sz w:val="32"/>
          <w:szCs w:val="32"/>
        </w:rPr>
        <w:t>）行政事业单位医疗（</w:t>
      </w:r>
      <w:r>
        <w:rPr>
          <w:rFonts w:hint="eastAsia" w:ascii="仿宋_GB2312" w:eastAsia="仿宋_GB2312" w:cs="仿宋_GB2312"/>
          <w:sz w:val="32"/>
          <w:szCs w:val="32"/>
          <w:lang w:val="en-US" w:eastAsia="zh-CN"/>
        </w:rPr>
        <w:t>款</w:t>
      </w:r>
      <w:r>
        <w:rPr>
          <w:rFonts w:hint="eastAsia" w:ascii="仿宋_GB2312" w:eastAsia="仿宋_GB2312"/>
          <w:sz w:val="32"/>
          <w:szCs w:val="32"/>
        </w:rPr>
        <w:t>）事业单位医疗（</w:t>
      </w:r>
      <w:r>
        <w:rPr>
          <w:rFonts w:hint="eastAsia" w:ascii="仿宋_GB2312" w:eastAsia="仿宋_GB2312" w:cs="仿宋_GB2312"/>
          <w:bCs/>
          <w:sz w:val="32"/>
          <w:szCs w:val="32"/>
          <w:lang w:val="en-US" w:eastAsia="zh-CN"/>
        </w:rPr>
        <w:t>项</w:t>
      </w:r>
      <w:r>
        <w:rPr>
          <w:rFonts w:hint="eastAsia" w:ascii="仿宋_GB2312" w:eastAsia="仿宋_GB2312"/>
          <w:sz w:val="32"/>
          <w:szCs w:val="32"/>
        </w:rPr>
        <w:t>）：指事业单位用于缴纳单位基本医疗保险支出。</w:t>
      </w:r>
    </w:p>
    <w:p w14:paraId="7560039E">
      <w:pPr>
        <w:pStyle w:val="17"/>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住房</w:t>
      </w:r>
      <w:r>
        <w:rPr>
          <w:rFonts w:hint="eastAsia" w:ascii="仿宋_GB2312" w:eastAsia="仿宋_GB2312" w:cs="仿宋_GB2312"/>
          <w:sz w:val="32"/>
          <w:szCs w:val="32"/>
        </w:rPr>
        <w:t>保障支出（</w:t>
      </w:r>
      <w:r>
        <w:rPr>
          <w:rFonts w:hint="eastAsia" w:ascii="仿宋_GB2312" w:eastAsia="仿宋_GB2312" w:cs="仿宋_GB2312"/>
          <w:bCs/>
          <w:sz w:val="32"/>
          <w:szCs w:val="32"/>
          <w:lang w:val="en-US" w:eastAsia="zh-CN"/>
        </w:rPr>
        <w:t>类</w:t>
      </w:r>
      <w:r>
        <w:rPr>
          <w:rFonts w:hint="eastAsia" w:ascii="仿宋_GB2312" w:eastAsia="仿宋_GB2312" w:cs="仿宋_GB2312"/>
          <w:sz w:val="32"/>
          <w:szCs w:val="32"/>
        </w:rPr>
        <w:t>）住房改革支出（</w:t>
      </w:r>
      <w:r>
        <w:rPr>
          <w:rFonts w:hint="eastAsia" w:ascii="仿宋_GB2312" w:eastAsia="仿宋_GB2312" w:cs="仿宋_GB2312"/>
          <w:sz w:val="32"/>
          <w:szCs w:val="32"/>
          <w:lang w:val="en-US" w:eastAsia="zh-CN"/>
        </w:rPr>
        <w:t>款</w:t>
      </w:r>
      <w:r>
        <w:rPr>
          <w:rFonts w:hint="eastAsia" w:ascii="仿宋_GB2312" w:eastAsia="仿宋_GB2312" w:cs="仿宋_GB2312"/>
          <w:sz w:val="32"/>
          <w:szCs w:val="32"/>
        </w:rPr>
        <w:t>）住房公积金（</w:t>
      </w:r>
      <w:r>
        <w:rPr>
          <w:rFonts w:hint="eastAsia" w:ascii="仿宋_GB2312" w:eastAsia="仿宋_GB2312" w:cs="仿宋_GB2312"/>
          <w:bCs/>
          <w:sz w:val="32"/>
          <w:szCs w:val="32"/>
          <w:lang w:val="en-US" w:eastAsia="zh-CN"/>
        </w:rPr>
        <w:t>项</w:t>
      </w:r>
      <w:r>
        <w:rPr>
          <w:rFonts w:hint="eastAsia" w:ascii="仿宋_GB2312" w:eastAsia="仿宋_GB2312" w:cs="仿宋_GB2312"/>
          <w:sz w:val="32"/>
          <w:szCs w:val="32"/>
        </w:rPr>
        <w:t>）：指反映行政事业单位按人力资源和社会保障部、财政部规定的基本工资和津贴补贴以及规定比例为职工缴纳的住房公积金。</w:t>
      </w:r>
    </w:p>
    <w:p w14:paraId="2DEA940D">
      <w:pPr>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sz w:val="32"/>
          <w:szCs w:val="32"/>
        </w:rPr>
      </w:pP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基本支出：指为保障机构正常运转、完成日常工作任务而发生的人员支出和公用支出。</w:t>
      </w:r>
    </w:p>
    <w:p w14:paraId="27B3FF07">
      <w:pPr>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sz w:val="32"/>
          <w:szCs w:val="32"/>
        </w:rPr>
      </w:pP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项目支出：指在基本支出之外为完成特定行政任务和事业发展目标所发生的支出。</w:t>
      </w:r>
    </w:p>
    <w:p w14:paraId="4D2C4340">
      <w:pPr>
        <w:pStyle w:val="17"/>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ascii="仿宋_GB2312" w:eastAsia="仿宋_GB2312" w:cs="Times New Roman"/>
          <w:color w:val="auto"/>
          <w:sz w:val="32"/>
          <w:szCs w:val="32"/>
        </w:rPr>
      </w:pPr>
      <w:r>
        <w:rPr>
          <w:rFonts w:hint="eastAsia" w:ascii="仿宋_GB2312" w:eastAsia="仿宋_GB2312" w:cs="仿宋_GB2312"/>
          <w:color w:val="auto"/>
          <w:sz w:val="32"/>
          <w:szCs w:val="32"/>
          <w:lang w:val="en-US" w:eastAsia="zh-CN"/>
        </w:rPr>
        <w:t>13.</w:t>
      </w:r>
      <w:r>
        <w:rPr>
          <w:rFonts w:hint="eastAsia" w:ascii="仿宋_GB2312" w:eastAsia="仿宋_GB2312" w:cs="仿宋_GB2312"/>
          <w:color w:val="auto"/>
          <w:sz w:val="32"/>
          <w:szCs w:val="32"/>
        </w:rPr>
        <w:t>“三公”经费：指</w:t>
      </w:r>
      <w:r>
        <w:rPr>
          <w:rFonts w:hint="eastAsia" w:ascii="仿宋_GB2312" w:eastAsia="仿宋_GB2312" w:cs="仿宋_GB2312"/>
          <w:color w:val="auto"/>
          <w:sz w:val="32"/>
          <w:szCs w:val="32"/>
          <w:lang w:val="en-US" w:eastAsia="zh-CN"/>
        </w:rPr>
        <w:t>单位</w:t>
      </w:r>
      <w:r>
        <w:rPr>
          <w:rFonts w:hint="eastAsia" w:ascii="仿宋_GB2312" w:eastAsia="仿宋_GB2312" w:cs="仿宋_GB2312"/>
          <w:color w:val="auto"/>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49FD072">
      <w:pPr>
        <w:pStyle w:val="17"/>
        <w:keepNext w:val="0"/>
        <w:keepLines w:val="0"/>
        <w:pageBreakBefore w:val="0"/>
        <w:widowControl w:val="0"/>
        <w:kinsoku/>
        <w:wordWrap/>
        <w:overflowPunct/>
        <w:topLinePunct w:val="0"/>
        <w:bidi w:val="0"/>
        <w:snapToGrid/>
        <w:spacing w:afterAutospacing="0" w:line="576" w:lineRule="exact"/>
        <w:ind w:firstLine="640" w:firstLineChars="200"/>
        <w:textAlignment w:val="auto"/>
        <w:outlineLvl w:val="9"/>
        <w:rPr>
          <w:rFonts w:hint="eastAsia" w:ascii="黑体" w:hAnsi="Times New Roman" w:eastAsia="黑体" w:cs="Times New Roman"/>
          <w:color w:val="000000"/>
          <w:kern w:val="2"/>
          <w:sz w:val="44"/>
          <w:szCs w:val="44"/>
          <w:lang w:val="en-US" w:eastAsia="zh-CN" w:bidi="ar-SA"/>
        </w:rPr>
      </w:pPr>
      <w:r>
        <w:rPr>
          <w:rFonts w:hint="eastAsia" w:ascii="仿宋_GB2312" w:eastAsia="仿宋_GB2312" w:cs="仿宋_GB2312"/>
          <w:color w:val="auto"/>
          <w:sz w:val="32"/>
          <w:szCs w:val="32"/>
          <w:lang w:val="en-US" w:eastAsia="zh-CN"/>
        </w:rPr>
        <w:t>14.</w:t>
      </w:r>
      <w:r>
        <w:rPr>
          <w:rFonts w:hint="eastAsia" w:ascii="仿宋_GB2312" w:eastAsia="仿宋_GB2312" w:cs="仿宋_GB2312"/>
          <w:color w:val="auto"/>
          <w:sz w:val="32"/>
          <w:szCs w:val="32"/>
        </w:rPr>
        <w:t>机关运行经费：为保障行政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44" w:name="_Toc30535"/>
      <w:bookmarkStart w:id="45" w:name="_Toc32176"/>
      <w:bookmarkStart w:id="46" w:name="_Toc27081"/>
      <w:bookmarkStart w:id="47" w:name="_Toc15359"/>
    </w:p>
    <w:p w14:paraId="10996AD1">
      <w:pPr>
        <w:pStyle w:val="12"/>
        <w:keepNext w:val="0"/>
        <w:keepLines w:val="0"/>
        <w:pageBreakBefore w:val="0"/>
        <w:widowControl w:val="0"/>
        <w:suppressLineNumbers w:val="0"/>
        <w:kinsoku/>
        <w:wordWrap/>
        <w:overflowPunct/>
        <w:topLinePunct w:val="0"/>
        <w:bidi w:val="0"/>
        <w:snapToGrid/>
        <w:spacing w:before="0" w:beforeAutospacing="0" w:afterAutospacing="0" w:line="576" w:lineRule="exact"/>
        <w:ind w:left="0" w:firstLine="883" w:firstLineChars="200"/>
        <w:jc w:val="center"/>
        <w:textAlignment w:val="auto"/>
        <w:outlineLvl w:val="0"/>
        <w:rPr>
          <w:rStyle w:val="15"/>
          <w:rFonts w:hint="eastAsia" w:ascii="黑体" w:hAnsi="黑体" w:eastAsia="黑体" w:cs="黑体"/>
          <w:sz w:val="44"/>
          <w:szCs w:val="44"/>
          <w:shd w:val="clear" w:fill="FFFFFF"/>
          <w:lang w:val="en-US" w:eastAsia="zh-CN"/>
        </w:rPr>
      </w:pPr>
    </w:p>
    <w:p w14:paraId="049D1D15">
      <w:pPr>
        <w:pStyle w:val="12"/>
        <w:keepNext w:val="0"/>
        <w:keepLines w:val="0"/>
        <w:pageBreakBefore w:val="0"/>
        <w:widowControl w:val="0"/>
        <w:suppressLineNumbers w:val="0"/>
        <w:kinsoku/>
        <w:wordWrap/>
        <w:overflowPunct/>
        <w:topLinePunct w:val="0"/>
        <w:bidi w:val="0"/>
        <w:snapToGrid/>
        <w:spacing w:before="0" w:beforeAutospacing="0" w:afterAutospacing="0" w:line="576" w:lineRule="exact"/>
        <w:ind w:left="0" w:firstLine="883" w:firstLineChars="200"/>
        <w:jc w:val="center"/>
        <w:textAlignment w:val="auto"/>
        <w:outlineLvl w:val="0"/>
        <w:rPr>
          <w:rStyle w:val="15"/>
          <w:rFonts w:hint="eastAsia" w:ascii="黑体" w:hAnsi="黑体" w:eastAsia="黑体" w:cs="黑体"/>
          <w:sz w:val="44"/>
          <w:szCs w:val="44"/>
          <w:shd w:val="clear" w:fill="FFFFFF"/>
          <w:lang w:val="en-US" w:eastAsia="zh-CN"/>
        </w:rPr>
      </w:pPr>
    </w:p>
    <w:p w14:paraId="48F14B9F">
      <w:pPr>
        <w:pStyle w:val="12"/>
        <w:keepNext w:val="0"/>
        <w:keepLines w:val="0"/>
        <w:pageBreakBefore w:val="0"/>
        <w:widowControl w:val="0"/>
        <w:suppressLineNumbers w:val="0"/>
        <w:kinsoku/>
        <w:wordWrap/>
        <w:overflowPunct/>
        <w:topLinePunct w:val="0"/>
        <w:bidi w:val="0"/>
        <w:snapToGrid/>
        <w:spacing w:before="0" w:beforeAutospacing="0" w:afterAutospacing="0" w:line="576" w:lineRule="exact"/>
        <w:ind w:left="0" w:firstLine="883" w:firstLineChars="200"/>
        <w:jc w:val="center"/>
        <w:textAlignment w:val="auto"/>
        <w:outlineLvl w:val="0"/>
        <w:rPr>
          <w:rStyle w:val="15"/>
          <w:rFonts w:hint="eastAsia" w:ascii="黑体" w:hAnsi="黑体" w:eastAsia="黑体" w:cs="黑体"/>
          <w:sz w:val="44"/>
          <w:szCs w:val="44"/>
          <w:shd w:val="clear" w:fill="FFFFFF"/>
          <w:lang w:val="en-US" w:eastAsia="zh-CN"/>
        </w:rPr>
      </w:pPr>
    </w:p>
    <w:p w14:paraId="5E1ADA6F">
      <w:pPr>
        <w:pStyle w:val="12"/>
        <w:keepNext w:val="0"/>
        <w:keepLines w:val="0"/>
        <w:pageBreakBefore w:val="0"/>
        <w:widowControl w:val="0"/>
        <w:suppressLineNumbers w:val="0"/>
        <w:kinsoku/>
        <w:wordWrap/>
        <w:overflowPunct/>
        <w:topLinePunct w:val="0"/>
        <w:bidi w:val="0"/>
        <w:snapToGrid/>
        <w:spacing w:before="0" w:beforeAutospacing="0" w:afterAutospacing="0" w:line="576" w:lineRule="exact"/>
        <w:ind w:left="0" w:firstLine="883" w:firstLineChars="200"/>
        <w:jc w:val="center"/>
        <w:textAlignment w:val="auto"/>
        <w:outlineLvl w:val="0"/>
        <w:rPr>
          <w:rStyle w:val="15"/>
          <w:rFonts w:hint="eastAsia" w:ascii="黑体" w:hAnsi="黑体" w:eastAsia="黑体" w:cs="黑体"/>
          <w:sz w:val="44"/>
          <w:szCs w:val="44"/>
          <w:shd w:val="clear" w:fill="FFFFFF"/>
          <w:lang w:val="en-US" w:eastAsia="zh-CN"/>
        </w:rPr>
      </w:pPr>
    </w:p>
    <w:p w14:paraId="72D244AF">
      <w:pPr>
        <w:pStyle w:val="12"/>
        <w:keepNext w:val="0"/>
        <w:keepLines w:val="0"/>
        <w:pageBreakBefore w:val="0"/>
        <w:widowControl w:val="0"/>
        <w:suppressLineNumbers w:val="0"/>
        <w:kinsoku/>
        <w:wordWrap/>
        <w:overflowPunct/>
        <w:topLinePunct w:val="0"/>
        <w:bidi w:val="0"/>
        <w:snapToGrid/>
        <w:spacing w:before="0" w:beforeAutospacing="0"/>
        <w:ind w:left="0"/>
        <w:jc w:val="center"/>
        <w:outlineLvl w:val="0"/>
        <w:rPr>
          <w:rStyle w:val="15"/>
          <w:rFonts w:hint="eastAsia" w:ascii="黑体" w:hAnsi="黑体" w:eastAsia="黑体" w:cs="黑体"/>
          <w:sz w:val="44"/>
          <w:szCs w:val="44"/>
          <w:shd w:val="clear" w:fill="FFFFFF"/>
          <w:lang w:val="en-US" w:eastAsia="zh-CN"/>
        </w:rPr>
      </w:pPr>
      <w:bookmarkStart w:id="48" w:name="_Toc1211"/>
      <w:r>
        <w:rPr>
          <w:rStyle w:val="15"/>
          <w:rFonts w:hint="eastAsia" w:ascii="黑体" w:hAnsi="黑体" w:eastAsia="黑体" w:cs="黑体"/>
          <w:sz w:val="44"/>
          <w:szCs w:val="44"/>
          <w:shd w:val="clear" w:fill="FFFFFF"/>
          <w:lang w:val="en-US" w:eastAsia="zh-CN"/>
        </w:rPr>
        <w:t>第四部分 附件</w:t>
      </w:r>
      <w:bookmarkEnd w:id="44"/>
      <w:bookmarkEnd w:id="45"/>
      <w:bookmarkEnd w:id="46"/>
      <w:bookmarkEnd w:id="47"/>
      <w:bookmarkEnd w:id="48"/>
    </w:p>
    <w:tbl>
      <w:tblPr>
        <w:tblStyle w:val="13"/>
        <w:tblW w:w="10140" w:type="dxa"/>
        <w:tblInd w:w="-67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47"/>
        <w:gridCol w:w="269"/>
        <w:gridCol w:w="582"/>
        <w:gridCol w:w="217"/>
        <w:gridCol w:w="807"/>
        <w:gridCol w:w="203"/>
        <w:gridCol w:w="362"/>
        <w:gridCol w:w="1508"/>
        <w:gridCol w:w="177"/>
        <w:gridCol w:w="408"/>
        <w:gridCol w:w="280"/>
        <w:gridCol w:w="485"/>
        <w:gridCol w:w="1139"/>
        <w:gridCol w:w="909"/>
        <w:gridCol w:w="503"/>
        <w:gridCol w:w="529"/>
        <w:gridCol w:w="115"/>
        <w:gridCol w:w="900"/>
      </w:tblGrid>
      <w:tr w14:paraId="4AA2E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0" w:hRule="atLeast"/>
        </w:trPr>
        <w:tc>
          <w:tcPr>
            <w:tcW w:w="10140" w:type="dxa"/>
            <w:gridSpan w:val="1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E4B65C">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茂县“四川科技兴村在线”平台2023年科技信息服务后补助及2024年科技服务平台运行绩效后补助支出绩效自评表</w:t>
            </w:r>
          </w:p>
        </w:tc>
      </w:tr>
      <w:tr w14:paraId="7C3D4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40" w:hRule="atLeast"/>
        </w:trPr>
        <w:tc>
          <w:tcPr>
            <w:tcW w:w="181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A95C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325" w:type="dxa"/>
            <w:gridSpan w:val="1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F24B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茂县“四川科技兴村在线”平台2023年科技信息服务后补助及2024年科技服务平台运行绩效后补助</w:t>
            </w:r>
          </w:p>
        </w:tc>
      </w:tr>
      <w:tr w14:paraId="3DD2F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trPr>
        <w:tc>
          <w:tcPr>
            <w:tcW w:w="1815" w:type="dxa"/>
            <w:gridSpan w:val="4"/>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29EFE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8"/>
            <w:tcBorders>
              <w:top w:val="single" w:color="auto" w:sz="4" w:space="0"/>
              <w:left w:val="single" w:color="auto" w:sz="4" w:space="0"/>
              <w:bottom w:val="single" w:color="auto" w:sz="4" w:space="0"/>
              <w:right w:val="single" w:color="000000" w:sz="4" w:space="0"/>
            </w:tcBorders>
            <w:shd w:val="clear" w:color="auto" w:fill="FFFFFF" w:themeFill="background1"/>
            <w:vAlign w:val="center"/>
          </w:tcPr>
          <w:p w14:paraId="6D10AD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c>
          <w:tcPr>
            <w:tcW w:w="1139" w:type="dxa"/>
            <w:tcBorders>
              <w:top w:val="single" w:color="auto" w:sz="4" w:space="0"/>
              <w:left w:val="nil"/>
              <w:bottom w:val="single" w:color="auto" w:sz="4" w:space="0"/>
              <w:right w:val="single" w:color="auto" w:sz="4" w:space="0"/>
            </w:tcBorders>
            <w:shd w:val="clear" w:color="auto" w:fill="FFFFFF" w:themeFill="background1"/>
            <w:vAlign w:val="center"/>
          </w:tcPr>
          <w:p w14:paraId="752C9F8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实施单位 </w:t>
            </w:r>
          </w:p>
        </w:tc>
        <w:tc>
          <w:tcPr>
            <w:tcW w:w="2956" w:type="dxa"/>
            <w:gridSpan w:val="5"/>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14:paraId="21FE2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r>
      <w:tr w14:paraId="0635F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723B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68"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A51C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项目年度目标完成情况</w:t>
            </w:r>
          </w:p>
        </w:tc>
        <w:tc>
          <w:tcPr>
            <w:tcW w:w="4230"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CE3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095"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9EEB9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14:paraId="2A357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08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A3BAE8">
            <w:pPr>
              <w:rPr>
                <w:rFonts w:hint="eastAsia" w:ascii="宋体" w:hAnsi="宋体" w:eastAsia="宋体" w:cs="宋体"/>
                <w:i w:val="0"/>
                <w:iCs w:val="0"/>
                <w:color w:val="000000"/>
                <w:sz w:val="18"/>
                <w:szCs w:val="18"/>
                <w:u w:val="none"/>
              </w:rPr>
            </w:pPr>
          </w:p>
        </w:tc>
        <w:tc>
          <w:tcPr>
            <w:tcW w:w="106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BD4334">
            <w:pPr>
              <w:rPr>
                <w:rFonts w:hint="eastAsia" w:ascii="宋体" w:hAnsi="宋体" w:eastAsia="宋体" w:cs="宋体"/>
                <w:i w:val="0"/>
                <w:iCs w:val="0"/>
                <w:color w:val="000000"/>
                <w:sz w:val="18"/>
                <w:szCs w:val="18"/>
                <w:u w:val="none"/>
              </w:rPr>
            </w:pPr>
          </w:p>
        </w:tc>
        <w:tc>
          <w:tcPr>
            <w:tcW w:w="3745"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9194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通过项目的实施，进一步完善“四川科技兴村在线”茂县平台， 在全县范围内开展种养殖技术咨询，通过信息员收集问题，在线提问，分诊员在线分诊，专家在线解答的方式，解决农户在生产生活总遇到的实际困难和问题，助推农业科技服务网格化体系更加完善。</w:t>
            </w:r>
          </w:p>
        </w:tc>
        <w:tc>
          <w:tcPr>
            <w:tcW w:w="4580"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08A9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zh-CN" w:eastAsia="zh-CN" w:bidi="ar"/>
              </w:rPr>
              <w:t>项目进一步完善了专家队伍</w:t>
            </w:r>
            <w:r>
              <w:rPr>
                <w:rFonts w:hint="eastAsia" w:ascii="宋体" w:hAnsi="宋体" w:eastAsia="宋体" w:cs="宋体"/>
                <w:i w:val="0"/>
                <w:iCs w:val="0"/>
                <w:color w:val="000000"/>
                <w:kern w:val="0"/>
                <w:sz w:val="18"/>
                <w:szCs w:val="18"/>
                <w:u w:val="none"/>
                <w:lang w:val="en-US" w:eastAsia="zh-CN" w:bidi="ar"/>
              </w:rPr>
              <w:t>171人</w:t>
            </w:r>
            <w:r>
              <w:rPr>
                <w:rFonts w:hint="eastAsia" w:ascii="宋体" w:hAnsi="宋体" w:eastAsia="宋体" w:cs="宋体"/>
                <w:i w:val="0"/>
                <w:iCs w:val="0"/>
                <w:color w:val="000000"/>
                <w:kern w:val="0"/>
                <w:sz w:val="18"/>
                <w:szCs w:val="18"/>
                <w:u w:val="none"/>
                <w:lang w:val="zh-CN" w:eastAsia="zh-CN" w:bidi="ar"/>
              </w:rPr>
              <w:t>、信息员队伍</w:t>
            </w:r>
            <w:r>
              <w:rPr>
                <w:rFonts w:hint="eastAsia" w:ascii="宋体" w:hAnsi="宋体" w:eastAsia="宋体" w:cs="宋体"/>
                <w:i w:val="0"/>
                <w:iCs w:val="0"/>
                <w:color w:val="000000"/>
                <w:kern w:val="0"/>
                <w:sz w:val="18"/>
                <w:szCs w:val="18"/>
                <w:u w:val="none"/>
                <w:lang w:val="en-US" w:eastAsia="zh-CN" w:bidi="ar"/>
              </w:rPr>
              <w:t>350人</w:t>
            </w:r>
            <w:r>
              <w:rPr>
                <w:rFonts w:hint="eastAsia" w:ascii="宋体" w:hAnsi="宋体" w:eastAsia="宋体" w:cs="宋体"/>
                <w:i w:val="0"/>
                <w:iCs w:val="0"/>
                <w:color w:val="000000"/>
                <w:kern w:val="0"/>
                <w:sz w:val="18"/>
                <w:szCs w:val="18"/>
                <w:u w:val="none"/>
                <w:lang w:val="zh-CN" w:eastAsia="zh-CN" w:bidi="ar"/>
              </w:rPr>
              <w:t>和分诊员队伍</w:t>
            </w:r>
            <w:r>
              <w:rPr>
                <w:rFonts w:hint="eastAsia" w:ascii="宋体" w:hAnsi="宋体" w:eastAsia="宋体" w:cs="宋体"/>
                <w:i w:val="0"/>
                <w:iCs w:val="0"/>
                <w:color w:val="000000"/>
                <w:kern w:val="0"/>
                <w:sz w:val="18"/>
                <w:szCs w:val="18"/>
                <w:u w:val="none"/>
                <w:lang w:val="en-US" w:eastAsia="zh-CN" w:bidi="ar"/>
              </w:rPr>
              <w:t>2人</w:t>
            </w:r>
            <w:r>
              <w:rPr>
                <w:rFonts w:hint="eastAsia" w:ascii="宋体" w:hAnsi="宋体" w:eastAsia="宋体" w:cs="宋体"/>
                <w:i w:val="0"/>
                <w:iCs w:val="0"/>
                <w:color w:val="000000"/>
                <w:kern w:val="0"/>
                <w:sz w:val="18"/>
                <w:szCs w:val="18"/>
                <w:u w:val="none"/>
                <w:lang w:val="zh-CN" w:eastAsia="zh-CN" w:bidi="ar"/>
              </w:rPr>
              <w:t>，开展在线</w:t>
            </w:r>
            <w:r>
              <w:rPr>
                <w:rFonts w:hint="eastAsia" w:ascii="宋体" w:hAnsi="宋体" w:eastAsia="宋体" w:cs="宋体"/>
                <w:i w:val="0"/>
                <w:iCs w:val="0"/>
                <w:color w:val="000000"/>
                <w:kern w:val="0"/>
                <w:sz w:val="18"/>
                <w:szCs w:val="18"/>
                <w:u w:val="none"/>
                <w:lang w:val="en-US" w:eastAsia="zh-CN" w:bidi="ar"/>
              </w:rPr>
              <w:t>2571次，发布技术供给、产业资讯、供销对接30条，开展信息员培训9场次，培训信息员159人，兑现专家服务补助65人，兑现信息员服务补助51人，通过线上及时解决农户生产中遇到的实际问题，助推农业科技服务网格化体系更加完善。</w:t>
            </w:r>
          </w:p>
        </w:tc>
      </w:tr>
      <w:tr w14:paraId="340B9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68D079">
            <w:pPr>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3191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项目实施内容及过程概述</w:t>
            </w:r>
          </w:p>
        </w:tc>
        <w:tc>
          <w:tcPr>
            <w:tcW w:w="8325" w:type="dxa"/>
            <w:gridSpan w:val="1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C73F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65名专家服务补助和51名信息员服务补助由省、州反馈名单，由县科农局拨付资金24.60万元，</w:t>
            </w:r>
            <w:r>
              <w:rPr>
                <w:rFonts w:hint="eastAsia" w:ascii="宋体" w:hAnsi="宋体" w:eastAsia="宋体" w:cs="宋体"/>
                <w:i w:val="0"/>
                <w:iCs w:val="0"/>
                <w:color w:val="000000"/>
                <w:kern w:val="0"/>
                <w:sz w:val="18"/>
                <w:szCs w:val="18"/>
                <w:u w:val="none"/>
                <w:lang w:val="en-US" w:eastAsia="zh-CN" w:bidi="ar"/>
              </w:rPr>
              <w:t>2024年科技服务平台运行绩效后补助20.4</w:t>
            </w:r>
            <w:r>
              <w:rPr>
                <w:rFonts w:hint="eastAsia" w:hAnsi="宋体" w:cs="宋体"/>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万元，主要用于2024年10月1日-2025年9月30日期间平台运行维护。平台在线咨询、平台宣传等。</w:t>
            </w:r>
          </w:p>
        </w:tc>
      </w:tr>
      <w:tr w14:paraId="64529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55"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BD1F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行情况（10分）</w:t>
            </w: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A97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7B0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64ED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4D0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71C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CB9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996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AE3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3118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50F02F">
            <w:pPr>
              <w:jc w:val="left"/>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8F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C02D6A">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45.04</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3EA6C4">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45.04</w:t>
            </w:r>
          </w:p>
        </w:tc>
        <w:tc>
          <w:tcPr>
            <w:tcW w:w="13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707C30">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41.07</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44E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91.19</w:t>
            </w:r>
            <w:r>
              <w:rPr>
                <w:rFonts w:ascii="宋体" w:hAnsi="宋体" w:eastAsia="宋体" w:cs="宋体"/>
                <w:i w:val="0"/>
                <w:iCs w:val="0"/>
                <w:color w:val="000000"/>
                <w:kern w:val="0"/>
                <w:sz w:val="18"/>
                <w:szCs w:val="18"/>
                <w:u w:val="none"/>
                <w:lang w:val="en-US" w:eastAsia="zh-CN" w:bidi="ar"/>
              </w:rPr>
              <w:t>%</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D06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E6CC37">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9.8</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9DF6E0">
            <w:pPr>
              <w:keepNext w:val="0"/>
              <w:keepLines w:val="0"/>
              <w:widowControl/>
              <w:suppressLineNumbers w:val="0"/>
              <w:ind w:left="0" w:leftChars="0" w:right="0" w:rightChars="0"/>
              <w:jc w:val="center"/>
              <w:textAlignment w:val="center"/>
              <w:rPr>
                <w:rFonts w:hint="default" w:ascii="黑体" w:hAnsi="黑体" w:eastAsia="黑体" w:cs="黑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项目为跨年项目，正在实施中</w:t>
            </w:r>
          </w:p>
        </w:tc>
      </w:tr>
      <w:tr w14:paraId="260DD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64"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ABA63A">
            <w:pPr>
              <w:jc w:val="left"/>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F69A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81A437">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45.04</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C531D5">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45.04</w:t>
            </w:r>
          </w:p>
        </w:tc>
        <w:tc>
          <w:tcPr>
            <w:tcW w:w="13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BD0C81">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41.07</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213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91.19</w:t>
            </w:r>
            <w:r>
              <w:rPr>
                <w:rFonts w:ascii="宋体" w:hAnsi="宋体" w:eastAsia="宋体" w:cs="宋体"/>
                <w:i w:val="0"/>
                <w:iCs w:val="0"/>
                <w:color w:val="000000"/>
                <w:kern w:val="0"/>
                <w:sz w:val="18"/>
                <w:szCs w:val="18"/>
                <w:u w:val="none"/>
                <w:lang w:val="en-US" w:eastAsia="zh-CN" w:bidi="ar"/>
              </w:rPr>
              <w:t>%</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BB3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73A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3FFE17">
            <w:pPr>
              <w:rPr>
                <w:rFonts w:hint="eastAsia" w:ascii="黑体" w:hAnsi="黑体" w:eastAsia="黑体" w:cs="黑体"/>
                <w:i w:val="0"/>
                <w:iCs w:val="0"/>
                <w:color w:val="000000"/>
                <w:sz w:val="18"/>
                <w:szCs w:val="18"/>
                <w:u w:val="none"/>
              </w:rPr>
            </w:pPr>
          </w:p>
        </w:tc>
      </w:tr>
      <w:tr w14:paraId="3875F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5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DC1FA4">
            <w:pPr>
              <w:jc w:val="left"/>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937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D9B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84E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09A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655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04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5FD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AF6FC8">
            <w:pPr>
              <w:rPr>
                <w:rFonts w:hint="eastAsia" w:ascii="黑体" w:hAnsi="黑体" w:eastAsia="黑体" w:cs="黑体"/>
                <w:i w:val="0"/>
                <w:iCs w:val="0"/>
                <w:color w:val="000000"/>
                <w:sz w:val="18"/>
                <w:szCs w:val="18"/>
                <w:u w:val="none"/>
              </w:rPr>
            </w:pPr>
          </w:p>
        </w:tc>
      </w:tr>
      <w:tr w14:paraId="489C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39C6AB">
            <w:pPr>
              <w:jc w:val="left"/>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448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774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1F5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BB9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A53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8A9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6D9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DF1379">
            <w:pPr>
              <w:rPr>
                <w:rFonts w:hint="eastAsia" w:ascii="黑体" w:hAnsi="黑体" w:eastAsia="黑体" w:cs="黑体"/>
                <w:i w:val="0"/>
                <w:iCs w:val="0"/>
                <w:color w:val="000000"/>
                <w:sz w:val="18"/>
                <w:szCs w:val="18"/>
                <w:u w:val="none"/>
              </w:rPr>
            </w:pPr>
          </w:p>
        </w:tc>
      </w:tr>
      <w:tr w14:paraId="4D983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716" w:hRule="atLeast"/>
        </w:trPr>
        <w:tc>
          <w:tcPr>
            <w:tcW w:w="747" w:type="dxa"/>
            <w:vMerge w:val="restart"/>
            <w:tcBorders>
              <w:top w:val="single" w:color="000000" w:sz="4" w:space="0"/>
              <w:left w:val="single" w:color="000000" w:sz="4" w:space="0"/>
              <w:right w:val="single" w:color="000000" w:sz="4" w:space="0"/>
            </w:tcBorders>
            <w:shd w:val="clear" w:color="auto" w:fill="FFFFFF" w:themeFill="background1"/>
            <w:vAlign w:val="center"/>
          </w:tcPr>
          <w:p w14:paraId="1F4BCB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289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0F4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C00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DEF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BA4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BC1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980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2FB3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052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89EF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EC77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80" w:hRule="atLeast"/>
        </w:trPr>
        <w:tc>
          <w:tcPr>
            <w:tcW w:w="747" w:type="dxa"/>
            <w:vMerge w:val="continue"/>
            <w:tcBorders>
              <w:left w:val="single" w:color="000000" w:sz="4" w:space="0"/>
              <w:right w:val="single" w:color="000000" w:sz="4" w:space="0"/>
            </w:tcBorders>
            <w:shd w:val="clear" w:color="auto" w:fill="FFFFFF" w:themeFill="background1"/>
            <w:vAlign w:val="center"/>
          </w:tcPr>
          <w:p w14:paraId="7BF9CA02">
            <w:pPr>
              <w:jc w:val="center"/>
              <w:rPr>
                <w:rFonts w:hint="eastAsia" w:ascii="宋体" w:hAnsi="宋体" w:eastAsia="宋体" w:cs="宋体"/>
                <w:i w:val="0"/>
                <w:iCs w:val="0"/>
                <w:color w:val="000000"/>
                <w:sz w:val="18"/>
                <w:szCs w:val="18"/>
                <w:u w:val="none"/>
              </w:rPr>
            </w:pPr>
          </w:p>
        </w:tc>
        <w:tc>
          <w:tcPr>
            <w:tcW w:w="1068"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7DC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5A8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D9E5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完善平台队伍</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E27E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C06A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30FD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5C0E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D227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00D8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930C83">
            <w:pPr>
              <w:jc w:val="center"/>
              <w:rPr>
                <w:rFonts w:hint="eastAsia" w:ascii="微软雅黑" w:hAnsi="微软雅黑" w:eastAsia="微软雅黑" w:cs="微软雅黑"/>
                <w:i/>
                <w:iCs/>
                <w:color w:val="000000"/>
                <w:sz w:val="16"/>
                <w:szCs w:val="16"/>
                <w:u w:val="none"/>
              </w:rPr>
            </w:pPr>
          </w:p>
        </w:tc>
      </w:tr>
      <w:tr w14:paraId="7391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11" w:hRule="atLeast"/>
        </w:trPr>
        <w:tc>
          <w:tcPr>
            <w:tcW w:w="747" w:type="dxa"/>
            <w:vMerge w:val="continue"/>
            <w:tcBorders>
              <w:left w:val="single" w:color="000000" w:sz="4" w:space="0"/>
              <w:right w:val="single" w:color="000000" w:sz="4" w:space="0"/>
            </w:tcBorders>
            <w:shd w:val="clear" w:color="auto" w:fill="FFFFFF" w:themeFill="background1"/>
            <w:vAlign w:val="center"/>
          </w:tcPr>
          <w:p w14:paraId="6E7BA4BB">
            <w:pPr>
              <w:jc w:val="center"/>
              <w:rPr>
                <w:rFonts w:hint="eastAsia" w:ascii="宋体" w:hAnsi="宋体" w:eastAsia="宋体" w:cs="宋体"/>
                <w:i w:val="0"/>
                <w:iCs w:val="0"/>
                <w:color w:val="000000"/>
                <w:sz w:val="18"/>
                <w:szCs w:val="18"/>
                <w:u w:val="none"/>
              </w:rPr>
            </w:pPr>
          </w:p>
        </w:tc>
        <w:tc>
          <w:tcPr>
            <w:tcW w:w="1068" w:type="dxa"/>
            <w:gridSpan w:val="3"/>
            <w:vMerge w:val="continue"/>
            <w:tcBorders>
              <w:left w:val="single" w:color="000000" w:sz="4" w:space="0"/>
              <w:right w:val="single" w:color="000000" w:sz="4" w:space="0"/>
            </w:tcBorders>
            <w:shd w:val="clear" w:color="auto" w:fill="FFFFFF" w:themeFill="background1"/>
            <w:vAlign w:val="center"/>
          </w:tcPr>
          <w:p w14:paraId="155944BF">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07" w:type="dxa"/>
            <w:vMerge w:val="continue"/>
            <w:tcBorders>
              <w:left w:val="single" w:color="000000" w:sz="4" w:space="0"/>
              <w:right w:val="single" w:color="000000" w:sz="4" w:space="0"/>
            </w:tcBorders>
            <w:shd w:val="clear" w:color="auto" w:fill="FFFFFF" w:themeFill="background1"/>
            <w:vAlign w:val="center"/>
          </w:tcPr>
          <w:p w14:paraId="205EF30C">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8CC0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开展在线咨询</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8062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98ED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D9AA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次</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88E63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2571</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9862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584E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C12677">
            <w:pPr>
              <w:jc w:val="center"/>
              <w:rPr>
                <w:rFonts w:hint="eastAsia" w:ascii="微软雅黑" w:hAnsi="微软雅黑" w:eastAsia="微软雅黑" w:cs="微软雅黑"/>
                <w:i/>
                <w:iCs/>
                <w:color w:val="000000"/>
                <w:sz w:val="16"/>
                <w:szCs w:val="16"/>
                <w:u w:val="none"/>
              </w:rPr>
            </w:pPr>
          </w:p>
        </w:tc>
      </w:tr>
      <w:tr w14:paraId="7FF40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98" w:hRule="atLeast"/>
        </w:trPr>
        <w:tc>
          <w:tcPr>
            <w:tcW w:w="747" w:type="dxa"/>
            <w:vMerge w:val="continue"/>
            <w:tcBorders>
              <w:left w:val="single" w:color="000000" w:sz="4" w:space="0"/>
              <w:right w:val="single" w:color="000000" w:sz="4" w:space="0"/>
            </w:tcBorders>
            <w:shd w:val="clear" w:color="auto" w:fill="FFFFFF" w:themeFill="background1"/>
            <w:vAlign w:val="center"/>
          </w:tcPr>
          <w:p w14:paraId="0CC10BA6">
            <w:pPr>
              <w:jc w:val="center"/>
              <w:rPr>
                <w:rFonts w:hint="eastAsia" w:ascii="宋体" w:hAnsi="宋体" w:eastAsia="宋体" w:cs="宋体"/>
                <w:i w:val="0"/>
                <w:iCs w:val="0"/>
                <w:color w:val="000000"/>
                <w:sz w:val="18"/>
                <w:szCs w:val="18"/>
                <w:u w:val="none"/>
              </w:rPr>
            </w:pPr>
          </w:p>
        </w:tc>
        <w:tc>
          <w:tcPr>
            <w:tcW w:w="1068" w:type="dxa"/>
            <w:gridSpan w:val="3"/>
            <w:vMerge w:val="continue"/>
            <w:tcBorders>
              <w:left w:val="single" w:color="000000" w:sz="4" w:space="0"/>
              <w:right w:val="single" w:color="000000" w:sz="4" w:space="0"/>
            </w:tcBorders>
            <w:shd w:val="clear" w:color="auto" w:fill="FFFFFF" w:themeFill="background1"/>
            <w:vAlign w:val="center"/>
          </w:tcPr>
          <w:p w14:paraId="3EDB32A5">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07" w:type="dxa"/>
            <w:vMerge w:val="continue"/>
            <w:tcBorders>
              <w:left w:val="single" w:color="000000" w:sz="4" w:space="0"/>
              <w:right w:val="single" w:color="000000" w:sz="4" w:space="0"/>
            </w:tcBorders>
            <w:shd w:val="clear" w:color="auto" w:fill="FFFFFF" w:themeFill="background1"/>
            <w:vAlign w:val="center"/>
          </w:tcPr>
          <w:p w14:paraId="346CC1D3">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2D99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技术供给、产业资讯、供销对接</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006D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37EA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74AA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7BB5E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762D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6F68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8EE106">
            <w:pPr>
              <w:jc w:val="center"/>
              <w:rPr>
                <w:rFonts w:hint="eastAsia" w:ascii="微软雅黑" w:hAnsi="微软雅黑" w:eastAsia="微软雅黑" w:cs="微软雅黑"/>
                <w:i/>
                <w:iCs/>
                <w:color w:val="000000"/>
                <w:sz w:val="16"/>
                <w:szCs w:val="16"/>
                <w:u w:val="none"/>
              </w:rPr>
            </w:pPr>
          </w:p>
        </w:tc>
      </w:tr>
      <w:tr w14:paraId="0A2BF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747" w:type="dxa"/>
            <w:vMerge w:val="continue"/>
            <w:tcBorders>
              <w:left w:val="single" w:color="000000" w:sz="4" w:space="0"/>
              <w:right w:val="single" w:color="000000" w:sz="4" w:space="0"/>
            </w:tcBorders>
            <w:shd w:val="clear" w:color="auto" w:fill="FFFFFF" w:themeFill="background1"/>
            <w:vAlign w:val="center"/>
          </w:tcPr>
          <w:p w14:paraId="6F64831E">
            <w:pPr>
              <w:jc w:val="center"/>
              <w:rPr>
                <w:rFonts w:hint="eastAsia" w:ascii="宋体" w:hAnsi="宋体" w:eastAsia="宋体" w:cs="宋体"/>
                <w:i w:val="0"/>
                <w:iCs w:val="0"/>
                <w:color w:val="000000"/>
                <w:sz w:val="18"/>
                <w:szCs w:val="18"/>
                <w:u w:val="none"/>
              </w:rPr>
            </w:pPr>
          </w:p>
        </w:tc>
        <w:tc>
          <w:tcPr>
            <w:tcW w:w="1068" w:type="dxa"/>
            <w:gridSpan w:val="3"/>
            <w:vMerge w:val="continue"/>
            <w:tcBorders>
              <w:left w:val="single" w:color="000000" w:sz="4" w:space="0"/>
              <w:right w:val="single" w:color="000000" w:sz="4" w:space="0"/>
            </w:tcBorders>
            <w:shd w:val="clear" w:color="auto" w:fill="FFFFFF" w:themeFill="background1"/>
            <w:vAlign w:val="center"/>
          </w:tcPr>
          <w:p w14:paraId="604CC630">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07" w:type="dxa"/>
            <w:vMerge w:val="continue"/>
            <w:tcBorders>
              <w:left w:val="single" w:color="000000" w:sz="4" w:space="0"/>
              <w:right w:val="single" w:color="000000" w:sz="4" w:space="0"/>
            </w:tcBorders>
            <w:shd w:val="clear" w:color="auto" w:fill="FFFFFF" w:themeFill="background1"/>
            <w:vAlign w:val="center"/>
          </w:tcPr>
          <w:p w14:paraId="4FCEBBAE">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2BCE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培训次数</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07A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7B43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1453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次</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81CD9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8CBD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EB45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06B087">
            <w:pPr>
              <w:jc w:val="center"/>
              <w:rPr>
                <w:rFonts w:hint="eastAsia" w:ascii="微软雅黑" w:hAnsi="微软雅黑" w:eastAsia="微软雅黑" w:cs="微软雅黑"/>
                <w:i/>
                <w:iCs/>
                <w:color w:val="000000"/>
                <w:sz w:val="16"/>
                <w:szCs w:val="16"/>
                <w:u w:val="none"/>
              </w:rPr>
            </w:pPr>
          </w:p>
        </w:tc>
      </w:tr>
      <w:tr w14:paraId="0D85F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59" w:hRule="atLeast"/>
        </w:trPr>
        <w:tc>
          <w:tcPr>
            <w:tcW w:w="747" w:type="dxa"/>
            <w:vMerge w:val="continue"/>
            <w:tcBorders>
              <w:left w:val="single" w:color="000000" w:sz="4" w:space="0"/>
              <w:right w:val="single" w:color="000000" w:sz="4" w:space="0"/>
            </w:tcBorders>
            <w:shd w:val="clear" w:color="auto" w:fill="FFFFFF" w:themeFill="background1"/>
            <w:vAlign w:val="center"/>
          </w:tcPr>
          <w:p w14:paraId="1937A2A4">
            <w:pPr>
              <w:jc w:val="center"/>
              <w:rPr>
                <w:rFonts w:hint="eastAsia" w:ascii="宋体" w:hAnsi="宋体" w:eastAsia="宋体" w:cs="宋体"/>
                <w:i w:val="0"/>
                <w:iCs w:val="0"/>
                <w:color w:val="000000"/>
                <w:sz w:val="18"/>
                <w:szCs w:val="18"/>
                <w:u w:val="none"/>
              </w:rPr>
            </w:pPr>
          </w:p>
        </w:tc>
        <w:tc>
          <w:tcPr>
            <w:tcW w:w="1068" w:type="dxa"/>
            <w:gridSpan w:val="3"/>
            <w:vMerge w:val="continue"/>
            <w:tcBorders>
              <w:left w:val="single" w:color="000000" w:sz="4" w:space="0"/>
              <w:right w:val="single" w:color="000000" w:sz="4" w:space="0"/>
            </w:tcBorders>
            <w:shd w:val="clear" w:color="auto" w:fill="FFFFFF" w:themeFill="background1"/>
            <w:vAlign w:val="center"/>
          </w:tcPr>
          <w:p w14:paraId="5B3EB0A6">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07" w:type="dxa"/>
            <w:vMerge w:val="continue"/>
            <w:tcBorders>
              <w:left w:val="single" w:color="000000" w:sz="4" w:space="0"/>
              <w:right w:val="single" w:color="000000" w:sz="4" w:space="0"/>
            </w:tcBorders>
            <w:shd w:val="clear" w:color="auto" w:fill="FFFFFF" w:themeFill="background1"/>
            <w:vAlign w:val="center"/>
          </w:tcPr>
          <w:p w14:paraId="018505E9">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CB63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兑现专家服务补助人数</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2BF3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D2A4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6C82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8BA38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B7FD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EC7E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B7D76C">
            <w:pPr>
              <w:jc w:val="center"/>
              <w:rPr>
                <w:rFonts w:hint="eastAsia" w:ascii="微软雅黑" w:hAnsi="微软雅黑" w:eastAsia="微软雅黑" w:cs="微软雅黑"/>
                <w:i/>
                <w:iCs/>
                <w:color w:val="000000"/>
                <w:sz w:val="16"/>
                <w:szCs w:val="16"/>
                <w:u w:val="none"/>
              </w:rPr>
            </w:pPr>
          </w:p>
        </w:tc>
      </w:tr>
      <w:tr w14:paraId="7AA4B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77" w:hRule="atLeast"/>
        </w:trPr>
        <w:tc>
          <w:tcPr>
            <w:tcW w:w="747" w:type="dxa"/>
            <w:vMerge w:val="continue"/>
            <w:tcBorders>
              <w:left w:val="single" w:color="000000" w:sz="4" w:space="0"/>
              <w:right w:val="single" w:color="000000" w:sz="4" w:space="0"/>
            </w:tcBorders>
            <w:shd w:val="clear" w:color="auto" w:fill="FFFFFF" w:themeFill="background1"/>
            <w:vAlign w:val="center"/>
          </w:tcPr>
          <w:p w14:paraId="7C63BF80">
            <w:pPr>
              <w:jc w:val="center"/>
              <w:rPr>
                <w:rFonts w:hint="eastAsia" w:ascii="宋体" w:hAnsi="宋体" w:eastAsia="宋体" w:cs="宋体"/>
                <w:i w:val="0"/>
                <w:iCs w:val="0"/>
                <w:color w:val="000000"/>
                <w:sz w:val="18"/>
                <w:szCs w:val="18"/>
                <w:u w:val="none"/>
              </w:rPr>
            </w:pPr>
          </w:p>
        </w:tc>
        <w:tc>
          <w:tcPr>
            <w:tcW w:w="106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995E6F">
            <w:pPr>
              <w:jc w:val="center"/>
              <w:rPr>
                <w:rFonts w:hint="eastAsia" w:ascii="宋体" w:hAnsi="宋体" w:eastAsia="宋体" w:cs="宋体"/>
                <w:i w:val="0"/>
                <w:iCs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655977">
            <w:pPr>
              <w:jc w:val="center"/>
              <w:rPr>
                <w:rFonts w:hint="eastAsia" w:ascii="宋体" w:hAnsi="宋体" w:eastAsia="宋体" w:cs="宋体"/>
                <w:i w:val="0"/>
                <w:iCs w:val="0"/>
                <w:color w:val="000000"/>
                <w:sz w:val="18"/>
                <w:szCs w:val="18"/>
                <w:u w:val="none"/>
              </w:rPr>
            </w:pPr>
          </w:p>
        </w:tc>
        <w:tc>
          <w:tcPr>
            <w:tcW w:w="22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0640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兑现信息员服务补助人数</w:t>
            </w:r>
          </w:p>
        </w:tc>
        <w:tc>
          <w:tcPr>
            <w:tcW w:w="40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7C0F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1A3C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CC24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08775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C74C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025D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C25151">
            <w:pPr>
              <w:rPr>
                <w:rFonts w:hint="eastAsia" w:ascii="宋体" w:hAnsi="宋体" w:eastAsia="宋体" w:cs="宋体"/>
                <w:i w:val="0"/>
                <w:iCs w:val="0"/>
                <w:color w:val="000000"/>
                <w:sz w:val="18"/>
                <w:szCs w:val="18"/>
                <w:u w:val="none"/>
              </w:rPr>
            </w:pPr>
          </w:p>
        </w:tc>
      </w:tr>
      <w:tr w14:paraId="321E7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63" w:hRule="atLeast"/>
        </w:trPr>
        <w:tc>
          <w:tcPr>
            <w:tcW w:w="747" w:type="dxa"/>
            <w:vMerge w:val="continue"/>
            <w:tcBorders>
              <w:left w:val="single" w:color="000000" w:sz="4" w:space="0"/>
              <w:right w:val="single" w:color="000000" w:sz="4" w:space="0"/>
            </w:tcBorders>
            <w:shd w:val="clear" w:color="auto" w:fill="FFFFFF" w:themeFill="background1"/>
            <w:vAlign w:val="center"/>
          </w:tcPr>
          <w:p w14:paraId="4B5E8C2C">
            <w:pPr>
              <w:jc w:val="center"/>
              <w:rPr>
                <w:rFonts w:hint="eastAsia" w:ascii="宋体" w:hAnsi="宋体" w:eastAsia="宋体" w:cs="宋体"/>
                <w:i w:val="0"/>
                <w:iCs w:val="0"/>
                <w:color w:val="000000"/>
                <w:sz w:val="18"/>
                <w:szCs w:val="18"/>
                <w:u w:val="none"/>
              </w:rPr>
            </w:pPr>
          </w:p>
        </w:tc>
        <w:tc>
          <w:tcPr>
            <w:tcW w:w="106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3A676B">
            <w:pPr>
              <w:jc w:val="center"/>
              <w:rPr>
                <w:rFonts w:hint="eastAsia" w:ascii="宋体" w:hAnsi="宋体" w:eastAsia="宋体" w:cs="宋体"/>
                <w:i w:val="0"/>
                <w:iCs w:val="0"/>
                <w:color w:val="000000"/>
                <w:sz w:val="18"/>
                <w:szCs w:val="18"/>
                <w:u w:val="none"/>
              </w:rPr>
            </w:pPr>
          </w:p>
        </w:tc>
        <w:tc>
          <w:tcPr>
            <w:tcW w:w="1010" w:type="dxa"/>
            <w:gridSpan w:val="2"/>
            <w:tcBorders>
              <w:top w:val="single" w:color="000000" w:sz="4" w:space="0"/>
              <w:left w:val="single" w:color="000000" w:sz="4" w:space="0"/>
              <w:bottom w:val="nil"/>
              <w:right w:val="single" w:color="000000" w:sz="4" w:space="0"/>
            </w:tcBorders>
            <w:shd w:val="clear" w:color="auto" w:fill="FFFFFF" w:themeFill="background1"/>
            <w:vAlign w:val="center"/>
          </w:tcPr>
          <w:p w14:paraId="58C7A7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300D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项目及时率</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2204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3100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B147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9A52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A7A1F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2116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8E83C1">
            <w:pPr>
              <w:rPr>
                <w:rFonts w:hint="eastAsia" w:ascii="宋体" w:hAnsi="宋体" w:eastAsia="宋体" w:cs="宋体"/>
                <w:i w:val="0"/>
                <w:iCs w:val="0"/>
                <w:color w:val="000000"/>
                <w:sz w:val="18"/>
                <w:szCs w:val="18"/>
                <w:u w:val="none"/>
              </w:rPr>
            </w:pPr>
          </w:p>
        </w:tc>
      </w:tr>
      <w:tr w14:paraId="1A2A2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056" w:hRule="atLeast"/>
        </w:trPr>
        <w:tc>
          <w:tcPr>
            <w:tcW w:w="747" w:type="dxa"/>
            <w:vMerge w:val="continue"/>
            <w:tcBorders>
              <w:left w:val="single" w:color="000000" w:sz="4" w:space="0"/>
              <w:right w:val="single" w:color="000000" w:sz="4" w:space="0"/>
            </w:tcBorders>
            <w:shd w:val="clear" w:color="auto" w:fill="FFFFFF" w:themeFill="background1"/>
            <w:vAlign w:val="center"/>
          </w:tcPr>
          <w:p w14:paraId="1DD85B9B">
            <w:pPr>
              <w:jc w:val="center"/>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F6EC12">
            <w:pPr>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84E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E59D0D">
            <w:pPr>
              <w:widowControl w:val="0"/>
              <w:spacing w:before="0" w:beforeAutospacing="0" w:after="0" w:afterAutospacing="0" w:line="300" w:lineRule="exact"/>
              <w:ind w:left="0" w:leftChars="0" w:right="0" w:rightChars="0"/>
              <w:jc w:val="both"/>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rPr>
              <w:t>通过线上及时解决农户生产中遇到的实际问题，及时率达到95%</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B581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31E5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D7FB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38267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F100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B72E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5E24E6">
            <w:pPr>
              <w:rPr>
                <w:rFonts w:hint="eastAsia" w:ascii="宋体" w:hAnsi="宋体" w:eastAsia="宋体" w:cs="宋体"/>
                <w:i w:val="0"/>
                <w:iCs w:val="0"/>
                <w:color w:val="000000"/>
                <w:sz w:val="18"/>
                <w:szCs w:val="18"/>
                <w:u w:val="none"/>
              </w:rPr>
            </w:pPr>
          </w:p>
        </w:tc>
      </w:tr>
      <w:tr w14:paraId="130D7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49" w:hRule="atLeast"/>
        </w:trPr>
        <w:tc>
          <w:tcPr>
            <w:tcW w:w="747" w:type="dxa"/>
            <w:vMerge w:val="continue"/>
            <w:tcBorders>
              <w:left w:val="single" w:color="000000" w:sz="4" w:space="0"/>
              <w:right w:val="single" w:color="000000" w:sz="4" w:space="0"/>
            </w:tcBorders>
            <w:shd w:val="clear" w:color="auto" w:fill="FFFFFF" w:themeFill="background1"/>
            <w:vAlign w:val="center"/>
          </w:tcPr>
          <w:p w14:paraId="473C7747">
            <w:pPr>
              <w:jc w:val="center"/>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8092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成本指标</w:t>
            </w:r>
          </w:p>
        </w:tc>
        <w:tc>
          <w:tcPr>
            <w:tcW w:w="1372"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0E3EEC">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50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2F1BEB">
            <w:pPr>
              <w:widowControl w:val="0"/>
              <w:spacing w:before="0" w:beforeAutospacing="0" w:after="0" w:afterAutospacing="0" w:line="300" w:lineRule="exact"/>
              <w:ind w:left="0" w:leftChars="0" w:right="0" w:rightChars="0"/>
              <w:jc w:val="both"/>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color w:val="000000"/>
                <w:kern w:val="2"/>
                <w:sz w:val="18"/>
                <w:szCs w:val="18"/>
                <w:lang w:eastAsia="zh-CN"/>
              </w:rPr>
              <w:t>下达资金</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07C5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E805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45.04</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0B2B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万元</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2D587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45.04</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ACBB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45B8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570EA2">
            <w:pPr>
              <w:rPr>
                <w:rFonts w:hint="eastAsia" w:ascii="宋体" w:hAnsi="宋体" w:eastAsia="宋体" w:cs="宋体"/>
                <w:i w:val="0"/>
                <w:iCs w:val="0"/>
                <w:color w:val="000000"/>
                <w:sz w:val="18"/>
                <w:szCs w:val="18"/>
                <w:u w:val="none"/>
              </w:rPr>
            </w:pPr>
          </w:p>
        </w:tc>
      </w:tr>
      <w:tr w14:paraId="7CC9D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47" w:hRule="atLeast"/>
        </w:trPr>
        <w:tc>
          <w:tcPr>
            <w:tcW w:w="747"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0224F59E">
            <w:pPr>
              <w:jc w:val="center"/>
              <w:rPr>
                <w:rFonts w:hint="eastAsia" w:ascii="宋体" w:hAnsi="宋体" w:eastAsia="宋体" w:cs="宋体"/>
                <w:i w:val="0"/>
                <w:iCs w:val="0"/>
                <w:color w:val="000000"/>
                <w:sz w:val="18"/>
                <w:szCs w:val="18"/>
                <w:u w:val="none"/>
              </w:rPr>
            </w:pP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F3D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度指标</w:t>
            </w:r>
          </w:p>
        </w:tc>
        <w:tc>
          <w:tcPr>
            <w:tcW w:w="122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2B5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满意度指标</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6B0F85">
            <w:pPr>
              <w:widowControl w:val="0"/>
              <w:spacing w:before="0" w:beforeAutospacing="0" w:after="0" w:afterAutospacing="0" w:line="300" w:lineRule="exact"/>
              <w:ind w:left="0" w:leftChars="0" w:right="0" w:rightChars="0"/>
              <w:jc w:val="both"/>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lang w:eastAsia="zh-CN"/>
              </w:rPr>
              <w:t>受益区域农户对项目实施的满意度</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57ADE4">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500989">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hAnsi="宋体" w:cs="宋体"/>
                <w:color w:val="000000"/>
                <w:kern w:val="2"/>
                <w:sz w:val="18"/>
                <w:szCs w:val="18"/>
                <w:lang w:val="en-US" w:eastAsia="zh-CN"/>
              </w:rPr>
              <w:t>98</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9D0FD4">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24"/>
                <w:szCs w:val="24"/>
                <w:lang w:val="en-US" w:eastAsia="zh-CN"/>
              </w:rPr>
              <w:t>%</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6662D3">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98</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E62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13C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85A90B">
            <w:pPr>
              <w:rPr>
                <w:rFonts w:hint="eastAsia" w:ascii="宋体" w:hAnsi="宋体" w:eastAsia="宋体" w:cs="宋体"/>
                <w:i w:val="0"/>
                <w:iCs w:val="0"/>
                <w:color w:val="000000"/>
                <w:sz w:val="18"/>
                <w:szCs w:val="18"/>
                <w:u w:val="none"/>
              </w:rPr>
            </w:pPr>
          </w:p>
        </w:tc>
      </w:tr>
      <w:tr w14:paraId="03369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184" w:type="dxa"/>
            <w:gridSpan w:val="1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0D2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C7B7E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B00BFF">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99.8</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CC2A4D">
            <w:pPr>
              <w:rPr>
                <w:rFonts w:hint="eastAsia" w:ascii="宋体" w:hAnsi="宋体" w:eastAsia="宋体" w:cs="宋体"/>
                <w:i w:val="0"/>
                <w:iCs w:val="0"/>
                <w:color w:val="000000"/>
                <w:sz w:val="18"/>
                <w:szCs w:val="18"/>
                <w:u w:val="none"/>
              </w:rPr>
            </w:pPr>
          </w:p>
        </w:tc>
      </w:tr>
      <w:tr w14:paraId="6197C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60" w:hRule="atLeast"/>
        </w:trPr>
        <w:tc>
          <w:tcPr>
            <w:tcW w:w="101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B37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124"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769DD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该项目自评总得分</w:t>
            </w:r>
            <w:r>
              <w:rPr>
                <w:rFonts w:hint="eastAsia" w:hAnsi="宋体" w:cs="宋体"/>
                <w:i w:val="0"/>
                <w:iCs w:val="0"/>
                <w:color w:val="000000"/>
                <w:kern w:val="0"/>
                <w:sz w:val="18"/>
                <w:szCs w:val="18"/>
                <w:u w:val="none"/>
                <w:lang w:val="en-US" w:eastAsia="zh-CN" w:bidi="ar"/>
              </w:rPr>
              <w:t>99.8</w:t>
            </w:r>
            <w:r>
              <w:rPr>
                <w:rFonts w:hint="eastAsia" w:ascii="宋体" w:hAnsi="宋体" w:eastAsia="宋体" w:cs="宋体"/>
                <w:i w:val="0"/>
                <w:iCs w:val="0"/>
                <w:color w:val="000000"/>
                <w:kern w:val="0"/>
                <w:sz w:val="18"/>
                <w:szCs w:val="18"/>
                <w:u w:val="none"/>
                <w:lang w:val="en-US" w:eastAsia="zh-CN" w:bidi="ar"/>
              </w:rPr>
              <w:t>分，通过项目实施有效解决了农牧民在生产中遇到的实际困难，提高了种养殖户生产技术水平和综合素质，提升了农畜产品产前、产中、产后的技术含量，增加了农牧民收入。通过平台短平快的方式助力乡村产业振兴。</w:t>
            </w:r>
          </w:p>
        </w:tc>
      </w:tr>
      <w:tr w14:paraId="50671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92" w:hRule="atLeast"/>
        </w:trPr>
        <w:tc>
          <w:tcPr>
            <w:tcW w:w="101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6F49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124"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E3DA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r w14:paraId="19E40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09" w:hRule="atLeast"/>
        </w:trPr>
        <w:tc>
          <w:tcPr>
            <w:tcW w:w="101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2CB722">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改进措施</w:t>
            </w:r>
          </w:p>
        </w:tc>
        <w:tc>
          <w:tcPr>
            <w:tcW w:w="9124"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1FABF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bl>
    <w:p w14:paraId="7D0F61BE">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200C2291">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22A33FC3">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4C04A761">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6780DB11">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7C9217C2">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269414C5">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5CE39DA0">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78A0F58C">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768C445B">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3AF90963">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1C664704">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2D8FC7E3">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4652AA54">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0FC3032E">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75EDE7AD">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01E66716">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65926B3D">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596EC6CD">
      <w:pPr>
        <w:pStyle w:val="12"/>
        <w:keepNext w:val="0"/>
        <w:keepLines w:val="0"/>
        <w:pageBreakBefore w:val="0"/>
        <w:widowControl w:val="0"/>
        <w:suppressLineNumbers w:val="0"/>
        <w:kinsoku/>
        <w:wordWrap/>
        <w:overflowPunct/>
        <w:topLinePunct w:val="0"/>
        <w:bidi w:val="0"/>
        <w:snapToGrid/>
        <w:spacing w:before="0" w:beforeAutospacing="0"/>
        <w:ind w:left="0"/>
        <w:jc w:val="left"/>
        <w:rPr>
          <w:shd w:val="clear" w:fill="FFFFFF"/>
        </w:rPr>
      </w:pPr>
    </w:p>
    <w:p w14:paraId="324B040A">
      <w:pPr>
        <w:pStyle w:val="12"/>
        <w:keepNext w:val="0"/>
        <w:keepLines w:val="0"/>
        <w:pageBreakBefore w:val="0"/>
        <w:widowControl w:val="0"/>
        <w:suppressLineNumbers w:val="0"/>
        <w:kinsoku/>
        <w:wordWrap/>
        <w:overflowPunct/>
        <w:topLinePunct w:val="0"/>
        <w:bidi w:val="0"/>
        <w:snapToGrid/>
        <w:spacing w:before="0" w:beforeAutospacing="0"/>
        <w:ind w:left="0"/>
        <w:jc w:val="center"/>
        <w:outlineLvl w:val="0"/>
        <w:rPr>
          <w:rFonts w:hint="eastAsia" w:ascii="黑体" w:hAnsi="黑体" w:eastAsia="黑体" w:cs="黑体"/>
          <w:b w:val="0"/>
          <w:bCs/>
          <w:sz w:val="44"/>
          <w:szCs w:val="44"/>
        </w:rPr>
      </w:pPr>
      <w:bookmarkStart w:id="49" w:name="_Toc31808"/>
      <w:r>
        <w:rPr>
          <w:rStyle w:val="15"/>
          <w:rFonts w:hint="eastAsia" w:ascii="黑体" w:hAnsi="黑体" w:eastAsia="黑体" w:cs="黑体"/>
          <w:b w:val="0"/>
          <w:bCs/>
          <w:sz w:val="44"/>
          <w:szCs w:val="44"/>
          <w:shd w:val="clear" w:fill="FFFFFF"/>
        </w:rPr>
        <w:t>第</w:t>
      </w:r>
      <w:r>
        <w:rPr>
          <w:rStyle w:val="15"/>
          <w:rFonts w:hint="eastAsia" w:ascii="黑体" w:hAnsi="黑体" w:eastAsia="黑体" w:cs="黑体"/>
          <w:b w:val="0"/>
          <w:bCs/>
          <w:sz w:val="44"/>
          <w:szCs w:val="44"/>
          <w:shd w:val="clear" w:fill="FFFFFF"/>
          <w:lang w:val="en-US" w:eastAsia="zh-CN"/>
        </w:rPr>
        <w:t>五</w:t>
      </w:r>
      <w:r>
        <w:rPr>
          <w:rStyle w:val="15"/>
          <w:rFonts w:hint="eastAsia" w:ascii="黑体" w:hAnsi="黑体" w:eastAsia="黑体" w:cs="黑体"/>
          <w:b w:val="0"/>
          <w:bCs/>
          <w:sz w:val="44"/>
          <w:szCs w:val="44"/>
          <w:shd w:val="clear" w:fill="FFFFFF"/>
        </w:rPr>
        <w:t>部分 附表</w:t>
      </w:r>
      <w:bookmarkEnd w:id="49"/>
    </w:p>
    <w:p w14:paraId="3FB5DD90">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仿宋_GB2312" w:eastAsia="仿宋_GB2312" w:cs="仿宋_GB2312" w:hAnsiTheme="minorEastAsia"/>
          <w:bCs/>
          <w:kern w:val="0"/>
          <w:sz w:val="32"/>
          <w:szCs w:val="32"/>
          <w:lang w:val="en-US" w:eastAsia="zh-CN" w:bidi="ar"/>
        </w:rPr>
      </w:pPr>
      <w:bookmarkStart w:id="50" w:name="_Toc6390"/>
      <w:r>
        <w:rPr>
          <w:rFonts w:hint="eastAsia" w:ascii="黑体" w:hAnsi="黑体" w:eastAsia="黑体" w:cs="黑体"/>
          <w:bCs/>
          <w:kern w:val="0"/>
          <w:sz w:val="32"/>
          <w:szCs w:val="32"/>
          <w:lang w:val="en-US" w:eastAsia="zh-CN" w:bidi="ar"/>
        </w:rPr>
        <w:t>一、收入支出决算总表</w:t>
      </w:r>
      <w:bookmarkEnd w:id="50"/>
    </w:p>
    <w:p w14:paraId="38A4EA1A">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51" w:name="_Toc27440"/>
      <w:r>
        <w:rPr>
          <w:rFonts w:hint="eastAsia" w:ascii="黑体" w:hAnsi="黑体" w:eastAsia="黑体" w:cs="黑体"/>
          <w:bCs/>
          <w:kern w:val="0"/>
          <w:sz w:val="32"/>
          <w:szCs w:val="32"/>
          <w:lang w:val="en-US" w:eastAsia="zh-CN" w:bidi="ar"/>
        </w:rPr>
        <w:t>二、收入决算表</w:t>
      </w:r>
      <w:bookmarkEnd w:id="51"/>
    </w:p>
    <w:p w14:paraId="1067E9E0">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52" w:name="_Toc9439"/>
      <w:r>
        <w:rPr>
          <w:rFonts w:hint="eastAsia" w:ascii="黑体" w:hAnsi="黑体" w:eastAsia="黑体" w:cs="黑体"/>
          <w:bCs/>
          <w:kern w:val="0"/>
          <w:sz w:val="32"/>
          <w:szCs w:val="32"/>
          <w:lang w:val="en-US" w:eastAsia="zh-CN" w:bidi="ar"/>
        </w:rPr>
        <w:t>三、支出决算表</w:t>
      </w:r>
      <w:bookmarkEnd w:id="52"/>
    </w:p>
    <w:p w14:paraId="51C9E8B0">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53" w:name="_Toc10860"/>
      <w:r>
        <w:rPr>
          <w:rFonts w:hint="eastAsia" w:ascii="黑体" w:hAnsi="黑体" w:eastAsia="黑体" w:cs="黑体"/>
          <w:bCs/>
          <w:kern w:val="0"/>
          <w:sz w:val="32"/>
          <w:szCs w:val="32"/>
          <w:lang w:val="en-US" w:eastAsia="zh-CN" w:bidi="ar"/>
        </w:rPr>
        <w:t>四、财政拨款收入支出决算总表</w:t>
      </w:r>
      <w:bookmarkEnd w:id="53"/>
    </w:p>
    <w:p w14:paraId="5F26891C">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54" w:name="_Toc30443"/>
      <w:r>
        <w:rPr>
          <w:rFonts w:hint="eastAsia" w:ascii="黑体" w:hAnsi="黑体" w:eastAsia="黑体" w:cs="黑体"/>
          <w:bCs/>
          <w:kern w:val="0"/>
          <w:sz w:val="32"/>
          <w:szCs w:val="32"/>
          <w:lang w:val="en-US" w:eastAsia="zh-CN" w:bidi="ar"/>
        </w:rPr>
        <w:t>五、财政拨款支出决算明细表</w:t>
      </w:r>
      <w:bookmarkEnd w:id="54"/>
    </w:p>
    <w:p w14:paraId="4CB1D958">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55" w:name="_Toc23338"/>
      <w:r>
        <w:rPr>
          <w:rFonts w:hint="eastAsia" w:ascii="黑体" w:hAnsi="黑体" w:eastAsia="黑体" w:cs="黑体"/>
          <w:bCs/>
          <w:kern w:val="0"/>
          <w:sz w:val="32"/>
          <w:szCs w:val="32"/>
          <w:lang w:val="en-US" w:eastAsia="zh-CN" w:bidi="ar"/>
        </w:rPr>
        <w:t>六、一般公共预算财政拨款支出决算表</w:t>
      </w:r>
      <w:bookmarkEnd w:id="55"/>
    </w:p>
    <w:p w14:paraId="012FCD09">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56" w:name="_Toc28072"/>
      <w:r>
        <w:rPr>
          <w:rFonts w:hint="eastAsia" w:ascii="黑体" w:hAnsi="黑体" w:eastAsia="黑体" w:cs="黑体"/>
          <w:bCs/>
          <w:kern w:val="0"/>
          <w:sz w:val="32"/>
          <w:szCs w:val="32"/>
          <w:lang w:val="en-US" w:eastAsia="zh-CN" w:bidi="ar"/>
        </w:rPr>
        <w:t>七、一般公共预算财政拨款支出决算明细表</w:t>
      </w:r>
      <w:bookmarkEnd w:id="56"/>
    </w:p>
    <w:p w14:paraId="01C8A274">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57" w:name="_Toc25388"/>
      <w:r>
        <w:rPr>
          <w:rFonts w:hint="eastAsia" w:ascii="黑体" w:hAnsi="黑体" w:eastAsia="黑体" w:cs="黑体"/>
          <w:bCs/>
          <w:kern w:val="0"/>
          <w:sz w:val="32"/>
          <w:szCs w:val="32"/>
          <w:lang w:val="en-US" w:eastAsia="zh-CN" w:bidi="ar"/>
        </w:rPr>
        <w:t>八、一般公共预算财政拨款基本支出决算表</w:t>
      </w:r>
      <w:bookmarkEnd w:id="57"/>
    </w:p>
    <w:p w14:paraId="1C05088C">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58" w:name="_Toc31634"/>
      <w:r>
        <w:rPr>
          <w:rFonts w:hint="eastAsia" w:ascii="黑体" w:hAnsi="黑体" w:eastAsia="黑体" w:cs="黑体"/>
          <w:bCs/>
          <w:kern w:val="0"/>
          <w:sz w:val="32"/>
          <w:szCs w:val="32"/>
          <w:lang w:val="en-US" w:eastAsia="zh-CN" w:bidi="ar"/>
        </w:rPr>
        <w:t>九、一般公共预算财政拨款项目支出决算表</w:t>
      </w:r>
      <w:bookmarkEnd w:id="58"/>
    </w:p>
    <w:p w14:paraId="5537084E">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59" w:name="_Toc1978"/>
      <w:r>
        <w:rPr>
          <w:rFonts w:hint="eastAsia" w:ascii="黑体" w:hAnsi="黑体" w:eastAsia="黑体" w:cs="黑体"/>
          <w:bCs/>
          <w:kern w:val="0"/>
          <w:sz w:val="32"/>
          <w:szCs w:val="32"/>
          <w:lang w:val="en-US" w:eastAsia="zh-CN" w:bidi="ar"/>
        </w:rPr>
        <w:t>十、政府性基金预算财政拨款收入支出决算表</w:t>
      </w:r>
      <w:bookmarkEnd w:id="59"/>
    </w:p>
    <w:p w14:paraId="49C69BBF">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60" w:name="_Toc25256"/>
      <w:r>
        <w:rPr>
          <w:rFonts w:hint="eastAsia" w:ascii="黑体" w:hAnsi="黑体" w:eastAsia="黑体" w:cs="黑体"/>
          <w:bCs/>
          <w:kern w:val="0"/>
          <w:sz w:val="32"/>
          <w:szCs w:val="32"/>
          <w:lang w:val="en-US" w:eastAsia="zh-CN" w:bidi="ar"/>
        </w:rPr>
        <w:t>十一、国有资本经营预算财政拨款收入支出决算表</w:t>
      </w:r>
      <w:bookmarkEnd w:id="60"/>
    </w:p>
    <w:p w14:paraId="3F4517DD">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61" w:name="_Toc5470"/>
      <w:r>
        <w:rPr>
          <w:rFonts w:hint="eastAsia" w:ascii="黑体" w:hAnsi="黑体" w:eastAsia="黑体" w:cs="黑体"/>
          <w:bCs/>
          <w:kern w:val="0"/>
          <w:sz w:val="32"/>
          <w:szCs w:val="32"/>
          <w:lang w:val="en-US" w:eastAsia="zh-CN" w:bidi="ar"/>
        </w:rPr>
        <w:t>十二、国有资本经营预算财政拨款支出决算表</w:t>
      </w:r>
      <w:bookmarkEnd w:id="61"/>
    </w:p>
    <w:p w14:paraId="43DF8123">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黑体" w:hAnsi="黑体" w:eastAsia="黑体" w:cs="黑体"/>
          <w:bCs/>
          <w:kern w:val="0"/>
          <w:sz w:val="32"/>
          <w:szCs w:val="32"/>
          <w:lang w:val="en-US" w:eastAsia="zh-CN" w:bidi="ar"/>
        </w:rPr>
      </w:pPr>
      <w:bookmarkStart w:id="62" w:name="_Toc11686"/>
      <w:r>
        <w:rPr>
          <w:rFonts w:hint="eastAsia" w:ascii="黑体" w:hAnsi="黑体" w:eastAsia="黑体" w:cs="黑体"/>
          <w:bCs/>
          <w:kern w:val="0"/>
          <w:sz w:val="32"/>
          <w:szCs w:val="32"/>
          <w:lang w:val="en-US" w:eastAsia="zh-CN" w:bidi="ar"/>
        </w:rPr>
        <w:t>十三、财政拨款“三公”经费支出决算表</w:t>
      </w:r>
      <w:bookmarkEnd w:id="62"/>
    </w:p>
    <w:p w14:paraId="5850655A">
      <w:pPr>
        <w:pStyle w:val="12"/>
        <w:keepNext w:val="0"/>
        <w:keepLines w:val="0"/>
        <w:pageBreakBefore w:val="0"/>
        <w:widowControl w:val="0"/>
        <w:suppressLineNumbers w:val="0"/>
        <w:kinsoku/>
        <w:wordWrap/>
        <w:overflowPunct/>
        <w:topLinePunct w:val="0"/>
        <w:bidi w:val="0"/>
        <w:snapToGrid/>
        <w:spacing w:before="0" w:beforeAutospacing="0"/>
        <w:ind w:left="0" w:firstLine="640" w:firstLineChars="200"/>
        <w:jc w:val="left"/>
        <w:outlineLvl w:val="1"/>
        <w:rPr>
          <w:rFonts w:hint="eastAsia" w:ascii="仿宋_GB2312" w:eastAsia="仿宋_GB2312" w:cs="仿宋_GB2312" w:hAnsiTheme="minorEastAsia"/>
          <w:bCs/>
          <w:kern w:val="0"/>
          <w:sz w:val="32"/>
          <w:szCs w:val="32"/>
          <w:lang w:val="en-US" w:eastAsia="zh-CN" w:bidi="ar"/>
        </w:rPr>
      </w:pPr>
    </w:p>
    <w:sectPr>
      <w:footerReference r:id="rId4" w:type="default"/>
      <w:pgSz w:w="11915" w:h="16851"/>
      <w:pgMar w:top="1440" w:right="1800" w:bottom="1440" w:left="1800" w:header="851" w:footer="992" w:gutter="0"/>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46CB3">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5CF0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35CF0B">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7A64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CDF4F">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5DCDF4F">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mYzVhMTg2MDdjYTY1YTYzNDNlM2I0M2ZkYWYyNGYifQ=="/>
  </w:docVars>
  <w:rsids>
    <w:rsidRoot w:val="00000000"/>
    <w:rsid w:val="000E3FC3"/>
    <w:rsid w:val="004C0647"/>
    <w:rsid w:val="00643BE3"/>
    <w:rsid w:val="009656ED"/>
    <w:rsid w:val="00A3295D"/>
    <w:rsid w:val="00D074CA"/>
    <w:rsid w:val="00D5063D"/>
    <w:rsid w:val="00E23B02"/>
    <w:rsid w:val="00F44F67"/>
    <w:rsid w:val="011473B7"/>
    <w:rsid w:val="016A6FD7"/>
    <w:rsid w:val="01791910"/>
    <w:rsid w:val="01996F51"/>
    <w:rsid w:val="019D55FE"/>
    <w:rsid w:val="01D803E5"/>
    <w:rsid w:val="02111B48"/>
    <w:rsid w:val="02493090"/>
    <w:rsid w:val="027B56B6"/>
    <w:rsid w:val="029A1B3E"/>
    <w:rsid w:val="02C83E19"/>
    <w:rsid w:val="032A4C70"/>
    <w:rsid w:val="03B7227C"/>
    <w:rsid w:val="04131BA8"/>
    <w:rsid w:val="041C009B"/>
    <w:rsid w:val="04221DEB"/>
    <w:rsid w:val="0426776A"/>
    <w:rsid w:val="043B10FF"/>
    <w:rsid w:val="045A2F50"/>
    <w:rsid w:val="0507548A"/>
    <w:rsid w:val="051756C8"/>
    <w:rsid w:val="051A51B8"/>
    <w:rsid w:val="05445D91"/>
    <w:rsid w:val="05504736"/>
    <w:rsid w:val="056529FE"/>
    <w:rsid w:val="058C1C12"/>
    <w:rsid w:val="05C25634"/>
    <w:rsid w:val="05C70E9C"/>
    <w:rsid w:val="05CA273A"/>
    <w:rsid w:val="05FD7F35"/>
    <w:rsid w:val="05FE23E4"/>
    <w:rsid w:val="060774EA"/>
    <w:rsid w:val="060A6FDB"/>
    <w:rsid w:val="060C2D53"/>
    <w:rsid w:val="063D305A"/>
    <w:rsid w:val="0674398C"/>
    <w:rsid w:val="06952D48"/>
    <w:rsid w:val="06AE5BB8"/>
    <w:rsid w:val="06B84C89"/>
    <w:rsid w:val="06C07BB2"/>
    <w:rsid w:val="06ED4906"/>
    <w:rsid w:val="06ED55FA"/>
    <w:rsid w:val="075B5D40"/>
    <w:rsid w:val="07837045"/>
    <w:rsid w:val="07862691"/>
    <w:rsid w:val="07B92A66"/>
    <w:rsid w:val="07BF63BC"/>
    <w:rsid w:val="07E51AAD"/>
    <w:rsid w:val="08236132"/>
    <w:rsid w:val="0845254C"/>
    <w:rsid w:val="084E7652"/>
    <w:rsid w:val="08563BA2"/>
    <w:rsid w:val="085670DA"/>
    <w:rsid w:val="085D7A7B"/>
    <w:rsid w:val="086230FE"/>
    <w:rsid w:val="08713E6E"/>
    <w:rsid w:val="08732C15"/>
    <w:rsid w:val="09061CDB"/>
    <w:rsid w:val="09265893"/>
    <w:rsid w:val="09371E95"/>
    <w:rsid w:val="093920B1"/>
    <w:rsid w:val="094D2F7D"/>
    <w:rsid w:val="096E162E"/>
    <w:rsid w:val="09886B94"/>
    <w:rsid w:val="09A03EDE"/>
    <w:rsid w:val="09B039F5"/>
    <w:rsid w:val="09C6146A"/>
    <w:rsid w:val="09CF47C3"/>
    <w:rsid w:val="09F63AFE"/>
    <w:rsid w:val="0A3B7763"/>
    <w:rsid w:val="0A6539E9"/>
    <w:rsid w:val="0A92134D"/>
    <w:rsid w:val="0AEA1189"/>
    <w:rsid w:val="0AED28C7"/>
    <w:rsid w:val="0AF84CA6"/>
    <w:rsid w:val="0B0614D4"/>
    <w:rsid w:val="0B2823DD"/>
    <w:rsid w:val="0B5E77AB"/>
    <w:rsid w:val="0B696658"/>
    <w:rsid w:val="0B780B82"/>
    <w:rsid w:val="0B815649"/>
    <w:rsid w:val="0B9D61FB"/>
    <w:rsid w:val="0BA92DF2"/>
    <w:rsid w:val="0BD47E6F"/>
    <w:rsid w:val="0C0E0744"/>
    <w:rsid w:val="0C160487"/>
    <w:rsid w:val="0C396D85"/>
    <w:rsid w:val="0C6236CC"/>
    <w:rsid w:val="0C6C00A7"/>
    <w:rsid w:val="0C915D60"/>
    <w:rsid w:val="0CA77331"/>
    <w:rsid w:val="0CC6517C"/>
    <w:rsid w:val="0CC71781"/>
    <w:rsid w:val="0CCA2C70"/>
    <w:rsid w:val="0CD8398F"/>
    <w:rsid w:val="0CE818D5"/>
    <w:rsid w:val="0D0E325A"/>
    <w:rsid w:val="0D1223A6"/>
    <w:rsid w:val="0D3037CB"/>
    <w:rsid w:val="0D815DD4"/>
    <w:rsid w:val="0DB25F8E"/>
    <w:rsid w:val="0DF26CD2"/>
    <w:rsid w:val="0DF50570"/>
    <w:rsid w:val="0E1578B7"/>
    <w:rsid w:val="0E611762"/>
    <w:rsid w:val="0E6D45AA"/>
    <w:rsid w:val="0E731F57"/>
    <w:rsid w:val="0E986DE4"/>
    <w:rsid w:val="0EA87391"/>
    <w:rsid w:val="0EAE0E4B"/>
    <w:rsid w:val="0EB67D00"/>
    <w:rsid w:val="0EC059E2"/>
    <w:rsid w:val="0F112EC6"/>
    <w:rsid w:val="0F2E3D3A"/>
    <w:rsid w:val="0F4B669A"/>
    <w:rsid w:val="0F4F5A5E"/>
    <w:rsid w:val="0F7B4AA5"/>
    <w:rsid w:val="0F8C0A60"/>
    <w:rsid w:val="0F98145F"/>
    <w:rsid w:val="0FA364D6"/>
    <w:rsid w:val="0FBC7598"/>
    <w:rsid w:val="0FC14BAE"/>
    <w:rsid w:val="0FD16FD1"/>
    <w:rsid w:val="0FF22FB9"/>
    <w:rsid w:val="10060D14"/>
    <w:rsid w:val="101747CE"/>
    <w:rsid w:val="101B66DC"/>
    <w:rsid w:val="106A1193"/>
    <w:rsid w:val="106A2B50"/>
    <w:rsid w:val="106B4B1A"/>
    <w:rsid w:val="10973B61"/>
    <w:rsid w:val="10A32505"/>
    <w:rsid w:val="10AB1F4F"/>
    <w:rsid w:val="10B62239"/>
    <w:rsid w:val="110034B4"/>
    <w:rsid w:val="11356CD5"/>
    <w:rsid w:val="113B273E"/>
    <w:rsid w:val="11511F61"/>
    <w:rsid w:val="11625F1D"/>
    <w:rsid w:val="116E041E"/>
    <w:rsid w:val="11763776"/>
    <w:rsid w:val="11AB78C4"/>
    <w:rsid w:val="11AE4CBE"/>
    <w:rsid w:val="11B72303"/>
    <w:rsid w:val="11E608FC"/>
    <w:rsid w:val="11FB0A3C"/>
    <w:rsid w:val="12661F47"/>
    <w:rsid w:val="126E269F"/>
    <w:rsid w:val="129A3494"/>
    <w:rsid w:val="12B40B75"/>
    <w:rsid w:val="12B620EE"/>
    <w:rsid w:val="12C54E79"/>
    <w:rsid w:val="12CC7AF2"/>
    <w:rsid w:val="12D1335A"/>
    <w:rsid w:val="12E017EF"/>
    <w:rsid w:val="12F47048"/>
    <w:rsid w:val="12F9640D"/>
    <w:rsid w:val="134A310C"/>
    <w:rsid w:val="134D2543"/>
    <w:rsid w:val="13511DA5"/>
    <w:rsid w:val="135D2E40"/>
    <w:rsid w:val="13893C35"/>
    <w:rsid w:val="139E3205"/>
    <w:rsid w:val="13CF716E"/>
    <w:rsid w:val="13EB3F23"/>
    <w:rsid w:val="14221993"/>
    <w:rsid w:val="14292D22"/>
    <w:rsid w:val="146D2C0E"/>
    <w:rsid w:val="14755F67"/>
    <w:rsid w:val="148C19C8"/>
    <w:rsid w:val="14972381"/>
    <w:rsid w:val="149C0824"/>
    <w:rsid w:val="14D02DA7"/>
    <w:rsid w:val="14F52C04"/>
    <w:rsid w:val="151267AE"/>
    <w:rsid w:val="155913E5"/>
    <w:rsid w:val="15932B49"/>
    <w:rsid w:val="159352D7"/>
    <w:rsid w:val="159863B1"/>
    <w:rsid w:val="162747E0"/>
    <w:rsid w:val="166D339A"/>
    <w:rsid w:val="169C6340"/>
    <w:rsid w:val="16B72867"/>
    <w:rsid w:val="16CD7683"/>
    <w:rsid w:val="16F2389F"/>
    <w:rsid w:val="1740460A"/>
    <w:rsid w:val="174A5489"/>
    <w:rsid w:val="17942BA8"/>
    <w:rsid w:val="17F81389"/>
    <w:rsid w:val="1876554C"/>
    <w:rsid w:val="18C338B0"/>
    <w:rsid w:val="19151AC7"/>
    <w:rsid w:val="191C4C03"/>
    <w:rsid w:val="19314B52"/>
    <w:rsid w:val="19605416"/>
    <w:rsid w:val="196A3BC0"/>
    <w:rsid w:val="19744DC9"/>
    <w:rsid w:val="19A516F5"/>
    <w:rsid w:val="19D1186E"/>
    <w:rsid w:val="1A116732"/>
    <w:rsid w:val="1A255D39"/>
    <w:rsid w:val="1A2A270E"/>
    <w:rsid w:val="1A5F56EF"/>
    <w:rsid w:val="1A670100"/>
    <w:rsid w:val="1A78055F"/>
    <w:rsid w:val="1A7E1772"/>
    <w:rsid w:val="1A845156"/>
    <w:rsid w:val="1AAC6EC3"/>
    <w:rsid w:val="1B1839D5"/>
    <w:rsid w:val="1B26620D"/>
    <w:rsid w:val="1B283D33"/>
    <w:rsid w:val="1BC25F36"/>
    <w:rsid w:val="1BD712B5"/>
    <w:rsid w:val="1BF400B9"/>
    <w:rsid w:val="1C033E58"/>
    <w:rsid w:val="1C33298F"/>
    <w:rsid w:val="1C454471"/>
    <w:rsid w:val="1CA53161"/>
    <w:rsid w:val="1CAE0268"/>
    <w:rsid w:val="1CC655B2"/>
    <w:rsid w:val="1CD203FA"/>
    <w:rsid w:val="1D0205B4"/>
    <w:rsid w:val="1D3E783E"/>
    <w:rsid w:val="1D4110DC"/>
    <w:rsid w:val="1D5A219E"/>
    <w:rsid w:val="1D5B4E82"/>
    <w:rsid w:val="1D6C348C"/>
    <w:rsid w:val="1D8316F5"/>
    <w:rsid w:val="1D8A4831"/>
    <w:rsid w:val="1DA022A7"/>
    <w:rsid w:val="1DEF5616"/>
    <w:rsid w:val="1DFE5BCB"/>
    <w:rsid w:val="1E0C16EA"/>
    <w:rsid w:val="1E6432D4"/>
    <w:rsid w:val="1E643755"/>
    <w:rsid w:val="1EAE09F3"/>
    <w:rsid w:val="1EB15448"/>
    <w:rsid w:val="1EC10726"/>
    <w:rsid w:val="1ED61CF8"/>
    <w:rsid w:val="1F024CF0"/>
    <w:rsid w:val="1F0B246D"/>
    <w:rsid w:val="1F0B7BF4"/>
    <w:rsid w:val="1F29007A"/>
    <w:rsid w:val="1F5350F7"/>
    <w:rsid w:val="1F9A753D"/>
    <w:rsid w:val="1FA871F0"/>
    <w:rsid w:val="1FC63B1B"/>
    <w:rsid w:val="1FCB1B9B"/>
    <w:rsid w:val="1FD01A12"/>
    <w:rsid w:val="1FF271AD"/>
    <w:rsid w:val="20036B1D"/>
    <w:rsid w:val="20140D2A"/>
    <w:rsid w:val="203A3726"/>
    <w:rsid w:val="204C2272"/>
    <w:rsid w:val="20A35C0A"/>
    <w:rsid w:val="20B6486E"/>
    <w:rsid w:val="20EF0E4F"/>
    <w:rsid w:val="20F97CD4"/>
    <w:rsid w:val="20FB5A46"/>
    <w:rsid w:val="20FD356C"/>
    <w:rsid w:val="21093CBF"/>
    <w:rsid w:val="21160490"/>
    <w:rsid w:val="21494A03"/>
    <w:rsid w:val="216058A9"/>
    <w:rsid w:val="219A6B87"/>
    <w:rsid w:val="21A34113"/>
    <w:rsid w:val="21B77BBF"/>
    <w:rsid w:val="21CE4120"/>
    <w:rsid w:val="21D36BA1"/>
    <w:rsid w:val="220D5A31"/>
    <w:rsid w:val="22123047"/>
    <w:rsid w:val="22364F87"/>
    <w:rsid w:val="22552F34"/>
    <w:rsid w:val="227635D6"/>
    <w:rsid w:val="228F4698"/>
    <w:rsid w:val="229053B3"/>
    <w:rsid w:val="22934188"/>
    <w:rsid w:val="22936CD5"/>
    <w:rsid w:val="22A939AB"/>
    <w:rsid w:val="22DD18A7"/>
    <w:rsid w:val="22DD1EAF"/>
    <w:rsid w:val="22EC57A0"/>
    <w:rsid w:val="231F2A4D"/>
    <w:rsid w:val="234F0E18"/>
    <w:rsid w:val="23645B24"/>
    <w:rsid w:val="23AD1279"/>
    <w:rsid w:val="23BA3996"/>
    <w:rsid w:val="23D3294A"/>
    <w:rsid w:val="23F21382"/>
    <w:rsid w:val="23FE7D27"/>
    <w:rsid w:val="24157070"/>
    <w:rsid w:val="242332EA"/>
    <w:rsid w:val="242B219E"/>
    <w:rsid w:val="246833F2"/>
    <w:rsid w:val="246A0F18"/>
    <w:rsid w:val="24844702"/>
    <w:rsid w:val="24CF6C55"/>
    <w:rsid w:val="24D131D2"/>
    <w:rsid w:val="24EB1469"/>
    <w:rsid w:val="24F1163A"/>
    <w:rsid w:val="250626FC"/>
    <w:rsid w:val="255B2F57"/>
    <w:rsid w:val="25A2609B"/>
    <w:rsid w:val="25A93CC2"/>
    <w:rsid w:val="26386B8E"/>
    <w:rsid w:val="264439EB"/>
    <w:rsid w:val="265E0957"/>
    <w:rsid w:val="26761B00"/>
    <w:rsid w:val="26864004"/>
    <w:rsid w:val="26D0702D"/>
    <w:rsid w:val="26E50D2A"/>
    <w:rsid w:val="27303294"/>
    <w:rsid w:val="27561C28"/>
    <w:rsid w:val="275D2FB6"/>
    <w:rsid w:val="277B343D"/>
    <w:rsid w:val="27826579"/>
    <w:rsid w:val="27A24E6D"/>
    <w:rsid w:val="27A75FE0"/>
    <w:rsid w:val="27B30E28"/>
    <w:rsid w:val="27B34984"/>
    <w:rsid w:val="27CB43C4"/>
    <w:rsid w:val="27D8263D"/>
    <w:rsid w:val="281318C7"/>
    <w:rsid w:val="281871C4"/>
    <w:rsid w:val="282B09BF"/>
    <w:rsid w:val="28A4420D"/>
    <w:rsid w:val="28A95D87"/>
    <w:rsid w:val="291A423D"/>
    <w:rsid w:val="29387837"/>
    <w:rsid w:val="29604D54"/>
    <w:rsid w:val="29D426D9"/>
    <w:rsid w:val="2A0247E4"/>
    <w:rsid w:val="2A2D5D2F"/>
    <w:rsid w:val="2A587A65"/>
    <w:rsid w:val="2A72760F"/>
    <w:rsid w:val="2A7E571E"/>
    <w:rsid w:val="2A9D6249"/>
    <w:rsid w:val="2AC375D4"/>
    <w:rsid w:val="2B02634F"/>
    <w:rsid w:val="2B193698"/>
    <w:rsid w:val="2B34402E"/>
    <w:rsid w:val="2B634913"/>
    <w:rsid w:val="2B6761B2"/>
    <w:rsid w:val="2B822FEC"/>
    <w:rsid w:val="2BA230AE"/>
    <w:rsid w:val="2BD61589"/>
    <w:rsid w:val="2BE912BD"/>
    <w:rsid w:val="2BF043F9"/>
    <w:rsid w:val="2BFA0DD4"/>
    <w:rsid w:val="2C0B2FE1"/>
    <w:rsid w:val="2C1874AC"/>
    <w:rsid w:val="2C210A56"/>
    <w:rsid w:val="2C302A48"/>
    <w:rsid w:val="2C45036F"/>
    <w:rsid w:val="2C526E62"/>
    <w:rsid w:val="2C6D3C9C"/>
    <w:rsid w:val="2CAB6572"/>
    <w:rsid w:val="2CE30E7A"/>
    <w:rsid w:val="2D145EC5"/>
    <w:rsid w:val="2D214A86"/>
    <w:rsid w:val="2D241915"/>
    <w:rsid w:val="2D92328E"/>
    <w:rsid w:val="2DA60AE7"/>
    <w:rsid w:val="2DD83397"/>
    <w:rsid w:val="2E1168A9"/>
    <w:rsid w:val="2E516CA5"/>
    <w:rsid w:val="2E7B3D22"/>
    <w:rsid w:val="2E84707B"/>
    <w:rsid w:val="2E9276CB"/>
    <w:rsid w:val="2EEB70FA"/>
    <w:rsid w:val="2F045B74"/>
    <w:rsid w:val="2F1C3757"/>
    <w:rsid w:val="2F3C1CF4"/>
    <w:rsid w:val="2F464330"/>
    <w:rsid w:val="2F6A44C2"/>
    <w:rsid w:val="2F6F6AEE"/>
    <w:rsid w:val="2F736386"/>
    <w:rsid w:val="2F9652B7"/>
    <w:rsid w:val="2F997048"/>
    <w:rsid w:val="2F9B467C"/>
    <w:rsid w:val="2FB614B6"/>
    <w:rsid w:val="2FE50B81"/>
    <w:rsid w:val="2FEE50F3"/>
    <w:rsid w:val="300D4E4E"/>
    <w:rsid w:val="30427AA5"/>
    <w:rsid w:val="304A7E50"/>
    <w:rsid w:val="304C3BC8"/>
    <w:rsid w:val="304F5466"/>
    <w:rsid w:val="30A47560"/>
    <w:rsid w:val="30A532D8"/>
    <w:rsid w:val="30DA11D4"/>
    <w:rsid w:val="30E43E01"/>
    <w:rsid w:val="310B75DF"/>
    <w:rsid w:val="31141606"/>
    <w:rsid w:val="311C1228"/>
    <w:rsid w:val="311F308B"/>
    <w:rsid w:val="31350B00"/>
    <w:rsid w:val="31496CF2"/>
    <w:rsid w:val="3186135C"/>
    <w:rsid w:val="319677F1"/>
    <w:rsid w:val="31975317"/>
    <w:rsid w:val="31AC1DEB"/>
    <w:rsid w:val="31C81974"/>
    <w:rsid w:val="3206115E"/>
    <w:rsid w:val="32537490"/>
    <w:rsid w:val="326D7CE5"/>
    <w:rsid w:val="3300608A"/>
    <w:rsid w:val="330E64E9"/>
    <w:rsid w:val="331325B6"/>
    <w:rsid w:val="33544914"/>
    <w:rsid w:val="338B4A07"/>
    <w:rsid w:val="33A9402A"/>
    <w:rsid w:val="33C9508B"/>
    <w:rsid w:val="341529F1"/>
    <w:rsid w:val="342033A2"/>
    <w:rsid w:val="34452E08"/>
    <w:rsid w:val="346516FC"/>
    <w:rsid w:val="349205E1"/>
    <w:rsid w:val="34A73AC3"/>
    <w:rsid w:val="34AC2E87"/>
    <w:rsid w:val="34AE30A3"/>
    <w:rsid w:val="34CC7F97"/>
    <w:rsid w:val="34D47DBD"/>
    <w:rsid w:val="34E268A9"/>
    <w:rsid w:val="35270760"/>
    <w:rsid w:val="353C06AF"/>
    <w:rsid w:val="3550415A"/>
    <w:rsid w:val="357C3E36"/>
    <w:rsid w:val="359B1233"/>
    <w:rsid w:val="359D0A22"/>
    <w:rsid w:val="35A52FD0"/>
    <w:rsid w:val="35A95AF1"/>
    <w:rsid w:val="35BB2509"/>
    <w:rsid w:val="35C63A56"/>
    <w:rsid w:val="35C74E92"/>
    <w:rsid w:val="35F9034E"/>
    <w:rsid w:val="36091B79"/>
    <w:rsid w:val="363F4AE3"/>
    <w:rsid w:val="36527A5E"/>
    <w:rsid w:val="36617CA1"/>
    <w:rsid w:val="3680281D"/>
    <w:rsid w:val="36843713"/>
    <w:rsid w:val="36B00F37"/>
    <w:rsid w:val="36D3294D"/>
    <w:rsid w:val="36DA0180"/>
    <w:rsid w:val="36E724CA"/>
    <w:rsid w:val="37046FAB"/>
    <w:rsid w:val="372E2279"/>
    <w:rsid w:val="372E5DD5"/>
    <w:rsid w:val="3744384B"/>
    <w:rsid w:val="37465815"/>
    <w:rsid w:val="375F0685"/>
    <w:rsid w:val="376B0DD8"/>
    <w:rsid w:val="376D0FF4"/>
    <w:rsid w:val="378E2D18"/>
    <w:rsid w:val="37A75B88"/>
    <w:rsid w:val="37B24C58"/>
    <w:rsid w:val="37E34E12"/>
    <w:rsid w:val="37E42938"/>
    <w:rsid w:val="37E666B0"/>
    <w:rsid w:val="38025653"/>
    <w:rsid w:val="385B0E4C"/>
    <w:rsid w:val="38722F2C"/>
    <w:rsid w:val="38BF587F"/>
    <w:rsid w:val="38C56C0D"/>
    <w:rsid w:val="38D1110E"/>
    <w:rsid w:val="38E70932"/>
    <w:rsid w:val="39162FC5"/>
    <w:rsid w:val="39253208"/>
    <w:rsid w:val="396C0E37"/>
    <w:rsid w:val="397C551E"/>
    <w:rsid w:val="39A6259B"/>
    <w:rsid w:val="39FC21BB"/>
    <w:rsid w:val="3A0D43C8"/>
    <w:rsid w:val="3A10210A"/>
    <w:rsid w:val="3A1A0893"/>
    <w:rsid w:val="3A483652"/>
    <w:rsid w:val="3A7E7074"/>
    <w:rsid w:val="3A95056C"/>
    <w:rsid w:val="3ABA0A5E"/>
    <w:rsid w:val="3AD9074E"/>
    <w:rsid w:val="3AF45588"/>
    <w:rsid w:val="3B0276ED"/>
    <w:rsid w:val="3B273268"/>
    <w:rsid w:val="3B452812"/>
    <w:rsid w:val="3B702E61"/>
    <w:rsid w:val="3B7269BC"/>
    <w:rsid w:val="3B7C7A57"/>
    <w:rsid w:val="3B7D37CF"/>
    <w:rsid w:val="3BDC04F6"/>
    <w:rsid w:val="3BEE61FC"/>
    <w:rsid w:val="3C5A3D40"/>
    <w:rsid w:val="3C736CF7"/>
    <w:rsid w:val="3CDB255C"/>
    <w:rsid w:val="3CDC7C6A"/>
    <w:rsid w:val="3CE60F00"/>
    <w:rsid w:val="3CED04E1"/>
    <w:rsid w:val="3CF47AC1"/>
    <w:rsid w:val="3D4A2BD7"/>
    <w:rsid w:val="3D6267D9"/>
    <w:rsid w:val="3D78424E"/>
    <w:rsid w:val="3D7B3D3F"/>
    <w:rsid w:val="3D9D3CB5"/>
    <w:rsid w:val="3DA02290"/>
    <w:rsid w:val="3DD27898"/>
    <w:rsid w:val="3DD35B7F"/>
    <w:rsid w:val="3E2E7003"/>
    <w:rsid w:val="3E726EF0"/>
    <w:rsid w:val="3E7C1B1C"/>
    <w:rsid w:val="3E846C23"/>
    <w:rsid w:val="3E86299B"/>
    <w:rsid w:val="3E9B1F29"/>
    <w:rsid w:val="3EA846BF"/>
    <w:rsid w:val="3EC84E33"/>
    <w:rsid w:val="3ECB4852"/>
    <w:rsid w:val="3ED100BA"/>
    <w:rsid w:val="3EDE6333"/>
    <w:rsid w:val="3EFA5E8E"/>
    <w:rsid w:val="3F0A7128"/>
    <w:rsid w:val="3F204B9E"/>
    <w:rsid w:val="3F2521B4"/>
    <w:rsid w:val="3F2B709E"/>
    <w:rsid w:val="3F544847"/>
    <w:rsid w:val="3F8A2017"/>
    <w:rsid w:val="3FA56E51"/>
    <w:rsid w:val="3FC4377B"/>
    <w:rsid w:val="3FD201AC"/>
    <w:rsid w:val="3FD85478"/>
    <w:rsid w:val="3FE47979"/>
    <w:rsid w:val="3FE77469"/>
    <w:rsid w:val="4014414F"/>
    <w:rsid w:val="401F6C03"/>
    <w:rsid w:val="403A3A3D"/>
    <w:rsid w:val="403D52DB"/>
    <w:rsid w:val="40A71C96"/>
    <w:rsid w:val="40F00A05"/>
    <w:rsid w:val="40FC5C65"/>
    <w:rsid w:val="41173118"/>
    <w:rsid w:val="412A1D04"/>
    <w:rsid w:val="41306BEE"/>
    <w:rsid w:val="414C12B2"/>
    <w:rsid w:val="417E5BAB"/>
    <w:rsid w:val="418634F5"/>
    <w:rsid w:val="419D0727"/>
    <w:rsid w:val="41B94E35"/>
    <w:rsid w:val="41E2613A"/>
    <w:rsid w:val="41EE4ADF"/>
    <w:rsid w:val="4214206C"/>
    <w:rsid w:val="422A188F"/>
    <w:rsid w:val="422D11A7"/>
    <w:rsid w:val="423D67C9"/>
    <w:rsid w:val="42426BD9"/>
    <w:rsid w:val="429E3BBF"/>
    <w:rsid w:val="42BF647C"/>
    <w:rsid w:val="42FC322C"/>
    <w:rsid w:val="43065E58"/>
    <w:rsid w:val="431C1EF6"/>
    <w:rsid w:val="434370AD"/>
    <w:rsid w:val="43544E16"/>
    <w:rsid w:val="43641046"/>
    <w:rsid w:val="438356FB"/>
    <w:rsid w:val="43AF311A"/>
    <w:rsid w:val="43B835F7"/>
    <w:rsid w:val="43BB4117"/>
    <w:rsid w:val="4427252A"/>
    <w:rsid w:val="44466E54"/>
    <w:rsid w:val="44531571"/>
    <w:rsid w:val="445A6A7C"/>
    <w:rsid w:val="44823C05"/>
    <w:rsid w:val="4484797D"/>
    <w:rsid w:val="44860928"/>
    <w:rsid w:val="44867251"/>
    <w:rsid w:val="44CC4023"/>
    <w:rsid w:val="44E4666D"/>
    <w:rsid w:val="44E64DC3"/>
    <w:rsid w:val="44F20D8A"/>
    <w:rsid w:val="45084F7E"/>
    <w:rsid w:val="451F76A5"/>
    <w:rsid w:val="453144F2"/>
    <w:rsid w:val="45642533"/>
    <w:rsid w:val="45AA51C1"/>
    <w:rsid w:val="45B178BA"/>
    <w:rsid w:val="45B55914"/>
    <w:rsid w:val="45BD49BC"/>
    <w:rsid w:val="45D43FEC"/>
    <w:rsid w:val="45ED3AC8"/>
    <w:rsid w:val="460074D7"/>
    <w:rsid w:val="46184820"/>
    <w:rsid w:val="46226C7C"/>
    <w:rsid w:val="465869CB"/>
    <w:rsid w:val="468477C0"/>
    <w:rsid w:val="469B16CF"/>
    <w:rsid w:val="469B3172"/>
    <w:rsid w:val="47694C08"/>
    <w:rsid w:val="476D46F8"/>
    <w:rsid w:val="478E78A7"/>
    <w:rsid w:val="47B21FD0"/>
    <w:rsid w:val="47B916EB"/>
    <w:rsid w:val="47C120B3"/>
    <w:rsid w:val="47D429C9"/>
    <w:rsid w:val="48036E0A"/>
    <w:rsid w:val="486C132D"/>
    <w:rsid w:val="48933844"/>
    <w:rsid w:val="48AF2AEE"/>
    <w:rsid w:val="48C12F4D"/>
    <w:rsid w:val="48CB0D15"/>
    <w:rsid w:val="48CC544E"/>
    <w:rsid w:val="48F23572"/>
    <w:rsid w:val="491C4628"/>
    <w:rsid w:val="493319DD"/>
    <w:rsid w:val="4953791E"/>
    <w:rsid w:val="49777AB0"/>
    <w:rsid w:val="497C6E74"/>
    <w:rsid w:val="49A83627"/>
    <w:rsid w:val="49C32CF5"/>
    <w:rsid w:val="49CB6222"/>
    <w:rsid w:val="49CC7CB0"/>
    <w:rsid w:val="49E62540"/>
    <w:rsid w:val="4A111669"/>
    <w:rsid w:val="4A1C3426"/>
    <w:rsid w:val="4A2C2648"/>
    <w:rsid w:val="4A6F2535"/>
    <w:rsid w:val="4A934476"/>
    <w:rsid w:val="4A9563B7"/>
    <w:rsid w:val="4AA91EEB"/>
    <w:rsid w:val="4AAC5537"/>
    <w:rsid w:val="4AB8212E"/>
    <w:rsid w:val="4ABD54C4"/>
    <w:rsid w:val="4AD403F5"/>
    <w:rsid w:val="4AD54A8E"/>
    <w:rsid w:val="4B13081A"/>
    <w:rsid w:val="4B35552D"/>
    <w:rsid w:val="4B5005B9"/>
    <w:rsid w:val="4BA9144B"/>
    <w:rsid w:val="4BDF1B1E"/>
    <w:rsid w:val="4BFF5431"/>
    <w:rsid w:val="4C2D4456"/>
    <w:rsid w:val="4C8D6FAC"/>
    <w:rsid w:val="4CFD207A"/>
    <w:rsid w:val="4D3161C8"/>
    <w:rsid w:val="4D3D2DBF"/>
    <w:rsid w:val="4D5679DC"/>
    <w:rsid w:val="4D97427D"/>
    <w:rsid w:val="4DAB5F7A"/>
    <w:rsid w:val="4DD52FF7"/>
    <w:rsid w:val="4DE65204"/>
    <w:rsid w:val="4DFE60AA"/>
    <w:rsid w:val="4E277CA8"/>
    <w:rsid w:val="4E30647F"/>
    <w:rsid w:val="4E3221F7"/>
    <w:rsid w:val="4E332581"/>
    <w:rsid w:val="4E617544"/>
    <w:rsid w:val="4E796078"/>
    <w:rsid w:val="4E797E26"/>
    <w:rsid w:val="4ECA2430"/>
    <w:rsid w:val="4F075432"/>
    <w:rsid w:val="4F4B17C3"/>
    <w:rsid w:val="4F4E3061"/>
    <w:rsid w:val="4F9D203F"/>
    <w:rsid w:val="4FD95020"/>
    <w:rsid w:val="4FDC241B"/>
    <w:rsid w:val="50250941"/>
    <w:rsid w:val="50285660"/>
    <w:rsid w:val="502C6E1C"/>
    <w:rsid w:val="505C7A00"/>
    <w:rsid w:val="50852AB2"/>
    <w:rsid w:val="50903205"/>
    <w:rsid w:val="50C80BF1"/>
    <w:rsid w:val="50ED0658"/>
    <w:rsid w:val="51242133"/>
    <w:rsid w:val="512C2F2E"/>
    <w:rsid w:val="513444D8"/>
    <w:rsid w:val="51363DAD"/>
    <w:rsid w:val="51385D77"/>
    <w:rsid w:val="51576EA0"/>
    <w:rsid w:val="5176689F"/>
    <w:rsid w:val="51786173"/>
    <w:rsid w:val="51946BBA"/>
    <w:rsid w:val="51F872B4"/>
    <w:rsid w:val="52021EE1"/>
    <w:rsid w:val="520914C1"/>
    <w:rsid w:val="525A6314"/>
    <w:rsid w:val="527252B8"/>
    <w:rsid w:val="529B480F"/>
    <w:rsid w:val="52A42F98"/>
    <w:rsid w:val="52BC29D7"/>
    <w:rsid w:val="52CA29FF"/>
    <w:rsid w:val="53476745"/>
    <w:rsid w:val="536746F1"/>
    <w:rsid w:val="537312E8"/>
    <w:rsid w:val="539B006D"/>
    <w:rsid w:val="53B22CE9"/>
    <w:rsid w:val="53C25322"/>
    <w:rsid w:val="541A1764"/>
    <w:rsid w:val="542F67CA"/>
    <w:rsid w:val="54A8045F"/>
    <w:rsid w:val="54D97871"/>
    <w:rsid w:val="54F93A6F"/>
    <w:rsid w:val="5536081F"/>
    <w:rsid w:val="554271C4"/>
    <w:rsid w:val="554A42CB"/>
    <w:rsid w:val="5568005C"/>
    <w:rsid w:val="55985036"/>
    <w:rsid w:val="55A5175D"/>
    <w:rsid w:val="55D41DE6"/>
    <w:rsid w:val="55D50038"/>
    <w:rsid w:val="55F2746A"/>
    <w:rsid w:val="55FD758F"/>
    <w:rsid w:val="56013A0F"/>
    <w:rsid w:val="561E0B0A"/>
    <w:rsid w:val="5640122A"/>
    <w:rsid w:val="5648247B"/>
    <w:rsid w:val="566C29CD"/>
    <w:rsid w:val="567C4958"/>
    <w:rsid w:val="56BC7FA7"/>
    <w:rsid w:val="56DC71A4"/>
    <w:rsid w:val="57120E18"/>
    <w:rsid w:val="571406EC"/>
    <w:rsid w:val="577613A7"/>
    <w:rsid w:val="57942E41"/>
    <w:rsid w:val="57CC1813"/>
    <w:rsid w:val="57CF2865"/>
    <w:rsid w:val="57F82DC0"/>
    <w:rsid w:val="580824C7"/>
    <w:rsid w:val="580E15DF"/>
    <w:rsid w:val="584274DB"/>
    <w:rsid w:val="585D2A6D"/>
    <w:rsid w:val="58627B7D"/>
    <w:rsid w:val="586438F5"/>
    <w:rsid w:val="58845D45"/>
    <w:rsid w:val="58BF0B2C"/>
    <w:rsid w:val="58C148A4"/>
    <w:rsid w:val="58F20F01"/>
    <w:rsid w:val="58FF53CC"/>
    <w:rsid w:val="590429E2"/>
    <w:rsid w:val="59213594"/>
    <w:rsid w:val="594D6137"/>
    <w:rsid w:val="594E7503"/>
    <w:rsid w:val="59722042"/>
    <w:rsid w:val="59A55F73"/>
    <w:rsid w:val="59AC5554"/>
    <w:rsid w:val="59AC7302"/>
    <w:rsid w:val="59B62942"/>
    <w:rsid w:val="59BC506B"/>
    <w:rsid w:val="59C9705D"/>
    <w:rsid w:val="59EF3692"/>
    <w:rsid w:val="5A5B4884"/>
    <w:rsid w:val="5A6B69EA"/>
    <w:rsid w:val="5A897643"/>
    <w:rsid w:val="5A8C0EE1"/>
    <w:rsid w:val="5ACC7530"/>
    <w:rsid w:val="5ADA39FB"/>
    <w:rsid w:val="5AFE3B8D"/>
    <w:rsid w:val="5B595267"/>
    <w:rsid w:val="5B7A3E0D"/>
    <w:rsid w:val="5BC052E6"/>
    <w:rsid w:val="5BC30933"/>
    <w:rsid w:val="5BCD78C0"/>
    <w:rsid w:val="5BD40D92"/>
    <w:rsid w:val="5BDB1EAB"/>
    <w:rsid w:val="5C2A2760"/>
    <w:rsid w:val="5C3D6937"/>
    <w:rsid w:val="5C96226F"/>
    <w:rsid w:val="5D213B63"/>
    <w:rsid w:val="5D2641A2"/>
    <w:rsid w:val="5D4D2BAA"/>
    <w:rsid w:val="5D59154F"/>
    <w:rsid w:val="5D852344"/>
    <w:rsid w:val="5DB63291"/>
    <w:rsid w:val="5DBA7B13"/>
    <w:rsid w:val="5DD27DB3"/>
    <w:rsid w:val="5DEF1EB3"/>
    <w:rsid w:val="5E5835B4"/>
    <w:rsid w:val="5E6261E1"/>
    <w:rsid w:val="5E730114"/>
    <w:rsid w:val="5E801A7A"/>
    <w:rsid w:val="5E897C12"/>
    <w:rsid w:val="5EA467FA"/>
    <w:rsid w:val="5EB629D1"/>
    <w:rsid w:val="5EEC01A1"/>
    <w:rsid w:val="5EF7101F"/>
    <w:rsid w:val="5F13397F"/>
    <w:rsid w:val="5F1F0576"/>
    <w:rsid w:val="5F296CFF"/>
    <w:rsid w:val="5F2E6A0B"/>
    <w:rsid w:val="5F526256"/>
    <w:rsid w:val="5F577D10"/>
    <w:rsid w:val="5F7408C2"/>
    <w:rsid w:val="5FD01870"/>
    <w:rsid w:val="5FE61094"/>
    <w:rsid w:val="5FE86F44"/>
    <w:rsid w:val="5FF2794C"/>
    <w:rsid w:val="60114363"/>
    <w:rsid w:val="60555CAB"/>
    <w:rsid w:val="606B3A0E"/>
    <w:rsid w:val="60B45728"/>
    <w:rsid w:val="60FB46CB"/>
    <w:rsid w:val="61497B2C"/>
    <w:rsid w:val="618943CD"/>
    <w:rsid w:val="618B5A4F"/>
    <w:rsid w:val="61BE325C"/>
    <w:rsid w:val="61C827FF"/>
    <w:rsid w:val="61E41603"/>
    <w:rsid w:val="62120618"/>
    <w:rsid w:val="62455EA3"/>
    <w:rsid w:val="62487DE4"/>
    <w:rsid w:val="625E2039"/>
    <w:rsid w:val="62862AB7"/>
    <w:rsid w:val="629B74DF"/>
    <w:rsid w:val="62D578C9"/>
    <w:rsid w:val="631F6D97"/>
    <w:rsid w:val="63497970"/>
    <w:rsid w:val="635A392B"/>
    <w:rsid w:val="637F3391"/>
    <w:rsid w:val="64095351"/>
    <w:rsid w:val="64095A83"/>
    <w:rsid w:val="64373C6C"/>
    <w:rsid w:val="64504D2E"/>
    <w:rsid w:val="645760BC"/>
    <w:rsid w:val="649D76A0"/>
    <w:rsid w:val="659F41BF"/>
    <w:rsid w:val="65D976D1"/>
    <w:rsid w:val="67204E8B"/>
    <w:rsid w:val="674C7B03"/>
    <w:rsid w:val="675E59B4"/>
    <w:rsid w:val="678278F4"/>
    <w:rsid w:val="67900263"/>
    <w:rsid w:val="67957627"/>
    <w:rsid w:val="679D028A"/>
    <w:rsid w:val="67F578A7"/>
    <w:rsid w:val="680D3A39"/>
    <w:rsid w:val="68330BEE"/>
    <w:rsid w:val="68C47A98"/>
    <w:rsid w:val="68C61648"/>
    <w:rsid w:val="68D0468F"/>
    <w:rsid w:val="68FC5484"/>
    <w:rsid w:val="690F78C3"/>
    <w:rsid w:val="69B31FE7"/>
    <w:rsid w:val="69EA3131"/>
    <w:rsid w:val="6A386990"/>
    <w:rsid w:val="6A647785"/>
    <w:rsid w:val="6A705326"/>
    <w:rsid w:val="6AAD4C88"/>
    <w:rsid w:val="6AC36259"/>
    <w:rsid w:val="6AD06BC8"/>
    <w:rsid w:val="6AE14931"/>
    <w:rsid w:val="6AE82164"/>
    <w:rsid w:val="6B040620"/>
    <w:rsid w:val="6B0D5727"/>
    <w:rsid w:val="6B1E337F"/>
    <w:rsid w:val="6B5415A7"/>
    <w:rsid w:val="6B6F018F"/>
    <w:rsid w:val="6B851761"/>
    <w:rsid w:val="6B8E54EB"/>
    <w:rsid w:val="6B930322"/>
    <w:rsid w:val="6BA639E9"/>
    <w:rsid w:val="6BAF2C82"/>
    <w:rsid w:val="6C094140"/>
    <w:rsid w:val="6C133F04"/>
    <w:rsid w:val="6C3C4515"/>
    <w:rsid w:val="6C4B4758"/>
    <w:rsid w:val="6C5536C6"/>
    <w:rsid w:val="6C8B724B"/>
    <w:rsid w:val="6CB93DB8"/>
    <w:rsid w:val="6CE07597"/>
    <w:rsid w:val="6D0D7C60"/>
    <w:rsid w:val="6D374CDD"/>
    <w:rsid w:val="6D3B2A1F"/>
    <w:rsid w:val="6D3C0545"/>
    <w:rsid w:val="6D57537F"/>
    <w:rsid w:val="6D7E290C"/>
    <w:rsid w:val="6D855A48"/>
    <w:rsid w:val="6DBE53FE"/>
    <w:rsid w:val="6DC01176"/>
    <w:rsid w:val="6E170016"/>
    <w:rsid w:val="6E370438"/>
    <w:rsid w:val="6E573888"/>
    <w:rsid w:val="6EB72579"/>
    <w:rsid w:val="6EBB79A1"/>
    <w:rsid w:val="6EC66318"/>
    <w:rsid w:val="6ECD1366"/>
    <w:rsid w:val="6EE42C42"/>
    <w:rsid w:val="6EEE586F"/>
    <w:rsid w:val="6F0830A3"/>
    <w:rsid w:val="6F27734B"/>
    <w:rsid w:val="6F2B6AC3"/>
    <w:rsid w:val="6F347726"/>
    <w:rsid w:val="6F5B73A8"/>
    <w:rsid w:val="6F7E0543"/>
    <w:rsid w:val="6F8B0B99"/>
    <w:rsid w:val="6FD9207B"/>
    <w:rsid w:val="6FEC1DAE"/>
    <w:rsid w:val="6FF2313D"/>
    <w:rsid w:val="6FFE7D34"/>
    <w:rsid w:val="701C60BF"/>
    <w:rsid w:val="703B4AE4"/>
    <w:rsid w:val="70645DE9"/>
    <w:rsid w:val="707D6EAA"/>
    <w:rsid w:val="70822713"/>
    <w:rsid w:val="70CA35FF"/>
    <w:rsid w:val="70FA112C"/>
    <w:rsid w:val="70FF1FB5"/>
    <w:rsid w:val="7130216F"/>
    <w:rsid w:val="71306613"/>
    <w:rsid w:val="715C2F64"/>
    <w:rsid w:val="71663DE2"/>
    <w:rsid w:val="717D42AF"/>
    <w:rsid w:val="71802208"/>
    <w:rsid w:val="71C47403"/>
    <w:rsid w:val="71D24BBA"/>
    <w:rsid w:val="71D76A8E"/>
    <w:rsid w:val="728B1D53"/>
    <w:rsid w:val="72D134DE"/>
    <w:rsid w:val="72EE0533"/>
    <w:rsid w:val="72FA6ED8"/>
    <w:rsid w:val="73027B3B"/>
    <w:rsid w:val="730E4732"/>
    <w:rsid w:val="732301DD"/>
    <w:rsid w:val="736425A4"/>
    <w:rsid w:val="737C169B"/>
    <w:rsid w:val="739F538A"/>
    <w:rsid w:val="73BE7F06"/>
    <w:rsid w:val="73EB6821"/>
    <w:rsid w:val="73ED07EB"/>
    <w:rsid w:val="73FB071E"/>
    <w:rsid w:val="746D441A"/>
    <w:rsid w:val="74786307"/>
    <w:rsid w:val="749F7D37"/>
    <w:rsid w:val="74C63436"/>
    <w:rsid w:val="74C96B62"/>
    <w:rsid w:val="74E67714"/>
    <w:rsid w:val="75041948"/>
    <w:rsid w:val="751A116C"/>
    <w:rsid w:val="75630D65"/>
    <w:rsid w:val="75986535"/>
    <w:rsid w:val="75A93784"/>
    <w:rsid w:val="75BA46FD"/>
    <w:rsid w:val="75F0011F"/>
    <w:rsid w:val="75FD6DA5"/>
    <w:rsid w:val="761E764F"/>
    <w:rsid w:val="76C84BF7"/>
    <w:rsid w:val="770420D4"/>
    <w:rsid w:val="772E7150"/>
    <w:rsid w:val="774E334F"/>
    <w:rsid w:val="77626DFA"/>
    <w:rsid w:val="77737259"/>
    <w:rsid w:val="77846D70"/>
    <w:rsid w:val="779C1F25"/>
    <w:rsid w:val="779E42D6"/>
    <w:rsid w:val="77C11D73"/>
    <w:rsid w:val="77E553A8"/>
    <w:rsid w:val="780B7492"/>
    <w:rsid w:val="78144598"/>
    <w:rsid w:val="781C51FB"/>
    <w:rsid w:val="78297D56"/>
    <w:rsid w:val="78574485"/>
    <w:rsid w:val="78911745"/>
    <w:rsid w:val="79346574"/>
    <w:rsid w:val="794428A8"/>
    <w:rsid w:val="79870D9A"/>
    <w:rsid w:val="79AE6327"/>
    <w:rsid w:val="79DA1AB2"/>
    <w:rsid w:val="79F006ED"/>
    <w:rsid w:val="7A1D7E42"/>
    <w:rsid w:val="7A236D15"/>
    <w:rsid w:val="7A342CD0"/>
    <w:rsid w:val="7A3525A4"/>
    <w:rsid w:val="7A666C01"/>
    <w:rsid w:val="7A7668C5"/>
    <w:rsid w:val="7ABA1B75"/>
    <w:rsid w:val="7ABB0CFB"/>
    <w:rsid w:val="7AD65B35"/>
    <w:rsid w:val="7AD93877"/>
    <w:rsid w:val="7B046602"/>
    <w:rsid w:val="7B163EBC"/>
    <w:rsid w:val="7B252618"/>
    <w:rsid w:val="7B31720F"/>
    <w:rsid w:val="7B3E36DA"/>
    <w:rsid w:val="7B407452"/>
    <w:rsid w:val="7B66335D"/>
    <w:rsid w:val="7B8E01BE"/>
    <w:rsid w:val="7BC71922"/>
    <w:rsid w:val="7BFF0ED0"/>
    <w:rsid w:val="7C033ED9"/>
    <w:rsid w:val="7C0B180E"/>
    <w:rsid w:val="7C7C095E"/>
    <w:rsid w:val="7C817D22"/>
    <w:rsid w:val="7C9E08D4"/>
    <w:rsid w:val="7CD662C0"/>
    <w:rsid w:val="7CD67ABD"/>
    <w:rsid w:val="7CE111F7"/>
    <w:rsid w:val="7D060228"/>
    <w:rsid w:val="7D1172F8"/>
    <w:rsid w:val="7D494CE4"/>
    <w:rsid w:val="7D4A0A5C"/>
    <w:rsid w:val="7DA0067C"/>
    <w:rsid w:val="7DA20010"/>
    <w:rsid w:val="7DBD2FDC"/>
    <w:rsid w:val="7DC600E3"/>
    <w:rsid w:val="7DEC38C1"/>
    <w:rsid w:val="7DF00BFA"/>
    <w:rsid w:val="7DF34C50"/>
    <w:rsid w:val="7DF478B8"/>
    <w:rsid w:val="7E011C89"/>
    <w:rsid w:val="7E132BFC"/>
    <w:rsid w:val="7E283478"/>
    <w:rsid w:val="7E3C03A5"/>
    <w:rsid w:val="7E462FD2"/>
    <w:rsid w:val="7E7F64E4"/>
    <w:rsid w:val="7E813F71"/>
    <w:rsid w:val="7EBE700C"/>
    <w:rsid w:val="7EC87E8B"/>
    <w:rsid w:val="7EF90044"/>
    <w:rsid w:val="7F0D1D41"/>
    <w:rsid w:val="7F9E2999"/>
    <w:rsid w:val="7FAF2DF8"/>
    <w:rsid w:val="7FED6926"/>
    <w:rsid w:val="7FF47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6">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9">
    <w:name w:val="toc 1"/>
    <w:basedOn w:val="1"/>
    <w:next w:val="1"/>
    <w:qFormat/>
    <w:uiPriority w:val="0"/>
  </w:style>
  <w:style w:type="paragraph" w:styleId="10">
    <w:name w:val="table of figures"/>
    <w:basedOn w:val="1"/>
    <w:next w:val="1"/>
    <w:qFormat/>
    <w:uiPriority w:val="0"/>
    <w:pPr>
      <w:ind w:left="400" w:leftChars="200" w:hanging="200" w:hangingChars="200"/>
    </w:pPr>
  </w:style>
  <w:style w:type="paragraph" w:styleId="11">
    <w:name w:val="toc 2"/>
    <w:basedOn w:val="1"/>
    <w:next w:val="1"/>
    <w:qFormat/>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0"/>
    <w:rPr>
      <w:b/>
    </w:rPr>
  </w:style>
  <w:style w:type="paragraph" w:customStyle="1" w:styleId="16">
    <w:name w:val="文档正文"/>
    <w:basedOn w:val="1"/>
    <w:qFormat/>
    <w:uiPriority w:val="99"/>
    <w:pPr>
      <w:adjustRightInd w:val="0"/>
      <w:spacing w:line="480" w:lineRule="atLeast"/>
      <w:textAlignment w:val="baseline"/>
    </w:pPr>
    <w:rPr>
      <w:rFonts w:hAnsi="Arial"/>
      <w:kern w:val="0"/>
    </w:rPr>
  </w:style>
  <w:style w:type="paragraph" w:customStyle="1" w:styleId="1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customStyle="1" w:styleId="19">
    <w:name w:val="WPSOffice手动目录 2"/>
    <w:qFormat/>
    <w:uiPriority w:val="0"/>
    <w:pPr>
      <w:ind w:leftChars="200"/>
    </w:pPr>
    <w:rPr>
      <w:rFonts w:ascii="Times New Roman" w:hAnsi="Times New Roman" w:eastAsia="宋体" w:cs="Times New Roman"/>
      <w:sz w:val="20"/>
      <w:szCs w:val="20"/>
    </w:rPr>
  </w:style>
  <w:style w:type="paragraph" w:customStyle="1" w:styleId="20">
    <w:name w:val="普通(网站) Char"/>
    <w:basedOn w:val="1"/>
    <w:qFormat/>
    <w:uiPriority w:val="0"/>
    <w:pPr>
      <w:spacing w:before="0" w:beforeAutospacing="1" w:after="0" w:afterAutospacing="1"/>
      <w:ind w:left="0" w:right="0"/>
      <w:jc w:val="left"/>
    </w:pPr>
    <w:rPr>
      <w:rFonts w:ascii="宋体" w:eastAsia="宋体" w:cs="宋体"/>
      <w:kern w:val="0"/>
      <w:sz w:val="24"/>
      <w:szCs w:val="24"/>
      <w:lang w:val="en-US" w:eastAsia="zh-CN"/>
    </w:rPr>
  </w:style>
  <w:style w:type="character" w:customStyle="1" w:styleId="21">
    <w:name w:val="font21"/>
    <w:basedOn w:val="14"/>
    <w:qFormat/>
    <w:uiPriority w:val="0"/>
    <w:rPr>
      <w:rFonts w:ascii="宋体" w:hAnsi="宋体" w:eastAsia="宋体" w:cs="宋体"/>
      <w:color w:val="000000"/>
      <w:sz w:val="20"/>
      <w:szCs w:val="20"/>
      <w:u w:val="none"/>
    </w:rPr>
  </w:style>
  <w:style w:type="character" w:customStyle="1" w:styleId="22">
    <w:name w:val="font41"/>
    <w:basedOn w:val="14"/>
    <w:qFormat/>
    <w:uiPriority w:val="0"/>
    <w:rPr>
      <w:rFonts w:ascii="仿宋_GB2312" w:eastAsia="仿宋_GB2312" w:cs="仿宋_GB2312"/>
      <w:color w:val="000000"/>
      <w:sz w:val="20"/>
      <w:szCs w:val="20"/>
      <w:u w:val="none"/>
    </w:rPr>
  </w:style>
  <w:style w:type="character" w:customStyle="1" w:styleId="23">
    <w:name w:val="font3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9983;&#20135;&#2114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6412;&#324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9983;&#20135;&#21147;.xlsx"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9983;&#20135;&#2114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9983;&#20135;&#2114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9983;&#20135;&#2114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0892;&#19994;&#23616;&#26448;&#26009;\&#31185;&#20892;&#23616;&#20915;&#31639;&#36164;&#26009;\2023&#24180;&#20915;&#31639;&#20844;&#24320;\2023&#24180;&#31185;&#20892;&#23616;&#20915;&#31639;&#20844;&#24320;&#36164;&#26009;\&#39292;&#29366;&#22270;&#29983;&#20135;&#2114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05555555556"/>
          <c:y val="0.205925925925926"/>
          <c:w val="0.852916666666667"/>
          <c:h val="0.697566137566138"/>
        </c:manualLayout>
      </c:layout>
      <c:barChart>
        <c:barDir val="col"/>
        <c:grouping val="clustered"/>
        <c:varyColors val="0"/>
        <c:ser>
          <c:idx val="0"/>
          <c:order val="0"/>
          <c:tx>
            <c:strRef>
              <c:f>[饼状图生产力.xlsx]Sheet1!$C$8</c:f>
              <c:strCache>
                <c:ptCount val="1"/>
                <c:pt idx="0">
                  <c:v>图一.财政拨款收、支总决算</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[饼状图生产力.xlsx]Sheet1!$B$9:$B$10</c:f>
              <c:strCache>
                <c:ptCount val="2"/>
                <c:pt idx="0">
                  <c:v>2024年</c:v>
                </c:pt>
                <c:pt idx="1">
                  <c:v>2023年</c:v>
                </c:pt>
              </c:strCache>
            </c:strRef>
          </c:cat>
          <c:val>
            <c:numRef>
              <c:f>[饼状图生产力.xlsx]Sheet1!$C$9:$C$10</c:f>
              <c:numCache>
                <c:formatCode>#,##0.00</c:formatCode>
                <c:ptCount val="2"/>
                <c:pt idx="0">
                  <c:v>355.59</c:v>
                </c:pt>
                <c:pt idx="1">
                  <c:v>369.9</c:v>
                </c:pt>
              </c:numCache>
            </c:numRef>
          </c:val>
        </c:ser>
        <c:dLbls>
          <c:showLegendKey val="0"/>
          <c:showVal val="1"/>
          <c:showCatName val="0"/>
          <c:showSerName val="0"/>
          <c:showPercent val="0"/>
          <c:showBubbleSize val="0"/>
        </c:dLbls>
        <c:gapWidth val="75"/>
        <c:axId val="80053376"/>
        <c:axId val="80054912"/>
      </c:barChart>
      <c:catAx>
        <c:axId val="800533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4912"/>
        <c:crosses val="autoZero"/>
        <c:auto val="1"/>
        <c:lblAlgn val="ctr"/>
        <c:lblOffset val="100"/>
        <c:noMultiLvlLbl val="0"/>
      </c:catAx>
      <c:valAx>
        <c:axId val="80054912"/>
        <c:scaling>
          <c:orientation val="minMax"/>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3376"/>
        <c:crosses val="autoZero"/>
        <c:crossBetween val="between"/>
      </c:valAx>
      <c:spPr>
        <a:solidFill>
          <a:schemeClr val="bg1"/>
        </a:solidFill>
        <a:ln>
          <a:noFill/>
        </a:ln>
        <a:effectLst/>
      </c:spPr>
    </c:plotArea>
    <c:legend>
      <c:legendPos val="b"/>
      <c:layout>
        <c:manualLayout>
          <c:xMode val="edge"/>
          <c:yMode val="edge"/>
          <c:x val="0.20625"/>
          <c:y val="0.0186243386243386"/>
          <c:w val="0.6625"/>
          <c:h val="0.13671957671957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ca80f23f-c291-4dce-afb5-07c65ae6ac47}"/>
      </c:ext>
    </c:extLst>
  </c:chart>
  <c:txPr>
    <a:bodyPr/>
    <a:lstStyle/>
    <a:p>
      <a:pPr>
        <a:defRPr lang="zh-CN"/>
      </a:pPr>
    </a:p>
  </c:txPr>
  <c:externalData r:id="rId1">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[饼状图本级.xlsx]Sheet1!$C$20</c:f>
              <c:strCache>
                <c:ptCount val="1"/>
                <c:pt idx="0">
                  <c:v>图二.2024年收入决算结构图</c:v>
                </c:pt>
              </c:strCache>
            </c:strRef>
          </c:tx>
          <c:explosion val="25"/>
          <c:dPt>
            <c:idx val="0"/>
            <c:bubble3D val="0"/>
          </c:dPt>
          <c:dPt>
            <c:idx val="1"/>
            <c:bubble3D val="0"/>
          </c:dPt>
          <c:dLbls>
            <c:delete val="1"/>
          </c:dLbls>
          <c:cat>
            <c:strRef>
              <c:f>[饼状图本级.xlsx]Sheet1!$B$21:$B$22</c:f>
              <c:strCache>
                <c:ptCount val="2"/>
                <c:pt idx="0">
                  <c:v>一般公共预算财政拨款收入占100%</c:v>
                </c:pt>
                <c:pt idx="1">
                  <c:v>政府性基金预算财政拨款收入占0%</c:v>
                </c:pt>
              </c:strCache>
            </c:strRef>
          </c:cat>
          <c:val>
            <c:numRef>
              <c:f>[饼状图本级.xlsx]Sheet1!$C$21:$C$22</c:f>
              <c:numCache>
                <c:formatCode>General</c:formatCode>
                <c:ptCount val="2"/>
                <c:pt idx="0">
                  <c:v>9663.32</c:v>
                </c:pt>
                <c:pt idx="1">
                  <c:v>0</c:v>
                </c:pt>
              </c:numCache>
            </c:numRef>
          </c:val>
        </c:ser>
        <c:dLbls>
          <c:showLegendKey val="0"/>
          <c:showVal val="0"/>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c8605b31-945b-49de-ac56-14617b797638}"/>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[饼状图生产力.xlsx]Sheet1!$C$38</c:f>
              <c:strCache>
                <c:ptCount val="1"/>
                <c:pt idx="0">
                  <c:v>图三.2024年支出决算结构图</c:v>
                </c:pt>
              </c:strCache>
            </c:strRef>
          </c:tx>
          <c:explosion val="25"/>
          <c:dPt>
            <c:idx val="0"/>
            <c:bubble3D val="0"/>
          </c:dPt>
          <c:dPt>
            <c:idx val="1"/>
            <c:bubble3D val="0"/>
          </c:dPt>
          <c:dLbls>
            <c:dLbl>
              <c:idx val="0"/>
              <c:layout>
                <c:manualLayout>
                  <c:x val="0.183333333333333"/>
                  <c:y val="-0.0243055555555556"/>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1"/>
              <c:layout>
                <c:manualLayout>
                  <c:x val="-0.225025158774982"/>
                  <c:y val="-0.0246375351762158"/>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[饼状图生产力.xlsx]Sheet1!$B$39:$B$40</c:f>
              <c:strCache>
                <c:ptCount val="2"/>
                <c:pt idx="0">
                  <c:v>基本支出占11.61%</c:v>
                </c:pt>
                <c:pt idx="1">
                  <c:v>项目支出占88.39%</c:v>
                </c:pt>
              </c:strCache>
            </c:strRef>
          </c:cat>
          <c:val>
            <c:numRef>
              <c:f>[饼状图生产力.xlsx]Sheet1!$C$39:$C$40</c:f>
              <c:numCache>
                <c:formatCode>General</c:formatCode>
                <c:ptCount val="2"/>
                <c:pt idx="0">
                  <c:v>41.28</c:v>
                </c:pt>
                <c:pt idx="1">
                  <c:v>314.31</c:v>
                </c:pt>
              </c:numCache>
            </c:numRef>
          </c:val>
        </c:ser>
        <c:dLbls>
          <c:showLegendKey val="0"/>
          <c:showVal val="0"/>
          <c:showCatName val="1"/>
          <c:showSerName val="0"/>
          <c:showPercent val="0"/>
          <c:showBubbleSize val="0"/>
        </c:dLbls>
      </c:pie3DChart>
    </c:plotArea>
    <c:plotVisOnly val="1"/>
    <c:dispBlanksAs val="gap"/>
    <c:showDLblsOverMax val="0"/>
    <c:extLst>
      <c:ext uri="{0b15fc19-7d7d-44ad-8c2d-2c3a37ce22c3}">
        <chartProps xmlns="https://web.wps.cn/et/2018/main" chartId="{a183dc34-8531-459f-9437-fc1dbf87abb8}"/>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294825751529"/>
          <c:y val="0.179820256625849"/>
          <c:w val="0.852916666666667"/>
          <c:h val="0.697566137566138"/>
        </c:manualLayout>
      </c:layout>
      <c:barChart>
        <c:barDir val="col"/>
        <c:grouping val="clustered"/>
        <c:varyColors val="0"/>
        <c:ser>
          <c:idx val="0"/>
          <c:order val="0"/>
          <c:tx>
            <c:strRef>
              <c:f>[饼状图生产力.xlsx]Sheet1!$C$8</c:f>
              <c:strCache>
                <c:ptCount val="1"/>
                <c:pt idx="0">
                  <c:v>图四.财政拨款收、支总决算</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[饼状图生产力.xlsx]Sheet1!$B$9:$B$10</c:f>
              <c:strCache>
                <c:ptCount val="2"/>
                <c:pt idx="0">
                  <c:v>2024年</c:v>
                </c:pt>
                <c:pt idx="1">
                  <c:v>2023年</c:v>
                </c:pt>
              </c:strCache>
            </c:strRef>
          </c:cat>
          <c:val>
            <c:numRef>
              <c:f>[饼状图生产力.xlsx]Sheet1!$C$9:$C$10</c:f>
              <c:numCache>
                <c:formatCode>#,##0.00</c:formatCode>
                <c:ptCount val="2"/>
                <c:pt idx="0">
                  <c:v>355.59</c:v>
                </c:pt>
                <c:pt idx="1">
                  <c:v>369.9</c:v>
                </c:pt>
              </c:numCache>
            </c:numRef>
          </c:val>
        </c:ser>
        <c:dLbls>
          <c:showLegendKey val="0"/>
          <c:showVal val="1"/>
          <c:showCatName val="0"/>
          <c:showSerName val="0"/>
          <c:showPercent val="0"/>
          <c:showBubbleSize val="0"/>
        </c:dLbls>
        <c:gapWidth val="75"/>
        <c:axId val="80053376"/>
        <c:axId val="80054912"/>
      </c:barChart>
      <c:catAx>
        <c:axId val="800533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4912"/>
        <c:crosses val="autoZero"/>
        <c:auto val="1"/>
        <c:lblAlgn val="ctr"/>
        <c:lblOffset val="100"/>
        <c:noMultiLvlLbl val="0"/>
      </c:catAx>
      <c:valAx>
        <c:axId val="80054912"/>
        <c:scaling>
          <c:orientation val="minMax"/>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3376"/>
        <c:crosses val="autoZero"/>
        <c:crossBetween val="between"/>
      </c:valAx>
      <c:spPr>
        <a:solidFill>
          <a:schemeClr val="bg1"/>
        </a:solidFill>
        <a:ln>
          <a:noFill/>
        </a:ln>
        <a:effectLst/>
      </c:spPr>
    </c:plotArea>
    <c:legend>
      <c:legendPos val="b"/>
      <c:layout>
        <c:manualLayout>
          <c:xMode val="edge"/>
          <c:yMode val="edge"/>
          <c:x val="0.20625"/>
          <c:y val="0.0186243386243386"/>
          <c:w val="0.6625"/>
          <c:h val="0.13671957671957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ca80f23f-c291-4dce-afb5-07c65ae6ac47}"/>
      </c:ext>
    </c:extLst>
  </c:chart>
  <c:txPr>
    <a:bodyPr/>
    <a:lstStyle/>
    <a:p>
      <a:pPr>
        <a:defRPr lang="zh-CN"/>
      </a:pPr>
    </a:p>
  </c:txPr>
  <c:externalData r:id="rId1">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77777777777778"/>
          <c:y val="0.18304901164365"/>
          <c:w val="0.892222222222222"/>
          <c:h val="0.659084754941782"/>
        </c:manualLayout>
      </c:layout>
      <c:barChart>
        <c:barDir val="col"/>
        <c:grouping val="clustered"/>
        <c:varyColors val="0"/>
        <c:ser>
          <c:idx val="0"/>
          <c:order val="0"/>
          <c:tx>
            <c:strRef>
              <c:f>[饼状图生产力.xlsx]Sheet1!$C$77</c:f>
              <c:strCache>
                <c:ptCount val="1"/>
                <c:pt idx="0">
                  <c:v>图五.一般公共预算财政拨款支出决算变动情况</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[饼状图生产力.xlsx]Sheet1!$B$78:$B$79</c:f>
              <c:strCache>
                <c:ptCount val="2"/>
                <c:pt idx="0">
                  <c:v>2024年</c:v>
                </c:pt>
                <c:pt idx="1">
                  <c:v>2023年</c:v>
                </c:pt>
              </c:strCache>
            </c:strRef>
          </c:cat>
          <c:val>
            <c:numRef>
              <c:f>[饼状图生产力.xlsx]Sheet1!$C$78:$C$79</c:f>
              <c:numCache>
                <c:formatCode>General</c:formatCode>
                <c:ptCount val="2"/>
                <c:pt idx="0">
                  <c:v>355.59</c:v>
                </c:pt>
                <c:pt idx="1" c:formatCode="0.00_ ">
                  <c:v>369.9</c:v>
                </c:pt>
              </c:numCache>
            </c:numRef>
          </c:val>
        </c:ser>
        <c:dLbls>
          <c:showLegendKey val="0"/>
          <c:showVal val="1"/>
          <c:showCatName val="0"/>
          <c:showSerName val="0"/>
          <c:showPercent val="0"/>
          <c:showBubbleSize val="0"/>
        </c:dLbls>
        <c:gapWidth val="75"/>
        <c:axId val="73993600"/>
        <c:axId val="73999488"/>
      </c:barChart>
      <c:catAx>
        <c:axId val="7399360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999488"/>
        <c:crosses val="autoZero"/>
        <c:auto val="1"/>
        <c:lblAlgn val="ctr"/>
        <c:lblOffset val="100"/>
        <c:noMultiLvlLbl val="0"/>
      </c:catAx>
      <c:valAx>
        <c:axId val="7399948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993600"/>
        <c:crosses val="autoZero"/>
        <c:crossBetween val="between"/>
      </c:valAx>
      <c:spPr>
        <a:solidFill>
          <a:schemeClr val="bg1"/>
        </a:solidFill>
        <a:ln>
          <a:noFill/>
        </a:ln>
        <a:effectLst/>
      </c:spPr>
    </c:plotArea>
    <c:legend>
      <c:legendPos val="b"/>
      <c:layout>
        <c:manualLayout>
          <c:xMode val="edge"/>
          <c:yMode val="edge"/>
          <c:x val="0.0791666666666667"/>
          <c:y val="0.0212962962962963"/>
          <c:w val="0.8625"/>
          <c:h val="0.13842592592592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1e7f026-75a3-4018-9387-c40e6cf7f094}"/>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solidFill>
                <a:latin typeface="+mn-lt"/>
                <a:ea typeface="+mn-ea"/>
                <a:cs typeface="+mn-cs"/>
              </a:defRPr>
            </a:pPr>
            <a:r>
              <a:t>图六.2024年一般公共预算财政拨款支出</a:t>
            </a:r>
          </a:p>
          <a:p>
            <a:pPr defTabSz="914400">
              <a:defRPr lang="zh-CN" sz="1400" b="1" i="0" u="none" strike="noStrike" kern="1200" baseline="0">
                <a:solidFill>
                  <a:schemeClr val="tx1"/>
                </a:solidFill>
                <a:latin typeface="+mn-lt"/>
                <a:ea typeface="+mn-ea"/>
                <a:cs typeface="+mn-cs"/>
              </a:defRPr>
            </a:pPr>
            <a:r>
              <a:t>决算结构</a:t>
            </a:r>
          </a:p>
        </c:rich>
      </c:tx>
      <c:layout>
        <c:manualLayout>
          <c:xMode val="edge"/>
          <c:yMode val="edge"/>
          <c:x val="0.157779350803168"/>
          <c:y val="0.0101298701298701"/>
        </c:manualLayout>
      </c:layout>
      <c:overlay val="0"/>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912192214616134"/>
          <c:y val="0.30038961038961"/>
          <c:w val="0.829948586118252"/>
          <c:h val="0.691818181818182"/>
        </c:manualLayout>
      </c:layout>
      <c:pie3DChart>
        <c:varyColors val="1"/>
        <c:ser>
          <c:idx val="0"/>
          <c:order val="0"/>
          <c:tx>
            <c:strRef>
              <c:f>[饼状图生产力.xlsx]Sheet1!$C$99</c:f>
              <c:strCache>
                <c:ptCount val="1"/>
                <c:pt idx="0">
                  <c:v>图六.2024年一般公共预算财政拨款支出决算结构</c:v>
                </c:pt>
              </c:strCache>
            </c:strRef>
          </c:tx>
          <c:explosion val="0"/>
          <c:dPt>
            <c:idx val="0"/>
            <c:bubble3D val="0"/>
          </c:dPt>
          <c:dPt>
            <c:idx val="1"/>
            <c:bubble3D val="0"/>
          </c:dPt>
          <c:dPt>
            <c:idx val="2"/>
            <c:bubble3D val="0"/>
          </c:dPt>
          <c:dPt>
            <c:idx val="3"/>
            <c:bubble3D val="0"/>
            <c:explosion val="2"/>
          </c:dPt>
          <c:dLbls>
            <c:dLbl>
              <c:idx val="0"/>
              <c:layout>
                <c:manualLayout>
                  <c:x val="0.295833333333333"/>
                  <c:y val="-0.0654461998610035"/>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1"/>
              <c:layout>
                <c:manualLayout>
                  <c:x val="-0.277503156573993"/>
                  <c:y val="0.141202621408294"/>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205694444444444"/>
                      <c:h val="0.177462121212121"/>
                    </c:manualLayout>
                  </c15:layout>
                </c:ext>
              </c:extLst>
            </c:dLbl>
            <c:dLbl>
              <c:idx val="2"/>
              <c:layout>
                <c:manualLayout>
                  <c:x val="-0.191097601598934"/>
                  <c:y val="-0.0587801580558586"/>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3"/>
              <c:layout>
                <c:manualLayout>
                  <c:x val="0.300034769234532"/>
                  <c:y val="-0.0645636788972769"/>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175882744836775"/>
                      <c:h val="0.166753246753247"/>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[饼状图生产力.xlsx]Sheet1!$B$100:$B$103</c:f>
              <c:strCache>
                <c:ptCount val="4"/>
                <c:pt idx="0">
                  <c:v>科学技术支出占96.83%</c:v>
                </c:pt>
                <c:pt idx="1">
                  <c:v>社会保障和就业支出占1.61%</c:v>
                </c:pt>
                <c:pt idx="2">
                  <c:v>卫生健康支出占0.67%</c:v>
                </c:pt>
                <c:pt idx="3">
                  <c:v>住房保障支出占0.89%</c:v>
                </c:pt>
              </c:strCache>
            </c:strRef>
          </c:cat>
          <c:val>
            <c:numRef>
              <c:f>[饼状图生产力.xlsx]Sheet1!$C$100:$C$103</c:f>
              <c:numCache>
                <c:formatCode>General</c:formatCode>
                <c:ptCount val="4"/>
                <c:pt idx="0">
                  <c:v>344.33</c:v>
                </c:pt>
                <c:pt idx="1">
                  <c:v>5.73</c:v>
                </c:pt>
                <c:pt idx="2">
                  <c:v>2.36</c:v>
                </c:pt>
                <c:pt idx="3" c:formatCode="0.00_ ">
                  <c:v>3.17</c:v>
                </c:pt>
              </c:numCache>
            </c:numRef>
          </c:val>
        </c:ser>
        <c:dLbls>
          <c:showLegendKey val="0"/>
          <c:showVal val="0"/>
          <c:showCatName val="1"/>
          <c:showSerName val="0"/>
          <c:showPercent val="0"/>
          <c:showBubbleSize val="0"/>
        </c:dLbls>
      </c:pie3DChart>
    </c:plotArea>
    <c:plotVisOnly val="1"/>
    <c:dispBlanksAs val="gap"/>
    <c:showDLblsOverMax val="0"/>
    <c:extLst>
      <c:ext uri="{0b15fc19-7d7d-44ad-8c2d-2c3a37ce22c3}">
        <chartProps xmlns="https://web.wps.cn/et/2018/main" chartId="{a32bb083-673e-4aba-a1ed-6641138179e6}"/>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图七.202</a:t>
            </a:r>
            <a:r>
              <a:rPr lang="en-US" altLang="zh-CN"/>
              <a:t>4</a:t>
            </a:r>
            <a:r>
              <a:t>年“三公”经费财政拨款支出结构图</a:t>
            </a:r>
          </a:p>
        </c:rich>
      </c:tx>
      <c:layout/>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[饼状图生产力.xlsx]Sheet1!$C$120</c:f>
              <c:strCache>
                <c:ptCount val="1"/>
                <c:pt idx="0">
                  <c:v>图七.2023年“三公”经费财政拨款支出结构图</c:v>
                </c:pt>
              </c:strCache>
            </c:strRef>
          </c:tx>
          <c:explosion val="25"/>
          <c:dPt>
            <c:idx val="0"/>
            <c:bubble3D val="0"/>
          </c:dPt>
          <c:dPt>
            <c:idx val="1"/>
            <c:bubble3D val="0"/>
          </c:dPt>
          <c:dPt>
            <c:idx val="2"/>
            <c:bubble3D val="0"/>
          </c:dPt>
          <c:dLbls>
            <c:dLbl>
              <c:idx val="1"/>
              <c:layout>
                <c:manualLayout>
                  <c:x val="-0.322799097065463"/>
                  <c:y val="0.16304347826087"/>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2"/>
              <c:layout>
                <c:manualLayout>
                  <c:x val="0.334866469489822"/>
                  <c:y val="-0.430242911425741"/>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[饼状图生产力.xlsx]Sheet1!$B$121:$B$123</c:f>
              <c:strCache>
                <c:ptCount val="3"/>
                <c:pt idx="1">
                  <c:v>公务用车购置及运行维护费支出占0%</c:v>
                </c:pt>
                <c:pt idx="2">
                  <c:v>公务接待费支出占100%</c:v>
                </c:pt>
              </c:strCache>
            </c:strRef>
          </c:cat>
          <c:val>
            <c:numRef>
              <c:f>[饼状图生产力.xlsx]Sheet1!$C$121:$C$123</c:f>
              <c:numCache>
                <c:formatCode>General</c:formatCode>
                <c:ptCount val="3"/>
                <c:pt idx="1">
                  <c:v>0</c:v>
                </c:pt>
                <c:pt idx="2">
                  <c:v>0.03</c:v>
                </c:pt>
              </c:numCache>
            </c:numRef>
          </c:val>
        </c:ser>
        <c:dLbls>
          <c:showLegendKey val="0"/>
          <c:showVal val="0"/>
          <c:showCatName val="1"/>
          <c:showSerName val="0"/>
          <c:showPercent val="0"/>
          <c:showBubbleSize val="0"/>
        </c:dLbls>
      </c:pie3DChart>
    </c:plotArea>
    <c:plotVisOnly val="1"/>
    <c:dispBlanksAs val="gap"/>
    <c:showDLblsOverMax val="0"/>
    <c:extLst>
      <c:ext uri="{0b15fc19-7d7d-44ad-8c2d-2c3a37ce22c3}">
        <chartProps xmlns="https://web.wps.cn/et/2018/main" chartId="{5f6eece1-1fac-4388-8a4c-cbaf2d2998be}"/>
      </c:ext>
    </c:extLst>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0.38958</cdr:x>
      <cdr:y>0.18697</cdr:y>
    </cdr:from>
    <cdr:to>
      <cdr:x>0.58333</cdr:x>
      <cdr:y>0.29178</cdr:y>
    </cdr:to>
    <cdr:sp>
      <cdr:nvSpPr>
        <cdr:cNvPr id="2" name="矩形 1"/>
        <cdr:cNvSpPr/>
      </cdr:nvSpPr>
      <cdr:spPr xmlns:a="http://schemas.openxmlformats.org/drawingml/2006/main">
        <a:xfrm xmlns:a="http://schemas.openxmlformats.org/drawingml/2006/main">
          <a:off x="1781175" y="628651"/>
          <a:ext cx="885825" cy="35242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0.23542</cdr:x>
      <cdr:y>0.38527</cdr:y>
    </cdr:from>
    <cdr:to>
      <cdr:x>0.47292</cdr:x>
      <cdr:y>0.45892</cdr:y>
    </cdr:to>
    <cdr:sp>
      <cdr:nvSpPr>
        <cdr:cNvPr id="3" name="矩形 2"/>
        <cdr:cNvSpPr/>
      </cdr:nvSpPr>
      <cdr:spPr xmlns:a="http://schemas.openxmlformats.org/drawingml/2006/main">
        <a:xfrm xmlns:a="http://schemas.openxmlformats.org/drawingml/2006/main">
          <a:off x="1076325" y="1295401"/>
          <a:ext cx="1085850" cy="247650"/>
        </a:xfrm>
        <a:prstGeom xmlns:a="http://schemas.openxmlformats.org/drawingml/2006/main" prst="rect">
          <a:avLst/>
        </a:prstGeom>
        <a:noFill/>
      </cdr:spPr>
      <cdr:txBody xmlns:a="http://schemas.openxmlformats.org/drawingml/2006/main">
        <a:bodyPr vert="horz" wrap="square" lIns="91440" tIns="45720" rIns="91440" bIns="45720" anchor="t" anchorCtr="0">
          <a:noAutofit/>
        </a:bodyPr>
        <a:lstStyle/>
        <a:p>
          <a:pPr algn="ctr"/>
          <a:endParaRPr lang="zh-CN" altLang="en-US" sz="11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endParaRPr>
        </a:p>
      </cdr:txBody>
    </cdr:sp>
  </cdr:relSizeAnchor>
  <cdr:relSizeAnchor xmlns:cdr="http://schemas.openxmlformats.org/drawingml/2006/chartDrawing">
    <cdr:from>
      <cdr:x>0.8</cdr:x>
      <cdr:y>0.37394</cdr:y>
    </cdr:from>
    <cdr:to>
      <cdr:x>1</cdr:x>
      <cdr:y>0.64589</cdr:y>
    </cdr:to>
    <cdr:sp>
      <cdr:nvSpPr>
        <cdr:cNvPr id="4" name="矩形 3"/>
        <cdr:cNvSpPr/>
      </cdr:nvSpPr>
      <cdr:spPr xmlns:a="http://schemas.openxmlformats.org/drawingml/2006/main">
        <a:xfrm xmlns:a="http://schemas.openxmlformats.org/drawingml/2006/main">
          <a:off x="4010025" y="1257301"/>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0.38958</cdr:x>
      <cdr:y>0.18697</cdr:y>
    </cdr:from>
    <cdr:to>
      <cdr:x>0.58333</cdr:x>
      <cdr:y>0.29178</cdr:y>
    </cdr:to>
    <cdr:sp>
      <cdr:nvSpPr>
        <cdr:cNvPr id="2" name="矩形 1"/>
        <cdr:cNvSpPr/>
      </cdr:nvSpPr>
      <cdr:spPr xmlns:a="http://schemas.openxmlformats.org/drawingml/2006/main">
        <a:xfrm xmlns:a="http://schemas.openxmlformats.org/drawingml/2006/main">
          <a:off x="1781175" y="628651"/>
          <a:ext cx="885825" cy="35242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0.23542</cdr:x>
      <cdr:y>0.38527</cdr:y>
    </cdr:from>
    <cdr:to>
      <cdr:x>0.47292</cdr:x>
      <cdr:y>0.45892</cdr:y>
    </cdr:to>
    <cdr:sp>
      <cdr:nvSpPr>
        <cdr:cNvPr id="3" name="矩形 2"/>
        <cdr:cNvSpPr/>
      </cdr:nvSpPr>
      <cdr:spPr xmlns:a="http://schemas.openxmlformats.org/drawingml/2006/main">
        <a:xfrm xmlns:a="http://schemas.openxmlformats.org/drawingml/2006/main">
          <a:off x="1076325" y="1295401"/>
          <a:ext cx="1085850" cy="247650"/>
        </a:xfrm>
        <a:prstGeom xmlns:a="http://schemas.openxmlformats.org/drawingml/2006/main" prst="rect">
          <a:avLst/>
        </a:prstGeom>
        <a:noFill/>
      </cdr:spPr>
      <cdr:txBody xmlns:a="http://schemas.openxmlformats.org/drawingml/2006/main">
        <a:bodyPr vert="horz" wrap="square" lIns="91440" tIns="45720" rIns="91440" bIns="45720" anchor="t" anchorCtr="0">
          <a:noAutofit/>
        </a:bodyPr>
        <a:lstStyle/>
        <a:p>
          <a:pPr algn="ctr"/>
          <a:endParaRPr lang="zh-CN" altLang="en-US" sz="11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endParaRPr>
        </a:p>
      </cdr:txBody>
    </cdr:sp>
  </cdr:relSizeAnchor>
  <cdr:relSizeAnchor xmlns:cdr="http://schemas.openxmlformats.org/drawingml/2006/chartDrawing">
    <cdr:from>
      <cdr:x>0.8</cdr:x>
      <cdr:y>0.37394</cdr:y>
    </cdr:from>
    <cdr:to>
      <cdr:x>1</cdr:x>
      <cdr:y>0.64589</cdr:y>
    </cdr:to>
    <cdr:sp>
      <cdr:nvSpPr>
        <cdr:cNvPr id="4" name="矩形 3"/>
        <cdr:cNvSpPr/>
      </cdr:nvSpPr>
      <cdr:spPr xmlns:a="http://schemas.openxmlformats.org/drawingml/2006/main">
        <a:xfrm xmlns:a="http://schemas.openxmlformats.org/drawingml/2006/main">
          <a:off x="4010025" y="1257301"/>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6523</Words>
  <Characters>7111</Characters>
  <Lines>0</Lines>
  <Paragraphs>0</Paragraphs>
  <TotalTime>0</TotalTime>
  <ScaleCrop>false</ScaleCrop>
  <LinksUpToDate>false</LinksUpToDate>
  <CharactersWithSpaces>7249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2023-09-12T01:48:00Z</dcterms:created>
  <dc:creator>Administrator</dc:creator>
  <cp:lastModifiedBy>WZ润</cp:lastModifiedBy>
  <cp:lastPrinted>2025-09-22T04:04:00Z</cp:lastPrinted>
  <dcterms:modified xsi:type="dcterms:W3CDTF">2025-09-26T03:08:05Z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B1356153E1F0498BAE724E5C22EC5C49_12</vt:lpwstr>
  </property>
  <property fmtid="{D5CDD505-2E9C-101B-9397-08002B2CF9AE}" pid="4" name="KSOTemplateDocerSaveRecord">
    <vt:lpwstr>eyJoZGlkIjoiZjRmYzVhMTg2MDdjYTY1YTYzNDNlM2I0M2ZkYWYyNGYiLCJ1c2VySWQiOiI0MTY4Mzk0ODcifQ==</vt:lpwstr>
  </property>
</Properties>
</file>