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eastAsia="宋体"/>
          <w:b/>
          <w:sz w:val="72"/>
          <w:szCs w:val="72"/>
        </w:rPr>
      </w:pPr>
      <w:bookmarkStart w:id="0" w:name="_Toc15377425"/>
      <w:bookmarkStart w:id="1" w:name="_Toc15396597"/>
      <w:bookmarkStart w:id="2" w:name="_Toc15378441"/>
      <w:bookmarkStart w:id="3" w:name="_Toc15377193"/>
      <w:bookmarkStart w:id="4" w:name="_Toc15396475"/>
      <w:bookmarkStart w:id="5" w:name="_Toc15306267"/>
    </w:p>
    <w:p>
      <w:pPr>
        <w:pStyle w:val="2"/>
        <w:ind w:firstLine="0"/>
      </w:pPr>
    </w:p>
    <w:p>
      <w:pPr>
        <w:jc w:val="center"/>
        <w:rPr>
          <w:rFonts w:ascii="宋体" w:eastAsia="宋体"/>
          <w:b/>
          <w:sz w:val="72"/>
          <w:szCs w:val="72"/>
        </w:rPr>
      </w:pPr>
      <w:r>
        <w:rPr>
          <w:rFonts w:hint="eastAsia" w:ascii="宋体" w:eastAsia="宋体"/>
          <w:b/>
          <w:sz w:val="72"/>
          <w:szCs w:val="72"/>
        </w:rPr>
        <w:t>2021年度</w:t>
      </w:r>
      <w:bookmarkEnd w:id="0"/>
      <w:bookmarkEnd w:id="1"/>
      <w:bookmarkEnd w:id="2"/>
      <w:bookmarkEnd w:id="3"/>
      <w:bookmarkEnd w:id="4"/>
    </w:p>
    <w:bookmarkEnd w:id="5"/>
    <w:p>
      <w:pPr>
        <w:jc w:val="center"/>
        <w:rPr>
          <w:rFonts w:ascii="宋体" w:eastAsia="宋体"/>
          <w:b/>
          <w:sz w:val="72"/>
          <w:szCs w:val="72"/>
        </w:rPr>
      </w:pPr>
      <w:bookmarkStart w:id="6" w:name="_Toc15377426"/>
      <w:bookmarkStart w:id="7" w:name="_Toc15396476"/>
      <w:bookmarkStart w:id="8" w:name="_Toc15306268"/>
      <w:bookmarkStart w:id="9" w:name="_Toc15377194"/>
      <w:bookmarkStart w:id="10" w:name="_Toc15378442"/>
      <w:bookmarkStart w:id="11" w:name="_Toc15396598"/>
      <w:r>
        <w:rPr>
          <w:rFonts w:ascii="宋体" w:eastAsia="宋体"/>
          <w:b/>
          <w:sz w:val="72"/>
          <w:szCs w:val="72"/>
        </w:rPr>
        <w:t>阿坝州茂县民族宗教局</w:t>
      </w:r>
      <w:r>
        <w:rPr>
          <w:rFonts w:hint="eastAsia" w:ascii="宋体" w:eastAsia="宋体"/>
          <w:b/>
          <w:sz w:val="72"/>
          <w:szCs w:val="72"/>
        </w:rPr>
        <w:t>部门决算</w:t>
      </w:r>
      <w:bookmarkEnd w:id="6"/>
      <w:bookmarkEnd w:id="7"/>
      <w:bookmarkEnd w:id="8"/>
      <w:bookmarkEnd w:id="9"/>
      <w:bookmarkEnd w:id="10"/>
      <w:bookmarkEnd w:id="11"/>
      <w:r>
        <w:rPr>
          <w:rFonts w:hint="eastAsia" w:ascii="宋体" w:eastAsia="宋体"/>
          <w:b/>
          <w:sz w:val="72"/>
          <w:szCs w:val="72"/>
        </w:rPr>
        <w:t>编制说明</w:t>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tabs>
          <w:tab w:val="left" w:pos="3600"/>
        </w:tabs>
      </w:pPr>
      <w:r>
        <w:tab/>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autoSpaceDE w:val="0"/>
        <w:autoSpaceDN w:val="0"/>
        <w:adjustRightInd w:val="0"/>
        <w:ind w:left="420" w:leftChars="200"/>
        <w:jc w:val="left"/>
        <w:rPr>
          <w:rFonts w:ascii="宋体"/>
          <w:sz w:val="32"/>
          <w:szCs w:val="32"/>
        </w:rPr>
      </w:pPr>
      <w:r>
        <w:rPr>
          <w:rFonts w:hint="eastAsia" w:ascii="宋体" w:cs="仿宋_GB2312"/>
          <w:sz w:val="32"/>
          <w:szCs w:val="32"/>
        </w:rPr>
        <w:t>保密审查情况：</w:t>
      </w:r>
    </w:p>
    <w:p>
      <w:pPr>
        <w:autoSpaceDE w:val="0"/>
        <w:autoSpaceDN w:val="0"/>
        <w:adjustRightInd w:val="0"/>
        <w:ind w:left="420" w:leftChars="200"/>
        <w:jc w:val="left"/>
        <w:rPr>
          <w:rFonts w:ascii="宋体"/>
          <w:sz w:val="32"/>
          <w:szCs w:val="32"/>
        </w:rPr>
      </w:pPr>
      <w:r>
        <w:rPr>
          <w:rFonts w:hint="eastAsia" w:ascii="宋体" w:cs="仿宋_GB2312"/>
          <w:sz w:val="32"/>
          <w:szCs w:val="32"/>
        </w:rPr>
        <w:t>部门主要负责人审签情况：</w:t>
      </w: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bookmarkStart w:id="12" w:name="_Toc15377196"/>
    </w:p>
    <w:p>
      <w:pPr>
        <w:pStyle w:val="13"/>
        <w:rPr>
          <w:rFonts w:ascii="Calibri" w:hAnsi="Calibri" w:eastAsia="宋体" w:cs="Arial"/>
          <w:sz w:val="21"/>
          <w:szCs w:val="22"/>
        </w:rPr>
      </w:pPr>
      <w:r>
        <w:rPr>
          <w:caps w:val="0"/>
          <w:smallCaps/>
          <w:sz w:val="20"/>
          <w:szCs w:val="20"/>
        </w:rPr>
        <w:fldChar w:fldCharType="begin"/>
      </w:r>
      <w:r>
        <w:rPr>
          <w:caps w:val="0"/>
          <w:smallCaps/>
          <w:sz w:val="20"/>
          <w:szCs w:val="20"/>
        </w:rPr>
        <w:instrText xml:space="preserve"> TOC \o "1-2" \h \z \u </w:instrText>
      </w:r>
      <w:r>
        <w:rPr>
          <w:caps w:val="0"/>
          <w:smallCaps/>
          <w:sz w:val="20"/>
          <w:szCs w:val="20"/>
        </w:rPr>
        <w:fldChar w:fldCharType="separate"/>
      </w:r>
      <w:r>
        <w:fldChar w:fldCharType="begin"/>
      </w:r>
      <w:r>
        <w:instrText xml:space="preserve">Hyperlink \l "_Toc113981009"</w:instrText>
      </w:r>
      <w:r>
        <w:fldChar w:fldCharType="separate"/>
      </w:r>
      <w:r>
        <w:rPr>
          <w:rFonts w:ascii="黑体" w:eastAsia="黑体" w:cs="黑体"/>
        </w:rPr>
        <w:t>第一部分 部门概况</w:t>
      </w:r>
      <w:r>
        <w:tab/>
      </w:r>
      <w:r>
        <w:fldChar w:fldCharType="begin"/>
      </w:r>
      <w:r>
        <w:instrText xml:space="preserve"> PAGEREF _Toc113981009 \h </w:instrText>
      </w:r>
      <w:r>
        <w:fldChar w:fldCharType="separate"/>
      </w:r>
      <w:r>
        <w:t>3</w:t>
      </w:r>
      <w:r>
        <w:fldChar w:fldCharType="end"/>
      </w:r>
      <w:r>
        <w:fldChar w:fldCharType="end"/>
      </w:r>
    </w:p>
    <w:p>
      <w:pPr>
        <w:pStyle w:val="15"/>
        <w:rPr>
          <w:rFonts w:ascii="Calibri" w:hAnsi="Calibri" w:eastAsia="宋体" w:cs="Arial"/>
          <w:szCs w:val="22"/>
        </w:rPr>
      </w:pPr>
      <w:r>
        <w:fldChar w:fldCharType="begin"/>
      </w:r>
      <w:r>
        <w:instrText xml:space="preserve">Hyperlink \l "_Toc113981010"</w:instrText>
      </w:r>
      <w:r>
        <w:fldChar w:fldCharType="separate"/>
      </w:r>
      <w:r>
        <w:rPr>
          <w:rFonts w:ascii="黑体" w:eastAsia="黑体"/>
        </w:rPr>
        <w:t>一、基本职能及主要工作</w:t>
      </w:r>
      <w:r>
        <w:tab/>
      </w:r>
      <w:r>
        <w:fldChar w:fldCharType="begin"/>
      </w:r>
      <w:r>
        <w:instrText xml:space="preserve"> PAGEREF _Toc113981010 \h </w:instrText>
      </w:r>
      <w:r>
        <w:fldChar w:fldCharType="separate"/>
      </w:r>
      <w:r>
        <w:t>3</w:t>
      </w:r>
      <w:r>
        <w:fldChar w:fldCharType="end"/>
      </w:r>
      <w:r>
        <w:fldChar w:fldCharType="end"/>
      </w:r>
    </w:p>
    <w:p>
      <w:pPr>
        <w:pStyle w:val="15"/>
        <w:rPr>
          <w:rFonts w:ascii="Calibri" w:hAnsi="Calibri" w:eastAsia="宋体" w:cs="Arial"/>
          <w:szCs w:val="22"/>
        </w:rPr>
      </w:pPr>
      <w:r>
        <w:fldChar w:fldCharType="begin"/>
      </w:r>
      <w:r>
        <w:instrText xml:space="preserve">Hyperlink \l "_Toc113981011"</w:instrText>
      </w:r>
      <w:r>
        <w:fldChar w:fldCharType="separate"/>
      </w:r>
      <w:r>
        <w:rPr>
          <w:rFonts w:ascii="黑体" w:eastAsia="黑体"/>
        </w:rPr>
        <w:t>二、机构设置</w:t>
      </w:r>
      <w:r>
        <w:tab/>
      </w:r>
      <w:r>
        <w:fldChar w:fldCharType="begin"/>
      </w:r>
      <w:r>
        <w:instrText xml:space="preserve"> PAGEREF _Toc113981011 \h </w:instrText>
      </w:r>
      <w:r>
        <w:fldChar w:fldCharType="separate"/>
      </w:r>
      <w:r>
        <w:t>8</w:t>
      </w:r>
      <w:r>
        <w:fldChar w:fldCharType="end"/>
      </w:r>
      <w:r>
        <w:fldChar w:fldCharType="end"/>
      </w:r>
    </w:p>
    <w:p>
      <w:pPr>
        <w:pStyle w:val="13"/>
        <w:rPr>
          <w:rFonts w:ascii="Calibri" w:hAnsi="Calibri" w:eastAsia="宋体" w:cs="Arial"/>
          <w:sz w:val="21"/>
          <w:szCs w:val="22"/>
        </w:rPr>
      </w:pPr>
      <w:r>
        <w:fldChar w:fldCharType="begin"/>
      </w:r>
      <w:r>
        <w:instrText xml:space="preserve">Hyperlink \l "_Toc113981012"</w:instrText>
      </w:r>
      <w:r>
        <w:fldChar w:fldCharType="separate"/>
      </w:r>
      <w:r>
        <w:rPr>
          <w:rFonts w:hint="eastAsia" w:ascii="黑体" w:eastAsia="黑体" w:cs="黑体"/>
        </w:rPr>
        <w:t>第二部分</w:t>
      </w:r>
      <w:r>
        <w:rPr>
          <w:rFonts w:ascii="黑体" w:eastAsia="黑体" w:cs="黑体"/>
        </w:rPr>
        <w:t xml:space="preserve"> 2021年度部门决算情况说明</w:t>
      </w:r>
      <w:r>
        <w:tab/>
      </w:r>
      <w:r>
        <w:fldChar w:fldCharType="begin"/>
      </w:r>
      <w:r>
        <w:instrText xml:space="preserve"> PAGEREF _Toc113981012 \h </w:instrText>
      </w:r>
      <w:r>
        <w:fldChar w:fldCharType="separate"/>
      </w:r>
      <w:r>
        <w:t>10</w:t>
      </w:r>
      <w:r>
        <w:fldChar w:fldCharType="end"/>
      </w:r>
      <w:r>
        <w:fldChar w:fldCharType="end"/>
      </w:r>
    </w:p>
    <w:p>
      <w:pPr>
        <w:pStyle w:val="15"/>
        <w:rPr>
          <w:rFonts w:ascii="Calibri" w:hAnsi="Calibri" w:eastAsia="宋体" w:cs="Arial"/>
          <w:szCs w:val="22"/>
        </w:rPr>
      </w:pPr>
      <w:r>
        <w:fldChar w:fldCharType="begin"/>
      </w:r>
      <w:r>
        <w:instrText xml:space="preserve">Hyperlink \l "_Toc113981013"</w:instrText>
      </w:r>
      <w:r>
        <w:fldChar w:fldCharType="separate"/>
      </w:r>
      <w:r>
        <w:rPr>
          <w:rFonts w:ascii="黑体" w:eastAsia="黑体"/>
        </w:rPr>
        <w:t>一、收入支出决算总体情况说明</w:t>
      </w:r>
      <w:r>
        <w:tab/>
      </w:r>
      <w:r>
        <w:fldChar w:fldCharType="begin"/>
      </w:r>
      <w:r>
        <w:instrText xml:space="preserve"> PAGEREF _Toc113981013 \h </w:instrText>
      </w:r>
      <w:r>
        <w:fldChar w:fldCharType="separate"/>
      </w:r>
      <w:r>
        <w:t>10</w:t>
      </w:r>
      <w:r>
        <w:fldChar w:fldCharType="end"/>
      </w:r>
      <w:r>
        <w:fldChar w:fldCharType="end"/>
      </w:r>
    </w:p>
    <w:p>
      <w:pPr>
        <w:pStyle w:val="15"/>
        <w:rPr>
          <w:rFonts w:ascii="Calibri" w:hAnsi="Calibri" w:eastAsia="宋体" w:cs="Arial"/>
          <w:szCs w:val="22"/>
        </w:rPr>
      </w:pPr>
      <w:r>
        <w:fldChar w:fldCharType="begin"/>
      </w:r>
      <w:r>
        <w:instrText xml:space="preserve">Hyperlink \l "_Toc113981014"</w:instrText>
      </w:r>
      <w:r>
        <w:fldChar w:fldCharType="separate"/>
      </w:r>
      <w:r>
        <w:rPr>
          <w:rFonts w:ascii="黑体" w:eastAsia="黑体"/>
        </w:rPr>
        <w:t>二、收入决算情况说明</w:t>
      </w:r>
      <w:r>
        <w:tab/>
      </w:r>
      <w:r>
        <w:fldChar w:fldCharType="begin"/>
      </w:r>
      <w:r>
        <w:instrText xml:space="preserve"> PAGEREF _Toc113981014 \h </w:instrText>
      </w:r>
      <w:r>
        <w:fldChar w:fldCharType="separate"/>
      </w:r>
      <w:r>
        <w:t>10</w:t>
      </w:r>
      <w:r>
        <w:fldChar w:fldCharType="end"/>
      </w:r>
      <w:r>
        <w:fldChar w:fldCharType="end"/>
      </w:r>
    </w:p>
    <w:p>
      <w:pPr>
        <w:pStyle w:val="15"/>
        <w:rPr>
          <w:rFonts w:ascii="Calibri" w:hAnsi="Calibri" w:eastAsia="宋体" w:cs="Arial"/>
          <w:szCs w:val="22"/>
        </w:rPr>
      </w:pPr>
      <w:r>
        <w:fldChar w:fldCharType="begin"/>
      </w:r>
      <w:r>
        <w:instrText xml:space="preserve">Hyperlink \l "_Toc113981015"</w:instrText>
      </w:r>
      <w:r>
        <w:fldChar w:fldCharType="separate"/>
      </w:r>
      <w:r>
        <w:rPr>
          <w:rFonts w:ascii="黑体" w:eastAsia="黑体"/>
        </w:rPr>
        <w:t>三、支出决算情况说明</w:t>
      </w:r>
      <w:r>
        <w:tab/>
      </w:r>
      <w:r>
        <w:fldChar w:fldCharType="begin"/>
      </w:r>
      <w:r>
        <w:instrText xml:space="preserve"> PAGEREF _Toc113981015 \h </w:instrText>
      </w:r>
      <w:r>
        <w:fldChar w:fldCharType="separate"/>
      </w:r>
      <w:r>
        <w:t>11</w:t>
      </w:r>
      <w:r>
        <w:fldChar w:fldCharType="end"/>
      </w:r>
      <w:r>
        <w:fldChar w:fldCharType="end"/>
      </w:r>
    </w:p>
    <w:p>
      <w:pPr>
        <w:pStyle w:val="15"/>
        <w:rPr>
          <w:rFonts w:ascii="Calibri" w:hAnsi="Calibri" w:eastAsia="宋体" w:cs="Arial"/>
          <w:szCs w:val="22"/>
        </w:rPr>
      </w:pPr>
      <w:r>
        <w:fldChar w:fldCharType="begin"/>
      </w:r>
      <w:r>
        <w:instrText xml:space="preserve">Hyperlink \l "_Toc113981016"</w:instrText>
      </w:r>
      <w:r>
        <w:fldChar w:fldCharType="separate"/>
      </w:r>
      <w:r>
        <w:rPr>
          <w:rFonts w:ascii="黑体" w:eastAsia="黑体"/>
        </w:rPr>
        <w:t>四、财政拨款收入支出决算总体情况说明</w:t>
      </w:r>
      <w:r>
        <w:tab/>
      </w:r>
      <w:r>
        <w:fldChar w:fldCharType="begin"/>
      </w:r>
      <w:r>
        <w:instrText xml:space="preserve"> PAGEREF _Toc113981016 \h </w:instrText>
      </w:r>
      <w:r>
        <w:fldChar w:fldCharType="separate"/>
      </w:r>
      <w:r>
        <w:t>12</w:t>
      </w:r>
      <w:r>
        <w:fldChar w:fldCharType="end"/>
      </w:r>
      <w:r>
        <w:fldChar w:fldCharType="end"/>
      </w:r>
    </w:p>
    <w:p>
      <w:pPr>
        <w:pStyle w:val="15"/>
        <w:rPr>
          <w:rFonts w:ascii="Calibri" w:hAnsi="Calibri" w:eastAsia="宋体" w:cs="Arial"/>
          <w:szCs w:val="22"/>
        </w:rPr>
      </w:pPr>
      <w:r>
        <w:fldChar w:fldCharType="begin"/>
      </w:r>
      <w:r>
        <w:instrText xml:space="preserve">Hyperlink \l "_Toc113981017"</w:instrText>
      </w:r>
      <w:r>
        <w:fldChar w:fldCharType="separate"/>
      </w:r>
      <w:r>
        <w:rPr>
          <w:rFonts w:ascii="黑体" w:eastAsia="黑体"/>
        </w:rPr>
        <w:t>五、一般公共预算财政拨款支出决算情况说明</w:t>
      </w:r>
      <w:r>
        <w:tab/>
      </w:r>
      <w:r>
        <w:fldChar w:fldCharType="begin"/>
      </w:r>
      <w:r>
        <w:instrText xml:space="preserve"> PAGEREF _Toc113981017 \h </w:instrText>
      </w:r>
      <w:r>
        <w:fldChar w:fldCharType="separate"/>
      </w:r>
      <w:r>
        <w:t>13</w:t>
      </w:r>
      <w:r>
        <w:fldChar w:fldCharType="end"/>
      </w:r>
      <w:r>
        <w:fldChar w:fldCharType="end"/>
      </w:r>
    </w:p>
    <w:p>
      <w:pPr>
        <w:pStyle w:val="15"/>
        <w:rPr>
          <w:rFonts w:ascii="Calibri" w:hAnsi="Calibri" w:eastAsia="宋体" w:cs="Arial"/>
          <w:szCs w:val="22"/>
        </w:rPr>
      </w:pPr>
      <w:r>
        <w:fldChar w:fldCharType="begin"/>
      </w:r>
      <w:r>
        <w:instrText xml:space="preserve">Hyperlink \l "_Toc113981018"</w:instrText>
      </w:r>
      <w:r>
        <w:fldChar w:fldCharType="separate"/>
      </w:r>
      <w:r>
        <w:rPr>
          <w:rFonts w:ascii="黑体" w:eastAsia="黑体"/>
        </w:rPr>
        <w:t>六、一般公共预算财政拨款基本支出决算情况说明</w:t>
      </w:r>
      <w:r>
        <w:tab/>
      </w:r>
      <w:r>
        <w:fldChar w:fldCharType="begin"/>
      </w:r>
      <w:r>
        <w:instrText xml:space="preserve"> PAGEREF _Toc113981018 \h </w:instrText>
      </w:r>
      <w:r>
        <w:fldChar w:fldCharType="separate"/>
      </w:r>
      <w:r>
        <w:t>17</w:t>
      </w:r>
      <w:r>
        <w:fldChar w:fldCharType="end"/>
      </w:r>
      <w:r>
        <w:fldChar w:fldCharType="end"/>
      </w:r>
    </w:p>
    <w:p>
      <w:pPr>
        <w:pStyle w:val="15"/>
        <w:rPr>
          <w:rFonts w:ascii="Calibri" w:hAnsi="Calibri" w:eastAsia="宋体" w:cs="Arial"/>
          <w:szCs w:val="22"/>
        </w:rPr>
      </w:pPr>
      <w:r>
        <w:fldChar w:fldCharType="begin"/>
      </w:r>
      <w:r>
        <w:instrText xml:space="preserve">Hyperlink \l "_Toc113981019"</w:instrText>
      </w:r>
      <w:r>
        <w:fldChar w:fldCharType="separate"/>
      </w:r>
      <w:r>
        <w:rPr>
          <w:rFonts w:ascii="黑体" w:eastAsia="黑体"/>
        </w:rPr>
        <w:t>七、“三公”经费财政拨款支出决算情况说明</w:t>
      </w:r>
      <w:r>
        <w:tab/>
      </w:r>
      <w:r>
        <w:fldChar w:fldCharType="begin"/>
      </w:r>
      <w:r>
        <w:instrText xml:space="preserve"> PAGEREF _Toc113981019 \h </w:instrText>
      </w:r>
      <w:r>
        <w:fldChar w:fldCharType="separate"/>
      </w:r>
      <w:r>
        <w:t>17</w:t>
      </w:r>
      <w:r>
        <w:fldChar w:fldCharType="end"/>
      </w:r>
      <w:r>
        <w:fldChar w:fldCharType="end"/>
      </w:r>
    </w:p>
    <w:p>
      <w:pPr>
        <w:pStyle w:val="15"/>
        <w:rPr>
          <w:rFonts w:ascii="Calibri" w:hAnsi="Calibri" w:eastAsia="宋体" w:cs="Arial"/>
          <w:szCs w:val="22"/>
        </w:rPr>
      </w:pPr>
      <w:r>
        <w:fldChar w:fldCharType="begin"/>
      </w:r>
      <w:r>
        <w:instrText xml:space="preserve">Hyperlink \l "_Toc113981020"</w:instrText>
      </w:r>
      <w:r>
        <w:fldChar w:fldCharType="separate"/>
      </w:r>
      <w:r>
        <w:rPr>
          <w:rFonts w:ascii="黑体" w:eastAsia="黑体"/>
        </w:rPr>
        <w:t>八、政府性基金预算支出决算情况说明</w:t>
      </w:r>
      <w:r>
        <w:tab/>
      </w:r>
      <w:r>
        <w:fldChar w:fldCharType="begin"/>
      </w:r>
      <w:r>
        <w:instrText xml:space="preserve"> PAGEREF _Toc113981020 \h </w:instrText>
      </w:r>
      <w:r>
        <w:fldChar w:fldCharType="separate"/>
      </w:r>
      <w:r>
        <w:t>19</w:t>
      </w:r>
      <w:r>
        <w:fldChar w:fldCharType="end"/>
      </w:r>
      <w:r>
        <w:fldChar w:fldCharType="end"/>
      </w:r>
    </w:p>
    <w:p>
      <w:pPr>
        <w:pStyle w:val="15"/>
        <w:rPr>
          <w:rFonts w:ascii="Calibri" w:hAnsi="Calibri" w:eastAsia="宋体" w:cs="Arial"/>
          <w:szCs w:val="22"/>
        </w:rPr>
      </w:pPr>
      <w:r>
        <w:fldChar w:fldCharType="begin"/>
      </w:r>
      <w:r>
        <w:instrText xml:space="preserve">Hyperlink \l "_Toc113981021"</w:instrText>
      </w:r>
      <w:r>
        <w:fldChar w:fldCharType="separate"/>
      </w:r>
      <w:r>
        <w:rPr>
          <w:rFonts w:ascii="黑体" w:eastAsia="黑体"/>
        </w:rPr>
        <w:t>九、国有资本经营预算支出决算情况说明</w:t>
      </w:r>
      <w:r>
        <w:tab/>
      </w:r>
      <w:r>
        <w:fldChar w:fldCharType="begin"/>
      </w:r>
      <w:r>
        <w:instrText xml:space="preserve"> PAGEREF _Toc113981021 \h </w:instrText>
      </w:r>
      <w:r>
        <w:fldChar w:fldCharType="separate"/>
      </w:r>
      <w:r>
        <w:t>19</w:t>
      </w:r>
      <w:r>
        <w:fldChar w:fldCharType="end"/>
      </w:r>
      <w:r>
        <w:fldChar w:fldCharType="end"/>
      </w:r>
    </w:p>
    <w:p>
      <w:pPr>
        <w:pStyle w:val="15"/>
        <w:rPr>
          <w:rFonts w:ascii="Calibri" w:hAnsi="Calibri" w:eastAsia="宋体" w:cs="Arial"/>
          <w:szCs w:val="22"/>
        </w:rPr>
      </w:pPr>
      <w:r>
        <w:fldChar w:fldCharType="begin"/>
      </w:r>
      <w:r>
        <w:instrText xml:space="preserve">Hyperlink \l "_Toc113981022"</w:instrText>
      </w:r>
      <w:r>
        <w:fldChar w:fldCharType="separate"/>
      </w:r>
      <w:r>
        <w:rPr>
          <w:rFonts w:ascii="黑体" w:eastAsia="黑体"/>
        </w:rPr>
        <w:t>十、其他重要事项的情况说明</w:t>
      </w:r>
      <w:r>
        <w:tab/>
      </w:r>
      <w:r>
        <w:fldChar w:fldCharType="begin"/>
      </w:r>
      <w:r>
        <w:instrText xml:space="preserve"> PAGEREF _Toc113981022 \h </w:instrText>
      </w:r>
      <w:r>
        <w:fldChar w:fldCharType="separate"/>
      </w:r>
      <w:r>
        <w:t>19</w:t>
      </w:r>
      <w:r>
        <w:fldChar w:fldCharType="end"/>
      </w:r>
      <w:r>
        <w:fldChar w:fldCharType="end"/>
      </w:r>
    </w:p>
    <w:p>
      <w:pPr>
        <w:pStyle w:val="13"/>
        <w:rPr>
          <w:rFonts w:ascii="Calibri" w:hAnsi="Calibri" w:eastAsia="宋体" w:cs="Arial"/>
          <w:sz w:val="21"/>
          <w:szCs w:val="22"/>
        </w:rPr>
      </w:pPr>
      <w:r>
        <w:fldChar w:fldCharType="begin"/>
      </w:r>
      <w:r>
        <w:instrText xml:space="preserve">Hyperlink \l "_Toc113981023"</w:instrText>
      </w:r>
      <w:r>
        <w:fldChar w:fldCharType="separate"/>
      </w:r>
      <w:r>
        <w:rPr>
          <w:rFonts w:ascii="黑体" w:eastAsia="黑体" w:cs="黑体"/>
        </w:rPr>
        <w:t>第三部分 名词解释</w:t>
      </w:r>
      <w:r>
        <w:tab/>
      </w:r>
      <w:r>
        <w:fldChar w:fldCharType="begin"/>
      </w:r>
      <w:r>
        <w:instrText xml:space="preserve"> PAGEREF _Toc113981023 \h </w:instrText>
      </w:r>
      <w:r>
        <w:fldChar w:fldCharType="separate"/>
      </w:r>
      <w:r>
        <w:t>24</w:t>
      </w:r>
      <w:r>
        <w:fldChar w:fldCharType="end"/>
      </w:r>
      <w:r>
        <w:fldChar w:fldCharType="end"/>
      </w:r>
    </w:p>
    <w:p>
      <w:pPr>
        <w:pStyle w:val="13"/>
        <w:rPr>
          <w:rFonts w:ascii="Calibri" w:hAnsi="Calibri" w:eastAsia="宋体" w:cs="Arial"/>
          <w:sz w:val="21"/>
          <w:szCs w:val="22"/>
        </w:rPr>
      </w:pPr>
      <w:r>
        <w:fldChar w:fldCharType="begin"/>
      </w:r>
      <w:r>
        <w:instrText xml:space="preserve">Hyperlink \l "_Toc113981024"</w:instrText>
      </w:r>
      <w:r>
        <w:fldChar w:fldCharType="separate"/>
      </w:r>
      <w:r>
        <w:rPr>
          <w:rFonts w:ascii="黑体" w:eastAsia="黑体" w:cs="黑体"/>
        </w:rPr>
        <w:t>第四部分 附件</w:t>
      </w:r>
      <w:r>
        <w:tab/>
      </w:r>
      <w:r>
        <w:fldChar w:fldCharType="begin"/>
      </w:r>
      <w:r>
        <w:instrText xml:space="preserve"> PAGEREF _Toc113981024 \h </w:instrText>
      </w:r>
      <w:r>
        <w:fldChar w:fldCharType="separate"/>
      </w:r>
      <w:r>
        <w:t>30</w:t>
      </w:r>
      <w:r>
        <w:fldChar w:fldCharType="end"/>
      </w:r>
      <w:r>
        <w:fldChar w:fldCharType="end"/>
      </w:r>
    </w:p>
    <w:p>
      <w:pPr>
        <w:pStyle w:val="13"/>
        <w:rPr>
          <w:rFonts w:ascii="Calibri" w:hAnsi="Calibri" w:eastAsia="宋体" w:cs="Arial"/>
          <w:sz w:val="21"/>
          <w:szCs w:val="22"/>
        </w:rPr>
      </w:pPr>
      <w:r>
        <w:fldChar w:fldCharType="begin"/>
      </w:r>
      <w:r>
        <w:instrText xml:space="preserve">Hyperlink \l "_Toc113981025"</w:instrText>
      </w:r>
      <w:r>
        <w:fldChar w:fldCharType="separate"/>
      </w:r>
      <w:r>
        <w:rPr>
          <w:rFonts w:ascii="黑体" w:eastAsia="黑体" w:cs="黑体"/>
        </w:rPr>
        <w:t>第五部分 附表</w:t>
      </w:r>
      <w:r>
        <w:tab/>
      </w:r>
      <w:r>
        <w:fldChar w:fldCharType="begin"/>
      </w:r>
      <w:r>
        <w:instrText xml:space="preserve"> PAGEREF _Toc113981025 \h </w:instrText>
      </w:r>
      <w:r>
        <w:fldChar w:fldCharType="separate"/>
      </w:r>
      <w:r>
        <w:t>45</w:t>
      </w:r>
      <w:r>
        <w:fldChar w:fldCharType="end"/>
      </w:r>
      <w:r>
        <w:fldChar w:fldCharType="end"/>
      </w:r>
    </w:p>
    <w:p>
      <w:pPr>
        <w:pStyle w:val="15"/>
        <w:rPr>
          <w:rFonts w:ascii="Calibri" w:hAnsi="Calibri" w:eastAsia="宋体" w:cs="Arial"/>
          <w:szCs w:val="22"/>
        </w:rPr>
      </w:pPr>
      <w:r>
        <w:fldChar w:fldCharType="begin"/>
      </w:r>
      <w:r>
        <w:instrText xml:space="preserve">Hyperlink \l "_Toc113981026"</w:instrText>
      </w:r>
      <w:r>
        <w:fldChar w:fldCharType="separate"/>
      </w:r>
      <w:r>
        <w:rPr>
          <w:rFonts w:ascii="黑体" w:eastAsia="黑体"/>
        </w:rPr>
        <w:t>一、收入支出决算总表</w:t>
      </w:r>
      <w:r>
        <w:tab/>
      </w:r>
      <w:r>
        <w:fldChar w:fldCharType="begin"/>
      </w:r>
      <w:r>
        <w:instrText xml:space="preserve"> PAGEREF _Toc113981026 \h </w:instrText>
      </w:r>
      <w:r>
        <w:fldChar w:fldCharType="separate"/>
      </w:r>
      <w:r>
        <w:t>45</w:t>
      </w:r>
      <w:r>
        <w:fldChar w:fldCharType="end"/>
      </w:r>
      <w:r>
        <w:fldChar w:fldCharType="end"/>
      </w:r>
    </w:p>
    <w:p>
      <w:pPr>
        <w:pStyle w:val="15"/>
        <w:rPr>
          <w:rFonts w:ascii="Calibri" w:hAnsi="Calibri" w:eastAsia="宋体" w:cs="Arial"/>
          <w:szCs w:val="22"/>
        </w:rPr>
      </w:pPr>
      <w:r>
        <w:fldChar w:fldCharType="begin"/>
      </w:r>
      <w:r>
        <w:instrText xml:space="preserve">Hyperlink \l "_Toc113981027"</w:instrText>
      </w:r>
      <w:r>
        <w:fldChar w:fldCharType="separate"/>
      </w:r>
      <w:r>
        <w:rPr>
          <w:rFonts w:ascii="黑体" w:eastAsia="黑体"/>
        </w:rPr>
        <w:t>二、收入决算表</w:t>
      </w:r>
      <w:r>
        <w:tab/>
      </w:r>
      <w:r>
        <w:fldChar w:fldCharType="begin"/>
      </w:r>
      <w:r>
        <w:instrText xml:space="preserve"> PAGEREF _Toc113981027 \h </w:instrText>
      </w:r>
      <w:r>
        <w:fldChar w:fldCharType="separate"/>
      </w:r>
      <w:r>
        <w:t>45</w:t>
      </w:r>
      <w:r>
        <w:fldChar w:fldCharType="end"/>
      </w:r>
      <w:r>
        <w:fldChar w:fldCharType="end"/>
      </w:r>
    </w:p>
    <w:p>
      <w:pPr>
        <w:pStyle w:val="15"/>
        <w:rPr>
          <w:rFonts w:ascii="Calibri" w:hAnsi="Calibri" w:eastAsia="宋体" w:cs="Arial"/>
          <w:szCs w:val="22"/>
        </w:rPr>
      </w:pPr>
      <w:r>
        <w:fldChar w:fldCharType="begin"/>
      </w:r>
      <w:r>
        <w:instrText xml:space="preserve">Hyperlink \l "_Toc113981028"</w:instrText>
      </w:r>
      <w:r>
        <w:fldChar w:fldCharType="separate"/>
      </w:r>
      <w:r>
        <w:rPr>
          <w:rFonts w:ascii="黑体" w:eastAsia="黑体"/>
        </w:rPr>
        <w:t>三、支出决算表</w:t>
      </w:r>
      <w:r>
        <w:tab/>
      </w:r>
      <w:r>
        <w:fldChar w:fldCharType="begin"/>
      </w:r>
      <w:r>
        <w:instrText xml:space="preserve"> PAGEREF _Toc113981028 \h </w:instrText>
      </w:r>
      <w:r>
        <w:fldChar w:fldCharType="separate"/>
      </w:r>
      <w:r>
        <w:t>45</w:t>
      </w:r>
      <w:r>
        <w:fldChar w:fldCharType="end"/>
      </w:r>
      <w:r>
        <w:fldChar w:fldCharType="end"/>
      </w:r>
    </w:p>
    <w:p>
      <w:pPr>
        <w:pStyle w:val="15"/>
        <w:rPr>
          <w:rFonts w:ascii="Calibri" w:hAnsi="Calibri" w:eastAsia="宋体" w:cs="Arial"/>
          <w:szCs w:val="22"/>
        </w:rPr>
      </w:pPr>
      <w:r>
        <w:fldChar w:fldCharType="begin"/>
      </w:r>
      <w:r>
        <w:instrText xml:space="preserve">Hyperlink \l "_Toc113981029"</w:instrText>
      </w:r>
      <w:r>
        <w:fldChar w:fldCharType="separate"/>
      </w:r>
      <w:r>
        <w:rPr>
          <w:rFonts w:ascii="黑体" w:eastAsia="黑体"/>
        </w:rPr>
        <w:t>四、财政拨款收入支出决算总表</w:t>
      </w:r>
      <w:r>
        <w:tab/>
      </w:r>
      <w:r>
        <w:fldChar w:fldCharType="begin"/>
      </w:r>
      <w:r>
        <w:instrText xml:space="preserve"> PAGEREF _Toc113981029 \h </w:instrText>
      </w:r>
      <w:r>
        <w:fldChar w:fldCharType="separate"/>
      </w:r>
      <w:r>
        <w:t>45</w:t>
      </w:r>
      <w:r>
        <w:fldChar w:fldCharType="end"/>
      </w:r>
      <w:r>
        <w:fldChar w:fldCharType="end"/>
      </w:r>
    </w:p>
    <w:p>
      <w:pPr>
        <w:pStyle w:val="15"/>
        <w:rPr>
          <w:rFonts w:ascii="Calibri" w:hAnsi="Calibri" w:eastAsia="宋体" w:cs="Arial"/>
          <w:szCs w:val="22"/>
        </w:rPr>
      </w:pPr>
      <w:r>
        <w:fldChar w:fldCharType="begin"/>
      </w:r>
      <w:r>
        <w:instrText xml:space="preserve">Hyperlink \l "_Toc113981030"</w:instrText>
      </w:r>
      <w:r>
        <w:fldChar w:fldCharType="separate"/>
      </w:r>
      <w:r>
        <w:rPr>
          <w:rFonts w:ascii="黑体" w:eastAsia="黑体"/>
        </w:rPr>
        <w:t>五、财政拨款支出决算明细表</w:t>
      </w:r>
      <w:r>
        <w:tab/>
      </w:r>
      <w:r>
        <w:fldChar w:fldCharType="begin"/>
      </w:r>
      <w:r>
        <w:instrText xml:space="preserve"> PAGEREF _Toc113981030 \h </w:instrText>
      </w:r>
      <w:r>
        <w:fldChar w:fldCharType="separate"/>
      </w:r>
      <w:r>
        <w:t>45</w:t>
      </w:r>
      <w:r>
        <w:fldChar w:fldCharType="end"/>
      </w:r>
      <w:r>
        <w:fldChar w:fldCharType="end"/>
      </w:r>
    </w:p>
    <w:p>
      <w:pPr>
        <w:pStyle w:val="15"/>
        <w:rPr>
          <w:rFonts w:ascii="Calibri" w:hAnsi="Calibri" w:eastAsia="宋体" w:cs="Arial"/>
          <w:szCs w:val="22"/>
        </w:rPr>
      </w:pPr>
      <w:r>
        <w:fldChar w:fldCharType="begin"/>
      </w:r>
      <w:r>
        <w:instrText xml:space="preserve">Hyperlink \l "_Toc113981031"</w:instrText>
      </w:r>
      <w:r>
        <w:fldChar w:fldCharType="separate"/>
      </w:r>
      <w:r>
        <w:rPr>
          <w:rFonts w:ascii="黑体" w:eastAsia="黑体"/>
        </w:rPr>
        <w:t>六、一般公共预算财政拨款支出决算表</w:t>
      </w:r>
      <w:r>
        <w:tab/>
      </w:r>
      <w:r>
        <w:fldChar w:fldCharType="begin"/>
      </w:r>
      <w:r>
        <w:instrText xml:space="preserve"> PAGEREF _Toc113981031 \h </w:instrText>
      </w:r>
      <w:r>
        <w:fldChar w:fldCharType="separate"/>
      </w:r>
      <w:r>
        <w:t>45</w:t>
      </w:r>
      <w:r>
        <w:fldChar w:fldCharType="end"/>
      </w:r>
      <w:r>
        <w:fldChar w:fldCharType="end"/>
      </w:r>
    </w:p>
    <w:p>
      <w:pPr>
        <w:pStyle w:val="15"/>
        <w:rPr>
          <w:rFonts w:ascii="Calibri" w:hAnsi="Calibri" w:eastAsia="宋体" w:cs="Arial"/>
          <w:szCs w:val="22"/>
        </w:rPr>
      </w:pPr>
      <w:r>
        <w:fldChar w:fldCharType="begin"/>
      </w:r>
      <w:r>
        <w:instrText xml:space="preserve">Hyperlink \l "_Toc113981032"</w:instrText>
      </w:r>
      <w:r>
        <w:fldChar w:fldCharType="separate"/>
      </w:r>
      <w:r>
        <w:rPr>
          <w:rFonts w:ascii="黑体" w:eastAsia="黑体"/>
        </w:rPr>
        <w:t>七、一般公共预算财政拨款支出决算明细表</w:t>
      </w:r>
      <w:r>
        <w:tab/>
      </w:r>
      <w:r>
        <w:fldChar w:fldCharType="begin"/>
      </w:r>
      <w:r>
        <w:instrText xml:space="preserve"> PAGEREF _Toc113981032 \h </w:instrText>
      </w:r>
      <w:r>
        <w:fldChar w:fldCharType="separate"/>
      </w:r>
      <w:r>
        <w:t>45</w:t>
      </w:r>
      <w:r>
        <w:fldChar w:fldCharType="end"/>
      </w:r>
      <w:r>
        <w:fldChar w:fldCharType="end"/>
      </w:r>
    </w:p>
    <w:p>
      <w:pPr>
        <w:pStyle w:val="15"/>
        <w:rPr>
          <w:rFonts w:ascii="Calibri" w:hAnsi="Calibri" w:eastAsia="宋体" w:cs="Arial"/>
          <w:szCs w:val="22"/>
        </w:rPr>
      </w:pPr>
      <w:r>
        <w:fldChar w:fldCharType="begin"/>
      </w:r>
      <w:r>
        <w:instrText xml:space="preserve">Hyperlink \l "_Toc113981033"</w:instrText>
      </w:r>
      <w:r>
        <w:fldChar w:fldCharType="separate"/>
      </w:r>
      <w:r>
        <w:rPr>
          <w:rFonts w:ascii="黑体" w:eastAsia="黑体"/>
        </w:rPr>
        <w:t>八、一般公共预算财政拨款基本支出决算表</w:t>
      </w:r>
      <w:r>
        <w:tab/>
      </w:r>
      <w:r>
        <w:fldChar w:fldCharType="begin"/>
      </w:r>
      <w:r>
        <w:instrText xml:space="preserve"> PAGEREF _Toc113981033 \h </w:instrText>
      </w:r>
      <w:r>
        <w:fldChar w:fldCharType="separate"/>
      </w:r>
      <w:r>
        <w:t>45</w:t>
      </w:r>
      <w:r>
        <w:fldChar w:fldCharType="end"/>
      </w:r>
      <w:r>
        <w:fldChar w:fldCharType="end"/>
      </w:r>
    </w:p>
    <w:p>
      <w:pPr>
        <w:pStyle w:val="15"/>
        <w:rPr>
          <w:rFonts w:ascii="Calibri" w:hAnsi="Calibri" w:eastAsia="宋体" w:cs="Arial"/>
          <w:szCs w:val="22"/>
        </w:rPr>
      </w:pPr>
      <w:r>
        <w:fldChar w:fldCharType="begin"/>
      </w:r>
      <w:r>
        <w:instrText xml:space="preserve">Hyperlink \l "_Toc113981034"</w:instrText>
      </w:r>
      <w:r>
        <w:fldChar w:fldCharType="separate"/>
      </w:r>
      <w:r>
        <w:rPr>
          <w:rFonts w:ascii="黑体" w:eastAsia="黑体"/>
        </w:rPr>
        <w:t>九、一般公共预算财政拨款项目支出决算表</w:t>
      </w:r>
      <w:r>
        <w:tab/>
      </w:r>
      <w:r>
        <w:fldChar w:fldCharType="begin"/>
      </w:r>
      <w:r>
        <w:instrText xml:space="preserve"> PAGEREF _Toc113981034 \h </w:instrText>
      </w:r>
      <w:r>
        <w:fldChar w:fldCharType="separate"/>
      </w:r>
      <w:r>
        <w:t>45</w:t>
      </w:r>
      <w:r>
        <w:fldChar w:fldCharType="end"/>
      </w:r>
      <w:r>
        <w:fldChar w:fldCharType="end"/>
      </w:r>
    </w:p>
    <w:p>
      <w:pPr>
        <w:pStyle w:val="15"/>
        <w:rPr>
          <w:rFonts w:ascii="Calibri" w:hAnsi="Calibri" w:eastAsia="宋体" w:cs="Arial"/>
          <w:szCs w:val="22"/>
        </w:rPr>
      </w:pPr>
      <w:r>
        <w:fldChar w:fldCharType="begin"/>
      </w:r>
      <w:r>
        <w:instrText xml:space="preserve">Hyperlink \l "_Toc113981035"</w:instrText>
      </w:r>
      <w:r>
        <w:fldChar w:fldCharType="separate"/>
      </w:r>
      <w:r>
        <w:rPr>
          <w:rFonts w:ascii="黑体" w:eastAsia="黑体"/>
        </w:rPr>
        <w:t>十、一般公共预算财政拨款“三公”经费支出决算表</w:t>
      </w:r>
      <w:r>
        <w:tab/>
      </w:r>
      <w:r>
        <w:fldChar w:fldCharType="begin"/>
      </w:r>
      <w:r>
        <w:instrText xml:space="preserve"> PAGEREF _Toc113981035 \h </w:instrText>
      </w:r>
      <w:r>
        <w:fldChar w:fldCharType="separate"/>
      </w:r>
      <w:r>
        <w:t>45</w:t>
      </w:r>
      <w:r>
        <w:fldChar w:fldCharType="end"/>
      </w:r>
      <w:r>
        <w:fldChar w:fldCharType="end"/>
      </w:r>
    </w:p>
    <w:p>
      <w:pPr>
        <w:pStyle w:val="15"/>
        <w:rPr>
          <w:rFonts w:ascii="Calibri" w:hAnsi="Calibri" w:eastAsia="宋体" w:cs="Arial"/>
          <w:szCs w:val="22"/>
        </w:rPr>
      </w:pPr>
      <w:r>
        <w:fldChar w:fldCharType="begin"/>
      </w:r>
      <w:r>
        <w:instrText xml:space="preserve">Hyperlink \l "_Toc113981036"</w:instrText>
      </w:r>
      <w:r>
        <w:fldChar w:fldCharType="separate"/>
      </w:r>
      <w:r>
        <w:rPr>
          <w:rFonts w:ascii="黑体" w:eastAsia="黑体"/>
        </w:rPr>
        <w:t>十一、政府性基金预算财政拨款收入支出决算表</w:t>
      </w:r>
      <w:r>
        <w:tab/>
      </w:r>
      <w:r>
        <w:fldChar w:fldCharType="begin"/>
      </w:r>
      <w:r>
        <w:instrText xml:space="preserve"> PAGEREF _Toc113981036 \h </w:instrText>
      </w:r>
      <w:r>
        <w:fldChar w:fldCharType="separate"/>
      </w:r>
      <w:r>
        <w:t>45</w:t>
      </w:r>
      <w:r>
        <w:fldChar w:fldCharType="end"/>
      </w:r>
      <w:r>
        <w:fldChar w:fldCharType="end"/>
      </w:r>
    </w:p>
    <w:p>
      <w:pPr>
        <w:pStyle w:val="15"/>
        <w:rPr>
          <w:rFonts w:ascii="Calibri" w:hAnsi="Calibri" w:eastAsia="宋体" w:cs="Arial"/>
          <w:szCs w:val="22"/>
        </w:rPr>
      </w:pPr>
      <w:r>
        <w:fldChar w:fldCharType="begin"/>
      </w:r>
      <w:r>
        <w:instrText xml:space="preserve">Hyperlink \l "_Toc113981037"</w:instrText>
      </w:r>
      <w:r>
        <w:fldChar w:fldCharType="separate"/>
      </w:r>
      <w:r>
        <w:rPr>
          <w:rFonts w:ascii="黑体" w:eastAsia="黑体"/>
        </w:rPr>
        <w:t>十二、政府性基金预算财政拨款“三公”经费支出决算表</w:t>
      </w:r>
      <w:r>
        <w:tab/>
      </w:r>
      <w:r>
        <w:fldChar w:fldCharType="begin"/>
      </w:r>
      <w:r>
        <w:instrText xml:space="preserve"> PAGEREF _Toc113981037 \h </w:instrText>
      </w:r>
      <w:r>
        <w:fldChar w:fldCharType="separate"/>
      </w:r>
      <w:r>
        <w:t>45</w:t>
      </w:r>
      <w:r>
        <w:fldChar w:fldCharType="end"/>
      </w:r>
      <w:r>
        <w:fldChar w:fldCharType="end"/>
      </w:r>
    </w:p>
    <w:p>
      <w:pPr>
        <w:pStyle w:val="15"/>
        <w:rPr>
          <w:rFonts w:ascii="Calibri" w:hAnsi="Calibri" w:eastAsia="宋体" w:cs="Arial"/>
          <w:szCs w:val="22"/>
        </w:rPr>
      </w:pPr>
      <w:r>
        <w:fldChar w:fldCharType="begin"/>
      </w:r>
      <w:r>
        <w:instrText xml:space="preserve">Hyperlink \l "_Toc113981038"</w:instrText>
      </w:r>
      <w:r>
        <w:fldChar w:fldCharType="separate"/>
      </w:r>
      <w:r>
        <w:rPr>
          <w:rFonts w:ascii="黑体" w:eastAsia="黑体"/>
        </w:rPr>
        <w:t>十三、国有资本经营预算财政拨款收入支出决算表</w:t>
      </w:r>
      <w:r>
        <w:tab/>
      </w:r>
      <w:r>
        <w:fldChar w:fldCharType="begin"/>
      </w:r>
      <w:r>
        <w:instrText xml:space="preserve"> PAGEREF _Toc113981038 \h </w:instrText>
      </w:r>
      <w:r>
        <w:fldChar w:fldCharType="separate"/>
      </w:r>
      <w:r>
        <w:t>45</w:t>
      </w:r>
      <w:r>
        <w:fldChar w:fldCharType="end"/>
      </w:r>
      <w:r>
        <w:fldChar w:fldCharType="end"/>
      </w:r>
    </w:p>
    <w:p>
      <w:pPr>
        <w:pStyle w:val="15"/>
        <w:rPr>
          <w:rFonts w:ascii="Calibri" w:hAnsi="Calibri" w:eastAsia="宋体" w:cs="Arial"/>
          <w:szCs w:val="22"/>
        </w:rPr>
      </w:pPr>
      <w:r>
        <w:fldChar w:fldCharType="begin"/>
      </w:r>
      <w:r>
        <w:instrText xml:space="preserve">Hyperlink \l "_Toc113981039"</w:instrText>
      </w:r>
      <w:r>
        <w:fldChar w:fldCharType="separate"/>
      </w:r>
      <w:r>
        <w:rPr>
          <w:rFonts w:ascii="黑体" w:eastAsia="黑体"/>
        </w:rPr>
        <w:t>十四、国有资本经营预算财政拨款支出决算表</w:t>
      </w:r>
      <w:r>
        <w:tab/>
      </w:r>
      <w:r>
        <w:fldChar w:fldCharType="begin"/>
      </w:r>
      <w:r>
        <w:instrText xml:space="preserve"> PAGEREF _Toc113981039 \h </w:instrText>
      </w:r>
      <w:r>
        <w:fldChar w:fldCharType="separate"/>
      </w:r>
      <w:r>
        <w:t>45</w:t>
      </w:r>
      <w:r>
        <w:fldChar w:fldCharType="end"/>
      </w:r>
      <w:r>
        <w:fldChar w:fldCharType="end"/>
      </w:r>
    </w:p>
    <w:p>
      <w:pPr>
        <w:pStyle w:val="2"/>
      </w:pPr>
      <w:r>
        <w:rPr>
          <w:caps w:val="0"/>
          <w:smallCaps/>
          <w:szCs w:val="20"/>
        </w:rPr>
        <w:fldChar w:fldCharType="end"/>
      </w:r>
    </w:p>
    <w:p>
      <w:pPr>
        <w:pStyle w:val="3"/>
        <w:jc w:val="center"/>
        <w:rPr>
          <w:rFonts w:ascii="黑体" w:eastAsia="黑体" w:cs="黑体"/>
          <w:b w:val="0"/>
          <w:bCs w:val="0"/>
        </w:rPr>
      </w:pPr>
      <w:bookmarkStart w:id="13" w:name="_Toc111208495"/>
      <w:bookmarkStart w:id="14" w:name="_Toc113981009"/>
      <w:r>
        <w:rPr>
          <w:rFonts w:hint="eastAsia" w:ascii="黑体" w:eastAsia="黑体" w:cs="黑体"/>
        </w:rPr>
        <w:t xml:space="preserve">第一部分 </w:t>
      </w:r>
      <w:r>
        <w:rPr>
          <w:rStyle w:val="22"/>
          <w:rFonts w:hint="eastAsia" w:ascii="黑体" w:eastAsia="黑体" w:cs="黑体"/>
          <w:b/>
          <w:bCs w:val="0"/>
        </w:rPr>
        <w:t>部门概况</w:t>
      </w:r>
      <w:bookmarkEnd w:id="12"/>
      <w:bookmarkEnd w:id="13"/>
      <w:bookmarkEnd w:id="14"/>
    </w:p>
    <w:p>
      <w:pPr>
        <w:pStyle w:val="4"/>
        <w:ind w:firstLine="643" w:firstLineChars="200"/>
        <w:rPr>
          <w:rFonts w:ascii="黑体" w:eastAsia="黑体" w:cs="Times New Roman"/>
          <w:bCs w:val="0"/>
          <w:color w:val="000000"/>
        </w:rPr>
      </w:pPr>
      <w:bookmarkStart w:id="15" w:name="_Toc15377197"/>
      <w:bookmarkStart w:id="16" w:name="_Toc111208496"/>
      <w:bookmarkStart w:id="17" w:name="_Toc113981010"/>
      <w:r>
        <w:rPr>
          <w:rFonts w:hint="eastAsia" w:ascii="黑体" w:eastAsia="黑体" w:cs="Times New Roman"/>
          <w:bCs w:val="0"/>
          <w:color w:val="000000"/>
        </w:rPr>
        <w:t>一、基本职能及主要工作</w:t>
      </w:r>
      <w:bookmarkEnd w:id="15"/>
      <w:bookmarkEnd w:id="16"/>
      <w:bookmarkEnd w:id="17"/>
      <w:bookmarkStart w:id="18" w:name="_Toc15377198"/>
      <w:bookmarkStart w:id="19" w:name="_Toc15378445"/>
    </w:p>
    <w:p>
      <w:pPr>
        <w:spacing w:line="600" w:lineRule="exact"/>
        <w:ind w:firstLine="643" w:firstLineChars="200"/>
        <w:outlineLvl w:val="2"/>
        <w:rPr>
          <w:rFonts w:ascii="仿宋" w:eastAsia="仿宋"/>
          <w:b/>
          <w:color w:val="000000"/>
          <w:sz w:val="32"/>
          <w:szCs w:val="32"/>
        </w:rPr>
      </w:pPr>
      <w:r>
        <w:rPr>
          <w:rFonts w:hint="eastAsia" w:ascii="仿宋" w:eastAsia="仿宋"/>
          <w:b/>
          <w:color w:val="000000"/>
          <w:sz w:val="32"/>
          <w:szCs w:val="32"/>
        </w:rPr>
        <w:t>（一）主要职能</w:t>
      </w:r>
      <w:bookmarkEnd w:id="18"/>
      <w:bookmarkEnd w:id="19"/>
    </w:p>
    <w:p>
      <w:pPr>
        <w:rPr>
          <w:rFonts w:hint="eastAsia" w:ascii="仿宋" w:eastAsia="仿宋"/>
          <w:color w:val="000000"/>
          <w:sz w:val="32"/>
          <w:szCs w:val="32"/>
          <w:lang w:eastAsia="zh-CN"/>
        </w:rPr>
      </w:pPr>
    </w:p>
    <w:p>
      <w:r>
        <w:rPr>
          <w:rFonts w:ascii="仿宋" w:eastAsia="仿宋"/>
          <w:color w:val="000000"/>
          <w:sz w:val="32"/>
          <w:szCs w:val="32"/>
        </w:rPr>
        <w:tab/>
      </w:r>
      <w:r>
        <w:rPr>
          <w:rFonts w:ascii="仿宋" w:eastAsia="仿宋"/>
          <w:color w:val="000000"/>
          <w:sz w:val="32"/>
          <w:szCs w:val="32"/>
        </w:rPr>
        <w:t>负责贯彻执行党和政府关于民族、宗教工作的方针、政策，当好县委、县政府的民族、宗教工作方面参谋助手;负责组织开展民族、宗教政策，法律法规的宣传教育并督促贯彻执行。对有关宗教的法律法规和政策的贯彻实施进行行政管理和监督;负责协调民族关系，加强民族团结进步教育，引导、促进、确保宗教在法律、法规和政策允许的范围内活动，防止和制止不法分子利用宗教进行非法、违法活动，及时处理宗教方面等突发事件和影响社会政治稳定的问题，密切配合有关部门抵制、揭露和打击国内外敌对势力利用宗教对我县的渗透破坏活动，维护祖国统一和我县的稳定、团结、繁荣。负责加强国家和省用于扶持民族地区发展的专项资金使用和项目实施情况的检查监督，组织协调对民族地区发展，对口支援，经济技术协作和民族贸易，民族特需用品等的生产，配合承办扶贫开发事宜;负责调查全县宗教现状，掌握动态和发展趋势，及时向县政府报告并提出处理意见和建议，提供政策依据;承办县政府交办的其他工作事项。</w:t>
      </w:r>
    </w:p>
    <w:p>
      <w:pPr>
        <w:spacing w:line="600" w:lineRule="exact"/>
        <w:ind w:firstLine="643" w:firstLineChars="200"/>
        <w:outlineLvl w:val="2"/>
        <w:rPr>
          <w:rFonts w:ascii="仿宋" w:eastAsia="仿宋"/>
          <w:b/>
          <w:color w:val="000000"/>
          <w:sz w:val="32"/>
          <w:szCs w:val="32"/>
        </w:rPr>
      </w:pPr>
      <w:bookmarkStart w:id="20" w:name="_Toc15378446"/>
      <w:bookmarkStart w:id="21" w:name="_Toc15377199"/>
      <w:r>
        <w:rPr>
          <w:rFonts w:hint="eastAsia" w:ascii="仿宋" w:eastAsia="仿宋"/>
          <w:b/>
          <w:color w:val="000000"/>
          <w:sz w:val="32"/>
          <w:szCs w:val="32"/>
        </w:rPr>
        <w:t>（二）</w:t>
      </w:r>
      <w:r>
        <w:rPr>
          <w:rFonts w:ascii="仿宋" w:eastAsia="仿宋"/>
          <w:b/>
          <w:color w:val="000000"/>
          <w:sz w:val="32"/>
          <w:szCs w:val="32"/>
        </w:rPr>
        <w:t>2021</w:t>
      </w:r>
      <w:r>
        <w:rPr>
          <w:rFonts w:hint="eastAsia" w:ascii="仿宋" w:eastAsia="仿宋"/>
          <w:b/>
          <w:color w:val="000000"/>
          <w:sz w:val="32"/>
          <w:szCs w:val="32"/>
        </w:rPr>
        <w:t>重点工作完成情况</w:t>
      </w:r>
      <w:bookmarkEnd w:id="20"/>
      <w:bookmarkEnd w:id="21"/>
      <w:bookmarkStart w:id="22" w:name="_Toc15377200"/>
    </w:p>
    <w:p>
      <w:pPr>
        <w:rPr>
          <w:rFonts w:hint="eastAsia" w:ascii="仿宋" w:eastAsia="仿宋"/>
          <w:color w:val="000000"/>
          <w:sz w:val="32"/>
          <w:szCs w:val="32"/>
          <w:lang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0" w:leftChars="0" w:firstLine="640" w:firstLineChars="200"/>
        <w:textAlignment w:val="auto"/>
        <w:rPr>
          <w:rFonts w:ascii="仿宋" w:eastAsia="仿宋"/>
          <w:color w:val="000000"/>
          <w:sz w:val="32"/>
          <w:szCs w:val="32"/>
        </w:rPr>
      </w:pPr>
      <w:r>
        <w:rPr>
          <w:rFonts w:ascii="仿宋" w:eastAsia="仿宋"/>
          <w:color w:val="000000"/>
          <w:sz w:val="32"/>
          <w:szCs w:val="32"/>
        </w:rPr>
        <w:t>务实创新，推进民族工作再上新台阶</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ascii="仿宋" w:eastAsia="仿宋"/>
          <w:color w:val="000000"/>
          <w:sz w:val="32"/>
          <w:szCs w:val="32"/>
        </w:rPr>
      </w:pPr>
      <w:r>
        <w:rPr>
          <w:rFonts w:hint="eastAsia" w:ascii="仿宋" w:eastAsia="仿宋"/>
          <w:color w:val="000000"/>
          <w:sz w:val="32"/>
          <w:szCs w:val="32"/>
          <w:lang w:eastAsia="zh-CN"/>
        </w:rPr>
        <w:t>（一）</w:t>
      </w:r>
      <w:r>
        <w:rPr>
          <w:rFonts w:ascii="仿宋" w:eastAsia="仿宋"/>
          <w:color w:val="000000"/>
          <w:sz w:val="32"/>
          <w:szCs w:val="32"/>
        </w:rPr>
        <w:t>深抓党的民族政策宣传和法治教育活动</w:t>
      </w:r>
      <w:r>
        <w:rPr>
          <w:rFonts w:hint="eastAsia" w:ascii="仿宋" w:eastAsia="仿宋"/>
          <w:color w:val="000000"/>
          <w:sz w:val="32"/>
          <w:szCs w:val="32"/>
          <w:lang w:eastAsia="zh-CN"/>
        </w:rPr>
        <w:t>，</w:t>
      </w:r>
      <w:r>
        <w:rPr>
          <w:rFonts w:ascii="仿宋" w:eastAsia="仿宋"/>
          <w:color w:val="000000"/>
          <w:sz w:val="32"/>
          <w:szCs w:val="32"/>
        </w:rPr>
        <w:t>大力宣传民族政策法规。</w:t>
      </w:r>
      <w:r>
        <w:rPr>
          <w:rFonts w:hint="eastAsia" w:ascii="仿宋" w:eastAsia="仿宋"/>
          <w:color w:val="000000"/>
          <w:sz w:val="32"/>
          <w:szCs w:val="32"/>
          <w:lang w:eastAsia="zh-CN"/>
        </w:rPr>
        <w:t>通过各类宣传活动，向群众</w:t>
      </w:r>
      <w:r>
        <w:rPr>
          <w:rFonts w:ascii="仿宋" w:eastAsia="仿宋"/>
          <w:color w:val="000000"/>
          <w:sz w:val="32"/>
          <w:szCs w:val="32"/>
        </w:rPr>
        <w:t xml:space="preserve">发放宣传资料8000余份、《民族》杂志150余本。 </w:t>
      </w:r>
    </w:p>
    <w:p>
      <w:pPr>
        <w:spacing w:line="540" w:lineRule="exact"/>
        <w:ind w:firstLine="640" w:firstLineChars="200"/>
        <w:rPr>
          <w:rFonts w:ascii="仿宋" w:eastAsia="仿宋"/>
          <w:color w:val="000000"/>
          <w:sz w:val="32"/>
          <w:szCs w:val="32"/>
        </w:rPr>
      </w:pPr>
      <w:r>
        <w:rPr>
          <w:rFonts w:ascii="仿宋" w:eastAsia="仿宋"/>
          <w:color w:val="000000"/>
          <w:sz w:val="32"/>
          <w:szCs w:val="32"/>
        </w:rPr>
        <w:t>（二）狠抓民族事务，努力提升服务水平。一是完成普通高考学生民族成份审核919人。二是推进民族关系和谐发展，构筑各民族共有精神家园。三是细抓民族贸易和民族特需商品生产贷款促发展工作。四是开展新春慰问工作。协同相关部门以集中慰问、入户慰问的方式慰问受灾群众、贫困农牧民、困难企业职工</w:t>
      </w:r>
      <w:r>
        <w:rPr>
          <w:rFonts w:hint="eastAsia" w:eastAsia="仿宋_GB2312"/>
          <w:sz w:val="32"/>
          <w:szCs w:val="32"/>
        </w:rPr>
        <w:t>共计1000户，每户购买价值200元的慰问品</w:t>
      </w:r>
      <w:r>
        <w:rPr>
          <w:rFonts w:ascii="仿宋" w:eastAsia="仿宋"/>
          <w:color w:val="000000"/>
          <w:sz w:val="32"/>
          <w:szCs w:val="32"/>
        </w:rPr>
        <w:t>。五是</w:t>
      </w:r>
      <w:r>
        <w:rPr>
          <w:rFonts w:hint="eastAsia" w:ascii="仿宋_GB2312" w:eastAsia="仿宋_GB2312" w:cs="仿宋_GB2312"/>
          <w:sz w:val="32"/>
          <w:szCs w:val="32"/>
          <w:lang w:bidi="ar-SA"/>
        </w:rPr>
        <w:t>大力宣传我县已</w:t>
      </w:r>
      <w:r>
        <w:rPr>
          <w:rFonts w:hint="eastAsia" w:ascii="仿宋_GB2312" w:eastAsia="仿宋_GB2312" w:cs="楷体_GB2312"/>
          <w:sz w:val="32"/>
          <w:szCs w:val="32"/>
          <w:lang w:bidi="ar-SA"/>
        </w:rPr>
        <w:t>被国家民委命名为中国少数民族特色村寨的</w:t>
      </w:r>
      <w:r>
        <w:rPr>
          <w:rFonts w:hint="eastAsia" w:ascii="仿宋_GB2312" w:eastAsia="仿宋_GB2312" w:cs="仿宋_GB2312"/>
          <w:sz w:val="32"/>
          <w:szCs w:val="32"/>
          <w:lang w:bidi="ar-SA"/>
        </w:rPr>
        <w:t>建设成效，组织开展我县少数民族特色村寨储备工作。</w:t>
      </w:r>
      <w:r>
        <w:rPr>
          <w:rFonts w:hint="eastAsia" w:ascii="仿宋_GB2312" w:eastAsia="仿宋_GB2312" w:cs="仿宋_GB2312"/>
          <w:sz w:val="32"/>
          <w:szCs w:val="32"/>
          <w:lang w:eastAsia="zh-CN" w:bidi="ar-SA"/>
        </w:rPr>
        <w:t>六是</w:t>
      </w:r>
      <w:r>
        <w:rPr>
          <w:rFonts w:hint="eastAsia" w:ascii="仿宋_GB2312" w:eastAsia="仿宋_GB2312"/>
          <w:sz w:val="32"/>
          <w:szCs w:val="32"/>
        </w:rPr>
        <w:t>开展羌文化进校园</w:t>
      </w:r>
      <w:r>
        <w:rPr>
          <w:rFonts w:hint="eastAsia" w:ascii="仿宋_GB2312" w:eastAsia="仿宋_GB2312" w:cs="仿宋_GB2312"/>
          <w:sz w:val="32"/>
          <w:szCs w:val="32"/>
          <w:lang w:bidi="ar-SA"/>
        </w:rPr>
        <w:t>工作，加强民族优秀传统手工艺保护和传承。</w:t>
      </w:r>
      <w:r>
        <w:rPr>
          <w:rFonts w:hint="eastAsia" w:ascii="仿宋_GB2312" w:eastAsia="仿宋_GB2312"/>
          <w:sz w:val="32"/>
          <w:szCs w:val="32"/>
        </w:rPr>
        <w:t>七是</w:t>
      </w:r>
      <w:r>
        <w:rPr>
          <w:rFonts w:hint="eastAsia" w:ascii="仿宋_GB2312" w:eastAsia="仿宋_GB2312" w:cs="仿宋_GB2312"/>
          <w:sz w:val="32"/>
          <w:szCs w:val="32"/>
          <w:lang w:bidi="ar-SA"/>
        </w:rPr>
        <w:t>向阿坝州民宗委申报民族贸易企业4个。</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ascii="仿宋" w:eastAsia="仿宋"/>
          <w:color w:val="000000"/>
          <w:sz w:val="32"/>
          <w:szCs w:val="32"/>
        </w:rPr>
      </w:pPr>
      <w:r>
        <w:rPr>
          <w:rFonts w:ascii="仿宋" w:eastAsia="仿宋"/>
          <w:color w:val="000000"/>
          <w:sz w:val="32"/>
          <w:szCs w:val="32"/>
        </w:rPr>
        <w:t>（三）继续做好民族团结进步创建工作</w:t>
      </w:r>
      <w:r>
        <w:rPr>
          <w:rFonts w:hint="eastAsia" w:ascii="仿宋" w:eastAsia="仿宋"/>
          <w:color w:val="000000"/>
          <w:sz w:val="32"/>
          <w:szCs w:val="32"/>
          <w:lang w:eastAsia="zh-CN"/>
        </w:rPr>
        <w:t>，</w:t>
      </w:r>
      <w:r>
        <w:rPr>
          <w:rFonts w:ascii="仿宋" w:eastAsia="仿宋"/>
          <w:color w:val="000000"/>
          <w:sz w:val="32"/>
          <w:szCs w:val="32"/>
        </w:rPr>
        <w:t>持续巩固民族团结进步示范县成果。2021年1月茂县成功创建为全国民族团结进步示范县。2021年9月，茂县成立全省首个民族团结服务中心</w:t>
      </w:r>
      <w:r>
        <w:rPr>
          <w:rFonts w:hint="eastAsia" w:ascii="仿宋" w:eastAsia="仿宋"/>
          <w:color w:val="000000"/>
          <w:sz w:val="32"/>
          <w:szCs w:val="32"/>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left="0" w:leftChars="0" w:firstLine="640" w:firstLineChars="200"/>
        <w:textAlignment w:val="auto"/>
        <w:rPr>
          <w:rFonts w:ascii="仿宋" w:eastAsia="仿宋"/>
          <w:color w:val="000000"/>
          <w:sz w:val="32"/>
          <w:szCs w:val="32"/>
        </w:rPr>
      </w:pPr>
      <w:r>
        <w:rPr>
          <w:rFonts w:ascii="仿宋" w:eastAsia="仿宋"/>
          <w:color w:val="000000"/>
          <w:sz w:val="32"/>
          <w:szCs w:val="32"/>
        </w:rPr>
        <w:t xml:space="preserve">依法管理，维护宗教领域和谐稳定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ascii="仿宋" w:eastAsia="仿宋"/>
          <w:color w:val="000000"/>
          <w:sz w:val="32"/>
          <w:szCs w:val="32"/>
        </w:rPr>
      </w:pPr>
      <w:r>
        <w:rPr>
          <w:rFonts w:hint="eastAsia" w:ascii="仿宋" w:eastAsia="仿宋"/>
          <w:color w:val="000000"/>
          <w:sz w:val="32"/>
          <w:szCs w:val="32"/>
          <w:lang w:eastAsia="zh-CN"/>
        </w:rPr>
        <w:t>（一）</w:t>
      </w:r>
      <w:r>
        <w:rPr>
          <w:rFonts w:ascii="仿宋" w:eastAsia="仿宋"/>
          <w:color w:val="000000"/>
          <w:sz w:val="32"/>
          <w:szCs w:val="32"/>
        </w:rPr>
        <w:t>依法加强宗教活动场所管理</w:t>
      </w:r>
      <w:r>
        <w:rPr>
          <w:rFonts w:hint="eastAsia" w:ascii="仿宋" w:eastAsia="仿宋"/>
          <w:color w:val="000000"/>
          <w:sz w:val="32"/>
          <w:szCs w:val="32"/>
          <w:lang w:eastAsia="zh-CN"/>
        </w:rPr>
        <w:t>及</w:t>
      </w:r>
      <w:r>
        <w:rPr>
          <w:rFonts w:ascii="仿宋" w:eastAsia="仿宋"/>
          <w:color w:val="000000"/>
          <w:sz w:val="32"/>
          <w:szCs w:val="32"/>
        </w:rPr>
        <w:t>宗教教职人员。完善宗教教职人员信息数据库录入</w:t>
      </w:r>
      <w:r>
        <w:rPr>
          <w:rFonts w:hint="eastAsia" w:ascii="仿宋" w:eastAsia="仿宋"/>
          <w:color w:val="000000"/>
          <w:sz w:val="32"/>
          <w:szCs w:val="32"/>
          <w:lang w:eastAsia="zh-CN"/>
        </w:rPr>
        <w:t>，</w:t>
      </w:r>
      <w:r>
        <w:rPr>
          <w:rFonts w:ascii="仿宋" w:eastAsia="仿宋"/>
          <w:color w:val="000000"/>
          <w:sz w:val="32"/>
          <w:szCs w:val="32"/>
        </w:rPr>
        <w:t>贯彻落实《宗教事务条例》、《四川省宗教事务条例》、《阿坝州宗教事务条例》。</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 w:eastAsia="仿宋"/>
          <w:color w:val="000000"/>
          <w:sz w:val="32"/>
          <w:szCs w:val="32"/>
          <w:lang w:eastAsia="zh-CN"/>
        </w:rPr>
      </w:pPr>
      <w:r>
        <w:rPr>
          <w:rFonts w:hint="eastAsia" w:ascii="仿宋" w:eastAsia="仿宋"/>
          <w:color w:val="000000"/>
          <w:sz w:val="32"/>
          <w:szCs w:val="32"/>
          <w:lang w:eastAsia="zh-CN"/>
        </w:rPr>
        <w:t>（二）</w:t>
      </w:r>
      <w:r>
        <w:rPr>
          <w:rFonts w:ascii="仿宋" w:eastAsia="仿宋"/>
          <w:color w:val="000000"/>
          <w:sz w:val="32"/>
          <w:szCs w:val="32"/>
        </w:rPr>
        <w:t>积极推进宗教事务社会化管理。组织宗教场所聚集地房屋排查</w:t>
      </w:r>
      <w:r>
        <w:rPr>
          <w:rFonts w:hint="eastAsia" w:ascii="仿宋" w:eastAsia="仿宋"/>
          <w:color w:val="000000"/>
          <w:sz w:val="32"/>
          <w:szCs w:val="32"/>
          <w:lang w:eastAsia="zh-CN"/>
        </w:rPr>
        <w:t>、</w:t>
      </w:r>
      <w:r>
        <w:rPr>
          <w:rFonts w:ascii="仿宋" w:eastAsia="仿宋"/>
          <w:color w:val="000000"/>
          <w:sz w:val="32"/>
          <w:szCs w:val="32"/>
        </w:rPr>
        <w:t>隐患整治</w:t>
      </w:r>
      <w:r>
        <w:rPr>
          <w:rFonts w:hint="eastAsia" w:ascii="仿宋" w:eastAsia="仿宋"/>
          <w:color w:val="000000"/>
          <w:sz w:val="32"/>
          <w:szCs w:val="32"/>
          <w:lang w:eastAsia="zh-CN"/>
        </w:rPr>
        <w:t>等。</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ascii="仿宋" w:eastAsia="仿宋"/>
          <w:color w:val="000000"/>
          <w:sz w:val="32"/>
          <w:szCs w:val="32"/>
        </w:rPr>
      </w:pPr>
      <w:r>
        <w:rPr>
          <w:rFonts w:hint="eastAsia" w:ascii="仿宋" w:eastAsia="仿宋"/>
          <w:color w:val="000000"/>
          <w:sz w:val="32"/>
          <w:szCs w:val="32"/>
          <w:lang w:eastAsia="zh-CN"/>
        </w:rPr>
        <w:t>（三）</w:t>
      </w:r>
      <w:r>
        <w:rPr>
          <w:rFonts w:ascii="仿宋" w:eastAsia="仿宋"/>
          <w:color w:val="000000"/>
          <w:sz w:val="32"/>
          <w:szCs w:val="32"/>
        </w:rPr>
        <w:t xml:space="preserve">全力抓好矛盾纠纷排查。落实宗教矛盾纠纷和不稳定因素排查机制。加强宗教领域信息收集、研判、报送工作。   </w:t>
      </w:r>
    </w:p>
    <w:p>
      <w:pPr>
        <w:numPr>
          <w:ilvl w:val="0"/>
          <w:numId w:val="1"/>
        </w:numPr>
        <w:ind w:left="0" w:leftChars="0" w:firstLine="640" w:firstLineChars="200"/>
        <w:rPr>
          <w:rFonts w:ascii="仿宋" w:eastAsia="仿宋"/>
          <w:color w:val="000000"/>
          <w:sz w:val="32"/>
          <w:szCs w:val="32"/>
        </w:rPr>
      </w:pPr>
      <w:r>
        <w:rPr>
          <w:rFonts w:ascii="仿宋" w:eastAsia="仿宋"/>
          <w:color w:val="000000"/>
          <w:sz w:val="32"/>
          <w:szCs w:val="32"/>
        </w:rPr>
        <w:t>积极争取统筹整合财政涉农资金、少数民族发展金和民族地区开发资金项目，统筹推进项目进度</w:t>
      </w:r>
      <w:r>
        <w:rPr>
          <w:rFonts w:hint="eastAsia" w:ascii="仿宋" w:eastAsia="仿宋"/>
          <w:color w:val="000000"/>
          <w:sz w:val="32"/>
          <w:szCs w:val="32"/>
          <w:lang w:eastAsia="zh-CN"/>
        </w:rPr>
        <w:t>。</w:t>
      </w:r>
    </w:p>
    <w:p>
      <w:pPr>
        <w:pStyle w:val="4"/>
        <w:ind w:firstLine="643" w:firstLineChars="200"/>
        <w:rPr>
          <w:rFonts w:hint="eastAsia" w:ascii="仿宋" w:eastAsia="仿宋"/>
          <w:color w:val="000000"/>
          <w:sz w:val="32"/>
          <w:szCs w:val="32"/>
          <w:lang w:eastAsia="zh-CN"/>
        </w:rPr>
      </w:pPr>
      <w:bookmarkStart w:id="23" w:name="_Toc111208497"/>
      <w:bookmarkStart w:id="24" w:name="_Toc113981011"/>
      <w:r>
        <w:rPr>
          <w:rFonts w:hint="eastAsia" w:ascii="黑体" w:eastAsia="黑体" w:cs="Times New Roman"/>
          <w:bCs w:val="0"/>
          <w:color w:val="000000"/>
        </w:rPr>
        <w:t>二、机构设置</w:t>
      </w:r>
      <w:bookmarkEnd w:id="22"/>
      <w:bookmarkEnd w:id="23"/>
      <w:bookmarkEnd w:id="24"/>
      <w:bookmarkStart w:id="134" w:name="_GoBack"/>
      <w:bookmarkEnd w:id="134"/>
    </w:p>
    <w:p>
      <w:pPr>
        <w:rPr>
          <w:rFonts w:ascii="仿宋" w:eastAsia="仿宋"/>
          <w:color w:val="000000"/>
          <w:sz w:val="32"/>
          <w:szCs w:val="32"/>
        </w:rPr>
      </w:pPr>
      <w:r>
        <w:rPr>
          <w:rFonts w:ascii="仿宋" w:eastAsia="仿宋"/>
          <w:color w:val="000000"/>
          <w:sz w:val="32"/>
          <w:szCs w:val="32"/>
        </w:rPr>
        <w:tab/>
      </w:r>
      <w:r>
        <w:rPr>
          <w:rFonts w:ascii="仿宋" w:eastAsia="仿宋"/>
          <w:color w:val="000000"/>
          <w:sz w:val="32"/>
          <w:szCs w:val="32"/>
        </w:rPr>
        <w:t>1.</w:t>
      </w:r>
      <w:r>
        <w:rPr>
          <w:rFonts w:ascii="仿宋" w:eastAsia="仿宋"/>
          <w:color w:val="000000"/>
          <w:sz w:val="32"/>
          <w:szCs w:val="32"/>
        </w:rPr>
        <w:tab/>
      </w:r>
      <w:r>
        <w:rPr>
          <w:rFonts w:ascii="仿宋" w:eastAsia="仿宋"/>
          <w:color w:val="000000"/>
          <w:sz w:val="32"/>
          <w:szCs w:val="32"/>
        </w:rPr>
        <w:t>茂县民族宗教局下属二级单位0个，其中行政单位0个，参照公务员法管理的事业单位0个，其他事业单位0个。 2.纳入民宗局2021年度部门决算编制范围无二级预算单位。</w:t>
      </w:r>
    </w:p>
    <w:p>
      <w:pPr>
        <w:widowControl/>
        <w:jc w:val="left"/>
        <w:rPr>
          <w:rFonts w:ascii="仿宋_GB2312" w:eastAsia="仿宋_GB2312"/>
          <w:b/>
          <w:bCs/>
          <w:color w:val="000000"/>
          <w:kern w:val="44"/>
          <w:sz w:val="44"/>
          <w:szCs w:val="44"/>
        </w:rPr>
      </w:pPr>
      <w:bookmarkStart w:id="25" w:name="_Toc15377204"/>
      <w:r>
        <w:rPr>
          <w:rFonts w:ascii="仿宋_GB2312" w:eastAsia="仿宋_GB2312"/>
          <w:color w:val="000000"/>
        </w:rPr>
        <w:br w:type="page"/>
      </w:r>
    </w:p>
    <w:p>
      <w:pPr>
        <w:pStyle w:val="3"/>
        <w:jc w:val="center"/>
        <w:rPr>
          <w:rFonts w:ascii="黑体" w:eastAsia="黑体" w:cs="黑体"/>
        </w:rPr>
      </w:pPr>
      <w:bookmarkStart w:id="26" w:name="_Toc113981012"/>
      <w:bookmarkStart w:id="27" w:name="_Toc111208498"/>
      <w:r>
        <w:rPr>
          <w:rFonts w:hint="eastAsia" w:ascii="黑体" w:eastAsia="黑体" w:cs="黑体"/>
        </w:rPr>
        <w:t>第二部分</w:t>
      </w:r>
      <w:r>
        <w:rPr>
          <w:rFonts w:ascii="黑体" w:eastAsia="黑体" w:cs="黑体"/>
        </w:rPr>
        <w:t xml:space="preserve"> </w:t>
      </w:r>
      <w:r>
        <w:rPr>
          <w:rFonts w:hint="eastAsia" w:ascii="黑体" w:eastAsia="黑体" w:cs="黑体"/>
        </w:rPr>
        <w:t>2021年度部门决算情况说明</w:t>
      </w:r>
      <w:bookmarkEnd w:id="25"/>
      <w:bookmarkEnd w:id="26"/>
      <w:bookmarkEnd w:id="27"/>
    </w:p>
    <w:p>
      <w:pPr>
        <w:pStyle w:val="4"/>
        <w:ind w:firstLine="643" w:firstLineChars="200"/>
        <w:rPr>
          <w:rFonts w:ascii="黑体" w:eastAsia="黑体" w:cs="Times New Roman"/>
          <w:bCs w:val="0"/>
          <w:color w:val="000000"/>
        </w:rPr>
      </w:pPr>
      <w:bookmarkStart w:id="28" w:name="_Toc15377205"/>
      <w:bookmarkStart w:id="29" w:name="_Toc113981013"/>
      <w:bookmarkStart w:id="30" w:name="_Toc111208499"/>
      <w:r>
        <w:rPr>
          <w:rFonts w:hint="eastAsia" w:ascii="黑体" w:eastAsia="黑体" w:cs="Times New Roman"/>
          <w:bCs w:val="0"/>
          <w:color w:val="000000"/>
        </w:rPr>
        <w:t>一、收入支出决算总体情况说</w:t>
      </w:r>
      <w:bookmarkEnd w:id="28"/>
      <w:r>
        <w:rPr>
          <w:rFonts w:hint="eastAsia" w:ascii="黑体" w:eastAsia="黑体" w:cs="Times New Roman"/>
          <w:bCs w:val="0"/>
          <w:color w:val="000000"/>
        </w:rPr>
        <w:t>明</w:t>
      </w:r>
      <w:bookmarkEnd w:id="29"/>
      <w:bookmarkEnd w:id="30"/>
    </w:p>
    <w:p>
      <w:pPr>
        <w:spacing w:line="600" w:lineRule="exact"/>
        <w:ind w:firstLine="640" w:firstLineChars="200"/>
        <w:rPr>
          <w:rFonts w:ascii="仿宋_GB2312" w:eastAsia="仿宋_GB2312"/>
          <w:color w:val="00B0F0"/>
          <w:sz w:val="32"/>
          <w:szCs w:val="32"/>
        </w:rPr>
      </w:pPr>
      <w:r>
        <w:rPr>
          <w:rFonts w:ascii="仿宋" w:eastAsia="仿宋"/>
          <w:color w:val="000000"/>
          <w:sz w:val="32"/>
          <w:szCs w:val="32"/>
        </w:rPr>
        <w:t>2021</w:t>
      </w:r>
      <w:r>
        <w:rPr>
          <w:rFonts w:hint="eastAsia" w:ascii="仿宋" w:eastAsia="仿宋"/>
          <w:color w:val="000000"/>
          <w:sz w:val="32"/>
          <w:szCs w:val="32"/>
        </w:rPr>
        <w:t>年度收、支总计</w:t>
      </w:r>
      <w:r>
        <w:rPr>
          <w:rFonts w:ascii="仿宋" w:eastAsia="仿宋"/>
          <w:color w:val="000000"/>
          <w:sz w:val="32"/>
          <w:szCs w:val="32"/>
        </w:rPr>
        <w:t>1705.98</w:t>
      </w:r>
      <w:r>
        <w:rPr>
          <w:rFonts w:hint="eastAsia" w:ascii="仿宋" w:eastAsia="仿宋"/>
          <w:color w:val="000000"/>
          <w:sz w:val="32"/>
          <w:szCs w:val="32"/>
        </w:rPr>
        <w:t>万元。与</w:t>
      </w:r>
      <w:r>
        <w:rPr>
          <w:rFonts w:ascii="仿宋" w:eastAsia="仿宋"/>
          <w:color w:val="000000"/>
          <w:sz w:val="32"/>
          <w:szCs w:val="32"/>
        </w:rPr>
        <w:t>2020</w:t>
      </w:r>
      <w:r>
        <w:rPr>
          <w:rFonts w:hint="eastAsia" w:ascii="仿宋" w:eastAsia="仿宋"/>
          <w:color w:val="000000"/>
          <w:sz w:val="32"/>
          <w:szCs w:val="32"/>
        </w:rPr>
        <w:t>年相比，收、支总计各</w:t>
      </w:r>
      <w:r>
        <w:rPr>
          <w:rFonts w:ascii="仿宋" w:eastAsia="仿宋"/>
          <w:color w:val="000000"/>
          <w:sz w:val="32"/>
          <w:szCs w:val="32"/>
        </w:rPr>
        <w:t>增加356.56</w:t>
      </w:r>
      <w:r>
        <w:rPr>
          <w:rFonts w:hint="eastAsia" w:ascii="仿宋" w:eastAsia="仿宋"/>
          <w:color w:val="000000"/>
          <w:sz w:val="32"/>
          <w:szCs w:val="32"/>
        </w:rPr>
        <w:t>万元，</w:t>
      </w:r>
      <w:r>
        <w:rPr>
          <w:rFonts w:ascii="仿宋" w:eastAsia="仿宋"/>
          <w:color w:val="000000"/>
          <w:sz w:val="32"/>
          <w:szCs w:val="32"/>
        </w:rPr>
        <w:t>增加26.42</w:t>
      </w:r>
      <w:r>
        <w:rPr>
          <w:rFonts w:hint="eastAsia" w:ascii="仿宋" w:eastAsia="仿宋"/>
          <w:color w:val="000000"/>
          <w:sz w:val="32"/>
          <w:szCs w:val="32"/>
        </w:rPr>
        <w:t xml:space="preserve"> %。主要变动原因是项目增加</w:t>
      </w:r>
    </w:p>
    <w:p>
      <w:pPr>
        <w:spacing w:line="600" w:lineRule="exact"/>
        <w:ind w:firstLine="640" w:firstLineChars="200"/>
        <w:rPr>
          <w:rFonts w:ascii="仿宋_GB2312" w:eastAsia="仿宋_GB2312"/>
          <w:color w:val="000000"/>
          <w:sz w:val="28"/>
          <w:szCs w:val="28"/>
        </w:rPr>
      </w:pPr>
      <w:r>
        <w:rPr>
          <w:rFonts w:hint="eastAsia" w:ascii="仿宋" w:eastAsia="仿宋"/>
          <w:color w:val="000000"/>
          <w:sz w:val="32"/>
          <w:szCs w:val="32"/>
        </w:rPr>
        <w:t>（图1：收、支决算总计变动情况图）</w:t>
      </w:r>
    </w:p>
    <w:p>
      <w:pPr>
        <w:spacing w:line="600" w:lineRule="exact"/>
        <w:ind w:firstLine="560" w:firstLineChars="200"/>
        <w:jc w:val="center"/>
        <w:rPr>
          <w:rFonts w:ascii="仿宋_GB2312" w:eastAsia="仿宋_GB2312"/>
          <w:color w:val="000000"/>
          <w:sz w:val="28"/>
          <w:szCs w:val="28"/>
        </w:rPr>
      </w:pPr>
    </w:p>
    <w:p>
      <w:pPr>
        <w:pStyle w:val="2"/>
      </w:pPr>
      <w:r>
        <w:drawing>
          <wp:inline distT="0" distB="0" distL="114300" distR="114300">
            <wp:extent cx="5343525" cy="2933700"/>
            <wp:effectExtent l="0" t="0" r="0"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4"/>
        <w:ind w:firstLine="643" w:firstLineChars="200"/>
        <w:rPr>
          <w:rFonts w:ascii="黑体" w:eastAsia="黑体" w:cs="Times New Roman"/>
          <w:bCs w:val="0"/>
          <w:color w:val="000000"/>
        </w:rPr>
      </w:pPr>
      <w:bookmarkStart w:id="31" w:name="_Toc15377206"/>
      <w:bookmarkStart w:id="32" w:name="_Toc111208500"/>
      <w:bookmarkStart w:id="33" w:name="_Toc113981014"/>
      <w:r>
        <w:rPr>
          <w:rFonts w:hint="eastAsia" w:ascii="黑体" w:eastAsia="黑体" w:cs="Times New Roman"/>
          <w:bCs w:val="0"/>
          <w:color w:val="000000"/>
        </w:rPr>
        <w:t>二、收入决算情况说明</w:t>
      </w:r>
      <w:bookmarkEnd w:id="31"/>
      <w:bookmarkEnd w:id="32"/>
      <w:bookmarkEnd w:id="33"/>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2021年本年收入合计1134.56万元，其中：一般公共预算财政拨款收入1134.56万元，占100.00%；政府性基金预算财政拨款收入0.00万元，占0.00%；国有资本经营预算财政拨款收入0.00万元，占0.00%；上级补助收入0.00万元，占0.00%；事业收入0.00万元，占%；经营收入0.00万元，占0.00%；附属单位上缴收入0.00万元，占0.00%；其他收入0.00万元，占0.00%。</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（图2：收入决算结构图）</w:t>
      </w:r>
    </w:p>
    <w:p>
      <w:pPr>
        <w:pStyle w:val="14"/>
        <w:jc w:val="center"/>
      </w:pPr>
      <w:r>
        <w:rPr>
          <w:rFonts w:hint="eastAsia" w:ascii="仿宋_GB2312" w:eastAsia="仿宋_GB2312"/>
          <w:color w:val="FF0000"/>
          <w:sz w:val="32"/>
          <w:szCs w:val="32"/>
        </w:rPr>
        <w:drawing>
          <wp:inline distT="0" distB="0" distL="114300" distR="114300">
            <wp:extent cx="5332730" cy="3400425"/>
            <wp:effectExtent l="0" t="0" r="0"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4"/>
        <w:ind w:firstLine="643" w:firstLineChars="200"/>
        <w:rPr>
          <w:rFonts w:ascii="黑体" w:eastAsia="黑体" w:cs="Times New Roman"/>
          <w:bCs w:val="0"/>
          <w:color w:val="000000"/>
        </w:rPr>
      </w:pPr>
      <w:bookmarkStart w:id="34" w:name="_Toc113981015"/>
      <w:bookmarkStart w:id="35" w:name="_Toc15377207"/>
      <w:bookmarkStart w:id="36" w:name="_Toc111208501"/>
      <w:r>
        <w:rPr>
          <w:rFonts w:hint="eastAsia" w:ascii="黑体" w:eastAsia="黑体" w:cs="Times New Roman"/>
          <w:bCs w:val="0"/>
          <w:color w:val="000000"/>
        </w:rPr>
        <w:t>三、支出决算情况说明</w:t>
      </w:r>
      <w:bookmarkEnd w:id="34"/>
      <w:bookmarkEnd w:id="35"/>
      <w:bookmarkEnd w:id="36"/>
    </w:p>
    <w:p>
      <w:pPr>
        <w:pStyle w:val="2"/>
        <w:rPr>
          <w:rFonts w:ascii="仿宋" w:eastAsia="仿宋"/>
          <w:color w:val="000000"/>
          <w:sz w:val="32"/>
          <w:szCs w:val="32"/>
        </w:rPr>
      </w:pPr>
      <w:r>
        <w:rPr>
          <w:rFonts w:hint="eastAsia" w:ascii="仿宋" w:eastAsia="仿宋"/>
          <w:color w:val="000000"/>
          <w:sz w:val="32"/>
          <w:szCs w:val="32"/>
        </w:rPr>
        <w:t>2021</w:t>
      </w:r>
      <w:r>
        <w:rPr>
          <w:rFonts w:ascii="仿宋" w:eastAsia="仿宋"/>
          <w:color w:val="000000"/>
          <w:sz w:val="32"/>
          <w:szCs w:val="32"/>
        </w:rPr>
        <w:t>年本年支出合计</w:t>
      </w:r>
      <w:r>
        <w:rPr>
          <w:rFonts w:hint="eastAsia" w:ascii="仿宋" w:eastAsia="仿宋"/>
          <w:color w:val="000000"/>
          <w:sz w:val="32"/>
          <w:szCs w:val="32"/>
        </w:rPr>
        <w:t>1705.98</w:t>
      </w:r>
      <w:r>
        <w:rPr>
          <w:rFonts w:ascii="仿宋" w:eastAsia="仿宋"/>
          <w:color w:val="000000"/>
          <w:sz w:val="32"/>
          <w:szCs w:val="32"/>
        </w:rPr>
        <w:t>万元，其中：基本支出</w:t>
      </w:r>
      <w:r>
        <w:rPr>
          <w:rFonts w:hint="eastAsia" w:ascii="仿宋" w:eastAsia="仿宋"/>
          <w:color w:val="000000"/>
          <w:sz w:val="32"/>
          <w:szCs w:val="32"/>
        </w:rPr>
        <w:t>270.03</w:t>
      </w:r>
      <w:r>
        <w:rPr>
          <w:rFonts w:ascii="仿宋" w:eastAsia="仿宋"/>
          <w:color w:val="000000"/>
          <w:sz w:val="32"/>
          <w:szCs w:val="32"/>
        </w:rPr>
        <w:t>万元，占</w:t>
      </w:r>
      <w:r>
        <w:rPr>
          <w:rFonts w:hint="eastAsia" w:ascii="仿宋" w:eastAsia="仿宋"/>
          <w:color w:val="000000"/>
          <w:sz w:val="32"/>
          <w:szCs w:val="32"/>
        </w:rPr>
        <w:t>15.83</w:t>
      </w:r>
      <w:r>
        <w:rPr>
          <w:rFonts w:ascii="仿宋" w:eastAsia="仿宋"/>
          <w:color w:val="000000"/>
          <w:sz w:val="32"/>
          <w:szCs w:val="32"/>
        </w:rPr>
        <w:t>%；项目支出</w:t>
      </w:r>
      <w:r>
        <w:rPr>
          <w:rFonts w:hint="eastAsia" w:ascii="仿宋" w:eastAsia="仿宋"/>
          <w:color w:val="000000"/>
          <w:sz w:val="32"/>
          <w:szCs w:val="32"/>
        </w:rPr>
        <w:t>1435.96</w:t>
      </w:r>
      <w:r>
        <w:rPr>
          <w:rFonts w:ascii="仿宋" w:eastAsia="仿宋"/>
          <w:color w:val="000000"/>
          <w:sz w:val="32"/>
          <w:szCs w:val="32"/>
        </w:rPr>
        <w:t>万元，占</w:t>
      </w:r>
      <w:r>
        <w:rPr>
          <w:rFonts w:hint="eastAsia" w:ascii="仿宋" w:eastAsia="仿宋"/>
          <w:color w:val="000000"/>
          <w:sz w:val="32"/>
          <w:szCs w:val="32"/>
        </w:rPr>
        <w:t>84.17</w:t>
      </w:r>
      <w:r>
        <w:rPr>
          <w:rFonts w:ascii="仿宋" w:eastAsia="仿宋"/>
          <w:color w:val="000000"/>
          <w:sz w:val="32"/>
          <w:szCs w:val="32"/>
        </w:rPr>
        <w:t>%；上缴上级支出</w:t>
      </w:r>
      <w:r>
        <w:rPr>
          <w:rFonts w:hint="eastAsia" w:ascii="仿宋" w:eastAsia="仿宋"/>
          <w:color w:val="000000"/>
          <w:sz w:val="32"/>
          <w:szCs w:val="32"/>
        </w:rPr>
        <w:t>0.00</w:t>
      </w:r>
      <w:r>
        <w:rPr>
          <w:rFonts w:ascii="仿宋" w:eastAsia="仿宋"/>
          <w:color w:val="000000"/>
          <w:sz w:val="32"/>
          <w:szCs w:val="32"/>
        </w:rPr>
        <w:t>万元，占</w:t>
      </w:r>
      <w:r>
        <w:rPr>
          <w:rFonts w:hint="eastAsia" w:ascii="仿宋" w:eastAsia="仿宋"/>
          <w:color w:val="000000"/>
          <w:sz w:val="32"/>
          <w:szCs w:val="32"/>
        </w:rPr>
        <w:t>0.00</w:t>
      </w:r>
      <w:r>
        <w:rPr>
          <w:rFonts w:ascii="仿宋" w:eastAsia="仿宋"/>
          <w:color w:val="000000"/>
          <w:sz w:val="32"/>
          <w:szCs w:val="32"/>
        </w:rPr>
        <w:t>%；经营支出</w:t>
      </w:r>
      <w:r>
        <w:rPr>
          <w:rFonts w:hint="eastAsia" w:ascii="仿宋" w:eastAsia="仿宋"/>
          <w:color w:val="000000"/>
          <w:sz w:val="32"/>
          <w:szCs w:val="32"/>
        </w:rPr>
        <w:t>0.00</w:t>
      </w:r>
      <w:r>
        <w:rPr>
          <w:rFonts w:ascii="仿宋" w:eastAsia="仿宋"/>
          <w:color w:val="000000"/>
          <w:sz w:val="32"/>
          <w:szCs w:val="32"/>
        </w:rPr>
        <w:t>万元，占</w:t>
      </w:r>
      <w:r>
        <w:rPr>
          <w:rFonts w:hint="eastAsia" w:ascii="仿宋" w:eastAsia="仿宋"/>
          <w:color w:val="000000"/>
          <w:sz w:val="32"/>
          <w:szCs w:val="32"/>
        </w:rPr>
        <w:t>0.00</w:t>
      </w:r>
      <w:r>
        <w:rPr>
          <w:rFonts w:ascii="仿宋" w:eastAsia="仿宋"/>
          <w:color w:val="000000"/>
          <w:sz w:val="32"/>
          <w:szCs w:val="32"/>
        </w:rPr>
        <w:t>%；对附属单位补助支出</w:t>
      </w:r>
      <w:r>
        <w:rPr>
          <w:rFonts w:hint="eastAsia" w:ascii="仿宋" w:eastAsia="仿宋"/>
          <w:color w:val="000000"/>
          <w:sz w:val="32"/>
          <w:szCs w:val="32"/>
        </w:rPr>
        <w:t>0.00</w:t>
      </w:r>
      <w:r>
        <w:rPr>
          <w:rFonts w:ascii="仿宋" w:eastAsia="仿宋"/>
          <w:color w:val="000000"/>
          <w:sz w:val="32"/>
          <w:szCs w:val="32"/>
        </w:rPr>
        <w:t>万元，占</w:t>
      </w:r>
      <w:r>
        <w:rPr>
          <w:rFonts w:hint="eastAsia" w:ascii="仿宋" w:eastAsia="仿宋"/>
          <w:color w:val="000000"/>
          <w:sz w:val="32"/>
          <w:szCs w:val="32"/>
        </w:rPr>
        <w:t>0.00</w:t>
      </w:r>
      <w:r>
        <w:rPr>
          <w:rFonts w:ascii="仿宋" w:eastAsia="仿宋"/>
          <w:color w:val="000000"/>
          <w:sz w:val="32"/>
          <w:szCs w:val="32"/>
        </w:rPr>
        <w:t>%。</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（图3：支出决算结构图）</w:t>
      </w:r>
    </w:p>
    <w:p>
      <w:pPr>
        <w:jc w:val="center"/>
        <w:rPr>
          <w:rFonts w:ascii="仿宋_GB2312" w:eastAsia="仿宋_GB2312"/>
          <w:color w:val="FF0000"/>
          <w:sz w:val="32"/>
          <w:szCs w:val="32"/>
        </w:rPr>
      </w:pPr>
      <w:r>
        <w:rPr>
          <w:rFonts w:hint="eastAsia" w:ascii="仿宋_GB2312" w:eastAsia="仿宋_GB2312"/>
          <w:color w:val="FF0000"/>
          <w:sz w:val="32"/>
          <w:szCs w:val="32"/>
        </w:rPr>
        <w:drawing>
          <wp:inline distT="0" distB="0" distL="114300" distR="114300">
            <wp:extent cx="5303520" cy="3429000"/>
            <wp:effectExtent l="0" t="0" r="0" b="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2"/>
      </w:pPr>
    </w:p>
    <w:p>
      <w:pPr>
        <w:pStyle w:val="4"/>
        <w:ind w:firstLine="643" w:firstLineChars="200"/>
        <w:rPr>
          <w:rFonts w:ascii="黑体" w:eastAsia="黑体" w:cs="Times New Roman"/>
          <w:bCs w:val="0"/>
          <w:color w:val="000000"/>
        </w:rPr>
      </w:pPr>
      <w:bookmarkStart w:id="37" w:name="_Toc113981016"/>
      <w:bookmarkStart w:id="38" w:name="_Toc111208502"/>
      <w:bookmarkStart w:id="39" w:name="_Toc15377208"/>
      <w:r>
        <w:rPr>
          <w:rFonts w:hint="eastAsia" w:ascii="黑体" w:eastAsia="黑体" w:cs="Times New Roman"/>
          <w:bCs w:val="0"/>
          <w:color w:val="000000"/>
        </w:rPr>
        <w:t>四、财政拨款收入支出决算总体情况说明</w:t>
      </w:r>
      <w:bookmarkEnd w:id="37"/>
      <w:bookmarkEnd w:id="38"/>
      <w:bookmarkEnd w:id="39"/>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2021年财政拨款收、支总计1705.98万元。与2020年相比，财政拨款收、支总计各增加356.56万元，增加26.42 %。主要变动原因是项目增加</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（图4：财政拨款收、支决算总计变动情况）</w:t>
      </w:r>
    </w:p>
    <w:p>
      <w:pPr>
        <w:pStyle w:val="2"/>
        <w:ind w:firstLine="0"/>
      </w:pPr>
    </w:p>
    <w:p>
      <w:pPr>
        <w:pStyle w:val="2"/>
        <w:jc w:val="left"/>
      </w:pPr>
      <w:r>
        <w:rPr>
          <w:rFonts w:hint="eastAsia" w:ascii="仿宋_GB2312" w:eastAsia="仿宋_GB2312"/>
          <w:color w:val="000000"/>
          <w:sz w:val="32"/>
          <w:szCs w:val="32"/>
        </w:rPr>
        <w:drawing>
          <wp:inline distT="0" distB="0" distL="0" distR="0">
            <wp:extent cx="4981575" cy="3171825"/>
            <wp:effectExtent l="0" t="0" r="0" b="0"/>
            <wp:docPr id="4"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
        <w:jc w:val="center"/>
      </w:pPr>
    </w:p>
    <w:p>
      <w:pPr>
        <w:pStyle w:val="4"/>
        <w:ind w:firstLine="643" w:firstLineChars="200"/>
        <w:rPr>
          <w:rFonts w:ascii="黑体" w:eastAsia="黑体" w:cs="Times New Roman"/>
          <w:bCs w:val="0"/>
          <w:color w:val="000000"/>
        </w:rPr>
      </w:pPr>
      <w:bookmarkStart w:id="40" w:name="_Toc15377209"/>
      <w:bookmarkStart w:id="41" w:name="_Toc111208503"/>
      <w:bookmarkStart w:id="42" w:name="_Toc113981017"/>
      <w:r>
        <w:rPr>
          <w:rFonts w:hint="eastAsia" w:ascii="黑体" w:eastAsia="黑体" w:cs="Times New Roman"/>
          <w:bCs w:val="0"/>
          <w:color w:val="000000"/>
        </w:rPr>
        <w:t>五、一般公共预算财政拨款支出决算情况说</w:t>
      </w:r>
      <w:bookmarkEnd w:id="40"/>
      <w:r>
        <w:rPr>
          <w:rFonts w:hint="eastAsia" w:ascii="黑体" w:eastAsia="黑体" w:cs="Times New Roman"/>
          <w:bCs w:val="0"/>
          <w:color w:val="000000"/>
        </w:rPr>
        <w:t>明</w:t>
      </w:r>
      <w:bookmarkEnd w:id="41"/>
      <w:bookmarkEnd w:id="42"/>
    </w:p>
    <w:p>
      <w:pPr>
        <w:spacing w:line="600" w:lineRule="exact"/>
        <w:ind w:firstLine="643" w:firstLineChars="200"/>
        <w:outlineLvl w:val="2"/>
        <w:rPr>
          <w:rFonts w:ascii="仿宋" w:eastAsia="仿宋"/>
          <w:b/>
          <w:color w:val="000000"/>
          <w:sz w:val="32"/>
          <w:szCs w:val="32"/>
        </w:rPr>
      </w:pPr>
      <w:bookmarkStart w:id="43" w:name="_Toc15377210"/>
      <w:r>
        <w:rPr>
          <w:rFonts w:hint="eastAsia" w:ascii="仿宋" w:eastAsia="仿宋"/>
          <w:b/>
          <w:color w:val="000000"/>
          <w:sz w:val="32"/>
          <w:szCs w:val="32"/>
        </w:rPr>
        <w:t>（一）一般公共预算财政拨款支出决算总体情况</w:t>
      </w:r>
      <w:bookmarkEnd w:id="43"/>
    </w:p>
    <w:p>
      <w:pPr>
        <w:spacing w:line="600" w:lineRule="exact"/>
        <w:ind w:firstLine="640" w:firstLineChars="200"/>
        <w:rPr>
          <w:rFonts w:ascii="仿宋_GB2312" w:eastAsia="仿宋_GB2312"/>
          <w:color w:val="000000"/>
          <w:sz w:val="32"/>
          <w:szCs w:val="32"/>
        </w:rPr>
      </w:pPr>
      <w:bookmarkStart w:id="44" w:name="_Toc15377211"/>
      <w:r>
        <w:rPr>
          <w:rFonts w:hint="eastAsia" w:ascii="仿宋" w:eastAsia="仿宋"/>
          <w:color w:val="000000"/>
          <w:sz w:val="32"/>
          <w:szCs w:val="32"/>
        </w:rPr>
        <w:t>2021年一般公共预算财政拨款支出1705.98万元，占本年支出合计的100.00%。与2020相比，一般公共预算财政拨款增加1133.32万元，增加197.90 %。主要变动原因是项目增加</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（图5：一般公共预算财政拨款支出决算变动情况）</w:t>
      </w:r>
    </w:p>
    <w:p>
      <w:pPr>
        <w:pStyle w:val="2"/>
        <w:ind w:firstLine="0"/>
        <w:rPr>
          <w:rFonts w:ascii="仿宋_GB2312" w:eastAsia="仿宋_GB2312"/>
          <w:b/>
          <w:color w:val="000000"/>
          <w:sz w:val="32"/>
          <w:szCs w:val="32"/>
        </w:rPr>
      </w:pPr>
    </w:p>
    <w:p>
      <w:pPr>
        <w:pStyle w:val="2"/>
        <w:ind w:firstLine="0"/>
        <w:rPr>
          <w:rFonts w:ascii="仿宋_GB2312" w:eastAsia="仿宋_GB2312"/>
          <w:b/>
          <w:color w:val="000000"/>
          <w:sz w:val="32"/>
          <w:szCs w:val="32"/>
        </w:rPr>
      </w:pPr>
      <w:r>
        <w:rPr>
          <w:rFonts w:hint="eastAsia" w:ascii="仿宋_GB2312" w:eastAsia="仿宋_GB2312"/>
          <w:b/>
          <w:color w:val="000000"/>
          <w:sz w:val="32"/>
          <w:szCs w:val="32"/>
        </w:rPr>
        <w:drawing>
          <wp:inline distT="0" distB="0" distL="0" distR="0">
            <wp:extent cx="4904740" cy="3569970"/>
            <wp:effectExtent l="0" t="0" r="0" b="0"/>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2"/>
        <w:ind w:firstLine="0"/>
        <w:rPr>
          <w:rFonts w:ascii="仿宋_GB2312" w:eastAsia="仿宋_GB2312"/>
          <w:b/>
          <w:color w:val="000000"/>
          <w:sz w:val="32"/>
          <w:szCs w:val="32"/>
        </w:rPr>
      </w:pPr>
    </w:p>
    <w:p>
      <w:pPr>
        <w:spacing w:line="600" w:lineRule="exact"/>
        <w:ind w:firstLine="643" w:firstLineChars="200"/>
        <w:outlineLvl w:val="2"/>
        <w:rPr>
          <w:rFonts w:ascii="仿宋" w:eastAsia="仿宋"/>
          <w:b/>
          <w:color w:val="000000"/>
          <w:sz w:val="32"/>
          <w:szCs w:val="32"/>
        </w:rPr>
      </w:pPr>
      <w:r>
        <w:rPr>
          <w:rFonts w:hint="eastAsia" w:ascii="仿宋" w:eastAsia="仿宋"/>
          <w:b/>
          <w:color w:val="000000"/>
          <w:sz w:val="32"/>
          <w:szCs w:val="32"/>
        </w:rPr>
        <w:t>（二）一般公共预算财政拨款支出决算结构情况</w:t>
      </w:r>
      <w:bookmarkEnd w:id="44"/>
      <w:r>
        <w:rPr>
          <w:rFonts w:hint="eastAsia" w:ascii="仿宋" w:eastAsia="仿宋"/>
          <w:b/>
          <w:color w:val="000000"/>
          <w:sz w:val="32"/>
          <w:szCs w:val="32"/>
        </w:rPr>
        <w:t>（一般公共预算收支表）</w:t>
      </w:r>
    </w:p>
    <w:p>
      <w:pPr>
        <w:spacing w:line="600" w:lineRule="exact"/>
        <w:ind w:firstLine="640" w:firstLineChars="200"/>
        <w:rPr>
          <w:rFonts w:ascii="仿宋_GB2312" w:eastAsia="仿宋_GB2312"/>
          <w:color w:val="000000"/>
          <w:sz w:val="32"/>
          <w:szCs w:val="32"/>
        </w:rPr>
      </w:pPr>
      <w:r>
        <w:rPr>
          <w:rFonts w:hint="eastAsia" w:ascii="仿宋" w:eastAsia="仿宋"/>
          <w:color w:val="000000"/>
          <w:sz w:val="32"/>
          <w:szCs w:val="32"/>
        </w:rPr>
        <w:t>2021年一般公共预算财政拨款支出1705.98万元，主要用于以下方面:一般公共服务支出426.65万元，占25.01%；教育支出71.93万元，占4.22%；文化旅游体育与传媒支出198.94万元，占11.66%；社会保障和就业支出26.30万元，占1.54%；卫生健康支出11.18万元，占0.66%；农林水支出933.54万元，占54.72%；住房保障支出17.45万元，占1.02%；其他支出20.00万元，占1.17%。</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（图6：一般公共预算财政拨款支出决算结构）</w:t>
      </w:r>
      <w:bookmarkStart w:id="45" w:name="_Toc15377212"/>
    </w:p>
    <w:p>
      <w:pPr>
        <w:pStyle w:val="2"/>
      </w:pPr>
      <w:r>
        <w:rPr>
          <w:sz w:val="21"/>
        </w:rPr>
        <w:pict>
          <v:shape id="_x0000_s1027" o:spid="_x0000_s1027" o:spt="202" type="#_x0000_t202" style="position:absolute;left:0pt;margin-left:258.35pt;margin-top:201.6pt;height:24.75pt;width:73.5pt;z-index:251660288;mso-width-relative:page;mso-height-relative:page;" fillcolor="#FFFFFF" filled="t" stroked="f" coordsize="21600,21600">
            <v:path/>
            <v:fill on="t" focussize="0,0"/>
            <v:stroke on="f"/>
            <v:imagedata o:title=""/>
            <o:lock v:ext="edit" aspectratio="f"/>
            <v:textbox>
              <w:txbxContent>
                <w:p>
                  <w:pPr>
                    <w:rPr>
                      <w:rFonts w:hint="eastAsia" w:eastAsia="宋体"/>
                      <w:sz w:val="15"/>
                      <w:szCs w:val="15"/>
                      <w:lang w:eastAsia="zh-CN"/>
                    </w:rPr>
                  </w:pPr>
                  <w:r>
                    <w:rPr>
                      <w:rFonts w:hint="eastAsia"/>
                      <w:sz w:val="15"/>
                      <w:szCs w:val="15"/>
                      <w:lang w:eastAsia="zh-CN"/>
                    </w:rPr>
                    <w:t>单位：万元</w:t>
                  </w:r>
                </w:p>
              </w:txbxContent>
            </v:textbox>
          </v:shape>
        </w:pict>
      </w:r>
      <w:r>
        <w:drawing>
          <wp:inline distT="0" distB="0" distL="0" distR="0">
            <wp:extent cx="4333240" cy="2886075"/>
            <wp:effectExtent l="4445" t="4445" r="5715" b="5080"/>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3" w:firstLineChars="200"/>
        <w:outlineLvl w:val="2"/>
        <w:rPr>
          <w:rFonts w:ascii="仿宋" w:eastAsia="仿宋"/>
          <w:b/>
          <w:color w:val="000000"/>
          <w:sz w:val="32"/>
          <w:szCs w:val="32"/>
        </w:rPr>
      </w:pPr>
      <w:r>
        <w:rPr>
          <w:rFonts w:hint="eastAsia" w:ascii="仿宋" w:eastAsia="仿宋"/>
          <w:b/>
          <w:color w:val="000000"/>
          <w:sz w:val="32"/>
          <w:szCs w:val="32"/>
        </w:rPr>
        <w:t>（三）一般公共预算财政拨款支出决算具体情况</w:t>
      </w:r>
      <w:bookmarkEnd w:id="45"/>
    </w:p>
    <w:p>
      <w:pPr>
        <w:spacing w:line="600" w:lineRule="exact"/>
        <w:ind w:firstLine="640"/>
        <w:rPr>
          <w:rFonts w:ascii="仿宋" w:eastAsia="仿宋"/>
          <w:color w:val="000000"/>
          <w:sz w:val="32"/>
          <w:szCs w:val="32"/>
        </w:rPr>
      </w:pPr>
      <w:bookmarkStart w:id="46" w:name="_Toc15377213"/>
      <w:bookmarkStart w:id="47" w:name="_Toc15377444"/>
      <w:bookmarkStart w:id="48" w:name="_Toc15378460"/>
      <w:r>
        <w:rPr>
          <w:rFonts w:hint="eastAsia" w:ascii="仿宋" w:eastAsia="仿宋"/>
          <w:color w:val="000000"/>
          <w:sz w:val="32"/>
          <w:szCs w:val="32"/>
        </w:rPr>
        <w:t>2021年一般公共预算支出决算数为1705.98万</w:t>
      </w:r>
      <w:r>
        <w:rPr>
          <w:rFonts w:hint="eastAsia" w:ascii="仿宋" w:eastAsia="仿宋"/>
          <w:color w:val="000000"/>
          <w:sz w:val="32"/>
          <w:szCs w:val="32"/>
          <w:lang w:eastAsia="zh-CN"/>
        </w:rPr>
        <w:t>元</w:t>
      </w:r>
      <w:r>
        <w:rPr>
          <w:rFonts w:hint="eastAsia" w:ascii="仿宋" w:eastAsia="仿宋"/>
          <w:color w:val="000000"/>
          <w:sz w:val="32"/>
          <w:szCs w:val="32"/>
        </w:rPr>
        <w:t>，完成预算100%。其中：</w:t>
      </w:r>
      <w:bookmarkEnd w:id="46"/>
      <w:bookmarkEnd w:id="47"/>
      <w:bookmarkEnd w:id="48"/>
    </w:p>
    <w:p>
      <w:pPr>
        <w:spacing w:line="600" w:lineRule="exact"/>
        <w:ind w:firstLine="640" w:firstLineChars="200"/>
        <w:rPr>
          <w:rFonts w:hint="eastAsia" w:ascii="仿宋" w:eastAsia="仿宋"/>
          <w:color w:val="000000"/>
          <w:sz w:val="32"/>
          <w:szCs w:val="32"/>
          <w:lang w:eastAsia="zh-CN"/>
        </w:rPr>
      </w:pPr>
      <w:r>
        <w:rPr>
          <w:rFonts w:hint="eastAsia" w:ascii="仿宋" w:eastAsia="仿宋"/>
          <w:color w:val="000000"/>
          <w:sz w:val="32"/>
          <w:szCs w:val="32"/>
        </w:rPr>
        <w:t>1.一般公共服务支出（201）民族事务（20123）行政运行（2012301）支出决算215.34万元，完成预算100%。</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rPr>
        <w:t>2.一般公共服务支出（201）民族事务（20123）民族工作专项（2012304）支出决算8.00万元，完成预算100%。</w:t>
      </w:r>
    </w:p>
    <w:p>
      <w:pPr>
        <w:spacing w:line="600" w:lineRule="exact"/>
        <w:ind w:firstLine="640" w:firstLineChars="200"/>
        <w:rPr>
          <w:rFonts w:hint="eastAsia" w:ascii="仿宋" w:eastAsia="仿宋"/>
          <w:color w:val="000000"/>
          <w:sz w:val="32"/>
          <w:szCs w:val="32"/>
          <w:lang w:eastAsia="zh-CN"/>
        </w:rPr>
      </w:pPr>
      <w:r>
        <w:rPr>
          <w:rFonts w:hint="eastAsia" w:ascii="仿宋" w:eastAsia="仿宋"/>
          <w:color w:val="000000"/>
          <w:sz w:val="32"/>
          <w:szCs w:val="32"/>
        </w:rPr>
        <w:t>3.一般公共服务支出（201）民族事务（20123）其他民族事务支出（2012399）支出决算200.31万元，完成预算100%。</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rPr>
        <w:t>4.一般公共服务支出（201）统战事务（20134）宗教事务（2013404）支出决算3.00万元，完成预算100%。</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rPr>
        <w:t>5.教育支出（205）普通教育（20502）小学教育（2050202）支出决算71.93万元，完成预算100%。</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rPr>
        <w:t>6.文化旅游体育与传媒支出（207）文化和旅游（20701）其他文化和旅游支出（2070199）支出决算198.94万元，完成预算100%。</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7.社会保障和就业支出（208）行政事业单位养老支出（20805）机关事业单位基本养老保险缴费支出（2080505）支出决算17.37万元，完成预算100%。</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8.社会保障和就业支出（208）行政事业单位养老支出（20805）机关事业单位职业年金缴费支出（2080506）支出决算8.69万元，完成预算100%。</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9.社会保障和就业支出（208）退役军人管理事务（20828）拥军优属（2082804）支出决算0.24万元，完成预算100%。</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10.卫生健康支出（210）行政事业单位医疗（21011）行政单位医疗（2101101）支出决算11.18万元，完成预算100%。</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11.农林水支出（213）扶贫（21305）农村基础设施建设（2130504）支出决算203.23万元，完成预算100%。</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12.农林水支出（213）扶贫（21305）生产发展（2130505）支出决算254.32万元，完成预算100%。</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13.农林水支出（213）扶贫（21305）其他扶贫支出（2130599）支出决算475.99万元，完成预算100%。</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14.住房保障支出（221）住房改革支出（22102）住房公积金（2210201）支出决算17.45万元，完成预算100%。</w:t>
      </w:r>
    </w:p>
    <w:p>
      <w:pPr>
        <w:spacing w:line="600" w:lineRule="exact"/>
        <w:ind w:firstLine="640"/>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15.其他支出（229）其他支出（22999）其他支出（2299999）支出决算20.00万元，完成预算100%。</w:t>
      </w:r>
    </w:p>
    <w:p>
      <w:pPr>
        <w:pStyle w:val="4"/>
        <w:ind w:firstLine="643" w:firstLineChars="200"/>
        <w:rPr>
          <w:rFonts w:ascii="黑体" w:eastAsia="黑体" w:cs="Times New Roman"/>
          <w:b w:val="0"/>
          <w:color w:val="000000"/>
        </w:rPr>
      </w:pPr>
      <w:bookmarkStart w:id="49" w:name="_Toc15377214"/>
      <w:bookmarkStart w:id="50" w:name="_Toc111208504"/>
      <w:bookmarkStart w:id="51" w:name="_Toc113981018"/>
      <w:r>
        <w:rPr>
          <w:rFonts w:hint="eastAsia" w:ascii="黑体" w:eastAsia="黑体" w:cs="Times New Roman"/>
          <w:bCs w:val="0"/>
          <w:color w:val="000000"/>
        </w:rPr>
        <w:t>六、一般公共预算财政拨款基本支出决算情况说</w:t>
      </w:r>
      <w:bookmarkEnd w:id="49"/>
      <w:r>
        <w:rPr>
          <w:rFonts w:hint="eastAsia" w:ascii="黑体" w:eastAsia="黑体" w:cs="Times New Roman"/>
          <w:bCs w:val="0"/>
          <w:color w:val="000000"/>
        </w:rPr>
        <w:t>明</w:t>
      </w:r>
      <w:bookmarkEnd w:id="50"/>
      <w:bookmarkEnd w:id="51"/>
    </w:p>
    <w:p>
      <w:pPr>
        <w:spacing w:line="600" w:lineRule="exact"/>
        <w:ind w:firstLine="640"/>
        <w:rPr>
          <w:rFonts w:ascii="仿宋" w:eastAsia="仿宋"/>
          <w:color w:val="000000"/>
          <w:sz w:val="32"/>
          <w:szCs w:val="32"/>
        </w:rPr>
      </w:pPr>
      <w:r>
        <w:rPr>
          <w:rFonts w:hint="eastAsia" w:ascii="仿宋" w:eastAsia="仿宋"/>
          <w:color w:val="000000"/>
          <w:sz w:val="32"/>
          <w:szCs w:val="32"/>
        </w:rPr>
        <w:t>2021年一般公共预算财政拨款基本支出270.03万元，其中：</w:t>
      </w:r>
    </w:p>
    <w:p>
      <w:pPr>
        <w:spacing w:line="600" w:lineRule="exact"/>
        <w:ind w:firstLine="640"/>
        <w:rPr>
          <w:rFonts w:ascii="仿宋" w:eastAsia="仿宋"/>
          <w:color w:val="000000"/>
          <w:sz w:val="32"/>
          <w:szCs w:val="32"/>
        </w:rPr>
      </w:pPr>
      <w:r>
        <w:rPr>
          <w:rFonts w:hint="eastAsia" w:ascii="仿宋" w:eastAsia="仿宋"/>
          <w:color w:val="000000"/>
          <w:sz w:val="32"/>
          <w:szCs w:val="32"/>
        </w:rPr>
        <w:t>人员经费257.28万元，主要包括：基本工资57.96万元、津贴补贴51.55万元、奖金77.46万元、机关事业单位基本养老保险缴费17.37万元、职业年金缴费8.69万元、职工基本医疗保险缴费11.18万元、其他社会保障缴费0.33万元、住房公积金17.45万元、医疗费1.49万元、生活补助13.75万元、奖励金0.06万元。</w:t>
      </w:r>
    </w:p>
    <w:p>
      <w:pPr>
        <w:spacing w:line="600" w:lineRule="exact"/>
        <w:ind w:firstLine="640"/>
        <w:rPr>
          <w:rFonts w:ascii="仿宋" w:eastAsia="仿宋"/>
          <w:color w:val="000000"/>
          <w:sz w:val="32"/>
          <w:szCs w:val="32"/>
        </w:rPr>
      </w:pPr>
      <w:r>
        <w:rPr>
          <w:rFonts w:hint="eastAsia" w:ascii="仿宋" w:eastAsia="仿宋"/>
          <w:color w:val="000000"/>
          <w:sz w:val="32"/>
          <w:szCs w:val="32"/>
        </w:rPr>
        <w:t>公用经费12.75万元，主要包括：办公费3.27万元、邮电费0.44万元、差旅费4.78万元、培训费0.05万元、公务接待费0.21万元、公务用车运行维护费4.00万元。</w:t>
      </w:r>
    </w:p>
    <w:p>
      <w:pPr>
        <w:pStyle w:val="4"/>
        <w:ind w:firstLine="643" w:firstLineChars="200"/>
        <w:rPr>
          <w:rFonts w:ascii="黑体" w:eastAsia="黑体" w:cs="Times New Roman"/>
          <w:bCs w:val="0"/>
          <w:color w:val="000000"/>
        </w:rPr>
      </w:pPr>
      <w:bookmarkStart w:id="52" w:name="_Toc15377215"/>
      <w:bookmarkStart w:id="53" w:name="_Toc113981019"/>
      <w:bookmarkStart w:id="54" w:name="_Toc111208505"/>
      <w:r>
        <w:rPr>
          <w:rFonts w:hint="eastAsia" w:ascii="黑体" w:eastAsia="黑体" w:cs="Times New Roman"/>
          <w:bCs w:val="0"/>
          <w:color w:val="000000"/>
        </w:rPr>
        <w:t>七、“三公”经费财政拨款支出决算情况说明</w:t>
      </w:r>
      <w:bookmarkEnd w:id="52"/>
      <w:bookmarkEnd w:id="53"/>
      <w:bookmarkEnd w:id="54"/>
    </w:p>
    <w:p>
      <w:pPr>
        <w:spacing w:line="600" w:lineRule="exact"/>
        <w:ind w:firstLine="643" w:firstLineChars="200"/>
        <w:outlineLvl w:val="2"/>
        <w:rPr>
          <w:rFonts w:ascii="仿宋" w:eastAsia="仿宋"/>
          <w:b/>
          <w:color w:val="000000"/>
          <w:sz w:val="32"/>
          <w:szCs w:val="32"/>
        </w:rPr>
      </w:pPr>
      <w:bookmarkStart w:id="55" w:name="_Toc15377216"/>
      <w:r>
        <w:rPr>
          <w:rFonts w:hint="eastAsia" w:ascii="仿宋" w:eastAsia="仿宋"/>
          <w:b/>
          <w:color w:val="000000"/>
          <w:sz w:val="32"/>
          <w:szCs w:val="32"/>
        </w:rPr>
        <w:t>（一）“三公”经费财政拨款支出决算总体情况说明</w:t>
      </w:r>
      <w:bookmarkEnd w:id="55"/>
    </w:p>
    <w:p>
      <w:pPr>
        <w:spacing w:line="600" w:lineRule="exact"/>
        <w:ind w:firstLine="640"/>
        <w:rPr>
          <w:rFonts w:ascii="仿宋" w:eastAsia="仿宋"/>
          <w:color w:val="000000"/>
          <w:sz w:val="32"/>
          <w:szCs w:val="32"/>
        </w:rPr>
      </w:pPr>
      <w:r>
        <w:rPr>
          <w:rFonts w:hint="eastAsia" w:ascii="仿宋" w:eastAsia="仿宋"/>
          <w:color w:val="000000"/>
          <w:sz w:val="32"/>
          <w:szCs w:val="32"/>
        </w:rPr>
        <w:t>2021年“三公”经费财政拨款支出决算为4.21万元，完成预算100.00%。</w:t>
      </w:r>
      <w:bookmarkStart w:id="56" w:name="_Toc15377217"/>
    </w:p>
    <w:p>
      <w:pPr>
        <w:spacing w:line="600" w:lineRule="exact"/>
        <w:ind w:firstLine="643" w:firstLineChars="200"/>
        <w:outlineLvl w:val="2"/>
        <w:rPr>
          <w:rFonts w:ascii="仿宋" w:eastAsia="仿宋"/>
          <w:b/>
          <w:color w:val="000000"/>
          <w:sz w:val="32"/>
          <w:szCs w:val="32"/>
        </w:rPr>
      </w:pPr>
      <w:r>
        <w:rPr>
          <w:rFonts w:hint="eastAsia" w:ascii="仿宋" w:eastAsia="仿宋"/>
          <w:b/>
          <w:color w:val="000000"/>
          <w:sz w:val="32"/>
          <w:szCs w:val="32"/>
        </w:rPr>
        <w:t>（二）“三公”经费财政拨款支出决算具体情况说明</w:t>
      </w:r>
      <w:bookmarkEnd w:id="56"/>
    </w:p>
    <w:p>
      <w:pPr>
        <w:spacing w:line="600" w:lineRule="exact"/>
        <w:ind w:firstLine="640"/>
        <w:rPr>
          <w:rFonts w:ascii="仿宋" w:eastAsia="仿宋"/>
          <w:color w:val="000000"/>
          <w:sz w:val="32"/>
          <w:szCs w:val="32"/>
        </w:rPr>
      </w:pPr>
      <w:r>
        <w:rPr>
          <w:rFonts w:hint="eastAsia" w:ascii="仿宋" w:eastAsia="仿宋"/>
          <w:color w:val="000000"/>
          <w:sz w:val="32"/>
          <w:szCs w:val="32"/>
        </w:rPr>
        <w:t>2021年“三公”经费财政拨款支出4.21万，因公出国（境）费支出决算0.00万元，占0.00%；公务用车购置及运行维护费支出决算4.00万元，占95.06%；公务接待费支出决算0.21万元，占4.94%。具体情况如下：</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（图7：“三公”经费财政拨款支出结构）</w:t>
      </w:r>
    </w:p>
    <w:p>
      <w:pPr>
        <w:pStyle w:val="2"/>
        <w:rPr>
          <w:rFonts w:ascii="仿宋_GB2312" w:eastAsia="仿宋_GB2312"/>
          <w:color w:val="000000"/>
          <w:sz w:val="32"/>
          <w:szCs w:val="32"/>
        </w:rPr>
      </w:pPr>
      <w:r>
        <w:rPr>
          <w:sz w:val="21"/>
        </w:rPr>
        <w:pict>
          <v:shape id="_x0000_s1026" o:spid="_x0000_s1026" o:spt="202" type="#_x0000_t202" style="position:absolute;left:0pt;margin-left:289.85pt;margin-top:202.35pt;height:24.75pt;width:73.5pt;z-index:251659264;mso-width-relative:page;mso-height-relative:page;" fillcolor="#FFFFFF" filled="t" stroked="f" coordsize="21600,21600">
            <v:path/>
            <v:fill on="t" focussize="0,0"/>
            <v:stroke on="f"/>
            <v:imagedata o:title=""/>
            <o:lock v:ext="edit" aspectratio="f"/>
            <v:textbox>
              <w:txbxContent>
                <w:p>
                  <w:pPr>
                    <w:rPr>
                      <w:rFonts w:hint="eastAsia" w:eastAsia="宋体"/>
                      <w:sz w:val="15"/>
                      <w:szCs w:val="15"/>
                      <w:lang w:eastAsia="zh-CN"/>
                    </w:rPr>
                  </w:pPr>
                  <w:r>
                    <w:rPr>
                      <w:rFonts w:hint="eastAsia"/>
                      <w:sz w:val="15"/>
                      <w:szCs w:val="15"/>
                      <w:lang w:eastAsia="zh-CN"/>
                    </w:rPr>
                    <w:t>单位：万元</w:t>
                  </w:r>
                </w:p>
              </w:txbxContent>
            </v:textbox>
          </v:shape>
        </w:pict>
      </w:r>
      <w:r>
        <w:drawing>
          <wp:inline distT="0" distB="0" distL="0" distR="0">
            <wp:extent cx="4333240" cy="2886075"/>
            <wp:effectExtent l="4445" t="4445" r="5715" b="5080"/>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ascii="仿宋" w:eastAsia="仿宋"/>
          <w:color w:val="000000"/>
          <w:sz w:val="32"/>
          <w:szCs w:val="32"/>
        </w:rPr>
      </w:pPr>
      <w:r>
        <w:rPr>
          <w:rFonts w:hint="eastAsia" w:ascii="仿宋" w:eastAsia="仿宋"/>
          <w:color w:val="000000"/>
          <w:sz w:val="32"/>
          <w:szCs w:val="32"/>
        </w:rPr>
        <w:t xml:space="preserve">1.因公出国（境）经费支出0.00万元,完成预算100%。全年安排因公出国（境）团组0次，出国（境）0人。因公出国（境）支出决算比2020年增加0.00万元。 </w:t>
      </w:r>
    </w:p>
    <w:p>
      <w:pPr>
        <w:spacing w:line="600" w:lineRule="exact"/>
        <w:ind w:firstLine="640"/>
        <w:rPr>
          <w:rFonts w:ascii="仿宋" w:eastAsia="仿宋"/>
          <w:color w:val="000000"/>
          <w:sz w:val="32"/>
          <w:szCs w:val="32"/>
        </w:rPr>
      </w:pPr>
      <w:r>
        <w:rPr>
          <w:rFonts w:hint="eastAsia" w:ascii="仿宋" w:eastAsia="仿宋"/>
          <w:color w:val="000000"/>
          <w:sz w:val="32"/>
          <w:szCs w:val="32"/>
        </w:rPr>
        <w:t xml:space="preserve">2.公务用车购置及运行维护费支出4.00万元,完成预算100.00%。公务用车购置及运行维护费支出决算比2020年增加0.00万元。 </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其中：公务用车购置支出0.00万元。全年按规定更新购置公务用车0辆，其中：轿车0辆、金额0.00万元，越野车</w:t>
      </w:r>
      <w:r>
        <w:rPr>
          <w:rFonts w:hint="eastAsia" w:ascii="仿宋" w:eastAsia="仿宋"/>
          <w:color w:val="000000"/>
          <w:sz w:val="32"/>
          <w:szCs w:val="32"/>
          <w:lang w:val="en-US" w:eastAsia="zh-CN"/>
        </w:rPr>
        <w:t>1</w:t>
      </w:r>
      <w:r>
        <w:rPr>
          <w:rFonts w:hint="eastAsia" w:ascii="仿宋" w:eastAsia="仿宋"/>
          <w:color w:val="000000"/>
          <w:sz w:val="32"/>
          <w:szCs w:val="32"/>
        </w:rPr>
        <w:t>辆、金额</w:t>
      </w:r>
      <w:r>
        <w:rPr>
          <w:rFonts w:hint="eastAsia" w:ascii="仿宋" w:eastAsia="仿宋"/>
          <w:color w:val="000000"/>
          <w:sz w:val="32"/>
          <w:szCs w:val="32"/>
          <w:lang w:val="en-US" w:eastAsia="zh-CN"/>
        </w:rPr>
        <w:t>24.3</w:t>
      </w:r>
      <w:r>
        <w:rPr>
          <w:rFonts w:hint="eastAsia" w:ascii="仿宋" w:eastAsia="仿宋"/>
          <w:color w:val="000000"/>
          <w:sz w:val="32"/>
          <w:szCs w:val="32"/>
        </w:rPr>
        <w:t>万元，载客汽车0辆、金额0.00万元。截至</w:t>
      </w:r>
      <w:r>
        <w:rPr>
          <w:rFonts w:ascii="仿宋" w:eastAsia="仿宋"/>
          <w:color w:val="000000"/>
          <w:sz w:val="32"/>
          <w:szCs w:val="32"/>
        </w:rPr>
        <w:t>20</w:t>
      </w:r>
      <w:r>
        <w:rPr>
          <w:rFonts w:hint="eastAsia" w:ascii="仿宋" w:eastAsia="仿宋"/>
          <w:color w:val="000000"/>
          <w:sz w:val="32"/>
          <w:szCs w:val="32"/>
        </w:rPr>
        <w:t>21年</w:t>
      </w:r>
      <w:r>
        <w:rPr>
          <w:rFonts w:ascii="仿宋" w:eastAsia="仿宋"/>
          <w:color w:val="000000"/>
          <w:sz w:val="32"/>
          <w:szCs w:val="32"/>
        </w:rPr>
        <w:t>12</w:t>
      </w:r>
      <w:r>
        <w:rPr>
          <w:rFonts w:hint="eastAsia" w:ascii="仿宋" w:eastAsia="仿宋"/>
          <w:color w:val="000000"/>
          <w:sz w:val="32"/>
          <w:szCs w:val="32"/>
        </w:rPr>
        <w:t>月底，单位共有公务用车1辆，其中：轿车0辆、越野车1辆、载客汽车0辆。</w:t>
      </w:r>
    </w:p>
    <w:p>
      <w:pPr>
        <w:spacing w:line="600" w:lineRule="exact"/>
        <w:ind w:firstLine="640"/>
        <w:rPr>
          <w:rFonts w:ascii="仿宋" w:eastAsia="仿宋"/>
          <w:color w:val="000000"/>
          <w:sz w:val="32"/>
          <w:szCs w:val="32"/>
        </w:rPr>
      </w:pPr>
      <w:r>
        <w:rPr>
          <w:rFonts w:hint="eastAsia" w:ascii="仿宋" w:eastAsia="仿宋"/>
          <w:color w:val="000000"/>
          <w:sz w:val="32"/>
          <w:szCs w:val="32"/>
        </w:rPr>
        <w:t xml:space="preserve">公务用车运行维护费支出4.00万元。 </w:t>
      </w:r>
    </w:p>
    <w:p>
      <w:pPr>
        <w:spacing w:line="600" w:lineRule="exact"/>
        <w:ind w:firstLine="640"/>
        <w:rPr>
          <w:rFonts w:ascii="仿宋" w:eastAsia="仿宋"/>
          <w:color w:val="000000"/>
          <w:sz w:val="32"/>
          <w:szCs w:val="32"/>
        </w:rPr>
      </w:pPr>
      <w:r>
        <w:rPr>
          <w:rFonts w:hint="eastAsia" w:ascii="仿宋" w:eastAsia="仿宋"/>
          <w:color w:val="000000"/>
          <w:sz w:val="32"/>
          <w:szCs w:val="32"/>
        </w:rPr>
        <w:t>3.公务接待费支出0.21万元，完成预算100.00%。公务接待费支出决算比2020年增加0.05万元，增加23.08</w:t>
      </w:r>
      <w:r>
        <w:rPr>
          <w:rFonts w:ascii="仿宋" w:eastAsia="仿宋"/>
          <w:color w:val="000000"/>
          <w:sz w:val="32"/>
          <w:szCs w:val="32"/>
        </w:rPr>
        <w:t>%</w:t>
      </w:r>
      <w:r>
        <w:rPr>
          <w:rFonts w:hint="eastAsia" w:ascii="仿宋" w:eastAsia="仿宋"/>
          <w:color w:val="000000"/>
          <w:sz w:val="32"/>
          <w:szCs w:val="32"/>
        </w:rPr>
        <w:t>。</w:t>
      </w:r>
      <w:bookmarkStart w:id="57" w:name="_Toc15377218"/>
      <w:r>
        <w:rPr>
          <w:rFonts w:hint="eastAsia" w:ascii="仿宋" w:eastAsia="仿宋"/>
          <w:color w:val="000000"/>
          <w:sz w:val="32"/>
          <w:szCs w:val="32"/>
        </w:rPr>
        <w:t xml:space="preserve">主要原因是项目增加。 </w:t>
      </w:r>
    </w:p>
    <w:p>
      <w:pPr>
        <w:spacing w:line="600" w:lineRule="exact"/>
        <w:ind w:firstLine="640"/>
        <w:rPr>
          <w:rFonts w:ascii="仿宋" w:eastAsia="仿宋"/>
          <w:color w:val="000000"/>
          <w:sz w:val="32"/>
          <w:szCs w:val="32"/>
        </w:rPr>
      </w:pPr>
      <w:r>
        <w:rPr>
          <w:rFonts w:hint="eastAsia" w:ascii="仿宋" w:eastAsia="仿宋"/>
          <w:color w:val="000000"/>
          <w:sz w:val="32"/>
          <w:szCs w:val="32"/>
        </w:rPr>
        <w:t>国内公务接待支出0.21万元。国内公务接待5批次，30人次（不包括陪同人员）。</w:t>
      </w:r>
    </w:p>
    <w:p>
      <w:pPr>
        <w:pStyle w:val="2"/>
        <w:rPr>
          <w:rFonts w:ascii="仿宋" w:eastAsia="仿宋"/>
          <w:color w:val="000000"/>
          <w:sz w:val="32"/>
          <w:szCs w:val="32"/>
        </w:rPr>
      </w:pPr>
      <w:r>
        <w:rPr>
          <w:rFonts w:hint="eastAsia" w:ascii="仿宋" w:eastAsia="仿宋"/>
          <w:color w:val="000000"/>
          <w:sz w:val="32"/>
          <w:szCs w:val="32"/>
        </w:rPr>
        <w:t>外事接待支出0.00万元，外事接待0批次，0人，共计支出0.00万元。</w:t>
      </w:r>
    </w:p>
    <w:p>
      <w:pPr>
        <w:pStyle w:val="4"/>
        <w:ind w:firstLine="643" w:firstLineChars="200"/>
        <w:rPr>
          <w:rFonts w:ascii="黑体" w:eastAsia="黑体" w:cs="Times New Roman"/>
          <w:bCs w:val="0"/>
          <w:color w:val="000000"/>
        </w:rPr>
      </w:pPr>
      <w:bookmarkStart w:id="58" w:name="_Toc111208506"/>
      <w:bookmarkStart w:id="59" w:name="_Toc113981020"/>
      <w:r>
        <w:rPr>
          <w:rFonts w:hint="eastAsia" w:ascii="黑体" w:eastAsia="黑体" w:cs="Times New Roman"/>
          <w:bCs w:val="0"/>
          <w:color w:val="000000"/>
        </w:rPr>
        <w:t>八、政府性基金预算支出决算情况说明</w:t>
      </w:r>
      <w:bookmarkEnd w:id="57"/>
      <w:bookmarkEnd w:id="58"/>
      <w:bookmarkEnd w:id="59"/>
    </w:p>
    <w:p>
      <w:pPr>
        <w:spacing w:line="600" w:lineRule="exact"/>
        <w:ind w:firstLine="640"/>
        <w:rPr>
          <w:rFonts w:ascii="仿宋" w:eastAsia="仿宋"/>
        </w:rPr>
      </w:pPr>
      <w:r>
        <w:rPr>
          <w:rFonts w:hint="eastAsia" w:ascii="仿宋" w:eastAsia="仿宋"/>
          <w:color w:val="000000"/>
          <w:sz w:val="32"/>
          <w:szCs w:val="32"/>
        </w:rPr>
        <w:t>2021年政府性基金预算拨款支出0.00万元。</w:t>
      </w:r>
      <w:bookmarkStart w:id="60" w:name="_Toc15377219"/>
    </w:p>
    <w:p>
      <w:pPr>
        <w:pStyle w:val="4"/>
        <w:ind w:firstLine="643" w:firstLineChars="200"/>
        <w:rPr>
          <w:rFonts w:ascii="黑体" w:eastAsia="黑体" w:cs="Times New Roman"/>
          <w:bCs w:val="0"/>
          <w:color w:val="000000"/>
        </w:rPr>
      </w:pPr>
      <w:bookmarkStart w:id="61" w:name="_Toc113981021"/>
      <w:bookmarkStart w:id="62" w:name="_Toc111208507"/>
      <w:r>
        <w:rPr>
          <w:rFonts w:hint="eastAsia" w:ascii="黑体" w:eastAsia="黑体" w:cs="Times New Roman"/>
          <w:bCs w:val="0"/>
          <w:color w:val="000000"/>
        </w:rPr>
        <w:t>九、国有资本经营预算支出决算情况说明</w:t>
      </w:r>
      <w:bookmarkEnd w:id="60"/>
      <w:bookmarkEnd w:id="61"/>
      <w:bookmarkEnd w:id="62"/>
    </w:p>
    <w:p>
      <w:pPr>
        <w:spacing w:line="600" w:lineRule="exact"/>
        <w:ind w:firstLine="640"/>
        <w:rPr>
          <w:rFonts w:ascii="仿宋" w:eastAsia="仿宋"/>
        </w:rPr>
      </w:pPr>
      <w:r>
        <w:rPr>
          <w:rFonts w:hint="eastAsia" w:ascii="仿宋" w:eastAsia="仿宋"/>
          <w:color w:val="000000"/>
          <w:sz w:val="32"/>
          <w:szCs w:val="32"/>
        </w:rPr>
        <w:t>2021年国有资本经营预算拨款支出0.00万元。</w:t>
      </w:r>
    </w:p>
    <w:p>
      <w:pPr>
        <w:pStyle w:val="4"/>
        <w:ind w:firstLine="643" w:firstLineChars="200"/>
        <w:rPr>
          <w:rFonts w:ascii="黑体" w:eastAsia="黑体" w:cs="Times New Roman"/>
          <w:bCs w:val="0"/>
          <w:color w:val="000000"/>
        </w:rPr>
      </w:pPr>
      <w:bookmarkStart w:id="63" w:name="_Toc113981022"/>
      <w:bookmarkStart w:id="64" w:name="_Toc15377221"/>
      <w:bookmarkStart w:id="65" w:name="_Toc111208508"/>
      <w:r>
        <w:rPr>
          <w:rFonts w:hint="eastAsia" w:ascii="黑体" w:eastAsia="黑体" w:cs="Times New Roman"/>
          <w:bCs w:val="0"/>
          <w:color w:val="000000"/>
        </w:rPr>
        <w:t>十、其他重要事项的情况说明</w:t>
      </w:r>
      <w:bookmarkEnd w:id="63"/>
      <w:bookmarkEnd w:id="64"/>
      <w:bookmarkEnd w:id="65"/>
    </w:p>
    <w:p>
      <w:pPr>
        <w:spacing w:line="600" w:lineRule="exact"/>
        <w:ind w:firstLine="643" w:firstLineChars="200"/>
        <w:outlineLvl w:val="2"/>
        <w:rPr>
          <w:rFonts w:ascii="仿宋" w:eastAsia="仿宋"/>
          <w:b/>
          <w:color w:val="000000"/>
          <w:sz w:val="32"/>
          <w:szCs w:val="32"/>
        </w:rPr>
      </w:pPr>
      <w:bookmarkStart w:id="66" w:name="_Toc15377222"/>
      <w:r>
        <w:rPr>
          <w:rFonts w:hint="eastAsia" w:ascii="仿宋" w:eastAsia="仿宋"/>
          <w:b/>
          <w:color w:val="000000"/>
          <w:sz w:val="32"/>
          <w:szCs w:val="32"/>
        </w:rPr>
        <w:t>（一）机关运行经费支出情况</w:t>
      </w:r>
      <w:bookmarkEnd w:id="66"/>
    </w:p>
    <w:p>
      <w:pPr>
        <w:spacing w:line="600" w:lineRule="exact"/>
        <w:ind w:firstLine="640"/>
        <w:rPr>
          <w:rFonts w:ascii="仿宋" w:eastAsia="仿宋"/>
          <w:color w:val="000000"/>
          <w:sz w:val="32"/>
          <w:szCs w:val="32"/>
        </w:rPr>
      </w:pPr>
      <w:r>
        <w:rPr>
          <w:rFonts w:hint="eastAsia" w:ascii="仿宋" w:eastAsia="仿宋"/>
          <w:color w:val="000000"/>
          <w:sz w:val="32"/>
          <w:szCs w:val="32"/>
        </w:rPr>
        <w:t xml:space="preserve">2021年，机关运行经费支出12.75万元，比2020年增加1.15万元，增加9.94 %。 </w:t>
      </w:r>
    </w:p>
    <w:p>
      <w:pPr>
        <w:spacing w:line="600" w:lineRule="exact"/>
        <w:ind w:firstLine="643" w:firstLineChars="200"/>
        <w:outlineLvl w:val="2"/>
        <w:rPr>
          <w:rFonts w:ascii="仿宋" w:eastAsia="仿宋"/>
          <w:b/>
          <w:color w:val="000000"/>
          <w:sz w:val="32"/>
          <w:szCs w:val="32"/>
        </w:rPr>
      </w:pPr>
      <w:bookmarkStart w:id="67" w:name="_Toc15377223"/>
      <w:r>
        <w:rPr>
          <w:rFonts w:hint="eastAsia" w:ascii="仿宋" w:eastAsia="仿宋"/>
          <w:b/>
          <w:color w:val="000000"/>
          <w:sz w:val="32"/>
          <w:szCs w:val="32"/>
        </w:rPr>
        <w:t>（二）政府采购支出情况</w:t>
      </w:r>
      <w:bookmarkEnd w:id="67"/>
      <w:r>
        <w:rPr>
          <w:rFonts w:hint="eastAsia" w:ascii="仿宋" w:eastAsia="仿宋"/>
          <w:b/>
          <w:color w:val="000000"/>
          <w:sz w:val="32"/>
          <w:szCs w:val="32"/>
        </w:rPr>
        <w:t>(机构运行信息表)</w:t>
      </w:r>
    </w:p>
    <w:p>
      <w:pPr>
        <w:spacing w:line="600" w:lineRule="exact"/>
        <w:ind w:firstLine="640"/>
        <w:rPr>
          <w:rFonts w:ascii="仿宋_GB2312" w:eastAsia="仿宋_GB2312"/>
          <w:color w:val="000000"/>
          <w:sz w:val="32"/>
          <w:szCs w:val="32"/>
        </w:rPr>
      </w:pPr>
      <w:r>
        <w:rPr>
          <w:rFonts w:hint="eastAsia" w:ascii="仿宋" w:eastAsia="仿宋"/>
          <w:color w:val="000000"/>
          <w:sz w:val="32"/>
          <w:szCs w:val="32"/>
        </w:rPr>
        <w:t>2021年，政府采购支出总额0.00万元，其中：政府采购货物支出0.00万元、政府采购工程支出0.00万元、政府采购服务支出0.00万元。授予中小企业合同金额0.00万元，其中：授予小微企业合同金额0.00万元，占总合同的0.00%。</w:t>
      </w:r>
    </w:p>
    <w:p>
      <w:pPr>
        <w:spacing w:line="600" w:lineRule="exact"/>
        <w:ind w:firstLine="643" w:firstLineChars="200"/>
        <w:outlineLvl w:val="2"/>
        <w:rPr>
          <w:rFonts w:ascii="仿宋" w:eastAsia="仿宋"/>
          <w:b/>
          <w:color w:val="000000"/>
          <w:sz w:val="32"/>
          <w:szCs w:val="32"/>
        </w:rPr>
      </w:pPr>
      <w:bookmarkStart w:id="68" w:name="_Toc15377224"/>
      <w:r>
        <w:rPr>
          <w:rFonts w:hint="eastAsia" w:ascii="仿宋" w:eastAsia="仿宋"/>
          <w:b/>
          <w:color w:val="000000"/>
          <w:sz w:val="32"/>
          <w:szCs w:val="32"/>
        </w:rPr>
        <w:t>（三）国有资产占有使用情况</w:t>
      </w:r>
      <w:bookmarkEnd w:id="68"/>
    </w:p>
    <w:p>
      <w:pPr>
        <w:spacing w:line="600" w:lineRule="exact"/>
        <w:ind w:firstLine="640"/>
        <w:rPr>
          <w:rFonts w:ascii="仿宋" w:eastAsia="仿宋"/>
          <w:color w:val="000000"/>
          <w:sz w:val="32"/>
          <w:szCs w:val="32"/>
        </w:rPr>
      </w:pPr>
      <w:r>
        <w:rPr>
          <w:rFonts w:hint="eastAsia" w:ascii="仿宋" w:eastAsia="仿宋"/>
          <w:color w:val="000000"/>
          <w:sz w:val="32"/>
          <w:szCs w:val="32"/>
        </w:rPr>
        <w:t>截至2021年</w:t>
      </w:r>
      <w:r>
        <w:rPr>
          <w:rFonts w:ascii="仿宋" w:eastAsia="仿宋"/>
          <w:color w:val="000000"/>
          <w:sz w:val="32"/>
          <w:szCs w:val="32"/>
        </w:rPr>
        <w:t>12</w:t>
      </w:r>
      <w:r>
        <w:rPr>
          <w:rFonts w:hint="eastAsia" w:ascii="仿宋" w:eastAsia="仿宋"/>
          <w:color w:val="000000"/>
          <w:sz w:val="32"/>
          <w:szCs w:val="32"/>
        </w:rPr>
        <w:t>月</w:t>
      </w:r>
      <w:r>
        <w:rPr>
          <w:rFonts w:ascii="仿宋" w:eastAsia="仿宋"/>
          <w:color w:val="000000"/>
          <w:sz w:val="32"/>
          <w:szCs w:val="32"/>
        </w:rPr>
        <w:t>31</w:t>
      </w:r>
      <w:r>
        <w:rPr>
          <w:rFonts w:hint="eastAsia" w:ascii="仿宋" w:eastAsia="仿宋"/>
          <w:color w:val="000000"/>
          <w:sz w:val="32"/>
          <w:szCs w:val="32"/>
        </w:rPr>
        <w:t>日，共有车辆1辆，其中：主要领导干部用车0辆、机要通信用车0辆、应急保障用车1辆、其他用车0辆。单价</w:t>
      </w:r>
      <w:r>
        <w:rPr>
          <w:rFonts w:ascii="仿宋" w:eastAsia="仿宋"/>
          <w:color w:val="000000"/>
          <w:sz w:val="32"/>
          <w:szCs w:val="32"/>
        </w:rPr>
        <w:t>50</w:t>
      </w:r>
      <w:r>
        <w:rPr>
          <w:rFonts w:hint="eastAsia" w:ascii="仿宋" w:eastAsia="仿宋"/>
          <w:color w:val="000000"/>
          <w:sz w:val="32"/>
          <w:szCs w:val="32"/>
        </w:rPr>
        <w:t>万元以上通用设备0台（套），单价</w:t>
      </w:r>
      <w:r>
        <w:rPr>
          <w:rFonts w:ascii="仿宋" w:eastAsia="仿宋"/>
          <w:color w:val="000000"/>
          <w:sz w:val="32"/>
          <w:szCs w:val="32"/>
        </w:rPr>
        <w:t>100</w:t>
      </w:r>
      <w:r>
        <w:rPr>
          <w:rFonts w:hint="eastAsia" w:ascii="仿宋" w:eastAsia="仿宋"/>
          <w:color w:val="000000"/>
          <w:sz w:val="32"/>
          <w:szCs w:val="32"/>
        </w:rPr>
        <w:t>万元以上专用设备0台（套）。</w:t>
      </w:r>
    </w:p>
    <w:p>
      <w:pPr>
        <w:spacing w:line="600" w:lineRule="exact"/>
        <w:ind w:firstLine="643" w:firstLineChars="200"/>
        <w:outlineLvl w:val="2"/>
        <w:rPr>
          <w:rFonts w:ascii="仿宋" w:eastAsia="仿宋"/>
          <w:b/>
          <w:color w:val="000000"/>
          <w:sz w:val="32"/>
          <w:szCs w:val="32"/>
        </w:rPr>
      </w:pPr>
      <w:r>
        <w:rPr>
          <w:rFonts w:hint="eastAsia" w:ascii="仿宋" w:eastAsia="仿宋"/>
          <w:b/>
          <w:color w:val="000000"/>
          <w:sz w:val="32"/>
          <w:szCs w:val="32"/>
        </w:rPr>
        <w:t>（四）预算绩效管理情况</w:t>
      </w:r>
    </w:p>
    <w:p>
      <w:pPr>
        <w:spacing w:line="576" w:lineRule="exact"/>
        <w:ind w:firstLine="640" w:firstLineChars="200"/>
        <w:outlineLvl w:val="1"/>
        <w:rPr>
          <w:rFonts w:hint="eastAsia" w:ascii="仿宋" w:eastAsia="仿宋"/>
          <w:color w:val="000000"/>
          <w:sz w:val="32"/>
          <w:szCs w:val="32"/>
        </w:rPr>
      </w:pPr>
      <w:r>
        <w:rPr>
          <w:rFonts w:hint="eastAsia" w:ascii="仿宋" w:eastAsia="仿宋"/>
          <w:color w:val="000000"/>
          <w:sz w:val="32"/>
          <w:szCs w:val="32"/>
        </w:rPr>
        <w:t xml:space="preserve"> 本部门在2020年度部门决算中反映</w:t>
      </w:r>
      <w:r>
        <w:rPr>
          <w:rFonts w:hint="eastAsia" w:ascii="仿宋" w:eastAsia="仿宋"/>
          <w:color w:val="000000"/>
          <w:sz w:val="32"/>
          <w:szCs w:val="32"/>
          <w:lang w:val="en-US" w:eastAsia="zh-CN"/>
        </w:rPr>
        <w:t>财政衔接推进乡村振兴补助资金（少数民族发展任务）及统筹整合使用财政涉农资金项目</w:t>
      </w:r>
      <w:r>
        <w:rPr>
          <w:rFonts w:ascii="仿宋" w:eastAsia="仿宋"/>
          <w:color w:val="000000"/>
          <w:sz w:val="32"/>
          <w:szCs w:val="32"/>
          <w:lang w:val="en-US" w:eastAsia="zh-CN"/>
        </w:rPr>
        <w:t>和</w:t>
      </w:r>
      <w:r>
        <w:rPr>
          <w:rFonts w:ascii="仿宋" w:eastAsia="仿宋"/>
          <w:color w:val="000000"/>
          <w:sz w:val="32"/>
          <w:szCs w:val="32"/>
        </w:rPr>
        <w:t>铸牢中华民族共同体意识工作项目</w:t>
      </w:r>
      <w:r>
        <w:rPr>
          <w:rFonts w:hint="eastAsia" w:ascii="仿宋" w:eastAsia="仿宋"/>
          <w:color w:val="000000"/>
          <w:sz w:val="32"/>
          <w:szCs w:val="32"/>
        </w:rPr>
        <w:t>效目标实际完成情况。</w:t>
      </w:r>
    </w:p>
    <w:p>
      <w:pPr>
        <w:spacing w:line="576" w:lineRule="exact"/>
        <w:ind w:left="319" w:leftChars="152" w:firstLine="0" w:firstLineChars="0"/>
        <w:jc w:val="left"/>
        <w:outlineLvl w:val="1"/>
        <w:rPr>
          <w:rFonts w:ascii="楷体_GB2312" w:eastAsia="楷体_GB2312" w:cs="楷体_GB2312"/>
          <w:sz w:val="32"/>
          <w:szCs w:val="32"/>
        </w:rPr>
      </w:pPr>
      <w:r>
        <w:rPr>
          <w:rFonts w:ascii="楷体_GB2312" w:eastAsia="楷体_GB2312" w:cs="楷体_GB2312"/>
          <w:sz w:val="32"/>
          <w:szCs w:val="32"/>
        </w:rPr>
        <w:t>1.</w:t>
      </w:r>
      <w:r>
        <w:rPr>
          <w:rFonts w:hint="eastAsia" w:ascii="楷体_GB2312" w:eastAsia="楷体_GB2312" w:cs="楷体_GB2312"/>
          <w:sz w:val="32"/>
          <w:szCs w:val="32"/>
        </w:rPr>
        <w:t>项目绩效目标完成情况。</w:t>
      </w:r>
    </w:p>
    <w:p>
      <w:pPr>
        <w:spacing w:line="576" w:lineRule="exact"/>
        <w:ind w:firstLine="480" w:firstLineChars="150"/>
        <w:jc w:val="left"/>
        <w:outlineLvl w:val="1"/>
        <w:rPr>
          <w:rFonts w:hint="eastAsia" w:ascii="仿宋" w:eastAsia="仿宋" w:cs="楷体_GB2312"/>
          <w:color w:val="000000"/>
          <w:sz w:val="32"/>
          <w:szCs w:val="32"/>
        </w:rPr>
      </w:pPr>
      <w:r>
        <w:rPr>
          <w:rFonts w:hint="eastAsia" w:ascii="仿宋" w:eastAsia="仿宋"/>
          <w:color w:val="000000"/>
          <w:sz w:val="32"/>
          <w:szCs w:val="32"/>
        </w:rPr>
        <w:t>（1）两资和民族事业发展金项目绩效目标完成情况综述。项目全年预算数461万元，执行数为461万元，完成预算的100%。通过项目实施，</w:t>
      </w:r>
      <w:r>
        <w:rPr>
          <w:rFonts w:hint="eastAsia" w:ascii="仿宋" w:eastAsia="仿宋"/>
          <w:color w:val="000000"/>
          <w:sz w:val="32"/>
          <w:szCs w:val="32"/>
          <w:lang w:val="en-US" w:eastAsia="zh-CN"/>
        </w:rPr>
        <w:t>改善农村产业道路、</w:t>
      </w:r>
      <w:r>
        <w:rPr>
          <w:rFonts w:hint="eastAsia" w:ascii="仿宋" w:eastAsia="仿宋" w:cs="宋体"/>
          <w:color w:val="000000"/>
          <w:sz w:val="32"/>
          <w:szCs w:val="32"/>
        </w:rPr>
        <w:t>灌溉</w:t>
      </w:r>
      <w:r>
        <w:rPr>
          <w:rFonts w:hint="eastAsia" w:ascii="仿宋" w:eastAsia="仿宋"/>
          <w:color w:val="000000"/>
          <w:sz w:val="32"/>
          <w:szCs w:val="32"/>
          <w:lang w:val="en-US" w:eastAsia="zh-CN"/>
        </w:rPr>
        <w:t>、基础设施短板</w:t>
      </w:r>
      <w:r>
        <w:rPr>
          <w:rFonts w:hint="eastAsia" w:ascii="仿宋" w:eastAsia="仿宋" w:cs="宋体"/>
          <w:color w:val="000000"/>
          <w:sz w:val="32"/>
          <w:szCs w:val="32"/>
        </w:rPr>
        <w:t>等基础设</w:t>
      </w:r>
      <w:r>
        <w:rPr>
          <w:rFonts w:hint="eastAsia" w:ascii="仿宋" w:eastAsia="仿宋"/>
          <w:color w:val="000000"/>
          <w:sz w:val="32"/>
          <w:szCs w:val="32"/>
          <w:lang w:val="en-US" w:eastAsia="zh-CN"/>
        </w:rPr>
        <w:t>来</w:t>
      </w:r>
      <w:r>
        <w:rPr>
          <w:rFonts w:hint="eastAsia" w:ascii="仿宋" w:eastAsia="仿宋"/>
          <w:color w:val="000000"/>
          <w:sz w:val="32"/>
          <w:szCs w:val="32"/>
          <w:lang w:eastAsia="zh-CN"/>
        </w:rPr>
        <w:t>改善少数民族群众生产生活条件</w:t>
      </w:r>
      <w:r>
        <w:rPr>
          <w:rFonts w:hint="eastAsia" w:ascii="仿宋" w:eastAsia="仿宋"/>
          <w:color w:val="000000"/>
          <w:sz w:val="32"/>
          <w:szCs w:val="32"/>
          <w:lang w:val="en-US" w:eastAsia="zh-CN"/>
        </w:rPr>
        <w:t>的项目，取得了较好效益。</w:t>
      </w:r>
      <w:r>
        <w:rPr>
          <w:rFonts w:hint="eastAsia" w:ascii="仿宋" w:eastAsia="仿宋"/>
          <w:color w:val="000000"/>
          <w:sz w:val="32"/>
          <w:szCs w:val="32"/>
          <w:lang w:eastAsia="zh-CN"/>
        </w:rPr>
        <w:t>社会效益方面，道路、农田水利等基础设施项目的实施，有效解决了老百姓安全出行、安全饮水、灌溉、农产品运输等方面的困难,扶持地民生条件得到有效改善，</w:t>
      </w:r>
      <w:r>
        <w:rPr>
          <w:rFonts w:hint="eastAsia" w:ascii="仿宋" w:eastAsia="仿宋"/>
          <w:color w:val="000000"/>
          <w:sz w:val="32"/>
          <w:szCs w:val="32"/>
        </w:rPr>
        <w:t>下一步改进措施：通过团结进步新村、少数民族特色村寨的辐射效应带动全县农村经济发展。</w:t>
      </w:r>
    </w:p>
    <w:p>
      <w:pPr>
        <w:spacing w:line="576" w:lineRule="exact"/>
        <w:ind w:firstLine="640" w:firstLineChars="200"/>
        <w:outlineLvl w:val="1"/>
        <w:rPr>
          <w:rFonts w:hint="eastAsia" w:ascii="仿宋" w:eastAsia="仿宋"/>
          <w:color w:val="000000"/>
          <w:sz w:val="32"/>
          <w:szCs w:val="32"/>
        </w:rPr>
      </w:pPr>
      <w:r>
        <w:rPr>
          <w:rFonts w:hint="eastAsia" w:ascii="仿宋" w:eastAsia="仿宋"/>
          <w:color w:val="000000"/>
          <w:sz w:val="32"/>
          <w:szCs w:val="32"/>
        </w:rPr>
        <w:t>（</w:t>
      </w:r>
      <w:r>
        <w:rPr>
          <w:rFonts w:ascii="仿宋" w:eastAsia="仿宋"/>
          <w:color w:val="000000"/>
          <w:sz w:val="32"/>
          <w:szCs w:val="32"/>
        </w:rPr>
        <w:t>2</w:t>
      </w:r>
      <w:r>
        <w:rPr>
          <w:rFonts w:hint="eastAsia" w:ascii="仿宋" w:eastAsia="仿宋"/>
          <w:color w:val="000000"/>
          <w:sz w:val="32"/>
          <w:szCs w:val="32"/>
        </w:rPr>
        <w:t>）</w:t>
      </w:r>
      <w:r>
        <w:rPr>
          <w:rFonts w:ascii="仿宋" w:eastAsia="仿宋"/>
          <w:color w:val="000000"/>
          <w:sz w:val="32"/>
          <w:szCs w:val="32"/>
        </w:rPr>
        <w:t>铸牢中华民族共同体意识工作项目</w:t>
      </w:r>
      <w:r>
        <w:rPr>
          <w:rFonts w:hint="eastAsia" w:ascii="仿宋" w:eastAsia="仿宋"/>
          <w:color w:val="000000"/>
          <w:sz w:val="32"/>
          <w:szCs w:val="32"/>
        </w:rPr>
        <w:t>绩效目标完成情况综述。项目全年预算数</w:t>
      </w:r>
      <w:r>
        <w:rPr>
          <w:rFonts w:ascii="仿宋" w:eastAsia="仿宋"/>
          <w:color w:val="000000"/>
          <w:sz w:val="32"/>
          <w:szCs w:val="32"/>
        </w:rPr>
        <w:t>100</w:t>
      </w:r>
      <w:r>
        <w:rPr>
          <w:rFonts w:hint="eastAsia" w:ascii="仿宋" w:eastAsia="仿宋"/>
          <w:color w:val="000000"/>
          <w:sz w:val="32"/>
          <w:szCs w:val="32"/>
        </w:rPr>
        <w:t>万元，执行数为</w:t>
      </w:r>
      <w:r>
        <w:rPr>
          <w:rFonts w:hint="eastAsia" w:ascii="仿宋" w:eastAsia="仿宋" w:cs="宋体"/>
          <w:color w:val="000000"/>
          <w:sz w:val="32"/>
          <w:szCs w:val="32"/>
          <w:lang w:eastAsia="zh-CN"/>
        </w:rPr>
        <w:t>85</w:t>
      </w:r>
      <w:r>
        <w:rPr>
          <w:rFonts w:ascii="仿宋" w:eastAsia="仿宋" w:cs="宋体"/>
          <w:color w:val="000000"/>
          <w:sz w:val="32"/>
          <w:szCs w:val="32"/>
          <w:lang w:eastAsia="zh-CN"/>
        </w:rPr>
        <w:t>.</w:t>
      </w:r>
      <w:r>
        <w:rPr>
          <w:rFonts w:hint="eastAsia" w:ascii="仿宋" w:eastAsia="仿宋" w:cs="宋体"/>
          <w:color w:val="000000"/>
          <w:sz w:val="32"/>
          <w:szCs w:val="32"/>
          <w:lang w:eastAsia="zh-CN"/>
        </w:rPr>
        <w:t>78</w:t>
      </w:r>
      <w:r>
        <w:rPr>
          <w:rFonts w:hint="eastAsia" w:ascii="仿宋" w:eastAsia="仿宋"/>
          <w:color w:val="000000"/>
          <w:sz w:val="32"/>
          <w:szCs w:val="32"/>
        </w:rPr>
        <w:t>万元。完成预算的</w:t>
      </w:r>
      <w:r>
        <w:rPr>
          <w:rFonts w:ascii="仿宋" w:eastAsia="仿宋"/>
          <w:color w:val="000000"/>
          <w:sz w:val="32"/>
          <w:szCs w:val="32"/>
        </w:rPr>
        <w:t>85.78</w:t>
      </w:r>
      <w:r>
        <w:rPr>
          <w:rFonts w:hint="eastAsia" w:ascii="仿宋" w:eastAsia="仿宋"/>
          <w:color w:val="000000"/>
          <w:sz w:val="32"/>
          <w:szCs w:val="32"/>
        </w:rPr>
        <w:t>%。通过项目实施，发挥了</w:t>
      </w:r>
      <w:r>
        <w:rPr>
          <w:rFonts w:ascii="仿宋" w:eastAsia="仿宋"/>
          <w:color w:val="000000"/>
          <w:sz w:val="32"/>
          <w:szCs w:val="32"/>
        </w:rPr>
        <w:t>县域氛围营造，通过新媒体平台大力开展宣传教育工作，充分发挥示范点模范作用，</w:t>
      </w:r>
      <w:r>
        <w:rPr>
          <w:rFonts w:hint="eastAsia" w:ascii="仿宋" w:eastAsia="仿宋"/>
          <w:color w:val="000000"/>
          <w:sz w:val="32"/>
          <w:szCs w:val="32"/>
        </w:rPr>
        <w:t>全面</w:t>
      </w:r>
      <w:r>
        <w:rPr>
          <w:rFonts w:ascii="仿宋" w:eastAsia="仿宋"/>
          <w:color w:val="000000"/>
          <w:sz w:val="32"/>
          <w:szCs w:val="32"/>
        </w:rPr>
        <w:t>巩固</w:t>
      </w:r>
      <w:r>
        <w:rPr>
          <w:rFonts w:hint="eastAsia" w:ascii="仿宋" w:eastAsia="仿宋"/>
          <w:color w:val="000000"/>
          <w:sz w:val="32"/>
          <w:szCs w:val="32"/>
        </w:rPr>
        <w:t>我县民族团结进步创建成果，推动民族团结进步创建工作</w:t>
      </w:r>
      <w:r>
        <w:rPr>
          <w:rFonts w:ascii="仿宋" w:eastAsia="仿宋"/>
          <w:color w:val="000000"/>
          <w:sz w:val="32"/>
          <w:szCs w:val="32"/>
        </w:rPr>
        <w:t>再上新台阶，不断铸牢中华民族共同体意识</w:t>
      </w:r>
      <w:r>
        <w:rPr>
          <w:rFonts w:hint="eastAsia" w:ascii="仿宋" w:eastAsia="仿宋"/>
          <w:color w:val="000000"/>
          <w:sz w:val="32"/>
          <w:szCs w:val="32"/>
        </w:rPr>
        <w:t>。下一步改进措施：下一步将继续提升</w:t>
      </w:r>
      <w:r>
        <w:rPr>
          <w:rFonts w:ascii="仿宋" w:eastAsia="仿宋"/>
          <w:color w:val="000000"/>
          <w:sz w:val="32"/>
          <w:szCs w:val="32"/>
        </w:rPr>
        <w:t>巩固</w:t>
      </w:r>
      <w:r>
        <w:rPr>
          <w:rFonts w:hint="eastAsia" w:ascii="仿宋" w:eastAsia="仿宋"/>
          <w:color w:val="000000"/>
          <w:sz w:val="32"/>
          <w:szCs w:val="32"/>
        </w:rPr>
        <w:t>全国民族团结进步示范县成果，</w:t>
      </w:r>
      <w:r>
        <w:rPr>
          <w:rFonts w:ascii="仿宋" w:eastAsia="仿宋"/>
          <w:color w:val="000000"/>
          <w:sz w:val="32"/>
          <w:szCs w:val="32"/>
        </w:rPr>
        <w:t>铸</w:t>
      </w:r>
      <w:r>
        <w:rPr>
          <w:rFonts w:hint="eastAsia" w:ascii="仿宋" w:eastAsia="仿宋"/>
          <w:color w:val="000000"/>
          <w:sz w:val="32"/>
          <w:szCs w:val="32"/>
        </w:rPr>
        <w:t>牢中华民族共同体意识。</w:t>
      </w:r>
    </w:p>
    <w:p>
      <w:pPr>
        <w:pStyle w:val="2"/>
        <w:ind w:firstLine="680"/>
      </w:pPr>
    </w:p>
    <w:p>
      <w:pPr>
        <w:pStyle w:val="2"/>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tbl>
      <w:tblPr>
        <w:tblStyle w:val="17"/>
        <w:tblpPr w:leftFromText="180" w:rightFromText="180" w:vertAnchor="text" w:horzAnchor="page" w:tblpXSpec="center" w:tblpY="423"/>
        <w:tblOverlap w:val="never"/>
        <w:tblW w:w="99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89"/>
        <w:gridCol w:w="1364"/>
        <w:gridCol w:w="1023"/>
        <w:gridCol w:w="2388"/>
        <w:gridCol w:w="2390"/>
        <w:gridCol w:w="23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08" w:hRule="atLeast"/>
        </w:trPr>
        <w:tc>
          <w:tcPr>
            <w:tcW w:w="9942"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277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6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仿宋" w:eastAsia="仿宋"/>
                <w:color w:val="000000"/>
                <w:sz w:val="18"/>
                <w:szCs w:val="18"/>
                <w:lang w:val="en-US" w:eastAsia="zh-CN"/>
              </w:rPr>
              <w:t>财政衔接推进乡村振兴补助资金（少数民族发展任务）及统筹整合使用财政涉农资金项目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277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6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 w:eastAsia="仿宋" w:cs="宋体"/>
                <w:color w:val="000000"/>
                <w:sz w:val="18"/>
                <w:szCs w:val="18"/>
              </w:rPr>
              <w:t>茂县民族宗教局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38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38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3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 w:eastAsia="仿宋" w:cs="宋体"/>
                <w:color w:val="000000"/>
                <w:sz w:val="18"/>
                <w:szCs w:val="18"/>
              </w:rPr>
              <w:t>461</w:t>
            </w:r>
          </w:p>
        </w:tc>
        <w:tc>
          <w:tcPr>
            <w:tcW w:w="23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3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 w:eastAsia="仿宋" w:cs="宋体"/>
                <w:color w:val="000000"/>
                <w:sz w:val="18"/>
                <w:szCs w:val="18"/>
              </w:rPr>
              <w:t>461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8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 w:eastAsia="仿宋" w:cs="宋体"/>
                <w:color w:val="000000"/>
                <w:sz w:val="18"/>
                <w:szCs w:val="18"/>
              </w:rPr>
              <w:t>461</w:t>
            </w:r>
          </w:p>
        </w:tc>
        <w:tc>
          <w:tcPr>
            <w:tcW w:w="23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 w:eastAsia="仿宋" w:cs="宋体"/>
                <w:color w:val="000000"/>
                <w:sz w:val="18"/>
                <w:szCs w:val="18"/>
              </w:rPr>
              <w:t>461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48"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8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0</w:t>
            </w:r>
          </w:p>
        </w:tc>
        <w:tc>
          <w:tcPr>
            <w:tcW w:w="23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ascii="宋体" w:cs="宋体"/>
                <w:color w:val="000000"/>
                <w:sz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38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7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24"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7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通过项目实施，发挥了农村村组道路、灌溉等基础设施作用，极大的改善高半山地区群众出行条件。</w:t>
            </w:r>
          </w:p>
        </w:tc>
        <w:tc>
          <w:tcPr>
            <w:tcW w:w="477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实际完成了村高半山的加速高半山区农业产业结构调整、转型升级步伐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12" w:hRule="atLeast"/>
        </w:trPr>
        <w:tc>
          <w:tcPr>
            <w:tcW w:w="389"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3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1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ind w:firstLine="480" w:firstLineChars="200"/>
              <w:jc w:val="center"/>
              <w:textAlignment w:val="center"/>
              <w:rPr>
                <w:rFonts w:ascii="宋体" w:cs="宋体"/>
                <w:color w:val="000000"/>
                <w:sz w:val="24"/>
              </w:rPr>
            </w:pPr>
            <w:r>
              <w:rPr>
                <w:rFonts w:hint="eastAsia" w:ascii="宋体" w:cs="宋体"/>
                <w:color w:val="000000"/>
                <w:sz w:val="24"/>
              </w:rPr>
              <w:t>质量指标</w:t>
            </w:r>
          </w:p>
        </w:tc>
        <w:tc>
          <w:tcPr>
            <w:tcW w:w="23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ind w:firstLine="480" w:firstLineChars="200"/>
              <w:jc w:val="center"/>
              <w:textAlignment w:val="center"/>
              <w:rPr>
                <w:rFonts w:ascii="宋体" w:cs="宋体"/>
                <w:color w:val="000000"/>
                <w:sz w:val="24"/>
              </w:rPr>
            </w:pPr>
            <w:r>
              <w:rPr>
                <w:rFonts w:hint="eastAsia" w:ascii="宋体" w:cs="宋体"/>
                <w:color w:val="000000"/>
                <w:sz w:val="24"/>
              </w:rPr>
              <w:t>完成项目进度</w:t>
            </w:r>
          </w:p>
        </w:tc>
        <w:tc>
          <w:tcPr>
            <w:tcW w:w="23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ind w:firstLine="480" w:firstLineChars="200"/>
              <w:jc w:val="center"/>
              <w:textAlignment w:val="center"/>
              <w:rPr>
                <w:rFonts w:ascii="宋体" w:cs="宋体"/>
                <w:color w:val="000000"/>
                <w:sz w:val="24"/>
              </w:rPr>
            </w:pPr>
            <w:r>
              <w:rPr>
                <w:rFonts w:hint="eastAsia" w:ascii="宋体" w:cs="宋体"/>
                <w:color w:val="000000"/>
                <w:sz w:val="24"/>
              </w:rPr>
              <w:t>202</w:t>
            </w:r>
            <w:r>
              <w:rPr>
                <w:rFonts w:ascii="宋体" w:cs="宋体"/>
                <w:color w:val="000000"/>
                <w:sz w:val="24"/>
              </w:rPr>
              <w:t>1</w:t>
            </w:r>
          </w:p>
        </w:tc>
        <w:tc>
          <w:tcPr>
            <w:tcW w:w="23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ind w:firstLine="480" w:firstLineChars="200"/>
              <w:jc w:val="center"/>
              <w:textAlignment w:val="center"/>
              <w:rPr>
                <w:rFonts w:ascii="宋体" w:cs="宋体"/>
                <w:color w:val="000000"/>
                <w:sz w:val="24"/>
              </w:rPr>
            </w:pPr>
            <w:r>
              <w:rPr>
                <w:rFonts w:hint="eastAsia" w:ascii="宋体" w:cs="宋体"/>
                <w:color w:val="000000"/>
                <w:sz w:val="24"/>
              </w:rPr>
              <w:t>完成了高半山灌溉道路等建设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1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cs="宋体"/>
                <w:color w:val="000000"/>
                <w:sz w:val="24"/>
              </w:rPr>
              <w:t>社会效益</w:t>
            </w:r>
          </w:p>
        </w:tc>
        <w:tc>
          <w:tcPr>
            <w:tcW w:w="23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cs="宋体"/>
                <w:color w:val="000000"/>
                <w:sz w:val="24"/>
              </w:rPr>
              <w:t>长期</w:t>
            </w:r>
          </w:p>
        </w:tc>
        <w:tc>
          <w:tcPr>
            <w:tcW w:w="23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cs="宋体"/>
                <w:color w:val="000000"/>
                <w:sz w:val="24"/>
              </w:rPr>
              <w:t>长期为群众的出行提供便利</w:t>
            </w:r>
          </w:p>
        </w:tc>
        <w:tc>
          <w:tcPr>
            <w:tcW w:w="23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s="宋体"/>
                <w:color w:val="000000"/>
                <w:sz w:val="24"/>
              </w:rPr>
            </w:pPr>
            <w:r>
              <w:rPr>
                <w:rFonts w:hint="eastAsia" w:ascii="宋体" w:cs="宋体"/>
                <w:color w:val="000000"/>
                <w:sz w:val="24"/>
              </w:rPr>
              <w:t>带动全县农村经济发展。</w:t>
            </w:r>
          </w:p>
          <w:p>
            <w:pPr>
              <w:widowControl/>
              <w:spacing w:line="576" w:lineRule="exact"/>
              <w:ind w:firstLine="480" w:firstLineChars="200"/>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1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cs="宋体"/>
                <w:color w:val="000000"/>
                <w:sz w:val="24"/>
              </w:rPr>
              <w:t>群众满意度</w:t>
            </w:r>
          </w:p>
        </w:tc>
        <w:tc>
          <w:tcPr>
            <w:tcW w:w="23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rPr>
            </w:pPr>
            <w:r>
              <w:rPr>
                <w:rFonts w:hint="eastAsia" w:ascii="宋体" w:cs="宋体"/>
                <w:color w:val="000000"/>
                <w:sz w:val="24"/>
              </w:rPr>
              <w:t>群众满意度</w:t>
            </w:r>
          </w:p>
        </w:tc>
        <w:tc>
          <w:tcPr>
            <w:tcW w:w="23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cs="宋体"/>
                <w:color w:val="000000"/>
                <w:sz w:val="24"/>
              </w:rPr>
              <w:t>〉</w:t>
            </w:r>
            <w:r>
              <w:rPr>
                <w:rFonts w:ascii="宋体" w:cs="宋体"/>
                <w:color w:val="000000"/>
                <w:sz w:val="24"/>
              </w:rPr>
              <w:t>90%</w:t>
            </w:r>
          </w:p>
        </w:tc>
        <w:tc>
          <w:tcPr>
            <w:tcW w:w="23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jc w:val="center"/>
              <w:textAlignment w:val="center"/>
              <w:rPr>
                <w:rFonts w:ascii="宋体"/>
                <w:color w:val="000000"/>
                <w:sz w:val="24"/>
              </w:rPr>
            </w:pPr>
            <w:r>
              <w:rPr>
                <w:rFonts w:hint="eastAsia" w:ascii="宋体" w:cs="宋体"/>
                <w:color w:val="000000"/>
                <w:sz w:val="24"/>
              </w:rPr>
              <w:t>满意度达到</w:t>
            </w:r>
            <w:r>
              <w:rPr>
                <w:rFonts w:ascii="宋体" w:cs="宋体"/>
                <w:color w:val="000000"/>
                <w:sz w:val="24"/>
              </w:rPr>
              <w:t>100%</w:t>
            </w:r>
          </w:p>
        </w:tc>
      </w:tr>
    </w:tbl>
    <w:p>
      <w:pPr>
        <w:widowControl/>
        <w:jc w:val="left"/>
        <w:rPr>
          <w:rFonts w:ascii="仿宋_GB2312" w:eastAsia="仿宋_GB2312"/>
          <w:b/>
          <w:color w:val="000000"/>
          <w:sz w:val="32"/>
          <w:szCs w:val="32"/>
        </w:rPr>
      </w:pPr>
    </w:p>
    <w:tbl>
      <w:tblPr>
        <w:tblStyle w:val="17"/>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铸牢中华民族共同体意识工作项目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茂县民族宗教局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85</w:t>
            </w:r>
            <w:r>
              <w:rPr>
                <w:rFonts w:ascii="宋体" w:cs="宋体"/>
                <w:color w:val="000000"/>
                <w:sz w:val="24"/>
                <w:lang w:eastAsia="zh-CN"/>
              </w:rPr>
              <w:t>.</w:t>
            </w:r>
            <w:r>
              <w:rPr>
                <w:rFonts w:hint="eastAsia" w:ascii="宋体" w:cs="宋体"/>
                <w:color w:val="000000"/>
                <w:sz w:val="24"/>
                <w:lang w:eastAsia="zh-CN"/>
              </w:rPr>
              <w:t>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85</w:t>
            </w:r>
            <w:r>
              <w:rPr>
                <w:rFonts w:ascii="宋体" w:cs="宋体"/>
                <w:color w:val="000000"/>
                <w:sz w:val="24"/>
                <w:lang w:eastAsia="zh-CN"/>
              </w:rPr>
              <w:t>.</w:t>
            </w:r>
            <w:r>
              <w:rPr>
                <w:rFonts w:hint="eastAsia" w:ascii="宋体" w:cs="宋体"/>
                <w:color w:val="000000"/>
                <w:sz w:val="24"/>
                <w:lang w:eastAsia="zh-CN"/>
              </w:rPr>
              <w:t>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ascii="宋体" w:cs="宋体"/>
                <w:color w:val="000000"/>
                <w:sz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sz w:val="24"/>
              </w:rPr>
              <w:t>开展宣传教育工作，发挥示范点模范作用，巩固提升全国民族团结示范县成果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szCs w:val="32"/>
              </w:rPr>
              <w:t>建成具有全</w:t>
            </w:r>
            <w:r>
              <w:rPr>
                <w:szCs w:val="32"/>
              </w:rPr>
              <w:t>国</w:t>
            </w:r>
            <w:r>
              <w:rPr>
                <w:rFonts w:hint="eastAsia"/>
                <w:szCs w:val="32"/>
              </w:rPr>
              <w:t>综合示范效应的民族团结进步示范县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textAlignment w:val="center"/>
              <w:rPr>
                <w:rFonts w:ascii="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textAlignment w:val="center"/>
              <w:rPr>
                <w:rFonts w:ascii="宋体"/>
                <w:color w:val="000000"/>
                <w:sz w:val="24"/>
              </w:rPr>
            </w:pPr>
            <w:r>
              <w:rPr>
                <w:rFonts w:hint="eastAsia" w:ascii="宋体" w:cs="宋体"/>
                <w:color w:val="000000"/>
                <w:sz w:val="24"/>
              </w:rPr>
              <w:t>完成项目进度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cs="宋体"/>
                <w:color w:val="000000"/>
                <w:sz w:val="24"/>
              </w:rPr>
              <w:t>2020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textAlignment w:val="center"/>
              <w:rPr>
                <w:rFonts w:ascii="宋体"/>
                <w:color w:val="000000"/>
                <w:sz w:val="24"/>
              </w:rPr>
            </w:pPr>
            <w:r>
              <w:rPr>
                <w:rFonts w:hint="eastAsia" w:ascii="宋体" w:cs="宋体"/>
                <w:color w:val="000000"/>
                <w:sz w:val="24"/>
              </w:rPr>
              <w:t>完成了2020年省级级示范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textAlignment w:val="center"/>
              <w:rPr>
                <w:rFonts w:ascii="宋体"/>
                <w:color w:val="000000"/>
                <w:sz w:val="24"/>
              </w:rPr>
            </w:pPr>
            <w:r>
              <w:rPr>
                <w:rFonts w:hint="eastAsia" w:ascii="宋体" w:cs="宋体"/>
                <w:color w:val="000000"/>
                <w:sz w:val="24"/>
              </w:rPr>
              <w:t>社会效益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textAlignment w:val="center"/>
              <w:rPr>
                <w:rFonts w:ascii="宋体"/>
                <w:color w:val="000000"/>
                <w:sz w:val="24"/>
              </w:rPr>
            </w:pPr>
            <w:r>
              <w:rPr>
                <w:rFonts w:hint="eastAsia" w:ascii="宋体" w:cs="宋体"/>
                <w:color w:val="000000"/>
                <w:sz w:val="24"/>
              </w:rPr>
              <w:t>长期</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textAlignment w:val="center"/>
              <w:rPr>
                <w:rFonts w:ascii="宋体"/>
                <w:color w:val="000000"/>
                <w:sz w:val="24"/>
              </w:rPr>
            </w:pPr>
            <w:r>
              <w:rPr>
                <w:rFonts w:hint="eastAsia"/>
                <w:szCs w:val="32"/>
              </w:rPr>
              <w:t>全面反映我县民族团结进步创建成果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adjustRightInd w:val="0"/>
              <w:snapToGrid w:val="0"/>
              <w:spacing w:line="560" w:lineRule="exact"/>
              <w:rPr>
                <w:rFonts w:ascii="仿宋_GB2312" w:hAnsi="仿宋_GB2312"/>
                <w:szCs w:val="32"/>
                <w:lang w:val="zh-CN"/>
              </w:rPr>
            </w:pPr>
            <w:r>
              <w:rPr>
                <w:rFonts w:hint="eastAsia" w:ascii="仿宋_GB2312" w:hAnsi="仿宋_GB2312" w:cs="仿宋_GB2312"/>
                <w:szCs w:val="32"/>
              </w:rPr>
              <w:t>全面推动民族团结进步创建工作。</w:t>
            </w:r>
          </w:p>
          <w:p>
            <w:pPr>
              <w:widowControl/>
              <w:spacing w:line="576" w:lineRule="exact"/>
              <w:ind w:firstLine="480" w:firstLineChars="200"/>
              <w:jc w:val="center"/>
              <w:textAlignment w:val="center"/>
              <w:rPr>
                <w:rFonts w:ascii="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cs="宋体"/>
                <w:color w:val="000000"/>
                <w:sz w:val="24"/>
              </w:rPr>
              <w:t>群众满意度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textAlignment w:val="center"/>
              <w:rPr>
                <w:rFonts w:ascii="宋体"/>
                <w:color w:val="000000"/>
                <w:sz w:val="24"/>
              </w:rPr>
            </w:pPr>
            <w:r>
              <w:rPr>
                <w:rFonts w:hint="eastAsia" w:ascii="宋体" w:cs="宋体"/>
                <w:color w:val="000000"/>
                <w:sz w:val="24"/>
              </w:rPr>
              <w:t>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ind w:firstLine="480" w:firstLineChars="200"/>
              <w:jc w:val="center"/>
              <w:textAlignment w:val="center"/>
              <w:rPr>
                <w:rFonts w:ascii="宋体"/>
                <w:color w:val="000000"/>
                <w:sz w:val="24"/>
              </w:rPr>
            </w:pPr>
            <w:r>
              <w:rPr>
                <w:rFonts w:hint="eastAsia" w:ascii="宋体" w:cs="宋体"/>
                <w:color w:val="000000"/>
                <w:sz w:val="24"/>
              </w:rPr>
              <w:t>〉</w:t>
            </w:r>
            <w:r>
              <w:rPr>
                <w:rFonts w:asci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76" w:lineRule="exact"/>
              <w:textAlignment w:val="center"/>
              <w:rPr>
                <w:rFonts w:ascii="宋体"/>
                <w:color w:val="000000"/>
                <w:sz w:val="24"/>
              </w:rPr>
            </w:pPr>
            <w:r>
              <w:rPr>
                <w:rFonts w:hint="eastAsia" w:ascii="宋体" w:cs="宋体"/>
                <w:color w:val="000000"/>
                <w:sz w:val="24"/>
              </w:rPr>
              <w:t>满意度达到</w:t>
            </w:r>
            <w:r>
              <w:rPr>
                <w:rFonts w:ascii="宋体" w:cs="宋体"/>
                <w:color w:val="000000"/>
                <w:sz w:val="24"/>
              </w:rPr>
              <w:t>100%</w:t>
            </w:r>
          </w:p>
        </w:tc>
      </w:tr>
    </w:tbl>
    <w:p>
      <w:pPr>
        <w:pStyle w:val="2"/>
      </w:pPr>
    </w:p>
    <w:p>
      <w:pPr>
        <w:spacing w:line="580" w:lineRule="exact"/>
        <w:ind w:firstLine="480" w:firstLineChars="150"/>
        <w:rPr>
          <w:rFonts w:ascii="楷体_GB2312" w:eastAsia="楷体_GB2312" w:cs="楷体_GB2312"/>
          <w:sz w:val="32"/>
          <w:szCs w:val="32"/>
        </w:rPr>
      </w:pPr>
      <w:bookmarkStart w:id="69" w:name="_Toc113981023"/>
      <w:bookmarkStart w:id="70" w:name="_Toc111208509"/>
      <w:bookmarkStart w:id="71" w:name="_Toc15377225"/>
    </w:p>
    <w:p>
      <w:pPr>
        <w:spacing w:line="580" w:lineRule="exact"/>
        <w:ind w:firstLine="480" w:firstLineChars="150"/>
        <w:rPr>
          <w:rFonts w:ascii="楷体_GB2312" w:eastAsia="楷体_GB2312" w:cs="楷体_GB2312"/>
          <w:sz w:val="32"/>
          <w:szCs w:val="32"/>
        </w:rPr>
      </w:pPr>
    </w:p>
    <w:p>
      <w:pPr>
        <w:spacing w:line="580" w:lineRule="exact"/>
        <w:ind w:firstLine="480" w:firstLineChars="150"/>
        <w:rPr>
          <w:rFonts w:ascii="楷体_GB2312" w:eastAsia="楷体_GB2312" w:cs="楷体_GB2312"/>
          <w:sz w:val="32"/>
          <w:szCs w:val="32"/>
        </w:rPr>
      </w:pPr>
      <w:r>
        <w:rPr>
          <w:rFonts w:ascii="楷体_GB2312" w:eastAsia="楷体_GB2312" w:cs="楷体_GB2312"/>
          <w:sz w:val="32"/>
          <w:szCs w:val="32"/>
        </w:rPr>
        <w:t>2.</w:t>
      </w:r>
      <w:r>
        <w:rPr>
          <w:rFonts w:hint="eastAsia" w:ascii="楷体_GB2312" w:eastAsia="楷体_GB2312" w:cs="楷体_GB2312"/>
          <w:sz w:val="32"/>
          <w:szCs w:val="32"/>
        </w:rPr>
        <w:t>部门绩效评价结果。</w:t>
      </w:r>
    </w:p>
    <w:p>
      <w:pPr>
        <w:spacing w:line="576" w:lineRule="exact"/>
        <w:ind w:firstLine="640" w:firstLineChars="200"/>
        <w:rPr>
          <w:rFonts w:ascii="仿宋" w:eastAsia="仿宋" w:cs="仿宋_GB2312"/>
          <w:color w:val="000000"/>
          <w:sz w:val="32"/>
          <w:szCs w:val="32"/>
        </w:rPr>
      </w:pPr>
      <w:r>
        <w:rPr>
          <w:rFonts w:hint="eastAsia" w:ascii="仿宋" w:eastAsia="仿宋" w:cs="仿宋_GB2312"/>
          <w:color w:val="000000"/>
          <w:sz w:val="32"/>
          <w:szCs w:val="32"/>
        </w:rPr>
        <w:t>本部门按要求对202</w:t>
      </w:r>
      <w:r>
        <w:rPr>
          <w:rFonts w:ascii="仿宋" w:eastAsia="仿宋" w:cs="仿宋_GB2312"/>
          <w:color w:val="000000"/>
          <w:sz w:val="32"/>
          <w:szCs w:val="32"/>
        </w:rPr>
        <w:t>1</w:t>
      </w:r>
      <w:r>
        <w:rPr>
          <w:rFonts w:hint="eastAsia" w:ascii="仿宋" w:eastAsia="仿宋" w:cs="仿宋_GB2312"/>
          <w:color w:val="000000"/>
          <w:sz w:val="32"/>
          <w:szCs w:val="32"/>
        </w:rPr>
        <w:t>年部门整体支出绩效评价情况开展自评，《茂县民族宗教局202</w:t>
      </w:r>
      <w:r>
        <w:rPr>
          <w:rFonts w:ascii="仿宋" w:eastAsia="仿宋" w:cs="仿宋_GB2312"/>
          <w:color w:val="000000"/>
          <w:sz w:val="32"/>
          <w:szCs w:val="32"/>
        </w:rPr>
        <w:t>1</w:t>
      </w:r>
      <w:r>
        <w:rPr>
          <w:rFonts w:hint="eastAsia" w:ascii="仿宋" w:eastAsia="仿宋" w:cs="仿宋_GB2312"/>
          <w:color w:val="000000"/>
          <w:sz w:val="32"/>
          <w:szCs w:val="32"/>
        </w:rPr>
        <w:t>年部门整体支出绩效评价报告》见附件</w:t>
      </w:r>
    </w:p>
    <w:p>
      <w:pPr>
        <w:pStyle w:val="3"/>
        <w:jc w:val="center"/>
        <w:rPr>
          <w:rFonts w:ascii="黑体" w:eastAsia="黑体" w:cs="黑体"/>
        </w:rPr>
      </w:pPr>
    </w:p>
    <w:p>
      <w:pPr>
        <w:pStyle w:val="3"/>
        <w:jc w:val="center"/>
        <w:rPr>
          <w:rFonts w:ascii="黑体" w:eastAsia="黑体" w:cs="黑体"/>
        </w:rPr>
      </w:pPr>
    </w:p>
    <w:p>
      <w:pPr>
        <w:pStyle w:val="3"/>
        <w:rPr>
          <w:rFonts w:ascii="黑体" w:eastAsia="黑体" w:cs="黑体"/>
        </w:rPr>
      </w:pPr>
    </w:p>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
        <w:jc w:val="center"/>
        <w:rPr>
          <w:rFonts w:ascii="黑体" w:eastAsia="黑体" w:cs="黑体"/>
        </w:rPr>
      </w:pPr>
      <w:r>
        <w:rPr>
          <w:rFonts w:hint="eastAsia" w:ascii="黑体" w:eastAsia="黑体" w:cs="黑体"/>
        </w:rPr>
        <w:t>第三部分 名词解释</w:t>
      </w:r>
      <w:bookmarkEnd w:id="69"/>
      <w:bookmarkEnd w:id="70"/>
      <w:bookmarkEnd w:id="71"/>
    </w:p>
    <w:p>
      <w:pPr>
        <w:spacing w:line="600" w:lineRule="exact"/>
        <w:ind w:firstLine="640"/>
        <w:rPr>
          <w:rFonts w:ascii="仿宋" w:eastAsia="仿宋"/>
          <w:color w:val="000000"/>
          <w:sz w:val="32"/>
          <w:szCs w:val="32"/>
        </w:rPr>
      </w:pPr>
      <w:r>
        <w:rPr>
          <w:rFonts w:ascii="仿宋" w:eastAsia="仿宋"/>
          <w:color w:val="000000"/>
          <w:sz w:val="32"/>
          <w:szCs w:val="32"/>
        </w:rPr>
        <w:t>1.</w:t>
      </w:r>
      <w:r>
        <w:rPr>
          <w:rFonts w:hint="eastAsia" w:ascii="仿宋" w:eastAsia="仿宋"/>
          <w:color w:val="000000"/>
          <w:sz w:val="32"/>
          <w:szCs w:val="32"/>
        </w:rPr>
        <w:t>财政拨款收入：指单位从同级财政部门取得的财政预算资金。</w:t>
      </w:r>
    </w:p>
    <w:p>
      <w:pPr>
        <w:spacing w:line="600" w:lineRule="exact"/>
        <w:ind w:firstLine="640"/>
        <w:rPr>
          <w:rFonts w:ascii="仿宋" w:eastAsia="仿宋"/>
          <w:color w:val="000000"/>
          <w:sz w:val="32"/>
          <w:szCs w:val="32"/>
        </w:rPr>
      </w:pPr>
      <w:r>
        <w:rPr>
          <w:rFonts w:ascii="仿宋" w:eastAsia="仿宋"/>
          <w:color w:val="000000"/>
          <w:sz w:val="32"/>
          <w:szCs w:val="32"/>
        </w:rPr>
        <w:t>2.</w:t>
      </w:r>
      <w:r>
        <w:rPr>
          <w:rFonts w:hint="eastAsia" w:ascii="仿宋" w:eastAsia="仿宋"/>
          <w:color w:val="000000"/>
          <w:sz w:val="32"/>
          <w:szCs w:val="32"/>
        </w:rPr>
        <w:t>事业收入：指事业单位开展专业业务活动及辅助活动取得的收入。</w:t>
      </w:r>
    </w:p>
    <w:p>
      <w:pPr>
        <w:spacing w:line="600" w:lineRule="exact"/>
        <w:ind w:firstLine="640"/>
        <w:rPr>
          <w:rFonts w:ascii="仿宋" w:eastAsia="仿宋"/>
          <w:color w:val="000000"/>
          <w:sz w:val="32"/>
          <w:szCs w:val="32"/>
        </w:rPr>
      </w:pPr>
      <w:r>
        <w:rPr>
          <w:rFonts w:ascii="仿宋" w:eastAsia="仿宋"/>
          <w:color w:val="000000"/>
          <w:sz w:val="32"/>
          <w:szCs w:val="32"/>
        </w:rPr>
        <w:t>3.</w:t>
      </w:r>
      <w:r>
        <w:rPr>
          <w:rFonts w:hint="eastAsia" w:ascii="仿宋" w:eastAsia="仿宋"/>
          <w:color w:val="000000"/>
          <w:sz w:val="32"/>
          <w:szCs w:val="32"/>
        </w:rPr>
        <w:t>经营收入：指事业单位在专业业务活动及其辅助活动之外开展非独立核算经营活动取得的收入</w:t>
      </w:r>
    </w:p>
    <w:p>
      <w:pPr>
        <w:spacing w:line="600" w:lineRule="exact"/>
        <w:ind w:firstLine="640"/>
        <w:rPr>
          <w:rFonts w:ascii="仿宋" w:eastAsia="仿宋"/>
          <w:color w:val="000000"/>
          <w:sz w:val="32"/>
          <w:szCs w:val="32"/>
        </w:rPr>
      </w:pPr>
      <w:r>
        <w:rPr>
          <w:rFonts w:ascii="仿宋" w:eastAsia="仿宋"/>
          <w:color w:val="000000"/>
          <w:sz w:val="32"/>
          <w:szCs w:val="32"/>
        </w:rPr>
        <w:t>4.</w:t>
      </w:r>
      <w:r>
        <w:rPr>
          <w:rFonts w:hint="eastAsia" w:ascii="仿宋" w:eastAsia="仿宋"/>
          <w:color w:val="000000"/>
          <w:sz w:val="32"/>
          <w:szCs w:val="32"/>
        </w:rPr>
        <w:t>其他收入：指单位取得的除上述收入以外的各项收入。</w:t>
      </w:r>
    </w:p>
    <w:p>
      <w:pPr>
        <w:spacing w:line="600" w:lineRule="exact"/>
        <w:ind w:firstLine="640"/>
        <w:rPr>
          <w:rFonts w:ascii="仿宋" w:eastAsia="仿宋"/>
          <w:color w:val="000000"/>
          <w:sz w:val="32"/>
          <w:szCs w:val="32"/>
        </w:rPr>
      </w:pPr>
      <w:r>
        <w:rPr>
          <w:rFonts w:ascii="仿宋" w:eastAsia="仿宋"/>
          <w:color w:val="000000"/>
          <w:sz w:val="32"/>
          <w:szCs w:val="32"/>
        </w:rPr>
        <w:t>5.</w:t>
      </w:r>
      <w:r>
        <w:rPr>
          <w:rFonts w:hint="eastAsia" w:ascii="仿宋" w:eastAsia="仿宋"/>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 w:eastAsia="仿宋"/>
          <w:color w:val="000000"/>
          <w:sz w:val="32"/>
          <w:szCs w:val="32"/>
        </w:rPr>
        <w:t xml:space="preserve"> </w:t>
      </w:r>
    </w:p>
    <w:p>
      <w:pPr>
        <w:spacing w:line="600" w:lineRule="exact"/>
        <w:ind w:firstLine="640"/>
        <w:rPr>
          <w:rFonts w:ascii="仿宋" w:eastAsia="仿宋"/>
          <w:color w:val="000000"/>
          <w:sz w:val="32"/>
          <w:szCs w:val="32"/>
        </w:rPr>
      </w:pPr>
      <w:r>
        <w:rPr>
          <w:rFonts w:ascii="仿宋" w:eastAsia="仿宋"/>
          <w:color w:val="000000"/>
          <w:sz w:val="32"/>
          <w:szCs w:val="32"/>
        </w:rPr>
        <w:t>6.</w:t>
      </w:r>
      <w:r>
        <w:rPr>
          <w:rFonts w:hint="eastAsia" w:ascii="仿宋" w:eastAsia="仿宋"/>
          <w:color w:val="000000"/>
          <w:sz w:val="32"/>
          <w:szCs w:val="32"/>
        </w:rPr>
        <w:t>年初结转和结余：指以前年度尚未完成、结转到本年按有关规定继续使用的资金。</w:t>
      </w:r>
      <w:r>
        <w:rPr>
          <w:rFonts w:ascii="仿宋" w:eastAsia="仿宋"/>
          <w:color w:val="000000"/>
          <w:sz w:val="32"/>
          <w:szCs w:val="32"/>
        </w:rPr>
        <w:t xml:space="preserve"> </w:t>
      </w:r>
    </w:p>
    <w:p>
      <w:pPr>
        <w:spacing w:line="600" w:lineRule="exact"/>
        <w:ind w:firstLine="640"/>
        <w:rPr>
          <w:rFonts w:ascii="仿宋" w:eastAsia="仿宋"/>
          <w:color w:val="000000"/>
          <w:sz w:val="32"/>
          <w:szCs w:val="32"/>
        </w:rPr>
      </w:pPr>
      <w:r>
        <w:rPr>
          <w:rFonts w:ascii="仿宋" w:eastAsia="仿宋"/>
          <w:color w:val="000000"/>
          <w:sz w:val="32"/>
          <w:szCs w:val="32"/>
        </w:rPr>
        <w:t>7.</w:t>
      </w:r>
      <w:r>
        <w:rPr>
          <w:rFonts w:hint="eastAsia" w:ascii="仿宋" w:eastAsia="仿宋"/>
          <w:color w:val="000000"/>
          <w:sz w:val="32"/>
          <w:szCs w:val="32"/>
        </w:rPr>
        <w:t>结余分配：指事业单位按照事业单位会计制度的规定从非财政补助结余中分配的事业基金和职工福利基金等。</w:t>
      </w:r>
    </w:p>
    <w:p>
      <w:pPr>
        <w:spacing w:line="600" w:lineRule="exact"/>
        <w:ind w:firstLine="640"/>
        <w:rPr>
          <w:rFonts w:ascii="仿宋" w:eastAsia="仿宋"/>
          <w:color w:val="000000"/>
          <w:sz w:val="32"/>
          <w:szCs w:val="32"/>
        </w:rPr>
      </w:pPr>
      <w:r>
        <w:rPr>
          <w:rFonts w:ascii="仿宋" w:eastAsia="仿宋"/>
          <w:color w:val="000000"/>
          <w:sz w:val="32"/>
          <w:szCs w:val="32"/>
        </w:rPr>
        <w:t>8</w:t>
      </w:r>
      <w:r>
        <w:rPr>
          <w:rFonts w:hint="eastAsia" w:ascii="仿宋" w:eastAsia="仿宋"/>
          <w:color w:val="000000"/>
          <w:sz w:val="32"/>
          <w:szCs w:val="32"/>
        </w:rPr>
        <w:t>.年末结转和结余：指单位按有关规定结转到下年或以后年度继续使用的资金。</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rPr>
        <w:t>9.一般公共服务支出（201）民族事务（20123）行政运行（2012301）：反映行政单位（包括实行公务员管理的事业单位）的基本支出。</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10.一般公共服务支出（201）民族事务（20123）民族工作专项（2012304）：反映用于民族事务管理方面的专项支出。</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11.一般公共服务支出（201）民族事务（20123）其他民族事务支出（2012399）：反映除上述项目以外其他用于民族事务方面的支出。</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12.一般公共服务支出（201）统战事务（20134）宗教事务（2013404）：反映用于宗教事务管理方面的支出。</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13.教育支出（205）普通教育（20502）小学教育（2050202）：反映各部门举办的小学教育支出。政府各部门对社会组织等举办的小学的资助，如捐赠、补贴等，也在本科目中反映。</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14.文化旅游体育与传媒支出（207）文化和旅游（20701）其他文化和旅游支出（2070199）：反映除上述项目以外其他用于文化和旅游方面的支出。</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15.社会保障和就业支出（208）行政事业单位养老支出（20805）机关事业单位基本养老保险缴费支出（2080505）：反映机关事业单位实施养老保险制度由单位缴纳的基本养老保险费支出。</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16.社会保障和就业支出（208）行政事业单位养老支出（20805）机关事业单位职业年金缴费支出（2080506）：反映机关事业单位实施养老保险制度由单位实际缴纳的职业年金支出。</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17.社会保障和就业支出（208）退役军人管理事务（20828）拥军优属（2082804）：反映开展拥军优属活动的支出。</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18.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19.农林水支出（213）扶贫（21305）农村基础设施建设（2130504）：反映用于农村贫困地区乡村道路、住房、基本农田、水利设施、人畜饮水、生态环境保护等生产生活条件改善方面的支出。</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20.农林水支出（213）扶贫（21305）生产发展（2130505）：反映用于农村贫困地区发展种植业、养殖业、畜牧业、农副产品加工、林果地建设等生产发展项目以及相关技术推广等方面的项目支出。</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21.农林水支出（213）扶贫（21305）其他扶贫支出（2130599）：反映除上述项目以外其他用于扶贫方面的支出。</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rPr>
        <w:tab/>
      </w:r>
      <w:r>
        <w:rPr>
          <w:rFonts w:hint="eastAsia" w:ascii="仿宋" w:eastAsia="仿宋"/>
          <w:color w:val="000000"/>
          <w:sz w:val="32"/>
          <w:szCs w:val="32"/>
        </w:rPr>
        <w:t>22.住房保障支出（221）住房改革支出（22102）住房公积金（2210201）：反映行政事业单位按人力资源和社会保障部、财政部规定的基本工资和津贴补贴以及规定比例为职工缴纳的住房公积金。</w:t>
      </w:r>
    </w:p>
    <w:p>
      <w:pPr>
        <w:spacing w:line="600" w:lineRule="exact"/>
        <w:ind w:firstLine="640"/>
        <w:rPr>
          <w:rFonts w:ascii="仿宋" w:eastAsia="仿宋"/>
          <w:color w:val="000000"/>
          <w:sz w:val="32"/>
          <w:szCs w:val="32"/>
        </w:rPr>
      </w:pPr>
      <w:r>
        <w:rPr>
          <w:rFonts w:hint="eastAsia" w:ascii="仿宋" w:eastAsia="仿宋"/>
          <w:color w:val="000000"/>
          <w:sz w:val="32"/>
          <w:szCs w:val="32"/>
        </w:rPr>
        <w:tab/>
      </w:r>
      <w:r>
        <w:rPr>
          <w:rFonts w:hint="eastAsia" w:ascii="仿宋" w:eastAsia="仿宋"/>
          <w:color w:val="000000"/>
          <w:sz w:val="32"/>
          <w:szCs w:val="32"/>
        </w:rPr>
        <w:t>23.其他支出（229）其他支出（22999）其他支出（2299999）：无文字说明。</w:t>
      </w:r>
    </w:p>
    <w:p>
      <w:pPr>
        <w:spacing w:line="600" w:lineRule="exact"/>
        <w:ind w:firstLine="640"/>
        <w:rPr>
          <w:rFonts w:ascii="仿宋" w:eastAsia="仿宋"/>
          <w:color w:val="000000"/>
          <w:sz w:val="32"/>
          <w:szCs w:val="32"/>
        </w:rPr>
      </w:pPr>
      <w:r>
        <w:rPr>
          <w:rFonts w:hint="eastAsia" w:ascii="仿宋" w:eastAsia="仿宋"/>
          <w:color w:val="000000"/>
          <w:sz w:val="32"/>
          <w:szCs w:val="32"/>
        </w:rPr>
        <w:t>24.基本支出：指为保障机构正常运转、完成日常工作任务而发生的人员支出和公用支出。</w:t>
      </w:r>
    </w:p>
    <w:p>
      <w:pPr>
        <w:spacing w:line="600" w:lineRule="exact"/>
        <w:ind w:firstLine="640"/>
        <w:rPr>
          <w:rFonts w:ascii="仿宋" w:eastAsia="仿宋"/>
          <w:color w:val="000000"/>
          <w:sz w:val="32"/>
          <w:szCs w:val="32"/>
        </w:rPr>
      </w:pPr>
      <w:r>
        <w:rPr>
          <w:rFonts w:hint="eastAsia" w:ascii="仿宋" w:eastAsia="仿宋"/>
          <w:color w:val="000000"/>
          <w:sz w:val="32"/>
          <w:szCs w:val="32"/>
        </w:rPr>
        <w:t xml:space="preserve">25.项目支出：指在基本支出之外为完成特定行政任务和事业发展目标所发生的支出。 </w:t>
      </w:r>
    </w:p>
    <w:p>
      <w:pPr>
        <w:spacing w:line="600" w:lineRule="exact"/>
        <w:ind w:firstLine="640"/>
        <w:rPr>
          <w:rFonts w:ascii="仿宋" w:eastAsia="仿宋"/>
          <w:color w:val="000000"/>
          <w:sz w:val="32"/>
          <w:szCs w:val="32"/>
        </w:rPr>
      </w:pPr>
      <w:r>
        <w:rPr>
          <w:rFonts w:hint="eastAsia" w:ascii="仿宋" w:eastAsia="仿宋"/>
          <w:color w:val="000000"/>
          <w:sz w:val="32"/>
          <w:szCs w:val="32"/>
        </w:rPr>
        <w:t>25.经营支出：指事业单位在专业业务活动及其辅助活动之外开展非独立核算经营活动发生的支出。</w:t>
      </w:r>
    </w:p>
    <w:p>
      <w:pPr>
        <w:spacing w:line="600" w:lineRule="exact"/>
        <w:ind w:firstLine="640"/>
        <w:rPr>
          <w:rFonts w:ascii="仿宋" w:eastAsia="仿宋"/>
          <w:color w:val="000000"/>
          <w:sz w:val="32"/>
          <w:szCs w:val="32"/>
        </w:rPr>
      </w:pPr>
      <w:r>
        <w:rPr>
          <w:rFonts w:hint="eastAsia" w:ascii="仿宋" w:eastAsia="仿宋"/>
          <w:color w:val="000000"/>
          <w:sz w:val="32"/>
          <w:szCs w:val="32"/>
        </w:rPr>
        <w:t>26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ascii="仿宋" w:eastAsia="仿宋"/>
          <w:color w:val="000000"/>
          <w:sz w:val="32"/>
          <w:szCs w:val="32"/>
        </w:rPr>
      </w:pPr>
      <w:r>
        <w:rPr>
          <w:rFonts w:hint="eastAsia" w:ascii="仿宋" w:eastAsia="仿宋"/>
          <w:color w:val="000000"/>
          <w:sz w:val="32"/>
          <w:szCs w:val="32"/>
        </w:rPr>
        <w:t>27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ascii="仿宋_GB2312" w:eastAsia="仿宋_GB2312" w:cs="黑体"/>
          <w:sz w:val="32"/>
          <w:szCs w:val="32"/>
        </w:rPr>
      </w:pPr>
      <w:r>
        <w:rPr>
          <w:rFonts w:hint="eastAsia" w:ascii="仿宋" w:eastAsia="仿宋"/>
          <w:color w:val="000000"/>
          <w:sz w:val="32"/>
          <w:szCs w:val="32"/>
        </w:rPr>
        <w:t>28.财政应返还额度：为行政事业单位会计核算科目，用于核算实行国库集中支付的行政事业单位应收财政返还的资金额度。</w:t>
      </w:r>
    </w:p>
    <w:p>
      <w:pPr>
        <w:widowControl/>
        <w:jc w:val="left"/>
        <w:rPr>
          <w:rStyle w:val="22"/>
          <w:rFonts w:ascii="黑体" w:eastAsia="黑体"/>
        </w:rPr>
      </w:pPr>
      <w:r>
        <w:rPr>
          <w:rStyle w:val="22"/>
          <w:rFonts w:ascii="黑体" w:eastAsia="黑体"/>
        </w:rPr>
        <w:br w:type="page"/>
      </w:r>
    </w:p>
    <w:p>
      <w:pPr>
        <w:pStyle w:val="3"/>
        <w:jc w:val="center"/>
        <w:rPr>
          <w:rFonts w:ascii="黑体" w:eastAsia="黑体" w:cs="黑体"/>
        </w:rPr>
      </w:pPr>
      <w:bookmarkStart w:id="72" w:name="_Toc113981024"/>
      <w:bookmarkStart w:id="73" w:name="_Toc111208510"/>
      <w:r>
        <w:rPr>
          <w:rFonts w:hint="eastAsia" w:ascii="黑体" w:eastAsia="黑体" w:cs="黑体"/>
        </w:rPr>
        <w:t>第四部分 附件</w:t>
      </w:r>
      <w:bookmarkEnd w:id="72"/>
      <w:bookmarkEnd w:id="73"/>
    </w:p>
    <w:p>
      <w:pPr>
        <w:widowControl/>
        <w:spacing w:line="560" w:lineRule="exact"/>
        <w:jc w:val="center"/>
        <w:rPr>
          <w:rFonts w:ascii="黑体" w:eastAsia="黑体" w:cs="方正小标宋简体"/>
          <w:bCs/>
          <w:color w:val="000000"/>
          <w:sz w:val="44"/>
          <w:szCs w:val="44"/>
          <w:shd w:val="clear" w:color="auto" w:fill="FFFFFF"/>
        </w:rPr>
      </w:pPr>
      <w:r>
        <w:rPr>
          <w:rFonts w:hint="eastAsia"/>
        </w:rPr>
        <w:t xml:space="preserve"> </w:t>
      </w:r>
      <w:r>
        <w:rPr>
          <w:rFonts w:hint="eastAsia" w:ascii="黑体" w:eastAsia="黑体" w:cs="方正小标宋简体"/>
          <w:bCs/>
          <w:color w:val="000000"/>
          <w:sz w:val="44"/>
          <w:szCs w:val="44"/>
          <w:shd w:val="clear" w:color="auto" w:fill="FFFFFF"/>
        </w:rPr>
        <w:t>茂县民族宗教局关于整体支出绩效报告</w:t>
      </w:r>
    </w:p>
    <w:p>
      <w:pPr>
        <w:widowControl/>
        <w:adjustRightInd w:val="0"/>
        <w:snapToGrid w:val="0"/>
        <w:spacing w:line="550" w:lineRule="exact"/>
        <w:ind w:firstLine="640" w:firstLineChars="200"/>
        <w:jc w:val="left"/>
        <w:rPr>
          <w:rFonts w:ascii="黑体" w:eastAsia="黑体" w:cs="黑体"/>
          <w:bCs/>
          <w:color w:val="000000"/>
          <w:kern w:val="0"/>
          <w:sz w:val="32"/>
          <w:szCs w:val="32"/>
          <w:shd w:val="clear" w:color="auto" w:fill="FFFFFF"/>
          <w:lang w:val="zh-CN"/>
        </w:rPr>
      </w:pPr>
      <w:r>
        <w:rPr>
          <w:rFonts w:hint="eastAsia" w:ascii="黑体" w:eastAsia="黑体" w:cs="黑体"/>
          <w:bCs/>
          <w:color w:val="000000"/>
          <w:kern w:val="0"/>
          <w:sz w:val="32"/>
          <w:szCs w:val="32"/>
          <w:shd w:val="clear" w:color="auto" w:fill="FFFFFF"/>
        </w:rPr>
        <w:t>一、</w:t>
      </w:r>
      <w:r>
        <w:rPr>
          <w:rFonts w:hint="eastAsia" w:ascii="黑体" w:eastAsia="黑体" w:cs="黑体"/>
          <w:bCs/>
          <w:color w:val="000000"/>
          <w:kern w:val="0"/>
          <w:sz w:val="32"/>
          <w:szCs w:val="32"/>
          <w:shd w:val="clear" w:color="auto" w:fill="FFFFFF"/>
          <w:lang w:val="zh-CN"/>
        </w:rPr>
        <w:t>部门概况</w:t>
      </w:r>
    </w:p>
    <w:p>
      <w:pPr>
        <w:spacing w:line="550" w:lineRule="exact"/>
        <w:ind w:firstLine="640" w:firstLineChars="200"/>
        <w:rPr>
          <w:rFonts w:hint="eastAsia" w:ascii="仿宋" w:eastAsia="仿宋" w:cs="宋体"/>
          <w:color w:val="000000"/>
          <w:sz w:val="32"/>
          <w:szCs w:val="32"/>
          <w:lang w:val="zh-CN"/>
        </w:rPr>
      </w:pPr>
      <w:r>
        <w:rPr>
          <w:rFonts w:hint="eastAsia" w:ascii="仿宋" w:eastAsia="仿宋" w:cs="宋体"/>
          <w:color w:val="000000"/>
          <w:sz w:val="32"/>
          <w:szCs w:val="32"/>
          <w:lang w:val="zh-CN"/>
        </w:rPr>
        <w:t>1.机构组成</w:t>
      </w:r>
    </w:p>
    <w:p>
      <w:pPr>
        <w:widowControl/>
        <w:adjustRightInd w:val="0"/>
        <w:snapToGrid w:val="0"/>
        <w:spacing w:line="550" w:lineRule="exact"/>
        <w:ind w:firstLine="720"/>
        <w:jc w:val="left"/>
        <w:rPr>
          <w:rFonts w:hint="eastAsia" w:ascii="仿宋" w:eastAsia="仿宋"/>
          <w:color w:val="000000"/>
          <w:sz w:val="32"/>
          <w:szCs w:val="32"/>
        </w:rPr>
      </w:pPr>
      <w:r>
        <w:rPr>
          <w:rFonts w:hint="eastAsia" w:ascii="仿宋" w:eastAsia="仿宋" w:cs="宋体"/>
          <w:color w:val="000000"/>
          <w:sz w:val="32"/>
          <w:szCs w:val="32"/>
          <w:lang w:val="zh-CN"/>
        </w:rPr>
        <w:t>茂县</w:t>
      </w:r>
      <w:r>
        <w:rPr>
          <w:rFonts w:hint="eastAsia" w:ascii="仿宋" w:eastAsia="仿宋" w:cs="宋体"/>
          <w:color w:val="000000"/>
          <w:sz w:val="32"/>
          <w:szCs w:val="32"/>
        </w:rPr>
        <w:t>民宗</w:t>
      </w:r>
      <w:r>
        <w:rPr>
          <w:rFonts w:hint="eastAsia" w:ascii="仿宋" w:eastAsia="仿宋" w:cs="宋体"/>
          <w:color w:val="000000"/>
          <w:sz w:val="32"/>
          <w:szCs w:val="32"/>
          <w:lang w:val="zh-CN"/>
        </w:rPr>
        <w:t>局，</w:t>
      </w:r>
      <w:r>
        <w:rPr>
          <w:rFonts w:hint="eastAsia" w:ascii="仿宋" w:eastAsia="仿宋"/>
          <w:color w:val="000000"/>
          <w:sz w:val="32"/>
          <w:szCs w:val="32"/>
        </w:rPr>
        <w:t>机构性质为行政单位</w:t>
      </w:r>
      <w:r>
        <w:rPr>
          <w:rFonts w:hint="eastAsia" w:ascii="仿宋" w:eastAsia="仿宋" w:cs="宋体"/>
          <w:color w:val="000000"/>
          <w:sz w:val="32"/>
          <w:szCs w:val="32"/>
          <w:lang w:val="zh-CN"/>
        </w:rPr>
        <w:t>，</w:t>
      </w:r>
      <w:r>
        <w:rPr>
          <w:rFonts w:hint="eastAsia" w:ascii="仿宋" w:eastAsia="仿宋"/>
          <w:color w:val="000000"/>
          <w:sz w:val="32"/>
          <w:szCs w:val="32"/>
        </w:rPr>
        <w:t>本部门属于一级预算单位无下属单位，内设5个股室。其中：</w:t>
      </w:r>
      <w:r>
        <w:rPr>
          <w:rFonts w:hint="eastAsia" w:ascii="仿宋" w:eastAsia="仿宋" w:cs="宋体"/>
          <w:color w:val="000000"/>
          <w:sz w:val="32"/>
          <w:szCs w:val="32"/>
        </w:rPr>
        <w:t>行政审批股（办公室）1个</w:t>
      </w:r>
      <w:r>
        <w:rPr>
          <w:rFonts w:hint="eastAsia" w:ascii="仿宋" w:eastAsia="仿宋" w:cs="宋体"/>
          <w:color w:val="000000"/>
          <w:sz w:val="32"/>
          <w:szCs w:val="32"/>
          <w:lang w:val="zh-CN"/>
        </w:rPr>
        <w:t>、</w:t>
      </w:r>
      <w:r>
        <w:rPr>
          <w:rFonts w:hint="eastAsia" w:ascii="仿宋" w:eastAsia="仿宋" w:cs="宋体"/>
          <w:color w:val="000000"/>
          <w:sz w:val="32"/>
          <w:szCs w:val="32"/>
        </w:rPr>
        <w:t>宗教股1个，民族股1个，项目股1个，古籍股1个</w:t>
      </w:r>
      <w:r>
        <w:rPr>
          <w:rFonts w:hint="eastAsia" w:ascii="仿宋" w:eastAsia="仿宋" w:cs="宋体"/>
          <w:color w:val="000000"/>
          <w:sz w:val="32"/>
          <w:szCs w:val="32"/>
          <w:lang w:val="zh-CN"/>
        </w:rPr>
        <w:t xml:space="preserve">。 </w:t>
      </w:r>
    </w:p>
    <w:p>
      <w:pPr>
        <w:spacing w:line="550" w:lineRule="exact"/>
        <w:ind w:firstLine="640" w:firstLineChars="200"/>
        <w:rPr>
          <w:rFonts w:hint="eastAsia" w:ascii="仿宋" w:eastAsia="仿宋" w:cs="宋体"/>
          <w:color w:val="000000"/>
          <w:sz w:val="32"/>
          <w:szCs w:val="32"/>
          <w:lang w:val="zh-CN"/>
        </w:rPr>
      </w:pPr>
      <w:r>
        <w:rPr>
          <w:rFonts w:hint="eastAsia" w:ascii="仿宋" w:eastAsia="仿宋" w:cs="宋体"/>
          <w:color w:val="000000"/>
          <w:sz w:val="32"/>
          <w:szCs w:val="32"/>
          <w:lang w:val="zh-CN"/>
        </w:rPr>
        <w:t>2.机构职能</w:t>
      </w:r>
    </w:p>
    <w:p>
      <w:pPr>
        <w:pStyle w:val="7"/>
        <w:adjustRightInd w:val="0"/>
        <w:snapToGrid w:val="0"/>
        <w:spacing w:before="130" w:beforeLines="0" w:line="550" w:lineRule="exact"/>
        <w:ind w:firstLine="668" w:firstLineChars="209"/>
        <w:rPr>
          <w:rFonts w:hint="eastAsia" w:ascii="仿宋" w:eastAsia="仿宋"/>
          <w:color w:val="000000"/>
          <w:kern w:val="2"/>
          <w:sz w:val="32"/>
          <w:szCs w:val="32"/>
        </w:rPr>
      </w:pPr>
      <w:r>
        <w:rPr>
          <w:rFonts w:hint="eastAsia" w:ascii="仿宋" w:eastAsia="仿宋"/>
          <w:color w:val="000000"/>
          <w:kern w:val="2"/>
          <w:sz w:val="32"/>
          <w:szCs w:val="32"/>
        </w:rPr>
        <w:t>负责贯彻执行党和政府关于民族、宗教工作的方针、政策，当好县委、县政府的民族、宗教工作方面参谋助手；负责组织开展民族、宗教政策，法律法规的宣传教育并督促贯彻执行。对有关宗教的法律法规和政策的贯彻实施进行行政管理和监督；负责协调民族关系，加强民族团结进步教育，引导、促进、确保宗教在法律、法规和政策允许的范围内活动，防止和制止不法分子利用宗教进行非法、违法活动，及时处理宗教方面等突发事件和影响社会政治稳定的问题，密切配合有关部门抵制、揭露和打击国内外敌对势力利用宗教对我县的渗透破坏活动，维护祖国统一，我县的稳定、团结、繁荣。负责加强国家和省用于扶持民族地区发展的专项资金使用和项目实施情况的检查监督，组织协调对民族地区发展，对口支援，经济技术协作和民族贸易，民族特需用品等的生产，配合承办扶贫开发事宜；负责调查全县宗教现状，掌握动态和发展趋势，及时向县政府报告并提出处理意见和建议，提供政策依据；承办县政府交办的其他工作事项。</w:t>
      </w:r>
    </w:p>
    <w:p>
      <w:pPr>
        <w:spacing w:line="550" w:lineRule="exact"/>
        <w:ind w:firstLine="640" w:firstLineChars="200"/>
        <w:rPr>
          <w:rFonts w:hint="eastAsia" w:ascii="仿宋" w:eastAsia="仿宋" w:cs="宋体"/>
          <w:color w:val="000000"/>
          <w:sz w:val="32"/>
          <w:szCs w:val="32"/>
          <w:lang w:val="zh-CN"/>
        </w:rPr>
      </w:pPr>
      <w:r>
        <w:rPr>
          <w:rFonts w:hint="eastAsia" w:ascii="仿宋" w:eastAsia="仿宋" w:cs="宋体"/>
          <w:color w:val="000000"/>
          <w:sz w:val="32"/>
          <w:szCs w:val="32"/>
          <w:lang w:val="zh-CN"/>
        </w:rPr>
        <w:t>3.人员概况</w:t>
      </w:r>
    </w:p>
    <w:p>
      <w:pPr>
        <w:widowControl/>
        <w:tabs>
          <w:tab w:val="left" w:pos="8460"/>
        </w:tabs>
        <w:adjustRightInd w:val="0"/>
        <w:snapToGrid w:val="0"/>
        <w:spacing w:line="576" w:lineRule="exact"/>
        <w:ind w:firstLine="640" w:firstLineChars="200"/>
        <w:jc w:val="left"/>
        <w:rPr>
          <w:rFonts w:ascii="仿宋" w:eastAsia="仿宋"/>
          <w:color w:val="000000"/>
          <w:sz w:val="32"/>
          <w:szCs w:val="32"/>
        </w:rPr>
      </w:pPr>
      <w:r>
        <w:rPr>
          <w:rFonts w:hint="eastAsia" w:ascii="仿宋" w:eastAsia="仿宋"/>
          <w:color w:val="000000"/>
          <w:sz w:val="32"/>
          <w:szCs w:val="32"/>
        </w:rPr>
        <w:t>民宗局总编制13名,其中:行政编制13名,机关单位事业工勤编制1名。在职人员总数12名，其中：行政人员12名。</w:t>
      </w:r>
    </w:p>
    <w:p>
      <w:pPr>
        <w:widowControl/>
        <w:tabs>
          <w:tab w:val="left" w:pos="8460"/>
        </w:tabs>
        <w:adjustRightInd w:val="0"/>
        <w:snapToGrid w:val="0"/>
        <w:spacing w:line="576" w:lineRule="exact"/>
        <w:ind w:firstLine="640" w:firstLineChars="200"/>
        <w:jc w:val="left"/>
        <w:rPr>
          <w:rFonts w:ascii="黑体" w:eastAsia="黑体" w:cs="黑体"/>
          <w:bCs/>
          <w:color w:val="000000"/>
          <w:kern w:val="0"/>
          <w:sz w:val="32"/>
          <w:szCs w:val="32"/>
          <w:shd w:val="clear" w:color="auto" w:fill="FFFFFF"/>
          <w:lang w:val="zh-CN"/>
        </w:rPr>
      </w:pPr>
      <w:r>
        <w:rPr>
          <w:rFonts w:hint="eastAsia" w:ascii="黑体" w:eastAsia="黑体" w:cs="黑体"/>
          <w:bCs/>
          <w:color w:val="000000"/>
          <w:kern w:val="0"/>
          <w:sz w:val="32"/>
          <w:szCs w:val="32"/>
          <w:shd w:val="clear" w:color="auto" w:fill="FFFFFF"/>
          <w:lang w:val="zh-CN"/>
        </w:rPr>
        <w:t>二、财政资金收支情况</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方正仿宋_GB18030" w:eastAsia="方正仿宋_GB18030" w:cs="方正仿宋_GB18030"/>
          <w:color w:val="000000"/>
          <w:kern w:val="0"/>
          <w:sz w:val="32"/>
          <w:szCs w:val="32"/>
          <w:shd w:val="clear" w:color="auto" w:fill="FFFFFF"/>
          <w:lang w:val="zh-CN"/>
        </w:rPr>
      </w:pPr>
      <w:r>
        <w:rPr>
          <w:rFonts w:hint="eastAsia" w:ascii="方正仿宋_GB18030" w:eastAsia="方正仿宋_GB18030" w:cs="方正仿宋_GB18030"/>
          <w:color w:val="000000"/>
          <w:kern w:val="0"/>
          <w:sz w:val="32"/>
          <w:szCs w:val="32"/>
          <w:shd w:val="clear" w:color="auto" w:fill="FFFFFF"/>
          <w:lang w:val="zh-CN"/>
        </w:rPr>
        <w:t>（一）部门财政资金收入情况</w:t>
      </w:r>
    </w:p>
    <w:p>
      <w:pPr>
        <w:pStyle w:val="7"/>
        <w:keepNext w:val="0"/>
        <w:keepLines w:val="0"/>
        <w:pageBreakBefore w:val="0"/>
        <w:widowControl w:val="0"/>
        <w:kinsoku/>
        <w:wordWrap/>
        <w:overflowPunct/>
        <w:topLinePunct w:val="0"/>
        <w:autoSpaceDE/>
        <w:autoSpaceDN/>
        <w:bidi w:val="0"/>
        <w:adjustRightInd/>
        <w:snapToGrid/>
        <w:spacing w:before="30" w:beforeLines="0" w:line="576" w:lineRule="exact"/>
        <w:ind w:firstLine="640" w:firstLineChars="200"/>
        <w:textAlignment w:val="auto"/>
        <w:rPr>
          <w:rFonts w:hint="eastAsia" w:ascii="仿宋" w:eastAsia="仿宋" w:cs="方正仿宋_GB18030"/>
          <w:color w:val="000000"/>
          <w:kern w:val="2"/>
          <w:sz w:val="32"/>
          <w:szCs w:val="32"/>
          <w:lang w:val="zh-CN"/>
        </w:rPr>
      </w:pPr>
      <w:r>
        <w:rPr>
          <w:rFonts w:hint="eastAsia" w:ascii="仿宋" w:eastAsia="仿宋" w:cs="方正仿宋_GB18030"/>
          <w:color w:val="000000"/>
          <w:kern w:val="2"/>
          <w:sz w:val="32"/>
          <w:szCs w:val="32"/>
          <w:lang w:val="zh-CN"/>
        </w:rPr>
        <w:t>20</w:t>
      </w:r>
      <w:r>
        <w:rPr>
          <w:rFonts w:hint="eastAsia" w:ascii="仿宋" w:eastAsia="仿宋" w:cs="方正仿宋_GB18030"/>
          <w:color w:val="000000"/>
          <w:kern w:val="2"/>
          <w:sz w:val="32"/>
          <w:szCs w:val="32"/>
          <w:lang w:val="en-US" w:eastAsia="zh-CN"/>
        </w:rPr>
        <w:t>21</w:t>
      </w:r>
      <w:r>
        <w:rPr>
          <w:rFonts w:hint="eastAsia" w:ascii="仿宋" w:eastAsia="仿宋" w:cs="方正仿宋_GB18030"/>
          <w:color w:val="000000"/>
          <w:kern w:val="2"/>
          <w:sz w:val="32"/>
          <w:szCs w:val="32"/>
          <w:lang w:val="zh-CN"/>
        </w:rPr>
        <w:t>年我单位财政资金拨款收入：</w:t>
      </w:r>
      <w:r>
        <w:rPr>
          <w:rFonts w:hint="eastAsia" w:ascii="仿宋" w:eastAsia="仿宋" w:cs="方正仿宋_GB18030"/>
          <w:color w:val="000000"/>
          <w:kern w:val="2"/>
          <w:sz w:val="32"/>
          <w:szCs w:val="32"/>
          <w:lang w:val="en-US" w:eastAsia="zh-CN"/>
        </w:rPr>
        <w:t>1134.56</w:t>
      </w:r>
      <w:r>
        <w:rPr>
          <w:rFonts w:hint="eastAsia" w:ascii="仿宋" w:eastAsia="仿宋" w:cs="方正仿宋_GB18030"/>
          <w:color w:val="000000"/>
          <w:kern w:val="2"/>
          <w:sz w:val="32"/>
          <w:szCs w:val="32"/>
          <w:lang w:val="zh-CN"/>
        </w:rPr>
        <w:t>万元</w:t>
      </w:r>
      <w:r>
        <w:rPr>
          <w:rFonts w:ascii="仿宋" w:eastAsia="仿宋" w:cs="方正仿宋_GB18030"/>
          <w:color w:val="000000"/>
          <w:kern w:val="2"/>
          <w:sz w:val="32"/>
          <w:szCs w:val="32"/>
          <w:lang w:val="zh-CN"/>
        </w:rPr>
        <w:t>。</w:t>
      </w:r>
    </w:p>
    <w:p>
      <w:pPr>
        <w:keepNext w:val="0"/>
        <w:keepLines w:val="0"/>
        <w:pageBreakBefore w:val="0"/>
        <w:widowControl/>
        <w:numPr>
          <w:ilvl w:val="0"/>
          <w:numId w:val="2"/>
        </w:numPr>
        <w:kinsoku/>
        <w:wordWrap/>
        <w:overflowPunct/>
        <w:topLinePunct w:val="0"/>
        <w:autoSpaceDE/>
        <w:autoSpaceDN/>
        <w:bidi w:val="0"/>
        <w:adjustRightInd w:val="0"/>
        <w:snapToGrid w:val="0"/>
        <w:spacing w:line="576" w:lineRule="exact"/>
        <w:ind w:left="0" w:firstLine="640" w:firstLineChars="200"/>
        <w:contextualSpacing/>
        <w:jc w:val="left"/>
        <w:textAlignment w:val="auto"/>
        <w:rPr>
          <w:rFonts w:hint="eastAsia" w:ascii="方正仿宋_GB18030" w:eastAsia="方正仿宋_GB18030" w:cs="方正仿宋_GB18030"/>
          <w:color w:val="000000"/>
          <w:kern w:val="0"/>
          <w:sz w:val="32"/>
          <w:szCs w:val="32"/>
          <w:shd w:val="clear" w:color="auto" w:fill="FFFFFF"/>
          <w:lang w:val="zh-CN"/>
        </w:rPr>
      </w:pPr>
      <w:r>
        <w:rPr>
          <w:rFonts w:hint="eastAsia" w:ascii="方正仿宋_GB18030" w:eastAsia="方正仿宋_GB18030" w:cs="方正仿宋_GB18030"/>
          <w:color w:val="000000"/>
          <w:kern w:val="0"/>
          <w:sz w:val="32"/>
          <w:szCs w:val="32"/>
          <w:shd w:val="clear" w:color="auto" w:fill="FFFFFF"/>
          <w:lang w:val="zh-CN"/>
        </w:rPr>
        <w:t>部门财政资金支出情况</w:t>
      </w:r>
    </w:p>
    <w:p>
      <w:pPr>
        <w:pStyle w:val="7"/>
        <w:keepNext w:val="0"/>
        <w:keepLines w:val="0"/>
        <w:pageBreakBefore w:val="0"/>
        <w:widowControl w:val="0"/>
        <w:kinsoku/>
        <w:wordWrap/>
        <w:overflowPunct/>
        <w:topLinePunct w:val="0"/>
        <w:autoSpaceDE/>
        <w:autoSpaceDN/>
        <w:adjustRightInd/>
        <w:snapToGrid/>
        <w:spacing w:before="30" w:beforeLines="0" w:line="576" w:lineRule="exact"/>
        <w:ind w:firstLine="640" w:firstLineChars="200"/>
        <w:rPr>
          <w:rFonts w:hint="eastAsia" w:ascii="仿宋" w:eastAsia="仿宋" w:cs="方正仿宋_GB18030"/>
          <w:color w:val="000000"/>
          <w:kern w:val="2"/>
          <w:sz w:val="32"/>
          <w:szCs w:val="32"/>
          <w:lang w:val="zh-CN"/>
        </w:rPr>
      </w:pPr>
      <w:r>
        <w:rPr>
          <w:rFonts w:hint="eastAsia" w:ascii="仿宋" w:eastAsia="仿宋" w:cs="方正仿宋_GB18030"/>
          <w:color w:val="000000"/>
          <w:kern w:val="2"/>
          <w:sz w:val="32"/>
          <w:szCs w:val="32"/>
          <w:lang w:val="zh-CN"/>
        </w:rPr>
        <w:t>20</w:t>
      </w:r>
      <w:r>
        <w:rPr>
          <w:rFonts w:hint="eastAsia" w:ascii="仿宋" w:eastAsia="仿宋" w:cs="方正仿宋_GB18030"/>
          <w:color w:val="000000"/>
          <w:kern w:val="2"/>
          <w:sz w:val="32"/>
          <w:szCs w:val="32"/>
          <w:lang w:val="zh-CN" w:eastAsia="zh-CN"/>
        </w:rPr>
        <w:t>21</w:t>
      </w:r>
      <w:r>
        <w:rPr>
          <w:rFonts w:hint="eastAsia" w:ascii="仿宋" w:eastAsia="仿宋" w:cs="方正仿宋_GB18030"/>
          <w:color w:val="000000"/>
          <w:kern w:val="2"/>
          <w:sz w:val="32"/>
          <w:szCs w:val="32"/>
          <w:lang w:val="zh-CN"/>
        </w:rPr>
        <w:t>年我单位财政资金拨款支出：</w:t>
      </w:r>
      <w:r>
        <w:rPr>
          <w:rFonts w:hint="eastAsia" w:ascii="仿宋" w:eastAsia="仿宋" w:cs="方正仿宋_GB18030"/>
          <w:color w:val="000000"/>
          <w:kern w:val="2"/>
          <w:sz w:val="32"/>
          <w:szCs w:val="32"/>
          <w:lang w:val="zh-CN" w:eastAsia="zh-CN"/>
        </w:rPr>
        <w:t>1705.98</w:t>
      </w:r>
      <w:r>
        <w:rPr>
          <w:rFonts w:hint="eastAsia" w:ascii="仿宋" w:eastAsia="仿宋" w:cs="方正仿宋_GB18030"/>
          <w:color w:val="000000"/>
          <w:kern w:val="2"/>
          <w:sz w:val="32"/>
          <w:szCs w:val="32"/>
          <w:lang w:val="zh-CN"/>
        </w:rPr>
        <w:t>万元，其中：一般公共服务支出：426</w:t>
      </w:r>
      <w:r>
        <w:rPr>
          <w:rFonts w:hint="eastAsia" w:ascii="仿宋" w:eastAsia="仿宋" w:cs="方正仿宋_GB18030"/>
          <w:color w:val="000000"/>
          <w:kern w:val="2"/>
          <w:sz w:val="32"/>
          <w:szCs w:val="32"/>
          <w:lang w:val="zh-CN" w:eastAsia="zh-CN"/>
        </w:rPr>
        <w:t>.</w:t>
      </w:r>
      <w:r>
        <w:rPr>
          <w:rFonts w:hint="eastAsia" w:ascii="仿宋" w:eastAsia="仿宋" w:cs="方正仿宋_GB18030"/>
          <w:color w:val="000000"/>
          <w:kern w:val="2"/>
          <w:sz w:val="32"/>
          <w:szCs w:val="32"/>
          <w:lang w:val="zh-CN"/>
        </w:rPr>
        <w:t>6</w:t>
      </w:r>
      <w:r>
        <w:rPr>
          <w:rFonts w:hint="eastAsia" w:ascii="仿宋" w:eastAsia="仿宋" w:cs="方正仿宋_GB18030"/>
          <w:color w:val="000000"/>
          <w:kern w:val="2"/>
          <w:sz w:val="32"/>
          <w:szCs w:val="32"/>
          <w:lang w:val="zh-CN" w:eastAsia="zh-CN"/>
        </w:rPr>
        <w:t>5万元，教育支出：71.93万元，</w:t>
      </w:r>
      <w:r>
        <w:rPr>
          <w:rFonts w:hint="eastAsia" w:ascii="仿宋" w:eastAsia="仿宋" w:cs="方正仿宋_GB18030"/>
          <w:color w:val="000000"/>
          <w:kern w:val="2"/>
          <w:sz w:val="32"/>
          <w:szCs w:val="32"/>
          <w:lang w:val="zh-CN"/>
        </w:rPr>
        <w:t>文化旅游体育与传媒支出：</w:t>
      </w:r>
      <w:r>
        <w:rPr>
          <w:rFonts w:hint="eastAsia" w:ascii="仿宋" w:eastAsia="仿宋" w:cs="方正仿宋_GB18030"/>
          <w:color w:val="000000"/>
          <w:kern w:val="2"/>
          <w:sz w:val="32"/>
          <w:szCs w:val="32"/>
          <w:lang w:val="zh-CN" w:eastAsia="zh-CN"/>
        </w:rPr>
        <w:t>198.93</w:t>
      </w:r>
      <w:r>
        <w:rPr>
          <w:rFonts w:hint="eastAsia" w:ascii="仿宋" w:eastAsia="仿宋" w:cs="方正仿宋_GB18030"/>
          <w:color w:val="000000"/>
          <w:kern w:val="2"/>
          <w:sz w:val="32"/>
          <w:szCs w:val="32"/>
          <w:lang w:val="zh-CN"/>
        </w:rPr>
        <w:t>万元，社会保障和就业支出：</w:t>
      </w:r>
      <w:r>
        <w:rPr>
          <w:rFonts w:hint="eastAsia" w:ascii="仿宋" w:eastAsia="仿宋" w:cs="方正仿宋_GB18030"/>
          <w:color w:val="000000"/>
          <w:kern w:val="2"/>
          <w:sz w:val="32"/>
          <w:szCs w:val="32"/>
          <w:lang w:val="zh-CN" w:eastAsia="zh-CN"/>
        </w:rPr>
        <w:t>26.30</w:t>
      </w:r>
      <w:r>
        <w:rPr>
          <w:rFonts w:hint="eastAsia" w:ascii="仿宋" w:eastAsia="仿宋" w:cs="方正仿宋_GB18030"/>
          <w:color w:val="000000"/>
          <w:kern w:val="2"/>
          <w:sz w:val="32"/>
          <w:szCs w:val="32"/>
          <w:lang w:val="zh-CN"/>
        </w:rPr>
        <w:t>万元，卫生健康支出：</w:t>
      </w:r>
      <w:r>
        <w:rPr>
          <w:rFonts w:hint="eastAsia" w:ascii="仿宋" w:eastAsia="仿宋" w:cs="方正仿宋_GB18030"/>
          <w:color w:val="000000"/>
          <w:kern w:val="2"/>
          <w:sz w:val="32"/>
          <w:szCs w:val="32"/>
          <w:lang w:val="zh-CN" w:eastAsia="zh-CN"/>
        </w:rPr>
        <w:t>11.18</w:t>
      </w:r>
      <w:r>
        <w:rPr>
          <w:rFonts w:hint="eastAsia" w:ascii="仿宋" w:eastAsia="仿宋" w:cs="方正仿宋_GB18030"/>
          <w:color w:val="000000"/>
          <w:kern w:val="2"/>
          <w:sz w:val="32"/>
          <w:szCs w:val="32"/>
          <w:lang w:val="zh-CN"/>
        </w:rPr>
        <w:t>万元，农林水支出：</w:t>
      </w:r>
      <w:r>
        <w:rPr>
          <w:rFonts w:hint="eastAsia" w:ascii="仿宋" w:eastAsia="仿宋" w:cs="方正仿宋_GB18030"/>
          <w:color w:val="000000"/>
          <w:kern w:val="2"/>
          <w:sz w:val="32"/>
          <w:szCs w:val="32"/>
          <w:lang w:val="zh-CN" w:eastAsia="zh-CN"/>
        </w:rPr>
        <w:t>933.54</w:t>
      </w:r>
      <w:r>
        <w:rPr>
          <w:rFonts w:hint="eastAsia" w:ascii="仿宋" w:eastAsia="仿宋" w:cs="方正仿宋_GB18030"/>
          <w:color w:val="000000"/>
          <w:kern w:val="2"/>
          <w:sz w:val="32"/>
          <w:szCs w:val="32"/>
          <w:lang w:val="zh-CN"/>
        </w:rPr>
        <w:t>万元，住房保障支出：</w:t>
      </w:r>
      <w:r>
        <w:rPr>
          <w:rFonts w:hint="eastAsia" w:ascii="仿宋" w:eastAsia="仿宋" w:cs="方正仿宋_GB18030"/>
          <w:color w:val="000000"/>
          <w:kern w:val="2"/>
          <w:sz w:val="32"/>
          <w:szCs w:val="32"/>
          <w:lang w:val="zh-CN" w:eastAsia="zh-CN"/>
        </w:rPr>
        <w:t>17.45</w:t>
      </w:r>
      <w:r>
        <w:rPr>
          <w:rFonts w:hint="eastAsia" w:ascii="仿宋" w:eastAsia="仿宋" w:cs="方正仿宋_GB18030"/>
          <w:color w:val="000000"/>
          <w:kern w:val="2"/>
          <w:sz w:val="32"/>
          <w:szCs w:val="32"/>
          <w:lang w:val="zh-CN"/>
        </w:rPr>
        <w:t>万元，其他支出：20万元。</w:t>
      </w:r>
    </w:p>
    <w:p>
      <w:pPr>
        <w:widowControl/>
        <w:tabs>
          <w:tab w:val="left" w:pos="8460"/>
        </w:tabs>
        <w:adjustRightInd w:val="0"/>
        <w:snapToGrid w:val="0"/>
        <w:spacing w:line="576" w:lineRule="exact"/>
        <w:ind w:firstLine="640" w:firstLineChars="200"/>
        <w:jc w:val="left"/>
        <w:rPr>
          <w:rFonts w:hint="eastAsia" w:ascii="黑体" w:eastAsia="黑体" w:cs="黑体"/>
          <w:bCs/>
          <w:color w:val="000000"/>
          <w:kern w:val="0"/>
          <w:sz w:val="32"/>
          <w:szCs w:val="32"/>
          <w:shd w:val="clear" w:color="auto" w:fill="FFFFFF"/>
          <w:lang w:val="zh-CN"/>
        </w:rPr>
      </w:pPr>
      <w:r>
        <w:rPr>
          <w:rFonts w:hint="eastAsia" w:ascii="黑体" w:eastAsia="黑体" w:cs="黑体"/>
          <w:bCs/>
          <w:color w:val="000000"/>
          <w:kern w:val="0"/>
          <w:sz w:val="32"/>
          <w:szCs w:val="32"/>
          <w:shd w:val="clear" w:color="auto" w:fill="FFFFFF"/>
          <w:lang w:val="zh-CN"/>
        </w:rPr>
        <w:t>三、部门整体预算绩效管理情况</w:t>
      </w:r>
    </w:p>
    <w:p>
      <w:pPr>
        <w:keepNext w:val="0"/>
        <w:keepLines w:val="0"/>
        <w:pageBreakBefore w:val="0"/>
        <w:widowControl/>
        <w:kinsoku/>
        <w:wordWrap/>
        <w:overflowPunct/>
        <w:topLinePunct w:val="0"/>
        <w:autoSpaceDE/>
        <w:autoSpaceDN/>
        <w:adjustRightInd w:val="0"/>
        <w:snapToGrid w:val="0"/>
        <w:spacing w:line="576" w:lineRule="exact"/>
        <w:ind w:left="0" w:firstLine="480" w:firstLineChars="150"/>
        <w:contextualSpacing/>
        <w:jc w:val="left"/>
        <w:rPr>
          <w:rFonts w:hint="eastAsia" w:ascii="方正仿宋_GB18030" w:eastAsia="方正仿宋_GB18030" w:cs="方正仿宋_GB18030"/>
          <w:color w:val="000000"/>
          <w:kern w:val="0"/>
          <w:sz w:val="32"/>
          <w:szCs w:val="32"/>
          <w:shd w:val="clear" w:color="auto" w:fill="FFFFFF"/>
          <w:lang w:val="zh-CN"/>
        </w:rPr>
      </w:pPr>
      <w:r>
        <w:rPr>
          <w:rFonts w:hint="eastAsia" w:ascii="方正仿宋_GB18030" w:eastAsia="方正仿宋_GB18030" w:cs="方正仿宋_GB18030"/>
          <w:color w:val="000000"/>
          <w:kern w:val="0"/>
          <w:sz w:val="32"/>
          <w:szCs w:val="32"/>
          <w:shd w:val="clear" w:color="auto" w:fill="FFFFFF"/>
          <w:lang w:val="zh-CN"/>
        </w:rPr>
        <w:t>（一）部门预算项目绩效管理</w:t>
      </w:r>
    </w:p>
    <w:p>
      <w:pPr>
        <w:pStyle w:val="7"/>
        <w:keepNext w:val="0"/>
        <w:keepLines w:val="0"/>
        <w:pageBreakBefore w:val="0"/>
        <w:widowControl w:val="0"/>
        <w:kinsoku/>
        <w:wordWrap/>
        <w:overflowPunct/>
        <w:topLinePunct w:val="0"/>
        <w:autoSpaceDE/>
        <w:autoSpaceDN/>
        <w:adjustRightInd/>
        <w:snapToGrid/>
        <w:spacing w:before="30" w:beforeLines="0" w:line="576" w:lineRule="exact"/>
        <w:ind w:firstLine="640" w:firstLineChars="200"/>
        <w:rPr>
          <w:rFonts w:hint="eastAsia" w:ascii="仿宋" w:eastAsia="仿宋" w:cs="方正仿宋_GB18030"/>
          <w:color w:val="000000"/>
          <w:kern w:val="2"/>
          <w:sz w:val="32"/>
          <w:szCs w:val="32"/>
          <w:lang w:val="zh-CN"/>
        </w:rPr>
      </w:pPr>
      <w:r>
        <w:rPr>
          <w:rFonts w:hint="eastAsia" w:ascii="仿宋" w:eastAsia="仿宋" w:cs="方正仿宋_GB18030"/>
          <w:color w:val="000000"/>
          <w:kern w:val="2"/>
          <w:sz w:val="32"/>
          <w:szCs w:val="32"/>
          <w:lang w:val="zh-CN" w:eastAsia="zh-CN"/>
        </w:rPr>
        <w:t>我单位严格按照财政相关规定制定</w:t>
      </w:r>
      <w:r>
        <w:rPr>
          <w:rFonts w:hint="eastAsia" w:ascii="仿宋" w:eastAsia="仿宋" w:cs="方正仿宋_GB18030"/>
          <w:color w:val="000000"/>
          <w:kern w:val="2"/>
          <w:sz w:val="32"/>
          <w:szCs w:val="32"/>
          <w:lang w:val="zh-CN"/>
        </w:rPr>
        <w:t>绩效目标，</w:t>
      </w:r>
      <w:r>
        <w:rPr>
          <w:rFonts w:hint="eastAsia" w:ascii="仿宋" w:eastAsia="仿宋" w:cs="方正仿宋_GB18030"/>
          <w:color w:val="000000"/>
          <w:kern w:val="2"/>
          <w:sz w:val="32"/>
          <w:szCs w:val="32"/>
          <w:lang w:val="zh-CN" w:eastAsia="zh-CN"/>
        </w:rPr>
        <w:t>人员工资社保等做到及时发放</w:t>
      </w:r>
      <w:r>
        <w:rPr>
          <w:rFonts w:hint="eastAsia" w:ascii="仿宋" w:eastAsia="仿宋" w:cs="方正仿宋_GB18030"/>
          <w:color w:val="000000"/>
          <w:kern w:val="2"/>
          <w:sz w:val="32"/>
          <w:szCs w:val="32"/>
          <w:lang w:val="zh-CN"/>
        </w:rPr>
        <w:t>、</w:t>
      </w:r>
      <w:r>
        <w:rPr>
          <w:rFonts w:hint="eastAsia" w:ascii="仿宋" w:eastAsia="仿宋" w:cs="方正仿宋_GB18030"/>
          <w:color w:val="000000"/>
          <w:kern w:val="2"/>
          <w:sz w:val="32"/>
          <w:szCs w:val="32"/>
          <w:lang w:val="zh-CN" w:eastAsia="zh-CN"/>
        </w:rPr>
        <w:t>单位日常运转所需经费按照各股室提出申请，办公室审核，分管领导同意后进行支付</w:t>
      </w:r>
      <w:r>
        <w:rPr>
          <w:rFonts w:hint="eastAsia" w:ascii="仿宋" w:eastAsia="仿宋" w:cs="方正仿宋_GB18030"/>
          <w:color w:val="000000"/>
          <w:kern w:val="2"/>
          <w:sz w:val="32"/>
          <w:szCs w:val="32"/>
          <w:lang w:val="zh-CN"/>
        </w:rPr>
        <w:t>。加强项目绩效管理，完善全过程预算绩效管理模式和问责机制。进一步完善贯穿项目实施全过程（绩效目标管理、绩效监控、绩效评价、结果应用）的绩效管理机制，从项目绩效目标编制审核入手，加强财政资金的跟踪问效，及时纠正绩效偏差，延伸财政管理链条，提升精细化管理水平，提高财政资金的使用效益。以立项环节为抓手，建立财政资金管理项目库。作为地方预算编制的依据。建立完善财政项目资金管理绩效考核机制，引入第三方机构或专家小组，独立对财政项目进行评估和论证，改进财政项目资金申报、论证、审批、分配方式。建立规范、高效的财政预算绩效运行机制。进一步加强财政项目资金管理，优化财政资源配置，推进资金统筹使用，提高资金使用效益。</w:t>
      </w:r>
      <w:r>
        <w:rPr>
          <w:rFonts w:hint="eastAsia" w:ascii="仿宋" w:eastAsia="仿宋" w:cs="方正仿宋_GB18030"/>
          <w:color w:val="000000"/>
          <w:kern w:val="2"/>
          <w:sz w:val="32"/>
          <w:szCs w:val="32"/>
          <w:lang w:val="zh-CN" w:eastAsia="zh-CN"/>
        </w:rPr>
        <w:t>严格把关单位各部门差旅费</w:t>
      </w:r>
      <w:r>
        <w:rPr>
          <w:rFonts w:hint="eastAsia" w:ascii="仿宋" w:eastAsia="仿宋" w:cs="方正仿宋_GB18030"/>
          <w:color w:val="000000"/>
          <w:kern w:val="2"/>
          <w:sz w:val="32"/>
          <w:szCs w:val="32"/>
          <w:lang w:val="zh-CN"/>
        </w:rPr>
        <w:t>、</w:t>
      </w:r>
      <w:r>
        <w:rPr>
          <w:rFonts w:hint="eastAsia" w:ascii="仿宋" w:eastAsia="仿宋" w:cs="方正仿宋_GB18030"/>
          <w:color w:val="000000"/>
          <w:kern w:val="2"/>
          <w:sz w:val="32"/>
          <w:szCs w:val="32"/>
          <w:lang w:val="zh-CN" w:eastAsia="zh-CN"/>
        </w:rPr>
        <w:t>接待费、办公费、公务用车运行维护费等支出，确保使用合理高效。我单位各预算资金及时按规定支付</w:t>
      </w:r>
      <w:r>
        <w:rPr>
          <w:rFonts w:hint="eastAsia" w:ascii="仿宋" w:eastAsia="仿宋" w:cs="方正仿宋_GB18030"/>
          <w:color w:val="000000"/>
          <w:kern w:val="2"/>
          <w:sz w:val="32"/>
          <w:szCs w:val="32"/>
          <w:lang w:val="zh-CN"/>
        </w:rPr>
        <w:t>、</w:t>
      </w:r>
      <w:r>
        <w:rPr>
          <w:rFonts w:hint="eastAsia" w:ascii="仿宋" w:eastAsia="仿宋" w:cs="方正仿宋_GB18030"/>
          <w:color w:val="000000"/>
          <w:kern w:val="2"/>
          <w:sz w:val="32"/>
          <w:szCs w:val="32"/>
          <w:lang w:val="zh-CN" w:eastAsia="zh-CN"/>
        </w:rPr>
        <w:t>无</w:t>
      </w:r>
      <w:r>
        <w:rPr>
          <w:rFonts w:hint="eastAsia" w:ascii="仿宋" w:eastAsia="仿宋" w:cs="方正仿宋_GB18030"/>
          <w:color w:val="000000"/>
          <w:kern w:val="2"/>
          <w:sz w:val="32"/>
          <w:szCs w:val="32"/>
          <w:lang w:val="zh-CN"/>
        </w:rPr>
        <w:t>违规记录。</w:t>
      </w:r>
    </w:p>
    <w:p>
      <w:pPr>
        <w:keepNext w:val="0"/>
        <w:keepLines w:val="0"/>
        <w:pageBreakBefore w:val="0"/>
        <w:widowControl/>
        <w:kinsoku/>
        <w:wordWrap/>
        <w:overflowPunct/>
        <w:topLinePunct w:val="0"/>
        <w:autoSpaceDE/>
        <w:autoSpaceDN/>
        <w:adjustRightInd w:val="0"/>
        <w:snapToGrid w:val="0"/>
        <w:spacing w:line="576" w:lineRule="exact"/>
        <w:ind w:left="0" w:firstLine="480" w:firstLineChars="150"/>
        <w:contextualSpacing/>
        <w:jc w:val="left"/>
        <w:rPr>
          <w:rFonts w:hint="eastAsia" w:ascii="方正仿宋_GB18030" w:eastAsia="方正仿宋_GB18030" w:cs="方正仿宋_GB18030"/>
          <w:color w:val="000000"/>
          <w:kern w:val="0"/>
          <w:sz w:val="32"/>
          <w:szCs w:val="32"/>
          <w:shd w:val="clear" w:color="auto" w:fill="FFFFFF"/>
          <w:lang w:val="zh-CN"/>
        </w:rPr>
      </w:pPr>
      <w:r>
        <w:rPr>
          <w:rFonts w:hint="eastAsia" w:ascii="方正仿宋_GB18030" w:eastAsia="方正仿宋_GB18030" w:cs="方正仿宋_GB18030"/>
          <w:color w:val="000000"/>
          <w:kern w:val="0"/>
          <w:sz w:val="32"/>
          <w:szCs w:val="32"/>
          <w:shd w:val="clear" w:color="auto" w:fill="FFFFFF"/>
          <w:lang w:val="zh-CN"/>
        </w:rPr>
        <w:t>（二）结果应用情况</w:t>
      </w:r>
    </w:p>
    <w:p>
      <w:pPr>
        <w:pStyle w:val="7"/>
        <w:keepNext w:val="0"/>
        <w:keepLines w:val="0"/>
        <w:pageBreakBefore w:val="0"/>
        <w:widowControl w:val="0"/>
        <w:kinsoku/>
        <w:wordWrap/>
        <w:overflowPunct/>
        <w:topLinePunct w:val="0"/>
        <w:autoSpaceDE/>
        <w:autoSpaceDN/>
        <w:adjustRightInd/>
        <w:snapToGrid/>
        <w:spacing w:before="30" w:beforeLines="0" w:line="576" w:lineRule="exact"/>
        <w:ind w:firstLine="640" w:firstLineChars="200"/>
        <w:rPr>
          <w:rFonts w:hint="eastAsia" w:ascii="仿宋" w:eastAsia="仿宋" w:cs="方正仿宋_GB18030"/>
          <w:color w:val="000000"/>
          <w:kern w:val="2"/>
          <w:sz w:val="32"/>
          <w:szCs w:val="32"/>
          <w:lang w:val="zh-CN"/>
        </w:rPr>
      </w:pPr>
      <w:r>
        <w:rPr>
          <w:rFonts w:hint="eastAsia" w:ascii="仿宋" w:eastAsia="仿宋" w:cs="方正仿宋_GB18030"/>
          <w:color w:val="000000"/>
          <w:kern w:val="2"/>
          <w:sz w:val="32"/>
          <w:szCs w:val="32"/>
          <w:lang w:val="zh-CN"/>
        </w:rPr>
        <w:t>我单位严格按照财务规章制度进行自评、做到自评主动公开、发现问题及时整改。</w:t>
      </w:r>
    </w:p>
    <w:p>
      <w:pPr>
        <w:keepNext w:val="0"/>
        <w:keepLines w:val="0"/>
        <w:pageBreakBefore w:val="0"/>
        <w:widowControl/>
        <w:kinsoku/>
        <w:wordWrap/>
        <w:overflowPunct/>
        <w:topLinePunct w:val="0"/>
        <w:autoSpaceDE/>
        <w:autoSpaceDN/>
        <w:adjustRightInd w:val="0"/>
        <w:snapToGrid w:val="0"/>
        <w:spacing w:line="576" w:lineRule="exact"/>
        <w:ind w:left="0" w:firstLine="480" w:firstLineChars="150"/>
        <w:contextualSpacing/>
        <w:jc w:val="left"/>
        <w:rPr>
          <w:rFonts w:hint="eastAsia" w:ascii="方正仿宋_GB18030" w:eastAsia="方正仿宋_GB18030" w:cs="方正仿宋_GB18030"/>
          <w:color w:val="000000"/>
          <w:kern w:val="0"/>
          <w:sz w:val="32"/>
          <w:szCs w:val="32"/>
          <w:shd w:val="clear" w:color="auto" w:fill="FFFFFF"/>
          <w:lang w:val="zh-CN"/>
        </w:rPr>
      </w:pPr>
      <w:r>
        <w:rPr>
          <w:rFonts w:hint="eastAsia" w:ascii="方正仿宋_GB18030" w:eastAsia="方正仿宋_GB18030" w:cs="方正仿宋_GB18030"/>
          <w:color w:val="000000"/>
          <w:kern w:val="0"/>
          <w:sz w:val="32"/>
          <w:szCs w:val="32"/>
          <w:shd w:val="clear" w:color="auto" w:fill="FFFFFF"/>
          <w:lang w:val="zh-CN"/>
        </w:rPr>
        <w:t>（三）自评质量</w:t>
      </w:r>
    </w:p>
    <w:p>
      <w:pPr>
        <w:pStyle w:val="7"/>
        <w:keepNext w:val="0"/>
        <w:keepLines w:val="0"/>
        <w:pageBreakBefore w:val="0"/>
        <w:widowControl w:val="0"/>
        <w:kinsoku/>
        <w:wordWrap/>
        <w:overflowPunct/>
        <w:topLinePunct w:val="0"/>
        <w:autoSpaceDE/>
        <w:autoSpaceDN/>
        <w:adjustRightInd/>
        <w:snapToGrid/>
        <w:spacing w:before="30" w:beforeLines="0" w:line="576" w:lineRule="exact"/>
        <w:ind w:firstLine="640" w:firstLineChars="200"/>
        <w:rPr>
          <w:rFonts w:hint="eastAsia" w:ascii="仿宋" w:eastAsia="仿宋" w:cs="方正仿宋_GB18030"/>
          <w:color w:val="000000"/>
          <w:kern w:val="2"/>
          <w:sz w:val="32"/>
          <w:szCs w:val="32"/>
          <w:lang w:val="zh-CN"/>
        </w:rPr>
      </w:pPr>
      <w:r>
        <w:rPr>
          <w:rFonts w:hint="eastAsia" w:ascii="仿宋" w:eastAsia="仿宋" w:cs="方正仿宋_GB18030"/>
          <w:color w:val="000000"/>
          <w:kern w:val="2"/>
          <w:sz w:val="32"/>
          <w:szCs w:val="32"/>
          <w:lang w:val="zh-CN"/>
        </w:rPr>
        <w:t>通过上级部门及本级财政部门的评估检查，本单位财务职责履行结果良好，重点项目绩效评估良好，服务对象及满意度得到上级部门及本级部门的肯定，整体结果良好。</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黑体" w:eastAsia="黑体" w:cs="黑体"/>
          <w:bCs/>
          <w:color w:val="000000"/>
          <w:kern w:val="0"/>
          <w:sz w:val="32"/>
          <w:szCs w:val="32"/>
          <w:shd w:val="clear" w:color="auto" w:fill="FFFFFF"/>
          <w:lang w:val="zh-CN"/>
        </w:rPr>
      </w:pPr>
      <w:r>
        <w:rPr>
          <w:rFonts w:hint="eastAsia" w:ascii="黑体" w:eastAsia="黑体" w:cs="黑体"/>
          <w:bCs/>
          <w:color w:val="000000"/>
          <w:kern w:val="0"/>
          <w:sz w:val="32"/>
          <w:szCs w:val="32"/>
          <w:shd w:val="clear" w:color="auto" w:fill="FFFFFF"/>
          <w:lang w:val="zh-CN"/>
        </w:rPr>
        <w:t>四、评价结论及建议</w:t>
      </w:r>
    </w:p>
    <w:p>
      <w:pPr>
        <w:keepNext w:val="0"/>
        <w:keepLines w:val="0"/>
        <w:pageBreakBefore w:val="0"/>
        <w:widowControl/>
        <w:kinsoku/>
        <w:wordWrap/>
        <w:overflowPunct/>
        <w:topLinePunct w:val="0"/>
        <w:autoSpaceDE/>
        <w:autoSpaceDN/>
        <w:adjustRightInd w:val="0"/>
        <w:snapToGrid w:val="0"/>
        <w:spacing w:line="576" w:lineRule="exact"/>
        <w:ind w:left="0" w:firstLine="480" w:firstLineChars="150"/>
        <w:contextualSpacing/>
        <w:jc w:val="left"/>
        <w:rPr>
          <w:rFonts w:hint="eastAsia" w:ascii="方正仿宋_GB18030" w:eastAsia="方正仿宋_GB18030" w:cs="方正仿宋_GB18030"/>
          <w:color w:val="000000"/>
          <w:kern w:val="0"/>
          <w:sz w:val="32"/>
          <w:szCs w:val="32"/>
          <w:shd w:val="clear" w:color="auto" w:fill="FFFFFF"/>
          <w:lang w:val="zh-CN"/>
        </w:rPr>
      </w:pPr>
      <w:r>
        <w:rPr>
          <w:rFonts w:hint="eastAsia" w:ascii="方正仿宋_GB18030" w:eastAsia="方正仿宋_GB18030" w:cs="方正仿宋_GB18030"/>
          <w:color w:val="000000"/>
          <w:kern w:val="0"/>
          <w:sz w:val="32"/>
          <w:szCs w:val="32"/>
          <w:shd w:val="clear" w:color="auto" w:fill="FFFFFF"/>
          <w:lang w:val="zh-CN"/>
        </w:rPr>
        <w:t>（一）评价结论</w:t>
      </w:r>
    </w:p>
    <w:p>
      <w:pPr>
        <w:pStyle w:val="7"/>
        <w:keepNext w:val="0"/>
        <w:keepLines w:val="0"/>
        <w:pageBreakBefore w:val="0"/>
        <w:widowControl w:val="0"/>
        <w:kinsoku/>
        <w:wordWrap/>
        <w:overflowPunct/>
        <w:topLinePunct w:val="0"/>
        <w:autoSpaceDE/>
        <w:autoSpaceDN/>
        <w:adjustRightInd/>
        <w:snapToGrid/>
        <w:spacing w:before="30" w:beforeLines="0" w:line="576" w:lineRule="exact"/>
        <w:ind w:firstLine="640" w:firstLineChars="200"/>
        <w:rPr>
          <w:rFonts w:hint="eastAsia" w:ascii="仿宋" w:eastAsia="仿宋" w:cs="方正仿宋_GB18030"/>
          <w:color w:val="000000"/>
          <w:kern w:val="2"/>
          <w:sz w:val="32"/>
          <w:szCs w:val="32"/>
          <w:lang w:val="zh-CN"/>
        </w:rPr>
      </w:pPr>
      <w:r>
        <w:rPr>
          <w:rFonts w:hint="eastAsia" w:ascii="仿宋" w:eastAsia="仿宋" w:cs="方正仿宋_GB18030"/>
          <w:color w:val="000000"/>
          <w:kern w:val="2"/>
          <w:sz w:val="32"/>
          <w:szCs w:val="32"/>
          <w:lang w:val="zh-CN"/>
        </w:rPr>
        <w:t>按照上级部门及本级财政部门的要求及时完成各项工作，我单位自评合格</w:t>
      </w:r>
      <w:r>
        <w:rPr>
          <w:rFonts w:hint="eastAsia" w:ascii="仿宋" w:eastAsia="仿宋" w:cs="方正仿宋_GB18030"/>
          <w:color w:val="000000"/>
          <w:kern w:val="2"/>
          <w:sz w:val="32"/>
          <w:szCs w:val="32"/>
          <w:lang w:val="zh-CN" w:eastAsia="zh-CN"/>
        </w:rPr>
        <w:t>。</w:t>
      </w:r>
    </w:p>
    <w:p>
      <w:pPr>
        <w:keepNext w:val="0"/>
        <w:keepLines w:val="0"/>
        <w:pageBreakBefore w:val="0"/>
        <w:widowControl/>
        <w:kinsoku/>
        <w:wordWrap/>
        <w:overflowPunct/>
        <w:topLinePunct w:val="0"/>
        <w:autoSpaceDE/>
        <w:autoSpaceDN/>
        <w:adjustRightInd w:val="0"/>
        <w:snapToGrid w:val="0"/>
        <w:spacing w:line="576" w:lineRule="exact"/>
        <w:ind w:left="0" w:firstLine="480" w:firstLineChars="150"/>
        <w:contextualSpacing/>
        <w:jc w:val="left"/>
        <w:rPr>
          <w:rFonts w:hint="eastAsia" w:ascii="方正仿宋_GB18030" w:eastAsia="方正仿宋_GB18030" w:cs="方正仿宋_GB18030"/>
          <w:color w:val="000000"/>
          <w:kern w:val="0"/>
          <w:sz w:val="32"/>
          <w:szCs w:val="32"/>
          <w:shd w:val="clear" w:color="auto" w:fill="FFFFFF"/>
          <w:lang w:val="zh-CN"/>
        </w:rPr>
      </w:pPr>
      <w:r>
        <w:rPr>
          <w:rFonts w:hint="eastAsia" w:ascii="方正仿宋_GB18030" w:eastAsia="方正仿宋_GB18030" w:cs="方正仿宋_GB18030"/>
          <w:color w:val="000000"/>
          <w:kern w:val="0"/>
          <w:sz w:val="32"/>
          <w:szCs w:val="32"/>
          <w:shd w:val="clear" w:color="auto" w:fill="FFFFFF"/>
          <w:lang w:val="zh-CN"/>
        </w:rPr>
        <w:t>（</w:t>
      </w:r>
      <w:r>
        <w:rPr>
          <w:rFonts w:hint="eastAsia" w:ascii="方正仿宋_GB18030" w:eastAsia="方正仿宋_GB18030" w:cs="方正仿宋_GB18030"/>
          <w:color w:val="000000"/>
          <w:kern w:val="0"/>
          <w:sz w:val="32"/>
          <w:szCs w:val="32"/>
          <w:shd w:val="clear" w:color="auto" w:fill="FFFFFF"/>
          <w:lang w:val="zh-CN" w:eastAsia="zh-CN"/>
        </w:rPr>
        <w:t>二</w:t>
      </w:r>
      <w:r>
        <w:rPr>
          <w:rFonts w:hint="eastAsia" w:ascii="方正仿宋_GB18030" w:eastAsia="方正仿宋_GB18030" w:cs="方正仿宋_GB18030"/>
          <w:color w:val="000000"/>
          <w:kern w:val="0"/>
          <w:sz w:val="32"/>
          <w:szCs w:val="32"/>
          <w:shd w:val="clear" w:color="auto" w:fill="FFFFFF"/>
          <w:lang w:val="zh-CN"/>
        </w:rPr>
        <w:t>）存在问题</w:t>
      </w:r>
    </w:p>
    <w:p>
      <w:pPr>
        <w:pStyle w:val="7"/>
        <w:keepNext w:val="0"/>
        <w:keepLines w:val="0"/>
        <w:pageBreakBefore w:val="0"/>
        <w:widowControl w:val="0"/>
        <w:kinsoku/>
        <w:wordWrap/>
        <w:overflowPunct/>
        <w:topLinePunct w:val="0"/>
        <w:autoSpaceDE/>
        <w:autoSpaceDN/>
        <w:adjustRightInd/>
        <w:snapToGrid/>
        <w:spacing w:before="30" w:beforeLines="0" w:line="576" w:lineRule="exact"/>
        <w:ind w:firstLine="640" w:firstLineChars="200"/>
        <w:rPr>
          <w:rFonts w:hint="eastAsia" w:ascii="仿宋" w:eastAsia="仿宋" w:cs="方正仿宋_GB18030"/>
          <w:color w:val="000000"/>
          <w:kern w:val="2"/>
          <w:sz w:val="32"/>
          <w:szCs w:val="32"/>
          <w:lang w:val="zh-CN"/>
        </w:rPr>
      </w:pPr>
      <w:r>
        <w:rPr>
          <w:rFonts w:hint="eastAsia" w:ascii="仿宋" w:eastAsia="仿宋" w:cs="方正仿宋_GB18030"/>
          <w:color w:val="000000"/>
          <w:kern w:val="2"/>
          <w:sz w:val="32"/>
          <w:szCs w:val="32"/>
          <w:lang w:val="zh-CN"/>
        </w:rPr>
        <w:t>财务效能提升有待加强，我单位将严格按照财经纪律要求，进一步加大对财务各环节的监督检查，健全完善各项规章制度，有效提高财务工作各项效能。</w:t>
      </w:r>
    </w:p>
    <w:p>
      <w:pPr>
        <w:keepNext w:val="0"/>
        <w:keepLines w:val="0"/>
        <w:pageBreakBefore w:val="0"/>
        <w:widowControl/>
        <w:kinsoku/>
        <w:wordWrap/>
        <w:overflowPunct/>
        <w:topLinePunct w:val="0"/>
        <w:autoSpaceDE/>
        <w:autoSpaceDN/>
        <w:adjustRightInd w:val="0"/>
        <w:snapToGrid w:val="0"/>
        <w:spacing w:line="576" w:lineRule="exact"/>
        <w:ind w:left="0" w:firstLine="480" w:firstLineChars="150"/>
        <w:contextualSpacing/>
        <w:jc w:val="left"/>
        <w:rPr>
          <w:rFonts w:hint="eastAsia" w:ascii="方正仿宋_GB18030" w:eastAsia="方正仿宋_GB18030" w:cs="方正仿宋_GB18030"/>
          <w:color w:val="000000"/>
          <w:kern w:val="0"/>
          <w:sz w:val="32"/>
          <w:szCs w:val="32"/>
          <w:shd w:val="clear" w:color="auto" w:fill="FFFFFF"/>
          <w:lang w:val="zh-CN"/>
        </w:rPr>
      </w:pPr>
      <w:r>
        <w:rPr>
          <w:rFonts w:hint="eastAsia" w:ascii="方正仿宋_GB18030" w:eastAsia="方正仿宋_GB18030" w:cs="方正仿宋_GB18030"/>
          <w:color w:val="000000"/>
          <w:kern w:val="0"/>
          <w:sz w:val="32"/>
          <w:szCs w:val="32"/>
          <w:shd w:val="clear" w:color="auto" w:fill="FFFFFF"/>
          <w:lang w:val="zh-CN"/>
        </w:rPr>
        <w:t>（</w:t>
      </w:r>
      <w:r>
        <w:rPr>
          <w:rFonts w:hint="eastAsia" w:ascii="方正仿宋_GB18030" w:eastAsia="方正仿宋_GB18030" w:cs="方正仿宋_GB18030"/>
          <w:color w:val="000000"/>
          <w:kern w:val="0"/>
          <w:sz w:val="32"/>
          <w:szCs w:val="32"/>
          <w:shd w:val="clear" w:color="auto" w:fill="FFFFFF"/>
          <w:lang w:val="zh-CN" w:eastAsia="zh-CN"/>
        </w:rPr>
        <w:t>三</w:t>
      </w:r>
      <w:r>
        <w:rPr>
          <w:rFonts w:hint="eastAsia" w:ascii="方正仿宋_GB18030" w:eastAsia="方正仿宋_GB18030" w:cs="方正仿宋_GB18030"/>
          <w:color w:val="000000"/>
          <w:kern w:val="0"/>
          <w:sz w:val="32"/>
          <w:szCs w:val="32"/>
          <w:shd w:val="clear" w:color="auto" w:fill="FFFFFF"/>
          <w:lang w:val="zh-CN"/>
        </w:rPr>
        <w:t>）改进建议</w:t>
      </w:r>
    </w:p>
    <w:p>
      <w:pPr>
        <w:pStyle w:val="7"/>
        <w:keepNext w:val="0"/>
        <w:keepLines w:val="0"/>
        <w:pageBreakBefore w:val="0"/>
        <w:widowControl w:val="0"/>
        <w:kinsoku/>
        <w:wordWrap/>
        <w:overflowPunct/>
        <w:topLinePunct w:val="0"/>
        <w:autoSpaceDE/>
        <w:autoSpaceDN/>
        <w:adjustRightInd/>
        <w:snapToGrid/>
        <w:spacing w:before="30" w:beforeLines="0" w:line="576" w:lineRule="exact"/>
        <w:ind w:firstLine="640" w:firstLineChars="200"/>
        <w:rPr>
          <w:rFonts w:hint="eastAsia" w:ascii="仿宋" w:eastAsia="仿宋" w:cs="方正仿宋_GB18030"/>
          <w:color w:val="000000"/>
          <w:kern w:val="2"/>
          <w:sz w:val="32"/>
          <w:szCs w:val="32"/>
          <w:lang w:val="zh-CN" w:eastAsia="zh-CN"/>
        </w:rPr>
      </w:pPr>
      <w:r>
        <w:rPr>
          <w:rFonts w:hint="eastAsia" w:ascii="仿宋" w:eastAsia="仿宋" w:cs="方正仿宋_GB18030"/>
          <w:color w:val="000000"/>
          <w:kern w:val="2"/>
          <w:sz w:val="32"/>
          <w:szCs w:val="32"/>
          <w:lang w:val="zh-CN" w:eastAsia="zh-CN"/>
        </w:rPr>
        <w:t>下一步</w:t>
      </w:r>
      <w:r>
        <w:rPr>
          <w:rFonts w:hint="eastAsia" w:ascii="仿宋" w:eastAsia="仿宋" w:cs="方正仿宋_GB18030"/>
          <w:color w:val="000000"/>
          <w:kern w:val="2"/>
          <w:sz w:val="32"/>
          <w:szCs w:val="32"/>
          <w:lang w:val="zh-CN"/>
        </w:rPr>
        <w:t>，我</w:t>
      </w:r>
      <w:r>
        <w:rPr>
          <w:rFonts w:hint="eastAsia" w:ascii="仿宋" w:eastAsia="仿宋" w:cs="方正仿宋_GB18030"/>
          <w:color w:val="000000"/>
          <w:kern w:val="2"/>
          <w:sz w:val="32"/>
          <w:szCs w:val="32"/>
          <w:lang w:val="zh-CN" w:eastAsia="zh-CN"/>
        </w:rPr>
        <w:t>单位</w:t>
      </w:r>
      <w:r>
        <w:rPr>
          <w:rFonts w:hint="eastAsia" w:ascii="仿宋" w:eastAsia="仿宋" w:cs="方正仿宋_GB18030"/>
          <w:color w:val="000000"/>
          <w:kern w:val="2"/>
          <w:sz w:val="32"/>
          <w:szCs w:val="32"/>
          <w:lang w:val="zh-CN"/>
        </w:rPr>
        <w:t>将严格按照上级财政部门要求及本级财政部门各项工作任务安排，</w:t>
      </w:r>
      <w:r>
        <w:rPr>
          <w:rFonts w:hint="eastAsia" w:ascii="仿宋" w:eastAsia="仿宋" w:cs="方正仿宋_GB18030"/>
          <w:color w:val="000000"/>
          <w:kern w:val="2"/>
          <w:sz w:val="32"/>
          <w:szCs w:val="32"/>
          <w:lang w:val="zh-CN" w:eastAsia="zh-CN"/>
        </w:rPr>
        <w:t>建立</w:t>
      </w:r>
      <w:r>
        <w:rPr>
          <w:rFonts w:hint="eastAsia" w:ascii="仿宋" w:eastAsia="仿宋" w:cs="方正仿宋_GB18030"/>
          <w:color w:val="000000"/>
          <w:kern w:val="2"/>
          <w:sz w:val="32"/>
          <w:szCs w:val="32"/>
          <w:lang w:val="zh-CN"/>
        </w:rPr>
        <w:t>科学</w:t>
      </w:r>
      <w:r>
        <w:rPr>
          <w:rFonts w:hint="eastAsia" w:ascii="仿宋" w:eastAsia="仿宋" w:cs="方正仿宋_GB18030"/>
          <w:color w:val="000000"/>
          <w:kern w:val="2"/>
          <w:sz w:val="32"/>
          <w:szCs w:val="32"/>
          <w:lang w:val="zh-CN" w:eastAsia="zh-CN"/>
        </w:rPr>
        <w:t>、</w:t>
      </w:r>
      <w:r>
        <w:rPr>
          <w:rFonts w:hint="eastAsia" w:ascii="仿宋" w:eastAsia="仿宋" w:cs="方正仿宋_GB18030"/>
          <w:color w:val="000000"/>
          <w:kern w:val="2"/>
          <w:sz w:val="32"/>
          <w:szCs w:val="32"/>
          <w:lang w:val="zh-CN"/>
        </w:rPr>
        <w:t>统一、完整的财政绩效评价指标体系</w:t>
      </w:r>
      <w:r>
        <w:rPr>
          <w:rFonts w:hint="eastAsia" w:ascii="仿宋" w:eastAsia="仿宋" w:cs="方正仿宋_GB18030"/>
          <w:color w:val="000000"/>
          <w:kern w:val="2"/>
          <w:sz w:val="32"/>
          <w:szCs w:val="32"/>
          <w:lang w:val="zh-CN" w:eastAsia="zh-CN"/>
        </w:rPr>
        <w:t>，并将</w:t>
      </w:r>
      <w:r>
        <w:rPr>
          <w:rFonts w:hint="eastAsia" w:ascii="仿宋" w:eastAsia="仿宋" w:cs="方正仿宋_GB18030"/>
          <w:color w:val="000000"/>
          <w:kern w:val="2"/>
          <w:sz w:val="32"/>
          <w:szCs w:val="32"/>
          <w:lang w:val="zh-CN"/>
        </w:rPr>
        <w:t>绩效理念真正贯穿于</w:t>
      </w:r>
      <w:r>
        <w:rPr>
          <w:rFonts w:hint="eastAsia" w:ascii="仿宋" w:eastAsia="仿宋" w:cs="方正仿宋_GB18030"/>
          <w:color w:val="000000"/>
          <w:kern w:val="2"/>
          <w:sz w:val="32"/>
          <w:szCs w:val="32"/>
          <w:lang w:val="zh-CN" w:eastAsia="zh-CN"/>
        </w:rPr>
        <w:t>工作</w:t>
      </w:r>
      <w:r>
        <w:rPr>
          <w:rFonts w:hint="eastAsia" w:ascii="仿宋" w:eastAsia="仿宋" w:cs="方正仿宋_GB18030"/>
          <w:color w:val="000000"/>
          <w:kern w:val="2"/>
          <w:sz w:val="32"/>
          <w:szCs w:val="32"/>
          <w:lang w:val="zh-CN"/>
        </w:rPr>
        <w:t>实践中</w:t>
      </w:r>
      <w:r>
        <w:rPr>
          <w:rFonts w:hint="eastAsia" w:ascii="仿宋" w:eastAsia="仿宋" w:cs="方正仿宋_GB18030"/>
          <w:color w:val="000000"/>
          <w:kern w:val="2"/>
          <w:sz w:val="32"/>
          <w:szCs w:val="32"/>
          <w:lang w:val="zh-CN" w:eastAsia="zh-CN"/>
        </w:rPr>
        <w:t>，让</w:t>
      </w:r>
      <w:r>
        <w:rPr>
          <w:rFonts w:hint="eastAsia" w:ascii="仿宋" w:eastAsia="仿宋" w:cs="方正仿宋_GB18030"/>
          <w:color w:val="000000"/>
          <w:kern w:val="2"/>
          <w:sz w:val="32"/>
          <w:szCs w:val="32"/>
          <w:lang w:val="zh-CN"/>
        </w:rPr>
        <w:t>绩效评价工作的成果得以充分广泛利用</w:t>
      </w:r>
      <w:r>
        <w:rPr>
          <w:rFonts w:hint="eastAsia" w:ascii="仿宋" w:eastAsia="仿宋" w:cs="方正仿宋_GB18030"/>
          <w:color w:val="000000"/>
          <w:kern w:val="2"/>
          <w:sz w:val="32"/>
          <w:szCs w:val="32"/>
          <w:lang w:val="zh-CN" w:eastAsia="zh-CN"/>
        </w:rPr>
        <w:t>。</w:t>
      </w:r>
    </w:p>
    <w:p>
      <w:pPr>
        <w:pStyle w:val="7"/>
        <w:keepNext w:val="0"/>
        <w:keepLines w:val="0"/>
        <w:pageBreakBefore w:val="0"/>
        <w:widowControl w:val="0"/>
        <w:kinsoku/>
        <w:wordWrap/>
        <w:overflowPunct/>
        <w:topLinePunct w:val="0"/>
        <w:autoSpaceDE/>
        <w:autoSpaceDN/>
        <w:adjustRightInd/>
        <w:snapToGrid/>
        <w:spacing w:before="30" w:beforeLines="0" w:line="576" w:lineRule="exact"/>
        <w:ind w:firstLine="640" w:firstLineChars="200"/>
        <w:rPr>
          <w:rFonts w:hint="eastAsia" w:ascii="仿宋" w:eastAsia="仿宋" w:cs="方正仿宋_GB18030"/>
          <w:color w:val="000000"/>
          <w:kern w:val="2"/>
          <w:sz w:val="32"/>
          <w:szCs w:val="32"/>
          <w:lang w:val="zh-CN"/>
        </w:rPr>
      </w:pPr>
    </w:p>
    <w:p>
      <w:pPr>
        <w:pStyle w:val="2"/>
        <w:rPr>
          <w:rFonts w:ascii="仿宋" w:eastAsia="仿宋"/>
          <w:color w:val="000000"/>
          <w:sz w:val="32"/>
          <w:szCs w:val="32"/>
        </w:rPr>
      </w:pPr>
    </w:p>
    <w:p>
      <w:pPr>
        <w:pStyle w:val="2"/>
        <w:rPr>
          <w:rFonts w:ascii="仿宋" w:eastAsia="仿宋"/>
          <w:color w:val="000000"/>
          <w:sz w:val="32"/>
          <w:szCs w:val="32"/>
        </w:rPr>
      </w:pPr>
    </w:p>
    <w:p>
      <w:pPr>
        <w:pStyle w:val="2"/>
        <w:rPr>
          <w:rFonts w:ascii="仿宋" w:eastAsia="仿宋"/>
          <w:color w:val="000000"/>
          <w:sz w:val="32"/>
          <w:szCs w:val="32"/>
        </w:rPr>
      </w:pPr>
    </w:p>
    <w:p>
      <w:pPr>
        <w:pStyle w:val="2"/>
        <w:rPr>
          <w:rFonts w:ascii="仿宋" w:eastAsia="仿宋"/>
          <w:color w:val="000000"/>
          <w:sz w:val="32"/>
          <w:szCs w:val="32"/>
        </w:rPr>
      </w:pPr>
    </w:p>
    <w:p>
      <w:pPr>
        <w:pStyle w:val="2"/>
        <w:rPr>
          <w:rFonts w:ascii="仿宋" w:eastAsia="仿宋"/>
          <w:color w:val="000000"/>
          <w:sz w:val="32"/>
          <w:szCs w:val="32"/>
        </w:rPr>
      </w:pPr>
    </w:p>
    <w:p>
      <w:pPr>
        <w:pStyle w:val="2"/>
        <w:rPr>
          <w:rFonts w:ascii="仿宋" w:eastAsia="仿宋"/>
          <w:color w:val="000000"/>
          <w:sz w:val="32"/>
          <w:szCs w:val="32"/>
        </w:rPr>
      </w:pPr>
    </w:p>
    <w:p>
      <w:pPr>
        <w:pStyle w:val="2"/>
        <w:rPr>
          <w:rFonts w:ascii="仿宋" w:eastAsia="仿宋"/>
          <w:color w:val="000000"/>
          <w:sz w:val="32"/>
          <w:szCs w:val="32"/>
        </w:rPr>
      </w:pPr>
    </w:p>
    <w:p>
      <w:pPr>
        <w:pStyle w:val="2"/>
        <w:rPr>
          <w:rFonts w:ascii="仿宋" w:eastAsia="仿宋"/>
          <w:color w:val="000000"/>
          <w:sz w:val="32"/>
          <w:szCs w:val="32"/>
        </w:rPr>
      </w:pPr>
    </w:p>
    <w:p>
      <w:pPr>
        <w:pStyle w:val="2"/>
        <w:rPr>
          <w:rFonts w:ascii="仿宋" w:eastAsia="仿宋"/>
          <w:color w:val="000000"/>
          <w:sz w:val="32"/>
          <w:szCs w:val="32"/>
        </w:rPr>
      </w:pPr>
    </w:p>
    <w:p>
      <w:pPr>
        <w:pStyle w:val="2"/>
        <w:rPr>
          <w:rFonts w:ascii="仿宋" w:eastAsia="仿宋"/>
          <w:color w:val="000000"/>
          <w:sz w:val="32"/>
          <w:szCs w:val="32"/>
        </w:rPr>
      </w:pPr>
    </w:p>
    <w:p>
      <w:pPr>
        <w:pStyle w:val="2"/>
        <w:rPr>
          <w:rFonts w:ascii="仿宋" w:eastAsia="仿宋"/>
          <w:color w:val="000000"/>
          <w:sz w:val="32"/>
          <w:szCs w:val="32"/>
        </w:rPr>
      </w:pPr>
    </w:p>
    <w:p>
      <w:pPr>
        <w:pStyle w:val="2"/>
        <w:rPr>
          <w:rFonts w:ascii="仿宋" w:eastAsia="仿宋"/>
          <w:color w:val="000000"/>
          <w:sz w:val="32"/>
          <w:szCs w:val="32"/>
        </w:rPr>
      </w:pPr>
    </w:p>
    <w:p>
      <w:pPr>
        <w:pStyle w:val="2"/>
        <w:rPr>
          <w:rFonts w:ascii="仿宋" w:eastAsia="仿宋"/>
          <w:color w:val="000000"/>
          <w:sz w:val="32"/>
          <w:szCs w:val="32"/>
        </w:rPr>
      </w:pPr>
    </w:p>
    <w:p>
      <w:pPr>
        <w:pStyle w:val="2"/>
        <w:rPr>
          <w:rFonts w:ascii="仿宋" w:eastAsia="仿宋"/>
          <w:color w:val="000000"/>
          <w:sz w:val="32"/>
          <w:szCs w:val="32"/>
        </w:rPr>
      </w:pPr>
    </w:p>
    <w:p>
      <w:pPr>
        <w:pStyle w:val="2"/>
        <w:rPr>
          <w:rFonts w:ascii="仿宋" w:eastAsia="仿宋"/>
          <w:color w:val="000000"/>
          <w:sz w:val="32"/>
          <w:szCs w:val="32"/>
        </w:rPr>
      </w:pPr>
    </w:p>
    <w:p>
      <w:pPr>
        <w:spacing w:line="600" w:lineRule="exact"/>
        <w:jc w:val="center"/>
        <w:outlineLvl w:val="0"/>
        <w:rPr>
          <w:rFonts w:ascii="方正小标宋简体" w:eastAsia="方正小标宋简体" w:cs="黑体"/>
          <w:sz w:val="44"/>
          <w:szCs w:val="44"/>
        </w:rPr>
      </w:pPr>
      <w:bookmarkStart w:id="74" w:name="_Toc79163634"/>
      <w:bookmarkStart w:id="75" w:name="_Toc79163884"/>
      <w:r>
        <w:rPr>
          <w:rFonts w:ascii="方正小标宋简体" w:eastAsia="方正小标宋简体" w:cs="黑体"/>
          <w:sz w:val="44"/>
          <w:szCs w:val="44"/>
        </w:rPr>
        <w:t>财</w:t>
      </w:r>
      <w:r>
        <w:rPr>
          <w:rFonts w:hint="eastAsia" w:ascii="方正小标宋简体" w:eastAsia="方正小标宋简体" w:cs="黑体"/>
          <w:sz w:val="44"/>
          <w:szCs w:val="44"/>
          <w:lang w:val="en-US" w:eastAsia="zh-CN"/>
        </w:rPr>
        <w:t>政衔接推进乡村振兴补助资金（少数民族发展任务）及统筹整合使用财政涉农资金项目</w:t>
      </w:r>
      <w:r>
        <w:rPr>
          <w:rFonts w:hint="eastAsia" w:ascii="方正小标宋简体" w:eastAsia="方正小标宋简体" w:cs="黑体"/>
          <w:sz w:val="44"/>
          <w:szCs w:val="44"/>
        </w:rPr>
        <w:t>202</w:t>
      </w:r>
      <w:r>
        <w:rPr>
          <w:rFonts w:ascii="方正小标宋简体" w:eastAsia="方正小标宋简体" w:cs="黑体"/>
          <w:sz w:val="44"/>
          <w:szCs w:val="44"/>
        </w:rPr>
        <w:t>1</w:t>
      </w:r>
      <w:r>
        <w:rPr>
          <w:rFonts w:hint="eastAsia" w:ascii="方正小标宋简体" w:eastAsia="方正小标宋简体" w:cs="黑体"/>
          <w:sz w:val="44"/>
          <w:szCs w:val="44"/>
        </w:rPr>
        <w:t>年绩效评价报告</w:t>
      </w:r>
      <w:bookmarkEnd w:id="74"/>
      <w:bookmarkEnd w:id="75"/>
    </w:p>
    <w:p>
      <w:pPr>
        <w:adjustRightInd w:val="0"/>
        <w:snapToGrid w:val="0"/>
        <w:spacing w:line="560" w:lineRule="exact"/>
        <w:ind w:firstLine="640" w:firstLineChars="200"/>
        <w:rPr>
          <w:rFonts w:ascii="黑体" w:eastAsia="黑体"/>
          <w:color w:val="000000"/>
          <w:sz w:val="32"/>
          <w:szCs w:val="32"/>
        </w:rPr>
      </w:pPr>
    </w:p>
    <w:p>
      <w:pPr>
        <w:adjustRightInd w:val="0"/>
        <w:snapToGrid w:val="0"/>
        <w:spacing w:line="560" w:lineRule="exact"/>
        <w:ind w:firstLine="640" w:firstLineChars="200"/>
        <w:rPr>
          <w:rFonts w:hint="eastAsia" w:ascii="黑体" w:eastAsia="黑体"/>
          <w:color w:val="000000"/>
          <w:sz w:val="32"/>
          <w:szCs w:val="32"/>
          <w:lang w:val="zh-CN"/>
        </w:rPr>
      </w:pPr>
      <w:r>
        <w:rPr>
          <w:rFonts w:hint="eastAsia" w:ascii="黑体" w:eastAsia="黑体"/>
          <w:color w:val="000000"/>
          <w:sz w:val="32"/>
          <w:szCs w:val="32"/>
        </w:rPr>
        <w:t>一、</w:t>
      </w:r>
      <w:r>
        <w:rPr>
          <w:rFonts w:hint="eastAsia" w:ascii="黑体" w:eastAsia="黑体"/>
          <w:color w:val="000000"/>
          <w:sz w:val="32"/>
          <w:szCs w:val="32"/>
          <w:lang w:val="zh-CN"/>
        </w:rPr>
        <w:t>项目概况</w:t>
      </w:r>
    </w:p>
    <w:p>
      <w:pPr>
        <w:keepNext w:val="0"/>
        <w:keepLines w:val="0"/>
        <w:pageBreakBefore w:val="0"/>
        <w:widowControl/>
        <w:kinsoku/>
        <w:wordWrap/>
        <w:overflowPunct/>
        <w:topLinePunct w:val="0"/>
        <w:autoSpaceDE/>
        <w:autoSpaceDN/>
        <w:adjustRightInd w:val="0"/>
        <w:snapToGrid w:val="0"/>
        <w:spacing w:line="576" w:lineRule="exact"/>
        <w:ind w:left="0" w:firstLine="480" w:firstLineChars="150"/>
        <w:contextualSpacing/>
        <w:jc w:val="left"/>
        <w:rPr>
          <w:rFonts w:hint="eastAsia" w:ascii="方正仿宋_GB18030" w:eastAsia="方正仿宋_GB18030" w:cs="方正仿宋_GB18030"/>
          <w:color w:val="000000"/>
          <w:kern w:val="0"/>
          <w:sz w:val="32"/>
          <w:szCs w:val="32"/>
          <w:shd w:val="clear" w:color="auto" w:fill="FFFFFF"/>
          <w:lang w:val="zh-CN"/>
        </w:rPr>
      </w:pPr>
      <w:r>
        <w:rPr>
          <w:rFonts w:hint="eastAsia" w:ascii="方正仿宋_GB18030" w:eastAsia="方正仿宋_GB18030" w:cs="方正仿宋_GB18030"/>
          <w:color w:val="000000"/>
          <w:kern w:val="0"/>
          <w:sz w:val="32"/>
          <w:szCs w:val="32"/>
          <w:shd w:val="clear" w:color="auto" w:fill="FFFFFF"/>
          <w:lang w:val="zh-CN"/>
        </w:rPr>
        <w:t>（一）项目</w:t>
      </w:r>
      <w:r>
        <w:rPr>
          <w:rFonts w:ascii="方正仿宋_GB18030" w:eastAsia="方正仿宋_GB18030" w:cs="方正仿宋_GB18030"/>
          <w:color w:val="000000"/>
          <w:kern w:val="0"/>
          <w:sz w:val="32"/>
          <w:szCs w:val="32"/>
          <w:shd w:val="clear" w:color="auto" w:fill="FFFFFF"/>
          <w:lang w:val="zh-CN"/>
        </w:rPr>
        <w:t>基本</w:t>
      </w:r>
      <w:r>
        <w:rPr>
          <w:rFonts w:hint="eastAsia" w:ascii="方正仿宋_GB18030" w:eastAsia="方正仿宋_GB18030" w:cs="方正仿宋_GB18030"/>
          <w:color w:val="000000"/>
          <w:kern w:val="0"/>
          <w:sz w:val="32"/>
          <w:szCs w:val="32"/>
          <w:shd w:val="clear" w:color="auto" w:fill="FFFFFF"/>
          <w:lang w:val="zh-CN"/>
        </w:rPr>
        <w:t>情况</w:t>
      </w:r>
    </w:p>
    <w:p>
      <w:pPr>
        <w:pBdr>
          <w:bottom w:val="single" w:color="FFFFFF" w:sz="4" w:space="31"/>
        </w:pBdr>
        <w:tabs>
          <w:tab w:val="left" w:pos="0"/>
        </w:tabs>
        <w:spacing w:line="560" w:lineRule="exact"/>
        <w:ind w:left="0" w:firstLine="640" w:firstLineChars="200"/>
        <w:rPr>
          <w:rFonts w:ascii="仿宋" w:eastAsia="仿宋"/>
          <w:color w:val="000000"/>
          <w:sz w:val="32"/>
          <w:szCs w:val="32"/>
          <w:lang w:val="en-US" w:eastAsia="zh-CN"/>
        </w:rPr>
      </w:pPr>
      <w:r>
        <w:rPr>
          <w:rFonts w:hint="eastAsia" w:ascii="仿宋" w:eastAsia="仿宋"/>
          <w:color w:val="000000"/>
          <w:sz w:val="32"/>
          <w:szCs w:val="32"/>
          <w:lang w:val="en-US" w:eastAsia="zh-CN"/>
        </w:rPr>
        <w:t>结合我县2021年度巩固拓展脱贫攻坚成果目标任务，聚焦脱贫攻坚成果与乡村振兴有效衔接，围绕四个重点项目建设相关要求，严格按照项目库入库程序，认真在《茂县2021年乡村振兴衔接资金项目库》中筛选符合财政衔接推进乡村振兴补助资金（少数民族发展任务）及统筹整合使用财政涉农资金项目12个，补助资金461万元。</w:t>
      </w:r>
    </w:p>
    <w:p>
      <w:pPr>
        <w:pBdr>
          <w:bottom w:val="single" w:color="FFFFFF" w:sz="4" w:space="31"/>
        </w:pBdr>
        <w:tabs>
          <w:tab w:val="left" w:pos="0"/>
        </w:tabs>
        <w:spacing w:line="560" w:lineRule="exact"/>
        <w:ind w:left="0" w:firstLine="640" w:firstLineChars="200"/>
        <w:rPr>
          <w:rFonts w:hint="eastAsia" w:ascii="仿宋" w:eastAsia="仿宋"/>
          <w:color w:val="000000"/>
          <w:sz w:val="32"/>
          <w:szCs w:val="32"/>
        </w:rPr>
      </w:pPr>
      <w:r>
        <w:rPr>
          <w:rFonts w:hint="eastAsia" w:ascii="方正仿宋_GB18030" w:eastAsia="方正仿宋_GB18030" w:cs="方正仿宋_GB18030"/>
          <w:color w:val="000000"/>
          <w:kern w:val="0"/>
          <w:sz w:val="32"/>
          <w:szCs w:val="32"/>
          <w:shd w:val="clear" w:color="auto" w:fill="FFFFFF"/>
          <w:lang w:val="zh-CN"/>
        </w:rPr>
        <w:t>（二）项目绩效目标</w:t>
      </w:r>
    </w:p>
    <w:p>
      <w:pPr>
        <w:pBdr>
          <w:bottom w:val="single" w:color="FFFFFF" w:sz="4" w:space="31"/>
        </w:pBdr>
        <w:tabs>
          <w:tab w:val="left" w:pos="0"/>
        </w:tabs>
        <w:spacing w:line="560" w:lineRule="exact"/>
        <w:ind w:firstLine="480" w:firstLineChars="150"/>
        <w:rPr>
          <w:rFonts w:hint="eastAsia" w:ascii="仿宋" w:eastAsia="仿宋" w:cs="宋体"/>
          <w:color w:val="000000"/>
          <w:sz w:val="32"/>
          <w:szCs w:val="32"/>
          <w:lang w:eastAsia="zh-CN"/>
        </w:rPr>
      </w:pPr>
      <w:r>
        <w:rPr>
          <w:rFonts w:hint="eastAsia" w:ascii="仿宋" w:eastAsia="仿宋" w:cs="宋体"/>
          <w:color w:val="000000"/>
          <w:sz w:val="32"/>
          <w:szCs w:val="32"/>
        </w:rPr>
        <w:t>通过这些项目的实施，补齐了农村</w:t>
      </w:r>
      <w:r>
        <w:rPr>
          <w:rFonts w:hint="eastAsia" w:ascii="仿宋" w:eastAsia="仿宋" w:cs="宋体"/>
          <w:color w:val="000000"/>
          <w:sz w:val="32"/>
          <w:szCs w:val="32"/>
          <w:lang w:val="en-US" w:eastAsia="zh-CN"/>
        </w:rPr>
        <w:t>产业</w:t>
      </w:r>
      <w:r>
        <w:rPr>
          <w:rFonts w:hint="eastAsia" w:ascii="仿宋" w:eastAsia="仿宋" w:cs="宋体"/>
          <w:color w:val="000000"/>
          <w:sz w:val="32"/>
          <w:szCs w:val="32"/>
        </w:rPr>
        <w:t>道路、灌溉等基础设施短板，极大改善了高半山地区群众生产和出行条件，让高半山区农业产业结构调整、转型升级步伐加快，促进了高半山产业发展和群众增收致富；同时，紧紧围绕州委、州政府“川西北生态经济示范区”建设战略部署和县委、县政府建成“川西北高原生态农业发展高地”的目标定位，突出生态资源优势，有效联农带农发展特色水果生态种植、走绿色生态产业化道路，项目的实施，有效的解决了高半山产业设施配套弱、基础设施差的短板，得到了群众的一致好评</w:t>
      </w:r>
      <w:r>
        <w:rPr>
          <w:rFonts w:hint="eastAsia" w:ascii="仿宋" w:eastAsia="仿宋" w:cs="宋体"/>
          <w:color w:val="000000"/>
          <w:sz w:val="32"/>
          <w:szCs w:val="32"/>
          <w:lang w:eastAsia="zh-CN"/>
        </w:rPr>
        <w:t>。</w:t>
      </w:r>
    </w:p>
    <w:p>
      <w:pPr>
        <w:pBdr>
          <w:bottom w:val="single" w:color="FFFFFF" w:sz="4" w:space="31"/>
        </w:pBdr>
        <w:tabs>
          <w:tab w:val="left" w:pos="0"/>
        </w:tabs>
        <w:spacing w:line="560" w:lineRule="exact"/>
        <w:ind w:firstLine="480" w:firstLineChars="150"/>
        <w:rPr>
          <w:rFonts w:hint="eastAsia" w:ascii="仿宋" w:eastAsia="仿宋"/>
          <w:color w:val="000000"/>
          <w:sz w:val="32"/>
          <w:szCs w:val="32"/>
        </w:rPr>
      </w:pPr>
      <w:r>
        <w:rPr>
          <w:rFonts w:hint="eastAsia" w:ascii="仿宋" w:eastAsia="仿宋"/>
          <w:color w:val="000000"/>
          <w:sz w:val="32"/>
          <w:szCs w:val="32"/>
          <w:lang w:val="en-US" w:eastAsia="zh-CN"/>
        </w:rPr>
        <w:t>2021年</w:t>
      </w:r>
      <w:r>
        <w:rPr>
          <w:rFonts w:hint="eastAsia" w:ascii="仿宋" w:eastAsia="仿宋"/>
          <w:color w:val="000000"/>
          <w:sz w:val="32"/>
          <w:szCs w:val="32"/>
        </w:rPr>
        <w:t>我</w:t>
      </w:r>
      <w:r>
        <w:rPr>
          <w:rFonts w:hint="eastAsia" w:ascii="仿宋" w:eastAsia="仿宋"/>
          <w:color w:val="000000"/>
          <w:sz w:val="32"/>
          <w:szCs w:val="32"/>
          <w:lang w:val="en-US" w:eastAsia="zh-CN"/>
        </w:rPr>
        <w:t>局</w:t>
      </w:r>
      <w:r>
        <w:rPr>
          <w:rFonts w:hint="eastAsia" w:ascii="仿宋" w:eastAsia="仿宋"/>
          <w:color w:val="000000"/>
          <w:sz w:val="32"/>
          <w:szCs w:val="32"/>
        </w:rPr>
        <w:t>项目申报严格按照有关规定进行申报。认真执行项目公示制度，在项目实施责任单位及项目实施点的村委会进行了公告、公示，项目资金严格按有关规定到位和使用。严格按项目申报指南储备申报项目库，做到项目内容清楚，补助环节明了，并按规定上报项目库；</w:t>
      </w:r>
      <w:r>
        <w:rPr>
          <w:rFonts w:hint="eastAsia" w:ascii="仿宋" w:eastAsia="仿宋"/>
          <w:color w:val="000000"/>
          <w:sz w:val="32"/>
          <w:szCs w:val="32"/>
          <w:lang w:val="en-US" w:eastAsia="zh-CN"/>
        </w:rPr>
        <w:t>县</w:t>
      </w:r>
      <w:r>
        <w:rPr>
          <w:rFonts w:hint="eastAsia" w:ascii="仿宋" w:eastAsia="仿宋"/>
          <w:color w:val="000000"/>
          <w:sz w:val="32"/>
          <w:szCs w:val="32"/>
        </w:rPr>
        <w:t>审批下达项目计划后，在规定工作日内下达项目，在建设期内完成项目建设，招投标合规，并按时上报有关表格；报账中，要求报账手续齐全，票据规范，实行县级财政报账制和专账核算，按规定拨付项目进度资金；在项目组织实施过程中，严格按照有关规定启动和实施项目，在项目监督检查工作上，严格落实项目法人责任制，签订项目责任书，执行项目下达上报备案制和项目实名备案制，监督检查涉及面到位，问题整改及时，项目辅导有力，坚持民生工程项目月报制；项目完工一个验收一个，规范整理资料一个，并及时办理移交手续，建立后续管护制度，明确管护主体和责任；切实做好两资项目材料信息报送工作，在规定时间内办结有关工作，及时反映我</w:t>
      </w:r>
      <w:r>
        <w:rPr>
          <w:rFonts w:hint="eastAsia" w:ascii="仿宋" w:eastAsia="仿宋"/>
          <w:color w:val="000000"/>
          <w:sz w:val="32"/>
          <w:szCs w:val="32"/>
          <w:lang w:val="en-US" w:eastAsia="zh-CN"/>
        </w:rPr>
        <w:t>局项目</w:t>
      </w:r>
      <w:r>
        <w:rPr>
          <w:rFonts w:hint="eastAsia" w:ascii="仿宋" w:eastAsia="仿宋"/>
          <w:color w:val="000000"/>
          <w:sz w:val="32"/>
          <w:szCs w:val="32"/>
        </w:rPr>
        <w:t>管理工作动态信息。</w:t>
      </w:r>
    </w:p>
    <w:p>
      <w:pPr>
        <w:numPr>
          <w:ilvl w:val="0"/>
          <w:numId w:val="3"/>
        </w:numPr>
        <w:pBdr>
          <w:bottom w:val="single" w:color="FFFFFF" w:sz="4" w:space="31"/>
        </w:pBdr>
        <w:tabs>
          <w:tab w:val="left" w:pos="0"/>
        </w:tabs>
        <w:spacing w:line="560" w:lineRule="exact"/>
        <w:ind w:left="0" w:firstLine="480" w:firstLineChars="150"/>
        <w:rPr>
          <w:rFonts w:hint="eastAsia" w:ascii="方正仿宋_GB18030" w:eastAsia="方正仿宋_GB18030" w:cs="方正仿宋_GB18030"/>
          <w:color w:val="000000"/>
          <w:kern w:val="0"/>
          <w:sz w:val="32"/>
          <w:szCs w:val="32"/>
          <w:shd w:val="clear" w:color="auto" w:fill="FFFFFF"/>
          <w:lang w:val="zh-CN"/>
        </w:rPr>
      </w:pPr>
      <w:r>
        <w:rPr>
          <w:rFonts w:ascii="方正仿宋_GB18030" w:eastAsia="方正仿宋_GB18030" w:cs="方正仿宋_GB18030"/>
          <w:color w:val="000000"/>
          <w:kern w:val="0"/>
          <w:sz w:val="32"/>
          <w:szCs w:val="32"/>
          <w:shd w:val="clear" w:color="auto" w:fill="FFFFFF"/>
          <w:lang w:val="zh-CN"/>
        </w:rPr>
        <w:t>项目自评步骤及方法</w:t>
      </w:r>
    </w:p>
    <w:p>
      <w:pPr>
        <w:pBdr>
          <w:bottom w:val="single" w:color="FFFFFF" w:sz="4" w:space="31"/>
        </w:pBdr>
        <w:tabs>
          <w:tab w:val="left" w:pos="0"/>
        </w:tabs>
        <w:spacing w:line="560" w:lineRule="exact"/>
        <w:ind w:left="0" w:firstLine="640" w:firstLineChars="200"/>
        <w:rPr>
          <w:rFonts w:ascii="仿宋" w:eastAsia="仿宋"/>
          <w:color w:val="000000"/>
          <w:sz w:val="32"/>
          <w:szCs w:val="32"/>
          <w:lang w:val="en-US" w:eastAsia="zh-CN"/>
        </w:rPr>
      </w:pPr>
      <w:r>
        <w:rPr>
          <w:rFonts w:hint="eastAsia" w:ascii="仿宋" w:eastAsia="仿宋"/>
          <w:color w:val="000000"/>
          <w:sz w:val="32"/>
          <w:szCs w:val="32"/>
          <w:lang w:val="en-US" w:eastAsia="zh-CN"/>
        </w:rPr>
        <w:t>严格按照资金使用的用途，严禁擅自改变资金的投向，项目申报内容与具体实施内容相符，申报目标合理可行。</w:t>
      </w:r>
      <w:r>
        <w:rPr>
          <w:rFonts w:ascii="仿宋" w:eastAsia="仿宋"/>
          <w:color w:val="000000"/>
          <w:sz w:val="32"/>
          <w:szCs w:val="32"/>
          <w:lang w:val="en-US" w:eastAsia="zh-CN"/>
        </w:rPr>
        <w:t xml:space="preserve"> </w:t>
      </w:r>
    </w:p>
    <w:p>
      <w:pPr>
        <w:pBdr>
          <w:bottom w:val="single" w:color="FFFFFF" w:sz="4" w:space="31"/>
        </w:pBdr>
        <w:tabs>
          <w:tab w:val="left" w:pos="0"/>
        </w:tabs>
        <w:spacing w:line="560" w:lineRule="exact"/>
        <w:ind w:left="0" w:firstLine="640" w:firstLineChars="200"/>
        <w:rPr>
          <w:rFonts w:hint="eastAsia" w:ascii="仿宋" w:eastAsia="仿宋"/>
          <w:color w:val="000000"/>
          <w:sz w:val="32"/>
          <w:szCs w:val="32"/>
        </w:rPr>
      </w:pPr>
      <w:r>
        <w:rPr>
          <w:rFonts w:ascii="黑体" w:eastAsia="黑体"/>
          <w:color w:val="000000"/>
          <w:sz w:val="32"/>
          <w:szCs w:val="32"/>
        </w:rPr>
        <w:t>二、</w:t>
      </w:r>
      <w:r>
        <w:rPr>
          <w:rFonts w:hint="eastAsia" w:ascii="黑体" w:eastAsia="黑体"/>
          <w:color w:val="000000"/>
          <w:sz w:val="32"/>
          <w:szCs w:val="32"/>
        </w:rPr>
        <w:t>项目</w:t>
      </w:r>
      <w:r>
        <w:rPr>
          <w:rFonts w:ascii="黑体" w:eastAsia="黑体"/>
          <w:color w:val="000000"/>
          <w:sz w:val="32"/>
          <w:szCs w:val="32"/>
          <w:lang w:val="en-US" w:eastAsia="zh-CN"/>
        </w:rPr>
        <w:t>资金及使用情况</w:t>
      </w:r>
    </w:p>
    <w:p>
      <w:pPr>
        <w:pBdr>
          <w:bottom w:val="single" w:color="FFFFFF" w:sz="4" w:space="31"/>
        </w:pBdr>
        <w:tabs>
          <w:tab w:val="left" w:pos="0"/>
        </w:tabs>
        <w:spacing w:line="560" w:lineRule="exact"/>
        <w:ind w:left="0" w:firstLine="480" w:firstLineChars="150"/>
        <w:rPr>
          <w:rFonts w:ascii="仿宋" w:eastAsia="仿宋" w:cs="仿宋_GB2312"/>
          <w:color w:val="000000"/>
          <w:sz w:val="32"/>
          <w:szCs w:val="32"/>
          <w:lang w:bidi="ar-SA"/>
        </w:rPr>
      </w:pPr>
      <w:r>
        <w:rPr>
          <w:rFonts w:hint="eastAsia" w:ascii="方正仿宋_GB18030" w:eastAsia="方正仿宋_GB18030" w:cs="方正仿宋_GB18030"/>
          <w:color w:val="000000"/>
          <w:kern w:val="0"/>
          <w:sz w:val="32"/>
          <w:szCs w:val="32"/>
          <w:shd w:val="clear" w:color="auto" w:fill="FFFFFF"/>
          <w:lang w:val="zh-CN" w:eastAsia="zh-CN"/>
        </w:rPr>
        <w:t>（一）</w:t>
      </w:r>
      <w:r>
        <w:rPr>
          <w:rFonts w:ascii="方正仿宋_GB18030" w:eastAsia="方正仿宋_GB18030" w:cs="方正仿宋_GB18030"/>
          <w:color w:val="000000"/>
          <w:kern w:val="0"/>
          <w:sz w:val="32"/>
          <w:szCs w:val="32"/>
          <w:shd w:val="clear" w:color="auto" w:fill="FFFFFF"/>
          <w:lang w:val="zh-CN" w:eastAsia="zh-CN"/>
        </w:rPr>
        <w:t>项目申报及批复情况</w:t>
      </w:r>
      <w:r>
        <w:rPr>
          <w:rFonts w:hint="eastAsia" w:ascii="方正仿宋_GB18030" w:eastAsia="方正仿宋_GB18030" w:cs="方正仿宋_GB18030"/>
          <w:color w:val="000000"/>
          <w:kern w:val="0"/>
          <w:sz w:val="32"/>
          <w:szCs w:val="32"/>
          <w:shd w:val="clear" w:color="auto" w:fill="FFFFFF"/>
          <w:lang w:val="zh-CN" w:eastAsia="zh-CN"/>
        </w:rPr>
        <w:t>。</w:t>
      </w:r>
      <w:r>
        <w:rPr>
          <w:rFonts w:hint="eastAsia" w:ascii="方正仿宋_GB18030" w:eastAsia="方正仿宋_GB18030" w:cs="方正仿宋_GB18030"/>
          <w:color w:val="000000"/>
          <w:kern w:val="0"/>
          <w:sz w:val="32"/>
          <w:szCs w:val="32"/>
          <w:shd w:val="clear" w:color="auto" w:fill="FFFFFF"/>
          <w:lang w:val="zh-CN"/>
        </w:rPr>
        <w:t>2</w:t>
      </w:r>
      <w:r>
        <w:rPr>
          <w:rFonts w:hint="eastAsia" w:ascii="仿宋" w:eastAsia="仿宋"/>
          <w:color w:val="000000"/>
          <w:sz w:val="32"/>
          <w:szCs w:val="32"/>
        </w:rPr>
        <w:t>021年下达</w:t>
      </w:r>
      <w:r>
        <w:rPr>
          <w:rFonts w:hint="eastAsia" w:ascii="仿宋" w:eastAsia="仿宋"/>
          <w:color w:val="000000"/>
          <w:sz w:val="32"/>
          <w:szCs w:val="32"/>
          <w:lang w:val="en-US" w:eastAsia="zh-CN"/>
        </w:rPr>
        <w:t>财政衔接推进乡村振兴补助资金（少数民族发展任务）及统筹整合使用财政涉农资金项目</w:t>
      </w:r>
      <w:r>
        <w:rPr>
          <w:rFonts w:hint="eastAsia" w:ascii="仿宋" w:eastAsia="仿宋" w:cs="仿宋_GB2312"/>
          <w:color w:val="000000"/>
          <w:sz w:val="32"/>
          <w:szCs w:val="32"/>
          <w:lang w:val="en-US" w:eastAsia="zh-CN" w:bidi="ar-SA"/>
        </w:rPr>
        <w:t>12</w:t>
      </w:r>
      <w:r>
        <w:rPr>
          <w:rFonts w:hint="eastAsia" w:ascii="仿宋" w:eastAsia="仿宋" w:cs="仿宋_GB2312"/>
          <w:color w:val="000000"/>
          <w:sz w:val="32"/>
          <w:szCs w:val="32"/>
          <w:lang w:bidi="ar-SA"/>
        </w:rPr>
        <w:t>个</w:t>
      </w:r>
      <w:r>
        <w:rPr>
          <w:rFonts w:hint="eastAsia" w:ascii="仿宋" w:eastAsia="仿宋" w:cs="仿宋_GB2312"/>
          <w:color w:val="000000"/>
          <w:sz w:val="32"/>
          <w:szCs w:val="32"/>
          <w:lang w:eastAsia="zh-CN" w:bidi="ar-SA"/>
        </w:rPr>
        <w:t>，</w:t>
      </w:r>
      <w:r>
        <w:rPr>
          <w:rFonts w:hint="eastAsia" w:ascii="仿宋" w:eastAsia="仿宋" w:cs="仿宋_GB2312"/>
          <w:color w:val="000000"/>
          <w:sz w:val="32"/>
          <w:szCs w:val="32"/>
          <w:lang w:val="en-US" w:eastAsia="zh-CN" w:bidi="ar-SA"/>
        </w:rPr>
        <w:t>补助资金461</w:t>
      </w:r>
      <w:r>
        <w:rPr>
          <w:rFonts w:hint="eastAsia" w:ascii="仿宋" w:eastAsia="仿宋" w:cs="仿宋_GB2312"/>
          <w:color w:val="000000"/>
          <w:sz w:val="32"/>
          <w:szCs w:val="32"/>
          <w:lang w:bidi="ar-SA"/>
        </w:rPr>
        <w:t>万元，</w:t>
      </w:r>
    </w:p>
    <w:p>
      <w:pPr>
        <w:pBdr>
          <w:bottom w:val="single" w:color="FFFFFF" w:sz="4" w:space="31"/>
        </w:pBdr>
        <w:tabs>
          <w:tab w:val="left" w:pos="0"/>
        </w:tabs>
        <w:spacing w:line="560" w:lineRule="exact"/>
        <w:ind w:left="0" w:firstLine="640" w:firstLineChars="200"/>
        <w:jc w:val="left"/>
        <w:rPr>
          <w:rFonts w:hint="eastAsia" w:ascii="仿宋" w:eastAsia="仿宋"/>
          <w:color w:val="000000"/>
          <w:sz w:val="32"/>
          <w:szCs w:val="32"/>
          <w:lang w:val="en-US" w:eastAsia="zh-CN"/>
        </w:rPr>
      </w:pPr>
      <w:r>
        <w:rPr>
          <w:rFonts w:hint="eastAsia" w:ascii="方正仿宋_GB18030" w:eastAsia="方正仿宋_GB18030" w:cs="方正仿宋_GB18030"/>
          <w:color w:val="000000"/>
          <w:kern w:val="0"/>
          <w:sz w:val="32"/>
          <w:szCs w:val="32"/>
          <w:shd w:val="clear" w:color="auto" w:fill="FFFFFF"/>
          <w:lang w:val="zh-CN"/>
        </w:rPr>
        <w:t>（二）项目资金计划、到位及使用情况。</w:t>
      </w:r>
      <w:r>
        <w:rPr>
          <w:rFonts w:hint="eastAsia" w:ascii="仿宋" w:eastAsia="仿宋"/>
          <w:bCs/>
          <w:color w:val="000000"/>
          <w:sz w:val="32"/>
          <w:szCs w:val="32"/>
        </w:rPr>
        <w:t>一是公示公告制。</w:t>
      </w:r>
      <w:r>
        <w:rPr>
          <w:rFonts w:hint="eastAsia" w:ascii="仿宋" w:eastAsia="仿宋"/>
          <w:color w:val="000000"/>
          <w:sz w:val="32"/>
          <w:szCs w:val="32"/>
          <w:lang w:val="en-US" w:eastAsia="zh-CN"/>
        </w:rPr>
        <w:t>按</w:t>
      </w:r>
      <w:r>
        <w:rPr>
          <w:rFonts w:hint="eastAsia" w:ascii="仿宋" w:eastAsia="仿宋"/>
          <w:color w:val="000000"/>
          <w:sz w:val="32"/>
          <w:szCs w:val="32"/>
          <w:lang w:eastAsia="zh-CN"/>
        </w:rPr>
        <w:t>照“公开、透明”的原则，在项目实施地，就项目实施内容、补助资金、实施主体等相关内容进行了为期7天公示，对群众反映的建议、意见进行认真研究，切实做到了“项目公开、群众认同”。</w:t>
      </w:r>
      <w:r>
        <w:rPr>
          <w:rFonts w:hint="eastAsia" w:ascii="仿宋" w:eastAsia="仿宋"/>
          <w:bCs/>
          <w:color w:val="000000"/>
          <w:sz w:val="32"/>
          <w:szCs w:val="32"/>
          <w:lang w:val="en-US" w:eastAsia="zh-CN"/>
        </w:rPr>
        <w:t>二是合同制。</w:t>
      </w:r>
      <w:r>
        <w:rPr>
          <w:rFonts w:hint="eastAsia" w:ascii="仿宋" w:eastAsia="仿宋"/>
          <w:color w:val="000000"/>
          <w:sz w:val="32"/>
          <w:szCs w:val="32"/>
          <w:lang w:val="en-US" w:eastAsia="zh-CN"/>
        </w:rPr>
        <w:t>项目实施单位与施工单位签订合同，内容包括责任明确、建设内容、建设期限、质量标准、合同价款、施工安全和违约责任等。</w:t>
      </w:r>
      <w:r>
        <w:rPr>
          <w:rFonts w:hint="eastAsia" w:ascii="仿宋" w:eastAsia="仿宋"/>
          <w:bCs/>
          <w:color w:val="000000"/>
          <w:sz w:val="32"/>
          <w:szCs w:val="32"/>
        </w:rPr>
        <w:t>三是招标投标制。</w:t>
      </w:r>
      <w:r>
        <w:rPr>
          <w:rFonts w:hint="eastAsia" w:ascii="仿宋" w:eastAsia="仿宋"/>
          <w:color w:val="000000"/>
          <w:sz w:val="32"/>
          <w:szCs w:val="32"/>
          <w:lang w:val="en-US" w:eastAsia="zh-CN"/>
        </w:rPr>
        <w:t>项目实施和管理过程中有关事项属于政府采购和招投标范围的，必须严格按照政府采购和招投标有关规定执行；未达到政府采购和招投标标准的，项目实施单位必须按照公开、公正、公平的要求实行阳光操作。</w:t>
      </w:r>
      <w:r>
        <w:rPr>
          <w:rFonts w:hint="eastAsia" w:ascii="仿宋" w:eastAsia="仿宋"/>
          <w:bCs/>
          <w:color w:val="000000"/>
          <w:sz w:val="32"/>
          <w:szCs w:val="32"/>
          <w:lang w:val="en-US" w:eastAsia="zh-CN"/>
        </w:rPr>
        <w:t>四是监理制</w:t>
      </w:r>
      <w:r>
        <w:rPr>
          <w:rFonts w:hint="eastAsia" w:ascii="仿宋" w:eastAsia="仿宋"/>
          <w:color w:val="000000"/>
          <w:sz w:val="32"/>
          <w:szCs w:val="32"/>
          <w:lang w:val="en-US" w:eastAsia="zh-CN"/>
        </w:rPr>
        <w:t>。主动向县财政申请资金聘请监理，加强项目监管，保障项目质量。</w:t>
      </w:r>
      <w:r>
        <w:rPr>
          <w:rFonts w:hint="eastAsia" w:ascii="仿宋" w:eastAsia="仿宋"/>
          <w:bCs/>
          <w:color w:val="000000"/>
          <w:sz w:val="32"/>
          <w:szCs w:val="32"/>
          <w:lang w:val="en-US" w:eastAsia="zh-CN"/>
        </w:rPr>
        <w:t>五是项目审计制</w:t>
      </w:r>
      <w:r>
        <w:rPr>
          <w:rFonts w:hint="eastAsia" w:ascii="仿宋" w:eastAsia="仿宋"/>
          <w:color w:val="000000"/>
          <w:sz w:val="32"/>
          <w:szCs w:val="32"/>
          <w:lang w:eastAsia="zh-CN"/>
        </w:rPr>
        <w:t>。通过审计公司对项目进行竣工结算审核，确保了项目的质量和资金安全。同时</w:t>
      </w:r>
      <w:r>
        <w:rPr>
          <w:rFonts w:hint="eastAsia" w:ascii="仿宋" w:eastAsia="仿宋"/>
          <w:color w:val="000000"/>
          <w:sz w:val="32"/>
          <w:szCs w:val="32"/>
          <w:lang w:val="en-US" w:eastAsia="zh-CN"/>
        </w:rPr>
        <w:t>按“谁申报、谁负责”的原则，对已实施完成的项目建立完整项目档案。</w:t>
      </w:r>
      <w:r>
        <w:rPr>
          <w:rFonts w:hint="eastAsia" w:ascii="仿宋" w:eastAsia="仿宋" w:cs="仿宋_GB2312"/>
          <w:color w:val="000000"/>
          <w:sz w:val="32"/>
          <w:szCs w:val="32"/>
        </w:rPr>
        <w:t>项目分别为：渭门镇-德胜村榴桐组道路恢复建设项目</w:t>
      </w:r>
      <w:r>
        <w:rPr>
          <w:rFonts w:hint="eastAsia" w:ascii="仿宋" w:eastAsia="仿宋" w:cs="仿宋_GB2312"/>
          <w:color w:val="000000"/>
          <w:sz w:val="32"/>
          <w:szCs w:val="32"/>
          <w:lang w:val="en-US" w:eastAsia="zh-CN"/>
        </w:rPr>
        <w:t>19万元，叠溪镇石大关村产业园区堡坎建设项目20.8万元，富顺镇胜利村产业园区农田灌溉引水工程项目19.68万元，叠溪镇栓马村产业园区板涵建设项目24.52万元，富顺镇富顺村人行吊桥维修工程项目35万元，土门镇竹包村少数民族特色村寨产业配套项目177.9万元，土门镇四坪村少数民族特色村寨产业配套项目8万元，</w:t>
      </w:r>
      <w:r>
        <w:rPr>
          <w:rFonts w:hint="eastAsia" w:ascii="仿宋" w:eastAsia="仿宋" w:cs="仿宋_GB2312"/>
          <w:color w:val="000000"/>
          <w:sz w:val="32"/>
          <w:szCs w:val="32"/>
        </w:rPr>
        <w:t>茂县南新镇安乡村“点亮乡村 团结振兴”乡村振兴示范村项目</w:t>
      </w:r>
      <w:r>
        <w:rPr>
          <w:rFonts w:hint="eastAsia" w:ascii="仿宋" w:eastAsia="仿宋" w:cs="仿宋_GB2312"/>
          <w:color w:val="000000"/>
          <w:sz w:val="32"/>
          <w:szCs w:val="32"/>
          <w:lang w:val="en-US" w:eastAsia="zh-CN"/>
        </w:rPr>
        <w:t>50万元，茂县赤不苏镇曲谷村少数民族特色村寨提升项目49.5万元，茂县凤仪镇坪头村少数民族特色村寨提升项目50万元，茂县送茶入户项目3万元，项目管理费3.6万元。</w:t>
      </w:r>
      <w:r>
        <w:rPr>
          <w:rFonts w:hint="eastAsia" w:ascii="仿宋" w:eastAsia="仿宋"/>
          <w:color w:val="000000"/>
          <w:sz w:val="32"/>
          <w:szCs w:val="32"/>
        </w:rPr>
        <w:t>已全部完工并报账</w:t>
      </w:r>
      <w:r>
        <w:rPr>
          <w:rFonts w:hint="eastAsia" w:ascii="仿宋" w:eastAsia="仿宋"/>
          <w:color w:val="000000"/>
          <w:sz w:val="32"/>
          <w:szCs w:val="32"/>
          <w:lang w:eastAsia="zh-CN"/>
        </w:rPr>
        <w:t>，</w:t>
      </w:r>
      <w:r>
        <w:rPr>
          <w:rFonts w:hint="eastAsia" w:ascii="仿宋" w:eastAsia="仿宋" w:cs="仿宋_GB2312"/>
          <w:color w:val="000000"/>
          <w:sz w:val="32"/>
          <w:szCs w:val="32"/>
          <w:lang w:val="en-US" w:eastAsia="zh-CN"/>
        </w:rPr>
        <w:t>结余资金退回财政，质保金已转入财政局代管账户。</w:t>
      </w:r>
    </w:p>
    <w:p>
      <w:pPr>
        <w:pBdr>
          <w:bottom w:val="single" w:color="FFFFFF" w:sz="4" w:space="31"/>
        </w:pBdr>
        <w:tabs>
          <w:tab w:val="left" w:pos="0"/>
        </w:tabs>
        <w:spacing w:line="560" w:lineRule="exact"/>
        <w:ind w:left="0" w:firstLine="640" w:firstLineChars="200"/>
        <w:jc w:val="left"/>
        <w:rPr>
          <w:rFonts w:hint="eastAsia" w:ascii="仿宋" w:eastAsia="仿宋"/>
          <w:color w:val="000000"/>
          <w:sz w:val="32"/>
          <w:szCs w:val="32"/>
          <w:lang w:val="en-US" w:eastAsia="zh-CN"/>
        </w:rPr>
      </w:pPr>
      <w:r>
        <w:rPr>
          <w:rFonts w:hint="eastAsia" w:ascii="方正仿宋_GB18030" w:eastAsia="方正仿宋_GB18030" w:cs="方正仿宋_GB18030"/>
          <w:color w:val="000000"/>
          <w:kern w:val="0"/>
          <w:sz w:val="32"/>
          <w:szCs w:val="32"/>
          <w:shd w:val="clear" w:color="auto" w:fill="FFFFFF"/>
          <w:lang w:val="zh-CN"/>
        </w:rPr>
        <w:t>(</w:t>
      </w:r>
      <w:r>
        <w:rPr>
          <w:rFonts w:ascii="方正仿宋_GB18030" w:eastAsia="方正仿宋_GB18030" w:cs="方正仿宋_GB18030"/>
          <w:color w:val="000000"/>
          <w:kern w:val="0"/>
          <w:sz w:val="32"/>
          <w:szCs w:val="32"/>
          <w:shd w:val="clear" w:color="auto" w:fill="FFFFFF"/>
          <w:lang w:val="zh-CN"/>
        </w:rPr>
        <w:t>三</w:t>
      </w:r>
      <w:r>
        <w:rPr>
          <w:rFonts w:hint="eastAsia" w:ascii="方正仿宋_GB18030" w:eastAsia="方正仿宋_GB18030" w:cs="方正仿宋_GB18030"/>
          <w:color w:val="000000"/>
          <w:kern w:val="0"/>
          <w:sz w:val="32"/>
          <w:szCs w:val="32"/>
          <w:shd w:val="clear" w:color="auto" w:fill="FFFFFF"/>
          <w:lang w:val="zh-CN"/>
        </w:rPr>
        <w:t>）项目财务管理情况。</w:t>
      </w:r>
      <w:r>
        <w:rPr>
          <w:rFonts w:hint="eastAsia" w:ascii="仿宋" w:eastAsia="仿宋"/>
          <w:color w:val="000000"/>
          <w:sz w:val="32"/>
          <w:szCs w:val="32"/>
          <w:lang w:val="zh-CN"/>
        </w:rPr>
        <w:t>项目财务管理制度完善，对照项目资金管理办法，项目严格执行财务管理制度、财务处理及时、会计核算规范。我局按照“统筹安排、引导投向、确保重点、强化管理”的工作思路，狠抓项目资金的使用管理。坚持做到</w:t>
      </w:r>
      <w:r>
        <w:rPr>
          <w:rFonts w:hint="eastAsia" w:ascii="仿宋" w:eastAsia="仿宋"/>
          <w:color w:val="000000"/>
          <w:sz w:val="32"/>
          <w:szCs w:val="32"/>
        </w:rPr>
        <w:t>项目及时下达、加强资金监管、项目资金使用有效。</w:t>
      </w:r>
    </w:p>
    <w:p>
      <w:pPr>
        <w:pBdr>
          <w:bottom w:val="single" w:color="FFFFFF" w:sz="4" w:space="31"/>
        </w:pBdr>
        <w:tabs>
          <w:tab w:val="left" w:pos="0"/>
        </w:tabs>
        <w:spacing w:line="560" w:lineRule="exact"/>
        <w:ind w:firstLine="640" w:firstLineChars="200"/>
        <w:jc w:val="left"/>
        <w:rPr>
          <w:rFonts w:hint="eastAsia" w:ascii="黑体" w:eastAsia="黑体"/>
          <w:color w:val="000000"/>
          <w:sz w:val="32"/>
          <w:szCs w:val="32"/>
          <w:lang w:val="en-US" w:eastAsia="zh-CN"/>
        </w:rPr>
      </w:pPr>
      <w:r>
        <w:rPr>
          <w:rFonts w:hint="eastAsia" w:ascii="黑体" w:eastAsia="黑体"/>
          <w:color w:val="000000"/>
          <w:sz w:val="32"/>
          <w:szCs w:val="32"/>
          <w:lang w:val="en-US" w:eastAsia="zh-CN"/>
        </w:rPr>
        <w:t>三、项目实施及管理情况</w:t>
      </w:r>
    </w:p>
    <w:p>
      <w:pPr>
        <w:pBdr>
          <w:bottom w:val="single" w:color="FFFFFF" w:sz="4" w:space="31"/>
        </w:pBdr>
        <w:tabs>
          <w:tab w:val="left" w:pos="0"/>
        </w:tabs>
        <w:spacing w:line="560" w:lineRule="exact"/>
        <w:ind w:left="0" w:firstLine="640" w:firstLineChars="200"/>
        <w:jc w:val="left"/>
        <w:rPr>
          <w:rFonts w:ascii="仿宋" w:eastAsia="仿宋"/>
          <w:color w:val="000000"/>
          <w:sz w:val="32"/>
          <w:szCs w:val="32"/>
          <w:lang w:eastAsia="zh-CN"/>
        </w:rPr>
      </w:pPr>
      <w:r>
        <w:rPr>
          <w:rFonts w:hint="eastAsia" w:ascii="方正仿宋_GB18030" w:eastAsia="方正仿宋_GB18030" w:cs="方正仿宋_GB18030"/>
          <w:bCs/>
          <w:color w:val="000000"/>
          <w:kern w:val="0"/>
          <w:sz w:val="32"/>
          <w:szCs w:val="32"/>
          <w:shd w:val="clear" w:color="auto" w:fill="FFFFFF"/>
          <w:lang w:val="zh-CN" w:eastAsia="zh-CN"/>
        </w:rPr>
        <w:t>（一）</w:t>
      </w:r>
      <w:r>
        <w:rPr>
          <w:rFonts w:ascii="方正仿宋_GB18030" w:eastAsia="方正仿宋_GB18030" w:cs="方正仿宋_GB18030"/>
          <w:bCs/>
          <w:color w:val="000000"/>
          <w:kern w:val="0"/>
          <w:sz w:val="32"/>
          <w:szCs w:val="32"/>
          <w:shd w:val="clear" w:color="auto" w:fill="FFFFFF"/>
          <w:lang w:val="zh-CN" w:eastAsia="zh-CN"/>
        </w:rPr>
        <w:t>项目组织构架及实施流程。</w:t>
      </w:r>
      <w:r>
        <w:rPr>
          <w:rFonts w:hint="eastAsia" w:ascii="仿宋" w:eastAsia="仿宋"/>
          <w:color w:val="000000"/>
          <w:sz w:val="32"/>
          <w:szCs w:val="32"/>
          <w:lang w:val="en-US" w:eastAsia="zh-CN"/>
        </w:rPr>
        <w:t>对上报的项目，组织有关部门进行认真的申报筛选、评优论证，按标准文本进行申报。项目批准后，严格按照资金使用的用途，严禁擅自改变资金的投向，确保资金使用效果。</w:t>
      </w:r>
      <w:r>
        <w:rPr>
          <w:rFonts w:hint="eastAsia" w:ascii="仿宋" w:eastAsia="仿宋"/>
          <w:color w:val="000000"/>
          <w:sz w:val="32"/>
          <w:szCs w:val="32"/>
          <w:lang w:eastAsia="zh-CN"/>
        </w:rPr>
        <w:t>在项目实施过程中，根据省、州下达的项目资金计划，及时将建设任务和资金计划</w:t>
      </w:r>
      <w:r>
        <w:rPr>
          <w:rFonts w:hint="eastAsia" w:ascii="仿宋" w:eastAsia="仿宋"/>
          <w:color w:val="000000"/>
          <w:sz w:val="32"/>
          <w:szCs w:val="32"/>
          <w:lang w:val="en-US" w:eastAsia="zh-CN"/>
        </w:rPr>
        <w:t>下达</w:t>
      </w:r>
      <w:r>
        <w:rPr>
          <w:rFonts w:hint="eastAsia" w:ascii="仿宋" w:eastAsia="仿宋"/>
          <w:color w:val="000000"/>
          <w:sz w:val="32"/>
          <w:szCs w:val="32"/>
          <w:lang w:eastAsia="zh-CN"/>
        </w:rPr>
        <w:t>项目实施责任单位，并严格按照规定的项目建设地点、建设规模、建设内容以及投资规模等组织实施。</w:t>
      </w:r>
    </w:p>
    <w:p>
      <w:pPr>
        <w:pBdr>
          <w:bottom w:val="single" w:color="FFFFFF" w:sz="4" w:space="31"/>
        </w:pBdr>
        <w:tabs>
          <w:tab w:val="left" w:pos="0"/>
        </w:tabs>
        <w:spacing w:line="560" w:lineRule="exact"/>
        <w:ind w:left="0" w:firstLine="640" w:firstLineChars="200"/>
        <w:jc w:val="left"/>
        <w:rPr>
          <w:rFonts w:hint="eastAsia" w:ascii="仿宋" w:eastAsia="仿宋"/>
          <w:color w:val="000000"/>
          <w:sz w:val="32"/>
          <w:szCs w:val="32"/>
          <w:lang w:eastAsia="zh-CN"/>
        </w:rPr>
      </w:pPr>
      <w:r>
        <w:rPr>
          <w:rFonts w:hint="eastAsia" w:ascii="方正仿宋_GB18030" w:eastAsia="方正仿宋_GB18030" w:cs="方正仿宋_GB18030"/>
          <w:bCs/>
          <w:color w:val="000000"/>
          <w:kern w:val="0"/>
          <w:sz w:val="32"/>
          <w:szCs w:val="32"/>
          <w:shd w:val="clear" w:color="auto" w:fill="FFFFFF"/>
          <w:lang w:val="zh-CN"/>
        </w:rPr>
        <w:t>（二）</w:t>
      </w:r>
      <w:r>
        <w:rPr>
          <w:rFonts w:ascii="方正仿宋_GB18030" w:eastAsia="方正仿宋_GB18030" w:cs="方正仿宋_GB18030"/>
          <w:bCs/>
          <w:color w:val="000000"/>
          <w:kern w:val="0"/>
          <w:sz w:val="32"/>
          <w:szCs w:val="32"/>
          <w:shd w:val="clear" w:color="auto" w:fill="FFFFFF"/>
          <w:lang w:val="zh-CN"/>
        </w:rPr>
        <w:t>管理情况</w:t>
      </w:r>
      <w:r>
        <w:rPr>
          <w:rFonts w:hint="eastAsia" w:ascii="方正仿宋_GB18030" w:eastAsia="方正仿宋_GB18030" w:cs="方正仿宋_GB18030"/>
          <w:bCs/>
          <w:color w:val="000000"/>
          <w:kern w:val="0"/>
          <w:sz w:val="32"/>
          <w:szCs w:val="32"/>
          <w:shd w:val="clear" w:color="auto" w:fill="FFFFFF"/>
          <w:lang w:val="zh-CN"/>
        </w:rPr>
        <w:t>。</w:t>
      </w:r>
      <w:r>
        <w:rPr>
          <w:rFonts w:hint="eastAsia" w:ascii="仿宋" w:eastAsia="仿宋"/>
          <w:color w:val="000000"/>
          <w:sz w:val="32"/>
          <w:szCs w:val="32"/>
          <w:lang w:val="en-US" w:eastAsia="zh-CN"/>
        </w:rPr>
        <w:t>加强对扶贫专项</w:t>
      </w:r>
      <w:r>
        <w:rPr>
          <w:rFonts w:hint="eastAsia" w:ascii="仿宋" w:eastAsia="仿宋"/>
          <w:color w:val="000000"/>
          <w:sz w:val="32"/>
          <w:szCs w:val="32"/>
          <w:lang w:val="zh-CN" w:eastAsia="zh-CN"/>
        </w:rPr>
        <w:t>资金</w:t>
      </w:r>
      <w:r>
        <w:rPr>
          <w:rFonts w:hint="eastAsia" w:ascii="仿宋" w:eastAsia="仿宋"/>
          <w:color w:val="000000"/>
          <w:sz w:val="32"/>
          <w:szCs w:val="32"/>
          <w:lang w:val="en-US" w:eastAsia="zh-CN"/>
        </w:rPr>
        <w:t>资金的组织领导、统筹协调和日常管理</w:t>
      </w:r>
      <w:r>
        <w:rPr>
          <w:rFonts w:hint="eastAsia" w:ascii="仿宋" w:eastAsia="仿宋"/>
          <w:color w:val="000000"/>
          <w:sz w:val="32"/>
          <w:szCs w:val="32"/>
          <w:lang w:val="zh-CN" w:eastAsia="zh-CN"/>
        </w:rPr>
        <w:t>。</w:t>
      </w:r>
      <w:r>
        <w:rPr>
          <w:rFonts w:hint="eastAsia" w:ascii="仿宋" w:eastAsia="仿宋"/>
          <w:color w:val="000000"/>
          <w:sz w:val="32"/>
          <w:szCs w:val="32"/>
          <w:lang w:val="en-US" w:eastAsia="zh-CN"/>
        </w:rPr>
        <w:t>根据人员变化和工作需要，及时作出调整和充实。</w:t>
      </w:r>
      <w:r>
        <w:rPr>
          <w:rFonts w:hint="eastAsia" w:ascii="仿宋" w:eastAsia="仿宋"/>
          <w:color w:val="000000"/>
          <w:sz w:val="32"/>
          <w:szCs w:val="32"/>
          <w:lang w:val="zh-CN" w:eastAsia="zh-CN"/>
        </w:rPr>
        <w:t>同项目实施单位和监管单位层层签订责任书，落实任务，明确职责。</w:t>
      </w:r>
      <w:r>
        <w:rPr>
          <w:rFonts w:hint="eastAsia" w:ascii="仿宋" w:eastAsia="仿宋"/>
          <w:color w:val="000000"/>
          <w:sz w:val="32"/>
          <w:szCs w:val="32"/>
          <w:lang w:eastAsia="zh-CN"/>
        </w:rPr>
        <w:t>为把有限的资金安排好、使用好，每年把少数民族发展资金项目安排作为</w:t>
      </w:r>
      <w:r>
        <w:rPr>
          <w:rFonts w:hint="eastAsia" w:ascii="仿宋" w:eastAsia="仿宋"/>
          <w:color w:val="000000"/>
          <w:sz w:val="32"/>
          <w:szCs w:val="32"/>
          <w:lang w:val="en-US" w:eastAsia="zh-CN"/>
        </w:rPr>
        <w:t>民族</w:t>
      </w:r>
      <w:r>
        <w:rPr>
          <w:rFonts w:hint="eastAsia" w:ascii="仿宋" w:eastAsia="仿宋"/>
          <w:color w:val="000000"/>
          <w:sz w:val="32"/>
          <w:szCs w:val="32"/>
          <w:lang w:eastAsia="zh-CN"/>
        </w:rPr>
        <w:t>工作一项重要内容，把项目安排作为实现好、维护好少数民族群众切身利益，践行群众路线和群众观点的具体体现，做实、做细</w:t>
      </w:r>
      <w:r>
        <w:rPr>
          <w:rFonts w:hint="eastAsia" w:ascii="仿宋" w:eastAsia="仿宋"/>
          <w:color w:val="000000"/>
          <w:sz w:val="32"/>
          <w:szCs w:val="32"/>
          <w:lang w:val="en-US" w:eastAsia="zh-CN"/>
        </w:rPr>
        <w:t>两项</w:t>
      </w:r>
      <w:r>
        <w:rPr>
          <w:rFonts w:hint="eastAsia" w:ascii="仿宋" w:eastAsia="仿宋"/>
          <w:color w:val="000000"/>
          <w:sz w:val="32"/>
          <w:szCs w:val="32"/>
          <w:lang w:eastAsia="zh-CN"/>
        </w:rPr>
        <w:t>资金项目管理各项工作。</w:t>
      </w:r>
    </w:p>
    <w:p>
      <w:pPr>
        <w:pBdr>
          <w:bottom w:val="single" w:color="FFFFFF" w:sz="4" w:space="31"/>
        </w:pBdr>
        <w:tabs>
          <w:tab w:val="left" w:pos="0"/>
        </w:tabs>
        <w:spacing w:line="560" w:lineRule="exact"/>
        <w:ind w:left="0" w:firstLine="640" w:firstLineChars="200"/>
        <w:jc w:val="left"/>
        <w:rPr>
          <w:rFonts w:ascii="仿宋" w:eastAsia="仿宋"/>
          <w:color w:val="000000"/>
          <w:sz w:val="32"/>
          <w:szCs w:val="32"/>
          <w:lang w:val="en-US" w:eastAsia="zh-CN"/>
        </w:rPr>
      </w:pPr>
      <w:r>
        <w:rPr>
          <w:rFonts w:hint="eastAsia" w:ascii="方正仿宋_GB18030" w:eastAsia="方正仿宋_GB18030" w:cs="方正仿宋_GB18030"/>
          <w:bCs/>
          <w:color w:val="000000"/>
          <w:kern w:val="0"/>
          <w:sz w:val="32"/>
          <w:szCs w:val="32"/>
          <w:shd w:val="clear" w:color="auto" w:fill="FFFFFF"/>
          <w:lang w:val="zh-CN" w:eastAsia="zh-CN"/>
        </w:rPr>
        <w:t>（三）项目监管情况。</w:t>
      </w:r>
      <w:r>
        <w:rPr>
          <w:rFonts w:hint="eastAsia" w:ascii="仿宋" w:eastAsia="仿宋"/>
          <w:color w:val="000000"/>
          <w:sz w:val="32"/>
          <w:szCs w:val="32"/>
          <w:lang w:val="en-US" w:eastAsia="zh-CN"/>
        </w:rPr>
        <w:t>对有利于改善少数民族和民族地区生产生活条件，有利于民族地区人民群众脱贫致富，具有良好经济效益和社会效益的项目，优先给予扶持，确保项目选择的科学性、可行性。</w:t>
      </w:r>
      <w:r>
        <w:rPr>
          <w:rFonts w:hint="eastAsia" w:ascii="仿宋" w:eastAsia="仿宋"/>
          <w:color w:val="000000"/>
          <w:sz w:val="32"/>
          <w:szCs w:val="32"/>
          <w:lang w:eastAsia="zh-CN"/>
        </w:rPr>
        <w:t>规范项目管理程序，项目下达后，及时</w:t>
      </w:r>
      <w:r>
        <w:rPr>
          <w:rFonts w:hint="eastAsia" w:ascii="仿宋" w:eastAsia="仿宋"/>
          <w:color w:val="000000"/>
          <w:sz w:val="32"/>
          <w:szCs w:val="32"/>
          <w:lang w:val="en-US" w:eastAsia="zh-CN"/>
        </w:rPr>
        <w:t>要求责任单位编制</w:t>
      </w:r>
      <w:r>
        <w:rPr>
          <w:rFonts w:hint="eastAsia" w:ascii="仿宋" w:eastAsia="仿宋"/>
          <w:color w:val="000000"/>
          <w:sz w:val="32"/>
          <w:szCs w:val="32"/>
          <w:lang w:eastAsia="zh-CN"/>
        </w:rPr>
        <w:t>实施方案</w:t>
      </w:r>
      <w:r>
        <w:rPr>
          <w:rFonts w:hint="eastAsia" w:ascii="仿宋" w:eastAsia="仿宋"/>
          <w:color w:val="000000"/>
          <w:sz w:val="32"/>
          <w:szCs w:val="32"/>
          <w:lang w:val="en-US" w:eastAsia="zh-CN"/>
        </w:rPr>
        <w:t>并组织评审</w:t>
      </w:r>
      <w:r>
        <w:rPr>
          <w:rFonts w:hint="eastAsia" w:ascii="仿宋" w:eastAsia="仿宋"/>
          <w:color w:val="000000"/>
          <w:sz w:val="32"/>
          <w:szCs w:val="32"/>
          <w:lang w:eastAsia="zh-CN"/>
        </w:rPr>
        <w:t>，经主管部门同意后下达开工令组织实施。</w:t>
      </w:r>
      <w:r>
        <w:rPr>
          <w:rFonts w:hint="eastAsia" w:ascii="仿宋" w:eastAsia="仿宋"/>
          <w:color w:val="000000"/>
          <w:sz w:val="32"/>
          <w:szCs w:val="32"/>
          <w:lang w:val="en-US" w:eastAsia="zh-CN"/>
        </w:rPr>
        <w:t>在资金使用过程中，严格按照相关要求，实行专人负责、专户管理、专款使用。并采取定期或不定期检查的方式，对资金使用情况进行全程监管，跟踪问效。</w:t>
      </w:r>
    </w:p>
    <w:p>
      <w:pPr>
        <w:pBdr>
          <w:bottom w:val="single" w:color="FFFFFF" w:sz="4" w:space="31"/>
        </w:pBdr>
        <w:tabs>
          <w:tab w:val="left" w:pos="0"/>
        </w:tabs>
        <w:spacing w:line="560" w:lineRule="exact"/>
        <w:ind w:left="0" w:firstLine="640" w:firstLineChars="200"/>
        <w:jc w:val="left"/>
        <w:rPr>
          <w:rFonts w:hint="eastAsia" w:ascii="黑体" w:eastAsia="黑体"/>
          <w:color w:val="000000"/>
          <w:sz w:val="32"/>
          <w:szCs w:val="32"/>
        </w:rPr>
      </w:pPr>
      <w:r>
        <w:rPr>
          <w:rFonts w:hint="eastAsia" w:ascii="黑体" w:eastAsia="黑体"/>
          <w:color w:val="000000"/>
          <w:sz w:val="32"/>
          <w:szCs w:val="32"/>
        </w:rPr>
        <w:t>四、项目绩效情况</w:t>
      </w:r>
    </w:p>
    <w:p>
      <w:pPr>
        <w:pBdr>
          <w:bottom w:val="single" w:color="FFFFFF" w:sz="4" w:space="31"/>
        </w:pBdr>
        <w:tabs>
          <w:tab w:val="left" w:pos="0"/>
        </w:tabs>
        <w:spacing w:line="560" w:lineRule="exact"/>
        <w:ind w:left="0" w:firstLine="640" w:firstLineChars="200"/>
        <w:jc w:val="left"/>
        <w:rPr>
          <w:rFonts w:hint="eastAsia" w:ascii="仿宋" w:eastAsia="仿宋"/>
          <w:color w:val="000000"/>
          <w:sz w:val="32"/>
          <w:szCs w:val="32"/>
        </w:rPr>
      </w:pPr>
      <w:r>
        <w:rPr>
          <w:rFonts w:hint="eastAsia" w:ascii="方正仿宋_GB18030" w:eastAsia="方正仿宋_GB18030" w:cs="方正仿宋_GB18030"/>
          <w:bCs/>
          <w:color w:val="000000"/>
          <w:kern w:val="0"/>
          <w:sz w:val="32"/>
          <w:szCs w:val="32"/>
          <w:shd w:val="clear" w:color="auto" w:fill="FFFFFF"/>
          <w:lang w:val="zh-CN"/>
        </w:rPr>
        <w:t>（一）加强制度建设，明确工作责任。</w:t>
      </w:r>
      <w:r>
        <w:rPr>
          <w:rFonts w:hint="eastAsia" w:ascii="仿宋" w:eastAsia="仿宋"/>
          <w:color w:val="000000"/>
          <w:sz w:val="32"/>
          <w:szCs w:val="32"/>
        </w:rPr>
        <w:t>落实分管领导和具体工作人员，主要领导亲自抓，分管领导具体抓，把任务、责任落实到人，强化目标责任制。强化责任考核建立项目进度月督查通报制度。</w:t>
      </w:r>
    </w:p>
    <w:p>
      <w:pPr>
        <w:pBdr>
          <w:bottom w:val="single" w:color="FFFFFF" w:sz="4" w:space="31"/>
        </w:pBdr>
        <w:tabs>
          <w:tab w:val="left" w:pos="0"/>
        </w:tabs>
        <w:spacing w:line="560" w:lineRule="exact"/>
        <w:ind w:left="0" w:firstLine="640" w:firstLineChars="200"/>
        <w:jc w:val="left"/>
        <w:rPr>
          <w:rFonts w:hint="eastAsia" w:ascii="仿宋" w:eastAsia="仿宋"/>
          <w:bCs/>
          <w:color w:val="000000"/>
          <w:sz w:val="32"/>
          <w:szCs w:val="32"/>
        </w:rPr>
      </w:pPr>
      <w:r>
        <w:rPr>
          <w:rFonts w:hint="eastAsia" w:ascii="方正仿宋_GB18030" w:eastAsia="方正仿宋_GB18030" w:cs="方正仿宋_GB18030"/>
          <w:bCs/>
          <w:color w:val="000000"/>
          <w:kern w:val="0"/>
          <w:sz w:val="32"/>
          <w:szCs w:val="32"/>
          <w:shd w:val="clear" w:color="auto" w:fill="FFFFFF"/>
          <w:lang w:val="zh-CN"/>
        </w:rPr>
        <w:t>（二）加强项目宣传工作。</w:t>
      </w:r>
      <w:r>
        <w:rPr>
          <w:rFonts w:hint="eastAsia" w:ascii="仿宋" w:eastAsia="仿宋"/>
          <w:bCs/>
          <w:color w:val="000000"/>
          <w:sz w:val="32"/>
          <w:szCs w:val="32"/>
        </w:rPr>
        <w:t>充分调动群众参与项目建设积极性，把项目宣传贯彻到项目实施始终，将项目实施与民族团结进步工作结合，做到项目实施经济效益，社会效益、政治效益有机结合。</w:t>
      </w:r>
    </w:p>
    <w:p>
      <w:pPr>
        <w:pBdr>
          <w:bottom w:val="single" w:color="FFFFFF" w:sz="4" w:space="31"/>
        </w:pBdr>
        <w:tabs>
          <w:tab w:val="left" w:pos="0"/>
        </w:tabs>
        <w:spacing w:line="560" w:lineRule="exact"/>
        <w:ind w:left="0" w:firstLine="640" w:firstLineChars="200"/>
        <w:jc w:val="left"/>
        <w:rPr>
          <w:rFonts w:ascii="仿宋" w:eastAsia="仿宋"/>
          <w:bCs/>
          <w:color w:val="000000"/>
          <w:sz w:val="32"/>
          <w:szCs w:val="32"/>
        </w:rPr>
      </w:pPr>
      <w:r>
        <w:rPr>
          <w:rFonts w:hint="eastAsia" w:ascii="方正仿宋_GB18030" w:eastAsia="方正仿宋_GB18030" w:cs="方正仿宋_GB18030"/>
          <w:bCs/>
          <w:color w:val="000000"/>
          <w:kern w:val="0"/>
          <w:sz w:val="32"/>
          <w:szCs w:val="32"/>
          <w:shd w:val="clear" w:color="auto" w:fill="FFFFFF"/>
          <w:lang w:val="zh-CN"/>
        </w:rPr>
        <w:t>（三）加强部门协调配合。</w:t>
      </w:r>
      <w:r>
        <w:rPr>
          <w:rFonts w:hint="eastAsia" w:ascii="仿宋" w:eastAsia="仿宋"/>
          <w:bCs/>
          <w:color w:val="000000"/>
          <w:sz w:val="32"/>
          <w:szCs w:val="32"/>
        </w:rPr>
        <w:t>从项目申报，项目设计及投资预算，项目监管，项目验收全过程加强同县级相关业务部门协调配合，确保项目质量及资金发挥最大效益。</w:t>
      </w:r>
    </w:p>
    <w:p>
      <w:pPr>
        <w:pBdr>
          <w:bottom w:val="single" w:color="FFFFFF" w:sz="4" w:space="31"/>
        </w:pBdr>
        <w:tabs>
          <w:tab w:val="left" w:pos="0"/>
        </w:tabs>
        <w:spacing w:line="560" w:lineRule="exact"/>
        <w:ind w:left="0" w:firstLine="640" w:firstLineChars="200"/>
        <w:jc w:val="left"/>
        <w:rPr>
          <w:rFonts w:ascii="仿宋" w:eastAsia="仿宋"/>
          <w:color w:val="000000"/>
          <w:sz w:val="32"/>
          <w:szCs w:val="32"/>
          <w:lang w:val="en-US" w:eastAsia="zh-CN"/>
        </w:rPr>
      </w:pPr>
      <w:r>
        <w:rPr>
          <w:rFonts w:hint="eastAsia" w:ascii="仿宋" w:eastAsia="仿宋"/>
          <w:color w:val="000000"/>
          <w:sz w:val="32"/>
          <w:szCs w:val="32"/>
        </w:rPr>
        <w:t>项目建设过程中，我县突出产业特色亮点，项目实施村基础设施得到提档升级，群众增收致富辐射带动效果明显，得到了各级领导以及当地群众的认可和好评。结合民族地区开发以及乡村振兴战略实施发展契机，积极投身于产业结构调整、文化特色振兴、组织能力提升、人才引进培养。切实凸显产业振兴、文化振兴、组织振兴、人才振兴、生态振兴</w:t>
      </w:r>
      <w:r>
        <w:rPr>
          <w:rFonts w:hint="eastAsia" w:ascii="仿宋" w:eastAsia="仿宋"/>
          <w:color w:val="000000"/>
          <w:sz w:val="32"/>
          <w:szCs w:val="32"/>
          <w:lang w:eastAsia="zh-CN"/>
        </w:rPr>
        <w:t>、</w:t>
      </w:r>
      <w:r>
        <w:rPr>
          <w:rFonts w:hint="eastAsia" w:ascii="仿宋" w:eastAsia="仿宋"/>
          <w:color w:val="000000"/>
          <w:sz w:val="32"/>
          <w:szCs w:val="32"/>
        </w:rPr>
        <w:t>乡村振兴战略实践中现实意义。</w:t>
      </w:r>
      <w:r>
        <w:rPr>
          <w:rFonts w:hint="eastAsia" w:ascii="仿宋" w:eastAsia="仿宋"/>
          <w:color w:val="000000"/>
          <w:sz w:val="32"/>
          <w:szCs w:val="32"/>
          <w:lang w:val="en-US" w:eastAsia="zh-CN"/>
        </w:rPr>
        <w:t xml:space="preserve"> </w:t>
      </w:r>
    </w:p>
    <w:p>
      <w:pPr>
        <w:pBdr>
          <w:bottom w:val="single" w:color="FFFFFF" w:sz="4" w:space="31"/>
        </w:pBdr>
        <w:tabs>
          <w:tab w:val="left" w:pos="0"/>
        </w:tabs>
        <w:spacing w:line="560" w:lineRule="exact"/>
        <w:ind w:left="0" w:firstLine="640" w:firstLineChars="200"/>
        <w:jc w:val="left"/>
        <w:rPr>
          <w:rFonts w:ascii="黑体" w:eastAsia="黑体"/>
          <w:color w:val="000000"/>
          <w:sz w:val="32"/>
          <w:szCs w:val="32"/>
          <w:lang w:val="en-US" w:eastAsia="zh-CN"/>
        </w:rPr>
      </w:pPr>
      <w:r>
        <w:rPr>
          <w:rFonts w:hint="eastAsia" w:ascii="黑体" w:eastAsia="黑体"/>
          <w:color w:val="000000"/>
          <w:sz w:val="32"/>
          <w:szCs w:val="32"/>
          <w:lang w:val="en-US" w:eastAsia="zh-CN"/>
        </w:rPr>
        <w:t>五、评价结论及建议</w:t>
      </w:r>
    </w:p>
    <w:p>
      <w:pPr>
        <w:pBdr>
          <w:bottom w:val="single" w:color="FFFFFF" w:sz="4" w:space="31"/>
        </w:pBdr>
        <w:tabs>
          <w:tab w:val="left" w:pos="0"/>
        </w:tabs>
        <w:spacing w:line="560" w:lineRule="exact"/>
        <w:ind w:left="0" w:firstLine="640" w:firstLineChars="200"/>
        <w:jc w:val="left"/>
        <w:rPr>
          <w:rFonts w:ascii="方正仿宋_GB18030" w:eastAsia="方正仿宋_GB18030" w:cs="方正仿宋_GB18030"/>
          <w:bCs/>
          <w:color w:val="000000"/>
          <w:kern w:val="0"/>
          <w:sz w:val="32"/>
          <w:szCs w:val="32"/>
          <w:shd w:val="clear" w:color="auto" w:fill="FFFFFF"/>
          <w:lang w:val="zh-CN" w:eastAsia="zh-CN"/>
        </w:rPr>
      </w:pPr>
      <w:r>
        <w:rPr>
          <w:rFonts w:hint="eastAsia" w:ascii="方正仿宋_GB18030" w:eastAsia="方正仿宋_GB18030" w:cs="方正仿宋_GB18030"/>
          <w:bCs/>
          <w:color w:val="000000"/>
          <w:kern w:val="0"/>
          <w:sz w:val="32"/>
          <w:szCs w:val="32"/>
          <w:shd w:val="clear" w:color="auto" w:fill="FFFFFF"/>
          <w:lang w:val="zh-CN" w:eastAsia="zh-CN"/>
        </w:rPr>
        <w:t>（一）评价结论</w:t>
      </w:r>
    </w:p>
    <w:p>
      <w:pPr>
        <w:pBdr>
          <w:bottom w:val="single" w:color="FFFFFF" w:sz="4" w:space="31"/>
        </w:pBdr>
        <w:tabs>
          <w:tab w:val="left" w:pos="0"/>
        </w:tabs>
        <w:spacing w:line="560" w:lineRule="exact"/>
        <w:ind w:left="0" w:firstLine="640" w:firstLineChars="200"/>
        <w:jc w:val="left"/>
        <w:rPr>
          <w:rFonts w:hint="eastAsia" w:ascii="仿宋" w:eastAsia="仿宋"/>
          <w:color w:val="000000"/>
          <w:sz w:val="32"/>
          <w:szCs w:val="32"/>
        </w:rPr>
      </w:pPr>
      <w:r>
        <w:rPr>
          <w:rFonts w:hint="eastAsia" w:ascii="仿宋" w:eastAsia="仿宋"/>
          <w:color w:val="000000"/>
          <w:sz w:val="32"/>
          <w:szCs w:val="32"/>
        </w:rPr>
        <w:t>坚持资金重点投向改善农村村组道路等基础设施建设、发展特色种养殖业等改善少数民族群众的生产和生活条件的项目，取得了较好效益。社会效益方面，道路、农田水利等基础设施项目的实施，有效解决了老百姓安全出行、安全饮水、农产品运输等方面的困难,扶持地民生条件得到有效改善，群众发展产业的信心增强，项目区群众收入水平显著提高。生态效益方面，种养殖业项目的实施，转变了广大农民群众传统的种养植生产方式，现有土地和自然资源得到合理的保护和利用，土壤有效改良，植被合理保护，生态环境将得到进一步优化。可持续效益方面，通过项目建设，项目区群众生活方式进一步转变，收入水平进一步提高，村容村貌明显改观。</w:t>
      </w:r>
    </w:p>
    <w:p>
      <w:pPr>
        <w:pBdr>
          <w:bottom w:val="single" w:color="FFFFFF" w:sz="4" w:space="31"/>
        </w:pBdr>
        <w:tabs>
          <w:tab w:val="left" w:pos="0"/>
        </w:tabs>
        <w:spacing w:line="560" w:lineRule="exact"/>
        <w:ind w:left="0" w:firstLine="640" w:firstLineChars="200"/>
        <w:jc w:val="left"/>
        <w:rPr>
          <w:rFonts w:ascii="方正仿宋_GB18030" w:eastAsia="方正仿宋_GB18030" w:cs="方正仿宋_GB18030"/>
          <w:bCs/>
          <w:color w:val="000000"/>
          <w:kern w:val="0"/>
          <w:sz w:val="32"/>
          <w:szCs w:val="32"/>
          <w:shd w:val="clear" w:color="auto" w:fill="FFFFFF"/>
          <w:lang w:val="zh-CN"/>
        </w:rPr>
      </w:pPr>
      <w:r>
        <w:rPr>
          <w:rFonts w:hint="eastAsia" w:ascii="方正仿宋_GB18030" w:eastAsia="方正仿宋_GB18030" w:cs="方正仿宋_GB18030"/>
          <w:bCs/>
          <w:color w:val="000000"/>
          <w:kern w:val="0"/>
          <w:sz w:val="32"/>
          <w:szCs w:val="32"/>
          <w:shd w:val="clear" w:color="auto" w:fill="FFFFFF"/>
          <w:lang w:val="zh-CN"/>
        </w:rPr>
        <w:t>（二）存在问题</w:t>
      </w:r>
    </w:p>
    <w:p>
      <w:pPr>
        <w:pBdr>
          <w:bottom w:val="single" w:color="FFFFFF" w:sz="4" w:space="31"/>
        </w:pBdr>
        <w:tabs>
          <w:tab w:val="left" w:pos="0"/>
        </w:tabs>
        <w:spacing w:line="560" w:lineRule="exact"/>
        <w:ind w:left="0" w:firstLine="640" w:firstLineChars="200"/>
        <w:jc w:val="left"/>
        <w:rPr>
          <w:rFonts w:ascii="仿宋" w:eastAsia="仿宋" w:cs="方正仿宋_GB18030"/>
          <w:color w:val="000000"/>
          <w:sz w:val="32"/>
          <w:szCs w:val="32"/>
          <w:lang w:val="zh-CN"/>
        </w:rPr>
      </w:pPr>
      <w:r>
        <w:rPr>
          <w:rFonts w:hint="eastAsia" w:ascii="仿宋" w:eastAsia="仿宋" w:cs="方正仿宋_GB18030"/>
          <w:color w:val="000000"/>
          <w:sz w:val="32"/>
          <w:szCs w:val="32"/>
          <w:lang w:val="zh-CN"/>
        </w:rPr>
        <w:t>财务效能提升有待加强，我单位将严格按照财经纪律要求，进一步加大对财务各环节的监督检查，健全完善各项规章制度，有效提高财务工作各项效能。</w:t>
      </w:r>
    </w:p>
    <w:p>
      <w:pPr>
        <w:pBdr>
          <w:bottom w:val="single" w:color="FFFFFF" w:sz="4" w:space="31"/>
        </w:pBdr>
        <w:tabs>
          <w:tab w:val="left" w:pos="0"/>
        </w:tabs>
        <w:spacing w:line="560" w:lineRule="exact"/>
        <w:ind w:left="0" w:firstLine="640" w:firstLineChars="200"/>
        <w:jc w:val="left"/>
        <w:rPr>
          <w:rFonts w:ascii="方正仿宋_GB18030" w:eastAsia="方正仿宋_GB18030" w:cs="方正仿宋_GB18030"/>
          <w:bCs/>
          <w:color w:val="000000"/>
          <w:kern w:val="0"/>
          <w:sz w:val="32"/>
          <w:szCs w:val="32"/>
          <w:shd w:val="clear" w:color="auto" w:fill="FFFFFF"/>
          <w:lang w:val="zh-CN"/>
        </w:rPr>
      </w:pPr>
      <w:r>
        <w:rPr>
          <w:rFonts w:hint="eastAsia" w:ascii="方正仿宋_GB18030" w:eastAsia="方正仿宋_GB18030" w:cs="方正仿宋_GB18030"/>
          <w:bCs/>
          <w:color w:val="000000"/>
          <w:kern w:val="0"/>
          <w:sz w:val="32"/>
          <w:szCs w:val="32"/>
          <w:shd w:val="clear" w:color="auto" w:fill="FFFFFF"/>
          <w:lang w:val="zh-CN"/>
        </w:rPr>
        <w:t>（三）相关建议</w:t>
      </w:r>
    </w:p>
    <w:p>
      <w:pPr>
        <w:pBdr>
          <w:bottom w:val="single" w:color="FFFFFF" w:sz="4" w:space="31"/>
        </w:pBdr>
        <w:tabs>
          <w:tab w:val="left" w:pos="0"/>
        </w:tabs>
        <w:spacing w:line="560" w:lineRule="exact"/>
        <w:ind w:left="0" w:firstLine="640" w:firstLineChars="200"/>
        <w:jc w:val="left"/>
        <w:rPr>
          <w:rFonts w:hint="eastAsia" w:ascii="方正仿宋_GB18030" w:eastAsia="方正仿宋_GB18030" w:cs="方正仿宋_GB18030"/>
          <w:bCs/>
          <w:color w:val="000000"/>
          <w:kern w:val="0"/>
          <w:sz w:val="32"/>
          <w:szCs w:val="32"/>
          <w:shd w:val="clear" w:color="auto" w:fill="FFFFFF"/>
          <w:lang w:val="zh-CN"/>
        </w:rPr>
      </w:pPr>
      <w:r>
        <w:rPr>
          <w:rFonts w:hint="eastAsia" w:ascii="仿宋" w:eastAsia="仿宋" w:cs="方正仿宋_GB18030"/>
          <w:color w:val="000000"/>
          <w:sz w:val="32"/>
          <w:szCs w:val="32"/>
          <w:lang w:val="zh-CN" w:eastAsia="zh-CN"/>
        </w:rPr>
        <w:t>下一步</w:t>
      </w:r>
      <w:r>
        <w:rPr>
          <w:rFonts w:hint="eastAsia" w:ascii="仿宋" w:eastAsia="仿宋" w:cs="方正仿宋_GB18030"/>
          <w:color w:val="000000"/>
          <w:sz w:val="32"/>
          <w:szCs w:val="32"/>
          <w:lang w:val="zh-CN"/>
        </w:rPr>
        <w:t>，我</w:t>
      </w:r>
      <w:r>
        <w:rPr>
          <w:rFonts w:hint="eastAsia" w:ascii="仿宋" w:eastAsia="仿宋" w:cs="方正仿宋_GB18030"/>
          <w:color w:val="000000"/>
          <w:sz w:val="32"/>
          <w:szCs w:val="32"/>
          <w:lang w:val="zh-CN" w:eastAsia="zh-CN"/>
        </w:rPr>
        <w:t>单位</w:t>
      </w:r>
      <w:r>
        <w:rPr>
          <w:rFonts w:hint="eastAsia" w:ascii="仿宋" w:eastAsia="仿宋" w:cs="方正仿宋_GB18030"/>
          <w:color w:val="000000"/>
          <w:sz w:val="32"/>
          <w:szCs w:val="32"/>
          <w:lang w:val="zh-CN"/>
        </w:rPr>
        <w:t>将严格按照上级财政部门要求及本级财政部门各项工作任务安排，</w:t>
      </w:r>
      <w:r>
        <w:rPr>
          <w:rFonts w:hint="eastAsia" w:ascii="仿宋" w:eastAsia="仿宋" w:cs="方正仿宋_GB18030"/>
          <w:color w:val="000000"/>
          <w:sz w:val="32"/>
          <w:szCs w:val="32"/>
          <w:lang w:val="zh-CN" w:eastAsia="zh-CN"/>
        </w:rPr>
        <w:t>建立</w:t>
      </w:r>
      <w:r>
        <w:rPr>
          <w:rFonts w:hint="eastAsia" w:ascii="仿宋" w:eastAsia="仿宋" w:cs="方正仿宋_GB18030"/>
          <w:color w:val="000000"/>
          <w:sz w:val="32"/>
          <w:szCs w:val="32"/>
          <w:lang w:val="zh-CN"/>
        </w:rPr>
        <w:t>科学</w:t>
      </w:r>
      <w:r>
        <w:rPr>
          <w:rFonts w:hint="eastAsia" w:ascii="仿宋" w:eastAsia="仿宋" w:cs="方正仿宋_GB18030"/>
          <w:color w:val="000000"/>
          <w:sz w:val="32"/>
          <w:szCs w:val="32"/>
          <w:lang w:val="zh-CN" w:eastAsia="zh-CN"/>
        </w:rPr>
        <w:t>、</w:t>
      </w:r>
      <w:r>
        <w:rPr>
          <w:rFonts w:hint="eastAsia" w:ascii="仿宋" w:eastAsia="仿宋" w:cs="方正仿宋_GB18030"/>
          <w:color w:val="000000"/>
          <w:sz w:val="32"/>
          <w:szCs w:val="32"/>
          <w:lang w:val="zh-CN"/>
        </w:rPr>
        <w:t>统一、完整的财政绩效评价指标体系</w:t>
      </w:r>
      <w:r>
        <w:rPr>
          <w:rFonts w:hint="eastAsia" w:ascii="仿宋" w:eastAsia="仿宋" w:cs="方正仿宋_GB18030"/>
          <w:color w:val="000000"/>
          <w:sz w:val="32"/>
          <w:szCs w:val="32"/>
          <w:lang w:val="zh-CN" w:eastAsia="zh-CN"/>
        </w:rPr>
        <w:t>，并将</w:t>
      </w:r>
      <w:r>
        <w:rPr>
          <w:rFonts w:hint="eastAsia" w:ascii="仿宋" w:eastAsia="仿宋" w:cs="方正仿宋_GB18030"/>
          <w:color w:val="000000"/>
          <w:sz w:val="32"/>
          <w:szCs w:val="32"/>
          <w:lang w:val="zh-CN"/>
        </w:rPr>
        <w:t>绩效理念真正贯穿于</w:t>
      </w:r>
      <w:r>
        <w:rPr>
          <w:rFonts w:hint="eastAsia" w:ascii="仿宋" w:eastAsia="仿宋" w:cs="方正仿宋_GB18030"/>
          <w:color w:val="000000"/>
          <w:sz w:val="32"/>
          <w:szCs w:val="32"/>
          <w:lang w:val="zh-CN" w:eastAsia="zh-CN"/>
        </w:rPr>
        <w:t>工作</w:t>
      </w:r>
      <w:r>
        <w:rPr>
          <w:rFonts w:hint="eastAsia" w:ascii="仿宋" w:eastAsia="仿宋" w:cs="方正仿宋_GB18030"/>
          <w:color w:val="000000"/>
          <w:sz w:val="32"/>
          <w:szCs w:val="32"/>
          <w:lang w:val="zh-CN"/>
        </w:rPr>
        <w:t>实践中</w:t>
      </w:r>
      <w:r>
        <w:rPr>
          <w:rFonts w:hint="eastAsia" w:ascii="仿宋" w:eastAsia="仿宋" w:cs="方正仿宋_GB18030"/>
          <w:color w:val="000000"/>
          <w:sz w:val="32"/>
          <w:szCs w:val="32"/>
          <w:lang w:val="zh-CN" w:eastAsia="zh-CN"/>
        </w:rPr>
        <w:t>，让</w:t>
      </w:r>
      <w:r>
        <w:rPr>
          <w:rFonts w:hint="eastAsia" w:ascii="仿宋" w:eastAsia="仿宋" w:cs="方正仿宋_GB18030"/>
          <w:color w:val="000000"/>
          <w:sz w:val="32"/>
          <w:szCs w:val="32"/>
          <w:lang w:val="zh-CN"/>
        </w:rPr>
        <w:t>绩效评价工作的成果得以充分广泛利用</w:t>
      </w:r>
      <w:r>
        <w:rPr>
          <w:rFonts w:hint="eastAsia" w:ascii="仿宋" w:eastAsia="仿宋" w:cs="方正仿宋_GB18030"/>
          <w:color w:val="000000"/>
          <w:sz w:val="32"/>
          <w:szCs w:val="32"/>
          <w:lang w:val="zh-CN" w:eastAsia="zh-CN"/>
        </w:rPr>
        <w:t>。</w:t>
      </w:r>
    </w:p>
    <w:p>
      <w:pPr>
        <w:pStyle w:val="2"/>
        <w:pBdr>
          <w:bottom w:val="none" w:color="auto" w:sz="0" w:space="0"/>
        </w:pBdr>
        <w:ind w:firstLine="680"/>
        <w:rPr>
          <w:rFonts w:hint="eastAsia"/>
        </w:rPr>
      </w:pPr>
    </w:p>
    <w:p>
      <w:pPr>
        <w:pStyle w:val="2"/>
        <w:pBdr>
          <w:bottom w:val="none" w:color="auto" w:sz="0" w:space="0"/>
        </w:pBdr>
        <w:ind w:firstLine="680"/>
      </w:pPr>
    </w:p>
    <w:p>
      <w:pPr>
        <w:pStyle w:val="2"/>
        <w:pBdr>
          <w:bottom w:val="none" w:color="auto" w:sz="0" w:space="0"/>
        </w:pBdr>
        <w:ind w:firstLine="680"/>
      </w:pPr>
    </w:p>
    <w:p>
      <w:pPr>
        <w:pStyle w:val="2"/>
        <w:pBdr>
          <w:bottom w:val="none" w:color="auto" w:sz="0" w:space="0"/>
        </w:pBdr>
        <w:ind w:firstLine="680"/>
      </w:pPr>
    </w:p>
    <w:p>
      <w:pPr>
        <w:pStyle w:val="2"/>
        <w:pBdr>
          <w:bottom w:val="none" w:color="auto" w:sz="0" w:space="0"/>
        </w:pBdr>
        <w:ind w:firstLine="680"/>
      </w:pPr>
    </w:p>
    <w:p>
      <w:pPr>
        <w:pStyle w:val="2"/>
        <w:pBdr>
          <w:bottom w:val="none" w:color="auto" w:sz="0" w:space="0"/>
        </w:pBdr>
        <w:ind w:firstLine="680"/>
      </w:pPr>
    </w:p>
    <w:p>
      <w:pPr>
        <w:pStyle w:val="2"/>
        <w:pBdr>
          <w:bottom w:val="none" w:color="auto" w:sz="0" w:space="0"/>
        </w:pBdr>
        <w:ind w:firstLine="680"/>
      </w:pPr>
    </w:p>
    <w:p>
      <w:pPr>
        <w:pStyle w:val="2"/>
        <w:pBdr>
          <w:bottom w:val="none" w:color="auto" w:sz="0" w:space="0"/>
        </w:pBdr>
        <w:ind w:firstLine="680"/>
      </w:pPr>
    </w:p>
    <w:p>
      <w:pPr>
        <w:pStyle w:val="2"/>
        <w:pBdr>
          <w:bottom w:val="none" w:color="auto" w:sz="0" w:space="0"/>
        </w:pBdr>
        <w:ind w:firstLine="680"/>
      </w:pPr>
    </w:p>
    <w:p>
      <w:pPr>
        <w:pStyle w:val="2"/>
        <w:pBdr>
          <w:bottom w:val="none" w:color="auto" w:sz="0" w:space="0"/>
        </w:pBdr>
        <w:ind w:firstLine="680"/>
      </w:pPr>
    </w:p>
    <w:p>
      <w:pPr>
        <w:pStyle w:val="2"/>
        <w:pBdr>
          <w:bottom w:val="none" w:color="auto" w:sz="0" w:space="0"/>
        </w:pBdr>
        <w:ind w:firstLine="680"/>
      </w:pPr>
    </w:p>
    <w:p>
      <w:pPr>
        <w:pStyle w:val="2"/>
        <w:pBdr>
          <w:bottom w:val="none" w:color="auto" w:sz="0" w:space="0"/>
        </w:pBdr>
        <w:ind w:firstLine="680"/>
      </w:pPr>
    </w:p>
    <w:p>
      <w:pPr>
        <w:pStyle w:val="2"/>
        <w:pBdr>
          <w:bottom w:val="none" w:color="auto" w:sz="0" w:space="0"/>
        </w:pBdr>
        <w:ind w:firstLine="680"/>
      </w:pPr>
    </w:p>
    <w:p>
      <w:pPr>
        <w:pStyle w:val="2"/>
        <w:pBdr>
          <w:bottom w:val="none" w:color="auto" w:sz="0" w:space="0"/>
        </w:pBdr>
        <w:ind w:firstLine="680"/>
      </w:pPr>
    </w:p>
    <w:p>
      <w:pPr>
        <w:pStyle w:val="2"/>
        <w:pBdr>
          <w:bottom w:val="none" w:color="auto" w:sz="0" w:space="0"/>
        </w:pBdr>
        <w:ind w:firstLine="680"/>
      </w:pPr>
    </w:p>
    <w:p>
      <w:pPr>
        <w:pStyle w:val="2"/>
        <w:pBdr>
          <w:bottom w:val="none" w:color="auto" w:sz="0" w:space="0"/>
        </w:pBdr>
        <w:ind w:firstLine="680"/>
      </w:pPr>
    </w:p>
    <w:p>
      <w:pPr>
        <w:pStyle w:val="2"/>
        <w:pBdr>
          <w:bottom w:val="none" w:color="auto" w:sz="0" w:space="0"/>
        </w:pBdr>
        <w:ind w:firstLine="680"/>
      </w:pPr>
    </w:p>
    <w:p>
      <w:pPr>
        <w:pStyle w:val="2"/>
        <w:pBdr>
          <w:bottom w:val="none" w:color="auto" w:sz="0" w:space="0"/>
        </w:pBdr>
        <w:ind w:firstLine="680"/>
      </w:pPr>
    </w:p>
    <w:p>
      <w:pPr>
        <w:pStyle w:val="2"/>
        <w:pBdr>
          <w:bottom w:val="none" w:color="auto" w:sz="0" w:space="0"/>
        </w:pBdr>
        <w:ind w:firstLine="680"/>
      </w:pPr>
    </w:p>
    <w:p>
      <w:pPr>
        <w:pStyle w:val="2"/>
        <w:pBdr>
          <w:bottom w:val="none" w:color="auto" w:sz="0" w:space="0"/>
        </w:pBdr>
        <w:ind w:firstLine="680"/>
      </w:pPr>
    </w:p>
    <w:p>
      <w:pPr>
        <w:pStyle w:val="2"/>
        <w:pBdr>
          <w:bottom w:val="none" w:color="auto" w:sz="0" w:space="0"/>
        </w:pBdr>
        <w:ind w:firstLine="680"/>
      </w:pPr>
    </w:p>
    <w:p>
      <w:pPr>
        <w:pStyle w:val="2"/>
        <w:pBdr>
          <w:bottom w:val="none" w:color="auto" w:sz="0" w:space="0"/>
        </w:pBdr>
        <w:ind w:firstLine="680"/>
      </w:pPr>
    </w:p>
    <w:p>
      <w:pPr>
        <w:pStyle w:val="2"/>
        <w:pBdr>
          <w:bottom w:val="none" w:color="auto" w:sz="0" w:space="0"/>
        </w:pBdr>
        <w:ind w:firstLine="680"/>
      </w:pPr>
    </w:p>
    <w:p>
      <w:pPr>
        <w:pStyle w:val="2"/>
        <w:pBdr>
          <w:bottom w:val="none" w:color="auto" w:sz="0" w:space="0"/>
        </w:pBdr>
        <w:ind w:firstLine="680"/>
      </w:pPr>
    </w:p>
    <w:p>
      <w:pPr>
        <w:pStyle w:val="2"/>
        <w:pBdr>
          <w:bottom w:val="none" w:color="auto" w:sz="0" w:space="0"/>
        </w:pBdr>
        <w:ind w:firstLine="680"/>
      </w:pPr>
    </w:p>
    <w:p>
      <w:pPr>
        <w:pStyle w:val="2"/>
        <w:pBdr>
          <w:bottom w:val="none" w:color="auto" w:sz="0" w:space="0"/>
        </w:pBdr>
        <w:ind w:firstLine="680"/>
      </w:pPr>
    </w:p>
    <w:p>
      <w:pPr>
        <w:pStyle w:val="2"/>
        <w:pBdr>
          <w:bottom w:val="none" w:color="auto" w:sz="0" w:space="0"/>
        </w:pBdr>
        <w:ind w:firstLine="680"/>
      </w:pPr>
    </w:p>
    <w:p>
      <w:pPr>
        <w:pStyle w:val="2"/>
        <w:pBdr>
          <w:bottom w:val="none" w:color="auto" w:sz="0" w:space="0"/>
        </w:pBdr>
        <w:ind w:firstLine="680"/>
      </w:pPr>
    </w:p>
    <w:p>
      <w:pPr>
        <w:pStyle w:val="2"/>
        <w:pBdr>
          <w:bottom w:val="none" w:color="auto" w:sz="0" w:space="0"/>
        </w:pBdr>
        <w:ind w:firstLine="680"/>
      </w:pPr>
    </w:p>
    <w:p>
      <w:pPr>
        <w:pStyle w:val="2"/>
        <w:pBdr>
          <w:bottom w:val="none" w:color="auto" w:sz="0" w:space="0"/>
        </w:pBdr>
        <w:ind w:firstLine="680"/>
      </w:pPr>
    </w:p>
    <w:p>
      <w:pPr>
        <w:pStyle w:val="2"/>
        <w:pBdr>
          <w:bottom w:val="none" w:color="auto" w:sz="0" w:space="0"/>
        </w:pBdr>
        <w:ind w:firstLine="680"/>
      </w:pPr>
    </w:p>
    <w:p>
      <w:pPr>
        <w:pStyle w:val="2"/>
        <w:pBdr>
          <w:bottom w:val="none" w:color="auto" w:sz="0" w:space="0"/>
        </w:pBdr>
        <w:ind w:firstLine="680"/>
      </w:pPr>
    </w:p>
    <w:p>
      <w:pPr>
        <w:pStyle w:val="2"/>
        <w:pBdr>
          <w:bottom w:val="none" w:color="auto" w:sz="0" w:space="0"/>
        </w:pBdr>
        <w:ind w:firstLine="680"/>
      </w:pPr>
    </w:p>
    <w:p>
      <w:pPr>
        <w:pStyle w:val="2"/>
        <w:pBdr>
          <w:bottom w:val="none" w:color="auto" w:sz="0" w:space="0"/>
        </w:pBdr>
        <w:ind w:firstLine="680"/>
      </w:pPr>
    </w:p>
    <w:p>
      <w:pPr>
        <w:pStyle w:val="2"/>
        <w:pBdr>
          <w:bottom w:val="none" w:color="auto" w:sz="0" w:space="0"/>
        </w:pBdr>
        <w:ind w:firstLine="680"/>
      </w:pPr>
    </w:p>
    <w:p>
      <w:pPr>
        <w:pStyle w:val="2"/>
        <w:pBdr>
          <w:bottom w:val="none" w:color="auto" w:sz="0" w:space="0"/>
        </w:pBdr>
        <w:ind w:firstLine="680"/>
      </w:pPr>
    </w:p>
    <w:p>
      <w:pPr>
        <w:pStyle w:val="2"/>
        <w:pBdr>
          <w:bottom w:val="none" w:color="auto" w:sz="0" w:space="0"/>
        </w:pBdr>
        <w:ind w:firstLine="680"/>
      </w:pPr>
    </w:p>
    <w:p>
      <w:pPr>
        <w:pStyle w:val="2"/>
        <w:pBdr>
          <w:bottom w:val="none" w:color="auto" w:sz="0" w:space="0"/>
        </w:pBdr>
        <w:ind w:firstLine="680"/>
      </w:pPr>
    </w:p>
    <w:p>
      <w:pPr>
        <w:pStyle w:val="2"/>
        <w:pBdr>
          <w:bottom w:val="none" w:color="auto" w:sz="0" w:space="0"/>
        </w:pBdr>
        <w:ind w:firstLine="680"/>
      </w:pPr>
    </w:p>
    <w:p>
      <w:pPr>
        <w:spacing w:line="576" w:lineRule="exact"/>
        <w:jc w:val="center"/>
        <w:rPr>
          <w:rFonts w:hint="eastAsia" w:ascii="方正小标宋简体" w:eastAsia="方正小标宋简体" w:cs="方正小标宋简体"/>
          <w:sz w:val="44"/>
          <w:szCs w:val="44"/>
          <w:lang w:val="en-US" w:eastAsia="zh-CN"/>
        </w:rPr>
      </w:pPr>
    </w:p>
    <w:p>
      <w:pPr>
        <w:spacing w:line="576" w:lineRule="exact"/>
        <w:jc w:val="center"/>
        <w:rPr>
          <w:rFonts w:ascii="方正小标宋简体" w:eastAsia="方正小标宋简体" w:cs="方正小标宋简体"/>
          <w:sz w:val="44"/>
          <w:szCs w:val="44"/>
        </w:rPr>
      </w:pPr>
      <w:r>
        <w:rPr>
          <w:rFonts w:hint="eastAsia" w:ascii="方正小标宋简体" w:eastAsia="方正小标宋简体" w:cs="方正小标宋简体"/>
          <w:sz w:val="44"/>
          <w:szCs w:val="44"/>
          <w:lang w:val="en-US" w:eastAsia="zh-CN"/>
        </w:rPr>
        <w:t>铸牢中华民族共同体意识</w:t>
      </w:r>
      <w:r>
        <w:rPr>
          <w:rFonts w:hint="eastAsia" w:ascii="方正小标宋简体" w:eastAsia="方正小标宋简体" w:cs="方正小标宋简体"/>
          <w:sz w:val="44"/>
          <w:szCs w:val="44"/>
        </w:rPr>
        <w:t>工作经费</w:t>
      </w:r>
    </w:p>
    <w:p>
      <w:pPr>
        <w:spacing w:line="576" w:lineRule="exact"/>
        <w:jc w:val="center"/>
        <w:rPr>
          <w:rFonts w:ascii="方正小标宋简体" w:eastAsia="方正小标宋简体" w:cs="方正小标宋简体"/>
          <w:sz w:val="44"/>
          <w:szCs w:val="44"/>
        </w:rPr>
      </w:pPr>
      <w:r>
        <w:rPr>
          <w:rFonts w:hint="eastAsia" w:ascii="方正小标宋简体" w:eastAsia="方正小标宋简体" w:cs="方正小标宋简体"/>
          <w:sz w:val="44"/>
          <w:szCs w:val="44"/>
        </w:rPr>
        <w:t>的绩效评估报告</w:t>
      </w:r>
    </w:p>
    <w:p>
      <w:pPr>
        <w:spacing w:line="576" w:lineRule="exact"/>
        <w:ind w:firstLine="640"/>
        <w:rPr>
          <w:rFonts w:ascii="仿宋_GB2312" w:eastAsia="仿宋_GB2312"/>
          <w:sz w:val="32"/>
          <w:szCs w:val="32"/>
        </w:rPr>
      </w:pPr>
    </w:p>
    <w:p>
      <w:pPr>
        <w:spacing w:line="576" w:lineRule="exact"/>
        <w:ind w:firstLine="640"/>
        <w:rPr>
          <w:rFonts w:ascii="仿宋_GB2312" w:eastAsia="仿宋_GB2312" w:cs="仿宋_GB2312"/>
          <w:sz w:val="32"/>
          <w:szCs w:val="32"/>
        </w:rPr>
      </w:pPr>
      <w:r>
        <w:rPr>
          <w:rFonts w:ascii="仿宋_GB2312" w:eastAsia="仿宋_GB2312"/>
          <w:sz w:val="32"/>
          <w:szCs w:val="32"/>
        </w:rPr>
        <w:t>按照</w:t>
      </w:r>
      <w:r>
        <w:rPr>
          <w:rFonts w:hint="eastAsia" w:eastAsia="仿宋_GB2312" w:cs="仿宋_GB2312"/>
          <w:color w:val="000000"/>
          <w:sz w:val="32"/>
          <w:szCs w:val="32"/>
        </w:rPr>
        <w:t>《茂县民族团结进步创建领导小组办公室关于</w:t>
      </w:r>
      <w:r>
        <w:rPr>
          <w:rFonts w:hint="eastAsia" w:eastAsia="仿宋_GB2312" w:cs="仿宋_GB2312"/>
          <w:color w:val="000000"/>
          <w:sz w:val="32"/>
          <w:szCs w:val="32"/>
          <w:lang w:eastAsia="zh-CN"/>
        </w:rPr>
        <w:t>&lt;</w:t>
      </w:r>
      <w:r>
        <w:rPr>
          <w:rFonts w:hint="eastAsia" w:eastAsia="仿宋_GB2312" w:cs="仿宋_GB2312"/>
          <w:color w:val="000000"/>
          <w:sz w:val="32"/>
          <w:szCs w:val="32"/>
        </w:rPr>
        <w:t>印发茂县全国民族团结进步示范县巩固提升方案</w:t>
      </w:r>
      <w:r>
        <w:rPr>
          <w:rFonts w:hint="eastAsia" w:eastAsia="仿宋_GB2312" w:cs="仿宋_GB2312"/>
          <w:color w:val="000000"/>
          <w:sz w:val="32"/>
          <w:szCs w:val="32"/>
          <w:lang w:val="en-US" w:eastAsia="zh-CN"/>
        </w:rPr>
        <w:t>&gt;</w:t>
      </w:r>
      <w:r>
        <w:rPr>
          <w:rFonts w:hint="eastAsia" w:eastAsia="仿宋_GB2312" w:cs="仿宋_GB2312"/>
          <w:color w:val="000000"/>
          <w:sz w:val="32"/>
          <w:szCs w:val="32"/>
        </w:rPr>
        <w:t>的通知》</w:t>
      </w:r>
      <w:r>
        <w:rPr>
          <w:rFonts w:ascii="仿宋_GB2312" w:eastAsia="仿宋_GB2312" w:cs="仿宋_GB2312"/>
          <w:sz w:val="32"/>
          <w:szCs w:val="32"/>
        </w:rPr>
        <w:t>（</w:t>
      </w:r>
      <w:r>
        <w:rPr>
          <w:rFonts w:hint="eastAsia" w:ascii="仿宋_GB2312" w:eastAsia="仿宋_GB2312" w:cs="仿宋_GB2312"/>
          <w:sz w:val="32"/>
          <w:szCs w:val="32"/>
          <w:lang w:eastAsia="zh-CN"/>
        </w:rPr>
        <w:t>茂民创办</w:t>
      </w:r>
      <w:r>
        <w:rPr>
          <w:rFonts w:ascii="仿宋_GB2312" w:eastAsia="仿宋_GB2312" w:cs="仿宋_GB2312"/>
          <w:sz w:val="32"/>
          <w:szCs w:val="32"/>
        </w:rPr>
        <w:t>〔20</w:t>
      </w:r>
      <w:r>
        <w:rPr>
          <w:rFonts w:hint="eastAsia" w:ascii="仿宋_GB2312" w:eastAsia="仿宋_GB2312" w:cs="仿宋_GB2312"/>
          <w:sz w:val="32"/>
          <w:szCs w:val="32"/>
        </w:rPr>
        <w:t>2</w:t>
      </w:r>
      <w:r>
        <w:rPr>
          <w:rFonts w:hint="eastAsia" w:ascii="仿宋_GB2312" w:eastAsia="仿宋_GB2312" w:cs="仿宋_GB2312"/>
          <w:sz w:val="32"/>
          <w:szCs w:val="32"/>
          <w:lang w:eastAsia="zh-CN"/>
        </w:rPr>
        <w:t>1</w:t>
      </w:r>
      <w:r>
        <w:rPr>
          <w:rFonts w:ascii="仿宋_GB2312" w:eastAsia="仿宋_GB2312" w:cs="仿宋_GB2312"/>
          <w:sz w:val="32"/>
          <w:szCs w:val="32"/>
        </w:rPr>
        <w:t>〕</w:t>
      </w:r>
      <w:r>
        <w:rPr>
          <w:rFonts w:hint="eastAsia" w:ascii="仿宋_GB2312" w:eastAsia="仿宋_GB2312" w:cs="仿宋_GB2312"/>
          <w:sz w:val="32"/>
          <w:szCs w:val="32"/>
          <w:lang w:eastAsia="zh-CN"/>
        </w:rPr>
        <w:t>9</w:t>
      </w:r>
      <w:r>
        <w:rPr>
          <w:rFonts w:ascii="仿宋_GB2312" w:eastAsia="仿宋_GB2312" w:cs="仿宋_GB2312"/>
          <w:sz w:val="32"/>
          <w:szCs w:val="32"/>
        </w:rPr>
        <w:t>号）</w:t>
      </w:r>
      <w:r>
        <w:rPr>
          <w:rFonts w:hint="eastAsia" w:ascii="仿宋_GB2312" w:eastAsia="仿宋_GB2312" w:cs="仿宋_GB2312"/>
          <w:sz w:val="32"/>
          <w:szCs w:val="32"/>
        </w:rPr>
        <w:t>要求</w:t>
      </w:r>
      <w:r>
        <w:rPr>
          <w:rFonts w:ascii="仿宋_GB2312" w:eastAsia="仿宋_GB2312"/>
          <w:sz w:val="32"/>
          <w:szCs w:val="32"/>
        </w:rPr>
        <w:t>，</w:t>
      </w:r>
      <w:r>
        <w:rPr>
          <w:rFonts w:hint="eastAsia" w:ascii="仿宋_GB2312" w:eastAsia="仿宋_GB2312"/>
          <w:sz w:val="32"/>
          <w:szCs w:val="32"/>
        </w:rPr>
        <w:t>为深入贯彻落实习近平新时代民族工作思想，推动治蜀兴川战略目标实现，以铸牢中华民族共同体意识为主线，巩固提升全国民族团结进步示范县创建成果，在更高起点、更高水平上推进民族团结进步事业向纵深发展，县财政下达创建工作经费</w:t>
      </w:r>
      <w:r>
        <w:rPr>
          <w:rFonts w:hint="eastAsia" w:ascii="仿宋_GB2312" w:eastAsia="仿宋_GB2312"/>
          <w:sz w:val="32"/>
          <w:szCs w:val="32"/>
          <w:lang w:eastAsia="zh-CN"/>
        </w:rPr>
        <w:t>100</w:t>
      </w:r>
      <w:r>
        <w:rPr>
          <w:rFonts w:hint="eastAsia" w:ascii="仿宋_GB2312" w:eastAsia="仿宋_GB2312"/>
          <w:sz w:val="32"/>
          <w:szCs w:val="32"/>
        </w:rPr>
        <w:t>万元</w:t>
      </w:r>
      <w:r>
        <w:rPr>
          <w:rFonts w:ascii="仿宋_GB2312" w:eastAsia="仿宋_GB2312"/>
          <w:sz w:val="32"/>
          <w:szCs w:val="32"/>
        </w:rPr>
        <w:t>。</w:t>
      </w:r>
      <w:r>
        <w:rPr>
          <w:rFonts w:hint="eastAsia" w:ascii="仿宋_GB2312" w:eastAsia="仿宋_GB2312" w:cs="仿宋_GB2312"/>
          <w:sz w:val="32"/>
          <w:szCs w:val="32"/>
        </w:rPr>
        <w:t>现对202</w:t>
      </w:r>
      <w:r>
        <w:rPr>
          <w:rFonts w:hint="eastAsia" w:ascii="仿宋_GB2312" w:eastAsia="仿宋_GB2312" w:cs="仿宋_GB2312"/>
          <w:sz w:val="32"/>
          <w:szCs w:val="32"/>
          <w:lang w:eastAsia="zh-CN"/>
        </w:rPr>
        <w:t>1</w:t>
      </w:r>
      <w:r>
        <w:rPr>
          <w:rFonts w:hint="eastAsia" w:ascii="仿宋_GB2312" w:eastAsia="仿宋_GB2312" w:cs="仿宋_GB2312"/>
          <w:sz w:val="32"/>
          <w:szCs w:val="32"/>
        </w:rPr>
        <w:t>年创建工作经费绩效报告如下：</w:t>
      </w:r>
    </w:p>
    <w:p>
      <w:pPr>
        <w:spacing w:line="576" w:lineRule="exact"/>
        <w:ind w:firstLine="640" w:firstLineChars="200"/>
        <w:rPr>
          <w:rFonts w:ascii="黑体" w:eastAsia="黑体" w:cs="黑体"/>
          <w:sz w:val="32"/>
          <w:szCs w:val="32"/>
        </w:rPr>
      </w:pPr>
      <w:r>
        <w:rPr>
          <w:rFonts w:hint="eastAsia" w:ascii="黑体" w:eastAsia="黑体" w:cs="黑体"/>
          <w:sz w:val="32"/>
          <w:szCs w:val="32"/>
        </w:rPr>
        <w:t>一、资金概况</w:t>
      </w:r>
    </w:p>
    <w:p>
      <w:pPr>
        <w:spacing w:line="576" w:lineRule="exact"/>
        <w:ind w:firstLine="640" w:firstLineChars="200"/>
        <w:rPr>
          <w:rFonts w:ascii="仿宋_GB2312" w:eastAsia="仿宋_GB2312" w:cs="仿宋_GB2312"/>
          <w:sz w:val="32"/>
          <w:szCs w:val="32"/>
        </w:rPr>
      </w:pPr>
      <w:r>
        <w:rPr>
          <w:rFonts w:hint="eastAsia" w:ascii="仿宋_GB2312" w:eastAsia="仿宋_GB2312"/>
          <w:sz w:val="32"/>
          <w:szCs w:val="32"/>
          <w:lang w:val="en-US" w:eastAsia="zh-CN"/>
        </w:rPr>
        <w:t>为全面</w:t>
      </w:r>
      <w:r>
        <w:rPr>
          <w:rFonts w:ascii="仿宋_GB2312" w:eastAsia="仿宋_GB2312"/>
          <w:sz w:val="32"/>
          <w:szCs w:val="32"/>
        </w:rPr>
        <w:t>深入持久开展民族团结进步创建工作，</w:t>
      </w:r>
      <w:r>
        <w:rPr>
          <w:rFonts w:hint="eastAsia" w:ascii="仿宋_GB2312" w:eastAsia="仿宋_GB2312"/>
          <w:sz w:val="32"/>
          <w:szCs w:val="32"/>
        </w:rPr>
        <w:t>铸牢中华民族共同体意识</w:t>
      </w:r>
      <w:r>
        <w:rPr>
          <w:rFonts w:hint="eastAsia" w:ascii="仿宋_GB2312" w:eastAsia="仿宋_GB2312"/>
          <w:sz w:val="32"/>
          <w:szCs w:val="32"/>
          <w:lang w:eastAsia="zh-CN"/>
        </w:rPr>
        <w:t>，</w:t>
      </w:r>
      <w:r>
        <w:rPr>
          <w:rStyle w:val="29"/>
          <w:rFonts w:hint="eastAsia" w:ascii="仿宋_GB2312" w:eastAsia="仿宋_GB2312"/>
          <w:sz w:val="32"/>
          <w:szCs w:val="32"/>
        </w:rPr>
        <w:t>持续推进“七大示范工程”，在“十进”基础上，稳定打造一“镇”一“特色”和一个“行业领域”一个“创建标兵”</w:t>
      </w:r>
      <w:r>
        <w:rPr>
          <w:rStyle w:val="29"/>
          <w:rFonts w:hint="eastAsia" w:ascii="仿宋_GB2312" w:eastAsia="仿宋_GB2312"/>
          <w:sz w:val="32"/>
          <w:szCs w:val="32"/>
          <w:lang w:eastAsia="zh-CN"/>
        </w:rPr>
        <w:t>，</w:t>
      </w:r>
      <w:r>
        <w:rPr>
          <w:rStyle w:val="29"/>
          <w:rFonts w:hint="eastAsia" w:ascii="仿宋_GB2312" w:eastAsia="仿宋_GB2312"/>
          <w:sz w:val="32"/>
          <w:szCs w:val="32"/>
          <w:lang w:val="en-US" w:eastAsia="zh-CN"/>
        </w:rPr>
        <w:t>不断</w:t>
      </w:r>
      <w:r>
        <w:rPr>
          <w:rFonts w:ascii="仿宋_GB2312" w:eastAsia="仿宋_GB2312"/>
          <w:sz w:val="32"/>
          <w:szCs w:val="32"/>
        </w:rPr>
        <w:t>巩固提升</w:t>
      </w:r>
      <w:r>
        <w:rPr>
          <w:rFonts w:hint="eastAsia" w:ascii="仿宋_GB2312" w:eastAsia="仿宋_GB2312"/>
          <w:sz w:val="32"/>
          <w:szCs w:val="32"/>
          <w:lang w:val="en-US" w:eastAsia="zh-CN"/>
        </w:rPr>
        <w:t>全国</w:t>
      </w:r>
      <w:r>
        <w:rPr>
          <w:rFonts w:ascii="仿宋_GB2312" w:eastAsia="仿宋_GB2312"/>
          <w:sz w:val="32"/>
          <w:szCs w:val="32"/>
        </w:rPr>
        <w:t>民族团结进步示范县成果</w:t>
      </w:r>
      <w:r>
        <w:rPr>
          <w:rFonts w:hint="eastAsia" w:ascii="仿宋_GB2312" w:eastAsia="仿宋_GB2312"/>
          <w:sz w:val="32"/>
          <w:szCs w:val="32"/>
          <w:lang w:eastAsia="zh-CN"/>
        </w:rPr>
        <w:t>，</w:t>
      </w:r>
      <w:r>
        <w:rPr>
          <w:rFonts w:hint="eastAsia" w:ascii="仿宋_GB2312" w:eastAsia="仿宋_GB2312" w:cs="仿宋_GB2312"/>
          <w:sz w:val="32"/>
          <w:szCs w:val="32"/>
        </w:rPr>
        <w:t>进一步营造</w:t>
      </w:r>
      <w:r>
        <w:rPr>
          <w:rFonts w:hint="eastAsia" w:ascii="仿宋_GB2312" w:eastAsia="仿宋_GB2312" w:cs="仿宋_GB2312"/>
          <w:sz w:val="32"/>
          <w:szCs w:val="32"/>
          <w:lang w:eastAsia="zh-CN"/>
        </w:rPr>
        <w:t>浓厚</w:t>
      </w:r>
      <w:r>
        <w:rPr>
          <w:rFonts w:hint="eastAsia" w:ascii="仿宋_GB2312" w:eastAsia="仿宋_GB2312" w:cs="仿宋_GB2312"/>
          <w:sz w:val="32"/>
          <w:szCs w:val="32"/>
        </w:rPr>
        <w:t>的宣传氛围，</w:t>
      </w:r>
      <w:r>
        <w:rPr>
          <w:rFonts w:hint="eastAsia" w:ascii="仿宋_GB2312" w:eastAsia="仿宋_GB2312"/>
          <w:sz w:val="32"/>
          <w:szCs w:val="32"/>
        </w:rPr>
        <w:t>全面展现我县民族团结进步创建成效、创建特色。在县级财政困难的情况下，下达创建工作经费</w:t>
      </w:r>
      <w:r>
        <w:rPr>
          <w:rFonts w:hint="eastAsia" w:ascii="仿宋_GB2312" w:eastAsia="仿宋_GB2312"/>
          <w:sz w:val="32"/>
          <w:szCs w:val="32"/>
          <w:lang w:eastAsia="zh-CN"/>
        </w:rPr>
        <w:t>100</w:t>
      </w:r>
      <w:r>
        <w:rPr>
          <w:rFonts w:hint="eastAsia" w:ascii="仿宋_GB2312" w:eastAsia="仿宋_GB2312"/>
          <w:sz w:val="32"/>
          <w:szCs w:val="32"/>
        </w:rPr>
        <w:t>万元，用于全面保障创建工作。</w:t>
      </w:r>
      <w:r>
        <w:rPr>
          <w:rFonts w:hint="eastAsia" w:ascii="仿宋_GB2312" w:eastAsia="仿宋_GB2312" w:cs="仿宋_GB2312"/>
          <w:sz w:val="32"/>
          <w:szCs w:val="32"/>
        </w:rPr>
        <w:t>结合茂县实际，县创建办对县内各宣传点、示范点进行摸排调研，本着节约，注重资金使用效益的原则，拟定了补助资金使用范围。</w:t>
      </w:r>
      <w:r>
        <w:rPr>
          <w:rFonts w:hint="eastAsia" w:ascii="仿宋_GB2312" w:eastAsia="仿宋_GB2312" w:cs="仿宋_GB2312"/>
          <w:b/>
          <w:bCs/>
          <w:sz w:val="32"/>
          <w:szCs w:val="32"/>
        </w:rPr>
        <w:t>一是</w:t>
      </w:r>
      <w:r>
        <w:rPr>
          <w:rFonts w:hint="eastAsia" w:ascii="仿宋_GB2312" w:eastAsia="仿宋_GB2312" w:cs="仿宋_GB2312"/>
          <w:color w:val="000000"/>
          <w:sz w:val="32"/>
          <w:szCs w:val="32"/>
        </w:rPr>
        <w:t>提升改造民族团结进步广场和</w:t>
      </w:r>
      <w:r>
        <w:rPr>
          <w:rFonts w:hint="eastAsia" w:ascii="仿宋_GB2312" w:eastAsia="仿宋_GB2312" w:cs="仿宋_GB2312"/>
          <w:sz w:val="32"/>
          <w:szCs w:val="32"/>
        </w:rPr>
        <w:t>成果展示厅</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val="en-US" w:eastAsia="zh-CN"/>
        </w:rPr>
        <w:t>国道沿线路域氛围提升，</w:t>
      </w:r>
      <w:r>
        <w:rPr>
          <w:rFonts w:hint="eastAsia" w:ascii="仿宋_GB2312" w:eastAsia="仿宋_GB2312" w:cs="仿宋_GB2312"/>
          <w:sz w:val="32"/>
          <w:szCs w:val="32"/>
        </w:rPr>
        <w:t>主要街道营造民族团结进步宣传氛围等；（</w:t>
      </w:r>
      <w:r>
        <w:rPr>
          <w:rFonts w:hint="eastAsia" w:ascii="仿宋_GB2312" w:eastAsia="仿宋_GB2312" w:cs="仿宋_GB2312"/>
          <w:sz w:val="32"/>
          <w:szCs w:val="32"/>
          <w:lang w:eastAsia="zh-CN"/>
        </w:rPr>
        <w:t>20</w:t>
      </w:r>
      <w:r>
        <w:rPr>
          <w:rFonts w:hint="eastAsia" w:ascii="仿宋_GB2312" w:eastAsia="仿宋_GB2312" w:cs="仿宋_GB2312"/>
          <w:sz w:val="32"/>
          <w:szCs w:val="32"/>
        </w:rPr>
        <w:t>万元）；</w:t>
      </w:r>
      <w:r>
        <w:rPr>
          <w:rFonts w:hint="eastAsia" w:ascii="仿宋_GB2312" w:eastAsia="仿宋_GB2312" w:cs="仿宋_GB2312"/>
          <w:b/>
          <w:bCs/>
          <w:sz w:val="32"/>
          <w:szCs w:val="32"/>
        </w:rPr>
        <w:t>二是</w:t>
      </w:r>
      <w:r>
        <w:rPr>
          <w:rFonts w:ascii="仿宋_GB2312" w:eastAsia="仿宋_GB2312"/>
          <w:sz w:val="32"/>
          <w:szCs w:val="32"/>
        </w:rPr>
        <w:t>巩固提升</w:t>
      </w:r>
      <w:r>
        <w:rPr>
          <w:rFonts w:hint="eastAsia" w:ascii="仿宋_GB2312" w:eastAsia="仿宋_GB2312"/>
          <w:sz w:val="32"/>
          <w:szCs w:val="32"/>
          <w:lang w:val="en-US" w:eastAsia="zh-CN"/>
        </w:rPr>
        <w:t>全国</w:t>
      </w:r>
      <w:r>
        <w:rPr>
          <w:rFonts w:ascii="仿宋_GB2312" w:eastAsia="仿宋_GB2312"/>
          <w:sz w:val="32"/>
          <w:szCs w:val="32"/>
        </w:rPr>
        <w:t>民族团结进步示范县成果</w:t>
      </w:r>
      <w:r>
        <w:rPr>
          <w:rFonts w:hint="eastAsia" w:ascii="仿宋_GB2312" w:eastAsia="仿宋_GB2312"/>
          <w:sz w:val="32"/>
          <w:szCs w:val="32"/>
          <w:lang w:eastAsia="zh-CN"/>
        </w:rPr>
        <w:t>。</w:t>
      </w:r>
      <w:r>
        <w:rPr>
          <w:rStyle w:val="29"/>
          <w:rFonts w:hint="eastAsia" w:ascii="仿宋_GB2312" w:eastAsia="仿宋_GB2312"/>
          <w:sz w:val="32"/>
          <w:szCs w:val="32"/>
        </w:rPr>
        <w:t>在“十进”基础上，</w:t>
      </w:r>
      <w:r>
        <w:rPr>
          <w:rFonts w:hint="eastAsia" w:ascii="仿宋_GB2312" w:eastAsia="仿宋_GB2312" w:cs="仿宋_GB2312"/>
          <w:sz w:val="32"/>
          <w:szCs w:val="32"/>
        </w:rPr>
        <w:t>围绕示范点“10个1”工作要求，提升改造示范</w:t>
      </w:r>
      <w:r>
        <w:rPr>
          <w:rFonts w:hint="eastAsia" w:ascii="仿宋_GB2312" w:eastAsia="仿宋_GB2312" w:cs="仿宋_GB2312"/>
          <w:sz w:val="32"/>
          <w:szCs w:val="32"/>
          <w:lang w:val="en-US" w:eastAsia="zh-CN"/>
        </w:rPr>
        <w:t>单位，</w:t>
      </w:r>
      <w:r>
        <w:rPr>
          <w:rStyle w:val="29"/>
          <w:rFonts w:hint="eastAsia" w:ascii="仿宋_GB2312" w:eastAsia="仿宋_GB2312"/>
          <w:sz w:val="32"/>
          <w:szCs w:val="32"/>
        </w:rPr>
        <w:t>稳定打造一“镇”一“特色”和一个“行业领域”一个“创建标兵”</w:t>
      </w:r>
      <w:r>
        <w:rPr>
          <w:rStyle w:val="29"/>
          <w:rFonts w:hint="eastAsia" w:ascii="仿宋_GB2312" w:eastAsia="仿宋_GB2312"/>
          <w:sz w:val="32"/>
          <w:szCs w:val="32"/>
          <w:lang w:eastAsia="zh-CN"/>
        </w:rPr>
        <w:t>，</w:t>
      </w:r>
      <w:r>
        <w:rPr>
          <w:rStyle w:val="29"/>
          <w:rFonts w:hint="eastAsia" w:ascii="仿宋_GB2312" w:eastAsia="仿宋_GB2312"/>
          <w:sz w:val="32"/>
          <w:szCs w:val="32"/>
          <w:lang w:val="en-US" w:eastAsia="zh-CN"/>
        </w:rPr>
        <w:t>实现创建工作全面开花。</w:t>
      </w:r>
      <w:r>
        <w:rPr>
          <w:rFonts w:hint="eastAsia" w:ascii="仿宋_GB2312" w:eastAsia="仿宋_GB2312" w:cs="仿宋_GB2312"/>
          <w:sz w:val="32"/>
          <w:szCs w:val="32"/>
        </w:rPr>
        <w:t>（</w:t>
      </w:r>
      <w:r>
        <w:rPr>
          <w:rFonts w:hint="eastAsia" w:ascii="仿宋_GB2312" w:eastAsia="仿宋_GB2312" w:cs="仿宋_GB2312"/>
          <w:sz w:val="32"/>
          <w:szCs w:val="32"/>
          <w:lang w:eastAsia="zh-CN"/>
        </w:rPr>
        <w:t>40</w:t>
      </w:r>
      <w:r>
        <w:rPr>
          <w:rFonts w:hint="eastAsia" w:ascii="仿宋_GB2312" w:eastAsia="仿宋_GB2312" w:cs="仿宋_GB2312"/>
          <w:sz w:val="32"/>
          <w:szCs w:val="32"/>
        </w:rPr>
        <w:t>万元）；</w:t>
      </w:r>
      <w:r>
        <w:rPr>
          <w:rFonts w:hint="eastAsia" w:ascii="仿宋_GB2312" w:eastAsia="仿宋_GB2312" w:cs="仿宋_GB2312"/>
          <w:b/>
          <w:bCs/>
          <w:sz w:val="32"/>
          <w:szCs w:val="32"/>
        </w:rPr>
        <w:t>三是</w:t>
      </w:r>
      <w:r>
        <w:rPr>
          <w:rFonts w:hint="eastAsia" w:ascii="仿宋_GB2312" w:eastAsia="仿宋_GB2312" w:cs="仿宋_GB2312"/>
          <w:sz w:val="32"/>
          <w:szCs w:val="32"/>
          <w:lang w:val="en-US" w:eastAsia="zh-CN"/>
        </w:rPr>
        <w:t>多载体开展民族团结宣传教育工作</w:t>
      </w:r>
      <w:r>
        <w:rPr>
          <w:rFonts w:hint="eastAsia" w:ascii="仿宋_GB2312" w:eastAsia="仿宋_GB2312" w:cs="仿宋_GB2312"/>
          <w:sz w:val="32"/>
          <w:szCs w:val="32"/>
        </w:rPr>
        <w:t>、开展</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庆祝建党一百周年</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和9月“民族团结进步宣传月”文艺汇演活动</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召开茂县铸牢中华民族共同体意识推进会（召开茂县争创全国民族团结进步表扬大会）、</w:t>
      </w:r>
      <w:r>
        <w:rPr>
          <w:rFonts w:hint="eastAsia" w:ascii="仿宋_GB2312" w:eastAsia="仿宋_GB2312" w:cs="仿宋_GB2312"/>
          <w:sz w:val="32"/>
          <w:szCs w:val="32"/>
        </w:rPr>
        <w:t>创建工作人员</w:t>
      </w:r>
      <w:r>
        <w:rPr>
          <w:rFonts w:hint="eastAsia" w:ascii="仿宋_GB2312" w:eastAsia="仿宋_GB2312" w:cs="仿宋_GB2312"/>
          <w:sz w:val="32"/>
          <w:szCs w:val="32"/>
          <w:lang w:val="en-US" w:eastAsia="zh-CN"/>
        </w:rPr>
        <w:t>业务能力提升</w:t>
      </w:r>
      <w:r>
        <w:rPr>
          <w:rFonts w:hint="eastAsia" w:ascii="仿宋_GB2312" w:eastAsia="仿宋_GB2312" w:cs="仿宋_GB2312"/>
          <w:sz w:val="32"/>
          <w:szCs w:val="32"/>
        </w:rPr>
        <w:t>及正常办公运行等。（</w:t>
      </w:r>
      <w:r>
        <w:rPr>
          <w:rFonts w:hint="eastAsia" w:ascii="仿宋_GB2312" w:eastAsia="仿宋_GB2312" w:cs="仿宋_GB2312"/>
          <w:sz w:val="32"/>
          <w:szCs w:val="32"/>
          <w:lang w:eastAsia="zh-CN"/>
        </w:rPr>
        <w:t>40</w:t>
      </w:r>
      <w:r>
        <w:rPr>
          <w:rFonts w:hint="eastAsia" w:ascii="仿宋_GB2312" w:eastAsia="仿宋_GB2312" w:cs="仿宋_GB2312"/>
          <w:sz w:val="32"/>
          <w:szCs w:val="32"/>
        </w:rPr>
        <w:t>万元）。</w:t>
      </w:r>
    </w:p>
    <w:p>
      <w:pPr>
        <w:spacing w:line="576" w:lineRule="exact"/>
        <w:ind w:firstLine="640" w:firstLineChars="200"/>
        <w:rPr>
          <w:rFonts w:ascii="黑体" w:eastAsia="黑体" w:cs="黑体"/>
          <w:sz w:val="32"/>
          <w:szCs w:val="32"/>
        </w:rPr>
      </w:pPr>
      <w:r>
        <w:rPr>
          <w:rFonts w:hint="eastAsia" w:ascii="黑体" w:eastAsia="黑体" w:cs="黑体"/>
          <w:sz w:val="32"/>
          <w:szCs w:val="32"/>
        </w:rPr>
        <w:t>二、资金使用及管理情况</w:t>
      </w:r>
    </w:p>
    <w:p>
      <w:pPr>
        <w:pStyle w:val="27"/>
        <w:spacing w:line="560" w:lineRule="exact"/>
        <w:rPr>
          <w:rFonts w:ascii="仿宋_GB2312" w:eastAsia="仿宋_GB2312"/>
          <w:b/>
          <w:sz w:val="32"/>
          <w:szCs w:val="32"/>
        </w:rPr>
      </w:pPr>
      <w:r>
        <w:rPr>
          <w:rFonts w:hint="eastAsia" w:ascii="楷体" w:eastAsia="楷体" w:cs="楷体"/>
          <w:sz w:val="32"/>
          <w:szCs w:val="32"/>
        </w:rPr>
        <w:t>（一）资金使用情况</w:t>
      </w:r>
    </w:p>
    <w:p>
      <w:pPr>
        <w:pStyle w:val="27"/>
        <w:spacing w:line="560" w:lineRule="exact"/>
        <w:ind w:firstLine="960" w:firstLineChars="300"/>
        <w:jc w:val="left"/>
        <w:rPr>
          <w:rFonts w:ascii="仿宋_GB2312" w:eastAsia="仿宋_GB2312"/>
          <w:sz w:val="32"/>
          <w:szCs w:val="32"/>
          <w:lang w:val="zh-CN"/>
        </w:rPr>
      </w:pPr>
      <w:r>
        <w:rPr>
          <w:rFonts w:hint="eastAsia" w:ascii="仿宋_GB2312" w:eastAsia="仿宋_GB2312"/>
          <w:sz w:val="32"/>
          <w:szCs w:val="32"/>
        </w:rPr>
        <w:t>1、资金计划及到位。创建工作经费</w:t>
      </w:r>
      <w:r>
        <w:rPr>
          <w:rFonts w:hint="eastAsia" w:ascii="仿宋_GB2312" w:eastAsia="仿宋_GB2312"/>
          <w:sz w:val="32"/>
          <w:szCs w:val="32"/>
          <w:lang w:eastAsia="zh-CN"/>
        </w:rPr>
        <w:t>100</w:t>
      </w:r>
      <w:r>
        <w:rPr>
          <w:rFonts w:hint="eastAsia" w:ascii="仿宋_GB2312" w:eastAsia="仿宋_GB2312"/>
          <w:sz w:val="32"/>
          <w:szCs w:val="32"/>
          <w:lang w:val="zh-CN"/>
        </w:rPr>
        <w:t>万元：财政到位资金</w:t>
      </w:r>
      <w:r>
        <w:rPr>
          <w:rFonts w:hint="eastAsia" w:ascii="仿宋_GB2312" w:eastAsia="仿宋_GB2312"/>
          <w:sz w:val="32"/>
          <w:szCs w:val="32"/>
          <w:lang w:eastAsia="zh-CN"/>
        </w:rPr>
        <w:t>100</w:t>
      </w:r>
      <w:r>
        <w:rPr>
          <w:rFonts w:hint="eastAsia" w:ascii="仿宋_GB2312" w:eastAsia="仿宋_GB2312"/>
          <w:sz w:val="32"/>
          <w:szCs w:val="32"/>
          <w:lang w:val="zh-CN"/>
        </w:rPr>
        <w:t>万元。</w:t>
      </w:r>
    </w:p>
    <w:p>
      <w:pPr>
        <w:spacing w:line="576" w:lineRule="exact"/>
        <w:ind w:firstLine="960" w:firstLineChars="300"/>
        <w:jc w:val="left"/>
        <w:rPr>
          <w:rFonts w:ascii="仿宋_GB2312" w:eastAsia="仿宋_GB2312" w:cs="仿宋_GB2312"/>
          <w:sz w:val="32"/>
          <w:szCs w:val="32"/>
        </w:rPr>
      </w:pPr>
      <w:r>
        <w:rPr>
          <w:rFonts w:hint="eastAsia" w:ascii="仿宋_GB2312" w:eastAsia="仿宋_GB2312"/>
          <w:sz w:val="32"/>
          <w:szCs w:val="32"/>
        </w:rPr>
        <w:t>2、资金使用：已支付</w:t>
      </w:r>
      <w:r>
        <w:rPr>
          <w:rFonts w:hint="eastAsia" w:ascii="仿宋_GB2312" w:eastAsia="仿宋_GB2312" w:cs="仿宋_GB2312"/>
          <w:sz w:val="32"/>
          <w:szCs w:val="32"/>
          <w:lang w:eastAsia="zh-CN"/>
        </w:rPr>
        <w:t>857809.75</w:t>
      </w:r>
      <w:r>
        <w:rPr>
          <w:rFonts w:hint="eastAsia" w:ascii="仿宋_GB2312" w:eastAsia="仿宋_GB2312"/>
          <w:sz w:val="32"/>
          <w:szCs w:val="32"/>
        </w:rPr>
        <w:t>元。</w:t>
      </w:r>
      <w:r>
        <w:rPr>
          <w:rFonts w:hint="eastAsia" w:ascii="仿宋_GB2312" w:eastAsia="仿宋_GB2312" w:cs="仿宋_GB2312"/>
          <w:sz w:val="32"/>
          <w:szCs w:val="32"/>
        </w:rPr>
        <w:t>详情见资金使用明细表（附件1）。</w:t>
      </w:r>
    </w:p>
    <w:p>
      <w:pPr>
        <w:pStyle w:val="9"/>
        <w:ind w:firstLine="960" w:firstLineChars="300"/>
        <w:rPr>
          <w:rFonts w:ascii="仿宋_GB2312" w:eastAsia="仿宋_GB2312"/>
          <w:sz w:val="32"/>
          <w:szCs w:val="32"/>
        </w:rPr>
      </w:pPr>
      <w:r>
        <w:rPr>
          <w:rFonts w:hint="eastAsia" w:ascii="仿宋_GB2312" w:eastAsia="仿宋_GB2312" w:cs="仿宋_GB2312"/>
          <w:sz w:val="32"/>
          <w:szCs w:val="32"/>
        </w:rPr>
        <w:t>3、资金结余：</w:t>
      </w:r>
      <w:r>
        <w:rPr>
          <w:rFonts w:hint="eastAsia" w:ascii="仿宋_GB2312" w:eastAsia="仿宋_GB2312" w:cs="仿宋_GB2312"/>
          <w:sz w:val="32"/>
          <w:szCs w:val="32"/>
          <w:lang w:eastAsia="zh-CN"/>
        </w:rPr>
        <w:t>142190.25</w:t>
      </w:r>
      <w:r>
        <w:rPr>
          <w:rFonts w:hint="eastAsia" w:ascii="仿宋_GB2312" w:eastAsia="仿宋_GB2312" w:cs="仿宋_GB2312"/>
          <w:sz w:val="32"/>
          <w:szCs w:val="32"/>
        </w:rPr>
        <w:t>元。</w:t>
      </w:r>
    </w:p>
    <w:p>
      <w:pPr>
        <w:pStyle w:val="27"/>
        <w:spacing w:line="560" w:lineRule="exact"/>
        <w:rPr>
          <w:rFonts w:ascii="楷体" w:eastAsia="楷体" w:cs="楷体"/>
          <w:sz w:val="32"/>
          <w:szCs w:val="32"/>
        </w:rPr>
      </w:pPr>
      <w:r>
        <w:rPr>
          <w:rFonts w:hint="eastAsia" w:ascii="楷体" w:eastAsia="楷体" w:cs="楷体"/>
          <w:sz w:val="32"/>
          <w:szCs w:val="32"/>
        </w:rPr>
        <w:t>（二）资金管理情况</w:t>
      </w:r>
    </w:p>
    <w:p>
      <w:pPr>
        <w:pStyle w:val="16"/>
        <w:spacing w:line="576" w:lineRule="exact"/>
        <w:rPr>
          <w:rFonts w:ascii="仿宋_GB2312" w:eastAsia="仿宋_GB2312"/>
        </w:rPr>
      </w:pPr>
      <w:r>
        <w:rPr>
          <w:rFonts w:hint="eastAsia" w:ascii="仿宋_GB2312" w:eastAsia="仿宋_GB2312"/>
        </w:rPr>
        <w:t>按照县民宗局完整的项目财务管理制度，各项开支均按财务支出要求进行支付，财务机构设置完善，会计核算及账务处理规范。为确保创建工作经费安全高效，成立了经费补助项目领导小组，实施过程中注重把握每一个环节，签订党风廉政责任书及廉政合同，财务处理及时。</w:t>
      </w:r>
    </w:p>
    <w:p>
      <w:pPr>
        <w:pStyle w:val="16"/>
        <w:spacing w:line="576" w:lineRule="exact"/>
        <w:rPr>
          <w:rFonts w:ascii="楷体" w:eastAsia="楷体" w:cs="楷体"/>
          <w:kern w:val="2"/>
        </w:rPr>
      </w:pPr>
      <w:r>
        <w:rPr>
          <w:rFonts w:hint="eastAsia" w:ascii="楷体" w:eastAsia="楷体" w:cs="楷体"/>
          <w:kern w:val="2"/>
        </w:rPr>
        <w:t>（三）资金组织实施情况</w:t>
      </w:r>
    </w:p>
    <w:p>
      <w:pPr>
        <w:pStyle w:val="7"/>
        <w:spacing w:line="576" w:lineRule="exact"/>
        <w:ind w:firstLine="640" w:firstLineChars="200"/>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根据前期摸排调研，对创建经费形成议题，由民宗局“三重一大”会议议定实施。</w:t>
      </w:r>
      <w:r>
        <w:rPr>
          <w:rFonts w:hint="eastAsia" w:ascii="仿宋_GB2312" w:eastAsia="仿宋_GB2312" w:cs="仿宋_GB2312"/>
          <w:b/>
          <w:bCs/>
          <w:color w:val="000000"/>
          <w:kern w:val="0"/>
          <w:sz w:val="32"/>
          <w:szCs w:val="32"/>
        </w:rPr>
        <w:t>一是</w:t>
      </w:r>
      <w:r>
        <w:rPr>
          <w:rFonts w:hint="eastAsia" w:ascii="仿宋_GB2312" w:eastAsia="仿宋_GB2312" w:cs="仿宋_GB2312"/>
          <w:color w:val="000000"/>
          <w:kern w:val="0"/>
          <w:sz w:val="32"/>
          <w:szCs w:val="32"/>
        </w:rPr>
        <w:t>各实施主体单位对成果展厅、民族团结进步广场等</w:t>
      </w:r>
      <w:r>
        <w:rPr>
          <w:rFonts w:hint="eastAsia" w:ascii="仿宋_GB2312" w:eastAsia="仿宋_GB2312" w:cs="仿宋_GB2312"/>
          <w:color w:val="000000"/>
          <w:kern w:val="0"/>
          <w:sz w:val="32"/>
          <w:szCs w:val="32"/>
          <w:lang w:eastAsia="zh-CN"/>
        </w:rPr>
        <w:t>3</w:t>
      </w:r>
      <w:r>
        <w:rPr>
          <w:rFonts w:hint="eastAsia" w:ascii="仿宋_GB2312" w:eastAsia="仿宋_GB2312" w:cs="仿宋_GB2312"/>
          <w:color w:val="000000"/>
          <w:kern w:val="0"/>
          <w:sz w:val="32"/>
          <w:szCs w:val="32"/>
        </w:rPr>
        <w:t>个宣传点组织实施并完成验收工作。</w:t>
      </w:r>
      <w:r>
        <w:rPr>
          <w:rFonts w:hint="eastAsia" w:ascii="仿宋_GB2312" w:eastAsia="仿宋_GB2312" w:cs="仿宋_GB2312"/>
          <w:b/>
          <w:bCs/>
          <w:color w:val="000000"/>
          <w:kern w:val="0"/>
          <w:sz w:val="32"/>
          <w:szCs w:val="32"/>
        </w:rPr>
        <w:t>二是</w:t>
      </w:r>
      <w:r>
        <w:rPr>
          <w:rFonts w:hint="eastAsia" w:ascii="仿宋_GB2312" w:eastAsia="仿宋_GB2312" w:cs="仿宋_GB2312"/>
          <w:color w:val="000000"/>
          <w:kern w:val="0"/>
          <w:sz w:val="32"/>
          <w:szCs w:val="32"/>
        </w:rPr>
        <w:t>示范单位根据创建工作需要提升创建成效，解决</w:t>
      </w:r>
      <w:r>
        <w:rPr>
          <w:rFonts w:hint="eastAsia" w:ascii="仿宋_GB2312" w:eastAsia="仿宋_GB2312" w:cs="仿宋_GB2312"/>
          <w:color w:val="000000"/>
          <w:kern w:val="0"/>
          <w:sz w:val="32"/>
          <w:szCs w:val="32"/>
          <w:lang w:val="en-US" w:eastAsia="zh-CN"/>
        </w:rPr>
        <w:t>9</w:t>
      </w:r>
      <w:r>
        <w:rPr>
          <w:rFonts w:hint="eastAsia" w:ascii="仿宋_GB2312" w:eastAsia="仿宋_GB2312" w:cs="仿宋_GB2312"/>
          <w:color w:val="000000"/>
          <w:kern w:val="0"/>
          <w:sz w:val="32"/>
          <w:szCs w:val="32"/>
        </w:rPr>
        <w:t>个示范单位创建补助经费。</w:t>
      </w:r>
      <w:r>
        <w:rPr>
          <w:rFonts w:hint="eastAsia" w:ascii="仿宋_GB2312" w:eastAsia="仿宋_GB2312" w:cs="仿宋_GB2312"/>
          <w:b/>
          <w:bCs/>
          <w:color w:val="000000"/>
          <w:kern w:val="0"/>
          <w:sz w:val="32"/>
          <w:szCs w:val="32"/>
        </w:rPr>
        <w:t>三是</w:t>
      </w:r>
      <w:r>
        <w:rPr>
          <w:rFonts w:hint="eastAsia" w:ascii="仿宋_GB2312" w:eastAsia="仿宋_GB2312" w:cs="仿宋_GB2312"/>
          <w:color w:val="000000"/>
          <w:kern w:val="0"/>
          <w:sz w:val="32"/>
          <w:szCs w:val="32"/>
        </w:rPr>
        <w:t>物化创建成效、做法和特色，制作少数民族特色村寨微视频、民族团结进步创建系列微视频；茂县民族团结进步纪实书籍；制作创建宣传品；运营微信公众号、少数民族特色村寨外宣；</w:t>
      </w:r>
      <w:r>
        <w:rPr>
          <w:rFonts w:hint="eastAsia" w:ascii="仿宋_GB2312" w:eastAsia="仿宋_GB2312" w:cs="仿宋_GB2312"/>
          <w:color w:val="000000"/>
          <w:kern w:val="0"/>
          <w:sz w:val="32"/>
          <w:szCs w:val="32"/>
          <w:lang w:eastAsia="zh-CN"/>
        </w:rPr>
        <w:t>举办</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庆祝建党一百周年</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和9月“民族团结进步宣传月”文艺汇演活动；</w:t>
      </w:r>
      <w:r>
        <w:rPr>
          <w:rFonts w:hint="eastAsia" w:ascii="仿宋_GB2312" w:eastAsia="仿宋_GB2312" w:cs="仿宋_GB2312"/>
          <w:color w:val="000000"/>
          <w:kern w:val="0"/>
          <w:sz w:val="32"/>
          <w:szCs w:val="32"/>
        </w:rPr>
        <w:t>组织广大群众观看民族团结进步电影；提升创建办办公设施设备保障创建办运行等。</w:t>
      </w:r>
    </w:p>
    <w:p>
      <w:pPr>
        <w:pStyle w:val="7"/>
        <w:spacing w:line="576" w:lineRule="exact"/>
        <w:ind w:firstLine="640" w:firstLineChars="200"/>
        <w:rPr>
          <w:rFonts w:ascii="黑体" w:eastAsia="黑体" w:cs="黑体"/>
          <w:sz w:val="32"/>
          <w:szCs w:val="32"/>
        </w:rPr>
      </w:pPr>
      <w:r>
        <w:rPr>
          <w:rFonts w:hint="eastAsia" w:ascii="黑体" w:eastAsia="黑体" w:cs="黑体"/>
          <w:sz w:val="32"/>
          <w:szCs w:val="32"/>
        </w:rPr>
        <w:t>三、资金绩效情况</w:t>
      </w:r>
    </w:p>
    <w:p>
      <w:pPr>
        <w:spacing w:line="576" w:lineRule="exact"/>
        <w:ind w:firstLine="640" w:firstLineChars="200"/>
        <w:jc w:val="left"/>
        <w:rPr>
          <w:rFonts w:ascii="黑体" w:eastAsia="黑体" w:cs="黑体"/>
          <w:sz w:val="32"/>
          <w:szCs w:val="32"/>
        </w:rPr>
      </w:pPr>
      <w:r>
        <w:rPr>
          <w:rFonts w:hint="eastAsia" w:ascii="仿宋_GB2312" w:eastAsia="仿宋_GB2312" w:cs="仿宋_GB2312"/>
          <w:sz w:val="32"/>
          <w:szCs w:val="32"/>
        </w:rPr>
        <w:t>所有资金使用严格按照</w:t>
      </w:r>
      <w:r>
        <w:rPr>
          <w:rFonts w:hint="eastAsia" w:ascii="仿宋_GB2312" w:eastAsia="仿宋_GB2312" w:cs="仿宋_GB2312"/>
          <w:sz w:val="32"/>
          <w:szCs w:val="32"/>
          <w:lang w:eastAsia="zh-CN"/>
        </w:rPr>
        <w:t>《</w:t>
      </w:r>
      <w:r>
        <w:rPr>
          <w:rFonts w:hint="eastAsia" w:ascii="仿宋_GB2312" w:eastAsia="仿宋_GB2312" w:cs="仿宋_GB2312"/>
          <w:sz w:val="32"/>
          <w:szCs w:val="32"/>
        </w:rPr>
        <w:t>茂县民族团结进步创建领导小组办公室关于</w:t>
      </w:r>
      <w:r>
        <w:rPr>
          <w:rFonts w:hint="eastAsia" w:ascii="仿宋_GB2312" w:eastAsia="仿宋_GB2312" w:cs="仿宋_GB2312"/>
          <w:sz w:val="32"/>
          <w:szCs w:val="32"/>
          <w:lang w:val="en-US" w:eastAsia="zh-CN"/>
        </w:rPr>
        <w:t>&lt;</w:t>
      </w:r>
      <w:r>
        <w:rPr>
          <w:rFonts w:hint="eastAsia" w:ascii="仿宋_GB2312" w:eastAsia="仿宋_GB2312" w:cs="仿宋_GB2312"/>
          <w:sz w:val="32"/>
          <w:szCs w:val="32"/>
        </w:rPr>
        <w:t>茂县全国民族团结进步示范县巩固提升方案</w:t>
      </w:r>
      <w:r>
        <w:rPr>
          <w:rFonts w:hint="eastAsia" w:ascii="仿宋_GB2312" w:eastAsia="仿宋_GB2312" w:cs="仿宋_GB2312"/>
          <w:sz w:val="32"/>
          <w:szCs w:val="32"/>
          <w:lang w:val="en-US" w:eastAsia="zh-CN"/>
        </w:rPr>
        <w:t>&gt;</w:t>
      </w:r>
      <w:r>
        <w:rPr>
          <w:rFonts w:hint="eastAsia" w:ascii="仿宋_GB2312" w:eastAsia="仿宋_GB2312" w:cs="仿宋_GB2312"/>
          <w:sz w:val="32"/>
          <w:szCs w:val="32"/>
        </w:rPr>
        <w:t>的通知</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茂民创办〔2021〕9号</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的要求</w:t>
      </w:r>
      <w:r>
        <w:rPr>
          <w:rFonts w:hint="eastAsia" w:ascii="仿宋_GB2312" w:eastAsia="仿宋_GB2312" w:cs="仿宋_GB2312"/>
          <w:sz w:val="32"/>
          <w:szCs w:val="32"/>
        </w:rPr>
        <w:t>执行。</w:t>
      </w:r>
      <w:r>
        <w:rPr>
          <w:rFonts w:hint="eastAsia" w:ascii="仿宋_GB2312" w:eastAsia="仿宋_GB2312" w:cs="仿宋_GB2312"/>
          <w:b/>
          <w:bCs/>
          <w:sz w:val="32"/>
          <w:szCs w:val="32"/>
        </w:rPr>
        <w:t>一是</w:t>
      </w:r>
      <w:r>
        <w:rPr>
          <w:rFonts w:hint="eastAsia" w:ascii="仿宋_GB2312" w:eastAsia="仿宋_GB2312" w:cs="仿宋_GB2312"/>
          <w:sz w:val="32"/>
          <w:szCs w:val="32"/>
        </w:rPr>
        <w:t>充分利用固定标语、</w:t>
      </w:r>
      <w:r>
        <w:rPr>
          <w:rFonts w:hint="eastAsia" w:ascii="仿宋_GB2312" w:eastAsia="仿宋_GB2312" w:cs="仿宋_GB2312"/>
          <w:sz w:val="32"/>
          <w:szCs w:val="32"/>
          <w:lang w:val="en-US" w:eastAsia="zh-CN"/>
        </w:rPr>
        <w:t>堡坎宣传</w:t>
      </w:r>
      <w:r>
        <w:rPr>
          <w:rFonts w:hint="eastAsia" w:ascii="仿宋_GB2312" w:eastAsia="仿宋_GB2312" w:cs="仿宋_GB2312"/>
          <w:sz w:val="32"/>
          <w:szCs w:val="32"/>
        </w:rPr>
        <w:t>等基础上，与时俱进利用微信、微博、微视频等新载体、新媒体等，拍摄制作</w:t>
      </w:r>
      <w:r>
        <w:rPr>
          <w:rFonts w:hint="eastAsia" w:ascii="仿宋_GB2312" w:eastAsia="仿宋_GB2312" w:cs="仿宋_GB2312"/>
          <w:color w:val="000000"/>
          <w:kern w:val="0"/>
          <w:sz w:val="32"/>
          <w:szCs w:val="32"/>
        </w:rPr>
        <w:t>少数民族特色村寨微视频、民族团结进步创建系列微视频</w:t>
      </w:r>
      <w:r>
        <w:rPr>
          <w:rFonts w:hint="eastAsia" w:ascii="仿宋_GB2312" w:eastAsia="仿宋_GB2312" w:cs="仿宋_GB2312"/>
          <w:color w:val="000000"/>
          <w:kern w:val="0"/>
          <w:sz w:val="32"/>
          <w:szCs w:val="32"/>
          <w:lang w:val="en-US" w:eastAsia="zh-CN"/>
        </w:rPr>
        <w:t>和《创新交融 和谐一家》微动漫等</w:t>
      </w:r>
      <w:r>
        <w:rPr>
          <w:rFonts w:hint="eastAsia" w:ascii="仿宋_GB2312" w:eastAsia="仿宋_GB2312" w:cs="仿宋_GB2312"/>
          <w:sz w:val="32"/>
          <w:szCs w:val="32"/>
        </w:rPr>
        <w:t>，编印《民族同梦 团结同心 进步同行——茂县创建工作纪实》，制作台历、雨伞、</w:t>
      </w:r>
      <w:r>
        <w:rPr>
          <w:rFonts w:hint="eastAsia" w:ascii="仿宋_GB2312" w:eastAsia="仿宋_GB2312" w:cs="仿宋_GB2312"/>
          <w:sz w:val="32"/>
          <w:szCs w:val="32"/>
          <w:lang w:val="en-US" w:eastAsia="zh-CN"/>
        </w:rPr>
        <w:t>水杯和</w:t>
      </w:r>
      <w:r>
        <w:rPr>
          <w:rFonts w:hint="eastAsia" w:ascii="仿宋_GB2312" w:eastAsia="仿宋_GB2312" w:cs="仿宋_GB2312"/>
          <w:sz w:val="32"/>
          <w:szCs w:val="32"/>
        </w:rPr>
        <w:t>折页等宣传制品，组织观看民族团结进步电影，开展</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庆祝建党一百周年</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和9月“民族团结进步宣传月”文艺汇演活动，</w:t>
      </w:r>
      <w:r>
        <w:rPr>
          <w:rFonts w:hint="eastAsia" w:ascii="仿宋_GB2312" w:eastAsia="仿宋_GB2312" w:cs="仿宋_GB2312"/>
          <w:sz w:val="32"/>
          <w:szCs w:val="32"/>
        </w:rPr>
        <w:t>加强民族团结进步相关政策宣传，让中华民族共同体意识深入人心，民族团结进步理念广泛弘扬，营造“人人关注、人人支持、人人参与”的浓厚创建氛围。</w:t>
      </w:r>
      <w:r>
        <w:rPr>
          <w:rFonts w:hint="eastAsia" w:ascii="仿宋_GB2312" w:eastAsia="仿宋_GB2312" w:cs="仿宋_GB2312"/>
          <w:b/>
          <w:bCs/>
          <w:sz w:val="32"/>
          <w:szCs w:val="32"/>
        </w:rPr>
        <w:t>二是</w:t>
      </w:r>
      <w:r>
        <w:rPr>
          <w:rFonts w:hint="eastAsia" w:ascii="仿宋_GB2312" w:eastAsia="仿宋_GB2312" w:cs="仿宋_GB2312"/>
          <w:sz w:val="32"/>
          <w:szCs w:val="32"/>
        </w:rPr>
        <w:t>解决</w:t>
      </w:r>
      <w:r>
        <w:rPr>
          <w:rFonts w:hint="eastAsia" w:ascii="仿宋_GB2312" w:eastAsia="仿宋_GB2312" w:cs="仿宋_GB2312"/>
          <w:sz w:val="32"/>
          <w:szCs w:val="32"/>
          <w:lang w:val="en-US" w:eastAsia="zh-CN"/>
        </w:rPr>
        <w:t>凤仪镇</w:t>
      </w:r>
      <w:r>
        <w:rPr>
          <w:rFonts w:hint="eastAsia" w:ascii="仿宋_GB2312" w:eastAsia="仿宋_GB2312" w:cs="仿宋_GB2312"/>
          <w:sz w:val="32"/>
          <w:szCs w:val="32"/>
        </w:rPr>
        <w:t>、老年</w:t>
      </w:r>
      <w:r>
        <w:rPr>
          <w:rFonts w:hint="eastAsia" w:ascii="仿宋_GB2312" w:eastAsia="仿宋_GB2312" w:cs="仿宋_GB2312"/>
          <w:sz w:val="32"/>
          <w:szCs w:val="32"/>
          <w:lang w:val="en-US" w:eastAsia="zh-CN"/>
        </w:rPr>
        <w:t>协会</w:t>
      </w:r>
      <w:r>
        <w:rPr>
          <w:rFonts w:hint="eastAsia" w:ascii="仿宋_GB2312" w:eastAsia="仿宋_GB2312" w:cs="仿宋_GB2312"/>
          <w:sz w:val="32"/>
          <w:szCs w:val="32"/>
        </w:rPr>
        <w:t>等9个</w:t>
      </w:r>
      <w:r>
        <w:rPr>
          <w:rFonts w:hint="eastAsia" w:ascii="仿宋_GB2312" w:eastAsia="仿宋_GB2312" w:cs="仿宋_GB2312"/>
          <w:sz w:val="32"/>
          <w:szCs w:val="32"/>
          <w:lang w:val="en-US" w:eastAsia="zh-CN"/>
        </w:rPr>
        <w:t>行业典范</w:t>
      </w:r>
      <w:r>
        <w:rPr>
          <w:rFonts w:hint="eastAsia" w:ascii="仿宋_GB2312" w:eastAsia="仿宋_GB2312" w:cs="仿宋_GB2312"/>
          <w:sz w:val="32"/>
          <w:szCs w:val="32"/>
        </w:rPr>
        <w:t>单位的创建补助经费，进一步巩固创建成果，突出各行业创建亮点，充分发挥了示范引领作用。</w:t>
      </w:r>
      <w:r>
        <w:rPr>
          <w:rFonts w:hint="eastAsia" w:ascii="仿宋_GB2312" w:eastAsia="仿宋_GB2312" w:cs="仿宋_GB2312"/>
          <w:b/>
          <w:bCs/>
          <w:sz w:val="32"/>
          <w:szCs w:val="32"/>
        </w:rPr>
        <w:t>三是</w:t>
      </w:r>
      <w:r>
        <w:rPr>
          <w:rFonts w:hint="eastAsia" w:ascii="仿宋_GB2312" w:eastAsia="仿宋_GB2312" w:cs="仿宋_GB2312"/>
          <w:b w:val="0"/>
          <w:bCs w:val="0"/>
          <w:sz w:val="32"/>
          <w:szCs w:val="32"/>
          <w:lang w:val="en-US" w:eastAsia="zh-CN"/>
        </w:rPr>
        <w:t>多次</w:t>
      </w:r>
      <w:r>
        <w:rPr>
          <w:rFonts w:hint="eastAsia" w:ascii="仿宋_GB2312" w:eastAsia="仿宋_GB2312" w:cs="仿宋_GB2312"/>
          <w:sz w:val="32"/>
          <w:szCs w:val="32"/>
        </w:rPr>
        <w:t>开展</w:t>
      </w:r>
      <w:r>
        <w:rPr>
          <w:rFonts w:hint="eastAsia" w:ascii="仿宋_GB2312" w:eastAsia="仿宋_GB2312" w:cs="仿宋_GB2312"/>
          <w:sz w:val="32"/>
          <w:szCs w:val="32"/>
          <w:lang w:val="en-US" w:eastAsia="zh-CN"/>
        </w:rPr>
        <w:t>督导调研、示范单位互观互检等工作</w:t>
      </w:r>
      <w:r>
        <w:rPr>
          <w:rFonts w:hint="eastAsia" w:ascii="仿宋_GB2312" w:eastAsia="仿宋_GB2312" w:cs="仿宋_GB2312"/>
          <w:sz w:val="32"/>
          <w:szCs w:val="32"/>
        </w:rPr>
        <w:t>进一步提升创建</w:t>
      </w:r>
      <w:r>
        <w:rPr>
          <w:rFonts w:hint="eastAsia" w:ascii="仿宋_GB2312" w:eastAsia="仿宋_GB2312" w:cs="仿宋_GB2312"/>
          <w:sz w:val="32"/>
          <w:szCs w:val="32"/>
          <w:lang w:val="en-US" w:eastAsia="zh-CN"/>
        </w:rPr>
        <w:t>人员</w:t>
      </w:r>
      <w:r>
        <w:rPr>
          <w:rFonts w:hint="eastAsia" w:ascii="仿宋_GB2312" w:eastAsia="仿宋_GB2312" w:cs="仿宋_GB2312"/>
          <w:sz w:val="32"/>
          <w:szCs w:val="32"/>
        </w:rPr>
        <w:t>业务能力</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根据档案管理要求，委托第三方对档案进行整理、归档，提高档案的合理性；优化电脑、打印机等办公设备</w:t>
      </w:r>
      <w:r>
        <w:rPr>
          <w:rFonts w:hint="eastAsia" w:ascii="仿宋_GB2312" w:eastAsia="仿宋_GB2312" w:cs="仿宋_GB2312"/>
          <w:sz w:val="32"/>
          <w:szCs w:val="32"/>
        </w:rPr>
        <w:t>，充分保障创建办工作顺利扎实开展。</w:t>
      </w:r>
    </w:p>
    <w:p>
      <w:pPr>
        <w:pStyle w:val="2"/>
        <w:pBdr>
          <w:bottom w:val="none" w:color="auto" w:sz="0" w:space="0"/>
        </w:pBdr>
        <w:ind w:firstLine="680"/>
        <w:rPr>
          <w:rFonts w:hint="eastAsia"/>
        </w:rPr>
      </w:pPr>
    </w:p>
    <w:p>
      <w:pPr>
        <w:pStyle w:val="3"/>
        <w:jc w:val="center"/>
        <w:rPr>
          <w:rFonts w:ascii="黑体" w:eastAsia="黑体" w:cs="黑体"/>
        </w:rPr>
      </w:pPr>
      <w:bookmarkStart w:id="76" w:name="_Toc111208512"/>
      <w:bookmarkStart w:id="77" w:name="_Toc79163635"/>
      <w:bookmarkStart w:id="78" w:name="_Toc113981025"/>
      <w:bookmarkStart w:id="79" w:name="_Toc79163885"/>
      <w:r>
        <w:rPr>
          <w:rFonts w:hint="eastAsia" w:ascii="黑体" w:eastAsia="黑体" w:cs="黑体"/>
        </w:rPr>
        <w:t>第五部分 附表</w:t>
      </w:r>
      <w:bookmarkEnd w:id="76"/>
      <w:bookmarkEnd w:id="77"/>
      <w:bookmarkEnd w:id="78"/>
      <w:bookmarkEnd w:id="79"/>
    </w:p>
    <w:p>
      <w:pPr>
        <w:pStyle w:val="4"/>
        <w:ind w:firstLine="643" w:firstLineChars="200"/>
        <w:rPr>
          <w:rFonts w:ascii="黑体" w:eastAsia="黑体" w:cs="Times New Roman"/>
          <w:bCs w:val="0"/>
          <w:color w:val="000000"/>
        </w:rPr>
      </w:pPr>
      <w:bookmarkStart w:id="80" w:name="_Toc79163636"/>
      <w:bookmarkStart w:id="81" w:name="_Toc79163886"/>
      <w:bookmarkStart w:id="82" w:name="_Toc113981026"/>
      <w:bookmarkStart w:id="83" w:name="_Toc111208513"/>
      <w:r>
        <w:rPr>
          <w:rFonts w:hint="eastAsia" w:ascii="黑体" w:eastAsia="黑体" w:cs="Times New Roman"/>
          <w:bCs w:val="0"/>
          <w:color w:val="000000"/>
        </w:rPr>
        <w:t>一、收入支出决算总表</w:t>
      </w:r>
      <w:bookmarkEnd w:id="80"/>
      <w:bookmarkEnd w:id="81"/>
      <w:bookmarkEnd w:id="82"/>
      <w:bookmarkEnd w:id="83"/>
    </w:p>
    <w:p>
      <w:pPr>
        <w:pStyle w:val="4"/>
        <w:ind w:firstLine="643" w:firstLineChars="200"/>
        <w:rPr>
          <w:rFonts w:ascii="黑体" w:eastAsia="黑体" w:cs="Times New Roman"/>
          <w:bCs w:val="0"/>
          <w:color w:val="000000"/>
        </w:rPr>
      </w:pPr>
      <w:bookmarkStart w:id="84" w:name="_Toc113981027"/>
      <w:bookmarkStart w:id="85" w:name="_Toc111208514"/>
      <w:bookmarkStart w:id="86" w:name="_Toc79163887"/>
      <w:bookmarkStart w:id="87" w:name="_Toc79163637"/>
      <w:r>
        <w:rPr>
          <w:rFonts w:hint="eastAsia" w:ascii="黑体" w:eastAsia="黑体" w:cs="Times New Roman"/>
          <w:bCs w:val="0"/>
          <w:color w:val="000000"/>
        </w:rPr>
        <w:t>二、收入决算表</w:t>
      </w:r>
      <w:bookmarkEnd w:id="84"/>
      <w:bookmarkEnd w:id="85"/>
      <w:bookmarkEnd w:id="86"/>
      <w:bookmarkEnd w:id="87"/>
    </w:p>
    <w:p>
      <w:pPr>
        <w:pStyle w:val="4"/>
        <w:ind w:firstLine="643" w:firstLineChars="200"/>
        <w:rPr>
          <w:rFonts w:ascii="黑体" w:eastAsia="黑体" w:cs="Times New Roman"/>
          <w:b w:val="0"/>
          <w:color w:val="000000"/>
        </w:rPr>
      </w:pPr>
      <w:bookmarkStart w:id="88" w:name="_Toc79163638"/>
      <w:bookmarkStart w:id="89" w:name="_Toc111208515"/>
      <w:bookmarkStart w:id="90" w:name="_Toc79163888"/>
      <w:bookmarkStart w:id="91" w:name="_Toc113981028"/>
      <w:r>
        <w:rPr>
          <w:rFonts w:hint="eastAsia" w:ascii="黑体" w:eastAsia="黑体" w:cs="Times New Roman"/>
          <w:bCs w:val="0"/>
          <w:color w:val="000000"/>
        </w:rPr>
        <w:t>三、支出决算表</w:t>
      </w:r>
      <w:bookmarkEnd w:id="88"/>
      <w:bookmarkEnd w:id="89"/>
      <w:bookmarkEnd w:id="90"/>
      <w:bookmarkEnd w:id="91"/>
    </w:p>
    <w:p>
      <w:pPr>
        <w:pStyle w:val="4"/>
        <w:ind w:firstLine="643" w:firstLineChars="200"/>
        <w:rPr>
          <w:rFonts w:ascii="黑体" w:eastAsia="黑体" w:cs="Times New Roman"/>
          <w:bCs w:val="0"/>
          <w:color w:val="000000"/>
        </w:rPr>
      </w:pPr>
      <w:bookmarkStart w:id="92" w:name="_Toc111208516"/>
      <w:bookmarkStart w:id="93" w:name="_Toc79163639"/>
      <w:bookmarkStart w:id="94" w:name="_Toc79163889"/>
      <w:bookmarkStart w:id="95" w:name="_Toc113981029"/>
      <w:r>
        <w:rPr>
          <w:rFonts w:hint="eastAsia" w:ascii="黑体" w:eastAsia="黑体" w:cs="Times New Roman"/>
          <w:bCs w:val="0"/>
          <w:color w:val="000000"/>
        </w:rPr>
        <w:t>四、财政拨款收入支出决算总表</w:t>
      </w:r>
      <w:bookmarkEnd w:id="92"/>
      <w:bookmarkEnd w:id="93"/>
      <w:bookmarkEnd w:id="94"/>
      <w:bookmarkEnd w:id="95"/>
    </w:p>
    <w:p>
      <w:pPr>
        <w:pStyle w:val="4"/>
        <w:ind w:firstLine="643" w:firstLineChars="200"/>
        <w:rPr>
          <w:rFonts w:ascii="黑体" w:eastAsia="黑体" w:cs="Times New Roman"/>
          <w:bCs w:val="0"/>
          <w:color w:val="000000"/>
        </w:rPr>
      </w:pPr>
      <w:bookmarkStart w:id="96" w:name="_Toc111208517"/>
      <w:bookmarkStart w:id="97" w:name="_Toc113981030"/>
      <w:bookmarkStart w:id="98" w:name="_Toc79163640"/>
      <w:bookmarkStart w:id="99" w:name="_Toc79163890"/>
      <w:r>
        <w:rPr>
          <w:rFonts w:hint="eastAsia" w:ascii="黑体" w:eastAsia="黑体" w:cs="Times New Roman"/>
          <w:bCs w:val="0"/>
          <w:color w:val="000000"/>
        </w:rPr>
        <w:t>五、财政拨款支出决算明细表</w:t>
      </w:r>
      <w:bookmarkEnd w:id="96"/>
      <w:bookmarkEnd w:id="97"/>
      <w:bookmarkEnd w:id="98"/>
      <w:bookmarkEnd w:id="99"/>
    </w:p>
    <w:p>
      <w:pPr>
        <w:pStyle w:val="4"/>
        <w:ind w:firstLine="643" w:firstLineChars="200"/>
        <w:rPr>
          <w:rFonts w:ascii="黑体" w:eastAsia="黑体" w:cs="Times New Roman"/>
          <w:bCs w:val="0"/>
          <w:color w:val="000000"/>
        </w:rPr>
      </w:pPr>
      <w:bookmarkStart w:id="100" w:name="_Toc79163891"/>
      <w:bookmarkStart w:id="101" w:name="_Toc79163641"/>
      <w:bookmarkStart w:id="102" w:name="_Toc113981031"/>
      <w:bookmarkStart w:id="103" w:name="_Toc111208518"/>
      <w:r>
        <w:rPr>
          <w:rFonts w:hint="eastAsia" w:ascii="黑体" w:eastAsia="黑体" w:cs="Times New Roman"/>
          <w:bCs w:val="0"/>
          <w:color w:val="000000"/>
        </w:rPr>
        <w:t>六、一般公共预算财政拨款支出决算表</w:t>
      </w:r>
      <w:bookmarkEnd w:id="100"/>
      <w:bookmarkEnd w:id="101"/>
      <w:bookmarkEnd w:id="102"/>
      <w:bookmarkEnd w:id="103"/>
    </w:p>
    <w:p>
      <w:pPr>
        <w:pStyle w:val="4"/>
        <w:ind w:firstLine="643" w:firstLineChars="200"/>
        <w:rPr>
          <w:rFonts w:ascii="黑体" w:eastAsia="黑体" w:cs="Times New Roman"/>
          <w:bCs w:val="0"/>
          <w:color w:val="000000"/>
        </w:rPr>
      </w:pPr>
      <w:bookmarkStart w:id="104" w:name="_Toc113981032"/>
      <w:bookmarkStart w:id="105" w:name="_Toc111208519"/>
      <w:bookmarkStart w:id="106" w:name="_Toc79163642"/>
      <w:bookmarkStart w:id="107" w:name="_Toc79163892"/>
      <w:r>
        <w:rPr>
          <w:rFonts w:hint="eastAsia" w:ascii="黑体" w:eastAsia="黑体" w:cs="Times New Roman"/>
          <w:bCs w:val="0"/>
          <w:color w:val="000000"/>
        </w:rPr>
        <w:t>七、一般公共预算财政拨款支出决算明细表</w:t>
      </w:r>
      <w:bookmarkEnd w:id="104"/>
      <w:bookmarkEnd w:id="105"/>
      <w:bookmarkEnd w:id="106"/>
      <w:bookmarkEnd w:id="107"/>
    </w:p>
    <w:p>
      <w:pPr>
        <w:pStyle w:val="4"/>
        <w:ind w:firstLine="643" w:firstLineChars="200"/>
        <w:rPr>
          <w:rFonts w:ascii="黑体" w:eastAsia="黑体" w:cs="Times New Roman"/>
          <w:bCs w:val="0"/>
          <w:color w:val="000000"/>
        </w:rPr>
      </w:pPr>
      <w:bookmarkStart w:id="108" w:name="_Toc111208520"/>
      <w:bookmarkStart w:id="109" w:name="_Toc79163643"/>
      <w:bookmarkStart w:id="110" w:name="_Toc79163893"/>
      <w:bookmarkStart w:id="111" w:name="_Toc113981033"/>
      <w:r>
        <w:rPr>
          <w:rFonts w:hint="eastAsia" w:ascii="黑体" w:eastAsia="黑体" w:cs="Times New Roman"/>
          <w:bCs w:val="0"/>
          <w:color w:val="000000"/>
        </w:rPr>
        <w:t>八、一般公共预算财政拨款基本支出决算表</w:t>
      </w:r>
      <w:bookmarkEnd w:id="108"/>
      <w:bookmarkEnd w:id="109"/>
      <w:bookmarkEnd w:id="110"/>
      <w:bookmarkEnd w:id="111"/>
    </w:p>
    <w:p>
      <w:pPr>
        <w:pStyle w:val="4"/>
        <w:ind w:firstLine="643" w:firstLineChars="200"/>
        <w:rPr>
          <w:rFonts w:ascii="黑体" w:eastAsia="黑体" w:cs="Times New Roman"/>
          <w:bCs w:val="0"/>
          <w:color w:val="000000"/>
        </w:rPr>
      </w:pPr>
      <w:bookmarkStart w:id="112" w:name="_Toc79163894"/>
      <w:bookmarkStart w:id="113" w:name="_Toc113981034"/>
      <w:bookmarkStart w:id="114" w:name="_Toc79163644"/>
      <w:bookmarkStart w:id="115" w:name="_Toc111208521"/>
      <w:r>
        <w:rPr>
          <w:rFonts w:hint="eastAsia" w:ascii="黑体" w:eastAsia="黑体" w:cs="Times New Roman"/>
          <w:bCs w:val="0"/>
          <w:color w:val="000000"/>
        </w:rPr>
        <w:t>九、一般公共预算财政拨款项目支出决算表</w:t>
      </w:r>
      <w:bookmarkEnd w:id="112"/>
      <w:bookmarkEnd w:id="113"/>
      <w:bookmarkEnd w:id="114"/>
      <w:bookmarkEnd w:id="115"/>
    </w:p>
    <w:p>
      <w:pPr>
        <w:pStyle w:val="4"/>
        <w:ind w:firstLine="643" w:firstLineChars="200"/>
        <w:rPr>
          <w:rFonts w:ascii="黑体" w:eastAsia="黑体" w:cs="Times New Roman"/>
          <w:bCs w:val="0"/>
          <w:color w:val="000000"/>
        </w:rPr>
      </w:pPr>
      <w:bookmarkStart w:id="116" w:name="_Toc79163895"/>
      <w:bookmarkStart w:id="117" w:name="_Toc79163645"/>
      <w:bookmarkStart w:id="118" w:name="_Toc113981035"/>
      <w:bookmarkStart w:id="119" w:name="_Toc111208522"/>
      <w:r>
        <w:rPr>
          <w:rFonts w:hint="eastAsia" w:ascii="黑体" w:eastAsia="黑体" w:cs="Times New Roman"/>
          <w:bCs w:val="0"/>
          <w:color w:val="000000"/>
        </w:rPr>
        <w:t>十、一般公共预算财政拨款“三公”经费支出决算表</w:t>
      </w:r>
      <w:bookmarkEnd w:id="116"/>
      <w:bookmarkEnd w:id="117"/>
      <w:bookmarkEnd w:id="118"/>
      <w:bookmarkEnd w:id="119"/>
    </w:p>
    <w:p>
      <w:pPr>
        <w:pStyle w:val="4"/>
        <w:ind w:firstLine="643" w:firstLineChars="200"/>
        <w:rPr>
          <w:rFonts w:ascii="黑体" w:eastAsia="黑体" w:cs="Times New Roman"/>
          <w:bCs w:val="0"/>
          <w:color w:val="000000"/>
        </w:rPr>
      </w:pPr>
      <w:bookmarkStart w:id="120" w:name="_Toc111208523"/>
      <w:bookmarkStart w:id="121" w:name="_Toc79163646"/>
      <w:bookmarkStart w:id="122" w:name="_Toc79163896"/>
      <w:bookmarkStart w:id="123" w:name="_Toc113981036"/>
      <w:r>
        <w:rPr>
          <w:rFonts w:hint="eastAsia" w:ascii="黑体" w:eastAsia="黑体" w:cs="Times New Roman"/>
          <w:bCs w:val="0"/>
          <w:color w:val="000000"/>
        </w:rPr>
        <w:t>十一、政府性基金预算财政拨款收入支出决算表</w:t>
      </w:r>
      <w:bookmarkEnd w:id="120"/>
      <w:bookmarkEnd w:id="121"/>
      <w:bookmarkEnd w:id="122"/>
      <w:bookmarkEnd w:id="123"/>
    </w:p>
    <w:p>
      <w:pPr>
        <w:pStyle w:val="4"/>
        <w:ind w:firstLine="643" w:firstLineChars="200"/>
        <w:rPr>
          <w:rFonts w:ascii="黑体" w:eastAsia="黑体" w:cs="Times New Roman"/>
          <w:bCs w:val="0"/>
          <w:color w:val="000000"/>
        </w:rPr>
      </w:pPr>
      <w:bookmarkStart w:id="124" w:name="_Toc79163897"/>
      <w:bookmarkStart w:id="125" w:name="_Toc113981037"/>
      <w:bookmarkStart w:id="126" w:name="_Toc111208524"/>
      <w:bookmarkStart w:id="127" w:name="_Toc79163647"/>
      <w:r>
        <w:rPr>
          <w:rFonts w:hint="eastAsia" w:ascii="黑体" w:eastAsia="黑体" w:cs="Times New Roman"/>
          <w:bCs w:val="0"/>
          <w:color w:val="000000"/>
        </w:rPr>
        <w:t>十二、政府性基金预算财政拨款“三公”经费支出决算表</w:t>
      </w:r>
      <w:bookmarkEnd w:id="124"/>
      <w:bookmarkEnd w:id="125"/>
      <w:bookmarkEnd w:id="126"/>
      <w:bookmarkEnd w:id="127"/>
    </w:p>
    <w:p>
      <w:pPr>
        <w:pStyle w:val="4"/>
        <w:ind w:firstLine="643" w:firstLineChars="200"/>
        <w:rPr>
          <w:rFonts w:ascii="黑体" w:eastAsia="黑体" w:cs="Times New Roman"/>
          <w:bCs w:val="0"/>
          <w:color w:val="000000"/>
        </w:rPr>
      </w:pPr>
      <w:bookmarkStart w:id="128" w:name="_Toc79163648"/>
      <w:bookmarkStart w:id="129" w:name="_Toc79163898"/>
      <w:bookmarkStart w:id="130" w:name="_Toc111208525"/>
      <w:bookmarkStart w:id="131" w:name="_Toc113981038"/>
      <w:r>
        <w:rPr>
          <w:rFonts w:hint="eastAsia" w:ascii="黑体" w:eastAsia="黑体" w:cs="Times New Roman"/>
          <w:bCs w:val="0"/>
          <w:color w:val="000000"/>
        </w:rPr>
        <w:t>十三、</w:t>
      </w:r>
      <w:bookmarkEnd w:id="128"/>
      <w:bookmarkEnd w:id="129"/>
      <w:r>
        <w:rPr>
          <w:rFonts w:hint="eastAsia" w:ascii="黑体" w:eastAsia="黑体" w:cs="Times New Roman"/>
          <w:bCs w:val="0"/>
          <w:color w:val="000000"/>
        </w:rPr>
        <w:t>国有资本经营预算财政拨款收入支出决算表</w:t>
      </w:r>
      <w:bookmarkEnd w:id="130"/>
      <w:bookmarkEnd w:id="131"/>
    </w:p>
    <w:p>
      <w:pPr>
        <w:pStyle w:val="4"/>
        <w:ind w:firstLine="643" w:firstLineChars="200"/>
        <w:rPr>
          <w:rFonts w:ascii="黑体" w:eastAsia="黑体" w:cs="Times New Roman"/>
          <w:b w:val="0"/>
          <w:color w:val="000000"/>
        </w:rPr>
      </w:pPr>
      <w:bookmarkStart w:id="132" w:name="_Toc111208526"/>
      <w:bookmarkStart w:id="133" w:name="_Toc113981039"/>
      <w:r>
        <w:rPr>
          <w:rFonts w:hint="eastAsia" w:ascii="黑体" w:eastAsia="黑体" w:cs="Times New Roman"/>
          <w:bCs w:val="0"/>
          <w:color w:val="000000"/>
        </w:rPr>
        <w:t>十四、国有资本经营预算财政拨款支出决算表</w:t>
      </w:r>
      <w:bookmarkEnd w:id="132"/>
      <w:bookmarkEnd w:id="133"/>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18030">
    <w:altName w:val="仿宋"/>
    <w:panose1 w:val="02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25765353"/>
    </w:sdtPr>
    <w:sdtContent>
      <w:p>
        <w:pPr>
          <w:pStyle w:val="11"/>
          <w:jc w:val="center"/>
        </w:pPr>
        <w:r>
          <w:fldChar w:fldCharType="begin"/>
        </w:r>
        <w:r>
          <w:instrText xml:space="preserve">PAGE   \* MERGEFORMAT</w:instrText>
        </w:r>
        <w:r>
          <w:fldChar w:fldCharType="separate"/>
        </w:r>
        <w:r>
          <w:rPr>
            <w:lang w:val="zh-CN"/>
          </w:rPr>
          <w:t>4</w:t>
        </w:r>
        <w:r>
          <w:fldChar w:fldCharType="end"/>
        </w:r>
      </w:p>
    </w:sdtContent>
  </w:sdt>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389D68"/>
    <w:multiLevelType w:val="singleLevel"/>
    <w:tmpl w:val="C7389D68"/>
    <w:lvl w:ilvl="0" w:tentative="0">
      <w:start w:val="1"/>
      <w:numFmt w:val="chineseCounting"/>
      <w:suff w:val="nothing"/>
      <w:lvlText w:val="%1、"/>
      <w:lvlJc w:val="left"/>
      <w:pPr>
        <w:ind w:left="420" w:leftChars="0" w:firstLine="0" w:firstLineChars="0"/>
      </w:pPr>
      <w:rPr>
        <w:rFonts w:hint="eastAsia"/>
      </w:rPr>
    </w:lvl>
  </w:abstractNum>
  <w:abstractNum w:abstractNumId="1">
    <w:nsid w:val="08EA2B61"/>
    <w:multiLevelType w:val="singleLevel"/>
    <w:tmpl w:val="08EA2B61"/>
    <w:lvl w:ilvl="0" w:tentative="0">
      <w:start w:val="2"/>
      <w:numFmt w:val="chineseCounting"/>
      <w:suff w:val="nothing"/>
      <w:lvlText w:val="（%1）"/>
      <w:lvlJc w:val="left"/>
      <w:pPr>
        <w:ind w:left="0" w:firstLine="0"/>
      </w:pPr>
      <w:rPr>
        <w:rFonts w:hint="eastAsia"/>
      </w:rPr>
    </w:lvl>
  </w:abstractNum>
  <w:abstractNum w:abstractNumId="2">
    <w:nsid w:val="5BA8208F"/>
    <w:multiLevelType w:val="singleLevel"/>
    <w:tmpl w:val="5BA8208F"/>
    <w:lvl w:ilvl="0" w:tentative="0">
      <w:start w:val="3"/>
      <w:numFmt w:val="chineseCounting"/>
      <w:suff w:val="nothing"/>
      <w:lvlText w:val="（%1）"/>
      <w:lvlJc w:val="left"/>
      <w:pPr>
        <w:ind w:left="0" w:firstLine="0"/>
      </w:pPr>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1"/>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ZjY3MGU5ZTRlYjBmNjUxZmIwODI5OTMxNWRkMGZlNjQifQ=="/>
  </w:docVars>
  <w:rsids>
    <w:rsidRoot w:val="00000000"/>
    <w:rsid w:val="33772E3B"/>
    <w:rsid w:val="3B345186"/>
    <w:rsid w:val="69BC4DB4"/>
    <w:rsid w:val="768F4F90"/>
    <w:rsid w:val="7D5F079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2"/>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8">
    <w:name w:val="Default Paragraph Font"/>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680"/>
    </w:pPr>
  </w:style>
  <w:style w:type="paragraph" w:styleId="6">
    <w:name w:val="annotation text"/>
    <w:basedOn w:val="1"/>
    <w:qFormat/>
    <w:uiPriority w:val="0"/>
    <w:pPr>
      <w:jc w:val="left"/>
    </w:pPr>
  </w:style>
  <w:style w:type="paragraph" w:styleId="7">
    <w:name w:val="Body Text"/>
    <w:basedOn w:val="1"/>
    <w:next w:val="2"/>
    <w:qFormat/>
    <w:uiPriority w:val="0"/>
    <w:pPr>
      <w:widowControl w:val="0"/>
      <w:spacing w:before="30" w:beforeLines="30"/>
      <w:jc w:val="both"/>
    </w:pPr>
    <w:rPr>
      <w:rFonts w:ascii="仿宋_GB2312" w:eastAsia="仿宋_GB2312" w:cs="Times New Roman"/>
      <w:kern w:val="0"/>
      <w:sz w:val="30"/>
      <w:szCs w:val="24"/>
      <w:lang w:val="en-US" w:eastAsia="zh-CN" w:bidi="ar-SA"/>
    </w:rPr>
  </w:style>
  <w:style w:type="paragraph" w:styleId="8">
    <w:name w:val="toc 3"/>
    <w:basedOn w:val="1"/>
    <w:next w:val="1"/>
    <w:qFormat/>
    <w:uiPriority w:val="0"/>
    <w:pPr>
      <w:tabs>
        <w:tab w:val="right" w:leader="dot" w:pos="8296"/>
      </w:tabs>
      <w:ind w:left="400" w:leftChars="400"/>
    </w:pPr>
  </w:style>
  <w:style w:type="paragraph" w:styleId="9">
    <w:name w:val="Plain Text"/>
    <w:basedOn w:val="1"/>
    <w:next w:val="8"/>
    <w:qFormat/>
    <w:uiPriority w:val="0"/>
    <w:pPr>
      <w:widowControl w:val="0"/>
      <w:jc w:val="both"/>
    </w:pPr>
    <w:rPr>
      <w:rFonts w:ascii="宋体" w:eastAsia="宋体" w:cs="Arial"/>
      <w:kern w:val="2"/>
      <w:sz w:val="21"/>
      <w:szCs w:val="20"/>
      <w:lang w:val="en-US" w:eastAsia="zh-CN" w:bidi="ar-SA"/>
    </w:r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qFormat/>
    <w:uiPriority w:val="0"/>
    <w:pPr>
      <w:tabs>
        <w:tab w:val="right" w:leader="dot" w:pos="8296"/>
      </w:tabs>
      <w:spacing w:before="93"/>
      <w:jc w:val="center"/>
    </w:pPr>
    <w:rPr>
      <w:rFonts w:ascii="仿宋" w:eastAsia="仿宋"/>
      <w:sz w:val="28"/>
      <w:szCs w:val="28"/>
    </w:rPr>
  </w:style>
  <w:style w:type="paragraph" w:styleId="14">
    <w:name w:val="table of figures"/>
    <w:basedOn w:val="1"/>
    <w:next w:val="1"/>
    <w:qFormat/>
    <w:uiPriority w:val="0"/>
    <w:pPr>
      <w:ind w:left="400" w:leftChars="200" w:hanging="200" w:hangingChars="200"/>
    </w:pPr>
  </w:style>
  <w:style w:type="paragraph" w:styleId="15">
    <w:name w:val="toc 2"/>
    <w:basedOn w:val="1"/>
    <w:next w:val="1"/>
    <w:qFormat/>
    <w:uiPriority w:val="0"/>
    <w:pPr>
      <w:tabs>
        <w:tab w:val="right" w:leader="dot" w:pos="8296"/>
      </w:tabs>
      <w:ind w:left="200" w:leftChars="200"/>
    </w:pPr>
  </w:style>
  <w:style w:type="paragraph" w:styleId="16">
    <w:name w:val="Body Text First Indent 2"/>
    <w:basedOn w:val="1"/>
    <w:next w:val="1"/>
    <w:qFormat/>
    <w:uiPriority w:val="0"/>
    <w:pPr>
      <w:widowControl/>
      <w:spacing w:line="540" w:lineRule="exact"/>
      <w:ind w:firstLine="200" w:firstLineChars="200"/>
      <w:jc w:val="both"/>
      <w:textAlignment w:val="baseline"/>
    </w:pPr>
    <w:rPr>
      <w:rFonts w:ascii="Calibri" w:hAnsi="Calibri" w:eastAsia="宋体" w:cs="Arial"/>
      <w:color w:val="000000"/>
      <w:kern w:val="0"/>
      <w:sz w:val="32"/>
      <w:szCs w:val="32"/>
      <w:lang w:val="en-US" w:eastAsia="zh-CN" w:bidi="ar-SA"/>
    </w:rPr>
  </w:style>
  <w:style w:type="character" w:styleId="19">
    <w:name w:val="Strong"/>
    <w:qFormat/>
    <w:uiPriority w:val="0"/>
    <w:rPr>
      <w:rFonts w:cs="Times New Roman"/>
      <w:b/>
      <w:bCs/>
    </w:rPr>
  </w:style>
  <w:style w:type="character" w:styleId="20">
    <w:name w:val="Hyperlink"/>
    <w:basedOn w:val="18"/>
    <w:qFormat/>
    <w:uiPriority w:val="0"/>
    <w:rPr>
      <w:color w:val="0000FF"/>
      <w:u w:val="single"/>
    </w:rPr>
  </w:style>
  <w:style w:type="character" w:styleId="21">
    <w:name w:val="annotation reference"/>
    <w:basedOn w:val="18"/>
    <w:qFormat/>
    <w:uiPriority w:val="0"/>
    <w:rPr>
      <w:sz w:val="21"/>
      <w:szCs w:val="21"/>
    </w:rPr>
  </w:style>
  <w:style w:type="character" w:customStyle="1" w:styleId="22">
    <w:name w:val="heading 1 Char"/>
    <w:basedOn w:val="18"/>
    <w:link w:val="3"/>
    <w:qFormat/>
    <w:uiPriority w:val="0"/>
    <w:rPr>
      <w:rFonts w:ascii="Times New Roman" w:hAnsi="Times New Roman" w:eastAsia="宋体" w:cs="Times New Roman"/>
      <w:b/>
      <w:bCs/>
      <w:kern w:val="44"/>
      <w:sz w:val="44"/>
      <w:szCs w:val="44"/>
      <w:lang w:val="en-US" w:eastAsia="zh-CN" w:bidi="ar-SA"/>
    </w:rPr>
  </w:style>
  <w:style w:type="paragraph" w:customStyle="1" w:styleId="2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24">
    <w:name w:val="Header Char"/>
    <w:basedOn w:val="18"/>
    <w:qFormat/>
    <w:uiPriority w:val="0"/>
    <w:rPr>
      <w:rFonts w:ascii="Times New Roman" w:hAnsi="Times New Roman"/>
      <w:sz w:val="18"/>
      <w:szCs w:val="18"/>
    </w:rPr>
  </w:style>
  <w:style w:type="character" w:customStyle="1" w:styleId="25">
    <w:name w:val="Footer Char"/>
    <w:basedOn w:val="18"/>
    <w:qFormat/>
    <w:uiPriority w:val="0"/>
    <w:rPr>
      <w:rFonts w:ascii="Times New Roman" w:hAnsi="Times New Roman"/>
      <w:sz w:val="18"/>
      <w:szCs w:val="18"/>
    </w:rPr>
  </w:style>
  <w:style w:type="character" w:customStyle="1" w:styleId="26">
    <w:name w:val="Body Text Char"/>
    <w:basedOn w:val="18"/>
    <w:qFormat/>
    <w:uiPriority w:val="0"/>
    <w:rPr>
      <w:rFonts w:ascii="Times New Roman" w:hAnsi="Times New Roman"/>
      <w:szCs w:val="24"/>
    </w:rPr>
  </w:style>
  <w:style w:type="paragraph" w:styleId="27">
    <w:name w:val="List Paragraph"/>
    <w:basedOn w:val="1"/>
    <w:next w:val="13"/>
    <w:qFormat/>
    <w:uiPriority w:val="0"/>
    <w:pPr>
      <w:widowControl w:val="0"/>
      <w:ind w:firstLine="200" w:firstLineChars="200"/>
      <w:jc w:val="both"/>
    </w:pPr>
    <w:rPr>
      <w:rFonts w:ascii="Calibri" w:hAnsi="Calibri" w:eastAsia="宋体" w:cs="Arial"/>
      <w:kern w:val="2"/>
      <w:sz w:val="21"/>
      <w:szCs w:val="24"/>
      <w:lang w:val="en-US" w:eastAsia="zh-CN" w:bidi="ar-SA"/>
    </w:rPr>
  </w:style>
  <w:style w:type="paragraph" w:customStyle="1" w:styleId="28">
    <w:name w:val="TOC 标题1"/>
    <w:basedOn w:val="3"/>
    <w:next w:val="1"/>
    <w:qFormat/>
    <w:uiPriority w:val="0"/>
    <w:pPr>
      <w:keepNext/>
      <w:keepLines/>
      <w:widowControl/>
      <w:spacing w:before="480" w:after="0" w:line="276" w:lineRule="auto"/>
      <w:jc w:val="left"/>
      <w:outlineLvl w:val="9"/>
    </w:pPr>
    <w:rPr>
      <w:rFonts w:ascii="Cambria" w:hAnsi="Cambria" w:eastAsia="宋体" w:cs="Times New Roman"/>
      <w:color w:val="365F91"/>
      <w:kern w:val="0"/>
      <w:sz w:val="28"/>
      <w:szCs w:val="28"/>
    </w:rPr>
  </w:style>
  <w:style w:type="character" w:customStyle="1" w:styleId="29">
    <w:name w:val="NormalCharacter"/>
    <w:qFormat/>
    <w:uiPriority w:val="0"/>
    <w:rPr>
      <w:rFonts w:ascii="Calibri" w:hAnsi="Calibri" w:eastAsia="宋体"/>
      <w:lang w:val="en-US"/>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收、支决算总计变动情况图</a:t>
            </a:r>
            <a:endParaRPr lang="zh-CN"/>
          </a:p>
        </c:rich>
      </c:tx>
      <c:layout/>
      <c:overlay val="0"/>
      <c:spPr>
        <a:ln>
          <a:noFill/>
        </a:ln>
      </c:spPr>
    </c:title>
    <c:autoTitleDeleted val="0"/>
    <c:plotArea>
      <c:layout>
        <c:manualLayout>
          <c:layoutTarget val="inner"/>
          <c:xMode val="edge"/>
          <c:yMode val="edge"/>
          <c:x val="0.05598162"/>
          <c:y val="0.24786511"/>
          <c:w val="0.800713"/>
          <c:h val="0.65402776"/>
        </c:manualLayout>
      </c:layout>
      <c:barChart>
        <c:barDir val="col"/>
        <c:grouping val="clustered"/>
        <c:varyColors val="0"/>
        <c:ser>
          <c:idx val="1"/>
          <c:order val="0"/>
          <c:tx>
            <c:strRef>
              <c:f>收入</c:f>
              <c:strCache>
                <c:ptCount val="1"/>
                <c:pt idx="0">
                  <c:v>收入</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{2020,2021}</c:f>
              <c:numCache>
                <c:formatCode>General</c:formatCode>
                <c:ptCount val="2"/>
                <c:pt idx="0">
                  <c:v>2020</c:v>
                </c:pt>
                <c:pt idx="1">
                  <c:v>2021</c:v>
                </c:pt>
              </c:numCache>
            </c:numRef>
          </c:cat>
          <c:val>
            <c:numRef>
              <c:f>{1349.42,1705.98}</c:f>
              <c:numCache>
                <c:formatCode>General</c:formatCode>
                <c:ptCount val="2"/>
                <c:pt idx="0">
                  <c:v>1349.42</c:v>
                </c:pt>
                <c:pt idx="1">
                  <c:v>1705.98</c:v>
                </c:pt>
              </c:numCache>
            </c:numRef>
          </c:val>
        </c:ser>
        <c:ser>
          <c:idx val="2"/>
          <c:order val="1"/>
          <c:tx>
            <c:strRef>
              <c:f>支出</c:f>
              <c:strCache>
                <c:ptCount val="1"/>
                <c:pt idx="0">
                  <c:v>支出</c:v>
                </c:pt>
              </c:strCache>
            </c:strRef>
          </c:tx>
          <c:spPr>
            <a:solidFill>
              <a:srgbClr val="9BBB59"/>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{2020,2021}</c:f>
              <c:numCache>
                <c:formatCode>General</c:formatCode>
                <c:ptCount val="2"/>
                <c:pt idx="0">
                  <c:v>2020</c:v>
                </c:pt>
                <c:pt idx="1">
                  <c:v>2021</c:v>
                </c:pt>
              </c:numCache>
            </c:numRef>
          </c:cat>
          <c:val>
            <c:numRef>
              <c:f>{1349.42,1705.98}</c:f>
              <c:numCache>
                <c:formatCode>General</c:formatCode>
                <c:ptCount val="2"/>
                <c:pt idx="0">
                  <c:v>1349.42</c:v>
                </c:pt>
                <c:pt idx="1">
                  <c:v>1705.98</c:v>
                </c:pt>
              </c:numCache>
            </c:numRef>
          </c:val>
        </c:ser>
        <c:dLbls>
          <c:showLegendKey val="0"/>
          <c:showVal val="1"/>
          <c:showCatName val="0"/>
          <c:showSerName val="0"/>
          <c:showPercent val="0"/>
          <c:showBubbleSize val="0"/>
        </c:dLbls>
        <c:gapWidth val="41"/>
        <c:axId val="0"/>
        <c:axId val="1"/>
      </c:barChart>
      <c:catAx>
        <c:axId val="0"/>
        <c:scaling>
          <c:orientation val="minMax"/>
        </c:scaling>
        <c:delete val="0"/>
        <c:axPos val="b"/>
        <c:title>
          <c:tx>
            <c:rich>
              <a:bodyPr rot="0" spcFirstLastPara="0" vertOverflow="ellipsis" vert="horz" wrap="square" anchor="t" anchorCtr="0"/>
              <a:lstStyle/>
              <a:p>
                <a:pPr>
                  <a:defRPr lang="zh-CN" sz="10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单位：万元</a:t>
                </a:r>
                <a:endParaRPr lang="zh-CN"/>
              </a:p>
            </c:rich>
          </c:tx>
          <c:layout/>
          <c:overlay val="0"/>
          <c:spPr>
            <a:ln>
              <a:noFill/>
            </a:ln>
          </c:spPr>
        </c:title>
        <c:numFmt formatCode="General" sourceLinked="0"/>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scaling>
        <c:delete val="1"/>
        <c:axPos val="l"/>
        <c:title>
          <c:tx>
            <c:rich>
              <a:bodyPr rot="0" spcFirstLastPara="0" vertOverflow="ellipsis" vert="horz" wrap="square" anchor="t" anchorCtr="0"/>
              <a:lstStyle/>
              <a:p>
                <a:pPr>
                  <a:defRPr lang="zh-CN" sz="10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 </a:t>
                </a:r>
                <a:endParaRPr lang="zh-CN"/>
              </a:p>
            </c:rich>
          </c:tx>
          <c:layout/>
          <c:overlay val="0"/>
          <c:spPr>
            <a:ln>
              <a:noFill/>
            </a:ln>
          </c:spPr>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crossAx val="0"/>
        <c:crossesAt val="1"/>
        <c:crossBetween val="between"/>
      </c:valAx>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gradFill rotWithShape="1">
      <a:gsLst>
        <a:gs pos="0">
          <a:srgbClr val="FFFFFF">
            <a:alpha val="100000"/>
          </a:srgbClr>
        </a:gs>
        <a:gs pos="68000">
          <a:srgbClr val="D9D9D9">
            <a:alpha val="100000"/>
          </a:srgbClr>
        </a:gs>
        <a:gs pos="100000">
          <a:srgbClr val="FFFFFF">
            <a:alpha val="100000"/>
          </a:srgbClr>
        </a:gs>
      </a:gsLst>
      <a:lin ang="5400000" scaled="1"/>
    </a:gra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收入决算结构图</a:t>
            </a:r>
            <a:endParaRPr lang="zh-CN"/>
          </a:p>
        </c:rich>
      </c:tx>
      <c:layout/>
      <c:overlay val="0"/>
      <c:spPr>
        <a:ln>
          <a:noFill/>
        </a:ln>
      </c:spPr>
    </c:title>
    <c:autoTitleDeleted val="0"/>
    <c:plotArea>
      <c:layout/>
      <c:pieChart>
        <c:varyColors val="1"/>
        <c:ser>
          <c:idx val="1"/>
          <c:order val="0"/>
          <c:spPr>
            <a:ln>
              <a:noFill/>
            </a:ln>
          </c:spPr>
          <c:explosion val="0"/>
          <c:dPt>
            <c:idx val="0"/>
            <c:bubble3D val="0"/>
            <c:spPr>
              <a:solidFill>
                <a:srgbClr val="4572A7"/>
              </a:solidFill>
            </c:spPr>
          </c:dPt>
          <c:dPt>
            <c:idx val="1"/>
            <c:bubble3D val="0"/>
            <c:spPr>
              <a:solidFill>
                <a:srgbClr val="AA4643"/>
              </a:solidFill>
            </c:spPr>
          </c:dPt>
          <c:dPt>
            <c:idx val="2"/>
            <c:bubble3D val="0"/>
            <c:spPr>
              <a:solidFill>
                <a:srgbClr val="89A54E"/>
              </a:solidFill>
            </c:spPr>
          </c:dPt>
          <c:dPt>
            <c:idx val="3"/>
            <c:bubble3D val="0"/>
            <c:spPr>
              <a:solidFill>
                <a:srgbClr val="71588F"/>
              </a:solidFill>
            </c:spPr>
          </c:dPt>
          <c:dPt>
            <c:idx val="4"/>
            <c:bubble3D val="0"/>
            <c:spPr>
              <a:solidFill>
                <a:srgbClr val="4198AF"/>
              </a:solidFill>
            </c:spPr>
          </c:dPt>
          <c:dPt>
            <c:idx val="5"/>
            <c:bubble3D val="0"/>
            <c:spPr>
              <a:solidFill>
                <a:srgbClr val="DB843D"/>
              </a:solidFill>
            </c:spPr>
          </c:dPt>
          <c:dPt>
            <c:idx val="6"/>
            <c:bubble3D val="0"/>
            <c:spPr>
              <a:solidFill>
                <a:srgbClr val="93A9CF"/>
              </a:solidFill>
            </c:spPr>
          </c:dPt>
          <c:dPt>
            <c:idx val="7"/>
            <c:bubble3D val="0"/>
            <c:spPr>
              <a:solidFill>
                <a:srgbClr val="D19392"/>
              </a:solidFill>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{11345582.95,0,0,0,0,0,0,0}</c:f>
              <c:numCache>
                <c:formatCode>General</c:formatCode>
                <c:ptCount val="8"/>
                <c:pt idx="0">
                  <c:v>11345582.95</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支出决算结构图</a:t>
            </a:r>
            <a:endParaRPr lang="zh-CN"/>
          </a:p>
        </c:rich>
      </c:tx>
      <c:layout/>
      <c:overlay val="0"/>
      <c:spPr>
        <a:ln>
          <a:noFill/>
        </a:ln>
      </c:spPr>
    </c:title>
    <c:autoTitleDeleted val="0"/>
    <c:plotArea>
      <c:layout/>
      <c:pieChart>
        <c:varyColors val="1"/>
        <c:ser>
          <c:idx val="1"/>
          <c:order val="0"/>
          <c:spPr>
            <a:ln>
              <a:noFill/>
            </a:ln>
          </c:spPr>
          <c:explosion val="0"/>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Pt>
            <c:idx val="4"/>
            <c:bubble3D val="0"/>
            <c:spPr>
              <a:solidFill>
                <a:srgbClr val="4BACC6"/>
              </a:solidFill>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ext>
            </c:extLst>
          </c:dLbls>
          <c:cat>
            <c:strRef>
              <c:f>{"基本支出","项目支出","上缴上级支出","经营支出","对附属单位补助支出"}</c:f>
              <c:strCache>
                <c:ptCount val="5"/>
                <c:pt idx="0">
                  <c:v>基本支出</c:v>
                </c:pt>
                <c:pt idx="1">
                  <c:v>项目支出</c:v>
                </c:pt>
                <c:pt idx="2">
                  <c:v>上缴上级支出</c:v>
                </c:pt>
                <c:pt idx="3">
                  <c:v>经营支出</c:v>
                </c:pt>
                <c:pt idx="4">
                  <c:v>对附属单位补助支出</c:v>
                </c:pt>
              </c:strCache>
            </c:strRef>
          </c:cat>
          <c:val>
            <c:numRef>
              <c:f>{2700252.91,14359587.58,0,0,0}</c:f>
              <c:numCache>
                <c:formatCode>General</c:formatCode>
                <c:ptCount val="5"/>
                <c:pt idx="0">
                  <c:v>2700252.91</c:v>
                </c:pt>
                <c:pt idx="1">
                  <c:v>14359587.58</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600" b="1" i="0" u="none" strike="noStrike" kern="1200" baseline="0">
                <a:solidFill>
                  <a:srgbClr val="1F497D"/>
                </a:solidFill>
                <a:latin typeface="Times New Roman" panose="02020603050405020304"/>
                <a:ea typeface="宋体" panose="02010600030101010101" charset="-122"/>
                <a:cs typeface="Arial" panose="020B0604020202020204" pitchFamily="2"/>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1"/>
          <c:order val="0"/>
          <c:tx>
            <c:strRef>
              <c:f>收入</c:f>
              <c:strCache>
                <c:ptCount val="1"/>
                <c:pt idx="0">
                  <c:v>收入</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{2020,2021}</c:f>
              <c:numCache>
                <c:formatCode>General</c:formatCode>
                <c:ptCount val="2"/>
                <c:pt idx="0">
                  <c:v>2020</c:v>
                </c:pt>
                <c:pt idx="1">
                  <c:v>2021</c:v>
                </c:pt>
              </c:numCache>
            </c:numRef>
          </c:cat>
          <c:val>
            <c:numRef>
              <c:f>{1349.42,1705.98}</c:f>
              <c:numCache>
                <c:formatCode>General</c:formatCode>
                <c:ptCount val="2"/>
                <c:pt idx="0">
                  <c:v>1349.42</c:v>
                </c:pt>
                <c:pt idx="1">
                  <c:v>1705.98</c:v>
                </c:pt>
              </c:numCache>
            </c:numRef>
          </c:val>
        </c:ser>
        <c:ser>
          <c:idx val="2"/>
          <c:order val="1"/>
          <c:tx>
            <c:strRef>
              <c:f>支出</c:f>
              <c:strCache>
                <c:ptCount val="1"/>
                <c:pt idx="0">
                  <c:v>支出</c:v>
                </c:pt>
              </c:strCache>
            </c:strRef>
          </c:tx>
          <c:spPr>
            <a:solidFill>
              <a:srgbClr val="9BBB59"/>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{2020,2021}</c:f>
              <c:numCache>
                <c:formatCode>General</c:formatCode>
                <c:ptCount val="2"/>
                <c:pt idx="0">
                  <c:v>2020</c:v>
                </c:pt>
                <c:pt idx="1">
                  <c:v>2021</c:v>
                </c:pt>
              </c:numCache>
            </c:numRef>
          </c:cat>
          <c:val>
            <c:numRef>
              <c:f>{1349.42,1705.98}</c:f>
              <c:numCache>
                <c:formatCode>General</c:formatCode>
                <c:ptCount val="2"/>
                <c:pt idx="0">
                  <c:v>1349.42</c:v>
                </c:pt>
                <c:pt idx="1">
                  <c:v>1705.98</c:v>
                </c:pt>
              </c:numCache>
            </c:numRef>
          </c:val>
        </c:ser>
        <c:dLbls>
          <c:showLegendKey val="0"/>
          <c:showVal val="1"/>
          <c:showCatName val="0"/>
          <c:showSerName val="0"/>
          <c:showPercent val="0"/>
          <c:showBubbleSize val="0"/>
        </c:dLbls>
        <c:gapWidth val="100"/>
        <c:overlap val="-24"/>
        <c:axId val="0"/>
        <c:axId val="1"/>
      </c:barChart>
      <c:catAx>
        <c:axId val="0"/>
        <c:scaling>
          <c:orientation val="minMax"/>
        </c:scaling>
        <c:delete val="0"/>
        <c:axPos val="b"/>
        <c:title>
          <c:tx>
            <c:rich>
              <a:bodyPr rot="0" spcFirstLastPara="0" vertOverflow="ellipsis" vert="horz" wrap="square" anchor="t" anchorCtr="0"/>
              <a:lstStyle/>
              <a:p>
                <a:pPr>
                  <a:defRPr lang="zh-CN" sz="10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单位：万元</a:t>
                </a:r>
                <a:endParaRPr lang="zh-CN"/>
              </a:p>
            </c:rich>
          </c:tx>
          <c:layout/>
          <c:overlay val="0"/>
          <c:spPr>
            <a:ln>
              <a:noFill/>
            </a:ln>
          </c:spPr>
        </c:title>
        <c:numFmt formatCode="General" sourceLinked="0"/>
        <c:majorTickMark val="none"/>
        <c:minorTickMark val="none"/>
        <c:tickLblPos val="nextTo"/>
        <c:spPr>
          <a:ln w="6350" cap="flat" cmpd="sng" algn="ctr">
            <a:solidFill>
              <a:srgbClr val="D4E3F4"/>
            </a:solidFill>
            <a:prstDash val="solid"/>
            <a:round/>
          </a:ln>
        </c:spPr>
        <c:txPr>
          <a:bodyPr rot="-60000000" spcFirstLastPara="0" vertOverflow="ellipsis" vert="horz" wrap="square" anchor="ctr" anchorCtr="1"/>
          <a:lstStyle/>
          <a:p>
            <a:pPr>
              <a:defRPr lang="zh-CN" sz="900" b="0" i="0" u="none" strike="noStrike" kern="1200" baseline="0">
                <a:solidFill>
                  <a:srgbClr val="1F497D"/>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4E3F4"/>
              </a:solidFill>
              <a:prstDash val="solid"/>
              <a:round/>
            </a:ln>
          </c:spPr>
        </c:majorGridlines>
        <c:title>
          <c:tx>
            <c:rich>
              <a:bodyPr rot="0" spcFirstLastPara="0" vertOverflow="ellipsis" vert="horz" wrap="square" anchor="t" anchorCtr="0"/>
              <a:lstStyle/>
              <a:p>
                <a:pPr>
                  <a:defRPr lang="zh-CN" sz="10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 </a:t>
                </a:r>
                <a:endParaRPr lang="zh-CN"/>
              </a:p>
            </c:rich>
          </c:tx>
          <c:layout/>
          <c:overlay val="0"/>
          <c:spPr>
            <a:ln>
              <a:noFill/>
            </a:ln>
          </c:spPr>
        </c:title>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1F497D"/>
                </a:solidFill>
                <a:latin typeface="Times New Roman" panose="02020603050405020304"/>
                <a:ea typeface="宋体" panose="02010600030101010101" charset="-122"/>
                <a:cs typeface="Arial" panose="020B0604020202020204" pitchFamily="2"/>
              </a:defRPr>
            </a:pPr>
          </a:p>
        </c:txPr>
        <c:crossAx val="0"/>
        <c:crossesAt val="1"/>
        <c:crossBetween val="between"/>
      </c:valAx>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1F497D"/>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solidFill>
      <a:srgbClr val="FFFFFF"/>
    </a:solidFill>
    <a:ln w="6350" cap="flat" cmpd="sng" algn="ctr">
      <a:solidFill>
        <a:srgbClr val="D4E3F4"/>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00" b="1" i="0" u="none" strike="noStrike" kern="1200" baseline="0">
                <a:solidFill>
                  <a:srgbClr val="595959"/>
                </a:solidFill>
                <a:latin typeface="Times New Roman" panose="02020603050405020304"/>
                <a:ea typeface="宋体" panose="02010600030101010101" charset="-122"/>
                <a:cs typeface="Arial" panose="020B0604020202020204" pitchFamily="2"/>
              </a:defRPr>
            </a:pPr>
            <a:r>
              <a:rPr lang="zh-CN"/>
              <a:t>一般公共预算财政拨款支出</a:t>
            </a:r>
            <a:endParaRPr lang="zh-CN"/>
          </a:p>
        </c:rich>
      </c:tx>
      <c:layout/>
      <c:overlay val="0"/>
      <c:spPr>
        <a:noFill/>
        <a:ln>
          <a:noFill/>
        </a:ln>
      </c:spPr>
    </c:title>
    <c:autoTitleDeleted val="0"/>
    <c:plotArea>
      <c:layout>
        <c:manualLayout>
          <c:layoutTarget val="inner"/>
          <c:xMode val="edge"/>
          <c:yMode val="edge"/>
          <c:x val="0.07363331"/>
          <c:y val="0.19958287"/>
          <c:w val="0.76762366"/>
          <c:h val="0.7085065"/>
        </c:manualLayout>
      </c:layout>
      <c:barChart>
        <c:barDir val="col"/>
        <c:grouping val="clustered"/>
        <c:varyColors val="0"/>
        <c:ser>
          <c:idx val="1"/>
          <c:order val="0"/>
          <c:tx>
            <c:strRef>
              <c:f>2020</c:f>
              <c:strCache>
                <c:ptCount val="1"/>
                <c:pt idx="0">
                  <c:v>2020</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{572.67}</c:f>
              <c:numCache>
                <c:formatCode>General</c:formatCode>
                <c:ptCount val="1"/>
                <c:pt idx="0">
                  <c:v>572.67</c:v>
                </c:pt>
              </c:numCache>
            </c:numRef>
          </c:val>
        </c:ser>
        <c:ser>
          <c:idx val="2"/>
          <c:order val="1"/>
          <c:tx>
            <c:strRef>
              <c:f>2021</c:f>
              <c:strCache>
                <c:ptCount val="1"/>
                <c:pt idx="0">
                  <c:v>2021</c:v>
                </c:pt>
              </c:strCache>
            </c:strRef>
          </c:tx>
          <c:spPr>
            <a:solidFill>
              <a:srgbClr val="9BBB59"/>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{1705.98}</c:f>
              <c:numCache>
                <c:formatCode>General</c:formatCode>
                <c:ptCount val="1"/>
                <c:pt idx="0">
                  <c:v>1705.98</c:v>
                </c:pt>
              </c:numCache>
            </c:numRef>
          </c:val>
        </c:ser>
        <c:dLbls>
          <c:showLegendKey val="0"/>
          <c:showVal val="1"/>
          <c:showCatName val="0"/>
          <c:showSerName val="0"/>
          <c:showPercent val="0"/>
          <c:showBubbleSize val="0"/>
        </c:dLbls>
        <c:gapWidth val="100"/>
        <c:overlap val="-24"/>
        <c:axId val="0"/>
        <c:axId val="1"/>
      </c:barChart>
      <c:catAx>
        <c:axId val="0"/>
        <c:scaling>
          <c:orientation val="minMax"/>
        </c:scaling>
        <c:delete val="1"/>
        <c:axPos val="b"/>
        <c:title>
          <c:tx>
            <c:rich>
              <a:bodyPr rot="0" spcFirstLastPara="0" vertOverflow="ellipsis" vert="horz" wrap="square" anchor="t" anchorCtr="0"/>
              <a:lstStyle/>
              <a:p>
                <a:pPr>
                  <a:defRPr lang="zh-CN" sz="10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单位：万元</a:t>
                </a:r>
                <a:endParaRPr lang="zh-CN"/>
              </a:p>
            </c:rich>
          </c:tx>
          <c:layout/>
          <c:overlay val="0"/>
          <c:spPr>
            <a:ln>
              <a:noFill/>
            </a:ln>
          </c:spPr>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title>
          <c:tx>
            <c:rich>
              <a:bodyPr rot="0" spcFirstLastPara="0" vertOverflow="ellipsis" vert="horz" wrap="square" anchor="t" anchorCtr="0"/>
              <a:lstStyle/>
              <a:p>
                <a:pPr>
                  <a:defRPr lang="zh-CN" sz="10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 </a:t>
                </a:r>
                <a:endParaRPr lang="zh-CN"/>
              </a:p>
            </c:rich>
          </c:tx>
          <c:layout/>
          <c:overlay val="0"/>
          <c:spPr>
            <a:ln>
              <a:noFill/>
            </a:ln>
          </c:spPr>
        </c:title>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0"/>
        <c:crossesAt val="1"/>
        <c:crossBetween val="between"/>
      </c:valAx>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一般公共预算财政拨款支出</a:t>
            </a:r>
            <a:endParaRPr lang="zh-CN"/>
          </a:p>
        </c:rich>
      </c:tx>
      <c:layout/>
      <c:overlay val="0"/>
      <c:spPr>
        <a:ln>
          <a:noFill/>
        </a:ln>
      </c:spPr>
    </c:title>
    <c:autoTitleDeleted val="0"/>
    <c:plotArea>
      <c:layout/>
      <c:pieChart>
        <c:varyColors val="1"/>
        <c:ser>
          <c:idx val="1"/>
          <c:order val="0"/>
          <c:spPr>
            <a:ln>
              <a:noFill/>
            </a:ln>
          </c:spPr>
          <c:explosion val="0"/>
          <c:dPt>
            <c:idx val="0"/>
            <c:bubble3D val="0"/>
            <c:spPr>
              <a:solidFill>
                <a:srgbClr val="4572A7"/>
              </a:solidFill>
            </c:spPr>
          </c:dPt>
          <c:dPt>
            <c:idx val="1"/>
            <c:bubble3D val="0"/>
            <c:spPr>
              <a:solidFill>
                <a:srgbClr val="AA4643"/>
              </a:solidFill>
            </c:spPr>
          </c:dPt>
          <c:dPt>
            <c:idx val="2"/>
            <c:bubble3D val="0"/>
            <c:spPr>
              <a:solidFill>
                <a:srgbClr val="89A54E"/>
              </a:solidFill>
            </c:spPr>
          </c:dPt>
          <c:dPt>
            <c:idx val="3"/>
            <c:bubble3D val="0"/>
            <c:spPr>
              <a:solidFill>
                <a:srgbClr val="71588F"/>
              </a:solidFill>
            </c:spPr>
          </c:dPt>
          <c:dPt>
            <c:idx val="4"/>
            <c:bubble3D val="0"/>
            <c:spPr>
              <a:solidFill>
                <a:srgbClr val="4198AF"/>
              </a:solidFill>
            </c:spPr>
          </c:dPt>
          <c:dPt>
            <c:idx val="5"/>
            <c:bubble3D val="0"/>
            <c:spPr>
              <a:solidFill>
                <a:srgbClr val="DB843D"/>
              </a:solidFill>
            </c:spPr>
          </c:dPt>
          <c:dPt>
            <c:idx val="6"/>
            <c:bubble3D val="0"/>
            <c:spPr>
              <a:solidFill>
                <a:srgbClr val="93A9CF"/>
              </a:solidFill>
            </c:spPr>
          </c:dPt>
          <c:dPt>
            <c:idx val="7"/>
            <c:bubble3D val="0"/>
            <c:spPr>
              <a:solidFill>
                <a:srgbClr val="D19392"/>
              </a:solidFill>
            </c:spPr>
          </c:dPt>
          <c:dLbls>
            <c:dLbl>
              <c:idx val="4"/>
              <c:layout>
                <c:manualLayout>
                  <c:x val="0.0346583369134581"/>
                  <c:y val="-0.059265093870353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0206997371244961"/>
                  <c:y val="0.0050597263654078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0369964758551513"/>
                  <c:y val="0.0050724949270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{"一般公共服务支出","教育支出","文化旅游体育与传媒支出","社会保障和就业支出","卫生健康支出","农林水支出","住房保障支出","其他支出"}</c:f>
              <c:strCache>
                <c:ptCount val="8"/>
                <c:pt idx="0">
                  <c:v>一般公共服务支出</c:v>
                </c:pt>
                <c:pt idx="1">
                  <c:v>教育支出</c:v>
                </c:pt>
                <c:pt idx="2">
                  <c:v>文化旅游体育与传媒支出</c:v>
                </c:pt>
                <c:pt idx="3">
                  <c:v>社会保障和就业支出</c:v>
                </c:pt>
                <c:pt idx="4">
                  <c:v>卫生健康支出</c:v>
                </c:pt>
                <c:pt idx="5">
                  <c:v>农林水支出</c:v>
                </c:pt>
                <c:pt idx="6">
                  <c:v>住房保障支出</c:v>
                </c:pt>
                <c:pt idx="7">
                  <c:v>其他支出</c:v>
                </c:pt>
              </c:strCache>
            </c:strRef>
          </c:cat>
          <c:val>
            <c:numRef>
              <c:f>{426.65,71.93,198.94,26.3,11.18,933.54,17.45,20}</c:f>
              <c:numCache>
                <c:formatCode>General</c:formatCode>
                <c:ptCount val="8"/>
                <c:pt idx="0">
                  <c:v>426.65</c:v>
                </c:pt>
                <c:pt idx="1">
                  <c:v>71.93</c:v>
                </c:pt>
                <c:pt idx="2">
                  <c:v>198.94</c:v>
                </c:pt>
                <c:pt idx="3">
                  <c:v>26.3</c:v>
                </c:pt>
                <c:pt idx="4">
                  <c:v>11.18</c:v>
                </c:pt>
                <c:pt idx="5">
                  <c:v>933.54</c:v>
                </c:pt>
                <c:pt idx="6">
                  <c:v>17.45</c:v>
                </c:pt>
                <c:pt idx="7">
                  <c:v>20</c:v>
                </c:pt>
              </c:numCache>
            </c:numRef>
          </c:val>
        </c:ser>
        <c:dLbls>
          <c:showLegendKey val="0"/>
          <c:showVal val="1"/>
          <c:showCatName val="0"/>
          <c:showSerName val="0"/>
          <c:showPercent val="0"/>
          <c:showBubbleSize val="0"/>
          <c:showLeaderLines val="1"/>
        </c:dLbls>
        <c:firstSliceAng val="0"/>
      </c:pieChart>
      <c:spPr>
        <a:no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legend>
    <c:plotVisOnly val="1"/>
    <c:dispBlanksAs val="zero"/>
    <c:showDLblsOverMax val="0"/>
  </c:chart>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a:t>三公经费</a:t>
            </a:r>
            <a:endParaRPr lang="zh-CN"/>
          </a:p>
        </c:rich>
      </c:tx>
      <c:layout/>
      <c:overlay val="0"/>
      <c:spPr>
        <a:ln>
          <a:noFill/>
        </a:ln>
      </c:spPr>
    </c:title>
    <c:autoTitleDeleted val="0"/>
    <c:plotArea>
      <c:layout/>
      <c:pieChart>
        <c:varyColors val="1"/>
        <c:ser>
          <c:idx val="1"/>
          <c:order val="0"/>
          <c:spPr>
            <a:ln>
              <a:noFill/>
            </a:ln>
          </c:spPr>
          <c:explosion val="0"/>
          <c:dPt>
            <c:idx val="0"/>
            <c:bubble3D val="0"/>
            <c:spPr>
              <a:solidFill>
                <a:srgbClr val="4F81BD"/>
              </a:solidFill>
            </c:spPr>
          </c:dPt>
          <c:dPt>
            <c:idx val="1"/>
            <c:bubble3D val="0"/>
            <c:spPr>
              <a:solidFill>
                <a:srgbClr val="C0504D"/>
              </a:solidFill>
            </c:spPr>
          </c:dPt>
          <c:dPt>
            <c:idx val="2"/>
            <c:bubble3D val="0"/>
            <c:spPr>
              <a:solidFill>
                <a:srgbClr val="9BBB59"/>
              </a:solidFill>
            </c:spPr>
          </c:dPt>
          <c:dLbls>
            <c:dLbl>
              <c:idx val="0"/>
              <c:layout>
                <c:manualLayout>
                  <c:x val="0.00659437280187573"/>
                  <c:y val="0.019801980198019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475508220893829"/>
                  <c:y val="0.011643071000828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{0,4,0.21}</c:f>
              <c:numCache>
                <c:formatCode>General</c:formatCode>
                <c:ptCount val="3"/>
                <c:pt idx="0">
                  <c:v>0</c:v>
                </c:pt>
                <c:pt idx="1">
                  <c:v>4</c:v>
                </c:pt>
                <c:pt idx="2">
                  <c:v>0.21</c:v>
                </c:pt>
              </c:numCache>
            </c:numRef>
          </c:val>
        </c:ser>
        <c:dLbls>
          <c:showLegendKey val="0"/>
          <c:showVal val="1"/>
          <c:showCatName val="0"/>
          <c:showSerName val="0"/>
          <c:showPercent val="0"/>
          <c:showBubbleSize val="0"/>
          <c:showLeaderLines val="1"/>
        </c:dLbls>
        <c:firstSliceAng val="0"/>
      </c:pieChart>
      <c:spPr>
        <a:no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legend>
    <c:plotVisOnly val="1"/>
    <c:dispBlanksAs val="zero"/>
    <c:showDLblsOverMax val="0"/>
  </c:chart>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41</Pages>
  <Words>14094</Words>
  <Characters>15438</Characters>
  <Lines>1027</Lines>
  <Paragraphs>294</Paragraphs>
  <TotalTime>1</TotalTime>
  <ScaleCrop>false</ScaleCrop>
  <LinksUpToDate>false</LinksUpToDate>
  <CharactersWithSpaces>15533</CharactersWithSpaces>
  <Application>WPS Office_11.1.0.12358_F1E327BC-269C-435d-A152-05C5408002CA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2022-08-17T01:31:00Z</dcterms:created>
  <dc:creator>lgk</dc:creator>
  <cp:lastModifiedBy>pc</cp:lastModifiedBy>
  <cp:lastPrinted>2022-09-29T07:49:00Z</cp:lastPrinted>
  <dcterms:modified xsi:type="dcterms:W3CDTF">2022-09-29T08:56:21Z</dcterms:modified>
  <dc:title>四川省决算编制说明</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B93CA6F4BEAD4F359769D1203595D585</vt:lpwstr>
  </property>
</Properties>
</file>