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both"/>
        <w:rPr>
          <w:rFonts w:hint="default" w:ascii="方正小标宋简体" w:hAnsi="宋体" w:eastAsia="方正小标宋简体" w:cs="Times New Roman"/>
          <w:color w:val="auto"/>
          <w:kern w:val="2"/>
          <w:sz w:val="44"/>
          <w:szCs w:val="44"/>
          <w:highlight w:val="none"/>
          <w:lang w:val="en-US" w:eastAsia="zh-CN" w:bidi="ar-SA"/>
        </w:rPr>
      </w:pPr>
    </w:p>
    <w:p>
      <w:pPr>
        <w:pStyle w:val="6"/>
        <w:jc w:val="center"/>
        <w:rPr>
          <w:rFonts w:hint="eastAsia" w:ascii="方正小标宋简体" w:hAnsi="宋体" w:eastAsia="方正小标宋简体" w:cs="Times New Roman"/>
          <w:color w:val="auto"/>
          <w:kern w:val="2"/>
          <w:sz w:val="44"/>
          <w:szCs w:val="44"/>
          <w:highlight w:val="none"/>
          <w:lang w:val="en-US" w:eastAsia="zh-CN" w:bidi="ar-SA"/>
        </w:rPr>
      </w:pPr>
    </w:p>
    <w:p>
      <w:pPr>
        <w:pStyle w:val="6"/>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w:t>
      </w:r>
      <w:bookmarkStart w:id="0" w:name="_Toc15396598"/>
      <w:bookmarkStart w:id="1" w:name="_Toc15377426"/>
      <w:bookmarkStart w:id="2" w:name="_Toc15396476"/>
      <w:bookmarkStart w:id="3" w:name="_Toc15377194"/>
      <w:bookmarkStart w:id="4" w:name="_Toc15378442"/>
      <w:r>
        <w:rPr>
          <w:rFonts w:hint="eastAsia" w:ascii="方正小标宋简体" w:hAnsi="宋体" w:eastAsia="方正小标宋简体" w:cs="Times New Roman"/>
          <w:color w:val="auto"/>
          <w:kern w:val="2"/>
          <w:sz w:val="44"/>
          <w:szCs w:val="44"/>
          <w:highlight w:val="none"/>
          <w:lang w:val="en-US" w:eastAsia="zh-CN" w:bidi="ar-SA"/>
        </w:rPr>
        <w:t>四川省阿坝州茂县</w:t>
      </w:r>
      <w:bookmarkStart w:id="5" w:name="_Toc15306268"/>
      <w:r>
        <w:rPr>
          <w:rFonts w:hint="eastAsia" w:ascii="方正小标宋简体" w:hAnsi="宋体" w:eastAsia="方正小标宋简体" w:cs="Times New Roman"/>
          <w:color w:val="auto"/>
          <w:kern w:val="2"/>
          <w:sz w:val="44"/>
          <w:szCs w:val="44"/>
          <w:highlight w:val="none"/>
          <w:lang w:val="en-US" w:eastAsia="zh-CN" w:bidi="ar-SA"/>
        </w:rPr>
        <w:t>公安局</w:t>
      </w:r>
    </w:p>
    <w:p>
      <w:pPr>
        <w:pStyle w:val="6"/>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部门决算</w:t>
      </w:r>
      <w:bookmarkEnd w:id="0"/>
      <w:bookmarkEnd w:id="1"/>
      <w:bookmarkEnd w:id="2"/>
      <w:bookmarkEnd w:id="3"/>
      <w:bookmarkEnd w:id="4"/>
      <w:bookmarkEnd w:id="5"/>
    </w:p>
    <w:p>
      <w:pPr>
        <w:widowControl/>
        <w:jc w:val="center"/>
        <w:rPr>
          <w:rFonts w:hint="eastAsia" w:ascii="黑体" w:hAnsi="黑体" w:eastAsia="黑体"/>
          <w:color w:val="auto"/>
          <w:sz w:val="48"/>
          <w:szCs w:val="48"/>
          <w:highlight w:val="none"/>
        </w:rPr>
      </w:pPr>
      <w:bookmarkStart w:id="90" w:name="_GoBack"/>
      <w:bookmarkEnd w:id="90"/>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pStyle w:val="11"/>
        <w:jc w:val="center"/>
      </w:pPr>
      <w:r>
        <w:rPr>
          <w:rFonts w:hint="eastAsia" w:cs="Times New Roman"/>
          <w:b w:val="0"/>
          <w:bCs w:val="0"/>
          <w:sz w:val="24"/>
          <w:szCs w:val="24"/>
          <w:lang w:bidi="ar-SA"/>
        </w:rPr>
        <w:t>公开时间：202</w:t>
      </w:r>
      <w:r>
        <w:rPr>
          <w:rFonts w:hint="eastAsia" w:cs="Times New Roman"/>
          <w:b w:val="0"/>
          <w:bCs w:val="0"/>
          <w:sz w:val="24"/>
          <w:szCs w:val="24"/>
          <w:lang w:val="en-US" w:eastAsia="zh-CN" w:bidi="ar-SA"/>
        </w:rPr>
        <w:t>5</w:t>
      </w:r>
      <w:r>
        <w:rPr>
          <w:rFonts w:hint="eastAsia" w:cs="Times New Roman"/>
          <w:b w:val="0"/>
          <w:bCs w:val="0"/>
          <w:sz w:val="24"/>
          <w:szCs w:val="24"/>
          <w:lang w:bidi="ar-SA"/>
        </w:rPr>
        <w:t>年</w:t>
      </w:r>
      <w:r>
        <w:rPr>
          <w:rFonts w:hint="eastAsia" w:cs="Times New Roman"/>
          <w:b w:val="0"/>
          <w:bCs w:val="0"/>
          <w:sz w:val="24"/>
          <w:szCs w:val="24"/>
          <w:lang w:val="en-US" w:eastAsia="zh-CN" w:bidi="ar-SA"/>
        </w:rPr>
        <w:t>9</w:t>
      </w:r>
      <w:r>
        <w:rPr>
          <w:rFonts w:hint="eastAsia" w:cs="Times New Roman"/>
          <w:b w:val="0"/>
          <w:bCs w:val="0"/>
          <w:sz w:val="24"/>
          <w:szCs w:val="24"/>
          <w:lang w:bidi="ar-SA"/>
        </w:rPr>
        <w:t>月</w:t>
      </w:r>
      <w:r>
        <w:rPr>
          <w:rFonts w:hint="eastAsia" w:cs="Times New Roman"/>
          <w:b w:val="0"/>
          <w:bCs w:val="0"/>
          <w:sz w:val="24"/>
          <w:szCs w:val="24"/>
          <w:lang w:val="en-US" w:eastAsia="zh-CN" w:bidi="ar-SA"/>
        </w:rPr>
        <w:t>25</w:t>
      </w:r>
      <w:r>
        <w:rPr>
          <w:rFonts w:hint="eastAsia" w:cs="Times New Roman"/>
          <w:b w:val="0"/>
          <w:bCs w:val="0"/>
          <w:sz w:val="24"/>
          <w:szCs w:val="24"/>
          <w:lang w:bidi="ar-SA"/>
        </w:rPr>
        <w:t>日</w:t>
      </w:r>
    </w:p>
    <w:p>
      <w:pPr>
        <w:pStyle w:val="27"/>
        <w:tabs>
          <w:tab w:val="right" w:leader="dot" w:pos="8306"/>
        </w:tabs>
        <w:rPr>
          <w:b/>
        </w:rPr>
      </w:pPr>
      <w:r>
        <w:fldChar w:fldCharType="begin"/>
      </w:r>
      <w:r>
        <w:instrText xml:space="preserve">TOC \o "1-2" \h \u </w:instrText>
      </w:r>
      <w:r>
        <w:fldChar w:fldCharType="separate"/>
      </w:r>
    </w:p>
    <w:p>
      <w:pPr>
        <w:pStyle w:val="27"/>
        <w:tabs>
          <w:tab w:val="right" w:leader="dot" w:pos="8306"/>
        </w:tabs>
        <w:rPr>
          <w:b/>
        </w:rPr>
      </w:pPr>
      <w:r>
        <w:rPr>
          <w:b/>
        </w:rPr>
        <w:fldChar w:fldCharType="begin"/>
      </w:r>
      <w:r>
        <w:rPr>
          <w:b/>
        </w:rPr>
        <w:instrText xml:space="preserve"> HYPERLINK \l _Toc8954 </w:instrText>
      </w:r>
      <w:r>
        <w:rPr>
          <w:b/>
        </w:rPr>
        <w:fldChar w:fldCharType="separate"/>
      </w:r>
      <w:r>
        <w:rPr>
          <w:rFonts w:hint="eastAsia" w:ascii="黑体" w:hAnsi="黑体" w:eastAsia="黑体"/>
          <w:b/>
          <w:highlight w:val="none"/>
        </w:rPr>
        <w:t xml:space="preserve">第一部分 </w:t>
      </w:r>
      <w:r>
        <w:rPr>
          <w:rFonts w:hint="eastAsia" w:ascii="黑体" w:hAnsi="黑体" w:eastAsia="黑体"/>
          <w:b/>
          <w:bCs w:val="0"/>
          <w:highlight w:val="none"/>
        </w:rPr>
        <w:t>部门概况</w:t>
      </w:r>
      <w:r>
        <w:rPr>
          <w:b/>
        </w:rPr>
        <w:tab/>
      </w:r>
      <w:r>
        <w:rPr>
          <w:b/>
        </w:rPr>
        <w:fldChar w:fldCharType="begin"/>
      </w:r>
      <w:r>
        <w:rPr>
          <w:b/>
        </w:rPr>
        <w:instrText xml:space="preserve"> PAGEREF _Toc8954 \h </w:instrText>
      </w:r>
      <w:r>
        <w:rPr>
          <w:b/>
        </w:rPr>
        <w:fldChar w:fldCharType="separate"/>
      </w:r>
      <w:r>
        <w:rPr>
          <w:b/>
        </w:rPr>
        <w:t>3</w:t>
      </w:r>
      <w:r>
        <w:rPr>
          <w:b/>
        </w:rPr>
        <w:fldChar w:fldCharType="end"/>
      </w:r>
      <w:r>
        <w:rPr>
          <w:b/>
        </w:rPr>
        <w:fldChar w:fldCharType="end"/>
      </w:r>
    </w:p>
    <w:p>
      <w:pPr>
        <w:pStyle w:val="28"/>
        <w:tabs>
          <w:tab w:val="right" w:leader="dot" w:pos="8306"/>
        </w:tabs>
        <w:rPr>
          <w:rFonts w:hint="eastAsia" w:eastAsia="宋体"/>
          <w:lang w:val="en-US" w:eastAsia="zh-CN"/>
        </w:rPr>
      </w:pPr>
      <w:r>
        <w:fldChar w:fldCharType="begin"/>
      </w:r>
      <w:r>
        <w:instrText xml:space="preserve"> HYPERLINK \l _Toc26285 </w:instrText>
      </w:r>
      <w:r>
        <w:fldChar w:fldCharType="separate"/>
      </w:r>
      <w:r>
        <w:rPr>
          <w:rFonts w:hint="eastAsia" w:ascii="黑体" w:hAnsi="黑体" w:eastAsia="黑体"/>
          <w:highlight w:val="none"/>
        </w:rPr>
        <w:t>一、</w:t>
      </w:r>
      <w:r>
        <w:rPr>
          <w:rFonts w:hint="eastAsia" w:ascii="黑体" w:hAnsi="黑体" w:eastAsia="黑体"/>
          <w:highlight w:val="none"/>
          <w:lang w:eastAsia="zh-CN"/>
        </w:rPr>
        <w:t>部门职责</w:t>
      </w:r>
      <w:r>
        <w:tab/>
      </w:r>
      <w:r>
        <w:fldChar w:fldCharType="end"/>
      </w:r>
      <w:r>
        <w:rPr>
          <w:rFonts w:hint="eastAsia"/>
          <w:lang w:val="en-US" w:eastAsia="zh-CN"/>
        </w:rPr>
        <w:t>3</w:t>
      </w:r>
    </w:p>
    <w:p>
      <w:pPr>
        <w:pStyle w:val="28"/>
        <w:tabs>
          <w:tab w:val="right" w:leader="dot" w:pos="8306"/>
        </w:tabs>
      </w:pPr>
      <w:r>
        <w:fldChar w:fldCharType="begin"/>
      </w:r>
      <w:r>
        <w:instrText xml:space="preserve"> HYPERLINK \l _Toc31585 </w:instrText>
      </w:r>
      <w:r>
        <w:fldChar w:fldCharType="separate"/>
      </w:r>
      <w:r>
        <w:rPr>
          <w:rFonts w:hint="eastAsia" w:ascii="黑体" w:eastAsia="黑体"/>
          <w:highlight w:val="none"/>
        </w:rPr>
        <w:t>二、</w:t>
      </w:r>
      <w:r>
        <w:rPr>
          <w:rFonts w:hint="eastAsia" w:ascii="黑体" w:hAnsi="黑体" w:eastAsia="黑体"/>
          <w:highlight w:val="none"/>
        </w:rPr>
        <w:t>机</w:t>
      </w:r>
      <w:r>
        <w:rPr>
          <w:rFonts w:hint="eastAsia" w:ascii="黑体" w:hAnsi="黑体" w:eastAsia="黑体"/>
          <w:bCs w:val="0"/>
          <w:highlight w:val="none"/>
        </w:rPr>
        <w:t>构设置</w:t>
      </w:r>
      <w:r>
        <w:tab/>
      </w:r>
      <w:r>
        <w:fldChar w:fldCharType="begin"/>
      </w:r>
      <w:r>
        <w:instrText xml:space="preserve"> PAGEREF _Toc31585 \h </w:instrText>
      </w:r>
      <w:r>
        <w:fldChar w:fldCharType="separate"/>
      </w:r>
      <w:r>
        <w:t>4</w:t>
      </w:r>
      <w:r>
        <w:fldChar w:fldCharType="end"/>
      </w:r>
      <w:r>
        <w:fldChar w:fldCharType="end"/>
      </w:r>
    </w:p>
    <w:p>
      <w:pPr>
        <w:pStyle w:val="27"/>
        <w:tabs>
          <w:tab w:val="right" w:leader="dot" w:pos="8306"/>
        </w:tabs>
        <w:rPr>
          <w:b/>
        </w:rPr>
      </w:pPr>
      <w:r>
        <w:rPr>
          <w:b/>
        </w:rPr>
        <w:fldChar w:fldCharType="begin"/>
      </w:r>
      <w:r>
        <w:rPr>
          <w:b/>
        </w:rPr>
        <w:instrText xml:space="preserve"> HYPERLINK \l _Toc19280 </w:instrText>
      </w:r>
      <w:r>
        <w:rPr>
          <w:b/>
        </w:rPr>
        <w:fldChar w:fldCharType="separate"/>
      </w:r>
      <w:r>
        <w:rPr>
          <w:rFonts w:hint="eastAsia" w:ascii="黑体" w:hAnsi="黑体" w:eastAsia="黑体"/>
          <w:b/>
          <w:bCs/>
          <w:highlight w:val="none"/>
        </w:rPr>
        <w:t xml:space="preserve">第二部分 </w:t>
      </w:r>
      <w:r>
        <w:rPr>
          <w:rFonts w:hint="eastAsia" w:ascii="黑体" w:hAnsi="黑体" w:eastAsia="黑体"/>
          <w:b/>
          <w:bCs/>
          <w:highlight w:val="none"/>
          <w:lang w:val="en-US" w:eastAsia="zh-CN"/>
        </w:rPr>
        <w:t>2024年度</w:t>
      </w:r>
      <w:r>
        <w:rPr>
          <w:rFonts w:hint="eastAsia" w:ascii="黑体" w:hAnsi="黑体" w:eastAsia="黑体"/>
          <w:b/>
          <w:bCs/>
          <w:highlight w:val="none"/>
        </w:rPr>
        <w:t>部门决算情况说明</w:t>
      </w:r>
      <w:r>
        <w:rPr>
          <w:b/>
        </w:rPr>
        <w:tab/>
      </w:r>
      <w:r>
        <w:rPr>
          <w:b/>
        </w:rPr>
        <w:fldChar w:fldCharType="begin"/>
      </w:r>
      <w:r>
        <w:rPr>
          <w:b/>
        </w:rPr>
        <w:instrText xml:space="preserve"> PAGEREF _Toc19280 \h </w:instrText>
      </w:r>
      <w:r>
        <w:rPr>
          <w:b/>
        </w:rPr>
        <w:fldChar w:fldCharType="separate"/>
      </w:r>
      <w:r>
        <w:rPr>
          <w:b/>
        </w:rPr>
        <w:t>5</w:t>
      </w:r>
      <w:r>
        <w:rPr>
          <w:b/>
        </w:rPr>
        <w:fldChar w:fldCharType="end"/>
      </w:r>
      <w:r>
        <w:rPr>
          <w:b/>
        </w:rPr>
        <w:fldChar w:fldCharType="end"/>
      </w:r>
    </w:p>
    <w:p>
      <w:pPr>
        <w:pStyle w:val="28"/>
        <w:tabs>
          <w:tab w:val="right" w:leader="dot" w:pos="8306"/>
        </w:tabs>
      </w:pPr>
      <w:r>
        <w:fldChar w:fldCharType="begin"/>
      </w:r>
      <w:r>
        <w:instrText xml:space="preserve"> HYPERLINK \l _Toc26900 </w:instrText>
      </w:r>
      <w:r>
        <w:fldChar w:fldCharType="separate"/>
      </w:r>
      <w:r>
        <w:rPr>
          <w:rFonts w:hint="default" w:ascii="黑体" w:hAnsi="黑体" w:eastAsia="黑体"/>
        </w:rPr>
        <w:t xml:space="preserve">一、 </w:t>
      </w:r>
      <w:r>
        <w:rPr>
          <w:rFonts w:hint="eastAsia" w:ascii="黑体" w:hAnsi="黑体" w:eastAsia="黑体"/>
          <w:szCs w:val="32"/>
          <w:highlight w:val="none"/>
        </w:rPr>
        <w:t>收</w:t>
      </w:r>
      <w:r>
        <w:rPr>
          <w:rFonts w:hint="eastAsia" w:ascii="黑体" w:hAnsi="黑体" w:eastAsia="黑体"/>
          <w:highlight w:val="none"/>
        </w:rPr>
        <w:t>入支出决算总体情况说明</w:t>
      </w:r>
      <w:r>
        <w:tab/>
      </w:r>
      <w:r>
        <w:fldChar w:fldCharType="begin"/>
      </w:r>
      <w:r>
        <w:instrText xml:space="preserve"> PAGEREF _Toc26900 \h </w:instrText>
      </w:r>
      <w:r>
        <w:fldChar w:fldCharType="separate"/>
      </w:r>
      <w:r>
        <w:t>5</w:t>
      </w:r>
      <w:r>
        <w:fldChar w:fldCharType="end"/>
      </w:r>
      <w:r>
        <w:fldChar w:fldCharType="end"/>
      </w:r>
    </w:p>
    <w:p>
      <w:pPr>
        <w:pStyle w:val="28"/>
        <w:tabs>
          <w:tab w:val="right" w:leader="dot" w:pos="8306"/>
        </w:tabs>
      </w:pPr>
      <w:r>
        <w:fldChar w:fldCharType="begin"/>
      </w:r>
      <w:r>
        <w:instrText xml:space="preserve"> HYPERLINK \l _Toc1 </w:instrText>
      </w:r>
      <w:r>
        <w:fldChar w:fldCharType="separate"/>
      </w:r>
      <w:r>
        <w:rPr>
          <w:rFonts w:hint="default" w:ascii="黑体" w:hAnsi="黑体" w:eastAsia="黑体"/>
        </w:rPr>
        <w:t xml:space="preserve">二、 </w:t>
      </w:r>
      <w:r>
        <w:rPr>
          <w:rFonts w:hint="eastAsia" w:ascii="黑体" w:hAnsi="黑体" w:eastAsia="黑体"/>
          <w:szCs w:val="32"/>
          <w:highlight w:val="none"/>
        </w:rPr>
        <w:t>收</w:t>
      </w:r>
      <w:r>
        <w:rPr>
          <w:rFonts w:hint="eastAsia" w:ascii="黑体" w:hAnsi="黑体" w:eastAsia="黑体"/>
          <w:highlight w:val="none"/>
        </w:rPr>
        <w:t>入决算情况说明</w:t>
      </w:r>
      <w:r>
        <w:tab/>
      </w:r>
      <w:r>
        <w:fldChar w:fldCharType="begin"/>
      </w:r>
      <w:r>
        <w:instrText xml:space="preserve"> PAGEREF _Toc1 \h </w:instrText>
      </w:r>
      <w:r>
        <w:fldChar w:fldCharType="separate"/>
      </w:r>
      <w:r>
        <w:t>5</w:t>
      </w:r>
      <w:r>
        <w:fldChar w:fldCharType="end"/>
      </w:r>
      <w:r>
        <w:fldChar w:fldCharType="end"/>
      </w:r>
    </w:p>
    <w:p>
      <w:pPr>
        <w:pStyle w:val="28"/>
        <w:tabs>
          <w:tab w:val="right" w:leader="dot" w:pos="8306"/>
        </w:tabs>
      </w:pPr>
      <w:r>
        <w:fldChar w:fldCharType="begin"/>
      </w:r>
      <w:r>
        <w:instrText xml:space="preserve"> HYPERLINK \l _Toc32216 </w:instrText>
      </w:r>
      <w:r>
        <w:fldChar w:fldCharType="separate"/>
      </w:r>
      <w:r>
        <w:rPr>
          <w:rFonts w:hint="default" w:ascii="黑体" w:hAnsi="黑体" w:eastAsia="黑体"/>
        </w:rPr>
        <w:t xml:space="preserve">三、 </w:t>
      </w:r>
      <w:r>
        <w:rPr>
          <w:rFonts w:hint="eastAsia" w:ascii="黑体" w:hAnsi="黑体" w:eastAsia="黑体"/>
          <w:szCs w:val="32"/>
          <w:highlight w:val="none"/>
        </w:rPr>
        <w:t>支</w:t>
      </w:r>
      <w:r>
        <w:rPr>
          <w:rFonts w:hint="eastAsia" w:ascii="黑体" w:hAnsi="黑体" w:eastAsia="黑体"/>
          <w:highlight w:val="none"/>
        </w:rPr>
        <w:t>出决算情况说明</w:t>
      </w:r>
      <w:r>
        <w:tab/>
      </w:r>
      <w:r>
        <w:fldChar w:fldCharType="begin"/>
      </w:r>
      <w:r>
        <w:instrText xml:space="preserve"> PAGEREF _Toc32216 \h </w:instrText>
      </w:r>
      <w:r>
        <w:fldChar w:fldCharType="separate"/>
      </w:r>
      <w:r>
        <w:t>6</w:t>
      </w:r>
      <w:r>
        <w:fldChar w:fldCharType="end"/>
      </w:r>
      <w:r>
        <w:fldChar w:fldCharType="end"/>
      </w:r>
    </w:p>
    <w:p>
      <w:pPr>
        <w:pStyle w:val="28"/>
        <w:tabs>
          <w:tab w:val="right" w:leader="dot" w:pos="8306"/>
        </w:tabs>
      </w:pPr>
      <w:r>
        <w:fldChar w:fldCharType="begin"/>
      </w:r>
      <w:r>
        <w:instrText xml:space="preserve"> HYPERLINK \l _Toc7447 </w:instrText>
      </w:r>
      <w:r>
        <w:fldChar w:fldCharType="separate"/>
      </w:r>
      <w:r>
        <w:rPr>
          <w:rFonts w:hint="eastAsia" w:ascii="黑体" w:hAnsi="黑体" w:eastAsia="黑体"/>
          <w:szCs w:val="32"/>
          <w:highlight w:val="none"/>
        </w:rPr>
        <w:t>四、财</w:t>
      </w:r>
      <w:r>
        <w:rPr>
          <w:rFonts w:hint="eastAsia" w:ascii="黑体" w:hAnsi="黑体" w:eastAsia="黑体"/>
          <w:highlight w:val="none"/>
        </w:rPr>
        <w:t>政拨款收入支出决算总体情况说明</w:t>
      </w:r>
      <w:r>
        <w:tab/>
      </w:r>
      <w:r>
        <w:fldChar w:fldCharType="begin"/>
      </w:r>
      <w:r>
        <w:instrText xml:space="preserve"> PAGEREF _Toc7447 \h </w:instrText>
      </w:r>
      <w:r>
        <w:fldChar w:fldCharType="separate"/>
      </w:r>
      <w:r>
        <w:t>6</w:t>
      </w:r>
      <w:r>
        <w:fldChar w:fldCharType="end"/>
      </w:r>
      <w:r>
        <w:fldChar w:fldCharType="end"/>
      </w:r>
    </w:p>
    <w:p>
      <w:pPr>
        <w:pStyle w:val="28"/>
        <w:tabs>
          <w:tab w:val="right" w:leader="dot" w:pos="8306"/>
        </w:tabs>
      </w:pPr>
      <w:r>
        <w:fldChar w:fldCharType="begin"/>
      </w:r>
      <w:r>
        <w:instrText xml:space="preserve"> HYPERLINK \l _Toc2437 </w:instrText>
      </w:r>
      <w:r>
        <w:fldChar w:fldCharType="separate"/>
      </w:r>
      <w:r>
        <w:rPr>
          <w:rFonts w:hint="eastAsia" w:ascii="黑体" w:hAnsi="黑体" w:eastAsia="黑体"/>
          <w:szCs w:val="32"/>
          <w:highlight w:val="none"/>
        </w:rPr>
        <w:t>五、一</w:t>
      </w:r>
      <w:r>
        <w:rPr>
          <w:rFonts w:hint="eastAsia" w:ascii="黑体" w:hAnsi="黑体" w:eastAsia="黑体"/>
          <w:highlight w:val="none"/>
        </w:rPr>
        <w:t>般公共预算财政拨款支出决算情况说明</w:t>
      </w:r>
      <w:r>
        <w:tab/>
      </w:r>
      <w:r>
        <w:fldChar w:fldCharType="begin"/>
      </w:r>
      <w:r>
        <w:instrText xml:space="preserve"> PAGEREF _Toc2437 \h </w:instrText>
      </w:r>
      <w:r>
        <w:fldChar w:fldCharType="separate"/>
      </w:r>
      <w:r>
        <w:t>7</w:t>
      </w:r>
      <w:r>
        <w:fldChar w:fldCharType="end"/>
      </w:r>
      <w:r>
        <w:fldChar w:fldCharType="end"/>
      </w:r>
    </w:p>
    <w:p>
      <w:pPr>
        <w:pStyle w:val="28"/>
        <w:tabs>
          <w:tab w:val="right" w:leader="dot" w:pos="8306"/>
        </w:tabs>
      </w:pPr>
      <w:r>
        <w:fldChar w:fldCharType="begin"/>
      </w:r>
      <w:r>
        <w:instrText xml:space="preserve"> HYPERLINK \l _Toc8666 </w:instrText>
      </w:r>
      <w:r>
        <w:fldChar w:fldCharType="separate"/>
      </w:r>
      <w:r>
        <w:rPr>
          <w:rFonts w:hint="eastAsia" w:ascii="黑体" w:eastAsia="黑体"/>
          <w:szCs w:val="32"/>
          <w:highlight w:val="none"/>
        </w:rPr>
        <w:t>六、</w:t>
      </w:r>
      <w:r>
        <w:rPr>
          <w:rFonts w:hint="eastAsia" w:ascii="黑体" w:hAnsi="黑体" w:eastAsia="黑体"/>
          <w:szCs w:val="32"/>
          <w:highlight w:val="none"/>
        </w:rPr>
        <w:t>一</w:t>
      </w:r>
      <w:r>
        <w:rPr>
          <w:rFonts w:hint="eastAsia" w:ascii="黑体" w:hAnsi="黑体" w:eastAsia="黑体"/>
          <w:highlight w:val="none"/>
        </w:rPr>
        <w:t>般公共预算财政拨款基本支出决算情况说明</w:t>
      </w:r>
      <w:r>
        <w:tab/>
      </w:r>
      <w:r>
        <w:fldChar w:fldCharType="begin"/>
      </w:r>
      <w:r>
        <w:instrText xml:space="preserve"> PAGEREF _Toc8666 \h </w:instrText>
      </w:r>
      <w:r>
        <w:fldChar w:fldCharType="separate"/>
      </w:r>
      <w:r>
        <w:t>9</w:t>
      </w:r>
      <w:r>
        <w:fldChar w:fldCharType="end"/>
      </w:r>
      <w:r>
        <w:fldChar w:fldCharType="end"/>
      </w:r>
    </w:p>
    <w:p>
      <w:pPr>
        <w:pStyle w:val="28"/>
        <w:tabs>
          <w:tab w:val="right" w:leader="dot" w:pos="8306"/>
        </w:tabs>
      </w:pPr>
      <w:r>
        <w:fldChar w:fldCharType="begin"/>
      </w:r>
      <w:r>
        <w:instrText xml:space="preserve"> HYPERLINK \l _Toc9005 </w:instrText>
      </w:r>
      <w:r>
        <w:fldChar w:fldCharType="separate"/>
      </w:r>
      <w:r>
        <w:rPr>
          <w:rFonts w:hint="eastAsia" w:ascii="黑体" w:eastAsia="黑体"/>
          <w:szCs w:val="32"/>
          <w:highlight w:val="none"/>
        </w:rPr>
        <w:t>七、</w:t>
      </w:r>
      <w:r>
        <w:rPr>
          <w:rFonts w:hint="eastAsia" w:ascii="黑体" w:hAnsi="黑体" w:eastAsia="黑体"/>
          <w:highlight w:val="none"/>
        </w:rPr>
        <w:t>财政拨款“三公”经费支出决算情况说明</w:t>
      </w:r>
      <w:r>
        <w:tab/>
      </w:r>
      <w:r>
        <w:fldChar w:fldCharType="begin"/>
      </w:r>
      <w:r>
        <w:instrText xml:space="preserve"> PAGEREF _Toc9005 \h </w:instrText>
      </w:r>
      <w:r>
        <w:fldChar w:fldCharType="separate"/>
      </w:r>
      <w:r>
        <w:t>11</w:t>
      </w:r>
      <w:r>
        <w:fldChar w:fldCharType="end"/>
      </w:r>
      <w:r>
        <w:fldChar w:fldCharType="end"/>
      </w:r>
    </w:p>
    <w:p>
      <w:pPr>
        <w:pStyle w:val="28"/>
        <w:tabs>
          <w:tab w:val="right" w:leader="dot" w:pos="8306"/>
        </w:tabs>
      </w:pPr>
      <w:r>
        <w:fldChar w:fldCharType="begin"/>
      </w:r>
      <w:r>
        <w:instrText xml:space="preserve"> HYPERLINK \l _Toc22188 </w:instrText>
      </w:r>
      <w:r>
        <w:fldChar w:fldCharType="separate"/>
      </w:r>
      <w:r>
        <w:rPr>
          <w:rFonts w:hint="eastAsia" w:ascii="黑体" w:eastAsia="黑体"/>
          <w:szCs w:val="32"/>
          <w:highlight w:val="none"/>
        </w:rPr>
        <w:t>八、</w:t>
      </w:r>
      <w:r>
        <w:rPr>
          <w:rFonts w:hint="eastAsia" w:ascii="黑体" w:hAnsi="黑体" w:eastAsia="黑体"/>
          <w:highlight w:val="none"/>
        </w:rPr>
        <w:t>政府性基金预算支出决算情况说明</w:t>
      </w:r>
      <w:r>
        <w:tab/>
      </w:r>
      <w:r>
        <w:fldChar w:fldCharType="begin"/>
      </w:r>
      <w:r>
        <w:instrText xml:space="preserve"> PAGEREF _Toc22188 \h </w:instrText>
      </w:r>
      <w:r>
        <w:fldChar w:fldCharType="separate"/>
      </w:r>
      <w:r>
        <w:t>13</w:t>
      </w:r>
      <w:r>
        <w:fldChar w:fldCharType="end"/>
      </w:r>
      <w:r>
        <w:fldChar w:fldCharType="end"/>
      </w:r>
    </w:p>
    <w:p>
      <w:pPr>
        <w:pStyle w:val="28"/>
        <w:tabs>
          <w:tab w:val="right" w:leader="dot" w:pos="8306"/>
        </w:tabs>
      </w:pPr>
      <w:r>
        <w:fldChar w:fldCharType="begin"/>
      </w:r>
      <w:r>
        <w:instrText xml:space="preserve"> HYPERLINK \l _Toc4728 </w:instrText>
      </w:r>
      <w:r>
        <w:fldChar w:fldCharType="separate"/>
      </w:r>
      <w:r>
        <w:rPr>
          <w:rFonts w:hint="eastAsia" w:ascii="黑体" w:hAnsi="黑体" w:eastAsia="黑体"/>
        </w:rPr>
        <w:t xml:space="preserve">九、 </w:t>
      </w:r>
      <w:r>
        <w:rPr>
          <w:rFonts w:hint="eastAsia" w:ascii="黑体" w:hAnsi="黑体" w:eastAsia="黑体"/>
          <w:highlight w:val="none"/>
        </w:rPr>
        <w:t>国有资本经营预算支出决算情况说明</w:t>
      </w:r>
      <w:r>
        <w:tab/>
      </w:r>
      <w:r>
        <w:fldChar w:fldCharType="begin"/>
      </w:r>
      <w:r>
        <w:instrText xml:space="preserve"> PAGEREF _Toc4728 \h </w:instrText>
      </w:r>
      <w:r>
        <w:fldChar w:fldCharType="separate"/>
      </w:r>
      <w:r>
        <w:t>13</w:t>
      </w:r>
      <w:r>
        <w:fldChar w:fldCharType="end"/>
      </w:r>
      <w:r>
        <w:fldChar w:fldCharType="end"/>
      </w:r>
    </w:p>
    <w:p>
      <w:pPr>
        <w:pStyle w:val="28"/>
        <w:tabs>
          <w:tab w:val="right" w:leader="dot" w:pos="8306"/>
        </w:tabs>
      </w:pPr>
      <w:r>
        <w:fldChar w:fldCharType="begin"/>
      </w:r>
      <w:r>
        <w:instrText xml:space="preserve"> HYPERLINK \l _Toc9767 </w:instrText>
      </w:r>
      <w:r>
        <w:fldChar w:fldCharType="separate"/>
      </w:r>
      <w:r>
        <w:rPr>
          <w:rFonts w:hint="eastAsia" w:ascii="黑体" w:hAnsi="黑体" w:eastAsia="黑体"/>
        </w:rPr>
        <w:t xml:space="preserve">十、 </w:t>
      </w:r>
      <w:r>
        <w:rPr>
          <w:rFonts w:hint="eastAsia" w:ascii="黑体" w:hAnsi="黑体" w:eastAsia="黑体"/>
          <w:highlight w:val="none"/>
        </w:rPr>
        <w:t>其他重要事项的情况说明</w:t>
      </w:r>
      <w:r>
        <w:tab/>
      </w:r>
      <w:r>
        <w:fldChar w:fldCharType="begin"/>
      </w:r>
      <w:r>
        <w:instrText xml:space="preserve"> PAGEREF _Toc9767 \h </w:instrText>
      </w:r>
      <w:r>
        <w:fldChar w:fldCharType="separate"/>
      </w:r>
      <w:r>
        <w:t>13</w:t>
      </w:r>
      <w:r>
        <w:fldChar w:fldCharType="end"/>
      </w:r>
      <w:r>
        <w:fldChar w:fldCharType="end"/>
      </w:r>
    </w:p>
    <w:p>
      <w:pPr>
        <w:pStyle w:val="28"/>
        <w:tabs>
          <w:tab w:val="right" w:leader="dot" w:pos="8306"/>
        </w:tabs>
        <w:ind w:left="0" w:leftChars="0" w:firstLine="0" w:firstLineChars="0"/>
        <w:rPr>
          <w:rFonts w:hint="eastAsia" w:eastAsia="宋体"/>
          <w:lang w:val="en-US" w:eastAsia="zh-CN"/>
        </w:rPr>
      </w:pPr>
      <w:r>
        <w:fldChar w:fldCharType="begin"/>
      </w:r>
      <w:r>
        <w:instrText xml:space="preserve"> HYPERLINK \l _Toc30740 </w:instrText>
      </w:r>
      <w:r>
        <w:fldChar w:fldCharType="separate"/>
      </w:r>
      <w:r>
        <w:rPr>
          <w:rFonts w:hint="eastAsia" w:ascii="黑体" w:hAnsi="黑体" w:eastAsia="黑体" w:cs="Times New Roman"/>
          <w:b/>
          <w:bCs/>
          <w:sz w:val="20"/>
          <w:szCs w:val="20"/>
          <w:highlight w:val="none"/>
        </w:rPr>
        <w:t>第三部分 名词解释</w:t>
      </w:r>
      <w:r>
        <w:tab/>
      </w:r>
      <w:r>
        <w:rPr>
          <w:rFonts w:hint="eastAsia"/>
          <w:lang w:val="en-US" w:eastAsia="zh-CN"/>
        </w:rPr>
        <w:t>1</w:t>
      </w:r>
      <w:r>
        <w:fldChar w:fldCharType="end"/>
      </w:r>
      <w:r>
        <w:rPr>
          <w:rFonts w:hint="eastAsia"/>
          <w:lang w:val="en-US" w:eastAsia="zh-CN"/>
        </w:rPr>
        <w:t>5</w:t>
      </w:r>
    </w:p>
    <w:p>
      <w:pPr>
        <w:pStyle w:val="28"/>
        <w:tabs>
          <w:tab w:val="right" w:leader="dot" w:pos="8306"/>
        </w:tabs>
        <w:ind w:left="0" w:leftChars="0" w:firstLine="0" w:firstLineChars="0"/>
      </w:pPr>
      <w:r>
        <w:fldChar w:fldCharType="begin"/>
      </w:r>
      <w:r>
        <w:instrText xml:space="preserve"> HYPERLINK \l _Toc29910 </w:instrText>
      </w:r>
      <w:r>
        <w:fldChar w:fldCharType="separate"/>
      </w:r>
      <w:r>
        <w:rPr>
          <w:rFonts w:hint="eastAsia" w:ascii="黑体" w:hAnsi="黑体" w:eastAsia="黑体" w:cs="Times New Roman"/>
          <w:b/>
          <w:bCs/>
          <w:sz w:val="20"/>
          <w:szCs w:val="20"/>
          <w:highlight w:val="none"/>
        </w:rPr>
        <w:t>第四部分 附件</w:t>
      </w:r>
      <w:r>
        <w:tab/>
      </w:r>
      <w:r>
        <w:fldChar w:fldCharType="begin"/>
      </w:r>
      <w:r>
        <w:instrText xml:space="preserve"> PAGEREF _Toc29910 \h </w:instrText>
      </w:r>
      <w:r>
        <w:fldChar w:fldCharType="separate"/>
      </w:r>
      <w:r>
        <w:t>20</w:t>
      </w:r>
      <w:r>
        <w:fldChar w:fldCharType="end"/>
      </w:r>
      <w:r>
        <w:fldChar w:fldCharType="end"/>
      </w:r>
    </w:p>
    <w:p>
      <w:pPr>
        <w:pStyle w:val="28"/>
        <w:tabs>
          <w:tab w:val="right" w:leader="dot" w:pos="8306"/>
        </w:tabs>
      </w:pPr>
      <w:r>
        <w:fldChar w:fldCharType="begin"/>
      </w:r>
      <w:r>
        <w:instrText xml:space="preserve"> HYPERLINK \l _Toc6819 </w:instrText>
      </w:r>
      <w:r>
        <w:fldChar w:fldCharType="separate"/>
      </w:r>
      <w:r>
        <w:rPr>
          <w:rFonts w:hint="eastAsia"/>
        </w:rPr>
        <w:t>附件</w:t>
      </w:r>
      <w:r>
        <w:rPr>
          <w:rFonts w:hint="eastAsia"/>
          <w:lang w:val="en-US" w:eastAsia="zh-CN"/>
        </w:rPr>
        <w:t>1</w:t>
      </w:r>
      <w:r>
        <w:rPr>
          <w:rFonts w:hint="eastAsia" w:ascii="黑体" w:hAnsi="黑体" w:eastAsia="黑体"/>
          <w:highlight w:val="none"/>
        </w:rPr>
        <w:t>茂县公安局202</w:t>
      </w:r>
      <w:r>
        <w:rPr>
          <w:rFonts w:hint="eastAsia" w:ascii="黑体" w:hAnsi="黑体" w:eastAsia="黑体"/>
          <w:highlight w:val="none"/>
          <w:lang w:val="en-US" w:eastAsia="zh-CN"/>
        </w:rPr>
        <w:t>4</w:t>
      </w:r>
      <w:r>
        <w:rPr>
          <w:rFonts w:hint="eastAsia" w:ascii="黑体" w:hAnsi="黑体" w:eastAsia="黑体"/>
          <w:highlight w:val="none"/>
        </w:rPr>
        <w:t>年部门</w:t>
      </w:r>
      <w:r>
        <w:rPr>
          <w:rFonts w:hint="eastAsia" w:ascii="黑体" w:hAnsi="黑体" w:eastAsia="黑体"/>
          <w:highlight w:val="none"/>
          <w:lang w:eastAsia="zh-CN"/>
        </w:rPr>
        <w:t>预算</w:t>
      </w:r>
      <w:r>
        <w:rPr>
          <w:rFonts w:hint="eastAsia" w:ascii="黑体" w:hAnsi="黑体" w:eastAsia="黑体"/>
          <w:highlight w:val="none"/>
        </w:rPr>
        <w:t>绩效评价报告</w:t>
      </w:r>
      <w:r>
        <w:tab/>
      </w:r>
      <w:r>
        <w:fldChar w:fldCharType="begin"/>
      </w:r>
      <w:r>
        <w:instrText xml:space="preserve"> PAGEREF _Toc6819 \h </w:instrText>
      </w:r>
      <w:r>
        <w:fldChar w:fldCharType="separate"/>
      </w:r>
      <w:r>
        <w:t>20</w:t>
      </w:r>
      <w:r>
        <w:fldChar w:fldCharType="end"/>
      </w:r>
      <w:r>
        <w:fldChar w:fldCharType="end"/>
      </w:r>
    </w:p>
    <w:p>
      <w:pPr>
        <w:pStyle w:val="28"/>
        <w:tabs>
          <w:tab w:val="right" w:leader="dot" w:pos="8306"/>
        </w:tabs>
        <w:rPr>
          <w:rFonts w:hint="eastAsia"/>
          <w:lang w:val="en-US" w:eastAsia="zh-CN"/>
        </w:rPr>
      </w:pPr>
      <w:r>
        <w:fldChar w:fldCharType="begin"/>
      </w:r>
      <w:r>
        <w:instrText xml:space="preserve"> HYPERLINK \l _Toc6819 </w:instrText>
      </w:r>
      <w:r>
        <w:fldChar w:fldCharType="separate"/>
      </w:r>
      <w:r>
        <w:rPr>
          <w:rFonts w:hint="eastAsia"/>
        </w:rPr>
        <w:t>附件</w:t>
      </w:r>
      <w:r>
        <w:rPr>
          <w:rFonts w:hint="eastAsia"/>
          <w:lang w:val="en-US" w:eastAsia="zh-CN"/>
        </w:rPr>
        <w:t>2</w:t>
      </w:r>
      <w:r>
        <w:rPr>
          <w:rFonts w:hint="eastAsia" w:ascii="黑体" w:hAnsi="黑体" w:eastAsia="黑体"/>
          <w:highlight w:val="none"/>
          <w:lang w:val="en-US" w:eastAsia="zh-CN"/>
        </w:rPr>
        <w:t>项目绩效评价</w:t>
      </w:r>
      <w:r>
        <w:rPr>
          <w:rFonts w:hint="eastAsia" w:ascii="黑体" w:hAnsi="黑体" w:eastAsia="黑体"/>
          <w:highlight w:val="none"/>
          <w:lang w:val="en-US"/>
        </w:rPr>
        <w:t>报告</w:t>
      </w:r>
      <w:r>
        <w:tab/>
      </w:r>
      <w:r>
        <w:rPr>
          <w:rFonts w:hint="eastAsia"/>
          <w:lang w:val="en-US" w:eastAsia="zh-CN"/>
        </w:rPr>
        <w:t>3</w:t>
      </w:r>
      <w:r>
        <w:fldChar w:fldCharType="end"/>
      </w:r>
      <w:r>
        <w:rPr>
          <w:rFonts w:hint="eastAsia"/>
          <w:lang w:val="en-US" w:eastAsia="zh-CN"/>
        </w:rPr>
        <w:t>4</w:t>
      </w:r>
    </w:p>
    <w:p>
      <w:pPr>
        <w:pStyle w:val="28"/>
        <w:tabs>
          <w:tab w:val="right" w:leader="dot" w:pos="8306"/>
        </w:tabs>
        <w:ind w:left="0" w:leftChars="0" w:firstLine="0" w:firstLineChars="0"/>
      </w:pPr>
      <w:r>
        <w:fldChar w:fldCharType="begin"/>
      </w:r>
      <w:r>
        <w:instrText xml:space="preserve"> HYPERLINK \l _Toc14832 </w:instrText>
      </w:r>
      <w:r>
        <w:fldChar w:fldCharType="separate"/>
      </w:r>
      <w:r>
        <w:rPr>
          <w:rFonts w:hint="eastAsia" w:ascii="黑体" w:hAnsi="黑体" w:eastAsia="黑体" w:cs="Times New Roman"/>
          <w:b/>
          <w:bCs/>
          <w:sz w:val="20"/>
          <w:szCs w:val="20"/>
          <w:highlight w:val="none"/>
        </w:rPr>
        <w:t>第五部分 附表</w:t>
      </w:r>
      <w:r>
        <w:tab/>
      </w:r>
      <w:r>
        <w:fldChar w:fldCharType="begin"/>
      </w:r>
      <w:r>
        <w:instrText xml:space="preserve"> PAGEREF _Toc14832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_Toc15137 </w:instrText>
      </w:r>
      <w:r>
        <w:fldChar w:fldCharType="separate"/>
      </w:r>
      <w:r>
        <w:rPr>
          <w:rFonts w:hint="eastAsia" w:ascii="仿宋" w:hAnsi="仿宋" w:eastAsia="仿宋"/>
          <w:highlight w:val="none"/>
        </w:rPr>
        <w:t>一、收</w:t>
      </w:r>
      <w:r>
        <w:rPr>
          <w:rFonts w:hint="eastAsia" w:ascii="仿宋" w:hAnsi="仿宋" w:eastAsia="仿宋"/>
          <w:bCs w:val="0"/>
          <w:highlight w:val="none"/>
        </w:rPr>
        <w:t>入支出决算总表</w:t>
      </w:r>
      <w:r>
        <w:tab/>
      </w:r>
      <w:r>
        <w:fldChar w:fldCharType="begin"/>
      </w:r>
      <w:r>
        <w:instrText xml:space="preserve"> PAGEREF _Toc15137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_Toc9907 </w:instrText>
      </w:r>
      <w:r>
        <w:fldChar w:fldCharType="separate"/>
      </w:r>
      <w:r>
        <w:rPr>
          <w:rFonts w:hint="eastAsia" w:ascii="仿宋" w:hAnsi="仿宋" w:eastAsia="仿宋"/>
          <w:highlight w:val="none"/>
        </w:rPr>
        <w:t>二、收</w:t>
      </w:r>
      <w:r>
        <w:rPr>
          <w:rFonts w:hint="eastAsia" w:ascii="仿宋" w:hAnsi="仿宋" w:eastAsia="仿宋"/>
          <w:bCs w:val="0"/>
          <w:highlight w:val="none"/>
        </w:rPr>
        <w:t>入决算表</w:t>
      </w:r>
      <w:r>
        <w:tab/>
      </w:r>
      <w:r>
        <w:fldChar w:fldCharType="begin"/>
      </w:r>
      <w:r>
        <w:instrText xml:space="preserve"> PAGEREF _Toc9907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_Toc12602 </w:instrText>
      </w:r>
      <w:r>
        <w:fldChar w:fldCharType="separate"/>
      </w:r>
      <w:r>
        <w:rPr>
          <w:rFonts w:hint="eastAsia" w:ascii="仿宋" w:hAnsi="仿宋" w:eastAsia="仿宋"/>
          <w:bCs w:val="0"/>
          <w:highlight w:val="none"/>
        </w:rPr>
        <w:t>三、</w:t>
      </w:r>
      <w:r>
        <w:rPr>
          <w:rFonts w:hint="eastAsia" w:ascii="仿宋" w:hAnsi="仿宋" w:eastAsia="仿宋"/>
          <w:highlight w:val="none"/>
        </w:rPr>
        <w:t>支</w:t>
      </w:r>
      <w:r>
        <w:rPr>
          <w:rFonts w:hint="eastAsia" w:ascii="仿宋" w:hAnsi="仿宋" w:eastAsia="仿宋"/>
          <w:bCs w:val="0"/>
          <w:highlight w:val="none"/>
        </w:rPr>
        <w:t>出决算表</w:t>
      </w:r>
      <w:r>
        <w:tab/>
      </w:r>
      <w:r>
        <w:fldChar w:fldCharType="begin"/>
      </w:r>
      <w:r>
        <w:instrText xml:space="preserve"> PAGEREF _Toc12602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_Toc6626 </w:instrText>
      </w:r>
      <w:r>
        <w:fldChar w:fldCharType="separate"/>
      </w:r>
      <w:r>
        <w:rPr>
          <w:rFonts w:hint="eastAsia" w:ascii="仿宋" w:hAnsi="仿宋" w:eastAsia="仿宋"/>
          <w:bCs w:val="0"/>
          <w:highlight w:val="none"/>
        </w:rPr>
        <w:t>四、</w:t>
      </w:r>
      <w:r>
        <w:rPr>
          <w:rFonts w:hint="eastAsia" w:ascii="仿宋" w:hAnsi="仿宋" w:eastAsia="仿宋"/>
          <w:highlight w:val="none"/>
        </w:rPr>
        <w:t>财</w:t>
      </w:r>
      <w:r>
        <w:rPr>
          <w:rFonts w:hint="eastAsia" w:ascii="仿宋" w:hAnsi="仿宋" w:eastAsia="仿宋"/>
          <w:bCs w:val="0"/>
          <w:highlight w:val="none"/>
        </w:rPr>
        <w:t>政拨款收入支出决算总表</w:t>
      </w:r>
      <w:r>
        <w:tab/>
      </w:r>
      <w:r>
        <w:fldChar w:fldCharType="begin"/>
      </w:r>
      <w:r>
        <w:instrText xml:space="preserve"> PAGEREF _Toc6626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_Toc14176 </w:instrText>
      </w:r>
      <w:r>
        <w:fldChar w:fldCharType="separate"/>
      </w:r>
      <w:r>
        <w:rPr>
          <w:rFonts w:hint="eastAsia" w:ascii="仿宋" w:hAnsi="仿宋" w:eastAsia="仿宋"/>
          <w:bCs w:val="0"/>
          <w:highlight w:val="none"/>
        </w:rPr>
        <w:t>五、</w:t>
      </w:r>
      <w:r>
        <w:rPr>
          <w:rFonts w:hint="eastAsia" w:ascii="仿宋" w:hAnsi="仿宋" w:eastAsia="仿宋"/>
          <w:highlight w:val="none"/>
        </w:rPr>
        <w:t>财</w:t>
      </w:r>
      <w:r>
        <w:rPr>
          <w:rFonts w:hint="eastAsia" w:ascii="仿宋" w:hAnsi="仿宋" w:eastAsia="仿宋"/>
          <w:bCs w:val="0"/>
          <w:highlight w:val="none"/>
        </w:rPr>
        <w:t>政拨款支出决算明细表</w:t>
      </w:r>
      <w:r>
        <w:tab/>
      </w:r>
      <w:r>
        <w:fldChar w:fldCharType="begin"/>
      </w:r>
      <w:r>
        <w:instrText xml:space="preserve"> PAGEREF _Toc14176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_Toc18423 </w:instrText>
      </w:r>
      <w:r>
        <w:fldChar w:fldCharType="separate"/>
      </w:r>
      <w:r>
        <w:rPr>
          <w:rFonts w:hint="eastAsia" w:ascii="仿宋" w:hAnsi="仿宋" w:eastAsia="仿宋"/>
          <w:bCs w:val="0"/>
          <w:highlight w:val="none"/>
        </w:rPr>
        <w:t>六、</w:t>
      </w:r>
      <w:r>
        <w:rPr>
          <w:rFonts w:hint="eastAsia" w:ascii="仿宋" w:hAnsi="仿宋" w:eastAsia="仿宋"/>
          <w:highlight w:val="none"/>
        </w:rPr>
        <w:t>一</w:t>
      </w:r>
      <w:r>
        <w:rPr>
          <w:rFonts w:hint="eastAsia" w:ascii="仿宋" w:hAnsi="仿宋" w:eastAsia="仿宋"/>
          <w:bCs w:val="0"/>
          <w:highlight w:val="none"/>
        </w:rPr>
        <w:t>般公共预算财政拨款支出决算表</w:t>
      </w:r>
      <w:r>
        <w:tab/>
      </w:r>
      <w:r>
        <w:fldChar w:fldCharType="begin"/>
      </w:r>
      <w:r>
        <w:instrText xml:space="preserve"> PAGEREF _Toc18423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_Toc19631 </w:instrText>
      </w:r>
      <w:r>
        <w:fldChar w:fldCharType="separate"/>
      </w:r>
      <w:r>
        <w:rPr>
          <w:rFonts w:hint="eastAsia" w:ascii="仿宋" w:hAnsi="仿宋" w:eastAsia="仿宋"/>
          <w:bCs w:val="0"/>
          <w:highlight w:val="none"/>
        </w:rPr>
        <w:t>七、</w:t>
      </w:r>
      <w:r>
        <w:rPr>
          <w:rFonts w:hint="eastAsia" w:ascii="仿宋" w:hAnsi="仿宋" w:eastAsia="仿宋"/>
          <w:highlight w:val="none"/>
        </w:rPr>
        <w:t>一</w:t>
      </w:r>
      <w:r>
        <w:rPr>
          <w:rFonts w:hint="eastAsia" w:ascii="仿宋" w:hAnsi="仿宋" w:eastAsia="仿宋"/>
          <w:bCs w:val="0"/>
          <w:highlight w:val="none"/>
        </w:rPr>
        <w:t>般公共预算财政拨款支出决算明细表</w:t>
      </w:r>
      <w:r>
        <w:tab/>
      </w:r>
      <w:r>
        <w:fldChar w:fldCharType="begin"/>
      </w:r>
      <w:r>
        <w:instrText xml:space="preserve"> PAGEREF _Toc19631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_Toc1532 </w:instrText>
      </w:r>
      <w:r>
        <w:fldChar w:fldCharType="separate"/>
      </w:r>
      <w:r>
        <w:rPr>
          <w:rFonts w:hint="eastAsia" w:ascii="仿宋" w:hAnsi="仿宋" w:eastAsia="仿宋"/>
          <w:bCs w:val="0"/>
          <w:highlight w:val="none"/>
        </w:rPr>
        <w:t>八、</w:t>
      </w:r>
      <w:r>
        <w:rPr>
          <w:rFonts w:hint="eastAsia" w:ascii="仿宋" w:hAnsi="仿宋" w:eastAsia="仿宋"/>
          <w:highlight w:val="none"/>
        </w:rPr>
        <w:t>一</w:t>
      </w:r>
      <w:r>
        <w:rPr>
          <w:rFonts w:hint="eastAsia" w:ascii="仿宋" w:hAnsi="仿宋" w:eastAsia="仿宋"/>
          <w:bCs w:val="0"/>
          <w:highlight w:val="none"/>
        </w:rPr>
        <w:t>般公共预算财政拨款基本支出决算表</w:t>
      </w:r>
      <w:r>
        <w:tab/>
      </w:r>
      <w:r>
        <w:fldChar w:fldCharType="begin"/>
      </w:r>
      <w:r>
        <w:instrText xml:space="preserve"> PAGEREF _Toc1532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_Toc740 </w:instrText>
      </w:r>
      <w:r>
        <w:fldChar w:fldCharType="separate"/>
      </w:r>
      <w:r>
        <w:rPr>
          <w:rFonts w:hint="eastAsia" w:ascii="仿宋" w:hAnsi="仿宋" w:eastAsia="仿宋"/>
          <w:bCs w:val="0"/>
          <w:highlight w:val="none"/>
        </w:rPr>
        <w:t>九、</w:t>
      </w:r>
      <w:r>
        <w:rPr>
          <w:rFonts w:hint="eastAsia" w:ascii="仿宋" w:hAnsi="仿宋" w:eastAsia="仿宋"/>
          <w:highlight w:val="none"/>
        </w:rPr>
        <w:t>一</w:t>
      </w:r>
      <w:r>
        <w:rPr>
          <w:rFonts w:hint="eastAsia" w:ascii="仿宋" w:hAnsi="仿宋" w:eastAsia="仿宋"/>
          <w:bCs w:val="0"/>
          <w:highlight w:val="none"/>
        </w:rPr>
        <w:t>般公共预算财政拨款项目支出决算表</w:t>
      </w:r>
      <w:r>
        <w:tab/>
      </w:r>
      <w:r>
        <w:fldChar w:fldCharType="begin"/>
      </w:r>
      <w:r>
        <w:instrText xml:space="preserve"> PAGEREF _Toc740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_Toc21555 </w:instrText>
      </w:r>
      <w:r>
        <w:fldChar w:fldCharType="separate"/>
      </w:r>
      <w:r>
        <w:rPr>
          <w:rFonts w:hint="eastAsia" w:ascii="仿宋" w:hAnsi="仿宋" w:eastAsia="仿宋"/>
          <w:bCs w:val="0"/>
          <w:highlight w:val="none"/>
        </w:rPr>
        <w:t>十、</w:t>
      </w:r>
      <w:r>
        <w:rPr>
          <w:rFonts w:hint="eastAsia" w:ascii="仿宋" w:hAnsi="仿宋" w:eastAsia="仿宋"/>
          <w:highlight w:val="none"/>
        </w:rPr>
        <w:t>政</w:t>
      </w:r>
      <w:r>
        <w:rPr>
          <w:rFonts w:hint="eastAsia" w:ascii="仿宋" w:hAnsi="仿宋" w:eastAsia="仿宋"/>
          <w:bCs w:val="0"/>
          <w:highlight w:val="none"/>
        </w:rPr>
        <w:t>府性基金预算财政拨款收入支出决算表</w:t>
      </w:r>
      <w:r>
        <w:tab/>
      </w:r>
      <w:r>
        <w:fldChar w:fldCharType="begin"/>
      </w:r>
      <w:r>
        <w:instrText xml:space="preserve"> PAGEREF _Toc21555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_Toc225 </w:instrText>
      </w:r>
      <w:r>
        <w:fldChar w:fldCharType="separate"/>
      </w:r>
      <w:r>
        <w:rPr>
          <w:rFonts w:hint="eastAsia" w:ascii="仿宋" w:hAnsi="仿宋" w:eastAsia="仿宋"/>
          <w:bCs w:val="0"/>
          <w:highlight w:val="none"/>
        </w:rPr>
        <w:t>十一、</w:t>
      </w:r>
      <w:r>
        <w:rPr>
          <w:rFonts w:hint="eastAsia" w:ascii="仿宋" w:hAnsi="仿宋" w:eastAsia="仿宋"/>
          <w:highlight w:val="none"/>
        </w:rPr>
        <w:t>国</w:t>
      </w:r>
      <w:r>
        <w:rPr>
          <w:rFonts w:hint="eastAsia" w:ascii="仿宋" w:hAnsi="仿宋" w:eastAsia="仿宋"/>
          <w:bCs w:val="0"/>
          <w:highlight w:val="none"/>
        </w:rPr>
        <w:t>有资本经营预算</w:t>
      </w:r>
      <w:r>
        <w:rPr>
          <w:rFonts w:hint="eastAsia" w:ascii="仿宋" w:hAnsi="仿宋" w:eastAsia="仿宋"/>
          <w:bCs w:val="0"/>
          <w:highlight w:val="none"/>
          <w:lang w:eastAsia="zh-CN"/>
        </w:rPr>
        <w:t>财政拨款收入</w:t>
      </w:r>
      <w:r>
        <w:rPr>
          <w:rFonts w:hint="eastAsia" w:ascii="仿宋" w:hAnsi="仿宋" w:eastAsia="仿宋"/>
          <w:bCs w:val="0"/>
          <w:highlight w:val="none"/>
        </w:rPr>
        <w:t>支出决算表</w:t>
      </w:r>
      <w:r>
        <w:tab/>
      </w:r>
      <w:r>
        <w:fldChar w:fldCharType="begin"/>
      </w:r>
      <w:r>
        <w:instrText xml:space="preserve"> PAGEREF _Toc225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_Toc28402 </w:instrText>
      </w:r>
      <w:r>
        <w:fldChar w:fldCharType="separate"/>
      </w:r>
      <w:r>
        <w:rPr>
          <w:rFonts w:hint="eastAsia" w:ascii="仿宋" w:hAnsi="仿宋" w:eastAsia="仿宋"/>
          <w:bCs w:val="0"/>
          <w:highlight w:val="none"/>
        </w:rPr>
        <w:t>十二、</w:t>
      </w:r>
      <w:r>
        <w:rPr>
          <w:rFonts w:hint="eastAsia" w:ascii="仿宋" w:hAnsi="仿宋" w:eastAsia="仿宋"/>
          <w:bCs w:val="0"/>
          <w:highlight w:val="none"/>
          <w:lang w:eastAsia="zh-CN"/>
        </w:rPr>
        <w:t>国有资本经营预算财政拨款支出决算表</w:t>
      </w:r>
      <w:r>
        <w:tab/>
      </w:r>
      <w:r>
        <w:fldChar w:fldCharType="begin"/>
      </w:r>
      <w:r>
        <w:instrText xml:space="preserve"> PAGEREF _Toc28402 \h </w:instrText>
      </w:r>
      <w:r>
        <w:fldChar w:fldCharType="separate"/>
      </w:r>
      <w:r>
        <w:t>74</w:t>
      </w:r>
      <w:r>
        <w:fldChar w:fldCharType="end"/>
      </w:r>
      <w:r>
        <w:fldChar w:fldCharType="end"/>
      </w:r>
    </w:p>
    <w:p>
      <w:pPr>
        <w:pStyle w:val="28"/>
        <w:tabs>
          <w:tab w:val="right" w:leader="dot" w:pos="8306"/>
        </w:tabs>
      </w:pPr>
      <w:r>
        <w:fldChar w:fldCharType="begin"/>
      </w:r>
      <w:r>
        <w:instrText xml:space="preserve"> HYPERLINK \l _Toc1699 </w:instrText>
      </w:r>
      <w:r>
        <w:fldChar w:fldCharType="separate"/>
      </w:r>
      <w:r>
        <w:rPr>
          <w:rFonts w:hint="eastAsia" w:ascii="仿宋" w:hAnsi="仿宋" w:eastAsia="仿宋"/>
          <w:bCs w:val="0"/>
          <w:highlight w:val="none"/>
        </w:rPr>
        <w:t>十三、</w:t>
      </w:r>
      <w:r>
        <w:rPr>
          <w:rFonts w:hint="eastAsia" w:ascii="仿宋" w:hAnsi="仿宋" w:eastAsia="仿宋"/>
          <w:bCs w:val="0"/>
          <w:highlight w:val="none"/>
          <w:lang w:eastAsia="zh-CN"/>
        </w:rPr>
        <w:t>财政拨款“三公”经费支出决算表</w:t>
      </w:r>
      <w:r>
        <w:tab/>
      </w:r>
      <w:r>
        <w:fldChar w:fldCharType="begin"/>
      </w:r>
      <w:r>
        <w:instrText xml:space="preserve"> PAGEREF _Toc1699 \h </w:instrText>
      </w:r>
      <w:r>
        <w:fldChar w:fldCharType="separate"/>
      </w:r>
      <w:r>
        <w:t>74</w:t>
      </w:r>
      <w:r>
        <w:fldChar w:fldCharType="end"/>
      </w:r>
      <w:r>
        <w:fldChar w:fldCharType="end"/>
      </w:r>
    </w:p>
    <w:p>
      <w:pPr>
        <w:pStyle w:val="11"/>
      </w:pPr>
      <w:r>
        <w:rPr>
          <w:b/>
        </w:rPr>
        <w:fldChar w:fldCharType="end"/>
      </w:r>
    </w:p>
    <w:p>
      <w:pPr>
        <w:widowControl/>
        <w:jc w:val="center"/>
        <w:rPr>
          <w:rFonts w:ascii="黑体" w:hAnsi="黑体" w:eastAsia="黑体" w:cs="Times New Roman"/>
          <w:color w:val="auto"/>
          <w:sz w:val="28"/>
          <w:szCs w:val="28"/>
          <w:highlight w:val="none"/>
        </w:rPr>
      </w:pPr>
    </w:p>
    <w:p>
      <w:pPr>
        <w:rPr>
          <w:color w:val="auto"/>
          <w:highlight w:val="none"/>
        </w:rPr>
      </w:pPr>
    </w:p>
    <w:p>
      <w:pPr>
        <w:pStyle w:val="11"/>
        <w:rPr>
          <w:color w:val="auto"/>
          <w:highlight w:val="none"/>
        </w:rPr>
      </w:pPr>
    </w:p>
    <w:p>
      <w:pPr>
        <w:pStyle w:val="8"/>
        <w:rPr>
          <w:color w:val="auto"/>
          <w:highlight w:val="none"/>
        </w:rPr>
      </w:pPr>
    </w:p>
    <w:p>
      <w:pPr>
        <w:pStyle w:val="8"/>
        <w:rPr>
          <w:color w:val="auto"/>
          <w:highlight w:val="none"/>
        </w:rPr>
      </w:pPr>
    </w:p>
    <w:p>
      <w:pPr>
        <w:widowControl/>
        <w:spacing w:line="440" w:lineRule="exact"/>
        <w:jc w:val="left"/>
        <w:rPr>
          <w:rFonts w:ascii="仿宋" w:hAnsi="仿宋" w:eastAsia="仿宋"/>
          <w:bCs/>
          <w:color w:val="auto"/>
          <w:kern w:val="44"/>
          <w:sz w:val="24"/>
          <w:highlight w:val="none"/>
        </w:rPr>
      </w:pPr>
      <w:bookmarkStart w:id="6" w:name="_Toc15377196"/>
      <w:bookmarkStart w:id="7" w:name="_Toc15396599"/>
      <w:r>
        <w:rPr>
          <w:rFonts w:ascii="仿宋" w:hAnsi="仿宋" w:eastAsia="仿宋"/>
          <w:b/>
          <w:color w:val="auto"/>
          <w:sz w:val="24"/>
          <w:highlight w:val="none"/>
        </w:rPr>
        <w:br w:type="page"/>
      </w:r>
    </w:p>
    <w:p>
      <w:pPr>
        <w:pStyle w:val="3"/>
        <w:pageBreakBefore w:val="0"/>
        <w:kinsoku/>
        <w:wordWrap/>
        <w:overflowPunct/>
        <w:topLinePunct w:val="0"/>
        <w:autoSpaceDE/>
        <w:autoSpaceDN/>
        <w:bidi w:val="0"/>
        <w:spacing w:line="560" w:lineRule="exact"/>
        <w:jc w:val="center"/>
        <w:textAlignment w:val="auto"/>
        <w:rPr>
          <w:rStyle w:val="19"/>
          <w:rFonts w:ascii="黑体" w:hAnsi="黑体" w:eastAsia="黑体"/>
          <w:b/>
          <w:bCs w:val="0"/>
          <w:color w:val="auto"/>
          <w:highlight w:val="none"/>
        </w:rPr>
      </w:pPr>
      <w:bookmarkStart w:id="8" w:name="_Toc8954"/>
      <w:r>
        <w:rPr>
          <w:rFonts w:hint="eastAsia" w:ascii="黑体" w:hAnsi="黑体" w:eastAsia="黑体"/>
          <w:b w:val="0"/>
          <w:color w:val="auto"/>
          <w:highlight w:val="none"/>
        </w:rPr>
        <w:t xml:space="preserve">第一部分 </w:t>
      </w:r>
      <w:r>
        <w:rPr>
          <w:rStyle w:val="19"/>
          <w:rFonts w:hint="eastAsia" w:ascii="黑体" w:hAnsi="黑体" w:eastAsia="黑体"/>
          <w:b w:val="0"/>
          <w:bCs w:val="0"/>
          <w:color w:val="auto"/>
          <w:highlight w:val="none"/>
        </w:rPr>
        <w:t>部门概况</w:t>
      </w:r>
      <w:bookmarkEnd w:id="6"/>
      <w:bookmarkEnd w:id="7"/>
      <w:bookmarkEnd w:id="8"/>
    </w:p>
    <w:p>
      <w:pPr>
        <w:pageBreakBefore w:val="0"/>
        <w:widowControl/>
        <w:kinsoku/>
        <w:wordWrap/>
        <w:overflowPunct/>
        <w:topLinePunct w:val="0"/>
        <w:autoSpaceDE/>
        <w:autoSpaceDN/>
        <w:bidi w:val="0"/>
        <w:spacing w:line="560" w:lineRule="exact"/>
        <w:jc w:val="left"/>
        <w:textAlignment w:val="auto"/>
        <w:rPr>
          <w:rFonts w:ascii="黑体" w:eastAsia="黑体"/>
          <w:color w:val="auto"/>
          <w:sz w:val="32"/>
          <w:szCs w:val="32"/>
          <w:highlight w:val="none"/>
        </w:rPr>
      </w:pPr>
    </w:p>
    <w:p>
      <w:pPr>
        <w:keepNext w:val="0"/>
        <w:pageBreakBefore w:val="0"/>
        <w:widowControl w:val="0"/>
        <w:numPr>
          <w:ilvl w:val="0"/>
          <w:numId w:val="0"/>
        </w:numPr>
        <w:kinsoku/>
        <w:wordWrap/>
        <w:overflowPunct/>
        <w:topLinePunct w:val="0"/>
        <w:autoSpaceDE/>
        <w:autoSpaceDN/>
        <w:bidi w:val="0"/>
        <w:spacing w:beforeAutospacing="0" w:afterAutospacing="0" w:line="560" w:lineRule="exact"/>
        <w:ind w:right="0" w:rightChars="0" w:firstLine="640" w:firstLineChars="200"/>
        <w:textAlignment w:val="auto"/>
        <w:rPr>
          <w:rStyle w:val="20"/>
          <w:rFonts w:hint="eastAsia" w:ascii="黑体" w:hAnsi="黑体" w:eastAsia="黑体"/>
          <w:b w:val="0"/>
          <w:bCs w:val="0"/>
          <w:color w:val="auto"/>
          <w:highlight w:val="none"/>
          <w:lang w:eastAsia="zh-CN"/>
        </w:rPr>
      </w:pPr>
      <w:r>
        <w:rPr>
          <w:rStyle w:val="20"/>
          <w:rFonts w:hint="eastAsia" w:ascii="黑体" w:hAnsi="黑体" w:eastAsia="黑体"/>
          <w:b w:val="0"/>
          <w:bCs w:val="0"/>
          <w:color w:val="auto"/>
          <w:highlight w:val="none"/>
          <w:lang w:val="en-US" w:eastAsia="zh-CN"/>
        </w:rPr>
        <w:t>一、</w:t>
      </w:r>
      <w:r>
        <w:rPr>
          <w:rStyle w:val="20"/>
          <w:rFonts w:hint="eastAsia" w:ascii="黑体" w:hAnsi="黑体" w:eastAsia="黑体"/>
          <w:b w:val="0"/>
          <w:bCs w:val="0"/>
          <w:color w:val="auto"/>
          <w:highlight w:val="none"/>
          <w:lang w:eastAsia="zh-CN"/>
        </w:rPr>
        <w:t>主要职责</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1.贯彻执行国家法律、法规和公安工作的路线、方针、政策；对全县公安工作进行决策、部署。</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2.掌握国内安全和社会治安情况。</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3.组织实施并指导预防、制止和侦察违法犯罪活动。</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4.组织实施并指导全县公安机关依法查处危害社会治安秩序行为。依法管理户籍、枪支弹药、危险物品和特种行业等工作；管理集会、游行、示威活动；组织、协调处置重大案件、治安事故和骚乱。</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5.负责出入(境)和外国人在我县境内居留、旅行的有关管理工作以及全县公安外事工作。</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6.组织实施消防工作，实行消防监督。</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7.贯彻《警卫工作规定》，警卫国家规定的特定人员，守卫重要的场所和设施。</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8.维护全县道路交通安全，交通秩序以及车辆、驾驶员管理工作；查处交通事故。</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9.指导和管理全县公安机关依法监督机关、团体、企事业单位、学校、重点建设工程的治安保卫工作以及群众性治安组织的治安防范工作；指导企事业单位保卫组织和经济民警、保安队伍的建设。</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10.组织实施全县公安机关的信息通信工作以及全县公共信息网络安全监察工作。</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11.组织实施并指导看守所、治安拘留所的管理工作，开展深挖犯罪，扩大战果等工作。</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12.组织实施全县公安法制建设；指导、检查、监督公安机关执法活动；承担审批治安行政案件以及报批劳动教养案件的审核工作。</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13.组织实施全县科技强警工作，规划公安装备现代化建设。</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14.规划和指导全县公安队伍的现代化、正规化建设以及公安民警的管理、教育、训练。</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15.组织实施全县公安机关督察工作，按规定权限实施对民警的监督；查处公安队伍中的违法违纪案件。</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16.负责涉林、涉野、涉资源违法犯罪活动打击，负责火案侦办。</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17.组织指挥武警中队执行公安任务。</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bidi="ar-SA"/>
        </w:rPr>
        <w:t>18.承办县委、县政府和上级公安机关交办的其他工作。</w:t>
      </w:r>
    </w:p>
    <w:p>
      <w:pPr>
        <w:keepNext w:val="0"/>
        <w:pageBreakBefore w:val="0"/>
        <w:widowControl w:val="0"/>
        <w:kinsoku/>
        <w:wordWrap/>
        <w:overflowPunct/>
        <w:topLinePunct w:val="0"/>
        <w:autoSpaceDE/>
        <w:autoSpaceDN/>
        <w:bidi w:val="0"/>
        <w:spacing w:beforeAutospacing="0" w:afterAutospacing="0" w:line="560" w:lineRule="exact"/>
        <w:ind w:left="0" w:right="0" w:firstLine="640" w:firstLineChars="200"/>
        <w:textAlignment w:val="auto"/>
        <w:rPr>
          <w:rFonts w:hint="eastAsia" w:ascii="仿宋_GB2312" w:eastAsia="仿宋_GB2312" w:cs="仿宋_GB2312"/>
          <w:sz w:val="32"/>
          <w:szCs w:val="32"/>
          <w:lang w:bidi="ar-SA"/>
        </w:rPr>
      </w:pPr>
      <w:bookmarkStart w:id="9" w:name="_Toc15377200"/>
      <w:bookmarkStart w:id="10" w:name="_Toc31585"/>
      <w:bookmarkStart w:id="11" w:name="_Toc15396601"/>
      <w:r>
        <w:rPr>
          <w:rFonts w:hint="eastAsia" w:ascii="仿宋_GB2312" w:eastAsia="仿宋_GB2312" w:cs="仿宋_GB2312"/>
          <w:sz w:val="32"/>
          <w:szCs w:val="32"/>
          <w:lang w:bidi="ar-SA"/>
        </w:rPr>
        <w:t>二、机构设置</w:t>
      </w:r>
      <w:bookmarkEnd w:id="9"/>
      <w:bookmarkEnd w:id="10"/>
      <w:bookmarkEnd w:id="11"/>
    </w:p>
    <w:p>
      <w:pPr>
        <w:keepNext w:val="0"/>
        <w:pageBreakBefore w:val="0"/>
        <w:widowControl w:val="0"/>
        <w:kinsoku/>
        <w:wordWrap/>
        <w:overflowPunct/>
        <w:topLinePunct w:val="0"/>
        <w:autoSpaceDE/>
        <w:autoSpaceDN/>
        <w:bidi w:val="0"/>
        <w:spacing w:beforeAutospacing="0" w:afterAutospacing="0" w:line="560" w:lineRule="exact"/>
        <w:ind w:left="0" w:right="0" w:firstLine="1056" w:firstLineChars="33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val="en-US" w:eastAsia="zh-CN" w:bidi="ar-SA"/>
        </w:rPr>
        <w:t>茂县公安局下属二级预算单位0个，其中行政单位0个，参照公务员管理的事业单位0个，其他事业单位0个</w:t>
      </w:r>
      <w:r>
        <w:rPr>
          <w:rFonts w:hint="eastAsia" w:ascii="仿宋_GB2312" w:eastAsia="仿宋_GB2312" w:cs="仿宋_GB2312"/>
          <w:sz w:val="32"/>
          <w:szCs w:val="32"/>
          <w:lang w:bidi="ar-SA"/>
        </w:rPr>
        <w:t>。</w:t>
      </w:r>
    </w:p>
    <w:p>
      <w:pPr>
        <w:pageBreakBefore w:val="0"/>
        <w:widowControl/>
        <w:kinsoku/>
        <w:wordWrap/>
        <w:overflowPunct/>
        <w:topLinePunct w:val="0"/>
        <w:autoSpaceDE/>
        <w:autoSpaceDN/>
        <w:bidi w:val="0"/>
        <w:spacing w:line="560" w:lineRule="exact"/>
        <w:jc w:val="left"/>
        <w:textAlignment w:val="auto"/>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3"/>
        <w:pageBreakBefore w:val="0"/>
        <w:kinsoku/>
        <w:wordWrap/>
        <w:overflowPunct/>
        <w:topLinePunct w:val="0"/>
        <w:autoSpaceDE/>
        <w:autoSpaceDN/>
        <w:bidi w:val="0"/>
        <w:spacing w:line="560" w:lineRule="exact"/>
        <w:ind w:right="440"/>
        <w:jc w:val="center"/>
        <w:textAlignment w:val="auto"/>
        <w:rPr>
          <w:color w:val="auto"/>
          <w:highlight w:val="none"/>
        </w:rPr>
      </w:pPr>
      <w:bookmarkStart w:id="12" w:name="_Toc15377204"/>
      <w:bookmarkStart w:id="13" w:name="_Toc19280"/>
      <w:bookmarkStart w:id="14" w:name="_Toc15396602"/>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2024年度</w:t>
      </w:r>
      <w:r>
        <w:rPr>
          <w:rStyle w:val="19"/>
          <w:rFonts w:hint="eastAsia" w:ascii="黑体" w:hAnsi="黑体" w:eastAsia="黑体"/>
          <w:b w:val="0"/>
          <w:bCs/>
          <w:color w:val="auto"/>
          <w:highlight w:val="none"/>
        </w:rPr>
        <w:t>部门决算情况说明</w:t>
      </w:r>
      <w:bookmarkEnd w:id="12"/>
      <w:bookmarkEnd w:id="13"/>
      <w:bookmarkEnd w:id="14"/>
    </w:p>
    <w:p>
      <w:pPr>
        <w:pStyle w:val="24"/>
        <w:pageBreakBefore w:val="0"/>
        <w:numPr>
          <w:ilvl w:val="0"/>
          <w:numId w:val="1"/>
        </w:numPr>
        <w:kinsoku/>
        <w:wordWrap/>
        <w:overflowPunct/>
        <w:topLinePunct w:val="0"/>
        <w:autoSpaceDE/>
        <w:autoSpaceDN/>
        <w:bidi w:val="0"/>
        <w:spacing w:line="560" w:lineRule="exact"/>
        <w:ind w:firstLineChars="0"/>
        <w:textAlignment w:val="auto"/>
        <w:outlineLvl w:val="1"/>
        <w:rPr>
          <w:rStyle w:val="20"/>
          <w:rFonts w:ascii="黑体" w:hAnsi="黑体" w:eastAsia="黑体"/>
          <w:b w:val="0"/>
          <w:color w:val="auto"/>
          <w:highlight w:val="none"/>
        </w:rPr>
      </w:pPr>
      <w:bookmarkStart w:id="15" w:name="_Toc26900"/>
      <w:bookmarkStart w:id="16" w:name="_Toc15377205"/>
      <w:bookmarkStart w:id="17" w:name="_Toc15396603"/>
      <w:r>
        <w:rPr>
          <w:rFonts w:hint="eastAsia" w:ascii="黑体" w:hAnsi="黑体" w:eastAsia="黑体"/>
          <w:color w:val="auto"/>
          <w:sz w:val="32"/>
          <w:szCs w:val="32"/>
          <w:highlight w:val="none"/>
        </w:rPr>
        <w:t>收</w:t>
      </w:r>
      <w:r>
        <w:rPr>
          <w:rStyle w:val="20"/>
          <w:rFonts w:hint="eastAsia" w:ascii="黑体" w:hAnsi="黑体" w:eastAsia="黑体"/>
          <w:b w:val="0"/>
          <w:color w:val="auto"/>
          <w:highlight w:val="none"/>
        </w:rPr>
        <w:t>入支出决算总体情况说明</w:t>
      </w:r>
      <w:bookmarkEnd w:id="15"/>
      <w:bookmarkEnd w:id="16"/>
      <w:bookmarkEnd w:id="17"/>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eastAsia="zh-CN"/>
        </w:rPr>
        <w:t>均为7,702.44</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189.52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：人员减少、基本支出减少。</w:t>
      </w:r>
    </w:p>
    <w:p>
      <w:pPr>
        <w:pStyle w:val="2"/>
        <w:jc w:val="center"/>
        <w:rPr>
          <w:rFonts w:ascii="仿宋_GB2312" w:eastAsia="仿宋_GB2312"/>
          <w:color w:val="auto"/>
          <w:sz w:val="32"/>
          <w:szCs w:val="32"/>
          <w:highlight w:val="none"/>
        </w:rPr>
      </w:pPr>
      <w:r>
        <w:rPr>
          <w:rFonts w:hint="eastAsia"/>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4">
            <o:LockedField>false</o:LockedField>
          </o:OLEObject>
        </w:object>
      </w:r>
      <w:r>
        <w:rPr>
          <w:rFonts w:ascii="仿宋_GB2312" w:eastAsia="仿宋_GB2312"/>
          <w:color w:val="auto"/>
          <w:sz w:val="32"/>
          <w:szCs w:val="32"/>
          <w:highlight w:val="none"/>
        </w:rPr>
        <w:drawing>
          <wp:inline distT="0" distB="0" distL="114300" distR="114300">
            <wp:extent cx="5256530" cy="2988310"/>
            <wp:effectExtent l="0" t="0" r="1270" b="2540"/>
            <wp:docPr id="13" name="图表 13" descr="7b0a202020202263686172745265734964223a202235303035333432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4"/>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0"/>
          <w:rFonts w:ascii="黑体" w:hAnsi="黑体" w:eastAsia="黑体"/>
          <w:b w:val="0"/>
          <w:color w:val="auto"/>
          <w:highlight w:val="none"/>
        </w:rPr>
      </w:pPr>
      <w:bookmarkStart w:id="18" w:name="_Toc15377206"/>
      <w:bookmarkStart w:id="19" w:name="_Toc1"/>
      <w:bookmarkStart w:id="20" w:name="_Toc15396604"/>
      <w:r>
        <w:rPr>
          <w:rFonts w:hint="eastAsia" w:ascii="黑体" w:hAnsi="黑体" w:eastAsia="黑体"/>
          <w:color w:val="auto"/>
          <w:sz w:val="32"/>
          <w:szCs w:val="32"/>
          <w:highlight w:val="none"/>
        </w:rPr>
        <w:t>收</w:t>
      </w:r>
      <w:r>
        <w:rPr>
          <w:rStyle w:val="20"/>
          <w:rFonts w:hint="eastAsia" w:ascii="黑体" w:hAnsi="黑体" w:eastAsia="黑体"/>
          <w:b w:val="0"/>
          <w:color w:val="auto"/>
          <w:highlight w:val="none"/>
        </w:rPr>
        <w:t>入决算情况说明</w:t>
      </w:r>
      <w:bookmarkEnd w:id="18"/>
      <w:bookmarkEnd w:id="19"/>
      <w:bookmarkEnd w:id="2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default" w:ascii="仿宋_GB2312" w:hAnsi="仿宋_GB2312" w:eastAsia="仿宋_GB2312" w:cs="仿宋_GB2312"/>
          <w:color w:val="auto"/>
          <w:sz w:val="32"/>
          <w:szCs w:val="32"/>
          <w:highlight w:val="none"/>
          <w:lang w:val="en-US" w:eastAsia="zh-CN"/>
        </w:rPr>
      </w:pPr>
      <w:bookmarkStart w:id="21" w:name="_Toc24504"/>
      <w:bookmarkStart w:id="22" w:name="_Toc2726"/>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本年收入合计</w:t>
      </w:r>
      <w:r>
        <w:rPr>
          <w:rFonts w:hint="eastAsia" w:ascii="仿宋_GB2312" w:hAnsi="仿宋_GB2312" w:eastAsia="仿宋_GB2312" w:cs="仿宋_GB2312"/>
          <w:color w:val="auto"/>
          <w:sz w:val="32"/>
          <w:szCs w:val="32"/>
          <w:highlight w:val="none"/>
          <w:lang w:eastAsia="zh-CN"/>
        </w:rPr>
        <w:t>7,702.44</w:t>
      </w:r>
      <w:r>
        <w:rPr>
          <w:rFonts w:hint="eastAsia" w:ascii="仿宋_GB2312" w:hAnsi="仿宋_GB2312" w:eastAsia="仿宋_GB2312" w:cs="仿宋_GB2312"/>
          <w:color w:val="auto"/>
          <w:sz w:val="32"/>
          <w:szCs w:val="32"/>
          <w:highlight w:val="none"/>
        </w:rPr>
        <w:t>万元，其中：一般公共预算财政拨款收入</w:t>
      </w:r>
      <w:r>
        <w:rPr>
          <w:rFonts w:hint="eastAsia" w:ascii="仿宋_GB2312" w:hAnsi="仿宋_GB2312" w:eastAsia="仿宋_GB2312" w:cs="仿宋_GB2312"/>
          <w:color w:val="auto"/>
          <w:sz w:val="32"/>
          <w:szCs w:val="32"/>
          <w:highlight w:val="none"/>
          <w:lang w:eastAsia="zh-CN"/>
        </w:rPr>
        <w:t>7,702.44</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bookmarkEnd w:id="21"/>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政府性基金</w:t>
      </w:r>
      <w:r>
        <w:rPr>
          <w:rFonts w:hint="eastAsia" w:ascii="仿宋_GB2312" w:hAnsi="仿宋_GB2312" w:eastAsia="仿宋_GB2312" w:cs="仿宋_GB2312"/>
          <w:color w:val="auto"/>
          <w:sz w:val="32"/>
          <w:szCs w:val="32"/>
          <w:highlight w:val="none"/>
        </w:rPr>
        <w:t>预算财政拨款收入</w:t>
      </w:r>
      <w:r>
        <w:rPr>
          <w:rFonts w:hint="eastAsia" w:ascii="仿宋_GB2312" w:hAnsi="仿宋_GB2312" w:eastAsia="仿宋_GB2312" w:cs="仿宋_GB2312"/>
          <w:color w:val="auto"/>
          <w:sz w:val="32"/>
          <w:szCs w:val="32"/>
          <w:highlight w:val="none"/>
          <w:lang w:val="en-US" w:eastAsia="zh-CN"/>
        </w:rPr>
        <w:t>0万元，占0%。</w:t>
      </w:r>
    </w:p>
    <w:bookmarkEnd w:id="22"/>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sz w:val="32"/>
          <w:szCs w:val="32"/>
          <w:highlight w:val="none"/>
        </w:rPr>
      </w:pPr>
    </w:p>
    <w:p>
      <w:pPr>
        <w:pStyle w:val="2"/>
        <w:jc w:val="center"/>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drawing>
          <wp:inline distT="0" distB="0" distL="114300" distR="114300">
            <wp:extent cx="5256530" cy="2988310"/>
            <wp:effectExtent l="0" t="0" r="1270" b="254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0"/>
          <w:rFonts w:ascii="黑体" w:hAnsi="黑体" w:eastAsia="黑体"/>
          <w:b w:val="0"/>
          <w:color w:val="auto"/>
          <w:highlight w:val="none"/>
        </w:rPr>
      </w:pPr>
      <w:bookmarkStart w:id="23" w:name="_Toc15377207"/>
      <w:bookmarkStart w:id="24" w:name="_Toc32216"/>
      <w:bookmarkStart w:id="25" w:name="_Toc15396605"/>
      <w:r>
        <w:rPr>
          <w:rFonts w:hint="eastAsia" w:ascii="黑体" w:hAnsi="黑体" w:eastAsia="黑体"/>
          <w:color w:val="auto"/>
          <w:sz w:val="32"/>
          <w:szCs w:val="32"/>
          <w:highlight w:val="none"/>
        </w:rPr>
        <w:t>支</w:t>
      </w:r>
      <w:r>
        <w:rPr>
          <w:rStyle w:val="20"/>
          <w:rFonts w:hint="eastAsia" w:ascii="黑体" w:hAnsi="黑体" w:eastAsia="黑体"/>
          <w:b w:val="0"/>
          <w:color w:val="auto"/>
          <w:highlight w:val="none"/>
        </w:rPr>
        <w:t>出决算情况说明</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bookmarkStart w:id="26" w:name="_Toc4629"/>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年度本年支出合计7,702.44万元，其中：基本支出</w:t>
      </w:r>
      <w:r>
        <w:rPr>
          <w:rFonts w:hint="eastAsia" w:ascii="仿宋_GB2312" w:hAnsi="仿宋_GB2312" w:eastAsia="仿宋_GB2312" w:cs="仿宋_GB2312"/>
          <w:color w:val="auto"/>
          <w:sz w:val="32"/>
          <w:szCs w:val="32"/>
          <w:highlight w:val="none"/>
          <w:lang w:val="en-US" w:eastAsia="zh-CN"/>
        </w:rPr>
        <w:t>5,814.05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75.48</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color w:val="auto"/>
          <w:sz w:val="32"/>
          <w:szCs w:val="32"/>
          <w:highlight w:val="none"/>
          <w:lang w:val="en-US" w:eastAsia="zh-CN"/>
        </w:rPr>
        <w:t>1,888.39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color w:val="auto"/>
          <w:sz w:val="32"/>
          <w:szCs w:val="32"/>
          <w:highlight w:val="none"/>
          <w:lang w:val="en-US" w:eastAsia="zh-CN"/>
        </w:rPr>
        <w:t>24.52</w:t>
      </w:r>
      <w:r>
        <w:rPr>
          <w:rFonts w:hint="eastAsia" w:ascii="仿宋_GB2312" w:hAnsi="仿宋_GB2312" w:eastAsia="仿宋_GB2312" w:cs="仿宋_GB2312"/>
          <w:color w:val="auto"/>
          <w:sz w:val="32"/>
          <w:szCs w:val="32"/>
          <w:highlight w:val="none"/>
          <w:lang w:eastAsia="zh-CN"/>
        </w:rPr>
        <w:t>%。</w:t>
      </w:r>
      <w:bookmarkEnd w:id="26"/>
    </w:p>
    <w:p>
      <w:pPr>
        <w:pStyle w:val="2"/>
        <w:jc w:val="center"/>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drawing>
          <wp:inline distT="0" distB="0" distL="114300" distR="114300">
            <wp:extent cx="5256530" cy="2988310"/>
            <wp:effectExtent l="0" t="0" r="1270" b="254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0"/>
          <w:rFonts w:ascii="黑体" w:hAnsi="黑体" w:eastAsia="黑体"/>
          <w:b w:val="0"/>
          <w:color w:val="auto"/>
          <w:highlight w:val="none"/>
        </w:rPr>
      </w:pPr>
      <w:bookmarkStart w:id="27" w:name="_Toc15377208"/>
      <w:bookmarkStart w:id="28" w:name="_Toc7447"/>
      <w:bookmarkStart w:id="29" w:name="_Toc15396606"/>
      <w:r>
        <w:rPr>
          <w:rFonts w:hint="eastAsia" w:ascii="黑体" w:hAnsi="黑体" w:eastAsia="黑体"/>
          <w:color w:val="auto"/>
          <w:sz w:val="32"/>
          <w:szCs w:val="32"/>
          <w:highlight w:val="none"/>
        </w:rPr>
        <w:t>四、财</w:t>
      </w:r>
      <w:r>
        <w:rPr>
          <w:rStyle w:val="20"/>
          <w:rFonts w:hint="eastAsia" w:ascii="黑体" w:hAnsi="黑体" w:eastAsia="黑体"/>
          <w:b w:val="0"/>
          <w:color w:val="auto"/>
          <w:highlight w:val="none"/>
        </w:rPr>
        <w:t>政拨款收入支出决算总体情况说明</w:t>
      </w:r>
      <w:bookmarkEnd w:id="27"/>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财政拨款收、支总计</w:t>
      </w:r>
      <w:r>
        <w:rPr>
          <w:rFonts w:hint="eastAsia" w:ascii="仿宋_GB2312" w:hAnsi="仿宋_GB2312" w:eastAsia="仿宋_GB2312" w:cs="仿宋_GB2312"/>
          <w:color w:val="auto"/>
          <w:sz w:val="32"/>
          <w:szCs w:val="32"/>
          <w:highlight w:val="none"/>
          <w:lang w:eastAsia="zh-CN"/>
        </w:rPr>
        <w:t>均为7,702.44</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相比，财政拨款收、支总计各</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189.52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2.40</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：人员减少、基本支出减少。</w:t>
      </w:r>
    </w:p>
    <w:p>
      <w:pPr>
        <w:pStyle w:val="12"/>
        <w:jc w:val="center"/>
        <w:rPr>
          <w:rFonts w:hint="eastAsia" w:ascii="仿宋" w:hAnsi="仿宋" w:eastAsia="仿宋"/>
          <w:b/>
          <w:color w:val="auto"/>
          <w:sz w:val="32"/>
          <w:szCs w:val="32"/>
          <w:highlight w:val="none"/>
          <w:lang w:eastAsia="zh-CN"/>
        </w:rPr>
      </w:pPr>
      <w:r>
        <w:rPr>
          <w:rFonts w:ascii="仿宋_GB2312" w:eastAsia="仿宋_GB2312"/>
          <w:color w:val="auto"/>
          <w:sz w:val="32"/>
          <w:szCs w:val="32"/>
          <w:highlight w:val="none"/>
        </w:rPr>
        <w:drawing>
          <wp:inline distT="0" distB="0" distL="114300" distR="114300">
            <wp:extent cx="5256530" cy="2988310"/>
            <wp:effectExtent l="0" t="0" r="1270" b="2540"/>
            <wp:docPr id="1" name="图表 1" descr="7b0a202020202263686172745265734964223a202235303035333432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0"/>
          <w:rFonts w:ascii="黑体" w:hAnsi="黑体" w:eastAsia="黑体"/>
          <w:b w:val="0"/>
          <w:color w:val="auto"/>
          <w:highlight w:val="none"/>
        </w:rPr>
      </w:pPr>
      <w:bookmarkStart w:id="30" w:name="_Toc15396607"/>
      <w:bookmarkStart w:id="31" w:name="_Toc15377209"/>
      <w:bookmarkStart w:id="32" w:name="_Toc2437"/>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0"/>
          <w:rFonts w:hint="eastAsia" w:ascii="黑体" w:hAnsi="黑体" w:eastAsia="黑体"/>
          <w:b w:val="0"/>
          <w:color w:val="auto"/>
          <w:highlight w:val="none"/>
        </w:rPr>
        <w:t>般公共预算财政拨款支出决算情况说明</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_GB2312" w:hAnsi="楷体_GB2312" w:eastAsia="楷体_GB2312" w:cs="楷体_GB2312"/>
          <w:b/>
          <w:color w:val="auto"/>
          <w:sz w:val="32"/>
          <w:szCs w:val="32"/>
          <w:highlight w:val="none"/>
        </w:rPr>
      </w:pPr>
      <w:bookmarkStart w:id="33" w:name="_Toc15377210"/>
      <w:r>
        <w:rPr>
          <w:rFonts w:hint="eastAsia" w:ascii="楷体_GB2312" w:hAnsi="楷体_GB2312" w:eastAsia="楷体_GB2312" w:cs="楷体_GB2312"/>
          <w:b/>
          <w:color w:val="auto"/>
          <w:sz w:val="32"/>
          <w:szCs w:val="32"/>
          <w:highlight w:val="none"/>
        </w:rPr>
        <w:t>（一）一般公共预算财政拨款支出决算总体情况</w:t>
      </w:r>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一般公共预算财政拨款支出</w:t>
      </w:r>
      <w:r>
        <w:rPr>
          <w:rFonts w:hint="eastAsia" w:ascii="仿宋_GB2312" w:hAnsi="仿宋_GB2312" w:eastAsia="仿宋_GB2312" w:cs="仿宋_GB2312"/>
          <w:color w:val="auto"/>
          <w:sz w:val="32"/>
          <w:szCs w:val="32"/>
          <w:highlight w:val="none"/>
          <w:lang w:eastAsia="zh-CN"/>
        </w:rPr>
        <w:t>7,702.44</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相比，一般公共预算财政拨款</w:t>
      </w:r>
      <w:r>
        <w:rPr>
          <w:rFonts w:hint="eastAsia" w:ascii="仿宋_GB2312" w:hAnsi="仿宋_GB2312" w:eastAsia="仿宋_GB2312" w:cs="仿宋_GB2312"/>
          <w:color w:val="auto"/>
          <w:sz w:val="32"/>
          <w:szCs w:val="32"/>
          <w:highlight w:val="none"/>
          <w:lang w:eastAsia="zh-CN"/>
        </w:rPr>
        <w:t>支出减少</w:t>
      </w:r>
      <w:r>
        <w:rPr>
          <w:rFonts w:hint="eastAsia" w:ascii="仿宋_GB2312" w:hAnsi="仿宋_GB2312" w:eastAsia="仿宋_GB2312" w:cs="仿宋_GB2312"/>
          <w:color w:val="auto"/>
          <w:sz w:val="32"/>
          <w:szCs w:val="32"/>
          <w:highlight w:val="none"/>
          <w:lang w:val="en-US" w:eastAsia="zh-CN"/>
        </w:rPr>
        <w:t>189.52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2.40</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eastAsia="zh-CN"/>
        </w:rPr>
        <w:t>：人员减少、基本支出减少。</w:t>
      </w:r>
    </w:p>
    <w:p>
      <w:pPr>
        <w:spacing w:line="600" w:lineRule="exact"/>
        <w:ind w:firstLine="640" w:firstLineChars="200"/>
        <w:rPr>
          <w:rFonts w:ascii="仿宋" w:hAnsi="仿宋" w:eastAsia="仿宋"/>
          <w:color w:val="auto"/>
          <w:sz w:val="32"/>
          <w:szCs w:val="32"/>
          <w:highlight w:val="none"/>
        </w:rPr>
      </w:pPr>
    </w:p>
    <w:p>
      <w:pPr>
        <w:pStyle w:val="2"/>
        <w:jc w:val="center"/>
        <w:rPr>
          <w:rFonts w:ascii="仿宋" w:hAnsi="仿宋" w:eastAsia="仿宋"/>
          <w:color w:val="auto"/>
          <w:sz w:val="32"/>
          <w:szCs w:val="32"/>
          <w:highlight w:val="none"/>
        </w:rPr>
      </w:pPr>
      <w:r>
        <w:rPr>
          <w:rFonts w:ascii="仿宋_GB2312" w:eastAsia="仿宋_GB2312"/>
          <w:color w:val="auto"/>
          <w:sz w:val="32"/>
          <w:szCs w:val="32"/>
          <w:highlight w:val="none"/>
        </w:rPr>
        <w:drawing>
          <wp:inline distT="0" distB="0" distL="114300" distR="114300">
            <wp:extent cx="5256530" cy="2988310"/>
            <wp:effectExtent l="0" t="0" r="1270" b="2540"/>
            <wp:docPr id="3" name="图表 3" descr="7b0a202020202263686172745265734964223a202235303035333432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 w:hAnsi="仿宋" w:eastAsia="仿宋"/>
          <w:b/>
          <w:color w:val="auto"/>
          <w:sz w:val="32"/>
          <w:szCs w:val="32"/>
          <w:highlight w:val="none"/>
        </w:rPr>
      </w:pPr>
      <w:bookmarkStart w:id="34" w:name="_Toc15377211"/>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（二）一般公共预算财政拨款支出决算结构情况</w:t>
      </w:r>
      <w:bookmarkEnd w:id="34"/>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一般公共预算财政拨款支出</w:t>
      </w:r>
      <w:r>
        <w:rPr>
          <w:rFonts w:hint="eastAsia" w:ascii="仿宋_GB2312" w:hAnsi="仿宋_GB2312" w:eastAsia="仿宋_GB2312" w:cs="仿宋_GB2312"/>
          <w:color w:val="auto"/>
          <w:sz w:val="32"/>
          <w:szCs w:val="32"/>
          <w:highlight w:val="none"/>
          <w:lang w:eastAsia="zh-CN"/>
        </w:rPr>
        <w:t>7,702.44</w:t>
      </w:r>
      <w:r>
        <w:rPr>
          <w:rFonts w:hint="eastAsia" w:ascii="仿宋_GB2312" w:hAnsi="仿宋_GB2312" w:eastAsia="仿宋_GB2312" w:cs="仿宋_GB2312"/>
          <w:color w:val="auto"/>
          <w:sz w:val="32"/>
          <w:szCs w:val="32"/>
          <w:highlight w:val="none"/>
        </w:rPr>
        <w:t>万元，主要用于以下方面:公共安全（类）支出6,448.5</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83.72</w:t>
      </w:r>
      <w:r>
        <w:rPr>
          <w:rFonts w:hint="eastAsia" w:ascii="仿宋_GB2312" w:hAnsi="仿宋_GB2312" w:eastAsia="仿宋_GB2312" w:cs="仿宋_GB2312"/>
          <w:color w:val="auto"/>
          <w:sz w:val="32"/>
          <w:szCs w:val="32"/>
          <w:highlight w:val="none"/>
        </w:rPr>
        <w:t>%；社会保障和就业支出</w:t>
      </w:r>
      <w:r>
        <w:rPr>
          <w:rFonts w:hint="eastAsia" w:ascii="仿宋_GB2312" w:hAnsi="仿宋_GB2312" w:eastAsia="仿宋_GB2312" w:cs="仿宋_GB2312"/>
          <w:color w:val="auto"/>
          <w:sz w:val="32"/>
          <w:szCs w:val="32"/>
          <w:highlight w:val="none"/>
          <w:lang w:val="en-US" w:eastAsia="zh-CN"/>
        </w:rPr>
        <w:t>615.37</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7.99</w:t>
      </w:r>
      <w:r>
        <w:rPr>
          <w:rFonts w:hint="eastAsia" w:ascii="仿宋_GB2312" w:hAnsi="仿宋_GB2312" w:eastAsia="仿宋_GB2312" w:cs="仿宋_GB2312"/>
          <w:color w:val="auto"/>
          <w:sz w:val="32"/>
          <w:szCs w:val="32"/>
          <w:highlight w:val="none"/>
        </w:rPr>
        <w:t>%；卫生健康支出273.26万元，占</w:t>
      </w:r>
      <w:r>
        <w:rPr>
          <w:rFonts w:hint="eastAsia" w:ascii="仿宋_GB2312" w:hAnsi="仿宋_GB2312" w:eastAsia="仿宋_GB2312" w:cs="仿宋_GB2312"/>
          <w:color w:val="auto"/>
          <w:sz w:val="32"/>
          <w:szCs w:val="32"/>
          <w:highlight w:val="none"/>
          <w:lang w:val="en-US" w:eastAsia="zh-CN"/>
        </w:rPr>
        <w:t>3.55</w:t>
      </w:r>
      <w:r>
        <w:rPr>
          <w:rFonts w:hint="eastAsia" w:ascii="仿宋_GB2312" w:hAnsi="仿宋_GB2312" w:eastAsia="仿宋_GB2312" w:cs="仿宋_GB2312"/>
          <w:color w:val="auto"/>
          <w:sz w:val="32"/>
          <w:szCs w:val="32"/>
          <w:highlight w:val="none"/>
        </w:rPr>
        <w:t>%；住房保障支出365.2</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4.74</w:t>
      </w:r>
      <w:r>
        <w:rPr>
          <w:rFonts w:hint="eastAsia" w:ascii="仿宋_GB2312" w:hAnsi="仿宋_GB2312" w:eastAsia="仿宋_GB2312" w:cs="仿宋_GB2312"/>
          <w:color w:val="auto"/>
          <w:sz w:val="32"/>
          <w:szCs w:val="32"/>
          <w:highlight w:val="none"/>
        </w:rPr>
        <w:t>%。</w:t>
      </w:r>
    </w:p>
    <w:p>
      <w:pPr>
        <w:spacing w:line="600" w:lineRule="exact"/>
        <w:ind w:firstLine="640"/>
        <w:rPr>
          <w:rFonts w:ascii="仿宋" w:hAnsi="仿宋" w:eastAsia="仿宋"/>
          <w:color w:val="auto"/>
          <w:sz w:val="32"/>
          <w:szCs w:val="32"/>
          <w:highlight w:val="none"/>
        </w:rPr>
      </w:pPr>
    </w:p>
    <w:p>
      <w:pPr>
        <w:pStyle w:val="2"/>
        <w:jc w:val="center"/>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drawing>
          <wp:inline distT="0" distB="0" distL="114300" distR="114300">
            <wp:extent cx="5256530" cy="2988310"/>
            <wp:effectExtent l="0" t="0" r="1270" b="2540"/>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楷体_GB2312" w:hAnsi="楷体_GB2312" w:eastAsia="楷体_GB2312" w:cs="楷体_GB2312"/>
          <w:b/>
          <w:color w:val="auto"/>
          <w:sz w:val="32"/>
          <w:szCs w:val="32"/>
          <w:highlight w:val="none"/>
        </w:rPr>
      </w:pPr>
      <w:bookmarkStart w:id="35" w:name="_Toc15377212"/>
      <w:r>
        <w:rPr>
          <w:rFonts w:hint="eastAsia" w:ascii="楷体_GB2312" w:hAnsi="楷体_GB2312" w:eastAsia="楷体_GB2312" w:cs="楷体_GB2312"/>
          <w:b/>
          <w:color w:val="auto"/>
          <w:sz w:val="32"/>
          <w:szCs w:val="32"/>
          <w:highlight w:val="none"/>
        </w:rPr>
        <w:t>（三）一般公共预算财政拨款支出决算具体情况</w:t>
      </w:r>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eastAsia="zh-CN"/>
        </w:rPr>
        <w:t>202</w:t>
      </w:r>
      <w:r>
        <w:rPr>
          <w:rStyle w:val="17"/>
          <w:rFonts w:hint="eastAsia" w:ascii="仿宋_GB2312" w:hAnsi="仿宋_GB2312" w:eastAsia="仿宋_GB2312" w:cs="仿宋_GB2312"/>
          <w:b w:val="0"/>
          <w:bCs/>
          <w:color w:val="auto"/>
          <w:sz w:val="32"/>
          <w:szCs w:val="32"/>
          <w:highlight w:val="none"/>
          <w:lang w:val="en-US" w:eastAsia="zh-CN"/>
        </w:rPr>
        <w:t>4</w:t>
      </w:r>
      <w:r>
        <w:rPr>
          <w:rStyle w:val="17"/>
          <w:rFonts w:hint="eastAsia" w:ascii="仿宋_GB2312" w:hAnsi="仿宋_GB2312" w:eastAsia="仿宋_GB2312" w:cs="仿宋_GB2312"/>
          <w:b w:val="0"/>
          <w:bCs/>
          <w:color w:val="auto"/>
          <w:sz w:val="32"/>
          <w:szCs w:val="32"/>
          <w:highlight w:val="none"/>
          <w:lang w:eastAsia="zh-CN"/>
        </w:rPr>
        <w:t>年度一般公共预算支出决算数为7,702.44万元，完成预算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bookmarkStart w:id="36" w:name="_Toc15396608"/>
      <w:bookmarkStart w:id="37" w:name="_Toc8666"/>
      <w:bookmarkStart w:id="38" w:name="_Toc15377214"/>
      <w:r>
        <w:rPr>
          <w:rStyle w:val="17"/>
          <w:rFonts w:hint="eastAsia" w:ascii="仿宋_GB2312" w:hAnsi="仿宋_GB2312" w:eastAsia="仿宋_GB2312" w:cs="仿宋_GB2312"/>
          <w:b w:val="0"/>
          <w:bCs/>
          <w:color w:val="auto"/>
          <w:sz w:val="32"/>
          <w:szCs w:val="32"/>
          <w:highlight w:val="none"/>
          <w:lang w:eastAsia="zh-CN"/>
        </w:rPr>
        <w:t>1.</w:t>
      </w:r>
      <w:r>
        <w:rPr>
          <w:rStyle w:val="17"/>
          <w:rFonts w:hint="eastAsia" w:ascii="仿宋_GB2312" w:hAnsi="仿宋_GB2312" w:eastAsia="仿宋_GB2312" w:cs="仿宋_GB2312"/>
          <w:b w:val="0"/>
          <w:bCs/>
          <w:color w:val="auto"/>
          <w:sz w:val="32"/>
          <w:szCs w:val="32"/>
          <w:highlight w:val="none"/>
          <w:lang w:val="en-US" w:eastAsia="zh-CN"/>
        </w:rPr>
        <w:t>公共安全（204）武装警察部队（01）武装警察部队（01）</w:t>
      </w:r>
      <w:r>
        <w:rPr>
          <w:rStyle w:val="17"/>
          <w:rFonts w:hint="eastAsia" w:ascii="仿宋_GB2312" w:hAnsi="仿宋_GB2312" w:eastAsia="仿宋_GB2312" w:cs="仿宋_GB2312"/>
          <w:b w:val="0"/>
          <w:bCs/>
          <w:color w:val="auto"/>
          <w:sz w:val="32"/>
          <w:szCs w:val="32"/>
          <w:highlight w:val="none"/>
          <w:lang w:eastAsia="zh-CN"/>
        </w:rPr>
        <w:t>: 支出决算为0.99万元，完成预算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2</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公共安全（204）武装警察部队（01）其他武装警察部队支出（99）</w:t>
      </w:r>
      <w:r>
        <w:rPr>
          <w:rStyle w:val="17"/>
          <w:rFonts w:hint="eastAsia" w:ascii="仿宋_GB2312" w:hAnsi="仿宋_GB2312" w:eastAsia="仿宋_GB2312" w:cs="仿宋_GB2312"/>
          <w:b w:val="0"/>
          <w:bCs/>
          <w:color w:val="auto"/>
          <w:sz w:val="32"/>
          <w:szCs w:val="32"/>
          <w:highlight w:val="none"/>
          <w:lang w:eastAsia="zh-CN"/>
        </w:rPr>
        <w:t>: 支出决算为5.69万元，完成预算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3</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公共安全（204）公安（02）行政运行（01）</w:t>
      </w:r>
      <w:r>
        <w:rPr>
          <w:rStyle w:val="17"/>
          <w:rFonts w:hint="eastAsia" w:ascii="仿宋_GB2312" w:hAnsi="仿宋_GB2312" w:eastAsia="仿宋_GB2312" w:cs="仿宋_GB2312"/>
          <w:b w:val="0"/>
          <w:bCs/>
          <w:color w:val="auto"/>
          <w:sz w:val="32"/>
          <w:szCs w:val="32"/>
          <w:highlight w:val="none"/>
          <w:lang w:eastAsia="zh-CN"/>
        </w:rPr>
        <w:t>: 支出决算为4</w:t>
      </w:r>
      <w:r>
        <w:rPr>
          <w:rStyle w:val="17"/>
          <w:rFonts w:hint="eastAsia" w:ascii="仿宋_GB2312" w:hAnsi="仿宋_GB2312" w:eastAsia="仿宋_GB2312" w:cs="仿宋_GB2312"/>
          <w:b w:val="0"/>
          <w:bCs/>
          <w:color w:val="auto"/>
          <w:sz w:val="32"/>
          <w:szCs w:val="32"/>
          <w:highlight w:val="none"/>
          <w:lang w:val="en-US" w:eastAsia="zh-CN"/>
        </w:rPr>
        <w:t>,</w:t>
      </w:r>
      <w:r>
        <w:rPr>
          <w:rStyle w:val="17"/>
          <w:rFonts w:hint="eastAsia" w:ascii="仿宋_GB2312" w:hAnsi="仿宋_GB2312" w:eastAsia="仿宋_GB2312" w:cs="仿宋_GB2312"/>
          <w:b w:val="0"/>
          <w:bCs/>
          <w:color w:val="auto"/>
          <w:sz w:val="32"/>
          <w:szCs w:val="32"/>
          <w:highlight w:val="none"/>
          <w:lang w:eastAsia="zh-CN"/>
        </w:rPr>
        <w:t>563.9</w:t>
      </w:r>
      <w:r>
        <w:rPr>
          <w:rStyle w:val="17"/>
          <w:rFonts w:hint="eastAsia" w:ascii="仿宋_GB2312" w:hAnsi="仿宋_GB2312" w:eastAsia="仿宋_GB2312" w:cs="仿宋_GB2312"/>
          <w:b w:val="0"/>
          <w:bCs/>
          <w:color w:val="auto"/>
          <w:sz w:val="32"/>
          <w:szCs w:val="32"/>
          <w:highlight w:val="none"/>
          <w:lang w:val="en-US" w:eastAsia="zh-CN"/>
        </w:rPr>
        <w:t>3</w:t>
      </w:r>
      <w:r>
        <w:rPr>
          <w:rStyle w:val="17"/>
          <w:rFonts w:hint="eastAsia" w:ascii="仿宋_GB2312" w:hAnsi="仿宋_GB2312" w:eastAsia="仿宋_GB2312" w:cs="仿宋_GB2312"/>
          <w:b w:val="0"/>
          <w:bCs/>
          <w:color w:val="auto"/>
          <w:sz w:val="32"/>
          <w:szCs w:val="32"/>
          <w:highlight w:val="none"/>
          <w:lang w:eastAsia="zh-CN"/>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4</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公共安全（204）公安（02）一般行政管理事务（02）</w:t>
      </w:r>
      <w:r>
        <w:rPr>
          <w:rStyle w:val="17"/>
          <w:rFonts w:hint="eastAsia" w:ascii="仿宋_GB2312" w:hAnsi="仿宋_GB2312" w:eastAsia="仿宋_GB2312" w:cs="仿宋_GB2312"/>
          <w:b w:val="0"/>
          <w:bCs/>
          <w:color w:val="auto"/>
          <w:sz w:val="32"/>
          <w:szCs w:val="32"/>
          <w:highlight w:val="none"/>
          <w:lang w:eastAsia="zh-CN"/>
        </w:rPr>
        <w:t>: 支出决算为1,300.09万元，完成预算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5</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公共安全（204）公安（02）其他公安支出（99）</w:t>
      </w:r>
      <w:r>
        <w:rPr>
          <w:rStyle w:val="17"/>
          <w:rFonts w:hint="eastAsia" w:ascii="仿宋_GB2312" w:hAnsi="仿宋_GB2312" w:eastAsia="仿宋_GB2312" w:cs="仿宋_GB2312"/>
          <w:b w:val="0"/>
          <w:bCs/>
          <w:color w:val="auto"/>
          <w:sz w:val="32"/>
          <w:szCs w:val="32"/>
          <w:highlight w:val="none"/>
          <w:lang w:eastAsia="zh-CN"/>
        </w:rPr>
        <w:t>: 支出决算为577.81万元，完成预算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6</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社会保障和就业（208）行政事业单位离退休（05）机关事业单位基本养老保险缴费支出（05）</w:t>
      </w:r>
      <w:r>
        <w:rPr>
          <w:rStyle w:val="17"/>
          <w:rFonts w:hint="eastAsia" w:ascii="仿宋_GB2312" w:hAnsi="仿宋_GB2312" w:eastAsia="仿宋_GB2312" w:cs="仿宋_GB2312"/>
          <w:b w:val="0"/>
          <w:bCs/>
          <w:color w:val="auto"/>
          <w:sz w:val="32"/>
          <w:szCs w:val="32"/>
          <w:highlight w:val="none"/>
          <w:lang w:eastAsia="zh-CN"/>
        </w:rPr>
        <w:t>: 支出决算为409.69万元，完成预算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7</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社会保障和就业（208）行政事业单位离退休（05）机关事业单位职业年金缴费支出（06）</w:t>
      </w:r>
      <w:r>
        <w:rPr>
          <w:rStyle w:val="17"/>
          <w:rFonts w:hint="eastAsia" w:ascii="仿宋_GB2312" w:hAnsi="仿宋_GB2312" w:eastAsia="仿宋_GB2312" w:cs="仿宋_GB2312"/>
          <w:b w:val="0"/>
          <w:bCs/>
          <w:color w:val="auto"/>
          <w:sz w:val="32"/>
          <w:szCs w:val="32"/>
          <w:highlight w:val="none"/>
          <w:lang w:eastAsia="zh-CN"/>
        </w:rPr>
        <w:t>:支出决算为204.88万元，完成预算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8.</w:t>
      </w:r>
      <w:r>
        <w:rPr>
          <w:rStyle w:val="17"/>
          <w:rFonts w:hint="eastAsia" w:ascii="仿宋_GB2312" w:hAnsi="仿宋_GB2312" w:eastAsia="仿宋_GB2312" w:cs="仿宋_GB2312"/>
          <w:b w:val="0"/>
          <w:bCs/>
          <w:color w:val="auto"/>
          <w:sz w:val="32"/>
          <w:szCs w:val="32"/>
          <w:highlight w:val="none"/>
          <w:lang w:eastAsia="zh-CN"/>
        </w:rPr>
        <w:t>社会保障和就业（</w:t>
      </w:r>
      <w:r>
        <w:rPr>
          <w:rStyle w:val="17"/>
          <w:rFonts w:hint="eastAsia" w:ascii="仿宋_GB2312" w:hAnsi="仿宋_GB2312" w:eastAsia="仿宋_GB2312" w:cs="仿宋_GB2312"/>
          <w:b w:val="0"/>
          <w:bCs/>
          <w:color w:val="auto"/>
          <w:sz w:val="32"/>
          <w:szCs w:val="32"/>
          <w:highlight w:val="none"/>
          <w:lang w:val="en-US" w:eastAsia="zh-CN"/>
        </w:rPr>
        <w:t>208</w:t>
      </w:r>
      <w:r>
        <w:rPr>
          <w:rStyle w:val="17"/>
          <w:rFonts w:hint="eastAsia" w:ascii="仿宋_GB2312" w:hAnsi="仿宋_GB2312" w:eastAsia="仿宋_GB2312" w:cs="仿宋_GB2312"/>
          <w:b w:val="0"/>
          <w:bCs/>
          <w:color w:val="auto"/>
          <w:sz w:val="32"/>
          <w:szCs w:val="32"/>
          <w:highlight w:val="none"/>
          <w:lang w:eastAsia="zh-CN"/>
        </w:rPr>
        <w:t>）退役军人管理事务（</w:t>
      </w:r>
      <w:r>
        <w:rPr>
          <w:rStyle w:val="17"/>
          <w:rFonts w:hint="eastAsia" w:ascii="仿宋_GB2312" w:hAnsi="仿宋_GB2312" w:eastAsia="仿宋_GB2312" w:cs="仿宋_GB2312"/>
          <w:b w:val="0"/>
          <w:bCs/>
          <w:color w:val="auto"/>
          <w:sz w:val="32"/>
          <w:szCs w:val="32"/>
          <w:highlight w:val="none"/>
          <w:lang w:val="en-US" w:eastAsia="zh-CN"/>
        </w:rPr>
        <w:t>28</w:t>
      </w:r>
      <w:r>
        <w:rPr>
          <w:rStyle w:val="17"/>
          <w:rFonts w:hint="eastAsia" w:ascii="仿宋_GB2312" w:hAnsi="仿宋_GB2312" w:eastAsia="仿宋_GB2312" w:cs="仿宋_GB2312"/>
          <w:b w:val="0"/>
          <w:bCs/>
          <w:color w:val="auto"/>
          <w:sz w:val="32"/>
          <w:szCs w:val="32"/>
          <w:highlight w:val="none"/>
          <w:lang w:eastAsia="zh-CN"/>
        </w:rPr>
        <w:t>）拥军优属</w:t>
      </w:r>
      <w:r>
        <w:rPr>
          <w:rStyle w:val="17"/>
          <w:rFonts w:hint="eastAsia" w:ascii="仿宋_GB2312" w:hAnsi="仿宋_GB2312" w:eastAsia="仿宋_GB2312" w:cs="仿宋_GB2312"/>
          <w:b w:val="0"/>
          <w:bCs/>
          <w:color w:val="auto"/>
          <w:sz w:val="32"/>
          <w:szCs w:val="32"/>
          <w:highlight w:val="none"/>
          <w:lang w:val="en-US" w:eastAsia="zh-CN"/>
        </w:rPr>
        <w:t>（04）</w:t>
      </w:r>
      <w:r>
        <w:rPr>
          <w:rStyle w:val="17"/>
          <w:rFonts w:hint="eastAsia" w:ascii="仿宋_GB2312" w:hAnsi="仿宋_GB2312" w:eastAsia="仿宋_GB2312" w:cs="仿宋_GB2312"/>
          <w:b w:val="0"/>
          <w:bCs/>
          <w:color w:val="auto"/>
          <w:sz w:val="32"/>
          <w:szCs w:val="32"/>
          <w:highlight w:val="none"/>
          <w:lang w:eastAsia="zh-CN"/>
        </w:rPr>
        <w:t>:支出决算为</w:t>
      </w:r>
      <w:r>
        <w:rPr>
          <w:rStyle w:val="17"/>
          <w:rFonts w:hint="eastAsia" w:ascii="仿宋_GB2312" w:hAnsi="仿宋_GB2312" w:eastAsia="仿宋_GB2312" w:cs="仿宋_GB2312"/>
          <w:b w:val="0"/>
          <w:bCs/>
          <w:color w:val="auto"/>
          <w:sz w:val="32"/>
          <w:szCs w:val="32"/>
          <w:highlight w:val="none"/>
          <w:lang w:val="en-US" w:eastAsia="zh-CN"/>
        </w:rPr>
        <w:t>0.80</w:t>
      </w:r>
      <w:r>
        <w:rPr>
          <w:rStyle w:val="17"/>
          <w:rFonts w:hint="eastAsia" w:ascii="仿宋_GB2312" w:hAnsi="仿宋_GB2312" w:eastAsia="仿宋_GB2312" w:cs="仿宋_GB2312"/>
          <w:b w:val="0"/>
          <w:bCs/>
          <w:color w:val="auto"/>
          <w:sz w:val="32"/>
          <w:szCs w:val="32"/>
          <w:highlight w:val="none"/>
          <w:lang w:eastAsia="zh-CN"/>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9</w:t>
      </w:r>
      <w:r>
        <w:rPr>
          <w:rStyle w:val="17"/>
          <w:rFonts w:hint="eastAsia" w:ascii="仿宋_GB2312" w:hAnsi="仿宋_GB2312" w:eastAsia="仿宋_GB2312" w:cs="仿宋_GB2312"/>
          <w:b w:val="0"/>
          <w:bCs/>
          <w:color w:val="auto"/>
          <w:sz w:val="32"/>
          <w:szCs w:val="32"/>
          <w:highlight w:val="none"/>
          <w:lang w:eastAsia="zh-CN"/>
        </w:rPr>
        <w:t>.卫生健康（</w:t>
      </w:r>
      <w:r>
        <w:rPr>
          <w:rStyle w:val="17"/>
          <w:rFonts w:hint="eastAsia" w:ascii="仿宋_GB2312" w:hAnsi="仿宋_GB2312" w:eastAsia="仿宋_GB2312" w:cs="仿宋_GB2312"/>
          <w:b w:val="0"/>
          <w:bCs/>
          <w:color w:val="auto"/>
          <w:sz w:val="32"/>
          <w:szCs w:val="32"/>
          <w:highlight w:val="none"/>
          <w:lang w:val="en-US" w:eastAsia="zh-CN"/>
        </w:rPr>
        <w:t>210</w:t>
      </w:r>
      <w:r>
        <w:rPr>
          <w:rStyle w:val="17"/>
          <w:rFonts w:hint="eastAsia" w:ascii="仿宋_GB2312" w:hAnsi="仿宋_GB2312" w:eastAsia="仿宋_GB2312" w:cs="仿宋_GB2312"/>
          <w:b w:val="0"/>
          <w:bCs/>
          <w:color w:val="auto"/>
          <w:sz w:val="32"/>
          <w:szCs w:val="32"/>
          <w:highlight w:val="none"/>
          <w:lang w:eastAsia="zh-CN"/>
        </w:rPr>
        <w:t>）公共卫生（</w:t>
      </w:r>
      <w:r>
        <w:rPr>
          <w:rStyle w:val="17"/>
          <w:rFonts w:hint="eastAsia" w:ascii="仿宋_GB2312" w:hAnsi="仿宋_GB2312" w:eastAsia="仿宋_GB2312" w:cs="仿宋_GB2312"/>
          <w:b w:val="0"/>
          <w:bCs/>
          <w:color w:val="auto"/>
          <w:sz w:val="32"/>
          <w:szCs w:val="32"/>
          <w:highlight w:val="none"/>
          <w:lang w:val="en-US" w:eastAsia="zh-CN"/>
        </w:rPr>
        <w:t>04</w:t>
      </w:r>
      <w:r>
        <w:rPr>
          <w:rStyle w:val="17"/>
          <w:rFonts w:hint="eastAsia" w:ascii="仿宋_GB2312" w:hAnsi="仿宋_GB2312" w:eastAsia="仿宋_GB2312" w:cs="仿宋_GB2312"/>
          <w:b w:val="0"/>
          <w:bCs/>
          <w:color w:val="auto"/>
          <w:sz w:val="32"/>
          <w:szCs w:val="32"/>
          <w:highlight w:val="none"/>
          <w:lang w:eastAsia="zh-CN"/>
        </w:rPr>
        <w:t>）重大公共卫生服务（</w:t>
      </w:r>
      <w:r>
        <w:rPr>
          <w:rStyle w:val="17"/>
          <w:rFonts w:hint="eastAsia" w:ascii="仿宋_GB2312" w:hAnsi="仿宋_GB2312" w:eastAsia="仿宋_GB2312" w:cs="仿宋_GB2312"/>
          <w:b w:val="0"/>
          <w:bCs/>
          <w:color w:val="auto"/>
          <w:sz w:val="32"/>
          <w:szCs w:val="32"/>
          <w:highlight w:val="none"/>
          <w:lang w:val="en-US" w:eastAsia="zh-CN"/>
        </w:rPr>
        <w:t>09</w:t>
      </w:r>
      <w:r>
        <w:rPr>
          <w:rStyle w:val="17"/>
          <w:rFonts w:hint="eastAsia" w:ascii="仿宋_GB2312" w:hAnsi="仿宋_GB2312" w:eastAsia="仿宋_GB2312" w:cs="仿宋_GB2312"/>
          <w:b w:val="0"/>
          <w:bCs/>
          <w:color w:val="auto"/>
          <w:sz w:val="32"/>
          <w:szCs w:val="32"/>
          <w:highlight w:val="none"/>
          <w:lang w:eastAsia="zh-CN"/>
        </w:rPr>
        <w:t>）:支出决算为</w:t>
      </w:r>
      <w:r>
        <w:rPr>
          <w:rStyle w:val="17"/>
          <w:rFonts w:hint="eastAsia" w:ascii="仿宋_GB2312" w:hAnsi="仿宋_GB2312" w:eastAsia="仿宋_GB2312" w:cs="仿宋_GB2312"/>
          <w:b w:val="0"/>
          <w:bCs/>
          <w:color w:val="auto"/>
          <w:sz w:val="32"/>
          <w:szCs w:val="32"/>
          <w:highlight w:val="none"/>
          <w:lang w:val="en-US" w:eastAsia="zh-CN"/>
        </w:rPr>
        <w:t>3.00</w:t>
      </w:r>
      <w:r>
        <w:rPr>
          <w:rStyle w:val="17"/>
          <w:rFonts w:hint="eastAsia" w:ascii="仿宋_GB2312" w:hAnsi="仿宋_GB2312" w:eastAsia="仿宋_GB2312" w:cs="仿宋_GB2312"/>
          <w:b w:val="0"/>
          <w:bCs/>
          <w:color w:val="auto"/>
          <w:sz w:val="32"/>
          <w:szCs w:val="32"/>
          <w:highlight w:val="none"/>
          <w:lang w:eastAsia="zh-CN"/>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10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卫生健康（210）行政事业单位医疗（11）行政单位医疗（01）</w:t>
      </w:r>
      <w:r>
        <w:rPr>
          <w:rStyle w:val="17"/>
          <w:rFonts w:hint="eastAsia" w:ascii="仿宋_GB2312" w:hAnsi="仿宋_GB2312" w:eastAsia="仿宋_GB2312" w:cs="仿宋_GB2312"/>
          <w:b w:val="0"/>
          <w:bCs/>
          <w:color w:val="auto"/>
          <w:sz w:val="32"/>
          <w:szCs w:val="32"/>
          <w:highlight w:val="none"/>
          <w:lang w:eastAsia="zh-CN"/>
        </w:rPr>
        <w:t>:支出决算为270.26万元，完成预算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11</w:t>
      </w:r>
      <w:r>
        <w:rPr>
          <w:rStyle w:val="17"/>
          <w:rFonts w:hint="eastAsia" w:ascii="仿宋_GB2312" w:hAnsi="仿宋_GB2312" w:eastAsia="仿宋_GB2312" w:cs="仿宋_GB2312"/>
          <w:b w:val="0"/>
          <w:bCs/>
          <w:color w:val="auto"/>
          <w:sz w:val="32"/>
          <w:szCs w:val="32"/>
          <w:highlight w:val="none"/>
          <w:lang w:eastAsia="zh-CN"/>
        </w:rPr>
        <w:t>.住房保障支出（</w:t>
      </w:r>
      <w:r>
        <w:rPr>
          <w:rStyle w:val="17"/>
          <w:rFonts w:hint="eastAsia" w:ascii="仿宋_GB2312" w:hAnsi="仿宋_GB2312" w:eastAsia="仿宋_GB2312" w:cs="仿宋_GB2312"/>
          <w:b w:val="0"/>
          <w:bCs/>
          <w:color w:val="auto"/>
          <w:sz w:val="32"/>
          <w:szCs w:val="32"/>
          <w:highlight w:val="none"/>
          <w:lang w:val="en-US" w:eastAsia="zh-CN"/>
        </w:rPr>
        <w:t>221</w:t>
      </w:r>
      <w:r>
        <w:rPr>
          <w:rStyle w:val="17"/>
          <w:rFonts w:hint="eastAsia" w:ascii="仿宋_GB2312" w:hAnsi="仿宋_GB2312" w:eastAsia="仿宋_GB2312" w:cs="仿宋_GB2312"/>
          <w:b w:val="0"/>
          <w:bCs/>
          <w:color w:val="auto"/>
          <w:sz w:val="32"/>
          <w:szCs w:val="32"/>
          <w:highlight w:val="none"/>
          <w:lang w:eastAsia="zh-CN"/>
        </w:rPr>
        <w:t>）住房改革支出（</w:t>
      </w:r>
      <w:r>
        <w:rPr>
          <w:rStyle w:val="17"/>
          <w:rFonts w:hint="eastAsia" w:ascii="仿宋_GB2312" w:hAnsi="仿宋_GB2312" w:eastAsia="仿宋_GB2312" w:cs="仿宋_GB2312"/>
          <w:b w:val="0"/>
          <w:bCs/>
          <w:color w:val="auto"/>
          <w:sz w:val="32"/>
          <w:szCs w:val="32"/>
          <w:highlight w:val="none"/>
          <w:lang w:val="en-US" w:eastAsia="zh-CN"/>
        </w:rPr>
        <w:t>02</w:t>
      </w:r>
      <w:r>
        <w:rPr>
          <w:rStyle w:val="17"/>
          <w:rFonts w:hint="eastAsia" w:ascii="仿宋_GB2312" w:hAnsi="仿宋_GB2312" w:eastAsia="仿宋_GB2312" w:cs="仿宋_GB2312"/>
          <w:b w:val="0"/>
          <w:bCs/>
          <w:color w:val="auto"/>
          <w:sz w:val="32"/>
          <w:szCs w:val="32"/>
          <w:highlight w:val="none"/>
          <w:lang w:eastAsia="zh-CN"/>
        </w:rPr>
        <w:t>）住房公积金（</w:t>
      </w:r>
      <w:r>
        <w:rPr>
          <w:rStyle w:val="17"/>
          <w:rFonts w:hint="eastAsia" w:ascii="仿宋_GB2312" w:hAnsi="仿宋_GB2312" w:eastAsia="仿宋_GB2312" w:cs="仿宋_GB2312"/>
          <w:b w:val="0"/>
          <w:bCs/>
          <w:color w:val="auto"/>
          <w:sz w:val="32"/>
          <w:szCs w:val="32"/>
          <w:highlight w:val="none"/>
          <w:lang w:val="en-US" w:eastAsia="zh-CN"/>
        </w:rPr>
        <w:t>01</w:t>
      </w:r>
      <w:r>
        <w:rPr>
          <w:rStyle w:val="17"/>
          <w:rFonts w:hint="eastAsia" w:ascii="仿宋_GB2312" w:hAnsi="仿宋_GB2312" w:eastAsia="仿宋_GB2312" w:cs="仿宋_GB2312"/>
          <w:b w:val="0"/>
          <w:bCs/>
          <w:color w:val="auto"/>
          <w:sz w:val="32"/>
          <w:szCs w:val="32"/>
          <w:highlight w:val="none"/>
          <w:lang w:eastAsia="zh-CN"/>
        </w:rPr>
        <w:t>）:支出决算为360.8</w:t>
      </w:r>
      <w:r>
        <w:rPr>
          <w:rStyle w:val="17"/>
          <w:rFonts w:hint="eastAsia" w:ascii="仿宋_GB2312" w:hAnsi="仿宋_GB2312" w:eastAsia="仿宋_GB2312" w:cs="仿宋_GB2312"/>
          <w:b w:val="0"/>
          <w:bCs/>
          <w:color w:val="auto"/>
          <w:sz w:val="32"/>
          <w:szCs w:val="32"/>
          <w:highlight w:val="none"/>
          <w:lang w:val="en-US" w:eastAsia="zh-CN"/>
        </w:rPr>
        <w:t>9</w:t>
      </w:r>
      <w:r>
        <w:rPr>
          <w:rStyle w:val="17"/>
          <w:rFonts w:hint="eastAsia" w:ascii="仿宋_GB2312" w:hAnsi="仿宋_GB2312" w:eastAsia="仿宋_GB2312" w:cs="仿宋_GB2312"/>
          <w:b w:val="0"/>
          <w:bCs/>
          <w:color w:val="auto"/>
          <w:sz w:val="32"/>
          <w:szCs w:val="32"/>
          <w:highlight w:val="none"/>
          <w:lang w:eastAsia="zh-CN"/>
        </w:rPr>
        <w:t>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Style w:val="17"/>
          <w:rFonts w:hint="eastAsia" w:ascii="仿宋_GB2312" w:hAnsi="仿宋_GB2312" w:eastAsia="仿宋_GB2312" w:cs="仿宋_GB2312"/>
          <w:b w:val="0"/>
          <w:bCs/>
          <w:color w:val="auto"/>
          <w:sz w:val="32"/>
          <w:szCs w:val="32"/>
          <w:highlight w:val="none"/>
          <w:lang w:eastAsia="zh-CN"/>
        </w:rPr>
      </w:pPr>
      <w:r>
        <w:rPr>
          <w:rStyle w:val="17"/>
          <w:rFonts w:hint="eastAsia" w:ascii="仿宋_GB2312" w:hAnsi="仿宋_GB2312" w:eastAsia="仿宋_GB2312" w:cs="仿宋_GB2312"/>
          <w:b w:val="0"/>
          <w:bCs/>
          <w:color w:val="auto"/>
          <w:sz w:val="32"/>
          <w:szCs w:val="32"/>
          <w:highlight w:val="none"/>
          <w:lang w:val="en-US" w:eastAsia="zh-CN"/>
        </w:rPr>
        <w:t>12</w:t>
      </w:r>
      <w:r>
        <w:rPr>
          <w:rStyle w:val="17"/>
          <w:rFonts w:hint="eastAsia" w:ascii="仿宋_GB2312" w:hAnsi="仿宋_GB2312" w:eastAsia="仿宋_GB2312" w:cs="仿宋_GB2312"/>
          <w:b w:val="0"/>
          <w:bCs/>
          <w:color w:val="auto"/>
          <w:sz w:val="32"/>
          <w:szCs w:val="32"/>
          <w:highlight w:val="none"/>
          <w:lang w:eastAsia="zh-CN"/>
        </w:rPr>
        <w:t>.住房保障支出（</w:t>
      </w:r>
      <w:r>
        <w:rPr>
          <w:rStyle w:val="17"/>
          <w:rFonts w:hint="eastAsia" w:ascii="仿宋_GB2312" w:hAnsi="仿宋_GB2312" w:eastAsia="仿宋_GB2312" w:cs="仿宋_GB2312"/>
          <w:b w:val="0"/>
          <w:bCs/>
          <w:color w:val="auto"/>
          <w:sz w:val="32"/>
          <w:szCs w:val="32"/>
          <w:highlight w:val="none"/>
          <w:lang w:val="en-US" w:eastAsia="zh-CN"/>
        </w:rPr>
        <w:t>221</w:t>
      </w:r>
      <w:r>
        <w:rPr>
          <w:rStyle w:val="17"/>
          <w:rFonts w:hint="eastAsia" w:ascii="仿宋_GB2312" w:hAnsi="仿宋_GB2312" w:eastAsia="仿宋_GB2312" w:cs="仿宋_GB2312"/>
          <w:b w:val="0"/>
          <w:bCs/>
          <w:color w:val="auto"/>
          <w:sz w:val="32"/>
          <w:szCs w:val="32"/>
          <w:highlight w:val="none"/>
          <w:lang w:eastAsia="zh-CN"/>
        </w:rPr>
        <w:t>）住房改革支出（</w:t>
      </w:r>
      <w:r>
        <w:rPr>
          <w:rStyle w:val="17"/>
          <w:rFonts w:hint="eastAsia" w:ascii="仿宋_GB2312" w:hAnsi="仿宋_GB2312" w:eastAsia="仿宋_GB2312" w:cs="仿宋_GB2312"/>
          <w:b w:val="0"/>
          <w:bCs/>
          <w:color w:val="auto"/>
          <w:sz w:val="32"/>
          <w:szCs w:val="32"/>
          <w:highlight w:val="none"/>
          <w:lang w:val="en-US" w:eastAsia="zh-CN"/>
        </w:rPr>
        <w:t>02</w:t>
      </w:r>
      <w:r>
        <w:rPr>
          <w:rStyle w:val="17"/>
          <w:rFonts w:hint="eastAsia" w:ascii="仿宋_GB2312" w:hAnsi="仿宋_GB2312" w:eastAsia="仿宋_GB2312" w:cs="仿宋_GB2312"/>
          <w:b w:val="0"/>
          <w:bCs/>
          <w:color w:val="auto"/>
          <w:sz w:val="32"/>
          <w:szCs w:val="32"/>
          <w:highlight w:val="none"/>
          <w:lang w:eastAsia="zh-CN"/>
        </w:rPr>
        <w:t>）购房补贴（</w:t>
      </w:r>
      <w:r>
        <w:rPr>
          <w:rStyle w:val="17"/>
          <w:rFonts w:hint="eastAsia" w:ascii="仿宋_GB2312" w:hAnsi="仿宋_GB2312" w:eastAsia="仿宋_GB2312" w:cs="仿宋_GB2312"/>
          <w:b w:val="0"/>
          <w:bCs/>
          <w:color w:val="auto"/>
          <w:sz w:val="32"/>
          <w:szCs w:val="32"/>
          <w:highlight w:val="none"/>
          <w:lang w:val="en-US" w:eastAsia="zh-CN"/>
        </w:rPr>
        <w:t>03</w:t>
      </w:r>
      <w:r>
        <w:rPr>
          <w:rStyle w:val="17"/>
          <w:rFonts w:hint="eastAsia" w:ascii="仿宋_GB2312" w:hAnsi="仿宋_GB2312" w:eastAsia="仿宋_GB2312" w:cs="仿宋_GB2312"/>
          <w:b w:val="0"/>
          <w:bCs/>
          <w:color w:val="auto"/>
          <w:sz w:val="32"/>
          <w:szCs w:val="32"/>
          <w:highlight w:val="none"/>
          <w:lang w:eastAsia="zh-CN"/>
        </w:rPr>
        <w:t>）:支出决算为4.40万元，完成预算</w:t>
      </w:r>
      <w:r>
        <w:rPr>
          <w:rStyle w:val="17"/>
          <w:rFonts w:hint="eastAsia" w:ascii="仿宋_GB2312" w:hAnsi="仿宋_GB2312" w:eastAsia="仿宋_GB2312" w:cs="仿宋_GB2312"/>
          <w:b w:val="0"/>
          <w:bCs/>
          <w:color w:val="auto"/>
          <w:sz w:val="32"/>
          <w:szCs w:val="32"/>
          <w:highlight w:val="none"/>
          <w:lang w:val="en-US" w:eastAsia="zh-CN"/>
        </w:rPr>
        <w:t>100</w:t>
      </w:r>
      <w:r>
        <w:rPr>
          <w:rStyle w:val="17"/>
          <w:rFonts w:hint="eastAsia" w:ascii="仿宋_GB2312" w:hAnsi="仿宋_GB2312" w:eastAsia="仿宋_GB2312" w:cs="仿宋_GB2312"/>
          <w:b w:val="0"/>
          <w:bCs/>
          <w:color w:val="auto"/>
          <w:sz w:val="32"/>
          <w:szCs w:val="32"/>
          <w:highlight w:val="none"/>
          <w:lang w:eastAsia="zh-CN"/>
        </w:rPr>
        <w:t>%，</w:t>
      </w:r>
      <w:r>
        <w:rPr>
          <w:rStyle w:val="17"/>
          <w:rFonts w:hint="eastAsia" w:ascii="仿宋_GB2312" w:hAnsi="仿宋_GB2312" w:eastAsia="仿宋_GB2312" w:cs="仿宋_GB2312"/>
          <w:b w:val="0"/>
          <w:bCs/>
          <w:color w:val="auto"/>
          <w:sz w:val="32"/>
          <w:szCs w:val="32"/>
          <w:highlight w:val="none"/>
          <w:lang w:val="en-US" w:eastAsia="zh-CN"/>
        </w:rPr>
        <w:t>决算数与预算数持平</w:t>
      </w:r>
      <w:r>
        <w:rPr>
          <w:rStyle w:val="17"/>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0"/>
          <w:color w:val="auto"/>
          <w:highlight w:val="none"/>
        </w:rPr>
      </w:pPr>
      <w:r>
        <w:rPr>
          <w:rStyle w:val="20"/>
          <w:rFonts w:hint="eastAsia" w:ascii="黑体" w:hAnsi="黑体" w:eastAsia="黑体"/>
          <w:b w:val="0"/>
          <w:color w:val="auto"/>
          <w:highlight w:val="none"/>
        </w:rPr>
        <w:t>六、一般公共预算财政拨款基本支出决算情况说明</w:t>
      </w:r>
      <w:bookmarkEnd w:id="36"/>
      <w:bookmarkEnd w:id="37"/>
      <w:bookmarkEnd w:id="38"/>
      <w:r>
        <w:rPr>
          <w:rStyle w:val="20"/>
          <w:rFonts w:ascii="黑体" w:hAnsi="黑体" w:eastAsia="黑体"/>
          <w:b w:val="0"/>
          <w:color w:val="auto"/>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一般公共预算财政拨款基本支出</w:t>
      </w:r>
      <w:r>
        <w:rPr>
          <w:rFonts w:hint="eastAsia" w:ascii="仿宋_GB2312" w:hAnsi="仿宋_GB2312" w:eastAsia="仿宋_GB2312" w:cs="仿宋_GB2312"/>
          <w:color w:val="auto"/>
          <w:sz w:val="32"/>
          <w:szCs w:val="32"/>
          <w:highlight w:val="none"/>
          <w:lang w:val="en-US" w:eastAsia="zh-CN"/>
        </w:rPr>
        <w:t>5,814.05</w:t>
      </w:r>
      <w:r>
        <w:rPr>
          <w:rFonts w:hint="eastAsia" w:ascii="仿宋_GB2312" w:hAnsi="仿宋_GB2312" w:eastAsia="仿宋_GB2312" w:cs="仿宋_GB2312"/>
          <w:color w:val="auto"/>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szCs w:val="32"/>
          <w:highlight w:val="none"/>
          <w:lang w:val="en-US" w:eastAsia="zh-CN"/>
        </w:rPr>
        <w:t>5,379.09</w:t>
      </w:r>
      <w:r>
        <w:rPr>
          <w:rFonts w:hint="eastAsia" w:ascii="仿宋_GB2312" w:hAnsi="仿宋_GB2312" w:eastAsia="仿宋_GB2312" w:cs="仿宋_GB2312"/>
          <w:color w:val="auto"/>
          <w:sz w:val="32"/>
          <w:szCs w:val="32"/>
          <w:highlight w:val="none"/>
        </w:rPr>
        <w:t>万元，主要包括：基本工资</w:t>
      </w:r>
      <w:r>
        <w:rPr>
          <w:rFonts w:hint="eastAsia" w:ascii="仿宋_GB2312" w:hAnsi="仿宋_GB2312" w:eastAsia="仿宋_GB2312" w:cs="仿宋_GB2312"/>
          <w:color w:val="auto"/>
          <w:sz w:val="32"/>
          <w:szCs w:val="32"/>
          <w:highlight w:val="none"/>
          <w:lang w:val="en-US" w:eastAsia="zh-CN"/>
        </w:rPr>
        <w:t>870.27万元</w:t>
      </w:r>
      <w:r>
        <w:rPr>
          <w:rFonts w:hint="eastAsia" w:ascii="仿宋_GB2312" w:hAnsi="仿宋_GB2312" w:eastAsia="仿宋_GB2312" w:cs="仿宋_GB2312"/>
          <w:color w:val="auto"/>
          <w:sz w:val="32"/>
          <w:szCs w:val="32"/>
          <w:highlight w:val="none"/>
        </w:rPr>
        <w:t>、津贴补贴</w:t>
      </w:r>
      <w:r>
        <w:rPr>
          <w:rFonts w:hint="eastAsia" w:ascii="仿宋_GB2312" w:hAnsi="仿宋_GB2312" w:eastAsia="仿宋_GB2312" w:cs="仿宋_GB2312"/>
          <w:color w:val="auto"/>
          <w:sz w:val="32"/>
          <w:szCs w:val="32"/>
          <w:highlight w:val="none"/>
          <w:lang w:val="en-US" w:eastAsia="zh-CN"/>
        </w:rPr>
        <w:t>1,289.65万元</w:t>
      </w:r>
      <w:r>
        <w:rPr>
          <w:rFonts w:hint="eastAsia" w:ascii="仿宋_GB2312" w:hAnsi="仿宋_GB2312" w:eastAsia="仿宋_GB2312" w:cs="仿宋_GB2312"/>
          <w:color w:val="auto"/>
          <w:sz w:val="32"/>
          <w:szCs w:val="32"/>
          <w:highlight w:val="none"/>
        </w:rPr>
        <w:t>、奖金</w:t>
      </w:r>
      <w:r>
        <w:rPr>
          <w:rFonts w:hint="eastAsia" w:ascii="仿宋_GB2312" w:hAnsi="仿宋_GB2312" w:eastAsia="仿宋_GB2312" w:cs="仿宋_GB2312"/>
          <w:color w:val="auto"/>
          <w:sz w:val="32"/>
          <w:szCs w:val="32"/>
          <w:highlight w:val="none"/>
          <w:lang w:val="en-US" w:eastAsia="zh-CN"/>
        </w:rPr>
        <w:t>969.19万元</w:t>
      </w:r>
      <w:r>
        <w:rPr>
          <w:rFonts w:hint="eastAsia" w:ascii="仿宋_GB2312" w:hAnsi="仿宋_GB2312" w:eastAsia="仿宋_GB2312" w:cs="仿宋_GB2312"/>
          <w:color w:val="auto"/>
          <w:sz w:val="32"/>
          <w:szCs w:val="32"/>
          <w:highlight w:val="none"/>
        </w:rPr>
        <w:t>、机关事业单位基本养老保险缴费</w:t>
      </w:r>
      <w:r>
        <w:rPr>
          <w:rFonts w:hint="eastAsia" w:ascii="仿宋_GB2312" w:hAnsi="仿宋_GB2312" w:eastAsia="仿宋_GB2312" w:cs="仿宋_GB2312"/>
          <w:color w:val="auto"/>
          <w:sz w:val="32"/>
          <w:szCs w:val="32"/>
          <w:highlight w:val="none"/>
          <w:lang w:val="en-US" w:eastAsia="zh-CN"/>
        </w:rPr>
        <w:t>409.69万元</w:t>
      </w:r>
      <w:r>
        <w:rPr>
          <w:rFonts w:hint="eastAsia" w:ascii="仿宋_GB2312" w:hAnsi="仿宋_GB2312" w:eastAsia="仿宋_GB2312" w:cs="仿宋_GB2312"/>
          <w:color w:val="auto"/>
          <w:sz w:val="32"/>
          <w:szCs w:val="32"/>
          <w:highlight w:val="none"/>
        </w:rPr>
        <w:t>、职业年金缴费</w:t>
      </w:r>
      <w:r>
        <w:rPr>
          <w:rFonts w:hint="eastAsia" w:ascii="仿宋_GB2312" w:hAnsi="仿宋_GB2312" w:eastAsia="仿宋_GB2312" w:cs="仿宋_GB2312"/>
          <w:color w:val="auto"/>
          <w:sz w:val="32"/>
          <w:szCs w:val="32"/>
          <w:highlight w:val="none"/>
          <w:lang w:val="en-US" w:eastAsia="zh-CN"/>
        </w:rPr>
        <w:t>204.88万元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职工基本医疗保险缴费</w:t>
      </w:r>
      <w:r>
        <w:rPr>
          <w:rFonts w:hint="eastAsia" w:ascii="仿宋_GB2312" w:hAnsi="仿宋_GB2312" w:eastAsia="仿宋_GB2312" w:cs="仿宋_GB2312"/>
          <w:color w:val="auto"/>
          <w:sz w:val="32"/>
          <w:szCs w:val="32"/>
          <w:highlight w:val="none"/>
          <w:lang w:val="en-US" w:eastAsia="zh-CN"/>
        </w:rPr>
        <w:t>270.26万元、</w:t>
      </w:r>
      <w:r>
        <w:rPr>
          <w:rFonts w:hint="eastAsia" w:ascii="仿宋_GB2312" w:hAnsi="仿宋_GB2312" w:eastAsia="仿宋_GB2312" w:cs="仿宋_GB2312"/>
          <w:color w:val="auto"/>
          <w:sz w:val="32"/>
          <w:szCs w:val="32"/>
          <w:highlight w:val="none"/>
        </w:rPr>
        <w:t>其他社会保障缴费</w:t>
      </w:r>
      <w:r>
        <w:rPr>
          <w:rFonts w:hint="eastAsia" w:ascii="仿宋_GB2312" w:hAnsi="仿宋_GB2312" w:eastAsia="仿宋_GB2312" w:cs="仿宋_GB2312"/>
          <w:color w:val="auto"/>
          <w:sz w:val="32"/>
          <w:szCs w:val="32"/>
          <w:highlight w:val="none"/>
          <w:lang w:val="en-US" w:eastAsia="zh-CN"/>
        </w:rPr>
        <w:t>37.65万元</w:t>
      </w:r>
      <w:r>
        <w:rPr>
          <w:rFonts w:hint="eastAsia" w:ascii="仿宋_GB2312" w:hAnsi="仿宋_GB2312" w:eastAsia="仿宋_GB2312" w:cs="仿宋_GB2312"/>
          <w:color w:val="auto"/>
          <w:sz w:val="32"/>
          <w:szCs w:val="32"/>
          <w:highlight w:val="none"/>
        </w:rPr>
        <w:t>、其他工资福利支出</w:t>
      </w:r>
      <w:r>
        <w:rPr>
          <w:rFonts w:hint="eastAsia" w:ascii="仿宋_GB2312" w:hAnsi="仿宋_GB2312" w:eastAsia="仿宋_GB2312" w:cs="仿宋_GB2312"/>
          <w:color w:val="auto"/>
          <w:sz w:val="32"/>
          <w:szCs w:val="32"/>
          <w:highlight w:val="none"/>
          <w:lang w:val="en-US" w:eastAsia="zh-CN"/>
        </w:rPr>
        <w:t>863.03万元</w:t>
      </w:r>
      <w:r>
        <w:rPr>
          <w:rFonts w:hint="eastAsia" w:ascii="仿宋_GB2312" w:hAnsi="仿宋_GB2312" w:eastAsia="仿宋_GB2312" w:cs="仿宋_GB2312"/>
          <w:color w:val="auto"/>
          <w:sz w:val="32"/>
          <w:szCs w:val="32"/>
          <w:highlight w:val="none"/>
        </w:rPr>
        <w:t>、抚恤金</w:t>
      </w:r>
      <w:r>
        <w:rPr>
          <w:rFonts w:hint="eastAsia" w:ascii="仿宋_GB2312" w:hAnsi="仿宋_GB2312" w:eastAsia="仿宋_GB2312" w:cs="仿宋_GB2312"/>
          <w:color w:val="auto"/>
          <w:sz w:val="32"/>
          <w:szCs w:val="32"/>
          <w:highlight w:val="none"/>
          <w:lang w:val="en-US" w:eastAsia="zh-CN"/>
        </w:rPr>
        <w:t>23.47万元</w:t>
      </w:r>
      <w:r>
        <w:rPr>
          <w:rFonts w:hint="eastAsia" w:ascii="仿宋_GB2312" w:hAnsi="仿宋_GB2312" w:eastAsia="仿宋_GB2312" w:cs="仿宋_GB2312"/>
          <w:color w:val="auto"/>
          <w:sz w:val="32"/>
          <w:szCs w:val="32"/>
          <w:highlight w:val="none"/>
        </w:rPr>
        <w:t>、生活补助</w:t>
      </w:r>
      <w:r>
        <w:rPr>
          <w:rFonts w:hint="eastAsia" w:ascii="仿宋_GB2312" w:hAnsi="仿宋_GB2312" w:eastAsia="仿宋_GB2312" w:cs="仿宋_GB2312"/>
          <w:color w:val="auto"/>
          <w:sz w:val="32"/>
          <w:szCs w:val="32"/>
          <w:highlight w:val="none"/>
          <w:lang w:val="en-US" w:eastAsia="zh-CN"/>
        </w:rPr>
        <w:t>49.96万元</w:t>
      </w:r>
      <w:r>
        <w:rPr>
          <w:rFonts w:hint="eastAsia" w:ascii="仿宋_GB2312" w:hAnsi="仿宋_GB2312" w:eastAsia="仿宋_GB2312" w:cs="仿宋_GB2312"/>
          <w:color w:val="auto"/>
          <w:sz w:val="32"/>
          <w:szCs w:val="32"/>
          <w:highlight w:val="none"/>
        </w:rPr>
        <w:t>、医疗费补助</w:t>
      </w:r>
      <w:r>
        <w:rPr>
          <w:rFonts w:hint="eastAsia" w:ascii="仿宋_GB2312" w:hAnsi="仿宋_GB2312" w:eastAsia="仿宋_GB2312" w:cs="仿宋_GB2312"/>
          <w:color w:val="auto"/>
          <w:sz w:val="32"/>
          <w:szCs w:val="32"/>
          <w:highlight w:val="none"/>
          <w:lang w:val="en-US" w:eastAsia="zh-CN"/>
        </w:rPr>
        <w:t>30.00万元</w:t>
      </w:r>
      <w:r>
        <w:rPr>
          <w:rFonts w:hint="eastAsia" w:ascii="仿宋_GB2312" w:hAnsi="仿宋_GB2312" w:eastAsia="仿宋_GB2312" w:cs="仿宋_GB2312"/>
          <w:color w:val="auto"/>
          <w:sz w:val="32"/>
          <w:szCs w:val="32"/>
          <w:highlight w:val="none"/>
        </w:rPr>
        <w:t>、住房公积金</w:t>
      </w:r>
      <w:r>
        <w:rPr>
          <w:rFonts w:hint="eastAsia" w:ascii="仿宋_GB2312" w:hAnsi="仿宋_GB2312" w:eastAsia="仿宋_GB2312" w:cs="仿宋_GB2312"/>
          <w:color w:val="auto"/>
          <w:sz w:val="32"/>
          <w:szCs w:val="32"/>
          <w:highlight w:val="none"/>
          <w:lang w:val="en-US" w:eastAsia="zh-CN"/>
        </w:rPr>
        <w:t>360.89万元</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医疗费</w:t>
      </w:r>
      <w:r>
        <w:rPr>
          <w:rFonts w:hint="eastAsia" w:ascii="仿宋_GB2312" w:hAnsi="仿宋_GB2312" w:eastAsia="仿宋_GB2312" w:cs="仿宋_GB2312"/>
          <w:color w:val="auto"/>
          <w:sz w:val="32"/>
          <w:szCs w:val="32"/>
          <w:highlight w:val="none"/>
          <w:lang w:val="en-US" w:eastAsia="zh-CN"/>
        </w:rPr>
        <w:t>32.01万元</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rPr>
        <w:t>　　公用经费</w:t>
      </w:r>
      <w:r>
        <w:rPr>
          <w:rFonts w:hint="eastAsia" w:ascii="仿宋_GB2312" w:hAnsi="仿宋_GB2312" w:eastAsia="仿宋_GB2312" w:cs="仿宋_GB2312"/>
          <w:color w:val="auto"/>
          <w:sz w:val="32"/>
          <w:szCs w:val="32"/>
          <w:highlight w:val="none"/>
          <w:lang w:val="en-US" w:eastAsia="zh-CN"/>
        </w:rPr>
        <w:t>434.96</w:t>
      </w:r>
      <w:r>
        <w:rPr>
          <w:rFonts w:hint="eastAsia" w:ascii="仿宋_GB2312" w:hAnsi="仿宋_GB2312" w:eastAsia="仿宋_GB2312" w:cs="仿宋_GB2312"/>
          <w:color w:val="auto"/>
          <w:sz w:val="32"/>
          <w:szCs w:val="32"/>
          <w:highlight w:val="none"/>
        </w:rPr>
        <w:t>万元，主要包括：办公费</w:t>
      </w:r>
      <w:r>
        <w:rPr>
          <w:rFonts w:hint="eastAsia" w:ascii="仿宋_GB2312" w:hAnsi="仿宋_GB2312" w:eastAsia="仿宋_GB2312" w:cs="仿宋_GB2312"/>
          <w:color w:val="auto"/>
          <w:sz w:val="32"/>
          <w:szCs w:val="32"/>
          <w:highlight w:val="none"/>
          <w:lang w:val="en-US" w:eastAsia="zh-CN"/>
        </w:rPr>
        <w:t>197.63万元</w:t>
      </w:r>
      <w:r>
        <w:rPr>
          <w:rFonts w:hint="eastAsia" w:ascii="仿宋_GB2312" w:hAnsi="仿宋_GB2312" w:eastAsia="仿宋_GB2312" w:cs="仿宋_GB2312"/>
          <w:color w:val="auto"/>
          <w:sz w:val="32"/>
          <w:szCs w:val="32"/>
          <w:highlight w:val="none"/>
        </w:rPr>
        <w:t>、水费</w:t>
      </w:r>
      <w:r>
        <w:rPr>
          <w:rFonts w:hint="eastAsia" w:ascii="仿宋_GB2312" w:hAnsi="仿宋_GB2312" w:eastAsia="仿宋_GB2312" w:cs="仿宋_GB2312"/>
          <w:color w:val="auto"/>
          <w:sz w:val="32"/>
          <w:szCs w:val="32"/>
          <w:highlight w:val="none"/>
          <w:lang w:val="en-US" w:eastAsia="zh-CN"/>
        </w:rPr>
        <w:t>5.00万元</w:t>
      </w:r>
      <w:r>
        <w:rPr>
          <w:rFonts w:hint="eastAsia" w:ascii="仿宋_GB2312" w:hAnsi="仿宋_GB2312" w:eastAsia="仿宋_GB2312" w:cs="仿宋_GB2312"/>
          <w:color w:val="auto"/>
          <w:sz w:val="32"/>
          <w:szCs w:val="32"/>
          <w:highlight w:val="none"/>
        </w:rPr>
        <w:t>、电费</w:t>
      </w:r>
      <w:r>
        <w:rPr>
          <w:rFonts w:hint="eastAsia" w:ascii="仿宋_GB2312" w:hAnsi="仿宋_GB2312" w:eastAsia="仿宋_GB2312" w:cs="仿宋_GB2312"/>
          <w:color w:val="auto"/>
          <w:sz w:val="32"/>
          <w:szCs w:val="32"/>
          <w:highlight w:val="none"/>
          <w:lang w:val="en-US" w:eastAsia="zh-CN"/>
        </w:rPr>
        <w:t>50.00万元</w:t>
      </w:r>
      <w:r>
        <w:rPr>
          <w:rFonts w:hint="eastAsia" w:ascii="仿宋_GB2312" w:hAnsi="仿宋_GB2312" w:eastAsia="仿宋_GB2312" w:cs="仿宋_GB2312"/>
          <w:color w:val="auto"/>
          <w:sz w:val="32"/>
          <w:szCs w:val="32"/>
          <w:highlight w:val="none"/>
        </w:rPr>
        <w:t>、维修（护）费</w:t>
      </w:r>
      <w:r>
        <w:rPr>
          <w:rFonts w:hint="eastAsia" w:ascii="仿宋_GB2312" w:hAnsi="仿宋_GB2312" w:eastAsia="仿宋_GB2312" w:cs="仿宋_GB2312"/>
          <w:color w:val="auto"/>
          <w:sz w:val="32"/>
          <w:szCs w:val="32"/>
          <w:highlight w:val="none"/>
          <w:lang w:val="en-US" w:eastAsia="zh-CN"/>
        </w:rPr>
        <w:t>60.00万元</w:t>
      </w:r>
      <w:r>
        <w:rPr>
          <w:rFonts w:hint="eastAsia" w:ascii="仿宋_GB2312" w:hAnsi="仿宋_GB2312" w:eastAsia="仿宋_GB2312" w:cs="仿宋_GB2312"/>
          <w:color w:val="auto"/>
          <w:sz w:val="32"/>
          <w:szCs w:val="32"/>
          <w:highlight w:val="none"/>
        </w:rPr>
        <w:t>、公务接待费</w:t>
      </w:r>
      <w:r>
        <w:rPr>
          <w:rFonts w:hint="eastAsia" w:ascii="仿宋_GB2312" w:hAnsi="仿宋_GB2312" w:eastAsia="仿宋_GB2312" w:cs="仿宋_GB2312"/>
          <w:color w:val="auto"/>
          <w:sz w:val="32"/>
          <w:szCs w:val="32"/>
          <w:highlight w:val="none"/>
          <w:lang w:val="en-US" w:eastAsia="zh-CN"/>
        </w:rPr>
        <w:t>2.33万元</w:t>
      </w:r>
      <w:r>
        <w:rPr>
          <w:rFonts w:hint="eastAsia" w:ascii="仿宋_GB2312" w:hAnsi="仿宋_GB2312" w:eastAsia="仿宋_GB2312" w:cs="仿宋_GB2312"/>
          <w:color w:val="auto"/>
          <w:sz w:val="32"/>
          <w:szCs w:val="32"/>
          <w:highlight w:val="none"/>
        </w:rPr>
        <w:t>、劳务费</w:t>
      </w:r>
      <w:r>
        <w:rPr>
          <w:rFonts w:hint="eastAsia" w:ascii="仿宋_GB2312" w:hAnsi="仿宋_GB2312" w:eastAsia="仿宋_GB2312" w:cs="仿宋_GB2312"/>
          <w:color w:val="auto"/>
          <w:sz w:val="32"/>
          <w:szCs w:val="32"/>
          <w:highlight w:val="none"/>
          <w:lang w:val="en-US" w:eastAsia="zh-CN"/>
        </w:rPr>
        <w:t>90.00万元</w:t>
      </w:r>
      <w:r>
        <w:rPr>
          <w:rFonts w:hint="eastAsia" w:ascii="仿宋_GB2312" w:hAnsi="仿宋_GB2312" w:eastAsia="仿宋_GB2312" w:cs="仿宋_GB2312"/>
          <w:color w:val="auto"/>
          <w:sz w:val="32"/>
          <w:szCs w:val="32"/>
          <w:highlight w:val="none"/>
        </w:rPr>
        <w:t>、公务用车运行维护费</w:t>
      </w:r>
      <w:r>
        <w:rPr>
          <w:rFonts w:hint="eastAsia" w:ascii="仿宋_GB2312" w:hAnsi="仿宋_GB2312" w:eastAsia="仿宋_GB2312" w:cs="仿宋_GB2312"/>
          <w:color w:val="auto"/>
          <w:sz w:val="32"/>
          <w:szCs w:val="32"/>
          <w:highlight w:val="none"/>
          <w:lang w:val="en-US" w:eastAsia="zh-CN"/>
        </w:rPr>
        <w:t>30.00万元</w:t>
      </w:r>
      <w:r>
        <w:rPr>
          <w:rFonts w:hint="eastAsia" w:ascii="仿宋_GB2312" w:hAnsi="仿宋_GB2312" w:eastAsia="仿宋_GB2312" w:cs="仿宋_GB2312"/>
          <w:color w:val="auto"/>
          <w:sz w:val="32"/>
          <w:szCs w:val="32"/>
          <w:highlight w:val="none"/>
        </w:rPr>
        <w:t>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0"/>
          <w:rFonts w:ascii="黑体" w:hAnsi="黑体" w:eastAsia="黑体"/>
          <w:b w:val="0"/>
          <w:color w:val="auto"/>
          <w:highlight w:val="none"/>
        </w:rPr>
      </w:pPr>
      <w:bookmarkStart w:id="39" w:name="_Toc15377215"/>
      <w:bookmarkStart w:id="40" w:name="_Toc9005"/>
      <w:bookmarkStart w:id="41" w:name="_Toc15396609"/>
      <w:r>
        <w:rPr>
          <w:rFonts w:hint="eastAsia" w:ascii="黑体" w:eastAsia="黑体"/>
          <w:color w:val="auto"/>
          <w:sz w:val="32"/>
          <w:szCs w:val="32"/>
          <w:highlight w:val="none"/>
        </w:rPr>
        <w:t>七、</w:t>
      </w:r>
      <w:r>
        <w:rPr>
          <w:rStyle w:val="20"/>
          <w:rFonts w:hint="eastAsia" w:ascii="黑体" w:hAnsi="黑体" w:eastAsia="黑体"/>
          <w:b w:val="0"/>
          <w:color w:val="auto"/>
          <w:highlight w:val="none"/>
        </w:rPr>
        <w:t>财政拨款</w:t>
      </w:r>
      <w:r>
        <w:rPr>
          <w:rStyle w:val="20"/>
          <w:rFonts w:hint="eastAsia" w:ascii="黑体" w:hAnsi="黑体" w:eastAsia="黑体"/>
          <w:color w:val="auto"/>
          <w:highlight w:val="none"/>
        </w:rPr>
        <w:t>“</w:t>
      </w:r>
      <w:r>
        <w:rPr>
          <w:rStyle w:val="20"/>
          <w:rFonts w:hint="eastAsia" w:ascii="黑体" w:hAnsi="黑体" w:eastAsia="黑体"/>
          <w:b w:val="0"/>
          <w:color w:val="auto"/>
          <w:highlight w:val="none"/>
        </w:rPr>
        <w:t>三公”经费支出决算情况说明</w:t>
      </w:r>
      <w:bookmarkEnd w:id="39"/>
      <w:bookmarkEnd w:id="40"/>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ascii="仿宋" w:hAnsi="仿宋" w:eastAsia="仿宋"/>
          <w:b/>
          <w:color w:val="auto"/>
          <w:sz w:val="32"/>
          <w:szCs w:val="32"/>
          <w:highlight w:val="none"/>
        </w:rPr>
      </w:pPr>
      <w:bookmarkStart w:id="42" w:name="_Toc15377216"/>
      <w:r>
        <w:rPr>
          <w:rFonts w:hint="eastAsia" w:ascii="楷体_GB2312" w:hAnsi="楷体_GB2312" w:eastAsia="楷体_GB2312" w:cs="楷体_GB2312"/>
          <w:b/>
          <w:color w:val="auto"/>
          <w:sz w:val="32"/>
          <w:szCs w:val="32"/>
          <w:highlight w:val="none"/>
        </w:rPr>
        <w:t>（一）“三公”经费财政拨款支出决算总体情况说明</w:t>
      </w:r>
      <w:bookmarkEnd w:id="42"/>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_GB2312" w:hAnsi="仿宋_GB2312" w:eastAsia="仿宋_GB2312" w:cs="仿宋_GB2312"/>
          <w:color w:val="auto"/>
          <w:sz w:val="32"/>
          <w:szCs w:val="32"/>
          <w:highlight w:val="none"/>
          <w:lang w:val="en-US" w:eastAsia="zh-CN"/>
        </w:rPr>
      </w:pPr>
      <w:bookmarkStart w:id="43" w:name="_Toc15377217"/>
      <w:r>
        <w:rPr>
          <w:rFonts w:hint="eastAsia" w:ascii="仿宋_GB2312" w:hAnsi="仿宋_GB2312" w:eastAsia="仿宋_GB2312" w:cs="仿宋_GB2312"/>
          <w:color w:val="auto"/>
          <w:sz w:val="32"/>
          <w:szCs w:val="32"/>
          <w:highlight w:val="none"/>
          <w:lang w:val="en-US" w:eastAsia="zh-CN"/>
        </w:rPr>
        <w:t>2024年度“三公”经费财政拨款支出决算为334.58万元，完成预算100%，较上年度增加9.34万元，增长2.87%。增长主要原因是：业务增加，油费增加。</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ascii="仿宋" w:hAnsi="仿宋" w:eastAsia="仿宋"/>
          <w:b/>
          <w:color w:val="auto"/>
          <w:sz w:val="32"/>
          <w:szCs w:val="32"/>
          <w:highlight w:val="none"/>
        </w:rPr>
      </w:pPr>
      <w:r>
        <w:rPr>
          <w:rFonts w:hint="eastAsia" w:ascii="楷体_GB2312" w:hAnsi="楷体_GB2312" w:eastAsia="楷体_GB2312" w:cs="楷体_GB2312"/>
          <w:b/>
          <w:color w:val="auto"/>
          <w:sz w:val="32"/>
          <w:szCs w:val="32"/>
          <w:highlight w:val="none"/>
        </w:rPr>
        <w:t>（二）“三公”经费财政拨款支出决算具体情况说明</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lang w:val="en-US" w:eastAsia="zh-CN"/>
        </w:rPr>
        <w:t>2024年度“三公”经费财政拨款支出决算中，因公出国（境）费支出决算0万元；公务用车购置及运行维护费支出决算332.25万元，占99.30%；公务接待费支出决算2.33万元，占0.70%。具体情况如下：</w:t>
      </w:r>
    </w:p>
    <w:p>
      <w:pPr>
        <w:pStyle w:val="2"/>
        <w:jc w:val="center"/>
        <w:rPr>
          <w:rFonts w:hint="eastAsia" w:eastAsia="黑体"/>
          <w:lang w:eastAsia="zh-CN"/>
        </w:rPr>
      </w:pPr>
      <w:r>
        <w:rPr>
          <w:rFonts w:hint="eastAsia" w:eastAsia="黑体"/>
          <w:lang w:eastAsia="zh-CN"/>
        </w:rPr>
        <w:drawing>
          <wp:inline distT="0" distB="0" distL="114300" distR="114300">
            <wp:extent cx="5256530" cy="2988310"/>
            <wp:effectExtent l="0" t="0" r="1270" b="254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bidi w:val="0"/>
        <w:snapToGrid/>
        <w:spacing w:beforeAutospacing="0" w:afterAutospacing="0" w:line="560" w:lineRule="exact"/>
        <w:ind w:left="0" w:right="0" w:firstLine="642" w:firstLineChars="200"/>
        <w:textAlignment w:val="auto"/>
        <w:rPr>
          <w:rStyle w:val="17"/>
          <w:rFonts w:hint="eastAsia" w:ascii="仿宋_GB2312" w:eastAsia="仿宋_GB2312" w:cs="仿宋_GB2312"/>
          <w:b w:val="0"/>
          <w:color w:val="000000"/>
          <w:sz w:val="32"/>
          <w:szCs w:val="32"/>
          <w:lang w:val="en-US" w:eastAsia="zh-CN" w:bidi="ar-SA"/>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hAnsi="仿宋_GB2312" w:eastAsia="仿宋_GB2312" w:cs="仿宋_GB2312"/>
          <w:color w:val="auto"/>
          <w:sz w:val="32"/>
          <w:szCs w:val="32"/>
          <w:highlight w:val="none"/>
          <w:lang w:val="en-US" w:eastAsia="zh-CN"/>
        </w:rPr>
        <w:t>0万元。</w:t>
      </w:r>
    </w:p>
    <w:p>
      <w:pPr>
        <w:keepNext w:val="0"/>
        <w:keepLines w:val="0"/>
        <w:pageBreakBefore w:val="0"/>
        <w:widowControl w:val="0"/>
        <w:kinsoku/>
        <w:wordWrap/>
        <w:overflowPunct/>
        <w:topLinePunct w:val="0"/>
        <w:bidi w:val="0"/>
        <w:snapToGrid/>
        <w:spacing w:line="560"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s="Times New Roman"/>
          <w:color w:val="auto"/>
          <w:sz w:val="32"/>
          <w:szCs w:val="32"/>
          <w:highlight w:val="none"/>
          <w:lang w:val="en-US" w:eastAsia="zh-CN"/>
        </w:rPr>
        <w:t>332.25</w:t>
      </w:r>
      <w:r>
        <w:rPr>
          <w:rFonts w:hint="eastAsia" w:ascii="仿宋_GB2312" w:eastAsia="仿宋_GB2312"/>
          <w:color w:val="auto"/>
          <w:sz w:val="32"/>
          <w:szCs w:val="32"/>
          <w:highlight w:val="none"/>
        </w:rPr>
        <w:t>万元,</w:t>
      </w:r>
      <w:r>
        <w:rPr>
          <w:rFonts w:hint="eastAsia" w:ascii="仿宋_GB2312" w:eastAsia="仿宋_GB2312" w:cs="Times New Roman"/>
          <w:color w:val="000000"/>
          <w:kern w:val="2"/>
          <w:sz w:val="32"/>
          <w:szCs w:val="32"/>
          <w:lang w:val="en-US" w:eastAsia="zh-CN" w:bidi="ar-SA"/>
        </w:rPr>
        <w:t>（其中：公务用车购置200.00万元，公务用车运行维护费132.25万元，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11.51</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3.59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 w:eastAsia="仿宋_GB2312" w:cs="Times New Roman"/>
          <w:sz w:val="32"/>
          <w:szCs w:val="32"/>
          <w:lang w:eastAsia="zh-CN"/>
        </w:rPr>
        <w:t>：业务增加，油费增加</w:t>
      </w:r>
      <w:r>
        <w:rPr>
          <w:rFonts w:hint="eastAsia" w:ascii="仿宋_GB2312" w:eastAsia="仿宋_GB2312"/>
          <w:color w:val="auto"/>
          <w:sz w:val="32"/>
          <w:szCs w:val="32"/>
          <w:highlight w:val="none"/>
        </w:rPr>
        <w:t>。</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200.00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其他车辆</w:t>
      </w:r>
      <w:r>
        <w:rPr>
          <w:rFonts w:hint="eastAsia" w:ascii="仿宋_GB2312" w:eastAsia="仿宋_GB2312"/>
          <w:color w:val="auto"/>
          <w:sz w:val="32"/>
          <w:szCs w:val="32"/>
          <w:highlight w:val="none"/>
          <w:lang w:val="en-US" w:eastAsia="zh-CN"/>
        </w:rPr>
        <w:t>9辆，金额200.00万元，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eastAsia="zh-CN"/>
        </w:rPr>
        <w:t>执法执勤</w:t>
      </w: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w:t>
      </w:r>
      <w:r>
        <w:rPr>
          <w:rFonts w:hint="eastAsia" w:ascii="仿宋_GB2312" w:eastAsia="仿宋_GB2312"/>
          <w:color w:val="auto"/>
          <w:sz w:val="32"/>
          <w:szCs w:val="32"/>
          <w:highlight w:val="none"/>
          <w:lang w:eastAsia="zh-CN"/>
        </w:rPr>
        <w:t>执法执勤</w:t>
      </w:r>
      <w:r>
        <w:rPr>
          <w:rFonts w:hint="eastAsia" w:ascii="仿宋_GB2312" w:eastAsia="仿宋_GB2312"/>
          <w:color w:val="auto"/>
          <w:sz w:val="32"/>
          <w:szCs w:val="32"/>
          <w:highlight w:val="none"/>
        </w:rPr>
        <w:t>用车</w:t>
      </w:r>
      <w:r>
        <w:rPr>
          <w:rFonts w:hint="eastAsia" w:ascii="仿宋_GB2312" w:eastAsia="仿宋_GB2312"/>
          <w:color w:val="auto"/>
          <w:sz w:val="32"/>
          <w:szCs w:val="32"/>
          <w:highlight w:val="none"/>
          <w:lang w:val="en-US" w:eastAsia="zh-CN"/>
        </w:rPr>
        <w:t>61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辆。</w:t>
      </w:r>
    </w:p>
    <w:p>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132.25</w:t>
      </w:r>
      <w:r>
        <w:rPr>
          <w:rFonts w:hint="eastAsia" w:ascii="仿宋_GB2312" w:eastAsia="仿宋_GB2312"/>
          <w:color w:val="auto"/>
          <w:sz w:val="32"/>
          <w:szCs w:val="32"/>
          <w:highlight w:val="none"/>
        </w:rPr>
        <w:t>万元。</w:t>
      </w:r>
      <w:r>
        <w:rPr>
          <w:rFonts w:hint="eastAsia" w:ascii="仿宋_GB2312" w:eastAsia="仿宋_GB2312" w:cs="Times New Roman"/>
          <w:color w:val="000000"/>
          <w:kern w:val="2"/>
          <w:sz w:val="32"/>
          <w:szCs w:val="32"/>
          <w:lang w:val="en-US" w:eastAsia="zh-CN" w:bidi="ar-SA"/>
        </w:rPr>
        <w:t>主要用于</w:t>
      </w:r>
      <w:r>
        <w:rPr>
          <w:rFonts w:hint="eastAsia" w:ascii="仿宋_GB2312" w:eastAsia="仿宋_GB2312" w:cs="仿宋_GB2312"/>
          <w:color w:val="000000"/>
          <w:sz w:val="32"/>
          <w:szCs w:val="32"/>
          <w:lang w:bidi="ar-SA"/>
        </w:rPr>
        <w:t>日常业务、办案、处突、巡逻、执勤、安保、出差等所需的公务用车燃料费、维修费、过路过桥费、保险费等支出。</w:t>
      </w:r>
    </w:p>
    <w:p>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2.33</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增减少</w:t>
      </w:r>
      <w:r>
        <w:rPr>
          <w:rFonts w:hint="eastAsia" w:ascii="仿宋_GB2312" w:eastAsia="仿宋_GB2312"/>
          <w:color w:val="auto"/>
          <w:sz w:val="32"/>
          <w:szCs w:val="32"/>
          <w:highlight w:val="none"/>
          <w:lang w:val="en-US" w:eastAsia="zh-CN"/>
        </w:rPr>
        <w:t>2.17</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48.22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：响应政府过紧日子号召，厉行节约</w:t>
      </w:r>
      <w:r>
        <w:rPr>
          <w:rFonts w:hint="eastAsia" w:ascii="仿宋_GB2312" w:eastAsia="仿宋_GB2312"/>
          <w:color w:val="auto"/>
          <w:sz w:val="32"/>
          <w:szCs w:val="32"/>
          <w:highlight w:val="none"/>
        </w:rPr>
        <w:t>。其中：</w:t>
      </w:r>
    </w:p>
    <w:p>
      <w:pPr>
        <w:keepNext w:val="0"/>
        <w:keepLines w:val="0"/>
        <w:pageBreakBefore w:val="0"/>
        <w:widowControl w:val="0"/>
        <w:kinsoku/>
        <w:wordWrap/>
        <w:overflowPunct/>
        <w:topLinePunct w:val="0"/>
        <w:bidi w:val="0"/>
        <w:snapToGrid/>
        <w:spacing w:line="560" w:lineRule="exact"/>
        <w:ind w:firstLine="64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2.33</w:t>
      </w:r>
      <w:r>
        <w:rPr>
          <w:rFonts w:hint="eastAsia" w:ascii="仿宋_GB2312" w:eastAsia="仿宋_GB2312"/>
          <w:color w:val="auto"/>
          <w:sz w:val="32"/>
          <w:szCs w:val="32"/>
          <w:highlight w:val="none"/>
        </w:rPr>
        <w:t>万元，主要用于</w:t>
      </w:r>
      <w:r>
        <w:rPr>
          <w:rFonts w:hint="eastAsia" w:ascii="仿宋_GB2312" w:eastAsia="仿宋_GB2312" w:cs="仿宋_GB2312"/>
          <w:color w:val="000000"/>
          <w:sz w:val="32"/>
          <w:szCs w:val="32"/>
          <w:lang w:bidi="ar-SA"/>
        </w:rPr>
        <w:t>执行公务、开展业务活动开支的交通费、住宿费、用餐费</w:t>
      </w:r>
      <w:r>
        <w:rPr>
          <w:rFonts w:hint="eastAsia" w:ascii="仿宋_GB2312" w:eastAsia="仿宋_GB2312"/>
          <w:color w:val="auto"/>
          <w:sz w:val="32"/>
          <w:szCs w:val="32"/>
          <w:highlight w:val="none"/>
        </w:rPr>
        <w:t>。国内公务接待</w:t>
      </w:r>
      <w:r>
        <w:rPr>
          <w:rFonts w:hint="eastAsia" w:ascii="仿宋_GB2312" w:eastAsia="仿宋_GB2312"/>
          <w:color w:val="auto"/>
          <w:sz w:val="32"/>
          <w:szCs w:val="32"/>
          <w:highlight w:val="none"/>
          <w:lang w:val="en-US" w:eastAsia="zh-CN"/>
        </w:rPr>
        <w:t>34</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164</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2.33</w:t>
      </w:r>
      <w:r>
        <w:rPr>
          <w:rFonts w:hint="eastAsia" w:ascii="仿宋_GB2312" w:eastAsia="仿宋_GB2312"/>
          <w:color w:val="auto"/>
          <w:sz w:val="32"/>
          <w:szCs w:val="32"/>
          <w:highlight w:val="none"/>
        </w:rPr>
        <w:t>万元，</w:t>
      </w:r>
      <w:r>
        <w:rPr>
          <w:rFonts w:hint="eastAsia" w:ascii="仿宋_GB2312" w:eastAsia="仿宋_GB2312" w:cs="仿宋_GB2312"/>
          <w:color w:val="000000"/>
          <w:sz w:val="32"/>
          <w:szCs w:val="32"/>
          <w:lang w:bidi="ar-SA"/>
        </w:rPr>
        <w:t>主要用于接待办案、检查、学习、维稳、安保、抢险救灾等上级领导及办案人员</w:t>
      </w:r>
      <w:r>
        <w:rPr>
          <w:rFonts w:hint="eastAsia" w:ascii="仿宋_GB2312" w:eastAsia="仿宋_GB2312"/>
          <w:color w:val="auto"/>
          <w:sz w:val="32"/>
          <w:szCs w:val="32"/>
          <w:highlight w:val="none"/>
        </w:rPr>
        <w:t>。</w:t>
      </w:r>
    </w:p>
    <w:p>
      <w:pPr>
        <w:pageBreakBefore w:val="0"/>
        <w:kinsoku/>
        <w:wordWrap/>
        <w:overflowPunct/>
        <w:topLinePunct w:val="0"/>
        <w:bidi w:val="0"/>
        <w:spacing w:line="560" w:lineRule="exact"/>
        <w:ind w:firstLine="640"/>
        <w:textAlignment w:val="auto"/>
        <w:outlineLvl w:val="1"/>
        <w:rPr>
          <w:rStyle w:val="20"/>
          <w:rFonts w:ascii="黑体" w:hAnsi="黑体" w:eastAsia="黑体"/>
          <w:color w:val="auto"/>
          <w:highlight w:val="none"/>
        </w:rPr>
      </w:pPr>
      <w:bookmarkStart w:id="44" w:name="_Toc15377218"/>
      <w:bookmarkStart w:id="45" w:name="_Toc15396610"/>
      <w:bookmarkStart w:id="46" w:name="_Toc22188"/>
      <w:r>
        <w:rPr>
          <w:rFonts w:hint="eastAsia" w:ascii="黑体" w:eastAsia="黑体"/>
          <w:color w:val="auto"/>
          <w:sz w:val="32"/>
          <w:szCs w:val="32"/>
          <w:highlight w:val="none"/>
        </w:rPr>
        <w:t>八、</w:t>
      </w:r>
      <w:r>
        <w:rPr>
          <w:rStyle w:val="20"/>
          <w:rFonts w:hint="eastAsia" w:ascii="黑体" w:hAnsi="黑体" w:eastAsia="黑体"/>
          <w:b w:val="0"/>
          <w:color w:val="auto"/>
          <w:highlight w:val="none"/>
        </w:rPr>
        <w:t>政府性基金预算支出决算情况说明</w:t>
      </w:r>
      <w:bookmarkEnd w:id="44"/>
      <w:bookmarkEnd w:id="45"/>
      <w:bookmarkEnd w:id="46"/>
    </w:p>
    <w:p>
      <w:pPr>
        <w:pageBreakBefore w:val="0"/>
        <w:kinsoku/>
        <w:wordWrap/>
        <w:overflowPunct/>
        <w:topLinePunct w:val="0"/>
        <w:bidi w:val="0"/>
        <w:spacing w:line="560" w:lineRule="exact"/>
        <w:ind w:firstLine="64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pageBreakBefore w:val="0"/>
        <w:numPr>
          <w:ilvl w:val="0"/>
          <w:numId w:val="2"/>
        </w:numPr>
        <w:kinsoku/>
        <w:wordWrap/>
        <w:overflowPunct/>
        <w:topLinePunct w:val="0"/>
        <w:bidi w:val="0"/>
        <w:spacing w:line="560" w:lineRule="exact"/>
        <w:ind w:firstLine="640"/>
        <w:textAlignment w:val="auto"/>
        <w:outlineLvl w:val="1"/>
        <w:rPr>
          <w:rStyle w:val="20"/>
          <w:rFonts w:ascii="黑体" w:hAnsi="黑体" w:eastAsia="黑体"/>
          <w:b w:val="0"/>
          <w:color w:val="auto"/>
          <w:highlight w:val="none"/>
        </w:rPr>
      </w:pPr>
      <w:bookmarkStart w:id="47" w:name="_Toc15377219"/>
      <w:bookmarkStart w:id="48" w:name="_Toc15396611"/>
      <w:bookmarkStart w:id="49" w:name="_Toc4728"/>
      <w:r>
        <w:rPr>
          <w:rStyle w:val="20"/>
          <w:rFonts w:hint="eastAsia" w:ascii="黑体" w:hAnsi="黑体" w:eastAsia="黑体"/>
          <w:b w:val="0"/>
          <w:color w:val="auto"/>
          <w:highlight w:val="none"/>
        </w:rPr>
        <w:t>国有资本经营预算支出决算情况说明</w:t>
      </w:r>
      <w:bookmarkEnd w:id="47"/>
      <w:bookmarkEnd w:id="48"/>
      <w:bookmarkEnd w:id="49"/>
    </w:p>
    <w:p>
      <w:pPr>
        <w:pageBreakBefore w:val="0"/>
        <w:kinsoku/>
        <w:wordWrap/>
        <w:overflowPunct/>
        <w:topLinePunct w:val="0"/>
        <w:bidi w:val="0"/>
        <w:spacing w:line="560" w:lineRule="exact"/>
        <w:ind w:firstLine="640"/>
        <w:textAlignment w:val="auto"/>
        <w:rPr>
          <w:rFonts w:ascii="方正小标宋简体" w:hAnsi="方正小标宋简体" w:eastAsia="方正小标宋简体" w:cs="方正小标宋简体"/>
          <w:color w:val="auto"/>
          <w:sz w:val="44"/>
          <w:szCs w:val="44"/>
          <w:highlight w:val="none"/>
        </w:rPr>
      </w:pP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pageBreakBefore w:val="0"/>
        <w:numPr>
          <w:ilvl w:val="0"/>
          <w:numId w:val="2"/>
        </w:numPr>
        <w:kinsoku/>
        <w:wordWrap/>
        <w:overflowPunct/>
        <w:topLinePunct w:val="0"/>
        <w:bidi w:val="0"/>
        <w:spacing w:line="560" w:lineRule="exact"/>
        <w:ind w:firstLine="640"/>
        <w:textAlignment w:val="auto"/>
        <w:outlineLvl w:val="1"/>
        <w:rPr>
          <w:rStyle w:val="20"/>
          <w:rFonts w:hint="eastAsia" w:ascii="黑体" w:hAnsi="黑体" w:eastAsia="黑体"/>
          <w:b w:val="0"/>
          <w:color w:val="auto"/>
          <w:highlight w:val="none"/>
        </w:rPr>
      </w:pPr>
      <w:bookmarkStart w:id="50" w:name="_Toc9767"/>
      <w:bookmarkStart w:id="51" w:name="_Toc15377221"/>
      <w:bookmarkStart w:id="52" w:name="_Toc15396612"/>
      <w:r>
        <w:rPr>
          <w:rStyle w:val="20"/>
          <w:rFonts w:hint="eastAsia" w:ascii="黑体" w:hAnsi="黑体" w:eastAsia="黑体"/>
          <w:b w:val="0"/>
          <w:color w:val="auto"/>
          <w:highlight w:val="none"/>
        </w:rPr>
        <w:t>其他重要事项的情况说明</w:t>
      </w:r>
      <w:bookmarkEnd w:id="50"/>
      <w:bookmarkEnd w:id="51"/>
      <w:bookmarkEnd w:id="52"/>
    </w:p>
    <w:p>
      <w:pPr>
        <w:keepNext w:val="0"/>
        <w:keepLines w:val="0"/>
        <w:pageBreakBefore w:val="0"/>
        <w:widowControl w:val="0"/>
        <w:kinsoku/>
        <w:wordWrap/>
        <w:overflowPunct/>
        <w:topLinePunct w:val="0"/>
        <w:bidi w:val="0"/>
        <w:snapToGrid/>
        <w:spacing w:line="560" w:lineRule="exact"/>
        <w:ind w:firstLine="642" w:firstLineChars="200"/>
        <w:textAlignment w:val="auto"/>
        <w:outlineLvl w:val="2"/>
        <w:rPr>
          <w:rFonts w:hint="eastAsia" w:ascii="楷体_GB2312" w:hAnsi="楷体_GB2312" w:eastAsia="楷体_GB2312" w:cs="楷体_GB2312"/>
          <w:b/>
          <w:color w:val="auto"/>
          <w:sz w:val="32"/>
          <w:szCs w:val="32"/>
          <w:highlight w:val="none"/>
        </w:rPr>
      </w:pPr>
      <w:bookmarkStart w:id="53" w:name="_Toc15377222"/>
      <w:r>
        <w:rPr>
          <w:rFonts w:hint="eastAsia" w:ascii="楷体_GB2312" w:hAnsi="楷体_GB2312" w:eastAsia="楷体_GB2312" w:cs="楷体_GB2312"/>
          <w:b/>
          <w:color w:val="auto"/>
          <w:sz w:val="32"/>
          <w:szCs w:val="32"/>
          <w:highlight w:val="none"/>
        </w:rPr>
        <w:t>（一）机关运行经费支出情况</w:t>
      </w:r>
      <w:bookmarkEnd w:id="53"/>
    </w:p>
    <w:p>
      <w:pPr>
        <w:keepNext w:val="0"/>
        <w:keepLines w:val="0"/>
        <w:pageBreakBefore w:val="0"/>
        <w:widowControl w:val="0"/>
        <w:kinsoku/>
        <w:wordWrap/>
        <w:overflowPunct/>
        <w:topLinePunct w:val="0"/>
        <w:bidi w:val="0"/>
        <w:snapToGrid/>
        <w:spacing w:line="560" w:lineRule="exact"/>
        <w:ind w:firstLine="640"/>
        <w:textAlignment w:val="auto"/>
        <w:rPr>
          <w:rFonts w:hint="eastAsia" w:ascii="仿宋_GB2312" w:eastAsia="仿宋_GB2312"/>
          <w:color w:val="auto"/>
          <w:sz w:val="32"/>
          <w:szCs w:val="32"/>
          <w:highlight w:val="none"/>
          <w:lang w:eastAsia="zh-CN"/>
        </w:rPr>
      </w:pPr>
      <w:bookmarkStart w:id="54" w:name="_Toc15377223"/>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茂县公安局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434.96</w:t>
      </w:r>
      <w:r>
        <w:rPr>
          <w:rFonts w:hint="eastAsia" w:ascii="仿宋_GB2312" w:eastAsia="仿宋_GB2312"/>
          <w:color w:val="auto"/>
          <w:sz w:val="32"/>
          <w:szCs w:val="32"/>
          <w:highlight w:val="none"/>
        </w:rPr>
        <w:t>万元，比</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度减少</w:t>
      </w:r>
      <w:r>
        <w:rPr>
          <w:rFonts w:hint="eastAsia" w:ascii="仿宋_GB2312" w:eastAsia="仿宋_GB2312"/>
          <w:color w:val="auto"/>
          <w:sz w:val="32"/>
          <w:szCs w:val="32"/>
          <w:highlight w:val="none"/>
          <w:lang w:val="en-US" w:eastAsia="zh-CN"/>
        </w:rPr>
        <w:t>9.44</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减少</w:t>
      </w:r>
      <w:r>
        <w:rPr>
          <w:rFonts w:hint="eastAsia" w:ascii="仿宋_GB2312" w:eastAsia="仿宋_GB2312"/>
          <w:color w:val="auto"/>
          <w:sz w:val="32"/>
          <w:szCs w:val="32"/>
          <w:highlight w:val="none"/>
          <w:lang w:val="en-US" w:eastAsia="zh-CN"/>
        </w:rPr>
        <w:t>2.12</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主要原因是：厉行节约</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bidi w:val="0"/>
        <w:snapToGrid/>
        <w:spacing w:line="560" w:lineRule="exact"/>
        <w:ind w:firstLine="642" w:firstLineChars="200"/>
        <w:textAlignment w:val="auto"/>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（二）政府采购支出情况</w:t>
      </w:r>
      <w:bookmarkEnd w:id="54"/>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 w:hAnsi="仿宋" w:eastAsia="仿宋"/>
          <w:b/>
          <w:color w:val="auto"/>
          <w:sz w:val="32"/>
          <w:szCs w:val="32"/>
          <w:highlight w:val="none"/>
        </w:rPr>
      </w:pPr>
      <w:bookmarkStart w:id="55" w:name="_Toc15377224"/>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茂县公安局</w:t>
      </w:r>
      <w:r>
        <w:rPr>
          <w:rFonts w:hint="eastAsia" w:ascii="仿宋_GB2312" w:eastAsia="仿宋_GB2312"/>
          <w:color w:val="auto"/>
          <w:sz w:val="32"/>
          <w:szCs w:val="32"/>
          <w:highlight w:val="none"/>
        </w:rPr>
        <w:t>政府采购支出总额</w:t>
      </w:r>
      <w:r>
        <w:rPr>
          <w:rFonts w:hint="eastAsia" w:ascii="仿宋_GB2312" w:eastAsia="仿宋_GB2312" w:cs="Times New Roman"/>
          <w:color w:val="auto"/>
          <w:sz w:val="32"/>
          <w:szCs w:val="32"/>
          <w:highlight w:val="none"/>
          <w:lang w:val="en-US" w:eastAsia="zh-CN"/>
        </w:rPr>
        <w:t>454.57</w:t>
      </w:r>
      <w:r>
        <w:rPr>
          <w:rFonts w:hint="eastAsia" w:ascii="仿宋_GB2312" w:eastAsia="仿宋_GB2312"/>
          <w:color w:val="auto"/>
          <w:sz w:val="32"/>
          <w:szCs w:val="32"/>
          <w:highlight w:val="none"/>
        </w:rPr>
        <w:t>万元，其中：政府采购货物支出</w:t>
      </w:r>
      <w:r>
        <w:rPr>
          <w:rFonts w:hint="eastAsia" w:ascii="仿宋_GB2312" w:eastAsia="仿宋_GB2312" w:cs="Times New Roman"/>
          <w:color w:val="auto"/>
          <w:sz w:val="32"/>
          <w:szCs w:val="32"/>
          <w:highlight w:val="none"/>
          <w:lang w:val="en-US" w:eastAsia="zh-CN"/>
        </w:rPr>
        <w:t>454.57</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w:t>
      </w:r>
      <w:r>
        <w:rPr>
          <w:rFonts w:hint="eastAsia" w:ascii="仿宋_GB2312" w:eastAsia="仿宋_GB2312" w:cs="仿宋_GB2312"/>
          <w:color w:val="000000"/>
          <w:sz w:val="32"/>
          <w:szCs w:val="32"/>
          <w:lang w:bidi="ar-SA"/>
        </w:rPr>
        <w:t>日常业务及</w:t>
      </w:r>
      <w:r>
        <w:rPr>
          <w:rFonts w:hint="eastAsia" w:ascii="仿宋_GB2312" w:eastAsia="仿宋_GB2312" w:cs="仿宋_GB2312"/>
          <w:color w:val="000000"/>
          <w:sz w:val="32"/>
          <w:szCs w:val="32"/>
          <w:lang w:eastAsia="zh-CN" w:bidi="ar-SA"/>
        </w:rPr>
        <w:t>执法执勤等</w:t>
      </w:r>
      <w:r>
        <w:rPr>
          <w:rFonts w:hint="eastAsia" w:ascii="仿宋_GB2312" w:eastAsia="仿宋_GB2312"/>
          <w:color w:val="auto"/>
          <w:sz w:val="32"/>
          <w:szCs w:val="32"/>
          <w:highlight w:val="none"/>
        </w:rPr>
        <w:t>。授予中小企业合同金额</w:t>
      </w:r>
      <w:r>
        <w:rPr>
          <w:rFonts w:hint="eastAsia" w:ascii="仿宋_GB2312" w:eastAsia="仿宋_GB2312"/>
          <w:color w:val="auto"/>
          <w:sz w:val="32"/>
          <w:szCs w:val="32"/>
          <w:highlight w:val="none"/>
          <w:lang w:val="en-US" w:eastAsia="zh-CN"/>
        </w:rPr>
        <w:t>191.25</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42.07</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191.25</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42.07</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hAnsi="仿宋" w:eastAsia="仿宋"/>
          <w:b/>
          <w:color w:val="auto"/>
          <w:sz w:val="32"/>
          <w:szCs w:val="32"/>
          <w:highlight w:val="none"/>
        </w:rPr>
      </w:pPr>
      <w:r>
        <w:rPr>
          <w:rFonts w:hint="eastAsia" w:ascii="楷体_GB2312" w:hAnsi="楷体_GB2312" w:eastAsia="楷体_GB2312" w:cs="楷体_GB2312"/>
          <w:b/>
          <w:color w:val="auto"/>
          <w:sz w:val="32"/>
          <w:szCs w:val="32"/>
          <w:highlight w:val="none"/>
        </w:rPr>
        <w:t>（三）国有资产占有使用情况</w:t>
      </w:r>
      <w:bookmarkEnd w:id="55"/>
    </w:p>
    <w:p>
      <w:pPr>
        <w:pageBreakBefore w:val="0"/>
        <w:kinsoku/>
        <w:wordWrap/>
        <w:overflowPunct/>
        <w:topLinePunct w:val="0"/>
        <w:autoSpaceDE w:val="0"/>
        <w:autoSpaceDN w:val="0"/>
        <w:bidi w:val="0"/>
        <w:adjustRightInd w:val="0"/>
        <w:spacing w:line="560" w:lineRule="exact"/>
        <w:ind w:firstLine="640" w:firstLineChars="200"/>
        <w:jc w:val="left"/>
        <w:textAlignment w:val="auto"/>
        <w:outlineLvl w:val="2"/>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hint="eastAsia" w:ascii="仿宋_GB2312" w:eastAsia="仿宋_GB2312"/>
          <w:color w:val="auto"/>
          <w:sz w:val="32"/>
          <w:szCs w:val="32"/>
          <w:highlight w:val="none"/>
          <w:lang w:eastAsia="zh-CN"/>
        </w:rPr>
        <w:t>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茂县公安局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61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执法执勤</w:t>
      </w:r>
      <w:r>
        <w:rPr>
          <w:rFonts w:hint="eastAsia" w:ascii="仿宋_GB2312" w:eastAsia="仿宋_GB2312"/>
          <w:color w:val="auto"/>
          <w:sz w:val="32"/>
          <w:szCs w:val="32"/>
          <w:highlight w:val="none"/>
        </w:rPr>
        <w:t>用车</w:t>
      </w:r>
      <w:r>
        <w:rPr>
          <w:rFonts w:hint="eastAsia" w:ascii="仿宋_GB2312" w:eastAsia="仿宋_GB2312"/>
          <w:color w:val="auto"/>
          <w:sz w:val="32"/>
          <w:szCs w:val="32"/>
          <w:highlight w:val="none"/>
          <w:lang w:val="en-US" w:eastAsia="zh-CN"/>
        </w:rPr>
        <w:t>61</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万元以上设备</w:t>
      </w:r>
      <w:r>
        <w:rPr>
          <w:rFonts w:hint="eastAsia" w:ascii="仿宋_GB2312" w:eastAsia="仿宋_GB2312"/>
          <w:color w:val="auto"/>
          <w:sz w:val="32"/>
          <w:szCs w:val="32"/>
          <w:highlight w:val="none"/>
          <w:lang w:eastAsia="zh-CN"/>
        </w:rPr>
        <w:t>（不含车辆）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台（套）。</w:t>
      </w:r>
    </w:p>
    <w:p>
      <w:pPr>
        <w:pageBreakBefore w:val="0"/>
        <w:kinsoku/>
        <w:wordWrap/>
        <w:overflowPunct/>
        <w:topLinePunct w:val="0"/>
        <w:autoSpaceDE w:val="0"/>
        <w:autoSpaceDN w:val="0"/>
        <w:bidi w:val="0"/>
        <w:adjustRightInd w:val="0"/>
        <w:spacing w:line="560" w:lineRule="exact"/>
        <w:ind w:firstLine="642" w:firstLineChars="200"/>
        <w:jc w:val="left"/>
        <w:textAlignment w:val="auto"/>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（四）预算绩效管理情况</w:t>
      </w:r>
    </w:p>
    <w:p>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2024年度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eastAsia="zh-CN"/>
        </w:rPr>
        <w:t>艾滋病防治</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4个项目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eastAsia="zh-CN"/>
        </w:rPr>
        <w:t>。</w:t>
      </w:r>
    </w:p>
    <w:p>
      <w:pPr>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2024年度一般公共预算、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全面开展绩效自评，形成茂县公安局</w:t>
      </w:r>
      <w:r>
        <w:rPr>
          <w:rFonts w:hint="eastAsia" w:ascii="仿宋_GB2312" w:hAnsi="仿宋_GB2312" w:eastAsia="仿宋_GB2312" w:cs="仿宋_GB2312"/>
          <w:color w:val="auto"/>
          <w:sz w:val="32"/>
          <w:szCs w:val="32"/>
          <w:highlight w:val="none"/>
          <w:lang w:eastAsia="zh-CN"/>
        </w:rPr>
        <w:t>部门整体（含部门预算项目）</w:t>
      </w:r>
      <w:r>
        <w:rPr>
          <w:rFonts w:hint="eastAsia" w:ascii="仿宋_GB2312" w:hAns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艾滋病防治等</w:t>
      </w:r>
      <w:r>
        <w:rPr>
          <w:rFonts w:hint="eastAsia" w:ascii="仿宋_GB2312" w:hAnsi="仿宋_GB2312" w:eastAsia="仿宋_GB2312" w:cs="仿宋_GB2312"/>
          <w:color w:val="auto"/>
          <w:sz w:val="32"/>
          <w:szCs w:val="32"/>
          <w:highlight w:val="none"/>
          <w:lang w:eastAsia="zh-CN"/>
        </w:rPr>
        <w:t>专项预算项目</w:t>
      </w:r>
      <w:r>
        <w:rPr>
          <w:rFonts w:hint="eastAsia" w:ascii="仿宋_GB2312" w:hAnsi="仿宋_GB2312" w:eastAsia="仿宋_GB2312" w:cs="仿宋_GB2312"/>
          <w:color w:val="auto"/>
          <w:sz w:val="32"/>
          <w:szCs w:val="32"/>
          <w:highlight w:val="none"/>
          <w:lang w:val="en-US" w:eastAsia="zh-CN"/>
        </w:rPr>
        <w:t>绩效自评报告，其中，茂县公安局部门整体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绩效自评得分为88分，绩效自评综述：</w:t>
      </w:r>
      <w:r>
        <w:rPr>
          <w:rFonts w:hint="eastAsia" w:ascii="仿宋_GB2312" w:hAnsi="仿宋" w:eastAsia="仿宋_GB2312" w:cs="仿宋_GB2312"/>
          <w:kern w:val="0"/>
          <w:sz w:val="32"/>
          <w:szCs w:val="32"/>
        </w:rPr>
        <w:t>根据预算绩效管理相关制度的要求，结合项目绩效指标完成情况及对项目成本、项目效率、部门绩效目标实现的综合分析，项目综合评价为项目各项指标均达到指标要求，项目实施达到预期效果，共计开展自评项目1</w:t>
      </w:r>
      <w:r>
        <w:rPr>
          <w:rFonts w:hint="eastAsia" w:ascii="仿宋_GB2312" w:hAnsi="仿宋" w:eastAsia="仿宋_GB2312" w:cs="仿宋_GB2312"/>
          <w:kern w:val="0"/>
          <w:sz w:val="32"/>
          <w:szCs w:val="32"/>
          <w:lang w:val="en-US" w:eastAsia="zh-CN"/>
        </w:rPr>
        <w:t>6</w:t>
      </w:r>
      <w:r>
        <w:rPr>
          <w:rFonts w:hint="eastAsia" w:ascii="仿宋_GB2312" w:hAnsi="仿宋" w:eastAsia="仿宋_GB2312" w:cs="仿宋_GB2312"/>
          <w:kern w:val="0"/>
          <w:sz w:val="32"/>
          <w:szCs w:val="32"/>
        </w:rPr>
        <w:t>个，自评分</w:t>
      </w:r>
      <w:r>
        <w:rPr>
          <w:rFonts w:hint="eastAsia" w:ascii="仿宋_GB2312" w:hAnsi="仿宋" w:eastAsia="仿宋_GB2312" w:cs="仿宋_GB2312"/>
          <w:kern w:val="0"/>
          <w:sz w:val="32"/>
          <w:szCs w:val="32"/>
          <w:lang w:eastAsia="zh-CN"/>
        </w:rPr>
        <w:t>均</w:t>
      </w:r>
      <w:r>
        <w:rPr>
          <w:rFonts w:hint="eastAsia" w:ascii="仿宋_GB2312" w:hAnsi="仿宋" w:eastAsia="仿宋_GB2312" w:cs="仿宋_GB2312"/>
          <w:kern w:val="0"/>
          <w:sz w:val="32"/>
          <w:szCs w:val="32"/>
        </w:rPr>
        <w:t>在</w:t>
      </w:r>
      <w:r>
        <w:rPr>
          <w:rFonts w:hint="eastAsia" w:ascii="仿宋_GB2312" w:hAnsi="仿宋" w:eastAsia="仿宋_GB2312" w:cs="仿宋_GB2312"/>
          <w:kern w:val="0"/>
          <w:sz w:val="32"/>
          <w:szCs w:val="32"/>
          <w:lang w:val="en-US" w:eastAsia="zh-CN"/>
        </w:rPr>
        <w:t>80</w:t>
      </w:r>
      <w:r>
        <w:rPr>
          <w:rFonts w:hint="eastAsia" w:ascii="仿宋_GB2312" w:hAnsi="仿宋" w:eastAsia="仿宋_GB2312" w:cs="仿宋_GB2312"/>
          <w:kern w:val="0"/>
          <w:sz w:val="32"/>
          <w:szCs w:val="32"/>
        </w:rPr>
        <w:t>分以上，自评为“优级”项目。茂县公安局整体支出情况合法、合规，严格执行法律、政策</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hint="eastAsia" w:ascii="仿宋_GB2312" w:hAnsi="仿宋" w:cs="仿宋_GB2312"/>
          <w:kern w:val="0"/>
          <w:sz w:val="32"/>
          <w:szCs w:val="32"/>
          <w:lang w:val="en-US" w:eastAsia="zh-CN"/>
        </w:rPr>
        <w:t>88</w:t>
      </w:r>
      <w:r>
        <w:rPr>
          <w:rFonts w:hint="eastAsia" w:ascii="仿宋_GB2312" w:hAnsi="仿宋" w:eastAsia="仿宋_GB2312" w:cs="仿宋_GB2312"/>
          <w:kern w:val="0"/>
          <w:sz w:val="32"/>
          <w:szCs w:val="32"/>
        </w:rPr>
        <w:t>分</w:t>
      </w:r>
      <w:r>
        <w:rPr>
          <w:rFonts w:hint="eastAsia" w:ascii="仿宋_GB2312" w:hAnsi="仿宋_GB2312" w:eastAsia="仿宋_GB2312" w:cs="仿宋_GB2312"/>
          <w:color w:val="auto"/>
          <w:sz w:val="32"/>
          <w:szCs w:val="32"/>
          <w:highlight w:val="none"/>
          <w:lang w:val="en-US" w:eastAsia="zh-CN"/>
        </w:rPr>
        <w:t>；艾滋病防治等</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算项目绩效自评得分均在80分以上，绩效自评综述：</w:t>
      </w:r>
      <w:r>
        <w:rPr>
          <w:rFonts w:hint="eastAsia" w:ascii="仿宋_GB2312" w:hAnsi="仿宋_GB2312" w:eastAsia="仿宋_GB2312" w:cs="仿宋_GB2312"/>
          <w:i w:val="0"/>
          <w:iCs w:val="0"/>
          <w:caps w:val="0"/>
          <w:color w:val="222222"/>
          <w:spacing w:val="0"/>
          <w:sz w:val="32"/>
          <w:szCs w:val="32"/>
          <w:shd w:val="clear" w:color="auto" w:fill="FFFFFF"/>
        </w:rPr>
        <w:t>绩效自评总体情况较好，项目实施取得了一定的成效</w:t>
      </w:r>
      <w:r>
        <w:rPr>
          <w:rFonts w:hint="eastAsia" w:ascii="仿宋_GB2312" w:hAnsi="仿宋" w:eastAsia="仿宋_GB2312" w:cs="仿宋_GB2312"/>
          <w:kern w:val="0"/>
          <w:sz w:val="32"/>
          <w:szCs w:val="32"/>
          <w:lang w:eastAsia="zh-CN"/>
        </w:rPr>
        <w:t>。</w:t>
      </w:r>
      <w:r>
        <w:rPr>
          <w:rFonts w:hint="eastAsia" w:ascii="仿宋_GB2312" w:hAnsi="仿宋_GB2312" w:eastAsia="仿宋_GB2312" w:cs="仿宋_GB2312"/>
          <w:color w:val="auto"/>
          <w:sz w:val="32"/>
          <w:szCs w:val="32"/>
          <w:highlight w:val="none"/>
          <w:lang w:val="en-US" w:eastAsia="zh-CN"/>
        </w:rPr>
        <w:t>绩效自评报告详见附件。</w:t>
      </w:r>
    </w:p>
    <w:p>
      <w:pPr>
        <w:pageBreakBefore w:val="0"/>
        <w:kinsoku/>
        <w:wordWrap/>
        <w:overflowPunct/>
        <w:topLinePunct w:val="0"/>
        <w:bidi w:val="0"/>
        <w:spacing w:line="560" w:lineRule="exact"/>
        <w:textAlignment w:val="auto"/>
      </w:pPr>
    </w:p>
    <w:p>
      <w:pPr>
        <w:pStyle w:val="2"/>
        <w:pageBreakBefore w:val="0"/>
        <w:kinsoku/>
        <w:wordWrap/>
        <w:overflowPunct/>
        <w:topLinePunct w:val="0"/>
        <w:bidi w:val="0"/>
        <w:spacing w:line="560" w:lineRule="exact"/>
        <w:textAlignment w:val="auto"/>
      </w:pPr>
    </w:p>
    <w:p>
      <w:pPr>
        <w:pageBreakBefore w:val="0"/>
        <w:kinsoku/>
        <w:wordWrap/>
        <w:overflowPunct/>
        <w:topLinePunct w:val="0"/>
        <w:bidi w:val="0"/>
        <w:spacing w:line="560" w:lineRule="exact"/>
        <w:textAlignment w:val="auto"/>
      </w:pPr>
    </w:p>
    <w:p>
      <w:pPr>
        <w:pStyle w:val="2"/>
        <w:pageBreakBefore w:val="0"/>
        <w:kinsoku/>
        <w:wordWrap/>
        <w:overflowPunct/>
        <w:topLinePunct w:val="0"/>
        <w:bidi w:val="0"/>
        <w:spacing w:line="560" w:lineRule="exact"/>
        <w:textAlignment w:val="auto"/>
      </w:pPr>
    </w:p>
    <w:p>
      <w:pPr>
        <w:pageBreakBefore w:val="0"/>
        <w:kinsoku/>
        <w:wordWrap/>
        <w:overflowPunct/>
        <w:topLinePunct w:val="0"/>
        <w:bidi w:val="0"/>
        <w:spacing w:line="560" w:lineRule="exact"/>
        <w:textAlignment w:val="auto"/>
      </w:pPr>
    </w:p>
    <w:p>
      <w:pPr>
        <w:pStyle w:val="2"/>
        <w:pageBreakBefore w:val="0"/>
        <w:kinsoku/>
        <w:wordWrap/>
        <w:overflowPunct/>
        <w:topLinePunct w:val="0"/>
        <w:bidi w:val="0"/>
        <w:spacing w:line="560" w:lineRule="exact"/>
        <w:textAlignment w:val="auto"/>
      </w:pPr>
    </w:p>
    <w:p>
      <w:pPr>
        <w:pageBreakBefore w:val="0"/>
        <w:kinsoku/>
        <w:wordWrap/>
        <w:overflowPunct/>
        <w:topLinePunct w:val="0"/>
        <w:bidi w:val="0"/>
        <w:spacing w:line="560" w:lineRule="exact"/>
        <w:textAlignment w:val="auto"/>
      </w:pPr>
    </w:p>
    <w:p>
      <w:pPr>
        <w:pStyle w:val="2"/>
        <w:pageBreakBefore w:val="0"/>
        <w:kinsoku/>
        <w:wordWrap/>
        <w:overflowPunct/>
        <w:topLinePunct w:val="0"/>
        <w:bidi w:val="0"/>
        <w:spacing w:line="560" w:lineRule="exact"/>
        <w:textAlignment w:val="auto"/>
      </w:pPr>
    </w:p>
    <w:p>
      <w:pPr>
        <w:pageBreakBefore w:val="0"/>
        <w:kinsoku/>
        <w:wordWrap/>
        <w:overflowPunct/>
        <w:topLinePunct w:val="0"/>
        <w:bidi w:val="0"/>
        <w:spacing w:line="560" w:lineRule="exact"/>
        <w:textAlignment w:val="auto"/>
      </w:pPr>
    </w:p>
    <w:p>
      <w:pPr>
        <w:pStyle w:val="2"/>
      </w:pPr>
    </w:p>
    <w:p/>
    <w:p>
      <w:pPr>
        <w:pStyle w:val="2"/>
      </w:pPr>
    </w:p>
    <w:p/>
    <w:p>
      <w:pPr>
        <w:pStyle w:val="2"/>
      </w:pPr>
    </w:p>
    <w:p/>
    <w:p>
      <w:pPr>
        <w:pStyle w:val="2"/>
        <w:pageBreakBefore w:val="0"/>
        <w:kinsoku/>
        <w:wordWrap/>
        <w:overflowPunct/>
        <w:topLinePunct w:val="0"/>
        <w:bidi w:val="0"/>
        <w:spacing w:line="560" w:lineRule="exact"/>
        <w:textAlignment w:val="auto"/>
      </w:pPr>
    </w:p>
    <w:p>
      <w:pPr>
        <w:keepNext w:val="0"/>
        <w:keepLines w:val="0"/>
        <w:pageBreakBefore w:val="0"/>
        <w:widowControl w:val="0"/>
        <w:numPr>
          <w:ilvl w:val="0"/>
          <w:numId w:val="0"/>
        </w:numPr>
        <w:kinsoku/>
        <w:wordWrap/>
        <w:overflowPunct/>
        <w:topLinePunct w:val="0"/>
        <w:bidi w:val="0"/>
        <w:snapToGrid/>
        <w:spacing w:line="560" w:lineRule="exact"/>
        <w:jc w:val="center"/>
        <w:textAlignment w:val="auto"/>
        <w:outlineLvl w:val="0"/>
        <w:rPr>
          <w:rStyle w:val="19"/>
          <w:rFonts w:ascii="黑体" w:hAnsi="黑体" w:eastAsia="黑体"/>
          <w:b w:val="0"/>
          <w:color w:val="auto"/>
          <w:sz w:val="44"/>
          <w:szCs w:val="44"/>
          <w:highlight w:val="none"/>
        </w:rPr>
      </w:pPr>
      <w:bookmarkStart w:id="56" w:name="_Toc31992"/>
      <w:r>
        <w:rPr>
          <w:rFonts w:hint="eastAsia" w:ascii="黑体" w:hAnsi="黑体" w:eastAsia="黑体"/>
          <w:color w:val="auto"/>
          <w:sz w:val="44"/>
          <w:szCs w:val="44"/>
          <w:highlight w:val="none"/>
          <w:lang w:eastAsia="zh-CN"/>
        </w:rPr>
        <w:t>第三部分</w:t>
      </w:r>
      <w:r>
        <w:rPr>
          <w:rFonts w:hint="eastAsia" w:ascii="黑体" w:hAnsi="黑体" w:eastAsia="黑体"/>
          <w:color w:val="auto"/>
          <w:sz w:val="44"/>
          <w:szCs w:val="44"/>
          <w:highlight w:val="none"/>
          <w:lang w:val="en-US" w:eastAsia="zh-CN"/>
        </w:rPr>
        <w:t xml:space="preserve">  </w:t>
      </w:r>
      <w:r>
        <w:rPr>
          <w:rFonts w:hint="eastAsia" w:ascii="黑体" w:hAnsi="黑体" w:eastAsia="黑体"/>
          <w:color w:val="auto"/>
          <w:sz w:val="44"/>
          <w:szCs w:val="44"/>
          <w:highlight w:val="none"/>
        </w:rPr>
        <w:t>名</w:t>
      </w:r>
      <w:r>
        <w:rPr>
          <w:rStyle w:val="19"/>
          <w:rFonts w:hint="eastAsia" w:ascii="黑体" w:hAnsi="黑体" w:eastAsia="黑体"/>
          <w:b w:val="0"/>
          <w:color w:val="auto"/>
          <w:sz w:val="44"/>
          <w:szCs w:val="44"/>
          <w:highlight w:val="none"/>
        </w:rPr>
        <w:t>词解释</w:t>
      </w:r>
      <w:bookmarkEnd w:id="56"/>
    </w:p>
    <w:p>
      <w:pPr>
        <w:pageBreakBefore w:val="0"/>
        <w:kinsoku/>
        <w:wordWrap/>
        <w:overflowPunct/>
        <w:topLinePunct w:val="0"/>
        <w:bidi w:val="0"/>
        <w:spacing w:line="560" w:lineRule="exact"/>
        <w:jc w:val="left"/>
        <w:textAlignment w:val="auto"/>
        <w:rPr>
          <w:rFonts w:ascii="宋体"/>
          <w:b/>
          <w:color w:val="auto"/>
          <w:sz w:val="44"/>
          <w:szCs w:val="44"/>
          <w:highlight w:val="none"/>
        </w:rPr>
      </w:pP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事业收入：指事业单位开展专业业务活动及辅助活动取得的收入。如…（二级预算单位事业收入情况）等。</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经营收入：指事业单位在专业业务活动及其辅助活动之外开展非独立核算经营活动取得的收入。如…（二级预算单位经营收入情况）等。</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其他收入：指单位取得的除上述收入以外的各项收入。主要是…（收入类型）等。</w:t>
      </w:r>
      <w:r>
        <w:rPr>
          <w:rFonts w:ascii="仿宋_GB2312" w:eastAsia="仿宋_GB2312"/>
          <w:color w:val="auto"/>
          <w:sz w:val="32"/>
          <w:szCs w:val="32"/>
          <w:highlight w:val="none"/>
        </w:rPr>
        <w:t xml:space="preserve"> </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hAnsi="华文中宋"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5"/>
        <w:pageBreakBefore w:val="0"/>
        <w:kinsoku/>
        <w:wordWrap/>
        <w:overflowPunct/>
        <w:topLinePunct w:val="0"/>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9. 公共安全（类）公安（款）行政运行（项）：指行政单位（包括实行公务员管理的事业单位）的基本支出。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 公共安全（类）公安（款）一般行政管理事务（项）：指行政单位（包括实行公务员管理的事业单位）单独设置项级科目的其他项目支出。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.公共安全（类）公安（款）特别业务（项）：指反应映公安机关开展特别业务工作的支出。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.公共安全（类）公安（款）移民事务（项）：指反应映公民出入境管理、外国人管理、边防检查、边境管理的支出。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.公共安全（类）公安（款）其他公安支出（项）：指反应映其他用于公安方面的支出。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 社会保障和就业（类）行政事业单位离退休（款）机关事业单位基本养老保险缴费支出（项）：指部门实施养老保险制度由单位缴纳的养老保险费的支出。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.社会保障和就业（类）行政事业单位离退休（款）机关事业单位基本养老保险缴费支出（项）：指部门实施养老保险制度由单位缴纳的养老保险费的支出。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.卫生健康（类）公共卫生（款）重大公共卫生服务（项）：反映重大疾病、重大传染病预防控制等重大公共卫生方面的支出。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hint="eastAsia" w:ascii="仿宋_GB2312" w:eastAsia="仿宋_GB2312"/>
          <w:color w:val="auto"/>
          <w:sz w:val="32"/>
          <w:szCs w:val="32"/>
          <w:highlight w:val="none"/>
        </w:rPr>
        <w:t>.卫生健康（类）行政事业单位医疗（款）行政单位医疗（项）：指财政部门集中安排的行政单位基本医疗保险缴费经费，按国家规定享受离休人员、红军老战士待遇人员的医疗经费。</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hint="eastAsia" w:ascii="仿宋_GB2312" w:eastAsia="仿宋_GB2312"/>
          <w:color w:val="auto"/>
          <w:sz w:val="32"/>
          <w:szCs w:val="32"/>
          <w:highlight w:val="none"/>
        </w:rPr>
        <w:t>.农林水（类）扶贫（款）其他扶贫支出（项）：指其他用于扶贫方面的支出。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.住房保障（类）住房改革支出（款）住房公积金（项）：指行政事业单位按规定为职工缴纳的住房公积金。</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.住房保障（类）住房改革支出（款）购房补贴（项）：指根据房改政策规定的标准，向符合条件职工发放的用于购买住房的补贴。</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.其他支出（类）其他支出（款）其他支出（项）：指其他不能划分到具体功能科目中的支出项目。</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hint="eastAsia" w:ascii="仿宋_GB2312" w:eastAsia="仿宋_GB2312"/>
          <w:color w:val="auto"/>
          <w:sz w:val="32"/>
          <w:szCs w:val="32"/>
          <w:highlight w:val="none"/>
        </w:rPr>
        <w:t>.基本支出：指为保障机构正常运转、完成日常工作任务而发生的人员支出和公用支出。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24</w:t>
      </w:r>
      <w:r>
        <w:rPr>
          <w:rFonts w:hint="eastAsia" w:ascii="仿宋_GB2312" w:eastAsia="仿宋_GB2312"/>
          <w:color w:val="auto"/>
          <w:sz w:val="32"/>
          <w:szCs w:val="32"/>
          <w:highlight w:val="none"/>
        </w:rPr>
        <w:t xml:space="preserve">.项目支出：指在基本支出之外为完成特定行政任务和事业发展目标所发生的支出。 </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25</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26</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pageBreakBefore w:val="0"/>
        <w:kinsoku/>
        <w:wordWrap/>
        <w:overflowPunct/>
        <w:topLinePunct w:val="0"/>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27</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exact"/>
        <w:jc w:val="center"/>
        <w:textAlignment w:val="auto"/>
        <w:outlineLvl w:val="0"/>
        <w:rPr>
          <w:rStyle w:val="19"/>
          <w:rFonts w:hint="eastAsia" w:ascii="黑体" w:hAnsi="黑体" w:eastAsia="黑体"/>
          <w:b w:val="0"/>
          <w:color w:val="auto"/>
          <w:highlight w:val="none"/>
          <w:lang w:eastAsia="zh-CN"/>
        </w:rPr>
      </w:pPr>
      <w:bookmarkStart w:id="57" w:name="_Toc15377226"/>
      <w:r>
        <w:rPr>
          <w:rFonts w:ascii="宋体"/>
          <w:b/>
          <w:color w:val="auto"/>
          <w:sz w:val="44"/>
          <w:szCs w:val="44"/>
          <w:highlight w:val="none"/>
        </w:rPr>
        <w:br w:type="page"/>
      </w:r>
      <w:bookmarkStart w:id="58" w:name="_Toc15396614"/>
      <w:bookmarkStart w:id="59" w:name="_Toc29910"/>
      <w:r>
        <w:rPr>
          <w:rFonts w:hint="eastAsia" w:ascii="黑体" w:hAnsi="黑体" w:eastAsia="黑体"/>
          <w:color w:val="auto"/>
          <w:sz w:val="44"/>
          <w:szCs w:val="44"/>
          <w:highlight w:val="none"/>
        </w:rPr>
        <w:t>第</w:t>
      </w:r>
      <w:r>
        <w:rPr>
          <w:rStyle w:val="19"/>
          <w:rFonts w:hint="eastAsia" w:ascii="黑体" w:hAnsi="黑体" w:eastAsia="黑体"/>
          <w:b w:val="0"/>
          <w:color w:val="auto"/>
          <w:highlight w:val="none"/>
        </w:rPr>
        <w:t>四部分 附件</w:t>
      </w:r>
      <w:bookmarkEnd w:id="58"/>
      <w:bookmarkEnd w:id="59"/>
    </w:p>
    <w:p>
      <w:pPr>
        <w:keepNext w:val="0"/>
        <w:keepLines w:val="0"/>
        <w:pageBreakBefore w:val="0"/>
        <w:kinsoku/>
        <w:wordWrap/>
        <w:overflowPunct/>
        <w:topLinePunct w:val="0"/>
        <w:autoSpaceDE/>
        <w:autoSpaceDN/>
        <w:bidi w:val="0"/>
        <w:spacing w:line="560" w:lineRule="exact"/>
        <w:jc w:val="left"/>
        <w:textAlignment w:val="auto"/>
        <w:outlineLvl w:val="9"/>
        <w:rPr>
          <w:rFonts w:hint="eastAsia" w:ascii="黑体" w:hAnsi="黑体" w:eastAsia="黑体" w:cs="黑体"/>
          <w:color w:val="FF0000"/>
          <w:sz w:val="32"/>
          <w:szCs w:val="32"/>
          <w:highlight w:val="none"/>
        </w:rPr>
      </w:pPr>
    </w:p>
    <w:p>
      <w:pPr>
        <w:keepNext w:val="0"/>
        <w:keepLines w:val="0"/>
        <w:pageBreakBefore w:val="0"/>
        <w:kinsoku/>
        <w:wordWrap/>
        <w:overflowPunct/>
        <w:topLinePunct w:val="0"/>
        <w:autoSpaceDE/>
        <w:autoSpaceDN/>
        <w:bidi w:val="0"/>
        <w:spacing w:line="560" w:lineRule="exact"/>
        <w:jc w:val="left"/>
        <w:textAlignment w:val="auto"/>
        <w:outlineLvl w:val="0"/>
        <w:rPr>
          <w:rFonts w:hint="eastAsia" w:ascii="方正小标宋简体" w:hAnsi="方正小标宋简体" w:eastAsia="黑体" w:cs="方正小标宋简体"/>
          <w:color w:val="auto"/>
          <w:sz w:val="44"/>
          <w:szCs w:val="44"/>
          <w:highlight w:val="none"/>
          <w:lang w:val="en-US" w:eastAsia="zh-CN"/>
        </w:rPr>
      </w:pPr>
      <w:bookmarkStart w:id="60" w:name="_Toc6819"/>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1</w:t>
      </w:r>
      <w:bookmarkEnd w:id="60"/>
    </w:p>
    <w:p>
      <w:pPr>
        <w:spacing w:line="600" w:lineRule="exact"/>
        <w:jc w:val="center"/>
        <w:outlineLvl w:val="0"/>
        <w:rPr>
          <w:rFonts w:hint="eastAsia" w:eastAsia="方正小标宋简体"/>
          <w:bCs/>
          <w:sz w:val="44"/>
          <w:szCs w:val="44"/>
          <w:shd w:val="clear" w:color="auto" w:fill="FFFFFF"/>
        </w:rPr>
      </w:pPr>
      <w:r>
        <w:rPr>
          <w:rFonts w:hint="eastAsia" w:eastAsia="方正小标宋简体"/>
          <w:bCs/>
          <w:sz w:val="44"/>
          <w:szCs w:val="44"/>
          <w:shd w:val="clear" w:color="auto" w:fill="FFFFFF"/>
        </w:rPr>
        <w:t>茂县公安局202</w:t>
      </w:r>
      <w:r>
        <w:rPr>
          <w:rFonts w:hint="eastAsia" w:eastAsia="方正小标宋简体"/>
          <w:bCs/>
          <w:sz w:val="44"/>
          <w:szCs w:val="44"/>
          <w:shd w:val="clear" w:color="auto" w:fill="FFFFFF"/>
          <w:lang w:val="en-US" w:eastAsia="zh-CN"/>
        </w:rPr>
        <w:t>4</w:t>
      </w:r>
      <w:r>
        <w:rPr>
          <w:rFonts w:hint="eastAsia" w:eastAsia="方正小标宋简体"/>
          <w:bCs/>
          <w:sz w:val="44"/>
          <w:szCs w:val="44"/>
          <w:shd w:val="clear" w:color="auto" w:fill="FFFFFF"/>
        </w:rPr>
        <w:t>年部门</w:t>
      </w:r>
      <w:r>
        <w:rPr>
          <w:rFonts w:hint="eastAsia" w:eastAsia="方正小标宋简体"/>
          <w:bCs/>
          <w:sz w:val="44"/>
          <w:szCs w:val="44"/>
          <w:shd w:val="clear" w:color="auto" w:fill="FFFFFF"/>
          <w:lang w:eastAsia="zh-CN"/>
        </w:rPr>
        <w:t>预算</w:t>
      </w:r>
      <w:r>
        <w:rPr>
          <w:rFonts w:hint="eastAsia" w:eastAsia="方正小标宋简体"/>
          <w:bCs/>
          <w:sz w:val="44"/>
          <w:szCs w:val="44"/>
          <w:shd w:val="clear" w:color="auto" w:fill="FFFFFF"/>
        </w:rPr>
        <w:t>绩效</w:t>
      </w:r>
    </w:p>
    <w:p>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eastAsia" w:eastAsia="方正小标宋简体"/>
          <w:bCs/>
          <w:sz w:val="44"/>
          <w:szCs w:val="44"/>
          <w:shd w:val="clear" w:color="auto" w:fill="FFFFFF"/>
        </w:rPr>
        <w:t>评价报告</w:t>
      </w:r>
    </w:p>
    <w:p>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eastAsia="黑体" w:cs="Times New Roman"/>
          <w:color w:val="000000"/>
          <w:kern w:val="0"/>
          <w:sz w:val="32"/>
          <w:szCs w:val="32"/>
          <w:highlight w:val="none"/>
          <w:shd w:val="clear" w:color="auto" w:fill="FFFFFF"/>
          <w:lang w:val="zh-CN"/>
        </w:rPr>
      </w:pPr>
      <w:r>
        <w:rPr>
          <w:rFonts w:hint="eastAsia" w:eastAsia="黑体" w:cs="Times New Roman"/>
          <w:color w:val="000000"/>
          <w:kern w:val="0"/>
          <w:sz w:val="32"/>
          <w:szCs w:val="32"/>
          <w:highlight w:val="none"/>
          <w:shd w:val="clear" w:color="auto" w:fill="FFFFFF"/>
          <w:lang w:val="zh-CN"/>
        </w:rPr>
        <w:t>一、</w:t>
      </w:r>
      <w:r>
        <w:rPr>
          <w:rFonts w:hint="default"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 w:eastAsia="仿宋_GB2312"/>
          <w:sz w:val="32"/>
          <w:szCs w:val="32"/>
          <w:lang w:val="en-US"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r>
        <w:rPr>
          <w:rFonts w:hint="eastAsia" w:ascii="仿宋_GB2312" w:hAnsi="仿宋" w:eastAsia="仿宋_GB2312"/>
          <w:sz w:val="32"/>
          <w:szCs w:val="32"/>
        </w:rPr>
        <w:t>本部门是</w:t>
      </w:r>
      <w:r>
        <w:rPr>
          <w:rFonts w:hint="eastAsia" w:ascii="仿宋_GB2312" w:eastAsia="仿宋_GB2312"/>
          <w:sz w:val="32"/>
          <w:szCs w:val="32"/>
        </w:rPr>
        <w:t>行政性质机构，</w:t>
      </w:r>
      <w:r>
        <w:rPr>
          <w:rFonts w:hint="eastAsia" w:ascii="仿宋_GB2312" w:hAnsi="仿宋" w:eastAsia="仿宋_GB2312"/>
          <w:sz w:val="32"/>
          <w:szCs w:val="32"/>
        </w:rPr>
        <w:t>属一级预算单位，其中内设机构1</w:t>
      </w:r>
      <w:r>
        <w:rPr>
          <w:rFonts w:hint="eastAsia" w:ascii="仿宋_GB2312" w:hAnsi="仿宋" w:eastAsia="仿宋_GB2312"/>
          <w:sz w:val="32"/>
          <w:szCs w:val="32"/>
          <w:lang w:val="en-US" w:eastAsia="zh-CN"/>
        </w:rPr>
        <w:t>6</w:t>
      </w:r>
      <w:r>
        <w:rPr>
          <w:rFonts w:hint="eastAsia" w:ascii="仿宋_GB2312" w:hAnsi="仿宋" w:eastAsia="仿宋_GB2312"/>
          <w:sz w:val="32"/>
          <w:szCs w:val="32"/>
        </w:rPr>
        <w:t>个，派出所15个,拘押场所2个。</w:t>
      </w:r>
      <w:r>
        <w:rPr>
          <w:rFonts w:hint="eastAsia" w:ascii="仿宋_GB2312" w:hAnsi="仿宋"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eastAsia="仿宋_GB2312"/>
          <w:sz w:val="32"/>
          <w:szCs w:val="32"/>
          <w:lang w:eastAsia="zh-CN"/>
        </w:rPr>
        <w:t>本</w:t>
      </w:r>
      <w:r>
        <w:rPr>
          <w:rFonts w:hint="eastAsia" w:ascii="仿宋_GB2312" w:eastAsia="仿宋_GB2312"/>
          <w:sz w:val="32"/>
          <w:szCs w:val="32"/>
        </w:rPr>
        <w:t>部门贯彻执行国家法律、法规和公安工作的路线、方针、政策；对全县公安工作进行决策、部署;组织实施并指导预防、制止和侦察违法犯罪活动;组织实施并指导全县公安机关依法查处危害社会治安秩序行为,依法管理户籍、枪支弹药、危险物品和特种行业等工作,管理集会、游行、示威活动,组织、协调处置重大案件、治安事故和骚乱;负责出入(境)和外国人在我县境内居留、旅行的有关管理工作以及全县公安外事工作;组织实施消防工作，实行消防监督;贯彻《警卫工作规定》，警卫国家规定的特定人员，守卫重要的场所和设施;维护全县道路交通安全，交通秩序以及车辆、驾驶员管理工作,查处交通事故;指导和管理全县公安机关依法监督机关、团体、企事业单位、学校、重点建设工程的治安保卫工作以及群众性治安组织的治安防范工作,指导企事业单位保卫组织和经济民警、保安队伍的建设;组织实施全县公安机关的信息通信工作以及全县公共信息网络安全监察工作;组织实施并指导看守所、治安拘留所的管理工作，开展深挖犯罪，扩大战果等工作;组织实施全县公安法制建设,指导、检查、监督公安机关执法活动,承担审批治安行政案件审核工作;组织实施全县科技强警工作，规划公安装备现代化建设;规划和指导全县公安队伍的现代化、正规化建设以及公安民警的管理、教育、训练;组织实施全县公安机关督察工作，按规定权限实施对民警的监督；查处公安队伍中的违法违纪案件; 负责涉林、涉野、涉资源违法犯罪活动打击，负责火案侦办;承办县委、县政府和上级公安机关交办的其他工作。</w:t>
      </w:r>
    </w:p>
    <w:p>
      <w:pPr>
        <w:spacing w:line="600" w:lineRule="exact"/>
        <w:ind w:firstLine="642" w:firstLineChars="200"/>
        <w:rPr>
          <w:rFonts w:hint="eastAsia" w:ascii="Times New Roman" w:hAnsi="Times New Roman" w:eastAsia="仿宋_GB2312" w:cs="Times New Roman"/>
          <w:szCs w:val="32"/>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 w:eastAsia="仿宋_GB2312"/>
          <w:sz w:val="32"/>
          <w:szCs w:val="32"/>
        </w:rPr>
        <w:t>单位总编制数200名，</w:t>
      </w:r>
      <w:r>
        <w:rPr>
          <w:rFonts w:hint="eastAsia" w:ascii="仿宋_GB2312" w:eastAsia="仿宋_GB2312"/>
          <w:sz w:val="32"/>
          <w:szCs w:val="32"/>
        </w:rPr>
        <w:t>其中：行政编制188名，行政工勤编制12名，事业编制0名。财政供养人员</w:t>
      </w:r>
      <w:r>
        <w:rPr>
          <w:rFonts w:hint="eastAsia" w:ascii="仿宋_GB2312" w:eastAsia="仿宋_GB2312"/>
          <w:sz w:val="32"/>
          <w:szCs w:val="32"/>
          <w:lang w:val="en-US" w:eastAsia="zh-CN"/>
        </w:rPr>
        <w:t>191</w:t>
      </w:r>
      <w:r>
        <w:rPr>
          <w:rFonts w:hint="eastAsia" w:ascii="仿宋_GB2312" w:eastAsia="仿宋_GB2312"/>
          <w:sz w:val="32"/>
          <w:szCs w:val="32"/>
        </w:rPr>
        <w:t>人，其中：在职政法干警</w:t>
      </w:r>
      <w:r>
        <w:rPr>
          <w:rFonts w:hint="eastAsia" w:ascii="仿宋_GB2312" w:eastAsia="仿宋_GB2312"/>
          <w:sz w:val="32"/>
          <w:szCs w:val="32"/>
          <w:lang w:val="en-US" w:eastAsia="zh-CN"/>
        </w:rPr>
        <w:t>179</w:t>
      </w:r>
      <w:r>
        <w:rPr>
          <w:rFonts w:hint="eastAsia" w:ascii="仿宋_GB2312" w:eastAsia="仿宋_GB2312"/>
          <w:sz w:val="32"/>
          <w:szCs w:val="32"/>
        </w:rPr>
        <w:t>人，在职工勤</w:t>
      </w:r>
      <w:r>
        <w:rPr>
          <w:rFonts w:hint="eastAsia" w:ascii="仿宋_GB2312" w:eastAsia="仿宋_GB2312"/>
          <w:sz w:val="32"/>
          <w:szCs w:val="32"/>
          <w:lang w:val="en-US" w:eastAsia="zh-CN"/>
        </w:rPr>
        <w:t>12</w:t>
      </w:r>
      <w:r>
        <w:rPr>
          <w:rFonts w:hint="eastAsia" w:ascii="仿宋_GB2312" w:eastAsia="仿宋_GB2312"/>
          <w:sz w:val="32"/>
          <w:szCs w:val="32"/>
        </w:rPr>
        <w:t>人，离休0人，退休</w:t>
      </w:r>
      <w:r>
        <w:rPr>
          <w:rFonts w:hint="eastAsia" w:ascii="仿宋_GB2312" w:eastAsia="仿宋_GB2312"/>
          <w:sz w:val="32"/>
          <w:szCs w:val="32"/>
          <w:lang w:val="en-US" w:eastAsia="zh-CN"/>
        </w:rPr>
        <w:t>41</w:t>
      </w:r>
      <w:r>
        <w:rPr>
          <w:rFonts w:hint="eastAsia" w:ascii="仿宋_GB2312" w:eastAsia="仿宋_GB2312"/>
          <w:sz w:val="32"/>
          <w:szCs w:val="32"/>
        </w:rPr>
        <w:t>人。</w:t>
      </w:r>
      <w:r>
        <w:rPr>
          <w:rFonts w:hint="eastAsia" w:ascii="仿宋_GB2312" w:hAnsi="仿宋" w:eastAsia="仿宋_GB2312"/>
          <w:sz w:val="32"/>
          <w:szCs w:val="32"/>
        </w:rPr>
        <w:t>本年</w:t>
      </w:r>
      <w:r>
        <w:rPr>
          <w:rFonts w:hint="eastAsia" w:ascii="仿宋_GB2312" w:eastAsia="仿宋_GB2312"/>
          <w:sz w:val="32"/>
          <w:szCs w:val="32"/>
        </w:rPr>
        <w:t>在职新增</w:t>
      </w:r>
      <w:r>
        <w:rPr>
          <w:rFonts w:hint="eastAsia" w:ascii="仿宋_GB2312" w:eastAsia="仿宋_GB2312"/>
          <w:sz w:val="32"/>
          <w:szCs w:val="32"/>
          <w:lang w:val="en-US" w:eastAsia="zh-CN"/>
        </w:rPr>
        <w:t>3</w:t>
      </w:r>
      <w:r>
        <w:rPr>
          <w:rFonts w:hint="eastAsia" w:ascii="仿宋_GB2312" w:eastAsia="仿宋_GB2312"/>
          <w:sz w:val="32"/>
          <w:szCs w:val="32"/>
        </w:rPr>
        <w:t>（其中：县内调入0人，县外调入</w:t>
      </w:r>
      <w:r>
        <w:rPr>
          <w:rFonts w:hint="eastAsia" w:ascii="仿宋_GB2312" w:eastAsia="仿宋_GB2312"/>
          <w:sz w:val="32"/>
          <w:szCs w:val="32"/>
          <w:lang w:val="en-US" w:eastAsia="zh-CN"/>
        </w:rPr>
        <w:t>3</w:t>
      </w:r>
      <w:r>
        <w:rPr>
          <w:rFonts w:hint="eastAsia" w:ascii="仿宋_GB2312" w:eastAsia="仿宋_GB2312"/>
          <w:sz w:val="32"/>
          <w:szCs w:val="32"/>
        </w:rPr>
        <w:t>人</w:t>
      </w:r>
      <w:r>
        <w:rPr>
          <w:rFonts w:hint="eastAsia" w:ascii="仿宋_GB2312" w:eastAsia="仿宋_GB2312"/>
          <w:sz w:val="32"/>
          <w:szCs w:val="32"/>
          <w:lang w:val="en-US" w:eastAsia="zh-CN"/>
        </w:rPr>
        <w:t>,新录用0人</w:t>
      </w:r>
      <w:r>
        <w:rPr>
          <w:rFonts w:hint="eastAsia" w:ascii="仿宋_GB2312" w:eastAsia="仿宋_GB2312"/>
          <w:sz w:val="32"/>
          <w:szCs w:val="32"/>
        </w:rPr>
        <w:t>）；在职减少</w:t>
      </w:r>
      <w:r>
        <w:rPr>
          <w:rFonts w:hint="eastAsia" w:ascii="仿宋_GB2312" w:eastAsia="仿宋_GB2312"/>
          <w:sz w:val="32"/>
          <w:szCs w:val="32"/>
          <w:lang w:val="en-US" w:eastAsia="zh-CN"/>
        </w:rPr>
        <w:t>4</w:t>
      </w:r>
      <w:r>
        <w:rPr>
          <w:rFonts w:hint="eastAsia" w:ascii="仿宋_GB2312" w:eastAsia="仿宋_GB2312"/>
          <w:sz w:val="32"/>
          <w:szCs w:val="32"/>
        </w:rPr>
        <w:t>人（其中：县内调出</w:t>
      </w:r>
      <w:r>
        <w:rPr>
          <w:rFonts w:hint="eastAsia" w:ascii="仿宋_GB2312" w:eastAsia="仿宋_GB2312"/>
          <w:sz w:val="32"/>
          <w:szCs w:val="32"/>
          <w:lang w:val="en-US" w:eastAsia="zh-CN"/>
        </w:rPr>
        <w:t>0</w:t>
      </w:r>
      <w:r>
        <w:rPr>
          <w:rFonts w:hint="eastAsia" w:ascii="仿宋_GB2312" w:eastAsia="仿宋_GB2312"/>
          <w:sz w:val="32"/>
          <w:szCs w:val="32"/>
        </w:rPr>
        <w:t>人，县外调出</w:t>
      </w:r>
      <w:r>
        <w:rPr>
          <w:rFonts w:hint="eastAsia" w:ascii="仿宋_GB2312" w:eastAsia="仿宋_GB2312"/>
          <w:sz w:val="32"/>
          <w:szCs w:val="32"/>
          <w:lang w:val="en-US" w:eastAsia="zh-CN"/>
        </w:rPr>
        <w:t>0</w:t>
      </w:r>
      <w:r>
        <w:rPr>
          <w:rFonts w:hint="eastAsia" w:ascii="仿宋_GB2312" w:eastAsia="仿宋_GB2312"/>
          <w:sz w:val="32"/>
          <w:szCs w:val="32"/>
        </w:rPr>
        <w:t>人，退休新增</w:t>
      </w:r>
      <w:r>
        <w:rPr>
          <w:rFonts w:hint="eastAsia" w:ascii="仿宋_GB2312" w:eastAsia="仿宋_GB2312"/>
          <w:sz w:val="32"/>
          <w:szCs w:val="32"/>
          <w:lang w:val="en-US" w:eastAsia="zh-CN"/>
        </w:rPr>
        <w:t>4</w:t>
      </w:r>
      <w:r>
        <w:rPr>
          <w:rFonts w:hint="eastAsia" w:ascii="仿宋_GB2312" w:eastAsia="仿宋_GB2312"/>
          <w:sz w:val="32"/>
          <w:szCs w:val="32"/>
        </w:rPr>
        <w:t>人,退休死亡</w:t>
      </w:r>
      <w:r>
        <w:rPr>
          <w:rFonts w:hint="eastAsia" w:ascii="仿宋_GB2312" w:eastAsia="仿宋_GB2312"/>
          <w:sz w:val="32"/>
          <w:szCs w:val="32"/>
          <w:lang w:val="en-US" w:eastAsia="zh-CN"/>
        </w:rPr>
        <w:t>1</w:t>
      </w:r>
      <w:r>
        <w:rPr>
          <w:rFonts w:hint="eastAsia" w:ascii="仿宋_GB2312" w:eastAsia="仿宋_GB2312"/>
          <w:sz w:val="32"/>
          <w:szCs w:val="32"/>
        </w:rPr>
        <w:t>人）</w:t>
      </w:r>
      <w:r>
        <w:rPr>
          <w:rFonts w:hint="eastAsia" w:ascii="仿宋_GB2312" w:eastAsia="仿宋_GB2312"/>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eastAsia="黑体" w:cs="Times New Roman"/>
          <w:color w:val="000000"/>
          <w:kern w:val="0"/>
          <w:sz w:val="32"/>
          <w:szCs w:val="32"/>
          <w:highlight w:val="none"/>
          <w:shd w:val="clear" w:color="auto" w:fill="FFFFFF"/>
          <w:lang w:val="zh-CN" w:eastAsia="zh-CN"/>
        </w:rPr>
      </w:pPr>
      <w:r>
        <w:rPr>
          <w:rFonts w:hint="default" w:eastAsia="黑体" w:cs="Times New Roman"/>
          <w:color w:val="000000"/>
          <w:kern w:val="0"/>
          <w:sz w:val="32"/>
          <w:szCs w:val="32"/>
          <w:highlight w:val="none"/>
          <w:shd w:val="clear" w:color="auto" w:fill="FFFFFF"/>
          <w:lang w:val="zh-CN" w:eastAsia="zh-CN"/>
        </w:rPr>
        <w:t>二、部门资金收支情况</w:t>
      </w:r>
    </w:p>
    <w:p>
      <w:pPr>
        <w:pageBreakBefore w:val="0"/>
        <w:kinsoku/>
        <w:wordWrap/>
        <w:overflowPunct/>
        <w:topLinePunct w:val="0"/>
        <w:bidi w:val="0"/>
        <w:snapToGrid w:val="0"/>
        <w:spacing w:line="560" w:lineRule="exact"/>
        <w:ind w:firstLine="642" w:firstLineChars="200"/>
        <w:textAlignment w:val="auto"/>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cs="仿宋_GB2312"/>
          <w:color w:val="000000"/>
          <w:sz w:val="32"/>
          <w:szCs w:val="32"/>
          <w:highlight w:val="none"/>
          <w:lang w:val="en-US" w:eastAsia="zh-CN"/>
        </w:rPr>
        <w:t>我局</w:t>
      </w:r>
      <w:r>
        <w:rPr>
          <w:rFonts w:ascii="仿宋_GB2312" w:eastAsia="仿宋_GB2312" w:cs="仿宋_GB2312"/>
          <w:color w:val="000000"/>
          <w:sz w:val="32"/>
          <w:szCs w:val="32"/>
          <w:highlight w:val="none"/>
        </w:rPr>
        <w:t>20</w:t>
      </w:r>
      <w:r>
        <w:rPr>
          <w:rFonts w:hint="eastAsia" w:ascii="仿宋_GB2312" w:eastAsia="仿宋_GB2312" w:cs="仿宋_GB2312"/>
          <w:color w:val="000000"/>
          <w:sz w:val="32"/>
          <w:szCs w:val="32"/>
          <w:highlight w:val="none"/>
        </w:rPr>
        <w:t>2</w:t>
      </w:r>
      <w:r>
        <w:rPr>
          <w:rFonts w:hint="eastAsia" w:ascii="仿宋_GB2312" w:cs="仿宋_GB2312"/>
          <w:color w:val="000000"/>
          <w:sz w:val="32"/>
          <w:szCs w:val="32"/>
          <w:highlight w:val="none"/>
          <w:lang w:val="en-US" w:eastAsia="zh-CN"/>
        </w:rPr>
        <w:t>4</w:t>
      </w:r>
      <w:r>
        <w:rPr>
          <w:rFonts w:hint="eastAsia" w:ascii="仿宋_GB2312" w:eastAsia="仿宋_GB2312" w:cs="仿宋_GB2312"/>
          <w:color w:val="000000"/>
          <w:sz w:val="32"/>
          <w:szCs w:val="32"/>
          <w:highlight w:val="none"/>
        </w:rPr>
        <w:t>年</w:t>
      </w:r>
      <w:r>
        <w:rPr>
          <w:rFonts w:hint="eastAsia" w:ascii="仿宋_GB2312" w:eastAsia="仿宋_GB2312" w:cs="仿宋_GB2312"/>
          <w:color w:val="000000"/>
          <w:sz w:val="32"/>
          <w:szCs w:val="32"/>
          <w:highlight w:val="none"/>
          <w:lang w:val="en-US" w:eastAsia="zh-CN"/>
        </w:rPr>
        <w:t>年初预算收入</w:t>
      </w:r>
      <w:r>
        <w:rPr>
          <w:rFonts w:hint="eastAsia" w:ascii="仿宋_GB2312" w:hAnsi="Times New Roman" w:eastAsia="仿宋_GB2312" w:cs="Times New Roman"/>
          <w:color w:val="000000"/>
          <w:sz w:val="32"/>
          <w:szCs w:val="32"/>
          <w:highlight w:val="none"/>
        </w:rPr>
        <w:t>7,</w:t>
      </w:r>
      <w:r>
        <w:rPr>
          <w:rFonts w:hint="eastAsia" w:ascii="仿宋_GB2312" w:cs="Times New Roman"/>
          <w:color w:val="000000"/>
          <w:sz w:val="32"/>
          <w:szCs w:val="32"/>
          <w:highlight w:val="none"/>
          <w:lang w:val="en-US" w:eastAsia="zh-CN"/>
        </w:rPr>
        <w:t>702</w:t>
      </w:r>
      <w:r>
        <w:rPr>
          <w:rFonts w:hint="eastAsia" w:ascii="仿宋_GB2312" w:hAnsi="Times New Roman" w:eastAsia="仿宋_GB2312" w:cs="Times New Roman"/>
          <w:color w:val="000000"/>
          <w:sz w:val="32"/>
          <w:szCs w:val="32"/>
          <w:highlight w:val="none"/>
        </w:rPr>
        <w:t>.</w:t>
      </w:r>
      <w:r>
        <w:rPr>
          <w:rFonts w:hint="eastAsia" w:ascii="仿宋_GB2312" w:cs="Times New Roman"/>
          <w:color w:val="000000"/>
          <w:sz w:val="32"/>
          <w:szCs w:val="32"/>
          <w:highlight w:val="none"/>
          <w:lang w:val="en-US" w:eastAsia="zh-CN"/>
        </w:rPr>
        <w:t>44</w:t>
      </w:r>
      <w:r>
        <w:rPr>
          <w:rFonts w:hint="eastAsia" w:ascii="仿宋_GB2312" w:eastAsia="仿宋_GB2312" w:cs="仿宋_GB2312"/>
          <w:color w:val="000000"/>
          <w:sz w:val="32"/>
          <w:szCs w:val="32"/>
          <w:highlight w:val="none"/>
        </w:rPr>
        <w:t>万元，其中：财政拨款收入</w:t>
      </w:r>
      <w:r>
        <w:rPr>
          <w:rFonts w:hint="eastAsia" w:ascii="仿宋_GB2312" w:hAnsi="Times New Roman" w:eastAsia="仿宋_GB2312" w:cs="Times New Roman"/>
          <w:color w:val="000000"/>
          <w:sz w:val="32"/>
          <w:szCs w:val="32"/>
          <w:highlight w:val="none"/>
        </w:rPr>
        <w:t>7,</w:t>
      </w:r>
      <w:r>
        <w:rPr>
          <w:rFonts w:hint="eastAsia" w:ascii="仿宋_GB2312" w:cs="Times New Roman"/>
          <w:color w:val="000000"/>
          <w:sz w:val="32"/>
          <w:szCs w:val="32"/>
          <w:highlight w:val="none"/>
          <w:lang w:val="en-US" w:eastAsia="zh-CN"/>
        </w:rPr>
        <w:t>702</w:t>
      </w:r>
      <w:r>
        <w:rPr>
          <w:rFonts w:hint="eastAsia" w:ascii="仿宋_GB2312" w:hAnsi="Times New Roman" w:eastAsia="仿宋_GB2312" w:cs="Times New Roman"/>
          <w:color w:val="000000"/>
          <w:sz w:val="32"/>
          <w:szCs w:val="32"/>
          <w:highlight w:val="none"/>
        </w:rPr>
        <w:t>.</w:t>
      </w:r>
      <w:r>
        <w:rPr>
          <w:rFonts w:hint="eastAsia" w:ascii="仿宋_GB2312" w:cs="Times New Roman"/>
          <w:color w:val="000000"/>
          <w:sz w:val="32"/>
          <w:szCs w:val="32"/>
          <w:highlight w:val="none"/>
          <w:lang w:val="en-US" w:eastAsia="zh-CN"/>
        </w:rPr>
        <w:t>44</w:t>
      </w:r>
      <w:r>
        <w:rPr>
          <w:rFonts w:hint="eastAsia" w:ascii="仿宋_GB2312" w:eastAsia="仿宋_GB2312" w:cs="仿宋_GB2312"/>
          <w:color w:val="000000"/>
          <w:sz w:val="32"/>
          <w:szCs w:val="32"/>
          <w:highlight w:val="none"/>
          <w:lang w:val="en-US" w:eastAsia="zh-CN"/>
        </w:rPr>
        <w:t>万元，</w:t>
      </w:r>
      <w:r>
        <w:rPr>
          <w:rFonts w:hint="eastAsia" w:ascii="仿宋_GB2312" w:hAnsi="宋体" w:eastAsia="仿宋_GB2312" w:cs="仿宋_GB2312"/>
          <w:color w:val="000000"/>
          <w:kern w:val="0"/>
          <w:sz w:val="32"/>
          <w:szCs w:val="32"/>
          <w:highlight w:val="none"/>
          <w:shd w:val="clear" w:color="auto" w:fill="FFFFFF"/>
          <w:lang w:val="zh-CN"/>
        </w:rPr>
        <w:t>占</w:t>
      </w:r>
      <w:r>
        <w:rPr>
          <w:rFonts w:hint="eastAsia" w:ascii="仿宋_GB2312" w:hAnsi="宋体" w:eastAsia="仿宋_GB2312" w:cs="仿宋_GB2312"/>
          <w:color w:val="000000"/>
          <w:kern w:val="0"/>
          <w:sz w:val="32"/>
          <w:szCs w:val="32"/>
          <w:highlight w:val="none"/>
          <w:shd w:val="clear" w:color="auto" w:fill="FFFFFF"/>
          <w:lang w:val="en-US" w:eastAsia="zh-CN"/>
        </w:rPr>
        <w:t>100</w:t>
      </w:r>
      <w:r>
        <w:rPr>
          <w:rFonts w:ascii="仿宋_GB2312" w:hAnsi="宋体" w:eastAsia="仿宋_GB2312" w:cs="仿宋_GB2312"/>
          <w:color w:val="000000"/>
          <w:kern w:val="0"/>
          <w:sz w:val="32"/>
          <w:szCs w:val="32"/>
          <w:highlight w:val="none"/>
          <w:shd w:val="clear" w:color="auto" w:fill="FFFFFF"/>
          <w:lang w:val="zh-CN"/>
        </w:rPr>
        <w:t>%</w:t>
      </w:r>
      <w:r>
        <w:rPr>
          <w:rFonts w:hint="eastAsia" w:ascii="仿宋_GB2312" w:hAnsi="宋体" w:eastAsia="仿宋_GB2312" w:cs="仿宋_GB2312"/>
          <w:color w:val="000000"/>
          <w:kern w:val="0"/>
          <w:sz w:val="32"/>
          <w:szCs w:val="32"/>
          <w:highlight w:val="none"/>
          <w:shd w:val="clear" w:color="auto" w:fill="FFFFFF"/>
          <w:lang w:val="zh-CN"/>
        </w:rPr>
        <w:t>。</w:t>
      </w:r>
      <w:r>
        <w:rPr>
          <w:rFonts w:hint="eastAsia" w:ascii="仿宋_GB2312" w:hAnsi="宋体" w:eastAsia="仿宋_GB2312" w:cs="仿宋_GB2312"/>
          <w:color w:val="000000"/>
          <w:kern w:val="0"/>
          <w:sz w:val="32"/>
          <w:szCs w:val="32"/>
          <w:highlight w:val="none"/>
          <w:shd w:val="clear" w:color="auto" w:fill="FFFFFF"/>
          <w:lang w:val="en-US" w:eastAsia="zh-CN"/>
        </w:rPr>
        <w:t>决算</w:t>
      </w:r>
      <w:r>
        <w:rPr>
          <w:rFonts w:hint="eastAsia" w:ascii="仿宋_GB2312" w:eastAsia="仿宋_GB2312" w:cs="仿宋_GB2312"/>
          <w:color w:val="000000"/>
          <w:sz w:val="32"/>
          <w:szCs w:val="32"/>
          <w:highlight w:val="none"/>
        </w:rPr>
        <w:t>收入</w:t>
      </w:r>
      <w:r>
        <w:rPr>
          <w:rFonts w:hint="eastAsia" w:ascii="仿宋_GB2312" w:hAnsi="Times New Roman" w:eastAsia="仿宋_GB2312" w:cs="Times New Roman"/>
          <w:color w:val="000000"/>
          <w:sz w:val="32"/>
          <w:szCs w:val="32"/>
          <w:highlight w:val="none"/>
        </w:rPr>
        <w:t>7,</w:t>
      </w:r>
      <w:r>
        <w:rPr>
          <w:rFonts w:hint="eastAsia" w:ascii="仿宋_GB2312" w:cs="Times New Roman"/>
          <w:color w:val="000000"/>
          <w:sz w:val="32"/>
          <w:szCs w:val="32"/>
          <w:highlight w:val="none"/>
          <w:lang w:val="en-US" w:eastAsia="zh-CN"/>
        </w:rPr>
        <w:t>702</w:t>
      </w:r>
      <w:r>
        <w:rPr>
          <w:rFonts w:hint="eastAsia" w:ascii="仿宋_GB2312" w:hAnsi="Times New Roman" w:eastAsia="仿宋_GB2312" w:cs="Times New Roman"/>
          <w:color w:val="000000"/>
          <w:sz w:val="32"/>
          <w:szCs w:val="32"/>
          <w:highlight w:val="none"/>
        </w:rPr>
        <w:t>.</w:t>
      </w:r>
      <w:r>
        <w:rPr>
          <w:rFonts w:hint="eastAsia" w:ascii="仿宋_GB2312" w:cs="Times New Roman"/>
          <w:color w:val="000000"/>
          <w:sz w:val="32"/>
          <w:szCs w:val="32"/>
          <w:highlight w:val="none"/>
          <w:lang w:val="en-US" w:eastAsia="zh-CN"/>
        </w:rPr>
        <w:t>44</w:t>
      </w:r>
      <w:r>
        <w:rPr>
          <w:rFonts w:hint="eastAsia" w:ascii="仿宋_GB2312" w:eastAsia="仿宋_GB2312" w:cs="仿宋_GB2312"/>
          <w:color w:val="000000"/>
          <w:sz w:val="32"/>
          <w:szCs w:val="32"/>
          <w:highlight w:val="none"/>
          <w:lang w:val="en-US" w:eastAsia="zh-CN"/>
        </w:rPr>
        <w:t>万元，</w:t>
      </w:r>
      <w:r>
        <w:rPr>
          <w:rFonts w:hint="eastAsia" w:ascii="仿宋_GB2312" w:eastAsia="仿宋_GB2312" w:cs="仿宋_GB2312"/>
          <w:color w:val="000000"/>
          <w:sz w:val="32"/>
          <w:szCs w:val="32"/>
          <w:highlight w:val="none"/>
          <w:lang w:eastAsia="zh-CN"/>
        </w:rPr>
        <w:t>其中：</w:t>
      </w:r>
      <w:r>
        <w:rPr>
          <w:rFonts w:hint="eastAsia" w:ascii="仿宋_GB2312" w:hAnsi="宋体" w:eastAsia="仿宋_GB2312" w:cs="仿宋_GB2312"/>
          <w:color w:val="000000"/>
          <w:kern w:val="0"/>
          <w:sz w:val="32"/>
          <w:szCs w:val="32"/>
          <w:highlight w:val="none"/>
          <w:shd w:val="clear" w:color="auto" w:fill="FFFFFF"/>
          <w:lang w:val="zh-CN"/>
        </w:rPr>
        <w:t>财政拨款收入</w:t>
      </w:r>
      <w:r>
        <w:rPr>
          <w:rFonts w:hint="eastAsia" w:ascii="仿宋_GB2312" w:hAnsi="Times New Roman" w:eastAsia="仿宋_GB2312" w:cs="Times New Roman"/>
          <w:color w:val="000000"/>
          <w:sz w:val="32"/>
          <w:szCs w:val="32"/>
          <w:highlight w:val="none"/>
        </w:rPr>
        <w:t>7,</w:t>
      </w:r>
      <w:r>
        <w:rPr>
          <w:rFonts w:hint="eastAsia" w:ascii="仿宋_GB2312" w:cs="Times New Roman"/>
          <w:color w:val="000000"/>
          <w:sz w:val="32"/>
          <w:szCs w:val="32"/>
          <w:highlight w:val="none"/>
          <w:lang w:val="en-US" w:eastAsia="zh-CN"/>
        </w:rPr>
        <w:t>702</w:t>
      </w:r>
      <w:r>
        <w:rPr>
          <w:rFonts w:hint="eastAsia" w:ascii="仿宋_GB2312" w:hAnsi="Times New Roman" w:eastAsia="仿宋_GB2312" w:cs="Times New Roman"/>
          <w:color w:val="000000"/>
          <w:sz w:val="32"/>
          <w:szCs w:val="32"/>
          <w:highlight w:val="none"/>
        </w:rPr>
        <w:t>.</w:t>
      </w:r>
      <w:r>
        <w:rPr>
          <w:rFonts w:hint="eastAsia" w:ascii="仿宋_GB2312" w:cs="Times New Roman"/>
          <w:color w:val="000000"/>
          <w:sz w:val="32"/>
          <w:szCs w:val="32"/>
          <w:highlight w:val="none"/>
          <w:lang w:val="en-US" w:eastAsia="zh-CN"/>
        </w:rPr>
        <w:t>44</w:t>
      </w:r>
      <w:r>
        <w:rPr>
          <w:rFonts w:hint="eastAsia" w:ascii="仿宋_GB2312" w:hAnsi="宋体" w:eastAsia="仿宋_GB2312" w:cs="仿宋_GB2312"/>
          <w:color w:val="000000"/>
          <w:kern w:val="0"/>
          <w:sz w:val="32"/>
          <w:szCs w:val="32"/>
          <w:highlight w:val="none"/>
          <w:shd w:val="clear" w:color="auto" w:fill="FFFFFF"/>
          <w:lang w:val="zh-CN"/>
        </w:rPr>
        <w:t>万元，占</w:t>
      </w:r>
      <w:r>
        <w:rPr>
          <w:rFonts w:hint="eastAsia" w:ascii="仿宋_GB2312" w:hAnsi="宋体" w:eastAsia="仿宋_GB2312" w:cs="仿宋_GB2312"/>
          <w:color w:val="000000"/>
          <w:kern w:val="0"/>
          <w:sz w:val="32"/>
          <w:szCs w:val="32"/>
          <w:highlight w:val="none"/>
          <w:shd w:val="clear" w:color="auto" w:fill="FFFFFF"/>
          <w:lang w:val="en-US" w:eastAsia="zh-CN"/>
        </w:rPr>
        <w:t>100</w:t>
      </w:r>
      <w:r>
        <w:rPr>
          <w:rFonts w:ascii="仿宋_GB2312" w:hAnsi="宋体" w:eastAsia="仿宋_GB2312" w:cs="仿宋_GB2312"/>
          <w:color w:val="000000"/>
          <w:kern w:val="0"/>
          <w:sz w:val="32"/>
          <w:szCs w:val="32"/>
          <w:highlight w:val="none"/>
          <w:shd w:val="clear" w:color="auto" w:fill="FFFFFF"/>
          <w:lang w:val="zh-CN"/>
        </w:rPr>
        <w:t>%</w:t>
      </w:r>
      <w:r>
        <w:rPr>
          <w:rFonts w:hint="eastAsia" w:ascii="仿宋_GB2312" w:hAnsi="宋体" w:eastAsia="仿宋_GB2312" w:cs="仿宋_GB2312"/>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宋体" w:eastAsia="仿宋_GB2312" w:cs="仿宋_GB2312"/>
          <w:color w:val="000000"/>
          <w:kern w:val="0"/>
          <w:sz w:val="32"/>
          <w:szCs w:val="32"/>
          <w:shd w:val="clear" w:color="auto" w:fill="FFFFFF"/>
          <w:lang w:val="en-US" w:eastAsia="zh-CN"/>
        </w:rPr>
        <w:t>我局</w:t>
      </w:r>
      <w:r>
        <w:rPr>
          <w:rFonts w:ascii="仿宋_GB2312" w:hAnsi="宋体" w:eastAsia="仿宋_GB2312" w:cs="仿宋_GB2312"/>
          <w:color w:val="000000"/>
          <w:kern w:val="0"/>
          <w:sz w:val="32"/>
          <w:szCs w:val="32"/>
          <w:shd w:val="clear" w:color="auto" w:fill="FFFFFF"/>
          <w:lang w:val="zh-CN"/>
        </w:rPr>
        <w:t>20</w:t>
      </w:r>
      <w:r>
        <w:rPr>
          <w:rFonts w:hint="eastAsia" w:ascii="仿宋_GB2312" w:hAnsi="宋体" w:eastAsia="仿宋_GB2312" w:cs="仿宋_GB2312"/>
          <w:color w:val="000000"/>
          <w:kern w:val="0"/>
          <w:sz w:val="32"/>
          <w:szCs w:val="32"/>
          <w:shd w:val="clear" w:color="auto" w:fill="FFFFFF"/>
          <w:lang w:val="zh-CN"/>
        </w:rPr>
        <w:t>2</w:t>
      </w:r>
      <w:r>
        <w:rPr>
          <w:rFonts w:hint="eastAsia" w:ascii="仿宋_GB2312" w:hAnsi="宋体" w:cs="仿宋_GB2312"/>
          <w:color w:val="000000"/>
          <w:kern w:val="0"/>
          <w:sz w:val="32"/>
          <w:szCs w:val="32"/>
          <w:shd w:val="clear" w:color="auto" w:fill="FFFFFF"/>
          <w:lang w:val="en-US" w:eastAsia="zh-CN"/>
        </w:rPr>
        <w:t>4</w:t>
      </w:r>
      <w:r>
        <w:rPr>
          <w:rFonts w:hint="eastAsia" w:ascii="仿宋_GB2312" w:hAnsi="宋体" w:eastAsia="仿宋_GB2312" w:cs="仿宋_GB2312"/>
          <w:color w:val="000000"/>
          <w:kern w:val="0"/>
          <w:sz w:val="32"/>
          <w:szCs w:val="32"/>
          <w:shd w:val="clear" w:color="auto" w:fill="FFFFFF"/>
          <w:lang w:val="zh-CN"/>
        </w:rPr>
        <w:t>年</w:t>
      </w:r>
      <w:r>
        <w:rPr>
          <w:rFonts w:hint="eastAsia" w:ascii="仿宋_GB2312" w:eastAsia="仿宋_GB2312" w:cs="仿宋_GB2312"/>
          <w:color w:val="000000"/>
          <w:sz w:val="32"/>
          <w:szCs w:val="32"/>
          <w:highlight w:val="none"/>
          <w:lang w:val="en-US" w:eastAsia="zh-CN"/>
        </w:rPr>
        <w:t>年初预算</w:t>
      </w:r>
      <w:r>
        <w:rPr>
          <w:rFonts w:hint="eastAsia" w:ascii="仿宋_GB2312" w:hAnsi="宋体" w:eastAsia="仿宋_GB2312" w:cs="仿宋_GB2312"/>
          <w:color w:val="000000"/>
          <w:kern w:val="0"/>
          <w:sz w:val="32"/>
          <w:szCs w:val="32"/>
          <w:shd w:val="clear" w:color="auto" w:fill="FFFFFF"/>
          <w:lang w:val="zh-CN"/>
        </w:rPr>
        <w:t>支出</w:t>
      </w:r>
      <w:r>
        <w:rPr>
          <w:rFonts w:hint="eastAsia" w:ascii="仿宋_GB2312" w:hAnsi="Times New Roman" w:eastAsia="仿宋_GB2312" w:cs="Times New Roman"/>
          <w:color w:val="000000"/>
          <w:sz w:val="32"/>
          <w:szCs w:val="32"/>
        </w:rPr>
        <w:t>7,</w:t>
      </w:r>
      <w:r>
        <w:rPr>
          <w:rFonts w:hint="eastAsia" w:ascii="仿宋_GB2312" w:cs="Times New Roman"/>
          <w:color w:val="000000"/>
          <w:sz w:val="32"/>
          <w:szCs w:val="32"/>
          <w:lang w:val="en-US" w:eastAsia="zh-CN"/>
        </w:rPr>
        <w:t>702</w:t>
      </w:r>
      <w:r>
        <w:rPr>
          <w:rFonts w:hint="eastAsia" w:ascii="仿宋_GB2312" w:hAnsi="Times New Roman" w:eastAsia="仿宋_GB2312" w:cs="Times New Roman"/>
          <w:color w:val="000000"/>
          <w:sz w:val="32"/>
          <w:szCs w:val="32"/>
        </w:rPr>
        <w:t>.</w:t>
      </w:r>
      <w:r>
        <w:rPr>
          <w:rFonts w:hint="eastAsia" w:ascii="仿宋_GB2312" w:cs="Times New Roman"/>
          <w:color w:val="000000"/>
          <w:sz w:val="32"/>
          <w:szCs w:val="32"/>
          <w:lang w:val="en-US" w:eastAsia="zh-CN"/>
        </w:rPr>
        <w:t>44</w:t>
      </w:r>
      <w:r>
        <w:rPr>
          <w:rFonts w:hint="eastAsia" w:ascii="仿宋_GB2312" w:hAnsi="宋体" w:eastAsia="仿宋_GB2312" w:cs="仿宋_GB2312"/>
          <w:color w:val="000000"/>
          <w:kern w:val="0"/>
          <w:sz w:val="32"/>
          <w:szCs w:val="32"/>
          <w:shd w:val="clear" w:color="auto" w:fill="FFFFFF"/>
          <w:lang w:val="zh-CN"/>
        </w:rPr>
        <w:t>万元。</w:t>
      </w:r>
      <w:r>
        <w:rPr>
          <w:rFonts w:hint="eastAsia" w:ascii="仿宋_GB2312" w:hAnsi="Times New Roman" w:eastAsia="仿宋_GB2312" w:cs="Times New Roman"/>
          <w:color w:val="000000"/>
          <w:sz w:val="32"/>
          <w:szCs w:val="32"/>
        </w:rPr>
        <w:t>其中：公共安全支出为6,</w:t>
      </w:r>
      <w:r>
        <w:rPr>
          <w:rFonts w:hint="eastAsia" w:ascii="仿宋_GB2312" w:cs="Times New Roman"/>
          <w:color w:val="000000"/>
          <w:sz w:val="32"/>
          <w:szCs w:val="32"/>
          <w:lang w:val="en-US" w:eastAsia="zh-CN"/>
        </w:rPr>
        <w:t>448</w:t>
      </w:r>
      <w:r>
        <w:rPr>
          <w:rFonts w:hint="eastAsia" w:ascii="仿宋_GB2312" w:hAnsi="Times New Roman" w:eastAsia="仿宋_GB2312" w:cs="Times New Roman"/>
          <w:color w:val="000000"/>
          <w:sz w:val="32"/>
          <w:szCs w:val="32"/>
        </w:rPr>
        <w:t>.</w:t>
      </w:r>
      <w:r>
        <w:rPr>
          <w:rFonts w:hint="eastAsia" w:ascii="仿宋_GB2312" w:cs="Times New Roman"/>
          <w:color w:val="000000"/>
          <w:sz w:val="32"/>
          <w:szCs w:val="32"/>
          <w:lang w:val="en-US" w:eastAsia="zh-CN"/>
        </w:rPr>
        <w:t>51</w:t>
      </w:r>
      <w:r>
        <w:rPr>
          <w:rFonts w:hint="eastAsia" w:ascii="仿宋_GB2312" w:hAnsi="Times New Roman" w:eastAsia="仿宋_GB2312" w:cs="Times New Roman"/>
          <w:color w:val="000000"/>
          <w:sz w:val="32"/>
          <w:szCs w:val="32"/>
        </w:rPr>
        <w:t>万元，占8</w:t>
      </w:r>
      <w:r>
        <w:rPr>
          <w:rFonts w:hint="eastAsia" w:ascii="仿宋_GB2312" w:cs="Times New Roman"/>
          <w:color w:val="000000"/>
          <w:sz w:val="32"/>
          <w:szCs w:val="32"/>
          <w:lang w:val="en-US" w:eastAsia="zh-CN"/>
        </w:rPr>
        <w:t>3</w:t>
      </w:r>
      <w:r>
        <w:rPr>
          <w:rFonts w:hint="eastAsia" w:ascii="仿宋_GB2312" w:hAnsi="Times New Roman" w:eastAsia="仿宋_GB2312" w:cs="Times New Roman"/>
          <w:color w:val="000000"/>
          <w:sz w:val="32"/>
          <w:szCs w:val="32"/>
        </w:rPr>
        <w:t>.</w:t>
      </w:r>
      <w:r>
        <w:rPr>
          <w:rFonts w:hint="eastAsia" w:ascii="仿宋_GB2312" w:cs="Times New Roman"/>
          <w:color w:val="000000"/>
          <w:sz w:val="32"/>
          <w:szCs w:val="32"/>
          <w:lang w:val="en-US" w:eastAsia="zh-CN"/>
        </w:rPr>
        <w:t>72</w:t>
      </w:r>
      <w:r>
        <w:rPr>
          <w:rFonts w:hint="eastAsia" w:ascii="仿宋_GB2312" w:hAnsi="Times New Roman" w:eastAsia="仿宋_GB2312" w:cs="Times New Roman"/>
          <w:color w:val="000000"/>
          <w:sz w:val="32"/>
          <w:szCs w:val="32"/>
        </w:rPr>
        <w:t>%；社会保障和就业支出为</w:t>
      </w:r>
      <w:r>
        <w:rPr>
          <w:rFonts w:hint="eastAsia" w:ascii="仿宋_GB2312" w:cs="Times New Roman"/>
          <w:color w:val="000000"/>
          <w:sz w:val="32"/>
          <w:szCs w:val="32"/>
          <w:lang w:val="en-US" w:eastAsia="zh-CN"/>
        </w:rPr>
        <w:t>615</w:t>
      </w:r>
      <w:r>
        <w:rPr>
          <w:rFonts w:hint="eastAsia" w:ascii="仿宋_GB2312" w:hAnsi="Times New Roman" w:eastAsia="仿宋_GB2312" w:cs="Times New Roman"/>
          <w:color w:val="000000"/>
          <w:sz w:val="32"/>
          <w:szCs w:val="32"/>
          <w:lang w:val="en-US" w:eastAsia="zh-CN"/>
        </w:rPr>
        <w:t>.</w:t>
      </w:r>
      <w:r>
        <w:rPr>
          <w:rFonts w:hint="eastAsia" w:ascii="仿宋_GB2312" w:cs="Times New Roman"/>
          <w:color w:val="000000"/>
          <w:sz w:val="32"/>
          <w:szCs w:val="32"/>
          <w:lang w:val="en-US" w:eastAsia="zh-CN"/>
        </w:rPr>
        <w:t>37</w:t>
      </w:r>
      <w:r>
        <w:rPr>
          <w:rFonts w:hint="eastAsia" w:ascii="仿宋_GB2312" w:hAnsi="Times New Roman" w:eastAsia="仿宋_GB2312" w:cs="Times New Roman"/>
          <w:color w:val="000000"/>
          <w:sz w:val="32"/>
          <w:szCs w:val="32"/>
        </w:rPr>
        <w:t>万元，占7.</w:t>
      </w:r>
      <w:r>
        <w:rPr>
          <w:rFonts w:hint="eastAsia" w:ascii="仿宋_GB2312" w:cs="Times New Roman"/>
          <w:color w:val="000000"/>
          <w:sz w:val="32"/>
          <w:szCs w:val="32"/>
          <w:lang w:val="en-US" w:eastAsia="zh-CN"/>
        </w:rPr>
        <w:t>99</w:t>
      </w:r>
      <w:r>
        <w:rPr>
          <w:rFonts w:hint="eastAsia" w:ascii="仿宋_GB2312" w:hAnsi="Times New Roman" w:eastAsia="仿宋_GB2312" w:cs="Times New Roman"/>
          <w:color w:val="000000"/>
          <w:sz w:val="32"/>
          <w:szCs w:val="32"/>
        </w:rPr>
        <w:t>%；卫生健康支出为</w:t>
      </w:r>
      <w:r>
        <w:rPr>
          <w:rFonts w:hint="eastAsia" w:ascii="仿宋_GB2312" w:hAnsi="Times New Roman" w:eastAsia="仿宋_GB2312" w:cs="Times New Roman"/>
          <w:color w:val="000000"/>
          <w:sz w:val="32"/>
          <w:szCs w:val="32"/>
          <w:lang w:val="en-US" w:eastAsia="zh-CN"/>
        </w:rPr>
        <w:t>2</w:t>
      </w:r>
      <w:r>
        <w:rPr>
          <w:rFonts w:hint="eastAsia" w:ascii="仿宋_GB2312" w:cs="Times New Roman"/>
          <w:color w:val="000000"/>
          <w:sz w:val="32"/>
          <w:szCs w:val="32"/>
          <w:lang w:val="en-US" w:eastAsia="zh-CN"/>
        </w:rPr>
        <w:t>73</w:t>
      </w:r>
      <w:r>
        <w:rPr>
          <w:rFonts w:hint="eastAsia" w:ascii="仿宋_GB2312" w:hAnsi="Times New Roman" w:eastAsia="仿宋_GB2312" w:cs="Times New Roman"/>
          <w:color w:val="000000"/>
          <w:sz w:val="32"/>
          <w:szCs w:val="32"/>
          <w:lang w:val="en-US" w:eastAsia="zh-CN"/>
        </w:rPr>
        <w:t>.</w:t>
      </w:r>
      <w:r>
        <w:rPr>
          <w:rFonts w:hint="eastAsia" w:ascii="仿宋_GB2312" w:cs="Times New Roman"/>
          <w:color w:val="000000"/>
          <w:sz w:val="32"/>
          <w:szCs w:val="32"/>
          <w:lang w:val="en-US" w:eastAsia="zh-CN"/>
        </w:rPr>
        <w:t>26</w:t>
      </w:r>
      <w:r>
        <w:rPr>
          <w:rFonts w:hint="eastAsia" w:ascii="仿宋_GB2312" w:hAnsi="Times New Roman" w:eastAsia="仿宋_GB2312" w:cs="Times New Roman"/>
          <w:color w:val="000000"/>
          <w:sz w:val="32"/>
          <w:szCs w:val="32"/>
        </w:rPr>
        <w:t>万元，占3.</w:t>
      </w:r>
      <w:r>
        <w:rPr>
          <w:rFonts w:hint="eastAsia" w:ascii="仿宋_GB2312" w:cs="Times New Roman"/>
          <w:color w:val="000000"/>
          <w:sz w:val="32"/>
          <w:szCs w:val="32"/>
          <w:lang w:val="en-US" w:eastAsia="zh-CN"/>
        </w:rPr>
        <w:t>56</w:t>
      </w:r>
      <w:r>
        <w:rPr>
          <w:rFonts w:hint="eastAsia" w:ascii="仿宋_GB2312" w:hAnsi="Times New Roman" w:eastAsia="仿宋_GB2312" w:cs="Times New Roman"/>
          <w:color w:val="000000"/>
          <w:sz w:val="32"/>
          <w:szCs w:val="32"/>
        </w:rPr>
        <w:t>%；住房保障支出为</w:t>
      </w:r>
      <w:r>
        <w:rPr>
          <w:rFonts w:hint="eastAsia" w:ascii="仿宋_GB2312" w:hAnsi="Times New Roman" w:eastAsia="仿宋_GB2312" w:cs="Times New Roman"/>
          <w:color w:val="000000"/>
          <w:sz w:val="32"/>
          <w:szCs w:val="32"/>
          <w:lang w:val="en-US" w:eastAsia="zh-CN"/>
        </w:rPr>
        <w:t>36</w:t>
      </w:r>
      <w:r>
        <w:rPr>
          <w:rFonts w:hint="eastAsia" w:ascii="仿宋_GB2312" w:cs="Times New Roman"/>
          <w:color w:val="000000"/>
          <w:sz w:val="32"/>
          <w:szCs w:val="32"/>
          <w:lang w:val="en-US" w:eastAsia="zh-CN"/>
        </w:rPr>
        <w:t>5</w:t>
      </w:r>
      <w:r>
        <w:rPr>
          <w:rFonts w:hint="eastAsia" w:ascii="仿宋_GB2312" w:hAnsi="Times New Roman" w:eastAsia="仿宋_GB2312" w:cs="Times New Roman"/>
          <w:color w:val="000000"/>
          <w:sz w:val="32"/>
          <w:szCs w:val="32"/>
          <w:lang w:val="en-US" w:eastAsia="zh-CN"/>
        </w:rPr>
        <w:t>.</w:t>
      </w:r>
      <w:r>
        <w:rPr>
          <w:rFonts w:hint="eastAsia" w:ascii="仿宋_GB2312" w:cs="Times New Roman"/>
          <w:color w:val="000000"/>
          <w:sz w:val="32"/>
          <w:szCs w:val="32"/>
          <w:lang w:val="en-US" w:eastAsia="zh-CN"/>
        </w:rPr>
        <w:t>28</w:t>
      </w:r>
      <w:r>
        <w:rPr>
          <w:rFonts w:hint="eastAsia" w:ascii="仿宋_GB2312" w:hAnsi="Times New Roman" w:eastAsia="仿宋_GB2312" w:cs="Times New Roman"/>
          <w:color w:val="000000"/>
          <w:sz w:val="32"/>
          <w:szCs w:val="32"/>
        </w:rPr>
        <w:t>万元，占</w:t>
      </w:r>
      <w:r>
        <w:rPr>
          <w:rFonts w:hint="eastAsia" w:ascii="仿宋_GB2312" w:hAnsi="Times New Roman" w:eastAsia="仿宋_GB2312" w:cs="Times New Roman"/>
          <w:color w:val="000000"/>
          <w:sz w:val="32"/>
          <w:szCs w:val="32"/>
          <w:lang w:val="en-US" w:eastAsia="zh-CN"/>
        </w:rPr>
        <w:t>4.</w:t>
      </w:r>
      <w:r>
        <w:rPr>
          <w:rFonts w:hint="eastAsia" w:ascii="仿宋_GB2312" w:cs="Times New Roman"/>
          <w:color w:val="000000"/>
          <w:sz w:val="32"/>
          <w:szCs w:val="32"/>
          <w:lang w:val="en-US" w:eastAsia="zh-CN"/>
        </w:rPr>
        <w:t>73</w:t>
      </w:r>
      <w:r>
        <w:rPr>
          <w:rFonts w:hint="eastAsia" w:ascii="仿宋_GB2312" w:hAnsi="Times New Roman" w:eastAsia="仿宋_GB2312" w:cs="Times New Roman"/>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Times New Roman" w:eastAsia="仿宋_GB2312" w:cs="Times New Roman"/>
          <w:color w:val="000000"/>
          <w:sz w:val="32"/>
          <w:szCs w:val="32"/>
          <w:lang w:eastAsia="zh-CN"/>
        </w:rPr>
        <w:t>我局</w:t>
      </w:r>
      <w:r>
        <w:rPr>
          <w:rFonts w:hint="eastAsia" w:ascii="仿宋_GB2312" w:hAnsi="Times New Roman" w:eastAsia="仿宋_GB2312" w:cs="Times New Roman"/>
          <w:color w:val="000000"/>
          <w:sz w:val="32"/>
          <w:szCs w:val="32"/>
        </w:rPr>
        <w:t>202</w:t>
      </w:r>
      <w:r>
        <w:rPr>
          <w:rFonts w:hint="eastAsia" w:ascii="仿宋_GB2312" w:hAnsi="Times New Roman" w:eastAsia="仿宋_GB2312" w:cs="Times New Roman"/>
          <w:color w:val="000000"/>
          <w:sz w:val="32"/>
          <w:szCs w:val="32"/>
          <w:lang w:val="en-US" w:eastAsia="zh-CN"/>
        </w:rPr>
        <w:t>4</w:t>
      </w:r>
      <w:r>
        <w:rPr>
          <w:rFonts w:hint="eastAsia" w:ascii="Times New Roman" w:hAnsi="Times New Roman" w:eastAsia="仿宋_GB2312" w:cs="Times New Roman"/>
          <w:sz w:val="32"/>
          <w:szCs w:val="32"/>
          <w:lang w:val="en-US" w:eastAsia="zh-CN"/>
        </w:rPr>
        <w:t>年决算报表无</w:t>
      </w:r>
      <w:r>
        <w:rPr>
          <w:rFonts w:hint="default" w:ascii="Times New Roman" w:hAnsi="Times New Roman" w:eastAsia="仿宋_GB2312" w:cs="Times New Roman"/>
          <w:sz w:val="32"/>
          <w:szCs w:val="32"/>
          <w:lang w:val="en-US" w:eastAsia="zh-CN"/>
        </w:rPr>
        <w:t>结转结余。</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eastAsia="黑体" w:cs="Times New Roman"/>
          <w:color w:val="000000"/>
          <w:kern w:val="0"/>
          <w:sz w:val="32"/>
          <w:szCs w:val="32"/>
          <w:highlight w:val="none"/>
          <w:shd w:val="clear" w:color="auto" w:fill="FFFFFF"/>
          <w:lang w:val="zh-CN" w:eastAsia="zh-CN"/>
        </w:rPr>
      </w:pPr>
      <w:r>
        <w:rPr>
          <w:rFonts w:hint="default" w:eastAsia="黑体" w:cs="Times New Roman"/>
          <w:color w:val="000000"/>
          <w:kern w:val="0"/>
          <w:sz w:val="32"/>
          <w:szCs w:val="32"/>
          <w:highlight w:val="none"/>
          <w:shd w:val="clear" w:color="auto" w:fill="FFFFFF"/>
          <w:lang w:val="zh-CN" w:eastAsia="zh-CN"/>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2" w:firstLineChars="200"/>
        <w:contextualSpacing/>
        <w:jc w:val="left"/>
        <w:textAlignment w:val="auto"/>
        <w:outlineLvl w:val="9"/>
        <w:rPr>
          <w:rFonts w:hint="default" w:ascii="Times New Roman" w:hAnsi="Times New Roman" w:cs="Times New Roman"/>
          <w:color w:val="000000"/>
          <w:kern w:val="0"/>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pPr>
        <w:numPr>
          <w:ilvl w:val="0"/>
          <w:numId w:val="0"/>
        </w:numPr>
        <w:spacing w:line="576" w:lineRule="exact"/>
        <w:ind w:firstLine="640" w:firstLineChars="200"/>
        <w:contextualSpacing/>
        <w:jc w:val="left"/>
        <w:rPr>
          <w:color w:val="000000"/>
          <w:kern w:val="0"/>
          <w:szCs w:val="32"/>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履职效能。</w:t>
      </w:r>
      <w:r>
        <w:rPr>
          <w:rFonts w:hint="eastAsia" w:ascii="仿宋_GB2312" w:hAnsi="仿宋_GB2312" w:eastAsia="仿宋_GB2312" w:cs="仿宋_GB2312"/>
          <w:color w:val="000000"/>
          <w:sz w:val="32"/>
          <w:szCs w:val="32"/>
        </w:rPr>
        <w:t>202</w:t>
      </w:r>
      <w:r>
        <w:rPr>
          <w:rFonts w:hint="eastAsia" w:ascii="仿宋_GB2312" w:hAnsi="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eastAsia="仿宋_GB2312"/>
          <w:sz w:val="32"/>
          <w:szCs w:val="32"/>
        </w:rPr>
        <w:t>茂县公安局</w:t>
      </w:r>
      <w:r>
        <w:rPr>
          <w:rFonts w:hint="default" w:ascii="仿宋_GB2312" w:eastAsia="仿宋_GB2312"/>
          <w:sz w:val="32"/>
          <w:szCs w:val="32"/>
        </w:rPr>
        <w:t>全面贯彻党的二十大精神</w:t>
      </w:r>
      <w:r>
        <w:rPr>
          <w:rFonts w:hint="eastAsia" w:ascii="仿宋_GB2312" w:eastAsia="仿宋_GB2312"/>
          <w:sz w:val="32"/>
          <w:szCs w:val="32"/>
        </w:rPr>
        <w:t>，进一步</w:t>
      </w:r>
      <w:r>
        <w:rPr>
          <w:rFonts w:hint="default" w:ascii="仿宋_GB2312" w:eastAsia="仿宋_GB2312"/>
          <w:sz w:val="32"/>
          <w:szCs w:val="32"/>
        </w:rPr>
        <w:t>增强“四个意识”、坚定“四个自信”、做到“两个维护”</w:t>
      </w:r>
      <w:r>
        <w:rPr>
          <w:rFonts w:hint="eastAsia" w:ascii="仿宋_GB2312" w:eastAsia="仿宋_GB2312"/>
          <w:sz w:val="32"/>
          <w:szCs w:val="32"/>
        </w:rPr>
        <w:t>，紧紧围绕对党忠诚、服务人民、执法公正、纪律严明的总要求和“四个铁一般”标准，培育和践行</w:t>
      </w:r>
      <w:r>
        <w:rPr>
          <w:rFonts w:hint="eastAsia" w:ascii="仿宋_GB2312" w:hAnsi="Times New Roman" w:eastAsia="仿宋_GB2312" w:cs="Times New Roman"/>
          <w:sz w:val="32"/>
          <w:szCs w:val="32"/>
        </w:rPr>
        <w:t>“忠诚、为民、尚法、守纪；团结、实干、勇敢、奉献；缜密、善战、创新、卓越”</w:t>
      </w:r>
      <w:r>
        <w:rPr>
          <w:rFonts w:hint="eastAsia" w:ascii="仿宋_GB2312" w:eastAsia="仿宋_GB2312"/>
          <w:sz w:val="32"/>
          <w:szCs w:val="32"/>
        </w:rPr>
        <w:t>的新时代阿坝公安精神，坚持带头讲政治、带头讲团结、带头</w:t>
      </w:r>
      <w:r>
        <w:rPr>
          <w:rFonts w:hint="eastAsia" w:ascii="仿宋_GB2312" w:eastAsia="仿宋_GB2312"/>
          <w:sz w:val="32"/>
          <w:szCs w:val="32"/>
          <w:lang w:val="en-US" w:eastAsia="zh-CN"/>
        </w:rPr>
        <w:t>讲</w:t>
      </w:r>
      <w:r>
        <w:rPr>
          <w:rFonts w:hint="eastAsia" w:ascii="仿宋_GB2312" w:eastAsia="仿宋_GB2312"/>
          <w:sz w:val="32"/>
          <w:szCs w:val="32"/>
        </w:rPr>
        <w:t>实干、带头讲纪律，紧扣</w:t>
      </w:r>
      <w:r>
        <w:rPr>
          <w:rFonts w:hint="eastAsia" w:ascii="仿宋_GB2312" w:eastAsia="仿宋_GB2312"/>
          <w:sz w:val="32"/>
          <w:szCs w:val="32"/>
          <w:lang w:eastAsia="zh-CN"/>
        </w:rPr>
        <w:t>二十大</w:t>
      </w:r>
      <w:r>
        <w:rPr>
          <w:rFonts w:hint="eastAsia" w:ascii="仿宋_GB2312" w:eastAsia="仿宋_GB2312"/>
          <w:sz w:val="32"/>
          <w:szCs w:val="32"/>
        </w:rPr>
        <w:t>安保维稳工作任务，聚焦建设“生态茂县、智慧茂县、幸福茂县”，主动服务重大发展战略，努力为“一州两区三家园”和“五地一中心”建设创造安全稳定的政治社会环境，为全面建设社会主义现代化茂县开局起步服好务。</w:t>
      </w:r>
      <w:r>
        <w:rPr>
          <w:rFonts w:hint="eastAsia" w:ascii="仿宋_GB2312" w:hAnsi="仿宋_GB2312" w:eastAsia="仿宋_GB2312" w:cs="仿宋_GB2312"/>
          <w:color w:val="000000"/>
          <w:sz w:val="32"/>
          <w:szCs w:val="32"/>
        </w:rPr>
        <w:t>统筹做好常态化疫情防控和防风险、保安全、护稳定、抓改革、促发展各项工作，有力维护了全县政治安全和社会大局稳定。</w:t>
      </w:r>
    </w:p>
    <w:p>
      <w:pPr>
        <w:pageBreakBefore w:val="0"/>
        <w:kinsoku/>
        <w:wordWrap/>
        <w:overflowPunct/>
        <w:topLinePunct w:val="0"/>
        <w:bidi w:val="0"/>
        <w:spacing w:line="560" w:lineRule="exact"/>
        <w:ind w:firstLine="640" w:firstLineChars="200"/>
        <w:jc w:val="left"/>
        <w:textAlignment w:val="auto"/>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2.</w:t>
      </w:r>
      <w:r>
        <w:rPr>
          <w:rFonts w:hint="default" w:ascii="楷体_GB2312" w:hAnsi="楷体_GB2312" w:eastAsia="楷体_GB2312" w:cs="楷体_GB2312"/>
          <w:color w:val="000000"/>
          <w:kern w:val="0"/>
          <w:sz w:val="32"/>
          <w:szCs w:val="32"/>
          <w:highlight w:val="none"/>
          <w:shd w:val="clear" w:color="auto" w:fill="FFFFFF"/>
          <w:lang w:val="zh-CN"/>
        </w:rPr>
        <w:t>预算管理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_GB2312" w:eastAsia="仿宋_GB2312" w:cs="仿宋_GB2312"/>
          <w:sz w:val="32"/>
          <w:szCs w:val="32"/>
        </w:rPr>
        <w:t>结合年度工作计划，我局合理制定了</w:t>
      </w:r>
      <w:r>
        <w:rPr>
          <w:rFonts w:hint="eastAsia" w:eastAsia="仿宋_GB2312"/>
          <w:sz w:val="32"/>
          <w:szCs w:val="32"/>
        </w:rPr>
        <w:t>细化量化、完整准确</w:t>
      </w:r>
      <w:r>
        <w:rPr>
          <w:rFonts w:hint="eastAsia" w:ascii="仿宋_GB2312" w:hAnsi="仿宋_GB2312" w:eastAsia="仿宋_GB2312" w:cs="仿宋_GB2312"/>
          <w:sz w:val="32"/>
          <w:szCs w:val="32"/>
        </w:rPr>
        <w:t>的绩效目标；将绩效目标管理融入部门预算编制的各个环节，</w:t>
      </w:r>
      <w:r>
        <w:rPr>
          <w:rFonts w:hint="eastAsia" w:eastAsia="仿宋_GB2312"/>
          <w:sz w:val="32"/>
          <w:szCs w:val="32"/>
        </w:rPr>
        <w:t>通过科学绩效目标及指标体系清晰反映项目预算资金的投入、产出及效果；</w:t>
      </w:r>
      <w:r>
        <w:rPr>
          <w:rFonts w:hint="eastAsia" w:ascii="仿宋_GB2312" w:hAnsi="仿宋_GB2312" w:eastAsia="仿宋_GB2312" w:cs="仿宋_GB2312"/>
          <w:sz w:val="32"/>
          <w:szCs w:val="32"/>
        </w:rPr>
        <w:t>确保重点业务工作绩效目标内容制定明确，与预算项目实施内容匹配，财政资源配置合理。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default" w:ascii="楷体_GB2312" w:hAnsi="楷体_GB2312" w:eastAsia="楷体_GB2312" w:cs="楷体_GB2312"/>
          <w:color w:val="000000"/>
          <w:kern w:val="0"/>
          <w:sz w:val="32"/>
          <w:szCs w:val="32"/>
          <w:highlight w:val="none"/>
          <w:shd w:val="clear" w:color="auto" w:fill="FFFFFF"/>
          <w:lang w:val="zh-CN"/>
        </w:rPr>
        <w:t>财务管理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_GB2312" w:eastAsia="仿宋_GB2312" w:cs="仿宋_GB2312"/>
          <w:sz w:val="32"/>
          <w:szCs w:val="32"/>
        </w:rPr>
        <w:t>我局属于一级预算单位，由警务保障室统一管理和核算经费，各部门经费实行报</w:t>
      </w:r>
      <w:r>
        <w:rPr>
          <w:rFonts w:hint="eastAsia" w:ascii="仿宋_GB2312" w:hAnsi="仿宋_GB2312" w:eastAsia="仿宋_GB2312" w:cs="仿宋_GB2312"/>
          <w:sz w:val="32"/>
          <w:szCs w:val="32"/>
          <w:lang w:val="en-US" w:eastAsia="zh-CN"/>
        </w:rPr>
        <w:t>账</w:t>
      </w:r>
      <w:r>
        <w:rPr>
          <w:rFonts w:hint="eastAsia" w:ascii="仿宋_GB2312" w:hAnsi="仿宋_GB2312" w:eastAsia="仿宋_GB2312" w:cs="仿宋_GB2312"/>
          <w:sz w:val="32"/>
          <w:szCs w:val="32"/>
        </w:rPr>
        <w:t>制。切实加强我局财务管理，着力提高财务管理水平和经费使用效益，使之有效服务于公安工作大局，确保各项公安业务工作的顺利开展。本着“厉行节约、量力而行、保障运转、提高效益、收支平衡”的原则，制定了相关财务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楷体_GB2312" w:hAnsi="楷体_GB2312" w:eastAsia="仿宋_GB2312" w:cs="楷体_GB2312"/>
          <w:color w:val="000000"/>
          <w:kern w:val="0"/>
          <w:sz w:val="32"/>
          <w:szCs w:val="32"/>
          <w:highlight w:val="none"/>
          <w:shd w:val="clear" w:color="auto" w:fill="FFFFFF"/>
          <w:lang w:val="en-US" w:eastAsia="zh-CN"/>
        </w:rPr>
      </w:pPr>
      <w:r>
        <w:rPr>
          <w:rFonts w:hint="eastAsia" w:ascii="楷体_GB2312" w:hAnsi="楷体_GB2312" w:eastAsia="楷体_GB2312" w:cs="楷体_GB2312"/>
          <w:color w:val="000000"/>
          <w:kern w:val="0"/>
          <w:sz w:val="32"/>
          <w:szCs w:val="32"/>
          <w:highlight w:val="none"/>
          <w:shd w:val="clear" w:color="auto" w:fill="FFFFFF"/>
          <w:lang w:val="en-US" w:eastAsia="zh-CN"/>
        </w:rPr>
        <w:t>4.</w:t>
      </w:r>
      <w:r>
        <w:rPr>
          <w:rFonts w:hint="default" w:ascii="楷体_GB2312" w:hAnsi="楷体_GB2312" w:eastAsia="楷体_GB2312" w:cs="楷体_GB2312"/>
          <w:color w:val="000000"/>
          <w:kern w:val="0"/>
          <w:sz w:val="32"/>
          <w:szCs w:val="32"/>
          <w:highlight w:val="none"/>
          <w:shd w:val="clear" w:color="auto" w:fill="FFFFFF"/>
          <w:lang w:val="zh-CN"/>
        </w:rPr>
        <w:t>资产管理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_GB2312" w:eastAsia="仿宋_GB2312" w:cs="仿宋_GB2312"/>
          <w:sz w:val="32"/>
          <w:szCs w:val="32"/>
        </w:rPr>
        <w:t>为防止国有资产的流失，各部门的固定资产登记造册，并建立固定资产台</w:t>
      </w:r>
      <w:r>
        <w:rPr>
          <w:rFonts w:hint="eastAsia" w:ascii="仿宋_GB2312" w:hAnsi="仿宋_GB2312" w:eastAsia="仿宋_GB2312" w:cs="仿宋_GB2312"/>
          <w:sz w:val="32"/>
          <w:szCs w:val="32"/>
          <w:lang w:val="en-US" w:eastAsia="zh-CN"/>
        </w:rPr>
        <w:t>账</w:t>
      </w:r>
      <w:r>
        <w:rPr>
          <w:rFonts w:hint="eastAsia" w:ascii="仿宋_GB2312" w:hAnsi="仿宋_GB2312" w:eastAsia="仿宋_GB2312" w:cs="仿宋_GB2312"/>
          <w:sz w:val="32"/>
          <w:szCs w:val="32"/>
        </w:rPr>
        <w:t>，做到</w:t>
      </w:r>
      <w:r>
        <w:rPr>
          <w:rFonts w:hint="eastAsia" w:ascii="仿宋_GB2312" w:hAnsi="仿宋_GB2312" w:eastAsia="仿宋_GB2312" w:cs="仿宋_GB2312"/>
          <w:sz w:val="32"/>
          <w:szCs w:val="32"/>
          <w:lang w:val="en-US" w:eastAsia="zh-CN"/>
        </w:rPr>
        <w:t>账账</w:t>
      </w:r>
      <w:r>
        <w:rPr>
          <w:rFonts w:hint="eastAsia" w:ascii="仿宋_GB2312" w:hAnsi="仿宋_GB2312" w:eastAsia="仿宋_GB2312" w:cs="仿宋_GB2312"/>
          <w:sz w:val="32"/>
          <w:szCs w:val="32"/>
        </w:rPr>
        <w:t>相符、</w:t>
      </w:r>
      <w:r>
        <w:rPr>
          <w:rFonts w:hint="eastAsia" w:ascii="仿宋_GB2312" w:hAnsi="仿宋_GB2312" w:eastAsia="仿宋_GB2312" w:cs="仿宋_GB2312"/>
          <w:sz w:val="32"/>
          <w:szCs w:val="32"/>
          <w:lang w:eastAsia="zh-CN"/>
        </w:rPr>
        <w:t>账</w:t>
      </w:r>
      <w:r>
        <w:rPr>
          <w:rFonts w:hint="eastAsia" w:ascii="仿宋_GB2312" w:hAnsi="仿宋_GB2312" w:eastAsia="仿宋_GB2312" w:cs="仿宋_GB2312"/>
          <w:sz w:val="32"/>
          <w:szCs w:val="32"/>
        </w:rPr>
        <w:t>实相符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任何固定资产的调出、出售、报废、报损按照固定资产报废程序，报警务保障室核实后统一上报批准后，进行处理。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5.</w:t>
      </w:r>
      <w:r>
        <w:rPr>
          <w:rFonts w:hint="default" w:ascii="楷体_GB2312" w:hAnsi="楷体_GB2312" w:eastAsia="楷体_GB2312" w:cs="楷体_GB2312"/>
          <w:color w:val="000000"/>
          <w:kern w:val="0"/>
          <w:sz w:val="32"/>
          <w:szCs w:val="32"/>
          <w:highlight w:val="none"/>
          <w:shd w:val="clear" w:color="auto" w:fill="FFFFFF"/>
          <w:lang w:val="zh-CN"/>
        </w:rPr>
        <w:t>采购管理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_GB2312" w:eastAsia="仿宋_GB2312" w:cs="仿宋_GB2312"/>
          <w:sz w:val="32"/>
          <w:szCs w:val="32"/>
        </w:rPr>
        <w:t>各部门需添置的大宗设备和维修项目每年9月一次性上报警务保障室，由警务保障室纳入次年部门预算，凡未纳入部门预算的，次年不安排资金。凡纳入年度财政预算和装备计划的设备采购、维修改造项目，做到专款专用，并按政府采购程序办理，各部门不得自行采购和开工。</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pageBreakBefore w:val="0"/>
        <w:kinsoku/>
        <w:wordWrap/>
        <w:overflowPunct/>
        <w:topLinePunct w:val="0"/>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常年项目绩效分析</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zh-CN" w:eastAsia="zh-CN"/>
        </w:rPr>
        <w:t>该类项目总数</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2,171.86</w:t>
      </w:r>
      <w:r>
        <w:rPr>
          <w:rFonts w:hint="default" w:ascii="Times New Roman" w:hAnsi="Times New Roman" w:eastAsia="仿宋_GB2312" w:cs="Times New Roman"/>
          <w:sz w:val="32"/>
          <w:szCs w:val="32"/>
          <w:lang w:val="zh-CN" w:eastAsia="zh-CN"/>
        </w:rPr>
        <w:t>万元，1</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12月预算执行总体进度为</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zh-CN" w:eastAsia="zh-CN"/>
        </w:rPr>
        <w:t>%，其中：预算结余率大于10%的项目共计</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eastAsia="zh-CN"/>
        </w:rPr>
        <w:t>个。</w:t>
      </w:r>
    </w:p>
    <w:p>
      <w:p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en-US" w:eastAsia="zh-CN"/>
        </w:rPr>
        <w:t>阶段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一次性</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项目绩效分析。</w:t>
      </w:r>
      <w:r>
        <w:rPr>
          <w:rFonts w:hint="default" w:ascii="Times New Roman" w:hAnsi="Times New Roman" w:eastAsia="仿宋_GB2312" w:cs="Times New Roman"/>
          <w:sz w:val="32"/>
          <w:szCs w:val="32"/>
          <w:lang w:val="zh-CN" w:eastAsia="zh-CN"/>
        </w:rPr>
        <w:t>该类项目总数</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2.53</w:t>
      </w:r>
      <w:r>
        <w:rPr>
          <w:rFonts w:hint="default" w:ascii="Times New Roman" w:hAnsi="Times New Roman" w:eastAsia="仿宋_GB2312" w:cs="Times New Roman"/>
          <w:sz w:val="32"/>
          <w:szCs w:val="32"/>
          <w:lang w:val="zh-CN" w:eastAsia="zh-CN"/>
        </w:rPr>
        <w:t>万元，1</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12月预算执行总体进度为</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lang w:val="zh-CN" w:eastAsia="zh-CN"/>
        </w:rPr>
        <w:t>%，其中：预算结余率大于10%的项目共计</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zh-CN" w:eastAsia="zh-CN"/>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eastAsia" w:ascii="Times New Roman" w:hAnsi="Times New Roman" w:eastAsia="仿宋_GB2312" w:cs="Times New Roman"/>
          <w:sz w:val="32"/>
          <w:szCs w:val="32"/>
          <w:lang w:val="zh-CN" w:eastAsia="zh-CN"/>
        </w:rPr>
      </w:pPr>
      <w:r>
        <w:rPr>
          <w:rFonts w:hint="eastAsia" w:ascii="楷体_GB2312" w:hAnsi="楷体_GB2312" w:eastAsia="楷体_GB2312" w:cs="楷体_GB2312"/>
          <w:color w:val="000000"/>
          <w:kern w:val="0"/>
          <w:sz w:val="32"/>
          <w:szCs w:val="32"/>
          <w:highlight w:val="none"/>
          <w:shd w:val="clear" w:color="auto" w:fill="FFFFFF"/>
          <w:lang w:val="en-US" w:eastAsia="zh-CN"/>
        </w:rPr>
        <w:t>1.</w:t>
      </w:r>
      <w:r>
        <w:rPr>
          <w:rFonts w:hint="eastAsia" w:ascii="楷体_GB2312" w:hAnsi="楷体_GB2312" w:eastAsia="楷体_GB2312" w:cs="楷体_GB2312"/>
          <w:color w:val="000000"/>
          <w:kern w:val="0"/>
          <w:sz w:val="32"/>
          <w:szCs w:val="32"/>
          <w:highlight w:val="none"/>
          <w:shd w:val="clear" w:color="auto" w:fill="FFFFFF"/>
          <w:lang w:val="zh-CN"/>
        </w:rPr>
        <w:t>项目决策。</w:t>
      </w:r>
      <w:r>
        <w:rPr>
          <w:rFonts w:hint="eastAsia" w:ascii="Times New Roman" w:hAnsi="Times New Roman" w:eastAsia="仿宋_GB2312" w:cs="Times New Roman"/>
          <w:sz w:val="32"/>
          <w:szCs w:val="32"/>
          <w:lang w:val="zh-CN" w:eastAsia="zh-CN"/>
        </w:rPr>
        <w:t>围绕县委、县政府中心工作开展各项维稳、安保，打击各种违法犯罪行为，贯彻执行党和国家在公安工作等方面的路线、方针、政策，充分发挥党和政府的“保护神”作用，围绕县委、县政府中心开展公安工作。</w:t>
      </w:r>
      <w:r>
        <w:rPr>
          <w:rFonts w:hint="eastAsia" w:ascii="Times New Roman" w:hAnsi="Times New Roman" w:eastAsia="仿宋_GB2312" w:cs="Times New Roman"/>
          <w:color w:val="000000"/>
          <w:kern w:val="0"/>
          <w:sz w:val="32"/>
          <w:szCs w:val="32"/>
          <w:shd w:val="clear" w:color="auto" w:fill="FFFFFF"/>
          <w:lang w:val="zh-CN" w:eastAsia="zh-CN" w:bidi="ar-SA"/>
        </w:rPr>
        <w:t>一是茂县公安局制定的202</w:t>
      </w:r>
      <w:r>
        <w:rPr>
          <w:rFonts w:hint="eastAsia" w:ascii="Times New Roman" w:hAnsi="Times New Roman" w:eastAsia="仿宋_GB2312" w:cs="Times New Roman"/>
          <w:color w:val="000000"/>
          <w:kern w:val="0"/>
          <w:sz w:val="32"/>
          <w:szCs w:val="32"/>
          <w:shd w:val="clear" w:color="auto" w:fill="FFFFFF"/>
          <w:lang w:val="en-US" w:eastAsia="zh-CN" w:bidi="ar-SA"/>
        </w:rPr>
        <w:t>4</w:t>
      </w:r>
      <w:r>
        <w:rPr>
          <w:rFonts w:hint="eastAsia" w:ascii="Times New Roman" w:hAnsi="Times New Roman" w:eastAsia="仿宋_GB2312" w:cs="Times New Roman"/>
          <w:color w:val="000000"/>
          <w:kern w:val="0"/>
          <w:sz w:val="32"/>
          <w:szCs w:val="32"/>
          <w:shd w:val="clear" w:color="auto" w:fill="FFFFFF"/>
          <w:lang w:val="zh-CN" w:eastAsia="zh-CN" w:bidi="ar-SA"/>
        </w:rPr>
        <w:t>年预算整体绩效目标，依据充分，与部门履职、年度工作任务相符，目标清晰、细化、可衡量。年度预算整体绩效目标是符合国家法律法规、国民经济和社会发展总体规划</w:t>
      </w:r>
      <w:r>
        <w:rPr>
          <w:rFonts w:hint="eastAsia" w:ascii="Times New Roman" w:hAnsi="Times New Roman" w:eastAsia="仿宋_GB2312" w:cs="Times New Roman"/>
          <w:color w:val="000000"/>
          <w:kern w:val="0"/>
          <w:sz w:val="32"/>
          <w:szCs w:val="32"/>
          <w:shd w:val="clear" w:color="auto" w:fill="FFFFFF"/>
          <w:lang w:val="en-US" w:eastAsia="zh-CN" w:bidi="ar-SA"/>
        </w:rPr>
        <w:t>及</w:t>
      </w:r>
      <w:r>
        <w:rPr>
          <w:rFonts w:hint="eastAsia" w:ascii="Times New Roman" w:hAnsi="Times New Roman" w:eastAsia="仿宋_GB2312" w:cs="Times New Roman"/>
          <w:color w:val="000000"/>
          <w:kern w:val="0"/>
          <w:sz w:val="32"/>
          <w:szCs w:val="32"/>
          <w:shd w:val="clear" w:color="auto" w:fill="FFFFFF"/>
          <w:lang w:val="zh-CN" w:eastAsia="zh-CN" w:bidi="ar-SA"/>
        </w:rPr>
        <w:t>部门“三定”方案确定的职责、部门制定的中长期实施规划、部门年度工作任务。二是项目绩效目标设定科学、合理，目标明确、目标细化、目标量化。项目绩效目标设定是经过充分调查研究、论证和科学、合理测算，与部门年度的任务数或计划数相对应，与本年度部门预算资金相匹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eastAsia" w:ascii="Times New Roman" w:hAnsi="Times New Roman" w:eastAsia="仿宋_GB2312" w:cs="Times New Roman"/>
          <w:color w:val="000000"/>
          <w:kern w:val="0"/>
          <w:sz w:val="32"/>
          <w:szCs w:val="32"/>
          <w:shd w:val="clear" w:color="auto" w:fill="FFFFFF"/>
          <w:lang w:val="zh-CN" w:eastAsia="zh-CN" w:bidi="ar-SA"/>
        </w:rPr>
      </w:pPr>
      <w:r>
        <w:rPr>
          <w:rFonts w:hint="eastAsia" w:ascii="楷体_GB2312" w:hAnsi="楷体_GB2312" w:eastAsia="楷体_GB2312" w:cs="楷体_GB2312"/>
          <w:color w:val="000000"/>
          <w:kern w:val="0"/>
          <w:sz w:val="32"/>
          <w:szCs w:val="32"/>
          <w:highlight w:val="none"/>
          <w:shd w:val="clear" w:color="auto" w:fill="FFFFFF"/>
          <w:lang w:val="en-US" w:eastAsia="zh-CN"/>
        </w:rPr>
        <w:t>2.项目执行</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shd w:val="clear" w:color="auto" w:fill="FFFFFF"/>
          <w:lang w:val="zh-CN" w:eastAsia="zh-CN" w:bidi="ar-SA"/>
        </w:rPr>
        <w:t>一是严格预算执行，本年预算执行率为</w:t>
      </w:r>
      <w:r>
        <w:rPr>
          <w:rFonts w:hint="eastAsia" w:ascii="仿宋_GB2312" w:hAnsi="仿宋_GB2312" w:eastAsia="仿宋_GB2312" w:cs="仿宋_GB2312"/>
          <w:color w:val="000000"/>
          <w:kern w:val="0"/>
          <w:sz w:val="32"/>
          <w:szCs w:val="32"/>
          <w:shd w:val="clear" w:color="auto" w:fill="FFFFFF"/>
          <w:lang w:val="en-US" w:eastAsia="zh-CN" w:bidi="ar-SA"/>
        </w:rPr>
        <w:t>100</w:t>
      </w:r>
      <w:r>
        <w:rPr>
          <w:rFonts w:hint="eastAsia" w:ascii="仿宋_GB2312" w:hAnsi="仿宋_GB2312" w:eastAsia="仿宋_GB2312" w:cs="仿宋_GB2312"/>
          <w:color w:val="000000"/>
          <w:kern w:val="0"/>
          <w:sz w:val="32"/>
          <w:szCs w:val="32"/>
          <w:shd w:val="clear" w:color="auto" w:fill="FFFFFF"/>
          <w:lang w:val="zh-CN" w:eastAsia="zh-CN" w:bidi="ar-SA"/>
        </w:rPr>
        <w:t>%。二是严控结转结余，本年无结转结余。三是严控“三公”经费节支增效。四是强化采购预算执行。五是严格收支管理，202</w:t>
      </w:r>
      <w:r>
        <w:rPr>
          <w:rFonts w:hint="eastAsia" w:ascii="仿宋_GB2312" w:hAnsi="仿宋_GB2312" w:eastAsia="仿宋_GB2312" w:cs="仿宋_GB2312"/>
          <w:color w:val="000000"/>
          <w:kern w:val="0"/>
          <w:sz w:val="32"/>
          <w:szCs w:val="32"/>
          <w:shd w:val="clear" w:color="auto" w:fill="FFFFFF"/>
          <w:lang w:val="en-US" w:eastAsia="zh-CN" w:bidi="ar-SA"/>
        </w:rPr>
        <w:t>4</w:t>
      </w:r>
      <w:r>
        <w:rPr>
          <w:rFonts w:hint="eastAsia" w:ascii="仿宋_GB2312" w:hAnsi="仿宋_GB2312" w:eastAsia="仿宋_GB2312" w:cs="仿宋_GB2312"/>
          <w:color w:val="000000"/>
          <w:kern w:val="0"/>
          <w:sz w:val="32"/>
          <w:szCs w:val="32"/>
          <w:shd w:val="clear" w:color="auto" w:fill="FFFFFF"/>
          <w:lang w:val="zh-CN" w:eastAsia="zh-CN" w:bidi="ar-SA"/>
        </w:rPr>
        <w:t>年取得的收入依据充分、来源合规，符合“放管服”改革要求和减税降费要求。202</w:t>
      </w:r>
      <w:r>
        <w:rPr>
          <w:rFonts w:hint="eastAsia" w:ascii="仿宋_GB2312" w:hAnsi="仿宋_GB2312" w:eastAsia="仿宋_GB2312" w:cs="仿宋_GB2312"/>
          <w:color w:val="000000"/>
          <w:kern w:val="0"/>
          <w:sz w:val="32"/>
          <w:szCs w:val="32"/>
          <w:shd w:val="clear" w:color="auto" w:fill="FFFFFF"/>
          <w:lang w:val="en-US" w:eastAsia="zh-CN" w:bidi="ar-SA"/>
        </w:rPr>
        <w:t>4</w:t>
      </w:r>
      <w:r>
        <w:rPr>
          <w:rFonts w:hint="eastAsia" w:ascii="仿宋_GB2312" w:hAnsi="仿宋_GB2312" w:eastAsia="仿宋_GB2312" w:cs="仿宋_GB2312"/>
          <w:color w:val="000000"/>
          <w:kern w:val="0"/>
          <w:sz w:val="32"/>
          <w:szCs w:val="32"/>
          <w:shd w:val="clear" w:color="auto" w:fill="FFFFFF"/>
          <w:lang w:val="zh-CN" w:eastAsia="zh-CN" w:bidi="ar-SA"/>
        </w:rPr>
        <w:t>年发生的支出符合国家财经法规和财务管理制度规定以及有关专项资金管理办法的规定，资金的拨付有完整的审批程序和手续，项目的重大开支经过评估论证，符合部门预算批复的用途，不存在截留、挤占、挪用、虚列支出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contextualSpacing/>
        <w:jc w:val="both"/>
        <w:textAlignment w:val="auto"/>
        <w:outlineLvl w:val="9"/>
        <w:rPr>
          <w:rFonts w:hint="eastAsia" w:ascii="楷体_GB2312" w:hAnsi="楷体_GB2312" w:eastAsia="楷体_GB2312" w:cs="楷体_GB2312"/>
          <w:color w:val="000000"/>
          <w:kern w:val="0"/>
          <w:sz w:val="32"/>
          <w:szCs w:val="32"/>
          <w:highlight w:val="none"/>
          <w:shd w:val="clear" w:color="auto" w:fill="FFFFFF"/>
          <w:lang w:val="zh-CN"/>
        </w:rPr>
      </w:pPr>
      <w:r>
        <w:rPr>
          <w:rFonts w:hint="eastAsia" w:ascii="楷体_GB2312" w:hAnsi="楷体_GB2312" w:eastAsia="楷体_GB2312" w:cs="楷体_GB2312"/>
          <w:color w:val="000000"/>
          <w:kern w:val="0"/>
          <w:sz w:val="32"/>
          <w:szCs w:val="32"/>
          <w:highlight w:val="none"/>
          <w:shd w:val="clear" w:color="auto" w:fill="FFFFFF"/>
          <w:lang w:val="en-US" w:eastAsia="zh-CN"/>
        </w:rPr>
        <w:t>3.</w:t>
      </w:r>
      <w:r>
        <w:rPr>
          <w:rFonts w:hint="eastAsia" w:ascii="楷体_GB2312" w:hAnsi="楷体_GB2312" w:eastAsia="楷体_GB2312" w:cs="楷体_GB2312"/>
          <w:color w:val="000000"/>
          <w:kern w:val="0"/>
          <w:sz w:val="32"/>
          <w:szCs w:val="32"/>
          <w:highlight w:val="none"/>
          <w:shd w:val="clear" w:color="auto" w:fill="FFFFFF"/>
          <w:lang w:val="zh-CN"/>
        </w:rPr>
        <w:t>目标实现。</w:t>
      </w:r>
      <w:r>
        <w:rPr>
          <w:rFonts w:hint="eastAsia" w:ascii="Times New Roman" w:hAnsi="Times New Roman" w:eastAsia="仿宋_GB2312" w:cs="Times New Roman"/>
          <w:color w:val="000000"/>
          <w:kern w:val="0"/>
          <w:sz w:val="32"/>
          <w:szCs w:val="32"/>
          <w:shd w:val="clear" w:color="auto" w:fill="FFFFFF"/>
          <w:lang w:val="zh-CN" w:eastAsia="zh-CN" w:bidi="ar-SA"/>
        </w:rPr>
        <w:t>202</w:t>
      </w:r>
      <w:r>
        <w:rPr>
          <w:rFonts w:hint="eastAsia" w:ascii="Times New Roman" w:hAnsi="Times New Roman" w:eastAsia="仿宋_GB2312" w:cs="Times New Roman"/>
          <w:color w:val="000000"/>
          <w:kern w:val="0"/>
          <w:sz w:val="32"/>
          <w:szCs w:val="32"/>
          <w:shd w:val="clear" w:color="auto" w:fill="FFFFFF"/>
          <w:lang w:val="en-US" w:eastAsia="zh-CN" w:bidi="ar-SA"/>
        </w:rPr>
        <w:t>4</w:t>
      </w:r>
      <w:r>
        <w:rPr>
          <w:rFonts w:hint="eastAsia" w:ascii="Times New Roman" w:hAnsi="Times New Roman" w:eastAsia="仿宋_GB2312" w:cs="Times New Roman"/>
          <w:color w:val="000000"/>
          <w:kern w:val="0"/>
          <w:sz w:val="32"/>
          <w:szCs w:val="32"/>
          <w:shd w:val="clear" w:color="auto" w:fill="FFFFFF"/>
          <w:lang w:val="zh-CN" w:eastAsia="zh-CN" w:bidi="ar-SA"/>
        </w:rPr>
        <w:t>年茂县公安局为保障依法履职，开展维稳、处突、反恐打击各类违法犯罪活动、禁毒人民战争、扫黑除恶专项斗争常态化、强边固防、装备建设等特定行政工作，任务目标完成，共有支出项目1</w:t>
      </w:r>
      <w:r>
        <w:rPr>
          <w:rFonts w:hint="eastAsia" w:ascii="Times New Roman" w:hAnsi="Times New Roman" w:eastAsia="仿宋_GB2312" w:cs="Times New Roman"/>
          <w:color w:val="000000"/>
          <w:kern w:val="0"/>
          <w:sz w:val="32"/>
          <w:szCs w:val="32"/>
          <w:shd w:val="clear" w:color="auto" w:fill="FFFFFF"/>
          <w:lang w:val="en-US" w:eastAsia="zh-CN" w:bidi="ar-SA"/>
        </w:rPr>
        <w:t>5</w:t>
      </w:r>
      <w:r>
        <w:rPr>
          <w:rFonts w:hint="eastAsia" w:ascii="Times New Roman" w:hAnsi="Times New Roman" w:eastAsia="仿宋_GB2312" w:cs="Times New Roman"/>
          <w:color w:val="000000"/>
          <w:kern w:val="0"/>
          <w:sz w:val="32"/>
          <w:szCs w:val="32"/>
          <w:shd w:val="clear" w:color="auto" w:fill="FFFFFF"/>
          <w:lang w:val="zh-CN" w:eastAsia="zh-CN" w:bidi="ar-SA"/>
        </w:rPr>
        <w:t>个，项目执行部门为公安局各部门，项目总体目标是：进一步加强社会治安的防范工作，以反恐为重点，严厉打击各类刑事犯罪，提升全县治安环境的净化力，切实维护好全县社会政治稳定。一是实际到位资金执行率为</w:t>
      </w:r>
      <w:r>
        <w:rPr>
          <w:rFonts w:hint="eastAsia" w:ascii="Times New Roman" w:hAnsi="Times New Roman" w:eastAsia="仿宋_GB2312" w:cs="Times New Roman"/>
          <w:color w:val="000000"/>
          <w:kern w:val="0"/>
          <w:sz w:val="32"/>
          <w:szCs w:val="32"/>
          <w:shd w:val="clear" w:color="auto" w:fill="FFFFFF"/>
          <w:lang w:val="en-US" w:eastAsia="zh-CN" w:bidi="ar-SA"/>
        </w:rPr>
        <w:t>100</w:t>
      </w:r>
      <w:r>
        <w:rPr>
          <w:rFonts w:hint="eastAsia" w:ascii="Times New Roman" w:hAnsi="Times New Roman" w:eastAsia="仿宋_GB2312" w:cs="Times New Roman"/>
          <w:color w:val="000000"/>
          <w:kern w:val="0"/>
          <w:sz w:val="32"/>
          <w:szCs w:val="32"/>
          <w:shd w:val="clear" w:color="auto" w:fill="FFFFFF"/>
          <w:lang w:val="zh-CN" w:eastAsia="zh-CN" w:bidi="ar-SA"/>
        </w:rPr>
        <w:t>%。二是各项目数量指标是根据公安机关职责要求及为完成特定的行政工作任务目标设定，实际指标值达到预期目标。三是各项目社会效益指标是根据公安机关职责要求及为完成特定的行政工作任务目标设定，实际指标值达到预期目标。四是社会公众或服务对象满意度指标达到预期目标，分别是：人民群众对茂县安全感综合满意度达</w:t>
      </w:r>
      <w:r>
        <w:rPr>
          <w:rFonts w:hint="eastAsia" w:ascii="Times New Roman" w:hAnsi="Times New Roman" w:eastAsia="仿宋_GB2312" w:cs="Times New Roman"/>
          <w:color w:val="000000"/>
          <w:kern w:val="0"/>
          <w:sz w:val="32"/>
          <w:szCs w:val="32"/>
          <w:shd w:val="clear" w:color="auto" w:fill="FFFFFF"/>
          <w:lang w:val="en-US" w:eastAsia="zh-CN" w:bidi="ar-SA"/>
        </w:rPr>
        <w:t>85</w:t>
      </w:r>
      <w:r>
        <w:rPr>
          <w:rFonts w:hint="eastAsia" w:ascii="Times New Roman" w:hAnsi="Times New Roman" w:eastAsia="仿宋_GB2312" w:cs="Times New Roman"/>
          <w:color w:val="000000"/>
          <w:kern w:val="0"/>
          <w:sz w:val="32"/>
          <w:szCs w:val="32"/>
          <w:shd w:val="clear" w:color="auto" w:fill="FFFFFF"/>
          <w:lang w:val="zh-CN" w:eastAsia="zh-CN" w:bidi="ar-SA"/>
        </w:rPr>
        <w:t>%以上，绩效指标实际值</w:t>
      </w:r>
      <w:r>
        <w:rPr>
          <w:rFonts w:hint="eastAsia" w:ascii="Times New Roman" w:hAnsi="Times New Roman" w:eastAsia="仿宋_GB2312" w:cs="Times New Roman"/>
          <w:color w:val="000000"/>
          <w:kern w:val="0"/>
          <w:sz w:val="32"/>
          <w:szCs w:val="32"/>
          <w:shd w:val="clear" w:color="auto" w:fill="FFFFFF"/>
          <w:lang w:val="en-US" w:eastAsia="zh-CN" w:bidi="ar-SA"/>
        </w:rPr>
        <w:t>95</w:t>
      </w:r>
      <w:r>
        <w:rPr>
          <w:rFonts w:hint="eastAsia" w:ascii="Times New Roman" w:hAnsi="Times New Roman" w:eastAsia="仿宋_GB2312" w:cs="Times New Roman"/>
          <w:color w:val="000000"/>
          <w:kern w:val="0"/>
          <w:sz w:val="32"/>
          <w:szCs w:val="32"/>
          <w:shd w:val="clear" w:color="auto" w:fill="FFFFFF"/>
          <w:lang w:val="zh-CN" w:eastAsia="zh-CN" w:bidi="ar-SA"/>
        </w:rPr>
        <w:t>%，预期值与绩效指标实际执行情况基本相符；人民群众对茂县执法满意度达85%以上，绩效指标实际值</w:t>
      </w:r>
      <w:r>
        <w:rPr>
          <w:rFonts w:hint="eastAsia" w:ascii="Times New Roman" w:hAnsi="Times New Roman" w:eastAsia="仿宋_GB2312" w:cs="Times New Roman"/>
          <w:color w:val="000000"/>
          <w:kern w:val="0"/>
          <w:sz w:val="32"/>
          <w:szCs w:val="32"/>
          <w:shd w:val="clear" w:color="auto" w:fill="FFFFFF"/>
          <w:lang w:val="en-US" w:eastAsia="zh-CN" w:bidi="ar-SA"/>
        </w:rPr>
        <w:t>95</w:t>
      </w:r>
      <w:r>
        <w:rPr>
          <w:rFonts w:hint="eastAsia" w:ascii="Times New Roman" w:hAnsi="Times New Roman" w:eastAsia="仿宋_GB2312" w:cs="Times New Roman"/>
          <w:color w:val="000000"/>
          <w:kern w:val="0"/>
          <w:sz w:val="32"/>
          <w:szCs w:val="32"/>
          <w:shd w:val="clear" w:color="auto" w:fill="FFFFFF"/>
          <w:lang w:val="zh-CN" w:eastAsia="zh-CN" w:bidi="ar-SA"/>
        </w:rPr>
        <w:t>%，预期值与绩效指标实际执行情况基本相符；公安民警对信息化系统及装备设备使用满意度达95%以上，与绩效指标实际执行情况基本相符。</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sz w:val="32"/>
          <w:szCs w:val="32"/>
          <w:highlight w:val="none"/>
          <w:u w:val="none"/>
          <w:lang w:eastAsia="zh-CN"/>
        </w:rPr>
        <w:t>本</w:t>
      </w:r>
      <w:r>
        <w:rPr>
          <w:rFonts w:hint="default" w:ascii="Times New Roman" w:hAnsi="Times New Roman" w:eastAsia="仿宋_GB2312" w:cs="Times New Roman"/>
          <w:sz w:val="32"/>
          <w:szCs w:val="32"/>
          <w:highlight w:val="none"/>
          <w:u w:val="none"/>
        </w:rPr>
        <w:t>部门</w:t>
      </w:r>
      <w:r>
        <w:rPr>
          <w:rFonts w:hint="eastAsia" w:ascii="Times New Roman" w:hAnsi="Times New Roman" w:eastAsia="仿宋_GB2312" w:cs="Times New Roman"/>
          <w:sz w:val="32"/>
          <w:szCs w:val="32"/>
          <w:highlight w:val="none"/>
          <w:u w:val="none"/>
        </w:rPr>
        <w:t>202</w:t>
      </w:r>
      <w:r>
        <w:rPr>
          <w:rFonts w:hint="eastAsia" w:ascii="Times New Roman" w:hAnsi="Times New Roman" w:eastAsia="仿宋_GB2312" w:cs="Times New Roman"/>
          <w:sz w:val="32"/>
          <w:szCs w:val="32"/>
          <w:highlight w:val="none"/>
          <w:u w:val="none"/>
          <w:lang w:val="en-US" w:eastAsia="zh-CN"/>
        </w:rPr>
        <w:t>4</w:t>
      </w:r>
      <w:r>
        <w:rPr>
          <w:rFonts w:hint="eastAsia" w:ascii="Times New Roman" w:hAnsi="Times New Roman" w:eastAsia="仿宋_GB2312" w:cs="Times New Roman"/>
          <w:sz w:val="32"/>
          <w:szCs w:val="32"/>
          <w:highlight w:val="none"/>
          <w:u w:val="none"/>
        </w:rPr>
        <w:t>年度</w:t>
      </w:r>
      <w:r>
        <w:rPr>
          <w:rFonts w:hint="eastAsia" w:ascii="Times New Roman" w:hAnsi="Times New Roman" w:eastAsia="仿宋_GB2312" w:cs="Times New Roman"/>
          <w:sz w:val="32"/>
          <w:szCs w:val="32"/>
          <w:highlight w:val="none"/>
          <w:u w:val="none"/>
          <w:lang w:eastAsia="zh-CN"/>
        </w:rPr>
        <w:t>不</w:t>
      </w:r>
      <w:r>
        <w:rPr>
          <w:rFonts w:hint="default" w:ascii="Times New Roman" w:hAnsi="Times New Roman" w:eastAsia="仿宋_GB2312" w:cs="Times New Roman"/>
          <w:sz w:val="32"/>
          <w:szCs w:val="32"/>
          <w:highlight w:val="none"/>
          <w:u w:val="none"/>
        </w:rPr>
        <w:t>涉及国有资本经营预算、社会保险基金预算</w:t>
      </w:r>
      <w:r>
        <w:rPr>
          <w:rFonts w:hint="eastAsia" w:ascii="Times New Roman" w:hAnsi="Times New Roman" w:eastAsia="仿宋_GB2312" w:cs="Times New Roman"/>
          <w:sz w:val="32"/>
          <w:szCs w:val="32"/>
          <w:highlight w:val="none"/>
          <w:u w:val="none"/>
          <w:lang w:eastAsia="zh-CN"/>
        </w:rPr>
        <w:t>。</w:t>
      </w:r>
    </w:p>
    <w:p>
      <w:pPr>
        <w:pageBreakBefore w:val="0"/>
        <w:widowControl/>
        <w:kinsoku/>
        <w:wordWrap/>
        <w:overflowPunct/>
        <w:topLinePunct w:val="0"/>
        <w:bidi w:val="0"/>
        <w:adjustRightInd w:val="0"/>
        <w:snapToGrid w:val="0"/>
        <w:spacing w:line="560" w:lineRule="exact"/>
        <w:ind w:firstLine="642" w:firstLineChars="200"/>
        <w:contextualSpacing/>
        <w:jc w:val="left"/>
        <w:textAlignment w:val="auto"/>
        <w:rPr>
          <w:rFonts w:hint="default" w:ascii="Times New Roman" w:hAnsi="Times New Roman" w:cs="Times New Roman"/>
          <w:color w:val="000000"/>
          <w:kern w:val="0"/>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eastAsia="zh-CN"/>
        </w:rPr>
        <w:t>我局</w:t>
      </w:r>
      <w:r>
        <w:rPr>
          <w:rFonts w:hint="eastAsia" w:ascii="Times New Roman" w:hAnsi="Times New Roman" w:eastAsia="仿宋_GB2312" w:cs="Times New Roman"/>
          <w:sz w:val="32"/>
          <w:szCs w:val="32"/>
          <w:highlight w:val="none"/>
          <w:u w:val="none"/>
        </w:rPr>
        <w:t>严格执行政府采购促进中小企业发展相关管理办法</w:t>
      </w:r>
      <w:r>
        <w:rPr>
          <w:rFonts w:hint="eastAsia" w:ascii="Times New Roman" w:hAnsi="Times New Roman" w:eastAsia="仿宋_GB2312" w:cs="Times New Roman"/>
          <w:sz w:val="32"/>
          <w:szCs w:val="32"/>
          <w:highlight w:val="none"/>
          <w:u w:val="none"/>
          <w:lang w:eastAsia="zh-CN"/>
        </w:rPr>
        <w:t>，部门政府采购项目资金按照年初编报计划实施，我局无闲置资产。</w:t>
      </w:r>
      <w:r>
        <w:rPr>
          <w:rFonts w:hint="eastAsia" w:ascii="Times New Roman" w:hAnsi="Times New Roman" w:eastAsia="仿宋_GB2312" w:cs="Times New Roman"/>
          <w:sz w:val="32"/>
          <w:szCs w:val="32"/>
          <w:highlight w:val="none"/>
          <w:u w:val="none"/>
        </w:rPr>
        <w:t>202</w:t>
      </w:r>
      <w:r>
        <w:rPr>
          <w:rFonts w:hint="eastAsia" w:ascii="Times New Roman" w:hAnsi="Times New Roman" w:eastAsia="仿宋_GB2312" w:cs="Times New Roman"/>
          <w:sz w:val="32"/>
          <w:szCs w:val="32"/>
          <w:highlight w:val="none"/>
          <w:u w:val="none"/>
          <w:lang w:val="en-US" w:eastAsia="zh-CN"/>
        </w:rPr>
        <w:t>4</w:t>
      </w:r>
      <w:r>
        <w:rPr>
          <w:rFonts w:hint="eastAsia" w:ascii="Times New Roman" w:hAnsi="Times New Roman" w:eastAsia="仿宋_GB2312" w:cs="Times New Roman"/>
          <w:sz w:val="32"/>
          <w:szCs w:val="32"/>
          <w:highlight w:val="none"/>
          <w:u w:val="none"/>
        </w:rPr>
        <w:t>年度</w:t>
      </w:r>
      <w:r>
        <w:rPr>
          <w:rFonts w:hint="eastAsia" w:ascii="Times New Roman" w:hAnsi="Times New Roman" w:eastAsia="仿宋_GB2312" w:cs="Times New Roman"/>
          <w:sz w:val="32"/>
          <w:szCs w:val="32"/>
          <w:highlight w:val="none"/>
          <w:u w:val="none"/>
          <w:lang w:eastAsia="zh-CN"/>
        </w:rPr>
        <w:t>不涉及</w:t>
      </w:r>
      <w:r>
        <w:rPr>
          <w:rFonts w:hint="default" w:ascii="Times New Roman" w:hAnsi="Times New Roman" w:eastAsia="仿宋_GB2312" w:cs="Times New Roman"/>
          <w:sz w:val="32"/>
          <w:szCs w:val="32"/>
          <w:highlight w:val="none"/>
          <w:u w:val="none"/>
        </w:rPr>
        <w:t>国有资本、债券资金、政府购买服务等重点领域</w:t>
      </w:r>
      <w:r>
        <w:rPr>
          <w:rFonts w:hint="eastAsia" w:ascii="Times New Roman" w:hAnsi="Times New Roman" w:eastAsia="仿宋_GB2312" w:cs="Times New Roman"/>
          <w:sz w:val="32"/>
          <w:szCs w:val="32"/>
          <w:highlight w:val="none"/>
          <w:u w:val="none"/>
          <w:lang w:eastAsia="zh-CN"/>
        </w:rPr>
        <w:t>。</w:t>
      </w:r>
    </w:p>
    <w:p>
      <w:pPr>
        <w:pageBreakBefore w:val="0"/>
        <w:kinsoku/>
        <w:wordWrap/>
        <w:overflowPunct/>
        <w:topLinePunct w:val="0"/>
        <w:bidi w:val="0"/>
        <w:spacing w:line="560" w:lineRule="exact"/>
        <w:ind w:firstLine="629" w:firstLineChars="196"/>
        <w:jc w:val="left"/>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（四）绩效结果应用情况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 w:eastAsia="仿宋_GB2312"/>
          <w:sz w:val="32"/>
          <w:szCs w:val="32"/>
        </w:rPr>
        <w:t>按财政要求，我局及时将部门预算、决算及部门整体绩效自评情况等通过“茂县门户网站”向社会公开，并确保基础数据、会计信息资料真实、完整、准确，</w:t>
      </w:r>
      <w:r>
        <w:rPr>
          <w:rFonts w:ascii="仿宋_GB2312" w:hAnsi="仿宋" w:eastAsia="仿宋_GB2312"/>
          <w:sz w:val="32"/>
          <w:szCs w:val="32"/>
        </w:rPr>
        <w:t>接受</w:t>
      </w:r>
      <w:r>
        <w:rPr>
          <w:rFonts w:hint="eastAsia" w:ascii="仿宋_GB2312" w:hAnsi="仿宋" w:eastAsia="仿宋_GB2312"/>
          <w:sz w:val="32"/>
          <w:szCs w:val="32"/>
        </w:rPr>
        <w:t>社会</w:t>
      </w:r>
      <w:r>
        <w:rPr>
          <w:rFonts w:ascii="仿宋_GB2312" w:hAnsi="仿宋" w:eastAsia="仿宋_GB2312"/>
          <w:sz w:val="32"/>
          <w:szCs w:val="32"/>
        </w:rPr>
        <w:t>监督</w:t>
      </w:r>
      <w:r>
        <w:rPr>
          <w:rFonts w:hint="eastAsia" w:ascii="仿宋_GB2312" w:hAnsi="仿宋" w:eastAsia="仿宋_GB2312"/>
          <w:sz w:val="32"/>
          <w:szCs w:val="32"/>
        </w:rPr>
        <w:t>。针对绩效管理过程中发现的问题，我局及时制定解决措施和方案进行整改，将绩效管理结果与预算安排绩效挂钩。同时，按要求及时向财政反馈结果应用情况。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eastAsia="黑体" w:cs="Times New Roman"/>
          <w:color w:val="000000"/>
          <w:kern w:val="0"/>
          <w:sz w:val="32"/>
          <w:szCs w:val="32"/>
          <w:highlight w:val="none"/>
          <w:shd w:val="clear" w:color="auto" w:fill="FFFFFF"/>
          <w:lang w:val="zh-CN"/>
        </w:rPr>
      </w:pPr>
      <w:r>
        <w:rPr>
          <w:rFonts w:hint="default" w:eastAsia="黑体" w:cs="Times New Roman"/>
          <w:color w:val="000000"/>
          <w:kern w:val="0"/>
          <w:sz w:val="32"/>
          <w:szCs w:val="32"/>
          <w:highlight w:val="none"/>
          <w:shd w:val="clear" w:color="auto" w:fill="FFFFFF"/>
          <w:lang w:val="zh-CN" w:eastAsia="zh-CN"/>
        </w:rPr>
        <w:t>四、</w:t>
      </w:r>
      <w:r>
        <w:rPr>
          <w:rFonts w:hint="default" w:eastAsia="黑体" w:cs="Times New Roman"/>
          <w:color w:val="000000"/>
          <w:kern w:val="0"/>
          <w:sz w:val="32"/>
          <w:szCs w:val="32"/>
          <w:highlight w:val="none"/>
          <w:shd w:val="clear" w:color="auto" w:fill="FFFFFF"/>
          <w:lang w:val="zh-CN"/>
        </w:rPr>
        <w:t>评价结论及建议</w:t>
      </w:r>
    </w:p>
    <w:p>
      <w:pPr>
        <w:widowControl/>
        <w:adjustRightInd w:val="0"/>
        <w:snapToGrid w:val="0"/>
        <w:spacing w:line="578" w:lineRule="exact"/>
        <w:ind w:firstLine="642" w:firstLineChars="200"/>
        <w:contextualSpacing/>
        <w:jc w:val="both"/>
        <w:rPr>
          <w:rFonts w:hint="default"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_GB2312" w:hAnsi="仿宋" w:eastAsia="仿宋_GB2312" w:cs="仿宋_GB2312"/>
          <w:kern w:val="0"/>
          <w:sz w:val="32"/>
          <w:szCs w:val="32"/>
        </w:rPr>
        <w:t>根据预算绩效管理相关制度的要求，结合项目绩效指标完成情况及对项目成本、项目效率、部门绩效目标实现的综合分析，项目各项指标项均达到指标要求，项目实施达到预期效果，共计开展自评项目1</w:t>
      </w:r>
      <w:r>
        <w:rPr>
          <w:rFonts w:hint="eastAsia" w:ascii="仿宋_GB2312" w:hAnsi="仿宋" w:cs="仿宋_GB2312"/>
          <w:kern w:val="0"/>
          <w:sz w:val="32"/>
          <w:szCs w:val="32"/>
          <w:lang w:val="en-US" w:eastAsia="zh-CN"/>
        </w:rPr>
        <w:t>5</w:t>
      </w:r>
      <w:r>
        <w:rPr>
          <w:rFonts w:hint="eastAsia" w:ascii="仿宋_GB2312" w:hAnsi="仿宋" w:eastAsia="仿宋_GB2312" w:cs="仿宋_GB2312"/>
          <w:kern w:val="0"/>
          <w:sz w:val="32"/>
          <w:szCs w:val="32"/>
        </w:rPr>
        <w:t>个，自评分</w:t>
      </w:r>
      <w:r>
        <w:rPr>
          <w:rFonts w:hint="eastAsia" w:ascii="仿宋_GB2312" w:hAnsi="仿宋" w:eastAsia="仿宋_GB2312" w:cs="仿宋_GB2312"/>
          <w:kern w:val="0"/>
          <w:sz w:val="32"/>
          <w:szCs w:val="32"/>
          <w:lang w:eastAsia="zh-CN"/>
        </w:rPr>
        <w:t>均</w:t>
      </w:r>
      <w:r>
        <w:rPr>
          <w:rFonts w:hint="eastAsia" w:ascii="仿宋_GB2312" w:hAnsi="仿宋" w:eastAsia="仿宋_GB2312" w:cs="仿宋_GB2312"/>
          <w:kern w:val="0"/>
          <w:sz w:val="32"/>
          <w:szCs w:val="32"/>
        </w:rPr>
        <w:t>在</w:t>
      </w:r>
      <w:r>
        <w:rPr>
          <w:rFonts w:hint="eastAsia" w:ascii="仿宋_GB2312" w:hAnsi="仿宋" w:cs="仿宋_GB2312"/>
          <w:kern w:val="0"/>
          <w:sz w:val="32"/>
          <w:szCs w:val="32"/>
          <w:lang w:val="en-US" w:eastAsia="zh-CN"/>
        </w:rPr>
        <w:t>8</w:t>
      </w:r>
      <w:r>
        <w:rPr>
          <w:rFonts w:hint="eastAsia" w:ascii="仿宋_GB2312" w:hAnsi="仿宋" w:eastAsia="仿宋_GB2312" w:cs="仿宋_GB2312"/>
          <w:kern w:val="0"/>
          <w:sz w:val="32"/>
          <w:szCs w:val="32"/>
        </w:rPr>
        <w:t>0分以上。茂县公安局整体支出情况合法、合规，严格执行法律、政策</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科学分配、有效使用、严密管理，资金分配侧重服务基层、倾斜一线，有力地促进了我县各项公安任务的顺利完成和各项目标的实现，整体支出情况良好，自评得分</w:t>
      </w:r>
      <w:r>
        <w:rPr>
          <w:rFonts w:hint="eastAsia" w:ascii="仿宋_GB2312" w:hAnsi="仿宋" w:cs="仿宋_GB2312"/>
          <w:kern w:val="0"/>
          <w:sz w:val="32"/>
          <w:szCs w:val="32"/>
          <w:lang w:val="en-US" w:eastAsia="zh-CN"/>
        </w:rPr>
        <w:t>88</w:t>
      </w:r>
      <w:r>
        <w:rPr>
          <w:rFonts w:hint="eastAsia" w:ascii="仿宋_GB2312" w:hAnsi="仿宋" w:eastAsia="仿宋_GB2312" w:cs="仿宋_GB2312"/>
          <w:kern w:val="0"/>
          <w:sz w:val="32"/>
          <w:szCs w:val="32"/>
        </w:rPr>
        <w:t>分。</w:t>
      </w:r>
    </w:p>
    <w:p>
      <w:pPr>
        <w:pageBreakBefore w:val="0"/>
        <w:widowControl/>
        <w:kinsoku/>
        <w:wordWrap/>
        <w:overflowPunct/>
        <w:topLinePunct w:val="0"/>
        <w:bidi w:val="0"/>
        <w:adjustRightInd w:val="0"/>
        <w:snapToGrid w:val="0"/>
        <w:spacing w:line="560" w:lineRule="exact"/>
        <w:ind w:firstLine="642" w:firstLineChars="200"/>
        <w:jc w:val="left"/>
        <w:textAlignment w:val="auto"/>
        <w:rPr>
          <w:rFonts w:hint="eastAsia" w:ascii="仿宋_GB2312" w:hAnsi="仿宋" w:eastAsia="仿宋_GB2312" w:cs="仿宋_GB2312"/>
          <w:kern w:val="0"/>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_GB2312" w:hAnsi="仿宋" w:eastAsia="仿宋_GB2312" w:cs="仿宋_GB2312"/>
          <w:kern w:val="0"/>
          <w:sz w:val="32"/>
          <w:szCs w:val="32"/>
        </w:rPr>
        <w:t>由于对支出绩效评价工作的重要性还认识不够，因此对绩效评价工作的重视度还不够，尤其下属各所队室的支出绩效评价工作较差；部分项目支出绩效指标无法用量化指标来进行考评。</w:t>
      </w:r>
    </w:p>
    <w:p>
      <w:pPr>
        <w:pageBreakBefore w:val="0"/>
        <w:widowControl/>
        <w:kinsoku/>
        <w:wordWrap/>
        <w:overflowPunct/>
        <w:topLinePunct w:val="0"/>
        <w:bidi w:val="0"/>
        <w:adjustRightInd w:val="0"/>
        <w:snapToGrid w:val="0"/>
        <w:spacing w:line="560" w:lineRule="exact"/>
        <w:ind w:firstLine="642" w:firstLineChars="200"/>
        <w:jc w:val="left"/>
        <w:textAlignment w:val="auto"/>
        <w:rPr>
          <w:rFonts w:hint="eastAsia" w:ascii="Times New Roman" w:hAnsi="Times New Roman" w:eastAsia="仿宋_GB2312" w:cs="Times New Roman"/>
          <w:sz w:val="32"/>
          <w:szCs w:val="32"/>
          <w:u w:val="none"/>
          <w:lang w:val="e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61" w:name="_Hlk110546638"/>
      <w:r>
        <w:rPr>
          <w:rFonts w:hint="eastAsia" w:ascii="仿宋_GB2312" w:hAnsi="仿宋" w:eastAsia="仿宋_GB2312" w:cs="仿宋_GB2312"/>
          <w:sz w:val="32"/>
          <w:szCs w:val="32"/>
        </w:rPr>
        <w:t>一是县业务主管部门多进行业务指导和培训；二是本局党委对该项工作进一步提高认识、加强领导，尤其需强化对所属所、队、室支出情况的绩效评价，进一步提高资金使用效率</w:t>
      </w:r>
      <w:r>
        <w:rPr>
          <w:rFonts w:hint="eastAsia" w:ascii="仿宋_GB2312" w:hAnsi="仿宋" w:eastAsia="仿宋_GB2312" w:cs="仿宋_GB2312"/>
          <w:sz w:val="32"/>
          <w:szCs w:val="32"/>
          <w:lang w:eastAsia="zh-CN"/>
        </w:rPr>
        <w:t>。</w:t>
      </w:r>
    </w:p>
    <w:bookmarkEnd w:id="61"/>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hAnsi="Times New Roman" w:cs="Times New Roman"/>
          <w:color w:val="auto"/>
          <w:sz w:val="32"/>
          <w:szCs w:val="32"/>
          <w:highlight w:val="none"/>
          <w:lang w:val="zh-CN" w:eastAsia="zh-CN"/>
        </w:rPr>
      </w:pPr>
    </w:p>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hAnsi="Times New Roman" w:cs="Times New Roman"/>
          <w:color w:val="auto"/>
          <w:sz w:val="32"/>
          <w:szCs w:val="32"/>
          <w:highlight w:val="none"/>
          <w:lang w:val="zh-CN" w:eastAsia="zh-CN"/>
        </w:rPr>
      </w:pPr>
    </w:p>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1</w:t>
      </w:r>
      <w:r>
        <w:rPr>
          <w:rFonts w:hint="eastAsia" w:hAnsi="Times New Roman" w:cs="Times New Roman"/>
          <w:color w:val="auto"/>
          <w:sz w:val="32"/>
          <w:szCs w:val="32"/>
          <w:highlight w:val="none"/>
          <w:lang w:val="zh-CN" w:eastAsia="zh-CN"/>
        </w:rPr>
        <w:t>：</w:t>
      </w:r>
    </w:p>
    <w:p>
      <w:pPr>
        <w:widowControl/>
        <w:spacing w:line="600" w:lineRule="exact"/>
        <w:jc w:val="center"/>
        <w:textAlignment w:val="center"/>
        <w:rPr>
          <w:rFonts w:hint="eastAsia"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p>
      <w:pPr>
        <w:pStyle w:val="12"/>
      </w:pPr>
    </w:p>
    <w:tbl>
      <w:tblPr>
        <w:tblStyle w:val="15"/>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7</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2"/>
        <w:spacing w:line="20" w:lineRule="exact"/>
      </w:pPr>
    </w:p>
    <w:p>
      <w:pPr>
        <w:rPr>
          <w:rFonts w:hint="eastAsia" w:ascii="仿宋_GB2312" w:hAnsi="Times New Roman" w:eastAsia="宋体" w:cs="Times New Roman"/>
          <w:color w:val="auto"/>
          <w:kern w:val="2"/>
          <w:sz w:val="32"/>
          <w:szCs w:val="32"/>
          <w:highlight w:val="none"/>
          <w:lang w:val="zh-CN" w:eastAsia="zh-CN" w:bidi="ar-SA"/>
        </w:rPr>
      </w:pPr>
      <w:r>
        <w:rPr>
          <w:rFonts w:eastAsia="黑体"/>
        </w:rPr>
        <w:br w:type="page"/>
      </w:r>
      <w:r>
        <w:rPr>
          <w:rFonts w:hint="eastAsia" w:ascii="仿宋_GB2312" w:hAnsi="Times New Roman" w:eastAsia="宋体" w:cs="Times New Roman"/>
          <w:color w:val="auto"/>
          <w:kern w:val="2"/>
          <w:sz w:val="32"/>
          <w:szCs w:val="32"/>
          <w:highlight w:val="none"/>
          <w:lang w:val="zh-CN" w:eastAsia="zh-CN" w:bidi="ar-SA"/>
        </w:rPr>
        <w:t>附表2</w:t>
      </w:r>
    </w:p>
    <w:tbl>
      <w:tblPr>
        <w:tblStyle w:val="15"/>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bidi="ar"/>
              </w:rPr>
              <w:t>4</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5085.45</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5085.45</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5085.45</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eastAsia="宋体"/>
                <w:color w:val="000000"/>
                <w:kern w:val="0"/>
                <w:sz w:val="24"/>
                <w:lang w:bidi="ar"/>
              </w:rPr>
              <w:t>以习近平新时代中国特色社会主义思想为指导，深入贯彻习近平法治思想和习近平总书记关于新时代公安工作的重要论述，增强“四个意识”，坚定“四个自信”，做到“两个维护”，坚定“两个确立”，坚决贯彻“对党忠诚、服务人民、执法公正、纪律严明”十六字方针，持续开展维护社会稳定、打击违反犯罪、守护公共安全、服务人民群众等工作，确保辖区整治安全、社会稳定、人民安宁、网络安靖，向第二个百年奋斗目标砥砺奋进。</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ascii="宋体" w:hAnsi="宋体" w:eastAsia="宋体" w:cs="宋体"/>
                <w:sz w:val="24"/>
                <w:szCs w:val="24"/>
              </w:rPr>
              <w:t>严打各类刑事犯罪</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坚持严打方针不动摇，始终保持对违法犯罪活动的高压态势，切实提高严打犯罪的针对性、主动性和实践性。严打涉黑恶、传统盗抢、网络电诈等突出违法犯罪，加强道路交通、森林防火等领域安全监管，不断增强人民安全感。</w:t>
            </w:r>
          </w:p>
        </w:tc>
      </w:tr>
      <w:tr>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ascii="宋体" w:hAnsi="宋体" w:eastAsia="宋体" w:cs="宋体"/>
                <w:sz w:val="24"/>
                <w:szCs w:val="24"/>
              </w:rPr>
              <w:t>全力维护政治安全</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ascii="宋体" w:hAnsi="宋体" w:eastAsia="宋体" w:cs="宋体"/>
                <w:sz w:val="24"/>
                <w:szCs w:val="24"/>
              </w:rPr>
              <w:t>忠实践行“两个维护”，抓好巩固“不忘初心、牢记使命”主题教育成果的落实，加强情报信息收集研判工作，深化对敌斗争、强化反恐防恐工作，做好信访维稳工作，确保社会总体稳定。</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ascii="宋体" w:hAnsi="宋体" w:eastAsia="宋体" w:cs="宋体"/>
                <w:sz w:val="24"/>
                <w:szCs w:val="24"/>
              </w:rPr>
              <w:t>保障日常运转</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ascii="宋体" w:hAnsi="宋体" w:eastAsia="宋体" w:cs="宋体"/>
                <w:sz w:val="24"/>
                <w:szCs w:val="24"/>
              </w:rPr>
              <w:t>通过财政下达人员经费和日常公用经费，保障机构日常运转和民警职工劳动报酬足额发放，为圆满完成各项公安工作任务提供有效保障。</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ascii="宋体" w:hAnsi="宋体" w:eastAsia="宋体" w:cs="宋体"/>
                <w:sz w:val="24"/>
                <w:szCs w:val="24"/>
              </w:rPr>
              <w:t>重大活动安保维稳</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ascii="宋体" w:hAnsi="宋体" w:eastAsia="宋体" w:cs="宋体"/>
                <w:sz w:val="24"/>
                <w:szCs w:val="24"/>
              </w:rPr>
              <w:t>坚决完成各类重大活动安保维稳任务</w:t>
            </w:r>
            <w:r>
              <w:rPr>
                <w:rFonts w:hint="eastAsia" w:ascii="宋体" w:hAnsi="宋体" w:eastAsia="宋体" w:cs="宋体"/>
                <w:sz w:val="24"/>
                <w:szCs w:val="24"/>
                <w:lang w:eastAsia="zh-CN"/>
              </w:rPr>
              <w:t>。</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完成培训人数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24"/>
                <w:lang w:val="en-US" w:eastAsia="zh-CN"/>
              </w:rPr>
            </w:pPr>
            <w:r>
              <w:rPr>
                <w:rFonts w:hint="eastAsia" w:eastAsia="宋体"/>
                <w:color w:val="000000"/>
                <w:kern w:val="0"/>
                <w:sz w:val="24"/>
                <w:lang w:val="en-US" w:eastAsia="zh-CN" w:bidi="ar"/>
              </w:rPr>
              <w:t>800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人次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val="en-US" w:eastAsia="zh-CN" w:bidi="ar"/>
              </w:rPr>
              <w:t>10</w:t>
            </w:r>
            <w:r>
              <w:rPr>
                <w:rFonts w:eastAsia="宋体"/>
                <w:color w:val="000000"/>
                <w:kern w:val="0"/>
                <w:sz w:val="24"/>
                <w:lang w:bidi="ar"/>
              </w:rPr>
              <w:t>%</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24"/>
                <w:lang w:val="en-US" w:eastAsia="zh-CN"/>
              </w:rPr>
            </w:pPr>
            <w:r>
              <w:rPr>
                <w:rFonts w:hint="eastAsia" w:eastAsia="宋体"/>
                <w:color w:val="000000"/>
                <w:kern w:val="0"/>
                <w:sz w:val="24"/>
                <w:lang w:val="en-US" w:eastAsia="zh-CN" w:bidi="ar"/>
              </w:rPr>
              <w:t>812</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采购设备数量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550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套</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10</w:t>
            </w:r>
            <w:r>
              <w:rPr>
                <w:rFonts w:eastAsia="宋体"/>
                <w:color w:val="000000"/>
                <w:kern w:val="0"/>
                <w:sz w:val="24"/>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610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购买设备合格率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15</w:t>
            </w:r>
            <w:r>
              <w:rPr>
                <w:rFonts w:eastAsia="宋体"/>
                <w:color w:val="000000"/>
                <w:kern w:val="0"/>
                <w:sz w:val="24"/>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100</w:t>
            </w:r>
            <w:r>
              <w:rPr>
                <w:rFonts w:eastAsia="宋体"/>
                <w:color w:val="000000"/>
                <w:kern w:val="0"/>
                <w:sz w:val="24"/>
                <w:lang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信访案件、矛盾纠纷化解率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15</w:t>
            </w:r>
            <w:r>
              <w:rPr>
                <w:rFonts w:eastAsia="宋体"/>
                <w:color w:val="000000"/>
                <w:kern w:val="0"/>
                <w:sz w:val="24"/>
                <w:lang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kern w:val="0"/>
                <w:sz w:val="24"/>
                <w:lang w:val="en-US" w:eastAsia="zh-CN" w:bidi="ar"/>
              </w:rPr>
              <w:t>91</w:t>
            </w:r>
            <w:r>
              <w:rPr>
                <w:rFonts w:eastAsia="宋体"/>
                <w:color w:val="000000"/>
                <w:kern w:val="0"/>
                <w:sz w:val="24"/>
                <w:lang w:bidi="ar"/>
              </w:rPr>
              <w:t>%</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ascii="宋体" w:hAnsi="宋体" w:eastAsia="宋体" w:cs="宋体"/>
                <w:sz w:val="24"/>
                <w:szCs w:val="24"/>
              </w:rPr>
              <w:t>刑事案件侦办及时率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2"/>
                <w:sz w:val="24"/>
                <w:szCs w:val="24"/>
                <w:lang w:val="en-US" w:eastAsia="zh-CN" w:bidi="ar-SA"/>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ascii="Times New Roman" w:hAnsi="Times New Roman" w:eastAsia="宋体" w:cs="Times New Roman"/>
                <w:color w:val="000000"/>
                <w:kern w:val="2"/>
                <w:sz w:val="24"/>
                <w:szCs w:val="24"/>
                <w:lang w:val="en-US" w:eastAsia="zh-CN" w:bidi="ar-SA"/>
              </w:rPr>
            </w:pPr>
            <w:r>
              <w:rPr>
                <w:rFonts w:eastAsia="宋体"/>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社会治安大局平稳</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r>
              <w:rPr>
                <w:rFonts w:ascii="宋体" w:hAnsi="宋体" w:eastAsia="宋体" w:cs="宋体"/>
                <w:sz w:val="24"/>
                <w:szCs w:val="24"/>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Times New Roman" w:hAnsi="Times New Roman" w:eastAsia="宋体" w:cs="Times New Roman"/>
                <w:color w:val="000000"/>
                <w:kern w:val="2"/>
                <w:sz w:val="24"/>
                <w:szCs w:val="24"/>
                <w:lang w:val="en-US" w:eastAsia="zh-CN" w:bidi="ar-SA"/>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eastAsia="zh-CN"/>
              </w:rPr>
              <w:t>良好</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2"/>
                <w:sz w:val="24"/>
                <w:szCs w:val="24"/>
                <w:lang w:val="en-US" w:eastAsia="zh-CN" w:bidi="ar-SA"/>
              </w:rPr>
            </w:pPr>
            <w:r>
              <w:rPr>
                <w:rFonts w:ascii="宋体" w:hAnsi="宋体" w:eastAsia="宋体" w:cs="宋体"/>
                <w:sz w:val="24"/>
                <w:szCs w:val="24"/>
              </w:rPr>
              <w:t>服务对象满意度指标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ascii="宋体" w:hAnsi="宋体" w:eastAsia="宋体" w:cs="宋体"/>
                <w:sz w:val="24"/>
                <w:szCs w:val="24"/>
              </w:rPr>
              <w:t>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imes New Roman" w:hAnsi="Times New Roman" w:eastAsia="宋体" w:cs="Times New Roman"/>
                <w:color w:val="000000"/>
                <w:kern w:val="2"/>
                <w:sz w:val="24"/>
                <w:szCs w:val="24"/>
                <w:lang w:val="en-US" w:eastAsia="zh-CN" w:bidi="ar-SA"/>
              </w:rPr>
            </w:pPr>
            <w:r>
              <w:rPr>
                <w:rFonts w:hint="eastAsia" w:eastAsia="宋体"/>
                <w:color w:val="000000"/>
                <w:sz w:val="24"/>
                <w:lang w:val="en-US" w:eastAsia="zh-CN"/>
              </w:rPr>
              <w:t>95%</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ascii="宋体" w:hAnsi="宋体" w:eastAsia="宋体" w:cs="宋体"/>
                <w:sz w:val="24"/>
                <w:szCs w:val="24"/>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ascii="宋体" w:hAnsi="宋体" w:eastAsia="宋体" w:cs="宋体"/>
                <w:sz w:val="24"/>
                <w:szCs w:val="24"/>
              </w:rPr>
              <w:t>民警职工满意度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eastAsia="zh-CN"/>
              </w:rPr>
            </w:pPr>
            <w:r>
              <w:rPr>
                <w:rFonts w:hint="eastAsia" w:eastAsia="宋体"/>
                <w:color w:val="000000"/>
                <w:sz w:val="24"/>
                <w:lang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eastAsia="宋体"/>
                <w:color w:val="000000"/>
                <w:sz w:val="24"/>
                <w:lang w:val="en-US" w:eastAsia="zh-CN"/>
              </w:rPr>
            </w:pPr>
            <w:r>
              <w:rPr>
                <w:rFonts w:hint="eastAsia" w:eastAsia="宋体"/>
                <w:color w:val="000000"/>
                <w:sz w:val="24"/>
                <w:lang w:val="en-US" w:eastAsia="zh-CN"/>
              </w:rPr>
              <w:t>97%</w:t>
            </w:r>
          </w:p>
        </w:tc>
      </w:tr>
    </w:tbl>
    <w:p>
      <w:pPr>
        <w:pStyle w:val="8"/>
        <w:ind w:left="0" w:leftChars="0" w:firstLine="0" w:firstLineChars="0"/>
        <w:rPr>
          <w:rFonts w:ascii="Times New Roman" w:eastAsia="黑体"/>
          <w:sz w:val="24"/>
          <w:szCs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Pr>
        <w:rPr>
          <w:rFonts w:eastAsia="黑体"/>
          <w:sz w:val="24"/>
        </w:rPr>
      </w:pPr>
    </w:p>
    <w:p>
      <w:pPr>
        <w:pStyle w:val="12"/>
        <w:rPr>
          <w:rFonts w:eastAsia="黑体"/>
          <w:sz w:val="24"/>
        </w:rPr>
      </w:pPr>
    </w:p>
    <w:p/>
    <w:p>
      <w:pPr>
        <w:rPr>
          <w:rFonts w:hint="eastAsia" w:ascii="仿宋_GB2312" w:hAnsi="Times New Roman" w:eastAsia="宋体" w:cs="Times New Roman"/>
          <w:color w:val="auto"/>
          <w:kern w:val="2"/>
          <w:sz w:val="32"/>
          <w:szCs w:val="32"/>
          <w:highlight w:val="none"/>
          <w:lang w:val="zh-CN" w:eastAsia="zh-CN" w:bidi="ar-SA"/>
        </w:rPr>
      </w:pPr>
      <w:r>
        <w:rPr>
          <w:rFonts w:hint="eastAsia" w:ascii="仿宋_GB2312" w:hAnsi="Times New Roman" w:eastAsia="宋体" w:cs="Times New Roman"/>
          <w:color w:val="auto"/>
          <w:kern w:val="2"/>
          <w:sz w:val="32"/>
          <w:szCs w:val="32"/>
          <w:highlight w:val="none"/>
          <w:lang w:val="zh-CN" w:eastAsia="zh-CN" w:bidi="ar-SA"/>
        </w:rPr>
        <w:t>附表3</w:t>
      </w:r>
    </w:p>
    <w:p>
      <w:pPr>
        <w:widowControl/>
        <w:spacing w:line="578" w:lineRule="exact"/>
        <w:jc w:val="center"/>
        <w:textAlignment w:val="center"/>
        <w:rPr>
          <w:rFonts w:eastAsia="方正小标宋简体"/>
          <w:color w:val="000000"/>
          <w:kern w:val="0"/>
          <w:sz w:val="44"/>
          <w:szCs w:val="44"/>
          <w:lang w:bidi="ar"/>
        </w:rPr>
      </w:pPr>
      <w:r>
        <w:rPr>
          <w:rFonts w:eastAsia="方正小标宋简体"/>
          <w:color w:val="000000"/>
          <w:kern w:val="0"/>
          <w:sz w:val="44"/>
          <w:szCs w:val="44"/>
          <w:lang w:bidi="ar"/>
        </w:rPr>
        <w:t>部门预算项目支出绩效评价表</w:t>
      </w:r>
    </w:p>
    <w:p>
      <w:pPr>
        <w:widowControl/>
        <w:spacing w:line="300" w:lineRule="exact"/>
        <w:jc w:val="center"/>
        <w:textAlignment w:val="center"/>
        <w:rPr>
          <w:rFonts w:eastAsia="宋体"/>
          <w:color w:val="000000"/>
          <w:kern w:val="0"/>
          <w:sz w:val="28"/>
          <w:szCs w:val="28"/>
          <w:lang w:bidi="ar"/>
        </w:rPr>
      </w:pPr>
      <w:r>
        <w:rPr>
          <w:rFonts w:eastAsia="宋体"/>
          <w:color w:val="000000"/>
          <w:kern w:val="0"/>
          <w:sz w:val="28"/>
          <w:szCs w:val="28"/>
          <w:lang w:bidi="ar"/>
        </w:rPr>
        <w:t>（2024年度）</w:t>
      </w:r>
    </w:p>
    <w:p>
      <w:pPr>
        <w:spacing w:line="578" w:lineRule="exact"/>
        <w:ind w:firstLine="420" w:firstLineChars="200"/>
        <w:rPr>
          <w:rFonts w:hint="eastAsia"/>
          <w:color w:val="000000"/>
          <w:kern w:val="0"/>
          <w:szCs w:val="32"/>
          <w:shd w:val="clear" w:color="auto" w:fill="FFFFFF"/>
        </w:rPr>
      </w:pPr>
    </w:p>
    <w:tbl>
      <w:tblPr>
        <w:tblStyle w:val="15"/>
        <w:tblW w:w="14498" w:type="dxa"/>
        <w:tblInd w:w="-8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498" w:type="dxa"/>
            <w:tcBorders>
              <w:top w:val="nil"/>
              <w:left w:val="nil"/>
              <w:bottom w:val="nil"/>
              <w:right w:val="nil"/>
            </w:tcBorders>
            <w:shd w:val="clear" w:color="auto" w:fill="auto"/>
            <w:vAlign w:val="center"/>
          </w:tcPr>
          <w:tbl>
            <w:tblPr>
              <w:tblStyle w:val="15"/>
              <w:tblpPr w:leftFromText="180" w:rightFromText="180" w:vertAnchor="text" w:horzAnchor="page" w:tblpX="-128" w:tblpY="312"/>
              <w:tblOverlap w:val="never"/>
              <w:tblW w:w="10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9"/>
              <w:gridCol w:w="1510"/>
              <w:gridCol w:w="1005"/>
              <w:gridCol w:w="1636"/>
              <w:gridCol w:w="426"/>
              <w:gridCol w:w="1286"/>
              <w:gridCol w:w="427"/>
              <w:gridCol w:w="981"/>
              <w:gridCol w:w="523"/>
              <w:gridCol w:w="426"/>
              <w:gridCol w:w="1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51322321T000000051770-辅警经费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保障警务辅助人员合法权益，充分发挥警务辅助力量在协助维护社会治安、打击违法犯罪、开展行政管理和服务人民群众</w:t>
                  </w:r>
                  <w:r>
                    <w:rPr>
                      <w:rFonts w:ascii="宋体" w:hAnsi="宋体" w:cs="宋体"/>
                      <w:i w:val="0"/>
                      <w:iCs w:val="0"/>
                      <w:color w:val="000000"/>
                      <w:kern w:val="0"/>
                      <w:sz w:val="18"/>
                      <w:szCs w:val="18"/>
                      <w:u w:val="none"/>
                      <w:lang w:eastAsia="zh-CN" w:bidi="ar"/>
                    </w:rPr>
                    <w:t>等方面</w:t>
                  </w:r>
                  <w:r>
                    <w:rPr>
                      <w:rFonts w:ascii="宋体" w:hAnsi="宋体" w:eastAsia="宋体" w:cs="宋体"/>
                      <w:i w:val="0"/>
                      <w:iCs w:val="0"/>
                      <w:color w:val="000000"/>
                      <w:kern w:val="0"/>
                      <w:sz w:val="18"/>
                      <w:szCs w:val="18"/>
                      <w:u w:val="none"/>
                      <w:lang w:val="en-US" w:eastAsia="zh-CN" w:bidi="ar"/>
                    </w:rPr>
                    <w:t>发挥积极作用</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缓解了茂县公安局经费紧张的问题。辅警的日常工作也一定程度上缓解了茂县公安局警力供需矛盾，充实了基层警力，更好地服务于全县经济社会发展；总体上来说辅警的工作开展维护了茂县社会政治稳定。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该项目资金使用按照县局制定的《茂县公安机关警务辅助人员使用管理办法》执行。人员经费根据考勤经政工监督室审核，按月发放辅警工资卡上。五大保险根据县社会保障局下达的标准，按月足额缴纳。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64.75</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64.75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64.75</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64.75</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保障人员</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188</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175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辅警人员辞职后招录中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保障警务辅助人员合法权益，充分发挥警务辅助力量在协助维护社会治安、打击违法犯罪、开展行政管理和服务人民群众</w:t>
                  </w:r>
                  <w:r>
                    <w:rPr>
                      <w:rFonts w:ascii="宋体" w:hAnsi="宋体" w:cs="宋体"/>
                      <w:i w:val="0"/>
                      <w:iCs w:val="0"/>
                      <w:color w:val="000000"/>
                      <w:kern w:val="0"/>
                      <w:sz w:val="18"/>
                      <w:szCs w:val="18"/>
                      <w:u w:val="none"/>
                      <w:lang w:eastAsia="zh-CN" w:bidi="ar"/>
                    </w:rPr>
                    <w:t>等方面</w:t>
                  </w:r>
                  <w:r>
                    <w:rPr>
                      <w:rFonts w:ascii="宋体" w:hAnsi="宋体" w:eastAsia="宋体" w:cs="宋体"/>
                      <w:i w:val="0"/>
                      <w:iCs w:val="0"/>
                      <w:color w:val="000000"/>
                      <w:kern w:val="0"/>
                      <w:sz w:val="18"/>
                      <w:szCs w:val="18"/>
                      <w:u w:val="none"/>
                      <w:lang w:val="en-US" w:eastAsia="zh-CN" w:bidi="ar"/>
                    </w:rPr>
                    <w:t>发挥积极作用</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1年</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充分发挥警务辅助力量在协助维护社会治安、打击违法犯罪、开展行政管理和服务人民群众</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维护社会大局平稳</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辅警人员满意度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人民群众满意度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项目负责人：陈茂川</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51322321T000000051886-天网租赁费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利用科技手段，震慑预防一大批犯罪案件的发生，尤其是侵财类案件的发生，提高了社会的文明程度，人民安全感满意度上升。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一方面缓解日益繁忙的社会面管控压力和警力不足之间的矛盾，同时在一定程度上消除了道路社会面管理在时间和空间上的“盲点”，有效抑制了违法事故的发生。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网工程通过在交通要道、治安卡口、公共聚集场所、宾馆、学校、医院以及治安复杂场所安装视频监控设备，利用网络把一定区域内所有视频监控点图像传播到监控中心(即天网工程管理平台)，对刑事案件、治安案件、交通违章、城管违章等图像信息分类，为强化城市综合管理、预防打击犯罪和突发性治安灾害事故提供可靠的影像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治安监控视频覆盖率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利用科技手段，震慑预防一大批犯罪案件的发生，尤其是侵财类案件的发生，提高了社会的文明程度，人民安全感满意度上升。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1年</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利用科技手段，震慑预防一大批犯罪案件的发生，尤其是侵财类案件的发生，提高了社会的文明程度，人民安全感满意度上升。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利用科技手段，震慑预防一大批犯罪案件的发生，尤其是侵财类案件的发生，提高了社会的文明程度，人民安全感满意度上升。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50万元</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项目资金待财政审核后支付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项目负责人：陈茂川</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51322322T000006144147-考务费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录用公务员考试、招聘事业单位工作人员等考试考务费。维护考场秩序。</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有效地保障人事考试工作安全平稳运行。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按照《阿坝州人力资源和社会保障局人事考试等劳务费支出标准》阿州人社办〔2017〕220号文，安排公安局5500元，支付考试工作人员考试考务费。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6"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考试场数</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派出警力</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维护考场网络安全</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维护考场周边秩序</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1年</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维护考场秩序</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考试人员满意度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项目负责人：坤吉伦</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51322322T000006347214-包虫病经费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协助开展包虫病防治工作，进行犬只登记、管理。</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保障了居民的生命健康。提高养犬登记办证率、文明规范养犬；减少流浪犬、无主犬和犬伤人、扰民的问题，普及包虫病防治知识。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普及包虫病防治知识宣传费，聘请第三方机构对犬只进行捕捉，支付劳务费。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犬只管理、灭犬</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320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全县犬只登记</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只</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预防包虫病</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资金支出</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项目负责人：坤吉伦</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51322323T000007864724-前端感知源服务费（天网服务费）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利用科技手段，震慑预防一大批犯罪案件发生，尤其是侵财类案件的发生，提高社会的文明程度，人民安全感满意度上升。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一方面缓解日益繁忙的社会面管控压力和警力不足之间的矛盾，同时在一定程度上消除了道路社会面管理在时间和空间上的“盲点”，有效抑制了违法事故的发生。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网工程通过在交通要道、治安卡口、公共聚集场所、宾馆、学校、医院以及治安复杂场所安装视频监控设备，利用网络把一定区域内所有视频监控点图像传播到监控中心(即天网工程管理平台)，对刑事案件、治安案件、交通违章、城管违章等图像信息分类，为强化城市综合管理、预防打击犯罪和突发性治安灾害事故提供可靠的影像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554.80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554.80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554.80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554.80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利用科技手段，震慑预防一大批犯罪案件发生，尤其是侵财类案件的发生，提高社会的文明程度，人民安全感满意度上升。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主要街道、卡口、疫情防控点位全覆盖</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利用科技手段，震慑预防一大批犯罪案件发生，尤其是侵财类案件的发生，提高社会的文明程度，人民安全感满意度上升。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人民安全感满意度上升。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项目负责人：陈茂川</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51322323T000008906107-元旦新春慰问金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深入推进</w:t>
                  </w:r>
                  <w:r>
                    <w:rPr>
                      <w:rFonts w:ascii="宋体" w:hAnsi="宋体" w:cs="宋体"/>
                      <w:i w:val="0"/>
                      <w:iCs w:val="0"/>
                      <w:color w:val="000000"/>
                      <w:kern w:val="0"/>
                      <w:sz w:val="18"/>
                      <w:szCs w:val="18"/>
                      <w:u w:val="none"/>
                      <w:lang w:eastAsia="zh-CN" w:bidi="ar"/>
                    </w:rPr>
                    <w:t>扫黑除恶专项斗争</w:t>
                  </w:r>
                  <w:r>
                    <w:rPr>
                      <w:rFonts w:ascii="宋体" w:hAnsi="宋体" w:eastAsia="宋体" w:cs="宋体"/>
                      <w:i w:val="0"/>
                      <w:iCs w:val="0"/>
                      <w:color w:val="000000"/>
                      <w:kern w:val="0"/>
                      <w:sz w:val="18"/>
                      <w:szCs w:val="18"/>
                      <w:u w:val="none"/>
                      <w:lang w:val="en-US" w:eastAsia="zh-CN" w:bidi="ar"/>
                    </w:rPr>
                    <w:t>、依法打击违法犯罪、大力整治社会治安乱点、持续强化安全生产监管、优化夯实服务社会民生、全力维护社会稳定、积极守护人民群众新时代的美好生活。</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慰问各基层所队，全力维护社会稳定、积极守护人民群众新时代的美好生活。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慰问各基层所队。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6"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全局民警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185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实有人数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确保公安工作顺利进行</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深入推进</w:t>
                  </w:r>
                  <w:r>
                    <w:rPr>
                      <w:rFonts w:ascii="宋体" w:hAnsi="宋体" w:cs="宋体"/>
                      <w:i w:val="0"/>
                      <w:iCs w:val="0"/>
                      <w:color w:val="000000"/>
                      <w:kern w:val="0"/>
                      <w:sz w:val="18"/>
                      <w:szCs w:val="18"/>
                      <w:u w:val="none"/>
                      <w:lang w:eastAsia="zh-CN" w:bidi="ar"/>
                    </w:rPr>
                    <w:t>扫黑除恶专项斗争</w:t>
                  </w:r>
                  <w:r>
                    <w:rPr>
                      <w:rFonts w:ascii="宋体" w:hAnsi="宋体" w:eastAsia="宋体" w:cs="宋体"/>
                      <w:i w:val="0"/>
                      <w:iCs w:val="0"/>
                      <w:color w:val="000000"/>
                      <w:kern w:val="0"/>
                      <w:sz w:val="18"/>
                      <w:szCs w:val="18"/>
                      <w:u w:val="none"/>
                      <w:lang w:val="en-US" w:eastAsia="zh-CN" w:bidi="ar"/>
                    </w:rPr>
                    <w:t>、依法打击违法犯罪、大力整治社会治安乱点、持续强化安全生产监管、优化夯实服务社会民生、全力维护社会稳定、积极守护人民群众新时代的美好生活。</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深入推进</w:t>
                  </w:r>
                  <w:r>
                    <w:rPr>
                      <w:rFonts w:ascii="宋体" w:hAnsi="宋体" w:cs="宋体"/>
                      <w:i w:val="0"/>
                      <w:iCs w:val="0"/>
                      <w:color w:val="000000"/>
                      <w:kern w:val="0"/>
                      <w:sz w:val="18"/>
                      <w:szCs w:val="18"/>
                      <w:u w:val="none"/>
                      <w:lang w:eastAsia="zh-CN" w:bidi="ar"/>
                    </w:rPr>
                    <w:t>扫黑除恶专项斗争</w:t>
                  </w:r>
                  <w:r>
                    <w:rPr>
                      <w:rFonts w:ascii="宋体" w:hAnsi="宋体" w:eastAsia="宋体" w:cs="宋体"/>
                      <w:i w:val="0"/>
                      <w:iCs w:val="0"/>
                      <w:color w:val="000000"/>
                      <w:kern w:val="0"/>
                      <w:sz w:val="18"/>
                      <w:szCs w:val="18"/>
                      <w:u w:val="none"/>
                      <w:lang w:val="en-US" w:eastAsia="zh-CN" w:bidi="ar"/>
                    </w:rPr>
                    <w:t>、依法打击违法犯罪、大力整治社会治安乱点、持续强化安全生产监管、优化夯实服务社会民生、全力维护社会稳定、积极守护人民群众新时代的美好生活。</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民警满意度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1.8万元</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1.8</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项目负责人：毛永兰</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51322324T000010055314-铁路护路联防专项资金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提升铁路沿线治安环境综合治理能力，严厉打击各类违法犯罪，解决好铁路沿线及周边广大人民群众关切的问题，保障好铁路运输的绝对安全。</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铁路沿线治安秩序良好，无危行事故发生，爱路护路氛围浓厚。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下达群防群治务工补助、公务经费、重点整治信息化建设、护路队员绩效考核经费。维护号铁路沿线治安秩序，严厉打击危害铁路运输安全的各种违法犯罪活动，适时开展铁路沿线突出治安问题整治活动，完善沿线警示牌设立，督导护路队伍开展好巡查及宣传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22.18</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22.18</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22.18</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22.18</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护路队员</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18</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铁路沿线治安稳定</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铁路沿线治安稳定</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26</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护路队员满意度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22.18</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护路队员务工补助待考核后支付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84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项目负责人：坤吉伦</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51322324T000011847757-较场派出所办公及业务用房维修改造项目质保金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进一步提升派出所运行能力，充分发挥公安基层所队的职能职责。维护辖区交通管理秩序，维护基层政权安全，维护辖区社会治安稳定。</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维护基层政权，维护辖区社会治安稳定，充分发挥公安基层所队的职能职责，解决民、辅警实际困难，营造一个舒适整洁、井然有序的值班备勤环境.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2019年我县进行乡镇行政区划调整，全县21个乡镇撤并成11个镇，按照全州两项改革“后半篇”文章盘活用好乡镇村公有资产工作的要求，根据县委、县政府工作部署，将原乡政府值班室移交县公安局使用，根据国家发改委、建设部、公安部关于公安派出所建设规范和标准，需对移交的房屋进行规范化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2.33</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进一步提升派出所运行能力，充分发挥公安基层所队的职能职责</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维护辖区交通管理秩序，维护基层政权安全，维护辖区社会治安稳定</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8"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进一步提升派出所运行能力，充分发挥公安基层所队的职能职责。维护辖区交通管理秩序，维护基层政权安全，维护辖区社会治安稳定</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民警满意度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资金额度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23269.75</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23269.75</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项目负责人：陈茂川</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107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51322325T000013101739-慰问金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2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茂县公安局本级</w:t>
                  </w:r>
                </w:p>
              </w:tc>
              <w:tc>
                <w:tcPr>
                  <w:tcW w:w="98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茂县公安局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充分发挥党员先锋模范作用，全力做好防汛救灾相关工作。</w:t>
                  </w:r>
                </w:p>
              </w:tc>
              <w:tc>
                <w:tcPr>
                  <w:tcW w:w="38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充分发挥党员先锋模范作用。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1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慰问基层民辅警。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0.20</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2" w:hRule="atLeast"/>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经费年度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慰问人员</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充分发挥党员先锋模范作用，全力做好防汛救灾相关工作。</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充分发挥党员先锋模范作用，全力做好防汛救灾相关工作。</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充分发挥党员先锋模范作用，全力做好防汛救灾相关工作。</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良好</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良好</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民辅警、职工满意度</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97</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3" w:hRule="atLeast"/>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2000</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8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根据预算绩效管理相关制度的要求，结合项目绩效指标完成情况及对项目成本、项目效率、部门绩效目标实现的综合分析，项目综合评价为项目各项指标项均达到指标要求，项目实施达到预期效果。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由于对支出绩效评价工作的重要性还认识不够，因此对绩效评价工作的重视度还不够，部分项目支出绩效指标无法用量化指标来进行考评。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2" w:hRule="atLeast"/>
              </w:trPr>
              <w:tc>
                <w:tcPr>
                  <w:tcW w:w="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1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项目负责人：罗勇</w:t>
                  </w:r>
                </w:p>
              </w:tc>
              <w:tc>
                <w:tcPr>
                  <w:tcW w:w="55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财务负责人：蒲哇泽哩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19"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3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8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7"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23"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426"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901"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74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1074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74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740"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pPr>
              <w:keepNext w:val="0"/>
              <w:keepLines w:val="0"/>
              <w:widowControl/>
              <w:suppressLineNumbers w:val="0"/>
              <w:jc w:val="left"/>
              <w:textAlignment w:val="center"/>
              <w:rPr>
                <w:rFonts w:ascii="黑体" w:hAnsi="宋体" w:eastAsia="黑体" w:cs="黑体"/>
                <w:b/>
                <w:bCs/>
                <w:i w:val="0"/>
                <w:iCs w:val="0"/>
                <w:color w:val="000000"/>
                <w:sz w:val="30"/>
                <w:szCs w:val="30"/>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pPr>
        <w:pStyle w:val="2"/>
        <w:rPr>
          <w:rFonts w:hint="eastAsia"/>
          <w:lang w:val="zh-CN"/>
        </w:rPr>
      </w:pPr>
    </w:p>
    <w:p>
      <w:pPr>
        <w:pStyle w:val="6"/>
        <w:pageBreakBefore w:val="0"/>
        <w:kinsoku/>
        <w:wordWrap/>
        <w:overflowPunct/>
        <w:topLinePunct w:val="0"/>
        <w:bidi w:val="0"/>
        <w:spacing w:line="560" w:lineRule="exact"/>
        <w:textAlignment w:val="auto"/>
        <w:rPr>
          <w:rFonts w:hint="eastAsia" w:ascii="黑体" w:hAnsi="黑体" w:eastAsia="黑体" w:cs="黑体"/>
          <w:color w:val="auto"/>
          <w:kern w:val="0"/>
          <w:sz w:val="32"/>
          <w:szCs w:val="32"/>
          <w:highlight w:val="none"/>
          <w:shd w:val="clear" w:color="auto" w:fill="FFFFFF"/>
          <w:lang w:val="en-US" w:eastAsia="zh-CN"/>
        </w:rPr>
      </w:pPr>
      <w:r>
        <w:rPr>
          <w:rFonts w:hint="eastAsia" w:ascii="黑体" w:hAnsi="黑体" w:eastAsia="黑体" w:cs="黑体"/>
          <w:color w:val="auto"/>
          <w:kern w:val="0"/>
          <w:sz w:val="32"/>
          <w:szCs w:val="32"/>
          <w:highlight w:val="none"/>
          <w:shd w:val="clear" w:color="auto" w:fill="FFFFFF"/>
          <w:lang w:val="zh-CN"/>
        </w:rPr>
        <w:t>附件</w:t>
      </w:r>
      <w:r>
        <w:rPr>
          <w:rFonts w:hint="eastAsia" w:ascii="黑体" w:hAnsi="黑体" w:eastAsia="黑体" w:cs="黑体"/>
          <w:color w:val="auto"/>
          <w:kern w:val="0"/>
          <w:sz w:val="32"/>
          <w:szCs w:val="32"/>
          <w:highlight w:val="none"/>
          <w:shd w:val="clear" w:color="auto" w:fill="FFFFFF"/>
          <w:lang w:val="en-US" w:eastAsia="zh-CN"/>
        </w:rPr>
        <w:t>2</w:t>
      </w:r>
    </w:p>
    <w:p>
      <w:pPr>
        <w:pStyle w:val="26"/>
        <w:pageBreakBefore w:val="0"/>
        <w:kinsoku/>
        <w:wordWrap/>
        <w:overflowPunct/>
        <w:topLinePunct w:val="0"/>
        <w:bidi w:val="0"/>
        <w:spacing w:line="560" w:lineRule="exact"/>
        <w:ind w:firstLine="640"/>
        <w:jc w:val="center"/>
        <w:textAlignment w:val="auto"/>
        <w:rPr>
          <w:rFonts w:ascii="宋体" w:hAnsi="宋体"/>
          <w:color w:val="auto"/>
          <w:kern w:val="2"/>
          <w:sz w:val="32"/>
          <w:szCs w:val="32"/>
        </w:rPr>
      </w:pPr>
      <w:r>
        <w:rPr>
          <w:rFonts w:hint="eastAsia" w:ascii="方正小标宋简体" w:hAnsi="方正小标宋简体" w:eastAsia="方正小标宋简体" w:cs="方正小标宋简体"/>
          <w:color w:val="auto"/>
          <w:kern w:val="2"/>
          <w:sz w:val="44"/>
          <w:szCs w:val="44"/>
          <w:lang w:val="en-US" w:eastAsia="zh-CN"/>
        </w:rPr>
        <w:t>考务费</w:t>
      </w:r>
      <w:r>
        <w:rPr>
          <w:rFonts w:hint="eastAsia" w:ascii="方正小标宋简体" w:hAnsi="方正小标宋简体" w:eastAsia="方正小标宋简体" w:cs="方正小标宋简体"/>
          <w:color w:val="auto"/>
          <w:kern w:val="2"/>
          <w:sz w:val="44"/>
          <w:szCs w:val="44"/>
          <w:lang w:val="en-US"/>
        </w:rPr>
        <w:t>项目绩效评价报告</w:t>
      </w:r>
    </w:p>
    <w:p>
      <w:pPr>
        <w:suppressAutoHyphens/>
        <w:bidi w:val="0"/>
        <w:adjustRightInd w:val="0"/>
        <w:snapToGrid w:val="0"/>
        <w:spacing w:line="578" w:lineRule="exact"/>
        <w:ind w:firstLine="640" w:firstLineChars="200"/>
        <w:rPr>
          <w:rFonts w:hint="eastAsia" w:ascii="黑体" w:hAnsi="宋体" w:eastAsia="黑体" w:cs="Times New Roman"/>
          <w:sz w:val="32"/>
          <w:szCs w:val="32"/>
          <w:lang w:val="zh-CN"/>
        </w:rPr>
      </w:pPr>
      <w:r>
        <w:rPr>
          <w:rFonts w:hint="eastAsia" w:ascii="黑体" w:hAnsi="宋体" w:eastAsia="黑体" w:cs="Times New Roman"/>
          <w:sz w:val="32"/>
          <w:szCs w:val="32"/>
          <w:lang w:val="zh-CN"/>
        </w:rPr>
        <w:t>一、项目概况</w:t>
      </w:r>
    </w:p>
    <w:p>
      <w:pPr>
        <w:widowControl/>
        <w:adjustRightInd w:val="0"/>
        <w:snapToGrid w:val="0"/>
        <w:spacing w:line="578" w:lineRule="exact"/>
        <w:ind w:firstLine="642" w:firstLineChars="200"/>
        <w:contextualSpacing/>
        <w:jc w:val="left"/>
        <w:rPr>
          <w:rFonts w:hint="eastAsia"/>
          <w:lang w:val="zh-CN"/>
        </w:rPr>
      </w:pPr>
      <w:r>
        <w:rPr>
          <w:rFonts w:hint="eastAsia" w:ascii="楷体_GB2312" w:hAnsi="宋体" w:eastAsia="楷体_GB2312" w:cs="Times New Roman"/>
          <w:b/>
          <w:sz w:val="32"/>
          <w:szCs w:val="32"/>
          <w:lang w:val="zh-CN"/>
        </w:rPr>
        <w:t>（一）设立背景及基本情况。</w:t>
      </w:r>
      <w:r>
        <w:rPr>
          <w:rFonts w:hint="eastAsia" w:ascii="Times New Roman" w:hAnsi="Times New Roman" w:eastAsia="仿宋_GB2312" w:cs="Times New Roman"/>
          <w:sz w:val="32"/>
          <w:szCs w:val="32"/>
        </w:rPr>
        <w:t>本项目的主要内容是为维护人事考试工作人员的劳动权益，保障人事考试工作安全平稳运行。</w:t>
      </w:r>
    </w:p>
    <w:p>
      <w:pPr>
        <w:adjustRightInd w:val="0"/>
        <w:snapToGrid w:val="0"/>
        <w:spacing w:line="578" w:lineRule="exact"/>
        <w:ind w:firstLine="642" w:firstLineChars="200"/>
        <w:rPr>
          <w:rFonts w:hint="eastAsia" w:ascii="Times New Roman" w:hAnsi="Times New Roman" w:eastAsia="仿宋_GB2312" w:cs="Times New Roman"/>
          <w:sz w:val="32"/>
          <w:szCs w:val="32"/>
          <w:lang w:val="zh-CN"/>
        </w:rPr>
      </w:pPr>
      <w:r>
        <w:rPr>
          <w:rFonts w:hint="eastAsia" w:ascii="楷体_GB2312" w:hAnsi="宋体" w:eastAsia="楷体_GB2312" w:cs="Times New Roman"/>
          <w:b/>
          <w:sz w:val="32"/>
          <w:szCs w:val="32"/>
          <w:lang w:val="zh-CN"/>
        </w:rPr>
        <w:t>（二）实施目的及支持方向。</w:t>
      </w:r>
      <w:r>
        <w:rPr>
          <w:rFonts w:hint="eastAsia" w:ascii="Times New Roman" w:hAnsi="Times New Roman" w:eastAsia="仿宋_GB2312" w:cs="Times New Roman"/>
          <w:sz w:val="32"/>
          <w:szCs w:val="32"/>
        </w:rPr>
        <w:t>维护人事考试工作人员的劳动权益，保障人事考试工作安全平稳运行。</w:t>
      </w:r>
    </w:p>
    <w:p>
      <w:pPr>
        <w:widowControl/>
        <w:adjustRightInd w:val="0"/>
        <w:snapToGrid w:val="0"/>
        <w:spacing w:line="578" w:lineRule="exact"/>
        <w:ind w:firstLine="642" w:firstLineChars="200"/>
        <w:contextualSpacing/>
        <w:jc w:val="left"/>
        <w:rPr>
          <w:rFonts w:hint="default" w:ascii="Times New Roman" w:hAnsi="Times New Roman" w:eastAsia="仿宋_GB2312" w:cs="Times New Roman"/>
          <w:sz w:val="32"/>
          <w:szCs w:val="32"/>
          <w:lang w:val="en-US" w:eastAsia="zh-CN"/>
        </w:rPr>
      </w:pPr>
      <w:r>
        <w:rPr>
          <w:rFonts w:hint="eastAsia" w:ascii="楷体_GB2312" w:hAnsi="宋体" w:eastAsia="楷体_GB2312" w:cs="Times New Roman"/>
          <w:b/>
          <w:sz w:val="32"/>
          <w:szCs w:val="32"/>
          <w:lang w:val="zh-CN"/>
        </w:rPr>
        <w:t>（三）预算安排及分配管理。</w:t>
      </w:r>
      <w:r>
        <w:rPr>
          <w:rFonts w:hint="eastAsia" w:ascii="Times New Roman" w:hAnsi="Times New Roman" w:eastAsia="仿宋_GB2312" w:cs="Times New Roman"/>
          <w:sz w:val="32"/>
          <w:szCs w:val="32"/>
        </w:rPr>
        <w:t>按照《阿坝州人力资源和社会保障局人事考试等劳务费支出标准》</w:t>
      </w:r>
      <w:r>
        <w:rPr>
          <w:rFonts w:hint="eastAsia" w:ascii="Times New Roman" w:hAnsi="Times New Roman" w:eastAsia="仿宋_GB2312" w:cs="Times New Roman"/>
          <w:sz w:val="32"/>
          <w:szCs w:val="32"/>
          <w:lang w:val="en-US" w:eastAsia="zh-CN"/>
        </w:rPr>
        <w:t>。</w:t>
      </w:r>
    </w:p>
    <w:p>
      <w:pPr>
        <w:adjustRightInd w:val="0"/>
        <w:snapToGrid w:val="0"/>
        <w:spacing w:line="578" w:lineRule="exact"/>
        <w:ind w:firstLine="642" w:firstLineChars="200"/>
        <w:rPr>
          <w:rFonts w:hint="eastAsia" w:ascii="Times New Roman" w:hAnsi="Times New Roman" w:eastAsia="仿宋_GB2312" w:cs="Times New Roman"/>
          <w:sz w:val="32"/>
          <w:szCs w:val="32"/>
          <w:lang w:val="zh-CN" w:eastAsia="zh-CN"/>
        </w:rPr>
      </w:pPr>
      <w:r>
        <w:rPr>
          <w:rFonts w:hint="eastAsia" w:ascii="楷体_GB2312" w:hAnsi="宋体" w:eastAsia="楷体_GB2312" w:cs="Times New Roman"/>
          <w:b/>
          <w:sz w:val="32"/>
          <w:szCs w:val="32"/>
          <w:lang w:val="zh-CN"/>
        </w:rPr>
        <w:t>（四）项目绩效目标设置。</w:t>
      </w:r>
      <w:r>
        <w:rPr>
          <w:rFonts w:hint="eastAsia" w:ascii="Times New Roman" w:hAnsi="Times New Roman" w:eastAsia="仿宋_GB2312" w:cs="Times New Roman"/>
          <w:sz w:val="32"/>
          <w:szCs w:val="32"/>
          <w:lang w:val="zh-CN"/>
        </w:rPr>
        <w:t>根据招考及报考人数安排各监考工作人员数量</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zh-CN"/>
        </w:rPr>
        <w:t>维护人事考试工作人员的劳动权益，保障</w:t>
      </w:r>
      <w:r>
        <w:rPr>
          <w:rFonts w:hint="eastAsia" w:ascii="Times New Roman" w:hAnsi="Times New Roman" w:eastAsia="仿宋_GB2312" w:cs="Times New Roman"/>
          <w:sz w:val="32"/>
          <w:szCs w:val="32"/>
        </w:rPr>
        <w:t>人事考试工作安全平稳运行。</w:t>
      </w:r>
    </w:p>
    <w:p>
      <w:pPr>
        <w:adjustRightInd w:val="0"/>
        <w:snapToGrid w:val="0"/>
        <w:spacing w:line="578" w:lineRule="exact"/>
        <w:ind w:firstLine="640" w:firstLineChars="200"/>
        <w:rPr>
          <w:rFonts w:ascii="黑体" w:hAnsi="宋体" w:eastAsia="黑体"/>
        </w:rPr>
      </w:pPr>
      <w:r>
        <w:rPr>
          <w:rFonts w:hint="eastAsia" w:ascii="黑体" w:hAnsi="宋体" w:eastAsia="黑体" w:cs="Times New Roman"/>
          <w:sz w:val="32"/>
          <w:szCs w:val="32"/>
          <w:lang w:val="zh-CN"/>
        </w:rPr>
        <w:t>二、评价实施</w:t>
      </w:r>
    </w:p>
    <w:p>
      <w:pPr>
        <w:spacing w:line="560" w:lineRule="exact"/>
        <w:ind w:left="49" w:firstLine="642" w:firstLineChars="200"/>
        <w:rPr>
          <w:rFonts w:hint="eastAsia" w:ascii="Times New Roman" w:hAnsi="Times New Roman" w:eastAsia="仿宋_GB2312" w:cs="Times New Roman"/>
          <w:sz w:val="32"/>
          <w:szCs w:val="32"/>
          <w:lang w:val="zh-CN"/>
        </w:rPr>
      </w:pPr>
      <w:r>
        <w:rPr>
          <w:rFonts w:hint="eastAsia" w:ascii="楷体_GB2312" w:hAnsi="宋体" w:eastAsia="楷体_GB2312" w:cs="Times New Roman"/>
          <w:b/>
          <w:sz w:val="32"/>
          <w:szCs w:val="32"/>
          <w:lang w:val="zh-CN"/>
        </w:rPr>
        <w:t>（一）评价目的。</w:t>
      </w:r>
      <w:r>
        <w:rPr>
          <w:rFonts w:hint="eastAsia" w:ascii="Times New Roman" w:hAnsi="Times New Roman" w:eastAsia="仿宋_GB2312" w:cs="Times New Roman"/>
          <w:sz w:val="32"/>
          <w:szCs w:val="32"/>
          <w:lang w:val="zh-CN"/>
        </w:rPr>
        <w:t>进一步优化完善实施方案和绩效目标，加强运行监控，节约财政资金并提升资金效益，提升预算绩效管理水平。</w:t>
      </w:r>
    </w:p>
    <w:p>
      <w:pPr>
        <w:spacing w:line="560" w:lineRule="exact"/>
        <w:ind w:left="49" w:firstLine="642" w:firstLineChars="200"/>
        <w:rPr>
          <w:rFonts w:hint="eastAsia" w:ascii="Times New Roman" w:hAnsi="Times New Roman" w:eastAsia="仿宋_GB2312" w:cs="Times New Roman"/>
          <w:sz w:val="32"/>
          <w:szCs w:val="32"/>
          <w:lang w:val="zh-CN"/>
        </w:rPr>
      </w:pPr>
      <w:r>
        <w:rPr>
          <w:rFonts w:hint="eastAsia" w:ascii="楷体_GB2312" w:hAnsi="宋体" w:eastAsia="楷体_GB2312" w:cs="Times New Roman"/>
          <w:b/>
          <w:sz w:val="32"/>
          <w:szCs w:val="32"/>
          <w:lang w:val="zh-CN"/>
        </w:rPr>
        <w:t>（二）预设问题及评价重点。</w:t>
      </w:r>
      <w:r>
        <w:rPr>
          <w:rFonts w:hint="eastAsia" w:ascii="Times New Roman" w:hAnsi="Times New Roman" w:eastAsia="仿宋_GB2312" w:cs="Times New Roman"/>
          <w:sz w:val="32"/>
          <w:szCs w:val="32"/>
          <w:lang w:val="zh-CN"/>
        </w:rPr>
        <w:t>资金支出</w:t>
      </w:r>
      <w:r>
        <w:rPr>
          <w:rFonts w:hint="eastAsia" w:ascii="Times New Roman" w:hAnsi="Times New Roman" w:eastAsia="仿宋_GB2312" w:cs="Times New Roman"/>
          <w:sz w:val="32"/>
          <w:szCs w:val="32"/>
          <w:lang w:val="zh-CN" w:eastAsia="zh-CN"/>
        </w:rPr>
        <w:t>范围、程序是否合规</w:t>
      </w:r>
      <w:r>
        <w:rPr>
          <w:rFonts w:hint="eastAsia" w:ascii="Times New Roman" w:hAnsi="Times New Roman" w:eastAsia="仿宋_GB2312" w:cs="Times New Roman"/>
          <w:sz w:val="32"/>
          <w:szCs w:val="32"/>
          <w:lang w:val="zh-CN"/>
        </w:rPr>
        <w:t>。</w:t>
      </w:r>
    </w:p>
    <w:p>
      <w:pPr>
        <w:spacing w:line="560" w:lineRule="exact"/>
        <w:ind w:left="49" w:firstLine="642" w:firstLineChars="200"/>
        <w:rPr>
          <w:rFonts w:hint="eastAsia" w:ascii="Times New Roman" w:hAnsi="Times New Roman" w:eastAsia="仿宋_GB2312" w:cs="Times New Roman"/>
          <w:sz w:val="32"/>
          <w:szCs w:val="32"/>
          <w:lang w:val="zh-CN"/>
        </w:rPr>
      </w:pPr>
      <w:r>
        <w:rPr>
          <w:rFonts w:hint="eastAsia" w:ascii="楷体_GB2312" w:hAnsi="宋体" w:eastAsia="楷体_GB2312" w:cs="Times New Roman"/>
          <w:b/>
          <w:sz w:val="32"/>
          <w:szCs w:val="32"/>
          <w:lang w:val="zh-CN"/>
        </w:rPr>
        <w:t>（三）评价选点。</w:t>
      </w:r>
      <w:r>
        <w:rPr>
          <w:rFonts w:hint="eastAsia" w:ascii="Times New Roman" w:hAnsi="Times New Roman" w:eastAsia="仿宋_GB2312" w:cs="Times New Roman"/>
          <w:sz w:val="32"/>
          <w:szCs w:val="32"/>
          <w:lang w:val="zh-CN"/>
        </w:rPr>
        <w:t>人事考试工作人员的劳动权益。</w:t>
      </w:r>
    </w:p>
    <w:p>
      <w:pPr>
        <w:spacing w:line="578" w:lineRule="exact"/>
        <w:ind w:firstLine="640"/>
        <w:rPr>
          <w:rFonts w:hint="eastAsia" w:ascii="Times New Roman" w:hAnsi="Times New Roman" w:eastAsia="仿宋_GB2312" w:cs="Times New Roman"/>
          <w:sz w:val="32"/>
          <w:szCs w:val="32"/>
          <w:lang w:val="zh-CN"/>
        </w:rPr>
      </w:pPr>
      <w:r>
        <w:rPr>
          <w:rFonts w:hint="eastAsia" w:ascii="楷体_GB2312" w:hAnsi="宋体" w:eastAsia="楷体_GB2312" w:cs="Times New Roman"/>
          <w:b/>
          <w:sz w:val="32"/>
          <w:szCs w:val="32"/>
          <w:lang w:val="zh-CN"/>
        </w:rPr>
        <w:t>（四）评价方法。</w:t>
      </w:r>
      <w:r>
        <w:rPr>
          <w:rFonts w:hint="eastAsia" w:ascii="Times New Roman" w:hAnsi="Times New Roman" w:eastAsia="仿宋_GB2312" w:cs="Times New Roman"/>
          <w:sz w:val="32"/>
          <w:szCs w:val="32"/>
          <w:lang w:val="zh-CN"/>
        </w:rPr>
        <w:t>根据项目情况和评价重点，采用单位自评法、问卷调查法来收集相关材料和开展具体评价。</w:t>
      </w:r>
    </w:p>
    <w:p>
      <w:pPr>
        <w:spacing w:line="578" w:lineRule="exact"/>
        <w:ind w:firstLine="640"/>
        <w:rPr>
          <w:bCs/>
        </w:rPr>
      </w:pPr>
      <w:r>
        <w:rPr>
          <w:rFonts w:hint="eastAsia" w:ascii="楷体_GB2312" w:hAnsi="宋体" w:eastAsia="楷体_GB2312" w:cs="Times New Roman"/>
          <w:b/>
          <w:sz w:val="32"/>
          <w:szCs w:val="32"/>
          <w:lang w:val="zh-CN"/>
        </w:rPr>
        <w:t>（五）评价组织。</w:t>
      </w:r>
      <w:r>
        <w:rPr>
          <w:rFonts w:hint="eastAsia" w:ascii="Times New Roman" w:hAnsi="Times New Roman" w:eastAsia="仿宋_GB2312" w:cs="Times New Roman"/>
          <w:sz w:val="32"/>
          <w:szCs w:val="32"/>
          <w:lang w:val="zh-CN" w:eastAsia="zh-CN"/>
        </w:rPr>
        <w:t>成立以分管领导为组长，各部门负责人为成员的考务费绩效评价领导小组，领导小组设办公室于治安大队，治安大队长兼任办公室主任，负责对考务费情况进行评价。</w:t>
      </w:r>
    </w:p>
    <w:p>
      <w:pPr>
        <w:adjustRightInd w:val="0"/>
        <w:snapToGrid w:val="0"/>
        <w:spacing w:line="578" w:lineRule="exact"/>
        <w:ind w:firstLine="640" w:firstLineChars="200"/>
        <w:rPr>
          <w:rFonts w:ascii="仿宋_GB2312" w:hAnsi="宋体"/>
          <w:lang w:val="zh-CN"/>
        </w:rPr>
      </w:pPr>
      <w:r>
        <w:rPr>
          <w:rFonts w:hint="eastAsia" w:ascii="黑体" w:hAnsi="宋体" w:eastAsia="黑体" w:cs="Times New Roman"/>
          <w:sz w:val="32"/>
          <w:szCs w:val="32"/>
          <w:lang w:val="zh-CN"/>
        </w:rPr>
        <w:t>三、绩效分析</w:t>
      </w:r>
      <w:r>
        <w:rPr>
          <w:rFonts w:hint="eastAsia" w:ascii="仿宋_GB2312" w:hAnsi="宋体"/>
          <w:lang w:val="zh-CN"/>
        </w:rPr>
        <w:tab/>
      </w:r>
    </w:p>
    <w:p>
      <w:pPr>
        <w:spacing w:line="578" w:lineRule="exact"/>
        <w:ind w:firstLine="64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（一）通用指标绩效分析</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1.项目决策。按照《阿坝州人力资源和社会保障局人事考试等劳务费支出标准》阿州人社办〔2017〕220号文，维护人事考试工作人员的劳动权益，保障人事考试工作安全平稳运行。</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2.项目管理。严格按照县公安局财务制度及内控制度流程支付，专款专用，无挪用情况。</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3.项目实施。该项目支出符合国家财经法规和财务管理制度规定以及有关专项资金管理办法的规定，资金的拨付有完整的审批程序和手续，不存在截留、挤占、挪用、虚列支出等情况。</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4.项目结果。切实维护了人事考试工作人员的劳动权益，保障了人事考试工作安全平稳运行。</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楷体_GB2312" w:hAnsi="宋体" w:eastAsia="楷体_GB2312" w:cs="Times New Roman"/>
          <w:b/>
          <w:sz w:val="32"/>
          <w:szCs w:val="32"/>
          <w:lang w:val="zh-CN"/>
        </w:rPr>
        <w:t>（二）专用指标绩效分析</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1.产业发展。无</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2.民生保障。无</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3.基础设施。无</w:t>
      </w:r>
    </w:p>
    <w:p>
      <w:pPr>
        <w:spacing w:line="578" w:lineRule="exact"/>
        <w:ind w:firstLine="64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4.行政运转。该项目支出符合国家财经法规和财务管理制度规定以及有关专项资金管理办法的规定，按规定用途、适用范围管理，资金管理程序符合专项资金管理要求，资金分配标准符合专项资金管理要求。</w:t>
      </w:r>
    </w:p>
    <w:p>
      <w:pPr>
        <w:adjustRightInd w:val="0"/>
        <w:snapToGrid w:val="0"/>
        <w:spacing w:line="578" w:lineRule="exact"/>
        <w:ind w:firstLine="640" w:firstLineChars="200"/>
        <w:rPr>
          <w:rFonts w:hint="eastAsia" w:ascii="黑体" w:hAnsi="宋体" w:eastAsia="黑体" w:cs="Times New Roman"/>
          <w:sz w:val="32"/>
          <w:szCs w:val="32"/>
          <w:lang w:val="zh-CN" w:eastAsia="zh-CN"/>
        </w:rPr>
      </w:pPr>
      <w:r>
        <w:rPr>
          <w:rFonts w:hint="eastAsia" w:ascii="黑体" w:hAnsi="宋体" w:eastAsia="黑体" w:cs="Times New Roman"/>
          <w:sz w:val="32"/>
          <w:szCs w:val="32"/>
          <w:lang w:val="zh-CN" w:eastAsia="zh-CN"/>
        </w:rPr>
        <w:t>四、评价结论</w:t>
      </w:r>
    </w:p>
    <w:p>
      <w:pPr>
        <w:pStyle w:val="6"/>
        <w:tabs>
          <w:tab w:val="left" w:pos="2160"/>
        </w:tabs>
        <w:spacing w:line="600" w:lineRule="exact"/>
        <w:ind w:firstLine="640" w:firstLineChars="200"/>
        <w:rPr>
          <w:rFonts w:ascii="黑体" w:hAnsi="黑体" w:cs="黑体"/>
          <w:kern w:val="2"/>
          <w:position w:val="0"/>
          <w:sz w:val="32"/>
          <w:szCs w:val="32"/>
          <w:lang w:eastAsia="zh-CN"/>
        </w:rPr>
      </w:pPr>
      <w:r>
        <w:rPr>
          <w:rFonts w:hint="eastAsia" w:ascii="仿宋_GB2312" w:hAnsi="仿宋" w:eastAsia="仿宋_GB2312" w:cs="仿宋_GB2312"/>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自评得分</w:t>
      </w:r>
      <w:r>
        <w:rPr>
          <w:rFonts w:hint="eastAsia" w:ascii="仿宋_GB2312" w:hAnsi="仿宋" w:cs="仿宋_GB2312"/>
          <w:kern w:val="0"/>
          <w:sz w:val="32"/>
          <w:szCs w:val="32"/>
          <w:lang w:val="en-US" w:eastAsia="zh-CN"/>
        </w:rPr>
        <w:t>89</w:t>
      </w:r>
      <w:r>
        <w:rPr>
          <w:rFonts w:hint="eastAsia" w:ascii="仿宋_GB2312" w:hAnsi="仿宋" w:eastAsia="仿宋_GB2312" w:cs="仿宋_GB2312"/>
          <w:kern w:val="0"/>
          <w:sz w:val="32"/>
          <w:szCs w:val="32"/>
        </w:rPr>
        <w:t>分。</w:t>
      </w:r>
    </w:p>
    <w:p>
      <w:pPr>
        <w:adjustRightInd w:val="0"/>
        <w:snapToGrid w:val="0"/>
        <w:spacing w:line="578" w:lineRule="exact"/>
        <w:ind w:firstLine="640" w:firstLineChars="200"/>
        <w:rPr>
          <w:rFonts w:hint="eastAsia" w:ascii="黑体" w:hAnsi="宋体" w:eastAsia="黑体" w:cs="Times New Roman"/>
          <w:sz w:val="32"/>
          <w:szCs w:val="32"/>
          <w:lang w:val="zh-CN" w:eastAsia="zh-CN"/>
        </w:rPr>
      </w:pPr>
      <w:r>
        <w:rPr>
          <w:rFonts w:hint="eastAsia" w:ascii="黑体" w:hAnsi="宋体" w:eastAsia="黑体" w:cs="Times New Roman"/>
          <w:sz w:val="32"/>
          <w:szCs w:val="32"/>
          <w:lang w:val="zh-CN" w:eastAsia="zh-CN"/>
        </w:rPr>
        <w:t>五、存在主要问题</w:t>
      </w:r>
    </w:p>
    <w:p>
      <w:pPr>
        <w:widowControl/>
        <w:adjustRightInd w:val="0"/>
        <w:snapToGrid w:val="0"/>
        <w:spacing w:line="580" w:lineRule="exact"/>
        <w:ind w:firstLine="640" w:firstLineChars="200"/>
        <w:jc w:val="left"/>
        <w:rPr>
          <w:rFonts w:eastAsia="楷体_GB2312"/>
          <w:b/>
          <w:bCs/>
          <w:color w:val="000000"/>
          <w:kern w:val="0"/>
          <w:szCs w:val="32"/>
          <w:shd w:val="clear" w:color="auto" w:fill="FFFFFF"/>
        </w:rPr>
      </w:pPr>
      <w:r>
        <w:rPr>
          <w:rFonts w:hint="eastAsia" w:ascii="仿宋_GB2312" w:hAnsi="仿宋" w:eastAsia="仿宋_GB2312" w:cs="仿宋_GB2312"/>
          <w:kern w:val="0"/>
          <w:sz w:val="32"/>
          <w:szCs w:val="32"/>
        </w:rPr>
        <w:t>由于对支出绩效评价工作的重要性还认识不够，因此对绩效评价工作的重视度还不够，部分项目支出绩效指标无法用量化指标来进行考评。</w:t>
      </w:r>
    </w:p>
    <w:p>
      <w:pPr>
        <w:adjustRightInd w:val="0"/>
        <w:snapToGrid w:val="0"/>
        <w:spacing w:line="578" w:lineRule="exact"/>
        <w:ind w:firstLine="640" w:firstLineChars="200"/>
        <w:rPr>
          <w:rFonts w:hint="eastAsia" w:ascii="黑体" w:hAnsi="宋体" w:eastAsia="黑体" w:cs="Times New Roman"/>
          <w:sz w:val="32"/>
          <w:szCs w:val="32"/>
          <w:lang w:val="zh-CN" w:eastAsia="zh-CN"/>
        </w:rPr>
      </w:pPr>
      <w:r>
        <w:rPr>
          <w:rFonts w:hint="eastAsia" w:ascii="黑体" w:hAnsi="宋体" w:eastAsia="黑体" w:cs="Times New Roman"/>
          <w:sz w:val="32"/>
          <w:szCs w:val="32"/>
          <w:lang w:val="zh-CN" w:eastAsia="zh-CN"/>
        </w:rPr>
        <w:t>六、改进建议</w:t>
      </w:r>
    </w:p>
    <w:p>
      <w:pPr>
        <w:pStyle w:val="6"/>
        <w:pageBreakBefore w:val="0"/>
        <w:kinsoku/>
        <w:wordWrap/>
        <w:overflowPunct/>
        <w:topLinePunct w:val="0"/>
        <w:bidi w:val="0"/>
        <w:spacing w:line="560" w:lineRule="exact"/>
        <w:ind w:firstLine="420"/>
        <w:textAlignment w:val="auto"/>
        <w:rPr>
          <w:rFonts w:hint="eastAsia" w:ascii="仿宋_GB2312" w:hAnsi="宋体" w:eastAsia="仿宋_GB2312" w:cs="仿宋_GB2312"/>
          <w:color w:val="000000"/>
          <w:kern w:val="0"/>
          <w:sz w:val="32"/>
          <w:szCs w:val="32"/>
          <w:shd w:val="clear" w:color="auto" w:fill="FFFFFF"/>
          <w:lang w:val="en-US" w:eastAsia="zh-CN"/>
        </w:rPr>
      </w:pPr>
      <w:r>
        <w:rPr>
          <w:rFonts w:hint="eastAsia" w:ascii="仿宋_GB2312" w:hAnsi="仿宋_GB2312" w:cs="仿宋_GB2312"/>
          <w:kern w:val="0"/>
          <w:shd w:val="clear" w:color="auto" w:fill="FFFFFF"/>
          <w:lang w:val="zh-CN"/>
        </w:rPr>
        <w:t xml:space="preserve"> </w:t>
      </w:r>
      <w:r>
        <w:rPr>
          <w:rFonts w:hint="eastAsia" w:ascii="仿宋_GB2312" w:hAnsi="仿宋_GB2312" w:cs="仿宋_GB2312"/>
          <w:kern w:val="0"/>
        </w:rPr>
        <w:t xml:space="preserve"> </w:t>
      </w:r>
      <w:r>
        <w:rPr>
          <w:rFonts w:ascii="仿宋_GB2312" w:hAnsi="宋体" w:eastAsia="仿宋_GB2312" w:cs="仿宋_GB2312"/>
          <w:color w:val="000000"/>
          <w:kern w:val="0"/>
          <w:sz w:val="32"/>
          <w:szCs w:val="32"/>
          <w:shd w:val="clear" w:color="auto" w:fill="FFFFFF"/>
          <w:lang w:val="zh-CN"/>
        </w:rPr>
        <w:t>针对</w:t>
      </w:r>
      <w:r>
        <w:rPr>
          <w:rFonts w:hint="eastAsia" w:ascii="仿宋_GB2312" w:hAnsi="宋体" w:eastAsia="仿宋_GB2312" w:cs="仿宋_GB2312"/>
          <w:color w:val="000000"/>
          <w:kern w:val="0"/>
          <w:sz w:val="32"/>
          <w:szCs w:val="32"/>
          <w:shd w:val="clear" w:color="auto" w:fill="FFFFFF"/>
          <w:lang w:val="zh-CN"/>
        </w:rPr>
        <w:t>存在的问题，我们将进一步科学设定绩效目标，加强预算执行管理。遵循先有预算、后有支出的原则，加强《新预算法》《政府会计制度》等学习培训，规范部门预算收支核算，加强财务管理和内部控制监督制度。</w:t>
      </w:r>
    </w:p>
    <w:p>
      <w:pPr>
        <w:pStyle w:val="6"/>
        <w:pageBreakBefore w:val="0"/>
        <w:kinsoku/>
        <w:wordWrap/>
        <w:overflowPunct/>
        <w:topLinePunct w:val="0"/>
        <w:bidi w:val="0"/>
        <w:spacing w:line="560" w:lineRule="exact"/>
        <w:ind w:firstLine="420"/>
        <w:textAlignment w:val="auto"/>
        <w:rPr>
          <w:rFonts w:hint="eastAsia" w:ascii="仿宋_GB2312" w:hAnsi="宋体" w:eastAsia="仿宋_GB2312" w:cs="仿宋_GB2312"/>
          <w:color w:val="000000"/>
          <w:kern w:val="0"/>
          <w:sz w:val="32"/>
          <w:szCs w:val="32"/>
          <w:shd w:val="clear" w:color="auto" w:fill="FFFFFF"/>
          <w:lang w:val="en-US" w:eastAsia="zh-CN"/>
        </w:rPr>
      </w:pPr>
    </w:p>
    <w:p>
      <w:pPr>
        <w:pStyle w:val="26"/>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lang w:val="en-US" w:eastAsia="zh-CN"/>
        </w:rPr>
        <w:t>包虫病经费</w:t>
      </w:r>
      <w:r>
        <w:rPr>
          <w:rFonts w:hint="eastAsia" w:ascii="方正小标宋简体" w:hAnsi="方正小标宋简体" w:eastAsia="方正小标宋简体" w:cs="方正小标宋简体"/>
          <w:color w:val="auto"/>
          <w:kern w:val="2"/>
          <w:sz w:val="44"/>
          <w:szCs w:val="44"/>
          <w:highlight w:val="none"/>
          <w:lang w:val="en-US" w:eastAsia="zh-CN"/>
        </w:rPr>
        <w:t>项目绩效评价报告</w:t>
      </w:r>
    </w:p>
    <w:p>
      <w:pPr>
        <w:pStyle w:val="26"/>
        <w:keepNext w:val="0"/>
        <w:keepLines w:val="0"/>
        <w:pageBreakBefore w:val="0"/>
        <w:widowControl w:val="0"/>
        <w:kinsoku/>
        <w:wordWrap/>
        <w:overflowPunct/>
        <w:topLinePunct w:val="0"/>
        <w:autoSpaceDE/>
        <w:autoSpaceDN/>
        <w:bidi w:val="0"/>
        <w:spacing w:line="560" w:lineRule="exact"/>
        <w:ind w:left="0" w:leftChars="0" w:firstLine="640"/>
        <w:jc w:val="center"/>
        <w:textAlignment w:val="auto"/>
        <w:rPr>
          <w:rFonts w:ascii="宋体" w:hAnsi="宋体"/>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pPr>
        <w:pageBreakBefore w:val="0"/>
        <w:widowControl/>
        <w:kinsoku/>
        <w:wordWrap/>
        <w:overflowPunct/>
        <w:topLinePunct w:val="0"/>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（一）设立背景及基本情况。</w:t>
      </w:r>
      <w:r>
        <w:rPr>
          <w:rFonts w:hint="default" w:ascii="仿宋_GB2312" w:hAnsi="仿宋_GB2312" w:eastAsia="仿宋_GB2312" w:cs="仿宋_GB2312"/>
          <w:b w:val="0"/>
          <w:bCs w:val="0"/>
          <w:kern w:val="0"/>
          <w:position w:val="0"/>
          <w:sz w:val="32"/>
          <w:szCs w:val="32"/>
          <w:highlight w:val="none"/>
          <w:lang w:val="zh-CN" w:eastAsia="zh-CN" w:bidi="ar-SA"/>
        </w:rPr>
        <w:t>随着</w:t>
      </w:r>
      <w:r>
        <w:rPr>
          <w:rFonts w:hint="eastAsia" w:ascii="仿宋_GB2312" w:hAnsi="仿宋_GB2312" w:eastAsia="仿宋_GB2312" w:cs="仿宋_GB2312"/>
          <w:b w:val="0"/>
          <w:bCs w:val="0"/>
          <w:kern w:val="0"/>
          <w:position w:val="0"/>
          <w:sz w:val="32"/>
          <w:szCs w:val="32"/>
          <w:highlight w:val="none"/>
          <w:lang w:val="zh-CN" w:eastAsia="zh-CN" w:bidi="ar-SA"/>
        </w:rPr>
        <w:t>我州</w:t>
      </w:r>
      <w:r>
        <w:rPr>
          <w:rFonts w:hint="default" w:ascii="仿宋_GB2312" w:hAnsi="仿宋_GB2312" w:eastAsia="仿宋_GB2312" w:cs="仿宋_GB2312"/>
          <w:b w:val="0"/>
          <w:bCs w:val="0"/>
          <w:kern w:val="0"/>
          <w:position w:val="0"/>
          <w:sz w:val="32"/>
          <w:szCs w:val="32"/>
          <w:highlight w:val="none"/>
          <w:lang w:val="zh-CN" w:eastAsia="zh-CN" w:bidi="ar-SA"/>
        </w:rPr>
        <w:t>传染病形势的日益严峻，以及本县人口流动的增加和生态环境的变化，传染病的防控压力不断增大。为有效应对可能出现的重大传染病疫情，保障居民的生命健康</w:t>
      </w:r>
      <w:r>
        <w:rPr>
          <w:rFonts w:hint="eastAsia" w:ascii="仿宋_GB2312" w:hAnsi="仿宋_GB2312" w:eastAsia="仿宋_GB2312" w:cs="仿宋_GB2312"/>
          <w:b w:val="0"/>
          <w:bCs w:val="0"/>
          <w:kern w:val="0"/>
          <w:position w:val="0"/>
          <w:sz w:val="32"/>
          <w:szCs w:val="32"/>
          <w:highlight w:val="none"/>
          <w:lang w:val="zh-CN" w:eastAsia="zh-CN" w:bidi="ar-SA"/>
        </w:rPr>
        <w:t>。提高养犬登记办证率、文明规范养犬；减少流浪犬、无主犬和犬伤人、扰民的问题，普及包虫病防治知识。</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2" w:firstLineChars="200"/>
        <w:contextualSpacing/>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default" w:ascii="仿宋_GB2312" w:hAnsi="仿宋_GB2312" w:eastAsia="仿宋_GB2312" w:cs="仿宋_GB2312"/>
          <w:b w:val="0"/>
          <w:bCs w:val="0"/>
          <w:kern w:val="0"/>
          <w:position w:val="0"/>
          <w:sz w:val="32"/>
          <w:szCs w:val="32"/>
          <w:highlight w:val="none"/>
          <w:lang w:val="zh-CN" w:eastAsia="zh-CN" w:bidi="ar-SA"/>
        </w:rPr>
        <w:t>提高</w:t>
      </w:r>
      <w:r>
        <w:rPr>
          <w:rFonts w:hint="eastAsia" w:ascii="仿宋_GB2312" w:hAnsi="仿宋_GB2312" w:eastAsia="仿宋_GB2312" w:cs="仿宋_GB2312"/>
          <w:b w:val="0"/>
          <w:bCs w:val="0"/>
          <w:kern w:val="0"/>
          <w:position w:val="0"/>
          <w:sz w:val="32"/>
          <w:szCs w:val="32"/>
          <w:highlight w:val="none"/>
          <w:lang w:val="zh-CN" w:eastAsia="zh-CN" w:bidi="ar-SA"/>
        </w:rPr>
        <w:t>我县</w:t>
      </w:r>
      <w:r>
        <w:rPr>
          <w:rFonts w:hint="default" w:ascii="仿宋_GB2312" w:hAnsi="仿宋_GB2312" w:eastAsia="仿宋_GB2312" w:cs="仿宋_GB2312"/>
          <w:b w:val="0"/>
          <w:bCs w:val="0"/>
          <w:kern w:val="0"/>
          <w:position w:val="0"/>
          <w:sz w:val="32"/>
          <w:szCs w:val="32"/>
          <w:highlight w:val="none"/>
          <w:lang w:val="zh-CN" w:eastAsia="zh-CN" w:bidi="ar-SA"/>
        </w:rPr>
        <w:t>重大传染病的预防控制</w:t>
      </w:r>
      <w:r>
        <w:rPr>
          <w:rFonts w:hint="eastAsia" w:ascii="仿宋_GB2312" w:hAnsi="仿宋_GB2312" w:eastAsia="仿宋_GB2312" w:cs="仿宋_GB2312"/>
          <w:b w:val="0"/>
          <w:bCs w:val="0"/>
          <w:kern w:val="0"/>
          <w:position w:val="0"/>
          <w:sz w:val="32"/>
          <w:szCs w:val="32"/>
          <w:highlight w:val="none"/>
          <w:lang w:val="zh-CN" w:eastAsia="zh-CN" w:bidi="ar-SA"/>
        </w:rPr>
        <w:t>，切实保障人民群众的身体健康，</w:t>
      </w:r>
      <w:r>
        <w:rPr>
          <w:rFonts w:hint="default" w:ascii="仿宋_GB2312" w:hAnsi="仿宋_GB2312" w:eastAsia="仿宋_GB2312" w:cs="仿宋_GB2312"/>
          <w:b w:val="0"/>
          <w:bCs w:val="0"/>
          <w:kern w:val="0"/>
          <w:position w:val="0"/>
          <w:sz w:val="32"/>
          <w:szCs w:val="32"/>
          <w:highlight w:val="none"/>
          <w:lang w:val="zh-CN" w:eastAsia="zh-CN" w:bidi="ar-SA"/>
        </w:rPr>
        <w:t>为进一步加强重大传染病防治工作</w:t>
      </w:r>
      <w:r>
        <w:rPr>
          <w:rFonts w:hint="eastAsia" w:ascii="仿宋_GB2312" w:hAnsi="仿宋_GB2312" w:eastAsia="仿宋_GB2312" w:cs="仿宋_GB2312"/>
          <w:b w:val="0"/>
          <w:bCs w:val="0"/>
          <w:kern w:val="0"/>
          <w:position w:val="0"/>
          <w:sz w:val="32"/>
          <w:szCs w:val="32"/>
          <w:highlight w:val="none"/>
          <w:lang w:val="zh-CN" w:eastAsia="zh-CN" w:bidi="ar-SA"/>
        </w:rPr>
        <w:t>，协助开展包虫病防治工作，进行犬只登记、管理。</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firstLine="642" w:firstLineChars="200"/>
        <w:contextualSpacing/>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b w:val="0"/>
          <w:bCs w:val="0"/>
          <w:kern w:val="0"/>
          <w:position w:val="0"/>
          <w:sz w:val="32"/>
          <w:szCs w:val="32"/>
          <w:highlight w:val="none"/>
          <w:lang w:val="zh-CN" w:eastAsia="zh-CN" w:bidi="ar-SA"/>
        </w:rPr>
        <w:t>普及包虫病防治知识宣传费，聘请第三方机构对犬只进行捕捉，支付劳务费。</w:t>
      </w:r>
    </w:p>
    <w:p>
      <w:pPr>
        <w:keepNext w:val="0"/>
        <w:keepLines w:val="0"/>
        <w:pageBreakBefore w:val="0"/>
        <w:kinsoku/>
        <w:wordWrap/>
        <w:overflowPunct/>
        <w:topLinePunct w:val="0"/>
        <w:autoSpaceDE/>
        <w:autoSpaceDN/>
        <w:bidi w:val="0"/>
        <w:adjustRightInd w:val="0"/>
        <w:snapToGrid w:val="0"/>
        <w:spacing w:line="560" w:lineRule="exact"/>
        <w:ind w:left="0" w:leftChars="0" w:firstLine="642" w:firstLineChars="200"/>
        <w:textAlignment w:val="auto"/>
        <w:rPr>
          <w:rFonts w:hint="default"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b w:val="0"/>
          <w:bCs w:val="0"/>
          <w:kern w:val="0"/>
          <w:position w:val="0"/>
          <w:sz w:val="32"/>
          <w:szCs w:val="32"/>
          <w:highlight w:val="none"/>
          <w:lang w:val="zh-CN" w:eastAsia="zh-CN" w:bidi="ar-SA"/>
        </w:rPr>
        <w:t>犬只管理、灭犬情况以及协助开展包虫病防治工作宣传情况。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60" w:lineRule="exact"/>
        <w:ind w:left="0" w:right="0" w:firstLine="642" w:firstLineChars="200"/>
        <w:jc w:val="both"/>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kern w:val="0"/>
          <w:sz w:val="32"/>
          <w:szCs w:val="32"/>
          <w:shd w:val="clear" w:color="auto" w:fill="FFFFFF"/>
          <w:lang w:val="en-US" w:eastAsia="zh-CN" w:bidi="ar-SA"/>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pageBreakBefore w:val="0"/>
        <w:kinsoku/>
        <w:wordWrap/>
        <w:overflowPunct/>
        <w:topLinePunct w:val="0"/>
        <w:bidi w:val="0"/>
        <w:adjustRightInd w:val="0"/>
        <w:snapToGrid w:val="0"/>
        <w:spacing w:line="560" w:lineRule="exact"/>
        <w:ind w:firstLine="642"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color w:val="auto"/>
          <w:kern w:val="0"/>
          <w:sz w:val="32"/>
          <w:szCs w:val="32"/>
          <w:shd w:val="clear" w:color="auto" w:fill="FFFFFF"/>
          <w:lang w:val="en-US" w:eastAsia="zh-CN" w:bidi="ar-SA"/>
        </w:rPr>
        <w:t>资金支出范围、程序合规。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textAlignment w:val="auto"/>
        <w:outlineLvl w:val="9"/>
        <w:rPr>
          <w:rFonts w:hint="eastAsia" w:ascii="仿宋_GB2312" w:hAnsi="仿宋_GB2312" w:eastAsia="仿宋_GB2312" w:cs="仿宋_GB2312"/>
          <w:color w:val="auto"/>
          <w:kern w:val="0"/>
          <w:sz w:val="32"/>
          <w:szCs w:val="32"/>
          <w:shd w:val="clear" w:color="auto" w:fill="FFFFFF"/>
          <w:lang w:val="zh-CN" w:eastAsia="zh-CN" w:bidi="ar-SA"/>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color w:val="auto"/>
          <w:kern w:val="0"/>
          <w:sz w:val="32"/>
          <w:szCs w:val="32"/>
          <w:shd w:val="clear" w:color="auto" w:fill="FFFFFF"/>
          <w:lang w:val="zh-CN" w:eastAsia="zh-CN" w:bidi="ar-SA"/>
        </w:rPr>
        <w:t>犬只捕杀情况。</w:t>
      </w:r>
    </w:p>
    <w:p>
      <w:pPr>
        <w:pageBreakBefore w:val="0"/>
        <w:kinsoku/>
        <w:wordWrap/>
        <w:overflowPunct/>
        <w:topLinePunct w:val="0"/>
        <w:bidi w:val="0"/>
        <w:spacing w:line="560" w:lineRule="exact"/>
        <w:ind w:firstLine="481" w:firstLineChars="150"/>
        <w:textAlignment w:val="auto"/>
        <w:rPr>
          <w:rFonts w:hint="eastAsia" w:ascii="仿宋_GB2312" w:hAnsi="仿宋_GB2312" w:eastAsia="仿宋_GB2312" w:cs="仿宋_GB2312"/>
          <w:color w:val="auto"/>
          <w:kern w:val="0"/>
          <w:sz w:val="32"/>
          <w:szCs w:val="32"/>
          <w:shd w:val="clear" w:color="auto" w:fill="FFFFFF"/>
          <w:lang w:val="zh-CN" w:eastAsia="zh-CN" w:bidi="ar-SA"/>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color w:val="auto"/>
          <w:kern w:val="0"/>
          <w:sz w:val="32"/>
          <w:szCs w:val="32"/>
          <w:shd w:val="clear" w:color="auto" w:fill="FFFFFF"/>
          <w:lang w:val="en-US" w:eastAsia="zh-CN" w:bidi="ar-SA"/>
        </w:rPr>
        <w:t>根据单位自评和现场抽样考核，项目未出现重大调整或无法实施的情况。现场查阅执行文件、会议记录等资料，</w:t>
      </w:r>
      <w:r>
        <w:rPr>
          <w:rFonts w:hint="default" w:ascii="仿宋_GB2312" w:hAnsi="仿宋_GB2312" w:eastAsia="仿宋_GB2312" w:cs="仿宋_GB2312"/>
          <w:color w:val="auto"/>
          <w:kern w:val="0"/>
          <w:sz w:val="32"/>
          <w:szCs w:val="32"/>
          <w:shd w:val="clear" w:color="auto" w:fill="FFFFFF"/>
          <w:lang w:val="en-US" w:eastAsia="zh-CN" w:bidi="ar-SA"/>
        </w:rPr>
        <w:t>了解项目的实施过程和管理情况。</w:t>
      </w:r>
      <w:r>
        <w:rPr>
          <w:rFonts w:hint="eastAsia" w:ascii="仿宋_GB2312" w:hAnsi="仿宋_GB2312" w:eastAsia="仿宋_GB2312" w:cs="仿宋_GB2312"/>
          <w:color w:val="auto"/>
          <w:kern w:val="0"/>
          <w:sz w:val="32"/>
          <w:szCs w:val="32"/>
          <w:shd w:val="clear" w:color="auto" w:fill="FFFFFF"/>
          <w:lang w:val="en-US" w:eastAsia="zh-CN" w:bidi="ar-SA"/>
        </w:rPr>
        <w:t>县公安局召开党委会议，讨论并安排项目相关工作，明确责任，合理分工，为项目顺利实施提供保障。</w:t>
      </w:r>
    </w:p>
    <w:p>
      <w:pPr>
        <w:pageBreakBefore w:val="0"/>
        <w:kinsoku/>
        <w:wordWrap/>
        <w:overflowPunct/>
        <w:topLinePunct w:val="0"/>
        <w:bidi w:val="0"/>
        <w:spacing w:line="560" w:lineRule="exact"/>
        <w:ind w:firstLine="640"/>
        <w:textAlignment w:val="auto"/>
        <w:rPr>
          <w:rFonts w:hint="eastAsia" w:eastAsia="仿宋_GB2312" w:cs="Times New Roman"/>
          <w:bCs/>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color w:val="auto"/>
          <w:kern w:val="0"/>
          <w:sz w:val="32"/>
          <w:szCs w:val="32"/>
          <w:shd w:val="clear" w:color="auto" w:fill="FFFFFF"/>
          <w:lang w:val="en-US" w:eastAsia="zh-CN" w:bidi="ar-SA"/>
        </w:rPr>
        <w:t>成立以分管领导为组长，各部门负责人为成员的包虫病经费绩效评价领导小组，领导小组设办公室于治安大队，治安大队长兼任办公室主任，负责对包虫病经费情况进行评价。</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kinsoku/>
        <w:wordWrap/>
        <w:overflowPunct/>
        <w:topLinePunct w:val="0"/>
        <w:autoSpaceDE/>
        <w:autoSpaceDN/>
        <w:bidi w:val="0"/>
        <w:spacing w:beforeAutospacing="0" w:line="560" w:lineRule="exact"/>
        <w:ind w:firstLine="640" w:firstLineChars="200"/>
        <w:textAlignment w:val="auto"/>
        <w:rPr>
          <w:rFonts w:hint="eastAsia" w:ascii="仿宋_GB2312" w:hAnsi="仿宋_GB2312" w:eastAsia="宋体" w:cs="仿宋_GB2312"/>
          <w:i w:val="0"/>
          <w:iCs w:val="0"/>
          <w:caps w:val="0"/>
          <w:spacing w:val="0"/>
          <w:kern w:val="0"/>
          <w:sz w:val="32"/>
          <w:szCs w:val="32"/>
          <w:shd w:val="clear" w:color="auto" w:fill="FFFFFF"/>
          <w:lang w:val="zh-CN" w:eastAsia="zh-CN" w:bidi="ar"/>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lang w:eastAsia="zh-CN"/>
        </w:rPr>
        <w:t>项目决策。</w:t>
      </w:r>
      <w:r>
        <w:rPr>
          <w:rFonts w:hint="default" w:ascii="仿宋_GB2312" w:hAnsi="仿宋_GB2312" w:eastAsia="仿宋_GB2312" w:cs="仿宋_GB2312"/>
          <w:b w:val="0"/>
          <w:bCs w:val="0"/>
          <w:kern w:val="0"/>
          <w:position w:val="0"/>
          <w:sz w:val="32"/>
          <w:szCs w:val="32"/>
          <w:highlight w:val="none"/>
          <w:lang w:val="en-US" w:eastAsia="zh-CN" w:bidi="ar-SA"/>
        </w:rPr>
        <w:t>项目立项经过了充分的调研和论证，决策程序规范、科学</w:t>
      </w:r>
      <w:r>
        <w:rPr>
          <w:rFonts w:hint="eastAsia" w:ascii="仿宋_GB2312" w:hAnsi="仿宋_GB2312" w:eastAsia="仿宋_GB2312" w:cs="仿宋_GB2312"/>
          <w:b w:val="0"/>
          <w:bCs w:val="0"/>
          <w:kern w:val="0"/>
          <w:position w:val="0"/>
          <w:sz w:val="32"/>
          <w:szCs w:val="32"/>
          <w:highlight w:val="none"/>
          <w:lang w:val="en-US" w:eastAsia="zh-CN" w:bidi="ar-SA"/>
        </w:rPr>
        <w:t>，项目规划符合国家和地方重大</w:t>
      </w:r>
      <w:r>
        <w:rPr>
          <w:rFonts w:hint="default" w:ascii="仿宋_GB2312" w:hAnsi="仿宋_GB2312" w:eastAsia="仿宋_GB2312" w:cs="仿宋_GB2312"/>
          <w:b w:val="0"/>
          <w:bCs w:val="0"/>
          <w:kern w:val="0"/>
          <w:position w:val="0"/>
          <w:sz w:val="32"/>
          <w:szCs w:val="32"/>
          <w:highlight w:val="none"/>
          <w:lang w:eastAsia="zh-CN" w:bidi="ar-SA"/>
        </w:rPr>
        <w:t>传染病防治</w:t>
      </w:r>
      <w:r>
        <w:rPr>
          <w:rFonts w:hint="eastAsia" w:ascii="仿宋_GB2312" w:hAnsi="仿宋_GB2312" w:eastAsia="仿宋_GB2312" w:cs="仿宋_GB2312"/>
          <w:b w:val="0"/>
          <w:bCs w:val="0"/>
          <w:kern w:val="0"/>
          <w:position w:val="0"/>
          <w:sz w:val="32"/>
          <w:szCs w:val="32"/>
          <w:highlight w:val="none"/>
          <w:lang w:val="en-US" w:eastAsia="zh-CN" w:bidi="ar-SA"/>
        </w:rPr>
        <w:t>的总体要求，具有较强的针对性和可操作性。</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项目管理。</w:t>
      </w:r>
      <w:r>
        <w:rPr>
          <w:rFonts w:hint="default" w:ascii="仿宋_GB2312" w:hAnsi="仿宋_GB2312" w:eastAsia="仿宋_GB2312" w:cs="仿宋_GB2312"/>
          <w:b w:val="0"/>
          <w:bCs w:val="0"/>
          <w:kern w:val="0"/>
          <w:position w:val="0"/>
          <w:sz w:val="32"/>
          <w:szCs w:val="32"/>
          <w:highlight w:val="none"/>
          <w:lang w:val="en-US" w:eastAsia="zh-CN" w:bidi="ar-SA"/>
        </w:rPr>
        <w:t>建立了完善的项目管理制度和资金管理办法，保障了项目的规范实施。资金分配公平、合理，考虑了地区差异和实际需求。建立了绩效监管机制，对项目的实施过程和绩效目标完成情况进行了动态监控。</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3.项目实施。</w:t>
      </w:r>
      <w:r>
        <w:rPr>
          <w:rFonts w:hint="default" w:ascii="仿宋_GB2312" w:hAnsi="仿宋_GB2312" w:eastAsia="仿宋_GB2312" w:cs="仿宋_GB2312"/>
          <w:b w:val="0"/>
          <w:bCs w:val="0"/>
          <w:kern w:val="0"/>
          <w:position w:val="0"/>
          <w:sz w:val="32"/>
          <w:szCs w:val="32"/>
          <w:highlight w:val="none"/>
          <w:lang w:val="en-US" w:eastAsia="zh-CN" w:bidi="ar-SA"/>
        </w:rPr>
        <w:t>预算执行情况良好，资金到位率高，支出进度符合项目要求。资金使用合规，未发现截留、挪用等违规现象。</w:t>
      </w:r>
    </w:p>
    <w:p>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4.项目结果。</w:t>
      </w:r>
      <w:r>
        <w:rPr>
          <w:rFonts w:hint="eastAsia" w:ascii="仿宋_GB2312" w:hAnsi="仿宋_GB2312" w:eastAsia="仿宋_GB2312" w:cs="仿宋_GB2312"/>
          <w:b w:val="0"/>
          <w:bCs w:val="0"/>
          <w:kern w:val="0"/>
          <w:position w:val="0"/>
          <w:sz w:val="32"/>
          <w:szCs w:val="32"/>
          <w:highlight w:val="none"/>
          <w:lang w:val="en-US" w:eastAsia="zh-CN" w:bidi="ar-SA"/>
        </w:rPr>
        <w:t>组织开展了犬只登记管理专项整治行动，努力实现三个“明显提高”、三个“明显减少”、三个“基本解决”的工作目标。即：养犬登记办证率、狂犬病免疫率和文明规范养犬知晓率明显提高；限养区饲养禁养犬，流浪犬、无主犬和犬伤人、扰民的问题明显减少；遛犬不束链、犬只随地便溺和违规进入禁止公共区域的问题基本解决。普及了包虫病防治知识。公众满意度</w:t>
      </w:r>
      <w:r>
        <w:rPr>
          <w:rFonts w:hint="default" w:ascii="仿宋_GB2312" w:hAnsi="仿宋_GB2312" w:eastAsia="仿宋_GB2312" w:cs="仿宋_GB2312"/>
          <w:b w:val="0"/>
          <w:bCs w:val="0"/>
          <w:kern w:val="0"/>
          <w:position w:val="0"/>
          <w:sz w:val="32"/>
          <w:szCs w:val="32"/>
          <w:highlight w:val="none"/>
          <w:lang w:val="en-US" w:eastAsia="zh-CN" w:bidi="ar-SA"/>
        </w:rPr>
        <w:t>&gt;95%</w:t>
      </w:r>
      <w:r>
        <w:rPr>
          <w:rFonts w:hint="eastAsia" w:ascii="仿宋_GB2312" w:hAnsi="仿宋_GB2312"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1.产业发展。</w:t>
      </w:r>
      <w:r>
        <w:rPr>
          <w:rFonts w:hint="eastAsia" w:ascii="仿宋_GB2312" w:hAnsi="仿宋_GB2312" w:eastAsia="仿宋_GB2312" w:cs="仿宋_GB2312"/>
          <w:b w:val="0"/>
          <w:bCs w:val="0"/>
          <w:kern w:val="0"/>
          <w:position w:val="0"/>
          <w:sz w:val="32"/>
          <w:szCs w:val="32"/>
          <w:highlight w:val="none"/>
          <w:lang w:val="en-US" w:eastAsia="zh-CN" w:bidi="ar-SA"/>
        </w:rPr>
        <w:t>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r>
        <w:rPr>
          <w:rFonts w:hint="eastAsia" w:ascii="仿宋_GB2312" w:hAnsi="仿宋_GB2312" w:eastAsia="仿宋_GB2312" w:cs="仿宋_GB2312"/>
          <w:b w:val="0"/>
          <w:bCs w:val="0"/>
          <w:kern w:val="0"/>
          <w:position w:val="0"/>
          <w:sz w:val="32"/>
          <w:szCs w:val="32"/>
          <w:highlight w:val="none"/>
          <w:lang w:val="en-US" w:eastAsia="zh-CN" w:bidi="ar-SA"/>
        </w:rPr>
        <w:t>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3.基础设施。</w:t>
      </w:r>
      <w:r>
        <w:rPr>
          <w:rFonts w:hint="eastAsia" w:ascii="仿宋_GB2312" w:hAnsi="仿宋_GB2312" w:eastAsia="仿宋_GB2312" w:cs="仿宋_GB2312"/>
          <w:b w:val="0"/>
          <w:bCs w:val="0"/>
          <w:kern w:val="0"/>
          <w:position w:val="0"/>
          <w:sz w:val="32"/>
          <w:szCs w:val="32"/>
          <w:highlight w:val="none"/>
          <w:lang w:val="zh-CN" w:eastAsia="zh-CN" w:bidi="ar-SA"/>
        </w:rPr>
        <w:t>无</w:t>
      </w:r>
    </w:p>
    <w:p>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r>
        <w:rPr>
          <w:rFonts w:hint="eastAsia" w:ascii="仿宋_GB2312" w:hAnsi="仿宋_GB2312" w:eastAsia="仿宋_GB2312" w:cs="仿宋_GB2312"/>
          <w:b w:val="0"/>
          <w:bCs w:val="0"/>
          <w:kern w:val="0"/>
          <w:position w:val="0"/>
          <w:sz w:val="32"/>
          <w:szCs w:val="32"/>
          <w:highlight w:val="none"/>
          <w:lang w:val="zh-CN" w:eastAsia="zh-CN" w:bidi="ar-SA"/>
        </w:rPr>
        <w:t>该项目支出符合国家财经法规和财务管理制度规定以及有关专项资金管理办法的规定，按规定用途、适用范围管理，资金管理程序符合专项资金管理要求，资金分配标准符合专项资金管理要求。</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pStyle w:val="6"/>
        <w:pageBreakBefore w:val="0"/>
        <w:tabs>
          <w:tab w:val="left" w:pos="2160"/>
        </w:tabs>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i w:val="0"/>
          <w:iCs w:val="0"/>
          <w:caps w:val="0"/>
          <w:color w:val="222222"/>
          <w:spacing w:val="0"/>
          <w:sz w:val="32"/>
          <w:szCs w:val="32"/>
          <w:shd w:val="clear" w:color="auto" w:fill="FFFFFF"/>
        </w:rPr>
        <w:t>绩效自评总体情况较好，项目实施取得了一定的成效</w:t>
      </w:r>
      <w:r>
        <w:rPr>
          <w:rFonts w:hint="eastAsia" w:ascii="仿宋_GB2312" w:hAnsi="仿宋_GB2312" w:eastAsia="仿宋_GB2312" w:cs="仿宋_GB2312"/>
          <w:i w:val="0"/>
          <w:iCs w:val="0"/>
          <w:caps w:val="0"/>
          <w:color w:val="222222"/>
          <w:spacing w:val="0"/>
          <w:sz w:val="32"/>
          <w:szCs w:val="32"/>
          <w:shd w:val="clear" w:color="auto" w:fill="FFFFFF"/>
          <w:lang w:eastAsia="zh-CN"/>
        </w:rPr>
        <w:t>，</w:t>
      </w:r>
      <w:r>
        <w:rPr>
          <w:rFonts w:hint="eastAsia" w:ascii="仿宋_GB2312" w:hAnsi="仿宋" w:eastAsia="仿宋_GB2312" w:cs="仿宋_GB2312"/>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自评得分</w:t>
      </w:r>
      <w:r>
        <w:rPr>
          <w:rFonts w:hint="eastAsia" w:ascii="仿宋_GB2312" w:hAnsi="仿宋" w:cs="仿宋_GB2312"/>
          <w:kern w:val="0"/>
          <w:sz w:val="32"/>
          <w:szCs w:val="32"/>
          <w:lang w:val="en-US" w:eastAsia="zh-CN"/>
        </w:rPr>
        <w:t>87</w:t>
      </w:r>
      <w:r>
        <w:rPr>
          <w:rFonts w:hint="eastAsia" w:ascii="仿宋_GB2312" w:hAnsi="仿宋" w:eastAsia="仿宋_GB2312" w:cs="仿宋_GB2312"/>
          <w:kern w:val="0"/>
          <w:sz w:val="32"/>
          <w:szCs w:val="32"/>
        </w:rPr>
        <w:t>分。</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eastAsia="黑体" w:cs="Times New Roman"/>
          <w:color w:val="auto"/>
          <w:sz w:val="32"/>
          <w:szCs w:val="32"/>
          <w:highlight w:val="none"/>
          <w:u w:val="none"/>
          <w:lang w:eastAsia="zh-CN"/>
        </w:rPr>
        <w:t>五、存在主要问题</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由于对支出绩效评价工作的重要性还认识不够，因此对绩效评价工作的重视度还不够，部分项目支出绩效指标无法用量化指标来进行考评。</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pageBreakBefore w:val="0"/>
        <w:tabs>
          <w:tab w:val="left" w:pos="1911"/>
        </w:tabs>
        <w:kinsoku/>
        <w:wordWrap/>
        <w:overflowPunct/>
        <w:topLinePunct w:val="0"/>
        <w:bidi w:val="0"/>
        <w:spacing w:line="560" w:lineRule="exact"/>
        <w:ind w:firstLine="640"/>
        <w:jc w:val="left"/>
        <w:textAlignment w:val="auto"/>
        <w:rPr>
          <w:rFonts w:hint="eastAsia" w:ascii="仿宋_GB2312" w:hAnsi="宋体" w:eastAsia="仿宋_GB2312" w:cs="仿宋_GB2312"/>
          <w:color w:val="000000"/>
          <w:kern w:val="0"/>
          <w:sz w:val="32"/>
          <w:szCs w:val="32"/>
          <w:shd w:val="clear" w:color="auto" w:fill="FFFFFF"/>
          <w:lang w:val="zh-CN"/>
        </w:rPr>
      </w:pPr>
      <w:r>
        <w:rPr>
          <w:rFonts w:ascii="仿宋_GB2312" w:hAnsi="宋体" w:eastAsia="仿宋_GB2312" w:cs="仿宋_GB2312"/>
          <w:color w:val="000000"/>
          <w:kern w:val="0"/>
          <w:sz w:val="32"/>
          <w:szCs w:val="32"/>
          <w:shd w:val="clear" w:color="auto" w:fill="FFFFFF"/>
          <w:lang w:val="zh-CN"/>
        </w:rPr>
        <w:t>针对</w:t>
      </w:r>
      <w:r>
        <w:rPr>
          <w:rFonts w:hint="eastAsia" w:ascii="仿宋_GB2312" w:hAnsi="宋体" w:eastAsia="仿宋_GB2312" w:cs="仿宋_GB2312"/>
          <w:color w:val="000000"/>
          <w:kern w:val="0"/>
          <w:sz w:val="32"/>
          <w:szCs w:val="32"/>
          <w:shd w:val="clear" w:color="auto" w:fill="FFFFFF"/>
          <w:lang w:val="zh-CN"/>
        </w:rPr>
        <w:t>存在的问题，我们将进一步科学设定绩效目标，加强预算执行管理。遵循先有预算、后有支出的原则，加强《新预算法》《政府会计制度》等学习培训，规范部门预算收支核算，加强财务管理和内部控制监督制度。</w:t>
      </w:r>
    </w:p>
    <w:p>
      <w:pPr>
        <w:pStyle w:val="2"/>
        <w:ind w:firstLine="640"/>
        <w:rPr>
          <w:rFonts w:hint="eastAsia"/>
          <w:lang w:val="en" w:eastAsia="zh-CN"/>
        </w:rPr>
      </w:pPr>
    </w:p>
    <w:p>
      <w:pPr>
        <w:pageBreakBefore w:val="0"/>
        <w:kinsoku/>
        <w:wordWrap/>
        <w:overflowPunct/>
        <w:topLinePunct w:val="0"/>
        <w:autoSpaceDE w:val="0"/>
        <w:autoSpaceDN w:val="0"/>
        <w:bidi w:val="0"/>
        <w:adjustRightInd w:val="0"/>
        <w:spacing w:line="560" w:lineRule="exact"/>
        <w:jc w:val="both"/>
        <w:textAlignment w:val="auto"/>
        <w:rPr>
          <w:rFonts w:ascii="仿宋" w:hAnsi="仿宋" w:eastAsia="仿宋"/>
          <w:b/>
          <w:bCs w:val="0"/>
          <w:color w:val="auto"/>
          <w:sz w:val="32"/>
          <w:szCs w:val="32"/>
          <w:highlight w:val="none"/>
        </w:rPr>
      </w:pPr>
    </w:p>
    <w:p>
      <w:pPr>
        <w:pStyle w:val="26"/>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lang w:val="en-US"/>
        </w:rPr>
        <w:t>沟口所、交警飞虹中队业务用房规范化建设</w:t>
      </w:r>
      <w:r>
        <w:rPr>
          <w:rFonts w:hint="eastAsia" w:ascii="方正小标宋简体" w:hAnsi="方正小标宋简体" w:eastAsia="方正小标宋简体" w:cs="方正小标宋简体"/>
          <w:color w:val="auto"/>
          <w:kern w:val="2"/>
          <w:sz w:val="44"/>
          <w:szCs w:val="44"/>
          <w:highlight w:val="none"/>
          <w:lang w:val="en-US" w:eastAsia="zh-CN"/>
        </w:rPr>
        <w:t>项目绩效评价报告</w:t>
      </w:r>
    </w:p>
    <w:p>
      <w:pPr>
        <w:pStyle w:val="26"/>
        <w:keepNext w:val="0"/>
        <w:keepLines w:val="0"/>
        <w:pageBreakBefore w:val="0"/>
        <w:widowControl w:val="0"/>
        <w:kinsoku/>
        <w:wordWrap/>
        <w:overflowPunct/>
        <w:topLinePunct w:val="0"/>
        <w:autoSpaceDE/>
        <w:autoSpaceDN/>
        <w:bidi w:val="0"/>
        <w:spacing w:line="560" w:lineRule="exact"/>
        <w:ind w:left="0" w:leftChars="0" w:firstLine="640"/>
        <w:jc w:val="center"/>
        <w:textAlignment w:val="auto"/>
        <w:rPr>
          <w:rFonts w:ascii="宋体" w:hAnsi="宋体"/>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pPr>
        <w:keepNext w:val="0"/>
        <w:keepLines w:val="0"/>
        <w:pageBreakBefore w:val="0"/>
        <w:kinsoku/>
        <w:wordWrap/>
        <w:overflowPunct/>
        <w:topLinePunct w:val="0"/>
        <w:autoSpaceDE/>
        <w:autoSpaceDN/>
        <w:bidi w:val="0"/>
        <w:adjustRightInd w:val="0"/>
        <w:snapToGrid w:val="0"/>
        <w:spacing w:line="560" w:lineRule="exact"/>
        <w:ind w:left="0" w:leftChars="0" w:firstLine="642" w:firstLineChars="200"/>
        <w:textAlignment w:val="auto"/>
        <w:rPr>
          <w:rFonts w:hint="eastAsia"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（一）设立背景及基本情况。</w:t>
      </w:r>
    </w:p>
    <w:p>
      <w:pPr>
        <w:pageBreakBefore w:val="0"/>
        <w:kinsoku/>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b w:val="0"/>
          <w:bCs w:val="0"/>
          <w:kern w:val="0"/>
          <w:position w:val="0"/>
          <w:sz w:val="32"/>
          <w:szCs w:val="32"/>
          <w:highlight w:val="none"/>
          <w:lang w:val="zh-CN" w:eastAsia="zh-CN" w:bidi="ar-SA"/>
        </w:rPr>
        <w:t>2019年我县进行乡镇行政区划调整，全县21个乡镇撤并成11个镇，按照全州两项改革“后半篇”文章盘活用好乡镇村公有资产工作的要求，根据县委、县政府工作部署，将原乡政府值班室移交县公安局使用，根据国家发改委、建设部、公安部关于公安派出所建设规范和标准，需对移交的房屋进行规范化改造。</w:t>
      </w:r>
    </w:p>
    <w:p>
      <w:pPr>
        <w:pageBreakBefore w:val="0"/>
        <w:kinsoku/>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沟口所、交警飞虹中队业务用房</w:t>
      </w:r>
      <w:r>
        <w:rPr>
          <w:rFonts w:hint="eastAsia" w:ascii="仿宋_GB2312" w:hAnsi="仿宋_GB2312" w:eastAsia="仿宋_GB2312" w:cs="仿宋_GB2312"/>
          <w:b w:val="0"/>
          <w:bCs w:val="0"/>
          <w:kern w:val="0"/>
          <w:position w:val="0"/>
          <w:sz w:val="32"/>
          <w:szCs w:val="32"/>
          <w:highlight w:val="none"/>
          <w:lang w:val="zh-CN" w:eastAsia="zh-CN" w:bidi="ar-SA"/>
        </w:rPr>
        <w:t>，该业务用房位于国道213线，因该房屋常年受恶劣气候影响，又年久失修，不修缮已不适宜正常值班备勤使用，需对该房屋进行规范化建设改造。</w:t>
      </w:r>
      <w:r>
        <w:rPr>
          <w:rFonts w:hint="eastAsia" w:ascii="仿宋_GB2312" w:hAnsi="仿宋_GB2312" w:eastAsia="仿宋_GB2312" w:cs="仿宋_GB2312"/>
          <w:b w:val="0"/>
          <w:bCs w:val="0"/>
          <w:kern w:val="0"/>
          <w:position w:val="0"/>
          <w:sz w:val="32"/>
          <w:szCs w:val="32"/>
          <w:highlight w:val="none"/>
          <w:lang w:val="en-US" w:eastAsia="zh-CN" w:bidi="ar-SA"/>
        </w:rPr>
        <w:t xml:space="preserve">       </w:t>
      </w:r>
    </w:p>
    <w:p>
      <w:pPr>
        <w:pageBreakBefore w:val="0"/>
        <w:kinsoku/>
        <w:wordWrap/>
        <w:overflowPunct/>
        <w:topLinePunct w:val="0"/>
        <w:bidi w:val="0"/>
        <w:adjustRightInd w:val="0"/>
        <w:snapToGrid w:val="0"/>
        <w:spacing w:line="560" w:lineRule="exact"/>
        <w:ind w:firstLine="642"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b w:val="0"/>
          <w:bCs w:val="0"/>
          <w:kern w:val="0"/>
          <w:position w:val="0"/>
          <w:sz w:val="32"/>
          <w:szCs w:val="32"/>
          <w:highlight w:val="none"/>
          <w:lang w:val="en-US" w:eastAsia="zh-CN" w:bidi="ar-SA"/>
        </w:rPr>
        <w:t>为更好地服务人民群众，维护基层政权，维护辖区社会治安稳定，充分发挥公安基层所队的职能职责，</w:t>
      </w:r>
      <w:r>
        <w:rPr>
          <w:rFonts w:hint="eastAsia" w:ascii="仿宋_GB2312" w:hAnsi="仿宋_GB2312" w:eastAsia="仿宋_GB2312" w:cs="仿宋_GB2312"/>
          <w:b w:val="0"/>
          <w:bCs w:val="0"/>
          <w:kern w:val="0"/>
          <w:position w:val="0"/>
          <w:sz w:val="32"/>
          <w:szCs w:val="32"/>
          <w:highlight w:val="none"/>
          <w:lang w:val="zh-CN" w:eastAsia="zh-CN" w:bidi="ar-SA"/>
        </w:rPr>
        <w:t>解决民、辅警实际困难，营造一个舒适整洁、井然有序的值班备勤环境。</w:t>
      </w:r>
    </w:p>
    <w:p>
      <w:pPr>
        <w:pageBreakBefore w:val="0"/>
        <w:widowControl/>
        <w:kinsoku/>
        <w:wordWrap/>
        <w:overflowPunct/>
        <w:topLinePunct w:val="0"/>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b w:val="0"/>
          <w:bCs w:val="0"/>
          <w:kern w:val="0"/>
          <w:position w:val="0"/>
          <w:sz w:val="32"/>
          <w:szCs w:val="32"/>
          <w:highlight w:val="none"/>
          <w:lang w:val="zh-CN" w:eastAsia="zh-CN" w:bidi="ar-SA"/>
        </w:rPr>
        <w:t>县公安局党委会议纪要（茂公委纪〔2022〕53号），县人民政府常务会议议定事项通知（十六届茂县人民政府第28次18号）</w:t>
      </w:r>
    </w:p>
    <w:p>
      <w:pPr>
        <w:keepNext w:val="0"/>
        <w:keepLines w:val="0"/>
        <w:pageBreakBefore w:val="0"/>
        <w:kinsoku/>
        <w:wordWrap/>
        <w:overflowPunct/>
        <w:topLinePunct w:val="0"/>
        <w:autoSpaceDE/>
        <w:autoSpaceDN/>
        <w:bidi w:val="0"/>
        <w:adjustRightInd w:val="0"/>
        <w:snapToGrid w:val="0"/>
        <w:spacing w:line="560" w:lineRule="exact"/>
        <w:ind w:left="0" w:leftChars="0" w:firstLine="642" w:firstLineChars="200"/>
        <w:textAlignment w:val="auto"/>
        <w:rPr>
          <w:rFonts w:hint="default"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b w:val="0"/>
          <w:bCs w:val="0"/>
          <w:kern w:val="0"/>
          <w:position w:val="0"/>
          <w:sz w:val="32"/>
          <w:szCs w:val="32"/>
          <w:highlight w:val="none"/>
          <w:lang w:val="zh-CN" w:eastAsia="zh-CN" w:bidi="ar-SA"/>
        </w:rPr>
        <w:t>因乡镇行政区划调整后，辖区面积增大，工作量相应增加，为更好地服务人民群众，维护基层政权，维护辖区社会治安稳定和交通管理秩序，充分发挥公安基层所队的职能职责，解决民、辅警实际困难，营造一个舒适整洁、井然有序的值班备勤环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pPr>
        <w:pStyle w:val="14"/>
        <w:pageBreakBefore w:val="0"/>
        <w:widowControl/>
        <w:shd w:val="clear" w:color="auto" w:fill="FFFFFF"/>
        <w:kinsoku/>
        <w:wordWrap/>
        <w:overflowPunct/>
        <w:topLinePunct w:val="0"/>
        <w:bidi w:val="0"/>
        <w:spacing w:beforeAutospacing="0" w:afterAutospacing="0" w:line="560" w:lineRule="exact"/>
        <w:ind w:firstLine="642" w:firstLineChars="200"/>
        <w:jc w:val="both"/>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b w:val="0"/>
          <w:bCs w:val="0"/>
          <w:color w:val="auto"/>
          <w:kern w:val="0"/>
          <w:position w:val="0"/>
          <w:sz w:val="32"/>
          <w:szCs w:val="32"/>
          <w:highlight w:val="none"/>
          <w:lang w:val="zh-CN" w:eastAsia="zh-CN" w:bidi="ar-SA"/>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pageBreakBefore w:val="0"/>
        <w:kinsoku/>
        <w:wordWrap/>
        <w:overflowPunct/>
        <w:topLinePunct w:val="0"/>
        <w:bidi w:val="0"/>
        <w:adjustRightInd w:val="0"/>
        <w:snapToGrid w:val="0"/>
        <w:spacing w:line="560" w:lineRule="exact"/>
        <w:ind w:firstLine="642"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b w:val="0"/>
          <w:bCs w:val="0"/>
          <w:color w:val="auto"/>
          <w:kern w:val="0"/>
          <w:position w:val="0"/>
          <w:sz w:val="32"/>
          <w:szCs w:val="32"/>
          <w:highlight w:val="none"/>
          <w:lang w:val="zh-CN" w:eastAsia="zh-CN" w:bidi="ar-SA"/>
        </w:rPr>
        <w:t>通过对业务用房进行规范化建设改造，进一步改善民辅警的工作环境，提高工作质量和效率。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b w:val="0"/>
          <w:bCs w:val="0"/>
          <w:color w:val="auto"/>
          <w:kern w:val="0"/>
          <w:position w:val="0"/>
          <w:sz w:val="32"/>
          <w:szCs w:val="32"/>
          <w:highlight w:val="none"/>
          <w:lang w:val="zh-CN" w:eastAsia="zh-CN" w:bidi="ar-SA"/>
        </w:rPr>
        <w:t>工作质量与效率。</w:t>
      </w:r>
    </w:p>
    <w:p>
      <w:pPr>
        <w:pageBreakBefore w:val="0"/>
        <w:kinsoku/>
        <w:wordWrap/>
        <w:overflowPunct/>
        <w:topLinePunct w:val="0"/>
        <w:bidi w:val="0"/>
        <w:spacing w:line="560" w:lineRule="exact"/>
        <w:ind w:firstLine="640"/>
        <w:textAlignment w:val="auto"/>
        <w:rPr>
          <w:rFonts w:hint="eastAsia" w:ascii="仿宋_GB2312" w:hAnsi="仿宋_GB2312" w:eastAsia="仿宋_GB2312" w:cs="仿宋_GB2312"/>
          <w:b w:val="0"/>
          <w:bCs w:val="0"/>
          <w:color w:val="auto"/>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b w:val="0"/>
          <w:bCs w:val="0"/>
          <w:color w:val="auto"/>
          <w:kern w:val="0"/>
          <w:position w:val="0"/>
          <w:sz w:val="32"/>
          <w:szCs w:val="32"/>
          <w:highlight w:val="none"/>
          <w:lang w:val="zh-CN" w:eastAsia="zh-CN" w:bidi="ar-SA"/>
        </w:rPr>
        <w:t>采用单位自评法和实地勘察法收集相关材料，开展评价。</w:t>
      </w:r>
    </w:p>
    <w:p>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eastAsia" w:eastAsia="仿宋_GB2312" w:cs="Times New Roman"/>
          <w:bCs/>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b w:val="0"/>
          <w:bCs w:val="0"/>
          <w:kern w:val="0"/>
          <w:position w:val="0"/>
          <w:sz w:val="32"/>
          <w:szCs w:val="32"/>
          <w:highlight w:val="none"/>
          <w:lang w:val="zh-CN" w:eastAsia="zh-CN" w:bidi="ar-SA"/>
        </w:rPr>
        <w:t>成立以分管领导为组长，各部门负责人为成员的沟口所、交警飞虹中队业务用房规范化建设经费绩效评价领导小组，领导小组设办公室于警务保障室，警保室主任兼任办公室主任，负责对</w:t>
      </w:r>
      <w:r>
        <w:rPr>
          <w:rFonts w:hint="eastAsia" w:ascii="仿宋_GB2312" w:hAnsi="仿宋_GB2312" w:eastAsia="仿宋_GB2312" w:cs="仿宋_GB2312"/>
          <w:b w:val="0"/>
          <w:bCs w:val="0"/>
          <w:kern w:val="0"/>
          <w:position w:val="0"/>
          <w:sz w:val="32"/>
          <w:szCs w:val="32"/>
          <w:highlight w:val="none"/>
          <w:lang w:val="en-US" w:eastAsia="zh-CN" w:bidi="ar-SA"/>
        </w:rPr>
        <w:t>较场派出所办公及业务用房</w:t>
      </w:r>
      <w:r>
        <w:rPr>
          <w:rFonts w:hint="eastAsia" w:ascii="仿宋_GB2312" w:hAnsi="仿宋_GB2312" w:eastAsia="仿宋_GB2312" w:cs="仿宋_GB2312"/>
          <w:b w:val="0"/>
          <w:bCs w:val="0"/>
          <w:kern w:val="0"/>
          <w:position w:val="0"/>
          <w:sz w:val="32"/>
          <w:szCs w:val="32"/>
          <w:highlight w:val="none"/>
          <w:lang w:val="zh-CN" w:eastAsia="zh-CN" w:bidi="ar-SA"/>
        </w:rPr>
        <w:t>规范化建设经费情况进行评价。</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lang w:eastAsia="zh-CN"/>
        </w:rPr>
        <w:t>项目决策。</w:t>
      </w:r>
      <w:r>
        <w:rPr>
          <w:rFonts w:hint="eastAsia" w:ascii="仿宋_GB2312" w:hAnsi="仿宋_GB2312" w:eastAsia="仿宋_GB2312" w:cs="仿宋_GB2312"/>
          <w:b w:val="0"/>
          <w:bCs w:val="0"/>
          <w:kern w:val="0"/>
          <w:position w:val="0"/>
          <w:sz w:val="32"/>
          <w:szCs w:val="32"/>
          <w:highlight w:val="none"/>
          <w:lang w:val="zh-CN" w:eastAsia="zh-CN" w:bidi="ar-SA"/>
        </w:rPr>
        <w:t>经局党委会研究决定并报县人民政府常务会议审议通过。</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项目管理。</w:t>
      </w:r>
      <w:r>
        <w:rPr>
          <w:rFonts w:hint="eastAsia" w:ascii="仿宋_GB2312" w:hAnsi="仿宋_GB2312" w:eastAsia="仿宋_GB2312" w:cs="仿宋_GB2312"/>
          <w:b w:val="0"/>
          <w:bCs w:val="0"/>
          <w:kern w:val="0"/>
          <w:position w:val="0"/>
          <w:sz w:val="32"/>
          <w:szCs w:val="32"/>
          <w:highlight w:val="none"/>
          <w:lang w:val="zh-CN" w:eastAsia="zh-CN" w:bidi="ar-SA"/>
        </w:rPr>
        <w:t>该项目严格执行财务管理制度、财务处理及时、会计核算规范。一是项目实施主体明确，在县公安局党委的领导下，由警务保障</w:t>
      </w:r>
      <w:r>
        <w:rPr>
          <w:rFonts w:hint="eastAsia" w:ascii="仿宋_GB2312" w:hAnsi="仿宋_GB2312" w:eastAsia="仿宋_GB2312" w:cs="仿宋_GB2312"/>
          <w:b w:val="0"/>
          <w:bCs w:val="0"/>
          <w:kern w:val="0"/>
          <w:position w:val="0"/>
          <w:sz w:val="32"/>
          <w:szCs w:val="32"/>
          <w:highlight w:val="none"/>
          <w:lang w:val="en-US" w:eastAsia="zh-CN" w:bidi="ar-SA"/>
        </w:rPr>
        <w:t>室</w:t>
      </w:r>
      <w:r>
        <w:rPr>
          <w:rFonts w:hint="eastAsia" w:ascii="仿宋_GB2312" w:hAnsi="仿宋_GB2312" w:eastAsia="仿宋_GB2312" w:cs="仿宋_GB2312"/>
          <w:b w:val="0"/>
          <w:bCs w:val="0"/>
          <w:kern w:val="0"/>
          <w:position w:val="0"/>
          <w:sz w:val="32"/>
          <w:szCs w:val="32"/>
          <w:highlight w:val="none"/>
          <w:lang w:val="zh-CN" w:eastAsia="zh-CN" w:bidi="ar-SA"/>
        </w:rPr>
        <w:t>按照县局细化预算项目支出方案组织实施。二是保障措施规范有力，加强财务管理，提高资金使用效益；建立健全完善部门内部控制制度，强化督促检查，严格落实项目工作计划，确保茂县公安事业发展规划项目依法依规组织实施。三是资金安排程序依法依规有序，根据财政部门预算批复资金项目内容，按照经县公安局党委批准的内部细化预算方案，由警务保障室组织项目实施，依据项目实施进度及资金使用计划，落实项目预算资金保障，确保项目有计划执行。四是资金安排标准</w:t>
      </w:r>
      <w:r>
        <w:rPr>
          <w:rFonts w:hint="eastAsia" w:ascii="仿宋_GB2312" w:hAnsi="仿宋_GB2312" w:eastAsia="仿宋_GB2312" w:cs="仿宋_GB2312"/>
          <w:b w:val="0"/>
          <w:bCs w:val="0"/>
          <w:kern w:val="0"/>
          <w:position w:val="0"/>
          <w:sz w:val="32"/>
          <w:szCs w:val="32"/>
          <w:highlight w:val="none"/>
          <w:lang w:val="en-US" w:eastAsia="zh-CN" w:bidi="ar-SA"/>
        </w:rPr>
        <w:t>和</w:t>
      </w:r>
      <w:r>
        <w:rPr>
          <w:rFonts w:hint="eastAsia" w:ascii="仿宋_GB2312" w:hAnsi="仿宋_GB2312" w:eastAsia="仿宋_GB2312" w:cs="仿宋_GB2312"/>
          <w:b w:val="0"/>
          <w:bCs w:val="0"/>
          <w:kern w:val="0"/>
          <w:position w:val="0"/>
          <w:sz w:val="32"/>
          <w:szCs w:val="32"/>
          <w:highlight w:val="none"/>
          <w:lang w:val="zh-CN" w:eastAsia="zh-CN" w:bidi="ar-SA"/>
        </w:rPr>
        <w:t>依据合理充分，</w:t>
      </w:r>
      <w:r>
        <w:rPr>
          <w:rFonts w:hint="eastAsia" w:ascii="仿宋_GB2312" w:hAnsi="仿宋_GB2312" w:eastAsia="仿宋_GB2312" w:cs="仿宋_GB2312"/>
          <w:b w:val="0"/>
          <w:bCs w:val="0"/>
          <w:kern w:val="0"/>
          <w:position w:val="0"/>
          <w:sz w:val="32"/>
          <w:szCs w:val="32"/>
          <w:highlight w:val="none"/>
          <w:lang w:val="en-US" w:eastAsia="zh-CN" w:bidi="ar-SA"/>
        </w:rPr>
        <w:t>依据（</w:t>
      </w:r>
      <w:r>
        <w:rPr>
          <w:rFonts w:hint="eastAsia" w:ascii="仿宋_GB2312" w:hAnsi="仿宋_GB2312" w:eastAsia="仿宋_GB2312" w:cs="仿宋_GB2312"/>
          <w:b w:val="0"/>
          <w:bCs w:val="0"/>
          <w:kern w:val="0"/>
          <w:position w:val="0"/>
          <w:sz w:val="32"/>
          <w:szCs w:val="32"/>
          <w:highlight w:val="none"/>
          <w:lang w:val="zh-CN" w:eastAsia="zh-CN" w:bidi="ar-SA"/>
        </w:rPr>
        <w:t>茂财预调</w:t>
      </w:r>
      <w:r>
        <w:rPr>
          <w:rFonts w:hint="eastAsia" w:ascii="Times New Roman" w:hAnsi="Times New Roman" w:eastAsia="仿宋_GB2312" w:cs="Times New Roman"/>
          <w:sz w:val="32"/>
          <w:szCs w:val="32"/>
          <w:lang w:val="zh-CN" w:eastAsia="zh-CN"/>
        </w:rPr>
        <w:t>〔</w:t>
      </w:r>
      <w:r>
        <w:rPr>
          <w:rFonts w:hint="eastAsia" w:ascii="仿宋_GB2312" w:hAnsi="仿宋_GB2312" w:eastAsia="仿宋_GB2312" w:cs="仿宋_GB2312"/>
          <w:b w:val="0"/>
          <w:bCs w:val="0"/>
          <w:kern w:val="0"/>
          <w:position w:val="0"/>
          <w:sz w:val="32"/>
          <w:szCs w:val="32"/>
          <w:highlight w:val="none"/>
          <w:lang w:val="zh-CN" w:eastAsia="zh-CN" w:bidi="ar-SA"/>
        </w:rPr>
        <w:t>2023</w:t>
      </w:r>
      <w:r>
        <w:rPr>
          <w:rFonts w:hint="eastAsia" w:ascii="Times New Roman" w:hAnsi="Times New Roman" w:eastAsia="仿宋_GB2312" w:cs="Times New Roman"/>
          <w:sz w:val="32"/>
          <w:szCs w:val="32"/>
          <w:lang w:val="zh-CN" w:eastAsia="zh-CN"/>
        </w:rPr>
        <w:t>〕</w:t>
      </w:r>
      <w:r>
        <w:rPr>
          <w:rFonts w:hint="eastAsia" w:ascii="仿宋_GB2312" w:hAnsi="仿宋_GB2312" w:eastAsia="仿宋_GB2312" w:cs="仿宋_GB2312"/>
          <w:b w:val="0"/>
          <w:bCs w:val="0"/>
          <w:kern w:val="0"/>
          <w:position w:val="0"/>
          <w:sz w:val="32"/>
          <w:szCs w:val="32"/>
          <w:highlight w:val="none"/>
          <w:lang w:val="zh-CN" w:eastAsia="zh-CN" w:bidi="ar-SA"/>
        </w:rPr>
        <w:t>00035号）文</w:t>
      </w:r>
      <w:r>
        <w:rPr>
          <w:rFonts w:hint="eastAsia" w:ascii="仿宋_GB2312" w:hAnsi="仿宋_GB2312" w:eastAsia="仿宋_GB2312" w:cs="仿宋_GB2312"/>
          <w:b w:val="0"/>
          <w:bCs w:val="0"/>
          <w:kern w:val="0"/>
          <w:position w:val="0"/>
          <w:sz w:val="32"/>
          <w:szCs w:val="32"/>
          <w:highlight w:val="none"/>
          <w:lang w:val="en-US" w:eastAsia="zh-CN" w:bidi="ar-SA"/>
        </w:rPr>
        <w:t>件</w:t>
      </w:r>
      <w:r>
        <w:rPr>
          <w:rFonts w:hint="eastAsia" w:ascii="仿宋_GB2312" w:hAnsi="仿宋_GB2312" w:eastAsia="仿宋_GB2312" w:cs="仿宋_GB2312"/>
          <w:b w:val="0"/>
          <w:bCs w:val="0"/>
          <w:kern w:val="0"/>
          <w:position w:val="0"/>
          <w:sz w:val="32"/>
          <w:szCs w:val="32"/>
          <w:highlight w:val="none"/>
          <w:lang w:val="zh-CN" w:eastAsia="zh-CN" w:bidi="ar-SA"/>
        </w:rPr>
        <w:t>。五是财务管理规范，按照《公安机关财务管理办法》《茂县公安局机关财务管理办法》的规定使用资金。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3.项目实施。</w:t>
      </w:r>
      <w:r>
        <w:rPr>
          <w:rFonts w:hint="eastAsia" w:ascii="仿宋_GB2312" w:hAnsi="仿宋_GB2312" w:eastAsia="仿宋_GB2312" w:cs="仿宋_GB2312"/>
          <w:b w:val="0"/>
          <w:bCs w:val="0"/>
          <w:kern w:val="0"/>
          <w:position w:val="0"/>
          <w:sz w:val="32"/>
          <w:szCs w:val="32"/>
          <w:highlight w:val="none"/>
          <w:lang w:val="zh-CN" w:eastAsia="zh-CN" w:bidi="ar-SA"/>
        </w:rPr>
        <w:t>预算执行情况良好，资金到位率高，支出进度符合项目要求。资金使用合规，未发现截留、挪用等违规现象。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4.项目结果。</w:t>
      </w:r>
      <w:r>
        <w:rPr>
          <w:rFonts w:hint="eastAsia" w:ascii="仿宋_GB2312" w:hAnsi="仿宋_GB2312" w:eastAsia="仿宋_GB2312" w:cs="仿宋_GB2312"/>
          <w:b w:val="0"/>
          <w:bCs w:val="0"/>
          <w:kern w:val="0"/>
          <w:position w:val="0"/>
          <w:sz w:val="32"/>
          <w:szCs w:val="32"/>
          <w:highlight w:val="none"/>
          <w:lang w:val="en-US" w:eastAsia="zh-CN" w:bidi="ar-SA"/>
        </w:rPr>
        <w:t>绩效目标基本完成，项目整体按时推进，项目验收合格。</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1.产业发展。</w:t>
      </w:r>
      <w:r>
        <w:rPr>
          <w:rFonts w:hint="eastAsia" w:ascii="仿宋_GB2312" w:hAnsi="仿宋_GB2312" w:eastAsia="仿宋_GB2312" w:cs="仿宋_GB2312"/>
          <w:b w:val="0"/>
          <w:bCs w:val="0"/>
          <w:kern w:val="0"/>
          <w:position w:val="0"/>
          <w:sz w:val="32"/>
          <w:szCs w:val="32"/>
          <w:highlight w:val="none"/>
          <w:lang w:val="en-US" w:eastAsia="zh-CN" w:bidi="ar-SA"/>
        </w:rPr>
        <w:t>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r>
        <w:rPr>
          <w:rFonts w:hint="eastAsia" w:ascii="仿宋_GB2312" w:hAnsi="仿宋_GB2312" w:eastAsia="仿宋_GB2312" w:cs="仿宋_GB2312"/>
          <w:b w:val="0"/>
          <w:bCs w:val="0"/>
          <w:kern w:val="0"/>
          <w:position w:val="0"/>
          <w:sz w:val="32"/>
          <w:szCs w:val="32"/>
          <w:highlight w:val="none"/>
          <w:lang w:val="en-US" w:eastAsia="zh-CN" w:bidi="ar-SA"/>
        </w:rPr>
        <w:t>无</w:t>
      </w:r>
    </w:p>
    <w:p>
      <w:pPr>
        <w:pageBreakBefore w:val="0"/>
        <w:kinsoku/>
        <w:wordWrap/>
        <w:overflowPunct/>
        <w:topLinePunct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3.基础设施。</w:t>
      </w:r>
      <w:r>
        <w:rPr>
          <w:rFonts w:hint="eastAsia" w:ascii="仿宋_GB2312" w:hAnsi="仿宋_GB2312" w:eastAsia="仿宋_GB2312" w:cs="仿宋_GB2312"/>
          <w:b w:val="0"/>
          <w:bCs w:val="0"/>
          <w:kern w:val="0"/>
          <w:position w:val="0"/>
          <w:sz w:val="32"/>
          <w:szCs w:val="32"/>
          <w:highlight w:val="none"/>
          <w:lang w:val="en-US" w:eastAsia="zh-CN" w:bidi="ar-SA"/>
        </w:rPr>
        <w:t>项目验收合格，按照合同约定进行资金支付，该项目的实施进一步改善民辅警的工作环境，提高工作质量和效率。</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r>
        <w:rPr>
          <w:rFonts w:hint="eastAsia" w:ascii="仿宋_GB2312" w:hAnsi="仿宋_GB2312" w:eastAsia="仿宋_GB2312" w:cs="仿宋_GB2312"/>
          <w:b w:val="0"/>
          <w:bCs w:val="0"/>
          <w:kern w:val="0"/>
          <w:position w:val="0"/>
          <w:sz w:val="32"/>
          <w:szCs w:val="32"/>
          <w:highlight w:val="none"/>
          <w:lang w:val="zh-CN" w:eastAsia="zh-CN" w:bidi="ar-SA"/>
        </w:rPr>
        <w:t>该项目支出符合国家财经法规和财务管理制度规定以及有关专项资金管理办法的规定，按规定用途、适用范围管理，资金管理程序符合专项资金管理要求，资金分配标准符合专项资金管理要求。</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根据预算绩效管理相关制度的要求，结合项目绩效指标完成情况及对项目成本、项目效率、部门绩效目标实现的综合分析，项目综合评价为项目各项指标项均达到指标要求，项目实施达到预期效果。自评得分84分。</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eastAsia="黑体" w:cs="Times New Roman"/>
          <w:color w:val="auto"/>
          <w:sz w:val="32"/>
          <w:szCs w:val="32"/>
          <w:highlight w:val="none"/>
          <w:u w:val="none"/>
          <w:lang w:eastAsia="zh-CN"/>
        </w:rPr>
        <w:t>五、存在主要问题</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黑体" w:cs="黑体"/>
          <w:b w:val="0"/>
          <w:bCs w:val="0"/>
          <w:kern w:val="2"/>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由于对支出绩效评价工作的重要性还认识不够，因此对绩效评价工作的重视度还不够，部分项目支出绩效指标无法用量化指标来进行考评。</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pageBreakBefore w:val="0"/>
        <w:tabs>
          <w:tab w:val="left" w:pos="1911"/>
        </w:tabs>
        <w:kinsoku/>
        <w:wordWrap/>
        <w:overflowPunct/>
        <w:topLinePunct w:val="0"/>
        <w:bidi w:val="0"/>
        <w:spacing w:line="560" w:lineRule="exact"/>
        <w:jc w:val="left"/>
        <w:textAlignment w:val="auto"/>
        <w:rPr>
          <w:rFonts w:hint="eastAsia" w:ascii="仿宋_GB2312" w:hAnsi="仿宋_GB2312" w:eastAsia="仿宋_GB2312" w:cs="仿宋_GB2312"/>
          <w:b w:val="0"/>
          <w:bCs w:val="0"/>
          <w:color w:val="auto"/>
          <w:kern w:val="0"/>
          <w:position w:val="0"/>
          <w:sz w:val="32"/>
          <w:szCs w:val="32"/>
          <w:highlight w:val="none"/>
          <w:lang w:val="en" w:eastAsia="zh-CN" w:bidi="ar-SA"/>
        </w:rPr>
      </w:pPr>
      <w:r>
        <w:rPr>
          <w:rFonts w:hint="eastAsia" w:ascii="仿宋_GB2312" w:hAnsi="仿宋_GB2312" w:eastAsia="仿宋_GB2312" w:cs="仿宋_GB2312"/>
          <w:b w:val="0"/>
          <w:bCs w:val="0"/>
          <w:kern w:val="0"/>
          <w:position w:val="0"/>
          <w:sz w:val="32"/>
          <w:szCs w:val="32"/>
          <w:highlight w:val="none"/>
          <w:lang w:val="zh-CN" w:eastAsia="zh-CN" w:bidi="ar-SA"/>
        </w:rPr>
        <w:t xml:space="preserve"> </w:t>
      </w:r>
      <w:r>
        <w:rPr>
          <w:rFonts w:hint="eastAsia" w:ascii="仿宋_GB2312" w:hAnsi="仿宋_GB2312" w:eastAsia="仿宋_GB2312" w:cs="仿宋_GB2312"/>
          <w:b w:val="0"/>
          <w:bCs w:val="0"/>
          <w:kern w:val="0"/>
          <w:position w:val="0"/>
          <w:sz w:val="32"/>
          <w:szCs w:val="32"/>
          <w:highlight w:val="none"/>
          <w:lang w:val="en-US" w:eastAsia="zh-CN" w:bidi="ar-SA"/>
        </w:rPr>
        <w:t xml:space="preserve">   </w:t>
      </w:r>
      <w:r>
        <w:rPr>
          <w:rFonts w:hint="eastAsia" w:ascii="仿宋_GB2312" w:hAnsi="仿宋_GB2312" w:eastAsia="仿宋_GB2312" w:cs="仿宋_GB2312"/>
          <w:b w:val="0"/>
          <w:bCs w:val="0"/>
          <w:color w:val="auto"/>
          <w:kern w:val="0"/>
          <w:position w:val="0"/>
          <w:sz w:val="32"/>
          <w:szCs w:val="32"/>
          <w:highlight w:val="none"/>
          <w:lang w:val="zh-CN" w:eastAsia="zh-CN" w:bidi="ar-SA"/>
        </w:rPr>
        <w:t>针对存在的问题，我们将进一步科学设定绩效目标，加强预算执行管理。遵循先有预算、后有支出的原则，加强《新预算法》《政府会计制度》等学习培训，规范部门预算收支核算，加强财务管理和内部控制监督制度。</w:t>
      </w:r>
    </w:p>
    <w:p>
      <w:pPr>
        <w:pageBreakBefore w:val="0"/>
        <w:kinsoku/>
        <w:wordWrap/>
        <w:overflowPunct/>
        <w:topLinePunct w:val="0"/>
        <w:bidi w:val="0"/>
        <w:spacing w:line="560" w:lineRule="exact"/>
        <w:textAlignment w:val="auto"/>
        <w:rPr>
          <w:rStyle w:val="19"/>
          <w:rFonts w:ascii="黑体" w:hAnsi="黑体" w:eastAsia="黑体"/>
          <w:b w:val="0"/>
          <w:color w:val="auto"/>
          <w:highlight w:val="none"/>
        </w:rPr>
      </w:pPr>
    </w:p>
    <w:p>
      <w:pPr>
        <w:pageBreakBefore w:val="0"/>
        <w:kinsoku/>
        <w:wordWrap/>
        <w:overflowPunct/>
        <w:topLinePunct w:val="0"/>
        <w:bidi w:val="0"/>
        <w:spacing w:line="560" w:lineRule="exact"/>
        <w:textAlignment w:val="auto"/>
        <w:rPr>
          <w:rFonts w:hint="eastAsia" w:ascii="黑体" w:hAnsi="黑体" w:eastAsia="黑体"/>
          <w:color w:val="auto"/>
          <w:sz w:val="44"/>
          <w:szCs w:val="44"/>
          <w:highlight w:val="none"/>
        </w:rPr>
      </w:pPr>
      <w:bookmarkStart w:id="62" w:name="_Toc15396618"/>
    </w:p>
    <w:p>
      <w:pPr>
        <w:pageBreakBefore w:val="0"/>
        <w:kinsoku/>
        <w:wordWrap/>
        <w:overflowPunct/>
        <w:topLinePunct w:val="0"/>
        <w:bidi w:val="0"/>
        <w:spacing w:line="560" w:lineRule="exact"/>
        <w:textAlignment w:val="auto"/>
        <w:rPr>
          <w:rFonts w:hint="eastAsia" w:ascii="黑体" w:hAnsi="黑体" w:eastAsia="黑体"/>
          <w:color w:val="auto"/>
          <w:sz w:val="44"/>
          <w:szCs w:val="44"/>
          <w:highlight w:val="none"/>
        </w:rPr>
      </w:pPr>
    </w:p>
    <w:p>
      <w:pPr>
        <w:pageBreakBefore w:val="0"/>
        <w:kinsoku/>
        <w:wordWrap/>
        <w:overflowPunct/>
        <w:topLinePunct w:val="0"/>
        <w:bidi w:val="0"/>
        <w:spacing w:line="560" w:lineRule="exact"/>
        <w:textAlignment w:val="auto"/>
        <w:rPr>
          <w:rFonts w:hint="eastAsia" w:ascii="黑体" w:hAnsi="黑体" w:eastAsia="黑体"/>
          <w:color w:val="auto"/>
          <w:sz w:val="44"/>
          <w:szCs w:val="44"/>
          <w:highlight w:val="none"/>
        </w:rPr>
      </w:pPr>
    </w:p>
    <w:p>
      <w:pPr>
        <w:pStyle w:val="26"/>
        <w:keepNext w:val="0"/>
        <w:keepLines w:val="0"/>
        <w:pageBreakBefore w:val="0"/>
        <w:widowControl w:val="0"/>
        <w:kinsoku/>
        <w:wordWrap/>
        <w:overflowPunct/>
        <w:topLinePunct w:val="0"/>
        <w:autoSpaceDE/>
        <w:autoSpaceDN/>
        <w:bidi w:val="0"/>
        <w:spacing w:line="560"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lang w:val="en-US"/>
        </w:rPr>
        <w:t>铁路护路联防专项资金</w:t>
      </w:r>
      <w:r>
        <w:rPr>
          <w:rFonts w:hint="eastAsia" w:ascii="方正小标宋简体" w:hAnsi="方正小标宋简体" w:eastAsia="方正小标宋简体" w:cs="方正小标宋简体"/>
          <w:color w:val="auto"/>
          <w:kern w:val="2"/>
          <w:sz w:val="44"/>
          <w:szCs w:val="44"/>
          <w:highlight w:val="none"/>
          <w:lang w:val="en-US" w:eastAsia="zh-CN"/>
        </w:rPr>
        <w:t>项目绩效评价报告</w:t>
      </w:r>
    </w:p>
    <w:p>
      <w:pPr>
        <w:pStyle w:val="26"/>
        <w:keepNext w:val="0"/>
        <w:keepLines w:val="0"/>
        <w:pageBreakBefore w:val="0"/>
        <w:widowControl w:val="0"/>
        <w:kinsoku/>
        <w:wordWrap/>
        <w:overflowPunct/>
        <w:topLinePunct w:val="0"/>
        <w:autoSpaceDE/>
        <w:autoSpaceDN/>
        <w:bidi w:val="0"/>
        <w:spacing w:line="560" w:lineRule="exact"/>
        <w:ind w:left="0" w:leftChars="0" w:firstLine="640"/>
        <w:jc w:val="center"/>
        <w:textAlignment w:val="auto"/>
        <w:rPr>
          <w:rFonts w:ascii="宋体" w:hAnsi="宋体"/>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pPr>
        <w:pageBreakBefore w:val="0"/>
        <w:widowControl/>
        <w:kinsoku/>
        <w:wordWrap/>
        <w:overflowPunct/>
        <w:topLinePunct w:val="0"/>
        <w:bidi w:val="0"/>
        <w:adjustRightInd w:val="0"/>
        <w:snapToGrid w:val="0"/>
        <w:spacing w:line="560" w:lineRule="exact"/>
        <w:ind w:firstLine="642" w:firstLineChars="200"/>
        <w:contextualSpacing/>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b w:val="0"/>
          <w:bCs w:val="0"/>
          <w:kern w:val="0"/>
          <w:position w:val="0"/>
          <w:sz w:val="32"/>
          <w:szCs w:val="32"/>
          <w:highlight w:val="none"/>
          <w:lang w:val="en-US" w:eastAsia="zh-CN" w:bidi="ar-SA"/>
        </w:rPr>
        <w:t>2023年11月28日，川青铁路茂县站正式开通，为扎实开展好铁路联防工作，省财政厅下达我县铁路护路联防专项资金。</w:t>
      </w:r>
      <w:r>
        <w:rPr>
          <w:rFonts w:hint="eastAsia" w:ascii="仿宋_GB2312" w:hAnsi="仿宋_GB2312" w:eastAsia="仿宋_GB2312" w:cs="仿宋_GB2312"/>
          <w:b w:val="0"/>
          <w:bCs w:val="0"/>
          <w:kern w:val="0"/>
          <w:position w:val="0"/>
          <w:sz w:val="32"/>
          <w:szCs w:val="32"/>
          <w:highlight w:val="none"/>
          <w:lang w:val="zh-CN" w:eastAsia="zh-CN" w:bidi="ar-SA"/>
        </w:rPr>
        <w:t>资金申报依据：</w:t>
      </w:r>
      <w:r>
        <w:rPr>
          <w:rFonts w:hint="eastAsia" w:ascii="仿宋_GB2312" w:hAnsi="仿宋_GB2312" w:eastAsia="仿宋_GB2312" w:cs="仿宋_GB2312"/>
          <w:b w:val="0"/>
          <w:bCs w:val="0"/>
          <w:kern w:val="0"/>
          <w:position w:val="0"/>
          <w:sz w:val="32"/>
          <w:szCs w:val="32"/>
          <w:highlight w:val="none"/>
          <w:lang w:val="en-US" w:eastAsia="zh-CN" w:bidi="ar-SA"/>
        </w:rPr>
        <w:t>依据是四川省财政厅《关于下达2023年省级铁路护路联防专项资金的通知》（川财行</w:t>
      </w:r>
      <w:r>
        <w:rPr>
          <w:rFonts w:hint="eastAsia" w:ascii="Times New Roman" w:hAnsi="Times New Roman" w:eastAsia="仿宋_GB2312" w:cs="Times New Roman"/>
          <w:sz w:val="32"/>
          <w:szCs w:val="32"/>
          <w:lang w:val="zh-CN" w:eastAsia="zh-CN"/>
        </w:rPr>
        <w:t>〔</w:t>
      </w:r>
      <w:r>
        <w:rPr>
          <w:rFonts w:hint="eastAsia" w:ascii="仿宋_GB2312" w:hAnsi="仿宋_GB2312" w:eastAsia="仿宋_GB2312" w:cs="仿宋_GB2312"/>
          <w:b w:val="0"/>
          <w:bCs w:val="0"/>
          <w:kern w:val="0"/>
          <w:position w:val="0"/>
          <w:sz w:val="32"/>
          <w:szCs w:val="32"/>
          <w:highlight w:val="none"/>
          <w:lang w:val="zh-CN" w:eastAsia="zh-CN" w:bidi="ar-SA"/>
        </w:rPr>
        <w:t>2023</w:t>
      </w:r>
      <w:r>
        <w:rPr>
          <w:rFonts w:hint="eastAsia" w:ascii="Times New Roman" w:hAnsi="Times New Roman" w:eastAsia="仿宋_GB2312" w:cs="Times New Roman"/>
          <w:sz w:val="32"/>
          <w:szCs w:val="32"/>
          <w:lang w:val="zh-CN" w:eastAsia="zh-CN"/>
        </w:rPr>
        <w:t>〕</w:t>
      </w:r>
      <w:r>
        <w:rPr>
          <w:rFonts w:hint="eastAsia" w:ascii="仿宋_GB2312" w:hAnsi="仿宋_GB2312" w:eastAsia="仿宋_GB2312" w:cs="仿宋_GB2312"/>
          <w:b w:val="0"/>
          <w:bCs w:val="0"/>
          <w:kern w:val="0"/>
          <w:position w:val="0"/>
          <w:sz w:val="32"/>
          <w:szCs w:val="32"/>
          <w:highlight w:val="none"/>
          <w:lang w:val="en-US" w:eastAsia="zh-CN" w:bidi="ar-SA"/>
        </w:rPr>
        <w:t>28号），</w:t>
      </w:r>
      <w:r>
        <w:rPr>
          <w:rFonts w:hint="eastAsia" w:ascii="仿宋_GB2312" w:hAnsi="仿宋_GB2312" w:eastAsia="仿宋_GB2312" w:cs="仿宋_GB2312"/>
          <w:b w:val="0"/>
          <w:bCs w:val="0"/>
          <w:kern w:val="0"/>
          <w:position w:val="0"/>
          <w:sz w:val="32"/>
          <w:szCs w:val="32"/>
          <w:highlight w:val="none"/>
          <w:lang w:val="zh-CN" w:eastAsia="zh-CN" w:bidi="ar-SA"/>
        </w:rPr>
        <w:t>项目主要包括：群防群治务工补助、公务经费、重点整治信息化建设、护路队员绩效考核。主管部门职能：维护</w:t>
      </w:r>
      <w:r>
        <w:rPr>
          <w:rFonts w:hint="eastAsia" w:ascii="仿宋_GB2312" w:hAnsi="仿宋_GB2312" w:eastAsia="仿宋_GB2312" w:cs="仿宋_GB2312"/>
          <w:b w:val="0"/>
          <w:bCs w:val="0"/>
          <w:kern w:val="0"/>
          <w:position w:val="0"/>
          <w:sz w:val="32"/>
          <w:szCs w:val="32"/>
          <w:highlight w:val="none"/>
          <w:lang w:val="en-US" w:eastAsia="zh-CN" w:bidi="ar-SA"/>
        </w:rPr>
        <w:t>好</w:t>
      </w:r>
      <w:r>
        <w:rPr>
          <w:rFonts w:hint="eastAsia" w:ascii="仿宋_GB2312" w:hAnsi="仿宋_GB2312" w:eastAsia="仿宋_GB2312" w:cs="仿宋_GB2312"/>
          <w:b w:val="0"/>
          <w:bCs w:val="0"/>
          <w:kern w:val="0"/>
          <w:position w:val="0"/>
          <w:sz w:val="32"/>
          <w:szCs w:val="32"/>
          <w:highlight w:val="none"/>
          <w:lang w:val="zh-CN" w:eastAsia="zh-CN" w:bidi="ar-SA"/>
        </w:rPr>
        <w:t>铁路沿线治安秩序，严厉打击危害铁路运输安全的各种违法犯罪活动，适时开展铁路沿线突出治安问题整治活动，完善沿线警示牌设立，督导护路队伍开展好巡查及宣传工作。</w:t>
      </w:r>
    </w:p>
    <w:p>
      <w:pPr>
        <w:pageBreakBefore w:val="0"/>
        <w:kinsoku/>
        <w:wordWrap/>
        <w:overflowPunct/>
        <w:topLinePunct w:val="0"/>
        <w:bidi w:val="0"/>
        <w:adjustRightInd w:val="0"/>
        <w:snapToGrid w:val="0"/>
        <w:spacing w:line="560" w:lineRule="exact"/>
        <w:ind w:firstLine="642"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b w:val="0"/>
          <w:bCs w:val="0"/>
          <w:kern w:val="0"/>
          <w:position w:val="0"/>
          <w:sz w:val="32"/>
          <w:szCs w:val="32"/>
          <w:highlight w:val="none"/>
          <w:lang w:val="zh-CN" w:eastAsia="zh-CN" w:bidi="ar-SA"/>
        </w:rPr>
        <w:t>项目资金管理办法制定情况：县护路办参照州护路办专项资金分配方案制定《茂县公安局</w:t>
      </w:r>
      <w:r>
        <w:rPr>
          <w:rFonts w:hint="eastAsia" w:ascii="仿宋_GB2312" w:hAnsi="仿宋_GB2312" w:eastAsia="仿宋_GB2312" w:cs="仿宋_GB2312"/>
          <w:b w:val="0"/>
          <w:bCs w:val="0"/>
          <w:kern w:val="0"/>
          <w:position w:val="0"/>
          <w:sz w:val="32"/>
          <w:szCs w:val="32"/>
          <w:highlight w:val="none"/>
          <w:lang w:val="en-US" w:eastAsia="zh-CN" w:bidi="ar-SA"/>
        </w:rPr>
        <w:t>2023年铁路护路联防专项资金分配方案</w:t>
      </w:r>
      <w:r>
        <w:rPr>
          <w:rFonts w:hint="eastAsia" w:ascii="仿宋_GB2312" w:hAnsi="仿宋_GB2312" w:eastAsia="仿宋_GB2312" w:cs="仿宋_GB2312"/>
          <w:b w:val="0"/>
          <w:bCs w:val="0"/>
          <w:kern w:val="0"/>
          <w:position w:val="0"/>
          <w:sz w:val="32"/>
          <w:szCs w:val="32"/>
          <w:highlight w:val="none"/>
          <w:lang w:val="zh-CN" w:eastAsia="zh-CN" w:bidi="ar-SA"/>
        </w:rPr>
        <w:t>》。项目实施目的和主要工作任务：通过完善铁路沿线警示牌，加大铁路沿线治安防范及危行宣传教育，漂浮物清理等确保铁路安全运行。项目支持方向：群防群治务工补助、公务经费、重点整治信息化建设、护路队员绩效考核。</w:t>
      </w:r>
    </w:p>
    <w:p>
      <w:pPr>
        <w:pageBreakBefore w:val="0"/>
        <w:widowControl/>
        <w:kinsoku/>
        <w:wordWrap/>
        <w:overflowPunct/>
        <w:topLinePunct w:val="0"/>
        <w:bidi w:val="0"/>
        <w:adjustRightInd w:val="0"/>
        <w:snapToGrid w:val="0"/>
        <w:spacing w:line="560" w:lineRule="exact"/>
        <w:ind w:firstLine="642" w:firstLineChars="200"/>
        <w:contextualSpacing/>
        <w:jc w:val="left"/>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b w:val="0"/>
          <w:bCs w:val="0"/>
          <w:kern w:val="0"/>
          <w:position w:val="0"/>
          <w:sz w:val="32"/>
          <w:szCs w:val="32"/>
          <w:highlight w:val="none"/>
          <w:lang w:val="zh-CN" w:eastAsia="zh-CN" w:bidi="ar-SA"/>
        </w:rPr>
        <w:t>项目预算安排情况：</w:t>
      </w:r>
      <w:r>
        <w:rPr>
          <w:rFonts w:hint="eastAsia" w:ascii="仿宋_GB2312" w:hAnsi="仿宋_GB2312" w:eastAsia="仿宋_GB2312" w:cs="仿宋_GB2312"/>
          <w:b w:val="0"/>
          <w:bCs w:val="0"/>
          <w:kern w:val="0"/>
          <w:position w:val="0"/>
          <w:sz w:val="32"/>
          <w:szCs w:val="32"/>
          <w:highlight w:val="none"/>
          <w:lang w:val="en-US" w:eastAsia="zh-CN" w:bidi="ar-SA"/>
        </w:rPr>
        <w:t>省财政厅下达我县40.00万元，其中群防群治务工补助26.00万元，公务经费补助4.00万元，</w:t>
      </w:r>
      <w:r>
        <w:rPr>
          <w:rFonts w:hint="eastAsia" w:ascii="仿宋_GB2312" w:hAnsi="仿宋_GB2312" w:eastAsia="仿宋_GB2312" w:cs="仿宋_GB2312"/>
          <w:b w:val="0"/>
          <w:bCs w:val="0"/>
          <w:kern w:val="0"/>
          <w:position w:val="0"/>
          <w:sz w:val="32"/>
          <w:szCs w:val="32"/>
          <w:highlight w:val="none"/>
          <w:lang w:val="zh-CN" w:eastAsia="zh-CN" w:bidi="ar-SA"/>
        </w:rPr>
        <w:t>护路队员绩效考核</w:t>
      </w:r>
      <w:r>
        <w:rPr>
          <w:rFonts w:hint="eastAsia" w:ascii="仿宋_GB2312" w:hAnsi="仿宋_GB2312" w:eastAsia="仿宋_GB2312" w:cs="仿宋_GB2312"/>
          <w:b w:val="0"/>
          <w:bCs w:val="0"/>
          <w:kern w:val="0"/>
          <w:position w:val="0"/>
          <w:sz w:val="32"/>
          <w:szCs w:val="32"/>
          <w:highlight w:val="none"/>
          <w:lang w:val="en-US" w:eastAsia="zh-CN" w:bidi="ar-SA"/>
        </w:rPr>
        <w:t>10.00万元。</w:t>
      </w:r>
      <w:r>
        <w:rPr>
          <w:rFonts w:hint="eastAsia" w:ascii="仿宋_GB2312" w:hAnsi="仿宋_GB2312" w:eastAsia="仿宋_GB2312" w:cs="仿宋_GB2312"/>
          <w:b w:val="0"/>
          <w:bCs w:val="0"/>
          <w:kern w:val="0"/>
          <w:position w:val="0"/>
          <w:sz w:val="32"/>
          <w:szCs w:val="32"/>
          <w:highlight w:val="none"/>
          <w:lang w:val="zh-CN" w:eastAsia="zh-CN" w:bidi="ar-SA"/>
        </w:rPr>
        <w:t>项目资金分配原则及考虑因素：按照我县铁路总里程</w:t>
      </w:r>
      <w:r>
        <w:rPr>
          <w:rFonts w:hint="eastAsia" w:ascii="仿宋_GB2312" w:hAnsi="仿宋_GB2312" w:eastAsia="仿宋_GB2312" w:cs="仿宋_GB2312"/>
          <w:b w:val="0"/>
          <w:bCs w:val="0"/>
          <w:kern w:val="0"/>
          <w:position w:val="0"/>
          <w:sz w:val="32"/>
          <w:szCs w:val="32"/>
          <w:highlight w:val="none"/>
          <w:lang w:val="en-US" w:eastAsia="zh-CN" w:bidi="ar-SA"/>
        </w:rPr>
        <w:t>79.33公里，每名护路队员管辖3-5公里及沿线治安环境、护路实际进行测算</w:t>
      </w:r>
      <w:r>
        <w:rPr>
          <w:rFonts w:hint="eastAsia" w:ascii="仿宋_GB2312" w:hAnsi="仿宋_GB2312" w:eastAsia="仿宋_GB2312" w:cs="仿宋_GB2312"/>
          <w:b w:val="0"/>
          <w:bCs w:val="0"/>
          <w:kern w:val="0"/>
          <w:position w:val="0"/>
          <w:sz w:val="32"/>
          <w:szCs w:val="32"/>
          <w:highlight w:val="none"/>
          <w:lang w:val="zh-CN" w:eastAsia="zh-CN" w:bidi="ar-SA"/>
        </w:rPr>
        <w:t>。</w:t>
      </w:r>
    </w:p>
    <w:p>
      <w:pPr>
        <w:keepNext w:val="0"/>
        <w:keepLines w:val="0"/>
        <w:pageBreakBefore w:val="0"/>
        <w:kinsoku/>
        <w:wordWrap/>
        <w:overflowPunct/>
        <w:topLinePunct w:val="0"/>
        <w:autoSpaceDE/>
        <w:autoSpaceDN/>
        <w:bidi w:val="0"/>
        <w:adjustRightInd w:val="0"/>
        <w:snapToGrid w:val="0"/>
        <w:spacing w:line="560" w:lineRule="exact"/>
        <w:ind w:left="0" w:leftChars="0" w:firstLine="642" w:firstLineChars="200"/>
        <w:textAlignment w:val="auto"/>
        <w:rPr>
          <w:rFonts w:hint="default"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b w:val="0"/>
          <w:bCs w:val="0"/>
          <w:kern w:val="0"/>
          <w:position w:val="0"/>
          <w:sz w:val="32"/>
          <w:szCs w:val="32"/>
          <w:highlight w:val="none"/>
          <w:lang w:val="en-US" w:eastAsia="zh-CN" w:bidi="ar-SA"/>
        </w:rPr>
        <w:t>铁路沿线治安秩序良好，无危行事故发生，爱路护路氛围浓厚</w:t>
      </w:r>
      <w:r>
        <w:rPr>
          <w:rFonts w:hint="eastAsia" w:ascii="仿宋_GB2312" w:hAnsi="仿宋_GB2312" w:eastAsia="仿宋_GB2312" w:cs="仿宋_GB2312"/>
          <w:b w:val="0"/>
          <w:bCs w:val="0"/>
          <w:kern w:val="0"/>
          <w:position w:val="0"/>
          <w:sz w:val="32"/>
          <w:szCs w:val="32"/>
          <w:highlight w:val="none"/>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60" w:lineRule="exact"/>
        <w:ind w:left="0" w:right="0" w:firstLine="642" w:firstLineChars="200"/>
        <w:jc w:val="both"/>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kern w:val="0"/>
          <w:sz w:val="32"/>
          <w:szCs w:val="32"/>
          <w:shd w:val="clear" w:color="auto" w:fill="FFFFFF"/>
          <w:lang w:val="en-US" w:eastAsia="zh-CN" w:bidi="ar-SA"/>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pageBreakBefore w:val="0"/>
        <w:kinsoku/>
        <w:wordWrap/>
        <w:overflowPunct/>
        <w:topLinePunct w:val="0"/>
        <w:bidi w:val="0"/>
        <w:adjustRightInd w:val="0"/>
        <w:snapToGrid w:val="0"/>
        <w:spacing w:line="560" w:lineRule="exact"/>
        <w:ind w:firstLine="642"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color w:val="auto"/>
          <w:kern w:val="0"/>
          <w:sz w:val="32"/>
          <w:szCs w:val="32"/>
          <w:shd w:val="clear" w:color="auto" w:fill="FFFFFF"/>
          <w:lang w:val="en-US" w:eastAsia="zh-CN" w:bidi="ar-SA"/>
        </w:rPr>
        <w:t>资金支出范围、程序是否合规。</w:t>
      </w:r>
    </w:p>
    <w:p>
      <w:pPr>
        <w:pageBreakBefore w:val="0"/>
        <w:kinsoku/>
        <w:wordWrap/>
        <w:overflowPunct/>
        <w:topLinePunct w:val="0"/>
        <w:bidi w:val="0"/>
        <w:adjustRightInd w:val="0"/>
        <w:snapToGrid w:val="0"/>
        <w:spacing w:line="560" w:lineRule="exact"/>
        <w:ind w:firstLine="642" w:firstLineChars="200"/>
        <w:textAlignment w:val="auto"/>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color w:val="auto"/>
          <w:kern w:val="0"/>
          <w:sz w:val="32"/>
          <w:szCs w:val="32"/>
          <w:shd w:val="clear" w:color="auto" w:fill="FFFFFF"/>
          <w:lang w:val="zh-CN" w:eastAsia="zh-CN" w:bidi="ar-SA"/>
        </w:rPr>
        <w:t>护路队员护路质效情况。</w:t>
      </w:r>
    </w:p>
    <w:p>
      <w:pPr>
        <w:pageBreakBefore w:val="0"/>
        <w:kinsoku/>
        <w:wordWrap/>
        <w:overflowPunct/>
        <w:topLinePunct w:val="0"/>
        <w:bidi w:val="0"/>
        <w:spacing w:line="560" w:lineRule="exact"/>
        <w:ind w:firstLine="640"/>
        <w:textAlignment w:val="auto"/>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kern w:val="0"/>
          <w:sz w:val="32"/>
          <w:szCs w:val="32"/>
          <w:shd w:val="clear" w:color="auto" w:fill="FFFFFF"/>
          <w:lang w:val="en-US" w:eastAsia="zh-CN" w:bidi="ar-SA"/>
        </w:rPr>
        <w:t>根据单位自评和现场抽样考核，项目未出现重大调整或无法实施的情况。现场查阅执行文件、会议记录等资料，</w:t>
      </w:r>
      <w:r>
        <w:rPr>
          <w:rFonts w:hint="default" w:ascii="仿宋_GB2312" w:hAnsi="仿宋_GB2312" w:eastAsia="仿宋_GB2312" w:cs="仿宋_GB2312"/>
          <w:kern w:val="0"/>
          <w:sz w:val="32"/>
          <w:szCs w:val="32"/>
          <w:shd w:val="clear" w:color="auto" w:fill="FFFFFF"/>
          <w:lang w:val="en-US" w:eastAsia="zh-CN" w:bidi="ar-SA"/>
        </w:rPr>
        <w:t>了解项目的实施过程和管理情况。</w:t>
      </w:r>
      <w:r>
        <w:rPr>
          <w:rFonts w:hint="eastAsia" w:ascii="仿宋_GB2312" w:hAnsi="仿宋_GB2312" w:eastAsia="仿宋_GB2312" w:cs="仿宋_GB2312"/>
          <w:kern w:val="0"/>
          <w:sz w:val="32"/>
          <w:szCs w:val="32"/>
          <w:shd w:val="clear" w:color="auto" w:fill="FFFFFF"/>
          <w:lang w:val="en-US" w:eastAsia="zh-CN" w:bidi="ar-SA"/>
        </w:rPr>
        <w:t>县公安局召开党委会议，讨论并安排项目相关工作，明确责任，合理分工，为项目顺利实施提供保障。</w:t>
      </w:r>
    </w:p>
    <w:p>
      <w:pPr>
        <w:pageBreakBefore w:val="0"/>
        <w:kinsoku/>
        <w:wordWrap/>
        <w:overflowPunct/>
        <w:topLinePunct w:val="0"/>
        <w:bidi w:val="0"/>
        <w:spacing w:line="560" w:lineRule="exact"/>
        <w:ind w:firstLine="640"/>
        <w:textAlignment w:val="auto"/>
        <w:rPr>
          <w:rFonts w:hint="eastAsia" w:eastAsia="仿宋_GB2312" w:cs="Times New Roman"/>
          <w:bCs/>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kern w:val="0"/>
          <w:sz w:val="32"/>
          <w:szCs w:val="32"/>
          <w:shd w:val="clear" w:color="auto" w:fill="FFFFFF"/>
          <w:lang w:val="en-US" w:eastAsia="zh-CN" w:bidi="ar-SA"/>
        </w:rPr>
        <w:t>成立以分管领导为组长，各部门负责人为成员的铁路护路联防专项资金绩效评价领导小组，领导小组设办公室于治安大队，治安大队长兼任办公室主任，负责对铁路护路联防专项资金情况进行评价。</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1.</w:t>
      </w:r>
      <w:r>
        <w:rPr>
          <w:rFonts w:hint="eastAsia" w:ascii="楷体_GB2312" w:hAnsi="楷体_GB2312" w:eastAsia="楷体_GB2312" w:cs="楷体_GB2312"/>
          <w:color w:val="auto"/>
          <w:sz w:val="32"/>
          <w:szCs w:val="32"/>
          <w:lang w:eastAsia="zh-CN"/>
        </w:rPr>
        <w:t>项目决策。</w:t>
      </w:r>
      <w:r>
        <w:rPr>
          <w:rFonts w:hint="eastAsia" w:ascii="仿宋_GB2312" w:hAnsi="仿宋_GB2312" w:eastAsia="仿宋_GB2312" w:cs="仿宋_GB2312"/>
          <w:b w:val="0"/>
          <w:bCs w:val="0"/>
          <w:kern w:val="0"/>
          <w:position w:val="0"/>
          <w:sz w:val="32"/>
          <w:szCs w:val="32"/>
          <w:highlight w:val="none"/>
          <w:lang w:val="zh-CN" w:eastAsia="zh-CN" w:bidi="ar-SA"/>
        </w:rPr>
        <w:t>项目立项经过了充分的调研和论证，决策程序规范、科学，项目规划符合国家和</w:t>
      </w:r>
      <w:r>
        <w:rPr>
          <w:rFonts w:hint="eastAsia" w:ascii="仿宋_GB2312" w:hAnsi="仿宋_GB2312" w:eastAsia="仿宋_GB2312" w:cs="仿宋_GB2312"/>
          <w:b w:val="0"/>
          <w:bCs w:val="0"/>
          <w:kern w:val="0"/>
          <w:position w:val="0"/>
          <w:sz w:val="32"/>
          <w:szCs w:val="32"/>
          <w:highlight w:val="none"/>
          <w:lang w:val="en-US" w:eastAsia="zh-CN" w:bidi="ar-SA"/>
        </w:rPr>
        <w:t>铁路护路联防专项</w:t>
      </w:r>
      <w:r>
        <w:rPr>
          <w:rFonts w:hint="eastAsia" w:ascii="仿宋_GB2312" w:hAnsi="仿宋_GB2312" w:eastAsia="仿宋_GB2312" w:cs="仿宋_GB2312"/>
          <w:b w:val="0"/>
          <w:bCs w:val="0"/>
          <w:kern w:val="0"/>
          <w:position w:val="0"/>
          <w:sz w:val="32"/>
          <w:szCs w:val="32"/>
          <w:highlight w:val="none"/>
          <w:lang w:val="zh-CN" w:eastAsia="zh-CN" w:bidi="ar-SA"/>
        </w:rPr>
        <w:t>的总体要求，具有较强的针对性和可操作性。</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项目管理。</w:t>
      </w:r>
      <w:r>
        <w:rPr>
          <w:rFonts w:hint="eastAsia" w:ascii="仿宋_GB2312" w:hAnsi="仿宋_GB2312" w:eastAsia="仿宋_GB2312" w:cs="仿宋_GB2312"/>
          <w:b w:val="0"/>
          <w:bCs w:val="0"/>
          <w:kern w:val="0"/>
          <w:position w:val="0"/>
          <w:sz w:val="32"/>
          <w:szCs w:val="32"/>
          <w:highlight w:val="none"/>
          <w:lang w:val="zh-CN" w:eastAsia="zh-CN" w:bidi="ar-SA"/>
        </w:rPr>
        <w:t>建立了完善的项目管理制度和资金管理办法，履行会计核算和财务管理制度。严格执行财务管理制度，财务处理及时，会计核算规范，使项目资金发挥最大的社会效益。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3.项目实施。</w:t>
      </w:r>
      <w:r>
        <w:rPr>
          <w:rFonts w:hint="eastAsia" w:ascii="仿宋_GB2312" w:hAnsi="仿宋_GB2312" w:eastAsia="仿宋_GB2312" w:cs="仿宋_GB2312"/>
          <w:b w:val="0"/>
          <w:bCs w:val="0"/>
          <w:kern w:val="0"/>
          <w:position w:val="0"/>
          <w:sz w:val="32"/>
          <w:szCs w:val="32"/>
          <w:highlight w:val="none"/>
          <w:lang w:val="zh-CN" w:eastAsia="zh-CN" w:bidi="ar-SA"/>
        </w:rPr>
        <w:t>预算执行情况良好，资金到位率高，支出进度符合项目要求。资金使用合规，未发现截留、挪用等违规现象。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4.项目结果。</w:t>
      </w:r>
      <w:r>
        <w:rPr>
          <w:rFonts w:hint="eastAsia" w:ascii="仿宋_GB2312" w:hAnsi="仿宋_GB2312" w:eastAsia="仿宋_GB2312" w:cs="仿宋_GB2312"/>
          <w:b w:val="0"/>
          <w:bCs w:val="0"/>
          <w:kern w:val="0"/>
          <w:position w:val="0"/>
          <w:sz w:val="32"/>
          <w:szCs w:val="32"/>
          <w:highlight w:val="none"/>
          <w:lang w:val="en-US" w:eastAsia="zh-CN" w:bidi="ar-SA"/>
        </w:rPr>
        <w:t>铁路沿线治安秩序良好，无危行事故发生，爱路护路氛围浓厚。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1.产业发展。</w:t>
      </w:r>
      <w:r>
        <w:rPr>
          <w:rFonts w:hint="eastAsia" w:ascii="仿宋_GB2312" w:hAnsi="仿宋_GB2312" w:eastAsia="仿宋_GB2312" w:cs="仿宋_GB2312"/>
          <w:b w:val="0"/>
          <w:bCs w:val="0"/>
          <w:kern w:val="0"/>
          <w:position w:val="0"/>
          <w:sz w:val="32"/>
          <w:szCs w:val="32"/>
          <w:highlight w:val="none"/>
          <w:lang w:val="en-US" w:eastAsia="zh-CN" w:bidi="ar-SA"/>
        </w:rPr>
        <w:t>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r>
        <w:rPr>
          <w:rFonts w:hint="eastAsia" w:ascii="仿宋_GB2312" w:hAnsi="仿宋_GB2312" w:eastAsia="仿宋_GB2312" w:cs="仿宋_GB2312"/>
          <w:b w:val="0"/>
          <w:bCs w:val="0"/>
          <w:kern w:val="0"/>
          <w:position w:val="0"/>
          <w:sz w:val="32"/>
          <w:szCs w:val="32"/>
          <w:highlight w:val="none"/>
          <w:lang w:val="en-US" w:eastAsia="zh-CN" w:bidi="ar-SA"/>
        </w:rPr>
        <w:t>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3.基础设施。</w:t>
      </w:r>
      <w:r>
        <w:rPr>
          <w:rFonts w:hint="eastAsia" w:ascii="仿宋_GB2312" w:hAnsi="仿宋_GB2312" w:eastAsia="仿宋_GB2312" w:cs="仿宋_GB2312"/>
          <w:b w:val="0"/>
          <w:bCs w:val="0"/>
          <w:kern w:val="0"/>
          <w:position w:val="0"/>
          <w:sz w:val="32"/>
          <w:szCs w:val="32"/>
          <w:highlight w:val="none"/>
          <w:lang w:val="zh-CN" w:eastAsia="zh-CN" w:bidi="ar-SA"/>
        </w:rPr>
        <w:t>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r>
        <w:rPr>
          <w:rFonts w:hint="eastAsia" w:ascii="仿宋_GB2312" w:hAnsi="仿宋_GB2312" w:eastAsia="仿宋_GB2312" w:cs="仿宋_GB2312"/>
          <w:b w:val="0"/>
          <w:bCs w:val="0"/>
          <w:kern w:val="0"/>
          <w:position w:val="0"/>
          <w:sz w:val="32"/>
          <w:szCs w:val="32"/>
          <w:highlight w:val="none"/>
          <w:lang w:val="zh-CN" w:eastAsia="zh-CN" w:bidi="ar-SA"/>
        </w:rPr>
        <w:t>该项目支出符合国家财经法规和财务管理制度规定以及有关专项资金管理办法的规定，按规定用途、适用范围管理，资金管理程序符合专项资金管理要求，资金分配标准符合专项资金管理要求。</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根据预算绩效管理相关制度的要求，结合项目绩效指标完成情况及对项目成本、项目效率、部门绩效目标实现的综合分析，项目综合评价为项目各项指标项均达到指标要求，项目实施达到预期效果。自评得分84分。</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s="Times New Roman"/>
          <w:color w:val="auto"/>
          <w:sz w:val="32"/>
          <w:szCs w:val="32"/>
          <w:highlight w:val="none"/>
          <w:u w:val="none"/>
          <w:lang w:eastAsia="zh-CN"/>
        </w:rPr>
      </w:pPr>
      <w:r>
        <w:rPr>
          <w:rFonts w:hint="eastAsia" w:ascii="黑体" w:hAnsi="宋体" w:eastAsia="黑体" w:cs="Times New Roman"/>
          <w:color w:val="auto"/>
          <w:sz w:val="32"/>
          <w:szCs w:val="32"/>
          <w:highlight w:val="none"/>
          <w:u w:val="none"/>
          <w:lang w:eastAsia="zh-CN"/>
        </w:rPr>
        <w:t>五、存在主要问题</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由于对支出绩效评价工作的重要性还认识不够，因此对绩效评价工作的重视度还不够，部分项目支出绩效指标无法用量化指标来进行考评。</w:t>
      </w:r>
    </w:p>
    <w:p>
      <w:pPr>
        <w:pStyle w:val="6"/>
        <w:pageBreakBefore w:val="0"/>
        <w:numPr>
          <w:ilvl w:val="0"/>
          <w:numId w:val="0"/>
        </w:numPr>
        <w:tabs>
          <w:tab w:val="left" w:pos="2160"/>
        </w:tabs>
        <w:kinsoku/>
        <w:wordWrap/>
        <w:overflowPunct/>
        <w:topLinePunct w:val="0"/>
        <w:autoSpaceDE/>
        <w:autoSpaceDN/>
        <w:bidi w:val="0"/>
        <w:adjustRightInd/>
        <w:spacing w:line="56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pPr>
        <w:pageBreakBefore w:val="0"/>
        <w:tabs>
          <w:tab w:val="left" w:pos="1911"/>
        </w:tabs>
        <w:kinsoku/>
        <w:wordWrap/>
        <w:overflowPunct/>
        <w:topLinePunct w:val="0"/>
        <w:bidi w:val="0"/>
        <w:spacing w:line="560" w:lineRule="exact"/>
        <w:jc w:val="left"/>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zh-CN" w:eastAsia="zh-CN" w:bidi="ar-SA"/>
        </w:rPr>
        <w:t xml:space="preserve"> </w:t>
      </w:r>
      <w:r>
        <w:rPr>
          <w:rFonts w:hint="eastAsia" w:ascii="仿宋_GB2312" w:hAnsi="仿宋_GB2312" w:eastAsia="仿宋_GB2312" w:cs="仿宋_GB2312"/>
          <w:b w:val="0"/>
          <w:bCs w:val="0"/>
          <w:kern w:val="0"/>
          <w:position w:val="0"/>
          <w:sz w:val="32"/>
          <w:szCs w:val="32"/>
          <w:highlight w:val="none"/>
          <w:lang w:val="en-US" w:eastAsia="zh-CN" w:bidi="ar-SA"/>
        </w:rPr>
        <w:t xml:space="preserve">   针对存在的问题，我们将进一步科学设定绩效目标，加强预算执行管理。遵循先有预算、后有支出的原则，加强《新预算法》《政府会计制度》等学习培训，规范部门预算收支核算，加强财务管理和内部控制监督制度。</w:t>
      </w:r>
    </w:p>
    <w:p>
      <w:pPr>
        <w:pageBreakBefore w:val="0"/>
        <w:kinsoku/>
        <w:wordWrap/>
        <w:overflowPunct/>
        <w:topLinePunct w:val="0"/>
        <w:bidi w:val="0"/>
        <w:spacing w:line="560" w:lineRule="exact"/>
        <w:textAlignment w:val="auto"/>
        <w:rPr>
          <w:rFonts w:hint="eastAsia" w:ascii="黑体" w:hAnsi="黑体" w:eastAsia="黑体"/>
          <w:color w:val="auto"/>
          <w:sz w:val="44"/>
          <w:szCs w:val="44"/>
          <w:highlight w:val="none"/>
        </w:rPr>
      </w:pPr>
      <w:r>
        <w:rPr>
          <w:rFonts w:hint="eastAsia" w:ascii="黑体" w:hAnsi="黑体" w:eastAsia="黑体"/>
          <w:color w:val="auto"/>
          <w:sz w:val="44"/>
          <w:szCs w:val="44"/>
          <w:highlight w:val="none"/>
        </w:rPr>
        <w:br w:type="page"/>
      </w:r>
    </w:p>
    <w:p>
      <w:pPr>
        <w:pageBreakBefore w:val="0"/>
        <w:widowControl/>
        <w:kinsoku/>
        <w:wordWrap/>
        <w:overflowPunct/>
        <w:topLinePunct w:val="0"/>
        <w:bidi w:val="0"/>
        <w:spacing w:line="560" w:lineRule="exact"/>
        <w:jc w:val="center"/>
        <w:textAlignment w:val="auto"/>
        <w:outlineLvl w:val="0"/>
        <w:rPr>
          <w:rFonts w:hint="eastAsia" w:ascii="仿宋" w:hAnsi="仿宋" w:eastAsia="仿宋"/>
          <w:b w:val="0"/>
          <w:color w:val="auto"/>
          <w:highlight w:val="none"/>
        </w:rPr>
      </w:pPr>
      <w:bookmarkStart w:id="63" w:name="_Toc14832"/>
      <w:r>
        <w:rPr>
          <w:rFonts w:hint="eastAsia" w:ascii="黑体" w:hAnsi="黑体" w:eastAsia="黑体"/>
          <w:color w:val="auto"/>
          <w:sz w:val="44"/>
          <w:szCs w:val="44"/>
          <w:highlight w:val="none"/>
        </w:rPr>
        <w:t>第</w:t>
      </w:r>
      <w:r>
        <w:rPr>
          <w:rStyle w:val="19"/>
          <w:rFonts w:hint="eastAsia" w:ascii="黑体" w:hAnsi="黑体" w:eastAsia="黑体"/>
          <w:b w:val="0"/>
          <w:color w:val="auto"/>
          <w:highlight w:val="none"/>
        </w:rPr>
        <w:t>五部分 附表</w:t>
      </w:r>
      <w:bookmarkEnd w:id="57"/>
      <w:bookmarkEnd w:id="62"/>
      <w:bookmarkEnd w:id="63"/>
      <w:bookmarkStart w:id="64" w:name="_Toc15396619"/>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65" w:name="_Toc15137"/>
      <w:r>
        <w:rPr>
          <w:rFonts w:hint="eastAsia" w:ascii="仿宋" w:hAnsi="仿宋" w:eastAsia="仿宋"/>
          <w:b w:val="0"/>
          <w:color w:val="auto"/>
          <w:highlight w:val="none"/>
        </w:rPr>
        <w:t>一、收</w:t>
      </w:r>
      <w:r>
        <w:rPr>
          <w:rStyle w:val="20"/>
          <w:rFonts w:hint="eastAsia" w:ascii="仿宋" w:hAnsi="仿宋" w:eastAsia="仿宋"/>
          <w:b w:val="0"/>
          <w:bCs w:val="0"/>
          <w:color w:val="auto"/>
          <w:highlight w:val="none"/>
        </w:rPr>
        <w:t>入支出决算总表</w:t>
      </w:r>
      <w:bookmarkEnd w:id="64"/>
      <w:bookmarkEnd w:id="65"/>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66" w:name="_Toc9907"/>
      <w:bookmarkStart w:id="67" w:name="_Toc15396620"/>
      <w:r>
        <w:rPr>
          <w:rFonts w:hint="eastAsia" w:ascii="仿宋" w:hAnsi="仿宋" w:eastAsia="仿宋"/>
          <w:b w:val="0"/>
          <w:color w:val="auto"/>
          <w:highlight w:val="none"/>
        </w:rPr>
        <w:t>二、收</w:t>
      </w:r>
      <w:r>
        <w:rPr>
          <w:rStyle w:val="20"/>
          <w:rFonts w:hint="eastAsia" w:ascii="仿宋" w:hAnsi="仿宋" w:eastAsia="仿宋"/>
          <w:b w:val="0"/>
          <w:bCs w:val="0"/>
          <w:color w:val="auto"/>
          <w:highlight w:val="none"/>
        </w:rPr>
        <w:t>入决算表</w:t>
      </w:r>
      <w:bookmarkEnd w:id="66"/>
      <w:bookmarkEnd w:id="67"/>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68" w:name="_Toc12602"/>
      <w:bookmarkStart w:id="69" w:name="_Toc15396621"/>
      <w:r>
        <w:rPr>
          <w:rStyle w:val="20"/>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0"/>
          <w:rFonts w:hint="eastAsia" w:ascii="仿宋" w:hAnsi="仿宋" w:eastAsia="仿宋"/>
          <w:b w:val="0"/>
          <w:bCs w:val="0"/>
          <w:color w:val="auto"/>
          <w:highlight w:val="none"/>
        </w:rPr>
        <w:t>出决算表</w:t>
      </w:r>
      <w:bookmarkEnd w:id="68"/>
      <w:bookmarkEnd w:id="69"/>
    </w:p>
    <w:p>
      <w:pPr>
        <w:pStyle w:val="4"/>
        <w:pageBreakBefore w:val="0"/>
        <w:kinsoku/>
        <w:wordWrap/>
        <w:overflowPunct/>
        <w:topLinePunct w:val="0"/>
        <w:bidi w:val="0"/>
        <w:spacing w:line="560" w:lineRule="exact"/>
        <w:textAlignment w:val="auto"/>
        <w:rPr>
          <w:rFonts w:ascii="仿宋" w:hAnsi="仿宋" w:eastAsia="仿宋"/>
          <w:b w:val="0"/>
          <w:color w:val="auto"/>
          <w:highlight w:val="none"/>
        </w:rPr>
      </w:pPr>
      <w:bookmarkStart w:id="70" w:name="_Toc15396622"/>
      <w:bookmarkStart w:id="71" w:name="_Toc6626"/>
      <w:r>
        <w:rPr>
          <w:rStyle w:val="20"/>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政拨款收入支出决算总表</w:t>
      </w:r>
      <w:bookmarkEnd w:id="70"/>
      <w:bookmarkEnd w:id="71"/>
    </w:p>
    <w:p>
      <w:pPr>
        <w:pStyle w:val="4"/>
        <w:pageBreakBefore w:val="0"/>
        <w:kinsoku/>
        <w:wordWrap/>
        <w:overflowPunct/>
        <w:topLinePunct w:val="0"/>
        <w:bidi w:val="0"/>
        <w:spacing w:line="560" w:lineRule="exact"/>
        <w:textAlignment w:val="auto"/>
        <w:rPr>
          <w:rStyle w:val="20"/>
          <w:rFonts w:ascii="仿宋" w:hAnsi="仿宋" w:eastAsia="仿宋"/>
          <w:b w:val="0"/>
          <w:bCs w:val="0"/>
          <w:color w:val="auto"/>
          <w:highlight w:val="none"/>
        </w:rPr>
      </w:pPr>
      <w:bookmarkStart w:id="72" w:name="_Toc15396623"/>
      <w:bookmarkStart w:id="73" w:name="_Toc14176"/>
      <w:r>
        <w:rPr>
          <w:rStyle w:val="20"/>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0"/>
          <w:rFonts w:hint="eastAsia" w:ascii="仿宋" w:hAnsi="仿宋" w:eastAsia="仿宋"/>
          <w:b w:val="0"/>
          <w:bCs w:val="0"/>
          <w:color w:val="auto"/>
          <w:highlight w:val="none"/>
        </w:rPr>
        <w:t>政拨款支出决算明细表</w:t>
      </w:r>
      <w:bookmarkEnd w:id="72"/>
      <w:bookmarkEnd w:id="73"/>
      <w:bookmarkStart w:id="74" w:name="_Toc15396624"/>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75" w:name="_Toc18423"/>
      <w:r>
        <w:rPr>
          <w:rStyle w:val="20"/>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般公共预算财政拨款支出决算表</w:t>
      </w:r>
      <w:bookmarkEnd w:id="74"/>
      <w:bookmarkEnd w:id="75"/>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76" w:name="_Toc19631"/>
      <w:bookmarkStart w:id="77" w:name="_Toc15396625"/>
      <w:r>
        <w:rPr>
          <w:rStyle w:val="20"/>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般公共预算财政拨款支出决算明细表</w:t>
      </w:r>
      <w:bookmarkEnd w:id="76"/>
      <w:bookmarkEnd w:id="77"/>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78" w:name="_Toc1532"/>
      <w:bookmarkStart w:id="79" w:name="_Toc15396626"/>
      <w:r>
        <w:rPr>
          <w:rStyle w:val="20"/>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般公共预算财政拨款基本支出决算表</w:t>
      </w:r>
      <w:bookmarkEnd w:id="78"/>
      <w:bookmarkEnd w:id="79"/>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80" w:name="_Toc740"/>
      <w:bookmarkStart w:id="81" w:name="_Toc15396627"/>
      <w:r>
        <w:rPr>
          <w:rStyle w:val="20"/>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0"/>
          <w:rFonts w:hint="eastAsia" w:ascii="仿宋" w:hAnsi="仿宋" w:eastAsia="仿宋"/>
          <w:b w:val="0"/>
          <w:bCs w:val="0"/>
          <w:color w:val="auto"/>
          <w:highlight w:val="none"/>
        </w:rPr>
        <w:t>般公共预算财政拨款项目支出决算表</w:t>
      </w:r>
      <w:bookmarkEnd w:id="80"/>
      <w:bookmarkEnd w:id="81"/>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82" w:name="_Toc15396628"/>
      <w:bookmarkStart w:id="83" w:name="_Toc21555"/>
      <w:r>
        <w:rPr>
          <w:rStyle w:val="20"/>
          <w:rFonts w:hint="eastAsia" w:ascii="仿宋" w:hAnsi="仿宋" w:eastAsia="仿宋"/>
          <w:b w:val="0"/>
          <w:bCs w:val="0"/>
          <w:color w:val="auto"/>
          <w:highlight w:val="none"/>
        </w:rPr>
        <w:t>十、</w:t>
      </w:r>
      <w:bookmarkEnd w:id="82"/>
      <w:r>
        <w:rPr>
          <w:rFonts w:hint="eastAsia" w:ascii="仿宋" w:hAnsi="仿宋" w:eastAsia="仿宋"/>
          <w:b w:val="0"/>
          <w:color w:val="auto"/>
          <w:highlight w:val="none"/>
        </w:rPr>
        <w:t>政</w:t>
      </w:r>
      <w:r>
        <w:rPr>
          <w:rStyle w:val="20"/>
          <w:rFonts w:hint="eastAsia" w:ascii="仿宋" w:hAnsi="仿宋" w:eastAsia="仿宋"/>
          <w:b w:val="0"/>
          <w:bCs w:val="0"/>
          <w:color w:val="auto"/>
          <w:highlight w:val="none"/>
        </w:rPr>
        <w:t>府性基金预算财政拨款收入支出决算表</w:t>
      </w:r>
      <w:bookmarkEnd w:id="83"/>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84" w:name="_Toc15396629"/>
      <w:bookmarkStart w:id="85" w:name="_Toc225"/>
      <w:r>
        <w:rPr>
          <w:rStyle w:val="20"/>
          <w:rFonts w:hint="eastAsia" w:ascii="仿宋" w:hAnsi="仿宋" w:eastAsia="仿宋"/>
          <w:b w:val="0"/>
          <w:bCs w:val="0"/>
          <w:color w:val="auto"/>
          <w:highlight w:val="none"/>
        </w:rPr>
        <w:t>十一、</w:t>
      </w:r>
      <w:bookmarkEnd w:id="84"/>
      <w:r>
        <w:rPr>
          <w:rFonts w:hint="eastAsia" w:ascii="仿宋" w:hAnsi="仿宋" w:eastAsia="仿宋"/>
          <w:b w:val="0"/>
          <w:color w:val="auto"/>
          <w:highlight w:val="none"/>
        </w:rPr>
        <w:t>国</w:t>
      </w:r>
      <w:r>
        <w:rPr>
          <w:rStyle w:val="20"/>
          <w:rFonts w:hint="eastAsia" w:ascii="仿宋" w:hAnsi="仿宋" w:eastAsia="仿宋"/>
          <w:b w:val="0"/>
          <w:bCs w:val="0"/>
          <w:color w:val="auto"/>
          <w:highlight w:val="none"/>
        </w:rPr>
        <w:t>有资本经营预算</w:t>
      </w:r>
      <w:r>
        <w:rPr>
          <w:rStyle w:val="20"/>
          <w:rFonts w:hint="eastAsia" w:ascii="仿宋" w:hAnsi="仿宋" w:eastAsia="仿宋"/>
          <w:b w:val="0"/>
          <w:bCs w:val="0"/>
          <w:color w:val="auto"/>
          <w:highlight w:val="none"/>
          <w:lang w:eastAsia="zh-CN"/>
        </w:rPr>
        <w:t>财政拨款收入</w:t>
      </w:r>
      <w:r>
        <w:rPr>
          <w:rStyle w:val="20"/>
          <w:rFonts w:hint="eastAsia" w:ascii="仿宋" w:hAnsi="仿宋" w:eastAsia="仿宋"/>
          <w:b w:val="0"/>
          <w:bCs w:val="0"/>
          <w:color w:val="auto"/>
          <w:highlight w:val="none"/>
        </w:rPr>
        <w:t>支出决算表</w:t>
      </w:r>
      <w:bookmarkEnd w:id="85"/>
    </w:p>
    <w:p>
      <w:pPr>
        <w:pStyle w:val="4"/>
        <w:pageBreakBefore w:val="0"/>
        <w:kinsoku/>
        <w:wordWrap/>
        <w:overflowPunct/>
        <w:topLinePunct w:val="0"/>
        <w:bidi w:val="0"/>
        <w:spacing w:line="560" w:lineRule="exact"/>
        <w:textAlignment w:val="auto"/>
        <w:rPr>
          <w:rFonts w:ascii="仿宋" w:hAnsi="仿宋" w:eastAsia="仿宋"/>
          <w:color w:val="auto"/>
          <w:highlight w:val="none"/>
        </w:rPr>
      </w:pPr>
      <w:bookmarkStart w:id="86" w:name="_Toc15396630"/>
      <w:bookmarkStart w:id="87" w:name="_Toc28402"/>
      <w:r>
        <w:rPr>
          <w:rStyle w:val="20"/>
          <w:rFonts w:hint="eastAsia" w:ascii="仿宋" w:hAnsi="仿宋" w:eastAsia="仿宋"/>
          <w:b w:val="0"/>
          <w:bCs w:val="0"/>
          <w:color w:val="auto"/>
          <w:highlight w:val="none"/>
        </w:rPr>
        <w:t>十二、</w:t>
      </w:r>
      <w:bookmarkEnd w:id="86"/>
      <w:r>
        <w:rPr>
          <w:rStyle w:val="20"/>
          <w:rFonts w:hint="eastAsia" w:ascii="仿宋" w:hAnsi="仿宋" w:eastAsia="仿宋"/>
          <w:b w:val="0"/>
          <w:bCs w:val="0"/>
          <w:color w:val="auto"/>
          <w:highlight w:val="none"/>
          <w:lang w:eastAsia="zh-CN"/>
        </w:rPr>
        <w:t>国有资本经营预算财政拨款支出决算表</w:t>
      </w:r>
      <w:bookmarkEnd w:id="87"/>
    </w:p>
    <w:p>
      <w:pPr>
        <w:pStyle w:val="4"/>
        <w:pageBreakBefore w:val="0"/>
        <w:kinsoku/>
        <w:wordWrap/>
        <w:overflowPunct/>
        <w:topLinePunct w:val="0"/>
        <w:bidi w:val="0"/>
        <w:spacing w:line="560" w:lineRule="exact"/>
        <w:textAlignment w:val="auto"/>
        <w:rPr>
          <w:rStyle w:val="20"/>
          <w:rFonts w:hint="eastAsia" w:ascii="仿宋" w:hAnsi="仿宋" w:eastAsia="仿宋"/>
          <w:b w:val="0"/>
          <w:bCs w:val="0"/>
          <w:color w:val="auto"/>
          <w:highlight w:val="none"/>
          <w:lang w:eastAsia="zh-CN"/>
        </w:rPr>
      </w:pPr>
      <w:bookmarkStart w:id="88" w:name="_Toc15396631"/>
      <w:bookmarkStart w:id="89" w:name="_Toc1699"/>
      <w:r>
        <w:rPr>
          <w:rStyle w:val="20"/>
          <w:rFonts w:hint="eastAsia" w:ascii="仿宋" w:hAnsi="仿宋" w:eastAsia="仿宋"/>
          <w:b w:val="0"/>
          <w:bCs w:val="0"/>
          <w:color w:val="auto"/>
          <w:highlight w:val="none"/>
        </w:rPr>
        <w:t>十三、</w:t>
      </w:r>
      <w:bookmarkEnd w:id="88"/>
      <w:r>
        <w:rPr>
          <w:rStyle w:val="20"/>
          <w:rFonts w:hint="eastAsia" w:ascii="仿宋" w:hAnsi="仿宋" w:eastAsia="仿宋"/>
          <w:b w:val="0"/>
          <w:bCs w:val="0"/>
          <w:color w:val="auto"/>
          <w:highlight w:val="none"/>
          <w:lang w:eastAsia="zh-CN"/>
        </w:rPr>
        <w:t>财政拨款“三公”经费支出决算表</w:t>
      </w:r>
      <w:bookmarkEnd w:id="89"/>
    </w:p>
    <w:p>
      <w:pPr>
        <w:pageBreakBefore w:val="0"/>
        <w:kinsoku/>
        <w:wordWrap/>
        <w:overflowPunct/>
        <w:topLinePunct w:val="0"/>
        <w:bidi w:val="0"/>
        <w:spacing w:line="560" w:lineRule="exact"/>
        <w:textAlignment w:val="auto"/>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Liberation Sans">
    <w:altName w:val="文泉驿微米黑"/>
    <w:panose1 w:val="00000000000000000000"/>
    <w:charset w:val="00"/>
    <w:family w:val="swiss"/>
    <w:pitch w:val="default"/>
    <w:sig w:usb0="00000000" w:usb1="00000000" w:usb2="00000000" w:usb3="00000000" w:csb0="00040001" w:csb1="00000000"/>
  </w:font>
  <w:font w:name="Noto Sans CJK SC Regular">
    <w:panose1 w:val="020B0500000000000000"/>
    <w:charset w:val="86"/>
    <w:family w:val="auto"/>
    <w:pitch w:val="default"/>
    <w:sig w:usb0="30000003" w:usb1="2BDF3C10" w:usb2="00000016" w:usb3="00000000" w:csb0="602E0107" w:csb1="00000000"/>
  </w:font>
  <w:font w:name="??">
    <w:altName w:val="文泉驿微米黑"/>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jN2ExZmE2ZGVjZTFmOGNiMjRmZmUzNWZmZWE1MmQifQ=="/>
  </w:docVars>
  <w:rsids>
    <w:rsidRoot w:val="00172A27"/>
    <w:rsid w:val="004E2611"/>
    <w:rsid w:val="01461C6E"/>
    <w:rsid w:val="01921B78"/>
    <w:rsid w:val="02363837"/>
    <w:rsid w:val="04D620E4"/>
    <w:rsid w:val="04DC7356"/>
    <w:rsid w:val="05096457"/>
    <w:rsid w:val="051E0804"/>
    <w:rsid w:val="05451103"/>
    <w:rsid w:val="05B55F67"/>
    <w:rsid w:val="05DB3FF0"/>
    <w:rsid w:val="060F78F5"/>
    <w:rsid w:val="07530DCD"/>
    <w:rsid w:val="07983D2E"/>
    <w:rsid w:val="080C1B23"/>
    <w:rsid w:val="086919DE"/>
    <w:rsid w:val="08A748F7"/>
    <w:rsid w:val="09173899"/>
    <w:rsid w:val="09AA0C9F"/>
    <w:rsid w:val="0A3A0FC1"/>
    <w:rsid w:val="0D4F22F2"/>
    <w:rsid w:val="0D5C636E"/>
    <w:rsid w:val="0ED2440E"/>
    <w:rsid w:val="0EE31707"/>
    <w:rsid w:val="0F0F34B3"/>
    <w:rsid w:val="0F3D3835"/>
    <w:rsid w:val="0F7A0D2D"/>
    <w:rsid w:val="0F7D708D"/>
    <w:rsid w:val="0FAB06D8"/>
    <w:rsid w:val="10085649"/>
    <w:rsid w:val="107F7EB6"/>
    <w:rsid w:val="11912C8C"/>
    <w:rsid w:val="11FA7F03"/>
    <w:rsid w:val="120B19F7"/>
    <w:rsid w:val="126D6927"/>
    <w:rsid w:val="14195F8E"/>
    <w:rsid w:val="17703571"/>
    <w:rsid w:val="18271890"/>
    <w:rsid w:val="18C76178"/>
    <w:rsid w:val="18F97AF0"/>
    <w:rsid w:val="19D8609B"/>
    <w:rsid w:val="1A0D5DDB"/>
    <w:rsid w:val="1A392D84"/>
    <w:rsid w:val="1B026B8F"/>
    <w:rsid w:val="1B7B1CF8"/>
    <w:rsid w:val="1BD951BB"/>
    <w:rsid w:val="1CBA76A9"/>
    <w:rsid w:val="1CFE2CAE"/>
    <w:rsid w:val="1D1E42D1"/>
    <w:rsid w:val="1D273708"/>
    <w:rsid w:val="1DCC4059"/>
    <w:rsid w:val="1DD750EE"/>
    <w:rsid w:val="1EC7108A"/>
    <w:rsid w:val="1ECB39DD"/>
    <w:rsid w:val="1F0504A5"/>
    <w:rsid w:val="1F6B0953"/>
    <w:rsid w:val="1F7512F6"/>
    <w:rsid w:val="200A6222"/>
    <w:rsid w:val="20BF540A"/>
    <w:rsid w:val="21C04E3F"/>
    <w:rsid w:val="21C1384E"/>
    <w:rsid w:val="226738D0"/>
    <w:rsid w:val="231E08D1"/>
    <w:rsid w:val="23C96556"/>
    <w:rsid w:val="23E3039C"/>
    <w:rsid w:val="247E154C"/>
    <w:rsid w:val="25F8356B"/>
    <w:rsid w:val="28B261F9"/>
    <w:rsid w:val="293C4A6C"/>
    <w:rsid w:val="297E4186"/>
    <w:rsid w:val="29CF4958"/>
    <w:rsid w:val="2AA71F1B"/>
    <w:rsid w:val="2B107731"/>
    <w:rsid w:val="2C437476"/>
    <w:rsid w:val="2C48659F"/>
    <w:rsid w:val="2C66335D"/>
    <w:rsid w:val="2D9C500F"/>
    <w:rsid w:val="2D9E66A8"/>
    <w:rsid w:val="2E47162A"/>
    <w:rsid w:val="2F0B209A"/>
    <w:rsid w:val="2F524A74"/>
    <w:rsid w:val="31707A72"/>
    <w:rsid w:val="32CD26E3"/>
    <w:rsid w:val="33134E71"/>
    <w:rsid w:val="33321794"/>
    <w:rsid w:val="34A67CC1"/>
    <w:rsid w:val="34C10FE5"/>
    <w:rsid w:val="34CF4F70"/>
    <w:rsid w:val="34E85C28"/>
    <w:rsid w:val="35115C82"/>
    <w:rsid w:val="35951B6D"/>
    <w:rsid w:val="36764774"/>
    <w:rsid w:val="36A4650C"/>
    <w:rsid w:val="36B806B2"/>
    <w:rsid w:val="38783665"/>
    <w:rsid w:val="38BF307A"/>
    <w:rsid w:val="3A526BF0"/>
    <w:rsid w:val="3AAF461F"/>
    <w:rsid w:val="3ADB35EE"/>
    <w:rsid w:val="3B387C87"/>
    <w:rsid w:val="3BAE0DF9"/>
    <w:rsid w:val="3BEE0357"/>
    <w:rsid w:val="3C1C0F4C"/>
    <w:rsid w:val="3CF96CED"/>
    <w:rsid w:val="3D723D7B"/>
    <w:rsid w:val="3D8E15F8"/>
    <w:rsid w:val="3F386D7D"/>
    <w:rsid w:val="3FCF6CD5"/>
    <w:rsid w:val="40386BAD"/>
    <w:rsid w:val="40A35ACE"/>
    <w:rsid w:val="41E1190A"/>
    <w:rsid w:val="42145789"/>
    <w:rsid w:val="42C644C6"/>
    <w:rsid w:val="42F44822"/>
    <w:rsid w:val="43010592"/>
    <w:rsid w:val="432B7465"/>
    <w:rsid w:val="433E68BD"/>
    <w:rsid w:val="44494618"/>
    <w:rsid w:val="445930EE"/>
    <w:rsid w:val="451340A4"/>
    <w:rsid w:val="4671027F"/>
    <w:rsid w:val="47D77DB4"/>
    <w:rsid w:val="48597146"/>
    <w:rsid w:val="48C14CB2"/>
    <w:rsid w:val="48D11FAA"/>
    <w:rsid w:val="49E07403"/>
    <w:rsid w:val="4A386060"/>
    <w:rsid w:val="4A975188"/>
    <w:rsid w:val="4AC74A48"/>
    <w:rsid w:val="4C0F6FA6"/>
    <w:rsid w:val="4C282DDD"/>
    <w:rsid w:val="4C703258"/>
    <w:rsid w:val="4CB025BE"/>
    <w:rsid w:val="4D1473C4"/>
    <w:rsid w:val="4D5A571F"/>
    <w:rsid w:val="4E0E5A5B"/>
    <w:rsid w:val="4E151645"/>
    <w:rsid w:val="4E8D420E"/>
    <w:rsid w:val="4F67624F"/>
    <w:rsid w:val="4F700496"/>
    <w:rsid w:val="501A324C"/>
    <w:rsid w:val="50A20438"/>
    <w:rsid w:val="515C0CDE"/>
    <w:rsid w:val="52691F60"/>
    <w:rsid w:val="526A6404"/>
    <w:rsid w:val="52D47ED2"/>
    <w:rsid w:val="53340F8B"/>
    <w:rsid w:val="54912DFD"/>
    <w:rsid w:val="55120837"/>
    <w:rsid w:val="552F6927"/>
    <w:rsid w:val="5579695E"/>
    <w:rsid w:val="561E5A0C"/>
    <w:rsid w:val="57664CC0"/>
    <w:rsid w:val="58C91C75"/>
    <w:rsid w:val="59155DD9"/>
    <w:rsid w:val="59545718"/>
    <w:rsid w:val="598D46AB"/>
    <w:rsid w:val="59A5472C"/>
    <w:rsid w:val="59BE5287"/>
    <w:rsid w:val="59EC3BA2"/>
    <w:rsid w:val="5B665ACF"/>
    <w:rsid w:val="5BF977AD"/>
    <w:rsid w:val="5C020221"/>
    <w:rsid w:val="5D893349"/>
    <w:rsid w:val="5DE268FC"/>
    <w:rsid w:val="5E451AD3"/>
    <w:rsid w:val="5F125E59"/>
    <w:rsid w:val="5F3B1BBC"/>
    <w:rsid w:val="5FED343B"/>
    <w:rsid w:val="5FF65D54"/>
    <w:rsid w:val="5FFF39E3"/>
    <w:rsid w:val="60651F0E"/>
    <w:rsid w:val="62232481"/>
    <w:rsid w:val="63500CD6"/>
    <w:rsid w:val="636D6D76"/>
    <w:rsid w:val="637F34B4"/>
    <w:rsid w:val="65262602"/>
    <w:rsid w:val="65A82E7F"/>
    <w:rsid w:val="65D90ED8"/>
    <w:rsid w:val="6633606D"/>
    <w:rsid w:val="66537858"/>
    <w:rsid w:val="685F0182"/>
    <w:rsid w:val="6AA85D1E"/>
    <w:rsid w:val="6C6A2D58"/>
    <w:rsid w:val="6C95781F"/>
    <w:rsid w:val="6CE02399"/>
    <w:rsid w:val="6D8D3CB0"/>
    <w:rsid w:val="6DBD14AF"/>
    <w:rsid w:val="6E344155"/>
    <w:rsid w:val="6E922B12"/>
    <w:rsid w:val="6FF161BB"/>
    <w:rsid w:val="70110323"/>
    <w:rsid w:val="70581EFF"/>
    <w:rsid w:val="717421FD"/>
    <w:rsid w:val="719A097A"/>
    <w:rsid w:val="71B41EA2"/>
    <w:rsid w:val="71CD6690"/>
    <w:rsid w:val="72CB5C94"/>
    <w:rsid w:val="74957642"/>
    <w:rsid w:val="74DB6895"/>
    <w:rsid w:val="76086B89"/>
    <w:rsid w:val="769F2C47"/>
    <w:rsid w:val="77003F6C"/>
    <w:rsid w:val="775C46C3"/>
    <w:rsid w:val="77EEA8E9"/>
    <w:rsid w:val="77F85B7A"/>
    <w:rsid w:val="791F1447"/>
    <w:rsid w:val="7A3F1B7E"/>
    <w:rsid w:val="7ACF6A8B"/>
    <w:rsid w:val="7B6731D0"/>
    <w:rsid w:val="7DEB13D7"/>
    <w:rsid w:val="7E0D2D37"/>
    <w:rsid w:val="7E946742"/>
    <w:rsid w:val="7EEF321A"/>
    <w:rsid w:val="7FFBC679"/>
    <w:rsid w:val="AFEF86A5"/>
    <w:rsid w:val="DFFFDE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5">
    <w:name w:val="caption"/>
    <w:basedOn w:val="1"/>
    <w:next w:val="1"/>
    <w:qFormat/>
    <w:uiPriority w:val="0"/>
    <w:pPr>
      <w:widowControl w:val="0"/>
      <w:suppressLineNumbers/>
      <w:suppressAutoHyphens/>
      <w:spacing w:before="120" w:after="120"/>
    </w:pPr>
    <w:rPr>
      <w:i/>
      <w:iCs/>
      <w:sz w:val="24"/>
      <w:szCs w:val="24"/>
    </w:rPr>
  </w:style>
  <w:style w:type="paragraph" w:styleId="6">
    <w:name w:val="Body Text"/>
    <w:basedOn w:val="1"/>
    <w:qFormat/>
    <w:uiPriority w:val="0"/>
    <w:pPr>
      <w:spacing w:before="0" w:after="140" w:line="276" w:lineRule="auto"/>
    </w:p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List"/>
    <w:basedOn w:val="6"/>
    <w:qFormat/>
    <w:uiPriority w:val="0"/>
  </w:style>
  <w:style w:type="paragraph" w:styleId="11">
    <w:name w:val="footnote text"/>
    <w:basedOn w:val="1"/>
    <w:next w:val="8"/>
    <w:semiHidden/>
    <w:qFormat/>
    <w:uiPriority w:val="0"/>
    <w:pPr>
      <w:snapToGrid w:val="0"/>
      <w:jc w:val="left"/>
    </w:pPr>
    <w:rPr>
      <w:sz w:val="18"/>
      <w:szCs w:val="18"/>
    </w:rPr>
  </w:style>
  <w:style w:type="paragraph" w:styleId="12">
    <w:name w:val="table of figures"/>
    <w:basedOn w:val="1"/>
    <w:next w:val="1"/>
    <w:qFormat/>
    <w:uiPriority w:val="0"/>
    <w:pPr>
      <w:ind w:left="400" w:leftChars="200" w:hanging="200" w:hangingChars="200"/>
    </w:pPr>
    <w:rPr>
      <w:sz w:val="32"/>
      <w:szCs w:val="21"/>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99"/>
    <w:rPr>
      <w:b/>
    </w:rPr>
  </w:style>
  <w:style w:type="character" w:styleId="18">
    <w:name w:val="Hyperlink"/>
    <w:basedOn w:val="16"/>
    <w:unhideWhenUsed/>
    <w:qFormat/>
    <w:uiPriority w:val="99"/>
    <w:rPr>
      <w:color w:val="0000FF"/>
      <w:u w:val="single"/>
    </w:rPr>
  </w:style>
  <w:style w:type="character" w:customStyle="1" w:styleId="19">
    <w:name w:val="标题 1 Char"/>
    <w:basedOn w:val="16"/>
    <w:link w:val="3"/>
    <w:qFormat/>
    <w:uiPriority w:val="9"/>
    <w:rPr>
      <w:b/>
      <w:bCs/>
      <w:kern w:val="44"/>
      <w:sz w:val="44"/>
      <w:szCs w:val="44"/>
    </w:rPr>
  </w:style>
  <w:style w:type="character" w:customStyle="1" w:styleId="20">
    <w:name w:val="标题 2 Char"/>
    <w:basedOn w:val="16"/>
    <w:link w:val="4"/>
    <w:qFormat/>
    <w:uiPriority w:val="9"/>
    <w:rPr>
      <w:rFonts w:ascii="Cambria" w:hAnsi="Cambria" w:eastAsia="宋体" w:cs="Times New Roman"/>
      <w:b/>
      <w:bCs/>
      <w:sz w:val="32"/>
      <w:szCs w:val="32"/>
    </w:rPr>
  </w:style>
  <w:style w:type="character" w:customStyle="1" w:styleId="21">
    <w:name w:val="默认段落字体1"/>
    <w:qFormat/>
    <w:uiPriority w:val="0"/>
  </w:style>
  <w:style w:type="paragraph" w:customStyle="1" w:styleId="22">
    <w:name w:val="Heading"/>
    <w:basedOn w:val="1"/>
    <w:next w:val="6"/>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23">
    <w:name w:val="Index"/>
    <w:basedOn w:val="1"/>
    <w:qFormat/>
    <w:uiPriority w:val="0"/>
    <w:pPr>
      <w:widowControl w:val="0"/>
      <w:suppressLineNumbers/>
      <w:suppressAutoHyphens/>
    </w:pPr>
  </w:style>
  <w:style w:type="paragraph" w:styleId="24">
    <w:name w:val="List Paragraph"/>
    <w:basedOn w:val="1"/>
    <w:qFormat/>
    <w:uiPriority w:val="34"/>
    <w:pPr>
      <w:ind w:firstLine="420" w:firstLineChars="200"/>
    </w:p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 w:type="paragraph" w:customStyle="1" w:styleId="2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2.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1.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3.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收入支出决算总体情况说明</a:t>
            </a:r>
            <a:r>
              <a:rPr lang="en-US" altLang="zh-CN"/>
              <a:t>   </a:t>
            </a:r>
            <a:r>
              <a:rPr altLang="en-US"/>
              <a:t>（单位：万）</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hueOff val="0"/>
                <a:alpha val="70000"/>
              </a:schemeClr>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extLst>
                <c:ext xmlns:c15="http://schemas.microsoft.com/office/drawing/2012/chart" uri="{02D57815-91ED-43cb-92C2-25804820EDAC}">
                  <c15:fullRef>
                    <c15:sqref>Sheet1!$A$2:$A$5</c15:sqref>
                  </c15:fullRef>
                </c:ext>
              </c:extLst>
              <c:f>Sheet1!$A$2:$A$3</c:f>
              <c:strCache>
                <c:ptCount val="2"/>
                <c:pt idx="0">
                  <c:v>2023年</c:v>
                </c:pt>
                <c:pt idx="1">
                  <c:v>2024年</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7891.96</c:v>
                </c:pt>
                <c:pt idx="1">
                  <c:v>7702.44</c:v>
                </c:pt>
              </c:numCache>
            </c:numRef>
          </c:val>
        </c:ser>
        <c:dLbls>
          <c:showLegendKey val="0"/>
          <c:showVal val="1"/>
          <c:showCatName val="0"/>
          <c:showSerName val="0"/>
          <c:showPercent val="0"/>
          <c:showBubbleSize val="0"/>
        </c:dLbls>
        <c:gapWidth val="130"/>
        <c:overlap val="30"/>
        <c:axId val="128726738"/>
        <c:axId val="778997052"/>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系列 2</c:v>
                      </c:pt>
                    </c:strCache>
                  </c:strRef>
                </c:tx>
                <c:spPr>
                  <a:solidFill>
                    <a:schemeClr val="accent1">
                      <a:hueOff val="30000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Sheet1!$C$2:$C$5</c15:sqref>
                        </c15:fullRef>
                        <c15:formulaRef>
                          <c15:sqref>Sheet1!$C$2:$C$3</c15:sqref>
                        </c15:formulaRef>
                      </c:ext>
                    </c:extLst>
                    <c:numCache>
                      <c:formatCode>General</c:formatCode>
                      <c:ptCount val="2"/>
                      <c:pt idx="0">
                        <c:v>2.4</c:v>
                      </c:pt>
                      <c:pt idx="1">
                        <c:v>4.4</c:v>
                      </c:pt>
                    </c:numCache>
                  </c:numRef>
                </c:val>
              </c15:ser>
            </c15:filteredBarSeries>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1">
                      <a:hueOff val="60000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128726738"/>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78997052"/>
        <c:crosses val="autoZero"/>
        <c:auto val="1"/>
        <c:lblAlgn val="ctr"/>
        <c:lblOffset val="100"/>
        <c:noMultiLvlLbl val="0"/>
      </c:catAx>
      <c:valAx>
        <c:axId val="778997052"/>
        <c:scaling>
          <c:orientation val="minMax"/>
          <c:min val="5000"/>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28726738"/>
        <c:crosses val="autoZero"/>
        <c:crossBetween val="between"/>
        <c:majorUnit val="200"/>
      </c:valAx>
      <c:spPr>
        <a:noFill/>
        <a:ln>
          <a:noFill/>
        </a:ln>
        <a:effectLst/>
      </c:spPr>
    </c:plotArea>
    <c:plotVisOnly val="0"/>
    <c:dispBlanksAs val="gap"/>
    <c:showDLblsOverMax val="0"/>
  </c:chart>
  <c:spPr>
    <a:solidFill>
      <a:schemeClr val="bg1"/>
    </a:solidFill>
    <a:ln w="6350" cap="flat" cmpd="sng" algn="ctr">
      <a:no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收入决算情况说明  （单位：万）</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238343288748932"/>
                  <c:y val="-0.489541661042259"/>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c:v>
                </c:pt>
              </c:strCache>
            </c:strRef>
          </c:cat>
          <c:val>
            <c:numRef>
              <c:f>Sheet1!$B$2:$B$5</c:f>
              <c:numCache>
                <c:formatCode>General</c:formatCode>
                <c:ptCount val="4"/>
                <c:pt idx="0">
                  <c:v>7702.44</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支出决算情况说明  （单位：万）</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0785913313605122"/>
                  <c:y val="-0.061253475318095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49478028174504"/>
                  <c:y val="-0.022044432730857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5814.04</c:v>
                </c:pt>
                <c:pt idx="1">
                  <c:v>1888.39</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财政拨款收入支出决算情况说明</a:t>
            </a:r>
            <a:r>
              <a:rPr lang="en-US" altLang="zh-CN"/>
              <a:t>   </a:t>
            </a:r>
            <a:r>
              <a:rPr altLang="en-US"/>
              <a:t>（单位：万）</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hueOff val="0"/>
                <a:alpha val="70000"/>
              </a:schemeClr>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extLst>
                <c:ext xmlns:c15="http://schemas.microsoft.com/office/drawing/2012/chart" uri="{02D57815-91ED-43cb-92C2-25804820EDAC}">
                  <c15:fullRef>
                    <c15:sqref>Sheet1!$A$2:$A$5</c15:sqref>
                  </c15:fullRef>
                </c:ext>
              </c:extLst>
              <c:f>Sheet1!$A$2:$A$3</c:f>
              <c:strCache>
                <c:ptCount val="2"/>
                <c:pt idx="0">
                  <c:v>2023年</c:v>
                </c:pt>
                <c:pt idx="1">
                  <c:v>2024年</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7891.96</c:v>
                </c:pt>
                <c:pt idx="1">
                  <c:v>7702.44</c:v>
                </c:pt>
              </c:numCache>
            </c:numRef>
          </c:val>
        </c:ser>
        <c:dLbls>
          <c:showLegendKey val="0"/>
          <c:showVal val="1"/>
          <c:showCatName val="0"/>
          <c:showSerName val="0"/>
          <c:showPercent val="0"/>
          <c:showBubbleSize val="0"/>
        </c:dLbls>
        <c:gapWidth val="130"/>
        <c:overlap val="30"/>
        <c:axId val="128726738"/>
        <c:axId val="778997052"/>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系列 2</c:v>
                      </c:pt>
                    </c:strCache>
                  </c:strRef>
                </c:tx>
                <c:spPr>
                  <a:solidFill>
                    <a:schemeClr val="accent1">
                      <a:hueOff val="30000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Sheet1!$C$2:$C$5</c15:sqref>
                        </c15:fullRef>
                        <c15:formulaRef>
                          <c15:sqref>Sheet1!$C$2:$C$3</c15:sqref>
                        </c15:formulaRef>
                      </c:ext>
                    </c:extLst>
                    <c:numCache>
                      <c:formatCode>General</c:formatCode>
                      <c:ptCount val="2"/>
                      <c:pt idx="0">
                        <c:v>2.4</c:v>
                      </c:pt>
                      <c:pt idx="1">
                        <c:v>4.4</c:v>
                      </c:pt>
                    </c:numCache>
                  </c:numRef>
                </c:val>
              </c15:ser>
            </c15:filteredBarSeries>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1">
                      <a:hueOff val="60000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128726738"/>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78997052"/>
        <c:crosses val="autoZero"/>
        <c:auto val="1"/>
        <c:lblAlgn val="ctr"/>
        <c:lblOffset val="100"/>
        <c:noMultiLvlLbl val="0"/>
      </c:catAx>
      <c:valAx>
        <c:axId val="778997052"/>
        <c:scaling>
          <c:orientation val="minMax"/>
          <c:min val="5000"/>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28726738"/>
        <c:crosses val="autoZero"/>
        <c:crossBetween val="between"/>
        <c:majorUnit val="200"/>
      </c:valAx>
      <c:spPr>
        <a:noFill/>
        <a:ln>
          <a:noFill/>
        </a:ln>
        <a:effectLst/>
      </c:spPr>
    </c:plotArea>
    <c:plotVisOnly val="0"/>
    <c:dispBlanksAs val="gap"/>
    <c:showDLblsOverMax val="0"/>
  </c:chart>
  <c:spPr>
    <a:solidFill>
      <a:schemeClr val="bg1"/>
    </a:solidFill>
    <a:ln w="6350" cap="flat" cmpd="sng" algn="ctr">
      <a:no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一般公共预算财政拨款支出决算情况</a:t>
            </a:r>
            <a:r>
              <a:rPr lang="en-US" altLang="zh-CN"/>
              <a:t>   </a:t>
            </a:r>
            <a:r>
              <a:rPr altLang="en-US"/>
              <a:t>（单位：万）</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hueOff val="0"/>
                <a:alpha val="70000"/>
              </a:schemeClr>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extLst>
                <c:ext xmlns:c15="http://schemas.microsoft.com/office/drawing/2012/chart" uri="{02D57815-91ED-43cb-92C2-25804820EDAC}">
                  <c15:fullRef>
                    <c15:sqref>Sheet1!$A$2:$A$5</c15:sqref>
                  </c15:fullRef>
                </c:ext>
              </c:extLst>
              <c:f>Sheet1!$A$2:$A$3</c:f>
              <c:strCache>
                <c:ptCount val="2"/>
                <c:pt idx="0">
                  <c:v>2023年</c:v>
                </c:pt>
                <c:pt idx="1">
                  <c:v>2024年</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7891.96</c:v>
                </c:pt>
                <c:pt idx="1">
                  <c:v>7702.44</c:v>
                </c:pt>
              </c:numCache>
            </c:numRef>
          </c:val>
        </c:ser>
        <c:dLbls>
          <c:showLegendKey val="0"/>
          <c:showVal val="1"/>
          <c:showCatName val="0"/>
          <c:showSerName val="0"/>
          <c:showPercent val="0"/>
          <c:showBubbleSize val="0"/>
        </c:dLbls>
        <c:gapWidth val="130"/>
        <c:overlap val="30"/>
        <c:axId val="128726738"/>
        <c:axId val="778997052"/>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系列 2</c:v>
                      </c:pt>
                    </c:strCache>
                  </c:strRef>
                </c:tx>
                <c:spPr>
                  <a:solidFill>
                    <a:schemeClr val="accent1">
                      <a:hueOff val="30000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Sheet1!$C$2:$C$5</c15:sqref>
                        </c15:fullRef>
                        <c15:formulaRef>
                          <c15:sqref>Sheet1!$C$2:$C$3</c15:sqref>
                        </c15:formulaRef>
                      </c:ext>
                    </c:extLst>
                    <c:numCache>
                      <c:formatCode>General</c:formatCode>
                      <c:ptCount val="2"/>
                      <c:pt idx="0">
                        <c:v>2.4</c:v>
                      </c:pt>
                      <c:pt idx="1">
                        <c:v>4.4</c:v>
                      </c:pt>
                    </c:numCache>
                  </c:numRef>
                </c:val>
              </c15:ser>
            </c15:filteredBarSeries>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1">
                      <a:hueOff val="600000"/>
                      <a:alpha val="7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rgbClr val="FFFFFF"/>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128726738"/>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78997052"/>
        <c:crosses val="autoZero"/>
        <c:auto val="1"/>
        <c:lblAlgn val="ctr"/>
        <c:lblOffset val="100"/>
        <c:noMultiLvlLbl val="0"/>
      </c:catAx>
      <c:valAx>
        <c:axId val="778997052"/>
        <c:scaling>
          <c:orientation val="minMax"/>
          <c:min val="5000"/>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28726738"/>
        <c:crosses val="autoZero"/>
        <c:crossBetween val="between"/>
        <c:majorUnit val="200"/>
      </c:valAx>
      <c:spPr>
        <a:noFill/>
        <a:ln>
          <a:noFill/>
        </a:ln>
        <a:effectLst/>
      </c:spPr>
    </c:plotArea>
    <c:plotVisOnly val="0"/>
    <c:dispBlanksAs val="gap"/>
    <c:showDLblsOverMax val="0"/>
  </c:chart>
  <c:spPr>
    <a:solidFill>
      <a:schemeClr val="bg1"/>
    </a:solidFill>
    <a:ln w="6350" cap="flat" cmpd="sng" algn="ctr">
      <a:no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 （单位：万）</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102131176878045"/>
                  <c:y val="-0.092910876606189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04992418145969"/>
                  <c:y val="0.053303510363684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604108418164591"/>
                  <c:y val="-0.0245997833755408"/>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0.132151667248105"/>
                  <c:y val="-0.0048694180752659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公共安全</c:v>
                </c:pt>
                <c:pt idx="1">
                  <c:v>社会保障和就业支出</c:v>
                </c:pt>
                <c:pt idx="2">
                  <c:v>卫生健康支出</c:v>
                </c:pt>
                <c:pt idx="3">
                  <c:v>住房保障支出</c:v>
                </c:pt>
              </c:strCache>
            </c:strRef>
          </c:cat>
          <c:val>
            <c:numRef>
              <c:f>Sheet1!$B$2:$B$5</c:f>
              <c:numCache>
                <c:formatCode>General</c:formatCode>
                <c:ptCount val="4"/>
                <c:pt idx="0">
                  <c:v>6448.52</c:v>
                </c:pt>
                <c:pt idx="1">
                  <c:v>615.37</c:v>
                </c:pt>
                <c:pt idx="2">
                  <c:v>273.26</c:v>
                </c:pt>
                <c:pt idx="3">
                  <c:v>365.29</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a:solidFill>
                  <a:schemeClr val="tx1">
                    <a:lumMod val="75000"/>
                    <a:lumOff val="25000"/>
                  </a:schemeClr>
                </a:solidFill>
                <a:uFillTx/>
              </a:rPr>
              <a:t>“三公”经费财政拨款支出决算具体情况  （单位：万）</a:t>
            </a:r>
            <a:endParaRPr sz="1200">
              <a:solidFill>
                <a:schemeClr val="tx1">
                  <a:lumMod val="75000"/>
                  <a:lumOff val="25000"/>
                </a:schemeClr>
              </a:solidFill>
              <a:uFillTx/>
            </a:endParaRPr>
          </a:p>
        </c:rich>
      </c:tx>
      <c:layout/>
      <c:overlay val="0"/>
      <c:spPr>
        <a:noFill/>
        <a:ln>
          <a:noFill/>
        </a:ln>
        <a:effectLst/>
      </c:spPr>
    </c:title>
    <c:autoTitleDeleted val="0"/>
    <c:plotArea>
      <c:layout/>
      <c:pieChart>
        <c:varyColors val="1"/>
        <c:ser>
          <c:idx val="0"/>
          <c:order val="0"/>
          <c:tx>
            <c:strRef>
              <c:f>Sheet1!$B$1</c:f>
              <c:strCache>
                <c:ptCount val="1"/>
                <c:pt idx="0">
                  <c:v>“三公”经费财政拨款支出决算具体情况  （单位：万）</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manualLayout>
                  <c:x val="0.0948296690021744"/>
                  <c:y val="0"/>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186117353851011"/>
                  <c:y val="-0.052495737416807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145549054785587"/>
                  <c:y val="0.0172574169905739"/>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c:v>
                </c:pt>
                <c:pt idx="1">
                  <c:v>公务用车购置及运行维护费</c:v>
                </c:pt>
                <c:pt idx="2">
                  <c:v>公务接待费</c:v>
                </c:pt>
              </c:strCache>
            </c:strRef>
          </c:cat>
          <c:val>
            <c:numRef>
              <c:f>Sheet1!$B$2:$B$5</c:f>
              <c:numCache>
                <c:formatCode>General</c:formatCode>
                <c:ptCount val="4"/>
                <c:pt idx="0">
                  <c:v>0</c:v>
                </c:pt>
                <c:pt idx="1">
                  <c:v>332.25</c:v>
                </c:pt>
                <c:pt idx="2">
                  <c:v>2.33</c:v>
                </c:pt>
              </c:numCache>
            </c:numRef>
          </c:val>
        </c:ser>
        <c:dLbls>
          <c:showLegendKey val="0"/>
          <c:showVal val="1"/>
          <c:showCatName val="0"/>
          <c:showSerName val="0"/>
          <c:showPercent val="1"/>
          <c:showBubbleSize val="0"/>
          <c:showLeaderLines val="1"/>
        </c:dLbls>
        <c:firstSliceAng val="0"/>
      </c:pieChart>
      <c:spPr>
        <a:noFill/>
        <a:ln>
          <a:noFill/>
        </a:ln>
        <a:effectLst/>
      </c:spPr>
    </c:plotArea>
    <c:legend>
      <c:legendPos val="t"/>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2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107">
    <a:dk1>
      <a:srgbClr val="000000"/>
    </a:dk1>
    <a:lt1>
      <a:srgbClr val="FFFFFF"/>
    </a:lt1>
    <a:dk2>
      <a:srgbClr val="44546A"/>
    </a:dk2>
    <a:lt2>
      <a:srgbClr val="E7E6E6"/>
    </a:lt2>
    <a:accent1>
      <a:srgbClr val="1D6FA9"/>
    </a:accent1>
    <a:accent2>
      <a:srgbClr val="39ADCE"/>
    </a:accent2>
    <a:accent3>
      <a:srgbClr val="8BC145"/>
    </a:accent3>
    <a:accent4>
      <a:srgbClr val="1D9A78"/>
    </a:accent4>
    <a:accent5>
      <a:srgbClr val="30C0B4"/>
    </a:accent5>
    <a:accent6>
      <a:srgbClr val="4874CB"/>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107">
    <a:dk1>
      <a:srgbClr val="000000"/>
    </a:dk1>
    <a:lt1>
      <a:srgbClr val="FFFFFF"/>
    </a:lt1>
    <a:dk2>
      <a:srgbClr val="44546A"/>
    </a:dk2>
    <a:lt2>
      <a:srgbClr val="E7E6E6"/>
    </a:lt2>
    <a:accent1>
      <a:srgbClr val="1D6FA9"/>
    </a:accent1>
    <a:accent2>
      <a:srgbClr val="39ADCE"/>
    </a:accent2>
    <a:accent3>
      <a:srgbClr val="8BC145"/>
    </a:accent3>
    <a:accent4>
      <a:srgbClr val="1D9A78"/>
    </a:accent4>
    <a:accent5>
      <a:srgbClr val="30C0B4"/>
    </a:accent5>
    <a:accent6>
      <a:srgbClr val="4874CB"/>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107">
    <a:dk1>
      <a:srgbClr val="000000"/>
    </a:dk1>
    <a:lt1>
      <a:srgbClr val="FFFFFF"/>
    </a:lt1>
    <a:dk2>
      <a:srgbClr val="44546A"/>
    </a:dk2>
    <a:lt2>
      <a:srgbClr val="E7E6E6"/>
    </a:lt2>
    <a:accent1>
      <a:srgbClr val="1D6FA9"/>
    </a:accent1>
    <a:accent2>
      <a:srgbClr val="39ADCE"/>
    </a:accent2>
    <a:accent3>
      <a:srgbClr val="8BC145"/>
    </a:accent3>
    <a:accent4>
      <a:srgbClr val="1D9A78"/>
    </a:accent4>
    <a:accent5>
      <a:srgbClr val="30C0B4"/>
    </a:accent5>
    <a:accent6>
      <a:srgbClr val="4874CB"/>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74</Pages>
  <Words>28607</Words>
  <Characters>30747</Characters>
  <TotalTime>4</TotalTime>
  <ScaleCrop>false</ScaleCrop>
  <LinksUpToDate>false</LinksUpToDate>
  <CharactersWithSpaces>32861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2018-11-27T09:47:00Z</dcterms:created>
  <dc:creator>user</dc:creator>
  <cp:lastModifiedBy>user</cp:lastModifiedBy>
  <cp:lastPrinted>2025-09-22T10:51:00Z</cp:lastPrinted>
  <dcterms:modified xsi:type="dcterms:W3CDTF">2026-05-19T09:50:56Z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96DC34A0765E4D1DA33E09F0C6EAEDAE_13</vt:lpwstr>
  </property>
  <property fmtid="{D5CDD505-2E9C-101B-9397-08002B2CF9AE}" pid="4" name="KSOTemplateDocerSaveRecord">
    <vt:lpwstr>eyJoZGlkIjoiODQ3NWZhOWZkNjBmMTAxMThkOWEyYWMxNDhkYjY5MzgiLCJ1c2VySWQiOiIxMTI1NTUyNTY0In0=</vt:lpwstr>
  </property>
</Properties>
</file>