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eastAsia="方正小标宋简体"/>
          <w:color w:val="000000"/>
          <w:sz w:val="72"/>
          <w:szCs w:val="72"/>
        </w:rPr>
      </w:pPr>
      <w:bookmarkStart w:id="237" w:name="_GoBack"/>
      <w:bookmarkEnd w:id="237"/>
      <w:bookmarkStart w:id="0" w:name="_Toc15306267"/>
      <w:bookmarkStart w:id="1" w:name="_Toc15396599"/>
      <w:bookmarkStart w:id="2" w:name="_Toc15377196"/>
    </w:p>
    <w:p>
      <w:pPr>
        <w:spacing w:line="600" w:lineRule="exact"/>
        <w:jc w:val="center"/>
        <w:outlineLvl w:val="9"/>
        <w:rPr>
          <w:rFonts w:ascii="方正小标宋简体" w:eastAsia="方正小标宋简体"/>
          <w:color w:val="000000"/>
          <w:sz w:val="72"/>
          <w:szCs w:val="72"/>
        </w:rPr>
      </w:pPr>
    </w:p>
    <w:p>
      <w:pPr>
        <w:spacing w:line="600" w:lineRule="exact"/>
        <w:jc w:val="center"/>
        <w:outlineLvl w:val="9"/>
        <w:rPr>
          <w:rFonts w:ascii="方正小标宋简体" w:eastAsia="方正小标宋简体"/>
          <w:color w:val="000000"/>
          <w:sz w:val="72"/>
          <w:szCs w:val="72"/>
        </w:rPr>
      </w:pPr>
    </w:p>
    <w:p>
      <w:pPr>
        <w:spacing w:line="600" w:lineRule="exact"/>
        <w:jc w:val="center"/>
        <w:outlineLvl w:val="9"/>
        <w:rPr>
          <w:rFonts w:ascii="方正小标宋简体" w:eastAsia="方正小标宋简体"/>
          <w:color w:val="000000"/>
          <w:sz w:val="72"/>
          <w:szCs w:val="72"/>
        </w:rPr>
      </w:pPr>
    </w:p>
    <w:p>
      <w:pPr>
        <w:bidi w:val="0"/>
        <w:jc w:val="center"/>
        <w:rPr>
          <w:rFonts w:hint="eastAsia" w:ascii="宋体" w:eastAsia="宋体" w:cs="宋体"/>
          <w:sz w:val="44"/>
          <w:szCs w:val="44"/>
          <w:lang w:val="en-US" w:eastAsia="zh-CN"/>
        </w:rPr>
      </w:pPr>
      <w:bookmarkStart w:id="3" w:name="_Toc15377193"/>
      <w:bookmarkStart w:id="4" w:name="_Toc15396597"/>
      <w:bookmarkStart w:id="5" w:name="_Toc15377425"/>
      <w:bookmarkStart w:id="6" w:name="_Toc15378441"/>
      <w:bookmarkStart w:id="7" w:name="_Toc15396475"/>
      <w:r>
        <w:rPr>
          <w:rFonts w:hint="eastAsia" w:ascii="宋体" w:eastAsia="宋体" w:cs="宋体"/>
          <w:sz w:val="44"/>
          <w:szCs w:val="44"/>
          <w:lang w:val="en-US" w:eastAsia="zh-CN"/>
        </w:rPr>
        <w:t>2020年度</w:t>
      </w:r>
      <w:bookmarkEnd w:id="3"/>
      <w:bookmarkEnd w:id="4"/>
      <w:bookmarkEnd w:id="5"/>
      <w:bookmarkEnd w:id="6"/>
      <w:bookmarkEnd w:id="7"/>
    </w:p>
    <w:p>
      <w:pPr>
        <w:bidi w:val="0"/>
        <w:jc w:val="center"/>
        <w:rPr>
          <w:rFonts w:hint="eastAsia" w:ascii="宋体" w:eastAsia="宋体" w:cs="宋体"/>
          <w:sz w:val="44"/>
          <w:szCs w:val="44"/>
          <w:lang w:val="en-US" w:eastAsia="zh-CN"/>
        </w:rPr>
      </w:pPr>
      <w:bookmarkStart w:id="8" w:name="_Toc15396476"/>
      <w:bookmarkStart w:id="9" w:name="_Toc15377426"/>
      <w:bookmarkStart w:id="10" w:name="_Toc15396598"/>
      <w:bookmarkStart w:id="11" w:name="_Toc15378442"/>
      <w:bookmarkStart w:id="12" w:name="_Toc15377194"/>
      <w:r>
        <w:rPr>
          <w:rFonts w:hint="eastAsia" w:ascii="宋体" w:eastAsia="宋体" w:cs="宋体"/>
          <w:sz w:val="44"/>
          <w:szCs w:val="44"/>
          <w:lang w:val="en-US" w:eastAsia="zh-CN"/>
        </w:rPr>
        <w:t>四川省阿坝州</w:t>
      </w:r>
      <w:bookmarkEnd w:id="0"/>
      <w:bookmarkStart w:id="13" w:name="_Toc15306268"/>
      <w:r>
        <w:rPr>
          <w:rFonts w:hint="eastAsia" w:ascii="宋体" w:eastAsia="宋体" w:cs="宋体"/>
          <w:sz w:val="44"/>
          <w:szCs w:val="44"/>
          <w:lang w:val="en-US" w:eastAsia="zh-CN"/>
        </w:rPr>
        <w:t>茂县民政局部门决算</w:t>
      </w:r>
      <w:bookmarkEnd w:id="8"/>
      <w:bookmarkEnd w:id="9"/>
      <w:bookmarkEnd w:id="10"/>
      <w:bookmarkEnd w:id="11"/>
      <w:bookmarkEnd w:id="12"/>
      <w:bookmarkEnd w:id="13"/>
    </w:p>
    <w:p>
      <w:pPr>
        <w:pStyle w:val="4"/>
        <w:bidi w:val="0"/>
        <w:jc w:val="center"/>
        <w:rPr>
          <w:rFonts w:hint="eastAsia" w:ascii="方正小标宋简体" w:eastAsia="方正小标宋简体" w:cs="Times New Roman"/>
          <w:b w:val="0"/>
          <w:bCs w:val="0"/>
          <w:kern w:val="2"/>
          <w:sz w:val="44"/>
          <w:szCs w:val="44"/>
          <w:lang w:val="en-US" w:eastAsia="zh-CN" w:bidi="ar-SA"/>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firstLine="1276"/>
        <w:jc w:val="left"/>
        <w:rPr>
          <w:rFonts w:hint="eastAsia" w:ascii="仿宋_GB2312" w:eastAsia="仿宋_GB2312" w:cs="仿宋_GB2312"/>
          <w:sz w:val="32"/>
          <w:szCs w:val="32"/>
        </w:rPr>
      </w:pPr>
      <w:r>
        <w:rPr>
          <w:rFonts w:hint="eastAsia" w:ascii="仿宋_GB2312"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pStyle w:val="12"/>
        <w:jc w:val="center"/>
        <w:rPr>
          <w:b w:val="0"/>
          <w:bCs w:val="0"/>
          <w:sz w:val="24"/>
          <w:szCs w:val="24"/>
        </w:rPr>
      </w:pPr>
      <w:r>
        <w:rPr>
          <w:rFonts w:hint="eastAsia"/>
          <w:b w:val="0"/>
          <w:bCs w:val="0"/>
          <w:sz w:val="24"/>
          <w:szCs w:val="24"/>
        </w:rPr>
        <w:t>公开时间：2021年 月 日</w:t>
      </w:r>
    </w:p>
    <w:p/>
    <w:p>
      <w:pPr>
        <w:pStyle w:val="12"/>
        <w:adjustRightInd w:val="0"/>
        <w:snapToGrid w:val="0"/>
        <w:spacing w:line="440" w:lineRule="exact"/>
        <w:jc w:val="left"/>
      </w:pPr>
      <w:r>
        <w:rPr>
          <w:rFonts w:hint="eastAsia" w:ascii="仿宋_GB2312" w:eastAsia="仿宋_GB2312" w:cs="仿宋_GB2312"/>
          <w:sz w:val="32"/>
          <w:szCs w:val="32"/>
        </w:rPr>
        <w:fldChar w:fldCharType="begin"/>
      </w:r>
      <w:r>
        <w:rPr>
          <w:rFonts w:hint="eastAsia" w:ascii="仿宋_GB2312" w:eastAsia="仿宋_GB2312" w:cs="仿宋_GB2312"/>
          <w:sz w:val="32"/>
          <w:szCs w:val="32"/>
        </w:rPr>
        <w:instrText xml:space="preserve">TOC \o "1-3" \h \u </w:instrText>
      </w:r>
      <w:r>
        <w:rPr>
          <w:rFonts w:hint="eastAsia" w:ascii="仿宋_GB2312" w:eastAsia="仿宋_GB2312" w:cs="仿宋_GB2312"/>
          <w:sz w:val="32"/>
          <w:szCs w:val="32"/>
        </w:rPr>
        <w:fldChar w:fldCharType="separate"/>
      </w: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_Toc24639 </w:instrText>
      </w:r>
      <w:r>
        <w:rPr>
          <w:rFonts w:hint="eastAsia" w:ascii="仿宋_GB2312" w:eastAsia="仿宋_GB2312" w:cs="仿宋_GB2312"/>
          <w:szCs w:val="32"/>
        </w:rPr>
        <w:fldChar w:fldCharType="separate"/>
      </w:r>
      <w:r>
        <w:rPr>
          <w:rFonts w:hint="eastAsia"/>
          <w:lang w:val="en-US" w:eastAsia="zh-CN"/>
        </w:rPr>
        <w:t>第一部分 部门概况</w:t>
      </w:r>
      <w:r>
        <w:tab/>
      </w:r>
      <w:r>
        <w:fldChar w:fldCharType="begin"/>
      </w:r>
      <w:r>
        <w:instrText xml:space="preserve"> PAGEREF _Toc24639 </w:instrText>
      </w:r>
      <w:r>
        <w:fldChar w:fldCharType="separate"/>
      </w:r>
      <w:r>
        <w:t>4</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_Toc16764 </w:instrText>
      </w:r>
      <w:r>
        <w:rPr>
          <w:rFonts w:hint="eastAsia" w:ascii="仿宋_GB2312" w:eastAsia="仿宋_GB2312" w:cs="仿宋_GB2312"/>
          <w:szCs w:val="32"/>
        </w:rPr>
        <w:fldChar w:fldCharType="separate"/>
      </w:r>
      <w:r>
        <w:rPr>
          <w:rFonts w:hint="eastAsia" w:ascii="黑体" w:eastAsia="黑体" w:cs="黑体"/>
          <w:bCs w:val="0"/>
        </w:rPr>
        <w:t xml:space="preserve">一、 </w:t>
      </w:r>
      <w:r>
        <w:rPr>
          <w:rFonts w:hint="eastAsia" w:ascii="黑体" w:eastAsia="黑体" w:cs="黑体"/>
        </w:rPr>
        <w:t>基</w:t>
      </w:r>
      <w:r>
        <w:rPr>
          <w:rFonts w:hint="eastAsia" w:ascii="黑体" w:eastAsia="黑体" w:cs="黑体"/>
          <w:bCs w:val="0"/>
        </w:rPr>
        <w:t>本职能及主要工作</w:t>
      </w:r>
      <w:r>
        <w:tab/>
      </w:r>
      <w:r>
        <w:fldChar w:fldCharType="begin"/>
      </w:r>
      <w:r>
        <w:instrText xml:space="preserve"> PAGEREF _Toc16764 </w:instrText>
      </w:r>
      <w:r>
        <w:fldChar w:fldCharType="separate"/>
      </w:r>
      <w:r>
        <w:t>4</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_Toc26450 </w:instrText>
      </w:r>
      <w:r>
        <w:rPr>
          <w:rFonts w:hint="eastAsia" w:ascii="仿宋_GB2312" w:eastAsia="仿宋_GB2312" w:cs="仿宋_GB2312"/>
          <w:szCs w:val="32"/>
        </w:rPr>
        <w:fldChar w:fldCharType="separate"/>
      </w:r>
      <w:r>
        <w:rPr>
          <w:rFonts w:hint="eastAsia" w:ascii="楷体_GB2312" w:eastAsia="楷体_GB2312" w:cs="Times New Roman"/>
          <w:bCs w:val="0"/>
          <w:kern w:val="2"/>
          <w:szCs w:val="32"/>
          <w:lang w:val="en-US" w:eastAsia="zh-CN" w:bidi="ar-SA"/>
        </w:rPr>
        <w:t>(一)基本职能</w:t>
      </w:r>
      <w:r>
        <w:tab/>
      </w:r>
      <w:r>
        <w:fldChar w:fldCharType="begin"/>
      </w:r>
      <w:r>
        <w:instrText xml:space="preserve"> PAGEREF _Toc26450 </w:instrText>
      </w:r>
      <w:r>
        <w:fldChar w:fldCharType="separate"/>
      </w:r>
      <w:r>
        <w:t>4</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_Toc30108 </w:instrText>
      </w:r>
      <w:r>
        <w:rPr>
          <w:rFonts w:hint="eastAsia" w:ascii="仿宋_GB2312" w:eastAsia="仿宋_GB2312" w:cs="仿宋_GB2312"/>
          <w:szCs w:val="32"/>
        </w:rPr>
        <w:fldChar w:fldCharType="separate"/>
      </w:r>
      <w:r>
        <w:rPr>
          <w:rFonts w:hint="eastAsia" w:ascii="楷体_GB2312" w:eastAsia="楷体_GB2312" w:cs="Times New Roman"/>
          <w:bCs w:val="0"/>
          <w:kern w:val="2"/>
          <w:szCs w:val="32"/>
          <w:lang w:val="en-US" w:eastAsia="zh-CN" w:bidi="ar-SA"/>
        </w:rPr>
        <w:t>（二）2020年重点工作完成情况</w:t>
      </w:r>
      <w:r>
        <w:tab/>
      </w:r>
      <w:r>
        <w:fldChar w:fldCharType="begin"/>
      </w:r>
      <w:r>
        <w:instrText xml:space="preserve"> PAGEREF _Toc30108 </w:instrText>
      </w:r>
      <w:r>
        <w:fldChar w:fldCharType="separate"/>
      </w:r>
      <w:r>
        <w:t>6</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_Toc30222 </w:instrText>
      </w:r>
      <w:r>
        <w:rPr>
          <w:rFonts w:hint="eastAsia" w:ascii="仿宋_GB2312" w:eastAsia="仿宋_GB2312" w:cs="仿宋_GB2312"/>
          <w:szCs w:val="32"/>
        </w:rPr>
        <w:fldChar w:fldCharType="separate"/>
      </w:r>
      <w:r>
        <w:rPr>
          <w:rFonts w:hint="eastAsia" w:ascii="黑体" w:eastAsia="黑体" w:cs="黑体"/>
        </w:rPr>
        <w:t>二、 机构设置</w:t>
      </w:r>
      <w:r>
        <w:tab/>
      </w:r>
      <w:r>
        <w:fldChar w:fldCharType="begin"/>
      </w:r>
      <w:r>
        <w:instrText xml:space="preserve"> PAGEREF _Toc30222 </w:instrText>
      </w:r>
      <w:r>
        <w:fldChar w:fldCharType="separate"/>
      </w:r>
      <w:r>
        <w:t>6</w:t>
      </w:r>
      <w:r>
        <w:fldChar w:fldCharType="end"/>
      </w:r>
      <w:r>
        <w:rPr>
          <w:rFonts w:hint="eastAsia" w:ascii="仿宋_GB2312" w:eastAsia="仿宋_GB2312" w:cs="仿宋_GB2312"/>
          <w:szCs w:val="32"/>
        </w:rPr>
        <w:fldChar w:fldCharType="end"/>
      </w:r>
    </w:p>
    <w:p>
      <w:pPr>
        <w:pStyle w:val="12"/>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_Toc12986 </w:instrText>
      </w:r>
      <w:r>
        <w:rPr>
          <w:rFonts w:hint="eastAsia" w:ascii="仿宋_GB2312" w:eastAsia="仿宋_GB2312" w:cs="仿宋_GB2312"/>
          <w:szCs w:val="32"/>
        </w:rPr>
        <w:fldChar w:fldCharType="separate"/>
      </w:r>
      <w:r>
        <w:rPr>
          <w:rFonts w:hint="eastAsia" w:ascii="方正小标宋简体" w:eastAsia="方正小标宋简体" w:cs="Times New Roman"/>
          <w:bCs w:val="0"/>
          <w:kern w:val="2"/>
          <w:szCs w:val="44"/>
          <w:lang w:val="en-US" w:eastAsia="zh-CN" w:bidi="ar-SA"/>
        </w:rPr>
        <w:t>第二部分 2020年度部门决算情况说明</w:t>
      </w:r>
      <w:r>
        <w:tab/>
      </w:r>
      <w:r>
        <w:fldChar w:fldCharType="begin"/>
      </w:r>
      <w:r>
        <w:instrText xml:space="preserve"> PAGEREF _Toc12986 </w:instrText>
      </w:r>
      <w:r>
        <w:fldChar w:fldCharType="separate"/>
      </w:r>
      <w:r>
        <w:t>7</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_Toc17119 </w:instrText>
      </w:r>
      <w:r>
        <w:rPr>
          <w:rFonts w:hint="eastAsia" w:ascii="仿宋_GB2312" w:eastAsia="仿宋_GB2312" w:cs="仿宋_GB2312"/>
          <w:szCs w:val="32"/>
        </w:rPr>
        <w:fldChar w:fldCharType="separate"/>
      </w:r>
      <w:r>
        <w:rPr>
          <w:rFonts w:hint="eastAsia" w:ascii="黑体" w:eastAsia="黑体"/>
          <w:lang w:eastAsia="zh-CN"/>
        </w:rPr>
        <w:t>一、收入支出决算总体情况说明</w:t>
      </w:r>
      <w:r>
        <w:tab/>
      </w:r>
      <w:r>
        <w:fldChar w:fldCharType="begin"/>
      </w:r>
      <w:r>
        <w:instrText xml:space="preserve"> PAGEREF _Toc17119 </w:instrText>
      </w:r>
      <w:r>
        <w:fldChar w:fldCharType="separate"/>
      </w:r>
      <w:r>
        <w:t>7</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_Toc32611 </w:instrText>
      </w:r>
      <w:r>
        <w:rPr>
          <w:rFonts w:hint="eastAsia" w:ascii="仿宋_GB2312" w:eastAsia="仿宋_GB2312" w:cs="仿宋_GB2312"/>
          <w:szCs w:val="32"/>
        </w:rPr>
        <w:fldChar w:fldCharType="separate"/>
      </w:r>
      <w:r>
        <w:rPr>
          <w:rFonts w:hint="eastAsia" w:ascii="黑体" w:eastAsia="黑体"/>
          <w:lang w:eastAsia="zh-CN"/>
        </w:rPr>
        <w:t>二、</w:t>
      </w:r>
      <w:r>
        <w:rPr>
          <w:rFonts w:hint="eastAsia" w:ascii="黑体" w:eastAsia="黑体"/>
        </w:rPr>
        <w:t>收入决算情况说明</w:t>
      </w:r>
      <w:r>
        <w:tab/>
      </w:r>
      <w:r>
        <w:fldChar w:fldCharType="begin"/>
      </w:r>
      <w:r>
        <w:instrText xml:space="preserve"> PAGEREF _Toc32611 </w:instrText>
      </w:r>
      <w:r>
        <w:fldChar w:fldCharType="separate"/>
      </w:r>
      <w:r>
        <w:t>7</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_Toc1193 </w:instrText>
      </w:r>
      <w:r>
        <w:rPr>
          <w:rFonts w:hint="eastAsia" w:ascii="仿宋_GB2312" w:eastAsia="仿宋_GB2312" w:cs="仿宋_GB2312"/>
          <w:szCs w:val="32"/>
        </w:rPr>
        <w:fldChar w:fldCharType="separate"/>
      </w:r>
      <w:r>
        <w:rPr>
          <w:rFonts w:hint="eastAsia" w:ascii="黑体" w:eastAsia="黑体"/>
          <w:lang w:eastAsia="zh-CN"/>
        </w:rPr>
        <w:t>三、支出决算情况说明</w:t>
      </w:r>
      <w:r>
        <w:tab/>
      </w:r>
      <w:r>
        <w:fldChar w:fldCharType="begin"/>
      </w:r>
      <w:r>
        <w:instrText xml:space="preserve"> PAGEREF _Toc1193 </w:instrText>
      </w:r>
      <w:r>
        <w:fldChar w:fldCharType="separate"/>
      </w:r>
      <w:r>
        <w:t>8</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_Toc32595 </w:instrText>
      </w:r>
      <w:r>
        <w:rPr>
          <w:rFonts w:hint="eastAsia" w:ascii="仿宋_GB2312" w:eastAsia="仿宋_GB2312" w:cs="仿宋_GB2312"/>
          <w:szCs w:val="32"/>
        </w:rPr>
        <w:fldChar w:fldCharType="separate"/>
      </w:r>
      <w:r>
        <w:rPr>
          <w:rFonts w:hint="eastAsia" w:ascii="黑体" w:eastAsia="黑体"/>
        </w:rPr>
        <w:t>四、财政拨款收入支出决算总体情况说明</w:t>
      </w:r>
      <w:r>
        <w:tab/>
      </w:r>
      <w:r>
        <w:fldChar w:fldCharType="begin"/>
      </w:r>
      <w:r>
        <w:instrText xml:space="preserve"> PAGEREF _Toc32595 </w:instrText>
      </w:r>
      <w:r>
        <w:fldChar w:fldCharType="separate"/>
      </w:r>
      <w:r>
        <w:t>8</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_Toc32535 </w:instrText>
      </w:r>
      <w:r>
        <w:rPr>
          <w:rFonts w:hint="eastAsia" w:ascii="仿宋_GB2312" w:eastAsia="仿宋_GB2312" w:cs="仿宋_GB2312"/>
          <w:szCs w:val="32"/>
        </w:rPr>
        <w:fldChar w:fldCharType="separate"/>
      </w:r>
      <w:r>
        <w:rPr>
          <w:rFonts w:hint="eastAsia" w:ascii="黑体" w:eastAsia="黑体"/>
        </w:rPr>
        <w:t>五、</w:t>
      </w:r>
      <w:r>
        <w:rPr>
          <w:rFonts w:hint="eastAsia" w:ascii="黑体" w:eastAsia="黑体"/>
          <w:szCs w:val="32"/>
        </w:rPr>
        <w:t>一</w:t>
      </w:r>
      <w:r>
        <w:rPr>
          <w:rFonts w:hint="eastAsia" w:ascii="黑体" w:eastAsia="黑体"/>
        </w:rPr>
        <w:t>般公共预算财政拨款支出决算情况说明</w:t>
      </w:r>
      <w:r>
        <w:tab/>
      </w:r>
      <w:r>
        <w:fldChar w:fldCharType="begin"/>
      </w:r>
      <w:r>
        <w:instrText xml:space="preserve"> PAGEREF _Toc32535 </w:instrText>
      </w:r>
      <w:r>
        <w:fldChar w:fldCharType="separate"/>
      </w:r>
      <w:r>
        <w:t>9</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_Toc17141 </w:instrText>
      </w:r>
      <w:r>
        <w:rPr>
          <w:rFonts w:hint="eastAsia" w:ascii="仿宋_GB2312" w:eastAsia="仿宋_GB2312" w:cs="仿宋_GB2312"/>
          <w:szCs w:val="32"/>
        </w:rPr>
        <w:fldChar w:fldCharType="separate"/>
      </w:r>
      <w:r>
        <w:rPr>
          <w:rFonts w:hint="eastAsia" w:ascii="楷体_GB2312" w:eastAsia="楷体_GB2312" w:cs="Times New Roman"/>
          <w:bCs w:val="0"/>
          <w:kern w:val="2"/>
          <w:szCs w:val="32"/>
          <w:lang w:val="en-US" w:eastAsia="zh-CN" w:bidi="ar-SA"/>
        </w:rPr>
        <w:t>（一）一般公共预算财政拨款支出决算总体情况</w:t>
      </w:r>
      <w:r>
        <w:tab/>
      </w:r>
      <w:r>
        <w:fldChar w:fldCharType="begin"/>
      </w:r>
      <w:r>
        <w:instrText xml:space="preserve"> PAGEREF _Toc17141 </w:instrText>
      </w:r>
      <w:r>
        <w:fldChar w:fldCharType="separate"/>
      </w:r>
      <w:r>
        <w:t>9</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_Toc13963 </w:instrText>
      </w:r>
      <w:r>
        <w:rPr>
          <w:rFonts w:hint="eastAsia" w:ascii="仿宋_GB2312" w:eastAsia="仿宋_GB2312" w:cs="仿宋_GB2312"/>
          <w:szCs w:val="32"/>
        </w:rPr>
        <w:fldChar w:fldCharType="separate"/>
      </w:r>
      <w:r>
        <w:rPr>
          <w:rFonts w:hint="eastAsia" w:ascii="楷体_GB2312" w:eastAsia="楷体_GB2312" w:cs="Times New Roman"/>
          <w:bCs w:val="0"/>
          <w:kern w:val="2"/>
          <w:szCs w:val="32"/>
          <w:lang w:val="en-US" w:eastAsia="zh-CN" w:bidi="ar-SA"/>
        </w:rPr>
        <w:t>（二）一般公共预算财政拨款支出决算结构情况</w:t>
      </w:r>
      <w:r>
        <w:tab/>
      </w:r>
      <w:r>
        <w:fldChar w:fldCharType="begin"/>
      </w:r>
      <w:r>
        <w:instrText xml:space="preserve"> PAGEREF _Toc13963 </w:instrText>
      </w:r>
      <w:r>
        <w:fldChar w:fldCharType="separate"/>
      </w:r>
      <w:r>
        <w:t>10</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_Toc17447 </w:instrText>
      </w:r>
      <w:r>
        <w:rPr>
          <w:rFonts w:hint="eastAsia" w:ascii="仿宋_GB2312" w:eastAsia="仿宋_GB2312" w:cs="仿宋_GB2312"/>
          <w:szCs w:val="32"/>
        </w:rPr>
        <w:fldChar w:fldCharType="separate"/>
      </w:r>
      <w:r>
        <w:rPr>
          <w:rFonts w:hint="eastAsia" w:ascii="楷体_GB2312" w:eastAsia="楷体_GB2312" w:cs="Times New Roman"/>
          <w:bCs w:val="0"/>
          <w:kern w:val="2"/>
          <w:szCs w:val="32"/>
          <w:lang w:val="en-US" w:eastAsia="zh-CN" w:bidi="ar-SA"/>
        </w:rPr>
        <w:t>（三） 一般公共预算财政拨款支出决算具体情况</w:t>
      </w:r>
      <w:r>
        <w:tab/>
      </w:r>
      <w:r>
        <w:fldChar w:fldCharType="begin"/>
      </w:r>
      <w:r>
        <w:instrText xml:space="preserve"> PAGEREF _Toc17447 </w:instrText>
      </w:r>
      <w:r>
        <w:fldChar w:fldCharType="separate"/>
      </w:r>
      <w:r>
        <w:t>11</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_Toc12394 </w:instrText>
      </w:r>
      <w:r>
        <w:rPr>
          <w:rFonts w:hint="eastAsia" w:ascii="仿宋_GB2312" w:eastAsia="仿宋_GB2312" w:cs="仿宋_GB2312"/>
          <w:szCs w:val="32"/>
        </w:rPr>
        <w:fldChar w:fldCharType="separate"/>
      </w:r>
      <w:r>
        <w:rPr>
          <w:rFonts w:hint="eastAsia" w:ascii="黑体" w:eastAsia="黑体"/>
          <w:szCs w:val="32"/>
        </w:rPr>
        <w:t>六、一</w:t>
      </w:r>
      <w:r>
        <w:rPr>
          <w:rFonts w:hint="eastAsia" w:ascii="黑体" w:eastAsia="黑体"/>
        </w:rPr>
        <w:t>般公共预算财政拨款基本支出决算情况说明</w:t>
      </w:r>
      <w:r>
        <w:tab/>
      </w:r>
      <w:r>
        <w:fldChar w:fldCharType="begin"/>
      </w:r>
      <w:r>
        <w:instrText xml:space="preserve"> PAGEREF _Toc12394 </w:instrText>
      </w:r>
      <w:r>
        <w:fldChar w:fldCharType="separate"/>
      </w:r>
      <w:r>
        <w:t>14</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_Toc460 </w:instrText>
      </w:r>
      <w:r>
        <w:rPr>
          <w:rFonts w:hint="eastAsia" w:ascii="仿宋_GB2312" w:eastAsia="仿宋_GB2312" w:cs="仿宋_GB2312"/>
          <w:szCs w:val="32"/>
        </w:rPr>
        <w:fldChar w:fldCharType="separate"/>
      </w:r>
      <w:r>
        <w:rPr>
          <w:rFonts w:hint="eastAsia" w:ascii="黑体" w:eastAsia="黑体" w:cs="Times New Roman"/>
          <w:bCs w:val="0"/>
          <w:kern w:val="2"/>
          <w:szCs w:val="32"/>
          <w:lang w:val="en-US" w:eastAsia="zh-CN" w:bidi="ar-SA"/>
        </w:rPr>
        <w:t>七、“三公”经费财政拨款支出决算情况说明</w:t>
      </w:r>
      <w:r>
        <w:tab/>
      </w:r>
      <w:r>
        <w:fldChar w:fldCharType="begin"/>
      </w:r>
      <w:r>
        <w:instrText xml:space="preserve"> PAGEREF _Toc460 </w:instrText>
      </w:r>
      <w:r>
        <w:fldChar w:fldCharType="separate"/>
      </w:r>
      <w:r>
        <w:t>15</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_Toc2770 </w:instrText>
      </w:r>
      <w:r>
        <w:rPr>
          <w:rFonts w:hint="eastAsia" w:ascii="仿宋_GB2312" w:eastAsia="仿宋_GB2312" w:cs="仿宋_GB2312"/>
          <w:szCs w:val="32"/>
        </w:rPr>
        <w:fldChar w:fldCharType="separate"/>
      </w:r>
      <w:r>
        <w:rPr>
          <w:rFonts w:hint="eastAsia" w:ascii="黑体" w:eastAsia="黑体"/>
          <w:szCs w:val="32"/>
        </w:rPr>
        <w:t>八、</w:t>
      </w:r>
      <w:r>
        <w:rPr>
          <w:rFonts w:hint="eastAsia" w:ascii="黑体" w:eastAsia="黑体"/>
        </w:rPr>
        <w:t>政府性基金预算支出决算情况说明</w:t>
      </w:r>
      <w:r>
        <w:tab/>
      </w:r>
      <w:r>
        <w:fldChar w:fldCharType="begin"/>
      </w:r>
      <w:r>
        <w:instrText xml:space="preserve"> PAGEREF _Toc2770 </w:instrText>
      </w:r>
      <w:r>
        <w:fldChar w:fldCharType="separate"/>
      </w:r>
      <w:r>
        <w:t>16</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_Toc31023 </w:instrText>
      </w:r>
      <w:r>
        <w:rPr>
          <w:rFonts w:hint="eastAsia" w:ascii="仿宋_GB2312" w:eastAsia="仿宋_GB2312" w:cs="仿宋_GB2312"/>
          <w:szCs w:val="32"/>
        </w:rPr>
        <w:fldChar w:fldCharType="separate"/>
      </w:r>
      <w:r>
        <w:rPr>
          <w:rFonts w:hint="eastAsia" w:ascii="黑体" w:eastAsia="黑体"/>
        </w:rPr>
        <w:t>九、 国有资本经营预算支出决算情况说明</w:t>
      </w:r>
      <w:r>
        <w:tab/>
      </w:r>
      <w:r>
        <w:fldChar w:fldCharType="begin"/>
      </w:r>
      <w:r>
        <w:instrText xml:space="preserve"> PAGEREF _Toc31023 </w:instrText>
      </w:r>
      <w:r>
        <w:fldChar w:fldCharType="separate"/>
      </w:r>
      <w:r>
        <w:t>16</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_Toc20223 </w:instrText>
      </w:r>
      <w:r>
        <w:rPr>
          <w:rFonts w:hint="eastAsia" w:ascii="仿宋_GB2312" w:eastAsia="仿宋_GB2312" w:cs="仿宋_GB2312"/>
          <w:szCs w:val="32"/>
        </w:rPr>
        <w:fldChar w:fldCharType="separate"/>
      </w:r>
      <w:r>
        <w:rPr>
          <w:rFonts w:hint="eastAsia" w:ascii="黑体" w:eastAsia="黑体"/>
        </w:rPr>
        <w:t>十、其他重要事项的情况说明</w:t>
      </w:r>
      <w:r>
        <w:tab/>
      </w:r>
      <w:r>
        <w:fldChar w:fldCharType="begin"/>
      </w:r>
      <w:r>
        <w:instrText xml:space="preserve"> PAGEREF _Toc20223 </w:instrText>
      </w:r>
      <w:r>
        <w:fldChar w:fldCharType="separate"/>
      </w:r>
      <w:r>
        <w:t>16</w:t>
      </w:r>
      <w:r>
        <w:fldChar w:fldCharType="end"/>
      </w:r>
      <w:r>
        <w:rPr>
          <w:rFonts w:hint="eastAsia" w:ascii="仿宋_GB2312" w:eastAsia="仿宋_GB2312" w:cs="仿宋_GB2312"/>
          <w:szCs w:val="32"/>
        </w:rPr>
        <w:fldChar w:fldCharType="end"/>
      </w:r>
    </w:p>
    <w:p>
      <w:pPr>
        <w:pStyle w:val="8"/>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_Toc29512 </w:instrText>
      </w:r>
      <w:r>
        <w:rPr>
          <w:rFonts w:hint="eastAsia" w:ascii="仿宋_GB2312" w:eastAsia="仿宋_GB2312" w:cs="仿宋_GB2312"/>
          <w:szCs w:val="32"/>
        </w:rPr>
        <w:fldChar w:fldCharType="separate"/>
      </w:r>
      <w:r>
        <w:rPr>
          <w:rFonts w:hint="eastAsia" w:ascii="楷体_GB2312" w:eastAsia="楷体_GB2312" w:cs="Times New Roman"/>
          <w:szCs w:val="32"/>
        </w:rPr>
        <w:t>（一）机关运行经费支出情况</w:t>
      </w:r>
      <w:r>
        <w:tab/>
      </w:r>
      <w:r>
        <w:fldChar w:fldCharType="begin"/>
      </w:r>
      <w:r>
        <w:instrText xml:space="preserve"> PAGEREF _Toc29512 </w:instrText>
      </w:r>
      <w:r>
        <w:fldChar w:fldCharType="separate"/>
      </w:r>
      <w:r>
        <w:t>16</w:t>
      </w:r>
      <w:r>
        <w:fldChar w:fldCharType="end"/>
      </w:r>
      <w:r>
        <w:rPr>
          <w:rFonts w:hint="eastAsia" w:ascii="仿宋_GB2312" w:eastAsia="仿宋_GB2312" w:cs="仿宋_GB2312"/>
          <w:szCs w:val="32"/>
        </w:rPr>
        <w:fldChar w:fldCharType="end"/>
      </w:r>
    </w:p>
    <w:p>
      <w:pPr>
        <w:pStyle w:val="8"/>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_Toc15344 </w:instrText>
      </w:r>
      <w:r>
        <w:rPr>
          <w:rFonts w:hint="eastAsia" w:ascii="仿宋_GB2312" w:eastAsia="仿宋_GB2312" w:cs="仿宋_GB2312"/>
          <w:szCs w:val="32"/>
        </w:rPr>
        <w:fldChar w:fldCharType="separate"/>
      </w:r>
      <w:r>
        <w:rPr>
          <w:rFonts w:hint="eastAsia" w:ascii="楷体_GB2312" w:eastAsia="楷体_GB2312"/>
          <w:szCs w:val="32"/>
        </w:rPr>
        <w:t>（二）政府采购支出情况</w:t>
      </w:r>
      <w:r>
        <w:tab/>
      </w:r>
      <w:r>
        <w:fldChar w:fldCharType="begin"/>
      </w:r>
      <w:r>
        <w:instrText xml:space="preserve"> PAGEREF _Toc15344 </w:instrText>
      </w:r>
      <w:r>
        <w:fldChar w:fldCharType="separate"/>
      </w:r>
      <w:r>
        <w:t>17</w:t>
      </w:r>
      <w:r>
        <w:fldChar w:fldCharType="end"/>
      </w:r>
      <w:r>
        <w:rPr>
          <w:rFonts w:hint="eastAsia" w:ascii="仿宋_GB2312" w:eastAsia="仿宋_GB2312" w:cs="仿宋_GB2312"/>
          <w:szCs w:val="32"/>
        </w:rPr>
        <w:fldChar w:fldCharType="end"/>
      </w:r>
    </w:p>
    <w:p>
      <w:pPr>
        <w:pStyle w:val="8"/>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_Toc3424 </w:instrText>
      </w:r>
      <w:r>
        <w:rPr>
          <w:rFonts w:hint="eastAsia" w:ascii="仿宋_GB2312" w:eastAsia="仿宋_GB2312" w:cs="仿宋_GB2312"/>
          <w:szCs w:val="32"/>
        </w:rPr>
        <w:fldChar w:fldCharType="separate"/>
      </w:r>
      <w:r>
        <w:rPr>
          <w:rFonts w:hint="eastAsia" w:ascii="楷体_GB2312" w:eastAsia="楷体_GB2312"/>
          <w:szCs w:val="32"/>
        </w:rPr>
        <w:t>（三）国有资产占有使用情况</w:t>
      </w:r>
      <w:r>
        <w:tab/>
      </w:r>
      <w:r>
        <w:fldChar w:fldCharType="begin"/>
      </w:r>
      <w:r>
        <w:instrText xml:space="preserve"> PAGEREF _Toc3424 </w:instrText>
      </w:r>
      <w:r>
        <w:fldChar w:fldCharType="separate"/>
      </w:r>
      <w:r>
        <w:t>17</w:t>
      </w:r>
      <w:r>
        <w:fldChar w:fldCharType="end"/>
      </w:r>
      <w:r>
        <w:rPr>
          <w:rFonts w:hint="eastAsia" w:ascii="仿宋_GB2312" w:eastAsia="仿宋_GB2312" w:cs="仿宋_GB2312"/>
          <w:szCs w:val="32"/>
        </w:rPr>
        <w:fldChar w:fldCharType="end"/>
      </w:r>
    </w:p>
    <w:p>
      <w:pPr>
        <w:pStyle w:val="8"/>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_Toc29444 </w:instrText>
      </w:r>
      <w:r>
        <w:rPr>
          <w:rFonts w:hint="eastAsia" w:ascii="仿宋_GB2312" w:eastAsia="仿宋_GB2312" w:cs="仿宋_GB2312"/>
          <w:szCs w:val="32"/>
        </w:rPr>
        <w:fldChar w:fldCharType="separate"/>
      </w:r>
      <w:r>
        <w:rPr>
          <w:rFonts w:hint="eastAsia" w:ascii="楷体_GB2312" w:eastAsia="楷体_GB2312"/>
          <w:szCs w:val="32"/>
        </w:rPr>
        <w:t>（四）预算绩效管理情况</w:t>
      </w:r>
      <w:r>
        <w:tab/>
      </w:r>
      <w:r>
        <w:fldChar w:fldCharType="begin"/>
      </w:r>
      <w:r>
        <w:instrText xml:space="preserve"> PAGEREF _Toc29444 </w:instrText>
      </w:r>
      <w:r>
        <w:fldChar w:fldCharType="separate"/>
      </w:r>
      <w:r>
        <w:t>17</w:t>
      </w:r>
      <w:r>
        <w:fldChar w:fldCharType="end"/>
      </w:r>
      <w:r>
        <w:rPr>
          <w:rFonts w:hint="eastAsia" w:ascii="仿宋_GB2312" w:eastAsia="仿宋_GB2312" w:cs="仿宋_GB2312"/>
          <w:szCs w:val="32"/>
        </w:rPr>
        <w:fldChar w:fldCharType="end"/>
      </w:r>
    </w:p>
    <w:p>
      <w:pPr>
        <w:pStyle w:val="12"/>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_Toc24494 </w:instrText>
      </w:r>
      <w:r>
        <w:rPr>
          <w:rFonts w:hint="eastAsia" w:ascii="仿宋_GB2312" w:eastAsia="仿宋_GB2312" w:cs="仿宋_GB2312"/>
          <w:szCs w:val="32"/>
        </w:rPr>
        <w:fldChar w:fldCharType="separate"/>
      </w:r>
      <w:r>
        <w:rPr>
          <w:rFonts w:hint="eastAsia" w:ascii="黑体" w:eastAsia="黑体"/>
        </w:rPr>
        <w:t xml:space="preserve">第三部分 </w:t>
      </w:r>
      <w:r>
        <w:rPr>
          <w:rFonts w:hint="eastAsia" w:ascii="黑体" w:eastAsia="黑体"/>
          <w:szCs w:val="44"/>
        </w:rPr>
        <w:t>名</w:t>
      </w:r>
      <w:r>
        <w:rPr>
          <w:rFonts w:hint="eastAsia" w:ascii="黑体" w:eastAsia="黑体"/>
        </w:rPr>
        <w:t>词解释</w:t>
      </w:r>
      <w:r>
        <w:tab/>
      </w:r>
      <w:r>
        <w:fldChar w:fldCharType="begin"/>
      </w:r>
      <w:r>
        <w:instrText xml:space="preserve"> PAGEREF _Toc24494 </w:instrText>
      </w:r>
      <w:r>
        <w:fldChar w:fldCharType="separate"/>
      </w:r>
      <w:r>
        <w:t>27</w:t>
      </w:r>
      <w:r>
        <w:fldChar w:fldCharType="end"/>
      </w:r>
      <w:r>
        <w:rPr>
          <w:rFonts w:hint="eastAsia" w:ascii="仿宋_GB2312" w:eastAsia="仿宋_GB2312" w:cs="仿宋_GB2312"/>
          <w:szCs w:val="32"/>
        </w:rPr>
        <w:fldChar w:fldCharType="end"/>
      </w:r>
    </w:p>
    <w:p>
      <w:pPr>
        <w:pStyle w:val="12"/>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_Toc32420 </w:instrText>
      </w:r>
      <w:r>
        <w:rPr>
          <w:rFonts w:hint="eastAsia" w:ascii="仿宋_GB2312" w:eastAsia="仿宋_GB2312" w:cs="仿宋_GB2312"/>
          <w:szCs w:val="32"/>
        </w:rPr>
        <w:fldChar w:fldCharType="separate"/>
      </w:r>
      <w:r>
        <w:rPr>
          <w:rFonts w:hint="eastAsia" w:ascii="黑体" w:eastAsia="黑体"/>
          <w:szCs w:val="44"/>
        </w:rPr>
        <w:t>第</w:t>
      </w:r>
      <w:r>
        <w:rPr>
          <w:rFonts w:hint="eastAsia" w:ascii="黑体" w:eastAsia="黑体"/>
        </w:rPr>
        <w:t>四部分 附件</w:t>
      </w:r>
      <w:r>
        <w:tab/>
      </w:r>
      <w:r>
        <w:fldChar w:fldCharType="begin"/>
      </w:r>
      <w:r>
        <w:instrText xml:space="preserve"> PAGEREF _Toc32420 </w:instrText>
      </w:r>
      <w:r>
        <w:fldChar w:fldCharType="separate"/>
      </w:r>
      <w:r>
        <w:t>32</w:t>
      </w:r>
      <w:r>
        <w:fldChar w:fldCharType="end"/>
      </w:r>
      <w:r>
        <w:rPr>
          <w:rFonts w:hint="eastAsia" w:ascii="仿宋_GB2312" w:eastAsia="仿宋_GB2312" w:cs="仿宋_GB2312"/>
          <w:szCs w:val="32"/>
        </w:rPr>
        <w:fldChar w:fldCharType="end"/>
      </w:r>
    </w:p>
    <w:p>
      <w:pPr>
        <w:pStyle w:val="12"/>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_Toc31187 </w:instrText>
      </w:r>
      <w:r>
        <w:rPr>
          <w:rFonts w:hint="eastAsia" w:ascii="仿宋_GB2312" w:eastAsia="仿宋_GB2312" w:cs="仿宋_GB2312"/>
          <w:szCs w:val="32"/>
        </w:rPr>
        <w:fldChar w:fldCharType="separate"/>
      </w:r>
      <w:r>
        <w:rPr>
          <w:rFonts w:hint="eastAsia" w:ascii="仿宋_GB2312" w:eastAsia="仿宋_GB2312" w:cs="黑体"/>
          <w:szCs w:val="32"/>
        </w:rPr>
        <w:t>附件1</w:t>
      </w:r>
      <w:r>
        <w:tab/>
      </w:r>
      <w:r>
        <w:fldChar w:fldCharType="begin"/>
      </w:r>
      <w:r>
        <w:instrText xml:space="preserve"> PAGEREF _Toc31187 </w:instrText>
      </w:r>
      <w:r>
        <w:fldChar w:fldCharType="separate"/>
      </w:r>
      <w:r>
        <w:t>32</w:t>
      </w:r>
      <w:r>
        <w:fldChar w:fldCharType="end"/>
      </w:r>
      <w:r>
        <w:rPr>
          <w:rFonts w:hint="eastAsia" w:ascii="仿宋_GB2312" w:eastAsia="仿宋_GB2312" w:cs="仿宋_GB2312"/>
          <w:szCs w:val="32"/>
        </w:rPr>
        <w:fldChar w:fldCharType="end"/>
      </w:r>
    </w:p>
    <w:p>
      <w:pPr>
        <w:pStyle w:val="12"/>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_Toc11074 </w:instrText>
      </w:r>
      <w:r>
        <w:rPr>
          <w:rFonts w:hint="eastAsia" w:ascii="仿宋_GB2312" w:eastAsia="仿宋_GB2312" w:cs="仿宋_GB2312"/>
          <w:szCs w:val="32"/>
        </w:rPr>
        <w:fldChar w:fldCharType="separate"/>
      </w:r>
      <w:r>
        <w:rPr>
          <w:rFonts w:hint="eastAsia" w:ascii="方正小标宋简体" w:eastAsia="方正小标宋简体" w:cs="Times New Roman"/>
          <w:bCs w:val="0"/>
          <w:kern w:val="2"/>
          <w:szCs w:val="44"/>
          <w:lang w:val="en-US" w:eastAsia="zh-CN" w:bidi="ar-SA"/>
        </w:rPr>
        <w:t>茂县民政局2020年部门</w:t>
      </w:r>
      <w:r>
        <w:rPr>
          <w:rFonts w:hint="eastAsia" w:ascii="方正小标宋简体" w:eastAsia="方正小标宋简体" w:cs="Times New Roman"/>
          <w:bCs w:val="0"/>
          <w:kern w:val="2"/>
          <w:szCs w:val="44"/>
          <w:lang w:val="zh-CN" w:eastAsia="zh-CN" w:bidi="ar-SA"/>
        </w:rPr>
        <w:t>整体支出绩效评价报告</w:t>
      </w:r>
      <w:r>
        <w:tab/>
      </w:r>
      <w:r>
        <w:fldChar w:fldCharType="begin"/>
      </w:r>
      <w:r>
        <w:instrText xml:space="preserve"> PAGEREF _Toc11074 </w:instrText>
      </w:r>
      <w:r>
        <w:fldChar w:fldCharType="separate"/>
      </w:r>
      <w:r>
        <w:t>32</w:t>
      </w:r>
      <w:r>
        <w:fldChar w:fldCharType="end"/>
      </w:r>
      <w:r>
        <w:rPr>
          <w:rFonts w:hint="eastAsia" w:ascii="仿宋_GB2312" w:eastAsia="仿宋_GB2312" w:cs="仿宋_GB2312"/>
          <w:szCs w:val="32"/>
        </w:rPr>
        <w:fldChar w:fldCharType="end"/>
      </w:r>
    </w:p>
    <w:p>
      <w:pPr>
        <w:pStyle w:val="12"/>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_Toc27760 </w:instrText>
      </w:r>
      <w:r>
        <w:rPr>
          <w:rFonts w:hint="eastAsia" w:ascii="仿宋_GB2312" w:eastAsia="仿宋_GB2312" w:cs="仿宋_GB2312"/>
          <w:szCs w:val="32"/>
        </w:rPr>
        <w:fldChar w:fldCharType="separate"/>
      </w:r>
      <w:r>
        <w:rPr>
          <w:rFonts w:hint="eastAsia" w:ascii="仿宋_GB2312" w:eastAsia="仿宋_GB2312" w:cs="黑体"/>
          <w:szCs w:val="32"/>
        </w:rPr>
        <w:t>附件</w:t>
      </w:r>
      <w:r>
        <w:rPr>
          <w:rFonts w:hint="eastAsia" w:ascii="仿宋_GB2312" w:eastAsia="仿宋_GB2312" w:cs="黑体"/>
          <w:szCs w:val="32"/>
          <w:lang w:val="en-US" w:eastAsia="zh-CN"/>
        </w:rPr>
        <w:t>2</w:t>
      </w:r>
      <w:r>
        <w:tab/>
      </w:r>
      <w:r>
        <w:fldChar w:fldCharType="begin"/>
      </w:r>
      <w:r>
        <w:instrText xml:space="preserve"> PAGEREF _Toc27760 </w:instrText>
      </w:r>
      <w:r>
        <w:fldChar w:fldCharType="separate"/>
      </w:r>
      <w:r>
        <w:t>37</w:t>
      </w:r>
      <w:r>
        <w:fldChar w:fldCharType="end"/>
      </w:r>
      <w:r>
        <w:rPr>
          <w:rFonts w:hint="eastAsia" w:ascii="仿宋_GB2312" w:eastAsia="仿宋_GB2312" w:cs="仿宋_GB2312"/>
          <w:szCs w:val="32"/>
        </w:rPr>
        <w:fldChar w:fldCharType="end"/>
      </w:r>
    </w:p>
    <w:p>
      <w:pPr>
        <w:pStyle w:val="12"/>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_Toc11561 </w:instrText>
      </w:r>
      <w:r>
        <w:rPr>
          <w:rFonts w:hint="eastAsia" w:ascii="仿宋_GB2312" w:eastAsia="仿宋_GB2312" w:cs="仿宋_GB2312"/>
          <w:szCs w:val="32"/>
        </w:rPr>
        <w:fldChar w:fldCharType="separate"/>
      </w:r>
      <w:r>
        <w:rPr>
          <w:rFonts w:hint="eastAsia" w:ascii="方正小标宋简体" w:eastAsia="方正小标宋简体" w:cs="Times New Roman"/>
          <w:bCs w:val="0"/>
          <w:kern w:val="2"/>
          <w:szCs w:val="44"/>
          <w:lang w:val="en-US" w:eastAsia="zh-CN" w:bidi="ar-SA"/>
        </w:rPr>
        <w:t>2020年敬老金项目支出绩效自评报告</w:t>
      </w:r>
      <w:r>
        <w:tab/>
      </w:r>
      <w:r>
        <w:fldChar w:fldCharType="begin"/>
      </w:r>
      <w:r>
        <w:instrText xml:space="preserve"> PAGEREF _Toc11561 </w:instrText>
      </w:r>
      <w:r>
        <w:fldChar w:fldCharType="separate"/>
      </w:r>
      <w:r>
        <w:t>37</w:t>
      </w:r>
      <w:r>
        <w:fldChar w:fldCharType="end"/>
      </w:r>
      <w:r>
        <w:rPr>
          <w:rFonts w:hint="eastAsia" w:ascii="仿宋_GB2312" w:eastAsia="仿宋_GB2312" w:cs="仿宋_GB2312"/>
          <w:szCs w:val="32"/>
        </w:rPr>
        <w:fldChar w:fldCharType="end"/>
      </w:r>
    </w:p>
    <w:p>
      <w:pPr>
        <w:pStyle w:val="12"/>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_Toc4132 </w:instrText>
      </w:r>
      <w:r>
        <w:rPr>
          <w:rFonts w:hint="eastAsia" w:ascii="仿宋_GB2312" w:eastAsia="仿宋_GB2312" w:cs="仿宋_GB2312"/>
          <w:szCs w:val="32"/>
        </w:rPr>
        <w:fldChar w:fldCharType="separate"/>
      </w:r>
      <w:r>
        <w:rPr>
          <w:rFonts w:hint="eastAsia" w:ascii="仿宋_GB2312" w:eastAsia="仿宋_GB2312" w:cs="仿宋_GB2312"/>
          <w:bCs w:val="0"/>
          <w:kern w:val="2"/>
          <w:szCs w:val="32"/>
          <w:lang w:val="en-US" w:eastAsia="zh-CN" w:bidi="ar-SA"/>
        </w:rPr>
        <w:t>附件3</w:t>
      </w:r>
      <w:r>
        <w:rPr>
          <w:rFonts w:hint="eastAsia" w:ascii="仿宋_GB2312" w:eastAsia="仿宋_GB2312" w:cs="仿宋_GB2312"/>
          <w:bCs w:val="0"/>
          <w:kern w:val="2"/>
          <w:szCs w:val="44"/>
          <w:lang w:val="en-US" w:eastAsia="zh-CN" w:bidi="ar-SA"/>
        </w:rPr>
        <w:t>：</w:t>
      </w:r>
      <w:r>
        <w:tab/>
      </w:r>
      <w:r>
        <w:fldChar w:fldCharType="begin"/>
      </w:r>
      <w:r>
        <w:instrText xml:space="preserve"> PAGEREF _Toc4132 </w:instrText>
      </w:r>
      <w:r>
        <w:fldChar w:fldCharType="separate"/>
      </w:r>
      <w:r>
        <w:t>41</w:t>
      </w:r>
      <w:r>
        <w:fldChar w:fldCharType="end"/>
      </w:r>
      <w:r>
        <w:rPr>
          <w:rFonts w:hint="eastAsia" w:ascii="仿宋_GB2312" w:eastAsia="仿宋_GB2312" w:cs="仿宋_GB2312"/>
          <w:szCs w:val="32"/>
        </w:rPr>
        <w:fldChar w:fldCharType="end"/>
      </w:r>
    </w:p>
    <w:p>
      <w:pPr>
        <w:pStyle w:val="12"/>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_Toc8692 </w:instrText>
      </w:r>
      <w:r>
        <w:rPr>
          <w:rFonts w:hint="eastAsia" w:ascii="仿宋_GB2312" w:eastAsia="仿宋_GB2312" w:cs="仿宋_GB2312"/>
          <w:szCs w:val="32"/>
        </w:rPr>
        <w:fldChar w:fldCharType="separate"/>
      </w:r>
      <w:r>
        <w:rPr>
          <w:rFonts w:hint="eastAsia" w:ascii="方正小标宋简体" w:eastAsia="方正小标宋简体" w:cs="Times New Roman"/>
          <w:bCs w:val="0"/>
          <w:kern w:val="2"/>
          <w:szCs w:val="44"/>
          <w:lang w:val="en-US" w:eastAsia="zh-CN" w:bidi="ar-SA"/>
        </w:rPr>
        <w:t>茂县民政局2020年困难残疾人生活补贴资金支出绩效自评报告</w:t>
      </w:r>
      <w:r>
        <w:tab/>
      </w:r>
      <w:r>
        <w:fldChar w:fldCharType="begin"/>
      </w:r>
      <w:r>
        <w:instrText xml:space="preserve"> PAGEREF _Toc8692 </w:instrText>
      </w:r>
      <w:r>
        <w:fldChar w:fldCharType="separate"/>
      </w:r>
      <w:r>
        <w:t>41</w:t>
      </w:r>
      <w:r>
        <w:fldChar w:fldCharType="end"/>
      </w:r>
      <w:r>
        <w:rPr>
          <w:rFonts w:hint="eastAsia" w:ascii="仿宋_GB2312" w:eastAsia="仿宋_GB2312" w:cs="仿宋_GB2312"/>
          <w:szCs w:val="32"/>
        </w:rPr>
        <w:fldChar w:fldCharType="end"/>
      </w:r>
    </w:p>
    <w:p>
      <w:pPr>
        <w:pStyle w:val="12"/>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_Toc32175 </w:instrText>
      </w:r>
      <w:r>
        <w:rPr>
          <w:rFonts w:hint="eastAsia" w:ascii="仿宋_GB2312" w:eastAsia="仿宋_GB2312" w:cs="仿宋_GB2312"/>
          <w:szCs w:val="32"/>
        </w:rPr>
        <w:fldChar w:fldCharType="separate"/>
      </w:r>
      <w:r>
        <w:rPr>
          <w:rFonts w:hint="eastAsia" w:ascii="仿宋_GB2312" w:eastAsia="仿宋_GB2312" w:cs="仿宋_GB2312"/>
          <w:bCs w:val="0"/>
          <w:kern w:val="2"/>
          <w:szCs w:val="32"/>
          <w:lang w:val="en-US" w:eastAsia="zh-CN" w:bidi="ar-SA"/>
        </w:rPr>
        <w:t>附件4：</w:t>
      </w:r>
      <w:r>
        <w:tab/>
      </w:r>
      <w:r>
        <w:fldChar w:fldCharType="begin"/>
      </w:r>
      <w:r>
        <w:instrText xml:space="preserve"> PAGEREF _Toc32175 </w:instrText>
      </w:r>
      <w:r>
        <w:fldChar w:fldCharType="separate"/>
      </w:r>
      <w:r>
        <w:t>45</w:t>
      </w:r>
      <w:r>
        <w:fldChar w:fldCharType="end"/>
      </w:r>
      <w:r>
        <w:rPr>
          <w:rFonts w:hint="eastAsia" w:ascii="仿宋_GB2312" w:eastAsia="仿宋_GB2312" w:cs="仿宋_GB2312"/>
          <w:szCs w:val="32"/>
        </w:rPr>
        <w:fldChar w:fldCharType="end"/>
      </w:r>
    </w:p>
    <w:p>
      <w:pPr>
        <w:pStyle w:val="12"/>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_Toc12973 </w:instrText>
      </w:r>
      <w:r>
        <w:rPr>
          <w:rFonts w:hint="eastAsia" w:ascii="仿宋_GB2312" w:eastAsia="仿宋_GB2312" w:cs="仿宋_GB2312"/>
          <w:szCs w:val="32"/>
        </w:rPr>
        <w:fldChar w:fldCharType="separate"/>
      </w:r>
      <w:r>
        <w:rPr>
          <w:rFonts w:hint="eastAsia" w:ascii="方正小标宋简体" w:eastAsia="方正小标宋简体" w:cs="Times New Roman"/>
          <w:bCs w:val="0"/>
          <w:kern w:val="2"/>
          <w:szCs w:val="44"/>
          <w:lang w:val="en-US" w:eastAsia="zh-CN" w:bidi="ar-SA"/>
        </w:rPr>
        <w:t>茂县民政局2020年度重度残疾人护理费支出绩效自评报告</w:t>
      </w:r>
      <w:r>
        <w:tab/>
      </w:r>
      <w:r>
        <w:fldChar w:fldCharType="begin"/>
      </w:r>
      <w:r>
        <w:instrText xml:space="preserve"> PAGEREF _Toc12973 </w:instrText>
      </w:r>
      <w:r>
        <w:fldChar w:fldCharType="separate"/>
      </w:r>
      <w:r>
        <w:t>45</w:t>
      </w:r>
      <w:r>
        <w:fldChar w:fldCharType="end"/>
      </w:r>
      <w:r>
        <w:rPr>
          <w:rFonts w:hint="eastAsia" w:ascii="仿宋_GB2312" w:eastAsia="仿宋_GB2312" w:cs="仿宋_GB2312"/>
          <w:szCs w:val="32"/>
        </w:rPr>
        <w:fldChar w:fldCharType="end"/>
      </w:r>
    </w:p>
    <w:p>
      <w:pPr>
        <w:pStyle w:val="12"/>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_Toc2072 </w:instrText>
      </w:r>
      <w:r>
        <w:rPr>
          <w:rFonts w:hint="eastAsia" w:ascii="仿宋_GB2312" w:eastAsia="仿宋_GB2312" w:cs="仿宋_GB2312"/>
          <w:szCs w:val="32"/>
        </w:rPr>
        <w:fldChar w:fldCharType="separate"/>
      </w:r>
      <w:r>
        <w:rPr>
          <w:rFonts w:hint="eastAsia" w:ascii="仿宋_GB2312" w:eastAsia="仿宋_GB2312" w:cs="Times New Roman"/>
          <w:bCs w:val="0"/>
          <w:kern w:val="2"/>
          <w:szCs w:val="24"/>
          <w:lang w:val="en-US" w:eastAsia="zh-CN" w:bidi="ar-SA"/>
        </w:rPr>
        <w:t>附件5：</w:t>
      </w:r>
      <w:r>
        <w:tab/>
      </w:r>
      <w:r>
        <w:fldChar w:fldCharType="begin"/>
      </w:r>
      <w:r>
        <w:instrText xml:space="preserve"> PAGEREF _Toc2072 </w:instrText>
      </w:r>
      <w:r>
        <w:fldChar w:fldCharType="separate"/>
      </w:r>
      <w:r>
        <w:t>49</w:t>
      </w:r>
      <w:r>
        <w:fldChar w:fldCharType="end"/>
      </w:r>
      <w:r>
        <w:rPr>
          <w:rFonts w:hint="eastAsia" w:ascii="仿宋_GB2312" w:eastAsia="仿宋_GB2312" w:cs="仿宋_GB2312"/>
          <w:szCs w:val="32"/>
        </w:rPr>
        <w:fldChar w:fldCharType="end"/>
      </w:r>
    </w:p>
    <w:p>
      <w:pPr>
        <w:pStyle w:val="12"/>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_Toc985 </w:instrText>
      </w:r>
      <w:r>
        <w:rPr>
          <w:rFonts w:hint="eastAsia" w:ascii="仿宋_GB2312" w:eastAsia="仿宋_GB2312" w:cs="仿宋_GB2312"/>
          <w:szCs w:val="32"/>
        </w:rPr>
        <w:fldChar w:fldCharType="separate"/>
      </w:r>
      <w:r>
        <w:rPr>
          <w:rFonts w:hint="eastAsia" w:ascii="方正小标宋简体" w:eastAsia="方正小标宋简体" w:cs="Times New Roman"/>
          <w:bCs w:val="0"/>
          <w:kern w:val="2"/>
          <w:szCs w:val="44"/>
          <w:lang w:val="en-US" w:eastAsia="zh-CN" w:bidi="ar-SA"/>
        </w:rPr>
        <w:t>茂县民政局临时价格补贴资金支出绩效自评报告</w:t>
      </w:r>
      <w:r>
        <w:tab/>
      </w:r>
      <w:r>
        <w:fldChar w:fldCharType="begin"/>
      </w:r>
      <w:r>
        <w:instrText xml:space="preserve"> PAGEREF _Toc985 </w:instrText>
      </w:r>
      <w:r>
        <w:fldChar w:fldCharType="separate"/>
      </w:r>
      <w:r>
        <w:t>49</w:t>
      </w:r>
      <w:r>
        <w:fldChar w:fldCharType="end"/>
      </w:r>
      <w:r>
        <w:rPr>
          <w:rFonts w:hint="eastAsia" w:ascii="仿宋_GB2312" w:eastAsia="仿宋_GB2312" w:cs="仿宋_GB2312"/>
          <w:szCs w:val="32"/>
        </w:rPr>
        <w:fldChar w:fldCharType="end"/>
      </w:r>
    </w:p>
    <w:p>
      <w:pPr>
        <w:pStyle w:val="12"/>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_Toc20734 </w:instrText>
      </w:r>
      <w:r>
        <w:rPr>
          <w:rFonts w:hint="eastAsia" w:ascii="仿宋_GB2312" w:eastAsia="仿宋_GB2312" w:cs="仿宋_GB2312"/>
          <w:szCs w:val="32"/>
        </w:rPr>
        <w:fldChar w:fldCharType="separate"/>
      </w:r>
      <w:r>
        <w:rPr>
          <w:rFonts w:hint="eastAsia" w:ascii="黑体" w:eastAsia="黑体"/>
          <w:szCs w:val="44"/>
        </w:rPr>
        <w:t>第</w:t>
      </w:r>
      <w:r>
        <w:rPr>
          <w:rFonts w:hint="eastAsia" w:ascii="黑体" w:eastAsia="黑体"/>
        </w:rPr>
        <w:t>五部分 附表</w:t>
      </w:r>
      <w:r>
        <w:tab/>
      </w:r>
      <w:r>
        <w:fldChar w:fldCharType="begin"/>
      </w:r>
      <w:r>
        <w:instrText xml:space="preserve"> PAGEREF _Toc20734 </w:instrText>
      </w:r>
      <w:r>
        <w:fldChar w:fldCharType="separate"/>
      </w:r>
      <w:r>
        <w:t>52</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_Toc19204 </w:instrText>
      </w:r>
      <w:r>
        <w:rPr>
          <w:rFonts w:hint="eastAsia" w:ascii="仿宋_GB2312" w:eastAsia="仿宋_GB2312" w:cs="仿宋_GB2312"/>
          <w:szCs w:val="32"/>
        </w:rPr>
        <w:fldChar w:fldCharType="separate"/>
      </w:r>
      <w:r>
        <w:rPr>
          <w:rFonts w:hint="eastAsia" w:ascii="仿宋_GB2312" w:eastAsia="仿宋_GB2312"/>
        </w:rPr>
        <w:t>一、收</w:t>
      </w:r>
      <w:r>
        <w:rPr>
          <w:rFonts w:hint="eastAsia" w:ascii="仿宋_GB2312" w:eastAsia="仿宋_GB2312"/>
          <w:bCs w:val="0"/>
        </w:rPr>
        <w:t>入支出决算总表</w:t>
      </w:r>
      <w:r>
        <w:tab/>
      </w:r>
      <w:r>
        <w:fldChar w:fldCharType="begin"/>
      </w:r>
      <w:r>
        <w:instrText xml:space="preserve"> PAGEREF _Toc19204 </w:instrText>
      </w:r>
      <w:r>
        <w:fldChar w:fldCharType="separate"/>
      </w:r>
      <w:r>
        <w:t>52</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_Toc4226 </w:instrText>
      </w:r>
      <w:r>
        <w:rPr>
          <w:rFonts w:hint="eastAsia" w:ascii="仿宋_GB2312" w:eastAsia="仿宋_GB2312" w:cs="仿宋_GB2312"/>
          <w:szCs w:val="32"/>
        </w:rPr>
        <w:fldChar w:fldCharType="separate"/>
      </w:r>
      <w:r>
        <w:rPr>
          <w:rFonts w:hint="eastAsia" w:ascii="仿宋_GB2312" w:eastAsia="仿宋_GB2312"/>
        </w:rPr>
        <w:t>二、收</w:t>
      </w:r>
      <w:r>
        <w:rPr>
          <w:rFonts w:hint="eastAsia" w:ascii="仿宋_GB2312" w:eastAsia="仿宋_GB2312"/>
          <w:bCs w:val="0"/>
        </w:rPr>
        <w:t>入决算表</w:t>
      </w:r>
      <w:r>
        <w:tab/>
      </w:r>
      <w:r>
        <w:fldChar w:fldCharType="begin"/>
      </w:r>
      <w:r>
        <w:instrText xml:space="preserve"> PAGEREF _Toc4226 </w:instrText>
      </w:r>
      <w:r>
        <w:fldChar w:fldCharType="separate"/>
      </w:r>
      <w:r>
        <w:t>52</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_Toc23944 </w:instrText>
      </w:r>
      <w:r>
        <w:rPr>
          <w:rFonts w:hint="eastAsia" w:ascii="仿宋_GB2312" w:eastAsia="仿宋_GB2312" w:cs="仿宋_GB2312"/>
          <w:szCs w:val="32"/>
        </w:rPr>
        <w:fldChar w:fldCharType="separate"/>
      </w:r>
      <w:r>
        <w:rPr>
          <w:rFonts w:hint="eastAsia" w:ascii="仿宋_GB2312" w:eastAsia="仿宋_GB2312"/>
          <w:bCs w:val="0"/>
        </w:rPr>
        <w:t>三、</w:t>
      </w:r>
      <w:r>
        <w:rPr>
          <w:rFonts w:hint="eastAsia" w:ascii="仿宋_GB2312" w:eastAsia="仿宋_GB2312"/>
        </w:rPr>
        <w:t>支</w:t>
      </w:r>
      <w:r>
        <w:rPr>
          <w:rFonts w:hint="eastAsia" w:ascii="仿宋_GB2312" w:eastAsia="仿宋_GB2312"/>
          <w:bCs w:val="0"/>
        </w:rPr>
        <w:t>出决算表</w:t>
      </w:r>
      <w:r>
        <w:tab/>
      </w:r>
      <w:r>
        <w:fldChar w:fldCharType="begin"/>
      </w:r>
      <w:r>
        <w:instrText xml:space="preserve"> PAGEREF _Toc23944 </w:instrText>
      </w:r>
      <w:r>
        <w:fldChar w:fldCharType="separate"/>
      </w:r>
      <w:r>
        <w:t>52</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_Toc13673 </w:instrText>
      </w:r>
      <w:r>
        <w:rPr>
          <w:rFonts w:hint="eastAsia" w:ascii="仿宋_GB2312" w:eastAsia="仿宋_GB2312" w:cs="仿宋_GB2312"/>
          <w:szCs w:val="32"/>
        </w:rPr>
        <w:fldChar w:fldCharType="separate"/>
      </w:r>
      <w:r>
        <w:rPr>
          <w:rFonts w:hint="eastAsia" w:ascii="仿宋_GB2312" w:eastAsia="仿宋_GB2312"/>
          <w:bCs w:val="0"/>
        </w:rPr>
        <w:t>四、</w:t>
      </w:r>
      <w:r>
        <w:rPr>
          <w:rFonts w:hint="eastAsia" w:ascii="仿宋_GB2312" w:eastAsia="仿宋_GB2312"/>
        </w:rPr>
        <w:t>财</w:t>
      </w:r>
      <w:r>
        <w:rPr>
          <w:rFonts w:hint="eastAsia" w:ascii="仿宋_GB2312" w:eastAsia="仿宋_GB2312"/>
          <w:bCs w:val="0"/>
        </w:rPr>
        <w:t>政拨款收入支出决算总表</w:t>
      </w:r>
      <w:r>
        <w:tab/>
      </w:r>
      <w:r>
        <w:fldChar w:fldCharType="begin"/>
      </w:r>
      <w:r>
        <w:instrText xml:space="preserve"> PAGEREF _Toc13673 </w:instrText>
      </w:r>
      <w:r>
        <w:fldChar w:fldCharType="separate"/>
      </w:r>
      <w:r>
        <w:t>52</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_Toc27294 </w:instrText>
      </w:r>
      <w:r>
        <w:rPr>
          <w:rFonts w:hint="eastAsia" w:ascii="仿宋_GB2312" w:eastAsia="仿宋_GB2312" w:cs="仿宋_GB2312"/>
          <w:szCs w:val="32"/>
        </w:rPr>
        <w:fldChar w:fldCharType="separate"/>
      </w:r>
      <w:r>
        <w:rPr>
          <w:rFonts w:hint="eastAsia" w:ascii="仿宋_GB2312" w:eastAsia="仿宋_GB2312"/>
          <w:bCs w:val="0"/>
        </w:rPr>
        <w:t>五、</w:t>
      </w:r>
      <w:r>
        <w:rPr>
          <w:rFonts w:hint="eastAsia" w:ascii="仿宋_GB2312" w:eastAsia="仿宋_GB2312"/>
        </w:rPr>
        <w:t>财</w:t>
      </w:r>
      <w:r>
        <w:rPr>
          <w:rFonts w:hint="eastAsia" w:ascii="仿宋_GB2312" w:eastAsia="仿宋_GB2312"/>
          <w:bCs w:val="0"/>
        </w:rPr>
        <w:t>政拨款支出决算明细表</w:t>
      </w:r>
      <w:r>
        <w:tab/>
      </w:r>
      <w:r>
        <w:fldChar w:fldCharType="begin"/>
      </w:r>
      <w:r>
        <w:instrText xml:space="preserve"> PAGEREF _Toc27294 </w:instrText>
      </w:r>
      <w:r>
        <w:fldChar w:fldCharType="separate"/>
      </w:r>
      <w:r>
        <w:t>52</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_Toc26471 </w:instrText>
      </w:r>
      <w:r>
        <w:rPr>
          <w:rFonts w:hint="eastAsia" w:ascii="仿宋_GB2312" w:eastAsia="仿宋_GB2312" w:cs="仿宋_GB2312"/>
          <w:szCs w:val="32"/>
        </w:rPr>
        <w:fldChar w:fldCharType="separate"/>
      </w:r>
      <w:r>
        <w:rPr>
          <w:rFonts w:hint="eastAsia" w:ascii="仿宋_GB2312" w:eastAsia="仿宋_GB2312"/>
          <w:bCs w:val="0"/>
        </w:rPr>
        <w:t>六、</w:t>
      </w:r>
      <w:r>
        <w:rPr>
          <w:rFonts w:hint="eastAsia" w:ascii="仿宋_GB2312" w:eastAsia="仿宋_GB2312"/>
        </w:rPr>
        <w:t>一</w:t>
      </w:r>
      <w:r>
        <w:rPr>
          <w:rFonts w:hint="eastAsia" w:ascii="仿宋_GB2312" w:eastAsia="仿宋_GB2312"/>
          <w:bCs w:val="0"/>
        </w:rPr>
        <w:t>般公共预算财政拨款支出决算表</w:t>
      </w:r>
      <w:r>
        <w:tab/>
      </w:r>
      <w:r>
        <w:fldChar w:fldCharType="begin"/>
      </w:r>
      <w:r>
        <w:instrText xml:space="preserve"> PAGEREF _Toc26471 </w:instrText>
      </w:r>
      <w:r>
        <w:fldChar w:fldCharType="separate"/>
      </w:r>
      <w:r>
        <w:t>52</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_Toc25348 </w:instrText>
      </w:r>
      <w:r>
        <w:rPr>
          <w:rFonts w:hint="eastAsia" w:ascii="仿宋_GB2312" w:eastAsia="仿宋_GB2312" w:cs="仿宋_GB2312"/>
          <w:szCs w:val="32"/>
        </w:rPr>
        <w:fldChar w:fldCharType="separate"/>
      </w:r>
      <w:r>
        <w:rPr>
          <w:rFonts w:hint="eastAsia" w:ascii="仿宋_GB2312" w:eastAsia="仿宋_GB2312"/>
          <w:bCs w:val="0"/>
        </w:rPr>
        <w:t>七、</w:t>
      </w:r>
      <w:r>
        <w:rPr>
          <w:rFonts w:hint="eastAsia" w:ascii="仿宋_GB2312" w:eastAsia="仿宋_GB2312"/>
        </w:rPr>
        <w:t>一</w:t>
      </w:r>
      <w:r>
        <w:rPr>
          <w:rFonts w:hint="eastAsia" w:ascii="仿宋_GB2312" w:eastAsia="仿宋_GB2312"/>
          <w:bCs w:val="0"/>
        </w:rPr>
        <w:t>般公共预算财政拨款支出决算明细表</w:t>
      </w:r>
      <w:r>
        <w:tab/>
      </w:r>
      <w:r>
        <w:fldChar w:fldCharType="begin"/>
      </w:r>
      <w:r>
        <w:instrText xml:space="preserve"> PAGEREF _Toc25348 </w:instrText>
      </w:r>
      <w:r>
        <w:fldChar w:fldCharType="separate"/>
      </w:r>
      <w:r>
        <w:t>52</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_Toc1206 </w:instrText>
      </w:r>
      <w:r>
        <w:rPr>
          <w:rFonts w:hint="eastAsia" w:ascii="仿宋_GB2312" w:eastAsia="仿宋_GB2312" w:cs="仿宋_GB2312"/>
          <w:szCs w:val="32"/>
        </w:rPr>
        <w:fldChar w:fldCharType="separate"/>
      </w:r>
      <w:r>
        <w:rPr>
          <w:rFonts w:hint="eastAsia" w:ascii="仿宋_GB2312" w:eastAsia="仿宋_GB2312"/>
          <w:bCs w:val="0"/>
        </w:rPr>
        <w:t>八、</w:t>
      </w:r>
      <w:r>
        <w:rPr>
          <w:rFonts w:hint="eastAsia" w:ascii="仿宋_GB2312" w:eastAsia="仿宋_GB2312"/>
        </w:rPr>
        <w:t>一</w:t>
      </w:r>
      <w:r>
        <w:rPr>
          <w:rFonts w:hint="eastAsia" w:ascii="仿宋_GB2312" w:eastAsia="仿宋_GB2312"/>
          <w:bCs w:val="0"/>
        </w:rPr>
        <w:t>般公共预算财政拨款基本支出决算表</w:t>
      </w:r>
      <w:r>
        <w:tab/>
      </w:r>
      <w:r>
        <w:fldChar w:fldCharType="begin"/>
      </w:r>
      <w:r>
        <w:instrText xml:space="preserve"> PAGEREF _Toc1206 </w:instrText>
      </w:r>
      <w:r>
        <w:fldChar w:fldCharType="separate"/>
      </w:r>
      <w:r>
        <w:t>52</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_Toc25270 </w:instrText>
      </w:r>
      <w:r>
        <w:rPr>
          <w:rFonts w:hint="eastAsia" w:ascii="仿宋_GB2312" w:eastAsia="仿宋_GB2312" w:cs="仿宋_GB2312"/>
          <w:szCs w:val="32"/>
        </w:rPr>
        <w:fldChar w:fldCharType="separate"/>
      </w:r>
      <w:r>
        <w:rPr>
          <w:rFonts w:hint="eastAsia" w:ascii="仿宋_GB2312" w:eastAsia="仿宋_GB2312"/>
          <w:bCs w:val="0"/>
        </w:rPr>
        <w:t>九、</w:t>
      </w:r>
      <w:r>
        <w:rPr>
          <w:rFonts w:hint="eastAsia" w:ascii="仿宋_GB2312" w:eastAsia="仿宋_GB2312"/>
        </w:rPr>
        <w:t>一</w:t>
      </w:r>
      <w:r>
        <w:rPr>
          <w:rFonts w:hint="eastAsia" w:ascii="仿宋_GB2312" w:eastAsia="仿宋_GB2312"/>
          <w:bCs w:val="0"/>
        </w:rPr>
        <w:t>般公共预算财政拨款项目支出决算表</w:t>
      </w:r>
      <w:r>
        <w:tab/>
      </w:r>
      <w:r>
        <w:fldChar w:fldCharType="begin"/>
      </w:r>
      <w:r>
        <w:instrText xml:space="preserve"> PAGEREF _Toc25270 </w:instrText>
      </w:r>
      <w:r>
        <w:fldChar w:fldCharType="separate"/>
      </w:r>
      <w:r>
        <w:t>52</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_Toc15712 </w:instrText>
      </w:r>
      <w:r>
        <w:rPr>
          <w:rFonts w:hint="eastAsia" w:ascii="仿宋_GB2312" w:eastAsia="仿宋_GB2312" w:cs="仿宋_GB2312"/>
          <w:szCs w:val="32"/>
        </w:rPr>
        <w:fldChar w:fldCharType="separate"/>
      </w:r>
      <w:r>
        <w:rPr>
          <w:rFonts w:hint="eastAsia" w:ascii="仿宋_GB2312" w:eastAsia="仿宋_GB2312"/>
          <w:bCs w:val="0"/>
        </w:rPr>
        <w:t>十、</w:t>
      </w:r>
      <w:r>
        <w:rPr>
          <w:rFonts w:hint="eastAsia" w:ascii="仿宋_GB2312" w:eastAsia="仿宋_GB2312"/>
        </w:rPr>
        <w:t>一</w:t>
      </w:r>
      <w:r>
        <w:rPr>
          <w:rFonts w:hint="eastAsia" w:ascii="仿宋_GB2312" w:eastAsia="仿宋_GB2312"/>
          <w:bCs w:val="0"/>
        </w:rPr>
        <w:t>般公共预算财政拨款“三公”经费支出决算表</w:t>
      </w:r>
      <w:r>
        <w:tab/>
      </w:r>
      <w:r>
        <w:fldChar w:fldCharType="begin"/>
      </w:r>
      <w:r>
        <w:instrText xml:space="preserve"> PAGEREF _Toc15712 </w:instrText>
      </w:r>
      <w:r>
        <w:fldChar w:fldCharType="separate"/>
      </w:r>
      <w:r>
        <w:t>52</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_Toc21904 </w:instrText>
      </w:r>
      <w:r>
        <w:rPr>
          <w:rFonts w:hint="eastAsia" w:ascii="仿宋_GB2312" w:eastAsia="仿宋_GB2312" w:cs="仿宋_GB2312"/>
          <w:szCs w:val="32"/>
        </w:rPr>
        <w:fldChar w:fldCharType="separate"/>
      </w:r>
      <w:r>
        <w:rPr>
          <w:rFonts w:hint="eastAsia" w:ascii="仿宋_GB2312" w:eastAsia="仿宋_GB2312"/>
          <w:bCs w:val="0"/>
        </w:rPr>
        <w:t>十一、</w:t>
      </w:r>
      <w:r>
        <w:rPr>
          <w:rFonts w:hint="eastAsia" w:ascii="仿宋_GB2312" w:eastAsia="仿宋_GB2312"/>
        </w:rPr>
        <w:t>政</w:t>
      </w:r>
      <w:r>
        <w:rPr>
          <w:rFonts w:hint="eastAsia" w:ascii="仿宋_GB2312" w:eastAsia="仿宋_GB2312"/>
          <w:bCs w:val="0"/>
        </w:rPr>
        <w:t>府性基金预算财政拨款收入支出决算表</w:t>
      </w:r>
      <w:r>
        <w:tab/>
      </w:r>
      <w:r>
        <w:fldChar w:fldCharType="begin"/>
      </w:r>
      <w:r>
        <w:instrText xml:space="preserve"> PAGEREF _Toc21904 </w:instrText>
      </w:r>
      <w:r>
        <w:fldChar w:fldCharType="separate"/>
      </w:r>
      <w:r>
        <w:t>52</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_Toc16874 </w:instrText>
      </w:r>
      <w:r>
        <w:rPr>
          <w:rFonts w:hint="eastAsia" w:ascii="仿宋_GB2312" w:eastAsia="仿宋_GB2312" w:cs="仿宋_GB2312"/>
          <w:szCs w:val="32"/>
        </w:rPr>
        <w:fldChar w:fldCharType="separate"/>
      </w:r>
      <w:r>
        <w:rPr>
          <w:rFonts w:hint="eastAsia" w:ascii="仿宋_GB2312" w:eastAsia="仿宋_GB2312"/>
          <w:bCs w:val="0"/>
        </w:rPr>
        <w:t>十二、</w:t>
      </w:r>
      <w:r>
        <w:rPr>
          <w:rFonts w:hint="eastAsia" w:ascii="仿宋_GB2312" w:eastAsia="仿宋_GB2312"/>
        </w:rPr>
        <w:t>政</w:t>
      </w:r>
      <w:r>
        <w:rPr>
          <w:rFonts w:hint="eastAsia" w:ascii="仿宋_GB2312" w:eastAsia="仿宋_GB2312"/>
          <w:bCs w:val="0"/>
        </w:rPr>
        <w:t>府性基金预算财政拨款“三公”经费支出决算表</w:t>
      </w:r>
      <w:r>
        <w:tab/>
      </w:r>
      <w:r>
        <w:fldChar w:fldCharType="begin"/>
      </w:r>
      <w:r>
        <w:instrText xml:space="preserve"> PAGEREF _Toc16874 </w:instrText>
      </w:r>
      <w:r>
        <w:fldChar w:fldCharType="separate"/>
      </w:r>
      <w:r>
        <w:t>52</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_Toc5581 </w:instrText>
      </w:r>
      <w:r>
        <w:rPr>
          <w:rFonts w:hint="eastAsia" w:ascii="仿宋_GB2312" w:eastAsia="仿宋_GB2312" w:cs="仿宋_GB2312"/>
          <w:szCs w:val="32"/>
        </w:rPr>
        <w:fldChar w:fldCharType="separate"/>
      </w:r>
      <w:r>
        <w:rPr>
          <w:rFonts w:hint="eastAsia" w:ascii="仿宋_GB2312" w:eastAsia="仿宋_GB2312"/>
          <w:bCs w:val="0"/>
        </w:rPr>
        <w:t>十三、</w:t>
      </w:r>
      <w:r>
        <w:rPr>
          <w:rFonts w:hint="eastAsia" w:ascii="仿宋_GB2312" w:eastAsia="仿宋_GB2312"/>
        </w:rPr>
        <w:t>国</w:t>
      </w:r>
      <w:r>
        <w:rPr>
          <w:rFonts w:hint="eastAsia" w:ascii="仿宋_GB2312" w:eastAsia="仿宋_GB2312"/>
          <w:bCs w:val="0"/>
        </w:rPr>
        <w:t>有资本经营预算</w:t>
      </w:r>
      <w:r>
        <w:rPr>
          <w:rFonts w:hint="eastAsia" w:ascii="仿宋_GB2312" w:eastAsia="仿宋_GB2312"/>
          <w:bCs w:val="0"/>
          <w:lang w:eastAsia="zh-CN"/>
        </w:rPr>
        <w:t>财政拨款收入</w:t>
      </w:r>
      <w:r>
        <w:rPr>
          <w:rFonts w:hint="eastAsia" w:ascii="仿宋_GB2312" w:eastAsia="仿宋_GB2312"/>
          <w:bCs w:val="0"/>
        </w:rPr>
        <w:t>支出决算表</w:t>
      </w:r>
      <w:r>
        <w:tab/>
      </w:r>
      <w:r>
        <w:fldChar w:fldCharType="begin"/>
      </w:r>
      <w:r>
        <w:instrText xml:space="preserve"> PAGEREF _Toc5581 </w:instrText>
      </w:r>
      <w:r>
        <w:fldChar w:fldCharType="separate"/>
      </w:r>
      <w:r>
        <w:t>52</w:t>
      </w:r>
      <w:r>
        <w:fldChar w:fldCharType="end"/>
      </w:r>
      <w:r>
        <w:rPr>
          <w:rFonts w:hint="eastAsia" w:ascii="仿宋_GB2312" w:eastAsia="仿宋_GB2312" w:cs="仿宋_GB2312"/>
          <w:szCs w:val="32"/>
        </w:rPr>
        <w:fldChar w:fldCharType="end"/>
      </w:r>
    </w:p>
    <w:p>
      <w:pPr>
        <w:pStyle w:val="13"/>
        <w:tabs>
          <w:tab w:val="right" w:leader="dot" w:pos="8306"/>
          <w:tab w:val="clear" w:pos="8296"/>
        </w:tabs>
      </w:pPr>
      <w:r>
        <w:rPr>
          <w:rFonts w:hint="eastAsia" w:ascii="仿宋_GB2312" w:eastAsia="仿宋_GB2312" w:cs="仿宋_GB2312"/>
          <w:szCs w:val="32"/>
        </w:rPr>
        <w:fldChar w:fldCharType="begin"/>
      </w:r>
      <w:r>
        <w:rPr>
          <w:rFonts w:hint="eastAsia" w:ascii="仿宋_GB2312" w:eastAsia="仿宋_GB2312" w:cs="仿宋_GB2312"/>
          <w:szCs w:val="32"/>
        </w:rPr>
        <w:instrText xml:space="preserve"> HYPERLINK \l _Toc26688 </w:instrText>
      </w:r>
      <w:r>
        <w:rPr>
          <w:rFonts w:hint="eastAsia" w:ascii="仿宋_GB2312" w:eastAsia="仿宋_GB2312" w:cs="仿宋_GB2312"/>
          <w:szCs w:val="32"/>
        </w:rPr>
        <w:fldChar w:fldCharType="separate"/>
      </w:r>
      <w:r>
        <w:rPr>
          <w:rFonts w:hint="eastAsia" w:ascii="仿宋_GB2312" w:eastAsia="仿宋_GB2312"/>
          <w:bCs w:val="0"/>
        </w:rPr>
        <w:t>十</w:t>
      </w:r>
      <w:r>
        <w:rPr>
          <w:rFonts w:hint="eastAsia" w:ascii="仿宋_GB2312" w:eastAsia="仿宋_GB2312"/>
          <w:bCs w:val="0"/>
          <w:lang w:eastAsia="zh-CN"/>
        </w:rPr>
        <w:t>四</w:t>
      </w:r>
      <w:r>
        <w:rPr>
          <w:rFonts w:hint="eastAsia" w:ascii="仿宋_GB2312" w:eastAsia="仿宋_GB2312"/>
          <w:bCs w:val="0"/>
        </w:rPr>
        <w:t>、</w:t>
      </w:r>
      <w:r>
        <w:rPr>
          <w:rFonts w:hint="eastAsia" w:ascii="仿宋_GB2312" w:eastAsia="仿宋_GB2312"/>
        </w:rPr>
        <w:t>国</w:t>
      </w:r>
      <w:r>
        <w:rPr>
          <w:rFonts w:hint="eastAsia" w:ascii="仿宋_GB2312" w:eastAsia="仿宋_GB2312"/>
          <w:bCs w:val="0"/>
        </w:rPr>
        <w:t>有资本经营预算</w:t>
      </w:r>
      <w:r>
        <w:rPr>
          <w:rFonts w:hint="eastAsia" w:ascii="仿宋_GB2312" w:eastAsia="仿宋_GB2312"/>
          <w:bCs w:val="0"/>
          <w:lang w:eastAsia="zh-CN"/>
        </w:rPr>
        <w:t>财政拨款</w:t>
      </w:r>
      <w:r>
        <w:rPr>
          <w:rFonts w:hint="eastAsia" w:ascii="仿宋_GB2312" w:eastAsia="仿宋_GB2312"/>
          <w:bCs w:val="0"/>
        </w:rPr>
        <w:t>支出决算表</w:t>
      </w:r>
      <w:r>
        <w:tab/>
      </w:r>
      <w:r>
        <w:fldChar w:fldCharType="begin"/>
      </w:r>
      <w:r>
        <w:instrText xml:space="preserve"> PAGEREF _Toc26688 </w:instrText>
      </w:r>
      <w:r>
        <w:fldChar w:fldCharType="separate"/>
      </w:r>
      <w:r>
        <w:t>52</w:t>
      </w:r>
      <w:r>
        <w:fldChar w:fldCharType="end"/>
      </w:r>
      <w:r>
        <w:rPr>
          <w:rFonts w:hint="eastAsia" w:ascii="仿宋_GB2312" w:eastAsia="仿宋_GB2312" w:cs="仿宋_GB2312"/>
          <w:szCs w:val="32"/>
        </w:rPr>
        <w:fldChar w:fldCharType="end"/>
      </w:r>
    </w:p>
    <w:p>
      <w:pPr>
        <w:pStyle w:val="13"/>
        <w:adjustRightInd w:val="0"/>
        <w:snapToGrid w:val="0"/>
        <w:spacing w:line="440" w:lineRule="exact"/>
        <w:jc w:val="left"/>
        <w:rPr>
          <w:rFonts w:hint="eastAsia" w:ascii="黑体" w:eastAsia="黑体"/>
          <w:b w:val="0"/>
        </w:rPr>
      </w:pPr>
      <w:r>
        <w:rPr>
          <w:rFonts w:hint="eastAsia" w:ascii="仿宋_GB2312" w:eastAsia="仿宋_GB2312" w:cs="仿宋_GB2312"/>
          <w:szCs w:val="32"/>
        </w:rPr>
        <w:fldChar w:fldCharType="end"/>
      </w:r>
    </w:p>
    <w:p>
      <w:pPr>
        <w:bidi w:val="0"/>
        <w:jc w:val="center"/>
        <w:rPr>
          <w:rFonts w:hint="eastAsia"/>
          <w:sz w:val="44"/>
          <w:szCs w:val="44"/>
          <w:lang w:val="en-US" w:eastAsia="zh-CN"/>
        </w:rPr>
      </w:pPr>
      <w:bookmarkStart w:id="14" w:name="_Toc14372"/>
      <w:bookmarkStart w:id="15" w:name="_Toc23267"/>
    </w:p>
    <w:p>
      <w:pPr>
        <w:bidi w:val="0"/>
        <w:jc w:val="center"/>
        <w:rPr>
          <w:rFonts w:hint="eastAsia"/>
          <w:sz w:val="44"/>
          <w:szCs w:val="44"/>
          <w:lang w:val="en-US" w:eastAsia="zh-CN"/>
        </w:rPr>
      </w:pPr>
    </w:p>
    <w:p>
      <w:pPr>
        <w:bidi w:val="0"/>
        <w:jc w:val="center"/>
        <w:rPr>
          <w:rFonts w:hint="eastAsia"/>
          <w:sz w:val="44"/>
          <w:szCs w:val="44"/>
          <w:lang w:val="en-US" w:eastAsia="zh-CN"/>
        </w:rPr>
      </w:pPr>
    </w:p>
    <w:p>
      <w:pPr>
        <w:bidi w:val="0"/>
        <w:jc w:val="center"/>
        <w:rPr>
          <w:rFonts w:hint="eastAsia"/>
          <w:sz w:val="44"/>
          <w:szCs w:val="44"/>
          <w:lang w:val="en-US" w:eastAsia="zh-CN"/>
        </w:rPr>
      </w:pPr>
    </w:p>
    <w:p>
      <w:pPr>
        <w:bidi w:val="0"/>
        <w:jc w:val="center"/>
        <w:rPr>
          <w:rFonts w:hint="eastAsia"/>
          <w:sz w:val="44"/>
          <w:szCs w:val="44"/>
          <w:lang w:val="en-US" w:eastAsia="zh-CN"/>
        </w:rPr>
      </w:pPr>
    </w:p>
    <w:p>
      <w:pPr>
        <w:bidi w:val="0"/>
        <w:jc w:val="both"/>
        <w:rPr>
          <w:rFonts w:hint="eastAsia"/>
          <w:sz w:val="44"/>
          <w:szCs w:val="44"/>
          <w:lang w:val="en-US" w:eastAsia="zh-CN"/>
        </w:rPr>
      </w:pPr>
    </w:p>
    <w:p>
      <w:pPr>
        <w:pStyle w:val="4"/>
        <w:jc w:val="center"/>
        <w:rPr>
          <w:rFonts w:hint="eastAsia"/>
          <w:szCs w:val="44"/>
          <w:lang w:val="en-US" w:eastAsia="zh-CN"/>
        </w:rPr>
      </w:pPr>
      <w:bookmarkStart w:id="16" w:name="_Toc24639"/>
      <w:r>
        <w:rPr>
          <w:rFonts w:hint="eastAsia"/>
          <w:lang w:val="en-US" w:eastAsia="zh-CN"/>
        </w:rPr>
        <w:t>第一部分 部门概况</w:t>
      </w:r>
      <w:bookmarkEnd w:id="1"/>
      <w:bookmarkEnd w:id="2"/>
      <w:bookmarkEnd w:id="14"/>
      <w:bookmarkEnd w:id="15"/>
      <w:bookmarkEnd w:id="16"/>
    </w:p>
    <w:p>
      <w:pPr>
        <w:pStyle w:val="5"/>
        <w:spacing w:before="0" w:after="0" w:line="576" w:lineRule="exact"/>
        <w:ind w:firstLine="640" w:firstLineChars="200"/>
        <w:outlineLvl w:val="9"/>
        <w:rPr>
          <w:rFonts w:ascii="黑体" w:eastAsia="黑体"/>
          <w:b w:val="0"/>
          <w:color w:val="000000"/>
        </w:rPr>
      </w:pPr>
      <w:bookmarkStart w:id="17" w:name="_Toc15396600"/>
      <w:bookmarkStart w:id="18" w:name="_Toc15377197"/>
    </w:p>
    <w:p>
      <w:pPr>
        <w:pStyle w:val="5"/>
        <w:numPr>
          <w:ilvl w:val="0"/>
          <w:numId w:val="1"/>
        </w:numPr>
        <w:spacing w:before="0" w:after="0" w:line="576" w:lineRule="exact"/>
        <w:ind w:left="0" w:firstLine="640" w:firstLineChars="200"/>
        <w:rPr>
          <w:rStyle w:val="21"/>
          <w:rFonts w:hint="eastAsia" w:ascii="黑体" w:eastAsia="黑体" w:cs="黑体"/>
          <w:b w:val="0"/>
          <w:bCs w:val="0"/>
        </w:rPr>
      </w:pPr>
      <w:bookmarkStart w:id="19" w:name="_Toc16764"/>
      <w:bookmarkStart w:id="20" w:name="_Toc2177"/>
      <w:bookmarkStart w:id="21" w:name="_Toc23007"/>
      <w:r>
        <w:rPr>
          <w:rFonts w:hint="eastAsia" w:ascii="黑体" w:eastAsia="黑体" w:cs="黑体"/>
          <w:b w:val="0"/>
          <w:color w:val="000000"/>
        </w:rPr>
        <w:t>基</w:t>
      </w:r>
      <w:r>
        <w:rPr>
          <w:rStyle w:val="21"/>
          <w:rFonts w:hint="eastAsia" w:ascii="黑体" w:eastAsia="黑体" w:cs="黑体"/>
          <w:b w:val="0"/>
          <w:bCs w:val="0"/>
        </w:rPr>
        <w:t>本职能及主要工作</w:t>
      </w:r>
      <w:bookmarkEnd w:id="17"/>
      <w:bookmarkEnd w:id="18"/>
      <w:bookmarkEnd w:id="19"/>
      <w:bookmarkEnd w:id="20"/>
      <w:bookmarkEnd w:id="21"/>
      <w:bookmarkStart w:id="22" w:name="_Toc15378446"/>
      <w:bookmarkStart w:id="23" w:name="_Toc15377199"/>
    </w:p>
    <w:p>
      <w:pPr>
        <w:pStyle w:val="5"/>
        <w:spacing w:before="0" w:after="0" w:line="576" w:lineRule="exact"/>
        <w:ind w:firstLine="642" w:firstLineChars="200"/>
        <w:rPr>
          <w:rFonts w:hint="eastAsia" w:ascii="楷体_GB2312" w:eastAsia="楷体_GB2312" w:cs="Times New Roman"/>
          <w:b/>
          <w:bCs w:val="0"/>
          <w:color w:val="000000"/>
          <w:kern w:val="2"/>
          <w:sz w:val="32"/>
          <w:szCs w:val="32"/>
          <w:lang w:val="en-US" w:eastAsia="zh-CN" w:bidi="ar-SA"/>
        </w:rPr>
      </w:pPr>
      <w:bookmarkStart w:id="24" w:name="_Toc32235"/>
      <w:bookmarkStart w:id="25" w:name="_Toc23000"/>
      <w:bookmarkStart w:id="26" w:name="_Toc26450"/>
      <w:r>
        <w:rPr>
          <w:rFonts w:hint="eastAsia" w:ascii="楷体_GB2312" w:eastAsia="楷体_GB2312" w:cs="Times New Roman"/>
          <w:b/>
          <w:bCs w:val="0"/>
          <w:color w:val="000000"/>
          <w:kern w:val="2"/>
          <w:sz w:val="32"/>
          <w:szCs w:val="32"/>
          <w:lang w:val="en-US" w:eastAsia="zh-CN" w:bidi="ar-SA"/>
        </w:rPr>
        <w:t>(一)基本职能</w:t>
      </w:r>
      <w:bookmarkEnd w:id="24"/>
      <w:bookmarkEnd w:id="25"/>
      <w:bookmarkEnd w:id="26"/>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r>
        <w:rPr>
          <w:rFonts w:hint="eastAsia" w:ascii="仿宋_GB2312" w:eastAsia="仿宋_GB2312" w:cs="Times New Roman"/>
          <w:b w:val="0"/>
          <w:bCs/>
          <w:kern w:val="2"/>
          <w:sz w:val="32"/>
          <w:szCs w:val="32"/>
          <w:lang w:val="en-US" w:eastAsia="zh-CN" w:bidi="ar-SA"/>
        </w:rPr>
        <w:t>（1）贯彻执行民政工作民族自治法规，拟订全县民政事业发展规划、工作计划，负责组织实施和监督检查全县民政事业政策、标准。</w:t>
      </w:r>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r>
        <w:rPr>
          <w:rFonts w:hint="eastAsia" w:ascii="仿宋_GB2312" w:eastAsia="仿宋_GB2312" w:cs="Times New Roman"/>
          <w:b w:val="0"/>
          <w:bCs/>
          <w:kern w:val="2"/>
          <w:sz w:val="32"/>
          <w:szCs w:val="32"/>
          <w:lang w:val="en-US" w:eastAsia="zh-CN" w:bidi="ar-SA"/>
        </w:rPr>
        <w:t>（2）承担对社会团体、基金会、社会服务机构等社会组织登记和监督管理办法并组织实施，依法对社会组织进行登记管理和执法监督。</w:t>
      </w:r>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r>
        <w:rPr>
          <w:rFonts w:hint="eastAsia" w:ascii="仿宋_GB2312" w:eastAsia="仿宋_GB2312" w:cs="Times New Roman"/>
          <w:b w:val="0"/>
          <w:bCs/>
          <w:kern w:val="2"/>
          <w:sz w:val="32"/>
          <w:szCs w:val="32"/>
          <w:lang w:val="en-US" w:eastAsia="zh-CN" w:bidi="ar-SA"/>
        </w:rPr>
        <w:t>（3）牵头实施和执行社会救助规划、政策和标准，统筹推进社会救助体系建设，负责城乡居民最低生活保障、特困人员救助供养、临时救助、生活无着流浪乞讨人员救助工作。</w:t>
      </w:r>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r>
        <w:rPr>
          <w:rFonts w:hint="eastAsia" w:ascii="仿宋_GB2312" w:eastAsia="仿宋_GB2312" w:cs="Times New Roman"/>
          <w:b w:val="0"/>
          <w:bCs/>
          <w:kern w:val="2"/>
          <w:sz w:val="32"/>
          <w:szCs w:val="32"/>
          <w:lang w:val="en-US" w:eastAsia="zh-CN" w:bidi="ar-SA"/>
        </w:rPr>
        <w:t>（4）负责指导实施城乡基层群众自治建设和社区治理政策，指导城乡社区治理体系、服务体系和治理能力建设，提出加强和改进城乡基层政权建设的建议，推动基层民主政治建设。</w:t>
      </w:r>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r>
        <w:rPr>
          <w:rFonts w:hint="eastAsia" w:ascii="仿宋_GB2312" w:eastAsia="仿宋_GB2312" w:cs="Times New Roman"/>
          <w:b w:val="0"/>
          <w:bCs/>
          <w:kern w:val="2"/>
          <w:sz w:val="32"/>
          <w:szCs w:val="32"/>
          <w:lang w:val="en-US" w:eastAsia="zh-CN" w:bidi="ar-SA"/>
        </w:rPr>
        <w:t>（5）负责实施全县行政区划管理政策和行政区域界线、地名管理办法，负责全县行政区域的设立、命名、撤销、变更和政府驻地迁移审核上报工作。组织并指导全县行政区域界线的勘定、管理工作，调处行政区域边界争议，负责地名管理工作。</w:t>
      </w:r>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r>
        <w:rPr>
          <w:rFonts w:hint="eastAsia" w:ascii="仿宋_GB2312" w:eastAsia="仿宋_GB2312" w:cs="Times New Roman"/>
          <w:b w:val="0"/>
          <w:bCs/>
          <w:kern w:val="2"/>
          <w:sz w:val="32"/>
          <w:szCs w:val="32"/>
          <w:lang w:val="en-US" w:eastAsia="zh-CN" w:bidi="ar-SA"/>
        </w:rPr>
        <w:t>（6）负责组织实施婚姻管理政策，推进婚俗改革。</w:t>
      </w:r>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r>
        <w:rPr>
          <w:rFonts w:hint="eastAsia" w:ascii="仿宋_GB2312" w:eastAsia="仿宋_GB2312" w:cs="Times New Roman"/>
          <w:b w:val="0"/>
          <w:bCs/>
          <w:kern w:val="2"/>
          <w:sz w:val="32"/>
          <w:szCs w:val="32"/>
          <w:lang w:val="en-US" w:eastAsia="zh-CN" w:bidi="ar-SA"/>
        </w:rPr>
        <w:t>（7）负责组织实施殡葬管理政策并规范服务，负责殡葬管理、救助服务机构管理工作，推进殡葬改革。</w:t>
      </w:r>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r>
        <w:rPr>
          <w:rFonts w:hint="eastAsia" w:ascii="仿宋_GB2312" w:eastAsia="仿宋_GB2312" w:cs="Times New Roman"/>
          <w:b w:val="0"/>
          <w:bCs/>
          <w:kern w:val="2"/>
          <w:sz w:val="32"/>
          <w:szCs w:val="32"/>
          <w:lang w:val="en-US" w:eastAsia="zh-CN" w:bidi="ar-SA"/>
        </w:rPr>
        <w:t>（8）负责实施社会福利事业发展规划、政策和标准，负责拟订社会福利机构管理办法并指导实施。负责监督实施残疾人权益保护政策。统筹推进残疾人福利制度建设和康复辅助器具产业发展。</w:t>
      </w:r>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r>
        <w:rPr>
          <w:rFonts w:hint="eastAsia" w:ascii="仿宋_GB2312" w:eastAsia="仿宋_GB2312" w:cs="Times New Roman"/>
          <w:b w:val="0"/>
          <w:bCs/>
          <w:kern w:val="2"/>
          <w:sz w:val="32"/>
          <w:szCs w:val="32"/>
          <w:lang w:val="en-US" w:eastAsia="zh-CN" w:bidi="ar-SA"/>
        </w:rPr>
        <w:t>（9）统筹推进、督促指导、监督管理养老服务工作，组织实施养老服务体系建设规划、政策、标准，承担老年人福利和特殊困难老年人救助工作，协调推进农村留守老年人关爱服务工作，承担城乡老年社会组织管理工作。负责做好老年大学（学校）管理指导工作。</w:t>
      </w:r>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r>
        <w:rPr>
          <w:rFonts w:hint="eastAsia" w:ascii="仿宋_GB2312" w:eastAsia="仿宋_GB2312" w:cs="Times New Roman"/>
          <w:b w:val="0"/>
          <w:bCs/>
          <w:kern w:val="2"/>
          <w:sz w:val="32"/>
          <w:szCs w:val="32"/>
          <w:lang w:val="en-US" w:eastAsia="zh-CN" w:bidi="ar-SA"/>
        </w:rPr>
        <w:t>（10）负责组织实施儿童福利、孤弃儿童保障、儿童收养、儿童救助保护政策和标准，健全农村留守儿童关爱服务体系和困境儿童保障制度。</w:t>
      </w:r>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r>
        <w:rPr>
          <w:rFonts w:hint="eastAsia" w:ascii="仿宋_GB2312" w:eastAsia="仿宋_GB2312" w:cs="Times New Roman"/>
          <w:b w:val="0"/>
          <w:bCs/>
          <w:kern w:val="2"/>
          <w:sz w:val="32"/>
          <w:szCs w:val="32"/>
          <w:lang w:val="en-US" w:eastAsia="zh-CN" w:bidi="ar-SA"/>
        </w:rPr>
        <w:t>（11）组织实施促进慈善事业发展政策，指导社会捐助工作。</w:t>
      </w:r>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r>
        <w:rPr>
          <w:rFonts w:hint="eastAsia" w:ascii="仿宋_GB2312" w:eastAsia="仿宋_GB2312" w:cs="Times New Roman"/>
          <w:b w:val="0"/>
          <w:bCs/>
          <w:kern w:val="2"/>
          <w:sz w:val="32"/>
          <w:szCs w:val="32"/>
          <w:lang w:val="en-US" w:eastAsia="zh-CN" w:bidi="ar-SA"/>
        </w:rPr>
        <w:t>（12）负责组织实施社会工作、志愿服务政策和标准，会同有关部门推进社会工作人才队伍建设和志愿者队伍建设。</w:t>
      </w:r>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r>
        <w:rPr>
          <w:rFonts w:hint="eastAsia" w:ascii="仿宋_GB2312" w:eastAsia="仿宋_GB2312" w:cs="Times New Roman"/>
          <w:b w:val="0"/>
          <w:bCs/>
          <w:kern w:val="2"/>
          <w:sz w:val="32"/>
          <w:szCs w:val="32"/>
          <w:lang w:val="en-US" w:eastAsia="zh-CN" w:bidi="ar-SA"/>
        </w:rPr>
        <w:t>（13）依法依规负责社会福利、养老服务、救助管理、殡葬服务机构的安全生产监督管理工作。负责职责范围内的意识形态、职业健康、生态环境保护、审批服务便民化工作。</w:t>
      </w:r>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r>
        <w:rPr>
          <w:rFonts w:hint="eastAsia" w:ascii="仿宋_GB2312" w:eastAsia="仿宋_GB2312" w:cs="Times New Roman"/>
          <w:b w:val="0"/>
          <w:bCs/>
          <w:kern w:val="2"/>
          <w:sz w:val="32"/>
          <w:szCs w:val="32"/>
          <w:lang w:val="en-US" w:eastAsia="zh-CN" w:bidi="ar-SA"/>
        </w:rPr>
        <w:t>（14）完成县委、县政府交办的其他任务。</w:t>
      </w:r>
    </w:p>
    <w:p>
      <w:pPr>
        <w:pStyle w:val="5"/>
        <w:spacing w:before="0" w:after="0" w:line="576" w:lineRule="exact"/>
        <w:ind w:firstLine="642" w:firstLineChars="200"/>
        <w:rPr>
          <w:rFonts w:hint="eastAsia" w:ascii="楷体_GB2312" w:eastAsia="楷体_GB2312" w:cs="Times New Roman"/>
          <w:b/>
          <w:bCs w:val="0"/>
          <w:color w:val="000000"/>
          <w:kern w:val="2"/>
          <w:sz w:val="32"/>
          <w:szCs w:val="32"/>
          <w:lang w:val="en-US" w:eastAsia="zh-CN" w:bidi="ar-SA"/>
        </w:rPr>
      </w:pPr>
      <w:bookmarkStart w:id="27" w:name="_Toc26525"/>
      <w:bookmarkStart w:id="28" w:name="_Toc30108"/>
      <w:bookmarkStart w:id="29" w:name="_Toc11606"/>
      <w:r>
        <w:rPr>
          <w:rFonts w:hint="eastAsia" w:ascii="楷体_GB2312" w:eastAsia="楷体_GB2312" w:cs="Times New Roman"/>
          <w:b/>
          <w:bCs w:val="0"/>
          <w:color w:val="000000"/>
          <w:kern w:val="2"/>
          <w:sz w:val="32"/>
          <w:szCs w:val="32"/>
          <w:lang w:val="en-US" w:eastAsia="zh-CN" w:bidi="ar-SA"/>
        </w:rPr>
        <w:t>（二）2020年重点工作完成情况</w:t>
      </w:r>
      <w:bookmarkEnd w:id="22"/>
      <w:bookmarkEnd w:id="23"/>
      <w:bookmarkEnd w:id="27"/>
      <w:bookmarkEnd w:id="28"/>
      <w:bookmarkEnd w:id="29"/>
      <w:bookmarkStart w:id="30" w:name="_Toc15377200"/>
      <w:bookmarkStart w:id="31" w:name="_Toc15396601"/>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r>
        <w:rPr>
          <w:rFonts w:hint="eastAsia" w:ascii="仿宋_GB2312" w:eastAsia="仿宋_GB2312" w:cs="Times New Roman"/>
          <w:b w:val="0"/>
          <w:bCs/>
          <w:kern w:val="2"/>
          <w:sz w:val="32"/>
          <w:szCs w:val="32"/>
          <w:lang w:val="en-US" w:eastAsia="zh-CN" w:bidi="ar-SA"/>
        </w:rPr>
        <w:t>1.继续加大保障和改善民生工作，不断增强民政为民能力。继续开展城乡低保专项治理，坚决查处农村低保工作中的腐败和作风问题。以“清政策、清对象、清资金、清项目”为抓手，促进低保工作程序规范、对象认定精准、基础数据精确、标准落实精确、动态管理有效。</w:t>
      </w:r>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r>
        <w:rPr>
          <w:rFonts w:hint="eastAsia" w:ascii="仿宋_GB2312" w:eastAsia="仿宋_GB2312" w:cs="Times New Roman"/>
          <w:b w:val="0"/>
          <w:bCs/>
          <w:kern w:val="2"/>
          <w:sz w:val="32"/>
          <w:szCs w:val="32"/>
          <w:lang w:val="en-US" w:eastAsia="zh-CN" w:bidi="ar-SA"/>
        </w:rPr>
        <w:t>2.完善社会福利服务体系，增强服务功能。完善社会救助体系，健全社会救助制度机制，加快农村老龄事业和产业发展，加快构建农村养老、孝老、敬老政策体系和社会环境，建农村“三留守”关爱服务体系。完善农村留守儿童关爱政策，保障残疾人权益；加快推进社会福利、社会慈善、残疾人事业发展，确保残疾人“两项补贴”兑现到人。</w:t>
      </w:r>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r>
        <w:rPr>
          <w:rFonts w:hint="eastAsia" w:ascii="仿宋_GB2312" w:eastAsia="仿宋_GB2312" w:cs="Times New Roman"/>
          <w:b w:val="0"/>
          <w:bCs/>
          <w:kern w:val="2"/>
          <w:sz w:val="32"/>
          <w:szCs w:val="32"/>
          <w:lang w:val="en-US" w:eastAsia="zh-CN" w:bidi="ar-SA"/>
        </w:rPr>
        <w:t>3.进一步创新社会管理，提高民政管理能力。行政区域界线联检工作。</w:t>
      </w:r>
    </w:p>
    <w:p>
      <w:pPr>
        <w:pStyle w:val="5"/>
        <w:numPr>
          <w:ilvl w:val="0"/>
          <w:numId w:val="1"/>
        </w:numPr>
        <w:spacing w:before="0" w:after="0" w:line="576" w:lineRule="exact"/>
        <w:ind w:left="0" w:firstLine="640" w:firstLineChars="200"/>
        <w:rPr>
          <w:rFonts w:hint="eastAsia" w:ascii="黑体" w:eastAsia="黑体" w:cs="黑体"/>
          <w:b w:val="0"/>
          <w:color w:val="000000"/>
        </w:rPr>
      </w:pPr>
      <w:bookmarkStart w:id="32" w:name="_Toc6671"/>
      <w:bookmarkStart w:id="33" w:name="_Toc5228"/>
      <w:bookmarkStart w:id="34" w:name="_Toc30222"/>
      <w:r>
        <w:rPr>
          <w:rFonts w:hint="eastAsia" w:ascii="黑体" w:eastAsia="黑体" w:cs="黑体"/>
          <w:b w:val="0"/>
          <w:color w:val="000000"/>
        </w:rPr>
        <w:t>机构设置</w:t>
      </w:r>
      <w:bookmarkEnd w:id="30"/>
      <w:bookmarkEnd w:id="31"/>
      <w:bookmarkEnd w:id="32"/>
      <w:bookmarkEnd w:id="33"/>
      <w:bookmarkEnd w:id="34"/>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r>
        <w:rPr>
          <w:rFonts w:hint="eastAsia" w:ascii="仿宋_GB2312" w:eastAsia="仿宋_GB2312" w:cs="Times New Roman"/>
          <w:b w:val="0"/>
          <w:bCs/>
          <w:kern w:val="2"/>
          <w:sz w:val="32"/>
          <w:szCs w:val="32"/>
          <w:lang w:val="en-US" w:eastAsia="zh-CN" w:bidi="ar-SA"/>
        </w:rPr>
        <w:t>本单位属于行政编制，一级预算单位,下属事业部门 3 个，其中内设机构3个，核定编制27名，其中:行政编制6 名,行政工勤编制 2名，事业编制 19 名。实有人员25名其中：行政人员6名，行政工勤人员2 名；事业人员17名。</w:t>
      </w:r>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r>
        <w:rPr>
          <w:rFonts w:hint="eastAsia" w:ascii="仿宋_GB2312" w:eastAsia="仿宋_GB2312" w:cs="Times New Roman"/>
          <w:b w:val="0"/>
          <w:bCs/>
          <w:kern w:val="2"/>
          <w:sz w:val="32"/>
          <w:szCs w:val="32"/>
          <w:lang w:val="en-US" w:eastAsia="zh-CN" w:bidi="ar-SA"/>
        </w:rPr>
        <w:br w:type="page"/>
      </w:r>
    </w:p>
    <w:p>
      <w:pPr>
        <w:pStyle w:val="4"/>
        <w:keepNext/>
        <w:keepLines/>
        <w:pageBreakBefore w:val="0"/>
        <w:widowControl w:val="0"/>
        <w:kinsoku/>
        <w:wordWrap/>
        <w:overflowPunct/>
        <w:topLinePunct w:val="0"/>
        <w:autoSpaceDE/>
        <w:autoSpaceDN/>
        <w:bidi w:val="0"/>
        <w:adjustRightInd/>
        <w:snapToGrid/>
        <w:spacing w:before="0" w:after="0" w:line="576" w:lineRule="exact"/>
        <w:ind w:right="440"/>
        <w:jc w:val="right"/>
        <w:textAlignment w:val="auto"/>
        <w:rPr>
          <w:rFonts w:hint="eastAsia" w:ascii="黑体" w:eastAsia="黑体"/>
          <w:color w:val="000000"/>
          <w:sz w:val="32"/>
          <w:szCs w:val="32"/>
          <w:lang w:eastAsia="zh-CN"/>
        </w:rPr>
      </w:pPr>
      <w:bookmarkStart w:id="35" w:name="_Toc14652"/>
      <w:bookmarkStart w:id="36" w:name="_Toc12986"/>
      <w:bookmarkStart w:id="37" w:name="_Toc14842"/>
      <w:bookmarkStart w:id="38" w:name="_Toc15396602"/>
      <w:bookmarkStart w:id="39" w:name="_Toc15377204"/>
      <w:r>
        <w:rPr>
          <w:rFonts w:hint="eastAsia" w:ascii="方正小标宋简体" w:eastAsia="方正小标宋简体" w:cs="Times New Roman"/>
          <w:b w:val="0"/>
          <w:bCs w:val="0"/>
          <w:kern w:val="2"/>
          <w:sz w:val="44"/>
          <w:szCs w:val="44"/>
          <w:lang w:val="en-US" w:eastAsia="zh-CN" w:bidi="ar-SA"/>
        </w:rPr>
        <w:t>第二部分 2020年度部门决算情况说明</w:t>
      </w:r>
      <w:bookmarkEnd w:id="35"/>
      <w:bookmarkEnd w:id="36"/>
      <w:bookmarkEnd w:id="37"/>
      <w:bookmarkEnd w:id="38"/>
      <w:bookmarkEnd w:id="39"/>
      <w:bookmarkStart w:id="40" w:name="_Toc15396603"/>
      <w:bookmarkStart w:id="41" w:name="_Toc5350"/>
      <w:bookmarkStart w:id="42" w:name="_Toc15377205"/>
      <w:bookmarkStart w:id="43" w:name="_Toc20030"/>
    </w:p>
    <w:p>
      <w:pPr>
        <w:snapToGrid w:val="0"/>
        <w:spacing w:line="576" w:lineRule="exact"/>
        <w:ind w:left="0" w:firstLine="640" w:firstLineChars="200"/>
        <w:rPr>
          <w:rStyle w:val="21"/>
          <w:rFonts w:hint="eastAsia" w:ascii="黑体" w:eastAsia="黑体"/>
          <w:b w:val="0"/>
          <w:lang w:val="en-US" w:eastAsia="zh-CN"/>
        </w:rPr>
      </w:pPr>
      <w:bookmarkStart w:id="44" w:name="_Toc17119"/>
      <w:r>
        <w:rPr>
          <w:rStyle w:val="21"/>
          <w:rFonts w:hint="eastAsia" w:ascii="黑体" w:eastAsia="黑体"/>
          <w:b w:val="0"/>
          <w:lang w:eastAsia="zh-CN"/>
        </w:rPr>
        <w:t>一、收入支出决算总体情况说明</w:t>
      </w:r>
      <w:bookmarkEnd w:id="40"/>
      <w:bookmarkEnd w:id="41"/>
      <w:bookmarkEnd w:id="42"/>
      <w:bookmarkEnd w:id="43"/>
      <w:bookmarkStart w:id="45" w:name="_Toc13654"/>
      <w:bookmarkStart w:id="46" w:name="_Toc19788"/>
    </w:p>
    <w:bookmarkEnd w:id="44"/>
    <w:p>
      <w:pPr>
        <w:spacing w:line="576" w:lineRule="exact"/>
        <w:ind w:firstLine="640"/>
        <w:rPr>
          <w:rFonts w:hint="eastAsia" w:ascii="仿宋_GB2312" w:eastAsia="仿宋_GB2312" w:cs="Times New Roman"/>
          <w:b w:val="0"/>
          <w:bCs/>
          <w:kern w:val="2"/>
          <w:sz w:val="32"/>
          <w:szCs w:val="32"/>
          <w:lang w:val="en-US" w:eastAsia="zh-CN" w:bidi="ar-SA"/>
        </w:rPr>
      </w:pPr>
      <w:bookmarkStart w:id="47" w:name="_Toc2647"/>
      <w:r>
        <w:rPr>
          <w:rFonts w:hint="eastAsia" w:ascii="仿宋_GB2312" w:eastAsia="仿宋_GB2312" w:cs="Times New Roman"/>
          <w:b w:val="0"/>
          <w:bCs/>
          <w:kern w:val="2"/>
          <w:sz w:val="32"/>
          <w:szCs w:val="32"/>
          <w:lang w:val="en-US" w:eastAsia="zh-CN" w:bidi="ar-SA"/>
        </w:rPr>
        <w:t>2020年度收、支总计7036.52万元。与2019年相比，收、支总计各增加2742.54万元，增长64%。主要变动原因：</w:t>
      </w:r>
      <w:bookmarkEnd w:id="45"/>
      <w:bookmarkEnd w:id="46"/>
      <w:bookmarkEnd w:id="47"/>
      <w:bookmarkStart w:id="48" w:name="_Toc7435"/>
      <w:bookmarkStart w:id="49" w:name="_Toc15465"/>
      <w:r>
        <w:rPr>
          <w:rFonts w:hint="eastAsia" w:ascii="仿宋_GB2312" w:eastAsia="仿宋_GB2312" w:cs="Times New Roman"/>
          <w:color w:val="000000"/>
          <w:sz w:val="32"/>
          <w:szCs w:val="32"/>
        </w:rPr>
        <w:t>（1）20</w:t>
      </w:r>
      <w:r>
        <w:rPr>
          <w:rFonts w:hint="eastAsia" w:ascii="仿宋_GB2312" w:eastAsia="仿宋_GB2312" w:cs="Times New Roman"/>
          <w:color w:val="000000"/>
          <w:sz w:val="32"/>
          <w:szCs w:val="32"/>
          <w:lang w:val="en-US" w:eastAsia="zh-CN"/>
        </w:rPr>
        <w:t>20</w:t>
      </w:r>
      <w:r>
        <w:rPr>
          <w:rFonts w:hint="eastAsia" w:ascii="仿宋_GB2312" w:eastAsia="仿宋_GB2312" w:cs="Times New Roman"/>
          <w:color w:val="000000"/>
          <w:sz w:val="32"/>
          <w:szCs w:val="32"/>
        </w:rPr>
        <w:t>年城</w:t>
      </w:r>
      <w:r>
        <w:rPr>
          <w:rFonts w:hint="eastAsia" w:ascii="仿宋_GB2312" w:eastAsia="仿宋_GB2312" w:cs="Times New Roman"/>
          <w:color w:val="000000"/>
          <w:sz w:val="32"/>
          <w:szCs w:val="32"/>
          <w:lang w:eastAsia="zh-CN"/>
        </w:rPr>
        <w:t>乡</w:t>
      </w:r>
      <w:r>
        <w:rPr>
          <w:rFonts w:hint="eastAsia" w:ascii="仿宋_GB2312" w:eastAsia="仿宋_GB2312" w:cs="Times New Roman"/>
          <w:color w:val="000000"/>
          <w:sz w:val="32"/>
          <w:szCs w:val="32"/>
        </w:rPr>
        <w:t>最低社会保障金由财政拨款支付（2）是民政困难群众临时价格补贴（3）是增加</w:t>
      </w:r>
      <w:r>
        <w:rPr>
          <w:rFonts w:hint="eastAsia" w:ascii="仿宋_GB2312" w:eastAsia="仿宋_GB2312" w:cs="Times New Roman"/>
          <w:color w:val="000000"/>
          <w:sz w:val="32"/>
          <w:szCs w:val="32"/>
          <w:lang w:eastAsia="zh-CN"/>
        </w:rPr>
        <w:t>县级殡仪馆项目</w:t>
      </w:r>
      <w:r>
        <w:rPr>
          <w:rFonts w:hint="eastAsia" w:ascii="仿宋_GB2312" w:eastAsia="仿宋_GB2312" w:cs="Times New Roman"/>
          <w:color w:val="000000"/>
          <w:sz w:val="32"/>
          <w:szCs w:val="32"/>
        </w:rPr>
        <w:t>建设费（4）增加了社会福利院适老化改造</w:t>
      </w:r>
      <w:r>
        <w:rPr>
          <w:rFonts w:hint="eastAsia" w:ascii="仿宋_GB2312" w:eastAsia="仿宋_GB2312" w:cs="Times New Roman"/>
          <w:color w:val="000000"/>
          <w:sz w:val="32"/>
          <w:szCs w:val="32"/>
          <w:lang w:eastAsia="zh-CN"/>
        </w:rPr>
        <w:t>及消防</w:t>
      </w:r>
      <w:r>
        <w:rPr>
          <w:rFonts w:hint="eastAsia" w:ascii="仿宋_GB2312" w:eastAsia="仿宋_GB2312" w:cs="Times New Roman"/>
          <w:color w:val="000000"/>
          <w:sz w:val="32"/>
          <w:szCs w:val="32"/>
        </w:rPr>
        <w:t>项目。</w:t>
      </w:r>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bookmarkStart w:id="50" w:name="_Toc4066"/>
      <w:r>
        <w:rPr>
          <w:rFonts w:hint="eastAsia" w:ascii="仿宋_GB2312" w:eastAsia="仿宋_GB2312" w:cs="Times New Roman"/>
          <w:b w:val="0"/>
          <w:bCs/>
          <w:kern w:val="2"/>
          <w:sz w:val="32"/>
          <w:szCs w:val="32"/>
          <w:lang w:val="en-US" w:eastAsia="zh-CN" w:bidi="ar-SA"/>
        </w:rPr>
        <w:t>（图1：收、支决算总计变动情况图）（单位：万元）</w:t>
      </w:r>
      <w:bookmarkEnd w:id="48"/>
      <w:bookmarkEnd w:id="49"/>
      <w:bookmarkEnd w:id="50"/>
    </w:p>
    <w:p>
      <w:pPr>
        <w:pageBreakBefore w:val="0"/>
        <w:widowControl w:val="0"/>
        <w:kinsoku/>
        <w:wordWrap/>
        <w:overflowPunct/>
        <w:topLinePunct w:val="0"/>
        <w:autoSpaceDE/>
        <w:autoSpaceDN/>
        <w:bidi w:val="0"/>
        <w:adjustRightInd/>
        <w:snapToGrid/>
        <w:spacing w:line="576" w:lineRule="exact"/>
        <w:ind w:firstLine="420" w:firstLineChars="200"/>
        <w:jc w:val="left"/>
        <w:textAlignment w:val="auto"/>
        <w:rPr>
          <w:rFonts w:ascii="仿宋_GB2312" w:eastAsia="仿宋_GB2312"/>
          <w:color w:val="000000"/>
          <w:sz w:val="32"/>
          <w:szCs w:val="32"/>
        </w:rPr>
      </w:pPr>
      <w:r>
        <w:drawing>
          <wp:anchor distT="0" distB="0" distL="114300" distR="114300" simplePos="0" relativeHeight="251659264" behindDoc="0" locked="0" layoutInCell="1" allowOverlap="1">
            <wp:simplePos x="0" y="0"/>
            <wp:positionH relativeFrom="column">
              <wp:posOffset>737870</wp:posOffset>
            </wp:positionH>
            <wp:positionV relativeFrom="paragraph">
              <wp:posOffset>167005</wp:posOffset>
            </wp:positionV>
            <wp:extent cx="3211195" cy="2324735"/>
            <wp:effectExtent l="0" t="0" r="14" b="4"/>
            <wp:wrapSquare wrapText="bothSides"/>
            <wp:docPr id="7"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color w:val="00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color w:val="00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color w:val="000000"/>
          <w:sz w:val="32"/>
          <w:szCs w:val="32"/>
        </w:rPr>
      </w:pPr>
    </w:p>
    <w:p>
      <w:pPr>
        <w:pageBreakBefore w:val="0"/>
        <w:widowControl w:val="0"/>
        <w:kinsoku/>
        <w:wordWrap/>
        <w:overflowPunct/>
        <w:topLinePunct w:val="0"/>
        <w:autoSpaceDE/>
        <w:autoSpaceDN/>
        <w:bidi w:val="0"/>
        <w:adjustRightInd/>
        <w:snapToGrid/>
        <w:spacing w:line="576" w:lineRule="exact"/>
        <w:jc w:val="left"/>
        <w:textAlignment w:val="auto"/>
        <w:rPr>
          <w:rFonts w:ascii="仿宋_GB2312" w:eastAsia="仿宋_GB2312"/>
          <w:color w:val="000000"/>
          <w:sz w:val="32"/>
          <w:szCs w:val="32"/>
        </w:rPr>
      </w:pPr>
    </w:p>
    <w:p>
      <w:pPr>
        <w:pStyle w:val="2"/>
        <w:pageBreakBefore w:val="0"/>
        <w:widowControl w:val="0"/>
        <w:kinsoku/>
        <w:wordWrap/>
        <w:overflowPunct/>
        <w:topLinePunct w:val="0"/>
        <w:autoSpaceDE/>
        <w:autoSpaceDN/>
        <w:bidi w:val="0"/>
        <w:adjustRightInd/>
        <w:snapToGrid/>
        <w:spacing w:line="576" w:lineRule="exact"/>
        <w:textAlignment w:val="auto"/>
      </w:pPr>
    </w:p>
    <w:p>
      <w:pPr>
        <w:pageBreakBefore w:val="0"/>
        <w:widowControl w:val="0"/>
        <w:kinsoku/>
        <w:wordWrap/>
        <w:overflowPunct/>
        <w:topLinePunct w:val="0"/>
        <w:autoSpaceDE/>
        <w:autoSpaceDN/>
        <w:bidi w:val="0"/>
        <w:adjustRightInd/>
        <w:snapToGrid/>
        <w:spacing w:line="576" w:lineRule="exact"/>
        <w:jc w:val="left"/>
        <w:textAlignment w:val="auto"/>
        <w:rPr>
          <w:rFonts w:ascii="仿宋_GB2312" w:eastAsia="仿宋_GB2312"/>
          <w:color w:val="000000"/>
          <w:sz w:val="32"/>
          <w:szCs w:val="32"/>
        </w:rPr>
      </w:pPr>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bookmarkStart w:id="51" w:name="_Toc32611"/>
      <w:bookmarkStart w:id="52" w:name="_Toc15396604"/>
      <w:bookmarkStart w:id="53" w:name="_Toc1450"/>
      <w:bookmarkStart w:id="54" w:name="_Toc15377206"/>
      <w:bookmarkStart w:id="55" w:name="_Toc9740"/>
      <w:r>
        <w:rPr>
          <w:rStyle w:val="21"/>
          <w:rFonts w:hint="eastAsia" w:ascii="黑体" w:eastAsia="黑体"/>
          <w:b w:val="0"/>
          <w:lang w:eastAsia="zh-CN"/>
        </w:rPr>
        <w:t>二、</w:t>
      </w:r>
      <w:r>
        <w:rPr>
          <w:rStyle w:val="21"/>
          <w:rFonts w:hint="eastAsia" w:ascii="黑体" w:eastAsia="黑体"/>
          <w:b w:val="0"/>
        </w:rPr>
        <w:t>收入决算情况说明</w:t>
      </w:r>
      <w:bookmarkEnd w:id="51"/>
      <w:bookmarkEnd w:id="52"/>
      <w:bookmarkEnd w:id="53"/>
      <w:bookmarkEnd w:id="54"/>
      <w:bookmarkEnd w:id="55"/>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bookmarkStart w:id="56" w:name="_Toc4287"/>
      <w:bookmarkStart w:id="57" w:name="_Toc15398"/>
      <w:r>
        <w:rPr>
          <w:rFonts w:hint="eastAsia" w:ascii="仿宋_GB2312" w:eastAsia="仿宋_GB2312" w:cs="Times New Roman"/>
          <w:b w:val="0"/>
          <w:bCs/>
          <w:kern w:val="2"/>
          <w:sz w:val="32"/>
          <w:szCs w:val="32"/>
          <w:lang w:val="en-US" w:eastAsia="zh-CN" w:bidi="ar-SA"/>
        </w:rPr>
        <w:t>2020年本年收入合计6549.14万元，其中：一般公共预算财政拨款收入6533.72万元，占99.76%；政府性基金预算财政拨款收入15.42万元，占0.24%；上级补助收入0万元；事业收入0万元；经营收入0万元；附属单位上缴收入0万元；其他收入0万元。</w:t>
      </w:r>
      <w:bookmarkEnd w:id="56"/>
      <w:bookmarkEnd w:id="57"/>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bookmarkStart w:id="58" w:name="_Toc11580"/>
      <w:bookmarkStart w:id="59" w:name="_Toc8153"/>
      <w:r>
        <w:rPr>
          <w:rFonts w:hint="eastAsia" w:ascii="仿宋_GB2312" w:eastAsia="仿宋_GB2312" w:cs="Times New Roman"/>
          <w:b w:val="0"/>
          <w:bCs/>
          <w:kern w:val="2"/>
          <w:sz w:val="32"/>
          <w:szCs w:val="32"/>
          <w:lang w:val="en-US" w:eastAsia="zh-CN" w:bidi="ar-SA"/>
        </w:rPr>
        <w:t>（图2：收入决算结构图）（单位：万元）</w:t>
      </w:r>
      <w:bookmarkEnd w:id="58"/>
      <w:bookmarkEnd w:id="59"/>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eastAsia="仿宋"/>
          <w:color w:val="00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eastAsia="仿宋"/>
          <w:color w:val="000000"/>
          <w:sz w:val="32"/>
          <w:szCs w:val="32"/>
        </w:rPr>
      </w:pPr>
    </w:p>
    <w:p>
      <w:pPr>
        <w:pageBreakBefore w:val="0"/>
        <w:widowControl w:val="0"/>
        <w:kinsoku/>
        <w:wordWrap/>
        <w:overflowPunct/>
        <w:topLinePunct w:val="0"/>
        <w:autoSpaceDE/>
        <w:autoSpaceDN/>
        <w:bidi w:val="0"/>
        <w:adjustRightInd/>
        <w:snapToGrid/>
        <w:spacing w:line="576" w:lineRule="exact"/>
        <w:ind w:firstLine="420" w:firstLineChars="200"/>
        <w:textAlignment w:val="auto"/>
        <w:rPr>
          <w:rFonts w:ascii="仿宋" w:eastAsia="仿宋"/>
          <w:color w:val="000000"/>
          <w:sz w:val="32"/>
          <w:szCs w:val="32"/>
        </w:rPr>
      </w:pPr>
      <w:r>
        <w:drawing>
          <wp:anchor distT="0" distB="0" distL="114300" distR="114300" simplePos="0" relativeHeight="251659264" behindDoc="0" locked="0" layoutInCell="1" allowOverlap="1">
            <wp:simplePos x="0" y="0"/>
            <wp:positionH relativeFrom="column">
              <wp:posOffset>813435</wp:posOffset>
            </wp:positionH>
            <wp:positionV relativeFrom="paragraph">
              <wp:posOffset>-393700</wp:posOffset>
            </wp:positionV>
            <wp:extent cx="3372485" cy="2743200"/>
            <wp:effectExtent l="0" t="0" r="20" b="42"/>
            <wp:wrapSquare wrapText="bothSides"/>
            <wp:docPr id="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eastAsia="仿宋"/>
          <w:color w:val="00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eastAsia="仿宋"/>
          <w:color w:val="00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eastAsia="仿宋"/>
          <w:color w:val="000000"/>
          <w:sz w:val="32"/>
          <w:szCs w:val="32"/>
        </w:rPr>
      </w:pPr>
    </w:p>
    <w:p>
      <w:pPr>
        <w:pStyle w:val="2"/>
        <w:pageBreakBefore w:val="0"/>
        <w:widowControl w:val="0"/>
        <w:kinsoku/>
        <w:wordWrap/>
        <w:overflowPunct/>
        <w:topLinePunct w:val="0"/>
        <w:autoSpaceDE/>
        <w:autoSpaceDN/>
        <w:bidi w:val="0"/>
        <w:adjustRightInd/>
        <w:snapToGrid/>
        <w:spacing w:line="576" w:lineRule="exact"/>
        <w:textAlignment w:val="auto"/>
        <w:rPr>
          <w:rFonts w:ascii="仿宋" w:eastAsia="仿宋"/>
          <w:color w:val="000000"/>
          <w:sz w:val="32"/>
          <w:szCs w:val="32"/>
        </w:rPr>
      </w:pPr>
    </w:p>
    <w:p>
      <w:pPr>
        <w:pStyle w:val="2"/>
        <w:pageBreakBefore w:val="0"/>
        <w:widowControl w:val="0"/>
        <w:kinsoku/>
        <w:wordWrap/>
        <w:overflowPunct/>
        <w:topLinePunct w:val="0"/>
        <w:autoSpaceDE/>
        <w:autoSpaceDN/>
        <w:bidi w:val="0"/>
        <w:adjustRightInd/>
        <w:snapToGrid/>
        <w:spacing w:line="576" w:lineRule="exact"/>
        <w:textAlignment w:val="auto"/>
        <w:rPr>
          <w:rFonts w:ascii="仿宋" w:eastAsia="仿宋"/>
          <w:color w:val="000000"/>
          <w:sz w:val="32"/>
          <w:szCs w:val="32"/>
        </w:rPr>
      </w:pPr>
    </w:p>
    <w:p>
      <w:pPr>
        <w:pStyle w:val="2"/>
        <w:pageBreakBefore w:val="0"/>
        <w:widowControl w:val="0"/>
        <w:kinsoku/>
        <w:wordWrap/>
        <w:overflowPunct/>
        <w:topLinePunct w:val="0"/>
        <w:autoSpaceDE/>
        <w:autoSpaceDN/>
        <w:bidi w:val="0"/>
        <w:adjustRightInd/>
        <w:snapToGrid/>
        <w:spacing w:line="576" w:lineRule="exact"/>
        <w:textAlignment w:val="auto"/>
        <w:rPr>
          <w:rFonts w:ascii="仿宋" w:eastAsia="仿宋"/>
          <w:color w:val="000000"/>
          <w:sz w:val="32"/>
          <w:szCs w:val="32"/>
        </w:rPr>
      </w:pPr>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bookmarkStart w:id="60" w:name="_Toc1193"/>
      <w:bookmarkStart w:id="61" w:name="_Toc15396605"/>
      <w:bookmarkStart w:id="62" w:name="_Toc15377207"/>
      <w:bookmarkStart w:id="63" w:name="_Toc5819"/>
      <w:bookmarkStart w:id="64" w:name="_Toc1973"/>
      <w:r>
        <w:rPr>
          <w:rStyle w:val="21"/>
          <w:rFonts w:hint="eastAsia" w:ascii="黑体" w:eastAsia="黑体"/>
          <w:b w:val="0"/>
          <w:lang w:eastAsia="zh-CN"/>
        </w:rPr>
        <w:t>三、支出决算情况说明</w:t>
      </w:r>
      <w:bookmarkEnd w:id="60"/>
      <w:bookmarkEnd w:id="61"/>
      <w:bookmarkEnd w:id="62"/>
      <w:bookmarkEnd w:id="63"/>
      <w:bookmarkEnd w:id="64"/>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bookmarkStart w:id="65" w:name="_Toc22382"/>
      <w:bookmarkStart w:id="66" w:name="_Toc26070"/>
      <w:r>
        <w:rPr>
          <w:rFonts w:hint="eastAsia" w:ascii="仿宋_GB2312" w:eastAsia="仿宋_GB2312" w:cs="Times New Roman"/>
          <w:b w:val="0"/>
          <w:bCs/>
          <w:kern w:val="2"/>
          <w:sz w:val="32"/>
          <w:szCs w:val="32"/>
          <w:lang w:val="en-US" w:eastAsia="zh-CN" w:bidi="ar-SA"/>
        </w:rPr>
        <w:t>2020年本年支出合计6482.22万元，其中：基本支出525.30万元，占8.1%；项目支出5956.92万元，占91.9%；上缴上级支出0万元；经营支出0万元；对附属单位补助支出0万元。</w:t>
      </w:r>
      <w:bookmarkEnd w:id="65"/>
      <w:bookmarkEnd w:id="66"/>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r>
        <w:rPr>
          <w:rFonts w:hint="eastAsia" w:ascii="仿宋_GB2312" w:eastAsia="仿宋_GB2312" w:cs="Times New Roman"/>
          <w:b w:val="0"/>
          <w:bCs/>
          <w:kern w:val="2"/>
          <w:sz w:val="32"/>
          <w:szCs w:val="32"/>
          <w:lang w:val="en-US" w:eastAsia="zh-CN" w:bidi="ar-SA"/>
        </w:rPr>
        <w:t>（图3：支出决算结构图）（单位：万元）</w:t>
      </w:r>
    </w:p>
    <w:p>
      <w:pPr>
        <w:pageBreakBefore w:val="0"/>
        <w:widowControl w:val="0"/>
        <w:kinsoku/>
        <w:wordWrap/>
        <w:overflowPunct/>
        <w:topLinePunct w:val="0"/>
        <w:autoSpaceDE/>
        <w:autoSpaceDN/>
        <w:bidi w:val="0"/>
        <w:adjustRightInd/>
        <w:snapToGrid/>
        <w:spacing w:line="576" w:lineRule="exact"/>
        <w:ind w:firstLine="420" w:firstLineChars="200"/>
        <w:textAlignment w:val="auto"/>
        <w:rPr>
          <w:rFonts w:ascii="仿宋" w:eastAsia="仿宋"/>
          <w:color w:val="000000"/>
          <w:sz w:val="32"/>
          <w:szCs w:val="32"/>
        </w:rPr>
      </w:pPr>
      <w:r>
        <w:drawing>
          <wp:anchor distT="0" distB="0" distL="114300" distR="114300" simplePos="0" relativeHeight="251659264" behindDoc="0" locked="0" layoutInCell="1" allowOverlap="1">
            <wp:simplePos x="0" y="0"/>
            <wp:positionH relativeFrom="column">
              <wp:posOffset>861695</wp:posOffset>
            </wp:positionH>
            <wp:positionV relativeFrom="paragraph">
              <wp:posOffset>65405</wp:posOffset>
            </wp:positionV>
            <wp:extent cx="3714750" cy="2771775"/>
            <wp:effectExtent l="0" t="0" r="38" b="43"/>
            <wp:wrapSquare wrapText="bothSides"/>
            <wp:docPr id="9"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eastAsia="仿宋"/>
          <w:color w:val="00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eastAsia="仿宋"/>
          <w:color w:val="00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eastAsia="仿宋"/>
          <w:color w:val="00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FF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FF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FF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FF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FF0000"/>
          <w:sz w:val="32"/>
          <w:szCs w:val="32"/>
        </w:rPr>
      </w:pPr>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bookmarkStart w:id="67" w:name="_Toc32595"/>
      <w:bookmarkStart w:id="68" w:name="_Toc20532"/>
      <w:bookmarkStart w:id="69" w:name="_Toc15396606"/>
      <w:bookmarkStart w:id="70" w:name="_Toc15377208"/>
      <w:bookmarkStart w:id="71" w:name="_Toc15880"/>
      <w:r>
        <w:rPr>
          <w:rStyle w:val="21"/>
          <w:rFonts w:hint="eastAsia" w:ascii="黑体" w:eastAsia="黑体"/>
          <w:b w:val="0"/>
        </w:rPr>
        <w:t>四、财政拨款收入支出决算总体情况说明</w:t>
      </w:r>
      <w:bookmarkEnd w:id="67"/>
      <w:bookmarkEnd w:id="68"/>
      <w:bookmarkEnd w:id="69"/>
      <w:bookmarkEnd w:id="70"/>
      <w:bookmarkEnd w:id="71"/>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bookmarkStart w:id="72" w:name="_Toc28985"/>
      <w:bookmarkStart w:id="73" w:name="_Toc28502"/>
      <w:r>
        <w:rPr>
          <w:rFonts w:hint="eastAsia" w:ascii="仿宋_GB2312" w:eastAsia="仿宋_GB2312" w:cs="Times New Roman"/>
          <w:b w:val="0"/>
          <w:bCs/>
          <w:kern w:val="2"/>
          <w:sz w:val="32"/>
          <w:szCs w:val="32"/>
          <w:lang w:val="en-US" w:eastAsia="zh-CN" w:bidi="ar-SA"/>
        </w:rPr>
        <w:t>2020年度收、支总计7036.52万元。与2019年相比，收、支总计各增加2742.54万元，增长64%。主要变动原因：增加了城乡最低生活保障项目。</w:t>
      </w:r>
      <w:bookmarkEnd w:id="72"/>
      <w:bookmarkEnd w:id="73"/>
    </w:p>
    <w:p>
      <w:pPr>
        <w:snapToGrid w:val="0"/>
        <w:spacing w:line="576" w:lineRule="exact"/>
        <w:ind w:left="0" w:firstLine="640" w:firstLineChars="200"/>
        <w:rPr>
          <w:rFonts w:hint="eastAsia" w:ascii="仿宋_GB2312" w:eastAsia="仿宋_GB2312" w:cs="Times New Roman"/>
          <w:b w:val="0"/>
          <w:bCs/>
          <w:kern w:val="2"/>
          <w:sz w:val="32"/>
          <w:szCs w:val="32"/>
          <w:lang w:val="en-US" w:eastAsia="zh-CN" w:bidi="ar-SA"/>
        </w:rPr>
      </w:pPr>
      <w:r>
        <w:rPr>
          <w:rFonts w:hint="eastAsia" w:ascii="仿宋_GB2312" w:eastAsia="仿宋_GB2312" w:cs="Times New Roman"/>
          <w:b w:val="0"/>
          <w:bCs/>
          <w:kern w:val="2"/>
          <w:sz w:val="32"/>
          <w:szCs w:val="32"/>
          <w:lang w:val="en-US" w:eastAsia="zh-CN" w:bidi="ar-SA"/>
        </w:rPr>
        <w:drawing>
          <wp:anchor distT="0" distB="0" distL="114300" distR="114300" simplePos="0" relativeHeight="251659264" behindDoc="0" locked="0" layoutInCell="1" allowOverlap="1">
            <wp:simplePos x="0" y="0"/>
            <wp:positionH relativeFrom="column">
              <wp:posOffset>448945</wp:posOffset>
            </wp:positionH>
            <wp:positionV relativeFrom="paragraph">
              <wp:posOffset>1057910</wp:posOffset>
            </wp:positionV>
            <wp:extent cx="3211195" cy="2324735"/>
            <wp:effectExtent l="0" t="0" r="14" b="4"/>
            <wp:wrapSquare wrapText="bothSides"/>
            <wp:docPr id="10"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_GB2312" w:eastAsia="仿宋_GB2312" w:cs="Times New Roman"/>
          <w:b w:val="0"/>
          <w:bCs/>
          <w:kern w:val="2"/>
          <w:sz w:val="32"/>
          <w:szCs w:val="32"/>
          <w:lang w:val="en-US" w:eastAsia="zh-CN" w:bidi="ar-SA"/>
        </w:rPr>
        <w:t>（图4：财政拨款收、支决算总计变动情况）（单位：万元）</w:t>
      </w: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576" w:lineRule="exact"/>
        <w:ind w:firstLine="640" w:firstLineChars="200"/>
        <w:outlineLvl w:val="1"/>
        <w:rPr>
          <w:rStyle w:val="21"/>
          <w:rFonts w:ascii="黑体" w:eastAsia="黑体"/>
          <w:b w:val="0"/>
        </w:rPr>
      </w:pPr>
      <w:bookmarkStart w:id="74" w:name="_Toc30780"/>
      <w:bookmarkStart w:id="75" w:name="_Toc32535"/>
      <w:bookmarkStart w:id="76" w:name="_Toc15377209"/>
      <w:bookmarkStart w:id="77" w:name="_Toc15396607"/>
      <w:bookmarkStart w:id="78" w:name="_Toc14538"/>
      <w:r>
        <w:rPr>
          <w:rStyle w:val="21"/>
          <w:rFonts w:hint="eastAsia" w:ascii="黑体" w:eastAsia="黑体"/>
          <w:b w:val="0"/>
        </w:rPr>
        <w:t>五、</w:t>
      </w:r>
      <w:r>
        <w:rPr>
          <w:rFonts w:hint="eastAsia" w:ascii="黑体" w:eastAsia="黑体"/>
          <w:b/>
          <w:color w:val="000000"/>
          <w:sz w:val="32"/>
          <w:szCs w:val="32"/>
        </w:rPr>
        <w:t>一</w:t>
      </w:r>
      <w:r>
        <w:rPr>
          <w:rStyle w:val="21"/>
          <w:rFonts w:hint="eastAsia" w:ascii="黑体" w:eastAsia="黑体"/>
          <w:b w:val="0"/>
        </w:rPr>
        <w:t>般公共预算财政拨款支出决算情况说明</w:t>
      </w:r>
      <w:bookmarkEnd w:id="74"/>
      <w:bookmarkEnd w:id="75"/>
      <w:bookmarkEnd w:id="76"/>
      <w:bookmarkEnd w:id="77"/>
      <w:bookmarkEnd w:id="78"/>
      <w:bookmarkStart w:id="79" w:name="_Toc15377210"/>
    </w:p>
    <w:p>
      <w:pPr>
        <w:pStyle w:val="5"/>
        <w:spacing w:before="0" w:after="0" w:line="576" w:lineRule="exact"/>
        <w:ind w:firstLine="642" w:firstLineChars="200"/>
        <w:rPr>
          <w:rFonts w:hint="eastAsia" w:ascii="楷体_GB2312" w:eastAsia="楷体_GB2312" w:cs="Times New Roman"/>
          <w:b/>
          <w:bCs w:val="0"/>
          <w:color w:val="000000"/>
          <w:kern w:val="2"/>
          <w:sz w:val="32"/>
          <w:szCs w:val="32"/>
          <w:lang w:val="en-US" w:eastAsia="zh-CN" w:bidi="ar-SA"/>
        </w:rPr>
      </w:pPr>
      <w:bookmarkStart w:id="80" w:name="_Toc17842"/>
      <w:bookmarkStart w:id="81" w:name="_Toc24133"/>
      <w:bookmarkStart w:id="82" w:name="_Toc17141"/>
      <w:r>
        <w:rPr>
          <w:rFonts w:hint="eastAsia" w:ascii="楷体_GB2312" w:eastAsia="楷体_GB2312" w:cs="Times New Roman"/>
          <w:b/>
          <w:bCs w:val="0"/>
          <w:color w:val="000000"/>
          <w:kern w:val="2"/>
          <w:sz w:val="32"/>
          <w:szCs w:val="32"/>
          <w:lang w:val="en-US" w:eastAsia="zh-CN" w:bidi="ar-SA"/>
        </w:rPr>
        <w:t>（一）一般公共预算财政拨款支出决算总体情况</w:t>
      </w:r>
      <w:bookmarkEnd w:id="79"/>
      <w:bookmarkEnd w:id="80"/>
      <w:bookmarkEnd w:id="81"/>
      <w:bookmarkEnd w:id="82"/>
    </w:p>
    <w:p>
      <w:pPr>
        <w:spacing w:line="576" w:lineRule="exact"/>
        <w:ind w:firstLine="640"/>
        <w:rPr>
          <w:rFonts w:hint="eastAsia" w:ascii="仿宋_GB2312" w:eastAsia="仿宋_GB2312" w:cs="Times New Roman"/>
          <w:color w:val="000000"/>
          <w:sz w:val="32"/>
          <w:szCs w:val="32"/>
        </w:rPr>
      </w:pPr>
      <w:bookmarkStart w:id="83" w:name="_Toc5058"/>
      <w:bookmarkStart w:id="84" w:name="_Toc23168"/>
      <w:r>
        <w:rPr>
          <w:rFonts w:hint="eastAsia" w:ascii="仿宋_GB2312" w:eastAsia="仿宋_GB2312" w:cs="Times New Roman"/>
          <w:color w:val="000000"/>
          <w:sz w:val="32"/>
          <w:szCs w:val="32"/>
        </w:rPr>
        <w:t>20</w:t>
      </w:r>
      <w:r>
        <w:rPr>
          <w:rFonts w:hint="eastAsia" w:ascii="仿宋_GB2312" w:eastAsia="仿宋_GB2312" w:cs="Times New Roman"/>
          <w:color w:val="000000"/>
          <w:sz w:val="32"/>
          <w:szCs w:val="32"/>
          <w:lang w:val="en-US" w:eastAsia="zh-CN"/>
        </w:rPr>
        <w:t>20</w:t>
      </w:r>
      <w:r>
        <w:rPr>
          <w:rFonts w:hint="eastAsia" w:ascii="仿宋_GB2312" w:eastAsia="仿宋_GB2312" w:cs="Times New Roman"/>
          <w:color w:val="000000"/>
          <w:sz w:val="32"/>
          <w:szCs w:val="32"/>
        </w:rPr>
        <w:t>年一般公共预算财政拨款支出</w:t>
      </w:r>
      <w:r>
        <w:rPr>
          <w:rFonts w:hint="eastAsia" w:ascii="仿宋_GB2312" w:eastAsia="仿宋_GB2312" w:cs="Times New Roman"/>
          <w:color w:val="000000"/>
          <w:sz w:val="32"/>
          <w:szCs w:val="32"/>
          <w:lang w:val="en-US" w:eastAsia="zh-CN"/>
        </w:rPr>
        <w:t>6411.22</w:t>
      </w:r>
      <w:r>
        <w:rPr>
          <w:rFonts w:hint="eastAsia" w:ascii="仿宋_GB2312" w:eastAsia="仿宋_GB2312" w:cs="Times New Roman"/>
          <w:color w:val="000000"/>
          <w:sz w:val="32"/>
          <w:szCs w:val="32"/>
        </w:rPr>
        <w:t>万元，占本年支出合计的</w:t>
      </w:r>
      <w:r>
        <w:rPr>
          <w:rFonts w:hint="eastAsia" w:ascii="仿宋_GB2312" w:eastAsia="仿宋_GB2312" w:cs="Times New Roman"/>
          <w:color w:val="000000"/>
          <w:sz w:val="32"/>
          <w:szCs w:val="32"/>
          <w:lang w:val="en-US" w:eastAsia="zh-CN"/>
        </w:rPr>
        <w:t>98.9</w:t>
      </w:r>
      <w:r>
        <w:rPr>
          <w:rFonts w:hint="eastAsia" w:ascii="仿宋_GB2312" w:eastAsia="仿宋_GB2312" w:cs="Times New Roman"/>
          <w:color w:val="000000"/>
          <w:sz w:val="32"/>
          <w:szCs w:val="32"/>
        </w:rPr>
        <w:t>%。与201</w:t>
      </w:r>
      <w:r>
        <w:rPr>
          <w:rFonts w:hint="eastAsia" w:ascii="仿宋_GB2312" w:eastAsia="仿宋_GB2312" w:cs="Times New Roman"/>
          <w:color w:val="000000"/>
          <w:sz w:val="32"/>
          <w:szCs w:val="32"/>
          <w:lang w:val="en-US" w:eastAsia="zh-CN"/>
        </w:rPr>
        <w:t>9</w:t>
      </w:r>
      <w:r>
        <w:rPr>
          <w:rFonts w:hint="eastAsia" w:ascii="仿宋_GB2312" w:eastAsia="仿宋_GB2312" w:cs="Times New Roman"/>
          <w:color w:val="000000"/>
          <w:sz w:val="32"/>
          <w:szCs w:val="32"/>
        </w:rPr>
        <w:t>年相比，一般公共预算财政拨款增加</w:t>
      </w:r>
      <w:r>
        <w:rPr>
          <w:rFonts w:hint="eastAsia" w:ascii="仿宋_GB2312" w:eastAsia="仿宋_GB2312" w:cs="Times New Roman"/>
          <w:color w:val="000000"/>
          <w:sz w:val="32"/>
          <w:szCs w:val="32"/>
          <w:lang w:val="en-US" w:eastAsia="zh-CN"/>
        </w:rPr>
        <w:t>2968.44</w:t>
      </w:r>
      <w:r>
        <w:rPr>
          <w:rFonts w:hint="eastAsia" w:ascii="仿宋_GB2312" w:eastAsia="仿宋_GB2312" w:cs="Times New Roman"/>
          <w:color w:val="000000"/>
          <w:sz w:val="32"/>
          <w:szCs w:val="32"/>
        </w:rPr>
        <w:t>万元，增长</w:t>
      </w:r>
      <w:r>
        <w:rPr>
          <w:rFonts w:hint="eastAsia" w:ascii="仿宋_GB2312" w:eastAsia="仿宋_GB2312" w:cs="Times New Roman"/>
          <w:color w:val="000000"/>
          <w:sz w:val="32"/>
          <w:szCs w:val="32"/>
          <w:lang w:val="en-US" w:eastAsia="zh-CN"/>
        </w:rPr>
        <w:t>86.22</w:t>
      </w:r>
      <w:r>
        <w:rPr>
          <w:rFonts w:hint="eastAsia" w:ascii="仿宋_GB2312" w:eastAsia="仿宋_GB2312" w:cs="Times New Roman"/>
          <w:color w:val="000000"/>
          <w:sz w:val="32"/>
          <w:szCs w:val="32"/>
        </w:rPr>
        <w:t>%。主要变动原因是：（1）20</w:t>
      </w:r>
      <w:r>
        <w:rPr>
          <w:rFonts w:hint="eastAsia" w:ascii="仿宋_GB2312" w:eastAsia="仿宋_GB2312" w:cs="Times New Roman"/>
          <w:color w:val="000000"/>
          <w:sz w:val="32"/>
          <w:szCs w:val="32"/>
          <w:lang w:val="en-US" w:eastAsia="zh-CN"/>
        </w:rPr>
        <w:t>20</w:t>
      </w:r>
      <w:r>
        <w:rPr>
          <w:rFonts w:hint="eastAsia" w:ascii="仿宋_GB2312" w:eastAsia="仿宋_GB2312" w:cs="Times New Roman"/>
          <w:color w:val="000000"/>
          <w:sz w:val="32"/>
          <w:szCs w:val="32"/>
        </w:rPr>
        <w:t>年城</w:t>
      </w:r>
      <w:r>
        <w:rPr>
          <w:rFonts w:hint="eastAsia" w:ascii="仿宋_GB2312" w:eastAsia="仿宋_GB2312" w:cs="Times New Roman"/>
          <w:color w:val="000000"/>
          <w:sz w:val="32"/>
          <w:szCs w:val="32"/>
          <w:lang w:eastAsia="zh-CN"/>
        </w:rPr>
        <w:t>乡</w:t>
      </w:r>
      <w:r>
        <w:rPr>
          <w:rFonts w:hint="eastAsia" w:ascii="仿宋_GB2312" w:eastAsia="仿宋_GB2312" w:cs="Times New Roman"/>
          <w:color w:val="000000"/>
          <w:sz w:val="32"/>
          <w:szCs w:val="32"/>
        </w:rPr>
        <w:t>最低社会保障金由财政拨款支付（2）是民政困难群众临时价格补贴（3）是增加</w:t>
      </w:r>
      <w:r>
        <w:rPr>
          <w:rFonts w:hint="eastAsia" w:ascii="仿宋_GB2312" w:eastAsia="仿宋_GB2312" w:cs="Times New Roman"/>
          <w:color w:val="000000"/>
          <w:sz w:val="32"/>
          <w:szCs w:val="32"/>
          <w:lang w:eastAsia="zh-CN"/>
        </w:rPr>
        <w:t>县级殡仪馆项目</w:t>
      </w:r>
      <w:r>
        <w:rPr>
          <w:rFonts w:hint="eastAsia" w:ascii="仿宋_GB2312" w:eastAsia="仿宋_GB2312" w:cs="Times New Roman"/>
          <w:color w:val="000000"/>
          <w:sz w:val="32"/>
          <w:szCs w:val="32"/>
        </w:rPr>
        <w:t>建设费（4）增加了社会福利院适老化改造</w:t>
      </w:r>
      <w:r>
        <w:rPr>
          <w:rFonts w:hint="eastAsia" w:ascii="仿宋_GB2312" w:eastAsia="仿宋_GB2312" w:cs="Times New Roman"/>
          <w:color w:val="000000"/>
          <w:sz w:val="32"/>
          <w:szCs w:val="32"/>
          <w:lang w:eastAsia="zh-CN"/>
        </w:rPr>
        <w:t>及消防</w:t>
      </w:r>
      <w:r>
        <w:rPr>
          <w:rFonts w:hint="eastAsia" w:ascii="仿宋_GB2312" w:eastAsia="仿宋_GB2312" w:cs="Times New Roman"/>
          <w:color w:val="000000"/>
          <w:sz w:val="32"/>
          <w:szCs w:val="32"/>
        </w:rPr>
        <w:t>项目。</w:t>
      </w:r>
      <w:bookmarkEnd w:id="83"/>
      <w:bookmarkEnd w:id="84"/>
    </w:p>
    <w:p>
      <w:pPr>
        <w:spacing w:line="576" w:lineRule="exact"/>
        <w:ind w:firstLine="640"/>
        <w:rPr>
          <w:rFonts w:hint="eastAsia" w:ascii="仿宋_GB2312" w:eastAsia="仿宋_GB2312" w:cs="Times New Roman"/>
          <w:color w:val="000000"/>
          <w:sz w:val="32"/>
          <w:szCs w:val="32"/>
        </w:rPr>
      </w:pPr>
      <w:bookmarkStart w:id="85" w:name="_Toc2362"/>
      <w:bookmarkStart w:id="86" w:name="_Toc11367"/>
      <w:r>
        <w:rPr>
          <w:rFonts w:hint="eastAsia" w:ascii="仿宋_GB2312" w:eastAsia="仿宋_GB2312" w:cs="Times New Roman"/>
          <w:color w:val="000000"/>
          <w:sz w:val="32"/>
          <w:szCs w:val="32"/>
        </w:rPr>
        <w:t>（图5：一般公共预算财政拨款支出决算变动情况）（单位：万元）</w:t>
      </w:r>
      <w:bookmarkEnd w:id="85"/>
      <w:bookmarkEnd w:id="86"/>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420" w:firstLineChars="200"/>
        <w:rPr>
          <w:rFonts w:ascii="仿宋" w:eastAsia="仿宋"/>
          <w:color w:val="000000"/>
          <w:sz w:val="32"/>
          <w:szCs w:val="32"/>
        </w:rPr>
      </w:pPr>
      <w:r>
        <w:drawing>
          <wp:anchor distT="0" distB="0" distL="114300" distR="114300" simplePos="0" relativeHeight="251659264" behindDoc="0" locked="0" layoutInCell="1" allowOverlap="1">
            <wp:simplePos x="0" y="0"/>
            <wp:positionH relativeFrom="column">
              <wp:posOffset>365760</wp:posOffset>
            </wp:positionH>
            <wp:positionV relativeFrom="paragraph">
              <wp:posOffset>-662305</wp:posOffset>
            </wp:positionV>
            <wp:extent cx="4277995" cy="2552065"/>
            <wp:effectExtent l="0" t="0" r="2" b="24"/>
            <wp:wrapSquare wrapText="bothSides"/>
            <wp:docPr id="11"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576" w:lineRule="exact"/>
        <w:ind w:firstLine="642" w:firstLineChars="200"/>
        <w:outlineLvl w:val="9"/>
        <w:rPr>
          <w:rFonts w:hint="eastAsia" w:ascii="楷体_GB2312" w:eastAsia="楷体_GB2312"/>
          <w:b/>
          <w:color w:val="000000"/>
          <w:sz w:val="32"/>
          <w:szCs w:val="32"/>
        </w:rPr>
      </w:pPr>
      <w:bookmarkStart w:id="87" w:name="_Toc15377211"/>
    </w:p>
    <w:p>
      <w:pPr>
        <w:spacing w:line="576" w:lineRule="exact"/>
        <w:ind w:firstLine="642" w:firstLineChars="200"/>
        <w:outlineLvl w:val="9"/>
        <w:rPr>
          <w:rFonts w:hint="eastAsia" w:ascii="楷体_GB2312" w:eastAsia="楷体_GB2312"/>
          <w:b/>
          <w:color w:val="000000"/>
          <w:sz w:val="32"/>
          <w:szCs w:val="32"/>
        </w:rPr>
      </w:pPr>
    </w:p>
    <w:p>
      <w:pPr>
        <w:spacing w:line="576" w:lineRule="exact"/>
        <w:ind w:firstLine="642" w:firstLineChars="200"/>
        <w:outlineLvl w:val="9"/>
        <w:rPr>
          <w:rFonts w:hint="eastAsia" w:ascii="楷体_GB2312" w:eastAsia="楷体_GB2312"/>
          <w:b/>
          <w:color w:val="000000"/>
          <w:sz w:val="32"/>
          <w:szCs w:val="32"/>
        </w:rPr>
      </w:pPr>
    </w:p>
    <w:p>
      <w:pPr>
        <w:spacing w:line="576" w:lineRule="exact"/>
        <w:ind w:firstLine="642" w:firstLineChars="200"/>
        <w:outlineLvl w:val="9"/>
        <w:rPr>
          <w:rFonts w:hint="eastAsia" w:ascii="楷体_GB2312" w:eastAsia="楷体_GB2312"/>
          <w:b/>
          <w:color w:val="000000"/>
          <w:sz w:val="32"/>
          <w:szCs w:val="32"/>
        </w:rPr>
      </w:pPr>
    </w:p>
    <w:p>
      <w:pPr>
        <w:pStyle w:val="5"/>
        <w:spacing w:before="0" w:after="0" w:line="576" w:lineRule="exact"/>
        <w:ind w:firstLine="642" w:firstLineChars="200"/>
        <w:rPr>
          <w:rFonts w:hint="eastAsia" w:ascii="楷体_GB2312" w:eastAsia="楷体_GB2312" w:cs="Times New Roman"/>
          <w:b/>
          <w:bCs w:val="0"/>
          <w:color w:val="000000"/>
          <w:kern w:val="2"/>
          <w:sz w:val="32"/>
          <w:szCs w:val="32"/>
          <w:lang w:val="en-US" w:eastAsia="zh-CN" w:bidi="ar-SA"/>
        </w:rPr>
      </w:pPr>
      <w:bookmarkStart w:id="88" w:name="_Toc5749"/>
      <w:bookmarkStart w:id="89" w:name="_Toc13963"/>
      <w:bookmarkStart w:id="90" w:name="_Toc10092"/>
      <w:r>
        <w:rPr>
          <w:rFonts w:hint="eastAsia" w:ascii="楷体_GB2312" w:eastAsia="楷体_GB2312" w:cs="Times New Roman"/>
          <w:b/>
          <w:bCs w:val="0"/>
          <w:color w:val="000000"/>
          <w:kern w:val="2"/>
          <w:sz w:val="32"/>
          <w:szCs w:val="32"/>
          <w:lang w:val="en-US" w:eastAsia="zh-CN" w:bidi="ar-SA"/>
        </w:rPr>
        <w:t>（二）一般公共预算财政拨款支出决算结构情况</w:t>
      </w:r>
      <w:bookmarkEnd w:id="87"/>
      <w:bookmarkEnd w:id="88"/>
      <w:bookmarkEnd w:id="89"/>
      <w:bookmarkEnd w:id="90"/>
    </w:p>
    <w:p>
      <w:pPr>
        <w:spacing w:line="576" w:lineRule="exact"/>
        <w:ind w:firstLine="640"/>
        <w:rPr>
          <w:rFonts w:ascii="仿宋_GB2312" w:eastAsia="仿宋_GB2312"/>
          <w:color w:val="000000"/>
          <w:sz w:val="32"/>
          <w:szCs w:val="32"/>
          <w:lang w:val="en-US" w:eastAsia="zh-CN"/>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年一般公共预算财政拨款支出</w:t>
      </w:r>
      <w:r>
        <w:rPr>
          <w:rFonts w:hint="eastAsia" w:ascii="仿宋_GB2312" w:eastAsia="仿宋_GB2312"/>
          <w:color w:val="000000"/>
          <w:sz w:val="32"/>
          <w:szCs w:val="32"/>
          <w:lang w:val="en-US" w:eastAsia="zh-CN"/>
        </w:rPr>
        <w:t>6411.22</w:t>
      </w:r>
      <w:r>
        <w:rPr>
          <w:rFonts w:hint="eastAsia" w:ascii="仿宋_GB2312" w:eastAsia="仿宋_GB2312"/>
          <w:color w:val="000000"/>
          <w:sz w:val="32"/>
          <w:szCs w:val="32"/>
        </w:rPr>
        <w:t>万元，主要用于以下方面:</w:t>
      </w:r>
      <w:r>
        <w:rPr>
          <w:rFonts w:hint="eastAsia" w:ascii="仿宋_GB2312" w:eastAsia="仿宋_GB2312"/>
          <w:b/>
          <w:color w:val="000000"/>
          <w:sz w:val="32"/>
          <w:szCs w:val="32"/>
        </w:rPr>
        <w:t>社会保障和就业（类）</w:t>
      </w:r>
      <w:r>
        <w:rPr>
          <w:rFonts w:hint="eastAsia" w:ascii="仿宋_GB2312" w:eastAsia="仿宋_GB2312"/>
          <w:color w:val="000000"/>
          <w:sz w:val="32"/>
          <w:szCs w:val="32"/>
        </w:rPr>
        <w:t>支出</w:t>
      </w:r>
      <w:r>
        <w:rPr>
          <w:rFonts w:hint="eastAsia" w:ascii="仿宋_GB2312" w:eastAsia="仿宋_GB2312"/>
          <w:color w:val="000000"/>
          <w:sz w:val="32"/>
          <w:szCs w:val="32"/>
          <w:lang w:val="en-US" w:eastAsia="zh-CN"/>
        </w:rPr>
        <w:t>6328.29</w:t>
      </w:r>
      <w:r>
        <w:rPr>
          <w:rFonts w:hint="eastAsia" w:ascii="仿宋_GB2312" w:eastAsia="仿宋_GB2312"/>
          <w:color w:val="000000"/>
          <w:sz w:val="32"/>
          <w:szCs w:val="32"/>
        </w:rPr>
        <w:t>万元，占88.51%；</w:t>
      </w:r>
      <w:r>
        <w:rPr>
          <w:rFonts w:hint="eastAsia" w:ascii="仿宋_GB2312" w:eastAsia="仿宋_GB2312"/>
          <w:b/>
          <w:bCs/>
          <w:color w:val="000000"/>
          <w:sz w:val="32"/>
          <w:szCs w:val="32"/>
        </w:rPr>
        <w:t>卫生健康支出</w:t>
      </w:r>
      <w:r>
        <w:rPr>
          <w:rFonts w:hint="eastAsia" w:ascii="仿宋_GB2312" w:eastAsia="仿宋_GB2312"/>
          <w:color w:val="000000"/>
          <w:sz w:val="32"/>
          <w:szCs w:val="32"/>
          <w:lang w:val="en-US" w:eastAsia="zh-CN"/>
        </w:rPr>
        <w:t>25.87</w:t>
      </w:r>
      <w:r>
        <w:rPr>
          <w:rFonts w:hint="eastAsia" w:ascii="仿宋_GB2312" w:eastAsia="仿宋_GB2312"/>
          <w:color w:val="000000"/>
          <w:sz w:val="32"/>
          <w:szCs w:val="32"/>
        </w:rPr>
        <w:t>万元，占0.99%；</w:t>
      </w:r>
      <w:r>
        <w:rPr>
          <w:rFonts w:hint="eastAsia" w:ascii="仿宋_GB2312" w:eastAsia="仿宋_GB2312"/>
          <w:b/>
          <w:bCs/>
          <w:color w:val="000000"/>
          <w:sz w:val="32"/>
          <w:szCs w:val="32"/>
        </w:rPr>
        <w:t>农林水支出（类）</w:t>
      </w:r>
      <w:r>
        <w:rPr>
          <w:rFonts w:hint="eastAsia" w:ascii="仿宋_GB2312" w:eastAsia="仿宋_GB2312"/>
          <w:sz w:val="32"/>
          <w:szCs w:val="32"/>
          <w:lang w:val="en-US" w:eastAsia="zh-CN"/>
        </w:rPr>
        <w:t>1.85</w:t>
      </w:r>
      <w:r>
        <w:rPr>
          <w:rFonts w:hint="eastAsia" w:ascii="仿宋_GB2312" w:eastAsia="仿宋_GB2312"/>
          <w:sz w:val="32"/>
          <w:szCs w:val="32"/>
        </w:rPr>
        <w:t>万元，占0.01%；</w:t>
      </w:r>
      <w:r>
        <w:rPr>
          <w:rFonts w:hint="eastAsia" w:ascii="仿宋_GB2312" w:eastAsia="仿宋_GB2312"/>
          <w:b/>
          <w:bCs/>
          <w:color w:val="000000"/>
          <w:sz w:val="32"/>
          <w:szCs w:val="32"/>
        </w:rPr>
        <w:t>住房保障支出（类）</w:t>
      </w:r>
      <w:r>
        <w:rPr>
          <w:rFonts w:hint="eastAsia" w:ascii="仿宋_GB2312" w:eastAsia="仿宋_GB2312"/>
          <w:color w:val="000000"/>
          <w:sz w:val="32"/>
          <w:szCs w:val="32"/>
          <w:lang w:val="en-US" w:eastAsia="zh-CN"/>
        </w:rPr>
        <w:t>35.23</w:t>
      </w:r>
      <w:r>
        <w:rPr>
          <w:rFonts w:hint="eastAsia" w:ascii="仿宋_GB2312" w:eastAsia="仿宋_GB2312"/>
          <w:color w:val="000000"/>
          <w:sz w:val="32"/>
          <w:szCs w:val="32"/>
        </w:rPr>
        <w:t>万元，占1.17%；</w:t>
      </w:r>
      <w:r>
        <w:rPr>
          <w:rFonts w:hint="eastAsia" w:ascii="仿宋_GB2312" w:eastAsia="仿宋_GB2312"/>
          <w:b/>
          <w:bCs/>
          <w:color w:val="000000"/>
          <w:sz w:val="32"/>
          <w:szCs w:val="32"/>
        </w:rPr>
        <w:t>灾害防治及应急管理支出（类）</w:t>
      </w:r>
      <w:r>
        <w:rPr>
          <w:rFonts w:hint="eastAsia" w:ascii="仿宋_GB2312" w:eastAsia="仿宋_GB2312"/>
          <w:color w:val="000000"/>
          <w:sz w:val="32"/>
          <w:szCs w:val="32"/>
          <w:lang w:val="en-US" w:eastAsia="zh-CN"/>
        </w:rPr>
        <w:t>18.61</w:t>
      </w:r>
      <w:r>
        <w:rPr>
          <w:rFonts w:hint="eastAsia" w:ascii="仿宋_GB2312" w:eastAsia="仿宋_GB2312"/>
          <w:color w:val="000000"/>
          <w:sz w:val="32"/>
          <w:szCs w:val="32"/>
        </w:rPr>
        <w:t>万元，占9.32%</w:t>
      </w:r>
      <w:r>
        <w:rPr>
          <w:rFonts w:hint="eastAsia" w:ascii="仿宋_GB2312" w:eastAsia="仿宋_GB2312"/>
          <w:color w:val="000000"/>
          <w:sz w:val="32"/>
          <w:szCs w:val="32"/>
          <w:lang w:eastAsia="zh-CN"/>
        </w:rPr>
        <w:t>；</w:t>
      </w:r>
      <w:r>
        <w:rPr>
          <w:rFonts w:hint="eastAsia" w:ascii="仿宋_GB2312" w:eastAsia="仿宋_GB2312"/>
          <w:b/>
          <w:bCs/>
          <w:color w:val="000000"/>
          <w:sz w:val="32"/>
          <w:szCs w:val="32"/>
          <w:lang w:eastAsia="zh-CN"/>
        </w:rPr>
        <w:t>其他支出</w:t>
      </w:r>
      <w:r>
        <w:rPr>
          <w:rFonts w:hint="eastAsia" w:ascii="仿宋_GB2312" w:eastAsia="仿宋_GB2312"/>
          <w:b/>
          <w:bCs/>
          <w:color w:val="000000"/>
          <w:sz w:val="32"/>
          <w:szCs w:val="32"/>
        </w:rPr>
        <w:t>（类）</w:t>
      </w:r>
      <w:r>
        <w:rPr>
          <w:rFonts w:hint="eastAsia" w:ascii="仿宋_GB2312" w:eastAsia="仿宋_GB2312"/>
          <w:color w:val="000000"/>
          <w:sz w:val="32"/>
          <w:szCs w:val="32"/>
          <w:lang w:val="en-US" w:eastAsia="zh-CN"/>
        </w:rPr>
        <w:t>1.37万元。</w:t>
      </w:r>
    </w:p>
    <w:p>
      <w:pPr>
        <w:spacing w:line="576" w:lineRule="exact"/>
        <w:ind w:left="319" w:leftChars="152" w:firstLine="320" w:firstLineChars="100"/>
        <w:rPr>
          <w:rFonts w:ascii="仿宋_GB2312" w:eastAsia="仿宋_GB2312"/>
          <w:color w:val="000000"/>
          <w:sz w:val="32"/>
          <w:szCs w:val="32"/>
        </w:rPr>
      </w:pPr>
      <w:r>
        <w:rPr>
          <w:rFonts w:hint="eastAsia" w:ascii="仿宋_GB2312" w:eastAsia="仿宋_GB2312"/>
          <w:color w:val="000000"/>
          <w:sz w:val="32"/>
          <w:szCs w:val="32"/>
        </w:rPr>
        <w:t>（图6：一般公共预算财政拨款支出决算结构）      （单位：万元）</w:t>
      </w:r>
    </w:p>
    <w:p>
      <w:pPr>
        <w:spacing w:line="600" w:lineRule="exact"/>
        <w:ind w:firstLine="420" w:firstLineChars="200"/>
        <w:rPr>
          <w:rFonts w:ascii="仿宋" w:eastAsia="仿宋"/>
          <w:color w:val="000000"/>
          <w:sz w:val="32"/>
          <w:szCs w:val="32"/>
        </w:rPr>
      </w:pPr>
      <w:r>
        <w:drawing>
          <wp:anchor distT="0" distB="0" distL="114300" distR="114300" simplePos="0" relativeHeight="251659264" behindDoc="0" locked="0" layoutInCell="1" allowOverlap="1">
            <wp:simplePos x="0" y="0"/>
            <wp:positionH relativeFrom="column">
              <wp:posOffset>613410</wp:posOffset>
            </wp:positionH>
            <wp:positionV relativeFrom="paragraph">
              <wp:posOffset>198120</wp:posOffset>
            </wp:positionV>
            <wp:extent cx="3885565" cy="3389630"/>
            <wp:effectExtent l="0" t="0" r="4" b="20"/>
            <wp:wrapSquare wrapText="bothSides"/>
            <wp:docPr id="1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576" w:lineRule="exact"/>
        <w:ind w:firstLine="642" w:firstLineChars="200"/>
        <w:outlineLvl w:val="9"/>
        <w:rPr>
          <w:rFonts w:hint="eastAsia" w:ascii="楷体_GB2312" w:eastAsia="楷体_GB2312"/>
          <w:b/>
          <w:color w:val="000000"/>
          <w:sz w:val="32"/>
          <w:szCs w:val="32"/>
        </w:rPr>
      </w:pPr>
      <w:bookmarkStart w:id="91" w:name="_Toc15377212"/>
    </w:p>
    <w:p>
      <w:pPr>
        <w:spacing w:line="576" w:lineRule="exact"/>
        <w:ind w:firstLine="642" w:firstLineChars="200"/>
        <w:outlineLvl w:val="9"/>
        <w:rPr>
          <w:rFonts w:hint="eastAsia" w:ascii="楷体_GB2312" w:eastAsia="楷体_GB2312"/>
          <w:b/>
          <w:color w:val="000000"/>
          <w:sz w:val="32"/>
          <w:szCs w:val="32"/>
        </w:rPr>
      </w:pPr>
    </w:p>
    <w:p>
      <w:pPr>
        <w:spacing w:line="576" w:lineRule="exact"/>
        <w:ind w:firstLine="642" w:firstLineChars="200"/>
        <w:outlineLvl w:val="9"/>
        <w:rPr>
          <w:rFonts w:hint="eastAsia" w:ascii="楷体_GB2312" w:eastAsia="楷体_GB2312"/>
          <w:b/>
          <w:color w:val="000000"/>
          <w:sz w:val="32"/>
          <w:szCs w:val="32"/>
        </w:rPr>
      </w:pPr>
    </w:p>
    <w:p>
      <w:pPr>
        <w:spacing w:line="576" w:lineRule="exact"/>
        <w:ind w:firstLine="642" w:firstLineChars="200"/>
        <w:outlineLvl w:val="9"/>
        <w:rPr>
          <w:rFonts w:hint="eastAsia" w:ascii="楷体_GB2312" w:eastAsia="楷体_GB2312"/>
          <w:b/>
          <w:color w:val="000000"/>
          <w:sz w:val="32"/>
          <w:szCs w:val="32"/>
        </w:rPr>
      </w:pPr>
    </w:p>
    <w:p>
      <w:pPr>
        <w:spacing w:line="576" w:lineRule="exact"/>
        <w:ind w:firstLine="642" w:firstLineChars="200"/>
        <w:outlineLvl w:val="9"/>
        <w:rPr>
          <w:rFonts w:hint="eastAsia" w:ascii="楷体_GB2312" w:eastAsia="楷体_GB2312"/>
          <w:b/>
          <w:color w:val="000000"/>
          <w:sz w:val="32"/>
          <w:szCs w:val="32"/>
        </w:rPr>
      </w:pPr>
    </w:p>
    <w:p>
      <w:pPr>
        <w:spacing w:line="576" w:lineRule="exact"/>
        <w:ind w:firstLine="642" w:firstLineChars="200"/>
        <w:outlineLvl w:val="9"/>
        <w:rPr>
          <w:rFonts w:hint="eastAsia" w:ascii="楷体_GB2312" w:eastAsia="楷体_GB2312"/>
          <w:b/>
          <w:color w:val="000000"/>
          <w:sz w:val="32"/>
          <w:szCs w:val="32"/>
        </w:rPr>
      </w:pPr>
    </w:p>
    <w:p>
      <w:pPr>
        <w:pStyle w:val="5"/>
        <w:numPr>
          <w:ilvl w:val="0"/>
          <w:numId w:val="2"/>
        </w:numPr>
        <w:spacing w:before="0" w:after="0" w:line="576" w:lineRule="exact"/>
        <w:ind w:left="0" w:firstLine="642" w:firstLineChars="200"/>
        <w:rPr>
          <w:rFonts w:hint="eastAsia" w:ascii="楷体_GB2312" w:eastAsia="楷体_GB2312" w:cs="Times New Roman"/>
          <w:b/>
          <w:bCs w:val="0"/>
          <w:color w:val="000000"/>
          <w:kern w:val="2"/>
          <w:sz w:val="32"/>
          <w:szCs w:val="32"/>
          <w:lang w:val="en-US" w:eastAsia="zh-CN" w:bidi="ar-SA"/>
        </w:rPr>
      </w:pPr>
      <w:bookmarkStart w:id="92" w:name="_Toc16182"/>
      <w:bookmarkStart w:id="93" w:name="_Toc17447"/>
      <w:bookmarkStart w:id="94" w:name="_Toc22395"/>
      <w:r>
        <w:rPr>
          <w:rFonts w:hint="eastAsia" w:ascii="楷体_GB2312" w:eastAsia="楷体_GB2312" w:cs="Times New Roman"/>
          <w:b/>
          <w:bCs w:val="0"/>
          <w:color w:val="000000"/>
          <w:kern w:val="2"/>
          <w:sz w:val="32"/>
          <w:szCs w:val="32"/>
          <w:lang w:val="en-US" w:eastAsia="zh-CN" w:bidi="ar-SA"/>
        </w:rPr>
        <w:t>一般公共预算财政拨款支出决算具体情况</w:t>
      </w:r>
      <w:bookmarkEnd w:id="91"/>
      <w:bookmarkEnd w:id="92"/>
      <w:bookmarkEnd w:id="93"/>
      <w:bookmarkEnd w:id="94"/>
      <w:bookmarkStart w:id="95" w:name="_Toc15377213"/>
      <w:bookmarkStart w:id="96" w:name="_Toc15377444"/>
      <w:bookmarkStart w:id="97" w:name="_Toc5691"/>
      <w:bookmarkStart w:id="98" w:name="_Toc15378460"/>
      <w:bookmarkStart w:id="99" w:name="_Toc31605"/>
    </w:p>
    <w:p>
      <w:pPr>
        <w:bidi w:val="0"/>
        <w:ind w:firstLine="642" w:firstLineChars="200"/>
        <w:rPr>
          <w:rFonts w:hint="eastAsia" w:ascii="仿宋_GB2312" w:eastAsia="仿宋_GB2312" w:cs="Times New Roman"/>
          <w:b/>
          <w:bCs/>
          <w:sz w:val="32"/>
          <w:szCs w:val="32"/>
        </w:rPr>
      </w:pPr>
      <w:r>
        <w:rPr>
          <w:rFonts w:hint="eastAsia" w:ascii="仿宋_GB2312" w:eastAsia="仿宋_GB2312" w:cs="Times New Roman"/>
          <w:b/>
          <w:bCs/>
          <w:sz w:val="32"/>
          <w:szCs w:val="32"/>
          <w:lang w:val="en-US" w:eastAsia="zh-CN"/>
        </w:rPr>
        <w:t>2020年一</w:t>
      </w:r>
      <w:r>
        <w:rPr>
          <w:rFonts w:hint="eastAsia" w:ascii="仿宋_GB2312" w:eastAsia="仿宋_GB2312" w:cs="Times New Roman"/>
          <w:b/>
          <w:bCs/>
          <w:sz w:val="32"/>
          <w:szCs w:val="32"/>
        </w:rPr>
        <w:t>般公共预算支出决算数为</w:t>
      </w:r>
      <w:r>
        <w:rPr>
          <w:rFonts w:hint="eastAsia" w:ascii="仿宋_GB2312" w:eastAsia="仿宋_GB2312" w:cs="Times New Roman"/>
          <w:b/>
          <w:bCs/>
          <w:sz w:val="32"/>
          <w:szCs w:val="32"/>
          <w:lang w:val="en-US" w:eastAsia="zh-CN"/>
        </w:rPr>
        <w:t>6411.22</w:t>
      </w:r>
      <w:r>
        <w:rPr>
          <w:rFonts w:hint="eastAsia" w:ascii="仿宋_GB2312" w:eastAsia="仿宋_GB2312" w:cs="Times New Roman"/>
          <w:b/>
          <w:bCs/>
          <w:sz w:val="32"/>
          <w:szCs w:val="32"/>
        </w:rPr>
        <w:t>万元，完成预算</w:t>
      </w:r>
      <w:r>
        <w:rPr>
          <w:rFonts w:hint="eastAsia" w:ascii="仿宋_GB2312" w:eastAsia="仿宋_GB2312" w:cs="Times New Roman"/>
          <w:b/>
          <w:bCs/>
          <w:sz w:val="32"/>
          <w:szCs w:val="32"/>
          <w:lang w:val="en-US" w:eastAsia="zh-CN"/>
        </w:rPr>
        <w:t>92.23</w:t>
      </w:r>
      <w:r>
        <w:rPr>
          <w:rFonts w:hint="eastAsia" w:ascii="仿宋_GB2312" w:eastAsia="仿宋_GB2312" w:cs="Times New Roman"/>
          <w:b/>
          <w:bCs/>
          <w:sz w:val="32"/>
          <w:szCs w:val="32"/>
        </w:rPr>
        <w:t>%。其中：</w:t>
      </w:r>
      <w:bookmarkEnd w:id="95"/>
      <w:bookmarkEnd w:id="96"/>
      <w:bookmarkEnd w:id="97"/>
      <w:bookmarkEnd w:id="98"/>
      <w:bookmarkEnd w:id="99"/>
      <w:bookmarkStart w:id="100" w:name="_Toc14035"/>
      <w:bookmarkStart w:id="101" w:name="_Toc19250"/>
    </w:p>
    <w:p>
      <w:pPr>
        <w:bidi w:val="0"/>
        <w:ind w:left="0" w:firstLine="642" w:firstLineChars="200"/>
        <w:rPr>
          <w:rFonts w:hint="eastAsia" w:ascii="仿宋_GB2312" w:eastAsia="仿宋_GB2312"/>
          <w:sz w:val="32"/>
          <w:szCs w:val="32"/>
        </w:rPr>
      </w:pPr>
      <w:r>
        <w:rPr>
          <w:rFonts w:hint="eastAsia" w:ascii="仿宋_GB2312" w:eastAsia="仿宋_GB2312" w:cs="Times New Roman"/>
          <w:b/>
          <w:bCs/>
          <w:sz w:val="32"/>
          <w:szCs w:val="32"/>
          <w:lang w:val="en-US" w:eastAsia="zh-CN"/>
        </w:rPr>
        <w:t>1.</w:t>
      </w:r>
      <w:r>
        <w:rPr>
          <w:rFonts w:hint="eastAsia" w:ascii="仿宋_GB2312" w:eastAsia="仿宋_GB2312" w:cs="Times New Roman"/>
          <w:b/>
          <w:bCs/>
          <w:sz w:val="32"/>
          <w:szCs w:val="32"/>
        </w:rPr>
        <w:t xml:space="preserve">社会保障和就业（类）民政管理事务（款）行政运行（项）: </w:t>
      </w:r>
      <w:r>
        <w:rPr>
          <w:rFonts w:hint="eastAsia" w:ascii="仿宋_GB2312" w:eastAsia="仿宋_GB2312"/>
          <w:sz w:val="32"/>
          <w:szCs w:val="32"/>
        </w:rPr>
        <w:t>支出决算为</w:t>
      </w:r>
      <w:r>
        <w:rPr>
          <w:rFonts w:hint="eastAsia" w:ascii="仿宋_GB2312" w:eastAsia="仿宋_GB2312"/>
          <w:sz w:val="32"/>
          <w:szCs w:val="32"/>
          <w:lang w:val="en-US" w:eastAsia="zh-CN"/>
        </w:rPr>
        <w:t>239.15</w:t>
      </w:r>
      <w:r>
        <w:rPr>
          <w:rFonts w:hint="eastAsia" w:ascii="仿宋_GB2312" w:eastAsia="仿宋_GB2312"/>
          <w:sz w:val="32"/>
          <w:szCs w:val="32"/>
        </w:rPr>
        <w:t>万元，完成预算</w:t>
      </w:r>
      <w:r>
        <w:rPr>
          <w:rFonts w:hint="eastAsia" w:ascii="仿宋_GB2312" w:eastAsia="仿宋_GB2312"/>
          <w:sz w:val="32"/>
          <w:szCs w:val="32"/>
          <w:lang w:val="en-US" w:eastAsia="zh-CN"/>
        </w:rPr>
        <w:t>100</w:t>
      </w:r>
      <w:r>
        <w:rPr>
          <w:rFonts w:hint="eastAsia" w:ascii="仿宋_GB2312" w:eastAsia="仿宋_GB2312"/>
          <w:sz w:val="32"/>
          <w:szCs w:val="32"/>
        </w:rPr>
        <w:t>%。</w:t>
      </w:r>
      <w:bookmarkEnd w:id="100"/>
      <w:bookmarkEnd w:id="101"/>
      <w:bookmarkStart w:id="102" w:name="_Toc32428"/>
      <w:bookmarkStart w:id="103" w:name="_Toc14728"/>
    </w:p>
    <w:p>
      <w:pPr>
        <w:bidi w:val="0"/>
        <w:ind w:left="0" w:firstLine="642" w:firstLineChars="200"/>
        <w:rPr>
          <w:rFonts w:hint="eastAsia" w:ascii="仿宋_GB2312" w:eastAsia="仿宋_GB2312" w:cs="Times New Roman"/>
          <w:sz w:val="32"/>
          <w:szCs w:val="32"/>
          <w:lang w:val="en-US" w:eastAsia="zh-CN"/>
        </w:rPr>
      </w:pPr>
      <w:r>
        <w:rPr>
          <w:rFonts w:hint="eastAsia" w:ascii="仿宋_GB2312" w:eastAsia="仿宋_GB2312" w:cs="Times New Roman"/>
          <w:b/>
          <w:bCs/>
          <w:sz w:val="32"/>
          <w:szCs w:val="32"/>
          <w:lang w:val="en-US" w:eastAsia="zh-CN"/>
        </w:rPr>
        <w:t>2.社会保障和就业（类）民政管理事务（款）一般行政管理事务（项）:</w:t>
      </w:r>
      <w:r>
        <w:rPr>
          <w:rStyle w:val="17"/>
          <w:rFonts w:hint="eastAsia" w:ascii="仿宋_GB2312" w:eastAsia="仿宋_GB2312" w:cs="Times New Roman"/>
          <w:bCs/>
          <w:color w:val="000000"/>
          <w:sz w:val="32"/>
          <w:szCs w:val="32"/>
          <w:lang w:val="en-US" w:eastAsia="zh-CN"/>
        </w:rPr>
        <w:t xml:space="preserve"> </w:t>
      </w:r>
      <w:r>
        <w:rPr>
          <w:rFonts w:hint="eastAsia" w:ascii="仿宋_GB2312" w:eastAsia="仿宋_GB2312" w:cs="Times New Roman"/>
          <w:sz w:val="32"/>
          <w:szCs w:val="32"/>
          <w:lang w:val="en-US" w:eastAsia="zh-CN"/>
        </w:rPr>
        <w:t>支出决算为25万元，完成预算100%。</w:t>
      </w:r>
      <w:bookmarkEnd w:id="102"/>
      <w:bookmarkEnd w:id="103"/>
      <w:bookmarkStart w:id="104" w:name="_Toc11215"/>
      <w:bookmarkStart w:id="105" w:name="_Toc21227"/>
    </w:p>
    <w:p>
      <w:pPr>
        <w:bidi w:val="0"/>
        <w:ind w:left="0" w:firstLine="642" w:firstLineChars="200"/>
        <w:rPr>
          <w:rFonts w:hint="eastAsia" w:ascii="仿宋_GB2312" w:eastAsia="仿宋_GB2312" w:cs="Times New Roman"/>
          <w:sz w:val="32"/>
          <w:szCs w:val="32"/>
          <w:lang w:val="en-US" w:eastAsia="zh-CN"/>
        </w:rPr>
      </w:pPr>
      <w:r>
        <w:rPr>
          <w:rFonts w:hint="eastAsia" w:ascii="仿宋_GB2312" w:eastAsia="仿宋_GB2312" w:cs="Times New Roman"/>
          <w:b/>
          <w:bCs/>
          <w:sz w:val="32"/>
          <w:szCs w:val="32"/>
          <w:lang w:val="en-US" w:eastAsia="zh-CN"/>
        </w:rPr>
        <w:t>3.社会保障和就业（类）民政管理事务（款）基层政权建设和社区治理（项）:</w:t>
      </w:r>
      <w:r>
        <w:rPr>
          <w:rStyle w:val="17"/>
          <w:rFonts w:hint="eastAsia" w:ascii="仿宋_GB2312" w:eastAsia="仿宋_GB2312" w:cs="Times New Roman"/>
          <w:bCs/>
          <w:color w:val="000000"/>
          <w:sz w:val="32"/>
          <w:szCs w:val="32"/>
          <w:lang w:val="en-US" w:eastAsia="zh-CN"/>
        </w:rPr>
        <w:t xml:space="preserve"> </w:t>
      </w:r>
      <w:r>
        <w:rPr>
          <w:rFonts w:hint="eastAsia" w:ascii="仿宋_GB2312" w:eastAsia="仿宋_GB2312" w:cs="Times New Roman"/>
          <w:sz w:val="32"/>
          <w:szCs w:val="32"/>
          <w:lang w:val="en-US" w:eastAsia="zh-CN"/>
        </w:rPr>
        <w:t>支出决算为26.66万元，完成预算100%。</w:t>
      </w:r>
      <w:bookmarkEnd w:id="104"/>
      <w:bookmarkEnd w:id="105"/>
    </w:p>
    <w:p>
      <w:pPr>
        <w:bidi w:val="0"/>
        <w:ind w:left="0" w:firstLine="642" w:firstLineChars="200"/>
        <w:rPr>
          <w:rFonts w:hint="eastAsia" w:ascii="仿宋_GB2312" w:eastAsia="仿宋_GB2312" w:cs="Times New Roman"/>
          <w:sz w:val="32"/>
          <w:szCs w:val="32"/>
          <w:lang w:val="en-US" w:eastAsia="zh-CN"/>
        </w:rPr>
      </w:pPr>
      <w:r>
        <w:rPr>
          <w:rFonts w:hint="eastAsia" w:ascii="仿宋_GB2312" w:eastAsia="仿宋_GB2312" w:cs="Times New Roman"/>
          <w:b/>
          <w:bCs/>
          <w:sz w:val="32"/>
          <w:szCs w:val="32"/>
          <w:lang w:val="en-US" w:eastAsia="zh-CN"/>
        </w:rPr>
        <w:t xml:space="preserve">4.社会保障和就业（类）民政管理事务（款）其他民政管理事务支出（项）: </w:t>
      </w:r>
      <w:r>
        <w:rPr>
          <w:rFonts w:hint="eastAsia" w:ascii="仿宋_GB2312" w:eastAsia="仿宋_GB2312" w:cs="Times New Roman"/>
          <w:sz w:val="32"/>
          <w:szCs w:val="32"/>
          <w:lang w:val="en-US" w:eastAsia="zh-CN"/>
        </w:rPr>
        <w:t>支出决算为186.73万元，完成预算99.74%。决算数小于预算数的主要原因是项目未完工资金结转至下一年度继续使用。</w:t>
      </w:r>
      <w:bookmarkStart w:id="106" w:name="_Toc20901"/>
      <w:bookmarkStart w:id="107" w:name="_Toc8811"/>
    </w:p>
    <w:p>
      <w:pPr>
        <w:bidi w:val="0"/>
        <w:ind w:left="0" w:firstLine="642" w:firstLineChars="200"/>
        <w:rPr>
          <w:rFonts w:hint="eastAsia" w:ascii="仿宋_GB2312" w:eastAsia="仿宋_GB2312" w:cs="Times New Roman"/>
          <w:sz w:val="32"/>
          <w:szCs w:val="32"/>
          <w:lang w:val="en-US" w:eastAsia="zh-CN"/>
        </w:rPr>
      </w:pPr>
      <w:r>
        <w:rPr>
          <w:rFonts w:hint="eastAsia" w:ascii="仿宋_GB2312" w:eastAsia="仿宋_GB2312" w:cs="Times New Roman"/>
          <w:b/>
          <w:bCs/>
          <w:sz w:val="32"/>
          <w:szCs w:val="32"/>
          <w:lang w:val="en-US" w:eastAsia="zh-CN"/>
        </w:rPr>
        <w:t>5.社会保障和就业（类）行政事业单位养老支出（款）机关事业单位基本养老保险缴费支出（项）:</w:t>
      </w:r>
      <w:r>
        <w:rPr>
          <w:rStyle w:val="17"/>
          <w:rFonts w:hint="eastAsia" w:ascii="仿宋_GB2312" w:eastAsia="仿宋_GB2312" w:cs="Times New Roman"/>
          <w:bCs/>
          <w:color w:val="000000"/>
          <w:sz w:val="32"/>
          <w:szCs w:val="32"/>
          <w:lang w:val="en-US" w:eastAsia="zh-CN"/>
        </w:rPr>
        <w:t xml:space="preserve"> </w:t>
      </w:r>
      <w:r>
        <w:rPr>
          <w:rFonts w:hint="eastAsia" w:ascii="仿宋_GB2312" w:eastAsia="仿宋_GB2312" w:cs="Times New Roman"/>
          <w:sz w:val="32"/>
          <w:szCs w:val="32"/>
          <w:lang w:val="en-US" w:eastAsia="zh-CN"/>
        </w:rPr>
        <w:t>支出决算为31.38万元，完成预算100%。</w:t>
      </w:r>
      <w:bookmarkEnd w:id="106"/>
      <w:bookmarkEnd w:id="107"/>
    </w:p>
    <w:p>
      <w:pPr>
        <w:bidi w:val="0"/>
        <w:ind w:left="0" w:firstLine="642" w:firstLineChars="200"/>
        <w:rPr>
          <w:rStyle w:val="17"/>
          <w:rFonts w:hint="eastAsia" w:ascii="仿宋_GB2312" w:eastAsia="仿宋_GB2312" w:cs="Times New Roman"/>
          <w:bCs/>
          <w:color w:val="000000"/>
          <w:sz w:val="32"/>
          <w:szCs w:val="32"/>
          <w:lang w:val="en-US" w:eastAsia="zh-CN"/>
        </w:rPr>
      </w:pPr>
      <w:r>
        <w:rPr>
          <w:rFonts w:hint="eastAsia" w:ascii="仿宋_GB2312" w:eastAsia="仿宋_GB2312" w:cs="Times New Roman"/>
          <w:b/>
          <w:bCs/>
          <w:sz w:val="32"/>
          <w:szCs w:val="32"/>
          <w:lang w:val="en-US" w:eastAsia="zh-CN"/>
        </w:rPr>
        <w:t xml:space="preserve">6.社会保障和就业（类）行政事业单位养老支出（款）机关事业单位职业年金缴费支出（项）: </w:t>
      </w:r>
      <w:r>
        <w:rPr>
          <w:rStyle w:val="17"/>
          <w:rFonts w:hint="eastAsia" w:ascii="仿宋_GB2312" w:eastAsia="仿宋_GB2312" w:cs="Times New Roman"/>
          <w:bCs/>
          <w:color w:val="000000"/>
          <w:sz w:val="32"/>
          <w:szCs w:val="32"/>
          <w:lang w:val="en-US" w:eastAsia="zh-CN"/>
        </w:rPr>
        <w:t>支</w:t>
      </w:r>
      <w:r>
        <w:rPr>
          <w:rFonts w:hint="eastAsia" w:ascii="仿宋_GB2312" w:eastAsia="仿宋_GB2312" w:cs="Times New Roman"/>
          <w:sz w:val="32"/>
          <w:szCs w:val="32"/>
          <w:lang w:val="en-US" w:eastAsia="zh-CN"/>
        </w:rPr>
        <w:t>出决算为15.74万元，完成预算100%。</w:t>
      </w:r>
    </w:p>
    <w:p>
      <w:pPr>
        <w:bidi w:val="0"/>
        <w:ind w:left="0" w:firstLine="642" w:firstLineChars="200"/>
        <w:rPr>
          <w:rFonts w:hint="eastAsia" w:ascii="仿宋_GB2312" w:eastAsia="仿宋_GB2312" w:cs="Times New Roman"/>
          <w:sz w:val="32"/>
          <w:szCs w:val="32"/>
          <w:lang w:val="en-US" w:eastAsia="zh-CN"/>
        </w:rPr>
      </w:pPr>
      <w:r>
        <w:rPr>
          <w:rFonts w:hint="eastAsia" w:ascii="仿宋_GB2312" w:eastAsia="仿宋_GB2312" w:cs="Times New Roman"/>
          <w:b/>
          <w:bCs/>
          <w:sz w:val="32"/>
          <w:szCs w:val="32"/>
          <w:lang w:val="en-US" w:eastAsia="zh-CN"/>
        </w:rPr>
        <w:t>7.社会保障和就业（类）社会福利（款）儿童福利（项）:</w:t>
      </w:r>
      <w:r>
        <w:rPr>
          <w:rStyle w:val="17"/>
          <w:rFonts w:hint="eastAsia" w:ascii="仿宋_GB2312" w:eastAsia="仿宋_GB2312" w:cs="Times New Roman"/>
          <w:bCs/>
          <w:color w:val="000000"/>
          <w:sz w:val="32"/>
          <w:szCs w:val="32"/>
          <w:lang w:val="en-US" w:eastAsia="zh-CN"/>
        </w:rPr>
        <w:t xml:space="preserve"> </w:t>
      </w:r>
      <w:r>
        <w:rPr>
          <w:rFonts w:hint="eastAsia" w:ascii="仿宋_GB2312" w:eastAsia="仿宋_GB2312" w:cs="Times New Roman"/>
          <w:sz w:val="32"/>
          <w:szCs w:val="32"/>
          <w:lang w:val="en-US" w:eastAsia="zh-CN"/>
        </w:rPr>
        <w:t>支出决算为24.48万元，完成预算100%。</w:t>
      </w:r>
    </w:p>
    <w:p>
      <w:pPr>
        <w:bidi w:val="0"/>
        <w:ind w:left="0" w:firstLine="642" w:firstLineChars="200"/>
        <w:rPr>
          <w:rFonts w:hint="eastAsia" w:ascii="仿宋_GB2312" w:eastAsia="仿宋_GB2312" w:cs="Times New Roman"/>
          <w:sz w:val="32"/>
          <w:szCs w:val="32"/>
          <w:lang w:val="en-US" w:eastAsia="zh-CN"/>
        </w:rPr>
      </w:pPr>
      <w:r>
        <w:rPr>
          <w:rFonts w:hint="eastAsia" w:ascii="仿宋_GB2312" w:eastAsia="仿宋_GB2312" w:cs="Times New Roman"/>
          <w:b/>
          <w:bCs/>
          <w:sz w:val="32"/>
          <w:szCs w:val="32"/>
          <w:lang w:val="en-US" w:eastAsia="zh-CN"/>
        </w:rPr>
        <w:t xml:space="preserve">8.社会保障和就业（类）社会福利（款）老年福利（项）: </w:t>
      </w:r>
      <w:r>
        <w:rPr>
          <w:rFonts w:hint="eastAsia" w:ascii="仿宋_GB2312" w:eastAsia="仿宋_GB2312" w:cs="Times New Roman"/>
          <w:sz w:val="32"/>
          <w:szCs w:val="32"/>
          <w:lang w:val="en-US" w:eastAsia="zh-CN"/>
        </w:rPr>
        <w:t>支出决算为259.66万元，完成预算100%。</w:t>
      </w:r>
    </w:p>
    <w:p>
      <w:pPr>
        <w:bidi w:val="0"/>
        <w:ind w:left="0" w:firstLine="642" w:firstLineChars="200"/>
        <w:rPr>
          <w:rFonts w:hint="eastAsia" w:ascii="仿宋_GB2312" w:eastAsia="仿宋_GB2312" w:cs="Times New Roman"/>
          <w:sz w:val="32"/>
          <w:szCs w:val="32"/>
          <w:lang w:val="en-US" w:eastAsia="zh-CN"/>
        </w:rPr>
      </w:pPr>
      <w:r>
        <w:rPr>
          <w:rFonts w:hint="eastAsia" w:ascii="仿宋_GB2312" w:eastAsia="仿宋_GB2312" w:cs="Times New Roman"/>
          <w:b/>
          <w:bCs/>
          <w:sz w:val="32"/>
          <w:szCs w:val="32"/>
          <w:lang w:val="en-US" w:eastAsia="zh-CN"/>
        </w:rPr>
        <w:t>9.社会保障和就业（类）社会福利（款）殡葬（项）:</w:t>
      </w:r>
      <w:r>
        <w:rPr>
          <w:rFonts w:hint="eastAsia"/>
          <w:lang w:val="en-US" w:eastAsia="zh-CN"/>
        </w:rPr>
        <w:t xml:space="preserve"> </w:t>
      </w:r>
      <w:r>
        <w:rPr>
          <w:rFonts w:hint="eastAsia" w:ascii="仿宋_GB2312" w:eastAsia="仿宋_GB2312" w:cs="Times New Roman"/>
          <w:sz w:val="32"/>
          <w:szCs w:val="32"/>
          <w:lang w:val="en-US" w:eastAsia="zh-CN"/>
        </w:rPr>
        <w:t>支出决算为2.2万元，完成预算100%。</w:t>
      </w:r>
    </w:p>
    <w:p>
      <w:pPr>
        <w:bidi w:val="0"/>
        <w:ind w:left="0" w:firstLine="642" w:firstLineChars="200"/>
        <w:rPr>
          <w:rFonts w:hint="eastAsia" w:ascii="仿宋_GB2312" w:eastAsia="仿宋_GB2312" w:cs="Times New Roman"/>
          <w:sz w:val="32"/>
          <w:szCs w:val="32"/>
          <w:lang w:val="en-US" w:eastAsia="zh-CN"/>
        </w:rPr>
      </w:pPr>
      <w:r>
        <w:rPr>
          <w:rFonts w:hint="eastAsia" w:ascii="仿宋_GB2312" w:eastAsia="仿宋_GB2312" w:cs="Times New Roman"/>
          <w:b/>
          <w:bCs/>
          <w:sz w:val="32"/>
          <w:szCs w:val="32"/>
          <w:lang w:val="en-US" w:eastAsia="zh-CN"/>
        </w:rPr>
        <w:t>10.社会保障和就业（类）社会福利（款）其他社会福利支出（项）:</w:t>
      </w:r>
      <w:r>
        <w:rPr>
          <w:rStyle w:val="17"/>
          <w:rFonts w:hint="eastAsia" w:ascii="仿宋_GB2312" w:eastAsia="仿宋_GB2312" w:cs="Times New Roman"/>
          <w:bCs/>
          <w:color w:val="000000"/>
          <w:sz w:val="32"/>
          <w:szCs w:val="32"/>
          <w:lang w:val="en-US" w:eastAsia="zh-CN"/>
        </w:rPr>
        <w:t xml:space="preserve"> </w:t>
      </w:r>
      <w:r>
        <w:rPr>
          <w:rFonts w:hint="eastAsia" w:ascii="仿宋_GB2312" w:eastAsia="仿宋_GB2312" w:cs="Times New Roman"/>
          <w:sz w:val="32"/>
          <w:szCs w:val="32"/>
          <w:lang w:val="en-US" w:eastAsia="zh-CN"/>
        </w:rPr>
        <w:t>支出决算为49.88万元，完成预算100%。</w:t>
      </w:r>
    </w:p>
    <w:p>
      <w:pPr>
        <w:bidi w:val="0"/>
        <w:ind w:left="0" w:firstLine="642" w:firstLineChars="200"/>
        <w:rPr>
          <w:rFonts w:hint="eastAsia" w:ascii="仿宋_GB2312" w:eastAsia="仿宋_GB2312" w:cs="Times New Roman"/>
          <w:sz w:val="32"/>
          <w:szCs w:val="32"/>
          <w:lang w:val="en-US" w:eastAsia="zh-CN"/>
        </w:rPr>
      </w:pPr>
      <w:r>
        <w:rPr>
          <w:rFonts w:hint="eastAsia" w:ascii="仿宋_GB2312" w:eastAsia="仿宋_GB2312" w:cs="Times New Roman"/>
          <w:b/>
          <w:bCs/>
          <w:sz w:val="32"/>
          <w:szCs w:val="32"/>
          <w:lang w:val="en-US" w:eastAsia="zh-CN"/>
        </w:rPr>
        <w:t xml:space="preserve">11.社会保障和就业（类）残疾人事业（款）残疾人生活和护理补贴（项）: </w:t>
      </w:r>
      <w:r>
        <w:rPr>
          <w:rFonts w:hint="eastAsia" w:ascii="仿宋_GB2312" w:eastAsia="仿宋_GB2312" w:cs="Times New Roman"/>
          <w:sz w:val="32"/>
          <w:szCs w:val="32"/>
          <w:lang w:val="en-US" w:eastAsia="zh-CN"/>
        </w:rPr>
        <w:t>支出决算为118.07万元，完成预算98.67%。决算数小于预算数的主要原因是重度残疾人护理补贴资金结转至下一年度继续使用。</w:t>
      </w:r>
    </w:p>
    <w:p>
      <w:pPr>
        <w:bidi w:val="0"/>
        <w:ind w:left="0" w:firstLine="642" w:firstLineChars="200"/>
        <w:rPr>
          <w:rFonts w:hint="eastAsia" w:ascii="仿宋_GB2312" w:eastAsia="仿宋_GB2312" w:cs="Times New Roman"/>
          <w:sz w:val="32"/>
          <w:szCs w:val="32"/>
          <w:lang w:val="en-US" w:eastAsia="zh-CN"/>
        </w:rPr>
      </w:pPr>
      <w:r>
        <w:rPr>
          <w:rFonts w:hint="eastAsia" w:ascii="仿宋_GB2312" w:eastAsia="仿宋_GB2312" w:cs="Times New Roman"/>
          <w:b/>
          <w:bCs/>
          <w:sz w:val="32"/>
          <w:szCs w:val="32"/>
          <w:lang w:val="en-US" w:eastAsia="zh-CN"/>
        </w:rPr>
        <w:t>12.社会保障和就业（类）最低生活保障（款）城市最低生活保障金支出（项）:</w:t>
      </w:r>
      <w:r>
        <w:rPr>
          <w:rStyle w:val="17"/>
          <w:rFonts w:hint="eastAsia" w:ascii="仿宋_GB2312" w:eastAsia="仿宋_GB2312" w:cs="Times New Roman"/>
          <w:bCs/>
          <w:color w:val="000000"/>
          <w:sz w:val="32"/>
          <w:szCs w:val="32"/>
          <w:lang w:val="en-US" w:eastAsia="zh-CN"/>
        </w:rPr>
        <w:t xml:space="preserve"> </w:t>
      </w:r>
      <w:r>
        <w:rPr>
          <w:rFonts w:hint="eastAsia" w:ascii="仿宋_GB2312" w:eastAsia="仿宋_GB2312" w:cs="Times New Roman"/>
          <w:sz w:val="32"/>
          <w:szCs w:val="32"/>
          <w:lang w:val="en-US" w:eastAsia="zh-CN"/>
        </w:rPr>
        <w:t>支出决算为3104.27万元，完成预算95.75%。决算数小于预算数的主要原因是最低生活保障资金结转至下一年度继续使用。</w:t>
      </w:r>
    </w:p>
    <w:p>
      <w:pPr>
        <w:bidi w:val="0"/>
        <w:ind w:left="0" w:firstLine="642" w:firstLineChars="200"/>
        <w:rPr>
          <w:rFonts w:hint="eastAsia" w:ascii="仿宋_GB2312" w:eastAsia="仿宋_GB2312" w:cs="Times New Roman"/>
          <w:sz w:val="32"/>
          <w:szCs w:val="32"/>
          <w:lang w:val="en-US" w:eastAsia="zh-CN"/>
        </w:rPr>
      </w:pPr>
      <w:r>
        <w:rPr>
          <w:rFonts w:hint="eastAsia" w:ascii="仿宋_GB2312" w:eastAsia="仿宋_GB2312" w:cs="Times New Roman"/>
          <w:b/>
          <w:bCs/>
          <w:sz w:val="32"/>
          <w:szCs w:val="32"/>
          <w:lang w:val="en-US" w:eastAsia="zh-CN"/>
        </w:rPr>
        <w:t xml:space="preserve">13.社会保障和就业（类）最低生活保障（款）农村最低生活保障金支出（项）: </w:t>
      </w:r>
      <w:r>
        <w:rPr>
          <w:rFonts w:hint="eastAsia" w:ascii="仿宋_GB2312" w:eastAsia="仿宋_GB2312" w:cs="Times New Roman"/>
          <w:sz w:val="32"/>
          <w:szCs w:val="32"/>
          <w:lang w:val="en-US" w:eastAsia="zh-CN"/>
        </w:rPr>
        <w:t>支出决算为318.85万元，完成预算100%。</w:t>
      </w:r>
    </w:p>
    <w:p>
      <w:pPr>
        <w:bidi w:val="0"/>
        <w:ind w:left="0" w:firstLine="642" w:firstLineChars="200"/>
        <w:rPr>
          <w:rFonts w:hint="eastAsia" w:ascii="仿宋_GB2312" w:eastAsia="仿宋_GB2312" w:cs="Times New Roman"/>
          <w:sz w:val="32"/>
          <w:szCs w:val="32"/>
          <w:lang w:val="en-US" w:eastAsia="zh-CN"/>
        </w:rPr>
      </w:pPr>
      <w:r>
        <w:rPr>
          <w:rFonts w:hint="eastAsia" w:ascii="仿宋_GB2312" w:eastAsia="仿宋_GB2312" w:cs="Times New Roman"/>
          <w:b/>
          <w:bCs/>
          <w:sz w:val="32"/>
          <w:szCs w:val="32"/>
          <w:lang w:val="en-US" w:eastAsia="zh-CN"/>
        </w:rPr>
        <w:t xml:space="preserve">14.社会保障和就业（类）临时救助（款）临时救助支出（项）: </w:t>
      </w:r>
      <w:r>
        <w:rPr>
          <w:rFonts w:hint="eastAsia" w:ascii="仿宋_GB2312" w:eastAsia="仿宋_GB2312" w:cs="Times New Roman"/>
          <w:sz w:val="32"/>
          <w:szCs w:val="32"/>
          <w:lang w:val="en-US" w:eastAsia="zh-CN"/>
        </w:rPr>
        <w:t>支出决算为1013.84万元，完成预算99.81%。决算数小于预算数的主要原因是临时价格补贴结转至下一年度继续使用。</w:t>
      </w:r>
    </w:p>
    <w:p>
      <w:pPr>
        <w:bidi w:val="0"/>
        <w:ind w:left="0" w:firstLine="642" w:firstLineChars="200"/>
        <w:rPr>
          <w:rFonts w:hint="eastAsia" w:ascii="仿宋_GB2312" w:eastAsia="仿宋_GB2312" w:cs="Times New Roman"/>
          <w:sz w:val="32"/>
          <w:szCs w:val="32"/>
          <w:lang w:val="en-US" w:eastAsia="zh-CN"/>
        </w:rPr>
      </w:pPr>
      <w:r>
        <w:rPr>
          <w:rFonts w:hint="eastAsia" w:ascii="仿宋_GB2312" w:eastAsia="仿宋_GB2312" w:cs="Times New Roman"/>
          <w:b/>
          <w:bCs/>
          <w:sz w:val="32"/>
          <w:szCs w:val="32"/>
          <w:lang w:val="en-US" w:eastAsia="zh-CN"/>
        </w:rPr>
        <w:t xml:space="preserve">15.社会保障和就业（类）临时救助（款）流浪乞讨人员救助支出（项）: </w:t>
      </w:r>
      <w:r>
        <w:rPr>
          <w:rFonts w:hint="eastAsia" w:ascii="仿宋_GB2312" w:eastAsia="仿宋_GB2312" w:cs="Times New Roman"/>
          <w:sz w:val="32"/>
          <w:szCs w:val="32"/>
          <w:lang w:val="en-US" w:eastAsia="zh-CN"/>
        </w:rPr>
        <w:t>支出决算为0.84万元，完成预算100%。</w:t>
      </w:r>
    </w:p>
    <w:p>
      <w:pPr>
        <w:bidi w:val="0"/>
        <w:ind w:left="0" w:firstLine="642" w:firstLineChars="200"/>
        <w:rPr>
          <w:rFonts w:hint="eastAsia" w:ascii="仿宋_GB2312" w:eastAsia="仿宋_GB2312" w:cs="Times New Roman"/>
          <w:sz w:val="32"/>
          <w:szCs w:val="32"/>
          <w:lang w:val="en-US" w:eastAsia="zh-CN"/>
        </w:rPr>
      </w:pPr>
      <w:r>
        <w:rPr>
          <w:rFonts w:hint="eastAsia" w:ascii="仿宋_GB2312" w:eastAsia="仿宋_GB2312" w:cs="Times New Roman"/>
          <w:b/>
          <w:bCs/>
          <w:sz w:val="32"/>
          <w:szCs w:val="32"/>
          <w:lang w:val="en-US" w:eastAsia="zh-CN"/>
        </w:rPr>
        <w:t>16.社会保障和就业（类）特困人员救助供养（款）城市特困人员救助供养支出（项）:</w:t>
      </w:r>
      <w:r>
        <w:rPr>
          <w:rStyle w:val="17"/>
          <w:rFonts w:hint="eastAsia" w:ascii="仿宋_GB2312" w:eastAsia="仿宋_GB2312" w:cs="Times New Roman"/>
          <w:bCs/>
          <w:color w:val="000000"/>
          <w:sz w:val="32"/>
          <w:szCs w:val="32"/>
          <w:lang w:val="en-US" w:eastAsia="zh-CN"/>
        </w:rPr>
        <w:t xml:space="preserve"> </w:t>
      </w:r>
      <w:r>
        <w:rPr>
          <w:rFonts w:hint="eastAsia" w:ascii="仿宋_GB2312" w:eastAsia="仿宋_GB2312" w:cs="Times New Roman"/>
          <w:sz w:val="32"/>
          <w:szCs w:val="32"/>
          <w:lang w:val="en-US" w:eastAsia="zh-CN"/>
        </w:rPr>
        <w:t>支出决算为97.90万元，完成预算100%。</w:t>
      </w:r>
    </w:p>
    <w:p>
      <w:pPr>
        <w:bidi w:val="0"/>
        <w:ind w:left="0" w:firstLine="642" w:firstLineChars="200"/>
        <w:rPr>
          <w:rFonts w:hint="eastAsia" w:ascii="仿宋_GB2312" w:eastAsia="仿宋_GB2312" w:cs="Times New Roman"/>
          <w:sz w:val="32"/>
          <w:szCs w:val="32"/>
          <w:lang w:val="en-US" w:eastAsia="zh-CN"/>
        </w:rPr>
      </w:pPr>
      <w:r>
        <w:rPr>
          <w:rFonts w:hint="eastAsia" w:ascii="仿宋_GB2312" w:eastAsia="仿宋_GB2312" w:cs="Times New Roman"/>
          <w:b/>
          <w:bCs/>
          <w:sz w:val="32"/>
          <w:szCs w:val="32"/>
          <w:lang w:val="en-US" w:eastAsia="zh-CN"/>
        </w:rPr>
        <w:t>17.社会保障和就业（类）特困人员救助供养（款）农村特困人员救助供养支出（项）:</w:t>
      </w:r>
      <w:r>
        <w:rPr>
          <w:rStyle w:val="17"/>
          <w:rFonts w:hint="eastAsia" w:ascii="仿宋_GB2312" w:eastAsia="仿宋_GB2312" w:cs="Times New Roman"/>
          <w:bCs/>
          <w:color w:val="000000"/>
          <w:sz w:val="32"/>
          <w:szCs w:val="32"/>
          <w:lang w:val="en-US" w:eastAsia="zh-CN"/>
        </w:rPr>
        <w:t xml:space="preserve"> </w:t>
      </w:r>
      <w:r>
        <w:rPr>
          <w:rFonts w:hint="eastAsia" w:ascii="仿宋_GB2312" w:eastAsia="仿宋_GB2312" w:cs="Times New Roman"/>
          <w:sz w:val="32"/>
          <w:szCs w:val="32"/>
          <w:lang w:val="en-US" w:eastAsia="zh-CN"/>
        </w:rPr>
        <w:t>支出决算为356.52万元，完成预算80.52%。决算数小于预算数的主要原因是资金结转至下一年度继续使用。</w:t>
      </w:r>
    </w:p>
    <w:p>
      <w:pPr>
        <w:bidi w:val="0"/>
        <w:ind w:left="0" w:firstLine="642" w:firstLineChars="200"/>
        <w:rPr>
          <w:rFonts w:hint="eastAsia" w:ascii="仿宋_GB2312" w:eastAsia="仿宋_GB2312" w:cs="Times New Roman"/>
          <w:sz w:val="32"/>
          <w:szCs w:val="32"/>
          <w:lang w:val="en-US" w:eastAsia="zh-CN"/>
        </w:rPr>
      </w:pPr>
      <w:r>
        <w:rPr>
          <w:rFonts w:hint="eastAsia" w:ascii="仿宋_GB2312" w:eastAsia="仿宋_GB2312" w:cs="Times New Roman"/>
          <w:b/>
          <w:bCs/>
          <w:sz w:val="32"/>
          <w:szCs w:val="32"/>
          <w:lang w:val="en-US" w:eastAsia="zh-CN"/>
        </w:rPr>
        <w:t xml:space="preserve">18.社会保障和就业（类）其他生活救助（款）其他城市生活救助（项）: </w:t>
      </w:r>
      <w:r>
        <w:rPr>
          <w:rFonts w:hint="eastAsia" w:ascii="仿宋_GB2312" w:eastAsia="仿宋_GB2312" w:cs="Times New Roman"/>
          <w:sz w:val="32"/>
          <w:szCs w:val="32"/>
          <w:lang w:val="en-US" w:eastAsia="zh-CN"/>
        </w:rPr>
        <w:t>支出决算为131.86万元，完成预算100%。</w:t>
      </w:r>
    </w:p>
    <w:p>
      <w:pPr>
        <w:bidi w:val="0"/>
        <w:ind w:left="0" w:firstLine="642" w:firstLineChars="200"/>
        <w:rPr>
          <w:rFonts w:hint="eastAsia" w:ascii="仿宋_GB2312" w:eastAsia="仿宋_GB2312" w:cs="Times New Roman"/>
          <w:sz w:val="32"/>
          <w:szCs w:val="32"/>
          <w:lang w:val="en-US" w:eastAsia="zh-CN"/>
        </w:rPr>
      </w:pPr>
      <w:r>
        <w:rPr>
          <w:rFonts w:hint="eastAsia" w:ascii="仿宋_GB2312" w:eastAsia="仿宋_GB2312" w:cs="Times New Roman"/>
          <w:b/>
          <w:bCs/>
          <w:sz w:val="32"/>
          <w:szCs w:val="32"/>
          <w:lang w:val="en-US" w:eastAsia="zh-CN"/>
        </w:rPr>
        <w:t xml:space="preserve">19.社会保障和就业（类）其他生活救助（款）其他农村生活救助（项）: </w:t>
      </w:r>
      <w:r>
        <w:rPr>
          <w:rFonts w:hint="eastAsia" w:ascii="仿宋_GB2312" w:eastAsia="仿宋_GB2312" w:cs="Times New Roman"/>
          <w:sz w:val="32"/>
          <w:szCs w:val="32"/>
          <w:lang w:val="en-US" w:eastAsia="zh-CN"/>
        </w:rPr>
        <w:t>支出决算为228.04万元，完成预算97.98%。决算数小于预算数的主要原因是资金结转至下一年度继续使用。</w:t>
      </w:r>
    </w:p>
    <w:p>
      <w:pPr>
        <w:bidi w:val="0"/>
        <w:ind w:left="0" w:firstLine="642" w:firstLineChars="200"/>
        <w:rPr>
          <w:rFonts w:hint="eastAsia" w:ascii="仿宋_GB2312" w:eastAsia="仿宋_GB2312" w:cs="Times New Roman"/>
          <w:sz w:val="32"/>
          <w:szCs w:val="32"/>
          <w:lang w:val="en-US" w:eastAsia="zh-CN"/>
        </w:rPr>
      </w:pPr>
      <w:r>
        <w:rPr>
          <w:rFonts w:hint="eastAsia" w:ascii="仿宋_GB2312" w:eastAsia="仿宋_GB2312" w:cs="Times New Roman"/>
          <w:b/>
          <w:bCs/>
          <w:sz w:val="32"/>
          <w:szCs w:val="32"/>
          <w:lang w:val="en-US" w:eastAsia="zh-CN"/>
        </w:rPr>
        <w:t xml:space="preserve">20.社会保障和就业（类）退役军人管理事务（款）拥军优属（项）: </w:t>
      </w:r>
      <w:r>
        <w:rPr>
          <w:rFonts w:hint="eastAsia" w:ascii="仿宋_GB2312" w:eastAsia="仿宋_GB2312" w:cs="Times New Roman"/>
          <w:sz w:val="32"/>
          <w:szCs w:val="32"/>
          <w:lang w:val="en-US" w:eastAsia="zh-CN"/>
        </w:rPr>
        <w:t>支出决算为3.24万元，完成预算93.1%。决算数小于预算数的主要原因是资金结转至下一年度继续使用。</w:t>
      </w:r>
    </w:p>
    <w:p>
      <w:pPr>
        <w:bidi w:val="0"/>
        <w:ind w:left="0" w:firstLine="642" w:firstLineChars="200"/>
        <w:rPr>
          <w:rStyle w:val="17"/>
          <w:rFonts w:hint="eastAsia" w:ascii="仿宋_GB2312" w:eastAsia="仿宋_GB2312" w:cs="Times New Roman"/>
          <w:bCs/>
          <w:color w:val="000000"/>
          <w:sz w:val="32"/>
          <w:szCs w:val="32"/>
          <w:lang w:val="en-US" w:eastAsia="zh-CN"/>
        </w:rPr>
      </w:pPr>
      <w:r>
        <w:rPr>
          <w:rFonts w:hint="eastAsia" w:ascii="仿宋_GB2312" w:eastAsia="仿宋_GB2312" w:cs="Times New Roman"/>
          <w:b/>
          <w:bCs/>
          <w:sz w:val="32"/>
          <w:szCs w:val="32"/>
          <w:lang w:val="en-US" w:eastAsia="zh-CN"/>
        </w:rPr>
        <w:t xml:space="preserve">21.社会保障和就业（类）其他社会保障和就业支出（款）其他社会保障和就业支出（项）: </w:t>
      </w:r>
      <w:r>
        <w:rPr>
          <w:rFonts w:hint="eastAsia" w:ascii="仿宋_GB2312" w:eastAsia="仿宋_GB2312" w:cs="Times New Roman"/>
          <w:sz w:val="32"/>
          <w:szCs w:val="32"/>
          <w:lang w:val="en-US" w:eastAsia="zh-CN"/>
        </w:rPr>
        <w:t>支出决算为93.97万元，完成预算23.49%。决算数小于预算数的主要原因是县级殡仪馆项目结转资金至下一年度继续使用。</w:t>
      </w:r>
    </w:p>
    <w:p>
      <w:pPr>
        <w:bidi w:val="0"/>
        <w:ind w:left="0" w:firstLine="642" w:firstLineChars="200"/>
        <w:rPr>
          <w:rFonts w:hint="eastAsia" w:ascii="仿宋_GB2312" w:eastAsia="仿宋_GB2312" w:cs="Times New Roman"/>
          <w:sz w:val="32"/>
          <w:szCs w:val="32"/>
          <w:lang w:val="en-US" w:eastAsia="zh-CN"/>
        </w:rPr>
      </w:pPr>
      <w:r>
        <w:rPr>
          <w:rFonts w:hint="eastAsia" w:ascii="仿宋_GB2312" w:eastAsia="仿宋_GB2312" w:cs="Times New Roman"/>
          <w:b/>
          <w:bCs/>
          <w:sz w:val="32"/>
          <w:szCs w:val="32"/>
          <w:lang w:val="en-US" w:eastAsia="zh-CN"/>
        </w:rPr>
        <w:t>22.卫生健康支出（类）行政事业单位医疗（款）行政单位医疗（项）:</w:t>
      </w:r>
      <w:r>
        <w:rPr>
          <w:rFonts w:hint="eastAsia" w:ascii="仿宋_GB2312" w:eastAsia="仿宋_GB2312" w:cs="Times New Roman"/>
          <w:sz w:val="32"/>
          <w:szCs w:val="32"/>
          <w:lang w:val="en-US" w:eastAsia="zh-CN"/>
        </w:rPr>
        <w:t>支出决算为13.70万元，完成预算100%。</w:t>
      </w:r>
    </w:p>
    <w:p>
      <w:pPr>
        <w:bidi w:val="0"/>
        <w:ind w:left="0" w:firstLine="642" w:firstLineChars="200"/>
        <w:rPr>
          <w:rFonts w:hint="eastAsia" w:ascii="仿宋_GB2312" w:eastAsia="仿宋_GB2312" w:cs="Times New Roman"/>
          <w:sz w:val="32"/>
          <w:szCs w:val="32"/>
          <w:lang w:val="en-US" w:eastAsia="zh-CN"/>
        </w:rPr>
      </w:pPr>
      <w:r>
        <w:rPr>
          <w:rFonts w:hint="eastAsia" w:ascii="仿宋_GB2312" w:eastAsia="仿宋_GB2312" w:cs="Times New Roman"/>
          <w:b/>
          <w:bCs/>
          <w:sz w:val="32"/>
          <w:szCs w:val="32"/>
          <w:lang w:val="en-US" w:eastAsia="zh-CN"/>
        </w:rPr>
        <w:t>23.卫生健康支出（类）行政事业单位医疗（款）事业单位医疗（项）:</w:t>
      </w:r>
      <w:r>
        <w:rPr>
          <w:rFonts w:hint="eastAsia" w:ascii="仿宋_GB2312" w:eastAsia="仿宋_GB2312" w:cs="Times New Roman"/>
          <w:sz w:val="32"/>
          <w:szCs w:val="32"/>
          <w:lang w:val="en-US" w:eastAsia="zh-CN"/>
        </w:rPr>
        <w:t>支出决算为12.16万元，完成预算100%。</w:t>
      </w:r>
    </w:p>
    <w:p>
      <w:pPr>
        <w:bidi w:val="0"/>
        <w:ind w:left="0" w:firstLine="642" w:firstLineChars="200"/>
        <w:rPr>
          <w:rFonts w:hint="eastAsia" w:ascii="仿宋_GB2312" w:eastAsia="仿宋_GB2312" w:cs="Times New Roman"/>
          <w:sz w:val="32"/>
          <w:szCs w:val="32"/>
          <w:lang w:val="en-US" w:eastAsia="zh-CN"/>
        </w:rPr>
      </w:pPr>
      <w:r>
        <w:rPr>
          <w:rFonts w:hint="eastAsia" w:ascii="仿宋_GB2312" w:eastAsia="仿宋_GB2312" w:cs="Times New Roman"/>
          <w:b/>
          <w:bCs/>
          <w:sz w:val="32"/>
          <w:szCs w:val="32"/>
          <w:lang w:val="en-US" w:eastAsia="zh-CN"/>
        </w:rPr>
        <w:t>24.农林水支出（类）扶贫（款）其他扶贫支出（项）:</w:t>
      </w:r>
      <w:r>
        <w:rPr>
          <w:rFonts w:hint="eastAsia" w:ascii="仿宋_GB2312" w:eastAsia="仿宋_GB2312" w:cs="Times New Roman"/>
          <w:sz w:val="32"/>
          <w:szCs w:val="32"/>
          <w:lang w:val="en-US" w:eastAsia="zh-CN"/>
        </w:rPr>
        <w:t>支出决算为1.85万元，完成预算100%。</w:t>
      </w:r>
    </w:p>
    <w:p>
      <w:pPr>
        <w:bidi w:val="0"/>
        <w:ind w:left="0" w:firstLine="642" w:firstLineChars="200"/>
        <w:rPr>
          <w:rStyle w:val="17"/>
          <w:rFonts w:hint="eastAsia" w:ascii="仿宋_GB2312" w:eastAsia="仿宋_GB2312" w:cs="Times New Roman"/>
          <w:bCs/>
          <w:color w:val="000000"/>
          <w:sz w:val="32"/>
          <w:szCs w:val="32"/>
          <w:lang w:val="en-US" w:eastAsia="zh-CN"/>
        </w:rPr>
      </w:pPr>
      <w:r>
        <w:rPr>
          <w:rFonts w:hint="eastAsia" w:ascii="仿宋_GB2312" w:eastAsia="仿宋_GB2312" w:cs="Times New Roman"/>
          <w:b/>
          <w:bCs/>
          <w:sz w:val="32"/>
          <w:szCs w:val="32"/>
          <w:lang w:val="en-US" w:eastAsia="zh-CN"/>
        </w:rPr>
        <w:t>25.住房保障支出（类）住房改革支出（款）住房公积金（项）:</w:t>
      </w:r>
      <w:r>
        <w:rPr>
          <w:rFonts w:hint="eastAsia" w:ascii="仿宋_GB2312" w:eastAsia="仿宋_GB2312" w:cs="Times New Roman"/>
          <w:sz w:val="32"/>
          <w:szCs w:val="32"/>
          <w:lang w:val="en-US" w:eastAsia="zh-CN"/>
        </w:rPr>
        <w:t>支出决算为34.22万元，完成预算100%。</w:t>
      </w:r>
    </w:p>
    <w:p>
      <w:pPr>
        <w:bidi w:val="0"/>
        <w:ind w:left="0" w:firstLine="642" w:firstLineChars="200"/>
        <w:rPr>
          <w:rFonts w:hint="eastAsia" w:ascii="仿宋_GB2312" w:eastAsia="仿宋_GB2312" w:cs="Times New Roman"/>
          <w:sz w:val="32"/>
          <w:szCs w:val="32"/>
          <w:lang w:val="en-US" w:eastAsia="zh-CN"/>
        </w:rPr>
      </w:pPr>
      <w:r>
        <w:rPr>
          <w:rFonts w:hint="eastAsia" w:ascii="仿宋_GB2312" w:eastAsia="仿宋_GB2312" w:cs="Times New Roman"/>
          <w:b/>
          <w:bCs/>
          <w:sz w:val="32"/>
          <w:szCs w:val="32"/>
          <w:lang w:val="en-US" w:eastAsia="zh-CN"/>
        </w:rPr>
        <w:t>26.住房保障支出（类）住房改革支出（款）购房补贴（项）:</w:t>
      </w:r>
      <w:r>
        <w:rPr>
          <w:rFonts w:hint="eastAsia" w:ascii="仿宋_GB2312" w:eastAsia="仿宋_GB2312" w:cs="Times New Roman"/>
          <w:sz w:val="32"/>
          <w:szCs w:val="32"/>
          <w:lang w:val="en-US" w:eastAsia="zh-CN"/>
        </w:rPr>
        <w:t>支出决算为1.01万元，完成预算100%。</w:t>
      </w:r>
    </w:p>
    <w:p>
      <w:pPr>
        <w:bidi w:val="0"/>
        <w:ind w:left="0" w:firstLine="642" w:firstLineChars="200"/>
        <w:rPr>
          <w:lang w:val="en-US" w:eastAsia="zh-CN"/>
        </w:rPr>
      </w:pPr>
      <w:r>
        <w:rPr>
          <w:rFonts w:hint="eastAsia" w:ascii="仿宋_GB2312" w:eastAsia="仿宋_GB2312" w:cs="Times New Roman"/>
          <w:b/>
          <w:bCs/>
          <w:sz w:val="32"/>
          <w:szCs w:val="32"/>
          <w:lang w:val="en-US" w:eastAsia="zh-CN"/>
        </w:rPr>
        <w:t>27.灾害防治及应急管理支出（类）自然灾害救灾及恢复重建支出（款）中央自然灾害生活补助（项）:</w:t>
      </w:r>
      <w:r>
        <w:rPr>
          <w:rFonts w:hint="eastAsia" w:ascii="仿宋_GB2312" w:eastAsia="仿宋_GB2312" w:cs="Times New Roman"/>
          <w:sz w:val="32"/>
          <w:szCs w:val="32"/>
          <w:lang w:val="en-US" w:eastAsia="zh-CN"/>
        </w:rPr>
        <w:t>支出决算为18.61万元，完成预算100%。</w:t>
      </w:r>
    </w:p>
    <w:p>
      <w:pPr>
        <w:bidi w:val="0"/>
        <w:ind w:left="0" w:firstLine="642" w:firstLineChars="200"/>
        <w:rPr>
          <w:lang w:val="en-US" w:eastAsia="zh-CN"/>
        </w:rPr>
      </w:pPr>
      <w:r>
        <w:rPr>
          <w:rFonts w:hint="eastAsia" w:ascii="仿宋_GB2312" w:eastAsia="仿宋_GB2312" w:cs="Times New Roman"/>
          <w:b/>
          <w:bCs/>
          <w:sz w:val="32"/>
          <w:szCs w:val="32"/>
          <w:lang w:val="en-US" w:eastAsia="zh-CN"/>
        </w:rPr>
        <w:t>28.其他支出（类）其他支出（款）其他支出（项）:</w:t>
      </w:r>
      <w:r>
        <w:rPr>
          <w:rFonts w:hint="eastAsia" w:ascii="仿宋_GB2312" w:eastAsia="仿宋_GB2312" w:cs="Times New Roman"/>
          <w:sz w:val="32"/>
          <w:szCs w:val="32"/>
          <w:lang w:val="en-US" w:eastAsia="zh-CN"/>
        </w:rPr>
        <w:t>支出决算为1.37万元，完成预算100%。</w:t>
      </w:r>
    </w:p>
    <w:p>
      <w:pPr>
        <w:tabs>
          <w:tab w:val="right" w:pos="8306"/>
        </w:tabs>
        <w:spacing w:line="576" w:lineRule="exact"/>
        <w:ind w:firstLine="640"/>
        <w:outlineLvl w:val="1"/>
        <w:rPr>
          <w:rStyle w:val="21"/>
        </w:rPr>
      </w:pPr>
      <w:bookmarkStart w:id="108" w:name="_Toc3219"/>
      <w:bookmarkStart w:id="109" w:name="_Toc12394"/>
      <w:bookmarkStart w:id="110" w:name="_Toc8289"/>
      <w:bookmarkStart w:id="111" w:name="_Toc15396608"/>
      <w:bookmarkStart w:id="112" w:name="_Toc15377214"/>
      <w:r>
        <w:rPr>
          <w:rFonts w:hint="eastAsia" w:ascii="黑体" w:eastAsia="黑体"/>
          <w:color w:val="000000"/>
          <w:sz w:val="32"/>
          <w:szCs w:val="32"/>
        </w:rPr>
        <w:t>六</w:t>
      </w:r>
      <w:r>
        <w:rPr>
          <w:rFonts w:hint="eastAsia" w:ascii="黑体" w:eastAsia="黑体"/>
          <w:b/>
          <w:color w:val="000000"/>
          <w:sz w:val="32"/>
          <w:szCs w:val="32"/>
        </w:rPr>
        <w:t>、一</w:t>
      </w:r>
      <w:r>
        <w:rPr>
          <w:rStyle w:val="21"/>
          <w:rFonts w:hint="eastAsia" w:ascii="黑体" w:eastAsia="黑体"/>
          <w:b w:val="0"/>
        </w:rPr>
        <w:t>般公共预算财政拨款基本支出决算情况说明</w:t>
      </w:r>
      <w:bookmarkEnd w:id="108"/>
      <w:bookmarkEnd w:id="109"/>
      <w:bookmarkEnd w:id="110"/>
      <w:bookmarkEnd w:id="111"/>
      <w:bookmarkEnd w:id="112"/>
      <w:r>
        <w:rPr>
          <w:rStyle w:val="21"/>
          <w:rFonts w:ascii="黑体" w:eastAsia="黑体"/>
          <w:b w:val="0"/>
        </w:rPr>
        <w:tab/>
      </w:r>
    </w:p>
    <w:p>
      <w:pPr>
        <w:spacing w:line="576" w:lineRule="exact"/>
        <w:ind w:firstLine="645"/>
        <w:rPr>
          <w:rFonts w:ascii="仿宋_GB2312" w:eastAsia="仿宋_GB2312"/>
          <w:color w:val="000000"/>
          <w:sz w:val="32"/>
          <w:szCs w:val="32"/>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年一般公共预算财政拨款基本支出</w:t>
      </w:r>
      <w:r>
        <w:rPr>
          <w:rFonts w:hint="eastAsia" w:ascii="仿宋_GB2312" w:eastAsia="仿宋_GB2312"/>
          <w:color w:val="000000"/>
          <w:sz w:val="32"/>
          <w:szCs w:val="32"/>
          <w:lang w:val="en-US" w:eastAsia="zh-CN"/>
        </w:rPr>
        <w:t>525.30</w:t>
      </w:r>
      <w:r>
        <w:rPr>
          <w:rFonts w:hint="eastAsia" w:ascii="仿宋_GB2312" w:eastAsia="仿宋_GB2312"/>
          <w:color w:val="000000"/>
          <w:sz w:val="32"/>
          <w:szCs w:val="32"/>
        </w:rPr>
        <w:t>万元，其中：</w:t>
      </w:r>
    </w:p>
    <w:p>
      <w:pPr>
        <w:spacing w:line="576" w:lineRule="exact"/>
        <w:ind w:firstLine="645"/>
        <w:rPr>
          <w:rFonts w:hint="eastAsia" w:ascii="仿宋_GB2312" w:eastAsia="仿宋_GB2312"/>
          <w:color w:val="000000"/>
          <w:sz w:val="32"/>
          <w:szCs w:val="32"/>
          <w:lang w:eastAsia="zh-CN"/>
        </w:rPr>
      </w:pPr>
      <w:r>
        <w:rPr>
          <w:rFonts w:hint="eastAsia" w:ascii="仿宋_GB2312" w:eastAsia="仿宋_GB2312"/>
          <w:color w:val="000000"/>
          <w:sz w:val="32"/>
          <w:szCs w:val="32"/>
        </w:rPr>
        <w:t>人员经费</w:t>
      </w:r>
      <w:r>
        <w:rPr>
          <w:rFonts w:hint="eastAsia" w:ascii="仿宋_GB2312" w:eastAsia="仿宋_GB2312"/>
          <w:color w:val="000000"/>
          <w:sz w:val="32"/>
          <w:szCs w:val="32"/>
          <w:lang w:val="en-US" w:eastAsia="zh-CN"/>
        </w:rPr>
        <w:t>499.47</w:t>
      </w:r>
      <w:r>
        <w:rPr>
          <w:rFonts w:hint="eastAsia" w:ascii="仿宋_GB2312" w:eastAsia="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576" w:lineRule="exact"/>
        <w:ind w:firstLine="645"/>
        <w:rPr>
          <w:rFonts w:ascii="仿宋_GB2312" w:eastAsia="仿宋_GB2312"/>
          <w:color w:val="000000"/>
          <w:sz w:val="32"/>
          <w:szCs w:val="32"/>
        </w:rPr>
      </w:pPr>
      <w:r>
        <w:rPr>
          <w:rFonts w:hint="eastAsia" w:ascii="仿宋_GB2312" w:eastAsia="仿宋_GB2312"/>
          <w:color w:val="000000"/>
          <w:sz w:val="32"/>
          <w:szCs w:val="32"/>
        </w:rPr>
        <w:t>日常公用经费</w:t>
      </w:r>
      <w:r>
        <w:rPr>
          <w:rFonts w:hint="eastAsia" w:ascii="仿宋_GB2312" w:eastAsia="仿宋_GB2312"/>
          <w:color w:val="000000"/>
          <w:sz w:val="32"/>
          <w:szCs w:val="32"/>
          <w:lang w:val="en-US" w:eastAsia="zh-CN"/>
        </w:rPr>
        <w:t>25.83</w:t>
      </w:r>
      <w:r>
        <w:rPr>
          <w:rFonts w:hint="eastAsia" w:ascii="仿宋_GB2312" w:eastAsia="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bookmarkStart w:id="113" w:name="_Toc15396609"/>
      <w:bookmarkStart w:id="114" w:name="_Toc15377215"/>
    </w:p>
    <w:p>
      <w:pPr>
        <w:pStyle w:val="5"/>
        <w:bidi w:val="0"/>
        <w:rPr>
          <w:rFonts w:hint="eastAsia" w:ascii="黑体" w:eastAsia="黑体" w:cs="Times New Roman"/>
          <w:b w:val="0"/>
          <w:bCs w:val="0"/>
          <w:color w:val="000000"/>
          <w:kern w:val="2"/>
          <w:sz w:val="32"/>
          <w:szCs w:val="32"/>
          <w:lang w:val="en-US" w:eastAsia="zh-CN" w:bidi="ar-SA"/>
        </w:rPr>
      </w:pPr>
      <w:bookmarkStart w:id="115" w:name="_Toc460"/>
      <w:r>
        <w:rPr>
          <w:rFonts w:hint="eastAsia" w:ascii="黑体" w:eastAsia="黑体" w:cs="Times New Roman"/>
          <w:b w:val="0"/>
          <w:bCs w:val="0"/>
          <w:color w:val="000000"/>
          <w:kern w:val="2"/>
          <w:sz w:val="32"/>
          <w:szCs w:val="32"/>
          <w:lang w:val="en-US" w:eastAsia="zh-CN" w:bidi="ar-SA"/>
        </w:rPr>
        <w:t>七、“三公”经费财政拨款支出决算情况说明</w:t>
      </w:r>
      <w:bookmarkEnd w:id="113"/>
      <w:bookmarkEnd w:id="114"/>
      <w:bookmarkEnd w:id="115"/>
      <w:bookmarkStart w:id="116" w:name="_Toc15377216"/>
    </w:p>
    <w:p>
      <w:pPr>
        <w:spacing w:line="576" w:lineRule="exact"/>
        <w:ind w:firstLine="645"/>
        <w:rPr>
          <w:rFonts w:ascii="楷体_GB2312" w:eastAsia="楷体_GB2312"/>
          <w:color w:val="000000"/>
          <w:sz w:val="32"/>
          <w:szCs w:val="32"/>
        </w:rPr>
      </w:pPr>
      <w:r>
        <w:rPr>
          <w:rFonts w:hint="eastAsia" w:ascii="楷体_GB2312" w:eastAsia="楷体_GB2312"/>
          <w:b/>
          <w:color w:val="000000"/>
          <w:sz w:val="32"/>
          <w:szCs w:val="32"/>
        </w:rPr>
        <w:t>（一）“三公”经费财政拨款支出决算总体情况说明</w:t>
      </w:r>
      <w:bookmarkEnd w:id="116"/>
    </w:p>
    <w:p>
      <w:pPr>
        <w:spacing w:line="576" w:lineRule="exact"/>
        <w:ind w:firstLine="645"/>
        <w:rPr>
          <w:rFonts w:ascii="仿宋_GB2312" w:eastAsia="仿宋_GB2312"/>
          <w:color w:val="000000"/>
          <w:sz w:val="32"/>
          <w:szCs w:val="32"/>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年“三公”经费财政拨款支出决算为</w:t>
      </w:r>
      <w:r>
        <w:rPr>
          <w:rFonts w:hint="eastAsia" w:ascii="仿宋_GB2312" w:eastAsia="仿宋_GB2312"/>
          <w:color w:val="000000"/>
          <w:sz w:val="32"/>
          <w:szCs w:val="32"/>
          <w:lang w:val="en-US" w:eastAsia="zh-CN"/>
        </w:rPr>
        <w:t>4.17</w:t>
      </w:r>
      <w:r>
        <w:rPr>
          <w:rFonts w:hint="eastAsia" w:ascii="仿宋_GB2312" w:eastAsia="仿宋_GB2312"/>
          <w:color w:val="000000"/>
          <w:sz w:val="32"/>
          <w:szCs w:val="32"/>
        </w:rPr>
        <w:t>万元，完成预算100%。</w:t>
      </w:r>
      <w:bookmarkStart w:id="117" w:name="_Toc15377217"/>
    </w:p>
    <w:p>
      <w:pPr>
        <w:spacing w:line="576" w:lineRule="exact"/>
        <w:ind w:firstLine="640"/>
        <w:rPr>
          <w:rFonts w:hint="eastAsia" w:ascii="楷体_GB2312" w:eastAsia="楷体_GB2312"/>
          <w:b/>
          <w:color w:val="000000"/>
          <w:sz w:val="32"/>
          <w:szCs w:val="32"/>
        </w:rPr>
      </w:pPr>
      <w:r>
        <w:rPr>
          <w:rFonts w:hint="eastAsia" w:ascii="楷体_GB2312" w:eastAsia="楷体_GB2312"/>
          <w:b/>
          <w:color w:val="000000"/>
          <w:sz w:val="32"/>
          <w:szCs w:val="32"/>
        </w:rPr>
        <w:t>（二）“三公”经费财政拨款支出决算具体情况说明</w:t>
      </w:r>
      <w:bookmarkEnd w:id="117"/>
    </w:p>
    <w:p>
      <w:pPr>
        <w:spacing w:line="576" w:lineRule="exact"/>
        <w:ind w:firstLine="645"/>
        <w:rPr>
          <w:rFonts w:ascii="仿宋_GB2312" w:eastAsia="仿宋_GB2312"/>
          <w:color w:val="00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年“三公”经费财政拨款支出决算中，因公出国（境）费支出决算0万元；公务用车购置及运行维护费支出决算</w:t>
      </w:r>
      <w:r>
        <w:rPr>
          <w:rFonts w:hint="eastAsia" w:ascii="仿宋_GB2312" w:eastAsia="仿宋_GB2312"/>
          <w:color w:val="000000"/>
          <w:sz w:val="32"/>
          <w:szCs w:val="32"/>
          <w:lang w:val="en-US" w:eastAsia="zh-CN"/>
        </w:rPr>
        <w:t>4.17</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万元。具体情况如下：</w:t>
      </w:r>
    </w:p>
    <w:p>
      <w:pPr>
        <w:spacing w:line="576" w:lineRule="exact"/>
        <w:rPr>
          <w:rFonts w:ascii="仿宋_GB2312" w:eastAsia="仿宋_GB2312"/>
          <w:color w:val="000000"/>
          <w:sz w:val="32"/>
          <w:szCs w:val="32"/>
        </w:rPr>
      </w:pPr>
      <w:r>
        <w:rPr>
          <w:rFonts w:hint="eastAsia" w:ascii="仿宋_GB2312" w:eastAsia="仿宋_GB2312"/>
        </w:rPr>
        <w:drawing>
          <wp:anchor distT="0" distB="0" distL="114300" distR="114300" simplePos="0" relativeHeight="251659264" behindDoc="0" locked="0" layoutInCell="1" allowOverlap="1">
            <wp:simplePos x="0" y="0"/>
            <wp:positionH relativeFrom="column">
              <wp:posOffset>514985</wp:posOffset>
            </wp:positionH>
            <wp:positionV relativeFrom="paragraph">
              <wp:posOffset>812165</wp:posOffset>
            </wp:positionV>
            <wp:extent cx="3447415" cy="2171065"/>
            <wp:effectExtent l="0" t="0" r="0" b="0"/>
            <wp:wrapTopAndBottom/>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ascii="仿宋_GB2312" w:eastAsia="仿宋_GB2312"/>
          <w:color w:val="000000"/>
          <w:sz w:val="32"/>
          <w:szCs w:val="32"/>
        </w:rPr>
        <w:t>（图7：“三公”经费财政拨款支出结构）（单位:万元）</w:t>
      </w:r>
    </w:p>
    <w:p>
      <w:pPr>
        <w:spacing w:line="576" w:lineRule="exact"/>
        <w:rPr>
          <w:rFonts w:ascii="仿宋" w:eastAsia="仿宋"/>
          <w:color w:val="000000"/>
          <w:sz w:val="32"/>
          <w:szCs w:val="32"/>
        </w:rPr>
      </w:pPr>
    </w:p>
    <w:p>
      <w:pPr>
        <w:tabs>
          <w:tab w:val="left" w:pos="312"/>
        </w:tabs>
        <w:spacing w:line="576" w:lineRule="exact"/>
        <w:ind w:firstLine="642" w:firstLineChars="200"/>
        <w:rPr>
          <w:rFonts w:ascii="仿宋_GB2312" w:eastAsia="仿宋_GB2312"/>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17"/>
          <w:rFonts w:hint="eastAsia" w:ascii="仿宋" w:eastAsia="仿宋"/>
          <w:b w:val="0"/>
          <w:bCs/>
          <w:color w:val="000000"/>
          <w:sz w:val="32"/>
          <w:szCs w:val="32"/>
        </w:rPr>
        <w:t>。</w:t>
      </w:r>
      <w:r>
        <w:rPr>
          <w:rFonts w:hint="eastAsia" w:ascii="仿宋_GB2312" w:eastAsia="仿宋_GB2312"/>
          <w:color w:val="000000"/>
          <w:sz w:val="32"/>
          <w:szCs w:val="32"/>
        </w:rPr>
        <w:t>全年安排因公出国（境）团组0次，出国（境）0人。</w:t>
      </w:r>
    </w:p>
    <w:p>
      <w:pPr>
        <w:spacing w:line="600" w:lineRule="exact"/>
        <w:ind w:firstLine="642" w:firstLineChars="200"/>
        <w:rPr>
          <w:rFonts w:ascii="仿宋_GB2312" w:eastAsia="仿宋_GB2312"/>
          <w:color w:val="000000"/>
          <w:sz w:val="32"/>
          <w:szCs w:val="32"/>
        </w:rPr>
      </w:pPr>
      <w:r>
        <w:rPr>
          <w:rFonts w:hint="eastAsia" w:ascii="仿宋_GB2312" w:eastAsia="仿宋_GB2312"/>
          <w:b/>
          <w:color w:val="000000"/>
          <w:sz w:val="32"/>
          <w:szCs w:val="32"/>
        </w:rPr>
        <w:t>2.公务用车购置及运行维护费支出</w:t>
      </w:r>
      <w:r>
        <w:rPr>
          <w:rFonts w:hint="eastAsia" w:ascii="仿宋_GB2312" w:eastAsia="仿宋_GB2312"/>
          <w:color w:val="000000"/>
          <w:sz w:val="32"/>
          <w:szCs w:val="32"/>
          <w:lang w:val="en-US" w:eastAsia="zh-CN"/>
        </w:rPr>
        <w:t>4.17</w:t>
      </w:r>
      <w:r>
        <w:rPr>
          <w:rFonts w:hint="eastAsia" w:ascii="仿宋_GB2312" w:eastAsia="仿宋_GB2312"/>
          <w:color w:val="000000"/>
          <w:sz w:val="32"/>
          <w:szCs w:val="32"/>
        </w:rPr>
        <w:t>万元,</w:t>
      </w:r>
      <w:r>
        <w:rPr>
          <w:rStyle w:val="17"/>
          <w:rFonts w:hint="eastAsia" w:ascii="仿宋" w:eastAsia="仿宋"/>
          <w:b w:val="0"/>
          <w:bCs/>
          <w:color w:val="000000"/>
          <w:sz w:val="32"/>
          <w:szCs w:val="32"/>
        </w:rPr>
        <w:t>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rPr>
        <w:t>0.</w:t>
      </w:r>
      <w:r>
        <w:rPr>
          <w:rFonts w:hint="eastAsia" w:ascii="仿宋_GB2312" w:eastAsia="仿宋_GB2312"/>
          <w:color w:val="000000"/>
          <w:sz w:val="32"/>
          <w:szCs w:val="32"/>
          <w:lang w:val="en-US" w:eastAsia="zh-CN"/>
        </w:rPr>
        <w:t>39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增长</w:t>
      </w:r>
      <w:r>
        <w:rPr>
          <w:rFonts w:hint="eastAsia" w:ascii="仿宋_GB2312" w:eastAsia="仿宋_GB2312"/>
          <w:color w:val="000000"/>
          <w:sz w:val="32"/>
          <w:szCs w:val="32"/>
          <w:lang w:val="en-US" w:eastAsia="zh-CN"/>
        </w:rPr>
        <w:t>10.32</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下乡核实民政对象次数增多</w:t>
      </w: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0万元。全年按规定更新购置公务用车0辆，金额0</w:t>
      </w:r>
      <w:r>
        <w:rPr>
          <w:rFonts w:ascii="仿宋_GB2312" w:eastAsia="仿宋_GB2312"/>
          <w:color w:val="000000"/>
          <w:sz w:val="32"/>
          <w:szCs w:val="32"/>
        </w:rPr>
        <w:t>元。</w:t>
      </w: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月底，单位共有公务用车</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辆，其中：主要领导干部用车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辆、机要通信用车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辆、应急保障用车</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辆、执法执勤用车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w:t>
      </w:r>
    </w:p>
    <w:p>
      <w:pPr>
        <w:tabs>
          <w:tab w:val="left" w:pos="312"/>
        </w:tabs>
        <w:spacing w:line="576" w:lineRule="exact"/>
        <w:ind w:firstLine="642" w:firstLineChars="20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4.17</w:t>
      </w:r>
      <w:r>
        <w:rPr>
          <w:rFonts w:hint="eastAsia" w:ascii="仿宋_GB2312" w:eastAsia="仿宋_GB2312"/>
          <w:color w:val="000000"/>
          <w:sz w:val="32"/>
          <w:szCs w:val="32"/>
        </w:rPr>
        <w:t>万元。主要用于</w:t>
      </w:r>
      <w:r>
        <w:rPr>
          <w:rFonts w:hint="eastAsia" w:ascii="仿宋_GB2312" w:eastAsia="仿宋_GB2312"/>
          <w:sz w:val="30"/>
          <w:szCs w:val="30"/>
        </w:rPr>
        <w:t>乡</w:t>
      </w:r>
      <w:r>
        <w:rPr>
          <w:rFonts w:hint="eastAsia" w:ascii="仿宋_GB2312" w:eastAsia="仿宋_GB2312"/>
          <w:color w:val="000000"/>
          <w:sz w:val="32"/>
          <w:szCs w:val="32"/>
        </w:rPr>
        <w:t>镇走访、核实、慰问民政对象等所需的公务用车燃料费、维修费、过路过桥费、保险费等支出。</w:t>
      </w:r>
    </w:p>
    <w:p>
      <w:pPr>
        <w:tabs>
          <w:tab w:val="left" w:pos="312"/>
        </w:tabs>
        <w:spacing w:line="576" w:lineRule="exact"/>
        <w:ind w:firstLine="642" w:firstLineChars="20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7"/>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0.04</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。主要原因是厉行节俭开支。</w:t>
      </w:r>
    </w:p>
    <w:p>
      <w:pPr>
        <w:tabs>
          <w:tab w:val="left" w:pos="312"/>
        </w:tabs>
        <w:spacing w:line="576" w:lineRule="exact"/>
        <w:ind w:firstLine="642" w:firstLineChars="200"/>
        <w:rPr>
          <w:rFonts w:ascii="仿宋_GB2312" w:eastAsia="仿宋_GB2312"/>
          <w:color w:val="000000"/>
          <w:sz w:val="32"/>
          <w:szCs w:val="32"/>
          <w:highlight w:val="none"/>
        </w:rPr>
      </w:pPr>
      <w:r>
        <w:rPr>
          <w:rFonts w:hint="eastAsia" w:ascii="仿宋_GB2312" w:eastAsia="仿宋_GB2312"/>
          <w:b/>
          <w:color w:val="000000"/>
          <w:sz w:val="32"/>
          <w:szCs w:val="32"/>
        </w:rPr>
        <w:t>国内公务接待支出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highlight w:val="none"/>
        </w:rPr>
        <w:t>。</w:t>
      </w:r>
    </w:p>
    <w:p>
      <w:pPr>
        <w:spacing w:line="576" w:lineRule="exact"/>
        <w:ind w:firstLine="640"/>
        <w:outlineLvl w:val="1"/>
        <w:rPr>
          <w:rStyle w:val="21"/>
          <w:rFonts w:ascii="黑体" w:eastAsia="黑体"/>
        </w:rPr>
      </w:pPr>
      <w:bookmarkStart w:id="118" w:name="_Toc25296"/>
      <w:bookmarkStart w:id="119" w:name="_Toc2770"/>
      <w:bookmarkStart w:id="120" w:name="_Toc15377218"/>
      <w:bookmarkStart w:id="121" w:name="_Toc31204"/>
      <w:bookmarkStart w:id="122" w:name="_Toc15396610"/>
      <w:r>
        <w:rPr>
          <w:rFonts w:hint="eastAsia" w:ascii="黑体" w:eastAsia="黑体"/>
          <w:color w:val="000000"/>
          <w:sz w:val="32"/>
          <w:szCs w:val="32"/>
        </w:rPr>
        <w:t>八、</w:t>
      </w:r>
      <w:r>
        <w:rPr>
          <w:rStyle w:val="21"/>
          <w:rFonts w:hint="eastAsia" w:ascii="黑体" w:eastAsia="黑体"/>
          <w:b w:val="0"/>
        </w:rPr>
        <w:t>政府性基金预算支出决算情况说明</w:t>
      </w:r>
      <w:bookmarkEnd w:id="118"/>
      <w:bookmarkEnd w:id="119"/>
      <w:bookmarkEnd w:id="120"/>
      <w:bookmarkEnd w:id="121"/>
      <w:bookmarkEnd w:id="122"/>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71</w:t>
      </w:r>
      <w:r>
        <w:rPr>
          <w:rFonts w:hint="eastAsia" w:ascii="仿宋_GB2312" w:eastAsia="仿宋_GB2312"/>
          <w:color w:val="000000"/>
          <w:sz w:val="32"/>
          <w:szCs w:val="32"/>
        </w:rPr>
        <w:t>万元。</w:t>
      </w:r>
    </w:p>
    <w:p>
      <w:pPr>
        <w:numPr>
          <w:ilvl w:val="0"/>
          <w:numId w:val="3"/>
        </w:numPr>
        <w:spacing w:line="576" w:lineRule="exact"/>
        <w:ind w:left="0" w:firstLine="640"/>
        <w:outlineLvl w:val="1"/>
        <w:rPr>
          <w:rStyle w:val="21"/>
          <w:rFonts w:ascii="黑体" w:eastAsia="黑体"/>
          <w:b w:val="0"/>
        </w:rPr>
      </w:pPr>
      <w:bookmarkStart w:id="123" w:name="_Toc31023"/>
      <w:bookmarkStart w:id="124" w:name="_Toc15396611"/>
      <w:bookmarkStart w:id="125" w:name="_Toc15377219"/>
      <w:bookmarkStart w:id="126" w:name="_Toc11604"/>
      <w:bookmarkStart w:id="127" w:name="_Toc8575"/>
      <w:r>
        <w:rPr>
          <w:rStyle w:val="21"/>
          <w:rFonts w:hint="eastAsia" w:ascii="黑体" w:eastAsia="黑体"/>
          <w:b w:val="0"/>
        </w:rPr>
        <w:t>国有资本经营预算支出决算情况说明</w:t>
      </w:r>
      <w:bookmarkEnd w:id="123"/>
      <w:bookmarkEnd w:id="124"/>
      <w:bookmarkEnd w:id="125"/>
      <w:bookmarkEnd w:id="126"/>
      <w:bookmarkEnd w:id="127"/>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年国有资本经营预算拨款支出0万元。</w:t>
      </w:r>
      <w:bookmarkStart w:id="128" w:name="_Toc15377221"/>
      <w:bookmarkStart w:id="129" w:name="_Toc15396612"/>
    </w:p>
    <w:p>
      <w:pPr>
        <w:spacing w:line="576" w:lineRule="exact"/>
        <w:ind w:firstLine="640"/>
        <w:rPr>
          <w:rStyle w:val="21"/>
          <w:rFonts w:ascii="仿宋_GB2312" w:eastAsia="仿宋_GB2312" w:cs="Times New Roman"/>
          <w:b w:val="0"/>
          <w:bCs w:val="0"/>
          <w:color w:val="000000"/>
        </w:rPr>
      </w:pPr>
      <w:bookmarkStart w:id="130" w:name="_Toc20223"/>
      <w:r>
        <w:rPr>
          <w:rStyle w:val="21"/>
          <w:rFonts w:hint="eastAsia" w:ascii="黑体" w:eastAsia="黑体"/>
          <w:b w:val="0"/>
        </w:rPr>
        <w:t>十、其他重要事项的情况说明</w:t>
      </w:r>
      <w:bookmarkEnd w:id="128"/>
      <w:bookmarkEnd w:id="129"/>
      <w:bookmarkStart w:id="131" w:name="_Toc15377222"/>
    </w:p>
    <w:bookmarkEnd w:id="130"/>
    <w:p>
      <w:pPr>
        <w:autoSpaceDE w:val="0"/>
        <w:autoSpaceDN w:val="0"/>
        <w:adjustRightInd w:val="0"/>
        <w:spacing w:line="576" w:lineRule="exact"/>
        <w:ind w:firstLine="642" w:firstLineChars="200"/>
        <w:jc w:val="left"/>
        <w:outlineLvl w:val="2"/>
        <w:rPr>
          <w:rFonts w:hint="eastAsia" w:ascii="楷体_GB2312" w:eastAsia="楷体_GB2312" w:cs="Times New Roman"/>
          <w:b/>
          <w:color w:val="000000"/>
          <w:sz w:val="32"/>
          <w:szCs w:val="32"/>
        </w:rPr>
      </w:pPr>
      <w:bookmarkStart w:id="132" w:name="_Toc29512"/>
      <w:r>
        <w:rPr>
          <w:rFonts w:hint="eastAsia" w:ascii="楷体_GB2312" w:eastAsia="楷体_GB2312" w:cs="Times New Roman"/>
          <w:b/>
          <w:color w:val="000000"/>
          <w:sz w:val="32"/>
          <w:szCs w:val="32"/>
        </w:rPr>
        <w:t>（一）机关运行经费支出情况</w:t>
      </w:r>
      <w:bookmarkEnd w:id="131"/>
      <w:bookmarkEnd w:id="132"/>
    </w:p>
    <w:p>
      <w:pPr>
        <w:spacing w:line="576" w:lineRule="exact"/>
        <w:ind w:firstLine="640"/>
        <w:rPr>
          <w:rFonts w:hint="eastAsia" w:ascii="仿宋_GB2312" w:eastAsia="仿宋_GB2312"/>
          <w:color w:val="000000"/>
          <w:sz w:val="32"/>
          <w:szCs w:val="32"/>
          <w:lang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年，民政局机关运行经费支出</w:t>
      </w:r>
      <w:r>
        <w:rPr>
          <w:rFonts w:hint="eastAsia" w:ascii="仿宋_GB2312" w:eastAsia="仿宋_GB2312"/>
          <w:color w:val="000000"/>
          <w:sz w:val="32"/>
          <w:szCs w:val="32"/>
          <w:lang w:val="en-US" w:eastAsia="zh-CN"/>
        </w:rPr>
        <w:t>25.83</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0.99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3.71</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人员减少。</w:t>
      </w:r>
    </w:p>
    <w:p>
      <w:pPr>
        <w:autoSpaceDE w:val="0"/>
        <w:autoSpaceDN w:val="0"/>
        <w:adjustRightInd w:val="0"/>
        <w:spacing w:line="576" w:lineRule="exact"/>
        <w:ind w:firstLine="642" w:firstLineChars="200"/>
        <w:jc w:val="left"/>
        <w:outlineLvl w:val="2"/>
        <w:rPr>
          <w:rFonts w:ascii="楷体_GB2312" w:eastAsia="楷体_GB2312"/>
          <w:b/>
          <w:color w:val="000000"/>
          <w:sz w:val="32"/>
          <w:szCs w:val="32"/>
        </w:rPr>
      </w:pPr>
      <w:bookmarkStart w:id="133" w:name="_Toc15344"/>
      <w:bookmarkStart w:id="134" w:name="_Toc15377223"/>
      <w:bookmarkStart w:id="135" w:name="_Toc25267"/>
      <w:bookmarkStart w:id="136" w:name="_Toc24524"/>
      <w:r>
        <w:rPr>
          <w:rFonts w:hint="eastAsia" w:ascii="楷体_GB2312" w:eastAsia="楷体_GB2312"/>
          <w:b/>
          <w:color w:val="000000"/>
          <w:sz w:val="32"/>
          <w:szCs w:val="32"/>
        </w:rPr>
        <w:t>（二）政府采购支出情况</w:t>
      </w:r>
      <w:bookmarkEnd w:id="133"/>
      <w:bookmarkEnd w:id="134"/>
      <w:bookmarkEnd w:id="135"/>
      <w:bookmarkEnd w:id="136"/>
    </w:p>
    <w:p>
      <w:pPr>
        <w:spacing w:line="576" w:lineRule="exact"/>
        <w:ind w:firstLine="640" w:firstLineChars="200"/>
        <w:rPr>
          <w:rFonts w:ascii="仿宋" w:hAnsi="仿宋" w:eastAsia="仿宋_GB2312"/>
          <w:b/>
          <w:color w:val="FF0000"/>
          <w:sz w:val="32"/>
          <w:szCs w:val="32"/>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年，民政局无政府采购支出。</w:t>
      </w:r>
    </w:p>
    <w:p>
      <w:pPr>
        <w:autoSpaceDE w:val="0"/>
        <w:autoSpaceDN w:val="0"/>
        <w:adjustRightInd w:val="0"/>
        <w:spacing w:line="576" w:lineRule="exact"/>
        <w:ind w:firstLine="642" w:firstLineChars="200"/>
        <w:jc w:val="left"/>
        <w:outlineLvl w:val="2"/>
        <w:rPr>
          <w:rFonts w:ascii="楷体_GB2312" w:eastAsia="楷体_GB2312"/>
          <w:b/>
          <w:color w:val="000000"/>
          <w:sz w:val="32"/>
          <w:szCs w:val="32"/>
        </w:rPr>
      </w:pPr>
      <w:bookmarkStart w:id="137" w:name="_Toc15377224"/>
      <w:bookmarkStart w:id="138" w:name="_Toc14785"/>
      <w:bookmarkStart w:id="139" w:name="_Toc25918"/>
      <w:bookmarkStart w:id="140" w:name="_Toc3424"/>
      <w:r>
        <w:rPr>
          <w:rFonts w:hint="eastAsia" w:ascii="楷体_GB2312" w:eastAsia="楷体_GB2312"/>
          <w:b/>
          <w:color w:val="000000"/>
          <w:sz w:val="32"/>
          <w:szCs w:val="32"/>
        </w:rPr>
        <w:t>（三）国有资产占有使用情况</w:t>
      </w:r>
      <w:bookmarkEnd w:id="137"/>
      <w:bookmarkEnd w:id="138"/>
      <w:bookmarkEnd w:id="139"/>
      <w:bookmarkEnd w:id="140"/>
    </w:p>
    <w:p>
      <w:pPr>
        <w:autoSpaceDE w:val="0"/>
        <w:autoSpaceDN w:val="0"/>
        <w:adjustRightInd w:val="0"/>
        <w:spacing w:line="576" w:lineRule="exact"/>
        <w:ind w:firstLine="640" w:firstLineChars="200"/>
        <w:jc w:val="left"/>
        <w:rPr>
          <w:rFonts w:asci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日，民政局共有车辆4辆，其中：主要领导干部用车0辆、机要通信用车0辆、应急保障用车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应急保障用车</w:t>
      </w:r>
      <w:r>
        <w:rPr>
          <w:rFonts w:hint="eastAsia" w:ascii="仿宋_GB2312" w:eastAsia="仿宋_GB2312"/>
          <w:color w:val="000000"/>
          <w:sz w:val="32"/>
          <w:szCs w:val="32"/>
        </w:rPr>
        <w:t>主要是用于开展民政工作。单价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576" w:lineRule="exact"/>
        <w:ind w:firstLine="642" w:firstLineChars="200"/>
        <w:jc w:val="left"/>
        <w:outlineLvl w:val="2"/>
        <w:rPr>
          <w:rFonts w:ascii="楷体_GB2312" w:eastAsia="楷体_GB2312"/>
          <w:b/>
          <w:color w:val="000000"/>
          <w:sz w:val="32"/>
          <w:szCs w:val="32"/>
        </w:rPr>
      </w:pPr>
      <w:bookmarkStart w:id="141" w:name="_Toc27974"/>
      <w:bookmarkStart w:id="142" w:name="_Toc29444"/>
      <w:bookmarkStart w:id="143" w:name="_Toc13512"/>
      <w:r>
        <w:rPr>
          <w:rFonts w:hint="eastAsia" w:ascii="楷体_GB2312" w:eastAsia="楷体_GB2312"/>
          <w:b/>
          <w:color w:val="000000"/>
          <w:sz w:val="32"/>
          <w:szCs w:val="32"/>
        </w:rPr>
        <w:t>（四）预算绩效管理情况</w:t>
      </w:r>
      <w:bookmarkEnd w:id="141"/>
      <w:bookmarkEnd w:id="142"/>
      <w:bookmarkEnd w:id="143"/>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根据预算绩效管理要求，本部门（单位）在年初预算编制阶段，组织对</w:t>
      </w:r>
      <w:r>
        <w:rPr>
          <w:rFonts w:hint="eastAsia" w:ascii="仿宋_GB2312" w:eastAsia="仿宋_GB2312" w:cs="仿宋_GB2312"/>
          <w:sz w:val="32"/>
          <w:szCs w:val="32"/>
          <w:lang w:val="en-US" w:eastAsia="zh-CN"/>
        </w:rPr>
        <w:t>18</w:t>
      </w:r>
      <w:r>
        <w:rPr>
          <w:rFonts w:hint="eastAsia" w:ascii="仿宋_GB2312" w:eastAsia="仿宋_GB2312" w:cs="仿宋_GB2312"/>
          <w:sz w:val="32"/>
          <w:szCs w:val="32"/>
        </w:rPr>
        <w:t>项目开展了预算事前绩效评估，</w:t>
      </w:r>
      <w:r>
        <w:rPr>
          <w:rFonts w:hint="eastAsia" w:ascii="仿宋_GB2312" w:eastAsia="仿宋_GB2312" w:cs="仿宋_GB2312"/>
          <w:sz w:val="32"/>
          <w:szCs w:val="32"/>
          <w:lang w:val="en-US" w:eastAsia="zh-CN"/>
        </w:rPr>
        <w:t>18</w:t>
      </w:r>
      <w:r>
        <w:rPr>
          <w:rFonts w:hint="eastAsia" w:ascii="仿宋_GB2312" w:eastAsia="仿宋_GB2312" w:cs="仿宋_GB2312"/>
          <w:sz w:val="32"/>
          <w:szCs w:val="32"/>
        </w:rPr>
        <w:t>个项目编制了绩效目标，预算执行过程中，选取5个项目开展绩效监控，年终执行完毕后，对5个项目开展了绩效目标完成情况自评。</w:t>
      </w:r>
    </w:p>
    <w:p>
      <w:pPr>
        <w:widowControl/>
        <w:spacing w:line="576"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本部门按要求对</w:t>
      </w:r>
      <w:r>
        <w:rPr>
          <w:rFonts w:hint="eastAsia" w:ascii="仿宋_GB2312" w:eastAsia="仿宋_GB2312" w:cs="仿宋_GB2312"/>
          <w:sz w:val="32"/>
          <w:szCs w:val="32"/>
          <w:lang w:val="en-US" w:eastAsia="zh-CN"/>
        </w:rPr>
        <w:t>2020</w:t>
      </w:r>
      <w:r>
        <w:rPr>
          <w:rFonts w:hint="eastAsia" w:ascii="仿宋_GB2312" w:eastAsia="仿宋_GB2312" w:cs="仿宋_GB2312"/>
          <w:sz w:val="32"/>
          <w:szCs w:val="32"/>
        </w:rPr>
        <w:t>年部门整体支出开展绩效自评，</w:t>
      </w:r>
      <w:r>
        <w:rPr>
          <w:rFonts w:hint="eastAsia" w:ascii="仿宋_GB2312" w:eastAsia="仿宋_GB2312" w:cs="仿宋"/>
          <w:color w:val="000000"/>
          <w:kern w:val="0"/>
          <w:sz w:val="32"/>
          <w:szCs w:val="32"/>
        </w:rPr>
        <w:t>自</w:t>
      </w:r>
      <w:r>
        <w:rPr>
          <w:rFonts w:hint="eastAsia" w:ascii="仿宋_GB2312" w:eastAsia="仿宋_GB2312" w:cs="仿宋_GB2312"/>
          <w:sz w:val="32"/>
          <w:szCs w:val="32"/>
        </w:rPr>
        <w:t xml:space="preserve">查自评结果良好，全年基本支出保证了部门的正常运行和日常工作的正常开展，项目支出保障了重点工作的开展，绩效目标得到较好实现，绩效管理水平不断提高，绩效指标体系逐渐 丰富和完善。 </w:t>
      </w:r>
    </w:p>
    <w:p>
      <w:pPr>
        <w:widowControl/>
        <w:spacing w:line="576" w:lineRule="exact"/>
        <w:ind w:firstLine="642" w:firstLineChars="200"/>
        <w:jc w:val="left"/>
        <w:rPr>
          <w:rFonts w:ascii="仿宋_GB2312" w:eastAsia="仿宋_GB2312" w:cs="楷体_GB2312"/>
          <w:b/>
          <w:sz w:val="32"/>
          <w:szCs w:val="32"/>
        </w:rPr>
      </w:pPr>
      <w:r>
        <w:rPr>
          <w:rFonts w:hint="eastAsia" w:ascii="仿宋_GB2312" w:eastAsia="仿宋_GB2312" w:cs="楷体_GB2312"/>
          <w:b/>
          <w:sz w:val="32"/>
          <w:szCs w:val="32"/>
        </w:rPr>
        <w:t>1.项目绩效目标完成情况</w:t>
      </w:r>
    </w:p>
    <w:p>
      <w:pPr>
        <w:widowControl/>
        <w:spacing w:line="576"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本部门在20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年度部门决算中反映“残疾人生活和护理补贴</w:t>
      </w:r>
      <w:r>
        <w:rPr>
          <w:rFonts w:ascii="仿宋_GB2312" w:eastAsia="仿宋_GB2312" w:cs="仿宋_GB2312"/>
          <w:sz w:val="32"/>
          <w:szCs w:val="32"/>
        </w:rPr>
        <w:t>”</w:t>
      </w:r>
      <w:r>
        <w:rPr>
          <w:rFonts w:hint="eastAsia" w:ascii="仿宋_GB2312" w:eastAsia="仿宋_GB2312" w:cs="仿宋_GB2312"/>
          <w:sz w:val="32"/>
          <w:szCs w:val="32"/>
        </w:rPr>
        <w:t>“高龄津贴”“特困人员救助供养”等5个项目绩效目标实际完成情况。</w:t>
      </w:r>
    </w:p>
    <w:p>
      <w:pPr>
        <w:widowControl/>
        <w:spacing w:line="576"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（1）残疾人生活和护理补贴项目绩效目标完成情况综述。项目全年预算数</w:t>
      </w:r>
      <w:r>
        <w:rPr>
          <w:rFonts w:hint="eastAsia" w:ascii="仿宋_GB2312" w:eastAsia="仿宋_GB2312" w:cs="仿宋_GB2312"/>
          <w:sz w:val="32"/>
          <w:szCs w:val="32"/>
          <w:lang w:val="en-US" w:eastAsia="zh-CN"/>
        </w:rPr>
        <w:t>119.66</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118.07</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98.67</w:t>
      </w:r>
      <w:r>
        <w:rPr>
          <w:rFonts w:hint="eastAsia" w:ascii="仿宋_GB2312" w:eastAsia="仿宋_GB2312" w:cs="仿宋_GB2312"/>
          <w:sz w:val="32"/>
          <w:szCs w:val="32"/>
        </w:rPr>
        <w:t>%。通过项目实施，提高了困难残疾人的基本生活，解决了残疾人特殊生活困难和长期照护困难，保障残疾人生存发展权益。</w:t>
      </w:r>
    </w:p>
    <w:p>
      <w:pPr>
        <w:widowControl/>
        <w:spacing w:line="576"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（2）高龄津贴项目绩效目标完成情况综述。项目全年预算数</w:t>
      </w:r>
      <w:r>
        <w:rPr>
          <w:rFonts w:hint="eastAsia" w:ascii="仿宋_GB2312" w:eastAsia="仿宋_GB2312" w:cs="仿宋_GB2312"/>
          <w:sz w:val="32"/>
          <w:szCs w:val="32"/>
          <w:lang w:val="en-US" w:eastAsia="zh-CN"/>
        </w:rPr>
        <w:t>259.66</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259.66</w:t>
      </w:r>
      <w:r>
        <w:rPr>
          <w:rFonts w:hint="eastAsia" w:ascii="仿宋_GB2312" w:eastAsia="仿宋_GB2312" w:cs="仿宋_GB2312"/>
          <w:sz w:val="32"/>
          <w:szCs w:val="32"/>
        </w:rPr>
        <w:t>万元，完成预算的100%。通过项目实施，保障了高龄老人老有所养、老有所依、老有所乐，提高了高龄老人生活</w:t>
      </w:r>
      <w:r>
        <w:rPr>
          <w:rFonts w:hint="eastAsia" w:ascii="仿宋_GB2312" w:eastAsia="仿宋_GB2312"/>
          <w:bCs/>
          <w:sz w:val="32"/>
          <w:szCs w:val="32"/>
        </w:rPr>
        <w:t>水平。</w:t>
      </w:r>
    </w:p>
    <w:p>
      <w:pPr>
        <w:widowControl/>
        <w:spacing w:line="576"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（3）特困人员救助供养项目绩效目标完成情况综述。项目全年预算数</w:t>
      </w:r>
      <w:r>
        <w:rPr>
          <w:rFonts w:hint="eastAsia" w:ascii="仿宋_GB2312" w:eastAsia="仿宋_GB2312" w:cs="仿宋_GB2312"/>
          <w:sz w:val="32"/>
          <w:szCs w:val="32"/>
          <w:lang w:val="en-US" w:eastAsia="zh-CN"/>
        </w:rPr>
        <w:t>540.65</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454.42</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84.05</w:t>
      </w:r>
      <w:r>
        <w:rPr>
          <w:rFonts w:hint="eastAsia" w:ascii="仿宋_GB2312" w:eastAsia="仿宋_GB2312" w:cs="仿宋_GB2312"/>
          <w:sz w:val="32"/>
          <w:szCs w:val="32"/>
        </w:rPr>
        <w:t>%。通过项目实施，切实保障特困人员基本生活。</w:t>
      </w:r>
    </w:p>
    <w:p>
      <w:pPr>
        <w:widowControl/>
        <w:spacing w:line="576"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（4）最低生活保障金项目绩效目标完成情况综述。项目全年预算数</w:t>
      </w:r>
      <w:r>
        <w:rPr>
          <w:rFonts w:hint="eastAsia" w:ascii="仿宋_GB2312" w:eastAsia="仿宋_GB2312" w:cs="仿宋_GB2312"/>
          <w:sz w:val="32"/>
          <w:szCs w:val="32"/>
          <w:lang w:val="en-US" w:eastAsia="zh-CN"/>
        </w:rPr>
        <w:t>3561.89</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3423.12</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96.10</w:t>
      </w:r>
      <w:r>
        <w:rPr>
          <w:rFonts w:hint="eastAsia" w:ascii="仿宋_GB2312" w:eastAsia="仿宋_GB2312" w:cs="仿宋_GB2312"/>
          <w:sz w:val="32"/>
          <w:szCs w:val="32"/>
        </w:rPr>
        <w:t>%。通过项目实施，切实保障城乡低保人群基本生活，让城乡低保人员感受到国家的温暖，促进社会和谐进步。</w:t>
      </w:r>
    </w:p>
    <w:p>
      <w:pPr>
        <w:widowControl/>
        <w:spacing w:line="576" w:lineRule="exact"/>
        <w:ind w:firstLine="640" w:firstLineChars="200"/>
        <w:jc w:val="left"/>
        <w:rPr>
          <w:rFonts w:hint="eastAsia" w:ascii="仿宋_GB2312" w:eastAsia="仿宋_GB2312" w:cs="仿宋_GB2312"/>
          <w:sz w:val="32"/>
          <w:szCs w:val="32"/>
        </w:rPr>
      </w:pPr>
      <w:r>
        <w:rPr>
          <w:rFonts w:hint="eastAsia" w:ascii="仿宋_GB2312" w:eastAsia="仿宋_GB2312" w:cs="仿宋_GB2312"/>
          <w:sz w:val="32"/>
          <w:szCs w:val="32"/>
        </w:rPr>
        <w:t>（5）临时救助生活补助项目绩效目标完成情况综述。项目全年预算数</w:t>
      </w:r>
      <w:r>
        <w:rPr>
          <w:rFonts w:hint="eastAsia" w:ascii="仿宋_GB2312" w:eastAsia="仿宋_GB2312" w:cs="仿宋_GB2312"/>
          <w:sz w:val="32"/>
          <w:szCs w:val="32"/>
          <w:lang w:val="en-US" w:eastAsia="zh-CN"/>
        </w:rPr>
        <w:t>1015.81</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1013.84</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99.81</w:t>
      </w:r>
      <w:r>
        <w:rPr>
          <w:rFonts w:hint="eastAsia" w:ascii="仿宋_GB2312" w:eastAsia="仿宋_GB2312" w:cs="仿宋_GB2312"/>
          <w:sz w:val="32"/>
          <w:szCs w:val="32"/>
        </w:rPr>
        <w:t>%。通过项目实施，切实保障困难群众临时性生活困难。</w:t>
      </w:r>
    </w:p>
    <w:p>
      <w:pPr>
        <w:pStyle w:val="2"/>
      </w:pPr>
    </w:p>
    <w:tbl>
      <w:tblPr>
        <w:tblStyle w:val="15"/>
        <w:tblpPr w:leftFromText="180" w:rightFromText="180" w:vertAnchor="text" w:horzAnchor="page" w:tblpX="907"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pStyle w:val="26"/>
              <w:widowControl/>
              <w:ind w:left="0" w:firstLine="0" w:firstLineChars="0"/>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6"/>
              <w:widowControl/>
              <w:ind w:left="4170" w:leftChars="1823" w:hanging="342" w:hangingChars="95"/>
              <w:textAlignment w:val="center"/>
              <w:rPr>
                <w:rFonts w:ascii="宋体" w:cs="宋体"/>
                <w:color w:val="000000"/>
                <w:sz w:val="36"/>
                <w:szCs w:val="36"/>
              </w:rPr>
            </w:pPr>
            <w:r>
              <w:rPr>
                <w:rFonts w:hint="eastAsia" w:ascii="宋体" w:cs="宋体"/>
                <w:color w:val="000000"/>
                <w:kern w:val="0"/>
                <w:sz w:val="36"/>
                <w:szCs w:val="36"/>
              </w:rPr>
              <w:t>(</w:t>
            </w:r>
            <w:r>
              <w:rPr>
                <w:rFonts w:hint="eastAsia" w:ascii="宋体" w:cs="宋体"/>
                <w:color w:val="000000"/>
                <w:kern w:val="0"/>
                <w:sz w:val="36"/>
                <w:szCs w:val="36"/>
                <w:lang w:val="en-US" w:eastAsia="zh-CN"/>
              </w:rPr>
              <w:t>2020</w:t>
            </w:r>
            <w:r>
              <w:rPr>
                <w:rFonts w:hint="eastAsia" w:ascii="宋体" w:cs="宋体"/>
                <w:color w:val="000000"/>
                <w:kern w:val="0"/>
                <w:sz w:val="36"/>
                <w:szCs w:val="36"/>
              </w:rPr>
              <w:t xml:space="preserve">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残疾人生活和护理补贴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119.66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118.07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119.66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118.07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0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kern w:val="0"/>
                <w:sz w:val="18"/>
                <w:szCs w:val="18"/>
              </w:rPr>
              <w:t>保障困难残疾人生活补贴和重度残疾人护理补贴支出</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kern w:val="0"/>
                <w:sz w:val="18"/>
                <w:szCs w:val="18"/>
              </w:rPr>
              <w:t>保障了</w:t>
            </w:r>
            <w:r>
              <w:rPr>
                <w:rFonts w:hint="eastAsia" w:ascii="宋体" w:cs="宋体"/>
                <w:kern w:val="0"/>
                <w:sz w:val="18"/>
                <w:szCs w:val="18"/>
                <w:lang w:val="en-US" w:eastAsia="zh-CN"/>
              </w:rPr>
              <w:t>2020</w:t>
            </w:r>
            <w:r>
              <w:rPr>
                <w:rFonts w:hint="eastAsia" w:ascii="宋体" w:cs="宋体"/>
                <w:kern w:val="0"/>
                <w:sz w:val="18"/>
                <w:szCs w:val="18"/>
              </w:rPr>
              <w:t>年困难残疾人生活补贴和重度残疾人护理补贴支出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享受困难残疾人生活和护理补贴人数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2020</w:t>
            </w:r>
            <w:r>
              <w:rPr>
                <w:rFonts w:hint="eastAsia" w:ascii="宋体" w:cs="宋体"/>
                <w:color w:val="000000"/>
                <w:sz w:val="24"/>
              </w:rPr>
              <w:t>年共发放补贴</w:t>
            </w:r>
            <w:r>
              <w:rPr>
                <w:rFonts w:hint="eastAsia" w:ascii="宋体" w:cs="宋体"/>
                <w:color w:val="000000"/>
                <w:sz w:val="24"/>
                <w:lang w:val="en-US" w:eastAsia="zh-CN"/>
              </w:rPr>
              <w:t>17305</w:t>
            </w:r>
            <w:r>
              <w:rPr>
                <w:rFonts w:hint="eastAsia" w:ascii="宋体" w:cs="宋体"/>
                <w:color w:val="000000"/>
                <w:sz w:val="24"/>
              </w:rPr>
              <w:t>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困难残疾人生活补贴标准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不低于</w:t>
            </w:r>
            <w:r>
              <w:rPr>
                <w:rFonts w:hint="eastAsia" w:ascii="宋体" w:cs="宋体"/>
                <w:color w:val="000000"/>
                <w:sz w:val="24"/>
                <w:lang w:val="en-US" w:eastAsia="zh-CN"/>
              </w:rPr>
              <w:t>100</w:t>
            </w:r>
            <w:r>
              <w:rPr>
                <w:rFonts w:hint="eastAsia" w:ascii="宋体" w:cs="宋体"/>
                <w:color w:val="000000"/>
                <w:sz w:val="24"/>
              </w:rPr>
              <w:t>元/月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每人每月</w:t>
            </w:r>
            <w:r>
              <w:rPr>
                <w:rFonts w:hint="eastAsia" w:ascii="宋体" w:cs="宋体"/>
                <w:color w:val="000000"/>
                <w:sz w:val="24"/>
                <w:lang w:val="en-US" w:eastAsia="zh-CN"/>
              </w:rPr>
              <w:t>100</w:t>
            </w:r>
            <w:r>
              <w:rPr>
                <w:rFonts w:hint="eastAsia" w:ascii="宋体" w:cs="宋体"/>
                <w:color w:val="000000"/>
                <w:sz w:val="24"/>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一级重度残疾人护理补贴标准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不低于100元/月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每人每月100元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二级重度残疾人护理补贴标准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不低于70元/月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每人每月70元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资金拨付及时率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每月按实际拨付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支付率100%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受助人员基本生活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保障基本生活</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有效保障其基本生活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受助困难残疾人和护理补贴人员满意度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760" w:firstLineChars="400"/>
              <w:jc w:val="left"/>
            </w:pPr>
            <w:r>
              <w:rPr>
                <w:rFonts w:ascii="TimesNewRomanPSMT" w:hAnsi="TimesNewRomanPSMT" w:eastAsia="TimesNewRomanPSMT" w:cs="TimesNewRomanPSMT"/>
                <w:color w:val="000000"/>
                <w:kern w:val="0"/>
                <w:sz w:val="19"/>
                <w:szCs w:val="19"/>
              </w:rPr>
              <w:t>&gt;9</w:t>
            </w:r>
            <w:r>
              <w:rPr>
                <w:rFonts w:hint="eastAsia" w:ascii="TimesNewRomanPSMT" w:hAnsi="TimesNewRomanPSMT" w:eastAsia="TimesNewRomanPSMT" w:cs="TimesNewRomanPSMT"/>
                <w:color w:val="000000"/>
                <w:kern w:val="0"/>
                <w:sz w:val="19"/>
                <w:szCs w:val="19"/>
              </w:rPr>
              <w:t>5</w:t>
            </w:r>
            <w:r>
              <w:rPr>
                <w:rFonts w:ascii="TimesNewRomanPSMT" w:hAnsi="TimesNewRomanPSMT" w:eastAsia="TimesNewRomanPSMT" w:cs="TimesNewRomanPSMT"/>
                <w:color w:val="000000"/>
                <w:kern w:val="0"/>
                <w:sz w:val="19"/>
                <w:szCs w:val="19"/>
              </w:rPr>
              <w:t>%</w:t>
            </w:r>
          </w:p>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380" w:firstLineChars="200"/>
              <w:jc w:val="left"/>
            </w:pPr>
            <w:r>
              <w:rPr>
                <w:rFonts w:ascii="TimesNewRomanPSMT" w:hAnsi="TimesNewRomanPSMT" w:eastAsia="TimesNewRomanPSMT" w:cs="TimesNewRomanPSMT"/>
                <w:color w:val="000000"/>
                <w:kern w:val="0"/>
                <w:sz w:val="19"/>
                <w:szCs w:val="19"/>
              </w:rPr>
              <w:t>&gt;9</w:t>
            </w:r>
            <w:r>
              <w:rPr>
                <w:rFonts w:hint="eastAsia" w:ascii="TimesNewRomanPSMT" w:hAnsi="TimesNewRomanPSMT" w:eastAsia="TimesNewRomanPSMT" w:cs="TimesNewRomanPSMT"/>
                <w:color w:val="000000"/>
                <w:kern w:val="0"/>
                <w:sz w:val="19"/>
                <w:szCs w:val="19"/>
              </w:rPr>
              <w:t>5</w:t>
            </w:r>
            <w:r>
              <w:rPr>
                <w:rFonts w:ascii="TimesNewRomanPSMT" w:hAnsi="TimesNewRomanPSMT" w:eastAsia="TimesNewRomanPSMT" w:cs="TimesNewRomanPSMT"/>
                <w:color w:val="000000"/>
                <w:kern w:val="0"/>
                <w:sz w:val="19"/>
                <w:szCs w:val="19"/>
              </w:rPr>
              <w:t>%</w:t>
            </w:r>
          </w:p>
          <w:p>
            <w:pPr>
              <w:widowControl/>
              <w:textAlignment w:val="center"/>
              <w:rPr>
                <w:rFonts w:ascii="宋体" w:cs="宋体"/>
                <w:color w:val="000000"/>
                <w:sz w:val="24"/>
              </w:rPr>
            </w:pPr>
          </w:p>
        </w:tc>
      </w:tr>
    </w:tbl>
    <w:tbl>
      <w:tblPr>
        <w:tblStyle w:val="15"/>
        <w:tblpPr w:leftFromText="180" w:rightFromText="180" w:vertAnchor="text" w:horzAnchor="page" w:tblpX="922" w:tblpY="404"/>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widowControl/>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hint="eastAsia" w:ascii="黑体" w:eastAsia="黑体" w:cs="宋体"/>
                <w:bCs/>
                <w:color w:val="000000"/>
                <w:kern w:val="0"/>
                <w:sz w:val="36"/>
                <w:szCs w:val="36"/>
              </w:rPr>
            </w:pPr>
          </w:p>
          <w:p>
            <w:pPr>
              <w:pStyle w:val="26"/>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6"/>
              <w:widowControl/>
              <w:ind w:left="4171" w:leftChars="1652" w:hanging="702" w:hangingChars="195"/>
              <w:textAlignment w:val="center"/>
              <w:rPr>
                <w:rFonts w:ascii="宋体" w:cs="宋体"/>
                <w:color w:val="000000"/>
                <w:sz w:val="36"/>
                <w:szCs w:val="36"/>
              </w:rPr>
            </w:pPr>
            <w:r>
              <w:rPr>
                <w:rFonts w:hint="eastAsia" w:ascii="宋体" w:cs="宋体"/>
                <w:color w:val="000000"/>
                <w:kern w:val="0"/>
                <w:sz w:val="36"/>
                <w:szCs w:val="36"/>
              </w:rPr>
              <w:t>(20</w:t>
            </w:r>
            <w:r>
              <w:rPr>
                <w:rFonts w:hint="eastAsia" w:ascii="宋体" w:cs="宋体"/>
                <w:color w:val="000000"/>
                <w:kern w:val="0"/>
                <w:sz w:val="36"/>
                <w:szCs w:val="36"/>
                <w:lang w:val="en-US" w:eastAsia="zh-CN"/>
              </w:rPr>
              <w:t>20</w:t>
            </w:r>
            <w:r>
              <w:rPr>
                <w:rFonts w:hint="eastAsia" w:ascii="宋体" w:cs="宋体"/>
                <w:color w:val="000000"/>
                <w:kern w:val="0"/>
                <w:sz w:val="36"/>
                <w:szCs w:val="36"/>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高龄津贴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185.239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185.239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185.239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185.239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kern w:val="0"/>
                <w:sz w:val="18"/>
                <w:szCs w:val="18"/>
              </w:rPr>
              <w:t>保障高龄老人生活补贴支出</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kern w:val="0"/>
                <w:sz w:val="18"/>
                <w:szCs w:val="18"/>
              </w:rPr>
              <w:t>保障了20</w:t>
            </w:r>
            <w:r>
              <w:rPr>
                <w:rFonts w:hint="eastAsia" w:ascii="宋体" w:cs="宋体"/>
                <w:kern w:val="0"/>
                <w:sz w:val="18"/>
                <w:szCs w:val="18"/>
                <w:lang w:val="en-US" w:eastAsia="zh-CN"/>
              </w:rPr>
              <w:t>20</w:t>
            </w:r>
            <w:r>
              <w:rPr>
                <w:rFonts w:hint="eastAsia" w:ascii="宋体" w:cs="宋体"/>
                <w:kern w:val="0"/>
                <w:sz w:val="18"/>
                <w:szCs w:val="18"/>
              </w:rPr>
              <w:t>年80-100岁以上高龄老人敬老金支出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享受高龄津贴人数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w:t>
            </w:r>
            <w:r>
              <w:rPr>
                <w:rFonts w:hint="eastAsia" w:ascii="宋体" w:cs="宋体"/>
                <w:color w:val="000000"/>
                <w:sz w:val="24"/>
                <w:lang w:val="en-US" w:eastAsia="zh-CN"/>
              </w:rPr>
              <w:t>20</w:t>
            </w:r>
            <w:r>
              <w:rPr>
                <w:rFonts w:hint="eastAsia" w:ascii="宋体" w:cs="宋体"/>
                <w:color w:val="000000"/>
                <w:sz w:val="24"/>
              </w:rPr>
              <w:t>年共发放补贴</w:t>
            </w:r>
            <w:r>
              <w:rPr>
                <w:rFonts w:hint="eastAsia" w:ascii="宋体" w:cs="宋体"/>
                <w:color w:val="000000"/>
                <w:sz w:val="24"/>
                <w:lang w:val="en-US" w:eastAsia="zh-CN"/>
              </w:rPr>
              <w:t>6990</w:t>
            </w:r>
            <w:r>
              <w:rPr>
                <w:rFonts w:hint="eastAsia" w:ascii="宋体" w:cs="宋体"/>
                <w:color w:val="000000"/>
                <w:sz w:val="24"/>
              </w:rPr>
              <w:t>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80-89岁补贴标准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不低于80元/月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每人每月80元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90-99岁补贴标准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不低于150元/月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每人每月150元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百岁以上补贴标准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不低于400元/月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每人每月400元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auto" w:sz="4" w:space="0"/>
              <w:right w:val="single" w:color="000000" w:sz="4" w:space="0"/>
            </w:tcBorders>
            <w:vAlign w:val="center"/>
          </w:tcPr>
          <w:p/>
        </w:tc>
        <w:tc>
          <w:tcPr>
            <w:tcW w:w="1367"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资金拨付及时率</w:t>
            </w:r>
          </w:p>
        </w:tc>
        <w:tc>
          <w:tcPr>
            <w:tcW w:w="2394"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每季度按实际拨付</w:t>
            </w:r>
          </w:p>
        </w:tc>
        <w:tc>
          <w:tcPr>
            <w:tcW w:w="2392"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支付率100%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tcBorders>
              <w:top w:val="single" w:color="auto" w:sz="4" w:space="0"/>
              <w:left w:val="single" w:color="auto" w:sz="4" w:space="0"/>
              <w:bottom w:val="single" w:color="auto" w:sz="4" w:space="0"/>
              <w:right w:val="single" w:color="auto" w:sz="4" w:space="0"/>
            </w:tcBorders>
          </w:tcPr>
          <w:p>
            <w:pPr>
              <w:widowControl/>
              <w:jc w:val="left"/>
              <w:rPr>
                <w:rFonts w:ascii="宋体" w:cs="宋体"/>
                <w:color w:val="000000"/>
                <w:sz w:val="24"/>
              </w:rPr>
            </w:pPr>
          </w:p>
        </w:tc>
        <w:tc>
          <w:tcPr>
            <w:tcW w:w="136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cs="宋体"/>
                <w:color w:val="000000"/>
                <w:sz w:val="24"/>
              </w:rPr>
            </w:pPr>
            <w:r>
              <w:rPr>
                <w:rFonts w:hint="eastAsia" w:ascii="宋体" w:cs="宋体"/>
                <w:color w:val="000000"/>
                <w:sz w:val="24"/>
              </w:rPr>
              <w:t>受助人员基本生活</w:t>
            </w:r>
          </w:p>
        </w:tc>
        <w:tc>
          <w:tcPr>
            <w:tcW w:w="239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cs="宋体"/>
                <w:color w:val="000000"/>
                <w:sz w:val="24"/>
              </w:rPr>
            </w:pPr>
            <w:r>
              <w:rPr>
                <w:rFonts w:hint="eastAsia" w:ascii="宋体" w:cs="宋体"/>
                <w:color w:val="000000"/>
                <w:sz w:val="24"/>
              </w:rPr>
              <w:t>保障基本生活</w:t>
            </w:r>
          </w:p>
        </w:tc>
        <w:tc>
          <w:tcPr>
            <w:tcW w:w="239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cs="宋体"/>
                <w:color w:val="000000"/>
                <w:sz w:val="24"/>
              </w:rPr>
            </w:pPr>
            <w:r>
              <w:rPr>
                <w:rFonts w:hint="eastAsia" w:ascii="宋体" w:cs="宋体"/>
                <w:color w:val="000000"/>
                <w:sz w:val="24"/>
              </w:rPr>
              <w:t>有效保障其基本生活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tcBorders>
              <w:top w:val="single" w:color="auto" w:sz="4" w:space="0"/>
              <w:left w:val="single" w:color="auto" w:sz="4" w:space="0"/>
              <w:bottom w:val="single" w:color="auto" w:sz="4" w:space="0"/>
              <w:right w:val="single" w:color="auto" w:sz="4" w:space="0"/>
            </w:tcBorders>
          </w:tcPr>
          <w:p>
            <w:pPr>
              <w:widowControl/>
              <w:jc w:val="left"/>
              <w:rPr>
                <w:rFonts w:ascii="宋体" w:cs="宋体"/>
                <w:color w:val="000000"/>
                <w:sz w:val="24"/>
              </w:rPr>
            </w:pPr>
          </w:p>
        </w:tc>
        <w:tc>
          <w:tcPr>
            <w:tcW w:w="136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cs="宋体"/>
                <w:color w:val="000000"/>
                <w:sz w:val="24"/>
              </w:rPr>
            </w:pPr>
            <w:r>
              <w:rPr>
                <w:rFonts w:hint="eastAsia" w:ascii="宋体" w:cs="宋体"/>
                <w:color w:val="000000"/>
                <w:sz w:val="24"/>
              </w:rPr>
              <w:t>受助高龄补贴人员满意度</w:t>
            </w:r>
          </w:p>
        </w:tc>
        <w:tc>
          <w:tcPr>
            <w:tcW w:w="2394" w:type="dxa"/>
            <w:tcBorders>
              <w:top w:val="single" w:color="auto" w:sz="4" w:space="0"/>
              <w:left w:val="single" w:color="auto" w:sz="4" w:space="0"/>
              <w:bottom w:val="single" w:color="auto" w:sz="4" w:space="0"/>
              <w:right w:val="single" w:color="auto" w:sz="4" w:space="0"/>
            </w:tcBorders>
            <w:vAlign w:val="center"/>
          </w:tcPr>
          <w:p>
            <w:pPr>
              <w:widowControl/>
              <w:ind w:firstLine="760" w:firstLineChars="400"/>
              <w:jc w:val="left"/>
            </w:pPr>
            <w:r>
              <w:rPr>
                <w:rFonts w:ascii="TimesNewRomanPSMT" w:hAnsi="TimesNewRomanPSMT" w:eastAsia="TimesNewRomanPSMT" w:cs="TimesNewRomanPSMT"/>
                <w:color w:val="000000"/>
                <w:kern w:val="0"/>
                <w:sz w:val="19"/>
                <w:szCs w:val="19"/>
              </w:rPr>
              <w:t>&gt;9</w:t>
            </w:r>
            <w:r>
              <w:rPr>
                <w:rFonts w:hint="eastAsia" w:ascii="TimesNewRomanPSMT" w:hAnsi="TimesNewRomanPSMT" w:eastAsia="TimesNewRomanPSMT" w:cs="TimesNewRomanPSMT"/>
                <w:color w:val="000000"/>
                <w:kern w:val="0"/>
                <w:sz w:val="19"/>
                <w:szCs w:val="19"/>
              </w:rPr>
              <w:t>5</w:t>
            </w:r>
            <w:r>
              <w:rPr>
                <w:rFonts w:ascii="TimesNewRomanPSMT" w:hAnsi="TimesNewRomanPSMT" w:eastAsia="TimesNewRomanPSMT" w:cs="TimesNewRomanPSMT"/>
                <w:color w:val="000000"/>
                <w:kern w:val="0"/>
                <w:sz w:val="19"/>
                <w:szCs w:val="19"/>
              </w:rPr>
              <w:t>%</w:t>
            </w:r>
          </w:p>
          <w:p>
            <w:pPr>
              <w:widowControl/>
              <w:jc w:val="center"/>
              <w:textAlignment w:val="center"/>
              <w:rPr>
                <w:rFonts w:ascii="宋体" w:cs="宋体"/>
                <w:color w:val="000000"/>
                <w:sz w:val="24"/>
              </w:rPr>
            </w:pPr>
          </w:p>
        </w:tc>
        <w:tc>
          <w:tcPr>
            <w:tcW w:w="2392" w:type="dxa"/>
            <w:tcBorders>
              <w:top w:val="single" w:color="auto" w:sz="4" w:space="0"/>
              <w:left w:val="single" w:color="auto" w:sz="4" w:space="0"/>
              <w:bottom w:val="single" w:color="auto" w:sz="4" w:space="0"/>
              <w:right w:val="single" w:color="auto" w:sz="4" w:space="0"/>
            </w:tcBorders>
            <w:vAlign w:val="center"/>
          </w:tcPr>
          <w:p>
            <w:pPr>
              <w:widowControl/>
              <w:ind w:firstLine="380" w:firstLineChars="200"/>
              <w:jc w:val="left"/>
            </w:pPr>
            <w:r>
              <w:rPr>
                <w:rFonts w:ascii="TimesNewRomanPSMT" w:hAnsi="TimesNewRomanPSMT" w:eastAsia="TimesNewRomanPSMT" w:cs="TimesNewRomanPSMT"/>
                <w:color w:val="000000"/>
                <w:kern w:val="0"/>
                <w:sz w:val="19"/>
                <w:szCs w:val="19"/>
              </w:rPr>
              <w:t>&gt;9</w:t>
            </w:r>
            <w:r>
              <w:rPr>
                <w:rFonts w:hint="eastAsia" w:ascii="TimesNewRomanPSMT" w:hAnsi="TimesNewRomanPSMT" w:eastAsia="TimesNewRomanPSMT" w:cs="TimesNewRomanPSMT"/>
                <w:color w:val="000000"/>
                <w:kern w:val="0"/>
                <w:sz w:val="19"/>
                <w:szCs w:val="19"/>
              </w:rPr>
              <w:t>5</w:t>
            </w:r>
            <w:r>
              <w:rPr>
                <w:rFonts w:ascii="TimesNewRomanPSMT" w:hAnsi="TimesNewRomanPSMT" w:eastAsia="TimesNewRomanPSMT" w:cs="TimesNewRomanPSMT"/>
                <w:color w:val="000000"/>
                <w:kern w:val="0"/>
                <w:sz w:val="19"/>
                <w:szCs w:val="19"/>
              </w:rPr>
              <w:t>%</w:t>
            </w:r>
          </w:p>
          <w:p>
            <w:pPr>
              <w:widowControl/>
              <w:textAlignment w:val="center"/>
              <w:rPr>
                <w:rFonts w:ascii="宋体" w:cs="宋体"/>
                <w:color w:val="000000"/>
                <w:sz w:val="24"/>
              </w:rPr>
            </w:pPr>
          </w:p>
        </w:tc>
      </w:tr>
    </w:tbl>
    <w:tbl>
      <w:tblPr>
        <w:tblStyle w:val="15"/>
        <w:tblpPr w:leftFromText="180" w:rightFromText="180" w:vertAnchor="text" w:horzAnchor="page" w:tblpX="877" w:tblpY="170"/>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6"/>
              <w:widowControl/>
              <w:ind w:left="4171" w:leftChars="1652" w:hanging="702" w:hangingChars="195"/>
              <w:textAlignment w:val="center"/>
              <w:rPr>
                <w:rFonts w:ascii="宋体" w:cs="宋体"/>
                <w:color w:val="000000"/>
                <w:sz w:val="36"/>
                <w:szCs w:val="36"/>
              </w:rPr>
            </w:pPr>
            <w:r>
              <w:rPr>
                <w:rFonts w:hint="eastAsia" w:ascii="宋体" w:cs="宋体"/>
                <w:color w:val="000000"/>
                <w:kern w:val="0"/>
                <w:sz w:val="36"/>
                <w:szCs w:val="36"/>
              </w:rPr>
              <w:t>(20</w:t>
            </w:r>
            <w:r>
              <w:rPr>
                <w:rFonts w:hint="eastAsia" w:ascii="宋体" w:cs="宋体"/>
                <w:color w:val="000000"/>
                <w:kern w:val="0"/>
                <w:sz w:val="36"/>
                <w:szCs w:val="36"/>
                <w:lang w:val="en-US" w:eastAsia="zh-CN"/>
              </w:rPr>
              <w:t>20</w:t>
            </w:r>
            <w:r>
              <w:rPr>
                <w:rFonts w:hint="eastAsia" w:ascii="宋体" w:cs="宋体"/>
                <w:color w:val="000000"/>
                <w:kern w:val="0"/>
                <w:sz w:val="36"/>
                <w:szCs w:val="36"/>
              </w:rPr>
              <w:t xml:space="preserve">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特困人员救助供养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540.65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454.42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540.65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454.42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宋体"/>
                <w:kern w:val="0"/>
                <w:sz w:val="24"/>
              </w:rPr>
              <w:t>特困人员救助供养城乡统筹</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kern w:val="0"/>
                <w:sz w:val="18"/>
                <w:szCs w:val="18"/>
              </w:rPr>
              <w:t>保障了</w:t>
            </w:r>
            <w:r>
              <w:rPr>
                <w:rFonts w:hint="eastAsia" w:ascii="宋体" w:cs="宋体"/>
                <w:kern w:val="0"/>
                <w:sz w:val="18"/>
                <w:szCs w:val="18"/>
                <w:lang w:val="en-US" w:eastAsia="zh-CN"/>
              </w:rPr>
              <w:t>2020</w:t>
            </w:r>
            <w:r>
              <w:rPr>
                <w:rFonts w:hint="eastAsia" w:ascii="宋体" w:cs="宋体"/>
                <w:kern w:val="0"/>
                <w:sz w:val="18"/>
                <w:szCs w:val="18"/>
              </w:rPr>
              <w:t>年特困人员供养生活补助支出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10"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享受特困人员供养补贴人数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w:t>
            </w:r>
            <w:r>
              <w:rPr>
                <w:rFonts w:hint="eastAsia" w:ascii="宋体" w:cs="宋体"/>
                <w:color w:val="000000"/>
                <w:sz w:val="24"/>
                <w:lang w:val="en-US" w:eastAsia="zh-CN"/>
              </w:rPr>
              <w:t>20</w:t>
            </w:r>
            <w:r>
              <w:rPr>
                <w:rFonts w:hint="eastAsia" w:ascii="宋体" w:cs="宋体"/>
                <w:color w:val="000000"/>
                <w:sz w:val="24"/>
              </w:rPr>
              <w:t>年共发放补贴</w:t>
            </w:r>
            <w:r>
              <w:rPr>
                <w:rFonts w:hint="eastAsia" w:ascii="宋体" w:cs="宋体"/>
                <w:color w:val="000000"/>
                <w:sz w:val="24"/>
                <w:lang w:val="en-US" w:eastAsia="zh-CN"/>
              </w:rPr>
              <w:t>6492</w:t>
            </w:r>
            <w:r>
              <w:rPr>
                <w:rFonts w:hint="eastAsia" w:ascii="宋体" w:cs="宋体"/>
                <w:color w:val="000000"/>
                <w:sz w:val="24"/>
              </w:rPr>
              <w:t>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特困供养人员生活补贴标准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highlight w:val="none"/>
              </w:rPr>
            </w:pPr>
            <w:r>
              <w:rPr>
                <w:rFonts w:hint="eastAsia" w:ascii="宋体" w:cs="宋体"/>
                <w:color w:val="000000"/>
                <w:sz w:val="24"/>
                <w:highlight w:val="none"/>
              </w:rPr>
              <w:t>农村不低于</w:t>
            </w:r>
            <w:r>
              <w:rPr>
                <w:rFonts w:hint="eastAsia" w:ascii="宋体" w:cs="宋体"/>
                <w:color w:val="000000"/>
                <w:sz w:val="24"/>
                <w:highlight w:val="none"/>
                <w:lang w:val="en-US" w:eastAsia="zh-CN"/>
              </w:rPr>
              <w:t>600</w:t>
            </w:r>
            <w:r>
              <w:rPr>
                <w:rFonts w:hint="eastAsia" w:ascii="宋体" w:cs="宋体"/>
                <w:color w:val="000000"/>
                <w:sz w:val="24"/>
                <w:highlight w:val="none"/>
              </w:rPr>
              <w:t>元/月；</w:t>
            </w:r>
          </w:p>
          <w:p>
            <w:pPr>
              <w:widowControl/>
              <w:jc w:val="center"/>
              <w:textAlignment w:val="center"/>
              <w:rPr>
                <w:rFonts w:ascii="宋体" w:cs="宋体"/>
                <w:color w:val="000000"/>
                <w:sz w:val="24"/>
                <w:highlight w:val="none"/>
              </w:rPr>
            </w:pPr>
            <w:r>
              <w:rPr>
                <w:rFonts w:hint="eastAsia" w:ascii="宋体" w:cs="宋体"/>
                <w:color w:val="000000"/>
                <w:sz w:val="24"/>
                <w:highlight w:val="none"/>
              </w:rPr>
              <w:t>城市不低于</w:t>
            </w:r>
            <w:r>
              <w:rPr>
                <w:rFonts w:hint="eastAsia" w:ascii="宋体" w:cs="宋体"/>
                <w:color w:val="000000"/>
                <w:sz w:val="24"/>
                <w:highlight w:val="none"/>
                <w:lang w:val="en-US" w:eastAsia="zh-CN"/>
              </w:rPr>
              <w:t>770</w:t>
            </w:r>
            <w:r>
              <w:rPr>
                <w:rFonts w:hint="eastAsia" w:ascii="宋体" w:cs="宋体"/>
                <w:color w:val="000000"/>
                <w:sz w:val="24"/>
                <w:highlight w:val="none"/>
              </w:rPr>
              <w:t>元/月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highlight w:val="none"/>
              </w:rPr>
            </w:pPr>
            <w:r>
              <w:rPr>
                <w:rFonts w:hint="eastAsia" w:ascii="宋体" w:cs="宋体"/>
                <w:color w:val="000000"/>
                <w:sz w:val="24"/>
                <w:highlight w:val="none"/>
              </w:rPr>
              <w:t>农村特困每人每月</w:t>
            </w:r>
            <w:r>
              <w:rPr>
                <w:rFonts w:hint="eastAsia" w:ascii="宋体" w:cs="宋体"/>
                <w:color w:val="000000"/>
                <w:sz w:val="24"/>
                <w:highlight w:val="none"/>
                <w:lang w:val="en-US" w:eastAsia="zh-CN"/>
              </w:rPr>
              <w:t>60</w:t>
            </w:r>
            <w:r>
              <w:rPr>
                <w:rFonts w:hint="eastAsia" w:ascii="宋体" w:cs="宋体"/>
                <w:color w:val="000000"/>
                <w:sz w:val="24"/>
                <w:highlight w:val="none"/>
              </w:rPr>
              <w:t>0元；城市特困每人每月</w:t>
            </w:r>
            <w:r>
              <w:rPr>
                <w:rFonts w:hint="eastAsia" w:ascii="宋体" w:cs="宋体"/>
                <w:color w:val="000000"/>
                <w:sz w:val="24"/>
                <w:highlight w:val="none"/>
                <w:lang w:val="en-US" w:eastAsia="zh-CN"/>
              </w:rPr>
              <w:t>770</w:t>
            </w:r>
            <w:r>
              <w:rPr>
                <w:rFonts w:hint="eastAsia" w:ascii="宋体" w:cs="宋体"/>
                <w:color w:val="000000"/>
                <w:sz w:val="24"/>
                <w:highlight w:val="none"/>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资金拨付及时率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每月按实际拨付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支付率100%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受助人员基本生活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保障基本生活</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有效保障基本生活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特困供养人员满意度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760" w:firstLineChars="400"/>
              <w:jc w:val="left"/>
            </w:pPr>
            <w:r>
              <w:rPr>
                <w:rFonts w:ascii="TimesNewRomanPSMT" w:hAnsi="TimesNewRomanPSMT" w:eastAsia="TimesNewRomanPSMT" w:cs="TimesNewRomanPSMT"/>
                <w:color w:val="000000"/>
                <w:kern w:val="0"/>
                <w:sz w:val="19"/>
                <w:szCs w:val="19"/>
              </w:rPr>
              <w:t>&gt;</w:t>
            </w:r>
            <w:r>
              <w:rPr>
                <w:rFonts w:hint="eastAsia" w:ascii="TimesNewRomanPSMT" w:hAnsi="TimesNewRomanPSMT" w:eastAsia="TimesNewRomanPSMT" w:cs="TimesNewRomanPSMT"/>
                <w:color w:val="000000"/>
                <w:kern w:val="0"/>
                <w:sz w:val="19"/>
                <w:szCs w:val="19"/>
              </w:rPr>
              <w:t>100</w:t>
            </w:r>
            <w:r>
              <w:rPr>
                <w:rFonts w:ascii="TimesNewRomanPSMT" w:hAnsi="TimesNewRomanPSMT" w:eastAsia="TimesNewRomanPSMT" w:cs="TimesNewRomanPSMT"/>
                <w:color w:val="000000"/>
                <w:kern w:val="0"/>
                <w:sz w:val="19"/>
                <w:szCs w:val="19"/>
              </w:rPr>
              <w:t>%</w:t>
            </w:r>
          </w:p>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380" w:firstLineChars="200"/>
              <w:jc w:val="left"/>
            </w:pPr>
            <w:r>
              <w:rPr>
                <w:rFonts w:ascii="TimesNewRomanPSMT" w:hAnsi="TimesNewRomanPSMT" w:eastAsia="TimesNewRomanPSMT" w:cs="TimesNewRomanPSMT"/>
                <w:color w:val="000000"/>
                <w:kern w:val="0"/>
                <w:sz w:val="19"/>
                <w:szCs w:val="19"/>
              </w:rPr>
              <w:t>&gt;</w:t>
            </w:r>
            <w:r>
              <w:rPr>
                <w:rFonts w:hint="eastAsia" w:ascii="TimesNewRomanPSMT" w:hAnsi="TimesNewRomanPSMT" w:eastAsia="TimesNewRomanPSMT" w:cs="TimesNewRomanPSMT"/>
                <w:color w:val="000000"/>
                <w:kern w:val="0"/>
                <w:sz w:val="19"/>
                <w:szCs w:val="19"/>
              </w:rPr>
              <w:t>100</w:t>
            </w:r>
            <w:r>
              <w:rPr>
                <w:rFonts w:ascii="TimesNewRomanPSMT" w:hAnsi="TimesNewRomanPSMT" w:eastAsia="TimesNewRomanPSMT" w:cs="TimesNewRomanPSMT"/>
                <w:color w:val="000000"/>
                <w:kern w:val="0"/>
                <w:sz w:val="19"/>
                <w:szCs w:val="19"/>
              </w:rPr>
              <w:t>%</w:t>
            </w:r>
          </w:p>
          <w:p>
            <w:pPr>
              <w:widowControl/>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pStyle w:val="26"/>
              <w:widowControl/>
              <w:ind w:left="4173" w:leftChars="1310" w:hanging="1422" w:hangingChars="395"/>
              <w:textAlignment w:val="center"/>
              <w:rPr>
                <w:rFonts w:ascii="黑体" w:eastAsia="黑体" w:cs="宋体"/>
                <w:bCs/>
                <w:color w:val="000000"/>
                <w:kern w:val="0"/>
                <w:sz w:val="36"/>
                <w:szCs w:val="36"/>
              </w:rPr>
            </w:pPr>
          </w:p>
          <w:p>
            <w:pPr>
              <w:pStyle w:val="26"/>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6"/>
              <w:widowControl/>
              <w:ind w:left="4170" w:leftChars="1823" w:hanging="342" w:hangingChars="95"/>
              <w:textAlignment w:val="center"/>
              <w:rPr>
                <w:rFonts w:ascii="宋体" w:cs="宋体"/>
                <w:color w:val="000000"/>
                <w:sz w:val="36"/>
                <w:szCs w:val="36"/>
              </w:rPr>
            </w:pPr>
            <w:r>
              <w:rPr>
                <w:rFonts w:hint="eastAsia" w:ascii="宋体" w:cs="宋体"/>
                <w:color w:val="000000"/>
                <w:kern w:val="0"/>
                <w:sz w:val="36"/>
                <w:szCs w:val="36"/>
              </w:rPr>
              <w:t>(20</w:t>
            </w:r>
            <w:r>
              <w:rPr>
                <w:rFonts w:hint="eastAsia" w:ascii="宋体" w:cs="宋体"/>
                <w:color w:val="000000"/>
                <w:kern w:val="0"/>
                <w:sz w:val="36"/>
                <w:szCs w:val="36"/>
                <w:lang w:val="en-US" w:eastAsia="zh-CN"/>
              </w:rPr>
              <w:t>20</w:t>
            </w:r>
            <w:r>
              <w:rPr>
                <w:rFonts w:hint="eastAsia" w:ascii="宋体" w:cs="宋体"/>
                <w:color w:val="000000"/>
                <w:kern w:val="0"/>
                <w:sz w:val="36"/>
                <w:szCs w:val="36"/>
              </w:rPr>
              <w:t xml:space="preserve">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rPr>
              <w:t>临时</w:t>
            </w:r>
            <w:r>
              <w:rPr>
                <w:rFonts w:hint="eastAsia" w:ascii="宋体" w:cs="宋体"/>
                <w:color w:val="000000"/>
                <w:sz w:val="24"/>
                <w:lang w:eastAsia="zh-CN"/>
              </w:rPr>
              <w:t>价格补贴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1017.15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1028.19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1017.15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1028.19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ind w:left="720"/>
              <w:jc w:val="left"/>
              <w:rPr>
                <w:rFonts w:hint="eastAsia" w:ascii="仿宋_GB2312" w:hAnsi="仿宋_GB2312" w:cs="Arial"/>
                <w:szCs w:val="32"/>
              </w:rPr>
            </w:pPr>
            <w:r>
              <w:rPr>
                <w:rFonts w:hint="eastAsia" w:ascii="仿宋_GB2312" w:eastAsia="仿宋_GB2312" w:cs="宋体"/>
                <w:kern w:val="0"/>
                <w:sz w:val="24"/>
              </w:rPr>
              <w:t>确保了生活水平不因物价上涨而降低，保障困难群众基本生活具有积极作用。</w:t>
            </w:r>
          </w:p>
          <w:p>
            <w:pPr>
              <w:widowControl/>
              <w:jc w:val="center"/>
              <w:textAlignment w:val="center"/>
              <w:rPr>
                <w:rFonts w:asci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ind w:left="720"/>
              <w:jc w:val="left"/>
              <w:rPr>
                <w:rFonts w:hint="eastAsia" w:ascii="仿宋_GB2312" w:hAnsi="仿宋_GB2312" w:cs="Arial"/>
                <w:szCs w:val="32"/>
              </w:rPr>
            </w:pPr>
            <w:r>
              <w:rPr>
                <w:rFonts w:hint="eastAsia" w:ascii="仿宋_GB2312" w:eastAsia="仿宋_GB2312" w:cs="宋体"/>
                <w:kern w:val="0"/>
                <w:sz w:val="24"/>
              </w:rPr>
              <w:t>确保了生活水平不因物价上涨而降低，保障困难群众基本生活具有积极作用。</w:t>
            </w:r>
          </w:p>
          <w:p>
            <w:pPr>
              <w:widowControl/>
              <w:jc w:val="center"/>
              <w:textAlignment w:val="center"/>
              <w:rPr>
                <w:rFonts w:ascii="宋体" w:hAnsi="宋体" w:eastAsia="仿宋_GB2312"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临时</w:t>
            </w:r>
            <w:r>
              <w:rPr>
                <w:rFonts w:hint="eastAsia" w:ascii="宋体" w:cs="宋体"/>
                <w:color w:val="000000"/>
                <w:sz w:val="24"/>
                <w:lang w:eastAsia="zh-CN"/>
              </w:rPr>
              <w:t>价格补贴</w:t>
            </w:r>
            <w:r>
              <w:rPr>
                <w:rFonts w:hint="eastAsia" w:ascii="宋体" w:cs="宋体"/>
                <w:color w:val="000000"/>
                <w:sz w:val="24"/>
              </w:rPr>
              <w:t>人次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2020</w:t>
            </w:r>
            <w:r>
              <w:rPr>
                <w:rFonts w:hint="eastAsia" w:ascii="宋体" w:cs="宋体"/>
                <w:color w:val="000000"/>
                <w:sz w:val="24"/>
              </w:rPr>
              <w:t>年共发放临时救助</w:t>
            </w:r>
            <w:r>
              <w:rPr>
                <w:rFonts w:hint="eastAsia" w:ascii="宋体" w:cs="宋体"/>
                <w:color w:val="000000"/>
                <w:sz w:val="24"/>
                <w:lang w:val="en-US" w:eastAsia="zh-CN"/>
              </w:rPr>
              <w:t>110179</w:t>
            </w:r>
            <w:r>
              <w:rPr>
                <w:rFonts w:hint="eastAsia" w:ascii="宋体" w:cs="宋体"/>
                <w:color w:val="000000"/>
                <w:sz w:val="24"/>
              </w:rPr>
              <w:t>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发放</w:t>
            </w:r>
            <w:r>
              <w:rPr>
                <w:rFonts w:hint="eastAsia" w:ascii="宋体" w:cs="宋体"/>
                <w:color w:val="000000"/>
                <w:sz w:val="24"/>
                <w:lang w:eastAsia="zh-CN"/>
              </w:rPr>
              <w:t>补贴</w:t>
            </w:r>
            <w:r>
              <w:rPr>
                <w:rFonts w:hint="eastAsia" w:ascii="宋体" w:cs="宋体"/>
                <w:color w:val="000000"/>
                <w:sz w:val="24"/>
              </w:rPr>
              <w:t>资金与政策相关比率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资金拨付及时率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按实际拨付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支付率100%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宋体"/>
                <w:kern w:val="0"/>
                <w:sz w:val="24"/>
              </w:rPr>
              <w:t>临时</w:t>
            </w:r>
            <w:r>
              <w:rPr>
                <w:rFonts w:hint="eastAsia" w:ascii="仿宋_GB2312" w:eastAsia="仿宋_GB2312" w:cs="宋体"/>
                <w:kern w:val="0"/>
                <w:sz w:val="24"/>
                <w:lang w:eastAsia="zh-CN"/>
              </w:rPr>
              <w:t>价格</w:t>
            </w:r>
            <w:r>
              <w:rPr>
                <w:rFonts w:hint="eastAsia" w:ascii="仿宋_GB2312" w:eastAsia="仿宋_GB2312" w:cs="宋体"/>
                <w:kern w:val="0"/>
                <w:sz w:val="24"/>
              </w:rPr>
              <w:t>困难群众生活水平提升情况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效果显著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宋体"/>
                <w:kern w:val="0"/>
                <w:sz w:val="24"/>
              </w:rPr>
              <w:t>稳步提升，</w:t>
            </w:r>
            <w:r>
              <w:rPr>
                <w:rFonts w:hint="eastAsia" w:ascii="宋体" w:cs="宋体"/>
                <w:color w:val="000000"/>
                <w:sz w:val="24"/>
              </w:rPr>
              <w:t>效果显著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补贴</w:t>
            </w:r>
            <w:r>
              <w:rPr>
                <w:rFonts w:hint="eastAsia" w:ascii="宋体" w:cs="宋体"/>
                <w:color w:val="000000"/>
                <w:sz w:val="24"/>
              </w:rPr>
              <w:t>人员满意度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760" w:firstLineChars="400"/>
              <w:jc w:val="left"/>
            </w:pPr>
            <w:r>
              <w:rPr>
                <w:rFonts w:ascii="TimesNewRomanPSMT" w:hAnsi="TimesNewRomanPSMT" w:eastAsia="TimesNewRomanPSMT" w:cs="TimesNewRomanPSMT"/>
                <w:color w:val="000000"/>
                <w:kern w:val="0"/>
                <w:sz w:val="19"/>
                <w:szCs w:val="19"/>
              </w:rPr>
              <w:t>&gt;</w:t>
            </w:r>
            <w:r>
              <w:rPr>
                <w:rFonts w:hint="eastAsia" w:ascii="TimesNewRomanPSMT" w:hAnsi="TimesNewRomanPSMT" w:eastAsia="TimesNewRomanPSMT" w:cs="TimesNewRomanPSMT"/>
                <w:color w:val="000000"/>
                <w:kern w:val="0"/>
                <w:sz w:val="19"/>
                <w:szCs w:val="19"/>
              </w:rPr>
              <w:t>100</w:t>
            </w:r>
            <w:r>
              <w:rPr>
                <w:rFonts w:ascii="TimesNewRomanPSMT" w:hAnsi="TimesNewRomanPSMT" w:eastAsia="TimesNewRomanPSMT" w:cs="TimesNewRomanPSMT"/>
                <w:color w:val="000000"/>
                <w:kern w:val="0"/>
                <w:sz w:val="19"/>
                <w:szCs w:val="19"/>
              </w:rPr>
              <w:t>%</w:t>
            </w:r>
          </w:p>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380" w:firstLineChars="200"/>
              <w:jc w:val="left"/>
            </w:pPr>
            <w:r>
              <w:rPr>
                <w:rFonts w:ascii="TimesNewRomanPSMT" w:hAnsi="TimesNewRomanPSMT" w:eastAsia="TimesNewRomanPSMT" w:cs="TimesNewRomanPSMT"/>
                <w:color w:val="000000"/>
                <w:kern w:val="0"/>
                <w:sz w:val="19"/>
                <w:szCs w:val="19"/>
              </w:rPr>
              <w:t>&gt;</w:t>
            </w:r>
            <w:r>
              <w:rPr>
                <w:rFonts w:hint="eastAsia" w:ascii="TimesNewRomanPSMT" w:hAnsi="TimesNewRomanPSMT" w:eastAsia="TimesNewRomanPSMT" w:cs="TimesNewRomanPSMT"/>
                <w:color w:val="000000"/>
                <w:kern w:val="0"/>
                <w:sz w:val="19"/>
                <w:szCs w:val="19"/>
              </w:rPr>
              <w:t>100</w:t>
            </w:r>
            <w:r>
              <w:rPr>
                <w:rFonts w:ascii="TimesNewRomanPSMT" w:hAnsi="TimesNewRomanPSMT" w:eastAsia="TimesNewRomanPSMT" w:cs="TimesNewRomanPSMT"/>
                <w:color w:val="000000"/>
                <w:kern w:val="0"/>
                <w:sz w:val="19"/>
                <w:szCs w:val="19"/>
              </w:rPr>
              <w:t>%</w:t>
            </w:r>
          </w:p>
          <w:p>
            <w:pPr>
              <w:widowControl/>
              <w:textAlignment w:val="center"/>
              <w:rPr>
                <w:rFonts w:ascii="宋体" w:cs="宋体"/>
                <w:color w:val="000000"/>
                <w:sz w:val="24"/>
              </w:rPr>
            </w:pPr>
          </w:p>
        </w:tc>
      </w:tr>
    </w:tbl>
    <w:tbl>
      <w:tblPr>
        <w:tblStyle w:val="15"/>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textAlignment w:val="center"/>
              <w:rPr>
                <w:rFonts w:ascii="宋体" w:cs="宋体"/>
                <w:b/>
                <w:bCs/>
                <w:color w:val="000000"/>
                <w:kern w:val="0"/>
                <w:sz w:val="36"/>
                <w:szCs w:val="36"/>
              </w:rPr>
            </w:pPr>
          </w:p>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宋体" w:cs="宋体"/>
                <w:color w:val="000000"/>
                <w:kern w:val="0"/>
                <w:sz w:val="36"/>
                <w:szCs w:val="36"/>
              </w:rPr>
              <w:t>(20</w:t>
            </w:r>
            <w:r>
              <w:rPr>
                <w:rFonts w:hint="eastAsia" w:ascii="宋体" w:cs="宋体"/>
                <w:color w:val="000000"/>
                <w:kern w:val="0"/>
                <w:sz w:val="36"/>
                <w:szCs w:val="36"/>
                <w:lang w:val="en-US" w:eastAsia="zh-CN"/>
              </w:rPr>
              <w:t>20</w:t>
            </w:r>
            <w:r>
              <w:rPr>
                <w:rFonts w:hint="eastAsia" w:ascii="宋体" w:cs="宋体"/>
                <w:color w:val="000000"/>
                <w:kern w:val="0"/>
                <w:sz w:val="36"/>
                <w:szCs w:val="36"/>
              </w:rPr>
              <w:t xml:space="preserve">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最低生活保障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3561.89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3423.12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3561.89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3423.12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加强困难群众救助，将符合条件的困难群众纳入城乡最低生活保障，切实保障困难群众基本生活</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加强困难群众救助，将符合条件的困难群众纳入城乡最低生活保障，切实保障困难群众基本生活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b/>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b/>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b/>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b/>
                <w:color w:val="000000"/>
                <w:kern w:val="0"/>
                <w:sz w:val="24"/>
              </w:rPr>
              <w:t>指标值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b/>
                <w:color w:val="000000"/>
                <w:kern w:val="0"/>
                <w:sz w:val="24"/>
              </w:rPr>
              <w:t>全年实际值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产出指标</w:t>
            </w: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kern w:val="0"/>
                <w:sz w:val="24"/>
              </w:rPr>
              <w:t>农村低保保障人数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kern w:val="0"/>
                <w:sz w:val="24"/>
                <w:lang w:val="en-US" w:eastAsia="zh-CN"/>
              </w:rPr>
              <w:t>15822</w:t>
            </w:r>
            <w:r>
              <w:rPr>
                <w:rFonts w:hint="eastAsia" w:ascii="宋体" w:cs="宋体"/>
                <w:color w:val="000000"/>
                <w:kern w:val="0"/>
                <w:sz w:val="24"/>
              </w:rPr>
              <w:t>人次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kern w:val="0"/>
                <w:sz w:val="24"/>
              </w:rPr>
              <w:t xml:space="preserve">  </w:t>
            </w:r>
            <w:r>
              <w:rPr>
                <w:rFonts w:hint="eastAsia" w:ascii="宋体" w:cs="宋体"/>
                <w:color w:val="000000"/>
                <w:kern w:val="0"/>
                <w:sz w:val="24"/>
                <w:lang w:val="en-US" w:eastAsia="zh-CN"/>
              </w:rPr>
              <w:t>15822</w:t>
            </w:r>
            <w:r>
              <w:rPr>
                <w:rFonts w:hint="eastAsia" w:ascii="宋体" w:cs="宋体"/>
                <w:color w:val="000000"/>
                <w:kern w:val="0"/>
                <w:sz w:val="24"/>
              </w:rPr>
              <w:t>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kern w:val="0"/>
                <w:sz w:val="24"/>
              </w:rPr>
            </w:pPr>
            <w:r>
              <w:rPr>
                <w:rFonts w:hint="eastAsia" w:ascii="宋体" w:cs="宋体"/>
                <w:color w:val="000000"/>
                <w:kern w:val="0"/>
                <w:sz w:val="24"/>
              </w:rPr>
              <w:t>城市低保保障人数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kern w:val="0"/>
                <w:sz w:val="24"/>
              </w:rPr>
            </w:pPr>
            <w:r>
              <w:rPr>
                <w:rFonts w:hint="eastAsia" w:ascii="宋体" w:cs="宋体"/>
                <w:color w:val="000000"/>
                <w:kern w:val="0"/>
                <w:sz w:val="24"/>
                <w:lang w:val="en-US" w:eastAsia="zh-CN"/>
              </w:rPr>
              <w:t>106557</w:t>
            </w:r>
            <w:r>
              <w:rPr>
                <w:rFonts w:hint="eastAsia" w:ascii="宋体" w:cs="宋体"/>
                <w:color w:val="000000"/>
                <w:kern w:val="0"/>
                <w:sz w:val="24"/>
              </w:rPr>
              <w:t>人次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kern w:val="0"/>
                <w:sz w:val="24"/>
              </w:rPr>
            </w:pPr>
            <w:r>
              <w:rPr>
                <w:rFonts w:hint="eastAsia" w:ascii="宋体" w:cs="宋体"/>
                <w:color w:val="000000"/>
                <w:kern w:val="0"/>
                <w:sz w:val="24"/>
                <w:lang w:val="en-US" w:eastAsia="zh-CN"/>
              </w:rPr>
              <w:t>106557</w:t>
            </w:r>
            <w:r>
              <w:rPr>
                <w:rFonts w:hint="eastAsia" w:ascii="宋体" w:cs="宋体"/>
                <w:color w:val="000000"/>
                <w:kern w:val="0"/>
                <w:sz w:val="24"/>
              </w:rPr>
              <w:t>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kern w:val="0"/>
                <w:sz w:val="24"/>
              </w:rPr>
              <w:t>困难群众救助补助标准达标率（**%）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kern w:val="0"/>
                <w:sz w:val="24"/>
              </w:rPr>
              <w:t>&gt;=100%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kern w:val="0"/>
                <w:sz w:val="24"/>
              </w:rPr>
              <w:t>&gt;=100%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kern w:val="0"/>
                <w:sz w:val="24"/>
              </w:rPr>
              <w:t>救助资金发放及时率（**%）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kern w:val="0"/>
                <w:sz w:val="24"/>
              </w:rPr>
              <w:t>&gt;=100%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kern w:val="0"/>
                <w:sz w:val="24"/>
              </w:rPr>
              <w:t>&gt;=100%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kern w:val="0"/>
                <w:sz w:val="24"/>
              </w:rPr>
              <w:t>最低生活保障补助标准（补差）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kern w:val="0"/>
                <w:sz w:val="24"/>
              </w:rPr>
            </w:pPr>
            <w:r>
              <w:rPr>
                <w:rFonts w:hint="eastAsia" w:ascii="宋体" w:cs="宋体"/>
                <w:color w:val="000000"/>
                <w:kern w:val="0"/>
                <w:sz w:val="24"/>
              </w:rPr>
              <w:t>城市低保每人每月5</w:t>
            </w:r>
            <w:r>
              <w:rPr>
                <w:rFonts w:hint="eastAsia" w:ascii="宋体" w:cs="宋体"/>
                <w:color w:val="000000"/>
                <w:kern w:val="0"/>
                <w:sz w:val="24"/>
                <w:lang w:val="en-US" w:eastAsia="zh-CN"/>
              </w:rPr>
              <w:t>90</w:t>
            </w:r>
            <w:r>
              <w:rPr>
                <w:rFonts w:hint="eastAsia" w:ascii="宋体" w:cs="宋体"/>
                <w:color w:val="000000"/>
                <w:kern w:val="0"/>
                <w:sz w:val="24"/>
              </w:rPr>
              <w:t>元补差；</w:t>
            </w:r>
          </w:p>
          <w:p>
            <w:pPr>
              <w:widowControl/>
              <w:textAlignment w:val="center"/>
              <w:rPr>
                <w:rFonts w:ascii="宋体" w:cs="宋体"/>
                <w:color w:val="000000"/>
                <w:kern w:val="0"/>
                <w:sz w:val="24"/>
              </w:rPr>
            </w:pPr>
            <w:r>
              <w:rPr>
                <w:rFonts w:hint="eastAsia" w:ascii="宋体" w:cs="宋体"/>
                <w:color w:val="000000"/>
                <w:kern w:val="0"/>
                <w:sz w:val="24"/>
              </w:rPr>
              <w:t>农村低保每人每月</w:t>
            </w:r>
            <w:r>
              <w:rPr>
                <w:rFonts w:hint="eastAsia" w:ascii="宋体" w:cs="宋体"/>
                <w:color w:val="000000"/>
                <w:kern w:val="0"/>
                <w:sz w:val="24"/>
                <w:lang w:val="en-US" w:eastAsia="zh-CN"/>
              </w:rPr>
              <w:t>390</w:t>
            </w:r>
            <w:r>
              <w:rPr>
                <w:rFonts w:hint="eastAsia" w:ascii="宋体" w:cs="宋体"/>
                <w:color w:val="000000"/>
                <w:kern w:val="0"/>
                <w:sz w:val="24"/>
              </w:rPr>
              <w:t>元补差。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kern w:val="0"/>
                <w:sz w:val="24"/>
              </w:rPr>
            </w:pPr>
            <w:r>
              <w:rPr>
                <w:rFonts w:hint="eastAsia" w:ascii="宋体" w:cs="宋体"/>
                <w:color w:val="000000"/>
                <w:kern w:val="0"/>
                <w:sz w:val="24"/>
              </w:rPr>
              <w:t>城市低保每人每月</w:t>
            </w:r>
            <w:r>
              <w:rPr>
                <w:rFonts w:hint="eastAsia" w:ascii="宋体" w:cs="宋体"/>
                <w:color w:val="000000"/>
                <w:kern w:val="0"/>
                <w:sz w:val="24"/>
                <w:lang w:val="en-US" w:eastAsia="zh-CN"/>
              </w:rPr>
              <w:t>590</w:t>
            </w:r>
            <w:r>
              <w:rPr>
                <w:rFonts w:hint="eastAsia" w:ascii="宋体" w:cs="宋体"/>
                <w:color w:val="000000"/>
                <w:kern w:val="0"/>
                <w:sz w:val="24"/>
              </w:rPr>
              <w:t>元补差；</w:t>
            </w:r>
          </w:p>
          <w:p>
            <w:pPr>
              <w:widowControl/>
              <w:textAlignment w:val="center"/>
              <w:rPr>
                <w:rFonts w:ascii="宋体" w:cs="宋体"/>
                <w:color w:val="000000"/>
                <w:sz w:val="24"/>
              </w:rPr>
            </w:pPr>
            <w:r>
              <w:rPr>
                <w:rFonts w:hint="eastAsia" w:ascii="宋体" w:cs="宋体"/>
                <w:color w:val="000000"/>
                <w:kern w:val="0"/>
                <w:sz w:val="24"/>
              </w:rPr>
              <w:t>农村低保每人每月</w:t>
            </w:r>
            <w:r>
              <w:rPr>
                <w:rFonts w:hint="eastAsia" w:ascii="宋体" w:cs="宋体"/>
                <w:color w:val="000000"/>
                <w:kern w:val="0"/>
                <w:sz w:val="24"/>
                <w:lang w:val="en-US" w:eastAsia="zh-CN"/>
              </w:rPr>
              <w:t>390</w:t>
            </w:r>
            <w:r>
              <w:rPr>
                <w:rFonts w:hint="eastAsia" w:ascii="宋体" w:cs="宋体"/>
                <w:color w:val="000000"/>
                <w:kern w:val="0"/>
                <w:sz w:val="24"/>
              </w:rPr>
              <w:t>元补差。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kern w:val="0"/>
                <w:sz w:val="24"/>
              </w:rPr>
              <w:t>困难群众基本生活水平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kern w:val="0"/>
                <w:sz w:val="24"/>
              </w:rPr>
              <w:t>稳步提升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kern w:val="0"/>
                <w:sz w:val="24"/>
              </w:rPr>
              <w:t>稳步提升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kern w:val="0"/>
                <w:sz w:val="24"/>
              </w:rPr>
              <w:t>政策知晓率（≥**%）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kern w:val="0"/>
                <w:sz w:val="24"/>
              </w:rPr>
              <w:t>&gt;=95%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kern w:val="0"/>
                <w:sz w:val="24"/>
              </w:rPr>
              <w:t>&gt;=95%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kern w:val="0"/>
                <w:sz w:val="24"/>
              </w:rPr>
              <w:t>困难群众满意度（≥**%）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kern w:val="0"/>
                <w:sz w:val="24"/>
              </w:rPr>
              <w:t>&gt;=95%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kern w:val="0"/>
                <w:sz w:val="24"/>
              </w:rPr>
              <w:t>&gt;=95%</w:t>
            </w:r>
          </w:p>
        </w:tc>
      </w:tr>
    </w:tbl>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b/>
          <w:sz w:val="32"/>
          <w:szCs w:val="32"/>
        </w:rPr>
      </w:pPr>
      <w:r>
        <w:rPr>
          <w:rFonts w:hint="eastAsia" w:ascii="楷体_GB2312" w:eastAsia="楷体_GB2312" w:cs="楷体_GB2312"/>
          <w:b/>
          <w:sz w:val="32"/>
          <w:szCs w:val="32"/>
        </w:rPr>
        <w:t>2.部门绩效评价结果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hint="eastAsia" w:ascii="仿宋_GB2312" w:eastAsia="仿宋_GB2312" w:cs="仿宋_GB2312"/>
          <w:sz w:val="32"/>
          <w:szCs w:val="32"/>
          <w:lang w:val="en-US" w:eastAsia="zh-CN"/>
        </w:rPr>
        <w:t>2020</w:t>
      </w:r>
      <w:r>
        <w:rPr>
          <w:rFonts w:hint="eastAsia" w:ascii="仿宋_GB2312" w:eastAsia="仿宋_GB2312" w:cs="仿宋_GB2312"/>
          <w:sz w:val="32"/>
          <w:szCs w:val="32"/>
        </w:rPr>
        <w:t>年部门整体支出绩效评价情况开展自评，《民政局部门</w:t>
      </w:r>
      <w:r>
        <w:rPr>
          <w:rFonts w:hint="eastAsia" w:ascii="仿宋_GB2312" w:eastAsia="仿宋_GB2312" w:cs="仿宋_GB2312"/>
          <w:sz w:val="32"/>
          <w:szCs w:val="32"/>
          <w:lang w:val="en-US" w:eastAsia="zh-CN"/>
        </w:rPr>
        <w:t>2020</w:t>
      </w:r>
      <w:r>
        <w:rPr>
          <w:rFonts w:hint="eastAsia" w:ascii="仿宋_GB2312" w:eastAsia="仿宋_GB2312" w:cs="仿宋_GB2312"/>
          <w:sz w:val="32"/>
          <w:szCs w:val="32"/>
        </w:rPr>
        <w:t>年部门整体支出绩效评价报告》见附件（附件1）。</w:t>
      </w:r>
    </w:p>
    <w:p>
      <w:pPr>
        <w:widowControl/>
        <w:ind w:firstLine="640" w:firstLineChars="200"/>
        <w:jc w:val="left"/>
        <w:rPr>
          <w:rFonts w:ascii="仿宋_GB2312" w:eastAsia="仿宋_GB2312"/>
          <w:b/>
          <w:color w:val="000000"/>
          <w:sz w:val="32"/>
          <w:szCs w:val="32"/>
        </w:rPr>
      </w:pPr>
      <w:r>
        <w:rPr>
          <w:rFonts w:hint="eastAsia" w:ascii="仿宋_GB2312" w:eastAsia="仿宋_GB2312" w:cs="仿宋_GB2312"/>
          <w:sz w:val="32"/>
          <w:szCs w:val="32"/>
        </w:rPr>
        <w:t>本部门自行组织对</w:t>
      </w:r>
      <w:r>
        <w:rPr>
          <w:rFonts w:hint="eastAsia" w:ascii="仿宋_GB2312" w:eastAsia="仿宋_GB2312" w:cs="仿宋_GB2312"/>
          <w:sz w:val="32"/>
          <w:szCs w:val="32"/>
          <w:lang w:eastAsia="zh-CN"/>
        </w:rPr>
        <w:t>高龄津贴</w:t>
      </w:r>
      <w:r>
        <w:rPr>
          <w:rFonts w:hint="eastAsia" w:ascii="仿宋_GB2312" w:eastAsia="仿宋_GB2312" w:cs="仿宋_GB2312"/>
          <w:sz w:val="32"/>
          <w:szCs w:val="32"/>
        </w:rPr>
        <w:t>项目、</w:t>
      </w:r>
      <w:r>
        <w:rPr>
          <w:rFonts w:hint="eastAsia" w:ascii="仿宋_GB2312" w:eastAsia="仿宋_GB2312" w:cs="仿宋_GB2312"/>
          <w:sz w:val="32"/>
          <w:szCs w:val="32"/>
          <w:lang w:eastAsia="zh-CN"/>
        </w:rPr>
        <w:t>困难残疾人生活补贴</w:t>
      </w:r>
      <w:r>
        <w:rPr>
          <w:rFonts w:hint="eastAsia" w:ascii="仿宋_GB2312" w:eastAsia="仿宋_GB2312" w:cs="仿宋_GB2312"/>
          <w:sz w:val="32"/>
          <w:szCs w:val="32"/>
        </w:rPr>
        <w:t>项目</w:t>
      </w:r>
      <w:r>
        <w:rPr>
          <w:rFonts w:hint="eastAsia" w:ascii="仿宋_GB2312" w:eastAsia="仿宋_GB2312" w:cs="仿宋_GB2312"/>
          <w:sz w:val="32"/>
          <w:szCs w:val="32"/>
          <w:lang w:eastAsia="zh-CN"/>
        </w:rPr>
        <w:t>、重度残疾人生活补助项目、临时价格补贴项目</w:t>
      </w:r>
      <w:r>
        <w:rPr>
          <w:rFonts w:hint="eastAsia" w:ascii="仿宋_GB2312" w:eastAsia="仿宋_GB2312" w:cs="仿宋_GB2312"/>
          <w:sz w:val="32"/>
          <w:szCs w:val="32"/>
        </w:rPr>
        <w:t>开展了绩效评价，《</w:t>
      </w:r>
      <w:r>
        <w:rPr>
          <w:rFonts w:hint="eastAsia" w:ascii="仿宋_GB2312" w:eastAsia="仿宋_GB2312" w:cs="仿宋_GB2312"/>
          <w:sz w:val="32"/>
          <w:szCs w:val="32"/>
          <w:lang w:eastAsia="zh-CN"/>
        </w:rPr>
        <w:t>民政局高龄津贴</w:t>
      </w:r>
      <w:r>
        <w:rPr>
          <w:rFonts w:hint="eastAsia" w:ascii="仿宋_GB2312" w:eastAsia="仿宋_GB2312" w:cs="仿宋_GB2312"/>
          <w:sz w:val="32"/>
          <w:szCs w:val="32"/>
        </w:rPr>
        <w:t>项目</w:t>
      </w:r>
      <w:r>
        <w:rPr>
          <w:rFonts w:ascii="仿宋_GB2312" w:eastAsia="仿宋_GB2312" w:cs="仿宋_GB2312"/>
          <w:sz w:val="32"/>
          <w:szCs w:val="32"/>
        </w:rPr>
        <w:t>2020</w:t>
      </w:r>
      <w:r>
        <w:rPr>
          <w:rFonts w:hint="eastAsia" w:ascii="仿宋_GB2312" w:eastAsia="仿宋_GB2312" w:cs="仿宋_GB2312"/>
          <w:sz w:val="32"/>
          <w:szCs w:val="32"/>
        </w:rPr>
        <w:t>年绩效评价报告》见附件（附件</w:t>
      </w:r>
      <w:r>
        <w:rPr>
          <w:rFonts w:ascii="仿宋_GB2312" w:eastAsia="仿宋_GB2312" w:cs="仿宋_GB2312"/>
          <w:sz w:val="32"/>
          <w:szCs w:val="32"/>
        </w:rPr>
        <w:t>2</w:t>
      </w:r>
      <w:r>
        <w:rPr>
          <w:rFonts w:hint="eastAsia" w:ascii="仿宋_GB2312" w:eastAsia="仿宋_GB2312" w:cs="仿宋_GB2312"/>
          <w:sz w:val="32"/>
          <w:szCs w:val="32"/>
        </w:rPr>
        <w:t>）。《</w:t>
      </w:r>
      <w:r>
        <w:rPr>
          <w:rFonts w:hint="eastAsia" w:ascii="仿宋_GB2312" w:eastAsia="仿宋_GB2312" w:cs="仿宋_GB2312"/>
          <w:sz w:val="32"/>
          <w:szCs w:val="32"/>
          <w:lang w:eastAsia="zh-CN"/>
        </w:rPr>
        <w:t>民政局困难残疾人生活补贴</w:t>
      </w:r>
      <w:r>
        <w:rPr>
          <w:rFonts w:hint="eastAsia" w:ascii="仿宋_GB2312" w:eastAsia="仿宋_GB2312" w:cs="仿宋_GB2312"/>
          <w:sz w:val="32"/>
          <w:szCs w:val="32"/>
        </w:rPr>
        <w:t>项目</w:t>
      </w:r>
      <w:r>
        <w:rPr>
          <w:rFonts w:ascii="仿宋_GB2312" w:eastAsia="仿宋_GB2312" w:cs="仿宋_GB2312"/>
          <w:sz w:val="32"/>
          <w:szCs w:val="32"/>
        </w:rPr>
        <w:t>2020</w:t>
      </w:r>
      <w:r>
        <w:rPr>
          <w:rFonts w:hint="eastAsia" w:ascii="仿宋_GB2312" w:eastAsia="仿宋_GB2312" w:cs="仿宋_GB2312"/>
          <w:sz w:val="32"/>
          <w:szCs w:val="32"/>
        </w:rPr>
        <w:t>年绩效评价报告》见附件（附件</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w:t>
      </w:r>
      <w:r>
        <w:rPr>
          <w:rFonts w:hint="eastAsia" w:ascii="仿宋_GB2312" w:eastAsia="仿宋_GB2312" w:cs="仿宋_GB2312"/>
          <w:sz w:val="32"/>
          <w:szCs w:val="32"/>
          <w:lang w:eastAsia="zh-CN"/>
        </w:rPr>
        <w:t>民政局重度残疾人生活补助</w:t>
      </w:r>
      <w:r>
        <w:rPr>
          <w:rFonts w:hint="eastAsia" w:ascii="仿宋_GB2312" w:eastAsia="仿宋_GB2312" w:cs="仿宋_GB2312"/>
          <w:sz w:val="32"/>
          <w:szCs w:val="32"/>
        </w:rPr>
        <w:t>项目</w:t>
      </w:r>
      <w:r>
        <w:rPr>
          <w:rFonts w:ascii="仿宋_GB2312" w:eastAsia="仿宋_GB2312" w:cs="仿宋_GB2312"/>
          <w:sz w:val="32"/>
          <w:szCs w:val="32"/>
        </w:rPr>
        <w:t>2020</w:t>
      </w:r>
      <w:r>
        <w:rPr>
          <w:rFonts w:hint="eastAsia" w:ascii="仿宋_GB2312" w:eastAsia="仿宋_GB2312" w:cs="仿宋_GB2312"/>
          <w:sz w:val="32"/>
          <w:szCs w:val="32"/>
        </w:rPr>
        <w:t>年绩效评价报告》见附件（附件</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w:t>
      </w:r>
      <w:r>
        <w:rPr>
          <w:rFonts w:hint="eastAsia" w:ascii="仿宋_GB2312" w:eastAsia="仿宋_GB2312" w:cs="仿宋_GB2312"/>
          <w:sz w:val="32"/>
          <w:szCs w:val="32"/>
          <w:lang w:eastAsia="zh-CN"/>
        </w:rPr>
        <w:t>民政局临时价格补贴</w:t>
      </w:r>
      <w:r>
        <w:rPr>
          <w:rFonts w:hint="eastAsia" w:ascii="仿宋_GB2312" w:eastAsia="仿宋_GB2312" w:cs="仿宋_GB2312"/>
          <w:sz w:val="32"/>
          <w:szCs w:val="32"/>
        </w:rPr>
        <w:t>项目</w:t>
      </w:r>
      <w:r>
        <w:rPr>
          <w:rFonts w:ascii="仿宋_GB2312" w:eastAsia="仿宋_GB2312" w:cs="仿宋_GB2312"/>
          <w:sz w:val="32"/>
          <w:szCs w:val="32"/>
        </w:rPr>
        <w:t>2020</w:t>
      </w:r>
      <w:r>
        <w:rPr>
          <w:rFonts w:hint="eastAsia" w:ascii="仿宋_GB2312" w:eastAsia="仿宋_GB2312" w:cs="仿宋_GB2312"/>
          <w:sz w:val="32"/>
          <w:szCs w:val="32"/>
        </w:rPr>
        <w:t>年绩效评价报告》见附件（附件</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w:t>
      </w:r>
      <w:r>
        <w:rPr>
          <w:rFonts w:ascii="仿宋_GB2312" w:eastAsia="仿宋_GB2312"/>
          <w:b/>
          <w:color w:val="000000"/>
          <w:sz w:val="32"/>
          <w:szCs w:val="32"/>
        </w:rPr>
        <w:br w:type="page"/>
      </w:r>
    </w:p>
    <w:p>
      <w:pPr>
        <w:widowControl/>
        <w:jc w:val="left"/>
        <w:rPr>
          <w:rFonts w:ascii="Times New Roman" w:hAnsi="Times New Roman" w:eastAsia="宋体" w:cs="Times New Roman"/>
          <w:kern w:val="2"/>
          <w:sz w:val="21"/>
          <w:szCs w:val="24"/>
          <w:lang w:val="en-US" w:eastAsia="zh-CN" w:bidi="ar-SA"/>
        </w:rPr>
      </w:pPr>
    </w:p>
    <w:p>
      <w:pPr>
        <w:numPr>
          <w:ilvl w:val="0"/>
          <w:numId w:val="4"/>
        </w:numPr>
        <w:spacing w:line="576" w:lineRule="exact"/>
        <w:ind w:left="0" w:firstLine="660" w:firstLineChars="150"/>
        <w:jc w:val="center"/>
        <w:outlineLvl w:val="0"/>
        <w:rPr>
          <w:rStyle w:val="20"/>
          <w:rFonts w:ascii="黑体" w:eastAsia="黑体"/>
          <w:b w:val="0"/>
        </w:rPr>
      </w:pPr>
      <w:bookmarkStart w:id="144" w:name="_Toc24494"/>
      <w:bookmarkStart w:id="145" w:name="_Toc17211"/>
      <w:bookmarkStart w:id="146" w:name="_Toc15396613"/>
      <w:bookmarkStart w:id="147" w:name="_Toc20117"/>
      <w:bookmarkStart w:id="148" w:name="_Toc15377225"/>
      <w:r>
        <w:rPr>
          <w:rFonts w:hint="eastAsia" w:ascii="黑体" w:eastAsia="黑体"/>
          <w:color w:val="000000"/>
          <w:sz w:val="44"/>
          <w:szCs w:val="44"/>
        </w:rPr>
        <w:t>名</w:t>
      </w:r>
      <w:r>
        <w:rPr>
          <w:rStyle w:val="20"/>
          <w:rFonts w:hint="eastAsia" w:ascii="黑体" w:eastAsia="黑体"/>
          <w:b w:val="0"/>
        </w:rPr>
        <w:t>词解释</w:t>
      </w:r>
      <w:bookmarkEnd w:id="144"/>
      <w:bookmarkEnd w:id="145"/>
      <w:bookmarkEnd w:id="146"/>
      <w:bookmarkEnd w:id="147"/>
      <w:bookmarkEnd w:id="148"/>
    </w:p>
    <w:p>
      <w:pPr>
        <w:spacing w:line="576" w:lineRule="exact"/>
        <w:jc w:val="left"/>
        <w:rPr>
          <w:rFonts w:ascii="宋体"/>
          <w:b/>
          <w:color w:val="000000"/>
          <w:sz w:val="44"/>
          <w:szCs w:val="44"/>
        </w:rPr>
      </w:pPr>
    </w:p>
    <w:p>
      <w:pPr>
        <w:pStyle w:val="25"/>
        <w:spacing w:line="576" w:lineRule="exact"/>
        <w:ind w:firstLine="640" w:firstLineChars="200"/>
        <w:rPr>
          <w:rFonts w:ascii="仿宋_GB2312" w:eastAsia="仿宋_GB2312"/>
          <w:sz w:val="32"/>
          <w:szCs w:val="32"/>
        </w:rPr>
      </w:pPr>
      <w:bookmarkStart w:id="149" w:name="_Toc15396614"/>
      <w:bookmarkStart w:id="150" w:name="_Toc15377226"/>
      <w:r>
        <w:rPr>
          <w:rFonts w:hint="eastAsia" w:ascii="仿宋_GB2312" w:eastAsia="仿宋_GB2312"/>
          <w:sz w:val="32"/>
          <w:szCs w:val="32"/>
        </w:rPr>
        <w:t>1.财政拨款收入：指单位从同级财政部门取得的财政预算资金。</w:t>
      </w:r>
    </w:p>
    <w:p>
      <w:pPr>
        <w:pStyle w:val="25"/>
        <w:spacing w:line="576"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25"/>
        <w:spacing w:line="576"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25"/>
        <w:spacing w:line="576"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4.其他收入：指单位取得的除上述收入以外的各项收入。 </w:t>
      </w:r>
    </w:p>
    <w:p>
      <w:pPr>
        <w:pStyle w:val="25"/>
        <w:spacing w:line="576"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5"/>
        <w:spacing w:line="576"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pStyle w:val="25"/>
        <w:spacing w:line="576" w:lineRule="exact"/>
        <w:ind w:firstLine="640" w:firstLineChars="200"/>
        <w:rPr>
          <w:rFonts w:ascii="仿宋_GB2312" w:eastAsia="仿宋_GB2312"/>
          <w:sz w:val="32"/>
          <w:szCs w:val="32"/>
        </w:rPr>
      </w:pPr>
      <w:r>
        <w:rPr>
          <w:rFonts w:hint="eastAsia" w:ascii="仿宋_GB2312" w:eastAsia="仿宋_GB2312"/>
          <w:sz w:val="32"/>
          <w:szCs w:val="32"/>
        </w:rPr>
        <w:t>7.结余分配：指事业单位按照事业单位会计制度的规定从非财政补助结余中分配的事业基金和职工福利基金等。</w:t>
      </w:r>
    </w:p>
    <w:p>
      <w:pPr>
        <w:pStyle w:val="25"/>
        <w:spacing w:line="576" w:lineRule="exact"/>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9.一般公共服务（类）其他一般公共服务支出（款）其他一般公共服务支出（项）：指反映除上述项目以外的其他一般公共服务支出。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10.社会保障和就业（类）民政管理事务（款）行政运行（项）：指行政单位（包括实行公务员管理的事业单位）的基本支出。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11.社会保障和就业（类）民政管理事务（款）其他民政管理事务支出（项）：指民政部门接待来访、法制建设、政策宣传方面的支出，以及开展优抚安置、救灾减灾、社会救助、社会福利、婚姻登记、社会事务、信息化建设等专项业务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12.社会保障和就业（类）行政事业单位离退休（款）机关事业单位基本养老保险缴费支出（项）：指机关事业单位实施养老保险制度由单位缴纳的基本养老保险费支出。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13.社会保障和就业（类）行政事业单位离退休（款）机关事业单位职业年金缴费支出（项）：指机关事业单位实施养老保险制度由单位实际缴纳的职业年金支出。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4.社会保障和就业（类）社会福利（款）儿童福利（项）：指对儿童提供服务福利方面的支出。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5.社会保障和就业（类）社会福利（款）老年福利（项）：指对老年人提供服务福利方面的支出。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hint="eastAsia" w:ascii="仿宋_GB2312" w:eastAsia="仿宋_GB2312"/>
          <w:color w:val="000000"/>
          <w:sz w:val="32"/>
          <w:szCs w:val="32"/>
        </w:rPr>
        <w:t>.社会保障和就业（类）社会福利（款）其他社会福利支出（项）：指除上述项目以外其他用于社会福利方面的支出。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hint="eastAsia" w:ascii="仿宋_GB2312" w:eastAsia="仿宋_GB2312"/>
          <w:color w:val="000000"/>
          <w:sz w:val="32"/>
          <w:szCs w:val="32"/>
        </w:rPr>
        <w:t>.社会保障和就业（类）残疾人事业（款）残疾人生活和护理补贴（项）：指困难残疾人生活补贴和重度残疾人护理补贴的支出。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.社会保障和就业（类）最低生活保障（款）城市最低生活保障金支出（项）：指城市最低生活保障对象的最低生活保障金支出。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.社会保障和就业（类）最低生活保障（款）农村最低生活保障金支出（项）：指农村最低生活保障对象的最低生活保障金支出。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.社会保障和就业（类）临时救助（款）临时救助支出（项）：指用于城乡困难居民的临时救助支出。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.社会保障和就业（类）特困人员救助供养（款）城市特困人员救助供养支出（项）：指城市特困人员救助供养支出。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.社会保障和就业（类）特困人员救助供养（款）农村特困人员救助供养支出（项）：指农村特困人员救助供养支出。</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.社会保障和就业（类）其他生活救助（款）其他农村生活救助（项）：指除最低生活保障、临时救助、特困人员供养、自然灾害生活救助外，用于农村生活困难居民生活救助的其他支出。</w:t>
      </w:r>
    </w:p>
    <w:p>
      <w:pPr>
        <w:spacing w:line="576"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社会保障和就业（类）</w:t>
      </w:r>
      <w:r>
        <w:rPr>
          <w:rFonts w:hint="eastAsia" w:ascii="仿宋_GB2312" w:eastAsia="仿宋_GB2312"/>
          <w:color w:val="000000"/>
          <w:sz w:val="32"/>
          <w:szCs w:val="32"/>
          <w:lang w:eastAsia="zh-CN"/>
        </w:rPr>
        <w:t>退役军人管理事务</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拥军优属</w:t>
      </w:r>
      <w:r>
        <w:rPr>
          <w:rFonts w:hint="eastAsia" w:ascii="仿宋_GB2312" w:eastAsia="仿宋_GB2312"/>
          <w:color w:val="000000"/>
          <w:sz w:val="32"/>
          <w:szCs w:val="32"/>
        </w:rPr>
        <w:t>（项）：</w:t>
      </w:r>
      <w:r>
        <w:rPr>
          <w:rFonts w:hint="eastAsia" w:ascii="仿宋_GB2312" w:eastAsia="仿宋_GB2312"/>
          <w:color w:val="000000"/>
          <w:sz w:val="32"/>
          <w:szCs w:val="32"/>
          <w:lang w:eastAsia="zh-CN"/>
        </w:rPr>
        <w:t>指开展拥军优属活动的支出。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.社会保障和就业（类）其他社会保障和就业支出（款）其他社会保障和就业支出（项）：指除上述项目以外其他用于社会保障和就业方面的支出。</w:t>
      </w:r>
    </w:p>
    <w:p>
      <w:pPr>
        <w:widowControl/>
        <w:spacing w:line="576"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6.卫生健康支出（类）行政事业单位医疗（款）行政单位医疗（项）：指机关及参公管理事业单位用于缴纳单位基本医疗保险支出。</w:t>
      </w:r>
    </w:p>
    <w:p>
      <w:pPr>
        <w:widowControl/>
        <w:spacing w:line="576"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7.卫生健康支出（类）行政事业单位医疗（款）</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单位医疗（项）：指事业单位用于缴纳单位基本医疗保险支出。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28</w:t>
      </w:r>
      <w:r>
        <w:rPr>
          <w:rFonts w:hint="eastAsia" w:ascii="仿宋_GB2312" w:eastAsia="仿宋_GB2312"/>
          <w:color w:val="000000"/>
          <w:sz w:val="32"/>
          <w:szCs w:val="32"/>
        </w:rPr>
        <w:t>.农林水支出（类）扶贫（款）其他扶贫支出（项）：指反映除上述项目以外其他用于扶贫方面的支出。</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29</w:t>
      </w:r>
      <w:r>
        <w:rPr>
          <w:rFonts w:hint="eastAsia" w:ascii="仿宋_GB2312" w:eastAsia="仿宋_GB2312"/>
          <w:color w:val="000000"/>
          <w:sz w:val="32"/>
          <w:szCs w:val="32"/>
        </w:rPr>
        <w:t>.住房保障支出（类）住房改革支出（款）住房公积金（项）：指行政事业单位按人力资源和社会保障部、财政部规定的基本工资和津贴补贴以及规定比例为职工缴纳的住房公积金。</w:t>
      </w:r>
    </w:p>
    <w:p>
      <w:pPr>
        <w:spacing w:line="576"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30.</w:t>
      </w:r>
      <w:r>
        <w:rPr>
          <w:rFonts w:hint="eastAsia" w:ascii="仿宋_GB2312" w:eastAsia="仿宋_GB2312"/>
          <w:color w:val="000000"/>
          <w:sz w:val="32"/>
          <w:szCs w:val="32"/>
        </w:rPr>
        <w:t>住房保障支出（类）住房改革支出（款）</w:t>
      </w:r>
      <w:r>
        <w:rPr>
          <w:rFonts w:hint="eastAsia" w:ascii="仿宋_GB2312" w:eastAsia="仿宋_GB2312"/>
          <w:color w:val="000000"/>
          <w:sz w:val="32"/>
          <w:szCs w:val="32"/>
          <w:lang w:eastAsia="zh-CN"/>
        </w:rPr>
        <w:t>购房补贴</w:t>
      </w:r>
      <w:r>
        <w:rPr>
          <w:rFonts w:hint="eastAsia" w:ascii="仿宋_GB2312" w:eastAsia="仿宋_GB2312"/>
          <w:color w:val="000000"/>
          <w:sz w:val="32"/>
          <w:szCs w:val="32"/>
        </w:rPr>
        <w:t>（项）：</w:t>
      </w:r>
      <w:r>
        <w:rPr>
          <w:rFonts w:hint="eastAsia" w:ascii="仿宋_GB2312" w:eastAsia="仿宋_GB2312"/>
          <w:color w:val="000000"/>
          <w:sz w:val="32"/>
          <w:szCs w:val="32"/>
          <w:lang w:eastAsia="zh-CN"/>
        </w:rPr>
        <w:t>指按房改政策规定，行政事业单位向符合条件职工（含离退休人员）、军队（含武警）向转役复员离退休人员发放的用于购买住房的补贴。</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灾害防治及应急管理支出（类）自然灾害救灾及恢复重建支出（款）中央自然灾害生活补助（项）：指中央预算对遭受特大自然灾害地区的地方政府在安排受灾群众吃、穿、住和抢救、转移、安置、治病等经费发生困难时给予的专项补助，以及为抗御特大自然灾害而设立的中央级救灾物资储备资金。</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32</w:t>
      </w:r>
      <w:r>
        <w:rPr>
          <w:rFonts w:hint="eastAsia" w:ascii="仿宋_GB2312" w:eastAsia="仿宋_GB2312"/>
          <w:color w:val="000000"/>
          <w:sz w:val="32"/>
          <w:szCs w:val="32"/>
        </w:rPr>
        <w:t>.其他支出（类）彩票公益金安排的支出（款）用于社会福利的彩票公益金支出（项）：指用于社会福利和社会救助的彩票公益金支出。</w:t>
      </w:r>
    </w:p>
    <w:p>
      <w:pPr>
        <w:spacing w:line="576"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33</w:t>
      </w:r>
      <w:r>
        <w:rPr>
          <w:rFonts w:hint="eastAsia" w:ascii="仿宋_GB2312" w:eastAsia="仿宋_GB2312"/>
          <w:color w:val="000000"/>
          <w:sz w:val="32"/>
          <w:szCs w:val="32"/>
        </w:rPr>
        <w:t>.其他支出（类）</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（款）</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（项）：</w:t>
      </w:r>
      <w:r>
        <w:rPr>
          <w:rFonts w:hint="eastAsia" w:ascii="仿宋_GB2312" w:eastAsia="仿宋_GB2312"/>
          <w:color w:val="000000"/>
          <w:sz w:val="32"/>
          <w:szCs w:val="32"/>
          <w:lang w:eastAsia="zh-CN"/>
        </w:rPr>
        <w:t>指用于其他支出。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34</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35</w:t>
      </w:r>
      <w:r>
        <w:rPr>
          <w:rFonts w:hint="eastAsia" w:ascii="仿宋_GB2312" w:eastAsia="仿宋_GB2312"/>
          <w:color w:val="000000"/>
          <w:sz w:val="32"/>
          <w:szCs w:val="32"/>
        </w:rPr>
        <w:t xml:space="preserve">.项目支出：指在基本支出之外为完成特定行政任务和事业发展目标所发生的支出。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36</w:t>
      </w:r>
      <w:r>
        <w:rPr>
          <w:rFonts w:hint="eastAsia" w:ascii="仿宋_GB2312" w:eastAsia="仿宋_GB2312"/>
          <w:color w:val="000000"/>
          <w:sz w:val="32"/>
          <w:szCs w:val="32"/>
        </w:rPr>
        <w:t>.经营支出：指事业单位在专业业务活动及其辅助活动之外开展非独立核算经营活动发生的支出。</w:t>
      </w:r>
    </w:p>
    <w:p>
      <w:pPr>
        <w:pStyle w:val="25"/>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37</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38</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76" w:lineRule="exact"/>
        <w:jc w:val="center"/>
        <w:outlineLvl w:val="0"/>
        <w:rPr>
          <w:rStyle w:val="20"/>
          <w:rFonts w:ascii="黑体" w:eastAsia="黑体"/>
          <w:b w:val="0"/>
        </w:rPr>
      </w:pPr>
      <w:r>
        <w:rPr>
          <w:rFonts w:hint="eastAsia" w:ascii="仿宋_GB2312" w:eastAsia="仿宋_GB2312"/>
          <w:b/>
          <w:color w:val="000000"/>
          <w:sz w:val="32"/>
          <w:szCs w:val="32"/>
        </w:rPr>
        <w:br w:type="page"/>
      </w:r>
      <w:bookmarkStart w:id="151" w:name="_Toc2717"/>
      <w:bookmarkStart w:id="152" w:name="_Toc32420"/>
      <w:bookmarkStart w:id="153" w:name="_Toc1343"/>
      <w:r>
        <w:rPr>
          <w:rFonts w:hint="eastAsia" w:ascii="黑体" w:eastAsia="黑体"/>
          <w:color w:val="000000"/>
          <w:sz w:val="44"/>
          <w:szCs w:val="44"/>
        </w:rPr>
        <w:t>第</w:t>
      </w:r>
      <w:r>
        <w:rPr>
          <w:rStyle w:val="20"/>
          <w:rFonts w:hint="eastAsia" w:ascii="黑体" w:eastAsia="黑体"/>
          <w:b w:val="0"/>
        </w:rPr>
        <w:t>四部分 附件</w:t>
      </w:r>
      <w:bookmarkEnd w:id="149"/>
      <w:bookmarkEnd w:id="151"/>
      <w:bookmarkEnd w:id="152"/>
      <w:bookmarkEnd w:id="153"/>
    </w:p>
    <w:p>
      <w:pPr>
        <w:spacing w:line="576" w:lineRule="exact"/>
        <w:jc w:val="left"/>
        <w:outlineLvl w:val="0"/>
        <w:rPr>
          <w:rFonts w:ascii="仿宋_GB2312" w:eastAsia="仿宋_GB2312" w:cs="方正小标宋简体"/>
          <w:sz w:val="32"/>
          <w:szCs w:val="32"/>
        </w:rPr>
      </w:pPr>
      <w:bookmarkStart w:id="154" w:name="_Toc31187"/>
      <w:bookmarkStart w:id="155" w:name="_Toc9967"/>
      <w:bookmarkStart w:id="156" w:name="_Toc24183"/>
      <w:r>
        <w:rPr>
          <w:rFonts w:hint="eastAsia" w:ascii="仿宋_GB2312" w:eastAsia="仿宋_GB2312" w:cs="黑体"/>
          <w:sz w:val="32"/>
          <w:szCs w:val="32"/>
        </w:rPr>
        <w:t>附件1</w:t>
      </w:r>
      <w:bookmarkEnd w:id="154"/>
      <w:bookmarkEnd w:id="155"/>
      <w:bookmarkEnd w:id="156"/>
    </w:p>
    <w:p>
      <w:pPr>
        <w:spacing w:line="576" w:lineRule="exact"/>
        <w:jc w:val="center"/>
        <w:rPr>
          <w:rFonts w:ascii="方正小标宋简体" w:eastAsia="方正小标宋简体" w:cs="方正小标宋简体"/>
          <w:sz w:val="44"/>
          <w:szCs w:val="44"/>
        </w:rPr>
      </w:pPr>
    </w:p>
    <w:p>
      <w:pPr>
        <w:pStyle w:val="4"/>
        <w:bidi w:val="0"/>
        <w:jc w:val="center"/>
        <w:rPr>
          <w:rFonts w:hint="eastAsia" w:ascii="方正小标宋简体" w:eastAsia="方正小标宋简体" w:cs="Times New Roman"/>
          <w:b w:val="0"/>
          <w:bCs w:val="0"/>
          <w:kern w:val="2"/>
          <w:sz w:val="44"/>
          <w:szCs w:val="44"/>
          <w:lang w:val="en-US" w:eastAsia="zh-CN" w:bidi="ar-SA"/>
        </w:rPr>
      </w:pPr>
      <w:bookmarkStart w:id="157" w:name="_Toc11074"/>
      <w:bookmarkStart w:id="158" w:name="_Toc7770"/>
      <w:bookmarkStart w:id="159" w:name="_Toc12425"/>
      <w:r>
        <w:rPr>
          <w:rFonts w:hint="eastAsia" w:ascii="方正小标宋简体" w:eastAsia="方正小标宋简体" w:cs="Times New Roman"/>
          <w:b w:val="0"/>
          <w:bCs w:val="0"/>
          <w:kern w:val="2"/>
          <w:sz w:val="44"/>
          <w:szCs w:val="44"/>
          <w:lang w:val="en-US" w:eastAsia="zh-CN" w:bidi="ar-SA"/>
        </w:rPr>
        <w:t>茂县民政局2020年部门</w:t>
      </w:r>
      <w:r>
        <w:rPr>
          <w:rFonts w:hint="eastAsia" w:ascii="方正小标宋简体" w:eastAsia="方正小标宋简体" w:cs="Times New Roman"/>
          <w:b w:val="0"/>
          <w:bCs w:val="0"/>
          <w:kern w:val="2"/>
          <w:sz w:val="44"/>
          <w:szCs w:val="44"/>
          <w:lang w:val="zh-CN" w:eastAsia="zh-CN" w:bidi="ar-SA"/>
        </w:rPr>
        <w:t>整体支出绩效评价报告</w:t>
      </w:r>
      <w:bookmarkEnd w:id="157"/>
      <w:bookmarkEnd w:id="158"/>
      <w:bookmarkEnd w:id="159"/>
    </w:p>
    <w:p>
      <w:pPr>
        <w:widowControl/>
        <w:adjustRightInd w:val="0"/>
        <w:snapToGrid w:val="0"/>
        <w:spacing w:line="576"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部门概况</w:t>
      </w:r>
    </w:p>
    <w:p>
      <w:pPr>
        <w:spacing w:line="576" w:lineRule="exact"/>
        <w:ind w:firstLine="640" w:firstLineChars="200"/>
        <w:rPr>
          <w:rFonts w:hint="eastAsia" w:ascii="仿宋_GB2312" w:eastAsia="仿宋_GB2312" w:cs="Times New Roman"/>
          <w:sz w:val="32"/>
          <w:szCs w:val="32"/>
          <w:lang w:val="zh-CN"/>
        </w:rPr>
      </w:pPr>
      <w:bookmarkStart w:id="160" w:name="_Toc16397"/>
      <w:bookmarkStart w:id="161" w:name="_Toc18600"/>
      <w:r>
        <w:rPr>
          <w:rFonts w:hint="eastAsia" w:ascii="仿宋_GB2312" w:eastAsia="仿宋_GB2312" w:cs="Times New Roman"/>
          <w:sz w:val="32"/>
          <w:szCs w:val="32"/>
          <w:lang w:val="zh-CN"/>
        </w:rPr>
        <w:t>（一）机构组成</w:t>
      </w:r>
      <w:bookmarkEnd w:id="160"/>
      <w:bookmarkEnd w:id="161"/>
    </w:p>
    <w:p>
      <w:pPr>
        <w:spacing w:line="576" w:lineRule="exact"/>
        <w:ind w:firstLine="640" w:firstLineChars="200"/>
        <w:rPr>
          <w:rFonts w:hint="eastAsia" w:ascii="仿宋_GB2312" w:eastAsia="仿宋_GB2312" w:cs="Times New Roman"/>
          <w:sz w:val="32"/>
          <w:szCs w:val="32"/>
        </w:rPr>
      </w:pPr>
      <w:bookmarkStart w:id="162" w:name="_Toc7860"/>
      <w:bookmarkStart w:id="163" w:name="_Toc15312"/>
      <w:r>
        <w:rPr>
          <w:rFonts w:hint="eastAsia" w:ascii="仿宋_GB2312" w:eastAsia="仿宋_GB2312" w:cs="Times New Roman"/>
          <w:sz w:val="32"/>
          <w:szCs w:val="32"/>
        </w:rPr>
        <w:t>根据《茂县机构改革方案》（茂委〔2019〕10号）和《关于&lt;茂县机构改革方案&gt;的实施意见》（茂机改〔2019〕1号），制定本规定。</w:t>
      </w:r>
      <w:bookmarkEnd w:id="162"/>
      <w:bookmarkEnd w:id="163"/>
    </w:p>
    <w:p>
      <w:pPr>
        <w:spacing w:line="576" w:lineRule="exact"/>
        <w:ind w:firstLine="640" w:firstLineChars="200"/>
        <w:rPr>
          <w:rFonts w:hint="eastAsia" w:ascii="仿宋_GB2312" w:eastAsia="仿宋_GB2312" w:cs="Times New Roman"/>
          <w:sz w:val="32"/>
          <w:szCs w:val="32"/>
          <w:lang w:val="zh-CN"/>
        </w:rPr>
      </w:pPr>
      <w:r>
        <w:rPr>
          <w:rFonts w:hint="eastAsia" w:ascii="仿宋_GB2312" w:eastAsia="仿宋_GB2312" w:cs="Times New Roman"/>
          <w:sz w:val="32"/>
          <w:szCs w:val="32"/>
          <w:lang w:val="zh-CN"/>
        </w:rPr>
        <w:t>（二）机构职能</w:t>
      </w:r>
    </w:p>
    <w:p>
      <w:pPr>
        <w:spacing w:line="576"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（1）贯彻执行民政工作民族自治法规，拟订全县民政事业发展规划、工作计划，负责组织实施和监督检查全县民政事业政策、标准。</w:t>
      </w:r>
    </w:p>
    <w:p>
      <w:pPr>
        <w:spacing w:line="576"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（2）承担对社会团体、基金会、社会服务机构等社会组织登记和监督管理办法并组织实施，依法对社会组织进行登记管理和执法监督。</w:t>
      </w:r>
    </w:p>
    <w:p>
      <w:pPr>
        <w:spacing w:line="576"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（3）牵头实施和执行社会救助规划、政策和标准，统筹推进社会救助体系建设，负责城乡居民最低生活保障、特困人员救助供养、临时救助、生活无着流浪乞讨人员救助工作。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（4）负责指导实施城乡基层群众自治建设和社区治理政策，指导城乡社区治理体系、服务体系和治理能力建设，提出加强和改进城乡基层政权建设的建议，推动基层民主政治建设。</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5）负责实施全县行政区划管理政策和行政区域界线、地名管理办法，负责全县行政区域的设立、命名、撤销、变更和政府驻地迁移审核上报工作。组织并指导全县行政区域界线的勘定、管理工作，调处行政区域边界争议，负责地名管理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（6）负责组织实施婚姻管理政策，推进婚俗改革。</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（7）负责组织实施殡葬管理政策并规范服务，负责殡葬管理、救助服务机构管理工作，推进殡葬改革。</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（8）负责实施社会福利事业发展规划、政策和标准，负责拟订社会福利机构管理办法并指导实施。负责监督实施残疾人权益保护政策。统筹推进残疾人福利制度建设和康复辅助器具产业发展。</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9）统筹推进、督促指导、监督管理养老服务工作，组织实施养老服务体系建设规划、政策、标准，承担老年人福利和特殊困难老年人救助工作，协调推进农村留守老年人关爱服务工作，承担城乡老年社会组织管理工作。负责做好老年大学（学校）管理指导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（10）负责组织实施儿童福利、孤弃儿童保障、儿童收养、儿童救助保护政策和标准，健全农村留守儿童关爱服务体系和困境儿童保障制度。</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（11）组织实施促进慈善事业发展政策，指导社会捐助工作。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（12）负责组织实施社会工作、志愿服务政策和标准，会同有关部门推进社会工作人才队伍建设和志愿者队伍建设。</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（13）依法依规负责社会福利、养老服务、救助管理、殡葬服务机构的安全生产监督管理工作。负责职责范围内的意识形态、职业健康、生态环境保护、审批服务便民化工作。</w:t>
      </w:r>
    </w:p>
    <w:p>
      <w:pPr>
        <w:snapToGrid w:val="0"/>
        <w:spacing w:line="576" w:lineRule="exact"/>
        <w:ind w:firstLine="640" w:firstLineChars="200"/>
        <w:rPr>
          <w:rFonts w:ascii="仿宋_GB2312" w:eastAsia="仿宋_GB2312" w:cs="宋体"/>
          <w:color w:val="000000"/>
          <w:kern w:val="0"/>
          <w:sz w:val="32"/>
          <w:szCs w:val="32"/>
          <w:shd w:val="clear" w:color="auto" w:fill="FFFFFF"/>
          <w:lang w:val="zh-CN"/>
        </w:rPr>
      </w:pPr>
      <w:r>
        <w:rPr>
          <w:rFonts w:hint="eastAsia" w:ascii="仿宋_GB2312" w:eastAsia="仿宋_GB2312"/>
          <w:sz w:val="32"/>
          <w:szCs w:val="32"/>
        </w:rPr>
        <w:t>（14）完成县委、县人民政府交办的其他任务。</w:t>
      </w:r>
    </w:p>
    <w:p>
      <w:pPr>
        <w:pStyle w:val="26"/>
        <w:widowControl/>
        <w:numPr>
          <w:ilvl w:val="0"/>
          <w:numId w:val="5"/>
        </w:numPr>
        <w:adjustRightInd w:val="0"/>
        <w:snapToGrid w:val="0"/>
        <w:spacing w:line="576" w:lineRule="exact"/>
        <w:ind w:firstLineChars="0"/>
        <w:contextualSpacing/>
        <w:jc w:val="left"/>
        <w:rPr>
          <w:rFonts w:hint="eastAsia" w:ascii="楷体" w:eastAsia="楷体" w:cs="楷体"/>
          <w:b/>
          <w:bCs/>
          <w:color w:val="000000"/>
          <w:kern w:val="0"/>
          <w:sz w:val="32"/>
          <w:szCs w:val="32"/>
          <w:shd w:val="clear" w:color="auto" w:fill="FFFFFF"/>
          <w:lang w:val="zh-CN"/>
        </w:rPr>
      </w:pPr>
      <w:r>
        <w:rPr>
          <w:rFonts w:hint="eastAsia" w:ascii="楷体" w:eastAsia="楷体" w:cs="楷体"/>
          <w:b/>
          <w:bCs/>
          <w:color w:val="000000"/>
          <w:kern w:val="0"/>
          <w:sz w:val="32"/>
          <w:szCs w:val="32"/>
          <w:shd w:val="clear" w:color="auto" w:fill="FFFFFF"/>
          <w:lang w:val="zh-CN"/>
        </w:rPr>
        <w:t>人员概况</w:t>
      </w:r>
    </w:p>
    <w:p>
      <w:pPr>
        <w:pStyle w:val="14"/>
        <w:spacing w:before="0" w:beforeAutospacing="0" w:after="0" w:afterAutospacing="0" w:line="576" w:lineRule="exact"/>
        <w:ind w:firstLine="640" w:firstLineChars="200"/>
        <w:rPr>
          <w:rFonts w:ascii="仿宋_GB2312" w:eastAsia="仿宋_GB2312" w:cs="仿宋"/>
          <w:color w:val="000000"/>
          <w:sz w:val="32"/>
          <w:szCs w:val="32"/>
        </w:rPr>
      </w:pPr>
      <w:r>
        <w:rPr>
          <w:rFonts w:hint="eastAsia" w:ascii="仿宋_GB2312" w:eastAsia="仿宋_GB2312" w:cs="仿宋"/>
          <w:color w:val="000000"/>
          <w:sz w:val="32"/>
          <w:szCs w:val="32"/>
        </w:rPr>
        <w:t>茂县民政局属行政机关单位，下属3个事业部门。在职人员总数</w:t>
      </w:r>
      <w:r>
        <w:rPr>
          <w:rFonts w:hint="eastAsia" w:ascii="仿宋_GB2312" w:eastAsia="仿宋_GB2312" w:cs="仿宋"/>
          <w:color w:val="000000"/>
          <w:sz w:val="32"/>
          <w:szCs w:val="32"/>
          <w:lang w:val="en-US" w:eastAsia="zh-CN"/>
        </w:rPr>
        <w:t>25</w:t>
      </w:r>
      <w:r>
        <w:rPr>
          <w:rFonts w:hint="eastAsia" w:ascii="仿宋_GB2312" w:eastAsia="仿宋_GB2312" w:cs="仿宋"/>
          <w:color w:val="000000"/>
          <w:sz w:val="32"/>
          <w:szCs w:val="32"/>
        </w:rPr>
        <w:t>人，其中：行政人员</w:t>
      </w:r>
      <w:r>
        <w:rPr>
          <w:rFonts w:hint="eastAsia" w:ascii="仿宋_GB2312" w:eastAsia="仿宋_GB2312" w:cs="仿宋"/>
          <w:color w:val="000000"/>
          <w:sz w:val="32"/>
          <w:szCs w:val="32"/>
          <w:lang w:val="en-US" w:eastAsia="zh-CN"/>
        </w:rPr>
        <w:t>8</w:t>
      </w:r>
      <w:r>
        <w:rPr>
          <w:rFonts w:hint="eastAsia" w:ascii="仿宋_GB2312" w:eastAsia="仿宋_GB2312" w:cs="仿宋"/>
          <w:color w:val="000000"/>
          <w:sz w:val="32"/>
          <w:szCs w:val="32"/>
        </w:rPr>
        <w:t>人，其他事业人员</w:t>
      </w:r>
      <w:r>
        <w:rPr>
          <w:rFonts w:hint="eastAsia" w:ascii="仿宋_GB2312" w:eastAsia="仿宋_GB2312" w:cs="仿宋"/>
          <w:color w:val="000000"/>
          <w:sz w:val="32"/>
          <w:szCs w:val="32"/>
          <w:lang w:val="en-US" w:eastAsia="zh-CN"/>
        </w:rPr>
        <w:t>17</w:t>
      </w:r>
      <w:r>
        <w:rPr>
          <w:rFonts w:hint="eastAsia" w:ascii="仿宋_GB2312" w:eastAsia="仿宋_GB2312" w:cs="仿宋"/>
          <w:color w:val="000000"/>
          <w:sz w:val="32"/>
          <w:szCs w:val="32"/>
        </w:rPr>
        <w:t>人。</w:t>
      </w:r>
    </w:p>
    <w:p>
      <w:pPr>
        <w:pStyle w:val="14"/>
        <w:spacing w:before="0" w:beforeAutospacing="0" w:after="0" w:afterAutospacing="0" w:line="576" w:lineRule="exact"/>
        <w:ind w:firstLine="640" w:firstLineChars="200"/>
        <w:rPr>
          <w:rFonts w:ascii="黑体" w:eastAsia="黑体"/>
          <w:color w:val="000000"/>
          <w:sz w:val="32"/>
          <w:szCs w:val="32"/>
          <w:shd w:val="clear" w:color="auto" w:fill="FFFFFF"/>
        </w:rPr>
      </w:pPr>
      <w:r>
        <w:rPr>
          <w:rFonts w:hint="eastAsia" w:ascii="黑体" w:eastAsia="黑体"/>
          <w:color w:val="000000"/>
          <w:sz w:val="32"/>
          <w:szCs w:val="32"/>
          <w:shd w:val="clear" w:color="auto" w:fill="FFFFFF"/>
        </w:rPr>
        <w:t>二、部门财政资金收支情况</w:t>
      </w:r>
    </w:p>
    <w:p>
      <w:pPr>
        <w:pStyle w:val="14"/>
        <w:spacing w:before="0" w:beforeAutospacing="0" w:after="0" w:afterAutospacing="0" w:line="576" w:lineRule="exact"/>
        <w:ind w:firstLine="642" w:firstLineChars="200"/>
        <w:rPr>
          <w:rFonts w:hint="eastAsia" w:ascii="楷体" w:eastAsia="楷体" w:cs="楷体"/>
          <w:b/>
          <w:bCs/>
          <w:color w:val="000000"/>
          <w:kern w:val="0"/>
          <w:sz w:val="32"/>
          <w:szCs w:val="32"/>
          <w:shd w:val="clear" w:color="auto" w:fill="FFFFFF"/>
          <w:lang w:val="zh-CN" w:eastAsia="zh-CN" w:bidi="ar-SA"/>
        </w:rPr>
      </w:pPr>
      <w:r>
        <w:rPr>
          <w:rFonts w:hint="eastAsia" w:ascii="楷体" w:eastAsia="楷体" w:cs="楷体"/>
          <w:b/>
          <w:bCs/>
          <w:color w:val="000000"/>
          <w:kern w:val="0"/>
          <w:sz w:val="32"/>
          <w:szCs w:val="32"/>
          <w:shd w:val="clear" w:color="auto" w:fill="FFFFFF"/>
          <w:lang w:val="zh-CN" w:eastAsia="zh-CN" w:bidi="ar-SA"/>
        </w:rPr>
        <w:t>（一）部门财政资金收入情况</w:t>
      </w:r>
    </w:p>
    <w:p>
      <w:pPr>
        <w:widowControl/>
        <w:adjustRightInd w:val="0"/>
        <w:snapToGrid w:val="0"/>
        <w:spacing w:line="576" w:lineRule="exact"/>
        <w:ind w:firstLine="640" w:firstLineChars="200"/>
        <w:contextualSpacing/>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lang w:val="en-US" w:eastAsia="zh-CN"/>
        </w:rPr>
        <w:t>2020</w:t>
      </w:r>
      <w:r>
        <w:rPr>
          <w:rFonts w:hint="eastAsia" w:ascii="仿宋_GB2312" w:eastAsia="仿宋_GB2312" w:cs="仿宋"/>
          <w:color w:val="000000"/>
          <w:kern w:val="0"/>
          <w:sz w:val="32"/>
          <w:szCs w:val="32"/>
        </w:rPr>
        <w:t>年单位财政补助收入共计</w:t>
      </w:r>
      <w:r>
        <w:rPr>
          <w:rFonts w:hint="eastAsia" w:ascii="仿宋_GB2312" w:eastAsia="仿宋_GB2312" w:cs="仿宋"/>
          <w:color w:val="000000"/>
          <w:kern w:val="0"/>
          <w:sz w:val="32"/>
          <w:szCs w:val="32"/>
          <w:lang w:val="en-US" w:eastAsia="zh-CN"/>
        </w:rPr>
        <w:t>6549.14</w:t>
      </w:r>
      <w:r>
        <w:rPr>
          <w:rFonts w:hint="eastAsia" w:ascii="仿宋_GB2312" w:eastAsia="仿宋_GB2312" w:cs="仿宋"/>
          <w:color w:val="000000"/>
          <w:kern w:val="0"/>
          <w:sz w:val="32"/>
          <w:szCs w:val="32"/>
        </w:rPr>
        <w:t>万元，无非财政补助收入、事业收入、经营收入、其他收入。</w:t>
      </w:r>
    </w:p>
    <w:p>
      <w:pPr>
        <w:pStyle w:val="14"/>
        <w:spacing w:before="0" w:beforeAutospacing="0" w:after="0" w:afterAutospacing="0" w:line="576" w:lineRule="exact"/>
        <w:ind w:firstLine="642" w:firstLineChars="200"/>
        <w:rPr>
          <w:rFonts w:hint="eastAsia" w:ascii="楷体" w:eastAsia="楷体" w:cs="楷体"/>
          <w:b/>
          <w:bCs/>
          <w:color w:val="000000"/>
          <w:kern w:val="0"/>
          <w:sz w:val="32"/>
          <w:szCs w:val="32"/>
          <w:shd w:val="clear" w:color="auto" w:fill="FFFFFF"/>
          <w:lang w:val="zh-CN" w:eastAsia="zh-CN" w:bidi="ar-SA"/>
        </w:rPr>
      </w:pPr>
      <w:r>
        <w:rPr>
          <w:rFonts w:hint="eastAsia" w:ascii="楷体" w:eastAsia="楷体" w:cs="楷体"/>
          <w:b/>
          <w:bCs/>
          <w:color w:val="000000"/>
          <w:kern w:val="0"/>
          <w:sz w:val="32"/>
          <w:szCs w:val="32"/>
          <w:shd w:val="clear" w:color="auto" w:fill="FFFFFF"/>
          <w:lang w:val="zh-CN" w:eastAsia="zh-CN" w:bidi="ar-SA"/>
        </w:rPr>
        <w:t>（二）部门财政资金支出情况</w:t>
      </w:r>
    </w:p>
    <w:p>
      <w:pPr>
        <w:widowControl/>
        <w:adjustRightInd w:val="0"/>
        <w:snapToGrid w:val="0"/>
        <w:spacing w:line="576" w:lineRule="exact"/>
        <w:ind w:firstLine="640" w:firstLineChars="200"/>
        <w:contextualSpacing/>
        <w:jc w:val="left"/>
        <w:rPr>
          <w:rFonts w:ascii="仿宋_GB2312" w:eastAsia="仿宋_GB2312" w:cs="仿宋"/>
          <w:color w:val="000000"/>
          <w:sz w:val="32"/>
          <w:szCs w:val="32"/>
        </w:rPr>
      </w:pPr>
      <w:r>
        <w:rPr>
          <w:rFonts w:hint="eastAsia" w:ascii="仿宋_GB2312" w:eastAsia="仿宋_GB2312" w:cs="仿宋"/>
          <w:color w:val="000000"/>
          <w:sz w:val="32"/>
          <w:szCs w:val="32"/>
          <w:lang w:val="en-US" w:eastAsia="zh-CN"/>
        </w:rPr>
        <w:t>2020</w:t>
      </w:r>
      <w:r>
        <w:rPr>
          <w:rFonts w:hint="eastAsia" w:ascii="仿宋_GB2312" w:eastAsia="仿宋_GB2312" w:cs="仿宋"/>
          <w:color w:val="000000"/>
          <w:sz w:val="32"/>
          <w:szCs w:val="32"/>
        </w:rPr>
        <w:t>年单位支出共计</w:t>
      </w:r>
      <w:r>
        <w:rPr>
          <w:rFonts w:hint="eastAsia" w:ascii="仿宋_GB2312" w:eastAsia="仿宋_GB2312" w:cs="仿宋"/>
          <w:color w:val="000000"/>
          <w:sz w:val="32"/>
          <w:szCs w:val="32"/>
          <w:lang w:val="en-US" w:eastAsia="zh-CN"/>
        </w:rPr>
        <w:t>6482.22</w:t>
      </w:r>
      <w:r>
        <w:rPr>
          <w:rFonts w:hint="eastAsia" w:ascii="仿宋_GB2312" w:eastAsia="仿宋_GB2312" w:cs="仿宋"/>
          <w:color w:val="000000"/>
          <w:sz w:val="32"/>
          <w:szCs w:val="32"/>
        </w:rPr>
        <w:t>万元，均为财政补助支出。</w:t>
      </w:r>
    </w:p>
    <w:p>
      <w:pPr>
        <w:widowControl/>
        <w:adjustRightInd w:val="0"/>
        <w:snapToGrid w:val="0"/>
        <w:spacing w:line="576" w:lineRule="exact"/>
        <w:ind w:firstLine="640" w:firstLineChars="200"/>
        <w:contextualSpacing/>
        <w:jc w:val="left"/>
        <w:rPr>
          <w:rFonts w:ascii="仿宋_GB2312" w:eastAsia="仿宋_GB2312" w:cs="仿宋"/>
          <w:color w:val="000000"/>
          <w:sz w:val="32"/>
          <w:szCs w:val="32"/>
          <w:lang w:val="en-US" w:eastAsia="zh-CN"/>
        </w:rPr>
      </w:pPr>
      <w:r>
        <w:rPr>
          <w:rFonts w:hint="eastAsia" w:ascii="仿宋_GB2312" w:eastAsia="仿宋_GB2312" w:cs="仿宋"/>
          <w:color w:val="000000"/>
          <w:sz w:val="32"/>
          <w:szCs w:val="32"/>
        </w:rPr>
        <w:t>1.本年财政补助支出按功能科目分类包括：社会保障和就业支出</w:t>
      </w:r>
      <w:r>
        <w:rPr>
          <w:rFonts w:hint="eastAsia" w:ascii="仿宋_GB2312" w:eastAsia="仿宋_GB2312" w:cs="仿宋"/>
          <w:color w:val="000000"/>
          <w:sz w:val="32"/>
          <w:szCs w:val="32"/>
          <w:lang w:val="en-US" w:eastAsia="zh-CN"/>
        </w:rPr>
        <w:t>6328.29</w:t>
      </w:r>
      <w:r>
        <w:rPr>
          <w:rFonts w:hint="eastAsia" w:ascii="仿宋_GB2312" w:eastAsia="仿宋_GB2312" w:cs="仿宋"/>
          <w:color w:val="000000"/>
          <w:sz w:val="32"/>
          <w:szCs w:val="32"/>
        </w:rPr>
        <w:t>万元；卫生健康支出</w:t>
      </w:r>
      <w:r>
        <w:rPr>
          <w:rFonts w:hint="eastAsia" w:ascii="仿宋_GB2312" w:eastAsia="仿宋_GB2312" w:cs="仿宋"/>
          <w:color w:val="000000"/>
          <w:sz w:val="32"/>
          <w:szCs w:val="32"/>
          <w:lang w:val="en-US" w:eastAsia="zh-CN"/>
        </w:rPr>
        <w:t>25.87</w:t>
      </w:r>
      <w:r>
        <w:rPr>
          <w:rFonts w:hint="eastAsia" w:ascii="仿宋_GB2312" w:eastAsia="仿宋_GB2312" w:cs="仿宋"/>
          <w:color w:val="000000"/>
          <w:sz w:val="32"/>
          <w:szCs w:val="32"/>
        </w:rPr>
        <w:t>万元；农林水支出</w:t>
      </w:r>
      <w:r>
        <w:rPr>
          <w:rFonts w:hint="eastAsia" w:ascii="仿宋_GB2312" w:eastAsia="仿宋_GB2312" w:cs="仿宋"/>
          <w:color w:val="000000"/>
          <w:sz w:val="32"/>
          <w:szCs w:val="32"/>
          <w:lang w:val="en-US" w:eastAsia="zh-CN"/>
        </w:rPr>
        <w:t>1.85</w:t>
      </w:r>
      <w:r>
        <w:rPr>
          <w:rFonts w:hint="eastAsia" w:ascii="仿宋_GB2312" w:eastAsia="仿宋_GB2312" w:cs="仿宋"/>
          <w:color w:val="000000"/>
          <w:sz w:val="32"/>
          <w:szCs w:val="32"/>
        </w:rPr>
        <w:t>万元；住房保障支出</w:t>
      </w:r>
      <w:r>
        <w:rPr>
          <w:rFonts w:hint="eastAsia" w:ascii="仿宋_GB2312" w:eastAsia="仿宋_GB2312" w:cs="仿宋"/>
          <w:color w:val="000000"/>
          <w:sz w:val="32"/>
          <w:szCs w:val="32"/>
          <w:lang w:val="en-US" w:eastAsia="zh-CN"/>
        </w:rPr>
        <w:t>35.23</w:t>
      </w:r>
      <w:r>
        <w:rPr>
          <w:rFonts w:hint="eastAsia" w:ascii="仿宋_GB2312" w:eastAsia="仿宋_GB2312" w:cs="仿宋"/>
          <w:color w:val="000000"/>
          <w:sz w:val="32"/>
          <w:szCs w:val="32"/>
        </w:rPr>
        <w:t>万元；灾害防治及应急管理支出</w:t>
      </w:r>
      <w:r>
        <w:rPr>
          <w:rFonts w:hint="eastAsia" w:ascii="仿宋_GB2312" w:eastAsia="仿宋_GB2312" w:cs="仿宋"/>
          <w:color w:val="000000"/>
          <w:sz w:val="32"/>
          <w:szCs w:val="32"/>
          <w:lang w:val="en-US" w:eastAsia="zh-CN"/>
        </w:rPr>
        <w:t>18.61</w:t>
      </w:r>
      <w:r>
        <w:rPr>
          <w:rFonts w:hint="eastAsia" w:ascii="仿宋_GB2312" w:eastAsia="仿宋_GB2312" w:cs="仿宋"/>
          <w:color w:val="000000"/>
          <w:sz w:val="32"/>
          <w:szCs w:val="32"/>
        </w:rPr>
        <w:t>万元</w:t>
      </w:r>
      <w:r>
        <w:rPr>
          <w:rFonts w:hint="eastAsia" w:ascii="仿宋_GB2312" w:eastAsia="仿宋_GB2312" w:cs="仿宋"/>
          <w:color w:val="000000"/>
          <w:sz w:val="32"/>
          <w:szCs w:val="32"/>
          <w:lang w:eastAsia="zh-CN"/>
        </w:rPr>
        <w:t>；其他支出</w:t>
      </w:r>
      <w:r>
        <w:rPr>
          <w:rFonts w:hint="eastAsia" w:ascii="仿宋_GB2312" w:eastAsia="仿宋_GB2312" w:cs="仿宋"/>
          <w:color w:val="000000"/>
          <w:sz w:val="32"/>
          <w:szCs w:val="32"/>
          <w:lang w:val="en-US" w:eastAsia="zh-CN"/>
        </w:rPr>
        <w:t>72.37万元。</w:t>
      </w:r>
    </w:p>
    <w:p>
      <w:pPr>
        <w:widowControl/>
        <w:adjustRightInd w:val="0"/>
        <w:snapToGrid w:val="0"/>
        <w:spacing w:line="576" w:lineRule="exact"/>
        <w:ind w:firstLine="640" w:firstLineChars="200"/>
        <w:contextualSpacing/>
        <w:jc w:val="left"/>
        <w:rPr>
          <w:rFonts w:ascii="仿宋_GB2312" w:eastAsia="仿宋_GB2312" w:cs="仿宋"/>
          <w:color w:val="000000"/>
          <w:sz w:val="32"/>
          <w:szCs w:val="32"/>
        </w:rPr>
      </w:pPr>
      <w:r>
        <w:rPr>
          <w:rFonts w:hint="eastAsia" w:ascii="仿宋_GB2312" w:eastAsia="仿宋_GB2312" w:cs="仿宋"/>
          <w:color w:val="000000"/>
          <w:sz w:val="32"/>
          <w:szCs w:val="32"/>
        </w:rPr>
        <w:t>2.本年财政补助支出按经济科目分类包括：工资福利支出</w:t>
      </w:r>
      <w:r>
        <w:rPr>
          <w:rFonts w:hint="eastAsia" w:ascii="仿宋_GB2312" w:eastAsia="仿宋_GB2312" w:cs="仿宋"/>
          <w:color w:val="000000"/>
          <w:sz w:val="32"/>
          <w:szCs w:val="32"/>
          <w:lang w:val="en-US" w:eastAsia="zh-CN"/>
        </w:rPr>
        <w:t>409.14</w:t>
      </w:r>
      <w:r>
        <w:rPr>
          <w:rFonts w:hint="eastAsia" w:ascii="仿宋_GB2312" w:eastAsia="仿宋_GB2312" w:cs="仿宋"/>
          <w:color w:val="000000"/>
          <w:sz w:val="32"/>
          <w:szCs w:val="32"/>
        </w:rPr>
        <w:t>万元；商品和服务支出</w:t>
      </w:r>
      <w:r>
        <w:rPr>
          <w:rFonts w:hint="eastAsia" w:ascii="仿宋_GB2312" w:eastAsia="仿宋_GB2312" w:cs="仿宋"/>
          <w:color w:val="000000"/>
          <w:sz w:val="32"/>
          <w:szCs w:val="32"/>
          <w:lang w:val="en-US" w:eastAsia="zh-CN"/>
        </w:rPr>
        <w:t>146.06</w:t>
      </w:r>
      <w:r>
        <w:rPr>
          <w:rFonts w:hint="eastAsia" w:ascii="仿宋_GB2312" w:eastAsia="仿宋_GB2312" w:cs="仿宋"/>
          <w:color w:val="000000"/>
          <w:sz w:val="32"/>
          <w:szCs w:val="32"/>
        </w:rPr>
        <w:t>万元；对家庭和个人补助</w:t>
      </w:r>
      <w:r>
        <w:rPr>
          <w:rFonts w:hint="eastAsia" w:ascii="仿宋_GB2312" w:eastAsia="仿宋_GB2312" w:cs="仿宋"/>
          <w:color w:val="000000"/>
          <w:sz w:val="32"/>
          <w:szCs w:val="32"/>
          <w:lang w:val="en-US" w:eastAsia="zh-CN"/>
        </w:rPr>
        <w:t>5750.31</w:t>
      </w:r>
      <w:r>
        <w:rPr>
          <w:rFonts w:hint="eastAsia" w:ascii="仿宋_GB2312" w:eastAsia="仿宋_GB2312" w:cs="仿宋"/>
          <w:color w:val="000000"/>
          <w:sz w:val="32"/>
          <w:szCs w:val="32"/>
        </w:rPr>
        <w:t>万元；资本性支出</w:t>
      </w:r>
      <w:r>
        <w:rPr>
          <w:rFonts w:hint="eastAsia" w:ascii="仿宋_GB2312" w:eastAsia="仿宋_GB2312" w:cs="仿宋"/>
          <w:color w:val="000000"/>
          <w:sz w:val="32"/>
          <w:szCs w:val="32"/>
          <w:lang w:val="en-US" w:eastAsia="zh-CN"/>
        </w:rPr>
        <w:t>176.71</w:t>
      </w:r>
      <w:r>
        <w:rPr>
          <w:rFonts w:hint="eastAsia" w:ascii="仿宋_GB2312" w:eastAsia="仿宋_GB2312" w:cs="仿宋"/>
          <w:color w:val="000000"/>
          <w:sz w:val="32"/>
          <w:szCs w:val="32"/>
        </w:rPr>
        <w:t>万元。</w:t>
      </w:r>
    </w:p>
    <w:p>
      <w:pPr>
        <w:widowControl/>
        <w:adjustRightInd w:val="0"/>
        <w:snapToGrid w:val="0"/>
        <w:spacing w:line="576" w:lineRule="exact"/>
        <w:ind w:firstLine="640" w:firstLineChars="200"/>
        <w:contextualSpacing/>
        <w:jc w:val="left"/>
        <w:rPr>
          <w:rFonts w:ascii="楷体_GB2312" w:eastAsia="楷体_GB2312" w:cs="宋体"/>
          <w:b/>
          <w:color w:val="000000"/>
          <w:kern w:val="0"/>
          <w:sz w:val="32"/>
          <w:szCs w:val="32"/>
          <w:shd w:val="clear" w:color="auto" w:fill="FFFFFF"/>
          <w:lang w:val="zh-CN"/>
        </w:rPr>
      </w:pPr>
      <w:r>
        <w:rPr>
          <w:rFonts w:hint="eastAsia" w:ascii="仿宋_GB2312" w:eastAsia="仿宋_GB2312" w:cs="仿宋"/>
          <w:color w:val="000000"/>
          <w:sz w:val="32"/>
          <w:szCs w:val="32"/>
        </w:rPr>
        <w:t>3. 本年财政补助支出按支出性质分类包括：1.基本支出</w:t>
      </w:r>
      <w:r>
        <w:rPr>
          <w:rFonts w:hint="eastAsia" w:ascii="仿宋_GB2312" w:eastAsia="仿宋_GB2312" w:cs="仿宋"/>
          <w:color w:val="000000"/>
          <w:sz w:val="32"/>
          <w:szCs w:val="32"/>
          <w:lang w:val="en-US" w:eastAsia="zh-CN"/>
        </w:rPr>
        <w:t>525.30</w:t>
      </w:r>
      <w:r>
        <w:rPr>
          <w:rFonts w:hint="eastAsia" w:ascii="仿宋_GB2312" w:eastAsia="仿宋_GB2312" w:cs="仿宋"/>
          <w:color w:val="000000"/>
          <w:sz w:val="32"/>
          <w:szCs w:val="32"/>
        </w:rPr>
        <w:t>万元（其中：人员经费</w:t>
      </w:r>
      <w:r>
        <w:rPr>
          <w:rFonts w:hint="eastAsia" w:ascii="仿宋_GB2312" w:eastAsia="仿宋_GB2312" w:cs="仿宋"/>
          <w:color w:val="000000"/>
          <w:sz w:val="32"/>
          <w:szCs w:val="32"/>
          <w:lang w:val="en-US" w:eastAsia="zh-CN"/>
        </w:rPr>
        <w:t>499.47</w:t>
      </w:r>
      <w:r>
        <w:rPr>
          <w:rFonts w:hint="eastAsia" w:ascii="仿宋_GB2312" w:eastAsia="仿宋_GB2312" w:cs="仿宋"/>
          <w:color w:val="000000"/>
          <w:sz w:val="32"/>
          <w:szCs w:val="32"/>
        </w:rPr>
        <w:t>万元；日常公用经费</w:t>
      </w:r>
      <w:r>
        <w:rPr>
          <w:rFonts w:hint="eastAsia" w:ascii="仿宋_GB2312" w:eastAsia="仿宋_GB2312" w:cs="仿宋"/>
          <w:color w:val="000000"/>
          <w:sz w:val="32"/>
          <w:szCs w:val="32"/>
          <w:lang w:val="en-US" w:eastAsia="zh-CN"/>
        </w:rPr>
        <w:t>25.83</w:t>
      </w:r>
      <w:r>
        <w:rPr>
          <w:rFonts w:hint="eastAsia" w:ascii="仿宋_GB2312" w:eastAsia="仿宋_GB2312" w:cs="仿宋"/>
          <w:color w:val="000000"/>
          <w:sz w:val="32"/>
          <w:szCs w:val="32"/>
        </w:rPr>
        <w:t>万元）；2.项目支出</w:t>
      </w:r>
      <w:r>
        <w:rPr>
          <w:rFonts w:hint="eastAsia" w:ascii="仿宋_GB2312" w:eastAsia="仿宋_GB2312" w:cs="仿宋"/>
          <w:color w:val="000000"/>
          <w:sz w:val="32"/>
          <w:szCs w:val="32"/>
          <w:lang w:val="en-US" w:eastAsia="zh-CN"/>
        </w:rPr>
        <w:t>5956.92</w:t>
      </w:r>
      <w:r>
        <w:rPr>
          <w:rFonts w:hint="eastAsia" w:ascii="仿宋_GB2312" w:eastAsia="仿宋_GB2312" w:cs="仿宋"/>
          <w:color w:val="000000"/>
          <w:sz w:val="32"/>
          <w:szCs w:val="32"/>
        </w:rPr>
        <w:t>万元。</w:t>
      </w:r>
    </w:p>
    <w:p>
      <w:pPr>
        <w:widowControl/>
        <w:adjustRightInd w:val="0"/>
        <w:snapToGrid w:val="0"/>
        <w:spacing w:line="576" w:lineRule="exact"/>
        <w:ind w:firstLine="640" w:firstLineChars="200"/>
        <w:contextualSpacing/>
        <w:jc w:val="left"/>
        <w:rPr>
          <w:rFonts w:ascii="楷体_GB2312" w:eastAsia="楷体_GB2312" w:cs="宋体"/>
          <w:b/>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三、部门整体预算绩效管理情况</w:t>
      </w:r>
    </w:p>
    <w:p>
      <w:pPr>
        <w:pStyle w:val="14"/>
        <w:spacing w:before="0" w:beforeAutospacing="0" w:after="0" w:afterAutospacing="0" w:line="576" w:lineRule="exact"/>
        <w:ind w:firstLine="642" w:firstLineChars="200"/>
        <w:rPr>
          <w:rFonts w:hint="eastAsia" w:ascii="楷体" w:eastAsia="楷体" w:cs="楷体"/>
          <w:b/>
          <w:bCs/>
          <w:color w:val="000000"/>
          <w:kern w:val="0"/>
          <w:sz w:val="32"/>
          <w:szCs w:val="32"/>
          <w:shd w:val="clear" w:color="auto" w:fill="FFFFFF"/>
          <w:lang w:val="zh-CN" w:eastAsia="zh-CN" w:bidi="ar-SA"/>
        </w:rPr>
      </w:pPr>
      <w:r>
        <w:rPr>
          <w:rFonts w:hint="eastAsia" w:ascii="楷体" w:eastAsia="楷体" w:cs="楷体"/>
          <w:b/>
          <w:bCs/>
          <w:color w:val="000000"/>
          <w:kern w:val="0"/>
          <w:sz w:val="32"/>
          <w:szCs w:val="32"/>
          <w:shd w:val="clear" w:color="auto" w:fill="FFFFFF"/>
          <w:lang w:val="zh-CN" w:eastAsia="zh-CN" w:bidi="ar-SA"/>
        </w:rPr>
        <w:t>（一）部门预算管理</w:t>
      </w:r>
    </w:p>
    <w:p>
      <w:pPr>
        <w:widowControl/>
        <w:adjustRightInd w:val="0"/>
        <w:snapToGrid w:val="0"/>
        <w:spacing w:line="576" w:lineRule="exact"/>
        <w:ind w:firstLine="640" w:firstLineChars="200"/>
        <w:contextualSpacing/>
        <w:jc w:val="left"/>
        <w:rPr>
          <w:rFonts w:ascii="仿宋_GB2312" w:eastAsia="仿宋_GB2312" w:cs="宋体"/>
          <w:b/>
          <w:color w:val="000000"/>
          <w:kern w:val="0"/>
          <w:sz w:val="32"/>
          <w:szCs w:val="32"/>
          <w:shd w:val="clear" w:color="auto" w:fill="FFFFFF"/>
          <w:lang w:val="zh-CN"/>
        </w:rPr>
      </w:pPr>
      <w:r>
        <w:rPr>
          <w:rFonts w:hint="eastAsia" w:ascii="仿宋_GB2312" w:eastAsia="仿宋_GB2312" w:cs="Tahoma"/>
          <w:sz w:val="32"/>
          <w:szCs w:val="32"/>
        </w:rPr>
        <w:t>单</w:t>
      </w:r>
      <w:r>
        <w:rPr>
          <w:rFonts w:hint="eastAsia" w:ascii="仿宋_GB2312" w:eastAsia="仿宋_GB2312" w:cs="仿宋"/>
          <w:color w:val="000000"/>
          <w:sz w:val="32"/>
          <w:szCs w:val="32"/>
        </w:rPr>
        <w:t>位严格按照县财政部门预算编制通知和有关文件要求，秉承强化规划约束、坚持限额控制、实时滚动管理、强化绩效管理的基本编制原则在县财政部门规定的时间内于部门预算管理系统中以上年度</w:t>
      </w:r>
      <w:r>
        <w:rPr>
          <w:rFonts w:hint="eastAsia" w:ascii="仿宋_GB2312" w:eastAsia="仿宋_GB2312" w:cs="仿宋"/>
          <w:color w:val="000000"/>
          <w:sz w:val="32"/>
          <w:szCs w:val="32"/>
          <w:lang w:val="en-US" w:eastAsia="zh-CN"/>
        </w:rPr>
        <w:t>10</w:t>
      </w:r>
      <w:r>
        <w:rPr>
          <w:rFonts w:hint="eastAsia" w:ascii="仿宋_GB2312" w:eastAsia="仿宋_GB2312" w:cs="仿宋"/>
          <w:color w:val="000000"/>
          <w:sz w:val="32"/>
          <w:szCs w:val="32"/>
        </w:rPr>
        <w:t>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widowControl/>
        <w:adjustRightInd w:val="0"/>
        <w:snapToGrid w:val="0"/>
        <w:spacing w:line="576" w:lineRule="exact"/>
        <w:ind w:firstLine="642" w:firstLineChars="200"/>
        <w:contextualSpacing/>
        <w:jc w:val="left"/>
        <w:rPr>
          <w:rFonts w:ascii="楷体_GB2312" w:eastAsia="楷体_GB2312" w:cs="宋体"/>
          <w:b/>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（二）结果应用情况</w:t>
      </w:r>
    </w:p>
    <w:p>
      <w:pPr>
        <w:widowControl/>
        <w:spacing w:line="576" w:lineRule="exact"/>
        <w:ind w:firstLine="640" w:firstLineChars="20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 xml:space="preserve">我局对部门预算绩效管理工作开展情况认真进行了自查自评。绩效评价自查开展覆盖重点支出，将评价结果作为预算安排的重要依据，参照项目年度预算执行情况、“三年滚动规划”执行情况统筹项目支出需求，保障重点支出，调整支出结构，优化财政资金配置，不断强化绩效理念，推动我厅部门整体绩效管理水平不断提升。 </w:t>
      </w:r>
    </w:p>
    <w:p>
      <w:pPr>
        <w:widowControl/>
        <w:spacing w:line="576" w:lineRule="exact"/>
        <w:ind w:firstLine="640" w:firstLineChars="200"/>
        <w:jc w:val="left"/>
        <w:rPr>
          <w:rFonts w:ascii="黑体" w:eastAsia="黑体" w:cs="仿宋"/>
          <w:color w:val="000000"/>
          <w:kern w:val="0"/>
          <w:sz w:val="32"/>
          <w:szCs w:val="32"/>
        </w:rPr>
      </w:pPr>
      <w:r>
        <w:rPr>
          <w:rFonts w:hint="eastAsia" w:ascii="黑体" w:eastAsia="黑体" w:cs="宋体"/>
          <w:color w:val="000000"/>
          <w:kern w:val="0"/>
          <w:sz w:val="32"/>
          <w:szCs w:val="32"/>
          <w:shd w:val="clear" w:color="auto" w:fill="FFFFFF"/>
        </w:rPr>
        <w:t>四、评价结论及建议</w:t>
      </w:r>
    </w:p>
    <w:p>
      <w:pPr>
        <w:widowControl/>
        <w:adjustRightInd w:val="0"/>
        <w:snapToGrid w:val="0"/>
        <w:spacing w:line="576" w:lineRule="exact"/>
        <w:ind w:firstLine="642" w:firstLineChars="200"/>
        <w:contextualSpacing/>
        <w:jc w:val="left"/>
        <w:rPr>
          <w:rFonts w:ascii="楷体_GB2312" w:eastAsia="楷体_GB2312" w:cs="宋体"/>
          <w:b/>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（一）评价结论</w:t>
      </w:r>
    </w:p>
    <w:p>
      <w:pPr>
        <w:widowControl/>
        <w:spacing w:line="576" w:lineRule="exact"/>
        <w:ind w:firstLine="640" w:firstLineChars="200"/>
        <w:jc w:val="left"/>
        <w:rPr>
          <w:rFonts w:ascii="仿宋_GB2312" w:eastAsia="仿宋_GB2312" w:cs="宋体"/>
          <w:color w:val="000000"/>
          <w:kern w:val="0"/>
          <w:sz w:val="32"/>
          <w:szCs w:val="32"/>
          <w:shd w:val="clear" w:color="auto" w:fill="FFFFFF"/>
          <w:lang w:val="zh-CN"/>
        </w:rPr>
      </w:pPr>
      <w:r>
        <w:rPr>
          <w:rFonts w:hint="eastAsia" w:ascii="仿宋_GB2312" w:eastAsia="仿宋_GB2312" w:cs="仿宋"/>
          <w:color w:val="000000"/>
          <w:kern w:val="0"/>
          <w:sz w:val="32"/>
          <w:szCs w:val="32"/>
        </w:rPr>
        <w:t>单位对照《县级部门整体支出绩效评价指标体系表》中各项具体指标认真开展自评工作，经自评，单位部门整体支出均按照相应的规章制度和要求执行办理，不存在扣分事项。</w:t>
      </w:r>
    </w:p>
    <w:p>
      <w:pPr>
        <w:widowControl/>
        <w:spacing w:line="576" w:lineRule="exact"/>
        <w:ind w:firstLine="642" w:firstLineChars="200"/>
        <w:jc w:val="left"/>
        <w:rPr>
          <w:rFonts w:ascii="仿宋_GB2312" w:eastAsia="仿宋_GB2312" w:cs="宋体"/>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（二）存在问题</w:t>
      </w:r>
    </w:p>
    <w:p>
      <w:pPr>
        <w:widowControl/>
        <w:spacing w:line="576" w:lineRule="exact"/>
        <w:ind w:firstLine="640" w:firstLineChars="200"/>
        <w:jc w:val="left"/>
        <w:rPr>
          <w:rFonts w:ascii="仿宋_GB2312" w:eastAsia="仿宋_GB2312" w:cs="宋体"/>
          <w:color w:val="000000"/>
          <w:kern w:val="0"/>
          <w:sz w:val="32"/>
          <w:szCs w:val="32"/>
          <w:shd w:val="clear" w:color="auto" w:fill="FFFFFF"/>
          <w:lang w:val="zh-CN"/>
        </w:rPr>
      </w:pPr>
      <w:r>
        <w:rPr>
          <w:rFonts w:hint="eastAsia" w:ascii="仿宋_GB2312" w:eastAsia="仿宋_GB2312" w:cs="仿宋"/>
          <w:color w:val="000000"/>
          <w:kern w:val="0"/>
          <w:sz w:val="32"/>
          <w:szCs w:val="32"/>
        </w:rPr>
        <w:t>单位对部门支出相关规章制度落实力度不够，执行能力不强，在票据报销规范性方面的管理不够严谨细致。</w:t>
      </w:r>
    </w:p>
    <w:p>
      <w:pPr>
        <w:widowControl/>
        <w:spacing w:line="576" w:lineRule="exact"/>
        <w:ind w:firstLine="642" w:firstLineChars="200"/>
        <w:jc w:val="left"/>
        <w:rPr>
          <w:rFonts w:ascii="楷体_GB2312" w:eastAsia="楷体_GB2312" w:cs="宋体"/>
          <w:b/>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（三）改进建议</w:t>
      </w:r>
    </w:p>
    <w:p>
      <w:pPr>
        <w:widowControl/>
        <w:spacing w:line="576" w:lineRule="exact"/>
        <w:ind w:firstLine="640" w:firstLineChars="200"/>
        <w:jc w:val="left"/>
        <w:rPr>
          <w:rFonts w:ascii="仿宋_GB2312" w:eastAsia="仿宋_GB2312" w:cs="宋体"/>
          <w:color w:val="000000"/>
          <w:kern w:val="0"/>
          <w:sz w:val="32"/>
          <w:szCs w:val="32"/>
          <w:shd w:val="clear" w:color="auto" w:fill="FFFFFF"/>
          <w:lang w:val="zh-CN"/>
        </w:rPr>
      </w:pPr>
      <w:r>
        <w:rPr>
          <w:rFonts w:hint="eastAsia" w:ascii="仿宋_GB2312" w:eastAsia="仿宋_GB2312" w:cs="仿宋"/>
          <w:color w:val="000000"/>
          <w:kern w:val="0"/>
          <w:sz w:val="32"/>
          <w:szCs w:val="32"/>
        </w:rPr>
        <w:t>单位财务人员在今后工作中要按照有关文件及规章制度的要求严格管理各项经费支出，细化财务审批程序，加大对报销票据的审核把关力度，落实岗位职责，坚守职业道德，重点对“三公”经费开支范围及标准进行准确核算，确保财务原始凭证的规范性、完整性、真实性。</w:t>
      </w:r>
    </w:p>
    <w:p>
      <w:pPr>
        <w:spacing w:line="576" w:lineRule="exact"/>
        <w:ind w:firstLine="640" w:firstLineChars="200"/>
        <w:rPr>
          <w:rFonts w:ascii="仿宋" w:eastAsia="仿宋" w:cs="仿宋_GB2312"/>
          <w:sz w:val="32"/>
          <w:szCs w:val="32"/>
        </w:rPr>
      </w:pPr>
    </w:p>
    <w:p>
      <w:pPr>
        <w:spacing w:line="576" w:lineRule="exact"/>
        <w:ind w:firstLine="640" w:firstLineChars="200"/>
        <w:rPr>
          <w:rFonts w:ascii="仿宋_GB2312" w:eastAsia="仿宋_GB2312" w:cs="仿宋_GB2312"/>
          <w:sz w:val="32"/>
          <w:szCs w:val="32"/>
        </w:rPr>
      </w:pPr>
    </w:p>
    <w:p>
      <w:pPr>
        <w:widowControl/>
        <w:spacing w:line="576" w:lineRule="exact"/>
        <w:jc w:val="left"/>
        <w:rPr>
          <w:rStyle w:val="20"/>
          <w:rFonts w:ascii="黑体" w:eastAsia="黑体"/>
          <w:b w:val="0"/>
        </w:rPr>
      </w:pPr>
      <w:r>
        <w:rPr>
          <w:rStyle w:val="20"/>
          <w:rFonts w:ascii="黑体" w:eastAsia="黑体"/>
          <w:b w:val="0"/>
        </w:rPr>
        <w:br w:type="page"/>
      </w:r>
    </w:p>
    <w:p>
      <w:pPr>
        <w:spacing w:line="576" w:lineRule="exact"/>
        <w:jc w:val="left"/>
        <w:outlineLvl w:val="0"/>
        <w:rPr>
          <w:rFonts w:hint="eastAsia" w:ascii="仿宋_GB2312" w:eastAsia="仿宋_GB2312" w:cs="方正小标宋简体"/>
          <w:sz w:val="32"/>
          <w:szCs w:val="32"/>
          <w:lang w:eastAsia="zh-CN"/>
        </w:rPr>
      </w:pPr>
      <w:bookmarkStart w:id="164" w:name="_Toc27760"/>
      <w:bookmarkStart w:id="165" w:name="_Toc18889"/>
      <w:bookmarkStart w:id="166" w:name="_Toc22311"/>
      <w:r>
        <w:rPr>
          <w:rFonts w:hint="eastAsia" w:ascii="仿宋_GB2312" w:eastAsia="仿宋_GB2312" w:cs="黑体"/>
          <w:sz w:val="32"/>
          <w:szCs w:val="32"/>
        </w:rPr>
        <w:t>附件</w:t>
      </w:r>
      <w:r>
        <w:rPr>
          <w:rFonts w:hint="eastAsia" w:ascii="仿宋_GB2312" w:eastAsia="仿宋_GB2312" w:cs="黑体"/>
          <w:sz w:val="32"/>
          <w:szCs w:val="32"/>
          <w:lang w:val="en-US" w:eastAsia="zh-CN"/>
        </w:rPr>
        <w:t>2</w:t>
      </w:r>
      <w:bookmarkEnd w:id="164"/>
      <w:bookmarkEnd w:id="165"/>
      <w:bookmarkEnd w:id="166"/>
    </w:p>
    <w:p>
      <w:pPr>
        <w:pStyle w:val="4"/>
        <w:bidi w:val="0"/>
        <w:jc w:val="center"/>
        <w:rPr>
          <w:rFonts w:hint="eastAsia" w:ascii="方正小标宋简体" w:eastAsia="方正小标宋简体" w:cs="Times New Roman"/>
          <w:b w:val="0"/>
          <w:bCs w:val="0"/>
          <w:kern w:val="2"/>
          <w:sz w:val="44"/>
          <w:szCs w:val="44"/>
          <w:lang w:val="en-US" w:eastAsia="zh-CN" w:bidi="ar-SA"/>
        </w:rPr>
      </w:pPr>
      <w:bookmarkStart w:id="167" w:name="_Toc11561"/>
      <w:r>
        <w:rPr>
          <w:rFonts w:hint="eastAsia" w:ascii="方正小标宋简体" w:eastAsia="方正小标宋简体" w:cs="Times New Roman"/>
          <w:b w:val="0"/>
          <w:bCs w:val="0"/>
          <w:kern w:val="2"/>
          <w:sz w:val="44"/>
          <w:szCs w:val="44"/>
          <w:lang w:val="en-US" w:eastAsia="zh-CN" w:bidi="ar-SA"/>
        </w:rPr>
        <w:t>2020年敬老金项目支出绩效自评报告</w:t>
      </w:r>
      <w:bookmarkEnd w:id="167"/>
    </w:p>
    <w:p>
      <w:pPr>
        <w:adjustRightInd w:val="0"/>
        <w:snapToGrid w:val="0"/>
        <w:spacing w:line="560" w:lineRule="exact"/>
        <w:ind w:firstLine="720"/>
        <w:rPr>
          <w:rFonts w:hint="eastAsia" w:ascii="黑体" w:eastAsia="黑体"/>
          <w:sz w:val="32"/>
          <w:szCs w:val="24"/>
          <w:lang w:val="zh-CN"/>
        </w:rPr>
      </w:pPr>
      <w:r>
        <w:rPr>
          <w:rFonts w:hint="eastAsia" w:ascii="黑体" w:eastAsia="黑体"/>
          <w:sz w:val="32"/>
          <w:szCs w:val="24"/>
        </w:rPr>
        <w:t>一、</w:t>
      </w:r>
      <w:r>
        <w:rPr>
          <w:rFonts w:hint="eastAsia" w:ascii="黑体" w:eastAsia="黑体"/>
          <w:sz w:val="32"/>
          <w:szCs w:val="24"/>
          <w:lang w:val="zh-CN"/>
        </w:rPr>
        <w:t>项目概况</w:t>
      </w:r>
    </w:p>
    <w:p>
      <w:pPr>
        <w:pStyle w:val="14"/>
        <w:snapToGrid w:val="0"/>
        <w:spacing w:before="0" w:beforeAutospacing="0" w:after="0" w:afterAutospacing="0" w:line="576" w:lineRule="exact"/>
        <w:ind w:firstLine="600"/>
        <w:rPr>
          <w:rFonts w:hint="eastAsia" w:ascii="仿宋_GB2312" w:eastAsia="仿宋_GB2312" w:cs="Times New Roman"/>
          <w:kern w:val="2"/>
          <w:sz w:val="32"/>
          <w:szCs w:val="32"/>
        </w:rPr>
      </w:pPr>
      <w:r>
        <w:rPr>
          <w:rFonts w:hint="eastAsia" w:ascii="仿宋_GB2312" w:eastAsia="仿宋_GB2312"/>
          <w:sz w:val="32"/>
          <w:szCs w:val="32"/>
        </w:rPr>
        <w:t>为积极应对人口老龄化，切实做好老年人优待工作</w:t>
      </w:r>
      <w:r>
        <w:rPr>
          <w:rFonts w:hint="eastAsia" w:ascii="仿宋_GB2312" w:eastAsia="仿宋_GB2312" w:cs="Times New Roman"/>
          <w:kern w:val="2"/>
          <w:sz w:val="32"/>
          <w:szCs w:val="32"/>
        </w:rPr>
        <w:t>，进一步增进老年人福祉，维护老年人的合法权益，</w:t>
      </w:r>
      <w:r>
        <w:rPr>
          <w:rFonts w:hint="eastAsia" w:ascii="仿宋_GB2312" w:eastAsia="仿宋_GB2312"/>
          <w:sz w:val="32"/>
          <w:szCs w:val="32"/>
        </w:rPr>
        <w:t>我县严格遵循“党政主导、社会参与、全民关怀”的工作方针，全面提高老龄事业发展水平，让全县老年人生活得更加幸福，</w:t>
      </w:r>
      <w:r>
        <w:rPr>
          <w:rFonts w:hint="eastAsia" w:ascii="仿宋_GB2312" w:eastAsia="仿宋_GB2312" w:cs="Times New Roman"/>
          <w:kern w:val="2"/>
          <w:sz w:val="32"/>
          <w:szCs w:val="32"/>
        </w:rPr>
        <w:t>确保了老年人“老有所养”，安享晚年。</w:t>
      </w:r>
    </w:p>
    <w:p>
      <w:pPr>
        <w:numPr>
          <w:ilvl w:val="0"/>
          <w:numId w:val="6"/>
        </w:numPr>
        <w:spacing w:line="520" w:lineRule="exact"/>
        <w:ind w:left="0" w:firstLine="642" w:firstLineChars="200"/>
        <w:rPr>
          <w:rFonts w:hint="eastAsia" w:ascii="仿宋_GB2312" w:hAnsi="仿宋_GB2312"/>
          <w:sz w:val="32"/>
          <w:szCs w:val="24"/>
        </w:rPr>
      </w:pPr>
      <w:r>
        <w:rPr>
          <w:rFonts w:hint="eastAsia" w:ascii="楷体_GB2312" w:eastAsia="楷体_GB2312"/>
          <w:b/>
          <w:sz w:val="32"/>
          <w:szCs w:val="24"/>
          <w:lang w:val="zh-CN"/>
        </w:rPr>
        <w:t>项目资金申报及批复情况</w:t>
      </w:r>
      <w:r>
        <w:rPr>
          <w:rFonts w:hint="eastAsia" w:ascii="仿宋_GB2312" w:hAnsi="仿宋_GB2312"/>
          <w:sz w:val="32"/>
          <w:szCs w:val="24"/>
        </w:rPr>
        <w:t xml:space="preserve">      </w:t>
      </w:r>
    </w:p>
    <w:p>
      <w:pPr>
        <w:spacing w:line="520" w:lineRule="exact"/>
        <w:ind w:left="0" w:firstLine="640" w:firstLineChars="200"/>
        <w:rPr>
          <w:rFonts w:ascii="仿宋_GB2312" w:eastAsia="仿宋_GB2312" w:cs="宋体"/>
          <w:kern w:val="0"/>
          <w:sz w:val="32"/>
          <w:szCs w:val="32"/>
          <w:lang w:val="en-US" w:eastAsia="zh-CN" w:bidi="ar-SA"/>
        </w:rPr>
      </w:pPr>
      <w:r>
        <w:rPr>
          <w:rFonts w:hint="eastAsia" w:ascii="仿宋_GB2312" w:eastAsia="仿宋_GB2312" w:cs="宋体"/>
          <w:kern w:val="0"/>
          <w:sz w:val="32"/>
          <w:szCs w:val="32"/>
          <w:lang w:val="en-US" w:eastAsia="zh-CN" w:bidi="ar-SA"/>
        </w:rPr>
        <w:t>为认真贯彻落实《阿坝州人民政府办公室关于做好全州高龄津贴全面提标工作的通知》（阿府办发〔2012〕42号）《阿坝州民政局 阿坝州财政局 阿坝州老龄办关于提高高龄津贴发放标准的通知》（阿州民政〔2018〕175号）的精神，坚持“以民为本、为民解困”的宗旨，切实保障我县高龄老人的基本生活。高龄津贴资金来源按照州、县财政纳入财政预算，采取分级负担的办法解决。即：80周岁至99周岁老年人每年所需的经费由州财政承担30，各县财政承担70%。100周岁以上老年人按州、县财政各50%的标准分级承担。津贴发放标准80周岁至89周岁老年人每人每月80元；90-99周岁老年人每人每月150元；100周岁以上老年人每人每月400元。</w:t>
      </w:r>
    </w:p>
    <w:p>
      <w:pPr>
        <w:spacing w:line="520" w:lineRule="exact"/>
        <w:ind w:left="0" w:firstLine="640" w:firstLineChars="200"/>
        <w:rPr>
          <w:rFonts w:hint="eastAsia" w:ascii="仿宋_GB2312" w:eastAsia="仿宋_GB2312" w:cs="宋体"/>
          <w:kern w:val="0"/>
          <w:sz w:val="32"/>
          <w:szCs w:val="32"/>
          <w:lang w:val="en-US" w:eastAsia="zh-CN" w:bidi="ar-SA"/>
        </w:rPr>
      </w:pPr>
      <w:r>
        <w:rPr>
          <w:rFonts w:hint="eastAsia" w:ascii="仿宋_GB2312" w:eastAsia="仿宋_GB2312" w:cs="宋体"/>
          <w:kern w:val="0"/>
          <w:sz w:val="32"/>
          <w:szCs w:val="32"/>
          <w:lang w:val="en-US" w:eastAsia="zh-CN" w:bidi="ar-SA"/>
        </w:rPr>
        <w:t>2018年州、县按相关政策要求州级以阿州财社（2020)7号下达配套资金52.5848万元，县按相应比例配套资金132.6542万元，全年共计185.239万元。</w:t>
      </w:r>
    </w:p>
    <w:p>
      <w:pPr>
        <w:numPr>
          <w:ilvl w:val="0"/>
          <w:numId w:val="6"/>
        </w:numPr>
        <w:adjustRightInd w:val="0"/>
        <w:snapToGrid w:val="0"/>
        <w:spacing w:line="560" w:lineRule="exact"/>
        <w:ind w:left="0" w:firstLine="642" w:firstLineChars="200"/>
        <w:rPr>
          <w:rFonts w:hint="eastAsia" w:ascii="仿宋_GB2312" w:hAnsi="仿宋_GB2312"/>
          <w:sz w:val="32"/>
          <w:szCs w:val="24"/>
        </w:rPr>
      </w:pPr>
      <w:r>
        <w:rPr>
          <w:rFonts w:hint="eastAsia" w:ascii="楷体_GB2312" w:eastAsia="楷体_GB2312"/>
          <w:b/>
          <w:sz w:val="32"/>
          <w:szCs w:val="24"/>
          <w:lang w:val="zh-CN"/>
        </w:rPr>
        <w:t>项目绩效目标</w:t>
      </w:r>
    </w:p>
    <w:p>
      <w:pPr>
        <w:spacing w:line="520" w:lineRule="exact"/>
        <w:ind w:firstLine="640" w:firstLineChars="200"/>
        <w:rPr>
          <w:rFonts w:hint="eastAsia" w:ascii="仿宋_GB2312" w:hAnsi="仿宋_GB2312"/>
          <w:sz w:val="32"/>
          <w:szCs w:val="24"/>
        </w:rPr>
      </w:pPr>
      <w:r>
        <w:rPr>
          <w:rFonts w:hint="eastAsia" w:ascii="仿宋_GB2312" w:eastAsia="仿宋_GB2312" w:cs="宋体"/>
          <w:kern w:val="0"/>
          <w:sz w:val="32"/>
          <w:szCs w:val="32"/>
          <w:lang w:val="en-US" w:eastAsia="zh-CN" w:bidi="ar-SA"/>
        </w:rPr>
        <w:t>凡具有阿坝州户籍、年龄在80周岁以上（含80周岁）的老年人，均可享受高龄津贴，对80周岁以上老年人发放“高龄津贴”，是州委、州政府贯彻落实科学发展观，是大力宣传中华民族敬老爱老助老传统美德，呼吁全社会关心关注老年人和老龄事业，努力营造社会关心关爱老年人的浓厚氛围的要求，是解决民生、落实民利、维护民权的重要举措。</w:t>
      </w:r>
    </w:p>
    <w:p>
      <w:pPr>
        <w:tabs>
          <w:tab w:val="left" w:pos="1577"/>
        </w:tabs>
        <w:adjustRightInd w:val="0"/>
        <w:snapToGrid w:val="0"/>
        <w:spacing w:line="560" w:lineRule="exact"/>
        <w:ind w:left="420" w:leftChars="200"/>
        <w:rPr>
          <w:rFonts w:hint="eastAsia" w:ascii="仿宋_GB2312" w:hAnsi="仿宋_GB2312"/>
          <w:sz w:val="32"/>
          <w:szCs w:val="24"/>
          <w:lang w:val="zh-CN"/>
        </w:rPr>
      </w:pPr>
      <w:r>
        <w:rPr>
          <w:rFonts w:hint="eastAsia" w:ascii="楷体_GB2312" w:eastAsia="楷体_GB2312"/>
          <w:b/>
          <w:sz w:val="32"/>
          <w:szCs w:val="24"/>
          <w:lang w:val="zh-CN"/>
        </w:rPr>
        <w:t>（</w:t>
      </w:r>
      <w:r>
        <w:rPr>
          <w:rFonts w:hint="eastAsia" w:ascii="楷体_GB2312" w:eastAsia="楷体_GB2312"/>
          <w:b/>
          <w:sz w:val="32"/>
          <w:szCs w:val="24"/>
        </w:rPr>
        <w:t>三</w:t>
      </w:r>
      <w:r>
        <w:rPr>
          <w:rFonts w:hint="eastAsia" w:ascii="楷体_GB2312" w:eastAsia="楷体_GB2312"/>
          <w:b/>
          <w:sz w:val="32"/>
          <w:szCs w:val="24"/>
          <w:lang w:val="zh-CN"/>
        </w:rPr>
        <w:t>）项目资金申报相符性</w:t>
      </w:r>
    </w:p>
    <w:p>
      <w:pPr>
        <w:spacing w:line="520" w:lineRule="exact"/>
        <w:ind w:firstLine="640" w:firstLineChars="200"/>
        <w:rPr>
          <w:rFonts w:hint="eastAsia" w:ascii="仿宋_GB2312" w:eastAsia="仿宋_GB2312" w:cs="宋体"/>
          <w:kern w:val="0"/>
          <w:sz w:val="32"/>
          <w:szCs w:val="32"/>
          <w:lang w:val="zh-CN" w:eastAsia="zh-CN" w:bidi="ar-SA"/>
        </w:rPr>
      </w:pPr>
      <w:r>
        <w:rPr>
          <w:rFonts w:hint="eastAsia" w:ascii="仿宋_GB2312" w:eastAsia="仿宋_GB2312" w:cs="宋体"/>
          <w:kern w:val="0"/>
          <w:sz w:val="32"/>
          <w:szCs w:val="32"/>
          <w:lang w:val="en-US" w:eastAsia="zh-CN" w:bidi="ar-SA"/>
        </w:rPr>
        <w:t>高龄津贴发放工作按照个人申请、村（居）委会调查核实、乡（镇）审核、县老龄办审批、州老龄办备案的程序进行，实行三级审批、张榜公示，接受群众监督，做到公开、公正、透明。各乡（镇）人民政府每季度20日前将本地享受高龄津贴人员的新增、变更、注销等情况报县老龄办，县老龄办每季25日前将本辖区享受高龄津贴人员的新增、变更、注销等情况汇总后，报县财政部门，经财政部门审核后，确定本季度高龄津贴发发放金额。</w:t>
      </w:r>
    </w:p>
    <w:p>
      <w:pPr>
        <w:adjustRightInd w:val="0"/>
        <w:snapToGrid w:val="0"/>
        <w:spacing w:line="560" w:lineRule="exact"/>
        <w:ind w:firstLine="720"/>
        <w:rPr>
          <w:rFonts w:hint="eastAsia" w:ascii="黑体" w:eastAsia="黑体"/>
          <w:sz w:val="32"/>
          <w:szCs w:val="24"/>
        </w:rPr>
      </w:pPr>
      <w:r>
        <w:rPr>
          <w:rFonts w:hint="eastAsia" w:ascii="黑体" w:eastAsia="黑体"/>
          <w:sz w:val="32"/>
          <w:szCs w:val="24"/>
        </w:rPr>
        <w:t>二、项目实施及管理情况</w:t>
      </w:r>
    </w:p>
    <w:p>
      <w:pPr>
        <w:adjustRightInd w:val="0"/>
        <w:snapToGrid w:val="0"/>
        <w:spacing w:line="560" w:lineRule="exact"/>
        <w:ind w:firstLine="720"/>
        <w:rPr>
          <w:rFonts w:hint="eastAsia" w:ascii="楷体_GB2312" w:eastAsia="楷体_GB2312"/>
          <w:b/>
          <w:sz w:val="32"/>
          <w:szCs w:val="24"/>
          <w:lang w:val="zh-CN"/>
        </w:rPr>
      </w:pPr>
      <w:r>
        <w:rPr>
          <w:rFonts w:hint="eastAsia" w:ascii="仿宋_GB2312" w:hAnsi="仿宋_GB2312"/>
          <w:sz w:val="32"/>
          <w:szCs w:val="24"/>
          <w:lang w:val="zh-CN"/>
        </w:rPr>
        <w:tab/>
      </w:r>
      <w:r>
        <w:rPr>
          <w:rFonts w:hint="eastAsia" w:ascii="楷体_GB2312" w:eastAsia="楷体_GB2312"/>
          <w:b/>
          <w:sz w:val="32"/>
          <w:szCs w:val="24"/>
          <w:lang w:val="zh-CN"/>
        </w:rPr>
        <w:t>（一）资金计划、到位及使用情况</w:t>
      </w:r>
    </w:p>
    <w:p>
      <w:pPr>
        <w:spacing w:line="520" w:lineRule="exact"/>
        <w:ind w:firstLine="640" w:firstLineChars="200"/>
        <w:rPr>
          <w:rFonts w:hint="eastAsia" w:ascii="仿宋_GB2312" w:eastAsia="仿宋_GB2312" w:cs="宋体"/>
          <w:kern w:val="0"/>
          <w:sz w:val="32"/>
          <w:szCs w:val="32"/>
          <w:lang w:val="zh-CN" w:eastAsia="zh-CN" w:bidi="ar-SA"/>
        </w:rPr>
      </w:pPr>
      <w:r>
        <w:rPr>
          <w:rFonts w:hint="eastAsia" w:ascii="仿宋_GB2312" w:eastAsia="仿宋_GB2312" w:cs="宋体"/>
          <w:kern w:val="0"/>
          <w:sz w:val="32"/>
          <w:szCs w:val="32"/>
          <w:lang w:val="zh-CN" w:eastAsia="zh-CN" w:bidi="ar-SA"/>
        </w:rPr>
        <w:t>1</w:t>
      </w:r>
      <w:r>
        <w:rPr>
          <w:rFonts w:hint="eastAsia" w:ascii="仿宋_GB2312" w:eastAsia="仿宋_GB2312" w:cs="宋体"/>
          <w:kern w:val="0"/>
          <w:sz w:val="32"/>
          <w:szCs w:val="32"/>
          <w:lang w:val="en-US" w:eastAsia="zh-CN" w:bidi="ar-SA"/>
        </w:rPr>
        <w:t>.</w:t>
      </w:r>
      <w:r>
        <w:rPr>
          <w:rFonts w:hint="eastAsia" w:ascii="仿宋_GB2312" w:eastAsia="仿宋_GB2312" w:cs="宋体"/>
          <w:kern w:val="0"/>
          <w:sz w:val="32"/>
          <w:szCs w:val="32"/>
          <w:lang w:val="zh-CN" w:eastAsia="zh-CN" w:bidi="ar-SA"/>
        </w:rPr>
        <w:t>资金计划及到位：</w:t>
      </w:r>
      <w:r>
        <w:rPr>
          <w:rFonts w:hint="eastAsia" w:ascii="仿宋_GB2312" w:eastAsia="仿宋_GB2312" w:cs="宋体"/>
          <w:kern w:val="0"/>
          <w:sz w:val="32"/>
          <w:szCs w:val="32"/>
          <w:lang w:val="en-US" w:eastAsia="zh-CN" w:bidi="ar-SA"/>
        </w:rPr>
        <w:t>2020年州、县按相关政策要求州以阿州财社（2020)7号下达配套资金52.5848万元，县按相应比例配套资金132.6542万元，全年共计185.239万元。</w:t>
      </w:r>
    </w:p>
    <w:p>
      <w:pPr>
        <w:spacing w:line="520" w:lineRule="exact"/>
        <w:ind w:firstLine="640" w:firstLineChars="200"/>
        <w:rPr>
          <w:rFonts w:hint="eastAsia" w:ascii="仿宋_GB2312" w:eastAsia="仿宋_GB2312" w:cs="宋体"/>
          <w:kern w:val="0"/>
          <w:sz w:val="32"/>
          <w:szCs w:val="32"/>
          <w:lang w:val="zh-CN" w:eastAsia="zh-CN" w:bidi="ar-SA"/>
        </w:rPr>
      </w:pPr>
      <w:r>
        <w:rPr>
          <w:rFonts w:hint="eastAsia" w:ascii="仿宋_GB2312" w:eastAsia="仿宋_GB2312" w:cs="宋体"/>
          <w:kern w:val="0"/>
          <w:sz w:val="32"/>
          <w:szCs w:val="32"/>
          <w:lang w:val="zh-CN" w:eastAsia="zh-CN" w:bidi="ar-SA"/>
        </w:rPr>
        <w:t>2</w:t>
      </w:r>
      <w:r>
        <w:rPr>
          <w:rFonts w:hint="eastAsia" w:ascii="仿宋_GB2312" w:eastAsia="仿宋_GB2312" w:cs="宋体"/>
          <w:kern w:val="0"/>
          <w:sz w:val="32"/>
          <w:szCs w:val="32"/>
          <w:lang w:val="en-US" w:eastAsia="zh-CN" w:bidi="ar-SA"/>
        </w:rPr>
        <w:t>.</w:t>
      </w:r>
      <w:r>
        <w:rPr>
          <w:rFonts w:hint="eastAsia" w:ascii="仿宋_GB2312" w:eastAsia="仿宋_GB2312" w:cs="宋体"/>
          <w:kern w:val="0"/>
          <w:sz w:val="32"/>
          <w:szCs w:val="32"/>
          <w:lang w:val="zh-CN" w:eastAsia="zh-CN" w:bidi="ar-SA"/>
        </w:rPr>
        <w:t>资金使用：</w:t>
      </w:r>
      <w:r>
        <w:rPr>
          <w:rFonts w:hint="eastAsia" w:ascii="仿宋_GB2312" w:eastAsia="仿宋_GB2312" w:cs="宋体"/>
          <w:kern w:val="0"/>
          <w:sz w:val="32"/>
          <w:szCs w:val="32"/>
          <w:lang w:val="en-US" w:eastAsia="zh-CN" w:bidi="ar-SA"/>
        </w:rPr>
        <w:t>2020年按照高龄津贴的使用性质全年支付情况为6990人次185.239万元，其中80-89岁共计发放6092人次145.344万元；90-99岁共计发放886人次38.655万元；100岁共计12人次1.24万元。</w:t>
      </w:r>
    </w:p>
    <w:p>
      <w:pPr>
        <w:adjustRightInd w:val="0"/>
        <w:snapToGrid w:val="0"/>
        <w:spacing w:line="560" w:lineRule="exact"/>
        <w:ind w:firstLine="720"/>
        <w:rPr>
          <w:rFonts w:hint="eastAsia" w:ascii="楷体_GB2312" w:eastAsia="楷体_GB2312"/>
          <w:b/>
          <w:sz w:val="32"/>
          <w:szCs w:val="24"/>
          <w:lang w:val="zh-CN"/>
        </w:rPr>
      </w:pPr>
      <w:r>
        <w:rPr>
          <w:rFonts w:hint="eastAsia" w:ascii="楷体_GB2312" w:eastAsia="楷体_GB2312"/>
          <w:b/>
          <w:sz w:val="32"/>
          <w:szCs w:val="24"/>
          <w:lang w:val="zh-CN"/>
        </w:rPr>
        <w:t>（二）项目财务管理情况</w:t>
      </w:r>
    </w:p>
    <w:p>
      <w:pPr>
        <w:spacing w:line="520" w:lineRule="exact"/>
        <w:ind w:firstLine="640" w:firstLineChars="200"/>
        <w:rPr>
          <w:rFonts w:hint="eastAsia" w:ascii="仿宋_GB2312" w:eastAsia="仿宋_GB2312" w:cs="宋体"/>
          <w:kern w:val="0"/>
          <w:sz w:val="32"/>
          <w:szCs w:val="32"/>
          <w:lang w:val="zh-CN" w:eastAsia="zh-CN" w:bidi="ar-SA"/>
        </w:rPr>
      </w:pPr>
      <w:r>
        <w:rPr>
          <w:rFonts w:hint="eastAsia" w:ascii="仿宋_GB2312" w:eastAsia="仿宋_GB2312" w:cs="宋体"/>
          <w:kern w:val="0"/>
          <w:sz w:val="32"/>
          <w:szCs w:val="32"/>
          <w:lang w:val="zh-CN" w:eastAsia="zh-CN" w:bidi="ar-SA"/>
        </w:rPr>
        <w:t>高龄津贴发放工作按照个人申请、村（居）委会调查核实、乡（镇）审核、县老龄办审批、各乡（镇）人民政府每季度20日前将本地享受高龄津贴人员的新增、变更、注销等情况报县老龄办，县老龄办每季25日前将本辖区享受高龄津贴人员的新增、变更、注销等情况汇总后，按相关政策核实计算本季度全县高龄津贴发放金额，经本部门财务复审后，报县财政部门，经财政部门审核后，发放本季度高龄津贴发。</w:t>
      </w:r>
    </w:p>
    <w:p>
      <w:pPr>
        <w:adjustRightInd w:val="0"/>
        <w:snapToGrid w:val="0"/>
        <w:spacing w:line="560" w:lineRule="exact"/>
        <w:ind w:firstLine="720"/>
        <w:rPr>
          <w:rFonts w:hint="eastAsia" w:ascii="楷体_GB2312" w:eastAsia="楷体_GB2312"/>
          <w:b/>
          <w:sz w:val="32"/>
          <w:szCs w:val="24"/>
          <w:lang w:val="zh-CN"/>
        </w:rPr>
      </w:pPr>
      <w:r>
        <w:rPr>
          <w:rFonts w:hint="eastAsia" w:ascii="楷体_GB2312" w:eastAsia="楷体_GB2312"/>
          <w:b/>
          <w:sz w:val="32"/>
          <w:szCs w:val="24"/>
          <w:lang w:val="zh-CN"/>
        </w:rPr>
        <w:t>（三）项目组织实施情况</w:t>
      </w:r>
    </w:p>
    <w:p>
      <w:pPr>
        <w:spacing w:line="520" w:lineRule="exact"/>
        <w:rPr>
          <w:rFonts w:hint="eastAsia" w:ascii="仿宋_GB2312" w:eastAsia="仿宋_GB2312" w:cs="宋体"/>
          <w:kern w:val="0"/>
          <w:sz w:val="32"/>
          <w:szCs w:val="32"/>
          <w:lang w:val="zh-CN" w:eastAsia="zh-CN" w:bidi="ar-SA"/>
        </w:rPr>
      </w:pPr>
      <w:r>
        <w:rPr>
          <w:rFonts w:hint="eastAsia" w:ascii="仿宋_GB2312" w:hAnsi="仿宋_GB2312"/>
          <w:sz w:val="32"/>
          <w:szCs w:val="24"/>
        </w:rPr>
        <w:t xml:space="preserve">   </w:t>
      </w:r>
      <w:r>
        <w:rPr>
          <w:rFonts w:hint="eastAsia" w:ascii="仿宋_GB2312" w:eastAsia="仿宋_GB2312" w:cs="宋体"/>
          <w:kern w:val="0"/>
          <w:sz w:val="32"/>
          <w:szCs w:val="32"/>
          <w:lang w:val="zh-CN" w:eastAsia="zh-CN" w:bidi="ar-SA"/>
        </w:rPr>
        <w:t>加大对“高龄津贴”的宣传力度，使之家喻户晓，人人皆知，确保符合条件对象均能及时享受优惠政策。又要坚决维护政策实施的严肃性，杜绝弄虚作假、虚报瞒报。发放“高龄津贴”，是一项长期工作，涉及对象数额庞大、变动较多，实行动态化管理，建立发放数据库，确保发放工作落实到位。</w:t>
      </w:r>
    </w:p>
    <w:p>
      <w:pPr>
        <w:adjustRightInd w:val="0"/>
        <w:snapToGrid w:val="0"/>
        <w:spacing w:line="560" w:lineRule="exact"/>
        <w:ind w:firstLine="720"/>
        <w:rPr>
          <w:rFonts w:hint="eastAsia" w:ascii="仿宋_GB2312" w:hAnsi="仿宋_GB2312"/>
          <w:sz w:val="32"/>
          <w:szCs w:val="24"/>
          <w:lang w:val="zh-CN"/>
        </w:rPr>
      </w:pPr>
      <w:r>
        <w:rPr>
          <w:rFonts w:hint="eastAsia" w:ascii="黑体" w:eastAsia="黑体"/>
          <w:sz w:val="32"/>
          <w:szCs w:val="24"/>
        </w:rPr>
        <w:t>三、项目绩效情况</w:t>
      </w:r>
    </w:p>
    <w:p>
      <w:pPr>
        <w:adjustRightInd w:val="0"/>
        <w:snapToGrid w:val="0"/>
        <w:spacing w:line="560" w:lineRule="exact"/>
        <w:ind w:firstLine="720"/>
        <w:rPr>
          <w:rFonts w:hint="eastAsia" w:ascii="楷体_GB2312" w:eastAsia="楷体_GB2312"/>
          <w:b/>
          <w:sz w:val="32"/>
          <w:szCs w:val="24"/>
          <w:lang w:val="zh-CN"/>
        </w:rPr>
      </w:pPr>
      <w:r>
        <w:rPr>
          <w:rFonts w:hint="eastAsia" w:ascii="楷体_GB2312" w:eastAsia="楷体_GB2312"/>
          <w:b/>
          <w:sz w:val="32"/>
          <w:szCs w:val="24"/>
          <w:lang w:val="zh-CN"/>
        </w:rPr>
        <w:t>（一）项目完成情况</w:t>
      </w:r>
    </w:p>
    <w:p>
      <w:pPr>
        <w:spacing w:line="520" w:lineRule="exact"/>
        <w:ind w:firstLine="640" w:firstLineChars="200"/>
        <w:rPr>
          <w:rFonts w:hint="eastAsia" w:ascii="仿宋_GB2312" w:eastAsia="仿宋_GB2312" w:cs="宋体"/>
          <w:kern w:val="0"/>
          <w:sz w:val="32"/>
          <w:szCs w:val="32"/>
          <w:lang w:val="zh-CN" w:eastAsia="zh-CN" w:bidi="ar-SA"/>
        </w:rPr>
      </w:pPr>
      <w:r>
        <w:rPr>
          <w:rFonts w:hint="eastAsia" w:ascii="仿宋_GB2312" w:eastAsia="仿宋_GB2312" w:cs="宋体"/>
          <w:kern w:val="0"/>
          <w:sz w:val="32"/>
          <w:szCs w:val="32"/>
          <w:lang w:val="zh-CN" w:eastAsia="zh-CN" w:bidi="ar-SA"/>
        </w:rPr>
        <w:t>2020年州、县</w:t>
      </w:r>
      <w:r>
        <w:rPr>
          <w:rFonts w:hint="default" w:ascii="仿宋_GB2312" w:eastAsia="仿宋_GB2312" w:cs="宋体"/>
          <w:kern w:val="0"/>
          <w:sz w:val="32"/>
          <w:szCs w:val="32"/>
          <w:lang w:val="en-US" w:eastAsia="zh-CN" w:bidi="ar-SA"/>
        </w:rPr>
        <w:t>按照</w:t>
      </w:r>
      <w:r>
        <w:rPr>
          <w:rFonts w:hint="eastAsia" w:ascii="仿宋_GB2312" w:eastAsia="仿宋_GB2312" w:cs="宋体"/>
          <w:kern w:val="0"/>
          <w:sz w:val="32"/>
          <w:szCs w:val="32"/>
          <w:lang w:val="zh-CN" w:eastAsia="zh-CN" w:bidi="ar-SA"/>
        </w:rPr>
        <w:t>相关政策比例要求州级下达配套资金52.5848万元，县按相应比例配套资金132.6542万元，全年共计185.239万元。按照高龄津贴的使用性质全年支付情况为6990人次185.239万元，其中80-89岁共计发放6092人次145.344万元；90-99岁共计发放886人次38.655万元；100岁共计12人次1.24万元。</w:t>
      </w:r>
    </w:p>
    <w:p>
      <w:pPr>
        <w:adjustRightInd w:val="0"/>
        <w:snapToGrid w:val="0"/>
        <w:spacing w:line="560" w:lineRule="exact"/>
        <w:ind w:firstLine="642" w:firstLineChars="200"/>
        <w:rPr>
          <w:rFonts w:hint="eastAsia" w:ascii="楷体_GB2312" w:eastAsia="楷体_GB2312"/>
          <w:b/>
          <w:sz w:val="32"/>
          <w:szCs w:val="24"/>
          <w:lang w:val="zh-CN"/>
        </w:rPr>
      </w:pPr>
      <w:r>
        <w:rPr>
          <w:rFonts w:hint="eastAsia" w:ascii="楷体_GB2312" w:eastAsia="楷体_GB2312"/>
          <w:b/>
          <w:sz w:val="32"/>
          <w:szCs w:val="24"/>
          <w:lang w:val="zh-CN"/>
        </w:rPr>
        <w:t>（二）项目效益情况</w:t>
      </w:r>
    </w:p>
    <w:p>
      <w:pPr>
        <w:spacing w:line="520" w:lineRule="exact"/>
        <w:ind w:firstLine="640" w:firstLineChars="200"/>
        <w:rPr>
          <w:rFonts w:hint="eastAsia" w:ascii="仿宋_GB2312" w:eastAsia="仿宋_GB2312" w:cs="宋体"/>
          <w:kern w:val="0"/>
          <w:sz w:val="32"/>
          <w:szCs w:val="32"/>
          <w:lang w:val="zh-CN" w:eastAsia="zh-CN" w:bidi="ar-SA"/>
        </w:rPr>
      </w:pPr>
      <w:r>
        <w:rPr>
          <w:rFonts w:hint="eastAsia" w:ascii="仿宋_GB2312" w:eastAsia="仿宋_GB2312" w:cs="宋体"/>
          <w:kern w:val="0"/>
          <w:sz w:val="32"/>
          <w:szCs w:val="32"/>
          <w:lang w:val="zh-CN" w:eastAsia="zh-CN" w:bidi="ar-SA"/>
        </w:rPr>
        <w:t>对80周岁以上老年人发放“高龄津贴”，是让老年人充分享受改革开放发展成果的具体体现，是解决民生、落实民利、维护民权重要措施落实的表现，是贯彻落实科学发展观，大力宣传中华民族敬老爱老助老传统美德的延伸，是全力助推全社会关心关注老年人和老龄事业发展的重要举措。</w:t>
      </w:r>
    </w:p>
    <w:p>
      <w:pPr>
        <w:adjustRightInd w:val="0"/>
        <w:snapToGrid w:val="0"/>
        <w:spacing w:line="560" w:lineRule="exact"/>
        <w:ind w:firstLine="720"/>
        <w:rPr>
          <w:rFonts w:hint="eastAsia" w:ascii="黑体" w:eastAsia="黑体"/>
          <w:sz w:val="32"/>
          <w:szCs w:val="24"/>
        </w:rPr>
      </w:pPr>
      <w:r>
        <w:rPr>
          <w:rFonts w:hint="eastAsia" w:ascii="黑体" w:eastAsia="黑体"/>
          <w:sz w:val="32"/>
          <w:szCs w:val="24"/>
        </w:rPr>
        <w:t>四、问题及建议</w:t>
      </w:r>
    </w:p>
    <w:p>
      <w:pPr>
        <w:adjustRightInd w:val="0"/>
        <w:snapToGrid w:val="0"/>
        <w:spacing w:line="560" w:lineRule="exact"/>
        <w:ind w:firstLine="720"/>
        <w:rPr>
          <w:rFonts w:hint="eastAsia" w:ascii="楷体_GB2312" w:eastAsia="楷体_GB2312"/>
          <w:b/>
          <w:sz w:val="32"/>
          <w:szCs w:val="24"/>
          <w:lang w:val="zh-CN"/>
        </w:rPr>
      </w:pPr>
      <w:r>
        <w:rPr>
          <w:rFonts w:hint="eastAsia" w:ascii="楷体_GB2312" w:eastAsia="楷体_GB2312"/>
          <w:b/>
          <w:sz w:val="32"/>
          <w:szCs w:val="24"/>
          <w:lang w:val="zh-CN"/>
        </w:rPr>
        <w:t>（一）存在的问题</w:t>
      </w:r>
    </w:p>
    <w:p>
      <w:pPr>
        <w:spacing w:line="520" w:lineRule="exact"/>
        <w:ind w:firstLine="640" w:firstLineChars="200"/>
        <w:rPr>
          <w:rFonts w:hint="eastAsia" w:ascii="仿宋_GB2312" w:eastAsia="仿宋_GB2312" w:cs="宋体"/>
          <w:kern w:val="0"/>
          <w:sz w:val="32"/>
          <w:szCs w:val="32"/>
          <w:lang w:val="zh-CN" w:eastAsia="zh-CN" w:bidi="ar-SA"/>
        </w:rPr>
      </w:pPr>
      <w:r>
        <w:rPr>
          <w:rFonts w:hint="eastAsia" w:ascii="仿宋_GB2312" w:eastAsia="仿宋_GB2312" w:cs="宋体"/>
          <w:kern w:val="0"/>
          <w:sz w:val="32"/>
          <w:szCs w:val="32"/>
          <w:lang w:val="zh-CN" w:eastAsia="zh-CN" w:bidi="ar-SA"/>
        </w:rPr>
        <w:t>1.高龄津贴涉及对象数额庞大、变动较多，核实困难。</w:t>
      </w:r>
    </w:p>
    <w:p>
      <w:pPr>
        <w:spacing w:line="520" w:lineRule="exact"/>
        <w:ind w:firstLine="640" w:firstLineChars="200"/>
        <w:rPr>
          <w:rFonts w:hint="eastAsia" w:ascii="仿宋_GB2312" w:eastAsia="仿宋_GB2312" w:cs="宋体"/>
          <w:kern w:val="0"/>
          <w:sz w:val="32"/>
          <w:szCs w:val="32"/>
          <w:lang w:val="zh-CN" w:eastAsia="zh-CN" w:bidi="ar-SA"/>
        </w:rPr>
      </w:pPr>
      <w:r>
        <w:rPr>
          <w:rFonts w:hint="eastAsia" w:ascii="仿宋_GB2312" w:eastAsia="仿宋_GB2312" w:cs="宋体"/>
          <w:kern w:val="0"/>
          <w:sz w:val="32"/>
          <w:szCs w:val="32"/>
          <w:lang w:val="zh-CN" w:eastAsia="zh-CN" w:bidi="ar-SA"/>
        </w:rPr>
        <w:t>2.高龄津贴享受对象多数体弱、多病，对政策了解不多，申报困难。</w:t>
      </w:r>
    </w:p>
    <w:p>
      <w:pPr>
        <w:spacing w:line="520" w:lineRule="exact"/>
        <w:ind w:firstLine="640" w:firstLineChars="200"/>
        <w:rPr>
          <w:rFonts w:hint="eastAsia" w:ascii="仿宋_GB2312" w:eastAsia="仿宋_GB2312" w:cs="宋体"/>
          <w:kern w:val="0"/>
          <w:sz w:val="32"/>
          <w:szCs w:val="32"/>
          <w:lang w:val="zh-CN" w:eastAsia="zh-CN" w:bidi="ar-SA"/>
        </w:rPr>
      </w:pPr>
      <w:r>
        <w:rPr>
          <w:rFonts w:hint="eastAsia" w:ascii="仿宋_GB2312" w:eastAsia="仿宋_GB2312" w:cs="宋体"/>
          <w:kern w:val="0"/>
          <w:sz w:val="32"/>
          <w:szCs w:val="32"/>
          <w:lang w:val="zh-CN" w:eastAsia="zh-CN" w:bidi="ar-SA"/>
        </w:rPr>
        <w:t>3.基层工作缺少工作人员，政策宣传不到位，兼职人员多责任心不强。</w:t>
      </w:r>
    </w:p>
    <w:p>
      <w:pPr>
        <w:adjustRightInd w:val="0"/>
        <w:snapToGrid w:val="0"/>
        <w:spacing w:line="560" w:lineRule="exact"/>
        <w:ind w:firstLine="642" w:firstLineChars="200"/>
        <w:rPr>
          <w:rFonts w:hint="eastAsia" w:ascii="楷体_GB2312" w:eastAsia="楷体_GB2312"/>
          <w:b/>
          <w:sz w:val="32"/>
          <w:szCs w:val="24"/>
          <w:lang w:val="zh-CN"/>
        </w:rPr>
      </w:pPr>
      <w:r>
        <w:rPr>
          <w:rFonts w:hint="eastAsia" w:ascii="楷体_GB2312" w:eastAsia="楷体_GB2312"/>
          <w:b/>
          <w:sz w:val="32"/>
          <w:szCs w:val="24"/>
          <w:lang w:val="zh-CN"/>
        </w:rPr>
        <w:t>（二）相关建议</w:t>
      </w:r>
    </w:p>
    <w:p>
      <w:pPr>
        <w:spacing w:line="520" w:lineRule="exact"/>
        <w:ind w:firstLine="640" w:firstLineChars="200"/>
        <w:rPr>
          <w:rFonts w:hint="eastAsia" w:ascii="仿宋_GB2312" w:eastAsia="仿宋_GB2312" w:cs="宋体"/>
          <w:kern w:val="0"/>
          <w:sz w:val="32"/>
          <w:szCs w:val="32"/>
          <w:lang w:val="zh-CN" w:eastAsia="zh-CN" w:bidi="ar-SA"/>
        </w:rPr>
      </w:pPr>
      <w:r>
        <w:rPr>
          <w:rFonts w:hint="eastAsia" w:ascii="仿宋_GB2312" w:eastAsia="仿宋_GB2312" w:cs="宋体"/>
          <w:kern w:val="0"/>
          <w:sz w:val="32"/>
          <w:szCs w:val="32"/>
          <w:lang w:val="zh-CN" w:eastAsia="zh-CN" w:bidi="ar-SA"/>
        </w:rPr>
        <w:t>1.配备相应的工作人员。</w:t>
      </w:r>
    </w:p>
    <w:p>
      <w:pPr>
        <w:spacing w:line="520" w:lineRule="exact"/>
        <w:ind w:firstLine="640" w:firstLineChars="200"/>
        <w:rPr>
          <w:rFonts w:hint="eastAsia" w:ascii="仿宋_GB2312" w:eastAsia="仿宋_GB2312" w:cs="宋体"/>
          <w:kern w:val="0"/>
          <w:sz w:val="32"/>
          <w:szCs w:val="32"/>
          <w:lang w:val="zh-CN" w:eastAsia="zh-CN" w:bidi="ar-SA"/>
        </w:rPr>
      </w:pPr>
      <w:r>
        <w:rPr>
          <w:rFonts w:hint="eastAsia" w:ascii="仿宋_GB2312" w:eastAsia="仿宋_GB2312" w:cs="宋体"/>
          <w:kern w:val="0"/>
          <w:sz w:val="32"/>
          <w:szCs w:val="32"/>
          <w:lang w:val="zh-CN" w:eastAsia="zh-CN" w:bidi="ar-SA"/>
        </w:rPr>
        <w:t>2.加强相关的政策宣传。</w:t>
      </w:r>
    </w:p>
    <w:p>
      <w:pPr>
        <w:spacing w:line="520" w:lineRule="exact"/>
        <w:ind w:firstLine="640" w:firstLineChars="200"/>
        <w:rPr>
          <w:rFonts w:hint="eastAsia" w:ascii="仿宋_GB2312" w:eastAsia="仿宋_GB2312" w:cs="宋体"/>
          <w:kern w:val="0"/>
          <w:sz w:val="32"/>
          <w:szCs w:val="32"/>
          <w:lang w:val="zh-CN" w:eastAsia="zh-CN" w:bidi="ar-SA"/>
        </w:rPr>
      </w:pPr>
      <w:r>
        <w:rPr>
          <w:rFonts w:hint="eastAsia" w:ascii="仿宋_GB2312" w:eastAsia="仿宋_GB2312" w:cs="宋体"/>
          <w:kern w:val="0"/>
          <w:sz w:val="32"/>
          <w:szCs w:val="32"/>
          <w:lang w:val="zh-CN" w:eastAsia="zh-CN" w:bidi="ar-SA"/>
        </w:rPr>
        <w:t>3.本项工作纳入各基层年终目标考核。</w:t>
      </w:r>
    </w:p>
    <w:p>
      <w:pPr>
        <w:adjustRightInd w:val="0"/>
        <w:snapToGrid w:val="0"/>
        <w:spacing w:line="560" w:lineRule="exact"/>
        <w:ind w:firstLine="720"/>
        <w:rPr>
          <w:rFonts w:hint="eastAsia" w:ascii="楷体_GB2312" w:eastAsia="楷体_GB2312"/>
          <w:b/>
          <w:sz w:val="32"/>
          <w:szCs w:val="24"/>
          <w:lang w:val="zh-CN"/>
        </w:rPr>
      </w:pPr>
    </w:p>
    <w:p>
      <w:pPr>
        <w:widowControl/>
        <w:spacing w:line="576" w:lineRule="exact"/>
        <w:jc w:val="left"/>
        <w:rPr>
          <w:rStyle w:val="20"/>
          <w:rFonts w:ascii="黑体" w:eastAsia="黑体"/>
          <w:b w:val="0"/>
        </w:rPr>
      </w:pPr>
    </w:p>
    <w:p>
      <w:pPr>
        <w:widowControl/>
        <w:spacing w:line="576" w:lineRule="exact"/>
        <w:jc w:val="left"/>
        <w:rPr>
          <w:rStyle w:val="20"/>
          <w:rFonts w:ascii="黑体" w:eastAsia="黑体"/>
          <w:b w:val="0"/>
        </w:rPr>
      </w:pPr>
    </w:p>
    <w:p>
      <w:pPr>
        <w:widowControl/>
        <w:spacing w:line="576" w:lineRule="exact"/>
        <w:jc w:val="left"/>
        <w:rPr>
          <w:rStyle w:val="20"/>
          <w:rFonts w:ascii="黑体" w:eastAsia="黑体"/>
          <w:b w:val="0"/>
        </w:rPr>
      </w:pPr>
    </w:p>
    <w:p>
      <w:pPr>
        <w:widowControl/>
        <w:spacing w:line="576" w:lineRule="exact"/>
        <w:jc w:val="left"/>
        <w:rPr>
          <w:rStyle w:val="20"/>
          <w:rFonts w:ascii="黑体" w:eastAsia="黑体"/>
          <w:b w:val="0"/>
        </w:rPr>
      </w:pPr>
    </w:p>
    <w:p>
      <w:pPr>
        <w:widowControl/>
        <w:spacing w:line="576" w:lineRule="exact"/>
        <w:jc w:val="left"/>
        <w:rPr>
          <w:rStyle w:val="20"/>
          <w:rFonts w:ascii="黑体" w:eastAsia="黑体"/>
          <w:b w:val="0"/>
        </w:rPr>
      </w:pPr>
    </w:p>
    <w:p>
      <w:pPr>
        <w:widowControl/>
        <w:spacing w:line="576" w:lineRule="exact"/>
        <w:jc w:val="left"/>
        <w:rPr>
          <w:rStyle w:val="20"/>
          <w:rFonts w:ascii="黑体" w:eastAsia="黑体"/>
          <w:b w:val="0"/>
        </w:rPr>
      </w:pPr>
    </w:p>
    <w:p>
      <w:pPr>
        <w:widowControl/>
        <w:spacing w:line="576" w:lineRule="exact"/>
        <w:jc w:val="left"/>
        <w:rPr>
          <w:rStyle w:val="20"/>
          <w:rFonts w:ascii="黑体" w:eastAsia="黑体"/>
          <w:b w:val="0"/>
        </w:rPr>
      </w:pPr>
    </w:p>
    <w:p>
      <w:pPr>
        <w:widowControl/>
        <w:spacing w:line="576" w:lineRule="exact"/>
        <w:jc w:val="left"/>
        <w:rPr>
          <w:rStyle w:val="20"/>
          <w:rFonts w:ascii="黑体" w:eastAsia="黑体"/>
          <w:b w:val="0"/>
        </w:rPr>
      </w:pPr>
    </w:p>
    <w:p>
      <w:pPr>
        <w:widowControl/>
        <w:spacing w:line="576" w:lineRule="exact"/>
        <w:jc w:val="left"/>
        <w:rPr>
          <w:rStyle w:val="20"/>
          <w:rFonts w:ascii="黑体" w:eastAsia="黑体"/>
          <w:b w:val="0"/>
        </w:rPr>
      </w:pPr>
    </w:p>
    <w:p>
      <w:pPr>
        <w:widowControl/>
        <w:spacing w:line="576" w:lineRule="exact"/>
        <w:jc w:val="left"/>
        <w:rPr>
          <w:rStyle w:val="20"/>
          <w:rFonts w:ascii="黑体" w:eastAsia="黑体"/>
          <w:b w:val="0"/>
        </w:rPr>
      </w:pPr>
    </w:p>
    <w:p>
      <w:pPr>
        <w:widowControl/>
        <w:spacing w:line="576" w:lineRule="exact"/>
        <w:jc w:val="left"/>
        <w:rPr>
          <w:rStyle w:val="20"/>
          <w:rFonts w:hint="eastAsia" w:ascii="黑体" w:eastAsia="黑体"/>
          <w:b w:val="0"/>
          <w:lang w:eastAsia="zh-CN"/>
        </w:rPr>
      </w:pPr>
    </w:p>
    <w:p>
      <w:pPr>
        <w:pStyle w:val="4"/>
        <w:bidi w:val="0"/>
        <w:rPr>
          <w:rFonts w:hint="eastAsia" w:ascii="宋体" w:eastAsia="宋体"/>
          <w:sz w:val="30"/>
          <w:szCs w:val="30"/>
        </w:rPr>
      </w:pPr>
      <w:bookmarkStart w:id="168" w:name="_Toc26508"/>
      <w:bookmarkStart w:id="169" w:name="_Toc4132"/>
      <w:bookmarkStart w:id="170" w:name="_Toc1456"/>
      <w:r>
        <w:rPr>
          <w:rFonts w:hint="eastAsia" w:ascii="仿宋_GB2312" w:eastAsia="仿宋_GB2312" w:cs="仿宋_GB2312"/>
          <w:b w:val="0"/>
          <w:bCs w:val="0"/>
          <w:kern w:val="2"/>
          <w:sz w:val="32"/>
          <w:szCs w:val="32"/>
          <w:lang w:val="en-US" w:eastAsia="zh-CN" w:bidi="ar-SA"/>
        </w:rPr>
        <w:t>附件3</w:t>
      </w:r>
      <w:r>
        <w:rPr>
          <w:rFonts w:hint="eastAsia" w:ascii="仿宋_GB2312" w:eastAsia="仿宋_GB2312" w:cs="仿宋_GB2312"/>
          <w:b w:val="0"/>
          <w:bCs w:val="0"/>
          <w:kern w:val="2"/>
          <w:sz w:val="44"/>
          <w:szCs w:val="44"/>
          <w:lang w:val="en-US" w:eastAsia="zh-CN" w:bidi="ar-SA"/>
        </w:rPr>
        <w:t>：</w:t>
      </w:r>
      <w:bookmarkEnd w:id="168"/>
      <w:bookmarkEnd w:id="169"/>
      <w:bookmarkEnd w:id="170"/>
    </w:p>
    <w:p>
      <w:pPr>
        <w:pStyle w:val="4"/>
        <w:bidi w:val="0"/>
        <w:jc w:val="center"/>
        <w:rPr>
          <w:rFonts w:hint="eastAsia" w:ascii="方正小标宋简体" w:eastAsia="方正小标宋简体" w:cs="Times New Roman"/>
          <w:b w:val="0"/>
          <w:bCs w:val="0"/>
          <w:kern w:val="2"/>
          <w:sz w:val="44"/>
          <w:szCs w:val="44"/>
          <w:lang w:val="en-US" w:eastAsia="zh-CN" w:bidi="ar-SA"/>
        </w:rPr>
      </w:pPr>
      <w:bookmarkStart w:id="171" w:name="_Toc8692"/>
      <w:r>
        <w:rPr>
          <w:rFonts w:hint="eastAsia" w:ascii="方正小标宋简体" w:eastAsia="方正小标宋简体" w:cs="Times New Roman"/>
          <w:b w:val="0"/>
          <w:bCs w:val="0"/>
          <w:kern w:val="2"/>
          <w:sz w:val="44"/>
          <w:szCs w:val="44"/>
          <w:lang w:val="en-US" w:eastAsia="zh-CN" w:bidi="ar-SA"/>
        </w:rPr>
        <w:t>茂县民政局2020年困难残疾人生活补贴资金支出绩效自评报告</w:t>
      </w:r>
      <w:bookmarkEnd w:id="171"/>
    </w:p>
    <w:p>
      <w:pPr>
        <w:pStyle w:val="30"/>
        <w:spacing w:line="580" w:lineRule="exact"/>
        <w:jc w:val="center"/>
        <w:rPr>
          <w:rFonts w:hint="eastAsia" w:ascii="宋体" w:cs="Times New Roman"/>
          <w:color w:val="auto"/>
          <w:kern w:val="2"/>
          <w:sz w:val="32"/>
          <w:szCs w:val="32"/>
        </w:rPr>
      </w:pPr>
    </w:p>
    <w:p>
      <w:pPr>
        <w:numPr>
          <w:ilvl w:val="0"/>
          <w:numId w:val="7"/>
        </w:numPr>
        <w:adjustRightInd w:val="0"/>
        <w:snapToGrid w:val="0"/>
        <w:spacing w:line="580" w:lineRule="exact"/>
        <w:ind w:left="0" w:firstLine="720"/>
        <w:rPr>
          <w:rFonts w:hint="eastAsia" w:ascii="黑体" w:eastAsia="黑体"/>
          <w:sz w:val="32"/>
          <w:szCs w:val="32"/>
          <w:lang w:val="zh-CN"/>
        </w:rPr>
      </w:pPr>
      <w:r>
        <w:rPr>
          <w:rFonts w:hint="eastAsia" w:ascii="黑体" w:eastAsia="黑体"/>
          <w:sz w:val="32"/>
          <w:szCs w:val="32"/>
          <w:lang w:val="zh-CN"/>
        </w:rPr>
        <w:t>项目概况</w:t>
      </w:r>
    </w:p>
    <w:p>
      <w:pPr>
        <w:adjustRightInd w:val="0"/>
        <w:snapToGrid w:val="0"/>
        <w:spacing w:line="580" w:lineRule="exact"/>
        <w:ind w:firstLine="720"/>
        <w:textAlignment w:val="bottom"/>
        <w:rPr>
          <w:rFonts w:hint="eastAsia" w:ascii="仿宋_GB2312" w:eastAsia="仿宋_GB2312" w:cs="仿宋_GB2312"/>
          <w:sz w:val="32"/>
          <w:szCs w:val="32"/>
        </w:rPr>
      </w:pPr>
      <w:r>
        <w:rPr>
          <w:rFonts w:hint="eastAsia" w:ascii="仿宋_GB2312" w:eastAsia="仿宋_GB2312" w:cs="仿宋_GB2312"/>
          <w:sz w:val="32"/>
          <w:szCs w:val="32"/>
        </w:rPr>
        <w:t>建立残疾人两项补贴制度是落实以习近平同志为核心的党中央关于残疾人事业新部署的重大措施，是加快残疾人小康进程迈出的坚实有力步伐。残疾人两项补贴制度的全面建立，是第一次在国家层面建立的残疾人专项福利制度，具有填补残疾人社会保障体系空白的重要意义；是以全国残疾人基本服务状况与需求调查、残疾人状况监测为依据，针对广大残疾人迫切需要而推出的重大惠民举措，填补了残疾人福利制度的空白，有助于巩固提升家庭对残疾人的照顾功能，促进家庭社会和谐稳定。</w:t>
      </w:r>
    </w:p>
    <w:p>
      <w:pPr>
        <w:numPr>
          <w:ilvl w:val="0"/>
          <w:numId w:val="8"/>
        </w:numPr>
        <w:adjustRightInd w:val="0"/>
        <w:snapToGrid w:val="0"/>
        <w:spacing w:line="580" w:lineRule="exact"/>
        <w:ind w:left="0" w:firstLine="720"/>
        <w:rPr>
          <w:rFonts w:hint="eastAsia" w:ascii="楷体_GB2312" w:eastAsia="楷体_GB2312"/>
          <w:b/>
          <w:sz w:val="32"/>
          <w:szCs w:val="32"/>
          <w:lang w:val="zh-CN"/>
        </w:rPr>
      </w:pPr>
      <w:r>
        <w:rPr>
          <w:rFonts w:hint="eastAsia" w:ascii="楷体_GB2312" w:eastAsia="楷体_GB2312"/>
          <w:b/>
          <w:sz w:val="32"/>
          <w:szCs w:val="32"/>
          <w:lang w:val="zh-CN"/>
        </w:rPr>
        <w:t>项目资金申报及批复情况</w:t>
      </w:r>
    </w:p>
    <w:p>
      <w:pPr>
        <w:adjustRightInd w:val="0"/>
        <w:snapToGrid w:val="0"/>
        <w:spacing w:line="580" w:lineRule="exact"/>
        <w:ind w:firstLine="720"/>
        <w:textAlignment w:val="bottom"/>
        <w:rPr>
          <w:rFonts w:hint="eastAsia" w:ascii="仿宋_GB2312" w:eastAsia="仿宋_GB2312" w:cs="仿宋_GB2312"/>
          <w:sz w:val="32"/>
          <w:szCs w:val="32"/>
        </w:rPr>
      </w:pPr>
      <w:r>
        <w:rPr>
          <w:rFonts w:hint="eastAsia" w:ascii="仿宋_GB2312" w:eastAsia="仿宋_GB2312" w:cs="仿宋_GB2312"/>
          <w:sz w:val="32"/>
          <w:szCs w:val="32"/>
        </w:rPr>
        <w:t>根据《四川省民政厅 四川省财政厅 四川省残疾人联合会&lt;关于建立困难残疾人生活补贴和重度残疾人护理补贴&gt;的通知》（川民发〔2015〕195号）规定，</w:t>
      </w:r>
      <w:r>
        <w:rPr>
          <w:rFonts w:hint="eastAsia" w:ascii="仿宋_GB2312" w:eastAsia="仿宋_GB2312" w:cs="仿宋_GB2312"/>
          <w:sz w:val="32"/>
          <w:szCs w:val="32"/>
          <w:lang w:val="zh-CN"/>
        </w:rPr>
        <w:t>困难残疾人生活补贴的对象为持有第二代残疾人证的具有我县户籍的低保对象，</w:t>
      </w:r>
      <w:r>
        <w:rPr>
          <w:rFonts w:hint="eastAsia" w:ascii="仿宋_GB2312" w:eastAsia="仿宋_GB2312" w:cs="仿宋_GB2312"/>
          <w:sz w:val="32"/>
          <w:szCs w:val="32"/>
        </w:rPr>
        <w:t>从2016年1月1日起全省建立实施困难残疾人生活补贴，2016年按照每人每月60元执行，2017年-2020年每年提高10元，到2020年达到每人每月100元。</w:t>
      </w:r>
    </w:p>
    <w:p>
      <w:pPr>
        <w:pStyle w:val="14"/>
        <w:spacing w:line="576" w:lineRule="exact"/>
        <w:ind w:firstLine="640" w:firstLineChars="200"/>
        <w:rPr>
          <w:rFonts w:hint="eastAsia" w:ascii="仿宋_GB2312" w:eastAsia="仿宋_GB2312"/>
          <w:sz w:val="32"/>
          <w:szCs w:val="32"/>
          <w:lang w:val="zh-CN"/>
        </w:rPr>
      </w:pPr>
      <w:r>
        <w:rPr>
          <w:rFonts w:hint="eastAsia" w:ascii="仿宋_GB2312" w:eastAsia="仿宋_GB2312"/>
          <w:sz w:val="32"/>
          <w:szCs w:val="32"/>
        </w:rPr>
        <w:t>困难残疾人生活补贴所需</w:t>
      </w:r>
      <w:r>
        <w:rPr>
          <w:rFonts w:hint="eastAsia" w:ascii="仿宋_GB2312" w:eastAsia="仿宋_GB2312"/>
          <w:sz w:val="32"/>
          <w:szCs w:val="32"/>
          <w:lang w:val="zh-CN"/>
        </w:rPr>
        <w:t>资金纳入地方财政预算安排，省级财政按照</w:t>
      </w:r>
      <w:r>
        <w:rPr>
          <w:rFonts w:hint="eastAsia" w:ascii="仿宋_GB2312" w:eastAsia="仿宋_GB2312"/>
          <w:sz w:val="32"/>
          <w:szCs w:val="32"/>
        </w:rPr>
        <w:t>35%总体补助水平对市县给予补助（其中：对三州和扩权县补助比例为40%，对其他县市补助比例为30%），总额包干。州、县按4:6配套资金。</w:t>
      </w:r>
    </w:p>
    <w:p>
      <w:pPr>
        <w:adjustRightInd w:val="0"/>
        <w:snapToGrid w:val="0"/>
        <w:spacing w:line="580" w:lineRule="exact"/>
        <w:ind w:left="0" w:firstLine="642" w:firstLineChars="200"/>
        <w:rPr>
          <w:rFonts w:hint="eastAsia"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rPr>
        <w:t>二</w:t>
      </w:r>
      <w:r>
        <w:rPr>
          <w:rFonts w:hint="eastAsia" w:ascii="楷体_GB2312" w:eastAsia="楷体_GB2312"/>
          <w:b/>
          <w:sz w:val="32"/>
          <w:szCs w:val="32"/>
          <w:lang w:val="zh-CN"/>
        </w:rPr>
        <w:t>）项目绩效目标</w:t>
      </w:r>
    </w:p>
    <w:p>
      <w:pPr>
        <w:adjustRightInd w:val="0"/>
        <w:snapToGrid w:val="0"/>
        <w:spacing w:line="580" w:lineRule="exact"/>
        <w:ind w:firstLine="640" w:firstLineChars="200"/>
        <w:textAlignment w:val="bottom"/>
        <w:rPr>
          <w:rFonts w:hint="eastAsia" w:ascii="仿宋_GB2312" w:eastAsia="仿宋_GB2312" w:cs="仿宋_GB2312"/>
          <w:sz w:val="32"/>
          <w:szCs w:val="32"/>
          <w:lang w:val="zh-CN"/>
        </w:rPr>
      </w:pPr>
      <w:r>
        <w:rPr>
          <w:rFonts w:hint="eastAsia" w:ascii="仿宋_GB2312" w:eastAsia="仿宋_GB2312" w:cs="仿宋_GB2312"/>
          <w:sz w:val="32"/>
          <w:szCs w:val="32"/>
          <w:lang w:val="zh-CN"/>
        </w:rPr>
        <w:t>困难残疾人生活补贴的对象是弱势群体，为改善残疾人生存发展现状，保障残疾人权益，促进残疾人事业全面发展，体现各级党委、政府的关心，保障了他们的基本生活，维护了社会稳定。</w:t>
      </w:r>
    </w:p>
    <w:p>
      <w:pPr>
        <w:adjustRightInd w:val="0"/>
        <w:snapToGrid w:val="0"/>
        <w:spacing w:line="580" w:lineRule="exact"/>
        <w:ind w:left="0" w:firstLine="642" w:firstLineChars="200"/>
        <w:rPr>
          <w:rFonts w:hint="eastAsia"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rPr>
        <w:t>三</w:t>
      </w:r>
      <w:r>
        <w:rPr>
          <w:rFonts w:hint="eastAsia" w:ascii="楷体_GB2312" w:eastAsia="楷体_GB2312"/>
          <w:b/>
          <w:sz w:val="32"/>
          <w:szCs w:val="32"/>
          <w:lang w:val="zh-CN"/>
        </w:rPr>
        <w:t>）项目资金申报相符性</w:t>
      </w:r>
    </w:p>
    <w:p>
      <w:pPr>
        <w:tabs>
          <w:tab w:val="left" w:pos="3885"/>
        </w:tabs>
        <w:spacing w:line="560" w:lineRule="exact"/>
        <w:ind w:left="0" w:firstLine="640" w:firstLineChars="200"/>
        <w:rPr>
          <w:rFonts w:hint="eastAsia" w:ascii="仿宋_GB2312" w:eastAsia="仿宋_GB2312" w:cs="仿宋_GB2312"/>
          <w:b/>
          <w:sz w:val="32"/>
          <w:szCs w:val="32"/>
          <w:highlight w:val="yellow"/>
        </w:rPr>
      </w:pPr>
      <w:r>
        <w:rPr>
          <w:rFonts w:hint="eastAsia" w:ascii="仿宋_GB2312" w:eastAsia="仿宋_GB2312"/>
          <w:sz w:val="32"/>
          <w:szCs w:val="32"/>
        </w:rPr>
        <w:t>我局严格按照《四川省民政厅 财政厅 省残联关于建立困难残疾人生活补贴和重度残疾人护理补贴的通知》开展困难残疾人生活补贴工作，</w:t>
      </w:r>
      <w:r>
        <w:rPr>
          <w:rFonts w:hint="eastAsia" w:ascii="仿宋_GB2312" w:eastAsia="仿宋_GB2312"/>
          <w:sz w:val="32"/>
          <w:szCs w:val="32"/>
          <w:lang w:val="zh-CN"/>
        </w:rPr>
        <w:t>项目申报内容与具体实施内容相符、申报目标是合理可行。</w:t>
      </w:r>
    </w:p>
    <w:p>
      <w:pPr>
        <w:adjustRightInd w:val="0"/>
        <w:snapToGrid w:val="0"/>
        <w:spacing w:line="580" w:lineRule="exact"/>
        <w:ind w:firstLine="640" w:firstLineChars="200"/>
        <w:rPr>
          <w:rFonts w:hint="eastAsia" w:ascii="黑体" w:eastAsia="黑体"/>
          <w:sz w:val="32"/>
          <w:szCs w:val="32"/>
        </w:rPr>
      </w:pPr>
      <w:r>
        <w:rPr>
          <w:rFonts w:hint="eastAsia" w:ascii="黑体" w:eastAsia="黑体"/>
          <w:sz w:val="32"/>
          <w:szCs w:val="32"/>
        </w:rPr>
        <w:t>二、项目实施及管理情况</w:t>
      </w:r>
    </w:p>
    <w:p>
      <w:pPr>
        <w:adjustRightInd w:val="0"/>
        <w:snapToGrid w:val="0"/>
        <w:spacing w:line="580" w:lineRule="exact"/>
        <w:ind w:firstLine="720"/>
        <w:rPr>
          <w:rFonts w:hint="eastAsia" w:ascii="楷体_GB2312" w:eastAsia="楷体_GB2312"/>
          <w:b/>
          <w:sz w:val="32"/>
          <w:szCs w:val="32"/>
          <w:lang w:val="zh-CN"/>
        </w:rPr>
      </w:pPr>
      <w:r>
        <w:rPr>
          <w:rFonts w:hint="eastAsia" w:ascii="仿宋_GB2312" w:eastAsia="仿宋_GB2312"/>
          <w:sz w:val="32"/>
          <w:szCs w:val="32"/>
          <w:lang w:val="zh-CN"/>
        </w:rPr>
        <w:tab/>
      </w:r>
      <w:r>
        <w:rPr>
          <w:rFonts w:hint="eastAsia" w:ascii="楷体_GB2312" w:eastAsia="楷体_GB2312"/>
          <w:b/>
          <w:sz w:val="32"/>
          <w:szCs w:val="32"/>
          <w:lang w:val="zh-CN"/>
        </w:rPr>
        <w:t>（一）资金计划、到位及使用情况</w:t>
      </w:r>
    </w:p>
    <w:p>
      <w:pPr>
        <w:spacing w:line="560" w:lineRule="exact"/>
        <w:ind w:firstLine="640" w:firstLineChars="200"/>
        <w:rPr>
          <w:rFonts w:hint="eastAsia" w:ascii="仿宋_GB2312" w:eastAsia="仿宋_GB2312"/>
          <w:sz w:val="32"/>
          <w:szCs w:val="32"/>
        </w:rPr>
      </w:pPr>
      <w:r>
        <w:rPr>
          <w:rFonts w:hint="eastAsia"/>
          <w:sz w:val="32"/>
          <w:szCs w:val="32"/>
          <w:lang w:val="zh-CN"/>
        </w:rPr>
        <w:t>1</w:t>
      </w:r>
      <w:r>
        <w:rPr>
          <w:rFonts w:hint="eastAsia" w:eastAsia="楷体_GB2312"/>
          <w:sz w:val="32"/>
          <w:szCs w:val="32"/>
          <w:lang w:val="zh-CN"/>
        </w:rPr>
        <w:t>.资金计划及到位</w:t>
      </w:r>
    </w:p>
    <w:p>
      <w:pPr>
        <w:widowControl/>
        <w:adjustRightInd w:val="0"/>
        <w:snapToGrid w:val="0"/>
        <w:spacing w:line="576" w:lineRule="exact"/>
        <w:ind w:firstLine="880" w:firstLineChars="275"/>
        <w:rPr>
          <w:rFonts w:hint="eastAsia" w:ascii="仿宋_GB2312" w:eastAsia="仿宋_GB2312"/>
          <w:sz w:val="32"/>
          <w:szCs w:val="32"/>
        </w:rPr>
      </w:pPr>
      <w:r>
        <w:rPr>
          <w:rFonts w:hint="eastAsia" w:ascii="仿宋_GB2312" w:eastAsia="仿宋_GB2312"/>
          <w:sz w:val="32"/>
          <w:szCs w:val="32"/>
          <w:lang w:val="zh-CN"/>
        </w:rPr>
        <w:t>20</w:t>
      </w:r>
      <w:r>
        <w:rPr>
          <w:rFonts w:hint="eastAsia" w:ascii="仿宋_GB2312" w:eastAsia="仿宋_GB2312"/>
          <w:sz w:val="32"/>
          <w:szCs w:val="32"/>
        </w:rPr>
        <w:t>20</w:t>
      </w:r>
      <w:r>
        <w:rPr>
          <w:rFonts w:hint="eastAsia" w:ascii="仿宋_GB2312" w:eastAsia="仿宋_GB2312"/>
          <w:sz w:val="32"/>
          <w:szCs w:val="32"/>
          <w:lang w:val="zh-CN"/>
        </w:rPr>
        <w:t>年到位资金</w:t>
      </w:r>
      <w:r>
        <w:rPr>
          <w:rFonts w:hint="eastAsia" w:ascii="仿宋_GB2312" w:eastAsia="仿宋_GB2312"/>
          <w:sz w:val="32"/>
          <w:szCs w:val="32"/>
        </w:rPr>
        <w:t>41.066</w:t>
      </w:r>
      <w:r>
        <w:rPr>
          <w:rFonts w:hint="eastAsia" w:ascii="仿宋_GB2312" w:eastAsia="仿宋_GB2312"/>
          <w:sz w:val="32"/>
          <w:szCs w:val="32"/>
          <w:lang w:val="zh-CN"/>
        </w:rPr>
        <w:t>万元（阿州财社【</w:t>
      </w:r>
      <w:r>
        <w:rPr>
          <w:rFonts w:hint="eastAsia" w:ascii="仿宋_GB2312" w:eastAsia="仿宋_GB2312"/>
          <w:sz w:val="32"/>
          <w:szCs w:val="32"/>
        </w:rPr>
        <w:t>2020</w:t>
      </w:r>
      <w:r>
        <w:rPr>
          <w:rFonts w:hint="eastAsia" w:ascii="仿宋_GB2312" w:eastAsia="仿宋_GB2312"/>
          <w:sz w:val="32"/>
          <w:szCs w:val="32"/>
          <w:lang w:val="zh-CN"/>
        </w:rPr>
        <w:t>】</w:t>
      </w:r>
      <w:r>
        <w:rPr>
          <w:rFonts w:hint="eastAsia" w:ascii="仿宋_GB2312" w:eastAsia="仿宋_GB2312"/>
          <w:sz w:val="32"/>
          <w:szCs w:val="32"/>
        </w:rPr>
        <w:t>11号22.94万元、阿州财社【2020】69号2.4万元、</w:t>
      </w:r>
      <w:r>
        <w:rPr>
          <w:rFonts w:hint="eastAsia" w:ascii="仿宋_GB2312" w:eastAsia="仿宋_GB2312"/>
          <w:sz w:val="32"/>
          <w:szCs w:val="32"/>
          <w:lang w:val="zh-CN"/>
        </w:rPr>
        <w:t>阿州财社【</w:t>
      </w:r>
      <w:r>
        <w:rPr>
          <w:rFonts w:hint="eastAsia" w:ascii="仿宋_GB2312" w:eastAsia="仿宋_GB2312"/>
          <w:sz w:val="32"/>
          <w:szCs w:val="32"/>
        </w:rPr>
        <w:t>2020</w:t>
      </w:r>
      <w:r>
        <w:rPr>
          <w:rFonts w:hint="eastAsia" w:ascii="仿宋_GB2312" w:eastAsia="仿宋_GB2312"/>
          <w:sz w:val="32"/>
          <w:szCs w:val="32"/>
          <w:lang w:val="zh-CN"/>
        </w:rPr>
        <w:t>】</w:t>
      </w:r>
      <w:r>
        <w:rPr>
          <w:rFonts w:hint="eastAsia" w:ascii="仿宋_GB2312" w:eastAsia="仿宋_GB2312"/>
          <w:sz w:val="32"/>
          <w:szCs w:val="32"/>
        </w:rPr>
        <w:t>101号0.39万元，年初部门预算资金15.336万元。</w:t>
      </w:r>
      <w:r>
        <w:rPr>
          <w:rFonts w:hint="eastAsia" w:ascii="仿宋_GB2312" w:eastAsia="仿宋_GB2312"/>
          <w:sz w:val="32"/>
          <w:szCs w:val="32"/>
          <w:lang w:val="zh-CN"/>
        </w:rPr>
        <w:t>其中：</w:t>
      </w:r>
      <w:r>
        <w:rPr>
          <w:rFonts w:hint="eastAsia" w:ascii="仿宋_GB2312" w:eastAsia="仿宋_GB2312"/>
          <w:sz w:val="32"/>
          <w:szCs w:val="32"/>
        </w:rPr>
        <w:t>省级下拨15.79万元，州配套9.94万元，县级配套15.336万元，</w:t>
      </w:r>
      <w:r>
        <w:rPr>
          <w:rFonts w:hint="eastAsia" w:ascii="仿宋_GB2312" w:eastAsia="仿宋_GB2312"/>
          <w:sz w:val="32"/>
          <w:szCs w:val="32"/>
          <w:lang w:val="zh-CN"/>
        </w:rPr>
        <w:t>资金到位率为</w:t>
      </w:r>
      <w:r>
        <w:rPr>
          <w:rFonts w:hint="eastAsia" w:ascii="仿宋_GB2312" w:eastAsia="仿宋_GB2312"/>
          <w:sz w:val="32"/>
          <w:szCs w:val="32"/>
        </w:rPr>
        <w:t>100%。上年度正常结转2万元（</w:t>
      </w:r>
      <w:r>
        <w:rPr>
          <w:rFonts w:hint="eastAsia" w:ascii="仿宋_GB2312" w:eastAsia="仿宋_GB2312"/>
          <w:sz w:val="32"/>
          <w:szCs w:val="32"/>
          <w:lang w:val="zh-CN"/>
        </w:rPr>
        <w:t>阿州财社【</w:t>
      </w:r>
      <w:r>
        <w:rPr>
          <w:rFonts w:hint="eastAsia" w:ascii="仿宋_GB2312" w:eastAsia="仿宋_GB2312"/>
          <w:sz w:val="32"/>
          <w:szCs w:val="32"/>
        </w:rPr>
        <w:t>2019</w:t>
      </w:r>
      <w:r>
        <w:rPr>
          <w:rFonts w:hint="eastAsia" w:ascii="仿宋_GB2312" w:eastAsia="仿宋_GB2312"/>
          <w:sz w:val="32"/>
          <w:szCs w:val="32"/>
          <w:lang w:val="zh-CN"/>
        </w:rPr>
        <w:t>】</w:t>
      </w:r>
      <w:r>
        <w:rPr>
          <w:rFonts w:hint="eastAsia" w:ascii="仿宋_GB2312" w:eastAsia="仿宋_GB2312"/>
          <w:sz w:val="32"/>
          <w:szCs w:val="32"/>
        </w:rPr>
        <w:t>113号）用于残疾人两项补贴，困难残疾人0.811万元，重度残疾人1.189万元。</w:t>
      </w:r>
    </w:p>
    <w:p>
      <w:pPr>
        <w:widowControl/>
        <w:adjustRightInd w:val="0"/>
        <w:snapToGrid w:val="0"/>
        <w:spacing w:line="576" w:lineRule="exact"/>
        <w:ind w:firstLine="880" w:firstLineChars="275"/>
        <w:rPr>
          <w:rFonts w:hint="eastAsia" w:ascii="仿宋_GB2312" w:eastAsia="仿宋_GB2312"/>
          <w:sz w:val="32"/>
          <w:szCs w:val="32"/>
        </w:rPr>
      </w:pPr>
    </w:p>
    <w:p>
      <w:pPr>
        <w:adjustRightInd w:val="0"/>
        <w:snapToGrid w:val="0"/>
        <w:spacing w:line="580" w:lineRule="exact"/>
        <w:ind w:left="0" w:firstLine="640" w:firstLineChars="200"/>
        <w:rPr>
          <w:rFonts w:hint="eastAsia" w:ascii="楷体_GB2312" w:eastAsia="楷体_GB2312"/>
          <w:sz w:val="32"/>
          <w:szCs w:val="32"/>
          <w:lang w:val="zh-CN"/>
        </w:rPr>
      </w:pPr>
      <w:r>
        <w:rPr>
          <w:rFonts w:hint="eastAsia" w:ascii="楷体_GB2312" w:eastAsia="楷体_GB2312"/>
          <w:sz w:val="32"/>
          <w:szCs w:val="32"/>
        </w:rPr>
        <w:t>2.</w:t>
      </w:r>
      <w:r>
        <w:rPr>
          <w:rFonts w:hint="eastAsia" w:ascii="楷体_GB2312" w:eastAsia="楷体_GB2312"/>
          <w:sz w:val="32"/>
          <w:szCs w:val="32"/>
          <w:lang w:val="zh-CN"/>
        </w:rPr>
        <w:t>资金使用</w:t>
      </w:r>
    </w:p>
    <w:p>
      <w:pPr>
        <w:widowControl/>
        <w:adjustRightInd w:val="0"/>
        <w:snapToGrid w:val="0"/>
        <w:spacing w:line="576" w:lineRule="exact"/>
        <w:ind w:firstLine="880" w:firstLineChars="275"/>
        <w:rPr>
          <w:rFonts w:hint="eastAsia" w:ascii="仿宋_GB2312" w:eastAsia="仿宋_GB2312"/>
          <w:color w:val="auto"/>
          <w:sz w:val="32"/>
          <w:szCs w:val="32"/>
        </w:rPr>
      </w:pPr>
      <w:r>
        <w:rPr>
          <w:rFonts w:hint="eastAsia" w:ascii="仿宋_GB2312" w:eastAsia="仿宋_GB2312" w:cs="仿宋_GB2312"/>
          <w:color w:val="auto"/>
          <w:sz w:val="32"/>
          <w:szCs w:val="32"/>
          <w:lang w:val="zh-CN"/>
        </w:rPr>
        <w:t>截止20</w:t>
      </w:r>
      <w:r>
        <w:rPr>
          <w:rFonts w:hint="eastAsia" w:ascii="仿宋_GB2312" w:eastAsia="仿宋_GB2312" w:cs="仿宋_GB2312"/>
          <w:color w:val="auto"/>
          <w:sz w:val="32"/>
          <w:szCs w:val="32"/>
        </w:rPr>
        <w:t>20</w:t>
      </w:r>
      <w:r>
        <w:rPr>
          <w:rFonts w:hint="eastAsia" w:ascii="仿宋_GB2312" w:eastAsia="仿宋_GB2312" w:cs="仿宋_GB2312"/>
          <w:color w:val="auto"/>
          <w:sz w:val="32"/>
          <w:szCs w:val="32"/>
          <w:lang w:val="zh-CN"/>
        </w:rPr>
        <w:t>年</w:t>
      </w:r>
      <w:r>
        <w:rPr>
          <w:rFonts w:hint="eastAsia" w:ascii="仿宋_GB2312" w:eastAsia="仿宋_GB2312" w:cs="仿宋_GB2312"/>
          <w:color w:val="auto"/>
          <w:sz w:val="32"/>
          <w:szCs w:val="32"/>
        </w:rPr>
        <w:t>12月31日</w:t>
      </w:r>
      <w:r>
        <w:rPr>
          <w:rFonts w:hint="eastAsia" w:ascii="仿宋_GB2312" w:eastAsia="仿宋_GB2312" w:cs="仿宋_GB2312"/>
          <w:color w:val="auto"/>
          <w:sz w:val="32"/>
          <w:szCs w:val="32"/>
          <w:lang w:val="zh-CN"/>
        </w:rPr>
        <w:t>困难残疾人补贴</w:t>
      </w:r>
      <w:r>
        <w:rPr>
          <w:rFonts w:hint="eastAsia" w:ascii="仿宋_GB2312" w:eastAsia="仿宋_GB2312" w:cs="仿宋_GB2312"/>
          <w:color w:val="auto"/>
          <w:sz w:val="32"/>
          <w:szCs w:val="32"/>
        </w:rPr>
        <w:t>4156人次，</w:t>
      </w:r>
      <w:r>
        <w:rPr>
          <w:rFonts w:hint="eastAsia" w:ascii="仿宋_GB2312" w:eastAsia="仿宋_GB2312" w:cs="仿宋_GB2312"/>
          <w:color w:val="auto"/>
          <w:sz w:val="32"/>
          <w:szCs w:val="32"/>
          <w:lang w:val="zh-CN"/>
        </w:rPr>
        <w:t>累计发放困难残疾人生活补助</w:t>
      </w:r>
      <w:r>
        <w:rPr>
          <w:rFonts w:hint="eastAsia" w:ascii="仿宋_GB2312" w:eastAsia="仿宋_GB2312" w:cs="仿宋_GB2312"/>
          <w:color w:val="auto"/>
          <w:sz w:val="32"/>
          <w:szCs w:val="32"/>
        </w:rPr>
        <w:t>41.877</w:t>
      </w:r>
      <w:r>
        <w:rPr>
          <w:rFonts w:hint="eastAsia" w:ascii="仿宋_GB2312" w:eastAsia="仿宋_GB2312" w:cs="仿宋_GB2312"/>
          <w:color w:val="auto"/>
          <w:sz w:val="32"/>
          <w:szCs w:val="32"/>
          <w:lang w:val="zh-CN"/>
        </w:rPr>
        <w:t>万元。</w:t>
      </w:r>
    </w:p>
    <w:p>
      <w:pPr>
        <w:adjustRightInd w:val="0"/>
        <w:snapToGrid w:val="0"/>
        <w:spacing w:line="580" w:lineRule="exact"/>
        <w:rPr>
          <w:rFonts w:hint="eastAsia"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rPr>
        <w:t>二</w:t>
      </w:r>
      <w:r>
        <w:rPr>
          <w:rFonts w:hint="eastAsia" w:ascii="楷体_GB2312" w:eastAsia="楷体_GB2312"/>
          <w:b/>
          <w:sz w:val="32"/>
          <w:szCs w:val="32"/>
          <w:lang w:val="zh-CN"/>
        </w:rPr>
        <w:t>）项目财务管理情况</w:t>
      </w:r>
    </w:p>
    <w:p>
      <w:pPr>
        <w:adjustRightInd w:val="0"/>
        <w:snapToGrid w:val="0"/>
        <w:spacing w:line="580" w:lineRule="exact"/>
        <w:ind w:firstLine="720"/>
        <w:textAlignment w:val="bottom"/>
        <w:rPr>
          <w:rFonts w:hint="eastAsia" w:ascii="仿宋_GB2312" w:eastAsia="仿宋_GB2312" w:cs="仿宋_GB2312"/>
          <w:sz w:val="32"/>
          <w:szCs w:val="32"/>
          <w:lang w:val="zh-CN"/>
        </w:rPr>
      </w:pPr>
      <w:r>
        <w:rPr>
          <w:rFonts w:hint="eastAsia" w:ascii="仿宋_GB2312" w:eastAsia="仿宋_GB2312"/>
          <w:sz w:val="32"/>
          <w:szCs w:val="32"/>
        </w:rPr>
        <w:t>在资金的管理方面茂县民政局严格按照《会计法》和相关的法律法规的要求，设立账簿和会计核算科目，困难</w:t>
      </w:r>
      <w:r>
        <w:rPr>
          <w:rFonts w:hint="eastAsia" w:ascii="仿宋_GB2312" w:eastAsia="仿宋_GB2312" w:cs="仿宋_GB2312"/>
          <w:sz w:val="32"/>
          <w:szCs w:val="32"/>
          <w:lang w:val="zh-CN"/>
        </w:rPr>
        <w:t>残疾人生活补贴资金纳入民政局预算管理，由民政局年初进行预算编制，拟定用款计划和方案，按上年底人数为基数进行来年预算，来年按实际人数拨付资金。困难残疾人生活补贴资金支付严格执行国库集中支付制度，符合惠民惠农财政补贴资金“一卡通”管理相关规定的，按规定执行，通过银行、信用社等代理金融机构，直接发放到个人账户。严格按照项目资金管理办法对资金进行计划申请、划拨、使用，实行专款专用，专项管理制度，任何单位和个人没有截留、挤占或挪用。</w:t>
      </w:r>
    </w:p>
    <w:p>
      <w:pPr>
        <w:adjustRightInd w:val="0"/>
        <w:snapToGrid w:val="0"/>
        <w:spacing w:line="580" w:lineRule="exact"/>
        <w:rPr>
          <w:rFonts w:hint="eastAsia" w:ascii="楷体_GB2312" w:eastAsia="楷体_GB2312"/>
          <w:b/>
          <w:sz w:val="32"/>
          <w:szCs w:val="32"/>
          <w:lang w:val="zh-CN"/>
        </w:rPr>
      </w:pPr>
      <w:r>
        <w:rPr>
          <w:rFonts w:hint="eastAsia" w:ascii="楷体_GB2312" w:eastAsia="楷体_GB2312"/>
          <w:b/>
          <w:sz w:val="32"/>
          <w:szCs w:val="32"/>
          <w:lang w:val="zh-CN"/>
        </w:rPr>
        <w:t>（三）项目组织实施情况</w:t>
      </w:r>
    </w:p>
    <w:p>
      <w:pPr>
        <w:adjustRightInd w:val="0"/>
        <w:snapToGrid w:val="0"/>
        <w:spacing w:line="576" w:lineRule="exact"/>
        <w:ind w:firstLine="640" w:firstLineChars="200"/>
        <w:rPr>
          <w:rFonts w:hint="eastAsia" w:ascii="仿宋_GB2312" w:eastAsia="仿宋_GB2312"/>
          <w:sz w:val="32"/>
          <w:szCs w:val="32"/>
          <w:lang w:val="zh-CN"/>
        </w:rPr>
      </w:pPr>
      <w:r>
        <w:rPr>
          <w:rFonts w:hint="eastAsia" w:ascii="仿宋_GB2312" w:eastAsia="仿宋_GB2312"/>
          <w:sz w:val="32"/>
          <w:szCs w:val="32"/>
        </w:rPr>
        <w:t>持有第二代《残疾人证》的困难残疾</w:t>
      </w:r>
      <w:r>
        <w:rPr>
          <w:rFonts w:hint="eastAsia" w:ascii="仿宋_GB2312" w:eastAsia="仿宋_GB2312"/>
          <w:sz w:val="32"/>
          <w:szCs w:val="32"/>
          <w:lang w:val="zh-CN"/>
        </w:rPr>
        <w:t>对象提交救助申请后，由乡镇人民政府负责对残疾对象进行入户调查，并对提交的各类材料进行审核，经乡镇人民政府审核无误后报县残联、民政部门审批。对符合的及时纳入补贴范围，做到应补尽补；对不符合条件的要及时清退，做到应退尽退。对不符合条件的申领对象并做好政策解释工作。</w:t>
      </w:r>
    </w:p>
    <w:p>
      <w:pPr>
        <w:adjustRightInd w:val="0"/>
        <w:snapToGrid w:val="0"/>
        <w:spacing w:line="580" w:lineRule="exact"/>
        <w:ind w:firstLine="720"/>
        <w:rPr>
          <w:rFonts w:hint="eastAsia" w:ascii="仿宋_GB2312" w:eastAsia="仿宋_GB2312"/>
          <w:sz w:val="32"/>
          <w:szCs w:val="32"/>
          <w:lang w:val="zh-CN"/>
        </w:rPr>
      </w:pPr>
      <w:r>
        <w:rPr>
          <w:rFonts w:hint="eastAsia" w:ascii="黑体" w:eastAsia="黑体"/>
          <w:sz w:val="32"/>
          <w:szCs w:val="32"/>
        </w:rPr>
        <w:t>三、项目绩效情况</w:t>
      </w:r>
      <w:r>
        <w:rPr>
          <w:rFonts w:hint="eastAsia" w:ascii="仿宋_GB2312" w:eastAsia="仿宋_GB2312"/>
          <w:sz w:val="32"/>
          <w:szCs w:val="32"/>
          <w:lang w:val="zh-CN"/>
        </w:rPr>
        <w:tab/>
      </w:r>
    </w:p>
    <w:p>
      <w:pPr>
        <w:adjustRightInd w:val="0"/>
        <w:snapToGrid w:val="0"/>
        <w:spacing w:line="580" w:lineRule="exact"/>
        <w:ind w:firstLine="720"/>
        <w:rPr>
          <w:rFonts w:hint="eastAsia" w:ascii="楷体_GB2312" w:eastAsia="楷体_GB2312"/>
          <w:b/>
          <w:sz w:val="32"/>
          <w:szCs w:val="32"/>
          <w:lang w:val="zh-CN"/>
        </w:rPr>
      </w:pPr>
      <w:r>
        <w:rPr>
          <w:rFonts w:hint="eastAsia" w:ascii="楷体_GB2312" w:eastAsia="楷体_GB2312"/>
          <w:b/>
          <w:sz w:val="32"/>
          <w:szCs w:val="32"/>
          <w:lang w:val="zh-CN"/>
        </w:rPr>
        <w:t>（一）项目完成情况</w:t>
      </w:r>
    </w:p>
    <w:p>
      <w:pPr>
        <w:adjustRightInd w:val="0"/>
        <w:snapToGrid w:val="0"/>
        <w:spacing w:line="576" w:lineRule="exact"/>
        <w:ind w:firstLine="720"/>
        <w:rPr>
          <w:rFonts w:hint="eastAsia" w:ascii="仿宋_GB2312" w:eastAsia="仿宋_GB2312"/>
          <w:sz w:val="32"/>
          <w:szCs w:val="32"/>
        </w:rPr>
      </w:pPr>
      <w:r>
        <w:rPr>
          <w:rFonts w:hint="eastAsia" w:ascii="仿宋_GB2312" w:eastAsia="仿宋_GB2312"/>
          <w:color w:val="auto"/>
          <w:sz w:val="32"/>
          <w:szCs w:val="32"/>
          <w:lang w:val="zh-CN"/>
        </w:rPr>
        <w:t>20</w:t>
      </w:r>
      <w:r>
        <w:rPr>
          <w:rFonts w:hint="eastAsia" w:ascii="仿宋_GB2312" w:eastAsia="仿宋_GB2312"/>
          <w:color w:val="auto"/>
          <w:sz w:val="32"/>
          <w:szCs w:val="32"/>
        </w:rPr>
        <w:t>20</w:t>
      </w:r>
      <w:r>
        <w:rPr>
          <w:rFonts w:hint="eastAsia" w:ascii="仿宋_GB2312" w:eastAsia="仿宋_GB2312"/>
          <w:color w:val="auto"/>
          <w:sz w:val="32"/>
          <w:szCs w:val="32"/>
          <w:lang w:val="zh-CN"/>
        </w:rPr>
        <w:t>年共支出困难残疾人生活补助</w:t>
      </w:r>
      <w:r>
        <w:rPr>
          <w:rFonts w:hint="eastAsia" w:ascii="仿宋_GB2312" w:eastAsia="仿宋_GB2312"/>
          <w:color w:val="auto"/>
          <w:sz w:val="32"/>
          <w:szCs w:val="32"/>
        </w:rPr>
        <w:t>资金41.877</w:t>
      </w:r>
      <w:r>
        <w:rPr>
          <w:rFonts w:hint="eastAsia" w:ascii="仿宋_GB2312" w:eastAsia="仿宋_GB2312"/>
          <w:sz w:val="32"/>
          <w:szCs w:val="32"/>
          <w:lang w:val="zh-CN"/>
        </w:rPr>
        <w:t>万元，保障标准：困难残疾人生活补助每人每月</w:t>
      </w:r>
      <w:r>
        <w:rPr>
          <w:rFonts w:hint="eastAsia" w:ascii="仿宋_GB2312" w:eastAsia="仿宋_GB2312"/>
          <w:sz w:val="32"/>
          <w:szCs w:val="32"/>
        </w:rPr>
        <w:t>100元。</w:t>
      </w:r>
      <w:r>
        <w:rPr>
          <w:rFonts w:hint="eastAsia" w:ascii="仿宋_GB2312" w:eastAsia="仿宋_GB2312"/>
          <w:sz w:val="32"/>
          <w:szCs w:val="32"/>
          <w:lang w:val="zh-CN"/>
        </w:rPr>
        <w:t>困难残疾人生活补助</w:t>
      </w:r>
      <w:r>
        <w:rPr>
          <w:rFonts w:hint="eastAsia" w:ascii="仿宋_GB2312" w:eastAsia="仿宋_GB2312"/>
          <w:sz w:val="32"/>
          <w:szCs w:val="32"/>
        </w:rPr>
        <w:t>标准达标率100%，补助资金及时发放率100%。</w:t>
      </w:r>
    </w:p>
    <w:p>
      <w:pPr>
        <w:adjustRightInd w:val="0"/>
        <w:snapToGrid w:val="0"/>
        <w:spacing w:line="580" w:lineRule="exact"/>
        <w:ind w:firstLine="720"/>
        <w:rPr>
          <w:rFonts w:hint="eastAsia" w:ascii="楷体_GB2312" w:eastAsia="楷体_GB2312"/>
          <w:b/>
          <w:sz w:val="32"/>
          <w:szCs w:val="32"/>
          <w:lang w:val="zh-CN"/>
        </w:rPr>
      </w:pPr>
      <w:r>
        <w:rPr>
          <w:rFonts w:hint="eastAsia" w:ascii="楷体_GB2312" w:eastAsia="楷体_GB2312"/>
          <w:b/>
          <w:sz w:val="32"/>
          <w:szCs w:val="32"/>
          <w:lang w:val="zh-CN"/>
        </w:rPr>
        <w:t>（二）项目效益情况</w:t>
      </w:r>
    </w:p>
    <w:p>
      <w:pPr>
        <w:adjustRightInd w:val="0"/>
        <w:snapToGrid w:val="0"/>
        <w:spacing w:line="580" w:lineRule="exact"/>
        <w:ind w:left="0" w:firstLine="640" w:firstLineChars="200"/>
        <w:rPr>
          <w:rFonts w:hint="eastAsia" w:ascii="仿宋_GB2312" w:eastAsia="仿宋_GB2312"/>
          <w:sz w:val="32"/>
          <w:szCs w:val="32"/>
          <w:highlight w:val="yellow"/>
        </w:rPr>
      </w:pPr>
      <w:r>
        <w:rPr>
          <w:rFonts w:hint="eastAsia" w:ascii="仿宋_GB2312" w:eastAsia="仿宋_GB2312"/>
          <w:sz w:val="32"/>
          <w:szCs w:val="32"/>
        </w:rPr>
        <w:t>通过实施“困难残疾人生活补贴政策”项目，切实缓解了城乡困难群众因残致贫、因残返贫的生活压力，为构建和谐社会作出了应有的贡献，同时也筑牢民生保障底线，缩短困难残疾人生活状况及社会水平的差距，进一步提高和改善困难残疾人的生活质量。</w:t>
      </w:r>
    </w:p>
    <w:p>
      <w:pPr>
        <w:adjustRightInd w:val="0"/>
        <w:snapToGrid w:val="0"/>
        <w:spacing w:line="580" w:lineRule="exact"/>
        <w:ind w:firstLine="320" w:firstLineChars="100"/>
        <w:rPr>
          <w:rFonts w:hint="eastAsia" w:ascii="黑体" w:eastAsia="黑体"/>
          <w:sz w:val="32"/>
          <w:szCs w:val="32"/>
        </w:rPr>
      </w:pPr>
      <w:r>
        <w:rPr>
          <w:rFonts w:hint="eastAsia" w:ascii="黑体" w:eastAsia="黑体"/>
          <w:sz w:val="32"/>
          <w:szCs w:val="32"/>
        </w:rPr>
        <w:t>四、问题及建议</w:t>
      </w:r>
    </w:p>
    <w:p>
      <w:pPr>
        <w:adjustRightInd w:val="0"/>
        <w:snapToGrid w:val="0"/>
        <w:spacing w:line="580" w:lineRule="exact"/>
        <w:ind w:firstLine="321" w:firstLineChars="100"/>
        <w:rPr>
          <w:rFonts w:hint="eastAsia" w:ascii="楷体_GB2312" w:eastAsia="楷体_GB2312"/>
          <w:b/>
          <w:sz w:val="32"/>
          <w:szCs w:val="32"/>
          <w:lang w:val="zh-CN"/>
        </w:rPr>
      </w:pPr>
      <w:r>
        <w:rPr>
          <w:rFonts w:hint="eastAsia" w:ascii="楷体_GB2312" w:eastAsia="楷体_GB2312"/>
          <w:b/>
          <w:sz w:val="32"/>
          <w:szCs w:val="32"/>
          <w:lang w:val="zh-CN"/>
        </w:rPr>
        <w:t>（一）存在的问题</w:t>
      </w:r>
    </w:p>
    <w:p>
      <w:pPr>
        <w:adjustRightInd w:val="0"/>
        <w:snapToGrid w:val="0"/>
        <w:spacing w:line="576" w:lineRule="exact"/>
        <w:ind w:firstLine="481" w:firstLineChars="200"/>
        <w:rPr>
          <w:rFonts w:hint="eastAsia" w:ascii="仿宋_GB2312" w:eastAsia="仿宋_GB2312"/>
          <w:sz w:val="32"/>
          <w:szCs w:val="32"/>
          <w:lang w:val="zh-CN"/>
        </w:rPr>
      </w:pPr>
      <w:r>
        <w:rPr>
          <w:rStyle w:val="17"/>
          <w:rFonts w:hint="eastAsia" w:ascii="宋体" w:eastAsia="宋体" w:cs="宋体"/>
          <w:color w:val="000000"/>
          <w:sz w:val="24"/>
          <w:szCs w:val="24"/>
          <w:shd w:val="clear" w:color="auto" w:fill="FFFFFF"/>
        </w:rPr>
        <w:t>　</w:t>
      </w:r>
      <w:r>
        <w:rPr>
          <w:rFonts w:hint="eastAsia" w:ascii="仿宋_GB2312" w:eastAsia="仿宋_GB2312"/>
          <w:sz w:val="32"/>
          <w:szCs w:val="32"/>
          <w:lang w:val="zh-CN"/>
        </w:rPr>
        <w:t>社会救助工作量大面广，民政局和各镇社会救助工作人员缺乏。</w:t>
      </w:r>
    </w:p>
    <w:p>
      <w:pPr>
        <w:adjustRightInd w:val="0"/>
        <w:snapToGrid w:val="0"/>
        <w:spacing w:line="580" w:lineRule="exact"/>
        <w:ind w:firstLine="321" w:firstLineChars="100"/>
        <w:rPr>
          <w:rFonts w:hint="eastAsia" w:ascii="楷体_GB2312" w:eastAsia="楷体_GB2312"/>
          <w:b/>
          <w:sz w:val="32"/>
          <w:szCs w:val="32"/>
          <w:lang w:val="zh-CN"/>
        </w:rPr>
      </w:pPr>
      <w:r>
        <w:rPr>
          <w:rFonts w:hint="eastAsia" w:ascii="楷体_GB2312" w:eastAsia="楷体_GB2312"/>
          <w:b/>
          <w:sz w:val="32"/>
          <w:szCs w:val="32"/>
          <w:lang w:val="zh-CN"/>
        </w:rPr>
        <w:t>（二）相关建议</w:t>
      </w:r>
    </w:p>
    <w:p>
      <w:pPr>
        <w:pStyle w:val="14"/>
        <w:shd w:val="clear" w:color="auto" w:fill="FFFFFF"/>
        <w:spacing w:before="210" w:after="210" w:line="450" w:lineRule="atLeast"/>
        <w:ind w:firstLine="645"/>
        <w:jc w:val="both"/>
        <w:rPr>
          <w:rFonts w:hint="eastAsia" w:ascii="仿宋_GB2312" w:eastAsia="仿宋_GB2312"/>
          <w:kern w:val="2"/>
          <w:sz w:val="32"/>
          <w:szCs w:val="32"/>
          <w:lang w:val="zh-CN"/>
        </w:rPr>
      </w:pPr>
      <w:r>
        <w:rPr>
          <w:rFonts w:hint="eastAsia" w:ascii="仿宋_GB2312" w:eastAsia="仿宋_GB2312"/>
          <w:kern w:val="2"/>
          <w:sz w:val="32"/>
          <w:szCs w:val="32"/>
          <w:lang w:val="zh-CN"/>
        </w:rPr>
        <w:t>配备社会救助专职工作人员，匹配相应的工作经费，以保障社会救助工作各项全面有序开展。</w:t>
      </w:r>
    </w:p>
    <w:p>
      <w:pPr>
        <w:widowControl/>
        <w:spacing w:line="576" w:lineRule="exact"/>
        <w:jc w:val="left"/>
        <w:rPr>
          <w:rStyle w:val="20"/>
          <w:rFonts w:ascii="黑体" w:eastAsia="黑体"/>
          <w:b w:val="0"/>
        </w:rPr>
      </w:pPr>
    </w:p>
    <w:p>
      <w:pPr>
        <w:widowControl/>
        <w:spacing w:line="576" w:lineRule="exact"/>
        <w:jc w:val="left"/>
        <w:rPr>
          <w:rStyle w:val="20"/>
          <w:rFonts w:ascii="黑体" w:eastAsia="黑体"/>
          <w:b w:val="0"/>
        </w:rPr>
      </w:pPr>
    </w:p>
    <w:p>
      <w:pPr>
        <w:widowControl/>
        <w:spacing w:line="576" w:lineRule="exact"/>
        <w:jc w:val="left"/>
        <w:rPr>
          <w:rStyle w:val="20"/>
          <w:rFonts w:ascii="黑体" w:eastAsia="黑体"/>
          <w:b w:val="0"/>
        </w:rPr>
      </w:pPr>
    </w:p>
    <w:p>
      <w:pPr>
        <w:widowControl/>
        <w:spacing w:line="576" w:lineRule="exact"/>
        <w:jc w:val="left"/>
        <w:rPr>
          <w:rStyle w:val="20"/>
          <w:rFonts w:ascii="黑体" w:eastAsia="黑体"/>
          <w:b w:val="0"/>
        </w:rPr>
      </w:pPr>
    </w:p>
    <w:p>
      <w:pPr>
        <w:pStyle w:val="4"/>
        <w:bidi w:val="0"/>
        <w:rPr>
          <w:rFonts w:hint="eastAsia" w:ascii="仿宋_GB2312" w:eastAsia="仿宋_GB2312" w:cs="仿宋_GB2312"/>
          <w:b w:val="0"/>
          <w:bCs w:val="0"/>
          <w:kern w:val="2"/>
          <w:sz w:val="32"/>
          <w:szCs w:val="32"/>
          <w:lang w:val="en-US" w:eastAsia="zh-CN" w:bidi="ar-SA"/>
        </w:rPr>
      </w:pPr>
      <w:bookmarkStart w:id="172" w:name="_Toc32175"/>
      <w:r>
        <w:rPr>
          <w:rFonts w:hint="eastAsia" w:ascii="仿宋_GB2312" w:eastAsia="仿宋_GB2312" w:cs="仿宋_GB2312"/>
          <w:b w:val="0"/>
          <w:bCs w:val="0"/>
          <w:kern w:val="2"/>
          <w:sz w:val="32"/>
          <w:szCs w:val="32"/>
          <w:lang w:val="en-US" w:eastAsia="zh-CN" w:bidi="ar-SA"/>
        </w:rPr>
        <w:t>附件4：</w:t>
      </w:r>
      <w:bookmarkEnd w:id="172"/>
    </w:p>
    <w:p>
      <w:pPr>
        <w:pStyle w:val="4"/>
        <w:bidi w:val="0"/>
        <w:jc w:val="center"/>
        <w:rPr>
          <w:rFonts w:hint="eastAsia" w:ascii="方正小标宋简体" w:eastAsia="方正小标宋简体" w:cs="Times New Roman"/>
          <w:b w:val="0"/>
          <w:bCs w:val="0"/>
          <w:kern w:val="2"/>
          <w:sz w:val="44"/>
          <w:szCs w:val="44"/>
          <w:lang w:val="en-US" w:eastAsia="zh-CN" w:bidi="ar-SA"/>
        </w:rPr>
      </w:pPr>
      <w:bookmarkStart w:id="173" w:name="_Toc12973"/>
      <w:r>
        <w:rPr>
          <w:rFonts w:hint="eastAsia" w:ascii="方正小标宋简体" w:eastAsia="方正小标宋简体" w:cs="Times New Roman"/>
          <w:b w:val="0"/>
          <w:bCs w:val="0"/>
          <w:kern w:val="2"/>
          <w:sz w:val="44"/>
          <w:szCs w:val="44"/>
          <w:lang w:val="en-US" w:eastAsia="zh-CN" w:bidi="ar-SA"/>
        </w:rPr>
        <w:t>茂县民政局2020年度重度残疾人护理费支出绩效自评报告</w:t>
      </w:r>
      <w:bookmarkEnd w:id="173"/>
    </w:p>
    <w:p>
      <w:pPr>
        <w:numPr>
          <w:ilvl w:val="0"/>
          <w:numId w:val="9"/>
        </w:numPr>
        <w:adjustRightInd w:val="0"/>
        <w:snapToGrid w:val="0"/>
        <w:spacing w:line="580" w:lineRule="exact"/>
        <w:ind w:left="120" w:firstLine="720"/>
        <w:rPr>
          <w:rFonts w:hint="eastAsia" w:ascii="黑体" w:eastAsia="黑体"/>
          <w:sz w:val="32"/>
          <w:szCs w:val="32"/>
          <w:lang w:val="zh-CN"/>
        </w:rPr>
      </w:pPr>
      <w:r>
        <w:rPr>
          <w:rFonts w:hint="eastAsia" w:ascii="黑体" w:eastAsia="黑体"/>
          <w:sz w:val="32"/>
          <w:szCs w:val="32"/>
          <w:lang w:val="zh-CN"/>
        </w:rPr>
        <w:t>项目概况</w:t>
      </w:r>
    </w:p>
    <w:p>
      <w:pPr>
        <w:adjustRightInd w:val="0"/>
        <w:snapToGrid w:val="0"/>
        <w:spacing w:line="580" w:lineRule="exact"/>
        <w:ind w:firstLine="720"/>
        <w:textAlignment w:val="bottom"/>
        <w:rPr>
          <w:rFonts w:hint="eastAsia" w:ascii="仿宋_GB2312" w:eastAsia="仿宋_GB2312" w:cs="仿宋_GB2312"/>
          <w:sz w:val="32"/>
          <w:szCs w:val="32"/>
        </w:rPr>
      </w:pPr>
      <w:r>
        <w:rPr>
          <w:rFonts w:hint="eastAsia" w:ascii="仿宋_GB2312" w:eastAsia="仿宋_GB2312" w:cs="仿宋_GB2312"/>
          <w:sz w:val="32"/>
          <w:szCs w:val="32"/>
        </w:rPr>
        <w:t>建立残疾人两项补贴制度是落实以习近平同志为核心的党中央关于残疾人事业新部署的重大措施，是加快残疾人小康进程迈出的坚实有力步伐。残疾人两项补贴制度的全面建立，是第一次在国家层面建立的残疾人专项福利制度，具有填补残疾人社会保障体系空白的重要意义；是以全国残疾人基本服务状况与需求调查、残疾人状况监测为依据，针对广大残疾人迫切需要而推出的重大惠民举措，填补了残疾人福利制度的空白，有助于巩固提升家庭对残疾人的照顾功能，促进家庭社会和谐稳定。</w:t>
      </w:r>
    </w:p>
    <w:p>
      <w:pPr>
        <w:numPr>
          <w:ilvl w:val="0"/>
          <w:numId w:val="8"/>
        </w:numPr>
        <w:adjustRightInd w:val="0"/>
        <w:snapToGrid w:val="0"/>
        <w:spacing w:line="580" w:lineRule="exact"/>
        <w:ind w:left="0" w:firstLine="720"/>
        <w:rPr>
          <w:rFonts w:hint="eastAsia" w:ascii="楷体_GB2312" w:eastAsia="楷体_GB2312"/>
          <w:b/>
          <w:sz w:val="32"/>
          <w:szCs w:val="32"/>
          <w:lang w:val="zh-CN"/>
        </w:rPr>
      </w:pPr>
      <w:r>
        <w:rPr>
          <w:rFonts w:hint="eastAsia" w:ascii="楷体_GB2312" w:eastAsia="楷体_GB2312"/>
          <w:b/>
          <w:sz w:val="32"/>
          <w:szCs w:val="32"/>
          <w:lang w:val="zh-CN"/>
        </w:rPr>
        <w:t>项目资金申报及批复情况</w:t>
      </w:r>
    </w:p>
    <w:p>
      <w:pPr>
        <w:pStyle w:val="14"/>
        <w:spacing w:line="576" w:lineRule="exact"/>
        <w:ind w:firstLine="640" w:firstLineChars="200"/>
        <w:rPr>
          <w:rFonts w:hint="eastAsia" w:ascii="仿宋_GB2312" w:eastAsia="仿宋_GB2312"/>
          <w:color w:val="auto"/>
          <w:sz w:val="32"/>
          <w:szCs w:val="32"/>
        </w:rPr>
      </w:pPr>
      <w:r>
        <w:rPr>
          <w:rFonts w:hint="eastAsia" w:ascii="仿宋_GB2312" w:eastAsia="仿宋_GB2312" w:cs="仿宋_GB2312"/>
          <w:kern w:val="2"/>
          <w:sz w:val="32"/>
          <w:szCs w:val="32"/>
        </w:rPr>
        <w:t>根据《四川省民政厅 四川省财政厅 四川省残疾人联合会&lt;关于建立困难残疾人生活补贴和重度残疾人护理补贴&gt;的通知》（川民发〔2015〕195号）规定</w:t>
      </w:r>
      <w:r>
        <w:rPr>
          <w:rFonts w:hint="eastAsia" w:ascii="仿宋_GB2312" w:eastAsia="仿宋_GB2312" w:cs="仿宋_GB2312"/>
          <w:kern w:val="2"/>
          <w:sz w:val="32"/>
          <w:szCs w:val="32"/>
          <w:lang w:val="zh-CN"/>
        </w:rPr>
        <w:t>，</w:t>
      </w:r>
      <w:r>
        <w:rPr>
          <w:rFonts w:hint="eastAsia" w:ascii="仿宋_GB2312" w:eastAsia="仿宋_GB2312" w:cs="仿宋_GB2312"/>
          <w:kern w:val="2"/>
          <w:sz w:val="32"/>
          <w:szCs w:val="32"/>
        </w:rPr>
        <w:t>对我县残疾人当中持有《残疾证》第二代证一级、二级的人员建立护理补</w:t>
      </w:r>
      <w:r>
        <w:rPr>
          <w:rFonts w:hint="eastAsia" w:ascii="仿宋_GB2312" w:eastAsia="仿宋_GB2312" w:cs="仿宋_GB2312"/>
          <w:color w:val="auto"/>
          <w:sz w:val="32"/>
          <w:szCs w:val="32"/>
        </w:rPr>
        <w:t>贴对象的发放。发放标准为：一级重度残疾人按每人每月不低于80元的标准给予护理费用补贴，二级重度残疾人按每人每月不低于50元的标准给予护理费用补贴。2020年发放标准为</w:t>
      </w:r>
      <w:r>
        <w:rPr>
          <w:rFonts w:hint="eastAsia" w:ascii="仿宋_GB2312" w:eastAsia="仿宋_GB2312"/>
          <w:color w:val="auto"/>
          <w:sz w:val="32"/>
          <w:szCs w:val="32"/>
        </w:rPr>
        <w:t>重度残疾人一级残疾每人每月100元，二级残疾每人每月70元。</w:t>
      </w:r>
    </w:p>
    <w:p>
      <w:pPr>
        <w:pStyle w:val="14"/>
        <w:spacing w:line="576" w:lineRule="exact"/>
        <w:ind w:firstLine="640" w:firstLineChars="200"/>
        <w:rPr>
          <w:rFonts w:hint="eastAsia" w:ascii="仿宋_GB2312" w:eastAsia="仿宋_GB2312"/>
          <w:sz w:val="24"/>
          <w:szCs w:val="20"/>
          <w:lang w:val="zh-CN"/>
        </w:rPr>
      </w:pPr>
      <w:r>
        <w:rPr>
          <w:rFonts w:hint="eastAsia" w:ascii="仿宋_GB2312" w:eastAsia="仿宋_GB2312"/>
          <w:sz w:val="32"/>
          <w:szCs w:val="32"/>
        </w:rPr>
        <w:t>重度残疾人护理补贴所需</w:t>
      </w:r>
      <w:r>
        <w:rPr>
          <w:rFonts w:hint="eastAsia" w:ascii="仿宋_GB2312" w:eastAsia="仿宋_GB2312"/>
          <w:sz w:val="32"/>
          <w:szCs w:val="32"/>
          <w:lang w:val="zh-CN"/>
        </w:rPr>
        <w:t>资金纳入地方财政预算安排，省级财政按照</w:t>
      </w:r>
      <w:r>
        <w:rPr>
          <w:rFonts w:hint="eastAsia" w:ascii="仿宋_GB2312" w:eastAsia="仿宋_GB2312"/>
          <w:sz w:val="32"/>
          <w:szCs w:val="32"/>
        </w:rPr>
        <w:t>50%总体补助水平对市县给予补助（其中：对三州和扩权县补助比例为55%，对其他县市补助比例为40%），总额包干。州、县按4:6配套资金。</w:t>
      </w:r>
    </w:p>
    <w:p>
      <w:pPr>
        <w:adjustRightInd w:val="0"/>
        <w:snapToGrid w:val="0"/>
        <w:spacing w:line="580" w:lineRule="exact"/>
        <w:ind w:left="0" w:firstLine="642" w:firstLineChars="200"/>
        <w:rPr>
          <w:rFonts w:hint="eastAsia"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rPr>
        <w:t>二</w:t>
      </w:r>
      <w:r>
        <w:rPr>
          <w:rFonts w:hint="eastAsia" w:ascii="楷体_GB2312" w:eastAsia="楷体_GB2312"/>
          <w:b/>
          <w:sz w:val="32"/>
          <w:szCs w:val="32"/>
          <w:lang w:val="zh-CN"/>
        </w:rPr>
        <w:t>）项目绩效目标</w:t>
      </w:r>
    </w:p>
    <w:p>
      <w:pPr>
        <w:spacing w:line="560" w:lineRule="exact"/>
        <w:ind w:firstLine="640" w:firstLineChars="200"/>
        <w:rPr>
          <w:rFonts w:hint="eastAsia" w:ascii="仿宋_GB2312" w:eastAsia="仿宋_GB2312" w:cs="仿宋_GB2312"/>
          <w:sz w:val="32"/>
          <w:szCs w:val="32"/>
        </w:rPr>
      </w:pPr>
      <w:r>
        <w:rPr>
          <w:rFonts w:hint="eastAsia" w:ascii="仿宋_GB2312" w:eastAsia="仿宋_GB2312"/>
          <w:sz w:val="32"/>
          <w:szCs w:val="32"/>
        </w:rPr>
        <w:t>今年年初按照省上规定，统一发放，将重度残疾人护理补贴从残疾人联合会移交至民政局进行此项工作的开展。</w:t>
      </w:r>
      <w:r>
        <w:rPr>
          <w:rFonts w:hint="eastAsia" w:ascii="仿宋_GB2312" w:eastAsia="仿宋_GB2312" w:cs="仿宋_GB2312"/>
          <w:sz w:val="32"/>
          <w:szCs w:val="32"/>
        </w:rPr>
        <w:t>一级残疾人护理补贴由90元增长至100元；二级残疾人护理补贴由60元增长至70元。</w:t>
      </w:r>
      <w:r>
        <w:rPr>
          <w:rFonts w:hint="eastAsia" w:ascii="仿宋_GB2312" w:eastAsia="仿宋_GB2312"/>
          <w:sz w:val="32"/>
          <w:szCs w:val="32"/>
        </w:rPr>
        <w:t>重度残疾人护理补贴实属于动态管理，实行“一卡通”发放</w:t>
      </w:r>
      <w:r>
        <w:rPr>
          <w:rFonts w:hint="eastAsia" w:ascii="仿宋_GB2312" w:eastAsia="仿宋_GB2312" w:cs="仿宋_GB2312"/>
          <w:sz w:val="32"/>
          <w:szCs w:val="32"/>
        </w:rPr>
        <w:t>加快推进残疾人同步进入小康社会。</w:t>
      </w:r>
    </w:p>
    <w:p>
      <w:pPr>
        <w:adjustRightInd w:val="0"/>
        <w:snapToGrid w:val="0"/>
        <w:spacing w:line="580" w:lineRule="exact"/>
        <w:ind w:left="0" w:firstLine="642" w:firstLineChars="200"/>
        <w:rPr>
          <w:rFonts w:hint="eastAsia"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rPr>
        <w:t>三</w:t>
      </w:r>
      <w:r>
        <w:rPr>
          <w:rFonts w:hint="eastAsia" w:ascii="楷体_GB2312" w:eastAsia="楷体_GB2312"/>
          <w:b/>
          <w:sz w:val="32"/>
          <w:szCs w:val="32"/>
          <w:lang w:val="zh-CN"/>
        </w:rPr>
        <w:t>）项目资金申报相符性</w:t>
      </w:r>
    </w:p>
    <w:p>
      <w:pPr>
        <w:tabs>
          <w:tab w:val="left" w:pos="3885"/>
        </w:tabs>
        <w:spacing w:line="560" w:lineRule="exact"/>
        <w:ind w:left="0" w:firstLine="640" w:firstLineChars="200"/>
        <w:rPr>
          <w:rFonts w:hint="eastAsia" w:ascii="仿宋_GB2312" w:eastAsia="仿宋_GB2312"/>
          <w:b/>
          <w:sz w:val="32"/>
          <w:szCs w:val="32"/>
          <w:highlight w:val="yellow"/>
        </w:rPr>
      </w:pPr>
      <w:r>
        <w:rPr>
          <w:rFonts w:hint="eastAsia" w:ascii="仿宋_GB2312" w:eastAsia="仿宋_GB2312"/>
          <w:sz w:val="32"/>
          <w:szCs w:val="32"/>
        </w:rPr>
        <w:t>我局严格按照《四川省民政厅 财政厅 省残联关于建立困难残疾人生活补贴和重度残疾人护理补贴的通知》开展重度残疾人护理费补贴工作，</w:t>
      </w:r>
      <w:r>
        <w:rPr>
          <w:rFonts w:hint="eastAsia" w:ascii="仿宋_GB2312" w:eastAsia="仿宋_GB2312"/>
          <w:sz w:val="32"/>
          <w:szCs w:val="32"/>
          <w:lang w:val="zh-CN"/>
        </w:rPr>
        <w:t>项目申报内容是否与具体实施内容相符、申报目标是合理可行。</w:t>
      </w:r>
    </w:p>
    <w:p>
      <w:pPr>
        <w:adjustRightInd w:val="0"/>
        <w:snapToGrid w:val="0"/>
        <w:spacing w:line="580" w:lineRule="exact"/>
        <w:ind w:firstLine="640" w:firstLineChars="200"/>
        <w:rPr>
          <w:rFonts w:hint="eastAsia" w:ascii="黑体" w:eastAsia="黑体"/>
          <w:sz w:val="32"/>
          <w:szCs w:val="32"/>
        </w:rPr>
      </w:pPr>
      <w:r>
        <w:rPr>
          <w:rFonts w:hint="eastAsia" w:ascii="黑体" w:eastAsia="黑体"/>
          <w:sz w:val="32"/>
          <w:szCs w:val="32"/>
        </w:rPr>
        <w:t>二、项目实施及管理情况</w:t>
      </w:r>
    </w:p>
    <w:p>
      <w:pPr>
        <w:adjustRightInd w:val="0"/>
        <w:snapToGrid w:val="0"/>
        <w:spacing w:line="580" w:lineRule="exact"/>
        <w:ind w:firstLine="720"/>
        <w:rPr>
          <w:rFonts w:hint="eastAsia" w:ascii="楷体_GB2312" w:eastAsia="楷体_GB2312"/>
          <w:b/>
          <w:sz w:val="32"/>
          <w:szCs w:val="32"/>
          <w:lang w:val="zh-CN"/>
        </w:rPr>
      </w:pPr>
      <w:r>
        <w:rPr>
          <w:rFonts w:hint="eastAsia" w:ascii="仿宋_GB2312" w:eastAsia="仿宋_GB2312"/>
          <w:sz w:val="32"/>
          <w:szCs w:val="32"/>
          <w:lang w:val="zh-CN"/>
        </w:rPr>
        <w:tab/>
      </w:r>
      <w:r>
        <w:rPr>
          <w:rFonts w:hint="eastAsia" w:ascii="楷体_GB2312" w:eastAsia="楷体_GB2312"/>
          <w:b/>
          <w:sz w:val="32"/>
          <w:szCs w:val="32"/>
          <w:lang w:val="zh-CN"/>
        </w:rPr>
        <w:t>（一）资金计划、到位及使用情况</w:t>
      </w:r>
    </w:p>
    <w:p>
      <w:pPr>
        <w:spacing w:line="560" w:lineRule="exact"/>
        <w:ind w:firstLine="640" w:firstLineChars="200"/>
        <w:rPr>
          <w:rFonts w:hint="eastAsia"/>
          <w:sz w:val="32"/>
          <w:szCs w:val="32"/>
          <w:lang w:val="zh-CN"/>
        </w:rPr>
      </w:pPr>
      <w:r>
        <w:rPr>
          <w:rFonts w:hint="eastAsia"/>
          <w:sz w:val="32"/>
          <w:szCs w:val="32"/>
          <w:lang w:val="zh-CN"/>
        </w:rPr>
        <w:t>1</w:t>
      </w:r>
      <w:r>
        <w:rPr>
          <w:rFonts w:hint="eastAsia" w:eastAsia="楷体_GB2312"/>
          <w:sz w:val="32"/>
          <w:szCs w:val="32"/>
          <w:lang w:val="zh-CN"/>
        </w:rPr>
        <w:t>.资金计划及到位</w:t>
      </w:r>
    </w:p>
    <w:p>
      <w:pPr>
        <w:widowControl/>
        <w:adjustRightInd w:val="0"/>
        <w:snapToGrid w:val="0"/>
        <w:spacing w:line="576" w:lineRule="exact"/>
        <w:ind w:firstLine="880" w:firstLineChars="275"/>
        <w:rPr>
          <w:rFonts w:hint="eastAsia" w:ascii="仿宋_GB2312" w:eastAsia="仿宋_GB2312"/>
          <w:sz w:val="32"/>
          <w:szCs w:val="32"/>
        </w:rPr>
      </w:pPr>
      <w:r>
        <w:rPr>
          <w:rFonts w:hint="eastAsia" w:ascii="仿宋_GB2312" w:eastAsia="仿宋_GB2312"/>
          <w:sz w:val="32"/>
          <w:szCs w:val="32"/>
          <w:lang w:val="zh-CN"/>
        </w:rPr>
        <w:t>20</w:t>
      </w:r>
      <w:r>
        <w:rPr>
          <w:rFonts w:hint="eastAsia" w:ascii="仿宋_GB2312" w:eastAsia="仿宋_GB2312"/>
          <w:sz w:val="32"/>
          <w:szCs w:val="32"/>
        </w:rPr>
        <w:t>20</w:t>
      </w:r>
      <w:r>
        <w:rPr>
          <w:rFonts w:hint="eastAsia" w:ascii="仿宋_GB2312" w:eastAsia="仿宋_GB2312"/>
          <w:sz w:val="32"/>
          <w:szCs w:val="32"/>
          <w:lang w:val="zh-CN"/>
        </w:rPr>
        <w:t>年到位资金</w:t>
      </w:r>
      <w:r>
        <w:rPr>
          <w:rFonts w:hint="eastAsia" w:ascii="仿宋_GB2312" w:eastAsia="仿宋_GB2312"/>
          <w:sz w:val="32"/>
          <w:szCs w:val="32"/>
        </w:rPr>
        <w:t>76.5916</w:t>
      </w:r>
      <w:r>
        <w:rPr>
          <w:rFonts w:hint="eastAsia" w:ascii="仿宋_GB2312" w:eastAsia="仿宋_GB2312"/>
          <w:sz w:val="32"/>
          <w:szCs w:val="32"/>
          <w:lang w:val="zh-CN"/>
        </w:rPr>
        <w:t>万元（阿州财社【</w:t>
      </w:r>
      <w:r>
        <w:rPr>
          <w:rFonts w:hint="eastAsia" w:ascii="仿宋_GB2312" w:eastAsia="仿宋_GB2312"/>
          <w:sz w:val="32"/>
          <w:szCs w:val="32"/>
        </w:rPr>
        <w:t>2020</w:t>
      </w:r>
      <w:r>
        <w:rPr>
          <w:rFonts w:hint="eastAsia" w:ascii="仿宋_GB2312" w:eastAsia="仿宋_GB2312"/>
          <w:sz w:val="32"/>
          <w:szCs w:val="32"/>
          <w:lang w:val="zh-CN"/>
        </w:rPr>
        <w:t>】</w:t>
      </w:r>
      <w:r>
        <w:rPr>
          <w:rFonts w:hint="eastAsia" w:ascii="仿宋_GB2312" w:eastAsia="仿宋_GB2312"/>
          <w:sz w:val="32"/>
          <w:szCs w:val="32"/>
        </w:rPr>
        <w:t>11号36.08万元、阿州财社【2020】69号2.6万元、</w:t>
      </w:r>
      <w:r>
        <w:rPr>
          <w:rFonts w:hint="eastAsia" w:ascii="仿宋_GB2312" w:eastAsia="仿宋_GB2312"/>
          <w:sz w:val="32"/>
          <w:szCs w:val="32"/>
          <w:lang w:val="zh-CN"/>
        </w:rPr>
        <w:t>阿州财社【</w:t>
      </w:r>
      <w:r>
        <w:rPr>
          <w:rFonts w:hint="eastAsia" w:ascii="仿宋_GB2312" w:eastAsia="仿宋_GB2312"/>
          <w:sz w:val="32"/>
          <w:szCs w:val="32"/>
        </w:rPr>
        <w:t>2020</w:t>
      </w:r>
      <w:r>
        <w:rPr>
          <w:rFonts w:hint="eastAsia" w:ascii="仿宋_GB2312" w:eastAsia="仿宋_GB2312"/>
          <w:sz w:val="32"/>
          <w:szCs w:val="32"/>
          <w:lang w:val="zh-CN"/>
        </w:rPr>
        <w:t>】</w:t>
      </w:r>
      <w:r>
        <w:rPr>
          <w:rFonts w:hint="eastAsia" w:ascii="仿宋_GB2312" w:eastAsia="仿宋_GB2312"/>
          <w:sz w:val="32"/>
          <w:szCs w:val="32"/>
        </w:rPr>
        <w:t>101号17.37万元，年初部门预算资金20.5416万元。</w:t>
      </w:r>
      <w:r>
        <w:rPr>
          <w:rFonts w:hint="eastAsia" w:ascii="仿宋_GB2312" w:eastAsia="仿宋_GB2312"/>
          <w:sz w:val="32"/>
          <w:szCs w:val="32"/>
          <w:lang w:val="zh-CN"/>
        </w:rPr>
        <w:t>其中：</w:t>
      </w:r>
      <w:r>
        <w:rPr>
          <w:rFonts w:hint="eastAsia" w:ascii="仿宋_GB2312" w:eastAsia="仿宋_GB2312"/>
          <w:sz w:val="32"/>
          <w:szCs w:val="32"/>
        </w:rPr>
        <w:t>省级下拨29.2万元，州配套26.15万元，县级配套20.5416万元，</w:t>
      </w:r>
      <w:r>
        <w:rPr>
          <w:rFonts w:hint="eastAsia" w:ascii="仿宋_GB2312" w:eastAsia="仿宋_GB2312"/>
          <w:sz w:val="32"/>
          <w:szCs w:val="32"/>
          <w:lang w:val="zh-CN"/>
        </w:rPr>
        <w:t>资金到位率为</w:t>
      </w:r>
      <w:r>
        <w:rPr>
          <w:rFonts w:hint="eastAsia" w:ascii="仿宋_GB2312" w:eastAsia="仿宋_GB2312"/>
          <w:sz w:val="32"/>
          <w:szCs w:val="32"/>
        </w:rPr>
        <w:t>100%。上年度正常结转2万元（</w:t>
      </w:r>
      <w:r>
        <w:rPr>
          <w:rFonts w:hint="eastAsia" w:ascii="仿宋_GB2312" w:eastAsia="仿宋_GB2312"/>
          <w:sz w:val="32"/>
          <w:szCs w:val="32"/>
          <w:lang w:val="zh-CN"/>
        </w:rPr>
        <w:t>阿州财社【</w:t>
      </w:r>
      <w:r>
        <w:rPr>
          <w:rFonts w:hint="eastAsia" w:ascii="仿宋_GB2312" w:eastAsia="仿宋_GB2312"/>
          <w:sz w:val="32"/>
          <w:szCs w:val="32"/>
        </w:rPr>
        <w:t>2019</w:t>
      </w:r>
      <w:r>
        <w:rPr>
          <w:rFonts w:hint="eastAsia" w:ascii="仿宋_GB2312" w:eastAsia="仿宋_GB2312"/>
          <w:sz w:val="32"/>
          <w:szCs w:val="32"/>
          <w:lang w:val="zh-CN"/>
        </w:rPr>
        <w:t>】</w:t>
      </w:r>
      <w:r>
        <w:rPr>
          <w:rFonts w:hint="eastAsia" w:ascii="仿宋_GB2312" w:eastAsia="仿宋_GB2312"/>
          <w:sz w:val="32"/>
          <w:szCs w:val="32"/>
        </w:rPr>
        <w:t>113号）用于残疾人两项补贴。困难残疾人0.811万元，重度残疾人1.189万元。</w:t>
      </w:r>
    </w:p>
    <w:p>
      <w:pPr>
        <w:adjustRightInd w:val="0"/>
        <w:snapToGrid w:val="0"/>
        <w:spacing w:line="580" w:lineRule="exact"/>
        <w:ind w:left="0" w:firstLine="320" w:firstLineChars="100"/>
        <w:rPr>
          <w:rFonts w:hint="eastAsia" w:ascii="楷体_GB2312" w:eastAsia="楷体_GB2312"/>
          <w:sz w:val="32"/>
          <w:szCs w:val="32"/>
          <w:lang w:val="zh-CN"/>
        </w:rPr>
      </w:pPr>
      <w:r>
        <w:rPr>
          <w:rFonts w:hint="eastAsia" w:ascii="楷体_GB2312" w:eastAsia="楷体_GB2312"/>
          <w:sz w:val="32"/>
          <w:szCs w:val="32"/>
        </w:rPr>
        <w:t>2.</w:t>
      </w:r>
      <w:r>
        <w:rPr>
          <w:rFonts w:hint="eastAsia" w:ascii="楷体_GB2312" w:eastAsia="楷体_GB2312"/>
          <w:sz w:val="32"/>
          <w:szCs w:val="32"/>
          <w:lang w:val="zh-CN"/>
        </w:rPr>
        <w:t>资金使用</w:t>
      </w:r>
    </w:p>
    <w:p>
      <w:pPr>
        <w:widowControl/>
        <w:adjustRightInd w:val="0"/>
        <w:snapToGrid w:val="0"/>
        <w:spacing w:line="576" w:lineRule="exact"/>
        <w:ind w:firstLine="880" w:firstLineChars="275"/>
        <w:rPr>
          <w:rFonts w:hint="eastAsia" w:ascii="仿宋_GB2312" w:eastAsia="仿宋_GB2312"/>
          <w:color w:val="auto"/>
          <w:sz w:val="32"/>
          <w:szCs w:val="32"/>
        </w:rPr>
      </w:pPr>
      <w:r>
        <w:rPr>
          <w:rFonts w:hint="eastAsia" w:ascii="仿宋_GB2312" w:eastAsia="仿宋_GB2312" w:cs="仿宋_GB2312"/>
          <w:color w:val="auto"/>
          <w:sz w:val="32"/>
          <w:szCs w:val="32"/>
          <w:lang w:val="zh-CN"/>
        </w:rPr>
        <w:t>截止20</w:t>
      </w:r>
      <w:r>
        <w:rPr>
          <w:rFonts w:hint="eastAsia" w:ascii="仿宋_GB2312" w:eastAsia="仿宋_GB2312" w:cs="仿宋_GB2312"/>
          <w:color w:val="auto"/>
          <w:sz w:val="32"/>
          <w:szCs w:val="32"/>
        </w:rPr>
        <w:t>20</w:t>
      </w:r>
      <w:r>
        <w:rPr>
          <w:rFonts w:hint="eastAsia" w:ascii="仿宋_GB2312" w:eastAsia="仿宋_GB2312" w:cs="仿宋_GB2312"/>
          <w:color w:val="auto"/>
          <w:sz w:val="32"/>
          <w:szCs w:val="32"/>
          <w:lang w:val="zh-CN"/>
        </w:rPr>
        <w:t>年</w:t>
      </w:r>
      <w:r>
        <w:rPr>
          <w:rFonts w:hint="eastAsia" w:ascii="仿宋_GB2312" w:eastAsia="仿宋_GB2312" w:cs="仿宋_GB2312"/>
          <w:color w:val="auto"/>
          <w:sz w:val="32"/>
          <w:szCs w:val="32"/>
        </w:rPr>
        <w:t>12月31日</w:t>
      </w:r>
      <w:r>
        <w:rPr>
          <w:rFonts w:hint="eastAsia" w:ascii="仿宋_GB2312" w:eastAsia="仿宋_GB2312" w:cs="仿宋_GB2312"/>
          <w:color w:val="auto"/>
          <w:sz w:val="32"/>
          <w:szCs w:val="32"/>
          <w:lang w:val="zh-CN"/>
        </w:rPr>
        <w:t>重度残疾人护理补贴</w:t>
      </w:r>
      <w:r>
        <w:rPr>
          <w:rFonts w:hint="eastAsia" w:ascii="仿宋_GB2312" w:eastAsia="仿宋_GB2312" w:cs="仿宋_GB2312"/>
          <w:color w:val="auto"/>
          <w:sz w:val="32"/>
          <w:szCs w:val="32"/>
        </w:rPr>
        <w:t>9111人次，</w:t>
      </w:r>
      <w:r>
        <w:rPr>
          <w:rFonts w:hint="eastAsia" w:ascii="仿宋_GB2312" w:eastAsia="仿宋_GB2312" w:cs="仿宋_GB2312"/>
          <w:color w:val="auto"/>
          <w:sz w:val="32"/>
          <w:szCs w:val="32"/>
          <w:lang w:val="zh-CN"/>
        </w:rPr>
        <w:t>累计发放重度残疾人护理补贴</w:t>
      </w:r>
      <w:r>
        <w:rPr>
          <w:rFonts w:hint="eastAsia" w:ascii="仿宋_GB2312" w:eastAsia="仿宋_GB2312" w:cs="仿宋_GB2312"/>
          <w:color w:val="auto"/>
          <w:sz w:val="32"/>
          <w:szCs w:val="32"/>
        </w:rPr>
        <w:t>76.196</w:t>
      </w:r>
      <w:r>
        <w:rPr>
          <w:rFonts w:hint="eastAsia" w:ascii="仿宋_GB2312" w:eastAsia="仿宋_GB2312" w:cs="仿宋_GB2312"/>
          <w:color w:val="auto"/>
          <w:sz w:val="32"/>
          <w:szCs w:val="32"/>
          <w:lang w:val="zh-CN"/>
        </w:rPr>
        <w:t>万元。年末结转</w:t>
      </w:r>
      <w:r>
        <w:rPr>
          <w:rFonts w:hint="eastAsia" w:ascii="仿宋_GB2312" w:eastAsia="仿宋_GB2312" w:cs="仿宋_GB2312"/>
          <w:color w:val="auto"/>
          <w:sz w:val="32"/>
          <w:szCs w:val="32"/>
        </w:rPr>
        <w:t>1.5846万元，已于2021年1月支付完毕。</w:t>
      </w:r>
    </w:p>
    <w:p>
      <w:pPr>
        <w:adjustRightInd w:val="0"/>
        <w:snapToGrid w:val="0"/>
        <w:spacing w:line="580" w:lineRule="exact"/>
        <w:rPr>
          <w:rFonts w:hint="eastAsia"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rPr>
        <w:t>二</w:t>
      </w:r>
      <w:r>
        <w:rPr>
          <w:rFonts w:hint="eastAsia" w:ascii="楷体_GB2312" w:eastAsia="楷体_GB2312"/>
          <w:b/>
          <w:sz w:val="32"/>
          <w:szCs w:val="32"/>
          <w:lang w:val="zh-CN"/>
        </w:rPr>
        <w:t>）项目财务管理情况</w:t>
      </w:r>
    </w:p>
    <w:p>
      <w:pPr>
        <w:spacing w:line="560" w:lineRule="exact"/>
        <w:ind w:left="0" w:firstLine="640" w:firstLineChars="200"/>
        <w:rPr>
          <w:rFonts w:hint="eastAsia" w:ascii="仿宋_GB2312" w:eastAsia="仿宋_GB2312"/>
          <w:sz w:val="32"/>
          <w:szCs w:val="32"/>
        </w:rPr>
      </w:pPr>
      <w:r>
        <w:rPr>
          <w:rFonts w:hint="eastAsia" w:ascii="仿宋_GB2312" w:eastAsia="仿宋_GB2312"/>
          <w:sz w:val="32"/>
          <w:szCs w:val="32"/>
        </w:rPr>
        <w:t>在资金的管理方面马尔康局民政局严格按照《会计法》和相关的法律法规的要求，设立账簿和会计核算科目，历来对民政专项资金坚持“专款专用，专户管理，决不挪用，及时足额”的原则，在工作中严格按照专项资金的要求发放，做到发放手续齐全，做到账、表、档、证相符，绝无随意分配、优亲厚友、损失浪费、弄虚作假、截留挪用、贪污私分等严重违纪违规操作，以对党和人民高度负责的精神，切实做好资金的管理、使用工作。</w:t>
      </w:r>
    </w:p>
    <w:p>
      <w:pPr>
        <w:adjustRightInd w:val="0"/>
        <w:snapToGrid w:val="0"/>
        <w:spacing w:line="580" w:lineRule="exact"/>
        <w:rPr>
          <w:rFonts w:hint="eastAsia" w:ascii="楷体_GB2312" w:eastAsia="楷体_GB2312"/>
          <w:b/>
          <w:sz w:val="32"/>
          <w:szCs w:val="32"/>
          <w:lang w:val="zh-CN"/>
        </w:rPr>
      </w:pPr>
      <w:r>
        <w:rPr>
          <w:rFonts w:hint="eastAsia" w:ascii="楷体_GB2312" w:eastAsia="楷体_GB2312"/>
          <w:b/>
          <w:sz w:val="32"/>
          <w:szCs w:val="32"/>
          <w:lang w:val="zh-CN"/>
        </w:rPr>
        <w:t>（三）项目组织实施情况</w:t>
      </w:r>
    </w:p>
    <w:p>
      <w:pPr>
        <w:adjustRightInd w:val="0"/>
        <w:snapToGrid w:val="0"/>
        <w:spacing w:line="580" w:lineRule="exact"/>
        <w:ind w:left="0" w:firstLine="640" w:firstLineChars="200"/>
        <w:rPr>
          <w:rFonts w:hint="eastAsia" w:ascii="仿宋_GB2312" w:eastAsia="仿宋_GB2312"/>
          <w:sz w:val="32"/>
          <w:szCs w:val="32"/>
          <w:highlight w:val="yellow"/>
        </w:rPr>
      </w:pPr>
      <w:r>
        <w:rPr>
          <w:rFonts w:hint="eastAsia" w:ascii="仿宋_GB2312" w:eastAsia="仿宋_GB2312"/>
          <w:sz w:val="32"/>
          <w:szCs w:val="32"/>
        </w:rPr>
        <w:t>我局严格按照《四川省民政厅 财政厅 省残联关于建立困难残疾人生活补贴和重度残疾人护理补贴的通知》开展重度残疾人护理补贴工作，每季度初下发民政局《关于城乡低保、特困人员、残疾人两项补贴及高龄老人复核工作的通知》，要求各乡镇复核清理不符合重度残疾人护理补贴对象人员及需纳入新申请的重度残疾人护理补贴对象人员。</w:t>
      </w:r>
    </w:p>
    <w:p>
      <w:pPr>
        <w:adjustRightInd w:val="0"/>
        <w:snapToGrid w:val="0"/>
        <w:spacing w:line="580" w:lineRule="exact"/>
        <w:ind w:firstLine="720"/>
        <w:rPr>
          <w:rFonts w:hint="eastAsia" w:ascii="仿宋_GB2312" w:eastAsia="仿宋_GB2312"/>
          <w:sz w:val="32"/>
          <w:szCs w:val="32"/>
          <w:lang w:val="zh-CN"/>
        </w:rPr>
      </w:pPr>
      <w:r>
        <w:rPr>
          <w:rFonts w:hint="eastAsia" w:ascii="黑体" w:eastAsia="黑体"/>
          <w:sz w:val="32"/>
          <w:szCs w:val="32"/>
        </w:rPr>
        <w:t>四、项目绩效情况</w:t>
      </w:r>
      <w:r>
        <w:rPr>
          <w:rFonts w:hint="eastAsia" w:ascii="仿宋_GB2312" w:eastAsia="仿宋_GB2312"/>
          <w:sz w:val="32"/>
          <w:szCs w:val="32"/>
          <w:lang w:val="zh-CN"/>
        </w:rPr>
        <w:tab/>
      </w:r>
    </w:p>
    <w:p>
      <w:pPr>
        <w:adjustRightInd w:val="0"/>
        <w:snapToGrid w:val="0"/>
        <w:spacing w:line="580" w:lineRule="exact"/>
        <w:ind w:firstLine="720"/>
        <w:rPr>
          <w:rFonts w:hint="eastAsia" w:ascii="楷体_GB2312" w:eastAsia="楷体_GB2312"/>
          <w:b/>
          <w:sz w:val="32"/>
          <w:szCs w:val="32"/>
          <w:lang w:val="zh-CN"/>
        </w:rPr>
      </w:pPr>
      <w:r>
        <w:rPr>
          <w:rFonts w:hint="eastAsia" w:ascii="楷体_GB2312" w:eastAsia="楷体_GB2312"/>
          <w:b/>
          <w:sz w:val="32"/>
          <w:szCs w:val="32"/>
          <w:lang w:val="zh-CN"/>
        </w:rPr>
        <w:t>（一）项目完成情况</w:t>
      </w:r>
    </w:p>
    <w:p>
      <w:pPr>
        <w:adjustRightInd w:val="0"/>
        <w:snapToGrid w:val="0"/>
        <w:spacing w:line="580" w:lineRule="exact"/>
        <w:ind w:firstLine="720"/>
        <w:rPr>
          <w:rFonts w:hint="eastAsia" w:ascii="仿宋_GB2312" w:eastAsia="仿宋_GB2312"/>
          <w:color w:val="auto"/>
          <w:sz w:val="32"/>
          <w:szCs w:val="32"/>
        </w:rPr>
      </w:pPr>
      <w:r>
        <w:rPr>
          <w:rFonts w:hint="eastAsia" w:ascii="仿宋_GB2312" w:eastAsia="仿宋_GB2312"/>
          <w:color w:val="auto"/>
          <w:sz w:val="32"/>
          <w:szCs w:val="32"/>
          <w:lang w:val="zh-CN"/>
        </w:rPr>
        <w:t>20</w:t>
      </w:r>
      <w:r>
        <w:rPr>
          <w:rFonts w:hint="eastAsia" w:ascii="仿宋_GB2312" w:eastAsia="仿宋_GB2312"/>
          <w:color w:val="auto"/>
          <w:sz w:val="32"/>
          <w:szCs w:val="32"/>
        </w:rPr>
        <w:t>20</w:t>
      </w:r>
      <w:r>
        <w:rPr>
          <w:rFonts w:hint="eastAsia" w:ascii="仿宋_GB2312" w:eastAsia="仿宋_GB2312"/>
          <w:color w:val="auto"/>
          <w:sz w:val="32"/>
          <w:szCs w:val="32"/>
          <w:lang w:val="zh-CN"/>
        </w:rPr>
        <w:t>年共支出重度残疾人护理补贴</w:t>
      </w:r>
      <w:r>
        <w:rPr>
          <w:rFonts w:hint="eastAsia" w:ascii="仿宋_GB2312" w:eastAsia="仿宋_GB2312"/>
          <w:color w:val="auto"/>
          <w:sz w:val="32"/>
          <w:szCs w:val="32"/>
        </w:rPr>
        <w:t>资金76.112</w:t>
      </w:r>
      <w:r>
        <w:rPr>
          <w:rFonts w:hint="eastAsia" w:ascii="仿宋_GB2312" w:eastAsia="仿宋_GB2312"/>
          <w:color w:val="auto"/>
          <w:sz w:val="32"/>
          <w:szCs w:val="32"/>
          <w:lang w:val="zh-CN"/>
        </w:rPr>
        <w:t>万元，保障标准：</w:t>
      </w:r>
      <w:r>
        <w:rPr>
          <w:rFonts w:hint="eastAsia" w:ascii="仿宋_GB2312" w:eastAsia="仿宋_GB2312"/>
          <w:color w:val="auto"/>
          <w:sz w:val="32"/>
          <w:szCs w:val="32"/>
        </w:rPr>
        <w:t>重度残疾人一级残疾每人每月100元，二级残疾每人每月70元。</w:t>
      </w:r>
      <w:r>
        <w:rPr>
          <w:rFonts w:hint="eastAsia" w:ascii="仿宋_GB2312" w:eastAsia="仿宋_GB2312"/>
          <w:color w:val="auto"/>
          <w:sz w:val="32"/>
          <w:szCs w:val="32"/>
          <w:lang w:val="zh-CN"/>
        </w:rPr>
        <w:t>重度残疾人护理补贴</w:t>
      </w:r>
      <w:r>
        <w:rPr>
          <w:rFonts w:hint="eastAsia" w:ascii="仿宋_GB2312" w:eastAsia="仿宋_GB2312"/>
          <w:color w:val="auto"/>
          <w:sz w:val="32"/>
          <w:szCs w:val="32"/>
        </w:rPr>
        <w:t>标准达标率100%，补助资金及时发放率100%。</w:t>
      </w:r>
    </w:p>
    <w:p>
      <w:pPr>
        <w:adjustRightInd w:val="0"/>
        <w:snapToGrid w:val="0"/>
        <w:spacing w:line="580" w:lineRule="exact"/>
        <w:ind w:firstLine="720"/>
        <w:rPr>
          <w:rFonts w:hint="eastAsia" w:ascii="楷体_GB2312" w:eastAsia="楷体_GB2312"/>
          <w:b/>
          <w:sz w:val="32"/>
          <w:szCs w:val="32"/>
          <w:lang w:val="zh-CN"/>
        </w:rPr>
      </w:pPr>
      <w:r>
        <w:rPr>
          <w:rFonts w:hint="eastAsia" w:ascii="楷体_GB2312" w:eastAsia="楷体_GB2312"/>
          <w:b/>
          <w:sz w:val="32"/>
          <w:szCs w:val="32"/>
          <w:lang w:val="zh-CN"/>
        </w:rPr>
        <w:t>（二）项目效益情况</w:t>
      </w:r>
    </w:p>
    <w:p>
      <w:pPr>
        <w:adjustRightInd w:val="0"/>
        <w:snapToGrid w:val="0"/>
        <w:spacing w:line="580" w:lineRule="exact"/>
        <w:ind w:left="0" w:firstLine="640" w:firstLineChars="200"/>
        <w:rPr>
          <w:rFonts w:hint="eastAsia" w:ascii="仿宋_GB2312" w:eastAsia="仿宋_GB2312"/>
          <w:sz w:val="32"/>
          <w:szCs w:val="32"/>
          <w:highlight w:val="yellow"/>
        </w:rPr>
      </w:pPr>
      <w:r>
        <w:rPr>
          <w:rFonts w:hint="eastAsia" w:ascii="仿宋_GB2312" w:eastAsia="仿宋_GB2312"/>
          <w:sz w:val="32"/>
          <w:szCs w:val="32"/>
        </w:rPr>
        <w:t>通过实施“</w:t>
      </w:r>
      <w:r>
        <w:rPr>
          <w:rFonts w:hint="eastAsia" w:ascii="仿宋_GB2312" w:eastAsia="仿宋_GB2312"/>
          <w:color w:val="auto"/>
          <w:sz w:val="32"/>
          <w:szCs w:val="32"/>
          <w:lang w:val="zh-CN"/>
        </w:rPr>
        <w:t>重度残疾人护理</w:t>
      </w:r>
      <w:r>
        <w:rPr>
          <w:rFonts w:hint="eastAsia" w:ascii="仿宋_GB2312" w:eastAsia="仿宋_GB2312"/>
          <w:sz w:val="32"/>
          <w:szCs w:val="32"/>
        </w:rPr>
        <w:t>补贴政策”项目，切实缓解了城乡困难群众因残致贫、因残返贫的生活压力，为构建和谐社会作出了应有的贡献，同时也筑牢民生保障底线，缩短</w:t>
      </w:r>
      <w:r>
        <w:rPr>
          <w:rFonts w:hint="eastAsia" w:ascii="仿宋_GB2312" w:eastAsia="仿宋_GB2312"/>
          <w:color w:val="auto"/>
          <w:sz w:val="32"/>
          <w:szCs w:val="32"/>
          <w:lang w:val="zh-CN"/>
        </w:rPr>
        <w:t>重度残疾人</w:t>
      </w:r>
      <w:r>
        <w:rPr>
          <w:rFonts w:hint="eastAsia" w:ascii="仿宋_GB2312" w:eastAsia="仿宋_GB2312"/>
          <w:sz w:val="32"/>
          <w:szCs w:val="32"/>
        </w:rPr>
        <w:t>生活状况及社会水平的差距，进一步提高和改善</w:t>
      </w:r>
      <w:r>
        <w:rPr>
          <w:rFonts w:hint="eastAsia" w:ascii="仿宋_GB2312" w:eastAsia="仿宋_GB2312"/>
          <w:color w:val="auto"/>
          <w:sz w:val="32"/>
          <w:szCs w:val="32"/>
          <w:lang w:val="zh-CN"/>
        </w:rPr>
        <w:t>重度残疾</w:t>
      </w:r>
      <w:r>
        <w:rPr>
          <w:rFonts w:hint="eastAsia" w:ascii="仿宋_GB2312" w:eastAsia="仿宋_GB2312"/>
          <w:sz w:val="32"/>
          <w:szCs w:val="32"/>
        </w:rPr>
        <w:t>的生活质量。</w:t>
      </w:r>
    </w:p>
    <w:p>
      <w:pPr>
        <w:adjustRightInd w:val="0"/>
        <w:snapToGrid w:val="0"/>
        <w:spacing w:line="580" w:lineRule="exact"/>
        <w:ind w:firstLine="320" w:firstLineChars="100"/>
        <w:rPr>
          <w:rFonts w:hint="eastAsia" w:ascii="黑体" w:eastAsia="黑体"/>
          <w:sz w:val="32"/>
          <w:szCs w:val="32"/>
        </w:rPr>
      </w:pPr>
      <w:r>
        <w:rPr>
          <w:rFonts w:hint="eastAsia" w:ascii="黑体" w:eastAsia="黑体"/>
          <w:sz w:val="32"/>
          <w:szCs w:val="32"/>
        </w:rPr>
        <w:t>五、问题及建议</w:t>
      </w:r>
    </w:p>
    <w:p>
      <w:pPr>
        <w:adjustRightInd w:val="0"/>
        <w:snapToGrid w:val="0"/>
        <w:spacing w:line="580" w:lineRule="exact"/>
        <w:ind w:firstLine="321" w:firstLineChars="100"/>
        <w:rPr>
          <w:rFonts w:hint="eastAsia" w:ascii="楷体_GB2312" w:eastAsia="楷体_GB2312"/>
          <w:b/>
          <w:sz w:val="32"/>
          <w:szCs w:val="32"/>
          <w:lang w:val="zh-CN"/>
        </w:rPr>
      </w:pPr>
      <w:r>
        <w:rPr>
          <w:rFonts w:hint="eastAsia" w:ascii="楷体_GB2312" w:eastAsia="楷体_GB2312"/>
          <w:b/>
          <w:sz w:val="32"/>
          <w:szCs w:val="32"/>
          <w:lang w:val="zh-CN"/>
        </w:rPr>
        <w:t>（一）存在的问题</w:t>
      </w:r>
    </w:p>
    <w:p>
      <w:pPr>
        <w:adjustRightInd w:val="0"/>
        <w:snapToGrid w:val="0"/>
        <w:spacing w:line="576"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社会救助工作量大面广，民政局和各镇社会救助工作人员缺乏。</w:t>
      </w:r>
    </w:p>
    <w:p>
      <w:pPr>
        <w:adjustRightInd w:val="0"/>
        <w:snapToGrid w:val="0"/>
        <w:spacing w:line="580" w:lineRule="exact"/>
        <w:ind w:firstLine="321" w:firstLineChars="100"/>
        <w:rPr>
          <w:rFonts w:hint="eastAsia" w:ascii="楷体_GB2312" w:eastAsia="楷体_GB2312"/>
          <w:b/>
          <w:sz w:val="32"/>
          <w:szCs w:val="32"/>
          <w:lang w:val="zh-CN"/>
        </w:rPr>
      </w:pPr>
      <w:r>
        <w:rPr>
          <w:rFonts w:hint="eastAsia" w:ascii="楷体_GB2312" w:eastAsia="楷体_GB2312"/>
          <w:b/>
          <w:sz w:val="32"/>
          <w:szCs w:val="32"/>
          <w:lang w:val="zh-CN"/>
        </w:rPr>
        <w:t>（二）相关建议</w:t>
      </w:r>
    </w:p>
    <w:p>
      <w:pPr>
        <w:pStyle w:val="14"/>
        <w:shd w:val="clear" w:color="auto" w:fill="FFFFFF"/>
        <w:spacing w:before="210" w:after="210" w:line="450" w:lineRule="atLeast"/>
        <w:ind w:firstLine="645"/>
        <w:jc w:val="both"/>
        <w:rPr>
          <w:rFonts w:hint="eastAsia" w:ascii="仿宋_GB2312" w:eastAsia="仿宋_GB2312"/>
          <w:kern w:val="2"/>
          <w:sz w:val="32"/>
          <w:szCs w:val="32"/>
          <w:lang w:val="zh-CN"/>
        </w:rPr>
      </w:pPr>
      <w:r>
        <w:rPr>
          <w:rFonts w:hint="eastAsia" w:ascii="仿宋_GB2312" w:eastAsia="仿宋_GB2312"/>
          <w:kern w:val="2"/>
          <w:sz w:val="32"/>
          <w:szCs w:val="32"/>
          <w:lang w:val="zh-CN"/>
        </w:rPr>
        <w:t>配备社会救助专职工作人员，匹配相应的工作经费，以保障社会救助工作各项全面有序开展。</w:t>
      </w:r>
    </w:p>
    <w:p>
      <w:pPr>
        <w:widowControl/>
        <w:spacing w:line="580" w:lineRule="exact"/>
        <w:jc w:val="left"/>
        <w:rPr>
          <w:rFonts w:hint="eastAsia" w:ascii="仿宋_GB2312" w:eastAsia="仿宋_GB2312"/>
          <w:sz w:val="32"/>
          <w:szCs w:val="32"/>
        </w:rPr>
      </w:pPr>
    </w:p>
    <w:p>
      <w:pPr>
        <w:widowControl/>
        <w:spacing w:line="580" w:lineRule="exact"/>
        <w:jc w:val="left"/>
        <w:rPr>
          <w:rFonts w:hint="eastAsia" w:ascii="仿宋_GB2312" w:eastAsia="仿宋_GB2312"/>
          <w:sz w:val="32"/>
          <w:szCs w:val="32"/>
        </w:rPr>
      </w:pPr>
    </w:p>
    <w:p>
      <w:pPr>
        <w:pStyle w:val="4"/>
        <w:bidi w:val="0"/>
        <w:rPr>
          <w:rFonts w:hint="eastAsia" w:ascii="仿宋_GB2312" w:eastAsia="仿宋_GB2312" w:cs="Times New Roman"/>
          <w:b w:val="0"/>
          <w:bCs w:val="0"/>
          <w:color w:val="333333"/>
          <w:kern w:val="2"/>
          <w:sz w:val="32"/>
          <w:szCs w:val="24"/>
          <w:lang w:val="en-US" w:eastAsia="zh-CN" w:bidi="ar-SA"/>
        </w:rPr>
      </w:pPr>
      <w:bookmarkStart w:id="174" w:name="_Toc2072"/>
      <w:r>
        <w:rPr>
          <w:rFonts w:hint="eastAsia" w:ascii="仿宋_GB2312" w:eastAsia="仿宋_GB2312" w:cs="Times New Roman"/>
          <w:b w:val="0"/>
          <w:bCs w:val="0"/>
          <w:color w:val="333333"/>
          <w:kern w:val="2"/>
          <w:sz w:val="32"/>
          <w:szCs w:val="24"/>
          <w:lang w:val="en-US" w:eastAsia="zh-CN" w:bidi="ar-SA"/>
        </w:rPr>
        <w:t>附件5：</w:t>
      </w:r>
      <w:bookmarkEnd w:id="174"/>
    </w:p>
    <w:p>
      <w:pPr>
        <w:pStyle w:val="4"/>
        <w:bidi w:val="0"/>
        <w:jc w:val="center"/>
        <w:rPr>
          <w:rFonts w:hint="eastAsia" w:ascii="方正小标宋简体" w:eastAsia="方正小标宋简体" w:cs="Times New Roman"/>
          <w:b w:val="0"/>
          <w:bCs w:val="0"/>
          <w:kern w:val="2"/>
          <w:sz w:val="44"/>
          <w:szCs w:val="44"/>
          <w:lang w:val="en-US" w:eastAsia="zh-CN" w:bidi="ar-SA"/>
        </w:rPr>
      </w:pPr>
      <w:bookmarkStart w:id="175" w:name="_Toc985"/>
      <w:r>
        <w:rPr>
          <w:rFonts w:hint="eastAsia" w:ascii="方正小标宋简体" w:eastAsia="方正小标宋简体" w:cs="Times New Roman"/>
          <w:b w:val="0"/>
          <w:bCs w:val="0"/>
          <w:kern w:val="2"/>
          <w:sz w:val="44"/>
          <w:szCs w:val="44"/>
          <w:lang w:val="en-US" w:eastAsia="zh-CN" w:bidi="ar-SA"/>
        </w:rPr>
        <w:t>茂县民政局临时价格补贴资金支出绩效自评报告</w:t>
      </w:r>
      <w:bookmarkEnd w:id="175"/>
    </w:p>
    <w:p>
      <w:pPr>
        <w:adjustRightInd w:val="0"/>
        <w:snapToGrid w:val="0"/>
        <w:spacing w:line="580" w:lineRule="exact"/>
        <w:ind w:left="840"/>
        <w:rPr>
          <w:rFonts w:hint="eastAsia" w:ascii="黑体" w:eastAsia="黑体" w:cs="Times New Roman"/>
          <w:sz w:val="32"/>
          <w:szCs w:val="32"/>
          <w:lang w:val="zh-CN"/>
        </w:rPr>
      </w:pPr>
      <w:r>
        <w:rPr>
          <w:rFonts w:hint="eastAsia" w:ascii="黑体" w:eastAsia="黑体" w:cs="Times New Roman"/>
          <w:sz w:val="32"/>
          <w:szCs w:val="32"/>
          <w:lang w:val="zh-CN" w:eastAsia="zh-CN"/>
        </w:rPr>
        <w:t>一、</w:t>
      </w:r>
      <w:r>
        <w:rPr>
          <w:rFonts w:hint="eastAsia" w:ascii="黑体" w:eastAsia="黑体" w:cs="Times New Roman"/>
          <w:sz w:val="32"/>
          <w:szCs w:val="32"/>
          <w:lang w:val="zh-CN"/>
        </w:rPr>
        <w:t>项目概况</w:t>
      </w:r>
    </w:p>
    <w:p>
      <w:pPr>
        <w:adjustRightInd w:val="0"/>
        <w:snapToGrid w:val="0"/>
        <w:spacing w:line="360" w:lineRule="auto"/>
        <w:ind w:left="-3"/>
        <w:jc w:val="left"/>
        <w:rPr>
          <w:rFonts w:hint="eastAsia" w:ascii="仿宋_GB2312" w:eastAsia="仿宋_GB2312"/>
          <w:sz w:val="32"/>
          <w:szCs w:val="24"/>
          <w:lang w:val="zh-CN"/>
        </w:rPr>
      </w:pPr>
      <w:r>
        <w:rPr>
          <w:rFonts w:hint="eastAsia" w:ascii="仿宋_GB2312" w:eastAsia="仿宋_GB2312"/>
          <w:sz w:val="32"/>
          <w:szCs w:val="24"/>
          <w:lang w:val="zh-CN"/>
        </w:rPr>
        <w:t xml:space="preserve">    </w:t>
      </w:r>
      <w:r>
        <w:rPr>
          <w:rFonts w:hint="eastAsia" w:ascii="楷体_GB2312" w:eastAsia="楷体_GB2312" w:cs="Times New Roman"/>
          <w:b/>
          <w:sz w:val="32"/>
          <w:szCs w:val="32"/>
          <w:lang w:val="zh-CN"/>
        </w:rPr>
        <w:t xml:space="preserve"> （一）基本情况</w:t>
      </w:r>
    </w:p>
    <w:p>
      <w:pPr>
        <w:adjustRightInd w:val="0"/>
        <w:snapToGrid w:val="0"/>
        <w:spacing w:line="360" w:lineRule="auto"/>
        <w:ind w:left="-3" w:firstLine="640" w:firstLineChars="200"/>
        <w:jc w:val="left"/>
        <w:rPr>
          <w:rFonts w:hint="eastAsia" w:ascii="仿宋_GB2312" w:eastAsia="仿宋_GB2312"/>
          <w:sz w:val="32"/>
          <w:szCs w:val="24"/>
          <w:lang w:val="zh-CN"/>
        </w:rPr>
      </w:pPr>
      <w:r>
        <w:rPr>
          <w:rFonts w:hint="eastAsia" w:ascii="仿宋_GB2312" w:eastAsia="仿宋_GB2312"/>
          <w:color w:val="333333"/>
          <w:sz w:val="32"/>
          <w:szCs w:val="24"/>
        </w:rPr>
        <w:t>启动物价上涨与特困群体生活价格临时补贴联动机制，2020年我局用直达资金向孤儿、事实无人抚养儿童、城乡低保对象、特困人员发放“临时价格补贴”1028.19万元，发放人数128679人次，</w:t>
      </w:r>
      <w:bookmarkStart w:id="176" w:name="_Hlk75277846"/>
      <w:r>
        <w:rPr>
          <w:rFonts w:hint="eastAsia" w:ascii="仿宋_GB2312" w:eastAsia="仿宋_GB2312"/>
          <w:color w:val="333333"/>
          <w:sz w:val="32"/>
          <w:szCs w:val="24"/>
        </w:rPr>
        <w:t>确保了生活水平不因物价上涨而降低，保障困难群众基本生活具有积极作用。</w:t>
      </w:r>
      <w:bookmarkEnd w:id="176"/>
      <w:r>
        <w:rPr>
          <w:rFonts w:hint="eastAsia" w:ascii="仿宋_GB2312" w:eastAsia="仿宋_GB2312"/>
          <w:color w:val="333333"/>
          <w:sz w:val="32"/>
          <w:szCs w:val="24"/>
        </w:rPr>
        <w:t>其采取“按月计算、按月发放”的方法，实施补贴发放。</w:t>
      </w:r>
    </w:p>
    <w:p>
      <w:pPr>
        <w:adjustRightInd w:val="0"/>
        <w:snapToGrid w:val="0"/>
        <w:spacing w:line="360" w:lineRule="auto"/>
        <w:ind w:left="-3" w:firstLine="642" w:firstLineChars="200"/>
        <w:jc w:val="left"/>
        <w:rPr>
          <w:rFonts w:hint="eastAsia" w:ascii="楷体_GB2312" w:eastAsia="楷体_GB2312" w:cs="Times New Roman"/>
          <w:b/>
          <w:sz w:val="32"/>
          <w:szCs w:val="32"/>
          <w:lang w:val="zh-CN"/>
        </w:rPr>
      </w:pPr>
      <w:r>
        <w:rPr>
          <w:rFonts w:hint="eastAsia" w:ascii="楷体_GB2312" w:eastAsia="楷体_GB2312" w:cs="Times New Roman"/>
          <w:b/>
          <w:sz w:val="32"/>
          <w:szCs w:val="32"/>
          <w:lang w:val="zh-CN"/>
        </w:rPr>
        <w:t>（二）项目资金申报及批复情况</w:t>
      </w:r>
    </w:p>
    <w:p>
      <w:pPr>
        <w:adjustRightInd w:val="0"/>
        <w:snapToGrid w:val="0"/>
        <w:spacing w:line="360" w:lineRule="auto"/>
        <w:ind w:firstLine="640" w:firstLineChars="200"/>
        <w:rPr>
          <w:rFonts w:hint="eastAsia" w:ascii="仿宋_GB2312" w:eastAsia="仿宋_GB2312"/>
          <w:sz w:val="32"/>
          <w:szCs w:val="24"/>
          <w:lang w:val="zh-CN"/>
        </w:rPr>
      </w:pPr>
      <w:r>
        <w:rPr>
          <w:rFonts w:hint="eastAsia" w:ascii="仿宋_GB2312" w:eastAsia="仿宋_GB2312" w:cs="宋体"/>
          <w:color w:val="333333"/>
          <w:kern w:val="0"/>
          <w:sz w:val="32"/>
          <w:szCs w:val="32"/>
        </w:rPr>
        <w:t>根据（《</w:t>
      </w:r>
      <w:bookmarkStart w:id="177" w:name="_Hlk75332112"/>
      <w:r>
        <w:rPr>
          <w:rFonts w:hint="eastAsia" w:ascii="仿宋_GB2312" w:eastAsia="仿宋_GB2312" w:cs="宋体"/>
          <w:color w:val="333333"/>
          <w:kern w:val="0"/>
          <w:sz w:val="32"/>
          <w:szCs w:val="32"/>
        </w:rPr>
        <w:t>阿坝州发展和改革委员会 阿坝州教育局等7部门关于2019年11-12月实施社会救助和保障标准与物价上涨挂钩联动机制的通知</w:t>
      </w:r>
      <w:bookmarkEnd w:id="177"/>
      <w:r>
        <w:rPr>
          <w:rFonts w:hint="eastAsia" w:ascii="仿宋_GB2312" w:eastAsia="仿宋_GB2312" w:cs="宋体"/>
          <w:color w:val="333333"/>
          <w:kern w:val="0"/>
          <w:sz w:val="32"/>
          <w:szCs w:val="32"/>
        </w:rPr>
        <w:t>、阿坝州发展和改革委员会 阿坝州教育局等7部门关于2020年1-10月实施社会救助和保障标准与物价上涨挂钩联动机制的通知》阿州发改〔2019〕652号；阿州发改【2020】35、77、155、210、258、295、327、379、416、459、510号）等文件要求，</w:t>
      </w:r>
      <w:bookmarkStart w:id="178" w:name="_Hlk75332077"/>
      <w:bookmarkStart w:id="179" w:name="_Hlk75333564"/>
      <w:r>
        <w:rPr>
          <w:rFonts w:hint="eastAsia" w:ascii="仿宋_GB2312" w:eastAsia="仿宋_GB2312" w:cs="宋体"/>
          <w:color w:val="333333"/>
          <w:kern w:val="0"/>
          <w:sz w:val="32"/>
          <w:szCs w:val="32"/>
        </w:rPr>
        <w:t>2019年11月按城镇63元/月.人，农村41元/月.人；2019年12月按城镇58元/月.人</w:t>
      </w:r>
      <w:bookmarkEnd w:id="178"/>
      <w:r>
        <w:rPr>
          <w:rFonts w:hint="eastAsia" w:ascii="仿宋_GB2312" w:eastAsia="仿宋_GB2312" w:cs="宋体"/>
          <w:color w:val="333333"/>
          <w:kern w:val="0"/>
          <w:sz w:val="32"/>
          <w:szCs w:val="32"/>
        </w:rPr>
        <w:t>，农村36元/月.人；2020年1月按城镇58元/月.人，农村37元/月.人；2020年2月按城镇78元/月.人，农村51元/月.人</w:t>
      </w:r>
      <w:bookmarkEnd w:id="179"/>
      <w:r>
        <w:rPr>
          <w:rFonts w:hint="eastAsia" w:ascii="仿宋_GB2312" w:eastAsia="仿宋_GB2312" w:cs="宋体"/>
          <w:color w:val="333333"/>
          <w:kern w:val="0"/>
          <w:sz w:val="32"/>
          <w:szCs w:val="32"/>
        </w:rPr>
        <w:t>；2020年3月按城镇165元/月.人，农村107元/月.人；2020年4月按城镇152元/月.人，农村99元/月.人；2020年5月按城镇118元/月.人，农村76元/月.人；2020年6月按城镇111元/月.人，农村72元/月.人；2020年7月按城镇73元/月.人，农村48元/月.人；2020年8月按城镇57元/月.人，农村38元/月.人；2020年9月按城镇40元/月.人，农村27元/月.人；2020年10月按城镇20元/月.人，农村13元/月.人发放临时价格补贴。政府按照《联动机制》相关规定，价格临时补贴所需资金纳入统计财政预算，由州、县按2:8比例承担，资金全部到位。</w:t>
      </w:r>
    </w:p>
    <w:p>
      <w:pPr>
        <w:spacing w:line="360" w:lineRule="auto"/>
        <w:ind w:firstLine="640" w:firstLineChars="200"/>
        <w:rPr>
          <w:rFonts w:hint="eastAsia" w:ascii="仿宋_GB2312" w:eastAsia="仿宋_GB2312"/>
          <w:sz w:val="32"/>
          <w:szCs w:val="24"/>
          <w:lang w:val="zh-CN"/>
        </w:rPr>
      </w:pPr>
      <w:r>
        <w:rPr>
          <w:rFonts w:hint="eastAsia" w:ascii="仿宋_GB2312" w:eastAsia="仿宋_GB2312"/>
          <w:sz w:val="32"/>
          <w:szCs w:val="24"/>
          <w:lang w:val="zh-CN"/>
        </w:rPr>
        <w:t>2020年财政共拨入价格临时补贴资金</w:t>
      </w:r>
      <w:r>
        <w:rPr>
          <w:rFonts w:hint="eastAsia" w:ascii="仿宋_GB2312" w:eastAsia="仿宋_GB2312"/>
          <w:sz w:val="32"/>
          <w:szCs w:val="24"/>
        </w:rPr>
        <w:t>1017.15</w:t>
      </w:r>
      <w:r>
        <w:rPr>
          <w:rFonts w:hint="eastAsia" w:ascii="仿宋_GB2312" w:eastAsia="仿宋_GB2312"/>
          <w:sz w:val="32"/>
          <w:szCs w:val="24"/>
          <w:lang w:val="zh-CN"/>
        </w:rPr>
        <w:t>万元，支付</w:t>
      </w:r>
      <w:r>
        <w:rPr>
          <w:rFonts w:hint="eastAsia" w:ascii="仿宋_GB2312" w:eastAsia="仿宋_GB2312"/>
          <w:sz w:val="32"/>
          <w:szCs w:val="24"/>
        </w:rPr>
        <w:t>1028.19</w:t>
      </w:r>
      <w:r>
        <w:rPr>
          <w:rFonts w:hint="eastAsia" w:ascii="仿宋_GB2312" w:eastAsia="仿宋_GB2312"/>
          <w:sz w:val="32"/>
          <w:szCs w:val="24"/>
          <w:lang w:val="zh-CN"/>
        </w:rPr>
        <w:t>万元，该项目资金的申报和使用是科学合理的。在拨付资金的工作中无截留、挤占、挪用现象。</w:t>
      </w:r>
    </w:p>
    <w:p>
      <w:pPr>
        <w:adjustRightInd w:val="0"/>
        <w:snapToGrid w:val="0"/>
        <w:spacing w:line="360" w:lineRule="auto"/>
        <w:ind w:firstLine="359" w:firstLineChars="112"/>
        <w:rPr>
          <w:rFonts w:hint="eastAsia" w:ascii="仿宋_GB2312" w:eastAsia="仿宋_GB2312" w:cs="Times New Roman"/>
          <w:sz w:val="32"/>
          <w:szCs w:val="32"/>
          <w:lang w:val="zh-CN"/>
        </w:rPr>
      </w:pPr>
      <w:r>
        <w:rPr>
          <w:rFonts w:hint="eastAsia" w:ascii="楷体_GB2312" w:eastAsia="楷体_GB2312" w:cs="Times New Roman"/>
          <w:b/>
          <w:sz w:val="32"/>
          <w:szCs w:val="32"/>
          <w:lang w:val="zh-CN"/>
        </w:rPr>
        <w:t>（三）项目绩效目标</w:t>
      </w:r>
    </w:p>
    <w:p>
      <w:pPr>
        <w:widowControl/>
        <w:spacing w:line="360" w:lineRule="auto"/>
        <w:ind w:firstLine="640" w:firstLineChars="200"/>
        <w:jc w:val="left"/>
        <w:rPr>
          <w:rFonts w:hint="eastAsia" w:ascii="仿宋_GB2312" w:eastAsia="仿宋_GB2312" w:cs="Arial"/>
          <w:sz w:val="32"/>
          <w:szCs w:val="32"/>
        </w:rPr>
      </w:pPr>
      <w:r>
        <w:rPr>
          <w:rFonts w:hint="eastAsia" w:ascii="仿宋_GB2312" w:eastAsia="仿宋_GB2312"/>
          <w:color w:val="333333"/>
          <w:sz w:val="32"/>
          <w:szCs w:val="24"/>
        </w:rPr>
        <w:t>确保了生活水平不因物价上涨而降低，保障困难群众基本生活具有积极作用。</w:t>
      </w:r>
    </w:p>
    <w:p>
      <w:pPr>
        <w:adjustRightInd w:val="0"/>
        <w:snapToGrid w:val="0"/>
        <w:spacing w:line="580" w:lineRule="exact"/>
        <w:ind w:left="0" w:firstLine="640" w:firstLineChars="200"/>
        <w:rPr>
          <w:rFonts w:hint="eastAsia" w:ascii="黑体" w:eastAsia="黑体" w:cs="Times New Roman"/>
          <w:sz w:val="32"/>
          <w:szCs w:val="32"/>
          <w:lang w:val="zh-CN"/>
        </w:rPr>
      </w:pPr>
      <w:r>
        <w:rPr>
          <w:rFonts w:hint="eastAsia" w:ascii="黑体" w:eastAsia="黑体" w:cs="Times New Roman"/>
          <w:sz w:val="32"/>
          <w:szCs w:val="32"/>
          <w:lang w:val="zh-CN"/>
        </w:rPr>
        <w:t>二、项目实施及管理情况</w:t>
      </w:r>
    </w:p>
    <w:p>
      <w:pPr>
        <w:adjustRightInd w:val="0"/>
        <w:snapToGrid w:val="0"/>
        <w:spacing w:line="360" w:lineRule="auto"/>
        <w:ind w:firstLine="358" w:firstLineChars="112"/>
        <w:rPr>
          <w:rFonts w:hint="eastAsia" w:ascii="仿宋_GB2312" w:eastAsia="仿宋_GB2312"/>
          <w:sz w:val="32"/>
          <w:szCs w:val="24"/>
          <w:lang w:val="zh-CN"/>
        </w:rPr>
      </w:pPr>
      <w:r>
        <w:rPr>
          <w:rFonts w:hint="eastAsia" w:ascii="仿宋_GB2312" w:eastAsia="仿宋_GB2312"/>
          <w:sz w:val="32"/>
          <w:szCs w:val="24"/>
          <w:lang w:val="zh-CN"/>
        </w:rPr>
        <w:tab/>
      </w:r>
      <w:r>
        <w:rPr>
          <w:rFonts w:hint="eastAsia" w:ascii="楷体_GB2312" w:eastAsia="楷体_GB2312" w:cs="Times New Roman"/>
          <w:b/>
          <w:sz w:val="32"/>
          <w:szCs w:val="32"/>
          <w:lang w:val="zh-CN"/>
        </w:rPr>
        <w:t>（一）资金计划、到位及使用情况</w:t>
      </w:r>
    </w:p>
    <w:p>
      <w:pPr>
        <w:spacing w:line="560" w:lineRule="exact"/>
        <w:ind w:firstLine="640" w:firstLineChars="200"/>
        <w:rPr>
          <w:rFonts w:hint="eastAsia" w:eastAsia="楷体_GB2312" w:cs="Times New Roman"/>
          <w:sz w:val="32"/>
          <w:szCs w:val="32"/>
          <w:lang w:val="zh-CN"/>
        </w:rPr>
      </w:pPr>
      <w:r>
        <w:rPr>
          <w:rFonts w:hint="eastAsia" w:eastAsia="楷体_GB2312" w:cs="Times New Roman"/>
          <w:sz w:val="32"/>
          <w:szCs w:val="32"/>
          <w:lang w:val="zh-CN"/>
        </w:rPr>
        <w:t>1</w:t>
      </w:r>
      <w:r>
        <w:rPr>
          <w:rFonts w:hint="eastAsia" w:eastAsia="楷体_GB2312" w:cs="Times New Roman"/>
          <w:sz w:val="32"/>
          <w:szCs w:val="32"/>
          <w:lang w:val="en-US" w:eastAsia="zh-CN"/>
        </w:rPr>
        <w:t>.</w:t>
      </w:r>
      <w:r>
        <w:rPr>
          <w:rFonts w:hint="eastAsia" w:eastAsia="楷体_GB2312" w:cs="Times New Roman"/>
          <w:sz w:val="32"/>
          <w:szCs w:val="32"/>
          <w:lang w:val="zh-CN"/>
        </w:rPr>
        <w:t>资金计划及到位。</w:t>
      </w:r>
    </w:p>
    <w:p>
      <w:pPr>
        <w:adjustRightInd w:val="0"/>
        <w:snapToGrid w:val="0"/>
        <w:spacing w:line="360" w:lineRule="auto"/>
        <w:ind w:firstLine="640" w:firstLineChars="200"/>
        <w:rPr>
          <w:rFonts w:hint="eastAsia" w:ascii="仿宋_GB2312" w:eastAsia="仿宋_GB2312"/>
          <w:sz w:val="32"/>
          <w:szCs w:val="24"/>
          <w:lang w:val="zh-CN"/>
        </w:rPr>
      </w:pPr>
      <w:r>
        <w:rPr>
          <w:rFonts w:hint="eastAsia" w:ascii="仿宋_GB2312" w:eastAsia="仿宋_GB2312"/>
          <w:sz w:val="32"/>
          <w:szCs w:val="24"/>
          <w:lang w:val="zh-CN"/>
        </w:rPr>
        <w:t>2020年财政共拨付价格临时补贴资金</w:t>
      </w:r>
      <w:r>
        <w:rPr>
          <w:rFonts w:hint="eastAsia" w:ascii="仿宋_GB2312" w:eastAsia="仿宋_GB2312"/>
          <w:sz w:val="32"/>
          <w:szCs w:val="24"/>
        </w:rPr>
        <w:t>1017.15万元</w:t>
      </w:r>
      <w:r>
        <w:rPr>
          <w:rFonts w:hint="eastAsia" w:ascii="仿宋_GB2312" w:eastAsia="仿宋_GB2312"/>
          <w:sz w:val="32"/>
          <w:szCs w:val="24"/>
          <w:lang w:val="zh-CN"/>
        </w:rPr>
        <w:t>，</w:t>
      </w:r>
      <w:r>
        <w:rPr>
          <w:rFonts w:hint="eastAsia" w:ascii="仿宋_GB2312" w:eastAsia="仿宋_GB2312"/>
          <w:sz w:val="32"/>
          <w:szCs w:val="24"/>
        </w:rPr>
        <w:t>资金</w:t>
      </w:r>
      <w:r>
        <w:rPr>
          <w:rFonts w:hint="eastAsia" w:ascii="仿宋_GB2312" w:eastAsia="仿宋_GB2312"/>
          <w:sz w:val="32"/>
          <w:szCs w:val="24"/>
          <w:lang w:val="zh-CN"/>
        </w:rPr>
        <w:t>到位率100%，已全部发放到位。</w:t>
      </w:r>
    </w:p>
    <w:p>
      <w:pPr>
        <w:spacing w:line="560" w:lineRule="exact"/>
        <w:ind w:firstLine="640" w:firstLineChars="200"/>
        <w:rPr>
          <w:rFonts w:hint="eastAsia" w:eastAsia="楷体_GB2312" w:cs="Times New Roman"/>
          <w:sz w:val="32"/>
          <w:szCs w:val="32"/>
          <w:lang w:val="zh-CN"/>
        </w:rPr>
      </w:pPr>
      <w:r>
        <w:rPr>
          <w:rFonts w:hint="eastAsia" w:eastAsia="楷体_GB2312" w:cs="Times New Roman"/>
          <w:sz w:val="32"/>
          <w:szCs w:val="32"/>
          <w:lang w:val="zh-CN"/>
        </w:rPr>
        <w:t>2</w:t>
      </w:r>
      <w:r>
        <w:rPr>
          <w:rFonts w:hint="eastAsia" w:eastAsia="楷体_GB2312" w:cs="Times New Roman"/>
          <w:sz w:val="32"/>
          <w:szCs w:val="32"/>
          <w:lang w:val="en-US" w:eastAsia="zh-CN"/>
        </w:rPr>
        <w:t>.</w:t>
      </w:r>
      <w:r>
        <w:rPr>
          <w:rFonts w:hint="eastAsia" w:eastAsia="楷体_GB2312" w:cs="Times New Roman"/>
          <w:sz w:val="32"/>
          <w:szCs w:val="32"/>
          <w:lang w:val="zh-CN"/>
        </w:rPr>
        <w:t>资金使用。</w:t>
      </w:r>
    </w:p>
    <w:p>
      <w:pPr>
        <w:adjustRightInd w:val="0"/>
        <w:snapToGrid w:val="0"/>
        <w:spacing w:line="360" w:lineRule="auto"/>
        <w:ind w:firstLine="640" w:firstLineChars="200"/>
        <w:rPr>
          <w:rFonts w:hint="eastAsia" w:ascii="仿宋_GB2312" w:eastAsia="仿宋_GB2312"/>
          <w:sz w:val="32"/>
          <w:szCs w:val="24"/>
          <w:lang w:val="zh-CN"/>
        </w:rPr>
      </w:pPr>
      <w:r>
        <w:rPr>
          <w:rFonts w:hint="eastAsia" w:ascii="仿宋_GB2312" w:eastAsia="仿宋_GB2312"/>
          <w:sz w:val="32"/>
          <w:szCs w:val="24"/>
          <w:lang w:val="zh-CN"/>
        </w:rPr>
        <w:t>按资金性质及时申报，在金财大平台上申请资金。2020年共支付价格临时补贴资金</w:t>
      </w:r>
      <w:r>
        <w:rPr>
          <w:rFonts w:hint="eastAsia" w:ascii="仿宋_GB2312" w:eastAsia="仿宋_GB2312"/>
          <w:sz w:val="32"/>
          <w:szCs w:val="24"/>
        </w:rPr>
        <w:t>1028.19</w:t>
      </w:r>
      <w:r>
        <w:rPr>
          <w:rFonts w:hint="eastAsia" w:ascii="仿宋_GB2312" w:eastAsia="仿宋_GB2312"/>
          <w:sz w:val="32"/>
          <w:szCs w:val="24"/>
          <w:lang w:val="zh-CN"/>
        </w:rPr>
        <w:t>万元。</w:t>
      </w:r>
    </w:p>
    <w:p>
      <w:pPr>
        <w:adjustRightInd w:val="0"/>
        <w:snapToGrid w:val="0"/>
        <w:spacing w:line="360" w:lineRule="auto"/>
        <w:ind w:firstLine="359" w:firstLineChars="112"/>
        <w:rPr>
          <w:rFonts w:hint="eastAsia" w:ascii="楷体_GB2312" w:eastAsia="楷体_GB2312" w:cs="Times New Roman"/>
          <w:b/>
          <w:sz w:val="32"/>
          <w:szCs w:val="32"/>
          <w:lang w:val="zh-CN"/>
        </w:rPr>
      </w:pPr>
      <w:r>
        <w:rPr>
          <w:rFonts w:hint="eastAsia" w:ascii="楷体_GB2312" w:eastAsia="楷体_GB2312" w:cs="Times New Roman"/>
          <w:b/>
          <w:sz w:val="32"/>
          <w:szCs w:val="32"/>
          <w:lang w:val="zh-CN"/>
        </w:rPr>
        <w:t>（二）项目财务管理情况</w:t>
      </w:r>
    </w:p>
    <w:p>
      <w:pPr>
        <w:adjustRightInd w:val="0"/>
        <w:snapToGrid w:val="0"/>
        <w:spacing w:line="580" w:lineRule="exact"/>
        <w:ind w:left="0" w:firstLine="640" w:firstLineChars="200"/>
        <w:rPr>
          <w:rFonts w:hint="eastAsia" w:ascii="黑体" w:eastAsia="黑体" w:cs="Times New Roman"/>
          <w:sz w:val="32"/>
          <w:szCs w:val="32"/>
          <w:lang w:val="zh-CN"/>
        </w:rPr>
      </w:pPr>
      <w:r>
        <w:rPr>
          <w:rFonts w:hint="eastAsia" w:ascii="仿宋_GB2312" w:eastAsia="仿宋_GB2312"/>
          <w:sz w:val="32"/>
          <w:szCs w:val="24"/>
          <w:lang w:val="zh-CN"/>
        </w:rPr>
        <w:t>项目实行专账专管，对资金的会计核算及账务处理做到及时性、规范性和准确性。在资金的管理工作中做到不截留、不挤占、不挪用。</w:t>
      </w:r>
    </w:p>
    <w:p>
      <w:pPr>
        <w:adjustRightInd w:val="0"/>
        <w:snapToGrid w:val="0"/>
        <w:spacing w:line="580" w:lineRule="exact"/>
        <w:ind w:left="0" w:firstLine="640" w:firstLineChars="200"/>
        <w:rPr>
          <w:rFonts w:hint="eastAsia" w:ascii="黑体" w:eastAsia="黑体" w:cs="Times New Roman"/>
          <w:sz w:val="32"/>
          <w:szCs w:val="32"/>
          <w:lang w:val="zh-CN"/>
        </w:rPr>
      </w:pPr>
      <w:r>
        <w:rPr>
          <w:rFonts w:hint="eastAsia" w:ascii="黑体" w:eastAsia="黑体" w:cs="Times New Roman"/>
          <w:sz w:val="32"/>
          <w:szCs w:val="32"/>
          <w:lang w:val="zh-CN"/>
        </w:rPr>
        <w:t>三、目标完成情况</w:t>
      </w:r>
      <w:r>
        <w:rPr>
          <w:rFonts w:hint="eastAsia" w:ascii="黑体" w:eastAsia="黑体" w:cs="Times New Roman"/>
          <w:sz w:val="32"/>
          <w:szCs w:val="32"/>
          <w:lang w:val="zh-CN"/>
        </w:rPr>
        <w:tab/>
      </w:r>
    </w:p>
    <w:p>
      <w:pPr>
        <w:adjustRightInd w:val="0"/>
        <w:snapToGrid w:val="0"/>
        <w:spacing w:line="360" w:lineRule="auto"/>
        <w:ind w:firstLine="359" w:firstLineChars="112"/>
        <w:rPr>
          <w:rFonts w:hint="eastAsia" w:ascii="楷体_GB2312" w:eastAsia="楷体_GB2312" w:cs="Times New Roman"/>
          <w:b/>
          <w:sz w:val="32"/>
          <w:szCs w:val="32"/>
          <w:lang w:val="zh-CN"/>
        </w:rPr>
      </w:pPr>
      <w:r>
        <w:rPr>
          <w:rFonts w:hint="eastAsia" w:ascii="楷体_GB2312" w:eastAsia="楷体_GB2312" w:cs="Times New Roman"/>
          <w:b/>
          <w:sz w:val="32"/>
          <w:szCs w:val="32"/>
          <w:lang w:val="zh-CN"/>
        </w:rPr>
        <w:t>（一）项目完成情况</w:t>
      </w:r>
    </w:p>
    <w:p>
      <w:pPr>
        <w:adjustRightInd w:val="0"/>
        <w:snapToGrid w:val="0"/>
        <w:spacing w:line="360" w:lineRule="auto"/>
        <w:ind w:firstLine="640" w:firstLineChars="200"/>
        <w:rPr>
          <w:rFonts w:hint="eastAsia" w:ascii="仿宋_GB2312" w:eastAsia="仿宋_GB2312"/>
          <w:sz w:val="32"/>
          <w:szCs w:val="24"/>
          <w:lang w:val="zh-CN"/>
        </w:rPr>
      </w:pPr>
      <w:r>
        <w:rPr>
          <w:rFonts w:hint="eastAsia" w:ascii="仿宋_GB2312" w:eastAsia="仿宋_GB2312"/>
          <w:sz w:val="32"/>
          <w:szCs w:val="24"/>
          <w:lang w:val="zh-CN"/>
        </w:rPr>
        <w:t>2020年共发放价格临时补贴</w:t>
      </w:r>
      <w:r>
        <w:rPr>
          <w:rFonts w:hint="eastAsia" w:ascii="仿宋_GB2312" w:eastAsia="仿宋_GB2312"/>
          <w:sz w:val="32"/>
          <w:szCs w:val="24"/>
        </w:rPr>
        <w:t>1028.19</w:t>
      </w:r>
      <w:r>
        <w:rPr>
          <w:rFonts w:hint="eastAsia" w:ascii="仿宋_GB2312" w:eastAsia="仿宋_GB2312"/>
          <w:sz w:val="32"/>
          <w:szCs w:val="24"/>
          <w:lang w:val="zh-CN"/>
        </w:rPr>
        <w:t>万元，累计保障</w:t>
      </w:r>
      <w:r>
        <w:rPr>
          <w:rFonts w:hint="eastAsia" w:ascii="仿宋_GB2312" w:eastAsia="仿宋_GB2312"/>
          <w:sz w:val="32"/>
          <w:szCs w:val="24"/>
        </w:rPr>
        <w:t>110179</w:t>
      </w:r>
      <w:r>
        <w:rPr>
          <w:rFonts w:hint="eastAsia" w:ascii="仿宋_GB2312" w:eastAsia="仿宋_GB2312"/>
          <w:sz w:val="32"/>
          <w:szCs w:val="24"/>
          <w:lang w:val="zh-CN"/>
        </w:rPr>
        <w:t>人次，所有资金已足额、及时通过惠民一折通发放到位。</w:t>
      </w:r>
    </w:p>
    <w:p>
      <w:pPr>
        <w:adjustRightInd w:val="0"/>
        <w:snapToGrid w:val="0"/>
        <w:spacing w:line="360" w:lineRule="auto"/>
        <w:ind w:firstLine="359" w:firstLineChars="112"/>
        <w:rPr>
          <w:rFonts w:hint="eastAsia" w:ascii="楷体_GB2312" w:eastAsia="楷体_GB2312" w:cs="Times New Roman"/>
          <w:b/>
          <w:sz w:val="32"/>
          <w:szCs w:val="32"/>
          <w:lang w:val="zh-CN"/>
        </w:rPr>
      </w:pPr>
      <w:r>
        <w:rPr>
          <w:rFonts w:hint="eastAsia" w:ascii="楷体_GB2312" w:eastAsia="楷体_GB2312" w:cs="Times New Roman"/>
          <w:b/>
          <w:sz w:val="32"/>
          <w:szCs w:val="32"/>
          <w:lang w:val="zh-CN"/>
        </w:rPr>
        <w:t>（二）项目效益情况</w:t>
      </w:r>
    </w:p>
    <w:p>
      <w:pPr>
        <w:adjustRightInd w:val="0"/>
        <w:snapToGrid w:val="0"/>
        <w:spacing w:line="360" w:lineRule="auto"/>
        <w:ind w:firstLine="640" w:firstLineChars="200"/>
        <w:rPr>
          <w:rFonts w:hint="eastAsia" w:ascii="仿宋_GB2312" w:eastAsia="仿宋_GB2312"/>
          <w:sz w:val="32"/>
          <w:szCs w:val="24"/>
        </w:rPr>
      </w:pPr>
      <w:r>
        <w:rPr>
          <w:rFonts w:hint="eastAsia" w:ascii="仿宋_GB2312" w:eastAsia="仿宋_GB2312"/>
          <w:color w:val="333333"/>
          <w:sz w:val="32"/>
          <w:szCs w:val="24"/>
        </w:rPr>
        <w:t>对社会救助和保障人员发放临时价格补贴，体现了党和政府对困难群众的关心关爱，确保其生活水平不因物价上涨而降低。它对缓解物价上涨影响、保障困难群众基本生活具有积极作用。</w:t>
      </w:r>
    </w:p>
    <w:p>
      <w:pPr>
        <w:adjustRightInd w:val="0"/>
        <w:snapToGrid w:val="0"/>
        <w:spacing w:line="580" w:lineRule="exact"/>
        <w:ind w:left="0" w:firstLine="640" w:firstLineChars="200"/>
        <w:rPr>
          <w:rFonts w:hint="eastAsia" w:ascii="仿宋_GB2312" w:eastAsia="仿宋_GB2312"/>
          <w:sz w:val="32"/>
          <w:szCs w:val="32"/>
        </w:rPr>
      </w:pPr>
    </w:p>
    <w:p>
      <w:pPr>
        <w:widowControl/>
        <w:spacing w:line="576" w:lineRule="exact"/>
        <w:jc w:val="left"/>
        <w:rPr>
          <w:rStyle w:val="20"/>
          <w:rFonts w:ascii="黑体" w:eastAsia="黑体"/>
          <w:b w:val="0"/>
        </w:rPr>
      </w:pPr>
    </w:p>
    <w:p>
      <w:pPr>
        <w:widowControl/>
        <w:spacing w:line="576" w:lineRule="exact"/>
        <w:jc w:val="left"/>
        <w:rPr>
          <w:rStyle w:val="20"/>
          <w:rFonts w:ascii="黑体" w:eastAsia="黑体"/>
          <w:b w:val="0"/>
        </w:rPr>
      </w:pPr>
    </w:p>
    <w:p>
      <w:pPr>
        <w:widowControl/>
        <w:spacing w:line="576" w:lineRule="exact"/>
        <w:jc w:val="left"/>
        <w:rPr>
          <w:rStyle w:val="20"/>
          <w:rFonts w:ascii="黑体" w:eastAsia="黑体"/>
          <w:b w:val="0"/>
        </w:rPr>
      </w:pPr>
    </w:p>
    <w:p>
      <w:pPr>
        <w:widowControl/>
        <w:spacing w:line="576" w:lineRule="exact"/>
        <w:jc w:val="left"/>
        <w:rPr>
          <w:rStyle w:val="20"/>
          <w:rFonts w:ascii="黑体" w:eastAsia="黑体"/>
          <w:b w:val="0"/>
        </w:rPr>
      </w:pPr>
    </w:p>
    <w:p>
      <w:pPr>
        <w:widowControl/>
        <w:spacing w:line="576" w:lineRule="exact"/>
        <w:jc w:val="left"/>
        <w:rPr>
          <w:rStyle w:val="20"/>
          <w:rFonts w:ascii="黑体" w:eastAsia="黑体"/>
          <w:b w:val="0"/>
        </w:rPr>
      </w:pPr>
    </w:p>
    <w:p>
      <w:pPr>
        <w:widowControl/>
        <w:spacing w:line="576" w:lineRule="exact"/>
        <w:jc w:val="left"/>
        <w:rPr>
          <w:rStyle w:val="20"/>
          <w:rFonts w:ascii="黑体" w:eastAsia="黑体"/>
          <w:b w:val="0"/>
        </w:rPr>
      </w:pPr>
    </w:p>
    <w:p>
      <w:pPr>
        <w:spacing w:line="576" w:lineRule="exact"/>
        <w:jc w:val="center"/>
        <w:outlineLvl w:val="0"/>
        <w:rPr>
          <w:rStyle w:val="20"/>
          <w:rFonts w:ascii="黑体" w:eastAsia="黑体"/>
          <w:b w:val="0"/>
        </w:rPr>
      </w:pPr>
      <w:bookmarkStart w:id="180" w:name="_Toc20734"/>
      <w:bookmarkStart w:id="181" w:name="_Toc13079"/>
      <w:bookmarkStart w:id="182" w:name="_Toc32044"/>
      <w:bookmarkStart w:id="183" w:name="_Toc15396618"/>
      <w:r>
        <w:rPr>
          <w:rFonts w:hint="eastAsia" w:ascii="黑体" w:eastAsia="黑体"/>
          <w:color w:val="000000"/>
          <w:sz w:val="44"/>
          <w:szCs w:val="44"/>
        </w:rPr>
        <w:t>第</w:t>
      </w:r>
      <w:r>
        <w:rPr>
          <w:rStyle w:val="20"/>
          <w:rFonts w:hint="eastAsia" w:ascii="黑体" w:eastAsia="黑体"/>
          <w:b w:val="0"/>
        </w:rPr>
        <w:t>五部分 附表</w:t>
      </w:r>
      <w:bookmarkEnd w:id="150"/>
      <w:bookmarkEnd w:id="180"/>
      <w:bookmarkEnd w:id="181"/>
      <w:bookmarkEnd w:id="182"/>
      <w:bookmarkEnd w:id="183"/>
    </w:p>
    <w:p>
      <w:pPr>
        <w:spacing w:line="576" w:lineRule="exact"/>
        <w:jc w:val="center"/>
        <w:outlineLvl w:val="9"/>
        <w:rPr>
          <w:rFonts w:ascii="仿宋_GB2312" w:eastAsia="仿宋_GB2312"/>
          <w:b/>
          <w:color w:val="000000"/>
          <w:sz w:val="44"/>
          <w:szCs w:val="44"/>
        </w:rPr>
      </w:pPr>
    </w:p>
    <w:p>
      <w:pPr>
        <w:pStyle w:val="5"/>
        <w:spacing w:before="0" w:after="0" w:line="576" w:lineRule="exact"/>
        <w:rPr>
          <w:rFonts w:ascii="仿宋_GB2312" w:eastAsia="仿宋_GB2312"/>
          <w:color w:val="000000"/>
        </w:rPr>
      </w:pPr>
      <w:bookmarkStart w:id="184" w:name="_Toc15396619"/>
      <w:bookmarkStart w:id="185" w:name="_Toc4042"/>
      <w:bookmarkStart w:id="186" w:name="_Toc19393"/>
      <w:bookmarkStart w:id="187" w:name="_Toc19204"/>
      <w:r>
        <w:rPr>
          <w:rFonts w:hint="eastAsia" w:ascii="仿宋_GB2312" w:eastAsia="仿宋_GB2312"/>
          <w:b w:val="0"/>
          <w:color w:val="000000"/>
        </w:rPr>
        <w:t>一、收</w:t>
      </w:r>
      <w:r>
        <w:rPr>
          <w:rStyle w:val="21"/>
          <w:rFonts w:hint="eastAsia" w:ascii="仿宋_GB2312" w:eastAsia="仿宋_GB2312"/>
          <w:b w:val="0"/>
          <w:bCs w:val="0"/>
        </w:rPr>
        <w:t>入支出决算总表</w:t>
      </w:r>
      <w:bookmarkEnd w:id="184"/>
      <w:bookmarkEnd w:id="185"/>
      <w:bookmarkEnd w:id="186"/>
      <w:bookmarkEnd w:id="187"/>
    </w:p>
    <w:p>
      <w:pPr>
        <w:pStyle w:val="5"/>
        <w:spacing w:before="0" w:after="0" w:line="576" w:lineRule="exact"/>
        <w:rPr>
          <w:rFonts w:ascii="仿宋_GB2312" w:eastAsia="仿宋_GB2312"/>
          <w:color w:val="000000"/>
        </w:rPr>
      </w:pPr>
      <w:bookmarkStart w:id="188" w:name="_Toc23343"/>
      <w:bookmarkStart w:id="189" w:name="_Toc15396620"/>
      <w:bookmarkStart w:id="190" w:name="_Toc4226"/>
      <w:bookmarkStart w:id="191" w:name="_Toc23830"/>
      <w:r>
        <w:rPr>
          <w:rFonts w:hint="eastAsia" w:ascii="仿宋_GB2312" w:eastAsia="仿宋_GB2312"/>
          <w:b w:val="0"/>
          <w:color w:val="000000"/>
        </w:rPr>
        <w:t>二、收</w:t>
      </w:r>
      <w:r>
        <w:rPr>
          <w:rStyle w:val="21"/>
          <w:rFonts w:hint="eastAsia" w:ascii="仿宋_GB2312" w:eastAsia="仿宋_GB2312"/>
          <w:b w:val="0"/>
          <w:bCs w:val="0"/>
        </w:rPr>
        <w:t>入决算表</w:t>
      </w:r>
      <w:bookmarkEnd w:id="188"/>
      <w:bookmarkEnd w:id="189"/>
      <w:bookmarkEnd w:id="190"/>
      <w:bookmarkEnd w:id="191"/>
    </w:p>
    <w:p>
      <w:pPr>
        <w:pStyle w:val="5"/>
        <w:spacing w:before="0" w:after="0" w:line="576" w:lineRule="exact"/>
        <w:rPr>
          <w:rFonts w:ascii="仿宋_GB2312" w:eastAsia="仿宋_GB2312"/>
          <w:color w:val="000000"/>
        </w:rPr>
      </w:pPr>
      <w:bookmarkStart w:id="192" w:name="_Toc23944"/>
      <w:bookmarkStart w:id="193" w:name="_Toc25592"/>
      <w:bookmarkStart w:id="194" w:name="_Toc15396621"/>
      <w:bookmarkStart w:id="195" w:name="_Toc28556"/>
      <w:r>
        <w:rPr>
          <w:rStyle w:val="21"/>
          <w:rFonts w:hint="eastAsia" w:ascii="仿宋_GB2312" w:eastAsia="仿宋_GB2312"/>
          <w:b w:val="0"/>
          <w:bCs w:val="0"/>
        </w:rPr>
        <w:t>三、</w:t>
      </w:r>
      <w:r>
        <w:rPr>
          <w:rFonts w:hint="eastAsia" w:ascii="仿宋_GB2312" w:eastAsia="仿宋_GB2312"/>
          <w:b w:val="0"/>
          <w:color w:val="000000"/>
        </w:rPr>
        <w:t>支</w:t>
      </w:r>
      <w:r>
        <w:rPr>
          <w:rStyle w:val="21"/>
          <w:rFonts w:hint="eastAsia" w:ascii="仿宋_GB2312" w:eastAsia="仿宋_GB2312"/>
          <w:b w:val="0"/>
          <w:bCs w:val="0"/>
        </w:rPr>
        <w:t>出决算表</w:t>
      </w:r>
      <w:bookmarkEnd w:id="192"/>
      <w:bookmarkEnd w:id="193"/>
      <w:bookmarkEnd w:id="194"/>
      <w:bookmarkEnd w:id="195"/>
    </w:p>
    <w:p>
      <w:pPr>
        <w:pStyle w:val="5"/>
        <w:spacing w:before="0" w:after="0" w:line="576" w:lineRule="exact"/>
        <w:rPr>
          <w:rFonts w:ascii="仿宋_GB2312" w:eastAsia="仿宋_GB2312"/>
          <w:b w:val="0"/>
          <w:color w:val="000000"/>
        </w:rPr>
      </w:pPr>
      <w:bookmarkStart w:id="196" w:name="_Toc15396622"/>
      <w:bookmarkStart w:id="197" w:name="_Toc6755"/>
      <w:bookmarkStart w:id="198" w:name="_Toc13673"/>
      <w:bookmarkStart w:id="199" w:name="_Toc27577"/>
      <w:r>
        <w:rPr>
          <w:rStyle w:val="21"/>
          <w:rFonts w:hint="eastAsia" w:ascii="仿宋_GB2312" w:eastAsia="仿宋_GB2312"/>
          <w:b w:val="0"/>
          <w:bCs w:val="0"/>
        </w:rPr>
        <w:t>四、</w:t>
      </w:r>
      <w:r>
        <w:rPr>
          <w:rFonts w:hint="eastAsia" w:ascii="仿宋_GB2312" w:eastAsia="仿宋_GB2312"/>
          <w:b w:val="0"/>
          <w:color w:val="000000"/>
        </w:rPr>
        <w:t>财</w:t>
      </w:r>
      <w:r>
        <w:rPr>
          <w:rStyle w:val="21"/>
          <w:rFonts w:hint="eastAsia" w:ascii="仿宋_GB2312" w:eastAsia="仿宋_GB2312"/>
          <w:b w:val="0"/>
          <w:bCs w:val="0"/>
        </w:rPr>
        <w:t>政拨款收入支出决算总表</w:t>
      </w:r>
      <w:bookmarkEnd w:id="196"/>
      <w:bookmarkEnd w:id="197"/>
      <w:bookmarkEnd w:id="198"/>
      <w:bookmarkEnd w:id="199"/>
    </w:p>
    <w:p>
      <w:pPr>
        <w:pStyle w:val="5"/>
        <w:spacing w:before="0" w:after="0" w:line="576" w:lineRule="exact"/>
        <w:rPr>
          <w:rStyle w:val="21"/>
          <w:rFonts w:ascii="仿宋_GB2312" w:eastAsia="仿宋_GB2312"/>
          <w:b w:val="0"/>
          <w:bCs w:val="0"/>
        </w:rPr>
      </w:pPr>
      <w:bookmarkStart w:id="200" w:name="_Toc1968"/>
      <w:bookmarkStart w:id="201" w:name="_Toc27294"/>
      <w:bookmarkStart w:id="202" w:name="_Toc15396623"/>
      <w:bookmarkStart w:id="203" w:name="_Toc4033"/>
      <w:r>
        <w:rPr>
          <w:rStyle w:val="21"/>
          <w:rFonts w:hint="eastAsia" w:ascii="仿宋_GB2312" w:eastAsia="仿宋_GB2312"/>
          <w:b w:val="0"/>
          <w:bCs w:val="0"/>
        </w:rPr>
        <w:t>五、</w:t>
      </w:r>
      <w:r>
        <w:rPr>
          <w:rFonts w:hint="eastAsia" w:ascii="仿宋_GB2312" w:eastAsia="仿宋_GB2312"/>
          <w:b w:val="0"/>
          <w:color w:val="000000"/>
        </w:rPr>
        <w:t>财</w:t>
      </w:r>
      <w:r>
        <w:rPr>
          <w:rStyle w:val="21"/>
          <w:rFonts w:hint="eastAsia" w:ascii="仿宋_GB2312" w:eastAsia="仿宋_GB2312"/>
          <w:b w:val="0"/>
          <w:bCs w:val="0"/>
        </w:rPr>
        <w:t>政拨款支出决算明细表</w:t>
      </w:r>
      <w:bookmarkEnd w:id="200"/>
      <w:bookmarkEnd w:id="201"/>
      <w:bookmarkEnd w:id="202"/>
      <w:bookmarkEnd w:id="203"/>
      <w:bookmarkStart w:id="204" w:name="_Toc15396624"/>
    </w:p>
    <w:p>
      <w:pPr>
        <w:pStyle w:val="5"/>
        <w:spacing w:before="0" w:after="0" w:line="576" w:lineRule="exact"/>
        <w:rPr>
          <w:rFonts w:ascii="仿宋_GB2312" w:eastAsia="仿宋_GB2312"/>
          <w:color w:val="000000"/>
        </w:rPr>
      </w:pPr>
      <w:bookmarkStart w:id="205" w:name="_Toc1276"/>
      <w:bookmarkStart w:id="206" w:name="_Toc16582"/>
      <w:bookmarkStart w:id="207" w:name="_Toc26471"/>
      <w:r>
        <w:rPr>
          <w:rStyle w:val="21"/>
          <w:rFonts w:hint="eastAsia" w:ascii="仿宋_GB2312" w:eastAsia="仿宋_GB2312"/>
          <w:b w:val="0"/>
          <w:bCs w:val="0"/>
        </w:rPr>
        <w:t>六、</w:t>
      </w:r>
      <w:r>
        <w:rPr>
          <w:rFonts w:hint="eastAsia" w:ascii="仿宋_GB2312" w:eastAsia="仿宋_GB2312"/>
          <w:b w:val="0"/>
          <w:color w:val="000000"/>
        </w:rPr>
        <w:t>一</w:t>
      </w:r>
      <w:r>
        <w:rPr>
          <w:rStyle w:val="21"/>
          <w:rFonts w:hint="eastAsia" w:ascii="仿宋_GB2312" w:eastAsia="仿宋_GB2312"/>
          <w:b w:val="0"/>
          <w:bCs w:val="0"/>
        </w:rPr>
        <w:t>般公共预算财政拨款支出决算表</w:t>
      </w:r>
      <w:bookmarkEnd w:id="204"/>
      <w:bookmarkEnd w:id="205"/>
      <w:bookmarkEnd w:id="206"/>
      <w:bookmarkEnd w:id="207"/>
    </w:p>
    <w:p>
      <w:pPr>
        <w:pStyle w:val="5"/>
        <w:spacing w:before="0" w:after="0" w:line="576" w:lineRule="exact"/>
        <w:rPr>
          <w:rFonts w:ascii="仿宋_GB2312" w:eastAsia="仿宋_GB2312"/>
          <w:color w:val="000000"/>
        </w:rPr>
      </w:pPr>
      <w:bookmarkStart w:id="208" w:name="_Toc29510"/>
      <w:bookmarkStart w:id="209" w:name="_Toc15396625"/>
      <w:bookmarkStart w:id="210" w:name="_Toc1977"/>
      <w:bookmarkStart w:id="211" w:name="_Toc25348"/>
      <w:r>
        <w:rPr>
          <w:rStyle w:val="21"/>
          <w:rFonts w:hint="eastAsia" w:ascii="仿宋_GB2312" w:eastAsia="仿宋_GB2312"/>
          <w:b w:val="0"/>
          <w:bCs w:val="0"/>
        </w:rPr>
        <w:t>七、</w:t>
      </w:r>
      <w:r>
        <w:rPr>
          <w:rFonts w:hint="eastAsia" w:ascii="仿宋_GB2312" w:eastAsia="仿宋_GB2312"/>
          <w:b w:val="0"/>
          <w:color w:val="000000"/>
        </w:rPr>
        <w:t>一</w:t>
      </w:r>
      <w:r>
        <w:rPr>
          <w:rStyle w:val="21"/>
          <w:rFonts w:hint="eastAsia" w:ascii="仿宋_GB2312" w:eastAsia="仿宋_GB2312"/>
          <w:b w:val="0"/>
          <w:bCs w:val="0"/>
        </w:rPr>
        <w:t>般公共预算财政拨款支出决算明细表</w:t>
      </w:r>
      <w:bookmarkEnd w:id="208"/>
      <w:bookmarkEnd w:id="209"/>
      <w:bookmarkEnd w:id="210"/>
      <w:bookmarkEnd w:id="211"/>
    </w:p>
    <w:p>
      <w:pPr>
        <w:pStyle w:val="5"/>
        <w:spacing w:before="0" w:after="0" w:line="576" w:lineRule="exact"/>
        <w:rPr>
          <w:rFonts w:ascii="仿宋_GB2312" w:eastAsia="仿宋_GB2312"/>
          <w:color w:val="000000"/>
        </w:rPr>
      </w:pPr>
      <w:bookmarkStart w:id="212" w:name="_Toc1206"/>
      <w:bookmarkStart w:id="213" w:name="_Toc28902"/>
      <w:bookmarkStart w:id="214" w:name="_Toc15396626"/>
      <w:bookmarkStart w:id="215" w:name="_Toc29804"/>
      <w:r>
        <w:rPr>
          <w:rStyle w:val="21"/>
          <w:rFonts w:hint="eastAsia" w:ascii="仿宋_GB2312" w:eastAsia="仿宋_GB2312"/>
          <w:b w:val="0"/>
          <w:bCs w:val="0"/>
        </w:rPr>
        <w:t>八、</w:t>
      </w:r>
      <w:r>
        <w:rPr>
          <w:rFonts w:hint="eastAsia" w:ascii="仿宋_GB2312" w:eastAsia="仿宋_GB2312"/>
          <w:b w:val="0"/>
          <w:color w:val="000000"/>
        </w:rPr>
        <w:t>一</w:t>
      </w:r>
      <w:r>
        <w:rPr>
          <w:rStyle w:val="21"/>
          <w:rFonts w:hint="eastAsia" w:ascii="仿宋_GB2312" w:eastAsia="仿宋_GB2312"/>
          <w:b w:val="0"/>
          <w:bCs w:val="0"/>
        </w:rPr>
        <w:t>般公共预算财政拨款基本支出决算表</w:t>
      </w:r>
      <w:bookmarkEnd w:id="212"/>
      <w:bookmarkEnd w:id="213"/>
      <w:bookmarkEnd w:id="214"/>
      <w:bookmarkEnd w:id="215"/>
    </w:p>
    <w:p>
      <w:pPr>
        <w:pStyle w:val="5"/>
        <w:spacing w:before="0" w:after="0" w:line="576" w:lineRule="exact"/>
        <w:rPr>
          <w:rFonts w:ascii="仿宋_GB2312" w:eastAsia="仿宋_GB2312"/>
          <w:color w:val="000000"/>
        </w:rPr>
      </w:pPr>
      <w:bookmarkStart w:id="216" w:name="_Toc25270"/>
      <w:bookmarkStart w:id="217" w:name="_Toc22305"/>
      <w:bookmarkStart w:id="218" w:name="_Toc15396627"/>
      <w:bookmarkStart w:id="219" w:name="_Toc20794"/>
      <w:r>
        <w:rPr>
          <w:rStyle w:val="21"/>
          <w:rFonts w:hint="eastAsia" w:ascii="仿宋_GB2312" w:eastAsia="仿宋_GB2312"/>
          <w:b w:val="0"/>
          <w:bCs w:val="0"/>
        </w:rPr>
        <w:t>九、</w:t>
      </w:r>
      <w:r>
        <w:rPr>
          <w:rFonts w:hint="eastAsia" w:ascii="仿宋_GB2312" w:eastAsia="仿宋_GB2312"/>
          <w:b w:val="0"/>
          <w:color w:val="000000"/>
        </w:rPr>
        <w:t>一</w:t>
      </w:r>
      <w:r>
        <w:rPr>
          <w:rStyle w:val="21"/>
          <w:rFonts w:hint="eastAsia" w:ascii="仿宋_GB2312" w:eastAsia="仿宋_GB2312"/>
          <w:b w:val="0"/>
          <w:bCs w:val="0"/>
        </w:rPr>
        <w:t>般公共预算财政拨款项目支出决算表</w:t>
      </w:r>
      <w:bookmarkEnd w:id="216"/>
      <w:bookmarkEnd w:id="217"/>
      <w:bookmarkEnd w:id="218"/>
      <w:bookmarkEnd w:id="219"/>
    </w:p>
    <w:p>
      <w:pPr>
        <w:pStyle w:val="5"/>
        <w:spacing w:before="0" w:after="0" w:line="576" w:lineRule="exact"/>
        <w:rPr>
          <w:rFonts w:ascii="仿宋_GB2312" w:eastAsia="仿宋_GB2312"/>
          <w:color w:val="000000"/>
        </w:rPr>
      </w:pPr>
      <w:bookmarkStart w:id="220" w:name="_Toc15396628"/>
      <w:bookmarkStart w:id="221" w:name="_Toc7515"/>
      <w:bookmarkStart w:id="222" w:name="_Toc23419"/>
      <w:bookmarkStart w:id="223" w:name="_Toc15712"/>
      <w:r>
        <w:rPr>
          <w:rStyle w:val="21"/>
          <w:rFonts w:hint="eastAsia" w:ascii="仿宋_GB2312" w:eastAsia="仿宋_GB2312"/>
          <w:b w:val="0"/>
          <w:bCs w:val="0"/>
        </w:rPr>
        <w:t>十、</w:t>
      </w:r>
      <w:r>
        <w:rPr>
          <w:rFonts w:hint="eastAsia" w:ascii="仿宋_GB2312" w:eastAsia="仿宋_GB2312"/>
          <w:b w:val="0"/>
          <w:color w:val="000000"/>
        </w:rPr>
        <w:t>一</w:t>
      </w:r>
      <w:r>
        <w:rPr>
          <w:rStyle w:val="21"/>
          <w:rFonts w:hint="eastAsia" w:ascii="仿宋_GB2312" w:eastAsia="仿宋_GB2312"/>
          <w:b w:val="0"/>
          <w:bCs w:val="0"/>
        </w:rPr>
        <w:t>般公共预算财政拨款“三公”经费支出决算表</w:t>
      </w:r>
      <w:bookmarkEnd w:id="220"/>
      <w:bookmarkEnd w:id="221"/>
      <w:bookmarkEnd w:id="222"/>
      <w:bookmarkEnd w:id="223"/>
    </w:p>
    <w:p>
      <w:pPr>
        <w:pStyle w:val="5"/>
        <w:spacing w:before="0" w:after="0" w:line="576" w:lineRule="exact"/>
        <w:rPr>
          <w:rFonts w:ascii="仿宋_GB2312" w:eastAsia="仿宋_GB2312"/>
          <w:color w:val="000000"/>
        </w:rPr>
      </w:pPr>
      <w:bookmarkStart w:id="224" w:name="_Toc15396629"/>
      <w:bookmarkStart w:id="225" w:name="_Toc1372"/>
      <w:bookmarkStart w:id="226" w:name="_Toc22118"/>
      <w:bookmarkStart w:id="227" w:name="_Toc21904"/>
      <w:r>
        <w:rPr>
          <w:rStyle w:val="21"/>
          <w:rFonts w:hint="eastAsia" w:ascii="仿宋_GB2312" w:eastAsia="仿宋_GB2312"/>
          <w:b w:val="0"/>
          <w:bCs w:val="0"/>
        </w:rPr>
        <w:t>十一、</w:t>
      </w:r>
      <w:r>
        <w:rPr>
          <w:rFonts w:hint="eastAsia" w:ascii="仿宋_GB2312" w:eastAsia="仿宋_GB2312"/>
          <w:b w:val="0"/>
          <w:color w:val="000000"/>
        </w:rPr>
        <w:t>政</w:t>
      </w:r>
      <w:r>
        <w:rPr>
          <w:rStyle w:val="21"/>
          <w:rFonts w:hint="eastAsia" w:ascii="仿宋_GB2312" w:eastAsia="仿宋_GB2312"/>
          <w:b w:val="0"/>
          <w:bCs w:val="0"/>
        </w:rPr>
        <w:t>府性基金预算财政拨款收入支出决算表</w:t>
      </w:r>
      <w:bookmarkEnd w:id="224"/>
      <w:bookmarkEnd w:id="225"/>
      <w:bookmarkEnd w:id="226"/>
      <w:bookmarkEnd w:id="227"/>
    </w:p>
    <w:p>
      <w:pPr>
        <w:pStyle w:val="5"/>
        <w:spacing w:before="0" w:after="0" w:line="576" w:lineRule="exact"/>
        <w:rPr>
          <w:rFonts w:ascii="仿宋_GB2312" w:eastAsia="仿宋_GB2312"/>
          <w:color w:val="000000"/>
        </w:rPr>
      </w:pPr>
      <w:bookmarkStart w:id="228" w:name="_Toc16874"/>
      <w:bookmarkStart w:id="229" w:name="_Toc15396630"/>
      <w:bookmarkStart w:id="230" w:name="_Toc27899"/>
      <w:bookmarkStart w:id="231" w:name="_Toc25995"/>
      <w:r>
        <w:rPr>
          <w:rStyle w:val="21"/>
          <w:rFonts w:hint="eastAsia" w:ascii="仿宋_GB2312" w:eastAsia="仿宋_GB2312"/>
          <w:b w:val="0"/>
          <w:bCs w:val="0"/>
        </w:rPr>
        <w:t>十二、</w:t>
      </w:r>
      <w:r>
        <w:rPr>
          <w:rFonts w:hint="eastAsia" w:ascii="仿宋_GB2312" w:eastAsia="仿宋_GB2312"/>
          <w:b w:val="0"/>
          <w:color w:val="000000"/>
        </w:rPr>
        <w:t>政</w:t>
      </w:r>
      <w:r>
        <w:rPr>
          <w:rStyle w:val="21"/>
          <w:rFonts w:hint="eastAsia" w:ascii="仿宋_GB2312" w:eastAsia="仿宋_GB2312"/>
          <w:b w:val="0"/>
          <w:bCs w:val="0"/>
        </w:rPr>
        <w:t>府性基金预算财政拨款“三公”经费支出决算表</w:t>
      </w:r>
      <w:bookmarkEnd w:id="228"/>
      <w:bookmarkEnd w:id="229"/>
      <w:bookmarkEnd w:id="230"/>
      <w:bookmarkEnd w:id="231"/>
    </w:p>
    <w:p>
      <w:pPr>
        <w:pStyle w:val="5"/>
        <w:spacing w:before="0" w:after="0" w:line="576" w:lineRule="exact"/>
        <w:rPr>
          <w:rStyle w:val="21"/>
          <w:rFonts w:hint="eastAsia" w:ascii="仿宋_GB2312" w:eastAsia="仿宋_GB2312"/>
          <w:b w:val="0"/>
          <w:bCs w:val="0"/>
        </w:rPr>
      </w:pPr>
      <w:bookmarkStart w:id="232" w:name="_Toc15396631"/>
      <w:bookmarkStart w:id="233" w:name="_Toc4512"/>
      <w:bookmarkStart w:id="234" w:name="_Toc10286"/>
      <w:bookmarkStart w:id="235" w:name="_Toc5581"/>
      <w:r>
        <w:rPr>
          <w:rStyle w:val="21"/>
          <w:rFonts w:hint="eastAsia" w:ascii="仿宋_GB2312" w:eastAsia="仿宋_GB2312"/>
          <w:b w:val="0"/>
          <w:bCs w:val="0"/>
        </w:rPr>
        <w:t>十三、</w:t>
      </w:r>
      <w:r>
        <w:rPr>
          <w:rFonts w:hint="eastAsia" w:ascii="仿宋_GB2312" w:eastAsia="仿宋_GB2312"/>
          <w:b w:val="0"/>
          <w:color w:val="000000"/>
        </w:rPr>
        <w:t>国</w:t>
      </w:r>
      <w:r>
        <w:rPr>
          <w:rStyle w:val="21"/>
          <w:rFonts w:hint="eastAsia" w:ascii="仿宋_GB2312" w:eastAsia="仿宋_GB2312"/>
          <w:b w:val="0"/>
          <w:bCs w:val="0"/>
        </w:rPr>
        <w:t>有资本经营预算</w:t>
      </w:r>
      <w:r>
        <w:rPr>
          <w:rStyle w:val="21"/>
          <w:rFonts w:hint="eastAsia" w:ascii="仿宋_GB2312" w:eastAsia="仿宋_GB2312"/>
          <w:b w:val="0"/>
          <w:bCs w:val="0"/>
          <w:lang w:eastAsia="zh-CN"/>
        </w:rPr>
        <w:t>财政拨款收入</w:t>
      </w:r>
      <w:r>
        <w:rPr>
          <w:rStyle w:val="21"/>
          <w:rFonts w:hint="eastAsia" w:ascii="仿宋_GB2312" w:eastAsia="仿宋_GB2312"/>
          <w:b w:val="0"/>
          <w:bCs w:val="0"/>
        </w:rPr>
        <w:t>支出决算表</w:t>
      </w:r>
      <w:bookmarkEnd w:id="232"/>
      <w:bookmarkEnd w:id="233"/>
      <w:bookmarkEnd w:id="234"/>
      <w:bookmarkEnd w:id="235"/>
    </w:p>
    <w:p>
      <w:pPr>
        <w:pStyle w:val="5"/>
        <w:spacing w:before="0" w:after="0" w:line="576" w:lineRule="exact"/>
        <w:rPr>
          <w:rStyle w:val="21"/>
          <w:rFonts w:hint="eastAsia" w:ascii="仿宋_GB2312" w:eastAsia="仿宋_GB2312"/>
          <w:b w:val="0"/>
          <w:bCs w:val="0"/>
        </w:rPr>
      </w:pPr>
      <w:bookmarkStart w:id="236" w:name="_Toc26688"/>
      <w:r>
        <w:rPr>
          <w:rStyle w:val="21"/>
          <w:rFonts w:hint="eastAsia" w:ascii="仿宋_GB2312" w:eastAsia="仿宋_GB2312"/>
          <w:b w:val="0"/>
          <w:bCs w:val="0"/>
        </w:rPr>
        <w:t>十</w:t>
      </w:r>
      <w:r>
        <w:rPr>
          <w:rStyle w:val="21"/>
          <w:rFonts w:hint="eastAsia" w:ascii="仿宋_GB2312" w:eastAsia="仿宋_GB2312"/>
          <w:b w:val="0"/>
          <w:bCs w:val="0"/>
          <w:lang w:eastAsia="zh-CN"/>
        </w:rPr>
        <w:t>四</w:t>
      </w:r>
      <w:r>
        <w:rPr>
          <w:rStyle w:val="21"/>
          <w:rFonts w:hint="eastAsia" w:ascii="仿宋_GB2312" w:eastAsia="仿宋_GB2312"/>
          <w:b w:val="0"/>
          <w:bCs w:val="0"/>
        </w:rPr>
        <w:t>、</w:t>
      </w:r>
      <w:r>
        <w:rPr>
          <w:rFonts w:hint="eastAsia" w:ascii="仿宋_GB2312" w:eastAsia="仿宋_GB2312"/>
          <w:b w:val="0"/>
          <w:color w:val="000000"/>
        </w:rPr>
        <w:t>国</w:t>
      </w:r>
      <w:r>
        <w:rPr>
          <w:rStyle w:val="21"/>
          <w:rFonts w:hint="eastAsia" w:ascii="仿宋_GB2312" w:eastAsia="仿宋_GB2312"/>
          <w:b w:val="0"/>
          <w:bCs w:val="0"/>
        </w:rPr>
        <w:t>有资本经营预算</w:t>
      </w:r>
      <w:r>
        <w:rPr>
          <w:rStyle w:val="21"/>
          <w:rFonts w:hint="eastAsia" w:ascii="仿宋_GB2312" w:eastAsia="仿宋_GB2312"/>
          <w:b w:val="0"/>
          <w:bCs w:val="0"/>
          <w:lang w:eastAsia="zh-CN"/>
        </w:rPr>
        <w:t>财政拨款</w:t>
      </w:r>
      <w:r>
        <w:rPr>
          <w:rStyle w:val="21"/>
          <w:rFonts w:hint="eastAsia" w:ascii="仿宋_GB2312" w:eastAsia="仿宋_GB2312"/>
          <w:b w:val="0"/>
          <w:bCs w:val="0"/>
        </w:rPr>
        <w:t>支出决算表</w:t>
      </w:r>
      <w:bookmarkEnd w:id="236"/>
    </w:p>
    <w:p/>
    <w:sectPr>
      <w:footerReference r:id="rId5" w:type="first"/>
      <w:headerReference r:id="rId3" w:type="default"/>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DejaVu Sans"/>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Lucida Sans">
    <w:altName w:val="仿宋"/>
    <w:panose1 w:val="00000000000000000000"/>
    <w:charset w:val="01"/>
    <w:family w:val="auto"/>
    <w:pitch w:val="default"/>
    <w:sig w:usb0="00000000" w:usb1="00000000" w:usb2="00000000" w:usb3="00000000" w:csb0="00000000" w:csb1="00000000"/>
  </w:font>
  <w:font w:name="TimesNewRomanPSMT">
    <w:altName w:val="Times New Roman"/>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Tahoma">
    <w:altName w:val="DejaVu Sans"/>
    <w:panose1 w:val="020B0604030504040204"/>
    <w:charset w:val="00"/>
    <w:family w:val="swiss"/>
    <w:pitch w:val="default"/>
    <w:sig w:usb0="00000000" w:usb1="00000000" w:usb2="00000029" w:usb3="00000000" w:csb0="200101FF" w:csb1="20280000"/>
  </w:font>
  <w:font w:name="王羲之行书体">
    <w:panose1 w:val="02010609000101010101"/>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14300" cy="131445"/>
              <wp:effectExtent l="0" t="0" r="0" b="0"/>
              <wp:wrapNone/>
              <wp:docPr id="1" name="文本框 10"/>
              <wp:cNvGraphicFramePr/>
              <a:graphic xmlns:a="http://schemas.openxmlformats.org/drawingml/2006/main">
                <a:graphicData uri="http://schemas.microsoft.com/office/word/2010/wordprocessingShape">
                  <wps:wsp>
                    <wps:cNvSpPr/>
                    <wps:spPr>
                      <a:xfrm>
                        <a:off x="0" y="0"/>
                        <a:ext cx="114298" cy="131557"/>
                      </a:xfrm>
                      <a:prstGeom prst="rect">
                        <a:avLst/>
                      </a:prstGeom>
                      <a:noFill/>
                      <a:ln w="6350" cap="flat" cmpd="sng">
                        <a:noFill/>
                        <a:prstDash val="solid"/>
                        <a:round/>
                      </a:ln>
                    </wps:spPr>
                    <wps:txbx>
                      <w:txbxContent>
                        <w:p>
                          <w:pPr>
                            <w:pStyle w:val="10"/>
                          </w:pPr>
                          <w:r>
                            <w:fldChar w:fldCharType="begin"/>
                          </w:r>
                          <w:r>
                            <w:instrText xml:space="preserve"> PAGE  \* MERGEFORMAT </w:instrText>
                          </w:r>
                          <w:r>
                            <w:fldChar w:fldCharType="separate"/>
                          </w:r>
                          <w:r>
                            <w:t>4</w:t>
                          </w:r>
                          <w:r>
                            <w:fldChar w:fldCharType="end"/>
                          </w:r>
                        </w:p>
                      </w:txbxContent>
                    </wps:txbx>
                    <wps:bodyPr vert="horz" wrap="none" lIns="0" tIns="0" rIns="0" bIns="0" anchor="t" anchorCtr="0" upright="0">
                      <a:spAutoFit/>
                    </wps:bodyPr>
                  </wps:wsp>
                </a:graphicData>
              </a:graphic>
            </wp:anchor>
          </w:drawing>
        </mc:Choice>
        <mc:Fallback>
          <w:pict>
            <v:rect id="文本框 10" o:spid="_x0000_s1026" o:spt="1" style="position:absolute;left:0pt;margin-top:0pt;height:10.35pt;width:9pt;mso-position-horizontal:center;mso-position-horizontal-relative:margin;mso-wrap-style:none;z-index:251659264;mso-width-relative:page;mso-height-relative:page;" filled="f" stroked="f" coordsize="21600,21600" o:gfxdata="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WAAAAZHJzL1BLAQIUABQAAAAIAIdO4kAXRSXJ1QAAAAMBAAAPAAAA&#10;AAAAAAEAIAAAADgAAABkcnMvZG93bnJldi54bWxQSwECFAAUAAAACACHTuJAtx14SQICAAD1AwAA&#10;DgAAAAAAAAABACAAAAA6AQAAZHJzL2Uyb0RvYy54bWxQSwUGAAAAAAYABgBZAQAArgUAAAAA&#10;">
              <v:fill on="f" focussize="0,0"/>
              <v:stroke on="f" weight="0.5pt" joinstyle="round"/>
              <v:imagedata o:title=""/>
              <o:lock v:ext="edit" aspectratio="f"/>
              <v:textbox inset="0mm,0mm,0mm,0mm" style="mso-fit-shape-to-text:t;">
                <w:txbxContent>
                  <w:p>
                    <w:pPr>
                      <w:pStyle w:val="10"/>
                    </w:pPr>
                    <w:r>
                      <w:fldChar w:fldCharType="begin"/>
                    </w:r>
                    <w:r>
                      <w:instrText xml:space="preserve"> PAGE  \* MERGEFORMAT </w:instrText>
                    </w:r>
                    <w:r>
                      <w:fldChar w:fldCharType="separate"/>
                    </w:r>
                    <w:r>
                      <w:t>4</w:t>
                    </w:r>
                    <w:r>
                      <w:fldChar w:fldCharType="end"/>
                    </w:r>
                  </w:p>
                </w:txbxContent>
              </v:textbox>
            </v:rect>
          </w:pict>
        </mc:Fallback>
      </mc:AlternateContent>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57150" cy="131445"/>
              <wp:effectExtent l="0" t="0" r="0" b="0"/>
              <wp:wrapNone/>
              <wp:docPr id="4" name="文本框 11"/>
              <wp:cNvGraphicFramePr/>
              <a:graphic xmlns:a="http://schemas.openxmlformats.org/drawingml/2006/main">
                <a:graphicData uri="http://schemas.microsoft.com/office/word/2010/wordprocessingShape">
                  <wps:wsp>
                    <wps:cNvSpPr/>
                    <wps:spPr>
                      <a:xfrm>
                        <a:off x="0" y="0"/>
                        <a:ext cx="57150" cy="131559"/>
                      </a:xfrm>
                      <a:prstGeom prst="rect">
                        <a:avLst/>
                      </a:prstGeom>
                      <a:noFill/>
                      <a:ln w="6350" cap="flat" cmpd="sng">
                        <a:noFill/>
                        <a:prstDash val="solid"/>
                        <a:round/>
                      </a:ln>
                    </wps:spPr>
                    <wps:txbx>
                      <w:txbxContent>
                        <w:p>
                          <w:pPr>
                            <w:pStyle w:val="10"/>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id="文本框 11" o:spid="_x0000_s1026" o:spt="1" style="position:absolute;left:0pt;margin-top:0pt;height:10.35pt;width:4.5pt;mso-position-horizontal:center;mso-position-horizontal-relative:margin;mso-wrap-style:none;z-index:251659264;mso-width-relative:page;mso-height-relative:page;" filled="f" stroked="f" coordsize="21600,21600" o:gfxdata="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jKmL89UAAAACAQAADwAA&#10;AAAAAAABACAAAAA4AAAAZHJzL2Rvd25yZXYueG1sUEsBAhQAFAAAAAgAh07iQPPIj24DAgAA9AMA&#10;AA4AAAAAAAAAAQAgAAAAOgEAAGRycy9lMm9Eb2MueG1sUEsFBgAAAAAGAAYAWQEAAK8FAAAAAA==&#10;">
              <v:fill on="f" focussize="0,0"/>
              <v:stroke on="f" weight="0.5pt" joinstyle="round"/>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rect>
          </w:pict>
        </mc:Fallback>
      </mc:AlternateContent>
    </w:r>
    <w:sdt>
      <w:sdtPr>
        <w:id w:val="-1"/>
        <w:docPartList>
          <w:docPartGallery w:val="autotext"/>
        </w:docPartList>
      </w:sdtPr>
      <w:sdtContent/>
    </w:sdt>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6B1268"/>
    <w:multiLevelType w:val="multilevel"/>
    <w:tmpl w:val="916B1268"/>
    <w:lvl w:ilvl="0" w:tentative="0">
      <w:start w:val="1"/>
      <w:numFmt w:val="chineseCounting"/>
      <w:suff w:val="nothing"/>
      <w:lvlText w:val="%1、"/>
      <w:lvlJc w:val="left"/>
      <w:pPr>
        <w:ind w:left="0" w:firstLine="0"/>
      </w:pPr>
      <w:rPr>
        <w:rFonts w:hint="default"/>
        <w:u w:val="none" w:color="auto"/>
      </w:rPr>
    </w:lvl>
    <w:lvl w:ilvl="1" w:tentative="0">
      <w:start w:val="1"/>
      <w:numFmt w:val="decimal"/>
      <w:lvlText w:val=""/>
      <w:lvlJc w:val="left"/>
      <w:pPr>
        <w:ind w:left="0" w:firstLine="0"/>
      </w:pPr>
    </w:lvl>
    <w:lvl w:ilvl="2" w:tentative="0">
      <w:start w:val="1"/>
      <w:numFmt w:val="decimal"/>
      <w:lvlText w:val=""/>
      <w:lvlJc w:val="left"/>
      <w:pPr>
        <w:ind w:left="0" w:firstLine="0"/>
      </w:pPr>
    </w:lvl>
    <w:lvl w:ilvl="3" w:tentative="0">
      <w:start w:val="1"/>
      <w:numFmt w:val="decimal"/>
      <w:lvlText w:val=""/>
      <w:lvlJc w:val="left"/>
      <w:pPr>
        <w:ind w:left="0" w:firstLine="0"/>
      </w:pPr>
    </w:lvl>
    <w:lvl w:ilvl="4" w:tentative="0">
      <w:start w:val="1"/>
      <w:numFmt w:val="decimal"/>
      <w:lvlText w:val=""/>
      <w:lvlJc w:val="left"/>
      <w:pPr>
        <w:ind w:left="0" w:firstLine="0"/>
      </w:pPr>
    </w:lvl>
    <w:lvl w:ilvl="5" w:tentative="0">
      <w:start w:val="1"/>
      <w:numFmt w:val="decimal"/>
      <w:lvlText w:val=""/>
      <w:lvlJc w:val="left"/>
      <w:pPr>
        <w:ind w:left="0" w:firstLine="0"/>
      </w:pPr>
    </w:lvl>
    <w:lvl w:ilvl="6" w:tentative="0">
      <w:start w:val="1"/>
      <w:numFmt w:val="decimal"/>
      <w:lvlText w:val=""/>
      <w:lvlJc w:val="left"/>
      <w:pPr>
        <w:ind w:left="0" w:firstLine="0"/>
      </w:pPr>
    </w:lvl>
    <w:lvl w:ilvl="7" w:tentative="0">
      <w:start w:val="1"/>
      <w:numFmt w:val="decimal"/>
      <w:lvlText w:val=""/>
      <w:lvlJc w:val="left"/>
      <w:pPr>
        <w:ind w:left="0" w:firstLine="0"/>
      </w:pPr>
    </w:lvl>
    <w:lvl w:ilvl="8" w:tentative="0">
      <w:start w:val="1"/>
      <w:numFmt w:val="decimal"/>
      <w:lvlText w:val=""/>
      <w:lvlJc w:val="left"/>
      <w:pPr>
        <w:ind w:left="0" w:firstLine="0"/>
      </w:pPr>
    </w:lvl>
  </w:abstractNum>
  <w:abstractNum w:abstractNumId="1">
    <w:nsid w:val="AB436E55"/>
    <w:multiLevelType w:val="singleLevel"/>
    <w:tmpl w:val="AB436E55"/>
    <w:lvl w:ilvl="0" w:tentative="0">
      <w:start w:val="3"/>
      <w:numFmt w:val="chineseCounting"/>
      <w:suff w:val="nothing"/>
      <w:lvlText w:val="（%1）"/>
      <w:lvlJc w:val="left"/>
      <w:pPr>
        <w:ind w:left="0" w:firstLine="0"/>
      </w:pPr>
      <w:rPr>
        <w:rFonts w:hint="eastAsia"/>
      </w:rPr>
    </w:lvl>
  </w:abstractNum>
  <w:abstractNum w:abstractNumId="2">
    <w:nsid w:val="B4DE9C45"/>
    <w:multiLevelType w:val="singleLevel"/>
    <w:tmpl w:val="B4DE9C45"/>
    <w:lvl w:ilvl="0" w:tentative="0">
      <w:start w:val="1"/>
      <w:numFmt w:val="chineseCounting"/>
      <w:suff w:val="nothing"/>
      <w:lvlText w:val="%1、"/>
      <w:lvlJc w:val="left"/>
      <w:pPr>
        <w:ind w:left="0" w:firstLine="0"/>
      </w:pPr>
      <w:rPr>
        <w:rFonts w:hint="eastAsia"/>
      </w:rPr>
    </w:lvl>
  </w:abstractNum>
  <w:abstractNum w:abstractNumId="3">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4">
    <w:nsid w:val="D3D76841"/>
    <w:multiLevelType w:val="multilevel"/>
    <w:tmpl w:val="D3D76841"/>
    <w:lvl w:ilvl="0" w:tentative="0">
      <w:start w:val="1"/>
      <w:numFmt w:val="chineseCounting"/>
      <w:suff w:val="nothing"/>
      <w:lvlText w:val="（%1）"/>
      <w:lvlJc w:val="left"/>
      <w:pPr>
        <w:ind w:left="0" w:firstLine="0"/>
      </w:pPr>
      <w:rPr>
        <w:rFonts w:hint="default"/>
        <w:u w:val="none" w:color="auto"/>
      </w:rPr>
    </w:lvl>
    <w:lvl w:ilvl="1" w:tentative="0">
      <w:start w:val="1"/>
      <w:numFmt w:val="decimal"/>
      <w:lvlText w:val=""/>
      <w:lvlJc w:val="left"/>
      <w:pPr>
        <w:ind w:left="0" w:firstLine="0"/>
      </w:pPr>
    </w:lvl>
    <w:lvl w:ilvl="2" w:tentative="0">
      <w:start w:val="1"/>
      <w:numFmt w:val="decimal"/>
      <w:lvlText w:val=""/>
      <w:lvlJc w:val="left"/>
      <w:pPr>
        <w:ind w:left="0" w:firstLine="0"/>
      </w:pPr>
    </w:lvl>
    <w:lvl w:ilvl="3" w:tentative="0">
      <w:start w:val="1"/>
      <w:numFmt w:val="decimal"/>
      <w:lvlText w:val=""/>
      <w:lvlJc w:val="left"/>
      <w:pPr>
        <w:ind w:left="0" w:firstLine="0"/>
      </w:pPr>
    </w:lvl>
    <w:lvl w:ilvl="4" w:tentative="0">
      <w:start w:val="1"/>
      <w:numFmt w:val="decimal"/>
      <w:lvlText w:val=""/>
      <w:lvlJc w:val="left"/>
      <w:pPr>
        <w:ind w:left="0" w:firstLine="0"/>
      </w:pPr>
    </w:lvl>
    <w:lvl w:ilvl="5" w:tentative="0">
      <w:start w:val="1"/>
      <w:numFmt w:val="decimal"/>
      <w:lvlText w:val=""/>
      <w:lvlJc w:val="left"/>
      <w:pPr>
        <w:ind w:left="0" w:firstLine="0"/>
      </w:pPr>
    </w:lvl>
    <w:lvl w:ilvl="6" w:tentative="0">
      <w:start w:val="1"/>
      <w:numFmt w:val="decimal"/>
      <w:lvlText w:val=""/>
      <w:lvlJc w:val="left"/>
      <w:pPr>
        <w:ind w:left="0" w:firstLine="0"/>
      </w:pPr>
    </w:lvl>
    <w:lvl w:ilvl="7" w:tentative="0">
      <w:start w:val="1"/>
      <w:numFmt w:val="decimal"/>
      <w:lvlText w:val=""/>
      <w:lvlJc w:val="left"/>
      <w:pPr>
        <w:ind w:left="0" w:firstLine="0"/>
      </w:pPr>
    </w:lvl>
    <w:lvl w:ilvl="8" w:tentative="0">
      <w:start w:val="1"/>
      <w:numFmt w:val="decimal"/>
      <w:lvlText w:val=""/>
      <w:lvlJc w:val="left"/>
      <w:pPr>
        <w:ind w:left="0" w:firstLine="0"/>
      </w:pPr>
    </w:lvl>
  </w:abstractNum>
  <w:abstractNum w:abstractNumId="5">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6">
    <w:nsid w:val="F4954EC6"/>
    <w:multiLevelType w:val="multilevel"/>
    <w:tmpl w:val="F4954EC6"/>
    <w:lvl w:ilvl="0" w:tentative="0">
      <w:start w:val="1"/>
      <w:numFmt w:val="chineseCounting"/>
      <w:suff w:val="nothing"/>
      <w:lvlText w:val="（%1）"/>
      <w:lvlJc w:val="left"/>
      <w:pPr>
        <w:ind w:left="0" w:firstLine="0"/>
      </w:pPr>
      <w:rPr>
        <w:rFonts w:hint="default"/>
        <w:u w:val="none" w:color="auto"/>
      </w:rPr>
    </w:lvl>
    <w:lvl w:ilvl="1" w:tentative="0">
      <w:start w:val="1"/>
      <w:numFmt w:val="decimal"/>
      <w:lvlText w:val=""/>
      <w:lvlJc w:val="left"/>
      <w:pPr>
        <w:ind w:left="0" w:firstLine="0"/>
      </w:pPr>
    </w:lvl>
    <w:lvl w:ilvl="2" w:tentative="0">
      <w:start w:val="1"/>
      <w:numFmt w:val="decimal"/>
      <w:lvlText w:val=""/>
      <w:lvlJc w:val="left"/>
      <w:pPr>
        <w:ind w:left="0" w:firstLine="0"/>
      </w:pPr>
    </w:lvl>
    <w:lvl w:ilvl="3" w:tentative="0">
      <w:start w:val="1"/>
      <w:numFmt w:val="decimal"/>
      <w:lvlText w:val=""/>
      <w:lvlJc w:val="left"/>
      <w:pPr>
        <w:ind w:left="0" w:firstLine="0"/>
      </w:pPr>
    </w:lvl>
    <w:lvl w:ilvl="4" w:tentative="0">
      <w:start w:val="1"/>
      <w:numFmt w:val="decimal"/>
      <w:lvlText w:val=""/>
      <w:lvlJc w:val="left"/>
      <w:pPr>
        <w:ind w:left="0" w:firstLine="0"/>
      </w:pPr>
    </w:lvl>
    <w:lvl w:ilvl="5" w:tentative="0">
      <w:start w:val="1"/>
      <w:numFmt w:val="decimal"/>
      <w:lvlText w:val=""/>
      <w:lvlJc w:val="left"/>
      <w:pPr>
        <w:ind w:left="0" w:firstLine="0"/>
      </w:pPr>
    </w:lvl>
    <w:lvl w:ilvl="6" w:tentative="0">
      <w:start w:val="1"/>
      <w:numFmt w:val="decimal"/>
      <w:lvlText w:val=""/>
      <w:lvlJc w:val="left"/>
      <w:pPr>
        <w:ind w:left="0" w:firstLine="0"/>
      </w:pPr>
    </w:lvl>
    <w:lvl w:ilvl="7" w:tentative="0">
      <w:start w:val="1"/>
      <w:numFmt w:val="decimal"/>
      <w:lvlText w:val=""/>
      <w:lvlJc w:val="left"/>
      <w:pPr>
        <w:ind w:left="0" w:firstLine="0"/>
      </w:pPr>
    </w:lvl>
    <w:lvl w:ilvl="8" w:tentative="0">
      <w:start w:val="1"/>
      <w:numFmt w:val="decimal"/>
      <w:lvlText w:val=""/>
      <w:lvlJc w:val="left"/>
      <w:pPr>
        <w:ind w:left="0" w:firstLine="0"/>
      </w:pPr>
    </w:lvl>
  </w:abstractNum>
  <w:abstractNum w:abstractNumId="7">
    <w:nsid w:val="F67BCEF7"/>
    <w:multiLevelType w:val="multilevel"/>
    <w:tmpl w:val="F67BCEF7"/>
    <w:lvl w:ilvl="0" w:tentative="0">
      <w:start w:val="1"/>
      <w:numFmt w:val="chineseCounting"/>
      <w:suff w:val="nothing"/>
      <w:lvlText w:val="%1、"/>
      <w:lvlJc w:val="left"/>
      <w:pPr>
        <w:ind w:left="120" w:hanging="120"/>
      </w:pPr>
      <w:rPr>
        <w:rFonts w:hint="default"/>
        <w:u w:val="none" w:color="auto"/>
      </w:rPr>
    </w:lvl>
    <w:lvl w:ilvl="1" w:tentative="0">
      <w:start w:val="1"/>
      <w:numFmt w:val="decimal"/>
      <w:lvlText w:val=""/>
      <w:lvlJc w:val="left"/>
      <w:pPr>
        <w:ind w:left="0" w:firstLine="0"/>
      </w:pPr>
    </w:lvl>
    <w:lvl w:ilvl="2" w:tentative="0">
      <w:start w:val="1"/>
      <w:numFmt w:val="decimal"/>
      <w:lvlText w:val=""/>
      <w:lvlJc w:val="left"/>
      <w:pPr>
        <w:ind w:left="0" w:firstLine="0"/>
      </w:pPr>
    </w:lvl>
    <w:lvl w:ilvl="3" w:tentative="0">
      <w:start w:val="1"/>
      <w:numFmt w:val="decimal"/>
      <w:lvlText w:val=""/>
      <w:lvlJc w:val="left"/>
      <w:pPr>
        <w:ind w:left="0" w:firstLine="0"/>
      </w:pPr>
    </w:lvl>
    <w:lvl w:ilvl="4" w:tentative="0">
      <w:start w:val="1"/>
      <w:numFmt w:val="decimal"/>
      <w:lvlText w:val=""/>
      <w:lvlJc w:val="left"/>
      <w:pPr>
        <w:ind w:left="0" w:firstLine="0"/>
      </w:pPr>
    </w:lvl>
    <w:lvl w:ilvl="5" w:tentative="0">
      <w:start w:val="1"/>
      <w:numFmt w:val="decimal"/>
      <w:lvlText w:val=""/>
      <w:lvlJc w:val="left"/>
      <w:pPr>
        <w:ind w:left="0" w:firstLine="0"/>
      </w:pPr>
    </w:lvl>
    <w:lvl w:ilvl="6" w:tentative="0">
      <w:start w:val="1"/>
      <w:numFmt w:val="decimal"/>
      <w:lvlText w:val=""/>
      <w:lvlJc w:val="left"/>
      <w:pPr>
        <w:ind w:left="0" w:firstLine="0"/>
      </w:pPr>
    </w:lvl>
    <w:lvl w:ilvl="7" w:tentative="0">
      <w:start w:val="1"/>
      <w:numFmt w:val="decimal"/>
      <w:lvlText w:val=""/>
      <w:lvlJc w:val="left"/>
      <w:pPr>
        <w:ind w:left="0" w:firstLine="0"/>
      </w:pPr>
    </w:lvl>
    <w:lvl w:ilvl="8" w:tentative="0">
      <w:start w:val="1"/>
      <w:numFmt w:val="decimal"/>
      <w:lvlText w:val=""/>
      <w:lvlJc w:val="left"/>
      <w:pPr>
        <w:ind w:left="0" w:firstLine="0"/>
      </w:pPr>
    </w:lvl>
  </w:abstractNum>
  <w:abstractNum w:abstractNumId="8">
    <w:nsid w:val="6F1E3313"/>
    <w:multiLevelType w:val="multilevel"/>
    <w:tmpl w:val="6F1E3313"/>
    <w:lvl w:ilvl="0" w:tentative="0">
      <w:start w:val="3"/>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1"/>
  </w:num>
  <w:num w:numId="3">
    <w:abstractNumId w:val="3"/>
  </w:num>
  <w:num w:numId="4">
    <w:abstractNumId w:val="5"/>
  </w:num>
  <w:num w:numId="5">
    <w:abstractNumId w:val="8"/>
  </w:num>
  <w:num w:numId="6">
    <w:abstractNumId w:val="6"/>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NTc0NTI2OWEyNjQxYzlhMzAzOTZlYWM5ZDEzOTFkZjYifQ=="/>
  </w:docVars>
  <w:rsids>
    <w:rsidRoot w:val="00000000"/>
    <w:rsid w:val="FBEFAB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0"/>
    <w:qFormat/>
    <w:uiPriority w:val="0"/>
    <w:pPr>
      <w:keepNext/>
      <w:keepLines/>
      <w:widowControl w:val="0"/>
      <w:spacing w:before="340" w:after="330" w:line="578" w:lineRule="auto"/>
      <w:outlineLvl w:val="0"/>
    </w:pPr>
    <w:rPr>
      <w:b/>
      <w:bCs/>
      <w:kern w:val="44"/>
      <w:sz w:val="44"/>
      <w:szCs w:val="44"/>
    </w:rPr>
  </w:style>
  <w:style w:type="paragraph" w:styleId="5">
    <w:name w:val="heading 2"/>
    <w:basedOn w:val="1"/>
    <w:next w:val="1"/>
    <w:link w:val="2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6">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6">
    <w:name w:val="Default Paragraph Font"/>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rPr>
      <w:sz w:val="32"/>
      <w:szCs w:val="32"/>
    </w:rPr>
  </w:style>
  <w:style w:type="paragraph" w:styleId="3">
    <w:name w:val="Body Text Indent"/>
    <w:basedOn w:val="1"/>
    <w:qFormat/>
    <w:uiPriority w:val="0"/>
    <w:pPr>
      <w:ind w:right="-159" w:rightChars="-159" w:firstLine="200" w:firstLineChars="200"/>
      <w:jc w:val="left"/>
    </w:pPr>
    <w:rPr>
      <w:rFonts w:ascii="仿宋_GB2312" w:eastAsia="仿宋_GB2312"/>
      <w:sz w:val="32"/>
      <w:szCs w:val="32"/>
    </w:r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toc 3"/>
    <w:basedOn w:val="1"/>
    <w:next w:val="1"/>
    <w:qFormat/>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toc 2"/>
    <w:basedOn w:val="1"/>
    <w:next w:val="1"/>
    <w:qFormat/>
    <w:uiPriority w:val="0"/>
    <w:pPr>
      <w:tabs>
        <w:tab w:val="right" w:leader="dot" w:pos="8296"/>
      </w:tabs>
      <w:ind w:left="200" w:leftChars="200"/>
    </w:pPr>
  </w:style>
  <w:style w:type="paragraph" w:styleId="14">
    <w:name w:val="Normal (Web)"/>
    <w:basedOn w:val="1"/>
    <w:qFormat/>
    <w:uiPriority w:val="0"/>
    <w:pPr>
      <w:widowControl/>
      <w:spacing w:before="100" w:beforeAutospacing="1" w:after="100" w:afterAutospacing="1"/>
      <w:jc w:val="left"/>
    </w:pPr>
    <w:rPr>
      <w:rFonts w:ascii="宋体" w:cs="宋体"/>
      <w:kern w:val="0"/>
      <w:sz w:val="24"/>
    </w:rPr>
  </w:style>
  <w:style w:type="character" w:styleId="17">
    <w:name w:val="Strong"/>
    <w:basedOn w:val="16"/>
    <w:qFormat/>
    <w:uiPriority w:val="0"/>
    <w:rPr>
      <w:b/>
    </w:rPr>
  </w:style>
  <w:style w:type="character" w:styleId="18">
    <w:name w:val="page number"/>
    <w:basedOn w:val="16"/>
    <w:qFormat/>
    <w:uiPriority w:val="0"/>
    <w:rPr>
      <w:sz w:val="24"/>
      <w:szCs w:val="24"/>
    </w:rPr>
  </w:style>
  <w:style w:type="character" w:styleId="19">
    <w:name w:val="Hyperlink"/>
    <w:basedOn w:val="16"/>
    <w:qFormat/>
    <w:uiPriority w:val="0"/>
    <w:rPr>
      <w:color w:val="0000FF"/>
      <w:u w:val="single"/>
    </w:rPr>
  </w:style>
  <w:style w:type="character" w:customStyle="1" w:styleId="20">
    <w:name w:val="heading 1 Char"/>
    <w:basedOn w:val="16"/>
    <w:link w:val="4"/>
    <w:qFormat/>
    <w:uiPriority w:val="0"/>
    <w:rPr>
      <w:rFonts w:ascii="Times New Roman" w:hAnsi="Times New Roman" w:eastAsia="宋体" w:cs="Times New Roman"/>
      <w:b/>
      <w:bCs/>
      <w:kern w:val="44"/>
      <w:sz w:val="44"/>
      <w:szCs w:val="44"/>
      <w:lang w:val="en-US" w:eastAsia="zh-CN" w:bidi="ar-SA"/>
    </w:rPr>
  </w:style>
  <w:style w:type="character" w:customStyle="1" w:styleId="21">
    <w:name w:val="heading 2 Char"/>
    <w:basedOn w:val="16"/>
    <w:link w:val="5"/>
    <w:qFormat/>
    <w:uiPriority w:val="0"/>
    <w:rPr>
      <w:rFonts w:ascii="Cambria" w:hAnsi="Cambria" w:eastAsia="宋体" w:cs="Times New Roman"/>
      <w:b/>
      <w:bCs/>
      <w:kern w:val="2"/>
      <w:sz w:val="32"/>
      <w:szCs w:val="32"/>
      <w:lang w:val="en-US" w:eastAsia="zh-CN" w:bidi="ar-SA"/>
    </w:rPr>
  </w:style>
  <w:style w:type="character" w:customStyle="1" w:styleId="22">
    <w:name w:val="Header Char"/>
    <w:basedOn w:val="16"/>
    <w:qFormat/>
    <w:uiPriority w:val="0"/>
    <w:rPr>
      <w:rFonts w:ascii="Times New Roman" w:hAnsi="Times New Roman"/>
      <w:sz w:val="18"/>
      <w:szCs w:val="18"/>
    </w:rPr>
  </w:style>
  <w:style w:type="character" w:customStyle="1" w:styleId="23">
    <w:name w:val="Footer Char"/>
    <w:basedOn w:val="16"/>
    <w:qFormat/>
    <w:uiPriority w:val="0"/>
    <w:rPr>
      <w:rFonts w:ascii="Times New Roman" w:hAnsi="Times New Roman"/>
      <w:sz w:val="18"/>
      <w:szCs w:val="18"/>
    </w:rPr>
  </w:style>
  <w:style w:type="character" w:customStyle="1" w:styleId="24">
    <w:name w:val="Body Text Char"/>
    <w:basedOn w:val="16"/>
    <w:qFormat/>
    <w:uiPriority w:val="0"/>
    <w:rPr>
      <w:rFonts w:ascii="Times New Roman" w:hAnsi="Times New Roman"/>
      <w:szCs w:val="24"/>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6">
    <w:name w:val="List Paragraph"/>
    <w:basedOn w:val="1"/>
    <w:qFormat/>
    <w:uiPriority w:val="0"/>
    <w:pPr>
      <w:ind w:firstLine="200" w:firstLineChars="200"/>
    </w:pPr>
  </w:style>
  <w:style w:type="paragraph" w:customStyle="1" w:styleId="27">
    <w:name w:val="TOC 标题1"/>
    <w:basedOn w:val="4"/>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28">
    <w:name w:val="TOC 标题2"/>
    <w:basedOn w:val="4"/>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29">
    <w:name w:val="TOC Heading"/>
    <w:basedOn w:val="4"/>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0">
    <w:name w:val="四号正文"/>
    <w:basedOn w:val="1"/>
    <w:qFormat/>
    <w:uiPriority w:val="0"/>
    <w:pPr>
      <w:spacing w:line="360" w:lineRule="auto"/>
    </w:pPr>
    <w:rPr>
      <w:rFonts w:ascii="??" w:hAnsi="??" w:eastAsia="宋体" w:cs="宋体"/>
      <w:color w:val="000000"/>
      <w:kern w:val="0"/>
      <w:sz w:val="28"/>
      <w:szCs w:val="21"/>
    </w:rPr>
  </w:style>
  <w:style w:type="paragraph" w:customStyle="1" w:styleId="31">
    <w:name w:val="WPSOffice手动目录 1"/>
    <w:qFormat/>
    <w:uiPriority w:val="0"/>
    <w:rPr>
      <w:rFonts w:ascii="Times New Roman" w:hAnsi="Times New Roman" w:eastAsia="宋体" w:cs="Times New Roman"/>
      <w:sz w:val="20"/>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2019年收、支总计</c:f>
              <c:strCache>
                <c:ptCount val="1"/>
                <c:pt idx="0">
                  <c:v>2019年收、支总计</c:v>
                </c:pt>
              </c:strCache>
            </c:strRef>
          </c:tx>
          <c:spPr>
            <a:solidFill>
              <a:srgbClr val="4F81B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{#N/A,4293.98}</c:f>
              <c:numCache>
                <c:formatCode>General</c:formatCode>
                <c:ptCount val="2"/>
                <c:pt idx="1">
                  <c:v>4293.98</c:v>
                </c:pt>
              </c:numCache>
            </c:numRef>
          </c:val>
        </c:ser>
        <c:ser>
          <c:idx val="1"/>
          <c:order val="1"/>
          <c:tx>
            <c:strRef>
              <c:f>2020年收、支总计</c:f>
              <c:strCache>
                <c:ptCount val="1"/>
                <c:pt idx="0">
                  <c:v>2020年收、支总计</c:v>
                </c:pt>
              </c:strCache>
            </c:strRef>
          </c:tx>
          <c:spPr>
            <a:solidFill>
              <a:srgbClr val="C0504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{#N/A,7036.52}</c:f>
              <c:numCache>
                <c:formatCode>General</c:formatCode>
                <c:ptCount val="2"/>
                <c:pt idx="1">
                  <c:v>7036.52</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solidFill>
              <a:srgbClr val="4F81BD"/>
            </a:solidFill>
          </c:spPr>
          <c:explosion val="0"/>
          <c:dPt>
            <c:idx val="0"/>
            <c:bubble3D val="0"/>
            <c:spPr>
              <a:solidFill>
                <a:srgbClr val="4F81BD"/>
              </a:solidFill>
              <a:ln>
                <a:noFill/>
              </a:ln>
            </c:spPr>
          </c:dPt>
          <c:dPt>
            <c:idx val="1"/>
            <c:bubble3D val="0"/>
            <c:spPr>
              <a:solidFill>
                <a:srgbClr val="C0504D"/>
              </a:solidFill>
              <a:ln>
                <a:noFill/>
              </a:ln>
            </c:spPr>
          </c:dPt>
          <c:dLbls>
            <c:dLbl>
              <c:idx val="0"/>
              <c:layout/>
              <c:tx>
                <c:rich>
                  <a:bodyPr rot="0" spcFirstLastPara="0" vertOverflow="ellipsis" vert="horz" wrap="square" lIns="38100" tIns="19050" rIns="38100" bIns="19050" anchor="ctr" anchorCtr="1"/>
                  <a:lstStyle/>
                  <a:p>
                    <a:pPr>
                      <a:defRPr lang="zh-CN" sz="900" b="1" i="0" u="none" strike="noStrike" kern="1200" baseline="0">
                        <a:solidFill>
                          <a:srgbClr val="FFFFFF"/>
                        </a:solidFill>
                        <a:latin typeface="Times New Roman" panose="02020603050405020304"/>
                        <a:ea typeface="宋体" panose="02010600030101010101" charset="-122"/>
                        <a:cs typeface="Lucida Sans"/>
                      </a:defRPr>
                    </a:pPr>
                    <a:r>
                      <a:rPr lang="zh-CN" sz="900" b="1" i="0" u="none" strike="noStrike" baseline="0">
                        <a:solidFill>
                          <a:srgbClr val="FFFFFF"/>
                        </a:solidFill>
                        <a:latin typeface="Times New Roman" panose="02020603050405020304"/>
                        <a:ea typeface="宋体" panose="02010600030101010101" charset="-122"/>
                        <a:cs typeface="Lucida Sans"/>
                      </a:rPr>
                      <a:t>一般公共预算财政拨款收入, 6533.72, 99.76%</a:t>
                    </a:r>
                    <a:endParaRPr lang="zh-CN" sz="900" b="1" i="0" u="none" strike="noStrike" baseline="0">
                      <a:solidFill>
                        <a:srgbClr val="FFFFFF"/>
                      </a:solidFill>
                      <a:latin typeface="Times New Roman" panose="02020603050405020304"/>
                      <a:ea typeface="宋体" panose="02010600030101010101" charset="-122"/>
                      <a:cs typeface="Lucida Sans"/>
                    </a:endParaRPr>
                  </a:p>
                </c:rich>
              </c:tx>
              <c:numFmt formatCode="0%" sourceLinked="0"/>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Times New Roman" panose="02020603050405020304"/>
                      <a:ea typeface="宋体" panose="02010600030101010101" charset="-122"/>
                      <a:cs typeface="Lucida Sans"/>
                    </a:defRPr>
                  </a:pPr>
                </a:p>
              </c:txPr>
              <c:dLblPos val="inEnd"/>
              <c:showLegendKey val="0"/>
              <c:showVal val="1"/>
              <c:showCatName val="1"/>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1" i="0" u="none" strike="noStrike" kern="1200" baseline="0">
                        <a:solidFill>
                          <a:srgbClr val="FFFFFF"/>
                        </a:solidFill>
                        <a:latin typeface="Times New Roman" panose="02020603050405020304"/>
                        <a:ea typeface="宋体" panose="02010600030101010101" charset="-122"/>
                        <a:cs typeface="Lucida Sans"/>
                      </a:defRPr>
                    </a:pPr>
                    <a:r>
                      <a:rPr lang="zh-CN" sz="900" b="1" i="0" u="none" strike="noStrike" baseline="0">
                        <a:solidFill>
                          <a:srgbClr val="FFFFFF"/>
                        </a:solidFill>
                        <a:latin typeface="Times New Roman" panose="02020603050405020304"/>
                        <a:ea typeface="宋体" panose="02010600030101010101" charset="-122"/>
                        <a:cs typeface="Lucida Sans"/>
                      </a:rPr>
                      <a:t>政府性基金预算财政拨款收入, 15.42, 0.24%</a:t>
                    </a:r>
                    <a:endParaRPr lang="zh-CN" sz="900" b="1" i="0" u="none" strike="noStrike" baseline="0">
                      <a:solidFill>
                        <a:srgbClr val="FFFFFF"/>
                      </a:solidFill>
                      <a:latin typeface="Times New Roman" panose="02020603050405020304"/>
                      <a:ea typeface="宋体" panose="02010600030101010101" charset="-122"/>
                      <a:cs typeface="Lucida Sans"/>
                    </a:endParaRPr>
                  </a:p>
                </c:rich>
              </c:tx>
              <c:numFmt formatCode="0%" sourceLinked="0"/>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Times New Roman" panose="02020603050405020304"/>
                      <a:ea typeface="宋体" panose="02010600030101010101" charset="-122"/>
                      <a:cs typeface="Lucida Sans"/>
                    </a:defRPr>
                  </a:pPr>
                </a:p>
              </c:txPr>
              <c:dLblPos val="inEnd"/>
              <c:showLegendKey val="0"/>
              <c:showVal val="1"/>
              <c:showCatName val="1"/>
              <c:showSerName val="0"/>
              <c:showPercent val="1"/>
              <c:showBubbleSize val="0"/>
              <c:extLst>
                <c:ext xmlns:c15="http://schemas.microsoft.com/office/drawing/2012/chart" uri="{CE6537A1-D6FC-4f65-9D91-7224C49458BB}"/>
              </c:extLst>
            </c:dLbl>
            <c:numFmt formatCode="0%" sourceLinked="0"/>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Times New Roman" panose="02020603050405020304"/>
                    <a:ea typeface="宋体" panose="02010600030101010101" charset="-122"/>
                    <a:cs typeface="Lucida Sans"/>
                  </a:defRPr>
                </a:pPr>
              </a:p>
            </c:txPr>
            <c:dLblPos val="in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{"一般公共预算","政府基金预算"}</c:f>
              <c:strCache>
                <c:ptCount val="2"/>
                <c:pt idx="0">
                  <c:v>一般公共预算</c:v>
                </c:pt>
                <c:pt idx="1">
                  <c:v>政府基金预算</c:v>
                </c:pt>
              </c:strCache>
            </c:strRef>
          </c:cat>
          <c:val>
            <c:numRef>
              <c:f>{6533.72,15.42}</c:f>
              <c:numCache>
                <c:formatCode>General</c:formatCode>
                <c:ptCount val="2"/>
                <c:pt idx="0">
                  <c:v>6533.72</c:v>
                </c:pt>
                <c:pt idx="1">
                  <c:v>15.42</c:v>
                </c:pt>
              </c:numCache>
            </c:numRef>
          </c:val>
        </c:ser>
        <c:dLbls>
          <c:showLegendKey val="0"/>
          <c:showVal val="1"/>
          <c:showCatName val="1"/>
          <c:showSerName val="0"/>
          <c:showPercent val="1"/>
          <c:showBubbleSize val="0"/>
          <c:showLeaderLines val="1"/>
        </c:dLbls>
        <c:firstSliceAng val="0"/>
      </c:pieChart>
      <c:spPr>
        <a:noFill/>
        <a:ln>
          <a:noFill/>
        </a:ln>
      </c:spPr>
    </c:plotArea>
    <c:legend>
      <c:legendPos val="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0"/>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solidFill>
              <a:srgbClr val="4F81BD"/>
            </a:solidFill>
          </c:spPr>
          <c:explosion val="0"/>
          <c:dPt>
            <c:idx val="0"/>
            <c:bubble3D val="0"/>
            <c:spPr>
              <a:solidFill>
                <a:srgbClr val="4F81BD"/>
              </a:solidFill>
              <a:ln>
                <a:noFill/>
              </a:ln>
              <a:effectLst>
                <a:outerShdw dist="35921" dir="2700000" algn="br">
                  <a:srgbClr val="000000"/>
                </a:outerShdw>
              </a:effectLst>
            </c:spPr>
          </c:dPt>
          <c:dPt>
            <c:idx val="1"/>
            <c:bubble3D val="0"/>
            <c:explosion val="25"/>
            <c:spPr>
              <a:solidFill>
                <a:srgbClr val="C0504D"/>
              </a:solidFill>
              <a:ln>
                <a:noFill/>
              </a:ln>
              <a:effectLst>
                <a:outerShdw dist="35921" dir="2700000" algn="br">
                  <a:srgbClr val="000000"/>
                </a:outerShdw>
              </a:effectLst>
            </c:spPr>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r>
                      <a:rPr lang="zh-CN" sz="1000" b="0" i="0" u="none" strike="noStrike" baseline="0">
                        <a:solidFill>
                          <a:srgbClr val="000000"/>
                        </a:solidFill>
                        <a:latin typeface="Times New Roman" panose="02020603050405020304"/>
                        <a:ea typeface="宋体" panose="02010600030101010101" charset="-122"/>
                        <a:cs typeface="Lucida Sans"/>
                      </a:rPr>
                      <a:t>基本支出, 525.30</a:t>
                    </a:r>
                    <a:endParaRPr lang="zh-CN" sz="1000" b="0" i="0" u="none" strike="noStrike" baseline="0">
                      <a:solidFill>
                        <a:srgbClr val="000000"/>
                      </a:solidFill>
                      <a:latin typeface="Times New Roman" panose="02020603050405020304"/>
                      <a:ea typeface="宋体" panose="02010600030101010101" charset="-122"/>
                      <a:cs typeface="Lucida Sans"/>
                    </a:endParaRPr>
                  </a:p>
                </c:rich>
              </c:tx>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inEnd"/>
              <c:showLegendKey val="0"/>
              <c:showVal val="1"/>
              <c:showCatName val="1"/>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r>
                      <a:rPr lang="zh-CN" sz="1000" b="0" i="0" u="none" strike="noStrike" baseline="0">
                        <a:solidFill>
                          <a:srgbClr val="000000"/>
                        </a:solidFill>
                        <a:latin typeface="Times New Roman" panose="02020603050405020304"/>
                        <a:ea typeface="宋体" panose="02010600030101010101" charset="-122"/>
                        <a:cs typeface="Lucida Sans"/>
                      </a:rPr>
                      <a:t>项目支出, 5956.92</a:t>
                    </a:r>
                    <a:endParaRPr lang="zh-CN" sz="1000" b="0" i="0" u="none" strike="noStrike" baseline="0">
                      <a:solidFill>
                        <a:srgbClr val="000000"/>
                      </a:solidFill>
                      <a:latin typeface="Times New Roman" panose="02020603050405020304"/>
                      <a:ea typeface="宋体" panose="02010600030101010101" charset="-122"/>
                      <a:cs typeface="Lucida Sans"/>
                    </a:endParaRPr>
                  </a:p>
                </c:rich>
              </c:tx>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inEnd"/>
              <c:showLegendKey val="0"/>
              <c:showVal val="1"/>
              <c:showCatName val="1"/>
              <c:showSerName val="0"/>
              <c:showPercent val="0"/>
              <c:showBubbleSize val="0"/>
              <c:extLst>
                <c:ext xmlns:c15="http://schemas.microsoft.com/office/drawing/2012/chart" uri="{CE6537A1-D6FC-4f65-9D91-7224C49458BB}"/>
              </c:extLst>
            </c:dLbl>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in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{"基本支出","项目支出"}</c:f>
              <c:strCache>
                <c:ptCount val="2"/>
                <c:pt idx="0">
                  <c:v>基本支出</c:v>
                </c:pt>
                <c:pt idx="1">
                  <c:v>项目支出</c:v>
                </c:pt>
              </c:strCache>
            </c:strRef>
          </c:cat>
          <c:val>
            <c:numRef>
              <c:f>{525.29,5956.93}</c:f>
              <c:numCache>
                <c:formatCode>General</c:formatCode>
                <c:ptCount val="2"/>
                <c:pt idx="0">
                  <c:v>525.29</c:v>
                </c:pt>
                <c:pt idx="1">
                  <c:v>5956.93</c:v>
                </c:pt>
              </c:numCache>
            </c:numRef>
          </c:val>
        </c:ser>
        <c:dLbls>
          <c:showLegendKey val="0"/>
          <c:showVal val="1"/>
          <c:showCatName val="1"/>
          <c:showSerName val="0"/>
          <c:showPercent val="0"/>
          <c:showBubbleSize val="0"/>
          <c:showLeaderLines val="1"/>
        </c:dLbls>
        <c:firstSliceAng val="0"/>
      </c:pieChart>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legend>
    <c:plotVisOnly val="0"/>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2019年财政拨款收、支总计</c:f>
              <c:strCache>
                <c:ptCount val="1"/>
                <c:pt idx="0">
                  <c:v>2019年财政拨款收、支总计</c:v>
                </c:pt>
              </c:strCache>
            </c:strRef>
          </c:tx>
          <c:spPr>
            <a:solidFill>
              <a:srgbClr val="4F81B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{#N/A,4293.98}</c:f>
              <c:numCache>
                <c:formatCode>General</c:formatCode>
                <c:ptCount val="2"/>
                <c:pt idx="1">
                  <c:v>4293.98</c:v>
                </c:pt>
              </c:numCache>
            </c:numRef>
          </c:val>
        </c:ser>
        <c:ser>
          <c:idx val="1"/>
          <c:order val="1"/>
          <c:tx>
            <c:strRef>
              <c:f>2020年财政拨款收、支总计</c:f>
              <c:strCache>
                <c:ptCount val="1"/>
                <c:pt idx="0">
                  <c:v>2020年财政拨款收、支总计</c:v>
                </c:pt>
              </c:strCache>
            </c:strRef>
          </c:tx>
          <c:spPr>
            <a:solidFill>
              <a:srgbClr val="C0504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{#N/A,6533.72}</c:f>
              <c:numCache>
                <c:formatCode>General</c:formatCode>
                <c:ptCount val="2"/>
                <c:pt idx="1">
                  <c:v>6533.72</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spPr>
            <a:solidFill>
              <a:srgbClr val="C0504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{"2019年一般公共预算财政拨款支出","2020年一般公共预算财政拨款支出"}</c:f>
              <c:strCache>
                <c:ptCount val="2"/>
                <c:pt idx="0">
                  <c:v>2019年一般公共预算财政拨款支出</c:v>
                </c:pt>
                <c:pt idx="1">
                  <c:v>2020年一般公共预算财政拨款支出</c:v>
                </c:pt>
              </c:strCache>
            </c:strRef>
          </c:cat>
          <c:val>
            <c:numRef>
              <c:f>{3442.78,6411.22}</c:f>
              <c:numCache>
                <c:formatCode>General</c:formatCode>
                <c:ptCount val="2"/>
                <c:pt idx="0">
                  <c:v>3442.78</c:v>
                </c:pt>
                <c:pt idx="1">
                  <c:v>6411.22</c:v>
                </c:pt>
              </c:numCache>
            </c:numRef>
          </c:val>
        </c:ser>
        <c:dLbls>
          <c:showLegendKey val="0"/>
          <c:showVal val="1"/>
          <c:showCatName val="0"/>
          <c:showSerName val="0"/>
          <c:showPercent val="0"/>
          <c:showBubbleSize val="0"/>
        </c:dLbls>
        <c:gapWidth val="150"/>
        <c:axId val="0"/>
        <c:axId val="1"/>
      </c:barChart>
      <c:catAx>
        <c:axId val="0"/>
        <c:scaling>
          <c:orientation val="minMax"/>
        </c:scaling>
        <c:delete val="1"/>
        <c:axPos val="b"/>
        <c:majorGridlines/>
        <c:numFmt formatCode="General" sourceLinked="0"/>
        <c:majorTickMark val="out"/>
        <c:minorTickMark val="none"/>
        <c:tickLblPos val="nextTo"/>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out"/>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dTable>
        <c:showHorzBorder val="1"/>
        <c:showVertBorder val="1"/>
        <c:showOutline val="1"/>
        <c:showKeys val="1"/>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Table>
      <c:spPr>
        <a:noFill/>
        <a:ln>
          <a:noFill/>
        </a:ln>
      </c:spPr>
    </c:plotArea>
    <c:plotVisOnly val="0"/>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Pt>
            <c:idx val="5"/>
            <c:bubble3D val="0"/>
            <c:spPr>
              <a:solidFill>
                <a:srgbClr val="DB843D"/>
              </a:solidFill>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zh-CN" sz="900" b="0" i="0" u="none" strike="noStrike" baseline="0">
                        <a:solidFill>
                          <a:srgbClr val="404040"/>
                        </a:solidFill>
                        <a:latin typeface="Times New Roman" panose="02020603050405020304"/>
                        <a:ea typeface="宋体" panose="02010600030101010101" charset="-122"/>
                        <a:cs typeface="Lucida Sans"/>
                      </a:rPr>
                      <a:t>社会保障和就业支出, 6328.29, 98.71%</a:t>
                    </a:r>
                    <a:endParaRPr lang="zh-CN" sz="900" b="0" i="0" u="none" strike="noStrike" baseline="0">
                      <a:solidFill>
                        <a:srgbClr val="404040"/>
                      </a:solidFill>
                      <a:latin typeface="Times New Roman" panose="02020603050405020304"/>
                      <a:ea typeface="宋体" panose="02010600030101010101" charset="-122"/>
                      <a:cs typeface="Lucida Sans"/>
                    </a:endParaRPr>
                  </a:p>
                </c:rich>
              </c:tx>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inEnd"/>
              <c:showLegendKey val="0"/>
              <c:showVal val="1"/>
              <c:showCatName val="1"/>
              <c:showSerName val="0"/>
              <c:showPercent val="1"/>
              <c:showBubbleSize val="0"/>
              <c:extLst>
                <c:ext xmlns:c15="http://schemas.microsoft.com/office/drawing/2012/chart" uri="{CE6537A1-D6FC-4f65-9D91-7224C49458BB}"/>
              </c:extLst>
            </c:dLbl>
            <c:dLbl>
              <c:idx val="1"/>
              <c:layout>
                <c:manualLayout>
                  <c:x val="-0.18364654"/>
                  <c:y val="-0.04336235"/>
                </c:manualLayout>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zh-CN" sz="900" b="0" i="0" u="none" strike="noStrike" baseline="0">
                        <a:solidFill>
                          <a:srgbClr val="404040"/>
                        </a:solidFill>
                        <a:latin typeface="Times New Roman" panose="02020603050405020304"/>
                        <a:ea typeface="宋体" panose="02010600030101010101" charset="-122"/>
                        <a:cs typeface="Lucida Sans"/>
                      </a:rPr>
                      <a:t>卫生健康支出, 25.87, 0.4%</a:t>
                    </a:r>
                    <a:endParaRPr lang="zh-CN" sz="900" b="0" i="0" u="none" strike="noStrike" baseline="0">
                      <a:solidFill>
                        <a:srgbClr val="404040"/>
                      </a:solidFill>
                      <a:latin typeface="Times New Roman" panose="02020603050405020304"/>
                      <a:ea typeface="宋体" panose="02010600030101010101" charset="-122"/>
                      <a:cs typeface="Lucida Sans"/>
                    </a:endParaRPr>
                  </a:p>
                </c:rich>
              </c:tx>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bestFit"/>
              <c:showLegendKey val="0"/>
              <c:showVal val="1"/>
              <c:showCatName val="1"/>
              <c:showSerName val="0"/>
              <c:showPercent val="1"/>
              <c:showBubbleSize val="0"/>
              <c:extLst>
                <c:ext xmlns:c15="http://schemas.microsoft.com/office/drawing/2012/chart" uri="{CE6537A1-D6FC-4f65-9D91-7224C49458BB}">
                  <c15:layout/>
                </c:ext>
              </c:extLst>
            </c:dLbl>
            <c:dLbl>
              <c:idx val="2"/>
              <c:layout>
                <c:manualLayout>
                  <c:x val="-0.1723364"/>
                  <c:y val="0.05787145"/>
                </c:manualLayout>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zh-CN" sz="900" b="0" i="0" u="none" strike="noStrike" baseline="0">
                        <a:solidFill>
                          <a:srgbClr val="404040"/>
                        </a:solidFill>
                        <a:latin typeface="Times New Roman" panose="02020603050405020304"/>
                        <a:ea typeface="宋体" panose="02010600030101010101" charset="-122"/>
                        <a:cs typeface="Lucida Sans"/>
                      </a:rPr>
                      <a:t>农林水支出, 1.85, 0.03%</a:t>
                    </a:r>
                    <a:endParaRPr lang="zh-CN" sz="900" b="0" i="0" u="none" strike="noStrike" baseline="0">
                      <a:solidFill>
                        <a:srgbClr val="404040"/>
                      </a:solidFill>
                      <a:latin typeface="Times New Roman" panose="02020603050405020304"/>
                      <a:ea typeface="宋体" panose="02010600030101010101" charset="-122"/>
                      <a:cs typeface="Lucida Sans"/>
                    </a:endParaRPr>
                  </a:p>
                </c:rich>
              </c:tx>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bestFit"/>
              <c:showLegendKey val="0"/>
              <c:showVal val="1"/>
              <c:showCatName val="1"/>
              <c:showSerName val="0"/>
              <c:showPercent val="1"/>
              <c:showBubbleSize val="0"/>
              <c:extLst>
                <c:ext xmlns:c15="http://schemas.microsoft.com/office/drawing/2012/chart" uri="{CE6537A1-D6FC-4f65-9D91-7224C49458BB}">
                  <c15:layout/>
                </c:ext>
              </c:extLst>
            </c:dLbl>
            <c:dLbl>
              <c:idx val="3"/>
              <c:layout>
                <c:manualLayout>
                  <c:x val="0.007565847"/>
                  <c:y val="-0.042683538"/>
                </c:manualLayout>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zh-CN" sz="900" b="0" i="0" u="none" strike="noStrike" baseline="0">
                        <a:solidFill>
                          <a:srgbClr val="404040"/>
                        </a:solidFill>
                        <a:latin typeface="Times New Roman" panose="02020603050405020304"/>
                        <a:ea typeface="宋体" panose="02010600030101010101" charset="-122"/>
                        <a:cs typeface="Lucida Sans"/>
                      </a:rPr>
                      <a:t>住房保障支出, 35.23, 0.55%</a:t>
                    </a:r>
                    <a:endParaRPr lang="zh-CN" sz="900" b="0" i="0" u="none" strike="noStrike" baseline="0">
                      <a:solidFill>
                        <a:srgbClr val="404040"/>
                      </a:solidFill>
                      <a:latin typeface="Times New Roman" panose="02020603050405020304"/>
                      <a:ea typeface="宋体" panose="02010600030101010101" charset="-122"/>
                      <a:cs typeface="Lucida Sans"/>
                    </a:endParaRPr>
                  </a:p>
                </c:rich>
              </c:tx>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bestFit"/>
              <c:showLegendKey val="0"/>
              <c:showVal val="1"/>
              <c:showCatName val="1"/>
              <c:showSerName val="0"/>
              <c:showPercent val="1"/>
              <c:showBubbleSize val="0"/>
              <c:extLst>
                <c:ext xmlns:c15="http://schemas.microsoft.com/office/drawing/2012/chart" uri="{CE6537A1-D6FC-4f65-9D91-7224C49458BB}">
                  <c15:layout/>
                </c:ext>
              </c:extLst>
            </c:dLbl>
            <c:dLbl>
              <c:idx val="4"/>
              <c:layout>
                <c:manualLayout>
                  <c:x val="0.21556616"/>
                  <c:y val="-0.027907504"/>
                </c:manualLayout>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zh-CN" sz="900" b="0" i="0" u="none" strike="noStrike" baseline="0">
                        <a:solidFill>
                          <a:srgbClr val="404040"/>
                        </a:solidFill>
                        <a:latin typeface="Times New Roman" panose="02020603050405020304"/>
                        <a:ea typeface="宋体" panose="02010600030101010101" charset="-122"/>
                        <a:cs typeface="Lucida Sans"/>
                      </a:rPr>
                      <a:t>灾害防治及应急管理支出,18.61, 0.29%</a:t>
                    </a:r>
                    <a:endParaRPr lang="zh-CN" sz="900" b="0" i="0" u="none" strike="noStrike" baseline="0">
                      <a:solidFill>
                        <a:srgbClr val="404040"/>
                      </a:solidFill>
                      <a:latin typeface="Times New Roman" panose="02020603050405020304"/>
                      <a:ea typeface="宋体" panose="02010600030101010101" charset="-122"/>
                      <a:cs typeface="Lucida Sans"/>
                    </a:endParaRPr>
                  </a:p>
                </c:rich>
              </c:tx>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bestFit"/>
              <c:showLegendKey val="0"/>
              <c:showVal val="1"/>
              <c:showCatName val="1"/>
              <c:showSerName val="0"/>
              <c:showPercent val="1"/>
              <c:showBubbleSize val="0"/>
              <c:extLst>
                <c:ext xmlns:c15="http://schemas.microsoft.com/office/drawing/2012/chart" uri="{CE6537A1-D6FC-4f65-9D91-7224C49458BB}">
                  <c15:layout/>
                </c:ext>
              </c:extLst>
            </c:dLbl>
            <c:dLbl>
              <c:idx val="5"/>
              <c:layout>
                <c:manualLayout>
                  <c:x val="0.16436617"/>
                  <c:y val="0.04496066"/>
                </c:manualLayout>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zh-CN" sz="900" b="0" i="0" u="none" strike="noStrike" baseline="0">
                        <a:solidFill>
                          <a:srgbClr val="404040"/>
                        </a:solidFill>
                        <a:latin typeface="Times New Roman" panose="02020603050405020304"/>
                        <a:ea typeface="宋体" panose="02010600030101010101" charset="-122"/>
                        <a:cs typeface="Lucida Sans"/>
                      </a:rPr>
                      <a:t>其他支出, 1.37, 0.02%</a:t>
                    </a:r>
                    <a:endParaRPr lang="zh-CN" sz="900" b="0" i="0" u="none" strike="noStrike" baseline="0">
                      <a:solidFill>
                        <a:srgbClr val="404040"/>
                      </a:solidFill>
                      <a:latin typeface="Times New Roman" panose="02020603050405020304"/>
                      <a:ea typeface="宋体" panose="02010600030101010101" charset="-122"/>
                      <a:cs typeface="Lucida Sans"/>
                    </a:endParaRPr>
                  </a:p>
                </c:rich>
              </c:tx>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bestFit"/>
              <c:showLegendKey val="0"/>
              <c:showVal val="1"/>
              <c:showCatName val="1"/>
              <c:showSerName val="0"/>
              <c:showPercent val="1"/>
              <c:showBubbleSize val="0"/>
              <c:extLst>
                <c:ext xmlns:c15="http://schemas.microsoft.com/office/drawing/2012/chart" uri="{CE6537A1-D6FC-4f65-9D91-7224C49458BB}">
                  <c15:layout/>
                </c:ext>
              </c:extLst>
            </c:dLbl>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in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{"社会保障和就业支出","卫生健康支出","农林水支出","住房保障支出","灾害防治及应急管理支出","其他支出"}</c:f>
              <c:strCache>
                <c:ptCount val="6"/>
                <c:pt idx="0">
                  <c:v>社会保障和就业支出</c:v>
                </c:pt>
                <c:pt idx="1">
                  <c:v>卫生健康支出</c:v>
                </c:pt>
                <c:pt idx="2">
                  <c:v>农林水支出</c:v>
                </c:pt>
                <c:pt idx="3">
                  <c:v>住房保障支出</c:v>
                </c:pt>
                <c:pt idx="4">
                  <c:v>灾害防治及应急管理支出</c:v>
                </c:pt>
                <c:pt idx="5">
                  <c:v>其他支出</c:v>
                </c:pt>
              </c:strCache>
            </c:strRef>
          </c:cat>
          <c:val>
            <c:numRef>
              <c:f>{6328.29,25.87,1.85,35.23,18.61,1.37}</c:f>
              <c:numCache>
                <c:formatCode>General</c:formatCode>
                <c:ptCount val="6"/>
                <c:pt idx="0">
                  <c:v>6328.29</c:v>
                </c:pt>
                <c:pt idx="1">
                  <c:v>25.87</c:v>
                </c:pt>
                <c:pt idx="2">
                  <c:v>1.85</c:v>
                </c:pt>
                <c:pt idx="3">
                  <c:v>35.23</c:v>
                </c:pt>
                <c:pt idx="4">
                  <c:v>18.61</c:v>
                </c:pt>
                <c:pt idx="5">
                  <c:v>1.37</c:v>
                </c:pt>
              </c:numCache>
            </c:numRef>
          </c:val>
        </c:ser>
        <c:dLbls>
          <c:showLegendKey val="0"/>
          <c:showVal val="1"/>
          <c:showCatName val="1"/>
          <c:showSerName val="0"/>
          <c:showPercent val="1"/>
          <c:showBubbleSize val="0"/>
          <c:showLeaderLines val="1"/>
        </c:dLbls>
        <c:firstSliceAng val="0"/>
      </c:pieChart>
      <c:spPr>
        <a:noFill/>
        <a:ln>
          <a:noFill/>
        </a:ln>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solidFill>
              <a:srgbClr val="4F81BD"/>
            </a:solidFill>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zh-CN" sz="900" b="0" i="0" u="none" strike="noStrike" baseline="0">
                        <a:solidFill>
                          <a:srgbClr val="404040"/>
                        </a:solidFill>
                        <a:latin typeface="Times New Roman" panose="02020603050405020304"/>
                        <a:ea typeface="宋体" panose="02010600030101010101" charset="-122"/>
                        <a:cs typeface="Lucida Sans"/>
                      </a:rPr>
                      <a:t>公务接待费, 0.04, 1.05%</a:t>
                    </a:r>
                    <a:endParaRPr lang="zh-CN" sz="900" b="0" i="0" u="none" strike="noStrike" baseline="0">
                      <a:solidFill>
                        <a:srgbClr val="404040"/>
                      </a:solidFill>
                      <a:latin typeface="Times New Roman" panose="02020603050405020304"/>
                      <a:ea typeface="宋体" panose="02010600030101010101" charset="-122"/>
                      <a:cs typeface="Lucida Sans"/>
                    </a:endParaRPr>
                  </a:p>
                </c:rich>
              </c:tx>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inEnd"/>
              <c:showLegendKey val="0"/>
              <c:showVal val="1"/>
              <c:showCatName val="1"/>
              <c:showSerName val="0"/>
              <c:showPercent val="1"/>
              <c:showBubbleSize val="0"/>
              <c:extLst>
                <c:ext xmlns:c15="http://schemas.microsoft.com/office/drawing/2012/chart" uri="{CE6537A1-D6FC-4f65-9D91-7224C49458BB}"/>
              </c:extLst>
            </c:dLbl>
            <c:dLbl>
              <c:idx val="1"/>
              <c:layout>
                <c:manualLayout>
                  <c:x val="-0.06352889"/>
                  <c:y val="0.114408664"/>
                </c:manualLayout>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zh-CN" sz="900" b="0" i="0" u="none" strike="noStrike" baseline="0">
                        <a:solidFill>
                          <a:srgbClr val="404040"/>
                        </a:solidFill>
                        <a:latin typeface="Times New Roman" panose="02020603050405020304"/>
                        <a:ea typeface="宋体" panose="02010600030101010101" charset="-122"/>
                        <a:cs typeface="Lucida Sans"/>
                      </a:rPr>
                      <a:t>公务用车运行与维护费, 3.78, 98.95%</a:t>
                    </a:r>
                    <a:endParaRPr lang="zh-CN" sz="900" b="0" i="0" u="none" strike="noStrike" baseline="0">
                      <a:solidFill>
                        <a:srgbClr val="404040"/>
                      </a:solidFill>
                      <a:latin typeface="Times New Roman" panose="02020603050405020304"/>
                      <a:ea typeface="宋体" panose="02010600030101010101" charset="-122"/>
                      <a:cs typeface="Lucida Sans"/>
                    </a:endParaRPr>
                  </a:p>
                </c:rich>
              </c:tx>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bestFit"/>
              <c:showLegendKey val="0"/>
              <c:showVal val="1"/>
              <c:showCatName val="1"/>
              <c:showSerName val="0"/>
              <c:showPercent val="1"/>
              <c:showBubbleSize val="0"/>
              <c:extLst>
                <c:ext xmlns:c15="http://schemas.microsoft.com/office/drawing/2012/chart" uri="{CE6537A1-D6FC-4f65-9D91-7224C49458BB}">
                  <c15:layout/>
                </c:ext>
              </c:extLst>
            </c:dLbl>
            <c:dLbl>
              <c:idx val="2"/>
              <c:layout>
                <c:manualLayout>
                  <c:x val="-0.10059672"/>
                  <c:y val="0.035391122"/>
                </c:manualLayout>
              </c:layout>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bestFit"/>
              <c:showLegendKey val="0"/>
              <c:showVal val="1"/>
              <c:showCatName val="1"/>
              <c:showSerName val="0"/>
              <c:showPercent val="1"/>
              <c:showBubbleSize val="0"/>
              <c:extLst>
                <c:ext xmlns:c15="http://schemas.microsoft.com/office/drawing/2012/chart" uri="{CE6537A1-D6FC-4f65-9D91-7224C49458BB}">
                  <c15:layout/>
                </c:ext>
              </c:extLst>
            </c:dLbl>
            <c:dLbl>
              <c:idx val="3"/>
              <c:layout>
                <c:manualLayout>
                  <c:x val="-0.059098568"/>
                  <c:y val="-0.11300238"/>
                </c:manualLayout>
              </c:layout>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bestFit"/>
              <c:showLegendKey val="0"/>
              <c:showVal val="1"/>
              <c:showCatName val="1"/>
              <c:showSerName val="0"/>
              <c:showPercent val="1"/>
              <c:showBubbleSize val="0"/>
              <c:extLst>
                <c:ext xmlns:c15="http://schemas.microsoft.com/office/drawing/2012/chart" uri="{CE6537A1-D6FC-4f65-9D91-7224C49458BB}">
                  <c15:layout/>
                </c:ext>
              </c:extLst>
            </c:dLbl>
            <c:dLbl>
              <c:idx val="4"/>
              <c:layout>
                <c:manualLayout>
                  <c:x val="0.0022960156"/>
                  <c:y val="-0.0030590496"/>
                </c:manualLayout>
              </c:layout>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bestFit"/>
              <c:showLegendKey val="0"/>
              <c:showVal val="1"/>
              <c:showCatName val="1"/>
              <c:showSerName val="0"/>
              <c:showPercent val="1"/>
              <c:showBubbleSize val="0"/>
              <c:extLst>
                <c:ext xmlns:c15="http://schemas.microsoft.com/office/drawing/2012/chart" uri="{CE6537A1-D6FC-4f65-9D91-7224C49458BB}">
                  <c15:layout/>
                </c:ext>
              </c:extLst>
            </c:dLbl>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in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{"公务接待费","公务用车运行与维护费","","",""}</c:f>
              <c:strCache>
                <c:ptCount val="5"/>
                <c:pt idx="0">
                  <c:v>公务接待费</c:v>
                </c:pt>
                <c:pt idx="1">
                  <c:v>公务用车运行与维护费</c:v>
                </c:pt>
              </c:strCache>
            </c:strRef>
          </c:cat>
          <c:val>
            <c:numRef>
              <c:f>{0.04,3.78,#N/A,#N/A,#N/A}</c:f>
              <c:numCache>
                <c:formatCode>General</c:formatCode>
                <c:ptCount val="5"/>
                <c:pt idx="0">
                  <c:v>0.04</c:v>
                </c:pt>
                <c:pt idx="1">
                  <c:v>3.78</c:v>
                </c:pt>
              </c:numCache>
            </c:numRef>
          </c:val>
        </c:ser>
        <c:dLbls>
          <c:showLegendKey val="0"/>
          <c:showVal val="1"/>
          <c:showCatName val="1"/>
          <c:showSerName val="0"/>
          <c:showPercent val="1"/>
          <c:showBubbleSize val="0"/>
          <c:showLeaderLines val="1"/>
        </c:dLbls>
        <c:firstSliceAng val="0"/>
      </c:pieChart>
      <c:spPr>
        <a:noFill/>
        <a:ln>
          <a:noFill/>
        </a:ln>
      </c:spPr>
    </c:plotArea>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1</Pages>
  <Words>7</Words>
  <Characters>7</Characters>
  <Lines>1</Lines>
  <Paragraphs>0</Paragraphs>
  <TotalTime>2</TotalTime>
  <ScaleCrop>false</ScaleCrop>
  <LinksUpToDate>false</LinksUpToDate>
  <CharactersWithSpaces>7</CharactersWithSpaces>
  <Application>WPS Office_11.8.2.12065_F1E327BC-269C-435d-A152-05C5408002CA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user</cp:lastModifiedBy>
  <cp:lastPrinted>2021-09-26T10:54:00Z</cp:lastPrinted>
  <dcterms:modified xsi:type="dcterms:W3CDTF">2026-04-22T10:10:43Z</dcterms:modified>
  <dc:title>四川省***</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69FD6E65A52046A9A38A8F55C36BEE17</vt:lpwstr>
  </property>
</Properties>
</file>