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both"/>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8441"/>
      <w:bookmarkStart w:id="3" w:name="_Toc15396475"/>
      <w:bookmarkStart w:id="4" w:name="_Toc15396597"/>
      <w:bookmarkStart w:id="5" w:name="_Toc15377425"/>
      <w:bookmarkStart w:id="6" w:name="_Toc9461"/>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7400"/>
      <w:bookmarkStart w:id="8" w:name="_Toc15377426"/>
      <w:bookmarkStart w:id="9" w:name="_Toc15396598"/>
      <w:bookmarkStart w:id="10" w:name="_Toc15378442"/>
      <w:bookmarkStart w:id="11" w:name="_Toc15396476"/>
      <w:bookmarkStart w:id="12" w:name="_Toc15377194"/>
      <w:r>
        <w:rPr>
          <w:rFonts w:hint="eastAsia" w:ascii="方正小标宋简体" w:hAnsi="宋体" w:eastAsia="方正小标宋简体"/>
          <w:color w:val="000000"/>
          <w:sz w:val="72"/>
          <w:szCs w:val="72"/>
        </w:rPr>
        <w:t>四川省阿坝州</w:t>
      </w:r>
      <w:bookmarkEnd w:id="0"/>
      <w:bookmarkStart w:id="13" w:name="_Toc15306268"/>
      <w:r>
        <w:rPr>
          <w:rFonts w:hint="eastAsia" w:ascii="方正小标宋简体" w:hAnsi="宋体" w:eastAsia="方正小标宋简体"/>
          <w:color w:val="000000"/>
          <w:sz w:val="72"/>
          <w:szCs w:val="72"/>
          <w:lang w:eastAsia="zh-CN"/>
        </w:rPr>
        <w:t>茂县司法局</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both"/>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TOC \o "1-2" \h \z \u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_Toc9461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_Toc9461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_Toc7400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四川省阿坝州</w:t>
      </w:r>
      <w:r>
        <w:rPr>
          <w:rFonts w:hint="eastAsia" w:ascii="仿宋_GB2312" w:hAnsi="仿宋_GB2312" w:eastAsia="仿宋_GB2312" w:cs="仿宋_GB2312"/>
          <w:sz w:val="32"/>
          <w:szCs w:val="32"/>
          <w:lang w:eastAsia="zh-CN"/>
        </w:rPr>
        <w:t>茂县司法局</w:t>
      </w:r>
      <w:r>
        <w:rPr>
          <w:rFonts w:hint="eastAsia" w:ascii="仿宋_GB2312" w:hAnsi="仿宋_GB2312" w:eastAsia="仿宋_GB2312" w:cs="仿宋_GB2312"/>
          <w:sz w:val="32"/>
          <w:szCs w:val="32"/>
        </w:rPr>
        <w:t>部门决算</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_Toc7400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_Toc6868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_Toc6868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_Toc625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_Toc12135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二、机</w:t>
      </w:r>
      <w:r>
        <w:rPr>
          <w:rFonts w:hint="eastAsia" w:ascii="仿宋_GB2312" w:hAnsi="仿宋_GB2312" w:eastAsia="仿宋_GB2312" w:cs="仿宋_GB2312"/>
          <w:bCs w:val="0"/>
          <w:sz w:val="32"/>
          <w:szCs w:val="32"/>
        </w:rPr>
        <w:t>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_Toc12135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_Toc9554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第二部分 </w:t>
      </w:r>
      <w:r>
        <w:rPr>
          <w:rFonts w:hint="eastAsia" w:ascii="仿宋_GB2312" w:hAnsi="仿宋_GB2312" w:eastAsia="仿宋_GB2312" w:cs="仿宋_GB2312"/>
          <w:bCs w:val="0"/>
          <w:sz w:val="32"/>
          <w:szCs w:val="32"/>
        </w:rPr>
        <w:t>20</w:t>
      </w:r>
      <w:r>
        <w:rPr>
          <w:rFonts w:hint="eastAsia" w:ascii="仿宋_GB2312" w:hAnsi="仿宋_GB2312" w:eastAsia="仿宋_GB2312" w:cs="仿宋_GB2312"/>
          <w:bCs w:val="0"/>
          <w:sz w:val="32"/>
          <w:szCs w:val="32"/>
          <w:lang w:val="en-US" w:eastAsia="zh-CN"/>
        </w:rPr>
        <w:t>20</w:t>
      </w:r>
      <w:r>
        <w:rPr>
          <w:rFonts w:hint="eastAsia" w:ascii="仿宋_GB2312" w:hAnsi="仿宋_GB2312" w:eastAsia="仿宋_GB2312" w:cs="仿宋_GB2312"/>
          <w:bCs w:val="0"/>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_Toc5278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 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_Toc15679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 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_Toc19269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 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_Toc19269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_Toc25121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_Toc25121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_Toc17771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_Toc17771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_Toc7814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_Toc7814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_Toc26555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_Toc26555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_Toc13883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（一）“三公”经费财政拨款支出决算总体情况说明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_Toc13883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_Toc5459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_Toc5459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_Toc32116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_Toc32116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_Toc17733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_Toc17733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_Toc31717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_Toc31717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_Toc16826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_Toc16826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_Toc14160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_Toc14160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_Toc13499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w:t>
      </w:r>
      <w:r>
        <w:rPr>
          <w:rFonts w:hint="eastAsia" w:ascii="仿宋_GB2312" w:hAnsi="仿宋_GB2312" w:eastAsia="仿宋_GB2312" w:cs="仿宋_GB2312"/>
          <w:bCs w:val="0"/>
          <w:sz w:val="32"/>
          <w:szCs w:val="32"/>
        </w:rPr>
        <w:t>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_Toc13499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_Toc18339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w:t>
      </w:r>
      <w:r>
        <w:rPr>
          <w:rFonts w:hint="eastAsia" w:ascii="仿宋_GB2312" w:hAnsi="仿宋_GB2312" w:eastAsia="仿宋_GB2312" w:cs="仿宋_GB2312"/>
          <w:bCs w:val="0"/>
          <w:sz w:val="32"/>
          <w:szCs w:val="32"/>
        </w:rPr>
        <w:t>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_Toc18339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_Toc15461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val="0"/>
          <w:sz w:val="32"/>
          <w:szCs w:val="32"/>
        </w:rPr>
        <w:t>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_Toc15461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_Toc10461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四、</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_Toc10461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_Toc18858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五、</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_Toc18858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_Toc8535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六、</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_Toc8535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_Toc26112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七、</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_Toc26112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_Toc1833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八、</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_Toc8115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九、</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_Toc8115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_Toc17845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_Toc17845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_Toc6589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十一、</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_Toc6589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_Toc19626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十二、</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_Toc19626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_Toc25414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十三、</w:t>
      </w:r>
      <w:r>
        <w:rPr>
          <w:rFonts w:hint="eastAsia" w:ascii="仿宋_GB2312" w:hAnsi="仿宋_GB2312" w:eastAsia="仿宋_GB2312" w:cs="仿宋_GB2312"/>
          <w:sz w:val="32"/>
          <w:szCs w:val="32"/>
        </w:rPr>
        <w:t>国</w:t>
      </w:r>
      <w:r>
        <w:rPr>
          <w:rFonts w:hint="eastAsia" w:ascii="仿宋_GB2312" w:hAnsi="仿宋_GB2312" w:eastAsia="仿宋_GB2312" w:cs="仿宋_GB2312"/>
          <w:bCs w:val="0"/>
          <w:sz w:val="32"/>
          <w:szCs w:val="32"/>
        </w:rPr>
        <w:t>有资本经营预算</w:t>
      </w:r>
      <w:r>
        <w:rPr>
          <w:rFonts w:hint="eastAsia" w:ascii="仿宋_GB2312" w:hAnsi="仿宋_GB2312" w:eastAsia="仿宋_GB2312" w:cs="仿宋_GB2312"/>
          <w:bCs w:val="0"/>
          <w:sz w:val="32"/>
          <w:szCs w:val="32"/>
          <w:lang w:val="en-US" w:eastAsia="zh-CN"/>
        </w:rPr>
        <w:t>财政拨款收入支出决算表</w:t>
      </w:r>
      <w:r>
        <w:rPr>
          <w:rFonts w:hint="eastAsia" w:ascii="仿宋_GB2312" w:hAnsi="仿宋_GB2312" w:eastAsia="仿宋_GB2312" w:cs="仿宋_GB2312"/>
          <w:bCs w:val="0"/>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_Toc25414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sz w:val="32"/>
          <w:szCs w:val="32"/>
        </w:rPr>
        <w:instrText xml:space="preserve"> HYPERLINK \l _Toc7160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lang w:val="en-US" w:eastAsia="zh-CN"/>
        </w:rPr>
        <w:t>十四、国有资本经营预算财政拨款支出决算表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_Toc7160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rPr>
        <w:fldChar w:fldCharType="end"/>
      </w:r>
    </w:p>
    <w:p>
      <w:pPr>
        <w:widowControl/>
        <w:adjustRightInd w:val="0"/>
        <w:snapToGrid w:val="0"/>
        <w:spacing w:line="440" w:lineRule="exact"/>
        <w:ind w:firstLine="1760" w:firstLineChars="550"/>
        <w:jc w:val="left"/>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fldChar w:fldCharType="end"/>
      </w:r>
    </w:p>
    <w:p>
      <w:pPr>
        <w:widowControl/>
        <w:spacing w:line="440" w:lineRule="exact"/>
        <w:jc w:val="left"/>
        <w:rPr>
          <w:rFonts w:ascii="仿宋" w:hAnsi="仿宋" w:eastAsia="仿宋"/>
          <w:bCs/>
          <w:kern w:val="44"/>
          <w:sz w:val="24"/>
        </w:rPr>
      </w:pPr>
      <w:bookmarkStart w:id="14" w:name="_Toc15377196"/>
      <w:r>
        <w:rPr>
          <w:rFonts w:ascii="仿宋" w:hAnsi="仿宋" w:eastAsia="仿宋"/>
          <w:b/>
          <w:sz w:val="24"/>
        </w:rPr>
        <w:br w:type="page"/>
      </w:r>
    </w:p>
    <w:p>
      <w:pPr>
        <w:pStyle w:val="2"/>
        <w:jc w:val="center"/>
        <w:rPr>
          <w:rStyle w:val="24"/>
          <w:rFonts w:ascii="黑体" w:hAnsi="黑体" w:eastAsia="黑体"/>
          <w:b/>
          <w:bCs w:val="0"/>
        </w:rPr>
      </w:pPr>
      <w:bookmarkStart w:id="15" w:name="_Toc6868"/>
      <w:r>
        <w:rPr>
          <w:rFonts w:hint="eastAsia" w:ascii="黑体" w:hAnsi="黑体" w:eastAsia="黑体"/>
          <w:b w:val="0"/>
        </w:rPr>
        <w:t xml:space="preserve">第一部分 </w:t>
      </w:r>
      <w:r>
        <w:rPr>
          <w:rStyle w:val="24"/>
          <w:rFonts w:hint="eastAsia" w:ascii="黑体" w:hAnsi="黑体" w:eastAsia="黑体"/>
          <w:b w:val="0"/>
          <w:bCs w:val="0"/>
        </w:rPr>
        <w:t>部门概况</w:t>
      </w:r>
      <w:bookmarkEnd w:id="14"/>
      <w:bookmarkEnd w:id="15"/>
    </w:p>
    <w:p>
      <w:pPr>
        <w:widowControl/>
        <w:jc w:val="left"/>
        <w:rPr>
          <w:rFonts w:ascii="黑体" w:eastAsia="黑体"/>
          <w:color w:val="000000"/>
          <w:sz w:val="32"/>
          <w:szCs w:val="32"/>
        </w:rPr>
      </w:pPr>
    </w:p>
    <w:p>
      <w:pPr>
        <w:pStyle w:val="3"/>
        <w:pageBreakBefore w:val="0"/>
        <w:widowControl w:val="0"/>
        <w:kinsoku/>
        <w:wordWrap/>
        <w:overflowPunct/>
        <w:topLinePunct w:val="0"/>
        <w:autoSpaceDE/>
        <w:autoSpaceDN/>
        <w:bidi w:val="0"/>
        <w:spacing w:line="576" w:lineRule="exact"/>
        <w:textAlignment w:val="auto"/>
        <w:rPr>
          <w:rStyle w:val="25"/>
          <w:rFonts w:ascii="仿宋" w:hAnsi="仿宋" w:eastAsia="仿宋"/>
          <w:b w:val="0"/>
          <w:bCs w:val="0"/>
        </w:rPr>
      </w:pPr>
      <w:bookmarkStart w:id="16" w:name="_Toc625"/>
      <w:bookmarkStart w:id="17"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p>
    <w:p>
      <w:pPr>
        <w:pStyle w:val="5"/>
        <w:pageBreakBefore w:val="0"/>
        <w:widowControl w:val="0"/>
        <w:kinsoku/>
        <w:wordWrap/>
        <w:overflowPunct/>
        <w:topLinePunct w:val="0"/>
        <w:autoSpaceDE/>
        <w:autoSpaceDN/>
        <w:bidi w:val="0"/>
        <w:adjustRightInd w:val="0"/>
        <w:snapToGrid w:val="0"/>
        <w:spacing w:before="93" w:line="576" w:lineRule="exact"/>
        <w:ind w:firstLine="675" w:firstLineChars="210"/>
        <w:textAlignment w:val="auto"/>
        <w:outlineLvl w:val="2"/>
        <w:rPr>
          <w:rFonts w:hint="eastAsia" w:ascii="楷体_GB2312" w:hAnsi="楷体_GB2312" w:eastAsia="楷体_GB2312" w:cs="楷体_GB2312"/>
          <w:b/>
          <w:bCs/>
          <w:kern w:val="2"/>
          <w:sz w:val="32"/>
          <w:szCs w:val="32"/>
          <w:lang w:val="en-US" w:eastAsia="zh-CN" w:bidi="ar-SA"/>
        </w:rPr>
      </w:pPr>
      <w:bookmarkStart w:id="18" w:name="_Toc15378445"/>
      <w:bookmarkStart w:id="19" w:name="_Toc15377198"/>
      <w:r>
        <w:rPr>
          <w:rFonts w:hint="eastAsia" w:ascii="楷体_GB2312" w:hAnsi="楷体_GB2312" w:eastAsia="楷体_GB2312" w:cs="楷体_GB2312"/>
          <w:b/>
          <w:bCs/>
          <w:kern w:val="2"/>
          <w:sz w:val="32"/>
          <w:szCs w:val="32"/>
          <w:lang w:val="en-US" w:eastAsia="zh-CN" w:bidi="ar-SA"/>
        </w:rPr>
        <w:t>（一）主要职能</w:t>
      </w:r>
      <w:bookmarkEnd w:id="18"/>
      <w:bookmarkEnd w:id="19"/>
      <w:bookmarkStart w:id="20" w:name="_Toc15377199"/>
      <w:bookmarkStart w:id="21" w:name="_Toc15378446"/>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承担全面依法治国、依法治省、依法治州、依法治县重大问题的政策研究，协调有关方面提出全面依法治县规划建议,负责有关重大决策部署督察工作。</w:t>
      </w:r>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负责县人民政府规范性文件、重大行政决策的合法性审查。承办县人民政府发布规范性文件的报送备案工作。负责各乡(镇)人民政府和县人民政府各部门规范性文件报送县人民政府的备案审查工作。组织开展规范性文件清理。</w:t>
      </w:r>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承担统筹推进法治政府建设的责任。指导监督县人民政府各部门、各乡(镇)人民政府依法行政工作。负责综合协调监督检査行政执法,协助推进行政执法体制改革有关工作,推进严格规范公正文明执法。指导监督全县行政复议、行政应诉和行政赔偿工作,承办向县人民政府申请的行政复议、行政赔偿案件代理县人民政府行政应诉案件。</w:t>
      </w:r>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w:t>
      </w:r>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负责管理社区矫正日常工作。指导、协调有关部门对刑满释放人员的帮教安置工作。</w:t>
      </w:r>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 xml:space="preserve">负责全县公共法律服务体系建设的规划实施。负责监督管理律师、公证、法律援助、司法鉴定、仲裁和基层法律服务工作。协助上级部门开展国家统一法律职业资格考试的组织实工作。 </w:t>
      </w:r>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7.</w:t>
      </w:r>
      <w:r>
        <w:rPr>
          <w:rFonts w:hint="eastAsia" w:ascii="仿宋_GB2312" w:hAnsi="仿宋" w:eastAsia="仿宋_GB2312"/>
          <w:sz w:val="32"/>
          <w:szCs w:val="32"/>
        </w:rPr>
        <w:t xml:space="preserve">负责本单位服装和警车管理工作。负责本单位财务、装备、设施、场所等保障工作。 </w:t>
      </w:r>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8.</w:t>
      </w:r>
      <w:r>
        <w:rPr>
          <w:rFonts w:hint="eastAsia" w:ascii="仿宋_GB2312" w:hAnsi="仿宋" w:eastAsia="仿宋_GB2312"/>
          <w:sz w:val="32"/>
          <w:szCs w:val="32"/>
        </w:rPr>
        <w:t xml:space="preserve">规划、协调法治人才队伍建设相关工作，负责本单位队伍建设。 </w:t>
      </w:r>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9.</w:t>
      </w:r>
      <w:r>
        <w:rPr>
          <w:rFonts w:hint="eastAsia" w:ascii="仿宋_GB2312" w:hAnsi="仿宋" w:eastAsia="仿宋_GB2312"/>
          <w:sz w:val="32"/>
          <w:szCs w:val="32"/>
        </w:rPr>
        <w:t xml:space="preserve">负责本单位行政审批工作。负责全县外来企业投诉处理和民营企业法律服务工作。 </w:t>
      </w:r>
    </w:p>
    <w:p>
      <w:pPr>
        <w:pageBreakBefore w:val="0"/>
        <w:widowControl w:val="0"/>
        <w:kinsoku/>
        <w:wordWrap/>
        <w:overflowPunct/>
        <w:topLinePunct w:val="0"/>
        <w:autoSpaceDE/>
        <w:autoSpaceDN/>
        <w:bidi w:val="0"/>
        <w:snapToGrid w:val="0"/>
        <w:spacing w:line="576" w:lineRule="exact"/>
        <w:ind w:firstLine="640" w:firstLineChars="200"/>
        <w:textAlignment w:val="auto"/>
        <w:rPr>
          <w:rFonts w:hint="eastAsia" w:ascii="仿宋" w:hAnsi="仿宋" w:eastAsia="仿宋"/>
          <w:bCs/>
          <w:color w:val="000000"/>
          <w:sz w:val="32"/>
          <w:szCs w:val="32"/>
        </w:rPr>
      </w:pPr>
      <w:r>
        <w:rPr>
          <w:rFonts w:hint="eastAsia" w:ascii="仿宋_GB2312" w:hAnsi="仿宋" w:eastAsia="仿宋_GB2312"/>
          <w:sz w:val="32"/>
          <w:szCs w:val="32"/>
          <w:lang w:val="en-US" w:eastAsia="zh-CN"/>
        </w:rPr>
        <w:t>10.</w:t>
      </w:r>
      <w:r>
        <w:rPr>
          <w:rFonts w:hint="eastAsia" w:ascii="仿宋_GB2312" w:hAnsi="仿宋" w:eastAsia="仿宋_GB2312"/>
          <w:sz w:val="32"/>
          <w:szCs w:val="32"/>
        </w:rPr>
        <w:t>完成县委、县人民政府交办的其他任务。</w:t>
      </w:r>
    </w:p>
    <w:p>
      <w:pPr>
        <w:pStyle w:val="5"/>
        <w:pageBreakBefore w:val="0"/>
        <w:widowControl w:val="0"/>
        <w:kinsoku/>
        <w:wordWrap/>
        <w:overflowPunct/>
        <w:topLinePunct w:val="0"/>
        <w:autoSpaceDE/>
        <w:autoSpaceDN/>
        <w:bidi w:val="0"/>
        <w:adjustRightInd w:val="0"/>
        <w:snapToGrid w:val="0"/>
        <w:spacing w:before="93" w:line="576" w:lineRule="exact"/>
        <w:ind w:firstLine="675" w:firstLineChars="210"/>
        <w:textAlignment w:val="auto"/>
        <w:outlineLvl w:val="2"/>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（二）2020年重点工作完成情况</w:t>
      </w:r>
      <w:bookmarkEnd w:id="20"/>
      <w:bookmarkEnd w:id="21"/>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1.认真履职尽责，全面依法治县工作上新台阶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州委依法治州办印发的工作要点等有关文件精神，起草了《茂县全面依法治县2020年工作要点（征求意见稿）》，并及时征求67个成员单位意见，收回意见3条。协助和配合上级人大开展《阿坝藏族羌族自治州森林草原防灭火条例》立法调研工作，并结合茂县实际提出建议意见4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2.政府法制工作迈出新步伐，依法行政能力有效提升</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Style w:val="30"/>
          <w:rFonts w:hint="eastAsia" w:ascii="仿宋_GB2312" w:hAnsi="仿宋_GB2312" w:eastAsia="仿宋_GB2312"/>
          <w:sz w:val="32"/>
          <w:szCs w:val="32"/>
          <w:lang w:eastAsia="zh-CN"/>
        </w:rPr>
      </w:pPr>
      <w:r>
        <w:rPr>
          <w:rStyle w:val="30"/>
          <w:rFonts w:hint="eastAsia" w:ascii="仿宋_GB2312" w:hAnsi="仿宋_GB2312" w:eastAsia="仿宋_GB2312" w:cs="仿宋_GB2312"/>
          <w:bCs/>
          <w:sz w:val="32"/>
          <w:szCs w:val="32"/>
        </w:rPr>
        <w:t>严格制度落实，认真履行工作职责</w:t>
      </w:r>
      <w:r>
        <w:rPr>
          <w:rStyle w:val="30"/>
          <w:rFonts w:hint="eastAsia" w:ascii="仿宋_GB2312" w:hAnsi="仿宋_GB2312" w:eastAsia="仿宋_GB2312" w:cs="仿宋_GB2312"/>
          <w:bCs/>
          <w:sz w:val="32"/>
          <w:szCs w:val="32"/>
          <w:lang w:eastAsia="zh-CN"/>
        </w:rPr>
        <w:t>，</w:t>
      </w:r>
      <w:r>
        <w:rPr>
          <w:rStyle w:val="30"/>
          <w:rFonts w:hint="eastAsia" w:ascii="仿宋_GB2312" w:hAnsi="仿宋_GB2312" w:eastAsia="仿宋_GB2312" w:cs="仿宋_GB2312"/>
          <w:bCs/>
          <w:sz w:val="32"/>
          <w:szCs w:val="32"/>
          <w:lang w:val="en-US" w:eastAsia="zh-CN"/>
        </w:rPr>
        <w:t>2020年，</w:t>
      </w:r>
      <w:r>
        <w:rPr>
          <w:rStyle w:val="30"/>
          <w:rFonts w:hint="eastAsia" w:ascii="仿宋_GB2312" w:hAnsi="仿宋_GB2312" w:eastAsia="仿宋_GB2312"/>
          <w:sz w:val="32"/>
          <w:szCs w:val="32"/>
        </w:rPr>
        <w:t>共进行法律审查50件（法律顾问出具22件），其中出具合法性审查意见书21件，法律意见书29件（法律顾问出具22件）</w:t>
      </w:r>
      <w:r>
        <w:rPr>
          <w:rStyle w:val="30"/>
          <w:rFonts w:hint="eastAsia" w:ascii="仿宋_GB2312" w:hAnsi="仿宋_GB2312" w:eastAsia="仿宋_GB2312"/>
          <w:sz w:val="32"/>
          <w:szCs w:val="32"/>
          <w:lang w:eastAsia="zh-CN"/>
        </w:rPr>
        <w:t>；</w:t>
      </w:r>
      <w:r>
        <w:rPr>
          <w:rStyle w:val="30"/>
          <w:rFonts w:hint="eastAsia" w:ascii="仿宋_GB2312" w:hAnsi="仿宋_GB2312" w:eastAsia="仿宋_GB2312"/>
          <w:kern w:val="2"/>
          <w:sz w:val="32"/>
          <w:szCs w:val="32"/>
        </w:rPr>
        <w:t>共清理证明事项44项</w:t>
      </w:r>
      <w:r>
        <w:rPr>
          <w:rStyle w:val="30"/>
          <w:rFonts w:hint="eastAsia" w:ascii="仿宋_GB2312" w:hAnsi="仿宋_GB2312" w:eastAsia="仿宋_GB2312"/>
          <w:kern w:val="2"/>
          <w:sz w:val="32"/>
          <w:szCs w:val="32"/>
          <w:lang w:eastAsia="zh-CN"/>
        </w:rPr>
        <w:t>，</w:t>
      </w:r>
      <w:r>
        <w:rPr>
          <w:rStyle w:val="30"/>
          <w:rFonts w:hint="eastAsia" w:ascii="仿宋_GB2312" w:hAnsi="仿宋_GB2312" w:eastAsia="仿宋_GB2312"/>
          <w:kern w:val="2"/>
          <w:sz w:val="32"/>
          <w:szCs w:val="32"/>
        </w:rPr>
        <w:t>经清理，拟建议保留43项，取消1项</w:t>
      </w:r>
      <w:r>
        <w:rPr>
          <w:rStyle w:val="30"/>
          <w:rFonts w:hint="eastAsia" w:ascii="仿宋_GB2312" w:hAnsi="仿宋_GB2312" w:eastAsia="仿宋_GB2312"/>
          <w:kern w:val="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以“法律七进”为载体全面推进普法依法治理工作。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Style w:val="30"/>
          <w:rFonts w:hint="eastAsia" w:ascii="仿宋_GB2312" w:hAnsi="仿宋" w:eastAsia="仿宋_GB2312"/>
          <w:sz w:val="32"/>
          <w:szCs w:val="32"/>
          <w:lang w:val="en-US" w:eastAsia="zh-CN"/>
        </w:rPr>
        <w:t>2020年，</w:t>
      </w:r>
      <w:r>
        <w:rPr>
          <w:rStyle w:val="30"/>
          <w:rFonts w:hint="eastAsia" w:ascii="仿宋_GB2312" w:hAnsi="仿宋" w:eastAsia="仿宋_GB2312"/>
          <w:sz w:val="32"/>
          <w:szCs w:val="32"/>
        </w:rPr>
        <w:t>开展“法律七进”各类活动750场次，</w:t>
      </w:r>
      <w:r>
        <w:rPr>
          <w:rStyle w:val="30"/>
          <w:rFonts w:hint="eastAsia" w:ascii="仿宋_GB2312" w:hAnsi="仿宋" w:eastAsia="仿宋_GB2312"/>
          <w:sz w:val="32"/>
          <w:szCs w:val="32"/>
          <w:lang w:val="en-US" w:eastAsia="zh-CN"/>
        </w:rPr>
        <w:t>宣传对象</w:t>
      </w:r>
      <w:r>
        <w:rPr>
          <w:rStyle w:val="30"/>
          <w:rFonts w:hint="eastAsia" w:ascii="仿宋_GB2312" w:hAnsi="仿宋" w:eastAsia="仿宋_GB2312"/>
          <w:sz w:val="32"/>
          <w:szCs w:val="32"/>
        </w:rPr>
        <w:t>81020余人次，微信发布普法法治微信800余条，推送普法短信330余条，推送法治公益广告2条，营造了良好的法治氛围。</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加强司法所规范化建设，深化人民调解工作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Style w:val="30"/>
          <w:rFonts w:hint="eastAsia" w:ascii="仿宋_GB2312" w:hAnsi="仿宋_GB2312" w:eastAsia="仿宋_GB2312"/>
          <w:sz w:val="32"/>
          <w:szCs w:val="32"/>
        </w:rPr>
      </w:pPr>
      <w:r>
        <w:rPr>
          <w:rStyle w:val="30"/>
          <w:rFonts w:hint="eastAsia" w:ascii="仿宋_GB2312" w:hAnsi="仿宋_GB2312" w:eastAsia="仿宋_GB2312"/>
          <w:sz w:val="32"/>
          <w:szCs w:val="32"/>
        </w:rPr>
        <w:t>按照省级规范化司法所按要求，开展沟口、土门等7个省级规范化司法所建设工作，成果符合省级规范化司法所建设要求。</w:t>
      </w:r>
      <w:r>
        <w:rPr>
          <w:rStyle w:val="30"/>
          <w:rFonts w:hint="eastAsia" w:ascii="仿宋_GB2312" w:hAnsi="仿宋" w:eastAsia="仿宋_GB2312"/>
          <w:sz w:val="32"/>
          <w:szCs w:val="32"/>
        </w:rPr>
        <w:t>深入开展矛盾纠纷排查化解工作，</w:t>
      </w:r>
      <w:r>
        <w:rPr>
          <w:rFonts w:hint="eastAsia" w:ascii="仿宋_GB2312" w:hAnsi="仿宋_GB2312" w:eastAsia="仿宋_GB2312" w:cs="仿宋_GB2312"/>
          <w:sz w:val="32"/>
          <w:szCs w:val="32"/>
        </w:rPr>
        <w:t>共排查调处各类矛盾纠纷</w:t>
      </w:r>
      <w:r>
        <w:rPr>
          <w:rStyle w:val="30"/>
          <w:rFonts w:hint="eastAsia" w:ascii="仿宋_GB2312" w:hAnsi="仿宋_GB2312" w:eastAsia="仿宋_GB2312"/>
          <w:sz w:val="32"/>
          <w:szCs w:val="32"/>
          <w:lang w:val="en-US" w:eastAsia="zh-CN"/>
        </w:rPr>
        <w:t>259</w:t>
      </w:r>
      <w:r>
        <w:rPr>
          <w:rStyle w:val="30"/>
          <w:rFonts w:hint="eastAsia" w:ascii="仿宋_GB2312" w:hAnsi="仿宋_GB2312" w:eastAsia="仿宋_GB2312"/>
          <w:sz w:val="32"/>
          <w:szCs w:val="32"/>
        </w:rPr>
        <w:t>件（涉疫情矛盾纠纷5件），</w:t>
      </w:r>
      <w:r>
        <w:rPr>
          <w:rStyle w:val="30"/>
          <w:rFonts w:hint="eastAsia" w:ascii="仿宋_GB2312" w:hAnsi="仿宋_GB2312" w:eastAsia="仿宋_GB2312"/>
          <w:sz w:val="32"/>
          <w:szCs w:val="32"/>
          <w:lang w:val="en-US" w:eastAsia="zh-CN"/>
        </w:rPr>
        <w:t>其中镇村两级调解机构调处165件，</w:t>
      </w:r>
      <w:r>
        <w:rPr>
          <w:rStyle w:val="30"/>
          <w:rFonts w:hint="eastAsia" w:ascii="仿宋_GB2312" w:hAnsi="仿宋_GB2312" w:eastAsia="仿宋_GB2312"/>
          <w:sz w:val="32"/>
          <w:szCs w:val="32"/>
        </w:rPr>
        <w:t>调处率100%，调处成功率</w:t>
      </w:r>
      <w:r>
        <w:rPr>
          <w:rStyle w:val="30"/>
          <w:rFonts w:hint="eastAsia" w:ascii="仿宋_GB2312" w:hAnsi="仿宋_GB2312" w:eastAsia="仿宋_GB2312"/>
          <w:sz w:val="32"/>
          <w:szCs w:val="32"/>
          <w:lang w:val="en-US" w:eastAsia="zh-CN"/>
        </w:rPr>
        <w:t>98</w:t>
      </w:r>
      <w:r>
        <w:rPr>
          <w:rStyle w:val="30"/>
          <w:rFonts w:hint="eastAsia" w:ascii="仿宋_GB2312" w:hAns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lang w:eastAsia="zh-CN"/>
        </w:rPr>
        <w:t>公共法律服务优化升级，保障社会民生改善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Style w:val="30"/>
          <w:rFonts w:ascii="仿宋_GB2312" w:hAnsi="仿宋_GB2312" w:eastAsia="仿宋_GB2312"/>
          <w:color w:val="000000"/>
          <w:sz w:val="32"/>
          <w:szCs w:val="32"/>
        </w:rPr>
      </w:pPr>
      <w:r>
        <w:rPr>
          <w:rStyle w:val="30"/>
          <w:rFonts w:ascii="仿宋_GB2312" w:hAnsi="黑体" w:eastAsia="仿宋_GB2312"/>
          <w:color w:val="000000"/>
          <w:sz w:val="32"/>
          <w:szCs w:val="32"/>
        </w:rPr>
        <w:t>大力开展法律援助</w:t>
      </w:r>
      <w:r>
        <w:rPr>
          <w:rStyle w:val="30"/>
          <w:rFonts w:ascii="仿宋_GB2312" w:hAnsi="仿宋_GB2312" w:eastAsia="仿宋_GB2312"/>
          <w:color w:val="000000"/>
          <w:sz w:val="32"/>
          <w:szCs w:val="32"/>
        </w:rPr>
        <w:t>，加强对老弱病残、贫困户、农民工等特殊群体的法律援助。一年来，共受理法律援助案件8</w:t>
      </w:r>
      <w:r>
        <w:rPr>
          <w:rStyle w:val="30"/>
          <w:rFonts w:hint="eastAsia" w:ascii="仿宋_GB2312" w:hAnsi="仿宋_GB2312" w:eastAsia="仿宋_GB2312"/>
          <w:color w:val="000000"/>
          <w:sz w:val="32"/>
          <w:szCs w:val="32"/>
          <w:lang w:val="en-US" w:eastAsia="zh-CN"/>
        </w:rPr>
        <w:t>7</w:t>
      </w:r>
      <w:r>
        <w:rPr>
          <w:rStyle w:val="30"/>
          <w:rFonts w:ascii="仿宋_GB2312" w:hAnsi="仿宋_GB2312" w:eastAsia="仿宋_GB2312"/>
          <w:color w:val="000000"/>
          <w:sz w:val="32"/>
          <w:szCs w:val="32"/>
        </w:rPr>
        <w:t>件，其中民事案件52件</w:t>
      </w:r>
      <w:r>
        <w:rPr>
          <w:rStyle w:val="30"/>
          <w:rFonts w:hint="eastAsia" w:ascii="仿宋_GB2312" w:hAnsi="仿宋_GB2312" w:eastAsia="仿宋_GB2312"/>
          <w:color w:val="000000"/>
          <w:sz w:val="32"/>
          <w:szCs w:val="32"/>
          <w:lang w:eastAsia="zh-CN"/>
        </w:rPr>
        <w:t>（</w:t>
      </w:r>
      <w:r>
        <w:rPr>
          <w:rStyle w:val="30"/>
          <w:rFonts w:ascii="仿宋_GB2312" w:hAnsi="仿宋_GB2312" w:eastAsia="仿宋_GB2312"/>
          <w:color w:val="000000"/>
          <w:sz w:val="32"/>
          <w:szCs w:val="32"/>
        </w:rPr>
        <w:t>受理农民工案件30件，已办结26件，为其挽回损失71万</w:t>
      </w:r>
      <w:r>
        <w:rPr>
          <w:rStyle w:val="30"/>
          <w:rFonts w:hint="eastAsia" w:ascii="仿宋_GB2312" w:hAnsi="仿宋_GB2312" w:eastAsia="仿宋_GB2312"/>
          <w:color w:val="000000"/>
          <w:sz w:val="32"/>
          <w:szCs w:val="32"/>
          <w:lang w:eastAsia="zh-CN"/>
        </w:rPr>
        <w:t>）</w:t>
      </w:r>
      <w:r>
        <w:rPr>
          <w:rStyle w:val="30"/>
          <w:rFonts w:ascii="仿宋_GB2312" w:hAnsi="仿宋_GB2312" w:eastAsia="仿宋_GB2312"/>
          <w:color w:val="000000"/>
          <w:sz w:val="32"/>
          <w:szCs w:val="32"/>
        </w:rPr>
        <w:t>，已办结42件，为受援人挽回损失共计142万</w:t>
      </w:r>
      <w:r>
        <w:rPr>
          <w:rStyle w:val="30"/>
          <w:rFonts w:hint="eastAsia" w:ascii="仿宋_GB2312" w:hAnsi="仿宋_GB2312" w:eastAsia="仿宋_GB2312"/>
          <w:color w:val="000000"/>
          <w:sz w:val="32"/>
          <w:szCs w:val="32"/>
          <w:lang w:eastAsia="zh-CN"/>
        </w:rPr>
        <w:t>，</w:t>
      </w:r>
      <w:r>
        <w:rPr>
          <w:rStyle w:val="30"/>
          <w:rFonts w:ascii="仿宋_GB2312" w:hAnsi="仿宋_GB2312" w:eastAsia="仿宋_GB2312"/>
          <w:color w:val="000000"/>
          <w:sz w:val="32"/>
          <w:szCs w:val="32"/>
        </w:rPr>
        <w:t>刑事案件33件，已办结30件</w:t>
      </w:r>
      <w:r>
        <w:rPr>
          <w:rStyle w:val="30"/>
          <w:rFonts w:hint="eastAsia" w:ascii="仿宋_GB2312" w:hAnsi="仿宋_GB2312" w:eastAsia="仿宋_GB2312"/>
          <w:color w:val="000000"/>
          <w:sz w:val="32"/>
          <w:szCs w:val="32"/>
          <w:lang w:eastAsia="zh-CN"/>
        </w:rPr>
        <w:t>，</w:t>
      </w:r>
      <w:r>
        <w:rPr>
          <w:rStyle w:val="30"/>
          <w:rFonts w:ascii="仿宋_GB2312" w:hAnsi="仿宋_GB2312" w:eastAsia="仿宋_GB2312"/>
          <w:color w:val="000000"/>
          <w:sz w:val="32"/>
          <w:szCs w:val="32"/>
        </w:rPr>
        <w:t>行政案件2件，已办结1件</w:t>
      </w:r>
      <w:r>
        <w:rPr>
          <w:rStyle w:val="30"/>
          <w:rFonts w:hint="eastAsia" w:ascii="仿宋_GB2312" w:hAnsi="仿宋_GB2312" w:eastAsia="仿宋_GB2312"/>
          <w:color w:val="000000"/>
          <w:sz w:val="32"/>
          <w:szCs w:val="32"/>
          <w:lang w:eastAsia="zh-CN"/>
        </w:rPr>
        <w:t>。</w:t>
      </w:r>
      <w:r>
        <w:rPr>
          <w:rStyle w:val="30"/>
          <w:rFonts w:ascii="仿宋_GB2312" w:hAnsi="仿宋_GB2312" w:eastAsia="仿宋_GB2312"/>
          <w:color w:val="000000"/>
          <w:sz w:val="32"/>
          <w:szCs w:val="32"/>
        </w:rPr>
        <w:t>咨询814件，涉及1306人次；代书87份</w:t>
      </w:r>
      <w:r>
        <w:rPr>
          <w:rStyle w:val="30"/>
          <w:rFonts w:hint="eastAsia" w:ascii="仿宋_GB2312" w:hAnsi="仿宋_GB2312" w:eastAsia="仿宋_GB2312"/>
          <w:color w:val="000000"/>
          <w:sz w:val="32"/>
          <w:szCs w:val="32"/>
          <w:lang w:eastAsia="zh-CN"/>
        </w:rPr>
        <w:t>。</w:t>
      </w:r>
      <w:r>
        <w:rPr>
          <w:rStyle w:val="30"/>
          <w:rFonts w:ascii="仿宋_GB2312" w:hAnsi="仿宋_GB2312" w:eastAsia="仿宋_GB2312"/>
          <w:color w:val="000000"/>
          <w:sz w:val="32"/>
          <w:szCs w:val="32"/>
        </w:rPr>
        <w:t>律师提供法律帮助27人次</w:t>
      </w:r>
      <w:r>
        <w:rPr>
          <w:rStyle w:val="30"/>
          <w:rFonts w:hint="eastAsia" w:ascii="仿宋_GB2312" w:hAnsi="仿宋_GB2312" w:eastAsia="仿宋_GB2312"/>
          <w:color w:val="000000"/>
          <w:sz w:val="32"/>
          <w:szCs w:val="32"/>
          <w:lang w:eastAsia="zh-CN"/>
        </w:rPr>
        <w:t>；</w:t>
      </w:r>
      <w:r>
        <w:rPr>
          <w:rStyle w:val="30"/>
          <w:rFonts w:ascii="仿宋_GB2312" w:hAnsi="仿宋_GB2312" w:eastAsia="仿宋_GB2312"/>
          <w:color w:val="000000"/>
          <w:sz w:val="32"/>
          <w:szCs w:val="32"/>
        </w:rPr>
        <w:t>参与检察院认罪认罚40人次</w:t>
      </w:r>
      <w:r>
        <w:rPr>
          <w:rStyle w:val="30"/>
          <w:rFonts w:hint="eastAsia" w:ascii="仿宋_GB2312" w:hAnsi="仿宋_GB2312" w:eastAsia="仿宋_GB2312"/>
          <w:color w:val="000000"/>
          <w:sz w:val="32"/>
          <w:szCs w:val="32"/>
          <w:lang w:eastAsia="zh-CN"/>
        </w:rPr>
        <w:t>；</w:t>
      </w:r>
      <w:r>
        <w:rPr>
          <w:rStyle w:val="30"/>
          <w:rFonts w:ascii="仿宋_GB2312" w:hAnsi="仿宋_GB2312" w:eastAsia="仿宋_GB2312"/>
          <w:color w:val="000000"/>
          <w:sz w:val="32"/>
          <w:szCs w:val="32"/>
        </w:rPr>
        <w:t>办理行政复议案件2件。办理公证案</w:t>
      </w:r>
      <w:r>
        <w:rPr>
          <w:rStyle w:val="30"/>
          <w:rFonts w:hint="eastAsia" w:ascii="仿宋_GB2312" w:hAnsi="仿宋_GB2312" w:eastAsia="仿宋_GB2312"/>
          <w:color w:val="000000"/>
          <w:sz w:val="32"/>
          <w:szCs w:val="32"/>
          <w:lang w:val="en-US" w:eastAsia="zh-CN"/>
        </w:rPr>
        <w:t>件</w:t>
      </w:r>
      <w:r>
        <w:rPr>
          <w:rStyle w:val="30"/>
          <w:rFonts w:ascii="仿宋_GB2312" w:hAnsi="仿宋_GB2312" w:eastAsia="仿宋_GB2312"/>
          <w:color w:val="000000"/>
          <w:sz w:val="32"/>
          <w:szCs w:val="32"/>
        </w:rPr>
        <w:t>128</w:t>
      </w:r>
      <w:r>
        <w:rPr>
          <w:rStyle w:val="30"/>
          <w:rFonts w:hint="eastAsia" w:ascii="仿宋_GB2312" w:hAnsi="仿宋_GB2312" w:eastAsia="仿宋_GB2312"/>
          <w:color w:val="000000"/>
          <w:sz w:val="32"/>
          <w:szCs w:val="32"/>
          <w:lang w:val="en-US" w:eastAsia="zh-CN"/>
        </w:rPr>
        <w:t>件</w:t>
      </w:r>
      <w:r>
        <w:rPr>
          <w:rStyle w:val="30"/>
          <w:rFonts w:ascii="仿宋_GB2312" w:hAnsi="仿宋_GB2312" w:eastAsia="仿宋_GB2312"/>
          <w:color w:val="000000"/>
          <w:sz w:val="32"/>
          <w:szCs w:val="32"/>
        </w:rPr>
        <w:t>，办理公证援助案件44件，共减免费用11000元。公</w:t>
      </w:r>
      <w:r>
        <w:rPr>
          <w:rStyle w:val="30"/>
          <w:rFonts w:hint="eastAsia" w:ascii="仿宋_GB2312" w:hAnsi="仿宋_GB2312" w:eastAsia="仿宋_GB2312"/>
          <w:color w:val="000000"/>
          <w:sz w:val="32"/>
          <w:szCs w:val="32"/>
          <w:lang w:val="en-US" w:eastAsia="zh-CN"/>
        </w:rPr>
        <w:t>证</w:t>
      </w:r>
      <w:r>
        <w:rPr>
          <w:rStyle w:val="30"/>
          <w:rFonts w:ascii="仿宋_GB2312" w:hAnsi="仿宋_GB2312" w:eastAsia="仿宋_GB2312"/>
          <w:color w:val="000000"/>
          <w:sz w:val="32"/>
          <w:szCs w:val="32"/>
        </w:rPr>
        <w:t>咨询416件，涉及655人次。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lang w:eastAsia="zh-CN"/>
        </w:rPr>
        <w:t>强化特殊人群监管帮扶，全力维护社会和谐稳定</w:t>
      </w:r>
    </w:p>
    <w:p>
      <w:pPr>
        <w:keepNext w:val="0"/>
        <w:keepLines w:val="0"/>
        <w:pageBreakBefore w:val="0"/>
        <w:widowControl w:val="0"/>
        <w:kinsoku/>
        <w:wordWrap/>
        <w:overflowPunct/>
        <w:topLinePunct w:val="0"/>
        <w:autoSpaceDE/>
        <w:autoSpaceDN/>
        <w:bidi w:val="0"/>
        <w:adjustRightInd/>
        <w:spacing w:line="576" w:lineRule="exact"/>
        <w:ind w:firstLine="640" w:firstLineChars="200"/>
        <w:jc w:val="both"/>
        <w:textAlignment w:val="auto"/>
        <w:rPr>
          <w:rFonts w:hint="eastAsia" w:ascii="仿宋_GB2312" w:hAnsi="仿宋_GB2312" w:eastAsia="仿宋_GB2312" w:cs="仿宋_GB2312"/>
          <w:sz w:val="32"/>
          <w:szCs w:val="32"/>
        </w:rPr>
      </w:pPr>
      <w:r>
        <w:rPr>
          <w:rStyle w:val="30"/>
          <w:rFonts w:hint="eastAsia" w:ascii="仿宋_GB2312" w:hAnsi="仿宋" w:eastAsia="仿宋_GB2312"/>
          <w:bCs/>
          <w:sz w:val="32"/>
          <w:szCs w:val="32"/>
          <w:lang w:val="en-US" w:eastAsia="zh-CN"/>
        </w:rPr>
        <w:t>2020年，</w:t>
      </w:r>
      <w:r>
        <w:rPr>
          <w:rStyle w:val="30"/>
          <w:rFonts w:hint="eastAsia" w:ascii="仿宋_GB2312" w:hAnsi="仿宋_GB2312" w:eastAsia="仿宋_GB2312"/>
          <w:sz w:val="32"/>
          <w:szCs w:val="32"/>
        </w:rPr>
        <w:t>接受委托办理审前调查5份，</w:t>
      </w:r>
      <w:r>
        <w:rPr>
          <w:rStyle w:val="30"/>
          <w:rFonts w:hint="eastAsia" w:ascii="仿宋_GB2312" w:hAnsi="仿宋_GB2312" w:eastAsia="仿宋_GB2312"/>
          <w:sz w:val="32"/>
          <w:szCs w:val="32"/>
          <w:lang w:val="zh-CN"/>
        </w:rPr>
        <w:t>接收</w:t>
      </w:r>
      <w:r>
        <w:rPr>
          <w:rStyle w:val="30"/>
          <w:rFonts w:hint="eastAsia" w:ascii="仿宋_GB2312" w:hAnsi="微软雅黑" w:eastAsia="仿宋_GB2312" w:cs="微软雅黑"/>
          <w:sz w:val="32"/>
          <w:szCs w:val="32"/>
          <w:lang w:val="zh-CN"/>
        </w:rPr>
        <w:t>新入矫</w:t>
      </w:r>
      <w:r>
        <w:rPr>
          <w:rStyle w:val="30"/>
          <w:rFonts w:hint="eastAsia" w:ascii="仿宋_GB2312" w:hAnsi="仿宋_GB2312" w:eastAsia="仿宋_GB2312"/>
          <w:sz w:val="32"/>
          <w:szCs w:val="32"/>
          <w:lang w:val="zh-CN"/>
        </w:rPr>
        <w:t>34人，解矫38人，在矫71人。</w:t>
      </w:r>
      <w:r>
        <w:rPr>
          <w:rStyle w:val="30"/>
          <w:rFonts w:ascii="仿宋_GB2312" w:hAnsi="仿宋_GB2312" w:eastAsia="仿宋_GB2312"/>
          <w:sz w:val="32"/>
          <w:szCs w:val="32"/>
        </w:rPr>
        <w:t>开展联合执法检查6次，纠正违法通知书1份，检察建议2份，均已回复处理妥当</w:t>
      </w:r>
      <w:r>
        <w:rPr>
          <w:rStyle w:val="30"/>
          <w:rFonts w:hint="eastAsia" w:ascii="仿宋_GB2312" w:hAnsi="仿宋_GB2312" w:eastAsia="仿宋_GB2312"/>
          <w:sz w:val="32"/>
          <w:szCs w:val="32"/>
        </w:rPr>
        <w:t>。</w:t>
      </w:r>
    </w:p>
    <w:p>
      <w:pPr>
        <w:pStyle w:val="3"/>
        <w:pageBreakBefore w:val="0"/>
        <w:widowControl w:val="0"/>
        <w:kinsoku/>
        <w:wordWrap/>
        <w:overflowPunct/>
        <w:topLinePunct w:val="0"/>
        <w:autoSpaceDE/>
        <w:autoSpaceDN/>
        <w:bidi w:val="0"/>
        <w:spacing w:line="576" w:lineRule="exact"/>
        <w:textAlignment w:val="auto"/>
        <w:rPr>
          <w:rStyle w:val="25"/>
          <w:b w:val="0"/>
          <w:bCs w:val="0"/>
        </w:rPr>
      </w:pPr>
      <w:bookmarkStart w:id="22" w:name="_Toc12135"/>
      <w:bookmarkStart w:id="23" w:name="_Toc153772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2"/>
      <w:bookmarkEnd w:id="23"/>
    </w:p>
    <w:p>
      <w:pPr>
        <w:pageBreakBefore w:val="0"/>
        <w:widowControl w:val="0"/>
        <w:kinsoku/>
        <w:wordWrap/>
        <w:overflowPunct/>
        <w:topLinePunct w:val="0"/>
        <w:autoSpaceDE/>
        <w:autoSpaceDN/>
        <w:bidi w:val="0"/>
        <w:spacing w:line="576" w:lineRule="exact"/>
        <w:ind w:firstLine="640" w:firstLineChars="200"/>
        <w:textAlignment w:val="auto"/>
        <w:rPr>
          <w:rFonts w:ascii="仿宋" w:hAnsi="仿宋" w:eastAsia="仿宋"/>
          <w:color w:val="000000"/>
          <w:sz w:val="32"/>
          <w:szCs w:val="32"/>
        </w:rPr>
      </w:pPr>
      <w:r>
        <w:rPr>
          <w:rFonts w:hint="eastAsia" w:ascii="仿宋" w:hAnsi="仿宋" w:eastAsia="仿宋"/>
          <w:sz w:val="32"/>
          <w:szCs w:val="32"/>
          <w:lang w:eastAsia="zh-CN"/>
        </w:rPr>
        <w:t>茂县司法局属行政单位，无</w:t>
      </w:r>
      <w:r>
        <w:rPr>
          <w:rFonts w:hint="eastAsia" w:ascii="仿宋" w:hAnsi="仿宋" w:eastAsia="仿宋"/>
          <w:sz w:val="32"/>
          <w:szCs w:val="32"/>
        </w:rPr>
        <w:t>下属二级</w:t>
      </w:r>
      <w:r>
        <w:rPr>
          <w:rFonts w:hint="eastAsia" w:ascii="仿宋" w:hAnsi="仿宋" w:eastAsia="仿宋"/>
          <w:sz w:val="32"/>
          <w:szCs w:val="32"/>
          <w:lang w:eastAsia="zh-CN"/>
        </w:rPr>
        <w:t>预算</w:t>
      </w:r>
      <w:r>
        <w:rPr>
          <w:rFonts w:hint="eastAsia" w:ascii="仿宋" w:hAnsi="仿宋" w:eastAsia="仿宋"/>
          <w:sz w:val="32"/>
          <w:szCs w:val="32"/>
        </w:rPr>
        <w:t>单位</w:t>
      </w:r>
      <w:r>
        <w:rPr>
          <w:rFonts w:hint="eastAsia" w:ascii="仿宋" w:hAnsi="仿宋" w:eastAsia="仿宋"/>
          <w:sz w:val="32"/>
          <w:szCs w:val="32"/>
          <w:lang w:eastAsia="zh-CN"/>
        </w:rPr>
        <w:t>。</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4" w:name="_Toc15377204"/>
      <w:bookmarkStart w:id="25" w:name="_Toc955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w:t>
      </w:r>
      <w:r>
        <w:rPr>
          <w:rStyle w:val="24"/>
          <w:rFonts w:hint="eastAsia" w:ascii="黑体" w:hAnsi="黑体" w:eastAsia="黑体"/>
          <w:b w:val="0"/>
          <w:bCs w:val="0"/>
          <w:lang w:val="en-US" w:eastAsia="zh-CN"/>
        </w:rPr>
        <w:t>20</w:t>
      </w:r>
      <w:r>
        <w:rPr>
          <w:rStyle w:val="24"/>
          <w:rFonts w:hint="eastAsia" w:ascii="黑体" w:hAnsi="黑体" w:eastAsia="黑体"/>
          <w:b w:val="0"/>
          <w:bCs w:val="0"/>
        </w:rPr>
        <w:t>年度部门决算情况说明</w:t>
      </w:r>
      <w:bookmarkEnd w:id="24"/>
      <w:bookmarkEnd w:id="25"/>
    </w:p>
    <w:p/>
    <w:p>
      <w:pPr>
        <w:pStyle w:val="23"/>
        <w:numPr>
          <w:ilvl w:val="0"/>
          <w:numId w:val="1"/>
        </w:numPr>
        <w:spacing w:line="600" w:lineRule="exact"/>
        <w:ind w:firstLineChars="0"/>
        <w:outlineLvl w:val="1"/>
        <w:rPr>
          <w:rStyle w:val="25"/>
          <w:rFonts w:ascii="黑体" w:hAnsi="黑体" w:eastAsia="黑体"/>
          <w:b w:val="0"/>
        </w:rPr>
      </w:pPr>
      <w:bookmarkStart w:id="26" w:name="_Toc15377205"/>
      <w:bookmarkStart w:id="27" w:name="_Toc5278"/>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6"/>
      <w:bookmarkEnd w:id="27"/>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1990.40</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减少172.19</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下降14</w:t>
      </w:r>
      <w:r>
        <w:rPr>
          <w:rFonts w:ascii="仿宋" w:hAnsi="仿宋" w:eastAsia="仿宋"/>
          <w:color w:val="000000"/>
          <w:sz w:val="32"/>
          <w:szCs w:val="32"/>
        </w:rPr>
        <w:t>%</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减少213.62万元，下降18%</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项目减少</w:t>
      </w:r>
      <w:r>
        <w:rPr>
          <w:rFonts w:hint="eastAsia" w:ascii="仿宋" w:hAnsi="仿宋" w:eastAsia="仿宋"/>
          <w:color w:val="000000"/>
          <w:sz w:val="32"/>
          <w:szCs w:val="32"/>
          <w:lang w:eastAsia="zh-CN"/>
        </w:rPr>
        <w:t>。</w:t>
      </w:r>
    </w:p>
    <w:p>
      <w:pPr>
        <w:spacing w:line="600" w:lineRule="exact"/>
        <w:ind w:firstLine="1280" w:firstLineChars="4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w:t>
      </w: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166370</wp:posOffset>
            </wp:positionH>
            <wp:positionV relativeFrom="paragraph">
              <wp:posOffset>227965</wp:posOffset>
            </wp:positionV>
            <wp:extent cx="4686300" cy="1581150"/>
            <wp:effectExtent l="4445" t="5080" r="14605" b="1397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3"/>
        <w:numPr>
          <w:ilvl w:val="0"/>
          <w:numId w:val="1"/>
        </w:numPr>
        <w:spacing w:line="600" w:lineRule="exact"/>
        <w:ind w:firstLineChars="0"/>
        <w:outlineLvl w:val="1"/>
        <w:rPr>
          <w:rStyle w:val="25"/>
          <w:rFonts w:ascii="黑体" w:hAnsi="黑体" w:eastAsia="黑体"/>
          <w:b w:val="0"/>
        </w:rPr>
      </w:pPr>
      <w:bookmarkStart w:id="28" w:name="_Toc15679"/>
      <w:bookmarkStart w:id="29"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8"/>
      <w:bookmarkEnd w:id="29"/>
    </w:p>
    <w:p>
      <w:pPr>
        <w:spacing w:line="600" w:lineRule="exact"/>
        <w:ind w:firstLine="640" w:firstLineChars="200"/>
        <w:outlineLvl w:val="1"/>
        <w:rPr>
          <w:rFonts w:ascii="仿宋" w:hAnsi="仿宋" w:eastAsia="仿宋"/>
          <w:color w:val="000000"/>
          <w:sz w:val="32"/>
          <w:szCs w:val="32"/>
        </w:rPr>
      </w:pPr>
      <w:bookmarkStart w:id="30" w:name="_Toc25279"/>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1016.40</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1016.40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bookmarkEnd w:id="30"/>
    </w:p>
    <w:p>
      <w:pPr>
        <w:spacing w:line="600" w:lineRule="exact"/>
        <w:ind w:firstLine="1920" w:firstLineChars="600"/>
        <w:rPr>
          <w:rFonts w:ascii="仿宋_GB2312" w:eastAsia="仿宋_GB2312"/>
          <w:color w:val="FF0000"/>
          <w:sz w:val="32"/>
          <w:szCs w:val="32"/>
        </w:rPr>
      </w:pPr>
      <w:r>
        <w:rPr>
          <w:rFonts w:ascii="仿宋_GB2312" w:hAnsi="仿宋_GB2312" w:eastAsia="仿宋_GB2312" w:cs="仿宋_GB2312"/>
          <w:sz w:val="32"/>
          <w:szCs w:val="32"/>
        </w:rPr>
        <w:drawing>
          <wp:anchor distT="0" distB="0" distL="114300" distR="114300" simplePos="0" relativeHeight="251660288" behindDoc="1" locked="0" layoutInCell="1" allowOverlap="1">
            <wp:simplePos x="0" y="0"/>
            <wp:positionH relativeFrom="column">
              <wp:posOffset>481330</wp:posOffset>
            </wp:positionH>
            <wp:positionV relativeFrom="paragraph">
              <wp:posOffset>36195</wp:posOffset>
            </wp:positionV>
            <wp:extent cx="4324350" cy="1466850"/>
            <wp:effectExtent l="5080" t="5080" r="13970"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rPr>
        <w:t>（图2：收入决算结构图）</w:t>
      </w:r>
    </w:p>
    <w:p>
      <w:pPr>
        <w:pStyle w:val="23"/>
        <w:numPr>
          <w:ilvl w:val="0"/>
          <w:numId w:val="1"/>
        </w:numPr>
        <w:spacing w:line="600" w:lineRule="exact"/>
        <w:ind w:firstLineChars="0"/>
        <w:outlineLvl w:val="1"/>
        <w:rPr>
          <w:rStyle w:val="25"/>
          <w:rFonts w:ascii="黑体" w:hAnsi="黑体" w:eastAsia="黑体"/>
          <w:b w:val="0"/>
        </w:rPr>
      </w:pPr>
      <w:bookmarkStart w:id="31" w:name="_Toc19269"/>
      <w:bookmarkStart w:id="32"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31"/>
      <w:bookmarkEnd w:id="32"/>
    </w:p>
    <w:p>
      <w:pPr>
        <w:spacing w:line="600" w:lineRule="exact"/>
        <w:ind w:firstLine="640" w:firstLineChars="200"/>
        <w:outlineLvl w:val="1"/>
        <w:rPr>
          <w:rFonts w:hint="eastAsia" w:ascii="仿宋" w:hAnsi="仿宋" w:eastAsia="仿宋"/>
          <w:color w:val="000000"/>
          <w:sz w:val="32"/>
          <w:szCs w:val="32"/>
        </w:rPr>
      </w:pPr>
      <w:bookmarkStart w:id="33" w:name="_Toc8471"/>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974.00</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851.55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87</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122.45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bookmarkEnd w:id="33"/>
    </w:p>
    <w:p>
      <w:pPr>
        <w:spacing w:line="600" w:lineRule="exact"/>
        <w:ind w:firstLine="2240" w:firstLineChars="700"/>
        <w:rPr>
          <w:rFonts w:ascii="仿宋_GB2312" w:eastAsia="仿宋_GB2312"/>
          <w:color w:val="FF0000"/>
          <w:sz w:val="32"/>
          <w:szCs w:val="32"/>
        </w:rPr>
      </w:pPr>
      <w:r>
        <w:rPr>
          <w:rFonts w:hint="eastAsia" w:ascii="仿宋_GB2312" w:hAnsi="仿宋_GB2312" w:eastAsia="仿宋_GB2312" w:cs="仿宋_GB2312"/>
          <w:color w:val="000000"/>
          <w:sz w:val="32"/>
          <w:szCs w:val="32"/>
        </w:rPr>
        <w:drawing>
          <wp:anchor distT="0" distB="0" distL="114300" distR="114300" simplePos="0" relativeHeight="251661312" behindDoc="0" locked="0" layoutInCell="1" allowOverlap="1">
            <wp:simplePos x="0" y="0"/>
            <wp:positionH relativeFrom="column">
              <wp:posOffset>442595</wp:posOffset>
            </wp:positionH>
            <wp:positionV relativeFrom="paragraph">
              <wp:posOffset>137795</wp:posOffset>
            </wp:positionV>
            <wp:extent cx="4495165" cy="1511935"/>
            <wp:effectExtent l="4445" t="4445" r="15240" b="762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rPr>
        <w:t>（图3：支出决算结构图）</w:t>
      </w:r>
      <w:r>
        <w:rPr>
          <w:rFonts w:hint="eastAsia" w:ascii="仿宋" w:hAnsi="仿宋" w:eastAsia="仿宋"/>
          <w:color w:val="000000" w:themeColor="text1"/>
          <w:sz w:val="32"/>
          <w:szCs w:val="32"/>
          <w:lang w:val="en-US" w:eastAsia="zh-CN"/>
        </w:rPr>
        <w:t xml:space="preserve"> </w:t>
      </w:r>
    </w:p>
    <w:p>
      <w:pPr>
        <w:spacing w:line="600" w:lineRule="exact"/>
        <w:ind w:firstLine="640" w:firstLineChars="200"/>
        <w:outlineLvl w:val="1"/>
        <w:rPr>
          <w:rStyle w:val="25"/>
          <w:rFonts w:ascii="黑体" w:hAnsi="黑体" w:eastAsia="黑体"/>
          <w:b w:val="0"/>
        </w:rPr>
      </w:pPr>
      <w:bookmarkStart w:id="34" w:name="_Toc15377208"/>
      <w:bookmarkStart w:id="35" w:name="_Toc25121"/>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4"/>
      <w:bookmarkEnd w:id="3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1990.40</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减少172.19</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下降14</w:t>
      </w:r>
      <w:r>
        <w:rPr>
          <w:rFonts w:ascii="仿宋" w:hAnsi="仿宋" w:eastAsia="仿宋"/>
          <w:color w:val="000000"/>
          <w:sz w:val="32"/>
          <w:szCs w:val="32"/>
        </w:rPr>
        <w:t>%</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减少213.62万元，下降18%</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项目减少</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b/>
          <w:color w:val="00B050"/>
          <w:sz w:val="32"/>
          <w:szCs w:val="32"/>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309245</wp:posOffset>
            </wp:positionH>
            <wp:positionV relativeFrom="paragraph">
              <wp:posOffset>198120</wp:posOffset>
            </wp:positionV>
            <wp:extent cx="4686300" cy="1581150"/>
            <wp:effectExtent l="4445" t="5080" r="1460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sz w:val="32"/>
          <w:szCs w:val="32"/>
          <w:lang w:val="en-US" w:eastAsia="zh-CN"/>
        </w:rPr>
        <w:t xml:space="preserve">      </w:t>
      </w:r>
      <w:r>
        <w:rPr>
          <w:rFonts w:hint="eastAsia" w:ascii="仿宋" w:hAnsi="仿宋" w:eastAsia="仿宋"/>
          <w:color w:val="000000" w:themeColor="text1"/>
          <w:sz w:val="32"/>
          <w:szCs w:val="32"/>
        </w:rPr>
        <w:t>（图4：财政拨款收、支决算总计变动情况）</w:t>
      </w:r>
    </w:p>
    <w:p>
      <w:pPr>
        <w:spacing w:line="600" w:lineRule="exact"/>
        <w:ind w:firstLine="640" w:firstLineChars="200"/>
        <w:outlineLvl w:val="1"/>
        <w:rPr>
          <w:rStyle w:val="25"/>
          <w:rFonts w:ascii="黑体" w:hAnsi="黑体" w:eastAsia="黑体"/>
          <w:b w:val="0"/>
        </w:rPr>
      </w:pPr>
      <w:bookmarkStart w:id="36" w:name="_Toc15377209"/>
      <w:bookmarkStart w:id="37" w:name="_Toc17771"/>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楷体" w:hAnsi="楷体" w:eastAsia="楷体" w:cs="楷体"/>
          <w:b/>
          <w:color w:val="000000"/>
          <w:sz w:val="32"/>
          <w:szCs w:val="32"/>
        </w:rPr>
        <w:t>（一）一般公共预算财政拨款支出决算总体情况</w:t>
      </w:r>
      <w:bookmarkEnd w:id="3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974.00</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减少213.62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下降18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项目减少</w:t>
      </w:r>
      <w:r>
        <w:rPr>
          <w:rFonts w:hint="eastAsia" w:ascii="仿宋" w:hAnsi="仿宋" w:eastAsia="仿宋"/>
          <w:color w:val="000000"/>
          <w:sz w:val="32"/>
          <w:szCs w:val="32"/>
          <w:lang w:eastAsia="zh-CN"/>
        </w:rPr>
        <w:t>。</w:t>
      </w:r>
    </w:p>
    <w:p>
      <w:pPr>
        <w:spacing w:line="600" w:lineRule="exact"/>
        <w:ind w:firstLine="640" w:firstLineChars="200"/>
        <w:outlineLvl w:val="2"/>
        <w:rPr>
          <w:rFonts w:hint="eastAsia" w:ascii="仿宋" w:hAnsi="仿宋" w:eastAsia="仿宋"/>
          <w:color w:val="000000" w:themeColor="text1"/>
          <w:sz w:val="32"/>
          <w:szCs w:val="32"/>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356870</wp:posOffset>
            </wp:positionH>
            <wp:positionV relativeFrom="paragraph">
              <wp:posOffset>90805</wp:posOffset>
            </wp:positionV>
            <wp:extent cx="4559935" cy="1438910"/>
            <wp:effectExtent l="4445" t="5080" r="7620" b="228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（图5：一般公共预算财政拨款支出决算变动情况）</w:t>
      </w:r>
      <w:bookmarkStart w:id="39" w:name="_Toc15377211"/>
    </w:p>
    <w:p>
      <w:pPr>
        <w:spacing w:line="600" w:lineRule="exact"/>
        <w:ind w:firstLine="643" w:firstLineChars="200"/>
        <w:outlineLvl w:val="2"/>
        <w:rPr>
          <w:rFonts w:ascii="仿宋" w:hAnsi="仿宋" w:eastAsia="仿宋"/>
          <w:b/>
          <w:color w:val="000000"/>
          <w:sz w:val="32"/>
          <w:szCs w:val="32"/>
        </w:rPr>
      </w:pPr>
      <w:r>
        <w:rPr>
          <w:rFonts w:hint="eastAsia" w:ascii="楷体" w:hAnsi="楷体" w:eastAsia="楷体" w:cs="楷体"/>
          <w:b/>
          <w:color w:val="000000"/>
          <w:sz w:val="32"/>
          <w:szCs w:val="32"/>
        </w:rPr>
        <w:t>（二）一般公共预算财政拨款支出决算结构情况</w:t>
      </w:r>
      <w:bookmarkEnd w:id="39"/>
    </w:p>
    <w:p>
      <w:pPr>
        <w:spacing w:line="600" w:lineRule="exact"/>
        <w:ind w:firstLine="640"/>
        <w:rPr>
          <w:rFonts w:hint="eastAsia" w:ascii="仿宋" w:hAnsi="仿宋" w:eastAsia="仿宋"/>
          <w:color w:val="000000" w:themeColor="text1"/>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974.00</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lang w:eastAsia="zh-CN"/>
        </w:rPr>
        <w:t>公共安全</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764.04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78.44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社会保障和就业</w:t>
      </w:r>
      <w:r>
        <w:rPr>
          <w:rFonts w:hint="eastAsia" w:ascii="仿宋" w:hAnsi="仿宋" w:eastAsia="仿宋"/>
          <w:b/>
          <w:color w:val="000000" w:themeColor="text1"/>
          <w:sz w:val="32"/>
          <w:szCs w:val="32"/>
        </w:rPr>
        <w:t>（类）</w:t>
      </w:r>
      <w:r>
        <w:rPr>
          <w:rFonts w:hint="eastAsia" w:ascii="仿宋" w:hAnsi="仿宋" w:eastAsia="仿宋" w:cs="Times New Roman"/>
          <w:color w:val="000000" w:themeColor="text1"/>
          <w:sz w:val="32"/>
          <w:szCs w:val="32"/>
          <w:lang w:eastAsia="zh-CN"/>
        </w:rPr>
        <w:t>支出</w:t>
      </w:r>
      <w:r>
        <w:rPr>
          <w:rFonts w:hint="eastAsia" w:ascii="仿宋" w:hAnsi="仿宋" w:eastAsia="仿宋"/>
          <w:color w:val="000000" w:themeColor="text1"/>
          <w:sz w:val="32"/>
          <w:szCs w:val="32"/>
          <w:lang w:val="en-US" w:eastAsia="zh-CN"/>
        </w:rPr>
        <w:t>88.19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9.05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卫生健康</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49.56</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5.09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农林水</w:t>
      </w:r>
      <w:r>
        <w:rPr>
          <w:rFonts w:hint="eastAsia" w:ascii="仿宋" w:hAnsi="仿宋" w:eastAsia="仿宋"/>
          <w:b/>
          <w:bCs/>
          <w:color w:val="000000" w:themeColor="text1"/>
          <w:sz w:val="32"/>
          <w:szCs w:val="32"/>
        </w:rPr>
        <w:t>（类）</w:t>
      </w:r>
      <w:r>
        <w:rPr>
          <w:rFonts w:hint="eastAsia" w:ascii="仿宋" w:hAnsi="仿宋" w:eastAsia="仿宋" w:cs="Times New Roman"/>
          <w:color w:val="000000" w:themeColor="text1"/>
          <w:sz w:val="32"/>
          <w:szCs w:val="32"/>
          <w:lang w:eastAsia="zh-CN"/>
        </w:rPr>
        <w:t>支出</w:t>
      </w:r>
      <w:r>
        <w:rPr>
          <w:rFonts w:hint="eastAsia" w:ascii="仿宋" w:hAnsi="仿宋" w:eastAsia="仿宋" w:cs="Times New Roman"/>
          <w:color w:val="000000" w:themeColor="text1"/>
          <w:sz w:val="32"/>
          <w:szCs w:val="32"/>
          <w:lang w:val="en-US" w:eastAsia="zh-CN"/>
        </w:rPr>
        <w:t>1.32</w:t>
      </w:r>
      <w:r>
        <w:rPr>
          <w:rFonts w:hint="eastAsia" w:ascii="仿宋" w:hAnsi="仿宋" w:eastAsia="仿宋" w:cs="Times New Roman"/>
          <w:color w:val="000000" w:themeColor="text1"/>
          <w:sz w:val="32"/>
          <w:szCs w:val="32"/>
          <w:lang w:eastAsia="zh-CN"/>
        </w:rPr>
        <w:t>万元，占</w:t>
      </w:r>
      <w:r>
        <w:rPr>
          <w:rFonts w:hint="eastAsia" w:ascii="仿宋" w:hAnsi="仿宋" w:eastAsia="仿宋" w:cs="Times New Roman"/>
          <w:color w:val="000000" w:themeColor="text1"/>
          <w:sz w:val="32"/>
          <w:szCs w:val="32"/>
          <w:lang w:val="en-US" w:eastAsia="zh-CN"/>
        </w:rPr>
        <w:t>0.14</w:t>
      </w:r>
      <w:r>
        <w:rPr>
          <w:rFonts w:hint="eastAsia" w:ascii="仿宋" w:hAnsi="仿宋" w:eastAsia="仿宋" w:cs="Times New Roman"/>
          <w:color w:val="000000" w:themeColor="text1"/>
          <w:sz w:val="32"/>
          <w:szCs w:val="32"/>
          <w:lang w:eastAsia="zh-CN"/>
        </w:rPr>
        <w:t>%；</w:t>
      </w:r>
      <w:r>
        <w:rPr>
          <w:rFonts w:hint="eastAsia" w:ascii="仿宋" w:hAnsi="仿宋" w:eastAsia="仿宋"/>
          <w:b/>
          <w:color w:val="000000" w:themeColor="text1"/>
          <w:sz w:val="32"/>
          <w:szCs w:val="32"/>
          <w:lang w:eastAsia="zh-CN"/>
        </w:rPr>
        <w:t>住房保障</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70.89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7.28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ascii="仿宋_GB2312" w:hAnsi="仿宋_GB2312" w:eastAsia="仿宋_GB2312" w:cs="仿宋_GB2312"/>
          <w:sz w:val="32"/>
          <w:szCs w:val="32"/>
        </w:rPr>
        <w:drawing>
          <wp:anchor distT="0" distB="0" distL="114300" distR="114300" simplePos="0" relativeHeight="251664384" behindDoc="1" locked="0" layoutInCell="1" allowOverlap="1">
            <wp:simplePos x="0" y="0"/>
            <wp:positionH relativeFrom="column">
              <wp:posOffset>471805</wp:posOffset>
            </wp:positionH>
            <wp:positionV relativeFrom="paragraph">
              <wp:posOffset>86995</wp:posOffset>
            </wp:positionV>
            <wp:extent cx="4324350" cy="1466850"/>
            <wp:effectExtent l="5080" t="5080" r="13970" b="13970"/>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（图6：一</w:t>
      </w:r>
      <w:r>
        <w:rPr>
          <w:rFonts w:hint="eastAsia" w:ascii="仿宋" w:hAnsi="仿宋" w:eastAsia="仿宋"/>
          <w:color w:val="auto"/>
          <w:sz w:val="32"/>
          <w:szCs w:val="32"/>
        </w:rPr>
        <w:t>般公共预算财政拨款支出决</w:t>
      </w:r>
      <w:r>
        <w:rPr>
          <w:rFonts w:hint="eastAsia" w:ascii="仿宋" w:hAnsi="仿宋" w:eastAsia="仿宋"/>
          <w:color w:val="000000"/>
          <w:sz w:val="32"/>
          <w:szCs w:val="32"/>
        </w:rPr>
        <w:t>算结构）</w:t>
      </w:r>
    </w:p>
    <w:p>
      <w:pPr>
        <w:spacing w:line="600" w:lineRule="exact"/>
        <w:ind w:firstLine="643" w:firstLineChars="200"/>
        <w:outlineLvl w:val="2"/>
        <w:rPr>
          <w:rFonts w:ascii="仿宋" w:hAnsi="仿宋" w:eastAsia="仿宋"/>
          <w:b/>
          <w:color w:val="000000"/>
          <w:sz w:val="32"/>
          <w:szCs w:val="32"/>
        </w:rPr>
      </w:pPr>
      <w:bookmarkStart w:id="40" w:name="_Toc15377212"/>
      <w:r>
        <w:rPr>
          <w:rFonts w:hint="eastAsia" w:ascii="楷体" w:hAnsi="楷体" w:eastAsia="楷体" w:cs="楷体"/>
          <w:b/>
          <w:color w:val="000000"/>
          <w:sz w:val="32"/>
          <w:szCs w:val="32"/>
        </w:rPr>
        <w:t>（三）一般公共预算财政拨款支出决算具体情况</w:t>
      </w:r>
      <w:bookmarkEnd w:id="40"/>
    </w:p>
    <w:p>
      <w:pPr>
        <w:spacing w:line="600" w:lineRule="exact"/>
        <w:ind w:firstLine="643" w:firstLineChars="200"/>
        <w:outlineLvl w:val="2"/>
        <w:rPr>
          <w:rFonts w:ascii="仿宋" w:hAnsi="仿宋" w:eastAsia="仿宋"/>
          <w:color w:val="FF0000"/>
          <w:sz w:val="32"/>
          <w:szCs w:val="32"/>
        </w:rPr>
      </w:pPr>
      <w:bookmarkStart w:id="41" w:name="_Toc15378460"/>
      <w:bookmarkStart w:id="42" w:name="_Toc15377444"/>
      <w:bookmarkStart w:id="43" w:name="_Toc15377213"/>
      <w:r>
        <w:rPr>
          <w:rFonts w:hint="eastAsia" w:ascii="仿宋" w:hAnsi="仿宋" w:eastAsia="仿宋"/>
          <w:b/>
          <w:color w:val="000000" w:themeColor="text1"/>
          <w:sz w:val="32"/>
          <w:szCs w:val="32"/>
        </w:rPr>
        <w:t>20</w:t>
      </w:r>
      <w:r>
        <w:rPr>
          <w:rFonts w:hint="eastAsia" w:ascii="仿宋" w:hAnsi="仿宋" w:eastAsia="仿宋"/>
          <w:b/>
          <w:color w:val="000000" w:themeColor="text1"/>
          <w:sz w:val="32"/>
          <w:szCs w:val="32"/>
          <w:lang w:val="en-US" w:eastAsia="zh-CN"/>
        </w:rPr>
        <w:t>20</w:t>
      </w:r>
      <w:r>
        <w:rPr>
          <w:rFonts w:hint="eastAsia" w:ascii="仿宋" w:hAnsi="仿宋" w:eastAsia="仿宋"/>
          <w:b/>
          <w:color w:val="000000" w:themeColor="text1"/>
          <w:sz w:val="32"/>
          <w:szCs w:val="32"/>
        </w:rPr>
        <w:t>年般公共预算支出决算数为</w:t>
      </w:r>
      <w:r>
        <w:rPr>
          <w:rFonts w:hint="eastAsia" w:ascii="仿宋" w:hAnsi="仿宋" w:eastAsia="仿宋"/>
          <w:b/>
          <w:color w:val="000000" w:themeColor="text1"/>
          <w:sz w:val="32"/>
          <w:szCs w:val="32"/>
          <w:lang w:val="en-US" w:eastAsia="zh-CN"/>
        </w:rPr>
        <w:t>974.00</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90.15</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41"/>
      <w:bookmarkEnd w:id="42"/>
      <w:bookmarkEnd w:id="43"/>
    </w:p>
    <w:p>
      <w:pPr>
        <w:numPr>
          <w:ilvl w:val="0"/>
          <w:numId w:val="0"/>
        </w:numPr>
        <w:spacing w:line="600" w:lineRule="exact"/>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 w:hAnsi="仿宋" w:eastAsia="仿宋"/>
          <w:b w:val="0"/>
          <w:bCs/>
          <w:color w:val="000000"/>
          <w:sz w:val="32"/>
          <w:szCs w:val="32"/>
          <w:lang w:val="en-US" w:eastAsia="zh-CN"/>
        </w:rPr>
        <w:t xml:space="preserve">   </w:t>
      </w:r>
      <w:r>
        <w:rPr>
          <w:rStyle w:val="14"/>
          <w:rFonts w:hint="eastAsia" w:ascii="仿宋_GB2312" w:hAnsi="仿宋_GB2312" w:eastAsia="仿宋_GB2312" w:cs="仿宋_GB2312"/>
          <w:b/>
          <w:bCs w:val="0"/>
          <w:color w:val="000000"/>
          <w:sz w:val="32"/>
          <w:szCs w:val="32"/>
          <w:lang w:val="en-US" w:eastAsia="zh-CN"/>
        </w:rPr>
        <w:t xml:space="preserve"> 1.</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公安（</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lang w:eastAsia="zh-CN"/>
        </w:rPr>
        <w:t>）一般行政管理事务（</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val="0"/>
          <w:color w:val="000000"/>
          <w:sz w:val="32"/>
          <w:szCs w:val="32"/>
          <w:lang w:eastAsia="zh-CN"/>
        </w:rPr>
        <w:t>支出决算为</w:t>
      </w:r>
      <w:r>
        <w:rPr>
          <w:rStyle w:val="14"/>
          <w:rFonts w:hint="eastAsia" w:ascii="仿宋_GB2312" w:hAnsi="仿宋_GB2312" w:eastAsia="仿宋_GB2312" w:cs="仿宋_GB2312"/>
          <w:b w:val="0"/>
          <w:bCs w:val="0"/>
          <w:color w:val="000000"/>
          <w:sz w:val="32"/>
          <w:szCs w:val="32"/>
          <w:lang w:val="en-US" w:eastAsia="zh-CN"/>
        </w:rPr>
        <w:t>9.92万元，完成预算100%，</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 w:hAnsi="仿宋" w:eastAsia="仿宋"/>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2</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行政运行</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567.83</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3</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一般行政管理事务</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86.69</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44</w:t>
      </w:r>
      <w:r>
        <w:rPr>
          <w:rStyle w:val="14"/>
          <w:rFonts w:hint="eastAsia" w:ascii="仿宋_GB2312" w:hAnsi="仿宋_GB2312" w:eastAsia="仿宋_GB2312" w:cs="仿宋_GB2312"/>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小于预算数的主要原因是</w:t>
      </w:r>
      <w:r>
        <w:rPr>
          <w:rStyle w:val="14"/>
          <w:rFonts w:hint="eastAsia" w:ascii="仿宋" w:hAnsi="仿宋" w:eastAsia="仿宋"/>
          <w:b w:val="0"/>
          <w:bCs/>
          <w:color w:val="000000"/>
          <w:sz w:val="32"/>
          <w:szCs w:val="32"/>
          <w:lang w:val="en-US" w:eastAsia="zh-CN"/>
        </w:rPr>
        <w:t>本年使用上年结余资金较多。</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4</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普法宣传</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9.87</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99</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w:t>
      </w:r>
      <w:r>
        <w:rPr>
          <w:rStyle w:val="14"/>
          <w:rFonts w:hint="eastAsia" w:ascii="仿宋" w:hAnsi="仿宋" w:eastAsia="仿宋"/>
          <w:b w:val="0"/>
          <w:bCs/>
          <w:color w:val="000000"/>
          <w:sz w:val="32"/>
          <w:szCs w:val="32"/>
          <w:lang w:eastAsia="zh-CN"/>
        </w:rPr>
        <w:t>小于预算数的主要原因是资金结转下年使用</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5</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法律援助</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8.67</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77</w:t>
      </w:r>
      <w:r>
        <w:rPr>
          <w:rStyle w:val="14"/>
          <w:rFonts w:hint="eastAsia" w:ascii="仿宋_GB2312" w:hAnsi="仿宋_GB2312" w:eastAsia="仿宋_GB2312" w:cs="仿宋_GB2312"/>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小于预算数的主要原因是资金结转下年使用</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6</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社区矫正</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4.28</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7</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公共安全支出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司法</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事业运行</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76.78</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8</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社会保障和就业支出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行政事业单位</w:t>
      </w:r>
      <w:r>
        <w:rPr>
          <w:rStyle w:val="14"/>
          <w:rFonts w:hint="eastAsia" w:ascii="仿宋_GB2312" w:hAnsi="仿宋_GB2312" w:eastAsia="仿宋_GB2312" w:cs="仿宋_GB2312"/>
          <w:bCs/>
          <w:color w:val="000000"/>
          <w:sz w:val="32"/>
          <w:szCs w:val="32"/>
          <w:lang w:val="en-US" w:eastAsia="zh-CN"/>
        </w:rPr>
        <w:t>养老支出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机关事业单位基本养老保险缴费支出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57.66</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9</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社会保障和就业支出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行政事业单位</w:t>
      </w:r>
      <w:r>
        <w:rPr>
          <w:rStyle w:val="14"/>
          <w:rFonts w:hint="eastAsia" w:ascii="仿宋_GB2312" w:hAnsi="仿宋_GB2312" w:eastAsia="仿宋_GB2312" w:cs="仿宋_GB2312"/>
          <w:bCs/>
          <w:color w:val="000000"/>
          <w:sz w:val="32"/>
          <w:szCs w:val="32"/>
          <w:lang w:val="en-US" w:eastAsia="zh-CN"/>
        </w:rPr>
        <w:t>养老支出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机关事业单位职业年金缴费支出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28.83</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10</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社会保障和就业支出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退役军人管理事务</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拥军优属</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 w:val="0"/>
          <w:bCs/>
          <w:color w:val="000000"/>
          <w:sz w:val="32"/>
          <w:szCs w:val="32"/>
        </w:rPr>
        <w:t xml:space="preserve"> 支出决算为</w:t>
      </w:r>
      <w:r>
        <w:rPr>
          <w:rStyle w:val="14"/>
          <w:rFonts w:hint="eastAsia" w:ascii="仿宋_GB2312" w:hAnsi="仿宋_GB2312" w:eastAsia="仿宋_GB2312" w:cs="仿宋_GB2312"/>
          <w:b w:val="0"/>
          <w:bCs/>
          <w:color w:val="000000"/>
          <w:sz w:val="32"/>
          <w:szCs w:val="32"/>
          <w:lang w:val="en-US" w:eastAsia="zh-CN"/>
        </w:rPr>
        <w:t>1.7</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11</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卫生健康</w:t>
      </w:r>
      <w:r>
        <w:rPr>
          <w:rStyle w:val="14"/>
          <w:rFonts w:hint="eastAsia" w:ascii="仿宋_GB2312" w:hAnsi="仿宋_GB2312" w:eastAsia="仿宋_GB2312" w:cs="仿宋_GB2312"/>
          <w:bCs/>
          <w:color w:val="000000"/>
          <w:sz w:val="32"/>
          <w:szCs w:val="32"/>
          <w:lang w:val="en-US" w:eastAsia="zh-CN"/>
        </w:rPr>
        <w:t>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行政事业单位医疗</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行政单位医疗</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auto"/>
          <w:sz w:val="32"/>
          <w:szCs w:val="32"/>
          <w:lang w:val="en-US" w:eastAsia="zh-CN"/>
        </w:rPr>
        <w:t>45.07</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12</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卫生健康</w:t>
      </w:r>
      <w:r>
        <w:rPr>
          <w:rStyle w:val="14"/>
          <w:rFonts w:hint="eastAsia" w:ascii="仿宋_GB2312" w:hAnsi="仿宋_GB2312" w:eastAsia="仿宋_GB2312" w:cs="仿宋_GB2312"/>
          <w:bCs/>
          <w:color w:val="000000"/>
          <w:sz w:val="32"/>
          <w:szCs w:val="32"/>
          <w:lang w:val="en-US" w:eastAsia="zh-CN"/>
        </w:rPr>
        <w:t>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行政事业单位医疗</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事业单位医疗</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4.49</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76" w:lineRule="exact"/>
        <w:ind w:firstLine="643"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3</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农林水</w:t>
      </w:r>
      <w:r>
        <w:rPr>
          <w:rStyle w:val="14"/>
          <w:rFonts w:hint="eastAsia" w:ascii="仿宋_GB2312" w:hAnsi="仿宋_GB2312" w:eastAsia="仿宋_GB2312" w:cs="仿宋_GB2312"/>
          <w:bCs/>
          <w:color w:val="000000"/>
          <w:sz w:val="32"/>
          <w:szCs w:val="32"/>
          <w:lang w:val="en-US" w:eastAsia="zh-CN"/>
        </w:rPr>
        <w:t>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扶贫</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其他扶贫</w:t>
      </w:r>
      <w:r>
        <w:rPr>
          <w:rStyle w:val="14"/>
          <w:rFonts w:hint="eastAsia" w:ascii="仿宋_GB2312" w:hAnsi="仿宋_GB2312" w:eastAsia="仿宋_GB2312" w:cs="仿宋_GB2312"/>
          <w:bCs/>
          <w:color w:val="000000"/>
          <w:sz w:val="32"/>
          <w:szCs w:val="32"/>
          <w:lang w:val="en-US" w:eastAsia="zh-CN"/>
        </w:rPr>
        <w:t>支出</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1.32</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p>
    <w:p>
      <w:pPr>
        <w:pageBreakBefore w:val="0"/>
        <w:kinsoku/>
        <w:wordWrap/>
        <w:overflowPunct/>
        <w:topLinePunct w:val="0"/>
        <w:bidi w:val="0"/>
        <w:spacing w:line="576" w:lineRule="exact"/>
        <w:ind w:firstLine="643" w:firstLineChars="200"/>
        <w:rPr>
          <w:rFonts w:ascii="仿宋" w:hAnsi="仿宋" w:eastAsia="仿宋"/>
          <w:b/>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4</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住房保障支出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类</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住房改革支出</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款</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住房公积金</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val="en-US" w:eastAsia="zh-CN"/>
        </w:rPr>
        <w:t>项</w:t>
      </w:r>
      <w:r>
        <w:rPr>
          <w:rStyle w:val="14"/>
          <w:rFonts w:hint="eastAsia" w:ascii="仿宋_GB2312" w:hAnsi="仿宋_GB2312" w:eastAsia="仿宋_GB2312" w:cs="仿宋_GB2312"/>
          <w:bCs/>
          <w:color w:val="000000"/>
          <w:sz w:val="32"/>
          <w:szCs w:val="32"/>
        </w:rPr>
        <w:t>）</w:t>
      </w:r>
      <w:r>
        <w:rPr>
          <w:rStyle w:val="14"/>
          <w:rFonts w:hint="eastAsia" w:ascii="仿宋_GB2312" w:hAnsi="仿宋_GB2312" w:eastAsia="仿宋_GB2312" w:cs="仿宋_GB2312"/>
          <w:bCs/>
          <w:color w:val="000000"/>
          <w:sz w:val="32"/>
          <w:szCs w:val="32"/>
          <w:lang w:eastAsia="zh-CN"/>
        </w:rPr>
        <w:t>：</w:t>
      </w:r>
      <w:r>
        <w:rPr>
          <w:rStyle w:val="14"/>
          <w:rFonts w:hint="eastAsia" w:ascii="仿宋_GB2312" w:hAnsi="仿宋_GB2312" w:eastAsia="仿宋_GB2312" w:cs="仿宋_GB2312"/>
          <w:b w:val="0"/>
          <w:bCs/>
          <w:color w:val="000000"/>
          <w:sz w:val="32"/>
          <w:szCs w:val="32"/>
        </w:rPr>
        <w:t>支出决算为</w:t>
      </w:r>
      <w:r>
        <w:rPr>
          <w:rStyle w:val="14"/>
          <w:rFonts w:hint="eastAsia" w:ascii="仿宋_GB2312" w:hAnsi="仿宋_GB2312" w:eastAsia="仿宋_GB2312" w:cs="仿宋_GB2312"/>
          <w:b w:val="0"/>
          <w:bCs/>
          <w:color w:val="000000"/>
          <w:sz w:val="32"/>
          <w:szCs w:val="32"/>
          <w:lang w:val="en-US" w:eastAsia="zh-CN"/>
        </w:rPr>
        <w:t>70.89</w:t>
      </w:r>
      <w:r>
        <w:rPr>
          <w:rStyle w:val="14"/>
          <w:rFonts w:hint="eastAsia" w:ascii="仿宋_GB2312" w:hAnsi="仿宋_GB2312" w:eastAsia="仿宋_GB2312" w:cs="仿宋_GB2312"/>
          <w:b w:val="0"/>
          <w:bCs/>
          <w:color w:val="000000"/>
          <w:sz w:val="32"/>
          <w:szCs w:val="32"/>
        </w:rPr>
        <w:t>万元，完成预算100%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与</w:t>
      </w:r>
      <w:r>
        <w:rPr>
          <w:rStyle w:val="14"/>
          <w:rFonts w:hint="eastAsia" w:ascii="仿宋" w:hAnsi="仿宋" w:eastAsia="仿宋"/>
          <w:b w:val="0"/>
          <w:bCs/>
          <w:color w:val="000000"/>
          <w:sz w:val="32"/>
          <w:szCs w:val="32"/>
        </w:rPr>
        <w:t>预算数</w:t>
      </w:r>
      <w:r>
        <w:rPr>
          <w:rStyle w:val="14"/>
          <w:rFonts w:hint="eastAsia" w:ascii="仿宋" w:hAnsi="仿宋" w:eastAsia="仿宋"/>
          <w:b w:val="0"/>
          <w:bCs/>
          <w:color w:val="000000"/>
          <w:sz w:val="32"/>
          <w:szCs w:val="32"/>
          <w:lang w:eastAsia="zh-CN"/>
        </w:rPr>
        <w:t>持平</w:t>
      </w:r>
      <w:r>
        <w:rPr>
          <w:rStyle w:val="14"/>
          <w:rFonts w:hint="eastAsia" w:ascii="仿宋_GB2312" w:hAnsi="仿宋_GB2312" w:eastAsia="仿宋_GB2312" w:cs="仿宋_GB2312"/>
          <w:b w:val="0"/>
          <w:bCs/>
          <w:color w:val="000000"/>
          <w:sz w:val="32"/>
          <w:szCs w:val="32"/>
        </w:rPr>
        <w:t>。</w:t>
      </w:r>
    </w:p>
    <w:p>
      <w:pPr>
        <w:tabs>
          <w:tab w:val="right" w:pos="8306"/>
        </w:tabs>
        <w:spacing w:line="600" w:lineRule="exact"/>
        <w:ind w:firstLine="640"/>
        <w:outlineLvl w:val="1"/>
        <w:rPr>
          <w:rStyle w:val="25"/>
        </w:rPr>
      </w:pPr>
      <w:bookmarkStart w:id="44" w:name="_Toc7814"/>
      <w:bookmarkStart w:id="45" w:name="_Toc15377214"/>
      <w:r>
        <w:rPr>
          <w:rFonts w:hint="eastAsia" w:ascii="黑体" w:hAnsi="黑体" w:eastAsia="黑体" w:cs="黑体"/>
          <w:b/>
          <w:color w:val="000000"/>
          <w:sz w:val="32"/>
          <w:szCs w:val="32"/>
        </w:rPr>
        <w:t>六、一般公共预算财政拨款基本支出决算情况说明</w:t>
      </w:r>
      <w:bookmarkEnd w:id="44"/>
      <w:bookmarkEnd w:id="45"/>
      <w:r>
        <w:rPr>
          <w:rStyle w:val="25"/>
          <w:rFonts w:ascii="黑体" w:hAnsi="黑体" w:eastAsia="黑体"/>
          <w:b w:val="0"/>
        </w:rPr>
        <w:tab/>
      </w:r>
    </w:p>
    <w:p>
      <w:pPr>
        <w:pageBreakBefore w:val="0"/>
        <w:kinsoku/>
        <w:wordWrap/>
        <w:overflowPunct/>
        <w:topLinePunct w:val="0"/>
        <w:bidi w:val="0"/>
        <w:spacing w:line="576" w:lineRule="exact"/>
        <w:ind w:firstLine="640"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 w:val="0"/>
          <w:bCs/>
          <w:color w:val="000000"/>
          <w:sz w:val="32"/>
          <w:szCs w:val="32"/>
        </w:rPr>
        <w:t>20</w:t>
      </w:r>
      <w:r>
        <w:rPr>
          <w:rStyle w:val="14"/>
          <w:rFonts w:hint="eastAsia" w:ascii="仿宋_GB2312" w:hAnsi="仿宋_GB2312" w:eastAsia="仿宋_GB2312" w:cs="仿宋_GB2312"/>
          <w:b w:val="0"/>
          <w:bCs/>
          <w:color w:val="000000"/>
          <w:sz w:val="32"/>
          <w:szCs w:val="32"/>
          <w:lang w:val="en-US" w:eastAsia="zh-CN"/>
        </w:rPr>
        <w:t>20</w:t>
      </w:r>
      <w:r>
        <w:rPr>
          <w:rStyle w:val="14"/>
          <w:rFonts w:hint="eastAsia" w:ascii="仿宋_GB2312" w:hAnsi="仿宋_GB2312" w:eastAsia="仿宋_GB2312" w:cs="仿宋_GB2312"/>
          <w:b w:val="0"/>
          <w:bCs/>
          <w:color w:val="000000"/>
          <w:sz w:val="32"/>
          <w:szCs w:val="32"/>
        </w:rPr>
        <w:t>年一般公共预算财政拨款基本支出</w:t>
      </w:r>
      <w:r>
        <w:rPr>
          <w:rStyle w:val="14"/>
          <w:rFonts w:hint="eastAsia" w:ascii="仿宋_GB2312" w:hAnsi="仿宋_GB2312" w:eastAsia="仿宋_GB2312" w:cs="仿宋_GB2312"/>
          <w:b w:val="0"/>
          <w:bCs/>
          <w:color w:val="000000"/>
          <w:sz w:val="32"/>
          <w:szCs w:val="32"/>
          <w:lang w:val="en-US" w:eastAsia="zh-CN"/>
        </w:rPr>
        <w:t>851.55</w:t>
      </w:r>
      <w:r>
        <w:rPr>
          <w:rStyle w:val="14"/>
          <w:rFonts w:hint="eastAsia" w:ascii="仿宋_GB2312" w:hAnsi="仿宋_GB2312" w:eastAsia="仿宋_GB2312" w:cs="仿宋_GB2312"/>
          <w:b w:val="0"/>
          <w:bCs/>
          <w:color w:val="000000"/>
          <w:sz w:val="32"/>
          <w:szCs w:val="32"/>
        </w:rPr>
        <w:t>万元，其中：</w:t>
      </w:r>
    </w:p>
    <w:p>
      <w:pPr>
        <w:pageBreakBefore w:val="0"/>
        <w:kinsoku/>
        <w:wordWrap/>
        <w:overflowPunct/>
        <w:topLinePunct w:val="0"/>
        <w:bidi w:val="0"/>
        <w:spacing w:line="576" w:lineRule="exact"/>
        <w:ind w:firstLine="640" w:firstLineChars="200"/>
        <w:rPr>
          <w:rStyle w:val="14"/>
          <w:rFonts w:hint="eastAsia" w:ascii="仿宋_GB2312" w:hAnsi="仿宋_GB2312" w:eastAsia="仿宋_GB2312" w:cs="仿宋_GB2312"/>
          <w:b w:val="0"/>
          <w:bCs/>
          <w:color w:val="000000"/>
          <w:sz w:val="32"/>
          <w:szCs w:val="32"/>
          <w:lang w:eastAsia="zh-CN"/>
        </w:rPr>
      </w:pPr>
      <w:r>
        <w:rPr>
          <w:rStyle w:val="14"/>
          <w:rFonts w:hint="eastAsia" w:ascii="仿宋_GB2312" w:hAnsi="仿宋_GB2312" w:eastAsia="仿宋_GB2312" w:cs="仿宋_GB2312"/>
          <w:b w:val="0"/>
          <w:bCs/>
          <w:color w:val="000000"/>
          <w:sz w:val="32"/>
          <w:szCs w:val="32"/>
        </w:rPr>
        <w:t>人员经费</w:t>
      </w:r>
      <w:r>
        <w:rPr>
          <w:rStyle w:val="14"/>
          <w:rFonts w:hint="eastAsia" w:ascii="仿宋_GB2312" w:hAnsi="仿宋_GB2312" w:eastAsia="仿宋_GB2312" w:cs="仿宋_GB2312"/>
          <w:b w:val="0"/>
          <w:bCs/>
          <w:color w:val="000000"/>
          <w:sz w:val="32"/>
          <w:szCs w:val="32"/>
          <w:lang w:val="en-US" w:eastAsia="zh-CN"/>
        </w:rPr>
        <w:t>977.81</w:t>
      </w:r>
      <w:r>
        <w:rPr>
          <w:rStyle w:val="14"/>
          <w:rFonts w:hint="eastAsia" w:ascii="仿宋_GB2312" w:hAnsi="仿宋_GB2312" w:eastAsia="仿宋_GB2312" w:cs="仿宋_GB2312"/>
          <w:b w:val="0"/>
          <w:bCs/>
          <w:color w:val="000000"/>
          <w:sz w:val="32"/>
          <w:szCs w:val="32"/>
        </w:rPr>
        <w:t>万元，主要包括：基本工资、津贴补贴、奖金、绩效工资、机关事业单位基本养老保险缴费、职业年金缴费、</w:t>
      </w:r>
      <w:r>
        <w:rPr>
          <w:rStyle w:val="14"/>
          <w:rFonts w:hint="eastAsia" w:ascii="仿宋_GB2312" w:hAnsi="仿宋_GB2312" w:eastAsia="仿宋_GB2312" w:cs="仿宋_GB2312"/>
          <w:b w:val="0"/>
          <w:bCs/>
          <w:color w:val="000000"/>
          <w:sz w:val="32"/>
          <w:szCs w:val="32"/>
          <w:lang w:val="en-US" w:eastAsia="zh-CN"/>
        </w:rPr>
        <w:t>职工基本医疗保险缴费</w:t>
      </w:r>
      <w:r>
        <w:rPr>
          <w:rStyle w:val="14"/>
          <w:rFonts w:hint="eastAsia" w:ascii="仿宋_GB2312" w:hAnsi="仿宋_GB2312" w:eastAsia="仿宋_GB2312" w:cs="仿宋_GB2312"/>
          <w:b w:val="0"/>
          <w:bCs/>
          <w:color w:val="000000"/>
          <w:sz w:val="32"/>
          <w:szCs w:val="32"/>
        </w:rPr>
        <w:t>、</w:t>
      </w:r>
      <w:r>
        <w:rPr>
          <w:rStyle w:val="14"/>
          <w:rFonts w:hint="eastAsia" w:ascii="仿宋_GB2312" w:hAnsi="仿宋_GB2312" w:eastAsia="仿宋_GB2312" w:cs="仿宋_GB2312"/>
          <w:b w:val="0"/>
          <w:bCs/>
          <w:color w:val="000000"/>
          <w:sz w:val="32"/>
          <w:szCs w:val="32"/>
          <w:lang w:val="en-US" w:eastAsia="zh-CN"/>
        </w:rPr>
        <w:t>其他社会保障缴费</w:t>
      </w:r>
      <w:r>
        <w:rPr>
          <w:rStyle w:val="14"/>
          <w:rFonts w:hint="eastAsia" w:ascii="仿宋_GB2312" w:hAnsi="仿宋_GB2312" w:eastAsia="仿宋_GB2312" w:cs="仿宋_GB2312"/>
          <w:b w:val="0"/>
          <w:bCs/>
          <w:color w:val="000000"/>
          <w:sz w:val="32"/>
          <w:szCs w:val="32"/>
        </w:rPr>
        <w:t>、住房公积金</w:t>
      </w:r>
      <w:r>
        <w:rPr>
          <w:rStyle w:val="14"/>
          <w:rFonts w:hint="eastAsia" w:ascii="仿宋_GB2312" w:hAnsi="仿宋_GB2312" w:eastAsia="仿宋_GB2312" w:cs="仿宋_GB2312"/>
          <w:b w:val="0"/>
          <w:bCs/>
          <w:color w:val="000000"/>
          <w:sz w:val="32"/>
          <w:szCs w:val="32"/>
          <w:lang w:eastAsia="zh-CN"/>
        </w:rPr>
        <w:t>、</w:t>
      </w:r>
      <w:r>
        <w:rPr>
          <w:rStyle w:val="14"/>
          <w:rFonts w:hint="eastAsia" w:ascii="仿宋_GB2312" w:hAnsi="仿宋_GB2312" w:eastAsia="仿宋_GB2312" w:cs="仿宋_GB2312"/>
          <w:b w:val="0"/>
          <w:bCs/>
          <w:color w:val="000000"/>
          <w:sz w:val="32"/>
          <w:szCs w:val="32"/>
          <w:lang w:val="en-US" w:eastAsia="zh-CN"/>
        </w:rPr>
        <w:t>医疗费、生活补助、奖励金</w:t>
      </w:r>
      <w:r>
        <w:rPr>
          <w:rStyle w:val="14"/>
          <w:rFonts w:hint="eastAsia" w:ascii="仿宋_GB2312" w:hAnsi="仿宋_GB2312" w:eastAsia="仿宋_GB2312" w:cs="仿宋_GB2312"/>
          <w:b w:val="0"/>
          <w:bCs/>
          <w:color w:val="000000"/>
          <w:sz w:val="32"/>
          <w:szCs w:val="32"/>
        </w:rPr>
        <w:t>支出等。</w:t>
      </w:r>
    </w:p>
    <w:p>
      <w:pPr>
        <w:pageBreakBefore w:val="0"/>
        <w:kinsoku/>
        <w:wordWrap/>
        <w:overflowPunct/>
        <w:topLinePunct w:val="0"/>
        <w:bidi w:val="0"/>
        <w:spacing w:line="576" w:lineRule="exact"/>
        <w:ind w:firstLine="640"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 w:val="0"/>
          <w:bCs/>
          <w:color w:val="000000"/>
          <w:sz w:val="32"/>
          <w:szCs w:val="32"/>
        </w:rPr>
        <w:t>日常公用经费</w:t>
      </w:r>
      <w:r>
        <w:rPr>
          <w:rStyle w:val="14"/>
          <w:rFonts w:hint="eastAsia" w:ascii="仿宋_GB2312" w:hAnsi="仿宋_GB2312" w:eastAsia="仿宋_GB2312" w:cs="仿宋_GB2312"/>
          <w:b w:val="0"/>
          <w:bCs/>
          <w:color w:val="000000"/>
          <w:sz w:val="32"/>
          <w:szCs w:val="32"/>
          <w:lang w:val="en-US" w:eastAsia="zh-CN"/>
        </w:rPr>
        <w:t>53.74</w:t>
      </w:r>
      <w:r>
        <w:rPr>
          <w:rStyle w:val="14"/>
          <w:rFonts w:hint="eastAsia" w:ascii="仿宋_GB2312" w:hAnsi="仿宋_GB2312" w:eastAsia="仿宋_GB2312" w:cs="仿宋_GB2312"/>
          <w:b w:val="0"/>
          <w:bCs/>
          <w:color w:val="000000"/>
          <w:sz w:val="32"/>
          <w:szCs w:val="32"/>
        </w:rPr>
        <w:t>万元，主要包括：办公费、水费、电费、邮电费、差旅费、维修（护）费、培训费、公务接待费、公务用车运行维护费支出等。</w:t>
      </w:r>
    </w:p>
    <w:p>
      <w:pPr>
        <w:spacing w:line="600" w:lineRule="exact"/>
        <w:ind w:firstLine="640"/>
        <w:outlineLvl w:val="1"/>
        <w:rPr>
          <w:rStyle w:val="25"/>
          <w:rFonts w:ascii="黑体" w:hAnsi="黑体" w:eastAsia="黑体"/>
          <w:b w:val="0"/>
        </w:rPr>
      </w:pPr>
      <w:bookmarkStart w:id="46" w:name="_Toc26555"/>
      <w:bookmarkStart w:id="47"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6"/>
      <w:bookmarkEnd w:id="47"/>
    </w:p>
    <w:p>
      <w:pPr>
        <w:tabs>
          <w:tab w:val="right" w:pos="8306"/>
        </w:tabs>
        <w:spacing w:line="600" w:lineRule="exact"/>
        <w:ind w:firstLine="640"/>
        <w:outlineLvl w:val="1"/>
        <w:rPr>
          <w:rFonts w:hint="eastAsia" w:ascii="楷体" w:hAnsi="楷体" w:eastAsia="楷体" w:cs="楷体"/>
          <w:b/>
          <w:color w:val="000000"/>
          <w:sz w:val="32"/>
          <w:szCs w:val="32"/>
        </w:rPr>
      </w:pPr>
      <w:bookmarkStart w:id="48" w:name="_Toc15377216"/>
      <w:bookmarkStart w:id="49" w:name="_Toc13883"/>
      <w:r>
        <w:rPr>
          <w:rFonts w:hint="eastAsia" w:ascii="楷体" w:hAnsi="楷体" w:eastAsia="楷体" w:cs="楷体"/>
          <w:b/>
          <w:color w:val="000000"/>
          <w:sz w:val="32"/>
          <w:szCs w:val="32"/>
        </w:rPr>
        <w:t>（一）“三公”经费财政拨款支出决算总体情况说明</w:t>
      </w:r>
      <w:bookmarkEnd w:id="48"/>
      <w:bookmarkEnd w:id="49"/>
    </w:p>
    <w:p>
      <w:pPr>
        <w:pageBreakBefore w:val="0"/>
        <w:kinsoku/>
        <w:wordWrap/>
        <w:overflowPunct/>
        <w:topLinePunct w:val="0"/>
        <w:bidi w:val="0"/>
        <w:spacing w:line="576" w:lineRule="exact"/>
        <w:ind w:firstLine="640" w:firstLineChars="200"/>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 w:val="0"/>
          <w:bCs/>
          <w:color w:val="000000"/>
          <w:sz w:val="32"/>
          <w:szCs w:val="32"/>
        </w:rPr>
        <w:t>20</w:t>
      </w:r>
      <w:r>
        <w:rPr>
          <w:rStyle w:val="14"/>
          <w:rFonts w:hint="eastAsia" w:ascii="仿宋_GB2312" w:hAnsi="仿宋_GB2312" w:eastAsia="仿宋_GB2312" w:cs="仿宋_GB2312"/>
          <w:b w:val="0"/>
          <w:bCs/>
          <w:color w:val="000000"/>
          <w:sz w:val="32"/>
          <w:szCs w:val="32"/>
          <w:lang w:val="en-US" w:eastAsia="zh-CN"/>
        </w:rPr>
        <w:t>20</w:t>
      </w:r>
      <w:r>
        <w:rPr>
          <w:rStyle w:val="14"/>
          <w:rFonts w:hint="eastAsia" w:ascii="仿宋_GB2312" w:hAnsi="仿宋_GB2312" w:eastAsia="仿宋_GB2312" w:cs="仿宋_GB2312"/>
          <w:b w:val="0"/>
          <w:bCs/>
          <w:color w:val="000000"/>
          <w:sz w:val="32"/>
          <w:szCs w:val="32"/>
        </w:rPr>
        <w:t>年“三公”经费财政拨款支出决算为</w:t>
      </w:r>
      <w:r>
        <w:rPr>
          <w:rStyle w:val="14"/>
          <w:rFonts w:hint="eastAsia" w:ascii="仿宋_GB2312" w:hAnsi="仿宋_GB2312" w:eastAsia="仿宋_GB2312" w:cs="仿宋_GB2312"/>
          <w:b w:val="0"/>
          <w:bCs/>
          <w:color w:val="000000"/>
          <w:sz w:val="32"/>
          <w:szCs w:val="32"/>
          <w:lang w:val="en-US" w:eastAsia="zh-CN"/>
        </w:rPr>
        <w:t>10.18</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50" w:name="_Toc15377217"/>
      <w:r>
        <w:rPr>
          <w:rFonts w:hint="eastAsia" w:ascii="楷体" w:hAnsi="楷体" w:eastAsia="楷体" w:cs="楷体"/>
          <w:b/>
          <w:color w:val="000000"/>
          <w:sz w:val="32"/>
          <w:szCs w:val="32"/>
        </w:rPr>
        <w:t>（二）“三公”经费财政拨款支出决算具体情况说明</w:t>
      </w:r>
      <w:bookmarkEnd w:id="50"/>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9.89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1280" w:firstLineChars="400"/>
        <w:rPr>
          <w:rFonts w:hint="eastAsia" w:ascii="仿宋" w:hAnsi="仿宋" w:eastAsia="仿宋"/>
          <w:color w:val="000000"/>
          <w:sz w:val="32"/>
          <w:szCs w:val="32"/>
        </w:rPr>
      </w:pPr>
      <w:r>
        <w:rPr>
          <w:rFonts w:ascii="仿宋_GB2312" w:hAnsi="仿宋_GB2312" w:eastAsia="仿宋_GB2312" w:cs="仿宋_GB2312"/>
          <w:sz w:val="32"/>
          <w:szCs w:val="32"/>
        </w:rPr>
        <w:drawing>
          <wp:anchor distT="0" distB="0" distL="114300" distR="114300" simplePos="0" relativeHeight="251665408" behindDoc="1" locked="0" layoutInCell="1" allowOverlap="1">
            <wp:simplePos x="0" y="0"/>
            <wp:positionH relativeFrom="column">
              <wp:posOffset>424180</wp:posOffset>
            </wp:positionH>
            <wp:positionV relativeFrom="paragraph">
              <wp:posOffset>90170</wp:posOffset>
            </wp:positionV>
            <wp:extent cx="4324350" cy="1466850"/>
            <wp:effectExtent l="5080" t="5080" r="13970" b="1397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（图7：“三公”经费财政拨款支出结构）</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，本年度无因公出境情况。</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9.89</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0.47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厉行节约，公务出差等相应减少。</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、一般公务用车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9.89</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开展社区矫正、法律援助</w:t>
      </w:r>
      <w:r>
        <w:rPr>
          <w:rFonts w:hint="eastAsia" w:ascii="仿宋_GB2312" w:eastAsia="仿宋_GB2312"/>
          <w:color w:val="000000"/>
          <w:sz w:val="32"/>
          <w:szCs w:val="32"/>
        </w:rPr>
        <w:t>等</w:t>
      </w:r>
      <w:r>
        <w:rPr>
          <w:rFonts w:hint="eastAsia" w:ascii="仿宋_GB2312" w:eastAsia="仿宋_GB2312"/>
          <w:color w:val="000000"/>
          <w:sz w:val="32"/>
          <w:szCs w:val="32"/>
          <w:lang w:eastAsia="zh-CN"/>
        </w:rPr>
        <w:t>下乡、出差</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0.29</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增加0.08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增长38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w:t>
      </w:r>
      <w:r>
        <w:rPr>
          <w:rFonts w:hint="eastAsia" w:ascii="仿宋_GB2312" w:eastAsia="仿宋_GB2312"/>
          <w:color w:val="000000"/>
          <w:sz w:val="32"/>
          <w:szCs w:val="32"/>
          <w:lang w:val="en-US" w:eastAsia="zh-CN"/>
        </w:rPr>
        <w:t>人数批次增加</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0.29</w:t>
      </w:r>
      <w:r>
        <w:rPr>
          <w:rFonts w:hint="eastAsia" w:ascii="仿宋_GB2312" w:eastAsia="仿宋_GB2312"/>
          <w:color w:val="000000"/>
          <w:sz w:val="32"/>
          <w:szCs w:val="32"/>
        </w:rPr>
        <w:t>万元，主要用于执行公务、开展业务活动开支的用餐费。国内公务接待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0.29</w:t>
      </w:r>
      <w:r>
        <w:rPr>
          <w:rFonts w:hint="eastAsia" w:ascii="仿宋_GB2312" w:eastAsia="仿宋_GB2312"/>
          <w:color w:val="000000"/>
          <w:sz w:val="32"/>
          <w:szCs w:val="32"/>
        </w:rPr>
        <w:t>万元。</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51" w:name="_Toc15377218"/>
    </w:p>
    <w:p>
      <w:pPr>
        <w:spacing w:line="600" w:lineRule="exact"/>
        <w:ind w:firstLine="640"/>
        <w:outlineLvl w:val="1"/>
        <w:rPr>
          <w:rStyle w:val="25"/>
          <w:rFonts w:ascii="黑体" w:hAnsi="黑体" w:eastAsia="黑体"/>
        </w:rPr>
      </w:pPr>
      <w:bookmarkStart w:id="52" w:name="_Toc5459"/>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51"/>
      <w:bookmarkEnd w:id="52"/>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茂县司法局</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政府性基金预算拨款支出。</w:t>
      </w:r>
    </w:p>
    <w:p>
      <w:pPr>
        <w:numPr>
          <w:ilvl w:val="0"/>
          <w:numId w:val="2"/>
        </w:numPr>
        <w:spacing w:line="600" w:lineRule="exact"/>
        <w:ind w:firstLine="640"/>
        <w:outlineLvl w:val="1"/>
        <w:rPr>
          <w:rStyle w:val="25"/>
          <w:rFonts w:ascii="黑体" w:hAnsi="黑体" w:eastAsia="黑体"/>
          <w:b w:val="0"/>
        </w:rPr>
      </w:pPr>
      <w:bookmarkStart w:id="53" w:name="_Toc15377219"/>
      <w:bookmarkStart w:id="54" w:name="_Toc32116"/>
      <w:r>
        <w:rPr>
          <w:rStyle w:val="25"/>
          <w:rFonts w:hint="eastAsia" w:ascii="黑体" w:hAnsi="黑体" w:eastAsia="黑体"/>
          <w:b w:val="0"/>
        </w:rPr>
        <w:t>国有资本经营预算支出决算情况说明</w:t>
      </w:r>
      <w:bookmarkEnd w:id="53"/>
      <w:bookmarkEnd w:id="54"/>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茂县司法局</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国有资本经营预算拨款支出。</w:t>
      </w:r>
    </w:p>
    <w:p>
      <w:pPr>
        <w:spacing w:line="600" w:lineRule="exact"/>
        <w:ind w:firstLine="640" w:firstLineChars="200"/>
        <w:outlineLvl w:val="1"/>
        <w:rPr>
          <w:rStyle w:val="25"/>
          <w:rFonts w:ascii="黑体" w:hAnsi="黑体" w:eastAsia="黑体"/>
        </w:rPr>
      </w:pPr>
      <w:bookmarkStart w:id="55" w:name="_Toc17733"/>
      <w:bookmarkStart w:id="56" w:name="_Toc15377221"/>
      <w:bookmarkStart w:id="57"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5"/>
      <w:bookmarkEnd w:id="56"/>
      <w:bookmarkEnd w:id="57"/>
    </w:p>
    <w:p>
      <w:pPr>
        <w:spacing w:line="600" w:lineRule="exact"/>
        <w:ind w:firstLine="643" w:firstLineChars="200"/>
        <w:outlineLvl w:val="2"/>
        <w:rPr>
          <w:rFonts w:hint="eastAsia" w:ascii="楷体" w:hAnsi="楷体" w:eastAsia="楷体" w:cs="楷体"/>
          <w:color w:val="000000"/>
          <w:sz w:val="32"/>
          <w:szCs w:val="32"/>
        </w:rPr>
      </w:pPr>
      <w:bookmarkStart w:id="58" w:name="_Toc15377222"/>
      <w:r>
        <w:rPr>
          <w:rFonts w:hint="eastAsia" w:ascii="楷体" w:hAnsi="楷体" w:eastAsia="楷体" w:cs="楷体"/>
          <w:b/>
          <w:color w:val="000000"/>
          <w:sz w:val="32"/>
          <w:szCs w:val="32"/>
        </w:rPr>
        <w:t>（一）机关运行经费支出情况</w:t>
      </w:r>
      <w:bookmarkEnd w:id="58"/>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茂县司法局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48.53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3.44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6.62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机关运行支出减少</w:t>
      </w:r>
      <w:r>
        <w:rPr>
          <w:rFonts w:hint="eastAsia" w:ascii="仿宋_GB2312" w:eastAsia="仿宋_GB2312"/>
          <w:color w:val="000000" w:themeColor="text1"/>
          <w:sz w:val="32"/>
          <w:szCs w:val="32"/>
          <w:lang w:eastAsia="zh-CN"/>
        </w:rPr>
        <w:t>。</w:t>
      </w:r>
    </w:p>
    <w:p>
      <w:pPr>
        <w:spacing w:line="600" w:lineRule="exact"/>
        <w:ind w:firstLine="643" w:firstLineChars="200"/>
        <w:outlineLvl w:val="2"/>
        <w:rPr>
          <w:rFonts w:hint="eastAsia" w:ascii="楷体" w:hAnsi="楷体" w:eastAsia="楷体" w:cs="楷体"/>
          <w:b/>
          <w:color w:val="000000"/>
          <w:sz w:val="32"/>
          <w:szCs w:val="32"/>
        </w:rPr>
      </w:pPr>
      <w:bookmarkStart w:id="59" w:name="_Toc15377223"/>
      <w:r>
        <w:rPr>
          <w:rFonts w:hint="eastAsia" w:ascii="楷体" w:hAnsi="楷体" w:eastAsia="楷体" w:cs="楷体"/>
          <w:b/>
          <w:color w:val="000000"/>
          <w:sz w:val="32"/>
          <w:szCs w:val="32"/>
        </w:rPr>
        <w:t>（二）政府采购支出情况</w:t>
      </w:r>
      <w:bookmarkEnd w:id="59"/>
    </w:p>
    <w:p>
      <w:pPr>
        <w:pageBreakBefore w:val="0"/>
        <w:kinsoku/>
        <w:wordWrap/>
        <w:overflowPunct/>
        <w:topLinePunct w:val="0"/>
        <w:autoSpaceDE w:val="0"/>
        <w:autoSpaceDN w:val="0"/>
        <w:bidi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年，茂县</w:t>
      </w:r>
      <w:r>
        <w:rPr>
          <w:rFonts w:hint="eastAsia" w:ascii="仿宋_GB2312" w:eastAsia="仿宋_GB2312"/>
          <w:color w:val="000000"/>
          <w:sz w:val="32"/>
          <w:szCs w:val="32"/>
          <w:lang w:eastAsia="zh-CN"/>
        </w:rPr>
        <w:t>司法局无</w:t>
      </w:r>
      <w:r>
        <w:rPr>
          <w:rFonts w:hint="eastAsia" w:ascii="仿宋_GB2312" w:eastAsia="仿宋_GB2312"/>
          <w:color w:val="000000"/>
          <w:sz w:val="32"/>
          <w:szCs w:val="32"/>
        </w:rPr>
        <w:t>政府采购支出</w:t>
      </w:r>
      <w:r>
        <w:rPr>
          <w:rFonts w:hint="eastAsia" w:ascii="仿宋_GB2312" w:eastAsia="仿宋_GB2312"/>
          <w:color w:val="000000"/>
          <w:sz w:val="32"/>
          <w:szCs w:val="32"/>
          <w:lang w:eastAsia="zh-CN"/>
        </w:rPr>
        <w:t>情况。</w:t>
      </w:r>
    </w:p>
    <w:p>
      <w:pPr>
        <w:spacing w:line="600" w:lineRule="exact"/>
        <w:ind w:firstLine="643" w:firstLineChars="200"/>
        <w:outlineLvl w:val="2"/>
        <w:rPr>
          <w:rFonts w:hint="eastAsia" w:ascii="楷体" w:hAnsi="楷体" w:eastAsia="楷体" w:cs="楷体"/>
          <w:b/>
          <w:color w:val="000000"/>
          <w:sz w:val="32"/>
          <w:szCs w:val="32"/>
        </w:rPr>
      </w:pPr>
      <w:bookmarkStart w:id="60" w:name="_Toc15377224"/>
      <w:r>
        <w:rPr>
          <w:rFonts w:hint="eastAsia" w:ascii="楷体" w:hAnsi="楷体" w:eastAsia="楷体" w:cs="楷体"/>
          <w:b/>
          <w:color w:val="000000"/>
          <w:sz w:val="32"/>
          <w:szCs w:val="32"/>
        </w:rPr>
        <w:t>（三）国有资产占有使用情况</w:t>
      </w:r>
      <w:bookmarkEnd w:id="60"/>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茂县司法局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一般公务</w:t>
      </w:r>
      <w:r>
        <w:rPr>
          <w:rFonts w:hint="eastAsia" w:ascii="仿宋_GB2312" w:eastAsia="仿宋_GB2312"/>
          <w:color w:val="000000"/>
          <w:sz w:val="32"/>
          <w:szCs w:val="32"/>
        </w:rPr>
        <w:t>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、执法执勤用车</w:t>
      </w:r>
      <w:r>
        <w:rPr>
          <w:rFonts w:hint="eastAsia" w:ascii="仿宋_GB2312" w:eastAsia="仿宋_GB2312"/>
          <w:color w:val="000000"/>
          <w:sz w:val="32"/>
          <w:szCs w:val="32"/>
          <w:lang w:val="en-US" w:eastAsia="zh-CN"/>
        </w:rPr>
        <w:t>5辆，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“社区矫正”</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部门整体绩效预算支出情况较好</w:t>
      </w:r>
      <w:r>
        <w:rPr>
          <w:rFonts w:hint="eastAsia" w:ascii="仿宋_GB2312" w:hAnsi="仿宋_GB2312" w:eastAsia="仿宋_GB2312" w:cs="仿宋_GB2312"/>
          <w:sz w:val="32"/>
          <w:szCs w:val="32"/>
        </w:rPr>
        <w:t>。</w:t>
      </w:r>
    </w:p>
    <w:p>
      <w:pPr>
        <w:spacing w:line="58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1.项目绩效目标完成情况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“社区矫正”</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社区矫正</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12.01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4.27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%。通过项目实施，进一步规范</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调查评估、接收、矫正、奖惩、解除各环节</w:t>
      </w:r>
      <w:r>
        <w:rPr>
          <w:rFonts w:hint="eastAsia" w:ascii="仿宋_GB2312" w:hAnsi="仿宋_GB2312" w:eastAsia="仿宋_GB2312" w:cs="仿宋_GB2312"/>
          <w:sz w:val="32"/>
          <w:szCs w:val="32"/>
          <w:lang w:eastAsia="zh-CN"/>
        </w:rPr>
        <w:t>执法工作，</w:t>
      </w:r>
      <w:r>
        <w:rPr>
          <w:rFonts w:hint="eastAsia" w:ascii="仿宋_GB2312" w:hAnsi="仿宋_GB2312" w:eastAsia="仿宋_GB2312" w:cs="仿宋_GB2312"/>
          <w:sz w:val="32"/>
          <w:szCs w:val="32"/>
        </w:rPr>
        <w:t>抓好教育矫正工作，增强社区服刑人员的身份意识，进一步端正态度，服从社区矫正管理教育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资金支付进度较为缓慢</w:t>
      </w:r>
      <w:r>
        <w:rPr>
          <w:rFonts w:hint="eastAsia" w:ascii="仿宋_GB2312" w:hAnsi="仿宋_GB2312" w:eastAsia="仿宋_GB2312" w:cs="仿宋_GB2312"/>
          <w:sz w:val="32"/>
          <w:szCs w:val="32"/>
        </w:rPr>
        <w:t>。下一步改进措施：</w:t>
      </w:r>
      <w:r>
        <w:rPr>
          <w:rFonts w:hint="eastAsia" w:ascii="仿宋_GB2312" w:eastAsia="仿宋_GB2312"/>
          <w:color w:val="000000"/>
          <w:sz w:val="32"/>
          <w:szCs w:val="32"/>
        </w:rPr>
        <w:t>加强组织领导，强化督促检查，严格遵守各项财务管理制度，加快</w:t>
      </w:r>
      <w:r>
        <w:rPr>
          <w:rFonts w:hint="eastAsia" w:ascii="仿宋_GB2312" w:eastAsia="仿宋_GB2312"/>
          <w:color w:val="000000"/>
          <w:sz w:val="32"/>
          <w:szCs w:val="32"/>
          <w:lang w:eastAsia="zh-CN"/>
        </w:rPr>
        <w:t>社区矫正</w:t>
      </w:r>
      <w:r>
        <w:rPr>
          <w:rFonts w:hint="eastAsia" w:ascii="仿宋_GB2312" w:eastAsia="仿宋_GB2312"/>
          <w:color w:val="000000"/>
          <w:sz w:val="32"/>
          <w:szCs w:val="32"/>
        </w:rPr>
        <w:t>项目实施进度，确保工作任务的有序开展</w:t>
      </w:r>
      <w:r>
        <w:rPr>
          <w:rFonts w:hint="eastAsia" w:ascii="仿宋_GB2312" w:eastAsia="仿宋_GB2312"/>
          <w:color w:val="000000"/>
          <w:sz w:val="32"/>
          <w:szCs w:val="32"/>
          <w:lang w:eastAsia="zh-CN"/>
        </w:rPr>
        <w:t>。</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86"/>
        <w:gridCol w:w="2400"/>
        <w:gridCol w:w="2392"/>
      </w:tblGrid>
      <w:tr>
        <w:tblPrEx>
          <w:tblCellMar>
            <w:top w:w="0" w:type="dxa"/>
            <w:left w:w="0" w:type="dxa"/>
            <w:bottom w:w="0" w:type="dxa"/>
            <w:right w:w="0" w:type="dxa"/>
          </w:tblCellMar>
        </w:tblPrEx>
        <w:trPr>
          <w:trHeight w:val="1034" w:hRule="atLeast"/>
          <w:jc w:val="center"/>
        </w:trPr>
        <w:tc>
          <w:tcPr>
            <w:tcW w:w="996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36"/>
                <w:szCs w:val="36"/>
                <w:lang w:val="en-US" w:eastAsia="zh-CN"/>
              </w:rPr>
            </w:pPr>
            <w:r>
              <w:rPr>
                <w:rFonts w:hint="eastAsia" w:ascii="宋体" w:hAnsi="宋体" w:cs="宋体"/>
                <w:color w:val="000000"/>
                <w:kern w:val="0"/>
                <w:sz w:val="24"/>
              </w:rPr>
              <w:t>项目名称</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社区矫正</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茂县司法局</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4.27</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kern w:val="0"/>
                <w:sz w:val="24"/>
              </w:rPr>
              <w:t>年度目标完成情况</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12.01</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4.27</w:t>
            </w:r>
          </w:p>
        </w:tc>
      </w:tr>
      <w:tr>
        <w:tblPrEx>
          <w:tblCellMar>
            <w:top w:w="0" w:type="dxa"/>
            <w:left w:w="0" w:type="dxa"/>
            <w:bottom w:w="0" w:type="dxa"/>
            <w:right w:w="0" w:type="dxa"/>
          </w:tblCellMar>
        </w:tblPrEx>
        <w:trPr>
          <w:trHeight w:val="30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12.01</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4.27</w:t>
            </w:r>
          </w:p>
        </w:tc>
      </w:tr>
      <w:tr>
        <w:tblPrEx>
          <w:tblCellMar>
            <w:top w:w="0" w:type="dxa"/>
            <w:left w:w="0" w:type="dxa"/>
            <w:bottom w:w="0" w:type="dxa"/>
            <w:right w:w="0" w:type="dxa"/>
          </w:tblCellMar>
        </w:tblPrEx>
        <w:trPr>
          <w:trHeight w:val="151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绩效指标完成情况</w:t>
            </w:r>
          </w:p>
        </w:tc>
        <w:tc>
          <w:tcPr>
            <w:tcW w:w="47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47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仿宋_GB2312" w:hAnsi="仿宋_GB2312" w:eastAsia="仿宋_GB2312" w:cs="仿宋_GB2312"/>
                <w:color w:val="000000"/>
                <w:sz w:val="24"/>
                <w:lang w:eastAsia="zh-CN"/>
              </w:rPr>
              <w:t>茂县社区矫正中心装备购置补助及开展社区矫正对象管理等工作</w:t>
            </w:r>
          </w:p>
        </w:tc>
        <w:tc>
          <w:tcPr>
            <w:tcW w:w="47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lang w:eastAsia="zh-CN"/>
              </w:rPr>
              <w:t>茂县社区矫正中心装备购置补助及开展社区矫正对象管理等工作</w:t>
            </w:r>
          </w:p>
        </w:tc>
      </w:tr>
      <w:tr>
        <w:tblPrEx>
          <w:tblCellMar>
            <w:top w:w="0" w:type="dxa"/>
            <w:left w:w="0" w:type="dxa"/>
            <w:bottom w:w="0" w:type="dxa"/>
            <w:right w:w="0" w:type="dxa"/>
          </w:tblCellMar>
        </w:tblPrEx>
        <w:trPr>
          <w:trHeight w:val="1042" w:hRule="atLeast"/>
          <w:jc w:val="center"/>
        </w:trPr>
        <w:tc>
          <w:tcPr>
            <w:tcW w:w="390" w:type="dxa"/>
            <w:vMerge w:val="restart"/>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 xml:space="preserve"> 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对全县社区矫正人员进行管理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zh-CN" w:eastAsia="zh-CN"/>
              </w:rPr>
              <w:t>接收新入矫34人，解矫38人，在矫71人。</w:t>
            </w:r>
            <w:r>
              <w:rPr>
                <w:rFonts w:hint="eastAsia" w:ascii="仿宋_GB2312" w:hAnsi="仿宋_GB2312" w:eastAsia="仿宋_GB2312" w:cs="仿宋_GB2312"/>
                <w:sz w:val="24"/>
                <w:szCs w:val="24"/>
                <w:lang w:val="en-US" w:eastAsia="zh-CN"/>
              </w:rPr>
              <w:t>开展联合执法检查6次，纠正违法通知书1份，检察建议2份。</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项目验收合格率</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时效指标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项目完成及时率</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成本指标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开展社区矫正相关工作</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12.01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4.27</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szCs w:val="24"/>
                <w:lang w:val="en-US" w:eastAsia="zh-CN"/>
              </w:rPr>
              <w:t>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对全县社区矫正人员进行管理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对全县社区矫正人员进行管理</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szCs w:val="24"/>
                <w:lang w:val="en-US" w:eastAsia="zh-CN"/>
              </w:rPr>
              <w:t>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szCs w:val="24"/>
                <w:lang w:val="en-US" w:eastAsia="zh-CN"/>
              </w:rPr>
              <w:t>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可持续影响指标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szCs w:val="24"/>
                <w:lang w:val="en-US" w:eastAsia="zh-CN"/>
              </w:rPr>
              <w:t>对全县社区矫正人员进行管理</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仿宋_GB2312" w:hAnsi="仿宋_GB2312" w:eastAsia="仿宋_GB2312" w:cs="仿宋_GB2312"/>
                <w:sz w:val="24"/>
                <w:szCs w:val="24"/>
                <w:lang w:val="en-US" w:eastAsia="zh-CN"/>
              </w:rPr>
              <w:t>维护全县社会稳定，无脱管、漏管现象</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满意度指标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仿宋_GB2312" w:hAnsi="仿宋_GB2312" w:eastAsia="仿宋_GB2312" w:cs="仿宋_GB2312"/>
                <w:color w:val="000000"/>
                <w:sz w:val="24"/>
              </w:rPr>
              <w:t>广大</w:t>
            </w:r>
            <w:r>
              <w:rPr>
                <w:rFonts w:hint="eastAsia" w:ascii="仿宋_GB2312" w:hAnsi="仿宋_GB2312" w:eastAsia="仿宋_GB2312" w:cs="仿宋_GB2312"/>
                <w:color w:val="000000"/>
                <w:sz w:val="24"/>
                <w:lang w:eastAsia="zh-CN"/>
              </w:rPr>
              <w:t>人</w:t>
            </w:r>
            <w:r>
              <w:rPr>
                <w:rFonts w:hint="eastAsia" w:ascii="仿宋_GB2312" w:hAnsi="仿宋_GB2312" w:eastAsia="仿宋_GB2312" w:cs="仿宋_GB2312"/>
                <w:color w:val="000000"/>
                <w:sz w:val="24"/>
              </w:rPr>
              <w:t>民群众满意度</w:t>
            </w:r>
          </w:p>
        </w:tc>
        <w:tc>
          <w:tcPr>
            <w:tcW w:w="24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rPr>
              <w:t>≧</w:t>
            </w:r>
            <w:r>
              <w:rPr>
                <w:rFonts w:hint="eastAsia" w:ascii="宋体" w:hAnsi="宋体"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rPr>
              <w:t>≧</w:t>
            </w:r>
            <w:r>
              <w:rPr>
                <w:rFonts w:hint="eastAsia" w:ascii="宋体" w:hAnsi="宋体" w:cs="宋体"/>
                <w:color w:val="000000"/>
                <w:sz w:val="24"/>
                <w:lang w:val="en-US" w:eastAsia="zh-CN"/>
              </w:rPr>
              <w:t>95%</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茂县司法局</w:t>
      </w:r>
      <w:r>
        <w:rPr>
          <w:rFonts w:hint="eastAsia" w:ascii="仿宋_GB2312" w:hAnsi="仿宋_GB2312" w:eastAsia="仿宋_GB2312" w:cs="仿宋_GB2312"/>
          <w:sz w:val="32"/>
          <w:szCs w:val="32"/>
        </w:rPr>
        <w:t>部门整体支出绩效评价报告》见附件。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61" w:name="_Toc15377225"/>
      <w:bookmarkStart w:id="62" w:name="_Toc31717"/>
      <w:r>
        <w:rPr>
          <w:rFonts w:hint="eastAsia" w:ascii="黑体" w:hAnsi="黑体" w:eastAsia="黑体"/>
          <w:color w:val="000000"/>
          <w:sz w:val="44"/>
          <w:szCs w:val="44"/>
        </w:rPr>
        <w:t>名</w:t>
      </w:r>
      <w:r>
        <w:rPr>
          <w:rStyle w:val="24"/>
          <w:rFonts w:hint="eastAsia" w:ascii="黑体" w:hAnsi="黑体" w:eastAsia="黑体"/>
          <w:b w:val="0"/>
        </w:rPr>
        <w:t>词解释</w:t>
      </w:r>
      <w:bookmarkEnd w:id="61"/>
      <w:bookmarkEnd w:id="62"/>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spacing w:line="576" w:lineRule="exact"/>
        <w:ind w:firstLine="640" w:firstLineChars="200"/>
        <w:rPr>
          <w:rStyle w:val="14"/>
          <w:rFonts w:hint="eastAsia" w:ascii="仿宋_GB2312" w:hAnsi="仿宋_GB2312" w:eastAsia="仿宋_GB2312" w:cs="仿宋_GB2312"/>
          <w:b w:val="0"/>
          <w:color w:val="0000FF"/>
          <w:sz w:val="32"/>
          <w:szCs w:val="32"/>
          <w:lang w:eastAsia="zh-CN"/>
        </w:rPr>
      </w:pPr>
      <w:r>
        <w:rPr>
          <w:rStyle w:val="14"/>
          <w:rFonts w:hint="eastAsia" w:ascii="仿宋_GB2312" w:hAnsi="仿宋_GB2312" w:eastAsia="仿宋_GB2312" w:cs="仿宋_GB2312"/>
          <w:b w:val="0"/>
          <w:color w:val="000000" w:themeColor="text1"/>
          <w:sz w:val="32"/>
          <w:szCs w:val="32"/>
          <w:lang w:val="en-US" w:eastAsia="zh-CN"/>
        </w:rPr>
        <w:t>4</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公共安全支出</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类</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司法</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款</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行政运行</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项</w:t>
      </w:r>
      <w:r>
        <w:rPr>
          <w:rStyle w:val="14"/>
          <w:rFonts w:hint="eastAsia" w:ascii="仿宋_GB2312" w:hAnsi="仿宋_GB2312" w:eastAsia="仿宋_GB2312" w:cs="仿宋_GB2312"/>
          <w:b w:val="0"/>
          <w:color w:val="000000" w:themeColor="text1"/>
          <w:sz w:val="32"/>
          <w:szCs w:val="32"/>
        </w:rPr>
        <w:t>）: 指</w:t>
      </w:r>
      <w:r>
        <w:rPr>
          <w:rStyle w:val="14"/>
          <w:rFonts w:hint="eastAsia" w:ascii="仿宋_GB2312" w:hAnsi="仿宋_GB2312" w:eastAsia="仿宋_GB2312" w:cs="仿宋_GB2312"/>
          <w:b w:val="0"/>
          <w:color w:val="000000" w:themeColor="text1"/>
          <w:sz w:val="32"/>
          <w:szCs w:val="32"/>
          <w:lang w:eastAsia="zh-CN"/>
        </w:rPr>
        <w:t>司法行政用于保障机构正常运行、开展日常工作</w:t>
      </w:r>
      <w:r>
        <w:rPr>
          <w:rFonts w:hint="eastAsia" w:ascii="仿宋_GB2312" w:eastAsia="仿宋_GB2312"/>
          <w:color w:val="000000"/>
          <w:sz w:val="32"/>
          <w:szCs w:val="32"/>
        </w:rPr>
        <w:t>的</w:t>
      </w:r>
      <w:r>
        <w:rPr>
          <w:rFonts w:hint="eastAsia" w:ascii="仿宋_GB2312" w:eastAsia="仿宋_GB2312"/>
          <w:color w:val="000000"/>
          <w:sz w:val="32"/>
          <w:szCs w:val="32"/>
          <w:lang w:eastAsia="zh-CN"/>
        </w:rPr>
        <w:t>基本</w:t>
      </w:r>
      <w:r>
        <w:rPr>
          <w:rFonts w:hint="eastAsia" w:ascii="仿宋_GB2312" w:eastAsia="仿宋_GB2312"/>
          <w:color w:val="000000"/>
          <w:sz w:val="32"/>
          <w:szCs w:val="32"/>
        </w:rPr>
        <w:t>支出</w:t>
      </w:r>
      <w:r>
        <w:rPr>
          <w:rFonts w:hint="eastAsia" w:ascii="仿宋_GB2312" w:eastAsia="仿宋_GB2312"/>
          <w:color w:val="000000"/>
          <w:sz w:val="32"/>
          <w:szCs w:val="32"/>
          <w:lang w:eastAsia="zh-CN"/>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5</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themeColor="text1"/>
          <w:sz w:val="32"/>
          <w:szCs w:val="32"/>
          <w:lang w:eastAsia="zh-CN"/>
        </w:rPr>
        <w:t>公共安全支出</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类</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司法</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款</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sz w:val="32"/>
          <w:szCs w:val="32"/>
          <w:lang w:eastAsia="zh-CN"/>
        </w:rPr>
        <w:t>一般行政管理事务</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Style w:val="14"/>
          <w:rFonts w:hint="eastAsia" w:ascii="仿宋_GB2312" w:hAnsi="仿宋_GB2312" w:eastAsia="仿宋_GB2312" w:cs="仿宋_GB2312"/>
          <w:b w:val="0"/>
          <w:color w:val="000000"/>
          <w:sz w:val="32"/>
          <w:szCs w:val="32"/>
          <w:lang w:eastAsia="zh-CN"/>
        </w:rPr>
        <w:t>司法行政开展司法行政业务工作</w:t>
      </w:r>
      <w:r>
        <w:rPr>
          <w:rStyle w:val="14"/>
          <w:rFonts w:hint="eastAsia" w:ascii="仿宋_GB2312" w:hAnsi="仿宋_GB2312" w:eastAsia="仿宋_GB2312" w:cs="仿宋_GB2312"/>
          <w:b w:val="0"/>
          <w:color w:val="000000"/>
          <w:sz w:val="32"/>
          <w:szCs w:val="32"/>
        </w:rPr>
        <w:t>的</w:t>
      </w:r>
      <w:r>
        <w:rPr>
          <w:rStyle w:val="14"/>
          <w:rFonts w:hint="eastAsia" w:ascii="仿宋_GB2312" w:hAnsi="仿宋_GB2312" w:eastAsia="仿宋_GB2312" w:cs="仿宋_GB2312"/>
          <w:b w:val="0"/>
          <w:color w:val="000000"/>
          <w:sz w:val="32"/>
          <w:szCs w:val="32"/>
          <w:lang w:eastAsia="zh-CN"/>
        </w:rPr>
        <w:t>项目</w:t>
      </w:r>
      <w:r>
        <w:rPr>
          <w:rStyle w:val="14"/>
          <w:rFonts w:hint="eastAsia" w:ascii="仿宋_GB2312" w:hAnsi="仿宋_GB2312" w:eastAsia="仿宋_GB2312" w:cs="仿宋_GB2312"/>
          <w:b w:val="0"/>
          <w:color w:val="000000"/>
          <w:sz w:val="32"/>
          <w:szCs w:val="32"/>
        </w:rPr>
        <w:t>支出。</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6</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themeColor="text1"/>
          <w:sz w:val="32"/>
          <w:szCs w:val="32"/>
          <w:lang w:eastAsia="zh-CN"/>
        </w:rPr>
        <w:t>公共安全支出</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类</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司法</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款</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法律援助</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color w:val="000000"/>
          <w:kern w:val="0"/>
          <w:sz w:val="32"/>
          <w:szCs w:val="32"/>
          <w:lang w:bidi="ar"/>
        </w:rPr>
        <w:t>单位</w:t>
      </w:r>
      <w:r>
        <w:rPr>
          <w:rFonts w:hint="eastAsia" w:ascii="仿宋_GB2312" w:hAnsi="仿宋_GB2312" w:eastAsia="仿宋_GB2312" w:cs="仿宋_GB2312"/>
          <w:color w:val="000000"/>
          <w:kern w:val="0"/>
          <w:sz w:val="32"/>
          <w:szCs w:val="32"/>
          <w:lang w:eastAsia="zh-CN" w:bidi="ar"/>
        </w:rPr>
        <w:t>开展法律援助工作的支出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7</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themeColor="text1"/>
          <w:sz w:val="32"/>
          <w:szCs w:val="32"/>
          <w:lang w:eastAsia="zh-CN"/>
        </w:rPr>
        <w:t>公共安全支出</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类</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司法</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themeColor="text1"/>
          <w:sz w:val="32"/>
          <w:szCs w:val="32"/>
          <w:lang w:eastAsia="zh-CN"/>
        </w:rPr>
        <w:t>款</w:t>
      </w:r>
      <w:r>
        <w:rPr>
          <w:rStyle w:val="14"/>
          <w:rFonts w:hint="eastAsia" w:ascii="仿宋_GB2312" w:hAnsi="仿宋_GB2312" w:eastAsia="仿宋_GB2312" w:cs="仿宋_GB2312"/>
          <w:b w:val="0"/>
          <w:color w:val="000000" w:themeColor="text1"/>
          <w:sz w:val="32"/>
          <w:szCs w:val="32"/>
        </w:rPr>
        <w:t>）</w:t>
      </w:r>
      <w:r>
        <w:rPr>
          <w:rStyle w:val="14"/>
          <w:rFonts w:hint="eastAsia" w:ascii="仿宋_GB2312" w:hAnsi="仿宋_GB2312" w:eastAsia="仿宋_GB2312" w:cs="仿宋_GB2312"/>
          <w:b w:val="0"/>
          <w:color w:val="000000"/>
          <w:sz w:val="32"/>
          <w:szCs w:val="32"/>
          <w:lang w:eastAsia="zh-CN"/>
        </w:rPr>
        <w:t>事业运行</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Style w:val="14"/>
          <w:rFonts w:hint="eastAsia" w:ascii="仿宋_GB2312" w:hAnsi="仿宋_GB2312" w:eastAsia="仿宋_GB2312" w:cs="仿宋_GB2312"/>
          <w:b w:val="0"/>
          <w:color w:val="000000"/>
          <w:sz w:val="32"/>
          <w:szCs w:val="32"/>
          <w:lang w:eastAsia="zh-CN"/>
        </w:rPr>
        <w:t>事业</w:t>
      </w:r>
      <w:r>
        <w:rPr>
          <w:rStyle w:val="14"/>
          <w:rFonts w:hint="eastAsia" w:ascii="仿宋_GB2312" w:hAnsi="仿宋_GB2312" w:eastAsia="仿宋_GB2312" w:cs="仿宋_GB2312"/>
          <w:b w:val="0"/>
          <w:color w:val="000000"/>
          <w:sz w:val="32"/>
          <w:szCs w:val="32"/>
        </w:rPr>
        <w:t>单位</w:t>
      </w:r>
      <w:r>
        <w:rPr>
          <w:rStyle w:val="14"/>
          <w:rFonts w:hint="eastAsia" w:ascii="仿宋_GB2312" w:hAnsi="仿宋_GB2312" w:eastAsia="仿宋_GB2312" w:cs="仿宋_GB2312"/>
          <w:b w:val="0"/>
          <w:color w:val="000000" w:themeColor="text1"/>
          <w:sz w:val="32"/>
          <w:szCs w:val="32"/>
          <w:lang w:eastAsia="zh-CN"/>
        </w:rPr>
        <w:t>保障机构正常运行、开展日常工作</w:t>
      </w:r>
      <w:r>
        <w:rPr>
          <w:rFonts w:hint="eastAsia" w:ascii="仿宋_GB2312" w:eastAsia="仿宋_GB2312"/>
          <w:color w:val="000000"/>
          <w:sz w:val="32"/>
          <w:szCs w:val="32"/>
        </w:rPr>
        <w:t>的</w:t>
      </w:r>
      <w:r>
        <w:rPr>
          <w:rFonts w:hint="eastAsia" w:ascii="仿宋_GB2312" w:eastAsia="仿宋_GB2312"/>
          <w:color w:val="000000"/>
          <w:sz w:val="32"/>
          <w:szCs w:val="32"/>
          <w:lang w:eastAsia="zh-CN"/>
        </w:rPr>
        <w:t>基本</w:t>
      </w:r>
      <w:r>
        <w:rPr>
          <w:rFonts w:hint="eastAsia" w:ascii="仿宋_GB2312" w:eastAsia="仿宋_GB2312"/>
          <w:color w:val="000000"/>
          <w:sz w:val="32"/>
          <w:szCs w:val="32"/>
        </w:rPr>
        <w:t>支出</w:t>
      </w:r>
      <w:r>
        <w:rPr>
          <w:rFonts w:hint="eastAsia" w:ascii="仿宋_GB2312" w:eastAsia="仿宋_GB2312"/>
          <w:color w:val="000000"/>
          <w:sz w:val="32"/>
          <w:szCs w:val="32"/>
          <w:lang w:eastAsia="zh-CN"/>
        </w:rPr>
        <w:t>。</w:t>
      </w:r>
    </w:p>
    <w:p>
      <w:pPr>
        <w:pageBreakBefore w:val="0"/>
        <w:kinsoku/>
        <w:wordWrap/>
        <w:overflowPunct/>
        <w:topLinePunct w:val="0"/>
        <w:bidi w:val="0"/>
        <w:spacing w:line="576" w:lineRule="exact"/>
        <w:ind w:firstLine="640" w:firstLineChars="200"/>
        <w:rPr>
          <w:rStyle w:val="14"/>
          <w:rFonts w:hint="eastAsia" w:ascii="仿宋_GB2312" w:hAnsi="仿宋_GB2312" w:eastAsia="仿宋_GB2312" w:cs="仿宋_GB2312"/>
          <w:b w:val="0"/>
          <w:bCs/>
          <w:color w:val="000000"/>
          <w:sz w:val="32"/>
          <w:szCs w:val="32"/>
          <w:lang w:eastAsia="zh-CN"/>
        </w:rPr>
      </w:pPr>
      <w:r>
        <w:rPr>
          <w:rStyle w:val="14"/>
          <w:rFonts w:hint="eastAsia" w:ascii="仿宋_GB2312" w:hAnsi="仿宋_GB2312" w:eastAsia="仿宋_GB2312" w:cs="仿宋_GB2312"/>
          <w:b w:val="0"/>
          <w:color w:val="000000"/>
          <w:sz w:val="32"/>
          <w:szCs w:val="32"/>
          <w:lang w:val="en-US" w:eastAsia="zh-CN"/>
        </w:rPr>
        <w:t>8</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社会保障和就业支出</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民政管理事务</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拥军优属</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Style w:val="14"/>
          <w:rFonts w:hint="eastAsia" w:ascii="仿宋_GB2312" w:hAnsi="仿宋_GB2312" w:eastAsia="仿宋_GB2312" w:cs="仿宋_GB2312"/>
          <w:b w:val="0"/>
          <w:bCs/>
          <w:color w:val="000000"/>
          <w:sz w:val="32"/>
          <w:szCs w:val="32"/>
        </w:rPr>
        <w:t>单位</w:t>
      </w:r>
      <w:r>
        <w:rPr>
          <w:rStyle w:val="14"/>
          <w:rFonts w:hint="eastAsia" w:ascii="仿宋_GB2312" w:hAnsi="仿宋_GB2312" w:eastAsia="仿宋_GB2312" w:cs="仿宋_GB2312"/>
          <w:b w:val="0"/>
          <w:bCs/>
          <w:color w:val="000000"/>
          <w:sz w:val="32"/>
          <w:szCs w:val="32"/>
          <w:lang w:eastAsia="zh-CN"/>
        </w:rPr>
        <w:t>开展拥军优属活动支出。</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9</w:t>
      </w:r>
      <w:r>
        <w:rPr>
          <w:rStyle w:val="14"/>
          <w:rFonts w:hint="eastAsia" w:ascii="仿宋_GB2312" w:hAnsi="仿宋_GB2312" w:eastAsia="仿宋_GB2312" w:cs="仿宋_GB2312"/>
          <w:b w:val="0"/>
          <w:color w:val="000000"/>
          <w:sz w:val="32"/>
          <w:szCs w:val="32"/>
        </w:rPr>
        <w:t>.社会保障和就业（</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）行政事业单位离退休（</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）机关事业单位基本养老保险缴费支出（</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bCs/>
          <w:color w:val="000000"/>
          <w:kern w:val="0"/>
          <w:sz w:val="32"/>
          <w:szCs w:val="32"/>
          <w:lang w:bidi="ar"/>
        </w:rPr>
        <w:t>单位实施养老保险制度由单位缴纳的养老保险费的支出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10</w:t>
      </w:r>
      <w:r>
        <w:rPr>
          <w:rStyle w:val="14"/>
          <w:rFonts w:hint="eastAsia" w:ascii="仿宋_GB2312" w:hAnsi="仿宋_GB2312" w:eastAsia="仿宋_GB2312" w:cs="仿宋_GB2312"/>
          <w:b w:val="0"/>
          <w:color w:val="000000"/>
          <w:sz w:val="32"/>
          <w:szCs w:val="32"/>
        </w:rPr>
        <w:t>.社会保障和就业（</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）行政事业单位离退休（</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）机关事业单位职业年金缴费支出（</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color w:val="000000"/>
          <w:kern w:val="0"/>
          <w:sz w:val="32"/>
          <w:szCs w:val="32"/>
          <w:lang w:bidi="ar"/>
        </w:rPr>
        <w:t>单位实施养老保险制度由单位缴纳的职业年金的支出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11</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卫生健康</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）行政事业单位医疗（</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）行政单位医疗（</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lang w:bidi="ar"/>
        </w:rPr>
        <w:t>行政单位用于缴纳单位基本医疗保险支出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ascii="仿宋_GB2312" w:hAnsi="仿宋_GB2312" w:eastAsia="仿宋_GB2312" w:cs="仿宋_GB2312"/>
          <w:b w:val="0"/>
          <w:color w:val="000000" w:themeColor="text1"/>
          <w:sz w:val="32"/>
          <w:szCs w:val="32"/>
        </w:rPr>
      </w:pPr>
      <w:r>
        <w:rPr>
          <w:rStyle w:val="14"/>
          <w:rFonts w:hint="eastAsia" w:ascii="仿宋_GB2312" w:hAnsi="仿宋_GB2312" w:eastAsia="仿宋_GB2312" w:cs="仿宋_GB2312"/>
          <w:b w:val="0"/>
          <w:color w:val="000000"/>
          <w:sz w:val="32"/>
          <w:szCs w:val="32"/>
          <w:lang w:val="en-US" w:eastAsia="zh-CN"/>
        </w:rPr>
        <w:t>12</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卫生健康</w:t>
      </w:r>
      <w:r>
        <w:rPr>
          <w:rStyle w:val="14"/>
          <w:rFonts w:hint="eastAsia"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）行政事业单位医疗（</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）事业单位医疗（</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lang w:bidi="ar"/>
        </w:rPr>
        <w:t>事业单位用于缴纳单位基本医疗保险支出</w:t>
      </w:r>
      <w:r>
        <w:rPr>
          <w:rStyle w:val="14"/>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firstLine="640" w:firstLineChars="200"/>
        <w:rPr>
          <w:rStyle w:val="14"/>
          <w:rFonts w:hint="default" w:ascii="仿宋_GB2312" w:hAnsi="仿宋_GB2312" w:eastAsia="仿宋_GB2312" w:cs="仿宋_GB2312"/>
          <w:b w:val="0"/>
          <w:color w:val="000000"/>
          <w:sz w:val="32"/>
          <w:szCs w:val="32"/>
          <w:lang w:val="en-US" w:eastAsia="zh-CN"/>
        </w:rPr>
      </w:pPr>
      <w:r>
        <w:rPr>
          <w:rStyle w:val="14"/>
          <w:rFonts w:hint="eastAsia" w:ascii="仿宋_GB2312" w:hAnsi="仿宋_GB2312" w:eastAsia="仿宋_GB2312" w:cs="仿宋_GB2312"/>
          <w:b w:val="0"/>
          <w:color w:val="000000"/>
          <w:sz w:val="32"/>
          <w:szCs w:val="32"/>
          <w:lang w:val="en-US" w:eastAsia="zh-CN"/>
        </w:rPr>
        <w:t>13</w:t>
      </w:r>
      <w:r>
        <w:rPr>
          <w:rStyle w:val="14"/>
          <w:rFonts w:hint="eastAsia" w:ascii="仿宋_GB2312" w:hAnsi="仿宋_GB2312" w:eastAsia="仿宋_GB2312" w:cs="仿宋_GB2312"/>
          <w:b w:val="0"/>
          <w:color w:val="000000"/>
          <w:sz w:val="32"/>
          <w:szCs w:val="32"/>
        </w:rPr>
        <w:t>.住房保障支出（</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）住房改革支出（</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）住房公积金（</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color w:val="000000"/>
          <w:kern w:val="0"/>
          <w:sz w:val="32"/>
          <w:szCs w:val="32"/>
          <w:lang w:bidi="ar"/>
        </w:rPr>
        <w:t>反映行政事业单位按规定为职工缴纳的住房公积金</w:t>
      </w:r>
      <w:r>
        <w:rPr>
          <w:rStyle w:val="14"/>
          <w:rFonts w:hint="eastAsia" w:ascii="仿宋_GB2312" w:hAnsi="仿宋_GB2312" w:eastAsia="仿宋_GB2312" w:cs="仿宋_GB2312"/>
          <w:b w:val="0"/>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日常维修费、一般设备购置费、办公用房水电费、公务用车运行维护费以及其他费用。</w:t>
      </w:r>
    </w:p>
    <w:p>
      <w:pPr>
        <w:spacing w:line="600" w:lineRule="exact"/>
        <w:jc w:val="center"/>
        <w:outlineLvl w:val="0"/>
        <w:rPr>
          <w:rStyle w:val="24"/>
          <w:rFonts w:ascii="黑体" w:hAnsi="黑体" w:eastAsia="黑体"/>
          <w:b w:val="0"/>
        </w:rPr>
      </w:pPr>
      <w:bookmarkStart w:id="63" w:name="_Toc15377226"/>
      <w:r>
        <w:rPr>
          <w:rFonts w:ascii="宋体"/>
          <w:b/>
          <w:color w:val="000000"/>
          <w:sz w:val="44"/>
          <w:szCs w:val="44"/>
        </w:rPr>
        <w:br w:type="page"/>
      </w:r>
      <w:bookmarkStart w:id="64" w:name="_Toc16826"/>
      <w:r>
        <w:rPr>
          <w:rFonts w:hint="eastAsia" w:ascii="黑体" w:hAnsi="黑体" w:eastAsia="黑体"/>
          <w:color w:val="000000"/>
          <w:sz w:val="44"/>
          <w:szCs w:val="44"/>
        </w:rPr>
        <w:t>第</w:t>
      </w:r>
      <w:r>
        <w:rPr>
          <w:rStyle w:val="24"/>
          <w:rFonts w:hint="eastAsia" w:ascii="黑体" w:hAnsi="黑体" w:eastAsia="黑体"/>
          <w:b w:val="0"/>
        </w:rPr>
        <w:t>四部分 附件</w:t>
      </w:r>
      <w:bookmarkEnd w:id="64"/>
    </w:p>
    <w:p>
      <w:pPr>
        <w:spacing w:line="580" w:lineRule="exact"/>
        <w:jc w:val="center"/>
        <w:rPr>
          <w:rFonts w:ascii="方正小标宋简体" w:hAnsi="方正小标宋简体" w:eastAsia="方正小标宋简体" w:cs="方正小标宋简体"/>
          <w:sz w:val="44"/>
          <w:szCs w:val="44"/>
        </w:rPr>
      </w:pPr>
    </w:p>
    <w:p>
      <w:pPr>
        <w:widowControl/>
        <w:spacing w:line="480" w:lineRule="exact"/>
        <w:jc w:val="center"/>
        <w:rPr>
          <w:rFonts w:ascii="方正小标宋简体" w:hAnsi="宋体" w:eastAsia="方正小标宋简体"/>
          <w:sz w:val="44"/>
          <w:szCs w:val="44"/>
        </w:rPr>
      </w:pPr>
      <w:r>
        <w:rPr>
          <w:rFonts w:ascii="方正小标宋简体" w:hAnsi="宋体" w:eastAsia="方正小标宋简体"/>
          <w:sz w:val="44"/>
          <w:szCs w:val="44"/>
        </w:rPr>
        <w:t>20</w:t>
      </w:r>
      <w:r>
        <w:rPr>
          <w:rFonts w:hint="eastAsia" w:ascii="方正小标宋简体" w:hAnsi="宋体" w:eastAsia="方正小标宋简体"/>
          <w:sz w:val="44"/>
          <w:szCs w:val="44"/>
        </w:rPr>
        <w:t>2</w:t>
      </w:r>
      <w:r>
        <w:rPr>
          <w:rFonts w:hint="eastAsia" w:ascii="方正小标宋简体" w:hAnsi="宋体" w:eastAsia="方正小标宋简体"/>
          <w:sz w:val="44"/>
          <w:szCs w:val="44"/>
          <w:lang w:val="en-US" w:eastAsia="zh-CN"/>
        </w:rPr>
        <w:t>1</w:t>
      </w:r>
      <w:r>
        <w:rPr>
          <w:rFonts w:hint="eastAsia" w:ascii="方正小标宋简体" w:hAnsi="宋体" w:eastAsia="方正小标宋简体"/>
          <w:sz w:val="44"/>
          <w:szCs w:val="44"/>
        </w:rPr>
        <w:t>年</w:t>
      </w:r>
      <w:r>
        <w:rPr>
          <w:rFonts w:hint="eastAsia" w:ascii="方正小标宋简体" w:hAnsi="宋体" w:eastAsia="方正小标宋简体"/>
          <w:sz w:val="44"/>
          <w:szCs w:val="44"/>
          <w:lang w:eastAsia="zh-CN"/>
        </w:rPr>
        <w:t>茂县司法局</w:t>
      </w:r>
      <w:r>
        <w:rPr>
          <w:rFonts w:hint="eastAsia" w:ascii="方正小标宋简体" w:hAnsi="宋体" w:eastAsia="方正小标宋简体"/>
          <w:sz w:val="44"/>
          <w:szCs w:val="44"/>
        </w:rPr>
        <w:t>部门整体支出绩效报告</w:t>
      </w:r>
    </w:p>
    <w:p>
      <w:pPr>
        <w:widowControl/>
        <w:spacing w:line="480" w:lineRule="exact"/>
        <w:jc w:val="center"/>
        <w:rPr>
          <w:rFonts w:ascii="黑体" w:hAnsi="宋体" w:eastAsia="黑体" w:cs="宋体"/>
          <w:color w:val="000000"/>
          <w:kern w:val="0"/>
        </w:rPr>
      </w:pP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kern w:val="0"/>
          <w:sz w:val="32"/>
          <w:szCs w:val="32"/>
        </w:rPr>
        <w:t>司法局为行政事业单位，无下属二级预算单位</w:t>
      </w:r>
      <w:r>
        <w:rPr>
          <w:rFonts w:hint="eastAsia" w:ascii="仿宋_GB2312" w:hAnsi="仿宋_GB2312" w:eastAsia="仿宋_GB2312" w:cs="仿宋_GB2312"/>
          <w:kern w:val="0"/>
          <w:sz w:val="32"/>
          <w:szCs w:val="32"/>
          <w:lang w:eastAsia="zh-CN"/>
        </w:rPr>
        <w:t>。</w:t>
      </w:r>
    </w:p>
    <w:p>
      <w:pPr>
        <w:keepNext w:val="0"/>
        <w:keepLines w:val="0"/>
        <w:pageBreakBefore w:val="0"/>
        <w:widowControl/>
        <w:numPr>
          <w:ilvl w:val="0"/>
          <w:numId w:val="4"/>
        </w:numPr>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机构职能</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承担全面依法治国、依法治省、依法治州、依法治县重大问题的政策研究，协调有关方面提出全面依法治县规划建议,负责有关重大决策部署督察工作。</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县人民政府规范性文件、重大行政决策的合法性审查。承办县人民政府发布规范性文件的报送备案工作。负责各乡(镇)人民政府和县人民政府各部门规范性文件报送县人民政府的备案审查工作。组织开展规范性文件清理。</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承担统筹推进法治政府建设的责任。指导监督县人民政府各部门、各乡(镇)人民政府依法行政工作。负责综合协调监督检査行政执法,协助推进行政执法体制改革有关工作,推进严格规范公正文明执法。指导监督全县行政复议、行政应诉和行政赔偿工作,承办向县人民政府申请的行政复议、行政赔偿案件代理县人民政府行政应诉案件。</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负责管理社区矫正日常工作。指导、协调有关部门对刑满释放人员的帮教安置工作。</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负责全县公共法律服务体系建设的规划实施。负责监督管理律师、公证、法律援助、司法鉴定、仲裁和基层法律服务工作。协助上级部门开展国家统一法律职业资格考试的组织实工作。 </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 xml:space="preserve">负责本单位服装和警车管理工作。负责本单位财务、装备、设施、场所等保障工作。 </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规划、协调法治人才队伍建设相关工作，负责本单位队伍建设。 </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负责本单位行政审批工作。负责全县外来企业投诉处理和民营企业法律服务工作。 </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完成县委、县政府交办的其他任务。</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bCs/>
          <w:color w:val="000000"/>
          <w:kern w:val="0"/>
          <w:sz w:val="32"/>
          <w:szCs w:val="32"/>
          <w:shd w:val="clear" w:color="auto" w:fill="auto"/>
          <w:lang w:val="en-US" w:eastAsia="zh-CN" w:bidi="ar-SA"/>
        </w:rPr>
        <w:t>司法局总编制51名，其中：行政编制39名，行政工勤2名，事业编制10名。在职人员总数48人，其中：行政人员40人，其他事业人员8人。离休人员0人，退休人员12人。</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Cs/>
          <w:color w:val="000000"/>
          <w:kern w:val="0"/>
          <w:sz w:val="32"/>
          <w:szCs w:val="32"/>
          <w:shd w:val="clear" w:color="auto" w:fill="auto"/>
          <w:lang w:val="en-US" w:eastAsia="zh-CN" w:bidi="ar-SA"/>
        </w:rPr>
      </w:pPr>
      <w:r>
        <w:rPr>
          <w:rFonts w:hint="eastAsia" w:ascii="仿宋_GB2312" w:hAnsi="仿宋_GB2312" w:eastAsia="仿宋_GB2312" w:cs="仿宋_GB2312"/>
          <w:bCs/>
          <w:color w:val="000000"/>
          <w:kern w:val="0"/>
          <w:sz w:val="32"/>
          <w:szCs w:val="32"/>
          <w:shd w:val="clear" w:color="auto" w:fill="auto"/>
          <w:lang w:val="en-US" w:eastAsia="zh-CN" w:bidi="ar-SA"/>
        </w:rPr>
        <w:t>2020年司法局本年收入合计1016.4万元，其中：财政拨款收入1016.4万元，占100%；事业收入0万元；经营收入0万元；附属单位上缴收入0万元；其他收入0万元。2020年一般公共预算财政拨款收入1016.4万元。</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Cs/>
          <w:color w:val="000000"/>
          <w:kern w:val="0"/>
          <w:sz w:val="32"/>
          <w:szCs w:val="32"/>
          <w:shd w:val="clear" w:color="auto" w:fill="auto"/>
          <w:lang w:val="en-US" w:eastAsia="zh-CN" w:bidi="ar-SA"/>
        </w:rPr>
      </w:pPr>
      <w:r>
        <w:rPr>
          <w:rFonts w:hint="eastAsia" w:ascii="仿宋_GB2312" w:hAnsi="仿宋_GB2312" w:eastAsia="仿宋_GB2312" w:cs="仿宋_GB2312"/>
          <w:bCs/>
          <w:color w:val="000000"/>
          <w:kern w:val="0"/>
          <w:sz w:val="32"/>
          <w:szCs w:val="32"/>
          <w:shd w:val="clear" w:color="auto" w:fill="auto"/>
          <w:lang w:val="en-US" w:eastAsia="zh-CN" w:bidi="ar-SA"/>
        </w:rPr>
        <w:t>2021年1-6月财政拨款收入1039.84万元。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720" w:leftChars="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val="zh-CN"/>
        </w:rPr>
        <w:t>年</w:t>
      </w:r>
      <w:r>
        <w:rPr>
          <w:rFonts w:hint="eastAsia" w:ascii="仿宋_GB2312" w:hAnsi="仿宋_GB2312" w:eastAsia="仿宋_GB2312" w:cs="仿宋_GB2312"/>
          <w:color w:val="auto"/>
          <w:sz w:val="32"/>
          <w:szCs w:val="32"/>
          <w:lang w:val="zh-CN" w:eastAsia="zh-CN"/>
        </w:rPr>
        <w:t>司法局</w:t>
      </w:r>
      <w:r>
        <w:rPr>
          <w:rFonts w:hint="eastAsia" w:ascii="仿宋_GB2312" w:hAnsi="仿宋_GB2312" w:eastAsia="仿宋_GB2312" w:cs="仿宋_GB2312"/>
          <w:color w:val="auto"/>
          <w:sz w:val="32"/>
          <w:szCs w:val="32"/>
          <w:lang w:val="zh-CN"/>
        </w:rPr>
        <w:t>本年支出合计</w:t>
      </w:r>
      <w:r>
        <w:rPr>
          <w:rFonts w:hint="eastAsia" w:ascii="仿宋_GB2312" w:hAnsi="仿宋_GB2312" w:eastAsia="仿宋_GB2312" w:cs="仿宋_GB2312"/>
          <w:color w:val="auto"/>
          <w:sz w:val="32"/>
          <w:szCs w:val="32"/>
          <w:lang w:val="en-US" w:eastAsia="zh-CN"/>
        </w:rPr>
        <w:t>973.99</w:t>
      </w:r>
      <w:r>
        <w:rPr>
          <w:rFonts w:hint="eastAsia" w:ascii="仿宋_GB2312" w:hAnsi="仿宋_GB2312" w:eastAsia="仿宋_GB2312" w:cs="仿宋_GB2312"/>
          <w:color w:val="auto"/>
          <w:sz w:val="32"/>
          <w:szCs w:val="32"/>
          <w:lang w:val="zh-CN"/>
        </w:rPr>
        <w:t>万元，其中：基本支出</w:t>
      </w:r>
      <w:r>
        <w:rPr>
          <w:rFonts w:hint="eastAsia" w:ascii="仿宋_GB2312" w:hAnsi="仿宋_GB2312" w:eastAsia="仿宋_GB2312" w:cs="仿宋_GB2312"/>
          <w:color w:val="auto"/>
          <w:sz w:val="32"/>
          <w:szCs w:val="32"/>
          <w:lang w:val="en-US" w:eastAsia="zh-CN"/>
        </w:rPr>
        <w:t>851.54</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87.43</w:t>
      </w:r>
      <w:r>
        <w:rPr>
          <w:rFonts w:hint="eastAsia" w:ascii="仿宋_GB2312" w:hAnsi="仿宋_GB2312" w:eastAsia="仿宋_GB2312" w:cs="仿宋_GB2312"/>
          <w:color w:val="auto"/>
          <w:sz w:val="32"/>
          <w:szCs w:val="32"/>
          <w:lang w:val="zh-CN"/>
        </w:rPr>
        <w:t>%；项目支出</w:t>
      </w:r>
      <w:r>
        <w:rPr>
          <w:rFonts w:hint="eastAsia" w:ascii="仿宋_GB2312" w:hAnsi="仿宋_GB2312" w:eastAsia="仿宋_GB2312" w:cs="仿宋_GB2312"/>
          <w:color w:val="auto"/>
          <w:sz w:val="32"/>
          <w:szCs w:val="32"/>
          <w:lang w:val="en-US" w:eastAsia="zh-CN"/>
        </w:rPr>
        <w:t>122.45</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12.57</w:t>
      </w:r>
      <w:r>
        <w:rPr>
          <w:rFonts w:hint="eastAsia" w:ascii="仿宋_GB2312" w:hAnsi="仿宋_GB2312" w:eastAsia="仿宋_GB2312" w:cs="仿宋_GB2312"/>
          <w:color w:val="auto"/>
          <w:sz w:val="32"/>
          <w:szCs w:val="32"/>
          <w:lang w:val="zh-CN"/>
        </w:rPr>
        <w:t>%；上缴上级支出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万元；经营支出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万元；对附属单位补助支出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eastAsia="zh-CN"/>
        </w:rPr>
        <w:t>司法局</w:t>
      </w:r>
      <w:r>
        <w:rPr>
          <w:rFonts w:hint="eastAsia" w:ascii="仿宋_GB2312" w:hAnsi="仿宋_GB2312" w:eastAsia="仿宋_GB2312" w:cs="仿宋_GB2312"/>
          <w:color w:val="auto"/>
          <w:sz w:val="32"/>
          <w:szCs w:val="32"/>
          <w:lang w:val="zh-CN"/>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val="zh-CN"/>
        </w:rPr>
        <w:t>年一般公共预算财政拨款支出</w:t>
      </w:r>
      <w:r>
        <w:rPr>
          <w:rFonts w:hint="eastAsia" w:ascii="仿宋_GB2312" w:hAnsi="仿宋_GB2312" w:eastAsia="仿宋_GB2312" w:cs="仿宋_GB2312"/>
          <w:color w:val="auto"/>
          <w:sz w:val="32"/>
          <w:szCs w:val="32"/>
          <w:lang w:val="en-US" w:eastAsia="zh-CN"/>
        </w:rPr>
        <w:t>973.99</w:t>
      </w:r>
      <w:r>
        <w:rPr>
          <w:rFonts w:hint="eastAsia" w:ascii="仿宋_GB2312" w:hAnsi="仿宋_GB2312" w:eastAsia="仿宋_GB2312" w:cs="仿宋_GB2312"/>
          <w:color w:val="auto"/>
          <w:sz w:val="32"/>
          <w:szCs w:val="32"/>
          <w:lang w:val="zh-CN"/>
        </w:rPr>
        <w:t>万元，主要用于以下方面:</w:t>
      </w:r>
      <w:r>
        <w:rPr>
          <w:rFonts w:hint="eastAsia" w:ascii="仿宋_GB2312" w:hAnsi="仿宋_GB2312" w:eastAsia="仿宋_GB2312" w:cs="仿宋_GB2312"/>
          <w:color w:val="auto"/>
          <w:sz w:val="32"/>
          <w:szCs w:val="32"/>
          <w:lang w:val="zh-CN" w:eastAsia="zh-CN"/>
        </w:rPr>
        <w:t>公共安全</w:t>
      </w:r>
      <w:r>
        <w:rPr>
          <w:rFonts w:hint="eastAsia" w:ascii="仿宋_GB2312" w:hAnsi="仿宋_GB2312" w:eastAsia="仿宋_GB2312" w:cs="仿宋_GB2312"/>
          <w:color w:val="auto"/>
          <w:sz w:val="32"/>
          <w:szCs w:val="32"/>
          <w:lang w:val="zh-CN"/>
        </w:rPr>
        <w:t>支出</w:t>
      </w:r>
      <w:r>
        <w:rPr>
          <w:rFonts w:hint="eastAsia" w:ascii="仿宋_GB2312" w:hAnsi="仿宋_GB2312" w:eastAsia="仿宋_GB2312" w:cs="仿宋_GB2312"/>
          <w:color w:val="auto"/>
          <w:sz w:val="32"/>
          <w:szCs w:val="32"/>
          <w:lang w:val="en-US" w:eastAsia="zh-CN"/>
        </w:rPr>
        <w:t>764.04</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78.45</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zh-CN" w:eastAsia="zh-CN"/>
        </w:rPr>
        <w:t>社会保障和就业支出</w:t>
      </w:r>
      <w:r>
        <w:rPr>
          <w:rFonts w:hint="eastAsia" w:ascii="仿宋_GB2312" w:hAnsi="仿宋_GB2312" w:eastAsia="仿宋_GB2312" w:cs="仿宋_GB2312"/>
          <w:color w:val="auto"/>
          <w:sz w:val="32"/>
          <w:szCs w:val="32"/>
          <w:lang w:val="en-US" w:eastAsia="zh-CN"/>
        </w:rPr>
        <w:t>88.19</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9.05</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zh-CN" w:eastAsia="zh-CN"/>
        </w:rPr>
        <w:t>卫生健康</w:t>
      </w:r>
      <w:r>
        <w:rPr>
          <w:rFonts w:hint="eastAsia" w:ascii="仿宋_GB2312" w:hAnsi="仿宋_GB2312" w:eastAsia="仿宋_GB2312" w:cs="仿宋_GB2312"/>
          <w:color w:val="auto"/>
          <w:sz w:val="32"/>
          <w:szCs w:val="32"/>
          <w:lang w:val="zh-CN"/>
        </w:rPr>
        <w:t>支出</w:t>
      </w:r>
      <w:r>
        <w:rPr>
          <w:rFonts w:hint="eastAsia" w:ascii="仿宋_GB2312" w:hAnsi="仿宋_GB2312" w:eastAsia="仿宋_GB2312" w:cs="仿宋_GB2312"/>
          <w:color w:val="auto"/>
          <w:sz w:val="32"/>
          <w:szCs w:val="32"/>
          <w:lang w:val="en-US" w:eastAsia="zh-CN"/>
        </w:rPr>
        <w:t>49.56</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5.09</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zh-CN" w:eastAsia="zh-CN"/>
        </w:rPr>
        <w:t>农林水支出</w:t>
      </w:r>
      <w:r>
        <w:rPr>
          <w:rFonts w:hint="eastAsia" w:ascii="仿宋_GB2312" w:hAnsi="仿宋_GB2312" w:eastAsia="仿宋_GB2312" w:cs="仿宋_GB2312"/>
          <w:color w:val="auto"/>
          <w:sz w:val="32"/>
          <w:szCs w:val="32"/>
          <w:lang w:val="en-US" w:eastAsia="zh-CN"/>
        </w:rPr>
        <w:t>1.32</w:t>
      </w:r>
      <w:r>
        <w:rPr>
          <w:rFonts w:hint="eastAsia" w:ascii="仿宋_GB2312" w:hAnsi="仿宋_GB2312" w:eastAsia="仿宋_GB2312" w:cs="仿宋_GB2312"/>
          <w:color w:val="auto"/>
          <w:sz w:val="32"/>
          <w:szCs w:val="32"/>
          <w:lang w:val="zh-CN" w:eastAsia="zh-CN"/>
        </w:rPr>
        <w:t>万元，占</w:t>
      </w:r>
      <w:r>
        <w:rPr>
          <w:rFonts w:hint="eastAsia" w:ascii="仿宋_GB2312" w:hAnsi="仿宋_GB2312" w:eastAsia="仿宋_GB2312" w:cs="仿宋_GB2312"/>
          <w:color w:val="auto"/>
          <w:sz w:val="32"/>
          <w:szCs w:val="32"/>
          <w:lang w:val="en-US" w:eastAsia="zh-CN"/>
        </w:rPr>
        <w:t>0.13</w:t>
      </w:r>
      <w:r>
        <w:rPr>
          <w:rFonts w:hint="eastAsia" w:ascii="仿宋_GB2312" w:hAnsi="仿宋_GB2312" w:eastAsia="仿宋_GB2312" w:cs="仿宋_GB2312"/>
          <w:color w:val="auto"/>
          <w:sz w:val="32"/>
          <w:szCs w:val="32"/>
          <w:lang w:val="zh-CN" w:eastAsia="zh-CN"/>
        </w:rPr>
        <w:t>%；住房保障</w:t>
      </w:r>
      <w:r>
        <w:rPr>
          <w:rFonts w:hint="eastAsia" w:ascii="仿宋_GB2312" w:hAnsi="仿宋_GB2312" w:eastAsia="仿宋_GB2312" w:cs="仿宋_GB2312"/>
          <w:color w:val="auto"/>
          <w:sz w:val="32"/>
          <w:szCs w:val="32"/>
          <w:lang w:val="zh-CN"/>
        </w:rPr>
        <w:t>支出</w:t>
      </w:r>
      <w:r>
        <w:rPr>
          <w:rFonts w:hint="eastAsia" w:ascii="仿宋_GB2312" w:hAnsi="仿宋_GB2312" w:eastAsia="仿宋_GB2312" w:cs="仿宋_GB2312"/>
          <w:color w:val="auto"/>
          <w:sz w:val="32"/>
          <w:szCs w:val="32"/>
          <w:lang w:val="en-US" w:eastAsia="zh-CN"/>
        </w:rPr>
        <w:t>70.88</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7.28</w:t>
      </w:r>
      <w:r>
        <w:rPr>
          <w:rFonts w:hint="eastAsia" w:ascii="仿宋_GB2312" w:hAnsi="仿宋_GB2312" w:eastAsia="仿宋_GB2312" w:cs="仿宋_GB2312"/>
          <w:color w:val="auto"/>
          <w:sz w:val="32"/>
          <w:szCs w:val="32"/>
          <w:lang w:val="zh-CN"/>
        </w:rPr>
        <w:t>%。</w:t>
      </w:r>
    </w:p>
    <w:p>
      <w:pPr>
        <w:keepNext w:val="0"/>
        <w:keepLines w:val="0"/>
        <w:pageBreakBefore w:val="0"/>
        <w:widowControl/>
        <w:kinsoku/>
        <w:wordWrap/>
        <w:overflowPunct/>
        <w:topLinePunct w:val="0"/>
        <w:autoSpaceDE/>
        <w:autoSpaceDN/>
        <w:bidi w:val="0"/>
        <w:spacing w:line="576" w:lineRule="exac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FF0000"/>
          <w:kern w:val="0"/>
          <w:sz w:val="32"/>
          <w:szCs w:val="32"/>
          <w:lang w:val="en-US" w:eastAsia="zh-CN"/>
        </w:rPr>
        <w:t xml:space="preserve">   </w:t>
      </w:r>
      <w:r>
        <w:rPr>
          <w:rFonts w:hint="eastAsia" w:ascii="仿宋_GB2312" w:hAnsi="仿宋_GB2312" w:eastAsia="仿宋_GB2312" w:cs="仿宋_GB2312"/>
          <w:color w:val="auto"/>
          <w:sz w:val="32"/>
          <w:szCs w:val="32"/>
          <w:lang w:val="en-US" w:eastAsia="zh-CN"/>
        </w:rPr>
        <w:t>2021年1-6月支出726.11万元。</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三、部门财政支出管理情况</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（一）预算编制情况</w:t>
      </w:r>
    </w:p>
    <w:p>
      <w:pPr>
        <w:keepNext w:val="0"/>
        <w:keepLines w:val="0"/>
        <w:pageBreakBefore w:val="0"/>
        <w:widowControl/>
        <w:kinsoku/>
        <w:wordWrap/>
        <w:overflowPunct/>
        <w:topLinePunct w:val="0"/>
        <w:autoSpaceDE/>
        <w:autoSpaceDN/>
        <w:bidi w:val="0"/>
        <w:spacing w:line="576" w:lineRule="exact"/>
        <w:ind w:firstLine="627" w:firstLineChars="196"/>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司法局及时组织财务人员进行预决算的编制，对本年度相应用款进行及时清理和处理，做到账账相符、账实相符、账证相符,</w:t>
      </w:r>
    </w:p>
    <w:p>
      <w:pPr>
        <w:keepNext w:val="0"/>
        <w:keepLines w:val="0"/>
        <w:pageBreakBefore w:val="0"/>
        <w:widowControl/>
        <w:kinsoku/>
        <w:wordWrap/>
        <w:overflowPunct/>
        <w:topLinePunct w:val="0"/>
        <w:autoSpaceDE/>
        <w:autoSpaceDN/>
        <w:bidi w:val="0"/>
        <w:spacing w:line="576" w:lineRule="exact"/>
        <w:ind w:firstLine="627" w:firstLineChars="196"/>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按先有预算再有支出的原则，及时处理相关事务；对绩效目标进行季度梳理和年度分析，及时上报相关报表；对专项预算提前细化，分科目上报，做到收支平衡。</w:t>
      </w:r>
    </w:p>
    <w:p>
      <w:pPr>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eastAsia="zh-CN"/>
        </w:rPr>
        <w:t>司法局</w:t>
      </w:r>
      <w:r>
        <w:rPr>
          <w:rFonts w:hint="eastAsia" w:ascii="仿宋_GB2312" w:hAnsi="仿宋_GB2312" w:eastAsia="仿宋_GB2312" w:cs="仿宋_GB2312"/>
          <w:color w:val="auto"/>
          <w:sz w:val="32"/>
          <w:szCs w:val="32"/>
          <w:lang w:val="zh-CN"/>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val="zh-CN"/>
        </w:rPr>
        <w:t>年一般公共预算财政拨款支出</w:t>
      </w:r>
      <w:r>
        <w:rPr>
          <w:rFonts w:hint="eastAsia" w:ascii="仿宋_GB2312" w:hAnsi="仿宋_GB2312" w:eastAsia="仿宋_GB2312" w:cs="仿宋_GB2312"/>
          <w:color w:val="auto"/>
          <w:sz w:val="32"/>
          <w:szCs w:val="32"/>
          <w:lang w:val="en-US" w:eastAsia="zh-CN"/>
        </w:rPr>
        <w:t>973.99</w:t>
      </w:r>
      <w:r>
        <w:rPr>
          <w:rFonts w:hint="eastAsia" w:ascii="仿宋_GB2312" w:hAnsi="仿宋_GB2312" w:eastAsia="仿宋_GB2312" w:cs="仿宋_GB2312"/>
          <w:color w:val="auto"/>
          <w:sz w:val="32"/>
          <w:szCs w:val="32"/>
          <w:lang w:val="zh-CN"/>
        </w:rPr>
        <w:t>万元，主要用于以下方面:</w:t>
      </w:r>
      <w:r>
        <w:rPr>
          <w:rFonts w:hint="eastAsia" w:ascii="仿宋_GB2312" w:hAnsi="仿宋_GB2312" w:eastAsia="仿宋_GB2312" w:cs="仿宋_GB2312"/>
          <w:color w:val="auto"/>
          <w:sz w:val="32"/>
          <w:szCs w:val="32"/>
          <w:lang w:val="zh-CN" w:eastAsia="zh-CN"/>
        </w:rPr>
        <w:t>公共安全</w:t>
      </w:r>
      <w:r>
        <w:rPr>
          <w:rFonts w:hint="eastAsia" w:ascii="仿宋_GB2312" w:hAnsi="仿宋_GB2312" w:eastAsia="仿宋_GB2312" w:cs="仿宋_GB2312"/>
          <w:color w:val="auto"/>
          <w:sz w:val="32"/>
          <w:szCs w:val="32"/>
          <w:lang w:val="zh-CN"/>
        </w:rPr>
        <w:t>支出</w:t>
      </w:r>
      <w:r>
        <w:rPr>
          <w:rFonts w:hint="eastAsia" w:ascii="仿宋_GB2312" w:hAnsi="仿宋_GB2312" w:eastAsia="仿宋_GB2312" w:cs="仿宋_GB2312"/>
          <w:color w:val="auto"/>
          <w:sz w:val="32"/>
          <w:szCs w:val="32"/>
          <w:lang w:val="en-US" w:eastAsia="zh-CN"/>
        </w:rPr>
        <w:t>764.04</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78.45</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zh-CN" w:eastAsia="zh-CN"/>
        </w:rPr>
        <w:t>社会保障和就业支出</w:t>
      </w:r>
      <w:r>
        <w:rPr>
          <w:rFonts w:hint="eastAsia" w:ascii="仿宋_GB2312" w:hAnsi="仿宋_GB2312" w:eastAsia="仿宋_GB2312" w:cs="仿宋_GB2312"/>
          <w:color w:val="auto"/>
          <w:sz w:val="32"/>
          <w:szCs w:val="32"/>
          <w:lang w:val="en-US" w:eastAsia="zh-CN"/>
        </w:rPr>
        <w:t>88.19</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9.05</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zh-CN" w:eastAsia="zh-CN"/>
        </w:rPr>
        <w:t>卫生健康</w:t>
      </w:r>
      <w:r>
        <w:rPr>
          <w:rFonts w:hint="eastAsia" w:ascii="仿宋_GB2312" w:hAnsi="仿宋_GB2312" w:eastAsia="仿宋_GB2312" w:cs="仿宋_GB2312"/>
          <w:color w:val="auto"/>
          <w:sz w:val="32"/>
          <w:szCs w:val="32"/>
          <w:lang w:val="zh-CN"/>
        </w:rPr>
        <w:t>支出</w:t>
      </w:r>
      <w:r>
        <w:rPr>
          <w:rFonts w:hint="eastAsia" w:ascii="仿宋_GB2312" w:hAnsi="仿宋_GB2312" w:eastAsia="仿宋_GB2312" w:cs="仿宋_GB2312"/>
          <w:color w:val="auto"/>
          <w:sz w:val="32"/>
          <w:szCs w:val="32"/>
          <w:lang w:val="en-US" w:eastAsia="zh-CN"/>
        </w:rPr>
        <w:t>49.56</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5.09</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zh-CN" w:eastAsia="zh-CN"/>
        </w:rPr>
        <w:t>农林水支出</w:t>
      </w:r>
      <w:r>
        <w:rPr>
          <w:rFonts w:hint="eastAsia" w:ascii="仿宋_GB2312" w:hAnsi="仿宋_GB2312" w:eastAsia="仿宋_GB2312" w:cs="仿宋_GB2312"/>
          <w:color w:val="auto"/>
          <w:sz w:val="32"/>
          <w:szCs w:val="32"/>
          <w:lang w:val="en-US" w:eastAsia="zh-CN"/>
        </w:rPr>
        <w:t>1.32</w:t>
      </w:r>
      <w:r>
        <w:rPr>
          <w:rFonts w:hint="eastAsia" w:ascii="仿宋_GB2312" w:hAnsi="仿宋_GB2312" w:eastAsia="仿宋_GB2312" w:cs="仿宋_GB2312"/>
          <w:color w:val="auto"/>
          <w:sz w:val="32"/>
          <w:szCs w:val="32"/>
          <w:lang w:val="zh-CN" w:eastAsia="zh-CN"/>
        </w:rPr>
        <w:t>万元，占</w:t>
      </w:r>
      <w:r>
        <w:rPr>
          <w:rFonts w:hint="eastAsia" w:ascii="仿宋_GB2312" w:hAnsi="仿宋_GB2312" w:eastAsia="仿宋_GB2312" w:cs="仿宋_GB2312"/>
          <w:color w:val="auto"/>
          <w:sz w:val="32"/>
          <w:szCs w:val="32"/>
          <w:lang w:val="en-US" w:eastAsia="zh-CN"/>
        </w:rPr>
        <w:t>0.13</w:t>
      </w:r>
      <w:r>
        <w:rPr>
          <w:rFonts w:hint="eastAsia" w:ascii="仿宋_GB2312" w:hAnsi="仿宋_GB2312" w:eastAsia="仿宋_GB2312" w:cs="仿宋_GB2312"/>
          <w:color w:val="auto"/>
          <w:sz w:val="32"/>
          <w:szCs w:val="32"/>
          <w:lang w:val="zh-CN" w:eastAsia="zh-CN"/>
        </w:rPr>
        <w:t>%；住房保障</w:t>
      </w:r>
      <w:r>
        <w:rPr>
          <w:rFonts w:hint="eastAsia" w:ascii="仿宋_GB2312" w:hAnsi="仿宋_GB2312" w:eastAsia="仿宋_GB2312" w:cs="仿宋_GB2312"/>
          <w:color w:val="auto"/>
          <w:sz w:val="32"/>
          <w:szCs w:val="32"/>
          <w:lang w:val="zh-CN"/>
        </w:rPr>
        <w:t>支出</w:t>
      </w:r>
      <w:r>
        <w:rPr>
          <w:rFonts w:hint="eastAsia" w:ascii="仿宋_GB2312" w:hAnsi="仿宋_GB2312" w:eastAsia="仿宋_GB2312" w:cs="仿宋_GB2312"/>
          <w:color w:val="auto"/>
          <w:sz w:val="32"/>
          <w:szCs w:val="32"/>
          <w:lang w:val="en-US" w:eastAsia="zh-CN"/>
        </w:rPr>
        <w:t>70.88</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7.28</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sz w:val="32"/>
          <w:szCs w:val="32"/>
        </w:rPr>
        <w:t>按支出功能分类主要用于以下方面:</w:t>
      </w:r>
    </w:p>
    <w:p>
      <w:pPr>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1.行政运行，主要用于机关及下属事业单位人员工资、日常运转以及为完成特定行政工作任务和事业发展目标而安排的年度支出。</w:t>
      </w:r>
    </w:p>
    <w:p>
      <w:pPr>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2.行政单位医疗，主要用于机关及下属事业单位按照规定标准为职工缴纳的基本医疗保险等支出。</w:t>
      </w:r>
    </w:p>
    <w:p>
      <w:pPr>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3.公务员医疗补助，主要用于公务员医疗补助支出。</w:t>
      </w:r>
    </w:p>
    <w:p>
      <w:pPr>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.住房保障支出，用于机关及下属事业单位按照规定标准为职工缴纳住房公积金等支出。</w:t>
      </w:r>
    </w:p>
    <w:p>
      <w:pPr>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.基层司法业务，主要用于人民调解、社区矫正以及安置帮教等基层司法业务工作支出。</w:t>
      </w:r>
    </w:p>
    <w:p>
      <w:pPr>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.普法宣传，主要用于全县普法宣传工作支出。</w:t>
      </w:r>
    </w:p>
    <w:p>
      <w:pPr>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.法律援助，主要用于办理法律援助案件支出以及案件补贴支出。</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8.社区矫正，主要用于社区矫正工作设备购置及人员管</w:t>
      </w:r>
    </w:p>
    <w:p>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理支出。</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 w:val="0"/>
          <w:bCs/>
          <w:color w:val="000000"/>
          <w:sz w:val="32"/>
          <w:szCs w:val="32"/>
        </w:rPr>
        <w:t>20</w:t>
      </w:r>
      <w:r>
        <w:rPr>
          <w:rStyle w:val="14"/>
          <w:rFonts w:hint="eastAsia" w:ascii="仿宋_GB2312" w:hAnsi="仿宋_GB2312" w:eastAsia="仿宋_GB2312" w:cs="仿宋_GB2312"/>
          <w:b w:val="0"/>
          <w:bCs/>
          <w:color w:val="000000"/>
          <w:sz w:val="32"/>
          <w:szCs w:val="32"/>
          <w:lang w:val="en-US" w:eastAsia="zh-CN"/>
        </w:rPr>
        <w:t>20</w:t>
      </w:r>
      <w:r>
        <w:rPr>
          <w:rStyle w:val="14"/>
          <w:rFonts w:hint="eastAsia" w:ascii="仿宋_GB2312" w:hAnsi="仿宋_GB2312" w:eastAsia="仿宋_GB2312" w:cs="仿宋_GB2312"/>
          <w:b w:val="0"/>
          <w:bCs/>
          <w:color w:val="000000"/>
          <w:sz w:val="32"/>
          <w:szCs w:val="32"/>
        </w:rPr>
        <w:t>年“三公”经费财政拨款支出决算为</w:t>
      </w:r>
      <w:r>
        <w:rPr>
          <w:rStyle w:val="14"/>
          <w:rFonts w:hint="eastAsia" w:ascii="仿宋_GB2312" w:hAnsi="仿宋_GB2312" w:eastAsia="仿宋_GB2312" w:cs="仿宋_GB2312"/>
          <w:b w:val="0"/>
          <w:bCs/>
          <w:color w:val="000000"/>
          <w:sz w:val="32"/>
          <w:szCs w:val="32"/>
          <w:lang w:val="en-US" w:eastAsia="zh-CN"/>
        </w:rPr>
        <w:t>10.18</w:t>
      </w:r>
      <w:r>
        <w:rPr>
          <w:rStyle w:val="14"/>
          <w:rFonts w:hint="eastAsia" w:ascii="仿宋_GB2312" w:hAnsi="仿宋_GB2312" w:eastAsia="仿宋_GB2312" w:cs="仿宋_GB2312"/>
          <w:b w:val="0"/>
          <w:bCs/>
          <w:color w:val="000000"/>
          <w:sz w:val="32"/>
          <w:szCs w:val="32"/>
        </w:rPr>
        <w:t>万元，完成预算</w:t>
      </w:r>
      <w:r>
        <w:rPr>
          <w:rStyle w:val="14"/>
          <w:rFonts w:hint="eastAsia" w:ascii="仿宋_GB2312" w:hAnsi="仿宋_GB2312" w:eastAsia="仿宋_GB2312" w:cs="仿宋_GB2312"/>
          <w:b w:val="0"/>
          <w:bCs/>
          <w:color w:val="000000"/>
          <w:sz w:val="32"/>
          <w:szCs w:val="32"/>
          <w:lang w:val="en-US" w:eastAsia="zh-CN"/>
        </w:rPr>
        <w:t>100</w:t>
      </w:r>
      <w:r>
        <w:rPr>
          <w:rStyle w:val="14"/>
          <w:rFonts w:hint="eastAsia" w:ascii="仿宋_GB2312" w:hAnsi="仿宋_GB2312" w:eastAsia="仿宋_GB2312" w:cs="仿宋_GB2312"/>
          <w:b w:val="0"/>
          <w:bCs/>
          <w:color w:val="000000"/>
          <w:sz w:val="32"/>
          <w:szCs w:val="32"/>
        </w:rPr>
        <w:t>%，决算数与预算数持平。20</w:t>
      </w:r>
      <w:r>
        <w:rPr>
          <w:rStyle w:val="14"/>
          <w:rFonts w:hint="eastAsia" w:ascii="仿宋_GB2312" w:hAnsi="仿宋_GB2312" w:eastAsia="仿宋_GB2312" w:cs="仿宋_GB2312"/>
          <w:b w:val="0"/>
          <w:bCs/>
          <w:color w:val="000000"/>
          <w:sz w:val="32"/>
          <w:szCs w:val="32"/>
          <w:lang w:val="en-US" w:eastAsia="zh-CN"/>
        </w:rPr>
        <w:t>20</w:t>
      </w:r>
      <w:r>
        <w:rPr>
          <w:rStyle w:val="14"/>
          <w:rFonts w:hint="eastAsia" w:ascii="仿宋_GB2312" w:hAnsi="仿宋_GB2312" w:eastAsia="仿宋_GB2312" w:cs="仿宋_GB2312"/>
          <w:b w:val="0"/>
          <w:bCs/>
          <w:color w:val="000000"/>
          <w:sz w:val="32"/>
          <w:szCs w:val="32"/>
        </w:rPr>
        <w:t>年“三公”经费财政拨款支出决算中，因公出国（境）费支出决算</w:t>
      </w:r>
      <w:r>
        <w:rPr>
          <w:rStyle w:val="14"/>
          <w:rFonts w:hint="eastAsia" w:ascii="仿宋_GB2312" w:hAnsi="仿宋_GB2312" w:eastAsia="仿宋_GB2312" w:cs="仿宋_GB2312"/>
          <w:b w:val="0"/>
          <w:bCs/>
          <w:color w:val="000000"/>
          <w:sz w:val="32"/>
          <w:szCs w:val="32"/>
          <w:lang w:val="en-US" w:eastAsia="zh-CN"/>
        </w:rPr>
        <w:t>0</w:t>
      </w:r>
      <w:r>
        <w:rPr>
          <w:rStyle w:val="14"/>
          <w:rFonts w:hint="eastAsia" w:ascii="仿宋_GB2312" w:hAnsi="仿宋_GB2312" w:eastAsia="仿宋_GB2312" w:cs="仿宋_GB2312"/>
          <w:b w:val="0"/>
          <w:bCs/>
          <w:color w:val="000000"/>
          <w:sz w:val="32"/>
          <w:szCs w:val="32"/>
        </w:rPr>
        <w:t>万元；公务用车购置及运行维护费支出决算</w:t>
      </w:r>
      <w:r>
        <w:rPr>
          <w:rStyle w:val="14"/>
          <w:rFonts w:hint="eastAsia" w:ascii="仿宋_GB2312" w:hAnsi="仿宋_GB2312" w:eastAsia="仿宋_GB2312" w:cs="仿宋_GB2312"/>
          <w:b w:val="0"/>
          <w:bCs/>
          <w:color w:val="000000"/>
          <w:sz w:val="32"/>
          <w:szCs w:val="32"/>
          <w:lang w:val="en-US" w:eastAsia="zh-CN"/>
        </w:rPr>
        <w:t>9.89</w:t>
      </w:r>
      <w:r>
        <w:rPr>
          <w:rStyle w:val="14"/>
          <w:rFonts w:hint="eastAsia" w:ascii="仿宋_GB2312" w:hAnsi="仿宋_GB2312" w:eastAsia="仿宋_GB2312" w:cs="仿宋_GB2312"/>
          <w:b w:val="0"/>
          <w:bCs/>
          <w:color w:val="000000"/>
          <w:sz w:val="32"/>
          <w:szCs w:val="32"/>
        </w:rPr>
        <w:t>万元，占</w:t>
      </w:r>
      <w:r>
        <w:rPr>
          <w:rStyle w:val="14"/>
          <w:rFonts w:hint="eastAsia" w:ascii="仿宋_GB2312" w:hAnsi="仿宋_GB2312" w:eastAsia="仿宋_GB2312" w:cs="仿宋_GB2312"/>
          <w:b w:val="0"/>
          <w:bCs/>
          <w:color w:val="000000"/>
          <w:sz w:val="32"/>
          <w:szCs w:val="32"/>
          <w:lang w:val="en-US" w:eastAsia="zh-CN"/>
        </w:rPr>
        <w:t>97</w:t>
      </w:r>
      <w:r>
        <w:rPr>
          <w:rStyle w:val="14"/>
          <w:rFonts w:hint="eastAsia" w:ascii="仿宋_GB2312" w:hAnsi="仿宋_GB2312" w:eastAsia="仿宋_GB2312" w:cs="仿宋_GB2312"/>
          <w:b w:val="0"/>
          <w:bCs/>
          <w:color w:val="000000"/>
          <w:sz w:val="32"/>
          <w:szCs w:val="32"/>
        </w:rPr>
        <w:t>%；公务接待费支出决算</w:t>
      </w:r>
      <w:r>
        <w:rPr>
          <w:rStyle w:val="14"/>
          <w:rFonts w:hint="eastAsia" w:ascii="仿宋_GB2312" w:hAnsi="仿宋_GB2312" w:eastAsia="仿宋_GB2312" w:cs="仿宋_GB2312"/>
          <w:b w:val="0"/>
          <w:bCs/>
          <w:color w:val="000000"/>
          <w:sz w:val="32"/>
          <w:szCs w:val="32"/>
          <w:lang w:val="en-US" w:eastAsia="zh-CN"/>
        </w:rPr>
        <w:t>0.29</w:t>
      </w:r>
      <w:r>
        <w:rPr>
          <w:rStyle w:val="14"/>
          <w:rFonts w:hint="eastAsia" w:ascii="仿宋_GB2312" w:hAnsi="仿宋_GB2312" w:eastAsia="仿宋_GB2312" w:cs="仿宋_GB2312"/>
          <w:b w:val="0"/>
          <w:bCs/>
          <w:color w:val="000000"/>
          <w:sz w:val="32"/>
          <w:szCs w:val="32"/>
        </w:rPr>
        <w:t>万元，占</w:t>
      </w:r>
      <w:r>
        <w:rPr>
          <w:rStyle w:val="14"/>
          <w:rFonts w:hint="eastAsia" w:ascii="仿宋_GB2312" w:hAnsi="仿宋_GB2312" w:eastAsia="仿宋_GB2312" w:cs="仿宋_GB2312"/>
          <w:b w:val="0"/>
          <w:bCs/>
          <w:color w:val="000000"/>
          <w:sz w:val="32"/>
          <w:szCs w:val="32"/>
          <w:lang w:val="en-US" w:eastAsia="zh-CN"/>
        </w:rPr>
        <w:t>3</w:t>
      </w:r>
      <w:r>
        <w:rPr>
          <w:rStyle w:val="14"/>
          <w:rFonts w:hint="eastAsia" w:ascii="仿宋_GB2312" w:hAnsi="仿宋_GB2312" w:eastAsia="仿宋_GB2312" w:cs="仿宋_GB2312"/>
          <w:b w:val="0"/>
          <w:bCs/>
          <w:color w:val="000000"/>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（三）综合管理情况</w:t>
      </w:r>
    </w:p>
    <w:p>
      <w:pPr>
        <w:keepNext w:val="0"/>
        <w:keepLines w:val="0"/>
        <w:pageBreakBefore w:val="0"/>
        <w:kinsoku/>
        <w:wordWrap/>
        <w:overflowPunct/>
        <w:topLinePunct w:val="0"/>
        <w:autoSpaceDE/>
        <w:autoSpaceDN/>
        <w:bidi w:val="0"/>
        <w:spacing w:line="576" w:lineRule="exact"/>
        <w:ind w:firstLine="640" w:firstLineChars="200"/>
        <w:textAlignment w:val="auto"/>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 w:val="0"/>
          <w:bCs/>
          <w:color w:val="000000"/>
          <w:sz w:val="32"/>
          <w:szCs w:val="32"/>
        </w:rPr>
        <w:t>截至20</w:t>
      </w:r>
      <w:r>
        <w:rPr>
          <w:rStyle w:val="14"/>
          <w:rFonts w:hint="eastAsia" w:ascii="仿宋_GB2312" w:hAnsi="仿宋_GB2312" w:eastAsia="仿宋_GB2312" w:cs="仿宋_GB2312"/>
          <w:b w:val="0"/>
          <w:bCs/>
          <w:color w:val="000000"/>
          <w:sz w:val="32"/>
          <w:szCs w:val="32"/>
          <w:lang w:val="en-US" w:eastAsia="zh-CN"/>
        </w:rPr>
        <w:t>20</w:t>
      </w:r>
      <w:r>
        <w:rPr>
          <w:rStyle w:val="14"/>
          <w:rFonts w:hint="eastAsia" w:ascii="仿宋_GB2312" w:hAnsi="仿宋_GB2312" w:eastAsia="仿宋_GB2312" w:cs="仿宋_GB2312"/>
          <w:b w:val="0"/>
          <w:bCs/>
          <w:color w:val="000000"/>
          <w:sz w:val="32"/>
          <w:szCs w:val="32"/>
        </w:rPr>
        <w:t>年12月31日，</w:t>
      </w:r>
      <w:r>
        <w:rPr>
          <w:rStyle w:val="14"/>
          <w:rFonts w:hint="eastAsia" w:ascii="仿宋_GB2312" w:hAnsi="仿宋_GB2312" w:eastAsia="仿宋_GB2312" w:cs="仿宋_GB2312"/>
          <w:b w:val="0"/>
          <w:bCs/>
          <w:color w:val="000000"/>
          <w:sz w:val="32"/>
          <w:szCs w:val="32"/>
          <w:lang w:eastAsia="zh-CN"/>
        </w:rPr>
        <w:t>茂县司法局</w:t>
      </w:r>
      <w:r>
        <w:rPr>
          <w:rStyle w:val="14"/>
          <w:rFonts w:hint="eastAsia" w:ascii="仿宋_GB2312" w:hAnsi="仿宋_GB2312" w:eastAsia="仿宋_GB2312" w:cs="仿宋_GB2312"/>
          <w:b w:val="0"/>
          <w:bCs/>
          <w:color w:val="000000"/>
          <w:sz w:val="32"/>
          <w:szCs w:val="32"/>
        </w:rPr>
        <w:t>共有车辆</w:t>
      </w:r>
      <w:r>
        <w:rPr>
          <w:rStyle w:val="14"/>
          <w:rFonts w:hint="eastAsia" w:ascii="仿宋_GB2312" w:hAnsi="仿宋_GB2312" w:eastAsia="仿宋_GB2312" w:cs="仿宋_GB2312"/>
          <w:b w:val="0"/>
          <w:bCs/>
          <w:color w:val="000000"/>
          <w:sz w:val="32"/>
          <w:szCs w:val="32"/>
          <w:lang w:val="en-US" w:eastAsia="zh-CN"/>
        </w:rPr>
        <w:t>6</w:t>
      </w:r>
      <w:r>
        <w:rPr>
          <w:rStyle w:val="14"/>
          <w:rFonts w:hint="eastAsia" w:ascii="仿宋_GB2312" w:hAnsi="仿宋_GB2312" w:eastAsia="仿宋_GB2312" w:cs="仿宋_GB2312"/>
          <w:b w:val="0"/>
          <w:bCs/>
          <w:color w:val="000000"/>
          <w:sz w:val="32"/>
          <w:szCs w:val="32"/>
        </w:rPr>
        <w:t>辆，其中：主要领导干部用车</w:t>
      </w:r>
      <w:r>
        <w:rPr>
          <w:rStyle w:val="14"/>
          <w:rFonts w:hint="eastAsia" w:ascii="仿宋_GB2312" w:hAnsi="仿宋_GB2312" w:eastAsia="仿宋_GB2312" w:cs="仿宋_GB2312"/>
          <w:b w:val="0"/>
          <w:bCs/>
          <w:color w:val="000000"/>
          <w:sz w:val="32"/>
          <w:szCs w:val="32"/>
          <w:lang w:val="en-US" w:eastAsia="zh-CN"/>
        </w:rPr>
        <w:t>0</w:t>
      </w:r>
      <w:r>
        <w:rPr>
          <w:rStyle w:val="14"/>
          <w:rFonts w:hint="eastAsia" w:ascii="仿宋_GB2312" w:hAnsi="仿宋_GB2312" w:eastAsia="仿宋_GB2312" w:cs="仿宋_GB2312"/>
          <w:b w:val="0"/>
          <w:bCs/>
          <w:color w:val="000000"/>
          <w:sz w:val="32"/>
          <w:szCs w:val="32"/>
        </w:rPr>
        <w:t>辆、机要通信用车</w:t>
      </w:r>
      <w:r>
        <w:rPr>
          <w:rStyle w:val="14"/>
          <w:rFonts w:hint="eastAsia" w:ascii="仿宋_GB2312" w:hAnsi="仿宋_GB2312" w:eastAsia="仿宋_GB2312" w:cs="仿宋_GB2312"/>
          <w:b w:val="0"/>
          <w:bCs/>
          <w:color w:val="000000"/>
          <w:sz w:val="32"/>
          <w:szCs w:val="32"/>
          <w:lang w:val="en-US" w:eastAsia="zh-CN"/>
        </w:rPr>
        <w:t>0</w:t>
      </w:r>
      <w:r>
        <w:rPr>
          <w:rStyle w:val="14"/>
          <w:rFonts w:hint="eastAsia" w:ascii="仿宋_GB2312" w:hAnsi="仿宋_GB2312" w:eastAsia="仿宋_GB2312" w:cs="仿宋_GB2312"/>
          <w:b w:val="0"/>
          <w:bCs/>
          <w:color w:val="000000"/>
          <w:sz w:val="32"/>
          <w:szCs w:val="32"/>
        </w:rPr>
        <w:t>辆、应急保障用车</w:t>
      </w:r>
      <w:r>
        <w:rPr>
          <w:rStyle w:val="14"/>
          <w:rFonts w:hint="eastAsia" w:ascii="仿宋_GB2312" w:hAnsi="仿宋_GB2312" w:eastAsia="仿宋_GB2312" w:cs="仿宋_GB2312"/>
          <w:b w:val="0"/>
          <w:bCs/>
          <w:color w:val="000000"/>
          <w:sz w:val="32"/>
          <w:szCs w:val="32"/>
          <w:lang w:val="en-US" w:eastAsia="zh-CN"/>
        </w:rPr>
        <w:t>0</w:t>
      </w:r>
      <w:r>
        <w:rPr>
          <w:rStyle w:val="14"/>
          <w:rFonts w:hint="eastAsia" w:ascii="仿宋_GB2312" w:hAnsi="仿宋_GB2312" w:eastAsia="仿宋_GB2312" w:cs="仿宋_GB2312"/>
          <w:b w:val="0"/>
          <w:bCs/>
          <w:color w:val="000000"/>
          <w:sz w:val="32"/>
          <w:szCs w:val="32"/>
        </w:rPr>
        <w:t>辆、</w:t>
      </w:r>
      <w:r>
        <w:rPr>
          <w:rStyle w:val="14"/>
          <w:rFonts w:hint="eastAsia" w:ascii="仿宋_GB2312" w:hAnsi="仿宋_GB2312" w:eastAsia="仿宋_GB2312" w:cs="仿宋_GB2312"/>
          <w:b w:val="0"/>
          <w:bCs/>
          <w:color w:val="000000"/>
          <w:sz w:val="32"/>
          <w:szCs w:val="32"/>
          <w:lang w:eastAsia="zh-CN"/>
        </w:rPr>
        <w:t>一般公务</w:t>
      </w:r>
      <w:r>
        <w:rPr>
          <w:rStyle w:val="14"/>
          <w:rFonts w:hint="eastAsia" w:ascii="仿宋_GB2312" w:hAnsi="仿宋_GB2312" w:eastAsia="仿宋_GB2312" w:cs="仿宋_GB2312"/>
          <w:b w:val="0"/>
          <w:bCs/>
          <w:color w:val="000000"/>
          <w:sz w:val="32"/>
          <w:szCs w:val="32"/>
        </w:rPr>
        <w:t>用车</w:t>
      </w:r>
      <w:r>
        <w:rPr>
          <w:rStyle w:val="14"/>
          <w:rFonts w:hint="eastAsia" w:ascii="仿宋_GB2312" w:hAnsi="仿宋_GB2312" w:eastAsia="仿宋_GB2312" w:cs="仿宋_GB2312"/>
          <w:b w:val="0"/>
          <w:bCs/>
          <w:color w:val="000000"/>
          <w:sz w:val="32"/>
          <w:szCs w:val="32"/>
          <w:lang w:val="en-US" w:eastAsia="zh-CN"/>
        </w:rPr>
        <w:t>1</w:t>
      </w:r>
      <w:r>
        <w:rPr>
          <w:rStyle w:val="14"/>
          <w:rFonts w:hint="eastAsia" w:ascii="仿宋_GB2312" w:hAnsi="仿宋_GB2312" w:eastAsia="仿宋_GB2312" w:cs="仿宋_GB2312"/>
          <w:b w:val="0"/>
          <w:bCs/>
          <w:color w:val="000000"/>
          <w:sz w:val="32"/>
          <w:szCs w:val="32"/>
        </w:rPr>
        <w:t>辆</w:t>
      </w:r>
      <w:r>
        <w:rPr>
          <w:rStyle w:val="14"/>
          <w:rFonts w:hint="eastAsia" w:ascii="仿宋_GB2312" w:hAnsi="仿宋_GB2312" w:eastAsia="仿宋_GB2312" w:cs="仿宋_GB2312"/>
          <w:b w:val="0"/>
          <w:bCs/>
          <w:color w:val="000000"/>
          <w:sz w:val="32"/>
          <w:szCs w:val="32"/>
          <w:lang w:eastAsia="zh-CN"/>
        </w:rPr>
        <w:t>、执法执勤用车</w:t>
      </w:r>
      <w:r>
        <w:rPr>
          <w:rStyle w:val="14"/>
          <w:rFonts w:hint="eastAsia" w:ascii="仿宋_GB2312" w:hAnsi="仿宋_GB2312" w:eastAsia="仿宋_GB2312" w:cs="仿宋_GB2312"/>
          <w:b w:val="0"/>
          <w:bCs/>
          <w:color w:val="000000"/>
          <w:sz w:val="32"/>
          <w:szCs w:val="32"/>
          <w:lang w:val="en-US" w:eastAsia="zh-CN"/>
        </w:rPr>
        <w:t>5辆，</w:t>
      </w:r>
      <w:r>
        <w:rPr>
          <w:rStyle w:val="14"/>
          <w:rFonts w:hint="eastAsia" w:ascii="仿宋_GB2312" w:hAnsi="仿宋_GB2312" w:eastAsia="仿宋_GB2312" w:cs="仿宋_GB2312"/>
          <w:b w:val="0"/>
          <w:bCs/>
          <w:color w:val="000000"/>
          <w:sz w:val="32"/>
          <w:szCs w:val="32"/>
        </w:rPr>
        <w:t>单价50万元以上通用设备</w:t>
      </w:r>
      <w:r>
        <w:rPr>
          <w:rStyle w:val="14"/>
          <w:rFonts w:hint="eastAsia" w:ascii="仿宋_GB2312" w:hAnsi="仿宋_GB2312" w:eastAsia="仿宋_GB2312" w:cs="仿宋_GB2312"/>
          <w:b w:val="0"/>
          <w:bCs/>
          <w:color w:val="000000"/>
          <w:sz w:val="32"/>
          <w:szCs w:val="32"/>
          <w:lang w:val="en-US" w:eastAsia="zh-CN"/>
        </w:rPr>
        <w:t>0</w:t>
      </w:r>
      <w:r>
        <w:rPr>
          <w:rStyle w:val="14"/>
          <w:rFonts w:hint="eastAsia" w:ascii="仿宋_GB2312" w:hAnsi="仿宋_GB2312" w:eastAsia="仿宋_GB2312" w:cs="仿宋_GB2312"/>
          <w:b w:val="0"/>
          <w:bCs/>
          <w:color w:val="000000"/>
          <w:sz w:val="32"/>
          <w:szCs w:val="32"/>
        </w:rPr>
        <w:t>台（套），单价100万元以上专用设备</w:t>
      </w:r>
      <w:r>
        <w:rPr>
          <w:rStyle w:val="14"/>
          <w:rFonts w:hint="eastAsia" w:ascii="仿宋_GB2312" w:hAnsi="仿宋_GB2312" w:eastAsia="仿宋_GB2312" w:cs="仿宋_GB2312"/>
          <w:b w:val="0"/>
          <w:bCs/>
          <w:color w:val="000000"/>
          <w:sz w:val="32"/>
          <w:szCs w:val="32"/>
          <w:lang w:val="en-US" w:eastAsia="zh-CN"/>
        </w:rPr>
        <w:t>0</w:t>
      </w:r>
      <w:r>
        <w:rPr>
          <w:rStyle w:val="14"/>
          <w:rFonts w:hint="eastAsia" w:ascii="仿宋_GB2312" w:hAnsi="仿宋_GB2312" w:eastAsia="仿宋_GB2312" w:cs="仿宋_GB2312"/>
          <w:b w:val="0"/>
          <w:bCs/>
          <w:color w:val="000000"/>
          <w:sz w:val="32"/>
          <w:szCs w:val="32"/>
        </w:rPr>
        <w:t>台（套）。</w:t>
      </w:r>
    </w:p>
    <w:p>
      <w:pPr>
        <w:keepNext w:val="0"/>
        <w:keepLines w:val="0"/>
        <w:pageBreakBefore w:val="0"/>
        <w:kinsoku/>
        <w:wordWrap/>
        <w:overflowPunct/>
        <w:topLinePunct w:val="0"/>
        <w:autoSpaceDE/>
        <w:autoSpaceDN/>
        <w:bidi w:val="0"/>
        <w:spacing w:line="576" w:lineRule="exact"/>
        <w:ind w:firstLine="640" w:firstLineChars="200"/>
        <w:textAlignment w:val="auto"/>
        <w:rPr>
          <w:rStyle w:val="14"/>
          <w:rFonts w:hint="eastAsia" w:ascii="仿宋_GB2312" w:hAnsi="仿宋_GB2312" w:eastAsia="仿宋_GB2312" w:cs="仿宋_GB2312"/>
          <w:b w:val="0"/>
          <w:bCs/>
          <w:color w:val="000000"/>
          <w:sz w:val="32"/>
          <w:szCs w:val="32"/>
          <w:lang w:val="en-US" w:eastAsia="zh-CN"/>
        </w:rPr>
      </w:pPr>
      <w:r>
        <w:rPr>
          <w:rStyle w:val="14"/>
          <w:rFonts w:hint="eastAsia" w:ascii="仿宋_GB2312" w:hAnsi="仿宋_GB2312" w:eastAsia="仿宋_GB2312" w:cs="仿宋_GB2312"/>
          <w:b w:val="0"/>
          <w:bCs/>
          <w:color w:val="000000"/>
          <w:sz w:val="32"/>
          <w:szCs w:val="32"/>
          <w:lang w:val="en-US" w:eastAsia="zh-CN"/>
        </w:rPr>
        <w:t>按照财政相关要求，于2021年5月对预算信息进行了公开，现正在进行决算公开资料制作中。</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（四）整体绩效</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1.认真履职尽责，全面依法治县工作上新台阶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州委依法治州办印发的工作要点等有关文件精神，起草了《茂县全面依法治县2020年工作要点（征求意见稿）》，并及时征求67个成员单位意见，收回意见3条。协助和配合上级人大开展《阿坝藏族羌族自治州森林草原防灭火条例》立法调研工作，并结合茂县实际提出建议意见4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2.政府法制工作迈出新步伐，依法行政能力有效提升</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Style w:val="30"/>
          <w:rFonts w:hint="eastAsia" w:ascii="仿宋_GB2312" w:hAnsi="仿宋_GB2312" w:eastAsia="仿宋_GB2312" w:cs="仿宋_GB2312"/>
          <w:sz w:val="32"/>
          <w:szCs w:val="32"/>
          <w:lang w:eastAsia="zh-CN"/>
        </w:rPr>
      </w:pPr>
      <w:r>
        <w:rPr>
          <w:rStyle w:val="30"/>
          <w:rFonts w:hint="eastAsia" w:ascii="仿宋_GB2312" w:hAnsi="仿宋_GB2312" w:eastAsia="仿宋_GB2312" w:cs="仿宋_GB2312"/>
          <w:bCs/>
          <w:sz w:val="32"/>
          <w:szCs w:val="32"/>
        </w:rPr>
        <w:t>严格制度落实，认真履行工作职责</w:t>
      </w:r>
      <w:r>
        <w:rPr>
          <w:rStyle w:val="30"/>
          <w:rFonts w:hint="eastAsia" w:ascii="仿宋_GB2312" w:hAnsi="仿宋_GB2312" w:eastAsia="仿宋_GB2312" w:cs="仿宋_GB2312"/>
          <w:bCs/>
          <w:sz w:val="32"/>
          <w:szCs w:val="32"/>
          <w:lang w:eastAsia="zh-CN"/>
        </w:rPr>
        <w:t>，</w:t>
      </w:r>
      <w:r>
        <w:rPr>
          <w:rStyle w:val="30"/>
          <w:rFonts w:hint="eastAsia" w:ascii="仿宋_GB2312" w:hAnsi="仿宋_GB2312" w:eastAsia="仿宋_GB2312" w:cs="仿宋_GB2312"/>
          <w:bCs/>
          <w:sz w:val="32"/>
          <w:szCs w:val="32"/>
          <w:lang w:val="en-US" w:eastAsia="zh-CN"/>
        </w:rPr>
        <w:t>2020年，</w:t>
      </w:r>
      <w:r>
        <w:rPr>
          <w:rStyle w:val="30"/>
          <w:rFonts w:hint="eastAsia" w:ascii="仿宋_GB2312" w:hAnsi="仿宋_GB2312" w:eastAsia="仿宋_GB2312" w:cs="仿宋_GB2312"/>
          <w:sz w:val="32"/>
          <w:szCs w:val="32"/>
        </w:rPr>
        <w:t>共进行法律审查50件（法律顾问出具22件），其中出具合法性审查意见书21件，法律意见书29件（法律顾问出具22件）</w:t>
      </w:r>
      <w:r>
        <w:rPr>
          <w:rStyle w:val="30"/>
          <w:rFonts w:hint="eastAsia" w:ascii="仿宋_GB2312" w:hAnsi="仿宋_GB2312" w:eastAsia="仿宋_GB2312" w:cs="仿宋_GB2312"/>
          <w:sz w:val="32"/>
          <w:szCs w:val="32"/>
          <w:lang w:eastAsia="zh-CN"/>
        </w:rPr>
        <w:t>；</w:t>
      </w:r>
      <w:r>
        <w:rPr>
          <w:rStyle w:val="30"/>
          <w:rFonts w:hint="eastAsia" w:ascii="仿宋_GB2312" w:hAnsi="仿宋_GB2312" w:eastAsia="仿宋_GB2312" w:cs="仿宋_GB2312"/>
          <w:kern w:val="2"/>
          <w:sz w:val="32"/>
          <w:szCs w:val="32"/>
        </w:rPr>
        <w:t>共清理证明事项44项</w:t>
      </w:r>
      <w:r>
        <w:rPr>
          <w:rStyle w:val="30"/>
          <w:rFonts w:hint="eastAsia" w:ascii="仿宋_GB2312" w:hAnsi="仿宋_GB2312" w:eastAsia="仿宋_GB2312" w:cs="仿宋_GB2312"/>
          <w:kern w:val="2"/>
          <w:sz w:val="32"/>
          <w:szCs w:val="32"/>
          <w:lang w:eastAsia="zh-CN"/>
        </w:rPr>
        <w:t>，</w:t>
      </w:r>
      <w:r>
        <w:rPr>
          <w:rStyle w:val="30"/>
          <w:rFonts w:hint="eastAsia" w:ascii="仿宋_GB2312" w:hAnsi="仿宋_GB2312" w:eastAsia="仿宋_GB2312" w:cs="仿宋_GB2312"/>
          <w:kern w:val="2"/>
          <w:sz w:val="32"/>
          <w:szCs w:val="32"/>
        </w:rPr>
        <w:t>经清理，拟建议保留43项，取消1项</w:t>
      </w:r>
      <w:r>
        <w:rPr>
          <w:rStyle w:val="30"/>
          <w:rFonts w:hint="eastAsia" w:ascii="仿宋_GB2312" w:hAnsi="仿宋_GB2312" w:eastAsia="仿宋_GB2312" w:cs="仿宋_GB2312"/>
          <w:kern w:val="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3.以“法律七进”为载体全面推进普法依法治理工作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Style w:val="30"/>
          <w:rFonts w:hint="eastAsia" w:ascii="仿宋_GB2312" w:hAnsi="仿宋_GB2312" w:eastAsia="仿宋_GB2312" w:cs="仿宋_GB2312"/>
          <w:sz w:val="32"/>
          <w:szCs w:val="32"/>
          <w:lang w:val="en-US" w:eastAsia="zh-CN"/>
        </w:rPr>
        <w:t>2020年，</w:t>
      </w:r>
      <w:r>
        <w:rPr>
          <w:rStyle w:val="30"/>
          <w:rFonts w:hint="eastAsia" w:ascii="仿宋_GB2312" w:hAnsi="仿宋_GB2312" w:eastAsia="仿宋_GB2312" w:cs="仿宋_GB2312"/>
          <w:sz w:val="32"/>
          <w:szCs w:val="32"/>
        </w:rPr>
        <w:t>开展“法律七进”各类活动750场次，</w:t>
      </w:r>
      <w:r>
        <w:rPr>
          <w:rStyle w:val="30"/>
          <w:rFonts w:hint="eastAsia" w:ascii="仿宋_GB2312" w:hAnsi="仿宋_GB2312" w:eastAsia="仿宋_GB2312" w:cs="仿宋_GB2312"/>
          <w:sz w:val="32"/>
          <w:szCs w:val="32"/>
          <w:lang w:val="en-US" w:eastAsia="zh-CN"/>
        </w:rPr>
        <w:t>宣传对象</w:t>
      </w:r>
      <w:r>
        <w:rPr>
          <w:rStyle w:val="30"/>
          <w:rFonts w:hint="eastAsia" w:ascii="仿宋_GB2312" w:hAnsi="仿宋_GB2312" w:eastAsia="仿宋_GB2312" w:cs="仿宋_GB2312"/>
          <w:sz w:val="32"/>
          <w:szCs w:val="32"/>
        </w:rPr>
        <w:t>81020余人次，微信发布普法法治微信800余条，推送普法短信330余条，推送法治公益广告2条，营造了良好的法治氛围。</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4.加强司法所规范化建设，深化人民调解工作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Style w:val="30"/>
          <w:rFonts w:hint="eastAsia" w:ascii="仿宋_GB2312" w:hAnsi="仿宋_GB2312" w:eastAsia="仿宋_GB2312" w:cs="仿宋_GB2312"/>
          <w:sz w:val="32"/>
          <w:szCs w:val="32"/>
        </w:rPr>
      </w:pPr>
      <w:r>
        <w:rPr>
          <w:rStyle w:val="30"/>
          <w:rFonts w:hint="eastAsia" w:ascii="仿宋_GB2312" w:hAnsi="仿宋_GB2312" w:eastAsia="仿宋_GB2312" w:cs="仿宋_GB2312"/>
          <w:sz w:val="32"/>
          <w:szCs w:val="32"/>
        </w:rPr>
        <w:t>按照省级规范化司法所按要求，开展沟口、土门等7个省级规范化司法所建设工作，成果符合省级规范化司法所建设要求。指导规范了11个镇调委会，104个村级调委会，4个社区调委会。深入开展矛盾纠纷排查化解工作，</w:t>
      </w:r>
      <w:r>
        <w:rPr>
          <w:rStyle w:val="30"/>
          <w:rFonts w:hint="eastAsia" w:ascii="仿宋_GB2312" w:hAnsi="仿宋_GB2312" w:eastAsia="仿宋_GB2312" w:cs="仿宋_GB2312"/>
          <w:color w:val="000000"/>
          <w:sz w:val="32"/>
          <w:szCs w:val="32"/>
        </w:rPr>
        <w:t>落实“一案一补”资金发放标准，</w:t>
      </w:r>
      <w:r>
        <w:rPr>
          <w:rFonts w:hint="eastAsia" w:ascii="仿宋_GB2312" w:hAnsi="仿宋_GB2312" w:eastAsia="仿宋_GB2312" w:cs="仿宋_GB2312"/>
          <w:sz w:val="32"/>
          <w:szCs w:val="32"/>
        </w:rPr>
        <w:t>共排查调处各类矛盾纠纷</w:t>
      </w:r>
      <w:r>
        <w:rPr>
          <w:rStyle w:val="30"/>
          <w:rFonts w:hint="eastAsia" w:ascii="仿宋_GB2312" w:hAnsi="仿宋_GB2312" w:eastAsia="仿宋_GB2312" w:cs="仿宋_GB2312"/>
          <w:sz w:val="32"/>
          <w:szCs w:val="32"/>
          <w:lang w:val="en-US" w:eastAsia="zh-CN"/>
        </w:rPr>
        <w:t>259</w:t>
      </w:r>
      <w:r>
        <w:rPr>
          <w:rStyle w:val="30"/>
          <w:rFonts w:hint="eastAsia" w:ascii="仿宋_GB2312" w:hAnsi="仿宋_GB2312" w:eastAsia="仿宋_GB2312" w:cs="仿宋_GB2312"/>
          <w:sz w:val="32"/>
          <w:szCs w:val="32"/>
        </w:rPr>
        <w:t>件（涉疫情矛盾纠纷5件），</w:t>
      </w:r>
      <w:r>
        <w:rPr>
          <w:rStyle w:val="30"/>
          <w:rFonts w:hint="eastAsia" w:ascii="仿宋_GB2312" w:hAnsi="仿宋_GB2312" w:eastAsia="仿宋_GB2312" w:cs="仿宋_GB2312"/>
          <w:sz w:val="32"/>
          <w:szCs w:val="32"/>
          <w:lang w:val="en-US" w:eastAsia="zh-CN"/>
        </w:rPr>
        <w:t>其中镇村两级调解机构调处165件，</w:t>
      </w:r>
      <w:r>
        <w:rPr>
          <w:rStyle w:val="30"/>
          <w:rFonts w:hint="eastAsia" w:ascii="仿宋_GB2312" w:hAnsi="仿宋_GB2312" w:eastAsia="仿宋_GB2312" w:cs="仿宋_GB2312"/>
          <w:sz w:val="32"/>
          <w:szCs w:val="32"/>
        </w:rPr>
        <w:t>调处率100%，调处成功率</w:t>
      </w:r>
      <w:r>
        <w:rPr>
          <w:rStyle w:val="30"/>
          <w:rFonts w:hint="eastAsia" w:ascii="仿宋_GB2312" w:hAnsi="仿宋_GB2312" w:eastAsia="仿宋_GB2312" w:cs="仿宋_GB2312"/>
          <w:sz w:val="32"/>
          <w:szCs w:val="32"/>
          <w:lang w:val="en-US" w:eastAsia="zh-CN"/>
        </w:rPr>
        <w:t>98</w:t>
      </w:r>
      <w:r>
        <w:rPr>
          <w:rStyle w:val="30"/>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5.公共法律服务优化升级，保障社会民生改善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Style w:val="30"/>
          <w:rFonts w:hint="eastAsia" w:ascii="仿宋_GB2312" w:hAnsi="仿宋_GB2312" w:eastAsia="仿宋_GB2312" w:cs="仿宋_GB2312"/>
          <w:color w:val="000000"/>
          <w:sz w:val="32"/>
          <w:szCs w:val="32"/>
        </w:rPr>
      </w:pPr>
      <w:r>
        <w:rPr>
          <w:rStyle w:val="30"/>
          <w:rFonts w:hint="eastAsia" w:ascii="仿宋_GB2312" w:hAnsi="仿宋_GB2312" w:eastAsia="仿宋_GB2312" w:cs="仿宋_GB2312"/>
          <w:color w:val="000000"/>
          <w:sz w:val="32"/>
          <w:szCs w:val="32"/>
        </w:rPr>
        <w:t>大力开展法律援助，加强对老弱病残、贫困户、农民工等特殊群体的法律援助。一年来，共受理法律援助案件8</w:t>
      </w:r>
      <w:r>
        <w:rPr>
          <w:rStyle w:val="30"/>
          <w:rFonts w:hint="eastAsia" w:ascii="仿宋_GB2312" w:hAnsi="仿宋_GB2312" w:eastAsia="仿宋_GB2312" w:cs="仿宋_GB2312"/>
          <w:color w:val="000000"/>
          <w:sz w:val="32"/>
          <w:szCs w:val="32"/>
          <w:lang w:val="en-US" w:eastAsia="zh-CN"/>
        </w:rPr>
        <w:t>7</w:t>
      </w:r>
      <w:r>
        <w:rPr>
          <w:rStyle w:val="30"/>
          <w:rFonts w:hint="eastAsia" w:ascii="仿宋_GB2312" w:hAnsi="仿宋_GB2312" w:eastAsia="仿宋_GB2312" w:cs="仿宋_GB2312"/>
          <w:color w:val="000000"/>
          <w:sz w:val="32"/>
          <w:szCs w:val="32"/>
        </w:rPr>
        <w:t>件，其中民事案件52件</w:t>
      </w:r>
      <w:r>
        <w:rPr>
          <w:rStyle w:val="30"/>
          <w:rFonts w:hint="eastAsia" w:ascii="仿宋_GB2312" w:hAnsi="仿宋_GB2312" w:eastAsia="仿宋_GB2312" w:cs="仿宋_GB2312"/>
          <w:color w:val="000000"/>
          <w:sz w:val="32"/>
          <w:szCs w:val="32"/>
          <w:lang w:eastAsia="zh-CN"/>
        </w:rPr>
        <w:t>（</w:t>
      </w:r>
      <w:r>
        <w:rPr>
          <w:rStyle w:val="30"/>
          <w:rFonts w:hint="eastAsia" w:ascii="仿宋_GB2312" w:hAnsi="仿宋_GB2312" w:eastAsia="仿宋_GB2312" w:cs="仿宋_GB2312"/>
          <w:color w:val="000000"/>
          <w:sz w:val="32"/>
          <w:szCs w:val="32"/>
        </w:rPr>
        <w:t>受理农民工案件30件，已办结26件，为其挽回损失71万</w:t>
      </w:r>
      <w:r>
        <w:rPr>
          <w:rStyle w:val="30"/>
          <w:rFonts w:hint="eastAsia" w:ascii="仿宋_GB2312" w:hAnsi="仿宋_GB2312" w:eastAsia="仿宋_GB2312" w:cs="仿宋_GB2312"/>
          <w:color w:val="000000"/>
          <w:sz w:val="32"/>
          <w:szCs w:val="32"/>
          <w:lang w:eastAsia="zh-CN"/>
        </w:rPr>
        <w:t>）</w:t>
      </w:r>
      <w:r>
        <w:rPr>
          <w:rStyle w:val="30"/>
          <w:rFonts w:hint="eastAsia" w:ascii="仿宋_GB2312" w:hAnsi="仿宋_GB2312" w:eastAsia="仿宋_GB2312" w:cs="仿宋_GB2312"/>
          <w:color w:val="000000"/>
          <w:sz w:val="32"/>
          <w:szCs w:val="32"/>
        </w:rPr>
        <w:t>，已办结42件，为受援人挽回损失共计142万</w:t>
      </w:r>
      <w:r>
        <w:rPr>
          <w:rStyle w:val="30"/>
          <w:rFonts w:hint="eastAsia" w:ascii="仿宋_GB2312" w:hAnsi="仿宋_GB2312" w:eastAsia="仿宋_GB2312" w:cs="仿宋_GB2312"/>
          <w:color w:val="000000"/>
          <w:sz w:val="32"/>
          <w:szCs w:val="32"/>
          <w:lang w:eastAsia="zh-CN"/>
        </w:rPr>
        <w:t>，</w:t>
      </w:r>
      <w:r>
        <w:rPr>
          <w:rStyle w:val="30"/>
          <w:rFonts w:hint="eastAsia" w:ascii="仿宋_GB2312" w:hAnsi="仿宋_GB2312" w:eastAsia="仿宋_GB2312" w:cs="仿宋_GB2312"/>
          <w:color w:val="000000"/>
          <w:sz w:val="32"/>
          <w:szCs w:val="32"/>
        </w:rPr>
        <w:t>刑事案件33件，已办结30件</w:t>
      </w:r>
      <w:r>
        <w:rPr>
          <w:rStyle w:val="30"/>
          <w:rFonts w:hint="eastAsia" w:ascii="仿宋_GB2312" w:hAnsi="仿宋_GB2312" w:eastAsia="仿宋_GB2312" w:cs="仿宋_GB2312"/>
          <w:color w:val="000000"/>
          <w:sz w:val="32"/>
          <w:szCs w:val="32"/>
          <w:lang w:eastAsia="zh-CN"/>
        </w:rPr>
        <w:t>，</w:t>
      </w:r>
      <w:r>
        <w:rPr>
          <w:rStyle w:val="30"/>
          <w:rFonts w:hint="eastAsia" w:ascii="仿宋_GB2312" w:hAnsi="仿宋_GB2312" w:eastAsia="仿宋_GB2312" w:cs="仿宋_GB2312"/>
          <w:color w:val="000000"/>
          <w:sz w:val="32"/>
          <w:szCs w:val="32"/>
        </w:rPr>
        <w:t>行政案件2件，已办结1件</w:t>
      </w:r>
      <w:r>
        <w:rPr>
          <w:rStyle w:val="30"/>
          <w:rFonts w:hint="eastAsia" w:ascii="仿宋_GB2312" w:hAnsi="仿宋_GB2312" w:eastAsia="仿宋_GB2312" w:cs="仿宋_GB2312"/>
          <w:color w:val="000000"/>
          <w:sz w:val="32"/>
          <w:szCs w:val="32"/>
          <w:lang w:eastAsia="zh-CN"/>
        </w:rPr>
        <w:t>。</w:t>
      </w:r>
      <w:r>
        <w:rPr>
          <w:rStyle w:val="30"/>
          <w:rFonts w:hint="eastAsia" w:ascii="仿宋_GB2312" w:hAnsi="仿宋_GB2312" w:eastAsia="仿宋_GB2312" w:cs="仿宋_GB2312"/>
          <w:color w:val="000000"/>
          <w:sz w:val="32"/>
          <w:szCs w:val="32"/>
        </w:rPr>
        <w:t>咨询814件，涉及1306人次；代书87份</w:t>
      </w:r>
      <w:r>
        <w:rPr>
          <w:rStyle w:val="30"/>
          <w:rFonts w:hint="eastAsia" w:ascii="仿宋_GB2312" w:hAnsi="仿宋_GB2312" w:eastAsia="仿宋_GB2312" w:cs="仿宋_GB2312"/>
          <w:color w:val="000000"/>
          <w:sz w:val="32"/>
          <w:szCs w:val="32"/>
          <w:lang w:eastAsia="zh-CN"/>
        </w:rPr>
        <w:t>。</w:t>
      </w:r>
      <w:r>
        <w:rPr>
          <w:rStyle w:val="30"/>
          <w:rFonts w:hint="eastAsia" w:ascii="仿宋_GB2312" w:hAnsi="仿宋_GB2312" w:eastAsia="仿宋_GB2312" w:cs="仿宋_GB2312"/>
          <w:color w:val="000000"/>
          <w:sz w:val="32"/>
          <w:szCs w:val="32"/>
        </w:rPr>
        <w:t>律师提供法律帮助27人次</w:t>
      </w:r>
      <w:r>
        <w:rPr>
          <w:rStyle w:val="30"/>
          <w:rFonts w:hint="eastAsia" w:ascii="仿宋_GB2312" w:hAnsi="仿宋_GB2312" w:eastAsia="仿宋_GB2312" w:cs="仿宋_GB2312"/>
          <w:color w:val="000000"/>
          <w:sz w:val="32"/>
          <w:szCs w:val="32"/>
          <w:lang w:eastAsia="zh-CN"/>
        </w:rPr>
        <w:t>；</w:t>
      </w:r>
      <w:r>
        <w:rPr>
          <w:rStyle w:val="30"/>
          <w:rFonts w:hint="eastAsia" w:ascii="仿宋_GB2312" w:hAnsi="仿宋_GB2312" w:eastAsia="仿宋_GB2312" w:cs="仿宋_GB2312"/>
          <w:color w:val="000000"/>
          <w:sz w:val="32"/>
          <w:szCs w:val="32"/>
        </w:rPr>
        <w:t>参与检察院认罪认罚40人次</w:t>
      </w:r>
      <w:r>
        <w:rPr>
          <w:rStyle w:val="30"/>
          <w:rFonts w:hint="eastAsia" w:ascii="仿宋_GB2312" w:hAnsi="仿宋_GB2312" w:eastAsia="仿宋_GB2312" w:cs="仿宋_GB2312"/>
          <w:color w:val="000000"/>
          <w:sz w:val="32"/>
          <w:szCs w:val="32"/>
          <w:lang w:eastAsia="zh-CN"/>
        </w:rPr>
        <w:t>；</w:t>
      </w:r>
      <w:r>
        <w:rPr>
          <w:rStyle w:val="30"/>
          <w:rFonts w:hint="eastAsia" w:ascii="仿宋_GB2312" w:hAnsi="仿宋_GB2312" w:eastAsia="仿宋_GB2312" w:cs="仿宋_GB2312"/>
          <w:color w:val="000000"/>
          <w:sz w:val="32"/>
          <w:szCs w:val="32"/>
        </w:rPr>
        <w:t>参与化解涉法涉诉案件2件；办理行政复议案件2件。办理公证案</w:t>
      </w:r>
      <w:r>
        <w:rPr>
          <w:rStyle w:val="30"/>
          <w:rFonts w:hint="eastAsia" w:ascii="仿宋_GB2312" w:hAnsi="仿宋_GB2312" w:eastAsia="仿宋_GB2312" w:cs="仿宋_GB2312"/>
          <w:color w:val="000000"/>
          <w:sz w:val="32"/>
          <w:szCs w:val="32"/>
          <w:lang w:val="en-US" w:eastAsia="zh-CN"/>
        </w:rPr>
        <w:t>件</w:t>
      </w:r>
      <w:r>
        <w:rPr>
          <w:rStyle w:val="30"/>
          <w:rFonts w:hint="eastAsia" w:ascii="仿宋_GB2312" w:hAnsi="仿宋_GB2312" w:eastAsia="仿宋_GB2312" w:cs="仿宋_GB2312"/>
          <w:color w:val="000000"/>
          <w:sz w:val="32"/>
          <w:szCs w:val="32"/>
        </w:rPr>
        <w:t>128</w:t>
      </w:r>
      <w:r>
        <w:rPr>
          <w:rStyle w:val="30"/>
          <w:rFonts w:hint="eastAsia" w:ascii="仿宋_GB2312" w:hAnsi="仿宋_GB2312" w:eastAsia="仿宋_GB2312" w:cs="仿宋_GB2312"/>
          <w:color w:val="000000"/>
          <w:sz w:val="32"/>
          <w:szCs w:val="32"/>
          <w:lang w:val="en-US" w:eastAsia="zh-CN"/>
        </w:rPr>
        <w:t>件</w:t>
      </w:r>
      <w:r>
        <w:rPr>
          <w:rStyle w:val="30"/>
          <w:rFonts w:hint="eastAsia" w:ascii="仿宋_GB2312" w:hAnsi="仿宋_GB2312" w:eastAsia="仿宋_GB2312" w:cs="仿宋_GB2312"/>
          <w:color w:val="000000"/>
          <w:sz w:val="32"/>
          <w:szCs w:val="32"/>
        </w:rPr>
        <w:t>，其中民事案件127件，经济案件1件。办理公证援助案件44件，共减免费用11000元。公</w:t>
      </w:r>
      <w:r>
        <w:rPr>
          <w:rStyle w:val="30"/>
          <w:rFonts w:hint="eastAsia" w:ascii="仿宋_GB2312" w:hAnsi="仿宋_GB2312" w:eastAsia="仿宋_GB2312" w:cs="仿宋_GB2312"/>
          <w:color w:val="000000"/>
          <w:sz w:val="32"/>
          <w:szCs w:val="32"/>
          <w:lang w:val="en-US" w:eastAsia="zh-CN"/>
        </w:rPr>
        <w:t>证</w:t>
      </w:r>
      <w:r>
        <w:rPr>
          <w:rStyle w:val="30"/>
          <w:rFonts w:hint="eastAsia" w:ascii="仿宋_GB2312" w:hAnsi="仿宋_GB2312" w:eastAsia="仿宋_GB2312" w:cs="仿宋_GB2312"/>
          <w:color w:val="000000"/>
          <w:sz w:val="32"/>
          <w:szCs w:val="32"/>
        </w:rPr>
        <w:t>咨询416件，涉及655人次。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6.强化特殊人群监管帮扶，全力维护社会和谐稳定</w:t>
      </w:r>
    </w:p>
    <w:p>
      <w:pPr>
        <w:keepNext w:val="0"/>
        <w:keepLines w:val="0"/>
        <w:pageBreakBefore w:val="0"/>
        <w:widowControl w:val="0"/>
        <w:kinsoku/>
        <w:wordWrap/>
        <w:overflowPunct/>
        <w:topLinePunct w:val="0"/>
        <w:autoSpaceDE/>
        <w:autoSpaceDN/>
        <w:bidi w:val="0"/>
        <w:adjustRightInd/>
        <w:spacing w:line="576" w:lineRule="exact"/>
        <w:ind w:firstLine="640" w:firstLineChars="200"/>
        <w:jc w:val="both"/>
        <w:textAlignment w:val="auto"/>
        <w:rPr>
          <w:rFonts w:hint="eastAsia" w:ascii="仿宋_GB2312" w:hAnsi="仿宋_GB2312" w:eastAsia="仿宋_GB2312" w:cs="仿宋_GB2312"/>
          <w:sz w:val="32"/>
          <w:szCs w:val="32"/>
        </w:rPr>
      </w:pPr>
      <w:r>
        <w:rPr>
          <w:rStyle w:val="30"/>
          <w:rFonts w:hint="eastAsia" w:ascii="仿宋_GB2312" w:hAnsi="仿宋_GB2312" w:eastAsia="仿宋_GB2312" w:cs="仿宋_GB2312"/>
          <w:bCs/>
          <w:sz w:val="32"/>
          <w:szCs w:val="32"/>
          <w:lang w:val="en-US" w:eastAsia="zh-CN"/>
        </w:rPr>
        <w:t>2020年，</w:t>
      </w:r>
      <w:r>
        <w:rPr>
          <w:rStyle w:val="30"/>
          <w:rFonts w:hint="eastAsia" w:ascii="仿宋_GB2312" w:hAnsi="仿宋_GB2312" w:eastAsia="仿宋_GB2312" w:cs="仿宋_GB2312"/>
          <w:sz w:val="32"/>
          <w:szCs w:val="32"/>
        </w:rPr>
        <w:t>接受委托办理审前调查5份，</w:t>
      </w:r>
      <w:r>
        <w:rPr>
          <w:rStyle w:val="30"/>
          <w:rFonts w:hint="eastAsia" w:ascii="仿宋_GB2312" w:hAnsi="仿宋_GB2312" w:eastAsia="仿宋_GB2312" w:cs="仿宋_GB2312"/>
          <w:sz w:val="32"/>
          <w:szCs w:val="32"/>
          <w:lang w:val="zh-CN"/>
        </w:rPr>
        <w:t>接收新入矫34人，解矫38人，在矫71人。</w:t>
      </w:r>
      <w:r>
        <w:rPr>
          <w:rStyle w:val="30"/>
          <w:rFonts w:hint="eastAsia" w:ascii="仿宋_GB2312" w:hAnsi="仿宋_GB2312" w:eastAsia="仿宋_GB2312" w:cs="仿宋_GB2312"/>
          <w:sz w:val="32"/>
          <w:szCs w:val="32"/>
        </w:rPr>
        <w:t>开展联合执法检查6次，纠正违法通知书1份，检察建议2份，均已回复处理妥当。按照社区矫正相关规定，通过信息化管理、24小时定位监管、强化矫正对象身份意识教育、检察院法律监督、“社会主义核心价值观”主题教育等手段，</w:t>
      </w:r>
      <w:r>
        <w:rPr>
          <w:rStyle w:val="30"/>
          <w:rFonts w:hint="eastAsia" w:ascii="仿宋_GB2312" w:hAnsi="仿宋_GB2312" w:eastAsia="仿宋_GB2312" w:cs="仿宋_GB2312"/>
          <w:sz w:val="32"/>
          <w:szCs w:val="32"/>
          <w:lang w:val="zh-CN"/>
        </w:rPr>
        <w:t>确保了</w:t>
      </w:r>
      <w:r>
        <w:rPr>
          <w:rStyle w:val="30"/>
          <w:rFonts w:hint="eastAsia" w:ascii="仿宋_GB2312" w:hAnsi="仿宋_GB2312" w:eastAsia="仿宋_GB2312" w:cs="仿宋_GB2312"/>
          <w:sz w:val="32"/>
          <w:szCs w:val="32"/>
        </w:rPr>
        <w:t>在矫人员71人，</w:t>
      </w:r>
      <w:r>
        <w:rPr>
          <w:rStyle w:val="30"/>
          <w:rFonts w:hint="eastAsia" w:ascii="仿宋_GB2312" w:hAnsi="仿宋_GB2312" w:eastAsia="仿宋_GB2312" w:cs="仿宋_GB2312"/>
          <w:sz w:val="32"/>
          <w:szCs w:val="32"/>
          <w:lang w:val="zh-CN"/>
        </w:rPr>
        <w:t>不脱管、不失控，没有重新犯罪。</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Style w:val="30"/>
          <w:rFonts w:hint="eastAsia" w:ascii="仿宋_GB2312" w:hAnsi="仿宋_GB2312" w:eastAsia="仿宋_GB2312" w:cs="仿宋_GB2312"/>
          <w:sz w:val="32"/>
          <w:szCs w:val="32"/>
          <w:lang w:val="en-US" w:eastAsia="zh-CN"/>
        </w:rPr>
        <w:t>深入</w:t>
      </w:r>
      <w:r>
        <w:rPr>
          <w:rFonts w:hint="eastAsia" w:ascii="仿宋_GB2312" w:hAnsi="仿宋_GB2312" w:eastAsia="仿宋_GB2312" w:cs="仿宋_GB2312"/>
          <w:sz w:val="32"/>
          <w:szCs w:val="32"/>
          <w:lang w:val="en-US" w:eastAsia="zh-CN"/>
        </w:rPr>
        <w:t>推进扫黑除恶专项斗争</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93" w:line="576" w:lineRule="exact"/>
        <w:ind w:firstLine="640" w:firstLineChars="20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kern w:val="2"/>
          <w:sz w:val="32"/>
          <w:szCs w:val="32"/>
          <w:lang w:val="en-US" w:eastAsia="zh-CN" w:bidi="ar-SA"/>
        </w:rPr>
        <w:t>今年以来，我局及时召开局党组和全体干部职工扫黑除恶专项会议，安排部署工作落实，对所有社</w:t>
      </w:r>
      <w:r>
        <w:rPr>
          <w:rStyle w:val="30"/>
          <w:rFonts w:hint="eastAsia" w:ascii="仿宋_GB2312" w:hAnsi="仿宋_GB2312" w:eastAsia="仿宋_GB2312" w:cs="仿宋_GB2312"/>
          <w:sz w:val="32"/>
          <w:szCs w:val="32"/>
        </w:rPr>
        <w:t>区服刑人员签订扫黑除恶承诺书</w:t>
      </w:r>
      <w:r>
        <w:rPr>
          <w:rFonts w:hint="eastAsia" w:ascii="仿宋_GB2312" w:hAnsi="仿宋_GB2312" w:eastAsia="仿宋_GB2312" w:cs="仿宋_GB2312"/>
          <w:sz w:val="32"/>
          <w:szCs w:val="32"/>
        </w:rPr>
        <w:t>141份，录入扫黑除恶谈话笔录141份</w:t>
      </w:r>
      <w:r>
        <w:rPr>
          <w:rStyle w:val="30"/>
          <w:rFonts w:hint="eastAsia" w:ascii="仿宋_GB2312" w:hAnsi="仿宋_GB2312" w:eastAsia="仿宋_GB2312" w:cs="仿宋_GB2312"/>
          <w:sz w:val="32"/>
          <w:szCs w:val="32"/>
        </w:rPr>
        <w:t>，教育他们认清黑恶犯罪的危害，远离黑恶势力，并积极鼓励他们举报黑恶犯罪线索。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sz w:val="32"/>
          <w:szCs w:val="32"/>
          <w:lang w:val="en-US" w:eastAsia="zh-CN"/>
        </w:rPr>
        <w:t>通过开展以上工作</w:t>
      </w:r>
      <w:r>
        <w:rPr>
          <w:rFonts w:hint="eastAsia" w:ascii="仿宋_GB2312" w:hAnsi="仿宋_GB2312" w:eastAsia="仿宋_GB2312" w:cs="仿宋_GB2312"/>
          <w:sz w:val="32"/>
          <w:szCs w:val="32"/>
          <w:lang w:eastAsia="zh-CN"/>
        </w:rPr>
        <w:t>推动依法治县、法治宣传、人民调解、社区矫正、公共法律服务、合法性审查等各项工作取得新成效，</w:t>
      </w:r>
      <w:r>
        <w:rPr>
          <w:rFonts w:hint="eastAsia" w:ascii="仿宋_GB2312" w:hAnsi="仿宋_GB2312" w:eastAsia="仿宋_GB2312" w:cs="仿宋_GB2312"/>
          <w:sz w:val="32"/>
          <w:szCs w:val="32"/>
          <w:lang w:val="en-US" w:eastAsia="zh-CN"/>
        </w:rPr>
        <w:t>促进社会持续和谐稳定，努力为茂县经济社会发展创造更加规范有序的法治环境。</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（一）评价结论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eastAsia="zh-CN"/>
        </w:rPr>
        <w:t>茂县司法局严格按照预算法按时完成预决算编制。在执行过程中有计划进行资金申报使用，完善资金管理及内部控制制度，确保资金安全，做到</w:t>
      </w:r>
      <w:r>
        <w:rPr>
          <w:rFonts w:hint="eastAsia" w:ascii="仿宋_GB2312" w:hAnsi="仿宋_GB2312" w:eastAsia="仿宋_GB2312" w:cs="仿宋_GB2312"/>
          <w:sz w:val="32"/>
          <w:szCs w:val="32"/>
          <w:lang w:val="en-US" w:eastAsia="zh-CN"/>
        </w:rPr>
        <w:t>账</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eastAsia="zh-CN"/>
        </w:rPr>
        <w:t>账账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账</w:t>
      </w:r>
      <w:r>
        <w:rPr>
          <w:rFonts w:hint="eastAsia" w:ascii="仿宋_GB2312" w:hAnsi="仿宋_GB2312" w:eastAsia="仿宋_GB2312" w:cs="仿宋_GB2312"/>
          <w:sz w:val="32"/>
          <w:szCs w:val="32"/>
          <w:lang w:eastAsia="zh-CN"/>
        </w:rPr>
        <w:t>实相符。</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720" w:leftChars="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（二）存在问题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通过茂县司法局部门支出整体绩效评价发现，仍然存在预算执行进度较为缓慢的情况，主要原因为上年度结余资金较多。</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zh-CN"/>
        </w:rPr>
        <w:t>（三）改进建议</w:t>
      </w:r>
      <w:bookmarkStart w:id="80" w:name="_GoBack"/>
      <w:bookmarkEnd w:id="80"/>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sz w:val="32"/>
          <w:szCs w:val="32"/>
          <w:lang w:val="zh-CN"/>
        </w:rPr>
      </w:pPr>
      <w:r>
        <w:rPr>
          <w:rFonts w:hint="eastAsia" w:ascii="仿宋_GB2312" w:hAnsi="仿宋_GB2312" w:eastAsia="仿宋_GB2312" w:cs="仿宋_GB2312"/>
          <w:sz w:val="32"/>
          <w:szCs w:val="32"/>
          <w:lang w:val="zh-CN" w:eastAsia="zh-CN"/>
        </w:rPr>
        <w:t>我单位会在遵守《会计法》、《</w:t>
      </w:r>
      <w:r>
        <w:rPr>
          <w:rFonts w:hint="eastAsia" w:ascii="仿宋_GB2312" w:hAnsi="仿宋_GB2312" w:eastAsia="仿宋_GB2312" w:cs="仿宋_GB2312"/>
          <w:sz w:val="32"/>
          <w:szCs w:val="32"/>
          <w:lang w:val="en-US" w:eastAsia="zh-CN"/>
        </w:rPr>
        <w:t>预算法</w:t>
      </w:r>
      <w:r>
        <w:rPr>
          <w:rFonts w:hint="eastAsia" w:ascii="仿宋_GB2312" w:hAnsi="仿宋_GB2312" w:eastAsia="仿宋_GB2312" w:cs="仿宋_GB2312"/>
          <w:sz w:val="32"/>
          <w:szCs w:val="32"/>
          <w:lang w:val="zh-CN" w:eastAsia="zh-CN"/>
        </w:rPr>
        <w:t>》等</w:t>
      </w:r>
      <w:r>
        <w:rPr>
          <w:rFonts w:hint="eastAsia" w:ascii="仿宋_GB2312" w:hAnsi="仿宋_GB2312" w:eastAsia="仿宋_GB2312" w:cs="仿宋_GB2312"/>
          <w:sz w:val="32"/>
          <w:szCs w:val="32"/>
          <w:lang w:val="en-US" w:eastAsia="zh-CN"/>
        </w:rPr>
        <w:t>相关法律</w:t>
      </w:r>
      <w:r>
        <w:rPr>
          <w:rFonts w:hint="eastAsia" w:ascii="仿宋_GB2312" w:hAnsi="仿宋_GB2312" w:eastAsia="仿宋_GB2312" w:cs="仿宋_GB2312"/>
          <w:sz w:val="32"/>
          <w:szCs w:val="32"/>
          <w:lang w:val="zh-CN" w:eastAsia="zh-CN"/>
        </w:rPr>
        <w:t>法规的前提下，严格财务报账审批程序，加快资金支付进度。</w:t>
      </w: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        </w:t>
      </w: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 xml:space="preserve">                       </w:t>
      </w:r>
    </w:p>
    <w:p>
      <w:pPr>
        <w:widowControl/>
        <w:jc w:val="left"/>
        <w:rPr>
          <w:rStyle w:val="24"/>
          <w:rFonts w:ascii="黑体" w:hAnsi="黑体" w:eastAsia="黑体"/>
          <w:b w:val="0"/>
        </w:rPr>
      </w:pPr>
    </w:p>
    <w:p>
      <w:pPr>
        <w:widowControl/>
        <w:jc w:val="left"/>
        <w:rPr>
          <w:rStyle w:val="24"/>
          <w:rFonts w:ascii="黑体" w:hAnsi="黑体" w:eastAsia="黑体"/>
          <w:b w:val="0"/>
        </w:rPr>
      </w:pPr>
    </w:p>
    <w:p>
      <w:pPr>
        <w:widowControl/>
        <w:jc w:val="left"/>
        <w:rPr>
          <w:rStyle w:val="24"/>
          <w:rFonts w:ascii="黑体" w:hAnsi="黑体" w:eastAsia="黑体"/>
          <w:b w:val="0"/>
        </w:rPr>
      </w:pPr>
    </w:p>
    <w:p>
      <w:pPr>
        <w:spacing w:line="600" w:lineRule="exact"/>
        <w:jc w:val="center"/>
        <w:outlineLvl w:val="0"/>
        <w:rPr>
          <w:rStyle w:val="24"/>
          <w:rFonts w:ascii="黑体" w:hAnsi="黑体" w:eastAsia="黑体"/>
          <w:b w:val="0"/>
        </w:rPr>
      </w:pPr>
    </w:p>
    <w:p>
      <w:pPr>
        <w:spacing w:line="600" w:lineRule="exact"/>
        <w:jc w:val="center"/>
        <w:outlineLvl w:val="0"/>
        <w:rPr>
          <w:rFonts w:ascii="仿宋" w:hAnsi="仿宋" w:eastAsia="仿宋"/>
          <w:b/>
          <w:color w:val="000000"/>
          <w:sz w:val="44"/>
          <w:szCs w:val="44"/>
        </w:rPr>
      </w:pPr>
      <w:bookmarkStart w:id="65" w:name="_Toc14160"/>
      <w:r>
        <w:rPr>
          <w:rFonts w:hint="eastAsia" w:ascii="黑体" w:hAnsi="黑体" w:eastAsia="黑体"/>
          <w:color w:val="000000"/>
          <w:sz w:val="44"/>
          <w:szCs w:val="44"/>
        </w:rPr>
        <w:t>第</w:t>
      </w:r>
      <w:r>
        <w:rPr>
          <w:rStyle w:val="24"/>
          <w:rFonts w:hint="eastAsia" w:ascii="黑体" w:hAnsi="黑体" w:eastAsia="黑体"/>
          <w:b w:val="0"/>
        </w:rPr>
        <w:t>五部分 附表</w:t>
      </w:r>
      <w:bookmarkEnd w:id="63"/>
      <w:bookmarkEnd w:id="65"/>
    </w:p>
    <w:p>
      <w:pPr>
        <w:pStyle w:val="3"/>
        <w:rPr>
          <w:rFonts w:ascii="仿宋" w:hAnsi="仿宋" w:eastAsia="仿宋"/>
          <w:color w:val="000000"/>
        </w:rPr>
      </w:pPr>
      <w:bookmarkStart w:id="66" w:name="_Toc13499"/>
      <w:r>
        <w:rPr>
          <w:rFonts w:hint="eastAsia" w:ascii="仿宋" w:hAnsi="仿宋" w:eastAsia="仿宋"/>
          <w:b w:val="0"/>
          <w:color w:val="000000"/>
        </w:rPr>
        <w:t>一、收</w:t>
      </w:r>
      <w:r>
        <w:rPr>
          <w:rStyle w:val="25"/>
          <w:rFonts w:hint="eastAsia" w:ascii="仿宋" w:hAnsi="仿宋" w:eastAsia="仿宋"/>
          <w:b w:val="0"/>
          <w:bCs w:val="0"/>
        </w:rPr>
        <w:t>入支出决算总表</w:t>
      </w:r>
      <w:bookmarkEnd w:id="66"/>
    </w:p>
    <w:p>
      <w:pPr>
        <w:pStyle w:val="3"/>
        <w:rPr>
          <w:rFonts w:ascii="仿宋" w:hAnsi="仿宋" w:eastAsia="仿宋"/>
          <w:color w:val="000000"/>
        </w:rPr>
      </w:pPr>
      <w:bookmarkStart w:id="67" w:name="_Toc18339"/>
      <w:r>
        <w:rPr>
          <w:rFonts w:hint="eastAsia" w:ascii="仿宋" w:hAnsi="仿宋" w:eastAsia="仿宋"/>
          <w:b w:val="0"/>
          <w:color w:val="000000"/>
        </w:rPr>
        <w:t>二、收</w:t>
      </w:r>
      <w:r>
        <w:rPr>
          <w:rStyle w:val="25"/>
          <w:rFonts w:hint="eastAsia" w:ascii="仿宋" w:hAnsi="仿宋" w:eastAsia="仿宋"/>
          <w:b w:val="0"/>
          <w:bCs w:val="0"/>
        </w:rPr>
        <w:t>入决算表</w:t>
      </w:r>
      <w:bookmarkEnd w:id="67"/>
    </w:p>
    <w:p>
      <w:pPr>
        <w:pStyle w:val="3"/>
        <w:rPr>
          <w:rFonts w:ascii="仿宋" w:hAnsi="仿宋" w:eastAsia="仿宋"/>
          <w:color w:val="000000"/>
        </w:rPr>
      </w:pPr>
      <w:bookmarkStart w:id="68" w:name="_Toc1546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8"/>
    </w:p>
    <w:p>
      <w:pPr>
        <w:pStyle w:val="3"/>
        <w:rPr>
          <w:rFonts w:ascii="仿宋" w:hAnsi="仿宋" w:eastAsia="仿宋"/>
          <w:b w:val="0"/>
          <w:color w:val="000000"/>
        </w:rPr>
      </w:pPr>
      <w:bookmarkStart w:id="69" w:name="_Toc10461"/>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9"/>
    </w:p>
    <w:p>
      <w:pPr>
        <w:pStyle w:val="3"/>
        <w:rPr>
          <w:rStyle w:val="25"/>
          <w:rFonts w:ascii="仿宋" w:hAnsi="仿宋" w:eastAsia="仿宋"/>
          <w:b w:val="0"/>
          <w:bCs w:val="0"/>
        </w:rPr>
      </w:pPr>
      <w:bookmarkStart w:id="70" w:name="_Toc18858"/>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70"/>
    </w:p>
    <w:p>
      <w:pPr>
        <w:pStyle w:val="3"/>
        <w:rPr>
          <w:rFonts w:ascii="仿宋" w:hAnsi="仿宋" w:eastAsia="仿宋"/>
          <w:color w:val="000000"/>
        </w:rPr>
      </w:pPr>
      <w:bookmarkStart w:id="71" w:name="_Toc8535"/>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71"/>
    </w:p>
    <w:p>
      <w:pPr>
        <w:pStyle w:val="3"/>
        <w:rPr>
          <w:rFonts w:ascii="仿宋" w:hAnsi="仿宋" w:eastAsia="仿宋"/>
          <w:color w:val="000000"/>
        </w:rPr>
      </w:pPr>
      <w:bookmarkStart w:id="72" w:name="_Toc2611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72"/>
    </w:p>
    <w:p>
      <w:pPr>
        <w:pStyle w:val="3"/>
        <w:rPr>
          <w:rFonts w:ascii="仿宋" w:hAnsi="仿宋" w:eastAsia="仿宋"/>
          <w:color w:val="000000"/>
        </w:rPr>
      </w:pPr>
      <w:bookmarkStart w:id="73" w:name="_Toc183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73"/>
    </w:p>
    <w:p>
      <w:pPr>
        <w:pStyle w:val="3"/>
        <w:rPr>
          <w:rFonts w:ascii="仿宋" w:hAnsi="仿宋" w:eastAsia="仿宋"/>
          <w:color w:val="000000"/>
        </w:rPr>
      </w:pPr>
      <w:bookmarkStart w:id="74" w:name="_Toc8115"/>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74"/>
    </w:p>
    <w:p>
      <w:pPr>
        <w:pStyle w:val="3"/>
        <w:rPr>
          <w:rFonts w:ascii="仿宋" w:hAnsi="仿宋" w:eastAsia="仿宋"/>
          <w:color w:val="000000"/>
        </w:rPr>
      </w:pPr>
      <w:bookmarkStart w:id="75" w:name="_Toc1784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5"/>
    </w:p>
    <w:p>
      <w:pPr>
        <w:pStyle w:val="3"/>
        <w:rPr>
          <w:rFonts w:ascii="仿宋" w:hAnsi="仿宋" w:eastAsia="仿宋"/>
          <w:color w:val="000000"/>
        </w:rPr>
      </w:pPr>
      <w:bookmarkStart w:id="76" w:name="_Toc658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6"/>
    </w:p>
    <w:p>
      <w:pPr>
        <w:pStyle w:val="3"/>
        <w:rPr>
          <w:rFonts w:ascii="仿宋" w:hAnsi="仿宋" w:eastAsia="仿宋"/>
          <w:color w:val="000000"/>
        </w:rPr>
      </w:pPr>
      <w:bookmarkStart w:id="77" w:name="_Toc19626"/>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7"/>
    </w:p>
    <w:p>
      <w:pPr>
        <w:pStyle w:val="3"/>
        <w:rPr>
          <w:rStyle w:val="25"/>
          <w:rFonts w:hint="eastAsia" w:ascii="仿宋" w:hAnsi="仿宋" w:eastAsia="仿宋"/>
          <w:b w:val="0"/>
          <w:bCs w:val="0"/>
        </w:rPr>
      </w:pPr>
      <w:bookmarkStart w:id="78" w:name="_Toc25414"/>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w:t>
      </w:r>
      <w:r>
        <w:rPr>
          <w:rStyle w:val="25"/>
          <w:rFonts w:hint="eastAsia" w:ascii="仿宋" w:hAnsi="仿宋" w:eastAsia="仿宋"/>
          <w:b w:val="0"/>
          <w:bCs w:val="0"/>
          <w:lang w:val="en-US" w:eastAsia="zh-CN"/>
        </w:rPr>
        <w:t>财政拨款收入支出决算表</w:t>
      </w:r>
      <w:r>
        <w:rPr>
          <w:rStyle w:val="25"/>
          <w:rFonts w:hint="eastAsia" w:ascii="仿宋" w:hAnsi="仿宋" w:eastAsia="仿宋"/>
          <w:b w:val="0"/>
          <w:bCs w:val="0"/>
        </w:rPr>
        <w:t>支出决算表</w:t>
      </w:r>
      <w:bookmarkEnd w:id="78"/>
    </w:p>
    <w:p>
      <w:pPr>
        <w:rPr>
          <w:rFonts w:hint="default" w:eastAsia="仿宋"/>
          <w:lang w:val="en-US" w:eastAsia="zh-CN"/>
        </w:rPr>
      </w:pPr>
      <w:bookmarkStart w:id="79" w:name="_Toc7160"/>
      <w:r>
        <w:rPr>
          <w:rStyle w:val="25"/>
          <w:rFonts w:hint="eastAsia" w:ascii="仿宋" w:hAnsi="仿宋" w:eastAsia="仿宋"/>
          <w:b w:val="0"/>
          <w:bCs w:val="0"/>
          <w:lang w:val="en-US" w:eastAsia="zh-CN"/>
        </w:rPr>
        <w:t>十四、国有资本经营预算财政拨款支出决算表</w:t>
      </w:r>
      <w:bookmarkEnd w:id="7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7F3A5247"/>
    <w:multiLevelType w:val="singleLevel"/>
    <w:tmpl w:val="7F3A5247"/>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5800"/>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75E99"/>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63763"/>
    <w:rsid w:val="018C02FF"/>
    <w:rsid w:val="02AB315A"/>
    <w:rsid w:val="02B90172"/>
    <w:rsid w:val="033D0878"/>
    <w:rsid w:val="036356E7"/>
    <w:rsid w:val="04AC2439"/>
    <w:rsid w:val="04C8695C"/>
    <w:rsid w:val="05336710"/>
    <w:rsid w:val="06F80CF3"/>
    <w:rsid w:val="07CC3955"/>
    <w:rsid w:val="089254F4"/>
    <w:rsid w:val="08DD5FAC"/>
    <w:rsid w:val="097C1509"/>
    <w:rsid w:val="09965A59"/>
    <w:rsid w:val="0A4342B3"/>
    <w:rsid w:val="0BF5628E"/>
    <w:rsid w:val="0D2D512D"/>
    <w:rsid w:val="0D5E0575"/>
    <w:rsid w:val="0E3430DB"/>
    <w:rsid w:val="0E687FA4"/>
    <w:rsid w:val="0EDB0FDD"/>
    <w:rsid w:val="0F9F6111"/>
    <w:rsid w:val="102B2A32"/>
    <w:rsid w:val="10491B2A"/>
    <w:rsid w:val="10C055FF"/>
    <w:rsid w:val="12685D83"/>
    <w:rsid w:val="12A40BD2"/>
    <w:rsid w:val="12ED0587"/>
    <w:rsid w:val="12ED1A81"/>
    <w:rsid w:val="13C86932"/>
    <w:rsid w:val="142602AC"/>
    <w:rsid w:val="148B5FAA"/>
    <w:rsid w:val="16BB723D"/>
    <w:rsid w:val="171F3E43"/>
    <w:rsid w:val="17AF3A63"/>
    <w:rsid w:val="181A08A9"/>
    <w:rsid w:val="184854C3"/>
    <w:rsid w:val="18BC35DE"/>
    <w:rsid w:val="19150DE9"/>
    <w:rsid w:val="191D76AA"/>
    <w:rsid w:val="1965519C"/>
    <w:rsid w:val="1B263C9C"/>
    <w:rsid w:val="1C472F91"/>
    <w:rsid w:val="1E05497A"/>
    <w:rsid w:val="1FE90934"/>
    <w:rsid w:val="209255B0"/>
    <w:rsid w:val="22433C6E"/>
    <w:rsid w:val="226048F5"/>
    <w:rsid w:val="228405D9"/>
    <w:rsid w:val="22AB2920"/>
    <w:rsid w:val="23B20A43"/>
    <w:rsid w:val="240371BF"/>
    <w:rsid w:val="24092862"/>
    <w:rsid w:val="26181427"/>
    <w:rsid w:val="275A7900"/>
    <w:rsid w:val="278C07EF"/>
    <w:rsid w:val="27DF1900"/>
    <w:rsid w:val="28376E2A"/>
    <w:rsid w:val="285D3B2B"/>
    <w:rsid w:val="286A7247"/>
    <w:rsid w:val="29FD04D3"/>
    <w:rsid w:val="2A231297"/>
    <w:rsid w:val="2A483060"/>
    <w:rsid w:val="2B024B21"/>
    <w:rsid w:val="2B4F66AB"/>
    <w:rsid w:val="2B5D7B54"/>
    <w:rsid w:val="2D8F0230"/>
    <w:rsid w:val="3052569E"/>
    <w:rsid w:val="30E54C23"/>
    <w:rsid w:val="317D0B4E"/>
    <w:rsid w:val="319F7F4E"/>
    <w:rsid w:val="32F27580"/>
    <w:rsid w:val="3312732F"/>
    <w:rsid w:val="332E17DE"/>
    <w:rsid w:val="34666B2E"/>
    <w:rsid w:val="34A669C0"/>
    <w:rsid w:val="34E462B4"/>
    <w:rsid w:val="351D1E98"/>
    <w:rsid w:val="35D91E1C"/>
    <w:rsid w:val="37206CB8"/>
    <w:rsid w:val="375A585B"/>
    <w:rsid w:val="37DB7823"/>
    <w:rsid w:val="38224187"/>
    <w:rsid w:val="38690DDF"/>
    <w:rsid w:val="387368D2"/>
    <w:rsid w:val="392934D2"/>
    <w:rsid w:val="39C6225C"/>
    <w:rsid w:val="3A2910DA"/>
    <w:rsid w:val="3A9F2626"/>
    <w:rsid w:val="3B4C7C23"/>
    <w:rsid w:val="3BEF2CB5"/>
    <w:rsid w:val="3CB50AC1"/>
    <w:rsid w:val="3CFA1EAB"/>
    <w:rsid w:val="3D373A80"/>
    <w:rsid w:val="3D6D4403"/>
    <w:rsid w:val="3F5F30E6"/>
    <w:rsid w:val="400C4B20"/>
    <w:rsid w:val="402E5A54"/>
    <w:rsid w:val="40A65EDD"/>
    <w:rsid w:val="4108084E"/>
    <w:rsid w:val="420E50AA"/>
    <w:rsid w:val="42B72810"/>
    <w:rsid w:val="433446DF"/>
    <w:rsid w:val="43F77F6C"/>
    <w:rsid w:val="44A058E4"/>
    <w:rsid w:val="44DD4EF9"/>
    <w:rsid w:val="45BE3E51"/>
    <w:rsid w:val="46657DA2"/>
    <w:rsid w:val="46D170E8"/>
    <w:rsid w:val="48573297"/>
    <w:rsid w:val="489969F7"/>
    <w:rsid w:val="497069AA"/>
    <w:rsid w:val="499B191F"/>
    <w:rsid w:val="49A6642D"/>
    <w:rsid w:val="4A25245B"/>
    <w:rsid w:val="4A2C56FB"/>
    <w:rsid w:val="4A557FBB"/>
    <w:rsid w:val="4B4E701C"/>
    <w:rsid w:val="4C7063E7"/>
    <w:rsid w:val="4D257D91"/>
    <w:rsid w:val="4D940CB6"/>
    <w:rsid w:val="4DE225D9"/>
    <w:rsid w:val="4ECE2238"/>
    <w:rsid w:val="4F2D4683"/>
    <w:rsid w:val="4F4E2003"/>
    <w:rsid w:val="4F805199"/>
    <w:rsid w:val="50162E29"/>
    <w:rsid w:val="5100052A"/>
    <w:rsid w:val="520F4EF4"/>
    <w:rsid w:val="525C075F"/>
    <w:rsid w:val="52A36136"/>
    <w:rsid w:val="53E121BB"/>
    <w:rsid w:val="54985692"/>
    <w:rsid w:val="54CB0085"/>
    <w:rsid w:val="551B6BAB"/>
    <w:rsid w:val="55460683"/>
    <w:rsid w:val="55CE6F8C"/>
    <w:rsid w:val="57527E04"/>
    <w:rsid w:val="5836773C"/>
    <w:rsid w:val="59306FC1"/>
    <w:rsid w:val="59367AF0"/>
    <w:rsid w:val="5960650E"/>
    <w:rsid w:val="597B72BA"/>
    <w:rsid w:val="59A95AA5"/>
    <w:rsid w:val="5AD62389"/>
    <w:rsid w:val="5B542256"/>
    <w:rsid w:val="5B921686"/>
    <w:rsid w:val="5ED06C2B"/>
    <w:rsid w:val="5F462EBC"/>
    <w:rsid w:val="5FD50284"/>
    <w:rsid w:val="5FD762B0"/>
    <w:rsid w:val="5FE74DFD"/>
    <w:rsid w:val="60CF12F9"/>
    <w:rsid w:val="61072C49"/>
    <w:rsid w:val="61A724B2"/>
    <w:rsid w:val="621140BA"/>
    <w:rsid w:val="62250610"/>
    <w:rsid w:val="635C5962"/>
    <w:rsid w:val="64984E50"/>
    <w:rsid w:val="64DA0C35"/>
    <w:rsid w:val="64F26264"/>
    <w:rsid w:val="65540604"/>
    <w:rsid w:val="65AA60D9"/>
    <w:rsid w:val="666D6E55"/>
    <w:rsid w:val="67BB52B1"/>
    <w:rsid w:val="67DE776A"/>
    <w:rsid w:val="694558EA"/>
    <w:rsid w:val="69D33F9B"/>
    <w:rsid w:val="69F8526C"/>
    <w:rsid w:val="69FB3540"/>
    <w:rsid w:val="6AA26CCF"/>
    <w:rsid w:val="6C076EBA"/>
    <w:rsid w:val="6C4D0282"/>
    <w:rsid w:val="6CAF5D6D"/>
    <w:rsid w:val="6CD13FE2"/>
    <w:rsid w:val="6EBE49CB"/>
    <w:rsid w:val="6EF07365"/>
    <w:rsid w:val="718E1440"/>
    <w:rsid w:val="72734D90"/>
    <w:rsid w:val="72C72B40"/>
    <w:rsid w:val="73A9623D"/>
    <w:rsid w:val="742C6E43"/>
    <w:rsid w:val="74EA753B"/>
    <w:rsid w:val="75495189"/>
    <w:rsid w:val="755A7F5F"/>
    <w:rsid w:val="75663BE6"/>
    <w:rsid w:val="75767401"/>
    <w:rsid w:val="758C7C8B"/>
    <w:rsid w:val="770A775D"/>
    <w:rsid w:val="77344897"/>
    <w:rsid w:val="79933DB4"/>
    <w:rsid w:val="79957DFD"/>
    <w:rsid w:val="79E52AA3"/>
    <w:rsid w:val="7AAA65A4"/>
    <w:rsid w:val="7B842FFC"/>
    <w:rsid w:val="7CEF384F"/>
    <w:rsid w:val="7DD41A81"/>
    <w:rsid w:val="7EAB68C8"/>
    <w:rsid w:val="7FAC75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5013550135501"/>
          <c:y val="0.0606425702811245"/>
          <c:w val="0.802166349721575"/>
          <c:h val="0.847475195631506"/>
        </c:manualLayout>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2"/>
                <c:pt idx="0">
                  <c:v>收入</c:v>
                </c:pt>
                <c:pt idx="1">
                  <c:v>支出</c:v>
                </c:pt>
              </c:strCache>
            </c:strRef>
          </c:cat>
          <c:val>
            <c:numRef>
              <c:f>Sheet1!$B$2:$B$5</c:f>
              <c:numCache>
                <c:formatCode>General</c:formatCode>
                <c:ptCount val="2"/>
                <c:pt idx="0">
                  <c:v>1188.59</c:v>
                </c:pt>
                <c:pt idx="1">
                  <c:v>1187.62</c:v>
                </c:pt>
              </c:numCache>
            </c:numRef>
          </c:val>
        </c:ser>
        <c:ser>
          <c:idx val="1"/>
          <c:order val="1"/>
          <c:tx>
            <c:strRef>
              <c:f>Sheet1!$C$1</c:f>
              <c:strCache>
                <c:ptCount val="1"/>
                <c:pt idx="0">
                  <c:v>2020年</c:v>
                </c:pt>
              </c:strCache>
            </c:strRef>
          </c:tx>
          <c:invertIfNegative val="0"/>
          <c:dLbls>
            <c:delete val="1"/>
          </c:dLbls>
          <c:cat>
            <c:strRef>
              <c:f>Sheet1!$A$2:$A$5</c:f>
              <c:strCache>
                <c:ptCount val="2"/>
                <c:pt idx="0">
                  <c:v>收入</c:v>
                </c:pt>
                <c:pt idx="1">
                  <c:v>支出</c:v>
                </c:pt>
              </c:strCache>
            </c:strRef>
          </c:cat>
          <c:val>
            <c:numRef>
              <c:f>Sheet1!$C$2:$C$5</c:f>
              <c:numCache>
                <c:formatCode>General</c:formatCode>
                <c:ptCount val="2"/>
                <c:pt idx="0">
                  <c:v>1016.4</c:v>
                </c:pt>
                <c:pt idx="1">
                  <c:v>974</c:v>
                </c:pt>
              </c:numCache>
            </c:numRef>
          </c:val>
        </c:ser>
        <c:dLbls>
          <c:showLegendKey val="0"/>
          <c:showVal val="0"/>
          <c:showCatName val="0"/>
          <c:showSerName val="0"/>
          <c:showPercent val="0"/>
          <c:showBubbleSize val="0"/>
        </c:dLbls>
        <c:gapWidth val="150"/>
        <c:axId val="59647488"/>
        <c:axId val="59649024"/>
      </c:barChart>
      <c:catAx>
        <c:axId val="59647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9024"/>
        <c:crosses val="autoZero"/>
        <c:auto val="1"/>
        <c:lblAlgn val="ctr"/>
        <c:lblOffset val="100"/>
        <c:noMultiLvlLbl val="0"/>
      </c:catAx>
      <c:valAx>
        <c:axId val="59649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74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43427860706"/>
          <c:y val="0.0908152734778122"/>
          <c:w val="0.530339513604624"/>
          <c:h val="0.909184726522188"/>
        </c:manualLayout>
      </c:layout>
      <c:pieChart>
        <c:varyColors val="1"/>
        <c:ser>
          <c:idx val="0"/>
          <c:order val="0"/>
          <c:tx>
            <c:strRef>
              <c:f>Sheet1!$B$1</c:f>
              <c:strCache>
                <c:ptCount val="1"/>
                <c:pt idx="0">
                  <c:v>2020年收入</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一般公共预算</c:v>
                </c:pt>
                <c:pt idx="1">
                  <c:v>政府基金预算</c:v>
                </c:pt>
                <c:pt idx="2">
                  <c:v>事业收入</c:v>
                </c:pt>
                <c:pt idx="3">
                  <c:v>其他收入</c:v>
                </c:pt>
              </c:strCache>
            </c:strRef>
          </c:cat>
          <c:val>
            <c:numRef>
              <c:f>Sheet1!$B$2:$B$5</c:f>
              <c:numCache>
                <c:formatCode>General</c:formatCode>
                <c:ptCount val="4"/>
                <c:pt idx="0">
                  <c:v>1016.4</c:v>
                </c:pt>
                <c:pt idx="1">
                  <c:v>0</c:v>
                </c:pt>
                <c:pt idx="2">
                  <c:v>0</c:v>
                </c:pt>
                <c:pt idx="3">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54038179148311"/>
          <c:y val="0.24545454545454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2020年支出</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Sheet1!$B$2:$B$3</c:f>
              <c:numCache>
                <c:formatCode>General</c:formatCode>
                <c:ptCount val="2"/>
                <c:pt idx="0">
                  <c:v>851.55</c:v>
                </c:pt>
                <c:pt idx="1">
                  <c:v>122.45</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5013550135501"/>
          <c:y val="0.0606425702811245"/>
          <c:w val="0.802166349721575"/>
          <c:h val="0.847475195631506"/>
        </c:manualLayout>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2"/>
                <c:pt idx="0">
                  <c:v>收入</c:v>
                </c:pt>
                <c:pt idx="1">
                  <c:v>支出</c:v>
                </c:pt>
              </c:strCache>
            </c:strRef>
          </c:cat>
          <c:val>
            <c:numRef>
              <c:f>Sheet1!$B$2:$B$5</c:f>
              <c:numCache>
                <c:formatCode>General</c:formatCode>
                <c:ptCount val="2"/>
                <c:pt idx="0">
                  <c:v>1188.59</c:v>
                </c:pt>
                <c:pt idx="1">
                  <c:v>1187.62</c:v>
                </c:pt>
              </c:numCache>
            </c:numRef>
          </c:val>
        </c:ser>
        <c:ser>
          <c:idx val="1"/>
          <c:order val="1"/>
          <c:tx>
            <c:strRef>
              <c:f>Sheet1!$C$1</c:f>
              <c:strCache>
                <c:ptCount val="1"/>
                <c:pt idx="0">
                  <c:v>2020年</c:v>
                </c:pt>
              </c:strCache>
            </c:strRef>
          </c:tx>
          <c:invertIfNegative val="0"/>
          <c:dLbls>
            <c:delete val="1"/>
          </c:dLbls>
          <c:cat>
            <c:strRef>
              <c:f>Sheet1!$A$2:$A$5</c:f>
              <c:strCache>
                <c:ptCount val="2"/>
                <c:pt idx="0">
                  <c:v>收入</c:v>
                </c:pt>
                <c:pt idx="1">
                  <c:v>支出</c:v>
                </c:pt>
              </c:strCache>
            </c:strRef>
          </c:cat>
          <c:val>
            <c:numRef>
              <c:f>Sheet1!$C$2:$C$5</c:f>
              <c:numCache>
                <c:formatCode>General</c:formatCode>
                <c:ptCount val="2"/>
                <c:pt idx="0">
                  <c:v>1016.4</c:v>
                </c:pt>
                <c:pt idx="1">
                  <c:v>974</c:v>
                </c:pt>
              </c:numCache>
            </c:numRef>
          </c:val>
        </c:ser>
        <c:dLbls>
          <c:showLegendKey val="0"/>
          <c:showVal val="0"/>
          <c:showCatName val="0"/>
          <c:showSerName val="0"/>
          <c:showPercent val="0"/>
          <c:showBubbleSize val="0"/>
        </c:dLbls>
        <c:gapWidth val="150"/>
        <c:axId val="59647488"/>
        <c:axId val="59649024"/>
      </c:barChart>
      <c:catAx>
        <c:axId val="59647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9024"/>
        <c:crosses val="autoZero"/>
        <c:auto val="1"/>
        <c:lblAlgn val="ctr"/>
        <c:lblOffset val="100"/>
        <c:noMultiLvlLbl val="0"/>
      </c:catAx>
      <c:valAx>
        <c:axId val="59649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74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5013550135501"/>
          <c:y val="0.0606425702811245"/>
          <c:w val="0.802166349721575"/>
          <c:h val="0.847475195631506"/>
        </c:manualLayout>
      </c:layout>
      <c:barChart>
        <c:barDir val="col"/>
        <c:grouping val="clustered"/>
        <c:varyColors val="0"/>
        <c:ser>
          <c:idx val="0"/>
          <c:order val="0"/>
          <c:tx>
            <c:strRef>
              <c:f>Sheet1!$B$1</c:f>
              <c:strCache>
                <c:ptCount val="1"/>
                <c:pt idx="0">
                  <c:v>一般公共预算财政拨款支出</c:v>
                </c:pt>
              </c:strCache>
            </c:strRef>
          </c:tx>
          <c:invertIfNegative val="0"/>
          <c:dLbls>
            <c:delete val="1"/>
          </c:dLbls>
          <c:cat>
            <c:strRef>
              <c:f>Sheet1!$A$2:$A$5</c:f>
              <c:strCache>
                <c:ptCount val="2"/>
                <c:pt idx="0">
                  <c:v>2019年</c:v>
                </c:pt>
                <c:pt idx="1">
                  <c:v>2020年</c:v>
                </c:pt>
              </c:strCache>
            </c:strRef>
          </c:cat>
          <c:val>
            <c:numRef>
              <c:f>Sheet1!$B$2:$B$5</c:f>
              <c:numCache>
                <c:formatCode>General</c:formatCode>
                <c:ptCount val="2"/>
                <c:pt idx="0">
                  <c:v>1187.62</c:v>
                </c:pt>
                <c:pt idx="1">
                  <c:v>974</c:v>
                </c:pt>
              </c:numCache>
            </c:numRef>
          </c:val>
        </c:ser>
        <c:ser>
          <c:idx val="1"/>
          <c:order val="1"/>
          <c:tx>
            <c:strRef>
              <c:f>Sheet1!$C$1</c:f>
              <c:strCache>
                <c:ptCount val="1"/>
                <c:pt idx="0">
                  <c:v>列1</c:v>
                </c:pt>
              </c:strCache>
            </c:strRef>
          </c:tx>
          <c:invertIfNegative val="0"/>
          <c:dLbls>
            <c:delete val="1"/>
          </c:dLbls>
          <c:cat>
            <c:strRef>
              <c:f>Sheet1!$A$2:$A$5</c:f>
              <c:strCache>
                <c:ptCount val="2"/>
                <c:pt idx="0">
                  <c:v>2019年</c:v>
                </c:pt>
                <c:pt idx="1">
                  <c:v>2020年</c:v>
                </c:pt>
              </c:strCache>
            </c:strRef>
          </c:cat>
          <c:val>
            <c:numRef>
              <c:f>Sheet1!$C$2:$C$5</c:f>
              <c:numCache>
                <c:formatCode>General</c:formatCode>
                <c:ptCount val="2"/>
              </c:numCache>
            </c:numRef>
          </c:val>
        </c:ser>
        <c:dLbls>
          <c:showLegendKey val="0"/>
          <c:showVal val="0"/>
          <c:showCatName val="0"/>
          <c:showSerName val="0"/>
          <c:showPercent val="0"/>
          <c:showBubbleSize val="0"/>
        </c:dLbls>
        <c:gapWidth val="150"/>
        <c:axId val="59647488"/>
        <c:axId val="59649024"/>
      </c:barChart>
      <c:catAx>
        <c:axId val="59647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9024"/>
        <c:crosses val="autoZero"/>
        <c:auto val="1"/>
        <c:lblAlgn val="ctr"/>
        <c:lblOffset val="100"/>
        <c:noMultiLvlLbl val="0"/>
      </c:catAx>
      <c:valAx>
        <c:axId val="596490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9647488"/>
        <c:crosses val="autoZero"/>
        <c:crossBetween val="between"/>
      </c:valAx>
    </c:plotArea>
    <c:legend>
      <c:legendPos val="r"/>
      <c:layout>
        <c:manualLayout>
          <c:xMode val="edge"/>
          <c:yMode val="edge"/>
          <c:x val="0.862737127371274"/>
          <c:y val="0.25633442862358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43427860706"/>
          <c:y val="0.0908152734778122"/>
          <c:w val="0.530339513604624"/>
          <c:h val="0.909184726522188"/>
        </c:manualLayout>
      </c:layout>
      <c:pieChart>
        <c:varyColors val="1"/>
        <c:ser>
          <c:idx val="0"/>
          <c:order val="0"/>
          <c:tx>
            <c:strRef>
              <c:f>Sheet1!$B$1</c:f>
              <c:strCache>
                <c:ptCount val="1"/>
                <c:pt idx="0">
                  <c:v>2020年支出</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公共安全支出</c:v>
                </c:pt>
                <c:pt idx="1">
                  <c:v>社会保障和就业支出</c:v>
                </c:pt>
                <c:pt idx="2">
                  <c:v>卫生健康支出</c:v>
                </c:pt>
                <c:pt idx="3">
                  <c:v>农林水支出</c:v>
                </c:pt>
                <c:pt idx="4">
                  <c:v>住房保障支出</c:v>
                </c:pt>
              </c:strCache>
            </c:strRef>
          </c:cat>
          <c:val>
            <c:numRef>
              <c:f>Sheet1!$B$2:$B$6</c:f>
              <c:numCache>
                <c:formatCode>General</c:formatCode>
                <c:ptCount val="5"/>
                <c:pt idx="0">
                  <c:v>764.04</c:v>
                </c:pt>
                <c:pt idx="1">
                  <c:v>88.19</c:v>
                </c:pt>
                <c:pt idx="2">
                  <c:v>49.56</c:v>
                </c:pt>
                <c:pt idx="3">
                  <c:v>1.32</c:v>
                </c:pt>
                <c:pt idx="4">
                  <c:v>70.89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54038179148311"/>
          <c:y val="0.0333333333333333"/>
          <c:w val="0.241556534508076"/>
          <c:h val="0.94935064935064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43427860706"/>
          <c:y val="0.0908152734778122"/>
          <c:w val="0.530339513604624"/>
          <c:h val="0.909184726522188"/>
        </c:manualLayout>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delete val="1"/>
          </c:dLbls>
          <c:cat>
            <c:strRef>
              <c:f>Sheet1!$A$2:$A$4</c:f>
              <c:strCache>
                <c:ptCount val="3"/>
                <c:pt idx="0">
                  <c:v>因公出国（境）</c:v>
                </c:pt>
                <c:pt idx="1">
                  <c:v>公务用车运行及维护</c:v>
                </c:pt>
                <c:pt idx="2">
                  <c:v>公务接待</c:v>
                </c:pt>
              </c:strCache>
            </c:strRef>
          </c:cat>
          <c:val>
            <c:numRef>
              <c:f>Sheet1!$B$2:$B$4</c:f>
              <c:numCache>
                <c:formatCode>General</c:formatCode>
                <c:ptCount val="3"/>
                <c:pt idx="0">
                  <c:v>0</c:v>
                </c:pt>
                <c:pt idx="1">
                  <c:v>9.89</c:v>
                </c:pt>
                <c:pt idx="2">
                  <c:v>0.29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41850220264317"/>
          <c:y val="0.2497835497835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9</TotalTime>
  <ScaleCrop>false</ScaleCrop>
  <LinksUpToDate>false</LinksUpToDate>
  <CharactersWithSpaces>8587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wt</cp:lastModifiedBy>
  <cp:lastPrinted>2021-09-24T01:22:00Z</cp:lastPrinted>
  <dcterms:modified xsi:type="dcterms:W3CDTF">2021-09-24T03:33:21Z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0D598E86887749F8831166093CEE2EE6</vt:lpwstr>
  </property>
</Properties>
</file>