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100" w:firstLineChars="500"/>
      </w:pPr>
    </w:p>
    <w:p>
      <w:pPr>
        <w:ind w:firstLine="110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司法局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spacing w:line="576" w:lineRule="exact"/>
        <w:ind w:firstLine="0"/>
        <w:jc w:val="both"/>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ind w:left="0" w:firstLine="0" w:firstLineChars="0"/>
        <w:rPr>
          <w:lang w:eastAsia="zh-CN"/>
        </w:rPr>
      </w:pPr>
    </w:p>
    <w:p>
      <w:pPr>
        <w:spacing w:line="576" w:lineRule="exact"/>
        <w:ind w:firstLine="1040" w:firstLineChars="200"/>
        <w:jc w:val="center"/>
        <w:rPr>
          <w:rFonts w:ascii="宋体"/>
          <w:sz w:val="32"/>
          <w:szCs w:val="32"/>
          <w:lang w:eastAsia="zh-CN"/>
        </w:rPr>
      </w:pPr>
      <w:r>
        <w:rPr>
          <w:rFonts w:hint="eastAsia" w:ascii="黑体" w:eastAsia="黑体"/>
          <w:sz w:val="52"/>
          <w:szCs w:val="52"/>
        </w:rPr>
        <w:t>目录</w:t>
      </w:r>
    </w:p>
    <w:p>
      <w:pPr>
        <w:spacing w:line="576" w:lineRule="exact"/>
        <w:ind w:firstLine="640" w:firstLineChars="200"/>
        <w:jc w:val="center"/>
        <w:rPr>
          <w:rFonts w:ascii="宋体"/>
          <w:sz w:val="32"/>
          <w:szCs w:val="32"/>
          <w:lang w:eastAsia="zh-CN"/>
        </w:rPr>
      </w:pPr>
    </w:p>
    <w:p>
      <w:pPr>
        <w:pStyle w:val="21"/>
        <w:ind w:firstLine="0" w:firstLineChars="0"/>
        <w:rPr>
          <w:rFonts w:ascii="黑体" w:eastAsia="黑体"/>
          <w:sz w:val="32"/>
          <w:szCs w:val="32"/>
        </w:rPr>
      </w:pPr>
      <w:r>
        <w:rPr>
          <w:rFonts w:ascii="宋体"/>
          <w:sz w:val="32"/>
          <w:szCs w:val="32"/>
          <w:lang w:eastAsia="zh-CN"/>
        </w:rPr>
        <w:t>　　</w:t>
      </w: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spacing w:line="576" w:lineRule="exact"/>
        <w:ind w:firstLine="0"/>
        <w:rPr>
          <w:rFonts w:ascii="宋体"/>
          <w:sz w:val="24"/>
          <w:szCs w:val="24"/>
          <w:lang w:eastAsia="zh-CN"/>
        </w:rPr>
      </w:pPr>
    </w:p>
    <w:p>
      <w:pPr>
        <w:spacing w:line="576" w:lineRule="exact"/>
        <w:ind w:firstLine="0"/>
        <w:rPr>
          <w:lang w:eastAsia="zh-CN"/>
        </w:rPr>
      </w:pPr>
      <w:r>
        <w:rPr>
          <w:lang w:eastAsia="zh-CN"/>
        </w:rPr>
        <w:t xml:space="preserve">  </w:t>
      </w:r>
    </w:p>
    <w:p>
      <w:pPr>
        <w:spacing w:line="576" w:lineRule="exact"/>
        <w:ind w:firstLine="0"/>
        <w:rPr>
          <w:lang w:eastAsia="zh-CN"/>
        </w:rPr>
      </w:pPr>
      <w:r>
        <w:rPr>
          <w:lang w:eastAsia="zh-CN"/>
        </w:rPr>
        <w:t>　　</w:t>
      </w: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sz w:val="32"/>
          <w:szCs w:val="32"/>
          <w:lang w:eastAsia="zh-CN"/>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pacing w:line="576" w:lineRule="exact"/>
        <w:ind w:firstLine="440" w:firstLineChars="200"/>
        <w:rPr>
          <w:rFonts w:eastAsia="仿宋_GB2312"/>
          <w:sz w:val="32"/>
          <w:szCs w:val="32"/>
          <w:lang w:eastAsia="zh-CN"/>
        </w:rPr>
      </w:pPr>
      <w:r>
        <w:rPr>
          <w:lang w:eastAsia="zh-CN"/>
        </w:rPr>
        <w:t>　</w:t>
      </w:r>
      <w:r>
        <w:rPr>
          <w:rFonts w:hint="eastAsia" w:ascii="仿宋_GB2312" w:eastAsia="仿宋_GB2312"/>
          <w:sz w:val="32"/>
          <w:szCs w:val="32"/>
          <w:lang w:eastAsia="zh-CN"/>
        </w:rPr>
        <w:t>1.贯彻执行国家、省、州、县关于司法行政工作的方针、政策和法律、法规及规章，制订司法行政规范性文件和工作发展规划、工作计划并组织实施。</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2.拟订普及法律常识规划和法制宣传教育计划并组织实施，指导全县各乡镇、各行业的法制宣传和依法治理工作。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3.负责指导、监督律师工作、公证工作、外来企业投诉工作并承担相应责任，负责行政处罚工作。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4.监督管理全县的法律援助工作。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5.指导、监督、管理基层司法所建设和人民调解、基层法律服务工作。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6.指导、监督、管理社区矫正、帮教安置工作。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7.负责司法鉴定的联系和承办工作。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8.负责司法行政系统计划、财务、车辆、服装等物资装备的管理工作。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9.负责司法行政系统队伍建设和思想政治工作。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10.承担县政府公布的有关行政审批事项。</w:t>
      </w:r>
    </w:p>
    <w:p>
      <w:pPr>
        <w:spacing w:line="576" w:lineRule="exact"/>
        <w:ind w:firstLine="640" w:firstLineChars="200"/>
        <w:rPr>
          <w:lang w:eastAsia="zh-CN"/>
        </w:rPr>
      </w:pPr>
      <w:r>
        <w:rPr>
          <w:rFonts w:hint="eastAsia" w:ascii="仿宋_GB2312" w:eastAsia="仿宋_GB2312"/>
          <w:sz w:val="32"/>
          <w:szCs w:val="32"/>
          <w:lang w:eastAsia="zh-CN"/>
        </w:rPr>
        <w:t>11.承办县政府交办的其他事项。</w:t>
      </w:r>
    </w:p>
    <w:p>
      <w:pPr>
        <w:widowControl w:val="0"/>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w:t>
      </w:r>
      <w:r>
        <w:rPr>
          <w:rFonts w:hint="eastAsia" w:ascii="楷体_GB2312" w:eastAsia="楷体_GB2312" w:cs="楷体_GB2312"/>
          <w:b/>
          <w:bCs/>
          <w:kern w:val="2"/>
          <w:sz w:val="32"/>
          <w:szCs w:val="32"/>
          <w:lang w:val="en-US" w:eastAsia="zh-CN" w:bidi="ar-SA"/>
        </w:rPr>
        <w:t>2</w:t>
      </w:r>
      <w:r>
        <w:rPr>
          <w:rFonts w:ascii="楷体_GB2312" w:eastAsia="楷体_GB2312" w:cs="楷体_GB2312"/>
          <w:b/>
          <w:bCs/>
          <w:kern w:val="2"/>
          <w:sz w:val="32"/>
          <w:szCs w:val="32"/>
          <w:lang w:eastAsia="zh-CN" w:bidi="ar-SA"/>
        </w:rPr>
        <w:t>年重点工作</w:t>
      </w:r>
    </w:p>
    <w:p>
      <w:pPr>
        <w:pBdr>
          <w:bottom w:val="single" w:color="FFFFFF" w:sz="4" w:space="31"/>
        </w:pBdr>
        <w:shd w:val="clear" w:color="auto" w:fill="FFFFFF"/>
        <w:tabs>
          <w:tab w:val="left" w:pos="1440"/>
        </w:tabs>
        <w:snapToGrid w:val="0"/>
        <w:spacing w:before="0" w:beforeAutospacing="0" w:after="0" w:afterAutospacing="0" w:line="576" w:lineRule="exact"/>
        <w:ind w:left="0" w:firstLine="640" w:firstLineChars="200"/>
        <w:jc w:val="both"/>
        <w:textAlignment w:val="baseline"/>
        <w:rPr>
          <w:rStyle w:val="14"/>
          <w:rFonts w:ascii="仿宋_GB2312" w:eastAsia="仿宋_GB2312"/>
          <w:b w:val="0"/>
          <w:i w:val="0"/>
          <w:caps w:val="0"/>
          <w:smallCaps w:val="0"/>
          <w:spacing w:val="0"/>
          <w:w w:val="100"/>
          <w:kern w:val="2"/>
          <w:sz w:val="32"/>
          <w:szCs w:val="32"/>
          <w:lang w:val="en-US" w:eastAsia="zh-CN" w:bidi="ar-SA"/>
        </w:rPr>
      </w:pPr>
      <w:r>
        <w:rPr>
          <w:rStyle w:val="14"/>
          <w:rFonts w:ascii="仿宋_GB2312" w:eastAsia="仿宋_GB2312" w:cs="仿宋_GB2312"/>
          <w:b w:val="0"/>
          <w:i w:val="0"/>
          <w:caps w:val="0"/>
          <w:smallCaps w:val="0"/>
          <w:spacing w:val="0"/>
          <w:w w:val="100"/>
          <w:kern w:val="2"/>
          <w:sz w:val="32"/>
          <w:szCs w:val="32"/>
          <w:lang w:val="en-US" w:eastAsia="zh-CN" w:bidi="ar-SA"/>
        </w:rPr>
        <w:t>1.</w:t>
      </w:r>
      <w:r>
        <w:rPr>
          <w:rStyle w:val="14"/>
          <w:rFonts w:ascii="仿宋_GB2312" w:eastAsia="仿宋_GB2312"/>
          <w:b w:val="0"/>
          <w:i w:val="0"/>
          <w:caps w:val="0"/>
          <w:smallCaps w:val="0"/>
          <w:spacing w:val="0"/>
          <w:w w:val="100"/>
          <w:kern w:val="2"/>
          <w:sz w:val="32"/>
          <w:szCs w:val="32"/>
          <w:lang w:val="en-US" w:eastAsia="zh-CN" w:bidi="ar-SA"/>
        </w:rPr>
        <w:t>认真履行依法治县办公室职责，按照县委依法治县委员会的部署和要求，深入推进党委依法执政</w:t>
      </w:r>
      <w:r>
        <w:rPr>
          <w:rStyle w:val="14"/>
          <w:rFonts w:ascii="Calibri" w:hAnsi="Calibri" w:eastAsia="宋体"/>
          <w:b w:val="0"/>
          <w:i w:val="0"/>
          <w:caps w:val="0"/>
          <w:smallCaps w:val="0"/>
          <w:spacing w:val="0"/>
          <w:w w:val="100"/>
          <w:kern w:val="2"/>
          <w:sz w:val="32"/>
          <w:szCs w:val="32"/>
          <w:lang w:val="en-US" w:eastAsia="zh-CN" w:bidi="ar-SA"/>
        </w:rPr>
        <w:t>，</w:t>
      </w:r>
      <w:r>
        <w:rPr>
          <w:rStyle w:val="14"/>
          <w:rFonts w:ascii="仿宋_GB2312" w:eastAsia="仿宋_GB2312"/>
          <w:b w:val="0"/>
          <w:i w:val="0"/>
          <w:caps w:val="0"/>
          <w:smallCaps w:val="0"/>
          <w:spacing w:val="0"/>
          <w:w w:val="100"/>
          <w:kern w:val="2"/>
          <w:sz w:val="32"/>
          <w:szCs w:val="32"/>
          <w:lang w:val="en-US" w:eastAsia="zh-CN" w:bidi="ar-SA"/>
        </w:rPr>
        <w:t>深入推进法治政府建设督察工作，全面推行行政执法“三项制度”，严格行政执法人员资格和证件管理 ，开展行政执法工作培训。</w:t>
      </w:r>
    </w:p>
    <w:p>
      <w:pPr>
        <w:pBdr>
          <w:bottom w:val="single" w:color="FFFFFF" w:sz="4" w:space="31"/>
        </w:pBdr>
        <w:shd w:val="clear" w:color="auto" w:fill="FFFFFF"/>
        <w:tabs>
          <w:tab w:val="left" w:pos="1440"/>
        </w:tabs>
        <w:snapToGrid w:val="0"/>
        <w:spacing w:before="0" w:beforeAutospacing="0" w:after="0" w:afterAutospacing="0" w:line="576" w:lineRule="exact"/>
        <w:ind w:left="0" w:firstLine="640" w:firstLineChars="200"/>
        <w:jc w:val="both"/>
        <w:textAlignment w:val="baseline"/>
        <w:rPr>
          <w:rStyle w:val="14"/>
          <w:rFonts w:ascii="仿宋_GB2312" w:eastAsia="仿宋_GB2312"/>
          <w:b w:val="0"/>
          <w:bCs w:val="0"/>
          <w:i w:val="0"/>
          <w:caps w:val="0"/>
          <w:smallCaps w:val="0"/>
          <w:color w:val="000000"/>
          <w:spacing w:val="0"/>
          <w:w w:val="100"/>
          <w:kern w:val="2"/>
          <w:sz w:val="32"/>
          <w:szCs w:val="32"/>
          <w:lang w:val="en-US" w:eastAsia="zh-CN" w:bidi="ar-SA"/>
        </w:rPr>
      </w:pPr>
      <w:r>
        <w:rPr>
          <w:rStyle w:val="14"/>
          <w:rFonts w:ascii="仿宋_GB2312" w:eastAsia="仿宋_GB2312" w:cs="仿宋_GB2312"/>
          <w:b w:val="0"/>
          <w:bCs w:val="0"/>
          <w:i w:val="0"/>
          <w:caps w:val="0"/>
          <w:smallCaps w:val="0"/>
          <w:spacing w:val="0"/>
          <w:w w:val="100"/>
          <w:kern w:val="0"/>
          <w:sz w:val="32"/>
          <w:szCs w:val="32"/>
          <w:lang w:val="en-US" w:eastAsia="zh-CN" w:bidi="ar-SA"/>
        </w:rPr>
        <w:t>2.</w:t>
      </w:r>
      <w:r>
        <w:rPr>
          <w:rStyle w:val="14"/>
          <w:rFonts w:ascii="仿宋_GB2312" w:eastAsia="仿宋_GB2312"/>
          <w:b w:val="0"/>
          <w:bCs w:val="0"/>
          <w:i w:val="0"/>
          <w:caps w:val="0"/>
          <w:smallCaps w:val="0"/>
          <w:color w:val="000000"/>
          <w:spacing w:val="0"/>
          <w:w w:val="100"/>
          <w:kern w:val="2"/>
          <w:sz w:val="32"/>
          <w:szCs w:val="32"/>
          <w:lang w:val="en-US" w:eastAsia="zh-CN" w:bidi="ar-SA"/>
        </w:rPr>
        <w:t>严格执行《阿坝州行政规范性文件管理办法》规定，扎实做好行政规范性文件的合法性审核、备案审查及公平竞争审查工作。</w:t>
      </w:r>
    </w:p>
    <w:p>
      <w:pPr>
        <w:pBdr>
          <w:bottom w:val="single" w:color="FFFFFF" w:sz="4" w:space="31"/>
        </w:pBdr>
        <w:shd w:val="clear" w:color="auto" w:fill="FFFFFF"/>
        <w:tabs>
          <w:tab w:val="left" w:pos="1440"/>
        </w:tabs>
        <w:snapToGrid w:val="0"/>
        <w:spacing w:before="0" w:beforeAutospacing="0" w:after="0" w:afterAutospacing="0" w:line="576" w:lineRule="exact"/>
        <w:ind w:left="0" w:firstLine="640" w:firstLineChars="200"/>
        <w:jc w:val="both"/>
        <w:textAlignment w:val="baseline"/>
        <w:rPr>
          <w:rStyle w:val="14"/>
          <w:rFonts w:ascii="仿宋_GB2312" w:eastAsia="仿宋_GB2312"/>
          <w:b w:val="0"/>
          <w:bCs w:val="0"/>
          <w:i w:val="0"/>
          <w:caps w:val="0"/>
          <w:smallCaps w:val="0"/>
          <w:color w:val="000000"/>
          <w:spacing w:val="0"/>
          <w:w w:val="100"/>
          <w:kern w:val="2"/>
          <w:sz w:val="32"/>
          <w:szCs w:val="32"/>
          <w:lang w:val="en-US" w:eastAsia="zh-CN" w:bidi="ar-SA"/>
        </w:rPr>
      </w:pPr>
      <w:r>
        <w:rPr>
          <w:rStyle w:val="14"/>
          <w:rFonts w:ascii="仿宋_GB2312" w:eastAsia="仿宋_GB2312" w:cs="仿宋_GB2312"/>
          <w:b w:val="0"/>
          <w:bCs w:val="0"/>
          <w:i w:val="0"/>
          <w:caps w:val="0"/>
          <w:smallCaps w:val="0"/>
          <w:spacing w:val="0"/>
          <w:w w:val="100"/>
          <w:kern w:val="0"/>
          <w:sz w:val="32"/>
          <w:szCs w:val="32"/>
          <w:lang w:val="en-US" w:eastAsia="zh-CN" w:bidi="ar-SA"/>
        </w:rPr>
        <w:t>3.</w:t>
      </w:r>
      <w:r>
        <w:rPr>
          <w:rStyle w:val="14"/>
          <w:rFonts w:ascii="仿宋_GB2312" w:eastAsia="仿宋_GB2312"/>
          <w:b w:val="0"/>
          <w:bCs w:val="0"/>
          <w:i w:val="0"/>
          <w:caps w:val="0"/>
          <w:smallCaps w:val="0"/>
          <w:color w:val="000000"/>
          <w:spacing w:val="0"/>
          <w:w w:val="100"/>
          <w:kern w:val="2"/>
          <w:sz w:val="32"/>
          <w:szCs w:val="32"/>
          <w:lang w:val="en-US" w:eastAsia="zh-CN" w:bidi="ar-SA"/>
        </w:rPr>
        <w:t>持续落实法律顾问制度，稳妥高效处理好涉法事务。进一步扩大法律顾问制度的覆盖面和影响力，充分发挥政府法律顾问的职能作用，依法、及时、客观提供法律意见，切实为县政府重大决策、重大民商事行为等经济社会活动提供法律服务和智力支持。</w:t>
      </w:r>
    </w:p>
    <w:p>
      <w:pPr>
        <w:pBdr>
          <w:bottom w:val="single" w:color="FFFFFF" w:sz="4" w:space="31"/>
        </w:pBdr>
        <w:shd w:val="clear" w:color="auto" w:fill="FFFFFF"/>
        <w:tabs>
          <w:tab w:val="left" w:pos="1440"/>
        </w:tabs>
        <w:snapToGrid w:val="0"/>
        <w:spacing w:before="0" w:beforeAutospacing="0" w:after="0" w:afterAutospacing="0" w:line="576" w:lineRule="exact"/>
        <w:ind w:left="0" w:firstLine="640" w:firstLineChars="200"/>
        <w:jc w:val="both"/>
        <w:textAlignment w:val="baseline"/>
        <w:rPr>
          <w:rStyle w:val="14"/>
          <w:rFonts w:ascii="仿宋_GB2312" w:eastAsia="仿宋_GB2312" w:cs="Times New Roman"/>
          <w:b w:val="0"/>
          <w:bCs w:val="0"/>
          <w:i w:val="0"/>
          <w:caps w:val="0"/>
          <w:smallCaps w:val="0"/>
          <w:color w:val="000000"/>
          <w:spacing w:val="0"/>
          <w:w w:val="100"/>
          <w:kern w:val="2"/>
          <w:sz w:val="32"/>
          <w:szCs w:val="32"/>
          <w:lang w:val="en-US" w:eastAsia="zh-CN" w:bidi="ar-SA"/>
        </w:rPr>
      </w:pPr>
      <w:r>
        <w:rPr>
          <w:rStyle w:val="14"/>
          <w:rFonts w:ascii="仿宋_GB2312" w:eastAsia="仿宋_GB2312" w:cs="仿宋_GB2312"/>
          <w:b w:val="0"/>
          <w:bCs w:val="0"/>
          <w:i w:val="0"/>
          <w:caps w:val="0"/>
          <w:smallCaps w:val="0"/>
          <w:spacing w:val="0"/>
          <w:w w:val="100"/>
          <w:kern w:val="0"/>
          <w:sz w:val="32"/>
          <w:szCs w:val="32"/>
          <w:lang w:val="en-US" w:eastAsia="zh-CN" w:bidi="ar-SA"/>
        </w:rPr>
        <w:t>4.</w:t>
      </w:r>
      <w:r>
        <w:rPr>
          <w:rStyle w:val="14"/>
          <w:rFonts w:ascii="仿宋_GB2312" w:eastAsia="仿宋_GB2312" w:cs="Times New Roman"/>
          <w:b w:val="0"/>
          <w:bCs w:val="0"/>
          <w:i w:val="0"/>
          <w:caps w:val="0"/>
          <w:smallCaps w:val="0"/>
          <w:color w:val="000000"/>
          <w:spacing w:val="0"/>
          <w:w w:val="100"/>
          <w:kern w:val="2"/>
          <w:sz w:val="32"/>
          <w:szCs w:val="32"/>
          <w:lang w:val="en-US" w:eastAsia="zh-CN" w:bidi="ar-SA"/>
        </w:rPr>
        <w:t>及时推动出台我县“八五”普法规划和决议，认真贯彻落实“八五”普法规划。督促指导责任单位持续开展“一月一主题”法治宣传活动，开展订单式精准普法。</w:t>
      </w:r>
    </w:p>
    <w:p>
      <w:pPr>
        <w:pBdr>
          <w:bottom w:val="single" w:color="FFFFFF" w:sz="4" w:space="31"/>
        </w:pBdr>
        <w:shd w:val="clear" w:color="auto" w:fill="FFFFFF"/>
        <w:tabs>
          <w:tab w:val="left" w:pos="1440"/>
        </w:tabs>
        <w:snapToGrid w:val="0"/>
        <w:spacing w:before="0" w:beforeAutospacing="0" w:after="0" w:afterAutospacing="0" w:line="576" w:lineRule="exact"/>
        <w:ind w:left="0" w:firstLine="640" w:firstLineChars="200"/>
        <w:jc w:val="left"/>
        <w:textAlignment w:val="baseline"/>
        <w:rPr>
          <w:rStyle w:val="14"/>
          <w:rFonts w:ascii="仿宋_GB2312" w:eastAsia="仿宋_GB2312"/>
          <w:b w:val="0"/>
          <w:bCs w:val="0"/>
          <w:i w:val="0"/>
          <w:caps w:val="0"/>
          <w:smallCaps w:val="0"/>
          <w:color w:val="000000"/>
          <w:spacing w:val="0"/>
          <w:w w:val="100"/>
          <w:kern w:val="2"/>
          <w:sz w:val="32"/>
          <w:szCs w:val="32"/>
          <w:lang w:val="en-US" w:eastAsia="zh-CN" w:bidi="ar-SA"/>
        </w:rPr>
      </w:pPr>
      <w:r>
        <w:rPr>
          <w:rStyle w:val="14"/>
          <w:rFonts w:ascii="仿宋_GB2312" w:eastAsia="仿宋_GB2312" w:cs="Times New Roman"/>
          <w:b w:val="0"/>
          <w:bCs w:val="0"/>
          <w:i w:val="0"/>
          <w:caps w:val="0"/>
          <w:smallCaps w:val="0"/>
          <w:color w:val="000000"/>
          <w:spacing w:val="0"/>
          <w:w w:val="100"/>
          <w:kern w:val="2"/>
          <w:sz w:val="32"/>
          <w:szCs w:val="32"/>
          <w:lang w:val="en-US" w:eastAsia="zh-CN" w:bidi="ar-SA"/>
        </w:rPr>
        <w:t>5.持续开展司法所规范化建设工作，切实做好“法治小</w:t>
      </w:r>
      <w:r>
        <w:rPr>
          <w:rStyle w:val="20"/>
          <w:rFonts w:ascii="仿宋_GB2312" w:eastAsia="仿宋_GB2312"/>
          <w:b w:val="0"/>
          <w:bCs w:val="0"/>
          <w:i w:val="0"/>
          <w:caps w:val="0"/>
          <w:smallCaps w:val="0"/>
          <w:color w:val="000000"/>
          <w:spacing w:val="0"/>
          <w:w w:val="100"/>
          <w:kern w:val="2"/>
          <w:sz w:val="32"/>
          <w:szCs w:val="32"/>
          <w:lang w:val="en-US" w:eastAsia="zh-CN" w:bidi="ar-SA"/>
        </w:rPr>
        <w:t>院”司法所的规范化建设工作，进一步提升基层治理效能。</w:t>
      </w:r>
      <w:r>
        <w:rPr>
          <w:rStyle w:val="20"/>
          <w:rFonts w:hint="eastAsia" w:ascii="仿宋_GB2312" w:eastAsia="仿宋_GB2312"/>
          <w:b w:val="0"/>
          <w:bCs w:val="0"/>
          <w:i w:val="0"/>
          <w:caps w:val="0"/>
          <w:smallCaps w:val="0"/>
          <w:color w:val="000000"/>
          <w:spacing w:val="0"/>
          <w:w w:val="100"/>
          <w:kern w:val="2"/>
          <w:sz w:val="32"/>
          <w:szCs w:val="32"/>
          <w:lang w:val="en-US" w:eastAsia="zh-CN" w:bidi="ar-SA"/>
        </w:rPr>
        <w:t xml:space="preserve">                     </w:t>
      </w:r>
    </w:p>
    <w:p>
      <w:pPr>
        <w:pBdr>
          <w:bottom w:val="single" w:color="FFFFFF" w:sz="4" w:space="31"/>
        </w:pBdr>
        <w:shd w:val="clear" w:color="auto" w:fill="FFFFFF"/>
        <w:tabs>
          <w:tab w:val="left" w:pos="1440"/>
        </w:tabs>
        <w:snapToGrid w:val="0"/>
        <w:spacing w:before="0" w:beforeAutospacing="0" w:after="0" w:afterAutospacing="0" w:line="576" w:lineRule="exact"/>
        <w:ind w:left="0" w:firstLine="640" w:firstLineChars="200"/>
        <w:jc w:val="both"/>
        <w:textAlignment w:val="baseline"/>
        <w:rPr>
          <w:rStyle w:val="14"/>
          <w:rFonts w:ascii="仿宋_GB2312" w:eastAsia="仿宋_GB2312"/>
          <w:b w:val="0"/>
          <w:i w:val="0"/>
          <w:caps w:val="0"/>
          <w:smallCaps w:val="0"/>
          <w:color w:val="000000"/>
          <w:spacing w:val="0"/>
          <w:w w:val="100"/>
          <w:kern w:val="2"/>
          <w:sz w:val="32"/>
          <w:szCs w:val="32"/>
          <w:lang w:val="en-US" w:eastAsia="zh-CN" w:bidi="ar-SA"/>
        </w:rPr>
      </w:pPr>
      <w:r>
        <w:rPr>
          <w:rStyle w:val="14"/>
          <w:rFonts w:ascii="仿宋_GB2312" w:eastAsia="仿宋_GB2312" w:cs="仿宋_GB2312"/>
          <w:b w:val="0"/>
          <w:bCs w:val="0"/>
          <w:i w:val="0"/>
          <w:caps w:val="0"/>
          <w:smallCaps w:val="0"/>
          <w:spacing w:val="0"/>
          <w:w w:val="100"/>
          <w:kern w:val="0"/>
          <w:sz w:val="32"/>
          <w:szCs w:val="32"/>
          <w:lang w:val="en-US" w:eastAsia="zh-CN" w:bidi="ar-SA"/>
        </w:rPr>
        <w:t>6.</w:t>
      </w:r>
      <w:r>
        <w:rPr>
          <w:rStyle w:val="14"/>
          <w:rFonts w:ascii="仿宋_GB2312" w:eastAsia="仿宋_GB2312"/>
          <w:b w:val="0"/>
          <w:i w:val="0"/>
          <w:caps w:val="0"/>
          <w:smallCaps w:val="0"/>
          <w:color w:val="000000"/>
          <w:spacing w:val="0"/>
          <w:w w:val="100"/>
          <w:kern w:val="2"/>
          <w:sz w:val="32"/>
          <w:szCs w:val="32"/>
          <w:lang w:val="en-US" w:eastAsia="zh-CN" w:bidi="ar-SA"/>
        </w:rPr>
        <w:t>抓实抓牢公共法律服务体系建设，常态化推进公共法律服务中心建设，进一步完善、改进法律援助审批、办理制度，进一步扩大法律援助覆盖面，做到法律援助数量稳中有升，做好法律援助经费保障，注重确保工作质量。</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ascii="仿宋_GB2312" w:eastAsia="仿宋_GB2312"/>
          <w:b w:val="0"/>
          <w:i w:val="0"/>
          <w:caps w:val="0"/>
          <w:smallCaps w:val="0"/>
          <w:color w:val="000000"/>
          <w:spacing w:val="0"/>
          <w:w w:val="100"/>
          <w:kern w:val="2"/>
          <w:sz w:val="32"/>
          <w:szCs w:val="32"/>
          <w:lang w:val="en-US" w:eastAsia="zh-CN" w:bidi="ar-SA"/>
        </w:rPr>
      </w:pPr>
      <w:r>
        <w:rPr>
          <w:rStyle w:val="14"/>
          <w:rFonts w:ascii="仿宋_GB2312" w:eastAsia="仿宋_GB2312" w:cs="仿宋_GB2312"/>
          <w:b w:val="0"/>
          <w:bCs w:val="0"/>
          <w:i w:val="0"/>
          <w:caps w:val="0"/>
          <w:smallCaps w:val="0"/>
          <w:spacing w:val="0"/>
          <w:w w:val="100"/>
          <w:kern w:val="0"/>
          <w:sz w:val="32"/>
          <w:szCs w:val="32"/>
          <w:lang w:val="en-US" w:eastAsia="zh-CN" w:bidi="ar-SA"/>
        </w:rPr>
        <w:t>7.</w:t>
      </w:r>
      <w:r>
        <w:rPr>
          <w:rStyle w:val="14"/>
          <w:rFonts w:ascii="仿宋_GB2312" w:eastAsia="仿宋_GB2312"/>
          <w:b w:val="0"/>
          <w:i w:val="0"/>
          <w:caps w:val="0"/>
          <w:smallCaps w:val="0"/>
          <w:color w:val="000000"/>
          <w:spacing w:val="0"/>
          <w:w w:val="100"/>
          <w:kern w:val="0"/>
          <w:sz w:val="32"/>
          <w:szCs w:val="32"/>
          <w:lang w:val="en-US" w:eastAsia="zh-CN" w:bidi="ar-SA"/>
        </w:rPr>
        <w:t>开展好行政复议工作，适时在全县乡镇、机关事业单位开展行政复议、依法行政专项培训。</w:t>
      </w:r>
      <w:r>
        <w:rPr>
          <w:rStyle w:val="14"/>
          <w:rFonts w:ascii="仿宋_GB2312" w:eastAsia="仿宋_GB2312"/>
          <w:b w:val="0"/>
          <w:i w:val="0"/>
          <w:caps w:val="0"/>
          <w:smallCaps w:val="0"/>
          <w:color w:val="000000"/>
          <w:spacing w:val="0"/>
          <w:w w:val="100"/>
          <w:kern w:val="2"/>
          <w:sz w:val="32"/>
          <w:szCs w:val="32"/>
          <w:lang w:val="en-US" w:eastAsia="zh-CN" w:bidi="ar-SA"/>
        </w:rPr>
        <w:t>组织行政复议人员到内地进行学习培训，提供人员素质和能力，促进全县行政复议工作良好开展。</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ascii="仿宋_GB2312" w:eastAsia="仿宋_GB2312"/>
          <w:b w:val="0"/>
          <w:i w:val="0"/>
          <w:caps w:val="0"/>
          <w:smallCaps w:val="0"/>
          <w:spacing w:val="0"/>
          <w:w w:val="100"/>
          <w:kern w:val="2"/>
          <w:sz w:val="32"/>
          <w:szCs w:val="32"/>
          <w:lang w:val="en-US" w:eastAsia="zh-CN" w:bidi="ar-SA"/>
        </w:rPr>
      </w:pPr>
      <w:r>
        <w:rPr>
          <w:rStyle w:val="14"/>
          <w:rFonts w:ascii="仿宋_GB2312" w:eastAsia="仿宋_GB2312" w:cs="仿宋_GB2312"/>
          <w:b w:val="0"/>
          <w:bCs w:val="0"/>
          <w:i w:val="0"/>
          <w:caps w:val="0"/>
          <w:smallCaps w:val="0"/>
          <w:spacing w:val="0"/>
          <w:w w:val="100"/>
          <w:kern w:val="0"/>
          <w:sz w:val="32"/>
          <w:szCs w:val="32"/>
          <w:lang w:val="en-US" w:eastAsia="zh-CN" w:bidi="ar-SA"/>
        </w:rPr>
        <w:t>8.</w:t>
      </w:r>
      <w:r>
        <w:rPr>
          <w:rStyle w:val="14"/>
          <w:rFonts w:ascii="仿宋_GB2312" w:eastAsia="仿宋_GB2312"/>
          <w:b w:val="0"/>
          <w:i w:val="0"/>
          <w:caps w:val="0"/>
          <w:smallCaps w:val="0"/>
          <w:spacing w:val="0"/>
          <w:w w:val="100"/>
          <w:kern w:val="2"/>
          <w:sz w:val="32"/>
          <w:szCs w:val="32"/>
          <w:lang w:val="en-US" w:eastAsia="zh-CN" w:bidi="ar-SA"/>
        </w:rPr>
        <w:t>依法规范管理特殊人群。严格按照《社区矫正法》、《刑法》、《刑事诉讼法》、《四川省社区矫正实施细则（试行）》等法律法规的要求，加强社区矫正对象的管理教育。切实推进茂县社区矫正委员会和矫正机构建设，促进社区矫正工作依法高效开展。</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eastAsia="zh-CN"/>
        </w:rPr>
        <w:t>茂县司法局属一级预算单位，无二级预算单位。</w:t>
      </w:r>
    </w:p>
    <w:p>
      <w:pPr>
        <w:keepNext w:val="0"/>
        <w:keepLines w:val="0"/>
        <w:pageBreakBefore w:val="0"/>
        <w:widowControl/>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240" w:lineRule="auto"/>
        <w:ind w:left="0" w:firstLine="640" w:firstLineChars="200"/>
        <w:jc w:val="both"/>
        <w:textAlignment w:val="baseline"/>
        <w:rPr>
          <w:rFonts w:ascii="黑体" w:eastAsia="黑体"/>
          <w:sz w:val="32"/>
          <w:szCs w:val="32"/>
          <w:lang w:eastAsia="zh-CN"/>
        </w:rPr>
      </w:pPr>
      <w:r>
        <w:rPr>
          <w:rFonts w:ascii="黑体" w:eastAsia="黑体"/>
          <w:sz w:val="32"/>
          <w:szCs w:val="32"/>
          <w:lang w:eastAsia="zh-CN"/>
        </w:rPr>
        <w:t>收支预算情况说明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Times New Roman"/>
          <w:b w:val="0"/>
          <w:i w:val="0"/>
          <w:caps w:val="0"/>
          <w:smallCaps w:val="0"/>
          <w:color w:val="000000"/>
          <w:spacing w:val="0"/>
          <w:w w:val="100"/>
          <w:kern w:val="0"/>
          <w:sz w:val="32"/>
          <w:szCs w:val="32"/>
          <w:lang w:val="en-US"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茂县司法局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7307482.60</w:t>
      </w:r>
      <w:r>
        <w:rPr>
          <w:rFonts w:ascii="仿宋_GB2312" w:eastAsia="仿宋_GB2312"/>
          <w:sz w:val="32"/>
          <w:szCs w:val="32"/>
          <w:lang w:eastAsia="zh-CN"/>
        </w:rPr>
        <w:t>元；支出包括：</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5112118.73</w:t>
      </w:r>
      <w:r>
        <w:rPr>
          <w:rFonts w:hint="eastAsia" w:ascii="仿宋_GB2312" w:eastAsia="仿宋_GB2312"/>
          <w:sz w:val="32"/>
          <w:szCs w:val="32"/>
          <w:lang w:eastAsia="zh-CN"/>
        </w:rPr>
        <w:t>元</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1033347.37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426236.50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30000</w:t>
      </w:r>
      <w:r>
        <w:rPr>
          <w:rFonts w:hint="eastAsia" w:ascii="仿宋_GB2312" w:eastAsia="仿宋_GB2312"/>
          <w:sz w:val="32"/>
          <w:szCs w:val="32"/>
          <w:lang w:eastAsia="zh-CN"/>
        </w:rPr>
        <w:t>元，</w:t>
      </w:r>
      <w:r>
        <w:rPr>
          <w:rStyle w:val="14"/>
          <w:rFonts w:ascii="仿宋_GB2312" w:eastAsia="仿宋_GB2312" w:cs="Times New Roman"/>
          <w:b w:val="0"/>
          <w:i w:val="0"/>
          <w:caps w:val="0"/>
          <w:smallCaps w:val="0"/>
          <w:color w:val="000000"/>
          <w:spacing w:val="0"/>
          <w:w w:val="100"/>
          <w:kern w:val="0"/>
          <w:sz w:val="32"/>
          <w:szCs w:val="32"/>
          <w:lang w:val="en-US" w:eastAsia="zh-CN" w:bidi="ar-SA"/>
        </w:rPr>
        <w:t>住房保障支出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705780</w:t>
      </w:r>
      <w:r>
        <w:rPr>
          <w:rStyle w:val="14"/>
          <w:rFonts w:ascii="仿宋_GB2312" w:eastAsia="仿宋_GB2312" w:cs="Times New Roman"/>
          <w:b w:val="0"/>
          <w:i w:val="0"/>
          <w:caps w:val="0"/>
          <w:smallCaps w:val="0"/>
          <w:color w:val="000000"/>
          <w:spacing w:val="0"/>
          <w:w w:val="100"/>
          <w:kern w:val="0"/>
          <w:sz w:val="32"/>
          <w:szCs w:val="32"/>
          <w:lang w:val="en-US" w:eastAsia="zh-CN" w:bidi="ar-SA"/>
        </w:rPr>
        <w:t>元。</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茂县司法局</w:t>
      </w:r>
      <w:r>
        <w:rPr>
          <w:rStyle w:val="14"/>
          <w:rFonts w:ascii="仿宋_GB2312" w:eastAsia="仿宋_GB2312" w:cs="Times New Roman"/>
          <w:b w:val="0"/>
          <w:i w:val="0"/>
          <w:caps w:val="0"/>
          <w:smallCaps w:val="0"/>
          <w:color w:val="000000"/>
          <w:spacing w:val="0"/>
          <w:w w:val="100"/>
          <w:kern w:val="0"/>
          <w:sz w:val="32"/>
          <w:szCs w:val="32"/>
          <w:lang w:val="en-US" w:eastAsia="zh-CN" w:bidi="ar-SA"/>
        </w:rPr>
        <w:t>20</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22</w:t>
      </w:r>
      <w:r>
        <w:rPr>
          <w:rStyle w:val="14"/>
          <w:rFonts w:ascii="仿宋_GB2312" w:eastAsia="仿宋_GB2312" w:cs="Times New Roman"/>
          <w:b w:val="0"/>
          <w:i w:val="0"/>
          <w:caps w:val="0"/>
          <w:smallCaps w:val="0"/>
          <w:color w:val="000000"/>
          <w:spacing w:val="0"/>
          <w:w w:val="100"/>
          <w:kern w:val="0"/>
          <w:sz w:val="32"/>
          <w:szCs w:val="32"/>
          <w:lang w:val="en-US" w:eastAsia="zh-CN" w:bidi="ar-SA"/>
        </w:rPr>
        <w:t>年收支总预算</w:t>
      </w:r>
      <w:r>
        <w:rPr>
          <w:rFonts w:hint="eastAsia" w:ascii="仿宋_GB2312" w:eastAsia="仿宋_GB2312"/>
          <w:sz w:val="32"/>
          <w:szCs w:val="32"/>
          <w:lang w:val="en-US" w:eastAsia="zh-CN"/>
        </w:rPr>
        <w:t>7307482.60</w:t>
      </w:r>
      <w:r>
        <w:rPr>
          <w:rStyle w:val="14"/>
          <w:rFonts w:ascii="仿宋_GB2312" w:eastAsia="仿宋_GB2312" w:cs="Times New Roman"/>
          <w:b w:val="0"/>
          <w:i w:val="0"/>
          <w:caps w:val="0"/>
          <w:smallCaps w:val="0"/>
          <w:color w:val="000000"/>
          <w:spacing w:val="0"/>
          <w:w w:val="100"/>
          <w:kern w:val="0"/>
          <w:sz w:val="32"/>
          <w:szCs w:val="32"/>
          <w:lang w:val="en-US" w:eastAsia="zh-CN" w:bidi="ar-SA"/>
        </w:rPr>
        <w:t>元,比20</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21</w:t>
      </w:r>
      <w:r>
        <w:rPr>
          <w:rStyle w:val="14"/>
          <w:rFonts w:ascii="仿宋_GB2312" w:eastAsia="仿宋_GB2312" w:cs="Times New Roman"/>
          <w:b w:val="0"/>
          <w:i w:val="0"/>
          <w:caps w:val="0"/>
          <w:smallCaps w:val="0"/>
          <w:color w:val="000000"/>
          <w:spacing w:val="0"/>
          <w:w w:val="100"/>
          <w:kern w:val="0"/>
          <w:sz w:val="32"/>
          <w:szCs w:val="32"/>
          <w:lang w:val="en-US" w:eastAsia="zh-CN" w:bidi="ar-SA"/>
        </w:rPr>
        <w:t>年收支预算总数增加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52079.60</w:t>
      </w:r>
      <w:r>
        <w:rPr>
          <w:rStyle w:val="14"/>
          <w:rFonts w:ascii="仿宋_GB2312" w:eastAsia="仿宋_GB2312" w:cs="Times New Roman"/>
          <w:b w:val="0"/>
          <w:i w:val="0"/>
          <w:caps w:val="0"/>
          <w:smallCaps w:val="0"/>
          <w:color w:val="000000"/>
          <w:spacing w:val="0"/>
          <w:w w:val="100"/>
          <w:kern w:val="0"/>
          <w:sz w:val="32"/>
          <w:szCs w:val="32"/>
          <w:lang w:val="en-US" w:eastAsia="zh-CN" w:bidi="ar-SA"/>
        </w:rPr>
        <w:t>元，主要原因: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人员增资。</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2" w:firstLineChars="200"/>
        <w:jc w:val="both"/>
        <w:textAlignment w:val="baseline"/>
        <w:rPr>
          <w:rFonts w:ascii="楷体_GB2312" w:eastAsia="楷体_GB2312" w:cs="楷体_GB2312"/>
          <w:b/>
          <w:bCs/>
          <w:kern w:val="2"/>
          <w:sz w:val="32"/>
          <w:szCs w:val="32"/>
          <w:lang w:val="en-US" w:eastAsia="zh-CN" w:bidi="ar-SA"/>
        </w:rPr>
      </w:pPr>
      <w:r>
        <w:rPr>
          <w:rFonts w:ascii="楷体_GB2312" w:eastAsia="楷体_GB2312" w:cs="楷体_GB2312"/>
          <w:b/>
          <w:bCs/>
          <w:kern w:val="2"/>
          <w:sz w:val="32"/>
          <w:szCs w:val="32"/>
          <w:lang w:val="en-US" w:eastAsia="zh-CN" w:bidi="ar-SA"/>
        </w:rPr>
        <w:t>（一）收入预算情况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ascii="仿宋_GB2312" w:eastAsia="仿宋_GB2312" w:cs="Times New Roman"/>
          <w:b w:val="0"/>
          <w:i w:val="0"/>
          <w:caps w:val="0"/>
          <w:smallCaps w:val="0"/>
          <w:color w:val="000000"/>
          <w:spacing w:val="0"/>
          <w:w w:val="100"/>
          <w:kern w:val="0"/>
          <w:sz w:val="32"/>
          <w:szCs w:val="32"/>
          <w:lang w:val="en-US" w:eastAsia="zh-CN" w:bidi="ar-SA"/>
        </w:rPr>
      </w:pP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2022</w:t>
      </w:r>
      <w:r>
        <w:rPr>
          <w:rStyle w:val="14"/>
          <w:rFonts w:ascii="仿宋_GB2312" w:eastAsia="仿宋_GB2312" w:cs="Times New Roman"/>
          <w:b w:val="0"/>
          <w:i w:val="0"/>
          <w:caps w:val="0"/>
          <w:smallCaps w:val="0"/>
          <w:color w:val="000000"/>
          <w:spacing w:val="0"/>
          <w:w w:val="100"/>
          <w:kern w:val="0"/>
          <w:sz w:val="32"/>
          <w:szCs w:val="32"/>
          <w:lang w:val="en-US" w:eastAsia="zh-CN" w:bidi="ar-SA"/>
        </w:rPr>
        <w:t>年收入预算</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7307482.60</w:t>
      </w:r>
      <w:r>
        <w:rPr>
          <w:rStyle w:val="14"/>
          <w:rFonts w:ascii="仿宋_GB2312" w:eastAsia="仿宋_GB2312" w:cs="Times New Roman"/>
          <w:b w:val="0"/>
          <w:i w:val="0"/>
          <w:caps w:val="0"/>
          <w:smallCaps w:val="0"/>
          <w:color w:val="000000"/>
          <w:spacing w:val="0"/>
          <w:w w:val="100"/>
          <w:kern w:val="0"/>
          <w:sz w:val="32"/>
          <w:szCs w:val="32"/>
          <w:lang w:val="en-US" w:eastAsia="zh-CN" w:bidi="ar-SA"/>
        </w:rPr>
        <w:t>元；一般公共预算拨款收入</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7307482.60</w:t>
      </w:r>
      <w:r>
        <w:rPr>
          <w:rStyle w:val="14"/>
          <w:rFonts w:ascii="仿宋_GB2312" w:eastAsia="仿宋_GB2312" w:cs="Times New Roman"/>
          <w:b w:val="0"/>
          <w:i w:val="0"/>
          <w:caps w:val="0"/>
          <w:smallCaps w:val="0"/>
          <w:color w:val="000000"/>
          <w:spacing w:val="0"/>
          <w:w w:val="100"/>
          <w:kern w:val="0"/>
          <w:sz w:val="32"/>
          <w:szCs w:val="32"/>
          <w:lang w:val="en-US" w:eastAsia="zh-CN" w:bidi="ar-SA"/>
        </w:rPr>
        <w:t>元，占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100</w:t>
      </w:r>
      <w:r>
        <w:rPr>
          <w:rStyle w:val="14"/>
          <w:rFonts w:ascii="仿宋_GB2312" w:eastAsia="仿宋_GB2312" w:cs="Times New Roman"/>
          <w:b w:val="0"/>
          <w:i w:val="0"/>
          <w:caps w:val="0"/>
          <w:smallCaps w:val="0"/>
          <w:color w:val="000000"/>
          <w:spacing w:val="0"/>
          <w:w w:val="100"/>
          <w:kern w:val="0"/>
          <w:sz w:val="32"/>
          <w:szCs w:val="32"/>
          <w:lang w:val="en-US" w:eastAsia="zh-CN" w:bidi="ar-SA"/>
        </w:rPr>
        <w:t>%。</w:t>
      </w:r>
    </w:p>
    <w:p>
      <w:pPr>
        <w:keepNext w:val="0"/>
        <w:keepLines w:val="0"/>
        <w:pageBreakBefore w:val="0"/>
        <w:widowControl/>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2" w:firstLineChars="200"/>
        <w:jc w:val="both"/>
        <w:textAlignment w:val="baseline"/>
        <w:rPr>
          <w:rFonts w:ascii="楷体_GB2312" w:eastAsia="楷体_GB2312" w:cs="楷体_GB2312"/>
          <w:b/>
          <w:bCs/>
          <w:kern w:val="2"/>
          <w:sz w:val="32"/>
          <w:szCs w:val="32"/>
          <w:lang w:val="en-US" w:eastAsia="zh-CN" w:bidi="ar-SA"/>
        </w:rPr>
      </w:pPr>
      <w:r>
        <w:rPr>
          <w:rFonts w:ascii="楷体_GB2312" w:eastAsia="楷体_GB2312" w:cs="楷体_GB2312"/>
          <w:b/>
          <w:bCs/>
          <w:kern w:val="2"/>
          <w:sz w:val="32"/>
          <w:szCs w:val="32"/>
          <w:lang w:val="en-US" w:eastAsia="zh-CN" w:bidi="ar-SA"/>
        </w:rPr>
        <w:t>支出预算情况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vanish/>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2</w:t>
      </w:r>
      <w:r>
        <w:rPr>
          <w:rFonts w:ascii="仿宋_GB2312" w:eastAsia="仿宋_GB2312"/>
          <w:sz w:val="32"/>
          <w:szCs w:val="32"/>
          <w:lang w:eastAsia="zh-CN"/>
        </w:rPr>
        <w:t>年支出预算</w:t>
      </w:r>
      <w:r>
        <w:rPr>
          <w:rFonts w:hint="eastAsia" w:ascii="仿宋_GB2312" w:eastAsia="仿宋_GB2312"/>
          <w:sz w:val="32"/>
          <w:szCs w:val="32"/>
          <w:lang w:val="en-US" w:eastAsia="zh-CN"/>
        </w:rPr>
        <w:t>7307482.60</w:t>
      </w:r>
      <w:r>
        <w:rPr>
          <w:rFonts w:ascii="仿宋_GB2312" w:eastAsia="仿宋_GB2312"/>
          <w:sz w:val="32"/>
          <w:szCs w:val="32"/>
          <w:lang w:eastAsia="zh-CN"/>
        </w:rPr>
        <w:t>元，其中：基本支出</w:t>
      </w:r>
      <w:r>
        <w:rPr>
          <w:rFonts w:hint="eastAsia" w:ascii="仿宋_GB2312" w:eastAsia="仿宋_GB2312"/>
          <w:sz w:val="32"/>
          <w:szCs w:val="32"/>
          <w:lang w:val="en-US" w:eastAsia="zh-CN"/>
        </w:rPr>
        <w:t>7277482.60</w:t>
      </w:r>
      <w:r>
        <w:rPr>
          <w:rFonts w:ascii="仿宋_GB2312" w:eastAsia="仿宋_GB2312"/>
          <w:sz w:val="32"/>
          <w:szCs w:val="32"/>
          <w:lang w:eastAsia="zh-CN"/>
        </w:rPr>
        <w:t>元，占</w:t>
      </w:r>
      <w:r>
        <w:rPr>
          <w:rFonts w:hint="eastAsia" w:ascii="仿宋_GB2312" w:eastAsia="仿宋_GB2312"/>
          <w:sz w:val="32"/>
          <w:szCs w:val="32"/>
          <w:lang w:eastAsia="zh-CN"/>
        </w:rPr>
        <w:t>99</w:t>
      </w:r>
      <w:r>
        <w:rPr>
          <w:rFonts w:ascii="仿宋_GB2312" w:eastAsia="仿宋_GB2312"/>
          <w:sz w:val="32"/>
          <w:szCs w:val="32"/>
          <w:lang w:eastAsia="zh-CN"/>
        </w:rPr>
        <w:t>%，项目支出</w:t>
      </w:r>
      <w:r>
        <w:rPr>
          <w:rFonts w:hint="eastAsia" w:ascii="仿宋_GB2312" w:eastAsia="仿宋_GB2312"/>
          <w:sz w:val="32"/>
          <w:szCs w:val="32"/>
          <w:lang w:val="en-US" w:eastAsia="zh-CN"/>
        </w:rPr>
        <w:t>30000</w:t>
      </w:r>
      <w:r>
        <w:rPr>
          <w:rFonts w:ascii="仿宋_GB2312" w:eastAsia="仿宋_GB2312"/>
          <w:sz w:val="32"/>
          <w:szCs w:val="32"/>
          <w:lang w:eastAsia="zh-CN"/>
        </w:rPr>
        <w:t>元，占</w:t>
      </w:r>
      <w:r>
        <w:rPr>
          <w:rFonts w:hint="eastAsia" w:ascii="仿宋_GB2312" w:eastAsia="仿宋_GB2312"/>
          <w:sz w:val="32"/>
          <w:szCs w:val="32"/>
          <w:lang w:eastAsia="zh-CN"/>
        </w:rPr>
        <w:t>1</w:t>
      </w:r>
      <w:r>
        <w:rPr>
          <w:rFonts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pacing w:line="576" w:lineRule="exact"/>
        <w:ind w:left="0" w:firstLine="0"/>
        <w:rPr>
          <w:rFonts w:ascii="黑体" w:eastAsia="黑体"/>
          <w:sz w:val="32"/>
          <w:szCs w:val="32"/>
          <w:lang w:eastAsia="zh-CN"/>
        </w:rPr>
      </w:pP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年财政拨款收支总预算</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7307482.60</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年收支预算总数增加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52079.60</w:t>
      </w:r>
      <w:r>
        <w:rPr>
          <w:rFonts w:ascii="仿宋_GB2312" w:eastAsia="仿宋_GB2312"/>
          <w:sz w:val="32"/>
          <w:szCs w:val="32"/>
          <w:lang w:eastAsia="zh-CN"/>
        </w:rPr>
        <w:t>元，主要原因:</w:t>
      </w:r>
      <w:r>
        <w:rPr>
          <w:rFonts w:hint="eastAsia" w:ascii="仿宋_GB2312" w:eastAsia="仿宋_GB2312"/>
          <w:sz w:val="32"/>
          <w:szCs w:val="32"/>
          <w:lang w:eastAsia="zh-CN"/>
        </w:rPr>
        <w:t>人员增资</w:t>
      </w:r>
      <w:r>
        <w:rPr>
          <w:rFonts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7307482.60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5112118.73</w:t>
      </w:r>
      <w:r>
        <w:rPr>
          <w:rFonts w:hint="eastAsia" w:ascii="仿宋_GB2312" w:eastAsia="仿宋_GB2312"/>
          <w:sz w:val="32"/>
          <w:szCs w:val="32"/>
          <w:lang w:eastAsia="zh-CN"/>
        </w:rPr>
        <w:t>元</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1033347.37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426236.50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30000</w:t>
      </w:r>
      <w:r>
        <w:rPr>
          <w:rFonts w:hint="eastAsia" w:ascii="仿宋_GB2312" w:eastAsia="仿宋_GB2312"/>
          <w:sz w:val="32"/>
          <w:szCs w:val="32"/>
          <w:lang w:eastAsia="zh-CN"/>
        </w:rPr>
        <w:t>元，</w:t>
      </w:r>
      <w:r>
        <w:rPr>
          <w:rStyle w:val="14"/>
          <w:rFonts w:ascii="仿宋_GB2312" w:eastAsia="仿宋_GB2312" w:cs="Times New Roman"/>
          <w:b w:val="0"/>
          <w:i w:val="0"/>
          <w:caps w:val="0"/>
          <w:smallCaps w:val="0"/>
          <w:color w:val="000000"/>
          <w:spacing w:val="0"/>
          <w:w w:val="100"/>
          <w:kern w:val="0"/>
          <w:sz w:val="32"/>
          <w:szCs w:val="32"/>
          <w:lang w:val="en-US" w:eastAsia="zh-CN" w:bidi="ar-SA"/>
        </w:rPr>
        <w:t>住房保障支出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705780</w:t>
      </w:r>
      <w:r>
        <w:rPr>
          <w:rStyle w:val="14"/>
          <w:rFonts w:ascii="仿宋_GB2312" w:eastAsia="仿宋_GB2312" w:cs="Times New Roman"/>
          <w:b w:val="0"/>
          <w:i w:val="0"/>
          <w:caps w:val="0"/>
          <w:smallCaps w:val="0"/>
          <w:color w:val="000000"/>
          <w:spacing w:val="0"/>
          <w:w w:val="100"/>
          <w:kern w:val="0"/>
          <w:sz w:val="32"/>
          <w:szCs w:val="32"/>
          <w:lang w:val="en-US" w:eastAsia="zh-CN" w:bidi="ar-SA"/>
        </w:rPr>
        <w:t>元</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hint="eastAsia" w:ascii="黑体" w:eastAsia="黑体"/>
          <w:sz w:val="32"/>
          <w:szCs w:val="32"/>
          <w:lang w:val="en-US" w:eastAsia="zh-CN"/>
        </w:rPr>
        <w:t>五</w:t>
      </w:r>
      <w:r>
        <w:rPr>
          <w:rFonts w:ascii="黑体" w:eastAsia="黑体"/>
          <w:sz w:val="32"/>
          <w:szCs w:val="32"/>
          <w:lang w:eastAsia="zh-CN"/>
        </w:rPr>
        <w:t>一般公共预算当年拨款情况说明</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一般公共预算当年拨款规模变化情况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7307482.6</w:t>
      </w:r>
      <w:r>
        <w:rPr>
          <w:rFonts w:ascii="仿宋_GB2312" w:eastAsia="仿宋_GB2312"/>
          <w:sz w:val="32"/>
          <w:szCs w:val="32"/>
          <w:lang w:val="en-US" w:eastAsia="zh-CN"/>
        </w:rPr>
        <w:t>0</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年收支预算总数增加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52079.60</w:t>
      </w:r>
      <w:r>
        <w:rPr>
          <w:rFonts w:ascii="仿宋_GB2312" w:eastAsia="仿宋_GB2312"/>
          <w:sz w:val="32"/>
          <w:szCs w:val="32"/>
          <w:lang w:eastAsia="zh-CN"/>
        </w:rPr>
        <w:t>元，主要原因:</w:t>
      </w:r>
      <w:r>
        <w:rPr>
          <w:rFonts w:hint="eastAsia" w:ascii="仿宋_GB2312" w:eastAsia="仿宋_GB2312"/>
          <w:sz w:val="32"/>
          <w:szCs w:val="32"/>
          <w:lang w:eastAsia="zh-CN"/>
        </w:rPr>
        <w:t>人员增资</w:t>
      </w:r>
      <w:r>
        <w:rPr>
          <w:rFonts w:ascii="仿宋_GB2312" w:eastAsia="仿宋_GB2312"/>
          <w:sz w:val="32"/>
          <w:szCs w:val="32"/>
          <w:lang w:eastAsia="zh-CN"/>
        </w:rPr>
        <w:t>。</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一般公共预算当年拨款结构情况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5112118.73</w:t>
      </w:r>
      <w:r>
        <w:rPr>
          <w:rFonts w:ascii="仿宋_GB2312" w:eastAsia="仿宋_GB2312"/>
          <w:sz w:val="32"/>
          <w:szCs w:val="32"/>
          <w:lang w:eastAsia="zh-CN"/>
        </w:rPr>
        <w:t>元，占</w:t>
      </w:r>
      <w:r>
        <w:rPr>
          <w:rFonts w:hint="eastAsia" w:ascii="仿宋_GB2312" w:eastAsia="仿宋_GB2312"/>
          <w:sz w:val="32"/>
          <w:szCs w:val="32"/>
          <w:lang w:eastAsia="zh-CN"/>
        </w:rPr>
        <w:t>70</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1033347.37</w:t>
      </w:r>
      <w:r>
        <w:rPr>
          <w:rFonts w:ascii="仿宋_GB2312" w:eastAsia="仿宋_GB2312"/>
          <w:sz w:val="32"/>
          <w:szCs w:val="32"/>
          <w:lang w:eastAsia="zh-CN"/>
        </w:rPr>
        <w:t>元，占</w:t>
      </w:r>
      <w:r>
        <w:rPr>
          <w:rFonts w:hint="eastAsia" w:ascii="仿宋_GB2312" w:eastAsia="仿宋_GB2312"/>
          <w:sz w:val="32"/>
          <w:szCs w:val="32"/>
          <w:lang w:eastAsia="zh-CN"/>
        </w:rPr>
        <w:t>1</w:t>
      </w:r>
      <w:r>
        <w:rPr>
          <w:rFonts w:hint="eastAsia" w:ascii="仿宋_GB2312" w:eastAsia="仿宋_GB2312"/>
          <w:sz w:val="32"/>
          <w:szCs w:val="32"/>
          <w:lang w:val="en-US"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426236.50</w:t>
      </w:r>
      <w:r>
        <w:rPr>
          <w:rFonts w:ascii="仿宋_GB2312" w:eastAsia="仿宋_GB2312"/>
          <w:sz w:val="32"/>
          <w:szCs w:val="32"/>
          <w:lang w:eastAsia="zh-CN"/>
        </w:rPr>
        <w:t>元，占</w:t>
      </w:r>
      <w:r>
        <w:rPr>
          <w:rFonts w:hint="eastAsia" w:ascii="仿宋_GB2312" w:eastAsia="仿宋_GB2312"/>
          <w:sz w:val="32"/>
          <w:szCs w:val="32"/>
          <w:lang w:val="en-US" w:eastAsia="zh-CN"/>
        </w:rPr>
        <w:t>6</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30000</w:t>
      </w:r>
      <w:r>
        <w:rPr>
          <w:rFonts w:hint="eastAsia" w:ascii="仿宋_GB2312" w:eastAsia="仿宋_GB2312"/>
          <w:sz w:val="32"/>
          <w:szCs w:val="32"/>
          <w:lang w:eastAsia="zh-CN"/>
        </w:rPr>
        <w:t>元，</w:t>
      </w:r>
      <w:r>
        <w:rPr>
          <w:rFonts w:ascii="仿宋_GB2312" w:eastAsia="仿宋_GB2312"/>
          <w:sz w:val="32"/>
          <w:szCs w:val="32"/>
          <w:lang w:eastAsia="zh-CN"/>
        </w:rPr>
        <w:t>占</w:t>
      </w:r>
      <w:r>
        <w:rPr>
          <w:rFonts w:hint="eastAsia" w:ascii="仿宋_GB2312" w:eastAsia="仿宋_GB2312"/>
          <w:sz w:val="32"/>
          <w:szCs w:val="32"/>
          <w:lang w:val="en-US" w:eastAsia="zh-CN"/>
        </w:rPr>
        <w:t>0.4</w:t>
      </w:r>
      <w:r>
        <w:rPr>
          <w:rFonts w:ascii="仿宋_GB2312" w:eastAsia="仿宋_GB2312"/>
          <w:sz w:val="32"/>
          <w:szCs w:val="32"/>
          <w:lang w:eastAsia="zh-CN"/>
        </w:rPr>
        <w:t>%</w:t>
      </w:r>
      <w:r>
        <w:rPr>
          <w:rFonts w:hint="eastAsia" w:ascii="仿宋_GB2312" w:eastAsia="仿宋_GB2312"/>
          <w:sz w:val="32"/>
          <w:szCs w:val="32"/>
          <w:lang w:eastAsia="zh-CN"/>
        </w:rPr>
        <w:t>；</w:t>
      </w:r>
      <w:r>
        <w:rPr>
          <w:rFonts w:ascii="仿宋_GB2312" w:eastAsia="仿宋_GB2312"/>
          <w:sz w:val="32"/>
          <w:szCs w:val="32"/>
          <w:lang w:eastAsia="zh-CN"/>
        </w:rPr>
        <w:t>住房保障支出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705780</w:t>
      </w:r>
      <w:r>
        <w:rPr>
          <w:rFonts w:ascii="仿宋_GB2312" w:eastAsia="仿宋_GB2312"/>
          <w:sz w:val="32"/>
          <w:szCs w:val="32"/>
          <w:lang w:eastAsia="zh-CN"/>
        </w:rPr>
        <w:t>元，占</w:t>
      </w:r>
      <w:r>
        <w:rPr>
          <w:rFonts w:hint="eastAsia" w:ascii="仿宋_GB2312" w:eastAsia="仿宋_GB2312"/>
          <w:sz w:val="32"/>
          <w:szCs w:val="32"/>
          <w:lang w:eastAsia="zh-CN"/>
        </w:rPr>
        <w:t>9</w:t>
      </w:r>
      <w:r>
        <w:rPr>
          <w:rFonts w:hint="eastAsia" w:ascii="仿宋_GB2312" w:eastAsia="仿宋_GB2312"/>
          <w:sz w:val="32"/>
          <w:szCs w:val="32"/>
          <w:lang w:val="en-US" w:eastAsia="zh-CN"/>
        </w:rPr>
        <w:t>.6</w:t>
      </w:r>
      <w:r>
        <w:rPr>
          <w:rFonts w:ascii="仿宋_GB2312" w:eastAsia="仿宋_GB2312"/>
          <w:sz w:val="32"/>
          <w:szCs w:val="32"/>
          <w:lang w:eastAsia="zh-CN"/>
        </w:rPr>
        <w:t>%。</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一般公共预算当年拨款具体使用情况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4427781.18</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行政运行</w:t>
      </w:r>
      <w:r>
        <w:rPr>
          <w:rFonts w:ascii="仿宋_GB2312" w:eastAsia="仿宋_GB2312"/>
          <w:sz w:val="32"/>
          <w:szCs w:val="32"/>
          <w:lang w:eastAsia="zh-CN"/>
        </w:rPr>
        <w:t>的人员经费和日常公用经费等基本支出。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684337.55</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事业运行</w:t>
      </w:r>
      <w:r>
        <w:rPr>
          <w:rFonts w:ascii="仿宋_GB2312" w:eastAsia="仿宋_GB2312"/>
          <w:sz w:val="32"/>
          <w:szCs w:val="32"/>
          <w:lang w:eastAsia="zh-CN"/>
        </w:rPr>
        <w:t>的人员经费和日常公用经费等基本支出</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688898.27</w:t>
      </w:r>
      <w:r>
        <w:rPr>
          <w:rFonts w:ascii="仿宋_GB2312" w:eastAsia="仿宋_GB2312"/>
          <w:sz w:val="32"/>
          <w:szCs w:val="32"/>
          <w:lang w:eastAsia="zh-CN"/>
        </w:rPr>
        <w:t>元，主要用于:单位缴纳基本养老保险费。 </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w:t>
      </w:r>
      <w:r>
        <w:rPr>
          <w:rFonts w:hint="eastAsia" w:ascii="仿宋_GB2312" w:eastAsia="仿宋_GB2312"/>
          <w:sz w:val="32"/>
          <w:szCs w:val="32"/>
          <w:lang w:eastAsia="zh-CN"/>
        </w:rPr>
        <w:t>为</w:t>
      </w:r>
      <w:r>
        <w:rPr>
          <w:rFonts w:hint="eastAsia" w:ascii="仿宋_GB2312" w:eastAsia="仿宋_GB2312"/>
          <w:sz w:val="32"/>
          <w:szCs w:val="32"/>
          <w:lang w:val="en-US" w:eastAsia="zh-CN"/>
        </w:rPr>
        <w:t>344449.10</w:t>
      </w:r>
      <w:r>
        <w:rPr>
          <w:rFonts w:ascii="仿宋_GB2312" w:eastAsia="仿宋_GB2312"/>
          <w:sz w:val="32"/>
          <w:szCs w:val="32"/>
          <w:lang w:eastAsia="zh-CN"/>
        </w:rPr>
        <w:t>元，主要用于单位缴纳职业年金。</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367396</w:t>
      </w:r>
      <w:r>
        <w:rPr>
          <w:rFonts w:ascii="仿宋_GB2312" w:eastAsia="仿宋_GB2312"/>
          <w:sz w:val="32"/>
          <w:szCs w:val="32"/>
          <w:lang w:eastAsia="zh-CN"/>
        </w:rPr>
        <w:t>元，主要用于单位缴纳基本养老保险费。</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58840.5</w:t>
      </w:r>
      <w:r>
        <w:rPr>
          <w:rFonts w:ascii="仿宋_GB2312" w:eastAsia="仿宋_GB2312"/>
          <w:sz w:val="32"/>
          <w:szCs w:val="32"/>
          <w:lang w:val="en-US" w:eastAsia="zh-CN"/>
        </w:rPr>
        <w:t>0</w:t>
      </w:r>
      <w:r>
        <w:rPr>
          <w:rFonts w:ascii="仿宋_GB2312" w:eastAsia="仿宋_GB2312"/>
          <w:sz w:val="32"/>
          <w:szCs w:val="32"/>
          <w:lang w:eastAsia="zh-CN"/>
        </w:rPr>
        <w:t>元，主要用于事业单位缴纳基本医疗保险。</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eastAsia="zh-CN"/>
        </w:rPr>
        <w:t>7.农林水支出（213）扶贫（05）其他扶贫支出（99）202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30000</w:t>
      </w:r>
      <w:r>
        <w:rPr>
          <w:rFonts w:hint="eastAsia" w:ascii="仿宋_GB2312" w:eastAsia="仿宋_GB2312"/>
          <w:sz w:val="32"/>
          <w:szCs w:val="32"/>
          <w:lang w:eastAsia="zh-CN"/>
        </w:rPr>
        <w:t>元，主要用于第一书记、驻村工作队乡镇、临岗补贴。</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705780</w:t>
      </w:r>
      <w:r>
        <w:rPr>
          <w:rFonts w:ascii="仿宋_GB2312" w:eastAsia="仿宋_GB2312"/>
          <w:sz w:val="32"/>
          <w:szCs w:val="32"/>
          <w:lang w:eastAsia="zh-CN"/>
        </w:rPr>
        <w:t>元，主要用于单位为职工缴纳住房公积金。</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adjustRightInd/>
        <w:snapToGrid w:val="0"/>
        <w:spacing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7277482.60</w:t>
      </w:r>
      <w:r>
        <w:rPr>
          <w:rFonts w:ascii="仿宋_GB2312" w:eastAsia="仿宋_GB2312"/>
          <w:sz w:val="32"/>
          <w:szCs w:val="32"/>
          <w:lang w:eastAsia="zh-CN"/>
        </w:rPr>
        <w:t>元，其中：人员经费</w:t>
      </w:r>
      <w:r>
        <w:rPr>
          <w:rFonts w:hint="eastAsia" w:ascii="仿宋_GB2312" w:eastAsia="仿宋_GB2312"/>
          <w:sz w:val="32"/>
          <w:szCs w:val="32"/>
          <w:lang w:val="en-US" w:eastAsia="zh-CN"/>
        </w:rPr>
        <w:t>6701482.60</w:t>
      </w:r>
      <w:r>
        <w:rPr>
          <w:rFonts w:ascii="仿宋_GB2312" w:eastAsia="仿宋_GB2312"/>
          <w:sz w:val="32"/>
          <w:szCs w:val="32"/>
          <w:lang w:eastAsia="zh-CN"/>
        </w:rPr>
        <w:t>元，主要包括：基本工资、津贴补贴、奖金、其他社会保障缴费、绩效工资、机关事业单位基本养老保险缴费、职业年金缴费、</w:t>
      </w:r>
      <w:r>
        <w:rPr>
          <w:rFonts w:hint="eastAsia" w:ascii="仿宋_GB2312" w:eastAsia="仿宋_GB2312"/>
          <w:sz w:val="32"/>
          <w:szCs w:val="32"/>
          <w:lang w:eastAsia="zh-CN"/>
        </w:rPr>
        <w:t>医疗费、公务员医疗补助缴费、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w:t>
      </w:r>
      <w:r>
        <w:rPr>
          <w:rFonts w:ascii="仿宋_GB2312" w:eastAsia="仿宋_GB2312"/>
          <w:sz w:val="32"/>
          <w:szCs w:val="32"/>
          <w:lang w:eastAsia="zh-CN"/>
        </w:rPr>
        <w:t>。公用经费</w:t>
      </w:r>
      <w:r>
        <w:rPr>
          <w:rFonts w:hint="eastAsia" w:ascii="仿宋_GB2312" w:eastAsia="仿宋_GB2312"/>
          <w:sz w:val="32"/>
          <w:szCs w:val="32"/>
          <w:lang w:val="en-US" w:eastAsia="zh-CN"/>
        </w:rPr>
        <w:t>576000</w:t>
      </w:r>
      <w:r>
        <w:rPr>
          <w:rFonts w:ascii="仿宋_GB2312" w:eastAsia="仿宋_GB2312"/>
          <w:sz w:val="32"/>
          <w:szCs w:val="32"/>
          <w:lang w:eastAsia="zh-CN"/>
        </w:rPr>
        <w:t>元，主要包括：办公费、水费、电费、邮电费、差旅费、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维修（护）费、培训费。</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黑体" w:eastAsia="黑体"/>
          <w:sz w:val="32"/>
          <w:szCs w:val="32"/>
          <w:lang w:eastAsia="zh-CN"/>
        </w:rPr>
      </w:pPr>
      <w:r>
        <w:rPr>
          <w:rFonts w:hint="eastAsia" w:ascii="黑体" w:eastAsia="黑体"/>
          <w:sz w:val="32"/>
          <w:szCs w:val="32"/>
          <w:lang w:eastAsia="zh-CN"/>
        </w:rPr>
        <w:t>“三公”经费财政拨款预算安排情况说明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92000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12000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80000</w:t>
      </w:r>
      <w:r>
        <w:rPr>
          <w:rFonts w:ascii="仿宋_GB2312" w:eastAsia="仿宋_GB2312"/>
          <w:sz w:val="32"/>
          <w:szCs w:val="32"/>
          <w:lang w:eastAsia="zh-CN"/>
        </w:rPr>
        <w:t>元。</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年无因公出国（境）经费。</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年公务接待费</w:t>
      </w:r>
      <w:r>
        <w:rPr>
          <w:rFonts w:hint="eastAsia" w:ascii="仿宋_GB2312" w:eastAsia="仿宋_GB2312"/>
          <w:sz w:val="32"/>
          <w:szCs w:val="32"/>
          <w:lang w:val="en-US" w:eastAsia="zh-CN"/>
        </w:rPr>
        <w:t>12000</w:t>
      </w:r>
      <w:r>
        <w:rPr>
          <w:rFonts w:ascii="仿宋_GB2312" w:eastAsia="仿宋_GB2312"/>
          <w:sz w:val="32"/>
          <w:szCs w:val="32"/>
          <w:lang w:eastAsia="zh-CN"/>
        </w:rPr>
        <w:t>元。较</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3000</w:t>
      </w:r>
      <w:r>
        <w:rPr>
          <w:rFonts w:hint="eastAsia" w:ascii="仿宋_GB2312" w:eastAsia="仿宋_GB2312"/>
          <w:sz w:val="32"/>
          <w:szCs w:val="32"/>
          <w:lang w:eastAsia="zh-CN"/>
        </w:rPr>
        <w:t>元，主要原因：厉行节约。</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80000</w:t>
      </w:r>
      <w:r>
        <w:rPr>
          <w:rFonts w:ascii="仿宋_GB2312" w:eastAsia="仿宋_GB2312"/>
          <w:sz w:val="32"/>
          <w:szCs w:val="32"/>
          <w:lang w:eastAsia="zh-CN"/>
        </w:rPr>
        <w:t>元。较20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w:t>
      </w:r>
      <w:r>
        <w:rPr>
          <w:rFonts w:hint="eastAsia" w:ascii="仿宋_GB2312" w:eastAsia="仿宋_GB2312"/>
          <w:sz w:val="32"/>
          <w:szCs w:val="32"/>
          <w:lang w:val="en-US" w:eastAsia="zh-CN"/>
        </w:rPr>
        <w:t>减少10000元，主要原因：厉行节约</w:t>
      </w:r>
      <w:r>
        <w:rPr>
          <w:rFonts w:hint="eastAsia" w:ascii="仿宋_GB2312" w:eastAsia="仿宋_GB2312"/>
          <w:sz w:val="32"/>
          <w:szCs w:val="32"/>
          <w:lang w:eastAsia="zh-CN"/>
        </w:rPr>
        <w:t>。</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政府性基金预算支出情况说明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年无政府性基金预算拨款安排的支出</w:t>
      </w:r>
      <w:r>
        <w:rPr>
          <w:lang w:eastAsia="zh-CN"/>
        </w:rPr>
        <w:t>。</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b/>
          <w:sz w:val="32"/>
          <w:szCs w:val="32"/>
          <w:lang w:eastAsia="zh-CN"/>
        </w:rPr>
      </w:pPr>
      <w:r>
        <w:rPr>
          <w:rFonts w:ascii="黑体" w:eastAsia="黑体"/>
          <w:sz w:val="32"/>
          <w:szCs w:val="32"/>
          <w:lang w:eastAsia="zh-CN"/>
        </w:rPr>
        <w:t>其他重要事项的情况说明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一</w:t>
      </w:r>
      <w:r>
        <w:rPr>
          <w:rFonts w:hint="eastAsia" w:ascii="楷体_GB2312" w:eastAsia="楷体_GB2312" w:cs="楷体_GB2312"/>
          <w:b/>
          <w:bCs/>
          <w:kern w:val="2"/>
          <w:sz w:val="32"/>
          <w:szCs w:val="32"/>
          <w:lang w:eastAsia="zh-CN" w:bidi="ar-SA"/>
        </w:rPr>
        <w:t>）</w:t>
      </w:r>
      <w:r>
        <w:rPr>
          <w:rFonts w:ascii="楷体_GB2312" w:eastAsia="楷体_GB2312" w:cs="楷体_GB2312"/>
          <w:b/>
          <w:bCs/>
          <w:kern w:val="2"/>
          <w:sz w:val="32"/>
          <w:szCs w:val="32"/>
          <w:lang w:eastAsia="zh-CN" w:bidi="ar-SA"/>
        </w:rPr>
        <w:t>机关运行经费</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576000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val="en-US" w:eastAsia="zh-CN" w:bidi="ar-SA"/>
        </w:rPr>
      </w:pP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二</w:t>
      </w: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政府采购请款</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，司法局未</w:t>
      </w:r>
      <w:r>
        <w:rPr>
          <w:rFonts w:ascii="仿宋_GB2312" w:eastAsia="仿宋_GB2312"/>
          <w:sz w:val="32"/>
          <w:szCs w:val="32"/>
          <w:lang w:eastAsia="zh-CN"/>
        </w:rPr>
        <w:t>安排政府采购预算。</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lang w:eastAsia="zh-CN"/>
        </w:rPr>
      </w:pP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三</w:t>
      </w:r>
      <w:r>
        <w:rPr>
          <w:rFonts w:hint="eastAsia" w:ascii="楷体_GB2312" w:eastAsia="楷体_GB2312" w:cs="楷体_GB2312"/>
          <w:b/>
          <w:bCs/>
          <w:kern w:val="2"/>
          <w:sz w:val="32"/>
          <w:szCs w:val="32"/>
          <w:lang w:eastAsia="zh-CN" w:bidi="ar-SA"/>
        </w:rPr>
        <w:t>）</w:t>
      </w:r>
      <w:r>
        <w:rPr>
          <w:rFonts w:ascii="楷体_GB2312" w:eastAsia="楷体_GB2312" w:cs="楷体_GB2312"/>
          <w:b/>
          <w:bCs/>
          <w:kern w:val="2"/>
          <w:sz w:val="32"/>
          <w:szCs w:val="32"/>
          <w:lang w:eastAsia="zh-CN" w:bidi="ar-SA"/>
        </w:rPr>
        <w:t>国有资产占有使用情况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adjustRightInd/>
        <w:snapToGrid w:val="0"/>
        <w:spacing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截止20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8148448.96</w:t>
      </w:r>
      <w:r>
        <w:rPr>
          <w:rFonts w:ascii="仿宋_GB2312" w:eastAsia="仿宋_GB2312"/>
          <w:sz w:val="32"/>
          <w:szCs w:val="32"/>
          <w:lang w:eastAsia="zh-CN"/>
        </w:rPr>
        <w:t>元，其中：房屋</w:t>
      </w:r>
      <w:r>
        <w:rPr>
          <w:rFonts w:hint="eastAsia" w:ascii="仿宋_GB2312" w:eastAsia="仿宋_GB2312"/>
          <w:sz w:val="32"/>
          <w:szCs w:val="32"/>
          <w:lang w:val="en-US" w:eastAsia="zh-CN"/>
        </w:rPr>
        <w:t>2815.72</w:t>
      </w:r>
      <w:r>
        <w:rPr>
          <w:rFonts w:ascii="仿宋_GB2312" w:eastAsia="仿宋_GB2312"/>
          <w:sz w:val="32"/>
          <w:szCs w:val="32"/>
          <w:lang w:eastAsia="zh-CN"/>
        </w:rPr>
        <w:t>平方米，价值</w:t>
      </w:r>
      <w:r>
        <w:rPr>
          <w:rFonts w:hint="eastAsia" w:ascii="仿宋_GB2312" w:eastAsia="仿宋_GB2312"/>
          <w:sz w:val="32"/>
          <w:szCs w:val="32"/>
          <w:lang w:val="en-US" w:eastAsia="zh-CN"/>
        </w:rPr>
        <w:t>3805111.46</w:t>
      </w:r>
      <w:r>
        <w:rPr>
          <w:rFonts w:ascii="仿宋_GB2312" w:eastAsia="仿宋_GB2312"/>
          <w:sz w:val="32"/>
          <w:szCs w:val="32"/>
          <w:lang w:eastAsia="zh-CN"/>
        </w:rPr>
        <w:t>元；公务用车</w:t>
      </w:r>
      <w:r>
        <w:rPr>
          <w:rFonts w:hint="eastAsia" w:ascii="仿宋_GB2312" w:eastAsia="仿宋_GB2312"/>
          <w:sz w:val="32"/>
          <w:szCs w:val="32"/>
          <w:lang w:eastAsia="zh-CN"/>
        </w:rPr>
        <w:t>6</w:t>
      </w:r>
      <w:r>
        <w:rPr>
          <w:rFonts w:ascii="仿宋_GB2312" w:eastAsia="仿宋_GB2312"/>
          <w:sz w:val="32"/>
          <w:szCs w:val="32"/>
          <w:lang w:eastAsia="zh-CN"/>
        </w:rPr>
        <w:t>辆，价值</w:t>
      </w:r>
      <w:r>
        <w:rPr>
          <w:rFonts w:hint="eastAsia" w:ascii="仿宋_GB2312" w:eastAsia="仿宋_GB2312"/>
          <w:sz w:val="32"/>
          <w:szCs w:val="32"/>
          <w:lang w:eastAsia="zh-CN"/>
        </w:rPr>
        <w:t>1075615</w:t>
      </w:r>
      <w:r>
        <w:rPr>
          <w:rFonts w:ascii="仿宋_GB2312" w:eastAsia="仿宋_GB2312"/>
          <w:sz w:val="32"/>
          <w:szCs w:val="32"/>
          <w:lang w:eastAsia="zh-CN"/>
        </w:rPr>
        <w:t>元；其他固定资产</w:t>
      </w:r>
      <w:r>
        <w:rPr>
          <w:rFonts w:hint="eastAsia" w:ascii="仿宋_GB2312" w:eastAsia="仿宋_GB2312"/>
          <w:sz w:val="32"/>
          <w:szCs w:val="32"/>
          <w:lang w:val="en-US" w:eastAsia="zh-CN"/>
        </w:rPr>
        <w:t>3267722.5</w:t>
      </w:r>
      <w:r>
        <w:rPr>
          <w:rFonts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绩效目标设置情况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adjustRightInd/>
        <w:snapToGrid w:val="0"/>
        <w:spacing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年司法局项目支出均按要求实行绩效目标管理，涉及项目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30000</w:t>
      </w:r>
      <w:r>
        <w:rPr>
          <w:rFonts w:hint="eastAsia" w:ascii="仿宋_GB2312" w:eastAsia="仿宋_GB2312"/>
          <w:sz w:val="32"/>
          <w:szCs w:val="32"/>
          <w:lang w:eastAsia="zh-CN"/>
        </w:rPr>
        <w:t>元。</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名词解释</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一</w:t>
      </w:r>
      <w:r>
        <w:rPr>
          <w:rFonts w:hint="eastAsia" w:ascii="楷体_GB2312" w:eastAsia="楷体_GB2312"/>
          <w:b/>
          <w:sz w:val="32"/>
          <w:szCs w:val="32"/>
          <w:lang w:eastAsia="zh-CN"/>
        </w:rPr>
        <w:t>）财政拨款收入：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二</w:t>
      </w:r>
      <w:r>
        <w:rPr>
          <w:rFonts w:hint="eastAsia" w:ascii="楷体_GB2312" w:eastAsia="楷体_GB2312"/>
          <w:b/>
          <w:sz w:val="32"/>
          <w:szCs w:val="32"/>
          <w:lang w:eastAsia="zh-CN"/>
        </w:rPr>
        <w:t>）上年结转：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adjustRightInd/>
        <w:snapToGrid w:val="0"/>
        <w:spacing w:line="576" w:lineRule="exact"/>
        <w:ind w:left="0" w:firstLine="642" w:firstLineChars="200"/>
        <w:jc w:val="both"/>
        <w:textAlignment w:val="baseline"/>
        <w:rPr>
          <w:rFonts w:ascii="仿宋_GB2312" w:eastAsia="仿宋_GB2312"/>
          <w:sz w:val="32"/>
          <w:szCs w:val="32"/>
          <w:lang w:eastAsia="zh-CN"/>
        </w:rPr>
      </w:pP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adjustRightInd/>
        <w:snapToGrid w:val="0"/>
        <w:spacing w:line="576" w:lineRule="exact"/>
        <w:ind w:left="0" w:firstLine="640" w:firstLineChars="200"/>
        <w:jc w:val="both"/>
        <w:textAlignment w:val="baseline"/>
        <w:rPr>
          <w:rFonts w:ascii="仿宋_GB2312" w:eastAsia="仿宋_GB2312" w:cs="仿宋_GB2312"/>
          <w:sz w:val="32"/>
          <w:szCs w:val="32"/>
          <w:lang w:eastAsia="zh-CN"/>
        </w:rPr>
      </w:pP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496" w:lineRule="exact"/>
        <w:ind w:left="0" w:firstLine="640" w:firstLineChars="200"/>
        <w:jc w:val="both"/>
        <w:textAlignment w:val="baseline"/>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附件：茂县司法局202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 xml:space="preserve">年部门预算公开表 </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茂县司法局</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943526"/>
    </w:sdtPr>
    <w:sdtContent>
      <w:p>
        <w:pPr>
          <w:pStyle w:val="8"/>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104B3"/>
    <w:multiLevelType w:val="singleLevel"/>
    <w:tmpl w:val="83A104B3"/>
    <w:lvl w:ilvl="0" w:tentative="0">
      <w:start w:val="1"/>
      <w:numFmt w:val="chineseCounting"/>
      <w:suff w:val="nothing"/>
      <w:lvlText w:val="（%1）"/>
      <w:lvlJc w:val="left"/>
      <w:pPr>
        <w:ind w:left="0" w:firstLine="0"/>
      </w:pPr>
      <w:rPr>
        <w:rFonts w:hint="eastAsia"/>
      </w:rPr>
    </w:lvl>
  </w:abstractNum>
  <w:abstractNum w:abstractNumId="1">
    <w:nsid w:val="C57149D2"/>
    <w:multiLevelType w:val="singleLevel"/>
    <w:tmpl w:val="C57149D2"/>
    <w:lvl w:ilvl="0" w:tentative="0">
      <w:start w:val="2"/>
      <w:numFmt w:val="chineseCounting"/>
      <w:suff w:val="nothing"/>
      <w:lvlText w:val="（%1）"/>
      <w:lvlJc w:val="left"/>
      <w:pPr>
        <w:ind w:left="0" w:firstLine="0"/>
      </w:pPr>
      <w:rPr>
        <w:rFonts w:hint="eastAsia"/>
      </w:rPr>
    </w:lvl>
  </w:abstractNum>
  <w:abstractNum w:abstractNumId="2">
    <w:nsid w:val="30B80FE7"/>
    <w:multiLevelType w:val="singleLevel"/>
    <w:tmpl w:val="30B80FE7"/>
    <w:lvl w:ilvl="0" w:tentative="0">
      <w:start w:val="3"/>
      <w:numFmt w:val="chineseCounting"/>
      <w:suff w:val="nothing"/>
      <w:lvlText w:val="%1、"/>
      <w:lvlJc w:val="left"/>
      <w:pPr>
        <w:ind w:left="0" w:firstLine="0"/>
      </w:pPr>
      <w:rPr>
        <w:rFonts w:hint="eastAsia"/>
      </w:rPr>
    </w:lvl>
  </w:abstractNum>
  <w:abstractNum w:abstractNumId="3">
    <w:nsid w:val="67A8F200"/>
    <w:multiLevelType w:val="singleLevel"/>
    <w:tmpl w:val="67A8F200"/>
    <w:lvl w:ilvl="0" w:tentative="0">
      <w:start w:val="7"/>
      <w:numFmt w:val="chineseCounting"/>
      <w:suff w:val="nothing"/>
      <w:lvlText w:val="%1、"/>
      <w:lvlJc w:val="left"/>
      <w:pPr>
        <w:ind w:left="0" w:firstLine="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dit="readOnly" w:enforcement="0"/>
  <w:defaultTabStop w:val="420"/>
  <w:drawingGridHorizontalSpacing w:val="110"/>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rsids>
    <w:rsidRoot w:val="00000000"/>
    <w:rsid w:val="FEF50B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en-US"/>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200" w:firstLineChars="200"/>
      <w:jc w:val="both"/>
      <w:textAlignment w:val="baseline"/>
    </w:pPr>
  </w:style>
  <w:style w:type="paragraph" w:customStyle="1" w:styleId="3">
    <w:name w:val="BodyTextIndent"/>
    <w:basedOn w:val="1"/>
    <w:next w:val="2"/>
    <w:qFormat/>
    <w:uiPriority w:val="0"/>
    <w:pPr>
      <w:ind w:firstLine="200" w:firstLineChars="200"/>
      <w:jc w:val="both"/>
      <w:textAlignment w:val="baseline"/>
    </w:pPr>
    <w:rPr>
      <w:rFonts w:ascii="仿宋_GB2312" w:eastAsia="仿宋_GB2312"/>
      <w:kern w:val="0"/>
      <w:sz w:val="32"/>
      <w:szCs w:val="24"/>
      <w:lang w:val="en-US" w:eastAsia="zh-CN" w:bidi="ar-SA"/>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pPr>
    <w:rPr>
      <w:rFonts w:cs="Times New Roman"/>
      <w:sz w:val="24"/>
      <w:lang w:eastAsia="zh-CN" w:bidi="ar-SA"/>
    </w:rPr>
  </w:style>
  <w:style w:type="character" w:styleId="13">
    <w:name w:val="Strong"/>
    <w:basedOn w:val="14"/>
    <w:qFormat/>
    <w:uiPriority w:val="0"/>
    <w:rPr>
      <w:b/>
    </w:rPr>
  </w:style>
  <w:style w:type="character" w:customStyle="1" w:styleId="14">
    <w:name w:val="NormalCharacter"/>
    <w:qFormat/>
    <w:uiPriority w:val="0"/>
  </w:style>
  <w:style w:type="character" w:styleId="15">
    <w:name w:val="FollowedHyperlink"/>
    <w:basedOn w:val="12"/>
    <w:qFormat/>
    <w:uiPriority w:val="0"/>
    <w:rPr>
      <w:color w:val="323232"/>
      <w:u w:val="none"/>
    </w:rPr>
  </w:style>
  <w:style w:type="character" w:styleId="16">
    <w:name w:val="Hyperlink"/>
    <w:basedOn w:val="12"/>
    <w:qFormat/>
    <w:uiPriority w:val="0"/>
    <w:rPr>
      <w:color w:val="323232"/>
      <w:u w:val="none"/>
    </w:rPr>
  </w:style>
  <w:style w:type="character" w:customStyle="1" w:styleId="17">
    <w:name w:val="bsharetext"/>
    <w:basedOn w:val="12"/>
    <w:qFormat/>
    <w:uiPriority w:val="0"/>
  </w:style>
  <w:style w:type="paragraph" w:customStyle="1" w:styleId="18">
    <w:name w:val="HtmlNormal"/>
    <w:basedOn w:val="1"/>
    <w:qFormat/>
    <w:uiPriority w:val="0"/>
    <w:pPr>
      <w:spacing w:before="100" w:beforeAutospacing="1" w:after="100" w:afterAutospacing="1"/>
    </w:pPr>
    <w:rPr>
      <w:rFonts w:ascii="宋体"/>
      <w:sz w:val="24"/>
      <w:szCs w:val="24"/>
    </w:rPr>
  </w:style>
  <w:style w:type="paragraph" w:customStyle="1" w:styleId="19">
    <w:name w:val="大标题"/>
    <w:basedOn w:val="1"/>
    <w:next w:val="1"/>
    <w:qFormat/>
    <w:uiPriority w:val="0"/>
    <w:pPr>
      <w:widowControl w:val="0"/>
      <w:spacing w:line="580" w:lineRule="exact"/>
      <w:jc w:val="center"/>
      <w:outlineLvl w:val="0"/>
    </w:pPr>
    <w:rPr>
      <w:rFonts w:ascii="Calibri" w:hAnsi="Calibri" w:eastAsia="方正小标宋简体" w:cs="Arial"/>
      <w:sz w:val="44"/>
      <w:szCs w:val="44"/>
    </w:rPr>
  </w:style>
  <w:style w:type="character" w:customStyle="1" w:styleId="20">
    <w:name w:val="UserStyle_0"/>
    <w:qFormat/>
    <w:uiPriority w:val="0"/>
  </w:style>
  <w:style w:type="paragraph" w:styleId="21">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9</Pages>
  <Words>3346</Words>
  <Characters>3894</Characters>
  <Lines>223</Lines>
  <Paragraphs>96</Paragraphs>
  <TotalTime>23</TotalTime>
  <ScaleCrop>false</ScaleCrop>
  <LinksUpToDate>false</LinksUpToDate>
  <CharactersWithSpaces>3961</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2022-03-22T10:42:00Z</cp:lastPrinted>
  <dcterms:modified xsi:type="dcterms:W3CDTF">2022-03-22T11:11:10Z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CE64811CBA1C4E89AC363B907D470FA7</vt:lpwstr>
  </property>
</Properties>
</file>