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87" w:name="_GoBack"/>
      <w:bookmarkEnd w:id="8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8441"/>
      <w:bookmarkStart w:id="2" w:name="_Toc15396597"/>
      <w:bookmarkStart w:id="3" w:name="_Toc15377193"/>
      <w:bookmarkStart w:id="4" w:name="_Toc15396475"/>
      <w:bookmarkStart w:id="5" w:name="_Toc15377425"/>
      <w:r>
        <w:rPr>
          <w:rFonts w:ascii="黑体" w:hAnsi="黑体" w:eastAsia="黑体" w:cs="黑体"/>
          <w:color w:val="000000"/>
          <w:sz w:val="44"/>
          <w:szCs w:val="44"/>
        </w:rPr>
        <w:t>2019</w:t>
      </w:r>
      <w:r>
        <w:rPr>
          <w:rFonts w:hint="eastAsia" w:ascii="方正小标宋简体" w:hAnsi="宋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426"/>
      <w:bookmarkStart w:id="7" w:name="_Toc15396598"/>
      <w:bookmarkStart w:id="8" w:name="_Toc15378442"/>
      <w:bookmarkStart w:id="9" w:name="_Toc15377194"/>
      <w:bookmarkStart w:id="10" w:name="_Toc15396476"/>
      <w:r>
        <w:rPr>
          <w:rFonts w:hint="eastAsia" w:ascii="方正小标宋简体" w:hAnsi="宋体" w:eastAsia="方正小标宋简体" w:cs="方正小标宋简体"/>
          <w:color w:val="000000"/>
          <w:sz w:val="44"/>
          <w:szCs w:val="44"/>
        </w:rPr>
        <w:t>四川省阿坝州</w:t>
      </w:r>
      <w:bookmarkEnd w:id="0"/>
      <w:bookmarkStart w:id="11" w:name="_Toc15306268"/>
      <w:r>
        <w:rPr>
          <w:rFonts w:hint="eastAsia" w:ascii="方正小标宋简体" w:hAnsi="宋体" w:eastAsia="方正小标宋简体" w:cs="方正小标宋简体"/>
          <w:color w:val="000000"/>
          <w:sz w:val="44"/>
          <w:szCs w:val="44"/>
        </w:rPr>
        <w:t>茂县财政局部门决算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r>
        <w:rPr>
          <w:rFonts w:eastAsia="仿宋_GB2312"/>
          <w:sz w:val="32"/>
          <w:szCs w:val="32"/>
        </w:rPr>
        <w:t xml:space="preserve"> </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r>
        <w:rPr>
          <w:rFonts w:eastAsia="仿宋_GB2312"/>
          <w:sz w:val="32"/>
          <w:szCs w:val="32"/>
        </w:rPr>
        <w:t xml:space="preserve"> </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bookmarkStart w:id="12" w:name="_Toc15377196"/>
      <w:bookmarkStart w:id="13" w:name="_Toc15396599"/>
      <w:r>
        <w:rPr>
          <w:rFonts w:hint="eastAsia" w:ascii="黑体" w:hAnsi="黑体" w:eastAsia="黑体" w:cs="黑体"/>
          <w:color w:val="000000"/>
          <w:sz w:val="48"/>
          <w:szCs w:val="48"/>
        </w:rPr>
        <w:t>目录</w:t>
      </w:r>
    </w:p>
    <w:p>
      <w:pPr>
        <w:widowControl/>
        <w:jc w:val="center"/>
        <w:rPr>
          <w:rFonts w:ascii="黑体" w:hAnsi="黑体" w:eastAsia="黑体"/>
          <w:sz w:val="28"/>
          <w:szCs w:val="28"/>
        </w:rPr>
      </w:pPr>
    </w:p>
    <w:p/>
    <w:p>
      <w:pPr>
        <w:pStyle w:val="10"/>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第一部分</w:t>
      </w:r>
      <w:r>
        <w:rPr>
          <w:rFonts w:ascii="仿宋_GB2312" w:eastAsia="仿宋_GB2312" w:cs="仿宋_GB2312"/>
          <w:sz w:val="32"/>
          <w:szCs w:val="32"/>
        </w:rPr>
        <w:t xml:space="preserve"> </w:t>
      </w:r>
      <w:r>
        <w:rPr>
          <w:rFonts w:hint="eastAsia" w:ascii="仿宋_GB2312" w:eastAsia="仿宋_GB2312" w:cs="仿宋_GB2312"/>
          <w:sz w:val="32"/>
          <w:szCs w:val="32"/>
        </w:rPr>
        <w:t>部门概况…………………………………………</w:t>
      </w:r>
      <w:r>
        <w:rPr>
          <w:rFonts w:ascii="仿宋_GB2312" w:eastAsia="仿宋_GB2312" w:cs="仿宋_GB2312"/>
          <w:sz w:val="32"/>
          <w:szCs w:val="32"/>
        </w:rPr>
        <w:t>..4</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一、基本职能及主要工作</w:t>
      </w:r>
      <w:r>
        <w:rPr>
          <w:rFonts w:ascii="仿宋_GB2312" w:eastAsia="仿宋_GB2312"/>
          <w:sz w:val="32"/>
          <w:szCs w:val="32"/>
        </w:rPr>
        <w:t>………………………………</w:t>
      </w:r>
      <w:r>
        <w:rPr>
          <w:rFonts w:ascii="仿宋_GB2312" w:eastAsia="仿宋_GB2312" w:cs="仿宋_GB2312"/>
          <w:sz w:val="32"/>
          <w:szCs w:val="32"/>
        </w:rPr>
        <w:t>..4</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二、机构设置</w:t>
      </w:r>
      <w:r>
        <w:rPr>
          <w:rFonts w:ascii="仿宋_GB2312" w:eastAsia="仿宋_GB2312"/>
          <w:sz w:val="32"/>
          <w:szCs w:val="32"/>
        </w:rPr>
        <w:t>……………………………………………</w:t>
      </w:r>
      <w:r>
        <w:rPr>
          <w:rFonts w:ascii="仿宋_GB2312" w:eastAsia="仿宋_GB2312" w:cs="仿宋_GB2312"/>
          <w:sz w:val="32"/>
          <w:szCs w:val="32"/>
        </w:rPr>
        <w:t>..7</w:t>
      </w:r>
    </w:p>
    <w:p>
      <w:pPr>
        <w:pStyle w:val="10"/>
        <w:tabs>
          <w:tab w:val="left" w:pos="1365"/>
        </w:tabs>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第二部分　</w:t>
      </w:r>
      <w:r>
        <w:rPr>
          <w:rFonts w:ascii="仿宋_GB2312" w:eastAsia="仿宋_GB2312" w:cs="仿宋_GB2312"/>
          <w:sz w:val="32"/>
          <w:szCs w:val="32"/>
        </w:rPr>
        <w:t>2019</w:t>
      </w:r>
      <w:r>
        <w:rPr>
          <w:rFonts w:hint="eastAsia" w:ascii="仿宋_GB2312" w:eastAsia="仿宋_GB2312" w:cs="仿宋_GB2312"/>
          <w:sz w:val="32"/>
          <w:szCs w:val="32"/>
        </w:rPr>
        <w:t>年度部门决算情况说明……………………</w:t>
      </w:r>
      <w:r>
        <w:rPr>
          <w:rFonts w:ascii="仿宋_GB2312" w:eastAsia="仿宋_GB2312" w:cs="仿宋_GB2312"/>
          <w:sz w:val="32"/>
          <w:szCs w:val="32"/>
        </w:rPr>
        <w:t>8</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一、收入支出决算总体情况说明</w:t>
      </w:r>
      <w:r>
        <w:rPr>
          <w:rFonts w:ascii="仿宋_GB2312" w:eastAsia="仿宋_GB2312"/>
          <w:sz w:val="32"/>
          <w:szCs w:val="32"/>
        </w:rPr>
        <w:t>………………………</w:t>
      </w:r>
      <w:r>
        <w:rPr>
          <w:rFonts w:ascii="仿宋_GB2312" w:eastAsia="仿宋_GB2312" w:cs="仿宋_GB2312"/>
          <w:sz w:val="32"/>
          <w:szCs w:val="32"/>
        </w:rPr>
        <w:t>..8</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二、收入决算情况说明</w:t>
      </w:r>
      <w:r>
        <w:rPr>
          <w:rFonts w:ascii="仿宋_GB2312" w:eastAsia="仿宋_GB2312"/>
          <w:sz w:val="32"/>
          <w:szCs w:val="32"/>
        </w:rPr>
        <w:t>…………………………………</w:t>
      </w:r>
      <w:r>
        <w:rPr>
          <w:rFonts w:ascii="仿宋_GB2312" w:eastAsia="仿宋_GB2312" w:cs="仿宋_GB2312"/>
          <w:sz w:val="32"/>
          <w:szCs w:val="32"/>
        </w:rPr>
        <w:t>..8</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三、支出决算情况说明</w:t>
      </w:r>
      <w:r>
        <w:rPr>
          <w:rFonts w:ascii="仿宋_GB2312" w:eastAsia="仿宋_GB2312"/>
          <w:sz w:val="32"/>
          <w:szCs w:val="32"/>
        </w:rPr>
        <w:t>…………………………………</w:t>
      </w:r>
      <w:r>
        <w:rPr>
          <w:rFonts w:ascii="仿宋_GB2312" w:eastAsia="仿宋_GB2312" w:cs="仿宋_GB2312"/>
          <w:sz w:val="32"/>
          <w:szCs w:val="32"/>
        </w:rPr>
        <w:t>..9</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四、财政拨款收入支出决算总体情况说明</w:t>
      </w:r>
      <w:r>
        <w:rPr>
          <w:rFonts w:ascii="仿宋_GB2312" w:eastAsia="仿宋_GB2312"/>
          <w:sz w:val="32"/>
          <w:szCs w:val="32"/>
        </w:rPr>
        <w:t>……………</w:t>
      </w:r>
      <w:r>
        <w:rPr>
          <w:rFonts w:ascii="仿宋_GB2312" w:eastAsia="仿宋_GB2312" w:cs="仿宋_GB2312"/>
          <w:sz w:val="32"/>
          <w:szCs w:val="32"/>
        </w:rPr>
        <w:t>.10</w:t>
      </w:r>
    </w:p>
    <w:p>
      <w:pPr>
        <w:pStyle w:val="11"/>
        <w:adjustRightInd w:val="0"/>
        <w:snapToGrid w:val="0"/>
        <w:spacing w:line="560" w:lineRule="exact"/>
        <w:jc w:val="left"/>
        <w:rPr>
          <w:rFonts w:ascii="仿宋_GB2312" w:eastAsia="仿宋_GB2312"/>
          <w:sz w:val="32"/>
          <w:szCs w:val="32"/>
        </w:rPr>
      </w:pPr>
      <w:r>
        <w:rPr>
          <w:rFonts w:hint="eastAsia" w:ascii="仿宋_GB2312" w:eastAsia="仿宋_GB2312" w:cs="仿宋_GB2312"/>
          <w:sz w:val="32"/>
          <w:szCs w:val="32"/>
        </w:rPr>
        <w:t>五、一般公共预算财政拨款支出决算情况说明</w:t>
      </w:r>
    </w:p>
    <w:p>
      <w:pPr>
        <w:pStyle w:val="11"/>
        <w:adjustRightInd w:val="0"/>
        <w:snapToGrid w:val="0"/>
        <w:spacing w:line="560" w:lineRule="exact"/>
        <w:jc w:val="left"/>
        <w:rPr>
          <w:rFonts w:ascii="仿宋_GB2312" w:hAnsi="仿宋" w:eastAsia="仿宋_GB2312"/>
          <w:sz w:val="32"/>
          <w:szCs w:val="32"/>
        </w:rPr>
      </w:pPr>
      <w:r>
        <w:rPr>
          <w:rFonts w:ascii="仿宋_GB2312" w:eastAsia="仿宋_GB2312"/>
          <w:sz w:val="32"/>
          <w:szCs w:val="32"/>
        </w:rPr>
        <w:t>……………………………………………………………</w:t>
      </w:r>
      <w:r>
        <w:rPr>
          <w:rFonts w:ascii="仿宋_GB2312" w:eastAsia="仿宋_GB2312" w:cs="仿宋_GB2312"/>
          <w:sz w:val="32"/>
          <w:szCs w:val="32"/>
        </w:rPr>
        <w:t>.11</w:t>
      </w:r>
    </w:p>
    <w:p>
      <w:pPr>
        <w:pStyle w:val="11"/>
        <w:adjustRightInd w:val="0"/>
        <w:snapToGrid w:val="0"/>
        <w:spacing w:line="560" w:lineRule="exact"/>
        <w:jc w:val="left"/>
        <w:rPr>
          <w:rFonts w:ascii="仿宋_GB2312" w:eastAsia="仿宋_GB2312"/>
          <w:sz w:val="32"/>
          <w:szCs w:val="32"/>
        </w:rPr>
      </w:pPr>
      <w:r>
        <w:rPr>
          <w:rFonts w:hint="eastAsia" w:ascii="仿宋_GB2312" w:eastAsia="仿宋_GB2312" w:cs="仿宋_GB2312"/>
          <w:sz w:val="32"/>
          <w:szCs w:val="32"/>
        </w:rPr>
        <w:t>六、一般公共预算财政拨款基本支出决算情况说明</w:t>
      </w:r>
    </w:p>
    <w:p>
      <w:pPr>
        <w:pStyle w:val="11"/>
        <w:adjustRightInd w:val="0"/>
        <w:snapToGrid w:val="0"/>
        <w:spacing w:line="560" w:lineRule="exact"/>
        <w:jc w:val="left"/>
        <w:rPr>
          <w:rFonts w:ascii="仿宋_GB2312" w:hAnsi="仿宋" w:eastAsia="仿宋_GB2312"/>
          <w:sz w:val="32"/>
          <w:szCs w:val="32"/>
        </w:rPr>
      </w:pPr>
      <w:r>
        <w:rPr>
          <w:rFonts w:ascii="仿宋_GB2312" w:eastAsia="仿宋_GB2312"/>
          <w:sz w:val="32"/>
          <w:szCs w:val="32"/>
        </w:rPr>
        <w:t>……………………………………………………………</w:t>
      </w:r>
      <w:r>
        <w:rPr>
          <w:rFonts w:ascii="仿宋_GB2312" w:eastAsia="仿宋_GB2312" w:cs="仿宋_GB2312"/>
          <w:sz w:val="32"/>
          <w:szCs w:val="32"/>
        </w:rPr>
        <w:t>.14</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七、“三公”经费财政拨款支出决算情况说明</w:t>
      </w:r>
      <w:r>
        <w:rPr>
          <w:rFonts w:ascii="仿宋_GB2312" w:eastAsia="仿宋_GB2312"/>
          <w:sz w:val="32"/>
          <w:szCs w:val="32"/>
        </w:rPr>
        <w:t>………</w:t>
      </w:r>
      <w:r>
        <w:rPr>
          <w:rFonts w:ascii="仿宋_GB2312" w:eastAsia="仿宋_GB2312" w:cs="仿宋_GB2312"/>
          <w:sz w:val="32"/>
          <w:szCs w:val="32"/>
        </w:rPr>
        <w:t>..14</w:t>
      </w:r>
    </w:p>
    <w:p>
      <w:pPr>
        <w:pStyle w:val="11"/>
        <w:adjustRightInd w:val="0"/>
        <w:snapToGrid w:val="0"/>
        <w:spacing w:line="560" w:lineRule="exact"/>
        <w:jc w:val="left"/>
        <w:rPr>
          <w:rFonts w:ascii="仿宋_GB2312" w:hAnsi="仿宋" w:eastAsia="仿宋_GB2312"/>
          <w:sz w:val="32"/>
          <w:szCs w:val="32"/>
        </w:rPr>
      </w:pPr>
      <w:r>
        <w:rPr>
          <w:rFonts w:hint="eastAsia" w:ascii="仿宋_GB2312" w:eastAsia="仿宋_GB2312" w:cs="仿宋_GB2312"/>
          <w:sz w:val="32"/>
          <w:szCs w:val="32"/>
        </w:rPr>
        <w:t>八、政府性基金预算支出决算情况说明</w:t>
      </w:r>
      <w:r>
        <w:rPr>
          <w:rFonts w:ascii="仿宋_GB2312" w:eastAsia="仿宋_GB2312"/>
          <w:sz w:val="32"/>
          <w:szCs w:val="32"/>
        </w:rPr>
        <w:t>………………</w:t>
      </w:r>
      <w:r>
        <w:rPr>
          <w:rFonts w:ascii="仿宋_GB2312" w:eastAsia="仿宋_GB2312" w:cs="仿宋_GB2312"/>
          <w:sz w:val="32"/>
          <w:szCs w:val="32"/>
        </w:rPr>
        <w:t>.16</w:t>
      </w:r>
    </w:p>
    <w:p>
      <w:pPr>
        <w:pStyle w:val="11"/>
        <w:adjustRightInd w:val="0"/>
        <w:snapToGrid w:val="0"/>
        <w:spacing w:line="560" w:lineRule="exact"/>
        <w:ind w:leftChars="0"/>
        <w:jc w:val="left"/>
        <w:rPr>
          <w:rFonts w:ascii="仿宋_GB2312" w:hAnsi="仿宋" w:eastAsia="仿宋_GB2312"/>
          <w:sz w:val="32"/>
          <w:szCs w:val="32"/>
        </w:rPr>
      </w:pPr>
      <w:r>
        <w:rPr>
          <w:rFonts w:hint="eastAsia" w:ascii="仿宋_GB2312" w:hAnsi="仿宋" w:eastAsia="仿宋_GB2312" w:cs="仿宋_GB2312"/>
          <w:sz w:val="32"/>
          <w:szCs w:val="32"/>
        </w:rPr>
        <w:t>九、</w:t>
      </w:r>
      <w:r>
        <w:rPr>
          <w:rFonts w:hint="eastAsia" w:ascii="仿宋_GB2312" w:eastAsia="仿宋_GB2312" w:cs="仿宋_GB2312"/>
          <w:sz w:val="32"/>
          <w:szCs w:val="32"/>
        </w:rPr>
        <w:t>国有资本经营预算支出决算情况说明</w:t>
      </w:r>
      <w:r>
        <w:rPr>
          <w:rFonts w:ascii="仿宋_GB2312" w:eastAsia="仿宋_GB2312"/>
          <w:sz w:val="32"/>
          <w:szCs w:val="32"/>
        </w:rPr>
        <w:t>……………</w:t>
      </w:r>
      <w:r>
        <w:rPr>
          <w:rFonts w:ascii="仿宋_GB2312" w:eastAsia="仿宋_GB2312" w:cs="仿宋_GB2312"/>
          <w:sz w:val="32"/>
          <w:szCs w:val="32"/>
        </w:rPr>
        <w:t>.16</w:t>
      </w:r>
    </w:p>
    <w:p>
      <w:pPr>
        <w:adjustRightInd w:val="0"/>
        <w:snapToGrid w:val="0"/>
        <w:spacing w:line="560" w:lineRule="exact"/>
        <w:ind w:firstLine="480" w:firstLineChars="150"/>
        <w:jc w:val="left"/>
        <w:rPr>
          <w:rFonts w:ascii="仿宋_GB2312" w:hAnsi="仿宋" w:eastAsia="仿宋_GB2312"/>
          <w:sz w:val="32"/>
          <w:szCs w:val="32"/>
        </w:rPr>
      </w:pPr>
      <w:r>
        <w:rPr>
          <w:rStyle w:val="15"/>
          <w:rFonts w:hint="eastAsia" w:ascii="仿宋_GB2312" w:hAnsi="仿宋" w:eastAsia="仿宋_GB2312" w:cs="仿宋_GB2312"/>
          <w:color w:val="000000"/>
          <w:sz w:val="32"/>
          <w:szCs w:val="32"/>
          <w:u w:val="none"/>
        </w:rPr>
        <w:t>十、</w:t>
      </w:r>
      <w:r>
        <w:rPr>
          <w:rFonts w:hint="eastAsia" w:ascii="仿宋_GB2312" w:eastAsia="仿宋_GB2312" w:cs="仿宋_GB2312"/>
          <w:sz w:val="32"/>
          <w:szCs w:val="32"/>
        </w:rPr>
        <w:t>其他重要事项的情况说明</w:t>
      </w:r>
      <w:r>
        <w:rPr>
          <w:rFonts w:ascii="仿宋_GB2312" w:eastAsia="仿宋_GB2312"/>
          <w:sz w:val="32"/>
          <w:szCs w:val="32"/>
        </w:rPr>
        <w:t>…………………………</w:t>
      </w:r>
      <w:r>
        <w:rPr>
          <w:rFonts w:ascii="仿宋_GB2312" w:eastAsia="仿宋_GB2312" w:cs="仿宋_GB2312"/>
          <w:sz w:val="32"/>
          <w:szCs w:val="32"/>
        </w:rPr>
        <w:t>.16</w:t>
      </w:r>
      <w:r>
        <w:rPr>
          <w:rFonts w:ascii="仿宋_GB2312" w:hAnsi="仿宋" w:eastAsia="仿宋_GB2312"/>
          <w:sz w:val="32"/>
          <w:szCs w:val="32"/>
        </w:rPr>
        <w:tab/>
      </w:r>
    </w:p>
    <w:p>
      <w:pPr>
        <w:pStyle w:val="10"/>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第三部分　名词解释</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.18</w:t>
      </w:r>
    </w:p>
    <w:p>
      <w:pPr>
        <w:pStyle w:val="10"/>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第四部分　附件</w:t>
      </w:r>
      <w:r>
        <w:rPr>
          <w:rFonts w:ascii="仿宋_GB2312" w:eastAsia="仿宋_GB2312" w:cs="仿宋_GB2312"/>
          <w:sz w:val="32"/>
          <w:szCs w:val="32"/>
        </w:rPr>
        <w:t>2019</w:t>
      </w:r>
      <w:r>
        <w:rPr>
          <w:rFonts w:hint="eastAsia" w:ascii="仿宋_GB2312" w:eastAsia="仿宋_GB2312" w:cs="仿宋_GB2312"/>
          <w:sz w:val="32"/>
          <w:szCs w:val="32"/>
        </w:rPr>
        <w:t>年部门整体支出绩效评价报告……</w:t>
      </w:r>
      <w:r>
        <w:rPr>
          <w:rFonts w:ascii="仿宋_GB2312" w:eastAsia="仿宋_GB2312" w:cs="仿宋_GB2312"/>
          <w:sz w:val="32"/>
          <w:szCs w:val="32"/>
        </w:rPr>
        <w:t>.21</w:t>
      </w:r>
    </w:p>
    <w:p>
      <w:pPr>
        <w:pStyle w:val="10"/>
        <w:adjustRightInd w:val="0"/>
        <w:snapToGrid w:val="0"/>
        <w:spacing w:before="0" w:line="560" w:lineRule="exact"/>
        <w:jc w:val="left"/>
        <w:rPr>
          <w:rFonts w:ascii="仿宋_GB2312" w:eastAsia="仿宋_GB2312" w:cs="Times New Roman"/>
          <w:sz w:val="32"/>
          <w:szCs w:val="32"/>
        </w:rPr>
      </w:pPr>
      <w:r>
        <w:rPr>
          <w:rFonts w:hint="eastAsia" w:ascii="仿宋_GB2312" w:eastAsia="仿宋_GB2312" w:cs="仿宋_GB2312"/>
          <w:sz w:val="32"/>
          <w:szCs w:val="32"/>
        </w:rPr>
        <w:t>第五部分　附表………………………………………………</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一、</w:t>
      </w:r>
      <w:r>
        <w:rPr>
          <w:rFonts w:hint="eastAsia" w:ascii="仿宋_GB2312" w:eastAsia="仿宋_GB2312" w:cs="仿宋_GB2312"/>
          <w:sz w:val="32"/>
          <w:szCs w:val="32"/>
        </w:rPr>
        <w:t>收入支出决算总表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二、</w:t>
      </w:r>
      <w:r>
        <w:rPr>
          <w:rFonts w:hint="eastAsia" w:ascii="仿宋_GB2312" w:eastAsia="仿宋_GB2312" w:cs="仿宋_GB2312"/>
          <w:sz w:val="32"/>
          <w:szCs w:val="32"/>
        </w:rPr>
        <w:t>收入</w:t>
      </w:r>
      <w:r>
        <w:rPr>
          <w:rFonts w:hint="eastAsia" w:ascii="仿宋_GB2312" w:hAnsi="仿宋" w:eastAsia="仿宋_GB2312" w:cs="仿宋_GB2312"/>
          <w:sz w:val="32"/>
          <w:szCs w:val="32"/>
        </w:rPr>
        <w:t>决算</w:t>
      </w:r>
      <w:r>
        <w:rPr>
          <w:rFonts w:hint="eastAsia" w:ascii="仿宋_GB2312" w:eastAsia="仿宋_GB2312" w:cs="仿宋_GB2312"/>
          <w:sz w:val="32"/>
          <w:szCs w:val="32"/>
        </w:rPr>
        <w:t>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三、</w:t>
      </w:r>
      <w:r>
        <w:rPr>
          <w:rFonts w:hint="eastAsia" w:ascii="仿宋_GB2312" w:eastAsia="仿宋_GB2312" w:cs="仿宋_GB2312"/>
          <w:sz w:val="32"/>
          <w:szCs w:val="32"/>
        </w:rPr>
        <w:t>支出</w:t>
      </w:r>
      <w:r>
        <w:rPr>
          <w:rFonts w:hint="eastAsia" w:ascii="仿宋_GB2312" w:hAnsi="仿宋" w:eastAsia="仿宋_GB2312" w:cs="仿宋_GB2312"/>
          <w:sz w:val="32"/>
          <w:szCs w:val="32"/>
        </w:rPr>
        <w:t>决算</w:t>
      </w:r>
      <w:r>
        <w:rPr>
          <w:rFonts w:hint="eastAsia" w:ascii="仿宋_GB2312" w:eastAsia="仿宋_GB2312" w:cs="仿宋_GB2312"/>
          <w:sz w:val="32"/>
          <w:szCs w:val="32"/>
        </w:rPr>
        <w:t>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四、</w:t>
      </w:r>
      <w:r>
        <w:rPr>
          <w:rFonts w:hint="eastAsia" w:ascii="仿宋_GB2312" w:eastAsia="仿宋_GB2312" w:cs="仿宋_GB2312"/>
          <w:sz w:val="32"/>
          <w:szCs w:val="32"/>
        </w:rPr>
        <w:t>财政拨款收入支出决算总表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五、财政拨款支出决算明细表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六、</w:t>
      </w:r>
      <w:r>
        <w:rPr>
          <w:rFonts w:hint="eastAsia" w:ascii="仿宋_GB2312" w:eastAsia="仿宋_GB2312" w:cs="仿宋_GB2312"/>
          <w:sz w:val="32"/>
          <w:szCs w:val="32"/>
        </w:rPr>
        <w:t>一般公共预算财政拨款支出决算表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七、</w:t>
      </w:r>
      <w:r>
        <w:rPr>
          <w:rFonts w:hint="eastAsia" w:ascii="仿宋_GB2312" w:eastAsia="仿宋_GB2312" w:cs="仿宋_GB2312"/>
          <w:sz w:val="32"/>
          <w:szCs w:val="32"/>
        </w:rPr>
        <w:t>一般公共预算财政拨款支出决算明细表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八、</w:t>
      </w:r>
      <w:r>
        <w:rPr>
          <w:rFonts w:hint="eastAsia" w:ascii="仿宋_GB2312" w:eastAsia="仿宋_GB2312" w:cs="仿宋_GB2312"/>
          <w:sz w:val="32"/>
          <w:szCs w:val="32"/>
        </w:rPr>
        <w:t>一般公共预算财政拨款基本支出决算表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hAnsi="仿宋" w:eastAsia="仿宋_GB2312"/>
          <w:sz w:val="32"/>
          <w:szCs w:val="32"/>
        </w:rPr>
      </w:pPr>
      <w:r>
        <w:rPr>
          <w:rFonts w:hint="eastAsia" w:ascii="仿宋_GB2312" w:hAnsi="仿宋" w:eastAsia="仿宋_GB2312" w:cs="仿宋_GB2312"/>
          <w:sz w:val="32"/>
          <w:szCs w:val="32"/>
        </w:rPr>
        <w:t>九、</w:t>
      </w:r>
      <w:r>
        <w:rPr>
          <w:rFonts w:hint="eastAsia" w:ascii="仿宋_GB2312" w:eastAsia="仿宋_GB2312" w:cs="仿宋_GB2312"/>
          <w:sz w:val="32"/>
          <w:szCs w:val="32"/>
        </w:rPr>
        <w:t>一般公共预算财政拨款项目支出决算表</w:t>
      </w:r>
      <w:r>
        <w:rPr>
          <w:rFonts w:ascii="仿宋_GB2312" w:eastAsia="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eastAsia="仿宋_GB2312"/>
          <w:sz w:val="32"/>
          <w:szCs w:val="32"/>
        </w:rPr>
      </w:pPr>
      <w:r>
        <w:rPr>
          <w:rFonts w:hint="eastAsia" w:ascii="仿宋_GB2312" w:hAnsi="仿宋" w:eastAsia="仿宋_GB2312" w:cs="仿宋_GB2312"/>
          <w:sz w:val="32"/>
          <w:szCs w:val="32"/>
        </w:rPr>
        <w:t>十、</w:t>
      </w:r>
      <w:r>
        <w:rPr>
          <w:rFonts w:hint="eastAsia" w:ascii="仿宋_GB2312" w:eastAsia="仿宋_GB2312" w:cs="仿宋_GB2312"/>
          <w:sz w:val="32"/>
          <w:szCs w:val="32"/>
        </w:rPr>
        <w:t>一般公共预算财政拨款“三公”经费支出决算表</w:t>
      </w:r>
    </w:p>
    <w:p>
      <w:pPr>
        <w:pStyle w:val="10"/>
        <w:adjustRightInd w:val="0"/>
        <w:snapToGrid w:val="0"/>
        <w:spacing w:before="0" w:line="560" w:lineRule="exact"/>
        <w:ind w:firstLine="480" w:firstLineChars="150"/>
        <w:jc w:val="left"/>
        <w:rPr>
          <w:rFonts w:ascii="仿宋_GB2312" w:eastAsia="仿宋_GB2312" w:cs="Times New Roman"/>
          <w:sz w:val="32"/>
          <w:szCs w:val="32"/>
        </w:rPr>
      </w:pPr>
      <w:r>
        <w:rPr>
          <w:rFonts w:hint="eastAsia" w:ascii="仿宋_GB2312" w:eastAsia="仿宋_GB2312" w:cs="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eastAsia="仿宋_GB2312"/>
          <w:sz w:val="32"/>
          <w:szCs w:val="32"/>
        </w:rPr>
      </w:pPr>
      <w:r>
        <w:rPr>
          <w:rFonts w:hint="eastAsia" w:ascii="仿宋_GB2312" w:hAnsi="仿宋" w:eastAsia="仿宋_GB2312" w:cs="仿宋_GB2312"/>
          <w:sz w:val="32"/>
          <w:szCs w:val="32"/>
        </w:rPr>
        <w:t>十一、</w:t>
      </w:r>
      <w:r>
        <w:rPr>
          <w:rFonts w:hint="eastAsia" w:ascii="仿宋_GB2312" w:eastAsia="仿宋_GB2312" w:cs="仿宋_GB2312"/>
          <w:sz w:val="32"/>
          <w:szCs w:val="32"/>
        </w:rPr>
        <w:t>政府性基金预算财政拨款收入支出决算表</w:t>
      </w:r>
    </w:p>
    <w:p>
      <w:pPr>
        <w:pStyle w:val="10"/>
        <w:adjustRightInd w:val="0"/>
        <w:snapToGrid w:val="0"/>
        <w:spacing w:before="0" w:line="560" w:lineRule="exact"/>
        <w:ind w:firstLine="480" w:firstLineChars="150"/>
        <w:jc w:val="left"/>
        <w:rPr>
          <w:rFonts w:ascii="仿宋_GB2312" w:eastAsia="仿宋_GB2312" w:cs="Times New Roman"/>
          <w:sz w:val="32"/>
          <w:szCs w:val="32"/>
        </w:rPr>
      </w:pPr>
      <w:r>
        <w:rPr>
          <w:rFonts w:hint="eastAsia" w:ascii="仿宋_GB2312" w:eastAsia="仿宋_GB2312" w:cs="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ascii="仿宋_GB2312" w:eastAsia="仿宋_GB2312"/>
          <w:sz w:val="32"/>
          <w:szCs w:val="32"/>
        </w:rPr>
      </w:pPr>
      <w:r>
        <w:rPr>
          <w:rFonts w:hint="eastAsia" w:ascii="仿宋_GB2312" w:hAnsi="仿宋" w:eastAsia="仿宋_GB2312" w:cs="仿宋_GB2312"/>
          <w:sz w:val="32"/>
          <w:szCs w:val="32"/>
        </w:rPr>
        <w:t>十二、</w:t>
      </w:r>
      <w:r>
        <w:rPr>
          <w:rFonts w:hint="eastAsia" w:ascii="仿宋_GB2312" w:eastAsia="仿宋_GB2312" w:cs="仿宋_GB2312"/>
          <w:sz w:val="32"/>
          <w:szCs w:val="32"/>
        </w:rPr>
        <w:t>政府性基金预算财政拨款“三公”经费支出决算表</w:t>
      </w:r>
    </w:p>
    <w:p>
      <w:pPr>
        <w:pStyle w:val="10"/>
        <w:adjustRightInd w:val="0"/>
        <w:snapToGrid w:val="0"/>
        <w:spacing w:before="0" w:line="560" w:lineRule="exact"/>
        <w:ind w:firstLine="480" w:firstLineChars="150"/>
        <w:jc w:val="left"/>
        <w:rPr>
          <w:rFonts w:ascii="仿宋_GB2312" w:eastAsia="仿宋_GB2312" w:cs="Times New Roman"/>
          <w:sz w:val="32"/>
          <w:szCs w:val="32"/>
        </w:rPr>
      </w:pPr>
      <w:r>
        <w:rPr>
          <w:rFonts w:hint="eastAsia" w:ascii="仿宋_GB2312" w:eastAsia="仿宋_GB2312" w:cs="仿宋_GB2312"/>
          <w:sz w:val="32"/>
          <w:szCs w:val="32"/>
        </w:rPr>
        <w:t>…………………………………………………………</w:t>
      </w:r>
      <w:r>
        <w:rPr>
          <w:rFonts w:ascii="仿宋_GB2312" w:eastAsia="仿宋_GB2312" w:cs="仿宋_GB2312"/>
          <w:sz w:val="32"/>
          <w:szCs w:val="32"/>
        </w:rPr>
        <w:t>..28</w:t>
      </w:r>
    </w:p>
    <w:p>
      <w:pPr>
        <w:pStyle w:val="11"/>
        <w:adjustRightInd w:val="0"/>
        <w:snapToGrid w:val="0"/>
        <w:spacing w:line="560" w:lineRule="exact"/>
        <w:jc w:val="left"/>
        <w:rPr>
          <w:rFonts w:hint="eastAsia" w:ascii="方正小标宋_GBK" w:hAnsi="黑体" w:eastAsia="方正小标宋_GBK" w:cs="方正小标宋_GBK"/>
          <w:b w:val="0"/>
          <w:bCs w:val="0"/>
        </w:rPr>
      </w:pPr>
      <w:r>
        <w:rPr>
          <w:rFonts w:hint="eastAsia" w:ascii="仿宋_GB2312" w:hAnsi="仿宋" w:eastAsia="仿宋_GB2312" w:cs="仿宋_GB2312"/>
          <w:sz w:val="32"/>
          <w:szCs w:val="32"/>
        </w:rPr>
        <w:t>十三、</w:t>
      </w:r>
      <w:r>
        <w:rPr>
          <w:rFonts w:hint="eastAsia" w:ascii="仿宋_GB2312" w:eastAsia="仿宋_GB2312" w:cs="仿宋_GB2312"/>
          <w:sz w:val="32"/>
          <w:szCs w:val="32"/>
        </w:rPr>
        <w:t>国有资本经营预算支出决算表</w:t>
      </w:r>
      <w:r>
        <w:rPr>
          <w:rFonts w:ascii="仿宋_GB2312" w:eastAsia="仿宋_GB2312"/>
          <w:sz w:val="32"/>
          <w:szCs w:val="32"/>
        </w:rPr>
        <w:t>…………………</w:t>
      </w:r>
      <w:r>
        <w:rPr>
          <w:rFonts w:ascii="仿宋_GB2312" w:eastAsia="仿宋_GB2312" w:cs="仿宋_GB2312"/>
          <w:sz w:val="32"/>
          <w:szCs w:val="32"/>
        </w:rPr>
        <w:t>.28</w:t>
      </w:r>
    </w:p>
    <w:p>
      <w:pPr>
        <w:pStyle w:val="2"/>
        <w:jc w:val="center"/>
        <w:rPr>
          <w:rFonts w:hint="eastAsia" w:ascii="方正小标宋_GBK" w:hAnsi="黑体" w:eastAsia="方正小标宋_GBK" w:cs="方正小标宋_GBK"/>
          <w:b w:val="0"/>
          <w:bCs w:val="0"/>
        </w:rPr>
      </w:pPr>
    </w:p>
    <w:p>
      <w:pPr>
        <w:pStyle w:val="2"/>
        <w:jc w:val="center"/>
        <w:rPr>
          <w:rFonts w:hint="eastAsia" w:ascii="方正小标宋_GBK" w:hAnsi="黑体" w:eastAsia="方正小标宋_GBK" w:cs="方正小标宋_GBK"/>
          <w:b w:val="0"/>
          <w:bCs w:val="0"/>
        </w:rPr>
      </w:pPr>
    </w:p>
    <w:p>
      <w:pPr>
        <w:pStyle w:val="2"/>
        <w:jc w:val="center"/>
        <w:rPr>
          <w:rFonts w:hint="eastAsia" w:ascii="方正小标宋_GBK" w:hAnsi="黑体" w:eastAsia="方正小标宋_GBK" w:cs="方正小标宋_GBK"/>
          <w:b w:val="0"/>
          <w:bCs w:val="0"/>
        </w:rPr>
      </w:pPr>
    </w:p>
    <w:p>
      <w:pPr>
        <w:rPr>
          <w:rFonts w:hint="eastAsia" w:ascii="方正小标宋_GBK" w:hAnsi="黑体" w:eastAsia="方正小标宋_GBK" w:cs="方正小标宋_GBK"/>
          <w:b w:val="0"/>
          <w:bCs w:val="0"/>
        </w:rPr>
      </w:pPr>
    </w:p>
    <w:p>
      <w:pPr>
        <w:rPr>
          <w:rFonts w:hint="eastAsia" w:ascii="方正小标宋_GBK" w:hAnsi="黑体" w:eastAsia="方正小标宋_GBK" w:cs="方正小标宋_GBK"/>
          <w:b w:val="0"/>
          <w:bCs w:val="0"/>
        </w:rPr>
      </w:pPr>
    </w:p>
    <w:p>
      <w:pPr>
        <w:pStyle w:val="2"/>
        <w:numPr>
          <w:ilvl w:val="0"/>
          <w:numId w:val="1"/>
        </w:numPr>
        <w:spacing w:before="0" w:after="0" w:line="240" w:lineRule="auto"/>
        <w:jc w:val="center"/>
        <w:rPr>
          <w:rStyle w:val="16"/>
          <w:rFonts w:hint="eastAsia" w:ascii="方正小标宋_GBK" w:hAnsi="黑体" w:eastAsia="方正小标宋_GBK" w:cs="方正小标宋_GBK"/>
          <w:b w:val="0"/>
          <w:bCs w:val="0"/>
        </w:rPr>
      </w:pPr>
      <w:r>
        <w:rPr>
          <w:rStyle w:val="16"/>
          <w:rFonts w:hint="eastAsia" w:ascii="方正小标宋_GBK" w:hAnsi="黑体" w:eastAsia="方正小标宋_GBK" w:cs="方正小标宋_GBK"/>
          <w:b w:val="0"/>
          <w:bCs w:val="0"/>
        </w:rPr>
        <w:t>部门概况</w:t>
      </w:r>
      <w:bookmarkEnd w:id="12"/>
      <w:bookmarkEnd w:id="13"/>
      <w:bookmarkStart w:id="14" w:name="_Toc15377197"/>
      <w:bookmarkStart w:id="15" w:name="_Toc15396600"/>
    </w:p>
    <w:p>
      <w:pPr>
        <w:pStyle w:val="2"/>
        <w:numPr>
          <w:ilvl w:val="0"/>
          <w:numId w:val="0"/>
        </w:numPr>
        <w:spacing w:before="0" w:after="0" w:line="240" w:lineRule="auto"/>
        <w:jc w:val="both"/>
        <w:rPr>
          <w:rStyle w:val="30"/>
          <w:rFonts w:hint="eastAsia" w:ascii="黑体" w:hAnsi="黑体" w:eastAsia="黑体" w:cs="黑体"/>
          <w:b/>
          <w:bCs/>
        </w:rPr>
      </w:pPr>
    </w:p>
    <w:p>
      <w:pPr>
        <w:pStyle w:val="2"/>
        <w:numPr>
          <w:ilvl w:val="0"/>
          <w:numId w:val="0"/>
        </w:numPr>
        <w:spacing w:before="0" w:after="0" w:line="240" w:lineRule="auto"/>
        <w:ind w:firstLine="642" w:firstLineChars="200"/>
        <w:jc w:val="both"/>
        <w:rPr>
          <w:rStyle w:val="30"/>
          <w:rFonts w:ascii="黑体" w:hAnsi="黑体" w:eastAsia="黑体" w:cs="Times New Roman"/>
          <w:b/>
          <w:bCs/>
        </w:rPr>
      </w:pPr>
      <w:r>
        <w:rPr>
          <w:rStyle w:val="30"/>
          <w:rFonts w:hint="eastAsia" w:ascii="黑体" w:hAnsi="黑体" w:eastAsia="黑体" w:cs="黑体"/>
          <w:b/>
          <w:bCs/>
        </w:rPr>
        <w:t>一、基本职能及主要工作</w:t>
      </w:r>
      <w:bookmarkEnd w:id="14"/>
      <w:bookmarkEnd w:id="15"/>
    </w:p>
    <w:p>
      <w:pPr>
        <w:pStyle w:val="5"/>
        <w:adjustRightInd w:val="0"/>
        <w:snapToGrid w:val="0"/>
        <w:spacing w:before="93" w:line="300" w:lineRule="exact"/>
        <w:ind w:firstLine="674" w:firstLineChars="210"/>
        <w:outlineLvl w:val="2"/>
        <w:rPr>
          <w:rFonts w:ascii="楷体_GB2312" w:hAnsi="仿宋" w:eastAsia="楷体_GB2312" w:cs="Times New Roman"/>
          <w:b/>
          <w:bCs/>
          <w:color w:val="000000"/>
          <w:sz w:val="32"/>
          <w:szCs w:val="32"/>
        </w:rPr>
      </w:pPr>
      <w:bookmarkStart w:id="16" w:name="_Toc15377198"/>
      <w:bookmarkStart w:id="17" w:name="_Toc15378445"/>
      <w:r>
        <w:rPr>
          <w:rFonts w:hint="eastAsia" w:ascii="楷体_GB2312" w:hAnsi="仿宋" w:eastAsia="楷体_GB2312" w:cs="楷体_GB2312"/>
          <w:b/>
          <w:bCs/>
          <w:color w:val="000000"/>
          <w:sz w:val="32"/>
          <w:szCs w:val="32"/>
        </w:rPr>
        <w:t>（一）主要职能</w:t>
      </w:r>
      <w:bookmarkEnd w:id="16"/>
      <w:bookmarkEnd w:id="17"/>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w:t>
      </w:r>
      <w:r>
        <w:rPr>
          <w:rFonts w:hint="eastAsia" w:ascii="仿宋_GB2312" w:hAnsi="Tahoma" w:eastAsia="仿宋_GB2312" w:cs="仿宋_GB2312"/>
          <w:sz w:val="32"/>
          <w:szCs w:val="32"/>
        </w:rPr>
        <w:t>拟订全县财税发展战略、规划和改革方案并组织实施。分析预测宏观经济形势，参与执行宏观经济政策，提出运用财税政策实施宏观调控和综合平衡社会财力的建议。贯彻落实</w:t>
      </w:r>
      <w:r>
        <w:rPr>
          <w:rFonts w:hint="eastAsia" w:ascii="仿宋_GB2312" w:hAnsi="Tahoma" w:eastAsia="仿宋_GB2312" w:cs="仿宋_GB2312"/>
          <w:color w:val="000000"/>
          <w:sz w:val="32"/>
          <w:szCs w:val="32"/>
        </w:rPr>
        <w:t>国家与企业的分配政策及</w:t>
      </w:r>
      <w:r>
        <w:rPr>
          <w:rFonts w:hint="eastAsia" w:ascii="仿宋_GB2312" w:hAnsi="Tahoma" w:eastAsia="仿宋_GB2312" w:cs="仿宋_GB2312"/>
          <w:sz w:val="32"/>
          <w:szCs w:val="32"/>
        </w:rPr>
        <w:t>公益事业发展的财税政策。</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2.</w:t>
      </w:r>
      <w:r>
        <w:rPr>
          <w:rFonts w:hint="eastAsia" w:ascii="仿宋_GB2312" w:hAnsi="Tahoma" w:eastAsia="仿宋_GB2312" w:cs="仿宋_GB2312"/>
          <w:sz w:val="32"/>
          <w:szCs w:val="32"/>
        </w:rPr>
        <w:t>贯彻执行财政、税收、财务、会计管理的法律法规和规章。按照管理权限管理全县税政事项。</w:t>
      </w:r>
    </w:p>
    <w:p>
      <w:pPr>
        <w:adjustRightInd w:val="0"/>
        <w:snapToGrid w:val="0"/>
        <w:spacing w:line="576" w:lineRule="exact"/>
        <w:ind w:firstLine="640" w:firstLineChars="200"/>
        <w:rPr>
          <w:rFonts w:ascii="仿宋_GB2312" w:hAnsi="Tahoma" w:eastAsia="仿宋_GB2312"/>
          <w:color w:val="000000"/>
          <w:sz w:val="32"/>
          <w:szCs w:val="32"/>
        </w:rPr>
      </w:pPr>
      <w:r>
        <w:rPr>
          <w:rFonts w:ascii="仿宋_GB2312" w:hAnsi="Tahoma" w:eastAsia="仿宋_GB2312" w:cs="仿宋_GB2312"/>
          <w:sz w:val="32"/>
          <w:szCs w:val="32"/>
        </w:rPr>
        <w:t>3.</w:t>
      </w:r>
      <w:r>
        <w:rPr>
          <w:rFonts w:hint="eastAsia" w:ascii="仿宋_GB2312" w:hAnsi="Tahoma" w:eastAsia="仿宋_GB2312" w:cs="仿宋_GB2312"/>
          <w:sz w:val="32"/>
          <w:szCs w:val="32"/>
        </w:rPr>
        <w:t>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w:t>
      </w:r>
      <w:r>
        <w:rPr>
          <w:rFonts w:hint="eastAsia" w:ascii="仿宋_GB2312" w:hAnsi="Tahoma" w:eastAsia="仿宋_GB2312" w:cs="仿宋_GB2312"/>
          <w:color w:val="000000"/>
          <w:sz w:val="32"/>
          <w:szCs w:val="32"/>
        </w:rPr>
        <w:t>负责县级预决算公开。负责全面实施预算绩效管理。</w:t>
      </w:r>
    </w:p>
    <w:p>
      <w:pPr>
        <w:adjustRightInd w:val="0"/>
        <w:snapToGrid w:val="0"/>
        <w:spacing w:line="576" w:lineRule="exact"/>
        <w:ind w:firstLine="640" w:firstLineChars="200"/>
        <w:rPr>
          <w:rFonts w:ascii="仿宋_GB2312" w:hAnsi="Tahoma" w:eastAsia="仿宋_GB2312"/>
          <w:color w:val="FF0000"/>
          <w:sz w:val="32"/>
          <w:szCs w:val="32"/>
        </w:rPr>
      </w:pPr>
      <w:r>
        <w:rPr>
          <w:rFonts w:ascii="仿宋_GB2312" w:hAnsi="Tahoma" w:eastAsia="仿宋_GB2312" w:cs="仿宋_GB2312"/>
          <w:sz w:val="32"/>
          <w:szCs w:val="32"/>
        </w:rPr>
        <w:t>4.</w:t>
      </w:r>
      <w:r>
        <w:rPr>
          <w:rFonts w:hint="eastAsia" w:ascii="仿宋_GB2312" w:hAnsi="Tahoma" w:eastAsia="仿宋_GB2312" w:cs="仿宋_GB2312"/>
          <w:sz w:val="32"/>
          <w:szCs w:val="32"/>
        </w:rPr>
        <w:t>按分工负责政府非税收入管理。负责政府性基金管理，按规定管理行政事业性收费等其他非税收入。管理财政票据。</w:t>
      </w:r>
      <w:r>
        <w:rPr>
          <w:rFonts w:hint="eastAsia" w:ascii="仿宋_GB2312" w:hAnsi="Tahoma" w:eastAsia="仿宋_GB2312" w:cs="仿宋_GB2312"/>
          <w:color w:val="000000"/>
          <w:sz w:val="32"/>
          <w:szCs w:val="32"/>
        </w:rPr>
        <w:t>执行彩票管理政策和有关办法。</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5.</w:t>
      </w:r>
      <w:r>
        <w:rPr>
          <w:rFonts w:hint="eastAsia" w:ascii="仿宋_GB2312" w:hAnsi="Tahoma" w:eastAsia="仿宋_GB2312" w:cs="仿宋_GB2312"/>
          <w:sz w:val="32"/>
          <w:szCs w:val="32"/>
        </w:rPr>
        <w:t>组织制定全县国库管理制度、国库集中收付制度，指导和监督国库业务，开展国库现金管理工作。贯彻执行政府财务报告编制办法并组织实施。执行制定政府采购制度并监督管理。</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6.</w:t>
      </w:r>
      <w:r>
        <w:rPr>
          <w:rFonts w:hint="eastAsia" w:ascii="仿宋_GB2312" w:hAnsi="Tahoma" w:eastAsia="仿宋_GB2312" w:cs="仿宋_GB2312"/>
          <w:sz w:val="32"/>
          <w:szCs w:val="32"/>
        </w:rPr>
        <w:t>贯彻执行地方政府债务管理制度和政策，制定具体管理办法，编制地方政府债余额限额计划，统一管理政府外债，防范财政风险。</w:t>
      </w:r>
    </w:p>
    <w:p>
      <w:pPr>
        <w:adjustRightInd w:val="0"/>
        <w:snapToGrid w:val="0"/>
        <w:spacing w:line="576" w:lineRule="exact"/>
        <w:ind w:firstLine="640" w:firstLineChars="200"/>
        <w:rPr>
          <w:rFonts w:ascii="仿宋_GB2312" w:hAnsi="Tahoma" w:eastAsia="仿宋_GB2312"/>
          <w:color w:val="000000"/>
          <w:sz w:val="32"/>
          <w:szCs w:val="32"/>
        </w:rPr>
      </w:pPr>
      <w:r>
        <w:rPr>
          <w:rFonts w:ascii="仿宋_GB2312" w:hAnsi="Tahoma" w:eastAsia="仿宋_GB2312" w:cs="仿宋_GB2312"/>
          <w:sz w:val="32"/>
          <w:szCs w:val="32"/>
        </w:rPr>
        <w:t>7.</w:t>
      </w:r>
      <w:r>
        <w:rPr>
          <w:rFonts w:hint="eastAsia" w:ascii="仿宋_GB2312" w:hAnsi="Tahoma" w:eastAsia="仿宋_GB2312" w:cs="仿宋_GB2312"/>
          <w:sz w:val="32"/>
          <w:szCs w:val="32"/>
        </w:rPr>
        <w:t>牵头编制全县国有资产管理情况报告。</w:t>
      </w:r>
      <w:r>
        <w:rPr>
          <w:rFonts w:hint="eastAsia" w:ascii="仿宋_GB2312" w:hAnsi="Tahoma" w:eastAsia="仿宋_GB2312" w:cs="仿宋_GB2312"/>
          <w:color w:val="000000"/>
          <w:sz w:val="32"/>
          <w:szCs w:val="32"/>
        </w:rPr>
        <w:t>拟订全县行政事业单位国有资产管理制度并组织实施。执行全州统一规定的开支标准和支出政策。</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8.</w:t>
      </w:r>
      <w:r>
        <w:rPr>
          <w:rFonts w:hint="eastAsia" w:ascii="仿宋_GB2312" w:hAnsi="Tahoma" w:eastAsia="仿宋_GB2312" w:cs="仿宋_GB2312"/>
          <w:sz w:val="32"/>
          <w:szCs w:val="32"/>
        </w:rPr>
        <w:t>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9.</w:t>
      </w:r>
      <w:r>
        <w:rPr>
          <w:rFonts w:hint="eastAsia" w:ascii="仿宋_GB2312" w:hAnsi="Tahoma" w:eastAsia="仿宋_GB2312" w:cs="仿宋_GB2312"/>
          <w:sz w:val="32"/>
          <w:szCs w:val="32"/>
        </w:rPr>
        <w:t>负责审核并汇总编制全县社会保险基金预决算草案，会同有关部门拟订有关资金（基金）财务管理制度，承担社会保险基金财政监管工作。</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10.</w:t>
      </w:r>
      <w:r>
        <w:rPr>
          <w:rFonts w:hint="eastAsia" w:ascii="仿宋_GB2312" w:hAnsi="Tahoma" w:eastAsia="仿宋_GB2312" w:cs="仿宋_GB2312"/>
          <w:sz w:val="32"/>
          <w:szCs w:val="32"/>
        </w:rPr>
        <w:t>负责办理和监督县级财政的经济发展支出、县级政府性投资项目的财政拨款，负责投资评审管理工作，执行基建投资有关政策，</w:t>
      </w:r>
      <w:r>
        <w:rPr>
          <w:rFonts w:hint="eastAsia" w:ascii="仿宋_GB2312" w:hAnsi="Tahoma" w:eastAsia="仿宋_GB2312" w:cs="仿宋_GB2312"/>
          <w:color w:val="000000"/>
          <w:sz w:val="32"/>
          <w:szCs w:val="32"/>
        </w:rPr>
        <w:t>制定</w:t>
      </w:r>
      <w:r>
        <w:rPr>
          <w:rFonts w:hint="eastAsia" w:ascii="仿宋_GB2312" w:hAnsi="Tahoma" w:eastAsia="仿宋_GB2312" w:cs="仿宋_GB2312"/>
          <w:sz w:val="32"/>
          <w:szCs w:val="32"/>
        </w:rPr>
        <w:t>基建财务管理制度。</w:t>
      </w:r>
    </w:p>
    <w:p>
      <w:pPr>
        <w:adjustRightInd w:val="0"/>
        <w:snapToGrid w:val="0"/>
        <w:spacing w:line="576" w:lineRule="exact"/>
        <w:ind w:firstLine="640" w:firstLineChars="200"/>
        <w:rPr>
          <w:rFonts w:ascii="仿宋_GB2312" w:hAnsi="Tahoma" w:eastAsia="仿宋_GB2312"/>
          <w:color w:val="FF0000"/>
          <w:sz w:val="32"/>
          <w:szCs w:val="32"/>
        </w:rPr>
      </w:pPr>
      <w:r>
        <w:rPr>
          <w:rFonts w:ascii="仿宋_GB2312" w:hAnsi="Tahoma" w:eastAsia="仿宋_GB2312" w:cs="仿宋_GB2312"/>
          <w:sz w:val="32"/>
          <w:szCs w:val="32"/>
        </w:rPr>
        <w:t>11.</w:t>
      </w:r>
      <w:r>
        <w:rPr>
          <w:rFonts w:hint="eastAsia" w:ascii="仿宋_GB2312" w:hAnsi="Tahoma" w:eastAsia="仿宋_GB2312" w:cs="仿宋_GB2312"/>
          <w:sz w:val="32"/>
          <w:szCs w:val="32"/>
        </w:rPr>
        <w:t>管理外国政府和国际金融机构贷（赠）款项目的有关业务，</w:t>
      </w:r>
      <w:r>
        <w:rPr>
          <w:rFonts w:hint="eastAsia" w:ascii="仿宋_GB2312" w:hAnsi="Tahoma" w:eastAsia="仿宋_GB2312" w:cs="仿宋_GB2312"/>
          <w:color w:val="000000"/>
          <w:sz w:val="32"/>
          <w:szCs w:val="32"/>
        </w:rPr>
        <w:t>参与财经领域的国际交流与合作。</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12.</w:t>
      </w:r>
      <w:r>
        <w:rPr>
          <w:rFonts w:hint="eastAsia" w:ascii="仿宋_GB2312" w:hAnsi="Tahoma" w:eastAsia="仿宋_GB2312" w:cs="仿宋_GB2312"/>
          <w:sz w:val="32"/>
          <w:szCs w:val="32"/>
        </w:rPr>
        <w:t>负责管理全县会计工作，监督和规范会计行为，组织实施国家统一的会计制度，指导和监督注册会计师和会计师事务所的业务，</w:t>
      </w:r>
      <w:r>
        <w:rPr>
          <w:rFonts w:hint="eastAsia" w:ascii="仿宋_GB2312" w:hAnsi="Tahoma" w:eastAsia="仿宋_GB2312" w:cs="仿宋_GB2312"/>
          <w:color w:val="000000"/>
          <w:sz w:val="32"/>
          <w:szCs w:val="32"/>
        </w:rPr>
        <w:t>指导和管理社会审计。</w:t>
      </w:r>
      <w:r>
        <w:rPr>
          <w:rFonts w:hint="eastAsia" w:ascii="仿宋_GB2312" w:hAnsi="Tahoma" w:eastAsia="仿宋_GB2312" w:cs="仿宋_GB2312"/>
          <w:sz w:val="32"/>
          <w:szCs w:val="32"/>
        </w:rPr>
        <w:t>依法管理资产评估有关工作。</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13.</w:t>
      </w:r>
      <w:r>
        <w:rPr>
          <w:rFonts w:hint="eastAsia" w:ascii="仿宋_GB2312" w:hAnsi="Tahoma" w:eastAsia="仿宋_GB2312" w:cs="仿宋_GB2312"/>
          <w:sz w:val="32"/>
          <w:szCs w:val="32"/>
        </w:rPr>
        <w:t>负责职责范围内的安全生产和职业健康、生态环境保护、审批服务便民化等工作。</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14.</w:t>
      </w:r>
      <w:r>
        <w:rPr>
          <w:rFonts w:hint="eastAsia" w:ascii="仿宋_GB2312" w:hAnsi="Tahoma" w:eastAsia="仿宋_GB2312" w:cs="仿宋_GB2312"/>
          <w:sz w:val="32"/>
          <w:szCs w:val="32"/>
        </w:rPr>
        <w:t>完成县委、县人民政府交办的其他任务。</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15.</w:t>
      </w:r>
      <w:r>
        <w:rPr>
          <w:rFonts w:hint="eastAsia" w:ascii="仿宋_GB2312" w:hAnsi="Tahoma" w:eastAsia="仿宋_GB2312" w:cs="仿宋_GB2312"/>
          <w:sz w:val="32"/>
          <w:szCs w:val="32"/>
        </w:rPr>
        <w:t>职能转变。</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w:t>
      </w:r>
      <w:r>
        <w:rPr>
          <w:rFonts w:hint="eastAsia" w:ascii="仿宋_GB2312" w:hAnsi="Tahoma" w:eastAsia="仿宋_GB2312" w:cs="仿宋_GB2312"/>
          <w:sz w:val="32"/>
          <w:szCs w:val="32"/>
        </w:rPr>
        <w:t>构建发展规划、财政、金融等政策协调和工作协同机制，强化经济监测预测预警能力，建立健全重大问题研究和政策储备工作机制，增强宏观调控前瞻性、针对性、协同性。</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(2)</w:t>
      </w:r>
      <w:r>
        <w:rPr>
          <w:rFonts w:hint="eastAsia" w:ascii="仿宋_GB2312" w:hAnsi="Tahoma" w:eastAsia="仿宋_GB2312" w:cs="仿宋_GB2312"/>
          <w:sz w:val="32"/>
          <w:szCs w:val="32"/>
        </w:rPr>
        <w:t>深化财税体制改革。加快建立现代财政制度，推进财政事权和支出责任划分改革，逐步统一预算分配，全面实施绩效管理，全面执行规范透明、标准科学、约束有力的预算制度。全面推行政府性基金和行政事业性收费清单管理，完善监督制度。深化税收制度改革。</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(3)</w:t>
      </w:r>
      <w:r>
        <w:rPr>
          <w:rFonts w:hint="eastAsia" w:ascii="仿宋_GB2312" w:hAnsi="Tahoma" w:eastAsia="仿宋_GB2312" w:cs="仿宋_GB2312"/>
          <w:sz w:val="32"/>
          <w:szCs w:val="32"/>
        </w:rPr>
        <w:t>防范化解地方政府债务风险。规范举债融资机制，构建“闭环”管理体系，严控法定限额内债务风险，着力防控隐性债务风险，牢牢守住不发生系统性风险的底线。</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16.</w:t>
      </w:r>
      <w:r>
        <w:rPr>
          <w:rFonts w:hint="eastAsia" w:ascii="仿宋_GB2312" w:hAnsi="Tahoma" w:eastAsia="仿宋_GB2312" w:cs="仿宋_GB2312"/>
          <w:sz w:val="32"/>
          <w:szCs w:val="32"/>
        </w:rPr>
        <w:t>有关职责分工。</w:t>
      </w:r>
    </w:p>
    <w:p>
      <w:pPr>
        <w:adjustRightInd w:val="0"/>
        <w:snapToGrid w:val="0"/>
        <w:spacing w:line="576" w:lineRule="exact"/>
        <w:ind w:firstLine="640" w:firstLineChars="200"/>
        <w:rPr>
          <w:rFonts w:ascii="仿宋_GB2312" w:hAnsi="Tahoma" w:eastAsia="仿宋_GB2312"/>
          <w:sz w:val="32"/>
          <w:szCs w:val="32"/>
        </w:rPr>
      </w:pPr>
      <w:bookmarkStart w:id="18" w:name="bookmark26"/>
      <w:bookmarkEnd w:id="18"/>
      <w:r>
        <w:rPr>
          <w:rFonts w:ascii="仿宋_GB2312" w:hAnsi="Tahoma" w:eastAsia="仿宋_GB2312" w:cs="仿宋_GB2312"/>
          <w:sz w:val="32"/>
          <w:szCs w:val="32"/>
        </w:rPr>
        <w:t>(1)</w:t>
      </w:r>
      <w:r>
        <w:rPr>
          <w:rFonts w:hint="eastAsia" w:ascii="仿宋_GB2312" w:hAnsi="Tahoma" w:eastAsia="仿宋_GB2312" w:cs="仿宋_GB2312"/>
          <w:sz w:val="32"/>
          <w:szCs w:val="32"/>
        </w:rPr>
        <w:t>税政管理职责分工。县财政局负责提出地方税收立法建议，县财政局负责组织县税务局等部门提出地方税税种增减、税目税率调整、减免税等建议。县财政局负责在授权范围内对税收政策进行解释，县税务局对执行过程中的征管和一般性税政问题进行解释，并向县财政局备案。县财政局按照管理权限办理全县关税政策事项</w:t>
      </w:r>
      <w:bookmarkStart w:id="19" w:name="bookmark27"/>
      <w:bookmarkEnd w:id="19"/>
      <w:r>
        <w:rPr>
          <w:rFonts w:hint="eastAsia" w:ascii="仿宋_GB2312" w:hAnsi="Tahoma" w:eastAsia="仿宋_GB2312" w:cs="仿宋_GB2312"/>
          <w:sz w:val="32"/>
          <w:szCs w:val="32"/>
        </w:rPr>
        <w:t>。</w:t>
      </w:r>
    </w:p>
    <w:p>
      <w:pPr>
        <w:adjustRightInd w:val="0"/>
        <w:snapToGrid w:val="0"/>
        <w:spacing w:line="576" w:lineRule="exact"/>
        <w:ind w:firstLine="640" w:firstLineChars="200"/>
        <w:rPr>
          <w:rFonts w:ascii="仿宋_GB2312" w:hAnsi="Tahoma" w:eastAsia="仿宋_GB2312"/>
          <w:sz w:val="32"/>
          <w:szCs w:val="32"/>
        </w:rPr>
      </w:pPr>
      <w:r>
        <w:rPr>
          <w:rFonts w:ascii="仿宋_GB2312" w:hAnsi="Tahoma" w:eastAsia="仿宋_GB2312" w:cs="仿宋_GB2312"/>
          <w:sz w:val="32"/>
          <w:szCs w:val="32"/>
        </w:rPr>
        <w:t>(2)</w:t>
      </w:r>
      <w:r>
        <w:rPr>
          <w:rFonts w:hint="eastAsia" w:ascii="仿宋_GB2312" w:hAnsi="Tahoma" w:eastAsia="仿宋_GB2312" w:cs="仿宋_GB2312"/>
          <w:sz w:val="32"/>
          <w:szCs w:val="32"/>
        </w:rPr>
        <w:t>非税收入管理职责分工。县财政局负责执行和组织实施非税收入国库集中收缴制度，负责非税收入账户、收缴方式、退付退库等管理。县税务局等部门按照非税收入国库集中收缴等有关规定，负责做好非税收入申报征收、会统核算、缴费检查、欠费追缴和违法处罚等工作，有关非税收入项目收缴信息与县财政局及时共享。</w:t>
      </w:r>
    </w:p>
    <w:p>
      <w:pPr>
        <w:adjustRightInd w:val="0"/>
        <w:snapToGrid w:val="0"/>
        <w:spacing w:line="576" w:lineRule="exact"/>
        <w:ind w:firstLine="640"/>
        <w:rPr>
          <w:rFonts w:ascii="仿宋_GB2312" w:hAnsi="Tahoma" w:eastAsia="仿宋_GB2312"/>
          <w:color w:val="000000"/>
          <w:sz w:val="32"/>
          <w:szCs w:val="32"/>
        </w:rPr>
      </w:pPr>
      <w:bookmarkStart w:id="20" w:name="bookmark28"/>
      <w:bookmarkEnd w:id="20"/>
      <w:r>
        <w:rPr>
          <w:rFonts w:ascii="仿宋_GB2312" w:hAnsi="Tahoma" w:eastAsia="仿宋_GB2312" w:cs="仿宋_GB2312"/>
          <w:sz w:val="32"/>
          <w:szCs w:val="32"/>
        </w:rPr>
        <w:t>(3)</w:t>
      </w:r>
      <w:r>
        <w:rPr>
          <w:rFonts w:hint="eastAsia" w:ascii="仿宋_GB2312" w:hAnsi="Tahoma" w:eastAsia="仿宋_GB2312" w:cs="仿宋_GB2312"/>
          <w:sz w:val="32"/>
          <w:szCs w:val="32"/>
        </w:rPr>
        <w:t>县级行政事业单位国有资产管理职责分工。县财政局负责制定行政事业单位国有资产管理制度，并负责组织实施和监督检查。</w:t>
      </w:r>
      <w:r>
        <w:rPr>
          <w:rFonts w:hint="eastAsia" w:ascii="仿宋_GB2312" w:hAnsi="Tahoma" w:eastAsia="仿宋_GB2312" w:cs="仿宋_GB2312"/>
          <w:color w:val="000000"/>
          <w:sz w:val="32"/>
          <w:szCs w:val="32"/>
        </w:rPr>
        <w:t>负责县级行政事业单位国有资产管理。县级行政事业单位具体承担所属事业单位及派出机构的国有资产管理工作。</w:t>
      </w:r>
    </w:p>
    <w:p>
      <w:pPr>
        <w:pStyle w:val="5"/>
        <w:adjustRightInd w:val="0"/>
        <w:snapToGrid w:val="0"/>
        <w:spacing w:before="93" w:line="600" w:lineRule="exact"/>
        <w:ind w:firstLine="674" w:firstLineChars="210"/>
        <w:outlineLvl w:val="2"/>
        <w:rPr>
          <w:rFonts w:ascii="楷体_GB2312" w:hAnsi="仿宋" w:eastAsia="楷体_GB2312" w:cs="Times New Roman"/>
          <w:b/>
          <w:bCs/>
          <w:color w:val="000000"/>
          <w:sz w:val="32"/>
          <w:szCs w:val="32"/>
        </w:rPr>
      </w:pPr>
      <w:bookmarkStart w:id="21" w:name="_Toc15377199"/>
      <w:bookmarkStart w:id="22" w:name="_Toc15378446"/>
      <w:r>
        <w:rPr>
          <w:rFonts w:hint="eastAsia" w:ascii="楷体_GB2312" w:hAnsi="仿宋" w:eastAsia="楷体_GB2312" w:cs="楷体_GB2312"/>
          <w:b/>
          <w:bCs/>
          <w:color w:val="000000"/>
          <w:sz w:val="32"/>
          <w:szCs w:val="32"/>
        </w:rPr>
        <w:t>（二）</w:t>
      </w:r>
      <w:r>
        <w:rPr>
          <w:rFonts w:ascii="楷体_GB2312" w:hAnsi="仿宋" w:eastAsia="楷体_GB2312" w:cs="楷体_GB2312"/>
          <w:b/>
          <w:bCs/>
          <w:color w:val="000000"/>
          <w:sz w:val="32"/>
          <w:szCs w:val="32"/>
        </w:rPr>
        <w:t>2019</w:t>
      </w:r>
      <w:r>
        <w:rPr>
          <w:rFonts w:hint="eastAsia" w:ascii="楷体_GB2312" w:hAnsi="仿宋" w:eastAsia="楷体_GB2312" w:cs="楷体_GB2312"/>
          <w:b/>
          <w:bCs/>
          <w:color w:val="000000"/>
          <w:sz w:val="32"/>
          <w:szCs w:val="32"/>
        </w:rPr>
        <w:t>年重点工作完成情况</w:t>
      </w:r>
      <w:bookmarkEnd w:id="21"/>
      <w:bookmarkEnd w:id="22"/>
    </w:p>
    <w:p>
      <w:pPr>
        <w:pStyle w:val="5"/>
        <w:adjustRightInd w:val="0"/>
        <w:snapToGrid w:val="0"/>
        <w:spacing w:before="93" w:line="600" w:lineRule="exact"/>
        <w:ind w:firstLine="672" w:firstLineChars="210"/>
        <w:rPr>
          <w:rFonts w:hAnsi="宋体" w:cs="Times New Roman"/>
          <w:color w:val="000000"/>
          <w:sz w:val="32"/>
          <w:szCs w:val="32"/>
        </w:rPr>
      </w:pPr>
      <w:r>
        <w:rPr>
          <w:rFonts w:hAnsi="宋体"/>
          <w:color w:val="000000"/>
          <w:sz w:val="32"/>
          <w:szCs w:val="32"/>
        </w:rPr>
        <w:t>1.</w:t>
      </w:r>
      <w:r>
        <w:rPr>
          <w:rFonts w:hint="eastAsia" w:hAnsi="宋体"/>
          <w:color w:val="000000"/>
          <w:sz w:val="32"/>
          <w:szCs w:val="32"/>
        </w:rPr>
        <w:t>积极组织财政收入，全力做好财政增收工作。</w:t>
      </w:r>
    </w:p>
    <w:p>
      <w:pPr>
        <w:pStyle w:val="5"/>
        <w:adjustRightInd w:val="0"/>
        <w:snapToGrid w:val="0"/>
        <w:spacing w:before="93" w:line="600" w:lineRule="exact"/>
        <w:ind w:firstLine="672" w:firstLineChars="210"/>
        <w:rPr>
          <w:rFonts w:hAnsi="宋体" w:cs="Times New Roman"/>
          <w:color w:val="000000"/>
          <w:sz w:val="32"/>
          <w:szCs w:val="32"/>
        </w:rPr>
      </w:pPr>
      <w:r>
        <w:rPr>
          <w:rFonts w:hAnsi="宋体"/>
          <w:color w:val="000000"/>
          <w:sz w:val="32"/>
          <w:szCs w:val="32"/>
        </w:rPr>
        <w:t>2.</w:t>
      </w:r>
      <w:r>
        <w:rPr>
          <w:rFonts w:hint="eastAsia" w:hAnsi="宋体"/>
          <w:color w:val="000000"/>
          <w:sz w:val="32"/>
          <w:szCs w:val="32"/>
        </w:rPr>
        <w:t>发挥财政职能，积极筹措资金，保障医疗卫生、社会保障、教育、文化等民生支出。</w:t>
      </w:r>
    </w:p>
    <w:p>
      <w:pPr>
        <w:pStyle w:val="5"/>
        <w:adjustRightInd w:val="0"/>
        <w:snapToGrid w:val="0"/>
        <w:spacing w:before="93" w:line="600" w:lineRule="exact"/>
        <w:ind w:firstLine="672" w:firstLineChars="210"/>
        <w:rPr>
          <w:rFonts w:hAnsi="宋体" w:cs="Times New Roman"/>
          <w:color w:val="000000"/>
          <w:sz w:val="32"/>
          <w:szCs w:val="32"/>
        </w:rPr>
      </w:pPr>
      <w:r>
        <w:rPr>
          <w:rFonts w:hAnsi="宋体"/>
          <w:color w:val="000000"/>
          <w:sz w:val="32"/>
          <w:szCs w:val="32"/>
        </w:rPr>
        <w:t>3.</w:t>
      </w:r>
      <w:r>
        <w:rPr>
          <w:rFonts w:hint="eastAsia" w:hAnsi="宋体"/>
          <w:color w:val="000000"/>
          <w:sz w:val="32"/>
          <w:szCs w:val="32"/>
        </w:rPr>
        <w:t>深化财政体制改革，加强财政管理。</w:t>
      </w:r>
    </w:p>
    <w:p>
      <w:pPr>
        <w:pStyle w:val="5"/>
        <w:adjustRightInd w:val="0"/>
        <w:snapToGrid w:val="0"/>
        <w:spacing w:before="93" w:line="560" w:lineRule="exact"/>
        <w:ind w:firstLine="672" w:firstLineChars="210"/>
        <w:rPr>
          <w:rFonts w:hAnsi="宋体" w:cs="Times New Roman"/>
          <w:color w:val="000000"/>
          <w:sz w:val="32"/>
          <w:szCs w:val="32"/>
        </w:rPr>
      </w:pPr>
      <w:r>
        <w:rPr>
          <w:rFonts w:hAnsi="宋体"/>
          <w:color w:val="000000"/>
          <w:sz w:val="32"/>
          <w:szCs w:val="32"/>
        </w:rPr>
        <w:t>4.</w:t>
      </w:r>
      <w:r>
        <w:rPr>
          <w:rFonts w:hint="eastAsia" w:hAnsi="宋体"/>
          <w:color w:val="000000"/>
          <w:sz w:val="32"/>
          <w:szCs w:val="32"/>
        </w:rPr>
        <w:t>加强财政资金监督。</w:t>
      </w:r>
    </w:p>
    <w:p>
      <w:pPr>
        <w:adjustRightInd w:val="0"/>
        <w:snapToGrid w:val="0"/>
        <w:spacing w:line="560" w:lineRule="exact"/>
        <w:ind w:firstLine="640" w:firstLineChars="200"/>
        <w:outlineLvl w:val="0"/>
        <w:rPr>
          <w:rStyle w:val="30"/>
          <w:rFonts w:ascii="黑体" w:hAnsi="黑体" w:eastAsia="黑体" w:cs="Times New Roman"/>
        </w:rPr>
      </w:pPr>
      <w:bookmarkStart w:id="23" w:name="_Toc15396601"/>
      <w:bookmarkStart w:id="24" w:name="_Toc15377200"/>
      <w:r>
        <w:rPr>
          <w:rStyle w:val="30"/>
          <w:rFonts w:hint="eastAsia" w:ascii="黑体" w:hAnsi="黑体" w:eastAsia="黑体" w:cs="黑体"/>
          <w:b w:val="0"/>
          <w:bCs w:val="0"/>
        </w:rPr>
        <w:t>二、机</w:t>
      </w:r>
      <w:r>
        <w:rPr>
          <w:rStyle w:val="30"/>
          <w:rFonts w:hint="eastAsia" w:ascii="黑体" w:hAnsi="黑体" w:eastAsia="黑体" w:cs="黑体"/>
        </w:rPr>
        <w:t>构设置</w:t>
      </w:r>
      <w:bookmarkEnd w:id="23"/>
      <w:bookmarkEnd w:id="24"/>
    </w:p>
    <w:p>
      <w:pPr>
        <w:adjustRightInd w:val="0"/>
        <w:snapToGrid w:val="0"/>
        <w:spacing w:line="560" w:lineRule="exact"/>
        <w:ind w:firstLine="640" w:firstLineChars="200"/>
        <w:outlineLvl w:val="0"/>
        <w:rPr>
          <w:rFonts w:ascii="仿宋_GB2312" w:hAnsi="仿宋" w:eastAsia="仿宋_GB2312"/>
          <w:sz w:val="32"/>
          <w:szCs w:val="32"/>
        </w:rPr>
      </w:pPr>
      <w:r>
        <w:rPr>
          <w:rFonts w:hint="eastAsia" w:ascii="仿宋_GB2312" w:hAnsi="仿宋" w:eastAsia="仿宋_GB2312" w:cs="仿宋_GB2312"/>
          <w:sz w:val="32"/>
          <w:szCs w:val="32"/>
        </w:rPr>
        <w:t>茂县财政局下属二级单位</w:t>
      </w:r>
      <w:r>
        <w:rPr>
          <w:rFonts w:ascii="仿宋_GB2312" w:hAnsi="仿宋" w:eastAsia="仿宋_GB2312" w:cs="仿宋_GB2312"/>
          <w:sz w:val="32"/>
          <w:szCs w:val="32"/>
        </w:rPr>
        <w:t>2</w:t>
      </w:r>
      <w:r>
        <w:rPr>
          <w:rFonts w:hint="eastAsia" w:ascii="仿宋_GB2312" w:hAnsi="仿宋" w:eastAsia="仿宋_GB2312" w:cs="仿宋_GB2312"/>
          <w:sz w:val="32"/>
          <w:szCs w:val="32"/>
        </w:rPr>
        <w:t>个</w:t>
      </w:r>
      <w:r>
        <w:rPr>
          <w:rFonts w:hint="eastAsia" w:ascii="仿宋_GB2312" w:hAnsi="仿宋" w:eastAsia="仿宋_GB2312" w:cs="仿宋_GB2312"/>
          <w:b/>
          <w:bCs/>
        </w:rPr>
        <w:t>，</w:t>
      </w:r>
      <w:r>
        <w:rPr>
          <w:rFonts w:hint="eastAsia" w:ascii="仿宋_GB2312" w:hAnsi="仿宋" w:eastAsia="仿宋_GB2312" w:cs="仿宋_GB2312"/>
          <w:sz w:val="32"/>
          <w:szCs w:val="32"/>
        </w:rPr>
        <w:t>其中行政单位</w:t>
      </w:r>
      <w:r>
        <w:rPr>
          <w:rFonts w:ascii="仿宋_GB2312" w:hAnsi="仿宋" w:eastAsia="仿宋_GB2312" w:cs="仿宋_GB2312"/>
          <w:sz w:val="32"/>
          <w:szCs w:val="32"/>
        </w:rPr>
        <w:t>1</w:t>
      </w:r>
      <w:r>
        <w:rPr>
          <w:rFonts w:hint="eastAsia" w:ascii="仿宋_GB2312" w:hAnsi="仿宋" w:eastAsia="仿宋_GB2312" w:cs="仿宋_GB2312"/>
          <w:sz w:val="32"/>
          <w:szCs w:val="32"/>
        </w:rPr>
        <w:t>个，参照公务员法管理的事业单位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个，其他事业单位</w:t>
      </w:r>
      <w:r>
        <w:rPr>
          <w:rFonts w:ascii="仿宋_GB2312" w:hAnsi="仿宋" w:eastAsia="仿宋_GB2312" w:cs="仿宋_GB2312"/>
          <w:sz w:val="32"/>
          <w:szCs w:val="32"/>
        </w:rPr>
        <w:t>1</w:t>
      </w:r>
      <w:r>
        <w:rPr>
          <w:rFonts w:hint="eastAsia" w:ascii="仿宋_GB2312" w:hAnsi="仿宋" w:eastAsia="仿宋_GB2312" w:cs="仿宋_GB2312"/>
          <w:sz w:val="32"/>
          <w:szCs w:val="32"/>
        </w:rPr>
        <w:t>个。</w:t>
      </w:r>
    </w:p>
    <w:p>
      <w:pPr>
        <w:pStyle w:val="5"/>
        <w:adjustRightInd w:val="0"/>
        <w:snapToGrid w:val="0"/>
        <w:spacing w:before="93" w:line="560" w:lineRule="exact"/>
        <w:ind w:firstLine="672" w:firstLineChars="210"/>
        <w:rPr>
          <w:rFonts w:hAnsi="仿宋" w:cs="Times New Roman"/>
          <w:color w:val="000000"/>
          <w:sz w:val="32"/>
          <w:szCs w:val="32"/>
        </w:rPr>
      </w:pPr>
      <w:r>
        <w:rPr>
          <w:rFonts w:hint="eastAsia" w:hAnsi="仿宋"/>
          <w:kern w:val="2"/>
          <w:sz w:val="32"/>
          <w:szCs w:val="32"/>
        </w:rPr>
        <w:t>纳入茂县财政局</w:t>
      </w:r>
      <w:r>
        <w:rPr>
          <w:rFonts w:hAnsi="仿宋"/>
          <w:kern w:val="2"/>
          <w:sz w:val="32"/>
          <w:szCs w:val="32"/>
        </w:rPr>
        <w:t>2018</w:t>
      </w:r>
      <w:r>
        <w:rPr>
          <w:rFonts w:hint="eastAsia" w:hAnsi="仿宋"/>
          <w:kern w:val="2"/>
          <w:sz w:val="32"/>
          <w:szCs w:val="32"/>
        </w:rPr>
        <w:t>年度部门决算编制范围的二级预</w:t>
      </w:r>
      <w:r>
        <w:rPr>
          <w:rFonts w:hint="eastAsia" w:hAnsi="仿宋"/>
          <w:color w:val="000000"/>
          <w:sz w:val="32"/>
          <w:szCs w:val="32"/>
        </w:rPr>
        <w:t>算单位包括：</w:t>
      </w:r>
    </w:p>
    <w:p>
      <w:pPr>
        <w:pStyle w:val="5"/>
        <w:adjustRightInd w:val="0"/>
        <w:snapToGrid w:val="0"/>
        <w:spacing w:before="93" w:line="600" w:lineRule="exact"/>
        <w:ind w:left="672"/>
        <w:outlineLvl w:val="2"/>
        <w:rPr>
          <w:rFonts w:hAnsi="仿宋" w:cs="Times New Roman"/>
          <w:color w:val="000000"/>
          <w:sz w:val="32"/>
          <w:szCs w:val="32"/>
        </w:rPr>
      </w:pPr>
      <w:bookmarkStart w:id="25" w:name="_Toc15377202"/>
      <w:bookmarkStart w:id="26" w:name="_Toc15378449"/>
      <w:bookmarkStart w:id="27" w:name="_Toc15306276"/>
      <w:bookmarkStart w:id="28" w:name="_Toc15377433"/>
      <w:r>
        <w:rPr>
          <w:rFonts w:hAnsi="仿宋"/>
          <w:color w:val="000000"/>
          <w:sz w:val="32"/>
          <w:szCs w:val="32"/>
        </w:rPr>
        <w:t>1.</w:t>
      </w:r>
      <w:r>
        <w:rPr>
          <w:rFonts w:hint="eastAsia" w:hAnsi="仿宋"/>
          <w:color w:val="000000"/>
          <w:sz w:val="32"/>
          <w:szCs w:val="32"/>
        </w:rPr>
        <w:t>四川省阿坝州茂县财政局</w:t>
      </w:r>
      <w:bookmarkEnd w:id="25"/>
      <w:bookmarkEnd w:id="26"/>
      <w:bookmarkEnd w:id="27"/>
      <w:bookmarkEnd w:id="28"/>
      <w:r>
        <w:rPr>
          <w:rFonts w:hint="eastAsia" w:hAnsi="仿宋"/>
          <w:color w:val="000000"/>
          <w:sz w:val="32"/>
          <w:szCs w:val="32"/>
        </w:rPr>
        <w:t>机关</w:t>
      </w:r>
    </w:p>
    <w:p>
      <w:pPr>
        <w:pStyle w:val="5"/>
        <w:adjustRightInd w:val="0"/>
        <w:snapToGrid w:val="0"/>
        <w:spacing w:before="93" w:line="600" w:lineRule="exact"/>
        <w:ind w:left="672"/>
        <w:outlineLvl w:val="2"/>
        <w:rPr>
          <w:rFonts w:ascii="仿宋" w:hAnsi="仿宋" w:eastAsia="仿宋" w:cs="Times New Roman"/>
          <w:color w:val="000000"/>
          <w:sz w:val="32"/>
          <w:szCs w:val="32"/>
        </w:rPr>
      </w:pPr>
      <w:bookmarkStart w:id="29" w:name="_Toc15378450"/>
      <w:bookmarkStart w:id="30" w:name="_Toc15377203"/>
      <w:bookmarkStart w:id="31" w:name="_Toc15377434"/>
      <w:bookmarkStart w:id="32" w:name="_Toc15306277"/>
      <w:r>
        <w:rPr>
          <w:rFonts w:hAnsi="仿宋"/>
          <w:color w:val="000000"/>
          <w:sz w:val="32"/>
          <w:szCs w:val="32"/>
        </w:rPr>
        <w:t>2.</w:t>
      </w:r>
      <w:r>
        <w:rPr>
          <w:rFonts w:hint="eastAsia" w:hAnsi="仿宋"/>
          <w:color w:val="000000"/>
          <w:sz w:val="32"/>
          <w:szCs w:val="32"/>
        </w:rPr>
        <w:t>四川省阿坝州茂县</w:t>
      </w:r>
      <w:bookmarkStart w:id="33" w:name="OLE_LINK3"/>
      <w:r>
        <w:rPr>
          <w:rFonts w:hint="eastAsia" w:hAnsi="仿宋"/>
          <w:color w:val="000000"/>
          <w:sz w:val="32"/>
          <w:szCs w:val="32"/>
        </w:rPr>
        <w:t>财政评审中心</w:t>
      </w:r>
      <w:bookmarkEnd w:id="29"/>
      <w:bookmarkEnd w:id="30"/>
      <w:bookmarkEnd w:id="31"/>
      <w:bookmarkEnd w:id="32"/>
      <w:bookmarkEnd w:id="33"/>
    </w:p>
    <w:p>
      <w:pPr>
        <w:pStyle w:val="2"/>
        <w:ind w:right="440"/>
        <w:jc w:val="right"/>
        <w:rPr>
          <w:rStyle w:val="16"/>
          <w:rFonts w:ascii="方正小标宋_GBK" w:hAnsi="黑体" w:eastAsia="方正小标宋_GBK"/>
          <w:b w:val="0"/>
          <w:bCs w:val="0"/>
        </w:rPr>
      </w:pPr>
      <w:bookmarkStart w:id="34" w:name="_Toc15377204"/>
      <w:bookmarkStart w:id="35" w:name="_Toc15396602"/>
      <w:r>
        <w:rPr>
          <w:rFonts w:hint="eastAsia" w:ascii="方正小标宋_GBK" w:hAnsi="黑体" w:eastAsia="方正小标宋_GBK" w:cs="方正小标宋_GBK"/>
          <w:b w:val="0"/>
          <w:bCs w:val="0"/>
          <w:color w:val="000000"/>
        </w:rPr>
        <w:t>第二部分</w:t>
      </w:r>
      <w:r>
        <w:rPr>
          <w:rStyle w:val="16"/>
          <w:rFonts w:ascii="方正小标宋_GBK" w:hAnsi="黑体" w:eastAsia="方正小标宋_GBK" w:cs="方正小标宋_GBK"/>
          <w:b w:val="0"/>
          <w:bCs w:val="0"/>
        </w:rPr>
        <w:t>2019</w:t>
      </w:r>
      <w:r>
        <w:rPr>
          <w:rStyle w:val="16"/>
          <w:rFonts w:hint="eastAsia" w:ascii="方正小标宋_GBK" w:hAnsi="黑体" w:eastAsia="方正小标宋_GBK" w:cs="方正小标宋_GBK"/>
          <w:b w:val="0"/>
          <w:bCs w:val="0"/>
        </w:rPr>
        <w:t>年度部门决算情况说明</w:t>
      </w:r>
      <w:bookmarkEnd w:id="34"/>
      <w:bookmarkEnd w:id="35"/>
    </w:p>
    <w:p>
      <w:pPr>
        <w:pStyle w:val="27"/>
        <w:numPr>
          <w:ilvl w:val="0"/>
          <w:numId w:val="2"/>
        </w:numPr>
        <w:spacing w:line="600" w:lineRule="exact"/>
        <w:ind w:firstLineChars="0"/>
        <w:outlineLvl w:val="1"/>
        <w:rPr>
          <w:rStyle w:val="17"/>
          <w:rFonts w:ascii="黑体" w:hAnsi="黑体" w:eastAsia="黑体" w:cs="Times New Roman"/>
          <w:b w:val="0"/>
          <w:bCs w:val="0"/>
        </w:rPr>
      </w:pPr>
      <w:bookmarkStart w:id="36" w:name="_Toc15396603"/>
      <w:bookmarkStart w:id="37" w:name="_Toc15377205"/>
      <w:r>
        <w:rPr>
          <w:rFonts w:hint="eastAsia" w:ascii="黑体" w:hAnsi="黑体" w:eastAsia="黑体" w:cs="黑体"/>
          <w:color w:val="000000"/>
          <w:sz w:val="32"/>
          <w:szCs w:val="32"/>
        </w:rPr>
        <w:t>收</w:t>
      </w:r>
      <w:r>
        <w:rPr>
          <w:rStyle w:val="17"/>
          <w:rFonts w:hint="eastAsia" w:ascii="黑体" w:hAnsi="黑体" w:eastAsia="黑体" w:cs="黑体"/>
          <w:b w:val="0"/>
          <w:bCs w:val="0"/>
        </w:rPr>
        <w:t>入支出决算总体情况说明</w:t>
      </w:r>
      <w:bookmarkEnd w:id="36"/>
      <w:bookmarkEnd w:id="37"/>
    </w:p>
    <w:p>
      <w:pPr>
        <w:spacing w:line="600"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年度收、支总计</w:t>
      </w:r>
      <w:r>
        <w:rPr>
          <w:rFonts w:ascii="仿宋_GB2312" w:hAnsi="仿宋" w:eastAsia="仿宋_GB2312" w:cs="仿宋_GB2312"/>
          <w:color w:val="000000"/>
          <w:sz w:val="32"/>
          <w:szCs w:val="32"/>
        </w:rPr>
        <w:t>604.72</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年相比，收、支总计各减少</w:t>
      </w:r>
      <w:r>
        <w:rPr>
          <w:rFonts w:ascii="仿宋_GB2312" w:hAnsi="仿宋" w:eastAsia="仿宋_GB2312" w:cs="仿宋_GB2312"/>
          <w:color w:val="000000"/>
          <w:sz w:val="32"/>
          <w:szCs w:val="32"/>
        </w:rPr>
        <w:t>22.94</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3.65%</w:t>
      </w:r>
      <w:r>
        <w:rPr>
          <w:rFonts w:hint="eastAsia" w:ascii="仿宋_GB2312" w:hAnsi="仿宋" w:eastAsia="仿宋_GB2312" w:cs="仿宋_GB2312"/>
          <w:color w:val="000000"/>
          <w:sz w:val="32"/>
          <w:szCs w:val="32"/>
        </w:rPr>
        <w:t>。主要变动原因是单位运行费有所减少。</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：收、支决算总计变动情况图（柱状图）</w:t>
      </w:r>
    </w:p>
    <w:p>
      <w:pPr>
        <w:spacing w:line="600" w:lineRule="exact"/>
        <w:ind w:firstLine="420" w:firstLineChars="200"/>
        <w:jc w:val="left"/>
        <w:rPr>
          <w:rFonts w:ascii="仿宋_GB2312" w:eastAsia="仿宋_GB2312"/>
          <w:color w:val="000000"/>
          <w:sz w:val="32"/>
          <w:szCs w:val="32"/>
        </w:rPr>
      </w:pPr>
      <w:r>
        <w:pict>
          <v:shape id="_x0000_s1026" o:spid="_x0000_s1026" o:spt="75" type="#_x0000_t75" style="position:absolute;left:0pt;margin-left:5.25pt;margin-top:6.35pt;height:301.5pt;width:424.5pt;mso-wrap-distance-left:9pt;mso-wrap-distance-right:9pt;z-index:-251659264;mso-width-relative:page;mso-height-relative:page;" filled="f" o:preferrelative="t" stroked="f" coordsize="21600,21600" wrapcoords="114 269 114 21278 21409 21278 21409 269 114 269">
            <v:path/>
            <v:fill on="f" focussize="0,0"/>
            <v:stroke on="f" joinstyle="miter"/>
            <v:imagedata r:id="rId6" o:title=""/>
            <o:lock v:ext="edit" aspectratio="t"/>
            <w10:wrap type="tight"/>
          </v:shape>
        </w:pict>
      </w:r>
    </w:p>
    <w:p>
      <w:pPr>
        <w:pStyle w:val="27"/>
        <w:numPr>
          <w:ilvl w:val="0"/>
          <w:numId w:val="2"/>
        </w:numPr>
        <w:spacing w:line="600" w:lineRule="exact"/>
        <w:ind w:firstLineChars="0"/>
        <w:outlineLvl w:val="1"/>
        <w:rPr>
          <w:rStyle w:val="17"/>
          <w:rFonts w:ascii="黑体" w:hAnsi="黑体" w:eastAsia="黑体" w:cs="Times New Roman"/>
          <w:b w:val="0"/>
          <w:bCs w:val="0"/>
        </w:rPr>
      </w:pPr>
      <w:bookmarkStart w:id="38" w:name="_Toc15377206"/>
      <w:bookmarkStart w:id="39" w:name="_Toc15396604"/>
      <w:r>
        <w:rPr>
          <w:rFonts w:hint="eastAsia" w:ascii="黑体" w:hAnsi="黑体" w:eastAsia="黑体" w:cs="黑体"/>
          <w:color w:val="000000"/>
          <w:sz w:val="32"/>
          <w:szCs w:val="32"/>
        </w:rPr>
        <w:t>收</w:t>
      </w:r>
      <w:r>
        <w:rPr>
          <w:rStyle w:val="17"/>
          <w:rFonts w:hint="eastAsia" w:ascii="黑体" w:hAnsi="黑体" w:eastAsia="黑体" w:cs="黑体"/>
          <w:b w:val="0"/>
          <w:bCs w:val="0"/>
        </w:rPr>
        <w:t>入决算情况说明</w:t>
      </w:r>
      <w:bookmarkEnd w:id="38"/>
      <w:bookmarkEnd w:id="39"/>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年本年收入合计</w:t>
      </w:r>
      <w:r>
        <w:rPr>
          <w:rFonts w:ascii="仿宋_GB2312" w:hAnsi="仿宋" w:eastAsia="仿宋_GB2312" w:cs="仿宋_GB2312"/>
          <w:color w:val="000000"/>
          <w:sz w:val="32"/>
          <w:szCs w:val="32"/>
        </w:rPr>
        <w:t>585.51</w:t>
      </w:r>
      <w:r>
        <w:rPr>
          <w:rFonts w:hint="eastAsia" w:ascii="仿宋_GB2312" w:hAnsi="仿宋" w:eastAsia="仿宋_GB2312" w:cs="仿宋_GB2312"/>
          <w:color w:val="000000"/>
          <w:sz w:val="32"/>
          <w:szCs w:val="32"/>
        </w:rPr>
        <w:t>万元，其中：一般公共预算财政拨款收入</w:t>
      </w:r>
      <w:r>
        <w:rPr>
          <w:rFonts w:ascii="仿宋_GB2312" w:hAnsi="仿宋" w:eastAsia="仿宋_GB2312" w:cs="仿宋_GB2312"/>
          <w:color w:val="000000"/>
          <w:sz w:val="32"/>
          <w:szCs w:val="32"/>
        </w:rPr>
        <w:t>585.51</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；政府性基金预算财政拨款收入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；上级补助收入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；事业收入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；附属单位上缴收入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；其他收入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2</w:t>
      </w:r>
      <w:r>
        <w:rPr>
          <w:rFonts w:hint="eastAsia" w:ascii="仿宋_GB2312" w:hAnsi="仿宋" w:eastAsia="仿宋_GB2312" w:cs="仿宋_GB2312"/>
          <w:color w:val="000000"/>
          <w:sz w:val="32"/>
          <w:szCs w:val="32"/>
        </w:rPr>
        <w:t>：收入决算结构图（饼状图）</w:t>
      </w:r>
    </w:p>
    <w:p>
      <w:pPr>
        <w:spacing w:line="600" w:lineRule="exact"/>
        <w:ind w:firstLine="420" w:firstLineChars="200"/>
        <w:rPr>
          <w:rFonts w:ascii="仿宋_GB2312" w:eastAsia="仿宋_GB2312"/>
          <w:color w:val="FF0000"/>
          <w:sz w:val="32"/>
          <w:szCs w:val="32"/>
        </w:rPr>
      </w:pPr>
      <w:r>
        <w:pict>
          <v:shape id="_x0000_s1027" o:spid="_x0000_s1027" o:spt="75" type="#_x0000_t75" style="position:absolute;left:0pt;margin-left:0pt;margin-top:11.4pt;height:220.5pt;width:424.5pt;mso-wrap-distance-left:9pt;mso-wrap-distance-right:9pt;z-index:-251661312;mso-width-relative:page;mso-height-relative:page;" filled="f" o:preferrelative="t" stroked="f" coordsize="21600,21600" wrapcoords="76 220 38 21233 21486 21233 21447 220 76 220">
            <v:path/>
            <v:fill on="f" focussize="0,0"/>
            <v:stroke on="f" joinstyle="miter"/>
            <v:imagedata r:id="rId7" o:title=""/>
            <o:lock v:ext="edit" aspectratio="t"/>
            <w10:wrap type="tight"/>
          </v:shape>
        </w:pict>
      </w:r>
    </w:p>
    <w:p>
      <w:pPr>
        <w:pStyle w:val="27"/>
        <w:numPr>
          <w:ilvl w:val="0"/>
          <w:numId w:val="2"/>
        </w:numPr>
        <w:spacing w:line="600" w:lineRule="exact"/>
        <w:ind w:firstLineChars="0"/>
        <w:outlineLvl w:val="1"/>
        <w:rPr>
          <w:rStyle w:val="17"/>
          <w:rFonts w:ascii="黑体" w:hAnsi="黑体" w:eastAsia="黑体" w:cs="Times New Roman"/>
          <w:b w:val="0"/>
          <w:bCs w:val="0"/>
        </w:rPr>
      </w:pPr>
      <w:bookmarkStart w:id="40" w:name="_Toc15377207"/>
      <w:bookmarkStart w:id="41" w:name="_Toc15396605"/>
      <w:r>
        <w:rPr>
          <w:rFonts w:hint="eastAsia" w:ascii="黑体" w:hAnsi="黑体" w:eastAsia="黑体" w:cs="黑体"/>
          <w:color w:val="000000"/>
          <w:sz w:val="32"/>
          <w:szCs w:val="32"/>
        </w:rPr>
        <w:t>支</w:t>
      </w:r>
      <w:r>
        <w:rPr>
          <w:rStyle w:val="17"/>
          <w:rFonts w:hint="eastAsia" w:ascii="黑体" w:hAnsi="黑体" w:eastAsia="黑体" w:cs="黑体"/>
          <w:b w:val="0"/>
          <w:bCs w:val="0"/>
        </w:rPr>
        <w:t>出决算情况说明</w:t>
      </w:r>
      <w:bookmarkEnd w:id="40"/>
      <w:bookmarkEnd w:id="41"/>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年本年支出合计</w:t>
      </w:r>
      <w:r>
        <w:rPr>
          <w:rFonts w:ascii="仿宋_GB2312" w:hAnsi="仿宋" w:eastAsia="仿宋_GB2312" w:cs="仿宋_GB2312"/>
          <w:color w:val="000000"/>
          <w:sz w:val="32"/>
          <w:szCs w:val="32"/>
        </w:rPr>
        <w:t>588.05</w:t>
      </w:r>
      <w:r>
        <w:rPr>
          <w:rFonts w:hint="eastAsia" w:ascii="仿宋_GB2312" w:hAnsi="仿宋" w:eastAsia="仿宋_GB2312" w:cs="仿宋_GB2312"/>
          <w:color w:val="000000"/>
          <w:sz w:val="32"/>
          <w:szCs w:val="32"/>
        </w:rPr>
        <w:t>万元，其中：基本支出</w:t>
      </w:r>
      <w:r>
        <w:rPr>
          <w:rFonts w:ascii="仿宋_GB2312" w:hAnsi="仿宋" w:eastAsia="仿宋_GB2312" w:cs="仿宋_GB2312"/>
          <w:color w:val="000000"/>
          <w:sz w:val="32"/>
          <w:szCs w:val="32"/>
        </w:rPr>
        <w:t>547.49</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93.10%</w:t>
      </w:r>
      <w:r>
        <w:rPr>
          <w:rFonts w:hint="eastAsia" w:ascii="仿宋_GB2312" w:hAnsi="仿宋" w:eastAsia="仿宋_GB2312" w:cs="仿宋_GB2312"/>
          <w:color w:val="000000"/>
          <w:sz w:val="32"/>
          <w:szCs w:val="32"/>
        </w:rPr>
        <w:t>；项目支出</w:t>
      </w:r>
      <w:r>
        <w:rPr>
          <w:rFonts w:ascii="仿宋_GB2312" w:hAnsi="仿宋" w:eastAsia="仿宋_GB2312" w:cs="仿宋_GB2312"/>
          <w:color w:val="000000"/>
          <w:sz w:val="32"/>
          <w:szCs w:val="32"/>
        </w:rPr>
        <w:t>40.56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6.90%</w:t>
      </w:r>
      <w:r>
        <w:rPr>
          <w:rFonts w:hint="eastAsia" w:ascii="仿宋_GB2312" w:hAnsi="仿宋" w:eastAsia="仿宋_GB2312" w:cs="仿宋_GB2312"/>
          <w:color w:val="000000"/>
          <w:sz w:val="32"/>
          <w:szCs w:val="32"/>
        </w:rPr>
        <w:t>；上缴上级支出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；对附属单位补助支出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spacing w:line="600" w:lineRule="exact"/>
        <w:ind w:firstLine="420" w:firstLineChars="200"/>
        <w:rPr>
          <w:rFonts w:ascii="仿宋_GB2312" w:eastAsia="仿宋_GB2312"/>
          <w:color w:val="FF0000"/>
          <w:sz w:val="32"/>
          <w:szCs w:val="32"/>
        </w:rPr>
      </w:pPr>
      <w:r>
        <w:pict>
          <v:shape id="_x0000_s1028" o:spid="_x0000_s1028" o:spt="75" type="#_x0000_t75" style="position:absolute;left:0pt;margin-left:10.5pt;margin-top:29.4pt;height:243.6pt;width:404.25pt;mso-wrap-distance-left:9pt;mso-wrap-distance-right:9pt;z-index:-251660288;mso-width-relative:page;mso-height-relative:page;" filled="f" o:preferrelative="t" stroked="f" coordsize="21600,21600" wrapcoords="120 266 120 21268 21400 21268 21400 266 120 266">
            <v:path/>
            <v:fill on="f" focussize="0,0"/>
            <v:stroke on="f" joinstyle="miter"/>
            <v:imagedata r:id="rId8" o:title=""/>
            <o:lock v:ext="edit" aspectratio="t"/>
            <w10:wrap type="tight"/>
          </v:shape>
        </w:pict>
      </w: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3</w:t>
      </w:r>
      <w:r>
        <w:rPr>
          <w:rFonts w:hint="eastAsia" w:ascii="仿宋_GB2312" w:hAnsi="仿宋" w:eastAsia="仿宋_GB2312" w:cs="仿宋_GB2312"/>
          <w:color w:val="000000"/>
          <w:sz w:val="32"/>
          <w:szCs w:val="32"/>
        </w:rPr>
        <w:t>：支出决算结构图（饼状图）</w:t>
      </w:r>
    </w:p>
    <w:p>
      <w:pPr>
        <w:spacing w:line="600" w:lineRule="exact"/>
        <w:ind w:firstLine="640" w:firstLineChars="200"/>
        <w:outlineLvl w:val="1"/>
        <w:rPr>
          <w:rStyle w:val="17"/>
          <w:rFonts w:ascii="黑体" w:hAnsi="黑体" w:eastAsia="黑体" w:cs="Times New Roman"/>
          <w:b w:val="0"/>
          <w:bCs w:val="0"/>
        </w:rPr>
      </w:pPr>
      <w:bookmarkStart w:id="42" w:name="_Toc15396606"/>
      <w:bookmarkStart w:id="43" w:name="_Toc15377208"/>
      <w:r>
        <w:rPr>
          <w:rFonts w:hint="eastAsia" w:ascii="黑体" w:hAnsi="黑体" w:eastAsia="黑体" w:cs="黑体"/>
          <w:color w:val="000000"/>
          <w:sz w:val="32"/>
          <w:szCs w:val="32"/>
        </w:rPr>
        <w:t>四、财</w:t>
      </w:r>
      <w:r>
        <w:rPr>
          <w:rStyle w:val="17"/>
          <w:rFonts w:hint="eastAsia" w:ascii="黑体" w:hAnsi="黑体" w:eastAsia="黑体" w:cs="黑体"/>
          <w:b w:val="0"/>
          <w:bCs w:val="0"/>
        </w:rPr>
        <w:t>政拨款收入支出决算总体情况说明</w:t>
      </w:r>
      <w:bookmarkEnd w:id="42"/>
      <w:bookmarkEnd w:id="43"/>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年财政拨款收、支总计</w:t>
      </w:r>
      <w:r>
        <w:rPr>
          <w:rFonts w:ascii="仿宋_GB2312" w:hAnsi="仿宋" w:eastAsia="仿宋_GB2312" w:cs="仿宋_GB2312"/>
          <w:color w:val="000000"/>
          <w:sz w:val="32"/>
          <w:szCs w:val="32"/>
        </w:rPr>
        <w:t>604.72</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年相比，财政拨款收、支总计各增减少</w:t>
      </w:r>
      <w:r>
        <w:rPr>
          <w:rFonts w:ascii="仿宋_GB2312" w:hAnsi="仿宋" w:eastAsia="仿宋_GB2312" w:cs="仿宋_GB2312"/>
          <w:color w:val="000000"/>
          <w:sz w:val="32"/>
          <w:szCs w:val="32"/>
        </w:rPr>
        <w:t>22.94</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3.65%</w:t>
      </w:r>
      <w:r>
        <w:rPr>
          <w:rFonts w:hint="eastAsia" w:ascii="仿宋_GB2312" w:hAnsi="仿宋" w:eastAsia="仿宋_GB2312" w:cs="仿宋_GB2312"/>
          <w:color w:val="000000"/>
          <w:sz w:val="32"/>
          <w:szCs w:val="32"/>
        </w:rPr>
        <w:t>。主要变动原因是单位运行费减少。</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4</w:t>
      </w:r>
      <w:r>
        <w:rPr>
          <w:rFonts w:hint="eastAsia" w:ascii="仿宋_GB2312" w:hAnsi="仿宋" w:eastAsia="仿宋_GB2312" w:cs="仿宋_GB2312"/>
          <w:color w:val="000000"/>
          <w:sz w:val="32"/>
          <w:szCs w:val="32"/>
        </w:rPr>
        <w:t>：财政拨款收、支决算总计变动情况（柱状图）</w:t>
      </w:r>
    </w:p>
    <w:p>
      <w:pPr>
        <w:spacing w:line="600" w:lineRule="exact"/>
        <w:ind w:firstLine="640"/>
        <w:rPr>
          <w:rFonts w:ascii="仿宋" w:hAnsi="仿宋" w:eastAsia="仿宋"/>
          <w:b/>
          <w:bCs/>
          <w:color w:val="00B050"/>
          <w:sz w:val="32"/>
          <w:szCs w:val="32"/>
        </w:rPr>
      </w:pPr>
      <w:r>
        <w:pict>
          <v:shape id="_x0000_s1029" o:spid="_x0000_s1029" o:spt="75" type="#_x0000_t75" style="position:absolute;left:0pt;margin-left:26.25pt;margin-top:2.4pt;height:301.5pt;width:424.5pt;mso-wrap-distance-left:9pt;mso-wrap-distance-right:9pt;z-index:-251658240;mso-width-relative:page;mso-height-relative:page;" filled="f" o:preferrelative="t" stroked="f" coordsize="21600,21600" wrapcoords="114 269 114 21278 21409 21278 21409 269 114 269">
            <v:path/>
            <v:fill on="f" focussize="0,0"/>
            <v:stroke on="f" joinstyle="miter"/>
            <v:imagedata r:id="rId6" o:title=""/>
            <o:lock v:ext="edit" aspectratio="t"/>
            <w10:wrap type="tight"/>
          </v:shape>
        </w:pict>
      </w:r>
    </w:p>
    <w:p>
      <w:pPr>
        <w:spacing w:line="600" w:lineRule="exact"/>
        <w:ind w:firstLine="640"/>
        <w:rPr>
          <w:rStyle w:val="31"/>
          <w:rFonts w:ascii="黑体" w:hAnsi="黑体" w:eastAsia="黑体" w:cs="Times New Roman"/>
          <w:b w:val="0"/>
          <w:bCs w:val="0"/>
        </w:rPr>
      </w:pPr>
      <w:bookmarkStart w:id="44" w:name="_Toc15396607"/>
      <w:bookmarkStart w:id="45" w:name="_Toc15377209"/>
      <w:r>
        <w:rPr>
          <w:rStyle w:val="31"/>
          <w:rFonts w:hint="eastAsia" w:ascii="黑体" w:hAnsi="黑体" w:eastAsia="黑体" w:cs="黑体"/>
          <w:b w:val="0"/>
          <w:bCs w:val="0"/>
        </w:rPr>
        <w:t>五、一般公共预算财政拨款支出决算情况说明</w:t>
      </w:r>
      <w:bookmarkEnd w:id="44"/>
      <w:bookmarkEnd w:id="45"/>
    </w:p>
    <w:p>
      <w:pPr>
        <w:spacing w:line="600" w:lineRule="exact"/>
        <w:ind w:firstLine="642" w:firstLineChars="200"/>
        <w:outlineLvl w:val="1"/>
        <w:rPr>
          <w:rFonts w:ascii="楷体_GB2312" w:hAnsi="仿宋" w:eastAsia="楷体_GB2312"/>
          <w:b/>
          <w:bCs/>
          <w:color w:val="000000"/>
          <w:sz w:val="32"/>
          <w:szCs w:val="32"/>
        </w:rPr>
      </w:pPr>
      <w:bookmarkStart w:id="46" w:name="_Toc15377210"/>
      <w:r>
        <w:rPr>
          <w:rFonts w:hint="eastAsia" w:ascii="楷体_GB2312" w:hAnsi="仿宋" w:eastAsia="楷体_GB2312" w:cs="楷体_GB2312"/>
          <w:b/>
          <w:bCs/>
          <w:color w:val="000000"/>
          <w:sz w:val="32"/>
          <w:szCs w:val="32"/>
        </w:rPr>
        <w:t>（一）一般公共预算财政拨款支出决算总体情况</w:t>
      </w:r>
      <w:bookmarkEnd w:id="46"/>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588.05</w:t>
      </w:r>
      <w:r>
        <w:rPr>
          <w:rFonts w:hint="eastAsia" w:ascii="仿宋_GB2312" w:hAnsi="仿宋" w:eastAsia="仿宋_GB2312" w:cs="仿宋_GB2312"/>
          <w:color w:val="000000"/>
          <w:sz w:val="32"/>
          <w:szCs w:val="32"/>
        </w:rPr>
        <w:t>万元，占本年支出合计的</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。与</w: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年相比，一般公共预算财政拨款减少</w:t>
      </w:r>
      <w:r>
        <w:rPr>
          <w:rFonts w:ascii="仿宋_GB2312" w:hAnsi="仿宋" w:eastAsia="仿宋_GB2312" w:cs="仿宋_GB2312"/>
          <w:color w:val="000000"/>
          <w:sz w:val="32"/>
          <w:szCs w:val="32"/>
        </w:rPr>
        <w:t>20.55</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3.38%</w:t>
      </w:r>
      <w:r>
        <w:rPr>
          <w:rFonts w:hint="eastAsia" w:ascii="仿宋_GB2312" w:hAnsi="仿宋" w:eastAsia="仿宋_GB2312" w:cs="仿宋_GB2312"/>
          <w:color w:val="000000"/>
          <w:sz w:val="32"/>
          <w:szCs w:val="32"/>
        </w:rPr>
        <w:t>。主要变动原因是行政运行费用的减少。</w:t>
      </w:r>
    </w:p>
    <w:p>
      <w:pPr>
        <w:spacing w:line="600" w:lineRule="exact"/>
        <w:ind w:firstLine="640"/>
        <w:rPr>
          <w:rFonts w:ascii="仿宋_GB2312" w:hAnsi="仿宋" w:eastAsia="仿宋_GB2312"/>
          <w:color w:val="000000"/>
          <w:sz w:val="32"/>
          <w:szCs w:val="32"/>
        </w:rPr>
      </w:pPr>
      <w:r>
        <w:pict>
          <v:shape id="_x0000_s1030" o:spid="_x0000_s1030" o:spt="75" type="#_x0000_t75" style="position:absolute;left:0pt;margin-left:10.5pt;margin-top:69.6pt;height:267.75pt;width:423.75pt;mso-wrap-distance-left:9pt;mso-wrap-distance-right:9pt;z-index:-251658240;mso-width-relative:page;mso-height-relative:page;" filled="f" o:preferrelative="t" stroked="f" coordsize="21600,21600" wrapcoords="115 303 115 21237 21409 21237 21409 303 115 303">
            <v:path/>
            <v:fill on="f" focussize="0,0"/>
            <v:stroke on="f" joinstyle="miter"/>
            <v:imagedata r:id="rId9" o:title=""/>
            <o:lock v:ext="edit" aspectratio="t"/>
            <w10:wrap type="tight"/>
          </v:shape>
        </w:pict>
      </w: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1"/>
        <w:rPr>
          <w:rFonts w:ascii="楷体_GB2312" w:hAnsi="仿宋" w:eastAsia="楷体_GB2312"/>
          <w:b/>
          <w:bCs/>
          <w:color w:val="000000"/>
          <w:sz w:val="32"/>
          <w:szCs w:val="32"/>
        </w:rPr>
      </w:pPr>
      <w:bookmarkStart w:id="47" w:name="_Toc15377211"/>
      <w:r>
        <w:rPr>
          <w:rFonts w:hint="eastAsia" w:ascii="楷体_GB2312" w:hAnsi="仿宋" w:eastAsia="楷体_GB2312" w:cs="楷体_GB2312"/>
          <w:b/>
          <w:bCs/>
          <w:color w:val="000000"/>
          <w:sz w:val="32"/>
          <w:szCs w:val="32"/>
        </w:rPr>
        <w:t>（二）一般公共预算财政拨款支出决算结构情况</w:t>
      </w:r>
      <w:bookmarkEnd w:id="47"/>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588.05</w:t>
      </w:r>
      <w:r>
        <w:rPr>
          <w:rFonts w:hint="eastAsia" w:ascii="仿宋_GB2312" w:hAnsi="仿宋" w:eastAsia="仿宋_GB2312" w:cs="仿宋_GB2312"/>
          <w:color w:val="000000"/>
          <w:sz w:val="32"/>
          <w:szCs w:val="32"/>
        </w:rPr>
        <w:t>万元，主要用于以下方面</w:t>
      </w:r>
      <w:r>
        <w:rPr>
          <w:rFonts w:ascii="仿宋_GB2312" w:hAnsi="仿宋" w:eastAsia="仿宋_GB2312" w:cs="仿宋_GB2312"/>
          <w:color w:val="000000"/>
          <w:sz w:val="32"/>
          <w:szCs w:val="32"/>
        </w:rPr>
        <w:t>:</w:t>
      </w:r>
      <w:r>
        <w:rPr>
          <w:rFonts w:ascii="仿宋_GB2312" w:hAnsi="仿宋" w:eastAsia="仿宋_GB2312" w:cs="仿宋_GB2312"/>
          <w:b/>
          <w:bCs/>
          <w:color w:val="000000"/>
          <w:sz w:val="32"/>
          <w:szCs w:val="32"/>
        </w:rPr>
        <w:t xml:space="preserve"> </w:t>
      </w:r>
      <w:r>
        <w:rPr>
          <w:rFonts w:hint="eastAsia" w:ascii="仿宋_GB2312" w:hAnsi="仿宋" w:eastAsia="仿宋_GB2312" w:cs="仿宋_GB2312"/>
          <w:b/>
          <w:bCs/>
          <w:color w:val="000000"/>
          <w:sz w:val="32"/>
          <w:szCs w:val="32"/>
        </w:rPr>
        <w:t>一般公共服务（类）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455.65</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77%</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社会保障和就业（类）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58.09</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10%</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卫生健康支出（类）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28.56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5%</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农林水（类）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7.39</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住房保障（类）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38.36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7%</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 xml:space="preserve"> </w:t>
      </w:r>
    </w:p>
    <w:p>
      <w:pPr>
        <w:spacing w:line="600" w:lineRule="exact"/>
        <w:ind w:firstLine="640"/>
        <w:rPr>
          <w:rFonts w:ascii="仿宋_GB2312" w:hAnsi="仿宋" w:eastAsia="仿宋_GB2312"/>
          <w:color w:val="000000"/>
          <w:sz w:val="32"/>
          <w:szCs w:val="32"/>
        </w:rPr>
      </w:pP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6</w:t>
      </w:r>
      <w:r>
        <w:rPr>
          <w:rFonts w:hint="eastAsia" w:ascii="仿宋_GB2312" w:hAnsi="仿宋" w:eastAsia="仿宋_GB2312" w:cs="仿宋_GB2312"/>
          <w:color w:val="000000"/>
          <w:sz w:val="32"/>
          <w:szCs w:val="32"/>
        </w:rPr>
        <w:t>：一般公共预算财政拨款支出决算结构（饼状图）</w:t>
      </w:r>
    </w:p>
    <w:p>
      <w:pPr>
        <w:spacing w:line="600" w:lineRule="exact"/>
        <w:ind w:firstLine="640"/>
        <w:rPr>
          <w:rFonts w:ascii="仿宋_GB2312" w:hAnsi="仿宋" w:eastAsia="仿宋_GB2312"/>
          <w:color w:val="000000"/>
          <w:sz w:val="32"/>
          <w:szCs w:val="32"/>
        </w:rPr>
      </w:pPr>
      <w:r>
        <w:pict>
          <v:shape id="_x0000_s1031" o:spid="_x0000_s1031" o:spt="75" type="#_x0000_t75" style="position:absolute;left:0pt;margin-left:5.25pt;margin-top:10.2pt;height:241.8pt;width:400.5pt;mso-wrap-distance-left:9pt;mso-wrap-distance-right:9pt;z-index:-251657216;mso-width-relative:page;mso-height-relative:page;" filled="f" o:preferrelative="t" stroked="f" coordsize="21600,21600" wrapcoords="121 335 121 21198 21398 21198 21398 335 121 335">
            <v:path/>
            <v:fill on="f" focussize="0,0"/>
            <v:stroke on="f" joinstyle="miter"/>
            <v:imagedata r:id="rId10" o:title=""/>
            <o:lock v:ext="edit" aspectratio="t"/>
            <w10:wrap type="tight"/>
          </v:shape>
        </w:pict>
      </w:r>
    </w:p>
    <w:p>
      <w:pPr>
        <w:spacing w:line="600" w:lineRule="exact"/>
        <w:ind w:firstLine="642" w:firstLineChars="200"/>
        <w:outlineLvl w:val="1"/>
        <w:rPr>
          <w:rFonts w:ascii="楷体_GB2312" w:hAnsi="仿宋" w:eastAsia="楷体_GB2312"/>
          <w:b/>
          <w:bCs/>
          <w:color w:val="000000"/>
          <w:sz w:val="32"/>
          <w:szCs w:val="32"/>
        </w:rPr>
      </w:pPr>
      <w:bookmarkStart w:id="48" w:name="_Toc15377212"/>
      <w:r>
        <w:rPr>
          <w:rFonts w:hint="eastAsia" w:ascii="楷体_GB2312" w:hAnsi="仿宋" w:eastAsia="楷体_GB2312" w:cs="楷体_GB2312"/>
          <w:b/>
          <w:bCs/>
          <w:color w:val="000000"/>
          <w:sz w:val="32"/>
          <w:szCs w:val="32"/>
        </w:rPr>
        <w:t>（三）一般公共预算财政拨款支出决算具体情况</w:t>
      </w:r>
      <w:bookmarkEnd w:id="48"/>
    </w:p>
    <w:p>
      <w:pPr>
        <w:spacing w:line="600" w:lineRule="exact"/>
        <w:ind w:firstLine="640" w:firstLineChars="200"/>
        <w:outlineLvl w:val="1"/>
        <w:rPr>
          <w:rFonts w:ascii="仿宋_GB2312" w:hAnsi="仿宋" w:eastAsia="仿宋_GB2312"/>
          <w:color w:val="000000"/>
          <w:sz w:val="32"/>
          <w:szCs w:val="32"/>
        </w:rPr>
      </w:pPr>
      <w:bookmarkStart w:id="49" w:name="_Toc15378460"/>
      <w:bookmarkStart w:id="50" w:name="_Toc15377213"/>
      <w:bookmarkStart w:id="51" w:name="_Toc15377444"/>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年一般公共预算支出决算数为</w:t>
      </w:r>
      <w:r>
        <w:rPr>
          <w:rFonts w:ascii="仿宋_GB2312" w:hAnsi="仿宋" w:eastAsia="仿宋_GB2312" w:cs="仿宋_GB2312"/>
          <w:color w:val="000000"/>
          <w:sz w:val="32"/>
          <w:szCs w:val="32"/>
        </w:rPr>
        <w:t>588.05</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97.24%</w:t>
      </w:r>
      <w:r>
        <w:rPr>
          <w:rFonts w:hint="eastAsia" w:ascii="仿宋_GB2312" w:hAnsi="仿宋" w:eastAsia="仿宋_GB2312" w:cs="仿宋_GB2312"/>
          <w:color w:val="000000"/>
          <w:sz w:val="32"/>
          <w:szCs w:val="32"/>
        </w:rPr>
        <w:t>。其中：</w:t>
      </w:r>
      <w:bookmarkEnd w:id="49"/>
      <w:bookmarkEnd w:id="50"/>
      <w:bookmarkEnd w:id="51"/>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1.</w:t>
      </w:r>
      <w:r>
        <w:rPr>
          <w:rFonts w:hint="eastAsia" w:ascii="仿宋_GB2312" w:hAnsi="仿宋" w:eastAsia="仿宋_GB2312" w:cs="仿宋_GB2312"/>
          <w:b/>
          <w:bCs/>
          <w:color w:val="000000"/>
          <w:sz w:val="32"/>
          <w:szCs w:val="32"/>
        </w:rPr>
        <w:t>一般公共服务（类）财政事务（款）行政运行（项）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281.51</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w:t>
      </w:r>
      <w:bookmarkStart w:id="52" w:name="OLE_LINK2"/>
      <w:bookmarkStart w:id="53" w:name="OLE_LINK1"/>
      <w:r>
        <w:rPr>
          <w:rFonts w:hint="eastAsia" w:ascii="仿宋_GB2312" w:hAnsi="仿宋" w:eastAsia="仿宋_GB2312" w:cs="仿宋_GB2312"/>
          <w:color w:val="000000"/>
          <w:sz w:val="32"/>
          <w:szCs w:val="32"/>
        </w:rPr>
        <w:t>决算数与预算数持平。</w:t>
      </w:r>
      <w:bookmarkEnd w:id="52"/>
      <w:bookmarkEnd w:id="53"/>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2.</w:t>
      </w:r>
      <w:r>
        <w:rPr>
          <w:rFonts w:hint="eastAsia" w:ascii="仿宋_GB2312" w:hAnsi="仿宋" w:eastAsia="仿宋_GB2312" w:cs="仿宋_GB2312"/>
          <w:b/>
          <w:bCs/>
          <w:color w:val="000000"/>
          <w:sz w:val="32"/>
          <w:szCs w:val="32"/>
        </w:rPr>
        <w:t>一般公共服务（类）财政事务（款）预算改革业务（项）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9.79</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3.</w:t>
      </w:r>
      <w:r>
        <w:rPr>
          <w:rFonts w:hint="eastAsia" w:ascii="仿宋_GB2312" w:hAnsi="仿宋" w:eastAsia="仿宋_GB2312" w:cs="仿宋_GB2312"/>
          <w:b/>
          <w:bCs/>
          <w:color w:val="000000"/>
          <w:sz w:val="32"/>
          <w:szCs w:val="32"/>
        </w:rPr>
        <w:t>一般公共服务（类）财政事务（款）事业运行（项）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140.96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4.</w:t>
      </w:r>
      <w:r>
        <w:rPr>
          <w:rFonts w:hint="eastAsia" w:ascii="仿宋_GB2312" w:hAnsi="仿宋" w:eastAsia="仿宋_GB2312" w:cs="仿宋_GB2312"/>
          <w:b/>
          <w:bCs/>
          <w:color w:val="000000"/>
          <w:sz w:val="32"/>
          <w:szCs w:val="32"/>
        </w:rPr>
        <w:t>一般公共服务（类）财政事务（款）其他财政事务支出（项）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23.39</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61.55%</w:t>
      </w:r>
      <w:r>
        <w:rPr>
          <w:rFonts w:hint="eastAsia" w:ascii="仿宋_GB2312" w:hAnsi="仿宋" w:eastAsia="仿宋_GB2312" w:cs="仿宋_GB2312"/>
          <w:color w:val="000000"/>
          <w:sz w:val="32"/>
          <w:szCs w:val="32"/>
        </w:rPr>
        <w:t>，决算数小于预算数的主要原因是项目资金结转下年使用。</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5.</w:t>
      </w:r>
      <w:r>
        <w:rPr>
          <w:rFonts w:hint="eastAsia" w:ascii="仿宋_GB2312" w:hAnsi="仿宋" w:eastAsia="仿宋_GB2312" w:cs="仿宋_GB2312"/>
          <w:b/>
          <w:bCs/>
          <w:color w:val="000000"/>
          <w:sz w:val="32"/>
          <w:szCs w:val="32"/>
        </w:rPr>
        <w:t>社会保障和就业（类）行政事业单位离退休（款）机关事业单位基本养老保险缴费支出（项）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39.77</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6.</w:t>
      </w:r>
      <w:r>
        <w:rPr>
          <w:rFonts w:hint="eastAsia" w:ascii="仿宋_GB2312" w:hAnsi="仿宋" w:eastAsia="仿宋_GB2312" w:cs="仿宋_GB2312"/>
          <w:b/>
          <w:bCs/>
          <w:color w:val="000000"/>
          <w:sz w:val="32"/>
          <w:szCs w:val="32"/>
        </w:rPr>
        <w:t>社会保障和就业（类）行政事业单位离退休（款）机关事业单位职业年金缴费支出（项）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18.33</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7.</w:t>
      </w:r>
      <w:r>
        <w:rPr>
          <w:rFonts w:hint="eastAsia" w:ascii="仿宋_GB2312" w:hAnsi="仿宋" w:eastAsia="仿宋_GB2312" w:cs="仿宋_GB2312"/>
          <w:b/>
          <w:bCs/>
          <w:color w:val="000000"/>
          <w:sz w:val="32"/>
          <w:szCs w:val="32"/>
        </w:rPr>
        <w:t>医疗卫生与计划生育（类）行政事业单位医疗（款）行政单位医疗（项）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11.70</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8.</w:t>
      </w:r>
      <w:r>
        <w:rPr>
          <w:rFonts w:hint="eastAsia" w:ascii="仿宋_GB2312" w:hAnsi="仿宋" w:eastAsia="仿宋_GB2312" w:cs="仿宋_GB2312"/>
          <w:b/>
          <w:bCs/>
          <w:color w:val="000000"/>
          <w:sz w:val="32"/>
          <w:szCs w:val="32"/>
        </w:rPr>
        <w:t>医疗卫生与计划生育（类）行政事业单位医疗（款）事业单位医疗（项）</w:t>
      </w:r>
      <w:r>
        <w:rPr>
          <w:rFonts w:ascii="仿宋_GB2312" w:hAnsi="仿宋" w:eastAsia="仿宋_GB2312" w:cs="仿宋_GB2312"/>
          <w:b/>
          <w:bCs/>
          <w:color w:val="000000"/>
          <w:sz w:val="32"/>
          <w:szCs w:val="32"/>
        </w:rPr>
        <w:t>:</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16.86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9.</w:t>
      </w:r>
      <w:r>
        <w:rPr>
          <w:rFonts w:hint="eastAsia" w:ascii="仿宋_GB2312" w:hAnsi="仿宋" w:eastAsia="仿宋_GB2312" w:cs="仿宋_GB2312"/>
          <w:b/>
          <w:bCs/>
          <w:color w:val="000000"/>
          <w:sz w:val="32"/>
          <w:szCs w:val="32"/>
        </w:rPr>
        <w:t>农林水支出（类）扶贫（款）其他扶贫支出（项）：</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0.18</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_GB2312" w:hAnsi="仿宋" w:eastAsia="仿宋_GB2312"/>
          <w:color w:val="000000"/>
          <w:sz w:val="32"/>
          <w:szCs w:val="32"/>
        </w:rPr>
      </w:pPr>
      <w:r>
        <w:rPr>
          <w:rFonts w:ascii="仿宋_GB2312" w:hAnsi="仿宋" w:eastAsia="仿宋_GB2312" w:cs="仿宋_GB2312"/>
          <w:b/>
          <w:bCs/>
          <w:color w:val="000000"/>
          <w:sz w:val="32"/>
          <w:szCs w:val="32"/>
        </w:rPr>
        <w:t>10.</w:t>
      </w:r>
      <w:r>
        <w:rPr>
          <w:rFonts w:hint="eastAsia" w:ascii="仿宋_GB2312" w:hAnsi="仿宋" w:eastAsia="仿宋_GB2312" w:cs="仿宋_GB2312"/>
          <w:b/>
          <w:bCs/>
          <w:color w:val="000000"/>
          <w:sz w:val="32"/>
          <w:szCs w:val="32"/>
        </w:rPr>
        <w:t>农林水支出（类）普惠金融发展支出（款）其他普惠金融发展支出（项）：</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7.20</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spacing w:line="600" w:lineRule="exact"/>
        <w:ind w:firstLine="642" w:firstLineChars="200"/>
        <w:outlineLvl w:val="1"/>
        <w:rPr>
          <w:rFonts w:ascii="仿宋" w:hAnsi="仿宋" w:eastAsia="仿宋"/>
          <w:b/>
          <w:bCs/>
          <w:color w:val="000000"/>
          <w:sz w:val="32"/>
          <w:szCs w:val="32"/>
        </w:rPr>
      </w:pPr>
      <w:r>
        <w:rPr>
          <w:rFonts w:ascii="仿宋_GB2312" w:hAnsi="仿宋" w:eastAsia="仿宋_GB2312" w:cs="仿宋_GB2312"/>
          <w:b/>
          <w:bCs/>
          <w:color w:val="000000"/>
          <w:sz w:val="32"/>
          <w:szCs w:val="32"/>
        </w:rPr>
        <w:t>11.</w:t>
      </w:r>
      <w:r>
        <w:rPr>
          <w:rFonts w:hint="eastAsia" w:ascii="仿宋_GB2312" w:hAnsi="仿宋" w:eastAsia="仿宋_GB2312" w:cs="仿宋_GB2312"/>
          <w:b/>
          <w:bCs/>
          <w:color w:val="000000"/>
          <w:sz w:val="32"/>
          <w:szCs w:val="32"/>
        </w:rPr>
        <w:t>住房保障支出（类）住房改革支出（款）住房公积金（项）：</w:t>
      </w:r>
      <w:r>
        <w:rPr>
          <w:rFonts w:hint="eastAsia" w:ascii="仿宋_GB2312" w:hAnsi="仿宋" w:eastAsia="仿宋_GB2312" w:cs="仿宋_GB2312"/>
          <w:color w:val="000000"/>
          <w:sz w:val="32"/>
          <w:szCs w:val="32"/>
        </w:rPr>
        <w:t>支出决算为</w:t>
      </w:r>
      <w:r>
        <w:rPr>
          <w:rFonts w:ascii="仿宋_GB2312" w:hAnsi="仿宋" w:eastAsia="仿宋_GB2312" w:cs="仿宋_GB2312"/>
          <w:color w:val="000000"/>
          <w:sz w:val="32"/>
          <w:szCs w:val="32"/>
        </w:rPr>
        <w:t>38.36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，决算数与预算数持平。</w:t>
      </w:r>
    </w:p>
    <w:p>
      <w:pPr>
        <w:tabs>
          <w:tab w:val="right" w:pos="8306"/>
        </w:tabs>
        <w:spacing w:line="600" w:lineRule="exact"/>
        <w:ind w:firstLine="640"/>
        <w:outlineLvl w:val="1"/>
        <w:rPr>
          <w:rStyle w:val="17"/>
        </w:rPr>
      </w:pPr>
      <w:bookmarkStart w:id="54" w:name="_Toc15377214"/>
      <w:bookmarkStart w:id="55" w:name="_Toc15396608"/>
      <w:r>
        <w:rPr>
          <w:rFonts w:hint="eastAsia" w:ascii="黑体" w:eastAsia="黑体" w:cs="黑体"/>
          <w:color w:val="000000"/>
          <w:sz w:val="32"/>
          <w:szCs w:val="32"/>
        </w:rPr>
        <w:t>六</w:t>
      </w:r>
      <w:r>
        <w:rPr>
          <w:rFonts w:hint="eastAsia" w:ascii="黑体" w:eastAsia="黑体" w:cs="黑体"/>
          <w:b/>
          <w:bCs/>
          <w:color w:val="000000"/>
          <w:sz w:val="32"/>
          <w:szCs w:val="32"/>
        </w:rPr>
        <w:t>、</w:t>
      </w:r>
      <w:r>
        <w:rPr>
          <w:rFonts w:hint="eastAsia" w:ascii="黑体" w:hAnsi="黑体" w:eastAsia="黑体" w:cs="黑体"/>
          <w:b/>
          <w:bCs/>
          <w:color w:val="000000"/>
          <w:sz w:val="32"/>
          <w:szCs w:val="32"/>
        </w:rPr>
        <w:t>一</w:t>
      </w:r>
      <w:r>
        <w:rPr>
          <w:rStyle w:val="17"/>
          <w:rFonts w:hint="eastAsia" w:ascii="黑体" w:hAnsi="黑体" w:eastAsia="黑体" w:cs="黑体"/>
          <w:b w:val="0"/>
          <w:bCs w:val="0"/>
        </w:rPr>
        <w:t>般公共预算财政拨款基本支出决算情况说明</w:t>
      </w:r>
      <w:bookmarkEnd w:id="54"/>
      <w:bookmarkEnd w:id="55"/>
      <w:r>
        <w:rPr>
          <w:rStyle w:val="17"/>
          <w:rFonts w:ascii="黑体" w:hAnsi="黑体" w:eastAsia="黑体" w:cs="Times New Roman"/>
          <w:b w:val="0"/>
          <w:bCs w:val="0"/>
        </w:rPr>
        <w:tab/>
      </w:r>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年一般公共预算财政拨款基本支出</w:t>
      </w:r>
      <w:r>
        <w:rPr>
          <w:rFonts w:ascii="仿宋_GB2312" w:hAnsi="仿宋" w:eastAsia="仿宋_GB2312" w:cs="仿宋_GB2312"/>
          <w:color w:val="000000"/>
          <w:sz w:val="32"/>
          <w:szCs w:val="32"/>
        </w:rPr>
        <w:t>547.49</w:t>
      </w:r>
      <w:r>
        <w:rPr>
          <w:rFonts w:hint="eastAsia" w:ascii="仿宋_GB2312" w:hAnsi="仿宋" w:eastAsia="仿宋_GB2312" w:cs="仿宋_GB2312"/>
          <w:color w:val="000000"/>
          <w:sz w:val="32"/>
          <w:szCs w:val="32"/>
        </w:rPr>
        <w:t>万元，其中：</w:t>
      </w:r>
    </w:p>
    <w:p>
      <w:pPr>
        <w:spacing w:line="60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s="仿宋_GB2312"/>
          <w:color w:val="000000"/>
          <w:sz w:val="32"/>
          <w:szCs w:val="32"/>
        </w:rPr>
        <w:t>人员经费</w:t>
      </w:r>
      <w:r>
        <w:rPr>
          <w:rFonts w:ascii="仿宋_GB2312" w:hAnsi="仿宋" w:eastAsia="仿宋_GB2312" w:cs="仿宋_GB2312"/>
          <w:color w:val="000000"/>
          <w:sz w:val="32"/>
          <w:szCs w:val="32"/>
        </w:rPr>
        <w:t>521.61</w:t>
      </w:r>
      <w:r>
        <w:rPr>
          <w:rFonts w:hint="eastAsia" w:ascii="仿宋_GB2312" w:hAnsi="仿宋" w:eastAsia="仿宋_GB2312" w:cs="仿宋_GB2312"/>
          <w:color w:val="000000"/>
          <w:sz w:val="32"/>
          <w:szCs w:val="32"/>
        </w:rPr>
        <w:t>万元，主要包括：基本工资、津贴补贴、奖金、绩效工资、机关事业单位基本养老保险缴费、职业年金缴费、其他社会保障缴费、离休费、抚恤金、生活补助、奖励金、住房公积金。</w:t>
      </w:r>
    </w:p>
    <w:p>
      <w:pPr>
        <w:spacing w:line="60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s="仿宋_GB2312"/>
          <w:color w:val="000000"/>
          <w:sz w:val="32"/>
          <w:szCs w:val="32"/>
        </w:rPr>
        <w:t>日常公用经费</w:t>
      </w:r>
      <w:r>
        <w:rPr>
          <w:rFonts w:ascii="仿宋_GB2312" w:hAnsi="仿宋" w:eastAsia="仿宋_GB2312" w:cs="仿宋_GB2312"/>
          <w:color w:val="000000"/>
          <w:sz w:val="32"/>
          <w:szCs w:val="32"/>
        </w:rPr>
        <w:t>25.88</w:t>
      </w:r>
      <w:r>
        <w:rPr>
          <w:rFonts w:hint="eastAsia" w:ascii="仿宋_GB2312" w:hAnsi="仿宋" w:eastAsia="仿宋_GB2312" w:cs="仿宋_GB2312"/>
          <w:color w:val="000000"/>
          <w:sz w:val="32"/>
          <w:szCs w:val="32"/>
        </w:rPr>
        <w:t>万元，主要包括：办公费、手续费、水费、电费、邮电费、差旅费、维修（护）费、培训费、公务接待费、公务用车运行维护费等。</w:t>
      </w:r>
    </w:p>
    <w:p>
      <w:pPr>
        <w:spacing w:line="600" w:lineRule="exact"/>
        <w:ind w:firstLine="640"/>
        <w:rPr>
          <w:rFonts w:ascii="黑体" w:eastAsia="黑体"/>
          <w:sz w:val="32"/>
          <w:szCs w:val="32"/>
        </w:rPr>
      </w:pPr>
      <w:bookmarkStart w:id="56" w:name="_Toc15377215"/>
      <w:bookmarkStart w:id="57" w:name="_Toc15396609"/>
      <w:r>
        <w:rPr>
          <w:rFonts w:hint="eastAsia" w:ascii="黑体" w:eastAsia="黑体" w:cs="黑体"/>
          <w:sz w:val="32"/>
          <w:szCs w:val="32"/>
        </w:rPr>
        <w:t>七、</w:t>
      </w:r>
      <w:r>
        <w:rPr>
          <w:rFonts w:hint="eastAsia" w:ascii="黑体" w:eastAsia="黑体" w:cs="黑体"/>
          <w:b/>
          <w:bCs/>
          <w:sz w:val="32"/>
          <w:szCs w:val="32"/>
        </w:rPr>
        <w:t>“</w:t>
      </w:r>
      <w:r>
        <w:rPr>
          <w:rFonts w:hint="eastAsia" w:ascii="黑体" w:eastAsia="黑体" w:cs="黑体"/>
          <w:sz w:val="32"/>
          <w:szCs w:val="32"/>
        </w:rPr>
        <w:t>三公”经费财政拨款支出决算情况说明</w:t>
      </w:r>
      <w:bookmarkEnd w:id="56"/>
      <w:bookmarkEnd w:id="57"/>
    </w:p>
    <w:p>
      <w:pPr>
        <w:spacing w:line="600" w:lineRule="exact"/>
        <w:ind w:firstLine="640"/>
        <w:rPr>
          <w:rFonts w:ascii="楷体_GB2312" w:eastAsia="楷体_GB2312"/>
          <w:b/>
          <w:bCs/>
          <w:sz w:val="32"/>
          <w:szCs w:val="32"/>
        </w:rPr>
      </w:pPr>
      <w:bookmarkStart w:id="58" w:name="_Toc15377216"/>
      <w:r>
        <w:rPr>
          <w:rFonts w:hint="eastAsia" w:ascii="楷体_GB2312" w:eastAsia="楷体_GB2312" w:cs="楷体_GB2312"/>
          <w:b/>
          <w:bCs/>
          <w:sz w:val="32"/>
          <w:szCs w:val="32"/>
        </w:rPr>
        <w:t>（一）“三公”经费财政拨款支出决算总体情况说明</w:t>
      </w:r>
      <w:bookmarkEnd w:id="58"/>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年“三公”经费财政拨款支出决算为</w:t>
      </w:r>
      <w:r>
        <w:rPr>
          <w:rFonts w:ascii="仿宋_GB2312" w:hAnsi="仿宋" w:eastAsia="仿宋_GB2312" w:cs="仿宋_GB2312"/>
          <w:color w:val="000000"/>
          <w:sz w:val="32"/>
          <w:szCs w:val="32"/>
        </w:rPr>
        <w:t>7.96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w:t>
      </w:r>
      <w:bookmarkStart w:id="59" w:name="_Toc15377217"/>
      <w:r>
        <w:rPr>
          <w:rFonts w:hint="eastAsia" w:ascii="仿宋_GB2312" w:hAnsi="仿宋" w:eastAsia="仿宋_GB2312" w:cs="仿宋_GB2312"/>
          <w:color w:val="000000"/>
          <w:sz w:val="32"/>
          <w:szCs w:val="32"/>
        </w:rPr>
        <w:t>决算数与预算数持平的主要原因是后期进行预算调整。</w:t>
      </w:r>
    </w:p>
    <w:p>
      <w:pPr>
        <w:spacing w:line="600" w:lineRule="exact"/>
        <w:ind w:firstLine="640"/>
        <w:rPr>
          <w:rFonts w:ascii="楷体_GB2312" w:eastAsia="楷体_GB2312"/>
          <w:b/>
          <w:bCs/>
          <w:sz w:val="32"/>
          <w:szCs w:val="32"/>
        </w:rPr>
      </w:pPr>
      <w:r>
        <w:rPr>
          <w:rFonts w:hint="eastAsia" w:ascii="楷体_GB2312" w:eastAsia="楷体_GB2312" w:cs="楷体_GB2312"/>
          <w:b/>
          <w:bCs/>
          <w:sz w:val="32"/>
          <w:szCs w:val="32"/>
        </w:rPr>
        <w:t>（二）“三公”经费财政拨款支出决算具体情况说明</w:t>
      </w:r>
      <w:bookmarkEnd w:id="59"/>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2019</w:t>
      </w:r>
      <w:r>
        <w:rPr>
          <w:rFonts w:hint="eastAsia" w:ascii="仿宋_GB2312" w:hAnsi="仿宋" w:eastAsia="仿宋_GB2312" w:cs="仿宋_GB2312"/>
          <w:color w:val="000000"/>
          <w:sz w:val="32"/>
          <w:szCs w:val="32"/>
        </w:rPr>
        <w:t>年“三公”经费财政拨款支出决算中，因公出国（境）费支出决算</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；公务用车购置及运行维护费支出决算</w:t>
      </w:r>
      <w:r>
        <w:rPr>
          <w:rFonts w:ascii="仿宋_GB2312" w:hAnsi="仿宋" w:eastAsia="仿宋_GB2312" w:cs="仿宋_GB2312"/>
          <w:color w:val="000000"/>
          <w:sz w:val="32"/>
          <w:szCs w:val="32"/>
        </w:rPr>
        <w:t>7.50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94%</w:t>
      </w:r>
      <w:r>
        <w:rPr>
          <w:rFonts w:hint="eastAsia" w:ascii="仿宋_GB2312" w:hAnsi="仿宋" w:eastAsia="仿宋_GB2312" w:cs="仿宋_GB2312"/>
          <w:color w:val="000000"/>
          <w:sz w:val="32"/>
          <w:szCs w:val="32"/>
        </w:rPr>
        <w:t>；公务接待费支出决算</w:t>
      </w:r>
      <w:r>
        <w:rPr>
          <w:rFonts w:ascii="仿宋_GB2312" w:hAnsi="仿宋" w:eastAsia="仿宋_GB2312" w:cs="仿宋_GB2312"/>
          <w:color w:val="000000"/>
          <w:sz w:val="32"/>
          <w:szCs w:val="32"/>
        </w:rPr>
        <w:t>0.46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6%</w:t>
      </w:r>
      <w:r>
        <w:rPr>
          <w:rFonts w:hint="eastAsia" w:ascii="仿宋_GB2312" w:hAnsi="仿宋" w:eastAsia="仿宋_GB2312" w:cs="仿宋_GB2312"/>
          <w:color w:val="000000"/>
          <w:sz w:val="32"/>
          <w:szCs w:val="32"/>
        </w:rPr>
        <w:t>。具体情况如下：</w:t>
      </w:r>
    </w:p>
    <w:p>
      <w:pPr>
        <w:spacing w:line="600" w:lineRule="exact"/>
        <w:ind w:firstLine="640"/>
        <w:rPr>
          <w:rFonts w:ascii="仿宋_GB2312" w:hAnsi="仿宋" w:eastAsia="仿宋_GB2312"/>
          <w:color w:val="000000"/>
          <w:sz w:val="32"/>
          <w:szCs w:val="32"/>
        </w:rPr>
      </w:pPr>
      <w:r>
        <w:pict>
          <v:shape id="_x0000_s1032" o:spid="_x0000_s1032" o:spt="75" type="#_x0000_t75" style="position:absolute;left:0pt;margin-left:15.75pt;margin-top:39.6pt;height:248.25pt;width:426pt;mso-wrap-distance-left:9pt;mso-wrap-distance-right:9pt;z-index:-251656192;mso-width-relative:page;mso-height-relative:page;" filled="f" o:preferrelative="t" stroked="f" coordsize="21600,21600" wrapcoords="114 326 114 21208 21410 21208 21410 326 114 326">
            <v:path/>
            <v:fill on="f" focussize="0,0"/>
            <v:stroke on="f" joinstyle="miter"/>
            <v:imagedata r:id="rId11" o:title=""/>
            <o:lock v:ext="edit" aspectratio="t"/>
            <w10:wrap type="tight"/>
          </v:shape>
        </w:pict>
      </w:r>
      <w:r>
        <w:rPr>
          <w:rFonts w:hint="eastAsia" w:ascii="仿宋_GB2312" w:hAnsi="仿宋" w:eastAsia="仿宋_GB2312" w:cs="仿宋_GB2312"/>
          <w:color w:val="000000"/>
          <w:sz w:val="32"/>
          <w:szCs w:val="32"/>
        </w:rPr>
        <w:t>图</w:t>
      </w:r>
      <w:r>
        <w:rPr>
          <w:rFonts w:ascii="仿宋_GB2312" w:hAnsi="仿宋" w:eastAsia="仿宋_GB2312" w:cs="仿宋_GB2312"/>
          <w:color w:val="000000"/>
          <w:sz w:val="32"/>
          <w:szCs w:val="32"/>
        </w:rPr>
        <w:t>7</w:t>
      </w:r>
      <w:r>
        <w:rPr>
          <w:rFonts w:hint="eastAsia" w:ascii="仿宋_GB2312" w:hAnsi="仿宋" w:eastAsia="仿宋_GB2312" w:cs="仿宋_GB2312"/>
          <w:color w:val="000000"/>
          <w:sz w:val="32"/>
          <w:szCs w:val="32"/>
        </w:rPr>
        <w:t>：“三公”经费财政拨款支出结构（饼状图）</w:t>
      </w:r>
    </w:p>
    <w:p>
      <w:pPr>
        <w:spacing w:line="600" w:lineRule="exact"/>
        <w:rPr>
          <w:rFonts w:ascii="仿宋_GB2312" w:hAnsi="仿宋" w:eastAsia="仿宋_GB2312"/>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人。因公出国（境）支出决算比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年无增减。</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color w:val="000000"/>
          <w:sz w:val="32"/>
          <w:szCs w:val="32"/>
        </w:rPr>
        <w:t>7.50</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Fonts w:hint="eastAsia" w:ascii="仿宋_GB2312" w:eastAsia="仿宋_GB2312" w:cs="仿宋_GB2312"/>
          <w:color w:val="000000"/>
          <w:sz w:val="32"/>
          <w:szCs w:val="32"/>
        </w:rPr>
        <w:t>完成预算</w:t>
      </w:r>
      <w:r>
        <w:rPr>
          <w:rFonts w:ascii="仿宋_GB2312" w:eastAsia="仿宋_GB2312" w:cs="仿宋_GB2312"/>
          <w:color w:val="000000"/>
          <w:sz w:val="32"/>
          <w:szCs w:val="32"/>
        </w:rPr>
        <w:t>94.22%</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年增加</w:t>
      </w:r>
      <w:r>
        <w:rPr>
          <w:rFonts w:ascii="仿宋_GB2312" w:eastAsia="仿宋_GB2312" w:cs="仿宋_GB2312"/>
          <w:color w:val="000000"/>
          <w:sz w:val="32"/>
          <w:szCs w:val="32"/>
        </w:rPr>
        <w:t>0.51</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7.30%</w:t>
      </w:r>
      <w:r>
        <w:rPr>
          <w:rFonts w:hint="eastAsia" w:ascii="仿宋_GB2312" w:eastAsia="仿宋_GB2312" w:cs="仿宋_GB2312"/>
          <w:color w:val="000000"/>
          <w:sz w:val="32"/>
          <w:szCs w:val="32"/>
        </w:rPr>
        <w:t>。主要原因是车辆维修。</w:t>
      </w:r>
    </w:p>
    <w:p>
      <w:pPr>
        <w:spacing w:line="60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元。截至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ascii="仿宋_GB2312" w:eastAsia="仿宋_GB2312" w:cs="仿宋_GB2312"/>
          <w:color w:val="000000"/>
          <w:sz w:val="32"/>
          <w:szCs w:val="32"/>
        </w:rPr>
        <w:t>7.50</w:t>
      </w:r>
      <w:r>
        <w:rPr>
          <w:rFonts w:hint="eastAsia" w:ascii="仿宋_GB2312" w:eastAsia="仿宋_GB2312" w:cs="仿宋_GB2312"/>
          <w:color w:val="000000"/>
          <w:sz w:val="32"/>
          <w:szCs w:val="32"/>
        </w:rPr>
        <w:t>万元。主要用于下乡、出差等所需的公务用车燃料费、维修费、过路费、保险费等支出。</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0.46</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4%</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0.63</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57.80%</w:t>
      </w:r>
      <w:r>
        <w:rPr>
          <w:rFonts w:hint="eastAsia" w:ascii="仿宋_GB2312" w:eastAsia="仿宋_GB2312" w:cs="仿宋_GB2312"/>
          <w:color w:val="000000"/>
          <w:sz w:val="32"/>
          <w:szCs w:val="32"/>
        </w:rPr>
        <w:t>。主要原因是积极贯彻落实中央八项规定及省委省政府十项规定要求，加强公务接待日常管理。其中：</w:t>
      </w:r>
    </w:p>
    <w:p>
      <w:pPr>
        <w:spacing w:line="600" w:lineRule="exact"/>
        <w:ind w:firstLine="640"/>
        <w:rPr>
          <w:rFonts w:ascii="仿宋_GB2312" w:eastAsia="仿宋_GB2312"/>
          <w:color w:val="000000"/>
          <w:sz w:val="32"/>
          <w:szCs w:val="32"/>
        </w:rPr>
      </w:pPr>
      <w:r>
        <w:rPr>
          <w:rFonts w:hint="eastAsia" w:ascii="楷体_GB2312" w:hAnsi="仿宋" w:eastAsia="楷体_GB2312" w:cs="楷体_GB2312"/>
          <w:b/>
          <w:bCs/>
          <w:color w:val="000000"/>
          <w:sz w:val="32"/>
          <w:szCs w:val="32"/>
        </w:rPr>
        <w:t>国内公务接待支出</w:t>
      </w:r>
      <w:r>
        <w:rPr>
          <w:rFonts w:ascii="仿宋_GB2312" w:eastAsia="仿宋_GB2312" w:cs="仿宋_GB2312"/>
          <w:color w:val="000000"/>
          <w:sz w:val="32"/>
          <w:szCs w:val="32"/>
        </w:rPr>
        <w:t>0.46</w:t>
      </w:r>
      <w:r>
        <w:rPr>
          <w:rFonts w:hint="eastAsia" w:ascii="仿宋_GB2312" w:eastAsia="仿宋_GB2312" w:cs="仿宋_GB2312"/>
          <w:color w:val="000000"/>
          <w:sz w:val="32"/>
          <w:szCs w:val="32"/>
        </w:rPr>
        <w:t>万元，主要用于执行公务、开展业务活动开支的交通费、住宿费、用餐费等。国内公务接待</w:t>
      </w:r>
      <w:r>
        <w:rPr>
          <w:rFonts w:ascii="仿宋_GB2312" w:eastAsia="仿宋_GB2312" w:cs="仿宋_GB2312"/>
          <w:color w:val="000000"/>
          <w:sz w:val="32"/>
          <w:szCs w:val="32"/>
        </w:rPr>
        <w:t>15</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50</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0.46</w:t>
      </w:r>
      <w:r>
        <w:rPr>
          <w:rFonts w:hint="eastAsia" w:ascii="仿宋_GB2312" w:eastAsia="仿宋_GB2312" w:cs="仿宋_GB2312"/>
          <w:color w:val="000000"/>
          <w:sz w:val="32"/>
          <w:szCs w:val="32"/>
        </w:rPr>
        <w:t>万元，具体内容包括：下乡扶贫检查、外出开会等。</w:t>
      </w:r>
    </w:p>
    <w:p>
      <w:pPr>
        <w:spacing w:line="600" w:lineRule="exact"/>
        <w:ind w:firstLine="642" w:firstLineChars="200"/>
        <w:rPr>
          <w:rFonts w:ascii="仿宋_GB2312" w:eastAsia="仿宋_GB2312"/>
          <w:color w:val="000000"/>
          <w:sz w:val="32"/>
          <w:szCs w:val="32"/>
        </w:rPr>
      </w:pPr>
      <w:r>
        <w:rPr>
          <w:rFonts w:hint="eastAsia" w:ascii="仿宋_GB2312" w:hAnsi="仿宋" w:eastAsia="仿宋_GB2312" w:cs="仿宋_GB2312"/>
          <w:b/>
          <w:bCs/>
          <w:color w:val="000000"/>
          <w:sz w:val="32"/>
          <w:szCs w:val="32"/>
        </w:rPr>
        <w:t>外事接待支出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万元，外事接待</w:t>
      </w:r>
      <w:r>
        <w:rPr>
          <w:rFonts w:ascii="仿宋_GB2312" w:eastAsia="仿宋_GB2312" w:cs="仿宋_GB2312"/>
          <w:color w:val="000000"/>
          <w:sz w:val="32"/>
          <w:szCs w:val="32"/>
        </w:rPr>
        <w:t>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600" w:lineRule="exact"/>
        <w:ind w:firstLine="640"/>
        <w:outlineLvl w:val="1"/>
        <w:rPr>
          <w:rStyle w:val="17"/>
          <w:rFonts w:ascii="黑体" w:hAnsi="黑体" w:eastAsia="黑体" w:cs="Times New Roman"/>
        </w:rPr>
      </w:pPr>
      <w:bookmarkStart w:id="60" w:name="_Toc15396610"/>
      <w:bookmarkStart w:id="61" w:name="_Toc15377218"/>
      <w:r>
        <w:rPr>
          <w:rFonts w:hint="eastAsia" w:ascii="黑体" w:eastAsia="黑体" w:cs="黑体"/>
          <w:color w:val="000000"/>
          <w:sz w:val="32"/>
          <w:szCs w:val="32"/>
        </w:rPr>
        <w:t>八、</w:t>
      </w:r>
      <w:r>
        <w:rPr>
          <w:rStyle w:val="17"/>
          <w:rFonts w:hint="eastAsia" w:ascii="黑体" w:hAnsi="黑体" w:eastAsia="黑体" w:cs="黑体"/>
          <w:b w:val="0"/>
          <w:bCs w:val="0"/>
        </w:rPr>
        <w:t>政府性基金预算支出决算情况说明</w:t>
      </w:r>
      <w:bookmarkEnd w:id="60"/>
      <w:bookmarkEnd w:id="61"/>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年无政府性基金预算拨款支出。</w:t>
      </w:r>
    </w:p>
    <w:p>
      <w:pPr>
        <w:numPr>
          <w:ilvl w:val="0"/>
          <w:numId w:val="3"/>
        </w:numPr>
        <w:spacing w:line="600" w:lineRule="exact"/>
        <w:ind w:firstLine="640"/>
        <w:outlineLvl w:val="1"/>
        <w:rPr>
          <w:rStyle w:val="17"/>
          <w:rFonts w:ascii="黑体" w:hAnsi="黑体" w:eastAsia="黑体" w:cs="Times New Roman"/>
          <w:b w:val="0"/>
          <w:bCs w:val="0"/>
        </w:rPr>
      </w:pPr>
      <w:bookmarkStart w:id="62" w:name="_Toc15377219"/>
      <w:bookmarkStart w:id="63" w:name="_Toc15396611"/>
      <w:r>
        <w:rPr>
          <w:rStyle w:val="17"/>
          <w:rFonts w:hint="eastAsia" w:ascii="黑体" w:hAnsi="黑体" w:eastAsia="黑体" w:cs="黑体"/>
          <w:b w:val="0"/>
          <w:bCs w:val="0"/>
        </w:rPr>
        <w:t>国有资本经营预算支出决算情况说明</w:t>
      </w:r>
      <w:bookmarkEnd w:id="62"/>
      <w:bookmarkEnd w:id="63"/>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年无国有资本经营预算拨款支出。</w:t>
      </w:r>
    </w:p>
    <w:p>
      <w:pPr>
        <w:spacing w:line="600" w:lineRule="exact"/>
        <w:ind w:firstLine="800" w:firstLineChars="250"/>
        <w:outlineLvl w:val="1"/>
        <w:rPr>
          <w:rStyle w:val="17"/>
          <w:rFonts w:ascii="黑体" w:hAnsi="黑体" w:eastAsia="黑体" w:cs="Times New Roman"/>
        </w:rPr>
      </w:pPr>
      <w:bookmarkStart w:id="64" w:name="_Toc15377221"/>
      <w:bookmarkStart w:id="65" w:name="_Toc15396612"/>
      <w:r>
        <w:rPr>
          <w:rFonts w:hint="eastAsia" w:ascii="黑体" w:hAnsi="黑体" w:eastAsia="黑体" w:cs="黑体"/>
          <w:color w:val="000000"/>
          <w:sz w:val="32"/>
          <w:szCs w:val="32"/>
        </w:rPr>
        <w:t>十</w:t>
      </w:r>
      <w:r>
        <w:rPr>
          <w:rStyle w:val="17"/>
          <w:rFonts w:hint="eastAsia" w:ascii="黑体" w:hAnsi="黑体" w:eastAsia="黑体" w:cs="黑体"/>
        </w:rPr>
        <w:t>、</w:t>
      </w:r>
      <w:r>
        <w:rPr>
          <w:rStyle w:val="17"/>
          <w:rFonts w:hint="eastAsia" w:ascii="黑体" w:hAnsi="黑体" w:eastAsia="黑体" w:cs="黑体"/>
          <w:b w:val="0"/>
          <w:bCs w:val="0"/>
        </w:rPr>
        <w:t>其他重要事项的情况说明</w:t>
      </w:r>
      <w:bookmarkEnd w:id="64"/>
      <w:bookmarkEnd w:id="65"/>
    </w:p>
    <w:p>
      <w:pPr>
        <w:spacing w:line="600" w:lineRule="exact"/>
        <w:ind w:firstLine="642" w:firstLineChars="200"/>
        <w:outlineLvl w:val="2"/>
        <w:rPr>
          <w:rFonts w:ascii="楷体_GB2312" w:hAnsi="仿宋" w:eastAsia="楷体_GB2312"/>
          <w:color w:val="000000"/>
          <w:sz w:val="32"/>
          <w:szCs w:val="32"/>
        </w:rPr>
      </w:pPr>
      <w:bookmarkStart w:id="66" w:name="_Toc15377222"/>
      <w:r>
        <w:rPr>
          <w:rFonts w:hint="eastAsia" w:ascii="楷体_GB2312" w:hAnsi="仿宋" w:eastAsia="楷体_GB2312" w:cs="楷体_GB2312"/>
          <w:b/>
          <w:bCs/>
          <w:color w:val="000000"/>
          <w:sz w:val="32"/>
          <w:szCs w:val="32"/>
        </w:rPr>
        <w:t>（一）机关运行经费支出情况</w:t>
      </w:r>
      <w:bookmarkEnd w:id="66"/>
    </w:p>
    <w:p>
      <w:pPr>
        <w:spacing w:line="600" w:lineRule="exact"/>
        <w:ind w:firstLine="640" w:firstLineChars="200"/>
        <w:rPr>
          <w:rFonts w:ascii="仿宋" w:hAnsi="仿宋" w:eastAsia="仿宋"/>
          <w:b/>
          <w:bCs/>
          <w:color w:val="FF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年，财政局机关运行经费支出</w:t>
      </w:r>
      <w:r>
        <w:rPr>
          <w:rFonts w:ascii="仿宋_GB2312" w:eastAsia="仿宋_GB2312" w:cs="仿宋_GB2312"/>
          <w:color w:val="000000"/>
          <w:sz w:val="32"/>
          <w:szCs w:val="32"/>
        </w:rPr>
        <w:t>14.03</w:t>
      </w:r>
      <w:r>
        <w:rPr>
          <w:rFonts w:hint="eastAsia" w:ascii="仿宋_GB2312" w:eastAsia="仿宋_GB2312" w:cs="仿宋_GB2312"/>
          <w:color w:val="000000"/>
          <w:sz w:val="32"/>
          <w:szCs w:val="32"/>
        </w:rPr>
        <w:t>万元，比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1.43</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9.43%</w:t>
      </w:r>
      <w:r>
        <w:rPr>
          <w:rFonts w:hint="eastAsia" w:ascii="仿宋_GB2312" w:eastAsia="仿宋_GB2312" w:cs="仿宋_GB2312"/>
          <w:color w:val="000000"/>
          <w:sz w:val="32"/>
          <w:szCs w:val="32"/>
        </w:rPr>
        <w:t>。主要原因是积极贯彻落实中央八项规定及省委省政府十项规定要求，缩减开支。</w:t>
      </w:r>
    </w:p>
    <w:p>
      <w:pPr>
        <w:autoSpaceDE w:val="0"/>
        <w:autoSpaceDN w:val="0"/>
        <w:adjustRightInd w:val="0"/>
        <w:spacing w:line="600" w:lineRule="exact"/>
        <w:ind w:firstLine="642" w:firstLineChars="200"/>
        <w:jc w:val="left"/>
        <w:outlineLvl w:val="2"/>
        <w:rPr>
          <w:rFonts w:ascii="楷体_GB2312" w:hAnsi="仿宋" w:eastAsia="楷体_GB2312"/>
          <w:b/>
          <w:bCs/>
          <w:color w:val="000000"/>
          <w:sz w:val="32"/>
          <w:szCs w:val="32"/>
        </w:rPr>
      </w:pPr>
      <w:bookmarkStart w:id="67" w:name="_Toc15377223"/>
      <w:r>
        <w:rPr>
          <w:rFonts w:hint="eastAsia" w:ascii="楷体_GB2312" w:hAnsi="仿宋" w:eastAsia="楷体_GB2312" w:cs="楷体_GB2312"/>
          <w:b/>
          <w:bCs/>
          <w:color w:val="000000"/>
          <w:sz w:val="32"/>
          <w:szCs w:val="32"/>
        </w:rPr>
        <w:t>（二）政府采购支出情况</w:t>
      </w:r>
      <w:bookmarkEnd w:id="67"/>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年，财政局政府采购支出总额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万元，其中：政府采购货物支出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autoSpaceDE w:val="0"/>
        <w:autoSpaceDN w:val="0"/>
        <w:adjustRightInd w:val="0"/>
        <w:spacing w:line="600" w:lineRule="exact"/>
        <w:ind w:firstLine="642" w:firstLineChars="200"/>
        <w:jc w:val="left"/>
        <w:outlineLvl w:val="2"/>
        <w:rPr>
          <w:rFonts w:ascii="楷体_GB2312" w:hAnsi="仿宋" w:eastAsia="楷体_GB2312"/>
          <w:b/>
          <w:bCs/>
          <w:color w:val="000000"/>
          <w:sz w:val="32"/>
          <w:szCs w:val="32"/>
        </w:rPr>
      </w:pPr>
      <w:bookmarkStart w:id="68" w:name="_Toc15377224"/>
      <w:r>
        <w:rPr>
          <w:rFonts w:hint="eastAsia" w:ascii="楷体_GB2312" w:hAnsi="仿宋" w:eastAsia="楷体_GB2312" w:cs="楷体_GB2312"/>
          <w:b/>
          <w:bCs/>
          <w:color w:val="000000"/>
          <w:sz w:val="32"/>
          <w:szCs w:val="32"/>
        </w:rPr>
        <w:t>（三）国有资产占有使用情况</w:t>
      </w:r>
      <w:bookmarkEnd w:id="68"/>
    </w:p>
    <w:p>
      <w:pPr>
        <w:autoSpaceDE w:val="0"/>
        <w:autoSpaceDN w:val="0"/>
        <w:adjustRightInd w:val="0"/>
        <w:spacing w:line="600" w:lineRule="exact"/>
        <w:ind w:firstLine="640" w:firstLineChars="200"/>
        <w:jc w:val="left"/>
        <w:rPr>
          <w:rFonts w:ascii="仿宋" w:hAnsi="仿宋" w:eastAsia="仿宋"/>
          <w:b/>
          <w:bCs/>
          <w:color w:val="FF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日，财政局共有车辆</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600" w:lineRule="exact"/>
        <w:ind w:firstLine="642" w:firstLineChars="200"/>
        <w:jc w:val="left"/>
        <w:outlineLvl w:val="2"/>
        <w:rPr>
          <w:rFonts w:ascii="楷体_GB2312" w:hAnsi="仿宋" w:eastAsia="楷体_GB2312"/>
          <w:b/>
          <w:bCs/>
          <w:color w:val="000000"/>
          <w:sz w:val="32"/>
          <w:szCs w:val="32"/>
        </w:rPr>
      </w:pPr>
      <w:r>
        <w:rPr>
          <w:rFonts w:hint="eastAsia" w:ascii="楷体_GB2312" w:hAnsi="仿宋" w:eastAsia="楷体_GB2312" w:cs="楷体_GB2312"/>
          <w:b/>
          <w:bCs/>
          <w:color w:val="000000"/>
          <w:sz w:val="32"/>
          <w:szCs w:val="32"/>
        </w:rPr>
        <w:t>（四）预算绩效管理情况</w:t>
      </w:r>
    </w:p>
    <w:p>
      <w:pPr>
        <w:spacing w:line="60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根据预算绩效管理要求，我局按要求对</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部门整体支出开展绩效自评，从评价情况来看，我局部门整体支出绩效评价自查自评结果良好，全年基本保证了部门的正常运行和日常工作的正常开展，项目支出保障了重点工作的开展，绩效目标得到较好实现，绩效管理水平不断提高，绩效指标逐渐丰富和完善，茂县财政局</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年不涉及项目绩效。</w:t>
      </w:r>
    </w:p>
    <w:p>
      <w:pPr>
        <w:spacing w:line="58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茂县财政局按要求对</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年部门整体支出绩效评价情况开展自评，《茂县财政局</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年部门整体支出绩效评价报告》见附件。</w:t>
      </w: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spacing w:line="580" w:lineRule="exact"/>
        <w:ind w:firstLine="640" w:firstLineChars="200"/>
        <w:rPr>
          <w:rFonts w:hint="eastAsia" w:ascii="仿宋_GB2312" w:eastAsia="仿宋_GB2312" w:cs="仿宋_GB2312"/>
          <w:color w:val="000000"/>
          <w:sz w:val="32"/>
          <w:szCs w:val="32"/>
        </w:rPr>
      </w:pPr>
    </w:p>
    <w:p>
      <w:pPr>
        <w:numPr>
          <w:ilvl w:val="0"/>
          <w:numId w:val="4"/>
        </w:numPr>
        <w:spacing w:line="600" w:lineRule="exact"/>
        <w:ind w:firstLine="660" w:firstLineChars="150"/>
        <w:jc w:val="center"/>
        <w:outlineLvl w:val="0"/>
        <w:rPr>
          <w:rStyle w:val="16"/>
          <w:rFonts w:ascii="黑体" w:hAnsi="黑体" w:eastAsia="黑体"/>
          <w:b w:val="0"/>
          <w:bCs w:val="0"/>
        </w:rPr>
      </w:pPr>
      <w:bookmarkStart w:id="69" w:name="_Toc15396613"/>
      <w:bookmarkStart w:id="70" w:name="_Toc15377225"/>
      <w:r>
        <w:rPr>
          <w:rFonts w:hint="eastAsia" w:ascii="黑体" w:hAnsi="黑体" w:eastAsia="黑体" w:cs="黑体"/>
          <w:color w:val="000000"/>
          <w:sz w:val="44"/>
          <w:szCs w:val="44"/>
        </w:rPr>
        <w:t>名</w:t>
      </w:r>
      <w:r>
        <w:rPr>
          <w:rStyle w:val="16"/>
          <w:rFonts w:hint="eastAsia" w:ascii="黑体" w:hAnsi="黑体" w:eastAsia="黑体" w:cs="黑体"/>
          <w:b w:val="0"/>
          <w:bCs w:val="0"/>
        </w:rPr>
        <w:t>词解释</w:t>
      </w:r>
      <w:bookmarkEnd w:id="69"/>
      <w:bookmarkEnd w:id="70"/>
    </w:p>
    <w:p>
      <w:pPr>
        <w:spacing w:line="600" w:lineRule="exact"/>
        <w:jc w:val="left"/>
        <w:rPr>
          <w:rFonts w:ascii="宋体"/>
          <w:b/>
          <w:bCs/>
          <w:color w:val="000000"/>
          <w:sz w:val="44"/>
          <w:szCs w:val="44"/>
        </w:rPr>
      </w:pP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财政拨款收入：指单位从同级财政部门取得的财政预算资金。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事业收入：指事业单位开展专业业务活动及辅助活动取得的收入。</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经营收入：指事业单位在专业业务活动及其辅助活动之外开展非独立核算经营活动取得的收入。</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rPr>
        <w:t>其他收入：指单位取得的除上述收入以外的各项收入。</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6.</w:t>
      </w:r>
      <w:r>
        <w:rPr>
          <w:rFonts w:hint="eastAsia" w:ascii="仿宋_GB2312" w:eastAsia="仿宋_GB2312" w:cs="仿宋_GB2312"/>
          <w:color w:val="000000"/>
          <w:sz w:val="32"/>
          <w:szCs w:val="32"/>
        </w:rPr>
        <w:t>年初结转和结余：指以前年度尚未完成、结转到本年按有关规定继续使用的资金。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7.</w:t>
      </w:r>
      <w:r>
        <w:rPr>
          <w:rFonts w:hint="eastAsia" w:ascii="仿宋_GB2312" w:eastAsia="仿宋_GB2312" w:cs="仿宋_GB2312"/>
          <w:color w:val="000000"/>
          <w:sz w:val="32"/>
          <w:szCs w:val="32"/>
        </w:rPr>
        <w:t>结余分配：指事业单位按照事业单位会计制度的规定从非财政补助结余中分配的事业基金和职工福利基金等。</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8.</w:t>
      </w:r>
      <w:r>
        <w:rPr>
          <w:rFonts w:hint="eastAsia" w:ascii="仿宋_GB2312" w:eastAsia="仿宋_GB2312" w:cs="仿宋_GB2312"/>
          <w:color w:val="000000"/>
          <w:sz w:val="32"/>
          <w:szCs w:val="32"/>
        </w:rPr>
        <w:t>年末结转和结余：指单位按有关规定结转到下年或以后年度继续使用的资金。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一般公共服务（类）财政事务（款）行政运行（项）：指局机关用于保障机构正常运行、开展日常工作的基本支出。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一般公共服务（类）财政事务（款）预算改革业务（</w:t>
      </w:r>
      <w:r>
        <w:rPr>
          <w:rFonts w:ascii="仿宋_GB2312" w:eastAsia="仿宋_GB2312" w:cs="仿宋_GB2312"/>
          <w:color w:val="000000"/>
          <w:sz w:val="32"/>
          <w:szCs w:val="32"/>
        </w:rPr>
        <w:t>04</w:t>
      </w:r>
      <w:r>
        <w:rPr>
          <w:rFonts w:hint="eastAsia" w:ascii="仿宋_GB2312" w:eastAsia="仿宋_GB2312" w:cs="仿宋_GB2312"/>
          <w:color w:val="000000"/>
          <w:sz w:val="32"/>
          <w:szCs w:val="32"/>
        </w:rPr>
        <w:t>项）：反映财政部门用于预算改革方面的支出。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一般公共服务（类）财政事务（款）事业运行（项）：指财政评审中心用于保障机构正常运行开展日常工作的基本支出。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一般公共服务（类）财政事务（款）其他财政事务支出（项）：指财政局除上述项目以外，开展其他财政事务方面专门性工作任务的项目支出。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社会保障和就业（类）行政事业单位离退休（款）机关事业单位基本养老保险缴费支出（项）：指机关事业单位实施养老保险制度由单位缴纳的基本养老保险费支出。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社会保障和就业（类）行政事业单位离退休（款）机关事业单位职业年金缴费支出（项）：指机关事业单位实施养老保险制度由单位实际缴纳的职业年金支出。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卫生健康（类）行政事业单位医疗（款）行政单位医疗（项）：指局机关用于缴纳单位基本医疗保险支出。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 xml:space="preserve">16. </w:t>
      </w:r>
      <w:r>
        <w:rPr>
          <w:rFonts w:hint="eastAsia" w:ascii="仿宋_GB2312" w:eastAsia="仿宋_GB2312" w:cs="仿宋_GB2312"/>
          <w:color w:val="000000"/>
          <w:sz w:val="32"/>
          <w:szCs w:val="32"/>
        </w:rPr>
        <w:t>卫生健康（类）行政事业单位医疗（款）事业单位医疗（项）：指事业单位用于缴纳单位基本医疗保险支出。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农林水支出（类）扶贫（款）其他扶贫支出（项）：指用于扶贫方面的支出。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农林水支出（类）普惠金融发展支出（款）其他普惠金融发展支出（项）：指财政部门用于其他普惠金融发展的支出。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19.</w:t>
      </w:r>
      <w:r>
        <w:rPr>
          <w:rFonts w:hint="eastAsia" w:ascii="仿宋_GB2312" w:eastAsia="仿宋_GB2312" w:cs="仿宋_GB2312"/>
          <w:color w:val="000000"/>
          <w:sz w:val="32"/>
          <w:szCs w:val="32"/>
        </w:rPr>
        <w:t>住房保障支出（类）住房改革支出（款）住房公积金（项）：指反映行政事业单位按规定比例为职工缴纳的住房公积金。</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21.</w:t>
      </w:r>
      <w:r>
        <w:rPr>
          <w:rFonts w:hint="eastAsia" w:ascii="仿宋_GB2312" w:eastAsia="仿宋_GB2312" w:cs="仿宋_GB2312"/>
          <w:color w:val="000000"/>
          <w:sz w:val="32"/>
          <w:szCs w:val="32"/>
        </w:rPr>
        <w:t>项目支出：指在基本支出之外为完成特定行政任务和事业发展目标所发生的支出。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22.</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23.</w:t>
      </w:r>
      <w:r>
        <w:rPr>
          <w:rFonts w:hint="eastAsia" w:asci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24.</w:t>
      </w:r>
      <w:r>
        <w:rPr>
          <w:rFonts w:hint="eastAsia" w:asci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Times New Roman"/>
          <w:sz w:val="32"/>
          <w:szCs w:val="32"/>
        </w:rPr>
      </w:pPr>
    </w:p>
    <w:p>
      <w:pPr>
        <w:numPr>
          <w:ilvl w:val="0"/>
          <w:numId w:val="4"/>
        </w:numPr>
        <w:spacing w:line="600" w:lineRule="exact"/>
        <w:ind w:left="0" w:leftChars="0" w:firstLine="662" w:firstLineChars="150"/>
        <w:jc w:val="center"/>
        <w:outlineLvl w:val="0"/>
        <w:rPr>
          <w:rStyle w:val="16"/>
          <w:rFonts w:hint="eastAsia" w:ascii="方正小标宋_GBK" w:hAnsi="黑体" w:eastAsia="方正小标宋_GBK" w:cs="方正小标宋_GBK"/>
          <w:b w:val="0"/>
          <w:bCs w:val="0"/>
        </w:rPr>
      </w:pPr>
      <w:bookmarkStart w:id="71" w:name="_Toc15377226"/>
      <w:r>
        <w:rPr>
          <w:rFonts w:ascii="宋体"/>
          <w:b/>
          <w:bCs/>
          <w:color w:val="000000"/>
          <w:sz w:val="44"/>
          <w:szCs w:val="44"/>
        </w:rPr>
        <w:br w:type="page"/>
      </w:r>
      <w:bookmarkStart w:id="72" w:name="_Toc15396614"/>
      <w:r>
        <w:rPr>
          <w:rStyle w:val="16"/>
          <w:rFonts w:hint="eastAsia" w:ascii="方正小标宋_GBK" w:hAnsi="黑体" w:eastAsia="方正小标宋_GBK" w:cs="方正小标宋_GBK"/>
          <w:b w:val="0"/>
          <w:bCs w:val="0"/>
        </w:rPr>
        <w:t>附件</w:t>
      </w:r>
      <w:bookmarkEnd w:id="72"/>
    </w:p>
    <w:p>
      <w:pPr>
        <w:numPr>
          <w:ilvl w:val="0"/>
          <w:numId w:val="0"/>
        </w:numPr>
        <w:spacing w:line="600" w:lineRule="exact"/>
        <w:ind w:leftChars="150"/>
        <w:jc w:val="both"/>
        <w:outlineLvl w:val="0"/>
        <w:rPr>
          <w:rStyle w:val="16"/>
          <w:rFonts w:hint="eastAsia" w:ascii="方正小标宋_GBK" w:hAnsi="黑体" w:eastAsia="方正小标宋_GBK" w:cs="方正小标宋_GBK"/>
          <w:b w:val="0"/>
          <w:bCs w:val="0"/>
        </w:rPr>
      </w:pPr>
    </w:p>
    <w:p>
      <w:pPr>
        <w:spacing w:line="600" w:lineRule="exact"/>
        <w:jc w:val="center"/>
        <w:rPr>
          <w:rFonts w:ascii="方正小标宋_GBK" w:hAnsi="宋体" w:eastAsia="方正小标宋_GBK"/>
          <w:color w:val="000000"/>
          <w:kern w:val="0"/>
          <w:sz w:val="44"/>
          <w:szCs w:val="44"/>
          <w:lang w:val="zh-CN"/>
        </w:rPr>
      </w:pPr>
      <w:r>
        <w:rPr>
          <w:rFonts w:hint="eastAsia" w:ascii="方正小标宋_GBK" w:hAnsi="宋体" w:eastAsia="方正小标宋_GBK" w:cs="方正小标宋_GBK"/>
          <w:color w:val="000000"/>
          <w:kern w:val="0"/>
          <w:sz w:val="44"/>
          <w:szCs w:val="44"/>
        </w:rPr>
        <w:t>茂县财政局</w:t>
      </w:r>
      <w:r>
        <w:rPr>
          <w:rFonts w:ascii="方正小标宋_GBK" w:hAnsi="宋体" w:eastAsia="方正小标宋_GBK" w:cs="方正小标宋_GBK"/>
          <w:color w:val="000000"/>
          <w:kern w:val="0"/>
          <w:sz w:val="44"/>
          <w:szCs w:val="44"/>
        </w:rPr>
        <w:t>2019</w:t>
      </w:r>
      <w:r>
        <w:rPr>
          <w:rFonts w:hint="eastAsia" w:ascii="方正小标宋_GBK" w:hAnsi="宋体" w:eastAsia="方正小标宋_GBK" w:cs="方正小标宋_GBK"/>
          <w:color w:val="000000"/>
          <w:kern w:val="0"/>
          <w:sz w:val="44"/>
          <w:szCs w:val="44"/>
        </w:rPr>
        <w:t>年部门</w:t>
      </w:r>
      <w:r>
        <w:rPr>
          <w:rFonts w:hint="eastAsia" w:ascii="方正小标宋_GBK" w:hAnsi="宋体" w:eastAsia="方正小标宋_GBK" w:cs="方正小标宋_GBK"/>
          <w:color w:val="000000"/>
          <w:kern w:val="0"/>
          <w:sz w:val="44"/>
          <w:szCs w:val="44"/>
          <w:lang w:val="zh-CN"/>
        </w:rPr>
        <w:t>整体支出绩效</w:t>
      </w:r>
    </w:p>
    <w:p>
      <w:pPr>
        <w:spacing w:line="600" w:lineRule="exact"/>
        <w:jc w:val="center"/>
        <w:rPr>
          <w:rFonts w:ascii="方正小标宋_GBK" w:hAnsi="宋体" w:eastAsia="方正小标宋_GBK"/>
          <w:color w:val="000000"/>
          <w:kern w:val="0"/>
          <w:sz w:val="44"/>
          <w:szCs w:val="44"/>
          <w:lang w:val="zh-CN"/>
        </w:rPr>
      </w:pPr>
      <w:r>
        <w:rPr>
          <w:rFonts w:hint="eastAsia" w:ascii="方正小标宋_GBK" w:hAnsi="宋体" w:eastAsia="方正小标宋_GBK" w:cs="方正小标宋_GBK"/>
          <w:color w:val="000000"/>
          <w:kern w:val="0"/>
          <w:sz w:val="44"/>
          <w:szCs w:val="44"/>
          <w:lang w:val="zh-CN"/>
        </w:rPr>
        <w:t>评价报告</w:t>
      </w:r>
    </w:p>
    <w:p>
      <w:pPr>
        <w:widowControl/>
        <w:adjustRightInd w:val="0"/>
        <w:snapToGrid w:val="0"/>
        <w:spacing w:line="580" w:lineRule="exact"/>
        <w:ind w:firstLine="480" w:firstLineChars="200"/>
        <w:jc w:val="left"/>
        <w:rPr>
          <w:rFonts w:ascii="黑体" w:hAnsi="宋体" w:eastAsia="黑体"/>
          <w:color w:val="000000"/>
          <w:kern w:val="0"/>
          <w:sz w:val="24"/>
          <w:szCs w:val="24"/>
          <w:shd w:val="clear" w:color="auto" w:fill="FFFFFF"/>
        </w:rPr>
      </w:pP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lang w:val="zh-CN"/>
        </w:rPr>
      </w:pPr>
      <w:r>
        <w:rPr>
          <w:rFonts w:hint="eastAsia" w:ascii="黑体" w:hAnsi="宋体" w:eastAsia="黑体" w:cs="黑体"/>
          <w:color w:val="000000"/>
          <w:kern w:val="0"/>
          <w:sz w:val="32"/>
          <w:szCs w:val="32"/>
          <w:shd w:val="clear" w:color="auto" w:fill="FFFFFF"/>
        </w:rPr>
        <w:t>一、</w:t>
      </w:r>
      <w:r>
        <w:rPr>
          <w:rFonts w:hint="eastAsia" w:ascii="黑体" w:hAnsi="宋体" w:eastAsia="黑体" w:cs="黑体"/>
          <w:color w:val="000000"/>
          <w:kern w:val="0"/>
          <w:sz w:val="32"/>
          <w:szCs w:val="32"/>
          <w:shd w:val="clear" w:color="auto" w:fill="FFFFFF"/>
          <w:lang w:val="zh-CN"/>
        </w:rPr>
        <w:t>部门（单位）概况</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（一）机构组成</w:t>
      </w:r>
    </w:p>
    <w:p>
      <w:pPr>
        <w:spacing w:line="600" w:lineRule="exact"/>
        <w:ind w:firstLine="732" w:firstLineChars="229"/>
        <w:rPr>
          <w:rFonts w:ascii="仿宋_GB2312" w:eastAsia="仿宋_GB2312"/>
          <w:color w:val="000000"/>
          <w:sz w:val="32"/>
          <w:szCs w:val="32"/>
        </w:rPr>
      </w:pPr>
      <w:r>
        <w:rPr>
          <w:rFonts w:hint="eastAsia" w:ascii="仿宋_GB2312" w:eastAsia="仿宋_GB2312" w:cs="仿宋_GB2312"/>
          <w:color w:val="000000"/>
          <w:sz w:val="32"/>
          <w:szCs w:val="32"/>
        </w:rPr>
        <w:t>茂县财政局属行政机构一级预算单位。内设行政机构</w:t>
      </w:r>
      <w:r>
        <w:rPr>
          <w:rFonts w:ascii="仿宋_GB2312" w:eastAsia="仿宋_GB2312" w:cs="仿宋_GB2312"/>
          <w:color w:val="000000"/>
          <w:sz w:val="32"/>
          <w:szCs w:val="32"/>
        </w:rPr>
        <w:t>10</w:t>
      </w:r>
      <w:r>
        <w:rPr>
          <w:rFonts w:hint="eastAsia" w:ascii="仿宋_GB2312" w:eastAsia="仿宋_GB2312" w:cs="仿宋_GB2312"/>
          <w:color w:val="000000"/>
          <w:sz w:val="32"/>
          <w:szCs w:val="32"/>
        </w:rPr>
        <w:t>个，机构组成：办公室、预算股、国库股、行政政法与科教文化股（乡财股）、农业农村股（自然资源与生态环境股）、社会保障股经济建设与金融股、财政监督与绩效管理股、政府采购监督管理与资产股、法规会计与综合股（行政审批股）事业机构</w:t>
      </w:r>
      <w:r>
        <w:rPr>
          <w:rFonts w:ascii="仿宋_GB2312" w:eastAsia="仿宋_GB2312" w:cs="仿宋_GB2312"/>
          <w:color w:val="000000"/>
          <w:sz w:val="32"/>
          <w:szCs w:val="32"/>
        </w:rPr>
        <w:t>1</w:t>
      </w:r>
      <w:r>
        <w:rPr>
          <w:rFonts w:hint="eastAsia" w:ascii="仿宋_GB2312" w:eastAsia="仿宋_GB2312" w:cs="仿宋_GB2312"/>
          <w:color w:val="000000"/>
          <w:sz w:val="32"/>
          <w:szCs w:val="32"/>
        </w:rPr>
        <w:t>个，财政评审中心。</w:t>
      </w:r>
    </w:p>
    <w:p>
      <w:pPr>
        <w:widowControl/>
        <w:adjustRightInd w:val="0"/>
        <w:snapToGrid w:val="0"/>
        <w:spacing w:line="576" w:lineRule="exact"/>
        <w:ind w:firstLine="642" w:firstLineChars="200"/>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（二）机构职能</w:t>
      </w:r>
    </w:p>
    <w:p>
      <w:pPr>
        <w:widowControl/>
        <w:adjustRightInd w:val="0"/>
        <w:snapToGrid w:val="0"/>
        <w:spacing w:line="576" w:lineRule="exact"/>
        <w:ind w:firstLine="642" w:firstLineChars="200"/>
        <w:rPr>
          <w:rFonts w:ascii="仿宋_GB2312" w:hAnsi="Tahoma" w:eastAsia="仿宋_GB2312"/>
          <w:color w:val="000000"/>
          <w:kern w:val="0"/>
          <w:sz w:val="32"/>
          <w:szCs w:val="32"/>
        </w:rPr>
      </w:pPr>
      <w:r>
        <w:rPr>
          <w:rFonts w:hint="eastAsia" w:ascii="楷体_GB2312" w:hAnsi="Tahoma" w:eastAsia="楷体_GB2312" w:cs="楷体_GB2312"/>
          <w:b/>
          <w:bCs/>
          <w:kern w:val="0"/>
          <w:sz w:val="32"/>
          <w:szCs w:val="32"/>
        </w:rPr>
        <w:t>办公室　</w:t>
      </w:r>
      <w:r>
        <w:rPr>
          <w:rFonts w:hint="eastAsia" w:ascii="仿宋_GB2312" w:hAnsi="Tahoma" w:eastAsia="仿宋_GB2312" w:cs="仿宋_GB2312"/>
          <w:kern w:val="0"/>
          <w:sz w:val="32"/>
          <w:szCs w:val="32"/>
        </w:rPr>
        <w:t>负责文电、会务、档案、机要、安全和本部门预决算、财务会计管理、政府采购、国有资产管理等机关日常运转工作。承担保密、信息、新闻宣传、交办督办、绩效管理、节能减排、政务公开、综治维稳、信访工作。组织办理人大代表建议、政协委员提案、综合性文稿起草、政策研究和史志编纂工作。</w:t>
      </w:r>
      <w:r>
        <w:rPr>
          <w:rFonts w:hint="eastAsia" w:ascii="仿宋_GB2312" w:hAnsi="Tahoma" w:eastAsia="仿宋_GB2312" w:cs="仿宋_GB2312"/>
          <w:color w:val="000000"/>
          <w:kern w:val="0"/>
          <w:sz w:val="32"/>
          <w:szCs w:val="32"/>
        </w:rPr>
        <w:t>管理和审批机关各项经费的使用。</w:t>
      </w:r>
      <w:r>
        <w:rPr>
          <w:rFonts w:hint="eastAsia" w:ascii="仿宋_GB2312" w:hAnsi="Tahoma" w:eastAsia="仿宋_GB2312" w:cs="仿宋_GB2312"/>
          <w:kern w:val="0"/>
          <w:sz w:val="32"/>
          <w:szCs w:val="32"/>
        </w:rPr>
        <w:t>负责机关和所属事业单位的机构编制、干部人事等工作，组织并实施全县财政系统干部教育培训工作。负责本单位离退休人员工作。负责机关和所属事业单位的党建、群团、党风廉政建设、意识形态等工作</w:t>
      </w:r>
      <w:r>
        <w:rPr>
          <w:rFonts w:hint="eastAsia" w:ascii="仿宋_GB2312" w:hAnsi="Tahoma" w:eastAsia="仿宋_GB2312" w:cs="仿宋_GB2312"/>
          <w:color w:val="000000"/>
          <w:kern w:val="0"/>
          <w:sz w:val="32"/>
          <w:szCs w:val="32"/>
        </w:rPr>
        <w:t>。</w:t>
      </w:r>
    </w:p>
    <w:p>
      <w:pPr>
        <w:widowControl/>
        <w:adjustRightInd w:val="0"/>
        <w:snapToGrid w:val="0"/>
        <w:spacing w:line="576" w:lineRule="exact"/>
        <w:ind w:firstLine="642" w:firstLineChars="200"/>
        <w:rPr>
          <w:rFonts w:ascii="仿宋_GB2312" w:hAnsi="Tahoma" w:eastAsia="仿宋_GB2312"/>
          <w:color w:val="000000"/>
          <w:kern w:val="0"/>
          <w:sz w:val="32"/>
          <w:szCs w:val="32"/>
        </w:rPr>
      </w:pPr>
      <w:r>
        <w:rPr>
          <w:rFonts w:hint="eastAsia" w:ascii="楷体_GB2312" w:hAnsi="Tahoma" w:eastAsia="楷体_GB2312" w:cs="楷体_GB2312"/>
          <w:b/>
          <w:bCs/>
          <w:kern w:val="0"/>
          <w:sz w:val="32"/>
          <w:szCs w:val="32"/>
        </w:rPr>
        <w:t>预算股　</w:t>
      </w:r>
      <w:r>
        <w:rPr>
          <w:rFonts w:hint="eastAsia" w:ascii="仿宋_GB2312" w:hAnsi="Tahoma" w:eastAsia="仿宋_GB2312" w:cs="仿宋_GB2312"/>
          <w:color w:val="000000"/>
          <w:kern w:val="0"/>
          <w:sz w:val="32"/>
          <w:szCs w:val="32"/>
        </w:rPr>
        <w:t>分析预测宏观经济形势并提出宏观调控措施建议，提出中长期财政规划建议。</w:t>
      </w:r>
      <w:r>
        <w:rPr>
          <w:rFonts w:hint="eastAsia" w:ascii="仿宋_GB2312" w:hAnsi="Tahoma" w:eastAsia="仿宋_GB2312" w:cs="仿宋_GB2312"/>
          <w:kern w:val="0"/>
          <w:sz w:val="32"/>
          <w:szCs w:val="32"/>
        </w:rPr>
        <w:t>提出财政体制、预算管理制度的建议，组织编制中期财政规划。编制年度县级预决算草案和预算调整方案，组织县级一般公共预算、政府性基金预算、国有资本经营预算、社会保险基金预算的编制、审核等工作。组织县级部门支出标准体系建设及项目库管理工作。</w:t>
      </w:r>
      <w:r>
        <w:rPr>
          <w:rFonts w:hint="eastAsia" w:ascii="仿宋_GB2312" w:hAnsi="Tahoma" w:eastAsia="仿宋_GB2312" w:cs="仿宋_GB2312"/>
          <w:color w:val="000000"/>
          <w:kern w:val="0"/>
          <w:sz w:val="32"/>
          <w:szCs w:val="32"/>
        </w:rPr>
        <w:t>汇总年度全县财政预算。</w:t>
      </w:r>
      <w:r>
        <w:rPr>
          <w:rFonts w:hint="eastAsia" w:ascii="仿宋_GB2312" w:hAnsi="Tahoma" w:eastAsia="仿宋_GB2312" w:cs="仿宋_GB2312"/>
          <w:kern w:val="0"/>
          <w:sz w:val="32"/>
          <w:szCs w:val="32"/>
        </w:rPr>
        <w:t>清理规范公务员津贴补贴有关工作。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国库股　</w:t>
      </w:r>
      <w:r>
        <w:rPr>
          <w:rFonts w:hint="eastAsia" w:ascii="仿宋_GB2312" w:hAnsi="Tahoma" w:eastAsia="仿宋_GB2312" w:cs="仿宋_GB2312"/>
          <w:kern w:val="0"/>
          <w:sz w:val="32"/>
          <w:szCs w:val="32"/>
        </w:rPr>
        <w:t>组织预算执行、监控及分析预测。组织实施财政总预算会计制度。组织拟订全县国库管理和国库集中收付制度。组织实施政府非税收入国库集中收缴。管理财政和预算单位账户、财政决算及总会计核算。拟订政府财务报告编制制度并组织实施。承担国库现金管理有关工作。组织财政信息数据库建设。管理财政票据。</w:t>
      </w:r>
    </w:p>
    <w:p>
      <w:pPr>
        <w:widowControl/>
        <w:adjustRightInd w:val="0"/>
        <w:snapToGrid w:val="0"/>
        <w:spacing w:line="576" w:lineRule="exact"/>
        <w:ind w:firstLine="642" w:firstLineChars="200"/>
        <w:rPr>
          <w:rFonts w:ascii="仿宋_GB2312" w:hAnsi="Tahoma" w:eastAsia="仿宋_GB2312"/>
          <w:color w:val="000000"/>
          <w:kern w:val="0"/>
          <w:sz w:val="32"/>
          <w:szCs w:val="32"/>
        </w:rPr>
      </w:pPr>
      <w:r>
        <w:rPr>
          <w:rFonts w:hint="eastAsia" w:ascii="楷体_GB2312" w:hAnsi="Tahoma" w:eastAsia="楷体_GB2312" w:cs="楷体_GB2312"/>
          <w:b/>
          <w:bCs/>
          <w:kern w:val="0"/>
          <w:sz w:val="32"/>
          <w:szCs w:val="32"/>
        </w:rPr>
        <w:t>行政政法与科教文化股（乡财股）　</w:t>
      </w:r>
      <w:r>
        <w:rPr>
          <w:rFonts w:hint="eastAsia" w:ascii="仿宋_GB2312" w:hAnsi="Tahoma" w:eastAsia="仿宋_GB2312" w:cs="仿宋_GB2312"/>
          <w:kern w:val="0"/>
          <w:sz w:val="32"/>
          <w:szCs w:val="32"/>
        </w:rPr>
        <w:t>承担行政、政法、涉外交流、</w:t>
      </w:r>
      <w:r>
        <w:rPr>
          <w:rFonts w:hint="eastAsia" w:ascii="仿宋_GB2312" w:hAnsi="Tahoma" w:eastAsia="仿宋_GB2312" w:cs="仿宋_GB2312"/>
          <w:color w:val="000000"/>
          <w:kern w:val="0"/>
          <w:sz w:val="32"/>
          <w:szCs w:val="32"/>
        </w:rPr>
        <w:t>经贸合作</w:t>
      </w:r>
      <w:r>
        <w:rPr>
          <w:rFonts w:hint="eastAsia" w:ascii="仿宋_GB2312" w:hAnsi="Tahoma" w:eastAsia="仿宋_GB2312" w:cs="仿宋_GB2312"/>
          <w:kern w:val="0"/>
          <w:sz w:val="32"/>
          <w:szCs w:val="32"/>
        </w:rPr>
        <w:t>等方面的部门预算和相关领域预算支出有关工作，参与县级部门因公出国（境）经费预算管理工作，承办涉及港澳合作与交流事务的财政有关事项。负责财政预算内行政事业单位和社会团体的非贸易外汇和财政预算内的国际收支管理。</w:t>
      </w:r>
      <w:r>
        <w:rPr>
          <w:rFonts w:hint="eastAsia" w:ascii="仿宋_GB2312" w:hAnsi="Tahoma" w:eastAsia="仿宋_GB2312" w:cs="仿宋_GB2312"/>
          <w:color w:val="000000"/>
          <w:kern w:val="0"/>
          <w:sz w:val="32"/>
          <w:szCs w:val="32"/>
        </w:rPr>
        <w:t>执行行政性经费财务管理制度。</w:t>
      </w:r>
      <w:r>
        <w:rPr>
          <w:rFonts w:hint="eastAsia" w:ascii="仿宋_GB2312" w:hAnsi="Tahoma" w:eastAsia="仿宋_GB2312" w:cs="仿宋_GB2312"/>
          <w:kern w:val="0"/>
          <w:sz w:val="32"/>
          <w:szCs w:val="32"/>
        </w:rPr>
        <w:t>承担政府外债有关管理工作和本部门外事管理工作。承担宣传、文化体育和旅游、风景名胜管理、教育、科协等方面的部门预算和相关领域预算支出有关工作，提出相关财政政策建议。</w:t>
      </w:r>
      <w:r>
        <w:rPr>
          <w:rFonts w:hint="eastAsia" w:ascii="仿宋_GB2312" w:hAnsi="Tahoma" w:eastAsia="仿宋_GB2312" w:cs="仿宋_GB2312"/>
          <w:color w:val="000000"/>
          <w:kern w:val="0"/>
          <w:sz w:val="32"/>
          <w:szCs w:val="32"/>
        </w:rPr>
        <w:t>执行事业单位通用的财务管理制度。</w:t>
      </w:r>
      <w:r>
        <w:rPr>
          <w:rFonts w:hint="eastAsia" w:ascii="仿宋_GB2312" w:hAnsi="Tahoma" w:eastAsia="仿宋_GB2312" w:cs="仿宋_GB2312"/>
          <w:kern w:val="0"/>
          <w:sz w:val="32"/>
          <w:szCs w:val="32"/>
        </w:rPr>
        <w:t>负责制定乡</w:t>
      </w:r>
      <w:r>
        <w:rPr>
          <w:rFonts w:ascii="仿宋_GB2312" w:hAnsi="Tahoma" w:eastAsia="仿宋_GB2312" w:cs="仿宋_GB2312"/>
          <w:kern w:val="0"/>
          <w:sz w:val="32"/>
          <w:szCs w:val="32"/>
        </w:rPr>
        <w:t>(</w:t>
      </w:r>
      <w:r>
        <w:rPr>
          <w:rFonts w:hint="eastAsia" w:ascii="仿宋_GB2312" w:hAnsi="Tahoma" w:eastAsia="仿宋_GB2312" w:cs="仿宋_GB2312"/>
          <w:kern w:val="0"/>
          <w:sz w:val="32"/>
          <w:szCs w:val="32"/>
        </w:rPr>
        <w:t>镇</w:t>
      </w:r>
      <w:r>
        <w:rPr>
          <w:rFonts w:ascii="仿宋_GB2312" w:hAnsi="Tahoma" w:eastAsia="仿宋_GB2312" w:cs="仿宋_GB2312"/>
          <w:kern w:val="0"/>
          <w:sz w:val="32"/>
          <w:szCs w:val="32"/>
        </w:rPr>
        <w:t>)</w:t>
      </w:r>
      <w:r>
        <w:rPr>
          <w:rFonts w:hint="eastAsia" w:ascii="仿宋_GB2312" w:hAnsi="Tahoma" w:eastAsia="仿宋_GB2312" w:cs="仿宋_GB2312"/>
          <w:kern w:val="0"/>
          <w:sz w:val="32"/>
          <w:szCs w:val="32"/>
        </w:rPr>
        <w:t>财政管理制度并指导、监督乡镇财政工作；负责各乡</w:t>
      </w:r>
      <w:r>
        <w:rPr>
          <w:rFonts w:ascii="仿宋_GB2312" w:hAnsi="Tahoma" w:eastAsia="仿宋_GB2312" w:cs="仿宋_GB2312"/>
          <w:kern w:val="0"/>
          <w:sz w:val="32"/>
          <w:szCs w:val="32"/>
        </w:rPr>
        <w:t>(</w:t>
      </w:r>
      <w:r>
        <w:rPr>
          <w:rFonts w:hint="eastAsia" w:ascii="仿宋_GB2312" w:hAnsi="Tahoma" w:eastAsia="仿宋_GB2312" w:cs="仿宋_GB2312"/>
          <w:kern w:val="0"/>
          <w:sz w:val="32"/>
          <w:szCs w:val="32"/>
        </w:rPr>
        <w:t>镇</w:t>
      </w:r>
      <w:r>
        <w:rPr>
          <w:rFonts w:ascii="仿宋_GB2312" w:hAnsi="Tahoma" w:eastAsia="仿宋_GB2312" w:cs="仿宋_GB2312"/>
          <w:kern w:val="0"/>
          <w:sz w:val="32"/>
          <w:szCs w:val="32"/>
        </w:rPr>
        <w:t>)</w:t>
      </w:r>
      <w:r>
        <w:rPr>
          <w:rFonts w:hint="eastAsia" w:ascii="仿宋_GB2312" w:hAnsi="Tahoma" w:eastAsia="仿宋_GB2312" w:cs="仿宋_GB2312"/>
          <w:kern w:val="0"/>
          <w:sz w:val="32"/>
          <w:szCs w:val="32"/>
        </w:rPr>
        <w:t>预、决算的审核和批复工作。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农业农村股（自然资源与生态环境股</w:t>
      </w:r>
      <w:r>
        <w:rPr>
          <w:rFonts w:hint="eastAsia" w:ascii="仿宋_GB2312" w:hAnsi="Tahoma" w:eastAsia="仿宋_GB2312" w:cs="仿宋_GB2312"/>
          <w:b/>
          <w:bCs/>
          <w:kern w:val="0"/>
          <w:sz w:val="32"/>
          <w:szCs w:val="32"/>
        </w:rPr>
        <w:t>）</w:t>
      </w:r>
      <w:r>
        <w:rPr>
          <w:rFonts w:hint="eastAsia" w:ascii="楷体_GB2312" w:hAnsi="Tahoma" w:eastAsia="楷体_GB2312" w:cs="楷体_GB2312"/>
          <w:b/>
          <w:bCs/>
          <w:kern w:val="0"/>
          <w:sz w:val="32"/>
          <w:szCs w:val="32"/>
        </w:rPr>
        <w:t>　</w:t>
      </w:r>
      <w:r>
        <w:rPr>
          <w:rFonts w:hint="eastAsia" w:ascii="仿宋_GB2312" w:hAnsi="Tahoma" w:eastAsia="仿宋_GB2312" w:cs="仿宋_GB2312"/>
          <w:kern w:val="0"/>
          <w:sz w:val="32"/>
          <w:szCs w:val="32"/>
        </w:rPr>
        <w:t>承担农业农村、科技、水利、扶贫等方面的部门预算和相关领域预算支出有关工作，提出相关财政政策建议。承担财政支持实施乡村振兴战略相关工作，统筹安排财政扶贫资金。</w:t>
      </w:r>
      <w:r>
        <w:rPr>
          <w:rFonts w:hint="eastAsia" w:ascii="仿宋_GB2312" w:hAnsi="Tahoma" w:eastAsia="仿宋_GB2312" w:cs="仿宋_GB2312"/>
          <w:color w:val="000000"/>
          <w:kern w:val="0"/>
          <w:sz w:val="32"/>
          <w:szCs w:val="32"/>
        </w:rPr>
        <w:t>提出有关农村综合改革措施建议。</w:t>
      </w:r>
      <w:r>
        <w:rPr>
          <w:rFonts w:hint="eastAsia" w:ascii="仿宋_GB2312" w:hAnsi="Tahoma" w:eastAsia="仿宋_GB2312" w:cs="仿宋_GB2312"/>
          <w:kern w:val="0"/>
          <w:sz w:val="32"/>
          <w:szCs w:val="32"/>
        </w:rPr>
        <w:t>承担自然资源、生态环境、林业草原等方面的部门预算和相关领域预算支出有关工作。贯彻促进资源节约、地灾治理、生态保护修复、污染防治、核与辐射安全、测绘、国家公园建设等方面的财政政策。参与拟订自然资源和生态环境领域发展规划等。</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社会保障股　</w:t>
      </w:r>
      <w:r>
        <w:rPr>
          <w:rFonts w:hint="eastAsia" w:ascii="仿宋_GB2312" w:hAnsi="Tahoma" w:eastAsia="仿宋_GB2312" w:cs="仿宋_GB2312"/>
          <w:kern w:val="0"/>
          <w:sz w:val="32"/>
          <w:szCs w:val="32"/>
        </w:rPr>
        <w:t>承担人力资源和社会保障、民政、卫生健康、退役军人事务、医疗保障等方面的部门预算和相关领域预算支出有关工作，提出相关财政政策建议。会同有关方面拟订有关资金（基金）财务管理制度。审核并汇总编制全县社会保险基金预决算草案，承担社会保险基金财政监管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经济建设与金融股　</w:t>
      </w:r>
      <w:r>
        <w:rPr>
          <w:rFonts w:hint="eastAsia" w:ascii="仿宋_GB2312" w:hAnsi="Tahoma" w:eastAsia="仿宋_GB2312" w:cs="仿宋_GB2312"/>
          <w:color w:val="000000"/>
          <w:kern w:val="0"/>
          <w:sz w:val="32"/>
          <w:szCs w:val="32"/>
        </w:rPr>
        <w:t>承担工业、交通、能源、商贸、粮食和物资储备、建设、应急、军民融合发展等方面的部门预算和相关领域预算支出有关工作</w:t>
      </w:r>
      <w:r>
        <w:rPr>
          <w:rFonts w:hint="eastAsia" w:ascii="仿宋_GB2312" w:hAnsi="Tahoma" w:eastAsia="仿宋_GB2312" w:cs="仿宋_GB2312"/>
          <w:kern w:val="0"/>
          <w:sz w:val="32"/>
          <w:szCs w:val="32"/>
        </w:rPr>
        <w:t>，提出相关财政政策建议。办理基建投资财政拨款，</w:t>
      </w:r>
      <w:r>
        <w:rPr>
          <w:rFonts w:hint="eastAsia" w:ascii="仿宋_GB2312" w:hAnsi="Tahoma" w:eastAsia="仿宋_GB2312" w:cs="仿宋_GB2312"/>
          <w:color w:val="000000"/>
          <w:kern w:val="0"/>
          <w:sz w:val="32"/>
          <w:szCs w:val="32"/>
        </w:rPr>
        <w:t>执行基建财务管理制度</w:t>
      </w:r>
      <w:r>
        <w:rPr>
          <w:rFonts w:hint="eastAsia" w:ascii="仿宋_GB2312" w:hAnsi="Tahoma" w:eastAsia="仿宋_GB2312" w:cs="仿宋_GB2312"/>
          <w:kern w:val="0"/>
          <w:sz w:val="32"/>
          <w:szCs w:val="32"/>
        </w:rPr>
        <w:t>。承担有关政策性补贴和专项储备财政管理工作。承担财政政策与金融监管、金融体制改革协调配合相关工作。承担政府债务规模控制、限额管理、预算管理、债券管理、风险防控、统计分析、考核评价、信息公开和加强政府隐性债务监管等工作。承担地方债券管理工作。</w:t>
      </w:r>
      <w:r>
        <w:rPr>
          <w:rFonts w:hint="eastAsia" w:ascii="仿宋_GB2312" w:hAnsi="Tahoma" w:eastAsia="仿宋_GB2312" w:cs="仿宋_GB2312"/>
          <w:color w:val="000000"/>
          <w:kern w:val="0"/>
          <w:sz w:val="32"/>
          <w:szCs w:val="32"/>
        </w:rPr>
        <w:t>拟订全县政府债务管理制度、财政金融互动政策。公共服务领域政府和社会资本合作工作</w:t>
      </w:r>
      <w:r>
        <w:rPr>
          <w:rFonts w:hint="eastAsia" w:ascii="仿宋_GB2312" w:hAnsi="Tahoma" w:eastAsia="仿宋_GB2312" w:cs="仿宋_GB2312"/>
          <w:kern w:val="0"/>
          <w:sz w:val="32"/>
          <w:szCs w:val="32"/>
        </w:rPr>
        <w:t>。负责金融方面的部门预算和相关领域预算支出有关工作。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财政监督与绩效管理股　</w:t>
      </w:r>
      <w:r>
        <w:rPr>
          <w:rFonts w:hint="eastAsia" w:ascii="仿宋_GB2312" w:hAnsi="Tahoma" w:eastAsia="仿宋_GB2312" w:cs="仿宋_GB2312"/>
          <w:kern w:val="0"/>
          <w:sz w:val="32"/>
          <w:szCs w:val="32"/>
        </w:rPr>
        <w:t>牵头建立财政监督与绩效管理制度机制。负责重大财政政策落实、财经纪律执行、行业执业质量监督检查工作。承担全面实施预算绩效管理有关工作。牵头组织开展事前绩效评估、事中绩效监控、事后绩效评价工作</w:t>
      </w:r>
      <w:r>
        <w:rPr>
          <w:rFonts w:ascii="仿宋_GB2312" w:hAnsi="Tahoma" w:eastAsia="仿宋_GB2312" w:cs="仿宋_GB2312"/>
          <w:kern w:val="0"/>
          <w:sz w:val="32"/>
          <w:szCs w:val="32"/>
        </w:rPr>
        <w:t xml:space="preserve">, </w:t>
      </w:r>
      <w:r>
        <w:rPr>
          <w:rFonts w:hint="eastAsia" w:ascii="仿宋_GB2312" w:hAnsi="Tahoma" w:eastAsia="仿宋_GB2312" w:cs="仿宋_GB2312"/>
          <w:kern w:val="0"/>
          <w:sz w:val="32"/>
          <w:szCs w:val="32"/>
        </w:rPr>
        <w:t>督促开展绩效目标管理和评价结果应用工作。负责本部门内部控制管理和内部审计工作。</w:t>
      </w:r>
    </w:p>
    <w:p>
      <w:pPr>
        <w:widowControl/>
        <w:adjustRightInd w:val="0"/>
        <w:snapToGrid w:val="0"/>
        <w:spacing w:line="576" w:lineRule="exact"/>
        <w:ind w:firstLine="642" w:firstLineChars="200"/>
        <w:rPr>
          <w:rFonts w:ascii="仿宋_GB2312" w:hAnsi="Tahoma" w:eastAsia="仿宋_GB2312"/>
          <w:kern w:val="0"/>
          <w:sz w:val="32"/>
          <w:szCs w:val="32"/>
        </w:rPr>
      </w:pPr>
      <w:r>
        <w:rPr>
          <w:rFonts w:hint="eastAsia" w:ascii="楷体_GB2312" w:hAnsi="Tahoma" w:eastAsia="楷体_GB2312" w:cs="楷体_GB2312"/>
          <w:b/>
          <w:bCs/>
          <w:kern w:val="0"/>
          <w:sz w:val="32"/>
          <w:szCs w:val="32"/>
        </w:rPr>
        <w:t>政府采购监督管理与资产股　</w:t>
      </w:r>
      <w:r>
        <w:rPr>
          <w:rFonts w:hint="eastAsia" w:ascii="仿宋_GB2312" w:hAnsi="Tahoma" w:eastAsia="仿宋_GB2312" w:cs="仿宋_GB2312"/>
          <w:kern w:val="0"/>
          <w:sz w:val="32"/>
          <w:szCs w:val="32"/>
        </w:rPr>
        <w:t>执行政府采购政策和管理制度。</w:t>
      </w:r>
      <w:r>
        <w:rPr>
          <w:rFonts w:hint="eastAsia" w:ascii="仿宋_GB2312" w:hAnsi="Tahoma" w:eastAsia="仿宋_GB2312" w:cs="仿宋_GB2312"/>
          <w:color w:val="000000"/>
          <w:kern w:val="0"/>
          <w:sz w:val="32"/>
          <w:szCs w:val="32"/>
        </w:rPr>
        <w:t>执行政府集中采购目录</w:t>
      </w:r>
      <w:r>
        <w:rPr>
          <w:rFonts w:hint="eastAsia" w:ascii="仿宋_GB2312" w:hAnsi="Tahoma" w:eastAsia="仿宋_GB2312" w:cs="仿宋_GB2312"/>
          <w:kern w:val="0"/>
          <w:sz w:val="32"/>
          <w:szCs w:val="32"/>
        </w:rPr>
        <w:t>、政府采购限额标准和公开招标数额标准。负责管理评审专家、供应商信息库。负责审核县级政府采购预算。</w:t>
      </w:r>
      <w:r>
        <w:rPr>
          <w:rFonts w:hint="eastAsia" w:ascii="仿宋_GB2312" w:hAnsi="Tahoma" w:eastAsia="仿宋_GB2312" w:cs="仿宋_GB2312"/>
          <w:color w:val="000000"/>
          <w:kern w:val="0"/>
          <w:sz w:val="32"/>
          <w:szCs w:val="32"/>
        </w:rPr>
        <w:t>监督管理县级政府采购活动。</w:t>
      </w:r>
      <w:r>
        <w:rPr>
          <w:rFonts w:hint="eastAsia" w:ascii="仿宋_GB2312" w:hAnsi="Tahoma" w:eastAsia="仿宋_GB2312" w:cs="仿宋_GB2312"/>
          <w:kern w:val="0"/>
          <w:sz w:val="32"/>
          <w:szCs w:val="32"/>
        </w:rPr>
        <w:t>负责政府采购信息化建设。负责政府采购供应商投诉处理。拟订行政事业单位国有资产管理制度并组织实施。组织实施企业财务制度及企业财务会计报告编制办法，</w:t>
      </w:r>
      <w:r>
        <w:rPr>
          <w:rFonts w:hint="eastAsia" w:ascii="仿宋_GB2312" w:hAnsi="Tahoma" w:eastAsia="仿宋_GB2312" w:cs="仿宋_GB2312"/>
          <w:color w:val="000000"/>
          <w:kern w:val="0"/>
          <w:sz w:val="32"/>
          <w:szCs w:val="32"/>
        </w:rPr>
        <w:t>开展国有资本经营预算编制和执行等管理工作。推进县级行政事业单位经营性国有资产集中统一监管工作。</w:t>
      </w:r>
      <w:r>
        <w:rPr>
          <w:rFonts w:hint="eastAsia" w:ascii="仿宋_GB2312" w:hAnsi="Tahoma" w:eastAsia="仿宋_GB2312" w:cs="仿宋_GB2312"/>
          <w:kern w:val="0"/>
          <w:sz w:val="32"/>
          <w:szCs w:val="32"/>
        </w:rPr>
        <w:t>落实国有资产管理情况报告工作。承担资产评估管理有关工作。</w:t>
      </w:r>
    </w:p>
    <w:p>
      <w:pPr>
        <w:widowControl/>
        <w:adjustRightInd w:val="0"/>
        <w:snapToGrid w:val="0"/>
        <w:spacing w:line="576" w:lineRule="exact"/>
        <w:ind w:firstLine="642" w:firstLineChars="200"/>
        <w:rPr>
          <w:rFonts w:ascii="仿宋_GB2312" w:hAnsi="Tahoma" w:eastAsia="仿宋_GB2312"/>
          <w:color w:val="000000"/>
          <w:kern w:val="0"/>
          <w:sz w:val="32"/>
          <w:szCs w:val="32"/>
        </w:rPr>
      </w:pPr>
      <w:r>
        <w:rPr>
          <w:rFonts w:hint="eastAsia" w:ascii="楷体_GB2312" w:hAnsi="Tahoma" w:eastAsia="楷体_GB2312" w:cs="楷体_GB2312"/>
          <w:b/>
          <w:bCs/>
          <w:kern w:val="0"/>
          <w:sz w:val="32"/>
          <w:szCs w:val="32"/>
        </w:rPr>
        <w:t>法规会计与综合股（行政审批股）　</w:t>
      </w:r>
      <w:r>
        <w:rPr>
          <w:rFonts w:hint="eastAsia" w:ascii="仿宋_GB2312" w:hAnsi="Tahoma" w:eastAsia="仿宋_GB2312" w:cs="仿宋_GB2312"/>
          <w:color w:val="000000"/>
          <w:kern w:val="0"/>
          <w:sz w:val="32"/>
          <w:szCs w:val="32"/>
        </w:rPr>
        <w:t>承担有关规范性文件的合法性审查工作和财政普法工作、重大行政处罚听证、行政复议、行政应诉工作及本系统</w:t>
      </w:r>
      <w:r>
        <w:rPr>
          <w:rFonts w:hint="eastAsia" w:ascii="仿宋_GB2312" w:hAnsi="Tahoma" w:eastAsia="仿宋_GB2312" w:cs="仿宋_GB2312"/>
          <w:kern w:val="0"/>
          <w:sz w:val="32"/>
          <w:szCs w:val="32"/>
        </w:rPr>
        <w:t>权责清单制度建设、动态调整等工作。指导</w:t>
      </w:r>
      <w:r>
        <w:rPr>
          <w:rFonts w:hint="eastAsia" w:ascii="仿宋_GB2312" w:hAnsi="Tahoma" w:eastAsia="仿宋_GB2312" w:cs="仿宋_GB2312"/>
          <w:color w:val="000000"/>
          <w:kern w:val="0"/>
          <w:sz w:val="32"/>
          <w:szCs w:val="32"/>
        </w:rPr>
        <w:t>本系统综合行政执法工作，制定财政执法责任制度并组织监督检查。</w:t>
      </w:r>
      <w:r>
        <w:rPr>
          <w:rFonts w:hint="eastAsia" w:ascii="仿宋_GB2312" w:hAnsi="Tahoma" w:eastAsia="仿宋_GB2312" w:cs="仿宋_GB2312"/>
          <w:kern w:val="0"/>
          <w:sz w:val="32"/>
          <w:szCs w:val="32"/>
        </w:rPr>
        <w:t>按照管理权限管理全县税政事项。</w:t>
      </w:r>
      <w:r>
        <w:rPr>
          <w:rFonts w:hint="eastAsia" w:ascii="仿宋_GB2312" w:hAnsi="Tahoma" w:eastAsia="仿宋_GB2312" w:cs="仿宋_GB2312"/>
          <w:color w:val="000000"/>
          <w:kern w:val="0"/>
          <w:sz w:val="32"/>
          <w:szCs w:val="32"/>
        </w:rPr>
        <w:t>负责提出地方税种增减、税目税率调整、减免税等建议和税收政策调整建议并开展税源调查分析</w:t>
      </w:r>
      <w:r>
        <w:rPr>
          <w:rFonts w:hint="eastAsia" w:ascii="仿宋_GB2312" w:hAnsi="Tahoma" w:eastAsia="仿宋_GB2312" w:cs="仿宋_GB2312"/>
          <w:kern w:val="0"/>
          <w:sz w:val="32"/>
          <w:szCs w:val="32"/>
        </w:rPr>
        <w:t>。管理全县会计工作，贯彻实施国家统一的会计法律法规和会计制度。指导会计人才队伍建设有关工作，按规定承担会计专业技术资格管理工作。管理全县会计人员的考试和业务培训。指导和监督注册会计师、会计师事务所、代理记账机构工作。开展财政政策调查研究工作，</w:t>
      </w:r>
      <w:r>
        <w:rPr>
          <w:rFonts w:hint="eastAsia" w:ascii="仿宋_GB2312" w:hAnsi="Tahoma" w:eastAsia="仿宋_GB2312" w:cs="仿宋_GB2312"/>
          <w:color w:val="000000"/>
          <w:kern w:val="0"/>
          <w:sz w:val="32"/>
          <w:szCs w:val="32"/>
        </w:rPr>
        <w:t>执行政府购买服务制度，</w:t>
      </w:r>
      <w:r>
        <w:rPr>
          <w:rFonts w:hint="eastAsia" w:ascii="仿宋_GB2312" w:hAnsi="Tahoma" w:eastAsia="仿宋_GB2312" w:cs="仿宋_GB2312"/>
          <w:kern w:val="0"/>
          <w:sz w:val="32"/>
          <w:szCs w:val="32"/>
        </w:rPr>
        <w:t>提出收入分配政策建议和改革方案。管理住房改革和保障资金。贯彻落实土地、矿产等国有资源出让收支政策。按规定管理彩票公益金有关工作。执行政府非税收入管理制度及政策。承担政府性基金、行政事业性收费等相关工作。牵头协调推进本系统“放管服”改革，承担审批服务便民化有关工作，集中承担县本级有关审批服务事项的受理、审批等工作，推进纳入一体化政务服务平台。</w:t>
      </w:r>
    </w:p>
    <w:p>
      <w:pPr>
        <w:spacing w:line="600" w:lineRule="exact"/>
        <w:ind w:firstLine="642" w:firstLineChars="200"/>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（三）人员概况</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事业机构</w:t>
      </w:r>
      <w:r>
        <w:rPr>
          <w:rFonts w:ascii="仿宋_GB2312" w:eastAsia="仿宋_GB2312" w:cs="仿宋_GB2312"/>
          <w:sz w:val="32"/>
          <w:szCs w:val="32"/>
        </w:rPr>
        <w:t>2</w:t>
      </w:r>
      <w:r>
        <w:rPr>
          <w:rFonts w:hint="eastAsia" w:ascii="仿宋_GB2312" w:eastAsia="仿宋_GB2312" w:cs="仿宋_GB2312"/>
          <w:sz w:val="32"/>
          <w:szCs w:val="32"/>
        </w:rPr>
        <w:t>个；总编制</w:t>
      </w:r>
      <w:r>
        <w:rPr>
          <w:rFonts w:ascii="仿宋_GB2312" w:eastAsia="仿宋_GB2312" w:cs="仿宋_GB2312"/>
          <w:sz w:val="32"/>
          <w:szCs w:val="32"/>
        </w:rPr>
        <w:t>46</w:t>
      </w:r>
      <w:r>
        <w:rPr>
          <w:rFonts w:hint="eastAsia" w:ascii="仿宋_GB2312" w:eastAsia="仿宋_GB2312" w:cs="仿宋_GB2312"/>
          <w:sz w:val="32"/>
          <w:szCs w:val="32"/>
        </w:rPr>
        <w:t>名，行政编制</w:t>
      </w:r>
      <w:r>
        <w:rPr>
          <w:rFonts w:ascii="仿宋_GB2312" w:eastAsia="仿宋_GB2312" w:cs="仿宋_GB2312"/>
          <w:sz w:val="32"/>
          <w:szCs w:val="32"/>
        </w:rPr>
        <w:t>15</w:t>
      </w:r>
      <w:r>
        <w:rPr>
          <w:rFonts w:hint="eastAsia" w:ascii="仿宋_GB2312" w:eastAsia="仿宋_GB2312" w:cs="仿宋_GB2312"/>
          <w:sz w:val="32"/>
          <w:szCs w:val="32"/>
        </w:rPr>
        <w:t>名（含</w:t>
      </w:r>
      <w:r>
        <w:rPr>
          <w:rFonts w:ascii="仿宋_GB2312" w:eastAsia="仿宋_GB2312" w:cs="仿宋_GB2312"/>
          <w:sz w:val="32"/>
          <w:szCs w:val="32"/>
        </w:rPr>
        <w:t>2</w:t>
      </w:r>
      <w:r>
        <w:rPr>
          <w:rFonts w:hint="eastAsia" w:ascii="仿宋_GB2312" w:eastAsia="仿宋_GB2312" w:cs="仿宋_GB2312"/>
          <w:sz w:val="32"/>
          <w:szCs w:val="32"/>
        </w:rPr>
        <w:t>名工勤），事业编制</w:t>
      </w:r>
      <w:r>
        <w:rPr>
          <w:rFonts w:ascii="仿宋_GB2312" w:eastAsia="仿宋_GB2312" w:cs="仿宋_GB2312"/>
          <w:sz w:val="32"/>
          <w:szCs w:val="32"/>
        </w:rPr>
        <w:t>27</w:t>
      </w:r>
      <w:r>
        <w:rPr>
          <w:rFonts w:hint="eastAsia" w:ascii="仿宋_GB2312" w:eastAsia="仿宋_GB2312" w:cs="仿宋_GB2312"/>
          <w:sz w:val="32"/>
          <w:szCs w:val="32"/>
        </w:rPr>
        <w:t>名；在职人员总数</w:t>
      </w:r>
      <w:r>
        <w:rPr>
          <w:rFonts w:ascii="仿宋_GB2312" w:eastAsia="仿宋_GB2312" w:cs="仿宋_GB2312"/>
          <w:sz w:val="32"/>
          <w:szCs w:val="32"/>
        </w:rPr>
        <w:t>32</w:t>
      </w:r>
      <w:r>
        <w:rPr>
          <w:rFonts w:hint="eastAsia" w:ascii="仿宋_GB2312" w:eastAsia="仿宋_GB2312" w:cs="仿宋_GB2312"/>
          <w:sz w:val="32"/>
          <w:szCs w:val="32"/>
        </w:rPr>
        <w:t>名，其中：行政人员</w:t>
      </w:r>
      <w:r>
        <w:rPr>
          <w:rFonts w:ascii="仿宋_GB2312" w:eastAsia="仿宋_GB2312" w:cs="仿宋_GB2312"/>
          <w:sz w:val="32"/>
          <w:szCs w:val="32"/>
        </w:rPr>
        <w:t>13</w:t>
      </w:r>
      <w:r>
        <w:rPr>
          <w:rFonts w:hint="eastAsia" w:ascii="仿宋_GB2312" w:eastAsia="仿宋_GB2312" w:cs="仿宋_GB2312"/>
          <w:sz w:val="32"/>
          <w:szCs w:val="32"/>
        </w:rPr>
        <w:t>名、工勤人员</w:t>
      </w:r>
      <w:r>
        <w:rPr>
          <w:rFonts w:ascii="仿宋_GB2312" w:eastAsia="仿宋_GB2312" w:cs="仿宋_GB2312"/>
          <w:sz w:val="32"/>
          <w:szCs w:val="32"/>
        </w:rPr>
        <w:t>1</w:t>
      </w:r>
      <w:r>
        <w:rPr>
          <w:rFonts w:hint="eastAsia" w:ascii="仿宋_GB2312" w:eastAsia="仿宋_GB2312" w:cs="仿宋_GB2312"/>
          <w:sz w:val="32"/>
          <w:szCs w:val="32"/>
        </w:rPr>
        <w:t>名、事业人员</w:t>
      </w:r>
      <w:r>
        <w:rPr>
          <w:rFonts w:ascii="仿宋_GB2312" w:eastAsia="仿宋_GB2312" w:cs="仿宋_GB2312"/>
          <w:sz w:val="32"/>
          <w:szCs w:val="32"/>
        </w:rPr>
        <w:t>18</w:t>
      </w:r>
      <w:r>
        <w:rPr>
          <w:rFonts w:hint="eastAsia" w:ascii="仿宋_GB2312" w:eastAsia="仿宋_GB2312" w:cs="仿宋_GB2312"/>
          <w:sz w:val="32"/>
          <w:szCs w:val="32"/>
        </w:rPr>
        <w:t>名、离休人员</w:t>
      </w:r>
      <w:r>
        <w:rPr>
          <w:rFonts w:ascii="仿宋_GB2312" w:eastAsia="仿宋_GB2312" w:cs="仿宋_GB2312"/>
          <w:sz w:val="32"/>
          <w:szCs w:val="32"/>
        </w:rPr>
        <w:t>1</w:t>
      </w:r>
      <w:r>
        <w:rPr>
          <w:rFonts w:hint="eastAsia" w:ascii="仿宋_GB2312" w:eastAsia="仿宋_GB2312" w:cs="仿宋_GB2312"/>
          <w:sz w:val="32"/>
          <w:szCs w:val="32"/>
        </w:rPr>
        <w:t>名、退休人员</w:t>
      </w:r>
      <w:r>
        <w:rPr>
          <w:rFonts w:ascii="仿宋_GB2312" w:eastAsia="仿宋_GB2312" w:cs="仿宋_GB2312"/>
          <w:sz w:val="32"/>
          <w:szCs w:val="32"/>
        </w:rPr>
        <w:t>10</w:t>
      </w:r>
      <w:r>
        <w:rPr>
          <w:rFonts w:hint="eastAsia" w:ascii="仿宋_GB2312" w:eastAsia="仿宋_GB2312" w:cs="仿宋_GB2312"/>
          <w:sz w:val="32"/>
          <w:szCs w:val="32"/>
        </w:rPr>
        <w:t>名。</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二、部门财政资金收支情况</w:t>
      </w:r>
    </w:p>
    <w:p>
      <w:pPr>
        <w:spacing w:line="600" w:lineRule="exact"/>
        <w:ind w:firstLine="642" w:firstLineChars="200"/>
        <w:rPr>
          <w:rFonts w:ascii="仿宋_GB2312" w:hAnsi="宋体" w:eastAsia="仿宋_GB2312"/>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年我局总收入为</w:t>
      </w:r>
      <w:r>
        <w:rPr>
          <w:rFonts w:ascii="仿宋_GB2312" w:eastAsia="仿宋_GB2312" w:cs="仿宋_GB2312"/>
          <w:color w:val="000000"/>
          <w:sz w:val="32"/>
          <w:szCs w:val="32"/>
        </w:rPr>
        <w:t>585.51</w:t>
      </w:r>
      <w:r>
        <w:rPr>
          <w:rFonts w:hint="eastAsia" w:ascii="仿宋_GB2312" w:eastAsia="仿宋_GB2312" w:cs="仿宋_GB2312"/>
          <w:color w:val="000000"/>
          <w:sz w:val="32"/>
          <w:szCs w:val="32"/>
        </w:rPr>
        <w:t>万元其中：财政拨款收入：</w:t>
      </w:r>
      <w:r>
        <w:rPr>
          <w:rFonts w:ascii="仿宋_GB2312" w:eastAsia="仿宋_GB2312" w:cs="仿宋_GB2312"/>
          <w:color w:val="000000"/>
          <w:sz w:val="32"/>
          <w:szCs w:val="32"/>
        </w:rPr>
        <w:t>585.51</w:t>
      </w:r>
      <w:r>
        <w:rPr>
          <w:rFonts w:hint="eastAsia" w:ascii="仿宋_GB2312" w:eastAsia="仿宋_GB2312" w:cs="仿宋_GB2312"/>
          <w:color w:val="000000"/>
          <w:sz w:val="32"/>
          <w:szCs w:val="32"/>
        </w:rPr>
        <w:t>万元。</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ascii="仿宋_GB2312" w:eastAsia="仿宋_GB2312" w:cs="仿宋_GB2312"/>
          <w:sz w:val="32"/>
          <w:szCs w:val="32"/>
        </w:rPr>
        <w:t>2019</w:t>
      </w:r>
      <w:r>
        <w:rPr>
          <w:rFonts w:hint="eastAsia" w:ascii="仿宋_GB2312" w:eastAsia="仿宋_GB2312" w:cs="仿宋_GB2312"/>
          <w:sz w:val="32"/>
          <w:szCs w:val="32"/>
        </w:rPr>
        <w:t>年部门总支出</w:t>
      </w:r>
      <w:r>
        <w:rPr>
          <w:rFonts w:ascii="仿宋_GB2312" w:eastAsia="仿宋_GB2312" w:cs="仿宋_GB2312"/>
          <w:sz w:val="32"/>
          <w:szCs w:val="32"/>
        </w:rPr>
        <w:t>588.05</w:t>
      </w:r>
      <w:r>
        <w:rPr>
          <w:rFonts w:hint="eastAsia" w:ascii="仿宋_GB2312" w:eastAsia="仿宋_GB2312" w:cs="仿宋_GB2312"/>
          <w:sz w:val="32"/>
          <w:szCs w:val="32"/>
        </w:rPr>
        <w:t>万元，其中：基本支出</w:t>
      </w:r>
      <w:r>
        <w:rPr>
          <w:rFonts w:ascii="仿宋_GB2312" w:eastAsia="仿宋_GB2312" w:cs="仿宋_GB2312"/>
          <w:sz w:val="32"/>
          <w:szCs w:val="32"/>
        </w:rPr>
        <w:t>547.49</w:t>
      </w:r>
      <w:r>
        <w:rPr>
          <w:rFonts w:hint="eastAsia" w:ascii="仿宋_GB2312" w:eastAsia="仿宋_GB2312" w:cs="仿宋_GB2312"/>
          <w:sz w:val="32"/>
          <w:szCs w:val="32"/>
        </w:rPr>
        <w:t>万元，占总支出的</w:t>
      </w:r>
      <w:r>
        <w:rPr>
          <w:rFonts w:ascii="仿宋_GB2312" w:eastAsia="仿宋_GB2312" w:cs="仿宋_GB2312"/>
          <w:sz w:val="32"/>
          <w:szCs w:val="32"/>
        </w:rPr>
        <w:t>93.10</w:t>
      </w:r>
      <w:r>
        <w:rPr>
          <w:rFonts w:hint="eastAsia" w:ascii="仿宋_GB2312" w:eastAsia="仿宋_GB2312" w:cs="仿宋_GB2312"/>
          <w:sz w:val="32"/>
          <w:szCs w:val="32"/>
        </w:rPr>
        <w:t>％，按支经济科目分类，工资福利支出</w:t>
      </w:r>
      <w:r>
        <w:rPr>
          <w:rFonts w:ascii="仿宋_GB2312" w:eastAsia="仿宋_GB2312" w:cs="仿宋_GB2312"/>
          <w:sz w:val="32"/>
          <w:szCs w:val="32"/>
        </w:rPr>
        <w:t>390.50</w:t>
      </w:r>
      <w:r>
        <w:rPr>
          <w:rFonts w:hint="eastAsia" w:ascii="仿宋_GB2312" w:eastAsia="仿宋_GB2312" w:cs="仿宋_GB2312"/>
          <w:sz w:val="32"/>
          <w:szCs w:val="32"/>
        </w:rPr>
        <w:t>万元，商品服务支出</w:t>
      </w:r>
      <w:r>
        <w:rPr>
          <w:rFonts w:ascii="仿宋_GB2312" w:eastAsia="仿宋_GB2312" w:cs="仿宋_GB2312"/>
          <w:sz w:val="32"/>
          <w:szCs w:val="32"/>
        </w:rPr>
        <w:t>25.88</w:t>
      </w:r>
      <w:r>
        <w:rPr>
          <w:rFonts w:hint="eastAsia" w:ascii="仿宋_GB2312" w:eastAsia="仿宋_GB2312" w:cs="仿宋_GB2312"/>
          <w:sz w:val="32"/>
          <w:szCs w:val="32"/>
        </w:rPr>
        <w:t>万元，对个人和家庭补助</w:t>
      </w:r>
      <w:r>
        <w:rPr>
          <w:rFonts w:ascii="仿宋_GB2312" w:eastAsia="仿宋_GB2312" w:cs="仿宋_GB2312"/>
          <w:sz w:val="32"/>
          <w:szCs w:val="32"/>
        </w:rPr>
        <w:t>131.09</w:t>
      </w:r>
      <w:r>
        <w:rPr>
          <w:rFonts w:hint="eastAsia" w:ascii="仿宋_GB2312" w:eastAsia="仿宋_GB2312" w:cs="仿宋_GB2312"/>
          <w:sz w:val="32"/>
          <w:szCs w:val="32"/>
        </w:rPr>
        <w:t>万元。项目支出</w:t>
      </w:r>
      <w:r>
        <w:rPr>
          <w:rFonts w:ascii="仿宋_GB2312" w:eastAsia="仿宋_GB2312" w:cs="仿宋_GB2312"/>
          <w:sz w:val="32"/>
          <w:szCs w:val="32"/>
        </w:rPr>
        <w:t>40.56</w:t>
      </w:r>
      <w:r>
        <w:rPr>
          <w:rFonts w:hint="eastAsia" w:ascii="仿宋_GB2312" w:eastAsia="仿宋_GB2312" w:cs="仿宋_GB2312"/>
          <w:sz w:val="32"/>
          <w:szCs w:val="32"/>
        </w:rPr>
        <w:t>万元，占总支出的</w:t>
      </w:r>
      <w:r>
        <w:rPr>
          <w:rFonts w:ascii="仿宋_GB2312" w:eastAsia="仿宋_GB2312" w:cs="仿宋_GB2312"/>
          <w:sz w:val="32"/>
          <w:szCs w:val="32"/>
        </w:rPr>
        <w:t>6.90</w:t>
      </w:r>
      <w:r>
        <w:rPr>
          <w:rFonts w:hint="eastAsia" w:ascii="仿宋_GB2312" w:eastAsia="仿宋_GB2312" w:cs="仿宋_GB2312"/>
          <w:sz w:val="32"/>
          <w:szCs w:val="32"/>
        </w:rPr>
        <w:t>％，按经济科目分类，商品服务支出</w:t>
      </w:r>
      <w:r>
        <w:rPr>
          <w:rFonts w:ascii="仿宋_GB2312" w:eastAsia="仿宋_GB2312" w:cs="仿宋_GB2312"/>
          <w:sz w:val="32"/>
          <w:szCs w:val="32"/>
        </w:rPr>
        <w:t>40.38</w:t>
      </w:r>
      <w:r>
        <w:rPr>
          <w:rFonts w:hint="eastAsia" w:ascii="仿宋_GB2312" w:eastAsia="仿宋_GB2312" w:cs="仿宋_GB2312"/>
          <w:sz w:val="32"/>
          <w:szCs w:val="32"/>
        </w:rPr>
        <w:t>万元，对个人和家庭补助</w:t>
      </w:r>
      <w:r>
        <w:rPr>
          <w:rFonts w:ascii="仿宋_GB2312" w:eastAsia="仿宋_GB2312" w:cs="仿宋_GB2312"/>
          <w:sz w:val="32"/>
          <w:szCs w:val="32"/>
        </w:rPr>
        <w:t>0.18</w:t>
      </w:r>
      <w:r>
        <w:rPr>
          <w:rFonts w:hint="eastAsia" w:ascii="仿宋_GB2312" w:eastAsia="仿宋_GB2312" w:cs="仿宋_GB2312"/>
          <w:sz w:val="32"/>
          <w:szCs w:val="32"/>
        </w:rPr>
        <w:t>万元。　　　</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（一）部门预算管理</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我局认真学习贯彻党的十九大、省第十一次党代会和省委十一届三次、四次全精神，以</w:t>
      </w:r>
      <w:r>
        <w:rPr>
          <w:rFonts w:hint="eastAsia" w:ascii="仿宋_GB2312" w:hAnsi="仿宋" w:eastAsia="仿宋_GB2312" w:cs="仿宋_GB2312"/>
          <w:sz w:val="32"/>
          <w:szCs w:val="32"/>
          <w:lang w:eastAsia="zh-CN"/>
        </w:rPr>
        <w:t>习近平新时代中国特色社会主义思想</w:t>
      </w:r>
      <w:r>
        <w:rPr>
          <w:rFonts w:hint="eastAsia" w:ascii="仿宋_GB2312" w:hAnsi="仿宋" w:eastAsia="仿宋_GB2312" w:cs="仿宋_GB2312"/>
          <w:sz w:val="32"/>
          <w:szCs w:val="32"/>
        </w:rPr>
        <w:t>为指导，自觉践行新发展理念，根据职能职责积极谋划，确定目标任务，积极发挥公共财政职能作用，推动落实稳增长、促改革、调结构、惠民生、防风险各项工作。</w:t>
      </w:r>
    </w:p>
    <w:p>
      <w:pPr>
        <w:spacing w:line="580" w:lineRule="exact"/>
        <w:ind w:firstLine="640" w:firstLineChars="200"/>
        <w:rPr>
          <w:rFonts w:ascii="仿宋_GB2312" w:eastAsia="仿宋_GB2312"/>
          <w:sz w:val="32"/>
          <w:szCs w:val="32"/>
        </w:rPr>
      </w:pPr>
      <w:r>
        <w:rPr>
          <w:rFonts w:hint="eastAsia" w:ascii="仿宋_GB2312" w:eastAsia="仿宋_GB2312" w:cs="仿宋_GB2312"/>
          <w:sz w:val="32"/>
          <w:szCs w:val="32"/>
        </w:rPr>
        <w:t>按照</w:t>
      </w:r>
      <w:r>
        <w:rPr>
          <w:rFonts w:ascii="仿宋_GB2312" w:eastAsia="仿宋_GB2312" w:cs="仿宋_GB2312"/>
          <w:sz w:val="32"/>
          <w:szCs w:val="32"/>
        </w:rPr>
        <w:t>2019</w:t>
      </w:r>
      <w:r>
        <w:rPr>
          <w:rFonts w:hint="eastAsia" w:ascii="仿宋_GB2312" w:eastAsia="仿宋_GB2312" w:cs="仿宋_GB2312"/>
          <w:sz w:val="32"/>
          <w:szCs w:val="32"/>
        </w:rPr>
        <w:t>年部门预算编制编审要求，根据我局职能职责，结合中长期规划和年度工作计划，明确了年度主要工作任务及年度内履职所要达到的效果，认真填报了我局整体支出绩效目标。</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（二）结果应用情况</w:t>
      </w:r>
    </w:p>
    <w:p>
      <w:pPr>
        <w:spacing w:line="580" w:lineRule="exact"/>
        <w:ind w:firstLine="640" w:firstLineChars="200"/>
        <w:rPr>
          <w:rFonts w:ascii="仿宋_GB2312" w:eastAsia="仿宋_GB2312"/>
          <w:sz w:val="32"/>
          <w:szCs w:val="32"/>
        </w:rPr>
      </w:pPr>
      <w:r>
        <w:rPr>
          <w:rFonts w:hint="eastAsia" w:ascii="仿宋_GB2312" w:eastAsia="仿宋_GB2312" w:cs="仿宋_GB2312"/>
          <w:sz w:val="32"/>
          <w:szCs w:val="32"/>
        </w:rPr>
        <w:t>我局对部门预算绩效管理工作开展情况认真进行了自查自评，绩效评价自查开展覆盖重点支出，将评价结果作为预算安排的重要依据，参照年度预算执行情况，保障重点支出，调整支出结构，优化财政资金配置，不断强化绩效理念，推动我局部门整体绩效管理水平不断提升。</w:t>
      </w:r>
    </w:p>
    <w:p>
      <w:pPr>
        <w:widowControl/>
        <w:adjustRightInd w:val="0"/>
        <w:snapToGrid w:val="0"/>
        <w:spacing w:line="580" w:lineRule="exact"/>
        <w:ind w:firstLine="640" w:firstLineChars="200"/>
        <w:jc w:val="left"/>
        <w:rPr>
          <w:rFonts w:ascii="黑体" w:hAnsi="宋体" w:eastAsia="黑体"/>
          <w:color w:val="000000"/>
          <w:kern w:val="0"/>
          <w:sz w:val="32"/>
          <w:szCs w:val="32"/>
          <w:shd w:val="clear" w:color="auto" w:fill="FFFFFF"/>
        </w:rPr>
      </w:pPr>
      <w:r>
        <w:rPr>
          <w:rFonts w:hint="eastAsia" w:ascii="黑体" w:hAnsi="宋体" w:eastAsia="黑体" w:cs="黑体"/>
          <w:color w:val="000000"/>
          <w:kern w:val="0"/>
          <w:sz w:val="32"/>
          <w:szCs w:val="32"/>
          <w:shd w:val="clear" w:color="auto" w:fill="FFFFFF"/>
        </w:rPr>
        <w:t>四、评价结论及建议</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仿宋_GB2312" w:eastAsia="仿宋_GB2312" w:cs="仿宋_GB2312"/>
          <w:sz w:val="32"/>
          <w:szCs w:val="32"/>
        </w:rPr>
        <w:t>部门整体支出绩效评价自查自评结果良好，全年基本保证了部门的正常运行和日常工作的正常开展。</w:t>
      </w:r>
    </w:p>
    <w:p>
      <w:pPr>
        <w:spacing w:line="580" w:lineRule="exact"/>
        <w:ind w:firstLine="642" w:firstLineChars="200"/>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（二）存在问题</w:t>
      </w:r>
    </w:p>
    <w:p>
      <w:pPr>
        <w:spacing w:line="580" w:lineRule="exact"/>
        <w:ind w:firstLine="640" w:firstLineChars="200"/>
        <w:rPr>
          <w:rStyle w:val="32"/>
          <w:rFonts w:ascii="仿宋_GB2312" w:hAnsi="黑体" w:eastAsia="仿宋_GB2312" w:cs="Times New Roman"/>
        </w:rPr>
      </w:pPr>
      <w:r>
        <w:rPr>
          <w:rFonts w:hint="eastAsia" w:ascii="仿宋_GB2312" w:eastAsia="仿宋_GB2312" w:cs="仿宋_GB2312"/>
          <w:sz w:val="32"/>
          <w:szCs w:val="32"/>
        </w:rPr>
        <w:t>绩效目标科学化、合理化。</w:t>
      </w:r>
    </w:p>
    <w:p>
      <w:pPr>
        <w:widowControl/>
        <w:adjustRightInd w:val="0"/>
        <w:snapToGrid w:val="0"/>
        <w:spacing w:line="580" w:lineRule="exact"/>
        <w:ind w:firstLine="642" w:firstLineChars="200"/>
        <w:jc w:val="left"/>
        <w:rPr>
          <w:rFonts w:ascii="楷体_GB2312" w:hAnsi="宋体" w:eastAsia="楷体_GB2312"/>
          <w:b/>
          <w:bCs/>
          <w:color w:val="000000"/>
          <w:kern w:val="0"/>
          <w:sz w:val="32"/>
          <w:szCs w:val="32"/>
          <w:shd w:val="clear" w:color="auto" w:fill="FFFFFF"/>
          <w:lang w:val="zh-CN"/>
        </w:rPr>
      </w:pPr>
      <w:r>
        <w:rPr>
          <w:rFonts w:hint="eastAsia" w:ascii="楷体_GB2312" w:hAnsi="宋体" w:eastAsia="楷体_GB2312" w:cs="楷体_GB2312"/>
          <w:b/>
          <w:bCs/>
          <w:color w:val="000000"/>
          <w:kern w:val="0"/>
          <w:sz w:val="32"/>
          <w:szCs w:val="32"/>
          <w:shd w:val="clear" w:color="auto" w:fill="FFFFFF"/>
          <w:lang w:val="zh-CN"/>
        </w:rPr>
        <w:t>（三）改进建议</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针对存在的问题，我们将进一步科学设定绩效目标，加强预算执行管理。</w:t>
      </w:r>
    </w:p>
    <w:p>
      <w:pPr>
        <w:spacing w:line="580" w:lineRule="exact"/>
        <w:ind w:firstLine="640" w:firstLineChars="200"/>
        <w:rPr>
          <w:rFonts w:ascii="仿宋_GB2312" w:hAnsi="仿宋_GB2312" w:eastAsia="仿宋_GB2312"/>
          <w:sz w:val="32"/>
          <w:szCs w:val="32"/>
        </w:rPr>
      </w:pPr>
    </w:p>
    <w:p>
      <w:pPr>
        <w:spacing w:line="580" w:lineRule="exact"/>
        <w:ind w:firstLine="640" w:firstLineChars="200"/>
        <w:rPr>
          <w:rFonts w:ascii="仿宋_GB2312" w:hAnsi="仿宋_GB2312" w:eastAsia="仿宋_GB2312"/>
          <w:sz w:val="32"/>
          <w:szCs w:val="32"/>
        </w:rPr>
      </w:pPr>
    </w:p>
    <w:p>
      <w:pPr>
        <w:widowControl/>
        <w:jc w:val="left"/>
        <w:rPr>
          <w:rStyle w:val="16"/>
          <w:rFonts w:ascii="黑体" w:hAnsi="黑体" w:eastAsia="黑体"/>
          <w:b w:val="0"/>
          <w:bCs w:val="0"/>
        </w:rPr>
      </w:pPr>
    </w:p>
    <w:p>
      <w:pPr>
        <w:widowControl/>
        <w:ind w:firstLine="2640" w:firstLineChars="600"/>
        <w:jc w:val="left"/>
        <w:rPr>
          <w:rStyle w:val="16"/>
          <w:rFonts w:ascii="方正小标宋_GBK" w:hAnsi="黑体" w:eastAsia="方正小标宋_GBK"/>
          <w:b w:val="0"/>
          <w:bCs w:val="0"/>
        </w:rPr>
      </w:pPr>
      <w:r>
        <w:rPr>
          <w:rStyle w:val="16"/>
          <w:rFonts w:ascii="黑体" w:hAnsi="黑体" w:eastAsia="黑体"/>
          <w:b w:val="0"/>
          <w:bCs w:val="0"/>
        </w:rPr>
        <w:br w:type="page"/>
      </w:r>
      <w:bookmarkStart w:id="73" w:name="_Toc15396618"/>
      <w:r>
        <w:rPr>
          <w:rFonts w:hint="eastAsia" w:ascii="方正小标宋_GBK" w:hAnsi="黑体" w:eastAsia="方正小标宋_GBK" w:cs="方正小标宋_GBK"/>
          <w:color w:val="000000"/>
          <w:sz w:val="44"/>
          <w:szCs w:val="44"/>
        </w:rPr>
        <w:t>第</w:t>
      </w:r>
      <w:r>
        <w:rPr>
          <w:rStyle w:val="16"/>
          <w:rFonts w:hint="eastAsia" w:ascii="方正小标宋_GBK" w:hAnsi="黑体" w:eastAsia="方正小标宋_GBK" w:cs="方正小标宋_GBK"/>
          <w:b w:val="0"/>
          <w:bCs w:val="0"/>
        </w:rPr>
        <w:t>五部分</w:t>
      </w:r>
      <w:r>
        <w:rPr>
          <w:rStyle w:val="16"/>
          <w:rFonts w:ascii="方正小标宋_GBK" w:hAnsi="黑体" w:eastAsia="方正小标宋_GBK" w:cs="方正小标宋_GBK"/>
          <w:b w:val="0"/>
          <w:bCs w:val="0"/>
        </w:rPr>
        <w:t xml:space="preserve"> </w:t>
      </w:r>
      <w:r>
        <w:rPr>
          <w:rStyle w:val="16"/>
          <w:rFonts w:hint="eastAsia" w:ascii="方正小标宋_GBK" w:hAnsi="黑体" w:eastAsia="方正小标宋_GBK" w:cs="方正小标宋_GBK"/>
          <w:b w:val="0"/>
          <w:bCs w:val="0"/>
        </w:rPr>
        <w:t>附表</w:t>
      </w:r>
      <w:bookmarkEnd w:id="71"/>
      <w:bookmarkEnd w:id="73"/>
    </w:p>
    <w:p>
      <w:pPr>
        <w:pStyle w:val="3"/>
        <w:rPr>
          <w:rFonts w:ascii="仿宋_GB2312" w:hAnsi="仿宋" w:eastAsia="仿宋_GB2312" w:cs="Times New Roman"/>
          <w:color w:val="000000"/>
        </w:rPr>
      </w:pPr>
      <w:bookmarkStart w:id="74" w:name="_Toc15396619"/>
      <w:r>
        <w:rPr>
          <w:rFonts w:hint="eastAsia" w:ascii="仿宋_GB2312" w:hAnsi="仿宋" w:eastAsia="仿宋_GB2312" w:cs="仿宋_GB2312"/>
          <w:b w:val="0"/>
          <w:bCs w:val="0"/>
          <w:color w:val="000000"/>
        </w:rPr>
        <w:t>一、收</w:t>
      </w:r>
      <w:r>
        <w:rPr>
          <w:rStyle w:val="17"/>
          <w:rFonts w:hint="eastAsia" w:ascii="仿宋_GB2312" w:hAnsi="仿宋" w:eastAsia="仿宋_GB2312" w:cs="仿宋_GB2312"/>
          <w:b w:val="0"/>
          <w:bCs w:val="0"/>
        </w:rPr>
        <w:t>入支出决算总表</w:t>
      </w:r>
      <w:bookmarkEnd w:id="74"/>
    </w:p>
    <w:p>
      <w:pPr>
        <w:pStyle w:val="3"/>
        <w:rPr>
          <w:rFonts w:ascii="仿宋_GB2312" w:hAnsi="仿宋" w:eastAsia="仿宋_GB2312" w:cs="Times New Roman"/>
          <w:color w:val="000000"/>
        </w:rPr>
      </w:pPr>
      <w:bookmarkStart w:id="75" w:name="_Toc15396620"/>
      <w:r>
        <w:rPr>
          <w:rFonts w:hint="eastAsia" w:ascii="仿宋_GB2312" w:hAnsi="仿宋" w:eastAsia="仿宋_GB2312" w:cs="仿宋_GB2312"/>
          <w:b w:val="0"/>
          <w:bCs w:val="0"/>
          <w:color w:val="000000"/>
        </w:rPr>
        <w:t>二、收</w:t>
      </w:r>
      <w:r>
        <w:rPr>
          <w:rStyle w:val="17"/>
          <w:rFonts w:hint="eastAsia" w:ascii="仿宋_GB2312" w:hAnsi="仿宋" w:eastAsia="仿宋_GB2312" w:cs="仿宋_GB2312"/>
          <w:b w:val="0"/>
          <w:bCs w:val="0"/>
        </w:rPr>
        <w:t>入决算表</w:t>
      </w:r>
      <w:bookmarkEnd w:id="75"/>
    </w:p>
    <w:p>
      <w:pPr>
        <w:pStyle w:val="3"/>
        <w:rPr>
          <w:rFonts w:ascii="仿宋_GB2312" w:hAnsi="仿宋" w:eastAsia="仿宋_GB2312" w:cs="Times New Roman"/>
          <w:color w:val="000000"/>
        </w:rPr>
      </w:pPr>
      <w:bookmarkStart w:id="76" w:name="_Toc15396621"/>
      <w:r>
        <w:rPr>
          <w:rStyle w:val="17"/>
          <w:rFonts w:hint="eastAsia" w:ascii="仿宋_GB2312" w:hAnsi="仿宋" w:eastAsia="仿宋_GB2312" w:cs="仿宋_GB2312"/>
          <w:b w:val="0"/>
          <w:bCs w:val="0"/>
        </w:rPr>
        <w:t>三、</w:t>
      </w:r>
      <w:r>
        <w:rPr>
          <w:rFonts w:hint="eastAsia" w:ascii="仿宋_GB2312" w:hAnsi="仿宋" w:eastAsia="仿宋_GB2312" w:cs="仿宋_GB2312"/>
          <w:b w:val="0"/>
          <w:bCs w:val="0"/>
          <w:color w:val="000000"/>
        </w:rPr>
        <w:t>支</w:t>
      </w:r>
      <w:r>
        <w:rPr>
          <w:rStyle w:val="17"/>
          <w:rFonts w:hint="eastAsia" w:ascii="仿宋_GB2312" w:hAnsi="仿宋" w:eastAsia="仿宋_GB2312" w:cs="仿宋_GB2312"/>
          <w:b w:val="0"/>
          <w:bCs w:val="0"/>
        </w:rPr>
        <w:t>出决算表</w:t>
      </w:r>
      <w:bookmarkEnd w:id="76"/>
    </w:p>
    <w:p>
      <w:pPr>
        <w:pStyle w:val="3"/>
        <w:rPr>
          <w:rFonts w:ascii="仿宋_GB2312" w:hAnsi="仿宋" w:eastAsia="仿宋_GB2312" w:cs="Times New Roman"/>
          <w:b w:val="0"/>
          <w:bCs w:val="0"/>
          <w:color w:val="000000"/>
        </w:rPr>
      </w:pPr>
      <w:bookmarkStart w:id="77" w:name="_Toc15396622"/>
      <w:r>
        <w:rPr>
          <w:rStyle w:val="17"/>
          <w:rFonts w:hint="eastAsia" w:ascii="仿宋_GB2312" w:hAnsi="仿宋" w:eastAsia="仿宋_GB2312" w:cs="仿宋_GB2312"/>
          <w:b w:val="0"/>
          <w:bCs w:val="0"/>
        </w:rPr>
        <w:t>四、</w:t>
      </w:r>
      <w:r>
        <w:rPr>
          <w:rFonts w:hint="eastAsia" w:ascii="仿宋_GB2312" w:hAnsi="仿宋" w:eastAsia="仿宋_GB2312" w:cs="仿宋_GB2312"/>
          <w:b w:val="0"/>
          <w:bCs w:val="0"/>
          <w:color w:val="000000"/>
        </w:rPr>
        <w:t>财</w:t>
      </w:r>
      <w:r>
        <w:rPr>
          <w:rStyle w:val="17"/>
          <w:rFonts w:hint="eastAsia" w:ascii="仿宋_GB2312" w:hAnsi="仿宋" w:eastAsia="仿宋_GB2312" w:cs="仿宋_GB2312"/>
          <w:b w:val="0"/>
          <w:bCs w:val="0"/>
        </w:rPr>
        <w:t>政拨款收入支出决算总表</w:t>
      </w:r>
      <w:bookmarkEnd w:id="77"/>
    </w:p>
    <w:p>
      <w:pPr>
        <w:pStyle w:val="3"/>
        <w:rPr>
          <w:rStyle w:val="17"/>
          <w:rFonts w:ascii="仿宋_GB2312" w:hAnsi="仿宋" w:eastAsia="仿宋_GB2312" w:cs="Times New Roman"/>
          <w:b w:val="0"/>
          <w:bCs w:val="0"/>
        </w:rPr>
      </w:pPr>
      <w:bookmarkStart w:id="78" w:name="_Toc15396623"/>
      <w:r>
        <w:rPr>
          <w:rStyle w:val="17"/>
          <w:rFonts w:hint="eastAsia" w:ascii="仿宋_GB2312" w:hAnsi="仿宋" w:eastAsia="仿宋_GB2312" w:cs="仿宋_GB2312"/>
          <w:b w:val="0"/>
          <w:bCs w:val="0"/>
        </w:rPr>
        <w:t>五、</w:t>
      </w:r>
      <w:r>
        <w:rPr>
          <w:rFonts w:hint="eastAsia" w:ascii="仿宋_GB2312" w:hAnsi="仿宋" w:eastAsia="仿宋_GB2312" w:cs="仿宋_GB2312"/>
          <w:b w:val="0"/>
          <w:bCs w:val="0"/>
          <w:color w:val="000000"/>
        </w:rPr>
        <w:t>财</w:t>
      </w:r>
      <w:r>
        <w:rPr>
          <w:rStyle w:val="17"/>
          <w:rFonts w:hint="eastAsia" w:ascii="仿宋_GB2312" w:hAnsi="仿宋" w:eastAsia="仿宋_GB2312" w:cs="仿宋_GB2312"/>
          <w:b w:val="0"/>
          <w:bCs w:val="0"/>
        </w:rPr>
        <w:t>政拨款支出决算明细表</w:t>
      </w:r>
      <w:bookmarkEnd w:id="78"/>
      <w:bookmarkStart w:id="79" w:name="_Toc15396624"/>
    </w:p>
    <w:p>
      <w:pPr>
        <w:pStyle w:val="3"/>
        <w:rPr>
          <w:rFonts w:ascii="仿宋_GB2312" w:hAnsi="仿宋" w:eastAsia="仿宋_GB2312" w:cs="Times New Roman"/>
          <w:color w:val="000000"/>
        </w:rPr>
      </w:pPr>
      <w:r>
        <w:rPr>
          <w:rStyle w:val="17"/>
          <w:rFonts w:hint="eastAsia" w:ascii="仿宋_GB2312" w:hAnsi="仿宋" w:eastAsia="仿宋_GB2312" w:cs="仿宋_GB2312"/>
          <w:b w:val="0"/>
          <w:bCs w:val="0"/>
        </w:rPr>
        <w:t>六、</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般公共预算财政拨款支出决算表</w:t>
      </w:r>
      <w:bookmarkEnd w:id="79"/>
    </w:p>
    <w:p>
      <w:pPr>
        <w:pStyle w:val="3"/>
        <w:rPr>
          <w:rFonts w:ascii="仿宋_GB2312" w:hAnsi="仿宋" w:eastAsia="仿宋_GB2312" w:cs="Times New Roman"/>
          <w:color w:val="000000"/>
        </w:rPr>
      </w:pPr>
      <w:bookmarkStart w:id="80" w:name="_Toc15396625"/>
      <w:r>
        <w:rPr>
          <w:rStyle w:val="17"/>
          <w:rFonts w:hint="eastAsia" w:ascii="仿宋_GB2312" w:hAnsi="仿宋" w:eastAsia="仿宋_GB2312" w:cs="仿宋_GB2312"/>
          <w:b w:val="0"/>
          <w:bCs w:val="0"/>
        </w:rPr>
        <w:t>七、</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般公共预算财政拨款支出决算明细表</w:t>
      </w:r>
      <w:bookmarkEnd w:id="80"/>
    </w:p>
    <w:p>
      <w:pPr>
        <w:pStyle w:val="3"/>
        <w:rPr>
          <w:rFonts w:ascii="仿宋_GB2312" w:hAnsi="仿宋" w:eastAsia="仿宋_GB2312" w:cs="Times New Roman"/>
          <w:color w:val="000000"/>
        </w:rPr>
      </w:pPr>
      <w:bookmarkStart w:id="81" w:name="_Toc15396626"/>
      <w:r>
        <w:rPr>
          <w:rStyle w:val="17"/>
          <w:rFonts w:hint="eastAsia" w:ascii="仿宋_GB2312" w:hAnsi="仿宋" w:eastAsia="仿宋_GB2312" w:cs="仿宋_GB2312"/>
          <w:b w:val="0"/>
          <w:bCs w:val="0"/>
        </w:rPr>
        <w:t>八、</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般公共预算财政拨款基本支出决算表</w:t>
      </w:r>
      <w:bookmarkEnd w:id="81"/>
    </w:p>
    <w:p>
      <w:pPr>
        <w:pStyle w:val="3"/>
        <w:rPr>
          <w:rFonts w:ascii="仿宋_GB2312" w:hAnsi="仿宋" w:eastAsia="仿宋_GB2312" w:cs="Times New Roman"/>
          <w:color w:val="000000"/>
        </w:rPr>
      </w:pPr>
      <w:bookmarkStart w:id="82" w:name="_Toc15396627"/>
      <w:r>
        <w:rPr>
          <w:rStyle w:val="17"/>
          <w:rFonts w:hint="eastAsia" w:ascii="仿宋_GB2312" w:hAnsi="仿宋" w:eastAsia="仿宋_GB2312" w:cs="仿宋_GB2312"/>
          <w:b w:val="0"/>
          <w:bCs w:val="0"/>
        </w:rPr>
        <w:t>九、</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般公共预算财政拨款项目支出决算表</w:t>
      </w:r>
      <w:bookmarkEnd w:id="82"/>
    </w:p>
    <w:p>
      <w:pPr>
        <w:pStyle w:val="3"/>
        <w:rPr>
          <w:rFonts w:ascii="仿宋_GB2312" w:hAnsi="仿宋" w:eastAsia="仿宋_GB2312" w:cs="Times New Roman"/>
          <w:color w:val="000000"/>
        </w:rPr>
      </w:pPr>
      <w:bookmarkStart w:id="83" w:name="_Toc15396628"/>
      <w:r>
        <w:rPr>
          <w:rStyle w:val="17"/>
          <w:rFonts w:hint="eastAsia" w:ascii="仿宋_GB2312" w:hAnsi="仿宋" w:eastAsia="仿宋_GB2312" w:cs="仿宋_GB2312"/>
          <w:b w:val="0"/>
          <w:bCs w:val="0"/>
        </w:rPr>
        <w:t>十、</w:t>
      </w:r>
      <w:r>
        <w:rPr>
          <w:rFonts w:hint="eastAsia" w:ascii="仿宋_GB2312" w:hAnsi="仿宋" w:eastAsia="仿宋_GB2312" w:cs="仿宋_GB2312"/>
          <w:b w:val="0"/>
          <w:bCs w:val="0"/>
          <w:color w:val="000000"/>
        </w:rPr>
        <w:t>一</w:t>
      </w:r>
      <w:r>
        <w:rPr>
          <w:rStyle w:val="17"/>
          <w:rFonts w:hint="eastAsia" w:ascii="仿宋_GB2312" w:hAnsi="仿宋" w:eastAsia="仿宋_GB2312" w:cs="仿宋_GB2312"/>
          <w:b w:val="0"/>
          <w:bCs w:val="0"/>
        </w:rPr>
        <w:t>般公共预算财政拨款“三公”经费支出决算表</w:t>
      </w:r>
      <w:bookmarkEnd w:id="83"/>
    </w:p>
    <w:p>
      <w:pPr>
        <w:pStyle w:val="3"/>
        <w:rPr>
          <w:rFonts w:ascii="仿宋_GB2312" w:hAnsi="仿宋" w:eastAsia="仿宋_GB2312" w:cs="Times New Roman"/>
          <w:color w:val="000000"/>
        </w:rPr>
      </w:pPr>
      <w:bookmarkStart w:id="84" w:name="_Toc15396629"/>
      <w:r>
        <w:rPr>
          <w:rStyle w:val="17"/>
          <w:rFonts w:hint="eastAsia" w:ascii="仿宋_GB2312" w:hAnsi="仿宋" w:eastAsia="仿宋_GB2312" w:cs="仿宋_GB2312"/>
          <w:b w:val="0"/>
          <w:bCs w:val="0"/>
        </w:rPr>
        <w:t>十一、</w:t>
      </w:r>
      <w:r>
        <w:rPr>
          <w:rFonts w:hint="eastAsia" w:ascii="仿宋_GB2312" w:hAnsi="仿宋" w:eastAsia="仿宋_GB2312" w:cs="仿宋_GB2312"/>
          <w:b w:val="0"/>
          <w:bCs w:val="0"/>
          <w:color w:val="000000"/>
        </w:rPr>
        <w:t>政</w:t>
      </w:r>
      <w:r>
        <w:rPr>
          <w:rStyle w:val="17"/>
          <w:rFonts w:hint="eastAsia" w:ascii="仿宋_GB2312" w:hAnsi="仿宋" w:eastAsia="仿宋_GB2312" w:cs="仿宋_GB2312"/>
          <w:b w:val="0"/>
          <w:bCs w:val="0"/>
        </w:rPr>
        <w:t>府性基金预算财政拨款收入支出决算表</w:t>
      </w:r>
      <w:bookmarkEnd w:id="84"/>
    </w:p>
    <w:p>
      <w:pPr>
        <w:pStyle w:val="3"/>
        <w:rPr>
          <w:rFonts w:ascii="仿宋_GB2312" w:hAnsi="仿宋" w:eastAsia="仿宋_GB2312" w:cs="Times New Roman"/>
          <w:color w:val="000000"/>
        </w:rPr>
      </w:pPr>
      <w:bookmarkStart w:id="85" w:name="_Toc15396630"/>
      <w:r>
        <w:rPr>
          <w:rStyle w:val="17"/>
          <w:rFonts w:hint="eastAsia" w:ascii="仿宋_GB2312" w:hAnsi="仿宋" w:eastAsia="仿宋_GB2312" w:cs="仿宋_GB2312"/>
          <w:b w:val="0"/>
          <w:bCs w:val="0"/>
        </w:rPr>
        <w:t>十二、</w:t>
      </w:r>
      <w:r>
        <w:rPr>
          <w:rFonts w:hint="eastAsia" w:ascii="仿宋_GB2312" w:hAnsi="仿宋" w:eastAsia="仿宋_GB2312" w:cs="仿宋_GB2312"/>
          <w:b w:val="0"/>
          <w:bCs w:val="0"/>
          <w:color w:val="000000"/>
        </w:rPr>
        <w:t>政</w:t>
      </w:r>
      <w:r>
        <w:rPr>
          <w:rStyle w:val="17"/>
          <w:rFonts w:hint="eastAsia" w:ascii="仿宋_GB2312" w:hAnsi="仿宋" w:eastAsia="仿宋_GB2312" w:cs="仿宋_GB2312"/>
          <w:b w:val="0"/>
          <w:bCs w:val="0"/>
        </w:rPr>
        <w:t>府性基金预算财政拨款“三公”经费支出决算表</w:t>
      </w:r>
      <w:bookmarkEnd w:id="85"/>
    </w:p>
    <w:p>
      <w:pPr>
        <w:pStyle w:val="3"/>
        <w:rPr>
          <w:rFonts w:ascii="仿宋_GB2312" w:hAnsi="仿宋" w:eastAsia="仿宋_GB2312" w:cs="Times New Roman"/>
          <w:color w:val="000000"/>
        </w:rPr>
      </w:pPr>
      <w:bookmarkStart w:id="86" w:name="_Toc15396631"/>
      <w:r>
        <w:rPr>
          <w:rStyle w:val="17"/>
          <w:rFonts w:hint="eastAsia" w:ascii="仿宋_GB2312" w:hAnsi="仿宋" w:eastAsia="仿宋_GB2312" w:cs="仿宋_GB2312"/>
          <w:b w:val="0"/>
          <w:bCs w:val="0"/>
        </w:rPr>
        <w:t>十三、</w:t>
      </w:r>
      <w:r>
        <w:rPr>
          <w:rFonts w:hint="eastAsia" w:ascii="仿宋_GB2312" w:hAnsi="仿宋" w:eastAsia="仿宋_GB2312" w:cs="仿宋_GB2312"/>
          <w:b w:val="0"/>
          <w:bCs w:val="0"/>
          <w:color w:val="000000"/>
        </w:rPr>
        <w:t>国</w:t>
      </w:r>
      <w:r>
        <w:rPr>
          <w:rStyle w:val="17"/>
          <w:rFonts w:hint="eastAsia" w:ascii="仿宋_GB2312" w:hAnsi="仿宋" w:eastAsia="仿宋_GB2312" w:cs="仿宋_GB2312"/>
          <w:b w:val="0"/>
          <w:bCs w:val="0"/>
        </w:rPr>
        <w:t>有资本经营预算支出决算表</w:t>
      </w:r>
      <w:bookmarkEnd w:id="86"/>
    </w:p>
    <w:sectPr>
      <w:headerReference r:id="rId3" w:type="default"/>
      <w:footerReference r:id="rId4" w:type="default"/>
      <w:pgSz w:w="11906" w:h="16838"/>
      <w:pgMar w:top="1440" w:right="1616"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cs="Times New Roman"/>
      </w:rPr>
    </w:pPr>
    <w:r>
      <w:fldChar w:fldCharType="begin"/>
    </w:r>
    <w:r>
      <w:instrText xml:space="preserve">PAGE   \* MERGEFORMAT</w:instrText>
    </w:r>
    <w:r>
      <w:fldChar w:fldCharType="separate"/>
    </w:r>
    <w:r>
      <w:rPr>
        <w:lang w:val="zh-CN"/>
      </w:rPr>
      <w:t>22</w:t>
    </w:r>
    <w:r>
      <w:rPr>
        <w:lang w:val="zh-CN"/>
      </w:rPr>
      <w:fldChar w:fldCharType="end"/>
    </w:r>
  </w:p>
  <w:p>
    <w:pPr>
      <w:pStyle w:val="8"/>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bCs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7A1BA1F"/>
    <w:multiLevelType w:val="singleLevel"/>
    <w:tmpl w:val="57A1BA1F"/>
    <w:lvl w:ilvl="0" w:tentative="0">
      <w:start w:val="1"/>
      <w:numFmt w:val="chineseCounting"/>
      <w:suff w:val="space"/>
      <w:lvlText w:val="第%1部分"/>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17F9E"/>
    <w:rsid w:val="000222C6"/>
    <w:rsid w:val="00023866"/>
    <w:rsid w:val="0002549F"/>
    <w:rsid w:val="000255D4"/>
    <w:rsid w:val="00026C5F"/>
    <w:rsid w:val="00043FD0"/>
    <w:rsid w:val="000468DB"/>
    <w:rsid w:val="00050C1F"/>
    <w:rsid w:val="0006111F"/>
    <w:rsid w:val="0006414B"/>
    <w:rsid w:val="0006487A"/>
    <w:rsid w:val="00065F8F"/>
    <w:rsid w:val="00070A43"/>
    <w:rsid w:val="000768F2"/>
    <w:rsid w:val="000774AA"/>
    <w:rsid w:val="00077CB4"/>
    <w:rsid w:val="0009184B"/>
    <w:rsid w:val="00094236"/>
    <w:rsid w:val="0009593C"/>
    <w:rsid w:val="00097322"/>
    <w:rsid w:val="000A640F"/>
    <w:rsid w:val="000A6A92"/>
    <w:rsid w:val="000B047F"/>
    <w:rsid w:val="000B5923"/>
    <w:rsid w:val="000B5A48"/>
    <w:rsid w:val="000B6FF3"/>
    <w:rsid w:val="000C3467"/>
    <w:rsid w:val="000C3CA6"/>
    <w:rsid w:val="000C4B34"/>
    <w:rsid w:val="000D01A2"/>
    <w:rsid w:val="000D1267"/>
    <w:rsid w:val="000D1D50"/>
    <w:rsid w:val="000D4250"/>
    <w:rsid w:val="000D5782"/>
    <w:rsid w:val="000E2B07"/>
    <w:rsid w:val="000E6613"/>
    <w:rsid w:val="000E7119"/>
    <w:rsid w:val="000F34F1"/>
    <w:rsid w:val="00114E9B"/>
    <w:rsid w:val="00121792"/>
    <w:rsid w:val="00142216"/>
    <w:rsid w:val="00144D6A"/>
    <w:rsid w:val="0014729F"/>
    <w:rsid w:val="00157BAB"/>
    <w:rsid w:val="001654D1"/>
    <w:rsid w:val="00170455"/>
    <w:rsid w:val="001713CE"/>
    <w:rsid w:val="00174518"/>
    <w:rsid w:val="0018106D"/>
    <w:rsid w:val="001877A7"/>
    <w:rsid w:val="001900DE"/>
    <w:rsid w:val="00191536"/>
    <w:rsid w:val="0019325D"/>
    <w:rsid w:val="00196687"/>
    <w:rsid w:val="001A0831"/>
    <w:rsid w:val="001A270D"/>
    <w:rsid w:val="001C0962"/>
    <w:rsid w:val="001D221B"/>
    <w:rsid w:val="001D7531"/>
    <w:rsid w:val="001E327A"/>
    <w:rsid w:val="001E737D"/>
    <w:rsid w:val="001F0592"/>
    <w:rsid w:val="001F7506"/>
    <w:rsid w:val="002006CD"/>
    <w:rsid w:val="00202B36"/>
    <w:rsid w:val="00204B7A"/>
    <w:rsid w:val="00204CDE"/>
    <w:rsid w:val="0021101A"/>
    <w:rsid w:val="00211946"/>
    <w:rsid w:val="00220536"/>
    <w:rsid w:val="00225EDF"/>
    <w:rsid w:val="00233692"/>
    <w:rsid w:val="00235629"/>
    <w:rsid w:val="002566A5"/>
    <w:rsid w:val="00260C38"/>
    <w:rsid w:val="002616C0"/>
    <w:rsid w:val="00265372"/>
    <w:rsid w:val="002662AA"/>
    <w:rsid w:val="00272D02"/>
    <w:rsid w:val="00280496"/>
    <w:rsid w:val="00294DC9"/>
    <w:rsid w:val="00295495"/>
    <w:rsid w:val="0029777C"/>
    <w:rsid w:val="002A31DE"/>
    <w:rsid w:val="002A7A0A"/>
    <w:rsid w:val="002B2589"/>
    <w:rsid w:val="002B2613"/>
    <w:rsid w:val="002B60B8"/>
    <w:rsid w:val="002C2BAE"/>
    <w:rsid w:val="002C66E0"/>
    <w:rsid w:val="002D19B0"/>
    <w:rsid w:val="002D6D05"/>
    <w:rsid w:val="002D6EE1"/>
    <w:rsid w:val="002D747C"/>
    <w:rsid w:val="002F1818"/>
    <w:rsid w:val="002F567B"/>
    <w:rsid w:val="00312F9C"/>
    <w:rsid w:val="003216A9"/>
    <w:rsid w:val="00335990"/>
    <w:rsid w:val="00335A74"/>
    <w:rsid w:val="00343670"/>
    <w:rsid w:val="0034515D"/>
    <w:rsid w:val="00350248"/>
    <w:rsid w:val="00351F26"/>
    <w:rsid w:val="00352EC1"/>
    <w:rsid w:val="00354374"/>
    <w:rsid w:val="00360E90"/>
    <w:rsid w:val="00362878"/>
    <w:rsid w:val="003629A8"/>
    <w:rsid w:val="0036561B"/>
    <w:rsid w:val="00365CDC"/>
    <w:rsid w:val="0037013F"/>
    <w:rsid w:val="00374427"/>
    <w:rsid w:val="00380C92"/>
    <w:rsid w:val="00393D27"/>
    <w:rsid w:val="003A37F3"/>
    <w:rsid w:val="003A4463"/>
    <w:rsid w:val="003A484F"/>
    <w:rsid w:val="003A4883"/>
    <w:rsid w:val="003A759B"/>
    <w:rsid w:val="003B0BE0"/>
    <w:rsid w:val="003B0C1B"/>
    <w:rsid w:val="003B61F1"/>
    <w:rsid w:val="003B688C"/>
    <w:rsid w:val="003C0291"/>
    <w:rsid w:val="003C39AE"/>
    <w:rsid w:val="003C7B60"/>
    <w:rsid w:val="003D0C0F"/>
    <w:rsid w:val="003D1FB2"/>
    <w:rsid w:val="003D40A3"/>
    <w:rsid w:val="003D66DA"/>
    <w:rsid w:val="003E1310"/>
    <w:rsid w:val="003E6F55"/>
    <w:rsid w:val="003F6619"/>
    <w:rsid w:val="00406254"/>
    <w:rsid w:val="0041622A"/>
    <w:rsid w:val="00416CD4"/>
    <w:rsid w:val="004223DE"/>
    <w:rsid w:val="0042621A"/>
    <w:rsid w:val="004304B0"/>
    <w:rsid w:val="00434489"/>
    <w:rsid w:val="00437085"/>
    <w:rsid w:val="00443880"/>
    <w:rsid w:val="004464F4"/>
    <w:rsid w:val="00457A24"/>
    <w:rsid w:val="00470082"/>
    <w:rsid w:val="00471401"/>
    <w:rsid w:val="00473F31"/>
    <w:rsid w:val="004772B1"/>
    <w:rsid w:val="0048263A"/>
    <w:rsid w:val="00487E5D"/>
    <w:rsid w:val="00496E48"/>
    <w:rsid w:val="004A073C"/>
    <w:rsid w:val="004A384B"/>
    <w:rsid w:val="004A711F"/>
    <w:rsid w:val="004B199D"/>
    <w:rsid w:val="004B4690"/>
    <w:rsid w:val="004B51E4"/>
    <w:rsid w:val="004C2C96"/>
    <w:rsid w:val="004C4825"/>
    <w:rsid w:val="004C6416"/>
    <w:rsid w:val="004D3568"/>
    <w:rsid w:val="004D6C64"/>
    <w:rsid w:val="004E0A2D"/>
    <w:rsid w:val="004E13A1"/>
    <w:rsid w:val="004E206B"/>
    <w:rsid w:val="004E6DF7"/>
    <w:rsid w:val="004E6FD4"/>
    <w:rsid w:val="004F0FBD"/>
    <w:rsid w:val="004F3AA9"/>
    <w:rsid w:val="004F403E"/>
    <w:rsid w:val="0050094A"/>
    <w:rsid w:val="00505A47"/>
    <w:rsid w:val="00512FDA"/>
    <w:rsid w:val="00520DA0"/>
    <w:rsid w:val="00523336"/>
    <w:rsid w:val="00525DB0"/>
    <w:rsid w:val="00537F71"/>
    <w:rsid w:val="005508C1"/>
    <w:rsid w:val="00557F96"/>
    <w:rsid w:val="005637E8"/>
    <w:rsid w:val="0056512A"/>
    <w:rsid w:val="005664BB"/>
    <w:rsid w:val="00566FFA"/>
    <w:rsid w:val="005736B2"/>
    <w:rsid w:val="0057481D"/>
    <w:rsid w:val="00575F0B"/>
    <w:rsid w:val="0058486E"/>
    <w:rsid w:val="00585B33"/>
    <w:rsid w:val="00587C09"/>
    <w:rsid w:val="0059014D"/>
    <w:rsid w:val="005910B1"/>
    <w:rsid w:val="005B5C64"/>
    <w:rsid w:val="005C3AE9"/>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25D40"/>
    <w:rsid w:val="00630AEF"/>
    <w:rsid w:val="006325F8"/>
    <w:rsid w:val="00633463"/>
    <w:rsid w:val="00633E6B"/>
    <w:rsid w:val="00634C9A"/>
    <w:rsid w:val="006405DA"/>
    <w:rsid w:val="00642FDF"/>
    <w:rsid w:val="006440E4"/>
    <w:rsid w:val="00651055"/>
    <w:rsid w:val="00652FDB"/>
    <w:rsid w:val="00662998"/>
    <w:rsid w:val="0066343B"/>
    <w:rsid w:val="00664777"/>
    <w:rsid w:val="00672CE0"/>
    <w:rsid w:val="006748A4"/>
    <w:rsid w:val="00681A31"/>
    <w:rsid w:val="00683E73"/>
    <w:rsid w:val="00684289"/>
    <w:rsid w:val="00684359"/>
    <w:rsid w:val="006A3141"/>
    <w:rsid w:val="006A5E34"/>
    <w:rsid w:val="006B2422"/>
    <w:rsid w:val="006B2B9A"/>
    <w:rsid w:val="006C05C4"/>
    <w:rsid w:val="006C1937"/>
    <w:rsid w:val="006C7334"/>
    <w:rsid w:val="006E33A8"/>
    <w:rsid w:val="006F020C"/>
    <w:rsid w:val="006F6291"/>
    <w:rsid w:val="006F6865"/>
    <w:rsid w:val="00711F6C"/>
    <w:rsid w:val="007127B7"/>
    <w:rsid w:val="0071798E"/>
    <w:rsid w:val="00727533"/>
    <w:rsid w:val="007330D2"/>
    <w:rsid w:val="007416B6"/>
    <w:rsid w:val="00746F48"/>
    <w:rsid w:val="00751351"/>
    <w:rsid w:val="0075404D"/>
    <w:rsid w:val="0076182A"/>
    <w:rsid w:val="00767B7E"/>
    <w:rsid w:val="00776695"/>
    <w:rsid w:val="007770C3"/>
    <w:rsid w:val="00784D24"/>
    <w:rsid w:val="00785FBA"/>
    <w:rsid w:val="00786E4A"/>
    <w:rsid w:val="007875EB"/>
    <w:rsid w:val="0079426B"/>
    <w:rsid w:val="00797EA0"/>
    <w:rsid w:val="007A4ECA"/>
    <w:rsid w:val="007B1C2C"/>
    <w:rsid w:val="007C55AF"/>
    <w:rsid w:val="007D1682"/>
    <w:rsid w:val="007D312A"/>
    <w:rsid w:val="007D3F19"/>
    <w:rsid w:val="007E23B0"/>
    <w:rsid w:val="007F1991"/>
    <w:rsid w:val="007F23E6"/>
    <w:rsid w:val="007F2C2F"/>
    <w:rsid w:val="007F55FC"/>
    <w:rsid w:val="007F5665"/>
    <w:rsid w:val="00800112"/>
    <w:rsid w:val="0080046F"/>
    <w:rsid w:val="00800755"/>
    <w:rsid w:val="0080534D"/>
    <w:rsid w:val="00813348"/>
    <w:rsid w:val="00823823"/>
    <w:rsid w:val="008253BB"/>
    <w:rsid w:val="0083111C"/>
    <w:rsid w:val="00833962"/>
    <w:rsid w:val="0083706E"/>
    <w:rsid w:val="008408F6"/>
    <w:rsid w:val="008423A5"/>
    <w:rsid w:val="00850625"/>
    <w:rsid w:val="00853718"/>
    <w:rsid w:val="0085460A"/>
    <w:rsid w:val="00855221"/>
    <w:rsid w:val="00860645"/>
    <w:rsid w:val="00865066"/>
    <w:rsid w:val="00871F71"/>
    <w:rsid w:val="00872FD8"/>
    <w:rsid w:val="00876378"/>
    <w:rsid w:val="00885AF4"/>
    <w:rsid w:val="008939CD"/>
    <w:rsid w:val="008948B4"/>
    <w:rsid w:val="00895844"/>
    <w:rsid w:val="008A2805"/>
    <w:rsid w:val="008B768C"/>
    <w:rsid w:val="008C119A"/>
    <w:rsid w:val="008C4DB1"/>
    <w:rsid w:val="008C4EAF"/>
    <w:rsid w:val="008C5176"/>
    <w:rsid w:val="008C621D"/>
    <w:rsid w:val="008C67D5"/>
    <w:rsid w:val="008C7FD0"/>
    <w:rsid w:val="008D248B"/>
    <w:rsid w:val="008D7CB6"/>
    <w:rsid w:val="008E1DE7"/>
    <w:rsid w:val="008E1E42"/>
    <w:rsid w:val="008E1F64"/>
    <w:rsid w:val="008E3437"/>
    <w:rsid w:val="008E707C"/>
    <w:rsid w:val="008F03F7"/>
    <w:rsid w:val="008F607F"/>
    <w:rsid w:val="00900B08"/>
    <w:rsid w:val="00902155"/>
    <w:rsid w:val="00902FA3"/>
    <w:rsid w:val="00902FD1"/>
    <w:rsid w:val="0092065B"/>
    <w:rsid w:val="00923559"/>
    <w:rsid w:val="00923564"/>
    <w:rsid w:val="0092392E"/>
    <w:rsid w:val="00925D71"/>
    <w:rsid w:val="00926F28"/>
    <w:rsid w:val="009315F9"/>
    <w:rsid w:val="00933499"/>
    <w:rsid w:val="00935C98"/>
    <w:rsid w:val="00944F50"/>
    <w:rsid w:val="00946945"/>
    <w:rsid w:val="0095123E"/>
    <w:rsid w:val="00951248"/>
    <w:rsid w:val="0095152F"/>
    <w:rsid w:val="009523F3"/>
    <w:rsid w:val="00954C49"/>
    <w:rsid w:val="00955E37"/>
    <w:rsid w:val="00966AA3"/>
    <w:rsid w:val="0097099F"/>
    <w:rsid w:val="0097164D"/>
    <w:rsid w:val="00971997"/>
    <w:rsid w:val="00971FFC"/>
    <w:rsid w:val="009762E8"/>
    <w:rsid w:val="00982D02"/>
    <w:rsid w:val="0098660A"/>
    <w:rsid w:val="00992DF5"/>
    <w:rsid w:val="009931C3"/>
    <w:rsid w:val="009B2C43"/>
    <w:rsid w:val="009B4EAE"/>
    <w:rsid w:val="009B7573"/>
    <w:rsid w:val="009C22F4"/>
    <w:rsid w:val="009C2E98"/>
    <w:rsid w:val="009C37FB"/>
    <w:rsid w:val="009D3447"/>
    <w:rsid w:val="009D4711"/>
    <w:rsid w:val="009D5790"/>
    <w:rsid w:val="009D65EA"/>
    <w:rsid w:val="009D7DBE"/>
    <w:rsid w:val="009E6CB2"/>
    <w:rsid w:val="009F1185"/>
    <w:rsid w:val="009F18CD"/>
    <w:rsid w:val="009F2A13"/>
    <w:rsid w:val="009F7527"/>
    <w:rsid w:val="00A039ED"/>
    <w:rsid w:val="00A04EB0"/>
    <w:rsid w:val="00A078E8"/>
    <w:rsid w:val="00A13A2E"/>
    <w:rsid w:val="00A13CC1"/>
    <w:rsid w:val="00A16847"/>
    <w:rsid w:val="00A237D8"/>
    <w:rsid w:val="00A268C4"/>
    <w:rsid w:val="00A307CD"/>
    <w:rsid w:val="00A331C8"/>
    <w:rsid w:val="00A342D5"/>
    <w:rsid w:val="00A34448"/>
    <w:rsid w:val="00A35117"/>
    <w:rsid w:val="00A35B3B"/>
    <w:rsid w:val="00A40A00"/>
    <w:rsid w:val="00A4142F"/>
    <w:rsid w:val="00A422EB"/>
    <w:rsid w:val="00A45BB7"/>
    <w:rsid w:val="00A554DE"/>
    <w:rsid w:val="00A56DF2"/>
    <w:rsid w:val="00A56E6E"/>
    <w:rsid w:val="00A61BE5"/>
    <w:rsid w:val="00A67AB5"/>
    <w:rsid w:val="00A733B2"/>
    <w:rsid w:val="00A741C2"/>
    <w:rsid w:val="00A74FA9"/>
    <w:rsid w:val="00A757CB"/>
    <w:rsid w:val="00A758C8"/>
    <w:rsid w:val="00A87F45"/>
    <w:rsid w:val="00A91760"/>
    <w:rsid w:val="00A9253B"/>
    <w:rsid w:val="00A92901"/>
    <w:rsid w:val="00A93B00"/>
    <w:rsid w:val="00A93C21"/>
    <w:rsid w:val="00AB2892"/>
    <w:rsid w:val="00AB64C9"/>
    <w:rsid w:val="00AB739F"/>
    <w:rsid w:val="00AC3C6A"/>
    <w:rsid w:val="00AD0F83"/>
    <w:rsid w:val="00AD5561"/>
    <w:rsid w:val="00AD5620"/>
    <w:rsid w:val="00AD656B"/>
    <w:rsid w:val="00AD7C1B"/>
    <w:rsid w:val="00AE16BA"/>
    <w:rsid w:val="00AE1EBE"/>
    <w:rsid w:val="00AF37A0"/>
    <w:rsid w:val="00AF3805"/>
    <w:rsid w:val="00AF4F9A"/>
    <w:rsid w:val="00B03C9D"/>
    <w:rsid w:val="00B060AE"/>
    <w:rsid w:val="00B07CF7"/>
    <w:rsid w:val="00B1022E"/>
    <w:rsid w:val="00B10517"/>
    <w:rsid w:val="00B121F4"/>
    <w:rsid w:val="00B14E76"/>
    <w:rsid w:val="00B161B8"/>
    <w:rsid w:val="00B2048C"/>
    <w:rsid w:val="00B310B9"/>
    <w:rsid w:val="00B35F3F"/>
    <w:rsid w:val="00B36CBB"/>
    <w:rsid w:val="00B425E0"/>
    <w:rsid w:val="00B440AA"/>
    <w:rsid w:val="00B444D6"/>
    <w:rsid w:val="00B44B70"/>
    <w:rsid w:val="00B46305"/>
    <w:rsid w:val="00B53C56"/>
    <w:rsid w:val="00B57DAF"/>
    <w:rsid w:val="00B73F61"/>
    <w:rsid w:val="00B76816"/>
    <w:rsid w:val="00B77EA6"/>
    <w:rsid w:val="00B81598"/>
    <w:rsid w:val="00B841F1"/>
    <w:rsid w:val="00B944D6"/>
    <w:rsid w:val="00B97C97"/>
    <w:rsid w:val="00BB4DF0"/>
    <w:rsid w:val="00BC289F"/>
    <w:rsid w:val="00BC2D50"/>
    <w:rsid w:val="00BC40EB"/>
    <w:rsid w:val="00BC5361"/>
    <w:rsid w:val="00BC5460"/>
    <w:rsid w:val="00BC6B50"/>
    <w:rsid w:val="00BD0E25"/>
    <w:rsid w:val="00BD6E43"/>
    <w:rsid w:val="00BE0F74"/>
    <w:rsid w:val="00BE6E13"/>
    <w:rsid w:val="00BF5BD6"/>
    <w:rsid w:val="00BF70CD"/>
    <w:rsid w:val="00C03E31"/>
    <w:rsid w:val="00C12D27"/>
    <w:rsid w:val="00C21BF8"/>
    <w:rsid w:val="00C30E69"/>
    <w:rsid w:val="00C33E72"/>
    <w:rsid w:val="00C3450A"/>
    <w:rsid w:val="00C354B2"/>
    <w:rsid w:val="00C35554"/>
    <w:rsid w:val="00C36BA6"/>
    <w:rsid w:val="00C412EA"/>
    <w:rsid w:val="00C42709"/>
    <w:rsid w:val="00C533CC"/>
    <w:rsid w:val="00C54FD4"/>
    <w:rsid w:val="00C55977"/>
    <w:rsid w:val="00C5751C"/>
    <w:rsid w:val="00C61BFC"/>
    <w:rsid w:val="00C62B85"/>
    <w:rsid w:val="00C65438"/>
    <w:rsid w:val="00C6659B"/>
    <w:rsid w:val="00C73659"/>
    <w:rsid w:val="00C91CBB"/>
    <w:rsid w:val="00C9713F"/>
    <w:rsid w:val="00CA3A46"/>
    <w:rsid w:val="00CB03C1"/>
    <w:rsid w:val="00CB4E70"/>
    <w:rsid w:val="00CB6282"/>
    <w:rsid w:val="00CC049A"/>
    <w:rsid w:val="00CC09B6"/>
    <w:rsid w:val="00CC666F"/>
    <w:rsid w:val="00CD1E3F"/>
    <w:rsid w:val="00CD3AD5"/>
    <w:rsid w:val="00CE432A"/>
    <w:rsid w:val="00CE44F6"/>
    <w:rsid w:val="00CE49DA"/>
    <w:rsid w:val="00CE7B61"/>
    <w:rsid w:val="00D00095"/>
    <w:rsid w:val="00D114F0"/>
    <w:rsid w:val="00D1464B"/>
    <w:rsid w:val="00D179F5"/>
    <w:rsid w:val="00D20620"/>
    <w:rsid w:val="00D2207C"/>
    <w:rsid w:val="00D254F7"/>
    <w:rsid w:val="00D26091"/>
    <w:rsid w:val="00D2685C"/>
    <w:rsid w:val="00D34E7C"/>
    <w:rsid w:val="00D35489"/>
    <w:rsid w:val="00D36AFE"/>
    <w:rsid w:val="00D51276"/>
    <w:rsid w:val="00D51652"/>
    <w:rsid w:val="00D551B2"/>
    <w:rsid w:val="00D63EB6"/>
    <w:rsid w:val="00D7035F"/>
    <w:rsid w:val="00DA634F"/>
    <w:rsid w:val="00DA65AC"/>
    <w:rsid w:val="00DB1913"/>
    <w:rsid w:val="00DC410D"/>
    <w:rsid w:val="00DC5A81"/>
    <w:rsid w:val="00DC68CA"/>
    <w:rsid w:val="00DC7735"/>
    <w:rsid w:val="00DC7CBA"/>
    <w:rsid w:val="00DD73B7"/>
    <w:rsid w:val="00DE112F"/>
    <w:rsid w:val="00DF28BC"/>
    <w:rsid w:val="00DF34B9"/>
    <w:rsid w:val="00DF4B66"/>
    <w:rsid w:val="00DF4EF7"/>
    <w:rsid w:val="00DF7548"/>
    <w:rsid w:val="00E01053"/>
    <w:rsid w:val="00E02D81"/>
    <w:rsid w:val="00E06772"/>
    <w:rsid w:val="00E07ACF"/>
    <w:rsid w:val="00E237E8"/>
    <w:rsid w:val="00E331A1"/>
    <w:rsid w:val="00E33202"/>
    <w:rsid w:val="00E336A9"/>
    <w:rsid w:val="00E472B1"/>
    <w:rsid w:val="00E50624"/>
    <w:rsid w:val="00E52E6B"/>
    <w:rsid w:val="00E568DF"/>
    <w:rsid w:val="00E64269"/>
    <w:rsid w:val="00E66797"/>
    <w:rsid w:val="00E714F7"/>
    <w:rsid w:val="00E82267"/>
    <w:rsid w:val="00E84A85"/>
    <w:rsid w:val="00E853CE"/>
    <w:rsid w:val="00E867B6"/>
    <w:rsid w:val="00E87F08"/>
    <w:rsid w:val="00EA010F"/>
    <w:rsid w:val="00EA7162"/>
    <w:rsid w:val="00EA7627"/>
    <w:rsid w:val="00EB1C14"/>
    <w:rsid w:val="00ED1B63"/>
    <w:rsid w:val="00ED3C1F"/>
    <w:rsid w:val="00ED4085"/>
    <w:rsid w:val="00ED420E"/>
    <w:rsid w:val="00ED6FBE"/>
    <w:rsid w:val="00EE2F57"/>
    <w:rsid w:val="00EE6DD9"/>
    <w:rsid w:val="00EF3341"/>
    <w:rsid w:val="00EF3D4B"/>
    <w:rsid w:val="00EF4C34"/>
    <w:rsid w:val="00EF77C6"/>
    <w:rsid w:val="00F05438"/>
    <w:rsid w:val="00F1361C"/>
    <w:rsid w:val="00F156F0"/>
    <w:rsid w:val="00F160C7"/>
    <w:rsid w:val="00F2408F"/>
    <w:rsid w:val="00F240E9"/>
    <w:rsid w:val="00F356D4"/>
    <w:rsid w:val="00F36D8F"/>
    <w:rsid w:val="00F417B1"/>
    <w:rsid w:val="00F4259B"/>
    <w:rsid w:val="00F45853"/>
    <w:rsid w:val="00F46361"/>
    <w:rsid w:val="00F5355C"/>
    <w:rsid w:val="00F602DF"/>
    <w:rsid w:val="00F749B3"/>
    <w:rsid w:val="00F754A1"/>
    <w:rsid w:val="00F81FD9"/>
    <w:rsid w:val="00F841AA"/>
    <w:rsid w:val="00F84A94"/>
    <w:rsid w:val="00F87E96"/>
    <w:rsid w:val="00FA23E8"/>
    <w:rsid w:val="00FC15C3"/>
    <w:rsid w:val="00FC3482"/>
    <w:rsid w:val="00FC663A"/>
    <w:rsid w:val="00FD3CC1"/>
    <w:rsid w:val="00FF1E02"/>
    <w:rsid w:val="00FF2ADE"/>
    <w:rsid w:val="00FF30B4"/>
    <w:rsid w:val="10C055FF"/>
    <w:rsid w:val="16BB723D"/>
    <w:rsid w:val="240371BF"/>
    <w:rsid w:val="29FD04D3"/>
    <w:rsid w:val="319F7F4E"/>
    <w:rsid w:val="3F23361F"/>
    <w:rsid w:val="497322AE"/>
    <w:rsid w:val="4ECE2238"/>
    <w:rsid w:val="72734D9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cs="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rFonts w:ascii="Calibri" w:hAnsi="Calibri" w:cs="Calibri"/>
      <w:kern w:val="0"/>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basedOn w:val="13"/>
    <w:qFormat/>
    <w:uiPriority w:val="99"/>
    <w:rPr>
      <w:b/>
      <w:bCs/>
    </w:rPr>
  </w:style>
  <w:style w:type="character" w:styleId="15">
    <w:name w:val="Hyperlink"/>
    <w:basedOn w:val="13"/>
    <w:qFormat/>
    <w:uiPriority w:val="99"/>
    <w:rPr>
      <w:color w:val="0000FF"/>
      <w:u w:val="single"/>
    </w:rPr>
  </w:style>
  <w:style w:type="character" w:customStyle="1" w:styleId="16">
    <w:name w:val="标题 1 Char"/>
    <w:basedOn w:val="13"/>
    <w:link w:val="2"/>
    <w:qFormat/>
    <w:locked/>
    <w:uiPriority w:val="99"/>
    <w:rPr>
      <w:rFonts w:ascii="Times New Roman" w:hAnsi="Times New Roman" w:cs="Times New Roman"/>
      <w:b/>
      <w:bCs/>
      <w:kern w:val="44"/>
      <w:sz w:val="44"/>
      <w:szCs w:val="44"/>
    </w:rPr>
  </w:style>
  <w:style w:type="character" w:customStyle="1" w:styleId="17">
    <w:name w:val="标题 2 Char"/>
    <w:basedOn w:val="13"/>
    <w:link w:val="3"/>
    <w:qFormat/>
    <w:locked/>
    <w:uiPriority w:val="99"/>
    <w:rPr>
      <w:rFonts w:ascii="Cambria" w:hAnsi="Cambria" w:eastAsia="宋体" w:cs="Cambria"/>
      <w:b/>
      <w:bCs/>
      <w:kern w:val="2"/>
      <w:sz w:val="32"/>
      <w:szCs w:val="32"/>
    </w:rPr>
  </w:style>
  <w:style w:type="character" w:customStyle="1" w:styleId="18">
    <w:name w:val="标题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locked/>
    <w:uiPriority w:val="99"/>
    <w:rPr>
      <w:rFonts w:ascii="Times New Roman" w:hAnsi="Times New Roman" w:cs="Times New Roman"/>
      <w:sz w:val="24"/>
      <w:szCs w:val="24"/>
    </w:rPr>
  </w:style>
  <w:style w:type="character" w:customStyle="1" w:styleId="20">
    <w:name w:val="批注框文本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qFormat/>
    <w:locked/>
    <w:uiPriority w:val="99"/>
    <w:rPr>
      <w:rFonts w:ascii="Times New Roman" w:hAnsi="Times New Roman" w:cs="Times New Roman"/>
      <w:sz w:val="18"/>
      <w:szCs w:val="18"/>
    </w:rPr>
  </w:style>
  <w:style w:type="character" w:customStyle="1" w:styleId="22">
    <w:name w:val="Header Char"/>
    <w:basedOn w:val="13"/>
    <w:link w:val="9"/>
    <w:semiHidden/>
    <w:qFormat/>
    <w:locked/>
    <w:uiPriority w:val="99"/>
    <w:rPr>
      <w:rFonts w:ascii="Times New Roman" w:hAnsi="Times New Roman" w:cs="Times New Roman"/>
      <w:sz w:val="18"/>
      <w:szCs w:val="18"/>
    </w:rPr>
  </w:style>
  <w:style w:type="character" w:customStyle="1" w:styleId="23">
    <w:name w:val="页眉 Char"/>
    <w:link w:val="9"/>
    <w:semiHidden/>
    <w:qFormat/>
    <w:locked/>
    <w:uiPriority w:val="99"/>
    <w:rPr>
      <w:sz w:val="18"/>
      <w:szCs w:val="18"/>
    </w:rPr>
  </w:style>
  <w:style w:type="character" w:customStyle="1" w:styleId="24">
    <w:name w:val="页脚 Char"/>
    <w:link w:val="8"/>
    <w:qFormat/>
    <w:locked/>
    <w:uiPriority w:val="99"/>
    <w:rPr>
      <w:sz w:val="18"/>
      <w:szCs w:val="18"/>
    </w:rPr>
  </w:style>
  <w:style w:type="character" w:customStyle="1" w:styleId="25">
    <w:name w:val="正文文本 Char"/>
    <w:link w:val="5"/>
    <w:qFormat/>
    <w:locked/>
    <w:uiPriority w:val="99"/>
    <w:rPr>
      <w:rFonts w:ascii="仿宋_GB2312" w:hAnsi="Times New Roman" w:eastAsia="仿宋_GB2312" w:cs="仿宋_GB2312"/>
      <w:sz w:val="24"/>
      <w:szCs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29">
    <w:name w:val="TOC Heading"/>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30">
    <w:name w:val="Char Char5"/>
    <w:basedOn w:val="13"/>
    <w:qFormat/>
    <w:locked/>
    <w:uiPriority w:val="99"/>
    <w:rPr>
      <w:rFonts w:ascii="Cambria" w:hAnsi="Cambria" w:eastAsia="宋体" w:cs="Cambria"/>
      <w:b/>
      <w:bCs/>
      <w:kern w:val="2"/>
      <w:sz w:val="32"/>
      <w:szCs w:val="32"/>
    </w:rPr>
  </w:style>
  <w:style w:type="character" w:customStyle="1" w:styleId="31">
    <w:name w:val="Char Char51"/>
    <w:basedOn w:val="13"/>
    <w:qFormat/>
    <w:locked/>
    <w:uiPriority w:val="99"/>
    <w:rPr>
      <w:rFonts w:ascii="Cambria" w:hAnsi="Cambria" w:eastAsia="宋体" w:cs="Cambria"/>
      <w:b/>
      <w:bCs/>
      <w:kern w:val="2"/>
      <w:sz w:val="32"/>
      <w:szCs w:val="32"/>
    </w:rPr>
  </w:style>
  <w:style w:type="character" w:customStyle="1" w:styleId="32">
    <w:name w:val="Char Char52"/>
    <w:basedOn w:val="13"/>
    <w:qFormat/>
    <w:locked/>
    <w:uiPriority w:val="99"/>
    <w:rPr>
      <w:rFonts w:ascii="Cambria" w:hAnsi="Cambria" w:eastAsia="宋体" w:cs="Cambria"/>
      <w:b/>
      <w:bCs/>
      <w:kern w:val="2"/>
      <w:sz w:val="32"/>
      <w:szCs w:val="32"/>
    </w:rPr>
  </w:style>
  <w:style w:type="character" w:customStyle="1" w:styleId="33">
    <w:name w:val="Char Char53"/>
    <w:basedOn w:val="1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10342</Words>
  <Characters>1131</Characters>
  <Lines>9</Lines>
  <Paragraphs>22</Paragraphs>
  <TotalTime>2195</TotalTime>
  <ScaleCrop>false</ScaleCrop>
  <LinksUpToDate>false</LinksUpToDate>
  <CharactersWithSpaces>11451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2020-09-24T11:32:00Z</cp:lastPrinted>
  <dcterms:modified xsi:type="dcterms:W3CDTF">2022-04-15T17:44:37Z</dcterms:modified>
  <dc:title>四川省***</dc:title>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