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44"/>
          <w:szCs w:val="44"/>
        </w:rPr>
      </w:pPr>
      <w:bookmarkStart w:id="87" w:name="_GoBack"/>
      <w:bookmarkStart w:id="1" w:name="_Toc15396597"/>
      <w:bookmarkStart w:id="2" w:name="_Toc15377425"/>
      <w:bookmarkStart w:id="3" w:name="_Toc15396475"/>
      <w:bookmarkStart w:id="4" w:name="_Toc15377193"/>
      <w:bookmarkStart w:id="5" w:name="_Toc15378441"/>
      <w:r>
        <w:rPr>
          <w:rFonts w:ascii="黑体" w:hAnsi="黑体" w:eastAsia="黑体" w:cs="黑体"/>
          <w:color w:val="000000"/>
          <w:sz w:val="44"/>
          <w:szCs w:val="44"/>
        </w:rPr>
        <w:t>2019</w:t>
      </w:r>
      <w:r>
        <w:rPr>
          <w:rFonts w:hint="eastAsia" w:ascii="方正小标宋简体" w:hAnsi="宋体" w:eastAsia="方正小标宋简体" w:cs="方正小标宋简体"/>
          <w:color w:val="000000"/>
          <w:sz w:val="44"/>
          <w:szCs w:val="44"/>
        </w:rPr>
        <w:t>年度</w:t>
      </w:r>
      <w:bookmarkEnd w:id="1"/>
      <w:bookmarkEnd w:id="2"/>
      <w:bookmarkEnd w:id="3"/>
      <w:bookmarkEnd w:id="4"/>
      <w:bookmarkEnd w:id="5"/>
    </w:p>
    <w:p>
      <w:pPr>
        <w:adjustRightInd w:val="0"/>
        <w:snapToGrid w:val="0"/>
        <w:spacing w:line="360" w:lineRule="auto"/>
        <w:jc w:val="center"/>
        <w:outlineLvl w:val="0"/>
        <w:rPr>
          <w:rFonts w:ascii="方正小标宋简体" w:hAnsi="宋体" w:eastAsia="方正小标宋简体"/>
          <w:color w:val="000000"/>
          <w:sz w:val="44"/>
          <w:szCs w:val="44"/>
        </w:rPr>
      </w:pPr>
      <w:bookmarkStart w:id="6" w:name="_Toc15377194"/>
      <w:bookmarkStart w:id="7" w:name="_Toc15377426"/>
      <w:bookmarkStart w:id="8" w:name="_Toc15396476"/>
      <w:bookmarkStart w:id="9" w:name="_Toc15396598"/>
      <w:bookmarkStart w:id="10" w:name="_Toc15378442"/>
      <w:r>
        <w:rPr>
          <w:rFonts w:hint="eastAsia" w:ascii="方正小标宋简体" w:hAnsi="宋体" w:eastAsia="方正小标宋简体" w:cs="方正小标宋简体"/>
          <w:color w:val="000000"/>
          <w:sz w:val="44"/>
          <w:szCs w:val="44"/>
        </w:rPr>
        <w:t>四川省阿坝州</w:t>
      </w:r>
      <w:bookmarkEnd w:id="0"/>
      <w:bookmarkStart w:id="11" w:name="_Toc15306268"/>
      <w:r>
        <w:rPr>
          <w:rFonts w:hint="eastAsia" w:ascii="方正小标宋简体" w:hAnsi="宋体" w:eastAsia="方正小标宋简体" w:cs="方正小标宋简体"/>
          <w:color w:val="000000"/>
          <w:sz w:val="44"/>
          <w:szCs w:val="44"/>
        </w:rPr>
        <w:t>茂县财政局部门决算</w:t>
      </w:r>
      <w:bookmarkEnd w:id="6"/>
      <w:bookmarkEnd w:id="7"/>
      <w:bookmarkEnd w:id="8"/>
      <w:bookmarkEnd w:id="9"/>
      <w:bookmarkEnd w:id="10"/>
      <w:bookmarkEnd w:id="11"/>
    </w:p>
    <w:bookmarkEnd w:id="87"/>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firstLine="1276"/>
        <w:jc w:val="left"/>
        <w:rPr>
          <w:rFonts w:eastAsia="仿宋_GB2312"/>
          <w:sz w:val="32"/>
          <w:szCs w:val="32"/>
        </w:rPr>
      </w:pPr>
      <w:r>
        <w:rPr>
          <w:rFonts w:hint="eastAsia" w:ascii="仿宋_GB2312" w:hAnsi="Calibri" w:eastAsia="仿宋_GB2312" w:cs="仿宋_GB2312"/>
          <w:sz w:val="32"/>
          <w:szCs w:val="32"/>
        </w:rPr>
        <w:t>保密审查情况：</w:t>
      </w:r>
      <w:r>
        <w:rPr>
          <w:rFonts w:eastAsia="仿宋_GB2312"/>
          <w:sz w:val="32"/>
          <w:szCs w:val="32"/>
        </w:rPr>
        <w:t xml:space="preserve"> </w:t>
      </w:r>
    </w:p>
    <w:p>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w:t>
      </w:r>
      <w:r>
        <w:rPr>
          <w:rFonts w:eastAsia="仿宋_GB2312"/>
          <w:sz w:val="32"/>
          <w:szCs w:val="32"/>
        </w:rPr>
        <w:t xml:space="preserve"> </w:t>
      </w: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bookmarkStart w:id="12" w:name="_Toc15396599"/>
      <w:bookmarkStart w:id="13" w:name="_Toc15377196"/>
      <w:r>
        <w:rPr>
          <w:rFonts w:hint="eastAsia" w:ascii="黑体" w:hAnsi="黑体" w:eastAsia="黑体" w:cs="黑体"/>
          <w:color w:val="000000"/>
          <w:sz w:val="48"/>
          <w:szCs w:val="48"/>
        </w:rPr>
        <w:t>目录</w:t>
      </w:r>
    </w:p>
    <w:p>
      <w:pPr>
        <w:widowControl/>
        <w:jc w:val="center"/>
        <w:rPr>
          <w:rFonts w:ascii="黑体" w:hAnsi="黑体" w:eastAsia="黑体"/>
          <w:sz w:val="28"/>
          <w:szCs w:val="28"/>
        </w:rPr>
      </w:pPr>
    </w:p>
    <w:p/>
    <w:p>
      <w:pPr>
        <w:pStyle w:val="10"/>
        <w:adjustRightInd w:val="0"/>
        <w:snapToGrid w:val="0"/>
        <w:spacing w:before="0" w:line="560" w:lineRule="exact"/>
        <w:jc w:val="left"/>
        <w:rPr>
          <w:rFonts w:ascii="仿宋_GB2312" w:eastAsia="仿宋_GB2312" w:cs="Times New Roman"/>
          <w:sz w:val="32"/>
          <w:szCs w:val="32"/>
        </w:rPr>
      </w:pPr>
      <w:r>
        <w:rPr>
          <w:rFonts w:hint="eastAsia" w:ascii="仿宋_GB2312" w:eastAsia="仿宋_GB2312" w:cs="仿宋_GB2312"/>
          <w:sz w:val="32"/>
          <w:szCs w:val="32"/>
        </w:rPr>
        <w:t>第一部分</w:t>
      </w:r>
      <w:r>
        <w:rPr>
          <w:rFonts w:ascii="仿宋_GB2312" w:eastAsia="仿宋_GB2312" w:cs="仿宋_GB2312"/>
          <w:sz w:val="32"/>
          <w:szCs w:val="32"/>
        </w:rPr>
        <w:t xml:space="preserve"> </w:t>
      </w:r>
      <w:r>
        <w:rPr>
          <w:rFonts w:hint="eastAsia" w:ascii="仿宋_GB2312" w:eastAsia="仿宋_GB2312" w:cs="仿宋_GB2312"/>
          <w:sz w:val="32"/>
          <w:szCs w:val="32"/>
        </w:rPr>
        <w:t>部门概况…………………………………………</w:t>
      </w:r>
      <w:r>
        <w:rPr>
          <w:rFonts w:ascii="仿宋_GB2312" w:eastAsia="仿宋_GB2312" w:cs="仿宋_GB2312"/>
          <w:sz w:val="32"/>
          <w:szCs w:val="32"/>
        </w:rPr>
        <w:t>..4</w:t>
      </w:r>
    </w:p>
    <w:p>
      <w:pPr>
        <w:pStyle w:val="11"/>
        <w:adjustRightInd w:val="0"/>
        <w:snapToGrid w:val="0"/>
        <w:spacing w:line="560" w:lineRule="exact"/>
        <w:jc w:val="left"/>
        <w:rPr>
          <w:rFonts w:ascii="仿宋_GB2312" w:hAnsi="仿宋" w:eastAsia="仿宋_GB2312"/>
          <w:sz w:val="32"/>
          <w:szCs w:val="32"/>
        </w:rPr>
      </w:pPr>
      <w:r>
        <w:rPr>
          <w:rFonts w:hint="eastAsia" w:ascii="仿宋_GB2312" w:eastAsia="仿宋_GB2312" w:cs="仿宋_GB2312"/>
          <w:sz w:val="32"/>
          <w:szCs w:val="32"/>
        </w:rPr>
        <w:t>一、基本职能及主要工作</w:t>
      </w:r>
      <w:r>
        <w:rPr>
          <w:rFonts w:ascii="仿宋_GB2312" w:eastAsia="仿宋_GB2312"/>
          <w:sz w:val="32"/>
          <w:szCs w:val="32"/>
        </w:rPr>
        <w:t>………………………………</w:t>
      </w:r>
      <w:r>
        <w:rPr>
          <w:rFonts w:ascii="仿宋_GB2312" w:eastAsia="仿宋_GB2312" w:cs="仿宋_GB2312"/>
          <w:sz w:val="32"/>
          <w:szCs w:val="32"/>
        </w:rPr>
        <w:t>..4</w:t>
      </w:r>
    </w:p>
    <w:p>
      <w:pPr>
        <w:pStyle w:val="11"/>
        <w:adjustRightInd w:val="0"/>
        <w:snapToGrid w:val="0"/>
        <w:spacing w:line="560" w:lineRule="exact"/>
        <w:jc w:val="left"/>
        <w:rPr>
          <w:rFonts w:ascii="仿宋_GB2312" w:hAnsi="仿宋" w:eastAsia="仿宋_GB2312"/>
          <w:sz w:val="32"/>
          <w:szCs w:val="32"/>
        </w:rPr>
      </w:pPr>
      <w:r>
        <w:rPr>
          <w:rFonts w:hint="eastAsia" w:ascii="仿宋_GB2312" w:eastAsia="仿宋_GB2312" w:cs="仿宋_GB2312"/>
          <w:sz w:val="32"/>
          <w:szCs w:val="32"/>
        </w:rPr>
        <w:t>二、机构设置</w:t>
      </w:r>
      <w:r>
        <w:rPr>
          <w:rFonts w:ascii="仿宋_GB2312" w:eastAsia="仿宋_GB2312"/>
          <w:sz w:val="32"/>
          <w:szCs w:val="32"/>
        </w:rPr>
        <w:t>……………………………………………</w:t>
      </w:r>
      <w:r>
        <w:rPr>
          <w:rFonts w:ascii="仿宋_GB2312" w:eastAsia="仿宋_GB2312" w:cs="仿宋_GB2312"/>
          <w:sz w:val="32"/>
          <w:szCs w:val="32"/>
        </w:rPr>
        <w:t>..7</w:t>
      </w:r>
    </w:p>
    <w:p>
      <w:pPr>
        <w:pStyle w:val="10"/>
        <w:tabs>
          <w:tab w:val="left" w:pos="1365"/>
        </w:tabs>
        <w:adjustRightInd w:val="0"/>
        <w:snapToGrid w:val="0"/>
        <w:spacing w:before="0" w:line="560" w:lineRule="exact"/>
        <w:jc w:val="left"/>
        <w:rPr>
          <w:rFonts w:ascii="仿宋_GB2312" w:eastAsia="仿宋_GB2312" w:cs="Times New Roman"/>
          <w:sz w:val="32"/>
          <w:szCs w:val="32"/>
        </w:rPr>
      </w:pPr>
      <w:r>
        <w:rPr>
          <w:rFonts w:hint="eastAsia" w:ascii="仿宋_GB2312" w:eastAsia="仿宋_GB2312" w:cs="仿宋_GB2312"/>
          <w:sz w:val="32"/>
          <w:szCs w:val="32"/>
        </w:rPr>
        <w:t>第二部分　</w:t>
      </w:r>
      <w:r>
        <w:rPr>
          <w:rFonts w:ascii="仿宋_GB2312" w:eastAsia="仿宋_GB2312" w:cs="仿宋_GB2312"/>
          <w:sz w:val="32"/>
          <w:szCs w:val="32"/>
        </w:rPr>
        <w:t>2019</w:t>
      </w:r>
      <w:r>
        <w:rPr>
          <w:rFonts w:hint="eastAsia" w:ascii="仿宋_GB2312" w:eastAsia="仿宋_GB2312" w:cs="仿宋_GB2312"/>
          <w:sz w:val="32"/>
          <w:szCs w:val="32"/>
        </w:rPr>
        <w:t>年度部门决算情况说明……………………</w:t>
      </w:r>
      <w:r>
        <w:rPr>
          <w:rFonts w:ascii="仿宋_GB2312" w:eastAsia="仿宋_GB2312" w:cs="仿宋_GB2312"/>
          <w:sz w:val="32"/>
          <w:szCs w:val="32"/>
        </w:rPr>
        <w:t>8</w:t>
      </w:r>
    </w:p>
    <w:p>
      <w:pPr>
        <w:pStyle w:val="11"/>
        <w:adjustRightInd w:val="0"/>
        <w:snapToGrid w:val="0"/>
        <w:spacing w:line="560" w:lineRule="exact"/>
        <w:jc w:val="left"/>
        <w:rPr>
          <w:rFonts w:ascii="仿宋_GB2312" w:hAnsi="仿宋" w:eastAsia="仿宋_GB2312"/>
          <w:sz w:val="32"/>
          <w:szCs w:val="32"/>
        </w:rPr>
      </w:pPr>
      <w:r>
        <w:rPr>
          <w:rFonts w:hint="eastAsia" w:ascii="仿宋_GB2312" w:eastAsia="仿宋_GB2312" w:cs="仿宋_GB2312"/>
          <w:sz w:val="32"/>
          <w:szCs w:val="32"/>
        </w:rPr>
        <w:t>一、收入支出决算总体情况说明</w:t>
      </w:r>
      <w:r>
        <w:rPr>
          <w:rFonts w:ascii="仿宋_GB2312" w:eastAsia="仿宋_GB2312"/>
          <w:sz w:val="32"/>
          <w:szCs w:val="32"/>
        </w:rPr>
        <w:t>………………………</w:t>
      </w:r>
      <w:r>
        <w:rPr>
          <w:rFonts w:ascii="仿宋_GB2312" w:eastAsia="仿宋_GB2312" w:cs="仿宋_GB2312"/>
          <w:sz w:val="32"/>
          <w:szCs w:val="32"/>
        </w:rPr>
        <w:t>..8</w:t>
      </w:r>
    </w:p>
    <w:p>
      <w:pPr>
        <w:pStyle w:val="11"/>
        <w:adjustRightInd w:val="0"/>
        <w:snapToGrid w:val="0"/>
        <w:spacing w:line="560" w:lineRule="exact"/>
        <w:jc w:val="left"/>
        <w:rPr>
          <w:rFonts w:ascii="仿宋_GB2312" w:hAnsi="仿宋" w:eastAsia="仿宋_GB2312"/>
          <w:sz w:val="32"/>
          <w:szCs w:val="32"/>
        </w:rPr>
      </w:pPr>
      <w:r>
        <w:rPr>
          <w:rFonts w:hint="eastAsia" w:ascii="仿宋_GB2312" w:eastAsia="仿宋_GB2312" w:cs="仿宋_GB2312"/>
          <w:sz w:val="32"/>
          <w:szCs w:val="32"/>
        </w:rPr>
        <w:t>二、收入决算情况说明</w:t>
      </w:r>
      <w:r>
        <w:rPr>
          <w:rFonts w:ascii="仿宋_GB2312" w:eastAsia="仿宋_GB2312"/>
          <w:sz w:val="32"/>
          <w:szCs w:val="32"/>
        </w:rPr>
        <w:t>…………………………………</w:t>
      </w:r>
      <w:r>
        <w:rPr>
          <w:rFonts w:ascii="仿宋_GB2312" w:eastAsia="仿宋_GB2312" w:cs="仿宋_GB2312"/>
          <w:sz w:val="32"/>
          <w:szCs w:val="32"/>
        </w:rPr>
        <w:t>..8</w:t>
      </w:r>
    </w:p>
    <w:p>
      <w:pPr>
        <w:pStyle w:val="11"/>
        <w:adjustRightInd w:val="0"/>
        <w:snapToGrid w:val="0"/>
        <w:spacing w:line="560" w:lineRule="exact"/>
        <w:jc w:val="left"/>
        <w:rPr>
          <w:rFonts w:ascii="仿宋_GB2312" w:hAnsi="仿宋" w:eastAsia="仿宋_GB2312"/>
          <w:sz w:val="32"/>
          <w:szCs w:val="32"/>
        </w:rPr>
      </w:pPr>
      <w:r>
        <w:rPr>
          <w:rFonts w:hint="eastAsia" w:ascii="仿宋_GB2312" w:eastAsia="仿宋_GB2312" w:cs="仿宋_GB2312"/>
          <w:sz w:val="32"/>
          <w:szCs w:val="32"/>
        </w:rPr>
        <w:t>三、支出决算情况说明</w:t>
      </w:r>
      <w:r>
        <w:rPr>
          <w:rFonts w:ascii="仿宋_GB2312" w:eastAsia="仿宋_GB2312"/>
          <w:sz w:val="32"/>
          <w:szCs w:val="32"/>
        </w:rPr>
        <w:t>…………………………………</w:t>
      </w:r>
      <w:r>
        <w:rPr>
          <w:rFonts w:ascii="仿宋_GB2312" w:eastAsia="仿宋_GB2312" w:cs="仿宋_GB2312"/>
          <w:sz w:val="32"/>
          <w:szCs w:val="32"/>
        </w:rPr>
        <w:t>..9</w:t>
      </w:r>
    </w:p>
    <w:p>
      <w:pPr>
        <w:pStyle w:val="11"/>
        <w:adjustRightInd w:val="0"/>
        <w:snapToGrid w:val="0"/>
        <w:spacing w:line="560" w:lineRule="exact"/>
        <w:jc w:val="left"/>
        <w:rPr>
          <w:rFonts w:ascii="仿宋_GB2312" w:hAnsi="仿宋" w:eastAsia="仿宋_GB2312"/>
          <w:sz w:val="32"/>
          <w:szCs w:val="32"/>
        </w:rPr>
      </w:pPr>
      <w:r>
        <w:rPr>
          <w:rFonts w:hint="eastAsia" w:ascii="仿宋_GB2312" w:eastAsia="仿宋_GB2312" w:cs="仿宋_GB2312"/>
          <w:sz w:val="32"/>
          <w:szCs w:val="32"/>
        </w:rPr>
        <w:t>四、财政拨款收入支出决算总体情况说明</w:t>
      </w:r>
      <w:r>
        <w:rPr>
          <w:rFonts w:ascii="仿宋_GB2312" w:eastAsia="仿宋_GB2312"/>
          <w:sz w:val="32"/>
          <w:szCs w:val="32"/>
        </w:rPr>
        <w:t>……………</w:t>
      </w:r>
      <w:r>
        <w:rPr>
          <w:rFonts w:ascii="仿宋_GB2312" w:eastAsia="仿宋_GB2312" w:cs="仿宋_GB2312"/>
          <w:sz w:val="32"/>
          <w:szCs w:val="32"/>
        </w:rPr>
        <w:t>.10</w:t>
      </w:r>
    </w:p>
    <w:p>
      <w:pPr>
        <w:pStyle w:val="11"/>
        <w:adjustRightInd w:val="0"/>
        <w:snapToGrid w:val="0"/>
        <w:spacing w:line="560" w:lineRule="exact"/>
        <w:jc w:val="left"/>
        <w:rPr>
          <w:rFonts w:ascii="仿宋_GB2312" w:eastAsia="仿宋_GB2312"/>
          <w:sz w:val="32"/>
          <w:szCs w:val="32"/>
        </w:rPr>
      </w:pPr>
      <w:r>
        <w:rPr>
          <w:rFonts w:hint="eastAsia" w:ascii="仿宋_GB2312" w:eastAsia="仿宋_GB2312" w:cs="仿宋_GB2312"/>
          <w:sz w:val="32"/>
          <w:szCs w:val="32"/>
        </w:rPr>
        <w:t>五、一般公共预算财政拨款支出决算情况说明</w:t>
      </w:r>
    </w:p>
    <w:p>
      <w:pPr>
        <w:pStyle w:val="11"/>
        <w:adjustRightInd w:val="0"/>
        <w:snapToGrid w:val="0"/>
        <w:spacing w:line="560" w:lineRule="exact"/>
        <w:jc w:val="left"/>
        <w:rPr>
          <w:rFonts w:ascii="仿宋_GB2312" w:hAnsi="仿宋" w:eastAsia="仿宋_GB2312"/>
          <w:sz w:val="32"/>
          <w:szCs w:val="32"/>
        </w:rPr>
      </w:pPr>
      <w:r>
        <w:rPr>
          <w:rFonts w:ascii="仿宋_GB2312" w:eastAsia="仿宋_GB2312"/>
          <w:sz w:val="32"/>
          <w:szCs w:val="32"/>
        </w:rPr>
        <w:t>……………………………………………………………</w:t>
      </w:r>
      <w:r>
        <w:rPr>
          <w:rFonts w:ascii="仿宋_GB2312" w:eastAsia="仿宋_GB2312" w:cs="仿宋_GB2312"/>
          <w:sz w:val="32"/>
          <w:szCs w:val="32"/>
        </w:rPr>
        <w:t>.11</w:t>
      </w:r>
    </w:p>
    <w:p>
      <w:pPr>
        <w:pStyle w:val="11"/>
        <w:adjustRightInd w:val="0"/>
        <w:snapToGrid w:val="0"/>
        <w:spacing w:line="560" w:lineRule="exact"/>
        <w:jc w:val="left"/>
        <w:rPr>
          <w:rFonts w:ascii="仿宋_GB2312" w:eastAsia="仿宋_GB2312"/>
          <w:sz w:val="32"/>
          <w:szCs w:val="32"/>
        </w:rPr>
      </w:pPr>
      <w:r>
        <w:rPr>
          <w:rFonts w:hint="eastAsia" w:ascii="仿宋_GB2312" w:eastAsia="仿宋_GB2312" w:cs="仿宋_GB2312"/>
          <w:sz w:val="32"/>
          <w:szCs w:val="32"/>
        </w:rPr>
        <w:t>六、一般公共预算财政拨款基本支出决算情况说明</w:t>
      </w:r>
    </w:p>
    <w:p>
      <w:pPr>
        <w:pStyle w:val="11"/>
        <w:adjustRightInd w:val="0"/>
        <w:snapToGrid w:val="0"/>
        <w:spacing w:line="560" w:lineRule="exact"/>
        <w:jc w:val="left"/>
        <w:rPr>
          <w:rFonts w:ascii="仿宋_GB2312" w:hAnsi="仿宋" w:eastAsia="仿宋_GB2312"/>
          <w:sz w:val="32"/>
          <w:szCs w:val="32"/>
        </w:rPr>
      </w:pPr>
      <w:r>
        <w:rPr>
          <w:rFonts w:ascii="仿宋_GB2312" w:eastAsia="仿宋_GB2312"/>
          <w:sz w:val="32"/>
          <w:szCs w:val="32"/>
        </w:rPr>
        <w:t>……………………………………………………………</w:t>
      </w:r>
      <w:r>
        <w:rPr>
          <w:rFonts w:ascii="仿宋_GB2312" w:eastAsia="仿宋_GB2312" w:cs="仿宋_GB2312"/>
          <w:sz w:val="32"/>
          <w:szCs w:val="32"/>
        </w:rPr>
        <w:t>.14</w:t>
      </w:r>
    </w:p>
    <w:p>
      <w:pPr>
        <w:pStyle w:val="11"/>
        <w:adjustRightInd w:val="0"/>
        <w:snapToGrid w:val="0"/>
        <w:spacing w:line="560" w:lineRule="exact"/>
        <w:jc w:val="left"/>
        <w:rPr>
          <w:rFonts w:ascii="仿宋_GB2312" w:hAnsi="仿宋" w:eastAsia="仿宋_GB2312"/>
          <w:sz w:val="32"/>
          <w:szCs w:val="32"/>
        </w:rPr>
      </w:pPr>
      <w:r>
        <w:rPr>
          <w:rFonts w:hint="eastAsia" w:ascii="仿宋_GB2312" w:eastAsia="仿宋_GB2312" w:cs="仿宋_GB2312"/>
          <w:sz w:val="32"/>
          <w:szCs w:val="32"/>
        </w:rPr>
        <w:t>七、“三公”经费财政拨款支出决算情况说明</w:t>
      </w:r>
      <w:r>
        <w:rPr>
          <w:rFonts w:ascii="仿宋_GB2312" w:eastAsia="仿宋_GB2312"/>
          <w:sz w:val="32"/>
          <w:szCs w:val="32"/>
        </w:rPr>
        <w:t>………</w:t>
      </w:r>
      <w:r>
        <w:rPr>
          <w:rFonts w:ascii="仿宋_GB2312" w:eastAsia="仿宋_GB2312" w:cs="仿宋_GB2312"/>
          <w:sz w:val="32"/>
          <w:szCs w:val="32"/>
        </w:rPr>
        <w:t>..14</w:t>
      </w:r>
    </w:p>
    <w:p>
      <w:pPr>
        <w:pStyle w:val="11"/>
        <w:adjustRightInd w:val="0"/>
        <w:snapToGrid w:val="0"/>
        <w:spacing w:line="560" w:lineRule="exact"/>
        <w:jc w:val="left"/>
        <w:rPr>
          <w:rFonts w:ascii="仿宋_GB2312" w:hAnsi="仿宋" w:eastAsia="仿宋_GB2312"/>
          <w:sz w:val="32"/>
          <w:szCs w:val="32"/>
        </w:rPr>
      </w:pPr>
      <w:r>
        <w:rPr>
          <w:rFonts w:hint="eastAsia" w:ascii="仿宋_GB2312" w:eastAsia="仿宋_GB2312" w:cs="仿宋_GB2312"/>
          <w:sz w:val="32"/>
          <w:szCs w:val="32"/>
        </w:rPr>
        <w:t>八、政府性基金预算支出决算情况说明</w:t>
      </w:r>
      <w:r>
        <w:rPr>
          <w:rFonts w:ascii="仿宋_GB2312" w:eastAsia="仿宋_GB2312"/>
          <w:sz w:val="32"/>
          <w:szCs w:val="32"/>
        </w:rPr>
        <w:t>………………</w:t>
      </w:r>
      <w:r>
        <w:rPr>
          <w:rFonts w:ascii="仿宋_GB2312" w:eastAsia="仿宋_GB2312" w:cs="仿宋_GB2312"/>
          <w:sz w:val="32"/>
          <w:szCs w:val="32"/>
        </w:rPr>
        <w:t>.16</w:t>
      </w:r>
    </w:p>
    <w:p>
      <w:pPr>
        <w:pStyle w:val="11"/>
        <w:adjustRightInd w:val="0"/>
        <w:snapToGrid w:val="0"/>
        <w:spacing w:line="560" w:lineRule="exact"/>
        <w:ind w:leftChars="0"/>
        <w:jc w:val="left"/>
        <w:rPr>
          <w:rFonts w:ascii="仿宋_GB2312" w:hAnsi="仿宋" w:eastAsia="仿宋_GB2312"/>
          <w:sz w:val="32"/>
          <w:szCs w:val="32"/>
        </w:rPr>
      </w:pPr>
      <w:r>
        <w:rPr>
          <w:rFonts w:hint="eastAsia" w:ascii="仿宋_GB2312" w:hAnsi="仿宋" w:eastAsia="仿宋_GB2312" w:cs="仿宋_GB2312"/>
          <w:sz w:val="32"/>
          <w:szCs w:val="32"/>
        </w:rPr>
        <w:t>九、</w:t>
      </w:r>
      <w:r>
        <w:rPr>
          <w:rFonts w:hint="eastAsia" w:ascii="仿宋_GB2312" w:eastAsia="仿宋_GB2312" w:cs="仿宋_GB2312"/>
          <w:sz w:val="32"/>
          <w:szCs w:val="32"/>
        </w:rPr>
        <w:t>国有资本经营预算支出决算情况说明</w:t>
      </w:r>
      <w:r>
        <w:rPr>
          <w:rFonts w:ascii="仿宋_GB2312" w:eastAsia="仿宋_GB2312"/>
          <w:sz w:val="32"/>
          <w:szCs w:val="32"/>
        </w:rPr>
        <w:t>……………</w:t>
      </w:r>
      <w:r>
        <w:rPr>
          <w:rFonts w:ascii="仿宋_GB2312" w:eastAsia="仿宋_GB2312" w:cs="仿宋_GB2312"/>
          <w:sz w:val="32"/>
          <w:szCs w:val="32"/>
        </w:rPr>
        <w:t>.16</w:t>
      </w:r>
    </w:p>
    <w:p>
      <w:pPr>
        <w:adjustRightInd w:val="0"/>
        <w:snapToGrid w:val="0"/>
        <w:spacing w:line="560" w:lineRule="exact"/>
        <w:ind w:firstLine="480" w:firstLineChars="150"/>
        <w:jc w:val="left"/>
        <w:rPr>
          <w:rFonts w:ascii="仿宋_GB2312" w:hAnsi="仿宋" w:eastAsia="仿宋_GB2312"/>
          <w:sz w:val="32"/>
          <w:szCs w:val="32"/>
        </w:rPr>
      </w:pPr>
      <w:r>
        <w:rPr>
          <w:rStyle w:val="15"/>
          <w:rFonts w:hint="eastAsia" w:ascii="仿宋_GB2312" w:hAnsi="仿宋" w:eastAsia="仿宋_GB2312" w:cs="仿宋_GB2312"/>
          <w:color w:val="000000"/>
          <w:sz w:val="32"/>
          <w:szCs w:val="32"/>
          <w:u w:val="none"/>
        </w:rPr>
        <w:t>十、</w:t>
      </w:r>
      <w:r>
        <w:rPr>
          <w:rFonts w:hint="eastAsia" w:ascii="仿宋_GB2312" w:eastAsia="仿宋_GB2312" w:cs="仿宋_GB2312"/>
          <w:sz w:val="32"/>
          <w:szCs w:val="32"/>
        </w:rPr>
        <w:t>其他重要事项的情况说明</w:t>
      </w:r>
      <w:r>
        <w:rPr>
          <w:rFonts w:ascii="仿宋_GB2312" w:eastAsia="仿宋_GB2312"/>
          <w:sz w:val="32"/>
          <w:szCs w:val="32"/>
        </w:rPr>
        <w:t>…………………………</w:t>
      </w:r>
      <w:r>
        <w:rPr>
          <w:rFonts w:ascii="仿宋_GB2312" w:eastAsia="仿宋_GB2312" w:cs="仿宋_GB2312"/>
          <w:sz w:val="32"/>
          <w:szCs w:val="32"/>
        </w:rPr>
        <w:t>.16</w:t>
      </w:r>
      <w:r>
        <w:rPr>
          <w:rFonts w:ascii="仿宋_GB2312" w:hAnsi="仿宋" w:eastAsia="仿宋_GB2312"/>
          <w:sz w:val="32"/>
          <w:szCs w:val="32"/>
        </w:rPr>
        <w:tab/>
      </w:r>
    </w:p>
    <w:p>
      <w:pPr>
        <w:pStyle w:val="10"/>
        <w:adjustRightInd w:val="0"/>
        <w:snapToGrid w:val="0"/>
        <w:spacing w:before="0" w:line="560" w:lineRule="exact"/>
        <w:jc w:val="left"/>
        <w:rPr>
          <w:rFonts w:ascii="仿宋_GB2312" w:eastAsia="仿宋_GB2312" w:cs="Times New Roman"/>
          <w:sz w:val="32"/>
          <w:szCs w:val="32"/>
        </w:rPr>
      </w:pPr>
      <w:r>
        <w:rPr>
          <w:rFonts w:hint="eastAsia" w:ascii="仿宋_GB2312" w:eastAsia="仿宋_GB2312" w:cs="仿宋_GB2312"/>
          <w:sz w:val="32"/>
          <w:szCs w:val="32"/>
        </w:rPr>
        <w:t>第三部分　名词解释</w:t>
      </w:r>
      <w:r>
        <w:rPr>
          <w:rFonts w:ascii="仿宋_GB2312" w:eastAsia="仿宋_GB2312" w:cs="仿宋_GB2312"/>
          <w:sz w:val="32"/>
          <w:szCs w:val="32"/>
        </w:rPr>
        <w:t>.</w:t>
      </w:r>
      <w:r>
        <w:rPr>
          <w:rFonts w:hint="eastAsia" w:ascii="仿宋_GB2312" w:eastAsia="仿宋_GB2312" w:cs="仿宋_GB2312"/>
          <w:sz w:val="32"/>
          <w:szCs w:val="32"/>
        </w:rPr>
        <w:t>………………………………………</w:t>
      </w:r>
      <w:r>
        <w:rPr>
          <w:rFonts w:ascii="仿宋_GB2312" w:eastAsia="仿宋_GB2312" w:cs="仿宋_GB2312"/>
          <w:sz w:val="32"/>
          <w:szCs w:val="32"/>
        </w:rPr>
        <w:t>.18</w:t>
      </w:r>
    </w:p>
    <w:p>
      <w:pPr>
        <w:pStyle w:val="10"/>
        <w:adjustRightInd w:val="0"/>
        <w:snapToGrid w:val="0"/>
        <w:spacing w:before="0" w:line="560" w:lineRule="exact"/>
        <w:jc w:val="left"/>
        <w:rPr>
          <w:rFonts w:ascii="仿宋_GB2312" w:eastAsia="仿宋_GB2312" w:cs="Times New Roman"/>
          <w:sz w:val="32"/>
          <w:szCs w:val="32"/>
        </w:rPr>
      </w:pPr>
      <w:r>
        <w:rPr>
          <w:rFonts w:hint="eastAsia" w:ascii="仿宋_GB2312" w:eastAsia="仿宋_GB2312" w:cs="仿宋_GB2312"/>
          <w:sz w:val="32"/>
          <w:szCs w:val="32"/>
        </w:rPr>
        <w:t>第四部分　附件</w:t>
      </w:r>
      <w:r>
        <w:rPr>
          <w:rFonts w:ascii="仿宋_GB2312" w:eastAsia="仿宋_GB2312" w:cs="仿宋_GB2312"/>
          <w:sz w:val="32"/>
          <w:szCs w:val="32"/>
        </w:rPr>
        <w:t>2019</w:t>
      </w:r>
      <w:r>
        <w:rPr>
          <w:rFonts w:hint="eastAsia" w:ascii="仿宋_GB2312" w:eastAsia="仿宋_GB2312" w:cs="仿宋_GB2312"/>
          <w:sz w:val="32"/>
          <w:szCs w:val="32"/>
        </w:rPr>
        <w:t>年部门整体支出绩效评价报告……</w:t>
      </w:r>
      <w:r>
        <w:rPr>
          <w:rFonts w:ascii="仿宋_GB2312" w:eastAsia="仿宋_GB2312" w:cs="仿宋_GB2312"/>
          <w:sz w:val="32"/>
          <w:szCs w:val="32"/>
        </w:rPr>
        <w:t>.21</w:t>
      </w:r>
    </w:p>
    <w:p>
      <w:pPr>
        <w:pStyle w:val="10"/>
        <w:adjustRightInd w:val="0"/>
        <w:snapToGrid w:val="0"/>
        <w:spacing w:before="0" w:line="560" w:lineRule="exact"/>
        <w:jc w:val="left"/>
        <w:rPr>
          <w:rFonts w:ascii="仿宋_GB2312" w:eastAsia="仿宋_GB2312" w:cs="Times New Roman"/>
          <w:sz w:val="32"/>
          <w:szCs w:val="32"/>
        </w:rPr>
      </w:pPr>
      <w:r>
        <w:rPr>
          <w:rFonts w:hint="eastAsia" w:ascii="仿宋_GB2312" w:eastAsia="仿宋_GB2312" w:cs="仿宋_GB2312"/>
          <w:sz w:val="32"/>
          <w:szCs w:val="32"/>
        </w:rPr>
        <w:t>第五部分　附表………………………………………………</w:t>
      </w:r>
      <w:r>
        <w:rPr>
          <w:rFonts w:ascii="仿宋_GB2312" w:eastAsia="仿宋_GB2312" w:cs="仿宋_GB2312"/>
          <w:sz w:val="32"/>
          <w:szCs w:val="32"/>
        </w:rPr>
        <w:t>28</w:t>
      </w:r>
    </w:p>
    <w:p>
      <w:pPr>
        <w:pStyle w:val="11"/>
        <w:adjustRightInd w:val="0"/>
        <w:snapToGrid w:val="0"/>
        <w:spacing w:line="560" w:lineRule="exact"/>
        <w:jc w:val="left"/>
        <w:rPr>
          <w:rFonts w:ascii="仿宋_GB2312" w:hAnsi="仿宋" w:eastAsia="仿宋_GB2312"/>
          <w:sz w:val="32"/>
          <w:szCs w:val="32"/>
        </w:rPr>
      </w:pPr>
      <w:r>
        <w:rPr>
          <w:rFonts w:hint="eastAsia" w:ascii="仿宋_GB2312" w:hAnsi="仿宋" w:eastAsia="仿宋_GB2312" w:cs="仿宋_GB2312"/>
          <w:sz w:val="32"/>
          <w:szCs w:val="32"/>
        </w:rPr>
        <w:t>一、</w:t>
      </w:r>
      <w:r>
        <w:rPr>
          <w:rFonts w:hint="eastAsia" w:ascii="仿宋_GB2312" w:eastAsia="仿宋_GB2312" w:cs="仿宋_GB2312"/>
          <w:sz w:val="32"/>
          <w:szCs w:val="32"/>
        </w:rPr>
        <w:t>收入支出决算总表</w:t>
      </w:r>
      <w:r>
        <w:rPr>
          <w:rFonts w:ascii="仿宋_GB2312" w:eastAsia="仿宋_GB2312"/>
          <w:sz w:val="32"/>
          <w:szCs w:val="32"/>
        </w:rPr>
        <w:t>…………………………………</w:t>
      </w:r>
      <w:r>
        <w:rPr>
          <w:rFonts w:ascii="仿宋_GB2312" w:eastAsia="仿宋_GB2312" w:cs="仿宋_GB2312"/>
          <w:sz w:val="32"/>
          <w:szCs w:val="32"/>
        </w:rPr>
        <w:t>..28</w:t>
      </w:r>
    </w:p>
    <w:p>
      <w:pPr>
        <w:pStyle w:val="11"/>
        <w:adjustRightInd w:val="0"/>
        <w:snapToGrid w:val="0"/>
        <w:spacing w:line="560" w:lineRule="exact"/>
        <w:jc w:val="left"/>
        <w:rPr>
          <w:rFonts w:ascii="仿宋_GB2312" w:hAnsi="仿宋" w:eastAsia="仿宋_GB2312"/>
          <w:sz w:val="32"/>
          <w:szCs w:val="32"/>
        </w:rPr>
      </w:pPr>
      <w:r>
        <w:rPr>
          <w:rFonts w:hint="eastAsia" w:ascii="仿宋_GB2312" w:hAnsi="仿宋" w:eastAsia="仿宋_GB2312" w:cs="仿宋_GB2312"/>
          <w:sz w:val="32"/>
          <w:szCs w:val="32"/>
        </w:rPr>
        <w:t>二、</w:t>
      </w:r>
      <w:r>
        <w:rPr>
          <w:rFonts w:hint="eastAsia" w:ascii="仿宋_GB2312" w:eastAsia="仿宋_GB2312" w:cs="仿宋_GB2312"/>
          <w:sz w:val="32"/>
          <w:szCs w:val="32"/>
        </w:rPr>
        <w:t>收入</w:t>
      </w:r>
      <w:r>
        <w:rPr>
          <w:rFonts w:hint="eastAsia" w:ascii="仿宋_GB2312" w:hAnsi="仿宋" w:eastAsia="仿宋_GB2312" w:cs="仿宋_GB2312"/>
          <w:sz w:val="32"/>
          <w:szCs w:val="32"/>
        </w:rPr>
        <w:t>决算</w:t>
      </w:r>
      <w:r>
        <w:rPr>
          <w:rFonts w:hint="eastAsia" w:ascii="仿宋_GB2312" w:eastAsia="仿宋_GB2312" w:cs="仿宋_GB2312"/>
          <w:sz w:val="32"/>
          <w:szCs w:val="32"/>
        </w:rPr>
        <w:t>表</w:t>
      </w:r>
      <w:r>
        <w:rPr>
          <w:rFonts w:ascii="仿宋_GB2312" w:eastAsia="仿宋_GB2312"/>
          <w:sz w:val="32"/>
          <w:szCs w:val="32"/>
        </w:rPr>
        <w:t>…………………………………………</w:t>
      </w:r>
      <w:r>
        <w:rPr>
          <w:rFonts w:ascii="仿宋_GB2312" w:eastAsia="仿宋_GB2312" w:cs="仿宋_GB2312"/>
          <w:sz w:val="32"/>
          <w:szCs w:val="32"/>
        </w:rPr>
        <w:t>..28</w:t>
      </w:r>
    </w:p>
    <w:p>
      <w:pPr>
        <w:pStyle w:val="11"/>
        <w:adjustRightInd w:val="0"/>
        <w:snapToGrid w:val="0"/>
        <w:spacing w:line="560" w:lineRule="exact"/>
        <w:jc w:val="left"/>
        <w:rPr>
          <w:rFonts w:ascii="仿宋_GB2312" w:hAnsi="仿宋" w:eastAsia="仿宋_GB2312"/>
          <w:sz w:val="32"/>
          <w:szCs w:val="32"/>
        </w:rPr>
      </w:pPr>
      <w:r>
        <w:rPr>
          <w:rFonts w:hint="eastAsia" w:ascii="仿宋_GB2312" w:hAnsi="仿宋" w:eastAsia="仿宋_GB2312" w:cs="仿宋_GB2312"/>
          <w:sz w:val="32"/>
          <w:szCs w:val="32"/>
        </w:rPr>
        <w:t>三、</w:t>
      </w:r>
      <w:r>
        <w:rPr>
          <w:rFonts w:hint="eastAsia" w:ascii="仿宋_GB2312" w:eastAsia="仿宋_GB2312" w:cs="仿宋_GB2312"/>
          <w:sz w:val="32"/>
          <w:szCs w:val="32"/>
        </w:rPr>
        <w:t>支出</w:t>
      </w:r>
      <w:r>
        <w:rPr>
          <w:rFonts w:hint="eastAsia" w:ascii="仿宋_GB2312" w:hAnsi="仿宋" w:eastAsia="仿宋_GB2312" w:cs="仿宋_GB2312"/>
          <w:sz w:val="32"/>
          <w:szCs w:val="32"/>
        </w:rPr>
        <w:t>决算</w:t>
      </w:r>
      <w:r>
        <w:rPr>
          <w:rFonts w:hint="eastAsia" w:ascii="仿宋_GB2312" w:eastAsia="仿宋_GB2312" w:cs="仿宋_GB2312"/>
          <w:sz w:val="32"/>
          <w:szCs w:val="32"/>
        </w:rPr>
        <w:t>表</w:t>
      </w:r>
      <w:r>
        <w:rPr>
          <w:rFonts w:ascii="仿宋_GB2312" w:eastAsia="仿宋_GB2312"/>
          <w:sz w:val="32"/>
          <w:szCs w:val="32"/>
        </w:rPr>
        <w:t>…………………………………………</w:t>
      </w:r>
      <w:r>
        <w:rPr>
          <w:rFonts w:ascii="仿宋_GB2312" w:eastAsia="仿宋_GB2312" w:cs="仿宋_GB2312"/>
          <w:sz w:val="32"/>
          <w:szCs w:val="32"/>
        </w:rPr>
        <w:t>..28</w:t>
      </w:r>
    </w:p>
    <w:p>
      <w:pPr>
        <w:pStyle w:val="11"/>
        <w:adjustRightInd w:val="0"/>
        <w:snapToGrid w:val="0"/>
        <w:spacing w:line="560" w:lineRule="exact"/>
        <w:jc w:val="left"/>
        <w:rPr>
          <w:rFonts w:ascii="仿宋_GB2312" w:hAnsi="仿宋" w:eastAsia="仿宋_GB2312"/>
          <w:sz w:val="32"/>
          <w:szCs w:val="32"/>
        </w:rPr>
      </w:pPr>
      <w:r>
        <w:rPr>
          <w:rFonts w:hint="eastAsia" w:ascii="仿宋_GB2312" w:hAnsi="仿宋" w:eastAsia="仿宋_GB2312" w:cs="仿宋_GB2312"/>
          <w:sz w:val="32"/>
          <w:szCs w:val="32"/>
        </w:rPr>
        <w:t>四、</w:t>
      </w:r>
      <w:r>
        <w:rPr>
          <w:rFonts w:hint="eastAsia" w:ascii="仿宋_GB2312" w:eastAsia="仿宋_GB2312" w:cs="仿宋_GB2312"/>
          <w:sz w:val="32"/>
          <w:szCs w:val="32"/>
        </w:rPr>
        <w:t>财政拨款收入支出决算总表</w:t>
      </w:r>
      <w:r>
        <w:rPr>
          <w:rFonts w:ascii="仿宋_GB2312" w:eastAsia="仿宋_GB2312"/>
          <w:sz w:val="32"/>
          <w:szCs w:val="32"/>
        </w:rPr>
        <w:t>………………………</w:t>
      </w:r>
      <w:r>
        <w:rPr>
          <w:rFonts w:ascii="仿宋_GB2312" w:eastAsia="仿宋_GB2312" w:cs="仿宋_GB2312"/>
          <w:sz w:val="32"/>
          <w:szCs w:val="32"/>
        </w:rPr>
        <w:t>28</w:t>
      </w:r>
    </w:p>
    <w:p>
      <w:pPr>
        <w:pStyle w:val="11"/>
        <w:adjustRightInd w:val="0"/>
        <w:snapToGrid w:val="0"/>
        <w:spacing w:line="560" w:lineRule="exact"/>
        <w:jc w:val="left"/>
        <w:rPr>
          <w:rFonts w:ascii="仿宋_GB2312" w:hAnsi="仿宋" w:eastAsia="仿宋_GB2312"/>
          <w:sz w:val="32"/>
          <w:szCs w:val="32"/>
        </w:rPr>
      </w:pPr>
      <w:r>
        <w:rPr>
          <w:rFonts w:hint="eastAsia" w:ascii="仿宋_GB2312" w:hAnsi="仿宋" w:eastAsia="仿宋_GB2312" w:cs="仿宋_GB2312"/>
          <w:sz w:val="32"/>
          <w:szCs w:val="32"/>
        </w:rPr>
        <w:t>五、财政拨款支出决算明细表</w:t>
      </w:r>
      <w:r>
        <w:rPr>
          <w:rFonts w:ascii="仿宋_GB2312" w:eastAsia="仿宋_GB2312"/>
          <w:sz w:val="32"/>
          <w:szCs w:val="32"/>
        </w:rPr>
        <w:t>………………………</w:t>
      </w:r>
      <w:r>
        <w:rPr>
          <w:rFonts w:ascii="仿宋_GB2312" w:eastAsia="仿宋_GB2312" w:cs="仿宋_GB2312"/>
          <w:sz w:val="32"/>
          <w:szCs w:val="32"/>
        </w:rPr>
        <w:t>..28</w:t>
      </w:r>
    </w:p>
    <w:p>
      <w:pPr>
        <w:pStyle w:val="11"/>
        <w:adjustRightInd w:val="0"/>
        <w:snapToGrid w:val="0"/>
        <w:spacing w:line="560" w:lineRule="exact"/>
        <w:jc w:val="left"/>
        <w:rPr>
          <w:rFonts w:ascii="仿宋_GB2312" w:hAnsi="仿宋" w:eastAsia="仿宋_GB2312"/>
          <w:sz w:val="32"/>
          <w:szCs w:val="32"/>
        </w:rPr>
      </w:pPr>
      <w:r>
        <w:rPr>
          <w:rFonts w:hint="eastAsia" w:ascii="仿宋_GB2312" w:hAnsi="仿宋" w:eastAsia="仿宋_GB2312" w:cs="仿宋_GB2312"/>
          <w:sz w:val="32"/>
          <w:szCs w:val="32"/>
        </w:rPr>
        <w:t>六、</w:t>
      </w:r>
      <w:r>
        <w:rPr>
          <w:rFonts w:hint="eastAsia" w:ascii="仿宋_GB2312" w:eastAsia="仿宋_GB2312" w:cs="仿宋_GB2312"/>
          <w:sz w:val="32"/>
          <w:szCs w:val="32"/>
        </w:rPr>
        <w:t>一般公共预算财政拨款支出决算表</w:t>
      </w:r>
      <w:r>
        <w:rPr>
          <w:rFonts w:ascii="仿宋_GB2312" w:eastAsia="仿宋_GB2312"/>
          <w:sz w:val="32"/>
          <w:szCs w:val="32"/>
        </w:rPr>
        <w:t>……………</w:t>
      </w:r>
      <w:r>
        <w:rPr>
          <w:rFonts w:ascii="仿宋_GB2312" w:eastAsia="仿宋_GB2312" w:cs="仿宋_GB2312"/>
          <w:sz w:val="32"/>
          <w:szCs w:val="32"/>
        </w:rPr>
        <w:t>..28</w:t>
      </w:r>
    </w:p>
    <w:p>
      <w:pPr>
        <w:pStyle w:val="11"/>
        <w:adjustRightInd w:val="0"/>
        <w:snapToGrid w:val="0"/>
        <w:spacing w:line="560" w:lineRule="exact"/>
        <w:jc w:val="left"/>
        <w:rPr>
          <w:rFonts w:ascii="仿宋_GB2312" w:hAnsi="仿宋" w:eastAsia="仿宋_GB2312"/>
          <w:sz w:val="32"/>
          <w:szCs w:val="32"/>
        </w:rPr>
      </w:pPr>
      <w:r>
        <w:rPr>
          <w:rFonts w:hint="eastAsia" w:ascii="仿宋_GB2312" w:hAnsi="仿宋" w:eastAsia="仿宋_GB2312" w:cs="仿宋_GB2312"/>
          <w:sz w:val="32"/>
          <w:szCs w:val="32"/>
        </w:rPr>
        <w:t>七、</w:t>
      </w:r>
      <w:r>
        <w:rPr>
          <w:rFonts w:hint="eastAsia" w:ascii="仿宋_GB2312" w:eastAsia="仿宋_GB2312" w:cs="仿宋_GB2312"/>
          <w:sz w:val="32"/>
          <w:szCs w:val="32"/>
        </w:rPr>
        <w:t>一般公共预算财政拨款支出决算明细表</w:t>
      </w:r>
      <w:r>
        <w:rPr>
          <w:rFonts w:ascii="仿宋_GB2312" w:eastAsia="仿宋_GB2312"/>
          <w:sz w:val="32"/>
          <w:szCs w:val="32"/>
        </w:rPr>
        <w:t>………</w:t>
      </w:r>
      <w:r>
        <w:rPr>
          <w:rFonts w:ascii="仿宋_GB2312" w:eastAsia="仿宋_GB2312" w:cs="仿宋_GB2312"/>
          <w:sz w:val="32"/>
          <w:szCs w:val="32"/>
        </w:rPr>
        <w:t>..28</w:t>
      </w:r>
    </w:p>
    <w:p>
      <w:pPr>
        <w:pStyle w:val="11"/>
        <w:adjustRightInd w:val="0"/>
        <w:snapToGrid w:val="0"/>
        <w:spacing w:line="560" w:lineRule="exact"/>
        <w:jc w:val="left"/>
        <w:rPr>
          <w:rFonts w:ascii="仿宋_GB2312" w:hAnsi="仿宋" w:eastAsia="仿宋_GB2312"/>
          <w:sz w:val="32"/>
          <w:szCs w:val="32"/>
        </w:rPr>
      </w:pPr>
      <w:r>
        <w:rPr>
          <w:rFonts w:hint="eastAsia" w:ascii="仿宋_GB2312" w:hAnsi="仿宋" w:eastAsia="仿宋_GB2312" w:cs="仿宋_GB2312"/>
          <w:sz w:val="32"/>
          <w:szCs w:val="32"/>
        </w:rPr>
        <w:t>八、</w:t>
      </w:r>
      <w:r>
        <w:rPr>
          <w:rFonts w:hint="eastAsia" w:ascii="仿宋_GB2312" w:eastAsia="仿宋_GB2312" w:cs="仿宋_GB2312"/>
          <w:sz w:val="32"/>
          <w:szCs w:val="32"/>
        </w:rPr>
        <w:t>一般公共预算财政拨款基本支出决算表</w:t>
      </w:r>
      <w:r>
        <w:rPr>
          <w:rFonts w:ascii="仿宋_GB2312" w:eastAsia="仿宋_GB2312"/>
          <w:sz w:val="32"/>
          <w:szCs w:val="32"/>
        </w:rPr>
        <w:t>………</w:t>
      </w:r>
      <w:r>
        <w:rPr>
          <w:rFonts w:ascii="仿宋_GB2312" w:eastAsia="仿宋_GB2312" w:cs="仿宋_GB2312"/>
          <w:sz w:val="32"/>
          <w:szCs w:val="32"/>
        </w:rPr>
        <w:t>..28</w:t>
      </w:r>
    </w:p>
    <w:p>
      <w:pPr>
        <w:pStyle w:val="11"/>
        <w:adjustRightInd w:val="0"/>
        <w:snapToGrid w:val="0"/>
        <w:spacing w:line="560" w:lineRule="exact"/>
        <w:jc w:val="left"/>
        <w:rPr>
          <w:rFonts w:ascii="仿宋_GB2312" w:hAnsi="仿宋" w:eastAsia="仿宋_GB2312"/>
          <w:sz w:val="32"/>
          <w:szCs w:val="32"/>
        </w:rPr>
      </w:pPr>
      <w:r>
        <w:rPr>
          <w:rFonts w:hint="eastAsia" w:ascii="仿宋_GB2312" w:hAnsi="仿宋" w:eastAsia="仿宋_GB2312" w:cs="仿宋_GB2312"/>
          <w:sz w:val="32"/>
          <w:szCs w:val="32"/>
        </w:rPr>
        <w:t>九、</w:t>
      </w:r>
      <w:r>
        <w:rPr>
          <w:rFonts w:hint="eastAsia" w:ascii="仿宋_GB2312" w:eastAsia="仿宋_GB2312" w:cs="仿宋_GB2312"/>
          <w:sz w:val="32"/>
          <w:szCs w:val="32"/>
        </w:rPr>
        <w:t>一般公共预算财政拨款项目支出决算表</w:t>
      </w:r>
      <w:r>
        <w:rPr>
          <w:rFonts w:ascii="仿宋_GB2312" w:eastAsia="仿宋_GB2312"/>
          <w:sz w:val="32"/>
          <w:szCs w:val="32"/>
        </w:rPr>
        <w:t>………</w:t>
      </w:r>
      <w:r>
        <w:rPr>
          <w:rFonts w:ascii="仿宋_GB2312" w:eastAsia="仿宋_GB2312" w:cs="仿宋_GB2312"/>
          <w:sz w:val="32"/>
          <w:szCs w:val="32"/>
        </w:rPr>
        <w:t>..28</w:t>
      </w:r>
    </w:p>
    <w:p>
      <w:pPr>
        <w:pStyle w:val="11"/>
        <w:adjustRightInd w:val="0"/>
        <w:snapToGrid w:val="0"/>
        <w:spacing w:line="560" w:lineRule="exact"/>
        <w:jc w:val="left"/>
        <w:rPr>
          <w:rFonts w:ascii="仿宋_GB2312" w:eastAsia="仿宋_GB2312"/>
          <w:sz w:val="32"/>
          <w:szCs w:val="32"/>
        </w:rPr>
      </w:pPr>
      <w:r>
        <w:rPr>
          <w:rFonts w:hint="eastAsia" w:ascii="仿宋_GB2312" w:hAnsi="仿宋" w:eastAsia="仿宋_GB2312" w:cs="仿宋_GB2312"/>
          <w:sz w:val="32"/>
          <w:szCs w:val="32"/>
        </w:rPr>
        <w:t>十、</w:t>
      </w:r>
      <w:r>
        <w:rPr>
          <w:rFonts w:hint="eastAsia" w:ascii="仿宋_GB2312" w:eastAsia="仿宋_GB2312" w:cs="仿宋_GB2312"/>
          <w:sz w:val="32"/>
          <w:szCs w:val="32"/>
        </w:rPr>
        <w:t>一般公共预算财政拨款“三公”经费支出决算表</w:t>
      </w:r>
    </w:p>
    <w:p>
      <w:pPr>
        <w:pStyle w:val="10"/>
        <w:adjustRightInd w:val="0"/>
        <w:snapToGrid w:val="0"/>
        <w:spacing w:before="0" w:line="560" w:lineRule="exact"/>
        <w:ind w:firstLine="480" w:firstLineChars="150"/>
        <w:jc w:val="left"/>
        <w:rPr>
          <w:rFonts w:ascii="仿宋_GB2312" w:eastAsia="仿宋_GB2312" w:cs="Times New Roman"/>
          <w:sz w:val="32"/>
          <w:szCs w:val="32"/>
        </w:rPr>
      </w:pPr>
      <w:r>
        <w:rPr>
          <w:rFonts w:hint="eastAsia" w:ascii="仿宋_GB2312" w:eastAsia="仿宋_GB2312" w:cs="仿宋_GB2312"/>
          <w:sz w:val="32"/>
          <w:szCs w:val="32"/>
        </w:rPr>
        <w:t>…………………………………………………………</w:t>
      </w:r>
      <w:r>
        <w:rPr>
          <w:rFonts w:ascii="仿宋_GB2312" w:eastAsia="仿宋_GB2312" w:cs="仿宋_GB2312"/>
          <w:sz w:val="32"/>
          <w:szCs w:val="32"/>
        </w:rPr>
        <w:t>..28</w:t>
      </w:r>
    </w:p>
    <w:p>
      <w:pPr>
        <w:pStyle w:val="11"/>
        <w:adjustRightInd w:val="0"/>
        <w:snapToGrid w:val="0"/>
        <w:spacing w:line="560" w:lineRule="exact"/>
        <w:jc w:val="left"/>
        <w:rPr>
          <w:rFonts w:ascii="仿宋_GB2312" w:eastAsia="仿宋_GB2312"/>
          <w:sz w:val="32"/>
          <w:szCs w:val="32"/>
        </w:rPr>
      </w:pPr>
      <w:r>
        <w:rPr>
          <w:rFonts w:hint="eastAsia" w:ascii="仿宋_GB2312" w:hAnsi="仿宋" w:eastAsia="仿宋_GB2312" w:cs="仿宋_GB2312"/>
          <w:sz w:val="32"/>
          <w:szCs w:val="32"/>
        </w:rPr>
        <w:t>十一、</w:t>
      </w:r>
      <w:r>
        <w:rPr>
          <w:rFonts w:hint="eastAsia" w:ascii="仿宋_GB2312" w:eastAsia="仿宋_GB2312" w:cs="仿宋_GB2312"/>
          <w:sz w:val="32"/>
          <w:szCs w:val="32"/>
        </w:rPr>
        <w:t>政府性基金预算财政拨款收入支出决算表</w:t>
      </w:r>
    </w:p>
    <w:p>
      <w:pPr>
        <w:pStyle w:val="10"/>
        <w:adjustRightInd w:val="0"/>
        <w:snapToGrid w:val="0"/>
        <w:spacing w:before="0" w:line="560" w:lineRule="exact"/>
        <w:ind w:firstLine="480" w:firstLineChars="150"/>
        <w:jc w:val="left"/>
        <w:rPr>
          <w:rFonts w:ascii="仿宋_GB2312" w:eastAsia="仿宋_GB2312" w:cs="Times New Roman"/>
          <w:sz w:val="32"/>
          <w:szCs w:val="32"/>
        </w:rPr>
      </w:pPr>
      <w:r>
        <w:rPr>
          <w:rFonts w:hint="eastAsia" w:ascii="仿宋_GB2312" w:eastAsia="仿宋_GB2312" w:cs="仿宋_GB2312"/>
          <w:sz w:val="32"/>
          <w:szCs w:val="32"/>
        </w:rPr>
        <w:t>……………………………………………………………</w:t>
      </w:r>
      <w:r>
        <w:rPr>
          <w:rFonts w:ascii="仿宋_GB2312" w:eastAsia="仿宋_GB2312" w:cs="仿宋_GB2312"/>
          <w:sz w:val="32"/>
          <w:szCs w:val="32"/>
        </w:rPr>
        <w:t>28</w:t>
      </w:r>
    </w:p>
    <w:p>
      <w:pPr>
        <w:pStyle w:val="11"/>
        <w:adjustRightInd w:val="0"/>
        <w:snapToGrid w:val="0"/>
        <w:spacing w:line="560" w:lineRule="exact"/>
        <w:jc w:val="left"/>
        <w:rPr>
          <w:rFonts w:ascii="仿宋_GB2312" w:eastAsia="仿宋_GB2312"/>
          <w:sz w:val="32"/>
          <w:szCs w:val="32"/>
        </w:rPr>
      </w:pPr>
      <w:r>
        <w:rPr>
          <w:rFonts w:hint="eastAsia" w:ascii="仿宋_GB2312" w:hAnsi="仿宋" w:eastAsia="仿宋_GB2312" w:cs="仿宋_GB2312"/>
          <w:sz w:val="32"/>
          <w:szCs w:val="32"/>
        </w:rPr>
        <w:t>十二、</w:t>
      </w:r>
      <w:r>
        <w:rPr>
          <w:rFonts w:hint="eastAsia" w:ascii="仿宋_GB2312" w:eastAsia="仿宋_GB2312" w:cs="仿宋_GB2312"/>
          <w:sz w:val="32"/>
          <w:szCs w:val="32"/>
        </w:rPr>
        <w:t>政府性基金预算财政拨款“三公”经费支出决算表</w:t>
      </w:r>
    </w:p>
    <w:p>
      <w:pPr>
        <w:pStyle w:val="10"/>
        <w:adjustRightInd w:val="0"/>
        <w:snapToGrid w:val="0"/>
        <w:spacing w:before="0" w:line="560" w:lineRule="exact"/>
        <w:ind w:firstLine="480" w:firstLineChars="150"/>
        <w:jc w:val="left"/>
        <w:rPr>
          <w:rFonts w:ascii="仿宋_GB2312" w:eastAsia="仿宋_GB2312" w:cs="Times New Roman"/>
          <w:sz w:val="32"/>
          <w:szCs w:val="32"/>
        </w:rPr>
      </w:pPr>
      <w:r>
        <w:rPr>
          <w:rFonts w:hint="eastAsia" w:ascii="仿宋_GB2312" w:eastAsia="仿宋_GB2312" w:cs="仿宋_GB2312"/>
          <w:sz w:val="32"/>
          <w:szCs w:val="32"/>
        </w:rPr>
        <w:t>…………………………………………………………</w:t>
      </w:r>
      <w:r>
        <w:rPr>
          <w:rFonts w:ascii="仿宋_GB2312" w:eastAsia="仿宋_GB2312" w:cs="仿宋_GB2312"/>
          <w:sz w:val="32"/>
          <w:szCs w:val="32"/>
        </w:rPr>
        <w:t>..28</w:t>
      </w:r>
    </w:p>
    <w:p>
      <w:pPr>
        <w:pStyle w:val="11"/>
        <w:adjustRightInd w:val="0"/>
        <w:snapToGrid w:val="0"/>
        <w:spacing w:line="560" w:lineRule="exact"/>
        <w:jc w:val="left"/>
        <w:rPr>
          <w:rFonts w:hint="eastAsia" w:ascii="方正小标宋_GBK" w:hAnsi="黑体" w:eastAsia="方正小标宋_GBK" w:cs="方正小标宋_GBK"/>
          <w:b w:val="0"/>
          <w:bCs w:val="0"/>
        </w:rPr>
      </w:pPr>
      <w:r>
        <w:rPr>
          <w:rFonts w:hint="eastAsia" w:ascii="仿宋_GB2312" w:hAnsi="仿宋" w:eastAsia="仿宋_GB2312" w:cs="仿宋_GB2312"/>
          <w:sz w:val="32"/>
          <w:szCs w:val="32"/>
        </w:rPr>
        <w:t>十三、</w:t>
      </w:r>
      <w:r>
        <w:rPr>
          <w:rFonts w:hint="eastAsia" w:ascii="仿宋_GB2312" w:eastAsia="仿宋_GB2312" w:cs="仿宋_GB2312"/>
          <w:sz w:val="32"/>
          <w:szCs w:val="32"/>
        </w:rPr>
        <w:t>国有资本经营预算支出决算表</w:t>
      </w:r>
      <w:r>
        <w:rPr>
          <w:rFonts w:ascii="仿宋_GB2312" w:eastAsia="仿宋_GB2312"/>
          <w:sz w:val="32"/>
          <w:szCs w:val="32"/>
        </w:rPr>
        <w:t>…………………</w:t>
      </w:r>
      <w:r>
        <w:rPr>
          <w:rFonts w:ascii="仿宋_GB2312" w:eastAsia="仿宋_GB2312" w:cs="仿宋_GB2312"/>
          <w:sz w:val="32"/>
          <w:szCs w:val="32"/>
        </w:rPr>
        <w:t>.28</w:t>
      </w:r>
    </w:p>
    <w:p>
      <w:pPr>
        <w:pStyle w:val="2"/>
        <w:jc w:val="center"/>
        <w:rPr>
          <w:rFonts w:hint="eastAsia" w:ascii="方正小标宋_GBK" w:hAnsi="黑体" w:eastAsia="方正小标宋_GBK" w:cs="方正小标宋_GBK"/>
          <w:b w:val="0"/>
          <w:bCs w:val="0"/>
        </w:rPr>
      </w:pPr>
    </w:p>
    <w:p>
      <w:pPr>
        <w:pStyle w:val="2"/>
        <w:jc w:val="center"/>
        <w:rPr>
          <w:rFonts w:hint="eastAsia" w:ascii="方正小标宋_GBK" w:hAnsi="黑体" w:eastAsia="方正小标宋_GBK" w:cs="方正小标宋_GBK"/>
          <w:b w:val="0"/>
          <w:bCs w:val="0"/>
        </w:rPr>
      </w:pPr>
    </w:p>
    <w:p>
      <w:pPr>
        <w:pStyle w:val="2"/>
        <w:jc w:val="center"/>
        <w:rPr>
          <w:rFonts w:hint="eastAsia" w:ascii="方正小标宋_GBK" w:hAnsi="黑体" w:eastAsia="方正小标宋_GBK" w:cs="方正小标宋_GBK"/>
          <w:b w:val="0"/>
          <w:bCs w:val="0"/>
        </w:rPr>
      </w:pPr>
    </w:p>
    <w:p>
      <w:pPr>
        <w:rPr>
          <w:rFonts w:hint="eastAsia" w:ascii="方正小标宋_GBK" w:hAnsi="黑体" w:eastAsia="方正小标宋_GBK" w:cs="方正小标宋_GBK"/>
          <w:b w:val="0"/>
          <w:bCs w:val="0"/>
        </w:rPr>
      </w:pPr>
    </w:p>
    <w:p>
      <w:pPr>
        <w:rPr>
          <w:rFonts w:hint="eastAsia" w:ascii="方正小标宋_GBK" w:hAnsi="黑体" w:eastAsia="方正小标宋_GBK" w:cs="方正小标宋_GBK"/>
          <w:b w:val="0"/>
          <w:bCs w:val="0"/>
        </w:rPr>
      </w:pPr>
    </w:p>
    <w:p>
      <w:pPr>
        <w:pStyle w:val="2"/>
        <w:numPr>
          <w:ilvl w:val="0"/>
          <w:numId w:val="1"/>
        </w:numPr>
        <w:spacing w:before="0" w:after="0" w:line="240" w:lineRule="auto"/>
        <w:jc w:val="center"/>
        <w:rPr>
          <w:rStyle w:val="16"/>
          <w:rFonts w:hint="eastAsia" w:ascii="方正小标宋_GBK" w:hAnsi="黑体" w:eastAsia="方正小标宋_GBK" w:cs="方正小标宋_GBK"/>
          <w:b w:val="0"/>
          <w:bCs w:val="0"/>
        </w:rPr>
      </w:pPr>
      <w:r>
        <w:rPr>
          <w:rStyle w:val="16"/>
          <w:rFonts w:hint="eastAsia" w:ascii="方正小标宋_GBK" w:hAnsi="黑体" w:eastAsia="方正小标宋_GBK" w:cs="方正小标宋_GBK"/>
          <w:b w:val="0"/>
          <w:bCs w:val="0"/>
        </w:rPr>
        <w:t>部门概况</w:t>
      </w:r>
      <w:bookmarkEnd w:id="12"/>
      <w:bookmarkEnd w:id="13"/>
      <w:bookmarkStart w:id="14" w:name="_Toc15377197"/>
      <w:bookmarkStart w:id="15" w:name="_Toc15396600"/>
    </w:p>
    <w:p>
      <w:pPr>
        <w:pStyle w:val="2"/>
        <w:numPr>
          <w:ilvl w:val="0"/>
          <w:numId w:val="0"/>
        </w:numPr>
        <w:spacing w:before="0" w:after="0" w:line="240" w:lineRule="auto"/>
        <w:jc w:val="both"/>
        <w:rPr>
          <w:rStyle w:val="30"/>
          <w:rFonts w:hint="eastAsia" w:ascii="黑体" w:hAnsi="黑体" w:eastAsia="黑体" w:cs="黑体"/>
          <w:b/>
          <w:bCs/>
        </w:rPr>
      </w:pPr>
    </w:p>
    <w:p>
      <w:pPr>
        <w:pStyle w:val="2"/>
        <w:numPr>
          <w:ilvl w:val="0"/>
          <w:numId w:val="0"/>
        </w:numPr>
        <w:spacing w:before="0" w:after="0" w:line="240" w:lineRule="auto"/>
        <w:ind w:firstLine="642" w:firstLineChars="200"/>
        <w:jc w:val="both"/>
        <w:rPr>
          <w:rStyle w:val="30"/>
          <w:rFonts w:ascii="黑体" w:hAnsi="黑体" w:eastAsia="黑体" w:cs="Times New Roman"/>
          <w:b/>
          <w:bCs/>
        </w:rPr>
      </w:pPr>
      <w:r>
        <w:rPr>
          <w:rStyle w:val="30"/>
          <w:rFonts w:hint="eastAsia" w:ascii="黑体" w:hAnsi="黑体" w:eastAsia="黑体" w:cs="黑体"/>
          <w:b/>
          <w:bCs/>
        </w:rPr>
        <w:t>一、基本职能及主要工作</w:t>
      </w:r>
      <w:bookmarkEnd w:id="14"/>
      <w:bookmarkEnd w:id="15"/>
    </w:p>
    <w:p>
      <w:pPr>
        <w:pStyle w:val="5"/>
        <w:adjustRightInd w:val="0"/>
        <w:snapToGrid w:val="0"/>
        <w:spacing w:before="93" w:line="300" w:lineRule="exact"/>
        <w:ind w:firstLine="674" w:firstLineChars="210"/>
        <w:outlineLvl w:val="2"/>
        <w:rPr>
          <w:rFonts w:ascii="楷体_GB2312" w:hAnsi="仿宋" w:eastAsia="楷体_GB2312" w:cs="Times New Roman"/>
          <w:b/>
          <w:bCs/>
          <w:color w:val="000000"/>
          <w:sz w:val="32"/>
          <w:szCs w:val="32"/>
        </w:rPr>
      </w:pPr>
      <w:bookmarkStart w:id="16" w:name="_Toc15378445"/>
      <w:bookmarkStart w:id="17" w:name="_Toc15377198"/>
      <w:r>
        <w:rPr>
          <w:rFonts w:hint="eastAsia" w:ascii="楷体_GB2312" w:hAnsi="仿宋" w:eastAsia="楷体_GB2312" w:cs="楷体_GB2312"/>
          <w:b/>
          <w:bCs/>
          <w:color w:val="000000"/>
          <w:sz w:val="32"/>
          <w:szCs w:val="32"/>
        </w:rPr>
        <w:t>（一）主要职能</w:t>
      </w:r>
      <w:bookmarkEnd w:id="16"/>
      <w:bookmarkEnd w:id="17"/>
    </w:p>
    <w:p>
      <w:pPr>
        <w:adjustRightInd w:val="0"/>
        <w:snapToGrid w:val="0"/>
        <w:spacing w:line="576" w:lineRule="exact"/>
        <w:ind w:firstLine="640" w:firstLineChars="200"/>
        <w:rPr>
          <w:rFonts w:ascii="仿宋_GB2312" w:hAnsi="Tahoma" w:eastAsia="仿宋_GB2312"/>
          <w:sz w:val="32"/>
          <w:szCs w:val="32"/>
        </w:rPr>
      </w:pPr>
      <w:r>
        <w:rPr>
          <w:rFonts w:ascii="仿宋_GB2312" w:hAnsi="Tahoma" w:eastAsia="仿宋_GB2312" w:cs="仿宋_GB2312"/>
          <w:sz w:val="32"/>
          <w:szCs w:val="32"/>
        </w:rPr>
        <w:t>1.</w:t>
      </w:r>
      <w:r>
        <w:rPr>
          <w:rFonts w:hint="eastAsia" w:ascii="仿宋_GB2312" w:hAnsi="Tahoma" w:eastAsia="仿宋_GB2312" w:cs="仿宋_GB2312"/>
          <w:sz w:val="32"/>
          <w:szCs w:val="32"/>
        </w:rPr>
        <w:t>拟订全县财税发展战略、规划和改革方案并组织实施。分析预测宏观经济形势，参与执行宏观经济政策，提出运用财税政策实施宏观调控和综合平衡社会财力的建议。贯彻落实</w:t>
      </w:r>
      <w:r>
        <w:rPr>
          <w:rFonts w:hint="eastAsia" w:ascii="仿宋_GB2312" w:hAnsi="Tahoma" w:eastAsia="仿宋_GB2312" w:cs="仿宋_GB2312"/>
          <w:color w:val="000000"/>
          <w:sz w:val="32"/>
          <w:szCs w:val="32"/>
        </w:rPr>
        <w:t>国家与企业的分配政策及</w:t>
      </w:r>
      <w:r>
        <w:rPr>
          <w:rFonts w:hint="eastAsia" w:ascii="仿宋_GB2312" w:hAnsi="Tahoma" w:eastAsia="仿宋_GB2312" w:cs="仿宋_GB2312"/>
          <w:sz w:val="32"/>
          <w:szCs w:val="32"/>
        </w:rPr>
        <w:t>公益事业发展的财税政策。</w:t>
      </w:r>
    </w:p>
    <w:p>
      <w:pPr>
        <w:adjustRightInd w:val="0"/>
        <w:snapToGrid w:val="0"/>
        <w:spacing w:line="576" w:lineRule="exact"/>
        <w:ind w:firstLine="640" w:firstLineChars="200"/>
        <w:rPr>
          <w:rFonts w:ascii="仿宋_GB2312" w:hAnsi="Tahoma" w:eastAsia="仿宋_GB2312"/>
          <w:sz w:val="32"/>
          <w:szCs w:val="32"/>
        </w:rPr>
      </w:pPr>
      <w:r>
        <w:rPr>
          <w:rFonts w:ascii="仿宋_GB2312" w:hAnsi="Tahoma" w:eastAsia="仿宋_GB2312" w:cs="仿宋_GB2312"/>
          <w:sz w:val="32"/>
          <w:szCs w:val="32"/>
        </w:rPr>
        <w:t>2.</w:t>
      </w:r>
      <w:r>
        <w:rPr>
          <w:rFonts w:hint="eastAsia" w:ascii="仿宋_GB2312" w:hAnsi="Tahoma" w:eastAsia="仿宋_GB2312" w:cs="仿宋_GB2312"/>
          <w:sz w:val="32"/>
          <w:szCs w:val="32"/>
        </w:rPr>
        <w:t>贯彻执行财政、税收、财务、会计管理的法律法规和规章。按照管理权限管理全县税政事项。</w:t>
      </w:r>
    </w:p>
    <w:p>
      <w:pPr>
        <w:adjustRightInd w:val="0"/>
        <w:snapToGrid w:val="0"/>
        <w:spacing w:line="576" w:lineRule="exact"/>
        <w:ind w:firstLine="640" w:firstLineChars="200"/>
        <w:rPr>
          <w:rFonts w:ascii="仿宋_GB2312" w:hAnsi="Tahoma" w:eastAsia="仿宋_GB2312"/>
          <w:color w:val="000000"/>
          <w:sz w:val="32"/>
          <w:szCs w:val="32"/>
        </w:rPr>
      </w:pPr>
      <w:r>
        <w:rPr>
          <w:rFonts w:ascii="仿宋_GB2312" w:hAnsi="Tahoma" w:eastAsia="仿宋_GB2312" w:cs="仿宋_GB2312"/>
          <w:sz w:val="32"/>
          <w:szCs w:val="32"/>
        </w:rPr>
        <w:t>3.</w:t>
      </w:r>
      <w:r>
        <w:rPr>
          <w:rFonts w:hint="eastAsia" w:ascii="仿宋_GB2312" w:hAnsi="Tahoma" w:eastAsia="仿宋_GB2312" w:cs="仿宋_GB2312"/>
          <w:sz w:val="32"/>
          <w:szCs w:val="32"/>
        </w:rPr>
        <w:t>负责管理各项财政收支。编制年度县级预决算草案并组织执行。组织制定经费开支标准、定额，审核批复部门（单位）年度预决算。受县人民政府委托，向县人大及其常委会报告财政预算、执行和决算等情况。负责政府投资基金县级财政出资的资产管理。</w:t>
      </w:r>
      <w:r>
        <w:rPr>
          <w:rFonts w:hint="eastAsia" w:ascii="仿宋_GB2312" w:hAnsi="Tahoma" w:eastAsia="仿宋_GB2312" w:cs="仿宋_GB2312"/>
          <w:color w:val="000000"/>
          <w:sz w:val="32"/>
          <w:szCs w:val="32"/>
        </w:rPr>
        <w:t>负责县级预决算公开。负责全面实施预算绩效管理。</w:t>
      </w:r>
    </w:p>
    <w:p>
      <w:pPr>
        <w:adjustRightInd w:val="0"/>
        <w:snapToGrid w:val="0"/>
        <w:spacing w:line="576" w:lineRule="exact"/>
        <w:ind w:firstLine="640" w:firstLineChars="200"/>
        <w:rPr>
          <w:rFonts w:ascii="仿宋_GB2312" w:hAnsi="Tahoma" w:eastAsia="仿宋_GB2312"/>
          <w:color w:val="FF0000"/>
          <w:sz w:val="32"/>
          <w:szCs w:val="32"/>
        </w:rPr>
      </w:pPr>
      <w:r>
        <w:rPr>
          <w:rFonts w:ascii="仿宋_GB2312" w:hAnsi="Tahoma" w:eastAsia="仿宋_GB2312" w:cs="仿宋_GB2312"/>
          <w:sz w:val="32"/>
          <w:szCs w:val="32"/>
        </w:rPr>
        <w:t>4.</w:t>
      </w:r>
      <w:r>
        <w:rPr>
          <w:rFonts w:hint="eastAsia" w:ascii="仿宋_GB2312" w:hAnsi="Tahoma" w:eastAsia="仿宋_GB2312" w:cs="仿宋_GB2312"/>
          <w:sz w:val="32"/>
          <w:szCs w:val="32"/>
        </w:rPr>
        <w:t>按分工负责政府非税收入管理。负责政府性基金管理，按规定管理行政事业性收费等其他非税收入。管理财政票据。</w:t>
      </w:r>
      <w:r>
        <w:rPr>
          <w:rFonts w:hint="eastAsia" w:ascii="仿宋_GB2312" w:hAnsi="Tahoma" w:eastAsia="仿宋_GB2312" w:cs="仿宋_GB2312"/>
          <w:color w:val="000000"/>
          <w:sz w:val="32"/>
          <w:szCs w:val="32"/>
        </w:rPr>
        <w:t>执行彩票管理政策和有关办法。</w:t>
      </w:r>
    </w:p>
    <w:p>
      <w:pPr>
        <w:adjustRightInd w:val="0"/>
        <w:snapToGrid w:val="0"/>
        <w:spacing w:line="576" w:lineRule="exact"/>
        <w:ind w:firstLine="640" w:firstLineChars="200"/>
        <w:rPr>
          <w:rFonts w:ascii="仿宋_GB2312" w:hAnsi="Tahoma" w:eastAsia="仿宋_GB2312"/>
          <w:sz w:val="32"/>
          <w:szCs w:val="32"/>
        </w:rPr>
      </w:pPr>
      <w:r>
        <w:rPr>
          <w:rFonts w:ascii="仿宋_GB2312" w:hAnsi="Tahoma" w:eastAsia="仿宋_GB2312" w:cs="仿宋_GB2312"/>
          <w:sz w:val="32"/>
          <w:szCs w:val="32"/>
        </w:rPr>
        <w:t>5.</w:t>
      </w:r>
      <w:r>
        <w:rPr>
          <w:rFonts w:hint="eastAsia" w:ascii="仿宋_GB2312" w:hAnsi="Tahoma" w:eastAsia="仿宋_GB2312" w:cs="仿宋_GB2312"/>
          <w:sz w:val="32"/>
          <w:szCs w:val="32"/>
        </w:rPr>
        <w:t>组织制定全县国库管理制度、国库集中收付制度，指导和监督国库业务，开展国库现金管理工作。贯彻执行政府财务报告编制办法并组织实施。执行制定政府采购制度并监督管理。</w:t>
      </w:r>
    </w:p>
    <w:p>
      <w:pPr>
        <w:adjustRightInd w:val="0"/>
        <w:snapToGrid w:val="0"/>
        <w:spacing w:line="576" w:lineRule="exact"/>
        <w:ind w:firstLine="640" w:firstLineChars="200"/>
        <w:rPr>
          <w:rFonts w:ascii="仿宋_GB2312" w:hAnsi="Tahoma" w:eastAsia="仿宋_GB2312"/>
          <w:sz w:val="32"/>
          <w:szCs w:val="32"/>
        </w:rPr>
      </w:pPr>
      <w:r>
        <w:rPr>
          <w:rFonts w:ascii="仿宋_GB2312" w:hAnsi="Tahoma" w:eastAsia="仿宋_GB2312" w:cs="仿宋_GB2312"/>
          <w:sz w:val="32"/>
          <w:szCs w:val="32"/>
        </w:rPr>
        <w:t>6.</w:t>
      </w:r>
      <w:r>
        <w:rPr>
          <w:rFonts w:hint="eastAsia" w:ascii="仿宋_GB2312" w:hAnsi="Tahoma" w:eastAsia="仿宋_GB2312" w:cs="仿宋_GB2312"/>
          <w:sz w:val="32"/>
          <w:szCs w:val="32"/>
        </w:rPr>
        <w:t>贯彻执行地方政府债务管理制度和政策，制定具体管理办法，编制地方政府债余额限额计划，统一管理政府外债，防范财政风险。</w:t>
      </w:r>
    </w:p>
    <w:p>
      <w:pPr>
        <w:adjustRightInd w:val="0"/>
        <w:snapToGrid w:val="0"/>
        <w:spacing w:line="576" w:lineRule="exact"/>
        <w:ind w:firstLine="640" w:firstLineChars="200"/>
        <w:rPr>
          <w:rFonts w:ascii="仿宋_GB2312" w:hAnsi="Tahoma" w:eastAsia="仿宋_GB2312"/>
          <w:color w:val="000000"/>
          <w:sz w:val="32"/>
          <w:szCs w:val="32"/>
        </w:rPr>
      </w:pPr>
      <w:r>
        <w:rPr>
          <w:rFonts w:ascii="仿宋_GB2312" w:hAnsi="Tahoma" w:eastAsia="仿宋_GB2312" w:cs="仿宋_GB2312"/>
          <w:sz w:val="32"/>
          <w:szCs w:val="32"/>
        </w:rPr>
        <w:t>7.</w:t>
      </w:r>
      <w:r>
        <w:rPr>
          <w:rFonts w:hint="eastAsia" w:ascii="仿宋_GB2312" w:hAnsi="Tahoma" w:eastAsia="仿宋_GB2312" w:cs="仿宋_GB2312"/>
          <w:sz w:val="32"/>
          <w:szCs w:val="32"/>
        </w:rPr>
        <w:t>牵头编制全县国有资产管理情况报告。</w:t>
      </w:r>
      <w:r>
        <w:rPr>
          <w:rFonts w:hint="eastAsia" w:ascii="仿宋_GB2312" w:hAnsi="Tahoma" w:eastAsia="仿宋_GB2312" w:cs="仿宋_GB2312"/>
          <w:color w:val="000000"/>
          <w:sz w:val="32"/>
          <w:szCs w:val="32"/>
        </w:rPr>
        <w:t>拟订全县行政事业单位国有资产管理制度并组织实施。执行全州统一规定的开支标准和支出政策。</w:t>
      </w:r>
    </w:p>
    <w:p>
      <w:pPr>
        <w:adjustRightInd w:val="0"/>
        <w:snapToGrid w:val="0"/>
        <w:spacing w:line="576" w:lineRule="exact"/>
        <w:ind w:firstLine="640" w:firstLineChars="200"/>
        <w:rPr>
          <w:rFonts w:ascii="仿宋_GB2312" w:hAnsi="Tahoma" w:eastAsia="仿宋_GB2312"/>
          <w:sz w:val="32"/>
          <w:szCs w:val="32"/>
        </w:rPr>
      </w:pPr>
      <w:r>
        <w:rPr>
          <w:rFonts w:ascii="仿宋_GB2312" w:hAnsi="Tahoma" w:eastAsia="仿宋_GB2312" w:cs="仿宋_GB2312"/>
          <w:sz w:val="32"/>
          <w:szCs w:val="32"/>
        </w:rPr>
        <w:t>8.</w:t>
      </w:r>
      <w:r>
        <w:rPr>
          <w:rFonts w:hint="eastAsia" w:ascii="仿宋_GB2312" w:hAnsi="Tahoma" w:eastAsia="仿宋_GB2312" w:cs="仿宋_GB2312"/>
          <w:sz w:val="32"/>
          <w:szCs w:val="32"/>
        </w:rPr>
        <w:t>负责审核并汇总编制全县国有资本经营预决算草案。制定国有资本经营预算制度和办法，收取县本级企业国有资本收益。组织实施企业财务制度，负责财政预算内行政事业单位和社会团体的非贸易外汇和财政预算内的国际收支管理。</w:t>
      </w:r>
    </w:p>
    <w:p>
      <w:pPr>
        <w:adjustRightInd w:val="0"/>
        <w:snapToGrid w:val="0"/>
        <w:spacing w:line="576" w:lineRule="exact"/>
        <w:ind w:firstLine="640" w:firstLineChars="200"/>
        <w:rPr>
          <w:rFonts w:ascii="仿宋_GB2312" w:hAnsi="Tahoma" w:eastAsia="仿宋_GB2312"/>
          <w:sz w:val="32"/>
          <w:szCs w:val="32"/>
        </w:rPr>
      </w:pPr>
      <w:r>
        <w:rPr>
          <w:rFonts w:ascii="仿宋_GB2312" w:hAnsi="Tahoma" w:eastAsia="仿宋_GB2312" w:cs="仿宋_GB2312"/>
          <w:sz w:val="32"/>
          <w:szCs w:val="32"/>
        </w:rPr>
        <w:t>9.</w:t>
      </w:r>
      <w:r>
        <w:rPr>
          <w:rFonts w:hint="eastAsia" w:ascii="仿宋_GB2312" w:hAnsi="Tahoma" w:eastAsia="仿宋_GB2312" w:cs="仿宋_GB2312"/>
          <w:sz w:val="32"/>
          <w:szCs w:val="32"/>
        </w:rPr>
        <w:t>负责审核并汇总编制全县社会保险基金预决算草案，会同有关部门拟订有关资金（基金）财务管理制度，承担社会保险基金财政监管工作。</w:t>
      </w:r>
    </w:p>
    <w:p>
      <w:pPr>
        <w:adjustRightInd w:val="0"/>
        <w:snapToGrid w:val="0"/>
        <w:spacing w:line="576" w:lineRule="exact"/>
        <w:ind w:firstLine="640" w:firstLineChars="200"/>
        <w:rPr>
          <w:rFonts w:ascii="仿宋_GB2312" w:hAnsi="Tahoma" w:eastAsia="仿宋_GB2312"/>
          <w:sz w:val="32"/>
          <w:szCs w:val="32"/>
        </w:rPr>
      </w:pPr>
      <w:r>
        <w:rPr>
          <w:rFonts w:ascii="仿宋_GB2312" w:hAnsi="Tahoma" w:eastAsia="仿宋_GB2312" w:cs="仿宋_GB2312"/>
          <w:sz w:val="32"/>
          <w:szCs w:val="32"/>
        </w:rPr>
        <w:t>10.</w:t>
      </w:r>
      <w:r>
        <w:rPr>
          <w:rFonts w:hint="eastAsia" w:ascii="仿宋_GB2312" w:hAnsi="Tahoma" w:eastAsia="仿宋_GB2312" w:cs="仿宋_GB2312"/>
          <w:sz w:val="32"/>
          <w:szCs w:val="32"/>
        </w:rPr>
        <w:t>负责办理和监督县级财政的经济发展支出、县级政府性投资项目的财政拨款，负责投资评审管理工作，执行基建投资有关政策，</w:t>
      </w:r>
      <w:r>
        <w:rPr>
          <w:rFonts w:hint="eastAsia" w:ascii="仿宋_GB2312" w:hAnsi="Tahoma" w:eastAsia="仿宋_GB2312" w:cs="仿宋_GB2312"/>
          <w:color w:val="000000"/>
          <w:sz w:val="32"/>
          <w:szCs w:val="32"/>
        </w:rPr>
        <w:t>制定</w:t>
      </w:r>
      <w:r>
        <w:rPr>
          <w:rFonts w:hint="eastAsia" w:ascii="仿宋_GB2312" w:hAnsi="Tahoma" w:eastAsia="仿宋_GB2312" w:cs="仿宋_GB2312"/>
          <w:sz w:val="32"/>
          <w:szCs w:val="32"/>
        </w:rPr>
        <w:t>基建财务管理制度。</w:t>
      </w:r>
    </w:p>
    <w:p>
      <w:pPr>
        <w:adjustRightInd w:val="0"/>
        <w:snapToGrid w:val="0"/>
        <w:spacing w:line="576" w:lineRule="exact"/>
        <w:ind w:firstLine="640" w:firstLineChars="200"/>
        <w:rPr>
          <w:rFonts w:ascii="仿宋_GB2312" w:hAnsi="Tahoma" w:eastAsia="仿宋_GB2312"/>
          <w:color w:val="FF0000"/>
          <w:sz w:val="32"/>
          <w:szCs w:val="32"/>
        </w:rPr>
      </w:pPr>
      <w:r>
        <w:rPr>
          <w:rFonts w:ascii="仿宋_GB2312" w:hAnsi="Tahoma" w:eastAsia="仿宋_GB2312" w:cs="仿宋_GB2312"/>
          <w:sz w:val="32"/>
          <w:szCs w:val="32"/>
        </w:rPr>
        <w:t>11.</w:t>
      </w:r>
      <w:r>
        <w:rPr>
          <w:rFonts w:hint="eastAsia" w:ascii="仿宋_GB2312" w:hAnsi="Tahoma" w:eastAsia="仿宋_GB2312" w:cs="仿宋_GB2312"/>
          <w:sz w:val="32"/>
          <w:szCs w:val="32"/>
        </w:rPr>
        <w:t>管理外国政府和国际金融机构贷（赠）款项目的有关业务，</w:t>
      </w:r>
      <w:r>
        <w:rPr>
          <w:rFonts w:hint="eastAsia" w:ascii="仿宋_GB2312" w:hAnsi="Tahoma" w:eastAsia="仿宋_GB2312" w:cs="仿宋_GB2312"/>
          <w:color w:val="000000"/>
          <w:sz w:val="32"/>
          <w:szCs w:val="32"/>
        </w:rPr>
        <w:t>参与财经领域的国际交流与合作。</w:t>
      </w:r>
    </w:p>
    <w:p>
      <w:pPr>
        <w:adjustRightInd w:val="0"/>
        <w:snapToGrid w:val="0"/>
        <w:spacing w:line="576" w:lineRule="exact"/>
        <w:ind w:firstLine="640" w:firstLineChars="200"/>
        <w:rPr>
          <w:rFonts w:ascii="仿宋_GB2312" w:hAnsi="Tahoma" w:eastAsia="仿宋_GB2312"/>
          <w:sz w:val="32"/>
          <w:szCs w:val="32"/>
        </w:rPr>
      </w:pPr>
      <w:r>
        <w:rPr>
          <w:rFonts w:ascii="仿宋_GB2312" w:hAnsi="Tahoma" w:eastAsia="仿宋_GB2312" w:cs="仿宋_GB2312"/>
          <w:sz w:val="32"/>
          <w:szCs w:val="32"/>
        </w:rPr>
        <w:t>12.</w:t>
      </w:r>
      <w:r>
        <w:rPr>
          <w:rFonts w:hint="eastAsia" w:ascii="仿宋_GB2312" w:hAnsi="Tahoma" w:eastAsia="仿宋_GB2312" w:cs="仿宋_GB2312"/>
          <w:sz w:val="32"/>
          <w:szCs w:val="32"/>
        </w:rPr>
        <w:t>负责管理全县会计工作，监督和规范会计行为，组织实施国家统一的会计制度，指导和监督注册会计师和会计师事务所的业务，</w:t>
      </w:r>
      <w:r>
        <w:rPr>
          <w:rFonts w:hint="eastAsia" w:ascii="仿宋_GB2312" w:hAnsi="Tahoma" w:eastAsia="仿宋_GB2312" w:cs="仿宋_GB2312"/>
          <w:color w:val="000000"/>
          <w:sz w:val="32"/>
          <w:szCs w:val="32"/>
        </w:rPr>
        <w:t>指导和管理社会审计。</w:t>
      </w:r>
      <w:r>
        <w:rPr>
          <w:rFonts w:hint="eastAsia" w:ascii="仿宋_GB2312" w:hAnsi="Tahoma" w:eastAsia="仿宋_GB2312" w:cs="仿宋_GB2312"/>
          <w:sz w:val="32"/>
          <w:szCs w:val="32"/>
        </w:rPr>
        <w:t>依法管理资产评估有关工作。</w:t>
      </w:r>
    </w:p>
    <w:p>
      <w:pPr>
        <w:adjustRightInd w:val="0"/>
        <w:snapToGrid w:val="0"/>
        <w:spacing w:line="576" w:lineRule="exact"/>
        <w:ind w:firstLine="640" w:firstLineChars="200"/>
        <w:rPr>
          <w:rFonts w:ascii="仿宋_GB2312" w:hAnsi="Tahoma" w:eastAsia="仿宋_GB2312"/>
          <w:sz w:val="32"/>
          <w:szCs w:val="32"/>
        </w:rPr>
      </w:pPr>
      <w:r>
        <w:rPr>
          <w:rFonts w:ascii="仿宋_GB2312" w:hAnsi="Tahoma" w:eastAsia="仿宋_GB2312" w:cs="仿宋_GB2312"/>
          <w:sz w:val="32"/>
          <w:szCs w:val="32"/>
        </w:rPr>
        <w:t>13.</w:t>
      </w:r>
      <w:r>
        <w:rPr>
          <w:rFonts w:hint="eastAsia" w:ascii="仿宋_GB2312" w:hAnsi="Tahoma" w:eastAsia="仿宋_GB2312" w:cs="仿宋_GB2312"/>
          <w:sz w:val="32"/>
          <w:szCs w:val="32"/>
        </w:rPr>
        <w:t>负责职责范围内的安全生产和职业健康、生态环境保护、审批服务便民化等工作。</w:t>
      </w:r>
    </w:p>
    <w:p>
      <w:pPr>
        <w:adjustRightInd w:val="0"/>
        <w:snapToGrid w:val="0"/>
        <w:spacing w:line="576" w:lineRule="exact"/>
        <w:ind w:firstLine="640" w:firstLineChars="200"/>
        <w:rPr>
          <w:rFonts w:ascii="仿宋_GB2312" w:hAnsi="Tahoma" w:eastAsia="仿宋_GB2312"/>
          <w:sz w:val="32"/>
          <w:szCs w:val="32"/>
        </w:rPr>
      </w:pPr>
      <w:r>
        <w:rPr>
          <w:rFonts w:ascii="仿宋_GB2312" w:hAnsi="Tahoma" w:eastAsia="仿宋_GB2312" w:cs="仿宋_GB2312"/>
          <w:sz w:val="32"/>
          <w:szCs w:val="32"/>
        </w:rPr>
        <w:t>14.</w:t>
      </w:r>
      <w:r>
        <w:rPr>
          <w:rFonts w:hint="eastAsia" w:ascii="仿宋_GB2312" w:hAnsi="Tahoma" w:eastAsia="仿宋_GB2312" w:cs="仿宋_GB2312"/>
          <w:sz w:val="32"/>
          <w:szCs w:val="32"/>
        </w:rPr>
        <w:t>完成县委、县人民政府交办的其他任务。</w:t>
      </w:r>
    </w:p>
    <w:p>
      <w:pPr>
        <w:adjustRightInd w:val="0"/>
        <w:snapToGrid w:val="0"/>
        <w:spacing w:line="576" w:lineRule="exact"/>
        <w:ind w:firstLine="640" w:firstLineChars="200"/>
        <w:rPr>
          <w:rFonts w:ascii="仿宋_GB2312" w:hAnsi="Tahoma" w:eastAsia="仿宋_GB2312"/>
          <w:sz w:val="32"/>
          <w:szCs w:val="32"/>
        </w:rPr>
      </w:pPr>
      <w:r>
        <w:rPr>
          <w:rFonts w:ascii="仿宋_GB2312" w:hAnsi="Tahoma" w:eastAsia="仿宋_GB2312" w:cs="仿宋_GB2312"/>
          <w:sz w:val="32"/>
          <w:szCs w:val="32"/>
        </w:rPr>
        <w:t>15.</w:t>
      </w:r>
      <w:r>
        <w:rPr>
          <w:rFonts w:hint="eastAsia" w:ascii="仿宋_GB2312" w:hAnsi="Tahoma" w:eastAsia="仿宋_GB2312" w:cs="仿宋_GB2312"/>
          <w:sz w:val="32"/>
          <w:szCs w:val="32"/>
        </w:rPr>
        <w:t>职能转变。</w:t>
      </w:r>
    </w:p>
    <w:p>
      <w:pPr>
        <w:adjustRightInd w:val="0"/>
        <w:snapToGrid w:val="0"/>
        <w:spacing w:line="576" w:lineRule="exact"/>
        <w:ind w:firstLine="640" w:firstLineChars="200"/>
        <w:rPr>
          <w:rFonts w:ascii="仿宋_GB2312" w:hAnsi="Tahoma" w:eastAsia="仿宋_GB2312"/>
          <w:sz w:val="32"/>
          <w:szCs w:val="32"/>
        </w:rPr>
      </w:pPr>
      <w:r>
        <w:rPr>
          <w:rFonts w:ascii="仿宋_GB2312" w:hAnsi="Tahoma" w:eastAsia="仿宋_GB2312" w:cs="仿宋_GB2312"/>
          <w:sz w:val="32"/>
          <w:szCs w:val="32"/>
        </w:rPr>
        <w:t>(1)</w:t>
      </w:r>
      <w:r>
        <w:rPr>
          <w:rFonts w:hint="eastAsia" w:ascii="仿宋_GB2312" w:hAnsi="Tahoma" w:eastAsia="仿宋_GB2312" w:cs="仿宋_GB2312"/>
          <w:sz w:val="32"/>
          <w:szCs w:val="32"/>
        </w:rPr>
        <w:t>构建发展规划、财政、金融等政策协调和工作协同机制，强化经济监测预测预警能力，建立健全重大问题研究和政策储备工作机制，增强宏观调控前瞻性、针对性、协同性。</w:t>
      </w:r>
    </w:p>
    <w:p>
      <w:pPr>
        <w:adjustRightInd w:val="0"/>
        <w:snapToGrid w:val="0"/>
        <w:spacing w:line="576" w:lineRule="exact"/>
        <w:ind w:firstLine="640" w:firstLineChars="200"/>
        <w:rPr>
          <w:rFonts w:ascii="仿宋_GB2312" w:hAnsi="Tahoma" w:eastAsia="仿宋_GB2312"/>
          <w:sz w:val="32"/>
          <w:szCs w:val="32"/>
        </w:rPr>
      </w:pPr>
      <w:r>
        <w:rPr>
          <w:rFonts w:ascii="仿宋_GB2312" w:hAnsi="Tahoma" w:eastAsia="仿宋_GB2312" w:cs="仿宋_GB2312"/>
          <w:sz w:val="32"/>
          <w:szCs w:val="32"/>
        </w:rPr>
        <w:t>(2)</w:t>
      </w:r>
      <w:r>
        <w:rPr>
          <w:rFonts w:hint="eastAsia" w:ascii="仿宋_GB2312" w:hAnsi="Tahoma" w:eastAsia="仿宋_GB2312" w:cs="仿宋_GB2312"/>
          <w:sz w:val="32"/>
          <w:szCs w:val="32"/>
        </w:rPr>
        <w:t>深化财税体制改革。加快建立现代财政制度，推进财政事权和支出责任划分改革，逐步统一预算分配，全面实施绩效管理，全面执行规范透明、标准科学、约束有力的预算制度。全面推行政府性基金和行政事业性收费清单管理，完善监督制度。深化税收制度改革。</w:t>
      </w:r>
    </w:p>
    <w:p>
      <w:pPr>
        <w:adjustRightInd w:val="0"/>
        <w:snapToGrid w:val="0"/>
        <w:spacing w:line="576" w:lineRule="exact"/>
        <w:ind w:firstLine="640" w:firstLineChars="200"/>
        <w:rPr>
          <w:rFonts w:ascii="仿宋_GB2312" w:hAnsi="Tahoma" w:eastAsia="仿宋_GB2312"/>
          <w:sz w:val="32"/>
          <w:szCs w:val="32"/>
        </w:rPr>
      </w:pPr>
      <w:r>
        <w:rPr>
          <w:rFonts w:ascii="仿宋_GB2312" w:hAnsi="Tahoma" w:eastAsia="仿宋_GB2312" w:cs="仿宋_GB2312"/>
          <w:sz w:val="32"/>
          <w:szCs w:val="32"/>
        </w:rPr>
        <w:t>(3)</w:t>
      </w:r>
      <w:r>
        <w:rPr>
          <w:rFonts w:hint="eastAsia" w:ascii="仿宋_GB2312" w:hAnsi="Tahoma" w:eastAsia="仿宋_GB2312" w:cs="仿宋_GB2312"/>
          <w:sz w:val="32"/>
          <w:szCs w:val="32"/>
        </w:rPr>
        <w:t>防范化解地方政府债务风险。规范举债融资机制，构建“闭环”管理体系，严控法定限额内债务风险，着力防控隐性债务风险，牢牢守住不发生系统性风险的底线。</w:t>
      </w:r>
    </w:p>
    <w:p>
      <w:pPr>
        <w:adjustRightInd w:val="0"/>
        <w:snapToGrid w:val="0"/>
        <w:spacing w:line="576" w:lineRule="exact"/>
        <w:ind w:firstLine="640" w:firstLineChars="200"/>
        <w:rPr>
          <w:rFonts w:ascii="仿宋_GB2312" w:hAnsi="Tahoma" w:eastAsia="仿宋_GB2312"/>
          <w:sz w:val="32"/>
          <w:szCs w:val="32"/>
        </w:rPr>
      </w:pPr>
      <w:r>
        <w:rPr>
          <w:rFonts w:ascii="仿宋_GB2312" w:hAnsi="Tahoma" w:eastAsia="仿宋_GB2312" w:cs="仿宋_GB2312"/>
          <w:sz w:val="32"/>
          <w:szCs w:val="32"/>
        </w:rPr>
        <w:t>16.</w:t>
      </w:r>
      <w:r>
        <w:rPr>
          <w:rFonts w:hint="eastAsia" w:ascii="仿宋_GB2312" w:hAnsi="Tahoma" w:eastAsia="仿宋_GB2312" w:cs="仿宋_GB2312"/>
          <w:sz w:val="32"/>
          <w:szCs w:val="32"/>
        </w:rPr>
        <w:t>有关职责分工。</w:t>
      </w:r>
    </w:p>
    <w:p>
      <w:pPr>
        <w:adjustRightInd w:val="0"/>
        <w:snapToGrid w:val="0"/>
        <w:spacing w:line="576" w:lineRule="exact"/>
        <w:ind w:firstLine="640" w:firstLineChars="200"/>
        <w:rPr>
          <w:rFonts w:ascii="仿宋_GB2312" w:hAnsi="Tahoma" w:eastAsia="仿宋_GB2312"/>
          <w:sz w:val="32"/>
          <w:szCs w:val="32"/>
        </w:rPr>
      </w:pPr>
      <w:bookmarkStart w:id="18" w:name="bookmark26"/>
      <w:bookmarkEnd w:id="18"/>
      <w:r>
        <w:rPr>
          <w:rFonts w:ascii="仿宋_GB2312" w:hAnsi="Tahoma" w:eastAsia="仿宋_GB2312" w:cs="仿宋_GB2312"/>
          <w:sz w:val="32"/>
          <w:szCs w:val="32"/>
        </w:rPr>
        <w:t>(1)</w:t>
      </w:r>
      <w:r>
        <w:rPr>
          <w:rFonts w:hint="eastAsia" w:ascii="仿宋_GB2312" w:hAnsi="Tahoma" w:eastAsia="仿宋_GB2312" w:cs="仿宋_GB2312"/>
          <w:sz w:val="32"/>
          <w:szCs w:val="32"/>
        </w:rPr>
        <w:t>税政管理职责分工。县财政局负责提出地方税收立法建议，县财政局负责组织县税务局等部门提出地方税税种增减、税目税率调整、减免税等建议。县财政局负责在授权范围内对税收政策进行解释，县税务局对执行过程中的征管和一般性税政问题进行解释，并向县财政局备案。县财政局按照管理权限办理全县关税政策事项</w:t>
      </w:r>
      <w:bookmarkStart w:id="19" w:name="bookmark27"/>
      <w:bookmarkEnd w:id="19"/>
      <w:r>
        <w:rPr>
          <w:rFonts w:hint="eastAsia" w:ascii="仿宋_GB2312" w:hAnsi="Tahoma" w:eastAsia="仿宋_GB2312" w:cs="仿宋_GB2312"/>
          <w:sz w:val="32"/>
          <w:szCs w:val="32"/>
        </w:rPr>
        <w:t>。</w:t>
      </w:r>
    </w:p>
    <w:p>
      <w:pPr>
        <w:adjustRightInd w:val="0"/>
        <w:snapToGrid w:val="0"/>
        <w:spacing w:line="576" w:lineRule="exact"/>
        <w:ind w:firstLine="640" w:firstLineChars="200"/>
        <w:rPr>
          <w:rFonts w:ascii="仿宋_GB2312" w:hAnsi="Tahoma" w:eastAsia="仿宋_GB2312"/>
          <w:sz w:val="32"/>
          <w:szCs w:val="32"/>
        </w:rPr>
      </w:pPr>
      <w:r>
        <w:rPr>
          <w:rFonts w:ascii="仿宋_GB2312" w:hAnsi="Tahoma" w:eastAsia="仿宋_GB2312" w:cs="仿宋_GB2312"/>
          <w:sz w:val="32"/>
          <w:szCs w:val="32"/>
        </w:rPr>
        <w:t>(2)</w:t>
      </w:r>
      <w:r>
        <w:rPr>
          <w:rFonts w:hint="eastAsia" w:ascii="仿宋_GB2312" w:hAnsi="Tahoma" w:eastAsia="仿宋_GB2312" w:cs="仿宋_GB2312"/>
          <w:sz w:val="32"/>
          <w:szCs w:val="32"/>
        </w:rPr>
        <w:t>非税收入管理职责分工。县财政局负责执行和组织实施非税收入国库集中收缴制度，负责非税收入账户、收缴方式、退付退库等管理。县税务局等部门按照非税收入国库集中收缴等有关规定，负责做好非税收入申报征收、会统核算、缴费检查、欠费追缴和违法处罚等工作，有关非税收入项目收缴信息与县财政局及时共享。</w:t>
      </w:r>
    </w:p>
    <w:p>
      <w:pPr>
        <w:adjustRightInd w:val="0"/>
        <w:snapToGrid w:val="0"/>
        <w:spacing w:line="576" w:lineRule="exact"/>
        <w:ind w:firstLine="640"/>
        <w:rPr>
          <w:rFonts w:ascii="仿宋_GB2312" w:hAnsi="Tahoma" w:eastAsia="仿宋_GB2312"/>
          <w:color w:val="000000"/>
          <w:sz w:val="32"/>
          <w:szCs w:val="32"/>
        </w:rPr>
      </w:pPr>
      <w:bookmarkStart w:id="20" w:name="bookmark28"/>
      <w:bookmarkEnd w:id="20"/>
      <w:r>
        <w:rPr>
          <w:rFonts w:ascii="仿宋_GB2312" w:hAnsi="Tahoma" w:eastAsia="仿宋_GB2312" w:cs="仿宋_GB2312"/>
          <w:sz w:val="32"/>
          <w:szCs w:val="32"/>
        </w:rPr>
        <w:t>(3)</w:t>
      </w:r>
      <w:r>
        <w:rPr>
          <w:rFonts w:hint="eastAsia" w:ascii="仿宋_GB2312" w:hAnsi="Tahoma" w:eastAsia="仿宋_GB2312" w:cs="仿宋_GB2312"/>
          <w:sz w:val="32"/>
          <w:szCs w:val="32"/>
        </w:rPr>
        <w:t>县级行政事业单位国有资产管理职责分工。县财政局负责制定行政事业单位国有资产管理制度，并负责组织实施和监督检查。</w:t>
      </w:r>
      <w:r>
        <w:rPr>
          <w:rFonts w:hint="eastAsia" w:ascii="仿宋_GB2312" w:hAnsi="Tahoma" w:eastAsia="仿宋_GB2312" w:cs="仿宋_GB2312"/>
          <w:color w:val="000000"/>
          <w:sz w:val="32"/>
          <w:szCs w:val="32"/>
        </w:rPr>
        <w:t>负责县级行政事业单位国有资产管理。县级行政事业单位具体承担所属事业单位及派出机构的国有资产管理工作。</w:t>
      </w:r>
    </w:p>
    <w:p>
      <w:pPr>
        <w:pStyle w:val="5"/>
        <w:adjustRightInd w:val="0"/>
        <w:snapToGrid w:val="0"/>
        <w:spacing w:before="93" w:line="600" w:lineRule="exact"/>
        <w:ind w:firstLine="674" w:firstLineChars="210"/>
        <w:outlineLvl w:val="2"/>
        <w:rPr>
          <w:rFonts w:ascii="楷体_GB2312" w:hAnsi="仿宋" w:eastAsia="楷体_GB2312" w:cs="Times New Roman"/>
          <w:b/>
          <w:bCs/>
          <w:color w:val="000000"/>
          <w:sz w:val="32"/>
          <w:szCs w:val="32"/>
        </w:rPr>
      </w:pPr>
      <w:bookmarkStart w:id="21" w:name="_Toc15378446"/>
      <w:bookmarkStart w:id="22" w:name="_Toc15377199"/>
      <w:r>
        <w:rPr>
          <w:rFonts w:hint="eastAsia" w:ascii="楷体_GB2312" w:hAnsi="仿宋" w:eastAsia="楷体_GB2312" w:cs="楷体_GB2312"/>
          <w:b/>
          <w:bCs/>
          <w:color w:val="000000"/>
          <w:sz w:val="32"/>
          <w:szCs w:val="32"/>
        </w:rPr>
        <w:t>（二）</w:t>
      </w:r>
      <w:r>
        <w:rPr>
          <w:rFonts w:ascii="楷体_GB2312" w:hAnsi="仿宋" w:eastAsia="楷体_GB2312" w:cs="楷体_GB2312"/>
          <w:b/>
          <w:bCs/>
          <w:color w:val="000000"/>
          <w:sz w:val="32"/>
          <w:szCs w:val="32"/>
        </w:rPr>
        <w:t>2019</w:t>
      </w:r>
      <w:r>
        <w:rPr>
          <w:rFonts w:hint="eastAsia" w:ascii="楷体_GB2312" w:hAnsi="仿宋" w:eastAsia="楷体_GB2312" w:cs="楷体_GB2312"/>
          <w:b/>
          <w:bCs/>
          <w:color w:val="000000"/>
          <w:sz w:val="32"/>
          <w:szCs w:val="32"/>
        </w:rPr>
        <w:t>年重点工作完成情况</w:t>
      </w:r>
      <w:bookmarkEnd w:id="21"/>
      <w:bookmarkEnd w:id="22"/>
    </w:p>
    <w:p>
      <w:pPr>
        <w:pStyle w:val="5"/>
        <w:adjustRightInd w:val="0"/>
        <w:snapToGrid w:val="0"/>
        <w:spacing w:before="93" w:line="600" w:lineRule="exact"/>
        <w:ind w:firstLine="672" w:firstLineChars="210"/>
        <w:rPr>
          <w:rFonts w:hAnsi="宋体" w:cs="Times New Roman"/>
          <w:color w:val="000000"/>
          <w:sz w:val="32"/>
          <w:szCs w:val="32"/>
        </w:rPr>
      </w:pPr>
      <w:r>
        <w:rPr>
          <w:rFonts w:hAnsi="宋体"/>
          <w:color w:val="000000"/>
          <w:sz w:val="32"/>
          <w:szCs w:val="32"/>
        </w:rPr>
        <w:t>1.</w:t>
      </w:r>
      <w:r>
        <w:rPr>
          <w:rFonts w:hint="eastAsia" w:hAnsi="宋体"/>
          <w:color w:val="000000"/>
          <w:sz w:val="32"/>
          <w:szCs w:val="32"/>
        </w:rPr>
        <w:t>积极组织财政收入，全力做好财政增收工作。</w:t>
      </w:r>
    </w:p>
    <w:p>
      <w:pPr>
        <w:pStyle w:val="5"/>
        <w:adjustRightInd w:val="0"/>
        <w:snapToGrid w:val="0"/>
        <w:spacing w:before="93" w:line="600" w:lineRule="exact"/>
        <w:ind w:firstLine="672" w:firstLineChars="210"/>
        <w:rPr>
          <w:rFonts w:hAnsi="宋体" w:cs="Times New Roman"/>
          <w:color w:val="000000"/>
          <w:sz w:val="32"/>
          <w:szCs w:val="32"/>
        </w:rPr>
      </w:pPr>
      <w:r>
        <w:rPr>
          <w:rFonts w:hAnsi="宋体"/>
          <w:color w:val="000000"/>
          <w:sz w:val="32"/>
          <w:szCs w:val="32"/>
        </w:rPr>
        <w:t>2.</w:t>
      </w:r>
      <w:r>
        <w:rPr>
          <w:rFonts w:hint="eastAsia" w:hAnsi="宋体"/>
          <w:color w:val="000000"/>
          <w:sz w:val="32"/>
          <w:szCs w:val="32"/>
        </w:rPr>
        <w:t>发挥财政职能，积极筹措资金，保障医疗卫生、社会保障、教育、文化等民生支出。</w:t>
      </w:r>
    </w:p>
    <w:p>
      <w:pPr>
        <w:pStyle w:val="5"/>
        <w:adjustRightInd w:val="0"/>
        <w:snapToGrid w:val="0"/>
        <w:spacing w:before="93" w:line="600" w:lineRule="exact"/>
        <w:ind w:firstLine="672" w:firstLineChars="210"/>
        <w:rPr>
          <w:rFonts w:hAnsi="宋体" w:cs="Times New Roman"/>
          <w:color w:val="000000"/>
          <w:sz w:val="32"/>
          <w:szCs w:val="32"/>
        </w:rPr>
      </w:pPr>
      <w:r>
        <w:rPr>
          <w:rFonts w:hAnsi="宋体"/>
          <w:color w:val="000000"/>
          <w:sz w:val="32"/>
          <w:szCs w:val="32"/>
        </w:rPr>
        <w:t>3.</w:t>
      </w:r>
      <w:r>
        <w:rPr>
          <w:rFonts w:hint="eastAsia" w:hAnsi="宋体"/>
          <w:color w:val="000000"/>
          <w:sz w:val="32"/>
          <w:szCs w:val="32"/>
        </w:rPr>
        <w:t>深化财政体制改革，加强财政管理。</w:t>
      </w:r>
    </w:p>
    <w:p>
      <w:pPr>
        <w:pStyle w:val="5"/>
        <w:adjustRightInd w:val="0"/>
        <w:snapToGrid w:val="0"/>
        <w:spacing w:before="93" w:line="560" w:lineRule="exact"/>
        <w:ind w:firstLine="672" w:firstLineChars="210"/>
        <w:rPr>
          <w:rFonts w:hAnsi="宋体" w:cs="Times New Roman"/>
          <w:color w:val="000000"/>
          <w:sz w:val="32"/>
          <w:szCs w:val="32"/>
        </w:rPr>
      </w:pPr>
      <w:r>
        <w:rPr>
          <w:rFonts w:hAnsi="宋体"/>
          <w:color w:val="000000"/>
          <w:sz w:val="32"/>
          <w:szCs w:val="32"/>
        </w:rPr>
        <w:t>4.</w:t>
      </w:r>
      <w:r>
        <w:rPr>
          <w:rFonts w:hint="eastAsia" w:hAnsi="宋体"/>
          <w:color w:val="000000"/>
          <w:sz w:val="32"/>
          <w:szCs w:val="32"/>
        </w:rPr>
        <w:t>加强财政资金监督。</w:t>
      </w:r>
    </w:p>
    <w:p>
      <w:pPr>
        <w:adjustRightInd w:val="0"/>
        <w:snapToGrid w:val="0"/>
        <w:spacing w:line="560" w:lineRule="exact"/>
        <w:ind w:firstLine="640" w:firstLineChars="200"/>
        <w:outlineLvl w:val="0"/>
        <w:rPr>
          <w:rStyle w:val="30"/>
          <w:rFonts w:ascii="黑体" w:hAnsi="黑体" w:eastAsia="黑体" w:cs="Times New Roman"/>
        </w:rPr>
      </w:pPr>
      <w:bookmarkStart w:id="23" w:name="_Toc15396601"/>
      <w:bookmarkStart w:id="24" w:name="_Toc15377200"/>
      <w:r>
        <w:rPr>
          <w:rStyle w:val="30"/>
          <w:rFonts w:hint="eastAsia" w:ascii="黑体" w:hAnsi="黑体" w:eastAsia="黑体" w:cs="黑体"/>
          <w:b w:val="0"/>
          <w:bCs w:val="0"/>
        </w:rPr>
        <w:t>二、机</w:t>
      </w:r>
      <w:r>
        <w:rPr>
          <w:rStyle w:val="30"/>
          <w:rFonts w:hint="eastAsia" w:ascii="黑体" w:hAnsi="黑体" w:eastAsia="黑体" w:cs="黑体"/>
        </w:rPr>
        <w:t>构设置</w:t>
      </w:r>
      <w:bookmarkEnd w:id="23"/>
      <w:bookmarkEnd w:id="24"/>
    </w:p>
    <w:p>
      <w:pPr>
        <w:adjustRightInd w:val="0"/>
        <w:snapToGrid w:val="0"/>
        <w:spacing w:line="560" w:lineRule="exact"/>
        <w:ind w:firstLine="640" w:firstLineChars="200"/>
        <w:outlineLvl w:val="0"/>
        <w:rPr>
          <w:rFonts w:ascii="仿宋_GB2312" w:hAnsi="仿宋" w:eastAsia="仿宋_GB2312"/>
          <w:sz w:val="32"/>
          <w:szCs w:val="32"/>
        </w:rPr>
      </w:pPr>
      <w:r>
        <w:rPr>
          <w:rFonts w:hint="eastAsia" w:ascii="仿宋_GB2312" w:hAnsi="仿宋" w:eastAsia="仿宋_GB2312" w:cs="仿宋_GB2312"/>
          <w:sz w:val="32"/>
          <w:szCs w:val="32"/>
        </w:rPr>
        <w:t>茂县财政局下属二级单位</w:t>
      </w:r>
      <w:r>
        <w:rPr>
          <w:rFonts w:ascii="仿宋_GB2312" w:hAnsi="仿宋" w:eastAsia="仿宋_GB2312" w:cs="仿宋_GB2312"/>
          <w:sz w:val="32"/>
          <w:szCs w:val="32"/>
        </w:rPr>
        <w:t>2</w:t>
      </w:r>
      <w:r>
        <w:rPr>
          <w:rFonts w:hint="eastAsia" w:ascii="仿宋_GB2312" w:hAnsi="仿宋" w:eastAsia="仿宋_GB2312" w:cs="仿宋_GB2312"/>
          <w:sz w:val="32"/>
          <w:szCs w:val="32"/>
        </w:rPr>
        <w:t>个</w:t>
      </w:r>
      <w:r>
        <w:rPr>
          <w:rFonts w:hint="eastAsia" w:ascii="仿宋_GB2312" w:hAnsi="仿宋" w:eastAsia="仿宋_GB2312" w:cs="仿宋_GB2312"/>
          <w:b/>
          <w:bCs/>
        </w:rPr>
        <w:t>，</w:t>
      </w:r>
      <w:r>
        <w:rPr>
          <w:rFonts w:hint="eastAsia" w:ascii="仿宋_GB2312" w:hAnsi="仿宋" w:eastAsia="仿宋_GB2312" w:cs="仿宋_GB2312"/>
          <w:sz w:val="32"/>
          <w:szCs w:val="32"/>
        </w:rPr>
        <w:t>其中行政单位</w:t>
      </w:r>
      <w:r>
        <w:rPr>
          <w:rFonts w:ascii="仿宋_GB2312" w:hAnsi="仿宋" w:eastAsia="仿宋_GB2312" w:cs="仿宋_GB2312"/>
          <w:sz w:val="32"/>
          <w:szCs w:val="32"/>
        </w:rPr>
        <w:t>1</w:t>
      </w:r>
      <w:r>
        <w:rPr>
          <w:rFonts w:hint="eastAsia" w:ascii="仿宋_GB2312" w:hAnsi="仿宋" w:eastAsia="仿宋_GB2312" w:cs="仿宋_GB2312"/>
          <w:sz w:val="32"/>
          <w:szCs w:val="32"/>
        </w:rPr>
        <w:t>个，参照公务员法管理的事业单位</w:t>
      </w:r>
      <w:r>
        <w:rPr>
          <w:rFonts w:ascii="仿宋_GB2312" w:hAnsi="仿宋" w:eastAsia="仿宋_GB2312" w:cs="仿宋_GB2312"/>
          <w:sz w:val="32"/>
          <w:szCs w:val="32"/>
        </w:rPr>
        <w:t>0</w:t>
      </w:r>
      <w:r>
        <w:rPr>
          <w:rFonts w:hint="eastAsia" w:ascii="仿宋_GB2312" w:hAnsi="仿宋" w:eastAsia="仿宋_GB2312" w:cs="仿宋_GB2312"/>
          <w:sz w:val="32"/>
          <w:szCs w:val="32"/>
        </w:rPr>
        <w:t>个，其他事业单位</w:t>
      </w:r>
      <w:r>
        <w:rPr>
          <w:rFonts w:ascii="仿宋_GB2312" w:hAnsi="仿宋" w:eastAsia="仿宋_GB2312" w:cs="仿宋_GB2312"/>
          <w:sz w:val="32"/>
          <w:szCs w:val="32"/>
        </w:rPr>
        <w:t>1</w:t>
      </w:r>
      <w:r>
        <w:rPr>
          <w:rFonts w:hint="eastAsia" w:ascii="仿宋_GB2312" w:hAnsi="仿宋" w:eastAsia="仿宋_GB2312" w:cs="仿宋_GB2312"/>
          <w:sz w:val="32"/>
          <w:szCs w:val="32"/>
        </w:rPr>
        <w:t>个。</w:t>
      </w:r>
    </w:p>
    <w:p>
      <w:pPr>
        <w:pStyle w:val="5"/>
        <w:adjustRightInd w:val="0"/>
        <w:snapToGrid w:val="0"/>
        <w:spacing w:before="93" w:line="560" w:lineRule="exact"/>
        <w:ind w:firstLine="672" w:firstLineChars="210"/>
        <w:rPr>
          <w:rFonts w:hAnsi="仿宋" w:cs="Times New Roman"/>
          <w:color w:val="000000"/>
          <w:sz w:val="32"/>
          <w:szCs w:val="32"/>
        </w:rPr>
      </w:pPr>
      <w:r>
        <w:rPr>
          <w:rFonts w:hint="eastAsia" w:hAnsi="仿宋"/>
          <w:kern w:val="2"/>
          <w:sz w:val="32"/>
          <w:szCs w:val="32"/>
        </w:rPr>
        <w:t>纳入茂县财政局</w:t>
      </w:r>
      <w:r>
        <w:rPr>
          <w:rFonts w:hAnsi="仿宋"/>
          <w:kern w:val="2"/>
          <w:sz w:val="32"/>
          <w:szCs w:val="32"/>
        </w:rPr>
        <w:t>2018</w:t>
      </w:r>
      <w:r>
        <w:rPr>
          <w:rFonts w:hint="eastAsia" w:hAnsi="仿宋"/>
          <w:kern w:val="2"/>
          <w:sz w:val="32"/>
          <w:szCs w:val="32"/>
        </w:rPr>
        <w:t>年度部门决算编制范围的二级预</w:t>
      </w:r>
      <w:r>
        <w:rPr>
          <w:rFonts w:hint="eastAsia" w:hAnsi="仿宋"/>
          <w:color w:val="000000"/>
          <w:sz w:val="32"/>
          <w:szCs w:val="32"/>
        </w:rPr>
        <w:t>算单位包括：</w:t>
      </w:r>
    </w:p>
    <w:p>
      <w:pPr>
        <w:pStyle w:val="5"/>
        <w:adjustRightInd w:val="0"/>
        <w:snapToGrid w:val="0"/>
        <w:spacing w:before="93" w:line="600" w:lineRule="exact"/>
        <w:ind w:left="672"/>
        <w:outlineLvl w:val="2"/>
        <w:rPr>
          <w:rFonts w:hAnsi="仿宋" w:cs="Times New Roman"/>
          <w:color w:val="000000"/>
          <w:sz w:val="32"/>
          <w:szCs w:val="32"/>
        </w:rPr>
      </w:pPr>
      <w:bookmarkStart w:id="25" w:name="_Toc15306276"/>
      <w:bookmarkStart w:id="26" w:name="_Toc15377433"/>
      <w:bookmarkStart w:id="27" w:name="_Toc15377202"/>
      <w:bookmarkStart w:id="28" w:name="_Toc15378449"/>
      <w:r>
        <w:rPr>
          <w:rFonts w:hAnsi="仿宋"/>
          <w:color w:val="000000"/>
          <w:sz w:val="32"/>
          <w:szCs w:val="32"/>
        </w:rPr>
        <w:t>1.</w:t>
      </w:r>
      <w:r>
        <w:rPr>
          <w:rFonts w:hint="eastAsia" w:hAnsi="仿宋"/>
          <w:color w:val="000000"/>
          <w:sz w:val="32"/>
          <w:szCs w:val="32"/>
        </w:rPr>
        <w:t>四川省阿坝州茂县财政局</w:t>
      </w:r>
      <w:bookmarkEnd w:id="25"/>
      <w:bookmarkEnd w:id="26"/>
      <w:bookmarkEnd w:id="27"/>
      <w:bookmarkEnd w:id="28"/>
      <w:r>
        <w:rPr>
          <w:rFonts w:hint="eastAsia" w:hAnsi="仿宋"/>
          <w:color w:val="000000"/>
          <w:sz w:val="32"/>
          <w:szCs w:val="32"/>
        </w:rPr>
        <w:t>机关</w:t>
      </w:r>
    </w:p>
    <w:p>
      <w:pPr>
        <w:pStyle w:val="5"/>
        <w:adjustRightInd w:val="0"/>
        <w:snapToGrid w:val="0"/>
        <w:spacing w:before="93" w:line="600" w:lineRule="exact"/>
        <w:ind w:left="672"/>
        <w:outlineLvl w:val="2"/>
        <w:rPr>
          <w:rFonts w:ascii="仿宋" w:hAnsi="仿宋" w:eastAsia="仿宋" w:cs="Times New Roman"/>
          <w:color w:val="000000"/>
          <w:sz w:val="32"/>
          <w:szCs w:val="32"/>
        </w:rPr>
      </w:pPr>
      <w:bookmarkStart w:id="29" w:name="_Toc15377203"/>
      <w:bookmarkStart w:id="30" w:name="_Toc15306277"/>
      <w:bookmarkStart w:id="31" w:name="_Toc15378450"/>
      <w:bookmarkStart w:id="32" w:name="_Toc15377434"/>
      <w:r>
        <w:rPr>
          <w:rFonts w:hAnsi="仿宋"/>
          <w:color w:val="000000"/>
          <w:sz w:val="32"/>
          <w:szCs w:val="32"/>
        </w:rPr>
        <w:t>2.</w:t>
      </w:r>
      <w:r>
        <w:rPr>
          <w:rFonts w:hint="eastAsia" w:hAnsi="仿宋"/>
          <w:color w:val="000000"/>
          <w:sz w:val="32"/>
          <w:szCs w:val="32"/>
        </w:rPr>
        <w:t>四川省阿坝州茂县</w:t>
      </w:r>
      <w:bookmarkStart w:id="33" w:name="OLE_LINK3"/>
      <w:r>
        <w:rPr>
          <w:rFonts w:hint="eastAsia" w:hAnsi="仿宋"/>
          <w:color w:val="000000"/>
          <w:sz w:val="32"/>
          <w:szCs w:val="32"/>
        </w:rPr>
        <w:t>财政评审中心</w:t>
      </w:r>
      <w:bookmarkEnd w:id="29"/>
      <w:bookmarkEnd w:id="30"/>
      <w:bookmarkEnd w:id="31"/>
      <w:bookmarkEnd w:id="32"/>
      <w:bookmarkEnd w:id="33"/>
    </w:p>
    <w:p>
      <w:pPr>
        <w:pStyle w:val="2"/>
        <w:ind w:right="440"/>
        <w:jc w:val="right"/>
        <w:rPr>
          <w:rStyle w:val="16"/>
          <w:rFonts w:ascii="方正小标宋_GBK" w:hAnsi="黑体" w:eastAsia="方正小标宋_GBK"/>
          <w:b w:val="0"/>
          <w:bCs w:val="0"/>
        </w:rPr>
      </w:pPr>
      <w:bookmarkStart w:id="34" w:name="_Toc15377204"/>
      <w:bookmarkStart w:id="35" w:name="_Toc15396602"/>
      <w:r>
        <w:rPr>
          <w:rFonts w:hint="eastAsia" w:ascii="方正小标宋_GBK" w:hAnsi="黑体" w:eastAsia="方正小标宋_GBK" w:cs="方正小标宋_GBK"/>
          <w:b w:val="0"/>
          <w:bCs w:val="0"/>
          <w:color w:val="000000"/>
        </w:rPr>
        <w:t>第二部分</w:t>
      </w:r>
      <w:r>
        <w:rPr>
          <w:rStyle w:val="16"/>
          <w:rFonts w:ascii="方正小标宋_GBK" w:hAnsi="黑体" w:eastAsia="方正小标宋_GBK" w:cs="方正小标宋_GBK"/>
          <w:b w:val="0"/>
          <w:bCs w:val="0"/>
        </w:rPr>
        <w:t>2019</w:t>
      </w:r>
      <w:r>
        <w:rPr>
          <w:rStyle w:val="16"/>
          <w:rFonts w:hint="eastAsia" w:ascii="方正小标宋_GBK" w:hAnsi="黑体" w:eastAsia="方正小标宋_GBK" w:cs="方正小标宋_GBK"/>
          <w:b w:val="0"/>
          <w:bCs w:val="0"/>
        </w:rPr>
        <w:t>年度部门决算情况说明</w:t>
      </w:r>
      <w:bookmarkEnd w:id="34"/>
      <w:bookmarkEnd w:id="35"/>
    </w:p>
    <w:p>
      <w:pPr>
        <w:pStyle w:val="27"/>
        <w:numPr>
          <w:ilvl w:val="0"/>
          <w:numId w:val="2"/>
        </w:numPr>
        <w:spacing w:line="600" w:lineRule="exact"/>
        <w:ind w:firstLineChars="0"/>
        <w:outlineLvl w:val="1"/>
        <w:rPr>
          <w:rStyle w:val="17"/>
          <w:rFonts w:ascii="黑体" w:hAnsi="黑体" w:eastAsia="黑体" w:cs="Times New Roman"/>
          <w:b w:val="0"/>
          <w:bCs w:val="0"/>
        </w:rPr>
      </w:pPr>
      <w:bookmarkStart w:id="36" w:name="_Toc15396603"/>
      <w:bookmarkStart w:id="37" w:name="_Toc15377205"/>
      <w:r>
        <w:rPr>
          <w:rFonts w:hint="eastAsia" w:ascii="黑体" w:hAnsi="黑体" w:eastAsia="黑体" w:cs="黑体"/>
          <w:color w:val="000000"/>
          <w:sz w:val="32"/>
          <w:szCs w:val="32"/>
        </w:rPr>
        <w:t>收</w:t>
      </w:r>
      <w:r>
        <w:rPr>
          <w:rStyle w:val="17"/>
          <w:rFonts w:hint="eastAsia" w:ascii="黑体" w:hAnsi="黑体" w:eastAsia="黑体" w:cs="黑体"/>
          <w:b w:val="0"/>
          <w:bCs w:val="0"/>
        </w:rPr>
        <w:t>入支出决算总体情况说明</w:t>
      </w:r>
      <w:bookmarkEnd w:id="36"/>
      <w:bookmarkEnd w:id="37"/>
    </w:p>
    <w:p>
      <w:pPr>
        <w:spacing w:line="600" w:lineRule="exact"/>
        <w:ind w:firstLine="640" w:firstLineChars="200"/>
        <w:rPr>
          <w:rFonts w:ascii="仿宋_GB2312" w:hAnsi="仿宋" w:eastAsia="仿宋_GB2312"/>
          <w:color w:val="000000"/>
          <w:sz w:val="32"/>
          <w:szCs w:val="32"/>
        </w:rPr>
      </w:pPr>
      <w:r>
        <w:rPr>
          <w:rFonts w:ascii="仿宋_GB2312" w:hAnsi="仿宋" w:eastAsia="仿宋_GB2312" w:cs="仿宋_GB2312"/>
          <w:color w:val="000000"/>
          <w:sz w:val="32"/>
          <w:szCs w:val="32"/>
        </w:rPr>
        <w:t>2019</w:t>
      </w:r>
      <w:r>
        <w:rPr>
          <w:rFonts w:hint="eastAsia" w:ascii="仿宋_GB2312" w:hAnsi="仿宋" w:eastAsia="仿宋_GB2312" w:cs="仿宋_GB2312"/>
          <w:color w:val="000000"/>
          <w:sz w:val="32"/>
          <w:szCs w:val="32"/>
        </w:rPr>
        <w:t>年度收、支总计</w:t>
      </w:r>
      <w:r>
        <w:rPr>
          <w:rFonts w:ascii="仿宋_GB2312" w:hAnsi="仿宋" w:eastAsia="仿宋_GB2312" w:cs="仿宋_GB2312"/>
          <w:color w:val="000000"/>
          <w:sz w:val="32"/>
          <w:szCs w:val="32"/>
        </w:rPr>
        <w:t>604.72</w:t>
      </w:r>
      <w:r>
        <w:rPr>
          <w:rFonts w:hint="eastAsia" w:ascii="仿宋_GB2312" w:hAnsi="仿宋" w:eastAsia="仿宋_GB2312" w:cs="仿宋_GB2312"/>
          <w:color w:val="000000"/>
          <w:sz w:val="32"/>
          <w:szCs w:val="32"/>
        </w:rPr>
        <w:t>万元。与</w:t>
      </w:r>
      <w:r>
        <w:rPr>
          <w:rFonts w:ascii="仿宋_GB2312" w:hAnsi="仿宋" w:eastAsia="仿宋_GB2312" w:cs="仿宋_GB2312"/>
          <w:color w:val="000000"/>
          <w:sz w:val="32"/>
          <w:szCs w:val="32"/>
        </w:rPr>
        <w:t>2018</w:t>
      </w:r>
      <w:r>
        <w:rPr>
          <w:rFonts w:hint="eastAsia" w:ascii="仿宋_GB2312" w:hAnsi="仿宋" w:eastAsia="仿宋_GB2312" w:cs="仿宋_GB2312"/>
          <w:color w:val="000000"/>
          <w:sz w:val="32"/>
          <w:szCs w:val="32"/>
        </w:rPr>
        <w:t>年相比，收、支总计各减少</w:t>
      </w:r>
      <w:r>
        <w:rPr>
          <w:rFonts w:ascii="仿宋_GB2312" w:hAnsi="仿宋" w:eastAsia="仿宋_GB2312" w:cs="仿宋_GB2312"/>
          <w:color w:val="000000"/>
          <w:sz w:val="32"/>
          <w:szCs w:val="32"/>
        </w:rPr>
        <w:t>22.94</w:t>
      </w:r>
      <w:r>
        <w:rPr>
          <w:rFonts w:hint="eastAsia" w:ascii="仿宋_GB2312" w:hAnsi="仿宋" w:eastAsia="仿宋_GB2312" w:cs="仿宋_GB2312"/>
          <w:color w:val="000000"/>
          <w:sz w:val="32"/>
          <w:szCs w:val="32"/>
        </w:rPr>
        <w:t>万元，下降</w:t>
      </w:r>
      <w:r>
        <w:rPr>
          <w:rFonts w:ascii="仿宋_GB2312" w:hAnsi="仿宋" w:eastAsia="仿宋_GB2312" w:cs="仿宋_GB2312"/>
          <w:color w:val="000000"/>
          <w:sz w:val="32"/>
          <w:szCs w:val="32"/>
        </w:rPr>
        <w:t>3.65%</w:t>
      </w:r>
      <w:r>
        <w:rPr>
          <w:rFonts w:hint="eastAsia" w:ascii="仿宋_GB2312" w:hAnsi="仿宋" w:eastAsia="仿宋_GB2312" w:cs="仿宋_GB2312"/>
          <w:color w:val="000000"/>
          <w:sz w:val="32"/>
          <w:szCs w:val="32"/>
        </w:rPr>
        <w:t>。主要变动原因是单位运行费有所减少。</w:t>
      </w:r>
    </w:p>
    <w:p>
      <w:pPr>
        <w:spacing w:line="600" w:lineRule="exact"/>
        <w:ind w:firstLine="640" w:firstLineChars="200"/>
        <w:rPr>
          <w:rFonts w:ascii="仿宋_GB2312" w:hAnsi="仿宋" w:eastAsia="仿宋_GB2312"/>
          <w:color w:val="000000"/>
          <w:sz w:val="32"/>
          <w:szCs w:val="32"/>
        </w:rPr>
      </w:pPr>
      <w:r>
        <w:rPr>
          <w:rFonts w:hint="eastAsia" w:ascii="仿宋_GB2312" w:hAnsi="仿宋" w:eastAsia="仿宋_GB2312" w:cs="仿宋_GB2312"/>
          <w:color w:val="000000"/>
          <w:sz w:val="32"/>
          <w:szCs w:val="32"/>
        </w:rPr>
        <w:t>图</w:t>
      </w:r>
      <w:r>
        <w:rPr>
          <w:rFonts w:ascii="仿宋_GB2312" w:hAnsi="仿宋" w:eastAsia="仿宋_GB2312" w:cs="仿宋_GB2312"/>
          <w:color w:val="000000"/>
          <w:sz w:val="32"/>
          <w:szCs w:val="32"/>
        </w:rPr>
        <w:t>1</w:t>
      </w:r>
      <w:r>
        <w:rPr>
          <w:rFonts w:hint="eastAsia" w:ascii="仿宋_GB2312" w:hAnsi="仿宋" w:eastAsia="仿宋_GB2312" w:cs="仿宋_GB2312"/>
          <w:color w:val="000000"/>
          <w:sz w:val="32"/>
          <w:szCs w:val="32"/>
        </w:rPr>
        <w:t>：收、支决算总计变动情况图（柱状图）</w:t>
      </w:r>
    </w:p>
    <w:p>
      <w:pPr>
        <w:spacing w:line="600" w:lineRule="exact"/>
        <w:ind w:firstLine="420" w:firstLineChars="200"/>
        <w:jc w:val="left"/>
        <w:rPr>
          <w:rFonts w:ascii="仿宋_GB2312" w:eastAsia="仿宋_GB2312"/>
          <w:color w:val="000000"/>
          <w:sz w:val="32"/>
          <w:szCs w:val="32"/>
        </w:rPr>
      </w:pPr>
      <w:r>
        <w:pict>
          <v:shape id="_x0000_s1026" o:spid="_x0000_s1026" o:spt="75" type="#_x0000_t75" style="position:absolute;left:0pt;margin-left:5.25pt;margin-top:6.35pt;height:301.5pt;width:424.5pt;mso-wrap-distance-left:9pt;mso-wrap-distance-right:9pt;z-index:-251655168;mso-width-relative:page;mso-height-relative:page;" filled="f" o:preferrelative="t" stroked="f" coordsize="21600,21600" wrapcoords="114 269 114 21278 21409 21278 21409 269 114 269">
            <v:path/>
            <v:fill on="f" focussize="0,0"/>
            <v:stroke on="f" joinstyle="miter"/>
            <v:imagedata r:id="rId6" o:title=""/>
            <o:lock v:ext="edit" aspectratio="t"/>
            <w10:wrap type="tight"/>
          </v:shape>
        </w:pict>
      </w:r>
    </w:p>
    <w:p>
      <w:pPr>
        <w:pStyle w:val="27"/>
        <w:numPr>
          <w:ilvl w:val="0"/>
          <w:numId w:val="2"/>
        </w:numPr>
        <w:spacing w:line="600" w:lineRule="exact"/>
        <w:ind w:firstLineChars="0"/>
        <w:outlineLvl w:val="1"/>
        <w:rPr>
          <w:rStyle w:val="17"/>
          <w:rFonts w:ascii="黑体" w:hAnsi="黑体" w:eastAsia="黑体" w:cs="Times New Roman"/>
          <w:b w:val="0"/>
          <w:bCs w:val="0"/>
        </w:rPr>
      </w:pPr>
      <w:bookmarkStart w:id="38" w:name="_Toc15377206"/>
      <w:bookmarkStart w:id="39" w:name="_Toc15396604"/>
      <w:r>
        <w:rPr>
          <w:rFonts w:hint="eastAsia" w:ascii="黑体" w:hAnsi="黑体" w:eastAsia="黑体" w:cs="黑体"/>
          <w:color w:val="000000"/>
          <w:sz w:val="32"/>
          <w:szCs w:val="32"/>
        </w:rPr>
        <w:t>收</w:t>
      </w:r>
      <w:r>
        <w:rPr>
          <w:rStyle w:val="17"/>
          <w:rFonts w:hint="eastAsia" w:ascii="黑体" w:hAnsi="黑体" w:eastAsia="黑体" w:cs="黑体"/>
          <w:b w:val="0"/>
          <w:bCs w:val="0"/>
        </w:rPr>
        <w:t>入决算情况说明</w:t>
      </w:r>
      <w:bookmarkEnd w:id="38"/>
      <w:bookmarkEnd w:id="39"/>
    </w:p>
    <w:p>
      <w:pPr>
        <w:spacing w:line="600" w:lineRule="exact"/>
        <w:ind w:firstLine="640" w:firstLineChars="200"/>
        <w:outlineLvl w:val="1"/>
        <w:rPr>
          <w:rFonts w:ascii="仿宋_GB2312" w:hAnsi="仿宋" w:eastAsia="仿宋_GB2312"/>
          <w:color w:val="000000"/>
          <w:sz w:val="32"/>
          <w:szCs w:val="32"/>
        </w:rPr>
      </w:pPr>
      <w:r>
        <w:rPr>
          <w:rFonts w:ascii="仿宋_GB2312" w:hAnsi="仿宋" w:eastAsia="仿宋_GB2312" w:cs="仿宋_GB2312"/>
          <w:color w:val="000000"/>
          <w:sz w:val="32"/>
          <w:szCs w:val="32"/>
        </w:rPr>
        <w:t>2019</w:t>
      </w:r>
      <w:r>
        <w:rPr>
          <w:rFonts w:hint="eastAsia" w:ascii="仿宋_GB2312" w:hAnsi="仿宋" w:eastAsia="仿宋_GB2312" w:cs="仿宋_GB2312"/>
          <w:color w:val="000000"/>
          <w:sz w:val="32"/>
          <w:szCs w:val="32"/>
        </w:rPr>
        <w:t>年本年收入合计</w:t>
      </w:r>
      <w:r>
        <w:rPr>
          <w:rFonts w:ascii="仿宋_GB2312" w:hAnsi="仿宋" w:eastAsia="仿宋_GB2312" w:cs="仿宋_GB2312"/>
          <w:color w:val="000000"/>
          <w:sz w:val="32"/>
          <w:szCs w:val="32"/>
        </w:rPr>
        <w:t>585.51</w:t>
      </w:r>
      <w:r>
        <w:rPr>
          <w:rFonts w:hint="eastAsia" w:ascii="仿宋_GB2312" w:hAnsi="仿宋" w:eastAsia="仿宋_GB2312" w:cs="仿宋_GB2312"/>
          <w:color w:val="000000"/>
          <w:sz w:val="32"/>
          <w:szCs w:val="32"/>
        </w:rPr>
        <w:t>万元，其中：一般公共预算财政拨款收入</w:t>
      </w:r>
      <w:r>
        <w:rPr>
          <w:rFonts w:ascii="仿宋_GB2312" w:hAnsi="仿宋" w:eastAsia="仿宋_GB2312" w:cs="仿宋_GB2312"/>
          <w:color w:val="000000"/>
          <w:sz w:val="32"/>
          <w:szCs w:val="32"/>
        </w:rPr>
        <w:t>585.51</w:t>
      </w:r>
      <w:r>
        <w:rPr>
          <w:rFonts w:hint="eastAsia" w:ascii="仿宋_GB2312" w:hAnsi="仿宋" w:eastAsia="仿宋_GB2312" w:cs="仿宋_GB2312"/>
          <w:color w:val="000000"/>
          <w:sz w:val="32"/>
          <w:szCs w:val="32"/>
        </w:rPr>
        <w:t>万元，占</w:t>
      </w:r>
      <w:r>
        <w:rPr>
          <w:rFonts w:ascii="仿宋_GB2312" w:hAnsi="仿宋" w:eastAsia="仿宋_GB2312" w:cs="仿宋_GB2312"/>
          <w:color w:val="000000"/>
          <w:sz w:val="32"/>
          <w:szCs w:val="32"/>
        </w:rPr>
        <w:t>100%</w:t>
      </w:r>
      <w:r>
        <w:rPr>
          <w:rFonts w:hint="eastAsia" w:ascii="仿宋_GB2312" w:hAnsi="仿宋" w:eastAsia="仿宋_GB2312" w:cs="仿宋_GB2312"/>
          <w:color w:val="000000"/>
          <w:sz w:val="32"/>
          <w:szCs w:val="32"/>
        </w:rPr>
        <w:t>；政府性基金预算财政拨款收入</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万元，占</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；上级补助收入</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万元，占</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；事业收入</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万元，占</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；经营收入</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万元，占</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；附属单位上缴收入</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万元，占</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；其他收入</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万元，占</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w:t>
      </w:r>
    </w:p>
    <w:p>
      <w:pPr>
        <w:spacing w:line="600" w:lineRule="exact"/>
        <w:ind w:firstLine="640" w:firstLineChars="200"/>
        <w:rPr>
          <w:rFonts w:ascii="仿宋_GB2312" w:hAnsi="仿宋" w:eastAsia="仿宋_GB2312"/>
          <w:color w:val="000000"/>
          <w:sz w:val="32"/>
          <w:szCs w:val="32"/>
        </w:rPr>
      </w:pPr>
      <w:r>
        <w:rPr>
          <w:rFonts w:hint="eastAsia" w:ascii="仿宋_GB2312" w:hAnsi="仿宋" w:eastAsia="仿宋_GB2312" w:cs="仿宋_GB2312"/>
          <w:color w:val="000000"/>
          <w:sz w:val="32"/>
          <w:szCs w:val="32"/>
        </w:rPr>
        <w:t>图</w:t>
      </w:r>
      <w:r>
        <w:rPr>
          <w:rFonts w:ascii="仿宋_GB2312" w:hAnsi="仿宋" w:eastAsia="仿宋_GB2312" w:cs="仿宋_GB2312"/>
          <w:color w:val="000000"/>
          <w:sz w:val="32"/>
          <w:szCs w:val="32"/>
        </w:rPr>
        <w:t>2</w:t>
      </w:r>
      <w:r>
        <w:rPr>
          <w:rFonts w:hint="eastAsia" w:ascii="仿宋_GB2312" w:hAnsi="仿宋" w:eastAsia="仿宋_GB2312" w:cs="仿宋_GB2312"/>
          <w:color w:val="000000"/>
          <w:sz w:val="32"/>
          <w:szCs w:val="32"/>
        </w:rPr>
        <w:t>：收入决算结构图（饼状图）</w:t>
      </w:r>
    </w:p>
    <w:p>
      <w:pPr>
        <w:spacing w:line="600" w:lineRule="exact"/>
        <w:ind w:firstLine="420" w:firstLineChars="200"/>
        <w:rPr>
          <w:rFonts w:ascii="仿宋_GB2312" w:eastAsia="仿宋_GB2312"/>
          <w:color w:val="FF0000"/>
          <w:sz w:val="32"/>
          <w:szCs w:val="32"/>
        </w:rPr>
      </w:pPr>
      <w:r>
        <w:pict>
          <v:shape id="_x0000_s1027" o:spid="_x0000_s1027" o:spt="75" type="#_x0000_t75" style="position:absolute;left:0pt;margin-left:0pt;margin-top:11.4pt;height:220.5pt;width:424.5pt;mso-wrap-distance-left:9pt;mso-wrap-distance-right:9pt;z-index:-251657216;mso-width-relative:page;mso-height-relative:page;" filled="f" o:preferrelative="t" stroked="f" coordsize="21600,21600" wrapcoords="76 220 38 21233 21486 21233 21447 220 76 220">
            <v:path/>
            <v:fill on="f" focussize="0,0"/>
            <v:stroke on="f" joinstyle="miter"/>
            <v:imagedata r:id="rId7" o:title=""/>
            <o:lock v:ext="edit" aspectratio="t"/>
            <w10:wrap type="tight"/>
          </v:shape>
        </w:pict>
      </w:r>
    </w:p>
    <w:p>
      <w:pPr>
        <w:pStyle w:val="27"/>
        <w:numPr>
          <w:ilvl w:val="0"/>
          <w:numId w:val="2"/>
        </w:numPr>
        <w:spacing w:line="600" w:lineRule="exact"/>
        <w:ind w:firstLineChars="0"/>
        <w:outlineLvl w:val="1"/>
        <w:rPr>
          <w:rStyle w:val="17"/>
          <w:rFonts w:ascii="黑体" w:hAnsi="黑体" w:eastAsia="黑体" w:cs="Times New Roman"/>
          <w:b w:val="0"/>
          <w:bCs w:val="0"/>
        </w:rPr>
      </w:pPr>
      <w:bookmarkStart w:id="40" w:name="_Toc15377207"/>
      <w:bookmarkStart w:id="41" w:name="_Toc15396605"/>
      <w:r>
        <w:rPr>
          <w:rFonts w:hint="eastAsia" w:ascii="黑体" w:hAnsi="黑体" w:eastAsia="黑体" w:cs="黑体"/>
          <w:color w:val="000000"/>
          <w:sz w:val="32"/>
          <w:szCs w:val="32"/>
        </w:rPr>
        <w:t>支</w:t>
      </w:r>
      <w:r>
        <w:rPr>
          <w:rStyle w:val="17"/>
          <w:rFonts w:hint="eastAsia" w:ascii="黑体" w:hAnsi="黑体" w:eastAsia="黑体" w:cs="黑体"/>
          <w:b w:val="0"/>
          <w:bCs w:val="0"/>
        </w:rPr>
        <w:t>出决算情况说明</w:t>
      </w:r>
      <w:bookmarkEnd w:id="40"/>
      <w:bookmarkEnd w:id="41"/>
    </w:p>
    <w:p>
      <w:pPr>
        <w:spacing w:line="600" w:lineRule="exact"/>
        <w:ind w:firstLine="640" w:firstLineChars="200"/>
        <w:outlineLvl w:val="1"/>
        <w:rPr>
          <w:rFonts w:ascii="仿宋_GB2312" w:hAnsi="仿宋" w:eastAsia="仿宋_GB2312"/>
          <w:color w:val="000000"/>
          <w:sz w:val="32"/>
          <w:szCs w:val="32"/>
        </w:rPr>
      </w:pPr>
      <w:r>
        <w:rPr>
          <w:rFonts w:ascii="仿宋_GB2312" w:hAnsi="仿宋" w:eastAsia="仿宋_GB2312" w:cs="仿宋_GB2312"/>
          <w:color w:val="000000"/>
          <w:sz w:val="32"/>
          <w:szCs w:val="32"/>
        </w:rPr>
        <w:t>2019</w:t>
      </w:r>
      <w:r>
        <w:rPr>
          <w:rFonts w:hint="eastAsia" w:ascii="仿宋_GB2312" w:hAnsi="仿宋" w:eastAsia="仿宋_GB2312" w:cs="仿宋_GB2312"/>
          <w:color w:val="000000"/>
          <w:sz w:val="32"/>
          <w:szCs w:val="32"/>
        </w:rPr>
        <w:t>年本年支出合计</w:t>
      </w:r>
      <w:r>
        <w:rPr>
          <w:rFonts w:ascii="仿宋_GB2312" w:hAnsi="仿宋" w:eastAsia="仿宋_GB2312" w:cs="仿宋_GB2312"/>
          <w:color w:val="000000"/>
          <w:sz w:val="32"/>
          <w:szCs w:val="32"/>
        </w:rPr>
        <w:t>588.05</w:t>
      </w:r>
      <w:r>
        <w:rPr>
          <w:rFonts w:hint="eastAsia" w:ascii="仿宋_GB2312" w:hAnsi="仿宋" w:eastAsia="仿宋_GB2312" w:cs="仿宋_GB2312"/>
          <w:color w:val="000000"/>
          <w:sz w:val="32"/>
          <w:szCs w:val="32"/>
        </w:rPr>
        <w:t>万元，其中：基本支出</w:t>
      </w:r>
      <w:r>
        <w:rPr>
          <w:rFonts w:ascii="仿宋_GB2312" w:hAnsi="仿宋" w:eastAsia="仿宋_GB2312" w:cs="仿宋_GB2312"/>
          <w:color w:val="000000"/>
          <w:sz w:val="32"/>
          <w:szCs w:val="32"/>
        </w:rPr>
        <w:t>547.49</w:t>
      </w:r>
      <w:r>
        <w:rPr>
          <w:rFonts w:hint="eastAsia" w:ascii="仿宋_GB2312" w:hAnsi="仿宋" w:eastAsia="仿宋_GB2312" w:cs="仿宋_GB2312"/>
          <w:color w:val="000000"/>
          <w:sz w:val="32"/>
          <w:szCs w:val="32"/>
        </w:rPr>
        <w:t>万元，占</w:t>
      </w:r>
      <w:r>
        <w:rPr>
          <w:rFonts w:ascii="仿宋_GB2312" w:hAnsi="仿宋" w:eastAsia="仿宋_GB2312" w:cs="仿宋_GB2312"/>
          <w:color w:val="000000"/>
          <w:sz w:val="32"/>
          <w:szCs w:val="32"/>
        </w:rPr>
        <w:t>93.10%</w:t>
      </w:r>
      <w:r>
        <w:rPr>
          <w:rFonts w:hint="eastAsia" w:ascii="仿宋_GB2312" w:hAnsi="仿宋" w:eastAsia="仿宋_GB2312" w:cs="仿宋_GB2312"/>
          <w:color w:val="000000"/>
          <w:sz w:val="32"/>
          <w:szCs w:val="32"/>
        </w:rPr>
        <w:t>；项目支出</w:t>
      </w:r>
      <w:r>
        <w:rPr>
          <w:rFonts w:ascii="仿宋_GB2312" w:hAnsi="仿宋" w:eastAsia="仿宋_GB2312" w:cs="仿宋_GB2312"/>
          <w:color w:val="000000"/>
          <w:sz w:val="32"/>
          <w:szCs w:val="32"/>
        </w:rPr>
        <w:t>40.56</w:t>
      </w:r>
      <w:r>
        <w:rPr>
          <w:rFonts w:hint="eastAsia" w:ascii="仿宋_GB2312" w:hAnsi="仿宋" w:eastAsia="仿宋_GB2312" w:cs="仿宋_GB2312"/>
          <w:color w:val="000000"/>
          <w:sz w:val="32"/>
          <w:szCs w:val="32"/>
        </w:rPr>
        <w:t>万元，占</w:t>
      </w:r>
      <w:r>
        <w:rPr>
          <w:rFonts w:ascii="仿宋_GB2312" w:hAnsi="仿宋" w:eastAsia="仿宋_GB2312" w:cs="仿宋_GB2312"/>
          <w:color w:val="000000"/>
          <w:sz w:val="32"/>
          <w:szCs w:val="32"/>
        </w:rPr>
        <w:t>6.90%</w:t>
      </w:r>
      <w:r>
        <w:rPr>
          <w:rFonts w:hint="eastAsia" w:ascii="仿宋_GB2312" w:hAnsi="仿宋" w:eastAsia="仿宋_GB2312" w:cs="仿宋_GB2312"/>
          <w:color w:val="000000"/>
          <w:sz w:val="32"/>
          <w:szCs w:val="32"/>
        </w:rPr>
        <w:t>；上缴上级支出</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万元，占</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；经营支出</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万元，占</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；对附属单位补助支出</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万元，占</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w:t>
      </w:r>
    </w:p>
    <w:p>
      <w:pPr>
        <w:spacing w:line="600" w:lineRule="exact"/>
        <w:ind w:firstLine="420" w:firstLineChars="200"/>
        <w:rPr>
          <w:rFonts w:ascii="仿宋_GB2312" w:eastAsia="仿宋_GB2312"/>
          <w:color w:val="FF0000"/>
          <w:sz w:val="32"/>
          <w:szCs w:val="32"/>
        </w:rPr>
      </w:pPr>
      <w:r>
        <w:pict>
          <v:shape id="_x0000_s1028" o:spid="_x0000_s1028" o:spt="75" type="#_x0000_t75" style="position:absolute;left:0pt;margin-left:10.5pt;margin-top:29.4pt;height:243.6pt;width:404.25pt;mso-wrap-distance-left:9pt;mso-wrap-distance-right:9pt;z-index:-251656192;mso-width-relative:page;mso-height-relative:page;" filled="f" o:preferrelative="t" stroked="f" coordsize="21600,21600" wrapcoords="120 266 120 21268 21400 21268 21400 266 120 266">
            <v:path/>
            <v:fill on="f" focussize="0,0"/>
            <v:stroke on="f" joinstyle="miter"/>
            <v:imagedata r:id="rId8" o:title=""/>
            <o:lock v:ext="edit" aspectratio="t"/>
            <w10:wrap type="tight"/>
          </v:shape>
        </w:pict>
      </w:r>
      <w:r>
        <w:rPr>
          <w:rFonts w:hint="eastAsia" w:ascii="仿宋_GB2312" w:hAnsi="仿宋" w:eastAsia="仿宋_GB2312" w:cs="仿宋_GB2312"/>
          <w:color w:val="000000"/>
          <w:sz w:val="32"/>
          <w:szCs w:val="32"/>
        </w:rPr>
        <w:t>图</w:t>
      </w:r>
      <w:r>
        <w:rPr>
          <w:rFonts w:ascii="仿宋_GB2312" w:hAnsi="仿宋" w:eastAsia="仿宋_GB2312" w:cs="仿宋_GB2312"/>
          <w:color w:val="000000"/>
          <w:sz w:val="32"/>
          <w:szCs w:val="32"/>
        </w:rPr>
        <w:t>3</w:t>
      </w:r>
      <w:r>
        <w:rPr>
          <w:rFonts w:hint="eastAsia" w:ascii="仿宋_GB2312" w:hAnsi="仿宋" w:eastAsia="仿宋_GB2312" w:cs="仿宋_GB2312"/>
          <w:color w:val="000000"/>
          <w:sz w:val="32"/>
          <w:szCs w:val="32"/>
        </w:rPr>
        <w:t>：支出决算结构图（饼状图）</w:t>
      </w:r>
    </w:p>
    <w:p>
      <w:pPr>
        <w:spacing w:line="600" w:lineRule="exact"/>
        <w:ind w:firstLine="640" w:firstLineChars="200"/>
        <w:outlineLvl w:val="1"/>
        <w:rPr>
          <w:rStyle w:val="17"/>
          <w:rFonts w:ascii="黑体" w:hAnsi="黑体" w:eastAsia="黑体" w:cs="Times New Roman"/>
          <w:b w:val="0"/>
          <w:bCs w:val="0"/>
        </w:rPr>
      </w:pPr>
      <w:bookmarkStart w:id="42" w:name="_Toc15396606"/>
      <w:bookmarkStart w:id="43" w:name="_Toc15377208"/>
      <w:r>
        <w:rPr>
          <w:rFonts w:hint="eastAsia" w:ascii="黑体" w:hAnsi="黑体" w:eastAsia="黑体" w:cs="黑体"/>
          <w:color w:val="000000"/>
          <w:sz w:val="32"/>
          <w:szCs w:val="32"/>
        </w:rPr>
        <w:t>四、财</w:t>
      </w:r>
      <w:r>
        <w:rPr>
          <w:rStyle w:val="17"/>
          <w:rFonts w:hint="eastAsia" w:ascii="黑体" w:hAnsi="黑体" w:eastAsia="黑体" w:cs="黑体"/>
          <w:b w:val="0"/>
          <w:bCs w:val="0"/>
        </w:rPr>
        <w:t>政拨款收入支出决算总体情况说明</w:t>
      </w:r>
      <w:bookmarkEnd w:id="42"/>
      <w:bookmarkEnd w:id="43"/>
    </w:p>
    <w:p>
      <w:pPr>
        <w:spacing w:line="600" w:lineRule="exact"/>
        <w:ind w:firstLine="640"/>
        <w:rPr>
          <w:rFonts w:ascii="仿宋_GB2312" w:hAnsi="仿宋" w:eastAsia="仿宋_GB2312"/>
          <w:color w:val="000000"/>
          <w:sz w:val="32"/>
          <w:szCs w:val="32"/>
        </w:rPr>
      </w:pPr>
      <w:r>
        <w:rPr>
          <w:rFonts w:ascii="仿宋_GB2312" w:hAnsi="仿宋" w:eastAsia="仿宋_GB2312" w:cs="仿宋_GB2312"/>
          <w:color w:val="000000"/>
          <w:sz w:val="32"/>
          <w:szCs w:val="32"/>
        </w:rPr>
        <w:t>2019</w:t>
      </w:r>
      <w:r>
        <w:rPr>
          <w:rFonts w:hint="eastAsia" w:ascii="仿宋_GB2312" w:hAnsi="仿宋" w:eastAsia="仿宋_GB2312" w:cs="仿宋_GB2312"/>
          <w:color w:val="000000"/>
          <w:sz w:val="32"/>
          <w:szCs w:val="32"/>
        </w:rPr>
        <w:t>年财政拨款收、支总计</w:t>
      </w:r>
      <w:r>
        <w:rPr>
          <w:rFonts w:ascii="仿宋_GB2312" w:hAnsi="仿宋" w:eastAsia="仿宋_GB2312" w:cs="仿宋_GB2312"/>
          <w:color w:val="000000"/>
          <w:sz w:val="32"/>
          <w:szCs w:val="32"/>
        </w:rPr>
        <w:t>604.72</w:t>
      </w:r>
      <w:r>
        <w:rPr>
          <w:rFonts w:hint="eastAsia" w:ascii="仿宋_GB2312" w:hAnsi="仿宋" w:eastAsia="仿宋_GB2312" w:cs="仿宋_GB2312"/>
          <w:color w:val="000000"/>
          <w:sz w:val="32"/>
          <w:szCs w:val="32"/>
        </w:rPr>
        <w:t>万元。与</w:t>
      </w:r>
      <w:r>
        <w:rPr>
          <w:rFonts w:ascii="仿宋_GB2312" w:hAnsi="仿宋" w:eastAsia="仿宋_GB2312" w:cs="仿宋_GB2312"/>
          <w:color w:val="000000"/>
          <w:sz w:val="32"/>
          <w:szCs w:val="32"/>
        </w:rPr>
        <w:t>2018</w:t>
      </w:r>
      <w:r>
        <w:rPr>
          <w:rFonts w:hint="eastAsia" w:ascii="仿宋_GB2312" w:hAnsi="仿宋" w:eastAsia="仿宋_GB2312" w:cs="仿宋_GB2312"/>
          <w:color w:val="000000"/>
          <w:sz w:val="32"/>
          <w:szCs w:val="32"/>
        </w:rPr>
        <w:t>年相比，财政拨款收、支总计各增减少</w:t>
      </w:r>
      <w:r>
        <w:rPr>
          <w:rFonts w:ascii="仿宋_GB2312" w:hAnsi="仿宋" w:eastAsia="仿宋_GB2312" w:cs="仿宋_GB2312"/>
          <w:color w:val="000000"/>
          <w:sz w:val="32"/>
          <w:szCs w:val="32"/>
        </w:rPr>
        <w:t>22.94</w:t>
      </w:r>
      <w:r>
        <w:rPr>
          <w:rFonts w:hint="eastAsia" w:ascii="仿宋_GB2312" w:hAnsi="仿宋" w:eastAsia="仿宋_GB2312" w:cs="仿宋_GB2312"/>
          <w:color w:val="000000"/>
          <w:sz w:val="32"/>
          <w:szCs w:val="32"/>
        </w:rPr>
        <w:t>万元，下降</w:t>
      </w:r>
      <w:r>
        <w:rPr>
          <w:rFonts w:ascii="仿宋_GB2312" w:hAnsi="仿宋" w:eastAsia="仿宋_GB2312" w:cs="仿宋_GB2312"/>
          <w:color w:val="000000"/>
          <w:sz w:val="32"/>
          <w:szCs w:val="32"/>
        </w:rPr>
        <w:t>3.65%</w:t>
      </w:r>
      <w:r>
        <w:rPr>
          <w:rFonts w:hint="eastAsia" w:ascii="仿宋_GB2312" w:hAnsi="仿宋" w:eastAsia="仿宋_GB2312" w:cs="仿宋_GB2312"/>
          <w:color w:val="000000"/>
          <w:sz w:val="32"/>
          <w:szCs w:val="32"/>
        </w:rPr>
        <w:t>。主要变动原因是单位运行费减少。</w:t>
      </w:r>
    </w:p>
    <w:p>
      <w:pPr>
        <w:spacing w:line="600" w:lineRule="exact"/>
        <w:ind w:firstLine="640" w:firstLineChars="200"/>
        <w:rPr>
          <w:rFonts w:ascii="仿宋_GB2312" w:hAnsi="仿宋" w:eastAsia="仿宋_GB2312"/>
          <w:color w:val="000000"/>
          <w:sz w:val="32"/>
          <w:szCs w:val="32"/>
        </w:rPr>
      </w:pPr>
      <w:r>
        <w:rPr>
          <w:rFonts w:hint="eastAsia" w:ascii="仿宋_GB2312" w:hAnsi="仿宋" w:eastAsia="仿宋_GB2312" w:cs="仿宋_GB2312"/>
          <w:color w:val="000000"/>
          <w:sz w:val="32"/>
          <w:szCs w:val="32"/>
        </w:rPr>
        <w:t>图</w:t>
      </w:r>
      <w:r>
        <w:rPr>
          <w:rFonts w:ascii="仿宋_GB2312" w:hAnsi="仿宋" w:eastAsia="仿宋_GB2312" w:cs="仿宋_GB2312"/>
          <w:color w:val="000000"/>
          <w:sz w:val="32"/>
          <w:szCs w:val="32"/>
        </w:rPr>
        <w:t>4</w:t>
      </w:r>
      <w:r>
        <w:rPr>
          <w:rFonts w:hint="eastAsia" w:ascii="仿宋_GB2312" w:hAnsi="仿宋" w:eastAsia="仿宋_GB2312" w:cs="仿宋_GB2312"/>
          <w:color w:val="000000"/>
          <w:sz w:val="32"/>
          <w:szCs w:val="32"/>
        </w:rPr>
        <w:t>：财政拨款收、支决算总计变动情况（柱状图）</w:t>
      </w:r>
    </w:p>
    <w:p>
      <w:pPr>
        <w:spacing w:line="600" w:lineRule="exact"/>
        <w:ind w:firstLine="640"/>
        <w:rPr>
          <w:rFonts w:ascii="仿宋" w:hAnsi="仿宋" w:eastAsia="仿宋"/>
          <w:b/>
          <w:bCs/>
          <w:color w:val="00B050"/>
          <w:sz w:val="32"/>
          <w:szCs w:val="32"/>
        </w:rPr>
      </w:pPr>
      <w:r>
        <w:pict>
          <v:shape id="_x0000_s1029" o:spid="_x0000_s1029" o:spt="75" type="#_x0000_t75" style="position:absolute;left:0pt;margin-left:26.25pt;margin-top:2.4pt;height:301.5pt;width:424.5pt;mso-wrap-distance-left:9pt;mso-wrap-distance-right:9pt;z-index:-251654144;mso-width-relative:page;mso-height-relative:page;" filled="f" o:preferrelative="t" stroked="f" coordsize="21600,21600" wrapcoords="114 269 114 21278 21409 21278 21409 269 114 269">
            <v:path/>
            <v:fill on="f" focussize="0,0"/>
            <v:stroke on="f" joinstyle="miter"/>
            <v:imagedata r:id="rId6" o:title=""/>
            <o:lock v:ext="edit" aspectratio="t"/>
            <w10:wrap type="tight"/>
          </v:shape>
        </w:pict>
      </w:r>
    </w:p>
    <w:p>
      <w:pPr>
        <w:spacing w:line="600" w:lineRule="exact"/>
        <w:ind w:firstLine="640"/>
        <w:rPr>
          <w:rStyle w:val="31"/>
          <w:rFonts w:ascii="黑体" w:hAnsi="黑体" w:eastAsia="黑体" w:cs="Times New Roman"/>
          <w:b w:val="0"/>
          <w:bCs w:val="0"/>
        </w:rPr>
      </w:pPr>
      <w:bookmarkStart w:id="44" w:name="_Toc15377209"/>
      <w:bookmarkStart w:id="45" w:name="_Toc15396607"/>
      <w:r>
        <w:rPr>
          <w:rStyle w:val="31"/>
          <w:rFonts w:hint="eastAsia" w:ascii="黑体" w:hAnsi="黑体" w:eastAsia="黑体" w:cs="黑体"/>
          <w:b w:val="0"/>
          <w:bCs w:val="0"/>
        </w:rPr>
        <w:t>五、一般公共预算财政拨款支出决算情况说明</w:t>
      </w:r>
      <w:bookmarkEnd w:id="44"/>
      <w:bookmarkEnd w:id="45"/>
    </w:p>
    <w:p>
      <w:pPr>
        <w:spacing w:line="600" w:lineRule="exact"/>
        <w:ind w:firstLine="642" w:firstLineChars="200"/>
        <w:outlineLvl w:val="1"/>
        <w:rPr>
          <w:rFonts w:ascii="楷体_GB2312" w:hAnsi="仿宋" w:eastAsia="楷体_GB2312"/>
          <w:b/>
          <w:bCs/>
          <w:color w:val="000000"/>
          <w:sz w:val="32"/>
          <w:szCs w:val="32"/>
        </w:rPr>
      </w:pPr>
      <w:bookmarkStart w:id="46" w:name="_Toc15377210"/>
      <w:r>
        <w:rPr>
          <w:rFonts w:hint="eastAsia" w:ascii="楷体_GB2312" w:hAnsi="仿宋" w:eastAsia="楷体_GB2312" w:cs="楷体_GB2312"/>
          <w:b/>
          <w:bCs/>
          <w:color w:val="000000"/>
          <w:sz w:val="32"/>
          <w:szCs w:val="32"/>
        </w:rPr>
        <w:t>（一）一般公共预算财政拨款支出决算总体情况</w:t>
      </w:r>
      <w:bookmarkEnd w:id="46"/>
    </w:p>
    <w:p>
      <w:pPr>
        <w:spacing w:line="600" w:lineRule="exact"/>
        <w:ind w:firstLine="640"/>
        <w:rPr>
          <w:rFonts w:ascii="仿宋_GB2312" w:hAnsi="仿宋" w:eastAsia="仿宋_GB2312"/>
          <w:color w:val="000000"/>
          <w:sz w:val="32"/>
          <w:szCs w:val="32"/>
        </w:rPr>
      </w:pPr>
      <w:r>
        <w:rPr>
          <w:rFonts w:ascii="仿宋_GB2312" w:hAnsi="仿宋" w:eastAsia="仿宋_GB2312" w:cs="仿宋_GB2312"/>
          <w:color w:val="000000"/>
          <w:sz w:val="32"/>
          <w:szCs w:val="32"/>
        </w:rPr>
        <w:t>2019</w:t>
      </w:r>
      <w:r>
        <w:rPr>
          <w:rFonts w:hint="eastAsia" w:ascii="仿宋_GB2312" w:hAnsi="仿宋" w:eastAsia="仿宋_GB2312" w:cs="仿宋_GB2312"/>
          <w:color w:val="000000"/>
          <w:sz w:val="32"/>
          <w:szCs w:val="32"/>
        </w:rPr>
        <w:t>年一般公共预算财政拨款支出</w:t>
      </w:r>
      <w:r>
        <w:rPr>
          <w:rFonts w:ascii="仿宋_GB2312" w:hAnsi="仿宋" w:eastAsia="仿宋_GB2312" w:cs="仿宋_GB2312"/>
          <w:color w:val="000000"/>
          <w:sz w:val="32"/>
          <w:szCs w:val="32"/>
        </w:rPr>
        <w:t>588.05</w:t>
      </w:r>
      <w:r>
        <w:rPr>
          <w:rFonts w:hint="eastAsia" w:ascii="仿宋_GB2312" w:hAnsi="仿宋" w:eastAsia="仿宋_GB2312" w:cs="仿宋_GB2312"/>
          <w:color w:val="000000"/>
          <w:sz w:val="32"/>
          <w:szCs w:val="32"/>
        </w:rPr>
        <w:t>万元，占本年支出合计的</w:t>
      </w:r>
      <w:r>
        <w:rPr>
          <w:rFonts w:ascii="仿宋_GB2312" w:hAnsi="仿宋" w:eastAsia="仿宋_GB2312" w:cs="仿宋_GB2312"/>
          <w:color w:val="000000"/>
          <w:sz w:val="32"/>
          <w:szCs w:val="32"/>
        </w:rPr>
        <w:t>100%</w:t>
      </w:r>
      <w:r>
        <w:rPr>
          <w:rFonts w:hint="eastAsia" w:ascii="仿宋_GB2312" w:hAnsi="仿宋" w:eastAsia="仿宋_GB2312" w:cs="仿宋_GB2312"/>
          <w:color w:val="000000"/>
          <w:sz w:val="32"/>
          <w:szCs w:val="32"/>
        </w:rPr>
        <w:t>。与</w:t>
      </w:r>
      <w:r>
        <w:rPr>
          <w:rFonts w:ascii="仿宋_GB2312" w:hAnsi="仿宋" w:eastAsia="仿宋_GB2312" w:cs="仿宋_GB2312"/>
          <w:color w:val="000000"/>
          <w:sz w:val="32"/>
          <w:szCs w:val="32"/>
        </w:rPr>
        <w:t>2018</w:t>
      </w:r>
      <w:r>
        <w:rPr>
          <w:rFonts w:hint="eastAsia" w:ascii="仿宋_GB2312" w:hAnsi="仿宋" w:eastAsia="仿宋_GB2312" w:cs="仿宋_GB2312"/>
          <w:color w:val="000000"/>
          <w:sz w:val="32"/>
          <w:szCs w:val="32"/>
        </w:rPr>
        <w:t>年相比，一般公共预算财政拨款减少</w:t>
      </w:r>
      <w:r>
        <w:rPr>
          <w:rFonts w:ascii="仿宋_GB2312" w:hAnsi="仿宋" w:eastAsia="仿宋_GB2312" w:cs="仿宋_GB2312"/>
          <w:color w:val="000000"/>
          <w:sz w:val="32"/>
          <w:szCs w:val="32"/>
        </w:rPr>
        <w:t>20.55</w:t>
      </w:r>
      <w:r>
        <w:rPr>
          <w:rFonts w:hint="eastAsia" w:ascii="仿宋_GB2312" w:hAnsi="仿宋" w:eastAsia="仿宋_GB2312" w:cs="仿宋_GB2312"/>
          <w:color w:val="000000"/>
          <w:sz w:val="32"/>
          <w:szCs w:val="32"/>
        </w:rPr>
        <w:t>万元，下降</w:t>
      </w:r>
      <w:r>
        <w:rPr>
          <w:rFonts w:ascii="仿宋_GB2312" w:hAnsi="仿宋" w:eastAsia="仿宋_GB2312" w:cs="仿宋_GB2312"/>
          <w:color w:val="000000"/>
          <w:sz w:val="32"/>
          <w:szCs w:val="32"/>
        </w:rPr>
        <w:t>3.38%</w:t>
      </w:r>
      <w:r>
        <w:rPr>
          <w:rFonts w:hint="eastAsia" w:ascii="仿宋_GB2312" w:hAnsi="仿宋" w:eastAsia="仿宋_GB2312" w:cs="仿宋_GB2312"/>
          <w:color w:val="000000"/>
          <w:sz w:val="32"/>
          <w:szCs w:val="32"/>
        </w:rPr>
        <w:t>。主要变动原因是行政运行费用的减少。</w:t>
      </w:r>
    </w:p>
    <w:p>
      <w:pPr>
        <w:spacing w:line="600" w:lineRule="exact"/>
        <w:ind w:firstLine="640"/>
        <w:rPr>
          <w:rFonts w:ascii="仿宋_GB2312" w:hAnsi="仿宋" w:eastAsia="仿宋_GB2312"/>
          <w:color w:val="000000"/>
          <w:sz w:val="32"/>
          <w:szCs w:val="32"/>
        </w:rPr>
      </w:pPr>
      <w:r>
        <w:pict>
          <v:shape id="_x0000_s1030" o:spid="_x0000_s1030" o:spt="75" type="#_x0000_t75" style="position:absolute;left:0pt;margin-left:10.5pt;margin-top:69.6pt;height:267.75pt;width:423.75pt;mso-wrap-distance-left:9pt;mso-wrap-distance-right:9pt;z-index:-251654144;mso-width-relative:page;mso-height-relative:page;" filled="f" o:preferrelative="t" stroked="f" coordsize="21600,21600" wrapcoords="115 303 115 21237 21409 21237 21409 303 115 303">
            <v:path/>
            <v:fill on="f" focussize="0,0"/>
            <v:stroke on="f" joinstyle="miter"/>
            <v:imagedata r:id="rId9" o:title=""/>
            <o:lock v:ext="edit" aspectratio="t"/>
            <w10:wrap type="tight"/>
          </v:shape>
        </w:pict>
      </w:r>
      <w:r>
        <w:rPr>
          <w:rFonts w:hint="eastAsia" w:ascii="仿宋_GB2312" w:hAnsi="仿宋" w:eastAsia="仿宋_GB2312" w:cs="仿宋_GB2312"/>
          <w:color w:val="000000"/>
          <w:sz w:val="32"/>
          <w:szCs w:val="32"/>
        </w:rPr>
        <w:t>图</w:t>
      </w:r>
      <w:r>
        <w:rPr>
          <w:rFonts w:ascii="仿宋_GB2312" w:hAnsi="仿宋" w:eastAsia="仿宋_GB2312" w:cs="仿宋_GB2312"/>
          <w:color w:val="000000"/>
          <w:sz w:val="32"/>
          <w:szCs w:val="32"/>
        </w:rPr>
        <w:t>5</w:t>
      </w:r>
      <w:r>
        <w:rPr>
          <w:rFonts w:hint="eastAsia" w:ascii="仿宋_GB2312" w:hAnsi="仿宋" w:eastAsia="仿宋_GB2312" w:cs="仿宋_GB2312"/>
          <w:color w:val="000000"/>
          <w:sz w:val="32"/>
          <w:szCs w:val="32"/>
        </w:rPr>
        <w:t>：一般公共预算财政拨款支出决算变动情况（柱状图）</w:t>
      </w:r>
    </w:p>
    <w:p>
      <w:pPr>
        <w:spacing w:line="600" w:lineRule="exact"/>
        <w:ind w:firstLine="640" w:firstLineChars="200"/>
        <w:rPr>
          <w:rFonts w:ascii="仿宋" w:hAnsi="仿宋" w:eastAsia="仿宋"/>
          <w:color w:val="000000"/>
          <w:sz w:val="32"/>
          <w:szCs w:val="32"/>
        </w:rPr>
      </w:pPr>
    </w:p>
    <w:p>
      <w:pPr>
        <w:spacing w:line="600" w:lineRule="exact"/>
        <w:ind w:firstLine="642" w:firstLineChars="200"/>
        <w:outlineLvl w:val="1"/>
        <w:rPr>
          <w:rFonts w:ascii="楷体_GB2312" w:hAnsi="仿宋" w:eastAsia="楷体_GB2312"/>
          <w:b/>
          <w:bCs/>
          <w:color w:val="000000"/>
          <w:sz w:val="32"/>
          <w:szCs w:val="32"/>
        </w:rPr>
      </w:pPr>
      <w:bookmarkStart w:id="47" w:name="_Toc15377211"/>
      <w:r>
        <w:rPr>
          <w:rFonts w:hint="eastAsia" w:ascii="楷体_GB2312" w:hAnsi="仿宋" w:eastAsia="楷体_GB2312" w:cs="楷体_GB2312"/>
          <w:b/>
          <w:bCs/>
          <w:color w:val="000000"/>
          <w:sz w:val="32"/>
          <w:szCs w:val="32"/>
        </w:rPr>
        <w:t>（二）一般公共预算财政拨款支出决算结构情况</w:t>
      </w:r>
      <w:bookmarkEnd w:id="47"/>
    </w:p>
    <w:p>
      <w:pPr>
        <w:spacing w:line="600" w:lineRule="exact"/>
        <w:ind w:firstLine="640"/>
        <w:rPr>
          <w:rFonts w:ascii="仿宋_GB2312" w:hAnsi="仿宋" w:eastAsia="仿宋_GB2312"/>
          <w:color w:val="000000"/>
          <w:sz w:val="32"/>
          <w:szCs w:val="32"/>
        </w:rPr>
      </w:pPr>
      <w:r>
        <w:rPr>
          <w:rFonts w:ascii="仿宋_GB2312" w:hAnsi="仿宋" w:eastAsia="仿宋_GB2312" w:cs="仿宋_GB2312"/>
          <w:color w:val="000000"/>
          <w:sz w:val="32"/>
          <w:szCs w:val="32"/>
        </w:rPr>
        <w:t>2019</w:t>
      </w:r>
      <w:r>
        <w:rPr>
          <w:rFonts w:hint="eastAsia" w:ascii="仿宋_GB2312" w:hAnsi="仿宋" w:eastAsia="仿宋_GB2312" w:cs="仿宋_GB2312"/>
          <w:color w:val="000000"/>
          <w:sz w:val="32"/>
          <w:szCs w:val="32"/>
        </w:rPr>
        <w:t>年一般公共预算财政拨款支出</w:t>
      </w:r>
      <w:r>
        <w:rPr>
          <w:rFonts w:ascii="仿宋_GB2312" w:hAnsi="仿宋" w:eastAsia="仿宋_GB2312" w:cs="仿宋_GB2312"/>
          <w:color w:val="000000"/>
          <w:sz w:val="32"/>
          <w:szCs w:val="32"/>
        </w:rPr>
        <w:t>588.05</w:t>
      </w:r>
      <w:r>
        <w:rPr>
          <w:rFonts w:hint="eastAsia" w:ascii="仿宋_GB2312" w:hAnsi="仿宋" w:eastAsia="仿宋_GB2312" w:cs="仿宋_GB2312"/>
          <w:color w:val="000000"/>
          <w:sz w:val="32"/>
          <w:szCs w:val="32"/>
        </w:rPr>
        <w:t>万元，主要用于以下方面</w:t>
      </w:r>
      <w:r>
        <w:rPr>
          <w:rFonts w:ascii="仿宋_GB2312" w:hAnsi="仿宋" w:eastAsia="仿宋_GB2312" w:cs="仿宋_GB2312"/>
          <w:color w:val="000000"/>
          <w:sz w:val="32"/>
          <w:szCs w:val="32"/>
        </w:rPr>
        <w:t>:</w:t>
      </w:r>
      <w:r>
        <w:rPr>
          <w:rFonts w:ascii="仿宋_GB2312" w:hAnsi="仿宋" w:eastAsia="仿宋_GB2312" w:cs="仿宋_GB2312"/>
          <w:b/>
          <w:bCs/>
          <w:color w:val="000000"/>
          <w:sz w:val="32"/>
          <w:szCs w:val="32"/>
        </w:rPr>
        <w:t xml:space="preserve"> </w:t>
      </w:r>
      <w:r>
        <w:rPr>
          <w:rFonts w:hint="eastAsia" w:ascii="仿宋_GB2312" w:hAnsi="仿宋" w:eastAsia="仿宋_GB2312" w:cs="仿宋_GB2312"/>
          <w:b/>
          <w:bCs/>
          <w:color w:val="000000"/>
          <w:sz w:val="32"/>
          <w:szCs w:val="32"/>
        </w:rPr>
        <w:t>一般公共服务（类）</w:t>
      </w:r>
      <w:r>
        <w:rPr>
          <w:rFonts w:hint="eastAsia" w:ascii="仿宋_GB2312" w:hAnsi="仿宋" w:eastAsia="仿宋_GB2312" w:cs="仿宋_GB2312"/>
          <w:color w:val="000000"/>
          <w:sz w:val="32"/>
          <w:szCs w:val="32"/>
        </w:rPr>
        <w:t>支出</w:t>
      </w:r>
      <w:r>
        <w:rPr>
          <w:rFonts w:ascii="仿宋_GB2312" w:hAnsi="仿宋" w:eastAsia="仿宋_GB2312" w:cs="仿宋_GB2312"/>
          <w:color w:val="000000"/>
          <w:sz w:val="32"/>
          <w:szCs w:val="32"/>
        </w:rPr>
        <w:t>455.65</w:t>
      </w:r>
      <w:r>
        <w:rPr>
          <w:rFonts w:hint="eastAsia" w:ascii="仿宋_GB2312" w:hAnsi="仿宋" w:eastAsia="仿宋_GB2312" w:cs="仿宋_GB2312"/>
          <w:color w:val="000000"/>
          <w:sz w:val="32"/>
          <w:szCs w:val="32"/>
        </w:rPr>
        <w:t>万元，占</w:t>
      </w:r>
      <w:r>
        <w:rPr>
          <w:rFonts w:ascii="仿宋_GB2312" w:hAnsi="仿宋" w:eastAsia="仿宋_GB2312" w:cs="仿宋_GB2312"/>
          <w:color w:val="000000"/>
          <w:sz w:val="32"/>
          <w:szCs w:val="32"/>
        </w:rPr>
        <w:t>77%</w:t>
      </w:r>
      <w:r>
        <w:rPr>
          <w:rFonts w:hint="eastAsia" w:ascii="仿宋_GB2312" w:hAnsi="仿宋" w:eastAsia="仿宋_GB2312" w:cs="仿宋_GB2312"/>
          <w:color w:val="000000"/>
          <w:sz w:val="32"/>
          <w:szCs w:val="32"/>
        </w:rPr>
        <w:t>；</w:t>
      </w:r>
      <w:r>
        <w:rPr>
          <w:rFonts w:hint="eastAsia" w:ascii="仿宋_GB2312" w:hAnsi="仿宋" w:eastAsia="仿宋_GB2312" w:cs="仿宋_GB2312"/>
          <w:b/>
          <w:bCs/>
          <w:color w:val="000000"/>
          <w:sz w:val="32"/>
          <w:szCs w:val="32"/>
        </w:rPr>
        <w:t>社会保障和就业（类）</w:t>
      </w:r>
      <w:r>
        <w:rPr>
          <w:rFonts w:hint="eastAsia" w:ascii="仿宋_GB2312" w:hAnsi="仿宋" w:eastAsia="仿宋_GB2312" w:cs="仿宋_GB2312"/>
          <w:color w:val="000000"/>
          <w:sz w:val="32"/>
          <w:szCs w:val="32"/>
        </w:rPr>
        <w:t>支出</w:t>
      </w:r>
      <w:r>
        <w:rPr>
          <w:rFonts w:ascii="仿宋_GB2312" w:hAnsi="仿宋" w:eastAsia="仿宋_GB2312" w:cs="仿宋_GB2312"/>
          <w:color w:val="000000"/>
          <w:sz w:val="32"/>
          <w:szCs w:val="32"/>
        </w:rPr>
        <w:t>58.09</w:t>
      </w:r>
      <w:r>
        <w:rPr>
          <w:rFonts w:hint="eastAsia" w:ascii="仿宋_GB2312" w:hAnsi="仿宋" w:eastAsia="仿宋_GB2312" w:cs="仿宋_GB2312"/>
          <w:color w:val="000000"/>
          <w:sz w:val="32"/>
          <w:szCs w:val="32"/>
        </w:rPr>
        <w:t>万元，占</w:t>
      </w:r>
      <w:r>
        <w:rPr>
          <w:rFonts w:ascii="仿宋_GB2312" w:hAnsi="仿宋" w:eastAsia="仿宋_GB2312" w:cs="仿宋_GB2312"/>
          <w:color w:val="000000"/>
          <w:sz w:val="32"/>
          <w:szCs w:val="32"/>
        </w:rPr>
        <w:t>10%</w:t>
      </w:r>
      <w:r>
        <w:rPr>
          <w:rFonts w:hint="eastAsia" w:ascii="仿宋_GB2312" w:hAnsi="仿宋" w:eastAsia="仿宋_GB2312" w:cs="仿宋_GB2312"/>
          <w:color w:val="000000"/>
          <w:sz w:val="32"/>
          <w:szCs w:val="32"/>
        </w:rPr>
        <w:t>；</w:t>
      </w:r>
      <w:r>
        <w:rPr>
          <w:rFonts w:hint="eastAsia" w:ascii="仿宋_GB2312" w:hAnsi="仿宋" w:eastAsia="仿宋_GB2312" w:cs="仿宋_GB2312"/>
          <w:b/>
          <w:bCs/>
          <w:color w:val="000000"/>
          <w:sz w:val="32"/>
          <w:szCs w:val="32"/>
        </w:rPr>
        <w:t>卫生健康支出（类）</w:t>
      </w:r>
      <w:r>
        <w:rPr>
          <w:rFonts w:hint="eastAsia" w:ascii="仿宋_GB2312" w:hAnsi="仿宋" w:eastAsia="仿宋_GB2312" w:cs="仿宋_GB2312"/>
          <w:color w:val="000000"/>
          <w:sz w:val="32"/>
          <w:szCs w:val="32"/>
        </w:rPr>
        <w:t>支出</w:t>
      </w:r>
      <w:r>
        <w:rPr>
          <w:rFonts w:ascii="仿宋_GB2312" w:hAnsi="仿宋" w:eastAsia="仿宋_GB2312" w:cs="仿宋_GB2312"/>
          <w:color w:val="000000"/>
          <w:sz w:val="32"/>
          <w:szCs w:val="32"/>
        </w:rPr>
        <w:t>28.56</w:t>
      </w:r>
      <w:r>
        <w:rPr>
          <w:rFonts w:hint="eastAsia" w:ascii="仿宋_GB2312" w:hAnsi="仿宋" w:eastAsia="仿宋_GB2312" w:cs="仿宋_GB2312"/>
          <w:color w:val="000000"/>
          <w:sz w:val="32"/>
          <w:szCs w:val="32"/>
        </w:rPr>
        <w:t>万元，占</w:t>
      </w:r>
      <w:r>
        <w:rPr>
          <w:rFonts w:ascii="仿宋_GB2312" w:hAnsi="仿宋" w:eastAsia="仿宋_GB2312" w:cs="仿宋_GB2312"/>
          <w:color w:val="000000"/>
          <w:sz w:val="32"/>
          <w:szCs w:val="32"/>
        </w:rPr>
        <w:t>5%</w:t>
      </w:r>
      <w:r>
        <w:rPr>
          <w:rFonts w:hint="eastAsia" w:ascii="仿宋_GB2312" w:hAnsi="仿宋" w:eastAsia="仿宋_GB2312" w:cs="仿宋_GB2312"/>
          <w:color w:val="000000"/>
          <w:sz w:val="32"/>
          <w:szCs w:val="32"/>
        </w:rPr>
        <w:t>；</w:t>
      </w:r>
      <w:r>
        <w:rPr>
          <w:rFonts w:hint="eastAsia" w:ascii="仿宋_GB2312" w:hAnsi="仿宋" w:eastAsia="仿宋_GB2312" w:cs="仿宋_GB2312"/>
          <w:b/>
          <w:bCs/>
          <w:color w:val="000000"/>
          <w:sz w:val="32"/>
          <w:szCs w:val="32"/>
        </w:rPr>
        <w:t>农林水（类）</w:t>
      </w:r>
      <w:r>
        <w:rPr>
          <w:rFonts w:hint="eastAsia" w:ascii="仿宋_GB2312" w:hAnsi="仿宋" w:eastAsia="仿宋_GB2312" w:cs="仿宋_GB2312"/>
          <w:color w:val="000000"/>
          <w:sz w:val="32"/>
          <w:szCs w:val="32"/>
        </w:rPr>
        <w:t>支出</w:t>
      </w:r>
      <w:r>
        <w:rPr>
          <w:rFonts w:ascii="仿宋_GB2312" w:hAnsi="仿宋" w:eastAsia="仿宋_GB2312" w:cs="仿宋_GB2312"/>
          <w:color w:val="000000"/>
          <w:sz w:val="32"/>
          <w:szCs w:val="32"/>
        </w:rPr>
        <w:t>7.39</w:t>
      </w:r>
      <w:r>
        <w:rPr>
          <w:rFonts w:hint="eastAsia" w:ascii="仿宋_GB2312" w:hAnsi="仿宋" w:eastAsia="仿宋_GB2312" w:cs="仿宋_GB2312"/>
          <w:color w:val="000000"/>
          <w:sz w:val="32"/>
          <w:szCs w:val="32"/>
        </w:rPr>
        <w:t>万元，占</w:t>
      </w:r>
      <w:r>
        <w:rPr>
          <w:rFonts w:ascii="仿宋_GB2312" w:hAnsi="仿宋" w:eastAsia="仿宋_GB2312" w:cs="仿宋_GB2312"/>
          <w:color w:val="000000"/>
          <w:sz w:val="32"/>
          <w:szCs w:val="32"/>
        </w:rPr>
        <w:t>1%</w:t>
      </w:r>
      <w:r>
        <w:rPr>
          <w:rFonts w:hint="eastAsia" w:ascii="仿宋_GB2312" w:hAnsi="仿宋" w:eastAsia="仿宋_GB2312" w:cs="仿宋_GB2312"/>
          <w:color w:val="000000"/>
          <w:sz w:val="32"/>
          <w:szCs w:val="32"/>
        </w:rPr>
        <w:t>；</w:t>
      </w:r>
      <w:r>
        <w:rPr>
          <w:rFonts w:hint="eastAsia" w:ascii="仿宋_GB2312" w:hAnsi="仿宋" w:eastAsia="仿宋_GB2312" w:cs="仿宋_GB2312"/>
          <w:b/>
          <w:bCs/>
          <w:color w:val="000000"/>
          <w:sz w:val="32"/>
          <w:szCs w:val="32"/>
        </w:rPr>
        <w:t>住房保障（类）</w:t>
      </w:r>
      <w:r>
        <w:rPr>
          <w:rFonts w:hint="eastAsia" w:ascii="仿宋_GB2312" w:hAnsi="仿宋" w:eastAsia="仿宋_GB2312" w:cs="仿宋_GB2312"/>
          <w:color w:val="000000"/>
          <w:sz w:val="32"/>
          <w:szCs w:val="32"/>
        </w:rPr>
        <w:t>支出</w:t>
      </w:r>
      <w:r>
        <w:rPr>
          <w:rFonts w:ascii="仿宋_GB2312" w:hAnsi="仿宋" w:eastAsia="仿宋_GB2312" w:cs="仿宋_GB2312"/>
          <w:color w:val="000000"/>
          <w:sz w:val="32"/>
          <w:szCs w:val="32"/>
        </w:rPr>
        <w:t>38.36</w:t>
      </w:r>
      <w:r>
        <w:rPr>
          <w:rFonts w:hint="eastAsia" w:ascii="仿宋_GB2312" w:hAnsi="仿宋" w:eastAsia="仿宋_GB2312" w:cs="仿宋_GB2312"/>
          <w:color w:val="000000"/>
          <w:sz w:val="32"/>
          <w:szCs w:val="32"/>
        </w:rPr>
        <w:t>万元，占</w:t>
      </w:r>
      <w:r>
        <w:rPr>
          <w:rFonts w:ascii="仿宋_GB2312" w:hAnsi="仿宋" w:eastAsia="仿宋_GB2312" w:cs="仿宋_GB2312"/>
          <w:color w:val="000000"/>
          <w:sz w:val="32"/>
          <w:szCs w:val="32"/>
        </w:rPr>
        <w:t>7%</w:t>
      </w:r>
      <w:r>
        <w:rPr>
          <w:rFonts w:hint="eastAsia" w:ascii="仿宋_GB2312" w:hAnsi="仿宋" w:eastAsia="仿宋_GB2312" w:cs="仿宋_GB2312"/>
          <w:color w:val="000000"/>
          <w:sz w:val="32"/>
          <w:szCs w:val="32"/>
        </w:rPr>
        <w:t>。</w:t>
      </w:r>
      <w:r>
        <w:rPr>
          <w:rFonts w:ascii="仿宋_GB2312" w:hAnsi="仿宋" w:eastAsia="仿宋_GB2312" w:cs="仿宋_GB2312"/>
          <w:color w:val="000000"/>
          <w:sz w:val="32"/>
          <w:szCs w:val="32"/>
        </w:rPr>
        <w:t xml:space="preserve"> </w:t>
      </w:r>
    </w:p>
    <w:p>
      <w:pPr>
        <w:spacing w:line="600" w:lineRule="exact"/>
        <w:ind w:firstLine="640"/>
        <w:rPr>
          <w:rFonts w:ascii="仿宋_GB2312" w:hAnsi="仿宋" w:eastAsia="仿宋_GB2312"/>
          <w:color w:val="000000"/>
          <w:sz w:val="32"/>
          <w:szCs w:val="32"/>
        </w:rPr>
      </w:pPr>
      <w:r>
        <w:rPr>
          <w:rFonts w:hint="eastAsia" w:ascii="仿宋_GB2312" w:hAnsi="仿宋" w:eastAsia="仿宋_GB2312" w:cs="仿宋_GB2312"/>
          <w:color w:val="000000"/>
          <w:sz w:val="32"/>
          <w:szCs w:val="32"/>
        </w:rPr>
        <w:t>图</w:t>
      </w:r>
      <w:r>
        <w:rPr>
          <w:rFonts w:ascii="仿宋_GB2312" w:hAnsi="仿宋" w:eastAsia="仿宋_GB2312" w:cs="仿宋_GB2312"/>
          <w:color w:val="000000"/>
          <w:sz w:val="32"/>
          <w:szCs w:val="32"/>
        </w:rPr>
        <w:t>6</w:t>
      </w:r>
      <w:r>
        <w:rPr>
          <w:rFonts w:hint="eastAsia" w:ascii="仿宋_GB2312" w:hAnsi="仿宋" w:eastAsia="仿宋_GB2312" w:cs="仿宋_GB2312"/>
          <w:color w:val="000000"/>
          <w:sz w:val="32"/>
          <w:szCs w:val="32"/>
        </w:rPr>
        <w:t>：一般公共预算财政拨款支出决算结构（饼状图）</w:t>
      </w:r>
    </w:p>
    <w:p>
      <w:pPr>
        <w:spacing w:line="600" w:lineRule="exact"/>
        <w:ind w:firstLine="640"/>
        <w:rPr>
          <w:rFonts w:ascii="仿宋_GB2312" w:hAnsi="仿宋" w:eastAsia="仿宋_GB2312"/>
          <w:color w:val="000000"/>
          <w:sz w:val="32"/>
          <w:szCs w:val="32"/>
        </w:rPr>
      </w:pPr>
      <w:r>
        <w:pict>
          <v:shape id="_x0000_s1031" o:spid="_x0000_s1031" o:spt="75" type="#_x0000_t75" style="position:absolute;left:0pt;margin-left:5.25pt;margin-top:10.2pt;height:241.8pt;width:400.5pt;mso-wrap-distance-left:9pt;mso-wrap-distance-right:9pt;z-index:-251653120;mso-width-relative:page;mso-height-relative:page;" filled="f" o:preferrelative="t" stroked="f" coordsize="21600,21600" wrapcoords="121 335 121 21198 21398 21198 21398 335 121 335">
            <v:path/>
            <v:fill on="f" focussize="0,0"/>
            <v:stroke on="f" joinstyle="miter"/>
            <v:imagedata r:id="rId10" o:title=""/>
            <o:lock v:ext="edit" aspectratio="t"/>
            <w10:wrap type="tight"/>
          </v:shape>
        </w:pict>
      </w:r>
    </w:p>
    <w:p>
      <w:pPr>
        <w:spacing w:line="600" w:lineRule="exact"/>
        <w:ind w:firstLine="642" w:firstLineChars="200"/>
        <w:outlineLvl w:val="1"/>
        <w:rPr>
          <w:rFonts w:ascii="楷体_GB2312" w:hAnsi="仿宋" w:eastAsia="楷体_GB2312"/>
          <w:b/>
          <w:bCs/>
          <w:color w:val="000000"/>
          <w:sz w:val="32"/>
          <w:szCs w:val="32"/>
        </w:rPr>
      </w:pPr>
      <w:bookmarkStart w:id="48" w:name="_Toc15377212"/>
      <w:r>
        <w:rPr>
          <w:rFonts w:hint="eastAsia" w:ascii="楷体_GB2312" w:hAnsi="仿宋" w:eastAsia="楷体_GB2312" w:cs="楷体_GB2312"/>
          <w:b/>
          <w:bCs/>
          <w:color w:val="000000"/>
          <w:sz w:val="32"/>
          <w:szCs w:val="32"/>
        </w:rPr>
        <w:t>（三）一般公共预算财政拨款支出决算具体情况</w:t>
      </w:r>
      <w:bookmarkEnd w:id="48"/>
    </w:p>
    <w:p>
      <w:pPr>
        <w:spacing w:line="600" w:lineRule="exact"/>
        <w:ind w:firstLine="640" w:firstLineChars="200"/>
        <w:outlineLvl w:val="1"/>
        <w:rPr>
          <w:rFonts w:ascii="仿宋_GB2312" w:hAnsi="仿宋" w:eastAsia="仿宋_GB2312"/>
          <w:color w:val="000000"/>
          <w:sz w:val="32"/>
          <w:szCs w:val="32"/>
        </w:rPr>
      </w:pPr>
      <w:bookmarkStart w:id="49" w:name="_Toc15377444"/>
      <w:bookmarkStart w:id="50" w:name="_Toc15377213"/>
      <w:bookmarkStart w:id="51" w:name="_Toc15378460"/>
      <w:r>
        <w:rPr>
          <w:rFonts w:ascii="仿宋_GB2312" w:hAnsi="仿宋" w:eastAsia="仿宋_GB2312" w:cs="仿宋_GB2312"/>
          <w:color w:val="000000"/>
          <w:sz w:val="32"/>
          <w:szCs w:val="32"/>
        </w:rPr>
        <w:t>2019</w:t>
      </w:r>
      <w:r>
        <w:rPr>
          <w:rFonts w:hint="eastAsia" w:ascii="仿宋_GB2312" w:hAnsi="仿宋" w:eastAsia="仿宋_GB2312" w:cs="仿宋_GB2312"/>
          <w:color w:val="000000"/>
          <w:sz w:val="32"/>
          <w:szCs w:val="32"/>
        </w:rPr>
        <w:t>年一般公共预算支出决算数为</w:t>
      </w:r>
      <w:r>
        <w:rPr>
          <w:rFonts w:ascii="仿宋_GB2312" w:hAnsi="仿宋" w:eastAsia="仿宋_GB2312" w:cs="仿宋_GB2312"/>
          <w:color w:val="000000"/>
          <w:sz w:val="32"/>
          <w:szCs w:val="32"/>
        </w:rPr>
        <w:t>588.05</w:t>
      </w:r>
      <w:r>
        <w:rPr>
          <w:rFonts w:hint="eastAsia" w:ascii="仿宋_GB2312" w:hAnsi="仿宋" w:eastAsia="仿宋_GB2312" w:cs="仿宋_GB2312"/>
          <w:color w:val="000000"/>
          <w:sz w:val="32"/>
          <w:szCs w:val="32"/>
        </w:rPr>
        <w:t>万元，完成预算</w:t>
      </w:r>
      <w:r>
        <w:rPr>
          <w:rFonts w:ascii="仿宋_GB2312" w:hAnsi="仿宋" w:eastAsia="仿宋_GB2312" w:cs="仿宋_GB2312"/>
          <w:color w:val="000000"/>
          <w:sz w:val="32"/>
          <w:szCs w:val="32"/>
        </w:rPr>
        <w:t>97.24%</w:t>
      </w:r>
      <w:r>
        <w:rPr>
          <w:rFonts w:hint="eastAsia" w:ascii="仿宋_GB2312" w:hAnsi="仿宋" w:eastAsia="仿宋_GB2312" w:cs="仿宋_GB2312"/>
          <w:color w:val="000000"/>
          <w:sz w:val="32"/>
          <w:szCs w:val="32"/>
        </w:rPr>
        <w:t>。其中：</w:t>
      </w:r>
      <w:bookmarkEnd w:id="49"/>
      <w:bookmarkEnd w:id="50"/>
      <w:bookmarkEnd w:id="51"/>
    </w:p>
    <w:p>
      <w:pPr>
        <w:spacing w:line="600" w:lineRule="exact"/>
        <w:ind w:firstLine="642" w:firstLineChars="200"/>
        <w:outlineLvl w:val="1"/>
        <w:rPr>
          <w:rFonts w:ascii="仿宋_GB2312" w:hAnsi="仿宋" w:eastAsia="仿宋_GB2312"/>
          <w:color w:val="000000"/>
          <w:sz w:val="32"/>
          <w:szCs w:val="32"/>
        </w:rPr>
      </w:pPr>
      <w:r>
        <w:rPr>
          <w:rFonts w:ascii="仿宋_GB2312" w:hAnsi="仿宋" w:eastAsia="仿宋_GB2312" w:cs="仿宋_GB2312"/>
          <w:b/>
          <w:bCs/>
          <w:color w:val="000000"/>
          <w:sz w:val="32"/>
          <w:szCs w:val="32"/>
        </w:rPr>
        <w:t>1.</w:t>
      </w:r>
      <w:r>
        <w:rPr>
          <w:rFonts w:hint="eastAsia" w:ascii="仿宋_GB2312" w:hAnsi="仿宋" w:eastAsia="仿宋_GB2312" w:cs="仿宋_GB2312"/>
          <w:b/>
          <w:bCs/>
          <w:color w:val="000000"/>
          <w:sz w:val="32"/>
          <w:szCs w:val="32"/>
        </w:rPr>
        <w:t>一般公共服务（类）财政事务（款）行政运行（项）</w:t>
      </w:r>
      <w:r>
        <w:rPr>
          <w:rFonts w:ascii="仿宋_GB2312" w:hAnsi="仿宋" w:eastAsia="仿宋_GB2312" w:cs="仿宋_GB2312"/>
          <w:b/>
          <w:bCs/>
          <w:color w:val="000000"/>
          <w:sz w:val="32"/>
          <w:szCs w:val="32"/>
        </w:rPr>
        <w:t>:</w:t>
      </w:r>
      <w:r>
        <w:rPr>
          <w:rFonts w:hint="eastAsia" w:ascii="仿宋_GB2312" w:hAnsi="仿宋" w:eastAsia="仿宋_GB2312" w:cs="仿宋_GB2312"/>
          <w:color w:val="000000"/>
          <w:sz w:val="32"/>
          <w:szCs w:val="32"/>
        </w:rPr>
        <w:t>支出决算为</w:t>
      </w:r>
      <w:r>
        <w:rPr>
          <w:rFonts w:ascii="仿宋_GB2312" w:hAnsi="仿宋" w:eastAsia="仿宋_GB2312" w:cs="仿宋_GB2312"/>
          <w:color w:val="000000"/>
          <w:sz w:val="32"/>
          <w:szCs w:val="32"/>
        </w:rPr>
        <w:t>281.51</w:t>
      </w:r>
      <w:r>
        <w:rPr>
          <w:rFonts w:hint="eastAsia" w:ascii="仿宋_GB2312" w:hAnsi="仿宋" w:eastAsia="仿宋_GB2312" w:cs="仿宋_GB2312"/>
          <w:color w:val="000000"/>
          <w:sz w:val="32"/>
          <w:szCs w:val="32"/>
        </w:rPr>
        <w:t>万元，完成预算</w:t>
      </w:r>
      <w:r>
        <w:rPr>
          <w:rFonts w:ascii="仿宋_GB2312" w:hAnsi="仿宋" w:eastAsia="仿宋_GB2312" w:cs="仿宋_GB2312"/>
          <w:color w:val="000000"/>
          <w:sz w:val="32"/>
          <w:szCs w:val="32"/>
        </w:rPr>
        <w:t>100%</w:t>
      </w:r>
      <w:r>
        <w:rPr>
          <w:rFonts w:hint="eastAsia" w:ascii="仿宋_GB2312" w:hAnsi="仿宋" w:eastAsia="仿宋_GB2312" w:cs="仿宋_GB2312"/>
          <w:color w:val="000000"/>
          <w:sz w:val="32"/>
          <w:szCs w:val="32"/>
        </w:rPr>
        <w:t>，</w:t>
      </w:r>
      <w:bookmarkStart w:id="52" w:name="OLE_LINK2"/>
      <w:bookmarkStart w:id="53" w:name="OLE_LINK1"/>
      <w:r>
        <w:rPr>
          <w:rFonts w:hint="eastAsia" w:ascii="仿宋_GB2312" w:hAnsi="仿宋" w:eastAsia="仿宋_GB2312" w:cs="仿宋_GB2312"/>
          <w:color w:val="000000"/>
          <w:sz w:val="32"/>
          <w:szCs w:val="32"/>
        </w:rPr>
        <w:t>决算数与预算数持平。</w:t>
      </w:r>
      <w:bookmarkEnd w:id="52"/>
      <w:bookmarkEnd w:id="53"/>
    </w:p>
    <w:p>
      <w:pPr>
        <w:spacing w:line="600" w:lineRule="exact"/>
        <w:ind w:firstLine="642" w:firstLineChars="200"/>
        <w:outlineLvl w:val="1"/>
        <w:rPr>
          <w:rFonts w:ascii="仿宋_GB2312" w:hAnsi="仿宋" w:eastAsia="仿宋_GB2312"/>
          <w:color w:val="000000"/>
          <w:sz w:val="32"/>
          <w:szCs w:val="32"/>
        </w:rPr>
      </w:pPr>
      <w:r>
        <w:rPr>
          <w:rFonts w:ascii="仿宋_GB2312" w:hAnsi="仿宋" w:eastAsia="仿宋_GB2312" w:cs="仿宋_GB2312"/>
          <w:b/>
          <w:bCs/>
          <w:color w:val="000000"/>
          <w:sz w:val="32"/>
          <w:szCs w:val="32"/>
        </w:rPr>
        <w:t>2.</w:t>
      </w:r>
      <w:r>
        <w:rPr>
          <w:rFonts w:hint="eastAsia" w:ascii="仿宋_GB2312" w:hAnsi="仿宋" w:eastAsia="仿宋_GB2312" w:cs="仿宋_GB2312"/>
          <w:b/>
          <w:bCs/>
          <w:color w:val="000000"/>
          <w:sz w:val="32"/>
          <w:szCs w:val="32"/>
        </w:rPr>
        <w:t>一般公共服务（类）财政事务（款）预算改革业务（项）</w:t>
      </w:r>
      <w:r>
        <w:rPr>
          <w:rFonts w:ascii="仿宋_GB2312" w:hAnsi="仿宋" w:eastAsia="仿宋_GB2312" w:cs="仿宋_GB2312"/>
          <w:b/>
          <w:bCs/>
          <w:color w:val="000000"/>
          <w:sz w:val="32"/>
          <w:szCs w:val="32"/>
        </w:rPr>
        <w:t>:</w:t>
      </w:r>
      <w:r>
        <w:rPr>
          <w:rFonts w:hint="eastAsia" w:ascii="仿宋_GB2312" w:hAnsi="仿宋" w:eastAsia="仿宋_GB2312" w:cs="仿宋_GB2312"/>
          <w:color w:val="000000"/>
          <w:sz w:val="32"/>
          <w:szCs w:val="32"/>
        </w:rPr>
        <w:t>支出决算为</w:t>
      </w:r>
      <w:r>
        <w:rPr>
          <w:rFonts w:ascii="仿宋_GB2312" w:hAnsi="仿宋" w:eastAsia="仿宋_GB2312" w:cs="仿宋_GB2312"/>
          <w:color w:val="000000"/>
          <w:sz w:val="32"/>
          <w:szCs w:val="32"/>
        </w:rPr>
        <w:t>9.79</w:t>
      </w:r>
      <w:r>
        <w:rPr>
          <w:rFonts w:hint="eastAsia" w:ascii="仿宋_GB2312" w:hAnsi="仿宋" w:eastAsia="仿宋_GB2312" w:cs="仿宋_GB2312"/>
          <w:color w:val="000000"/>
          <w:sz w:val="32"/>
          <w:szCs w:val="32"/>
        </w:rPr>
        <w:t>万元，完成预算</w:t>
      </w:r>
      <w:r>
        <w:rPr>
          <w:rFonts w:ascii="仿宋_GB2312" w:hAnsi="仿宋" w:eastAsia="仿宋_GB2312" w:cs="仿宋_GB2312"/>
          <w:color w:val="000000"/>
          <w:sz w:val="32"/>
          <w:szCs w:val="32"/>
        </w:rPr>
        <w:t>100%</w:t>
      </w:r>
      <w:r>
        <w:rPr>
          <w:rFonts w:hint="eastAsia" w:ascii="仿宋_GB2312" w:hAnsi="仿宋" w:eastAsia="仿宋_GB2312" w:cs="仿宋_GB2312"/>
          <w:color w:val="000000"/>
          <w:sz w:val="32"/>
          <w:szCs w:val="32"/>
        </w:rPr>
        <w:t>，决算数与预算数持平。</w:t>
      </w:r>
    </w:p>
    <w:p>
      <w:pPr>
        <w:spacing w:line="600" w:lineRule="exact"/>
        <w:ind w:firstLine="642" w:firstLineChars="200"/>
        <w:outlineLvl w:val="1"/>
        <w:rPr>
          <w:rFonts w:ascii="仿宋_GB2312" w:hAnsi="仿宋" w:eastAsia="仿宋_GB2312"/>
          <w:color w:val="000000"/>
          <w:sz w:val="32"/>
          <w:szCs w:val="32"/>
        </w:rPr>
      </w:pPr>
      <w:r>
        <w:rPr>
          <w:rFonts w:ascii="仿宋_GB2312" w:hAnsi="仿宋" w:eastAsia="仿宋_GB2312" w:cs="仿宋_GB2312"/>
          <w:b/>
          <w:bCs/>
          <w:color w:val="000000"/>
          <w:sz w:val="32"/>
          <w:szCs w:val="32"/>
        </w:rPr>
        <w:t>3.</w:t>
      </w:r>
      <w:r>
        <w:rPr>
          <w:rFonts w:hint="eastAsia" w:ascii="仿宋_GB2312" w:hAnsi="仿宋" w:eastAsia="仿宋_GB2312" w:cs="仿宋_GB2312"/>
          <w:b/>
          <w:bCs/>
          <w:color w:val="000000"/>
          <w:sz w:val="32"/>
          <w:szCs w:val="32"/>
        </w:rPr>
        <w:t>一般公共服务（类）财政事务（款）事业运行（项）</w:t>
      </w:r>
      <w:r>
        <w:rPr>
          <w:rFonts w:ascii="仿宋_GB2312" w:hAnsi="仿宋" w:eastAsia="仿宋_GB2312" w:cs="仿宋_GB2312"/>
          <w:b/>
          <w:bCs/>
          <w:color w:val="000000"/>
          <w:sz w:val="32"/>
          <w:szCs w:val="32"/>
        </w:rPr>
        <w:t>:</w:t>
      </w:r>
      <w:r>
        <w:rPr>
          <w:rFonts w:hint="eastAsia" w:ascii="仿宋_GB2312" w:hAnsi="仿宋" w:eastAsia="仿宋_GB2312" w:cs="仿宋_GB2312"/>
          <w:color w:val="000000"/>
          <w:sz w:val="32"/>
          <w:szCs w:val="32"/>
        </w:rPr>
        <w:t>支出决算为</w:t>
      </w:r>
      <w:r>
        <w:rPr>
          <w:rFonts w:ascii="仿宋_GB2312" w:hAnsi="仿宋" w:eastAsia="仿宋_GB2312" w:cs="仿宋_GB2312"/>
          <w:color w:val="000000"/>
          <w:sz w:val="32"/>
          <w:szCs w:val="32"/>
        </w:rPr>
        <w:t>140.96</w:t>
      </w:r>
      <w:r>
        <w:rPr>
          <w:rFonts w:hint="eastAsia" w:ascii="仿宋_GB2312" w:hAnsi="仿宋" w:eastAsia="仿宋_GB2312" w:cs="仿宋_GB2312"/>
          <w:color w:val="000000"/>
          <w:sz w:val="32"/>
          <w:szCs w:val="32"/>
        </w:rPr>
        <w:t>万元，完成预算</w:t>
      </w:r>
      <w:r>
        <w:rPr>
          <w:rFonts w:ascii="仿宋_GB2312" w:hAnsi="仿宋" w:eastAsia="仿宋_GB2312" w:cs="仿宋_GB2312"/>
          <w:color w:val="000000"/>
          <w:sz w:val="32"/>
          <w:szCs w:val="32"/>
        </w:rPr>
        <w:t>100%</w:t>
      </w:r>
      <w:r>
        <w:rPr>
          <w:rFonts w:hint="eastAsia" w:ascii="仿宋_GB2312" w:hAnsi="仿宋" w:eastAsia="仿宋_GB2312" w:cs="仿宋_GB2312"/>
          <w:color w:val="000000"/>
          <w:sz w:val="32"/>
          <w:szCs w:val="32"/>
        </w:rPr>
        <w:t>，决算数与预算数持平。</w:t>
      </w:r>
    </w:p>
    <w:p>
      <w:pPr>
        <w:spacing w:line="600" w:lineRule="exact"/>
        <w:ind w:firstLine="642" w:firstLineChars="200"/>
        <w:outlineLvl w:val="1"/>
        <w:rPr>
          <w:rFonts w:ascii="仿宋_GB2312" w:hAnsi="仿宋" w:eastAsia="仿宋_GB2312"/>
          <w:color w:val="000000"/>
          <w:sz w:val="32"/>
          <w:szCs w:val="32"/>
        </w:rPr>
      </w:pPr>
      <w:r>
        <w:rPr>
          <w:rFonts w:ascii="仿宋_GB2312" w:hAnsi="仿宋" w:eastAsia="仿宋_GB2312" w:cs="仿宋_GB2312"/>
          <w:b/>
          <w:bCs/>
          <w:color w:val="000000"/>
          <w:sz w:val="32"/>
          <w:szCs w:val="32"/>
        </w:rPr>
        <w:t>4.</w:t>
      </w:r>
      <w:r>
        <w:rPr>
          <w:rFonts w:hint="eastAsia" w:ascii="仿宋_GB2312" w:hAnsi="仿宋" w:eastAsia="仿宋_GB2312" w:cs="仿宋_GB2312"/>
          <w:b/>
          <w:bCs/>
          <w:color w:val="000000"/>
          <w:sz w:val="32"/>
          <w:szCs w:val="32"/>
        </w:rPr>
        <w:t>一般公共服务（类）财政事务（款）其他财政事务支出（项）</w:t>
      </w:r>
      <w:r>
        <w:rPr>
          <w:rFonts w:ascii="仿宋_GB2312" w:hAnsi="仿宋" w:eastAsia="仿宋_GB2312" w:cs="仿宋_GB2312"/>
          <w:b/>
          <w:bCs/>
          <w:color w:val="000000"/>
          <w:sz w:val="32"/>
          <w:szCs w:val="32"/>
        </w:rPr>
        <w:t>:</w:t>
      </w:r>
      <w:r>
        <w:rPr>
          <w:rFonts w:hint="eastAsia" w:ascii="仿宋_GB2312" w:hAnsi="仿宋" w:eastAsia="仿宋_GB2312" w:cs="仿宋_GB2312"/>
          <w:color w:val="000000"/>
          <w:sz w:val="32"/>
          <w:szCs w:val="32"/>
        </w:rPr>
        <w:t>支出决算为</w:t>
      </w:r>
      <w:r>
        <w:rPr>
          <w:rFonts w:ascii="仿宋_GB2312" w:hAnsi="仿宋" w:eastAsia="仿宋_GB2312" w:cs="仿宋_GB2312"/>
          <w:color w:val="000000"/>
          <w:sz w:val="32"/>
          <w:szCs w:val="32"/>
        </w:rPr>
        <w:t>23.39</w:t>
      </w:r>
      <w:r>
        <w:rPr>
          <w:rFonts w:hint="eastAsia" w:ascii="仿宋_GB2312" w:hAnsi="仿宋" w:eastAsia="仿宋_GB2312" w:cs="仿宋_GB2312"/>
          <w:color w:val="000000"/>
          <w:sz w:val="32"/>
          <w:szCs w:val="32"/>
        </w:rPr>
        <w:t>万元，完成预算</w:t>
      </w:r>
      <w:r>
        <w:rPr>
          <w:rFonts w:ascii="仿宋_GB2312" w:hAnsi="仿宋" w:eastAsia="仿宋_GB2312" w:cs="仿宋_GB2312"/>
          <w:color w:val="000000"/>
          <w:sz w:val="32"/>
          <w:szCs w:val="32"/>
        </w:rPr>
        <w:t>61.55%</w:t>
      </w:r>
      <w:r>
        <w:rPr>
          <w:rFonts w:hint="eastAsia" w:ascii="仿宋_GB2312" w:hAnsi="仿宋" w:eastAsia="仿宋_GB2312" w:cs="仿宋_GB2312"/>
          <w:color w:val="000000"/>
          <w:sz w:val="32"/>
          <w:szCs w:val="32"/>
        </w:rPr>
        <w:t>，决算数小于预算数的主要原因是项目资金结转下年使用。</w:t>
      </w:r>
    </w:p>
    <w:p>
      <w:pPr>
        <w:spacing w:line="600" w:lineRule="exact"/>
        <w:ind w:firstLine="642" w:firstLineChars="200"/>
        <w:outlineLvl w:val="1"/>
        <w:rPr>
          <w:rFonts w:ascii="仿宋_GB2312" w:hAnsi="仿宋" w:eastAsia="仿宋_GB2312"/>
          <w:color w:val="000000"/>
          <w:sz w:val="32"/>
          <w:szCs w:val="32"/>
        </w:rPr>
      </w:pPr>
      <w:r>
        <w:rPr>
          <w:rFonts w:ascii="仿宋_GB2312" w:hAnsi="仿宋" w:eastAsia="仿宋_GB2312" w:cs="仿宋_GB2312"/>
          <w:b/>
          <w:bCs/>
          <w:color w:val="000000"/>
          <w:sz w:val="32"/>
          <w:szCs w:val="32"/>
        </w:rPr>
        <w:t>5.</w:t>
      </w:r>
      <w:r>
        <w:rPr>
          <w:rFonts w:hint="eastAsia" w:ascii="仿宋_GB2312" w:hAnsi="仿宋" w:eastAsia="仿宋_GB2312" w:cs="仿宋_GB2312"/>
          <w:b/>
          <w:bCs/>
          <w:color w:val="000000"/>
          <w:sz w:val="32"/>
          <w:szCs w:val="32"/>
        </w:rPr>
        <w:t>社会保障和就业（类）行政事业单位离退休（款）机关事业单位基本养老保险缴费支出（项）</w:t>
      </w:r>
      <w:r>
        <w:rPr>
          <w:rFonts w:ascii="仿宋_GB2312" w:hAnsi="仿宋" w:eastAsia="仿宋_GB2312" w:cs="仿宋_GB2312"/>
          <w:b/>
          <w:bCs/>
          <w:color w:val="000000"/>
          <w:sz w:val="32"/>
          <w:szCs w:val="32"/>
        </w:rPr>
        <w:t>:</w:t>
      </w:r>
      <w:r>
        <w:rPr>
          <w:rFonts w:hint="eastAsia" w:ascii="仿宋_GB2312" w:hAnsi="仿宋" w:eastAsia="仿宋_GB2312" w:cs="仿宋_GB2312"/>
          <w:color w:val="000000"/>
          <w:sz w:val="32"/>
          <w:szCs w:val="32"/>
        </w:rPr>
        <w:t>支出决算为</w:t>
      </w:r>
      <w:r>
        <w:rPr>
          <w:rFonts w:ascii="仿宋_GB2312" w:hAnsi="仿宋" w:eastAsia="仿宋_GB2312" w:cs="仿宋_GB2312"/>
          <w:color w:val="000000"/>
          <w:sz w:val="32"/>
          <w:szCs w:val="32"/>
        </w:rPr>
        <w:t>39.77</w:t>
      </w:r>
      <w:r>
        <w:rPr>
          <w:rFonts w:hint="eastAsia" w:ascii="仿宋_GB2312" w:hAnsi="仿宋" w:eastAsia="仿宋_GB2312" w:cs="仿宋_GB2312"/>
          <w:color w:val="000000"/>
          <w:sz w:val="32"/>
          <w:szCs w:val="32"/>
        </w:rPr>
        <w:t>万元，完成预算</w:t>
      </w:r>
      <w:r>
        <w:rPr>
          <w:rFonts w:ascii="仿宋_GB2312" w:hAnsi="仿宋" w:eastAsia="仿宋_GB2312" w:cs="仿宋_GB2312"/>
          <w:color w:val="000000"/>
          <w:sz w:val="32"/>
          <w:szCs w:val="32"/>
        </w:rPr>
        <w:t>100%</w:t>
      </w:r>
      <w:r>
        <w:rPr>
          <w:rFonts w:hint="eastAsia" w:ascii="仿宋_GB2312" w:hAnsi="仿宋" w:eastAsia="仿宋_GB2312" w:cs="仿宋_GB2312"/>
          <w:color w:val="000000"/>
          <w:sz w:val="32"/>
          <w:szCs w:val="32"/>
        </w:rPr>
        <w:t>，决算数与预算数持平。</w:t>
      </w:r>
    </w:p>
    <w:p>
      <w:pPr>
        <w:spacing w:line="600" w:lineRule="exact"/>
        <w:ind w:firstLine="642" w:firstLineChars="200"/>
        <w:outlineLvl w:val="1"/>
        <w:rPr>
          <w:rFonts w:ascii="仿宋_GB2312" w:hAnsi="仿宋" w:eastAsia="仿宋_GB2312"/>
          <w:color w:val="000000"/>
          <w:sz w:val="32"/>
          <w:szCs w:val="32"/>
        </w:rPr>
      </w:pPr>
      <w:r>
        <w:rPr>
          <w:rFonts w:ascii="仿宋_GB2312" w:hAnsi="仿宋" w:eastAsia="仿宋_GB2312" w:cs="仿宋_GB2312"/>
          <w:b/>
          <w:bCs/>
          <w:color w:val="000000"/>
          <w:sz w:val="32"/>
          <w:szCs w:val="32"/>
        </w:rPr>
        <w:t>6.</w:t>
      </w:r>
      <w:r>
        <w:rPr>
          <w:rFonts w:hint="eastAsia" w:ascii="仿宋_GB2312" w:hAnsi="仿宋" w:eastAsia="仿宋_GB2312" w:cs="仿宋_GB2312"/>
          <w:b/>
          <w:bCs/>
          <w:color w:val="000000"/>
          <w:sz w:val="32"/>
          <w:szCs w:val="32"/>
        </w:rPr>
        <w:t>社会保障和就业（类）行政事业单位离退休（款）机关事业单位职业年金缴费支出（项）</w:t>
      </w:r>
      <w:r>
        <w:rPr>
          <w:rFonts w:ascii="仿宋_GB2312" w:hAnsi="仿宋" w:eastAsia="仿宋_GB2312" w:cs="仿宋_GB2312"/>
          <w:b/>
          <w:bCs/>
          <w:color w:val="000000"/>
          <w:sz w:val="32"/>
          <w:szCs w:val="32"/>
        </w:rPr>
        <w:t>:</w:t>
      </w:r>
      <w:r>
        <w:rPr>
          <w:rFonts w:hint="eastAsia" w:ascii="仿宋_GB2312" w:hAnsi="仿宋" w:eastAsia="仿宋_GB2312" w:cs="仿宋_GB2312"/>
          <w:color w:val="000000"/>
          <w:sz w:val="32"/>
          <w:szCs w:val="32"/>
        </w:rPr>
        <w:t>支出决算为</w:t>
      </w:r>
      <w:r>
        <w:rPr>
          <w:rFonts w:ascii="仿宋_GB2312" w:hAnsi="仿宋" w:eastAsia="仿宋_GB2312" w:cs="仿宋_GB2312"/>
          <w:color w:val="000000"/>
          <w:sz w:val="32"/>
          <w:szCs w:val="32"/>
        </w:rPr>
        <w:t>18.33</w:t>
      </w:r>
      <w:r>
        <w:rPr>
          <w:rFonts w:hint="eastAsia" w:ascii="仿宋_GB2312" w:hAnsi="仿宋" w:eastAsia="仿宋_GB2312" w:cs="仿宋_GB2312"/>
          <w:color w:val="000000"/>
          <w:sz w:val="32"/>
          <w:szCs w:val="32"/>
        </w:rPr>
        <w:t>万元，完成预算</w:t>
      </w:r>
      <w:r>
        <w:rPr>
          <w:rFonts w:ascii="仿宋_GB2312" w:hAnsi="仿宋" w:eastAsia="仿宋_GB2312" w:cs="仿宋_GB2312"/>
          <w:color w:val="000000"/>
          <w:sz w:val="32"/>
          <w:szCs w:val="32"/>
        </w:rPr>
        <w:t>100%</w:t>
      </w:r>
      <w:r>
        <w:rPr>
          <w:rFonts w:hint="eastAsia" w:ascii="仿宋_GB2312" w:hAnsi="仿宋" w:eastAsia="仿宋_GB2312" w:cs="仿宋_GB2312"/>
          <w:color w:val="000000"/>
          <w:sz w:val="32"/>
          <w:szCs w:val="32"/>
        </w:rPr>
        <w:t>，决算数与预算数持平。</w:t>
      </w:r>
    </w:p>
    <w:p>
      <w:pPr>
        <w:spacing w:line="600" w:lineRule="exact"/>
        <w:ind w:firstLine="642" w:firstLineChars="200"/>
        <w:outlineLvl w:val="1"/>
        <w:rPr>
          <w:rFonts w:ascii="仿宋_GB2312" w:hAnsi="仿宋" w:eastAsia="仿宋_GB2312"/>
          <w:color w:val="000000"/>
          <w:sz w:val="32"/>
          <w:szCs w:val="32"/>
        </w:rPr>
      </w:pPr>
      <w:r>
        <w:rPr>
          <w:rFonts w:ascii="仿宋_GB2312" w:hAnsi="仿宋" w:eastAsia="仿宋_GB2312" w:cs="仿宋_GB2312"/>
          <w:b/>
          <w:bCs/>
          <w:color w:val="000000"/>
          <w:sz w:val="32"/>
          <w:szCs w:val="32"/>
        </w:rPr>
        <w:t>7.</w:t>
      </w:r>
      <w:r>
        <w:rPr>
          <w:rFonts w:hint="eastAsia" w:ascii="仿宋_GB2312" w:hAnsi="仿宋" w:eastAsia="仿宋_GB2312" w:cs="仿宋_GB2312"/>
          <w:b/>
          <w:bCs/>
          <w:color w:val="000000"/>
          <w:sz w:val="32"/>
          <w:szCs w:val="32"/>
        </w:rPr>
        <w:t>医疗卫生与计划生育（类）行政事业单位医疗（款）行政单位医疗（项）</w:t>
      </w:r>
      <w:r>
        <w:rPr>
          <w:rFonts w:ascii="仿宋_GB2312" w:hAnsi="仿宋" w:eastAsia="仿宋_GB2312" w:cs="仿宋_GB2312"/>
          <w:b/>
          <w:bCs/>
          <w:color w:val="000000"/>
          <w:sz w:val="32"/>
          <w:szCs w:val="32"/>
        </w:rPr>
        <w:t>:</w:t>
      </w:r>
      <w:r>
        <w:rPr>
          <w:rFonts w:hint="eastAsia" w:ascii="仿宋_GB2312" w:hAnsi="仿宋" w:eastAsia="仿宋_GB2312" w:cs="仿宋_GB2312"/>
          <w:color w:val="000000"/>
          <w:sz w:val="32"/>
          <w:szCs w:val="32"/>
        </w:rPr>
        <w:t>支出决算为</w:t>
      </w:r>
      <w:r>
        <w:rPr>
          <w:rFonts w:ascii="仿宋_GB2312" w:hAnsi="仿宋" w:eastAsia="仿宋_GB2312" w:cs="仿宋_GB2312"/>
          <w:color w:val="000000"/>
          <w:sz w:val="32"/>
          <w:szCs w:val="32"/>
        </w:rPr>
        <w:t>11.70</w:t>
      </w:r>
      <w:r>
        <w:rPr>
          <w:rFonts w:hint="eastAsia" w:ascii="仿宋_GB2312" w:hAnsi="仿宋" w:eastAsia="仿宋_GB2312" w:cs="仿宋_GB2312"/>
          <w:color w:val="000000"/>
          <w:sz w:val="32"/>
          <w:szCs w:val="32"/>
        </w:rPr>
        <w:t>万元，完成预算</w:t>
      </w:r>
      <w:r>
        <w:rPr>
          <w:rFonts w:ascii="仿宋_GB2312" w:hAnsi="仿宋" w:eastAsia="仿宋_GB2312" w:cs="仿宋_GB2312"/>
          <w:color w:val="000000"/>
          <w:sz w:val="32"/>
          <w:szCs w:val="32"/>
        </w:rPr>
        <w:t>100%</w:t>
      </w:r>
      <w:r>
        <w:rPr>
          <w:rFonts w:hint="eastAsia" w:ascii="仿宋_GB2312" w:hAnsi="仿宋" w:eastAsia="仿宋_GB2312" w:cs="仿宋_GB2312"/>
          <w:color w:val="000000"/>
          <w:sz w:val="32"/>
          <w:szCs w:val="32"/>
        </w:rPr>
        <w:t>，决算数与预算数持平。</w:t>
      </w:r>
    </w:p>
    <w:p>
      <w:pPr>
        <w:spacing w:line="600" w:lineRule="exact"/>
        <w:ind w:firstLine="642" w:firstLineChars="200"/>
        <w:outlineLvl w:val="1"/>
        <w:rPr>
          <w:rFonts w:ascii="仿宋_GB2312" w:hAnsi="仿宋" w:eastAsia="仿宋_GB2312"/>
          <w:color w:val="000000"/>
          <w:sz w:val="32"/>
          <w:szCs w:val="32"/>
        </w:rPr>
      </w:pPr>
      <w:r>
        <w:rPr>
          <w:rFonts w:ascii="仿宋_GB2312" w:hAnsi="仿宋" w:eastAsia="仿宋_GB2312" w:cs="仿宋_GB2312"/>
          <w:b/>
          <w:bCs/>
          <w:color w:val="000000"/>
          <w:sz w:val="32"/>
          <w:szCs w:val="32"/>
        </w:rPr>
        <w:t>8.</w:t>
      </w:r>
      <w:r>
        <w:rPr>
          <w:rFonts w:hint="eastAsia" w:ascii="仿宋_GB2312" w:hAnsi="仿宋" w:eastAsia="仿宋_GB2312" w:cs="仿宋_GB2312"/>
          <w:b/>
          <w:bCs/>
          <w:color w:val="000000"/>
          <w:sz w:val="32"/>
          <w:szCs w:val="32"/>
        </w:rPr>
        <w:t>医疗卫生与计划生育（类）行政事业单位医疗（款）事业单位医疗（项）</w:t>
      </w:r>
      <w:r>
        <w:rPr>
          <w:rFonts w:ascii="仿宋_GB2312" w:hAnsi="仿宋" w:eastAsia="仿宋_GB2312" w:cs="仿宋_GB2312"/>
          <w:b/>
          <w:bCs/>
          <w:color w:val="000000"/>
          <w:sz w:val="32"/>
          <w:szCs w:val="32"/>
        </w:rPr>
        <w:t>:</w:t>
      </w:r>
      <w:r>
        <w:rPr>
          <w:rFonts w:hint="eastAsia" w:ascii="仿宋_GB2312" w:hAnsi="仿宋" w:eastAsia="仿宋_GB2312" w:cs="仿宋_GB2312"/>
          <w:color w:val="000000"/>
          <w:sz w:val="32"/>
          <w:szCs w:val="32"/>
        </w:rPr>
        <w:t>支出决算为</w:t>
      </w:r>
      <w:r>
        <w:rPr>
          <w:rFonts w:ascii="仿宋_GB2312" w:hAnsi="仿宋" w:eastAsia="仿宋_GB2312" w:cs="仿宋_GB2312"/>
          <w:color w:val="000000"/>
          <w:sz w:val="32"/>
          <w:szCs w:val="32"/>
        </w:rPr>
        <w:t>16.86</w:t>
      </w:r>
      <w:r>
        <w:rPr>
          <w:rFonts w:hint="eastAsia" w:ascii="仿宋_GB2312" w:hAnsi="仿宋" w:eastAsia="仿宋_GB2312" w:cs="仿宋_GB2312"/>
          <w:color w:val="000000"/>
          <w:sz w:val="32"/>
          <w:szCs w:val="32"/>
        </w:rPr>
        <w:t>万元，完成预算</w:t>
      </w:r>
      <w:r>
        <w:rPr>
          <w:rFonts w:ascii="仿宋_GB2312" w:hAnsi="仿宋" w:eastAsia="仿宋_GB2312" w:cs="仿宋_GB2312"/>
          <w:color w:val="000000"/>
          <w:sz w:val="32"/>
          <w:szCs w:val="32"/>
        </w:rPr>
        <w:t>100%</w:t>
      </w:r>
      <w:r>
        <w:rPr>
          <w:rFonts w:hint="eastAsia" w:ascii="仿宋_GB2312" w:hAnsi="仿宋" w:eastAsia="仿宋_GB2312" w:cs="仿宋_GB2312"/>
          <w:color w:val="000000"/>
          <w:sz w:val="32"/>
          <w:szCs w:val="32"/>
        </w:rPr>
        <w:t>，决算数与预算数持平。</w:t>
      </w:r>
    </w:p>
    <w:p>
      <w:pPr>
        <w:spacing w:line="600" w:lineRule="exact"/>
        <w:ind w:firstLine="642" w:firstLineChars="200"/>
        <w:outlineLvl w:val="1"/>
        <w:rPr>
          <w:rFonts w:ascii="仿宋_GB2312" w:hAnsi="仿宋" w:eastAsia="仿宋_GB2312"/>
          <w:color w:val="000000"/>
          <w:sz w:val="32"/>
          <w:szCs w:val="32"/>
        </w:rPr>
      </w:pPr>
      <w:r>
        <w:rPr>
          <w:rFonts w:ascii="仿宋_GB2312" w:hAnsi="仿宋" w:eastAsia="仿宋_GB2312" w:cs="仿宋_GB2312"/>
          <w:b/>
          <w:bCs/>
          <w:color w:val="000000"/>
          <w:sz w:val="32"/>
          <w:szCs w:val="32"/>
        </w:rPr>
        <w:t>9.</w:t>
      </w:r>
      <w:r>
        <w:rPr>
          <w:rFonts w:hint="eastAsia" w:ascii="仿宋_GB2312" w:hAnsi="仿宋" w:eastAsia="仿宋_GB2312" w:cs="仿宋_GB2312"/>
          <w:b/>
          <w:bCs/>
          <w:color w:val="000000"/>
          <w:sz w:val="32"/>
          <w:szCs w:val="32"/>
        </w:rPr>
        <w:t>农林水支出（类）扶贫（款）其他扶贫支出（项）：</w:t>
      </w:r>
      <w:r>
        <w:rPr>
          <w:rFonts w:hint="eastAsia" w:ascii="仿宋_GB2312" w:hAnsi="仿宋" w:eastAsia="仿宋_GB2312" w:cs="仿宋_GB2312"/>
          <w:color w:val="000000"/>
          <w:sz w:val="32"/>
          <w:szCs w:val="32"/>
        </w:rPr>
        <w:t>支出决算为</w:t>
      </w:r>
      <w:r>
        <w:rPr>
          <w:rFonts w:ascii="仿宋_GB2312" w:hAnsi="仿宋" w:eastAsia="仿宋_GB2312" w:cs="仿宋_GB2312"/>
          <w:color w:val="000000"/>
          <w:sz w:val="32"/>
          <w:szCs w:val="32"/>
        </w:rPr>
        <w:t>0.18</w:t>
      </w:r>
      <w:r>
        <w:rPr>
          <w:rFonts w:hint="eastAsia" w:ascii="仿宋_GB2312" w:hAnsi="仿宋" w:eastAsia="仿宋_GB2312" w:cs="仿宋_GB2312"/>
          <w:color w:val="000000"/>
          <w:sz w:val="32"/>
          <w:szCs w:val="32"/>
        </w:rPr>
        <w:t>万元，完成预算</w:t>
      </w:r>
      <w:r>
        <w:rPr>
          <w:rFonts w:ascii="仿宋_GB2312" w:hAnsi="仿宋" w:eastAsia="仿宋_GB2312" w:cs="仿宋_GB2312"/>
          <w:color w:val="000000"/>
          <w:sz w:val="32"/>
          <w:szCs w:val="32"/>
        </w:rPr>
        <w:t>100%</w:t>
      </w:r>
      <w:r>
        <w:rPr>
          <w:rFonts w:hint="eastAsia" w:ascii="仿宋_GB2312" w:hAnsi="仿宋" w:eastAsia="仿宋_GB2312" w:cs="仿宋_GB2312"/>
          <w:color w:val="000000"/>
          <w:sz w:val="32"/>
          <w:szCs w:val="32"/>
        </w:rPr>
        <w:t>，决算数与预算数持平。</w:t>
      </w:r>
    </w:p>
    <w:p>
      <w:pPr>
        <w:spacing w:line="600" w:lineRule="exact"/>
        <w:ind w:firstLine="642" w:firstLineChars="200"/>
        <w:outlineLvl w:val="1"/>
        <w:rPr>
          <w:rFonts w:ascii="仿宋_GB2312" w:hAnsi="仿宋" w:eastAsia="仿宋_GB2312"/>
          <w:color w:val="000000"/>
          <w:sz w:val="32"/>
          <w:szCs w:val="32"/>
        </w:rPr>
      </w:pPr>
      <w:r>
        <w:rPr>
          <w:rFonts w:ascii="仿宋_GB2312" w:hAnsi="仿宋" w:eastAsia="仿宋_GB2312" w:cs="仿宋_GB2312"/>
          <w:b/>
          <w:bCs/>
          <w:color w:val="000000"/>
          <w:sz w:val="32"/>
          <w:szCs w:val="32"/>
        </w:rPr>
        <w:t>10.</w:t>
      </w:r>
      <w:r>
        <w:rPr>
          <w:rFonts w:hint="eastAsia" w:ascii="仿宋_GB2312" w:hAnsi="仿宋" w:eastAsia="仿宋_GB2312" w:cs="仿宋_GB2312"/>
          <w:b/>
          <w:bCs/>
          <w:color w:val="000000"/>
          <w:sz w:val="32"/>
          <w:szCs w:val="32"/>
        </w:rPr>
        <w:t>农林水支出（类）普惠金融发展支出（款）其他普惠金融发展支出（项）：</w:t>
      </w:r>
      <w:r>
        <w:rPr>
          <w:rFonts w:hint="eastAsia" w:ascii="仿宋_GB2312" w:hAnsi="仿宋" w:eastAsia="仿宋_GB2312" w:cs="仿宋_GB2312"/>
          <w:color w:val="000000"/>
          <w:sz w:val="32"/>
          <w:szCs w:val="32"/>
        </w:rPr>
        <w:t>支出决算为</w:t>
      </w:r>
      <w:r>
        <w:rPr>
          <w:rFonts w:ascii="仿宋_GB2312" w:hAnsi="仿宋" w:eastAsia="仿宋_GB2312" w:cs="仿宋_GB2312"/>
          <w:color w:val="000000"/>
          <w:sz w:val="32"/>
          <w:szCs w:val="32"/>
        </w:rPr>
        <w:t>7.20</w:t>
      </w:r>
      <w:r>
        <w:rPr>
          <w:rFonts w:hint="eastAsia" w:ascii="仿宋_GB2312" w:hAnsi="仿宋" w:eastAsia="仿宋_GB2312" w:cs="仿宋_GB2312"/>
          <w:color w:val="000000"/>
          <w:sz w:val="32"/>
          <w:szCs w:val="32"/>
        </w:rPr>
        <w:t>万元，完成预算</w:t>
      </w:r>
      <w:r>
        <w:rPr>
          <w:rFonts w:ascii="仿宋_GB2312" w:hAnsi="仿宋" w:eastAsia="仿宋_GB2312" w:cs="仿宋_GB2312"/>
          <w:color w:val="000000"/>
          <w:sz w:val="32"/>
          <w:szCs w:val="32"/>
        </w:rPr>
        <w:t>100%</w:t>
      </w:r>
      <w:r>
        <w:rPr>
          <w:rFonts w:hint="eastAsia" w:ascii="仿宋_GB2312" w:hAnsi="仿宋" w:eastAsia="仿宋_GB2312" w:cs="仿宋_GB2312"/>
          <w:color w:val="000000"/>
          <w:sz w:val="32"/>
          <w:szCs w:val="32"/>
        </w:rPr>
        <w:t>，决算数与预算数持平。</w:t>
      </w:r>
    </w:p>
    <w:p>
      <w:pPr>
        <w:spacing w:line="600" w:lineRule="exact"/>
        <w:ind w:firstLine="642" w:firstLineChars="200"/>
        <w:outlineLvl w:val="1"/>
        <w:rPr>
          <w:rFonts w:ascii="仿宋" w:hAnsi="仿宋" w:eastAsia="仿宋"/>
          <w:b/>
          <w:bCs/>
          <w:color w:val="000000"/>
          <w:sz w:val="32"/>
          <w:szCs w:val="32"/>
        </w:rPr>
      </w:pPr>
      <w:r>
        <w:rPr>
          <w:rFonts w:ascii="仿宋_GB2312" w:hAnsi="仿宋" w:eastAsia="仿宋_GB2312" w:cs="仿宋_GB2312"/>
          <w:b/>
          <w:bCs/>
          <w:color w:val="000000"/>
          <w:sz w:val="32"/>
          <w:szCs w:val="32"/>
        </w:rPr>
        <w:t>11.</w:t>
      </w:r>
      <w:r>
        <w:rPr>
          <w:rFonts w:hint="eastAsia" w:ascii="仿宋_GB2312" w:hAnsi="仿宋" w:eastAsia="仿宋_GB2312" w:cs="仿宋_GB2312"/>
          <w:b/>
          <w:bCs/>
          <w:color w:val="000000"/>
          <w:sz w:val="32"/>
          <w:szCs w:val="32"/>
        </w:rPr>
        <w:t>住房保障支出（类）住房改革支出（款）住房公积金（项）：</w:t>
      </w:r>
      <w:r>
        <w:rPr>
          <w:rFonts w:hint="eastAsia" w:ascii="仿宋_GB2312" w:hAnsi="仿宋" w:eastAsia="仿宋_GB2312" w:cs="仿宋_GB2312"/>
          <w:color w:val="000000"/>
          <w:sz w:val="32"/>
          <w:szCs w:val="32"/>
        </w:rPr>
        <w:t>支出决算为</w:t>
      </w:r>
      <w:r>
        <w:rPr>
          <w:rFonts w:ascii="仿宋_GB2312" w:hAnsi="仿宋" w:eastAsia="仿宋_GB2312" w:cs="仿宋_GB2312"/>
          <w:color w:val="000000"/>
          <w:sz w:val="32"/>
          <w:szCs w:val="32"/>
        </w:rPr>
        <w:t>38.36</w:t>
      </w:r>
      <w:r>
        <w:rPr>
          <w:rFonts w:hint="eastAsia" w:ascii="仿宋_GB2312" w:hAnsi="仿宋" w:eastAsia="仿宋_GB2312" w:cs="仿宋_GB2312"/>
          <w:color w:val="000000"/>
          <w:sz w:val="32"/>
          <w:szCs w:val="32"/>
        </w:rPr>
        <w:t>万元，完成预算</w:t>
      </w:r>
      <w:r>
        <w:rPr>
          <w:rFonts w:ascii="仿宋_GB2312" w:hAnsi="仿宋" w:eastAsia="仿宋_GB2312" w:cs="仿宋_GB2312"/>
          <w:color w:val="000000"/>
          <w:sz w:val="32"/>
          <w:szCs w:val="32"/>
        </w:rPr>
        <w:t>100%</w:t>
      </w:r>
      <w:r>
        <w:rPr>
          <w:rFonts w:hint="eastAsia" w:ascii="仿宋_GB2312" w:hAnsi="仿宋" w:eastAsia="仿宋_GB2312" w:cs="仿宋_GB2312"/>
          <w:color w:val="000000"/>
          <w:sz w:val="32"/>
          <w:szCs w:val="32"/>
        </w:rPr>
        <w:t>，决算数与预算数持平。</w:t>
      </w:r>
    </w:p>
    <w:p>
      <w:pPr>
        <w:tabs>
          <w:tab w:val="right" w:pos="8306"/>
        </w:tabs>
        <w:spacing w:line="600" w:lineRule="exact"/>
        <w:ind w:firstLine="640"/>
        <w:outlineLvl w:val="1"/>
        <w:rPr>
          <w:rStyle w:val="17"/>
        </w:rPr>
      </w:pPr>
      <w:bookmarkStart w:id="54" w:name="_Toc15377214"/>
      <w:bookmarkStart w:id="55" w:name="_Toc15396608"/>
      <w:r>
        <w:rPr>
          <w:rFonts w:hint="eastAsia" w:ascii="黑体" w:eastAsia="黑体" w:cs="黑体"/>
          <w:color w:val="000000"/>
          <w:sz w:val="32"/>
          <w:szCs w:val="32"/>
        </w:rPr>
        <w:t>六</w:t>
      </w:r>
      <w:r>
        <w:rPr>
          <w:rFonts w:hint="eastAsia" w:ascii="黑体" w:eastAsia="黑体" w:cs="黑体"/>
          <w:b/>
          <w:bCs/>
          <w:color w:val="000000"/>
          <w:sz w:val="32"/>
          <w:szCs w:val="32"/>
        </w:rPr>
        <w:t>、</w:t>
      </w:r>
      <w:r>
        <w:rPr>
          <w:rFonts w:hint="eastAsia" w:ascii="黑体" w:hAnsi="黑体" w:eastAsia="黑体" w:cs="黑体"/>
          <w:b/>
          <w:bCs/>
          <w:color w:val="000000"/>
          <w:sz w:val="32"/>
          <w:szCs w:val="32"/>
        </w:rPr>
        <w:t>一</w:t>
      </w:r>
      <w:r>
        <w:rPr>
          <w:rStyle w:val="17"/>
          <w:rFonts w:hint="eastAsia" w:ascii="黑体" w:hAnsi="黑体" w:eastAsia="黑体" w:cs="黑体"/>
          <w:b w:val="0"/>
          <w:bCs w:val="0"/>
        </w:rPr>
        <w:t>般公共预算财政拨款基本支出决算情况说明</w:t>
      </w:r>
      <w:bookmarkEnd w:id="54"/>
      <w:bookmarkEnd w:id="55"/>
      <w:r>
        <w:rPr>
          <w:rStyle w:val="17"/>
          <w:rFonts w:ascii="黑体" w:hAnsi="黑体" w:eastAsia="黑体" w:cs="Times New Roman"/>
          <w:b w:val="0"/>
          <w:bCs w:val="0"/>
        </w:rPr>
        <w:tab/>
      </w:r>
    </w:p>
    <w:p>
      <w:pPr>
        <w:spacing w:line="600" w:lineRule="exact"/>
        <w:ind w:firstLine="640" w:firstLineChars="200"/>
        <w:outlineLvl w:val="1"/>
        <w:rPr>
          <w:rFonts w:ascii="仿宋_GB2312" w:hAnsi="仿宋" w:eastAsia="仿宋_GB2312"/>
          <w:color w:val="000000"/>
          <w:sz w:val="32"/>
          <w:szCs w:val="32"/>
        </w:rPr>
      </w:pPr>
      <w:r>
        <w:rPr>
          <w:rFonts w:ascii="仿宋_GB2312" w:hAnsi="仿宋" w:eastAsia="仿宋_GB2312" w:cs="仿宋_GB2312"/>
          <w:color w:val="000000"/>
          <w:sz w:val="32"/>
          <w:szCs w:val="32"/>
        </w:rPr>
        <w:t>2019</w:t>
      </w:r>
      <w:r>
        <w:rPr>
          <w:rFonts w:hint="eastAsia" w:ascii="仿宋_GB2312" w:hAnsi="仿宋" w:eastAsia="仿宋_GB2312" w:cs="仿宋_GB2312"/>
          <w:color w:val="000000"/>
          <w:sz w:val="32"/>
          <w:szCs w:val="32"/>
        </w:rPr>
        <w:t>年一般公共预算财政拨款基本支出</w:t>
      </w:r>
      <w:r>
        <w:rPr>
          <w:rFonts w:ascii="仿宋_GB2312" w:hAnsi="仿宋" w:eastAsia="仿宋_GB2312" w:cs="仿宋_GB2312"/>
          <w:color w:val="000000"/>
          <w:sz w:val="32"/>
          <w:szCs w:val="32"/>
        </w:rPr>
        <w:t>547.49</w:t>
      </w:r>
      <w:r>
        <w:rPr>
          <w:rFonts w:hint="eastAsia" w:ascii="仿宋_GB2312" w:hAnsi="仿宋" w:eastAsia="仿宋_GB2312" w:cs="仿宋_GB2312"/>
          <w:color w:val="000000"/>
          <w:sz w:val="32"/>
          <w:szCs w:val="32"/>
        </w:rPr>
        <w:t>万元，其中：</w:t>
      </w:r>
    </w:p>
    <w:p>
      <w:pPr>
        <w:spacing w:line="600" w:lineRule="exact"/>
        <w:ind w:firstLine="640" w:firstLineChars="200"/>
        <w:outlineLvl w:val="1"/>
        <w:rPr>
          <w:rFonts w:ascii="仿宋_GB2312" w:hAnsi="仿宋" w:eastAsia="仿宋_GB2312"/>
          <w:color w:val="000000"/>
          <w:sz w:val="32"/>
          <w:szCs w:val="32"/>
        </w:rPr>
      </w:pPr>
      <w:r>
        <w:rPr>
          <w:rFonts w:hint="eastAsia" w:ascii="仿宋_GB2312" w:hAnsi="仿宋" w:eastAsia="仿宋_GB2312" w:cs="仿宋_GB2312"/>
          <w:color w:val="000000"/>
          <w:sz w:val="32"/>
          <w:szCs w:val="32"/>
        </w:rPr>
        <w:t>人员经费</w:t>
      </w:r>
      <w:r>
        <w:rPr>
          <w:rFonts w:ascii="仿宋_GB2312" w:hAnsi="仿宋" w:eastAsia="仿宋_GB2312" w:cs="仿宋_GB2312"/>
          <w:color w:val="000000"/>
          <w:sz w:val="32"/>
          <w:szCs w:val="32"/>
        </w:rPr>
        <w:t>521.61</w:t>
      </w:r>
      <w:r>
        <w:rPr>
          <w:rFonts w:hint="eastAsia" w:ascii="仿宋_GB2312" w:hAnsi="仿宋" w:eastAsia="仿宋_GB2312" w:cs="仿宋_GB2312"/>
          <w:color w:val="000000"/>
          <w:sz w:val="32"/>
          <w:szCs w:val="32"/>
        </w:rPr>
        <w:t>万元，主要包括：基本工资、津贴补贴、奖金、绩效工资、机关事业单位基本养老保险缴费、职业年金缴费、其他社会保障缴费、离休费、抚恤金、生活补助、奖励金、住房公积金。</w:t>
      </w:r>
    </w:p>
    <w:p>
      <w:pPr>
        <w:spacing w:line="600" w:lineRule="exact"/>
        <w:ind w:firstLine="640" w:firstLineChars="200"/>
        <w:outlineLvl w:val="1"/>
        <w:rPr>
          <w:rFonts w:ascii="仿宋_GB2312" w:hAnsi="仿宋" w:eastAsia="仿宋_GB2312"/>
          <w:color w:val="000000"/>
          <w:sz w:val="32"/>
          <w:szCs w:val="32"/>
        </w:rPr>
      </w:pPr>
      <w:r>
        <w:rPr>
          <w:rFonts w:hint="eastAsia" w:ascii="仿宋_GB2312" w:hAnsi="仿宋" w:eastAsia="仿宋_GB2312" w:cs="仿宋_GB2312"/>
          <w:color w:val="000000"/>
          <w:sz w:val="32"/>
          <w:szCs w:val="32"/>
        </w:rPr>
        <w:t>日常公用经费</w:t>
      </w:r>
      <w:r>
        <w:rPr>
          <w:rFonts w:ascii="仿宋_GB2312" w:hAnsi="仿宋" w:eastAsia="仿宋_GB2312" w:cs="仿宋_GB2312"/>
          <w:color w:val="000000"/>
          <w:sz w:val="32"/>
          <w:szCs w:val="32"/>
        </w:rPr>
        <w:t>25.88</w:t>
      </w:r>
      <w:r>
        <w:rPr>
          <w:rFonts w:hint="eastAsia" w:ascii="仿宋_GB2312" w:hAnsi="仿宋" w:eastAsia="仿宋_GB2312" w:cs="仿宋_GB2312"/>
          <w:color w:val="000000"/>
          <w:sz w:val="32"/>
          <w:szCs w:val="32"/>
        </w:rPr>
        <w:t>万元，主要包括：办公费、手续费、水费、电费、邮电费、差旅费、维修（护）费、培训费、公务接待费、公务用车运行维护费等。</w:t>
      </w:r>
    </w:p>
    <w:p>
      <w:pPr>
        <w:spacing w:line="600" w:lineRule="exact"/>
        <w:ind w:firstLine="640"/>
        <w:rPr>
          <w:rFonts w:ascii="黑体" w:eastAsia="黑体"/>
          <w:sz w:val="32"/>
          <w:szCs w:val="32"/>
        </w:rPr>
      </w:pPr>
      <w:bookmarkStart w:id="56" w:name="_Toc15396609"/>
      <w:bookmarkStart w:id="57" w:name="_Toc15377215"/>
      <w:r>
        <w:rPr>
          <w:rFonts w:hint="eastAsia" w:ascii="黑体" w:eastAsia="黑体" w:cs="黑体"/>
          <w:sz w:val="32"/>
          <w:szCs w:val="32"/>
        </w:rPr>
        <w:t>七、</w:t>
      </w:r>
      <w:r>
        <w:rPr>
          <w:rFonts w:hint="eastAsia" w:ascii="黑体" w:eastAsia="黑体" w:cs="黑体"/>
          <w:b/>
          <w:bCs/>
          <w:sz w:val="32"/>
          <w:szCs w:val="32"/>
        </w:rPr>
        <w:t>“</w:t>
      </w:r>
      <w:r>
        <w:rPr>
          <w:rFonts w:hint="eastAsia" w:ascii="黑体" w:eastAsia="黑体" w:cs="黑体"/>
          <w:sz w:val="32"/>
          <w:szCs w:val="32"/>
        </w:rPr>
        <w:t>三公”经费财政拨款支出决算情况说明</w:t>
      </w:r>
      <w:bookmarkEnd w:id="56"/>
      <w:bookmarkEnd w:id="57"/>
    </w:p>
    <w:p>
      <w:pPr>
        <w:spacing w:line="600" w:lineRule="exact"/>
        <w:ind w:firstLine="640"/>
        <w:rPr>
          <w:rFonts w:ascii="楷体_GB2312" w:eastAsia="楷体_GB2312"/>
          <w:b/>
          <w:bCs/>
          <w:sz w:val="32"/>
          <w:szCs w:val="32"/>
        </w:rPr>
      </w:pPr>
      <w:bookmarkStart w:id="58" w:name="_Toc15377216"/>
      <w:r>
        <w:rPr>
          <w:rFonts w:hint="eastAsia" w:ascii="楷体_GB2312" w:eastAsia="楷体_GB2312" w:cs="楷体_GB2312"/>
          <w:b/>
          <w:bCs/>
          <w:sz w:val="32"/>
          <w:szCs w:val="32"/>
        </w:rPr>
        <w:t>（一）“三公”经费财政拨款支出决算总体情况说明</w:t>
      </w:r>
      <w:bookmarkEnd w:id="58"/>
    </w:p>
    <w:p>
      <w:pPr>
        <w:spacing w:line="600" w:lineRule="exact"/>
        <w:ind w:firstLine="640"/>
        <w:rPr>
          <w:rFonts w:ascii="仿宋_GB2312" w:hAnsi="仿宋" w:eastAsia="仿宋_GB2312"/>
          <w:color w:val="000000"/>
          <w:sz w:val="32"/>
          <w:szCs w:val="32"/>
        </w:rPr>
      </w:pPr>
      <w:r>
        <w:rPr>
          <w:rFonts w:ascii="仿宋_GB2312" w:hAnsi="仿宋" w:eastAsia="仿宋_GB2312" w:cs="仿宋_GB2312"/>
          <w:color w:val="000000"/>
          <w:sz w:val="32"/>
          <w:szCs w:val="32"/>
        </w:rPr>
        <w:t>2019</w:t>
      </w:r>
      <w:r>
        <w:rPr>
          <w:rFonts w:hint="eastAsia" w:ascii="仿宋_GB2312" w:hAnsi="仿宋" w:eastAsia="仿宋_GB2312" w:cs="仿宋_GB2312"/>
          <w:color w:val="000000"/>
          <w:sz w:val="32"/>
          <w:szCs w:val="32"/>
        </w:rPr>
        <w:t>年“三公”经费财政拨款支出决算为</w:t>
      </w:r>
      <w:r>
        <w:rPr>
          <w:rFonts w:ascii="仿宋_GB2312" w:hAnsi="仿宋" w:eastAsia="仿宋_GB2312" w:cs="仿宋_GB2312"/>
          <w:color w:val="000000"/>
          <w:sz w:val="32"/>
          <w:szCs w:val="32"/>
        </w:rPr>
        <w:t>7.96</w:t>
      </w:r>
      <w:r>
        <w:rPr>
          <w:rFonts w:hint="eastAsia" w:ascii="仿宋_GB2312" w:hAnsi="仿宋" w:eastAsia="仿宋_GB2312" w:cs="仿宋_GB2312"/>
          <w:color w:val="000000"/>
          <w:sz w:val="32"/>
          <w:szCs w:val="32"/>
        </w:rPr>
        <w:t>万元，完成预算</w:t>
      </w:r>
      <w:r>
        <w:rPr>
          <w:rFonts w:ascii="仿宋_GB2312" w:hAnsi="仿宋" w:eastAsia="仿宋_GB2312" w:cs="仿宋_GB2312"/>
          <w:color w:val="000000"/>
          <w:sz w:val="32"/>
          <w:szCs w:val="32"/>
        </w:rPr>
        <w:t>100%</w:t>
      </w:r>
      <w:r>
        <w:rPr>
          <w:rFonts w:hint="eastAsia" w:ascii="仿宋_GB2312" w:hAnsi="仿宋" w:eastAsia="仿宋_GB2312" w:cs="仿宋_GB2312"/>
          <w:color w:val="000000"/>
          <w:sz w:val="32"/>
          <w:szCs w:val="32"/>
        </w:rPr>
        <w:t>，</w:t>
      </w:r>
      <w:bookmarkStart w:id="59" w:name="_Toc15377217"/>
      <w:r>
        <w:rPr>
          <w:rFonts w:hint="eastAsia" w:ascii="仿宋_GB2312" w:hAnsi="仿宋" w:eastAsia="仿宋_GB2312" w:cs="仿宋_GB2312"/>
          <w:color w:val="000000"/>
          <w:sz w:val="32"/>
          <w:szCs w:val="32"/>
        </w:rPr>
        <w:t>决算数与预算数持平的主要原因是后期进行预算调整。</w:t>
      </w:r>
    </w:p>
    <w:p>
      <w:pPr>
        <w:spacing w:line="600" w:lineRule="exact"/>
        <w:ind w:firstLine="640"/>
        <w:rPr>
          <w:rFonts w:ascii="楷体_GB2312" w:eastAsia="楷体_GB2312"/>
          <w:b/>
          <w:bCs/>
          <w:sz w:val="32"/>
          <w:szCs w:val="32"/>
        </w:rPr>
      </w:pPr>
      <w:r>
        <w:rPr>
          <w:rFonts w:hint="eastAsia" w:ascii="楷体_GB2312" w:eastAsia="楷体_GB2312" w:cs="楷体_GB2312"/>
          <w:b/>
          <w:bCs/>
          <w:sz w:val="32"/>
          <w:szCs w:val="32"/>
        </w:rPr>
        <w:t>（二）“三公”经费财政拨款支出决算具体情况说明</w:t>
      </w:r>
      <w:bookmarkEnd w:id="59"/>
    </w:p>
    <w:p>
      <w:pPr>
        <w:spacing w:line="600" w:lineRule="exact"/>
        <w:ind w:firstLine="640"/>
        <w:rPr>
          <w:rFonts w:ascii="仿宋_GB2312" w:hAnsi="仿宋" w:eastAsia="仿宋_GB2312"/>
          <w:color w:val="000000"/>
          <w:sz w:val="32"/>
          <w:szCs w:val="32"/>
        </w:rPr>
      </w:pPr>
      <w:r>
        <w:rPr>
          <w:rFonts w:ascii="仿宋_GB2312" w:hAnsi="仿宋" w:eastAsia="仿宋_GB2312" w:cs="仿宋_GB2312"/>
          <w:color w:val="000000"/>
          <w:sz w:val="32"/>
          <w:szCs w:val="32"/>
        </w:rPr>
        <w:t>2019</w:t>
      </w:r>
      <w:r>
        <w:rPr>
          <w:rFonts w:hint="eastAsia" w:ascii="仿宋_GB2312" w:hAnsi="仿宋" w:eastAsia="仿宋_GB2312" w:cs="仿宋_GB2312"/>
          <w:color w:val="000000"/>
          <w:sz w:val="32"/>
          <w:szCs w:val="32"/>
        </w:rPr>
        <w:t>年“三公”经费财政拨款支出决算中，因公出国（境）费支出决算</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万元，占</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；公务用车购置及运行维护费支出决算</w:t>
      </w:r>
      <w:r>
        <w:rPr>
          <w:rFonts w:ascii="仿宋_GB2312" w:hAnsi="仿宋" w:eastAsia="仿宋_GB2312" w:cs="仿宋_GB2312"/>
          <w:color w:val="000000"/>
          <w:sz w:val="32"/>
          <w:szCs w:val="32"/>
        </w:rPr>
        <w:t>7.50</w:t>
      </w:r>
      <w:r>
        <w:rPr>
          <w:rFonts w:hint="eastAsia" w:ascii="仿宋_GB2312" w:hAnsi="仿宋" w:eastAsia="仿宋_GB2312" w:cs="仿宋_GB2312"/>
          <w:color w:val="000000"/>
          <w:sz w:val="32"/>
          <w:szCs w:val="32"/>
        </w:rPr>
        <w:t>万元，占</w:t>
      </w:r>
      <w:r>
        <w:rPr>
          <w:rFonts w:ascii="仿宋_GB2312" w:hAnsi="仿宋" w:eastAsia="仿宋_GB2312" w:cs="仿宋_GB2312"/>
          <w:color w:val="000000"/>
          <w:sz w:val="32"/>
          <w:szCs w:val="32"/>
        </w:rPr>
        <w:t>94%</w:t>
      </w:r>
      <w:r>
        <w:rPr>
          <w:rFonts w:hint="eastAsia" w:ascii="仿宋_GB2312" w:hAnsi="仿宋" w:eastAsia="仿宋_GB2312" w:cs="仿宋_GB2312"/>
          <w:color w:val="000000"/>
          <w:sz w:val="32"/>
          <w:szCs w:val="32"/>
        </w:rPr>
        <w:t>；公务接待费支出决算</w:t>
      </w:r>
      <w:r>
        <w:rPr>
          <w:rFonts w:ascii="仿宋_GB2312" w:hAnsi="仿宋" w:eastAsia="仿宋_GB2312" w:cs="仿宋_GB2312"/>
          <w:color w:val="000000"/>
          <w:sz w:val="32"/>
          <w:szCs w:val="32"/>
        </w:rPr>
        <w:t>0.46</w:t>
      </w:r>
      <w:r>
        <w:rPr>
          <w:rFonts w:hint="eastAsia" w:ascii="仿宋_GB2312" w:hAnsi="仿宋" w:eastAsia="仿宋_GB2312" w:cs="仿宋_GB2312"/>
          <w:color w:val="000000"/>
          <w:sz w:val="32"/>
          <w:szCs w:val="32"/>
        </w:rPr>
        <w:t>万元，占</w:t>
      </w:r>
      <w:r>
        <w:rPr>
          <w:rFonts w:ascii="仿宋_GB2312" w:hAnsi="仿宋" w:eastAsia="仿宋_GB2312" w:cs="仿宋_GB2312"/>
          <w:color w:val="000000"/>
          <w:sz w:val="32"/>
          <w:szCs w:val="32"/>
        </w:rPr>
        <w:t>6%</w:t>
      </w:r>
      <w:r>
        <w:rPr>
          <w:rFonts w:hint="eastAsia" w:ascii="仿宋_GB2312" w:hAnsi="仿宋" w:eastAsia="仿宋_GB2312" w:cs="仿宋_GB2312"/>
          <w:color w:val="000000"/>
          <w:sz w:val="32"/>
          <w:szCs w:val="32"/>
        </w:rPr>
        <w:t>。具体情况如下：</w:t>
      </w:r>
    </w:p>
    <w:p>
      <w:pPr>
        <w:spacing w:line="600" w:lineRule="exact"/>
        <w:ind w:firstLine="640"/>
        <w:rPr>
          <w:rFonts w:ascii="仿宋_GB2312" w:hAnsi="仿宋" w:eastAsia="仿宋_GB2312"/>
          <w:color w:val="000000"/>
          <w:sz w:val="32"/>
          <w:szCs w:val="32"/>
        </w:rPr>
      </w:pPr>
      <w:r>
        <w:pict>
          <v:shape id="_x0000_s1032" o:spid="_x0000_s1032" o:spt="75" type="#_x0000_t75" style="position:absolute;left:0pt;margin-left:15.75pt;margin-top:39.6pt;height:248.25pt;width:426pt;mso-wrap-distance-left:9pt;mso-wrap-distance-right:9pt;z-index:-251652096;mso-width-relative:page;mso-height-relative:page;" filled="f" o:preferrelative="t" stroked="f" coordsize="21600,21600" wrapcoords="114 326 114 21208 21410 21208 21410 326 114 326">
            <v:path/>
            <v:fill on="f" focussize="0,0"/>
            <v:stroke on="f" joinstyle="miter"/>
            <v:imagedata r:id="rId11" o:title=""/>
            <o:lock v:ext="edit" aspectratio="t"/>
            <w10:wrap type="tight"/>
          </v:shape>
        </w:pict>
      </w:r>
      <w:r>
        <w:rPr>
          <w:rFonts w:hint="eastAsia" w:ascii="仿宋_GB2312" w:hAnsi="仿宋" w:eastAsia="仿宋_GB2312" w:cs="仿宋_GB2312"/>
          <w:color w:val="000000"/>
          <w:sz w:val="32"/>
          <w:szCs w:val="32"/>
        </w:rPr>
        <w:t>图</w:t>
      </w:r>
      <w:r>
        <w:rPr>
          <w:rFonts w:ascii="仿宋_GB2312" w:hAnsi="仿宋" w:eastAsia="仿宋_GB2312" w:cs="仿宋_GB2312"/>
          <w:color w:val="000000"/>
          <w:sz w:val="32"/>
          <w:szCs w:val="32"/>
        </w:rPr>
        <w:t>7</w:t>
      </w:r>
      <w:r>
        <w:rPr>
          <w:rFonts w:hint="eastAsia" w:ascii="仿宋_GB2312" w:hAnsi="仿宋" w:eastAsia="仿宋_GB2312" w:cs="仿宋_GB2312"/>
          <w:color w:val="000000"/>
          <w:sz w:val="32"/>
          <w:szCs w:val="32"/>
        </w:rPr>
        <w:t>：“三公”经费财政拨款支出结构（饼状图）</w:t>
      </w:r>
    </w:p>
    <w:p>
      <w:pPr>
        <w:spacing w:line="600" w:lineRule="exact"/>
        <w:rPr>
          <w:rFonts w:ascii="仿宋_GB2312" w:hAnsi="仿宋" w:eastAsia="仿宋_GB2312"/>
          <w:color w:val="000000"/>
          <w:sz w:val="32"/>
          <w:szCs w:val="32"/>
        </w:rPr>
      </w:pPr>
    </w:p>
    <w:p>
      <w:pPr>
        <w:spacing w:line="600" w:lineRule="exact"/>
        <w:ind w:firstLine="640"/>
        <w:rPr>
          <w:rFonts w:ascii="仿宋_GB2312" w:eastAsia="仿宋_GB2312"/>
          <w:color w:val="000000"/>
          <w:sz w:val="32"/>
          <w:szCs w:val="32"/>
        </w:rPr>
      </w:pPr>
      <w:r>
        <w:rPr>
          <w:rFonts w:ascii="仿宋_GB2312" w:eastAsia="仿宋_GB2312" w:cs="仿宋_GB2312"/>
          <w:b/>
          <w:bCs/>
          <w:color w:val="000000"/>
          <w:sz w:val="32"/>
          <w:szCs w:val="32"/>
        </w:rPr>
        <w:t>1.</w:t>
      </w:r>
      <w:r>
        <w:rPr>
          <w:rFonts w:hint="eastAsia" w:ascii="仿宋_GB2312" w:eastAsia="仿宋_GB2312" w:cs="仿宋_GB2312"/>
          <w:b/>
          <w:bCs/>
          <w:color w:val="000000"/>
          <w:sz w:val="32"/>
          <w:szCs w:val="32"/>
        </w:rPr>
        <w:t>因公出国（境）经费支出</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万元，完成预算</w:t>
      </w:r>
      <w:r>
        <w:rPr>
          <w:rFonts w:ascii="仿宋_GB2312" w:eastAsia="仿宋_GB2312" w:cs="仿宋_GB2312"/>
          <w:color w:val="000000"/>
          <w:sz w:val="32"/>
          <w:szCs w:val="32"/>
        </w:rPr>
        <w:t>0%</w:t>
      </w:r>
      <w:r>
        <w:rPr>
          <w:rFonts w:hint="eastAsia" w:ascii="仿宋_GB2312" w:eastAsia="仿宋_GB2312" w:cs="仿宋_GB2312"/>
          <w:color w:val="000000"/>
          <w:sz w:val="32"/>
          <w:szCs w:val="32"/>
        </w:rPr>
        <w:t>。全年安排因公出国（境）团组</w:t>
      </w:r>
      <w:r>
        <w:rPr>
          <w:rFonts w:ascii="仿宋_GB2312" w:eastAsia="仿宋_GB2312" w:cs="仿宋_GB2312"/>
          <w:color w:val="000000"/>
          <w:sz w:val="32"/>
          <w:szCs w:val="32"/>
        </w:rPr>
        <w:t>0</w:t>
      </w:r>
      <w:r>
        <w:rPr>
          <w:rFonts w:hint="eastAsia" w:ascii="仿宋_GB2312" w:eastAsia="仿宋_GB2312" w:cs="仿宋_GB2312"/>
          <w:color w:val="000000"/>
          <w:sz w:val="32"/>
          <w:szCs w:val="32"/>
        </w:rPr>
        <w:t>次，出国（境）</w:t>
      </w:r>
      <w:r>
        <w:rPr>
          <w:rFonts w:ascii="仿宋_GB2312" w:eastAsia="仿宋_GB2312" w:cs="仿宋_GB2312"/>
          <w:color w:val="000000"/>
          <w:sz w:val="32"/>
          <w:szCs w:val="32"/>
        </w:rPr>
        <w:t>0</w:t>
      </w:r>
      <w:r>
        <w:rPr>
          <w:rFonts w:hint="eastAsia" w:ascii="仿宋_GB2312" w:eastAsia="仿宋_GB2312" w:cs="仿宋_GB2312"/>
          <w:color w:val="000000"/>
          <w:sz w:val="32"/>
          <w:szCs w:val="32"/>
        </w:rPr>
        <w:t>人。因公出国（境）支出决算比</w:t>
      </w:r>
      <w:r>
        <w:rPr>
          <w:rFonts w:ascii="仿宋_GB2312" w:eastAsia="仿宋_GB2312" w:cs="仿宋_GB2312"/>
          <w:color w:val="000000"/>
          <w:sz w:val="32"/>
          <w:szCs w:val="32"/>
        </w:rPr>
        <w:t>2018</w:t>
      </w:r>
      <w:r>
        <w:rPr>
          <w:rFonts w:hint="eastAsia" w:ascii="仿宋_GB2312" w:eastAsia="仿宋_GB2312" w:cs="仿宋_GB2312"/>
          <w:color w:val="000000"/>
          <w:sz w:val="32"/>
          <w:szCs w:val="32"/>
        </w:rPr>
        <w:t>年无增减。</w:t>
      </w:r>
    </w:p>
    <w:p>
      <w:pPr>
        <w:spacing w:line="600" w:lineRule="exact"/>
        <w:ind w:firstLine="640"/>
        <w:rPr>
          <w:rFonts w:ascii="仿宋_GB2312" w:eastAsia="仿宋_GB2312"/>
          <w:b/>
          <w:bCs/>
          <w:color w:val="000000"/>
          <w:sz w:val="32"/>
          <w:szCs w:val="32"/>
        </w:rPr>
      </w:pPr>
      <w:r>
        <w:rPr>
          <w:rFonts w:ascii="仿宋_GB2312" w:eastAsia="仿宋_GB2312" w:cs="仿宋_GB2312"/>
          <w:b/>
          <w:bCs/>
          <w:color w:val="000000"/>
          <w:sz w:val="32"/>
          <w:szCs w:val="32"/>
        </w:rPr>
        <w:t>2.</w:t>
      </w:r>
      <w:r>
        <w:rPr>
          <w:rFonts w:hint="eastAsia" w:ascii="仿宋_GB2312" w:eastAsia="仿宋_GB2312" w:cs="仿宋_GB2312"/>
          <w:b/>
          <w:bCs/>
          <w:color w:val="000000"/>
          <w:sz w:val="32"/>
          <w:szCs w:val="32"/>
        </w:rPr>
        <w:t>公务用车购置及运行维护费支出</w:t>
      </w:r>
      <w:r>
        <w:rPr>
          <w:rFonts w:ascii="仿宋_GB2312" w:eastAsia="仿宋_GB2312" w:cs="仿宋_GB2312"/>
          <w:color w:val="000000"/>
          <w:sz w:val="32"/>
          <w:szCs w:val="32"/>
        </w:rPr>
        <w:t>7.50</w:t>
      </w:r>
      <w:r>
        <w:rPr>
          <w:rFonts w:hint="eastAsia" w:ascii="仿宋_GB2312" w:eastAsia="仿宋_GB2312" w:cs="仿宋_GB2312"/>
          <w:color w:val="000000"/>
          <w:sz w:val="32"/>
          <w:szCs w:val="32"/>
        </w:rPr>
        <w:t>万元</w:t>
      </w:r>
      <w:r>
        <w:rPr>
          <w:rFonts w:ascii="仿宋_GB2312" w:eastAsia="仿宋_GB2312" w:cs="仿宋_GB2312"/>
          <w:color w:val="000000"/>
          <w:sz w:val="32"/>
          <w:szCs w:val="32"/>
        </w:rPr>
        <w:t>,</w:t>
      </w:r>
      <w:r>
        <w:rPr>
          <w:rFonts w:hint="eastAsia" w:ascii="仿宋_GB2312" w:eastAsia="仿宋_GB2312" w:cs="仿宋_GB2312"/>
          <w:color w:val="000000"/>
          <w:sz w:val="32"/>
          <w:szCs w:val="32"/>
        </w:rPr>
        <w:t>完成预算</w:t>
      </w:r>
      <w:r>
        <w:rPr>
          <w:rFonts w:ascii="仿宋_GB2312" w:eastAsia="仿宋_GB2312" w:cs="仿宋_GB2312"/>
          <w:color w:val="000000"/>
          <w:sz w:val="32"/>
          <w:szCs w:val="32"/>
        </w:rPr>
        <w:t>94.22%</w:t>
      </w:r>
      <w:r>
        <w:rPr>
          <w:rFonts w:hint="eastAsia" w:ascii="仿宋_GB2312" w:eastAsia="仿宋_GB2312" w:cs="仿宋_GB2312"/>
          <w:color w:val="000000"/>
          <w:sz w:val="32"/>
          <w:szCs w:val="32"/>
        </w:rPr>
        <w:t>。公务用车购置及运行维护费支出决算比</w:t>
      </w:r>
      <w:r>
        <w:rPr>
          <w:rFonts w:ascii="仿宋_GB2312" w:eastAsia="仿宋_GB2312" w:cs="仿宋_GB2312"/>
          <w:color w:val="000000"/>
          <w:sz w:val="32"/>
          <w:szCs w:val="32"/>
        </w:rPr>
        <w:t>2018</w:t>
      </w:r>
      <w:r>
        <w:rPr>
          <w:rFonts w:hint="eastAsia" w:ascii="仿宋_GB2312" w:eastAsia="仿宋_GB2312" w:cs="仿宋_GB2312"/>
          <w:color w:val="000000"/>
          <w:sz w:val="32"/>
          <w:szCs w:val="32"/>
        </w:rPr>
        <w:t>年增加</w:t>
      </w:r>
      <w:r>
        <w:rPr>
          <w:rFonts w:ascii="仿宋_GB2312" w:eastAsia="仿宋_GB2312" w:cs="仿宋_GB2312"/>
          <w:color w:val="000000"/>
          <w:sz w:val="32"/>
          <w:szCs w:val="32"/>
        </w:rPr>
        <w:t>0.51</w:t>
      </w:r>
      <w:r>
        <w:rPr>
          <w:rFonts w:hint="eastAsia" w:ascii="仿宋_GB2312" w:eastAsia="仿宋_GB2312" w:cs="仿宋_GB2312"/>
          <w:color w:val="000000"/>
          <w:sz w:val="32"/>
          <w:szCs w:val="32"/>
        </w:rPr>
        <w:t>万元，增长</w:t>
      </w:r>
      <w:r>
        <w:rPr>
          <w:rFonts w:ascii="仿宋_GB2312" w:eastAsia="仿宋_GB2312" w:cs="仿宋_GB2312"/>
          <w:color w:val="000000"/>
          <w:sz w:val="32"/>
          <w:szCs w:val="32"/>
        </w:rPr>
        <w:t>7.30%</w:t>
      </w:r>
      <w:r>
        <w:rPr>
          <w:rFonts w:hint="eastAsia" w:ascii="仿宋_GB2312" w:eastAsia="仿宋_GB2312" w:cs="仿宋_GB2312"/>
          <w:color w:val="000000"/>
          <w:sz w:val="32"/>
          <w:szCs w:val="32"/>
        </w:rPr>
        <w:t>。主要原因是车辆维修。</w:t>
      </w:r>
    </w:p>
    <w:p>
      <w:pPr>
        <w:spacing w:line="600" w:lineRule="exac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其中：</w:t>
      </w:r>
      <w:r>
        <w:rPr>
          <w:rFonts w:hint="eastAsia" w:ascii="仿宋_GB2312" w:eastAsia="仿宋_GB2312" w:cs="仿宋_GB2312"/>
          <w:b/>
          <w:bCs/>
          <w:color w:val="000000"/>
          <w:sz w:val="32"/>
          <w:szCs w:val="32"/>
        </w:rPr>
        <w:t>公务用车购置支出</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万元。全年按规定更新购置公务用车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辆，金额</w:t>
      </w:r>
      <w:r>
        <w:rPr>
          <w:rFonts w:ascii="仿宋_GB2312" w:eastAsia="仿宋_GB2312" w:cs="仿宋_GB2312"/>
          <w:color w:val="000000"/>
          <w:sz w:val="32"/>
          <w:szCs w:val="32"/>
        </w:rPr>
        <w:t>0</w:t>
      </w:r>
      <w:r>
        <w:rPr>
          <w:rFonts w:hint="eastAsia" w:ascii="仿宋_GB2312" w:eastAsia="仿宋_GB2312" w:cs="仿宋_GB2312"/>
          <w:color w:val="000000"/>
          <w:sz w:val="32"/>
          <w:szCs w:val="32"/>
        </w:rPr>
        <w:t>元。截至</w:t>
      </w:r>
      <w:r>
        <w:rPr>
          <w:rFonts w:ascii="仿宋_GB2312" w:eastAsia="仿宋_GB2312" w:cs="仿宋_GB2312"/>
          <w:color w:val="000000"/>
          <w:sz w:val="32"/>
          <w:szCs w:val="32"/>
        </w:rPr>
        <w:t>2019</w:t>
      </w:r>
      <w:r>
        <w:rPr>
          <w:rFonts w:hint="eastAsia" w:ascii="仿宋_GB2312" w:eastAsia="仿宋_GB2312" w:cs="仿宋_GB2312"/>
          <w:color w:val="000000"/>
          <w:sz w:val="32"/>
          <w:szCs w:val="32"/>
        </w:rPr>
        <w:t>年</w:t>
      </w:r>
      <w:r>
        <w:rPr>
          <w:rFonts w:ascii="仿宋_GB2312" w:eastAsia="仿宋_GB2312" w:cs="仿宋_GB2312"/>
          <w:color w:val="000000"/>
          <w:sz w:val="32"/>
          <w:szCs w:val="32"/>
        </w:rPr>
        <w:t>12</w:t>
      </w:r>
      <w:r>
        <w:rPr>
          <w:rFonts w:hint="eastAsia" w:ascii="仿宋_GB2312" w:eastAsia="仿宋_GB2312" w:cs="仿宋_GB2312"/>
          <w:color w:val="000000"/>
          <w:sz w:val="32"/>
          <w:szCs w:val="32"/>
        </w:rPr>
        <w:t>月底，单位共有公务用车</w:t>
      </w:r>
      <w:r>
        <w:rPr>
          <w:rFonts w:ascii="仿宋_GB2312" w:eastAsia="仿宋_GB2312" w:cs="仿宋_GB2312"/>
          <w:color w:val="000000"/>
          <w:sz w:val="32"/>
          <w:szCs w:val="32"/>
        </w:rPr>
        <w:t>2</w:t>
      </w:r>
      <w:r>
        <w:rPr>
          <w:rFonts w:hint="eastAsia" w:ascii="仿宋_GB2312" w:eastAsia="仿宋_GB2312" w:cs="仿宋_GB2312"/>
          <w:color w:val="000000"/>
          <w:sz w:val="32"/>
          <w:szCs w:val="32"/>
        </w:rPr>
        <w:t>辆，其中：主要领导干部用车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辆、机要通信用车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辆、应急保障用车</w:t>
      </w:r>
      <w:r>
        <w:rPr>
          <w:rFonts w:ascii="仿宋_GB2312" w:eastAsia="仿宋_GB2312" w:cs="仿宋_GB2312"/>
          <w:color w:val="000000"/>
          <w:sz w:val="32"/>
          <w:szCs w:val="32"/>
        </w:rPr>
        <w:t>2</w:t>
      </w:r>
      <w:r>
        <w:rPr>
          <w:rFonts w:hint="eastAsia" w:ascii="仿宋_GB2312" w:eastAsia="仿宋_GB2312" w:cs="仿宋_GB2312"/>
          <w:color w:val="000000"/>
          <w:sz w:val="32"/>
          <w:szCs w:val="32"/>
        </w:rPr>
        <w:t>辆、执法执勤用车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w:t>
      </w:r>
    </w:p>
    <w:p>
      <w:pPr>
        <w:spacing w:line="600" w:lineRule="exact"/>
        <w:ind w:firstLine="640"/>
        <w:rPr>
          <w:rFonts w:ascii="仿宋_GB2312" w:eastAsia="仿宋_GB2312"/>
          <w:color w:val="000000"/>
          <w:sz w:val="32"/>
          <w:szCs w:val="32"/>
        </w:rPr>
      </w:pPr>
      <w:r>
        <w:rPr>
          <w:rFonts w:hint="eastAsia" w:ascii="仿宋_GB2312" w:eastAsia="仿宋_GB2312" w:cs="仿宋_GB2312"/>
          <w:b/>
          <w:bCs/>
          <w:color w:val="000000"/>
          <w:sz w:val="32"/>
          <w:szCs w:val="32"/>
        </w:rPr>
        <w:t>公务用车运行维护费支出</w:t>
      </w:r>
      <w:r>
        <w:rPr>
          <w:rFonts w:ascii="仿宋_GB2312" w:eastAsia="仿宋_GB2312" w:cs="仿宋_GB2312"/>
          <w:color w:val="000000"/>
          <w:sz w:val="32"/>
          <w:szCs w:val="32"/>
        </w:rPr>
        <w:t>7.50</w:t>
      </w:r>
      <w:r>
        <w:rPr>
          <w:rFonts w:hint="eastAsia" w:ascii="仿宋_GB2312" w:eastAsia="仿宋_GB2312" w:cs="仿宋_GB2312"/>
          <w:color w:val="000000"/>
          <w:sz w:val="32"/>
          <w:szCs w:val="32"/>
        </w:rPr>
        <w:t>万元。主要用于下乡、出差等所需的公务用车燃料费、维修费、过路费、保险费等支出。</w:t>
      </w:r>
    </w:p>
    <w:p>
      <w:pPr>
        <w:spacing w:line="600" w:lineRule="exact"/>
        <w:ind w:firstLine="640"/>
        <w:rPr>
          <w:rFonts w:ascii="仿宋_GB2312" w:eastAsia="仿宋_GB2312"/>
          <w:color w:val="000000"/>
          <w:sz w:val="32"/>
          <w:szCs w:val="32"/>
        </w:rPr>
      </w:pPr>
      <w:r>
        <w:rPr>
          <w:rFonts w:ascii="仿宋_GB2312" w:eastAsia="仿宋_GB2312" w:cs="仿宋_GB2312"/>
          <w:b/>
          <w:bCs/>
          <w:color w:val="000000"/>
          <w:sz w:val="32"/>
          <w:szCs w:val="32"/>
        </w:rPr>
        <w:t>3.</w:t>
      </w:r>
      <w:r>
        <w:rPr>
          <w:rFonts w:hint="eastAsia" w:ascii="仿宋_GB2312" w:eastAsia="仿宋_GB2312" w:cs="仿宋_GB2312"/>
          <w:b/>
          <w:bCs/>
          <w:color w:val="000000"/>
          <w:sz w:val="32"/>
          <w:szCs w:val="32"/>
        </w:rPr>
        <w:t>公务接待费支出</w:t>
      </w:r>
      <w:r>
        <w:rPr>
          <w:rFonts w:ascii="仿宋_GB2312" w:eastAsia="仿宋_GB2312" w:cs="仿宋_GB2312"/>
          <w:color w:val="000000"/>
          <w:sz w:val="32"/>
          <w:szCs w:val="32"/>
        </w:rPr>
        <w:t>0.46</w:t>
      </w:r>
      <w:r>
        <w:rPr>
          <w:rFonts w:hint="eastAsia" w:ascii="仿宋_GB2312" w:eastAsia="仿宋_GB2312" w:cs="仿宋_GB2312"/>
          <w:color w:val="000000"/>
          <w:sz w:val="32"/>
          <w:szCs w:val="32"/>
        </w:rPr>
        <w:t>万元，完成预算</w:t>
      </w:r>
      <w:r>
        <w:rPr>
          <w:rFonts w:ascii="仿宋_GB2312" w:eastAsia="仿宋_GB2312" w:cs="仿宋_GB2312"/>
          <w:color w:val="000000"/>
          <w:sz w:val="32"/>
          <w:szCs w:val="32"/>
        </w:rPr>
        <w:t>4%</w:t>
      </w:r>
      <w:r>
        <w:rPr>
          <w:rFonts w:hint="eastAsia" w:ascii="仿宋_GB2312" w:eastAsia="仿宋_GB2312" w:cs="仿宋_GB2312"/>
          <w:color w:val="000000"/>
          <w:sz w:val="32"/>
          <w:szCs w:val="32"/>
        </w:rPr>
        <w:t>。公务接待费支出决算比</w:t>
      </w:r>
      <w:r>
        <w:rPr>
          <w:rFonts w:ascii="仿宋_GB2312" w:eastAsia="仿宋_GB2312" w:cs="仿宋_GB2312"/>
          <w:color w:val="000000"/>
          <w:sz w:val="32"/>
          <w:szCs w:val="32"/>
        </w:rPr>
        <w:t>2018</w:t>
      </w:r>
      <w:r>
        <w:rPr>
          <w:rFonts w:hint="eastAsia" w:ascii="仿宋_GB2312" w:eastAsia="仿宋_GB2312" w:cs="仿宋_GB2312"/>
          <w:color w:val="000000"/>
          <w:sz w:val="32"/>
          <w:szCs w:val="32"/>
        </w:rPr>
        <w:t>年减少</w:t>
      </w:r>
      <w:r>
        <w:rPr>
          <w:rFonts w:ascii="仿宋_GB2312" w:eastAsia="仿宋_GB2312" w:cs="仿宋_GB2312"/>
          <w:color w:val="000000"/>
          <w:sz w:val="32"/>
          <w:szCs w:val="32"/>
        </w:rPr>
        <w:t>0.63</w:t>
      </w:r>
      <w:r>
        <w:rPr>
          <w:rFonts w:hint="eastAsia" w:ascii="仿宋_GB2312" w:eastAsia="仿宋_GB2312" w:cs="仿宋_GB2312"/>
          <w:color w:val="000000"/>
          <w:sz w:val="32"/>
          <w:szCs w:val="32"/>
        </w:rPr>
        <w:t>万元，下降</w:t>
      </w:r>
      <w:r>
        <w:rPr>
          <w:rFonts w:ascii="仿宋_GB2312" w:eastAsia="仿宋_GB2312" w:cs="仿宋_GB2312"/>
          <w:color w:val="000000"/>
          <w:sz w:val="32"/>
          <w:szCs w:val="32"/>
        </w:rPr>
        <w:t>57.80%</w:t>
      </w:r>
      <w:r>
        <w:rPr>
          <w:rFonts w:hint="eastAsia" w:ascii="仿宋_GB2312" w:eastAsia="仿宋_GB2312" w:cs="仿宋_GB2312"/>
          <w:color w:val="000000"/>
          <w:sz w:val="32"/>
          <w:szCs w:val="32"/>
        </w:rPr>
        <w:t>。主要原因是积极贯彻落实中央八项规定及省委省政府十项规定要求，加强公务接待日常管理。其中：</w:t>
      </w:r>
    </w:p>
    <w:p>
      <w:pPr>
        <w:spacing w:line="600" w:lineRule="exact"/>
        <w:ind w:firstLine="640"/>
        <w:rPr>
          <w:rFonts w:ascii="仿宋_GB2312" w:eastAsia="仿宋_GB2312"/>
          <w:color w:val="000000"/>
          <w:sz w:val="32"/>
          <w:szCs w:val="32"/>
        </w:rPr>
      </w:pPr>
      <w:r>
        <w:rPr>
          <w:rFonts w:hint="eastAsia" w:ascii="楷体_GB2312" w:hAnsi="仿宋" w:eastAsia="楷体_GB2312" w:cs="楷体_GB2312"/>
          <w:b/>
          <w:bCs/>
          <w:color w:val="000000"/>
          <w:sz w:val="32"/>
          <w:szCs w:val="32"/>
        </w:rPr>
        <w:t>国内公务接待支出</w:t>
      </w:r>
      <w:r>
        <w:rPr>
          <w:rFonts w:ascii="仿宋_GB2312" w:eastAsia="仿宋_GB2312" w:cs="仿宋_GB2312"/>
          <w:color w:val="000000"/>
          <w:sz w:val="32"/>
          <w:szCs w:val="32"/>
        </w:rPr>
        <w:t>0.46</w:t>
      </w:r>
      <w:r>
        <w:rPr>
          <w:rFonts w:hint="eastAsia" w:ascii="仿宋_GB2312" w:eastAsia="仿宋_GB2312" w:cs="仿宋_GB2312"/>
          <w:color w:val="000000"/>
          <w:sz w:val="32"/>
          <w:szCs w:val="32"/>
        </w:rPr>
        <w:t>万元，主要用于执行公务、开展业务活动开支的交通费、住宿费、用餐费等。国内公务接待</w:t>
      </w:r>
      <w:r>
        <w:rPr>
          <w:rFonts w:ascii="仿宋_GB2312" w:eastAsia="仿宋_GB2312" w:cs="仿宋_GB2312"/>
          <w:color w:val="000000"/>
          <w:sz w:val="32"/>
          <w:szCs w:val="32"/>
        </w:rPr>
        <w:t>15</w:t>
      </w:r>
      <w:r>
        <w:rPr>
          <w:rFonts w:hint="eastAsia" w:ascii="仿宋_GB2312" w:eastAsia="仿宋_GB2312" w:cs="仿宋_GB2312"/>
          <w:color w:val="000000"/>
          <w:sz w:val="32"/>
          <w:szCs w:val="32"/>
        </w:rPr>
        <w:t>批次，</w:t>
      </w:r>
      <w:r>
        <w:rPr>
          <w:rFonts w:ascii="仿宋_GB2312" w:eastAsia="仿宋_GB2312" w:cs="仿宋_GB2312"/>
          <w:color w:val="000000"/>
          <w:sz w:val="32"/>
          <w:szCs w:val="32"/>
        </w:rPr>
        <w:t>50</w:t>
      </w:r>
      <w:r>
        <w:rPr>
          <w:rFonts w:hint="eastAsia" w:ascii="仿宋_GB2312" w:eastAsia="仿宋_GB2312" w:cs="仿宋_GB2312"/>
          <w:color w:val="000000"/>
          <w:sz w:val="32"/>
          <w:szCs w:val="32"/>
        </w:rPr>
        <w:t>人次（不包括陪同人员），共计支出</w:t>
      </w:r>
      <w:r>
        <w:rPr>
          <w:rFonts w:ascii="仿宋_GB2312" w:eastAsia="仿宋_GB2312" w:cs="仿宋_GB2312"/>
          <w:color w:val="000000"/>
          <w:sz w:val="32"/>
          <w:szCs w:val="32"/>
        </w:rPr>
        <w:t>0.46</w:t>
      </w:r>
      <w:r>
        <w:rPr>
          <w:rFonts w:hint="eastAsia" w:ascii="仿宋_GB2312" w:eastAsia="仿宋_GB2312" w:cs="仿宋_GB2312"/>
          <w:color w:val="000000"/>
          <w:sz w:val="32"/>
          <w:szCs w:val="32"/>
        </w:rPr>
        <w:t>万元，具体内容包括：下乡扶贫检查、外出开会等。</w:t>
      </w:r>
    </w:p>
    <w:p>
      <w:pPr>
        <w:spacing w:line="600" w:lineRule="exact"/>
        <w:ind w:firstLine="642" w:firstLineChars="200"/>
        <w:rPr>
          <w:rFonts w:ascii="仿宋_GB2312" w:eastAsia="仿宋_GB2312"/>
          <w:color w:val="000000"/>
          <w:sz w:val="32"/>
          <w:szCs w:val="32"/>
        </w:rPr>
      </w:pPr>
      <w:r>
        <w:rPr>
          <w:rFonts w:hint="eastAsia" w:ascii="仿宋_GB2312" w:hAnsi="仿宋" w:eastAsia="仿宋_GB2312" w:cs="仿宋_GB2312"/>
          <w:b/>
          <w:bCs/>
          <w:color w:val="000000"/>
          <w:sz w:val="32"/>
          <w:szCs w:val="32"/>
        </w:rPr>
        <w:t>外事接待支出</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万元，外事接待</w:t>
      </w:r>
      <w:r>
        <w:rPr>
          <w:rFonts w:ascii="仿宋_GB2312" w:eastAsia="仿宋_GB2312" w:cs="仿宋_GB2312"/>
          <w:color w:val="000000"/>
          <w:sz w:val="32"/>
          <w:szCs w:val="32"/>
        </w:rPr>
        <w:t>0</w:t>
      </w:r>
      <w:r>
        <w:rPr>
          <w:rFonts w:hint="eastAsia" w:ascii="仿宋_GB2312" w:eastAsia="仿宋_GB2312" w:cs="仿宋_GB2312"/>
          <w:color w:val="000000"/>
          <w:sz w:val="32"/>
          <w:szCs w:val="32"/>
        </w:rPr>
        <w:t>批次，</w:t>
      </w:r>
      <w:r>
        <w:rPr>
          <w:rFonts w:ascii="仿宋_GB2312" w:eastAsia="仿宋_GB2312" w:cs="仿宋_GB2312"/>
          <w:color w:val="000000"/>
          <w:sz w:val="32"/>
          <w:szCs w:val="32"/>
        </w:rPr>
        <w:t>0</w:t>
      </w:r>
      <w:r>
        <w:rPr>
          <w:rFonts w:hint="eastAsia" w:ascii="仿宋_GB2312" w:eastAsia="仿宋_GB2312" w:cs="仿宋_GB2312"/>
          <w:color w:val="000000"/>
          <w:sz w:val="32"/>
          <w:szCs w:val="32"/>
        </w:rPr>
        <w:t>人，共计支出</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w:t>
      </w:r>
    </w:p>
    <w:p>
      <w:pPr>
        <w:spacing w:line="600" w:lineRule="exact"/>
        <w:ind w:firstLine="640"/>
        <w:outlineLvl w:val="1"/>
        <w:rPr>
          <w:rStyle w:val="17"/>
          <w:rFonts w:ascii="黑体" w:hAnsi="黑体" w:eastAsia="黑体" w:cs="Times New Roman"/>
        </w:rPr>
      </w:pPr>
      <w:bookmarkStart w:id="60" w:name="_Toc15377218"/>
      <w:bookmarkStart w:id="61" w:name="_Toc15396610"/>
      <w:r>
        <w:rPr>
          <w:rFonts w:hint="eastAsia" w:ascii="黑体" w:eastAsia="黑体" w:cs="黑体"/>
          <w:color w:val="000000"/>
          <w:sz w:val="32"/>
          <w:szCs w:val="32"/>
        </w:rPr>
        <w:t>八、</w:t>
      </w:r>
      <w:r>
        <w:rPr>
          <w:rStyle w:val="17"/>
          <w:rFonts w:hint="eastAsia" w:ascii="黑体" w:hAnsi="黑体" w:eastAsia="黑体" w:cs="黑体"/>
          <w:b w:val="0"/>
          <w:bCs w:val="0"/>
        </w:rPr>
        <w:t>政府性基金预算支出决算情况说明</w:t>
      </w:r>
      <w:bookmarkEnd w:id="60"/>
      <w:bookmarkEnd w:id="61"/>
    </w:p>
    <w:p>
      <w:pPr>
        <w:spacing w:line="600" w:lineRule="exact"/>
        <w:ind w:firstLine="640"/>
        <w:rPr>
          <w:rFonts w:ascii="仿宋_GB2312" w:eastAsia="仿宋_GB2312"/>
          <w:color w:val="000000"/>
          <w:sz w:val="32"/>
          <w:szCs w:val="32"/>
        </w:rPr>
      </w:pPr>
      <w:r>
        <w:rPr>
          <w:rFonts w:ascii="仿宋_GB2312" w:eastAsia="仿宋_GB2312" w:cs="仿宋_GB2312"/>
          <w:color w:val="000000"/>
          <w:sz w:val="32"/>
          <w:szCs w:val="32"/>
        </w:rPr>
        <w:t>2019</w:t>
      </w:r>
      <w:r>
        <w:rPr>
          <w:rFonts w:hint="eastAsia" w:ascii="仿宋_GB2312" w:eastAsia="仿宋_GB2312" w:cs="仿宋_GB2312"/>
          <w:color w:val="000000"/>
          <w:sz w:val="32"/>
          <w:szCs w:val="32"/>
        </w:rPr>
        <w:t>年无政府性基金预算拨款支出。</w:t>
      </w:r>
    </w:p>
    <w:p>
      <w:pPr>
        <w:numPr>
          <w:ilvl w:val="0"/>
          <w:numId w:val="3"/>
        </w:numPr>
        <w:spacing w:line="600" w:lineRule="exact"/>
        <w:ind w:firstLine="640"/>
        <w:outlineLvl w:val="1"/>
        <w:rPr>
          <w:rStyle w:val="17"/>
          <w:rFonts w:ascii="黑体" w:hAnsi="黑体" w:eastAsia="黑体" w:cs="Times New Roman"/>
          <w:b w:val="0"/>
          <w:bCs w:val="0"/>
        </w:rPr>
      </w:pPr>
      <w:bookmarkStart w:id="62" w:name="_Toc15396611"/>
      <w:bookmarkStart w:id="63" w:name="_Toc15377219"/>
      <w:r>
        <w:rPr>
          <w:rStyle w:val="17"/>
          <w:rFonts w:hint="eastAsia" w:ascii="黑体" w:hAnsi="黑体" w:eastAsia="黑体" w:cs="黑体"/>
          <w:b w:val="0"/>
          <w:bCs w:val="0"/>
        </w:rPr>
        <w:t>国有资本经营预算支出决算情况说明</w:t>
      </w:r>
      <w:bookmarkEnd w:id="62"/>
      <w:bookmarkEnd w:id="63"/>
    </w:p>
    <w:p>
      <w:pPr>
        <w:spacing w:line="600" w:lineRule="exact"/>
        <w:ind w:firstLine="640"/>
        <w:rPr>
          <w:rFonts w:ascii="仿宋_GB2312" w:eastAsia="仿宋_GB2312"/>
          <w:color w:val="000000"/>
          <w:sz w:val="32"/>
          <w:szCs w:val="32"/>
        </w:rPr>
      </w:pPr>
      <w:r>
        <w:rPr>
          <w:rFonts w:ascii="仿宋_GB2312" w:eastAsia="仿宋_GB2312" w:cs="仿宋_GB2312"/>
          <w:color w:val="000000"/>
          <w:sz w:val="32"/>
          <w:szCs w:val="32"/>
        </w:rPr>
        <w:t>2019</w:t>
      </w:r>
      <w:r>
        <w:rPr>
          <w:rFonts w:hint="eastAsia" w:ascii="仿宋_GB2312" w:eastAsia="仿宋_GB2312" w:cs="仿宋_GB2312"/>
          <w:color w:val="000000"/>
          <w:sz w:val="32"/>
          <w:szCs w:val="32"/>
        </w:rPr>
        <w:t>年无国有资本经营预算拨款支出。</w:t>
      </w:r>
    </w:p>
    <w:p>
      <w:pPr>
        <w:spacing w:line="600" w:lineRule="exact"/>
        <w:ind w:firstLine="800" w:firstLineChars="250"/>
        <w:outlineLvl w:val="1"/>
        <w:rPr>
          <w:rStyle w:val="17"/>
          <w:rFonts w:ascii="黑体" w:hAnsi="黑体" w:eastAsia="黑体" w:cs="Times New Roman"/>
        </w:rPr>
      </w:pPr>
      <w:bookmarkStart w:id="64" w:name="_Toc15377221"/>
      <w:bookmarkStart w:id="65" w:name="_Toc15396612"/>
      <w:r>
        <w:rPr>
          <w:rFonts w:hint="eastAsia" w:ascii="黑体" w:hAnsi="黑体" w:eastAsia="黑体" w:cs="黑体"/>
          <w:color w:val="000000"/>
          <w:sz w:val="32"/>
          <w:szCs w:val="32"/>
        </w:rPr>
        <w:t>十</w:t>
      </w:r>
      <w:r>
        <w:rPr>
          <w:rStyle w:val="17"/>
          <w:rFonts w:hint="eastAsia" w:ascii="黑体" w:hAnsi="黑体" w:eastAsia="黑体" w:cs="黑体"/>
        </w:rPr>
        <w:t>、</w:t>
      </w:r>
      <w:r>
        <w:rPr>
          <w:rStyle w:val="17"/>
          <w:rFonts w:hint="eastAsia" w:ascii="黑体" w:hAnsi="黑体" w:eastAsia="黑体" w:cs="黑体"/>
          <w:b w:val="0"/>
          <w:bCs w:val="0"/>
        </w:rPr>
        <w:t>其他重要事项的情况说明</w:t>
      </w:r>
      <w:bookmarkEnd w:id="64"/>
      <w:bookmarkEnd w:id="65"/>
    </w:p>
    <w:p>
      <w:pPr>
        <w:spacing w:line="600" w:lineRule="exact"/>
        <w:ind w:firstLine="642" w:firstLineChars="200"/>
        <w:outlineLvl w:val="2"/>
        <w:rPr>
          <w:rFonts w:ascii="楷体_GB2312" w:hAnsi="仿宋" w:eastAsia="楷体_GB2312"/>
          <w:color w:val="000000"/>
          <w:sz w:val="32"/>
          <w:szCs w:val="32"/>
        </w:rPr>
      </w:pPr>
      <w:bookmarkStart w:id="66" w:name="_Toc15377222"/>
      <w:r>
        <w:rPr>
          <w:rFonts w:hint="eastAsia" w:ascii="楷体_GB2312" w:hAnsi="仿宋" w:eastAsia="楷体_GB2312" w:cs="楷体_GB2312"/>
          <w:b/>
          <w:bCs/>
          <w:color w:val="000000"/>
          <w:sz w:val="32"/>
          <w:szCs w:val="32"/>
        </w:rPr>
        <w:t>（一）机关运行经费支出情况</w:t>
      </w:r>
      <w:bookmarkEnd w:id="66"/>
    </w:p>
    <w:p>
      <w:pPr>
        <w:spacing w:line="600" w:lineRule="exact"/>
        <w:ind w:firstLine="640" w:firstLineChars="200"/>
        <w:rPr>
          <w:rFonts w:ascii="仿宋" w:hAnsi="仿宋" w:eastAsia="仿宋"/>
          <w:b/>
          <w:bCs/>
          <w:color w:val="FF0000"/>
          <w:sz w:val="32"/>
          <w:szCs w:val="32"/>
        </w:rPr>
      </w:pPr>
      <w:r>
        <w:rPr>
          <w:rFonts w:ascii="仿宋_GB2312" w:eastAsia="仿宋_GB2312" w:cs="仿宋_GB2312"/>
          <w:color w:val="000000"/>
          <w:sz w:val="32"/>
          <w:szCs w:val="32"/>
        </w:rPr>
        <w:t>2019</w:t>
      </w:r>
      <w:r>
        <w:rPr>
          <w:rFonts w:hint="eastAsia" w:ascii="仿宋_GB2312" w:eastAsia="仿宋_GB2312" w:cs="仿宋_GB2312"/>
          <w:color w:val="000000"/>
          <w:sz w:val="32"/>
          <w:szCs w:val="32"/>
        </w:rPr>
        <w:t>年，财政局机关运行经费支出</w:t>
      </w:r>
      <w:r>
        <w:rPr>
          <w:rFonts w:ascii="仿宋_GB2312" w:eastAsia="仿宋_GB2312" w:cs="仿宋_GB2312"/>
          <w:color w:val="000000"/>
          <w:sz w:val="32"/>
          <w:szCs w:val="32"/>
        </w:rPr>
        <w:t>14.03</w:t>
      </w:r>
      <w:r>
        <w:rPr>
          <w:rFonts w:hint="eastAsia" w:ascii="仿宋_GB2312" w:eastAsia="仿宋_GB2312" w:cs="仿宋_GB2312"/>
          <w:color w:val="000000"/>
          <w:sz w:val="32"/>
          <w:szCs w:val="32"/>
        </w:rPr>
        <w:t>万元，比</w:t>
      </w:r>
      <w:r>
        <w:rPr>
          <w:rFonts w:ascii="仿宋_GB2312" w:eastAsia="仿宋_GB2312" w:cs="仿宋_GB2312"/>
          <w:color w:val="000000"/>
          <w:sz w:val="32"/>
          <w:szCs w:val="32"/>
        </w:rPr>
        <w:t>2018</w:t>
      </w:r>
      <w:r>
        <w:rPr>
          <w:rFonts w:hint="eastAsia" w:ascii="仿宋_GB2312" w:eastAsia="仿宋_GB2312" w:cs="仿宋_GB2312"/>
          <w:color w:val="000000"/>
          <w:sz w:val="32"/>
          <w:szCs w:val="32"/>
        </w:rPr>
        <w:t>年减少</w:t>
      </w:r>
      <w:r>
        <w:rPr>
          <w:rFonts w:ascii="仿宋_GB2312" w:eastAsia="仿宋_GB2312" w:cs="仿宋_GB2312"/>
          <w:color w:val="000000"/>
          <w:sz w:val="32"/>
          <w:szCs w:val="32"/>
        </w:rPr>
        <w:t>1.43</w:t>
      </w:r>
      <w:r>
        <w:rPr>
          <w:rFonts w:hint="eastAsia" w:ascii="仿宋_GB2312" w:eastAsia="仿宋_GB2312" w:cs="仿宋_GB2312"/>
          <w:color w:val="000000"/>
          <w:sz w:val="32"/>
          <w:szCs w:val="32"/>
        </w:rPr>
        <w:t>万元，下降</w:t>
      </w:r>
      <w:r>
        <w:rPr>
          <w:rFonts w:ascii="仿宋_GB2312" w:eastAsia="仿宋_GB2312" w:cs="仿宋_GB2312"/>
          <w:color w:val="000000"/>
          <w:sz w:val="32"/>
          <w:szCs w:val="32"/>
        </w:rPr>
        <w:t>9.43%</w:t>
      </w:r>
      <w:r>
        <w:rPr>
          <w:rFonts w:hint="eastAsia" w:ascii="仿宋_GB2312" w:eastAsia="仿宋_GB2312" w:cs="仿宋_GB2312"/>
          <w:color w:val="000000"/>
          <w:sz w:val="32"/>
          <w:szCs w:val="32"/>
        </w:rPr>
        <w:t>。主要原因是积极贯彻落实中央八项规定及省委省政府十项规定要求，缩减开支。</w:t>
      </w:r>
    </w:p>
    <w:p>
      <w:pPr>
        <w:autoSpaceDE w:val="0"/>
        <w:autoSpaceDN w:val="0"/>
        <w:adjustRightInd w:val="0"/>
        <w:spacing w:line="600" w:lineRule="exact"/>
        <w:ind w:firstLine="642" w:firstLineChars="200"/>
        <w:jc w:val="left"/>
        <w:outlineLvl w:val="2"/>
        <w:rPr>
          <w:rFonts w:ascii="楷体_GB2312" w:hAnsi="仿宋" w:eastAsia="楷体_GB2312"/>
          <w:b/>
          <w:bCs/>
          <w:color w:val="000000"/>
          <w:sz w:val="32"/>
          <w:szCs w:val="32"/>
        </w:rPr>
      </w:pPr>
      <w:bookmarkStart w:id="67" w:name="_Toc15377223"/>
      <w:r>
        <w:rPr>
          <w:rFonts w:hint="eastAsia" w:ascii="楷体_GB2312" w:hAnsi="仿宋" w:eastAsia="楷体_GB2312" w:cs="楷体_GB2312"/>
          <w:b/>
          <w:bCs/>
          <w:color w:val="000000"/>
          <w:sz w:val="32"/>
          <w:szCs w:val="32"/>
        </w:rPr>
        <w:t>（二）政府采购支出情况</w:t>
      </w:r>
      <w:bookmarkEnd w:id="67"/>
    </w:p>
    <w:p>
      <w:pPr>
        <w:spacing w:line="600"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2019</w:t>
      </w:r>
      <w:r>
        <w:rPr>
          <w:rFonts w:hint="eastAsia" w:ascii="仿宋_GB2312" w:eastAsia="仿宋_GB2312" w:cs="仿宋_GB2312"/>
          <w:color w:val="000000"/>
          <w:sz w:val="32"/>
          <w:szCs w:val="32"/>
        </w:rPr>
        <w:t>年，财政局政府采购支出总额</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万元，其中：政府采购货物支出</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万元、政府采购工程支出</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万元、政府采购服务支出</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万元。授予中小企业合同金额</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万元，占政府采购支出总额的</w:t>
      </w:r>
      <w:r>
        <w:rPr>
          <w:rFonts w:ascii="仿宋_GB2312" w:eastAsia="仿宋_GB2312" w:cs="仿宋_GB2312"/>
          <w:color w:val="000000"/>
          <w:sz w:val="32"/>
          <w:szCs w:val="32"/>
        </w:rPr>
        <w:t>0%</w:t>
      </w:r>
      <w:r>
        <w:rPr>
          <w:rFonts w:hint="eastAsia" w:ascii="仿宋_GB2312" w:eastAsia="仿宋_GB2312" w:cs="仿宋_GB2312"/>
          <w:color w:val="000000"/>
          <w:sz w:val="32"/>
          <w:szCs w:val="32"/>
        </w:rPr>
        <w:t>，其中：授予小微企业合同金额</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万元，占政府采购支出总额的</w:t>
      </w:r>
      <w:r>
        <w:rPr>
          <w:rFonts w:ascii="仿宋_GB2312" w:eastAsia="仿宋_GB2312" w:cs="仿宋_GB2312"/>
          <w:color w:val="000000"/>
          <w:sz w:val="32"/>
          <w:szCs w:val="32"/>
        </w:rPr>
        <w:t>0%</w:t>
      </w:r>
      <w:r>
        <w:rPr>
          <w:rFonts w:hint="eastAsia" w:ascii="仿宋_GB2312" w:eastAsia="仿宋_GB2312" w:cs="仿宋_GB2312"/>
          <w:color w:val="000000"/>
          <w:sz w:val="32"/>
          <w:szCs w:val="32"/>
        </w:rPr>
        <w:t>。</w:t>
      </w:r>
    </w:p>
    <w:p>
      <w:pPr>
        <w:autoSpaceDE w:val="0"/>
        <w:autoSpaceDN w:val="0"/>
        <w:adjustRightInd w:val="0"/>
        <w:spacing w:line="600" w:lineRule="exact"/>
        <w:ind w:firstLine="642" w:firstLineChars="200"/>
        <w:jc w:val="left"/>
        <w:outlineLvl w:val="2"/>
        <w:rPr>
          <w:rFonts w:ascii="楷体_GB2312" w:hAnsi="仿宋" w:eastAsia="楷体_GB2312"/>
          <w:b/>
          <w:bCs/>
          <w:color w:val="000000"/>
          <w:sz w:val="32"/>
          <w:szCs w:val="32"/>
        </w:rPr>
      </w:pPr>
      <w:bookmarkStart w:id="68" w:name="_Toc15377224"/>
      <w:r>
        <w:rPr>
          <w:rFonts w:hint="eastAsia" w:ascii="楷体_GB2312" w:hAnsi="仿宋" w:eastAsia="楷体_GB2312" w:cs="楷体_GB2312"/>
          <w:b/>
          <w:bCs/>
          <w:color w:val="000000"/>
          <w:sz w:val="32"/>
          <w:szCs w:val="32"/>
        </w:rPr>
        <w:t>（三）国有资产占有使用情况</w:t>
      </w:r>
      <w:bookmarkEnd w:id="68"/>
    </w:p>
    <w:p>
      <w:pPr>
        <w:autoSpaceDE w:val="0"/>
        <w:autoSpaceDN w:val="0"/>
        <w:adjustRightInd w:val="0"/>
        <w:spacing w:line="600" w:lineRule="exact"/>
        <w:ind w:firstLine="640" w:firstLineChars="200"/>
        <w:jc w:val="left"/>
        <w:rPr>
          <w:rFonts w:ascii="仿宋" w:hAnsi="仿宋" w:eastAsia="仿宋"/>
          <w:b/>
          <w:bCs/>
          <w:color w:val="FF0000"/>
          <w:sz w:val="32"/>
          <w:szCs w:val="32"/>
        </w:rPr>
      </w:pPr>
      <w:r>
        <w:rPr>
          <w:rFonts w:hint="eastAsia" w:ascii="仿宋_GB2312" w:eastAsia="仿宋_GB2312" w:cs="仿宋_GB2312"/>
          <w:color w:val="000000"/>
          <w:sz w:val="32"/>
          <w:szCs w:val="32"/>
        </w:rPr>
        <w:t>截至</w:t>
      </w:r>
      <w:r>
        <w:rPr>
          <w:rFonts w:ascii="仿宋_GB2312" w:eastAsia="仿宋_GB2312" w:cs="仿宋_GB2312"/>
          <w:color w:val="000000"/>
          <w:sz w:val="32"/>
          <w:szCs w:val="32"/>
        </w:rPr>
        <w:t>2019</w:t>
      </w:r>
      <w:r>
        <w:rPr>
          <w:rFonts w:hint="eastAsia" w:ascii="仿宋_GB2312" w:eastAsia="仿宋_GB2312" w:cs="仿宋_GB2312"/>
          <w:color w:val="000000"/>
          <w:sz w:val="32"/>
          <w:szCs w:val="32"/>
        </w:rPr>
        <w:t>年</w:t>
      </w:r>
      <w:r>
        <w:rPr>
          <w:rFonts w:ascii="仿宋_GB2312" w:eastAsia="仿宋_GB2312" w:cs="仿宋_GB2312"/>
          <w:color w:val="000000"/>
          <w:sz w:val="32"/>
          <w:szCs w:val="32"/>
        </w:rPr>
        <w:t>12</w:t>
      </w:r>
      <w:r>
        <w:rPr>
          <w:rFonts w:hint="eastAsia" w:ascii="仿宋_GB2312" w:eastAsia="仿宋_GB2312" w:cs="仿宋_GB2312"/>
          <w:color w:val="000000"/>
          <w:sz w:val="32"/>
          <w:szCs w:val="32"/>
        </w:rPr>
        <w:t>月</w:t>
      </w:r>
      <w:r>
        <w:rPr>
          <w:rFonts w:ascii="仿宋_GB2312" w:eastAsia="仿宋_GB2312" w:cs="仿宋_GB2312"/>
          <w:color w:val="000000"/>
          <w:sz w:val="32"/>
          <w:szCs w:val="32"/>
        </w:rPr>
        <w:t>31</w:t>
      </w:r>
      <w:r>
        <w:rPr>
          <w:rFonts w:hint="eastAsia" w:ascii="仿宋_GB2312" w:eastAsia="仿宋_GB2312" w:cs="仿宋_GB2312"/>
          <w:color w:val="000000"/>
          <w:sz w:val="32"/>
          <w:szCs w:val="32"/>
        </w:rPr>
        <w:t>日，财政局共有车辆</w:t>
      </w:r>
      <w:r>
        <w:rPr>
          <w:rFonts w:ascii="仿宋_GB2312" w:eastAsia="仿宋_GB2312" w:cs="仿宋_GB2312"/>
          <w:color w:val="000000"/>
          <w:sz w:val="32"/>
          <w:szCs w:val="32"/>
        </w:rPr>
        <w:t>2</w:t>
      </w:r>
      <w:r>
        <w:rPr>
          <w:rFonts w:hint="eastAsia" w:ascii="仿宋_GB2312" w:eastAsia="仿宋_GB2312" w:cs="仿宋_GB2312"/>
          <w:color w:val="000000"/>
          <w:sz w:val="32"/>
          <w:szCs w:val="32"/>
        </w:rPr>
        <w:t>辆，其中：主要领导干部用车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辆、机要通信用车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辆、应急保障用车</w:t>
      </w:r>
      <w:r>
        <w:rPr>
          <w:rFonts w:ascii="仿宋_GB2312" w:eastAsia="仿宋_GB2312" w:cs="仿宋_GB2312"/>
          <w:color w:val="000000"/>
          <w:sz w:val="32"/>
          <w:szCs w:val="32"/>
        </w:rPr>
        <w:t>2</w:t>
      </w:r>
      <w:r>
        <w:rPr>
          <w:rFonts w:hint="eastAsia" w:ascii="仿宋_GB2312" w:eastAsia="仿宋_GB2312" w:cs="仿宋_GB2312"/>
          <w:color w:val="000000"/>
          <w:sz w:val="32"/>
          <w:szCs w:val="32"/>
        </w:rPr>
        <w:t>辆、其他用车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辆、单价</w:t>
      </w:r>
      <w:r>
        <w:rPr>
          <w:rFonts w:ascii="仿宋_GB2312" w:eastAsia="仿宋_GB2312" w:cs="仿宋_GB2312"/>
          <w:color w:val="000000"/>
          <w:sz w:val="32"/>
          <w:szCs w:val="32"/>
        </w:rPr>
        <w:t>50</w:t>
      </w:r>
      <w:r>
        <w:rPr>
          <w:rFonts w:hint="eastAsia" w:ascii="仿宋_GB2312" w:eastAsia="仿宋_GB2312" w:cs="仿宋_GB2312"/>
          <w:color w:val="000000"/>
          <w:sz w:val="32"/>
          <w:szCs w:val="32"/>
        </w:rPr>
        <w:t>万元以上通用设备</w:t>
      </w:r>
      <w:r>
        <w:rPr>
          <w:rFonts w:ascii="仿宋_GB2312" w:eastAsia="仿宋_GB2312" w:cs="仿宋_GB2312"/>
          <w:color w:val="000000"/>
          <w:sz w:val="32"/>
          <w:szCs w:val="32"/>
        </w:rPr>
        <w:t>0</w:t>
      </w:r>
      <w:r>
        <w:rPr>
          <w:rFonts w:hint="eastAsia" w:ascii="仿宋_GB2312" w:eastAsia="仿宋_GB2312" w:cs="仿宋_GB2312"/>
          <w:color w:val="000000"/>
          <w:sz w:val="32"/>
          <w:szCs w:val="32"/>
        </w:rPr>
        <w:t>台（套），单价</w:t>
      </w:r>
      <w:r>
        <w:rPr>
          <w:rFonts w:ascii="仿宋_GB2312" w:eastAsia="仿宋_GB2312" w:cs="仿宋_GB2312"/>
          <w:color w:val="000000"/>
          <w:sz w:val="32"/>
          <w:szCs w:val="32"/>
        </w:rPr>
        <w:t>100</w:t>
      </w:r>
      <w:r>
        <w:rPr>
          <w:rFonts w:hint="eastAsia" w:ascii="仿宋_GB2312" w:eastAsia="仿宋_GB2312" w:cs="仿宋_GB2312"/>
          <w:color w:val="000000"/>
          <w:sz w:val="32"/>
          <w:szCs w:val="32"/>
        </w:rPr>
        <w:t>万元以上专用设备</w:t>
      </w:r>
      <w:r>
        <w:rPr>
          <w:rFonts w:ascii="仿宋_GB2312" w:eastAsia="仿宋_GB2312" w:cs="仿宋_GB2312"/>
          <w:color w:val="000000"/>
          <w:sz w:val="32"/>
          <w:szCs w:val="32"/>
        </w:rPr>
        <w:t>0</w:t>
      </w:r>
      <w:r>
        <w:rPr>
          <w:rFonts w:hint="eastAsia" w:ascii="仿宋_GB2312" w:eastAsia="仿宋_GB2312" w:cs="仿宋_GB2312"/>
          <w:color w:val="000000"/>
          <w:sz w:val="32"/>
          <w:szCs w:val="32"/>
        </w:rPr>
        <w:t>台（套）。</w:t>
      </w:r>
    </w:p>
    <w:p>
      <w:pPr>
        <w:autoSpaceDE w:val="0"/>
        <w:autoSpaceDN w:val="0"/>
        <w:adjustRightInd w:val="0"/>
        <w:spacing w:line="600" w:lineRule="exact"/>
        <w:ind w:firstLine="642" w:firstLineChars="200"/>
        <w:jc w:val="left"/>
        <w:outlineLvl w:val="2"/>
        <w:rPr>
          <w:rFonts w:ascii="楷体_GB2312" w:hAnsi="仿宋" w:eastAsia="楷体_GB2312"/>
          <w:b/>
          <w:bCs/>
          <w:color w:val="000000"/>
          <w:sz w:val="32"/>
          <w:szCs w:val="32"/>
        </w:rPr>
      </w:pPr>
      <w:r>
        <w:rPr>
          <w:rFonts w:hint="eastAsia" w:ascii="楷体_GB2312" w:hAnsi="仿宋" w:eastAsia="楷体_GB2312" w:cs="楷体_GB2312"/>
          <w:b/>
          <w:bCs/>
          <w:color w:val="000000"/>
          <w:sz w:val="32"/>
          <w:szCs w:val="32"/>
        </w:rPr>
        <w:t>（四）预算绩效管理情况</w:t>
      </w:r>
    </w:p>
    <w:p>
      <w:pPr>
        <w:spacing w:line="600" w:lineRule="exac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根据预算绩效管理要求，我局按要求对</w:t>
      </w:r>
      <w:r>
        <w:rPr>
          <w:rFonts w:ascii="仿宋_GB2312" w:eastAsia="仿宋_GB2312" w:cs="仿宋_GB2312"/>
          <w:color w:val="000000"/>
          <w:sz w:val="32"/>
          <w:szCs w:val="32"/>
        </w:rPr>
        <w:t>2019</w:t>
      </w:r>
      <w:r>
        <w:rPr>
          <w:rFonts w:hint="eastAsia" w:ascii="仿宋_GB2312" w:eastAsia="仿宋_GB2312" w:cs="仿宋_GB2312"/>
          <w:color w:val="000000"/>
          <w:sz w:val="32"/>
          <w:szCs w:val="32"/>
        </w:rPr>
        <w:t>年部门整体支出开展绩效自评，从评价情况来看，我局部门整体支出绩效评价自查自评结果良好，全年基本保证了部门的正常运行和日常工作的正常开展，项目支出保障了重点工作的开展，绩效目标得到较好实现，绩效管理水平不断提高，绩效指标逐渐丰富和完善，茂县财政局</w:t>
      </w:r>
      <w:r>
        <w:rPr>
          <w:rFonts w:ascii="仿宋_GB2312" w:eastAsia="仿宋_GB2312" w:cs="仿宋_GB2312"/>
          <w:color w:val="000000"/>
          <w:sz w:val="32"/>
          <w:szCs w:val="32"/>
        </w:rPr>
        <w:t>2019</w:t>
      </w:r>
      <w:r>
        <w:rPr>
          <w:rFonts w:hint="eastAsia" w:ascii="仿宋_GB2312" w:eastAsia="仿宋_GB2312" w:cs="仿宋_GB2312"/>
          <w:color w:val="000000"/>
          <w:sz w:val="32"/>
          <w:szCs w:val="32"/>
        </w:rPr>
        <w:t>年不涉及项目绩效。</w:t>
      </w:r>
    </w:p>
    <w:p>
      <w:pPr>
        <w:spacing w:line="580" w:lineRule="exact"/>
        <w:ind w:firstLine="640" w:firstLineChars="200"/>
        <w:rPr>
          <w:rFonts w:hint="eastAsia" w:ascii="仿宋_GB2312" w:eastAsia="仿宋_GB2312" w:cs="仿宋_GB2312"/>
          <w:color w:val="000000"/>
          <w:sz w:val="32"/>
          <w:szCs w:val="32"/>
        </w:rPr>
      </w:pPr>
      <w:r>
        <w:rPr>
          <w:rFonts w:hint="eastAsia" w:ascii="仿宋_GB2312" w:eastAsia="仿宋_GB2312" w:cs="仿宋_GB2312"/>
          <w:color w:val="000000"/>
          <w:sz w:val="32"/>
          <w:szCs w:val="32"/>
        </w:rPr>
        <w:t>茂县财政局按要求对</w:t>
      </w:r>
      <w:r>
        <w:rPr>
          <w:rFonts w:ascii="仿宋_GB2312" w:eastAsia="仿宋_GB2312" w:cs="仿宋_GB2312"/>
          <w:color w:val="000000"/>
          <w:sz w:val="32"/>
          <w:szCs w:val="32"/>
        </w:rPr>
        <w:t>2019</w:t>
      </w:r>
      <w:r>
        <w:rPr>
          <w:rFonts w:hint="eastAsia" w:ascii="仿宋_GB2312" w:eastAsia="仿宋_GB2312" w:cs="仿宋_GB2312"/>
          <w:color w:val="000000"/>
          <w:sz w:val="32"/>
          <w:szCs w:val="32"/>
        </w:rPr>
        <w:t>年部门整体支出绩效评价情况开展自评，《茂县财政局</w:t>
      </w:r>
      <w:r>
        <w:rPr>
          <w:rFonts w:ascii="仿宋_GB2312" w:eastAsia="仿宋_GB2312" w:cs="仿宋_GB2312"/>
          <w:color w:val="000000"/>
          <w:sz w:val="32"/>
          <w:szCs w:val="32"/>
        </w:rPr>
        <w:t>2019</w:t>
      </w:r>
      <w:r>
        <w:rPr>
          <w:rFonts w:hint="eastAsia" w:ascii="仿宋_GB2312" w:eastAsia="仿宋_GB2312" w:cs="仿宋_GB2312"/>
          <w:color w:val="000000"/>
          <w:sz w:val="32"/>
          <w:szCs w:val="32"/>
        </w:rPr>
        <w:t>年部门整体支出绩效评价报告》见附件。</w:t>
      </w:r>
    </w:p>
    <w:p>
      <w:pPr>
        <w:spacing w:line="580" w:lineRule="exact"/>
        <w:ind w:firstLine="640" w:firstLineChars="200"/>
        <w:rPr>
          <w:rFonts w:hint="eastAsia" w:ascii="仿宋_GB2312" w:eastAsia="仿宋_GB2312" w:cs="仿宋_GB2312"/>
          <w:color w:val="000000"/>
          <w:sz w:val="32"/>
          <w:szCs w:val="32"/>
        </w:rPr>
      </w:pPr>
    </w:p>
    <w:p>
      <w:pPr>
        <w:spacing w:line="580" w:lineRule="exact"/>
        <w:ind w:firstLine="640" w:firstLineChars="200"/>
        <w:rPr>
          <w:rFonts w:hint="eastAsia" w:ascii="仿宋_GB2312" w:eastAsia="仿宋_GB2312" w:cs="仿宋_GB2312"/>
          <w:color w:val="000000"/>
          <w:sz w:val="32"/>
          <w:szCs w:val="32"/>
        </w:rPr>
      </w:pPr>
    </w:p>
    <w:p>
      <w:pPr>
        <w:spacing w:line="580" w:lineRule="exact"/>
        <w:ind w:firstLine="640" w:firstLineChars="200"/>
        <w:rPr>
          <w:rFonts w:hint="eastAsia" w:ascii="仿宋_GB2312" w:eastAsia="仿宋_GB2312" w:cs="仿宋_GB2312"/>
          <w:color w:val="000000"/>
          <w:sz w:val="32"/>
          <w:szCs w:val="32"/>
        </w:rPr>
      </w:pPr>
    </w:p>
    <w:p>
      <w:pPr>
        <w:spacing w:line="580" w:lineRule="exact"/>
        <w:ind w:firstLine="640" w:firstLineChars="200"/>
        <w:rPr>
          <w:rFonts w:hint="eastAsia" w:ascii="仿宋_GB2312" w:eastAsia="仿宋_GB2312" w:cs="仿宋_GB2312"/>
          <w:color w:val="000000"/>
          <w:sz w:val="32"/>
          <w:szCs w:val="32"/>
        </w:rPr>
      </w:pPr>
    </w:p>
    <w:p>
      <w:pPr>
        <w:spacing w:line="580" w:lineRule="exact"/>
        <w:ind w:firstLine="640" w:firstLineChars="200"/>
        <w:rPr>
          <w:rFonts w:hint="eastAsia" w:ascii="仿宋_GB2312" w:eastAsia="仿宋_GB2312" w:cs="仿宋_GB2312"/>
          <w:color w:val="000000"/>
          <w:sz w:val="32"/>
          <w:szCs w:val="32"/>
        </w:rPr>
      </w:pPr>
    </w:p>
    <w:p>
      <w:pPr>
        <w:spacing w:line="580" w:lineRule="exact"/>
        <w:ind w:firstLine="640" w:firstLineChars="200"/>
        <w:rPr>
          <w:rFonts w:hint="eastAsia" w:ascii="仿宋_GB2312" w:eastAsia="仿宋_GB2312" w:cs="仿宋_GB2312"/>
          <w:color w:val="000000"/>
          <w:sz w:val="32"/>
          <w:szCs w:val="32"/>
        </w:rPr>
      </w:pPr>
    </w:p>
    <w:p>
      <w:pPr>
        <w:spacing w:line="580" w:lineRule="exact"/>
        <w:ind w:firstLine="640" w:firstLineChars="200"/>
        <w:rPr>
          <w:rFonts w:hint="eastAsia" w:ascii="仿宋_GB2312" w:eastAsia="仿宋_GB2312" w:cs="仿宋_GB2312"/>
          <w:color w:val="000000"/>
          <w:sz w:val="32"/>
          <w:szCs w:val="32"/>
        </w:rPr>
      </w:pPr>
    </w:p>
    <w:p>
      <w:pPr>
        <w:spacing w:line="580" w:lineRule="exact"/>
        <w:ind w:firstLine="640" w:firstLineChars="200"/>
        <w:rPr>
          <w:rFonts w:hint="eastAsia" w:ascii="仿宋_GB2312" w:eastAsia="仿宋_GB2312" w:cs="仿宋_GB2312"/>
          <w:color w:val="000000"/>
          <w:sz w:val="32"/>
          <w:szCs w:val="32"/>
        </w:rPr>
      </w:pPr>
    </w:p>
    <w:p>
      <w:pPr>
        <w:spacing w:line="580" w:lineRule="exact"/>
        <w:ind w:firstLine="640" w:firstLineChars="200"/>
        <w:rPr>
          <w:rFonts w:hint="eastAsia" w:ascii="仿宋_GB2312" w:eastAsia="仿宋_GB2312" w:cs="仿宋_GB2312"/>
          <w:color w:val="000000"/>
          <w:sz w:val="32"/>
          <w:szCs w:val="32"/>
        </w:rPr>
      </w:pPr>
    </w:p>
    <w:p>
      <w:pPr>
        <w:spacing w:line="580" w:lineRule="exact"/>
        <w:ind w:firstLine="640" w:firstLineChars="200"/>
        <w:rPr>
          <w:rFonts w:hint="eastAsia" w:ascii="仿宋_GB2312" w:eastAsia="仿宋_GB2312" w:cs="仿宋_GB2312"/>
          <w:color w:val="000000"/>
          <w:sz w:val="32"/>
          <w:szCs w:val="32"/>
        </w:rPr>
      </w:pPr>
    </w:p>
    <w:p>
      <w:pPr>
        <w:spacing w:line="580" w:lineRule="exact"/>
        <w:ind w:firstLine="640" w:firstLineChars="200"/>
        <w:rPr>
          <w:rFonts w:hint="eastAsia" w:ascii="仿宋_GB2312" w:eastAsia="仿宋_GB2312" w:cs="仿宋_GB2312"/>
          <w:color w:val="000000"/>
          <w:sz w:val="32"/>
          <w:szCs w:val="32"/>
        </w:rPr>
      </w:pPr>
    </w:p>
    <w:p>
      <w:pPr>
        <w:spacing w:line="580" w:lineRule="exact"/>
        <w:ind w:firstLine="640" w:firstLineChars="200"/>
        <w:rPr>
          <w:rFonts w:hint="eastAsia" w:ascii="仿宋_GB2312" w:eastAsia="仿宋_GB2312" w:cs="仿宋_GB2312"/>
          <w:color w:val="000000"/>
          <w:sz w:val="32"/>
          <w:szCs w:val="32"/>
        </w:rPr>
      </w:pPr>
    </w:p>
    <w:p>
      <w:pPr>
        <w:spacing w:line="580" w:lineRule="exact"/>
        <w:ind w:firstLine="640" w:firstLineChars="200"/>
        <w:rPr>
          <w:rFonts w:hint="eastAsia" w:ascii="仿宋_GB2312" w:eastAsia="仿宋_GB2312" w:cs="仿宋_GB2312"/>
          <w:color w:val="000000"/>
          <w:sz w:val="32"/>
          <w:szCs w:val="32"/>
        </w:rPr>
      </w:pPr>
    </w:p>
    <w:p>
      <w:pPr>
        <w:spacing w:line="580" w:lineRule="exact"/>
        <w:ind w:firstLine="640" w:firstLineChars="200"/>
        <w:rPr>
          <w:rFonts w:hint="eastAsia" w:ascii="仿宋_GB2312" w:eastAsia="仿宋_GB2312" w:cs="仿宋_GB2312"/>
          <w:color w:val="000000"/>
          <w:sz w:val="32"/>
          <w:szCs w:val="32"/>
        </w:rPr>
      </w:pPr>
    </w:p>
    <w:p>
      <w:pPr>
        <w:spacing w:line="580" w:lineRule="exact"/>
        <w:ind w:firstLine="640" w:firstLineChars="200"/>
        <w:rPr>
          <w:rFonts w:hint="eastAsia" w:ascii="仿宋_GB2312" w:eastAsia="仿宋_GB2312" w:cs="仿宋_GB2312"/>
          <w:color w:val="000000"/>
          <w:sz w:val="32"/>
          <w:szCs w:val="32"/>
        </w:rPr>
      </w:pPr>
    </w:p>
    <w:p>
      <w:pPr>
        <w:spacing w:line="580" w:lineRule="exact"/>
        <w:ind w:firstLine="640" w:firstLineChars="200"/>
        <w:rPr>
          <w:rFonts w:hint="eastAsia" w:ascii="仿宋_GB2312" w:eastAsia="仿宋_GB2312" w:cs="仿宋_GB2312"/>
          <w:color w:val="000000"/>
          <w:sz w:val="32"/>
          <w:szCs w:val="32"/>
        </w:rPr>
      </w:pPr>
    </w:p>
    <w:p>
      <w:pPr>
        <w:spacing w:line="580" w:lineRule="exact"/>
        <w:ind w:firstLine="640" w:firstLineChars="200"/>
        <w:rPr>
          <w:rFonts w:hint="eastAsia" w:ascii="仿宋_GB2312" w:eastAsia="仿宋_GB2312" w:cs="仿宋_GB2312"/>
          <w:color w:val="000000"/>
          <w:sz w:val="32"/>
          <w:szCs w:val="32"/>
        </w:rPr>
      </w:pPr>
    </w:p>
    <w:p>
      <w:pPr>
        <w:numPr>
          <w:ilvl w:val="0"/>
          <w:numId w:val="4"/>
        </w:numPr>
        <w:spacing w:line="600" w:lineRule="exact"/>
        <w:ind w:firstLine="660" w:firstLineChars="150"/>
        <w:jc w:val="center"/>
        <w:outlineLvl w:val="0"/>
        <w:rPr>
          <w:rStyle w:val="16"/>
          <w:rFonts w:ascii="黑体" w:hAnsi="黑体" w:eastAsia="黑体"/>
          <w:b w:val="0"/>
          <w:bCs w:val="0"/>
        </w:rPr>
      </w:pPr>
      <w:bookmarkStart w:id="69" w:name="_Toc15396613"/>
      <w:bookmarkStart w:id="70" w:name="_Toc15377225"/>
      <w:r>
        <w:rPr>
          <w:rFonts w:hint="eastAsia" w:ascii="黑体" w:hAnsi="黑体" w:eastAsia="黑体" w:cs="黑体"/>
          <w:color w:val="000000"/>
          <w:sz w:val="44"/>
          <w:szCs w:val="44"/>
        </w:rPr>
        <w:t>名</w:t>
      </w:r>
      <w:r>
        <w:rPr>
          <w:rStyle w:val="16"/>
          <w:rFonts w:hint="eastAsia" w:ascii="黑体" w:hAnsi="黑体" w:eastAsia="黑体" w:cs="黑体"/>
          <w:b w:val="0"/>
          <w:bCs w:val="0"/>
        </w:rPr>
        <w:t>词解释</w:t>
      </w:r>
      <w:bookmarkEnd w:id="69"/>
      <w:bookmarkEnd w:id="70"/>
    </w:p>
    <w:p>
      <w:pPr>
        <w:spacing w:line="600" w:lineRule="exact"/>
        <w:jc w:val="left"/>
        <w:rPr>
          <w:rFonts w:ascii="宋体"/>
          <w:b/>
          <w:bCs/>
          <w:color w:val="000000"/>
          <w:sz w:val="44"/>
          <w:szCs w:val="44"/>
        </w:rPr>
      </w:pPr>
    </w:p>
    <w:p>
      <w:pPr>
        <w:spacing w:line="600"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1.</w:t>
      </w:r>
      <w:r>
        <w:rPr>
          <w:rFonts w:hint="eastAsia" w:ascii="仿宋_GB2312" w:eastAsia="仿宋_GB2312" w:cs="仿宋_GB2312"/>
          <w:color w:val="000000"/>
          <w:sz w:val="32"/>
          <w:szCs w:val="32"/>
        </w:rPr>
        <w:t>财政拨款收入：指单位从同级财政部门取得的财政预算资金。</w:t>
      </w:r>
    </w:p>
    <w:p>
      <w:pPr>
        <w:spacing w:line="600"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2.</w:t>
      </w:r>
      <w:r>
        <w:rPr>
          <w:rFonts w:hint="eastAsia" w:ascii="仿宋_GB2312" w:eastAsia="仿宋_GB2312" w:cs="仿宋_GB2312"/>
          <w:color w:val="000000"/>
          <w:sz w:val="32"/>
          <w:szCs w:val="32"/>
        </w:rPr>
        <w:t>事业收入：指事业单位开展专业业务活动及辅助活动取得的收入。</w:t>
      </w:r>
    </w:p>
    <w:p>
      <w:pPr>
        <w:spacing w:line="600"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3.</w:t>
      </w:r>
      <w:r>
        <w:rPr>
          <w:rFonts w:hint="eastAsia" w:ascii="仿宋_GB2312" w:eastAsia="仿宋_GB2312" w:cs="仿宋_GB2312"/>
          <w:color w:val="000000"/>
          <w:sz w:val="32"/>
          <w:szCs w:val="32"/>
        </w:rPr>
        <w:t>经营收入：指事业单位在专业业务活动及其辅助活动之外开展非独立核算经营活动取得的收入。</w:t>
      </w:r>
    </w:p>
    <w:p>
      <w:pPr>
        <w:spacing w:line="600"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4.</w:t>
      </w:r>
      <w:r>
        <w:rPr>
          <w:rFonts w:hint="eastAsia" w:ascii="仿宋_GB2312" w:eastAsia="仿宋_GB2312" w:cs="仿宋_GB2312"/>
          <w:color w:val="000000"/>
          <w:sz w:val="32"/>
          <w:szCs w:val="32"/>
        </w:rPr>
        <w:t>其他收入：指单位取得的除上述收入以外的各项收入。</w:t>
      </w:r>
    </w:p>
    <w:p>
      <w:pPr>
        <w:spacing w:line="600"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5.</w:t>
      </w:r>
      <w:r>
        <w:rPr>
          <w:rFonts w:hint="eastAsia" w:ascii="仿宋_GB2312" w:eastAsia="仿宋_GB2312" w:cs="仿宋_GB2312"/>
          <w:color w:val="000000"/>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spacing w:line="600"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6.</w:t>
      </w:r>
      <w:r>
        <w:rPr>
          <w:rFonts w:hint="eastAsia" w:ascii="仿宋_GB2312" w:eastAsia="仿宋_GB2312" w:cs="仿宋_GB2312"/>
          <w:color w:val="000000"/>
          <w:sz w:val="32"/>
          <w:szCs w:val="32"/>
        </w:rPr>
        <w:t>年初结转和结余：指以前年度尚未完成、结转到本年按有关规定继续使用的资金。</w:t>
      </w:r>
    </w:p>
    <w:p>
      <w:pPr>
        <w:spacing w:line="600"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7.</w:t>
      </w:r>
      <w:r>
        <w:rPr>
          <w:rFonts w:hint="eastAsia" w:ascii="仿宋_GB2312" w:eastAsia="仿宋_GB2312" w:cs="仿宋_GB2312"/>
          <w:color w:val="000000"/>
          <w:sz w:val="32"/>
          <w:szCs w:val="32"/>
        </w:rPr>
        <w:t>结余分配：指事业单位按照事业单位会计制度的规定从非财政补助结余中分配的事业基金和职工福利基金等。</w:t>
      </w:r>
    </w:p>
    <w:p>
      <w:pPr>
        <w:spacing w:line="600"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8.</w:t>
      </w:r>
      <w:r>
        <w:rPr>
          <w:rFonts w:hint="eastAsia" w:ascii="仿宋_GB2312" w:eastAsia="仿宋_GB2312" w:cs="仿宋_GB2312"/>
          <w:color w:val="000000"/>
          <w:sz w:val="32"/>
          <w:szCs w:val="32"/>
        </w:rPr>
        <w:t>年末结转和结余：指单位按有关规定结转到下年或以后年度继续使用的资金。</w:t>
      </w:r>
    </w:p>
    <w:p>
      <w:pPr>
        <w:spacing w:line="600"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9.</w:t>
      </w:r>
      <w:r>
        <w:rPr>
          <w:rFonts w:hint="eastAsia" w:ascii="仿宋_GB2312" w:eastAsia="仿宋_GB2312" w:cs="仿宋_GB2312"/>
          <w:color w:val="000000"/>
          <w:sz w:val="32"/>
          <w:szCs w:val="32"/>
        </w:rPr>
        <w:t>一般公共服务（类）财政事务（款）行政运行（项）：指局机关用于保障机构正常运行、开展日常工作的基本支出。</w:t>
      </w:r>
    </w:p>
    <w:p>
      <w:pPr>
        <w:spacing w:line="600"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10.</w:t>
      </w:r>
      <w:r>
        <w:rPr>
          <w:rFonts w:hint="eastAsia" w:ascii="仿宋_GB2312" w:eastAsia="仿宋_GB2312" w:cs="仿宋_GB2312"/>
          <w:color w:val="000000"/>
          <w:sz w:val="32"/>
          <w:szCs w:val="32"/>
        </w:rPr>
        <w:t>一般公共服务（类）财政事务（款）预算改革业务（</w:t>
      </w:r>
      <w:r>
        <w:rPr>
          <w:rFonts w:ascii="仿宋_GB2312" w:eastAsia="仿宋_GB2312" w:cs="仿宋_GB2312"/>
          <w:color w:val="000000"/>
          <w:sz w:val="32"/>
          <w:szCs w:val="32"/>
        </w:rPr>
        <w:t>04</w:t>
      </w:r>
      <w:r>
        <w:rPr>
          <w:rFonts w:hint="eastAsia" w:ascii="仿宋_GB2312" w:eastAsia="仿宋_GB2312" w:cs="仿宋_GB2312"/>
          <w:color w:val="000000"/>
          <w:sz w:val="32"/>
          <w:szCs w:val="32"/>
        </w:rPr>
        <w:t>项）：反映财政部门用于预算改革方面的支出。</w:t>
      </w:r>
    </w:p>
    <w:p>
      <w:pPr>
        <w:spacing w:line="600"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11.</w:t>
      </w:r>
      <w:r>
        <w:rPr>
          <w:rFonts w:hint="eastAsia" w:ascii="仿宋_GB2312" w:eastAsia="仿宋_GB2312" w:cs="仿宋_GB2312"/>
          <w:color w:val="000000"/>
          <w:sz w:val="32"/>
          <w:szCs w:val="32"/>
        </w:rPr>
        <w:t>一般公共服务（类）财政事务（款）事业运行（项）：指财政评审中心用于保障机构正常运行开展日常工作的基本支出。</w:t>
      </w:r>
    </w:p>
    <w:p>
      <w:pPr>
        <w:spacing w:line="600"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12.</w:t>
      </w:r>
      <w:r>
        <w:rPr>
          <w:rFonts w:hint="eastAsia" w:ascii="仿宋_GB2312" w:eastAsia="仿宋_GB2312" w:cs="仿宋_GB2312"/>
          <w:color w:val="000000"/>
          <w:sz w:val="32"/>
          <w:szCs w:val="32"/>
        </w:rPr>
        <w:t>一般公共服务（类）财政事务（款）其他财政事务支出（项）：指财政局除上述项目以外，开展其他财政事务方面专门性工作任务的项目支出。</w:t>
      </w:r>
    </w:p>
    <w:p>
      <w:pPr>
        <w:spacing w:line="600"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13.</w:t>
      </w:r>
      <w:r>
        <w:rPr>
          <w:rFonts w:hint="eastAsia" w:ascii="仿宋_GB2312" w:eastAsia="仿宋_GB2312" w:cs="仿宋_GB2312"/>
          <w:color w:val="000000"/>
          <w:sz w:val="32"/>
          <w:szCs w:val="32"/>
        </w:rPr>
        <w:t>社会保障和就业（类）行政事业单位离退休（款）机关事业单位基本养老保险缴费支出（项）：指机关事业单位实施养老保险制度由单位缴纳的基本养老保险费支出。</w:t>
      </w:r>
    </w:p>
    <w:p>
      <w:pPr>
        <w:spacing w:line="600"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14.</w:t>
      </w:r>
      <w:r>
        <w:rPr>
          <w:rFonts w:hint="eastAsia" w:ascii="仿宋_GB2312" w:eastAsia="仿宋_GB2312" w:cs="仿宋_GB2312"/>
          <w:color w:val="000000"/>
          <w:sz w:val="32"/>
          <w:szCs w:val="32"/>
        </w:rPr>
        <w:t>社会保障和就业（类）行政事业单位离退休（款）机关事业单位职业年金缴费支出（项）：指机关事业单位实施养老保险制度由单位实际缴纳的职业年金支出。</w:t>
      </w:r>
    </w:p>
    <w:p>
      <w:pPr>
        <w:spacing w:line="600"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15.</w:t>
      </w:r>
      <w:r>
        <w:rPr>
          <w:rFonts w:hint="eastAsia" w:ascii="仿宋_GB2312" w:eastAsia="仿宋_GB2312" w:cs="仿宋_GB2312"/>
          <w:color w:val="000000"/>
          <w:sz w:val="32"/>
          <w:szCs w:val="32"/>
        </w:rPr>
        <w:t>卫生健康（类）行政事业单位医疗（款）行政单位医疗（项）：指局机关用于缴纳单位基本医疗保险支出。</w:t>
      </w:r>
    </w:p>
    <w:p>
      <w:pPr>
        <w:spacing w:line="600"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 xml:space="preserve">16. </w:t>
      </w:r>
      <w:r>
        <w:rPr>
          <w:rFonts w:hint="eastAsia" w:ascii="仿宋_GB2312" w:eastAsia="仿宋_GB2312" w:cs="仿宋_GB2312"/>
          <w:color w:val="000000"/>
          <w:sz w:val="32"/>
          <w:szCs w:val="32"/>
        </w:rPr>
        <w:t>卫生健康（类）行政事业单位医疗（款）事业单位医疗（项）：指事业单位用于缴纳单位基本医疗保险支出。</w:t>
      </w:r>
    </w:p>
    <w:p>
      <w:pPr>
        <w:spacing w:line="600"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17.</w:t>
      </w:r>
      <w:r>
        <w:rPr>
          <w:rFonts w:hint="eastAsia" w:ascii="仿宋_GB2312" w:eastAsia="仿宋_GB2312" w:cs="仿宋_GB2312"/>
          <w:color w:val="000000"/>
          <w:sz w:val="32"/>
          <w:szCs w:val="32"/>
        </w:rPr>
        <w:t>农林水支出（类）扶贫（款）其他扶贫支出（项）：指用于扶贫方面的支出。</w:t>
      </w:r>
    </w:p>
    <w:p>
      <w:pPr>
        <w:spacing w:line="600"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18.</w:t>
      </w:r>
      <w:r>
        <w:rPr>
          <w:rFonts w:hint="eastAsia" w:ascii="仿宋_GB2312" w:eastAsia="仿宋_GB2312" w:cs="仿宋_GB2312"/>
          <w:color w:val="000000"/>
          <w:sz w:val="32"/>
          <w:szCs w:val="32"/>
        </w:rPr>
        <w:t>农林水支出（类）普惠金融发展支出（款）其他普惠金融发展支出（项）：指财政部门用于其他普惠金融发展的支出。</w:t>
      </w:r>
    </w:p>
    <w:p>
      <w:pPr>
        <w:spacing w:line="600"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19.</w:t>
      </w:r>
      <w:r>
        <w:rPr>
          <w:rFonts w:hint="eastAsia" w:ascii="仿宋_GB2312" w:eastAsia="仿宋_GB2312" w:cs="仿宋_GB2312"/>
          <w:color w:val="000000"/>
          <w:sz w:val="32"/>
          <w:szCs w:val="32"/>
        </w:rPr>
        <w:t>住房保障支出（类）住房改革支出（款）住房公积金（项）：指反映行政事业单位按规定比例为职工缴纳的住房公积金。</w:t>
      </w:r>
    </w:p>
    <w:p>
      <w:pPr>
        <w:spacing w:line="600"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20.</w:t>
      </w:r>
      <w:r>
        <w:rPr>
          <w:rFonts w:hint="eastAsia" w:ascii="仿宋_GB2312" w:eastAsia="仿宋_GB2312" w:cs="仿宋_GB2312"/>
          <w:color w:val="000000"/>
          <w:sz w:val="32"/>
          <w:szCs w:val="32"/>
        </w:rPr>
        <w:t>基本支出：指为保障机构正常运转、完成日常工作任务而发生的人员支出和公用支出。</w:t>
      </w:r>
    </w:p>
    <w:p>
      <w:pPr>
        <w:spacing w:line="600"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21.</w:t>
      </w:r>
      <w:r>
        <w:rPr>
          <w:rFonts w:hint="eastAsia" w:ascii="仿宋_GB2312" w:eastAsia="仿宋_GB2312" w:cs="仿宋_GB2312"/>
          <w:color w:val="000000"/>
          <w:sz w:val="32"/>
          <w:szCs w:val="32"/>
        </w:rPr>
        <w:t>项目支出：指在基本支出之外为完成特定行政任务和事业发展目标所发生的支出。</w:t>
      </w:r>
    </w:p>
    <w:p>
      <w:pPr>
        <w:spacing w:line="600"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22.</w:t>
      </w:r>
      <w:r>
        <w:rPr>
          <w:rFonts w:hint="eastAsia" w:ascii="仿宋_GB2312" w:eastAsia="仿宋_GB2312" w:cs="仿宋_GB2312"/>
          <w:color w:val="000000"/>
          <w:sz w:val="32"/>
          <w:szCs w:val="32"/>
        </w:rPr>
        <w:t>经营支出：指事业单位在专业业务活动及其辅助活动之外开展非独立核算经营活动发生的支出。</w:t>
      </w:r>
    </w:p>
    <w:p>
      <w:pPr>
        <w:spacing w:line="600"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23.</w:t>
      </w:r>
      <w:r>
        <w:rPr>
          <w:rFonts w:hint="eastAsia" w:ascii="仿宋_GB2312" w:eastAsia="仿宋_GB2312" w:cs="仿宋_GB2312"/>
          <w:color w:val="000000"/>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600"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24.</w:t>
      </w:r>
      <w:r>
        <w:rPr>
          <w:rFonts w:hint="eastAsia" w:ascii="仿宋_GB2312" w:eastAsia="仿宋_GB2312" w:cs="仿宋_GB2312"/>
          <w:color w:val="000000"/>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6"/>
        <w:spacing w:line="560" w:lineRule="exact"/>
        <w:ind w:firstLine="640" w:firstLineChars="200"/>
        <w:rPr>
          <w:rFonts w:ascii="仿宋_GB2312" w:eastAsia="仿宋_GB2312" w:cs="Times New Roman"/>
          <w:sz w:val="32"/>
          <w:szCs w:val="32"/>
        </w:rPr>
      </w:pPr>
    </w:p>
    <w:p>
      <w:pPr>
        <w:numPr>
          <w:ilvl w:val="0"/>
          <w:numId w:val="4"/>
        </w:numPr>
        <w:spacing w:line="600" w:lineRule="exact"/>
        <w:ind w:left="0" w:leftChars="0" w:firstLine="662" w:firstLineChars="150"/>
        <w:jc w:val="center"/>
        <w:outlineLvl w:val="0"/>
        <w:rPr>
          <w:rStyle w:val="16"/>
          <w:rFonts w:hint="eastAsia" w:ascii="方正小标宋_GBK" w:hAnsi="黑体" w:eastAsia="方正小标宋_GBK" w:cs="方正小标宋_GBK"/>
          <w:b w:val="0"/>
          <w:bCs w:val="0"/>
        </w:rPr>
      </w:pPr>
      <w:bookmarkStart w:id="71" w:name="_Toc15377226"/>
      <w:r>
        <w:rPr>
          <w:rFonts w:ascii="宋体"/>
          <w:b/>
          <w:bCs/>
          <w:color w:val="000000"/>
          <w:sz w:val="44"/>
          <w:szCs w:val="44"/>
        </w:rPr>
        <w:br w:type="page"/>
      </w:r>
      <w:bookmarkStart w:id="72" w:name="_Toc15396614"/>
      <w:r>
        <w:rPr>
          <w:rStyle w:val="16"/>
          <w:rFonts w:hint="eastAsia" w:ascii="方正小标宋_GBK" w:hAnsi="黑体" w:eastAsia="方正小标宋_GBK" w:cs="方正小标宋_GBK"/>
          <w:b w:val="0"/>
          <w:bCs w:val="0"/>
        </w:rPr>
        <w:t>附件</w:t>
      </w:r>
      <w:bookmarkEnd w:id="72"/>
    </w:p>
    <w:p>
      <w:pPr>
        <w:numPr>
          <w:ilvl w:val="0"/>
          <w:numId w:val="0"/>
        </w:numPr>
        <w:spacing w:line="600" w:lineRule="exact"/>
        <w:ind w:leftChars="150"/>
        <w:jc w:val="both"/>
        <w:outlineLvl w:val="0"/>
        <w:rPr>
          <w:rStyle w:val="16"/>
          <w:rFonts w:hint="eastAsia" w:ascii="方正小标宋_GBK" w:hAnsi="黑体" w:eastAsia="方正小标宋_GBK" w:cs="方正小标宋_GBK"/>
          <w:b w:val="0"/>
          <w:bCs w:val="0"/>
        </w:rPr>
      </w:pPr>
    </w:p>
    <w:p>
      <w:pPr>
        <w:spacing w:line="600" w:lineRule="exact"/>
        <w:jc w:val="center"/>
        <w:rPr>
          <w:rFonts w:ascii="方正小标宋_GBK" w:hAnsi="宋体" w:eastAsia="方正小标宋_GBK"/>
          <w:color w:val="000000"/>
          <w:kern w:val="0"/>
          <w:sz w:val="44"/>
          <w:szCs w:val="44"/>
          <w:lang w:val="zh-CN"/>
        </w:rPr>
      </w:pPr>
      <w:r>
        <w:rPr>
          <w:rFonts w:hint="eastAsia" w:ascii="方正小标宋_GBK" w:hAnsi="宋体" w:eastAsia="方正小标宋_GBK" w:cs="方正小标宋_GBK"/>
          <w:color w:val="000000"/>
          <w:kern w:val="0"/>
          <w:sz w:val="44"/>
          <w:szCs w:val="44"/>
        </w:rPr>
        <w:t>茂县财政局</w:t>
      </w:r>
      <w:r>
        <w:rPr>
          <w:rFonts w:ascii="方正小标宋_GBK" w:hAnsi="宋体" w:eastAsia="方正小标宋_GBK" w:cs="方正小标宋_GBK"/>
          <w:color w:val="000000"/>
          <w:kern w:val="0"/>
          <w:sz w:val="44"/>
          <w:szCs w:val="44"/>
        </w:rPr>
        <w:t>2019</w:t>
      </w:r>
      <w:r>
        <w:rPr>
          <w:rFonts w:hint="eastAsia" w:ascii="方正小标宋_GBK" w:hAnsi="宋体" w:eastAsia="方正小标宋_GBK" w:cs="方正小标宋_GBK"/>
          <w:color w:val="000000"/>
          <w:kern w:val="0"/>
          <w:sz w:val="44"/>
          <w:szCs w:val="44"/>
        </w:rPr>
        <w:t>年部门</w:t>
      </w:r>
      <w:r>
        <w:rPr>
          <w:rFonts w:hint="eastAsia" w:ascii="方正小标宋_GBK" w:hAnsi="宋体" w:eastAsia="方正小标宋_GBK" w:cs="方正小标宋_GBK"/>
          <w:color w:val="000000"/>
          <w:kern w:val="0"/>
          <w:sz w:val="44"/>
          <w:szCs w:val="44"/>
          <w:lang w:val="zh-CN"/>
        </w:rPr>
        <w:t>整体支出绩效</w:t>
      </w:r>
    </w:p>
    <w:p>
      <w:pPr>
        <w:spacing w:line="600" w:lineRule="exact"/>
        <w:jc w:val="center"/>
        <w:rPr>
          <w:rFonts w:ascii="方正小标宋_GBK" w:hAnsi="宋体" w:eastAsia="方正小标宋_GBK"/>
          <w:color w:val="000000"/>
          <w:kern w:val="0"/>
          <w:sz w:val="44"/>
          <w:szCs w:val="44"/>
          <w:lang w:val="zh-CN"/>
        </w:rPr>
      </w:pPr>
      <w:r>
        <w:rPr>
          <w:rFonts w:hint="eastAsia" w:ascii="方正小标宋_GBK" w:hAnsi="宋体" w:eastAsia="方正小标宋_GBK" w:cs="方正小标宋_GBK"/>
          <w:color w:val="000000"/>
          <w:kern w:val="0"/>
          <w:sz w:val="44"/>
          <w:szCs w:val="44"/>
          <w:lang w:val="zh-CN"/>
        </w:rPr>
        <w:t>评价报告</w:t>
      </w:r>
    </w:p>
    <w:p>
      <w:pPr>
        <w:widowControl/>
        <w:adjustRightInd w:val="0"/>
        <w:snapToGrid w:val="0"/>
        <w:spacing w:line="580" w:lineRule="exact"/>
        <w:ind w:firstLine="480" w:firstLineChars="200"/>
        <w:jc w:val="left"/>
        <w:rPr>
          <w:rFonts w:ascii="黑体" w:hAnsi="宋体" w:eastAsia="黑体"/>
          <w:color w:val="000000"/>
          <w:kern w:val="0"/>
          <w:sz w:val="24"/>
          <w:szCs w:val="24"/>
          <w:shd w:val="clear" w:color="auto" w:fill="FFFFFF"/>
        </w:rPr>
      </w:pPr>
    </w:p>
    <w:p>
      <w:pPr>
        <w:widowControl/>
        <w:adjustRightInd w:val="0"/>
        <w:snapToGrid w:val="0"/>
        <w:spacing w:line="580" w:lineRule="exact"/>
        <w:ind w:firstLine="640" w:firstLineChars="200"/>
        <w:jc w:val="left"/>
        <w:rPr>
          <w:rFonts w:ascii="黑体" w:hAnsi="宋体" w:eastAsia="黑体"/>
          <w:color w:val="000000"/>
          <w:kern w:val="0"/>
          <w:sz w:val="32"/>
          <w:szCs w:val="32"/>
          <w:shd w:val="clear" w:color="auto" w:fill="FFFFFF"/>
          <w:lang w:val="zh-CN"/>
        </w:rPr>
      </w:pPr>
      <w:r>
        <w:rPr>
          <w:rFonts w:hint="eastAsia" w:ascii="黑体" w:hAnsi="宋体" w:eastAsia="黑体" w:cs="黑体"/>
          <w:color w:val="000000"/>
          <w:kern w:val="0"/>
          <w:sz w:val="32"/>
          <w:szCs w:val="32"/>
          <w:shd w:val="clear" w:color="auto" w:fill="FFFFFF"/>
        </w:rPr>
        <w:t>一、</w:t>
      </w:r>
      <w:r>
        <w:rPr>
          <w:rFonts w:hint="eastAsia" w:ascii="黑体" w:hAnsi="宋体" w:eastAsia="黑体" w:cs="黑体"/>
          <w:color w:val="000000"/>
          <w:kern w:val="0"/>
          <w:sz w:val="32"/>
          <w:szCs w:val="32"/>
          <w:shd w:val="clear" w:color="auto" w:fill="FFFFFF"/>
          <w:lang w:val="zh-CN"/>
        </w:rPr>
        <w:t>部门（单位）概况</w:t>
      </w:r>
    </w:p>
    <w:p>
      <w:pPr>
        <w:widowControl/>
        <w:adjustRightInd w:val="0"/>
        <w:snapToGrid w:val="0"/>
        <w:spacing w:line="580" w:lineRule="exact"/>
        <w:ind w:firstLine="642" w:firstLineChars="200"/>
        <w:jc w:val="left"/>
        <w:rPr>
          <w:rFonts w:ascii="楷体_GB2312" w:hAnsi="宋体" w:eastAsia="楷体_GB2312"/>
          <w:b/>
          <w:bCs/>
          <w:color w:val="000000"/>
          <w:kern w:val="0"/>
          <w:sz w:val="32"/>
          <w:szCs w:val="32"/>
          <w:shd w:val="clear" w:color="auto" w:fill="FFFFFF"/>
          <w:lang w:val="zh-CN"/>
        </w:rPr>
      </w:pPr>
      <w:r>
        <w:rPr>
          <w:rFonts w:hint="eastAsia" w:ascii="楷体_GB2312" w:hAnsi="宋体" w:eastAsia="楷体_GB2312" w:cs="楷体_GB2312"/>
          <w:b/>
          <w:bCs/>
          <w:color w:val="000000"/>
          <w:kern w:val="0"/>
          <w:sz w:val="32"/>
          <w:szCs w:val="32"/>
          <w:shd w:val="clear" w:color="auto" w:fill="FFFFFF"/>
          <w:lang w:val="zh-CN"/>
        </w:rPr>
        <w:t>（一）机构组成</w:t>
      </w:r>
    </w:p>
    <w:p>
      <w:pPr>
        <w:spacing w:line="600" w:lineRule="exact"/>
        <w:ind w:firstLine="732" w:firstLineChars="229"/>
        <w:rPr>
          <w:rFonts w:ascii="仿宋_GB2312" w:eastAsia="仿宋_GB2312"/>
          <w:color w:val="000000"/>
          <w:sz w:val="32"/>
          <w:szCs w:val="32"/>
        </w:rPr>
      </w:pPr>
      <w:r>
        <w:rPr>
          <w:rFonts w:hint="eastAsia" w:ascii="仿宋_GB2312" w:eastAsia="仿宋_GB2312" w:cs="仿宋_GB2312"/>
          <w:color w:val="000000"/>
          <w:sz w:val="32"/>
          <w:szCs w:val="32"/>
        </w:rPr>
        <w:t>茂县财政局属行政机构一级预算单位。内设行政机构</w:t>
      </w:r>
      <w:r>
        <w:rPr>
          <w:rFonts w:ascii="仿宋_GB2312" w:eastAsia="仿宋_GB2312" w:cs="仿宋_GB2312"/>
          <w:color w:val="000000"/>
          <w:sz w:val="32"/>
          <w:szCs w:val="32"/>
        </w:rPr>
        <w:t>10</w:t>
      </w:r>
      <w:r>
        <w:rPr>
          <w:rFonts w:hint="eastAsia" w:ascii="仿宋_GB2312" w:eastAsia="仿宋_GB2312" w:cs="仿宋_GB2312"/>
          <w:color w:val="000000"/>
          <w:sz w:val="32"/>
          <w:szCs w:val="32"/>
        </w:rPr>
        <w:t>个，机构组成：办公室、预算股、国库股、行政政法与科教文化股（乡财股）、农业农村股（自然资源与生态环境股）、社会保障股经济建设与金融股、财政监督与绩效管理股、政府采购监督管理与资产股、法规会计与综合股（行政审批股）事业机构</w:t>
      </w:r>
      <w:r>
        <w:rPr>
          <w:rFonts w:ascii="仿宋_GB2312" w:eastAsia="仿宋_GB2312" w:cs="仿宋_GB2312"/>
          <w:color w:val="000000"/>
          <w:sz w:val="32"/>
          <w:szCs w:val="32"/>
        </w:rPr>
        <w:t>1</w:t>
      </w:r>
      <w:r>
        <w:rPr>
          <w:rFonts w:hint="eastAsia" w:ascii="仿宋_GB2312" w:eastAsia="仿宋_GB2312" w:cs="仿宋_GB2312"/>
          <w:color w:val="000000"/>
          <w:sz w:val="32"/>
          <w:szCs w:val="32"/>
        </w:rPr>
        <w:t>个，财政评审中心。</w:t>
      </w:r>
    </w:p>
    <w:p>
      <w:pPr>
        <w:widowControl/>
        <w:adjustRightInd w:val="0"/>
        <w:snapToGrid w:val="0"/>
        <w:spacing w:line="576" w:lineRule="exact"/>
        <w:ind w:firstLine="642" w:firstLineChars="200"/>
        <w:rPr>
          <w:rFonts w:ascii="楷体_GB2312" w:hAnsi="宋体" w:eastAsia="楷体_GB2312"/>
          <w:b/>
          <w:bCs/>
          <w:color w:val="000000"/>
          <w:kern w:val="0"/>
          <w:sz w:val="32"/>
          <w:szCs w:val="32"/>
          <w:shd w:val="clear" w:color="auto" w:fill="FFFFFF"/>
          <w:lang w:val="zh-CN"/>
        </w:rPr>
      </w:pPr>
      <w:r>
        <w:rPr>
          <w:rFonts w:hint="eastAsia" w:ascii="楷体_GB2312" w:hAnsi="宋体" w:eastAsia="楷体_GB2312" w:cs="楷体_GB2312"/>
          <w:b/>
          <w:bCs/>
          <w:color w:val="000000"/>
          <w:kern w:val="0"/>
          <w:sz w:val="32"/>
          <w:szCs w:val="32"/>
          <w:shd w:val="clear" w:color="auto" w:fill="FFFFFF"/>
          <w:lang w:val="zh-CN"/>
        </w:rPr>
        <w:t>（二）机构职能</w:t>
      </w:r>
    </w:p>
    <w:p>
      <w:pPr>
        <w:widowControl/>
        <w:adjustRightInd w:val="0"/>
        <w:snapToGrid w:val="0"/>
        <w:spacing w:line="576" w:lineRule="exact"/>
        <w:ind w:firstLine="642" w:firstLineChars="200"/>
        <w:rPr>
          <w:rFonts w:ascii="仿宋_GB2312" w:hAnsi="Tahoma" w:eastAsia="仿宋_GB2312"/>
          <w:color w:val="000000"/>
          <w:kern w:val="0"/>
          <w:sz w:val="32"/>
          <w:szCs w:val="32"/>
        </w:rPr>
      </w:pPr>
      <w:r>
        <w:rPr>
          <w:rFonts w:hint="eastAsia" w:ascii="楷体_GB2312" w:hAnsi="Tahoma" w:eastAsia="楷体_GB2312" w:cs="楷体_GB2312"/>
          <w:b/>
          <w:bCs/>
          <w:kern w:val="0"/>
          <w:sz w:val="32"/>
          <w:szCs w:val="32"/>
        </w:rPr>
        <w:t>办公室　</w:t>
      </w:r>
      <w:r>
        <w:rPr>
          <w:rFonts w:hint="eastAsia" w:ascii="仿宋_GB2312" w:hAnsi="Tahoma" w:eastAsia="仿宋_GB2312" w:cs="仿宋_GB2312"/>
          <w:kern w:val="0"/>
          <w:sz w:val="32"/>
          <w:szCs w:val="32"/>
        </w:rPr>
        <w:t>负责文电、会务、档案、机要、安全和本部门预决算、财务会计管理、政府采购、国有资产管理等机关日常运转工作。承担保密、信息、新闻宣传、交办督办、绩效管理、节能减排、政务公开、综治维稳、信访工作。组织办理人大代表建议、政协委员提案、综合性文稿起草、政策研究和史志编纂工作。</w:t>
      </w:r>
      <w:r>
        <w:rPr>
          <w:rFonts w:hint="eastAsia" w:ascii="仿宋_GB2312" w:hAnsi="Tahoma" w:eastAsia="仿宋_GB2312" w:cs="仿宋_GB2312"/>
          <w:color w:val="000000"/>
          <w:kern w:val="0"/>
          <w:sz w:val="32"/>
          <w:szCs w:val="32"/>
        </w:rPr>
        <w:t>管理和审批机关各项经费的使用。</w:t>
      </w:r>
      <w:r>
        <w:rPr>
          <w:rFonts w:hint="eastAsia" w:ascii="仿宋_GB2312" w:hAnsi="Tahoma" w:eastAsia="仿宋_GB2312" w:cs="仿宋_GB2312"/>
          <w:kern w:val="0"/>
          <w:sz w:val="32"/>
          <w:szCs w:val="32"/>
        </w:rPr>
        <w:t>负责机关和所属事业单位的机构编制、干部人事等工作，组织并实施全县财政系统干部教育培训工作。负责本单位离退休人员工作。负责机关和所属事业单位的党建、群团、党风廉政建设、意识形态等工作</w:t>
      </w:r>
      <w:r>
        <w:rPr>
          <w:rFonts w:hint="eastAsia" w:ascii="仿宋_GB2312" w:hAnsi="Tahoma" w:eastAsia="仿宋_GB2312" w:cs="仿宋_GB2312"/>
          <w:color w:val="000000"/>
          <w:kern w:val="0"/>
          <w:sz w:val="32"/>
          <w:szCs w:val="32"/>
        </w:rPr>
        <w:t>。</w:t>
      </w:r>
    </w:p>
    <w:p>
      <w:pPr>
        <w:widowControl/>
        <w:adjustRightInd w:val="0"/>
        <w:snapToGrid w:val="0"/>
        <w:spacing w:line="576" w:lineRule="exact"/>
        <w:ind w:firstLine="642" w:firstLineChars="200"/>
        <w:rPr>
          <w:rFonts w:ascii="仿宋_GB2312" w:hAnsi="Tahoma" w:eastAsia="仿宋_GB2312"/>
          <w:color w:val="000000"/>
          <w:kern w:val="0"/>
          <w:sz w:val="32"/>
          <w:szCs w:val="32"/>
        </w:rPr>
      </w:pPr>
      <w:r>
        <w:rPr>
          <w:rFonts w:hint="eastAsia" w:ascii="楷体_GB2312" w:hAnsi="Tahoma" w:eastAsia="楷体_GB2312" w:cs="楷体_GB2312"/>
          <w:b/>
          <w:bCs/>
          <w:kern w:val="0"/>
          <w:sz w:val="32"/>
          <w:szCs w:val="32"/>
        </w:rPr>
        <w:t>预算股　</w:t>
      </w:r>
      <w:r>
        <w:rPr>
          <w:rFonts w:hint="eastAsia" w:ascii="仿宋_GB2312" w:hAnsi="Tahoma" w:eastAsia="仿宋_GB2312" w:cs="仿宋_GB2312"/>
          <w:color w:val="000000"/>
          <w:kern w:val="0"/>
          <w:sz w:val="32"/>
          <w:szCs w:val="32"/>
        </w:rPr>
        <w:t>分析预测宏观经济形势并提出宏观调控措施建议，提出中长期财政规划建议。</w:t>
      </w:r>
      <w:r>
        <w:rPr>
          <w:rFonts w:hint="eastAsia" w:ascii="仿宋_GB2312" w:hAnsi="Tahoma" w:eastAsia="仿宋_GB2312" w:cs="仿宋_GB2312"/>
          <w:kern w:val="0"/>
          <w:sz w:val="32"/>
          <w:szCs w:val="32"/>
        </w:rPr>
        <w:t>提出财政体制、预算管理制度的建议，组织编制中期财政规划。编制年度县级预决算草案和预算调整方案，组织县级一般公共预算、政府性基金预算、国有资本经营预算、社会保险基金预算的编制、审核等工作。组织县级部门支出标准体系建设及项目库管理工作。</w:t>
      </w:r>
      <w:r>
        <w:rPr>
          <w:rFonts w:hint="eastAsia" w:ascii="仿宋_GB2312" w:hAnsi="Tahoma" w:eastAsia="仿宋_GB2312" w:cs="仿宋_GB2312"/>
          <w:color w:val="000000"/>
          <w:kern w:val="0"/>
          <w:sz w:val="32"/>
          <w:szCs w:val="32"/>
        </w:rPr>
        <w:t>汇总年度全县财政预算。</w:t>
      </w:r>
      <w:r>
        <w:rPr>
          <w:rFonts w:hint="eastAsia" w:ascii="仿宋_GB2312" w:hAnsi="Tahoma" w:eastAsia="仿宋_GB2312" w:cs="仿宋_GB2312"/>
          <w:kern w:val="0"/>
          <w:sz w:val="32"/>
          <w:szCs w:val="32"/>
        </w:rPr>
        <w:t>清理规范公务员津贴补贴有关工作。</w:t>
      </w:r>
    </w:p>
    <w:p>
      <w:pPr>
        <w:widowControl/>
        <w:adjustRightInd w:val="0"/>
        <w:snapToGrid w:val="0"/>
        <w:spacing w:line="576" w:lineRule="exact"/>
        <w:ind w:firstLine="642" w:firstLineChars="200"/>
        <w:rPr>
          <w:rFonts w:ascii="仿宋_GB2312" w:hAnsi="Tahoma" w:eastAsia="仿宋_GB2312"/>
          <w:kern w:val="0"/>
          <w:sz w:val="32"/>
          <w:szCs w:val="32"/>
        </w:rPr>
      </w:pPr>
      <w:r>
        <w:rPr>
          <w:rFonts w:hint="eastAsia" w:ascii="楷体_GB2312" w:hAnsi="Tahoma" w:eastAsia="楷体_GB2312" w:cs="楷体_GB2312"/>
          <w:b/>
          <w:bCs/>
          <w:kern w:val="0"/>
          <w:sz w:val="32"/>
          <w:szCs w:val="32"/>
        </w:rPr>
        <w:t>国库股　</w:t>
      </w:r>
      <w:r>
        <w:rPr>
          <w:rFonts w:hint="eastAsia" w:ascii="仿宋_GB2312" w:hAnsi="Tahoma" w:eastAsia="仿宋_GB2312" w:cs="仿宋_GB2312"/>
          <w:kern w:val="0"/>
          <w:sz w:val="32"/>
          <w:szCs w:val="32"/>
        </w:rPr>
        <w:t>组织预算执行、监控及分析预测。组织实施财政总预算会计制度。组织拟订全县国库管理和国库集中收付制度。组织实施政府非税收入国库集中收缴。管理财政和预算单位账户、财政决算及总会计核算。拟订政府财务报告编制制度并组织实施。承担国库现金管理有关工作。组织财政信息数据库建设。管理财政票据。</w:t>
      </w:r>
    </w:p>
    <w:p>
      <w:pPr>
        <w:widowControl/>
        <w:adjustRightInd w:val="0"/>
        <w:snapToGrid w:val="0"/>
        <w:spacing w:line="576" w:lineRule="exact"/>
        <w:ind w:firstLine="642" w:firstLineChars="200"/>
        <w:rPr>
          <w:rFonts w:ascii="仿宋_GB2312" w:hAnsi="Tahoma" w:eastAsia="仿宋_GB2312"/>
          <w:color w:val="000000"/>
          <w:kern w:val="0"/>
          <w:sz w:val="32"/>
          <w:szCs w:val="32"/>
        </w:rPr>
      </w:pPr>
      <w:r>
        <w:rPr>
          <w:rFonts w:hint="eastAsia" w:ascii="楷体_GB2312" w:hAnsi="Tahoma" w:eastAsia="楷体_GB2312" w:cs="楷体_GB2312"/>
          <w:b/>
          <w:bCs/>
          <w:kern w:val="0"/>
          <w:sz w:val="32"/>
          <w:szCs w:val="32"/>
        </w:rPr>
        <w:t>行政政法与科教文化股（乡财股）　</w:t>
      </w:r>
      <w:r>
        <w:rPr>
          <w:rFonts w:hint="eastAsia" w:ascii="仿宋_GB2312" w:hAnsi="Tahoma" w:eastAsia="仿宋_GB2312" w:cs="仿宋_GB2312"/>
          <w:kern w:val="0"/>
          <w:sz w:val="32"/>
          <w:szCs w:val="32"/>
        </w:rPr>
        <w:t>承担行政、政法、涉外交流、</w:t>
      </w:r>
      <w:r>
        <w:rPr>
          <w:rFonts w:hint="eastAsia" w:ascii="仿宋_GB2312" w:hAnsi="Tahoma" w:eastAsia="仿宋_GB2312" w:cs="仿宋_GB2312"/>
          <w:color w:val="000000"/>
          <w:kern w:val="0"/>
          <w:sz w:val="32"/>
          <w:szCs w:val="32"/>
        </w:rPr>
        <w:t>经贸合作</w:t>
      </w:r>
      <w:r>
        <w:rPr>
          <w:rFonts w:hint="eastAsia" w:ascii="仿宋_GB2312" w:hAnsi="Tahoma" w:eastAsia="仿宋_GB2312" w:cs="仿宋_GB2312"/>
          <w:kern w:val="0"/>
          <w:sz w:val="32"/>
          <w:szCs w:val="32"/>
        </w:rPr>
        <w:t>等方面的部门预算和相关领域预算支出有关工作，参与县级部门因公出国（境）经费预算管理工作，承办涉及港澳合作与交流事务的财政有关事项。负责财政预算内行政事业单位和社会团体的非贸易外汇和财政预算内的国际收支管理。</w:t>
      </w:r>
      <w:r>
        <w:rPr>
          <w:rFonts w:hint="eastAsia" w:ascii="仿宋_GB2312" w:hAnsi="Tahoma" w:eastAsia="仿宋_GB2312" w:cs="仿宋_GB2312"/>
          <w:color w:val="000000"/>
          <w:kern w:val="0"/>
          <w:sz w:val="32"/>
          <w:szCs w:val="32"/>
        </w:rPr>
        <w:t>执行行政性经费财务管理制度。</w:t>
      </w:r>
      <w:r>
        <w:rPr>
          <w:rFonts w:hint="eastAsia" w:ascii="仿宋_GB2312" w:hAnsi="Tahoma" w:eastAsia="仿宋_GB2312" w:cs="仿宋_GB2312"/>
          <w:kern w:val="0"/>
          <w:sz w:val="32"/>
          <w:szCs w:val="32"/>
        </w:rPr>
        <w:t>承担政府外债有关管理工作和本部门外事管理工作。承担宣传、文化体育和旅游、风景名胜管理、教育、科协等方面的部门预算和相关领域预算支出有关工作，提出相关财政政策建议。</w:t>
      </w:r>
      <w:r>
        <w:rPr>
          <w:rFonts w:hint="eastAsia" w:ascii="仿宋_GB2312" w:hAnsi="Tahoma" w:eastAsia="仿宋_GB2312" w:cs="仿宋_GB2312"/>
          <w:color w:val="000000"/>
          <w:kern w:val="0"/>
          <w:sz w:val="32"/>
          <w:szCs w:val="32"/>
        </w:rPr>
        <w:t>执行事业单位通用的财务管理制度。</w:t>
      </w:r>
      <w:r>
        <w:rPr>
          <w:rFonts w:hint="eastAsia" w:ascii="仿宋_GB2312" w:hAnsi="Tahoma" w:eastAsia="仿宋_GB2312" w:cs="仿宋_GB2312"/>
          <w:kern w:val="0"/>
          <w:sz w:val="32"/>
          <w:szCs w:val="32"/>
        </w:rPr>
        <w:t>负责制定乡</w:t>
      </w:r>
      <w:r>
        <w:rPr>
          <w:rFonts w:ascii="仿宋_GB2312" w:hAnsi="Tahoma" w:eastAsia="仿宋_GB2312" w:cs="仿宋_GB2312"/>
          <w:kern w:val="0"/>
          <w:sz w:val="32"/>
          <w:szCs w:val="32"/>
        </w:rPr>
        <w:t>(</w:t>
      </w:r>
      <w:r>
        <w:rPr>
          <w:rFonts w:hint="eastAsia" w:ascii="仿宋_GB2312" w:hAnsi="Tahoma" w:eastAsia="仿宋_GB2312" w:cs="仿宋_GB2312"/>
          <w:kern w:val="0"/>
          <w:sz w:val="32"/>
          <w:szCs w:val="32"/>
        </w:rPr>
        <w:t>镇</w:t>
      </w:r>
      <w:r>
        <w:rPr>
          <w:rFonts w:ascii="仿宋_GB2312" w:hAnsi="Tahoma" w:eastAsia="仿宋_GB2312" w:cs="仿宋_GB2312"/>
          <w:kern w:val="0"/>
          <w:sz w:val="32"/>
          <w:szCs w:val="32"/>
        </w:rPr>
        <w:t>)</w:t>
      </w:r>
      <w:r>
        <w:rPr>
          <w:rFonts w:hint="eastAsia" w:ascii="仿宋_GB2312" w:hAnsi="Tahoma" w:eastAsia="仿宋_GB2312" w:cs="仿宋_GB2312"/>
          <w:kern w:val="0"/>
          <w:sz w:val="32"/>
          <w:szCs w:val="32"/>
        </w:rPr>
        <w:t>财政管理制度并指导、监督乡镇财政工作；负责各乡</w:t>
      </w:r>
      <w:r>
        <w:rPr>
          <w:rFonts w:ascii="仿宋_GB2312" w:hAnsi="Tahoma" w:eastAsia="仿宋_GB2312" w:cs="仿宋_GB2312"/>
          <w:kern w:val="0"/>
          <w:sz w:val="32"/>
          <w:szCs w:val="32"/>
        </w:rPr>
        <w:t>(</w:t>
      </w:r>
      <w:r>
        <w:rPr>
          <w:rFonts w:hint="eastAsia" w:ascii="仿宋_GB2312" w:hAnsi="Tahoma" w:eastAsia="仿宋_GB2312" w:cs="仿宋_GB2312"/>
          <w:kern w:val="0"/>
          <w:sz w:val="32"/>
          <w:szCs w:val="32"/>
        </w:rPr>
        <w:t>镇</w:t>
      </w:r>
      <w:r>
        <w:rPr>
          <w:rFonts w:ascii="仿宋_GB2312" w:hAnsi="Tahoma" w:eastAsia="仿宋_GB2312" w:cs="仿宋_GB2312"/>
          <w:kern w:val="0"/>
          <w:sz w:val="32"/>
          <w:szCs w:val="32"/>
        </w:rPr>
        <w:t>)</w:t>
      </w:r>
      <w:r>
        <w:rPr>
          <w:rFonts w:hint="eastAsia" w:ascii="仿宋_GB2312" w:hAnsi="Tahoma" w:eastAsia="仿宋_GB2312" w:cs="仿宋_GB2312"/>
          <w:kern w:val="0"/>
          <w:sz w:val="32"/>
          <w:szCs w:val="32"/>
        </w:rPr>
        <w:t>预、决算的审核和批复工作。</w:t>
      </w:r>
    </w:p>
    <w:p>
      <w:pPr>
        <w:widowControl/>
        <w:adjustRightInd w:val="0"/>
        <w:snapToGrid w:val="0"/>
        <w:spacing w:line="576" w:lineRule="exact"/>
        <w:ind w:firstLine="642" w:firstLineChars="200"/>
        <w:rPr>
          <w:rFonts w:ascii="仿宋_GB2312" w:hAnsi="Tahoma" w:eastAsia="仿宋_GB2312"/>
          <w:kern w:val="0"/>
          <w:sz w:val="32"/>
          <w:szCs w:val="32"/>
        </w:rPr>
      </w:pPr>
      <w:r>
        <w:rPr>
          <w:rFonts w:hint="eastAsia" w:ascii="楷体_GB2312" w:hAnsi="Tahoma" w:eastAsia="楷体_GB2312" w:cs="楷体_GB2312"/>
          <w:b/>
          <w:bCs/>
          <w:kern w:val="0"/>
          <w:sz w:val="32"/>
          <w:szCs w:val="32"/>
        </w:rPr>
        <w:t>农业农村股（自然资源与生态环境股</w:t>
      </w:r>
      <w:r>
        <w:rPr>
          <w:rFonts w:hint="eastAsia" w:ascii="仿宋_GB2312" w:hAnsi="Tahoma" w:eastAsia="仿宋_GB2312" w:cs="仿宋_GB2312"/>
          <w:b/>
          <w:bCs/>
          <w:kern w:val="0"/>
          <w:sz w:val="32"/>
          <w:szCs w:val="32"/>
        </w:rPr>
        <w:t>）</w:t>
      </w:r>
      <w:r>
        <w:rPr>
          <w:rFonts w:hint="eastAsia" w:ascii="楷体_GB2312" w:hAnsi="Tahoma" w:eastAsia="楷体_GB2312" w:cs="楷体_GB2312"/>
          <w:b/>
          <w:bCs/>
          <w:kern w:val="0"/>
          <w:sz w:val="32"/>
          <w:szCs w:val="32"/>
        </w:rPr>
        <w:t>　</w:t>
      </w:r>
      <w:r>
        <w:rPr>
          <w:rFonts w:hint="eastAsia" w:ascii="仿宋_GB2312" w:hAnsi="Tahoma" w:eastAsia="仿宋_GB2312" w:cs="仿宋_GB2312"/>
          <w:kern w:val="0"/>
          <w:sz w:val="32"/>
          <w:szCs w:val="32"/>
        </w:rPr>
        <w:t>承担农业农村、科技、水利、扶贫等方面的部门预算和相关领域预算支出有关工作，提出相关财政政策建议。承担财政支持实施乡村振兴战略相关工作，统筹安排财政扶贫资金。</w:t>
      </w:r>
      <w:r>
        <w:rPr>
          <w:rFonts w:hint="eastAsia" w:ascii="仿宋_GB2312" w:hAnsi="Tahoma" w:eastAsia="仿宋_GB2312" w:cs="仿宋_GB2312"/>
          <w:color w:val="000000"/>
          <w:kern w:val="0"/>
          <w:sz w:val="32"/>
          <w:szCs w:val="32"/>
        </w:rPr>
        <w:t>提出有关农村综合改革措施建议。</w:t>
      </w:r>
      <w:r>
        <w:rPr>
          <w:rFonts w:hint="eastAsia" w:ascii="仿宋_GB2312" w:hAnsi="Tahoma" w:eastAsia="仿宋_GB2312" w:cs="仿宋_GB2312"/>
          <w:kern w:val="0"/>
          <w:sz w:val="32"/>
          <w:szCs w:val="32"/>
        </w:rPr>
        <w:t>承担自然资源、生态环境、林业草原等方面的部门预算和相关领域预算支出有关工作。贯彻促进资源节约、地灾治理、生态保护修复、污染防治、核与辐射安全、测绘、国家公园建设等方面的财政政策。参与拟订自然资源和生态环境领域发展规划等。</w:t>
      </w:r>
    </w:p>
    <w:p>
      <w:pPr>
        <w:widowControl/>
        <w:adjustRightInd w:val="0"/>
        <w:snapToGrid w:val="0"/>
        <w:spacing w:line="576" w:lineRule="exact"/>
        <w:ind w:firstLine="642" w:firstLineChars="200"/>
        <w:rPr>
          <w:rFonts w:ascii="仿宋_GB2312" w:hAnsi="Tahoma" w:eastAsia="仿宋_GB2312"/>
          <w:kern w:val="0"/>
          <w:sz w:val="32"/>
          <w:szCs w:val="32"/>
        </w:rPr>
      </w:pPr>
      <w:r>
        <w:rPr>
          <w:rFonts w:hint="eastAsia" w:ascii="楷体_GB2312" w:hAnsi="Tahoma" w:eastAsia="楷体_GB2312" w:cs="楷体_GB2312"/>
          <w:b/>
          <w:bCs/>
          <w:kern w:val="0"/>
          <w:sz w:val="32"/>
          <w:szCs w:val="32"/>
        </w:rPr>
        <w:t>社会保障股　</w:t>
      </w:r>
      <w:r>
        <w:rPr>
          <w:rFonts w:hint="eastAsia" w:ascii="仿宋_GB2312" w:hAnsi="Tahoma" w:eastAsia="仿宋_GB2312" w:cs="仿宋_GB2312"/>
          <w:kern w:val="0"/>
          <w:sz w:val="32"/>
          <w:szCs w:val="32"/>
        </w:rPr>
        <w:t>承担人力资源和社会保障、民政、卫生健康、退役军人事务、医疗保障等方面的部门预算和相关领域预算支出有关工作，提出相关财政政策建议。会同有关方面拟订有关资金（基金）财务管理制度。审核并汇总编制全县社会保险基金预决算草案，承担社会保险基金财政监管工作。</w:t>
      </w:r>
    </w:p>
    <w:p>
      <w:pPr>
        <w:widowControl/>
        <w:adjustRightInd w:val="0"/>
        <w:snapToGrid w:val="0"/>
        <w:spacing w:line="576" w:lineRule="exact"/>
        <w:ind w:firstLine="642" w:firstLineChars="200"/>
        <w:rPr>
          <w:rFonts w:ascii="仿宋_GB2312" w:hAnsi="Tahoma" w:eastAsia="仿宋_GB2312"/>
          <w:kern w:val="0"/>
          <w:sz w:val="32"/>
          <w:szCs w:val="32"/>
        </w:rPr>
      </w:pPr>
      <w:r>
        <w:rPr>
          <w:rFonts w:hint="eastAsia" w:ascii="楷体_GB2312" w:hAnsi="Tahoma" w:eastAsia="楷体_GB2312" w:cs="楷体_GB2312"/>
          <w:b/>
          <w:bCs/>
          <w:kern w:val="0"/>
          <w:sz w:val="32"/>
          <w:szCs w:val="32"/>
        </w:rPr>
        <w:t>经济建设与金融股　</w:t>
      </w:r>
      <w:r>
        <w:rPr>
          <w:rFonts w:hint="eastAsia" w:ascii="仿宋_GB2312" w:hAnsi="Tahoma" w:eastAsia="仿宋_GB2312" w:cs="仿宋_GB2312"/>
          <w:color w:val="000000"/>
          <w:kern w:val="0"/>
          <w:sz w:val="32"/>
          <w:szCs w:val="32"/>
        </w:rPr>
        <w:t>承担工业、交通、能源、商贸、粮食和物资储备、建设、应急、军民融合发展等方面的部门预算和相关领域预算支出有关工作</w:t>
      </w:r>
      <w:r>
        <w:rPr>
          <w:rFonts w:hint="eastAsia" w:ascii="仿宋_GB2312" w:hAnsi="Tahoma" w:eastAsia="仿宋_GB2312" w:cs="仿宋_GB2312"/>
          <w:kern w:val="0"/>
          <w:sz w:val="32"/>
          <w:szCs w:val="32"/>
        </w:rPr>
        <w:t>，提出相关财政政策建议。办理基建投资财政拨款，</w:t>
      </w:r>
      <w:r>
        <w:rPr>
          <w:rFonts w:hint="eastAsia" w:ascii="仿宋_GB2312" w:hAnsi="Tahoma" w:eastAsia="仿宋_GB2312" w:cs="仿宋_GB2312"/>
          <w:color w:val="000000"/>
          <w:kern w:val="0"/>
          <w:sz w:val="32"/>
          <w:szCs w:val="32"/>
        </w:rPr>
        <w:t>执行基建财务管理制度</w:t>
      </w:r>
      <w:r>
        <w:rPr>
          <w:rFonts w:hint="eastAsia" w:ascii="仿宋_GB2312" w:hAnsi="Tahoma" w:eastAsia="仿宋_GB2312" w:cs="仿宋_GB2312"/>
          <w:kern w:val="0"/>
          <w:sz w:val="32"/>
          <w:szCs w:val="32"/>
        </w:rPr>
        <w:t>。承担有关政策性补贴和专项储备财政管理工作。承担财政政策与金融监管、金融体制改革协调配合相关工作。承担政府债务规模控制、限额管理、预算管理、债券管理、风险防控、统计分析、考核评价、信息公开和加强政府隐性债务监管等工作。承担地方债券管理工作。</w:t>
      </w:r>
      <w:r>
        <w:rPr>
          <w:rFonts w:hint="eastAsia" w:ascii="仿宋_GB2312" w:hAnsi="Tahoma" w:eastAsia="仿宋_GB2312" w:cs="仿宋_GB2312"/>
          <w:color w:val="000000"/>
          <w:kern w:val="0"/>
          <w:sz w:val="32"/>
          <w:szCs w:val="32"/>
        </w:rPr>
        <w:t>拟订全县政府债务管理制度、财政金融互动政策。公共服务领域政府和社会资本合作工作</w:t>
      </w:r>
      <w:r>
        <w:rPr>
          <w:rFonts w:hint="eastAsia" w:ascii="仿宋_GB2312" w:hAnsi="Tahoma" w:eastAsia="仿宋_GB2312" w:cs="仿宋_GB2312"/>
          <w:kern w:val="0"/>
          <w:sz w:val="32"/>
          <w:szCs w:val="32"/>
        </w:rPr>
        <w:t>。负责金融方面的部门预算和相关领域预算支出有关工作。</w:t>
      </w:r>
    </w:p>
    <w:p>
      <w:pPr>
        <w:widowControl/>
        <w:adjustRightInd w:val="0"/>
        <w:snapToGrid w:val="0"/>
        <w:spacing w:line="576" w:lineRule="exact"/>
        <w:ind w:firstLine="642" w:firstLineChars="200"/>
        <w:rPr>
          <w:rFonts w:ascii="仿宋_GB2312" w:hAnsi="Tahoma" w:eastAsia="仿宋_GB2312"/>
          <w:kern w:val="0"/>
          <w:sz w:val="32"/>
          <w:szCs w:val="32"/>
        </w:rPr>
      </w:pPr>
      <w:r>
        <w:rPr>
          <w:rFonts w:hint="eastAsia" w:ascii="楷体_GB2312" w:hAnsi="Tahoma" w:eastAsia="楷体_GB2312" w:cs="楷体_GB2312"/>
          <w:b/>
          <w:bCs/>
          <w:kern w:val="0"/>
          <w:sz w:val="32"/>
          <w:szCs w:val="32"/>
        </w:rPr>
        <w:t>财政监督与绩效管理股　</w:t>
      </w:r>
      <w:r>
        <w:rPr>
          <w:rFonts w:hint="eastAsia" w:ascii="仿宋_GB2312" w:hAnsi="Tahoma" w:eastAsia="仿宋_GB2312" w:cs="仿宋_GB2312"/>
          <w:kern w:val="0"/>
          <w:sz w:val="32"/>
          <w:szCs w:val="32"/>
        </w:rPr>
        <w:t>牵头建立财政监督与绩效管理制度机制。负责重大财政政策落实、财经纪律执行、行业执业质量监督检查工作。承担全面实施预算绩效管理有关工作。牵头组织开展事前绩效评估、事中绩效监控、事后绩效评价工作</w:t>
      </w:r>
      <w:r>
        <w:rPr>
          <w:rFonts w:ascii="仿宋_GB2312" w:hAnsi="Tahoma" w:eastAsia="仿宋_GB2312" w:cs="仿宋_GB2312"/>
          <w:kern w:val="0"/>
          <w:sz w:val="32"/>
          <w:szCs w:val="32"/>
        </w:rPr>
        <w:t xml:space="preserve">, </w:t>
      </w:r>
      <w:r>
        <w:rPr>
          <w:rFonts w:hint="eastAsia" w:ascii="仿宋_GB2312" w:hAnsi="Tahoma" w:eastAsia="仿宋_GB2312" w:cs="仿宋_GB2312"/>
          <w:kern w:val="0"/>
          <w:sz w:val="32"/>
          <w:szCs w:val="32"/>
        </w:rPr>
        <w:t>督促开展绩效目标管理和评价结果应用工作。负责本部门内部控制管理和内部审计工作。</w:t>
      </w:r>
    </w:p>
    <w:p>
      <w:pPr>
        <w:widowControl/>
        <w:adjustRightInd w:val="0"/>
        <w:snapToGrid w:val="0"/>
        <w:spacing w:line="576" w:lineRule="exact"/>
        <w:ind w:firstLine="642" w:firstLineChars="200"/>
        <w:rPr>
          <w:rFonts w:ascii="仿宋_GB2312" w:hAnsi="Tahoma" w:eastAsia="仿宋_GB2312"/>
          <w:kern w:val="0"/>
          <w:sz w:val="32"/>
          <w:szCs w:val="32"/>
        </w:rPr>
      </w:pPr>
      <w:r>
        <w:rPr>
          <w:rFonts w:hint="eastAsia" w:ascii="楷体_GB2312" w:hAnsi="Tahoma" w:eastAsia="楷体_GB2312" w:cs="楷体_GB2312"/>
          <w:b/>
          <w:bCs/>
          <w:kern w:val="0"/>
          <w:sz w:val="32"/>
          <w:szCs w:val="32"/>
        </w:rPr>
        <w:t>政府采购监督管理与资产股　</w:t>
      </w:r>
      <w:r>
        <w:rPr>
          <w:rFonts w:hint="eastAsia" w:ascii="仿宋_GB2312" w:hAnsi="Tahoma" w:eastAsia="仿宋_GB2312" w:cs="仿宋_GB2312"/>
          <w:kern w:val="0"/>
          <w:sz w:val="32"/>
          <w:szCs w:val="32"/>
        </w:rPr>
        <w:t>执行政府采购政策和管理制度。</w:t>
      </w:r>
      <w:r>
        <w:rPr>
          <w:rFonts w:hint="eastAsia" w:ascii="仿宋_GB2312" w:hAnsi="Tahoma" w:eastAsia="仿宋_GB2312" w:cs="仿宋_GB2312"/>
          <w:color w:val="000000"/>
          <w:kern w:val="0"/>
          <w:sz w:val="32"/>
          <w:szCs w:val="32"/>
        </w:rPr>
        <w:t>执行政府集中采购目录</w:t>
      </w:r>
      <w:r>
        <w:rPr>
          <w:rFonts w:hint="eastAsia" w:ascii="仿宋_GB2312" w:hAnsi="Tahoma" w:eastAsia="仿宋_GB2312" w:cs="仿宋_GB2312"/>
          <w:kern w:val="0"/>
          <w:sz w:val="32"/>
          <w:szCs w:val="32"/>
        </w:rPr>
        <w:t>、政府采购限额标准和公开招标数额标准。负责管理评审专家、供应商信息库。负责审核县级政府采购预算。</w:t>
      </w:r>
      <w:r>
        <w:rPr>
          <w:rFonts w:hint="eastAsia" w:ascii="仿宋_GB2312" w:hAnsi="Tahoma" w:eastAsia="仿宋_GB2312" w:cs="仿宋_GB2312"/>
          <w:color w:val="000000"/>
          <w:kern w:val="0"/>
          <w:sz w:val="32"/>
          <w:szCs w:val="32"/>
        </w:rPr>
        <w:t>监督管理县级政府采购活动。</w:t>
      </w:r>
      <w:r>
        <w:rPr>
          <w:rFonts w:hint="eastAsia" w:ascii="仿宋_GB2312" w:hAnsi="Tahoma" w:eastAsia="仿宋_GB2312" w:cs="仿宋_GB2312"/>
          <w:kern w:val="0"/>
          <w:sz w:val="32"/>
          <w:szCs w:val="32"/>
        </w:rPr>
        <w:t>负责政府采购信息化建设。负责政府采购供应商投诉处理。拟订行政事业单位国有资产管理制度并组织实施。组织实施企业财务制度及企业财务会计报告编制办法，</w:t>
      </w:r>
      <w:r>
        <w:rPr>
          <w:rFonts w:hint="eastAsia" w:ascii="仿宋_GB2312" w:hAnsi="Tahoma" w:eastAsia="仿宋_GB2312" w:cs="仿宋_GB2312"/>
          <w:color w:val="000000"/>
          <w:kern w:val="0"/>
          <w:sz w:val="32"/>
          <w:szCs w:val="32"/>
        </w:rPr>
        <w:t>开展国有资本经营预算编制和执行等管理工作。推进县级行政事业单位经营性国有资产集中统一监管工作。</w:t>
      </w:r>
      <w:r>
        <w:rPr>
          <w:rFonts w:hint="eastAsia" w:ascii="仿宋_GB2312" w:hAnsi="Tahoma" w:eastAsia="仿宋_GB2312" w:cs="仿宋_GB2312"/>
          <w:kern w:val="0"/>
          <w:sz w:val="32"/>
          <w:szCs w:val="32"/>
        </w:rPr>
        <w:t>落实国有资产管理情况报告工作。承担资产评估管理有关工作。</w:t>
      </w:r>
    </w:p>
    <w:p>
      <w:pPr>
        <w:widowControl/>
        <w:adjustRightInd w:val="0"/>
        <w:snapToGrid w:val="0"/>
        <w:spacing w:line="576" w:lineRule="exact"/>
        <w:ind w:firstLine="642" w:firstLineChars="200"/>
        <w:rPr>
          <w:rFonts w:ascii="仿宋_GB2312" w:hAnsi="Tahoma" w:eastAsia="仿宋_GB2312"/>
          <w:color w:val="000000"/>
          <w:kern w:val="0"/>
          <w:sz w:val="32"/>
          <w:szCs w:val="32"/>
        </w:rPr>
      </w:pPr>
      <w:r>
        <w:rPr>
          <w:rFonts w:hint="eastAsia" w:ascii="楷体_GB2312" w:hAnsi="Tahoma" w:eastAsia="楷体_GB2312" w:cs="楷体_GB2312"/>
          <w:b/>
          <w:bCs/>
          <w:kern w:val="0"/>
          <w:sz w:val="32"/>
          <w:szCs w:val="32"/>
        </w:rPr>
        <w:t>法规会计与综合股（行政审批股）　</w:t>
      </w:r>
      <w:r>
        <w:rPr>
          <w:rFonts w:hint="eastAsia" w:ascii="仿宋_GB2312" w:hAnsi="Tahoma" w:eastAsia="仿宋_GB2312" w:cs="仿宋_GB2312"/>
          <w:color w:val="000000"/>
          <w:kern w:val="0"/>
          <w:sz w:val="32"/>
          <w:szCs w:val="32"/>
        </w:rPr>
        <w:t>承担有关规范性文件的合法性审查工作和财政普法工作、重大行政处罚听证、行政复议、行政应诉工作及本系统</w:t>
      </w:r>
      <w:r>
        <w:rPr>
          <w:rFonts w:hint="eastAsia" w:ascii="仿宋_GB2312" w:hAnsi="Tahoma" w:eastAsia="仿宋_GB2312" w:cs="仿宋_GB2312"/>
          <w:kern w:val="0"/>
          <w:sz w:val="32"/>
          <w:szCs w:val="32"/>
        </w:rPr>
        <w:t>权责清单制度建设、动态调整等工作。指导</w:t>
      </w:r>
      <w:r>
        <w:rPr>
          <w:rFonts w:hint="eastAsia" w:ascii="仿宋_GB2312" w:hAnsi="Tahoma" w:eastAsia="仿宋_GB2312" w:cs="仿宋_GB2312"/>
          <w:color w:val="000000"/>
          <w:kern w:val="0"/>
          <w:sz w:val="32"/>
          <w:szCs w:val="32"/>
        </w:rPr>
        <w:t>本系统综合行政执法工作，制定财政执法责任制度并组织监督检查。</w:t>
      </w:r>
      <w:r>
        <w:rPr>
          <w:rFonts w:hint="eastAsia" w:ascii="仿宋_GB2312" w:hAnsi="Tahoma" w:eastAsia="仿宋_GB2312" w:cs="仿宋_GB2312"/>
          <w:kern w:val="0"/>
          <w:sz w:val="32"/>
          <w:szCs w:val="32"/>
        </w:rPr>
        <w:t>按照管理权限管理全县税政事项。</w:t>
      </w:r>
      <w:r>
        <w:rPr>
          <w:rFonts w:hint="eastAsia" w:ascii="仿宋_GB2312" w:hAnsi="Tahoma" w:eastAsia="仿宋_GB2312" w:cs="仿宋_GB2312"/>
          <w:color w:val="000000"/>
          <w:kern w:val="0"/>
          <w:sz w:val="32"/>
          <w:szCs w:val="32"/>
        </w:rPr>
        <w:t>负责提出地方税种增减、税目税率调整、减免税等建议和税收政策调整建议并开展税源调查分析</w:t>
      </w:r>
      <w:r>
        <w:rPr>
          <w:rFonts w:hint="eastAsia" w:ascii="仿宋_GB2312" w:hAnsi="Tahoma" w:eastAsia="仿宋_GB2312" w:cs="仿宋_GB2312"/>
          <w:kern w:val="0"/>
          <w:sz w:val="32"/>
          <w:szCs w:val="32"/>
        </w:rPr>
        <w:t>。管理全县会计工作，贯彻实施国家统一的会计法律法规和会计制度。指导会计人才队伍建设有关工作，按规定承担会计专业技术资格管理工作。管理全县会计人员的考试和业务培训。指导和监督注册会计师、会计师事务所、代理记账机构工作。开展财政政策调查研究工作，</w:t>
      </w:r>
      <w:r>
        <w:rPr>
          <w:rFonts w:hint="eastAsia" w:ascii="仿宋_GB2312" w:hAnsi="Tahoma" w:eastAsia="仿宋_GB2312" w:cs="仿宋_GB2312"/>
          <w:color w:val="000000"/>
          <w:kern w:val="0"/>
          <w:sz w:val="32"/>
          <w:szCs w:val="32"/>
        </w:rPr>
        <w:t>执行政府购买服务制度，</w:t>
      </w:r>
      <w:r>
        <w:rPr>
          <w:rFonts w:hint="eastAsia" w:ascii="仿宋_GB2312" w:hAnsi="Tahoma" w:eastAsia="仿宋_GB2312" w:cs="仿宋_GB2312"/>
          <w:kern w:val="0"/>
          <w:sz w:val="32"/>
          <w:szCs w:val="32"/>
        </w:rPr>
        <w:t>提出收入分配政策建议和改革方案。管理住房改革和保障资金。贯彻落实土地、矿产等国有资源出让收支政策。按规定管理彩票公益金有关工作。执行政府非税收入管理制度及政策。承担政府性基金、行政事业性收费等相关工作。牵头协调推进本系统“放管服”改革，承担审批服务便民化有关工作，集中承担县本级有关审批服务事项的受理、审批等工作，推进纳入一体化政务服务平台。</w:t>
      </w:r>
    </w:p>
    <w:p>
      <w:pPr>
        <w:spacing w:line="600" w:lineRule="exact"/>
        <w:ind w:firstLine="642" w:firstLineChars="200"/>
        <w:rPr>
          <w:rFonts w:ascii="楷体_GB2312" w:hAnsi="宋体" w:eastAsia="楷体_GB2312"/>
          <w:b/>
          <w:bCs/>
          <w:color w:val="000000"/>
          <w:kern w:val="0"/>
          <w:sz w:val="32"/>
          <w:szCs w:val="32"/>
          <w:shd w:val="clear" w:color="auto" w:fill="FFFFFF"/>
          <w:lang w:val="zh-CN"/>
        </w:rPr>
      </w:pPr>
      <w:r>
        <w:rPr>
          <w:rFonts w:hint="eastAsia" w:ascii="楷体_GB2312" w:hAnsi="宋体" w:eastAsia="楷体_GB2312" w:cs="楷体_GB2312"/>
          <w:b/>
          <w:bCs/>
          <w:color w:val="000000"/>
          <w:kern w:val="0"/>
          <w:sz w:val="32"/>
          <w:szCs w:val="32"/>
          <w:shd w:val="clear" w:color="auto" w:fill="FFFFFF"/>
          <w:lang w:val="zh-CN"/>
        </w:rPr>
        <w:t>（三）人员概况</w:t>
      </w:r>
    </w:p>
    <w:p>
      <w:pPr>
        <w:spacing w:line="600" w:lineRule="exact"/>
        <w:ind w:firstLine="640" w:firstLineChars="200"/>
        <w:rPr>
          <w:rFonts w:ascii="仿宋_GB2312" w:eastAsia="仿宋_GB2312"/>
          <w:sz w:val="32"/>
          <w:szCs w:val="32"/>
        </w:rPr>
      </w:pPr>
      <w:r>
        <w:rPr>
          <w:rFonts w:hint="eastAsia" w:ascii="仿宋_GB2312" w:eastAsia="仿宋_GB2312" w:cs="仿宋_GB2312"/>
          <w:sz w:val="32"/>
          <w:szCs w:val="32"/>
        </w:rPr>
        <w:t>事业机构</w:t>
      </w:r>
      <w:r>
        <w:rPr>
          <w:rFonts w:ascii="仿宋_GB2312" w:eastAsia="仿宋_GB2312" w:cs="仿宋_GB2312"/>
          <w:sz w:val="32"/>
          <w:szCs w:val="32"/>
        </w:rPr>
        <w:t>2</w:t>
      </w:r>
      <w:r>
        <w:rPr>
          <w:rFonts w:hint="eastAsia" w:ascii="仿宋_GB2312" w:eastAsia="仿宋_GB2312" w:cs="仿宋_GB2312"/>
          <w:sz w:val="32"/>
          <w:szCs w:val="32"/>
        </w:rPr>
        <w:t>个；总编制</w:t>
      </w:r>
      <w:r>
        <w:rPr>
          <w:rFonts w:ascii="仿宋_GB2312" w:eastAsia="仿宋_GB2312" w:cs="仿宋_GB2312"/>
          <w:sz w:val="32"/>
          <w:szCs w:val="32"/>
        </w:rPr>
        <w:t>46</w:t>
      </w:r>
      <w:r>
        <w:rPr>
          <w:rFonts w:hint="eastAsia" w:ascii="仿宋_GB2312" w:eastAsia="仿宋_GB2312" w:cs="仿宋_GB2312"/>
          <w:sz w:val="32"/>
          <w:szCs w:val="32"/>
        </w:rPr>
        <w:t>名，行政编制</w:t>
      </w:r>
      <w:r>
        <w:rPr>
          <w:rFonts w:ascii="仿宋_GB2312" w:eastAsia="仿宋_GB2312" w:cs="仿宋_GB2312"/>
          <w:sz w:val="32"/>
          <w:szCs w:val="32"/>
        </w:rPr>
        <w:t>15</w:t>
      </w:r>
      <w:r>
        <w:rPr>
          <w:rFonts w:hint="eastAsia" w:ascii="仿宋_GB2312" w:eastAsia="仿宋_GB2312" w:cs="仿宋_GB2312"/>
          <w:sz w:val="32"/>
          <w:szCs w:val="32"/>
        </w:rPr>
        <w:t>名（含</w:t>
      </w:r>
      <w:r>
        <w:rPr>
          <w:rFonts w:ascii="仿宋_GB2312" w:eastAsia="仿宋_GB2312" w:cs="仿宋_GB2312"/>
          <w:sz w:val="32"/>
          <w:szCs w:val="32"/>
        </w:rPr>
        <w:t>2</w:t>
      </w:r>
      <w:r>
        <w:rPr>
          <w:rFonts w:hint="eastAsia" w:ascii="仿宋_GB2312" w:eastAsia="仿宋_GB2312" w:cs="仿宋_GB2312"/>
          <w:sz w:val="32"/>
          <w:szCs w:val="32"/>
        </w:rPr>
        <w:t>名工勤），事业编制</w:t>
      </w:r>
      <w:r>
        <w:rPr>
          <w:rFonts w:ascii="仿宋_GB2312" w:eastAsia="仿宋_GB2312" w:cs="仿宋_GB2312"/>
          <w:sz w:val="32"/>
          <w:szCs w:val="32"/>
        </w:rPr>
        <w:t>27</w:t>
      </w:r>
      <w:r>
        <w:rPr>
          <w:rFonts w:hint="eastAsia" w:ascii="仿宋_GB2312" w:eastAsia="仿宋_GB2312" w:cs="仿宋_GB2312"/>
          <w:sz w:val="32"/>
          <w:szCs w:val="32"/>
        </w:rPr>
        <w:t>名；在职人员总数</w:t>
      </w:r>
      <w:r>
        <w:rPr>
          <w:rFonts w:ascii="仿宋_GB2312" w:eastAsia="仿宋_GB2312" w:cs="仿宋_GB2312"/>
          <w:sz w:val="32"/>
          <w:szCs w:val="32"/>
        </w:rPr>
        <w:t>32</w:t>
      </w:r>
      <w:r>
        <w:rPr>
          <w:rFonts w:hint="eastAsia" w:ascii="仿宋_GB2312" w:eastAsia="仿宋_GB2312" w:cs="仿宋_GB2312"/>
          <w:sz w:val="32"/>
          <w:szCs w:val="32"/>
        </w:rPr>
        <w:t>名，其中：行政人员</w:t>
      </w:r>
      <w:r>
        <w:rPr>
          <w:rFonts w:ascii="仿宋_GB2312" w:eastAsia="仿宋_GB2312" w:cs="仿宋_GB2312"/>
          <w:sz w:val="32"/>
          <w:szCs w:val="32"/>
        </w:rPr>
        <w:t>13</w:t>
      </w:r>
      <w:r>
        <w:rPr>
          <w:rFonts w:hint="eastAsia" w:ascii="仿宋_GB2312" w:eastAsia="仿宋_GB2312" w:cs="仿宋_GB2312"/>
          <w:sz w:val="32"/>
          <w:szCs w:val="32"/>
        </w:rPr>
        <w:t>名、工勤人员</w:t>
      </w:r>
      <w:r>
        <w:rPr>
          <w:rFonts w:ascii="仿宋_GB2312" w:eastAsia="仿宋_GB2312" w:cs="仿宋_GB2312"/>
          <w:sz w:val="32"/>
          <w:szCs w:val="32"/>
        </w:rPr>
        <w:t>1</w:t>
      </w:r>
      <w:r>
        <w:rPr>
          <w:rFonts w:hint="eastAsia" w:ascii="仿宋_GB2312" w:eastAsia="仿宋_GB2312" w:cs="仿宋_GB2312"/>
          <w:sz w:val="32"/>
          <w:szCs w:val="32"/>
        </w:rPr>
        <w:t>名、事业人员</w:t>
      </w:r>
      <w:r>
        <w:rPr>
          <w:rFonts w:ascii="仿宋_GB2312" w:eastAsia="仿宋_GB2312" w:cs="仿宋_GB2312"/>
          <w:sz w:val="32"/>
          <w:szCs w:val="32"/>
        </w:rPr>
        <w:t>18</w:t>
      </w:r>
      <w:r>
        <w:rPr>
          <w:rFonts w:hint="eastAsia" w:ascii="仿宋_GB2312" w:eastAsia="仿宋_GB2312" w:cs="仿宋_GB2312"/>
          <w:sz w:val="32"/>
          <w:szCs w:val="32"/>
        </w:rPr>
        <w:t>名、离休人员</w:t>
      </w:r>
      <w:r>
        <w:rPr>
          <w:rFonts w:ascii="仿宋_GB2312" w:eastAsia="仿宋_GB2312" w:cs="仿宋_GB2312"/>
          <w:sz w:val="32"/>
          <w:szCs w:val="32"/>
        </w:rPr>
        <w:t>1</w:t>
      </w:r>
      <w:r>
        <w:rPr>
          <w:rFonts w:hint="eastAsia" w:ascii="仿宋_GB2312" w:eastAsia="仿宋_GB2312" w:cs="仿宋_GB2312"/>
          <w:sz w:val="32"/>
          <w:szCs w:val="32"/>
        </w:rPr>
        <w:t>名、退休人员</w:t>
      </w:r>
      <w:r>
        <w:rPr>
          <w:rFonts w:ascii="仿宋_GB2312" w:eastAsia="仿宋_GB2312" w:cs="仿宋_GB2312"/>
          <w:sz w:val="32"/>
          <w:szCs w:val="32"/>
        </w:rPr>
        <w:t>10</w:t>
      </w:r>
      <w:r>
        <w:rPr>
          <w:rFonts w:hint="eastAsia" w:ascii="仿宋_GB2312" w:eastAsia="仿宋_GB2312" w:cs="仿宋_GB2312"/>
          <w:sz w:val="32"/>
          <w:szCs w:val="32"/>
        </w:rPr>
        <w:t>名。</w:t>
      </w:r>
    </w:p>
    <w:p>
      <w:pPr>
        <w:widowControl/>
        <w:adjustRightInd w:val="0"/>
        <w:snapToGrid w:val="0"/>
        <w:spacing w:line="580" w:lineRule="exact"/>
        <w:ind w:firstLine="640" w:firstLineChars="200"/>
        <w:jc w:val="left"/>
        <w:rPr>
          <w:rFonts w:ascii="黑体" w:hAnsi="宋体" w:eastAsia="黑体"/>
          <w:color w:val="000000"/>
          <w:kern w:val="0"/>
          <w:sz w:val="32"/>
          <w:szCs w:val="32"/>
          <w:shd w:val="clear" w:color="auto" w:fill="FFFFFF"/>
        </w:rPr>
      </w:pPr>
      <w:r>
        <w:rPr>
          <w:rFonts w:hint="eastAsia" w:ascii="黑体" w:hAnsi="宋体" w:eastAsia="黑体" w:cs="黑体"/>
          <w:color w:val="000000"/>
          <w:kern w:val="0"/>
          <w:sz w:val="32"/>
          <w:szCs w:val="32"/>
          <w:shd w:val="clear" w:color="auto" w:fill="FFFFFF"/>
        </w:rPr>
        <w:t>二、部门财政资金收支情况</w:t>
      </w:r>
    </w:p>
    <w:p>
      <w:pPr>
        <w:spacing w:line="600" w:lineRule="exact"/>
        <w:ind w:firstLine="642" w:firstLineChars="200"/>
        <w:rPr>
          <w:rFonts w:ascii="仿宋_GB2312" w:hAnsi="宋体" w:eastAsia="仿宋_GB2312"/>
          <w:color w:val="000000"/>
          <w:kern w:val="0"/>
          <w:sz w:val="32"/>
          <w:szCs w:val="32"/>
          <w:shd w:val="clear" w:color="auto" w:fill="FFFFFF"/>
          <w:lang w:val="zh-CN"/>
        </w:rPr>
      </w:pPr>
      <w:r>
        <w:rPr>
          <w:rFonts w:hint="eastAsia" w:ascii="楷体_GB2312" w:hAnsi="宋体" w:eastAsia="楷体_GB2312" w:cs="楷体_GB2312"/>
          <w:b/>
          <w:bCs/>
          <w:color w:val="000000"/>
          <w:kern w:val="0"/>
          <w:sz w:val="32"/>
          <w:szCs w:val="32"/>
          <w:shd w:val="clear" w:color="auto" w:fill="FFFFFF"/>
          <w:lang w:val="zh-CN"/>
        </w:rPr>
        <w:t>（一）部门财政资金收入情况</w:t>
      </w:r>
    </w:p>
    <w:p>
      <w:pPr>
        <w:spacing w:line="600"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2019</w:t>
      </w:r>
      <w:r>
        <w:rPr>
          <w:rFonts w:hint="eastAsia" w:ascii="仿宋_GB2312" w:eastAsia="仿宋_GB2312" w:cs="仿宋_GB2312"/>
          <w:color w:val="000000"/>
          <w:sz w:val="32"/>
          <w:szCs w:val="32"/>
        </w:rPr>
        <w:t>年我局总收入为</w:t>
      </w:r>
      <w:r>
        <w:rPr>
          <w:rFonts w:ascii="仿宋_GB2312" w:eastAsia="仿宋_GB2312" w:cs="仿宋_GB2312"/>
          <w:color w:val="000000"/>
          <w:sz w:val="32"/>
          <w:szCs w:val="32"/>
        </w:rPr>
        <w:t>585.51</w:t>
      </w:r>
      <w:r>
        <w:rPr>
          <w:rFonts w:hint="eastAsia" w:ascii="仿宋_GB2312" w:eastAsia="仿宋_GB2312" w:cs="仿宋_GB2312"/>
          <w:color w:val="000000"/>
          <w:sz w:val="32"/>
          <w:szCs w:val="32"/>
        </w:rPr>
        <w:t>万元其中：财政拨款收入：</w:t>
      </w:r>
      <w:r>
        <w:rPr>
          <w:rFonts w:ascii="仿宋_GB2312" w:eastAsia="仿宋_GB2312" w:cs="仿宋_GB2312"/>
          <w:color w:val="000000"/>
          <w:sz w:val="32"/>
          <w:szCs w:val="32"/>
        </w:rPr>
        <w:t>585.51</w:t>
      </w:r>
      <w:r>
        <w:rPr>
          <w:rFonts w:hint="eastAsia" w:ascii="仿宋_GB2312" w:eastAsia="仿宋_GB2312" w:cs="仿宋_GB2312"/>
          <w:color w:val="000000"/>
          <w:sz w:val="32"/>
          <w:szCs w:val="32"/>
        </w:rPr>
        <w:t>万元。</w:t>
      </w:r>
    </w:p>
    <w:p>
      <w:pPr>
        <w:widowControl/>
        <w:adjustRightInd w:val="0"/>
        <w:snapToGrid w:val="0"/>
        <w:spacing w:line="580" w:lineRule="exact"/>
        <w:ind w:firstLine="642" w:firstLineChars="200"/>
        <w:jc w:val="left"/>
        <w:rPr>
          <w:rFonts w:ascii="楷体_GB2312" w:hAnsi="宋体" w:eastAsia="楷体_GB2312"/>
          <w:b/>
          <w:bCs/>
          <w:color w:val="000000"/>
          <w:kern w:val="0"/>
          <w:sz w:val="32"/>
          <w:szCs w:val="32"/>
          <w:shd w:val="clear" w:color="auto" w:fill="FFFFFF"/>
          <w:lang w:val="zh-CN"/>
        </w:rPr>
      </w:pPr>
      <w:r>
        <w:rPr>
          <w:rFonts w:hint="eastAsia" w:ascii="楷体_GB2312" w:hAnsi="宋体" w:eastAsia="楷体_GB2312" w:cs="楷体_GB2312"/>
          <w:b/>
          <w:bCs/>
          <w:color w:val="000000"/>
          <w:kern w:val="0"/>
          <w:sz w:val="32"/>
          <w:szCs w:val="32"/>
          <w:shd w:val="clear" w:color="auto" w:fill="FFFFFF"/>
          <w:lang w:val="zh-CN"/>
        </w:rPr>
        <w:t>（二）部门财政资金支出情况</w:t>
      </w:r>
    </w:p>
    <w:p>
      <w:pPr>
        <w:widowControl/>
        <w:adjustRightInd w:val="0"/>
        <w:snapToGrid w:val="0"/>
        <w:spacing w:line="580" w:lineRule="exact"/>
        <w:ind w:firstLine="640" w:firstLineChars="200"/>
        <w:jc w:val="left"/>
        <w:rPr>
          <w:rFonts w:ascii="仿宋_GB2312" w:hAnsi="宋体" w:eastAsia="仿宋_GB2312"/>
          <w:color w:val="000000"/>
          <w:kern w:val="0"/>
          <w:sz w:val="32"/>
          <w:szCs w:val="32"/>
          <w:shd w:val="clear" w:color="auto" w:fill="FFFFFF"/>
          <w:lang w:val="zh-CN"/>
        </w:rPr>
      </w:pPr>
      <w:r>
        <w:rPr>
          <w:rFonts w:ascii="仿宋_GB2312" w:eastAsia="仿宋_GB2312" w:cs="仿宋_GB2312"/>
          <w:sz w:val="32"/>
          <w:szCs w:val="32"/>
        </w:rPr>
        <w:t>2019</w:t>
      </w:r>
      <w:r>
        <w:rPr>
          <w:rFonts w:hint="eastAsia" w:ascii="仿宋_GB2312" w:eastAsia="仿宋_GB2312" w:cs="仿宋_GB2312"/>
          <w:sz w:val="32"/>
          <w:szCs w:val="32"/>
        </w:rPr>
        <w:t>年部门总支出</w:t>
      </w:r>
      <w:r>
        <w:rPr>
          <w:rFonts w:ascii="仿宋_GB2312" w:eastAsia="仿宋_GB2312" w:cs="仿宋_GB2312"/>
          <w:sz w:val="32"/>
          <w:szCs w:val="32"/>
        </w:rPr>
        <w:t>588.05</w:t>
      </w:r>
      <w:r>
        <w:rPr>
          <w:rFonts w:hint="eastAsia" w:ascii="仿宋_GB2312" w:eastAsia="仿宋_GB2312" w:cs="仿宋_GB2312"/>
          <w:sz w:val="32"/>
          <w:szCs w:val="32"/>
        </w:rPr>
        <w:t>万元，其中：基本支出</w:t>
      </w:r>
      <w:r>
        <w:rPr>
          <w:rFonts w:ascii="仿宋_GB2312" w:eastAsia="仿宋_GB2312" w:cs="仿宋_GB2312"/>
          <w:sz w:val="32"/>
          <w:szCs w:val="32"/>
        </w:rPr>
        <w:t>547.49</w:t>
      </w:r>
      <w:r>
        <w:rPr>
          <w:rFonts w:hint="eastAsia" w:ascii="仿宋_GB2312" w:eastAsia="仿宋_GB2312" w:cs="仿宋_GB2312"/>
          <w:sz w:val="32"/>
          <w:szCs w:val="32"/>
        </w:rPr>
        <w:t>万元，占总支出的</w:t>
      </w:r>
      <w:r>
        <w:rPr>
          <w:rFonts w:ascii="仿宋_GB2312" w:eastAsia="仿宋_GB2312" w:cs="仿宋_GB2312"/>
          <w:sz w:val="32"/>
          <w:szCs w:val="32"/>
        </w:rPr>
        <w:t>93.10</w:t>
      </w:r>
      <w:r>
        <w:rPr>
          <w:rFonts w:hint="eastAsia" w:ascii="仿宋_GB2312" w:eastAsia="仿宋_GB2312" w:cs="仿宋_GB2312"/>
          <w:sz w:val="32"/>
          <w:szCs w:val="32"/>
        </w:rPr>
        <w:t>％，按支经济科目分类，工资福利支出</w:t>
      </w:r>
      <w:r>
        <w:rPr>
          <w:rFonts w:ascii="仿宋_GB2312" w:eastAsia="仿宋_GB2312" w:cs="仿宋_GB2312"/>
          <w:sz w:val="32"/>
          <w:szCs w:val="32"/>
        </w:rPr>
        <w:t>390.50</w:t>
      </w:r>
      <w:r>
        <w:rPr>
          <w:rFonts w:hint="eastAsia" w:ascii="仿宋_GB2312" w:eastAsia="仿宋_GB2312" w:cs="仿宋_GB2312"/>
          <w:sz w:val="32"/>
          <w:szCs w:val="32"/>
        </w:rPr>
        <w:t>万元，商品服务支出</w:t>
      </w:r>
      <w:r>
        <w:rPr>
          <w:rFonts w:ascii="仿宋_GB2312" w:eastAsia="仿宋_GB2312" w:cs="仿宋_GB2312"/>
          <w:sz w:val="32"/>
          <w:szCs w:val="32"/>
        </w:rPr>
        <w:t>25.88</w:t>
      </w:r>
      <w:r>
        <w:rPr>
          <w:rFonts w:hint="eastAsia" w:ascii="仿宋_GB2312" w:eastAsia="仿宋_GB2312" w:cs="仿宋_GB2312"/>
          <w:sz w:val="32"/>
          <w:szCs w:val="32"/>
        </w:rPr>
        <w:t>万元，对个人和家庭补助</w:t>
      </w:r>
      <w:r>
        <w:rPr>
          <w:rFonts w:ascii="仿宋_GB2312" w:eastAsia="仿宋_GB2312" w:cs="仿宋_GB2312"/>
          <w:sz w:val="32"/>
          <w:szCs w:val="32"/>
        </w:rPr>
        <w:t>131.09</w:t>
      </w:r>
      <w:r>
        <w:rPr>
          <w:rFonts w:hint="eastAsia" w:ascii="仿宋_GB2312" w:eastAsia="仿宋_GB2312" w:cs="仿宋_GB2312"/>
          <w:sz w:val="32"/>
          <w:szCs w:val="32"/>
        </w:rPr>
        <w:t>万元。项目支出</w:t>
      </w:r>
      <w:r>
        <w:rPr>
          <w:rFonts w:ascii="仿宋_GB2312" w:eastAsia="仿宋_GB2312" w:cs="仿宋_GB2312"/>
          <w:sz w:val="32"/>
          <w:szCs w:val="32"/>
        </w:rPr>
        <w:t>40.56</w:t>
      </w:r>
      <w:r>
        <w:rPr>
          <w:rFonts w:hint="eastAsia" w:ascii="仿宋_GB2312" w:eastAsia="仿宋_GB2312" w:cs="仿宋_GB2312"/>
          <w:sz w:val="32"/>
          <w:szCs w:val="32"/>
        </w:rPr>
        <w:t>万元，占总支出的</w:t>
      </w:r>
      <w:r>
        <w:rPr>
          <w:rFonts w:ascii="仿宋_GB2312" w:eastAsia="仿宋_GB2312" w:cs="仿宋_GB2312"/>
          <w:sz w:val="32"/>
          <w:szCs w:val="32"/>
        </w:rPr>
        <w:t>6.90</w:t>
      </w:r>
      <w:r>
        <w:rPr>
          <w:rFonts w:hint="eastAsia" w:ascii="仿宋_GB2312" w:eastAsia="仿宋_GB2312" w:cs="仿宋_GB2312"/>
          <w:sz w:val="32"/>
          <w:szCs w:val="32"/>
        </w:rPr>
        <w:t>％，按经济科目分类，商品服务支出</w:t>
      </w:r>
      <w:r>
        <w:rPr>
          <w:rFonts w:ascii="仿宋_GB2312" w:eastAsia="仿宋_GB2312" w:cs="仿宋_GB2312"/>
          <w:sz w:val="32"/>
          <w:szCs w:val="32"/>
        </w:rPr>
        <w:t>40.38</w:t>
      </w:r>
      <w:r>
        <w:rPr>
          <w:rFonts w:hint="eastAsia" w:ascii="仿宋_GB2312" w:eastAsia="仿宋_GB2312" w:cs="仿宋_GB2312"/>
          <w:sz w:val="32"/>
          <w:szCs w:val="32"/>
        </w:rPr>
        <w:t>万元，对个人和家庭补助</w:t>
      </w:r>
      <w:r>
        <w:rPr>
          <w:rFonts w:ascii="仿宋_GB2312" w:eastAsia="仿宋_GB2312" w:cs="仿宋_GB2312"/>
          <w:sz w:val="32"/>
          <w:szCs w:val="32"/>
        </w:rPr>
        <w:t>0.18</w:t>
      </w:r>
      <w:r>
        <w:rPr>
          <w:rFonts w:hint="eastAsia" w:ascii="仿宋_GB2312" w:eastAsia="仿宋_GB2312" w:cs="仿宋_GB2312"/>
          <w:sz w:val="32"/>
          <w:szCs w:val="32"/>
        </w:rPr>
        <w:t>万元。　　　</w:t>
      </w:r>
    </w:p>
    <w:p>
      <w:pPr>
        <w:widowControl/>
        <w:adjustRightInd w:val="0"/>
        <w:snapToGrid w:val="0"/>
        <w:spacing w:line="580" w:lineRule="exact"/>
        <w:ind w:firstLine="640" w:firstLineChars="200"/>
        <w:jc w:val="left"/>
        <w:rPr>
          <w:rFonts w:ascii="黑体" w:hAnsi="宋体" w:eastAsia="黑体"/>
          <w:color w:val="000000"/>
          <w:kern w:val="0"/>
          <w:sz w:val="32"/>
          <w:szCs w:val="32"/>
          <w:shd w:val="clear" w:color="auto" w:fill="FFFFFF"/>
        </w:rPr>
      </w:pPr>
      <w:r>
        <w:rPr>
          <w:rFonts w:hint="eastAsia" w:ascii="黑体" w:hAnsi="宋体" w:eastAsia="黑体" w:cs="黑体"/>
          <w:color w:val="000000"/>
          <w:kern w:val="0"/>
          <w:sz w:val="32"/>
          <w:szCs w:val="32"/>
          <w:shd w:val="clear" w:color="auto" w:fill="FFFFFF"/>
        </w:rPr>
        <w:t>三、部门整体预算绩效管理情况</w:t>
      </w:r>
    </w:p>
    <w:p>
      <w:pPr>
        <w:widowControl/>
        <w:adjustRightInd w:val="0"/>
        <w:snapToGrid w:val="0"/>
        <w:spacing w:line="580" w:lineRule="exact"/>
        <w:ind w:firstLine="642" w:firstLineChars="200"/>
        <w:jc w:val="left"/>
        <w:rPr>
          <w:rFonts w:ascii="楷体_GB2312" w:hAnsi="宋体" w:eastAsia="楷体_GB2312"/>
          <w:b/>
          <w:bCs/>
          <w:color w:val="000000"/>
          <w:kern w:val="0"/>
          <w:sz w:val="32"/>
          <w:szCs w:val="32"/>
          <w:shd w:val="clear" w:color="auto" w:fill="FFFFFF"/>
          <w:lang w:val="zh-CN"/>
        </w:rPr>
      </w:pPr>
      <w:r>
        <w:rPr>
          <w:rFonts w:hint="eastAsia" w:ascii="楷体_GB2312" w:hAnsi="宋体" w:eastAsia="楷体_GB2312" w:cs="楷体_GB2312"/>
          <w:b/>
          <w:bCs/>
          <w:color w:val="000000"/>
          <w:kern w:val="0"/>
          <w:sz w:val="32"/>
          <w:szCs w:val="32"/>
          <w:shd w:val="clear" w:color="auto" w:fill="FFFFFF"/>
          <w:lang w:val="zh-CN"/>
        </w:rPr>
        <w:t>（一）部门预算管理</w:t>
      </w:r>
    </w:p>
    <w:p>
      <w:pPr>
        <w:spacing w:line="580" w:lineRule="exact"/>
        <w:ind w:firstLine="640" w:firstLineChars="200"/>
        <w:rPr>
          <w:rFonts w:ascii="仿宋_GB2312" w:hAnsi="仿宋" w:eastAsia="仿宋_GB2312"/>
          <w:sz w:val="32"/>
          <w:szCs w:val="32"/>
        </w:rPr>
      </w:pPr>
      <w:r>
        <w:rPr>
          <w:rFonts w:hint="eastAsia" w:ascii="仿宋_GB2312" w:hAnsi="仿宋" w:eastAsia="仿宋_GB2312" w:cs="仿宋_GB2312"/>
          <w:sz w:val="32"/>
          <w:szCs w:val="32"/>
        </w:rPr>
        <w:t>我局认真学习贯彻党的十九大、省第十一次党代会和省委十一届三次、四次全精神，以习近平新时</w:t>
      </w:r>
      <w:r>
        <w:rPr>
          <w:rFonts w:hint="eastAsia" w:ascii="仿宋_GB2312" w:hAnsi="仿宋" w:eastAsia="仿宋_GB2312" w:cs="仿宋_GB2312"/>
          <w:sz w:val="32"/>
          <w:szCs w:val="32"/>
          <w:lang w:eastAsia="zh-CN"/>
        </w:rPr>
        <w:t>代</w:t>
      </w:r>
      <w:r>
        <w:rPr>
          <w:rFonts w:hint="eastAsia" w:ascii="仿宋_GB2312" w:hAnsi="仿宋" w:eastAsia="仿宋_GB2312" w:cs="仿宋_GB2312"/>
          <w:sz w:val="32"/>
          <w:szCs w:val="32"/>
        </w:rPr>
        <w:t>中国特色社会主义思想为指导，自觉践行新发展理念，根据职能职责积极谋划，确定目标任务，积极发挥公共财政职能作用，推动落实稳增长、促改革、调结构、惠民生、防风险各项工作。</w:t>
      </w:r>
    </w:p>
    <w:p>
      <w:pPr>
        <w:spacing w:line="580" w:lineRule="exact"/>
        <w:ind w:firstLine="640" w:firstLineChars="200"/>
        <w:rPr>
          <w:rFonts w:ascii="仿宋_GB2312" w:eastAsia="仿宋_GB2312"/>
          <w:sz w:val="32"/>
          <w:szCs w:val="32"/>
        </w:rPr>
      </w:pPr>
      <w:r>
        <w:rPr>
          <w:rFonts w:hint="eastAsia" w:ascii="仿宋_GB2312" w:eastAsia="仿宋_GB2312" w:cs="仿宋_GB2312"/>
          <w:sz w:val="32"/>
          <w:szCs w:val="32"/>
        </w:rPr>
        <w:t>按照</w:t>
      </w:r>
      <w:r>
        <w:rPr>
          <w:rFonts w:ascii="仿宋_GB2312" w:eastAsia="仿宋_GB2312" w:cs="仿宋_GB2312"/>
          <w:sz w:val="32"/>
          <w:szCs w:val="32"/>
        </w:rPr>
        <w:t>2019</w:t>
      </w:r>
      <w:r>
        <w:rPr>
          <w:rFonts w:hint="eastAsia" w:ascii="仿宋_GB2312" w:eastAsia="仿宋_GB2312" w:cs="仿宋_GB2312"/>
          <w:sz w:val="32"/>
          <w:szCs w:val="32"/>
        </w:rPr>
        <w:t>年部门预算编制编审要求，根据我局职能职责，结合中长期规划和年度工作计划，明确了年度主要工作任务及年度内履职所要达到的效果，认真填报了我局整体支出绩效目标。</w:t>
      </w:r>
    </w:p>
    <w:p>
      <w:pPr>
        <w:widowControl/>
        <w:adjustRightInd w:val="0"/>
        <w:snapToGrid w:val="0"/>
        <w:spacing w:line="580" w:lineRule="exact"/>
        <w:ind w:firstLine="642" w:firstLineChars="200"/>
        <w:jc w:val="left"/>
        <w:rPr>
          <w:rFonts w:ascii="楷体_GB2312" w:hAnsi="宋体" w:eastAsia="楷体_GB2312"/>
          <w:b/>
          <w:bCs/>
          <w:color w:val="000000"/>
          <w:kern w:val="0"/>
          <w:sz w:val="32"/>
          <w:szCs w:val="32"/>
          <w:shd w:val="clear" w:color="auto" w:fill="FFFFFF"/>
          <w:lang w:val="zh-CN"/>
        </w:rPr>
      </w:pPr>
      <w:r>
        <w:rPr>
          <w:rFonts w:hint="eastAsia" w:ascii="楷体_GB2312" w:hAnsi="宋体" w:eastAsia="楷体_GB2312" w:cs="楷体_GB2312"/>
          <w:b/>
          <w:bCs/>
          <w:color w:val="000000"/>
          <w:kern w:val="0"/>
          <w:sz w:val="32"/>
          <w:szCs w:val="32"/>
          <w:shd w:val="clear" w:color="auto" w:fill="FFFFFF"/>
          <w:lang w:val="zh-CN"/>
        </w:rPr>
        <w:t>（二）结果应用情况</w:t>
      </w:r>
    </w:p>
    <w:p>
      <w:pPr>
        <w:spacing w:line="580" w:lineRule="exact"/>
        <w:ind w:firstLine="640" w:firstLineChars="200"/>
        <w:rPr>
          <w:rFonts w:ascii="仿宋_GB2312" w:eastAsia="仿宋_GB2312"/>
          <w:sz w:val="32"/>
          <w:szCs w:val="32"/>
        </w:rPr>
      </w:pPr>
      <w:r>
        <w:rPr>
          <w:rFonts w:hint="eastAsia" w:ascii="仿宋_GB2312" w:eastAsia="仿宋_GB2312" w:cs="仿宋_GB2312"/>
          <w:sz w:val="32"/>
          <w:szCs w:val="32"/>
        </w:rPr>
        <w:t>我局对部门预算绩效管理工作开展情况认真进行了自查自评，绩效评价自查开展覆盖重点支出，将评价结果作为预算安排的重要依据，参照年度预算执行情况，保障重点支出，调整支出结构，优化财政资金配置，不断强化绩效理念，推动我局部门整体绩效管理水平不断提升。</w:t>
      </w:r>
    </w:p>
    <w:p>
      <w:pPr>
        <w:widowControl/>
        <w:adjustRightInd w:val="0"/>
        <w:snapToGrid w:val="0"/>
        <w:spacing w:line="580" w:lineRule="exact"/>
        <w:ind w:firstLine="640" w:firstLineChars="200"/>
        <w:jc w:val="left"/>
        <w:rPr>
          <w:rFonts w:ascii="黑体" w:hAnsi="宋体" w:eastAsia="黑体"/>
          <w:color w:val="000000"/>
          <w:kern w:val="0"/>
          <w:sz w:val="32"/>
          <w:szCs w:val="32"/>
          <w:shd w:val="clear" w:color="auto" w:fill="FFFFFF"/>
        </w:rPr>
      </w:pPr>
      <w:r>
        <w:rPr>
          <w:rFonts w:hint="eastAsia" w:ascii="黑体" w:hAnsi="宋体" w:eastAsia="黑体" w:cs="黑体"/>
          <w:color w:val="000000"/>
          <w:kern w:val="0"/>
          <w:sz w:val="32"/>
          <w:szCs w:val="32"/>
          <w:shd w:val="clear" w:color="auto" w:fill="FFFFFF"/>
        </w:rPr>
        <w:t>四、评价结论及建议</w:t>
      </w:r>
    </w:p>
    <w:p>
      <w:pPr>
        <w:widowControl/>
        <w:adjustRightInd w:val="0"/>
        <w:snapToGrid w:val="0"/>
        <w:spacing w:line="580" w:lineRule="exact"/>
        <w:ind w:firstLine="642" w:firstLineChars="200"/>
        <w:jc w:val="left"/>
        <w:rPr>
          <w:rFonts w:ascii="楷体_GB2312" w:hAnsi="宋体" w:eastAsia="楷体_GB2312"/>
          <w:b/>
          <w:bCs/>
          <w:color w:val="000000"/>
          <w:kern w:val="0"/>
          <w:sz w:val="32"/>
          <w:szCs w:val="32"/>
          <w:shd w:val="clear" w:color="auto" w:fill="FFFFFF"/>
          <w:lang w:val="zh-CN"/>
        </w:rPr>
      </w:pPr>
      <w:r>
        <w:rPr>
          <w:rFonts w:hint="eastAsia" w:ascii="楷体_GB2312" w:hAnsi="宋体" w:eastAsia="楷体_GB2312" w:cs="楷体_GB2312"/>
          <w:b/>
          <w:bCs/>
          <w:color w:val="000000"/>
          <w:kern w:val="0"/>
          <w:sz w:val="32"/>
          <w:szCs w:val="32"/>
          <w:shd w:val="clear" w:color="auto" w:fill="FFFFFF"/>
          <w:lang w:val="zh-CN"/>
        </w:rPr>
        <w:t>（一）评价结论</w:t>
      </w:r>
    </w:p>
    <w:p>
      <w:pPr>
        <w:widowControl/>
        <w:adjustRightInd w:val="0"/>
        <w:snapToGrid w:val="0"/>
        <w:spacing w:line="580" w:lineRule="exact"/>
        <w:ind w:firstLine="640" w:firstLineChars="200"/>
        <w:jc w:val="left"/>
        <w:rPr>
          <w:rFonts w:ascii="仿宋_GB2312" w:hAnsi="宋体" w:eastAsia="仿宋_GB2312"/>
          <w:color w:val="000000"/>
          <w:kern w:val="0"/>
          <w:sz w:val="32"/>
          <w:szCs w:val="32"/>
          <w:shd w:val="clear" w:color="auto" w:fill="FFFFFF"/>
          <w:lang w:val="zh-CN"/>
        </w:rPr>
      </w:pPr>
      <w:r>
        <w:rPr>
          <w:rFonts w:hint="eastAsia" w:ascii="仿宋_GB2312" w:hAnsi="仿宋_GB2312" w:eastAsia="仿宋_GB2312" w:cs="仿宋_GB2312"/>
          <w:sz w:val="32"/>
          <w:szCs w:val="32"/>
        </w:rPr>
        <w:t>部门整体支出绩效评价自查自评结果良好，全年基本保证了部门的正常运行和日常工作的正常开展。</w:t>
      </w:r>
    </w:p>
    <w:p>
      <w:pPr>
        <w:spacing w:line="580" w:lineRule="exact"/>
        <w:ind w:firstLine="642" w:firstLineChars="200"/>
        <w:rPr>
          <w:rFonts w:ascii="楷体_GB2312" w:hAnsi="宋体" w:eastAsia="楷体_GB2312"/>
          <w:b/>
          <w:bCs/>
          <w:color w:val="000000"/>
          <w:kern w:val="0"/>
          <w:sz w:val="32"/>
          <w:szCs w:val="32"/>
          <w:shd w:val="clear" w:color="auto" w:fill="FFFFFF"/>
          <w:lang w:val="zh-CN"/>
        </w:rPr>
      </w:pPr>
      <w:r>
        <w:rPr>
          <w:rFonts w:hint="eastAsia" w:ascii="楷体_GB2312" w:hAnsi="宋体" w:eastAsia="楷体_GB2312" w:cs="楷体_GB2312"/>
          <w:b/>
          <w:bCs/>
          <w:color w:val="000000"/>
          <w:kern w:val="0"/>
          <w:sz w:val="32"/>
          <w:szCs w:val="32"/>
          <w:shd w:val="clear" w:color="auto" w:fill="FFFFFF"/>
          <w:lang w:val="zh-CN"/>
        </w:rPr>
        <w:t>（二）存在问题</w:t>
      </w:r>
    </w:p>
    <w:p>
      <w:pPr>
        <w:spacing w:line="580" w:lineRule="exact"/>
        <w:ind w:firstLine="640" w:firstLineChars="200"/>
        <w:rPr>
          <w:rStyle w:val="32"/>
          <w:rFonts w:ascii="仿宋_GB2312" w:hAnsi="黑体" w:eastAsia="仿宋_GB2312" w:cs="Times New Roman"/>
        </w:rPr>
      </w:pPr>
      <w:r>
        <w:rPr>
          <w:rFonts w:hint="eastAsia" w:ascii="仿宋_GB2312" w:eastAsia="仿宋_GB2312" w:cs="仿宋_GB2312"/>
          <w:sz w:val="32"/>
          <w:szCs w:val="32"/>
        </w:rPr>
        <w:t>绩效目标科学化、合理化。</w:t>
      </w:r>
    </w:p>
    <w:p>
      <w:pPr>
        <w:widowControl/>
        <w:adjustRightInd w:val="0"/>
        <w:snapToGrid w:val="0"/>
        <w:spacing w:line="580" w:lineRule="exact"/>
        <w:ind w:firstLine="642" w:firstLineChars="200"/>
        <w:jc w:val="left"/>
        <w:rPr>
          <w:rFonts w:ascii="楷体_GB2312" w:hAnsi="宋体" w:eastAsia="楷体_GB2312"/>
          <w:b/>
          <w:bCs/>
          <w:color w:val="000000"/>
          <w:kern w:val="0"/>
          <w:sz w:val="32"/>
          <w:szCs w:val="32"/>
          <w:shd w:val="clear" w:color="auto" w:fill="FFFFFF"/>
          <w:lang w:val="zh-CN"/>
        </w:rPr>
      </w:pPr>
      <w:r>
        <w:rPr>
          <w:rFonts w:hint="eastAsia" w:ascii="楷体_GB2312" w:hAnsi="宋体" w:eastAsia="楷体_GB2312" w:cs="楷体_GB2312"/>
          <w:b/>
          <w:bCs/>
          <w:color w:val="000000"/>
          <w:kern w:val="0"/>
          <w:sz w:val="32"/>
          <w:szCs w:val="32"/>
          <w:shd w:val="clear" w:color="auto" w:fill="FFFFFF"/>
          <w:lang w:val="zh-CN"/>
        </w:rPr>
        <w:t>（三）改进建议</w:t>
      </w:r>
    </w:p>
    <w:p>
      <w:pPr>
        <w:spacing w:line="580" w:lineRule="exact"/>
        <w:ind w:firstLine="640" w:firstLineChars="200"/>
        <w:rPr>
          <w:rFonts w:ascii="仿宋_GB2312" w:hAnsi="仿宋" w:eastAsia="仿宋_GB2312"/>
          <w:sz w:val="32"/>
          <w:szCs w:val="32"/>
        </w:rPr>
      </w:pPr>
      <w:r>
        <w:rPr>
          <w:rFonts w:hint="eastAsia" w:ascii="仿宋_GB2312" w:hAnsi="仿宋" w:eastAsia="仿宋_GB2312" w:cs="仿宋_GB2312"/>
          <w:sz w:val="32"/>
          <w:szCs w:val="32"/>
        </w:rPr>
        <w:t>针对存在的问题，我们将进一步科学设定绩效目标，加强预算执行管理。</w:t>
      </w:r>
    </w:p>
    <w:p>
      <w:pPr>
        <w:spacing w:line="580" w:lineRule="exact"/>
        <w:ind w:firstLine="640" w:firstLineChars="200"/>
        <w:rPr>
          <w:rFonts w:ascii="仿宋_GB2312" w:hAnsi="仿宋_GB2312" w:eastAsia="仿宋_GB2312"/>
          <w:sz w:val="32"/>
          <w:szCs w:val="32"/>
        </w:rPr>
      </w:pPr>
    </w:p>
    <w:p>
      <w:pPr>
        <w:spacing w:line="580" w:lineRule="exact"/>
        <w:ind w:firstLine="640" w:firstLineChars="200"/>
        <w:rPr>
          <w:rFonts w:ascii="仿宋_GB2312" w:hAnsi="仿宋_GB2312" w:eastAsia="仿宋_GB2312"/>
          <w:sz w:val="32"/>
          <w:szCs w:val="32"/>
        </w:rPr>
      </w:pPr>
    </w:p>
    <w:p>
      <w:pPr>
        <w:widowControl/>
        <w:jc w:val="left"/>
        <w:rPr>
          <w:rStyle w:val="16"/>
          <w:rFonts w:ascii="黑体" w:hAnsi="黑体" w:eastAsia="黑体"/>
          <w:b w:val="0"/>
          <w:bCs w:val="0"/>
        </w:rPr>
      </w:pPr>
    </w:p>
    <w:p>
      <w:pPr>
        <w:widowControl/>
        <w:ind w:firstLine="2640" w:firstLineChars="600"/>
        <w:jc w:val="left"/>
        <w:rPr>
          <w:rStyle w:val="16"/>
          <w:rFonts w:ascii="方正小标宋_GBK" w:hAnsi="黑体" w:eastAsia="方正小标宋_GBK"/>
          <w:b w:val="0"/>
          <w:bCs w:val="0"/>
        </w:rPr>
      </w:pPr>
      <w:r>
        <w:rPr>
          <w:rStyle w:val="16"/>
          <w:rFonts w:ascii="黑体" w:hAnsi="黑体" w:eastAsia="黑体"/>
          <w:b w:val="0"/>
          <w:bCs w:val="0"/>
        </w:rPr>
        <w:br w:type="page"/>
      </w:r>
      <w:bookmarkStart w:id="73" w:name="_Toc15396618"/>
      <w:r>
        <w:rPr>
          <w:rFonts w:hint="eastAsia" w:ascii="方正小标宋_GBK" w:hAnsi="黑体" w:eastAsia="方正小标宋_GBK" w:cs="方正小标宋_GBK"/>
          <w:color w:val="000000"/>
          <w:sz w:val="44"/>
          <w:szCs w:val="44"/>
        </w:rPr>
        <w:t>第</w:t>
      </w:r>
      <w:r>
        <w:rPr>
          <w:rStyle w:val="16"/>
          <w:rFonts w:hint="eastAsia" w:ascii="方正小标宋_GBK" w:hAnsi="黑体" w:eastAsia="方正小标宋_GBK" w:cs="方正小标宋_GBK"/>
          <w:b w:val="0"/>
          <w:bCs w:val="0"/>
        </w:rPr>
        <w:t>五部分</w:t>
      </w:r>
      <w:r>
        <w:rPr>
          <w:rStyle w:val="16"/>
          <w:rFonts w:ascii="方正小标宋_GBK" w:hAnsi="黑体" w:eastAsia="方正小标宋_GBK" w:cs="方正小标宋_GBK"/>
          <w:b w:val="0"/>
          <w:bCs w:val="0"/>
        </w:rPr>
        <w:t xml:space="preserve"> </w:t>
      </w:r>
      <w:r>
        <w:rPr>
          <w:rStyle w:val="16"/>
          <w:rFonts w:hint="eastAsia" w:ascii="方正小标宋_GBK" w:hAnsi="黑体" w:eastAsia="方正小标宋_GBK" w:cs="方正小标宋_GBK"/>
          <w:b w:val="0"/>
          <w:bCs w:val="0"/>
        </w:rPr>
        <w:t>附表</w:t>
      </w:r>
      <w:bookmarkEnd w:id="71"/>
      <w:bookmarkEnd w:id="73"/>
    </w:p>
    <w:p>
      <w:pPr>
        <w:pStyle w:val="3"/>
        <w:rPr>
          <w:rFonts w:ascii="仿宋_GB2312" w:hAnsi="仿宋" w:eastAsia="仿宋_GB2312" w:cs="Times New Roman"/>
          <w:color w:val="000000"/>
        </w:rPr>
      </w:pPr>
      <w:bookmarkStart w:id="74" w:name="_Toc15396619"/>
      <w:r>
        <w:rPr>
          <w:rFonts w:hint="eastAsia" w:ascii="仿宋_GB2312" w:hAnsi="仿宋" w:eastAsia="仿宋_GB2312" w:cs="仿宋_GB2312"/>
          <w:b w:val="0"/>
          <w:bCs w:val="0"/>
          <w:color w:val="000000"/>
        </w:rPr>
        <w:t>一、收</w:t>
      </w:r>
      <w:r>
        <w:rPr>
          <w:rStyle w:val="17"/>
          <w:rFonts w:hint="eastAsia" w:ascii="仿宋_GB2312" w:hAnsi="仿宋" w:eastAsia="仿宋_GB2312" w:cs="仿宋_GB2312"/>
          <w:b w:val="0"/>
          <w:bCs w:val="0"/>
        </w:rPr>
        <w:t>入支出决算总表</w:t>
      </w:r>
      <w:bookmarkEnd w:id="74"/>
    </w:p>
    <w:p>
      <w:pPr>
        <w:pStyle w:val="3"/>
        <w:rPr>
          <w:rFonts w:ascii="仿宋_GB2312" w:hAnsi="仿宋" w:eastAsia="仿宋_GB2312" w:cs="Times New Roman"/>
          <w:color w:val="000000"/>
        </w:rPr>
      </w:pPr>
      <w:bookmarkStart w:id="75" w:name="_Toc15396620"/>
      <w:r>
        <w:rPr>
          <w:rFonts w:hint="eastAsia" w:ascii="仿宋_GB2312" w:hAnsi="仿宋" w:eastAsia="仿宋_GB2312" w:cs="仿宋_GB2312"/>
          <w:b w:val="0"/>
          <w:bCs w:val="0"/>
          <w:color w:val="000000"/>
        </w:rPr>
        <w:t>二、收</w:t>
      </w:r>
      <w:r>
        <w:rPr>
          <w:rStyle w:val="17"/>
          <w:rFonts w:hint="eastAsia" w:ascii="仿宋_GB2312" w:hAnsi="仿宋" w:eastAsia="仿宋_GB2312" w:cs="仿宋_GB2312"/>
          <w:b w:val="0"/>
          <w:bCs w:val="0"/>
        </w:rPr>
        <w:t>入决算表</w:t>
      </w:r>
      <w:bookmarkEnd w:id="75"/>
    </w:p>
    <w:p>
      <w:pPr>
        <w:pStyle w:val="3"/>
        <w:rPr>
          <w:rFonts w:ascii="仿宋_GB2312" w:hAnsi="仿宋" w:eastAsia="仿宋_GB2312" w:cs="Times New Roman"/>
          <w:color w:val="000000"/>
        </w:rPr>
      </w:pPr>
      <w:bookmarkStart w:id="76" w:name="_Toc15396621"/>
      <w:r>
        <w:rPr>
          <w:rStyle w:val="17"/>
          <w:rFonts w:hint="eastAsia" w:ascii="仿宋_GB2312" w:hAnsi="仿宋" w:eastAsia="仿宋_GB2312" w:cs="仿宋_GB2312"/>
          <w:b w:val="0"/>
          <w:bCs w:val="0"/>
        </w:rPr>
        <w:t>三、</w:t>
      </w:r>
      <w:r>
        <w:rPr>
          <w:rFonts w:hint="eastAsia" w:ascii="仿宋_GB2312" w:hAnsi="仿宋" w:eastAsia="仿宋_GB2312" w:cs="仿宋_GB2312"/>
          <w:b w:val="0"/>
          <w:bCs w:val="0"/>
          <w:color w:val="000000"/>
        </w:rPr>
        <w:t>支</w:t>
      </w:r>
      <w:r>
        <w:rPr>
          <w:rStyle w:val="17"/>
          <w:rFonts w:hint="eastAsia" w:ascii="仿宋_GB2312" w:hAnsi="仿宋" w:eastAsia="仿宋_GB2312" w:cs="仿宋_GB2312"/>
          <w:b w:val="0"/>
          <w:bCs w:val="0"/>
        </w:rPr>
        <w:t>出决算表</w:t>
      </w:r>
      <w:bookmarkEnd w:id="76"/>
    </w:p>
    <w:p>
      <w:pPr>
        <w:pStyle w:val="3"/>
        <w:rPr>
          <w:rFonts w:ascii="仿宋_GB2312" w:hAnsi="仿宋" w:eastAsia="仿宋_GB2312" w:cs="Times New Roman"/>
          <w:b w:val="0"/>
          <w:bCs w:val="0"/>
          <w:color w:val="000000"/>
        </w:rPr>
      </w:pPr>
      <w:bookmarkStart w:id="77" w:name="_Toc15396622"/>
      <w:r>
        <w:rPr>
          <w:rStyle w:val="17"/>
          <w:rFonts w:hint="eastAsia" w:ascii="仿宋_GB2312" w:hAnsi="仿宋" w:eastAsia="仿宋_GB2312" w:cs="仿宋_GB2312"/>
          <w:b w:val="0"/>
          <w:bCs w:val="0"/>
        </w:rPr>
        <w:t>四、</w:t>
      </w:r>
      <w:r>
        <w:rPr>
          <w:rFonts w:hint="eastAsia" w:ascii="仿宋_GB2312" w:hAnsi="仿宋" w:eastAsia="仿宋_GB2312" w:cs="仿宋_GB2312"/>
          <w:b w:val="0"/>
          <w:bCs w:val="0"/>
          <w:color w:val="000000"/>
        </w:rPr>
        <w:t>财</w:t>
      </w:r>
      <w:r>
        <w:rPr>
          <w:rStyle w:val="17"/>
          <w:rFonts w:hint="eastAsia" w:ascii="仿宋_GB2312" w:hAnsi="仿宋" w:eastAsia="仿宋_GB2312" w:cs="仿宋_GB2312"/>
          <w:b w:val="0"/>
          <w:bCs w:val="0"/>
        </w:rPr>
        <w:t>政拨款收入支出决算总表</w:t>
      </w:r>
      <w:bookmarkEnd w:id="77"/>
    </w:p>
    <w:p>
      <w:pPr>
        <w:pStyle w:val="3"/>
        <w:rPr>
          <w:rStyle w:val="17"/>
          <w:rFonts w:ascii="仿宋_GB2312" w:hAnsi="仿宋" w:eastAsia="仿宋_GB2312" w:cs="Times New Roman"/>
          <w:b w:val="0"/>
          <w:bCs w:val="0"/>
        </w:rPr>
      </w:pPr>
      <w:bookmarkStart w:id="78" w:name="_Toc15396623"/>
      <w:r>
        <w:rPr>
          <w:rStyle w:val="17"/>
          <w:rFonts w:hint="eastAsia" w:ascii="仿宋_GB2312" w:hAnsi="仿宋" w:eastAsia="仿宋_GB2312" w:cs="仿宋_GB2312"/>
          <w:b w:val="0"/>
          <w:bCs w:val="0"/>
        </w:rPr>
        <w:t>五、</w:t>
      </w:r>
      <w:r>
        <w:rPr>
          <w:rFonts w:hint="eastAsia" w:ascii="仿宋_GB2312" w:hAnsi="仿宋" w:eastAsia="仿宋_GB2312" w:cs="仿宋_GB2312"/>
          <w:b w:val="0"/>
          <w:bCs w:val="0"/>
          <w:color w:val="000000"/>
        </w:rPr>
        <w:t>财</w:t>
      </w:r>
      <w:r>
        <w:rPr>
          <w:rStyle w:val="17"/>
          <w:rFonts w:hint="eastAsia" w:ascii="仿宋_GB2312" w:hAnsi="仿宋" w:eastAsia="仿宋_GB2312" w:cs="仿宋_GB2312"/>
          <w:b w:val="0"/>
          <w:bCs w:val="0"/>
        </w:rPr>
        <w:t>政拨款支出决算明细表</w:t>
      </w:r>
      <w:bookmarkEnd w:id="78"/>
      <w:bookmarkStart w:id="79" w:name="_Toc15396624"/>
    </w:p>
    <w:p>
      <w:pPr>
        <w:pStyle w:val="3"/>
        <w:rPr>
          <w:rFonts w:ascii="仿宋_GB2312" w:hAnsi="仿宋" w:eastAsia="仿宋_GB2312" w:cs="Times New Roman"/>
          <w:color w:val="000000"/>
        </w:rPr>
      </w:pPr>
      <w:r>
        <w:rPr>
          <w:rStyle w:val="17"/>
          <w:rFonts w:hint="eastAsia" w:ascii="仿宋_GB2312" w:hAnsi="仿宋" w:eastAsia="仿宋_GB2312" w:cs="仿宋_GB2312"/>
          <w:b w:val="0"/>
          <w:bCs w:val="0"/>
        </w:rPr>
        <w:t>六、</w:t>
      </w:r>
      <w:r>
        <w:rPr>
          <w:rFonts w:hint="eastAsia" w:ascii="仿宋_GB2312" w:hAnsi="仿宋" w:eastAsia="仿宋_GB2312" w:cs="仿宋_GB2312"/>
          <w:b w:val="0"/>
          <w:bCs w:val="0"/>
          <w:color w:val="000000"/>
        </w:rPr>
        <w:t>一</w:t>
      </w:r>
      <w:r>
        <w:rPr>
          <w:rStyle w:val="17"/>
          <w:rFonts w:hint="eastAsia" w:ascii="仿宋_GB2312" w:hAnsi="仿宋" w:eastAsia="仿宋_GB2312" w:cs="仿宋_GB2312"/>
          <w:b w:val="0"/>
          <w:bCs w:val="0"/>
        </w:rPr>
        <w:t>般公共预算财政拨款支出决算表</w:t>
      </w:r>
      <w:bookmarkEnd w:id="79"/>
    </w:p>
    <w:p>
      <w:pPr>
        <w:pStyle w:val="3"/>
        <w:rPr>
          <w:rFonts w:ascii="仿宋_GB2312" w:hAnsi="仿宋" w:eastAsia="仿宋_GB2312" w:cs="Times New Roman"/>
          <w:color w:val="000000"/>
        </w:rPr>
      </w:pPr>
      <w:bookmarkStart w:id="80" w:name="_Toc15396625"/>
      <w:r>
        <w:rPr>
          <w:rStyle w:val="17"/>
          <w:rFonts w:hint="eastAsia" w:ascii="仿宋_GB2312" w:hAnsi="仿宋" w:eastAsia="仿宋_GB2312" w:cs="仿宋_GB2312"/>
          <w:b w:val="0"/>
          <w:bCs w:val="0"/>
        </w:rPr>
        <w:t>七、</w:t>
      </w:r>
      <w:r>
        <w:rPr>
          <w:rFonts w:hint="eastAsia" w:ascii="仿宋_GB2312" w:hAnsi="仿宋" w:eastAsia="仿宋_GB2312" w:cs="仿宋_GB2312"/>
          <w:b w:val="0"/>
          <w:bCs w:val="0"/>
          <w:color w:val="000000"/>
        </w:rPr>
        <w:t>一</w:t>
      </w:r>
      <w:r>
        <w:rPr>
          <w:rStyle w:val="17"/>
          <w:rFonts w:hint="eastAsia" w:ascii="仿宋_GB2312" w:hAnsi="仿宋" w:eastAsia="仿宋_GB2312" w:cs="仿宋_GB2312"/>
          <w:b w:val="0"/>
          <w:bCs w:val="0"/>
        </w:rPr>
        <w:t>般公共预算财政拨款支出决算明细表</w:t>
      </w:r>
      <w:bookmarkEnd w:id="80"/>
    </w:p>
    <w:p>
      <w:pPr>
        <w:pStyle w:val="3"/>
        <w:rPr>
          <w:rFonts w:ascii="仿宋_GB2312" w:hAnsi="仿宋" w:eastAsia="仿宋_GB2312" w:cs="Times New Roman"/>
          <w:color w:val="000000"/>
        </w:rPr>
      </w:pPr>
      <w:bookmarkStart w:id="81" w:name="_Toc15396626"/>
      <w:r>
        <w:rPr>
          <w:rStyle w:val="17"/>
          <w:rFonts w:hint="eastAsia" w:ascii="仿宋_GB2312" w:hAnsi="仿宋" w:eastAsia="仿宋_GB2312" w:cs="仿宋_GB2312"/>
          <w:b w:val="0"/>
          <w:bCs w:val="0"/>
        </w:rPr>
        <w:t>八、</w:t>
      </w:r>
      <w:r>
        <w:rPr>
          <w:rFonts w:hint="eastAsia" w:ascii="仿宋_GB2312" w:hAnsi="仿宋" w:eastAsia="仿宋_GB2312" w:cs="仿宋_GB2312"/>
          <w:b w:val="0"/>
          <w:bCs w:val="0"/>
          <w:color w:val="000000"/>
        </w:rPr>
        <w:t>一</w:t>
      </w:r>
      <w:r>
        <w:rPr>
          <w:rStyle w:val="17"/>
          <w:rFonts w:hint="eastAsia" w:ascii="仿宋_GB2312" w:hAnsi="仿宋" w:eastAsia="仿宋_GB2312" w:cs="仿宋_GB2312"/>
          <w:b w:val="0"/>
          <w:bCs w:val="0"/>
        </w:rPr>
        <w:t>般公共预算财政拨款基本支出决算表</w:t>
      </w:r>
      <w:bookmarkEnd w:id="81"/>
    </w:p>
    <w:p>
      <w:pPr>
        <w:pStyle w:val="3"/>
        <w:rPr>
          <w:rFonts w:ascii="仿宋_GB2312" w:hAnsi="仿宋" w:eastAsia="仿宋_GB2312" w:cs="Times New Roman"/>
          <w:color w:val="000000"/>
        </w:rPr>
      </w:pPr>
      <w:bookmarkStart w:id="82" w:name="_Toc15396627"/>
      <w:r>
        <w:rPr>
          <w:rStyle w:val="17"/>
          <w:rFonts w:hint="eastAsia" w:ascii="仿宋_GB2312" w:hAnsi="仿宋" w:eastAsia="仿宋_GB2312" w:cs="仿宋_GB2312"/>
          <w:b w:val="0"/>
          <w:bCs w:val="0"/>
        </w:rPr>
        <w:t>九、</w:t>
      </w:r>
      <w:r>
        <w:rPr>
          <w:rFonts w:hint="eastAsia" w:ascii="仿宋_GB2312" w:hAnsi="仿宋" w:eastAsia="仿宋_GB2312" w:cs="仿宋_GB2312"/>
          <w:b w:val="0"/>
          <w:bCs w:val="0"/>
          <w:color w:val="000000"/>
        </w:rPr>
        <w:t>一</w:t>
      </w:r>
      <w:r>
        <w:rPr>
          <w:rStyle w:val="17"/>
          <w:rFonts w:hint="eastAsia" w:ascii="仿宋_GB2312" w:hAnsi="仿宋" w:eastAsia="仿宋_GB2312" w:cs="仿宋_GB2312"/>
          <w:b w:val="0"/>
          <w:bCs w:val="0"/>
        </w:rPr>
        <w:t>般公共预算财政拨款项目支出决算表</w:t>
      </w:r>
      <w:bookmarkEnd w:id="82"/>
    </w:p>
    <w:p>
      <w:pPr>
        <w:pStyle w:val="3"/>
        <w:rPr>
          <w:rFonts w:ascii="仿宋_GB2312" w:hAnsi="仿宋" w:eastAsia="仿宋_GB2312" w:cs="Times New Roman"/>
          <w:color w:val="000000"/>
        </w:rPr>
      </w:pPr>
      <w:bookmarkStart w:id="83" w:name="_Toc15396628"/>
      <w:r>
        <w:rPr>
          <w:rStyle w:val="17"/>
          <w:rFonts w:hint="eastAsia" w:ascii="仿宋_GB2312" w:hAnsi="仿宋" w:eastAsia="仿宋_GB2312" w:cs="仿宋_GB2312"/>
          <w:b w:val="0"/>
          <w:bCs w:val="0"/>
        </w:rPr>
        <w:t>十、</w:t>
      </w:r>
      <w:r>
        <w:rPr>
          <w:rFonts w:hint="eastAsia" w:ascii="仿宋_GB2312" w:hAnsi="仿宋" w:eastAsia="仿宋_GB2312" w:cs="仿宋_GB2312"/>
          <w:b w:val="0"/>
          <w:bCs w:val="0"/>
          <w:color w:val="000000"/>
        </w:rPr>
        <w:t>一</w:t>
      </w:r>
      <w:r>
        <w:rPr>
          <w:rStyle w:val="17"/>
          <w:rFonts w:hint="eastAsia" w:ascii="仿宋_GB2312" w:hAnsi="仿宋" w:eastAsia="仿宋_GB2312" w:cs="仿宋_GB2312"/>
          <w:b w:val="0"/>
          <w:bCs w:val="0"/>
        </w:rPr>
        <w:t>般公共预算财政拨款“三公”经费支出决算表</w:t>
      </w:r>
      <w:bookmarkEnd w:id="83"/>
    </w:p>
    <w:p>
      <w:pPr>
        <w:pStyle w:val="3"/>
        <w:rPr>
          <w:rFonts w:ascii="仿宋_GB2312" w:hAnsi="仿宋" w:eastAsia="仿宋_GB2312" w:cs="Times New Roman"/>
          <w:color w:val="000000"/>
        </w:rPr>
      </w:pPr>
      <w:bookmarkStart w:id="84" w:name="_Toc15396629"/>
      <w:r>
        <w:rPr>
          <w:rStyle w:val="17"/>
          <w:rFonts w:hint="eastAsia" w:ascii="仿宋_GB2312" w:hAnsi="仿宋" w:eastAsia="仿宋_GB2312" w:cs="仿宋_GB2312"/>
          <w:b w:val="0"/>
          <w:bCs w:val="0"/>
        </w:rPr>
        <w:t>十一、</w:t>
      </w:r>
      <w:r>
        <w:rPr>
          <w:rFonts w:hint="eastAsia" w:ascii="仿宋_GB2312" w:hAnsi="仿宋" w:eastAsia="仿宋_GB2312" w:cs="仿宋_GB2312"/>
          <w:b w:val="0"/>
          <w:bCs w:val="0"/>
          <w:color w:val="000000"/>
        </w:rPr>
        <w:t>政</w:t>
      </w:r>
      <w:r>
        <w:rPr>
          <w:rStyle w:val="17"/>
          <w:rFonts w:hint="eastAsia" w:ascii="仿宋_GB2312" w:hAnsi="仿宋" w:eastAsia="仿宋_GB2312" w:cs="仿宋_GB2312"/>
          <w:b w:val="0"/>
          <w:bCs w:val="0"/>
        </w:rPr>
        <w:t>府性基金预算财政拨款收入支出决算表</w:t>
      </w:r>
      <w:bookmarkEnd w:id="84"/>
    </w:p>
    <w:p>
      <w:pPr>
        <w:pStyle w:val="3"/>
        <w:rPr>
          <w:rFonts w:ascii="仿宋_GB2312" w:hAnsi="仿宋" w:eastAsia="仿宋_GB2312" w:cs="Times New Roman"/>
          <w:color w:val="000000"/>
        </w:rPr>
      </w:pPr>
      <w:bookmarkStart w:id="85" w:name="_Toc15396630"/>
      <w:r>
        <w:rPr>
          <w:rStyle w:val="17"/>
          <w:rFonts w:hint="eastAsia" w:ascii="仿宋_GB2312" w:hAnsi="仿宋" w:eastAsia="仿宋_GB2312" w:cs="仿宋_GB2312"/>
          <w:b w:val="0"/>
          <w:bCs w:val="0"/>
        </w:rPr>
        <w:t>十二、</w:t>
      </w:r>
      <w:r>
        <w:rPr>
          <w:rFonts w:hint="eastAsia" w:ascii="仿宋_GB2312" w:hAnsi="仿宋" w:eastAsia="仿宋_GB2312" w:cs="仿宋_GB2312"/>
          <w:b w:val="0"/>
          <w:bCs w:val="0"/>
          <w:color w:val="000000"/>
        </w:rPr>
        <w:t>政</w:t>
      </w:r>
      <w:r>
        <w:rPr>
          <w:rStyle w:val="17"/>
          <w:rFonts w:hint="eastAsia" w:ascii="仿宋_GB2312" w:hAnsi="仿宋" w:eastAsia="仿宋_GB2312" w:cs="仿宋_GB2312"/>
          <w:b w:val="0"/>
          <w:bCs w:val="0"/>
        </w:rPr>
        <w:t>府性基金预算财政拨款“三公”经费支出决算表</w:t>
      </w:r>
      <w:bookmarkEnd w:id="85"/>
    </w:p>
    <w:p>
      <w:pPr>
        <w:pStyle w:val="3"/>
        <w:rPr>
          <w:rFonts w:ascii="仿宋_GB2312" w:hAnsi="仿宋" w:eastAsia="仿宋_GB2312" w:cs="Times New Roman"/>
          <w:color w:val="000000"/>
        </w:rPr>
      </w:pPr>
      <w:bookmarkStart w:id="86" w:name="_Toc15396631"/>
      <w:r>
        <w:rPr>
          <w:rStyle w:val="17"/>
          <w:rFonts w:hint="eastAsia" w:ascii="仿宋_GB2312" w:hAnsi="仿宋" w:eastAsia="仿宋_GB2312" w:cs="仿宋_GB2312"/>
          <w:b w:val="0"/>
          <w:bCs w:val="0"/>
        </w:rPr>
        <w:t>十三、</w:t>
      </w:r>
      <w:r>
        <w:rPr>
          <w:rFonts w:hint="eastAsia" w:ascii="仿宋_GB2312" w:hAnsi="仿宋" w:eastAsia="仿宋_GB2312" w:cs="仿宋_GB2312"/>
          <w:b w:val="0"/>
          <w:bCs w:val="0"/>
          <w:color w:val="000000"/>
        </w:rPr>
        <w:t>国</w:t>
      </w:r>
      <w:r>
        <w:rPr>
          <w:rStyle w:val="17"/>
          <w:rFonts w:hint="eastAsia" w:ascii="仿宋_GB2312" w:hAnsi="仿宋" w:eastAsia="仿宋_GB2312" w:cs="仿宋_GB2312"/>
          <w:b w:val="0"/>
          <w:bCs w:val="0"/>
        </w:rPr>
        <w:t>有资本经营预算支出决算表</w:t>
      </w:r>
      <w:bookmarkEnd w:id="86"/>
    </w:p>
    <w:sectPr>
      <w:headerReference r:id="rId3" w:type="default"/>
      <w:footerReference r:id="rId4" w:type="default"/>
      <w:pgSz w:w="11906" w:h="16838"/>
      <w:pgMar w:top="1440" w:right="1616"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方正小标宋_GBK">
    <w:panose1 w:val="03000502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Tahoma">
    <w:altName w:val="DejaVu Sans"/>
    <w:panose1 w:val="020B0604030504040204"/>
    <w:charset w:val="00"/>
    <w:family w:val="swiss"/>
    <w:pitch w:val="default"/>
    <w:sig w:usb0="00000000" w:usb1="00000000" w:usb2="00000029" w:usb3="00000000" w:csb0="200101FF" w:csb1="2028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rPr>
        <w:rFonts w:cs="Times New Roman"/>
      </w:rPr>
    </w:pPr>
    <w:r>
      <w:fldChar w:fldCharType="begin"/>
    </w:r>
    <w:r>
      <w:instrText xml:space="preserve">PAGE   \* MERGEFORMAT</w:instrText>
    </w:r>
    <w:r>
      <w:fldChar w:fldCharType="separate"/>
    </w:r>
    <w:r>
      <w:rPr>
        <w:lang w:val="zh-CN"/>
      </w:rPr>
      <w:t>22</w:t>
    </w:r>
    <w:r>
      <w:rPr>
        <w:lang w:val="zh-CN"/>
      </w:rPr>
      <w:fldChar w:fldCharType="end"/>
    </w:r>
  </w:p>
  <w:p>
    <w:pPr>
      <w:pStyle w:val="8"/>
      <w:rPr>
        <w:rFonts w:cs="Times New Roma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rPr>
        <w:rFonts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b w:val="0"/>
        <w:bCs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3">
    <w:nsid w:val="57A1BA1F"/>
    <w:multiLevelType w:val="singleLevel"/>
    <w:tmpl w:val="57A1BA1F"/>
    <w:lvl w:ilvl="0" w:tentative="0">
      <w:start w:val="1"/>
      <w:numFmt w:val="chineseCounting"/>
      <w:suff w:val="space"/>
      <w:lvlText w:val="第%1部分"/>
      <w:lvlJc w:val="left"/>
      <w:rPr>
        <w:rFonts w:hint="eastAsia"/>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1361C"/>
    <w:rsid w:val="00017F9E"/>
    <w:rsid w:val="000222C6"/>
    <w:rsid w:val="00023866"/>
    <w:rsid w:val="0002549F"/>
    <w:rsid w:val="000255D4"/>
    <w:rsid w:val="00026C5F"/>
    <w:rsid w:val="00043FD0"/>
    <w:rsid w:val="000468DB"/>
    <w:rsid w:val="00050C1F"/>
    <w:rsid w:val="0006111F"/>
    <w:rsid w:val="0006414B"/>
    <w:rsid w:val="0006487A"/>
    <w:rsid w:val="00065F8F"/>
    <w:rsid w:val="00070A43"/>
    <w:rsid w:val="000768F2"/>
    <w:rsid w:val="000774AA"/>
    <w:rsid w:val="00077CB4"/>
    <w:rsid w:val="0009184B"/>
    <w:rsid w:val="00094236"/>
    <w:rsid w:val="0009593C"/>
    <w:rsid w:val="00097322"/>
    <w:rsid w:val="000A640F"/>
    <w:rsid w:val="000A6A92"/>
    <w:rsid w:val="000B047F"/>
    <w:rsid w:val="000B5923"/>
    <w:rsid w:val="000B5A48"/>
    <w:rsid w:val="000B6FF3"/>
    <w:rsid w:val="000C3467"/>
    <w:rsid w:val="000C3CA6"/>
    <w:rsid w:val="000C4B34"/>
    <w:rsid w:val="000D01A2"/>
    <w:rsid w:val="000D1267"/>
    <w:rsid w:val="000D1D50"/>
    <w:rsid w:val="000D4250"/>
    <w:rsid w:val="000D5782"/>
    <w:rsid w:val="000E2B07"/>
    <w:rsid w:val="000E6613"/>
    <w:rsid w:val="000E7119"/>
    <w:rsid w:val="000F34F1"/>
    <w:rsid w:val="00114E9B"/>
    <w:rsid w:val="00121792"/>
    <w:rsid w:val="00142216"/>
    <w:rsid w:val="00144D6A"/>
    <w:rsid w:val="0014729F"/>
    <w:rsid w:val="00157BAB"/>
    <w:rsid w:val="001654D1"/>
    <w:rsid w:val="00170455"/>
    <w:rsid w:val="001713CE"/>
    <w:rsid w:val="00174518"/>
    <w:rsid w:val="0018106D"/>
    <w:rsid w:val="001877A7"/>
    <w:rsid w:val="001900DE"/>
    <w:rsid w:val="00191536"/>
    <w:rsid w:val="0019325D"/>
    <w:rsid w:val="00196687"/>
    <w:rsid w:val="001A0831"/>
    <w:rsid w:val="001A270D"/>
    <w:rsid w:val="001C0962"/>
    <w:rsid w:val="001D221B"/>
    <w:rsid w:val="001D7531"/>
    <w:rsid w:val="001E327A"/>
    <w:rsid w:val="001E737D"/>
    <w:rsid w:val="001F0592"/>
    <w:rsid w:val="001F7506"/>
    <w:rsid w:val="002006CD"/>
    <w:rsid w:val="00202B36"/>
    <w:rsid w:val="00204B7A"/>
    <w:rsid w:val="00204CDE"/>
    <w:rsid w:val="0021101A"/>
    <w:rsid w:val="00211946"/>
    <w:rsid w:val="00220536"/>
    <w:rsid w:val="00225EDF"/>
    <w:rsid w:val="00233692"/>
    <w:rsid w:val="00235629"/>
    <w:rsid w:val="002566A5"/>
    <w:rsid w:val="00260C38"/>
    <w:rsid w:val="002616C0"/>
    <w:rsid w:val="00265372"/>
    <w:rsid w:val="002662AA"/>
    <w:rsid w:val="00272D02"/>
    <w:rsid w:val="00280496"/>
    <w:rsid w:val="00294DC9"/>
    <w:rsid w:val="00295495"/>
    <w:rsid w:val="0029777C"/>
    <w:rsid w:val="002A31DE"/>
    <w:rsid w:val="002A7A0A"/>
    <w:rsid w:val="002B2589"/>
    <w:rsid w:val="002B2613"/>
    <w:rsid w:val="002B60B8"/>
    <w:rsid w:val="002C2BAE"/>
    <w:rsid w:val="002C66E0"/>
    <w:rsid w:val="002D19B0"/>
    <w:rsid w:val="002D6D05"/>
    <w:rsid w:val="002D6EE1"/>
    <w:rsid w:val="002D747C"/>
    <w:rsid w:val="002F1818"/>
    <w:rsid w:val="002F567B"/>
    <w:rsid w:val="00312F9C"/>
    <w:rsid w:val="003216A9"/>
    <w:rsid w:val="00335990"/>
    <w:rsid w:val="00335A74"/>
    <w:rsid w:val="00343670"/>
    <w:rsid w:val="0034515D"/>
    <w:rsid w:val="00350248"/>
    <w:rsid w:val="00351F26"/>
    <w:rsid w:val="00352EC1"/>
    <w:rsid w:val="00354374"/>
    <w:rsid w:val="00360E90"/>
    <w:rsid w:val="00362878"/>
    <w:rsid w:val="003629A8"/>
    <w:rsid w:val="0036561B"/>
    <w:rsid w:val="00365CDC"/>
    <w:rsid w:val="0037013F"/>
    <w:rsid w:val="00374427"/>
    <w:rsid w:val="00380C92"/>
    <w:rsid w:val="00393D27"/>
    <w:rsid w:val="003A37F3"/>
    <w:rsid w:val="003A4463"/>
    <w:rsid w:val="003A484F"/>
    <w:rsid w:val="003A4883"/>
    <w:rsid w:val="003A759B"/>
    <w:rsid w:val="003B0BE0"/>
    <w:rsid w:val="003B0C1B"/>
    <w:rsid w:val="003B61F1"/>
    <w:rsid w:val="003B688C"/>
    <w:rsid w:val="003C0291"/>
    <w:rsid w:val="003C39AE"/>
    <w:rsid w:val="003C7B60"/>
    <w:rsid w:val="003D0C0F"/>
    <w:rsid w:val="003D1FB2"/>
    <w:rsid w:val="003D40A3"/>
    <w:rsid w:val="003D66DA"/>
    <w:rsid w:val="003E1310"/>
    <w:rsid w:val="003E6F55"/>
    <w:rsid w:val="003F6619"/>
    <w:rsid w:val="00406254"/>
    <w:rsid w:val="0041622A"/>
    <w:rsid w:val="00416CD4"/>
    <w:rsid w:val="004223DE"/>
    <w:rsid w:val="0042621A"/>
    <w:rsid w:val="004304B0"/>
    <w:rsid w:val="00434489"/>
    <w:rsid w:val="00437085"/>
    <w:rsid w:val="00443880"/>
    <w:rsid w:val="004464F4"/>
    <w:rsid w:val="00457A24"/>
    <w:rsid w:val="00470082"/>
    <w:rsid w:val="00471401"/>
    <w:rsid w:val="00473F31"/>
    <w:rsid w:val="004772B1"/>
    <w:rsid w:val="0048263A"/>
    <w:rsid w:val="00487E5D"/>
    <w:rsid w:val="00496E48"/>
    <w:rsid w:val="004A073C"/>
    <w:rsid w:val="004A384B"/>
    <w:rsid w:val="004A711F"/>
    <w:rsid w:val="004B199D"/>
    <w:rsid w:val="004B4690"/>
    <w:rsid w:val="004B51E4"/>
    <w:rsid w:val="004C2C96"/>
    <w:rsid w:val="004C4825"/>
    <w:rsid w:val="004C6416"/>
    <w:rsid w:val="004D3568"/>
    <w:rsid w:val="004D6C64"/>
    <w:rsid w:val="004E0A2D"/>
    <w:rsid w:val="004E13A1"/>
    <w:rsid w:val="004E206B"/>
    <w:rsid w:val="004E6DF7"/>
    <w:rsid w:val="004E6FD4"/>
    <w:rsid w:val="004F0FBD"/>
    <w:rsid w:val="004F3AA9"/>
    <w:rsid w:val="004F403E"/>
    <w:rsid w:val="0050094A"/>
    <w:rsid w:val="00505A47"/>
    <w:rsid w:val="00512FDA"/>
    <w:rsid w:val="00520DA0"/>
    <w:rsid w:val="00523336"/>
    <w:rsid w:val="00525DB0"/>
    <w:rsid w:val="00537F71"/>
    <w:rsid w:val="005508C1"/>
    <w:rsid w:val="00557F96"/>
    <w:rsid w:val="005637E8"/>
    <w:rsid w:val="0056512A"/>
    <w:rsid w:val="005664BB"/>
    <w:rsid w:val="00566FFA"/>
    <w:rsid w:val="005736B2"/>
    <w:rsid w:val="0057481D"/>
    <w:rsid w:val="00575F0B"/>
    <w:rsid w:val="0058486E"/>
    <w:rsid w:val="00585B33"/>
    <w:rsid w:val="00587C09"/>
    <w:rsid w:val="0059014D"/>
    <w:rsid w:val="005910B1"/>
    <w:rsid w:val="005B5C64"/>
    <w:rsid w:val="005C3AE9"/>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25D40"/>
    <w:rsid w:val="00630AEF"/>
    <w:rsid w:val="006325F8"/>
    <w:rsid w:val="00633463"/>
    <w:rsid w:val="00633E6B"/>
    <w:rsid w:val="00634C9A"/>
    <w:rsid w:val="006405DA"/>
    <w:rsid w:val="00642FDF"/>
    <w:rsid w:val="006440E4"/>
    <w:rsid w:val="00651055"/>
    <w:rsid w:val="00652FDB"/>
    <w:rsid w:val="00662998"/>
    <w:rsid w:val="0066343B"/>
    <w:rsid w:val="00664777"/>
    <w:rsid w:val="00672CE0"/>
    <w:rsid w:val="006748A4"/>
    <w:rsid w:val="00681A31"/>
    <w:rsid w:val="00683E73"/>
    <w:rsid w:val="00684289"/>
    <w:rsid w:val="00684359"/>
    <w:rsid w:val="006A3141"/>
    <w:rsid w:val="006A5E34"/>
    <w:rsid w:val="006B2422"/>
    <w:rsid w:val="006B2B9A"/>
    <w:rsid w:val="006C05C4"/>
    <w:rsid w:val="006C1937"/>
    <w:rsid w:val="006C7334"/>
    <w:rsid w:val="006E33A8"/>
    <w:rsid w:val="006F020C"/>
    <w:rsid w:val="006F6291"/>
    <w:rsid w:val="006F6865"/>
    <w:rsid w:val="00711F6C"/>
    <w:rsid w:val="007127B7"/>
    <w:rsid w:val="0071798E"/>
    <w:rsid w:val="00727533"/>
    <w:rsid w:val="007330D2"/>
    <w:rsid w:val="007416B6"/>
    <w:rsid w:val="00746F48"/>
    <w:rsid w:val="00751351"/>
    <w:rsid w:val="0075404D"/>
    <w:rsid w:val="0076182A"/>
    <w:rsid w:val="00767B7E"/>
    <w:rsid w:val="00776695"/>
    <w:rsid w:val="007770C3"/>
    <w:rsid w:val="00784D24"/>
    <w:rsid w:val="00785FBA"/>
    <w:rsid w:val="00786E4A"/>
    <w:rsid w:val="007875EB"/>
    <w:rsid w:val="0079426B"/>
    <w:rsid w:val="00797EA0"/>
    <w:rsid w:val="007A4ECA"/>
    <w:rsid w:val="007B1C2C"/>
    <w:rsid w:val="007C55AF"/>
    <w:rsid w:val="007D1682"/>
    <w:rsid w:val="007D312A"/>
    <w:rsid w:val="007D3F19"/>
    <w:rsid w:val="007E23B0"/>
    <w:rsid w:val="007F1991"/>
    <w:rsid w:val="007F23E6"/>
    <w:rsid w:val="007F2C2F"/>
    <w:rsid w:val="007F55FC"/>
    <w:rsid w:val="007F5665"/>
    <w:rsid w:val="00800112"/>
    <w:rsid w:val="0080046F"/>
    <w:rsid w:val="00800755"/>
    <w:rsid w:val="0080534D"/>
    <w:rsid w:val="00813348"/>
    <w:rsid w:val="00823823"/>
    <w:rsid w:val="008253BB"/>
    <w:rsid w:val="0083111C"/>
    <w:rsid w:val="00833962"/>
    <w:rsid w:val="0083706E"/>
    <w:rsid w:val="008408F6"/>
    <w:rsid w:val="008423A5"/>
    <w:rsid w:val="00850625"/>
    <w:rsid w:val="00853718"/>
    <w:rsid w:val="0085460A"/>
    <w:rsid w:val="00855221"/>
    <w:rsid w:val="00860645"/>
    <w:rsid w:val="00865066"/>
    <w:rsid w:val="00871F71"/>
    <w:rsid w:val="00872FD8"/>
    <w:rsid w:val="00876378"/>
    <w:rsid w:val="00885AF4"/>
    <w:rsid w:val="008939CD"/>
    <w:rsid w:val="008948B4"/>
    <w:rsid w:val="00895844"/>
    <w:rsid w:val="008A2805"/>
    <w:rsid w:val="008B768C"/>
    <w:rsid w:val="008C119A"/>
    <w:rsid w:val="008C4DB1"/>
    <w:rsid w:val="008C4EAF"/>
    <w:rsid w:val="008C5176"/>
    <w:rsid w:val="008C621D"/>
    <w:rsid w:val="008C67D5"/>
    <w:rsid w:val="008C7FD0"/>
    <w:rsid w:val="008D248B"/>
    <w:rsid w:val="008D7CB6"/>
    <w:rsid w:val="008E1DE7"/>
    <w:rsid w:val="008E1E42"/>
    <w:rsid w:val="008E1F64"/>
    <w:rsid w:val="008E3437"/>
    <w:rsid w:val="008E707C"/>
    <w:rsid w:val="008F03F7"/>
    <w:rsid w:val="008F607F"/>
    <w:rsid w:val="00900B08"/>
    <w:rsid w:val="00902155"/>
    <w:rsid w:val="00902FA3"/>
    <w:rsid w:val="00902FD1"/>
    <w:rsid w:val="0092065B"/>
    <w:rsid w:val="00923559"/>
    <w:rsid w:val="00923564"/>
    <w:rsid w:val="0092392E"/>
    <w:rsid w:val="00925D71"/>
    <w:rsid w:val="00926F28"/>
    <w:rsid w:val="009315F9"/>
    <w:rsid w:val="00933499"/>
    <w:rsid w:val="00935C98"/>
    <w:rsid w:val="00944F50"/>
    <w:rsid w:val="00946945"/>
    <w:rsid w:val="0095123E"/>
    <w:rsid w:val="00951248"/>
    <w:rsid w:val="0095152F"/>
    <w:rsid w:val="009523F3"/>
    <w:rsid w:val="00954C49"/>
    <w:rsid w:val="00955E37"/>
    <w:rsid w:val="00966AA3"/>
    <w:rsid w:val="0097099F"/>
    <w:rsid w:val="0097164D"/>
    <w:rsid w:val="00971997"/>
    <w:rsid w:val="00971FFC"/>
    <w:rsid w:val="009762E8"/>
    <w:rsid w:val="00982D02"/>
    <w:rsid w:val="0098660A"/>
    <w:rsid w:val="00992DF5"/>
    <w:rsid w:val="009931C3"/>
    <w:rsid w:val="009B2C43"/>
    <w:rsid w:val="009B4EAE"/>
    <w:rsid w:val="009B7573"/>
    <w:rsid w:val="009C22F4"/>
    <w:rsid w:val="009C2E98"/>
    <w:rsid w:val="009C37FB"/>
    <w:rsid w:val="009D3447"/>
    <w:rsid w:val="009D4711"/>
    <w:rsid w:val="009D5790"/>
    <w:rsid w:val="009D65EA"/>
    <w:rsid w:val="009D7DBE"/>
    <w:rsid w:val="009E6CB2"/>
    <w:rsid w:val="009F1185"/>
    <w:rsid w:val="009F18CD"/>
    <w:rsid w:val="009F2A13"/>
    <w:rsid w:val="009F7527"/>
    <w:rsid w:val="00A039ED"/>
    <w:rsid w:val="00A04EB0"/>
    <w:rsid w:val="00A078E8"/>
    <w:rsid w:val="00A13A2E"/>
    <w:rsid w:val="00A13CC1"/>
    <w:rsid w:val="00A16847"/>
    <w:rsid w:val="00A237D8"/>
    <w:rsid w:val="00A268C4"/>
    <w:rsid w:val="00A307CD"/>
    <w:rsid w:val="00A331C8"/>
    <w:rsid w:val="00A342D5"/>
    <w:rsid w:val="00A34448"/>
    <w:rsid w:val="00A35117"/>
    <w:rsid w:val="00A35B3B"/>
    <w:rsid w:val="00A40A00"/>
    <w:rsid w:val="00A4142F"/>
    <w:rsid w:val="00A422EB"/>
    <w:rsid w:val="00A45BB7"/>
    <w:rsid w:val="00A554DE"/>
    <w:rsid w:val="00A56DF2"/>
    <w:rsid w:val="00A56E6E"/>
    <w:rsid w:val="00A61BE5"/>
    <w:rsid w:val="00A67AB5"/>
    <w:rsid w:val="00A733B2"/>
    <w:rsid w:val="00A741C2"/>
    <w:rsid w:val="00A74FA9"/>
    <w:rsid w:val="00A757CB"/>
    <w:rsid w:val="00A758C8"/>
    <w:rsid w:val="00A87F45"/>
    <w:rsid w:val="00A91760"/>
    <w:rsid w:val="00A9253B"/>
    <w:rsid w:val="00A92901"/>
    <w:rsid w:val="00A93B00"/>
    <w:rsid w:val="00A93C21"/>
    <w:rsid w:val="00AB2892"/>
    <w:rsid w:val="00AB64C9"/>
    <w:rsid w:val="00AB739F"/>
    <w:rsid w:val="00AC3C6A"/>
    <w:rsid w:val="00AD0F83"/>
    <w:rsid w:val="00AD5561"/>
    <w:rsid w:val="00AD5620"/>
    <w:rsid w:val="00AD656B"/>
    <w:rsid w:val="00AD7C1B"/>
    <w:rsid w:val="00AE16BA"/>
    <w:rsid w:val="00AE1EBE"/>
    <w:rsid w:val="00AF37A0"/>
    <w:rsid w:val="00AF3805"/>
    <w:rsid w:val="00AF4F9A"/>
    <w:rsid w:val="00B03C9D"/>
    <w:rsid w:val="00B060AE"/>
    <w:rsid w:val="00B07CF7"/>
    <w:rsid w:val="00B1022E"/>
    <w:rsid w:val="00B10517"/>
    <w:rsid w:val="00B121F4"/>
    <w:rsid w:val="00B14E76"/>
    <w:rsid w:val="00B161B8"/>
    <w:rsid w:val="00B2048C"/>
    <w:rsid w:val="00B310B9"/>
    <w:rsid w:val="00B35F3F"/>
    <w:rsid w:val="00B36CBB"/>
    <w:rsid w:val="00B425E0"/>
    <w:rsid w:val="00B440AA"/>
    <w:rsid w:val="00B444D6"/>
    <w:rsid w:val="00B44B70"/>
    <w:rsid w:val="00B46305"/>
    <w:rsid w:val="00B53C56"/>
    <w:rsid w:val="00B57DAF"/>
    <w:rsid w:val="00B73F61"/>
    <w:rsid w:val="00B76816"/>
    <w:rsid w:val="00B77EA6"/>
    <w:rsid w:val="00B81598"/>
    <w:rsid w:val="00B841F1"/>
    <w:rsid w:val="00B944D6"/>
    <w:rsid w:val="00B97C97"/>
    <w:rsid w:val="00BB4DF0"/>
    <w:rsid w:val="00BC289F"/>
    <w:rsid w:val="00BC2D50"/>
    <w:rsid w:val="00BC40EB"/>
    <w:rsid w:val="00BC5361"/>
    <w:rsid w:val="00BC5460"/>
    <w:rsid w:val="00BC6B50"/>
    <w:rsid w:val="00BD0E25"/>
    <w:rsid w:val="00BD6E43"/>
    <w:rsid w:val="00BE0F74"/>
    <w:rsid w:val="00BE6E13"/>
    <w:rsid w:val="00BF5BD6"/>
    <w:rsid w:val="00BF70CD"/>
    <w:rsid w:val="00C03E31"/>
    <w:rsid w:val="00C12D27"/>
    <w:rsid w:val="00C21BF8"/>
    <w:rsid w:val="00C30E69"/>
    <w:rsid w:val="00C33E72"/>
    <w:rsid w:val="00C3450A"/>
    <w:rsid w:val="00C354B2"/>
    <w:rsid w:val="00C35554"/>
    <w:rsid w:val="00C36BA6"/>
    <w:rsid w:val="00C412EA"/>
    <w:rsid w:val="00C42709"/>
    <w:rsid w:val="00C533CC"/>
    <w:rsid w:val="00C54FD4"/>
    <w:rsid w:val="00C55977"/>
    <w:rsid w:val="00C5751C"/>
    <w:rsid w:val="00C61BFC"/>
    <w:rsid w:val="00C62B85"/>
    <w:rsid w:val="00C65438"/>
    <w:rsid w:val="00C6659B"/>
    <w:rsid w:val="00C73659"/>
    <w:rsid w:val="00C91CBB"/>
    <w:rsid w:val="00C9713F"/>
    <w:rsid w:val="00CA3A46"/>
    <w:rsid w:val="00CB03C1"/>
    <w:rsid w:val="00CB4E70"/>
    <w:rsid w:val="00CB6282"/>
    <w:rsid w:val="00CC049A"/>
    <w:rsid w:val="00CC09B6"/>
    <w:rsid w:val="00CC666F"/>
    <w:rsid w:val="00CD1E3F"/>
    <w:rsid w:val="00CD3AD5"/>
    <w:rsid w:val="00CE432A"/>
    <w:rsid w:val="00CE44F6"/>
    <w:rsid w:val="00CE49DA"/>
    <w:rsid w:val="00CE7B61"/>
    <w:rsid w:val="00D00095"/>
    <w:rsid w:val="00D114F0"/>
    <w:rsid w:val="00D1464B"/>
    <w:rsid w:val="00D179F5"/>
    <w:rsid w:val="00D20620"/>
    <w:rsid w:val="00D2207C"/>
    <w:rsid w:val="00D254F7"/>
    <w:rsid w:val="00D26091"/>
    <w:rsid w:val="00D2685C"/>
    <w:rsid w:val="00D34E7C"/>
    <w:rsid w:val="00D35489"/>
    <w:rsid w:val="00D36AFE"/>
    <w:rsid w:val="00D51276"/>
    <w:rsid w:val="00D51652"/>
    <w:rsid w:val="00D551B2"/>
    <w:rsid w:val="00D63EB6"/>
    <w:rsid w:val="00D7035F"/>
    <w:rsid w:val="00DA634F"/>
    <w:rsid w:val="00DA65AC"/>
    <w:rsid w:val="00DB1913"/>
    <w:rsid w:val="00DC410D"/>
    <w:rsid w:val="00DC5A81"/>
    <w:rsid w:val="00DC68CA"/>
    <w:rsid w:val="00DC7735"/>
    <w:rsid w:val="00DC7CBA"/>
    <w:rsid w:val="00DD73B7"/>
    <w:rsid w:val="00DE112F"/>
    <w:rsid w:val="00DF28BC"/>
    <w:rsid w:val="00DF34B9"/>
    <w:rsid w:val="00DF4B66"/>
    <w:rsid w:val="00DF4EF7"/>
    <w:rsid w:val="00DF7548"/>
    <w:rsid w:val="00E01053"/>
    <w:rsid w:val="00E02D81"/>
    <w:rsid w:val="00E06772"/>
    <w:rsid w:val="00E07ACF"/>
    <w:rsid w:val="00E237E8"/>
    <w:rsid w:val="00E331A1"/>
    <w:rsid w:val="00E33202"/>
    <w:rsid w:val="00E336A9"/>
    <w:rsid w:val="00E472B1"/>
    <w:rsid w:val="00E50624"/>
    <w:rsid w:val="00E52E6B"/>
    <w:rsid w:val="00E568DF"/>
    <w:rsid w:val="00E64269"/>
    <w:rsid w:val="00E66797"/>
    <w:rsid w:val="00E714F7"/>
    <w:rsid w:val="00E82267"/>
    <w:rsid w:val="00E84A85"/>
    <w:rsid w:val="00E853CE"/>
    <w:rsid w:val="00E867B6"/>
    <w:rsid w:val="00E87F08"/>
    <w:rsid w:val="00EA010F"/>
    <w:rsid w:val="00EA7162"/>
    <w:rsid w:val="00EA7627"/>
    <w:rsid w:val="00EB1C14"/>
    <w:rsid w:val="00ED1B63"/>
    <w:rsid w:val="00ED3C1F"/>
    <w:rsid w:val="00ED4085"/>
    <w:rsid w:val="00ED420E"/>
    <w:rsid w:val="00ED6FBE"/>
    <w:rsid w:val="00EE2F57"/>
    <w:rsid w:val="00EE6DD9"/>
    <w:rsid w:val="00EF3341"/>
    <w:rsid w:val="00EF3D4B"/>
    <w:rsid w:val="00EF4C34"/>
    <w:rsid w:val="00EF77C6"/>
    <w:rsid w:val="00F05438"/>
    <w:rsid w:val="00F1361C"/>
    <w:rsid w:val="00F156F0"/>
    <w:rsid w:val="00F160C7"/>
    <w:rsid w:val="00F2408F"/>
    <w:rsid w:val="00F240E9"/>
    <w:rsid w:val="00F356D4"/>
    <w:rsid w:val="00F36D8F"/>
    <w:rsid w:val="00F417B1"/>
    <w:rsid w:val="00F4259B"/>
    <w:rsid w:val="00F45853"/>
    <w:rsid w:val="00F46361"/>
    <w:rsid w:val="00F5355C"/>
    <w:rsid w:val="00F602DF"/>
    <w:rsid w:val="00F749B3"/>
    <w:rsid w:val="00F754A1"/>
    <w:rsid w:val="00F81FD9"/>
    <w:rsid w:val="00F841AA"/>
    <w:rsid w:val="00F84A94"/>
    <w:rsid w:val="00F87E96"/>
    <w:rsid w:val="00FA23E8"/>
    <w:rsid w:val="00FC15C3"/>
    <w:rsid w:val="00FC3482"/>
    <w:rsid w:val="00FC663A"/>
    <w:rsid w:val="00FD3CC1"/>
    <w:rsid w:val="00FF1E02"/>
    <w:rsid w:val="00FF2ADE"/>
    <w:rsid w:val="00FF30B4"/>
    <w:rsid w:val="10C055FF"/>
    <w:rsid w:val="16BB723D"/>
    <w:rsid w:val="240371BF"/>
    <w:rsid w:val="29FD04D3"/>
    <w:rsid w:val="319F7F4E"/>
    <w:rsid w:val="497322AE"/>
    <w:rsid w:val="4ECE2238"/>
    <w:rsid w:val="72734D90"/>
    <w:rsid w:val="BB96EBE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qFormat="1" w:unhideWhenUsed="0" w:uiPriority="99"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uiPriority="99" w:name="annotation text" w:locked="1"/>
    <w:lsdException w:qFormat="1" w:unhideWhenUsed="0" w:uiPriority="99"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qFormat="1" w:uiPriority="1" w:name="Default Paragraph Font"/>
    <w:lsdException w:qFormat="1" w:unhideWhenUsed="0" w:uiPriority="99" w:semiHidden="0" w:name="Body Text"/>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99" w:semiHidden="0" w:name="Strong"/>
    <w:lsdException w:qFormat="1" w:unhideWhenUsed="0" w:uiPriority="0" w:semiHidden="0" w:name="Emphasis"/>
    <w:lsdException w:uiPriority="99" w:name="Document Map" w:locked="1"/>
    <w:lsdException w:uiPriority="99" w:name="Plain Text" w:locked="1"/>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unhideWhenUsed="0" w:uiPriority="0"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16"/>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17"/>
    <w:qFormat/>
    <w:uiPriority w:val="99"/>
    <w:pPr>
      <w:keepNext/>
      <w:keepLines/>
      <w:spacing w:before="260" w:after="260" w:line="416" w:lineRule="auto"/>
      <w:outlineLvl w:val="1"/>
    </w:pPr>
    <w:rPr>
      <w:rFonts w:ascii="Cambria" w:hAnsi="Cambria" w:cs="Cambria"/>
      <w:b/>
      <w:bCs/>
      <w:sz w:val="32"/>
      <w:szCs w:val="32"/>
    </w:rPr>
  </w:style>
  <w:style w:type="paragraph" w:styleId="4">
    <w:name w:val="heading 3"/>
    <w:basedOn w:val="1"/>
    <w:next w:val="1"/>
    <w:link w:val="18"/>
    <w:qFormat/>
    <w:uiPriority w:val="99"/>
    <w:pPr>
      <w:keepNext/>
      <w:keepLines/>
      <w:spacing w:before="260" w:after="260" w:line="416" w:lineRule="auto"/>
      <w:outlineLvl w:val="2"/>
    </w:pPr>
    <w:rPr>
      <w:b/>
      <w:bCs/>
      <w:sz w:val="32"/>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5"/>
    <w:qFormat/>
    <w:uiPriority w:val="99"/>
    <w:pPr>
      <w:spacing w:beforeLines="30"/>
    </w:pPr>
    <w:rPr>
      <w:rFonts w:ascii="仿宋_GB2312" w:eastAsia="仿宋_GB2312" w:cs="仿宋_GB2312"/>
      <w:kern w:val="0"/>
      <w:sz w:val="24"/>
      <w:szCs w:val="24"/>
    </w:rPr>
  </w:style>
  <w:style w:type="paragraph" w:styleId="6">
    <w:name w:val="toc 3"/>
    <w:basedOn w:val="1"/>
    <w:next w:val="1"/>
    <w:semiHidden/>
    <w:qFormat/>
    <w:uiPriority w:val="99"/>
    <w:pPr>
      <w:tabs>
        <w:tab w:val="right" w:leader="dot" w:pos="8296"/>
      </w:tabs>
      <w:ind w:left="840" w:leftChars="400"/>
    </w:pPr>
  </w:style>
  <w:style w:type="paragraph" w:styleId="7">
    <w:name w:val="Balloon Text"/>
    <w:basedOn w:val="1"/>
    <w:link w:val="20"/>
    <w:semiHidden/>
    <w:qFormat/>
    <w:uiPriority w:val="99"/>
    <w:rPr>
      <w:sz w:val="18"/>
      <w:szCs w:val="18"/>
    </w:rPr>
  </w:style>
  <w:style w:type="paragraph" w:styleId="8">
    <w:name w:val="footer"/>
    <w:basedOn w:val="1"/>
    <w:link w:val="24"/>
    <w:qFormat/>
    <w:uiPriority w:val="99"/>
    <w:pPr>
      <w:tabs>
        <w:tab w:val="center" w:pos="4153"/>
        <w:tab w:val="right" w:pos="8306"/>
      </w:tabs>
      <w:snapToGrid w:val="0"/>
      <w:jc w:val="left"/>
    </w:pPr>
    <w:rPr>
      <w:rFonts w:ascii="Calibri" w:hAnsi="Calibri" w:cs="Calibri"/>
      <w:kern w:val="0"/>
      <w:sz w:val="18"/>
      <w:szCs w:val="18"/>
    </w:rPr>
  </w:style>
  <w:style w:type="paragraph" w:styleId="9">
    <w:name w:val="header"/>
    <w:basedOn w:val="1"/>
    <w:link w:val="23"/>
    <w:semiHidden/>
    <w:qFormat/>
    <w:uiPriority w:val="99"/>
    <w:pPr>
      <w:pBdr>
        <w:bottom w:val="single" w:color="auto" w:sz="6" w:space="1"/>
      </w:pBdr>
      <w:tabs>
        <w:tab w:val="center" w:pos="4153"/>
        <w:tab w:val="right" w:pos="8306"/>
      </w:tabs>
      <w:snapToGrid w:val="0"/>
      <w:jc w:val="center"/>
    </w:pPr>
    <w:rPr>
      <w:rFonts w:ascii="Calibri" w:hAnsi="Calibri" w:cs="Calibri"/>
      <w:kern w:val="0"/>
      <w:sz w:val="18"/>
      <w:szCs w:val="18"/>
    </w:rPr>
  </w:style>
  <w:style w:type="paragraph" w:styleId="10">
    <w:name w:val="toc 1"/>
    <w:basedOn w:val="1"/>
    <w:next w:val="1"/>
    <w:semiHidden/>
    <w:qFormat/>
    <w:uiPriority w:val="99"/>
    <w:pPr>
      <w:tabs>
        <w:tab w:val="right" w:leader="dot" w:pos="8296"/>
      </w:tabs>
      <w:spacing w:before="93"/>
      <w:jc w:val="center"/>
    </w:pPr>
    <w:rPr>
      <w:rFonts w:ascii="仿宋" w:hAnsi="仿宋" w:eastAsia="仿宋" w:cs="仿宋"/>
      <w:sz w:val="28"/>
      <w:szCs w:val="28"/>
    </w:rPr>
  </w:style>
  <w:style w:type="paragraph" w:styleId="11">
    <w:name w:val="toc 2"/>
    <w:basedOn w:val="1"/>
    <w:next w:val="1"/>
    <w:semiHidden/>
    <w:qFormat/>
    <w:uiPriority w:val="99"/>
    <w:pPr>
      <w:tabs>
        <w:tab w:val="right" w:leader="dot" w:pos="8296"/>
      </w:tabs>
      <w:ind w:left="420" w:leftChars="200"/>
    </w:pPr>
  </w:style>
  <w:style w:type="character" w:styleId="14">
    <w:name w:val="Strong"/>
    <w:basedOn w:val="13"/>
    <w:qFormat/>
    <w:uiPriority w:val="99"/>
    <w:rPr>
      <w:b/>
      <w:bCs/>
    </w:rPr>
  </w:style>
  <w:style w:type="character" w:styleId="15">
    <w:name w:val="Hyperlink"/>
    <w:basedOn w:val="13"/>
    <w:qFormat/>
    <w:uiPriority w:val="99"/>
    <w:rPr>
      <w:color w:val="0000FF"/>
      <w:u w:val="single"/>
    </w:rPr>
  </w:style>
  <w:style w:type="character" w:customStyle="1" w:styleId="16">
    <w:name w:val="标题 1 Char"/>
    <w:basedOn w:val="13"/>
    <w:link w:val="2"/>
    <w:qFormat/>
    <w:locked/>
    <w:uiPriority w:val="99"/>
    <w:rPr>
      <w:rFonts w:ascii="Times New Roman" w:hAnsi="Times New Roman" w:cs="Times New Roman"/>
      <w:b/>
      <w:bCs/>
      <w:kern w:val="44"/>
      <w:sz w:val="44"/>
      <w:szCs w:val="44"/>
    </w:rPr>
  </w:style>
  <w:style w:type="character" w:customStyle="1" w:styleId="17">
    <w:name w:val="标题 2 Char"/>
    <w:basedOn w:val="13"/>
    <w:link w:val="3"/>
    <w:qFormat/>
    <w:locked/>
    <w:uiPriority w:val="99"/>
    <w:rPr>
      <w:rFonts w:ascii="Cambria" w:hAnsi="Cambria" w:eastAsia="宋体" w:cs="Cambria"/>
      <w:b/>
      <w:bCs/>
      <w:kern w:val="2"/>
      <w:sz w:val="32"/>
      <w:szCs w:val="32"/>
    </w:rPr>
  </w:style>
  <w:style w:type="character" w:customStyle="1" w:styleId="18">
    <w:name w:val="标题 3 Char"/>
    <w:basedOn w:val="13"/>
    <w:link w:val="4"/>
    <w:qFormat/>
    <w:locked/>
    <w:uiPriority w:val="99"/>
    <w:rPr>
      <w:rFonts w:ascii="Times New Roman" w:hAnsi="Times New Roman" w:cs="Times New Roman"/>
      <w:b/>
      <w:bCs/>
      <w:kern w:val="2"/>
      <w:sz w:val="32"/>
      <w:szCs w:val="32"/>
    </w:rPr>
  </w:style>
  <w:style w:type="character" w:customStyle="1" w:styleId="19">
    <w:name w:val="Body Text Char"/>
    <w:basedOn w:val="13"/>
    <w:link w:val="5"/>
    <w:semiHidden/>
    <w:qFormat/>
    <w:locked/>
    <w:uiPriority w:val="99"/>
    <w:rPr>
      <w:rFonts w:ascii="Times New Roman" w:hAnsi="Times New Roman" w:cs="Times New Roman"/>
      <w:sz w:val="24"/>
      <w:szCs w:val="24"/>
    </w:rPr>
  </w:style>
  <w:style w:type="character" w:customStyle="1" w:styleId="20">
    <w:name w:val="批注框文本 Char"/>
    <w:basedOn w:val="13"/>
    <w:link w:val="7"/>
    <w:semiHidden/>
    <w:qFormat/>
    <w:locked/>
    <w:uiPriority w:val="99"/>
    <w:rPr>
      <w:rFonts w:ascii="Times New Roman" w:hAnsi="Times New Roman" w:cs="Times New Roman"/>
      <w:kern w:val="2"/>
      <w:sz w:val="18"/>
      <w:szCs w:val="18"/>
    </w:rPr>
  </w:style>
  <w:style w:type="character" w:customStyle="1" w:styleId="21">
    <w:name w:val="Footer Char"/>
    <w:basedOn w:val="13"/>
    <w:link w:val="8"/>
    <w:semiHidden/>
    <w:qFormat/>
    <w:locked/>
    <w:uiPriority w:val="99"/>
    <w:rPr>
      <w:rFonts w:ascii="Times New Roman" w:hAnsi="Times New Roman" w:cs="Times New Roman"/>
      <w:sz w:val="18"/>
      <w:szCs w:val="18"/>
    </w:rPr>
  </w:style>
  <w:style w:type="character" w:customStyle="1" w:styleId="22">
    <w:name w:val="Header Char"/>
    <w:basedOn w:val="13"/>
    <w:link w:val="9"/>
    <w:semiHidden/>
    <w:qFormat/>
    <w:locked/>
    <w:uiPriority w:val="99"/>
    <w:rPr>
      <w:rFonts w:ascii="Times New Roman" w:hAnsi="Times New Roman" w:cs="Times New Roman"/>
      <w:sz w:val="18"/>
      <w:szCs w:val="18"/>
    </w:rPr>
  </w:style>
  <w:style w:type="character" w:customStyle="1" w:styleId="23">
    <w:name w:val="页眉 Char"/>
    <w:link w:val="9"/>
    <w:semiHidden/>
    <w:qFormat/>
    <w:locked/>
    <w:uiPriority w:val="99"/>
    <w:rPr>
      <w:sz w:val="18"/>
      <w:szCs w:val="18"/>
    </w:rPr>
  </w:style>
  <w:style w:type="character" w:customStyle="1" w:styleId="24">
    <w:name w:val="页脚 Char"/>
    <w:link w:val="8"/>
    <w:qFormat/>
    <w:locked/>
    <w:uiPriority w:val="99"/>
    <w:rPr>
      <w:sz w:val="18"/>
      <w:szCs w:val="18"/>
    </w:rPr>
  </w:style>
  <w:style w:type="character" w:customStyle="1" w:styleId="25">
    <w:name w:val="正文文本 Char"/>
    <w:link w:val="5"/>
    <w:qFormat/>
    <w:locked/>
    <w:uiPriority w:val="99"/>
    <w:rPr>
      <w:rFonts w:ascii="仿宋_GB2312" w:hAnsi="Times New Roman" w:eastAsia="仿宋_GB2312" w:cs="仿宋_GB2312"/>
      <w:sz w:val="24"/>
      <w:szCs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kern w:val="0"/>
      <w:sz w:val="24"/>
      <w:szCs w:val="24"/>
      <w:lang w:val="en-US" w:eastAsia="zh-CN" w:bidi="ar-SA"/>
    </w:rPr>
  </w:style>
  <w:style w:type="paragraph" w:styleId="27">
    <w:name w:val="List Paragraph"/>
    <w:basedOn w:val="1"/>
    <w:qFormat/>
    <w:uiPriority w:val="99"/>
    <w:pPr>
      <w:ind w:firstLine="420" w:firstLineChars="200"/>
    </w:pPr>
  </w:style>
  <w:style w:type="paragraph" w:customStyle="1" w:styleId="28">
    <w:name w:val="TOC 标题1"/>
    <w:basedOn w:val="2"/>
    <w:next w:val="1"/>
    <w:qFormat/>
    <w:uiPriority w:val="99"/>
    <w:pPr>
      <w:widowControl/>
      <w:spacing w:before="480" w:after="0" w:line="276" w:lineRule="auto"/>
      <w:jc w:val="left"/>
      <w:outlineLvl w:val="9"/>
    </w:pPr>
    <w:rPr>
      <w:rFonts w:ascii="Cambria" w:hAnsi="Cambria" w:cs="Cambria"/>
      <w:color w:val="365F91"/>
      <w:kern w:val="0"/>
      <w:sz w:val="28"/>
      <w:szCs w:val="28"/>
    </w:rPr>
  </w:style>
  <w:style w:type="paragraph" w:customStyle="1" w:styleId="29">
    <w:name w:val="TOC Heading"/>
    <w:basedOn w:val="2"/>
    <w:next w:val="1"/>
    <w:qFormat/>
    <w:uiPriority w:val="99"/>
    <w:pPr>
      <w:widowControl/>
      <w:spacing w:before="480" w:after="0" w:line="276" w:lineRule="auto"/>
      <w:jc w:val="left"/>
      <w:outlineLvl w:val="9"/>
    </w:pPr>
    <w:rPr>
      <w:rFonts w:ascii="Cambria" w:hAnsi="Cambria" w:cs="Cambria"/>
      <w:color w:val="365F91"/>
      <w:kern w:val="0"/>
      <w:sz w:val="28"/>
      <w:szCs w:val="28"/>
    </w:rPr>
  </w:style>
  <w:style w:type="character" w:customStyle="1" w:styleId="30">
    <w:name w:val="Char Char5"/>
    <w:basedOn w:val="13"/>
    <w:qFormat/>
    <w:locked/>
    <w:uiPriority w:val="99"/>
    <w:rPr>
      <w:rFonts w:ascii="Cambria" w:hAnsi="Cambria" w:eastAsia="宋体" w:cs="Cambria"/>
      <w:b/>
      <w:bCs/>
      <w:kern w:val="2"/>
      <w:sz w:val="32"/>
      <w:szCs w:val="32"/>
    </w:rPr>
  </w:style>
  <w:style w:type="character" w:customStyle="1" w:styleId="31">
    <w:name w:val="Char Char51"/>
    <w:basedOn w:val="13"/>
    <w:qFormat/>
    <w:locked/>
    <w:uiPriority w:val="99"/>
    <w:rPr>
      <w:rFonts w:ascii="Cambria" w:hAnsi="Cambria" w:eastAsia="宋体" w:cs="Cambria"/>
      <w:b/>
      <w:bCs/>
      <w:kern w:val="2"/>
      <w:sz w:val="32"/>
      <w:szCs w:val="32"/>
    </w:rPr>
  </w:style>
  <w:style w:type="character" w:customStyle="1" w:styleId="32">
    <w:name w:val="Char Char52"/>
    <w:basedOn w:val="13"/>
    <w:qFormat/>
    <w:locked/>
    <w:uiPriority w:val="99"/>
    <w:rPr>
      <w:rFonts w:ascii="Cambria" w:hAnsi="Cambria" w:eastAsia="宋体" w:cs="Cambria"/>
      <w:b/>
      <w:bCs/>
      <w:kern w:val="2"/>
      <w:sz w:val="32"/>
      <w:szCs w:val="32"/>
    </w:rPr>
  </w:style>
  <w:style w:type="character" w:customStyle="1" w:styleId="33">
    <w:name w:val="Char Char53"/>
    <w:basedOn w:val="13"/>
    <w:qFormat/>
    <w:locked/>
    <w:uiPriority w:val="99"/>
    <w:rPr>
      <w:rFonts w:ascii="Cambria" w:hAnsi="Cambria" w:eastAsia="宋体" w:cs="Cambria"/>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4.emf"/><Relationship Id="rId8" Type="http://schemas.openxmlformats.org/officeDocument/2006/relationships/image" Target="media/image3.emf"/><Relationship Id="rId7" Type="http://schemas.openxmlformats.org/officeDocument/2006/relationships/image" Target="media/image2.emf"/><Relationship Id="rId6" Type="http://schemas.openxmlformats.org/officeDocument/2006/relationships/image" Target="media/image1.emf"/><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6.emf"/><Relationship Id="rId10" Type="http://schemas.openxmlformats.org/officeDocument/2006/relationships/image" Target="media/image5.emf"/><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Info spid="_x0000_s1028"/>
    <customShpInfo spid="_x0000_s1029"/>
    <customShpInfo spid="_x0000_s1030"/>
    <customShpInfo spid="_x0000_s1031"/>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28</Pages>
  <Words>10342</Words>
  <Characters>1131</Characters>
  <Lines>9</Lines>
  <Paragraphs>22</Paragraphs>
  <TotalTime>2197</TotalTime>
  <ScaleCrop>false</ScaleCrop>
  <LinksUpToDate>false</LinksUpToDate>
  <CharactersWithSpaces>11451</CharactersWithSpaces>
  <Application>WPS Office_11.8.2.1116_F1E327BC-269C-435d-A152-05C5408002CA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2020-08-04T09:49:00Z</dcterms:created>
  <dc:creator>曹颖</dc:creator>
  <cp:lastModifiedBy>user</cp:lastModifiedBy>
  <cp:lastPrinted>2020-09-24T11:32:00Z</cp:lastPrinted>
  <dcterms:modified xsi:type="dcterms:W3CDTF">2023-01-17T12:00:39Z</dcterms:modified>
  <dc:title>四川省***</dc:title>
  <cp:revision>199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2052-11.8.2.1116</vt:lpwstr>
  </property>
  <property fmtid="{D5CDD505-2E9C-101B-9397-08002B2CF9AE}" pid="3" name="ICV">
    <vt:lpwstr>D23341C0DA90B958671DC663F334B98D</vt:lpwstr>
  </property>
</Properties>
</file>