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bookmarkEnd w:id="0"/>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bookmarkStart w:id="1" w:name="_Toc15396475"/>
      <w:bookmarkStart w:id="2" w:name="_Toc15396597"/>
      <w:bookmarkStart w:id="3" w:name="_Toc15377425"/>
      <w:bookmarkStart w:id="4" w:name="_Toc15378441"/>
      <w:bookmarkStart w:id="5" w:name="_Toc15377193"/>
      <w:r>
        <w:rPr>
          <w:rFonts w:ascii="方正小标宋简体" w:hAnsi="方正小标宋简体" w:eastAsia="方正小标宋简体" w:cs="方正小标宋简体"/>
          <w:color w:val="000000"/>
          <w:sz w:val="44"/>
          <w:szCs w:val="44"/>
        </w:rPr>
        <w:t>2020</w:t>
      </w:r>
      <w:r>
        <w:rPr>
          <w:rFonts w:hint="eastAsia" w:ascii="方正小标宋简体" w:hAnsi="方正小标宋简体" w:eastAsia="方正小标宋简体" w:cs="方正小标宋简体"/>
          <w:color w:val="000000"/>
          <w:sz w:val="44"/>
          <w:szCs w:val="44"/>
        </w:rPr>
        <w:t>年度</w:t>
      </w:r>
      <w:bookmarkEnd w:id="1"/>
      <w:bookmarkEnd w:id="2"/>
      <w:bookmarkEnd w:id="3"/>
      <w:bookmarkEnd w:id="4"/>
      <w:bookmarkEnd w:id="5"/>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bookmarkStart w:id="6" w:name="_Toc15377194"/>
      <w:bookmarkStart w:id="7" w:name="_Toc15377426"/>
      <w:bookmarkStart w:id="8" w:name="_Toc15396598"/>
      <w:bookmarkStart w:id="9" w:name="_Toc15396476"/>
      <w:bookmarkStart w:id="10" w:name="_Toc15378442"/>
      <w:r>
        <w:rPr>
          <w:rFonts w:hint="eastAsia" w:ascii="方正小标宋简体" w:hAnsi="方正小标宋简体" w:eastAsia="方正小标宋简体" w:cs="方正小标宋简体"/>
          <w:color w:val="000000"/>
          <w:sz w:val="44"/>
          <w:szCs w:val="44"/>
        </w:rPr>
        <w:t>四川省茂县</w:t>
      </w:r>
      <w:bookmarkStart w:id="11" w:name="_Toc15306268"/>
      <w:r>
        <w:rPr>
          <w:rFonts w:hint="eastAsia" w:ascii="方正小标宋简体" w:hAnsi="方正小标宋简体" w:eastAsia="方正小标宋简体" w:cs="方正小标宋简体"/>
          <w:color w:val="000000"/>
          <w:sz w:val="44"/>
          <w:szCs w:val="44"/>
        </w:rPr>
        <w:t>人力资源和社会保障局</w:t>
      </w: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hint="eastAsia" w:ascii="宋体" w:hAnsi="宋体" w:cs="仿宋_GB2312"/>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w:t>
      </w:r>
      <w:r>
        <w:rPr>
          <w:rFonts w:ascii="宋体" w:hAnsi="宋体"/>
          <w:sz w:val="32"/>
          <w:szCs w:val="32"/>
        </w:rPr>
        <w:t xml:space="preserve"> </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bookmarkStart w:id="12" w:name="_Toc15377196"/>
      <w:bookmarkStart w:id="13" w:name="_Toc15396599"/>
      <w:r>
        <w:rPr>
          <w:rFonts w:hint="eastAsia" w:ascii="黑体" w:hAnsi="黑体" w:eastAsia="黑体"/>
          <w:color w:val="000000"/>
          <w:sz w:val="48"/>
          <w:szCs w:val="48"/>
        </w:rPr>
        <w:t>目录</w:t>
      </w:r>
    </w:p>
    <w:p>
      <w:pPr>
        <w:pStyle w:val="10"/>
        <w:rPr>
          <w:rFonts w:ascii="仿宋_GB2312" w:hAnsi="仿宋_GB2312" w:eastAsia="仿宋_GB2312" w:cs="仿宋_GB2312"/>
          <w:sz w:val="32"/>
          <w:szCs w:val="32"/>
        </w:rPr>
      </w:pPr>
      <w:r>
        <w:rPr>
          <w:rFonts w:hint="eastAsia" w:ascii="仿宋_GB2312" w:hAnsi="仿宋_GB2312" w:eastAsia="仿宋_GB2312" w:cs="仿宋_GB2312"/>
          <w:sz w:val="32"/>
          <w:szCs w:val="32"/>
        </w:rPr>
        <w:t>公开时间：2021年9 月 27日</w:t>
      </w:r>
    </w:p>
    <w:p/>
    <w:p>
      <w:pPr>
        <w:pStyle w:val="10"/>
        <w:adjustRightInd w:val="0"/>
        <w:snapToGrid w:val="0"/>
        <w:spacing w:before="0"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5</w:t>
      </w:r>
    </w:p>
    <w:p>
      <w:pPr>
        <w:pStyle w:val="11"/>
        <w:adjustRightInd w:val="0"/>
        <w:snapToGrid w:val="0"/>
        <w:spacing w:line="576" w:lineRule="exact"/>
        <w:ind w:firstLine="160" w:firstLineChars="5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5</w:t>
      </w:r>
    </w:p>
    <w:p>
      <w:pPr>
        <w:pStyle w:val="11"/>
        <w:adjustRightInd w:val="0"/>
        <w:snapToGrid w:val="0"/>
        <w:spacing w:line="576" w:lineRule="exact"/>
        <w:ind w:firstLine="160" w:firstLineChars="5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8</w:t>
      </w:r>
    </w:p>
    <w:p>
      <w:pPr>
        <w:pStyle w:val="10"/>
        <w:adjustRightInd w:val="0"/>
        <w:snapToGrid w:val="0"/>
        <w:spacing w:before="0"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第二部部门决算情况说明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9</w:t>
      </w:r>
    </w:p>
    <w:p>
      <w:pPr>
        <w:pStyle w:val="11"/>
        <w:adjustRightInd w:val="0"/>
        <w:snapToGrid w:val="0"/>
        <w:spacing w:line="576" w:lineRule="exact"/>
        <w:ind w:left="0" w:leftChars="0" w:firstLine="576" w:firstLineChars="18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9</w:t>
      </w:r>
    </w:p>
    <w:p>
      <w:pPr>
        <w:pStyle w:val="11"/>
        <w:adjustRightInd w:val="0"/>
        <w:snapToGrid w:val="0"/>
        <w:spacing w:line="576" w:lineRule="exact"/>
        <w:ind w:left="0" w:leftChars="0" w:firstLine="576" w:firstLineChars="18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9</w:t>
      </w:r>
    </w:p>
    <w:p>
      <w:pPr>
        <w:pStyle w:val="11"/>
        <w:adjustRightInd w:val="0"/>
        <w:snapToGrid w:val="0"/>
        <w:spacing w:line="576" w:lineRule="exact"/>
        <w:ind w:left="0" w:leftChars="0" w:firstLine="576" w:firstLineChars="18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9</w:t>
      </w:r>
    </w:p>
    <w:p>
      <w:pPr>
        <w:pStyle w:val="11"/>
        <w:adjustRightInd w:val="0"/>
        <w:snapToGrid w:val="0"/>
        <w:spacing w:line="576" w:lineRule="exact"/>
        <w:ind w:left="0" w:leftChars="0" w:firstLine="576" w:firstLineChars="18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10</w:t>
      </w:r>
    </w:p>
    <w:p>
      <w:pPr>
        <w:pStyle w:val="11"/>
        <w:adjustRightInd w:val="0"/>
        <w:snapToGrid w:val="0"/>
        <w:spacing w:line="576" w:lineRule="exact"/>
        <w:ind w:left="0" w:leftChars="0" w:firstLine="576" w:firstLineChars="18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10</w:t>
      </w:r>
    </w:p>
    <w:p>
      <w:pPr>
        <w:pStyle w:val="10"/>
        <w:adjustRightInd w:val="0"/>
        <w:snapToGrid w:val="0"/>
        <w:spacing w:before="0" w:line="576" w:lineRule="exact"/>
        <w:ind w:firstLine="480" w:firstLineChars="150"/>
        <w:jc w:val="both"/>
        <w:rPr>
          <w:rFonts w:ascii="仿宋_GB2312" w:hAnsi="仿宋_GB2312" w:eastAsia="仿宋_GB2312" w:cs="仿宋_GB2312"/>
          <w:b/>
          <w:bCs/>
          <w:caps/>
          <w:sz w:val="32"/>
          <w:szCs w:val="32"/>
        </w:rPr>
      </w:pPr>
      <w:r>
        <w:rPr>
          <w:rFonts w:ascii="仿宋_GB2312" w:hAnsi="仿宋_GB2312" w:eastAsia="仿宋_GB2312" w:cs="仿宋_GB2312"/>
          <w:sz w:val="32"/>
          <w:szCs w:val="32"/>
        </w:rPr>
        <w:t>（一）一般公共预算财政拨款支出决算总体情况</w:t>
      </w:r>
      <w:r>
        <w:rPr>
          <w:rFonts w:ascii="仿宋_GB2312" w:hAnsi="仿宋_GB2312" w:eastAsia="仿宋_GB2312" w:cs="仿宋_GB2312"/>
          <w:sz w:val="32"/>
          <w:szCs w:val="32"/>
        </w:rPr>
        <w:tab/>
      </w:r>
      <w:r>
        <w:rPr>
          <w:rFonts w:ascii="仿宋_GB2312" w:hAnsi="仿宋_GB2312" w:eastAsia="仿宋_GB2312" w:cs="仿宋_GB2312"/>
          <w:b/>
          <w:bCs/>
          <w:caps/>
          <w:sz w:val="32"/>
          <w:szCs w:val="32"/>
        </w:rPr>
        <w:fldChar w:fldCharType="begin"/>
      </w:r>
      <w:r>
        <w:rPr>
          <w:rFonts w:ascii="仿宋_GB2312" w:hAnsi="仿宋_GB2312" w:eastAsia="仿宋_GB2312" w:cs="仿宋_GB2312"/>
          <w:sz w:val="32"/>
          <w:szCs w:val="32"/>
        </w:rPr>
        <w:instrText xml:space="preserve"> PAGEREF _Toc79163865 \h </w:instrText>
      </w:r>
      <w:r>
        <w:rPr>
          <w:rFonts w:ascii="仿宋_GB2312" w:hAnsi="仿宋_GB2312" w:eastAsia="仿宋_GB2312" w:cs="仿宋_GB2312"/>
          <w:b/>
          <w:bCs/>
          <w:caps/>
          <w:sz w:val="32"/>
          <w:szCs w:val="32"/>
        </w:rPr>
        <w:fldChar w:fldCharType="separate"/>
      </w:r>
      <w:r>
        <w:rPr>
          <w:rFonts w:ascii="仿宋_GB2312" w:hAnsi="仿宋_GB2312" w:eastAsia="仿宋_GB2312" w:cs="仿宋_GB2312"/>
          <w:sz w:val="32"/>
          <w:szCs w:val="32"/>
        </w:rPr>
        <w:t>9</w:t>
      </w:r>
      <w:r>
        <w:rPr>
          <w:rFonts w:ascii="仿宋_GB2312" w:hAnsi="仿宋_GB2312" w:eastAsia="仿宋_GB2312" w:cs="仿宋_GB2312"/>
          <w:b/>
          <w:bCs/>
          <w:caps/>
          <w:sz w:val="32"/>
          <w:szCs w:val="32"/>
        </w:rPr>
        <w:fldChar w:fldCharType="end"/>
      </w:r>
    </w:p>
    <w:p>
      <w:pPr>
        <w:pStyle w:val="10"/>
        <w:adjustRightInd w:val="0"/>
        <w:snapToGrid w:val="0"/>
        <w:spacing w:before="0" w:line="576" w:lineRule="exact"/>
        <w:ind w:firstLine="480" w:firstLineChars="150"/>
        <w:jc w:val="both"/>
        <w:rPr>
          <w:rFonts w:ascii="仿宋_GB2312" w:hAnsi="仿宋_GB2312" w:eastAsia="仿宋_GB2312" w:cs="仿宋_GB2312"/>
          <w:b/>
          <w:bCs/>
          <w:caps/>
          <w:sz w:val="32"/>
          <w:szCs w:val="32"/>
        </w:rPr>
      </w:pPr>
      <w:r>
        <w:rPr>
          <w:rFonts w:ascii="仿宋_GB2312" w:hAnsi="仿宋_GB2312" w:eastAsia="仿宋_GB2312" w:cs="仿宋_GB2312"/>
          <w:sz w:val="32"/>
          <w:szCs w:val="32"/>
        </w:rPr>
        <w:t>（二）一般公共预算财政拨款支出决算结构情况</w:t>
      </w:r>
      <w:r>
        <w:rPr>
          <w:rFonts w:ascii="仿宋_GB2312" w:hAnsi="仿宋_GB2312" w:eastAsia="仿宋_GB2312" w:cs="仿宋_GB2312"/>
          <w:sz w:val="32"/>
          <w:szCs w:val="32"/>
        </w:rPr>
        <w:tab/>
      </w:r>
      <w:r>
        <w:rPr>
          <w:rFonts w:ascii="仿宋_GB2312" w:hAnsi="仿宋_GB2312" w:eastAsia="仿宋_GB2312" w:cs="仿宋_GB2312"/>
          <w:b/>
          <w:bCs/>
          <w:caps/>
          <w:sz w:val="32"/>
          <w:szCs w:val="32"/>
        </w:rPr>
        <w:fldChar w:fldCharType="begin"/>
      </w:r>
      <w:r>
        <w:rPr>
          <w:rFonts w:ascii="仿宋_GB2312" w:hAnsi="仿宋_GB2312" w:eastAsia="仿宋_GB2312" w:cs="仿宋_GB2312"/>
          <w:sz w:val="32"/>
          <w:szCs w:val="32"/>
        </w:rPr>
        <w:instrText xml:space="preserve"> PAGEREF _Toc79163866 \h </w:instrText>
      </w:r>
      <w:r>
        <w:rPr>
          <w:rFonts w:ascii="仿宋_GB2312" w:hAnsi="仿宋_GB2312" w:eastAsia="仿宋_GB2312" w:cs="仿宋_GB2312"/>
          <w:b/>
          <w:bCs/>
          <w:caps/>
          <w:sz w:val="32"/>
          <w:szCs w:val="32"/>
        </w:rPr>
        <w:fldChar w:fldCharType="separate"/>
      </w:r>
      <w:r>
        <w:rPr>
          <w:rFonts w:ascii="仿宋_GB2312" w:hAnsi="仿宋_GB2312" w:eastAsia="仿宋_GB2312" w:cs="仿宋_GB2312"/>
          <w:sz w:val="32"/>
          <w:szCs w:val="32"/>
        </w:rPr>
        <w:t>10</w:t>
      </w:r>
      <w:r>
        <w:rPr>
          <w:rFonts w:ascii="仿宋_GB2312" w:hAnsi="仿宋_GB2312" w:eastAsia="仿宋_GB2312" w:cs="仿宋_GB2312"/>
          <w:b/>
          <w:bCs/>
          <w:caps/>
          <w:sz w:val="32"/>
          <w:szCs w:val="32"/>
        </w:rPr>
        <w:fldChar w:fldCharType="end"/>
      </w:r>
    </w:p>
    <w:p>
      <w:pPr>
        <w:pStyle w:val="10"/>
        <w:adjustRightInd w:val="0"/>
        <w:snapToGrid w:val="0"/>
        <w:spacing w:before="0" w:line="576" w:lineRule="exact"/>
        <w:rPr>
          <w:rFonts w:ascii="仿宋_GB2312" w:hAnsi="仿宋_GB2312" w:eastAsia="仿宋_GB2312" w:cs="仿宋_GB2312"/>
          <w:b/>
          <w:bCs/>
          <w:caps/>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（三）一般公共预算财政拨款支出决算具体情况</w:t>
      </w:r>
      <w:r>
        <w:rPr>
          <w:rFonts w:ascii="仿宋_GB2312" w:hAnsi="仿宋_GB2312" w:eastAsia="仿宋_GB2312" w:cs="仿宋_GB2312"/>
          <w:sz w:val="32"/>
          <w:szCs w:val="32"/>
        </w:rPr>
        <w:tab/>
      </w:r>
      <w:r>
        <w:rPr>
          <w:rFonts w:ascii="仿宋_GB2312" w:hAnsi="仿宋_GB2312" w:eastAsia="仿宋_GB2312" w:cs="仿宋_GB2312"/>
          <w:b/>
          <w:bCs/>
          <w:caps/>
          <w:sz w:val="32"/>
          <w:szCs w:val="32"/>
        </w:rPr>
        <w:fldChar w:fldCharType="begin"/>
      </w:r>
      <w:r>
        <w:rPr>
          <w:rFonts w:ascii="仿宋_GB2312" w:hAnsi="仿宋_GB2312" w:eastAsia="仿宋_GB2312" w:cs="仿宋_GB2312"/>
          <w:sz w:val="32"/>
          <w:szCs w:val="32"/>
        </w:rPr>
        <w:instrText xml:space="preserve"> PAGEREF _Toc79163867 \h </w:instrText>
      </w:r>
      <w:r>
        <w:rPr>
          <w:rFonts w:ascii="仿宋_GB2312" w:hAnsi="仿宋_GB2312" w:eastAsia="仿宋_GB2312" w:cs="仿宋_GB2312"/>
          <w:b/>
          <w:bCs/>
          <w:caps/>
          <w:sz w:val="32"/>
          <w:szCs w:val="32"/>
        </w:rPr>
        <w:fldChar w:fldCharType="separate"/>
      </w:r>
      <w:r>
        <w:rPr>
          <w:rFonts w:ascii="仿宋_GB2312" w:hAnsi="仿宋_GB2312" w:eastAsia="仿宋_GB2312" w:cs="仿宋_GB2312"/>
          <w:sz w:val="32"/>
          <w:szCs w:val="32"/>
        </w:rPr>
        <w:t>10</w:t>
      </w:r>
      <w:r>
        <w:rPr>
          <w:rFonts w:ascii="仿宋_GB2312" w:hAnsi="仿宋_GB2312" w:eastAsia="仿宋_GB2312" w:cs="仿宋_GB2312"/>
          <w:b/>
          <w:bCs/>
          <w:caps/>
          <w:sz w:val="32"/>
          <w:szCs w:val="32"/>
        </w:rPr>
        <w:fldChar w:fldCharType="end"/>
      </w:r>
    </w:p>
    <w:p>
      <w:pPr>
        <w:pStyle w:val="11"/>
        <w:adjustRightInd w:val="0"/>
        <w:snapToGrid w:val="0"/>
        <w:spacing w:line="576" w:lineRule="exact"/>
        <w:ind w:left="0" w:leftChars="0" w:firstLine="576" w:firstLineChars="18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13</w:t>
      </w:r>
    </w:p>
    <w:p>
      <w:pPr>
        <w:pStyle w:val="11"/>
        <w:adjustRightInd w:val="0"/>
        <w:snapToGrid w:val="0"/>
        <w:spacing w:line="576" w:lineRule="exact"/>
        <w:ind w:left="0" w:leftChars="0" w:firstLine="576" w:firstLineChars="18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14</w:t>
      </w:r>
    </w:p>
    <w:p>
      <w:pPr>
        <w:pStyle w:val="10"/>
        <w:adjustRightInd w:val="0"/>
        <w:snapToGrid w:val="0"/>
        <w:spacing w:before="0" w:line="576" w:lineRule="exact"/>
        <w:rPr>
          <w:rFonts w:ascii="仿宋_GB2312" w:hAnsi="仿宋_GB2312" w:eastAsia="仿宋_GB2312" w:cs="仿宋_GB2312"/>
          <w:b/>
          <w:bCs/>
          <w:caps/>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（一）“三公”经费财政拨款支出决算总体情况说明</w:t>
      </w:r>
      <w:r>
        <w:rPr>
          <w:rFonts w:ascii="仿宋_GB2312" w:hAnsi="仿宋_GB2312" w:eastAsia="仿宋_GB2312" w:cs="仿宋_GB2312"/>
          <w:sz w:val="32"/>
          <w:szCs w:val="32"/>
        </w:rPr>
        <w:tab/>
      </w:r>
      <w:r>
        <w:rPr>
          <w:rFonts w:ascii="仿宋_GB2312" w:hAnsi="仿宋_GB2312" w:eastAsia="仿宋_GB2312" w:cs="仿宋_GB2312"/>
          <w:b/>
          <w:bCs/>
          <w:caps/>
          <w:sz w:val="32"/>
          <w:szCs w:val="32"/>
        </w:rPr>
        <w:fldChar w:fldCharType="begin"/>
      </w:r>
      <w:r>
        <w:rPr>
          <w:rFonts w:ascii="仿宋_GB2312" w:hAnsi="仿宋_GB2312" w:eastAsia="仿宋_GB2312" w:cs="仿宋_GB2312"/>
          <w:sz w:val="32"/>
          <w:szCs w:val="32"/>
        </w:rPr>
        <w:instrText xml:space="preserve"> PAGEREF _Toc79163870 \h </w:instrText>
      </w:r>
      <w:r>
        <w:rPr>
          <w:rFonts w:ascii="仿宋_GB2312" w:hAnsi="仿宋_GB2312" w:eastAsia="仿宋_GB2312" w:cs="仿宋_GB2312"/>
          <w:b/>
          <w:bCs/>
          <w:caps/>
          <w:sz w:val="32"/>
          <w:szCs w:val="32"/>
        </w:rPr>
        <w:fldChar w:fldCharType="separate"/>
      </w:r>
      <w:r>
        <w:rPr>
          <w:rFonts w:ascii="仿宋_GB2312" w:hAnsi="仿宋_GB2312" w:eastAsia="仿宋_GB2312" w:cs="仿宋_GB2312"/>
          <w:sz w:val="32"/>
          <w:szCs w:val="32"/>
        </w:rPr>
        <w:t>13</w:t>
      </w:r>
      <w:r>
        <w:rPr>
          <w:rFonts w:ascii="仿宋_GB2312" w:hAnsi="仿宋_GB2312" w:eastAsia="仿宋_GB2312" w:cs="仿宋_GB2312"/>
          <w:b/>
          <w:bCs/>
          <w:caps/>
          <w:sz w:val="32"/>
          <w:szCs w:val="32"/>
        </w:rPr>
        <w:fldChar w:fldCharType="end"/>
      </w:r>
    </w:p>
    <w:p>
      <w:pPr>
        <w:pStyle w:val="10"/>
        <w:adjustRightInd w:val="0"/>
        <w:snapToGrid w:val="0"/>
        <w:spacing w:before="0" w:line="576" w:lineRule="exact"/>
        <w:rPr>
          <w:rFonts w:ascii="仿宋_GB2312" w:hAnsi="仿宋_GB2312" w:eastAsia="仿宋_GB2312" w:cs="仿宋_GB2312"/>
          <w:b/>
          <w:bCs/>
          <w:caps/>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（二）“三公”经费财政拨款支出决算具体情况说明</w:t>
      </w:r>
      <w:r>
        <w:rPr>
          <w:rFonts w:ascii="仿宋_GB2312" w:hAnsi="仿宋_GB2312" w:eastAsia="仿宋_GB2312" w:cs="仿宋_GB2312"/>
          <w:sz w:val="32"/>
          <w:szCs w:val="32"/>
        </w:rPr>
        <w:tab/>
      </w:r>
      <w:r>
        <w:rPr>
          <w:rFonts w:ascii="仿宋_GB2312" w:hAnsi="仿宋_GB2312" w:eastAsia="仿宋_GB2312" w:cs="仿宋_GB2312"/>
          <w:b/>
          <w:bCs/>
          <w:caps/>
          <w:sz w:val="32"/>
          <w:szCs w:val="32"/>
        </w:rPr>
        <w:fldChar w:fldCharType="begin"/>
      </w:r>
      <w:r>
        <w:rPr>
          <w:rFonts w:ascii="仿宋_GB2312" w:hAnsi="仿宋_GB2312" w:eastAsia="仿宋_GB2312" w:cs="仿宋_GB2312"/>
          <w:sz w:val="32"/>
          <w:szCs w:val="32"/>
        </w:rPr>
        <w:instrText xml:space="preserve"> PAGEREF _Toc79163871 \h </w:instrText>
      </w:r>
      <w:r>
        <w:rPr>
          <w:rFonts w:ascii="仿宋_GB2312" w:hAnsi="仿宋_GB2312" w:eastAsia="仿宋_GB2312" w:cs="仿宋_GB2312"/>
          <w:b/>
          <w:bCs/>
          <w:caps/>
          <w:sz w:val="32"/>
          <w:szCs w:val="32"/>
        </w:rPr>
        <w:fldChar w:fldCharType="separate"/>
      </w:r>
      <w:r>
        <w:rPr>
          <w:rFonts w:ascii="仿宋_GB2312" w:hAnsi="仿宋_GB2312" w:eastAsia="仿宋_GB2312" w:cs="仿宋_GB2312"/>
          <w:sz w:val="32"/>
          <w:szCs w:val="32"/>
        </w:rPr>
        <w:t>13</w:t>
      </w:r>
      <w:r>
        <w:rPr>
          <w:rFonts w:ascii="仿宋_GB2312" w:hAnsi="仿宋_GB2312" w:eastAsia="仿宋_GB2312" w:cs="仿宋_GB2312"/>
          <w:b/>
          <w:bCs/>
          <w:caps/>
          <w:sz w:val="32"/>
          <w:szCs w:val="32"/>
        </w:rPr>
        <w:fldChar w:fldCharType="end"/>
      </w:r>
    </w:p>
    <w:p>
      <w:pPr>
        <w:pStyle w:val="11"/>
        <w:adjustRightInd w:val="0"/>
        <w:snapToGrid w:val="0"/>
        <w:spacing w:line="576" w:lineRule="exact"/>
        <w:ind w:left="0" w:leftChars="0" w:firstLine="576" w:firstLineChars="18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15</w:t>
      </w:r>
    </w:p>
    <w:p>
      <w:pPr>
        <w:pStyle w:val="11"/>
        <w:adjustRightInd w:val="0"/>
        <w:snapToGrid w:val="0"/>
        <w:spacing w:line="576" w:lineRule="exact"/>
        <w:ind w:left="0" w:leftChars="0" w:firstLine="576" w:firstLineChars="18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九、国有资本经营预算支出决算情况说明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15</w:t>
      </w:r>
    </w:p>
    <w:p>
      <w:pPr>
        <w:pStyle w:val="11"/>
        <w:spacing w:line="576" w:lineRule="exact"/>
        <w:ind w:firstLine="160" w:firstLineChars="50"/>
        <w:rPr>
          <w:rFonts w:ascii="仿宋_GB2312" w:hAnsi="仿宋_GB2312" w:eastAsia="仿宋_GB2312" w:cs="仿宋_GB2312"/>
          <w:sz w:val="32"/>
          <w:szCs w:val="32"/>
        </w:rPr>
      </w:pPr>
      <w:r>
        <w:rPr>
          <w:rFonts w:hint="eastAsia" w:ascii="仿宋_GB2312" w:hAnsi="仿宋_GB2312" w:eastAsia="仿宋_GB2312" w:cs="仿宋_GB2312"/>
          <w:sz w:val="32"/>
          <w:szCs w:val="32"/>
        </w:rPr>
        <w:t>十、其他重要事项的情况说明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16</w:t>
      </w:r>
    </w:p>
    <w:p>
      <w:pPr>
        <w:pStyle w:val="10"/>
        <w:adjustRightInd w:val="0"/>
        <w:snapToGrid w:val="0"/>
        <w:spacing w:before="0" w:line="576" w:lineRule="exact"/>
        <w:rPr>
          <w:rFonts w:ascii="仿宋_GB2312" w:hAnsi="仿宋_GB2312" w:eastAsia="仿宋_GB2312" w:cs="仿宋_GB2312"/>
          <w:b/>
          <w:bCs/>
          <w:caps/>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（一）机关运行经费支出情况</w:t>
      </w:r>
      <w:r>
        <w:rPr>
          <w:rFonts w:ascii="仿宋_GB2312" w:hAnsi="仿宋_GB2312" w:eastAsia="仿宋_GB2312" w:cs="仿宋_GB2312"/>
          <w:sz w:val="32"/>
          <w:szCs w:val="32"/>
        </w:rPr>
        <w:tab/>
      </w:r>
      <w:r>
        <w:rPr>
          <w:rFonts w:ascii="仿宋_GB2312" w:hAnsi="仿宋_GB2312" w:eastAsia="仿宋_GB2312" w:cs="仿宋_GB2312"/>
          <w:b/>
          <w:bCs/>
          <w:caps/>
          <w:sz w:val="32"/>
          <w:szCs w:val="32"/>
        </w:rPr>
        <w:fldChar w:fldCharType="begin"/>
      </w:r>
      <w:r>
        <w:rPr>
          <w:rFonts w:ascii="仿宋_GB2312" w:hAnsi="仿宋_GB2312" w:eastAsia="仿宋_GB2312" w:cs="仿宋_GB2312"/>
          <w:sz w:val="32"/>
          <w:szCs w:val="32"/>
        </w:rPr>
        <w:instrText xml:space="preserve"> PAGEREF _Toc79163875 \h </w:instrText>
      </w:r>
      <w:r>
        <w:rPr>
          <w:rFonts w:ascii="仿宋_GB2312" w:hAnsi="仿宋_GB2312" w:eastAsia="仿宋_GB2312" w:cs="仿宋_GB2312"/>
          <w:b/>
          <w:bCs/>
          <w:caps/>
          <w:sz w:val="32"/>
          <w:szCs w:val="32"/>
        </w:rPr>
        <w:fldChar w:fldCharType="separate"/>
      </w:r>
      <w:r>
        <w:rPr>
          <w:rFonts w:ascii="仿宋_GB2312" w:hAnsi="仿宋_GB2312" w:eastAsia="仿宋_GB2312" w:cs="仿宋_GB2312"/>
          <w:sz w:val="32"/>
          <w:szCs w:val="32"/>
        </w:rPr>
        <w:t>14</w:t>
      </w:r>
      <w:r>
        <w:rPr>
          <w:rFonts w:ascii="仿宋_GB2312" w:hAnsi="仿宋_GB2312" w:eastAsia="仿宋_GB2312" w:cs="仿宋_GB2312"/>
          <w:b/>
          <w:bCs/>
          <w:caps/>
          <w:sz w:val="32"/>
          <w:szCs w:val="32"/>
        </w:rPr>
        <w:fldChar w:fldCharType="end"/>
      </w:r>
    </w:p>
    <w:p>
      <w:pPr>
        <w:pStyle w:val="10"/>
        <w:adjustRightInd w:val="0"/>
        <w:snapToGrid w:val="0"/>
        <w:spacing w:before="0" w:line="576" w:lineRule="exact"/>
        <w:rPr>
          <w:rFonts w:ascii="仿宋_GB2312" w:hAnsi="仿宋_GB2312" w:eastAsia="仿宋_GB2312" w:cs="仿宋_GB2312"/>
          <w:b/>
          <w:bCs/>
          <w:caps/>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（二）政府采购支出情况</w:t>
      </w:r>
      <w:r>
        <w:rPr>
          <w:rFonts w:ascii="仿宋_GB2312" w:hAnsi="仿宋_GB2312" w:eastAsia="仿宋_GB2312" w:cs="仿宋_GB2312"/>
          <w:sz w:val="32"/>
          <w:szCs w:val="32"/>
        </w:rPr>
        <w:tab/>
      </w:r>
      <w:r>
        <w:rPr>
          <w:rFonts w:ascii="仿宋_GB2312" w:hAnsi="仿宋_GB2312" w:eastAsia="仿宋_GB2312" w:cs="仿宋_GB2312"/>
          <w:b/>
          <w:bCs/>
          <w:caps/>
          <w:sz w:val="32"/>
          <w:szCs w:val="32"/>
        </w:rPr>
        <w:fldChar w:fldCharType="begin"/>
      </w:r>
      <w:r>
        <w:rPr>
          <w:rFonts w:ascii="仿宋_GB2312" w:hAnsi="仿宋_GB2312" w:eastAsia="仿宋_GB2312" w:cs="仿宋_GB2312"/>
          <w:sz w:val="32"/>
          <w:szCs w:val="32"/>
        </w:rPr>
        <w:instrText xml:space="preserve"> PAGEREF _Toc79163876 \h </w:instrText>
      </w:r>
      <w:r>
        <w:rPr>
          <w:rFonts w:ascii="仿宋_GB2312" w:hAnsi="仿宋_GB2312" w:eastAsia="仿宋_GB2312" w:cs="仿宋_GB2312"/>
          <w:b/>
          <w:bCs/>
          <w:caps/>
          <w:sz w:val="32"/>
          <w:szCs w:val="32"/>
        </w:rPr>
        <w:fldChar w:fldCharType="separate"/>
      </w:r>
      <w:r>
        <w:rPr>
          <w:rFonts w:ascii="仿宋_GB2312" w:hAnsi="仿宋_GB2312" w:eastAsia="仿宋_GB2312" w:cs="仿宋_GB2312"/>
          <w:sz w:val="32"/>
          <w:szCs w:val="32"/>
        </w:rPr>
        <w:t>15</w:t>
      </w:r>
      <w:r>
        <w:rPr>
          <w:rFonts w:ascii="仿宋_GB2312" w:hAnsi="仿宋_GB2312" w:eastAsia="仿宋_GB2312" w:cs="仿宋_GB2312"/>
          <w:b/>
          <w:bCs/>
          <w:caps/>
          <w:sz w:val="32"/>
          <w:szCs w:val="32"/>
        </w:rPr>
        <w:fldChar w:fldCharType="end"/>
      </w:r>
    </w:p>
    <w:p>
      <w:pPr>
        <w:pStyle w:val="10"/>
        <w:adjustRightInd w:val="0"/>
        <w:snapToGrid w:val="0"/>
        <w:spacing w:before="0" w:line="576" w:lineRule="exact"/>
        <w:rPr>
          <w:rFonts w:ascii="仿宋_GB2312" w:hAnsi="仿宋_GB2312" w:eastAsia="仿宋_GB2312" w:cs="仿宋_GB2312"/>
          <w:b/>
          <w:bCs/>
          <w:caps/>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（三）国有资产占有使用情况</w:t>
      </w:r>
      <w:r>
        <w:rPr>
          <w:rFonts w:ascii="仿宋_GB2312" w:hAnsi="仿宋_GB2312" w:eastAsia="仿宋_GB2312" w:cs="仿宋_GB2312"/>
          <w:sz w:val="32"/>
          <w:szCs w:val="32"/>
        </w:rPr>
        <w:tab/>
      </w:r>
      <w:r>
        <w:rPr>
          <w:rFonts w:ascii="仿宋_GB2312" w:hAnsi="仿宋_GB2312" w:eastAsia="仿宋_GB2312" w:cs="仿宋_GB2312"/>
          <w:b/>
          <w:bCs/>
          <w:caps/>
          <w:sz w:val="32"/>
          <w:szCs w:val="32"/>
        </w:rPr>
        <w:fldChar w:fldCharType="begin"/>
      </w:r>
      <w:r>
        <w:rPr>
          <w:rFonts w:ascii="仿宋_GB2312" w:hAnsi="仿宋_GB2312" w:eastAsia="仿宋_GB2312" w:cs="仿宋_GB2312"/>
          <w:sz w:val="32"/>
          <w:szCs w:val="32"/>
        </w:rPr>
        <w:instrText xml:space="preserve"> PAGEREF _Toc79163877 \h </w:instrText>
      </w:r>
      <w:r>
        <w:rPr>
          <w:rFonts w:ascii="仿宋_GB2312" w:hAnsi="仿宋_GB2312" w:eastAsia="仿宋_GB2312" w:cs="仿宋_GB2312"/>
          <w:b/>
          <w:bCs/>
          <w:caps/>
          <w:sz w:val="32"/>
          <w:szCs w:val="32"/>
        </w:rPr>
        <w:fldChar w:fldCharType="separate"/>
      </w:r>
      <w:r>
        <w:rPr>
          <w:rFonts w:ascii="仿宋_GB2312" w:hAnsi="仿宋_GB2312" w:eastAsia="仿宋_GB2312" w:cs="仿宋_GB2312"/>
          <w:sz w:val="32"/>
          <w:szCs w:val="32"/>
        </w:rPr>
        <w:t>15</w:t>
      </w:r>
      <w:r>
        <w:rPr>
          <w:rFonts w:ascii="仿宋_GB2312" w:hAnsi="仿宋_GB2312" w:eastAsia="仿宋_GB2312" w:cs="仿宋_GB2312"/>
          <w:b/>
          <w:bCs/>
          <w:caps/>
          <w:sz w:val="32"/>
          <w:szCs w:val="32"/>
        </w:rPr>
        <w:fldChar w:fldCharType="end"/>
      </w:r>
    </w:p>
    <w:p>
      <w:pPr>
        <w:pStyle w:val="10"/>
        <w:adjustRightInd w:val="0"/>
        <w:snapToGrid w:val="0"/>
        <w:spacing w:before="0" w:line="576" w:lineRule="exact"/>
        <w:rPr>
          <w:rFonts w:ascii="仿宋_GB2312" w:hAnsi="仿宋_GB2312" w:eastAsia="仿宋_GB2312" w:cs="仿宋_GB2312"/>
          <w:b/>
          <w:bCs/>
          <w:caps/>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（四）预算绩效管理情况</w:t>
      </w:r>
      <w:r>
        <w:rPr>
          <w:rFonts w:ascii="仿宋_GB2312" w:hAnsi="仿宋_GB2312" w:eastAsia="仿宋_GB2312" w:cs="仿宋_GB2312"/>
          <w:sz w:val="32"/>
          <w:szCs w:val="32"/>
        </w:rPr>
        <w:tab/>
      </w:r>
      <w:r>
        <w:rPr>
          <w:rFonts w:ascii="仿宋_GB2312" w:hAnsi="仿宋_GB2312" w:eastAsia="仿宋_GB2312" w:cs="仿宋_GB2312"/>
          <w:b/>
          <w:bCs/>
          <w:caps/>
          <w:sz w:val="32"/>
          <w:szCs w:val="32"/>
        </w:rPr>
        <w:fldChar w:fldCharType="begin"/>
      </w:r>
      <w:r>
        <w:rPr>
          <w:rFonts w:ascii="仿宋_GB2312" w:hAnsi="仿宋_GB2312" w:eastAsia="仿宋_GB2312" w:cs="仿宋_GB2312"/>
          <w:sz w:val="32"/>
          <w:szCs w:val="32"/>
        </w:rPr>
        <w:instrText xml:space="preserve"> PAGEREF _Toc79163878 \h </w:instrText>
      </w:r>
      <w:r>
        <w:rPr>
          <w:rFonts w:ascii="仿宋_GB2312" w:hAnsi="仿宋_GB2312" w:eastAsia="仿宋_GB2312" w:cs="仿宋_GB2312"/>
          <w:b/>
          <w:bCs/>
          <w:caps/>
          <w:sz w:val="32"/>
          <w:szCs w:val="32"/>
        </w:rPr>
        <w:fldChar w:fldCharType="separate"/>
      </w:r>
      <w:r>
        <w:rPr>
          <w:rFonts w:ascii="仿宋_GB2312" w:hAnsi="仿宋_GB2312" w:eastAsia="仿宋_GB2312" w:cs="仿宋_GB2312"/>
          <w:sz w:val="32"/>
          <w:szCs w:val="32"/>
        </w:rPr>
        <w:t>15</w:t>
      </w:r>
      <w:r>
        <w:rPr>
          <w:rFonts w:ascii="仿宋_GB2312" w:hAnsi="仿宋_GB2312" w:eastAsia="仿宋_GB2312" w:cs="仿宋_GB2312"/>
          <w:b/>
          <w:bCs/>
          <w:caps/>
          <w:sz w:val="32"/>
          <w:szCs w:val="32"/>
        </w:rPr>
        <w:fldChar w:fldCharType="end"/>
      </w:r>
    </w:p>
    <w:p>
      <w:pPr>
        <w:pStyle w:val="10"/>
        <w:spacing w:line="576" w:lineRule="exact"/>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24</w:t>
      </w:r>
    </w:p>
    <w:p>
      <w:pPr>
        <w:pStyle w:val="10"/>
        <w:adjustRightInd w:val="0"/>
        <w:snapToGrid w:val="0"/>
        <w:spacing w:before="0" w:line="576"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27</w:t>
      </w:r>
    </w:p>
    <w:p>
      <w:pPr>
        <w:pStyle w:val="10"/>
        <w:adjustRightInd w:val="0"/>
        <w:snapToGrid w:val="0"/>
        <w:spacing w:before="0" w:line="576"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27</w:t>
      </w:r>
    </w:p>
    <w:p>
      <w:pPr>
        <w:pStyle w:val="11"/>
        <w:adjustRightInd w:val="0"/>
        <w:snapToGrid w:val="0"/>
        <w:spacing w:line="576" w:lineRule="exact"/>
        <w:ind w:left="580" w:leftChars="276"/>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茂县人力资源和社会保障局2020年部门整体支出绩效评价报告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27</w:t>
      </w:r>
    </w:p>
    <w:p>
      <w:pPr>
        <w:pStyle w:val="11"/>
        <w:adjustRightInd w:val="0"/>
        <w:snapToGrid w:val="0"/>
        <w:spacing w:line="576" w:lineRule="exact"/>
        <w:ind w:firstLine="160" w:firstLineChars="5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附件2</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34</w:t>
      </w:r>
    </w:p>
    <w:p>
      <w:pPr>
        <w:pStyle w:val="11"/>
        <w:adjustRightInd w:val="0"/>
        <w:snapToGrid w:val="0"/>
        <w:spacing w:line="576" w:lineRule="exact"/>
        <w:ind w:firstLine="160" w:firstLineChars="5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金保网络运行费用项目2020年绩效评价报告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34</w:t>
      </w:r>
    </w:p>
    <w:p>
      <w:pPr>
        <w:pStyle w:val="11"/>
        <w:adjustRightInd w:val="0"/>
        <w:snapToGrid w:val="0"/>
        <w:spacing w:line="576" w:lineRule="exact"/>
        <w:ind w:firstLine="160" w:firstLineChars="5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退休干部活动管理项目2020年绩效评价报告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37</w:t>
      </w:r>
    </w:p>
    <w:p>
      <w:pPr>
        <w:pStyle w:val="11"/>
        <w:adjustRightInd w:val="0"/>
        <w:snapToGrid w:val="0"/>
        <w:spacing w:line="576" w:lineRule="exact"/>
        <w:ind w:firstLine="160" w:firstLineChars="5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第一书记临岗补贴项目2020年绩效评价报告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三支一扶</w:t>
      </w:r>
      <w:r>
        <w:rPr>
          <w:rFonts w:hint="eastAsia" w:ascii="仿宋_GB2312" w:hAnsi="仿宋_GB2312" w:eastAsia="仿宋_GB2312" w:cs="仿宋_GB2312"/>
          <w:sz w:val="32"/>
          <w:szCs w:val="32"/>
        </w:rPr>
        <w:t>”培训费项目2020年绩效评价报告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42</w:t>
      </w:r>
    </w:p>
    <w:p>
      <w:pPr>
        <w:pStyle w:val="10"/>
        <w:adjustRightInd w:val="0"/>
        <w:snapToGrid w:val="0"/>
        <w:spacing w:before="0"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第五部分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44</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44</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二、收入决算表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44</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44</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44</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五、财政拨款支出决算明细表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44</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44</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七、一般公共预算财政拨款支出决算明细表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44</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八、一般公共预算财政拨款基本支出决算表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44</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九、一般公共预算财政拨款项目支出决算表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44</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十、一般公共预算财政拨款“三公”经费支出决算表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44</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十一、政府性基金预算财政拨款收入支出决算表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44</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十二、政府性基金预算财政拨款“三公”经费支出决算表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44</w:t>
      </w:r>
    </w:p>
    <w:p>
      <w:pPr>
        <w:spacing w:line="576" w:lineRule="exact"/>
        <w:ind w:firstLine="480" w:firstLineChars="15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十三、</w:t>
      </w:r>
      <w:r>
        <w:rPr>
          <w:rFonts w:hint="eastAsia" w:ascii="仿宋_GB2312" w:hAnsi="仿宋_GB2312" w:eastAsia="仿宋_GB2312" w:cs="仿宋_GB2312"/>
          <w:color w:val="000000"/>
          <w:sz w:val="32"/>
          <w:szCs w:val="32"/>
        </w:rPr>
        <w:t>国有资本经营预算财政拨款收入支出决算表</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44</w:t>
      </w:r>
    </w:p>
    <w:p>
      <w:pPr>
        <w:spacing w:line="576" w:lineRule="exact"/>
        <w:ind w:firstLine="480" w:firstLineChars="15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十四、</w:t>
      </w:r>
      <w:r>
        <w:rPr>
          <w:rFonts w:hint="eastAsia" w:ascii="仿宋_GB2312" w:hAnsi="仿宋_GB2312" w:eastAsia="仿宋_GB2312" w:cs="仿宋_GB2312"/>
          <w:color w:val="000000"/>
          <w:sz w:val="32"/>
          <w:szCs w:val="32"/>
        </w:rPr>
        <w:t>国有资本经营预算财政拨款支出决算表</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44</w:t>
      </w:r>
    </w:p>
    <w:p>
      <w:pPr>
        <w:autoSpaceDE w:val="0"/>
        <w:autoSpaceDN w:val="0"/>
        <w:adjustRightInd w:val="0"/>
        <w:spacing w:line="576" w:lineRule="exact"/>
        <w:ind w:firstLine="640" w:firstLineChars="200"/>
        <w:jc w:val="left"/>
        <w:outlineLvl w:val="2"/>
        <w:rPr>
          <w:rFonts w:ascii="仿宋_GB2312" w:hAnsi="仿宋_GB2312" w:eastAsia="仿宋_GB2312" w:cs="仿宋_GB2312"/>
          <w:color w:val="000000"/>
          <w:sz w:val="32"/>
          <w:szCs w:val="32"/>
        </w:rPr>
      </w:pPr>
    </w:p>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bookmarkEnd w:id="12"/>
    <w:bookmarkEnd w:id="13"/>
    <w:p>
      <w:pPr>
        <w:spacing w:line="576" w:lineRule="exact"/>
        <w:ind w:left="672"/>
        <w:jc w:val="center"/>
        <w:rPr>
          <w:rStyle w:val="25"/>
          <w:rFonts w:ascii="黑体" w:hAnsi="黑体" w:eastAsia="黑体" w:cs="黑体"/>
        </w:rPr>
      </w:pPr>
      <w:bookmarkStart w:id="14" w:name="_Toc15377198"/>
      <w:bookmarkStart w:id="15" w:name="_Toc15378445"/>
      <w:bookmarkStart w:id="16" w:name="_Toc15377204"/>
      <w:bookmarkStart w:id="17" w:name="_Toc15396602"/>
      <w:r>
        <w:rPr>
          <w:rStyle w:val="25"/>
          <w:rFonts w:hint="eastAsia" w:ascii="黑体" w:hAnsi="黑体" w:eastAsia="黑体" w:cs="黑体"/>
        </w:rPr>
        <w:t>第一部分 部门概况</w:t>
      </w:r>
    </w:p>
    <w:p>
      <w:pPr>
        <w:spacing w:line="576"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一、基本职能及主要工作</w:t>
      </w:r>
    </w:p>
    <w:p>
      <w:pPr>
        <w:spacing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（一）主要职能</w:t>
      </w:r>
    </w:p>
    <w:bookmarkEnd w:id="14"/>
    <w:bookmarkEnd w:id="15"/>
    <w:p>
      <w:pPr>
        <w:spacing w:line="576" w:lineRule="exact"/>
        <w:ind w:firstLine="640" w:firstLineChars="200"/>
        <w:rPr>
          <w:rFonts w:ascii="仿宋_GB2312" w:hAnsi="宋体" w:eastAsia="仿宋_GB2312" w:cs="宋体"/>
          <w:sz w:val="32"/>
          <w:szCs w:val="32"/>
        </w:rPr>
      </w:pPr>
      <w:bookmarkStart w:id="18" w:name="_Toc15378446"/>
      <w:bookmarkStart w:id="19" w:name="_Toc15377199"/>
      <w:bookmarkStart w:id="20" w:name="_Toc79163604"/>
      <w:bookmarkStart w:id="21" w:name="_Toc79163854"/>
      <w:r>
        <w:rPr>
          <w:rFonts w:ascii="仿宋_GB2312" w:hAnsi="宋体" w:eastAsia="仿宋_GB2312" w:cs="宋体"/>
          <w:sz w:val="32"/>
          <w:szCs w:val="32"/>
        </w:rPr>
        <w:t>1.</w:t>
      </w:r>
      <w:r>
        <w:rPr>
          <w:rFonts w:hint="eastAsia" w:ascii="仿宋_GB2312" w:hAnsi="宋体" w:eastAsia="仿宋_GB2312" w:cs="宋体"/>
          <w:sz w:val="32"/>
          <w:szCs w:val="32"/>
        </w:rPr>
        <w:t>贯彻执行人力资源和社会保障法律、法规、规章和方针政策，拟订全县人力资源和社会保障发展规划，并组织实施和监督检查。</w:t>
      </w:r>
    </w:p>
    <w:p>
      <w:pPr>
        <w:spacing w:line="576" w:lineRule="exact"/>
        <w:ind w:firstLine="640" w:firstLineChars="200"/>
        <w:rPr>
          <w:rFonts w:ascii="仿宋_GB2312" w:hAnsi="宋体" w:eastAsia="仿宋_GB2312" w:cs="宋体"/>
          <w:sz w:val="32"/>
          <w:szCs w:val="32"/>
        </w:rPr>
      </w:pPr>
      <w:r>
        <w:rPr>
          <w:rFonts w:ascii="仿宋_GB2312" w:hAnsi="宋体" w:eastAsia="仿宋_GB2312" w:cs="宋体"/>
          <w:sz w:val="32"/>
          <w:szCs w:val="32"/>
        </w:rPr>
        <w:t>2.</w:t>
      </w:r>
      <w:r>
        <w:rPr>
          <w:rFonts w:hint="eastAsia" w:ascii="仿宋_GB2312" w:hAnsi="宋体" w:eastAsia="仿宋_GB2312" w:cs="宋体"/>
          <w:sz w:val="32"/>
          <w:szCs w:val="32"/>
        </w:rPr>
        <w:t>负责贯彻执行行政机关公务员录用、考核、职务任免与升降、奖惩、培训、交流与回避、辞职辞退、申诉控告、职位聘任等方面的法律、法规、规章和方针政策，落实公务员管理的地方性法规、规章，负责行政机关公务员综合管理；承办提请县人大常委会和县政府决定的人事任免事项。</w:t>
      </w:r>
    </w:p>
    <w:p>
      <w:pPr>
        <w:spacing w:line="576" w:lineRule="exact"/>
        <w:ind w:firstLine="640" w:firstLineChars="200"/>
        <w:rPr>
          <w:rFonts w:ascii="仿宋_GB2312" w:hAnsi="宋体" w:eastAsia="仿宋_GB2312" w:cs="宋体"/>
          <w:sz w:val="32"/>
          <w:szCs w:val="32"/>
        </w:rPr>
      </w:pPr>
      <w:r>
        <w:rPr>
          <w:rFonts w:ascii="仿宋_GB2312" w:hAnsi="宋体" w:eastAsia="仿宋_GB2312" w:cs="宋体"/>
          <w:sz w:val="32"/>
          <w:szCs w:val="32"/>
        </w:rPr>
        <w:t>3.</w:t>
      </w:r>
      <w:r>
        <w:rPr>
          <w:rFonts w:hint="eastAsia" w:ascii="仿宋_GB2312" w:hAnsi="宋体" w:eastAsia="仿宋_GB2312" w:cs="宋体"/>
          <w:sz w:val="32"/>
          <w:szCs w:val="32"/>
        </w:rPr>
        <w:t>牵头组织推进事业单位人事制度改革，贯彻落实事业单位聘任制度；组织实施事业单位人员和机关工勤人员管理政策的措施和办法；贯彻执行专业技术人员管理和继续教育政策；负责职称、专家综合管理和高层次专业技术人才选拔、培养工作。</w:t>
      </w:r>
    </w:p>
    <w:p>
      <w:pPr>
        <w:spacing w:line="576" w:lineRule="exact"/>
        <w:ind w:firstLine="640" w:firstLineChars="200"/>
        <w:rPr>
          <w:rFonts w:ascii="仿宋_GB2312" w:hAnsi="宋体" w:eastAsia="仿宋_GB2312" w:cs="宋体"/>
          <w:sz w:val="32"/>
          <w:szCs w:val="32"/>
        </w:rPr>
      </w:pPr>
      <w:r>
        <w:rPr>
          <w:rFonts w:ascii="仿宋_GB2312" w:hAnsi="宋体" w:eastAsia="仿宋_GB2312" w:cs="宋体"/>
          <w:sz w:val="32"/>
          <w:szCs w:val="32"/>
        </w:rPr>
        <w:t>4.</w:t>
      </w:r>
      <w:r>
        <w:rPr>
          <w:rFonts w:hint="eastAsia" w:ascii="仿宋_GB2312" w:hAnsi="宋体" w:eastAsia="仿宋_GB2312" w:cs="宋体"/>
          <w:sz w:val="32"/>
          <w:szCs w:val="32"/>
        </w:rPr>
        <w:t>牵头贯彻落实机关事业单位人员工资收入分配、津补贴政策和企业职工工资收入分配的调控政策、措施，建立机关企事业单位人员工资正常增长和支付保障机制；认真贯彻落实机关企事业单位人员福利、工伤和离退休政策。</w:t>
      </w:r>
    </w:p>
    <w:p>
      <w:pPr>
        <w:spacing w:line="576" w:lineRule="exact"/>
        <w:ind w:firstLine="640" w:firstLineChars="200"/>
        <w:rPr>
          <w:rFonts w:ascii="仿宋_GB2312" w:hAnsi="宋体" w:eastAsia="仿宋_GB2312" w:cs="宋体"/>
          <w:sz w:val="32"/>
          <w:szCs w:val="32"/>
        </w:rPr>
      </w:pPr>
      <w:r>
        <w:rPr>
          <w:rFonts w:ascii="仿宋_GB2312" w:hAnsi="宋体" w:eastAsia="仿宋_GB2312" w:cs="宋体"/>
          <w:sz w:val="32"/>
          <w:szCs w:val="32"/>
        </w:rPr>
        <w:t>5.</w:t>
      </w:r>
      <w:r>
        <w:rPr>
          <w:rFonts w:hint="eastAsia" w:ascii="仿宋_GB2312" w:hAnsi="宋体" w:eastAsia="仿宋_GB2312" w:cs="宋体"/>
          <w:sz w:val="32"/>
          <w:szCs w:val="32"/>
        </w:rPr>
        <w:t>会同有关部门落实军队转业干部安置政策和安置计划，贯彻落实部分企业军队转业干部解困和稳定政策；牵头协调落实军队转业干部随调随迁家属的政策性安置工作。</w:t>
      </w:r>
    </w:p>
    <w:p>
      <w:pPr>
        <w:spacing w:line="576" w:lineRule="exact"/>
        <w:ind w:firstLine="640" w:firstLineChars="200"/>
        <w:rPr>
          <w:rFonts w:ascii="仿宋_GB2312" w:hAnsi="宋体" w:eastAsia="仿宋_GB2312" w:cs="宋体"/>
          <w:sz w:val="32"/>
          <w:szCs w:val="32"/>
        </w:rPr>
      </w:pPr>
      <w:r>
        <w:rPr>
          <w:rFonts w:ascii="仿宋_GB2312" w:hAnsi="宋体" w:eastAsia="仿宋_GB2312" w:cs="宋体"/>
          <w:sz w:val="32"/>
          <w:szCs w:val="32"/>
        </w:rPr>
        <w:t>6.</w:t>
      </w:r>
      <w:r>
        <w:rPr>
          <w:rFonts w:hint="eastAsia" w:ascii="仿宋_GB2312" w:hAnsi="宋体" w:eastAsia="仿宋_GB2312" w:cs="宋体"/>
          <w:sz w:val="32"/>
          <w:szCs w:val="32"/>
        </w:rPr>
        <w:t>拟订贯彻执行人力资源市场发展规划和人力资源流动政策的具体办法，建立统一规范的人力资源市场，促进人力资源合理流动和有效配置；综合管理人力资源市场和流动调配工伤；负责人才开发和人才交流等管理服务工伤。</w:t>
      </w:r>
    </w:p>
    <w:p>
      <w:pPr>
        <w:spacing w:line="576" w:lineRule="exact"/>
        <w:ind w:firstLine="640" w:firstLineChars="200"/>
        <w:rPr>
          <w:rFonts w:ascii="仿宋_GB2312" w:hAnsi="宋体" w:eastAsia="仿宋_GB2312" w:cs="宋体"/>
          <w:sz w:val="32"/>
          <w:szCs w:val="32"/>
        </w:rPr>
      </w:pPr>
      <w:r>
        <w:rPr>
          <w:rFonts w:ascii="仿宋_GB2312" w:hAnsi="宋体" w:eastAsia="仿宋_GB2312" w:cs="宋体"/>
          <w:sz w:val="32"/>
          <w:szCs w:val="32"/>
        </w:rPr>
        <w:t>7.</w:t>
      </w:r>
      <w:r>
        <w:rPr>
          <w:rFonts w:hint="eastAsia" w:ascii="仿宋_GB2312" w:hAnsi="宋体" w:eastAsia="仿宋_GB2312" w:cs="宋体"/>
          <w:sz w:val="32"/>
          <w:szCs w:val="32"/>
        </w:rPr>
        <w:t>负责促进就业工作，拟订统筹城乡就业再就业发展规划，完善公共就业服务体系，拟订就业培训、就业援助制度；牵头贯彻落实高校毕业生就业政策。</w:t>
      </w:r>
    </w:p>
    <w:p>
      <w:pPr>
        <w:spacing w:line="576" w:lineRule="exact"/>
        <w:ind w:firstLine="640" w:firstLineChars="200"/>
        <w:rPr>
          <w:rFonts w:ascii="仿宋_GB2312" w:hAnsi="宋体" w:eastAsia="仿宋_GB2312" w:cs="宋体"/>
          <w:sz w:val="32"/>
          <w:szCs w:val="32"/>
        </w:rPr>
      </w:pPr>
      <w:r>
        <w:rPr>
          <w:rFonts w:ascii="仿宋_GB2312" w:hAnsi="宋体" w:eastAsia="仿宋_GB2312" w:cs="宋体"/>
          <w:sz w:val="32"/>
          <w:szCs w:val="32"/>
        </w:rPr>
        <w:t>8.</w:t>
      </w:r>
      <w:r>
        <w:rPr>
          <w:rFonts w:hint="eastAsia" w:ascii="仿宋_GB2312" w:hAnsi="宋体" w:eastAsia="仿宋_GB2312" w:cs="宋体"/>
          <w:sz w:val="32"/>
          <w:szCs w:val="32"/>
        </w:rPr>
        <w:t>拟订实施城乡劳动者职业培训和高技能人才、农村实用人才培养和激励政策的具体办法。</w:t>
      </w:r>
    </w:p>
    <w:p>
      <w:pPr>
        <w:spacing w:line="576" w:lineRule="exact"/>
        <w:ind w:firstLine="640" w:firstLineChars="200"/>
        <w:rPr>
          <w:rFonts w:ascii="仿宋_GB2312" w:hAnsi="宋体" w:eastAsia="仿宋_GB2312" w:cs="宋体"/>
          <w:sz w:val="32"/>
          <w:szCs w:val="32"/>
        </w:rPr>
      </w:pPr>
      <w:r>
        <w:rPr>
          <w:rFonts w:ascii="仿宋_GB2312" w:hAnsi="宋体" w:eastAsia="仿宋_GB2312" w:cs="宋体"/>
          <w:sz w:val="32"/>
          <w:szCs w:val="32"/>
        </w:rPr>
        <w:t>9.</w:t>
      </w:r>
      <w:r>
        <w:rPr>
          <w:rFonts w:hint="eastAsia" w:ascii="仿宋_GB2312" w:hAnsi="宋体" w:eastAsia="仿宋_GB2312" w:cs="宋体"/>
          <w:sz w:val="32"/>
          <w:szCs w:val="32"/>
        </w:rPr>
        <w:t>贯彻执行劳动、人事争议调解仲裁制度和劳动关系政策，完善劳动关系协调机制；贯彻执行特殊劳动保护政策；组织实施劳动、人事保障监督监察，协调劳动、人事维权工作，依法查处违法案件。</w:t>
      </w:r>
    </w:p>
    <w:p>
      <w:pPr>
        <w:spacing w:line="576" w:lineRule="exact"/>
        <w:ind w:firstLine="640" w:firstLineChars="200"/>
        <w:rPr>
          <w:rFonts w:ascii="仿宋_GB2312" w:hAnsi="宋体" w:eastAsia="仿宋_GB2312" w:cs="宋体"/>
          <w:sz w:val="32"/>
          <w:szCs w:val="32"/>
        </w:rPr>
      </w:pPr>
      <w:r>
        <w:rPr>
          <w:rFonts w:ascii="仿宋_GB2312" w:hAnsi="宋体" w:eastAsia="仿宋_GB2312" w:cs="宋体"/>
          <w:sz w:val="32"/>
          <w:szCs w:val="32"/>
        </w:rPr>
        <w:t>10.</w:t>
      </w:r>
      <w:r>
        <w:rPr>
          <w:rFonts w:hint="eastAsia" w:ascii="仿宋_GB2312" w:hAnsi="宋体" w:eastAsia="仿宋_GB2312" w:cs="宋体"/>
          <w:sz w:val="32"/>
          <w:szCs w:val="32"/>
        </w:rPr>
        <w:t>承办县政府交办的其它事项。</w:t>
      </w:r>
    </w:p>
    <w:p>
      <w:pPr>
        <w:spacing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w:t>
      </w:r>
      <w:r>
        <w:rPr>
          <w:rFonts w:ascii="楷体_GB2312" w:hAnsi="楷体_GB2312" w:eastAsia="楷体_GB2312" w:cs="楷体_GB2312"/>
          <w:b/>
          <w:bCs/>
          <w:sz w:val="32"/>
          <w:szCs w:val="32"/>
        </w:rPr>
        <w:t>2020</w:t>
      </w:r>
      <w:r>
        <w:rPr>
          <w:rFonts w:hint="eastAsia" w:ascii="楷体_GB2312" w:hAnsi="楷体_GB2312" w:eastAsia="楷体_GB2312" w:cs="楷体_GB2312"/>
          <w:b/>
          <w:bCs/>
          <w:sz w:val="32"/>
          <w:szCs w:val="32"/>
        </w:rPr>
        <w:t>年重点工作完成情况</w:t>
      </w:r>
      <w:bookmarkEnd w:id="18"/>
      <w:bookmarkEnd w:id="19"/>
      <w:bookmarkEnd w:id="20"/>
      <w:bookmarkEnd w:id="21"/>
    </w:p>
    <w:p>
      <w:pPr>
        <w:spacing w:line="560" w:lineRule="exact"/>
        <w:ind w:firstLine="570"/>
        <w:rPr>
          <w:rFonts w:ascii="仿宋_GB2312" w:hAnsi="仿宋_GB2312" w:eastAsia="仿宋_GB2312" w:cs="仿宋_GB2312"/>
          <w:sz w:val="32"/>
          <w:szCs w:val="32"/>
        </w:rPr>
      </w:pPr>
      <w:r>
        <w:rPr>
          <w:rFonts w:hint="eastAsia" w:ascii="仿宋_GB2312" w:eastAsia="仿宋_GB2312" w:cs="宋体"/>
          <w:kern w:val="0"/>
          <w:sz w:val="32"/>
          <w:szCs w:val="32"/>
        </w:rPr>
        <w:t>2020年高质量推进人社工作有序开展。一是就业创业工作，今年，扎实做好“六稳”工作，全面落实“六保”任务，更加有效激发市场活力，支持企业纾困发展，推进大众创业万</w:t>
      </w:r>
      <w:r>
        <w:rPr>
          <w:rFonts w:hint="eastAsia" w:ascii="仿宋_GB2312" w:hAnsi="仿宋_GB2312" w:eastAsia="仿宋_GB2312" w:cs="仿宋_GB2312"/>
          <w:sz w:val="32"/>
          <w:szCs w:val="32"/>
        </w:rPr>
        <w:t>众创新。二是社会保险工作，</w:t>
      </w:r>
      <w:r>
        <w:rPr>
          <w:rFonts w:hint="eastAsia" w:ascii="仿宋_GB2312" w:eastAsia="仿宋_GB2312"/>
          <w:sz w:val="32"/>
          <w:szCs w:val="32"/>
        </w:rPr>
        <w:t>今年，以企业减负和提升服务效能为重要抓手，立足于“便民利民”，创新工作方式，开展作风整治，深入推进</w:t>
      </w:r>
      <w:r>
        <w:rPr>
          <w:rFonts w:hint="eastAsia" w:ascii="仿宋_GB2312" w:hAnsi="仿宋_GB2312" w:eastAsia="仿宋_GB2312" w:cs="仿宋_GB2312"/>
          <w:sz w:val="32"/>
          <w:szCs w:val="32"/>
        </w:rPr>
        <w:t>“网上办、打包办、提速办”</w:t>
      </w:r>
      <w:r>
        <w:rPr>
          <w:rFonts w:hint="eastAsia" w:ascii="仿宋_GB2312" w:eastAsia="仿宋_GB2312"/>
          <w:sz w:val="32"/>
          <w:szCs w:val="32"/>
        </w:rPr>
        <w:t>。各项社会保险基金运行平稳，参保覆盖面进一步扩大，社保待遇足额及时兑现，“中人”待遇兑现工作有序进行。三是</w:t>
      </w:r>
      <w:r>
        <w:rPr>
          <w:rFonts w:hint="eastAsia" w:ascii="仿宋_GB2312" w:hAnsi="仿宋_GB2312" w:eastAsia="仿宋_GB2312" w:cs="仿宋_GB2312"/>
          <w:bCs/>
          <w:kern w:val="0"/>
          <w:sz w:val="32"/>
          <w:szCs w:val="32"/>
        </w:rPr>
        <w:t>人</w:t>
      </w:r>
      <w:r>
        <w:rPr>
          <w:rFonts w:hint="eastAsia" w:ascii="仿宋_GB2312" w:eastAsia="仿宋_GB2312"/>
          <w:sz w:val="32"/>
          <w:szCs w:val="32"/>
        </w:rPr>
        <w:t>事人才工作，</w:t>
      </w:r>
      <w:r>
        <w:rPr>
          <w:rFonts w:hint="eastAsia" w:ascii="仿宋_GB2312" w:hAnsi="仿宋_GB2312" w:eastAsia="仿宋_GB2312" w:cs="仿宋_GB2312"/>
          <w:bCs/>
          <w:kern w:val="0"/>
          <w:sz w:val="32"/>
          <w:szCs w:val="32"/>
        </w:rPr>
        <w:t>今年，以“人才优先”为主线，充分优化人才队伍结构，抓好人才队伍建设，落实各项工资福利和表彰政策，</w:t>
      </w:r>
      <w:r>
        <w:rPr>
          <w:rFonts w:hint="eastAsia" w:ascii="仿宋_GB2312" w:hAnsi="仿宋_GB2312" w:eastAsia="仿宋_GB2312" w:cs="仿宋_GB2312"/>
          <w:sz w:val="32"/>
          <w:szCs w:val="32"/>
        </w:rPr>
        <w:t>强化“五地一中心”建设人才支撑</w:t>
      </w:r>
      <w:r>
        <w:rPr>
          <w:rFonts w:hint="eastAsia" w:ascii="仿宋_GB2312" w:hAnsi="仿宋_GB2312" w:eastAsia="仿宋_GB2312" w:cs="仿宋_GB2312"/>
          <w:bCs/>
          <w:kern w:val="0"/>
          <w:sz w:val="32"/>
          <w:szCs w:val="32"/>
        </w:rPr>
        <w:t>。四是</w:t>
      </w:r>
      <w:r>
        <w:rPr>
          <w:rFonts w:hint="eastAsia" w:ascii="仿宋_GB2312" w:hAnsi="仿宋_GB2312" w:eastAsia="仿宋_GB2312" w:cs="仿宋_GB2312"/>
          <w:sz w:val="32"/>
          <w:szCs w:val="32"/>
        </w:rPr>
        <w:t>劳动关系工作，开展《保障农民工工资支付条例》宣传工作，深入企业34户，发放各类宣传资料800余份，悬挂横幅20余条，现场接受咨询并解答38人次；顺利完成辖区内的5户劳务派遣企业年检工作；对辖区内1户人力资源服务机构进行了检查；依法</w:t>
      </w:r>
      <w:r>
        <w:rPr>
          <w:rFonts w:ascii="仿宋_GB2312" w:hAnsi="仿宋_GB2312" w:eastAsia="仿宋_GB2312" w:cs="仿宋_GB2312"/>
          <w:sz w:val="32"/>
          <w:szCs w:val="32"/>
        </w:rPr>
        <w:t>对</w:t>
      </w:r>
      <w:r>
        <w:rPr>
          <w:rFonts w:hint="eastAsia" w:ascii="仿宋_GB2312" w:hAnsi="仿宋_GB2312" w:eastAsia="仿宋_GB2312" w:cs="仿宋_GB2312"/>
          <w:sz w:val="32"/>
          <w:szCs w:val="32"/>
        </w:rPr>
        <w:t>茂县境内19个在建项目进行了拉网式专项检查，检查用人单位37户次，涉及农民工2220人。五是人社脱贫工作，全面推进就业扶贫工作。全年公益性岗位托底安置建档立卡贫困人员606人</w:t>
      </w:r>
      <w:r>
        <w:rPr>
          <w:rFonts w:hint="eastAsia" w:ascii="仿宋_GB2312" w:eastAsia="仿宋_GB2312"/>
          <w:sz w:val="32"/>
          <w:szCs w:val="32"/>
        </w:rPr>
        <w:t>，补贴627.4万元；</w:t>
      </w:r>
      <w:r>
        <w:rPr>
          <w:rFonts w:hint="eastAsia" w:ascii="仿宋_GB2312" w:hAnsi="仿宋_GB2312" w:eastAsia="仿宋_GB2312" w:cs="仿宋_GB2312"/>
          <w:sz w:val="32"/>
          <w:szCs w:val="32"/>
        </w:rPr>
        <w:t>完成7家扶贫基地和车间的认定工作，预计拨付企业奖补资金150万元，带动就业86人</w:t>
      </w:r>
      <w:r>
        <w:rPr>
          <w:rFonts w:hint="eastAsia" w:ascii="仿宋_GB2312" w:eastAsia="仿宋_GB2312"/>
          <w:sz w:val="32"/>
          <w:szCs w:val="32"/>
        </w:rPr>
        <w:t>；完成有劳动力的建档立卡贫困家庭确保至少有1人稳定就业目标任务，已实现1928户332</w:t>
      </w:r>
      <w:r>
        <w:rPr>
          <w:rFonts w:hint="eastAsia" w:ascii="仿宋_GB2312" w:hAnsi="仿宋_GB2312" w:eastAsia="仿宋_GB2312" w:cs="仿宋_GB2312"/>
          <w:sz w:val="32"/>
          <w:szCs w:val="32"/>
        </w:rPr>
        <w:t>1人转移就业</w:t>
      </w:r>
      <w:r>
        <w:rPr>
          <w:rFonts w:hint="eastAsia" w:ascii="仿宋_GB2312" w:eastAsia="仿宋_GB2312"/>
          <w:sz w:val="32"/>
          <w:szCs w:val="32"/>
        </w:rPr>
        <w:t>。六是疫情防控工作，全力推动稳就业政策落地落实；全面落实社会保险减免政策和缓缴政策；加强困难人员兜底保障；扎实做好疫情防控期间劳动保障监察工作；强化疫情期间县内机关事业单位人员管理。</w:t>
      </w:r>
    </w:p>
    <w:p>
      <w:pPr>
        <w:spacing w:line="576" w:lineRule="exact"/>
        <w:ind w:firstLine="640" w:firstLineChars="200"/>
        <w:rPr>
          <w:rFonts w:ascii="黑体" w:hAnsi="黑体" w:eastAsia="黑体" w:cs="黑体"/>
          <w:sz w:val="32"/>
          <w:szCs w:val="32"/>
        </w:rPr>
      </w:pPr>
      <w:bookmarkStart w:id="22" w:name="_Toc79163605"/>
      <w:bookmarkStart w:id="23" w:name="_Toc15396601"/>
      <w:bookmarkStart w:id="24" w:name="_Toc15377200"/>
      <w:bookmarkStart w:id="25" w:name="_Toc79163855"/>
      <w:r>
        <w:rPr>
          <w:rFonts w:hint="eastAsia" w:ascii="黑体" w:hAnsi="黑体" w:eastAsia="黑体" w:cs="黑体"/>
          <w:sz w:val="32"/>
          <w:szCs w:val="32"/>
        </w:rPr>
        <w:t>二、机构设置</w:t>
      </w:r>
      <w:bookmarkEnd w:id="22"/>
      <w:bookmarkEnd w:id="23"/>
      <w:bookmarkEnd w:id="24"/>
      <w:bookmarkEnd w:id="25"/>
    </w:p>
    <w:p>
      <w:pPr>
        <w:spacing w:line="576" w:lineRule="exact"/>
        <w:ind w:firstLine="640" w:firstLineChars="200"/>
        <w:rPr>
          <w:rFonts w:ascii="仿宋" w:hAnsi="仿宋" w:eastAsia="仿宋"/>
          <w:sz w:val="32"/>
          <w:szCs w:val="32"/>
        </w:rPr>
      </w:pPr>
      <w:r>
        <w:rPr>
          <w:rFonts w:hint="eastAsia" w:ascii="仿宋_GB2312" w:hAnsi="仿宋_GB2312" w:eastAsia="仿宋_GB2312" w:cs="仿宋_GB2312"/>
          <w:sz w:val="32"/>
          <w:szCs w:val="32"/>
        </w:rPr>
        <w:t>茂县</w:t>
      </w:r>
      <w:r>
        <w:rPr>
          <w:rFonts w:ascii="仿宋" w:hAnsi="仿宋" w:eastAsia="仿宋"/>
          <w:sz w:val="32"/>
          <w:szCs w:val="32"/>
        </w:rPr>
        <w:t>人力资源和社会保障局</w:t>
      </w:r>
      <w:r>
        <w:rPr>
          <w:rFonts w:hint="eastAsia" w:ascii="仿宋" w:hAnsi="仿宋" w:eastAsia="仿宋"/>
          <w:sz w:val="32"/>
          <w:szCs w:val="32"/>
        </w:rPr>
        <w:t>下属二级单位0个，其中行政单位0个，参照公务员法管理的事业单位</w:t>
      </w:r>
      <w:r>
        <w:rPr>
          <w:rFonts w:hint="eastAsia" w:ascii="仿宋" w:hAnsi="仿宋" w:eastAsia="仿宋"/>
          <w:bCs/>
          <w:sz w:val="32"/>
          <w:szCs w:val="32"/>
        </w:rPr>
        <w:t>0</w:t>
      </w:r>
      <w:r>
        <w:rPr>
          <w:rFonts w:hint="eastAsia" w:ascii="仿宋" w:hAnsi="仿宋" w:eastAsia="仿宋"/>
          <w:sz w:val="32"/>
          <w:szCs w:val="32"/>
        </w:rPr>
        <w:t>个，其他事业单位0个。</w:t>
      </w:r>
      <w:r>
        <w:rPr>
          <w:rFonts w:hint="eastAsia" w:ascii="仿宋" w:hAnsi="仿宋" w:eastAsia="仿宋"/>
          <w:color w:val="000000"/>
          <w:sz w:val="32"/>
          <w:szCs w:val="32"/>
        </w:rPr>
        <w:t>无纳入茂县</w:t>
      </w:r>
      <w:r>
        <w:rPr>
          <w:rFonts w:ascii="仿宋" w:hAnsi="仿宋" w:eastAsia="仿宋"/>
          <w:color w:val="000000"/>
          <w:sz w:val="32"/>
          <w:szCs w:val="32"/>
        </w:rPr>
        <w:t>人力资源和社会保障局</w:t>
      </w:r>
      <w:r>
        <w:rPr>
          <w:rFonts w:hint="eastAsia" w:ascii="仿宋" w:hAnsi="仿宋" w:eastAsia="仿宋"/>
          <w:color w:val="000000"/>
          <w:sz w:val="32"/>
          <w:szCs w:val="32"/>
        </w:rPr>
        <w:t>2020年度部门决算编制范围的二级预算单位。</w:t>
      </w:r>
    </w:p>
    <w:p/>
    <w:p/>
    <w:p/>
    <w:p/>
    <w:p/>
    <w:p/>
    <w:bookmarkEnd w:id="16"/>
    <w:bookmarkEnd w:id="17"/>
    <w:p>
      <w:pPr>
        <w:pStyle w:val="2"/>
        <w:ind w:right="440"/>
        <w:jc w:val="right"/>
        <w:rPr>
          <w:rStyle w:val="35"/>
          <w:rFonts w:ascii="黑体" w:hAnsi="黑体" w:eastAsia="黑体"/>
          <w:b/>
          <w:bCs/>
        </w:rPr>
      </w:pPr>
      <w:r>
        <w:rPr>
          <w:rStyle w:val="35"/>
          <w:rFonts w:hint="eastAsia" w:ascii="黑体" w:hAnsi="黑体" w:eastAsia="黑体"/>
          <w:b w:val="0"/>
          <w:bCs w:val="0"/>
        </w:rPr>
        <w:t>第二部分</w:t>
      </w:r>
      <w:r>
        <w:rPr>
          <w:rStyle w:val="35"/>
          <w:rFonts w:ascii="黑体" w:hAnsi="黑体" w:eastAsia="黑体"/>
          <w:b w:val="0"/>
          <w:bCs w:val="0"/>
        </w:rPr>
        <w:t xml:space="preserve"> 2020</w:t>
      </w:r>
      <w:r>
        <w:rPr>
          <w:rStyle w:val="35"/>
          <w:rFonts w:hint="eastAsia" w:ascii="黑体" w:hAnsi="黑体" w:eastAsia="黑体"/>
          <w:b w:val="0"/>
          <w:bCs w:val="0"/>
        </w:rPr>
        <w:t>年度部门决算情况说明</w:t>
      </w:r>
    </w:p>
    <w:p>
      <w:pPr>
        <w:pStyle w:val="36"/>
        <w:numPr>
          <w:ilvl w:val="0"/>
          <w:numId w:val="1"/>
        </w:numPr>
        <w:spacing w:line="600" w:lineRule="exact"/>
        <w:ind w:firstLineChars="0"/>
        <w:outlineLvl w:val="1"/>
        <w:rPr>
          <w:rStyle w:val="26"/>
          <w:rFonts w:ascii="黑体" w:hAnsi="黑体" w:eastAsia="黑体"/>
          <w:b w:val="0"/>
        </w:rPr>
      </w:pPr>
      <w:bookmarkStart w:id="26" w:name="_Toc79163860"/>
      <w:bookmarkStart w:id="27" w:name="_Toc79163610"/>
      <w:bookmarkStart w:id="28" w:name="_Toc15377205"/>
      <w:bookmarkStart w:id="29" w:name="_Toc15396603"/>
      <w:r>
        <w:rPr>
          <w:rStyle w:val="26"/>
          <w:rFonts w:hint="eastAsia" w:ascii="黑体" w:hAnsi="黑体" w:eastAsia="黑体"/>
        </w:rPr>
        <w:t>收入支出决算总体情况说明</w:t>
      </w:r>
      <w:bookmarkEnd w:id="26"/>
      <w:bookmarkEnd w:id="27"/>
      <w:bookmarkEnd w:id="28"/>
      <w:bookmarkEnd w:id="2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年度收、支总计574.59万元。与</w:t>
      </w:r>
      <w:r>
        <w:rPr>
          <w:rFonts w:ascii="仿宋" w:hAnsi="仿宋" w:eastAsia="仿宋"/>
          <w:color w:val="000000"/>
          <w:sz w:val="32"/>
          <w:szCs w:val="32"/>
        </w:rPr>
        <w:t>2019</w:t>
      </w:r>
      <w:r>
        <w:rPr>
          <w:rFonts w:hint="eastAsia" w:ascii="仿宋" w:hAnsi="仿宋" w:eastAsia="仿宋"/>
          <w:color w:val="000000"/>
          <w:sz w:val="32"/>
          <w:szCs w:val="32"/>
        </w:rPr>
        <w:t>年相比，收、支总计减少226.37万元，下降28.26</w:t>
      </w:r>
      <w:r>
        <w:rPr>
          <w:rFonts w:ascii="仿宋" w:hAnsi="仿宋" w:eastAsia="仿宋"/>
          <w:color w:val="000000"/>
          <w:sz w:val="32"/>
          <w:szCs w:val="32"/>
        </w:rPr>
        <w:t>%</w:t>
      </w:r>
      <w:r>
        <w:rPr>
          <w:rFonts w:hint="eastAsia" w:ascii="仿宋" w:hAnsi="仿宋" w:eastAsia="仿宋"/>
          <w:color w:val="000000"/>
          <w:sz w:val="32"/>
          <w:szCs w:val="32"/>
        </w:rPr>
        <w:t>。主要变动原因是人员减少，相应的工资保险等支出减少。</w:t>
      </w:r>
    </w:p>
    <w:p>
      <w:pPr>
        <w:jc w:val="left"/>
        <w:rPr>
          <w:rFonts w:ascii="仿宋_GB2312" w:eastAsia="仿宋_GB2312"/>
          <w:color w:val="000000"/>
          <w:sz w:val="32"/>
          <w:szCs w:val="32"/>
        </w:rPr>
      </w:pPr>
      <w:r>
        <w:rPr>
          <w:rFonts w:ascii="仿宋_GB2312" w:eastAsia="仿宋_GB2312"/>
          <w:color w:val="000000"/>
          <w:sz w:val="32"/>
          <w:szCs w:val="32"/>
        </w:rPr>
        <w:drawing>
          <wp:inline distT="0" distB="0" distL="0" distR="0">
            <wp:extent cx="5257800" cy="2019300"/>
            <wp:effectExtent l="4445" t="4445" r="14605" b="14605"/>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36"/>
        <w:numPr>
          <w:ilvl w:val="0"/>
          <w:numId w:val="1"/>
        </w:numPr>
        <w:spacing w:line="600" w:lineRule="exact"/>
        <w:ind w:firstLineChars="0"/>
        <w:outlineLvl w:val="1"/>
        <w:rPr>
          <w:rStyle w:val="26"/>
          <w:rFonts w:ascii="黑体" w:hAnsi="黑体" w:eastAsia="黑体"/>
          <w:b w:val="0"/>
        </w:rPr>
      </w:pPr>
      <w:bookmarkStart w:id="30" w:name="_Toc79163611"/>
      <w:bookmarkStart w:id="31" w:name="_Toc15396604"/>
      <w:bookmarkStart w:id="32" w:name="_Toc15377206"/>
      <w:bookmarkStart w:id="33" w:name="_Toc79163861"/>
      <w:r>
        <w:rPr>
          <w:rStyle w:val="26"/>
          <w:rFonts w:hint="eastAsia" w:ascii="黑体" w:hAnsi="黑体" w:eastAsia="黑体"/>
        </w:rPr>
        <w:t>收入决算情况说明</w:t>
      </w:r>
      <w:bookmarkEnd w:id="30"/>
      <w:bookmarkEnd w:id="31"/>
      <w:bookmarkEnd w:id="32"/>
      <w:bookmarkEnd w:id="33"/>
    </w:p>
    <w:p>
      <w:pPr>
        <w:ind w:firstLine="640" w:firstLineChars="200"/>
        <w:outlineLvl w:val="1"/>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年本年收入合计564.72万元，其中：一般公共预算财政拨款收入564.72万元，占100</w:t>
      </w:r>
      <w:r>
        <w:rPr>
          <w:rFonts w:ascii="仿宋" w:hAnsi="仿宋" w:eastAsia="仿宋"/>
          <w:color w:val="000000"/>
          <w:sz w:val="32"/>
          <w:szCs w:val="32"/>
        </w:rPr>
        <w:t>%</w:t>
      </w:r>
      <w:r>
        <w:rPr>
          <w:rFonts w:hint="eastAsia" w:ascii="仿宋" w:hAnsi="仿宋" w:eastAsia="仿宋"/>
          <w:color w:val="000000"/>
          <w:sz w:val="32"/>
          <w:szCs w:val="32"/>
        </w:rPr>
        <w:t>。</w:t>
      </w:r>
    </w:p>
    <w:p>
      <w:pPr>
        <w:ind w:firstLine="640" w:firstLineChars="200"/>
        <w:outlineLvl w:val="1"/>
        <w:rPr>
          <w:rFonts w:ascii="仿宋" w:hAnsi="仿宋" w:eastAsia="仿宋"/>
          <w:color w:val="000000"/>
          <w:sz w:val="32"/>
          <w:szCs w:val="32"/>
        </w:rPr>
      </w:pPr>
      <w:r>
        <w:rPr>
          <w:rFonts w:ascii="仿宋" w:hAnsi="仿宋" w:eastAsia="仿宋"/>
          <w:color w:val="000000"/>
          <w:sz w:val="32"/>
          <w:szCs w:val="32"/>
        </w:rPr>
        <w:drawing>
          <wp:inline distT="0" distB="0" distL="0" distR="0">
            <wp:extent cx="5086350" cy="1390650"/>
            <wp:effectExtent l="4445" t="4445" r="14605" b="14605"/>
            <wp:docPr id="1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4"/>
        <w:numPr>
          <w:ilvl w:val="0"/>
          <w:numId w:val="1"/>
        </w:numPr>
        <w:spacing w:line="600" w:lineRule="exact"/>
        <w:ind w:firstLineChars="0"/>
        <w:outlineLvl w:val="1"/>
        <w:rPr>
          <w:rStyle w:val="26"/>
          <w:rFonts w:ascii="黑体" w:hAnsi="黑体" w:eastAsia="黑体"/>
          <w:b w:val="0"/>
        </w:rPr>
      </w:pPr>
      <w:bookmarkStart w:id="34" w:name="_Toc15377207"/>
      <w:bookmarkStart w:id="35"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34"/>
      <w:bookmarkEnd w:id="35"/>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20年本年支出合计574.59万元，其中：基本支出555.41万元，占96.67</w:t>
      </w:r>
      <w:r>
        <w:rPr>
          <w:rFonts w:ascii="仿宋" w:hAnsi="仿宋" w:eastAsia="仿宋"/>
          <w:color w:val="000000"/>
          <w:sz w:val="32"/>
          <w:szCs w:val="32"/>
        </w:rPr>
        <w:t>%</w:t>
      </w:r>
      <w:r>
        <w:rPr>
          <w:rFonts w:hint="eastAsia" w:ascii="仿宋" w:hAnsi="仿宋" w:eastAsia="仿宋"/>
          <w:color w:val="000000"/>
          <w:sz w:val="32"/>
          <w:szCs w:val="32"/>
        </w:rPr>
        <w:t>；项目支出19.18万元，占3.33</w:t>
      </w:r>
      <w:r>
        <w:rPr>
          <w:rFonts w:ascii="仿宋" w:hAnsi="仿宋" w:eastAsia="仿宋"/>
          <w:color w:val="000000"/>
          <w:sz w:val="32"/>
          <w:szCs w:val="32"/>
        </w:rPr>
        <w:t>%</w:t>
      </w:r>
      <w:r>
        <w:rPr>
          <w:rFonts w:hint="eastAsia" w:ascii="仿宋" w:hAnsi="仿宋" w:eastAsia="仿宋"/>
          <w:color w:val="000000"/>
          <w:sz w:val="32"/>
          <w:szCs w:val="32"/>
        </w:rPr>
        <w:t>。</w:t>
      </w:r>
    </w:p>
    <w:p>
      <w:pPr>
        <w:ind w:firstLine="640" w:firstLineChars="200"/>
        <w:rPr>
          <w:rFonts w:ascii="仿宋_GB2312" w:eastAsia="仿宋_GB2312"/>
          <w:color w:val="FF0000"/>
          <w:sz w:val="32"/>
          <w:szCs w:val="32"/>
        </w:rPr>
      </w:pPr>
      <w:r>
        <w:rPr>
          <w:rFonts w:ascii="仿宋_GB2312" w:eastAsia="仿宋_GB2312"/>
          <w:color w:val="FF0000"/>
          <w:sz w:val="32"/>
          <w:szCs w:val="32"/>
        </w:rPr>
        <w:drawing>
          <wp:inline distT="0" distB="0" distL="0" distR="0">
            <wp:extent cx="5153025" cy="1866900"/>
            <wp:effectExtent l="4445" t="4445" r="5080" b="14605"/>
            <wp:docPr id="1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outlineLvl w:val="1"/>
        <w:rPr>
          <w:rStyle w:val="26"/>
          <w:rFonts w:ascii="黑体" w:hAnsi="黑体" w:eastAsia="黑体"/>
          <w:b w:val="0"/>
        </w:rPr>
      </w:pPr>
      <w:bookmarkStart w:id="36" w:name="_Toc15377208"/>
      <w:bookmarkStart w:id="37" w:name="_Toc15396606"/>
      <w:bookmarkStart w:id="38" w:name="_Toc79163613"/>
      <w:bookmarkStart w:id="39" w:name="_Toc79163863"/>
      <w:r>
        <w:rPr>
          <w:rFonts w:hint="eastAsia" w:ascii="黑体" w:hAnsi="黑体" w:eastAsia="黑体"/>
          <w:color w:val="000000"/>
          <w:sz w:val="32"/>
          <w:szCs w:val="32"/>
        </w:rPr>
        <w:t>四、财</w:t>
      </w:r>
      <w:r>
        <w:rPr>
          <w:rStyle w:val="26"/>
          <w:rFonts w:hint="eastAsia" w:ascii="黑体" w:hAnsi="黑体" w:eastAsia="黑体"/>
        </w:rPr>
        <w:t>政拨款收入支出决算总体情况说明</w:t>
      </w:r>
      <w:bookmarkEnd w:id="36"/>
      <w:bookmarkEnd w:id="37"/>
      <w:bookmarkEnd w:id="38"/>
      <w:bookmarkEnd w:id="3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年财政拨款收、支总计574.59万元。与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年相比，财政拨款收、支总计减少226.37万元，下降28.26</w:t>
      </w:r>
      <w:r>
        <w:rPr>
          <w:rFonts w:ascii="仿宋" w:hAnsi="仿宋" w:eastAsia="仿宋"/>
          <w:color w:val="000000"/>
          <w:sz w:val="32"/>
          <w:szCs w:val="32"/>
        </w:rPr>
        <w:t>%</w:t>
      </w:r>
      <w:r>
        <w:rPr>
          <w:rFonts w:hint="eastAsia" w:ascii="仿宋" w:hAnsi="仿宋" w:eastAsia="仿宋"/>
          <w:color w:val="000000"/>
          <w:sz w:val="32"/>
          <w:szCs w:val="32"/>
        </w:rPr>
        <w:t>。主要变动原因是人员减少，相应的工资保险等支出减少。</w:t>
      </w:r>
    </w:p>
    <w:p>
      <w:pPr>
        <w:ind w:firstLine="641"/>
        <w:rPr>
          <w:rFonts w:ascii="仿宋" w:hAnsi="仿宋" w:eastAsia="仿宋"/>
          <w:b/>
          <w:color w:val="00B050"/>
          <w:sz w:val="32"/>
          <w:szCs w:val="32"/>
        </w:rPr>
      </w:pPr>
      <w:r>
        <w:rPr>
          <w:rFonts w:ascii="仿宋" w:hAnsi="仿宋" w:eastAsia="仿宋"/>
          <w:b/>
          <w:color w:val="00B050"/>
          <w:sz w:val="32"/>
          <w:szCs w:val="32"/>
        </w:rPr>
        <w:drawing>
          <wp:inline distT="0" distB="0" distL="0" distR="0">
            <wp:extent cx="5257800" cy="1990725"/>
            <wp:effectExtent l="4445" t="4445" r="14605" b="5080"/>
            <wp:docPr id="3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26"/>
          <w:rFonts w:ascii="黑体" w:hAnsi="黑体" w:eastAsia="黑体"/>
          <w:b w:val="0"/>
        </w:rPr>
      </w:pPr>
      <w:bookmarkStart w:id="40" w:name="_Toc79163614"/>
      <w:bookmarkStart w:id="41" w:name="_Toc79163864"/>
      <w:bookmarkStart w:id="42" w:name="_Toc15377209"/>
      <w:bookmarkStart w:id="4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rPr>
        <w:t>般公共预算财政拨款支出决算情况说明</w:t>
      </w:r>
      <w:bookmarkEnd w:id="40"/>
      <w:bookmarkEnd w:id="41"/>
      <w:bookmarkEnd w:id="42"/>
      <w:bookmarkEnd w:id="43"/>
    </w:p>
    <w:p>
      <w:pPr>
        <w:spacing w:line="600" w:lineRule="exact"/>
        <w:ind w:firstLine="643" w:firstLineChars="200"/>
        <w:outlineLvl w:val="2"/>
        <w:rPr>
          <w:rFonts w:ascii="仿宋" w:hAnsi="仿宋" w:eastAsia="仿宋"/>
          <w:b/>
          <w:color w:val="000000"/>
          <w:sz w:val="32"/>
          <w:szCs w:val="32"/>
        </w:rPr>
      </w:pPr>
      <w:bookmarkStart w:id="44" w:name="_Toc79163615"/>
      <w:bookmarkStart w:id="45" w:name="_Toc79163865"/>
      <w:bookmarkStart w:id="46" w:name="_Toc15377210"/>
      <w:r>
        <w:rPr>
          <w:rFonts w:hint="eastAsia" w:ascii="仿宋" w:hAnsi="仿宋" w:eastAsia="仿宋"/>
          <w:b/>
          <w:color w:val="000000"/>
          <w:sz w:val="32"/>
          <w:szCs w:val="32"/>
        </w:rPr>
        <w:t>（一）一般公共预算财政拨款支出决算总体情况</w:t>
      </w:r>
      <w:bookmarkEnd w:id="44"/>
      <w:bookmarkEnd w:id="45"/>
      <w:bookmarkEnd w:id="46"/>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年一般公共预算财政拨款支出574.59万元，占本年支出合计的100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年相比，一般公共预算财政拨款减少205.51万元，下降26.34</w:t>
      </w:r>
      <w:r>
        <w:rPr>
          <w:rFonts w:ascii="仿宋" w:hAnsi="仿宋" w:eastAsia="仿宋"/>
          <w:color w:val="000000"/>
          <w:sz w:val="32"/>
          <w:szCs w:val="32"/>
        </w:rPr>
        <w:t>%</w:t>
      </w:r>
      <w:r>
        <w:rPr>
          <w:rFonts w:hint="eastAsia" w:ascii="仿宋" w:hAnsi="仿宋" w:eastAsia="仿宋"/>
          <w:color w:val="000000"/>
          <w:sz w:val="32"/>
          <w:szCs w:val="32"/>
        </w:rPr>
        <w:t>。主要变动原因是人员减少，相应的工资保险等支出减少。</w:t>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300" distR="114300" simplePos="0" relativeHeight="251659264" behindDoc="1" locked="0" layoutInCell="1" allowOverlap="1">
            <wp:simplePos x="0" y="0"/>
            <wp:positionH relativeFrom="column">
              <wp:posOffset>285750</wp:posOffset>
            </wp:positionH>
            <wp:positionV relativeFrom="paragraph">
              <wp:posOffset>28575</wp:posOffset>
            </wp:positionV>
            <wp:extent cx="5058410" cy="2188845"/>
            <wp:effectExtent l="19050" t="0" r="27664" b="2157"/>
            <wp:wrapNone/>
            <wp:docPr id="3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3" w:firstLineChars="200"/>
        <w:outlineLvl w:val="2"/>
        <w:rPr>
          <w:rFonts w:hint="eastAsia" w:ascii="仿宋" w:hAnsi="仿宋" w:eastAsia="仿宋"/>
          <w:b/>
          <w:color w:val="000000"/>
          <w:sz w:val="32"/>
          <w:szCs w:val="32"/>
        </w:rPr>
      </w:pPr>
      <w:bookmarkStart w:id="47" w:name="_Toc79163616"/>
      <w:bookmarkStart w:id="48" w:name="_Toc79163866"/>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47"/>
      <w:bookmarkEnd w:id="48"/>
    </w:p>
    <w:p>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2020年一般公共预算财政拨款支出574.59万元，主要用于以下方面:</w:t>
      </w:r>
      <w:r>
        <w:rPr>
          <w:rFonts w:hint="eastAsia" w:ascii="仿宋_GB2312" w:hAnsi="仿宋" w:eastAsia="仿宋_GB2312"/>
          <w:b/>
          <w:color w:val="000000"/>
          <w:sz w:val="32"/>
          <w:szCs w:val="32"/>
        </w:rPr>
        <w:t>一般公共服务</w:t>
      </w:r>
      <w:r>
        <w:rPr>
          <w:rFonts w:hint="eastAsia" w:ascii="仿宋_GB2312" w:hAnsi="仿宋" w:eastAsia="仿宋_GB2312"/>
          <w:b/>
          <w:bCs/>
          <w:color w:val="000000"/>
          <w:sz w:val="32"/>
          <w:szCs w:val="32"/>
        </w:rPr>
        <w:t>支出（</w:t>
      </w:r>
      <w:r>
        <w:rPr>
          <w:rFonts w:hint="eastAsia" w:ascii="仿宋_GB2312" w:hAnsi="仿宋" w:eastAsia="仿宋_GB2312"/>
          <w:b/>
          <w:color w:val="000000"/>
          <w:sz w:val="32"/>
          <w:szCs w:val="32"/>
        </w:rPr>
        <w:t>类）</w:t>
      </w:r>
      <w:r>
        <w:rPr>
          <w:rFonts w:hint="eastAsia" w:ascii="仿宋_GB2312" w:hAnsi="仿宋" w:eastAsia="仿宋_GB2312"/>
          <w:color w:val="000000"/>
          <w:sz w:val="32"/>
          <w:szCs w:val="32"/>
        </w:rPr>
        <w:t>436.31万元，占75.93%；</w:t>
      </w:r>
      <w:r>
        <w:rPr>
          <w:rFonts w:hint="eastAsia" w:ascii="仿宋_GB2312" w:hAnsi="仿宋" w:eastAsia="仿宋_GB2312"/>
          <w:b/>
          <w:color w:val="000000"/>
          <w:sz w:val="32"/>
          <w:szCs w:val="32"/>
        </w:rPr>
        <w:t>社会保障和就业</w:t>
      </w:r>
      <w:r>
        <w:rPr>
          <w:rFonts w:hint="eastAsia" w:ascii="仿宋_GB2312" w:hAnsi="仿宋" w:eastAsia="仿宋_GB2312"/>
          <w:b/>
          <w:bCs/>
          <w:color w:val="000000"/>
          <w:sz w:val="32"/>
          <w:szCs w:val="32"/>
        </w:rPr>
        <w:t>支出</w:t>
      </w:r>
      <w:r>
        <w:rPr>
          <w:rFonts w:hint="eastAsia" w:ascii="仿宋_GB2312" w:hAnsi="仿宋" w:eastAsia="仿宋_GB2312"/>
          <w:b/>
          <w:color w:val="000000"/>
          <w:sz w:val="32"/>
          <w:szCs w:val="32"/>
        </w:rPr>
        <w:t>（类）</w:t>
      </w:r>
      <w:r>
        <w:rPr>
          <w:rFonts w:hint="eastAsia" w:ascii="仿宋_GB2312" w:hAnsi="仿宋" w:eastAsia="仿宋_GB2312"/>
          <w:color w:val="000000"/>
          <w:sz w:val="32"/>
          <w:szCs w:val="32"/>
        </w:rPr>
        <w:t>61.51万元，占10.71%；</w:t>
      </w:r>
      <w:r>
        <w:rPr>
          <w:rFonts w:hint="eastAsia" w:ascii="仿宋_GB2312" w:hAnsi="仿宋" w:eastAsia="仿宋_GB2312"/>
          <w:b/>
          <w:bCs/>
          <w:color w:val="000000"/>
          <w:sz w:val="32"/>
          <w:szCs w:val="32"/>
        </w:rPr>
        <w:t>卫生健康支出</w:t>
      </w:r>
      <w:r>
        <w:rPr>
          <w:rFonts w:hint="eastAsia" w:ascii="仿宋_GB2312" w:hAnsi="仿宋" w:eastAsia="仿宋_GB2312"/>
          <w:b/>
          <w:color w:val="000000"/>
          <w:sz w:val="32"/>
          <w:szCs w:val="32"/>
        </w:rPr>
        <w:t>（类）</w:t>
      </w:r>
      <w:r>
        <w:rPr>
          <w:rFonts w:hint="eastAsia" w:ascii="仿宋_GB2312" w:hAnsi="仿宋" w:eastAsia="仿宋_GB2312"/>
          <w:color w:val="000000"/>
          <w:sz w:val="32"/>
          <w:szCs w:val="32"/>
        </w:rPr>
        <w:t>31.51万元，占5.48%；</w:t>
      </w:r>
      <w:r>
        <w:rPr>
          <w:rFonts w:hint="eastAsia" w:ascii="仿宋_GB2312" w:hAnsi="仿宋" w:eastAsia="仿宋_GB2312"/>
          <w:b/>
          <w:bCs/>
          <w:color w:val="000000" w:themeColor="text1"/>
          <w:sz w:val="32"/>
          <w:szCs w:val="32"/>
        </w:rPr>
        <w:t>农林水支出</w:t>
      </w:r>
      <w:r>
        <w:rPr>
          <w:rFonts w:hint="eastAsia" w:ascii="仿宋_GB2312" w:hAnsi="仿宋" w:eastAsia="仿宋_GB2312"/>
          <w:b/>
          <w:color w:val="000000" w:themeColor="text1"/>
          <w:sz w:val="32"/>
          <w:szCs w:val="32"/>
        </w:rPr>
        <w:t>支出</w:t>
      </w:r>
      <w:r>
        <w:rPr>
          <w:rFonts w:hint="eastAsia" w:ascii="仿宋_GB2312" w:hAnsi="仿宋" w:eastAsia="仿宋_GB2312"/>
          <w:b/>
          <w:bCs/>
          <w:color w:val="000000" w:themeColor="text1"/>
          <w:sz w:val="32"/>
          <w:szCs w:val="32"/>
        </w:rPr>
        <w:t>（</w:t>
      </w:r>
      <w:r>
        <w:rPr>
          <w:rFonts w:hint="eastAsia" w:ascii="仿宋_GB2312" w:hAnsi="仿宋" w:eastAsia="仿宋_GB2312"/>
          <w:b/>
          <w:color w:val="000000"/>
          <w:sz w:val="32"/>
          <w:szCs w:val="32"/>
        </w:rPr>
        <w:t>类</w:t>
      </w:r>
      <w:r>
        <w:rPr>
          <w:rFonts w:hint="eastAsia" w:ascii="仿宋_GB2312" w:hAnsi="仿宋" w:eastAsia="仿宋_GB2312"/>
          <w:b/>
          <w:bCs/>
          <w:color w:val="000000" w:themeColor="text1"/>
          <w:sz w:val="32"/>
          <w:szCs w:val="32"/>
        </w:rPr>
        <w:t>）</w:t>
      </w:r>
      <w:r>
        <w:rPr>
          <w:rFonts w:hint="eastAsia" w:ascii="仿宋_GB2312" w:hAnsi="仿宋" w:eastAsia="仿宋_GB2312"/>
          <w:color w:val="000000" w:themeColor="text1"/>
          <w:sz w:val="32"/>
          <w:szCs w:val="32"/>
        </w:rPr>
        <w:t>0.84万元</w:t>
      </w:r>
      <w:r>
        <w:rPr>
          <w:rFonts w:hint="eastAsia" w:ascii="仿宋_GB2312" w:hAnsi="仿宋" w:eastAsia="仿宋_GB2312"/>
          <w:b/>
          <w:bCs/>
          <w:color w:val="000000" w:themeColor="text1"/>
          <w:sz w:val="32"/>
          <w:szCs w:val="32"/>
        </w:rPr>
        <w:t>，占0.15%</w:t>
      </w:r>
      <w:r>
        <w:rPr>
          <w:rFonts w:hint="eastAsia" w:ascii="仿宋_GB2312" w:hAnsi="仿宋" w:eastAsia="仿宋_GB2312"/>
          <w:color w:val="000000" w:themeColor="text1"/>
          <w:sz w:val="32"/>
          <w:szCs w:val="32"/>
        </w:rPr>
        <w:t>；</w:t>
      </w:r>
      <w:r>
        <w:rPr>
          <w:rFonts w:hint="eastAsia" w:ascii="仿宋_GB2312" w:hAnsi="仿宋" w:eastAsia="仿宋_GB2312"/>
          <w:b/>
          <w:bCs/>
          <w:color w:val="000000"/>
          <w:sz w:val="32"/>
          <w:szCs w:val="32"/>
        </w:rPr>
        <w:t>住房保障支出</w:t>
      </w:r>
      <w:r>
        <w:rPr>
          <w:rFonts w:hint="eastAsia" w:ascii="仿宋_GB2312" w:hAnsi="仿宋" w:eastAsia="仿宋_GB2312"/>
          <w:b/>
          <w:color w:val="000000"/>
          <w:sz w:val="32"/>
          <w:szCs w:val="32"/>
        </w:rPr>
        <w:t>（类）</w:t>
      </w:r>
      <w:r>
        <w:rPr>
          <w:rFonts w:hint="eastAsia" w:ascii="仿宋_GB2312" w:hAnsi="仿宋" w:eastAsia="仿宋_GB2312"/>
          <w:color w:val="000000"/>
          <w:sz w:val="32"/>
          <w:szCs w:val="32"/>
        </w:rPr>
        <w:t>44.42万元，占7.73%。</w:t>
      </w:r>
    </w:p>
    <w:p>
      <w:pPr>
        <w:rPr>
          <w:rFonts w:ascii="仿宋_GB2312" w:eastAsia="仿宋_GB2312"/>
          <w:color w:val="000000"/>
          <w:sz w:val="32"/>
          <w:szCs w:val="32"/>
        </w:rPr>
      </w:pPr>
      <w:r>
        <w:rPr>
          <w:rFonts w:ascii="仿宋_GB2312" w:hAnsi="仿宋_GB2312" w:eastAsia="仿宋_GB2312" w:cs="仿宋_GB2312"/>
          <w:sz w:val="32"/>
          <w:szCs w:val="32"/>
        </w:rPr>
        <w:drawing>
          <wp:inline distT="0" distB="0" distL="0" distR="0">
            <wp:extent cx="5362575" cy="2334260"/>
            <wp:effectExtent l="19050" t="0" r="9525" b="8890"/>
            <wp:docPr id="1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3" w:firstLineChars="200"/>
        <w:outlineLvl w:val="2"/>
        <w:rPr>
          <w:rFonts w:ascii="仿宋" w:hAnsi="仿宋" w:eastAsia="仿宋"/>
          <w:b/>
          <w:color w:val="000000"/>
          <w:sz w:val="32"/>
          <w:szCs w:val="32"/>
        </w:rPr>
      </w:pPr>
      <w:bookmarkStart w:id="49" w:name="_Toc15377212"/>
      <w:bookmarkStart w:id="50" w:name="_Toc79163867"/>
      <w:bookmarkStart w:id="51" w:name="_Toc79163617"/>
      <w:bookmarkStart w:id="52" w:name="_Toc15377214"/>
      <w:bookmarkStart w:id="53" w:name="_Toc15396608"/>
      <w:r>
        <w:rPr>
          <w:rFonts w:hint="eastAsia" w:ascii="仿宋" w:hAnsi="仿宋" w:eastAsia="仿宋"/>
          <w:b/>
          <w:color w:val="000000"/>
          <w:sz w:val="32"/>
          <w:szCs w:val="32"/>
        </w:rPr>
        <w:t>（三）一般公共预算财政拨款支出决算具体情况</w:t>
      </w:r>
      <w:bookmarkEnd w:id="49"/>
      <w:bookmarkEnd w:id="50"/>
      <w:bookmarkEnd w:id="51"/>
    </w:p>
    <w:p>
      <w:pPr>
        <w:spacing w:line="600" w:lineRule="exact"/>
        <w:ind w:firstLine="640" w:firstLineChars="200"/>
        <w:rPr>
          <w:rFonts w:ascii="仿宋_GB2312" w:hAnsi="仿宋" w:eastAsia="仿宋_GB2312"/>
          <w:color w:val="000000"/>
          <w:sz w:val="32"/>
          <w:szCs w:val="32"/>
        </w:rPr>
      </w:pPr>
      <w:bookmarkStart w:id="54" w:name="_Toc15378460"/>
      <w:bookmarkStart w:id="55" w:name="_Toc15377213"/>
      <w:bookmarkStart w:id="56" w:name="_Toc15377444"/>
      <w:r>
        <w:rPr>
          <w:rFonts w:ascii="仿宋_GB2312" w:hAnsi="仿宋" w:eastAsia="仿宋_GB2312"/>
          <w:color w:val="000000"/>
          <w:sz w:val="32"/>
          <w:szCs w:val="32"/>
        </w:rPr>
        <w:t>2020</w:t>
      </w:r>
      <w:r>
        <w:rPr>
          <w:rFonts w:hint="eastAsia" w:ascii="仿宋_GB2312" w:hAnsi="仿宋" w:eastAsia="仿宋_GB2312"/>
          <w:color w:val="000000"/>
          <w:sz w:val="32"/>
          <w:szCs w:val="32"/>
        </w:rPr>
        <w:t>年一般公共预算支出决算数为574.59，完成预算100</w:t>
      </w:r>
      <w:r>
        <w:rPr>
          <w:rFonts w:ascii="仿宋_GB2312" w:hAnsi="仿宋" w:eastAsia="仿宋_GB2312"/>
          <w:color w:val="000000"/>
          <w:sz w:val="32"/>
          <w:szCs w:val="32"/>
        </w:rPr>
        <w:t>%</w:t>
      </w:r>
      <w:r>
        <w:rPr>
          <w:rFonts w:hint="eastAsia" w:ascii="仿宋_GB2312" w:hAnsi="仿宋" w:eastAsia="仿宋_GB2312"/>
          <w:color w:val="000000"/>
          <w:sz w:val="32"/>
          <w:szCs w:val="32"/>
        </w:rPr>
        <w:t>。其中：</w:t>
      </w:r>
      <w:bookmarkEnd w:id="54"/>
      <w:bookmarkEnd w:id="55"/>
      <w:bookmarkEnd w:id="56"/>
    </w:p>
    <w:p>
      <w:pPr>
        <w:spacing w:line="576" w:lineRule="exact"/>
        <w:ind w:firstLine="643" w:firstLineChars="200"/>
        <w:rPr>
          <w:rStyle w:val="14"/>
          <w:rFonts w:ascii="仿宋_GB2312" w:hAnsi="仿宋" w:eastAsia="仿宋_GB2312"/>
          <w:b w:val="0"/>
          <w:bCs/>
          <w:color w:val="000000"/>
          <w:sz w:val="32"/>
          <w:szCs w:val="32"/>
        </w:rPr>
      </w:pPr>
      <w:r>
        <w:rPr>
          <w:rStyle w:val="14"/>
          <w:rFonts w:ascii="仿宋" w:hAnsi="仿宋" w:eastAsia="仿宋"/>
          <w:bCs/>
          <w:color w:val="000000"/>
          <w:sz w:val="32"/>
          <w:szCs w:val="32"/>
        </w:rPr>
        <w:t>1.</w:t>
      </w:r>
      <w:r>
        <w:rPr>
          <w:rFonts w:hint="eastAsia" w:ascii="仿宋_GB2312" w:eastAsia="仿宋_GB2312"/>
          <w:b/>
          <w:bCs/>
          <w:sz w:val="32"/>
          <w:szCs w:val="32"/>
        </w:rPr>
        <w:t>一般公共服务（</w:t>
      </w:r>
      <w:r>
        <w:rPr>
          <w:rFonts w:hint="eastAsia" w:ascii="仿宋_GB2312" w:hAnsi="仿宋" w:eastAsia="仿宋_GB2312"/>
          <w:b/>
          <w:color w:val="000000"/>
          <w:sz w:val="32"/>
          <w:szCs w:val="32"/>
        </w:rPr>
        <w:t>类</w:t>
      </w:r>
      <w:r>
        <w:rPr>
          <w:rFonts w:hint="eastAsia" w:ascii="仿宋_GB2312" w:eastAsia="仿宋_GB2312"/>
          <w:b/>
          <w:bCs/>
          <w:sz w:val="32"/>
          <w:szCs w:val="32"/>
        </w:rPr>
        <w:t>）人力资源事务（款）行政运行（项）</w:t>
      </w:r>
      <w:r>
        <w:rPr>
          <w:rStyle w:val="14"/>
          <w:rFonts w:ascii="仿宋" w:hAnsi="仿宋" w:eastAsia="仿宋"/>
          <w:bCs/>
          <w:color w:val="000000"/>
          <w:sz w:val="32"/>
          <w:szCs w:val="32"/>
        </w:rPr>
        <w:t xml:space="preserve">: </w:t>
      </w:r>
      <w:r>
        <w:rPr>
          <w:rStyle w:val="14"/>
          <w:rFonts w:hint="eastAsia" w:ascii="仿宋_GB2312" w:hAnsi="仿宋" w:eastAsia="仿宋_GB2312"/>
          <w:b w:val="0"/>
          <w:bCs/>
          <w:color w:val="000000"/>
          <w:sz w:val="32"/>
          <w:szCs w:val="32"/>
        </w:rPr>
        <w:t>支出决算为247.08万元，完成预算100%，决算数等于预算数的主要原因是单位日常经费开支。</w:t>
      </w:r>
    </w:p>
    <w:p>
      <w:pPr>
        <w:spacing w:line="576" w:lineRule="exact"/>
        <w:ind w:firstLine="643" w:firstLineChars="200"/>
        <w:rPr>
          <w:rStyle w:val="14"/>
          <w:rFonts w:ascii="仿宋_GB2312" w:eastAsia="仿宋_GB2312"/>
          <w:bCs/>
        </w:rPr>
      </w:pPr>
      <w:r>
        <w:rPr>
          <w:rStyle w:val="14"/>
          <w:rFonts w:ascii="仿宋" w:hAnsi="仿宋" w:eastAsia="仿宋"/>
          <w:bCs/>
          <w:color w:val="000000"/>
          <w:sz w:val="32"/>
          <w:szCs w:val="32"/>
        </w:rPr>
        <w:t>2.</w:t>
      </w:r>
      <w:r>
        <w:rPr>
          <w:rFonts w:hint="eastAsia" w:ascii="仿宋_GB2312" w:eastAsia="仿宋_GB2312"/>
          <w:b/>
          <w:bCs/>
          <w:sz w:val="32"/>
          <w:szCs w:val="32"/>
        </w:rPr>
        <w:t>一般公共服务（</w:t>
      </w:r>
      <w:r>
        <w:rPr>
          <w:rFonts w:hint="eastAsia" w:ascii="仿宋_GB2312" w:hAnsi="仿宋" w:eastAsia="仿宋_GB2312"/>
          <w:b/>
          <w:color w:val="000000"/>
          <w:sz w:val="32"/>
          <w:szCs w:val="32"/>
        </w:rPr>
        <w:t>类</w:t>
      </w:r>
      <w:r>
        <w:rPr>
          <w:rFonts w:hint="eastAsia" w:ascii="仿宋_GB2312" w:eastAsia="仿宋_GB2312"/>
          <w:b/>
          <w:bCs/>
          <w:sz w:val="32"/>
          <w:szCs w:val="32"/>
        </w:rPr>
        <w:t>）人力资源事务（款）一般行政管理事务（项）</w:t>
      </w:r>
      <w:r>
        <w:rPr>
          <w:rFonts w:ascii="仿宋_GB2312" w:eastAsia="仿宋_GB2312"/>
        </w:rPr>
        <w:t>:</w:t>
      </w:r>
      <w:r>
        <w:rPr>
          <w:rStyle w:val="14"/>
          <w:rFonts w:hint="eastAsia" w:ascii="仿宋_GB2312" w:hAnsi="仿宋" w:eastAsia="仿宋_GB2312"/>
          <w:b w:val="0"/>
          <w:bCs/>
          <w:color w:val="000000"/>
          <w:sz w:val="32"/>
          <w:szCs w:val="32"/>
        </w:rPr>
        <w:t>支出决算为7.2万元，完成预算100</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，决算数等于预算数的主要原因是用于人社系统金保网费支出。</w:t>
      </w:r>
    </w:p>
    <w:p>
      <w:pPr>
        <w:spacing w:line="576" w:lineRule="exact"/>
        <w:ind w:firstLine="643" w:firstLineChars="200"/>
        <w:rPr>
          <w:rStyle w:val="14"/>
          <w:rFonts w:ascii="仿宋_GB2312" w:hAnsi="仿宋" w:eastAsia="仿宋_GB2312"/>
          <w:b w:val="0"/>
          <w:bCs/>
          <w:color w:val="000000"/>
          <w:sz w:val="32"/>
          <w:szCs w:val="32"/>
        </w:rPr>
      </w:pPr>
      <w:r>
        <w:rPr>
          <w:rStyle w:val="14"/>
          <w:rFonts w:ascii="仿宋" w:hAnsi="仿宋" w:eastAsia="仿宋"/>
          <w:bCs/>
          <w:color w:val="000000"/>
          <w:sz w:val="32"/>
          <w:szCs w:val="32"/>
        </w:rPr>
        <w:t>3.</w:t>
      </w:r>
      <w:r>
        <w:rPr>
          <w:rFonts w:hint="eastAsia" w:ascii="仿宋_GB2312" w:eastAsia="仿宋_GB2312"/>
          <w:b/>
          <w:bCs/>
          <w:sz w:val="32"/>
          <w:szCs w:val="32"/>
        </w:rPr>
        <w:t>一般公共服务（</w:t>
      </w:r>
      <w:r>
        <w:rPr>
          <w:rFonts w:hint="eastAsia" w:ascii="仿宋_GB2312" w:hAnsi="仿宋" w:eastAsia="仿宋_GB2312"/>
          <w:b/>
          <w:color w:val="000000"/>
          <w:sz w:val="32"/>
          <w:szCs w:val="32"/>
        </w:rPr>
        <w:t>类</w:t>
      </w:r>
      <w:r>
        <w:rPr>
          <w:rFonts w:hint="eastAsia" w:ascii="仿宋_GB2312" w:eastAsia="仿宋_GB2312"/>
          <w:b/>
          <w:bCs/>
          <w:sz w:val="32"/>
          <w:szCs w:val="32"/>
        </w:rPr>
        <w:t>）人力资源事务（款）事业运行（项）</w:t>
      </w:r>
      <w:r>
        <w:rPr>
          <w:rFonts w:ascii="仿宋_GB2312" w:eastAsia="仿宋_GB2312"/>
          <w:b/>
          <w:bCs/>
          <w:sz w:val="32"/>
          <w:szCs w:val="32"/>
        </w:rPr>
        <w:t>:</w:t>
      </w:r>
      <w:r>
        <w:rPr>
          <w:rStyle w:val="14"/>
          <w:rFonts w:hint="eastAsia" w:ascii="仿宋_GB2312" w:hAnsi="仿宋" w:eastAsia="仿宋_GB2312"/>
          <w:b w:val="0"/>
          <w:bCs/>
          <w:color w:val="000000"/>
          <w:sz w:val="32"/>
          <w:szCs w:val="32"/>
        </w:rPr>
        <w:t>支出决算为170.89万元，完成预算100</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，决算数等于预算数的主要原因是用于单位事业人员日常费用开支。</w:t>
      </w:r>
    </w:p>
    <w:p>
      <w:pPr>
        <w:spacing w:line="576" w:lineRule="exact"/>
        <w:ind w:firstLine="643" w:firstLineChars="200"/>
        <w:rPr>
          <w:rStyle w:val="14"/>
          <w:rFonts w:ascii="仿宋_GB2312" w:eastAsia="仿宋_GB2312"/>
          <w:bCs/>
        </w:rPr>
      </w:pPr>
      <w:r>
        <w:rPr>
          <w:rStyle w:val="14"/>
          <w:rFonts w:ascii="仿宋" w:hAnsi="仿宋" w:eastAsia="仿宋"/>
          <w:bCs/>
          <w:color w:val="000000"/>
          <w:sz w:val="32"/>
          <w:szCs w:val="32"/>
        </w:rPr>
        <w:t>4.</w:t>
      </w:r>
      <w:r>
        <w:rPr>
          <w:rFonts w:hint="eastAsia" w:ascii="仿宋_GB2312" w:eastAsia="仿宋_GB2312"/>
          <w:b/>
          <w:bCs/>
          <w:sz w:val="32"/>
          <w:szCs w:val="32"/>
        </w:rPr>
        <w:t>一般公共服务（</w:t>
      </w:r>
      <w:r>
        <w:rPr>
          <w:rFonts w:hint="eastAsia" w:ascii="仿宋_GB2312" w:hAnsi="仿宋" w:eastAsia="仿宋_GB2312"/>
          <w:b/>
          <w:color w:val="000000"/>
          <w:sz w:val="32"/>
          <w:szCs w:val="32"/>
        </w:rPr>
        <w:t>类</w:t>
      </w:r>
      <w:r>
        <w:rPr>
          <w:rFonts w:hint="eastAsia" w:ascii="仿宋_GB2312" w:eastAsia="仿宋_GB2312"/>
          <w:b/>
          <w:bCs/>
          <w:sz w:val="32"/>
          <w:szCs w:val="32"/>
        </w:rPr>
        <w:t>）人力资源事务（款）其他人力资源事务支出（项）</w:t>
      </w:r>
      <w:r>
        <w:rPr>
          <w:rFonts w:ascii="仿宋_GB2312" w:eastAsia="仿宋_GB2312"/>
          <w:b/>
          <w:bCs/>
          <w:sz w:val="32"/>
          <w:szCs w:val="32"/>
        </w:rPr>
        <w:t>:</w:t>
      </w:r>
      <w:r>
        <w:rPr>
          <w:rStyle w:val="14"/>
          <w:rFonts w:hint="eastAsia" w:ascii="仿宋_GB2312" w:hAnsi="仿宋" w:eastAsia="仿宋_GB2312"/>
          <w:b w:val="0"/>
          <w:bCs/>
          <w:color w:val="000000"/>
          <w:sz w:val="32"/>
          <w:szCs w:val="32"/>
        </w:rPr>
        <w:t>支出决算为11.14万元，完成预算100</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，决算数等于预算数的主要原因是用于退休人员日常费用开支。</w:t>
      </w:r>
    </w:p>
    <w:p>
      <w:pPr>
        <w:spacing w:line="576" w:lineRule="exact"/>
        <w:ind w:firstLine="643" w:firstLineChars="200"/>
        <w:rPr>
          <w:rStyle w:val="14"/>
          <w:rFonts w:ascii="仿宋_GB2312" w:hAnsi="仿宋" w:eastAsia="仿宋_GB2312"/>
          <w:b w:val="0"/>
          <w:bCs/>
          <w:color w:val="000000"/>
          <w:sz w:val="32"/>
          <w:szCs w:val="32"/>
        </w:rPr>
      </w:pPr>
      <w:r>
        <w:rPr>
          <w:rStyle w:val="14"/>
          <w:rFonts w:ascii="仿宋" w:hAnsi="仿宋" w:eastAsia="仿宋"/>
          <w:bCs/>
          <w:color w:val="000000"/>
          <w:sz w:val="32"/>
          <w:szCs w:val="32"/>
        </w:rPr>
        <w:t>5.</w:t>
      </w:r>
      <w:r>
        <w:rPr>
          <w:rStyle w:val="14"/>
          <w:rFonts w:hint="eastAsia" w:ascii="仿宋_GB2312" w:hAnsi="仿宋_GB2312" w:eastAsia="仿宋_GB2312" w:cs="仿宋_GB2312"/>
          <w:bCs/>
          <w:color w:val="000000"/>
          <w:sz w:val="32"/>
          <w:szCs w:val="32"/>
        </w:rPr>
        <w:t>社会保障和就业支出（</w:t>
      </w:r>
      <w:r>
        <w:rPr>
          <w:rFonts w:hint="eastAsia" w:ascii="仿宋_GB2312" w:hAnsi="仿宋" w:eastAsia="仿宋_GB2312"/>
          <w:b/>
          <w:color w:val="000000"/>
          <w:sz w:val="32"/>
          <w:szCs w:val="32"/>
        </w:rPr>
        <w:t>类</w:t>
      </w:r>
      <w:r>
        <w:rPr>
          <w:rStyle w:val="14"/>
          <w:rFonts w:hint="eastAsia" w:ascii="仿宋_GB2312" w:hAnsi="仿宋_GB2312" w:eastAsia="仿宋_GB2312" w:cs="仿宋_GB2312"/>
          <w:bCs/>
          <w:color w:val="000000"/>
          <w:sz w:val="32"/>
          <w:szCs w:val="32"/>
        </w:rPr>
        <w:t>）行政事业单位离退休（款）机关事业单位基本养老保险缴费支出（项）</w:t>
      </w:r>
      <w:r>
        <w:rPr>
          <w:rStyle w:val="14"/>
          <w:rFonts w:ascii="仿宋" w:hAnsi="仿宋" w:eastAsia="仿宋"/>
          <w:bCs/>
          <w:color w:val="000000"/>
          <w:sz w:val="32"/>
          <w:szCs w:val="32"/>
        </w:rPr>
        <w:t>:</w:t>
      </w:r>
      <w:r>
        <w:rPr>
          <w:rStyle w:val="14"/>
          <w:rFonts w:hint="eastAsia" w:ascii="仿宋_GB2312" w:hAnsi="仿宋" w:eastAsia="仿宋_GB2312"/>
          <w:b w:val="0"/>
          <w:bCs/>
          <w:color w:val="000000"/>
          <w:sz w:val="32"/>
          <w:szCs w:val="32"/>
        </w:rPr>
        <w:t>支出决算为61.51万元，完成预算100%，决算数等于预算数的主要原因是主要用于单位缴纳养老保险。</w:t>
      </w:r>
    </w:p>
    <w:p>
      <w:pPr>
        <w:spacing w:line="576" w:lineRule="exact"/>
        <w:ind w:firstLine="643" w:firstLineChars="200"/>
        <w:rPr>
          <w:rFonts w:ascii="仿宋_GB2312" w:hAnsi="仿宋_GB2312" w:eastAsia="仿宋_GB2312" w:cs="仿宋_GB2312"/>
          <w:sz w:val="32"/>
          <w:szCs w:val="32"/>
        </w:rPr>
      </w:pPr>
      <w:r>
        <w:rPr>
          <w:rStyle w:val="14"/>
          <w:rFonts w:ascii="仿宋" w:hAnsi="仿宋" w:eastAsia="仿宋"/>
          <w:bCs/>
          <w:color w:val="000000"/>
          <w:sz w:val="32"/>
          <w:szCs w:val="32"/>
        </w:rPr>
        <w:t>6.</w:t>
      </w:r>
      <w:r>
        <w:rPr>
          <w:rStyle w:val="14"/>
          <w:rFonts w:hint="eastAsia" w:ascii="仿宋_GB2312" w:hAnsi="仿宋_GB2312" w:eastAsia="仿宋_GB2312" w:cs="仿宋_GB2312"/>
          <w:bCs/>
          <w:color w:val="000000"/>
          <w:sz w:val="32"/>
          <w:szCs w:val="32"/>
        </w:rPr>
        <w:t>社会保障和就业支出（</w:t>
      </w:r>
      <w:r>
        <w:rPr>
          <w:rFonts w:hint="eastAsia" w:ascii="仿宋_GB2312" w:hAnsi="仿宋" w:eastAsia="仿宋_GB2312"/>
          <w:b/>
          <w:color w:val="000000"/>
          <w:sz w:val="32"/>
          <w:szCs w:val="32"/>
        </w:rPr>
        <w:t>类</w:t>
      </w:r>
      <w:r>
        <w:rPr>
          <w:rStyle w:val="14"/>
          <w:rFonts w:hint="eastAsia" w:ascii="仿宋_GB2312" w:hAnsi="仿宋_GB2312" w:eastAsia="仿宋_GB2312" w:cs="仿宋_GB2312"/>
          <w:bCs/>
          <w:color w:val="000000"/>
          <w:sz w:val="32"/>
          <w:szCs w:val="32"/>
        </w:rPr>
        <w:t>）行政事业单位离退休（款）机关事业单位职业年金缴费支出（项）</w:t>
      </w:r>
      <w:r>
        <w:rPr>
          <w:rStyle w:val="14"/>
          <w:rFonts w:ascii="仿宋" w:hAnsi="仿宋" w:eastAsia="仿宋"/>
          <w:bCs/>
          <w:color w:val="000000"/>
          <w:sz w:val="32"/>
          <w:szCs w:val="32"/>
        </w:rPr>
        <w:t>:</w:t>
      </w:r>
      <w:r>
        <w:rPr>
          <w:rFonts w:hint="eastAsia" w:ascii="仿宋_GB2312" w:hAnsi="仿宋_GB2312" w:eastAsia="仿宋_GB2312" w:cs="仿宋_GB2312"/>
          <w:sz w:val="32"/>
          <w:szCs w:val="32"/>
        </w:rPr>
        <w:t>支出决算为20.50万元，完成预算100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，决算数等于预算数的主要原因是主要用于单位缴纳职业年金。</w:t>
      </w:r>
    </w:p>
    <w:p>
      <w:pPr>
        <w:spacing w:line="576" w:lineRule="exact"/>
        <w:ind w:firstLine="643" w:firstLineChars="200"/>
        <w:rPr>
          <w:rFonts w:ascii="仿宋_GB2312" w:hAnsi="仿宋_GB2312" w:eastAsia="仿宋_GB2312" w:cs="仿宋_GB2312"/>
          <w:sz w:val="32"/>
          <w:szCs w:val="32"/>
        </w:rPr>
      </w:pPr>
      <w:r>
        <w:rPr>
          <w:rStyle w:val="14"/>
          <w:rFonts w:hint="eastAsia" w:ascii="仿宋_GB2312" w:hAnsi="仿宋_GB2312" w:eastAsia="仿宋_GB2312" w:cs="仿宋_GB2312"/>
          <w:bCs/>
          <w:color w:val="000000"/>
          <w:sz w:val="32"/>
          <w:szCs w:val="32"/>
        </w:rPr>
        <w:t>7.医疗卫生与计划生育（</w:t>
      </w:r>
      <w:r>
        <w:rPr>
          <w:rFonts w:hint="eastAsia" w:ascii="仿宋_GB2312" w:hAnsi="仿宋" w:eastAsia="仿宋_GB2312"/>
          <w:b/>
          <w:color w:val="000000"/>
          <w:sz w:val="32"/>
          <w:szCs w:val="32"/>
        </w:rPr>
        <w:t>类</w:t>
      </w:r>
      <w:r>
        <w:rPr>
          <w:rStyle w:val="14"/>
          <w:rFonts w:hint="eastAsia" w:ascii="仿宋_GB2312" w:hAnsi="仿宋_GB2312" w:eastAsia="仿宋_GB2312" w:cs="仿宋_GB2312"/>
          <w:bCs/>
          <w:color w:val="000000"/>
          <w:sz w:val="32"/>
          <w:szCs w:val="32"/>
        </w:rPr>
        <w:t>）行政事业单位医疗（款）行政单位医疗（项）:</w:t>
      </w:r>
      <w:r>
        <w:rPr>
          <w:rFonts w:hint="eastAsia" w:ascii="仿宋_GB2312" w:hAnsi="仿宋_GB2312" w:eastAsia="仿宋_GB2312" w:cs="仿宋_GB2312"/>
          <w:sz w:val="32"/>
          <w:szCs w:val="32"/>
        </w:rPr>
        <w:t>支出决算为19.91万元，完成预算100%，决算数等于预算数的主要原因是主要用于行政单位缴纳基本医疗保险。</w:t>
      </w:r>
    </w:p>
    <w:p>
      <w:pPr>
        <w:spacing w:line="576" w:lineRule="exact"/>
        <w:ind w:firstLine="643" w:firstLineChars="200"/>
        <w:rPr>
          <w:rFonts w:ascii="仿宋_GB2312" w:hAnsi="仿宋_GB2312" w:eastAsia="仿宋_GB2312" w:cs="仿宋_GB2312"/>
          <w:sz w:val="32"/>
          <w:szCs w:val="32"/>
        </w:rPr>
      </w:pPr>
      <w:r>
        <w:rPr>
          <w:rStyle w:val="14"/>
          <w:rFonts w:hint="eastAsia" w:ascii="仿宋" w:hAnsi="仿宋" w:eastAsia="仿宋"/>
          <w:bCs/>
          <w:color w:val="000000"/>
          <w:sz w:val="32"/>
          <w:szCs w:val="32"/>
        </w:rPr>
        <w:t>8.</w:t>
      </w:r>
      <w:r>
        <w:rPr>
          <w:rStyle w:val="14"/>
          <w:rFonts w:hint="eastAsia" w:ascii="仿宋_GB2312" w:hAnsi="仿宋_GB2312" w:eastAsia="仿宋_GB2312" w:cs="仿宋_GB2312"/>
          <w:bCs/>
          <w:color w:val="000000"/>
          <w:sz w:val="32"/>
          <w:szCs w:val="32"/>
        </w:rPr>
        <w:t>医疗卫生与计划生育（</w:t>
      </w:r>
      <w:r>
        <w:rPr>
          <w:rFonts w:hint="eastAsia" w:ascii="仿宋_GB2312" w:hAnsi="仿宋" w:eastAsia="仿宋_GB2312"/>
          <w:b/>
          <w:color w:val="000000"/>
          <w:sz w:val="32"/>
          <w:szCs w:val="32"/>
        </w:rPr>
        <w:t>类</w:t>
      </w:r>
      <w:r>
        <w:rPr>
          <w:rStyle w:val="14"/>
          <w:rFonts w:hint="eastAsia" w:ascii="仿宋_GB2312" w:hAnsi="仿宋_GB2312" w:eastAsia="仿宋_GB2312" w:cs="仿宋_GB2312"/>
          <w:bCs/>
          <w:color w:val="000000"/>
          <w:sz w:val="32"/>
          <w:szCs w:val="32"/>
        </w:rPr>
        <w:t>）行政事业单位医疗（款）事业单位医疗（项）:</w:t>
      </w:r>
      <w:r>
        <w:rPr>
          <w:rFonts w:hint="eastAsia" w:ascii="仿宋_GB2312" w:hAnsi="仿宋_GB2312" w:eastAsia="仿宋_GB2312" w:cs="仿宋_GB2312"/>
          <w:sz w:val="32"/>
          <w:szCs w:val="32"/>
        </w:rPr>
        <w:t>支出决算为11.60万元，完成预算100%，决算数等于预算数的主要原因是主要用于事业单位缴纳基本医疗保险。</w:t>
      </w:r>
    </w:p>
    <w:p>
      <w:pPr>
        <w:spacing w:line="576" w:lineRule="exact"/>
        <w:ind w:firstLine="643" w:firstLineChars="200"/>
        <w:rPr>
          <w:rFonts w:ascii="仿宋_GB2312" w:hAnsi="仿宋_GB2312" w:eastAsia="仿宋_GB2312" w:cs="仿宋_GB2312"/>
          <w:sz w:val="32"/>
          <w:szCs w:val="32"/>
        </w:rPr>
      </w:pPr>
      <w:r>
        <w:rPr>
          <w:rStyle w:val="14"/>
          <w:rFonts w:hint="eastAsia" w:ascii="仿宋" w:hAnsi="仿宋" w:eastAsia="仿宋"/>
          <w:bCs/>
          <w:color w:val="000000"/>
          <w:sz w:val="32"/>
          <w:szCs w:val="32"/>
        </w:rPr>
        <w:t>9.</w:t>
      </w:r>
      <w:r>
        <w:rPr>
          <w:rStyle w:val="14"/>
          <w:rFonts w:hint="eastAsia" w:ascii="仿宋_GB2312" w:hAnsi="仿宋_GB2312" w:eastAsia="仿宋_GB2312" w:cs="仿宋_GB2312"/>
          <w:bCs/>
          <w:color w:val="000000"/>
          <w:sz w:val="32"/>
          <w:szCs w:val="32"/>
        </w:rPr>
        <w:t>农林水支出（</w:t>
      </w:r>
      <w:r>
        <w:rPr>
          <w:rFonts w:hint="eastAsia" w:ascii="仿宋_GB2312" w:hAnsi="仿宋" w:eastAsia="仿宋_GB2312"/>
          <w:b/>
          <w:color w:val="000000"/>
          <w:sz w:val="32"/>
          <w:szCs w:val="32"/>
        </w:rPr>
        <w:t>类</w:t>
      </w:r>
      <w:r>
        <w:rPr>
          <w:rStyle w:val="14"/>
          <w:rFonts w:hint="eastAsia" w:ascii="仿宋_GB2312" w:hAnsi="仿宋_GB2312" w:eastAsia="仿宋_GB2312" w:cs="仿宋_GB2312"/>
          <w:bCs/>
          <w:color w:val="000000"/>
          <w:sz w:val="32"/>
          <w:szCs w:val="32"/>
        </w:rPr>
        <w:t>）扶贫（款）其他扶贫支出（项）:</w:t>
      </w:r>
      <w:r>
        <w:rPr>
          <w:rFonts w:hint="eastAsia" w:ascii="仿宋_GB2312" w:hAnsi="仿宋_GB2312" w:eastAsia="仿宋_GB2312" w:cs="仿宋_GB2312"/>
          <w:sz w:val="32"/>
          <w:szCs w:val="32"/>
        </w:rPr>
        <w:t>支出决算为0.84万元，完成预算100%，决算数等于预算数的主要原因是主要用于单位第一书记临岗补贴和乡镇补贴。</w:t>
      </w:r>
    </w:p>
    <w:p>
      <w:pPr>
        <w:tabs>
          <w:tab w:val="right" w:pos="8306"/>
        </w:tabs>
        <w:spacing w:line="576" w:lineRule="exact"/>
        <w:ind w:firstLine="640"/>
        <w:outlineLvl w:val="1"/>
        <w:rPr>
          <w:rFonts w:ascii="仿宋_GB2312" w:hAnsi="仿宋_GB2312" w:eastAsia="仿宋_GB2312" w:cs="仿宋_GB2312"/>
          <w:sz w:val="32"/>
          <w:szCs w:val="32"/>
        </w:rPr>
      </w:pPr>
      <w:r>
        <w:rPr>
          <w:rStyle w:val="14"/>
          <w:rFonts w:hint="eastAsia" w:ascii="仿宋" w:hAnsi="仿宋" w:eastAsia="仿宋"/>
          <w:bCs/>
          <w:color w:val="000000"/>
          <w:sz w:val="32"/>
          <w:szCs w:val="32"/>
        </w:rPr>
        <w:t>10.</w:t>
      </w:r>
      <w:r>
        <w:rPr>
          <w:rStyle w:val="14"/>
          <w:rFonts w:hint="eastAsia" w:ascii="仿宋_GB2312" w:hAnsi="仿宋_GB2312" w:eastAsia="仿宋_GB2312" w:cs="仿宋_GB2312"/>
          <w:bCs/>
          <w:color w:val="000000"/>
          <w:sz w:val="32"/>
          <w:szCs w:val="32"/>
        </w:rPr>
        <w:t>住房保障（类）住房改革（款）住房公积金（项）：</w:t>
      </w:r>
      <w:r>
        <w:rPr>
          <w:rFonts w:hint="eastAsia" w:ascii="仿宋_GB2312" w:hAnsi="仿宋_GB2312" w:eastAsia="仿宋_GB2312" w:cs="仿宋_GB2312"/>
          <w:sz w:val="32"/>
          <w:szCs w:val="32"/>
        </w:rPr>
        <w:t>支出决算为44.42万元，完成预100%，决算数等于预算数的主要单位为职工缴纳住房公积金。</w:t>
      </w:r>
    </w:p>
    <w:bookmarkEnd w:id="52"/>
    <w:bookmarkEnd w:id="53"/>
    <w:p>
      <w:pPr>
        <w:tabs>
          <w:tab w:val="right" w:pos="8306"/>
        </w:tabs>
        <w:spacing w:line="600" w:lineRule="exact"/>
        <w:ind w:firstLine="640"/>
        <w:outlineLvl w:val="1"/>
        <w:rPr>
          <w:rStyle w:val="26"/>
        </w:rPr>
      </w:pPr>
      <w:bookmarkStart w:id="57" w:name="_Toc79163618"/>
      <w:bookmarkStart w:id="58" w:name="_Toc79163868"/>
      <w:bookmarkStart w:id="59" w:name="_Toc15377215"/>
      <w:bookmarkStart w:id="60" w:name="_Toc15396609"/>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rPr>
        <w:t>般公共预算财政拨款基本支出决算情况说明</w:t>
      </w:r>
      <w:bookmarkEnd w:id="57"/>
      <w:bookmarkEnd w:id="58"/>
      <w:r>
        <w:rPr>
          <w:rStyle w:val="26"/>
          <w:rFonts w:ascii="黑体" w:hAnsi="黑体" w:eastAsia="黑体"/>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年一般公共预算财政拨款基本支出555.41万元，其中：</w:t>
      </w:r>
    </w:p>
    <w:p>
      <w:pPr>
        <w:spacing w:line="576" w:lineRule="exact"/>
        <w:ind w:firstLine="640"/>
        <w:outlineLvl w:val="1"/>
        <w:rPr>
          <w:rFonts w:ascii="仿宋" w:hAnsi="仿宋" w:eastAsia="仿宋"/>
          <w:color w:val="000000"/>
          <w:sz w:val="32"/>
          <w:szCs w:val="32"/>
        </w:rPr>
      </w:pPr>
      <w:r>
        <w:rPr>
          <w:rFonts w:hint="eastAsia" w:ascii="仿宋" w:hAnsi="仿宋" w:eastAsia="仿宋"/>
          <w:color w:val="000000"/>
          <w:sz w:val="32"/>
          <w:szCs w:val="32"/>
        </w:rPr>
        <w:t>人员经费526.47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28.94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bookmarkEnd w:id="59"/>
    <w:bookmarkEnd w:id="60"/>
    <w:p>
      <w:pPr>
        <w:spacing w:line="600" w:lineRule="exact"/>
        <w:ind w:firstLine="640"/>
        <w:outlineLvl w:val="1"/>
        <w:rPr>
          <w:rStyle w:val="26"/>
          <w:rFonts w:ascii="黑体" w:hAnsi="黑体" w:eastAsia="黑体"/>
          <w:b w:val="0"/>
        </w:rPr>
      </w:pPr>
      <w:bookmarkStart w:id="61" w:name="_Toc79163619"/>
      <w:bookmarkStart w:id="62" w:name="_Toc79163869"/>
      <w:bookmarkStart w:id="63" w:name="_Toc15377217"/>
      <w:r>
        <w:rPr>
          <w:rFonts w:hint="eastAsia" w:ascii="黑体" w:eastAsia="黑体"/>
          <w:color w:val="000000"/>
          <w:sz w:val="32"/>
          <w:szCs w:val="32"/>
        </w:rPr>
        <w:t>七、</w:t>
      </w:r>
      <w:r>
        <w:rPr>
          <w:rStyle w:val="26"/>
          <w:rFonts w:hint="eastAsia" w:ascii="黑体" w:hAnsi="黑体" w:eastAsia="黑体"/>
        </w:rPr>
        <w:t>“三公”经费财政拨款支出决算情况说明</w:t>
      </w:r>
      <w:bookmarkEnd w:id="61"/>
      <w:bookmarkEnd w:id="62"/>
    </w:p>
    <w:p>
      <w:pPr>
        <w:spacing w:line="600" w:lineRule="exact"/>
        <w:ind w:firstLine="640"/>
        <w:outlineLvl w:val="2"/>
        <w:rPr>
          <w:rFonts w:ascii="仿宋" w:hAnsi="仿宋" w:eastAsia="仿宋"/>
          <w:b/>
          <w:color w:val="000000"/>
          <w:sz w:val="32"/>
          <w:szCs w:val="32"/>
        </w:rPr>
      </w:pPr>
      <w:bookmarkStart w:id="64" w:name="_Toc15377216"/>
      <w:bookmarkStart w:id="65" w:name="_Toc79163620"/>
      <w:bookmarkStart w:id="66" w:name="_Toc79163870"/>
      <w:r>
        <w:rPr>
          <w:rFonts w:hint="eastAsia" w:ascii="仿宋" w:hAnsi="仿宋" w:eastAsia="仿宋"/>
          <w:b/>
          <w:color w:val="000000"/>
          <w:sz w:val="32"/>
          <w:szCs w:val="32"/>
        </w:rPr>
        <w:t>（一）“三公”经费财政拨款支出决算总体情况说明</w:t>
      </w:r>
      <w:bookmarkEnd w:id="64"/>
      <w:bookmarkEnd w:id="65"/>
      <w:bookmarkEnd w:id="66"/>
    </w:p>
    <w:p>
      <w:pPr>
        <w:spacing w:line="576" w:lineRule="exact"/>
        <w:ind w:firstLine="640" w:firstLineChars="200"/>
        <w:rPr>
          <w:rFonts w:ascii="仿宋_GB2312" w:eastAsia="仿宋_GB2312"/>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年“三公”经费财政拨款支出决算为5.34万元，完成预算100</w:t>
      </w:r>
      <w:r>
        <w:rPr>
          <w:rFonts w:ascii="仿宋" w:hAnsi="仿宋" w:eastAsia="仿宋"/>
          <w:color w:val="000000"/>
          <w:sz w:val="32"/>
          <w:szCs w:val="32"/>
        </w:rPr>
        <w:t>%</w:t>
      </w:r>
      <w:r>
        <w:rPr>
          <w:rFonts w:hint="eastAsia" w:ascii="仿宋" w:hAnsi="仿宋" w:eastAsia="仿宋"/>
          <w:color w:val="000000"/>
          <w:sz w:val="32"/>
          <w:szCs w:val="32"/>
        </w:rPr>
        <w:t>，决算数与预算数持平的主要原因是</w:t>
      </w:r>
      <w:r>
        <w:rPr>
          <w:rFonts w:hint="eastAsia" w:ascii="仿宋_GB2312" w:eastAsia="仿宋_GB2312"/>
          <w:sz w:val="32"/>
          <w:szCs w:val="32"/>
        </w:rPr>
        <w:t>厉行节约。</w:t>
      </w:r>
    </w:p>
    <w:bookmarkEnd w:id="63"/>
    <w:p>
      <w:pPr>
        <w:spacing w:line="600" w:lineRule="exact"/>
        <w:ind w:firstLine="640"/>
        <w:outlineLvl w:val="2"/>
        <w:rPr>
          <w:rFonts w:ascii="仿宋" w:hAnsi="仿宋" w:eastAsia="仿宋"/>
          <w:b/>
          <w:color w:val="000000"/>
          <w:sz w:val="32"/>
          <w:szCs w:val="32"/>
        </w:rPr>
      </w:pPr>
      <w:bookmarkStart w:id="67" w:name="_Toc79163621"/>
      <w:bookmarkStart w:id="68" w:name="_Toc79163871"/>
      <w:r>
        <w:rPr>
          <w:rFonts w:hint="eastAsia" w:ascii="仿宋" w:hAnsi="仿宋" w:eastAsia="仿宋"/>
          <w:b/>
          <w:color w:val="000000"/>
          <w:sz w:val="32"/>
          <w:szCs w:val="32"/>
        </w:rPr>
        <w:t>（二）“三公”经费财政拨款支出决算具体情况说明</w:t>
      </w:r>
      <w:bookmarkEnd w:id="67"/>
      <w:bookmarkEnd w:id="6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；公务用车购置及运行维护费支出决算4.26万元，占79.78</w:t>
      </w:r>
      <w:r>
        <w:rPr>
          <w:rFonts w:ascii="仿宋" w:hAnsi="仿宋" w:eastAsia="仿宋"/>
          <w:color w:val="000000"/>
          <w:sz w:val="32"/>
          <w:szCs w:val="32"/>
        </w:rPr>
        <w:t>%</w:t>
      </w:r>
      <w:r>
        <w:rPr>
          <w:rFonts w:hint="eastAsia" w:ascii="仿宋" w:hAnsi="仿宋" w:eastAsia="仿宋"/>
          <w:color w:val="000000"/>
          <w:sz w:val="32"/>
          <w:szCs w:val="32"/>
        </w:rPr>
        <w:t>；公务接待费支出决算1.08万元，占20.22</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_GB2312" w:eastAsia="仿宋_GB2312"/>
          <w:color w:val="000000"/>
          <w:sz w:val="32"/>
          <w:szCs w:val="32"/>
        </w:rPr>
      </w:pPr>
      <w:bookmarkStart w:id="69" w:name="_Toc15377218"/>
      <w:bookmarkStart w:id="70" w:name="_Toc15396610"/>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4"/>
          <w:rFonts w:hint="eastAsia" w:ascii="仿宋" w:hAnsi="仿宋" w:eastAsia="仿宋"/>
          <w:bCs/>
          <w:color w:val="000000"/>
          <w:sz w:val="32"/>
          <w:szCs w:val="32"/>
        </w:rPr>
        <w:t>完成预算0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w:t>
      </w:r>
      <w:r>
        <w:rPr>
          <w:rFonts w:hint="eastAsia" w:ascii="仿宋_GB2312" w:eastAsia="仿宋_GB2312"/>
          <w:color w:val="000000"/>
          <w:sz w:val="32"/>
          <w:szCs w:val="32"/>
        </w:rPr>
        <w:t>全年安排因公出国（境）团组0次，出国（境）0人。</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4.26万元</w:t>
      </w:r>
      <w:r>
        <w:rPr>
          <w:rFonts w:ascii="仿宋_GB2312" w:eastAsia="仿宋_GB2312"/>
          <w:color w:val="000000"/>
          <w:sz w:val="32"/>
          <w:szCs w:val="32"/>
        </w:rPr>
        <w:t>,</w:t>
      </w:r>
      <w:r>
        <w:rPr>
          <w:rStyle w:val="14"/>
          <w:rFonts w:hint="eastAsia" w:ascii="仿宋" w:hAnsi="仿宋" w:eastAsia="仿宋"/>
          <w:bCs/>
          <w:color w:val="000000"/>
          <w:sz w:val="32"/>
          <w:szCs w:val="32"/>
        </w:rPr>
        <w:t>完成预算100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9年增加0.21万元，增长5.19</w:t>
      </w:r>
      <w:r>
        <w:rPr>
          <w:rFonts w:ascii="仿宋_GB2312" w:eastAsia="仿宋_GB2312"/>
          <w:color w:val="000000"/>
          <w:sz w:val="32"/>
          <w:szCs w:val="32"/>
        </w:rPr>
        <w:t>%</w:t>
      </w:r>
      <w:r>
        <w:rPr>
          <w:rFonts w:hint="eastAsia" w:ascii="仿宋_GB2312" w:eastAsia="仿宋_GB2312"/>
          <w:color w:val="000000"/>
          <w:sz w:val="32"/>
          <w:szCs w:val="32"/>
        </w:rPr>
        <w:t>。主要原因是车辆已到报废时限，车辆维修多，承担整个系统的工作任务重，业务多，需要经常下乡，从而造成车辆运行成本过高。</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月底，单位共有公务用车2辆，其中：轿车1辆、越野车1辆。</w:t>
      </w:r>
    </w:p>
    <w:p>
      <w:pPr>
        <w:spacing w:line="576"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4.26万元。主要用于单位</w:t>
      </w:r>
      <w:r>
        <w:rPr>
          <w:rFonts w:ascii="仿宋_GB2312" w:eastAsia="仿宋_GB2312"/>
          <w:color w:val="000000"/>
          <w:sz w:val="32"/>
          <w:szCs w:val="32"/>
        </w:rPr>
        <w:t>开展包村</w:t>
      </w:r>
      <w:r>
        <w:rPr>
          <w:rFonts w:hint="eastAsia" w:ascii="仿宋_GB2312" w:eastAsia="仿宋_GB2312"/>
          <w:color w:val="000000"/>
          <w:sz w:val="32"/>
          <w:szCs w:val="32"/>
        </w:rPr>
        <w:t>、</w:t>
      </w:r>
      <w:r>
        <w:rPr>
          <w:rFonts w:ascii="仿宋_GB2312" w:eastAsia="仿宋_GB2312"/>
          <w:color w:val="000000"/>
          <w:sz w:val="32"/>
          <w:szCs w:val="32"/>
        </w:rPr>
        <w:t>扶贫</w:t>
      </w:r>
      <w:r>
        <w:rPr>
          <w:rFonts w:hint="eastAsia" w:ascii="仿宋_GB2312" w:eastAsia="仿宋_GB2312"/>
          <w:color w:val="000000"/>
          <w:sz w:val="32"/>
          <w:szCs w:val="32"/>
        </w:rPr>
        <w:t>等工作所需的公务用车燃料费、维修费、过路过桥费、保险费等支出。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1.08万元，</w:t>
      </w:r>
      <w:r>
        <w:rPr>
          <w:rStyle w:val="14"/>
          <w:rFonts w:hint="eastAsia" w:ascii="仿宋" w:hAnsi="仿宋" w:eastAsia="仿宋"/>
          <w:bCs/>
          <w:color w:val="000000"/>
          <w:sz w:val="32"/>
          <w:szCs w:val="32"/>
        </w:rPr>
        <w:t>完成预算100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年增加0.87万元，增长414.29</w:t>
      </w:r>
      <w:r>
        <w:rPr>
          <w:rFonts w:ascii="仿宋_GB2312" w:eastAsia="仿宋_GB2312"/>
          <w:color w:val="000000"/>
          <w:sz w:val="32"/>
          <w:szCs w:val="32"/>
        </w:rPr>
        <w:t>%</w:t>
      </w:r>
      <w:r>
        <w:rPr>
          <w:rFonts w:hint="eastAsia" w:ascii="仿宋_GB2312" w:eastAsia="仿宋_GB2312"/>
          <w:color w:val="000000"/>
          <w:sz w:val="32"/>
          <w:szCs w:val="32"/>
        </w:rPr>
        <w:t>。主要原因是今年承办全州公务员事业单位考试至少五次、三支一扶考试等产生的接待费。其中：</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1.08</w:t>
      </w:r>
      <w:r>
        <w:rPr>
          <w:rFonts w:hint="eastAsia" w:ascii="仿宋_GB2312" w:eastAsia="仿宋_GB2312"/>
          <w:color w:val="000000"/>
          <w:sz w:val="32"/>
          <w:szCs w:val="32"/>
        </w:rPr>
        <w:t>万元，主要用于主要用于执行公务、开展业务活动开支的交通费、住宿费、用餐费等。国内公务接待11批次，130人次（不包括陪同人员），共计支出1.08万元，具体内容包括：接待中国劳动保障报记者到我县采访接待费557元、州人社局到我县调研接待费300元、2020年上半年事业单位考试接待费980元、省根治拖欠农民工工资考务组接待费2268元、州阳光培训回头看督导组接待费1540元、省人社厅州人社局失业保险基金内控调研接待费1992元、下半年州局考务组接待费3191元。</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万元，外事接待0批次，0人，共计支出0万元。</w:t>
      </w:r>
    </w:p>
    <w:bookmarkEnd w:id="69"/>
    <w:bookmarkEnd w:id="70"/>
    <w:p>
      <w:pPr>
        <w:spacing w:line="600" w:lineRule="exact"/>
        <w:ind w:firstLine="640"/>
        <w:outlineLvl w:val="1"/>
        <w:rPr>
          <w:rStyle w:val="26"/>
          <w:rFonts w:ascii="黑体" w:hAnsi="黑体" w:eastAsia="黑体"/>
        </w:rPr>
      </w:pPr>
      <w:bookmarkStart w:id="71" w:name="_Toc79163622"/>
      <w:bookmarkStart w:id="72" w:name="_Toc79163872"/>
      <w:bookmarkStart w:id="73" w:name="_Toc15377221"/>
      <w:bookmarkStart w:id="74" w:name="_Toc15396612"/>
      <w:r>
        <w:rPr>
          <w:rFonts w:hint="eastAsia" w:ascii="黑体" w:eastAsia="黑体"/>
          <w:color w:val="000000"/>
          <w:sz w:val="32"/>
          <w:szCs w:val="32"/>
        </w:rPr>
        <w:t>八、</w:t>
      </w:r>
      <w:r>
        <w:rPr>
          <w:rStyle w:val="26"/>
          <w:rFonts w:hint="eastAsia" w:ascii="黑体" w:hAnsi="黑体" w:eastAsia="黑体"/>
        </w:rPr>
        <w:t>政府性基金预算支出决算情况说明</w:t>
      </w:r>
      <w:bookmarkEnd w:id="71"/>
      <w:bookmarkEnd w:id="72"/>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20年人社局无政府性基金预算拨款支出。</w:t>
      </w:r>
    </w:p>
    <w:p>
      <w:pPr>
        <w:numPr>
          <w:ilvl w:val="0"/>
          <w:numId w:val="2"/>
        </w:numPr>
        <w:spacing w:line="600" w:lineRule="exact"/>
        <w:ind w:firstLine="640"/>
        <w:outlineLvl w:val="1"/>
        <w:rPr>
          <w:rStyle w:val="26"/>
          <w:rFonts w:ascii="黑体" w:hAnsi="黑体" w:eastAsia="黑体"/>
          <w:b w:val="0"/>
        </w:rPr>
      </w:pPr>
      <w:bookmarkStart w:id="75" w:name="_Toc15377219"/>
      <w:bookmarkStart w:id="76" w:name="_Toc15396611"/>
      <w:bookmarkStart w:id="77" w:name="_Toc79163873"/>
      <w:bookmarkStart w:id="78" w:name="_Toc79163623"/>
      <w:r>
        <w:rPr>
          <w:rStyle w:val="26"/>
          <w:rFonts w:hint="eastAsia" w:ascii="黑体" w:hAnsi="黑体" w:eastAsia="黑体"/>
        </w:rPr>
        <w:t>国有资本经营预算支出决算情况说明</w:t>
      </w:r>
      <w:bookmarkEnd w:id="75"/>
      <w:bookmarkEnd w:id="76"/>
      <w:bookmarkEnd w:id="77"/>
      <w:bookmarkEnd w:id="7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年人社局无国有资本经营预算拨款支出。</w:t>
      </w:r>
    </w:p>
    <w:p>
      <w:pPr>
        <w:spacing w:line="600" w:lineRule="exact"/>
        <w:ind w:firstLine="800" w:firstLineChars="250"/>
        <w:outlineLvl w:val="1"/>
        <w:rPr>
          <w:rStyle w:val="26"/>
          <w:rFonts w:ascii="黑体" w:hAnsi="黑体" w:eastAsia="黑体"/>
        </w:rPr>
      </w:pPr>
      <w:bookmarkStart w:id="79" w:name="_Toc79163624"/>
      <w:bookmarkStart w:id="80" w:name="_Toc79163874"/>
      <w:r>
        <w:rPr>
          <w:rFonts w:hint="eastAsia" w:ascii="黑体" w:hAnsi="黑体" w:eastAsia="黑体"/>
          <w:color w:val="000000"/>
          <w:sz w:val="32"/>
          <w:szCs w:val="32"/>
        </w:rPr>
        <w:t>十</w:t>
      </w:r>
      <w:r>
        <w:rPr>
          <w:rStyle w:val="26"/>
          <w:rFonts w:hint="eastAsia" w:ascii="黑体" w:hAnsi="黑体" w:eastAsia="黑体"/>
        </w:rPr>
        <w:t>、其他重要事项的情况说明</w:t>
      </w:r>
      <w:bookmarkEnd w:id="79"/>
      <w:bookmarkEnd w:id="80"/>
    </w:p>
    <w:p>
      <w:pPr>
        <w:spacing w:line="600" w:lineRule="exact"/>
        <w:ind w:firstLine="643" w:firstLineChars="200"/>
        <w:outlineLvl w:val="2"/>
        <w:rPr>
          <w:rFonts w:ascii="仿宋" w:hAnsi="仿宋" w:eastAsia="仿宋"/>
          <w:color w:val="000000"/>
          <w:sz w:val="32"/>
          <w:szCs w:val="32"/>
        </w:rPr>
      </w:pPr>
      <w:bookmarkStart w:id="81" w:name="_Toc79163625"/>
      <w:bookmarkStart w:id="82" w:name="_Toc79163875"/>
      <w:r>
        <w:rPr>
          <w:rFonts w:hint="eastAsia" w:ascii="仿宋" w:hAnsi="仿宋" w:eastAsia="仿宋"/>
          <w:b/>
          <w:color w:val="000000"/>
          <w:sz w:val="32"/>
          <w:szCs w:val="32"/>
        </w:rPr>
        <w:t>（一）机关运行经费支出情况</w:t>
      </w:r>
      <w:bookmarkEnd w:id="81"/>
      <w:bookmarkEnd w:id="82"/>
    </w:p>
    <w:p>
      <w:pPr>
        <w:spacing w:line="576" w:lineRule="exact"/>
        <w:ind w:firstLine="800" w:firstLineChars="250"/>
        <w:outlineLvl w:val="1"/>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年，茂县</w:t>
      </w:r>
      <w:r>
        <w:rPr>
          <w:rFonts w:ascii="仿宋_GB2312" w:eastAsia="仿宋_GB2312"/>
          <w:color w:val="000000"/>
          <w:sz w:val="32"/>
          <w:szCs w:val="32"/>
        </w:rPr>
        <w:t>人力资源和社会保障局</w:t>
      </w:r>
      <w:r>
        <w:rPr>
          <w:rFonts w:hint="eastAsia" w:ascii="仿宋_GB2312" w:eastAsia="仿宋_GB2312"/>
          <w:color w:val="000000"/>
          <w:sz w:val="32"/>
          <w:szCs w:val="32"/>
        </w:rPr>
        <w:t>机关运行经费支出19.57万元，比</w:t>
      </w:r>
      <w:r>
        <w:rPr>
          <w:rFonts w:ascii="仿宋_GB2312" w:eastAsia="仿宋_GB2312"/>
          <w:color w:val="000000"/>
          <w:sz w:val="32"/>
          <w:szCs w:val="32"/>
        </w:rPr>
        <w:t>2019</w:t>
      </w:r>
      <w:r>
        <w:rPr>
          <w:rFonts w:hint="eastAsia" w:ascii="仿宋_GB2312" w:eastAsia="仿宋_GB2312"/>
          <w:color w:val="000000"/>
          <w:sz w:val="32"/>
          <w:szCs w:val="32"/>
        </w:rPr>
        <w:t>年减少34.75万元，下降63.97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ascii="仿宋_GB2312" w:eastAsia="仿宋_GB2312"/>
          <w:color w:val="000000"/>
          <w:sz w:val="32"/>
          <w:szCs w:val="32"/>
        </w:rPr>
        <w:t>为进一步弘扬艰苦奋斗、勤俭节约的优良作风，推进党政机关厉行节约反对浪费</w:t>
      </w:r>
      <w:r>
        <w:rPr>
          <w:rFonts w:hint="eastAsia" w:ascii="仿宋_GB2312" w:eastAsia="仿宋_GB2312"/>
          <w:color w:val="000000"/>
          <w:sz w:val="32"/>
          <w:szCs w:val="32"/>
        </w:rPr>
        <w:t>。</w:t>
      </w:r>
    </w:p>
    <w:bookmarkEnd w:id="73"/>
    <w:bookmarkEnd w:id="74"/>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3" w:name="_Toc15377223"/>
      <w:bookmarkStart w:id="84" w:name="_Toc79163626"/>
      <w:bookmarkStart w:id="85" w:name="_Toc79163876"/>
      <w:bookmarkStart w:id="86" w:name="_Toc15377224"/>
      <w:r>
        <w:rPr>
          <w:rFonts w:hint="eastAsia" w:ascii="仿宋" w:hAnsi="仿宋" w:eastAsia="仿宋"/>
          <w:b/>
          <w:color w:val="000000"/>
          <w:sz w:val="32"/>
          <w:szCs w:val="32"/>
        </w:rPr>
        <w:t>（二）政府采购支出情况</w:t>
      </w:r>
      <w:bookmarkEnd w:id="83"/>
      <w:bookmarkEnd w:id="84"/>
      <w:bookmarkEnd w:id="85"/>
    </w:p>
    <w:p>
      <w:pPr>
        <w:autoSpaceDE w:val="0"/>
        <w:autoSpaceDN w:val="0"/>
        <w:adjustRightInd w:val="0"/>
        <w:spacing w:line="576" w:lineRule="exact"/>
        <w:ind w:firstLine="640" w:firstLineChars="200"/>
        <w:jc w:val="left"/>
        <w:outlineLvl w:val="2"/>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20年，茂县</w:t>
      </w:r>
      <w:r>
        <w:rPr>
          <w:rFonts w:ascii="仿宋_GB2312" w:eastAsia="仿宋_GB2312"/>
          <w:color w:val="000000"/>
          <w:sz w:val="32"/>
          <w:szCs w:val="32"/>
        </w:rPr>
        <w:t>人社局无</w:t>
      </w:r>
      <w:r>
        <w:rPr>
          <w:rFonts w:hint="eastAsia" w:ascii="仿宋_GB2312" w:eastAsia="仿宋_GB2312"/>
          <w:color w:val="000000"/>
          <w:sz w:val="32"/>
          <w:szCs w:val="32"/>
        </w:rPr>
        <w:t>政府采购支出</w:t>
      </w:r>
    </w:p>
    <w:bookmarkEnd w:id="86"/>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7" w:name="_Toc79163627"/>
      <w:bookmarkStart w:id="88" w:name="_Toc79163877"/>
      <w:r>
        <w:rPr>
          <w:rFonts w:hint="eastAsia" w:ascii="仿宋" w:hAnsi="仿宋" w:eastAsia="仿宋"/>
          <w:b/>
          <w:color w:val="000000"/>
          <w:sz w:val="32"/>
          <w:szCs w:val="32"/>
        </w:rPr>
        <w:t>（三）国有资产占有使用情况</w:t>
      </w:r>
      <w:bookmarkEnd w:id="87"/>
      <w:bookmarkEnd w:id="88"/>
    </w:p>
    <w:p>
      <w:pPr>
        <w:autoSpaceDE w:val="0"/>
        <w:autoSpaceDN w:val="0"/>
        <w:adjustRightInd w:val="0"/>
        <w:spacing w:line="576"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w:t>
      </w:r>
      <w:r>
        <w:rPr>
          <w:rFonts w:ascii="仿宋_GB2312" w:eastAsia="仿宋_GB2312"/>
          <w:color w:val="000000"/>
          <w:sz w:val="32"/>
          <w:szCs w:val="32"/>
        </w:rPr>
        <w:t>人社局</w:t>
      </w:r>
      <w:r>
        <w:rPr>
          <w:rFonts w:hint="eastAsia" w:ascii="仿宋_GB2312" w:eastAsia="仿宋_GB2312"/>
          <w:color w:val="000000"/>
          <w:sz w:val="32"/>
          <w:szCs w:val="32"/>
        </w:rPr>
        <w:t>共有车辆2辆，其中：主要领导干部用车0辆、机要通信用车0辆、应急保障用车0辆、其他用车2辆，其他用车主要是用于</w:t>
      </w:r>
      <w:r>
        <w:rPr>
          <w:rFonts w:hint="eastAsia" w:ascii="仿宋_GB2312" w:eastAsia="仿宋_GB2312"/>
          <w:color w:val="000000" w:themeColor="text1"/>
          <w:sz w:val="32"/>
          <w:szCs w:val="32"/>
        </w:rPr>
        <w:t>是单位日常工作及两联一进工作下乡等。</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9" w:name="_Toc79163628"/>
      <w:bookmarkStart w:id="90" w:name="_Toc79163878"/>
      <w:r>
        <w:rPr>
          <w:rFonts w:hint="eastAsia" w:ascii="仿宋" w:hAnsi="仿宋" w:eastAsia="仿宋"/>
          <w:b/>
          <w:color w:val="000000"/>
          <w:sz w:val="32"/>
          <w:szCs w:val="32"/>
        </w:rPr>
        <w:t>（四）预算绩效管理情况</w:t>
      </w:r>
      <w:bookmarkEnd w:id="89"/>
      <w:bookmarkEnd w:id="90"/>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 w:eastAsia="仿宋_GB2312" w:cs="仿宋"/>
          <w:sz w:val="32"/>
          <w:szCs w:val="32"/>
        </w:rPr>
        <w:t>安排人社局金保网费、第一书记临岗补贴、退休人员管理工作经费、三支一扶培训费</w:t>
      </w:r>
      <w:r>
        <w:rPr>
          <w:rFonts w:hint="eastAsia" w:ascii="仿宋_GB2312" w:hAnsi="仿宋_GB2312" w:eastAsia="仿宋_GB2312" w:cs="仿宋_GB2312"/>
          <w:sz w:val="32"/>
          <w:szCs w:val="32"/>
        </w:rPr>
        <w:t>项目开展了预算事前绩效评估，对4个项目编制了绩效目标，预算执行过程中，选取3个项目开展绩效监控，年终执行完毕后，对3个项目开展了绩效目标完成情况自评。</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年部门整体支出开展绩效自评，从评价情况来看从评价情况来看从评价情况来看</w:t>
      </w:r>
      <w:r>
        <w:rPr>
          <w:rFonts w:hint="eastAsia" w:ascii="仿宋_GB2312" w:hAnsi="仿宋" w:eastAsia="仿宋_GB2312" w:cs="仿宋"/>
          <w:sz w:val="32"/>
          <w:szCs w:val="32"/>
        </w:rPr>
        <w:t>我局部门整体支出绩效评价自查自评结果良好，全年基本支出保证了部门的正常运行和日常工作的正常开展，绩效指标体系逐渐丰富和完善。按照规定向社会公开透明本年度单位部门经费及三公经费的使用情况</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r>
        <w:rPr>
          <w:rFonts w:ascii="楷体_GB2312" w:hAnsi="楷体_GB2312" w:eastAsia="楷体_GB2312" w:cs="楷体_GB2312"/>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年度部门决算中反映</w:t>
      </w:r>
      <w:r>
        <w:rPr>
          <w:rFonts w:hint="eastAsia" w:ascii="仿宋_GB2312" w:hAnsi="仿宋" w:eastAsia="仿宋_GB2312" w:cs="仿宋"/>
          <w:sz w:val="32"/>
          <w:szCs w:val="32"/>
        </w:rPr>
        <w:t xml:space="preserve"> “金保网络</w:t>
      </w:r>
      <w:r>
        <w:rPr>
          <w:rFonts w:hint="eastAsia" w:ascii="仿宋_GB2312" w:hAnsi="仿宋_GB2312" w:eastAsia="仿宋_GB2312" w:cs="仿宋_GB2312"/>
          <w:sz w:val="32"/>
          <w:szCs w:val="32"/>
        </w:rPr>
        <w:t>运行</w:t>
      </w:r>
      <w:r>
        <w:rPr>
          <w:rFonts w:hint="eastAsia" w:ascii="仿宋_GB2312" w:hAnsi="仿宋" w:eastAsia="仿宋_GB2312" w:cs="仿宋"/>
          <w:sz w:val="32"/>
          <w:szCs w:val="32"/>
        </w:rPr>
        <w:t>费”、“第一书记临岗补贴”、“退休人员管理工作经费”、“三支一扶培训费”</w:t>
      </w:r>
      <w:r>
        <w:rPr>
          <w:rFonts w:hint="eastAsia" w:ascii="仿宋_GB2312" w:hAnsi="仿宋_GB2312" w:eastAsia="仿宋_GB2312" w:cs="仿宋_GB2312"/>
          <w:sz w:val="32"/>
          <w:szCs w:val="32"/>
        </w:rPr>
        <w:t xml:space="preserve"> 4个项目绩效目标实际完成情况。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）金保网络运行费项目绩效目标完成情况综述。项目全年预算数7.2万元，执行数为7.2万元，完成预算的100%。通过项目实施，完成全县11个镇新型农村养老保险工作的数据传送、全县社保与上级工作平台数据传送。</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）退休干部活动管理费项目绩效目标完成情况综述。项目全年预算数20.1万元，执行数为9.1万元，完成预算的45.27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根据川人社发[2011]33号县处级及以下退休人员活动经费标准的通知及我县退休干部管理分工情况，科级及以下人员活动经费由我局进行预算并负责开展活动。由都江堰、郫县、成都联络点分别开展日常退休干部政治学习、娱乐活动；自治管理委员会的管理及办公费、看望生病职工；县人社局退管股每季度组织各自治管理委员会老干部进行政治学习；退管股慰问离世职工家属、看望生病职工；根据实际情况为老干部服务。</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）第一书记临岗补贴项目绩效目标完成情况综述。项目全年预算数0.84万元，执行数为0.84万元，完成预算的100%。通过项目实施，保障</w:t>
      </w:r>
      <w:r>
        <w:rPr>
          <w:rFonts w:ascii="仿宋_GB2312" w:hAnsi="仿宋_GB2312" w:eastAsia="仿宋_GB2312" w:cs="仿宋_GB2312"/>
          <w:sz w:val="32"/>
          <w:szCs w:val="32"/>
        </w:rPr>
        <w:t>第一书记在乡镇党委领导和指导下帮助建强基层组织、推动精准扶贫、为民办事服务、提升治理水平</w:t>
      </w:r>
      <w:r>
        <w:rPr>
          <w:rFonts w:hint="eastAsia" w:ascii="仿宋_GB2312" w:hAnsi="仿宋_GB2312" w:eastAsia="仿宋_GB2312" w:cs="仿宋_GB2312"/>
          <w:sz w:val="32"/>
          <w:szCs w:val="32"/>
        </w:rPr>
        <w:t>。</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 w:eastAsia="仿宋_GB2312" w:cs="仿宋"/>
          <w:sz w:val="32"/>
          <w:szCs w:val="32"/>
        </w:rPr>
        <w:t>三支一扶培训费</w:t>
      </w:r>
      <w:r>
        <w:rPr>
          <w:rFonts w:hint="eastAsia" w:ascii="仿宋_GB2312" w:hAnsi="仿宋_GB2312" w:eastAsia="仿宋_GB2312" w:cs="仿宋_GB2312"/>
          <w:sz w:val="32"/>
          <w:szCs w:val="32"/>
        </w:rPr>
        <w:t>项目绩效目标完成情况综述。项目全年预算数2.04万元，执行数为2.04万元，完成预算的100%。通过项目实施，保障了2020年高校毕业生“三支一扶“新招募人员岗前培训。</w:t>
      </w:r>
    </w:p>
    <w:p>
      <w:pPr>
        <w:spacing w:line="580" w:lineRule="exact"/>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36"/>
        <w:gridCol w:w="2450"/>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(2020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金保网络运行费用</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茂县人社局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7.2</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7.2</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7.2</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7.2</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2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8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84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2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完成全县11个镇新型农村养老保险工作的数据传送、全县社保与上级工作平台数据传送</w:t>
            </w:r>
          </w:p>
        </w:tc>
        <w:tc>
          <w:tcPr>
            <w:tcW w:w="48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完成了全县11个镇新型农村养老保险工作的数据传送、全县社保与上级工作平台数据传送</w:t>
            </w:r>
          </w:p>
        </w:tc>
      </w:tr>
      <w:tr>
        <w:tblPrEx>
          <w:tblCellMar>
            <w:top w:w="0" w:type="dxa"/>
            <w:left w:w="0" w:type="dxa"/>
            <w:bottom w:w="0" w:type="dxa"/>
            <w:right w:w="0" w:type="dxa"/>
          </w:tblCellMar>
        </w:tblPrEx>
        <w:trPr>
          <w:trHeight w:val="783"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71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数量指标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乡镇个数</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完成</w:t>
            </w:r>
            <w:r>
              <w:rPr>
                <w:rFonts w:hint="eastAsia" w:ascii="宋体" w:hAnsi="宋体" w:cs="宋体"/>
                <w:color w:val="000000"/>
                <w:sz w:val="24"/>
              </w:rPr>
              <w:t>11个乡镇金保网运行</w:t>
            </w:r>
          </w:p>
        </w:tc>
      </w:tr>
      <w:tr>
        <w:tblPrEx>
          <w:tblCellMar>
            <w:top w:w="0" w:type="dxa"/>
            <w:left w:w="0" w:type="dxa"/>
            <w:bottom w:w="0" w:type="dxa"/>
            <w:right w:w="0" w:type="dxa"/>
          </w:tblCellMar>
        </w:tblPrEx>
        <w:trPr>
          <w:trHeight w:val="66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时效指标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完成时间</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2020年1-12月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2020年1-12月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社会效益指标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拟达成效</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包括就业、失业</w:t>
            </w:r>
            <w:r>
              <w:rPr>
                <w:rFonts w:hint="eastAsia" w:ascii="宋体" w:hAnsi="宋体" w:cs="宋体"/>
                <w:color w:val="000000"/>
                <w:sz w:val="24"/>
              </w:rPr>
              <w:t>、</w:t>
            </w:r>
            <w:r>
              <w:rPr>
                <w:rFonts w:ascii="宋体" w:hAnsi="宋体" w:cs="宋体"/>
                <w:color w:val="000000"/>
                <w:sz w:val="24"/>
              </w:rPr>
              <w:t>社保和五项社会保险业务，通过信息系统将各类信息有机组合，可充分发挥社会保障体系的整体效益。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提高基金征缴、支付和管理的规范化、制度化，提高社会保险基金监管部门对基金运转的透明度和知情度，有效防止冒领养老金现象，切实防范和化解基金风险，加强基金监管力度</w:t>
            </w:r>
          </w:p>
        </w:tc>
      </w:tr>
      <w:tr>
        <w:tblPrEx>
          <w:tblCellMar>
            <w:top w:w="0" w:type="dxa"/>
            <w:left w:w="0" w:type="dxa"/>
            <w:bottom w:w="0" w:type="dxa"/>
            <w:right w:w="0" w:type="dxa"/>
          </w:tblCellMar>
        </w:tblPrEx>
        <w:trPr>
          <w:trHeight w:val="826"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满意度指标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满意度</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&gt;90%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未收到相关投诉</w:t>
            </w:r>
          </w:p>
        </w:tc>
      </w:tr>
    </w:tbl>
    <w:p>
      <w:pPr>
        <w:spacing w:line="580" w:lineRule="exact"/>
        <w:rPr>
          <w:rFonts w:ascii="楷体_GB2312" w:hAnsi="楷体_GB2312" w:eastAsia="楷体_GB2312" w:cs="楷体_GB2312"/>
          <w:sz w:val="32"/>
          <w:szCs w:val="32"/>
        </w:rPr>
      </w:pPr>
    </w:p>
    <w:tbl>
      <w:tblPr>
        <w:tblStyle w:val="12"/>
        <w:tblpPr w:leftFromText="180" w:rightFromText="180" w:vertAnchor="text" w:horzAnchor="page" w:tblpXSpec="center" w:tblpY="423"/>
        <w:tblOverlap w:val="never"/>
        <w:tblW w:w="10080" w:type="dxa"/>
        <w:jc w:val="center"/>
        <w:tblLayout w:type="fixed"/>
        <w:tblCellMar>
          <w:top w:w="0" w:type="dxa"/>
          <w:left w:w="0" w:type="dxa"/>
          <w:bottom w:w="0" w:type="dxa"/>
          <w:right w:w="0" w:type="dxa"/>
        </w:tblCellMar>
      </w:tblPr>
      <w:tblGrid>
        <w:gridCol w:w="390"/>
        <w:gridCol w:w="1367"/>
        <w:gridCol w:w="1025"/>
        <w:gridCol w:w="2336"/>
        <w:gridCol w:w="2450"/>
        <w:gridCol w:w="2512"/>
      </w:tblGrid>
      <w:tr>
        <w:tblPrEx>
          <w:tblCellMar>
            <w:top w:w="0" w:type="dxa"/>
            <w:left w:w="0" w:type="dxa"/>
            <w:bottom w:w="0" w:type="dxa"/>
            <w:right w:w="0" w:type="dxa"/>
          </w:tblCellMar>
        </w:tblPrEx>
        <w:trPr>
          <w:trHeight w:val="1034" w:hRule="atLeast"/>
          <w:jc w:val="center"/>
        </w:trPr>
        <w:tc>
          <w:tcPr>
            <w:tcW w:w="1008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(2020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29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退休干部活动管理费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29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茂县人社局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5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9.1</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5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9.1</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5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2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96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2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我县退休干部管理分工情况，科级及以下人员活动经费由我局进行预算并负责开展活动</w:t>
            </w:r>
          </w:p>
        </w:tc>
        <w:tc>
          <w:tcPr>
            <w:tcW w:w="496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都江堰、郫县、成都联络点分别开展日常退休干部政治学习、娱乐活动；自治管理委员会的管理及办公费、看望生病职工；县人社局退管股每季度组织各自治管理委员会老干部进行政治学习；退管股慰问离世职工家属、看望生病职工；根据实际情况为老干部服务</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5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数量指标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科级及以下退休人员</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1082人</w:t>
            </w:r>
          </w:p>
        </w:tc>
        <w:tc>
          <w:tcPr>
            <w:tcW w:w="25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1082人</w:t>
            </w:r>
          </w:p>
        </w:tc>
      </w:tr>
      <w:tr>
        <w:tblPrEx>
          <w:tblCellMar>
            <w:top w:w="0" w:type="dxa"/>
            <w:left w:w="0" w:type="dxa"/>
            <w:bottom w:w="0" w:type="dxa"/>
            <w:right w:w="0" w:type="dxa"/>
          </w:tblCellMar>
        </w:tblPrEx>
        <w:trPr>
          <w:trHeight w:val="86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时效指标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完成时间</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2020年1-12月</w:t>
            </w:r>
          </w:p>
        </w:tc>
        <w:tc>
          <w:tcPr>
            <w:tcW w:w="25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2020年1-12月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社会效益指标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拟达成效</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认真落实离退休人员的政治待遇和生活待遇，是做好离退休人员管理与服务</w:t>
            </w:r>
            <w:r>
              <w:fldChar w:fldCharType="begin"/>
            </w:r>
            <w:r>
              <w:instrText xml:space="preserve"> HYPERLINK "http://www.exam8.com/file/other/gongzuo/202004/4581994.html" \t "_blank" \o "工作总结" </w:instrText>
            </w:r>
            <w:r>
              <w:fldChar w:fldCharType="separate"/>
            </w:r>
            <w:r>
              <w:rPr>
                <w:rFonts w:hint="eastAsia" w:ascii="宋体" w:hAnsi="宋体" w:cs="宋体"/>
                <w:color w:val="000000"/>
                <w:kern w:val="0"/>
                <w:sz w:val="24"/>
              </w:rPr>
              <w:t>工作</w:t>
            </w:r>
            <w:r>
              <w:rPr>
                <w:rFonts w:hint="eastAsia" w:ascii="宋体" w:hAnsi="宋体" w:cs="宋体"/>
                <w:color w:val="000000"/>
                <w:kern w:val="0"/>
                <w:sz w:val="24"/>
              </w:rPr>
              <w:fldChar w:fldCharType="end"/>
            </w:r>
            <w:r>
              <w:rPr>
                <w:rFonts w:hint="eastAsia" w:ascii="宋体" w:hAnsi="宋体" w:cs="宋体"/>
                <w:color w:val="000000"/>
                <w:kern w:val="0"/>
                <w:sz w:val="24"/>
              </w:rPr>
              <w:t>的中心和根本</w:t>
            </w:r>
          </w:p>
        </w:tc>
        <w:tc>
          <w:tcPr>
            <w:tcW w:w="25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根据实际情况为老干部服务</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满意度指标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满意度</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&gt;90%</w:t>
            </w:r>
          </w:p>
        </w:tc>
        <w:tc>
          <w:tcPr>
            <w:tcW w:w="25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未收到相关投诉</w:t>
            </w:r>
          </w:p>
        </w:tc>
      </w:tr>
    </w:tbl>
    <w:p>
      <w:pPr>
        <w:spacing w:line="580" w:lineRule="exact"/>
        <w:rPr>
          <w:rFonts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36"/>
        <w:gridCol w:w="2450"/>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(2020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第一书记临岗补贴</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茂县人社局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0.84</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0.84</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0.84</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0.84</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2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8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85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2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kern w:val="0"/>
                <w:sz w:val="24"/>
              </w:rPr>
              <w:t>建强基层组织、推动精准扶贫</w:t>
            </w:r>
          </w:p>
        </w:tc>
        <w:tc>
          <w:tcPr>
            <w:tcW w:w="48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80" w:lineRule="exact"/>
              <w:ind w:firstLine="480" w:firstLineChars="200"/>
              <w:rPr>
                <w:rFonts w:ascii="宋体" w:hAnsi="宋体" w:cs="宋体"/>
                <w:color w:val="000000"/>
                <w:kern w:val="0"/>
                <w:sz w:val="24"/>
              </w:rPr>
            </w:pPr>
            <w:r>
              <w:rPr>
                <w:rFonts w:ascii="宋体" w:hAnsi="宋体" w:cs="宋体"/>
                <w:color w:val="000000"/>
                <w:kern w:val="0"/>
                <w:sz w:val="24"/>
              </w:rPr>
              <w:t>第一书记在乡镇党委领导和指导下帮助建强基层组织、推动精准扶贫、为民办事服务、提升治理水平</w:t>
            </w:r>
          </w:p>
          <w:p>
            <w:pPr>
              <w:widowControl/>
              <w:jc w:val="center"/>
              <w:textAlignment w:val="center"/>
              <w:rPr>
                <w:rFonts w:ascii="宋体" w:hAnsi="宋体" w:cs="宋体"/>
                <w:color w:val="000000"/>
                <w:kern w:val="0"/>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数量指标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单位派出第一书记人员</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1人</w:t>
            </w:r>
          </w:p>
        </w:tc>
      </w:tr>
      <w:tr>
        <w:tblPrEx>
          <w:tblCellMar>
            <w:top w:w="0" w:type="dxa"/>
            <w:left w:w="0" w:type="dxa"/>
            <w:bottom w:w="0" w:type="dxa"/>
            <w:right w:w="0" w:type="dxa"/>
          </w:tblCellMar>
        </w:tblPrEx>
        <w:trPr>
          <w:trHeight w:val="1151"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时效指标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完成时间</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2020年1-12月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2020年1-12月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社会效益指标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拟达成效</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kern w:val="0"/>
                <w:sz w:val="24"/>
              </w:rPr>
              <w:t>建强基层组织、推动精准扶贫</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第一书记在乡镇党委领导和指导下帮助建强基础组织、推动精准扶贫、为民办事服务、提升治理水平</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满意度指标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满意度</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&gt;90%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未收到相关投诉</w:t>
            </w:r>
          </w:p>
        </w:tc>
      </w:tr>
    </w:tbl>
    <w:p>
      <w:pPr>
        <w:spacing w:line="580" w:lineRule="exact"/>
        <w:ind w:left="630"/>
        <w:rPr>
          <w:rFonts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36"/>
        <w:gridCol w:w="2450"/>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(2020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三支一扶培训费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茂县人社局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2.04</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2.04</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2.04</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2.04</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2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8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85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2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对2020年高校毕业生“三支一扶“新招募人员岗前培训</w:t>
            </w:r>
          </w:p>
        </w:tc>
        <w:tc>
          <w:tcPr>
            <w:tcW w:w="48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更好的适应新的工作岗位进行的岗前培训</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数量指标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三支一扶新招募人员</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107人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107人</w:t>
            </w:r>
          </w:p>
        </w:tc>
      </w:tr>
      <w:tr>
        <w:tblPrEx>
          <w:tblCellMar>
            <w:top w:w="0" w:type="dxa"/>
            <w:left w:w="0" w:type="dxa"/>
            <w:bottom w:w="0" w:type="dxa"/>
            <w:right w:w="0" w:type="dxa"/>
          </w:tblCellMar>
        </w:tblPrEx>
        <w:trPr>
          <w:trHeight w:val="1151"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时效指标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完成时间</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2020年1-12月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2020年1-12月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社会效益指标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拟达成效</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对2020年高校毕业生“三支一扶“新招募人员岗前培训</w:t>
            </w:r>
            <w:r>
              <w:rPr>
                <w:rFonts w:ascii="宋体" w:hAnsi="宋体" w:cs="宋体"/>
                <w:color w:val="000000"/>
                <w:sz w:val="24"/>
              </w:rPr>
              <w:t xml:space="preserve"> </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更好的适应新的工作岗位进行的岗前培训</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满意度指标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满意度</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&gt;90%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未收到相关投诉</w:t>
            </w:r>
          </w:p>
        </w:tc>
      </w:tr>
    </w:tbl>
    <w:p>
      <w:pPr>
        <w:spacing w:line="580" w:lineRule="exact"/>
        <w:ind w:left="630"/>
        <w:rPr>
          <w:rFonts w:ascii="仿宋_GB2312" w:hAnsi="仿宋_GB2312" w:eastAsia="仿宋_GB2312" w:cs="仿宋_GB2312"/>
          <w:sz w:val="32"/>
          <w:szCs w:val="32"/>
        </w:rPr>
      </w:pPr>
    </w:p>
    <w:p>
      <w:pPr>
        <w:spacing w:line="580" w:lineRule="exact"/>
        <w:ind w:left="630"/>
        <w:rPr>
          <w:rFonts w:ascii="楷体_GB2312" w:hAnsi="楷体_GB2312" w:eastAsia="楷体_GB2312" w:cs="楷体_GB2312"/>
          <w:sz w:val="32"/>
          <w:szCs w:val="32"/>
        </w:rPr>
      </w:pP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年部门整体支出绩效评价情况开展自评，《茂县</w:t>
      </w:r>
      <w:r>
        <w:rPr>
          <w:rFonts w:ascii="仿宋_GB2312" w:hAnsi="仿宋_GB2312" w:eastAsia="仿宋_GB2312" w:cs="仿宋_GB2312"/>
          <w:sz w:val="32"/>
          <w:szCs w:val="32"/>
        </w:rPr>
        <w:t>人力资源和社会保障局2020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金保网络运行费用项目、退休干部活动管理费项目、第一书记临岗补贴项目、三支一扶培训费开展了绩效评价，《金保网络运行费用项目2020年绩效评价报告》、《退休干部活动管理费项目2020年绩效评价报告》、《第一书记临岗项目2020年绩效评价报告》、《三支一扶培训费项目2020年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5"/>
          <w:rFonts w:ascii="黑体" w:hAnsi="黑体" w:eastAsia="黑体"/>
          <w:b w:val="0"/>
        </w:rPr>
      </w:pPr>
      <w:bookmarkStart w:id="91" w:name="_Toc15396613"/>
      <w:bookmarkStart w:id="92" w:name="_Toc79163879"/>
      <w:bookmarkStart w:id="93" w:name="_Toc15377225"/>
      <w:bookmarkStart w:id="94" w:name="_Toc79163629"/>
      <w:r>
        <w:rPr>
          <w:rFonts w:hint="eastAsia" w:ascii="黑体" w:hAnsi="黑体" w:eastAsia="黑体"/>
          <w:color w:val="000000"/>
          <w:sz w:val="44"/>
          <w:szCs w:val="44"/>
        </w:rPr>
        <w:t>名</w:t>
      </w:r>
      <w:r>
        <w:rPr>
          <w:rStyle w:val="25"/>
          <w:rFonts w:hint="eastAsia" w:ascii="黑体" w:hAnsi="黑体" w:eastAsia="黑体"/>
        </w:rPr>
        <w:t>词解释</w:t>
      </w:r>
      <w:bookmarkEnd w:id="91"/>
      <w:bookmarkEnd w:id="92"/>
      <w:bookmarkEnd w:id="93"/>
      <w:bookmarkEnd w:id="94"/>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sz w:val="32"/>
          <w:szCs w:val="32"/>
        </w:rPr>
      </w:pPr>
      <w:r>
        <w:rPr>
          <w:rFonts w:ascii="仿宋_GB2312" w:eastAsia="仿宋_GB2312"/>
          <w:color w:val="000000"/>
          <w:sz w:val="32"/>
          <w:szCs w:val="32"/>
        </w:rPr>
        <w:t>9.</w:t>
      </w:r>
      <w:r>
        <w:rPr>
          <w:rFonts w:hint="eastAsia" w:ascii="仿宋_GB2312" w:eastAsia="仿宋_GB2312"/>
          <w:color w:val="000000"/>
          <w:sz w:val="32"/>
          <w:szCs w:val="32"/>
        </w:rPr>
        <w:t xml:space="preserve"> 一般公共服务（</w:t>
      </w:r>
      <w:r>
        <w:rPr>
          <w:rFonts w:hint="eastAsia" w:ascii="仿宋_GB2312" w:eastAsia="仿宋_GB2312"/>
          <w:sz w:val="32"/>
          <w:szCs w:val="32"/>
        </w:rPr>
        <w:t>类）</w:t>
      </w:r>
      <w:r>
        <w:rPr>
          <w:rFonts w:hint="eastAsia" w:ascii="仿宋_GB2312" w:eastAsia="仿宋_GB2312"/>
          <w:color w:val="000000"/>
          <w:sz w:val="32"/>
          <w:szCs w:val="32"/>
        </w:rPr>
        <w:t>人力</w:t>
      </w:r>
      <w:r>
        <w:rPr>
          <w:rFonts w:ascii="仿宋_GB2312" w:eastAsia="仿宋_GB2312"/>
          <w:color w:val="000000"/>
          <w:sz w:val="32"/>
          <w:szCs w:val="32"/>
        </w:rPr>
        <w:t>资源事务</w:t>
      </w:r>
      <w:r>
        <w:rPr>
          <w:rFonts w:hint="eastAsia" w:ascii="仿宋_GB2312" w:eastAsia="仿宋_GB2312"/>
          <w:color w:val="000000"/>
          <w:sz w:val="32"/>
          <w:szCs w:val="32"/>
        </w:rPr>
        <w:t>（款）行政</w:t>
      </w:r>
      <w:r>
        <w:rPr>
          <w:rFonts w:ascii="仿宋_GB2312" w:eastAsia="仿宋_GB2312"/>
          <w:color w:val="000000"/>
          <w:sz w:val="32"/>
          <w:szCs w:val="32"/>
        </w:rPr>
        <w:t>运行</w:t>
      </w:r>
      <w:r>
        <w:rPr>
          <w:rFonts w:hint="eastAsia" w:ascii="仿宋_GB2312" w:eastAsia="仿宋_GB2312"/>
          <w:color w:val="000000"/>
          <w:sz w:val="32"/>
          <w:szCs w:val="32"/>
        </w:rPr>
        <w:t>（项）：指</w:t>
      </w:r>
      <w:r>
        <w:rPr>
          <w:rFonts w:hint="eastAsia" w:ascii="仿宋_GB2312" w:eastAsia="仿宋_GB2312"/>
          <w:sz w:val="32"/>
          <w:szCs w:val="32"/>
        </w:rPr>
        <w:t>主要用于单位行政人员经费和日常公用经费等基本支出和军转干部医保、慰问等费用，一般公共服务（类）人力资源事务（款）一般行政管理事务（项）：指事业人员经费和日常公用经费等基本支出。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sz w:val="32"/>
          <w:szCs w:val="32"/>
        </w:rPr>
        <w:t>（类）行政事业单位离退休（款）机关事业单位基本养老保险缴费支出（项）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sz w:val="32"/>
          <w:szCs w:val="32"/>
        </w:rPr>
        <w:t>单位缴纳基本养老保险费，社会保障和就业支出（类）行政事业单位离退休（款）机关事业单位职业年金缴费支出（项）：指单位缴纳职业年金</w:t>
      </w:r>
      <w:r>
        <w:rPr>
          <w:rFonts w:hint="eastAsia" w:ascii="仿宋_GB2312" w:eastAsia="仿宋_GB2312"/>
          <w:color w:val="000000"/>
          <w:sz w:val="32"/>
          <w:szCs w:val="32"/>
        </w:rPr>
        <w:t>。</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1</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Fonts w:hint="eastAsia" w:ascii="仿宋_GB2312" w:eastAsia="仿宋_GB2312"/>
          <w:sz w:val="32"/>
          <w:szCs w:val="32"/>
        </w:rPr>
        <w:t>（类）行政事业单位医疗（款）行政单位医疗</w:t>
      </w:r>
      <w:r>
        <w:rPr>
          <w:rFonts w:hint="eastAsia" w:ascii="仿宋_GB2312" w:eastAsia="仿宋_GB2312"/>
          <w:color w:val="000000"/>
          <w:sz w:val="32"/>
          <w:szCs w:val="32"/>
        </w:rPr>
        <w:t>（项）：指</w:t>
      </w:r>
      <w:r>
        <w:rPr>
          <w:rFonts w:hint="eastAsia" w:ascii="仿宋_GB2312" w:eastAsia="仿宋_GB2312"/>
          <w:sz w:val="32"/>
          <w:szCs w:val="32"/>
        </w:rPr>
        <w:t>单位行政人员缴纳基本医疗保险</w:t>
      </w:r>
      <w:r>
        <w:rPr>
          <w:rFonts w:hint="eastAsia" w:ascii="仿宋_GB2312" w:eastAsia="仿宋_GB2312"/>
          <w:color w:val="000000"/>
          <w:sz w:val="32"/>
          <w:szCs w:val="32"/>
        </w:rPr>
        <w:t>，</w:t>
      </w:r>
      <w:r>
        <w:rPr>
          <w:rFonts w:hint="eastAsia" w:ascii="仿宋_GB2312" w:eastAsia="仿宋_GB2312"/>
          <w:sz w:val="32"/>
          <w:szCs w:val="32"/>
        </w:rPr>
        <w:t>卫生健康支出（类）行政事业单位医疗（款）事业单位医疗（项）：指事业单位缴纳基本医疗保险。</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住房保障（类）住房改革（款）住房公积金（项）：指单位为职工缴纳住房公积金，住房保障（类）住房改革（款）购房补贴（项）：指财政支付退休职工购房补贴。</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15</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16</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hAnsi="黑体" w:eastAsia="黑体"/>
          <w:color w:val="000000"/>
          <w:sz w:val="44"/>
          <w:szCs w:val="44"/>
        </w:rPr>
      </w:pPr>
      <w:bookmarkStart w:id="95" w:name="_Toc79163880"/>
      <w:bookmarkStart w:id="96" w:name="_Toc79163630"/>
      <w:bookmarkStart w:id="97" w:name="_Toc15396614"/>
      <w:bookmarkStart w:id="98" w:name="_Toc15377226"/>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Style w:val="25"/>
          <w:rFonts w:ascii="黑体" w:hAnsi="黑体" w:eastAsia="黑体"/>
          <w:b w:val="0"/>
        </w:rPr>
      </w:pPr>
      <w:r>
        <w:rPr>
          <w:rStyle w:val="25"/>
          <w:rFonts w:hint="eastAsia" w:ascii="黑体" w:hAnsi="黑体"/>
        </w:rPr>
        <w:t>第</w:t>
      </w:r>
      <w:r>
        <w:rPr>
          <w:rStyle w:val="25"/>
          <w:rFonts w:hint="eastAsia" w:ascii="黑体" w:hAnsi="黑体" w:eastAsia="黑体"/>
        </w:rPr>
        <w:t>四部分</w:t>
      </w:r>
      <w:r>
        <w:rPr>
          <w:rStyle w:val="25"/>
          <w:rFonts w:ascii="黑体" w:hAnsi="黑体" w:eastAsia="黑体"/>
        </w:rPr>
        <w:t xml:space="preserve"> </w:t>
      </w:r>
      <w:r>
        <w:rPr>
          <w:rStyle w:val="25"/>
          <w:rFonts w:hint="eastAsia" w:ascii="黑体" w:hAnsi="黑体" w:eastAsia="黑体"/>
        </w:rPr>
        <w:t>附件</w:t>
      </w:r>
      <w:bookmarkEnd w:id="95"/>
      <w:bookmarkEnd w:id="96"/>
      <w:bookmarkEnd w:id="97"/>
    </w:p>
    <w:p>
      <w:pPr>
        <w:spacing w:line="600" w:lineRule="exact"/>
        <w:jc w:val="left"/>
        <w:outlineLvl w:val="0"/>
        <w:rPr>
          <w:rFonts w:ascii="方正小标宋简体" w:hAnsi="方正小标宋简体" w:eastAsia="方正小标宋简体" w:cs="方正小标宋简体"/>
          <w:sz w:val="32"/>
          <w:szCs w:val="32"/>
        </w:rPr>
      </w:pPr>
      <w:bookmarkStart w:id="99" w:name="_Toc79163631"/>
      <w:bookmarkStart w:id="100" w:name="_Toc79163881"/>
      <w:r>
        <w:rPr>
          <w:rFonts w:hint="eastAsia" w:ascii="黑体" w:hAnsi="黑体" w:eastAsia="黑体" w:cs="黑体"/>
          <w:sz w:val="32"/>
          <w:szCs w:val="32"/>
        </w:rPr>
        <w:t>附件</w:t>
      </w:r>
      <w:r>
        <w:rPr>
          <w:rFonts w:ascii="黑体" w:hAnsi="黑体" w:eastAsia="黑体" w:cs="黑体"/>
          <w:sz w:val="32"/>
          <w:szCs w:val="32"/>
        </w:rPr>
        <w:t>1</w:t>
      </w:r>
      <w:bookmarkEnd w:id="99"/>
      <w:bookmarkEnd w:id="100"/>
    </w:p>
    <w:p>
      <w:pPr>
        <w:spacing w:line="580" w:lineRule="exact"/>
        <w:jc w:val="center"/>
        <w:rPr>
          <w:rFonts w:ascii="方正小标宋简体" w:hAnsi="方正小标宋简体" w:eastAsia="方正小标宋简体" w:cs="方正小标宋简体"/>
          <w:sz w:val="44"/>
          <w:szCs w:val="44"/>
        </w:rPr>
      </w:pPr>
    </w:p>
    <w:p>
      <w:pPr>
        <w:spacing w:line="576" w:lineRule="exact"/>
        <w:jc w:val="center"/>
        <w:outlineLvl w:val="0"/>
        <w:rPr>
          <w:rFonts w:ascii="方正小标宋简体" w:hAnsi="宋体" w:eastAsia="方正小标宋简体" w:cstheme="majorBidi"/>
          <w:color w:val="000000"/>
          <w:sz w:val="44"/>
          <w:szCs w:val="44"/>
        </w:rPr>
      </w:pPr>
      <w:r>
        <w:rPr>
          <w:rFonts w:hint="eastAsia" w:ascii="方正小标宋简体" w:hAnsi="宋体" w:eastAsia="方正小标宋简体" w:cstheme="majorBidi"/>
          <w:color w:val="000000"/>
          <w:sz w:val="44"/>
          <w:szCs w:val="44"/>
        </w:rPr>
        <w:t>茂县人力资源和社会保障局部门</w:t>
      </w:r>
    </w:p>
    <w:p>
      <w:pPr>
        <w:spacing w:line="576" w:lineRule="exact"/>
        <w:jc w:val="center"/>
        <w:outlineLvl w:val="0"/>
        <w:rPr>
          <w:rFonts w:ascii="方正小标宋简体" w:hAnsi="方正小标宋简体" w:eastAsia="方正小标宋简体" w:cs="方正小标宋简体"/>
          <w:sz w:val="44"/>
          <w:szCs w:val="44"/>
        </w:rPr>
      </w:pPr>
      <w:r>
        <w:rPr>
          <w:rFonts w:hint="eastAsia" w:ascii="方正小标宋简体" w:hAnsi="宋体" w:eastAsia="方正小标宋简体" w:cstheme="majorBidi"/>
          <w:color w:val="000000"/>
          <w:sz w:val="44"/>
          <w:szCs w:val="44"/>
        </w:rPr>
        <w:t>20</w:t>
      </w:r>
      <w:r>
        <w:rPr>
          <w:rFonts w:hint="eastAsia" w:ascii="方正小标宋简体" w:hAnsi="宋体" w:eastAsia="方正小标宋简体" w:cstheme="majorBidi"/>
          <w:color w:val="000000"/>
          <w:sz w:val="44"/>
          <w:szCs w:val="44"/>
          <w:lang w:val="en-US" w:eastAsia="zh-CN"/>
        </w:rPr>
        <w:t>20</w:t>
      </w:r>
      <w:r>
        <w:rPr>
          <w:rFonts w:hint="eastAsia" w:ascii="方正小标宋简体" w:hAnsi="宋体" w:eastAsia="方正小标宋简体" w:cstheme="majorBidi"/>
          <w:color w:val="000000"/>
          <w:sz w:val="44"/>
          <w:szCs w:val="44"/>
        </w:rPr>
        <w:t>年部门整体支出绩效评价报</w:t>
      </w:r>
      <w:r>
        <w:rPr>
          <w:rFonts w:hint="eastAsia" w:ascii="方正小标宋简体" w:hAnsi="方正小标宋简体" w:eastAsia="方正小标宋简体" w:cs="方正小标宋简体"/>
          <w:sz w:val="44"/>
          <w:szCs w:val="44"/>
        </w:rPr>
        <w:t>告</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pStyle w:val="31"/>
        <w:spacing w:line="576" w:lineRule="exact"/>
        <w:ind w:firstLine="640" w:firstLineChars="200"/>
        <w:rPr>
          <w:rFonts w:ascii="黑体" w:hAnsi="黑体" w:eastAsia="黑体"/>
          <w:sz w:val="32"/>
          <w:szCs w:val="32"/>
        </w:rPr>
      </w:pPr>
      <w:r>
        <w:rPr>
          <w:rFonts w:hint="eastAsia" w:ascii="黑体" w:hAnsi="黑体" w:eastAsia="黑体"/>
          <w:sz w:val="32"/>
          <w:szCs w:val="32"/>
        </w:rPr>
        <w:t>一、单位概况</w:t>
      </w:r>
    </w:p>
    <w:p>
      <w:pPr>
        <w:pStyle w:val="31"/>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（一）机构组成</w:t>
      </w:r>
      <w:bookmarkStart w:id="149" w:name="_GoBack"/>
      <w:bookmarkEnd w:id="149"/>
    </w:p>
    <w:p>
      <w:pPr>
        <w:spacing w:line="576" w:lineRule="exact"/>
        <w:ind w:firstLine="960" w:firstLineChars="300"/>
        <w:rPr>
          <w:rFonts w:ascii="仿宋" w:hAnsi="仿宋" w:eastAsia="仿宋" w:cs="仿宋_GB2312"/>
          <w:sz w:val="32"/>
          <w:szCs w:val="32"/>
        </w:rPr>
      </w:pPr>
      <w:r>
        <w:rPr>
          <w:rFonts w:hint="eastAsia" w:ascii="仿宋_GB2312" w:eastAsia="仿宋_GB2312"/>
          <w:sz w:val="32"/>
          <w:szCs w:val="32"/>
        </w:rPr>
        <w:t>根据《茂县机构改革方案》（茂委</w:t>
      </w:r>
      <w:r>
        <w:rPr>
          <w:rFonts w:hint="eastAsia" w:ascii="仿宋_GB2312" w:hAnsi="宋体" w:eastAsia="仿宋_GB2312"/>
          <w:sz w:val="32"/>
          <w:szCs w:val="32"/>
        </w:rPr>
        <w:t>〔2019〕10号</w:t>
      </w:r>
      <w:r>
        <w:rPr>
          <w:rFonts w:hint="eastAsia" w:ascii="仿宋_GB2312" w:eastAsia="仿宋_GB2312"/>
          <w:sz w:val="32"/>
          <w:szCs w:val="32"/>
        </w:rPr>
        <w:t>）和《关于&lt;茂县机构改革方案&gt;的实施意见》（茂机改</w:t>
      </w:r>
      <w:r>
        <w:rPr>
          <w:rFonts w:hint="eastAsia" w:ascii="仿宋_GB2312" w:hAnsi="宋体" w:eastAsia="仿宋_GB2312"/>
          <w:sz w:val="32"/>
          <w:szCs w:val="32"/>
        </w:rPr>
        <w:t>〔2019〕1号</w:t>
      </w:r>
      <w:r>
        <w:rPr>
          <w:rFonts w:hint="eastAsia" w:ascii="仿宋_GB2312" w:eastAsia="仿宋_GB2312"/>
          <w:sz w:val="32"/>
          <w:szCs w:val="32"/>
        </w:rPr>
        <w:t>），</w:t>
      </w:r>
      <w:r>
        <w:rPr>
          <w:rFonts w:hint="eastAsia" w:ascii="仿宋_GB2312" w:eastAsia="仿宋_GB2312"/>
          <w:color w:val="000000"/>
          <w:sz w:val="32"/>
          <w:szCs w:val="32"/>
        </w:rPr>
        <w:t>设立茂县人力资源和社会保障局，为政府工作部门。</w:t>
      </w:r>
    </w:p>
    <w:p>
      <w:pPr>
        <w:spacing w:line="576" w:lineRule="exact"/>
        <w:ind w:firstLine="640" w:firstLineChars="200"/>
        <w:rPr>
          <w:rFonts w:ascii="仿宋" w:hAnsi="仿宋" w:eastAsia="仿宋" w:cs="仿宋_GB2312"/>
          <w:sz w:val="32"/>
          <w:szCs w:val="32"/>
        </w:rPr>
      </w:pPr>
      <w:r>
        <w:rPr>
          <w:rFonts w:ascii="仿宋" w:hAnsi="仿宋" w:eastAsia="仿宋" w:cs="仿宋_GB2312"/>
          <w:sz w:val="32"/>
          <w:szCs w:val="32"/>
        </w:rPr>
        <w:t>（二）机构职能</w:t>
      </w:r>
    </w:p>
    <w:p>
      <w:pPr>
        <w:spacing w:line="576" w:lineRule="exact"/>
        <w:ind w:firstLine="640" w:firstLineChars="200"/>
        <w:rPr>
          <w:rFonts w:ascii="仿宋_GB2312" w:eastAsia="仿宋_GB2312"/>
          <w:kern w:val="0"/>
          <w:sz w:val="32"/>
          <w:szCs w:val="32"/>
        </w:rPr>
      </w:pPr>
      <w:r>
        <w:rPr>
          <w:rFonts w:hint="eastAsia" w:ascii="仿宋_GB2312" w:eastAsia="仿宋_GB2312"/>
          <w:kern w:val="0"/>
          <w:sz w:val="32"/>
          <w:szCs w:val="32"/>
        </w:rPr>
        <w:t>1.贯彻落实人力资源和社会保障法律、法规、规章和方针政策，拟订执行全县人力资源和社会保障事业发展规划，起草相关规范性文件草案，并组织实施和监督检查。</w:t>
      </w:r>
    </w:p>
    <w:p>
      <w:pPr>
        <w:spacing w:line="576" w:lineRule="exact"/>
        <w:ind w:firstLine="640" w:firstLineChars="200"/>
        <w:rPr>
          <w:rFonts w:ascii="仿宋_GB2312" w:eastAsia="仿宋_GB2312"/>
          <w:kern w:val="0"/>
          <w:sz w:val="32"/>
          <w:szCs w:val="32"/>
        </w:rPr>
      </w:pPr>
      <w:r>
        <w:rPr>
          <w:rFonts w:hint="eastAsia" w:ascii="仿宋_GB2312" w:eastAsia="仿宋_GB2312"/>
          <w:kern w:val="0"/>
          <w:sz w:val="32"/>
          <w:szCs w:val="32"/>
        </w:rPr>
        <w:t>2.贯彻落实人力资源市场发展规划、人力资源流动政策，建立全县统一规范的人力资源市场，促进人力资源合理流动、有效配置。</w:t>
      </w:r>
    </w:p>
    <w:p>
      <w:pPr>
        <w:spacing w:line="576" w:lineRule="exact"/>
        <w:ind w:firstLine="640" w:firstLineChars="200"/>
        <w:rPr>
          <w:rFonts w:ascii="仿宋_GB2312" w:eastAsia="仿宋_GB2312"/>
          <w:kern w:val="0"/>
          <w:sz w:val="32"/>
          <w:szCs w:val="32"/>
        </w:rPr>
      </w:pPr>
      <w:r>
        <w:rPr>
          <w:rFonts w:hint="eastAsia" w:ascii="仿宋_GB2312" w:eastAsia="仿宋_GB2312"/>
          <w:kern w:val="0"/>
          <w:sz w:val="32"/>
          <w:szCs w:val="32"/>
        </w:rPr>
        <w:t>3.负责促进就业工作。统筹全县就业发展规划、政策和措施，完善公共就业创业服务体系，组织落实创业、就业援助制度，完善职业资格制度，拟订落实职业介绍机构的管理办法并组织实施，统筹建立面向城乡劳动者的职业培训制度，牵头贯彻落实高校毕业生就业创业政策。</w:t>
      </w:r>
    </w:p>
    <w:p>
      <w:pPr>
        <w:spacing w:line="576" w:lineRule="exact"/>
        <w:rPr>
          <w:rFonts w:ascii="仿宋_GB2312" w:eastAsia="仿宋_GB2312"/>
          <w:kern w:val="0"/>
          <w:sz w:val="32"/>
          <w:szCs w:val="32"/>
        </w:rPr>
      </w:pPr>
      <w:r>
        <w:rPr>
          <w:rFonts w:hint="eastAsia" w:ascii="仿宋_GB2312" w:eastAsia="仿宋_GB2312"/>
          <w:kern w:val="0"/>
          <w:sz w:val="32"/>
          <w:szCs w:val="32"/>
        </w:rPr>
        <w:t>　　4.统筹推进建立覆盖城乡的社会保障体系。贯彻落实养老保险全国统筹办法和全国统一的养老、失业、工伤保险关系转续办法；统筹执行全县相关社会保险及补充保险基金支付、管理、运营和监督办法；编制全县养老、失业、工伤等相关社会保险基金预决算草案。会同有关部门实施全民参保计划。贯彻落实人力资源和社会保障信息化建设总体规划、年度计划，组织实施相关制度、标准和规范。指导、督促企业参加工伤保险。</w:t>
      </w:r>
    </w:p>
    <w:p>
      <w:pPr>
        <w:spacing w:line="576" w:lineRule="exact"/>
        <w:rPr>
          <w:rFonts w:ascii="仿宋_GB2312" w:eastAsia="仿宋_GB2312"/>
          <w:kern w:val="0"/>
          <w:sz w:val="32"/>
          <w:szCs w:val="32"/>
        </w:rPr>
      </w:pPr>
      <w:r>
        <w:rPr>
          <w:rFonts w:hint="eastAsia" w:ascii="仿宋_GB2312" w:eastAsia="仿宋_GB2312"/>
          <w:kern w:val="0"/>
          <w:sz w:val="32"/>
          <w:szCs w:val="32"/>
        </w:rPr>
        <w:t>　　5.负责就业、失业和相关社会保险基金预测预警和信息引导，实施预防、调节和控制，保持就业形势稳定和相关社会保险基金总体收支平衡。</w:t>
      </w:r>
    </w:p>
    <w:p>
      <w:pPr>
        <w:spacing w:line="576" w:lineRule="exact"/>
        <w:rPr>
          <w:rFonts w:ascii="仿宋_GB2312" w:eastAsia="仿宋_GB2312"/>
          <w:kern w:val="0"/>
          <w:sz w:val="32"/>
          <w:szCs w:val="32"/>
        </w:rPr>
      </w:pPr>
      <w:r>
        <w:rPr>
          <w:rFonts w:hint="eastAsia" w:ascii="仿宋_GB2312" w:eastAsia="仿宋_GB2312"/>
          <w:kern w:val="0"/>
          <w:sz w:val="32"/>
          <w:szCs w:val="32"/>
        </w:rPr>
        <w:t>　　6.统筹贯彻劳动人事争议调解仲裁制度和劳动关系政策并组织和监督实施，完善劳动关系协调机制，贯彻职工工作时间、休息休假和假期制度，落实消除非法使用童工政策和女工、未成年工的特殊劳动保护政策，</w:t>
      </w:r>
      <w:r>
        <w:rPr>
          <w:rFonts w:hint="eastAsia" w:ascii="仿宋_GB2312" w:eastAsia="仿宋_GB2312"/>
          <w:sz w:val="32"/>
          <w:szCs w:val="32"/>
        </w:rPr>
        <w:t>依法督促用人单位在劳动用工、合同签订与履约时，载明劳动保护、劳动条件和职业危害防护等条款。</w:t>
      </w:r>
      <w:r>
        <w:rPr>
          <w:rFonts w:hint="eastAsia" w:ascii="仿宋_GB2312" w:eastAsia="仿宋_GB2312"/>
          <w:kern w:val="0"/>
          <w:sz w:val="32"/>
          <w:szCs w:val="32"/>
        </w:rPr>
        <w:t>组织实施劳动保障监察，协调劳动者维权工作，依法查处重大案件。</w:t>
      </w:r>
    </w:p>
    <w:p>
      <w:pPr>
        <w:spacing w:line="576" w:lineRule="exact"/>
        <w:ind w:firstLine="640" w:firstLineChars="200"/>
        <w:rPr>
          <w:rFonts w:ascii="仿宋_GB2312" w:eastAsia="仿宋_GB2312"/>
          <w:sz w:val="32"/>
          <w:szCs w:val="32"/>
        </w:rPr>
      </w:pPr>
      <w:r>
        <w:rPr>
          <w:rFonts w:hint="eastAsia" w:ascii="仿宋_GB2312" w:eastAsia="仿宋_GB2312"/>
          <w:kern w:val="0"/>
          <w:sz w:val="32"/>
          <w:szCs w:val="32"/>
        </w:rPr>
        <w:t>7.</w:t>
      </w:r>
      <w:r>
        <w:rPr>
          <w:rFonts w:hint="eastAsia" w:ascii="仿宋_GB2312" w:eastAsia="仿宋_GB2312"/>
          <w:sz w:val="32"/>
          <w:szCs w:val="32"/>
        </w:rPr>
        <w:t>牵头推进深化职称制度改革，执行专业技术人员管理、继续教育和博士后管理等政策，负责专业技术人才选拔和培养工作。组织实施技能人才培养、评价、使用和激励制度。贯彻落实职业资格制度以及职业技能多元化评价政策。指导、监督各类技工学校、民办职业培训机构按国家和省、州有关规定履行安全管理责任。</w:t>
      </w:r>
    </w:p>
    <w:p>
      <w:pPr>
        <w:spacing w:line="576" w:lineRule="exact"/>
        <w:ind w:firstLine="640" w:firstLineChars="200"/>
        <w:rPr>
          <w:rFonts w:ascii="仿宋_GB2312" w:eastAsia="仿宋_GB2312"/>
          <w:kern w:val="0"/>
          <w:sz w:val="32"/>
          <w:szCs w:val="32"/>
        </w:rPr>
      </w:pPr>
      <w:r>
        <w:rPr>
          <w:rFonts w:hint="eastAsia" w:ascii="仿宋_GB2312" w:eastAsia="仿宋_GB2312"/>
          <w:sz w:val="32"/>
          <w:szCs w:val="32"/>
        </w:rPr>
        <w:t>8.会同有关部门负责事业单位人事制度改革，按照管理权限负责规范事业单位岗位设置、公开招聘、聘用合同等人事综合管理工作，落实规范事业单位工作人员和机关工勤人员管理政策，将安全生产及环境保护责任履行情况作为事业单位工作人员奖惩、考核的重要内容。</w:t>
      </w:r>
    </w:p>
    <w:p>
      <w:pPr>
        <w:spacing w:line="576" w:lineRule="exact"/>
        <w:ind w:firstLine="640"/>
        <w:rPr>
          <w:rFonts w:ascii="仿宋_GB2312" w:eastAsia="仿宋_GB2312"/>
          <w:kern w:val="0"/>
          <w:sz w:val="32"/>
          <w:szCs w:val="32"/>
        </w:rPr>
      </w:pPr>
      <w:r>
        <w:rPr>
          <w:rFonts w:hint="eastAsia" w:ascii="仿宋_GB2312" w:eastAsia="仿宋_GB2312"/>
          <w:kern w:val="0"/>
          <w:sz w:val="32"/>
          <w:szCs w:val="32"/>
        </w:rPr>
        <w:t>9.组织实施国家表彰奖励制度，综合管理政府表彰奖励工作，承担评比达标表彰等工作，根据授权承办以县委、县政府名义开展的县级表彰奖励活动。承办提请县人大常委会和县政府决定的人事任免事项。</w:t>
      </w:r>
    </w:p>
    <w:p>
      <w:pPr>
        <w:spacing w:line="576" w:lineRule="exact"/>
        <w:ind w:firstLine="640"/>
        <w:rPr>
          <w:rFonts w:ascii="仿宋_GB2312" w:eastAsia="仿宋_GB2312"/>
          <w:kern w:val="0"/>
          <w:sz w:val="32"/>
          <w:szCs w:val="32"/>
        </w:rPr>
      </w:pPr>
      <w:r>
        <w:rPr>
          <w:rFonts w:hint="eastAsia" w:ascii="仿宋_GB2312" w:eastAsia="仿宋_GB2312"/>
          <w:kern w:val="0"/>
          <w:sz w:val="32"/>
          <w:szCs w:val="32"/>
        </w:rPr>
        <w:t>10.</w:t>
      </w:r>
      <w:r>
        <w:rPr>
          <w:rFonts w:hint="eastAsia" w:ascii="仿宋_GB2312" w:eastAsia="仿宋_GB2312"/>
          <w:sz w:val="32"/>
          <w:szCs w:val="32"/>
        </w:rPr>
        <w:t>会同有关部门执行事业单位人员工资收入分配政策，建立企事业单位人员工资决定、正常增长和支付保障机制。贯彻执行企事业单位人员福利和退休政策。</w:t>
      </w:r>
    </w:p>
    <w:p>
      <w:pPr>
        <w:spacing w:line="576" w:lineRule="exact"/>
        <w:ind w:firstLine="640" w:firstLineChars="200"/>
        <w:rPr>
          <w:rFonts w:ascii="仿宋_GB2312" w:eastAsia="仿宋_GB2312"/>
          <w:kern w:val="0"/>
          <w:sz w:val="32"/>
          <w:szCs w:val="32"/>
        </w:rPr>
      </w:pPr>
      <w:r>
        <w:rPr>
          <w:rFonts w:hint="eastAsia" w:ascii="仿宋_GB2312" w:eastAsia="仿宋_GB2312"/>
          <w:kern w:val="0"/>
          <w:sz w:val="32"/>
          <w:szCs w:val="32"/>
        </w:rPr>
        <w:t>11.会同有关部门拟订落实农民工工作综合性规划，推动相关政策的落实，协调解决重点难点问题，维护农民工合法权益。</w:t>
      </w:r>
      <w:r>
        <w:rPr>
          <w:rFonts w:hint="eastAsia" w:ascii="仿宋_GB2312" w:eastAsia="仿宋_GB2312"/>
          <w:sz w:val="32"/>
          <w:szCs w:val="32"/>
        </w:rPr>
        <w:t>负责将安全生产纳入农民工技能培训内容。</w:t>
      </w:r>
    </w:p>
    <w:p>
      <w:pPr>
        <w:spacing w:line="576" w:lineRule="exact"/>
        <w:ind w:firstLine="640" w:firstLineChars="200"/>
        <w:rPr>
          <w:rFonts w:ascii="仿宋_GB2312" w:eastAsia="仿宋_GB2312"/>
          <w:kern w:val="0"/>
          <w:sz w:val="32"/>
          <w:szCs w:val="32"/>
        </w:rPr>
      </w:pPr>
      <w:r>
        <w:rPr>
          <w:rFonts w:hint="eastAsia" w:ascii="仿宋_GB2312" w:eastAsia="仿宋_GB2312"/>
          <w:kern w:val="0"/>
          <w:sz w:val="32"/>
          <w:szCs w:val="32"/>
        </w:rPr>
        <w:t>12.负责人力资源和社会保障领域的对外交流与合作工作。</w:t>
      </w:r>
    </w:p>
    <w:p>
      <w:pPr>
        <w:spacing w:line="576" w:lineRule="exact"/>
        <w:ind w:firstLine="640" w:firstLineChars="200"/>
        <w:rPr>
          <w:rFonts w:ascii="仿宋_GB2312" w:eastAsia="仿宋_GB2312"/>
          <w:kern w:val="0"/>
          <w:sz w:val="32"/>
          <w:szCs w:val="32"/>
        </w:rPr>
      </w:pPr>
      <w:r>
        <w:rPr>
          <w:rFonts w:hint="eastAsia" w:ascii="仿宋_GB2312" w:eastAsia="仿宋_GB2312"/>
          <w:kern w:val="0"/>
          <w:sz w:val="32"/>
          <w:szCs w:val="32"/>
        </w:rPr>
        <w:t>13.承担职责范围内的安全生产和职业健康、生态环境保护、审批服务便民化等工作。</w:t>
      </w:r>
    </w:p>
    <w:p>
      <w:pPr>
        <w:spacing w:line="576" w:lineRule="exact"/>
        <w:ind w:firstLine="640"/>
        <w:rPr>
          <w:rFonts w:ascii="仿宋_GB2312" w:eastAsia="仿宋_GB2312"/>
          <w:kern w:val="0"/>
          <w:sz w:val="32"/>
          <w:szCs w:val="32"/>
        </w:rPr>
      </w:pPr>
      <w:r>
        <w:rPr>
          <w:rFonts w:hint="eastAsia" w:ascii="仿宋_GB2312" w:eastAsia="仿宋_GB2312"/>
          <w:kern w:val="0"/>
          <w:sz w:val="32"/>
          <w:szCs w:val="32"/>
        </w:rPr>
        <w:t>14.完成县委、县政府交办的其他任务。</w:t>
      </w:r>
    </w:p>
    <w:p>
      <w:pPr>
        <w:spacing w:line="576" w:lineRule="exact"/>
        <w:ind w:firstLine="640" w:firstLineChars="200"/>
        <w:rPr>
          <w:rFonts w:ascii="仿宋_GB2312" w:eastAsia="仿宋_GB2312"/>
          <w:kern w:val="0"/>
          <w:sz w:val="32"/>
          <w:szCs w:val="32"/>
        </w:rPr>
      </w:pPr>
      <w:r>
        <w:rPr>
          <w:rFonts w:hint="eastAsia" w:ascii="仿宋_GB2312" w:eastAsia="仿宋_GB2312"/>
          <w:kern w:val="0"/>
          <w:sz w:val="32"/>
          <w:szCs w:val="32"/>
        </w:rPr>
        <w:t>15.职能转变。深入推进简政放权、放管结合、优化服务改革，进一步减少行政审批事项，规范和优化对外办理事项，贯彻落实国家职业资格目录清单管理制度，加强事中事后监管，创新就业和社会保障等公共服务方式，加强信息分享，提高公共服务水平。</w:t>
      </w:r>
    </w:p>
    <w:p>
      <w:pPr>
        <w:spacing w:line="576" w:lineRule="exact"/>
        <w:ind w:firstLine="640" w:firstLineChars="200"/>
        <w:rPr>
          <w:rFonts w:ascii="仿宋_GB2312" w:eastAsia="仿宋_GB2312"/>
          <w:kern w:val="0"/>
          <w:sz w:val="32"/>
          <w:szCs w:val="32"/>
        </w:rPr>
      </w:pPr>
      <w:r>
        <w:rPr>
          <w:rFonts w:hint="eastAsia" w:ascii="仿宋_GB2312" w:eastAsia="仿宋_GB2312"/>
          <w:kern w:val="0"/>
          <w:sz w:val="32"/>
          <w:szCs w:val="32"/>
        </w:rPr>
        <w:t>16.有关职责分工。高校毕业生就业管理的职责分工。毕业生就业政策由县人力资源社会保障局牵头，会同县教育局等部门贯彻落实；毕业生离校前的就业指导和服务工作，由县教育局负责；毕业生离校后的就业指导和服务工作，由县人力资源社会保障局负责。</w:t>
      </w:r>
    </w:p>
    <w:p>
      <w:pPr>
        <w:spacing w:line="576" w:lineRule="exact"/>
        <w:ind w:firstLine="640" w:firstLineChars="200"/>
        <w:rPr>
          <w:rFonts w:ascii="仿宋" w:hAnsi="仿宋" w:eastAsia="仿宋" w:cs="仿宋_GB2312"/>
          <w:sz w:val="32"/>
          <w:szCs w:val="32"/>
        </w:rPr>
      </w:pPr>
      <w:r>
        <w:rPr>
          <w:rFonts w:ascii="仿宋" w:hAnsi="仿宋" w:eastAsia="仿宋" w:cs="仿宋_GB2312"/>
          <w:sz w:val="32"/>
          <w:szCs w:val="32"/>
        </w:rPr>
        <w:t>（三）人员概况</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县人力资源社会保障局设下列内设机构：办公室、就业促进股（农民工工作股）、工资福利与退休人员管理股、事业单位综合管理股、社会保险基金监督股、政策法规股（行政审批股）。</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县人力资源社会保障局行政编制10名。其中，局长1名，副局长2名，机关党委书记1名；股级领导职数6名，参公10名，机关工勤人员事业编制2名。其他事业人员18名。</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snapToGrid w:val="0"/>
        <w:spacing w:line="576" w:lineRule="exact"/>
        <w:ind w:firstLine="640" w:firstLineChars="200"/>
        <w:rPr>
          <w:rFonts w:ascii="仿宋_GB2312" w:hAnsi="仿宋" w:eastAsia="仿宋_GB2312"/>
          <w:sz w:val="32"/>
          <w:szCs w:val="32"/>
        </w:rPr>
      </w:pPr>
      <w:r>
        <w:rPr>
          <w:rFonts w:ascii="仿宋_GB2312" w:hAnsi="宋体" w:eastAsia="仿宋_GB2312" w:cs="宋体"/>
          <w:color w:val="000000"/>
          <w:kern w:val="0"/>
          <w:sz w:val="32"/>
          <w:szCs w:val="32"/>
          <w:shd w:val="clear" w:color="auto" w:fill="FFFFFF"/>
        </w:rPr>
        <w:t>20</w:t>
      </w:r>
      <w:r>
        <w:rPr>
          <w:rFonts w:hint="eastAsia" w:ascii="仿宋_GB2312" w:hAnsi="宋体" w:eastAsia="仿宋_GB2312" w:cs="宋体"/>
          <w:color w:val="000000"/>
          <w:kern w:val="0"/>
          <w:sz w:val="32"/>
          <w:szCs w:val="32"/>
          <w:shd w:val="clear" w:color="auto" w:fill="FFFFFF"/>
        </w:rPr>
        <w:t>20</w:t>
      </w:r>
      <w:r>
        <w:rPr>
          <w:rFonts w:hint="eastAsia" w:ascii="仿宋_GB2312" w:hAnsi="宋体" w:eastAsia="仿宋_GB2312" w:cs="宋体"/>
          <w:bCs/>
          <w:color w:val="000000"/>
          <w:kern w:val="0"/>
          <w:sz w:val="32"/>
          <w:szCs w:val="32"/>
          <w:shd w:val="clear" w:color="auto" w:fill="FFFFFF"/>
        </w:rPr>
        <w:t>年</w:t>
      </w:r>
      <w:r>
        <w:rPr>
          <w:rFonts w:hint="eastAsia" w:ascii="仿宋_GB2312" w:hAnsi="黑体" w:eastAsia="仿宋_GB2312"/>
          <w:color w:val="000000"/>
          <w:sz w:val="32"/>
          <w:szCs w:val="32"/>
        </w:rPr>
        <w:t>单位财政资金收入共计</w:t>
      </w:r>
      <w:r>
        <w:rPr>
          <w:rFonts w:hint="eastAsia" w:ascii="仿宋_GB2312" w:hAnsi="宋体" w:eastAsia="仿宋_GB2312" w:cs="宋体"/>
          <w:kern w:val="0"/>
          <w:sz w:val="32"/>
          <w:szCs w:val="32"/>
        </w:rPr>
        <w:t>564.72万</w:t>
      </w:r>
      <w:r>
        <w:rPr>
          <w:rFonts w:hint="eastAsia" w:ascii="仿宋_GB2312" w:hAnsi="黑体" w:eastAsia="仿宋_GB2312"/>
          <w:color w:val="000000"/>
          <w:sz w:val="32"/>
          <w:szCs w:val="32"/>
        </w:rPr>
        <w:t>元，</w:t>
      </w:r>
      <w:r>
        <w:rPr>
          <w:rFonts w:hint="eastAsia" w:ascii="仿宋_GB2312" w:hAnsi="仿宋" w:eastAsia="仿宋_GB2312"/>
          <w:sz w:val="32"/>
          <w:szCs w:val="32"/>
        </w:rPr>
        <w:t>均为一般公共预算财政拨款收入，单位无上级补助收入、事业收入、经营收入等其他性质的经费收入。</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w:t>
      </w:r>
    </w:p>
    <w:p>
      <w:pPr>
        <w:widowControl/>
        <w:adjustRightInd w:val="0"/>
        <w:snapToGrid w:val="0"/>
        <w:spacing w:line="576" w:lineRule="exact"/>
        <w:ind w:firstLine="720"/>
        <w:jc w:val="left"/>
        <w:rPr>
          <w:rFonts w:ascii="仿宋_GB2312" w:eastAsia="仿宋_GB2312"/>
          <w:sz w:val="32"/>
          <w:szCs w:val="32"/>
        </w:rPr>
      </w:pPr>
      <w:r>
        <w:rPr>
          <w:rFonts w:ascii="仿宋_GB2312" w:hAnsi="宋体" w:eastAsia="仿宋_GB2312" w:cs="宋体"/>
          <w:color w:val="000000"/>
          <w:kern w:val="0"/>
          <w:sz w:val="32"/>
          <w:szCs w:val="32"/>
          <w:shd w:val="clear" w:color="auto" w:fill="FFFFFF"/>
          <w:lang w:val="zh-CN"/>
        </w:rPr>
        <w:t>20</w:t>
      </w:r>
      <w:r>
        <w:rPr>
          <w:rFonts w:hint="eastAsia" w:ascii="仿宋_GB2312" w:hAnsi="宋体" w:eastAsia="仿宋_GB2312" w:cs="宋体"/>
          <w:color w:val="000000"/>
          <w:kern w:val="0"/>
          <w:sz w:val="32"/>
          <w:szCs w:val="32"/>
          <w:shd w:val="clear" w:color="auto" w:fill="FFFFFF"/>
          <w:lang w:val="zh-CN"/>
        </w:rPr>
        <w:t>20年单位财政资金支出决算数为</w:t>
      </w:r>
      <w:r>
        <w:rPr>
          <w:rFonts w:hint="eastAsia" w:ascii="仿宋_GB2312" w:hAnsi="仿宋" w:eastAsia="仿宋_GB2312" w:cs="仿宋"/>
          <w:sz w:val="32"/>
          <w:szCs w:val="32"/>
        </w:rPr>
        <w:t>574.59万元</w:t>
      </w:r>
      <w:r>
        <w:rPr>
          <w:rFonts w:hint="eastAsia" w:ascii="仿宋_GB2312" w:hAnsi="黑体" w:eastAsia="仿宋_GB2312"/>
          <w:color w:val="000000"/>
          <w:sz w:val="32"/>
          <w:szCs w:val="32"/>
        </w:rPr>
        <w:t>，均为财政补助支出，</w:t>
      </w:r>
      <w:r>
        <w:rPr>
          <w:rFonts w:hint="eastAsia" w:ascii="仿宋_GB2312" w:hAnsi="仿宋" w:eastAsia="仿宋_GB2312"/>
          <w:sz w:val="32"/>
          <w:szCs w:val="32"/>
        </w:rPr>
        <w:t>其中：社会保障和就业支出61.51万元，</w:t>
      </w:r>
      <w:r>
        <w:rPr>
          <w:rFonts w:hint="eastAsia" w:ascii="仿宋_GB2312" w:eastAsia="仿宋_GB2312"/>
          <w:sz w:val="32"/>
          <w:szCs w:val="32"/>
        </w:rPr>
        <w:t>主要用于本单位人员工资、照规定标准为职工缴纳的机关事业单位养老保险和职业年金、保障日常运转以及为完成特定行政工作任务和事业发展目标而安排的年度项目支出；</w:t>
      </w:r>
      <w:r>
        <w:rPr>
          <w:rFonts w:hint="eastAsia" w:ascii="仿宋_GB2312" w:hAnsi="仿宋" w:eastAsia="仿宋_GB2312"/>
          <w:sz w:val="32"/>
          <w:szCs w:val="32"/>
        </w:rPr>
        <w:t>医疗卫生与计划生育支出31.51万元，</w:t>
      </w:r>
      <w:r>
        <w:rPr>
          <w:rFonts w:hint="eastAsia" w:ascii="仿宋_GB2312" w:eastAsia="仿宋_GB2312"/>
          <w:sz w:val="32"/>
          <w:szCs w:val="32"/>
        </w:rPr>
        <w:t>主要用于事业单位按照规定标准为职工缴纳的基本医疗保险及公务员医疗补助等支出；</w:t>
      </w:r>
      <w:r>
        <w:rPr>
          <w:rFonts w:hint="eastAsia" w:ascii="仿宋_GB2312" w:hAnsi="仿宋" w:eastAsia="仿宋_GB2312"/>
          <w:sz w:val="32"/>
          <w:szCs w:val="32"/>
        </w:rPr>
        <w:t>住房保障支出44.42万元，</w:t>
      </w:r>
      <w:r>
        <w:rPr>
          <w:rFonts w:hint="eastAsia" w:ascii="仿宋_GB2312" w:eastAsia="仿宋_GB2312"/>
          <w:sz w:val="32"/>
          <w:szCs w:val="32"/>
        </w:rPr>
        <w:t>用于机关及下属事业单位按照规定标准为职工缴纳住房公积金等支出。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snapToGrid w:val="0"/>
        <w:spacing w:line="576" w:lineRule="exact"/>
        <w:ind w:firstLine="640" w:firstLineChars="200"/>
        <w:rPr>
          <w:rFonts w:ascii="楷体" w:hAnsi="楷体" w:eastAsia="楷体" w:cs="楷体"/>
          <w:sz w:val="32"/>
          <w:szCs w:val="32"/>
        </w:rPr>
      </w:pPr>
      <w:r>
        <w:rPr>
          <w:rFonts w:hint="eastAsia" w:ascii="楷体" w:hAnsi="楷体" w:eastAsia="楷体" w:cs="楷体"/>
          <w:sz w:val="32"/>
          <w:szCs w:val="32"/>
        </w:rPr>
        <w:t>（一）部门预算管理</w:t>
      </w:r>
    </w:p>
    <w:p>
      <w:pPr>
        <w:snapToGrid w:val="0"/>
        <w:spacing w:line="576" w:lineRule="exact"/>
        <w:ind w:firstLine="640" w:firstLineChars="200"/>
        <w:rPr>
          <w:rFonts w:ascii="仿宋_GB2312" w:hAnsi="黑体" w:eastAsia="仿宋_GB2312"/>
          <w:color w:val="000000"/>
          <w:sz w:val="32"/>
          <w:szCs w:val="32"/>
        </w:rPr>
      </w:pPr>
      <w:r>
        <w:rPr>
          <w:rFonts w:ascii="仿宋_GB2312" w:hAnsi="黑体" w:eastAsia="仿宋_GB2312"/>
          <w:color w:val="000000"/>
          <w:sz w:val="32"/>
          <w:szCs w:val="32"/>
        </w:rPr>
        <w:t>1.</w:t>
      </w:r>
      <w:r>
        <w:rPr>
          <w:rFonts w:hint="eastAsia" w:ascii="仿宋_GB2312" w:hAnsi="黑体" w:eastAsia="仿宋_GB2312"/>
          <w:color w:val="000000"/>
          <w:sz w:val="32"/>
          <w:szCs w:val="32"/>
        </w:rPr>
        <w:t>预算编制情况</w:t>
      </w:r>
    </w:p>
    <w:p>
      <w:pPr>
        <w:pStyle w:val="31"/>
        <w:spacing w:line="576" w:lineRule="exact"/>
        <w:ind w:firstLine="640" w:firstLineChars="200"/>
        <w:rPr>
          <w:rFonts w:ascii="仿宋_GB2312" w:hAnsi="黑体" w:eastAsia="仿宋_GB2312"/>
          <w:color w:val="000000"/>
          <w:sz w:val="32"/>
          <w:szCs w:val="32"/>
        </w:rPr>
      </w:pPr>
      <w:r>
        <w:rPr>
          <w:rFonts w:hint="eastAsia" w:ascii="仿宋_GB2312" w:hAnsi="黑体" w:eastAsia="仿宋_GB2312"/>
          <w:color w:val="000000"/>
          <w:sz w:val="32"/>
          <w:szCs w:val="32"/>
        </w:rPr>
        <w:t>单位严格按照县财政部门预算编制通知和有关文件要求，秉承强化规划约束、坚持限额控制、实时滚动管理、强化绩效管理的基本编制原则在县财政部门规定的时间内于部门预算管理系统中以上年度</w:t>
      </w:r>
      <w:r>
        <w:rPr>
          <w:rFonts w:ascii="仿宋_GB2312" w:hAnsi="黑体" w:eastAsia="仿宋_GB2312"/>
          <w:color w:val="000000"/>
          <w:sz w:val="32"/>
          <w:szCs w:val="32"/>
        </w:rPr>
        <w:t>9</w:t>
      </w:r>
      <w:r>
        <w:rPr>
          <w:rFonts w:hint="eastAsia" w:ascii="仿宋_GB2312" w:hAnsi="黑体" w:eastAsia="仿宋_GB2312"/>
          <w:color w:val="000000"/>
          <w:sz w:val="32"/>
          <w:szCs w:val="32"/>
        </w:rPr>
        <w:t>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pStyle w:val="31"/>
        <w:spacing w:line="576" w:lineRule="exact"/>
        <w:ind w:firstLine="640" w:firstLineChars="200"/>
        <w:rPr>
          <w:rFonts w:ascii="仿宋_GB2312" w:hAnsi="黑体" w:eastAsia="仿宋_GB2312"/>
          <w:color w:val="000000"/>
          <w:sz w:val="32"/>
          <w:szCs w:val="32"/>
        </w:rPr>
      </w:pPr>
      <w:r>
        <w:rPr>
          <w:rFonts w:ascii="仿宋_GB2312" w:hAnsi="黑体" w:eastAsia="仿宋_GB2312"/>
          <w:color w:val="000000"/>
          <w:sz w:val="32"/>
          <w:szCs w:val="32"/>
        </w:rPr>
        <w:t>2.</w:t>
      </w:r>
      <w:r>
        <w:rPr>
          <w:rFonts w:hint="eastAsia" w:ascii="仿宋_GB2312" w:hAnsi="黑体" w:eastAsia="仿宋_GB2312"/>
          <w:color w:val="000000"/>
          <w:sz w:val="32"/>
          <w:szCs w:val="32"/>
        </w:rPr>
        <w:t>决算编制情况</w:t>
      </w:r>
    </w:p>
    <w:p>
      <w:pPr>
        <w:pStyle w:val="31"/>
        <w:spacing w:before="93" w:line="576" w:lineRule="exact"/>
        <w:ind w:firstLine="640" w:firstLineChars="200"/>
        <w:rPr>
          <w:rFonts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严格按照县级部门决算编制通知和有关文件要求，在部门决算报表软件中按时按质完成报送及决算编制等工作，并提交部门决算编制说明及决算分析报告，县财政局根据单位提交的决算编制数据进行审核。决算数据全面真实地反映了本单位全年财政资金收支及使用情况，不存在应编未编、错误列编、重现调整决算资金总额度的现象。</w:t>
      </w:r>
    </w:p>
    <w:p>
      <w:pPr>
        <w:widowControl/>
        <w:adjustRightInd w:val="0"/>
        <w:snapToGrid w:val="0"/>
        <w:spacing w:line="576" w:lineRule="exact"/>
        <w:ind w:firstLine="640" w:firstLineChars="200"/>
        <w:jc w:val="left"/>
        <w:rPr>
          <w:rFonts w:ascii="仿宋_GB2312" w:hAnsi="黑体" w:eastAsia="仿宋_GB2312" w:cs="宋体"/>
          <w:color w:val="000000"/>
          <w:kern w:val="0"/>
          <w:sz w:val="32"/>
          <w:szCs w:val="32"/>
          <w:shd w:val="clear" w:color="auto" w:fill="FFFFFF"/>
        </w:rPr>
      </w:pPr>
      <w:r>
        <w:rPr>
          <w:rFonts w:hint="eastAsia" w:ascii="仿宋_GB2312" w:hAnsi="黑体" w:eastAsia="仿宋_GB2312" w:cs="宋体"/>
          <w:color w:val="000000"/>
          <w:kern w:val="0"/>
          <w:sz w:val="32"/>
          <w:szCs w:val="32"/>
          <w:shd w:val="clear" w:color="auto" w:fill="FFFFFF"/>
        </w:rPr>
        <w:t>3.</w:t>
      </w:r>
      <w:r>
        <w:rPr>
          <w:rFonts w:ascii="仿宋_GB2312" w:hAnsi="黑体" w:eastAsia="仿宋_GB2312" w:cs="宋体"/>
          <w:color w:val="000000"/>
          <w:kern w:val="0"/>
          <w:sz w:val="32"/>
          <w:szCs w:val="32"/>
          <w:shd w:val="clear" w:color="auto" w:fill="FFFFFF"/>
        </w:rPr>
        <w:t>20</w:t>
      </w:r>
      <w:r>
        <w:rPr>
          <w:rFonts w:hint="eastAsia" w:ascii="仿宋_GB2312" w:hAnsi="黑体" w:eastAsia="仿宋_GB2312" w:cs="宋体"/>
          <w:color w:val="000000"/>
          <w:kern w:val="0"/>
          <w:sz w:val="32"/>
          <w:szCs w:val="32"/>
          <w:shd w:val="clear" w:color="auto" w:fill="FFFFFF"/>
        </w:rPr>
        <w:t>20年部门预算执行情况</w:t>
      </w:r>
    </w:p>
    <w:p>
      <w:pPr>
        <w:widowControl/>
        <w:adjustRightInd w:val="0"/>
        <w:snapToGrid w:val="0"/>
        <w:spacing w:line="576" w:lineRule="exact"/>
        <w:ind w:firstLine="640" w:firstLineChars="200"/>
        <w:jc w:val="left"/>
        <w:rPr>
          <w:rFonts w:ascii="仿宋_GB2312" w:hAnsi="黑体" w:eastAsia="仿宋_GB2312" w:cs="宋体"/>
          <w:color w:val="000000"/>
          <w:kern w:val="0"/>
          <w:sz w:val="32"/>
          <w:szCs w:val="32"/>
          <w:shd w:val="clear" w:color="auto" w:fill="FFFFFF"/>
        </w:rPr>
      </w:pPr>
      <w:r>
        <w:rPr>
          <w:rFonts w:ascii="仿宋_GB2312" w:hAnsi="仿宋" w:eastAsia="仿宋_GB2312" w:cs="仿宋"/>
          <w:sz w:val="32"/>
          <w:szCs w:val="32"/>
        </w:rPr>
        <w:t>20</w:t>
      </w:r>
      <w:r>
        <w:rPr>
          <w:rFonts w:hint="eastAsia" w:ascii="仿宋_GB2312" w:hAnsi="仿宋" w:eastAsia="仿宋_GB2312" w:cs="仿宋"/>
          <w:sz w:val="32"/>
          <w:szCs w:val="32"/>
        </w:rPr>
        <w:t>20年收入预算执行数（收入决算数）为564.72万元，较</w:t>
      </w:r>
      <w:r>
        <w:rPr>
          <w:rFonts w:ascii="仿宋_GB2312" w:hAnsi="仿宋" w:eastAsia="仿宋_GB2312" w:cs="仿宋"/>
          <w:sz w:val="32"/>
          <w:szCs w:val="32"/>
        </w:rPr>
        <w:t>20</w:t>
      </w:r>
      <w:r>
        <w:rPr>
          <w:rFonts w:hint="eastAsia" w:ascii="仿宋_GB2312" w:hAnsi="仿宋" w:eastAsia="仿宋_GB2312" w:cs="仿宋"/>
          <w:sz w:val="32"/>
          <w:szCs w:val="32"/>
        </w:rPr>
        <w:t>20年同期数800.41万元减少235.69万元。</w:t>
      </w:r>
    </w:p>
    <w:p>
      <w:pPr>
        <w:snapToGrid w:val="0"/>
        <w:spacing w:line="576"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20</w:t>
      </w:r>
      <w:r>
        <w:rPr>
          <w:rFonts w:hint="eastAsia" w:ascii="仿宋_GB2312" w:hAnsi="仿宋" w:eastAsia="仿宋_GB2312" w:cs="仿宋"/>
          <w:sz w:val="32"/>
          <w:szCs w:val="32"/>
        </w:rPr>
        <w:t>20年支出预算执行数（支出决算数）为574.59万元，较</w:t>
      </w:r>
      <w:r>
        <w:rPr>
          <w:rFonts w:ascii="仿宋_GB2312" w:hAnsi="仿宋" w:eastAsia="仿宋_GB2312" w:cs="仿宋"/>
          <w:sz w:val="32"/>
          <w:szCs w:val="32"/>
        </w:rPr>
        <w:t>20</w:t>
      </w:r>
      <w:r>
        <w:rPr>
          <w:rFonts w:hint="eastAsia" w:ascii="仿宋_GB2312" w:hAnsi="仿宋" w:eastAsia="仿宋_GB2312" w:cs="仿宋"/>
          <w:sz w:val="32"/>
          <w:szCs w:val="32"/>
        </w:rPr>
        <w:t>19年同期数780.1万元减少205.51万元。其中：</w:t>
      </w:r>
      <w:r>
        <w:rPr>
          <w:rFonts w:ascii="仿宋_GB2312" w:hAnsi="仿宋" w:eastAsia="仿宋_GB2312" w:cs="仿宋"/>
          <w:sz w:val="32"/>
          <w:szCs w:val="32"/>
        </w:rPr>
        <w:t>1.201</w:t>
      </w:r>
      <w:r>
        <w:rPr>
          <w:rFonts w:hint="eastAsia" w:ascii="仿宋_GB2312" w:hAnsi="仿宋" w:eastAsia="仿宋_GB2312" w:cs="仿宋"/>
          <w:sz w:val="32"/>
          <w:szCs w:val="32"/>
        </w:rPr>
        <w:t>9年基本支出555.41万元，较上年同期数746.54万元，减少191.13万元。基本支出中人员经费支出526.47元，较上年同期数718.35万元，减少191.88万元。其中：基本支出中日常公用经费支出28.94万元，较上年同期数28.21万元，增加0.73万元。</w:t>
      </w:r>
      <w:r>
        <w:rPr>
          <w:rFonts w:ascii="仿宋_GB2312" w:hAnsi="仿宋" w:eastAsia="仿宋_GB2312" w:cs="仿宋"/>
          <w:sz w:val="32"/>
          <w:szCs w:val="32"/>
        </w:rPr>
        <w:t>20</w:t>
      </w:r>
      <w:r>
        <w:rPr>
          <w:rFonts w:hint="eastAsia" w:ascii="仿宋_GB2312" w:hAnsi="仿宋" w:eastAsia="仿宋_GB2312" w:cs="仿宋"/>
          <w:sz w:val="32"/>
          <w:szCs w:val="32"/>
        </w:rPr>
        <w:t>20年项目支出19.18万元</w:t>
      </w:r>
      <w:r>
        <w:rPr>
          <w:rFonts w:ascii="仿宋_GB2312" w:hAnsi="仿宋" w:eastAsia="仿宋_GB2312" w:cs="仿宋"/>
          <w:sz w:val="32"/>
          <w:szCs w:val="32"/>
        </w:rPr>
        <w:t>,</w:t>
      </w:r>
      <w:r>
        <w:rPr>
          <w:rFonts w:hint="eastAsia" w:ascii="仿宋_GB2312" w:hAnsi="仿宋" w:eastAsia="仿宋_GB2312" w:cs="仿宋"/>
          <w:sz w:val="32"/>
          <w:szCs w:val="32"/>
        </w:rPr>
        <w:t>其中</w:t>
      </w:r>
      <w:r>
        <w:rPr>
          <w:rFonts w:ascii="仿宋_GB2312" w:hAnsi="仿宋" w:eastAsia="仿宋_GB2312" w:cs="仿宋"/>
          <w:sz w:val="32"/>
          <w:szCs w:val="32"/>
        </w:rPr>
        <w:t>:金保网运行经费</w:t>
      </w:r>
      <w:r>
        <w:rPr>
          <w:rFonts w:hint="eastAsia" w:ascii="仿宋_GB2312" w:hAnsi="仿宋" w:eastAsia="仿宋_GB2312" w:cs="仿宋"/>
          <w:sz w:val="32"/>
          <w:szCs w:val="32"/>
        </w:rPr>
        <w:t>7.2万元；退休干部活动管理经费9.1万元；第一书记临岗补贴0.84万元；三支一扶培训费2.04万元。</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snapToGrid w:val="0"/>
        <w:spacing w:line="576" w:lineRule="exact"/>
        <w:ind w:firstLine="640" w:firstLineChars="200"/>
        <w:rPr>
          <w:rStyle w:val="33"/>
          <w:rFonts w:eastAsia="仿宋_GB2312"/>
          <w:color w:val="000000"/>
          <w:sz w:val="32"/>
          <w:szCs w:val="32"/>
          <w:shd w:val="clear" w:color="auto" w:fill="FFFFFF"/>
        </w:rPr>
      </w:pPr>
      <w:r>
        <w:rPr>
          <w:rFonts w:hint="eastAsia" w:ascii="仿宋_GB2312" w:eastAsia="仿宋_GB2312"/>
          <w:color w:val="000000"/>
          <w:sz w:val="32"/>
          <w:szCs w:val="32"/>
          <w:shd w:val="clear" w:color="auto" w:fill="FFFFFF"/>
        </w:rPr>
        <w:t>我局对部门预算绩效管理工作开展情况认真进行了自查自评。所有财政资金支出主要用于保障本单位机构正常运转、完成日常工作任务以及承担人力资源发展相关工作。</w:t>
      </w:r>
    </w:p>
    <w:p>
      <w:pPr>
        <w:pStyle w:val="31"/>
        <w:spacing w:line="576" w:lineRule="exact"/>
        <w:ind w:firstLine="640" w:firstLineChars="200"/>
        <w:rPr>
          <w:rFonts w:ascii="仿宋_GB2312" w:hAnsi="宋体" w:eastAsia="仿宋_GB2312"/>
          <w:color w:val="000000"/>
          <w:sz w:val="32"/>
          <w:szCs w:val="32"/>
          <w:shd w:val="clear" w:color="auto" w:fill="FFFFFF"/>
        </w:rPr>
      </w:pPr>
      <w:r>
        <w:rPr>
          <w:rFonts w:hint="eastAsia" w:ascii="仿宋_GB2312" w:eastAsia="仿宋_GB2312"/>
          <w:color w:val="000000"/>
          <w:sz w:val="32"/>
          <w:szCs w:val="32"/>
          <w:shd w:val="clear" w:color="auto" w:fill="FFFFFF"/>
        </w:rPr>
        <w:t>基本支出，是用于单位正常运转的日常支出，包括基本工资、津贴补贴等人员经费以及办公费、邮电费、培训费、差旅费、等日常公用经费。在日常工作中，</w:t>
      </w:r>
      <w:r>
        <w:rPr>
          <w:rFonts w:hint="eastAsia" w:ascii="仿宋_GB2312" w:eastAsia="仿宋_GB2312"/>
          <w:color w:val="000000"/>
          <w:sz w:val="32"/>
          <w:szCs w:val="32"/>
        </w:rPr>
        <w:t>单位所有日常公用经费开支范围和标准均符合相关规定并按相应支付审批程序办理</w:t>
      </w:r>
      <w:r>
        <w:rPr>
          <w:rFonts w:hint="eastAsia" w:ascii="仿宋_GB2312" w:hAnsi="宋体" w:eastAsia="仿宋_GB2312"/>
          <w:color w:val="000000"/>
          <w:sz w:val="32"/>
          <w:szCs w:val="32"/>
          <w:shd w:val="clear" w:color="auto" w:fill="FFFFFF"/>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3" w:firstLineChars="200"/>
        <w:jc w:val="left"/>
        <w:rPr>
          <w:rFonts w:ascii="楷体_GB2312" w:hAnsi="宋体" w:eastAsia="楷体_GB2312"/>
          <w:b/>
          <w:bCs/>
          <w:color w:val="000000"/>
          <w:kern w:val="0"/>
          <w:sz w:val="32"/>
          <w:szCs w:val="32"/>
          <w:shd w:val="clear" w:color="auto" w:fill="FFFFFF"/>
          <w:lang w:val="zh-CN"/>
        </w:rPr>
      </w:pPr>
      <w:bookmarkStart w:id="101" w:name="_Toc79163883"/>
      <w:bookmarkStart w:id="102" w:name="_Toc79163633"/>
      <w:r>
        <w:rPr>
          <w:rFonts w:hint="eastAsia" w:ascii="楷体_GB2312" w:hAnsi="宋体" w:eastAsia="楷体_GB2312" w:cs="楷体_GB2312"/>
          <w:b/>
          <w:bCs/>
          <w:color w:val="000000"/>
          <w:kern w:val="0"/>
          <w:sz w:val="32"/>
          <w:szCs w:val="32"/>
          <w:shd w:val="clear" w:color="auto" w:fill="FFFFFF"/>
          <w:lang w:val="zh-CN"/>
        </w:rPr>
        <w:t>（一）评价结论</w:t>
      </w:r>
    </w:p>
    <w:p>
      <w:pPr>
        <w:widowControl/>
        <w:adjustRightInd w:val="0"/>
        <w:snapToGrid w:val="0"/>
        <w:spacing w:line="580" w:lineRule="exact"/>
        <w:ind w:firstLine="640" w:firstLineChars="200"/>
        <w:jc w:val="left"/>
        <w:rPr>
          <w:rFonts w:ascii="仿宋" w:hAnsi="仿宋" w:eastAsia="仿宋" w:cs="仿宋"/>
          <w:color w:val="000000"/>
          <w:kern w:val="0"/>
          <w:sz w:val="32"/>
          <w:szCs w:val="32"/>
          <w:shd w:val="clear" w:color="auto" w:fill="FFFFFF"/>
          <w:lang w:val="zh-CN"/>
        </w:rPr>
      </w:pPr>
      <w:r>
        <w:rPr>
          <w:rFonts w:hint="eastAsia" w:ascii="仿宋" w:hAnsi="仿宋" w:eastAsia="仿宋" w:cs="仿宋"/>
          <w:sz w:val="32"/>
          <w:szCs w:val="32"/>
        </w:rPr>
        <w:t>我局2020年部门整体支出绩效评价自查自评结果良好，全年基本保证了部门的正常运行和日常工作的正常开展。</w:t>
      </w:r>
    </w:p>
    <w:p>
      <w:pPr>
        <w:spacing w:line="580" w:lineRule="exact"/>
        <w:ind w:firstLine="643" w:firstLineChars="200"/>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（二）存在问题</w:t>
      </w:r>
    </w:p>
    <w:p>
      <w:pPr>
        <w:adjustRightInd w:val="0"/>
        <w:snapToGrid w:val="0"/>
        <w:spacing w:line="576" w:lineRule="exact"/>
        <w:ind w:firstLine="640" w:firstLineChars="200"/>
        <w:rPr>
          <w:rFonts w:ascii="仿宋" w:hAnsi="仿宋" w:eastAsia="仿宋" w:cs="仿宋"/>
          <w:sz w:val="32"/>
        </w:rPr>
      </w:pPr>
      <w:r>
        <w:rPr>
          <w:rFonts w:hint="eastAsia" w:ascii="仿宋" w:hAnsi="仿宋" w:eastAsia="仿宋" w:cs="仿宋"/>
          <w:sz w:val="32"/>
        </w:rPr>
        <w:t>预算绩效管理的学习培训不够，对绩效管理工作的认识理解还不够深入。</w:t>
      </w:r>
    </w:p>
    <w:p>
      <w:pPr>
        <w:widowControl/>
        <w:adjustRightInd w:val="0"/>
        <w:snapToGrid w:val="0"/>
        <w:spacing w:line="580" w:lineRule="exact"/>
        <w:ind w:firstLine="643" w:firstLineChars="200"/>
        <w:jc w:val="left"/>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（三）改进建议</w:t>
      </w:r>
    </w:p>
    <w:p>
      <w:pPr>
        <w:widowControl/>
        <w:adjustRightInd w:val="0"/>
        <w:snapToGrid w:val="0"/>
        <w:spacing w:line="580"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进一步加强绩效管理工作的学习和培训力度，从预算编制、预算执行等过程中深入理解绩效管理的重要性，强化绩效结果应用，有效提高部门整体支出绩效管理水平。</w:t>
      </w:r>
    </w:p>
    <w:p>
      <w:pPr>
        <w:spacing w:line="600" w:lineRule="exact"/>
        <w:jc w:val="center"/>
        <w:outlineLvl w:val="0"/>
        <w:rPr>
          <w:rFonts w:ascii="黑体" w:hAnsi="黑体" w:eastAsia="黑体"/>
          <w:color w:val="000000"/>
          <w:sz w:val="44"/>
          <w:szCs w:val="44"/>
        </w:rPr>
      </w:pPr>
    </w:p>
    <w:p>
      <w:pPr>
        <w:spacing w:line="600" w:lineRule="exact"/>
        <w:jc w:val="left"/>
        <w:outlineLvl w:val="0"/>
        <w:rPr>
          <w:rFonts w:ascii="黑体" w:hAnsi="黑体" w:eastAsia="黑体" w:cs="黑体"/>
          <w:sz w:val="32"/>
          <w:szCs w:val="32"/>
        </w:rPr>
      </w:pPr>
    </w:p>
    <w:p>
      <w:pPr>
        <w:spacing w:line="600" w:lineRule="exact"/>
        <w:jc w:val="left"/>
        <w:outlineLvl w:val="0"/>
        <w:rPr>
          <w:rFonts w:ascii="黑体" w:hAnsi="黑体" w:eastAsia="黑体" w:cs="黑体"/>
          <w:sz w:val="32"/>
          <w:szCs w:val="32"/>
        </w:rPr>
      </w:pPr>
    </w:p>
    <w:p>
      <w:pPr>
        <w:spacing w:line="600" w:lineRule="exact"/>
        <w:jc w:val="left"/>
        <w:outlineLvl w:val="0"/>
        <w:rPr>
          <w:rFonts w:ascii="黑体" w:hAnsi="黑体" w:eastAsia="黑体" w:cs="黑体"/>
          <w:sz w:val="32"/>
          <w:szCs w:val="32"/>
        </w:rPr>
      </w:pPr>
    </w:p>
    <w:p>
      <w:pPr>
        <w:spacing w:line="600" w:lineRule="exact"/>
        <w:jc w:val="left"/>
        <w:outlineLvl w:val="0"/>
        <w:rPr>
          <w:rFonts w:ascii="黑体" w:hAnsi="黑体" w:eastAsia="黑体" w:cs="黑体"/>
          <w:sz w:val="32"/>
          <w:szCs w:val="32"/>
        </w:rPr>
      </w:pPr>
    </w:p>
    <w:p>
      <w:pPr>
        <w:spacing w:line="600" w:lineRule="exact"/>
        <w:jc w:val="left"/>
        <w:outlineLvl w:val="0"/>
        <w:rPr>
          <w:rFonts w:ascii="黑体" w:hAnsi="黑体" w:eastAsia="黑体" w:cs="黑体"/>
          <w:sz w:val="32"/>
          <w:szCs w:val="32"/>
        </w:rPr>
      </w:pPr>
    </w:p>
    <w:p>
      <w:pPr>
        <w:spacing w:line="600" w:lineRule="exact"/>
        <w:jc w:val="left"/>
        <w:outlineLvl w:val="0"/>
        <w:rPr>
          <w:rFonts w:ascii="黑体" w:hAnsi="黑体" w:eastAsia="黑体" w:cs="黑体"/>
          <w:sz w:val="32"/>
          <w:szCs w:val="32"/>
        </w:rPr>
      </w:pPr>
    </w:p>
    <w:p>
      <w:pPr>
        <w:spacing w:line="600" w:lineRule="exact"/>
        <w:jc w:val="left"/>
        <w:outlineLvl w:val="0"/>
        <w:rPr>
          <w:rFonts w:ascii="黑体" w:hAnsi="黑体" w:eastAsia="黑体" w:cs="黑体"/>
          <w:sz w:val="32"/>
          <w:szCs w:val="32"/>
        </w:rPr>
      </w:pPr>
    </w:p>
    <w:p>
      <w:pPr>
        <w:spacing w:line="600" w:lineRule="exact"/>
        <w:jc w:val="left"/>
        <w:outlineLvl w:val="0"/>
        <w:rPr>
          <w:rFonts w:ascii="黑体" w:hAnsi="黑体" w:eastAsia="黑体" w:cs="黑体"/>
          <w:sz w:val="32"/>
          <w:szCs w:val="32"/>
        </w:rPr>
      </w:pPr>
    </w:p>
    <w:p>
      <w:pPr>
        <w:spacing w:line="600" w:lineRule="exact"/>
        <w:jc w:val="left"/>
        <w:outlineLvl w:val="0"/>
        <w:rPr>
          <w:rFonts w:ascii="黑体" w:hAnsi="黑体" w:eastAsia="黑体" w:cs="黑体"/>
          <w:sz w:val="32"/>
          <w:szCs w:val="32"/>
        </w:rPr>
      </w:pPr>
    </w:p>
    <w:p>
      <w:pPr>
        <w:spacing w:line="600" w:lineRule="exact"/>
        <w:jc w:val="left"/>
        <w:outlineLvl w:val="0"/>
        <w:rPr>
          <w:rFonts w:ascii="黑体" w:hAnsi="黑体" w:eastAsia="黑体" w:cs="黑体"/>
          <w:sz w:val="32"/>
          <w:szCs w:val="32"/>
        </w:rPr>
      </w:pPr>
    </w:p>
    <w:p>
      <w:pPr>
        <w:spacing w:line="600" w:lineRule="exact"/>
        <w:jc w:val="left"/>
        <w:outlineLvl w:val="0"/>
        <w:rPr>
          <w:rFonts w:ascii="黑体" w:hAnsi="黑体" w:eastAsia="黑体" w:cs="黑体"/>
          <w:sz w:val="32"/>
          <w:szCs w:val="32"/>
        </w:rPr>
      </w:pPr>
    </w:p>
    <w:p>
      <w:pPr>
        <w:spacing w:line="600" w:lineRule="exact"/>
        <w:jc w:val="left"/>
        <w:outlineLvl w:val="0"/>
        <w:rPr>
          <w:rFonts w:ascii="黑体" w:hAnsi="黑体" w:eastAsia="黑体" w:cs="黑体"/>
          <w:sz w:val="32"/>
          <w:szCs w:val="32"/>
        </w:rPr>
      </w:pPr>
    </w:p>
    <w:p>
      <w:pPr>
        <w:spacing w:line="600" w:lineRule="exact"/>
        <w:jc w:val="left"/>
        <w:outlineLvl w:val="0"/>
        <w:rPr>
          <w:rFonts w:ascii="黑体" w:hAnsi="黑体" w:eastAsia="黑体" w:cs="黑体"/>
          <w:sz w:val="32"/>
          <w:szCs w:val="32"/>
        </w:rPr>
      </w:pPr>
    </w:p>
    <w:p>
      <w:pPr>
        <w:spacing w:line="600" w:lineRule="exact"/>
        <w:jc w:val="left"/>
        <w:outlineLvl w:val="0"/>
        <w:rPr>
          <w:rFonts w:ascii="黑体" w:hAnsi="黑体" w:eastAsia="黑体" w:cs="黑体"/>
          <w:sz w:val="32"/>
          <w:szCs w:val="32"/>
        </w:rPr>
      </w:pPr>
    </w:p>
    <w:p>
      <w:pPr>
        <w:spacing w:line="600" w:lineRule="exact"/>
        <w:jc w:val="left"/>
        <w:outlineLvl w:val="0"/>
        <w:rPr>
          <w:rFonts w:ascii="黑体" w:hAnsi="黑体" w:eastAsia="黑体" w:cs="黑体"/>
          <w:sz w:val="32"/>
          <w:szCs w:val="32"/>
        </w:rPr>
      </w:pPr>
    </w:p>
    <w:p>
      <w:pPr>
        <w:spacing w:line="600" w:lineRule="exact"/>
        <w:jc w:val="left"/>
        <w:outlineLvl w:val="0"/>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2</w:t>
      </w:r>
      <w:bookmarkEnd w:id="101"/>
      <w:bookmarkEnd w:id="102"/>
    </w:p>
    <w:p>
      <w:pPr>
        <w:spacing w:line="580" w:lineRule="exact"/>
        <w:ind w:firstLine="640" w:firstLineChars="200"/>
        <w:rPr>
          <w:rFonts w:ascii="仿宋_GB2312" w:hAnsi="仿宋_GB2312" w:eastAsia="仿宋_GB2312" w:cs="仿宋_GB2312"/>
          <w:sz w:val="32"/>
          <w:szCs w:val="32"/>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金保网络运行费用项</w:t>
      </w:r>
      <w:r>
        <w:rPr>
          <w:rFonts w:hint="eastAsia" w:ascii="方正小标宋简体" w:hAnsi="宋体" w:eastAsia="方正小标宋简体"/>
          <w:color w:val="000000"/>
          <w:kern w:val="0"/>
          <w:sz w:val="44"/>
          <w:szCs w:val="44"/>
          <w:lang w:val="zh-CN"/>
        </w:rPr>
        <w:t>目</w:t>
      </w: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2020年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1．完成全县11个镇新型农村养老保险工作的数据传送、全县社保与上级工作平台数据传送。</w:t>
      </w:r>
      <w:r>
        <w:rPr>
          <w:rFonts w:ascii="仿宋_GB2312" w:hAnsi="宋体" w:eastAsia="仿宋_GB2312"/>
          <w:sz w:val="32"/>
          <w:szCs w:val="32"/>
          <w:lang w:val="zh-CN"/>
        </w:rPr>
        <w:t>包括就业、失业</w:t>
      </w:r>
      <w:r>
        <w:rPr>
          <w:rFonts w:hint="eastAsia" w:ascii="仿宋_GB2312" w:hAnsi="宋体" w:eastAsia="仿宋_GB2312"/>
          <w:sz w:val="32"/>
          <w:szCs w:val="32"/>
          <w:lang w:val="zh-CN"/>
        </w:rPr>
        <w:t>、</w:t>
      </w:r>
      <w:r>
        <w:rPr>
          <w:rFonts w:ascii="仿宋_GB2312" w:hAnsi="宋体" w:eastAsia="仿宋_GB2312"/>
          <w:sz w:val="32"/>
          <w:szCs w:val="32"/>
          <w:lang w:val="zh-CN"/>
        </w:rPr>
        <w:t>社保和五项社会保险业务，通过信息系统将各类信息有机组合，可充分发挥社会保障体系的整体效益</w:t>
      </w:r>
      <w:r>
        <w:rPr>
          <w:rFonts w:hint="eastAsia" w:ascii="仿宋_GB2312" w:hAnsi="宋体" w:eastAsia="仿宋_GB2312"/>
          <w:sz w:val="32"/>
          <w:szCs w:val="32"/>
          <w:lang w:val="zh-CN"/>
        </w:rPr>
        <w:t>。</w:t>
      </w:r>
    </w:p>
    <w:p>
      <w:pPr>
        <w:widowControl/>
        <w:spacing w:line="576" w:lineRule="exact"/>
        <w:ind w:firstLine="640" w:firstLineChars="200"/>
        <w:jc w:val="left"/>
        <w:rPr>
          <w:rFonts w:ascii="仿宋_GB2312" w:hAnsi="宋体" w:eastAsia="仿宋_GB2312"/>
          <w:sz w:val="32"/>
          <w:szCs w:val="32"/>
          <w:lang w:val="zh-CN"/>
        </w:rPr>
      </w:pPr>
      <w:r>
        <w:rPr>
          <w:rFonts w:hint="eastAsia" w:ascii="仿宋_GB2312" w:hAnsi="宋体" w:eastAsia="仿宋_GB2312"/>
          <w:sz w:val="32"/>
          <w:szCs w:val="32"/>
          <w:lang w:val="zh-CN"/>
        </w:rPr>
        <w:t>2．立项依据：《茂县人力资源和社会保障局与茂县电信公司全业务通信合作协议》。</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3．资金管理办法和支付方式：按照《茂县人力资源和社会保障局与茂县电信公司全业务通信合作协议》进行管理支付。</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提高基金征缴、支付和管理的规范化、制度化，提高社会保险基金监管部门对基金运转的透明度和知情度，有效防止冒领养老金现象，切实防范和化解基金风险，加强基金监管力度</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组织实施步骤及方法：按照《茂县人力资源和社会保障局与茂县电信公司全业务通信合作协议》进行。</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《茂县人力资源和社会保障局与茂县电信公司全业务通信合作协议》。</w:t>
      </w:r>
    </w:p>
    <w:p>
      <w:pPr>
        <w:adjustRightInd w:val="0"/>
        <w:snapToGrid w:val="0"/>
        <w:spacing w:line="600" w:lineRule="exact"/>
        <w:ind w:left="638" w:leftChars="304" w:firstLine="77" w:firstLineChars="24"/>
        <w:rPr>
          <w:rFonts w:ascii="楷体_GB2312" w:hAnsi="宋体" w:eastAsia="楷体_GB2312"/>
          <w:b/>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left="638" w:leftChars="304" w:firstLine="76" w:firstLineChars="24"/>
        <w:rPr>
          <w:rFonts w:ascii="仿宋_GB2312" w:hAnsi="宋体" w:eastAsia="仿宋_GB2312"/>
          <w:sz w:val="32"/>
          <w:szCs w:val="32"/>
          <w:lang w:val="zh-CN"/>
        </w:rPr>
      </w:pPr>
      <w:r>
        <w:rPr>
          <w:rFonts w:hint="eastAsia" w:ascii="楷体_GB2312" w:hAnsi="宋体" w:eastAsia="楷体_GB2312"/>
          <w:sz w:val="32"/>
          <w:szCs w:val="32"/>
          <w:lang w:val="zh-CN"/>
        </w:rPr>
        <w:t>1．资金计划：</w:t>
      </w:r>
      <w:r>
        <w:rPr>
          <w:rFonts w:hint="eastAsia" w:ascii="仿宋_GB2312" w:hAnsi="宋体" w:eastAsia="仿宋_GB2312"/>
          <w:sz w:val="32"/>
          <w:szCs w:val="32"/>
          <w:lang w:val="zh-CN"/>
        </w:rPr>
        <w:t>按照协议上面的金额进行申请。</w:t>
      </w:r>
    </w:p>
    <w:p>
      <w:pPr>
        <w:pStyle w:val="34"/>
        <w:ind w:firstLine="640" w:firstLineChars="200"/>
        <w:rPr>
          <w:rFonts w:ascii="仿宋_GB2312" w:hAnsi="宋体" w:eastAsia="仿宋_GB2312"/>
          <w:sz w:val="32"/>
          <w:szCs w:val="32"/>
          <w:lang w:val="zh-CN"/>
        </w:rPr>
      </w:pPr>
      <w:r>
        <w:rPr>
          <w:rFonts w:hint="eastAsia" w:ascii="楷体_GB2312" w:hAnsi="宋体" w:eastAsia="楷体_GB2312"/>
          <w:sz w:val="32"/>
          <w:szCs w:val="32"/>
          <w:lang w:val="zh-CN"/>
        </w:rPr>
        <w:t>2．资金到位：</w:t>
      </w:r>
      <w:r>
        <w:rPr>
          <w:rFonts w:hint="eastAsia" w:ascii="仿宋_GB2312" w:hAnsi="宋体" w:eastAsia="仿宋_GB2312"/>
          <w:sz w:val="32"/>
          <w:szCs w:val="32"/>
          <w:lang w:val="zh-CN"/>
        </w:rPr>
        <w:t>《茂县人力资源和社会保障局关于解决金保网运行费的请示》（茂人社〔2020〕195号）。</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3．资金使用。按</w:t>
      </w:r>
      <w:r>
        <w:rPr>
          <w:rFonts w:hint="eastAsia" w:ascii="仿宋_GB2312" w:hAnsi="宋体" w:eastAsia="仿宋_GB2312"/>
          <w:sz w:val="32"/>
          <w:szCs w:val="32"/>
          <w:lang w:val="zh-CN"/>
        </w:rPr>
        <w:t>《茂县人力资源和社会保障局与茂县电信公司全业务通信合作协议》进行支付。</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认真贯彻执行国家有关的财务管理制度</w:t>
      </w:r>
      <w:r>
        <w:rPr>
          <w:rFonts w:hint="eastAsia" w:ascii="仿宋_GB2312" w:hAnsi="宋体" w:eastAsia="仿宋_GB2312"/>
          <w:sz w:val="32"/>
          <w:szCs w:val="32"/>
          <w:lang w:val="zh-CN"/>
        </w:rPr>
        <w:t>，</w:t>
      </w:r>
      <w:r>
        <w:rPr>
          <w:rFonts w:ascii="仿宋_GB2312" w:hAnsi="宋体" w:eastAsia="仿宋_GB2312"/>
          <w:sz w:val="32"/>
          <w:szCs w:val="32"/>
          <w:lang w:val="zh-CN"/>
        </w:rPr>
        <w:t>厉行节约，合理使用资金</w:t>
      </w:r>
      <w:r>
        <w:rPr>
          <w:rFonts w:hint="eastAsia" w:ascii="仿宋_GB2312" w:hAnsi="宋体" w:eastAsia="仿宋_GB2312"/>
          <w:sz w:val="32"/>
          <w:szCs w:val="32"/>
          <w:lang w:val="zh-CN"/>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numPr>
          <w:ilvl w:val="0"/>
          <w:numId w:val="4"/>
        </w:num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项目组织架构及实施流程</w:t>
      </w:r>
    </w:p>
    <w:p>
      <w:pPr>
        <w:adjustRightInd w:val="0"/>
        <w:snapToGrid w:val="0"/>
        <w:spacing w:line="576" w:lineRule="exact"/>
        <w:ind w:left="640"/>
        <w:rPr>
          <w:rFonts w:ascii="仿宋_GB2312" w:hAnsi="宋体" w:eastAsia="仿宋_GB2312"/>
          <w:sz w:val="32"/>
          <w:szCs w:val="32"/>
          <w:lang w:val="zh-CN"/>
        </w:rPr>
      </w:pPr>
      <w:r>
        <w:rPr>
          <w:rFonts w:hint="eastAsia" w:ascii="仿宋_GB2312" w:hAnsi="宋体" w:eastAsia="仿宋_GB2312"/>
          <w:sz w:val="32"/>
          <w:szCs w:val="32"/>
          <w:lang w:val="zh-CN"/>
        </w:rPr>
        <w:t>对全县11个镇金保网运行情况进行管理。</w:t>
      </w:r>
    </w:p>
    <w:p>
      <w:pPr>
        <w:adjustRightInd w:val="0"/>
        <w:snapToGrid w:val="0"/>
        <w:spacing w:line="576" w:lineRule="exact"/>
        <w:ind w:firstLine="640" w:firstLineChars="200"/>
        <w:rPr>
          <w:rFonts w:ascii="仿宋_GB2312" w:hAnsi="仿宋_GB2312" w:eastAsia="仿宋_GB2312" w:cs="仿宋_GB2312"/>
          <w:bCs/>
          <w:sz w:val="32"/>
          <w:szCs w:val="32"/>
        </w:rPr>
      </w:pPr>
      <w:r>
        <w:rPr>
          <w:rFonts w:hint="eastAsia" w:ascii="楷体_GB2312" w:hAnsi="宋体" w:eastAsia="楷体_GB2312"/>
          <w:bCs/>
          <w:sz w:val="32"/>
          <w:szCs w:val="32"/>
          <w:lang w:val="zh-CN"/>
        </w:rPr>
        <w:t>（二）项目管理情况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我局信息中心随时追踪金保网运行情况。</w:t>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（三）项目监管情况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对金保网运行情况进行监督。</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完成了全县11个镇新型农村养老保险工作的数据传送、全县社保与上级工作平台数据传送。</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提高基金征缴、支付和管理的规范化、制度化，提高社会保险基金监管部门对基金运转的透明度和知情度，有效防止冒领养老金现象，切实防范和化解基金风险，加强基金监管力度</w:t>
      </w:r>
      <w:r>
        <w:rPr>
          <w:rFonts w:hint="eastAsia" w:ascii="仿宋_GB2312" w:hAnsi="宋体" w:eastAsia="仿宋_GB2312"/>
          <w:sz w:val="32"/>
          <w:szCs w:val="32"/>
          <w:lang w:val="zh-CN"/>
        </w:rPr>
        <w:t>。</w:t>
      </w:r>
    </w:p>
    <w:p>
      <w:pPr>
        <w:pStyle w:val="24"/>
        <w:numPr>
          <w:ilvl w:val="0"/>
          <w:numId w:val="1"/>
        </w:numPr>
        <w:adjustRightInd w:val="0"/>
        <w:snapToGrid w:val="0"/>
        <w:spacing w:line="600" w:lineRule="exact"/>
        <w:ind w:firstLineChars="0"/>
        <w:rPr>
          <w:rFonts w:ascii="黑体" w:hAnsi="宋体" w:eastAsia="黑体"/>
          <w:sz w:val="32"/>
          <w:szCs w:val="32"/>
        </w:rPr>
      </w:pPr>
      <w:r>
        <w:rPr>
          <w:rFonts w:hint="eastAsia" w:ascii="黑体" w:hAnsi="宋体" w:eastAsia="黑体"/>
          <w:sz w:val="32"/>
          <w:szCs w:val="32"/>
        </w:rPr>
        <w:t>评价结论及建议</w:t>
      </w:r>
    </w:p>
    <w:p>
      <w:pPr>
        <w:adjustRightInd w:val="0"/>
        <w:snapToGrid w:val="0"/>
        <w:spacing w:line="600" w:lineRule="exact"/>
        <w:ind w:firstLine="480" w:firstLineChars="150"/>
        <w:rPr>
          <w:rFonts w:ascii="黑体" w:hAnsi="宋体" w:eastAsia="黑体"/>
          <w:sz w:val="32"/>
          <w:szCs w:val="32"/>
        </w:rPr>
      </w:pPr>
      <w:r>
        <w:rPr>
          <w:rFonts w:hint="eastAsia" w:ascii="楷体_GB2312" w:hAnsi="宋体" w:eastAsia="楷体_GB2312"/>
          <w:bCs/>
          <w:sz w:val="32"/>
          <w:szCs w:val="32"/>
          <w:lang w:val="zh-CN"/>
        </w:rPr>
        <w:t>（一）评价结论</w:t>
      </w:r>
    </w:p>
    <w:p>
      <w:pPr>
        <w:spacing w:line="580" w:lineRule="exact"/>
        <w:ind w:firstLine="640"/>
        <w:rPr>
          <w:rFonts w:ascii="仿宋_GB2312" w:hAnsi="宋体" w:eastAsia="仿宋_GB2312"/>
          <w:sz w:val="32"/>
          <w:szCs w:val="32"/>
          <w:lang w:val="zh-CN"/>
        </w:rPr>
      </w:pPr>
      <w:r>
        <w:rPr>
          <w:rFonts w:hint="eastAsia" w:ascii="仿宋_GB2312" w:hAnsi="宋体" w:eastAsia="仿宋_GB2312"/>
          <w:sz w:val="32"/>
          <w:szCs w:val="32"/>
          <w:lang w:val="zh-CN"/>
        </w:rPr>
        <w:t>完成了全县11个镇新型农村养老保险工作的数据传送、全县社保与上级工作平台数据传送。保障</w:t>
      </w:r>
      <w:r>
        <w:rPr>
          <w:rFonts w:ascii="仿宋_GB2312" w:hAnsi="宋体" w:eastAsia="仿宋_GB2312"/>
          <w:sz w:val="32"/>
          <w:szCs w:val="32"/>
          <w:lang w:val="zh-CN"/>
        </w:rPr>
        <w:t>了就业、失业</w:t>
      </w:r>
      <w:r>
        <w:rPr>
          <w:rFonts w:hint="eastAsia" w:ascii="仿宋_GB2312" w:hAnsi="宋体" w:eastAsia="仿宋_GB2312"/>
          <w:sz w:val="32"/>
          <w:szCs w:val="32"/>
          <w:lang w:val="zh-CN"/>
        </w:rPr>
        <w:t>、</w:t>
      </w:r>
      <w:r>
        <w:rPr>
          <w:rFonts w:ascii="仿宋_GB2312" w:hAnsi="宋体" w:eastAsia="仿宋_GB2312"/>
          <w:sz w:val="32"/>
          <w:szCs w:val="32"/>
          <w:lang w:val="zh-CN"/>
        </w:rPr>
        <w:t>社保和五项社会保险业务，通过信息系统将各类信息有机组合，可充分发挥社会保障体系的整体效益。</w:t>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（二）存在的问题</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单位在绩效目标自评过程中暂未发现相关问题。</w:t>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（三）相关建议</w:t>
      </w:r>
    </w:p>
    <w:p>
      <w:pPr>
        <w:spacing w:line="580" w:lineRule="exact"/>
        <w:ind w:firstLine="640" w:firstLineChars="200"/>
        <w:rPr>
          <w:rFonts w:ascii="仿宋_GB2312" w:hAnsi="宋体" w:eastAsia="仿宋_GB2312"/>
          <w:bCs/>
          <w:sz w:val="32"/>
          <w:szCs w:val="32"/>
          <w:lang w:val="zh-CN"/>
        </w:rPr>
      </w:pPr>
      <w:r>
        <w:rPr>
          <w:rFonts w:hint="eastAsia" w:ascii="仿宋_GB2312" w:hAnsi="宋体" w:eastAsia="仿宋_GB2312"/>
          <w:sz w:val="32"/>
          <w:szCs w:val="32"/>
          <w:lang w:val="zh-CN"/>
        </w:rPr>
        <w:t>在以后的工作中还需按照该协议和要求不断完善加强制度建设。建立健全单位经办机构内部控制制度；建立和完善严格的授权审批制度，明确审批人对基金和业务的授权批准方式、权限、程序、责任和相关控制措施。</w:t>
      </w:r>
    </w:p>
    <w:p>
      <w:pPr>
        <w:spacing w:line="600" w:lineRule="exact"/>
        <w:jc w:val="center"/>
        <w:outlineLvl w:val="0"/>
        <w:rPr>
          <w:rStyle w:val="25"/>
          <w:rFonts w:ascii="黑体" w:hAnsi="黑体" w:eastAsia="黑体"/>
          <w:b w:val="0"/>
        </w:rPr>
      </w:pPr>
    </w:p>
    <w:p>
      <w:pPr>
        <w:spacing w:line="600" w:lineRule="exact"/>
        <w:jc w:val="center"/>
        <w:outlineLvl w:val="0"/>
        <w:rPr>
          <w:rStyle w:val="25"/>
          <w:rFonts w:ascii="黑体" w:hAnsi="黑体" w:eastAsia="黑体"/>
          <w:b w:val="0"/>
        </w:rPr>
      </w:pPr>
    </w:p>
    <w:p>
      <w:pPr>
        <w:spacing w:line="600" w:lineRule="exact"/>
        <w:jc w:val="center"/>
        <w:outlineLvl w:val="0"/>
        <w:rPr>
          <w:rStyle w:val="25"/>
          <w:rFonts w:ascii="黑体" w:hAnsi="黑体" w:eastAsia="黑体"/>
          <w:b w:val="0"/>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zh-CN"/>
        </w:rPr>
        <w:t>退休干部活动管理费项目</w:t>
      </w: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2020年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1．对我县科级及以下退休人员活动由我局进行预算并负责开展活动。</w:t>
      </w:r>
    </w:p>
    <w:p>
      <w:pPr>
        <w:widowControl/>
        <w:spacing w:line="576" w:lineRule="exact"/>
        <w:ind w:firstLine="640" w:firstLineChars="200"/>
        <w:jc w:val="left"/>
        <w:rPr>
          <w:rFonts w:ascii="仿宋_GB2312" w:hAnsi="宋体" w:eastAsia="仿宋_GB2312"/>
          <w:sz w:val="32"/>
          <w:szCs w:val="32"/>
          <w:lang w:val="zh-CN"/>
        </w:rPr>
      </w:pPr>
      <w:r>
        <w:rPr>
          <w:rFonts w:hint="eastAsia" w:ascii="仿宋_GB2312" w:hAnsi="宋体" w:eastAsia="仿宋_GB2312"/>
          <w:sz w:val="32"/>
          <w:szCs w:val="32"/>
          <w:lang w:val="zh-CN"/>
        </w:rPr>
        <w:t>2．立项依据：阿州人社办[2011]294号《关于转发中共四川省委老干部局 四川省人力资源和社会保障厅 四川省财政厅&lt;关于调整机关事业单位县处级及以下退休人员活动经费标准的通知&gt;的通知&gt;的通知》。</w:t>
      </w:r>
    </w:p>
    <w:p>
      <w:pPr>
        <w:widowControl/>
        <w:spacing w:line="576" w:lineRule="exact"/>
        <w:ind w:firstLine="640" w:firstLineChars="200"/>
        <w:jc w:val="left"/>
        <w:rPr>
          <w:rFonts w:ascii="仿宋_GB2312" w:hAnsi="宋体" w:eastAsia="仿宋_GB2312"/>
          <w:sz w:val="32"/>
          <w:szCs w:val="32"/>
          <w:lang w:val="zh-CN"/>
        </w:rPr>
      </w:pPr>
      <w:r>
        <w:rPr>
          <w:rFonts w:hint="eastAsia" w:ascii="仿宋_GB2312" w:hAnsi="宋体" w:eastAsia="仿宋_GB2312"/>
          <w:sz w:val="32"/>
          <w:szCs w:val="32"/>
          <w:lang w:val="zh-CN"/>
        </w:rPr>
        <w:t>3．资金管理办法分配的原则: 1082人*300元+20000（看望病人）=344600元。</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widowControl/>
        <w:spacing w:line="576" w:lineRule="exact"/>
        <w:ind w:firstLine="640" w:firstLineChars="200"/>
        <w:jc w:val="left"/>
        <w:rPr>
          <w:rFonts w:ascii="仿宋_GB2312" w:hAnsi="宋体" w:eastAsia="仿宋_GB2312"/>
          <w:sz w:val="32"/>
          <w:szCs w:val="32"/>
          <w:lang w:val="zh-CN"/>
        </w:rPr>
      </w:pPr>
      <w:r>
        <w:rPr>
          <w:rFonts w:hint="eastAsia" w:ascii="仿宋_GB2312" w:hAnsi="宋体" w:eastAsia="仿宋_GB2312"/>
          <w:sz w:val="32"/>
          <w:szCs w:val="32"/>
          <w:lang w:val="zh-CN"/>
        </w:rPr>
        <w:t>1．项目主要内容：根据川人社发[2011]33号县处级及以下退休人员活动经费标准的通知及我县退休干部管理分工情况，科级及以下人员活动经费由我局进行预算并负责开展活动。</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绩效目标：由都江堰、郫县、成都联络点分别开展日常退休干部政治学习、娱乐活动；自治管理委员会的管理及办公费、看望生病职工；县人社局退管股每季度组织各自治管理委员会老干部进行政治学习；退管股慰问离世职工家属、看望生病职工；根据实际情况为老干部服务。</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《茂县人力资源和社会保障局关于解决退休人员管理相关经费的请示》</w:t>
      </w:r>
      <w:r>
        <w:rPr>
          <w:rFonts w:hint="eastAsia" w:ascii="仿宋_GB2312" w:hAnsi="宋体" w:eastAsia="仿宋_GB2312"/>
          <w:sz w:val="32"/>
          <w:szCs w:val="32"/>
          <w:lang w:val="zh-CN"/>
        </w:rPr>
        <w:t>（茂人社〔2019〕5号）</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根据退休人员开展政治学习、娱乐活动等情况进行支付。</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认真贯彻执行国家有关的财务管理制度</w:t>
      </w:r>
      <w:r>
        <w:rPr>
          <w:rFonts w:hint="eastAsia" w:ascii="仿宋_GB2312" w:hAnsi="宋体" w:eastAsia="仿宋_GB2312"/>
          <w:sz w:val="32"/>
          <w:szCs w:val="32"/>
          <w:lang w:val="zh-CN"/>
        </w:rPr>
        <w:t>，</w:t>
      </w:r>
      <w:r>
        <w:rPr>
          <w:rFonts w:ascii="仿宋_GB2312" w:hAnsi="宋体" w:eastAsia="仿宋_GB2312"/>
          <w:sz w:val="32"/>
          <w:szCs w:val="32"/>
          <w:lang w:val="zh-CN"/>
        </w:rPr>
        <w:t>厉行节约，合理使用资金</w:t>
      </w:r>
      <w:r>
        <w:rPr>
          <w:rFonts w:hint="eastAsia" w:ascii="仿宋_GB2312" w:hAnsi="宋体" w:eastAsia="仿宋_GB2312"/>
          <w:sz w:val="32"/>
          <w:szCs w:val="32"/>
          <w:lang w:val="zh-CN"/>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576" w:lineRule="exact"/>
        <w:ind w:left="640"/>
        <w:rPr>
          <w:rFonts w:ascii="楷体_GB2312" w:hAnsi="宋体" w:eastAsia="楷体_GB2312"/>
          <w:bCs/>
          <w:sz w:val="32"/>
          <w:szCs w:val="32"/>
          <w:lang w:val="zh-CN"/>
        </w:rPr>
      </w:pPr>
      <w:r>
        <w:rPr>
          <w:rFonts w:hint="eastAsia" w:ascii="楷体_GB2312" w:hAnsi="宋体" w:eastAsia="楷体_GB2312"/>
          <w:bCs/>
          <w:sz w:val="32"/>
          <w:szCs w:val="32"/>
          <w:lang w:val="zh-CN"/>
        </w:rPr>
        <w:t>（一）项目组织架构及实施流程</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根据川人社发[2011]33号县处级及以下退休人员活动经费标准的通知开展此项目。</w:t>
      </w:r>
    </w:p>
    <w:p>
      <w:pPr>
        <w:adjustRightInd w:val="0"/>
        <w:snapToGrid w:val="0"/>
        <w:spacing w:line="576" w:lineRule="exact"/>
        <w:ind w:firstLine="640" w:firstLineChars="200"/>
        <w:rPr>
          <w:rFonts w:ascii="仿宋_GB2312" w:hAnsi="仿宋_GB2312" w:eastAsia="仿宋_GB2312" w:cs="仿宋_GB2312"/>
          <w:bCs/>
          <w:sz w:val="32"/>
          <w:szCs w:val="32"/>
        </w:rPr>
      </w:pPr>
      <w:r>
        <w:rPr>
          <w:rFonts w:hint="eastAsia" w:ascii="楷体_GB2312" w:hAnsi="宋体" w:eastAsia="楷体_GB2312"/>
          <w:bCs/>
          <w:sz w:val="32"/>
          <w:szCs w:val="32"/>
          <w:lang w:val="zh-CN"/>
        </w:rPr>
        <w:t>（二）项目管理情况</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我局根据</w:t>
      </w:r>
      <w:r>
        <w:rPr>
          <w:rFonts w:hint="eastAsia" w:ascii="仿宋_GB2312" w:hAnsi="宋体" w:eastAsia="仿宋_GB2312"/>
          <w:sz w:val="32"/>
          <w:szCs w:val="32"/>
          <w:lang w:val="zh-CN"/>
        </w:rPr>
        <w:t>自治管理委员会工作开展情况进行检查。</w:t>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（三）项目监管情况</w:t>
      </w:r>
    </w:p>
    <w:p>
      <w:pPr>
        <w:adjustRightInd w:val="0"/>
        <w:snapToGrid w:val="0"/>
        <w:spacing w:line="600" w:lineRule="exact"/>
        <w:ind w:firstLine="720"/>
        <w:rPr>
          <w:rFonts w:ascii="黑体" w:hAnsi="宋体" w:eastAsia="黑体"/>
          <w:sz w:val="32"/>
          <w:szCs w:val="32"/>
        </w:rPr>
      </w:pPr>
      <w:r>
        <w:rPr>
          <w:rFonts w:hint="eastAsia" w:ascii="仿宋_GB2312" w:hAnsi="宋体" w:eastAsia="仿宋_GB2312"/>
          <w:sz w:val="32"/>
          <w:szCs w:val="32"/>
          <w:lang w:val="zh-CN"/>
        </w:rPr>
        <w:t>严格按照阿州人社办[2011]294号《关于转发中共四川省委老干部局 四川省人力资源和社会保障厅 四川省财政厅&lt;关于调整机关事业单位县处级及以下退休人员活动经费标准的通知&gt;的通知&gt;的通知》，县人社局退管股每季度组织各自治管理委员会老干部进行政治学习等根据实际情况为老干部服务。</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（一）项目完成情况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对全县科级以下退休人员1082人负责进行开展活动等服务。</w:t>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（二）项目效益情况</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eastAsia="仿宋_GB2312"/>
          <w:sz w:val="32"/>
          <w:szCs w:val="32"/>
          <w:lang w:val="zh-CN"/>
        </w:rPr>
        <w:t>由都江堰、郫县、成都联络点分别开展日常退休干部政治学习、娱乐活动等为退休干部服务。</w:t>
      </w:r>
    </w:p>
    <w:p>
      <w:pPr>
        <w:pStyle w:val="24"/>
        <w:numPr>
          <w:ilvl w:val="0"/>
          <w:numId w:val="1"/>
        </w:numPr>
        <w:adjustRightInd w:val="0"/>
        <w:snapToGrid w:val="0"/>
        <w:spacing w:line="600" w:lineRule="exact"/>
        <w:ind w:firstLineChars="0"/>
        <w:rPr>
          <w:rFonts w:ascii="黑体" w:hAnsi="宋体" w:eastAsia="黑体"/>
          <w:sz w:val="32"/>
          <w:szCs w:val="32"/>
        </w:rPr>
      </w:pPr>
      <w:r>
        <w:rPr>
          <w:rFonts w:hint="eastAsia" w:ascii="黑体" w:hAnsi="宋体" w:eastAsia="黑体"/>
          <w:sz w:val="32"/>
          <w:szCs w:val="32"/>
        </w:rPr>
        <w:t>评价结论及建议</w:t>
      </w:r>
    </w:p>
    <w:p>
      <w:pPr>
        <w:adjustRightInd w:val="0"/>
        <w:snapToGrid w:val="0"/>
        <w:spacing w:line="600" w:lineRule="exact"/>
        <w:ind w:firstLine="480" w:firstLineChars="150"/>
        <w:rPr>
          <w:rFonts w:ascii="黑体" w:hAnsi="宋体" w:eastAsia="黑体"/>
          <w:sz w:val="32"/>
          <w:szCs w:val="32"/>
        </w:rPr>
      </w:pPr>
      <w:r>
        <w:rPr>
          <w:rFonts w:hint="eastAsia" w:ascii="楷体_GB2312" w:hAnsi="宋体" w:eastAsia="楷体_GB2312"/>
          <w:bCs/>
          <w:sz w:val="32"/>
          <w:szCs w:val="32"/>
          <w:lang w:val="zh-CN"/>
        </w:rPr>
        <w:t>（一）评价结论</w:t>
      </w:r>
    </w:p>
    <w:p>
      <w:pPr>
        <w:widowControl/>
        <w:ind w:firstLine="640" w:firstLineChars="200"/>
        <w:jc w:val="left"/>
        <w:rPr>
          <w:rFonts w:ascii="仿宋_GB2312" w:hAnsi="宋体" w:eastAsia="仿宋_GB2312"/>
          <w:sz w:val="32"/>
          <w:szCs w:val="32"/>
          <w:lang w:val="zh-CN"/>
        </w:rPr>
      </w:pPr>
      <w:r>
        <w:rPr>
          <w:rFonts w:hint="eastAsia" w:ascii="仿宋_GB2312" w:hAnsi="宋体" w:eastAsia="仿宋_GB2312"/>
          <w:sz w:val="32"/>
          <w:szCs w:val="32"/>
          <w:lang w:val="zh-CN"/>
        </w:rPr>
        <w:t>由都江堰、郫县、成都联络点分别开展日常退休干部政治学习、娱乐活动；自治管理委员会的管理及办公费、看望生病职工；县人社局退管股每季度组织各自治管理委员会老干部进行政治学习；退管股慰问离世职工家属、看望生病职工；根据实际情况为老干部服务。</w:t>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（二）存在的问题</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单位在绩效目标自评过程中暂未发现相关问题。</w:t>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（三）相关建议</w:t>
      </w:r>
    </w:p>
    <w:p>
      <w:pPr>
        <w:spacing w:line="576" w:lineRule="exact"/>
        <w:ind w:firstLine="640" w:firstLineChars="200"/>
        <w:rPr>
          <w:rFonts w:ascii="仿宋_GB2312" w:hAnsi="仿宋_GB2312" w:eastAsia="仿宋_GB2312" w:cs="仿宋_GB2312"/>
          <w:color w:val="000000"/>
          <w:sz w:val="32"/>
          <w:szCs w:val="32"/>
          <w:shd w:val="clear" w:color="auto" w:fill="F9FCFE"/>
        </w:rPr>
      </w:pPr>
      <w:r>
        <w:rPr>
          <w:rFonts w:hint="eastAsia" w:ascii="仿宋_GB2312" w:hAnsi="仿宋_GB2312" w:eastAsia="仿宋_GB2312" w:cs="仿宋_GB2312"/>
          <w:sz w:val="32"/>
          <w:szCs w:val="32"/>
        </w:rPr>
        <w:t>我单位在以后的工作中还需按照相关文件、制度的规范和要求不断完善加强制度建设。建立健全单位经办机构内部控制制度；建立和完善严格的授权审批制度，明确审批人对基金和业务的授权批准方式、权限、程序、责任和相关控制措施。</w:t>
      </w:r>
    </w:p>
    <w:p>
      <w:pPr>
        <w:widowControl/>
        <w:ind w:firstLine="880" w:firstLineChars="200"/>
        <w:jc w:val="left"/>
        <w:rPr>
          <w:rStyle w:val="25"/>
          <w:rFonts w:ascii="黑体" w:hAnsi="黑体" w:eastAsia="黑体"/>
          <w:b w:val="0"/>
        </w:rPr>
      </w:pPr>
    </w:p>
    <w:p>
      <w:pPr>
        <w:widowControl/>
        <w:ind w:firstLine="1767" w:firstLineChars="400"/>
        <w:jc w:val="left"/>
        <w:rPr>
          <w:rFonts w:ascii="方正小标宋简体" w:hAnsi="宋体" w:eastAsia="方正小标宋简体"/>
          <w:color w:val="000000"/>
          <w:kern w:val="0"/>
          <w:sz w:val="44"/>
          <w:szCs w:val="44"/>
          <w:lang w:val="zh-CN"/>
        </w:rPr>
      </w:pPr>
      <w:r>
        <w:rPr>
          <w:rStyle w:val="25"/>
          <w:rFonts w:ascii="黑体" w:hAnsi="黑体" w:eastAsia="黑体"/>
        </w:rPr>
        <w:br w:type="page"/>
      </w:r>
      <w:r>
        <w:rPr>
          <w:rFonts w:hint="eastAsia" w:ascii="方正小标宋简体" w:hAnsi="宋体" w:eastAsia="方正小标宋简体"/>
          <w:color w:val="000000"/>
          <w:kern w:val="0"/>
          <w:sz w:val="44"/>
          <w:szCs w:val="44"/>
          <w:lang w:val="zh-CN"/>
        </w:rPr>
        <w:t>第一书记临岗补贴项目</w:t>
      </w: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2020年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建强基层组织、推动精准扶贫</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第一书记在乡镇党委领导和指导下帮助建强基础组织、推动精准扶贫、为民办事服务、提升治理水平。</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根据第一书记所在乡镇发放临岗补贴和乡镇工作补贴。</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黑体" w:hAnsi="宋体" w:eastAsia="黑体"/>
          <w:sz w:val="32"/>
          <w:szCs w:val="32"/>
        </w:rPr>
      </w:pPr>
      <w:r>
        <w:rPr>
          <w:rFonts w:hint="eastAsia" w:ascii="楷体_GB2312" w:hAnsi="宋体" w:eastAsia="楷体_GB2312"/>
          <w:bCs/>
          <w:sz w:val="32"/>
          <w:szCs w:val="32"/>
          <w:lang w:val="zh-CN"/>
        </w:rPr>
        <w:t>（一）项目组织架构及实施流程</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根据第一书记相关文件进行相关工作</w:t>
      </w:r>
    </w:p>
    <w:p>
      <w:pPr>
        <w:adjustRightInd w:val="0"/>
        <w:snapToGrid w:val="0"/>
        <w:spacing w:line="576" w:lineRule="exact"/>
        <w:ind w:firstLine="640" w:firstLineChars="200"/>
        <w:rPr>
          <w:rFonts w:ascii="仿宋_GB2312" w:hAnsi="仿宋_GB2312" w:eastAsia="仿宋_GB2312" w:cs="仿宋_GB2312"/>
          <w:bCs/>
          <w:sz w:val="32"/>
          <w:szCs w:val="32"/>
        </w:rPr>
      </w:pPr>
      <w:r>
        <w:rPr>
          <w:rFonts w:hint="eastAsia" w:ascii="楷体_GB2312" w:hAnsi="宋体" w:eastAsia="楷体_GB2312"/>
          <w:bCs/>
          <w:sz w:val="32"/>
          <w:szCs w:val="32"/>
          <w:lang w:val="zh-CN"/>
        </w:rPr>
        <w:t>（二）项目管理情况</w:t>
      </w:r>
    </w:p>
    <w:p>
      <w:pPr>
        <w:adjustRightInd w:val="0"/>
        <w:snapToGrid w:val="0"/>
        <w:spacing w:line="600" w:lineRule="exact"/>
        <w:ind w:firstLine="720"/>
        <w:rPr>
          <w:rFonts w:ascii="仿宋_GB2312" w:hAnsi="宋体" w:eastAsia="仿宋_GB2312"/>
          <w:sz w:val="32"/>
          <w:szCs w:val="32"/>
        </w:rPr>
      </w:pPr>
      <w:r>
        <w:rPr>
          <w:rFonts w:hint="eastAsia" w:ascii="仿宋_GB2312" w:hAnsi="仿宋_GB2312" w:eastAsia="仿宋_GB2312" w:cs="仿宋_GB2312"/>
          <w:sz w:val="32"/>
          <w:szCs w:val="32"/>
        </w:rPr>
        <w:t>单位在资金的核算中严格按规定的会计科目进行核算。</w:t>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（三）项目监管情况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仿宋_GB2312" w:eastAsia="仿宋_GB2312" w:cs="仿宋_GB2312"/>
          <w:sz w:val="32"/>
          <w:szCs w:val="32"/>
        </w:rPr>
        <w:t xml:space="preserve">单位做好与财政部门对账工作，切实加强资金监管，确保专款专用。 </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（一）项目完成情况</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第一书记在乡镇党委领导和指导下，依靠村党组织、带领村“两委”成员开展工作</w:t>
      </w:r>
      <w:r>
        <w:rPr>
          <w:rFonts w:hint="eastAsia" w:ascii="仿宋_GB2312" w:hAnsi="宋体" w:eastAsia="仿宋_GB2312"/>
          <w:sz w:val="32"/>
          <w:szCs w:val="32"/>
          <w:lang w:val="zh-CN"/>
        </w:rPr>
        <w:t>。</w:t>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（二）项目效益情况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推动中央脱贫攻坚政策精准落地。</w:t>
      </w:r>
    </w:p>
    <w:p>
      <w:pPr>
        <w:pStyle w:val="24"/>
        <w:numPr>
          <w:ilvl w:val="0"/>
          <w:numId w:val="1"/>
        </w:numPr>
        <w:adjustRightInd w:val="0"/>
        <w:snapToGrid w:val="0"/>
        <w:spacing w:line="600" w:lineRule="exact"/>
        <w:ind w:firstLineChars="0"/>
        <w:rPr>
          <w:rFonts w:ascii="黑体" w:hAnsi="宋体" w:eastAsia="黑体"/>
          <w:sz w:val="32"/>
          <w:szCs w:val="32"/>
        </w:rPr>
      </w:pPr>
      <w:r>
        <w:rPr>
          <w:rFonts w:hint="eastAsia" w:ascii="黑体" w:hAnsi="宋体" w:eastAsia="黑体"/>
          <w:sz w:val="32"/>
          <w:szCs w:val="32"/>
        </w:rPr>
        <w:t>评价结论及建议</w:t>
      </w:r>
    </w:p>
    <w:p>
      <w:pPr>
        <w:adjustRightInd w:val="0"/>
        <w:snapToGrid w:val="0"/>
        <w:spacing w:line="576" w:lineRule="exact"/>
        <w:ind w:firstLine="480" w:firstLineChars="150"/>
        <w:rPr>
          <w:rFonts w:ascii="楷体_GB2312" w:hAnsi="宋体" w:eastAsia="楷体_GB2312"/>
          <w:bCs/>
          <w:sz w:val="32"/>
          <w:szCs w:val="32"/>
          <w:lang w:val="zh-CN"/>
        </w:rPr>
      </w:pPr>
      <w:r>
        <w:rPr>
          <w:rFonts w:hint="eastAsia" w:ascii="楷体_GB2312" w:hAnsi="宋体" w:eastAsia="楷体_GB2312"/>
          <w:bCs/>
          <w:sz w:val="32"/>
          <w:szCs w:val="32"/>
          <w:lang w:val="zh-CN"/>
        </w:rPr>
        <w:t>（一）评价结论</w:t>
      </w:r>
    </w:p>
    <w:p>
      <w:pPr>
        <w:widowControl/>
        <w:ind w:firstLine="640" w:firstLineChars="200"/>
        <w:jc w:val="left"/>
        <w:rPr>
          <w:rFonts w:ascii="仿宋_GB2312" w:hAnsi="宋体" w:eastAsia="仿宋_GB2312"/>
          <w:sz w:val="32"/>
          <w:szCs w:val="32"/>
          <w:lang w:val="zh-CN"/>
        </w:rPr>
      </w:pPr>
      <w:r>
        <w:rPr>
          <w:rFonts w:hint="eastAsia" w:ascii="仿宋_GB2312" w:hAnsi="宋体" w:eastAsia="仿宋_GB2312"/>
          <w:sz w:val="32"/>
          <w:szCs w:val="32"/>
          <w:lang w:val="zh-CN"/>
        </w:rPr>
        <w:t>进一步落实关心关爱扶贫（驻村）第一书记和工作队关爱工作，推动中央脱贫攻坚政策精准落地，了解扶贫工作进展，交流工作经验，扎实推进脱贫攻坚工作。</w:t>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（二）存在的问题</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单位在绩效目标自评过程中暂未发现相关问题。</w:t>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（三）相关建议</w:t>
      </w:r>
    </w:p>
    <w:p>
      <w:pPr>
        <w:spacing w:line="576" w:lineRule="exact"/>
        <w:ind w:firstLine="640" w:firstLineChars="200"/>
        <w:rPr>
          <w:rFonts w:ascii="仿宋_GB2312" w:hAnsi="仿宋_GB2312" w:eastAsia="仿宋_GB2312" w:cs="仿宋_GB2312"/>
          <w:color w:val="000000"/>
          <w:sz w:val="32"/>
          <w:szCs w:val="32"/>
          <w:shd w:val="clear" w:color="auto" w:fill="F9FCFE"/>
        </w:rPr>
      </w:pPr>
      <w:r>
        <w:rPr>
          <w:rFonts w:hint="eastAsia" w:ascii="仿宋_GB2312" w:hAnsi="仿宋_GB2312" w:eastAsia="仿宋_GB2312" w:cs="仿宋_GB2312"/>
          <w:sz w:val="32"/>
          <w:szCs w:val="32"/>
        </w:rPr>
        <w:t>我单位在以后的工作中还需按照相关文件、制度的规范和要求不断完善加强制度建设。建立健全单位经办机构内部控制制度；建立和完善严格的授权审批制度，明确审批人对基金和业务的授权批准方式、权限、程序、责任和相关控制措施。</w:t>
      </w:r>
    </w:p>
    <w:p>
      <w:pPr>
        <w:widowControl/>
        <w:ind w:firstLine="640" w:firstLineChars="200"/>
        <w:jc w:val="left"/>
        <w:rPr>
          <w:rFonts w:ascii="仿宋_GB2312" w:hAnsi="宋体" w:eastAsia="仿宋_GB2312"/>
          <w:bCs/>
          <w:sz w:val="32"/>
          <w:szCs w:val="32"/>
        </w:rPr>
      </w:pPr>
    </w:p>
    <w:p>
      <w:pPr>
        <w:widowControl/>
        <w:ind w:firstLine="640" w:firstLineChars="200"/>
        <w:jc w:val="left"/>
        <w:rPr>
          <w:rFonts w:ascii="仿宋_GB2312" w:hAnsi="宋体" w:eastAsia="仿宋_GB2312"/>
          <w:bCs/>
          <w:sz w:val="32"/>
          <w:szCs w:val="32"/>
        </w:rPr>
      </w:pPr>
    </w:p>
    <w:p>
      <w:pPr>
        <w:widowControl/>
        <w:ind w:firstLine="640" w:firstLineChars="200"/>
        <w:jc w:val="left"/>
        <w:rPr>
          <w:rFonts w:ascii="仿宋_GB2312" w:hAnsi="宋体" w:eastAsia="仿宋_GB2312"/>
          <w:bCs/>
          <w:sz w:val="32"/>
          <w:szCs w:val="32"/>
        </w:rPr>
      </w:pPr>
    </w:p>
    <w:p>
      <w:pPr>
        <w:widowControl/>
        <w:ind w:firstLine="640" w:firstLineChars="200"/>
        <w:jc w:val="left"/>
        <w:rPr>
          <w:rFonts w:ascii="仿宋_GB2312" w:hAnsi="宋体" w:eastAsia="仿宋_GB2312"/>
          <w:bCs/>
          <w:sz w:val="32"/>
          <w:szCs w:val="32"/>
        </w:rPr>
      </w:pPr>
    </w:p>
    <w:p>
      <w:pPr>
        <w:widowControl/>
        <w:ind w:firstLine="640" w:firstLineChars="200"/>
        <w:jc w:val="left"/>
        <w:rPr>
          <w:rFonts w:ascii="仿宋_GB2312" w:hAnsi="宋体" w:eastAsia="仿宋_GB2312"/>
          <w:bCs/>
          <w:sz w:val="32"/>
          <w:szCs w:val="32"/>
        </w:rPr>
      </w:pPr>
    </w:p>
    <w:p>
      <w:pPr>
        <w:spacing w:line="600" w:lineRule="exact"/>
        <w:jc w:val="center"/>
        <w:outlineLvl w:val="0"/>
        <w:rPr>
          <w:rStyle w:val="25"/>
          <w:rFonts w:ascii="黑体" w:hAnsi="黑体" w:eastAsia="黑体"/>
          <w:b w:val="0"/>
        </w:rPr>
      </w:pPr>
    </w:p>
    <w:p>
      <w:pPr>
        <w:spacing w:line="600" w:lineRule="exact"/>
        <w:jc w:val="center"/>
        <w:outlineLvl w:val="0"/>
        <w:rPr>
          <w:rStyle w:val="25"/>
          <w:rFonts w:ascii="黑体" w:hAnsi="黑体" w:eastAsia="黑体"/>
          <w:b w:val="0"/>
        </w:rPr>
      </w:pPr>
    </w:p>
    <w:p>
      <w:pPr>
        <w:spacing w:line="600" w:lineRule="exact"/>
        <w:jc w:val="center"/>
        <w:rPr>
          <w:rFonts w:ascii="方正小标宋简体" w:hAnsi="宋体" w:eastAsia="方正小标宋简体"/>
          <w:color w:val="000000"/>
          <w:kern w:val="0"/>
          <w:sz w:val="44"/>
          <w:szCs w:val="44"/>
          <w:lang w:val="zh-CN"/>
        </w:rPr>
      </w:pPr>
      <w:bookmarkStart w:id="103" w:name="_Toc79163884"/>
      <w:bookmarkStart w:id="104" w:name="_Toc79163634"/>
      <w:r>
        <w:rPr>
          <w:rFonts w:hint="eastAsia" w:ascii="方正小标宋简体" w:hAnsi="宋体" w:eastAsia="方正小标宋简体"/>
          <w:color w:val="000000"/>
          <w:kern w:val="0"/>
          <w:sz w:val="44"/>
          <w:szCs w:val="44"/>
          <w:lang w:val="zh-CN"/>
        </w:rPr>
        <w:t>三支一扶培训费项目</w:t>
      </w: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zh-CN"/>
        </w:rPr>
        <w:t>2020年绩效评价报告</w:t>
      </w:r>
      <w:bookmarkEnd w:id="103"/>
      <w:bookmarkEnd w:id="104"/>
    </w:p>
    <w:p>
      <w:pPr>
        <w:adjustRightInd w:val="0"/>
        <w:snapToGrid w:val="0"/>
        <w:spacing w:line="600" w:lineRule="exact"/>
        <w:ind w:firstLine="720"/>
        <w:rPr>
          <w:rFonts w:ascii="方正小标宋简体" w:hAnsi="宋体" w:eastAsia="方正小标宋简体"/>
          <w:color w:val="000000"/>
          <w:kern w:val="0"/>
          <w:sz w:val="44"/>
          <w:szCs w:val="44"/>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对2020年高校毕业生“三支一扶“新招募人员岗前培训。</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更好的适应新的岗位，对</w:t>
      </w:r>
      <w:r>
        <w:rPr>
          <w:rFonts w:ascii="仿宋_GB2312" w:hAnsi="宋体" w:eastAsia="仿宋_GB2312"/>
          <w:sz w:val="32"/>
          <w:szCs w:val="32"/>
          <w:lang w:val="zh-CN"/>
        </w:rPr>
        <w:t>新招募的三支一扶人员进行岗前培训</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根据培训情况进行培训。</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根据</w:t>
      </w:r>
      <w:r>
        <w:rPr>
          <w:rFonts w:hint="eastAsia" w:ascii="仿宋_GB2312" w:hAnsi="宋体" w:eastAsia="仿宋_GB2312"/>
          <w:sz w:val="32"/>
          <w:szCs w:val="32"/>
          <w:lang w:val="zh-CN"/>
        </w:rPr>
        <w:t>三支一扶</w:t>
      </w:r>
      <w:r>
        <w:rPr>
          <w:rFonts w:ascii="仿宋_GB2312" w:hAnsi="宋体" w:eastAsia="仿宋_GB2312"/>
          <w:sz w:val="32"/>
          <w:szCs w:val="32"/>
          <w:lang w:val="zh-CN"/>
        </w:rPr>
        <w:t>相关文件及培训情况进行支付</w:t>
      </w:r>
      <w:r>
        <w:rPr>
          <w:rFonts w:hint="eastAsia" w:ascii="仿宋_GB2312" w:hAnsi="宋体" w:eastAsia="仿宋_GB2312"/>
          <w:sz w:val="32"/>
          <w:szCs w:val="32"/>
          <w:lang w:val="zh-CN"/>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楷体_GB2312" w:hAnsi="宋体" w:eastAsia="楷体_GB2312"/>
          <w:bCs/>
          <w:sz w:val="32"/>
          <w:szCs w:val="32"/>
          <w:lang w:val="zh-CN"/>
        </w:rPr>
      </w:pPr>
      <w:r>
        <w:rPr>
          <w:rFonts w:hint="eastAsia" w:ascii="楷体_GB2312" w:hAnsi="宋体" w:eastAsia="楷体_GB2312"/>
          <w:bCs/>
          <w:sz w:val="32"/>
          <w:szCs w:val="32"/>
          <w:lang w:val="zh-CN"/>
        </w:rPr>
        <w:t>（一）项目组织架构及实施流程</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根据</w:t>
      </w:r>
      <w:r>
        <w:rPr>
          <w:rFonts w:hint="eastAsia" w:ascii="仿宋_GB2312" w:hAnsi="宋体" w:eastAsia="仿宋_GB2312"/>
          <w:sz w:val="32"/>
          <w:szCs w:val="32"/>
          <w:lang w:val="zh-CN"/>
        </w:rPr>
        <w:t>三支一扶</w:t>
      </w:r>
      <w:r>
        <w:rPr>
          <w:rFonts w:ascii="仿宋_GB2312" w:hAnsi="宋体" w:eastAsia="仿宋_GB2312"/>
          <w:sz w:val="32"/>
          <w:szCs w:val="32"/>
          <w:lang w:val="zh-CN"/>
        </w:rPr>
        <w:t>相关文件进行相关工作</w:t>
      </w:r>
      <w:r>
        <w:rPr>
          <w:rFonts w:hint="eastAsia" w:ascii="仿宋_GB2312" w:hAnsi="宋体" w:eastAsia="仿宋_GB2312"/>
          <w:sz w:val="32"/>
          <w:szCs w:val="32"/>
          <w:lang w:val="zh-CN"/>
        </w:rPr>
        <w:t>。</w:t>
      </w:r>
    </w:p>
    <w:p>
      <w:pPr>
        <w:adjustRightInd w:val="0"/>
        <w:snapToGrid w:val="0"/>
        <w:spacing w:line="576" w:lineRule="exact"/>
        <w:ind w:firstLine="640" w:firstLineChars="200"/>
        <w:rPr>
          <w:rFonts w:ascii="仿宋_GB2312" w:hAnsi="仿宋_GB2312" w:eastAsia="仿宋_GB2312" w:cs="仿宋_GB2312"/>
          <w:bCs/>
          <w:sz w:val="32"/>
          <w:szCs w:val="32"/>
        </w:rPr>
      </w:pPr>
      <w:r>
        <w:rPr>
          <w:rFonts w:hint="eastAsia" w:ascii="楷体_GB2312" w:hAnsi="宋体" w:eastAsia="楷体_GB2312"/>
          <w:bCs/>
          <w:sz w:val="32"/>
          <w:szCs w:val="32"/>
          <w:lang w:val="zh-CN"/>
        </w:rPr>
        <w:t>（二）项目管理情况</w:t>
      </w:r>
    </w:p>
    <w:p>
      <w:pPr>
        <w:adjustRightInd w:val="0"/>
        <w:snapToGrid w:val="0"/>
        <w:spacing w:line="600" w:lineRule="exact"/>
        <w:ind w:firstLine="720"/>
        <w:rPr>
          <w:rFonts w:ascii="仿宋_GB2312" w:hAnsi="宋体" w:eastAsia="仿宋_GB2312"/>
          <w:sz w:val="32"/>
          <w:szCs w:val="32"/>
        </w:rPr>
      </w:pPr>
      <w:r>
        <w:rPr>
          <w:rFonts w:hint="eastAsia" w:ascii="仿宋_GB2312" w:hAnsi="仿宋_GB2312" w:eastAsia="仿宋_GB2312" w:cs="仿宋_GB2312"/>
          <w:sz w:val="32"/>
          <w:szCs w:val="32"/>
        </w:rPr>
        <w:t>单位在资金的核算中严格按规定的会计科目进行核算。</w:t>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（三）项目监管情况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仿宋_GB2312" w:eastAsia="仿宋_GB2312" w:cs="仿宋_GB2312"/>
          <w:sz w:val="32"/>
          <w:szCs w:val="32"/>
        </w:rPr>
        <w:t xml:space="preserve">单位做好与财政部门对账工作，切实加强资金监管，确保专款专用。 </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（一）项目完成情况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完成了2020年三支一扶新招募人员的培训工作。</w:t>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（二）项目效益情况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更好的使人员适应新的岗位。</w:t>
      </w:r>
    </w:p>
    <w:p>
      <w:pPr>
        <w:pStyle w:val="24"/>
        <w:numPr>
          <w:ilvl w:val="0"/>
          <w:numId w:val="1"/>
        </w:numPr>
        <w:adjustRightInd w:val="0"/>
        <w:snapToGrid w:val="0"/>
        <w:spacing w:line="600" w:lineRule="exact"/>
        <w:ind w:firstLineChars="0"/>
        <w:rPr>
          <w:rFonts w:ascii="黑体" w:hAnsi="宋体" w:eastAsia="黑体"/>
          <w:sz w:val="32"/>
          <w:szCs w:val="32"/>
        </w:rPr>
      </w:pPr>
      <w:r>
        <w:rPr>
          <w:rFonts w:hint="eastAsia" w:ascii="黑体" w:hAnsi="宋体" w:eastAsia="黑体"/>
          <w:sz w:val="32"/>
          <w:szCs w:val="32"/>
        </w:rPr>
        <w:t>评价结论及建议</w:t>
      </w:r>
    </w:p>
    <w:p>
      <w:pPr>
        <w:adjustRightInd w:val="0"/>
        <w:snapToGrid w:val="0"/>
        <w:spacing w:line="576" w:lineRule="exact"/>
        <w:ind w:firstLine="480" w:firstLineChars="150"/>
        <w:rPr>
          <w:rFonts w:ascii="楷体_GB2312" w:hAnsi="宋体" w:eastAsia="楷体_GB2312"/>
          <w:bCs/>
          <w:sz w:val="32"/>
          <w:szCs w:val="32"/>
          <w:lang w:val="zh-CN"/>
        </w:rPr>
      </w:pPr>
      <w:r>
        <w:rPr>
          <w:rFonts w:hint="eastAsia" w:ascii="楷体_GB2312" w:hAnsi="宋体" w:eastAsia="楷体_GB2312"/>
          <w:bCs/>
          <w:sz w:val="32"/>
          <w:szCs w:val="32"/>
          <w:lang w:val="zh-CN"/>
        </w:rPr>
        <w:t>（一）评价结论</w:t>
      </w:r>
    </w:p>
    <w:p>
      <w:pPr>
        <w:widowControl/>
        <w:ind w:firstLine="640" w:firstLineChars="200"/>
        <w:jc w:val="left"/>
        <w:rPr>
          <w:rFonts w:ascii="仿宋_GB2312" w:hAnsi="宋体" w:eastAsia="仿宋_GB2312"/>
          <w:sz w:val="32"/>
          <w:szCs w:val="32"/>
          <w:lang w:val="zh-CN"/>
        </w:rPr>
      </w:pPr>
      <w:r>
        <w:rPr>
          <w:rFonts w:hint="eastAsia" w:ascii="仿宋_GB2312" w:hAnsi="宋体" w:eastAsia="仿宋_GB2312"/>
          <w:sz w:val="32"/>
          <w:szCs w:val="32"/>
          <w:lang w:val="zh-CN"/>
        </w:rPr>
        <w:t>进一步加强对到农村基层从事支教、支农、支医和扶贫工作人员的管理，保障其合法权益。</w:t>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（二）存在的问题</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单位在绩效目标自评过程中暂未发现相关问题。</w:t>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（三）相关建议</w:t>
      </w:r>
    </w:p>
    <w:p>
      <w:pPr>
        <w:spacing w:line="576" w:lineRule="exact"/>
        <w:ind w:firstLine="640" w:firstLineChars="200"/>
        <w:rPr>
          <w:rFonts w:ascii="仿宋_GB2312" w:hAnsi="仿宋_GB2312" w:eastAsia="仿宋_GB2312" w:cs="仿宋_GB2312"/>
          <w:color w:val="000000"/>
          <w:sz w:val="32"/>
          <w:szCs w:val="32"/>
          <w:shd w:val="clear" w:color="auto" w:fill="F9FCFE"/>
        </w:rPr>
      </w:pPr>
      <w:r>
        <w:rPr>
          <w:rFonts w:hint="eastAsia" w:ascii="仿宋_GB2312" w:hAnsi="仿宋_GB2312" w:eastAsia="仿宋_GB2312" w:cs="仿宋_GB2312"/>
          <w:sz w:val="32"/>
          <w:szCs w:val="32"/>
        </w:rPr>
        <w:t>我单位在以后的工作中还需按照相关文件、制度的规范和要求不断完善加强制度建设。建立健全单位经办机构内部控制制度；建立和完善严格的授权审批制度，明确审批人对基金和业务的授权批准方式、权限、程序、责任和相关控制措施。</w:t>
      </w:r>
    </w:p>
    <w:p>
      <w:pPr>
        <w:widowControl/>
        <w:jc w:val="left"/>
        <w:rPr>
          <w:rStyle w:val="25"/>
          <w:rFonts w:ascii="黑体" w:hAnsi="黑体" w:eastAsia="黑体"/>
          <w:b w:val="0"/>
        </w:rPr>
      </w:pPr>
      <w:r>
        <w:rPr>
          <w:rStyle w:val="25"/>
          <w:rFonts w:ascii="黑体" w:hAnsi="黑体" w:eastAsia="黑体"/>
        </w:rPr>
        <w:br w:type="page"/>
      </w:r>
    </w:p>
    <w:p>
      <w:pPr>
        <w:spacing w:line="600" w:lineRule="exact"/>
        <w:jc w:val="center"/>
        <w:outlineLvl w:val="0"/>
        <w:rPr>
          <w:rStyle w:val="25"/>
          <w:rFonts w:ascii="黑体" w:hAnsi="黑体" w:eastAsia="黑体"/>
          <w:b w:val="0"/>
        </w:rPr>
      </w:pPr>
      <w:bookmarkStart w:id="105" w:name="_Toc15396618"/>
      <w:bookmarkStart w:id="106" w:name="_Toc79163635"/>
      <w:bookmarkStart w:id="107" w:name="_Toc79163885"/>
      <w:r>
        <w:rPr>
          <w:rFonts w:hint="eastAsia" w:ascii="黑体" w:hAnsi="黑体" w:eastAsia="黑体"/>
          <w:color w:val="000000"/>
          <w:sz w:val="44"/>
          <w:szCs w:val="44"/>
        </w:rPr>
        <w:t>第</w:t>
      </w:r>
      <w:r>
        <w:rPr>
          <w:rStyle w:val="25"/>
          <w:rFonts w:hint="eastAsia" w:ascii="黑体" w:hAnsi="黑体" w:eastAsia="黑体"/>
        </w:rPr>
        <w:t>五部分</w:t>
      </w:r>
      <w:r>
        <w:rPr>
          <w:rStyle w:val="25"/>
          <w:rFonts w:ascii="黑体" w:hAnsi="黑体" w:eastAsia="黑体"/>
        </w:rPr>
        <w:t xml:space="preserve"> </w:t>
      </w:r>
      <w:r>
        <w:rPr>
          <w:rStyle w:val="25"/>
          <w:rFonts w:hint="eastAsia" w:ascii="黑体" w:hAnsi="黑体" w:eastAsia="黑体"/>
        </w:rPr>
        <w:t>附表</w:t>
      </w:r>
      <w:bookmarkEnd w:id="98"/>
      <w:bookmarkEnd w:id="105"/>
      <w:bookmarkEnd w:id="106"/>
      <w:bookmarkEnd w:id="107"/>
    </w:p>
    <w:p>
      <w:pPr>
        <w:spacing w:line="576" w:lineRule="exact"/>
        <w:ind w:left="315" w:leftChars="150" w:firstLine="640" w:firstLineChars="200"/>
        <w:rPr>
          <w:rFonts w:ascii="仿宋_GB2312" w:hAnsi="仿宋_GB2312" w:eastAsia="仿宋_GB2312" w:cs="仿宋_GB2312"/>
          <w:color w:val="000000"/>
          <w:sz w:val="32"/>
          <w:szCs w:val="32"/>
        </w:rPr>
      </w:pPr>
      <w:bookmarkStart w:id="108" w:name="_Toc15396619"/>
      <w:bookmarkStart w:id="109" w:name="_Toc79163636"/>
      <w:bookmarkStart w:id="110" w:name="_Toc79163886"/>
    </w:p>
    <w:p>
      <w:pPr>
        <w:spacing w:line="576" w:lineRule="exact"/>
        <w:ind w:left="315" w:leftChars="15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一、收入支出决算总表</w:t>
      </w:r>
      <w:bookmarkEnd w:id="108"/>
      <w:bookmarkEnd w:id="109"/>
      <w:bookmarkEnd w:id="110"/>
    </w:p>
    <w:p>
      <w:pPr>
        <w:spacing w:line="576" w:lineRule="exact"/>
        <w:ind w:left="315" w:leftChars="150" w:firstLine="640" w:firstLineChars="200"/>
        <w:rPr>
          <w:rFonts w:ascii="仿宋_GB2312" w:hAnsi="仿宋_GB2312" w:eastAsia="仿宋_GB2312" w:cs="仿宋_GB2312"/>
          <w:color w:val="000000"/>
          <w:sz w:val="32"/>
          <w:szCs w:val="32"/>
        </w:rPr>
      </w:pPr>
      <w:bookmarkStart w:id="111" w:name="_Toc15396620"/>
      <w:bookmarkStart w:id="112" w:name="_Toc79163637"/>
      <w:bookmarkStart w:id="113" w:name="_Toc79163887"/>
      <w:r>
        <w:rPr>
          <w:rFonts w:hint="eastAsia" w:ascii="仿宋_GB2312" w:hAnsi="仿宋_GB2312" w:eastAsia="仿宋_GB2312" w:cs="仿宋_GB2312"/>
          <w:color w:val="000000"/>
          <w:sz w:val="32"/>
          <w:szCs w:val="32"/>
        </w:rPr>
        <w:t>二、收入决算表</w:t>
      </w:r>
      <w:bookmarkEnd w:id="111"/>
      <w:bookmarkEnd w:id="112"/>
      <w:bookmarkEnd w:id="113"/>
    </w:p>
    <w:p>
      <w:pPr>
        <w:spacing w:line="576" w:lineRule="exact"/>
        <w:ind w:left="315" w:leftChars="150" w:firstLine="640" w:firstLineChars="200"/>
        <w:rPr>
          <w:rFonts w:ascii="仿宋_GB2312" w:hAnsi="仿宋_GB2312" w:eastAsia="仿宋_GB2312" w:cs="仿宋_GB2312"/>
          <w:color w:val="000000"/>
          <w:sz w:val="32"/>
          <w:szCs w:val="32"/>
        </w:rPr>
      </w:pPr>
      <w:bookmarkStart w:id="114" w:name="_Toc15396621"/>
      <w:bookmarkStart w:id="115" w:name="_Toc79163638"/>
      <w:bookmarkStart w:id="116" w:name="_Toc79163888"/>
      <w:r>
        <w:rPr>
          <w:rFonts w:hint="eastAsia" w:ascii="仿宋_GB2312" w:hAnsi="仿宋_GB2312" w:eastAsia="仿宋_GB2312" w:cs="仿宋_GB2312"/>
          <w:color w:val="000000"/>
          <w:sz w:val="32"/>
          <w:szCs w:val="32"/>
        </w:rPr>
        <w:t>三、支出决算表</w:t>
      </w:r>
      <w:bookmarkEnd w:id="114"/>
      <w:bookmarkEnd w:id="115"/>
      <w:bookmarkEnd w:id="116"/>
    </w:p>
    <w:p>
      <w:pPr>
        <w:spacing w:line="576" w:lineRule="exact"/>
        <w:ind w:left="315" w:leftChars="150" w:firstLine="640" w:firstLineChars="200"/>
        <w:rPr>
          <w:rFonts w:ascii="仿宋_GB2312" w:hAnsi="仿宋_GB2312" w:eastAsia="仿宋_GB2312" w:cs="仿宋_GB2312"/>
          <w:color w:val="000000"/>
          <w:sz w:val="32"/>
          <w:szCs w:val="32"/>
        </w:rPr>
      </w:pPr>
      <w:bookmarkStart w:id="117" w:name="_Toc15396622"/>
      <w:bookmarkStart w:id="118" w:name="_Toc79163639"/>
      <w:bookmarkStart w:id="119" w:name="_Toc79163889"/>
      <w:r>
        <w:rPr>
          <w:rFonts w:hint="eastAsia" w:ascii="仿宋_GB2312" w:hAnsi="仿宋_GB2312" w:eastAsia="仿宋_GB2312" w:cs="仿宋_GB2312"/>
          <w:color w:val="000000"/>
          <w:sz w:val="32"/>
          <w:szCs w:val="32"/>
        </w:rPr>
        <w:t>四、财政拨款收入支出决算总表</w:t>
      </w:r>
      <w:bookmarkEnd w:id="117"/>
      <w:bookmarkEnd w:id="118"/>
      <w:bookmarkEnd w:id="119"/>
    </w:p>
    <w:p>
      <w:pPr>
        <w:spacing w:line="576" w:lineRule="exact"/>
        <w:ind w:left="315" w:leftChars="150" w:firstLine="640" w:firstLineChars="200"/>
        <w:rPr>
          <w:rFonts w:ascii="仿宋_GB2312" w:hAnsi="仿宋_GB2312" w:eastAsia="仿宋_GB2312" w:cs="仿宋_GB2312"/>
          <w:color w:val="000000"/>
          <w:sz w:val="32"/>
          <w:szCs w:val="32"/>
        </w:rPr>
      </w:pPr>
      <w:bookmarkStart w:id="120" w:name="_Toc79163890"/>
      <w:bookmarkStart w:id="121" w:name="_Toc79163640"/>
      <w:bookmarkStart w:id="122" w:name="_Toc15396623"/>
      <w:r>
        <w:rPr>
          <w:rFonts w:hint="eastAsia" w:ascii="仿宋_GB2312" w:hAnsi="仿宋_GB2312" w:eastAsia="仿宋_GB2312" w:cs="仿宋_GB2312"/>
          <w:color w:val="000000"/>
          <w:sz w:val="32"/>
          <w:szCs w:val="32"/>
        </w:rPr>
        <w:t>五、财政拨款支出决算明细表</w:t>
      </w:r>
      <w:bookmarkEnd w:id="120"/>
      <w:bookmarkEnd w:id="121"/>
      <w:bookmarkEnd w:id="122"/>
      <w:bookmarkStart w:id="123" w:name="_Toc15396624"/>
    </w:p>
    <w:p>
      <w:pPr>
        <w:spacing w:line="576" w:lineRule="exact"/>
        <w:ind w:left="315" w:leftChars="150" w:firstLine="640" w:firstLineChars="200"/>
        <w:rPr>
          <w:rFonts w:ascii="仿宋_GB2312" w:hAnsi="仿宋_GB2312" w:eastAsia="仿宋_GB2312" w:cs="仿宋_GB2312"/>
          <w:color w:val="000000"/>
          <w:sz w:val="32"/>
          <w:szCs w:val="32"/>
        </w:rPr>
      </w:pPr>
      <w:bookmarkStart w:id="124" w:name="_Toc79163641"/>
      <w:bookmarkStart w:id="125" w:name="_Toc79163891"/>
      <w:r>
        <w:rPr>
          <w:rFonts w:hint="eastAsia" w:ascii="仿宋_GB2312" w:hAnsi="仿宋_GB2312" w:eastAsia="仿宋_GB2312" w:cs="仿宋_GB2312"/>
          <w:color w:val="000000"/>
          <w:sz w:val="32"/>
          <w:szCs w:val="32"/>
        </w:rPr>
        <w:t>六、一般公共预算财政拨款支出决算表</w:t>
      </w:r>
      <w:bookmarkEnd w:id="123"/>
      <w:bookmarkEnd w:id="124"/>
      <w:bookmarkEnd w:id="125"/>
    </w:p>
    <w:p>
      <w:pPr>
        <w:spacing w:line="576" w:lineRule="exact"/>
        <w:ind w:left="315" w:leftChars="150" w:firstLine="640" w:firstLineChars="200"/>
        <w:rPr>
          <w:rFonts w:ascii="仿宋_GB2312" w:hAnsi="仿宋_GB2312" w:eastAsia="仿宋_GB2312" w:cs="仿宋_GB2312"/>
          <w:color w:val="000000"/>
          <w:sz w:val="32"/>
          <w:szCs w:val="32"/>
        </w:rPr>
      </w:pPr>
      <w:bookmarkStart w:id="126" w:name="_Toc15396625"/>
      <w:bookmarkStart w:id="127" w:name="_Toc79163642"/>
      <w:bookmarkStart w:id="128" w:name="_Toc79163892"/>
      <w:r>
        <w:rPr>
          <w:rFonts w:hint="eastAsia" w:ascii="仿宋_GB2312" w:hAnsi="仿宋_GB2312" w:eastAsia="仿宋_GB2312" w:cs="仿宋_GB2312"/>
          <w:color w:val="000000"/>
          <w:sz w:val="32"/>
          <w:szCs w:val="32"/>
        </w:rPr>
        <w:t>七、一般公共预算财政拨款支出决算明细表</w:t>
      </w:r>
      <w:bookmarkEnd w:id="126"/>
      <w:bookmarkEnd w:id="127"/>
      <w:bookmarkEnd w:id="128"/>
    </w:p>
    <w:p>
      <w:pPr>
        <w:spacing w:line="576" w:lineRule="exact"/>
        <w:ind w:left="315" w:leftChars="150" w:firstLine="640" w:firstLineChars="200"/>
        <w:rPr>
          <w:rFonts w:ascii="仿宋_GB2312" w:hAnsi="仿宋_GB2312" w:eastAsia="仿宋_GB2312" w:cs="仿宋_GB2312"/>
          <w:color w:val="000000"/>
          <w:sz w:val="32"/>
          <w:szCs w:val="32"/>
        </w:rPr>
      </w:pPr>
      <w:bookmarkStart w:id="129" w:name="_Toc15396626"/>
      <w:bookmarkStart w:id="130" w:name="_Toc79163643"/>
      <w:bookmarkStart w:id="131" w:name="_Toc79163893"/>
      <w:r>
        <w:rPr>
          <w:rFonts w:hint="eastAsia" w:ascii="仿宋_GB2312" w:hAnsi="仿宋_GB2312" w:eastAsia="仿宋_GB2312" w:cs="仿宋_GB2312"/>
          <w:color w:val="000000"/>
          <w:sz w:val="32"/>
          <w:szCs w:val="32"/>
        </w:rPr>
        <w:t>八、一般公共预算财政拨款基本支出决算表</w:t>
      </w:r>
      <w:bookmarkEnd w:id="129"/>
      <w:bookmarkEnd w:id="130"/>
      <w:bookmarkEnd w:id="131"/>
    </w:p>
    <w:p>
      <w:pPr>
        <w:spacing w:line="576" w:lineRule="exact"/>
        <w:ind w:left="315" w:leftChars="150" w:firstLine="640" w:firstLineChars="200"/>
        <w:rPr>
          <w:rFonts w:ascii="仿宋_GB2312" w:hAnsi="仿宋_GB2312" w:eastAsia="仿宋_GB2312" w:cs="仿宋_GB2312"/>
          <w:color w:val="000000"/>
          <w:sz w:val="32"/>
          <w:szCs w:val="32"/>
        </w:rPr>
      </w:pPr>
      <w:bookmarkStart w:id="132" w:name="_Toc15396627"/>
      <w:bookmarkStart w:id="133" w:name="_Toc79163644"/>
      <w:bookmarkStart w:id="134" w:name="_Toc79163894"/>
      <w:r>
        <w:rPr>
          <w:rFonts w:hint="eastAsia" w:ascii="仿宋_GB2312" w:hAnsi="仿宋_GB2312" w:eastAsia="仿宋_GB2312" w:cs="仿宋_GB2312"/>
          <w:color w:val="000000"/>
          <w:sz w:val="32"/>
          <w:szCs w:val="32"/>
        </w:rPr>
        <w:t>九、一般公共预算财政拨款项目支出决算表</w:t>
      </w:r>
      <w:bookmarkEnd w:id="132"/>
      <w:bookmarkEnd w:id="133"/>
      <w:bookmarkEnd w:id="134"/>
    </w:p>
    <w:p>
      <w:pPr>
        <w:spacing w:line="576" w:lineRule="exact"/>
        <w:ind w:left="315" w:leftChars="150" w:firstLine="640" w:firstLineChars="200"/>
        <w:rPr>
          <w:rFonts w:ascii="仿宋_GB2312" w:hAnsi="仿宋_GB2312" w:eastAsia="仿宋_GB2312" w:cs="仿宋_GB2312"/>
          <w:color w:val="000000"/>
          <w:sz w:val="32"/>
          <w:szCs w:val="32"/>
        </w:rPr>
      </w:pPr>
      <w:bookmarkStart w:id="135" w:name="_Toc15396628"/>
      <w:bookmarkStart w:id="136" w:name="_Toc79163645"/>
      <w:bookmarkStart w:id="137" w:name="_Toc79163895"/>
      <w:r>
        <w:rPr>
          <w:rFonts w:hint="eastAsia" w:ascii="仿宋_GB2312" w:hAnsi="仿宋_GB2312" w:eastAsia="仿宋_GB2312" w:cs="仿宋_GB2312"/>
          <w:color w:val="000000"/>
          <w:sz w:val="32"/>
          <w:szCs w:val="32"/>
        </w:rPr>
        <w:t>十、一般公共预算财政拨款“三公”经费支出决算表</w:t>
      </w:r>
      <w:bookmarkEnd w:id="135"/>
      <w:bookmarkEnd w:id="136"/>
      <w:bookmarkEnd w:id="137"/>
    </w:p>
    <w:p>
      <w:pPr>
        <w:spacing w:line="576" w:lineRule="exact"/>
        <w:ind w:left="315" w:leftChars="150" w:firstLine="640" w:firstLineChars="200"/>
        <w:rPr>
          <w:rFonts w:ascii="仿宋_GB2312" w:hAnsi="仿宋_GB2312" w:eastAsia="仿宋_GB2312" w:cs="仿宋_GB2312"/>
          <w:color w:val="000000"/>
          <w:sz w:val="32"/>
          <w:szCs w:val="32"/>
        </w:rPr>
      </w:pPr>
      <w:bookmarkStart w:id="138" w:name="_Toc15396629"/>
      <w:bookmarkStart w:id="139" w:name="_Toc79163646"/>
      <w:bookmarkStart w:id="140" w:name="_Toc79163896"/>
      <w:r>
        <w:rPr>
          <w:rFonts w:hint="eastAsia" w:ascii="仿宋_GB2312" w:hAnsi="仿宋_GB2312" w:eastAsia="仿宋_GB2312" w:cs="仿宋_GB2312"/>
          <w:color w:val="000000"/>
          <w:sz w:val="32"/>
          <w:szCs w:val="32"/>
        </w:rPr>
        <w:t>十一、政府性基金预算财政拨款收入支出决算表</w:t>
      </w:r>
      <w:bookmarkEnd w:id="138"/>
      <w:bookmarkEnd w:id="139"/>
      <w:bookmarkEnd w:id="140"/>
    </w:p>
    <w:p>
      <w:pPr>
        <w:spacing w:line="576" w:lineRule="exact"/>
        <w:ind w:left="315" w:leftChars="150" w:firstLine="640" w:firstLineChars="200"/>
        <w:rPr>
          <w:rFonts w:ascii="仿宋_GB2312" w:hAnsi="仿宋_GB2312" w:eastAsia="仿宋_GB2312" w:cs="仿宋_GB2312"/>
          <w:color w:val="000000"/>
          <w:sz w:val="32"/>
          <w:szCs w:val="32"/>
        </w:rPr>
      </w:pPr>
      <w:bookmarkStart w:id="141" w:name="_Toc15396630"/>
      <w:bookmarkStart w:id="142" w:name="_Toc79163647"/>
      <w:bookmarkStart w:id="143" w:name="_Toc79163897"/>
      <w:r>
        <w:rPr>
          <w:rFonts w:hint="eastAsia" w:ascii="仿宋_GB2312" w:hAnsi="仿宋_GB2312" w:eastAsia="仿宋_GB2312" w:cs="仿宋_GB2312"/>
          <w:color w:val="000000"/>
          <w:sz w:val="32"/>
          <w:szCs w:val="32"/>
        </w:rPr>
        <w:t>十二、政府性基金预算财政拨款“三公”经费支出决算表</w:t>
      </w:r>
      <w:bookmarkEnd w:id="141"/>
      <w:bookmarkEnd w:id="142"/>
      <w:bookmarkEnd w:id="143"/>
    </w:p>
    <w:p>
      <w:pPr>
        <w:spacing w:line="576" w:lineRule="exact"/>
        <w:ind w:left="315" w:leftChars="150" w:firstLine="640" w:firstLineChars="200"/>
        <w:rPr>
          <w:rFonts w:ascii="仿宋_GB2312" w:hAnsi="仿宋_GB2312" w:eastAsia="仿宋_GB2312" w:cs="仿宋_GB2312"/>
          <w:color w:val="000000"/>
          <w:sz w:val="32"/>
          <w:szCs w:val="32"/>
        </w:rPr>
      </w:pPr>
      <w:bookmarkStart w:id="144" w:name="_Toc15396631"/>
      <w:bookmarkStart w:id="145" w:name="_Toc79163648"/>
      <w:bookmarkStart w:id="146" w:name="_Toc79163898"/>
      <w:r>
        <w:rPr>
          <w:rFonts w:hint="eastAsia" w:ascii="仿宋_GB2312" w:hAnsi="仿宋_GB2312" w:eastAsia="仿宋_GB2312" w:cs="仿宋_GB2312"/>
          <w:color w:val="000000"/>
          <w:sz w:val="32"/>
          <w:szCs w:val="32"/>
        </w:rPr>
        <w:t>十三、国有资本经营预算财政拨款收入支出决算表</w:t>
      </w:r>
      <w:bookmarkEnd w:id="144"/>
      <w:bookmarkEnd w:id="145"/>
      <w:bookmarkEnd w:id="146"/>
    </w:p>
    <w:p>
      <w:pPr>
        <w:spacing w:line="576" w:lineRule="exact"/>
        <w:ind w:left="315" w:leftChars="150" w:firstLine="640" w:firstLineChars="200"/>
        <w:rPr>
          <w:rFonts w:ascii="仿宋_GB2312" w:hAnsi="仿宋_GB2312" w:eastAsia="仿宋_GB2312" w:cs="仿宋_GB2312"/>
          <w:color w:val="000000"/>
          <w:sz w:val="32"/>
          <w:szCs w:val="32"/>
        </w:rPr>
      </w:pPr>
      <w:bookmarkStart w:id="147" w:name="_Toc79163649"/>
      <w:bookmarkStart w:id="148" w:name="_Toc79163899"/>
      <w:r>
        <w:rPr>
          <w:rFonts w:hint="eastAsia" w:ascii="仿宋_GB2312" w:hAnsi="仿宋_GB2312" w:eastAsia="仿宋_GB2312" w:cs="仿宋_GB2312"/>
          <w:color w:val="000000"/>
          <w:sz w:val="32"/>
          <w:szCs w:val="32"/>
        </w:rPr>
        <w:t>十四、国有资本经营预算财政拨款支出决算表</w:t>
      </w:r>
      <w:bookmarkEnd w:id="147"/>
      <w:bookmarkEnd w:id="148"/>
    </w:p>
    <w:p>
      <w:pPr>
        <w:autoSpaceDE w:val="0"/>
        <w:autoSpaceDN w:val="0"/>
        <w:adjustRightInd w:val="0"/>
        <w:spacing w:line="576" w:lineRule="exact"/>
        <w:ind w:firstLine="640" w:firstLineChars="200"/>
        <w:jc w:val="left"/>
        <w:outlineLvl w:val="2"/>
        <w:rPr>
          <w:rFonts w:ascii="仿宋_GB2312" w:hAnsi="仿宋_GB2312" w:eastAsia="仿宋_GB2312" w:cs="仿宋_GB2312"/>
          <w:color w:val="000000"/>
          <w:sz w:val="32"/>
          <w:szCs w:val="32"/>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3</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6EBBE2A"/>
    <w:multiLevelType w:val="singleLevel"/>
    <w:tmpl w:val="36EBBE2A"/>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03925"/>
    <w:rsid w:val="000222C6"/>
    <w:rsid w:val="0002549F"/>
    <w:rsid w:val="00037B44"/>
    <w:rsid w:val="000468DB"/>
    <w:rsid w:val="00047587"/>
    <w:rsid w:val="0006487A"/>
    <w:rsid w:val="00065F8F"/>
    <w:rsid w:val="00070A43"/>
    <w:rsid w:val="000768F2"/>
    <w:rsid w:val="0009184B"/>
    <w:rsid w:val="000936C8"/>
    <w:rsid w:val="00094236"/>
    <w:rsid w:val="0009593C"/>
    <w:rsid w:val="00097322"/>
    <w:rsid w:val="000A025A"/>
    <w:rsid w:val="000A07EC"/>
    <w:rsid w:val="000A2D6F"/>
    <w:rsid w:val="000A4660"/>
    <w:rsid w:val="000A6A92"/>
    <w:rsid w:val="000A78B6"/>
    <w:rsid w:val="000B047F"/>
    <w:rsid w:val="000B5923"/>
    <w:rsid w:val="000B5A48"/>
    <w:rsid w:val="000B6FF3"/>
    <w:rsid w:val="000C3467"/>
    <w:rsid w:val="000C3CA6"/>
    <w:rsid w:val="000D1267"/>
    <w:rsid w:val="000D1D50"/>
    <w:rsid w:val="000D5782"/>
    <w:rsid w:val="000E6613"/>
    <w:rsid w:val="000E7119"/>
    <w:rsid w:val="000F7D14"/>
    <w:rsid w:val="00114E9B"/>
    <w:rsid w:val="00134DD3"/>
    <w:rsid w:val="00142216"/>
    <w:rsid w:val="00144D6A"/>
    <w:rsid w:val="0014729F"/>
    <w:rsid w:val="00151354"/>
    <w:rsid w:val="00157372"/>
    <w:rsid w:val="00157BAB"/>
    <w:rsid w:val="00164D2A"/>
    <w:rsid w:val="001654D1"/>
    <w:rsid w:val="00174518"/>
    <w:rsid w:val="0018106D"/>
    <w:rsid w:val="001831E2"/>
    <w:rsid w:val="001877A7"/>
    <w:rsid w:val="00191536"/>
    <w:rsid w:val="00196687"/>
    <w:rsid w:val="001C0962"/>
    <w:rsid w:val="001D7531"/>
    <w:rsid w:val="001E1DD7"/>
    <w:rsid w:val="001E737D"/>
    <w:rsid w:val="001E7D9E"/>
    <w:rsid w:val="001F0592"/>
    <w:rsid w:val="001F7506"/>
    <w:rsid w:val="001F7820"/>
    <w:rsid w:val="002006CD"/>
    <w:rsid w:val="00202B36"/>
    <w:rsid w:val="00204B7A"/>
    <w:rsid w:val="00204CDE"/>
    <w:rsid w:val="00207071"/>
    <w:rsid w:val="00210BB9"/>
    <w:rsid w:val="0021101A"/>
    <w:rsid w:val="00220536"/>
    <w:rsid w:val="002226CC"/>
    <w:rsid w:val="002233F1"/>
    <w:rsid w:val="002276C3"/>
    <w:rsid w:val="00235629"/>
    <w:rsid w:val="002509D6"/>
    <w:rsid w:val="00260C38"/>
    <w:rsid w:val="002616C0"/>
    <w:rsid w:val="00265372"/>
    <w:rsid w:val="002662AA"/>
    <w:rsid w:val="0027084F"/>
    <w:rsid w:val="00280496"/>
    <w:rsid w:val="00294DC9"/>
    <w:rsid w:val="00295495"/>
    <w:rsid w:val="002A31DE"/>
    <w:rsid w:val="002A3307"/>
    <w:rsid w:val="002B2613"/>
    <w:rsid w:val="002B7ED3"/>
    <w:rsid w:val="002D19B0"/>
    <w:rsid w:val="002D6D05"/>
    <w:rsid w:val="002F1818"/>
    <w:rsid w:val="002F567B"/>
    <w:rsid w:val="002F5F2F"/>
    <w:rsid w:val="00320D06"/>
    <w:rsid w:val="003216A9"/>
    <w:rsid w:val="0033258B"/>
    <w:rsid w:val="0033450F"/>
    <w:rsid w:val="00335A74"/>
    <w:rsid w:val="00362EA8"/>
    <w:rsid w:val="0036561B"/>
    <w:rsid w:val="00366617"/>
    <w:rsid w:val="0037013F"/>
    <w:rsid w:val="0038010F"/>
    <w:rsid w:val="00380C92"/>
    <w:rsid w:val="003A484F"/>
    <w:rsid w:val="003A4883"/>
    <w:rsid w:val="003B0BE0"/>
    <w:rsid w:val="003B0C1B"/>
    <w:rsid w:val="003B688C"/>
    <w:rsid w:val="003C0291"/>
    <w:rsid w:val="003C39AE"/>
    <w:rsid w:val="003C7B60"/>
    <w:rsid w:val="003D0C0F"/>
    <w:rsid w:val="003D1FB2"/>
    <w:rsid w:val="003D66DA"/>
    <w:rsid w:val="003E0CFB"/>
    <w:rsid w:val="003E1310"/>
    <w:rsid w:val="003E6F55"/>
    <w:rsid w:val="003F627D"/>
    <w:rsid w:val="003F6619"/>
    <w:rsid w:val="00401D55"/>
    <w:rsid w:val="00406254"/>
    <w:rsid w:val="00416CD4"/>
    <w:rsid w:val="00421F55"/>
    <w:rsid w:val="004223DE"/>
    <w:rsid w:val="00434489"/>
    <w:rsid w:val="00437085"/>
    <w:rsid w:val="00440C35"/>
    <w:rsid w:val="00441C72"/>
    <w:rsid w:val="00443880"/>
    <w:rsid w:val="00443D73"/>
    <w:rsid w:val="004464F4"/>
    <w:rsid w:val="004703B5"/>
    <w:rsid w:val="00471401"/>
    <w:rsid w:val="0047399F"/>
    <w:rsid w:val="00473F31"/>
    <w:rsid w:val="0048127E"/>
    <w:rsid w:val="0048263A"/>
    <w:rsid w:val="00487E5D"/>
    <w:rsid w:val="0049273C"/>
    <w:rsid w:val="00497B5A"/>
    <w:rsid w:val="004A711F"/>
    <w:rsid w:val="004B00CE"/>
    <w:rsid w:val="004B199D"/>
    <w:rsid w:val="004B4690"/>
    <w:rsid w:val="004E0A2D"/>
    <w:rsid w:val="004E206B"/>
    <w:rsid w:val="004E6DF7"/>
    <w:rsid w:val="004F0FBD"/>
    <w:rsid w:val="004F403E"/>
    <w:rsid w:val="00500514"/>
    <w:rsid w:val="00502A87"/>
    <w:rsid w:val="00505A47"/>
    <w:rsid w:val="00512FDA"/>
    <w:rsid w:val="00520DA0"/>
    <w:rsid w:val="005279F4"/>
    <w:rsid w:val="00532C87"/>
    <w:rsid w:val="00555552"/>
    <w:rsid w:val="00556921"/>
    <w:rsid w:val="005664BB"/>
    <w:rsid w:val="00566FFA"/>
    <w:rsid w:val="00567C22"/>
    <w:rsid w:val="0057481D"/>
    <w:rsid w:val="00575F0B"/>
    <w:rsid w:val="00583C57"/>
    <w:rsid w:val="0058486E"/>
    <w:rsid w:val="00585B33"/>
    <w:rsid w:val="0059014D"/>
    <w:rsid w:val="005B5C64"/>
    <w:rsid w:val="005C6857"/>
    <w:rsid w:val="005C6BD0"/>
    <w:rsid w:val="005C6C4C"/>
    <w:rsid w:val="005D1C8B"/>
    <w:rsid w:val="005D468D"/>
    <w:rsid w:val="005D5CED"/>
    <w:rsid w:val="005F1A4C"/>
    <w:rsid w:val="006002DF"/>
    <w:rsid w:val="00605688"/>
    <w:rsid w:val="006070AF"/>
    <w:rsid w:val="00607E6C"/>
    <w:rsid w:val="006101B1"/>
    <w:rsid w:val="00614E44"/>
    <w:rsid w:val="0062270A"/>
    <w:rsid w:val="00622830"/>
    <w:rsid w:val="00623DA0"/>
    <w:rsid w:val="00627DDB"/>
    <w:rsid w:val="00630657"/>
    <w:rsid w:val="00630AEF"/>
    <w:rsid w:val="006325F8"/>
    <w:rsid w:val="00633463"/>
    <w:rsid w:val="00634C9A"/>
    <w:rsid w:val="00635024"/>
    <w:rsid w:val="006440E4"/>
    <w:rsid w:val="0066343B"/>
    <w:rsid w:val="00664777"/>
    <w:rsid w:val="006748A4"/>
    <w:rsid w:val="00681064"/>
    <w:rsid w:val="00681A31"/>
    <w:rsid w:val="00683E73"/>
    <w:rsid w:val="0069465C"/>
    <w:rsid w:val="006A3141"/>
    <w:rsid w:val="006A5E34"/>
    <w:rsid w:val="006B2422"/>
    <w:rsid w:val="006B2B9A"/>
    <w:rsid w:val="006B7439"/>
    <w:rsid w:val="006C1937"/>
    <w:rsid w:val="006C38C5"/>
    <w:rsid w:val="006D7C94"/>
    <w:rsid w:val="006F020C"/>
    <w:rsid w:val="006F3780"/>
    <w:rsid w:val="007127B7"/>
    <w:rsid w:val="0071798E"/>
    <w:rsid w:val="007236A6"/>
    <w:rsid w:val="007258E4"/>
    <w:rsid w:val="00726C29"/>
    <w:rsid w:val="00727533"/>
    <w:rsid w:val="007416B6"/>
    <w:rsid w:val="00746F48"/>
    <w:rsid w:val="00752E95"/>
    <w:rsid w:val="0075404D"/>
    <w:rsid w:val="0076182A"/>
    <w:rsid w:val="0076598F"/>
    <w:rsid w:val="00767B7E"/>
    <w:rsid w:val="00767CC9"/>
    <w:rsid w:val="00772141"/>
    <w:rsid w:val="00773D82"/>
    <w:rsid w:val="00776629"/>
    <w:rsid w:val="007770C3"/>
    <w:rsid w:val="00784D24"/>
    <w:rsid w:val="00785FBA"/>
    <w:rsid w:val="007860C9"/>
    <w:rsid w:val="00786E4A"/>
    <w:rsid w:val="007875EB"/>
    <w:rsid w:val="0079426B"/>
    <w:rsid w:val="007A1DAA"/>
    <w:rsid w:val="007D1682"/>
    <w:rsid w:val="007D312A"/>
    <w:rsid w:val="007D3F19"/>
    <w:rsid w:val="007E23B0"/>
    <w:rsid w:val="007F1991"/>
    <w:rsid w:val="007F2C2F"/>
    <w:rsid w:val="007F55FC"/>
    <w:rsid w:val="007F5665"/>
    <w:rsid w:val="00800112"/>
    <w:rsid w:val="00807E8E"/>
    <w:rsid w:val="00813348"/>
    <w:rsid w:val="0082071C"/>
    <w:rsid w:val="008253BB"/>
    <w:rsid w:val="00833962"/>
    <w:rsid w:val="0083706E"/>
    <w:rsid w:val="008408F6"/>
    <w:rsid w:val="008423A5"/>
    <w:rsid w:val="00847A34"/>
    <w:rsid w:val="00850625"/>
    <w:rsid w:val="00853718"/>
    <w:rsid w:val="00855221"/>
    <w:rsid w:val="00860645"/>
    <w:rsid w:val="00871F71"/>
    <w:rsid w:val="00872FD8"/>
    <w:rsid w:val="00885AF4"/>
    <w:rsid w:val="008939CD"/>
    <w:rsid w:val="008A2BE1"/>
    <w:rsid w:val="008A4B53"/>
    <w:rsid w:val="008B1A58"/>
    <w:rsid w:val="008B494E"/>
    <w:rsid w:val="008B768C"/>
    <w:rsid w:val="008B7F51"/>
    <w:rsid w:val="008C08EC"/>
    <w:rsid w:val="008C4DB1"/>
    <w:rsid w:val="008C4EAF"/>
    <w:rsid w:val="008C5176"/>
    <w:rsid w:val="008C7FD0"/>
    <w:rsid w:val="008E1DE7"/>
    <w:rsid w:val="008E5932"/>
    <w:rsid w:val="008E707C"/>
    <w:rsid w:val="008F141D"/>
    <w:rsid w:val="00900B08"/>
    <w:rsid w:val="00902155"/>
    <w:rsid w:val="00902FA3"/>
    <w:rsid w:val="00914370"/>
    <w:rsid w:val="00914A73"/>
    <w:rsid w:val="00915AE4"/>
    <w:rsid w:val="00923564"/>
    <w:rsid w:val="0092392E"/>
    <w:rsid w:val="009315F9"/>
    <w:rsid w:val="00933499"/>
    <w:rsid w:val="00935C98"/>
    <w:rsid w:val="00946945"/>
    <w:rsid w:val="00951248"/>
    <w:rsid w:val="0095152F"/>
    <w:rsid w:val="00954C49"/>
    <w:rsid w:val="00955E37"/>
    <w:rsid w:val="00961A48"/>
    <w:rsid w:val="0097099F"/>
    <w:rsid w:val="00971997"/>
    <w:rsid w:val="00971FFC"/>
    <w:rsid w:val="0098660A"/>
    <w:rsid w:val="00992DCF"/>
    <w:rsid w:val="009931C3"/>
    <w:rsid w:val="00996CA5"/>
    <w:rsid w:val="009A4F00"/>
    <w:rsid w:val="009B2C43"/>
    <w:rsid w:val="009B3128"/>
    <w:rsid w:val="009B4EAE"/>
    <w:rsid w:val="009B7573"/>
    <w:rsid w:val="009C22F4"/>
    <w:rsid w:val="009C2E98"/>
    <w:rsid w:val="009C37FB"/>
    <w:rsid w:val="009D3447"/>
    <w:rsid w:val="009D4711"/>
    <w:rsid w:val="009F1185"/>
    <w:rsid w:val="009F18CD"/>
    <w:rsid w:val="009F2A13"/>
    <w:rsid w:val="009F6792"/>
    <w:rsid w:val="009F7527"/>
    <w:rsid w:val="00A039ED"/>
    <w:rsid w:val="00A04EB0"/>
    <w:rsid w:val="00A13CC1"/>
    <w:rsid w:val="00A16847"/>
    <w:rsid w:val="00A16C42"/>
    <w:rsid w:val="00A237D8"/>
    <w:rsid w:val="00A268C4"/>
    <w:rsid w:val="00A307CD"/>
    <w:rsid w:val="00A331C8"/>
    <w:rsid w:val="00A35117"/>
    <w:rsid w:val="00A40A00"/>
    <w:rsid w:val="00A4142F"/>
    <w:rsid w:val="00A422EB"/>
    <w:rsid w:val="00A45BB7"/>
    <w:rsid w:val="00A5577C"/>
    <w:rsid w:val="00A56DF2"/>
    <w:rsid w:val="00A56E6E"/>
    <w:rsid w:val="00A576C4"/>
    <w:rsid w:val="00A67AB5"/>
    <w:rsid w:val="00A733B2"/>
    <w:rsid w:val="00A741C2"/>
    <w:rsid w:val="00A778F6"/>
    <w:rsid w:val="00A86F98"/>
    <w:rsid w:val="00A91760"/>
    <w:rsid w:val="00A93B00"/>
    <w:rsid w:val="00A93C21"/>
    <w:rsid w:val="00AA347C"/>
    <w:rsid w:val="00AB64C9"/>
    <w:rsid w:val="00AC3C6A"/>
    <w:rsid w:val="00AC7903"/>
    <w:rsid w:val="00AD0F83"/>
    <w:rsid w:val="00AD5620"/>
    <w:rsid w:val="00AD656B"/>
    <w:rsid w:val="00AD7C1B"/>
    <w:rsid w:val="00AE16BA"/>
    <w:rsid w:val="00AE1EBE"/>
    <w:rsid w:val="00AF37A0"/>
    <w:rsid w:val="00B03C9D"/>
    <w:rsid w:val="00B04C7B"/>
    <w:rsid w:val="00B060AE"/>
    <w:rsid w:val="00B10517"/>
    <w:rsid w:val="00B10F2B"/>
    <w:rsid w:val="00B14E76"/>
    <w:rsid w:val="00B161B8"/>
    <w:rsid w:val="00B2048C"/>
    <w:rsid w:val="00B20A7D"/>
    <w:rsid w:val="00B20D4C"/>
    <w:rsid w:val="00B310B9"/>
    <w:rsid w:val="00B35F3F"/>
    <w:rsid w:val="00B36CBB"/>
    <w:rsid w:val="00B425E0"/>
    <w:rsid w:val="00B440AA"/>
    <w:rsid w:val="00B44B70"/>
    <w:rsid w:val="00B45D91"/>
    <w:rsid w:val="00B53C56"/>
    <w:rsid w:val="00B57DAF"/>
    <w:rsid w:val="00B66F66"/>
    <w:rsid w:val="00B73F29"/>
    <w:rsid w:val="00B77EA6"/>
    <w:rsid w:val="00B81345"/>
    <w:rsid w:val="00B81598"/>
    <w:rsid w:val="00B841F1"/>
    <w:rsid w:val="00B928EE"/>
    <w:rsid w:val="00B931C7"/>
    <w:rsid w:val="00B944D6"/>
    <w:rsid w:val="00B951BD"/>
    <w:rsid w:val="00BA2A5A"/>
    <w:rsid w:val="00BB4DF0"/>
    <w:rsid w:val="00BC289F"/>
    <w:rsid w:val="00BC2D50"/>
    <w:rsid w:val="00BC5361"/>
    <w:rsid w:val="00BC5460"/>
    <w:rsid w:val="00BC6B50"/>
    <w:rsid w:val="00BD0E25"/>
    <w:rsid w:val="00BE0091"/>
    <w:rsid w:val="00BE4B75"/>
    <w:rsid w:val="00BF5BD6"/>
    <w:rsid w:val="00BF7AA1"/>
    <w:rsid w:val="00C03E31"/>
    <w:rsid w:val="00C277F8"/>
    <w:rsid w:val="00C30E69"/>
    <w:rsid w:val="00C33E72"/>
    <w:rsid w:val="00C354B2"/>
    <w:rsid w:val="00C35554"/>
    <w:rsid w:val="00C42709"/>
    <w:rsid w:val="00C43ABB"/>
    <w:rsid w:val="00C533CC"/>
    <w:rsid w:val="00C5751C"/>
    <w:rsid w:val="00C61BFC"/>
    <w:rsid w:val="00C62B85"/>
    <w:rsid w:val="00C65438"/>
    <w:rsid w:val="00C67F3F"/>
    <w:rsid w:val="00C7013E"/>
    <w:rsid w:val="00C818C4"/>
    <w:rsid w:val="00C860DE"/>
    <w:rsid w:val="00C91CBB"/>
    <w:rsid w:val="00C922B5"/>
    <w:rsid w:val="00CB4E70"/>
    <w:rsid w:val="00CC09B6"/>
    <w:rsid w:val="00CC3A69"/>
    <w:rsid w:val="00CC666F"/>
    <w:rsid w:val="00CD1E3F"/>
    <w:rsid w:val="00CE44F6"/>
    <w:rsid w:val="00CE49DA"/>
    <w:rsid w:val="00CE68D7"/>
    <w:rsid w:val="00CE7B61"/>
    <w:rsid w:val="00D00095"/>
    <w:rsid w:val="00D114F0"/>
    <w:rsid w:val="00D178E7"/>
    <w:rsid w:val="00D179F5"/>
    <w:rsid w:val="00D20620"/>
    <w:rsid w:val="00D2207C"/>
    <w:rsid w:val="00D254F7"/>
    <w:rsid w:val="00D26091"/>
    <w:rsid w:val="00D2685C"/>
    <w:rsid w:val="00D335A0"/>
    <w:rsid w:val="00D34E7C"/>
    <w:rsid w:val="00D35489"/>
    <w:rsid w:val="00D36AFE"/>
    <w:rsid w:val="00D44B74"/>
    <w:rsid w:val="00D45274"/>
    <w:rsid w:val="00D51276"/>
    <w:rsid w:val="00D52F41"/>
    <w:rsid w:val="00D64C67"/>
    <w:rsid w:val="00D7035F"/>
    <w:rsid w:val="00D83742"/>
    <w:rsid w:val="00D90266"/>
    <w:rsid w:val="00D92DA7"/>
    <w:rsid w:val="00DA634F"/>
    <w:rsid w:val="00DA65AC"/>
    <w:rsid w:val="00DB1913"/>
    <w:rsid w:val="00DC410D"/>
    <w:rsid w:val="00DC5A81"/>
    <w:rsid w:val="00DC68CA"/>
    <w:rsid w:val="00DC7CBA"/>
    <w:rsid w:val="00DD49C2"/>
    <w:rsid w:val="00DD73B7"/>
    <w:rsid w:val="00DF28BC"/>
    <w:rsid w:val="00DF2E69"/>
    <w:rsid w:val="00DF3322"/>
    <w:rsid w:val="00DF34B9"/>
    <w:rsid w:val="00DF7548"/>
    <w:rsid w:val="00DF769A"/>
    <w:rsid w:val="00E01053"/>
    <w:rsid w:val="00E07ACF"/>
    <w:rsid w:val="00E331A1"/>
    <w:rsid w:val="00E33202"/>
    <w:rsid w:val="00E336A9"/>
    <w:rsid w:val="00E3642A"/>
    <w:rsid w:val="00E46A67"/>
    <w:rsid w:val="00E472B1"/>
    <w:rsid w:val="00E50624"/>
    <w:rsid w:val="00E566AD"/>
    <w:rsid w:val="00E568DF"/>
    <w:rsid w:val="00E64269"/>
    <w:rsid w:val="00E66797"/>
    <w:rsid w:val="00E82267"/>
    <w:rsid w:val="00E853CE"/>
    <w:rsid w:val="00E867B6"/>
    <w:rsid w:val="00E87F08"/>
    <w:rsid w:val="00E90A5E"/>
    <w:rsid w:val="00E95D55"/>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25A72"/>
    <w:rsid w:val="00F2671F"/>
    <w:rsid w:val="00F36D8F"/>
    <w:rsid w:val="00F417B1"/>
    <w:rsid w:val="00F45853"/>
    <w:rsid w:val="00F602DF"/>
    <w:rsid w:val="00F754A1"/>
    <w:rsid w:val="00F81FD9"/>
    <w:rsid w:val="00F841AA"/>
    <w:rsid w:val="00F84A94"/>
    <w:rsid w:val="00F87E96"/>
    <w:rsid w:val="00FA23E8"/>
    <w:rsid w:val="00FD3CC1"/>
    <w:rsid w:val="00FF1E02"/>
    <w:rsid w:val="00FF30B4"/>
    <w:rsid w:val="10C055FF"/>
    <w:rsid w:val="16BB723D"/>
    <w:rsid w:val="19340090"/>
    <w:rsid w:val="240371BF"/>
    <w:rsid w:val="27266A89"/>
    <w:rsid w:val="29FD04D3"/>
    <w:rsid w:val="319F7F4E"/>
    <w:rsid w:val="4ECE2238"/>
    <w:rsid w:val="608D6928"/>
    <w:rsid w:val="6D5B1064"/>
    <w:rsid w:val="6FF14BA2"/>
    <w:rsid w:val="72734D9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Emphasis"/>
    <w:basedOn w:val="13"/>
    <w:qFormat/>
    <w:uiPriority w:val="20"/>
    <w:rPr>
      <w:i/>
      <w:iCs/>
    </w:rPr>
  </w:style>
  <w:style w:type="character" w:styleId="16">
    <w:name w:val="Hyperlink"/>
    <w:basedOn w:val="13"/>
    <w:unhideWhenUsed/>
    <w:qFormat/>
    <w:uiPriority w:val="99"/>
    <w:rPr>
      <w:color w:val="0000FF" w:themeColor="hyperlink"/>
      <w:u w:val="single"/>
    </w:rPr>
  </w:style>
  <w:style w:type="character" w:customStyle="1" w:styleId="17">
    <w:name w:val="Header Char"/>
    <w:basedOn w:val="13"/>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3"/>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3"/>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3"/>
    <w:link w:val="2"/>
    <w:qFormat/>
    <w:uiPriority w:val="9"/>
    <w:rPr>
      <w:rFonts w:ascii="Times New Roman" w:hAnsi="Times New Roman"/>
      <w:b/>
      <w:bCs/>
      <w:kern w:val="44"/>
      <w:sz w:val="44"/>
      <w:szCs w:val="44"/>
    </w:rPr>
  </w:style>
  <w:style w:type="character" w:customStyle="1" w:styleId="26">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Char"/>
    <w:basedOn w:val="13"/>
    <w:link w:val="7"/>
    <w:semiHidden/>
    <w:qFormat/>
    <w:uiPriority w:val="99"/>
    <w:rPr>
      <w:rFonts w:ascii="Times New Roman" w:hAnsi="Times New Roman"/>
      <w:kern w:val="2"/>
      <w:sz w:val="18"/>
      <w:szCs w:val="18"/>
    </w:rPr>
  </w:style>
  <w:style w:type="character" w:customStyle="1" w:styleId="29">
    <w:name w:val="标题 3 Char"/>
    <w:basedOn w:val="13"/>
    <w:link w:val="4"/>
    <w:qFormat/>
    <w:uiPriority w:val="9"/>
    <w:rPr>
      <w:rFonts w:ascii="Times New Roman" w:hAnsi="Times New Roman"/>
      <w:b/>
      <w:bCs/>
      <w:kern w:val="2"/>
      <w:sz w:val="32"/>
      <w:szCs w:val="32"/>
    </w:rPr>
  </w:style>
  <w:style w:type="paragraph" w:customStyle="1" w:styleId="30">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styleId="31">
    <w:name w:val="No Spacing"/>
    <w:link w:val="32"/>
    <w:qFormat/>
    <w:uiPriority w:val="99"/>
    <w:pPr>
      <w:widowControl w:val="0"/>
      <w:jc w:val="both"/>
    </w:pPr>
    <w:rPr>
      <w:rFonts w:ascii="Calibri" w:hAnsi="Calibri" w:eastAsia="宋体" w:cs="Times New Roman"/>
      <w:kern w:val="2"/>
      <w:sz w:val="21"/>
      <w:szCs w:val="22"/>
      <w:lang w:val="en-US" w:eastAsia="zh-CN" w:bidi="ar-SA"/>
    </w:rPr>
  </w:style>
  <w:style w:type="character" w:customStyle="1" w:styleId="32">
    <w:name w:val="无间隔 Char"/>
    <w:basedOn w:val="13"/>
    <w:link w:val="31"/>
    <w:qFormat/>
    <w:locked/>
    <w:uiPriority w:val="99"/>
    <w:rPr>
      <w:kern w:val="2"/>
      <w:sz w:val="21"/>
      <w:szCs w:val="22"/>
    </w:rPr>
  </w:style>
  <w:style w:type="character" w:customStyle="1" w:styleId="33">
    <w:name w:val="apple-converted-space"/>
    <w:basedOn w:val="13"/>
    <w:qFormat/>
    <w:uiPriority w:val="99"/>
    <w:rPr>
      <w:rFonts w:cs="Times New Roman"/>
    </w:rPr>
  </w:style>
  <w:style w:type="paragraph" w:customStyle="1" w:styleId="34">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35">
    <w:name w:val="标题 1 Char1"/>
    <w:basedOn w:val="13"/>
    <w:qFormat/>
    <w:uiPriority w:val="9"/>
    <w:rPr>
      <w:rFonts w:ascii="Times New Roman" w:hAnsi="Times New Roman"/>
      <w:b/>
      <w:bCs/>
      <w:kern w:val="44"/>
      <w:sz w:val="44"/>
      <w:szCs w:val="44"/>
    </w:rPr>
  </w:style>
  <w:style w:type="paragraph" w:customStyle="1" w:styleId="36">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收支决算总计变动情况图</a:t>
            </a:r>
            <a:endParaRPr lang="zh-CN" altLang="en-US"/>
          </a:p>
        </c:rich>
      </c:tx>
      <c:layout>
        <c:manualLayout>
          <c:xMode val="edge"/>
          <c:yMode val="edge"/>
          <c:x val="0.241427788658611"/>
          <c:y val="0.0330237358101136"/>
        </c:manualLayout>
      </c:layout>
      <c:overlay val="0"/>
    </c:title>
    <c:autoTitleDeleted val="0"/>
    <c:plotArea>
      <c:layout>
        <c:manualLayout>
          <c:layoutTarget val="inner"/>
          <c:xMode val="edge"/>
          <c:yMode val="edge"/>
          <c:x val="0.0769356344423433"/>
          <c:y val="0.212981143314532"/>
          <c:w val="0.763500149073545"/>
          <c:h val="0.680324640271031"/>
        </c:manualLayout>
      </c:layout>
      <c:barChart>
        <c:barDir val="col"/>
        <c:grouping val="clustered"/>
        <c:varyColors val="0"/>
        <c:ser>
          <c:idx val="0"/>
          <c:order val="0"/>
          <c:tx>
            <c:strRef>
              <c:f>Sheet1!$B$1</c:f>
              <c:strCache>
                <c:ptCount val="1"/>
                <c:pt idx="0">
                  <c:v>2019年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800.96</c:v>
                </c:pt>
              </c:numCache>
            </c:numRef>
          </c:val>
        </c:ser>
        <c:ser>
          <c:idx val="1"/>
          <c:order val="1"/>
          <c:tx>
            <c:strRef>
              <c:f>Sheet1!$C$1</c:f>
              <c:strCache>
                <c:ptCount val="1"/>
                <c:pt idx="0">
                  <c:v>2020年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574.59</c:v>
                </c:pt>
              </c:numCache>
            </c:numRef>
          </c:val>
        </c:ser>
        <c:dLbls>
          <c:showLegendKey val="0"/>
          <c:showVal val="1"/>
          <c:showCatName val="0"/>
          <c:showSerName val="0"/>
          <c:showPercent val="0"/>
          <c:showBubbleSize val="0"/>
        </c:dLbls>
        <c:gapWidth val="150"/>
        <c:axId val="125475072"/>
        <c:axId val="125493248"/>
      </c:barChart>
      <c:catAx>
        <c:axId val="125475072"/>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5493248"/>
        <c:crosses val="autoZero"/>
        <c:auto val="1"/>
        <c:lblAlgn val="ctr"/>
        <c:lblOffset val="100"/>
        <c:noMultiLvlLbl val="0"/>
      </c:catAx>
      <c:valAx>
        <c:axId val="125493248"/>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547507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en-US" altLang="zh-CN" sz="1200"/>
              <a:t>2020</a:t>
            </a:r>
            <a:r>
              <a:rPr lang="zh-CN" altLang="en-US" sz="1200"/>
              <a:t>年收入决算结构图</a:t>
            </a:r>
            <a:endParaRPr lang="zh-CN" altLang="en-US" sz="1200"/>
          </a:p>
        </c:rich>
      </c:tx>
      <c:layout/>
      <c:overlay val="0"/>
    </c:title>
    <c:autoTitleDeleted val="0"/>
    <c:plotArea>
      <c:layout>
        <c:manualLayout>
          <c:layoutTarget val="inner"/>
          <c:xMode val="edge"/>
          <c:yMode val="edge"/>
          <c:x val="0.215995924342381"/>
          <c:y val="0.217391304347827"/>
          <c:w val="0.296150696150697"/>
          <c:h val="0.655072463768119"/>
        </c:manualLayout>
      </c:layout>
      <c:pieChart>
        <c:varyColors val="1"/>
        <c:ser>
          <c:idx val="0"/>
          <c:order val="0"/>
          <c:tx>
            <c:strRef>
              <c:f>Sheet1!$B$1</c:f>
              <c:strCache>
                <c:ptCount val="1"/>
                <c:pt idx="0">
                  <c:v>2020年部门决算收入结构图</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Lbls>
            <c:dLbl>
              <c:idx val="0"/>
              <c:layout>
                <c:manualLayout>
                  <c:x val="0.00527981755089603"/>
                  <c:y val="-0.346956195692931"/>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altLang="en-US" sz="1600"/>
                      <a:t>1</a:t>
                    </a:r>
                    <a:r>
                      <a:rPr altLang="en-US"/>
                      <a:t>00</a:t>
                    </a:r>
                    <a:r>
                      <a:rPr lang="en-US" altLang="zh-CN"/>
                      <a:t>%</a:t>
                    </a:r>
                    <a:endParaRPr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delete val="1"/>
            </c:dLbl>
            <c:dLbl>
              <c:idx val="2"/>
              <c:delete val="1"/>
            </c:dLbl>
            <c:dLbl>
              <c:idx val="3"/>
              <c:delete val="1"/>
            </c:dLbl>
            <c:dLbl>
              <c:idx val="4"/>
              <c:delete val="1"/>
            </c:dLbl>
            <c:dLbl>
              <c:idx val="5"/>
              <c:delete val="1"/>
            </c:dLbl>
            <c:dLbl>
              <c:idx val="6"/>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General</c:formatCode>
                <c:ptCount val="7"/>
                <c:pt idx="0">
                  <c:v>100</c:v>
                </c:pt>
                <c:pt idx="6">
                  <c:v>0</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0.640000000000002"/>
          <c:y val="0.192746260074381"/>
          <c:w val="0.342222222222222"/>
          <c:h val="0.738888734314576"/>
        </c:manualLayout>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2020</a:t>
            </a:r>
            <a:r>
              <a:rPr lang="zh-CN" altLang="en-US"/>
              <a:t>年支出决算结构图</a:t>
            </a:r>
            <a:endParaRPr lang="zh-CN" altLang="en-US"/>
          </a:p>
        </c:rich>
      </c:tx>
      <c:layout/>
      <c:overlay val="0"/>
    </c:title>
    <c:autoTitleDeleted val="0"/>
    <c:plotArea>
      <c:layout/>
      <c:pieChart>
        <c:varyColors val="1"/>
        <c:ser>
          <c:idx val="0"/>
          <c:order val="0"/>
          <c:tx>
            <c:strRef>
              <c:f>Sheet1!$B$1</c:f>
              <c:strCache>
                <c:ptCount val="1"/>
                <c:pt idx="0">
                  <c:v>支出决算结构图</c:v>
                </c:pt>
              </c:strCache>
            </c:strRef>
          </c:tx>
          <c:explosion val="0"/>
          <c:dPt>
            <c:idx val="0"/>
            <c:bubble3D val="0"/>
          </c:dPt>
          <c:dPt>
            <c:idx val="1"/>
            <c:bubble3D val="0"/>
          </c:dPt>
          <c:dPt>
            <c:idx val="2"/>
            <c:bubble3D val="0"/>
          </c:dPt>
          <c:dPt>
            <c:idx val="3"/>
            <c:bubble3D val="0"/>
          </c:dPt>
          <c:dPt>
            <c:idx val="4"/>
            <c:bubble3D val="0"/>
          </c:dPt>
          <c:dLbls>
            <c:dLbl>
              <c:idx val="0"/>
              <c:delete val="1"/>
            </c:dLbl>
            <c:dLbl>
              <c:idx val="1"/>
              <c:layout>
                <c:manualLayout>
                  <c:x val="0.0819943075202652"/>
                  <c:y val="0.0381749651454679"/>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96.67</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415429771833049"/>
                  <c:y val="0.0116192618779795"/>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3.33</a:t>
                    </a:r>
                    <a:r>
                      <a:rPr lang="en-US" altLang="zh-CN"/>
                      <a:t>%</a:t>
                    </a:r>
                    <a:endParaRPr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4"/>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96.67</c:v>
                </c:pt>
                <c:pt idx="1">
                  <c:v>3.33</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r>
              <a:rPr lang="zh-CN" altLang="en-US" sz="1400"/>
              <a:t>财政拨款收支决算总计变动情况图</a:t>
            </a:r>
            <a:endParaRPr lang="zh-CN" altLang="en-US" sz="1400"/>
          </a:p>
        </c:rich>
      </c:tx>
      <c:layout>
        <c:manualLayout>
          <c:xMode val="edge"/>
          <c:yMode val="edge"/>
          <c:x val="0.239012324546388"/>
          <c:y val="0.0521624031445835"/>
        </c:manualLayout>
      </c:layout>
      <c:overlay val="0"/>
    </c:title>
    <c:autoTitleDeleted val="0"/>
    <c:plotArea>
      <c:layout>
        <c:manualLayout>
          <c:layoutTarget val="inner"/>
          <c:xMode val="edge"/>
          <c:yMode val="edge"/>
          <c:x val="0.0769356344423434"/>
          <c:y val="0.212981143314532"/>
          <c:w val="0.763500149073545"/>
          <c:h val="0.68032464027103"/>
        </c:manualLayout>
      </c:layout>
      <c:barChart>
        <c:barDir val="col"/>
        <c:grouping val="clustered"/>
        <c:varyColors val="0"/>
        <c:ser>
          <c:idx val="0"/>
          <c:order val="0"/>
          <c:tx>
            <c:strRef>
              <c:f>Sheet1!$B$1</c:f>
              <c:strCache>
                <c:ptCount val="1"/>
                <c:pt idx="0">
                  <c:v>2019年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800.96</c:v>
                </c:pt>
              </c:numCache>
            </c:numRef>
          </c:val>
        </c:ser>
        <c:ser>
          <c:idx val="1"/>
          <c:order val="1"/>
          <c:tx>
            <c:strRef>
              <c:f>Sheet1!$C$1</c:f>
              <c:strCache>
                <c:ptCount val="1"/>
                <c:pt idx="0">
                  <c:v>2020年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574.59</c:v>
                </c:pt>
              </c:numCache>
            </c:numRef>
          </c:val>
        </c:ser>
        <c:dLbls>
          <c:showLegendKey val="0"/>
          <c:showVal val="1"/>
          <c:showCatName val="0"/>
          <c:showSerName val="0"/>
          <c:showPercent val="0"/>
          <c:showBubbleSize val="0"/>
        </c:dLbls>
        <c:gapWidth val="150"/>
        <c:axId val="126200448"/>
        <c:axId val="126210432"/>
      </c:barChart>
      <c:catAx>
        <c:axId val="126200448"/>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6210432"/>
        <c:crosses val="autoZero"/>
        <c:auto val="1"/>
        <c:lblAlgn val="ctr"/>
        <c:lblOffset val="100"/>
        <c:noMultiLvlLbl val="0"/>
      </c:catAx>
      <c:valAx>
        <c:axId val="126210432"/>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620044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zh-CN" altLang="en-US" sz="1200"/>
              <a:t>一般公共预算财政拨款支出决算变动情况图</a:t>
            </a:r>
            <a:endParaRPr lang="zh-CN" altLang="en-US" sz="1200"/>
          </a:p>
        </c:rich>
      </c:tx>
      <c:layout/>
      <c:overlay val="0"/>
    </c:title>
    <c:autoTitleDeleted val="0"/>
    <c:plotArea>
      <c:layout>
        <c:manualLayout>
          <c:layoutTarget val="inner"/>
          <c:xMode val="edge"/>
          <c:yMode val="edge"/>
          <c:x val="0.0746107073721493"/>
          <c:y val="0.209319129226494"/>
          <c:w val="0.770646966143443"/>
          <c:h val="0.683986901018178"/>
        </c:manualLayout>
      </c:layout>
      <c:barChart>
        <c:barDir val="col"/>
        <c:grouping val="clustered"/>
        <c:varyColors val="0"/>
        <c:ser>
          <c:idx val="0"/>
          <c:order val="0"/>
          <c:tx>
            <c:strRef>
              <c:f>Sheet1!$B$1</c:f>
              <c:strCache>
                <c:ptCount val="1"/>
                <c:pt idx="0">
                  <c:v>2019年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Sheet1!$B$2</c:f>
              <c:numCache>
                <c:formatCode>General</c:formatCode>
                <c:ptCount val="1"/>
                <c:pt idx="0">
                  <c:v>780.1</c:v>
                </c:pt>
              </c:numCache>
            </c:numRef>
          </c:val>
        </c:ser>
        <c:ser>
          <c:idx val="1"/>
          <c:order val="1"/>
          <c:tx>
            <c:strRef>
              <c:f>Sheet1!$C$1</c:f>
              <c:strCache>
                <c:ptCount val="1"/>
                <c:pt idx="0">
                  <c:v>2020年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Sheet1!$C$2</c:f>
              <c:numCache>
                <c:formatCode>General</c:formatCode>
                <c:ptCount val="1"/>
                <c:pt idx="0">
                  <c:v>574.59</c:v>
                </c:pt>
              </c:numCache>
            </c:numRef>
          </c:val>
        </c:ser>
        <c:dLbls>
          <c:showLegendKey val="0"/>
          <c:showVal val="1"/>
          <c:showCatName val="0"/>
          <c:showSerName val="0"/>
          <c:showPercent val="0"/>
          <c:showBubbleSize val="0"/>
        </c:dLbls>
        <c:gapWidth val="150"/>
        <c:axId val="126268160"/>
        <c:axId val="126269696"/>
      </c:barChart>
      <c:catAx>
        <c:axId val="12626816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6269696"/>
        <c:crosses val="autoZero"/>
        <c:auto val="1"/>
        <c:lblAlgn val="ctr"/>
        <c:lblOffset val="100"/>
        <c:noMultiLvlLbl val="0"/>
      </c:catAx>
      <c:valAx>
        <c:axId val="12626969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6268160"/>
        <c:crosses val="autoZero"/>
        <c:crossBetween val="between"/>
      </c:valAx>
    </c:plotArea>
    <c:legend>
      <c:legendPos val="r"/>
      <c:layout>
        <c:manualLayout>
          <c:xMode val="edge"/>
          <c:yMode val="edge"/>
          <c:x val="0.881289744596317"/>
          <c:y val="0.460636092476829"/>
          <c:w val="0.118710255403683"/>
          <c:h val="0.209961258471138"/>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altLang="en-US" sz="1400"/>
              <a:t>20</a:t>
            </a:r>
            <a:r>
              <a:rPr lang="en-US" altLang="zh-CN" sz="1400"/>
              <a:t>20</a:t>
            </a:r>
            <a:r>
              <a:rPr altLang="en-US" sz="1400"/>
              <a:t>年</a:t>
            </a:r>
            <a:r>
              <a:rPr lang="zh-CN" altLang="en-US" sz="1400"/>
              <a:t>一般公共预算财政拨款</a:t>
            </a:r>
            <a:r>
              <a:rPr altLang="en-US" sz="1400"/>
              <a:t>支出</a:t>
            </a:r>
            <a:r>
              <a:rPr lang="zh-CN" altLang="en-US" sz="1400"/>
              <a:t>决算</a:t>
            </a:r>
            <a:r>
              <a:rPr altLang="en-US" sz="1400"/>
              <a:t>结构图</a:t>
            </a:r>
            <a:endParaRPr altLang="en-US" sz="1400"/>
          </a:p>
        </c:rich>
      </c:tx>
      <c:layout>
        <c:manualLayout>
          <c:xMode val="edge"/>
          <c:yMode val="edge"/>
          <c:x val="0.157430432208408"/>
          <c:y val="0.0326441784548423"/>
        </c:manualLayout>
      </c:layout>
      <c:overlay val="0"/>
    </c:title>
    <c:autoTitleDeleted val="0"/>
    <c:plotArea>
      <c:layout/>
      <c:pieChart>
        <c:varyColors val="1"/>
        <c:ser>
          <c:idx val="0"/>
          <c:order val="0"/>
          <c:tx>
            <c:strRef>
              <c:f>Sheet1!$B$1</c:f>
              <c:strCache>
                <c:ptCount val="1"/>
                <c:pt idx="0">
                  <c:v>2020年部门决算支出结构图</c:v>
                </c:pt>
              </c:strCache>
            </c:strRef>
          </c:tx>
          <c:explosion val="0"/>
          <c:dPt>
            <c:idx val="0"/>
            <c:bubble3D val="0"/>
          </c:dPt>
          <c:dPt>
            <c:idx val="1"/>
            <c:bubble3D val="0"/>
          </c:dPt>
          <c:dPt>
            <c:idx val="2"/>
            <c:bubble3D val="0"/>
          </c:dPt>
          <c:dPt>
            <c:idx val="3"/>
            <c:bubble3D val="0"/>
          </c:dPt>
          <c:dPt>
            <c:idx val="4"/>
            <c:bubble3D val="0"/>
          </c:dPt>
          <c:dPt>
            <c:idx val="5"/>
            <c:bubble3D val="0"/>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10.71</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5.48%</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0.0127527353929782"/>
                  <c:y val="-0.000361142289205145"/>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7.73</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0.15</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75.93%</a:t>
                    </a:r>
                    <a:endParaRPr altLang="en-US"/>
                  </a:p>
                </c:rich>
              </c:tx>
              <c:dLblPos val="bestFit"/>
              <c:showLegendKey val="0"/>
              <c:showVal val="1"/>
              <c:showCatName val="0"/>
              <c:showSerName val="0"/>
              <c:showPercent val="0"/>
              <c:showBubbleSize val="0"/>
              <c:extLst>
                <c:ext xmlns:c15="http://schemas.microsoft.com/office/drawing/2012/chart" uri="{CE6537A1-D6FC-4f65-9D91-7224C49458BB}"/>
              </c:extLst>
            </c:dLbl>
            <c:dLbl>
              <c:idx val="5"/>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Sheet1!$A$2:$A$7</c:f>
              <c:strCache>
                <c:ptCount val="6"/>
                <c:pt idx="0">
                  <c:v>社会保障和就业支出</c:v>
                </c:pt>
                <c:pt idx="1">
                  <c:v>卫生健康支出</c:v>
                </c:pt>
                <c:pt idx="2">
                  <c:v>住房保障支出</c:v>
                </c:pt>
                <c:pt idx="3">
                  <c:v>农林水支出</c:v>
                </c:pt>
                <c:pt idx="4">
                  <c:v>一般公共服务支出</c:v>
                </c:pt>
              </c:strCache>
            </c:strRef>
          </c:cat>
          <c:val>
            <c:numRef>
              <c:f>Sheet1!$B$2:$B$7</c:f>
              <c:numCache>
                <c:formatCode>General</c:formatCode>
                <c:ptCount val="6"/>
                <c:pt idx="0">
                  <c:v>10.71</c:v>
                </c:pt>
                <c:pt idx="1">
                  <c:v>5.48</c:v>
                </c:pt>
                <c:pt idx="2">
                  <c:v>7.73</c:v>
                </c:pt>
                <c:pt idx="3">
                  <c:v>0.15</c:v>
                </c:pt>
                <c:pt idx="4">
                  <c:v>75.93</c:v>
                </c:pt>
                <c:pt idx="5">
                  <c:v>0</c:v>
                </c:pt>
              </c:numCache>
            </c:numRef>
          </c:val>
        </c:ser>
        <c:ser>
          <c:idx val="1"/>
          <c:order val="1"/>
          <c:tx>
            <c:strRef>
              <c:f>Sheet1!$C$1</c:f>
              <c:strCache>
                <c:ptCount val="1"/>
                <c:pt idx="0">
                  <c:v/>
                </c:pt>
              </c:strCache>
            </c:strRef>
          </c:tx>
          <c:explosion val="0"/>
          <c:dPt>
            <c:idx val="0"/>
            <c:bubble3D val="0"/>
          </c:dPt>
          <c:dPt>
            <c:idx val="1"/>
            <c:bubble3D val="0"/>
          </c:dPt>
          <c:dPt>
            <c:idx val="2"/>
            <c:bubble3D val="0"/>
          </c:dPt>
          <c:dPt>
            <c:idx val="3"/>
            <c:bubble3D val="0"/>
          </c:dPt>
          <c:dPt>
            <c:idx val="4"/>
            <c:bubble3D val="0"/>
          </c:dPt>
          <c:dPt>
            <c:idx val="5"/>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Sheet1!$A$2:$A$7</c:f>
              <c:strCache>
                <c:ptCount val="6"/>
                <c:pt idx="0">
                  <c:v>社会保障和就业支出</c:v>
                </c:pt>
                <c:pt idx="1">
                  <c:v>卫生健康支出</c:v>
                </c:pt>
                <c:pt idx="2">
                  <c:v>住房保障支出</c:v>
                </c:pt>
                <c:pt idx="3">
                  <c:v>农林水支出</c:v>
                </c:pt>
                <c:pt idx="4">
                  <c:v>一般公共服务支出</c:v>
                </c:pt>
              </c:strCache>
            </c:strRef>
          </c:cat>
          <c:val>
            <c:numRef>
              <c:f>Sheet1!$C$2:$C$7</c:f>
              <c:numCache>
                <c:formatCode>General</c:formatCode>
                <c:ptCount val="6"/>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0.84137</cdr:x>
      <cdr:y>0.0461</cdr:y>
    </cdr:from>
    <cdr:to>
      <cdr:x>0.96787</cdr:x>
      <cdr:y>0.19831</cdr:y>
    </cdr:to>
    <cdr:sp>
      <cdr:nvSpPr>
        <cdr:cNvPr id="2" name="矩形 1"/>
        <cdr:cNvSpPr/>
      </cdr:nvSpPr>
      <cdr:spPr xmlns:a="http://schemas.openxmlformats.org/drawingml/2006/main">
        <a:xfrm xmlns:a="http://schemas.openxmlformats.org/drawingml/2006/main">
          <a:off x="4656163" y="104067"/>
          <a:ext cx="700054" cy="343608"/>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endParaRPr lang="zh-CN" altLang="en-US" sz="1100"/>
        </a:p>
      </cdr:txBody>
    </cdr:sp>
  </cdr:relSizeAnchor>
  <cdr:relSizeAnchor xmlns:cdr="http://schemas.openxmlformats.org/drawingml/2006/chartDrawing">
    <cdr:from>
      <cdr:x>0.81727</cdr:x>
      <cdr:y>0.0922</cdr:y>
    </cdr:from>
    <cdr:to>
      <cdr:x>1</cdr:x>
      <cdr:y>0.22363</cdr:y>
    </cdr:to>
    <cdr:sp>
      <cdr:nvSpPr>
        <cdr:cNvPr id="3" name="矩形 2"/>
        <cdr:cNvSpPr/>
      </cdr:nvSpPr>
      <cdr:spPr xmlns:a="http://schemas.openxmlformats.org/drawingml/2006/main">
        <a:xfrm xmlns:a="http://schemas.openxmlformats.org/drawingml/2006/main">
          <a:off x="4522793" y="208135"/>
          <a:ext cx="1011232" cy="296690"/>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    单位：万元</a:t>
          </a:r>
          <a:endParaRPr lang="zh-CN" altLang="en-US" sz="900"/>
        </a:p>
      </cdr:txBody>
    </cdr:sp>
  </cdr:relSizeAnchor>
</c:userShapes>
</file>

<file path=word/drawings/drawing2.xml><?xml version="1.0" encoding="utf-8"?>
<c:userShapes xmlns:c="http://schemas.openxmlformats.org/drawingml/2006/chart">
  <cdr:relSizeAnchor xmlns:cdr="http://schemas.openxmlformats.org/drawingml/2006/chartDrawing">
    <cdr:from>
      <cdr:x>0.84137</cdr:x>
      <cdr:y>0.0461</cdr:y>
    </cdr:from>
    <cdr:to>
      <cdr:x>0.96787</cdr:x>
      <cdr:y>0.19831</cdr:y>
    </cdr:to>
    <cdr:sp>
      <cdr:nvSpPr>
        <cdr:cNvPr id="2" name="矩形 1"/>
        <cdr:cNvSpPr/>
      </cdr:nvSpPr>
      <cdr:spPr xmlns:a="http://schemas.openxmlformats.org/drawingml/2006/main">
        <a:xfrm xmlns:a="http://schemas.openxmlformats.org/drawingml/2006/main">
          <a:off x="4656163" y="104067"/>
          <a:ext cx="700054" cy="343608"/>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endParaRPr lang="zh-CN" altLang="en-US" sz="1100"/>
        </a:p>
      </cdr:txBody>
    </cdr:sp>
  </cdr:relSizeAnchor>
  <cdr:relSizeAnchor xmlns:cdr="http://schemas.openxmlformats.org/drawingml/2006/chartDrawing">
    <cdr:from>
      <cdr:x>0.81727</cdr:x>
      <cdr:y>0.0922</cdr:y>
    </cdr:from>
    <cdr:to>
      <cdr:x>1</cdr:x>
      <cdr:y>0.22363</cdr:y>
    </cdr:to>
    <cdr:sp>
      <cdr:nvSpPr>
        <cdr:cNvPr id="3" name="矩形 2"/>
        <cdr:cNvSpPr/>
      </cdr:nvSpPr>
      <cdr:spPr xmlns:a="http://schemas.openxmlformats.org/drawingml/2006/main">
        <a:xfrm xmlns:a="http://schemas.openxmlformats.org/drawingml/2006/main">
          <a:off x="4522793" y="208135"/>
          <a:ext cx="1011232" cy="296690"/>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    单位：万元</a:t>
          </a:r>
          <a:endParaRPr lang="zh-CN" altLang="en-US" sz="900"/>
        </a:p>
      </cdr:txBody>
    </cdr:sp>
  </cdr:relSizeAnchor>
</c:userShapes>
</file>

<file path=word/drawings/drawing3.xml><?xml version="1.0" encoding="utf-8"?>
<c:userShapes xmlns:c="http://schemas.openxmlformats.org/drawingml/2006/chart">
  <cdr:relSizeAnchor xmlns:cdr="http://schemas.openxmlformats.org/drawingml/2006/chartDrawing">
    <cdr:from>
      <cdr:x>0.82892</cdr:x>
      <cdr:y>0.0805</cdr:y>
    </cdr:from>
    <cdr:to>
      <cdr:x>0.98784</cdr:x>
      <cdr:y>0.17028</cdr:y>
    </cdr:to>
    <cdr:sp>
      <cdr:nvSpPr>
        <cdr:cNvPr id="2" name="矩形 1"/>
        <cdr:cNvSpPr/>
      </cdr:nvSpPr>
      <cdr:spPr xmlns:a="http://schemas.openxmlformats.org/drawingml/2006/main">
        <a:xfrm xmlns:a="http://schemas.openxmlformats.org/drawingml/2006/main">
          <a:off x="4371975" y="247650"/>
          <a:ext cx="838200" cy="276225"/>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单位：万元</a:t>
          </a:r>
          <a:endParaRPr lang="zh-CN" altLang="en-US" sz="9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B1E83B-FD1F-4C9F-84B1-14C6BE31CA93}">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43</Pages>
  <Words>15567</Words>
  <Characters>2235</Characters>
  <Lines>18</Lines>
  <Paragraphs>35</Paragraphs>
  <TotalTime>249</TotalTime>
  <ScaleCrop>false</ScaleCrop>
  <LinksUpToDate>false</LinksUpToDate>
  <CharactersWithSpaces>17767</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wt</cp:lastModifiedBy>
  <cp:lastPrinted>2021-09-22T07:07:00Z</cp:lastPrinted>
  <dcterms:modified xsi:type="dcterms:W3CDTF">2021-09-26T08:23:17Z</dcterms:modified>
  <dc:title>四川省***</dc:title>
  <cp:revision>134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A08F2A8B83024382BEBCB4A3E8D8E32D</vt:lpwstr>
  </property>
</Properties>
</file>