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drawings/drawing1.xml" ContentType="application/vnd.openxmlformats-officedocument.drawingml.chartshapes+xml"/>
  <Override PartName="/word/drawings/drawing2.xml" ContentType="application/vnd.openxmlformats-officedocument.drawingml.chartshapes+xml"/>
  <Override PartName="/word/drawings/drawing3.xml" ContentType="application/vnd.openxmlformats-officedocument.drawingml.chartshap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bookmarkEnd w:id="0"/>
    <w:p>
      <w:pPr>
        <w:adjustRightInd w:val="0"/>
        <w:snapToGrid w:val="0"/>
        <w:spacing w:line="576" w:lineRule="exact"/>
        <w:jc w:val="center"/>
        <w:outlineLvl w:val="0"/>
        <w:rPr>
          <w:rFonts w:ascii="方正小标宋简体" w:hAnsi="方正小标宋简体" w:eastAsia="方正小标宋简体" w:cs="方正小标宋简体"/>
          <w:color w:val="000000"/>
          <w:sz w:val="44"/>
          <w:szCs w:val="44"/>
        </w:rPr>
      </w:pPr>
      <w:bookmarkStart w:id="1" w:name="_Toc15378441"/>
      <w:bookmarkStart w:id="2" w:name="_Toc15396475"/>
      <w:bookmarkStart w:id="3" w:name="_Toc15396597"/>
      <w:bookmarkStart w:id="4" w:name="_Toc15377425"/>
      <w:bookmarkStart w:id="5" w:name="_Toc15377193"/>
      <w:r>
        <w:rPr>
          <w:rFonts w:ascii="方正小标宋简体" w:hAnsi="方正小标宋简体" w:eastAsia="方正小标宋简体" w:cs="方正小标宋简体"/>
          <w:color w:val="000000"/>
          <w:sz w:val="44"/>
          <w:szCs w:val="44"/>
        </w:rPr>
        <w:t>202</w:t>
      </w:r>
      <w:r>
        <w:rPr>
          <w:rFonts w:hint="eastAsia" w:ascii="方正小标宋简体" w:hAnsi="方正小标宋简体" w:eastAsia="方正小标宋简体" w:cs="方正小标宋简体"/>
          <w:color w:val="000000"/>
          <w:sz w:val="44"/>
          <w:szCs w:val="44"/>
          <w:lang w:val="en-US" w:eastAsia="zh-CN"/>
        </w:rPr>
        <w:t>3</w:t>
      </w:r>
      <w:r>
        <w:rPr>
          <w:rFonts w:hint="eastAsia" w:ascii="方正小标宋简体" w:hAnsi="方正小标宋简体" w:eastAsia="方正小标宋简体" w:cs="方正小标宋简体"/>
          <w:color w:val="000000"/>
          <w:sz w:val="44"/>
          <w:szCs w:val="44"/>
        </w:rPr>
        <w:t>年度</w:t>
      </w:r>
      <w:bookmarkEnd w:id="1"/>
      <w:bookmarkEnd w:id="2"/>
      <w:bookmarkEnd w:id="3"/>
      <w:bookmarkEnd w:id="4"/>
      <w:bookmarkEnd w:id="5"/>
    </w:p>
    <w:p>
      <w:pPr>
        <w:adjustRightInd w:val="0"/>
        <w:snapToGrid w:val="0"/>
        <w:spacing w:line="576" w:lineRule="exact"/>
        <w:jc w:val="center"/>
        <w:outlineLvl w:val="0"/>
        <w:rPr>
          <w:rFonts w:hint="eastAsia" w:ascii="方正小标宋简体" w:hAnsi="方正小标宋简体" w:eastAsia="方正小标宋简体" w:cs="方正小标宋简体"/>
          <w:color w:val="000000"/>
          <w:sz w:val="44"/>
          <w:szCs w:val="44"/>
          <w:lang w:val="en-US" w:eastAsia="zh-CN"/>
        </w:rPr>
      </w:pPr>
      <w:bookmarkStart w:id="6" w:name="_Toc15377426"/>
      <w:bookmarkStart w:id="7" w:name="_Toc15396476"/>
      <w:bookmarkStart w:id="8" w:name="_Toc15396598"/>
      <w:bookmarkStart w:id="9" w:name="_Toc15377194"/>
      <w:bookmarkStart w:id="10" w:name="_Toc15378442"/>
      <w:r>
        <w:rPr>
          <w:rFonts w:hint="eastAsia" w:ascii="方正小标宋简体" w:hAnsi="方正小标宋简体" w:eastAsia="方正小标宋简体" w:cs="方正小标宋简体"/>
          <w:color w:val="000000"/>
          <w:sz w:val="44"/>
          <w:szCs w:val="44"/>
        </w:rPr>
        <w:t>四川省</w:t>
      </w:r>
      <w:r>
        <w:rPr>
          <w:rFonts w:hint="eastAsia" w:ascii="方正小标宋简体" w:hAnsi="方正小标宋简体" w:eastAsia="方正小标宋简体" w:cs="方正小标宋简体"/>
          <w:color w:val="000000"/>
          <w:sz w:val="44"/>
          <w:szCs w:val="44"/>
          <w:lang w:val="en-US" w:eastAsia="zh-CN"/>
        </w:rPr>
        <w:t>阿坝州</w:t>
      </w:r>
      <w:r>
        <w:rPr>
          <w:rFonts w:hint="eastAsia" w:ascii="方正小标宋简体" w:hAnsi="方正小标宋简体" w:eastAsia="方正小标宋简体" w:cs="方正小标宋简体"/>
          <w:color w:val="000000"/>
          <w:sz w:val="44"/>
          <w:szCs w:val="44"/>
        </w:rPr>
        <w:t>茂县人力资源和社会保障局</w:t>
      </w:r>
      <w:r>
        <w:rPr>
          <w:rFonts w:hint="eastAsia" w:ascii="方正小标宋简体" w:hAnsi="方正小标宋简体" w:eastAsia="方正小标宋简体" w:cs="方正小标宋简体"/>
          <w:color w:val="000000"/>
          <w:sz w:val="44"/>
          <w:szCs w:val="44"/>
          <w:lang w:val="en-US" w:eastAsia="zh-CN"/>
        </w:rPr>
        <w:t>部门决算</w:t>
      </w:r>
      <w:bookmarkEnd w:id="6"/>
      <w:bookmarkEnd w:id="7"/>
      <w:bookmarkEnd w:id="8"/>
      <w:bookmarkEnd w:id="9"/>
      <w:bookmarkEnd w:id="10"/>
      <w:r>
        <w:rPr>
          <w:rFonts w:hint="eastAsia" w:ascii="方正小标宋简体" w:hAnsi="方正小标宋简体" w:eastAsia="方正小标宋简体" w:cs="方正小标宋简体"/>
          <w:color w:val="000000"/>
          <w:sz w:val="44"/>
          <w:szCs w:val="44"/>
          <w:lang w:val="en-US" w:eastAsia="zh-CN"/>
        </w:rPr>
        <w:t>公开</w:t>
      </w:r>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pageBreakBefore w:val="0"/>
        <w:kinsoku/>
        <w:wordWrap/>
        <w:overflowPunct/>
        <w:topLinePunct w:val="0"/>
        <w:autoSpaceDE w:val="0"/>
        <w:autoSpaceDN w:val="0"/>
        <w:bidi w:val="0"/>
        <w:adjustRightInd w:val="0"/>
        <w:spacing w:line="576" w:lineRule="exact"/>
        <w:ind w:left="420" w:leftChars="200"/>
        <w:jc w:val="left"/>
        <w:textAlignment w:val="auto"/>
        <w:rPr>
          <w:rFonts w:hint="eastAsia" w:ascii="宋体" w:hAnsi="Times New Roman" w:eastAsia="宋体" w:cs="仿宋_GB2312"/>
          <w:sz w:val="32"/>
          <w:szCs w:val="32"/>
        </w:rPr>
      </w:pPr>
      <w:r>
        <w:rPr>
          <w:rFonts w:hint="eastAsia" w:ascii="宋体" w:hAnsi="Times New Roman" w:eastAsia="宋体" w:cs="仿宋_GB2312"/>
          <w:sz w:val="32"/>
          <w:szCs w:val="32"/>
        </w:rPr>
        <w:t>已经保密审查、内容审定，同意对外公开</w:t>
      </w:r>
    </w:p>
    <w:p>
      <w:pPr>
        <w:widowControl/>
        <w:jc w:val="center"/>
        <w:rPr>
          <w:rFonts w:hint="eastAsia" w:ascii="方正小标宋简体" w:hAnsi="宋体" w:eastAsia="方正小标宋简体"/>
          <w:color w:val="000000"/>
          <w:sz w:val="36"/>
          <w:szCs w:val="36"/>
          <w:lang w:eastAsia="zh-CN"/>
        </w:rPr>
      </w:pPr>
    </w:p>
    <w:p>
      <w:pPr>
        <w:widowControl/>
        <w:jc w:val="center"/>
        <w:rPr>
          <w:rFonts w:hint="eastAsia" w:ascii="黑体" w:hAnsi="黑体" w:eastAsia="黑体"/>
          <w:color w:val="000000"/>
          <w:sz w:val="48"/>
          <w:szCs w:val="48"/>
        </w:rPr>
      </w:pPr>
      <w:bookmarkStart w:id="11" w:name="_Toc15377196"/>
      <w:bookmarkStart w:id="12" w:name="_Toc15396599"/>
    </w:p>
    <w:p>
      <w:pPr>
        <w:widowControl/>
        <w:jc w:val="center"/>
        <w:rPr>
          <w:rFonts w:hint="eastAsia" w:ascii="黑体" w:hAnsi="黑体" w:eastAsia="黑体"/>
          <w:color w:val="000000"/>
          <w:sz w:val="48"/>
          <w:szCs w:val="48"/>
        </w:rPr>
      </w:pPr>
    </w:p>
    <w:p>
      <w:pPr>
        <w:widowControl/>
        <w:jc w:val="center"/>
        <w:rPr>
          <w:rFonts w:hint="eastAsia" w:ascii="黑体" w:hAnsi="黑体" w:eastAsia="黑体"/>
          <w:color w:val="000000"/>
          <w:sz w:val="48"/>
          <w:szCs w:val="48"/>
        </w:rPr>
      </w:pPr>
    </w:p>
    <w:p>
      <w:pPr>
        <w:pStyle w:val="2"/>
        <w:rPr>
          <w:rFonts w:hint="eastAsia" w:ascii="黑体" w:hAnsi="黑体" w:eastAsia="黑体"/>
          <w:color w:val="000000"/>
          <w:sz w:val="48"/>
          <w:szCs w:val="48"/>
        </w:rPr>
      </w:pPr>
    </w:p>
    <w:p>
      <w:pPr>
        <w:pStyle w:val="3"/>
        <w:rPr>
          <w:rFonts w:hint="eastAsia"/>
        </w:rPr>
      </w:pPr>
    </w:p>
    <w:p>
      <w:pPr>
        <w:widowControl/>
        <w:jc w:val="center"/>
        <w:rPr>
          <w:rFonts w:ascii="黑体" w:hAnsi="黑体" w:eastAsia="黑体"/>
          <w:color w:val="000000"/>
          <w:sz w:val="48"/>
          <w:szCs w:val="48"/>
        </w:rPr>
      </w:pPr>
      <w:r>
        <w:rPr>
          <w:rFonts w:hint="eastAsia" w:ascii="黑体" w:hAnsi="黑体" w:eastAsia="黑体"/>
          <w:color w:val="000000"/>
          <w:sz w:val="48"/>
          <w:szCs w:val="48"/>
        </w:rPr>
        <w:t>目录</w:t>
      </w:r>
    </w:p>
    <w:p>
      <w:pPr>
        <w:pStyle w:val="13"/>
        <w:rPr>
          <w:rFonts w:ascii="仿宋_GB2312" w:hAnsi="仿宋_GB2312" w:eastAsia="仿宋_GB2312" w:cs="仿宋_GB2312"/>
          <w:sz w:val="32"/>
          <w:szCs w:val="32"/>
        </w:rPr>
      </w:pPr>
      <w:r>
        <w:rPr>
          <w:rFonts w:hint="eastAsia" w:ascii="仿宋_GB2312" w:hAnsi="仿宋_GB2312" w:eastAsia="仿宋_GB2312" w:cs="仿宋_GB2312"/>
          <w:sz w:val="32"/>
          <w:szCs w:val="32"/>
        </w:rPr>
        <w:t>公开时间：202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年9 月</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日</w:t>
      </w:r>
    </w:p>
    <w:p/>
    <w:p>
      <w:pPr>
        <w:pStyle w:val="13"/>
        <w:adjustRightInd w:val="0"/>
        <w:snapToGrid w:val="0"/>
        <w:spacing w:before="0" w:line="576" w:lineRule="exact"/>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 xml:space="preserve">第一部分 </w:t>
      </w:r>
      <w:r>
        <w:rPr>
          <w:rFonts w:hint="eastAsia" w:ascii="仿宋_GB2312" w:hAnsi="仿宋_GB2312" w:eastAsia="仿宋_GB2312" w:cs="仿宋_GB2312"/>
          <w:sz w:val="32"/>
          <w:szCs w:val="32"/>
          <w:lang w:val="en-US" w:eastAsia="zh-CN"/>
        </w:rPr>
        <w:t>部门</w:t>
      </w:r>
      <w:r>
        <w:rPr>
          <w:rFonts w:hint="eastAsia" w:ascii="仿宋_GB2312" w:hAnsi="仿宋_GB2312" w:eastAsia="仿宋_GB2312" w:cs="仿宋_GB2312"/>
          <w:sz w:val="32"/>
          <w:szCs w:val="32"/>
        </w:rPr>
        <w:t>概况</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4</w:t>
      </w:r>
    </w:p>
    <w:p>
      <w:pPr>
        <w:pStyle w:val="14"/>
        <w:adjustRightInd w:val="0"/>
        <w:snapToGrid w:val="0"/>
        <w:spacing w:line="576" w:lineRule="exact"/>
        <w:ind w:left="0" w:leftChars="0" w:firstLine="640" w:firstLineChars="200"/>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一、部门职责</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4</w:t>
      </w:r>
    </w:p>
    <w:p>
      <w:pPr>
        <w:pStyle w:val="42"/>
        <w:pageBreakBefore w:val="0"/>
        <w:tabs>
          <w:tab w:val="right" w:leader="dot" w:pos="8306"/>
        </w:tabs>
        <w:kinsoku/>
        <w:wordWrap/>
        <w:overflowPunct/>
        <w:topLinePunct w:val="0"/>
        <w:bidi w:val="0"/>
        <w:spacing w:line="576" w:lineRule="exact"/>
        <w:ind w:left="0" w:leftChars="0" w:firstLine="640" w:firstLineChars="200"/>
        <w:textAlignment w:val="auto"/>
      </w:pPr>
      <w:r>
        <w:rPr>
          <w:rFonts w:hint="eastAsia" w:ascii="仿宋_GB2312" w:hAnsi="仿宋_GB2312" w:eastAsia="仿宋_GB2312" w:cs="仿宋_GB2312"/>
          <w:kern w:val="2"/>
          <w:sz w:val="32"/>
          <w:szCs w:val="32"/>
          <w:lang w:val="en-US" w:eastAsia="zh-CN" w:bidi="ar-SA"/>
        </w:rPr>
        <w:fldChar w:fldCharType="begin"/>
      </w:r>
      <w:r>
        <w:rPr>
          <w:rFonts w:hint="eastAsia" w:ascii="仿宋_GB2312" w:hAnsi="仿宋_GB2312" w:eastAsia="仿宋_GB2312" w:cs="仿宋_GB2312"/>
          <w:kern w:val="2"/>
          <w:sz w:val="32"/>
          <w:szCs w:val="32"/>
          <w:lang w:val="en-US" w:eastAsia="zh-CN" w:bidi="ar-SA"/>
        </w:rPr>
        <w:instrText xml:space="preserve"> HYPERLINK \l _Toc10669 </w:instrText>
      </w:r>
      <w:r>
        <w:rPr>
          <w:rFonts w:hint="eastAsia" w:ascii="仿宋_GB2312" w:hAnsi="仿宋_GB2312" w:eastAsia="仿宋_GB2312" w:cs="仿宋_GB2312"/>
          <w:kern w:val="2"/>
          <w:sz w:val="32"/>
          <w:szCs w:val="32"/>
          <w:lang w:val="en-US" w:eastAsia="zh-CN" w:bidi="ar-SA"/>
        </w:rPr>
        <w:fldChar w:fldCharType="separate"/>
      </w:r>
      <w:r>
        <w:rPr>
          <w:rFonts w:hint="eastAsia" w:ascii="仿宋_GB2312" w:hAnsi="仿宋_GB2312" w:eastAsia="仿宋_GB2312" w:cs="仿宋_GB2312"/>
          <w:kern w:val="2"/>
          <w:sz w:val="32"/>
          <w:szCs w:val="32"/>
          <w:lang w:val="en-US" w:eastAsia="zh-CN" w:bidi="ar-SA"/>
        </w:rPr>
        <w:fldChar w:fldCharType="begin"/>
      </w:r>
      <w:r>
        <w:rPr>
          <w:rFonts w:hint="eastAsia" w:ascii="仿宋_GB2312" w:hAnsi="仿宋_GB2312" w:eastAsia="仿宋_GB2312" w:cs="仿宋_GB2312"/>
          <w:kern w:val="2"/>
          <w:sz w:val="32"/>
          <w:szCs w:val="32"/>
          <w:lang w:val="en-US" w:eastAsia="zh-CN" w:bidi="ar-SA"/>
        </w:rPr>
        <w:instrText xml:space="preserve"> HYPERLINK \l _Toc10669 </w:instrText>
      </w:r>
      <w:r>
        <w:rPr>
          <w:rFonts w:hint="eastAsia" w:ascii="仿宋_GB2312" w:hAnsi="仿宋_GB2312" w:eastAsia="仿宋_GB2312" w:cs="仿宋_GB2312"/>
          <w:kern w:val="2"/>
          <w:sz w:val="32"/>
          <w:szCs w:val="32"/>
          <w:lang w:val="en-US" w:eastAsia="zh-CN" w:bidi="ar-SA"/>
        </w:rPr>
        <w:fldChar w:fldCharType="separate"/>
      </w:r>
      <w:r>
        <w:rPr>
          <w:rFonts w:hint="eastAsia" w:ascii="仿宋_GB2312" w:hAnsi="仿宋_GB2312" w:eastAsia="仿宋_GB2312" w:cs="仿宋_GB2312"/>
          <w:kern w:val="2"/>
          <w:sz w:val="32"/>
          <w:szCs w:val="32"/>
          <w:lang w:val="en-US" w:eastAsia="zh-CN" w:bidi="ar-SA"/>
        </w:rPr>
        <w:t>二、机构设置</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6</w:t>
      </w:r>
      <w:r>
        <w:rPr>
          <w:rFonts w:hint="eastAsia" w:ascii="仿宋_GB2312" w:hAnsi="仿宋_GB2312" w:eastAsia="仿宋_GB2312" w:cs="仿宋_GB2312"/>
          <w:kern w:val="2"/>
          <w:sz w:val="32"/>
          <w:szCs w:val="32"/>
          <w:lang w:val="en-US" w:eastAsia="zh-CN" w:bidi="ar-SA"/>
        </w:rPr>
        <w:fldChar w:fldCharType="end"/>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fldChar w:fldCharType="end"/>
      </w:r>
    </w:p>
    <w:p>
      <w:pPr>
        <w:pStyle w:val="13"/>
        <w:adjustRightInd w:val="0"/>
        <w:snapToGrid w:val="0"/>
        <w:spacing w:before="0" w:line="576" w:lineRule="exact"/>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第二部</w:t>
      </w:r>
      <w:r>
        <w:rPr>
          <w:rFonts w:hint="eastAsia" w:ascii="仿宋_GB2312" w:hAnsi="仿宋_GB2312" w:eastAsia="仿宋_GB2312" w:cs="仿宋_GB2312"/>
          <w:sz w:val="32"/>
          <w:szCs w:val="32"/>
          <w:lang w:val="en-US" w:eastAsia="zh-CN"/>
        </w:rPr>
        <w:t>2023年度部门</w:t>
      </w:r>
      <w:r>
        <w:rPr>
          <w:rFonts w:hint="eastAsia" w:ascii="仿宋_GB2312" w:hAnsi="仿宋_GB2312" w:eastAsia="仿宋_GB2312" w:cs="仿宋_GB2312"/>
          <w:sz w:val="32"/>
          <w:szCs w:val="32"/>
        </w:rPr>
        <w:t>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7</w:t>
      </w:r>
    </w:p>
    <w:p>
      <w:pPr>
        <w:pStyle w:val="14"/>
        <w:adjustRightInd w:val="0"/>
        <w:snapToGrid w:val="0"/>
        <w:spacing w:line="576" w:lineRule="exact"/>
        <w:ind w:left="0" w:leftChars="0" w:firstLine="640" w:firstLineChars="20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一、收入支出决算总体情况说明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7</w:t>
      </w:r>
    </w:p>
    <w:p>
      <w:pPr>
        <w:pStyle w:val="14"/>
        <w:adjustRightInd w:val="0"/>
        <w:snapToGrid w:val="0"/>
        <w:spacing w:line="576" w:lineRule="exact"/>
        <w:ind w:left="0" w:leftChars="0"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二、收入决算情况说明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7</w:t>
      </w:r>
    </w:p>
    <w:p>
      <w:pPr>
        <w:pStyle w:val="14"/>
        <w:adjustRightInd w:val="0"/>
        <w:snapToGrid w:val="0"/>
        <w:spacing w:line="576" w:lineRule="exact"/>
        <w:ind w:left="0" w:leftChars="0"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三、支出决算情况说明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7</w:t>
      </w:r>
    </w:p>
    <w:p>
      <w:pPr>
        <w:pStyle w:val="14"/>
        <w:adjustRightInd w:val="0"/>
        <w:snapToGrid w:val="0"/>
        <w:spacing w:line="576" w:lineRule="exact"/>
        <w:ind w:left="0" w:leftChars="0" w:firstLine="640" w:firstLineChars="20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四、财政拨款收入支出决算总体情况说明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8</w:t>
      </w:r>
    </w:p>
    <w:p>
      <w:pPr>
        <w:pStyle w:val="14"/>
        <w:adjustRightInd w:val="0"/>
        <w:snapToGrid w:val="0"/>
        <w:spacing w:line="576" w:lineRule="exact"/>
        <w:ind w:left="0" w:leftChars="0"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五、一般公共预算财政拨款支出决算情况说明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8</w:t>
      </w:r>
    </w:p>
    <w:p>
      <w:pPr>
        <w:pStyle w:val="14"/>
        <w:adjustRightInd w:val="0"/>
        <w:snapToGrid w:val="0"/>
        <w:spacing w:line="576" w:lineRule="exact"/>
        <w:ind w:left="0" w:leftChars="0" w:firstLine="640" w:firstLineChars="20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六、一般公共预算财政拨款基本支出决算情况说明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11</w:t>
      </w:r>
    </w:p>
    <w:p>
      <w:pPr>
        <w:pStyle w:val="14"/>
        <w:adjustRightInd w:val="0"/>
        <w:snapToGrid w:val="0"/>
        <w:spacing w:line="576" w:lineRule="exact"/>
        <w:ind w:left="0" w:leftChars="0" w:firstLine="640" w:firstLineChars="20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七、“三公”经费财政拨款支出决算情况说明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2</w:t>
      </w:r>
    </w:p>
    <w:p>
      <w:pPr>
        <w:pStyle w:val="14"/>
        <w:adjustRightInd w:val="0"/>
        <w:snapToGrid w:val="0"/>
        <w:spacing w:line="576" w:lineRule="exact"/>
        <w:ind w:left="0" w:leftChars="0" w:firstLine="640" w:firstLineChars="20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八、政府性基金预算支出决算情况说明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4</w:t>
      </w:r>
    </w:p>
    <w:p>
      <w:pPr>
        <w:pStyle w:val="14"/>
        <w:adjustRightInd w:val="0"/>
        <w:snapToGrid w:val="0"/>
        <w:spacing w:line="576" w:lineRule="exact"/>
        <w:ind w:left="0" w:leftChars="0" w:firstLine="640" w:firstLineChars="20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九、国有资本经营预算支出决算情况说明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4</w:t>
      </w:r>
    </w:p>
    <w:p>
      <w:pPr>
        <w:pStyle w:val="14"/>
        <w:spacing w:line="576" w:lineRule="exact"/>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十、其他重要事项的情况说明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4</w:t>
      </w:r>
    </w:p>
    <w:p>
      <w:pPr>
        <w:pStyle w:val="13"/>
        <w:spacing w:line="576" w:lineRule="exact"/>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第三部分 名词解释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18</w:t>
      </w:r>
    </w:p>
    <w:p>
      <w:pPr>
        <w:pStyle w:val="13"/>
        <w:adjustRightInd w:val="0"/>
        <w:snapToGrid w:val="0"/>
        <w:spacing w:before="0" w:line="576"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第四部分 附件</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1</w:t>
      </w:r>
    </w:p>
    <w:p>
      <w:pPr>
        <w:pStyle w:val="13"/>
        <w:adjustRightInd w:val="0"/>
        <w:snapToGrid w:val="0"/>
        <w:spacing w:before="0" w:line="576" w:lineRule="exact"/>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第五部分 附表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49</w:t>
      </w:r>
    </w:p>
    <w:p>
      <w:pPr>
        <w:pStyle w:val="14"/>
        <w:adjustRightInd w:val="0"/>
        <w:snapToGrid w:val="0"/>
        <w:spacing w:line="576" w:lineRule="exact"/>
        <w:ind w:left="0" w:leftChars="0" w:firstLine="640" w:firstLineChars="20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一、收入支出决算总表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49</w:t>
      </w:r>
    </w:p>
    <w:p>
      <w:pPr>
        <w:pStyle w:val="14"/>
        <w:adjustRightInd w:val="0"/>
        <w:snapToGrid w:val="0"/>
        <w:spacing w:line="576" w:lineRule="exact"/>
        <w:ind w:left="0" w:leftChars="0" w:firstLine="640" w:firstLineChars="20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二、收入决算表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49</w:t>
      </w:r>
    </w:p>
    <w:p>
      <w:pPr>
        <w:pStyle w:val="14"/>
        <w:adjustRightInd w:val="0"/>
        <w:snapToGrid w:val="0"/>
        <w:spacing w:line="576" w:lineRule="exact"/>
        <w:ind w:left="0" w:leftChars="0" w:firstLine="640" w:firstLineChars="20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三、支出决算表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49</w:t>
      </w:r>
    </w:p>
    <w:p>
      <w:pPr>
        <w:pStyle w:val="14"/>
        <w:adjustRightInd w:val="0"/>
        <w:snapToGrid w:val="0"/>
        <w:spacing w:line="576" w:lineRule="exact"/>
        <w:ind w:left="0" w:leftChars="0" w:firstLine="640" w:firstLineChars="20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四、财政拨款收入支出决算总表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49</w:t>
      </w:r>
    </w:p>
    <w:p>
      <w:pPr>
        <w:pStyle w:val="14"/>
        <w:adjustRightInd w:val="0"/>
        <w:snapToGrid w:val="0"/>
        <w:spacing w:line="576" w:lineRule="exact"/>
        <w:ind w:left="0" w:leftChars="0" w:firstLine="640" w:firstLineChars="20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五、财政拨款支出决算明细表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49</w:t>
      </w:r>
    </w:p>
    <w:p>
      <w:pPr>
        <w:pStyle w:val="14"/>
        <w:adjustRightInd w:val="0"/>
        <w:snapToGrid w:val="0"/>
        <w:spacing w:line="576" w:lineRule="exact"/>
        <w:ind w:left="0" w:leftChars="0" w:firstLine="640" w:firstLineChars="20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六、一般公共预算财政拨款支出决算表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49</w:t>
      </w:r>
    </w:p>
    <w:p>
      <w:pPr>
        <w:pStyle w:val="14"/>
        <w:adjustRightInd w:val="0"/>
        <w:snapToGrid w:val="0"/>
        <w:spacing w:line="576" w:lineRule="exact"/>
        <w:ind w:left="0" w:leftChars="0" w:firstLine="640" w:firstLineChars="20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七、一般公共预算财政拨款支出决算明细表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49</w:t>
      </w:r>
    </w:p>
    <w:p>
      <w:pPr>
        <w:pStyle w:val="14"/>
        <w:adjustRightInd w:val="0"/>
        <w:snapToGrid w:val="0"/>
        <w:spacing w:line="576" w:lineRule="exact"/>
        <w:ind w:left="0" w:leftChars="0" w:firstLine="640" w:firstLineChars="20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八、一般公共预算财政拨款基本支出决算表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49</w:t>
      </w:r>
    </w:p>
    <w:p>
      <w:pPr>
        <w:pStyle w:val="14"/>
        <w:adjustRightInd w:val="0"/>
        <w:snapToGrid w:val="0"/>
        <w:spacing w:line="576" w:lineRule="exact"/>
        <w:ind w:left="0" w:leftChars="0" w:firstLine="640" w:firstLineChars="20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九、一般公共预算财政拨款项目支出决算表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49</w:t>
      </w:r>
    </w:p>
    <w:p>
      <w:pPr>
        <w:pStyle w:val="14"/>
        <w:adjustRightInd w:val="0"/>
        <w:snapToGrid w:val="0"/>
        <w:spacing w:line="576" w:lineRule="exact"/>
        <w:ind w:left="0" w:leftChars="0" w:firstLine="640" w:firstLineChars="20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十、政府性基金预算财政拨款收入支出决算表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49</w:t>
      </w:r>
    </w:p>
    <w:p>
      <w:pPr>
        <w:pStyle w:val="14"/>
        <w:adjustRightInd w:val="0"/>
        <w:snapToGrid w:val="0"/>
        <w:spacing w:line="576" w:lineRule="exact"/>
        <w:ind w:left="0" w:leftChars="0" w:firstLine="640" w:firstLineChars="20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十</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rPr>
        <w:t>、</w:t>
      </w:r>
      <w:r>
        <w:rPr>
          <w:rFonts w:hint="eastAsia" w:ascii="仿宋_GB2312" w:hAnsi="仿宋_GB2312" w:eastAsia="仿宋_GB2312" w:cs="仿宋_GB2312"/>
          <w:color w:val="000000"/>
          <w:sz w:val="32"/>
          <w:szCs w:val="32"/>
        </w:rPr>
        <w:t>国有资本经营预算财政拨款收入支出</w:t>
      </w:r>
      <w:r>
        <w:rPr>
          <w:rFonts w:hint="eastAsia" w:ascii="仿宋_GB2312" w:hAnsi="仿宋_GB2312" w:eastAsia="仿宋_GB2312" w:cs="仿宋_GB2312"/>
          <w:sz w:val="32"/>
          <w:szCs w:val="32"/>
        </w:rPr>
        <w:t>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49</w:t>
      </w:r>
    </w:p>
    <w:p>
      <w:pPr>
        <w:pStyle w:val="14"/>
        <w:adjustRightInd w:val="0"/>
        <w:snapToGrid w:val="0"/>
        <w:spacing w:line="576" w:lineRule="exact"/>
        <w:ind w:left="0" w:leftChars="0" w:firstLine="640" w:firstLineChars="200"/>
        <w:jc w:val="left"/>
        <w:rPr>
          <w:rFonts w:hint="default" w:eastAsia="仿宋_GB2312"/>
          <w:lang w:val="en-US" w:eastAsia="zh-CN"/>
        </w:rPr>
      </w:pPr>
      <w:r>
        <w:rPr>
          <w:rFonts w:hint="eastAsia" w:ascii="仿宋_GB2312" w:hAnsi="仿宋_GB2312" w:eastAsia="仿宋_GB2312" w:cs="仿宋_GB2312"/>
          <w:sz w:val="32"/>
          <w:szCs w:val="32"/>
        </w:rPr>
        <w:t>十</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rPr>
        <w:t>、</w:t>
      </w:r>
      <w:r>
        <w:rPr>
          <w:rFonts w:hint="eastAsia" w:ascii="仿宋_GB2312" w:hAnsi="仿宋_GB2312" w:eastAsia="仿宋_GB2312" w:cs="仿宋_GB2312"/>
          <w:color w:val="000000"/>
          <w:sz w:val="32"/>
          <w:szCs w:val="32"/>
        </w:rPr>
        <w:t>国有资本经营预算财政拨款支出决算</w:t>
      </w:r>
      <w:r>
        <w:rPr>
          <w:rFonts w:hint="eastAsia" w:ascii="仿宋_GB2312" w:hAnsi="仿宋_GB2312" w:eastAsia="仿宋_GB2312" w:cs="仿宋_GB2312"/>
          <w:sz w:val="32"/>
          <w:szCs w:val="32"/>
        </w:rPr>
        <w:t>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49</w:t>
      </w:r>
    </w:p>
    <w:p>
      <w:pPr>
        <w:pStyle w:val="14"/>
        <w:adjustRightInd w:val="0"/>
        <w:snapToGrid w:val="0"/>
        <w:spacing w:line="576" w:lineRule="exact"/>
        <w:ind w:left="0" w:leftChars="0" w:firstLine="640" w:firstLineChars="20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十</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、财政拨款“三公”经费支出决算表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49</w:t>
      </w:r>
    </w:p>
    <w:p>
      <w:pPr>
        <w:pStyle w:val="14"/>
        <w:adjustRightInd w:val="0"/>
        <w:snapToGrid w:val="0"/>
        <w:spacing w:line="576" w:lineRule="exact"/>
        <w:jc w:val="left"/>
        <w:rPr>
          <w:rFonts w:ascii="仿宋_GB2312" w:hAnsi="仿宋_GB2312" w:eastAsia="仿宋_GB2312" w:cs="仿宋_GB2312"/>
          <w:sz w:val="32"/>
          <w:szCs w:val="32"/>
        </w:rPr>
      </w:pPr>
    </w:p>
    <w:p>
      <w:pPr>
        <w:pStyle w:val="14"/>
        <w:adjustRightInd w:val="0"/>
        <w:snapToGrid w:val="0"/>
        <w:spacing w:line="576" w:lineRule="exact"/>
        <w:jc w:val="left"/>
        <w:rPr>
          <w:rFonts w:ascii="仿宋_GB2312" w:hAnsi="仿宋_GB2312" w:eastAsia="仿宋_GB2312" w:cs="仿宋_GB2312"/>
          <w:color w:val="000000"/>
          <w:sz w:val="32"/>
          <w:szCs w:val="32"/>
        </w:rPr>
      </w:pPr>
    </w:p>
    <w:p/>
    <w:p>
      <w:pPr>
        <w:spacing w:line="576" w:lineRule="exact"/>
      </w:pPr>
    </w:p>
    <w:p>
      <w:pPr>
        <w:spacing w:line="576" w:lineRule="exact"/>
      </w:pPr>
    </w:p>
    <w:p>
      <w:pPr>
        <w:spacing w:line="576" w:lineRule="exact"/>
      </w:pPr>
    </w:p>
    <w:p>
      <w:pPr>
        <w:spacing w:line="576" w:lineRule="exact"/>
      </w:pPr>
    </w:p>
    <w:p>
      <w:pPr>
        <w:spacing w:line="576" w:lineRule="exact"/>
      </w:pPr>
    </w:p>
    <w:p>
      <w:pPr>
        <w:spacing w:line="576" w:lineRule="exact"/>
      </w:pPr>
    </w:p>
    <w:p>
      <w:pPr>
        <w:spacing w:line="576" w:lineRule="exact"/>
      </w:pPr>
    </w:p>
    <w:p>
      <w:pPr>
        <w:spacing w:line="576" w:lineRule="exact"/>
      </w:pPr>
    </w:p>
    <w:p>
      <w:pPr>
        <w:spacing w:line="576" w:lineRule="exact"/>
      </w:pPr>
    </w:p>
    <w:p>
      <w:pPr>
        <w:spacing w:line="576" w:lineRule="exact"/>
      </w:pPr>
    </w:p>
    <w:bookmarkEnd w:id="11"/>
    <w:bookmarkEnd w:id="12"/>
    <w:p>
      <w:pPr>
        <w:spacing w:line="576" w:lineRule="exact"/>
        <w:jc w:val="both"/>
        <w:rPr>
          <w:rStyle w:val="29"/>
          <w:rFonts w:hint="eastAsia" w:ascii="黑体" w:hAnsi="黑体" w:eastAsia="黑体" w:cs="黑体"/>
        </w:rPr>
      </w:pPr>
      <w:bookmarkStart w:id="13" w:name="_Toc15378445"/>
      <w:bookmarkStart w:id="14" w:name="_Toc15377198"/>
      <w:bookmarkStart w:id="15" w:name="_Toc15396602"/>
      <w:bookmarkStart w:id="16" w:name="_Toc15377204"/>
    </w:p>
    <w:p>
      <w:pPr>
        <w:spacing w:line="576" w:lineRule="exact"/>
        <w:jc w:val="both"/>
        <w:rPr>
          <w:rStyle w:val="29"/>
          <w:rFonts w:hint="eastAsia" w:ascii="黑体" w:hAnsi="黑体" w:eastAsia="黑体" w:cs="黑体"/>
        </w:rPr>
      </w:pPr>
    </w:p>
    <w:p>
      <w:pPr>
        <w:spacing w:line="576" w:lineRule="exact"/>
        <w:ind w:left="672"/>
        <w:jc w:val="center"/>
        <w:rPr>
          <w:rStyle w:val="29"/>
          <w:rFonts w:hint="eastAsia" w:ascii="黑体" w:hAnsi="黑体" w:eastAsia="黑体" w:cs="黑体"/>
        </w:rPr>
      </w:pPr>
    </w:p>
    <w:p>
      <w:pPr>
        <w:spacing w:line="576" w:lineRule="exact"/>
        <w:ind w:left="672"/>
        <w:jc w:val="center"/>
        <w:rPr>
          <w:rStyle w:val="29"/>
          <w:rFonts w:ascii="黑体" w:hAnsi="黑体" w:eastAsia="黑体" w:cs="黑体"/>
        </w:rPr>
      </w:pPr>
      <w:r>
        <w:rPr>
          <w:rStyle w:val="29"/>
          <w:rFonts w:hint="eastAsia" w:ascii="黑体" w:hAnsi="黑体" w:eastAsia="黑体" w:cs="黑体"/>
        </w:rPr>
        <w:t xml:space="preserve">第一部分 </w:t>
      </w:r>
      <w:r>
        <w:rPr>
          <w:rStyle w:val="29"/>
          <w:rFonts w:hint="eastAsia" w:ascii="黑体" w:hAnsi="黑体" w:eastAsia="黑体" w:cs="黑体"/>
          <w:lang w:val="en-US" w:eastAsia="zh-CN"/>
        </w:rPr>
        <w:t>部门</w:t>
      </w:r>
      <w:r>
        <w:rPr>
          <w:rStyle w:val="29"/>
          <w:rFonts w:hint="eastAsia" w:ascii="黑体" w:hAnsi="黑体" w:eastAsia="黑体" w:cs="黑体"/>
        </w:rPr>
        <w:t>概况</w:t>
      </w:r>
    </w:p>
    <w:p>
      <w:pPr>
        <w:spacing w:line="576" w:lineRule="exact"/>
        <w:ind w:firstLine="640" w:firstLineChars="200"/>
        <w:rPr>
          <w:rFonts w:hint="eastAsia" w:ascii="黑体" w:hAnsi="黑体" w:eastAsia="黑体"/>
          <w:color w:val="000000"/>
          <w:sz w:val="32"/>
          <w:szCs w:val="32"/>
          <w:lang w:val="en-US" w:eastAsia="zh-CN"/>
        </w:rPr>
      </w:pPr>
      <w:r>
        <w:rPr>
          <w:rFonts w:hint="eastAsia" w:ascii="黑体" w:hAnsi="黑体" w:eastAsia="黑体"/>
          <w:color w:val="000000"/>
          <w:sz w:val="32"/>
          <w:szCs w:val="32"/>
        </w:rPr>
        <w:t>一、</w:t>
      </w:r>
      <w:r>
        <w:rPr>
          <w:rFonts w:hint="eastAsia" w:ascii="黑体" w:hAnsi="黑体" w:eastAsia="黑体"/>
          <w:color w:val="000000"/>
          <w:sz w:val="32"/>
          <w:szCs w:val="32"/>
          <w:lang w:val="en-US" w:eastAsia="zh-CN"/>
        </w:rPr>
        <w:t>部门职责</w:t>
      </w:r>
    </w:p>
    <w:bookmarkEnd w:id="13"/>
    <w:bookmarkEnd w:id="14"/>
    <w:p>
      <w:pPr>
        <w:spacing w:line="556" w:lineRule="exact"/>
        <w:ind w:firstLine="640" w:firstLineChars="200"/>
        <w:rPr>
          <w:rFonts w:ascii="仿宋_GB2312" w:eastAsia="仿宋_GB2312"/>
          <w:sz w:val="32"/>
          <w:szCs w:val="32"/>
        </w:rPr>
      </w:pPr>
      <w:bookmarkStart w:id="17" w:name="_Toc15377199"/>
      <w:bookmarkStart w:id="18" w:name="_Toc15378446"/>
      <w:bookmarkStart w:id="19" w:name="_Toc79163854"/>
      <w:bookmarkStart w:id="20" w:name="_Toc79163604"/>
      <w:r>
        <w:rPr>
          <w:rFonts w:hint="eastAsia" w:ascii="仿宋_GB2312" w:eastAsia="仿宋_GB2312"/>
          <w:sz w:val="32"/>
          <w:szCs w:val="32"/>
        </w:rPr>
        <w:t>1.贯彻落实人力资源和社会保障法律、法规、规章和方针政策，拟订执行全县人力资源和社会保障事业发展规划，起草相关规范性文件草案，并组织实施和监督检查。</w:t>
      </w:r>
    </w:p>
    <w:p>
      <w:pPr>
        <w:spacing w:line="556" w:lineRule="exact"/>
        <w:ind w:firstLine="640" w:firstLineChars="200"/>
        <w:rPr>
          <w:rFonts w:ascii="仿宋_GB2312" w:eastAsia="仿宋_GB2312"/>
          <w:sz w:val="32"/>
          <w:szCs w:val="32"/>
        </w:rPr>
      </w:pPr>
      <w:r>
        <w:rPr>
          <w:rFonts w:hint="eastAsia" w:ascii="仿宋_GB2312" w:eastAsia="仿宋_GB2312"/>
          <w:sz w:val="32"/>
          <w:szCs w:val="32"/>
        </w:rPr>
        <w:t>2.贯彻落实人力资源市场发展规划、人力资源流动政策，建立全县统一规范的人力资源市场，促进人力资源合理流动、有效配置。</w:t>
      </w:r>
    </w:p>
    <w:p>
      <w:pPr>
        <w:spacing w:line="556" w:lineRule="exact"/>
        <w:ind w:firstLine="640" w:firstLineChars="200"/>
        <w:rPr>
          <w:rFonts w:ascii="仿宋_GB2312" w:eastAsia="仿宋_GB2312"/>
          <w:sz w:val="32"/>
          <w:szCs w:val="32"/>
        </w:rPr>
      </w:pPr>
      <w:r>
        <w:rPr>
          <w:rFonts w:hint="eastAsia" w:ascii="仿宋_GB2312" w:eastAsia="仿宋_GB2312"/>
          <w:sz w:val="32"/>
          <w:szCs w:val="32"/>
        </w:rPr>
        <w:t>3.负责促进就业工作。统筹全县就业发展规划、政策和措施，完善公共就业创业服务体系，组织落实创业、就业援助制度，完善职业资格制度，拟订落实职业介绍机构的管理办法并组织实施，统筹建立面向城乡劳动者的职业培训制度，牵头贯彻落实高校毕业生就业创业政策。</w:t>
      </w:r>
    </w:p>
    <w:p>
      <w:pPr>
        <w:spacing w:line="556" w:lineRule="exact"/>
        <w:rPr>
          <w:rFonts w:ascii="仿宋_GB2312" w:eastAsia="仿宋_GB2312"/>
          <w:sz w:val="32"/>
          <w:szCs w:val="32"/>
        </w:rPr>
      </w:pPr>
      <w:r>
        <w:rPr>
          <w:rFonts w:hint="eastAsia" w:ascii="仿宋_GB2312" w:eastAsia="仿宋_GB2312"/>
          <w:sz w:val="32"/>
          <w:szCs w:val="32"/>
        </w:rPr>
        <w:t>　　4.统筹推进建立覆盖城乡的社会保障体系。贯彻落实养老保险全国统筹办法和全国统一的养老、失业、工伤保险关系转续办法；统筹执行全县相关社会保险及补充保险基金支付、管理、运营和监督办法；编制全县养老、失业、工伤等相关社会保险基金预决算草案。会同有关部门实施全民参保计划。贯彻落实人力资源和社会保障信息化建设总体规划、年度计划，组织实施相关制度、标准和规范。指导、督促企业参加工伤保险。</w:t>
      </w:r>
    </w:p>
    <w:p>
      <w:pPr>
        <w:spacing w:line="556" w:lineRule="exact"/>
        <w:rPr>
          <w:rFonts w:ascii="仿宋_GB2312" w:eastAsia="仿宋_GB2312"/>
          <w:sz w:val="32"/>
          <w:szCs w:val="32"/>
        </w:rPr>
      </w:pPr>
      <w:r>
        <w:rPr>
          <w:rFonts w:hint="eastAsia" w:ascii="仿宋_GB2312" w:eastAsia="仿宋_GB2312"/>
          <w:sz w:val="32"/>
          <w:szCs w:val="32"/>
        </w:rPr>
        <w:t>　　5.负责就业、失业和相关社会保险基金预测预警和信息引导，实施预防、调节和控制，保持就业形势稳定和相关社会保险基金总体收支平衡。</w:t>
      </w:r>
    </w:p>
    <w:p>
      <w:pPr>
        <w:spacing w:line="556" w:lineRule="exact"/>
        <w:rPr>
          <w:rFonts w:ascii="仿宋_GB2312" w:eastAsia="仿宋_GB2312"/>
          <w:sz w:val="32"/>
          <w:szCs w:val="32"/>
        </w:rPr>
      </w:pPr>
      <w:r>
        <w:rPr>
          <w:rFonts w:hint="eastAsia" w:ascii="仿宋_GB2312" w:eastAsia="仿宋_GB2312"/>
          <w:sz w:val="32"/>
          <w:szCs w:val="32"/>
        </w:rPr>
        <w:t>　　6.统筹贯彻劳动人事争议调解仲裁制度和劳动关系政策并组织和监督实施，完善劳动关系协调机制，贯彻职工工作时间、休息休假和假期制度，落实消除非法使用童工政策和女工、未成年工的特殊劳动保护政策，依法督促用人单位在劳动用工、合同签订与履约时，载明劳动保护、劳动条件和职业危害防护等条款。组织实施劳动保障监察，协调劳动者维权工作，依法查处重大案件。</w:t>
      </w:r>
    </w:p>
    <w:p>
      <w:pPr>
        <w:spacing w:line="556" w:lineRule="exact"/>
        <w:ind w:firstLine="640" w:firstLineChars="200"/>
        <w:rPr>
          <w:rFonts w:ascii="仿宋_GB2312" w:eastAsia="仿宋_GB2312"/>
          <w:sz w:val="32"/>
          <w:szCs w:val="32"/>
        </w:rPr>
      </w:pPr>
      <w:r>
        <w:rPr>
          <w:rFonts w:hint="eastAsia" w:ascii="仿宋_GB2312" w:eastAsia="仿宋_GB2312"/>
          <w:sz w:val="32"/>
          <w:szCs w:val="32"/>
        </w:rPr>
        <w:t>7.牵头推进深化职称制度改革，执行专业技术人员管理、继续教育和博士后管理等政策，负责专业技术人才选拔和培养工作。组织实施技能人才培养、评价、使用和激励制度。贯彻落实职业资格制度以及职业技能多元化评价政策。指导、监督各类技工学校、民办职业培训机构按国家和省、州有关规定履行安全管理责任。</w:t>
      </w:r>
    </w:p>
    <w:p>
      <w:pPr>
        <w:spacing w:line="556" w:lineRule="exact"/>
        <w:ind w:firstLine="640" w:firstLineChars="200"/>
        <w:rPr>
          <w:rFonts w:ascii="仿宋_GB2312" w:eastAsia="仿宋_GB2312"/>
          <w:sz w:val="32"/>
          <w:szCs w:val="32"/>
        </w:rPr>
      </w:pPr>
      <w:r>
        <w:rPr>
          <w:rFonts w:hint="eastAsia" w:ascii="仿宋_GB2312" w:eastAsia="仿宋_GB2312"/>
          <w:sz w:val="32"/>
          <w:szCs w:val="32"/>
        </w:rPr>
        <w:t>8.会同有关部门负责事业单位人事制度改革，按照管理权限负责规范事业单位岗位设置、公开招聘、聘用合同等人事综合管理工作，落实规范事业单位工作人员和机关工勤人员管理政策，将安全生产及环境保护责任履行情况作为事业单位工作人员奖惩、考核的重要内容。</w:t>
      </w:r>
    </w:p>
    <w:p>
      <w:pPr>
        <w:spacing w:line="556" w:lineRule="exact"/>
        <w:ind w:firstLine="640"/>
        <w:rPr>
          <w:rFonts w:ascii="仿宋_GB2312" w:eastAsia="仿宋_GB2312"/>
          <w:sz w:val="32"/>
          <w:szCs w:val="32"/>
        </w:rPr>
      </w:pPr>
      <w:r>
        <w:rPr>
          <w:rFonts w:hint="eastAsia" w:ascii="仿宋_GB2312" w:eastAsia="仿宋_GB2312"/>
          <w:sz w:val="32"/>
          <w:szCs w:val="32"/>
        </w:rPr>
        <w:t>9.组织实施国家表彰奖励制度，综合管理政府表彰奖励工作，承担评比达标表彰等工作，根据授权承办以县委、县政府名义开展的县级表彰奖励活动。承办提请县人大常委会和县政府决定的人事任免事项。</w:t>
      </w:r>
    </w:p>
    <w:p>
      <w:pPr>
        <w:spacing w:line="556" w:lineRule="exact"/>
        <w:ind w:firstLine="640"/>
        <w:rPr>
          <w:rFonts w:ascii="仿宋_GB2312" w:eastAsia="仿宋_GB2312"/>
          <w:sz w:val="32"/>
          <w:szCs w:val="32"/>
        </w:rPr>
      </w:pPr>
      <w:r>
        <w:rPr>
          <w:rFonts w:hint="eastAsia" w:ascii="仿宋_GB2312" w:eastAsia="仿宋_GB2312"/>
          <w:sz w:val="32"/>
          <w:szCs w:val="32"/>
        </w:rPr>
        <w:t>10.会同有关部门执行事业单位人员工资收入分配政策，建立企事业单位人员工资决定、正常增长和支付保障机制。贯彻执行企事业单位人员福利和退休政策。</w:t>
      </w:r>
    </w:p>
    <w:p>
      <w:pPr>
        <w:spacing w:line="556" w:lineRule="exact"/>
        <w:ind w:firstLine="640" w:firstLineChars="200"/>
        <w:rPr>
          <w:rFonts w:ascii="仿宋_GB2312" w:eastAsia="仿宋_GB2312"/>
          <w:sz w:val="32"/>
          <w:szCs w:val="32"/>
        </w:rPr>
      </w:pPr>
      <w:r>
        <w:rPr>
          <w:rFonts w:hint="eastAsia" w:ascii="仿宋_GB2312" w:eastAsia="仿宋_GB2312"/>
          <w:sz w:val="32"/>
          <w:szCs w:val="32"/>
        </w:rPr>
        <w:t>11.会同有关部门拟订落实农民工工作综合性规划，推动相关政策的落实，协调解决重点难点问题，维护农民工合法权益。负责将安全生产纳入农民工技能培训内容。</w:t>
      </w:r>
    </w:p>
    <w:p>
      <w:pPr>
        <w:spacing w:line="556" w:lineRule="exact"/>
        <w:ind w:firstLine="640" w:firstLineChars="200"/>
        <w:rPr>
          <w:rFonts w:ascii="仿宋_GB2312" w:eastAsia="仿宋_GB2312"/>
          <w:sz w:val="32"/>
          <w:szCs w:val="32"/>
        </w:rPr>
      </w:pPr>
      <w:r>
        <w:rPr>
          <w:rFonts w:hint="eastAsia" w:ascii="仿宋_GB2312" w:eastAsia="仿宋_GB2312"/>
          <w:sz w:val="32"/>
          <w:szCs w:val="32"/>
        </w:rPr>
        <w:t>12.负责人力资源和社会保障领域的对外交流与合作工作。</w:t>
      </w:r>
    </w:p>
    <w:p>
      <w:pPr>
        <w:spacing w:line="556" w:lineRule="exact"/>
        <w:ind w:firstLine="640" w:firstLineChars="200"/>
        <w:rPr>
          <w:rFonts w:ascii="仿宋_GB2312" w:eastAsia="仿宋_GB2312"/>
          <w:sz w:val="32"/>
          <w:szCs w:val="32"/>
        </w:rPr>
      </w:pPr>
      <w:r>
        <w:rPr>
          <w:rFonts w:hint="eastAsia" w:ascii="仿宋_GB2312" w:eastAsia="仿宋_GB2312"/>
          <w:sz w:val="32"/>
          <w:szCs w:val="32"/>
        </w:rPr>
        <w:t>13.承担职责范围内的安全生产和职业健康、生态环境保护、审批服务便民化等工作。</w:t>
      </w:r>
    </w:p>
    <w:p>
      <w:pPr>
        <w:spacing w:line="556" w:lineRule="exact"/>
        <w:ind w:firstLine="640"/>
        <w:rPr>
          <w:rFonts w:ascii="仿宋_GB2312" w:eastAsia="仿宋_GB2312"/>
          <w:sz w:val="32"/>
          <w:szCs w:val="32"/>
        </w:rPr>
      </w:pPr>
      <w:r>
        <w:rPr>
          <w:rFonts w:hint="eastAsia" w:ascii="仿宋_GB2312" w:eastAsia="仿宋_GB2312"/>
          <w:sz w:val="32"/>
          <w:szCs w:val="32"/>
        </w:rPr>
        <w:t>14.完成县委、县政府交办的其他任务。</w:t>
      </w:r>
    </w:p>
    <w:p>
      <w:pPr>
        <w:spacing w:line="556" w:lineRule="exact"/>
        <w:ind w:firstLine="640" w:firstLineChars="200"/>
        <w:rPr>
          <w:rFonts w:ascii="仿宋_GB2312" w:eastAsia="仿宋_GB2312"/>
          <w:sz w:val="32"/>
          <w:szCs w:val="32"/>
        </w:rPr>
      </w:pPr>
      <w:r>
        <w:rPr>
          <w:rFonts w:hint="eastAsia" w:ascii="仿宋_GB2312" w:eastAsia="仿宋_GB2312"/>
          <w:sz w:val="32"/>
          <w:szCs w:val="32"/>
        </w:rPr>
        <w:t>15.职能转变。深入推进简政放权、放管结合、优化服务改革，进一步减少行政审批事项，规范和优化对外办理事项，贯彻落实国家职业资格目录清单管理制度，加强事中事后监管，创新就业和社会保障等公共服务方式，加强信息分享，提高公共服务水平。</w:t>
      </w:r>
    </w:p>
    <w:p>
      <w:pPr>
        <w:spacing w:line="556" w:lineRule="exact"/>
        <w:ind w:firstLine="640" w:firstLineChars="200"/>
        <w:rPr>
          <w:rFonts w:ascii="仿宋_GB2312" w:eastAsia="仿宋_GB2312"/>
          <w:sz w:val="32"/>
          <w:szCs w:val="32"/>
        </w:rPr>
      </w:pPr>
      <w:r>
        <w:rPr>
          <w:rFonts w:hint="eastAsia" w:ascii="仿宋_GB2312" w:eastAsia="仿宋_GB2312"/>
          <w:sz w:val="32"/>
          <w:szCs w:val="32"/>
        </w:rPr>
        <w:t>16.有关职责分工。高校毕业生就业管理的职责分工。毕业生就业政策由县人力资源</w:t>
      </w:r>
      <w:r>
        <w:rPr>
          <w:rFonts w:hint="eastAsia" w:ascii="仿宋_GB2312" w:eastAsia="仿宋_GB2312"/>
          <w:sz w:val="32"/>
          <w:szCs w:val="32"/>
          <w:lang w:val="en-US" w:eastAsia="zh-CN"/>
        </w:rPr>
        <w:t>和</w:t>
      </w:r>
      <w:r>
        <w:rPr>
          <w:rFonts w:hint="eastAsia" w:ascii="仿宋_GB2312" w:eastAsia="仿宋_GB2312"/>
          <w:sz w:val="32"/>
          <w:szCs w:val="32"/>
        </w:rPr>
        <w:t>社会保障局牵头，会同县教育局等部门贯彻落实；毕业生离校前的就业指导和服务工作，由县教育局负责；毕业生离校后的就业指导和服务工作，由县人力资源</w:t>
      </w:r>
      <w:r>
        <w:rPr>
          <w:rFonts w:hint="eastAsia" w:ascii="仿宋_GB2312" w:eastAsia="仿宋_GB2312"/>
          <w:sz w:val="32"/>
          <w:szCs w:val="32"/>
          <w:lang w:val="en-US" w:eastAsia="zh-CN"/>
        </w:rPr>
        <w:t>和</w:t>
      </w:r>
      <w:r>
        <w:rPr>
          <w:rFonts w:hint="eastAsia" w:ascii="仿宋_GB2312" w:eastAsia="仿宋_GB2312"/>
          <w:sz w:val="32"/>
          <w:szCs w:val="32"/>
        </w:rPr>
        <w:t>社会保障局负责。</w:t>
      </w:r>
    </w:p>
    <w:bookmarkEnd w:id="17"/>
    <w:bookmarkEnd w:id="18"/>
    <w:bookmarkEnd w:id="19"/>
    <w:bookmarkEnd w:id="20"/>
    <w:p>
      <w:pPr>
        <w:spacing w:line="560" w:lineRule="exact"/>
        <w:ind w:firstLine="640" w:firstLineChars="200"/>
        <w:rPr>
          <w:rFonts w:ascii="楷体_GB2312" w:eastAsia="楷体_GB2312" w:cs="宋体"/>
          <w:b/>
          <w:kern w:val="0"/>
          <w:sz w:val="32"/>
          <w:szCs w:val="32"/>
        </w:rPr>
      </w:pPr>
      <w:bookmarkStart w:id="21" w:name="_Toc15396601"/>
      <w:bookmarkStart w:id="22" w:name="_Toc79163605"/>
      <w:bookmarkStart w:id="23" w:name="_Toc15377200"/>
      <w:bookmarkStart w:id="24" w:name="_Toc79163855"/>
      <w:r>
        <w:rPr>
          <w:rFonts w:hint="eastAsia" w:ascii="黑体" w:hAnsi="黑体" w:eastAsia="黑体" w:cs="黑体"/>
          <w:sz w:val="32"/>
          <w:szCs w:val="32"/>
        </w:rPr>
        <w:t>二、机构设置</w:t>
      </w:r>
      <w:bookmarkEnd w:id="21"/>
      <w:bookmarkEnd w:id="22"/>
      <w:bookmarkEnd w:id="23"/>
      <w:bookmarkEnd w:id="24"/>
    </w:p>
    <w:p>
      <w:pPr>
        <w:spacing w:line="576" w:lineRule="exact"/>
        <w:ind w:firstLine="640" w:firstLineChars="200"/>
        <w:rPr>
          <w:rStyle w:val="39"/>
          <w:rFonts w:ascii="仿宋" w:hAnsi="仿宋" w:eastAsia="仿宋"/>
          <w:b w:val="0"/>
          <w:bCs w:val="0"/>
          <w:kern w:val="2"/>
          <w:sz w:val="32"/>
          <w:szCs w:val="32"/>
        </w:rPr>
      </w:pPr>
      <w:r>
        <w:rPr>
          <w:rFonts w:hint="eastAsia" w:ascii="仿宋_GB2312" w:hAnsi="仿宋_GB2312" w:eastAsia="仿宋_GB2312" w:cs="仿宋_GB2312"/>
          <w:sz w:val="32"/>
          <w:szCs w:val="32"/>
        </w:rPr>
        <w:t>茂县</w:t>
      </w:r>
      <w:r>
        <w:rPr>
          <w:rFonts w:ascii="仿宋" w:hAnsi="仿宋" w:eastAsia="仿宋"/>
          <w:sz w:val="32"/>
          <w:szCs w:val="32"/>
        </w:rPr>
        <w:t>人力资源和社会保障局</w:t>
      </w:r>
      <w:r>
        <w:rPr>
          <w:rFonts w:hint="eastAsia" w:ascii="仿宋" w:hAnsi="仿宋" w:eastAsia="仿宋"/>
          <w:sz w:val="32"/>
          <w:szCs w:val="32"/>
        </w:rPr>
        <w:t>下属二级单位0个，其中行政单位0个，参照公务员法管理的事业单位</w:t>
      </w:r>
      <w:r>
        <w:rPr>
          <w:rFonts w:hint="eastAsia" w:ascii="仿宋" w:hAnsi="仿宋" w:eastAsia="仿宋"/>
          <w:bCs/>
          <w:sz w:val="32"/>
          <w:szCs w:val="32"/>
        </w:rPr>
        <w:t>0</w:t>
      </w:r>
      <w:r>
        <w:rPr>
          <w:rFonts w:hint="eastAsia" w:ascii="仿宋" w:hAnsi="仿宋" w:eastAsia="仿宋"/>
          <w:sz w:val="32"/>
          <w:szCs w:val="32"/>
        </w:rPr>
        <w:t>个，其他事业单位0个。</w:t>
      </w:r>
      <w:r>
        <w:rPr>
          <w:rFonts w:hint="eastAsia" w:ascii="仿宋" w:hAnsi="仿宋" w:eastAsia="仿宋"/>
          <w:color w:val="000000"/>
          <w:sz w:val="32"/>
          <w:szCs w:val="32"/>
        </w:rPr>
        <w:t>无纳入茂县</w:t>
      </w:r>
      <w:r>
        <w:rPr>
          <w:rFonts w:ascii="仿宋" w:hAnsi="仿宋" w:eastAsia="仿宋"/>
          <w:color w:val="000000"/>
          <w:sz w:val="32"/>
          <w:szCs w:val="32"/>
        </w:rPr>
        <w:t>人力资源和社会保障局</w:t>
      </w:r>
      <w:r>
        <w:rPr>
          <w:rFonts w:hint="eastAsia" w:ascii="仿宋" w:hAnsi="仿宋" w:eastAsia="仿宋"/>
          <w:color w:val="000000"/>
          <w:sz w:val="32"/>
          <w:szCs w:val="32"/>
        </w:rPr>
        <w:t>202</w:t>
      </w:r>
      <w:r>
        <w:rPr>
          <w:rFonts w:hint="eastAsia" w:ascii="仿宋" w:hAnsi="仿宋" w:eastAsia="仿宋"/>
          <w:color w:val="000000"/>
          <w:sz w:val="32"/>
          <w:szCs w:val="32"/>
          <w:lang w:val="en-US" w:eastAsia="zh-CN"/>
        </w:rPr>
        <w:t>3</w:t>
      </w:r>
      <w:r>
        <w:rPr>
          <w:rFonts w:hint="eastAsia" w:ascii="仿宋" w:hAnsi="仿宋" w:eastAsia="仿宋"/>
          <w:color w:val="000000"/>
          <w:sz w:val="32"/>
          <w:szCs w:val="32"/>
        </w:rPr>
        <w:t>年度部门决算编制范围的二级预算单位。</w:t>
      </w:r>
      <w:bookmarkEnd w:id="15"/>
      <w:bookmarkEnd w:id="16"/>
    </w:p>
    <w:p>
      <w:pPr>
        <w:rPr>
          <w:rFonts w:hint="eastAsia"/>
        </w:rPr>
      </w:pPr>
    </w:p>
    <w:p/>
    <w:p/>
    <w:p/>
    <w:p/>
    <w:p>
      <w:pPr>
        <w:pStyle w:val="5"/>
        <w:ind w:right="440"/>
        <w:jc w:val="right"/>
        <w:rPr>
          <w:rStyle w:val="39"/>
          <w:rFonts w:ascii="黑体" w:hAnsi="黑体" w:eastAsia="黑体"/>
          <w:b/>
          <w:bCs/>
        </w:rPr>
      </w:pPr>
      <w:r>
        <w:rPr>
          <w:rStyle w:val="39"/>
          <w:rFonts w:hint="eastAsia" w:ascii="黑体" w:hAnsi="黑体" w:eastAsia="黑体"/>
          <w:b w:val="0"/>
          <w:bCs w:val="0"/>
        </w:rPr>
        <w:t>第二部分</w:t>
      </w:r>
      <w:r>
        <w:rPr>
          <w:rStyle w:val="39"/>
          <w:rFonts w:ascii="黑体" w:hAnsi="黑体" w:eastAsia="黑体"/>
          <w:b w:val="0"/>
          <w:bCs w:val="0"/>
        </w:rPr>
        <w:t xml:space="preserve"> 202</w:t>
      </w:r>
      <w:r>
        <w:rPr>
          <w:rStyle w:val="39"/>
          <w:rFonts w:hint="eastAsia" w:ascii="黑体" w:hAnsi="黑体" w:eastAsia="黑体"/>
          <w:b w:val="0"/>
          <w:bCs w:val="0"/>
          <w:lang w:val="en-US" w:eastAsia="zh-CN"/>
        </w:rPr>
        <w:t>3</w:t>
      </w:r>
      <w:r>
        <w:rPr>
          <w:rStyle w:val="39"/>
          <w:rFonts w:hint="eastAsia" w:ascii="黑体" w:hAnsi="黑体" w:eastAsia="黑体"/>
          <w:b w:val="0"/>
          <w:bCs w:val="0"/>
        </w:rPr>
        <w:t>年度</w:t>
      </w:r>
      <w:r>
        <w:rPr>
          <w:rStyle w:val="39"/>
          <w:rFonts w:hint="eastAsia" w:ascii="黑体" w:hAnsi="黑体" w:eastAsia="黑体"/>
          <w:b w:val="0"/>
          <w:bCs w:val="0"/>
          <w:lang w:val="en-US" w:eastAsia="zh-CN"/>
        </w:rPr>
        <w:t>部门</w:t>
      </w:r>
      <w:r>
        <w:rPr>
          <w:rStyle w:val="39"/>
          <w:rFonts w:hint="eastAsia" w:ascii="黑体" w:hAnsi="黑体" w:eastAsia="黑体"/>
          <w:b w:val="0"/>
          <w:bCs w:val="0"/>
        </w:rPr>
        <w:t>决算情况说明</w:t>
      </w:r>
    </w:p>
    <w:p>
      <w:pPr>
        <w:pStyle w:val="40"/>
        <w:numPr>
          <w:ilvl w:val="0"/>
          <w:numId w:val="1"/>
        </w:numPr>
        <w:spacing w:line="600" w:lineRule="exact"/>
        <w:ind w:firstLineChars="0"/>
        <w:outlineLvl w:val="1"/>
        <w:rPr>
          <w:rStyle w:val="30"/>
          <w:rFonts w:ascii="黑体" w:hAnsi="黑体" w:eastAsia="黑体"/>
          <w:b w:val="0"/>
        </w:rPr>
      </w:pPr>
      <w:bookmarkStart w:id="25" w:name="_Toc79163610"/>
      <w:bookmarkStart w:id="26" w:name="_Toc15377205"/>
      <w:bookmarkStart w:id="27" w:name="_Toc79163860"/>
      <w:bookmarkStart w:id="28" w:name="_Toc15396603"/>
      <w:r>
        <w:rPr>
          <w:rStyle w:val="30"/>
          <w:rFonts w:hint="eastAsia" w:ascii="黑体" w:hAnsi="黑体" w:eastAsia="黑体"/>
        </w:rPr>
        <w:t>收入支出决算总体情况说明</w:t>
      </w:r>
      <w:bookmarkEnd w:id="25"/>
      <w:bookmarkEnd w:id="26"/>
      <w:bookmarkEnd w:id="27"/>
      <w:bookmarkEnd w:id="28"/>
    </w:p>
    <w:p>
      <w:pPr>
        <w:spacing w:line="600" w:lineRule="exact"/>
        <w:ind w:firstLine="640" w:firstLineChars="200"/>
        <w:rPr>
          <w:rFonts w:hint="default" w:ascii="仿宋" w:hAnsi="仿宋" w:eastAsia="仿宋"/>
          <w:color w:val="000000"/>
          <w:sz w:val="32"/>
          <w:szCs w:val="32"/>
          <w:lang w:val="en-US"/>
        </w:rPr>
      </w:pPr>
      <w:r>
        <w:rPr>
          <w:rFonts w:ascii="仿宋" w:hAnsi="仿宋" w:eastAsia="仿宋"/>
          <w:color w:val="000000"/>
          <w:sz w:val="32"/>
          <w:szCs w:val="32"/>
        </w:rPr>
        <w:t>202</w:t>
      </w:r>
      <w:r>
        <w:rPr>
          <w:rFonts w:hint="eastAsia" w:ascii="仿宋" w:hAnsi="仿宋" w:eastAsia="仿宋"/>
          <w:color w:val="000000"/>
          <w:sz w:val="32"/>
          <w:szCs w:val="32"/>
          <w:lang w:val="en-US" w:eastAsia="zh-CN"/>
        </w:rPr>
        <w:t>3</w:t>
      </w:r>
      <w:r>
        <w:rPr>
          <w:rFonts w:hint="eastAsia" w:ascii="仿宋" w:hAnsi="仿宋" w:eastAsia="仿宋"/>
          <w:color w:val="000000"/>
          <w:sz w:val="32"/>
          <w:szCs w:val="32"/>
        </w:rPr>
        <w:t>年度收、支总计</w:t>
      </w:r>
      <w:r>
        <w:rPr>
          <w:rFonts w:hint="eastAsia" w:ascii="仿宋" w:hAnsi="仿宋" w:eastAsia="仿宋"/>
          <w:color w:val="000000"/>
          <w:sz w:val="32"/>
          <w:szCs w:val="32"/>
          <w:lang w:val="en-US" w:eastAsia="zh-CN"/>
        </w:rPr>
        <w:t>972.47</w:t>
      </w:r>
      <w:r>
        <w:rPr>
          <w:rFonts w:hint="eastAsia" w:ascii="仿宋" w:hAnsi="仿宋" w:eastAsia="仿宋"/>
          <w:color w:val="000000"/>
          <w:sz w:val="32"/>
          <w:szCs w:val="32"/>
        </w:rPr>
        <w:t>万元。与</w:t>
      </w:r>
      <w:r>
        <w:rPr>
          <w:rFonts w:ascii="仿宋" w:hAnsi="仿宋" w:eastAsia="仿宋"/>
          <w:color w:val="000000"/>
          <w:sz w:val="32"/>
          <w:szCs w:val="32"/>
        </w:rPr>
        <w:t>20</w:t>
      </w:r>
      <w:r>
        <w:rPr>
          <w:rFonts w:hint="eastAsia" w:ascii="仿宋" w:hAnsi="仿宋" w:eastAsia="仿宋"/>
          <w:color w:val="000000"/>
          <w:sz w:val="32"/>
          <w:szCs w:val="32"/>
        </w:rPr>
        <w:t>2</w:t>
      </w: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年相比收、支总计增加</w:t>
      </w:r>
      <w:r>
        <w:rPr>
          <w:rFonts w:hint="eastAsia" w:ascii="仿宋" w:hAnsi="仿宋" w:eastAsia="仿宋"/>
          <w:color w:val="000000"/>
          <w:sz w:val="32"/>
          <w:szCs w:val="32"/>
          <w:lang w:val="en-US" w:eastAsia="zh-CN"/>
        </w:rPr>
        <w:t>109.61</w:t>
      </w:r>
      <w:r>
        <w:rPr>
          <w:rFonts w:hint="eastAsia" w:ascii="仿宋" w:hAnsi="仿宋" w:eastAsia="仿宋"/>
          <w:color w:val="000000"/>
          <w:sz w:val="32"/>
          <w:szCs w:val="32"/>
        </w:rPr>
        <w:t>万元，</w:t>
      </w:r>
      <w:r>
        <w:rPr>
          <w:rFonts w:hint="eastAsia" w:ascii="仿宋" w:hAnsi="仿宋" w:eastAsia="仿宋"/>
          <w:color w:val="000000"/>
          <w:sz w:val="32"/>
          <w:szCs w:val="32"/>
          <w:lang w:val="en-US" w:eastAsia="zh-CN"/>
        </w:rPr>
        <w:t>增长12.7</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_GB2312" w:eastAsia="仿宋_GB2312" w:cs="Times New Roman"/>
          <w:color w:val="000000"/>
          <w:kern w:val="2"/>
          <w:sz w:val="32"/>
          <w:szCs w:val="32"/>
          <w:lang w:val="en-US" w:eastAsia="zh-CN" w:bidi="ar-SA"/>
        </w:rPr>
        <w:t>主要变动原因是人员变动、工资正常晋升等。</w:t>
      </w:r>
    </w:p>
    <w:p>
      <w:pPr>
        <w:jc w:val="left"/>
        <w:rPr>
          <w:rFonts w:ascii="仿宋_GB2312" w:eastAsia="仿宋_GB2312"/>
          <w:color w:val="000000"/>
          <w:sz w:val="32"/>
          <w:szCs w:val="32"/>
        </w:rPr>
      </w:pPr>
      <w:r>
        <w:rPr>
          <w:rFonts w:ascii="仿宋_GB2312" w:eastAsia="仿宋_GB2312"/>
          <w:color w:val="000000"/>
          <w:sz w:val="32"/>
          <w:szCs w:val="32"/>
        </w:rPr>
        <w:drawing>
          <wp:inline distT="0" distB="0" distL="0" distR="0">
            <wp:extent cx="5257800" cy="2019300"/>
            <wp:effectExtent l="4445" t="4445" r="14605" b="14605"/>
            <wp:docPr id="10"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Style w:val="40"/>
        <w:numPr>
          <w:ilvl w:val="0"/>
          <w:numId w:val="1"/>
        </w:numPr>
        <w:spacing w:line="600" w:lineRule="exact"/>
        <w:ind w:firstLineChars="0"/>
        <w:outlineLvl w:val="1"/>
        <w:rPr>
          <w:rStyle w:val="30"/>
          <w:rFonts w:ascii="黑体" w:hAnsi="黑体" w:eastAsia="黑体"/>
          <w:b w:val="0"/>
        </w:rPr>
      </w:pPr>
      <w:bookmarkStart w:id="29" w:name="_Toc15396604"/>
      <w:bookmarkStart w:id="30" w:name="_Toc79163861"/>
      <w:bookmarkStart w:id="31" w:name="_Toc79163611"/>
      <w:bookmarkStart w:id="32" w:name="_Toc15377206"/>
      <w:r>
        <w:rPr>
          <w:rStyle w:val="30"/>
          <w:rFonts w:hint="eastAsia" w:ascii="黑体" w:hAnsi="黑体" w:eastAsia="黑体"/>
        </w:rPr>
        <w:t>收入决算情况说明</w:t>
      </w:r>
      <w:bookmarkEnd w:id="29"/>
      <w:bookmarkEnd w:id="30"/>
      <w:bookmarkEnd w:id="31"/>
      <w:bookmarkEnd w:id="32"/>
    </w:p>
    <w:p>
      <w:pPr>
        <w:ind w:firstLine="640" w:firstLineChars="200"/>
        <w:outlineLvl w:val="1"/>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972.47</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972.47</w:t>
      </w:r>
      <w:r>
        <w:rPr>
          <w:rFonts w:hint="eastAsia" w:ascii="仿宋" w:hAnsi="仿宋" w:eastAsia="仿宋"/>
          <w:color w:val="000000"/>
          <w:sz w:val="32"/>
          <w:szCs w:val="32"/>
        </w:rPr>
        <w:t>万元，占100</w:t>
      </w:r>
      <w:r>
        <w:rPr>
          <w:rFonts w:ascii="仿宋" w:hAnsi="仿宋" w:eastAsia="仿宋"/>
          <w:color w:val="000000"/>
          <w:sz w:val="32"/>
          <w:szCs w:val="32"/>
        </w:rPr>
        <w:t>%</w:t>
      </w:r>
      <w:r>
        <w:rPr>
          <w:rFonts w:hint="eastAsia" w:ascii="仿宋" w:hAnsi="仿宋" w:eastAsia="仿宋"/>
          <w:color w:val="000000"/>
          <w:sz w:val="32"/>
          <w:szCs w:val="32"/>
        </w:rPr>
        <w:t>。</w:t>
      </w:r>
    </w:p>
    <w:p>
      <w:pPr>
        <w:ind w:firstLine="640" w:firstLineChars="200"/>
        <w:outlineLvl w:val="1"/>
        <w:rPr>
          <w:rFonts w:ascii="仿宋" w:hAnsi="仿宋" w:eastAsia="仿宋"/>
          <w:color w:val="000000"/>
          <w:sz w:val="32"/>
          <w:szCs w:val="32"/>
        </w:rPr>
      </w:pPr>
      <w:r>
        <w:rPr>
          <w:rFonts w:ascii="仿宋" w:hAnsi="仿宋" w:eastAsia="仿宋"/>
          <w:color w:val="000000"/>
          <w:sz w:val="32"/>
          <w:szCs w:val="32"/>
        </w:rPr>
        <w:drawing>
          <wp:inline distT="0" distB="0" distL="0" distR="0">
            <wp:extent cx="5086350" cy="1390650"/>
            <wp:effectExtent l="4445" t="4445" r="14605" b="14605"/>
            <wp:docPr id="1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pStyle w:val="28"/>
        <w:numPr>
          <w:ilvl w:val="0"/>
          <w:numId w:val="1"/>
        </w:numPr>
        <w:spacing w:line="600" w:lineRule="exact"/>
        <w:ind w:firstLineChars="0"/>
        <w:outlineLvl w:val="1"/>
        <w:rPr>
          <w:rStyle w:val="30"/>
          <w:rFonts w:ascii="黑体" w:hAnsi="黑体" w:eastAsia="黑体"/>
          <w:b w:val="0"/>
        </w:rPr>
      </w:pPr>
      <w:bookmarkStart w:id="33" w:name="_Toc15396605"/>
      <w:bookmarkStart w:id="34" w:name="_Toc15377207"/>
      <w:r>
        <w:rPr>
          <w:rFonts w:hint="eastAsia" w:ascii="黑体" w:hAnsi="黑体" w:eastAsia="黑体"/>
          <w:color w:val="000000"/>
          <w:sz w:val="32"/>
          <w:szCs w:val="32"/>
        </w:rPr>
        <w:t>支</w:t>
      </w:r>
      <w:r>
        <w:rPr>
          <w:rStyle w:val="30"/>
          <w:rFonts w:hint="eastAsia" w:ascii="黑体" w:hAnsi="黑体" w:eastAsia="黑体"/>
          <w:b w:val="0"/>
        </w:rPr>
        <w:t>出决算情况说明</w:t>
      </w:r>
      <w:bookmarkEnd w:id="33"/>
      <w:bookmarkEnd w:id="34"/>
    </w:p>
    <w:p>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w:t>
      </w:r>
      <w:r>
        <w:rPr>
          <w:rFonts w:hint="eastAsia" w:ascii="仿宋" w:hAnsi="仿宋" w:eastAsia="仿宋"/>
          <w:color w:val="000000"/>
          <w:sz w:val="32"/>
          <w:szCs w:val="32"/>
        </w:rPr>
        <w:t>2</w:t>
      </w:r>
      <w:r>
        <w:rPr>
          <w:rFonts w:hint="eastAsia" w:ascii="仿宋" w:hAnsi="仿宋" w:eastAsia="仿宋"/>
          <w:color w:val="000000"/>
          <w:sz w:val="32"/>
          <w:szCs w:val="32"/>
          <w:lang w:val="en-US" w:eastAsia="zh-CN"/>
        </w:rPr>
        <w:t>3</w:t>
      </w:r>
      <w:r>
        <w:rPr>
          <w:rFonts w:hint="eastAsia" w:ascii="仿宋" w:hAnsi="仿宋" w:eastAsia="仿宋"/>
          <w:color w:val="000000"/>
          <w:sz w:val="32"/>
          <w:szCs w:val="32"/>
        </w:rPr>
        <w:t>年本年支出合计</w:t>
      </w:r>
      <w:r>
        <w:rPr>
          <w:rFonts w:hint="eastAsia" w:ascii="仿宋" w:hAnsi="仿宋" w:eastAsia="仿宋"/>
          <w:color w:val="000000"/>
          <w:sz w:val="32"/>
          <w:szCs w:val="32"/>
          <w:lang w:val="en-US" w:eastAsia="zh-CN"/>
        </w:rPr>
        <w:t>972.47</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706.43</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72.64</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266.04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27.36</w:t>
      </w:r>
      <w:r>
        <w:rPr>
          <w:rFonts w:ascii="仿宋" w:hAnsi="仿宋" w:eastAsia="仿宋"/>
          <w:color w:val="000000"/>
          <w:sz w:val="32"/>
          <w:szCs w:val="32"/>
        </w:rPr>
        <w:t>%</w:t>
      </w:r>
      <w:r>
        <w:rPr>
          <w:rFonts w:hint="eastAsia" w:ascii="仿宋" w:hAnsi="仿宋" w:eastAsia="仿宋"/>
          <w:color w:val="000000"/>
          <w:sz w:val="32"/>
          <w:szCs w:val="32"/>
        </w:rPr>
        <w:t>。</w:t>
      </w:r>
    </w:p>
    <w:p>
      <w:pPr>
        <w:ind w:firstLine="640" w:firstLineChars="200"/>
        <w:rPr>
          <w:rFonts w:ascii="仿宋_GB2312" w:eastAsia="仿宋_GB2312"/>
          <w:color w:val="FF0000"/>
          <w:sz w:val="32"/>
          <w:szCs w:val="32"/>
        </w:rPr>
      </w:pPr>
      <w:r>
        <w:rPr>
          <w:rFonts w:ascii="仿宋_GB2312" w:eastAsia="仿宋_GB2312"/>
          <w:color w:val="FF0000"/>
          <w:sz w:val="32"/>
          <w:szCs w:val="32"/>
        </w:rPr>
        <w:drawing>
          <wp:inline distT="0" distB="0" distL="0" distR="0">
            <wp:extent cx="5153025" cy="1866900"/>
            <wp:effectExtent l="4445" t="4445" r="5080" b="14605"/>
            <wp:docPr id="18"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0" w:firstLineChars="200"/>
        <w:outlineLvl w:val="1"/>
        <w:rPr>
          <w:rStyle w:val="30"/>
          <w:rFonts w:ascii="黑体" w:hAnsi="黑体" w:eastAsia="黑体"/>
          <w:b w:val="0"/>
        </w:rPr>
      </w:pPr>
      <w:bookmarkStart w:id="35" w:name="_Toc79163613"/>
      <w:bookmarkStart w:id="36" w:name="_Toc15396606"/>
      <w:bookmarkStart w:id="37" w:name="_Toc79163863"/>
      <w:bookmarkStart w:id="38" w:name="_Toc15377208"/>
      <w:r>
        <w:rPr>
          <w:rFonts w:hint="eastAsia" w:ascii="黑体" w:hAnsi="黑体" w:eastAsia="黑体"/>
          <w:color w:val="000000"/>
          <w:sz w:val="32"/>
          <w:szCs w:val="32"/>
        </w:rPr>
        <w:t>四、财</w:t>
      </w:r>
      <w:r>
        <w:rPr>
          <w:rStyle w:val="30"/>
          <w:rFonts w:hint="eastAsia" w:ascii="黑体" w:hAnsi="黑体" w:eastAsia="黑体"/>
        </w:rPr>
        <w:t>政拨款收入支出决算总体情况说明</w:t>
      </w:r>
      <w:bookmarkEnd w:id="35"/>
      <w:bookmarkEnd w:id="36"/>
      <w:bookmarkEnd w:id="37"/>
      <w:bookmarkEnd w:id="38"/>
    </w:p>
    <w:p>
      <w:pPr>
        <w:spacing w:line="600" w:lineRule="exact"/>
        <w:ind w:firstLine="640"/>
        <w:rPr>
          <w:rFonts w:hint="default" w:ascii="仿宋" w:hAnsi="仿宋" w:eastAsia="仿宋"/>
          <w:color w:val="000000"/>
          <w:sz w:val="32"/>
          <w:szCs w:val="32"/>
          <w:lang w:val="en-US"/>
        </w:rPr>
      </w:pPr>
      <w:r>
        <w:rPr>
          <w:rFonts w:ascii="仿宋" w:hAnsi="仿宋" w:eastAsia="仿宋"/>
          <w:color w:val="000000"/>
          <w:sz w:val="32"/>
          <w:szCs w:val="32"/>
        </w:rPr>
        <w:t>202</w:t>
      </w:r>
      <w:r>
        <w:rPr>
          <w:rFonts w:hint="eastAsia" w:ascii="仿宋" w:hAnsi="仿宋" w:eastAsia="仿宋"/>
          <w:color w:val="000000"/>
          <w:sz w:val="32"/>
          <w:szCs w:val="32"/>
          <w:lang w:val="en-US" w:eastAsia="zh-CN"/>
        </w:rPr>
        <w:t>3</w:t>
      </w:r>
      <w:r>
        <w:rPr>
          <w:rFonts w:hint="eastAsia" w:ascii="仿宋" w:hAnsi="仿宋" w:eastAsia="仿宋"/>
          <w:color w:val="000000"/>
          <w:sz w:val="32"/>
          <w:szCs w:val="32"/>
        </w:rPr>
        <w:t>年财政拨款收、支总计</w:t>
      </w:r>
      <w:r>
        <w:rPr>
          <w:rFonts w:hint="eastAsia" w:ascii="仿宋" w:hAnsi="仿宋" w:eastAsia="仿宋"/>
          <w:color w:val="000000"/>
          <w:sz w:val="32"/>
          <w:szCs w:val="32"/>
          <w:lang w:val="en-US" w:eastAsia="zh-CN"/>
        </w:rPr>
        <w:t>972.47</w:t>
      </w:r>
      <w:r>
        <w:rPr>
          <w:rFonts w:hint="eastAsia" w:ascii="仿宋" w:hAnsi="仿宋" w:eastAsia="仿宋"/>
          <w:color w:val="000000"/>
          <w:sz w:val="32"/>
          <w:szCs w:val="32"/>
        </w:rPr>
        <w:t>万元。与</w:t>
      </w:r>
      <w:r>
        <w:rPr>
          <w:rFonts w:ascii="仿宋" w:hAnsi="仿宋" w:eastAsia="仿宋"/>
          <w:color w:val="000000"/>
          <w:sz w:val="32"/>
          <w:szCs w:val="32"/>
        </w:rPr>
        <w:t>20</w:t>
      </w:r>
      <w:r>
        <w:rPr>
          <w:rFonts w:hint="eastAsia" w:ascii="仿宋" w:hAnsi="仿宋" w:eastAsia="仿宋"/>
          <w:color w:val="000000"/>
          <w:sz w:val="32"/>
          <w:szCs w:val="32"/>
        </w:rPr>
        <w:t>2</w:t>
      </w: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年相比财政拨款收、支总计</w:t>
      </w:r>
      <w:r>
        <w:rPr>
          <w:rFonts w:hint="eastAsia" w:ascii="仿宋" w:hAnsi="仿宋" w:eastAsia="仿宋"/>
          <w:color w:val="000000"/>
          <w:sz w:val="32"/>
          <w:szCs w:val="32"/>
          <w:lang w:val="en-US" w:eastAsia="zh-CN"/>
        </w:rPr>
        <w:t>增加109.61</w:t>
      </w:r>
      <w:r>
        <w:rPr>
          <w:rFonts w:hint="eastAsia" w:ascii="仿宋" w:hAnsi="仿宋" w:eastAsia="仿宋"/>
          <w:color w:val="000000"/>
          <w:sz w:val="32"/>
          <w:szCs w:val="32"/>
        </w:rPr>
        <w:t>万元，</w:t>
      </w:r>
      <w:r>
        <w:rPr>
          <w:rFonts w:hint="eastAsia" w:ascii="仿宋" w:hAnsi="仿宋" w:eastAsia="仿宋"/>
          <w:color w:val="000000"/>
          <w:sz w:val="32"/>
          <w:szCs w:val="32"/>
          <w:lang w:val="en-US" w:eastAsia="zh-CN"/>
        </w:rPr>
        <w:t>增长12.7</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_GB2312" w:eastAsia="仿宋_GB2312" w:cs="Times New Roman"/>
          <w:color w:val="000000"/>
          <w:kern w:val="2"/>
          <w:sz w:val="32"/>
          <w:szCs w:val="32"/>
          <w:lang w:val="en-US" w:eastAsia="zh-CN" w:bidi="ar-SA"/>
        </w:rPr>
        <w:t>主要变动原因是人员变动、工资正常晋升等。</w:t>
      </w:r>
    </w:p>
    <w:p>
      <w:pPr>
        <w:ind w:firstLine="641"/>
        <w:rPr>
          <w:rFonts w:ascii="仿宋" w:hAnsi="仿宋" w:eastAsia="仿宋"/>
          <w:b/>
          <w:color w:val="00B050"/>
          <w:sz w:val="32"/>
          <w:szCs w:val="32"/>
        </w:rPr>
      </w:pPr>
      <w:r>
        <w:rPr>
          <w:rFonts w:ascii="仿宋" w:hAnsi="仿宋" w:eastAsia="仿宋"/>
          <w:b/>
          <w:color w:val="00B050"/>
          <w:sz w:val="32"/>
          <w:szCs w:val="32"/>
        </w:rPr>
        <w:drawing>
          <wp:inline distT="0" distB="0" distL="0" distR="0">
            <wp:extent cx="5257800" cy="1990725"/>
            <wp:effectExtent l="4445" t="4445" r="14605" b="5080"/>
            <wp:docPr id="3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0" w:firstLineChars="200"/>
        <w:outlineLvl w:val="1"/>
        <w:rPr>
          <w:rStyle w:val="30"/>
          <w:rFonts w:ascii="黑体" w:hAnsi="黑体" w:eastAsia="黑体"/>
          <w:b w:val="0"/>
        </w:rPr>
      </w:pPr>
      <w:bookmarkStart w:id="39" w:name="_Toc15377209"/>
      <w:bookmarkStart w:id="40" w:name="_Toc79163864"/>
      <w:bookmarkStart w:id="41" w:name="_Toc79163614"/>
      <w:bookmarkStart w:id="42"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30"/>
          <w:rFonts w:hint="eastAsia" w:ascii="黑体" w:hAnsi="黑体" w:eastAsia="黑体"/>
        </w:rPr>
        <w:t>般公共预算财政拨款支出决算情况说明</w:t>
      </w:r>
      <w:bookmarkEnd w:id="39"/>
      <w:bookmarkEnd w:id="40"/>
      <w:bookmarkEnd w:id="41"/>
      <w:bookmarkEnd w:id="42"/>
    </w:p>
    <w:p>
      <w:pPr>
        <w:spacing w:line="600" w:lineRule="exact"/>
        <w:ind w:firstLine="643" w:firstLineChars="200"/>
        <w:outlineLvl w:val="2"/>
        <w:rPr>
          <w:rFonts w:ascii="仿宋" w:hAnsi="仿宋" w:eastAsia="仿宋"/>
          <w:b/>
          <w:color w:val="000000"/>
          <w:sz w:val="32"/>
          <w:szCs w:val="32"/>
        </w:rPr>
      </w:pPr>
      <w:bookmarkStart w:id="43" w:name="_Toc15377210"/>
      <w:bookmarkStart w:id="44" w:name="_Toc79163615"/>
      <w:bookmarkStart w:id="45" w:name="_Toc79163865"/>
      <w:r>
        <w:rPr>
          <w:rFonts w:hint="eastAsia" w:ascii="仿宋" w:hAnsi="仿宋" w:eastAsia="仿宋"/>
          <w:b/>
          <w:color w:val="000000"/>
          <w:sz w:val="32"/>
          <w:szCs w:val="32"/>
        </w:rPr>
        <w:t>（一）一般公共预算财政拨款支出决算总体情况</w:t>
      </w:r>
      <w:bookmarkEnd w:id="43"/>
      <w:bookmarkEnd w:id="44"/>
      <w:bookmarkEnd w:id="45"/>
    </w:p>
    <w:p>
      <w:pPr>
        <w:spacing w:line="600" w:lineRule="exact"/>
        <w:ind w:firstLine="640" w:firstLineChars="200"/>
        <w:rPr>
          <w:rFonts w:hint="eastAsia"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3</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972.47</w:t>
      </w:r>
      <w:r>
        <w:rPr>
          <w:rFonts w:hint="eastAsia" w:ascii="仿宋" w:hAnsi="仿宋" w:eastAsia="仿宋"/>
          <w:color w:val="000000"/>
          <w:sz w:val="32"/>
          <w:szCs w:val="32"/>
        </w:rPr>
        <w:t>万元，占本年支出合计的100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w:t>
      </w:r>
      <w:r>
        <w:rPr>
          <w:rFonts w:hint="eastAsia" w:ascii="仿宋" w:hAnsi="仿宋" w:eastAsia="仿宋"/>
          <w:color w:val="000000"/>
          <w:sz w:val="32"/>
          <w:szCs w:val="32"/>
        </w:rPr>
        <w:t>2</w:t>
      </w: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年相比，一般公共预算财政拨款</w:t>
      </w:r>
      <w:r>
        <w:rPr>
          <w:rFonts w:hint="eastAsia" w:ascii="仿宋" w:hAnsi="仿宋" w:eastAsia="仿宋"/>
          <w:color w:val="000000"/>
          <w:sz w:val="32"/>
          <w:szCs w:val="32"/>
          <w:lang w:val="en-US" w:eastAsia="zh-CN"/>
        </w:rPr>
        <w:t>增加109.61</w:t>
      </w:r>
      <w:r>
        <w:rPr>
          <w:rFonts w:hint="eastAsia" w:ascii="仿宋" w:hAnsi="仿宋" w:eastAsia="仿宋"/>
          <w:color w:val="000000"/>
          <w:sz w:val="32"/>
          <w:szCs w:val="32"/>
        </w:rPr>
        <w:t>万元，</w:t>
      </w:r>
      <w:r>
        <w:rPr>
          <w:rFonts w:hint="eastAsia" w:ascii="仿宋" w:hAnsi="仿宋" w:eastAsia="仿宋"/>
          <w:color w:val="000000"/>
          <w:sz w:val="32"/>
          <w:szCs w:val="32"/>
          <w:lang w:val="en-US" w:eastAsia="zh-CN"/>
        </w:rPr>
        <w:t>增长12.7</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_GB2312" w:eastAsia="仿宋_GB2312" w:cs="Times New Roman"/>
          <w:color w:val="000000"/>
          <w:kern w:val="2"/>
          <w:sz w:val="32"/>
          <w:szCs w:val="32"/>
          <w:lang w:val="en-US" w:eastAsia="zh-CN" w:bidi="ar-SA"/>
        </w:rPr>
        <w:t>主要变动原因是人员变动、工资正常晋升等。</w:t>
      </w: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drawing>
          <wp:anchor distT="0" distB="0" distL="114300" distR="114300" simplePos="0" relativeHeight="251660288" behindDoc="1" locked="0" layoutInCell="1" allowOverlap="1">
            <wp:simplePos x="0" y="0"/>
            <wp:positionH relativeFrom="column">
              <wp:posOffset>285750</wp:posOffset>
            </wp:positionH>
            <wp:positionV relativeFrom="paragraph">
              <wp:posOffset>28575</wp:posOffset>
            </wp:positionV>
            <wp:extent cx="5058410" cy="2188845"/>
            <wp:effectExtent l="19050" t="0" r="27664" b="2157"/>
            <wp:wrapNone/>
            <wp:docPr id="34"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pPr>
        <w:spacing w:line="600" w:lineRule="exact"/>
        <w:ind w:firstLine="640" w:firstLineChars="200"/>
        <w:rPr>
          <w:rFonts w:ascii="仿宋" w:hAnsi="仿宋" w:eastAsia="仿宋"/>
          <w:color w:val="000000" w:themeColor="text1"/>
          <w:sz w:val="32"/>
          <w:szCs w:val="32"/>
        </w:rPr>
      </w:pPr>
    </w:p>
    <w:p>
      <w:pPr>
        <w:spacing w:line="600" w:lineRule="exact"/>
        <w:ind w:firstLine="643" w:firstLineChars="200"/>
        <w:outlineLvl w:val="2"/>
        <w:rPr>
          <w:rFonts w:ascii="仿宋" w:hAnsi="仿宋" w:eastAsia="仿宋"/>
          <w:b/>
          <w:color w:val="000000"/>
          <w:sz w:val="32"/>
          <w:szCs w:val="32"/>
        </w:rPr>
      </w:pPr>
      <w:bookmarkStart w:id="46" w:name="_Toc79163866"/>
      <w:bookmarkStart w:id="47" w:name="_Toc79163616"/>
    </w:p>
    <w:p>
      <w:pPr>
        <w:spacing w:line="600" w:lineRule="exact"/>
        <w:ind w:firstLine="643" w:firstLineChars="200"/>
        <w:outlineLvl w:val="2"/>
        <w:rPr>
          <w:rFonts w:ascii="仿宋" w:hAnsi="仿宋" w:eastAsia="仿宋"/>
          <w:b/>
          <w:color w:val="000000"/>
          <w:sz w:val="32"/>
          <w:szCs w:val="32"/>
        </w:rPr>
      </w:pPr>
    </w:p>
    <w:p>
      <w:pPr>
        <w:spacing w:line="600" w:lineRule="exact"/>
        <w:ind w:firstLine="643" w:firstLineChars="200"/>
        <w:outlineLvl w:val="2"/>
        <w:rPr>
          <w:rFonts w:ascii="仿宋" w:hAnsi="仿宋" w:eastAsia="仿宋"/>
          <w:b/>
          <w:color w:val="000000"/>
          <w:sz w:val="32"/>
          <w:szCs w:val="32"/>
        </w:rPr>
      </w:pPr>
    </w:p>
    <w:p>
      <w:pPr>
        <w:spacing w:line="600" w:lineRule="exact"/>
        <w:ind w:firstLine="643" w:firstLineChars="200"/>
        <w:outlineLvl w:val="2"/>
        <w:rPr>
          <w:rFonts w:ascii="仿宋" w:hAnsi="仿宋" w:eastAsia="仿宋"/>
          <w:b/>
          <w:color w:val="000000"/>
          <w:sz w:val="32"/>
          <w:szCs w:val="32"/>
        </w:rPr>
      </w:pPr>
    </w:p>
    <w:p>
      <w:pPr>
        <w:spacing w:line="60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（二）一般公共预算财政拨款支出决算结构情况</w:t>
      </w:r>
      <w:bookmarkEnd w:id="46"/>
      <w:bookmarkEnd w:id="47"/>
    </w:p>
    <w:p>
      <w:pPr>
        <w:spacing w:line="600" w:lineRule="exact"/>
        <w:ind w:firstLine="640"/>
        <w:rPr>
          <w:rFonts w:ascii="仿宋_GB2312" w:hAnsi="仿宋" w:eastAsia="仿宋_GB2312"/>
          <w:color w:val="000000"/>
          <w:sz w:val="32"/>
          <w:szCs w:val="32"/>
        </w:rPr>
      </w:pPr>
      <w:r>
        <w:rPr>
          <w:rFonts w:hint="eastAsia" w:ascii="仿宋_GB2312" w:hAnsi="仿宋" w:eastAsia="仿宋_GB2312"/>
          <w:color w:val="000000"/>
          <w:sz w:val="32"/>
          <w:szCs w:val="32"/>
        </w:rPr>
        <w:t>202</w:t>
      </w:r>
      <w:r>
        <w:rPr>
          <w:rFonts w:hint="eastAsia" w:ascii="仿宋_GB2312" w:hAnsi="仿宋" w:eastAsia="仿宋_GB2312"/>
          <w:color w:val="000000"/>
          <w:sz w:val="32"/>
          <w:szCs w:val="32"/>
          <w:lang w:val="en-US" w:eastAsia="zh-CN"/>
        </w:rPr>
        <w:t>3</w:t>
      </w:r>
      <w:r>
        <w:rPr>
          <w:rFonts w:hint="eastAsia" w:ascii="仿宋_GB2312" w:hAnsi="仿宋" w:eastAsia="仿宋_GB2312"/>
          <w:color w:val="000000"/>
          <w:sz w:val="32"/>
          <w:szCs w:val="32"/>
        </w:rPr>
        <w:t>年一般公共预算财政拨款支出</w:t>
      </w:r>
      <w:r>
        <w:rPr>
          <w:rFonts w:hint="eastAsia" w:ascii="仿宋" w:hAnsi="仿宋" w:eastAsia="仿宋"/>
          <w:color w:val="000000"/>
          <w:sz w:val="32"/>
          <w:szCs w:val="32"/>
          <w:lang w:val="en-US" w:eastAsia="zh-CN"/>
        </w:rPr>
        <w:t>972.47</w:t>
      </w:r>
      <w:r>
        <w:rPr>
          <w:rFonts w:hint="eastAsia" w:ascii="仿宋_GB2312" w:hAnsi="仿宋" w:eastAsia="仿宋_GB2312"/>
          <w:color w:val="000000"/>
          <w:sz w:val="32"/>
          <w:szCs w:val="32"/>
        </w:rPr>
        <w:t>万元，主要用于以下方面:</w:t>
      </w:r>
      <w:r>
        <w:rPr>
          <w:rFonts w:hint="eastAsia" w:ascii="仿宋_GB2312" w:hAnsi="仿宋" w:eastAsia="仿宋_GB2312"/>
          <w:b/>
          <w:color w:val="000000"/>
          <w:sz w:val="32"/>
          <w:szCs w:val="32"/>
        </w:rPr>
        <w:t>社会保障和就业</w:t>
      </w:r>
      <w:r>
        <w:rPr>
          <w:rFonts w:hint="eastAsia" w:ascii="仿宋_GB2312" w:hAnsi="仿宋" w:eastAsia="仿宋_GB2312"/>
          <w:b/>
          <w:bCs/>
          <w:color w:val="000000"/>
          <w:sz w:val="32"/>
          <w:szCs w:val="32"/>
        </w:rPr>
        <w:t>支出</w:t>
      </w:r>
      <w:r>
        <w:rPr>
          <w:rFonts w:hint="eastAsia" w:ascii="仿宋_GB2312" w:hAnsi="仿宋" w:eastAsia="仿宋_GB2312"/>
          <w:b/>
          <w:color w:val="000000"/>
          <w:sz w:val="32"/>
          <w:szCs w:val="32"/>
        </w:rPr>
        <w:t>（类）</w:t>
      </w:r>
      <w:r>
        <w:rPr>
          <w:rFonts w:hint="eastAsia" w:ascii="仿宋_GB2312" w:hAnsi="仿宋" w:eastAsia="仿宋_GB2312"/>
          <w:color w:val="000000"/>
          <w:sz w:val="32"/>
          <w:szCs w:val="32"/>
          <w:lang w:val="en-US" w:eastAsia="zh-CN"/>
        </w:rPr>
        <w:t>838.34</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val="en-US" w:eastAsia="zh-CN"/>
        </w:rPr>
        <w:t>86.21</w:t>
      </w:r>
      <w:r>
        <w:rPr>
          <w:rFonts w:hint="eastAsia" w:ascii="仿宋_GB2312" w:hAnsi="仿宋" w:eastAsia="仿宋_GB2312"/>
          <w:color w:val="000000"/>
          <w:sz w:val="32"/>
          <w:szCs w:val="32"/>
        </w:rPr>
        <w:t>%；</w:t>
      </w:r>
      <w:r>
        <w:rPr>
          <w:rFonts w:hint="eastAsia" w:ascii="仿宋_GB2312" w:hAnsi="仿宋" w:eastAsia="仿宋_GB2312"/>
          <w:b/>
          <w:bCs/>
          <w:color w:val="000000"/>
          <w:sz w:val="32"/>
          <w:szCs w:val="32"/>
        </w:rPr>
        <w:t>卫生健康支出</w:t>
      </w:r>
      <w:r>
        <w:rPr>
          <w:rFonts w:hint="eastAsia" w:ascii="仿宋_GB2312" w:hAnsi="仿宋" w:eastAsia="仿宋_GB2312"/>
          <w:b/>
          <w:color w:val="000000"/>
          <w:sz w:val="32"/>
          <w:szCs w:val="32"/>
        </w:rPr>
        <w:t>（类）</w:t>
      </w:r>
      <w:r>
        <w:rPr>
          <w:rFonts w:hint="eastAsia" w:ascii="仿宋_GB2312" w:hAnsi="仿宋" w:eastAsia="仿宋_GB2312"/>
          <w:color w:val="000000"/>
          <w:sz w:val="32"/>
          <w:szCs w:val="32"/>
          <w:lang w:val="en-US" w:eastAsia="zh-CN"/>
        </w:rPr>
        <w:t>40.54</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val="en-US" w:eastAsia="zh-CN"/>
        </w:rPr>
        <w:t>4.17</w:t>
      </w:r>
      <w:r>
        <w:rPr>
          <w:rFonts w:hint="eastAsia" w:ascii="仿宋_GB2312" w:hAnsi="仿宋" w:eastAsia="仿宋_GB2312"/>
          <w:color w:val="000000"/>
          <w:sz w:val="32"/>
          <w:szCs w:val="32"/>
        </w:rPr>
        <w:t>%；</w:t>
      </w:r>
      <w:r>
        <w:rPr>
          <w:rFonts w:hint="eastAsia" w:ascii="仿宋_GB2312" w:hAnsi="仿宋" w:eastAsia="仿宋_GB2312"/>
          <w:b/>
          <w:bCs/>
          <w:color w:val="000000" w:themeColor="text1"/>
          <w:sz w:val="32"/>
          <w:szCs w:val="32"/>
        </w:rPr>
        <w:t>农林水支出</w:t>
      </w:r>
      <w:r>
        <w:rPr>
          <w:rFonts w:hint="eastAsia" w:ascii="仿宋_GB2312" w:hAnsi="仿宋" w:eastAsia="仿宋_GB2312"/>
          <w:b/>
          <w:color w:val="000000" w:themeColor="text1"/>
          <w:sz w:val="32"/>
          <w:szCs w:val="32"/>
        </w:rPr>
        <w:t>支出</w:t>
      </w:r>
      <w:r>
        <w:rPr>
          <w:rFonts w:hint="eastAsia" w:ascii="仿宋_GB2312" w:hAnsi="仿宋" w:eastAsia="仿宋_GB2312"/>
          <w:b/>
          <w:bCs/>
          <w:color w:val="000000" w:themeColor="text1"/>
          <w:sz w:val="32"/>
          <w:szCs w:val="32"/>
        </w:rPr>
        <w:t>（</w:t>
      </w:r>
      <w:r>
        <w:rPr>
          <w:rFonts w:hint="eastAsia" w:ascii="仿宋_GB2312" w:hAnsi="仿宋" w:eastAsia="仿宋_GB2312"/>
          <w:b/>
          <w:color w:val="000000"/>
          <w:sz w:val="32"/>
          <w:szCs w:val="32"/>
        </w:rPr>
        <w:t>类</w:t>
      </w:r>
      <w:r>
        <w:rPr>
          <w:rFonts w:hint="eastAsia" w:ascii="仿宋_GB2312" w:hAnsi="仿宋" w:eastAsia="仿宋_GB2312"/>
          <w:b/>
          <w:bCs/>
          <w:color w:val="000000" w:themeColor="text1"/>
          <w:sz w:val="32"/>
          <w:szCs w:val="32"/>
        </w:rPr>
        <w:t>）</w:t>
      </w:r>
      <w:r>
        <w:rPr>
          <w:rFonts w:hint="eastAsia" w:ascii="仿宋_GB2312" w:hAnsi="仿宋" w:eastAsia="仿宋_GB2312"/>
          <w:color w:val="000000" w:themeColor="text1"/>
          <w:sz w:val="32"/>
          <w:szCs w:val="32"/>
          <w:lang w:val="en-US" w:eastAsia="zh-CN"/>
        </w:rPr>
        <w:t>33</w:t>
      </w:r>
      <w:r>
        <w:rPr>
          <w:rFonts w:hint="eastAsia" w:ascii="仿宋_GB2312" w:hAnsi="仿宋" w:eastAsia="仿宋_GB2312"/>
          <w:color w:val="000000" w:themeColor="text1"/>
          <w:sz w:val="32"/>
          <w:szCs w:val="32"/>
        </w:rPr>
        <w:t>万元</w:t>
      </w:r>
      <w:r>
        <w:rPr>
          <w:rFonts w:hint="eastAsia" w:ascii="仿宋_GB2312" w:hAnsi="仿宋" w:eastAsia="仿宋_GB2312"/>
          <w:color w:val="000000"/>
          <w:sz w:val="32"/>
          <w:szCs w:val="32"/>
          <w:lang w:val="en-US" w:eastAsia="zh-CN"/>
        </w:rPr>
        <w:t>，占3.39</w:t>
      </w:r>
      <w:r>
        <w:rPr>
          <w:rFonts w:hint="eastAsia" w:ascii="仿宋_GB2312" w:hAnsi="仿宋" w:eastAsia="仿宋_GB2312"/>
          <w:color w:val="000000"/>
          <w:sz w:val="32"/>
          <w:szCs w:val="32"/>
        </w:rPr>
        <w:t>%</w:t>
      </w:r>
      <w:r>
        <w:rPr>
          <w:rFonts w:hint="eastAsia" w:ascii="仿宋_GB2312" w:hAnsi="仿宋" w:eastAsia="仿宋_GB2312"/>
          <w:color w:val="000000" w:themeColor="text1"/>
          <w:sz w:val="32"/>
          <w:szCs w:val="32"/>
        </w:rPr>
        <w:t>；</w:t>
      </w:r>
      <w:r>
        <w:rPr>
          <w:rFonts w:hint="eastAsia" w:ascii="仿宋_GB2312" w:hAnsi="仿宋" w:eastAsia="仿宋_GB2312"/>
          <w:b/>
          <w:bCs/>
          <w:color w:val="000000"/>
          <w:sz w:val="32"/>
          <w:szCs w:val="32"/>
        </w:rPr>
        <w:t>住房保障支出</w:t>
      </w:r>
      <w:r>
        <w:rPr>
          <w:rFonts w:hint="eastAsia" w:ascii="仿宋_GB2312" w:hAnsi="仿宋" w:eastAsia="仿宋_GB2312"/>
          <w:b/>
          <w:color w:val="000000"/>
          <w:sz w:val="32"/>
          <w:szCs w:val="32"/>
        </w:rPr>
        <w:t>（类）</w:t>
      </w:r>
      <w:r>
        <w:rPr>
          <w:rFonts w:hint="eastAsia" w:ascii="仿宋_GB2312" w:hAnsi="仿宋" w:eastAsia="仿宋_GB2312"/>
          <w:color w:val="000000"/>
          <w:sz w:val="32"/>
          <w:szCs w:val="32"/>
          <w:lang w:val="en-US" w:eastAsia="zh-CN"/>
        </w:rPr>
        <w:t>50.77</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val="en-US" w:eastAsia="zh-CN"/>
        </w:rPr>
        <w:t>5.22</w:t>
      </w:r>
      <w:r>
        <w:rPr>
          <w:rFonts w:hint="eastAsia" w:ascii="仿宋_GB2312" w:hAnsi="仿宋" w:eastAsia="仿宋_GB2312"/>
          <w:color w:val="000000"/>
          <w:sz w:val="32"/>
          <w:szCs w:val="32"/>
        </w:rPr>
        <w:t>%</w:t>
      </w:r>
      <w:r>
        <w:rPr>
          <w:rFonts w:hint="eastAsia" w:ascii="仿宋_GB2312" w:hAnsi="仿宋" w:eastAsia="仿宋_GB2312"/>
          <w:color w:val="000000"/>
          <w:sz w:val="32"/>
          <w:szCs w:val="32"/>
          <w:lang w:eastAsia="zh-CN"/>
        </w:rPr>
        <w:t>；</w:t>
      </w:r>
      <w:r>
        <w:rPr>
          <w:rFonts w:hint="eastAsia" w:ascii="仿宋_GB2312" w:hAnsi="仿宋" w:eastAsia="仿宋_GB2312"/>
          <w:b/>
          <w:bCs/>
          <w:color w:val="000000"/>
          <w:sz w:val="32"/>
          <w:szCs w:val="32"/>
          <w:lang w:val="en-US" w:eastAsia="zh-CN"/>
        </w:rPr>
        <w:t>其他支出（类）</w:t>
      </w:r>
      <w:r>
        <w:rPr>
          <w:rFonts w:hint="eastAsia" w:ascii="仿宋_GB2312" w:hAnsi="仿宋" w:eastAsia="仿宋_GB2312"/>
          <w:color w:val="000000"/>
          <w:sz w:val="32"/>
          <w:szCs w:val="32"/>
          <w:lang w:val="en-US" w:eastAsia="zh-CN"/>
        </w:rPr>
        <w:t>9.82万元，</w:t>
      </w:r>
      <w:r>
        <w:rPr>
          <w:rFonts w:hint="eastAsia" w:ascii="仿宋_GB2312" w:hAnsi="仿宋" w:eastAsia="仿宋_GB2312"/>
          <w:color w:val="000000"/>
          <w:sz w:val="32"/>
          <w:szCs w:val="32"/>
        </w:rPr>
        <w:t>占</w:t>
      </w:r>
      <w:r>
        <w:rPr>
          <w:rFonts w:hint="eastAsia" w:ascii="仿宋_GB2312" w:hAnsi="仿宋" w:eastAsia="仿宋_GB2312"/>
          <w:color w:val="000000"/>
          <w:sz w:val="32"/>
          <w:szCs w:val="32"/>
          <w:lang w:val="en-US" w:eastAsia="zh-CN"/>
        </w:rPr>
        <w:t>1.01</w:t>
      </w:r>
      <w:r>
        <w:rPr>
          <w:rFonts w:hint="eastAsia" w:ascii="仿宋_GB2312" w:hAnsi="仿宋" w:eastAsia="仿宋_GB2312"/>
          <w:color w:val="000000"/>
          <w:sz w:val="32"/>
          <w:szCs w:val="32"/>
        </w:rPr>
        <w:t>%</w:t>
      </w:r>
      <w:r>
        <w:rPr>
          <w:rFonts w:hint="eastAsia" w:ascii="仿宋_GB2312" w:hAnsi="仿宋" w:eastAsia="仿宋_GB2312"/>
          <w:color w:val="000000"/>
          <w:sz w:val="32"/>
          <w:szCs w:val="32"/>
          <w:lang w:eastAsia="zh-CN"/>
        </w:rPr>
        <w:t>。</w:t>
      </w:r>
    </w:p>
    <w:p>
      <w:pPr>
        <w:rPr>
          <w:rFonts w:ascii="仿宋_GB2312" w:eastAsia="仿宋_GB2312"/>
          <w:color w:val="000000"/>
          <w:sz w:val="32"/>
          <w:szCs w:val="32"/>
        </w:rPr>
      </w:pPr>
      <w:r>
        <w:rPr>
          <w:rFonts w:ascii="仿宋_GB2312" w:hAnsi="仿宋_GB2312" w:eastAsia="仿宋_GB2312" w:cs="仿宋_GB2312"/>
          <w:sz w:val="32"/>
          <w:szCs w:val="32"/>
        </w:rPr>
        <w:drawing>
          <wp:inline distT="0" distB="0" distL="0" distR="0">
            <wp:extent cx="5362575" cy="2334260"/>
            <wp:effectExtent l="5080" t="4445" r="4445" b="23495"/>
            <wp:docPr id="11"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spacing w:line="600" w:lineRule="exact"/>
        <w:ind w:firstLine="643" w:firstLineChars="200"/>
        <w:outlineLvl w:val="2"/>
        <w:rPr>
          <w:rFonts w:ascii="仿宋" w:hAnsi="仿宋" w:eastAsia="仿宋"/>
          <w:b/>
          <w:color w:val="000000"/>
          <w:sz w:val="32"/>
          <w:szCs w:val="32"/>
        </w:rPr>
      </w:pPr>
      <w:bookmarkStart w:id="48" w:name="_Toc79163617"/>
      <w:bookmarkStart w:id="49" w:name="_Toc15377212"/>
      <w:bookmarkStart w:id="50" w:name="_Toc79163867"/>
      <w:bookmarkStart w:id="51" w:name="_Toc15377214"/>
      <w:bookmarkStart w:id="52" w:name="_Toc15396608"/>
      <w:r>
        <w:rPr>
          <w:rFonts w:hint="eastAsia" w:ascii="仿宋" w:hAnsi="仿宋" w:eastAsia="仿宋"/>
          <w:b/>
          <w:color w:val="000000"/>
          <w:sz w:val="32"/>
          <w:szCs w:val="32"/>
        </w:rPr>
        <w:t>（三）一般公共预算财政拨款支出决算具体情况</w:t>
      </w:r>
      <w:bookmarkEnd w:id="48"/>
      <w:bookmarkEnd w:id="49"/>
      <w:bookmarkEnd w:id="50"/>
    </w:p>
    <w:p>
      <w:pPr>
        <w:spacing w:line="600" w:lineRule="exact"/>
        <w:ind w:firstLine="640" w:firstLineChars="200"/>
        <w:rPr>
          <w:rFonts w:ascii="仿宋_GB2312" w:hAnsi="仿宋" w:eastAsia="仿宋_GB2312"/>
          <w:color w:val="000000"/>
          <w:sz w:val="32"/>
          <w:szCs w:val="32"/>
        </w:rPr>
      </w:pPr>
      <w:bookmarkStart w:id="53" w:name="_Toc15377444"/>
      <w:bookmarkStart w:id="54" w:name="_Toc15378460"/>
      <w:bookmarkStart w:id="55" w:name="_Toc15377213"/>
      <w:r>
        <w:rPr>
          <w:rFonts w:ascii="仿宋_GB2312" w:hAnsi="仿宋" w:eastAsia="仿宋_GB2312"/>
          <w:color w:val="000000"/>
          <w:sz w:val="32"/>
          <w:szCs w:val="32"/>
        </w:rPr>
        <w:t>202</w:t>
      </w:r>
      <w:r>
        <w:rPr>
          <w:rFonts w:hint="eastAsia" w:ascii="仿宋_GB2312" w:hAnsi="仿宋" w:eastAsia="仿宋_GB2312"/>
          <w:color w:val="000000"/>
          <w:sz w:val="32"/>
          <w:szCs w:val="32"/>
          <w:lang w:val="en-US" w:eastAsia="zh-CN"/>
        </w:rPr>
        <w:t>3</w:t>
      </w:r>
      <w:r>
        <w:rPr>
          <w:rFonts w:hint="eastAsia" w:ascii="仿宋_GB2312" w:hAnsi="仿宋" w:eastAsia="仿宋_GB2312"/>
          <w:color w:val="000000"/>
          <w:sz w:val="32"/>
          <w:szCs w:val="32"/>
        </w:rPr>
        <w:t>年一般公共预算支出决算数为</w:t>
      </w:r>
      <w:r>
        <w:rPr>
          <w:rFonts w:hint="eastAsia" w:ascii="仿宋" w:hAnsi="仿宋" w:eastAsia="仿宋"/>
          <w:color w:val="000000"/>
          <w:sz w:val="32"/>
          <w:szCs w:val="32"/>
          <w:lang w:val="en-US" w:eastAsia="zh-CN"/>
        </w:rPr>
        <w:t>972.47</w:t>
      </w:r>
      <w:r>
        <w:rPr>
          <w:rFonts w:hint="eastAsia" w:ascii="仿宋" w:hAnsi="仿宋" w:eastAsia="仿宋"/>
          <w:color w:val="000000"/>
          <w:sz w:val="32"/>
          <w:szCs w:val="32"/>
        </w:rPr>
        <w:t>万元</w:t>
      </w:r>
      <w:r>
        <w:rPr>
          <w:rFonts w:hint="eastAsia" w:ascii="仿宋_GB2312" w:hAnsi="仿宋" w:eastAsia="仿宋_GB2312"/>
          <w:color w:val="000000"/>
          <w:sz w:val="32"/>
          <w:szCs w:val="32"/>
        </w:rPr>
        <w:t>，完成预算100</w:t>
      </w:r>
      <w:r>
        <w:rPr>
          <w:rFonts w:ascii="仿宋_GB2312" w:hAnsi="仿宋" w:eastAsia="仿宋_GB2312"/>
          <w:color w:val="000000"/>
          <w:sz w:val="32"/>
          <w:szCs w:val="32"/>
        </w:rPr>
        <w:t>%</w:t>
      </w:r>
      <w:r>
        <w:rPr>
          <w:rFonts w:hint="eastAsia" w:ascii="仿宋_GB2312" w:hAnsi="仿宋" w:eastAsia="仿宋_GB2312"/>
          <w:color w:val="000000"/>
          <w:sz w:val="32"/>
          <w:szCs w:val="32"/>
        </w:rPr>
        <w:t>。其中：</w:t>
      </w:r>
      <w:bookmarkEnd w:id="53"/>
      <w:bookmarkEnd w:id="54"/>
      <w:bookmarkEnd w:id="55"/>
    </w:p>
    <w:bookmarkEnd w:id="51"/>
    <w:bookmarkEnd w:id="52"/>
    <w:p>
      <w:pPr>
        <w:spacing w:line="576" w:lineRule="exact"/>
        <w:ind w:firstLine="643" w:firstLineChars="200"/>
        <w:rPr>
          <w:rStyle w:val="18"/>
          <w:rFonts w:ascii="仿宋_GB2312" w:hAnsi="仿宋" w:eastAsia="仿宋_GB2312"/>
          <w:b w:val="0"/>
          <w:bCs/>
          <w:color w:val="000000"/>
          <w:sz w:val="32"/>
          <w:szCs w:val="32"/>
        </w:rPr>
      </w:pPr>
      <w:bookmarkStart w:id="56" w:name="_Toc79163868"/>
      <w:bookmarkStart w:id="57" w:name="_Toc79163618"/>
      <w:bookmarkStart w:id="58" w:name="_Toc15396609"/>
      <w:bookmarkStart w:id="59" w:name="_Toc15377215"/>
      <w:r>
        <w:rPr>
          <w:rStyle w:val="18"/>
          <w:rFonts w:ascii="仿宋" w:hAnsi="仿宋" w:eastAsia="仿宋"/>
          <w:bCs/>
          <w:color w:val="000000"/>
          <w:sz w:val="32"/>
          <w:szCs w:val="32"/>
        </w:rPr>
        <w:t>1.</w:t>
      </w:r>
      <w:r>
        <w:rPr>
          <w:rFonts w:hint="eastAsia" w:ascii="仿宋_GB2312" w:eastAsia="仿宋_GB2312"/>
          <w:b/>
          <w:bCs/>
          <w:sz w:val="32"/>
          <w:szCs w:val="32"/>
        </w:rPr>
        <w:t>社会保障和就业支出（</w:t>
      </w:r>
      <w:r>
        <w:rPr>
          <w:rFonts w:hint="eastAsia" w:ascii="仿宋_GB2312" w:hAnsi="仿宋" w:eastAsia="仿宋_GB2312"/>
          <w:b/>
          <w:color w:val="000000"/>
          <w:sz w:val="32"/>
          <w:szCs w:val="32"/>
        </w:rPr>
        <w:t>类</w:t>
      </w:r>
      <w:r>
        <w:rPr>
          <w:rFonts w:hint="eastAsia" w:ascii="仿宋_GB2312" w:eastAsia="仿宋_GB2312"/>
          <w:b/>
          <w:bCs/>
          <w:sz w:val="32"/>
          <w:szCs w:val="32"/>
        </w:rPr>
        <w:t>）人力资源和社会保障管理事务（款）行政运行（项）</w:t>
      </w:r>
      <w:r>
        <w:rPr>
          <w:rStyle w:val="18"/>
          <w:rFonts w:ascii="仿宋" w:hAnsi="仿宋" w:eastAsia="仿宋"/>
          <w:bCs/>
          <w:color w:val="000000"/>
          <w:sz w:val="32"/>
          <w:szCs w:val="32"/>
        </w:rPr>
        <w:t xml:space="preserve">: </w:t>
      </w:r>
      <w:r>
        <w:rPr>
          <w:rStyle w:val="18"/>
          <w:rFonts w:hint="eastAsia" w:ascii="仿宋_GB2312" w:hAnsi="仿宋" w:eastAsia="仿宋_GB2312"/>
          <w:b w:val="0"/>
          <w:bCs/>
          <w:color w:val="000000"/>
          <w:sz w:val="32"/>
          <w:szCs w:val="32"/>
        </w:rPr>
        <w:t>支出决算为</w:t>
      </w:r>
      <w:r>
        <w:rPr>
          <w:rStyle w:val="18"/>
          <w:rFonts w:hint="eastAsia" w:ascii="仿宋_GB2312" w:hAnsi="仿宋" w:eastAsia="仿宋_GB2312"/>
          <w:b w:val="0"/>
          <w:bCs/>
          <w:color w:val="000000"/>
          <w:sz w:val="32"/>
          <w:szCs w:val="32"/>
          <w:lang w:val="en-US" w:eastAsia="zh-CN"/>
        </w:rPr>
        <w:t>269.11</w:t>
      </w:r>
      <w:r>
        <w:rPr>
          <w:rStyle w:val="18"/>
          <w:rFonts w:hint="eastAsia" w:ascii="仿宋_GB2312" w:hAnsi="仿宋" w:eastAsia="仿宋_GB2312"/>
          <w:b w:val="0"/>
          <w:bCs/>
          <w:color w:val="000000"/>
          <w:sz w:val="32"/>
          <w:szCs w:val="32"/>
        </w:rPr>
        <w:t>万元，完成预算100%，决算数等于预算数的主要原因是用于单位行政人员日常经费开支。</w:t>
      </w:r>
    </w:p>
    <w:p>
      <w:pPr>
        <w:spacing w:line="576" w:lineRule="exact"/>
        <w:ind w:firstLine="643" w:firstLineChars="200"/>
        <w:rPr>
          <w:rStyle w:val="18"/>
          <w:rFonts w:ascii="仿宋_GB2312" w:hAnsi="仿宋" w:eastAsia="仿宋_GB2312"/>
          <w:b w:val="0"/>
          <w:bCs/>
          <w:color w:val="000000"/>
          <w:sz w:val="32"/>
          <w:szCs w:val="32"/>
        </w:rPr>
      </w:pPr>
      <w:r>
        <w:rPr>
          <w:rStyle w:val="18"/>
          <w:rFonts w:hint="eastAsia" w:ascii="仿宋" w:hAnsi="仿宋" w:eastAsia="仿宋"/>
          <w:bCs/>
          <w:color w:val="000000"/>
          <w:sz w:val="32"/>
          <w:szCs w:val="32"/>
        </w:rPr>
        <w:t>2</w:t>
      </w:r>
      <w:r>
        <w:rPr>
          <w:rStyle w:val="18"/>
          <w:rFonts w:ascii="仿宋" w:hAnsi="仿宋" w:eastAsia="仿宋"/>
          <w:bCs/>
          <w:color w:val="000000"/>
          <w:sz w:val="32"/>
          <w:szCs w:val="32"/>
        </w:rPr>
        <w:t>.</w:t>
      </w:r>
      <w:r>
        <w:rPr>
          <w:rFonts w:hint="eastAsia" w:ascii="仿宋_GB2312" w:eastAsia="仿宋_GB2312"/>
          <w:b/>
          <w:bCs/>
          <w:sz w:val="32"/>
          <w:szCs w:val="32"/>
        </w:rPr>
        <w:t>社会保障和就业支出（</w:t>
      </w:r>
      <w:r>
        <w:rPr>
          <w:rFonts w:hint="eastAsia" w:ascii="仿宋_GB2312" w:hAnsi="仿宋" w:eastAsia="仿宋_GB2312"/>
          <w:b/>
          <w:color w:val="000000"/>
          <w:sz w:val="32"/>
          <w:szCs w:val="32"/>
        </w:rPr>
        <w:t>类</w:t>
      </w:r>
      <w:r>
        <w:rPr>
          <w:rFonts w:hint="eastAsia" w:ascii="仿宋_GB2312" w:eastAsia="仿宋_GB2312"/>
          <w:b/>
          <w:bCs/>
          <w:sz w:val="32"/>
          <w:szCs w:val="32"/>
        </w:rPr>
        <w:t>）人力资源和社会保障管理事务（款）事业运行（项）</w:t>
      </w:r>
      <w:r>
        <w:rPr>
          <w:rStyle w:val="18"/>
          <w:rFonts w:ascii="仿宋" w:hAnsi="仿宋" w:eastAsia="仿宋"/>
          <w:bCs/>
          <w:color w:val="000000"/>
          <w:sz w:val="32"/>
          <w:szCs w:val="32"/>
        </w:rPr>
        <w:t xml:space="preserve">: </w:t>
      </w:r>
      <w:r>
        <w:rPr>
          <w:rStyle w:val="18"/>
          <w:rFonts w:hint="eastAsia" w:ascii="仿宋_GB2312" w:hAnsi="仿宋" w:eastAsia="仿宋_GB2312"/>
          <w:b w:val="0"/>
          <w:bCs/>
          <w:color w:val="000000"/>
          <w:sz w:val="32"/>
          <w:szCs w:val="32"/>
        </w:rPr>
        <w:t>支出决算为</w:t>
      </w:r>
      <w:r>
        <w:rPr>
          <w:rStyle w:val="18"/>
          <w:rFonts w:hint="eastAsia" w:ascii="仿宋_GB2312" w:hAnsi="仿宋" w:eastAsia="仿宋_GB2312"/>
          <w:b w:val="0"/>
          <w:bCs/>
          <w:color w:val="000000"/>
          <w:sz w:val="32"/>
          <w:szCs w:val="32"/>
          <w:lang w:val="en-US" w:eastAsia="zh-CN"/>
        </w:rPr>
        <w:t>249.87</w:t>
      </w:r>
      <w:r>
        <w:rPr>
          <w:rStyle w:val="18"/>
          <w:rFonts w:hint="eastAsia" w:ascii="仿宋_GB2312" w:hAnsi="仿宋" w:eastAsia="仿宋_GB2312"/>
          <w:b w:val="0"/>
          <w:bCs/>
          <w:color w:val="000000"/>
          <w:sz w:val="32"/>
          <w:szCs w:val="32"/>
        </w:rPr>
        <w:t>万元，完成预算100%，决算数等于预算数的主要原因是用于单位事业人员日常经费开支。</w:t>
      </w:r>
    </w:p>
    <w:p>
      <w:pPr>
        <w:spacing w:line="576" w:lineRule="exact"/>
        <w:ind w:firstLine="643" w:firstLineChars="200"/>
        <w:rPr>
          <w:rStyle w:val="18"/>
          <w:rFonts w:ascii="仿宋_GB2312" w:eastAsia="仿宋_GB2312"/>
          <w:bCs/>
          <w:color w:val="auto"/>
        </w:rPr>
      </w:pPr>
      <w:r>
        <w:rPr>
          <w:rStyle w:val="18"/>
          <w:rFonts w:hint="eastAsia" w:ascii="仿宋" w:hAnsi="仿宋" w:eastAsia="仿宋"/>
          <w:bCs/>
          <w:color w:val="000000"/>
          <w:sz w:val="32"/>
          <w:szCs w:val="32"/>
        </w:rPr>
        <w:t>3</w:t>
      </w:r>
      <w:r>
        <w:rPr>
          <w:rStyle w:val="18"/>
          <w:rFonts w:ascii="仿宋" w:hAnsi="仿宋" w:eastAsia="仿宋"/>
          <w:bCs/>
          <w:color w:val="000000"/>
          <w:sz w:val="32"/>
          <w:szCs w:val="32"/>
        </w:rPr>
        <w:t>.</w:t>
      </w:r>
      <w:r>
        <w:rPr>
          <w:rFonts w:hint="eastAsia" w:ascii="仿宋_GB2312" w:eastAsia="仿宋_GB2312"/>
          <w:b/>
          <w:bCs/>
          <w:sz w:val="32"/>
          <w:szCs w:val="32"/>
        </w:rPr>
        <w:t xml:space="preserve"> 社会保障和就业支出（</w:t>
      </w:r>
      <w:r>
        <w:rPr>
          <w:rFonts w:hint="eastAsia" w:ascii="仿宋_GB2312" w:hAnsi="仿宋" w:eastAsia="仿宋_GB2312"/>
          <w:b/>
          <w:color w:val="000000"/>
          <w:sz w:val="32"/>
          <w:szCs w:val="32"/>
        </w:rPr>
        <w:t>类</w:t>
      </w:r>
      <w:r>
        <w:rPr>
          <w:rFonts w:hint="eastAsia" w:ascii="仿宋_GB2312" w:eastAsia="仿宋_GB2312"/>
          <w:b/>
          <w:bCs/>
          <w:sz w:val="32"/>
          <w:szCs w:val="32"/>
        </w:rPr>
        <w:t>）人力资源和社会保障管理事务（款）其他人力资源和社会保障管理事务支出（项）</w:t>
      </w:r>
      <w:r>
        <w:rPr>
          <w:rFonts w:ascii="仿宋_GB2312" w:eastAsia="仿宋_GB2312"/>
        </w:rPr>
        <w:t>:</w:t>
      </w:r>
      <w:r>
        <w:rPr>
          <w:rStyle w:val="18"/>
          <w:rFonts w:hint="eastAsia" w:ascii="仿宋_GB2312" w:hAnsi="仿宋" w:eastAsia="仿宋_GB2312"/>
          <w:b w:val="0"/>
          <w:bCs/>
          <w:color w:val="000000"/>
          <w:sz w:val="32"/>
          <w:szCs w:val="32"/>
        </w:rPr>
        <w:t>支出决算为</w:t>
      </w:r>
      <w:r>
        <w:rPr>
          <w:rStyle w:val="18"/>
          <w:rFonts w:hint="eastAsia" w:ascii="仿宋_GB2312" w:hAnsi="仿宋" w:eastAsia="仿宋_GB2312"/>
          <w:b w:val="0"/>
          <w:bCs/>
          <w:color w:val="000000"/>
          <w:sz w:val="32"/>
          <w:szCs w:val="32"/>
          <w:lang w:val="en-US" w:eastAsia="zh-CN"/>
        </w:rPr>
        <w:t>223.22</w:t>
      </w:r>
      <w:r>
        <w:rPr>
          <w:rStyle w:val="18"/>
          <w:rFonts w:hint="eastAsia" w:ascii="仿宋_GB2312" w:hAnsi="仿宋" w:eastAsia="仿宋_GB2312"/>
          <w:b w:val="0"/>
          <w:bCs/>
          <w:color w:val="000000"/>
          <w:sz w:val="32"/>
          <w:szCs w:val="32"/>
        </w:rPr>
        <w:t>万元，完成预算100</w:t>
      </w:r>
      <w:r>
        <w:rPr>
          <w:rStyle w:val="18"/>
          <w:rFonts w:ascii="仿宋_GB2312" w:hAnsi="仿宋" w:eastAsia="仿宋_GB2312"/>
          <w:b w:val="0"/>
          <w:bCs/>
          <w:color w:val="000000"/>
          <w:sz w:val="32"/>
          <w:szCs w:val="32"/>
        </w:rPr>
        <w:t>%</w:t>
      </w:r>
      <w:r>
        <w:rPr>
          <w:rStyle w:val="18"/>
          <w:rFonts w:hint="eastAsia" w:ascii="仿宋_GB2312" w:hAnsi="仿宋" w:eastAsia="仿宋_GB2312"/>
          <w:b w:val="0"/>
          <w:bCs/>
          <w:color w:val="000000"/>
          <w:sz w:val="32"/>
          <w:szCs w:val="32"/>
        </w:rPr>
        <w:t>，决算数等于预算数的主要原因是用于</w:t>
      </w:r>
      <w:r>
        <w:rPr>
          <w:rFonts w:hint="eastAsia" w:ascii="仿宋_GB2312" w:hAnsi="仿宋" w:eastAsia="仿宋_GB2312" w:cs="仿宋"/>
          <w:color w:val="auto"/>
          <w:sz w:val="32"/>
          <w:szCs w:val="32"/>
        </w:rPr>
        <w:t>“</w:t>
      </w:r>
      <w:r>
        <w:rPr>
          <w:rFonts w:hint="eastAsia" w:ascii="仿宋_GB2312" w:hAnsi="仿宋" w:eastAsia="仿宋_GB2312" w:cs="仿宋"/>
          <w:color w:val="auto"/>
          <w:sz w:val="32"/>
          <w:szCs w:val="32"/>
          <w:lang w:val="en-US" w:eastAsia="zh-CN"/>
        </w:rPr>
        <w:t>社保公共能力建设项目</w:t>
      </w:r>
      <w:r>
        <w:rPr>
          <w:rFonts w:hint="eastAsia" w:ascii="仿宋_GB2312" w:hAnsi="仿宋" w:eastAsia="仿宋_GB2312" w:cs="仿宋"/>
          <w:color w:val="auto"/>
          <w:sz w:val="32"/>
          <w:szCs w:val="32"/>
        </w:rPr>
        <w:t>”“</w:t>
      </w:r>
      <w:r>
        <w:rPr>
          <w:rFonts w:hint="eastAsia" w:ascii="仿宋_GB2312" w:hAnsi="仿宋" w:eastAsia="仿宋_GB2312" w:cs="仿宋"/>
          <w:color w:val="auto"/>
          <w:sz w:val="32"/>
          <w:szCs w:val="32"/>
          <w:lang w:val="en-US" w:eastAsia="zh-CN"/>
        </w:rPr>
        <w:t>公共实训基地</w:t>
      </w:r>
      <w:r>
        <w:rPr>
          <w:rFonts w:hint="eastAsia" w:ascii="仿宋_GB2312" w:hAnsi="仿宋" w:eastAsia="仿宋_GB2312" w:cs="仿宋"/>
          <w:color w:val="auto"/>
          <w:sz w:val="32"/>
          <w:szCs w:val="32"/>
        </w:rPr>
        <w:t>”等</w:t>
      </w:r>
      <w:r>
        <w:rPr>
          <w:rStyle w:val="18"/>
          <w:rFonts w:hint="eastAsia" w:ascii="仿宋_GB2312" w:hAnsi="仿宋" w:eastAsia="仿宋_GB2312"/>
          <w:b w:val="0"/>
          <w:bCs/>
          <w:color w:val="auto"/>
          <w:sz w:val="32"/>
          <w:szCs w:val="32"/>
        </w:rPr>
        <w:t>支出。</w:t>
      </w:r>
    </w:p>
    <w:p>
      <w:pPr>
        <w:spacing w:line="576" w:lineRule="exact"/>
        <w:ind w:firstLine="643" w:firstLineChars="200"/>
        <w:rPr>
          <w:rStyle w:val="18"/>
          <w:rFonts w:ascii="仿宋_GB2312" w:hAnsi="仿宋" w:eastAsia="仿宋_GB2312"/>
          <w:b w:val="0"/>
          <w:bCs/>
          <w:color w:val="000000"/>
          <w:sz w:val="32"/>
          <w:szCs w:val="32"/>
        </w:rPr>
      </w:pPr>
      <w:r>
        <w:rPr>
          <w:rStyle w:val="18"/>
          <w:rFonts w:hint="eastAsia" w:ascii="仿宋" w:hAnsi="仿宋" w:eastAsia="仿宋"/>
          <w:bCs/>
          <w:color w:val="000000"/>
          <w:sz w:val="32"/>
          <w:szCs w:val="32"/>
        </w:rPr>
        <w:t>4</w:t>
      </w:r>
      <w:r>
        <w:rPr>
          <w:rStyle w:val="18"/>
          <w:rFonts w:ascii="仿宋" w:hAnsi="仿宋" w:eastAsia="仿宋"/>
          <w:bCs/>
          <w:color w:val="000000"/>
          <w:sz w:val="32"/>
          <w:szCs w:val="32"/>
        </w:rPr>
        <w:t>.</w:t>
      </w:r>
      <w:r>
        <w:rPr>
          <w:rStyle w:val="18"/>
          <w:rFonts w:hint="eastAsia" w:ascii="仿宋_GB2312" w:hAnsi="仿宋_GB2312" w:eastAsia="仿宋_GB2312" w:cs="仿宋_GB2312"/>
          <w:bCs/>
          <w:color w:val="000000"/>
          <w:sz w:val="32"/>
          <w:szCs w:val="32"/>
        </w:rPr>
        <w:t>社会保障和就业支出（</w:t>
      </w:r>
      <w:r>
        <w:rPr>
          <w:rFonts w:hint="eastAsia" w:ascii="仿宋_GB2312" w:hAnsi="仿宋" w:eastAsia="仿宋_GB2312"/>
          <w:b/>
          <w:color w:val="000000"/>
          <w:sz w:val="32"/>
          <w:szCs w:val="32"/>
        </w:rPr>
        <w:t>类</w:t>
      </w:r>
      <w:r>
        <w:rPr>
          <w:rStyle w:val="18"/>
          <w:rFonts w:hint="eastAsia" w:ascii="仿宋_GB2312" w:hAnsi="仿宋_GB2312" w:eastAsia="仿宋_GB2312" w:cs="仿宋_GB2312"/>
          <w:bCs/>
          <w:color w:val="000000"/>
          <w:sz w:val="32"/>
          <w:szCs w:val="32"/>
        </w:rPr>
        <w:t>）行政事业单位养老支出（款）机关事业单位基本养老保险缴费支出（项）</w:t>
      </w:r>
      <w:r>
        <w:rPr>
          <w:rStyle w:val="18"/>
          <w:rFonts w:ascii="仿宋" w:hAnsi="仿宋" w:eastAsia="仿宋"/>
          <w:bCs/>
          <w:color w:val="000000"/>
          <w:sz w:val="32"/>
          <w:szCs w:val="32"/>
        </w:rPr>
        <w:t>:</w:t>
      </w:r>
      <w:r>
        <w:rPr>
          <w:rStyle w:val="18"/>
          <w:rFonts w:hint="eastAsia" w:ascii="仿宋_GB2312" w:hAnsi="仿宋" w:eastAsia="仿宋_GB2312"/>
          <w:b w:val="0"/>
          <w:bCs/>
          <w:color w:val="000000"/>
          <w:sz w:val="32"/>
          <w:szCs w:val="32"/>
        </w:rPr>
        <w:t>支出决算为</w:t>
      </w:r>
      <w:r>
        <w:rPr>
          <w:rStyle w:val="18"/>
          <w:rFonts w:hint="eastAsia" w:ascii="仿宋_GB2312" w:hAnsi="仿宋" w:eastAsia="仿宋_GB2312"/>
          <w:b w:val="0"/>
          <w:bCs/>
          <w:color w:val="000000"/>
          <w:sz w:val="32"/>
          <w:szCs w:val="32"/>
          <w:lang w:val="en-US" w:eastAsia="zh-CN"/>
        </w:rPr>
        <w:t>64.09</w:t>
      </w:r>
      <w:r>
        <w:rPr>
          <w:rStyle w:val="18"/>
          <w:rFonts w:hint="eastAsia" w:ascii="仿宋_GB2312" w:hAnsi="仿宋" w:eastAsia="仿宋_GB2312"/>
          <w:b w:val="0"/>
          <w:bCs/>
          <w:color w:val="000000"/>
          <w:sz w:val="32"/>
          <w:szCs w:val="32"/>
        </w:rPr>
        <w:t>万元，完成预算100%，决算数等于预算数的主要原因是主要用于单位缴纳养老保险。</w:t>
      </w:r>
    </w:p>
    <w:p>
      <w:pPr>
        <w:spacing w:line="576" w:lineRule="exact"/>
        <w:ind w:firstLine="643" w:firstLineChars="200"/>
        <w:rPr>
          <w:rFonts w:ascii="仿宋_GB2312" w:hAnsi="仿宋_GB2312" w:eastAsia="仿宋_GB2312" w:cs="仿宋_GB2312"/>
          <w:sz w:val="32"/>
          <w:szCs w:val="32"/>
        </w:rPr>
      </w:pPr>
      <w:r>
        <w:rPr>
          <w:rStyle w:val="18"/>
          <w:rFonts w:hint="eastAsia" w:ascii="仿宋" w:hAnsi="仿宋" w:eastAsia="仿宋"/>
          <w:bCs/>
          <w:color w:val="000000"/>
          <w:sz w:val="32"/>
          <w:szCs w:val="32"/>
        </w:rPr>
        <w:t>5</w:t>
      </w:r>
      <w:r>
        <w:rPr>
          <w:rStyle w:val="18"/>
          <w:rFonts w:ascii="仿宋" w:hAnsi="仿宋" w:eastAsia="仿宋"/>
          <w:bCs/>
          <w:color w:val="000000"/>
          <w:sz w:val="32"/>
          <w:szCs w:val="32"/>
        </w:rPr>
        <w:t>.</w:t>
      </w:r>
      <w:r>
        <w:rPr>
          <w:rStyle w:val="18"/>
          <w:rFonts w:hint="eastAsia" w:ascii="仿宋_GB2312" w:hAnsi="仿宋_GB2312" w:eastAsia="仿宋_GB2312" w:cs="仿宋_GB2312"/>
          <w:bCs/>
          <w:color w:val="000000"/>
          <w:sz w:val="32"/>
          <w:szCs w:val="32"/>
        </w:rPr>
        <w:t>社会保障和就业支出（</w:t>
      </w:r>
      <w:r>
        <w:rPr>
          <w:rFonts w:hint="eastAsia" w:ascii="仿宋_GB2312" w:hAnsi="仿宋" w:eastAsia="仿宋_GB2312"/>
          <w:b/>
          <w:color w:val="000000"/>
          <w:sz w:val="32"/>
          <w:szCs w:val="32"/>
        </w:rPr>
        <w:t>类</w:t>
      </w:r>
      <w:r>
        <w:rPr>
          <w:rStyle w:val="18"/>
          <w:rFonts w:hint="eastAsia" w:ascii="仿宋_GB2312" w:hAnsi="仿宋_GB2312" w:eastAsia="仿宋_GB2312" w:cs="仿宋_GB2312"/>
          <w:bCs/>
          <w:color w:val="000000"/>
          <w:sz w:val="32"/>
          <w:szCs w:val="32"/>
        </w:rPr>
        <w:t>）行政事业单位养老支出（款）机关事业单位职业年金缴费支出（项）</w:t>
      </w:r>
      <w:r>
        <w:rPr>
          <w:rStyle w:val="18"/>
          <w:rFonts w:ascii="仿宋" w:hAnsi="仿宋" w:eastAsia="仿宋"/>
          <w:bCs/>
          <w:color w:val="000000"/>
          <w:sz w:val="32"/>
          <w:szCs w:val="32"/>
        </w:rPr>
        <w:t>:</w:t>
      </w:r>
      <w:r>
        <w:rPr>
          <w:rFonts w:hint="eastAsia" w:ascii="仿宋_GB2312" w:hAnsi="仿宋_GB2312" w:eastAsia="仿宋_GB2312" w:cs="仿宋_GB2312"/>
          <w:sz w:val="32"/>
          <w:szCs w:val="32"/>
        </w:rPr>
        <w:t>支出决算为</w:t>
      </w:r>
      <w:r>
        <w:rPr>
          <w:rFonts w:hint="eastAsia" w:ascii="仿宋_GB2312" w:hAnsi="仿宋_GB2312" w:eastAsia="仿宋_GB2312" w:cs="仿宋_GB2312"/>
          <w:sz w:val="32"/>
          <w:szCs w:val="32"/>
          <w:lang w:val="en-US" w:eastAsia="zh-CN"/>
        </w:rPr>
        <w:t>32.05</w:t>
      </w:r>
      <w:r>
        <w:rPr>
          <w:rFonts w:hint="eastAsia" w:ascii="仿宋_GB2312" w:hAnsi="仿宋_GB2312" w:eastAsia="仿宋_GB2312" w:cs="仿宋_GB2312"/>
          <w:sz w:val="32"/>
          <w:szCs w:val="32"/>
        </w:rPr>
        <w:t>万元，完成预算100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，决算数等于预算数的主要原因是主要用于单位缴纳职业年金。</w:t>
      </w:r>
    </w:p>
    <w:p>
      <w:pPr>
        <w:spacing w:line="576" w:lineRule="exact"/>
        <w:ind w:firstLine="643" w:firstLineChars="200"/>
        <w:rPr>
          <w:rFonts w:ascii="仿宋_GB2312" w:hAnsi="仿宋_GB2312" w:eastAsia="仿宋_GB2312" w:cs="仿宋_GB2312"/>
          <w:sz w:val="32"/>
          <w:szCs w:val="32"/>
        </w:rPr>
      </w:pPr>
      <w:r>
        <w:rPr>
          <w:rStyle w:val="18"/>
          <w:rFonts w:hint="eastAsia" w:ascii="仿宋_GB2312" w:hAnsi="仿宋_GB2312" w:eastAsia="仿宋_GB2312" w:cs="仿宋_GB2312"/>
          <w:bCs/>
          <w:color w:val="000000"/>
          <w:sz w:val="32"/>
          <w:szCs w:val="32"/>
        </w:rPr>
        <w:t>6.医疗卫生与计划生育（</w:t>
      </w:r>
      <w:r>
        <w:rPr>
          <w:rFonts w:hint="eastAsia" w:ascii="仿宋_GB2312" w:hAnsi="仿宋" w:eastAsia="仿宋_GB2312"/>
          <w:b/>
          <w:color w:val="000000"/>
          <w:sz w:val="32"/>
          <w:szCs w:val="32"/>
        </w:rPr>
        <w:t>类</w:t>
      </w:r>
      <w:r>
        <w:rPr>
          <w:rStyle w:val="18"/>
          <w:rFonts w:hint="eastAsia" w:ascii="仿宋_GB2312" w:hAnsi="仿宋_GB2312" w:eastAsia="仿宋_GB2312" w:cs="仿宋_GB2312"/>
          <w:bCs/>
          <w:color w:val="000000"/>
          <w:sz w:val="32"/>
          <w:szCs w:val="32"/>
        </w:rPr>
        <w:t>）行政事业单位医疗（款）行政单位医疗（项）:</w:t>
      </w:r>
      <w:r>
        <w:rPr>
          <w:rFonts w:hint="eastAsia" w:ascii="仿宋_GB2312" w:hAnsi="仿宋_GB2312" w:eastAsia="仿宋_GB2312" w:cs="仿宋_GB2312"/>
          <w:sz w:val="32"/>
          <w:szCs w:val="32"/>
        </w:rPr>
        <w:t>支出决算为</w:t>
      </w:r>
      <w:r>
        <w:rPr>
          <w:rFonts w:hint="eastAsia" w:ascii="仿宋_GB2312" w:hAnsi="仿宋_GB2312" w:eastAsia="仿宋_GB2312" w:cs="仿宋_GB2312"/>
          <w:sz w:val="32"/>
          <w:szCs w:val="32"/>
          <w:lang w:val="en-US" w:eastAsia="zh-CN"/>
        </w:rPr>
        <w:t>20.66</w:t>
      </w:r>
      <w:r>
        <w:rPr>
          <w:rFonts w:hint="eastAsia" w:ascii="仿宋_GB2312" w:hAnsi="仿宋_GB2312" w:eastAsia="仿宋_GB2312" w:cs="仿宋_GB2312"/>
          <w:sz w:val="32"/>
          <w:szCs w:val="32"/>
        </w:rPr>
        <w:t>万元，完成预算100%，决算数等于预算数的主要原因是主要用于行政单位缴纳基本医疗保险。</w:t>
      </w:r>
    </w:p>
    <w:p>
      <w:pPr>
        <w:spacing w:line="576" w:lineRule="exact"/>
        <w:ind w:firstLine="643" w:firstLineChars="200"/>
        <w:rPr>
          <w:rFonts w:ascii="仿宋_GB2312" w:hAnsi="仿宋_GB2312" w:eastAsia="仿宋_GB2312" w:cs="仿宋_GB2312"/>
          <w:sz w:val="32"/>
          <w:szCs w:val="32"/>
        </w:rPr>
      </w:pPr>
      <w:r>
        <w:rPr>
          <w:rStyle w:val="18"/>
          <w:rFonts w:hint="eastAsia" w:ascii="仿宋_GB2312" w:hAnsi="仿宋_GB2312" w:eastAsia="仿宋_GB2312" w:cs="仿宋_GB2312"/>
          <w:bCs/>
          <w:color w:val="000000"/>
          <w:sz w:val="32"/>
          <w:szCs w:val="32"/>
        </w:rPr>
        <w:t>7.医疗卫生与计划生育（</w:t>
      </w:r>
      <w:r>
        <w:rPr>
          <w:rFonts w:hint="eastAsia" w:ascii="仿宋_GB2312" w:hAnsi="仿宋" w:eastAsia="仿宋_GB2312"/>
          <w:b/>
          <w:color w:val="000000"/>
          <w:sz w:val="32"/>
          <w:szCs w:val="32"/>
        </w:rPr>
        <w:t>类</w:t>
      </w:r>
      <w:r>
        <w:rPr>
          <w:rStyle w:val="18"/>
          <w:rFonts w:hint="eastAsia" w:ascii="仿宋_GB2312" w:hAnsi="仿宋_GB2312" w:eastAsia="仿宋_GB2312" w:cs="仿宋_GB2312"/>
          <w:bCs/>
          <w:color w:val="000000"/>
          <w:sz w:val="32"/>
          <w:szCs w:val="32"/>
        </w:rPr>
        <w:t>）行政事业单位医疗（款）事业单位医疗（项）:</w:t>
      </w:r>
      <w:r>
        <w:rPr>
          <w:rFonts w:hint="eastAsia" w:ascii="仿宋_GB2312" w:hAnsi="仿宋_GB2312" w:eastAsia="仿宋_GB2312" w:cs="仿宋_GB2312"/>
          <w:sz w:val="32"/>
          <w:szCs w:val="32"/>
        </w:rPr>
        <w:t>支出决算为</w:t>
      </w:r>
      <w:r>
        <w:rPr>
          <w:rFonts w:hint="eastAsia" w:ascii="仿宋_GB2312" w:hAnsi="仿宋_GB2312" w:eastAsia="仿宋_GB2312" w:cs="仿宋_GB2312"/>
          <w:sz w:val="32"/>
          <w:szCs w:val="32"/>
          <w:lang w:val="en-US" w:eastAsia="zh-CN"/>
        </w:rPr>
        <w:t>19.88</w:t>
      </w:r>
      <w:r>
        <w:rPr>
          <w:rFonts w:hint="eastAsia" w:ascii="仿宋_GB2312" w:hAnsi="仿宋_GB2312" w:eastAsia="仿宋_GB2312" w:cs="仿宋_GB2312"/>
          <w:sz w:val="32"/>
          <w:szCs w:val="32"/>
        </w:rPr>
        <w:t>万元，完成预算100%，决算数等于预算数的主要原因是主要用于事业单位缴纳基本医疗保险。</w:t>
      </w:r>
    </w:p>
    <w:p>
      <w:pPr>
        <w:spacing w:line="576" w:lineRule="exact"/>
        <w:ind w:firstLine="643" w:firstLineChars="200"/>
        <w:rPr>
          <w:rFonts w:ascii="仿宋_GB2312" w:hAnsi="仿宋_GB2312" w:eastAsia="仿宋_GB2312" w:cs="仿宋_GB2312"/>
          <w:sz w:val="32"/>
          <w:szCs w:val="32"/>
        </w:rPr>
      </w:pPr>
      <w:r>
        <w:rPr>
          <w:rStyle w:val="18"/>
          <w:rFonts w:hint="eastAsia" w:ascii="仿宋" w:hAnsi="仿宋" w:eastAsia="仿宋"/>
          <w:bCs/>
          <w:color w:val="000000"/>
          <w:sz w:val="32"/>
          <w:szCs w:val="32"/>
        </w:rPr>
        <w:t>8.</w:t>
      </w:r>
      <w:r>
        <w:rPr>
          <w:rStyle w:val="18"/>
          <w:rFonts w:hint="eastAsia" w:ascii="仿宋_GB2312" w:hAnsi="仿宋_GB2312" w:eastAsia="仿宋_GB2312" w:cs="仿宋_GB2312"/>
          <w:bCs/>
          <w:color w:val="000000"/>
          <w:sz w:val="32"/>
          <w:szCs w:val="32"/>
        </w:rPr>
        <w:t>农林水支出（</w:t>
      </w:r>
      <w:r>
        <w:rPr>
          <w:rFonts w:hint="eastAsia" w:ascii="仿宋_GB2312" w:hAnsi="仿宋" w:eastAsia="仿宋_GB2312"/>
          <w:b/>
          <w:color w:val="000000"/>
          <w:sz w:val="32"/>
          <w:szCs w:val="32"/>
        </w:rPr>
        <w:t>类</w:t>
      </w:r>
      <w:r>
        <w:rPr>
          <w:rStyle w:val="18"/>
          <w:rFonts w:hint="eastAsia" w:ascii="仿宋_GB2312" w:hAnsi="仿宋_GB2312" w:eastAsia="仿宋_GB2312" w:cs="仿宋_GB2312"/>
          <w:bCs/>
          <w:color w:val="000000"/>
          <w:sz w:val="32"/>
          <w:szCs w:val="32"/>
        </w:rPr>
        <w:t>）扶贫（款）其他扶贫支出（项）:</w:t>
      </w:r>
      <w:r>
        <w:rPr>
          <w:rFonts w:hint="eastAsia" w:ascii="仿宋_GB2312" w:hAnsi="仿宋_GB2312" w:eastAsia="仿宋_GB2312" w:cs="仿宋_GB2312"/>
          <w:sz w:val="32"/>
          <w:szCs w:val="32"/>
        </w:rPr>
        <w:t>支出决算为</w:t>
      </w:r>
      <w:r>
        <w:rPr>
          <w:rFonts w:hint="eastAsia" w:ascii="仿宋_GB2312" w:hAnsi="仿宋_GB2312" w:eastAsia="仿宋_GB2312" w:cs="仿宋_GB2312"/>
          <w:sz w:val="32"/>
          <w:szCs w:val="32"/>
          <w:lang w:val="en-US" w:eastAsia="zh-CN"/>
        </w:rPr>
        <w:t>33</w:t>
      </w:r>
      <w:r>
        <w:rPr>
          <w:rFonts w:hint="eastAsia" w:ascii="仿宋_GB2312" w:hAnsi="仿宋_GB2312" w:eastAsia="仿宋_GB2312" w:cs="仿宋_GB2312"/>
          <w:sz w:val="32"/>
          <w:szCs w:val="32"/>
        </w:rPr>
        <w:t>万元，完成预算100%，决算数等于预算数的主要原因是主要用于单位</w:t>
      </w:r>
      <w:r>
        <w:rPr>
          <w:rFonts w:hint="eastAsia" w:ascii="仿宋_GB2312" w:eastAsia="仿宋_GB2312"/>
          <w:sz w:val="32"/>
          <w:szCs w:val="32"/>
        </w:rPr>
        <w:t>东西部协作对口联络站建设</w:t>
      </w:r>
      <w:r>
        <w:rPr>
          <w:rFonts w:hint="eastAsia" w:ascii="仿宋_GB2312" w:hAnsi="仿宋" w:eastAsia="仿宋_GB2312" w:cs="仿宋"/>
          <w:sz w:val="32"/>
          <w:szCs w:val="32"/>
        </w:rPr>
        <w:t>支出</w:t>
      </w:r>
      <w:r>
        <w:rPr>
          <w:rFonts w:hint="eastAsia" w:ascii="仿宋_GB2312" w:hAnsi="仿宋_GB2312" w:eastAsia="仿宋_GB2312" w:cs="仿宋_GB2312"/>
          <w:sz w:val="32"/>
          <w:szCs w:val="32"/>
        </w:rPr>
        <w:t>。</w:t>
      </w:r>
    </w:p>
    <w:p>
      <w:pPr>
        <w:tabs>
          <w:tab w:val="right" w:pos="8306"/>
        </w:tabs>
        <w:spacing w:line="576" w:lineRule="exact"/>
        <w:ind w:firstLine="640"/>
        <w:outlineLvl w:val="1"/>
        <w:rPr>
          <w:rFonts w:hint="eastAsia" w:ascii="仿宋_GB2312" w:hAnsi="仿宋_GB2312" w:eastAsia="仿宋_GB2312" w:cs="仿宋_GB2312"/>
          <w:sz w:val="32"/>
          <w:szCs w:val="32"/>
        </w:rPr>
      </w:pPr>
      <w:r>
        <w:rPr>
          <w:rStyle w:val="18"/>
          <w:rFonts w:hint="eastAsia" w:ascii="仿宋" w:hAnsi="仿宋" w:eastAsia="仿宋"/>
          <w:bCs/>
          <w:color w:val="000000"/>
          <w:sz w:val="32"/>
          <w:szCs w:val="32"/>
        </w:rPr>
        <w:t>9.</w:t>
      </w:r>
      <w:r>
        <w:rPr>
          <w:rStyle w:val="18"/>
          <w:rFonts w:hint="eastAsia" w:ascii="仿宋_GB2312" w:hAnsi="仿宋_GB2312" w:eastAsia="仿宋_GB2312" w:cs="仿宋_GB2312"/>
          <w:bCs/>
          <w:color w:val="000000"/>
          <w:sz w:val="32"/>
          <w:szCs w:val="32"/>
        </w:rPr>
        <w:t>住房保障（类）住房改革（款）住房公积金（项）：</w:t>
      </w:r>
      <w:r>
        <w:rPr>
          <w:rFonts w:hint="eastAsia" w:ascii="仿宋_GB2312" w:hAnsi="仿宋_GB2312" w:eastAsia="仿宋_GB2312" w:cs="仿宋_GB2312"/>
          <w:sz w:val="32"/>
          <w:szCs w:val="32"/>
        </w:rPr>
        <w:t>支出决算为</w:t>
      </w:r>
      <w:r>
        <w:rPr>
          <w:rFonts w:hint="eastAsia" w:ascii="仿宋_GB2312" w:hAnsi="仿宋_GB2312" w:eastAsia="仿宋_GB2312" w:cs="仿宋_GB2312"/>
          <w:sz w:val="32"/>
          <w:szCs w:val="32"/>
          <w:lang w:val="en-US" w:eastAsia="zh-CN"/>
        </w:rPr>
        <w:t>48.54</w:t>
      </w:r>
      <w:r>
        <w:rPr>
          <w:rFonts w:hint="eastAsia" w:ascii="仿宋_GB2312" w:hAnsi="仿宋_GB2312" w:eastAsia="仿宋_GB2312" w:cs="仿宋_GB2312"/>
          <w:sz w:val="32"/>
          <w:szCs w:val="32"/>
        </w:rPr>
        <w:t>万元，完成预100%，决算数等于预算数的主要单位为职工缴纳住房公积金。</w:t>
      </w:r>
    </w:p>
    <w:p>
      <w:pPr>
        <w:tabs>
          <w:tab w:val="right" w:pos="8306"/>
        </w:tabs>
        <w:spacing w:line="576" w:lineRule="exact"/>
        <w:ind w:firstLine="640"/>
        <w:outlineLvl w:val="1"/>
        <w:rPr>
          <w:rFonts w:hint="eastAsia" w:ascii="仿宋_GB2312" w:hAnsi="仿宋_GB2312" w:eastAsia="仿宋_GB2312" w:cs="仿宋_GB2312"/>
          <w:sz w:val="32"/>
          <w:szCs w:val="32"/>
        </w:rPr>
      </w:pPr>
      <w:r>
        <w:rPr>
          <w:rStyle w:val="18"/>
          <w:rFonts w:hint="eastAsia" w:ascii="仿宋" w:hAnsi="仿宋" w:eastAsia="仿宋"/>
          <w:bCs/>
          <w:color w:val="000000"/>
          <w:sz w:val="32"/>
          <w:szCs w:val="32"/>
          <w:lang w:val="en-US" w:eastAsia="zh-CN"/>
        </w:rPr>
        <w:t>10.</w:t>
      </w:r>
      <w:r>
        <w:rPr>
          <w:rStyle w:val="18"/>
          <w:rFonts w:hint="eastAsia" w:ascii="仿宋_GB2312" w:hAnsi="仿宋_GB2312" w:eastAsia="仿宋_GB2312" w:cs="仿宋_GB2312"/>
          <w:bCs/>
          <w:color w:val="000000"/>
          <w:sz w:val="32"/>
          <w:szCs w:val="32"/>
        </w:rPr>
        <w:t>住房保障（类）住房改革（款）</w:t>
      </w:r>
      <w:r>
        <w:rPr>
          <w:rStyle w:val="18"/>
          <w:rFonts w:hint="eastAsia" w:ascii="仿宋_GB2312" w:hAnsi="仿宋_GB2312" w:eastAsia="仿宋_GB2312" w:cs="仿宋_GB2312"/>
          <w:bCs/>
          <w:color w:val="000000"/>
          <w:sz w:val="32"/>
          <w:szCs w:val="32"/>
          <w:lang w:val="en-US" w:eastAsia="zh-CN"/>
        </w:rPr>
        <w:t>购房补贴</w:t>
      </w:r>
      <w:r>
        <w:rPr>
          <w:rStyle w:val="18"/>
          <w:rFonts w:hint="eastAsia" w:ascii="仿宋_GB2312" w:hAnsi="仿宋_GB2312" w:eastAsia="仿宋_GB2312" w:cs="仿宋_GB2312"/>
          <w:bCs/>
          <w:color w:val="000000"/>
          <w:sz w:val="32"/>
          <w:szCs w:val="32"/>
        </w:rPr>
        <w:t>（项）：</w:t>
      </w:r>
      <w:r>
        <w:rPr>
          <w:rFonts w:hint="eastAsia" w:ascii="仿宋_GB2312" w:hAnsi="仿宋_GB2312" w:eastAsia="仿宋_GB2312" w:cs="仿宋_GB2312"/>
          <w:sz w:val="32"/>
          <w:szCs w:val="32"/>
        </w:rPr>
        <w:t>支出决算为</w:t>
      </w:r>
      <w:r>
        <w:rPr>
          <w:rFonts w:hint="eastAsia" w:ascii="仿宋_GB2312" w:hAnsi="仿宋_GB2312" w:eastAsia="仿宋_GB2312" w:cs="仿宋_GB2312"/>
          <w:sz w:val="32"/>
          <w:szCs w:val="32"/>
          <w:lang w:val="en-US" w:eastAsia="zh-CN"/>
        </w:rPr>
        <w:t>2.23</w:t>
      </w:r>
      <w:r>
        <w:rPr>
          <w:rFonts w:hint="eastAsia" w:ascii="仿宋_GB2312" w:hAnsi="仿宋_GB2312" w:eastAsia="仿宋_GB2312" w:cs="仿宋_GB2312"/>
          <w:sz w:val="32"/>
          <w:szCs w:val="32"/>
        </w:rPr>
        <w:t>万元，完成预100%，决算数等于预算数的主要</w:t>
      </w:r>
      <w:r>
        <w:rPr>
          <w:rFonts w:hint="eastAsia" w:ascii="仿宋_GB2312" w:hAnsi="仿宋_GB2312" w:eastAsia="仿宋_GB2312" w:cs="仿宋_GB2312"/>
          <w:sz w:val="32"/>
          <w:szCs w:val="32"/>
          <w:lang w:val="en-US" w:eastAsia="zh-CN"/>
        </w:rPr>
        <w:t>用于</w:t>
      </w:r>
      <w:r>
        <w:rPr>
          <w:rFonts w:hint="eastAsia" w:ascii="仿宋_GB2312" w:hAnsi="仿宋_GB2312" w:eastAsia="仿宋_GB2312" w:cs="仿宋_GB2312"/>
          <w:sz w:val="32"/>
          <w:szCs w:val="32"/>
        </w:rPr>
        <w:t>单位</w:t>
      </w:r>
      <w:r>
        <w:rPr>
          <w:rFonts w:hint="eastAsia" w:ascii="仿宋_GB2312" w:hAnsi="仿宋_GB2312" w:eastAsia="仿宋_GB2312" w:cs="仿宋_GB2312"/>
          <w:sz w:val="32"/>
          <w:szCs w:val="32"/>
          <w:lang w:val="en-US" w:eastAsia="zh-CN"/>
        </w:rPr>
        <w:t>当年退休职工的购房补贴</w:t>
      </w:r>
      <w:r>
        <w:rPr>
          <w:rFonts w:hint="eastAsia" w:ascii="仿宋_GB2312" w:hAnsi="仿宋_GB2312" w:eastAsia="仿宋_GB2312" w:cs="仿宋_GB2312"/>
          <w:sz w:val="32"/>
          <w:szCs w:val="32"/>
        </w:rPr>
        <w:t>。</w:t>
      </w:r>
    </w:p>
    <w:p>
      <w:pPr>
        <w:tabs>
          <w:tab w:val="right" w:pos="8306"/>
        </w:tabs>
        <w:spacing w:line="576" w:lineRule="exact"/>
        <w:ind w:firstLine="640"/>
        <w:outlineLvl w:val="1"/>
        <w:rPr>
          <w:rFonts w:hint="eastAsia" w:ascii="仿宋_GB2312" w:hAnsi="仿宋_GB2312" w:eastAsia="仿宋_GB2312" w:cs="仿宋_GB2312"/>
          <w:sz w:val="32"/>
          <w:szCs w:val="32"/>
        </w:rPr>
      </w:pPr>
      <w:r>
        <w:rPr>
          <w:rStyle w:val="18"/>
          <w:rFonts w:hint="eastAsia" w:ascii="仿宋" w:hAnsi="仿宋" w:eastAsia="仿宋"/>
          <w:bCs/>
          <w:color w:val="000000"/>
          <w:sz w:val="32"/>
          <w:szCs w:val="32"/>
          <w:lang w:val="en-US" w:eastAsia="zh-CN"/>
        </w:rPr>
        <w:t>11.</w:t>
      </w:r>
      <w:r>
        <w:rPr>
          <w:rStyle w:val="18"/>
          <w:rFonts w:hint="eastAsia" w:ascii="仿宋_GB2312" w:hAnsi="仿宋_GB2312" w:eastAsia="仿宋_GB2312" w:cs="仿宋_GB2312"/>
          <w:bCs/>
          <w:color w:val="000000"/>
          <w:sz w:val="32"/>
          <w:szCs w:val="32"/>
          <w:lang w:val="en-US" w:eastAsia="zh-CN"/>
        </w:rPr>
        <w:t>其他支出</w:t>
      </w:r>
      <w:r>
        <w:rPr>
          <w:rStyle w:val="18"/>
          <w:rFonts w:hint="eastAsia" w:ascii="仿宋_GB2312" w:hAnsi="仿宋_GB2312" w:eastAsia="仿宋_GB2312" w:cs="仿宋_GB2312"/>
          <w:bCs/>
          <w:color w:val="000000"/>
          <w:sz w:val="32"/>
          <w:szCs w:val="32"/>
        </w:rPr>
        <w:t>（类）</w:t>
      </w:r>
      <w:r>
        <w:rPr>
          <w:rStyle w:val="18"/>
          <w:rFonts w:hint="eastAsia" w:ascii="仿宋_GB2312" w:hAnsi="仿宋_GB2312" w:eastAsia="仿宋_GB2312" w:cs="仿宋_GB2312"/>
          <w:bCs/>
          <w:color w:val="000000"/>
          <w:sz w:val="32"/>
          <w:szCs w:val="32"/>
          <w:lang w:val="en-US" w:eastAsia="zh-CN"/>
        </w:rPr>
        <w:t>其他支出</w:t>
      </w:r>
      <w:r>
        <w:rPr>
          <w:rStyle w:val="18"/>
          <w:rFonts w:hint="eastAsia" w:ascii="仿宋_GB2312" w:hAnsi="仿宋_GB2312" w:eastAsia="仿宋_GB2312" w:cs="仿宋_GB2312"/>
          <w:bCs/>
          <w:color w:val="000000"/>
          <w:sz w:val="32"/>
          <w:szCs w:val="32"/>
        </w:rPr>
        <w:t>（款）</w:t>
      </w:r>
      <w:r>
        <w:rPr>
          <w:rStyle w:val="18"/>
          <w:rFonts w:hint="eastAsia" w:ascii="仿宋_GB2312" w:hAnsi="仿宋_GB2312" w:eastAsia="仿宋_GB2312" w:cs="仿宋_GB2312"/>
          <w:bCs/>
          <w:color w:val="000000"/>
          <w:sz w:val="32"/>
          <w:szCs w:val="32"/>
          <w:lang w:val="en-US" w:eastAsia="zh-CN"/>
        </w:rPr>
        <w:t>其他支出</w:t>
      </w:r>
      <w:r>
        <w:rPr>
          <w:rStyle w:val="18"/>
          <w:rFonts w:hint="eastAsia" w:ascii="仿宋_GB2312" w:hAnsi="仿宋_GB2312" w:eastAsia="仿宋_GB2312" w:cs="仿宋_GB2312"/>
          <w:bCs/>
          <w:color w:val="000000"/>
          <w:sz w:val="32"/>
          <w:szCs w:val="32"/>
        </w:rPr>
        <w:t>（项）：</w:t>
      </w:r>
      <w:r>
        <w:rPr>
          <w:rFonts w:hint="eastAsia" w:ascii="仿宋_GB2312" w:hAnsi="仿宋_GB2312" w:eastAsia="仿宋_GB2312" w:cs="仿宋_GB2312"/>
          <w:sz w:val="32"/>
          <w:szCs w:val="32"/>
        </w:rPr>
        <w:t>支出决算为</w:t>
      </w:r>
      <w:r>
        <w:rPr>
          <w:rFonts w:hint="eastAsia" w:ascii="仿宋_GB2312" w:hAnsi="仿宋_GB2312" w:eastAsia="仿宋_GB2312" w:cs="仿宋_GB2312"/>
          <w:sz w:val="32"/>
          <w:szCs w:val="32"/>
          <w:lang w:val="en-US" w:eastAsia="zh-CN"/>
        </w:rPr>
        <w:t>9.82</w:t>
      </w:r>
      <w:r>
        <w:rPr>
          <w:rFonts w:hint="eastAsia" w:ascii="仿宋_GB2312" w:hAnsi="仿宋_GB2312" w:eastAsia="仿宋_GB2312" w:cs="仿宋_GB2312"/>
          <w:sz w:val="32"/>
          <w:szCs w:val="32"/>
        </w:rPr>
        <w:t>万元，完成预100%，决算数等于预算数的主要</w:t>
      </w:r>
      <w:r>
        <w:rPr>
          <w:rFonts w:hint="eastAsia" w:ascii="仿宋_GB2312" w:hAnsi="仿宋_GB2312" w:eastAsia="仿宋_GB2312" w:cs="仿宋_GB2312"/>
          <w:sz w:val="32"/>
          <w:szCs w:val="32"/>
          <w:lang w:val="en-US" w:eastAsia="zh-CN"/>
        </w:rPr>
        <w:t>用于实训基地项目的测绘费及可研报告费</w:t>
      </w:r>
      <w:r>
        <w:rPr>
          <w:rFonts w:hint="eastAsia" w:ascii="仿宋_GB2312" w:hAnsi="仿宋_GB2312" w:eastAsia="仿宋_GB2312" w:cs="仿宋_GB2312"/>
          <w:sz w:val="32"/>
          <w:szCs w:val="32"/>
        </w:rPr>
        <w:t>。</w:t>
      </w:r>
    </w:p>
    <w:p>
      <w:pPr>
        <w:tabs>
          <w:tab w:val="right" w:pos="8306"/>
        </w:tabs>
        <w:spacing w:line="600" w:lineRule="exact"/>
        <w:ind w:firstLine="640"/>
        <w:outlineLvl w:val="1"/>
        <w:rPr>
          <w:rStyle w:val="30"/>
        </w:rPr>
      </w:pPr>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30"/>
          <w:rFonts w:hint="eastAsia" w:ascii="黑体" w:hAnsi="黑体" w:eastAsia="黑体"/>
        </w:rPr>
        <w:t>般公共预算财政拨款基本支出决算情况说明</w:t>
      </w:r>
      <w:bookmarkEnd w:id="56"/>
      <w:bookmarkEnd w:id="57"/>
      <w:r>
        <w:rPr>
          <w:rStyle w:val="30"/>
          <w:rFonts w:ascii="黑体" w:hAnsi="黑体" w:eastAsia="黑体"/>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3</w:t>
      </w:r>
      <w:r>
        <w:rPr>
          <w:rFonts w:hint="eastAsia" w:ascii="仿宋" w:hAnsi="仿宋" w:eastAsia="仿宋"/>
          <w:color w:val="000000"/>
          <w:sz w:val="32"/>
          <w:szCs w:val="32"/>
        </w:rPr>
        <w:t>年一般公共预算财政拨款基本支出</w:t>
      </w:r>
      <w:r>
        <w:rPr>
          <w:rFonts w:hint="eastAsia" w:ascii="仿宋" w:hAnsi="仿宋" w:eastAsia="仿宋"/>
          <w:color w:val="000000"/>
          <w:sz w:val="32"/>
          <w:szCs w:val="32"/>
          <w:lang w:val="en-US" w:eastAsia="zh-CN"/>
        </w:rPr>
        <w:t>706.43</w:t>
      </w:r>
      <w:r>
        <w:rPr>
          <w:rFonts w:hint="eastAsia" w:ascii="仿宋" w:hAnsi="仿宋" w:eastAsia="仿宋"/>
          <w:color w:val="000000"/>
          <w:sz w:val="32"/>
          <w:szCs w:val="32"/>
        </w:rPr>
        <w:t>万元，其中：</w:t>
      </w:r>
    </w:p>
    <w:p>
      <w:pPr>
        <w:spacing w:line="576" w:lineRule="exact"/>
        <w:ind w:firstLine="640"/>
        <w:outlineLvl w:val="1"/>
        <w:rPr>
          <w:rFonts w:ascii="仿宋" w:hAnsi="仿宋" w:eastAsia="仿宋"/>
          <w:color w:val="00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681.15</w:t>
      </w:r>
      <w:r>
        <w:rPr>
          <w:rFonts w:hint="eastAsia" w:ascii="仿宋" w:hAnsi="仿宋" w:eastAsia="仿宋"/>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spacing w:line="576" w:lineRule="exact"/>
        <w:ind w:firstLine="640"/>
        <w:outlineLvl w:val="1"/>
        <w:rPr>
          <w:rFonts w:ascii="仿宋" w:hAnsi="仿宋" w:eastAsia="仿宋"/>
          <w:color w:val="000000"/>
          <w:sz w:val="32"/>
          <w:szCs w:val="32"/>
        </w:rPr>
      </w:pPr>
      <w:r>
        <w:rPr>
          <w:rFonts w:hint="eastAsia" w:ascii="仿宋" w:hAnsi="仿宋" w:eastAsia="仿宋"/>
          <w:color w:val="000000"/>
          <w:sz w:val="32"/>
          <w:szCs w:val="32"/>
        </w:rPr>
        <w:t>日常公用经费</w:t>
      </w:r>
      <w:r>
        <w:rPr>
          <w:rFonts w:hint="eastAsia" w:ascii="仿宋" w:hAnsi="仿宋" w:eastAsia="仿宋"/>
          <w:color w:val="000000"/>
          <w:sz w:val="32"/>
          <w:szCs w:val="32"/>
          <w:lang w:val="en-US" w:eastAsia="zh-CN"/>
        </w:rPr>
        <w:t>25.28</w:t>
      </w:r>
      <w:r>
        <w:rPr>
          <w:rFonts w:hint="eastAsia" w:ascii="仿宋" w:hAnsi="仿宋" w:eastAsia="仿宋"/>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bookmarkEnd w:id="58"/>
    <w:bookmarkEnd w:id="59"/>
    <w:p>
      <w:pPr>
        <w:spacing w:line="600" w:lineRule="exact"/>
        <w:ind w:firstLine="640"/>
        <w:outlineLvl w:val="1"/>
        <w:rPr>
          <w:rStyle w:val="30"/>
          <w:rFonts w:ascii="黑体" w:hAnsi="黑体" w:eastAsia="黑体"/>
          <w:b w:val="0"/>
        </w:rPr>
      </w:pPr>
      <w:bookmarkStart w:id="60" w:name="_Toc79163619"/>
      <w:bookmarkStart w:id="61" w:name="_Toc79163869"/>
      <w:bookmarkStart w:id="62" w:name="_Toc15377217"/>
      <w:r>
        <w:rPr>
          <w:rFonts w:hint="eastAsia" w:ascii="黑体" w:eastAsia="黑体"/>
          <w:color w:val="000000"/>
          <w:sz w:val="32"/>
          <w:szCs w:val="32"/>
        </w:rPr>
        <w:t>七、</w:t>
      </w:r>
      <w:r>
        <w:rPr>
          <w:rStyle w:val="30"/>
          <w:rFonts w:hint="eastAsia" w:ascii="黑体" w:hAnsi="黑体" w:eastAsia="黑体"/>
        </w:rPr>
        <w:t>财政拨款“三公”经费支出决算情况说明</w:t>
      </w:r>
      <w:bookmarkEnd w:id="60"/>
      <w:bookmarkEnd w:id="61"/>
    </w:p>
    <w:p>
      <w:pPr>
        <w:spacing w:line="600" w:lineRule="exact"/>
        <w:ind w:firstLine="640"/>
        <w:outlineLvl w:val="2"/>
        <w:rPr>
          <w:rFonts w:ascii="仿宋" w:hAnsi="仿宋" w:eastAsia="仿宋"/>
          <w:b/>
          <w:color w:val="000000"/>
          <w:sz w:val="32"/>
          <w:szCs w:val="32"/>
        </w:rPr>
      </w:pPr>
      <w:bookmarkStart w:id="63" w:name="_Toc79163620"/>
      <w:bookmarkStart w:id="64" w:name="_Toc15377216"/>
      <w:bookmarkStart w:id="65" w:name="_Toc79163870"/>
      <w:r>
        <w:rPr>
          <w:rFonts w:hint="eastAsia" w:ascii="仿宋" w:hAnsi="仿宋" w:eastAsia="仿宋"/>
          <w:b/>
          <w:color w:val="000000"/>
          <w:sz w:val="32"/>
          <w:szCs w:val="32"/>
        </w:rPr>
        <w:t>（一）“三公”经费财政拨款支出决算总体情况说明</w:t>
      </w:r>
      <w:bookmarkEnd w:id="63"/>
      <w:bookmarkEnd w:id="64"/>
      <w:bookmarkEnd w:id="65"/>
    </w:p>
    <w:p>
      <w:pPr>
        <w:spacing w:line="576" w:lineRule="exact"/>
        <w:ind w:firstLine="640" w:firstLineChars="200"/>
        <w:rPr>
          <w:rFonts w:ascii="仿宋_GB2312" w:eastAsia="仿宋_GB2312"/>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3</w:t>
      </w:r>
      <w:r>
        <w:rPr>
          <w:rFonts w:hint="eastAsia" w:ascii="仿宋" w:hAnsi="仿宋" w:eastAsia="仿宋"/>
          <w:color w:val="000000"/>
          <w:sz w:val="32"/>
          <w:szCs w:val="32"/>
        </w:rPr>
        <w:t>年“三公”经费财政拨款支出决算为</w:t>
      </w:r>
      <w:r>
        <w:rPr>
          <w:rFonts w:hint="eastAsia" w:ascii="仿宋" w:hAnsi="仿宋" w:eastAsia="仿宋"/>
          <w:color w:val="000000"/>
          <w:sz w:val="32"/>
          <w:szCs w:val="32"/>
          <w:lang w:val="en-US" w:eastAsia="zh-CN"/>
        </w:rPr>
        <w:t>5.66</w:t>
      </w:r>
      <w:r>
        <w:rPr>
          <w:rFonts w:hint="eastAsia" w:ascii="仿宋" w:hAnsi="仿宋" w:eastAsia="仿宋"/>
          <w:color w:val="000000"/>
          <w:sz w:val="32"/>
          <w:szCs w:val="32"/>
        </w:rPr>
        <w:t>万元，完成预算100</w:t>
      </w:r>
      <w:r>
        <w:rPr>
          <w:rFonts w:ascii="仿宋" w:hAnsi="仿宋" w:eastAsia="仿宋"/>
          <w:color w:val="000000"/>
          <w:sz w:val="32"/>
          <w:szCs w:val="32"/>
        </w:rPr>
        <w:t>%</w:t>
      </w:r>
      <w:r>
        <w:rPr>
          <w:rFonts w:hint="eastAsia" w:ascii="仿宋" w:hAnsi="仿宋" w:eastAsia="仿宋"/>
          <w:color w:val="000000"/>
          <w:sz w:val="32"/>
          <w:szCs w:val="32"/>
        </w:rPr>
        <w:t>，决算数与预算数持平的主要原因是</w:t>
      </w:r>
      <w:r>
        <w:rPr>
          <w:rFonts w:hint="eastAsia" w:ascii="仿宋_GB2312" w:eastAsia="仿宋_GB2312"/>
          <w:color w:val="000000"/>
          <w:sz w:val="32"/>
          <w:szCs w:val="32"/>
          <w:lang w:val="en-US" w:eastAsia="zh-CN"/>
        </w:rPr>
        <w:t>坚持</w:t>
      </w:r>
      <w:r>
        <w:rPr>
          <w:rFonts w:hint="default" w:ascii="仿宋_GB2312" w:eastAsia="仿宋_GB2312"/>
          <w:color w:val="000000"/>
          <w:sz w:val="32"/>
          <w:szCs w:val="32"/>
          <w:lang w:val="en-US" w:eastAsia="zh-CN"/>
        </w:rPr>
        <w:t>“</w:t>
      </w:r>
      <w:r>
        <w:rPr>
          <w:rFonts w:hint="eastAsia" w:ascii="仿宋_GB2312" w:eastAsia="仿宋_GB2312"/>
          <w:color w:val="000000"/>
          <w:sz w:val="32"/>
          <w:szCs w:val="32"/>
          <w:lang w:val="en-US" w:eastAsia="zh-CN"/>
        </w:rPr>
        <w:t>过紧日子</w:t>
      </w:r>
      <w:r>
        <w:rPr>
          <w:rFonts w:hint="default" w:ascii="仿宋_GB2312" w:eastAsia="仿宋_GB2312"/>
          <w:color w:val="000000"/>
          <w:sz w:val="32"/>
          <w:szCs w:val="32"/>
          <w:lang w:val="en-US" w:eastAsia="zh-CN"/>
        </w:rPr>
        <w:t>”</w:t>
      </w:r>
      <w:r>
        <w:rPr>
          <w:rFonts w:hint="eastAsia" w:ascii="仿宋_GB2312" w:eastAsia="仿宋_GB2312"/>
          <w:color w:val="000000"/>
          <w:sz w:val="32"/>
          <w:szCs w:val="32"/>
          <w:lang w:val="en-US" w:eastAsia="zh-CN"/>
        </w:rPr>
        <w:t>的要求，</w:t>
      </w:r>
      <w:r>
        <w:rPr>
          <w:rFonts w:hint="eastAsia" w:ascii="仿宋_GB2312" w:eastAsia="仿宋_GB2312"/>
          <w:sz w:val="32"/>
          <w:szCs w:val="32"/>
        </w:rPr>
        <w:t>厉行节约。</w:t>
      </w:r>
    </w:p>
    <w:bookmarkEnd w:id="62"/>
    <w:p>
      <w:pPr>
        <w:spacing w:line="600" w:lineRule="exact"/>
        <w:ind w:firstLine="640"/>
        <w:outlineLvl w:val="2"/>
        <w:rPr>
          <w:rFonts w:ascii="仿宋" w:hAnsi="仿宋" w:eastAsia="仿宋"/>
          <w:b/>
          <w:color w:val="000000"/>
          <w:sz w:val="32"/>
          <w:szCs w:val="32"/>
        </w:rPr>
      </w:pPr>
      <w:bookmarkStart w:id="66" w:name="_Toc79163621"/>
      <w:bookmarkStart w:id="67" w:name="_Toc79163871"/>
      <w:r>
        <w:rPr>
          <w:rFonts w:hint="eastAsia" w:ascii="仿宋" w:hAnsi="仿宋" w:eastAsia="仿宋"/>
          <w:b/>
          <w:color w:val="000000"/>
          <w:sz w:val="32"/>
          <w:szCs w:val="32"/>
        </w:rPr>
        <w:t>（二）“三公”经费财政拨款支出决算具体情况说明</w:t>
      </w:r>
      <w:bookmarkEnd w:id="66"/>
      <w:bookmarkEnd w:id="67"/>
    </w:p>
    <w:p>
      <w:pPr>
        <w:spacing w:line="600" w:lineRule="exact"/>
        <w:ind w:firstLine="640"/>
        <w:rPr>
          <w:rFonts w:hint="eastAsia"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3</w:t>
      </w:r>
      <w:r>
        <w:rPr>
          <w:rFonts w:hint="eastAsia" w:ascii="仿宋" w:hAnsi="仿宋" w:eastAsia="仿宋"/>
          <w:color w:val="000000"/>
          <w:sz w:val="32"/>
          <w:szCs w:val="32"/>
        </w:rPr>
        <w:t>年“三公”经费财政拨款支出决算中，因公出国（境）费支出决算0万元，占0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4.98</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87.99</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0.68</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12.01</w:t>
      </w:r>
      <w:r>
        <w:rPr>
          <w:rFonts w:ascii="仿宋" w:hAnsi="仿宋" w:eastAsia="仿宋"/>
          <w:color w:val="000000"/>
          <w:sz w:val="32"/>
          <w:szCs w:val="32"/>
        </w:rPr>
        <w:t>%</w:t>
      </w:r>
      <w:r>
        <w:rPr>
          <w:rFonts w:hint="eastAsia" w:ascii="仿宋" w:hAnsi="仿宋" w:eastAsia="仿宋"/>
          <w:color w:val="000000"/>
          <w:sz w:val="32"/>
          <w:szCs w:val="32"/>
        </w:rPr>
        <w:t>。具体情况如下：</w:t>
      </w:r>
    </w:p>
    <w:p>
      <w:pPr>
        <w:pStyle w:val="3"/>
        <w:rPr>
          <w:rFonts w:hint="eastAsia" w:eastAsia="仿宋"/>
          <w:lang w:eastAsia="zh-CN"/>
        </w:rPr>
      </w:pPr>
      <w:r>
        <w:rPr>
          <w:rFonts w:hint="eastAsia" w:eastAsia="仿宋"/>
          <w:lang w:eastAsia="zh-CN"/>
        </w:rPr>
        <w:drawing>
          <wp:inline distT="0" distB="0" distL="114300" distR="114300">
            <wp:extent cx="3879850" cy="2258060"/>
            <wp:effectExtent l="4445" t="4445" r="20955" b="2349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pPr>
        <w:spacing w:line="600" w:lineRule="exact"/>
        <w:ind w:firstLine="640"/>
        <w:rPr>
          <w:rFonts w:ascii="仿宋_GB2312" w:eastAsia="仿宋_GB2312"/>
          <w:color w:val="000000"/>
          <w:sz w:val="32"/>
          <w:szCs w:val="32"/>
        </w:rPr>
      </w:pPr>
      <w:bookmarkStart w:id="68" w:name="_Toc15396610"/>
      <w:bookmarkStart w:id="69" w:name="_Toc15377218"/>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0万元，</w:t>
      </w:r>
      <w:r>
        <w:rPr>
          <w:rStyle w:val="18"/>
          <w:rFonts w:hint="eastAsia" w:ascii="仿宋" w:hAnsi="仿宋" w:eastAsia="仿宋"/>
          <w:bCs/>
          <w:color w:val="000000"/>
          <w:sz w:val="32"/>
          <w:szCs w:val="32"/>
        </w:rPr>
        <w:t>完成预算</w:t>
      </w:r>
      <w:r>
        <w:rPr>
          <w:rFonts w:hint="eastAsia" w:ascii="仿宋_GB2312" w:hAnsi="Times New Roman" w:eastAsia="仿宋_GB2312" w:cs="Times New Roman"/>
          <w:color w:val="000000"/>
          <w:sz w:val="32"/>
          <w:szCs w:val="32"/>
        </w:rPr>
        <w:t>0%。</w:t>
      </w:r>
      <w:r>
        <w:rPr>
          <w:rFonts w:hint="eastAsia" w:ascii="仿宋_GB2312" w:eastAsia="仿宋_GB2312"/>
          <w:color w:val="000000"/>
          <w:sz w:val="32"/>
          <w:szCs w:val="32"/>
        </w:rPr>
        <w:t>全年安排因公出国（境）团组0次，出国（境）0人</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与上年比无变化</w:t>
      </w:r>
      <w:r>
        <w:rPr>
          <w:rFonts w:hint="eastAsia" w:ascii="仿宋_GB2312" w:eastAsia="仿宋_GB2312"/>
          <w:color w:val="000000"/>
          <w:sz w:val="32"/>
          <w:szCs w:val="32"/>
        </w:rPr>
        <w:t>。</w:t>
      </w:r>
    </w:p>
    <w:p>
      <w:pPr>
        <w:keepNext w:val="0"/>
        <w:keepLines w:val="0"/>
        <w:widowControl w:val="0"/>
        <w:suppressLineNumbers w:val="0"/>
        <w:spacing w:before="0" w:beforeAutospacing="0" w:after="0" w:afterAutospacing="0"/>
        <w:ind w:right="0" w:firstLine="643" w:firstLineChars="200"/>
        <w:jc w:val="both"/>
        <w:rPr>
          <w:rFonts w:hint="eastAsia" w:ascii="仿宋_GB2312" w:eastAsia="仿宋_GB2312"/>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4.98</w:t>
      </w:r>
      <w:r>
        <w:rPr>
          <w:rFonts w:hint="eastAsia" w:ascii="仿宋_GB2312" w:eastAsia="仿宋_GB2312"/>
          <w:color w:val="000000"/>
          <w:sz w:val="32"/>
          <w:szCs w:val="32"/>
        </w:rPr>
        <w:t>万元</w:t>
      </w:r>
      <w:r>
        <w:rPr>
          <w:rFonts w:ascii="仿宋_GB2312" w:eastAsia="仿宋_GB2312"/>
          <w:color w:val="000000"/>
          <w:sz w:val="32"/>
          <w:szCs w:val="32"/>
        </w:rPr>
        <w:t>,</w:t>
      </w:r>
      <w:r>
        <w:rPr>
          <w:rStyle w:val="18"/>
          <w:rFonts w:hint="eastAsia" w:ascii="仿宋" w:hAnsi="仿宋" w:eastAsia="仿宋"/>
          <w:bCs/>
          <w:color w:val="000000"/>
          <w:sz w:val="32"/>
          <w:szCs w:val="32"/>
        </w:rPr>
        <w:t>完成预算100</w:t>
      </w:r>
      <w:r>
        <w:rPr>
          <w:rStyle w:val="18"/>
          <w:rFonts w:ascii="仿宋" w:hAnsi="仿宋" w:eastAsia="仿宋"/>
          <w:bCs/>
          <w:color w:val="000000"/>
          <w:sz w:val="32"/>
          <w:szCs w:val="32"/>
        </w:rPr>
        <w:t>%</w:t>
      </w:r>
      <w:r>
        <w:rPr>
          <w:rStyle w:val="18"/>
          <w:rFonts w:hint="eastAsia" w:ascii="仿宋" w:hAnsi="仿宋" w:eastAsia="仿宋"/>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w:t>
      </w:r>
      <w:r>
        <w:rPr>
          <w:rFonts w:hint="eastAsia" w:ascii="仿宋_GB2312" w:eastAsia="仿宋_GB2312"/>
          <w:color w:val="000000"/>
          <w:sz w:val="32"/>
          <w:szCs w:val="32"/>
        </w:rPr>
        <w:t>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增加1.85</w:t>
      </w:r>
      <w:r>
        <w:rPr>
          <w:rFonts w:hint="eastAsia" w:ascii="仿宋_GB2312" w:eastAsia="仿宋_GB2312"/>
          <w:color w:val="000000"/>
          <w:sz w:val="32"/>
          <w:szCs w:val="32"/>
        </w:rPr>
        <w:t>万元，</w:t>
      </w:r>
      <w:r>
        <w:rPr>
          <w:rFonts w:hint="eastAsia" w:ascii="仿宋" w:hAnsi="仿宋" w:eastAsia="仿宋"/>
          <w:color w:val="auto"/>
          <w:sz w:val="32"/>
          <w:szCs w:val="32"/>
          <w:highlight w:val="none"/>
          <w:lang w:val="en-US" w:eastAsia="zh-CN"/>
        </w:rPr>
        <w:t>增长</w:t>
      </w:r>
      <w:r>
        <w:rPr>
          <w:rFonts w:hint="eastAsia" w:ascii="仿宋_GB2312" w:eastAsia="仿宋_GB2312"/>
          <w:color w:val="000000"/>
          <w:sz w:val="32"/>
          <w:szCs w:val="32"/>
          <w:lang w:val="en-US" w:eastAsia="zh-CN"/>
        </w:rPr>
        <w:t>59.11</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因车辆达到报废年限，车辆老旧造成的费用增加等。</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0万元。全年按规定更新购置公务用车0辆，其中：轿车0辆、金额0万元，越野车0辆、金额0万元，载客汽车0辆、金额0万元。截至</w:t>
      </w:r>
      <w:r>
        <w:rPr>
          <w:rFonts w:ascii="仿宋_GB2312" w:eastAsia="仿宋_GB2312"/>
          <w:color w:val="000000"/>
          <w:sz w:val="32"/>
          <w:szCs w:val="32"/>
        </w:rPr>
        <w:t>202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月底，单位共有公务用车2辆，其中：轿车1辆、越野车1辆。</w:t>
      </w:r>
    </w:p>
    <w:p>
      <w:pPr>
        <w:spacing w:line="576"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4.98</w:t>
      </w:r>
      <w:r>
        <w:rPr>
          <w:rFonts w:hint="eastAsia" w:ascii="仿宋_GB2312" w:eastAsia="仿宋_GB2312"/>
          <w:color w:val="000000"/>
          <w:sz w:val="32"/>
          <w:szCs w:val="32"/>
        </w:rPr>
        <w:t>万元。主要用于单位</w:t>
      </w:r>
      <w:r>
        <w:rPr>
          <w:rFonts w:ascii="仿宋_GB2312" w:eastAsia="仿宋_GB2312"/>
          <w:color w:val="000000"/>
          <w:sz w:val="32"/>
          <w:szCs w:val="32"/>
        </w:rPr>
        <w:t>开展包村</w:t>
      </w:r>
      <w:r>
        <w:rPr>
          <w:rFonts w:hint="eastAsia" w:ascii="仿宋_GB2312" w:eastAsia="仿宋_GB2312"/>
          <w:color w:val="000000"/>
          <w:sz w:val="32"/>
          <w:szCs w:val="32"/>
        </w:rPr>
        <w:t>、</w:t>
      </w:r>
      <w:r>
        <w:rPr>
          <w:rFonts w:ascii="仿宋_GB2312" w:eastAsia="仿宋_GB2312"/>
          <w:color w:val="000000"/>
          <w:sz w:val="32"/>
          <w:szCs w:val="32"/>
        </w:rPr>
        <w:t>扶贫</w:t>
      </w:r>
      <w:r>
        <w:rPr>
          <w:rFonts w:hint="eastAsia" w:ascii="仿宋_GB2312" w:eastAsia="仿宋_GB2312"/>
          <w:color w:val="000000"/>
          <w:sz w:val="32"/>
          <w:szCs w:val="32"/>
        </w:rPr>
        <w:t>等工作所需的公务用车燃料费、维修费、过路过桥费、保险费等支出。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0.68</w:t>
      </w:r>
      <w:r>
        <w:rPr>
          <w:rFonts w:hint="eastAsia" w:ascii="仿宋_GB2312" w:eastAsia="仿宋_GB2312"/>
          <w:color w:val="000000"/>
          <w:sz w:val="32"/>
          <w:szCs w:val="32"/>
        </w:rPr>
        <w:t>万元，</w:t>
      </w:r>
      <w:r>
        <w:rPr>
          <w:rStyle w:val="18"/>
          <w:rFonts w:hint="eastAsia" w:ascii="仿宋" w:hAnsi="仿宋" w:eastAsia="仿宋"/>
          <w:bCs/>
          <w:color w:val="000000"/>
          <w:sz w:val="32"/>
          <w:szCs w:val="32"/>
        </w:rPr>
        <w:t>完成预算</w:t>
      </w:r>
      <w:r>
        <w:rPr>
          <w:rFonts w:hint="eastAsia" w:ascii="仿宋_GB2312" w:hAnsi="Times New Roman" w:eastAsia="仿宋_GB2312" w:cs="Times New Roman"/>
          <w:color w:val="000000"/>
          <w:sz w:val="32"/>
          <w:szCs w:val="32"/>
          <w:lang w:val="en-US" w:eastAsia="zh-CN"/>
        </w:rPr>
        <w:t>100%。</w:t>
      </w:r>
      <w:r>
        <w:rPr>
          <w:rFonts w:hint="eastAsia" w:ascii="仿宋_GB2312" w:eastAsia="仿宋_GB2312"/>
          <w:color w:val="000000"/>
          <w:sz w:val="32"/>
          <w:szCs w:val="32"/>
        </w:rPr>
        <w:t>公务接待费支出决算比</w:t>
      </w:r>
      <w:r>
        <w:rPr>
          <w:rFonts w:ascii="仿宋_GB2312" w:eastAsia="仿宋_GB2312"/>
          <w:color w:val="000000"/>
          <w:sz w:val="32"/>
          <w:szCs w:val="32"/>
        </w:rPr>
        <w:t>20</w:t>
      </w:r>
      <w:r>
        <w:rPr>
          <w:rFonts w:hint="eastAsia" w:ascii="仿宋_GB2312" w:eastAsia="仿宋_GB2312"/>
          <w:color w:val="000000"/>
          <w:sz w:val="32"/>
          <w:szCs w:val="32"/>
        </w:rPr>
        <w:t>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增加0.07</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增长11.48</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全面落实关于党政机关厉行勤俭节约，坚持</w:t>
      </w:r>
      <w:r>
        <w:rPr>
          <w:rFonts w:hint="default" w:ascii="仿宋_GB2312" w:eastAsia="仿宋_GB2312"/>
          <w:color w:val="000000"/>
          <w:sz w:val="32"/>
          <w:szCs w:val="32"/>
          <w:lang w:val="en-US" w:eastAsia="zh-CN"/>
        </w:rPr>
        <w:t>“</w:t>
      </w:r>
      <w:r>
        <w:rPr>
          <w:rFonts w:hint="eastAsia" w:ascii="仿宋_GB2312" w:eastAsia="仿宋_GB2312"/>
          <w:color w:val="000000"/>
          <w:sz w:val="32"/>
          <w:szCs w:val="32"/>
          <w:lang w:val="en-US" w:eastAsia="zh-CN"/>
        </w:rPr>
        <w:t>过紧日子</w:t>
      </w:r>
      <w:r>
        <w:rPr>
          <w:rFonts w:hint="default" w:ascii="仿宋_GB2312" w:eastAsia="仿宋_GB2312"/>
          <w:color w:val="000000"/>
          <w:sz w:val="32"/>
          <w:szCs w:val="32"/>
          <w:lang w:val="en-US" w:eastAsia="zh-CN"/>
        </w:rPr>
        <w:t>”</w:t>
      </w:r>
      <w:r>
        <w:rPr>
          <w:rFonts w:hint="eastAsia" w:ascii="仿宋_GB2312" w:eastAsia="仿宋_GB2312"/>
          <w:color w:val="000000"/>
          <w:sz w:val="32"/>
          <w:szCs w:val="32"/>
          <w:lang w:val="en-US" w:eastAsia="zh-CN"/>
        </w:rPr>
        <w:t>的要求，努力营造</w:t>
      </w:r>
      <w:r>
        <w:rPr>
          <w:rFonts w:hint="default" w:ascii="仿宋_GB2312" w:eastAsia="仿宋_GB2312"/>
          <w:color w:val="000000"/>
          <w:sz w:val="32"/>
          <w:szCs w:val="32"/>
          <w:lang w:val="en-US" w:eastAsia="zh-CN"/>
        </w:rPr>
        <w:t>“</w:t>
      </w:r>
      <w:r>
        <w:rPr>
          <w:rFonts w:hint="eastAsia" w:ascii="仿宋_GB2312" w:eastAsia="仿宋_GB2312"/>
          <w:color w:val="000000"/>
          <w:sz w:val="32"/>
          <w:szCs w:val="32"/>
          <w:lang w:val="en-US" w:eastAsia="zh-CN"/>
        </w:rPr>
        <w:t>艰苦奋斗、勤俭节约</w:t>
      </w:r>
      <w:r>
        <w:rPr>
          <w:rFonts w:hint="default" w:ascii="仿宋_GB2312" w:eastAsia="仿宋_GB2312"/>
          <w:color w:val="000000"/>
          <w:sz w:val="32"/>
          <w:szCs w:val="32"/>
          <w:lang w:val="en-US" w:eastAsia="zh-CN"/>
        </w:rPr>
        <w:t>”</w:t>
      </w:r>
      <w:r>
        <w:rPr>
          <w:rFonts w:hint="eastAsia" w:ascii="仿宋_GB2312" w:eastAsia="仿宋_GB2312"/>
          <w:color w:val="000000"/>
          <w:sz w:val="32"/>
          <w:szCs w:val="32"/>
          <w:lang w:val="en-US" w:eastAsia="zh-CN"/>
        </w:rPr>
        <w:t>氛围，持续推进节约型单位建设</w:t>
      </w:r>
      <w:r>
        <w:rPr>
          <w:rFonts w:hint="eastAsia" w:ascii="仿宋_GB2312" w:eastAsia="仿宋_GB2312"/>
          <w:color w:val="000000"/>
          <w:sz w:val="32"/>
          <w:szCs w:val="32"/>
        </w:rPr>
        <w:t>。其中：</w:t>
      </w:r>
    </w:p>
    <w:p>
      <w:pPr>
        <w:spacing w:line="600" w:lineRule="exact"/>
        <w:ind w:firstLine="640"/>
        <w:rPr>
          <w:rFonts w:hint="eastAsia" w:ascii="仿宋_GB2312" w:eastAsia="仿宋_GB2312"/>
          <w:color w:val="000000"/>
          <w:sz w:val="32"/>
          <w:szCs w:val="32"/>
          <w:lang w:eastAsia="zh-CN"/>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lang w:val="en-US" w:eastAsia="zh-CN"/>
        </w:rPr>
        <w:t>0.68</w:t>
      </w:r>
      <w:r>
        <w:rPr>
          <w:rFonts w:hint="eastAsia" w:ascii="仿宋_GB2312" w:eastAsia="仿宋_GB2312"/>
          <w:color w:val="000000"/>
          <w:sz w:val="32"/>
          <w:szCs w:val="32"/>
        </w:rPr>
        <w:t>万元，主要用于主要用于执行公务、开展业务活动开支的交通费、住宿费、用餐费等。国内公务接待</w:t>
      </w:r>
      <w:r>
        <w:rPr>
          <w:rFonts w:hint="eastAsia" w:ascii="仿宋_GB2312" w:eastAsia="仿宋_GB2312"/>
          <w:color w:val="000000"/>
          <w:sz w:val="32"/>
          <w:szCs w:val="32"/>
          <w:lang w:val="en-US" w:eastAsia="zh-CN"/>
        </w:rPr>
        <w:t>10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78</w:t>
      </w:r>
      <w:r>
        <w:rPr>
          <w:rFonts w:hint="eastAsia" w:ascii="仿宋_GB2312" w:eastAsia="仿宋_GB2312"/>
          <w:color w:val="000000"/>
          <w:sz w:val="32"/>
          <w:szCs w:val="32"/>
        </w:rPr>
        <w:t>人次（不包括陪同人员），共计支出</w:t>
      </w:r>
      <w:r>
        <w:rPr>
          <w:rFonts w:hint="eastAsia" w:ascii="仿宋_GB2312" w:eastAsia="仿宋_GB2312"/>
          <w:color w:val="000000"/>
          <w:sz w:val="32"/>
          <w:szCs w:val="32"/>
          <w:lang w:val="en-US" w:eastAsia="zh-CN"/>
        </w:rPr>
        <w:t>0.68</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spacing w:line="600" w:lineRule="exact"/>
        <w:ind w:firstLine="643" w:firstLineChars="200"/>
        <w:rPr>
          <w:rFonts w:ascii="仿宋_GB2312" w:eastAsia="仿宋_GB2312"/>
          <w:color w:val="000000"/>
          <w:sz w:val="32"/>
          <w:szCs w:val="32"/>
        </w:rPr>
      </w:pPr>
      <w:r>
        <w:rPr>
          <w:rFonts w:hint="eastAsia" w:ascii="仿宋" w:hAnsi="仿宋" w:eastAsia="仿宋"/>
          <w:b/>
          <w:color w:val="000000"/>
          <w:sz w:val="32"/>
          <w:szCs w:val="32"/>
        </w:rPr>
        <w:t>外事接待支出</w:t>
      </w:r>
      <w:r>
        <w:rPr>
          <w:rFonts w:hint="eastAsia" w:ascii="仿宋" w:hAnsi="仿宋" w:eastAsia="仿宋"/>
          <w:color w:val="000000"/>
          <w:sz w:val="32"/>
          <w:szCs w:val="32"/>
        </w:rPr>
        <w:t>0</w:t>
      </w:r>
      <w:r>
        <w:rPr>
          <w:rFonts w:hint="eastAsia" w:ascii="仿宋_GB2312" w:eastAsia="仿宋_GB2312"/>
          <w:color w:val="000000"/>
          <w:sz w:val="32"/>
          <w:szCs w:val="32"/>
        </w:rPr>
        <w:t>万元，外事接待0批次，0人，共计支出0万元。</w:t>
      </w:r>
    </w:p>
    <w:bookmarkEnd w:id="68"/>
    <w:bookmarkEnd w:id="69"/>
    <w:p>
      <w:pPr>
        <w:spacing w:line="600" w:lineRule="exact"/>
        <w:ind w:firstLine="640"/>
        <w:outlineLvl w:val="1"/>
        <w:rPr>
          <w:rStyle w:val="30"/>
          <w:rFonts w:ascii="黑体" w:hAnsi="黑体" w:eastAsia="黑体"/>
        </w:rPr>
      </w:pPr>
      <w:bookmarkStart w:id="70" w:name="_Toc79163622"/>
      <w:bookmarkStart w:id="71" w:name="_Toc79163872"/>
      <w:bookmarkStart w:id="72" w:name="_Toc15377221"/>
      <w:bookmarkStart w:id="73" w:name="_Toc15396612"/>
      <w:r>
        <w:rPr>
          <w:rFonts w:hint="eastAsia" w:ascii="黑体" w:eastAsia="黑体"/>
          <w:color w:val="000000"/>
          <w:sz w:val="32"/>
          <w:szCs w:val="32"/>
        </w:rPr>
        <w:t>八、</w:t>
      </w:r>
      <w:r>
        <w:rPr>
          <w:rStyle w:val="30"/>
          <w:rFonts w:hint="eastAsia" w:ascii="黑体" w:hAnsi="黑体" w:eastAsia="黑体"/>
        </w:rPr>
        <w:t>政府性基金预算支出决算情况说明</w:t>
      </w:r>
      <w:bookmarkEnd w:id="70"/>
      <w:bookmarkEnd w:id="71"/>
    </w:p>
    <w:p>
      <w:pPr>
        <w:spacing w:line="576"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0万元</w:t>
      </w:r>
      <w:r>
        <w:rPr>
          <w:rFonts w:hint="eastAsia" w:ascii="仿宋_GB2312" w:eastAsia="仿宋_GB2312"/>
          <w:color w:val="000000"/>
          <w:sz w:val="32"/>
          <w:szCs w:val="32"/>
        </w:rPr>
        <w:t>。</w:t>
      </w:r>
    </w:p>
    <w:p>
      <w:pPr>
        <w:numPr>
          <w:ilvl w:val="0"/>
          <w:numId w:val="2"/>
        </w:numPr>
        <w:spacing w:line="600" w:lineRule="exact"/>
        <w:ind w:firstLine="640"/>
        <w:outlineLvl w:val="1"/>
        <w:rPr>
          <w:rStyle w:val="30"/>
          <w:rFonts w:ascii="黑体" w:hAnsi="黑体" w:eastAsia="黑体"/>
          <w:b w:val="0"/>
        </w:rPr>
      </w:pPr>
      <w:bookmarkStart w:id="74" w:name="_Toc15396611"/>
      <w:bookmarkStart w:id="75" w:name="_Toc79163873"/>
      <w:bookmarkStart w:id="76" w:name="_Toc79163623"/>
      <w:bookmarkStart w:id="77" w:name="_Toc15377219"/>
      <w:r>
        <w:rPr>
          <w:rStyle w:val="30"/>
          <w:rFonts w:hint="eastAsia" w:ascii="黑体" w:hAnsi="黑体" w:eastAsia="黑体"/>
        </w:rPr>
        <w:t>国有资本经营预算支出决算情况说明</w:t>
      </w:r>
      <w:bookmarkEnd w:id="74"/>
      <w:bookmarkEnd w:id="75"/>
      <w:bookmarkEnd w:id="76"/>
      <w:bookmarkEnd w:id="7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年国有资本经营预算</w:t>
      </w:r>
      <w:r>
        <w:rPr>
          <w:rFonts w:hint="eastAsia" w:ascii="仿宋_GB2312" w:eastAsia="仿宋_GB2312"/>
          <w:color w:val="000000"/>
          <w:sz w:val="32"/>
          <w:szCs w:val="32"/>
          <w:lang w:val="en-US" w:eastAsia="zh-CN"/>
        </w:rPr>
        <w:t>财政</w:t>
      </w:r>
      <w:r>
        <w:rPr>
          <w:rFonts w:hint="eastAsia" w:ascii="仿宋_GB2312" w:eastAsia="仿宋_GB2312"/>
          <w:color w:val="000000"/>
          <w:sz w:val="32"/>
          <w:szCs w:val="32"/>
        </w:rPr>
        <w:t>拨款支出</w:t>
      </w:r>
      <w:r>
        <w:rPr>
          <w:rFonts w:hint="eastAsia" w:ascii="仿宋_GB2312" w:eastAsia="仿宋_GB2312"/>
          <w:color w:val="000000"/>
          <w:sz w:val="32"/>
          <w:szCs w:val="32"/>
          <w:lang w:val="en-US" w:eastAsia="zh-CN"/>
        </w:rPr>
        <w:t>0万元</w:t>
      </w:r>
      <w:r>
        <w:rPr>
          <w:rFonts w:hint="eastAsia" w:ascii="仿宋_GB2312" w:eastAsia="仿宋_GB2312"/>
          <w:color w:val="000000"/>
          <w:sz w:val="32"/>
          <w:szCs w:val="32"/>
        </w:rPr>
        <w:t>。</w:t>
      </w:r>
    </w:p>
    <w:p>
      <w:pPr>
        <w:spacing w:line="600" w:lineRule="exact"/>
        <w:ind w:firstLine="800" w:firstLineChars="250"/>
        <w:outlineLvl w:val="1"/>
        <w:rPr>
          <w:rStyle w:val="30"/>
          <w:rFonts w:ascii="黑体" w:hAnsi="黑体" w:eastAsia="黑体"/>
        </w:rPr>
      </w:pPr>
      <w:bookmarkStart w:id="78" w:name="_Toc79163624"/>
      <w:bookmarkStart w:id="79" w:name="_Toc79163874"/>
      <w:r>
        <w:rPr>
          <w:rFonts w:hint="eastAsia" w:ascii="黑体" w:hAnsi="黑体" w:eastAsia="黑体"/>
          <w:color w:val="000000"/>
          <w:sz w:val="32"/>
          <w:szCs w:val="32"/>
        </w:rPr>
        <w:t>十</w:t>
      </w:r>
      <w:r>
        <w:rPr>
          <w:rStyle w:val="30"/>
          <w:rFonts w:hint="eastAsia" w:ascii="黑体" w:hAnsi="黑体" w:eastAsia="黑体"/>
        </w:rPr>
        <w:t>、其他重要事项的情况说明</w:t>
      </w:r>
      <w:bookmarkEnd w:id="78"/>
      <w:bookmarkEnd w:id="79"/>
    </w:p>
    <w:p>
      <w:pPr>
        <w:spacing w:line="600" w:lineRule="exact"/>
        <w:ind w:firstLine="643" w:firstLineChars="200"/>
        <w:outlineLvl w:val="2"/>
        <w:rPr>
          <w:rFonts w:ascii="仿宋" w:hAnsi="仿宋" w:eastAsia="仿宋"/>
          <w:color w:val="000000"/>
          <w:sz w:val="32"/>
          <w:szCs w:val="32"/>
        </w:rPr>
      </w:pPr>
      <w:bookmarkStart w:id="80" w:name="_Toc79163625"/>
      <w:bookmarkStart w:id="81" w:name="_Toc79163875"/>
      <w:r>
        <w:rPr>
          <w:rFonts w:hint="eastAsia" w:ascii="仿宋" w:hAnsi="仿宋" w:eastAsia="仿宋"/>
          <w:b/>
          <w:color w:val="000000"/>
          <w:sz w:val="32"/>
          <w:szCs w:val="32"/>
        </w:rPr>
        <w:t>（一）机关运行经费支出情况</w:t>
      </w:r>
      <w:bookmarkEnd w:id="80"/>
      <w:bookmarkEnd w:id="81"/>
    </w:p>
    <w:p>
      <w:pPr>
        <w:spacing w:line="576" w:lineRule="exact"/>
        <w:ind w:firstLine="800" w:firstLineChars="250"/>
        <w:outlineLvl w:val="1"/>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度</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四川省阿坝州</w:t>
      </w:r>
      <w:r>
        <w:rPr>
          <w:rFonts w:hint="eastAsia" w:ascii="仿宋_GB2312" w:eastAsia="仿宋_GB2312"/>
          <w:color w:val="000000"/>
          <w:sz w:val="32"/>
          <w:szCs w:val="32"/>
        </w:rPr>
        <w:t>茂县</w:t>
      </w:r>
      <w:r>
        <w:rPr>
          <w:rFonts w:ascii="仿宋_GB2312" w:eastAsia="仿宋_GB2312"/>
          <w:color w:val="000000"/>
          <w:sz w:val="32"/>
          <w:szCs w:val="32"/>
        </w:rPr>
        <w:t>人力资源和社会保障局</w:t>
      </w:r>
      <w:r>
        <w:rPr>
          <w:rFonts w:hint="eastAsia" w:ascii="仿宋_GB2312" w:eastAsia="仿宋_GB2312"/>
          <w:color w:val="000000"/>
          <w:sz w:val="32"/>
          <w:szCs w:val="32"/>
          <w:lang w:val="en-US" w:eastAsia="zh-CN"/>
        </w:rPr>
        <w:t>部门决算汇总</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12.67</w:t>
      </w:r>
      <w:r>
        <w:rPr>
          <w:rFonts w:hint="eastAsia" w:ascii="仿宋_GB2312" w:eastAsia="仿宋_GB2312"/>
          <w:color w:val="000000"/>
          <w:sz w:val="32"/>
          <w:szCs w:val="32"/>
        </w:rPr>
        <w:t>万元，比</w:t>
      </w:r>
      <w:r>
        <w:rPr>
          <w:rFonts w:ascii="仿宋_GB2312" w:eastAsia="仿宋_GB2312"/>
          <w:color w:val="000000"/>
          <w:sz w:val="32"/>
          <w:szCs w:val="32"/>
        </w:rPr>
        <w:t>20</w:t>
      </w:r>
      <w:r>
        <w:rPr>
          <w:rFonts w:hint="eastAsia" w:ascii="仿宋_GB2312" w:eastAsia="仿宋_GB2312"/>
          <w:color w:val="000000"/>
          <w:sz w:val="32"/>
          <w:szCs w:val="32"/>
        </w:rPr>
        <w:t>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14.06</w:t>
      </w:r>
      <w:r>
        <w:rPr>
          <w:rFonts w:hint="eastAsia" w:ascii="仿宋_GB2312" w:eastAsia="仿宋_GB2312"/>
          <w:color w:val="000000"/>
          <w:sz w:val="32"/>
          <w:szCs w:val="32"/>
        </w:rPr>
        <w:t>万元，比</w:t>
      </w:r>
      <w:r>
        <w:rPr>
          <w:rFonts w:ascii="仿宋_GB2312" w:eastAsia="仿宋_GB2312"/>
          <w:color w:val="000000"/>
          <w:sz w:val="32"/>
          <w:szCs w:val="32"/>
        </w:rPr>
        <w:t>20</w:t>
      </w:r>
      <w:r>
        <w:rPr>
          <w:rFonts w:hint="eastAsia" w:ascii="仿宋_GB2312" w:eastAsia="仿宋_GB2312"/>
          <w:color w:val="000000"/>
          <w:sz w:val="32"/>
          <w:szCs w:val="32"/>
        </w:rPr>
        <w:t>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增加1.39</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增长10.97</w:t>
      </w:r>
      <w:r>
        <w:rPr>
          <w:rFonts w:ascii="仿宋_GB2312" w:eastAsia="仿宋_GB2312"/>
          <w:color w:val="000000"/>
          <w:sz w:val="32"/>
          <w:szCs w:val="32"/>
        </w:rPr>
        <w:t>%</w:t>
      </w:r>
      <w:r>
        <w:rPr>
          <w:rFonts w:hint="eastAsia" w:ascii="仿宋_GB2312" w:eastAsia="仿宋_GB2312"/>
          <w:color w:val="000000"/>
          <w:sz w:val="32"/>
          <w:szCs w:val="32"/>
        </w:rPr>
        <w:t>。主要原因是车辆、固定资产陈旧等原因，就会造成修理费支出的加大</w:t>
      </w:r>
      <w:r>
        <w:rPr>
          <w:rFonts w:hint="eastAsia" w:ascii="仿宋_GB2312" w:eastAsia="仿宋_GB2312"/>
          <w:color w:val="000000"/>
          <w:sz w:val="32"/>
          <w:szCs w:val="32"/>
          <w:lang w:val="en-US" w:eastAsia="zh-CN"/>
        </w:rPr>
        <w:t>等</w:t>
      </w:r>
      <w:r>
        <w:rPr>
          <w:rFonts w:hint="eastAsia" w:ascii="仿宋_GB2312" w:eastAsia="仿宋_GB2312"/>
          <w:color w:val="000000"/>
          <w:sz w:val="32"/>
          <w:szCs w:val="32"/>
        </w:rPr>
        <w:t>。</w:t>
      </w:r>
    </w:p>
    <w:bookmarkEnd w:id="72"/>
    <w:bookmarkEnd w:id="73"/>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82" w:name="_Toc79163626"/>
      <w:bookmarkStart w:id="83" w:name="_Toc79163876"/>
      <w:bookmarkStart w:id="84" w:name="_Toc15377223"/>
      <w:bookmarkStart w:id="85" w:name="_Toc15377224"/>
      <w:r>
        <w:rPr>
          <w:rFonts w:hint="eastAsia" w:ascii="仿宋" w:hAnsi="仿宋" w:eastAsia="仿宋"/>
          <w:b/>
          <w:color w:val="000000"/>
          <w:sz w:val="32"/>
          <w:szCs w:val="32"/>
        </w:rPr>
        <w:t>（二）政府采购支出情况</w:t>
      </w:r>
      <w:bookmarkEnd w:id="82"/>
      <w:bookmarkEnd w:id="83"/>
      <w:bookmarkEnd w:id="84"/>
    </w:p>
    <w:p>
      <w:pPr>
        <w:widowControl/>
        <w:spacing w:line="576" w:lineRule="exact"/>
        <w:ind w:firstLine="640" w:firstLineChars="200"/>
        <w:jc w:val="left"/>
        <w:rPr>
          <w:rFonts w:ascii="仿宋_GB2312" w:hAnsi="仿宋_GB2312" w:eastAsia="仿宋_GB2312" w:cs="仿宋_GB2312"/>
          <w:sz w:val="32"/>
          <w:szCs w:val="32"/>
        </w:rPr>
      </w:pPr>
      <w:r>
        <w:rPr>
          <w:rFonts w:ascii="仿宋_GB2312" w:eastAsia="仿宋_GB2312"/>
          <w:color w:val="000000"/>
          <w:sz w:val="32"/>
          <w:szCs w:val="32"/>
        </w:rPr>
        <w:t>20</w:t>
      </w:r>
      <w:r>
        <w:rPr>
          <w:rFonts w:hint="eastAsia" w:ascii="仿宋_GB2312" w:eastAsia="仿宋_GB2312"/>
          <w:color w:val="000000"/>
          <w:sz w:val="32"/>
          <w:szCs w:val="32"/>
        </w:rPr>
        <w:t>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四川省阿坝州</w:t>
      </w:r>
      <w:r>
        <w:rPr>
          <w:rFonts w:hint="eastAsia" w:ascii="仿宋_GB2312" w:eastAsia="仿宋_GB2312"/>
          <w:color w:val="000000"/>
          <w:sz w:val="32"/>
          <w:szCs w:val="32"/>
        </w:rPr>
        <w:t>茂县</w:t>
      </w:r>
      <w:r>
        <w:rPr>
          <w:rFonts w:ascii="仿宋_GB2312" w:eastAsia="仿宋_GB2312"/>
          <w:color w:val="000000"/>
          <w:sz w:val="32"/>
          <w:szCs w:val="32"/>
        </w:rPr>
        <w:t>人力资源和社会保障局</w:t>
      </w:r>
      <w:r>
        <w:rPr>
          <w:rFonts w:hint="eastAsia" w:ascii="仿宋_GB2312" w:eastAsia="仿宋_GB2312"/>
          <w:color w:val="000000"/>
          <w:sz w:val="32"/>
          <w:szCs w:val="32"/>
          <w:lang w:val="en-US" w:eastAsia="zh-CN"/>
        </w:rPr>
        <w:t>部门决算</w:t>
      </w:r>
      <w:r>
        <w:rPr>
          <w:rFonts w:hint="eastAsia" w:ascii="仿宋_GB2312" w:eastAsia="仿宋_GB2312"/>
          <w:color w:val="000000"/>
          <w:sz w:val="32"/>
          <w:szCs w:val="32"/>
        </w:rPr>
        <w:t>采购支出</w:t>
      </w:r>
      <w:r>
        <w:rPr>
          <w:rFonts w:hint="eastAsia" w:ascii="仿宋_GB2312" w:eastAsia="仿宋_GB2312"/>
          <w:color w:val="000000"/>
          <w:sz w:val="32"/>
          <w:szCs w:val="32"/>
          <w:lang w:val="en-US" w:eastAsia="zh-CN"/>
        </w:rPr>
        <w:t>26.62万元</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其中：</w:t>
      </w:r>
      <w:r>
        <w:rPr>
          <w:rFonts w:hint="eastAsia" w:ascii="仿宋_GB2312" w:hAnsi="仿宋" w:eastAsia="仿宋_GB2312" w:cs="仿宋"/>
          <w:sz w:val="32"/>
          <w:szCs w:val="32"/>
          <w:lang w:val="en-US" w:eastAsia="zh-CN"/>
        </w:rPr>
        <w:t>实训基地勘察设计采购支出26.62万元，用于</w:t>
      </w:r>
      <w:r>
        <w:rPr>
          <w:rFonts w:hint="eastAsia" w:ascii="仿宋_GB2312" w:hAnsi="仿宋_GB2312" w:eastAsia="仿宋_GB2312" w:cs="仿宋_GB2312"/>
          <w:sz w:val="32"/>
          <w:szCs w:val="32"/>
          <w:lang w:val="en-US" w:eastAsia="zh-CN"/>
        </w:rPr>
        <w:t>实训基地项目前期勘察设计费用支出</w:t>
      </w:r>
      <w:r>
        <w:rPr>
          <w:rFonts w:hint="eastAsia" w:ascii="仿宋_GB2312" w:hAnsi="仿宋_GB2312" w:eastAsia="仿宋_GB2312" w:cs="仿宋_GB2312"/>
          <w:sz w:val="32"/>
          <w:szCs w:val="32"/>
        </w:rPr>
        <w:t>。</w:t>
      </w:r>
    </w:p>
    <w:bookmarkEnd w:id="85"/>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86" w:name="_Toc79163627"/>
      <w:bookmarkStart w:id="87" w:name="_Toc79163877"/>
      <w:r>
        <w:rPr>
          <w:rFonts w:hint="eastAsia" w:ascii="仿宋" w:hAnsi="仿宋" w:eastAsia="仿宋"/>
          <w:b/>
          <w:color w:val="000000"/>
          <w:sz w:val="32"/>
          <w:szCs w:val="32"/>
        </w:rPr>
        <w:t>（三）国有资产占有使用情况</w:t>
      </w:r>
      <w:bookmarkEnd w:id="86"/>
      <w:bookmarkEnd w:id="87"/>
    </w:p>
    <w:p>
      <w:pPr>
        <w:autoSpaceDE w:val="0"/>
        <w:autoSpaceDN w:val="0"/>
        <w:adjustRightInd w:val="0"/>
        <w:spacing w:line="576"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val="en-US" w:eastAsia="zh-CN"/>
        </w:rPr>
        <w:t>四川省阿坝州</w:t>
      </w:r>
      <w:r>
        <w:rPr>
          <w:rFonts w:hint="eastAsia" w:ascii="仿宋_GB2312" w:eastAsia="仿宋_GB2312"/>
          <w:color w:val="000000"/>
          <w:sz w:val="32"/>
          <w:szCs w:val="32"/>
        </w:rPr>
        <w:t>茂县</w:t>
      </w:r>
      <w:r>
        <w:rPr>
          <w:rFonts w:ascii="仿宋_GB2312" w:eastAsia="仿宋_GB2312"/>
          <w:color w:val="000000"/>
          <w:sz w:val="32"/>
          <w:szCs w:val="32"/>
        </w:rPr>
        <w:t>人力资源和社会保障局</w:t>
      </w:r>
      <w:r>
        <w:rPr>
          <w:rFonts w:hint="eastAsia" w:ascii="仿宋_GB2312" w:eastAsia="仿宋_GB2312"/>
          <w:color w:val="000000"/>
          <w:sz w:val="32"/>
          <w:szCs w:val="32"/>
        </w:rPr>
        <w:t>共有车辆2辆，其中：主要领导干部用车0辆、机要通信用车0辆、应急保障用车0辆、其他用车2辆，其他用车主要是用于</w:t>
      </w:r>
      <w:r>
        <w:rPr>
          <w:rFonts w:hint="eastAsia" w:ascii="仿宋_GB2312" w:eastAsia="仿宋_GB2312"/>
          <w:color w:val="000000" w:themeColor="text1"/>
          <w:sz w:val="32"/>
          <w:szCs w:val="32"/>
        </w:rPr>
        <w:t>是单位日常工作</w:t>
      </w:r>
      <w:r>
        <w:rPr>
          <w:rFonts w:hint="eastAsia" w:ascii="仿宋_GB2312" w:eastAsia="仿宋_GB2312"/>
          <w:color w:val="000000" w:themeColor="text1"/>
          <w:sz w:val="32"/>
          <w:szCs w:val="32"/>
          <w:lang w:val="en-US" w:eastAsia="zh-CN"/>
        </w:rPr>
        <w:t>运转</w:t>
      </w:r>
      <w:r>
        <w:rPr>
          <w:rFonts w:hint="eastAsia" w:ascii="仿宋_GB2312" w:eastAsia="仿宋_GB2312"/>
          <w:color w:val="000000" w:themeColor="text1"/>
          <w:sz w:val="32"/>
          <w:szCs w:val="32"/>
        </w:rPr>
        <w:t>。</w:t>
      </w:r>
      <w:r>
        <w:rPr>
          <w:rFonts w:hint="eastAsia" w:ascii="仿宋_GB2312" w:eastAsia="仿宋_GB2312"/>
          <w:color w:val="000000"/>
          <w:sz w:val="32"/>
          <w:szCs w:val="32"/>
        </w:rPr>
        <w:t>单价</w:t>
      </w:r>
      <w:r>
        <w:rPr>
          <w:rFonts w:ascii="仿宋_GB2312" w:eastAsia="仿宋_GB2312"/>
          <w:color w:val="000000"/>
          <w:sz w:val="32"/>
          <w:szCs w:val="32"/>
        </w:rPr>
        <w:t>50</w:t>
      </w:r>
      <w:r>
        <w:rPr>
          <w:rFonts w:hint="eastAsia" w:ascii="仿宋_GB2312" w:eastAsia="仿宋_GB2312"/>
          <w:color w:val="000000"/>
          <w:sz w:val="32"/>
          <w:szCs w:val="32"/>
        </w:rPr>
        <w:t>万元以上通用设备0台（套），单价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万元以上专用设备0台（套）。</w:t>
      </w:r>
    </w:p>
    <w:p>
      <w:pPr>
        <w:numPr>
          <w:ilvl w:val="0"/>
          <w:numId w:val="3"/>
        </w:numPr>
        <w:autoSpaceDE w:val="0"/>
        <w:autoSpaceDN w:val="0"/>
        <w:adjustRightInd w:val="0"/>
        <w:spacing w:line="600" w:lineRule="exact"/>
        <w:ind w:firstLine="643" w:firstLineChars="200"/>
        <w:jc w:val="left"/>
        <w:outlineLvl w:val="2"/>
        <w:rPr>
          <w:rFonts w:hint="eastAsia" w:ascii="仿宋" w:hAnsi="仿宋" w:eastAsia="仿宋"/>
          <w:b/>
          <w:color w:val="000000"/>
          <w:sz w:val="32"/>
          <w:szCs w:val="32"/>
        </w:rPr>
      </w:pPr>
      <w:bookmarkStart w:id="88" w:name="_Toc79163628"/>
      <w:bookmarkStart w:id="89" w:name="_Toc79163878"/>
      <w:r>
        <w:rPr>
          <w:rFonts w:hint="eastAsia" w:ascii="仿宋" w:hAnsi="仿宋" w:eastAsia="仿宋"/>
          <w:b/>
          <w:color w:val="000000"/>
          <w:sz w:val="32"/>
          <w:szCs w:val="32"/>
        </w:rPr>
        <w:t>预算绩效管理情况</w:t>
      </w:r>
      <w:bookmarkEnd w:id="88"/>
      <w:bookmarkEnd w:id="89"/>
    </w:p>
    <w:p>
      <w:pPr>
        <w:spacing w:line="580" w:lineRule="exact"/>
        <w:ind w:firstLine="640"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根据预算绩效管理要求，本部门在</w:t>
      </w:r>
      <w:r>
        <w:rPr>
          <w:rFonts w:hint="eastAsia" w:ascii="仿宋_GB2312" w:hAnsi="仿宋_GB2312" w:eastAsia="仿宋_GB2312" w:cs="仿宋_GB2312"/>
          <w:color w:val="auto"/>
          <w:sz w:val="32"/>
          <w:szCs w:val="32"/>
          <w:highlight w:val="none"/>
          <w:lang w:val="en-US" w:eastAsia="zh-CN"/>
        </w:rPr>
        <w:t>2023年度</w:t>
      </w:r>
      <w:r>
        <w:rPr>
          <w:rFonts w:hint="eastAsia" w:ascii="仿宋_GB2312" w:hAnsi="仿宋_GB2312" w:eastAsia="仿宋_GB2312" w:cs="仿宋_GB2312"/>
          <w:color w:val="auto"/>
          <w:sz w:val="32"/>
          <w:szCs w:val="32"/>
          <w:highlight w:val="none"/>
        </w:rPr>
        <w:t>预算编制阶段，对</w:t>
      </w:r>
      <w:r>
        <w:rPr>
          <w:rFonts w:hint="eastAsia" w:ascii="仿宋_GB2312" w:hAnsi="仿宋" w:eastAsia="仿宋_GB2312" w:cs="仿宋"/>
          <w:sz w:val="32"/>
          <w:szCs w:val="32"/>
        </w:rPr>
        <w:t>人社局“</w:t>
      </w:r>
      <w:r>
        <w:rPr>
          <w:rFonts w:hint="eastAsia" w:ascii="仿宋_GB2312" w:hAnsi="仿宋" w:eastAsia="仿宋_GB2312" w:cs="仿宋"/>
          <w:sz w:val="32"/>
          <w:szCs w:val="32"/>
          <w:lang w:val="en-US" w:eastAsia="zh-CN"/>
        </w:rPr>
        <w:t>实训基地建设项目</w:t>
      </w:r>
      <w:r>
        <w:rPr>
          <w:rFonts w:hint="eastAsia" w:ascii="仿宋_GB2312" w:hAnsi="仿宋" w:eastAsia="仿宋_GB2312" w:cs="仿宋"/>
          <w:sz w:val="32"/>
          <w:szCs w:val="32"/>
        </w:rPr>
        <w:t>”“</w:t>
      </w:r>
      <w:r>
        <w:rPr>
          <w:rFonts w:hint="eastAsia" w:ascii="仿宋_GB2312" w:hAnsi="仿宋" w:eastAsia="仿宋_GB2312" w:cs="仿宋"/>
          <w:sz w:val="32"/>
          <w:szCs w:val="32"/>
          <w:lang w:val="en-US" w:eastAsia="zh-CN"/>
        </w:rPr>
        <w:t>社保公共能力建设项目</w:t>
      </w:r>
      <w:r>
        <w:rPr>
          <w:rFonts w:hint="eastAsia" w:ascii="仿宋_GB2312" w:hAnsi="仿宋" w:eastAsia="仿宋_GB2312" w:cs="仿宋"/>
          <w:sz w:val="32"/>
          <w:szCs w:val="32"/>
        </w:rPr>
        <w:t>”</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lang w:val="en-US" w:eastAsia="zh-CN"/>
        </w:rPr>
        <w:t>东西部劳务协作对口联络站建设</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等</w:t>
      </w:r>
      <w:r>
        <w:rPr>
          <w:rFonts w:hint="eastAsia" w:ascii="仿宋_GB2312" w:hAnsi="仿宋" w:eastAsia="仿宋_GB2312" w:cs="仿宋"/>
          <w:sz w:val="32"/>
          <w:szCs w:val="32"/>
          <w:lang w:val="en-US" w:eastAsia="zh-CN"/>
        </w:rPr>
        <w:t>3</w:t>
      </w:r>
      <w:r>
        <w:rPr>
          <w:rFonts w:hint="eastAsia" w:ascii="仿宋_GB2312" w:hAnsi="仿宋" w:eastAsia="仿宋_GB2312" w:cs="仿宋"/>
          <w:sz w:val="32"/>
          <w:szCs w:val="32"/>
        </w:rPr>
        <w:t>个</w:t>
      </w:r>
      <w:r>
        <w:rPr>
          <w:rFonts w:hint="eastAsia" w:ascii="仿宋_GB2312" w:hAnsi="仿宋_GB2312" w:eastAsia="仿宋_GB2312" w:cs="仿宋_GB2312"/>
          <w:sz w:val="32"/>
          <w:szCs w:val="32"/>
        </w:rPr>
        <w:t>项目开展了预算事前绩效评估，对</w:t>
      </w:r>
      <w:r>
        <w:rPr>
          <w:rFonts w:hint="eastAsia" w:ascii="仿宋_GB2312" w:hAnsi="仿宋_GB2312" w:eastAsia="仿宋_GB2312" w:cs="仿宋_GB2312"/>
          <w:sz w:val="32"/>
          <w:szCs w:val="32"/>
          <w:lang w:val="en-US" w:eastAsia="zh-CN"/>
        </w:rPr>
        <w:t>3个</w:t>
      </w:r>
      <w:r>
        <w:rPr>
          <w:rFonts w:hint="eastAsia" w:ascii="仿宋_GB2312" w:hAnsi="仿宋_GB2312" w:eastAsia="仿宋_GB2312" w:cs="仿宋_GB2312"/>
          <w:sz w:val="32"/>
          <w:szCs w:val="32"/>
        </w:rPr>
        <w:t>项目编制了绩效目标，预算执行过程中，</w:t>
      </w:r>
      <w:r>
        <w:rPr>
          <w:rFonts w:hint="eastAsia" w:ascii="仿宋_GB2312" w:hAnsi="仿宋_GB2312" w:eastAsia="仿宋_GB2312" w:cs="仿宋_GB2312"/>
          <w:sz w:val="32"/>
          <w:szCs w:val="32"/>
          <w:lang w:val="en-US" w:eastAsia="zh-CN"/>
        </w:rPr>
        <w:t>对3个</w:t>
      </w:r>
      <w:r>
        <w:rPr>
          <w:rFonts w:hint="eastAsia" w:ascii="仿宋_GB2312" w:hAnsi="仿宋_GB2312" w:eastAsia="仿宋_GB2312" w:cs="仿宋_GB2312"/>
          <w:sz w:val="32"/>
          <w:szCs w:val="32"/>
        </w:rPr>
        <w:t>项目开展绩效监控，年终执行完毕后，对项目开展了绩效目标完成情况自评</w:t>
      </w:r>
      <w:r>
        <w:rPr>
          <w:rFonts w:hint="eastAsia" w:ascii="仿宋_GB2312" w:hAnsi="仿宋_GB2312" w:eastAsia="仿宋_GB2312" w:cs="仿宋_GB2312"/>
          <w:color w:val="auto"/>
          <w:sz w:val="32"/>
          <w:szCs w:val="32"/>
          <w:highlight w:val="none"/>
          <w:lang w:eastAsia="zh-CN"/>
        </w:rPr>
        <w:t>。</w:t>
      </w:r>
    </w:p>
    <w:p>
      <w:pPr>
        <w:spacing w:line="576" w:lineRule="exact"/>
        <w:ind w:firstLine="640" w:firstLineChars="200"/>
      </w:pPr>
      <w:r>
        <w:rPr>
          <w:rFonts w:hint="eastAsia" w:ascii="仿宋_GB2312" w:hAnsi="仿宋_GB2312" w:eastAsia="仿宋_GB2312" w:cs="仿宋_GB2312"/>
          <w:color w:val="auto"/>
          <w:sz w:val="32"/>
          <w:szCs w:val="32"/>
          <w:highlight w:val="none"/>
          <w:lang w:eastAsia="zh-CN"/>
        </w:rPr>
        <w:t>组织</w:t>
      </w:r>
      <w:r>
        <w:rPr>
          <w:rFonts w:hint="eastAsia" w:ascii="仿宋_GB2312" w:hAnsi="仿宋_GB2312" w:eastAsia="仿宋_GB2312" w:cs="仿宋_GB2312"/>
          <w:color w:val="auto"/>
          <w:sz w:val="32"/>
          <w:szCs w:val="32"/>
          <w:highlight w:val="none"/>
        </w:rPr>
        <w:t>对</w:t>
      </w:r>
      <w:r>
        <w:rPr>
          <w:rFonts w:hint="eastAsia" w:ascii="仿宋_GB2312" w:hAnsi="仿宋_GB2312" w:eastAsia="仿宋_GB2312" w:cs="仿宋_GB2312"/>
          <w:color w:val="auto"/>
          <w:sz w:val="32"/>
          <w:szCs w:val="32"/>
          <w:highlight w:val="none"/>
          <w:lang w:val="en-US" w:eastAsia="zh-CN"/>
        </w:rPr>
        <w:t>2023年度一般公共预算、</w:t>
      </w:r>
      <w:r>
        <w:rPr>
          <w:rFonts w:hint="eastAsia" w:ascii="仿宋_GB2312" w:hAnsi="仿宋_GB2312" w:eastAsia="仿宋_GB2312" w:cs="仿宋_GB2312"/>
          <w:color w:val="auto"/>
          <w:sz w:val="32"/>
          <w:szCs w:val="32"/>
          <w:highlight w:val="none"/>
          <w:lang w:eastAsia="zh-CN"/>
        </w:rPr>
        <w:t>政府性基金预算、国有资本经营预算、社会保险基金预算以及资本资产、债券资金等</w:t>
      </w:r>
      <w:r>
        <w:rPr>
          <w:rFonts w:hint="eastAsia" w:ascii="仿宋_GB2312" w:hAnsi="仿宋_GB2312" w:eastAsia="仿宋_GB2312" w:cs="仿宋_GB2312"/>
          <w:color w:val="auto"/>
          <w:sz w:val="32"/>
          <w:szCs w:val="32"/>
          <w:highlight w:val="none"/>
          <w:lang w:val="en-US" w:eastAsia="zh-CN"/>
        </w:rPr>
        <w:t>全面开展绩效自评，形成茂县人力资源和社会保障局</w:t>
      </w:r>
      <w:r>
        <w:rPr>
          <w:rFonts w:hint="eastAsia" w:ascii="仿宋_GB2312" w:hAnsi="仿宋_GB2312" w:eastAsia="仿宋_GB2312" w:cs="仿宋_GB2312"/>
          <w:color w:val="auto"/>
          <w:sz w:val="32"/>
          <w:szCs w:val="32"/>
          <w:highlight w:val="none"/>
          <w:lang w:eastAsia="zh-CN"/>
        </w:rPr>
        <w:t>部门整体（含部门预算项目）</w:t>
      </w:r>
      <w:r>
        <w:rPr>
          <w:rFonts w:hint="eastAsia" w:ascii="仿宋_GB2312" w:hAnsi="仿宋_GB2312" w:eastAsia="仿宋_GB2312" w:cs="仿宋_GB2312"/>
          <w:color w:val="auto"/>
          <w:sz w:val="32"/>
          <w:szCs w:val="32"/>
          <w:highlight w:val="none"/>
          <w:lang w:val="en-US" w:eastAsia="zh-CN"/>
        </w:rPr>
        <w:t>绩效自评报告</w:t>
      </w:r>
      <w:r>
        <w:rPr>
          <w:rFonts w:hint="eastAsia" w:ascii="仿宋_GB2312" w:hAnsi="仿宋_GB2312" w:eastAsia="仿宋_GB2312" w:cs="仿宋_GB2312"/>
          <w:color w:val="auto"/>
          <w:sz w:val="32"/>
          <w:szCs w:val="32"/>
          <w:highlight w:val="none"/>
          <w:lang w:eastAsia="zh-CN"/>
        </w:rPr>
        <w:t>、</w:t>
      </w:r>
      <w:r>
        <w:rPr>
          <w:rFonts w:hint="eastAsia" w:ascii="仿宋_GB2312" w:hAnsi="仿宋" w:eastAsia="仿宋_GB2312" w:cs="仿宋"/>
          <w:sz w:val="32"/>
          <w:szCs w:val="32"/>
        </w:rPr>
        <w:t>“</w:t>
      </w:r>
      <w:r>
        <w:rPr>
          <w:rFonts w:hint="eastAsia" w:ascii="仿宋_GB2312" w:hAnsi="仿宋" w:eastAsia="仿宋_GB2312" w:cs="仿宋"/>
          <w:sz w:val="32"/>
          <w:szCs w:val="32"/>
          <w:lang w:val="en-US" w:eastAsia="zh-CN"/>
        </w:rPr>
        <w:t>实训基地建设项目</w:t>
      </w:r>
      <w:r>
        <w:rPr>
          <w:rFonts w:hint="eastAsia" w:ascii="仿宋_GB2312" w:hAnsi="仿宋" w:eastAsia="仿宋_GB2312" w:cs="仿宋"/>
          <w:sz w:val="32"/>
          <w:szCs w:val="32"/>
        </w:rPr>
        <w:t>”“</w:t>
      </w:r>
      <w:r>
        <w:rPr>
          <w:rFonts w:hint="eastAsia" w:ascii="仿宋_GB2312" w:hAnsi="仿宋" w:eastAsia="仿宋_GB2312" w:cs="仿宋"/>
          <w:sz w:val="32"/>
          <w:szCs w:val="32"/>
          <w:lang w:val="en-US" w:eastAsia="zh-CN"/>
        </w:rPr>
        <w:t>社保公共能力建设项目</w:t>
      </w:r>
      <w:r>
        <w:rPr>
          <w:rFonts w:hint="eastAsia" w:ascii="仿宋_GB2312" w:hAnsi="仿宋" w:eastAsia="仿宋_GB2312" w:cs="仿宋"/>
          <w:sz w:val="32"/>
          <w:szCs w:val="32"/>
        </w:rPr>
        <w:t>”</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lang w:val="en-US" w:eastAsia="zh-CN"/>
        </w:rPr>
        <w:t>东西部劳务协作对口联络站建设</w:t>
      </w:r>
      <w:r>
        <w:rPr>
          <w:rFonts w:hint="eastAsia" w:ascii="仿宋_GB2312" w:hAnsi="仿宋" w:eastAsia="仿宋_GB2312" w:cs="仿宋"/>
          <w:sz w:val="32"/>
          <w:szCs w:val="32"/>
          <w:lang w:eastAsia="zh-CN"/>
        </w:rPr>
        <w:t>”</w:t>
      </w:r>
      <w:r>
        <w:rPr>
          <w:rFonts w:hint="eastAsia" w:ascii="仿宋_GB2312" w:hAnsi="仿宋_GB2312" w:eastAsia="仿宋_GB2312" w:cs="仿宋_GB2312"/>
          <w:color w:val="auto"/>
          <w:sz w:val="32"/>
          <w:szCs w:val="32"/>
          <w:highlight w:val="none"/>
          <w:lang w:val="en-US" w:eastAsia="zh-CN"/>
        </w:rPr>
        <w:t>等</w:t>
      </w:r>
      <w:r>
        <w:rPr>
          <w:rFonts w:hint="eastAsia" w:ascii="仿宋_GB2312" w:hAnsi="仿宋_GB2312" w:eastAsia="仿宋_GB2312" w:cs="仿宋_GB2312"/>
          <w:color w:val="auto"/>
          <w:sz w:val="32"/>
          <w:szCs w:val="32"/>
          <w:highlight w:val="none"/>
          <w:lang w:eastAsia="zh-CN"/>
        </w:rPr>
        <w:t>专项预算项目</w:t>
      </w:r>
      <w:r>
        <w:rPr>
          <w:rFonts w:hint="eastAsia" w:ascii="仿宋_GB2312" w:hAnsi="仿宋_GB2312" w:eastAsia="仿宋_GB2312" w:cs="仿宋_GB2312"/>
          <w:color w:val="auto"/>
          <w:sz w:val="32"/>
          <w:szCs w:val="32"/>
          <w:highlight w:val="none"/>
          <w:lang w:val="en-US" w:eastAsia="zh-CN"/>
        </w:rPr>
        <w:t>绩效自评报告，其中，茂县人力资源和社会保障局部门整体</w:t>
      </w:r>
      <w:r>
        <w:rPr>
          <w:rFonts w:hint="eastAsia" w:ascii="仿宋_GB2312" w:hAnsi="仿宋_GB2312" w:eastAsia="仿宋_GB2312" w:cs="仿宋_GB2312"/>
          <w:color w:val="auto"/>
          <w:sz w:val="32"/>
          <w:szCs w:val="32"/>
          <w:highlight w:val="none"/>
          <w:lang w:eastAsia="zh-CN"/>
        </w:rPr>
        <w:t>（含部门预算项目）</w:t>
      </w:r>
      <w:r>
        <w:rPr>
          <w:rFonts w:hint="eastAsia" w:ascii="仿宋_GB2312" w:hAnsi="仿宋_GB2312" w:eastAsia="仿宋_GB2312" w:cs="仿宋_GB2312"/>
          <w:color w:val="auto"/>
          <w:sz w:val="32"/>
          <w:szCs w:val="32"/>
          <w:highlight w:val="none"/>
          <w:lang w:val="en-US" w:eastAsia="zh-CN"/>
        </w:rPr>
        <w:t>绩效自评得分为95分，绩效自评综述：</w:t>
      </w:r>
      <w:r>
        <w:rPr>
          <w:rFonts w:hint="eastAsia" w:ascii="仿宋_GB2312" w:hAnsi="仿宋_GB2312" w:eastAsia="仿宋_GB2312" w:cs="仿宋_GB2312"/>
          <w:sz w:val="32"/>
          <w:szCs w:val="32"/>
        </w:rPr>
        <w:t>从评价情况来看从评价情况来看从评价情况来看</w:t>
      </w:r>
      <w:r>
        <w:rPr>
          <w:rFonts w:hint="eastAsia" w:ascii="仿宋_GB2312" w:hAnsi="仿宋" w:eastAsia="仿宋_GB2312" w:cs="仿宋"/>
          <w:sz w:val="32"/>
          <w:szCs w:val="32"/>
        </w:rPr>
        <w:t>我局部门整体支出绩效评价自查自评结果良好，全年基本支出保证了部门的正常运行和日常工作的正常开展，绩效指标体系逐渐丰富和完善。按照规定向社会公开透明本年度单位部门经费及三公经费的使用情况</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 w:eastAsia="仿宋_GB2312" w:cs="仿宋"/>
          <w:sz w:val="32"/>
          <w:szCs w:val="32"/>
        </w:rPr>
        <w:t>“</w:t>
      </w:r>
      <w:r>
        <w:rPr>
          <w:rFonts w:hint="eastAsia" w:ascii="仿宋_GB2312" w:hAnsi="仿宋" w:eastAsia="仿宋_GB2312" w:cs="仿宋"/>
          <w:sz w:val="32"/>
          <w:szCs w:val="32"/>
          <w:lang w:val="en-US" w:eastAsia="zh-CN"/>
        </w:rPr>
        <w:t>实训基地建设项目</w:t>
      </w:r>
      <w:r>
        <w:rPr>
          <w:rFonts w:hint="eastAsia" w:ascii="仿宋_GB2312" w:hAnsi="仿宋" w:eastAsia="仿宋_GB2312" w:cs="仿宋"/>
          <w:sz w:val="32"/>
          <w:szCs w:val="32"/>
        </w:rPr>
        <w:t>”“</w:t>
      </w:r>
      <w:r>
        <w:rPr>
          <w:rFonts w:hint="eastAsia" w:ascii="仿宋_GB2312" w:hAnsi="仿宋" w:eastAsia="仿宋_GB2312" w:cs="仿宋"/>
          <w:sz w:val="32"/>
          <w:szCs w:val="32"/>
          <w:lang w:val="en-US" w:eastAsia="zh-CN"/>
        </w:rPr>
        <w:t>社保公共能力建设项目</w:t>
      </w:r>
      <w:r>
        <w:rPr>
          <w:rFonts w:hint="eastAsia" w:ascii="仿宋_GB2312" w:hAnsi="仿宋" w:eastAsia="仿宋_GB2312" w:cs="仿宋"/>
          <w:sz w:val="32"/>
          <w:szCs w:val="32"/>
        </w:rPr>
        <w:t>”</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lang w:val="en-US" w:eastAsia="zh-CN"/>
        </w:rPr>
        <w:t>东西部劳务协作对口联络站建设</w:t>
      </w:r>
      <w:r>
        <w:rPr>
          <w:rFonts w:hint="eastAsia" w:ascii="仿宋_GB2312" w:hAnsi="仿宋" w:eastAsia="仿宋_GB2312" w:cs="仿宋"/>
          <w:sz w:val="32"/>
          <w:szCs w:val="32"/>
          <w:lang w:eastAsia="zh-CN"/>
        </w:rPr>
        <w:t>”</w:t>
      </w:r>
      <w:r>
        <w:rPr>
          <w:rFonts w:hint="eastAsia" w:ascii="仿宋_GB2312" w:hAnsi="仿宋_GB2312" w:eastAsia="仿宋_GB2312" w:cs="仿宋_GB2312"/>
          <w:color w:val="auto"/>
          <w:sz w:val="32"/>
          <w:szCs w:val="32"/>
          <w:highlight w:val="none"/>
          <w:lang w:eastAsia="zh-CN"/>
        </w:rPr>
        <w:t>专项预</w:t>
      </w:r>
      <w:r>
        <w:rPr>
          <w:rFonts w:hint="eastAsia" w:ascii="仿宋_GB2312" w:hAnsi="仿宋_GB2312" w:eastAsia="仿宋_GB2312" w:cs="仿宋_GB2312"/>
          <w:color w:val="auto"/>
          <w:sz w:val="32"/>
          <w:szCs w:val="32"/>
          <w:highlight w:val="none"/>
          <w:lang w:val="en-US" w:eastAsia="zh-CN"/>
        </w:rPr>
        <w:t>算项目绩效自评得分均为97分，绩效自评综述：</w:t>
      </w:r>
      <w:r>
        <w:rPr>
          <w:rFonts w:ascii="仿宋" w:hAnsi="仿宋" w:eastAsia="仿宋" w:cs="仿宋_GB2312"/>
          <w:sz w:val="32"/>
          <w:szCs w:val="32"/>
        </w:rPr>
        <w:t>在财政补助资金使用和管理过程中严格贯彻落实专项资金专款专用的使用要求，</w:t>
      </w:r>
      <w:r>
        <w:rPr>
          <w:rFonts w:hint="eastAsia" w:ascii="仿宋" w:hAnsi="仿宋" w:eastAsia="仿宋"/>
          <w:color w:val="333333"/>
          <w:sz w:val="32"/>
          <w:szCs w:val="32"/>
          <w:shd w:val="clear" w:color="auto" w:fill="FFFFFF"/>
        </w:rPr>
        <w:t>资金</w:t>
      </w:r>
      <w:r>
        <w:rPr>
          <w:rFonts w:hint="eastAsia" w:ascii="仿宋" w:hAnsi="仿宋" w:eastAsia="仿宋"/>
          <w:color w:val="000000"/>
          <w:sz w:val="32"/>
          <w:szCs w:val="32"/>
          <w:shd w:val="clear" w:color="auto" w:fill="FFFFFF"/>
        </w:rPr>
        <w:t>收入、支出管理均严格按照相关要求进行，</w:t>
      </w:r>
      <w:r>
        <w:rPr>
          <w:rFonts w:ascii="仿宋" w:hAnsi="仿宋" w:eastAsia="仿宋" w:cs="仿宋_GB2312"/>
          <w:sz w:val="32"/>
          <w:szCs w:val="32"/>
        </w:rPr>
        <w:t>不存在截留、挤占、挪用及扩大标准及范围发放养老金的情况。</w:t>
      </w:r>
      <w:r>
        <w:rPr>
          <w:rFonts w:hint="eastAsia" w:ascii="仿宋" w:hAnsi="仿宋" w:eastAsia="仿宋" w:cs="仿宋_GB2312"/>
          <w:sz w:val="32"/>
          <w:szCs w:val="32"/>
        </w:rPr>
        <w:t>该项目的及时、完整实施，达到了对应的绩效目标，使</w:t>
      </w:r>
      <w:r>
        <w:rPr>
          <w:rFonts w:hint="eastAsia" w:ascii="仿宋" w:hAnsi="仿宋" w:eastAsia="仿宋" w:cs="仿宋_GB2312"/>
          <w:sz w:val="32"/>
          <w:szCs w:val="32"/>
          <w:lang w:val="en-US" w:eastAsia="zh-CN"/>
        </w:rPr>
        <w:t>社</w:t>
      </w:r>
      <w:r>
        <w:rPr>
          <w:rFonts w:hint="eastAsia" w:ascii="仿宋" w:hAnsi="仿宋" w:eastAsia="仿宋" w:cs="仿宋_GB2312"/>
          <w:sz w:val="32"/>
          <w:szCs w:val="32"/>
        </w:rPr>
        <w:t>保体系更加健全，基金安全平稳运行，经办服务高效快捷，提高了人民群众对</w:t>
      </w:r>
      <w:r>
        <w:rPr>
          <w:rFonts w:hint="eastAsia" w:ascii="仿宋" w:hAnsi="仿宋" w:eastAsia="仿宋" w:cs="仿宋_GB2312"/>
          <w:sz w:val="32"/>
          <w:szCs w:val="32"/>
          <w:lang w:val="en-US" w:eastAsia="zh-CN"/>
        </w:rPr>
        <w:t>社保</w:t>
      </w:r>
      <w:r>
        <w:rPr>
          <w:rFonts w:hint="eastAsia" w:ascii="仿宋" w:hAnsi="仿宋" w:eastAsia="仿宋" w:cs="仿宋_GB2312"/>
          <w:sz w:val="32"/>
          <w:szCs w:val="32"/>
        </w:rPr>
        <w:t>工作的满意度</w:t>
      </w:r>
      <w:r>
        <w:rPr>
          <w:rFonts w:hint="eastAsia" w:ascii="仿宋" w:hAnsi="仿宋" w:eastAsia="仿宋" w:cs="仿宋_GB2312"/>
          <w:sz w:val="32"/>
          <w:szCs w:val="32"/>
          <w:lang w:eastAsia="zh-CN"/>
        </w:rPr>
        <w:t>。</w:t>
      </w:r>
    </w:p>
    <w:p>
      <w:pPr>
        <w:spacing w:line="580" w:lineRule="exact"/>
        <w:ind w:firstLine="640" w:firstLineChars="200"/>
        <w:rPr>
          <w:rFonts w:ascii="楷体_GB2312" w:hAnsi="楷体_GB2312" w:eastAsia="楷体_GB2312" w:cs="楷体_GB2312"/>
          <w:sz w:val="32"/>
          <w:szCs w:val="32"/>
        </w:rPr>
      </w:pPr>
      <w:r>
        <w:rPr>
          <w:rFonts w:ascii="楷体_GB2312" w:hAnsi="楷体_GB2312" w:eastAsia="楷体_GB2312" w:cs="楷体_GB2312"/>
          <w:sz w:val="32"/>
          <w:szCs w:val="32"/>
        </w:rPr>
        <w:t>1.</w:t>
      </w:r>
      <w:r>
        <w:rPr>
          <w:rFonts w:hint="eastAsia" w:ascii="楷体_GB2312" w:hAnsi="楷体_GB2312" w:eastAsia="楷体_GB2312" w:cs="楷体_GB2312"/>
          <w:sz w:val="32"/>
          <w:szCs w:val="32"/>
        </w:rPr>
        <w:t>项目绩效目标完成情况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本部门在</w:t>
      </w:r>
      <w:r>
        <w:rPr>
          <w:rFonts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年度部门决算中反映</w:t>
      </w:r>
      <w:r>
        <w:rPr>
          <w:rFonts w:hint="eastAsia" w:ascii="仿宋_GB2312" w:hAnsi="仿宋" w:eastAsia="仿宋_GB2312" w:cs="仿宋"/>
          <w:sz w:val="32"/>
          <w:szCs w:val="32"/>
        </w:rPr>
        <w:t>“</w:t>
      </w:r>
      <w:r>
        <w:rPr>
          <w:rFonts w:hint="eastAsia" w:ascii="仿宋_GB2312" w:hAnsi="仿宋" w:eastAsia="仿宋_GB2312" w:cs="仿宋"/>
          <w:sz w:val="32"/>
          <w:szCs w:val="32"/>
          <w:lang w:val="en-US" w:eastAsia="zh-CN"/>
        </w:rPr>
        <w:t>实训基地建设项目</w:t>
      </w:r>
      <w:r>
        <w:rPr>
          <w:rFonts w:hint="eastAsia" w:ascii="仿宋_GB2312" w:hAnsi="仿宋" w:eastAsia="仿宋_GB2312" w:cs="仿宋"/>
          <w:sz w:val="32"/>
          <w:szCs w:val="32"/>
        </w:rPr>
        <w:t>”“</w:t>
      </w:r>
      <w:r>
        <w:rPr>
          <w:rFonts w:hint="eastAsia" w:ascii="仿宋_GB2312" w:hAnsi="仿宋" w:eastAsia="仿宋_GB2312" w:cs="仿宋"/>
          <w:sz w:val="32"/>
          <w:szCs w:val="32"/>
          <w:lang w:val="en-US" w:eastAsia="zh-CN"/>
        </w:rPr>
        <w:t>社保公共能力建设项目</w:t>
      </w:r>
      <w:r>
        <w:rPr>
          <w:rFonts w:hint="eastAsia" w:ascii="仿宋_GB2312" w:hAnsi="仿宋" w:eastAsia="仿宋_GB2312" w:cs="仿宋"/>
          <w:sz w:val="32"/>
          <w:szCs w:val="32"/>
        </w:rPr>
        <w:t>”</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lang w:val="en-US" w:eastAsia="zh-CN"/>
        </w:rPr>
        <w:t>东西部劳务协作对口联络站建设</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lang w:val="en-US" w:eastAsia="zh-CN"/>
        </w:rPr>
        <w:t>3</w:t>
      </w:r>
      <w:r>
        <w:rPr>
          <w:rFonts w:hint="eastAsia" w:ascii="仿宋_GB2312" w:hAnsi="仿宋_GB2312" w:eastAsia="仿宋_GB2312" w:cs="仿宋_GB2312"/>
          <w:sz w:val="32"/>
          <w:szCs w:val="32"/>
        </w:rPr>
        <w:t>个项目绩效目标实际完成情况。</w:t>
      </w:r>
    </w:p>
    <w:p>
      <w:pPr>
        <w:adjustRightInd w:val="0"/>
        <w:snapToGrid w:val="0"/>
        <w:spacing w:line="578" w:lineRule="exact"/>
        <w:ind w:firstLine="640" w:firstLineChars="200"/>
        <w:rPr>
          <w:rFonts w:hint="eastAsia" w:ascii="仿宋_GB2312" w:hAnsi="仿宋_GB2312" w:eastAsia="仿宋_GB2312" w:cs="仿宋_GB2312"/>
          <w:color w:val="auto"/>
          <w:sz w:val="32"/>
          <w:szCs w:val="32"/>
          <w:lang w:val="zh-CN" w:eastAsia="zh-CN"/>
        </w:rPr>
      </w:pPr>
      <w:r>
        <w:rPr>
          <w:rFonts w:hint="eastAsia" w:ascii="仿宋_GB2312" w:hAnsi="仿宋" w:eastAsia="仿宋_GB2312" w:cs="仿宋"/>
          <w:sz w:val="32"/>
          <w:szCs w:val="32"/>
          <w:lang w:val="en-US" w:eastAsia="zh-CN"/>
        </w:rPr>
        <w:t>（1）实训基地建设项目</w:t>
      </w:r>
      <w:r>
        <w:rPr>
          <w:rFonts w:hint="eastAsia" w:ascii="仿宋_GB2312" w:hAnsi="仿宋_GB2312" w:eastAsia="仿宋_GB2312" w:cs="仿宋_GB2312"/>
          <w:sz w:val="32"/>
          <w:szCs w:val="32"/>
        </w:rPr>
        <w:t>绩效目标完成情况综述。项目全年预算数</w:t>
      </w:r>
      <w:r>
        <w:rPr>
          <w:rFonts w:hint="eastAsia" w:ascii="仿宋_GB2312" w:hAnsi="仿宋_GB2312" w:cs="仿宋_GB2312"/>
          <w:color w:val="auto"/>
          <w:sz w:val="32"/>
          <w:szCs w:val="32"/>
          <w:lang w:val="en-US" w:eastAsia="zh-CN"/>
        </w:rPr>
        <w:t>26.62</w:t>
      </w:r>
      <w:r>
        <w:rPr>
          <w:rFonts w:hint="eastAsia" w:ascii="仿宋_GB2312" w:hAnsi="仿宋_GB2312" w:eastAsia="仿宋_GB2312" w:cs="仿宋_GB2312"/>
          <w:sz w:val="32"/>
          <w:szCs w:val="32"/>
        </w:rPr>
        <w:t>万元，执行数为</w:t>
      </w:r>
      <w:r>
        <w:rPr>
          <w:rFonts w:hint="eastAsia" w:ascii="仿宋_GB2312" w:hAnsi="仿宋_GB2312" w:cs="仿宋_GB2312"/>
          <w:color w:val="auto"/>
          <w:sz w:val="32"/>
          <w:szCs w:val="32"/>
          <w:lang w:val="en-US" w:eastAsia="zh-CN"/>
        </w:rPr>
        <w:t>26.62</w:t>
      </w:r>
      <w:r>
        <w:rPr>
          <w:rFonts w:hint="eastAsia" w:ascii="仿宋_GB2312" w:cs="Times New Roman"/>
          <w:kern w:val="2"/>
          <w:sz w:val="32"/>
          <w:szCs w:val="32"/>
          <w:lang w:val="en-US" w:eastAsia="zh-CN"/>
        </w:rPr>
        <w:t>万元</w:t>
      </w:r>
      <w:r>
        <w:rPr>
          <w:rFonts w:hint="eastAsia" w:ascii="仿宋_GB2312" w:hAnsi="仿宋_GB2312" w:eastAsia="仿宋_GB2312" w:cs="仿宋_GB2312"/>
          <w:sz w:val="32"/>
          <w:szCs w:val="32"/>
        </w:rPr>
        <w:t>，完成预算的100%。通过项目实施，完成</w:t>
      </w:r>
      <w:r>
        <w:rPr>
          <w:rFonts w:hint="eastAsia" w:ascii="仿宋_GB2312" w:hAnsi="仿宋_GB2312" w:eastAsia="仿宋_GB2312" w:cs="仿宋_GB2312"/>
          <w:color w:val="auto"/>
          <w:kern w:val="2"/>
          <w:sz w:val="32"/>
          <w:szCs w:val="32"/>
          <w:lang w:val="en-US" w:eastAsia="zh-CN" w:bidi="ar-SA"/>
        </w:rPr>
        <w:t>新建实训基地3083平方米，设施设备采购，配套附属设施等。</w:t>
      </w:r>
      <w:r>
        <w:rPr>
          <w:rFonts w:hint="eastAsia" w:ascii="仿宋_GB2312" w:hAnsi="仿宋_GB2312" w:eastAsia="仿宋_GB2312" w:cs="仿宋_GB2312"/>
          <w:color w:val="auto"/>
          <w:sz w:val="32"/>
          <w:szCs w:val="32"/>
          <w:lang w:val="en-US" w:eastAsia="zh-CN"/>
        </w:rPr>
        <w:t>主要包括美容美发、中式烹调、乡村旅游、羌绣、服装定制、家政服务、创业培训、电工焊工、果树园林、家禽养殖、计算机操作、汽车修理、驾驶等培训服务项目。本项目全面助推茂县乡村振兴就业促进工作</w:t>
      </w:r>
      <w:r>
        <w:rPr>
          <w:rFonts w:hint="default" w:ascii="仿宋_GB2312" w:hAnsi="仿宋_GB2312" w:eastAsia="仿宋_GB2312" w:cs="仿宋_GB2312"/>
          <w:color w:val="auto"/>
          <w:sz w:val="32"/>
          <w:szCs w:val="32"/>
          <w:lang w:val="en-US" w:eastAsia="zh-CN"/>
        </w:rPr>
        <w:t>。</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atLeast"/>
        <w:ind w:right="0" w:firstLine="640" w:firstLineChars="200"/>
        <w:jc w:val="both"/>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w:t>
      </w:r>
      <w:r>
        <w:rPr>
          <w:rFonts w:hint="eastAsia" w:ascii="仿宋_GB2312" w:hAnsi="仿宋" w:eastAsia="仿宋_GB2312" w:cs="仿宋"/>
          <w:sz w:val="32"/>
          <w:szCs w:val="32"/>
          <w:lang w:val="en-US" w:eastAsia="zh-CN"/>
        </w:rPr>
        <w:t>社保公共能力建设</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6.42</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6.42</w:t>
      </w:r>
      <w:r>
        <w:rPr>
          <w:rFonts w:hint="eastAsia" w:ascii="仿宋_GB2312" w:hAnsi="仿宋_GB2312" w:eastAsia="仿宋_GB2312" w:cs="仿宋_GB2312"/>
          <w:sz w:val="32"/>
          <w:szCs w:val="32"/>
        </w:rPr>
        <w:t>万元，完成预算的100%。通过项目实施，完成</w:t>
      </w:r>
      <w:r>
        <w:rPr>
          <w:rFonts w:hint="eastAsia" w:ascii="仿宋_GB2312" w:hAnsi="仿宋_GB2312" w:eastAsia="仿宋_GB2312" w:cs="仿宋_GB2312"/>
          <w:kern w:val="2"/>
          <w:sz w:val="32"/>
          <w:szCs w:val="32"/>
          <w:lang w:val="en-US" w:eastAsia="zh-CN" w:bidi="ar"/>
        </w:rPr>
        <w:t>完善社会保险经办标准化建设以及信息系统建设及运行维护，设施设备购置，经办人员能力素质提升培训，做好业务档案数字化管理及风险防控以及开展工伤事故伤害案件调查信息化建设。做好劳动能力鉴定案件评析和案件评查。</w:t>
      </w:r>
    </w:p>
    <w:p>
      <w:pPr>
        <w:keepNext w:val="0"/>
        <w:keepLines w:val="0"/>
        <w:pageBreakBefore w:val="0"/>
        <w:widowControl/>
        <w:kinsoku/>
        <w:wordWrap/>
        <w:overflowPunct/>
        <w:topLinePunct w:val="0"/>
        <w:autoSpaceDE/>
        <w:autoSpaceDN/>
        <w:bidi w:val="0"/>
        <w:spacing w:line="560" w:lineRule="atLeast"/>
        <w:ind w:firstLine="640"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w:t>
      </w:r>
      <w:r>
        <w:rPr>
          <w:rFonts w:hint="eastAsia" w:ascii="仿宋_GB2312" w:hAnsi="仿宋" w:eastAsia="仿宋_GB2312" w:cs="仿宋"/>
          <w:sz w:val="32"/>
          <w:szCs w:val="32"/>
          <w:lang w:val="en-US" w:eastAsia="zh-CN"/>
        </w:rPr>
        <w:t>东西部劳务协作对口联络站建设</w:t>
      </w:r>
      <w:r>
        <w:rPr>
          <w:rFonts w:hint="eastAsia" w:ascii="仿宋_GB2312" w:hAnsi="仿宋_GB2312" w:eastAsia="仿宋_GB2312" w:cs="仿宋_GB2312"/>
          <w:sz w:val="32"/>
          <w:szCs w:val="32"/>
        </w:rPr>
        <w:t>绩效目标完成情况综述。项目全年预算数</w:t>
      </w:r>
      <w:r>
        <w:rPr>
          <w:rFonts w:hint="eastAsia" w:ascii="仿宋_GB2312" w:hAnsi="仿宋_GB2312" w:eastAsia="仿宋_GB2312" w:cs="仿宋_GB2312"/>
          <w:sz w:val="32"/>
          <w:szCs w:val="32"/>
          <w:lang w:val="en-US" w:eastAsia="zh-CN"/>
        </w:rPr>
        <w:t>33</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33</w:t>
      </w:r>
      <w:r>
        <w:rPr>
          <w:rFonts w:hint="eastAsia" w:ascii="仿宋_GB2312" w:hAnsi="仿宋_GB2312" w:eastAsia="仿宋_GB2312" w:cs="仿宋_GB2312"/>
          <w:sz w:val="32"/>
          <w:szCs w:val="32"/>
        </w:rPr>
        <w:t>万元，完成预算的100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通过项目实施，为了解决当地就业，加强本地闲散劳动力的输出，促进当地增收致富，促进茂县发展。新建一个集标准化流动人员档案管理室，以及职业介绍，东西部劳务协作联络站为一体的功能齐全的茂县人力资源市场（档案中心、人才交流市场、办公区、孵化园、新建雨棚）。</w:t>
      </w:r>
    </w:p>
    <w:p>
      <w:pPr>
        <w:keepNext w:val="0"/>
        <w:keepLines w:val="0"/>
        <w:pageBreakBefore w:val="0"/>
        <w:kinsoku/>
        <w:wordWrap/>
        <w:overflowPunct/>
        <w:topLinePunct w:val="0"/>
        <w:autoSpaceDE/>
        <w:autoSpaceDN/>
        <w:bidi w:val="0"/>
        <w:spacing w:line="560" w:lineRule="atLeast"/>
        <w:ind w:firstLine="640" w:firstLineChars="200"/>
        <w:textAlignment w:val="auto"/>
        <w:rPr>
          <w:rFonts w:ascii="仿宋_GB2312" w:hAnsi="仿宋_GB2312" w:eastAsia="仿宋_GB2312" w:cs="仿宋_GB2312"/>
          <w:sz w:val="32"/>
          <w:szCs w:val="32"/>
        </w:rPr>
      </w:pPr>
      <w:r>
        <w:rPr>
          <w:rFonts w:ascii="楷体_GB2312" w:hAnsi="楷体_GB2312" w:eastAsia="楷体_GB2312" w:cs="楷体_GB2312"/>
          <w:sz w:val="32"/>
          <w:szCs w:val="32"/>
        </w:rPr>
        <w:t>2.</w:t>
      </w:r>
      <w:r>
        <w:rPr>
          <w:rFonts w:hint="eastAsia" w:ascii="楷体_GB2312" w:hAnsi="楷体_GB2312" w:eastAsia="楷体_GB2312" w:cs="楷体_GB2312"/>
          <w:sz w:val="32"/>
          <w:szCs w:val="32"/>
        </w:rPr>
        <w:t>部门绩效评价结果</w:t>
      </w:r>
    </w:p>
    <w:p>
      <w:pPr>
        <w:keepNext w:val="0"/>
        <w:keepLines w:val="0"/>
        <w:pageBreakBefore w:val="0"/>
        <w:kinsoku/>
        <w:wordWrap/>
        <w:overflowPunct/>
        <w:topLinePunct w:val="0"/>
        <w:autoSpaceDE/>
        <w:autoSpaceDN/>
        <w:bidi w:val="0"/>
        <w:spacing w:line="560" w:lineRule="atLeas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年部门整体支出绩效评价情况开展自评，《茂县</w:t>
      </w:r>
      <w:r>
        <w:rPr>
          <w:rFonts w:ascii="仿宋_GB2312" w:hAnsi="仿宋_GB2312" w:eastAsia="仿宋_GB2312" w:cs="仿宋_GB2312"/>
          <w:sz w:val="32"/>
          <w:szCs w:val="32"/>
        </w:rPr>
        <w:t>人力资源和社会保障局202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年部门整体支出绩效评价报告》见附件。</w:t>
      </w:r>
    </w:p>
    <w:p>
      <w:pPr>
        <w:keepNext w:val="0"/>
        <w:keepLines w:val="0"/>
        <w:pageBreakBefore w:val="0"/>
        <w:kinsoku/>
        <w:wordWrap/>
        <w:overflowPunct/>
        <w:topLinePunct w:val="0"/>
        <w:autoSpaceDE/>
        <w:autoSpaceDN/>
        <w:bidi w:val="0"/>
        <w:spacing w:line="560" w:lineRule="atLeas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本部门自行组织对</w:t>
      </w:r>
      <w:r>
        <w:rPr>
          <w:rFonts w:hint="eastAsia" w:ascii="仿宋_GB2312" w:hAnsi="仿宋" w:eastAsia="仿宋_GB2312" w:cs="仿宋"/>
          <w:sz w:val="32"/>
          <w:szCs w:val="32"/>
        </w:rPr>
        <w:t>“</w:t>
      </w:r>
      <w:r>
        <w:rPr>
          <w:rFonts w:hint="eastAsia" w:ascii="仿宋_GB2312" w:hAnsi="仿宋" w:eastAsia="仿宋_GB2312" w:cs="仿宋"/>
          <w:sz w:val="32"/>
          <w:szCs w:val="32"/>
          <w:lang w:val="en-US" w:eastAsia="zh-CN"/>
        </w:rPr>
        <w:t>实训基地建设项目</w:t>
      </w:r>
      <w:r>
        <w:rPr>
          <w:rFonts w:hint="eastAsia" w:ascii="仿宋_GB2312" w:hAnsi="仿宋" w:eastAsia="仿宋_GB2312" w:cs="仿宋"/>
          <w:sz w:val="32"/>
          <w:szCs w:val="32"/>
        </w:rPr>
        <w:t>”“</w:t>
      </w:r>
      <w:r>
        <w:rPr>
          <w:rFonts w:hint="eastAsia" w:ascii="仿宋_GB2312" w:hAnsi="仿宋" w:eastAsia="仿宋_GB2312" w:cs="仿宋"/>
          <w:sz w:val="32"/>
          <w:szCs w:val="32"/>
          <w:lang w:val="en-US" w:eastAsia="zh-CN"/>
        </w:rPr>
        <w:t>社保公共能力建设项目</w:t>
      </w:r>
      <w:r>
        <w:rPr>
          <w:rFonts w:hint="eastAsia" w:ascii="仿宋_GB2312" w:hAnsi="仿宋" w:eastAsia="仿宋_GB2312" w:cs="仿宋"/>
          <w:sz w:val="32"/>
          <w:szCs w:val="32"/>
        </w:rPr>
        <w:t>”</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lang w:val="en-US" w:eastAsia="zh-CN"/>
        </w:rPr>
        <w:t>东西部劳务协作对口联络站建设</w:t>
      </w:r>
      <w:r>
        <w:rPr>
          <w:rFonts w:hint="eastAsia" w:ascii="仿宋_GB2312" w:hAnsi="仿宋" w:eastAsia="仿宋_GB2312" w:cs="仿宋"/>
          <w:sz w:val="32"/>
          <w:szCs w:val="32"/>
          <w:lang w:eastAsia="zh-CN"/>
        </w:rPr>
        <w:t>”</w:t>
      </w:r>
      <w:r>
        <w:rPr>
          <w:rFonts w:hint="eastAsia" w:ascii="仿宋_GB2312" w:hAnsi="仿宋_GB2312" w:eastAsia="仿宋_GB2312" w:cs="仿宋_GB2312"/>
          <w:sz w:val="32"/>
          <w:szCs w:val="32"/>
        </w:rPr>
        <w:t>开展了绩效评价，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部门预算项目支出绩效自评表（202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见附件。</w:t>
      </w:r>
    </w:p>
    <w:p>
      <w:pPr>
        <w:spacing w:line="580" w:lineRule="exact"/>
        <w:rPr>
          <w:rFonts w:hint="eastAsia" w:ascii="仿宋_GB2312" w:hAnsi="仿宋_GB2312" w:eastAsia="仿宋_GB2312" w:cs="仿宋_GB2312"/>
          <w:sz w:val="32"/>
          <w:szCs w:val="32"/>
          <w:lang w:eastAsia="zh-CN"/>
        </w:rPr>
      </w:pPr>
    </w:p>
    <w:p>
      <w:pPr>
        <w:numPr>
          <w:ilvl w:val="0"/>
          <w:numId w:val="4"/>
        </w:numPr>
        <w:spacing w:line="600" w:lineRule="exact"/>
        <w:ind w:firstLine="660" w:firstLineChars="150"/>
        <w:jc w:val="center"/>
        <w:outlineLvl w:val="0"/>
        <w:rPr>
          <w:rStyle w:val="29"/>
          <w:rFonts w:ascii="黑体" w:hAnsi="黑体" w:eastAsia="黑体"/>
          <w:b w:val="0"/>
        </w:rPr>
      </w:pPr>
      <w:bookmarkStart w:id="90" w:name="_Toc79163629"/>
      <w:bookmarkStart w:id="91" w:name="_Toc79163879"/>
      <w:bookmarkStart w:id="92" w:name="_Toc15377225"/>
      <w:bookmarkStart w:id="93" w:name="_Toc15396613"/>
      <w:r>
        <w:rPr>
          <w:rFonts w:hint="eastAsia" w:ascii="黑体" w:hAnsi="黑体" w:eastAsia="黑体"/>
          <w:color w:val="000000"/>
          <w:sz w:val="44"/>
          <w:szCs w:val="44"/>
        </w:rPr>
        <w:t>名</w:t>
      </w:r>
      <w:r>
        <w:rPr>
          <w:rStyle w:val="29"/>
          <w:rFonts w:hint="eastAsia" w:ascii="黑体" w:hAnsi="黑体" w:eastAsia="黑体"/>
        </w:rPr>
        <w:t>词解释</w:t>
      </w:r>
      <w:bookmarkEnd w:id="90"/>
      <w:bookmarkEnd w:id="91"/>
      <w:bookmarkEnd w:id="92"/>
      <w:bookmarkEnd w:id="93"/>
    </w:p>
    <w:p>
      <w:pPr>
        <w:spacing w:line="600" w:lineRule="exact"/>
        <w:jc w:val="left"/>
        <w:rPr>
          <w:rFonts w:ascii="宋体"/>
          <w:b/>
          <w:color w:val="000000"/>
          <w:sz w:val="44"/>
          <w:szCs w:val="44"/>
        </w:rPr>
      </w:pPr>
    </w:p>
    <w:p>
      <w:pPr>
        <w:pStyle w:val="27"/>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7"/>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7"/>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7"/>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p>
    <w:p>
      <w:pPr>
        <w:pStyle w:val="27"/>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pPr>
        <w:pStyle w:val="27"/>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7"/>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结余分配：指事业单位按照会计制度规定缴纳的所得税、提取的专用结余以及转入非财政拨款结余的金额等。</w:t>
      </w:r>
    </w:p>
    <w:p>
      <w:pPr>
        <w:pStyle w:val="27"/>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spacing w:line="576" w:lineRule="exact"/>
        <w:ind w:firstLine="640" w:firstLineChars="200"/>
        <w:rPr>
          <w:rFonts w:ascii="仿宋_GB2312" w:eastAsia="仿宋_GB2312"/>
          <w:sz w:val="32"/>
          <w:szCs w:val="32"/>
        </w:rPr>
      </w:pPr>
      <w:r>
        <w:rPr>
          <w:rFonts w:ascii="仿宋_GB2312" w:eastAsia="仿宋_GB2312"/>
          <w:color w:val="000000"/>
          <w:sz w:val="32"/>
          <w:szCs w:val="32"/>
        </w:rPr>
        <w:t>9.</w:t>
      </w:r>
      <w:r>
        <w:rPr>
          <w:rFonts w:hint="eastAsia" w:ascii="仿宋_GB2312" w:eastAsia="仿宋_GB2312"/>
          <w:color w:val="000000"/>
          <w:sz w:val="32"/>
          <w:szCs w:val="32"/>
        </w:rPr>
        <w:t xml:space="preserve"> 一般公共服务（</w:t>
      </w:r>
      <w:r>
        <w:rPr>
          <w:rFonts w:hint="eastAsia" w:ascii="仿宋_GB2312" w:eastAsia="仿宋_GB2312"/>
          <w:sz w:val="32"/>
          <w:szCs w:val="32"/>
        </w:rPr>
        <w:t>类）</w:t>
      </w:r>
      <w:r>
        <w:rPr>
          <w:rFonts w:hint="eastAsia" w:ascii="仿宋_GB2312" w:eastAsia="仿宋_GB2312"/>
          <w:color w:val="000000"/>
          <w:sz w:val="32"/>
          <w:szCs w:val="32"/>
        </w:rPr>
        <w:t>人力</w:t>
      </w:r>
      <w:r>
        <w:rPr>
          <w:rFonts w:ascii="仿宋_GB2312" w:eastAsia="仿宋_GB2312"/>
          <w:color w:val="000000"/>
          <w:sz w:val="32"/>
          <w:szCs w:val="32"/>
        </w:rPr>
        <w:t>资源事务</w:t>
      </w:r>
      <w:r>
        <w:rPr>
          <w:rFonts w:hint="eastAsia" w:ascii="仿宋_GB2312" w:eastAsia="仿宋_GB2312"/>
          <w:color w:val="000000"/>
          <w:sz w:val="32"/>
          <w:szCs w:val="32"/>
        </w:rPr>
        <w:t>（款）行政</w:t>
      </w:r>
      <w:r>
        <w:rPr>
          <w:rFonts w:ascii="仿宋_GB2312" w:eastAsia="仿宋_GB2312"/>
          <w:color w:val="000000"/>
          <w:sz w:val="32"/>
          <w:szCs w:val="32"/>
        </w:rPr>
        <w:t>运行</w:t>
      </w:r>
      <w:r>
        <w:rPr>
          <w:rFonts w:hint="eastAsia" w:ascii="仿宋_GB2312" w:eastAsia="仿宋_GB2312"/>
          <w:color w:val="000000"/>
          <w:sz w:val="32"/>
          <w:szCs w:val="32"/>
        </w:rPr>
        <w:t>（项）：指</w:t>
      </w:r>
      <w:r>
        <w:rPr>
          <w:rFonts w:hint="eastAsia" w:ascii="仿宋_GB2312" w:eastAsia="仿宋_GB2312"/>
          <w:sz w:val="32"/>
          <w:szCs w:val="32"/>
        </w:rPr>
        <w:t>主要用于单位行政人员经费和日常公用经费等基本支出和军转干部医保、慰问等费用，一般公共服务（类）人力资源事务（款）一般行政管理事务（项）：指事业人员经费和日常公用经费等基本支出。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10</w:t>
      </w:r>
      <w:r>
        <w:rPr>
          <w:rFonts w:ascii="仿宋_GB2312" w:eastAsia="仿宋_GB2312"/>
          <w:color w:val="000000"/>
          <w:sz w:val="32"/>
          <w:szCs w:val="32"/>
        </w:rPr>
        <w:t>.</w:t>
      </w:r>
      <w:r>
        <w:rPr>
          <w:rFonts w:hint="eastAsia" w:ascii="仿宋_GB2312" w:eastAsia="仿宋_GB2312"/>
          <w:color w:val="000000"/>
          <w:sz w:val="32"/>
          <w:szCs w:val="32"/>
        </w:rPr>
        <w:t>社会保障和就业</w:t>
      </w:r>
      <w:r>
        <w:rPr>
          <w:rFonts w:hint="eastAsia" w:ascii="仿宋_GB2312" w:eastAsia="仿宋_GB2312"/>
          <w:sz w:val="32"/>
          <w:szCs w:val="32"/>
        </w:rPr>
        <w:t>（类）行政事业单位离退休（款）机关事业单位基本养老保险缴费支出（项）</w:t>
      </w:r>
      <w:r>
        <w:rPr>
          <w:rFonts w:hint="eastAsia" w:ascii="仿宋_GB2312" w:eastAsia="仿宋_GB2312"/>
          <w:color w:val="000000"/>
          <w:sz w:val="32"/>
          <w:szCs w:val="32"/>
        </w:rPr>
        <w:t>：指</w:t>
      </w:r>
      <w:r>
        <w:rPr>
          <w:rFonts w:hint="eastAsia" w:ascii="仿宋_GB2312" w:eastAsia="仿宋_GB2312"/>
          <w:sz w:val="32"/>
          <w:szCs w:val="32"/>
        </w:rPr>
        <w:t>单位缴纳基本养老保险费，社会保障和就业支出（类）行政事业单位离退休（款）机关事业单位职业年金缴费支出（项）：指单位缴纳职业年金</w:t>
      </w:r>
      <w:r>
        <w:rPr>
          <w:rFonts w:hint="eastAsia" w:ascii="仿宋_GB2312" w:eastAsia="仿宋_GB2312"/>
          <w:color w:val="000000"/>
          <w:sz w:val="32"/>
          <w:szCs w:val="32"/>
        </w:rPr>
        <w:t>。</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1</w:t>
      </w:r>
      <w:r>
        <w:rPr>
          <w:rFonts w:ascii="仿宋_GB2312" w:eastAsia="仿宋_GB2312"/>
          <w:color w:val="000000"/>
          <w:sz w:val="32"/>
          <w:szCs w:val="32"/>
        </w:rPr>
        <w:t>.</w:t>
      </w:r>
      <w:r>
        <w:rPr>
          <w:rFonts w:hint="eastAsia" w:ascii="仿宋_GB2312" w:eastAsia="仿宋_GB2312"/>
          <w:color w:val="000000"/>
          <w:sz w:val="32"/>
          <w:szCs w:val="32"/>
        </w:rPr>
        <w:t>医疗卫生与计划生育</w:t>
      </w:r>
      <w:r>
        <w:rPr>
          <w:rFonts w:hint="eastAsia" w:ascii="仿宋_GB2312" w:eastAsia="仿宋_GB2312"/>
          <w:sz w:val="32"/>
          <w:szCs w:val="32"/>
        </w:rPr>
        <w:t>（类）行政事业单位医疗（款）行政单位医疗</w:t>
      </w:r>
      <w:r>
        <w:rPr>
          <w:rFonts w:hint="eastAsia" w:ascii="仿宋_GB2312" w:eastAsia="仿宋_GB2312"/>
          <w:color w:val="000000"/>
          <w:sz w:val="32"/>
          <w:szCs w:val="32"/>
        </w:rPr>
        <w:t>（项）：指</w:t>
      </w:r>
      <w:r>
        <w:rPr>
          <w:rFonts w:hint="eastAsia" w:ascii="仿宋_GB2312" w:eastAsia="仿宋_GB2312"/>
          <w:sz w:val="32"/>
          <w:szCs w:val="32"/>
        </w:rPr>
        <w:t>单位行政人员缴纳基本医疗保险</w:t>
      </w:r>
      <w:r>
        <w:rPr>
          <w:rFonts w:hint="eastAsia" w:ascii="仿宋_GB2312" w:eastAsia="仿宋_GB2312"/>
          <w:color w:val="000000"/>
          <w:sz w:val="32"/>
          <w:szCs w:val="32"/>
        </w:rPr>
        <w:t>，</w:t>
      </w:r>
      <w:r>
        <w:rPr>
          <w:rFonts w:hint="eastAsia" w:ascii="仿宋_GB2312" w:eastAsia="仿宋_GB2312"/>
          <w:sz w:val="32"/>
          <w:szCs w:val="32"/>
        </w:rPr>
        <w:t>卫生健康支出（类）行政事业单位医疗（款）事业单位医疗（项）：指事业单位缴纳基本医疗保险。</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12</w:t>
      </w:r>
      <w:r>
        <w:rPr>
          <w:rFonts w:ascii="仿宋_GB2312" w:eastAsia="仿宋_GB2312"/>
          <w:color w:val="000000"/>
          <w:sz w:val="32"/>
          <w:szCs w:val="32"/>
        </w:rPr>
        <w:t>.</w:t>
      </w:r>
      <w:r>
        <w:rPr>
          <w:rFonts w:hint="eastAsia" w:ascii="仿宋_GB2312" w:eastAsia="仿宋_GB2312"/>
          <w:color w:val="000000"/>
          <w:sz w:val="32"/>
          <w:szCs w:val="32"/>
        </w:rPr>
        <w:t>住房保障（类）住房改革（款）住房公积金（项）：指单位为职工缴纳住房公积金，住房保障（类）住房改革（款）购房补贴（项）：指财政支付退休职工购房补贴。</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13</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7"/>
        <w:spacing w:line="560" w:lineRule="exact"/>
        <w:ind w:firstLine="640" w:firstLineChars="200"/>
        <w:rPr>
          <w:rFonts w:ascii="仿宋_GB2312" w:eastAsia="仿宋_GB2312"/>
          <w:sz w:val="32"/>
          <w:szCs w:val="32"/>
        </w:rPr>
      </w:pPr>
      <w:r>
        <w:rPr>
          <w:rFonts w:hint="eastAsia" w:ascii="仿宋_GB2312" w:eastAsia="仿宋_GB2312"/>
          <w:sz w:val="32"/>
          <w:szCs w:val="32"/>
        </w:rPr>
        <w:t>15</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7"/>
        <w:spacing w:line="560" w:lineRule="exact"/>
        <w:ind w:firstLine="640" w:firstLineChars="200"/>
        <w:rPr>
          <w:rFonts w:ascii="仿宋_GB2312" w:eastAsia="仿宋_GB2312"/>
          <w:sz w:val="32"/>
          <w:szCs w:val="32"/>
        </w:rPr>
      </w:pPr>
      <w:r>
        <w:rPr>
          <w:rFonts w:hint="eastAsia" w:ascii="仿宋_GB2312" w:eastAsia="仿宋_GB2312"/>
          <w:sz w:val="32"/>
          <w:szCs w:val="32"/>
        </w:rPr>
        <w:t>16</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both"/>
        <w:outlineLvl w:val="0"/>
        <w:rPr>
          <w:rFonts w:ascii="黑体" w:hAnsi="黑体" w:eastAsia="黑体"/>
          <w:color w:val="000000"/>
          <w:sz w:val="44"/>
          <w:szCs w:val="44"/>
        </w:rPr>
      </w:pPr>
      <w:bookmarkStart w:id="94" w:name="_Toc15396614"/>
      <w:bookmarkStart w:id="95" w:name="_Toc79163630"/>
      <w:bookmarkStart w:id="96" w:name="_Toc79163880"/>
      <w:bookmarkStart w:id="97" w:name="_Toc15377226"/>
    </w:p>
    <w:p>
      <w:pPr>
        <w:spacing w:line="600" w:lineRule="exact"/>
        <w:jc w:val="both"/>
        <w:outlineLvl w:val="0"/>
        <w:rPr>
          <w:rFonts w:ascii="黑体" w:hAnsi="黑体" w:eastAsia="黑体"/>
          <w:color w:val="000000"/>
          <w:sz w:val="44"/>
          <w:szCs w:val="44"/>
        </w:rPr>
      </w:pPr>
    </w:p>
    <w:p>
      <w:pPr>
        <w:spacing w:line="600" w:lineRule="exact"/>
        <w:jc w:val="both"/>
        <w:outlineLvl w:val="0"/>
        <w:rPr>
          <w:rFonts w:ascii="黑体" w:hAnsi="黑体" w:eastAsia="黑体"/>
          <w:color w:val="000000"/>
          <w:sz w:val="44"/>
          <w:szCs w:val="44"/>
        </w:rPr>
      </w:pPr>
    </w:p>
    <w:p>
      <w:pPr>
        <w:spacing w:line="600" w:lineRule="exact"/>
        <w:jc w:val="both"/>
        <w:outlineLvl w:val="0"/>
        <w:rPr>
          <w:rFonts w:ascii="黑体" w:hAnsi="黑体" w:eastAsia="黑体"/>
          <w:color w:val="000000"/>
          <w:sz w:val="44"/>
          <w:szCs w:val="44"/>
        </w:rPr>
      </w:pPr>
    </w:p>
    <w:p>
      <w:pPr>
        <w:spacing w:line="600" w:lineRule="exact"/>
        <w:jc w:val="both"/>
        <w:outlineLvl w:val="0"/>
        <w:rPr>
          <w:rFonts w:ascii="黑体" w:hAnsi="黑体" w:eastAsia="黑体"/>
          <w:color w:val="000000"/>
          <w:sz w:val="44"/>
          <w:szCs w:val="44"/>
        </w:rPr>
      </w:pPr>
    </w:p>
    <w:p>
      <w:pPr>
        <w:spacing w:line="600" w:lineRule="exact"/>
        <w:jc w:val="both"/>
        <w:outlineLvl w:val="0"/>
        <w:rPr>
          <w:rFonts w:ascii="黑体" w:hAnsi="黑体" w:eastAsia="黑体"/>
          <w:color w:val="000000"/>
          <w:sz w:val="44"/>
          <w:szCs w:val="44"/>
        </w:rPr>
      </w:pPr>
    </w:p>
    <w:p>
      <w:pPr>
        <w:spacing w:line="600" w:lineRule="exact"/>
        <w:jc w:val="both"/>
        <w:outlineLvl w:val="0"/>
        <w:rPr>
          <w:rFonts w:ascii="黑体" w:hAnsi="黑体" w:eastAsia="黑体"/>
          <w:color w:val="000000"/>
          <w:sz w:val="44"/>
          <w:szCs w:val="44"/>
        </w:rPr>
      </w:pPr>
    </w:p>
    <w:p>
      <w:pPr>
        <w:spacing w:line="600" w:lineRule="exact"/>
        <w:jc w:val="both"/>
        <w:outlineLvl w:val="0"/>
        <w:rPr>
          <w:rFonts w:ascii="黑体" w:hAnsi="黑体" w:eastAsia="黑体"/>
          <w:color w:val="000000"/>
          <w:sz w:val="44"/>
          <w:szCs w:val="44"/>
        </w:rPr>
      </w:pPr>
    </w:p>
    <w:p>
      <w:pPr>
        <w:spacing w:line="600" w:lineRule="exact"/>
        <w:jc w:val="both"/>
        <w:outlineLvl w:val="0"/>
        <w:rPr>
          <w:rFonts w:ascii="黑体" w:hAnsi="黑体" w:eastAsia="黑体"/>
          <w:color w:val="000000"/>
          <w:sz w:val="44"/>
          <w:szCs w:val="44"/>
        </w:rPr>
      </w:pPr>
    </w:p>
    <w:p>
      <w:pPr>
        <w:spacing w:line="600" w:lineRule="exact"/>
        <w:jc w:val="both"/>
        <w:outlineLvl w:val="0"/>
        <w:rPr>
          <w:rFonts w:ascii="黑体" w:hAnsi="黑体" w:eastAsia="黑体"/>
          <w:color w:val="000000"/>
          <w:sz w:val="44"/>
          <w:szCs w:val="44"/>
        </w:rPr>
      </w:pPr>
    </w:p>
    <w:p>
      <w:pPr>
        <w:pStyle w:val="2"/>
        <w:rPr>
          <w:rFonts w:ascii="黑体" w:hAnsi="黑体" w:eastAsia="黑体"/>
          <w:color w:val="000000"/>
          <w:sz w:val="44"/>
          <w:szCs w:val="44"/>
        </w:rPr>
      </w:pPr>
    </w:p>
    <w:p>
      <w:pPr>
        <w:pStyle w:val="3"/>
        <w:rPr>
          <w:rFonts w:ascii="黑体" w:hAnsi="黑体" w:eastAsia="黑体"/>
          <w:color w:val="000000"/>
          <w:sz w:val="44"/>
          <w:szCs w:val="44"/>
        </w:rPr>
      </w:pPr>
    </w:p>
    <w:p>
      <w:pPr>
        <w:rPr>
          <w:rFonts w:ascii="黑体" w:hAnsi="黑体" w:eastAsia="黑体"/>
          <w:color w:val="000000"/>
          <w:sz w:val="44"/>
          <w:szCs w:val="44"/>
        </w:rPr>
      </w:pPr>
    </w:p>
    <w:p>
      <w:pPr>
        <w:pStyle w:val="2"/>
        <w:rPr>
          <w:rFonts w:ascii="黑体" w:hAnsi="黑体" w:eastAsia="黑体"/>
          <w:color w:val="000000"/>
          <w:sz w:val="44"/>
          <w:szCs w:val="44"/>
        </w:rPr>
      </w:pPr>
    </w:p>
    <w:p>
      <w:pPr>
        <w:pStyle w:val="3"/>
        <w:rPr>
          <w:rFonts w:ascii="黑体" w:hAnsi="黑体" w:eastAsia="黑体"/>
          <w:color w:val="000000"/>
          <w:sz w:val="44"/>
          <w:szCs w:val="44"/>
        </w:rPr>
      </w:pPr>
    </w:p>
    <w:p/>
    <w:p>
      <w:pPr>
        <w:spacing w:line="600" w:lineRule="exact"/>
        <w:jc w:val="both"/>
        <w:outlineLvl w:val="0"/>
        <w:rPr>
          <w:rFonts w:ascii="黑体" w:hAnsi="黑体" w:eastAsia="黑体"/>
          <w:color w:val="000000"/>
          <w:sz w:val="44"/>
          <w:szCs w:val="44"/>
        </w:rPr>
      </w:pPr>
    </w:p>
    <w:p>
      <w:pPr>
        <w:spacing w:line="600" w:lineRule="exact"/>
        <w:jc w:val="both"/>
        <w:outlineLvl w:val="0"/>
        <w:rPr>
          <w:rFonts w:ascii="黑体" w:hAnsi="黑体" w:eastAsia="黑体"/>
          <w:color w:val="000000"/>
          <w:sz w:val="44"/>
          <w:szCs w:val="44"/>
        </w:rPr>
      </w:pPr>
    </w:p>
    <w:p>
      <w:pPr>
        <w:spacing w:line="600" w:lineRule="exact"/>
        <w:jc w:val="both"/>
        <w:outlineLvl w:val="0"/>
        <w:rPr>
          <w:rStyle w:val="29"/>
          <w:rFonts w:hint="eastAsia" w:ascii="黑体" w:hAnsi="黑体"/>
        </w:rPr>
      </w:pPr>
    </w:p>
    <w:p>
      <w:pPr>
        <w:spacing w:line="600" w:lineRule="exact"/>
        <w:jc w:val="center"/>
        <w:outlineLvl w:val="0"/>
        <w:rPr>
          <w:rStyle w:val="29"/>
          <w:rFonts w:ascii="黑体" w:hAnsi="黑体" w:eastAsia="黑体"/>
          <w:b w:val="0"/>
        </w:rPr>
      </w:pPr>
      <w:r>
        <w:rPr>
          <w:rStyle w:val="29"/>
          <w:rFonts w:hint="eastAsia" w:ascii="黑体" w:hAnsi="黑体"/>
        </w:rPr>
        <w:t>第</w:t>
      </w:r>
      <w:r>
        <w:rPr>
          <w:rStyle w:val="29"/>
          <w:rFonts w:hint="eastAsia" w:ascii="黑体" w:hAnsi="黑体" w:eastAsia="黑体"/>
        </w:rPr>
        <w:t>四部分</w:t>
      </w:r>
      <w:r>
        <w:rPr>
          <w:rStyle w:val="29"/>
          <w:rFonts w:ascii="黑体" w:hAnsi="黑体" w:eastAsia="黑体"/>
        </w:rPr>
        <w:t xml:space="preserve"> </w:t>
      </w:r>
      <w:r>
        <w:rPr>
          <w:rStyle w:val="29"/>
          <w:rFonts w:hint="eastAsia" w:ascii="黑体" w:hAnsi="黑体" w:eastAsia="黑体"/>
        </w:rPr>
        <w:t>附件</w:t>
      </w:r>
      <w:bookmarkEnd w:id="94"/>
      <w:bookmarkEnd w:id="95"/>
      <w:bookmarkEnd w:id="96"/>
    </w:p>
    <w:p>
      <w:pPr>
        <w:spacing w:line="600" w:lineRule="exact"/>
        <w:jc w:val="left"/>
        <w:outlineLvl w:val="0"/>
        <w:rPr>
          <w:rFonts w:ascii="仿宋_GB2312" w:hAnsi="黑体" w:eastAsia="仿宋_GB2312" w:cs="宋体"/>
          <w:color w:val="000000"/>
          <w:kern w:val="0"/>
          <w:sz w:val="32"/>
          <w:szCs w:val="32"/>
          <w:shd w:val="clear" w:color="auto" w:fill="FFFFFF"/>
        </w:rPr>
      </w:pPr>
      <w:bookmarkStart w:id="98" w:name="_Toc79163631"/>
      <w:bookmarkStart w:id="99" w:name="_Toc79163881"/>
      <w:r>
        <w:rPr>
          <w:rFonts w:hint="eastAsia" w:ascii="黑体" w:hAnsi="黑体" w:eastAsia="黑体" w:cs="黑体"/>
          <w:sz w:val="32"/>
          <w:szCs w:val="32"/>
        </w:rPr>
        <w:t>附件</w:t>
      </w:r>
      <w:r>
        <w:rPr>
          <w:rFonts w:ascii="黑体" w:hAnsi="黑体" w:eastAsia="黑体" w:cs="黑体"/>
          <w:sz w:val="32"/>
          <w:szCs w:val="32"/>
        </w:rPr>
        <w:t>1</w:t>
      </w:r>
      <w:bookmarkEnd w:id="98"/>
      <w:bookmarkEnd w:id="99"/>
      <w:bookmarkStart w:id="100" w:name="_Toc79163633"/>
      <w:bookmarkStart w:id="101" w:name="_Toc79163883"/>
    </w:p>
    <w:p>
      <w:pPr>
        <w:widowControl/>
        <w:spacing w:line="578" w:lineRule="exact"/>
        <w:ind w:firstLine="1760" w:firstLineChars="400"/>
        <w:contextualSpacing/>
        <w:rPr>
          <w:rFonts w:eastAsia="宋体"/>
          <w:b/>
          <w:sz w:val="44"/>
          <w:szCs w:val="44"/>
          <w:shd w:val="clear" w:color="auto" w:fill="FFFFFF"/>
        </w:rPr>
      </w:pPr>
      <w:r>
        <w:rPr>
          <w:rFonts w:hint="eastAsia" w:ascii="方正小标宋简体" w:eastAsia="方正小标宋简体"/>
          <w:sz w:val="44"/>
          <w:szCs w:val="44"/>
        </w:rPr>
        <w:t>茂县人力资源和社会保障局</w:t>
      </w:r>
    </w:p>
    <w:p>
      <w:pPr>
        <w:widowControl/>
        <w:spacing w:line="578" w:lineRule="exact"/>
        <w:contextualSpacing/>
        <w:jc w:val="center"/>
        <w:rPr>
          <w:rFonts w:eastAsia="方正小标宋简体"/>
          <w:bCs/>
          <w:sz w:val="44"/>
          <w:szCs w:val="44"/>
          <w:shd w:val="clear" w:color="auto" w:fill="FFFFFF"/>
        </w:rPr>
      </w:pPr>
      <w:r>
        <w:rPr>
          <w:rFonts w:hint="eastAsia" w:eastAsia="方正小标宋简体"/>
          <w:bCs/>
          <w:sz w:val="44"/>
          <w:szCs w:val="44"/>
          <w:shd w:val="clear" w:color="auto" w:fill="FFFFFF"/>
          <w:lang w:val="en-US" w:eastAsia="zh-CN"/>
        </w:rPr>
        <w:t>2023</w:t>
      </w:r>
      <w:r>
        <w:rPr>
          <w:rFonts w:eastAsia="方正小标宋简体"/>
          <w:bCs/>
          <w:sz w:val="44"/>
          <w:szCs w:val="44"/>
          <w:shd w:val="clear" w:color="auto" w:fill="FFFFFF"/>
        </w:rPr>
        <w:t>部门预算</w:t>
      </w:r>
      <w:bookmarkStart w:id="148" w:name="_GoBack"/>
      <w:bookmarkEnd w:id="148"/>
      <w:r>
        <w:rPr>
          <w:rFonts w:eastAsia="方正小标宋简体"/>
          <w:bCs/>
          <w:sz w:val="44"/>
          <w:szCs w:val="44"/>
          <w:shd w:val="clear" w:color="auto" w:fill="FFFFFF"/>
        </w:rPr>
        <w:t>绩效</w:t>
      </w:r>
      <w:r>
        <w:rPr>
          <w:rFonts w:hint="eastAsia" w:eastAsia="方正小标宋简体"/>
          <w:bCs/>
          <w:sz w:val="44"/>
          <w:szCs w:val="44"/>
          <w:shd w:val="clear" w:color="auto" w:fill="FFFFFF"/>
        </w:rPr>
        <w:t>评价</w:t>
      </w:r>
      <w:r>
        <w:rPr>
          <w:rFonts w:eastAsia="方正小标宋简体"/>
          <w:bCs/>
          <w:sz w:val="44"/>
          <w:szCs w:val="44"/>
          <w:shd w:val="clear" w:color="auto" w:fill="FFFFFF"/>
        </w:rPr>
        <w:t>报告</w:t>
      </w:r>
    </w:p>
    <w:p>
      <w:pPr>
        <w:widowControl/>
        <w:adjustRightInd w:val="0"/>
        <w:snapToGrid w:val="0"/>
        <w:spacing w:line="578" w:lineRule="exact"/>
        <w:ind w:firstLine="420" w:firstLineChars="200"/>
        <w:contextualSpacing/>
        <w:jc w:val="left"/>
        <w:rPr>
          <w:rFonts w:hint="eastAsia" w:eastAsia="黑体"/>
          <w:color w:val="000000"/>
          <w:kern w:val="0"/>
          <w:szCs w:val="32"/>
          <w:shd w:val="clear" w:color="auto" w:fill="FFFFFF"/>
          <w:lang w:val="zh-CN"/>
        </w:rPr>
      </w:pPr>
    </w:p>
    <w:p>
      <w:pPr>
        <w:keepNext w:val="0"/>
        <w:keepLines w:val="0"/>
        <w:pageBreakBefore w:val="0"/>
        <w:widowControl/>
        <w:kinsoku/>
        <w:wordWrap/>
        <w:overflowPunct/>
        <w:topLinePunct w:val="0"/>
        <w:autoSpaceDE/>
        <w:autoSpaceDN/>
        <w:bidi w:val="0"/>
        <w:adjustRightInd w:val="0"/>
        <w:snapToGrid w:val="0"/>
        <w:spacing w:line="550" w:lineRule="exact"/>
        <w:ind w:firstLine="640" w:firstLineChars="200"/>
        <w:contextualSpacing/>
        <w:jc w:val="left"/>
        <w:textAlignment w:val="auto"/>
        <w:rPr>
          <w:rFonts w:hint="eastAsia" w:ascii="黑体" w:hAnsi="黑体" w:eastAsia="黑体" w:cs="Times New Roman"/>
          <w:kern w:val="2"/>
          <w:sz w:val="32"/>
          <w:szCs w:val="32"/>
          <w:lang w:val="en-US" w:eastAsia="zh-CN" w:bidi="ar-SA"/>
        </w:rPr>
      </w:pPr>
      <w:r>
        <w:rPr>
          <w:rFonts w:hint="eastAsia" w:ascii="黑体" w:hAnsi="黑体" w:eastAsia="黑体" w:cs="Times New Roman"/>
          <w:kern w:val="2"/>
          <w:sz w:val="32"/>
          <w:szCs w:val="32"/>
          <w:lang w:val="zh-CN" w:eastAsia="zh-CN" w:bidi="ar-SA"/>
        </w:rPr>
        <w:t>一、单位基本情况</w:t>
      </w:r>
    </w:p>
    <w:p>
      <w:pPr>
        <w:pStyle w:val="35"/>
        <w:keepNext w:val="0"/>
        <w:keepLines w:val="0"/>
        <w:pageBreakBefore w:val="0"/>
        <w:kinsoku/>
        <w:wordWrap/>
        <w:overflowPunct/>
        <w:topLinePunct w:val="0"/>
        <w:autoSpaceDE/>
        <w:autoSpaceDN/>
        <w:bidi w:val="0"/>
        <w:spacing w:line="550" w:lineRule="exact"/>
        <w:ind w:firstLine="643" w:firstLineChars="200"/>
        <w:textAlignment w:val="auto"/>
        <w:rPr>
          <w:rFonts w:ascii="楷体_GB2312" w:hAnsi="黑体" w:eastAsia="楷体_GB2312"/>
          <w:b/>
          <w:sz w:val="32"/>
          <w:szCs w:val="32"/>
        </w:rPr>
      </w:pPr>
      <w:r>
        <w:rPr>
          <w:rFonts w:hint="eastAsia" w:ascii="楷体_GB2312" w:hAnsi="黑体" w:eastAsia="楷体_GB2312"/>
          <w:b/>
          <w:sz w:val="32"/>
          <w:szCs w:val="32"/>
        </w:rPr>
        <w:t>（一）机构组成</w:t>
      </w:r>
    </w:p>
    <w:p>
      <w:pPr>
        <w:pStyle w:val="35"/>
        <w:keepNext w:val="0"/>
        <w:keepLines w:val="0"/>
        <w:pageBreakBefore w:val="0"/>
        <w:kinsoku/>
        <w:wordWrap/>
        <w:overflowPunct/>
        <w:topLinePunct w:val="0"/>
        <w:autoSpaceDE/>
        <w:autoSpaceDN/>
        <w:bidi w:val="0"/>
        <w:spacing w:line="550" w:lineRule="exact"/>
        <w:ind w:firstLine="640" w:firstLineChars="200"/>
        <w:textAlignment w:val="auto"/>
        <w:rPr>
          <w:rFonts w:ascii="楷体_GB2312" w:hAnsi="黑体" w:eastAsia="楷体_GB2312"/>
          <w:b/>
          <w:sz w:val="32"/>
          <w:szCs w:val="32"/>
        </w:rPr>
      </w:pPr>
      <w:r>
        <w:rPr>
          <w:rFonts w:hint="eastAsia" w:ascii="仿宋_GB2312" w:eastAsia="仿宋_GB2312"/>
          <w:sz w:val="32"/>
          <w:szCs w:val="32"/>
        </w:rPr>
        <w:t>根据《茂县机构改革方案》（茂委</w:t>
      </w:r>
      <w:r>
        <w:rPr>
          <w:rFonts w:hint="eastAsia" w:ascii="仿宋_GB2312" w:hAnsi="宋体" w:eastAsia="仿宋_GB2312"/>
          <w:sz w:val="32"/>
          <w:szCs w:val="32"/>
        </w:rPr>
        <w:t>〔2019〕10号</w:t>
      </w:r>
      <w:r>
        <w:rPr>
          <w:rFonts w:hint="eastAsia" w:ascii="仿宋_GB2312" w:eastAsia="仿宋_GB2312"/>
          <w:sz w:val="32"/>
          <w:szCs w:val="32"/>
        </w:rPr>
        <w:t>）和《关于&lt;茂县机构改革方案&gt;的实施意见》（茂机改</w:t>
      </w:r>
      <w:r>
        <w:rPr>
          <w:rFonts w:hint="eastAsia" w:ascii="仿宋_GB2312" w:hAnsi="宋体" w:eastAsia="仿宋_GB2312"/>
          <w:sz w:val="32"/>
          <w:szCs w:val="32"/>
        </w:rPr>
        <w:t>〔2019〕1号</w:t>
      </w:r>
      <w:r>
        <w:rPr>
          <w:rFonts w:hint="eastAsia" w:ascii="仿宋_GB2312" w:eastAsia="仿宋_GB2312"/>
          <w:sz w:val="32"/>
          <w:szCs w:val="32"/>
        </w:rPr>
        <w:t>），</w:t>
      </w:r>
      <w:r>
        <w:rPr>
          <w:rFonts w:hint="eastAsia" w:ascii="仿宋_GB2312" w:eastAsia="仿宋_GB2312"/>
          <w:color w:val="000000"/>
          <w:sz w:val="32"/>
          <w:szCs w:val="32"/>
        </w:rPr>
        <w:t>设立茂县人力资源和社会保障局，为政府工作部门。</w:t>
      </w:r>
    </w:p>
    <w:p>
      <w:pPr>
        <w:keepNext w:val="0"/>
        <w:keepLines w:val="0"/>
        <w:pageBreakBefore w:val="0"/>
        <w:kinsoku/>
        <w:wordWrap/>
        <w:overflowPunct/>
        <w:topLinePunct w:val="0"/>
        <w:autoSpaceDE/>
        <w:autoSpaceDN/>
        <w:bidi w:val="0"/>
        <w:spacing w:line="550" w:lineRule="exact"/>
        <w:ind w:firstLine="643" w:firstLineChars="200"/>
        <w:textAlignment w:val="auto"/>
        <w:rPr>
          <w:rFonts w:ascii="楷体_GB2312" w:eastAsia="楷体_GB2312"/>
          <w:b/>
          <w:color w:val="000000"/>
          <w:sz w:val="32"/>
          <w:szCs w:val="32"/>
        </w:rPr>
      </w:pPr>
      <w:r>
        <w:rPr>
          <w:rFonts w:hint="eastAsia" w:ascii="楷体_GB2312" w:eastAsia="楷体_GB2312"/>
          <w:b/>
          <w:color w:val="000000"/>
          <w:sz w:val="32"/>
          <w:szCs w:val="32"/>
        </w:rPr>
        <w:t>（二）机构职能</w:t>
      </w:r>
    </w:p>
    <w:p>
      <w:pPr>
        <w:keepNext w:val="0"/>
        <w:keepLines w:val="0"/>
        <w:pageBreakBefore w:val="0"/>
        <w:kinsoku/>
        <w:wordWrap/>
        <w:overflowPunct/>
        <w:topLinePunct w:val="0"/>
        <w:autoSpaceDE/>
        <w:autoSpaceDN/>
        <w:bidi w:val="0"/>
        <w:spacing w:line="550" w:lineRule="exact"/>
        <w:ind w:firstLine="640" w:firstLineChars="200"/>
        <w:textAlignment w:val="auto"/>
        <w:rPr>
          <w:rFonts w:ascii="仿宋_GB2312" w:eastAsia="仿宋_GB2312"/>
          <w:sz w:val="32"/>
          <w:szCs w:val="32"/>
        </w:rPr>
      </w:pPr>
      <w:r>
        <w:rPr>
          <w:rFonts w:hint="eastAsia" w:ascii="仿宋_GB2312" w:eastAsia="仿宋_GB2312"/>
          <w:sz w:val="32"/>
          <w:szCs w:val="32"/>
        </w:rPr>
        <w:t>1.贯彻落实人力资源和社会保障法律、法规、规章和方针政策，拟订执行全县人力资源和社会保障事业发展规划，起草相关规范性文件草案，并组织实施和监督检查。</w:t>
      </w:r>
    </w:p>
    <w:p>
      <w:pPr>
        <w:keepNext w:val="0"/>
        <w:keepLines w:val="0"/>
        <w:pageBreakBefore w:val="0"/>
        <w:kinsoku/>
        <w:wordWrap/>
        <w:overflowPunct/>
        <w:topLinePunct w:val="0"/>
        <w:autoSpaceDE/>
        <w:autoSpaceDN/>
        <w:bidi w:val="0"/>
        <w:spacing w:line="550" w:lineRule="exact"/>
        <w:ind w:firstLine="640" w:firstLineChars="200"/>
        <w:textAlignment w:val="auto"/>
        <w:rPr>
          <w:rFonts w:ascii="仿宋_GB2312" w:eastAsia="仿宋_GB2312"/>
          <w:sz w:val="32"/>
          <w:szCs w:val="32"/>
        </w:rPr>
      </w:pPr>
      <w:r>
        <w:rPr>
          <w:rFonts w:hint="eastAsia" w:ascii="仿宋_GB2312" w:eastAsia="仿宋_GB2312"/>
          <w:sz w:val="32"/>
          <w:szCs w:val="32"/>
        </w:rPr>
        <w:t>2.贯彻落实人力资源市场发展规划、人力资源流动政策，建立全县统一规范的人力资源市场，促进人力资源合理流动、有效配置。</w:t>
      </w:r>
    </w:p>
    <w:p>
      <w:pPr>
        <w:keepNext w:val="0"/>
        <w:keepLines w:val="0"/>
        <w:pageBreakBefore w:val="0"/>
        <w:kinsoku/>
        <w:wordWrap/>
        <w:overflowPunct/>
        <w:topLinePunct w:val="0"/>
        <w:autoSpaceDE/>
        <w:autoSpaceDN/>
        <w:bidi w:val="0"/>
        <w:spacing w:line="550" w:lineRule="exact"/>
        <w:ind w:firstLine="640" w:firstLineChars="200"/>
        <w:textAlignment w:val="auto"/>
        <w:rPr>
          <w:rFonts w:ascii="仿宋_GB2312" w:eastAsia="仿宋_GB2312"/>
          <w:sz w:val="32"/>
          <w:szCs w:val="32"/>
        </w:rPr>
      </w:pPr>
      <w:r>
        <w:rPr>
          <w:rFonts w:hint="eastAsia" w:ascii="仿宋_GB2312" w:eastAsia="仿宋_GB2312"/>
          <w:sz w:val="32"/>
          <w:szCs w:val="32"/>
        </w:rPr>
        <w:t>3.负责促进就业工作。统筹全县就业发展规划、政策和措施，完善公共就业创业服务体系，组织落实创业、就业援助制度，完善职业资格制度，拟订落实职业介绍机构的管理办法并组织实施，统筹建立面向城乡劳动者的职业培训制度，牵头贯彻落实高校毕业生就业创业政策。</w:t>
      </w:r>
    </w:p>
    <w:p>
      <w:pPr>
        <w:keepNext w:val="0"/>
        <w:keepLines w:val="0"/>
        <w:pageBreakBefore w:val="0"/>
        <w:kinsoku/>
        <w:wordWrap/>
        <w:overflowPunct/>
        <w:topLinePunct w:val="0"/>
        <w:autoSpaceDE/>
        <w:autoSpaceDN/>
        <w:bidi w:val="0"/>
        <w:spacing w:line="550" w:lineRule="exact"/>
        <w:textAlignment w:val="auto"/>
        <w:rPr>
          <w:rFonts w:ascii="仿宋_GB2312" w:eastAsia="仿宋_GB2312"/>
          <w:sz w:val="32"/>
          <w:szCs w:val="32"/>
        </w:rPr>
      </w:pPr>
      <w:r>
        <w:rPr>
          <w:rFonts w:hint="eastAsia" w:ascii="仿宋_GB2312" w:eastAsia="仿宋_GB2312"/>
          <w:sz w:val="32"/>
          <w:szCs w:val="32"/>
        </w:rPr>
        <w:t>　　4.统筹推进建立覆盖城乡的社会保障体系。贯彻落实养老保险全国统筹办法和全国统一的养老、失业、工伤保险关系转续办法；统筹执行全县相关社会保险及补充保险基金支付、管理、运营和监督办法；编制全县养老、失业、工伤等相关社会保险基金预决算草案。会同有关部门实施全民参保计划。贯彻落实人力资源和社会保障信息化建设总体规划、年度计划，组织实施相关制度、标准和规范。指导、督促企业参加工伤保险。</w:t>
      </w:r>
    </w:p>
    <w:p>
      <w:pPr>
        <w:keepNext w:val="0"/>
        <w:keepLines w:val="0"/>
        <w:pageBreakBefore w:val="0"/>
        <w:kinsoku/>
        <w:wordWrap/>
        <w:overflowPunct/>
        <w:topLinePunct w:val="0"/>
        <w:autoSpaceDE/>
        <w:autoSpaceDN/>
        <w:bidi w:val="0"/>
        <w:spacing w:line="550" w:lineRule="exact"/>
        <w:textAlignment w:val="auto"/>
        <w:rPr>
          <w:rFonts w:ascii="仿宋_GB2312" w:eastAsia="仿宋_GB2312"/>
          <w:sz w:val="32"/>
          <w:szCs w:val="32"/>
        </w:rPr>
      </w:pPr>
      <w:r>
        <w:rPr>
          <w:rFonts w:hint="eastAsia" w:ascii="仿宋_GB2312" w:eastAsia="仿宋_GB2312"/>
          <w:sz w:val="32"/>
          <w:szCs w:val="32"/>
        </w:rPr>
        <w:t>　　5.负责就业、失业和相关社会保险基金预测预警和信息引导，实施预防、调节和控制，保持就业形势稳定和相关社会保险基金总体收支平衡。</w:t>
      </w:r>
    </w:p>
    <w:p>
      <w:pPr>
        <w:keepNext w:val="0"/>
        <w:keepLines w:val="0"/>
        <w:pageBreakBefore w:val="0"/>
        <w:kinsoku/>
        <w:wordWrap/>
        <w:overflowPunct/>
        <w:topLinePunct w:val="0"/>
        <w:autoSpaceDE/>
        <w:autoSpaceDN/>
        <w:bidi w:val="0"/>
        <w:spacing w:line="550" w:lineRule="exact"/>
        <w:textAlignment w:val="auto"/>
        <w:rPr>
          <w:rFonts w:ascii="仿宋_GB2312" w:eastAsia="仿宋_GB2312"/>
          <w:sz w:val="32"/>
          <w:szCs w:val="32"/>
        </w:rPr>
      </w:pPr>
      <w:r>
        <w:rPr>
          <w:rFonts w:hint="eastAsia" w:ascii="仿宋_GB2312" w:eastAsia="仿宋_GB2312"/>
          <w:sz w:val="32"/>
          <w:szCs w:val="32"/>
        </w:rPr>
        <w:t>　　6.统筹贯彻劳动人事争议调解仲裁制度和劳动关系政策并组织和监督实施，完善劳动关系协调机制，贯彻职工工作时间、休息休假和假期制度，落实消除非法使用童工政策和女工、未成年工的特殊劳动保护政策，依法督促用人单位在劳动用工、合同签订与履约时，载明劳动保护、劳动条件和职业危害防护等条款。组织实施劳动保障监察，协调劳动者维权工作，依法查处重大案件。</w:t>
      </w:r>
    </w:p>
    <w:p>
      <w:pPr>
        <w:keepNext w:val="0"/>
        <w:keepLines w:val="0"/>
        <w:pageBreakBefore w:val="0"/>
        <w:kinsoku/>
        <w:wordWrap/>
        <w:overflowPunct/>
        <w:topLinePunct w:val="0"/>
        <w:autoSpaceDE/>
        <w:autoSpaceDN/>
        <w:bidi w:val="0"/>
        <w:spacing w:line="550" w:lineRule="exact"/>
        <w:ind w:firstLine="640" w:firstLineChars="200"/>
        <w:textAlignment w:val="auto"/>
        <w:rPr>
          <w:rFonts w:ascii="仿宋_GB2312" w:eastAsia="仿宋_GB2312"/>
          <w:sz w:val="32"/>
          <w:szCs w:val="32"/>
        </w:rPr>
      </w:pPr>
      <w:r>
        <w:rPr>
          <w:rFonts w:hint="eastAsia" w:ascii="仿宋_GB2312" w:eastAsia="仿宋_GB2312"/>
          <w:sz w:val="32"/>
          <w:szCs w:val="32"/>
        </w:rPr>
        <w:t>7.牵头推进深化职称制度改革，执行专业技术人员管理、继续教育和博士后管理等政策，负责专业技术人才选拔和培养工作。组织实施技能人才培养、评价、使用和激励制度。贯彻落实职业资格制度以及职业技能多元化评价政策。指导、监督各类技工学校、民办职业培训机构按国家和省、州有关规定履行安全管理责任。</w:t>
      </w:r>
    </w:p>
    <w:p>
      <w:pPr>
        <w:keepNext w:val="0"/>
        <w:keepLines w:val="0"/>
        <w:pageBreakBefore w:val="0"/>
        <w:kinsoku/>
        <w:wordWrap/>
        <w:overflowPunct/>
        <w:topLinePunct w:val="0"/>
        <w:autoSpaceDE/>
        <w:autoSpaceDN/>
        <w:bidi w:val="0"/>
        <w:spacing w:line="550" w:lineRule="exact"/>
        <w:ind w:firstLine="640" w:firstLineChars="200"/>
        <w:textAlignment w:val="auto"/>
        <w:rPr>
          <w:rFonts w:ascii="仿宋_GB2312" w:eastAsia="仿宋_GB2312"/>
          <w:sz w:val="32"/>
          <w:szCs w:val="32"/>
        </w:rPr>
      </w:pPr>
      <w:r>
        <w:rPr>
          <w:rFonts w:hint="eastAsia" w:ascii="仿宋_GB2312" w:eastAsia="仿宋_GB2312"/>
          <w:sz w:val="32"/>
          <w:szCs w:val="32"/>
        </w:rPr>
        <w:t>8.会同有关部门负责事业单位人事制度改革，按照管理权限负责规范事业单位岗位设置、公开招聘、聘用合同等人事综合管理工作，落实规范事业单位工作人员和机关工勤人员管理政策，将安全生产及环境保护责任履行情况作为事业单位工作人员奖惩、考核的重要内容。</w:t>
      </w:r>
    </w:p>
    <w:p>
      <w:pPr>
        <w:keepNext w:val="0"/>
        <w:keepLines w:val="0"/>
        <w:pageBreakBefore w:val="0"/>
        <w:kinsoku/>
        <w:wordWrap/>
        <w:overflowPunct/>
        <w:topLinePunct w:val="0"/>
        <w:autoSpaceDE/>
        <w:autoSpaceDN/>
        <w:bidi w:val="0"/>
        <w:spacing w:line="550" w:lineRule="exact"/>
        <w:ind w:firstLine="640"/>
        <w:textAlignment w:val="auto"/>
        <w:rPr>
          <w:rFonts w:ascii="仿宋_GB2312" w:eastAsia="仿宋_GB2312"/>
          <w:sz w:val="32"/>
          <w:szCs w:val="32"/>
        </w:rPr>
      </w:pPr>
      <w:r>
        <w:rPr>
          <w:rFonts w:hint="eastAsia" w:ascii="仿宋_GB2312" w:eastAsia="仿宋_GB2312"/>
          <w:sz w:val="32"/>
          <w:szCs w:val="32"/>
        </w:rPr>
        <w:t>9.组织实施国家表彰奖励制度，综合管理政府表彰奖励工作，承担评比达标表彰等工作，根据授权承办以县委、县政府名义开展的县级表彰奖励活动。承办提请县人大常委会和县政府决定的人事任免事项。</w:t>
      </w:r>
    </w:p>
    <w:p>
      <w:pPr>
        <w:keepNext w:val="0"/>
        <w:keepLines w:val="0"/>
        <w:pageBreakBefore w:val="0"/>
        <w:kinsoku/>
        <w:wordWrap/>
        <w:overflowPunct/>
        <w:topLinePunct w:val="0"/>
        <w:autoSpaceDE/>
        <w:autoSpaceDN/>
        <w:bidi w:val="0"/>
        <w:spacing w:line="550" w:lineRule="exact"/>
        <w:ind w:firstLine="640"/>
        <w:textAlignment w:val="auto"/>
        <w:rPr>
          <w:rFonts w:ascii="仿宋_GB2312" w:eastAsia="仿宋_GB2312"/>
          <w:sz w:val="32"/>
          <w:szCs w:val="32"/>
        </w:rPr>
      </w:pPr>
      <w:r>
        <w:rPr>
          <w:rFonts w:hint="eastAsia" w:ascii="仿宋_GB2312" w:eastAsia="仿宋_GB2312"/>
          <w:sz w:val="32"/>
          <w:szCs w:val="32"/>
        </w:rPr>
        <w:t>10.会同有关部门执行事业单位人员工资收入分配政策，建立企事业单位人员工资决定、正常增长和支付保障机制。贯彻执行企事业单位人员福利和退休政策。</w:t>
      </w:r>
    </w:p>
    <w:p>
      <w:pPr>
        <w:keepNext w:val="0"/>
        <w:keepLines w:val="0"/>
        <w:pageBreakBefore w:val="0"/>
        <w:kinsoku/>
        <w:wordWrap/>
        <w:overflowPunct/>
        <w:topLinePunct w:val="0"/>
        <w:autoSpaceDE/>
        <w:autoSpaceDN/>
        <w:bidi w:val="0"/>
        <w:spacing w:line="550" w:lineRule="exact"/>
        <w:ind w:firstLine="640" w:firstLineChars="200"/>
        <w:textAlignment w:val="auto"/>
        <w:rPr>
          <w:rFonts w:ascii="仿宋_GB2312" w:eastAsia="仿宋_GB2312"/>
          <w:sz w:val="32"/>
          <w:szCs w:val="32"/>
        </w:rPr>
      </w:pPr>
      <w:r>
        <w:rPr>
          <w:rFonts w:hint="eastAsia" w:ascii="仿宋_GB2312" w:eastAsia="仿宋_GB2312"/>
          <w:sz w:val="32"/>
          <w:szCs w:val="32"/>
        </w:rPr>
        <w:t>11.会同有关部门拟订落实农民工工作综合性规划，推动相关政策的落实，协调解决重点难点问题，维护农民工合法权益。负责将安全生产纳入农民工技能培训内容。</w:t>
      </w:r>
    </w:p>
    <w:p>
      <w:pPr>
        <w:keepNext w:val="0"/>
        <w:keepLines w:val="0"/>
        <w:pageBreakBefore w:val="0"/>
        <w:kinsoku/>
        <w:wordWrap/>
        <w:overflowPunct/>
        <w:topLinePunct w:val="0"/>
        <w:autoSpaceDE/>
        <w:autoSpaceDN/>
        <w:bidi w:val="0"/>
        <w:spacing w:line="550" w:lineRule="exact"/>
        <w:ind w:firstLine="640" w:firstLineChars="200"/>
        <w:textAlignment w:val="auto"/>
        <w:rPr>
          <w:rFonts w:ascii="仿宋_GB2312" w:eastAsia="仿宋_GB2312"/>
          <w:sz w:val="32"/>
          <w:szCs w:val="32"/>
        </w:rPr>
      </w:pPr>
      <w:r>
        <w:rPr>
          <w:rFonts w:hint="eastAsia" w:ascii="仿宋_GB2312" w:eastAsia="仿宋_GB2312"/>
          <w:sz w:val="32"/>
          <w:szCs w:val="32"/>
        </w:rPr>
        <w:t>12.负责人力资源和社会保障领域的对外交流与合作工作。</w:t>
      </w:r>
    </w:p>
    <w:p>
      <w:pPr>
        <w:keepNext w:val="0"/>
        <w:keepLines w:val="0"/>
        <w:pageBreakBefore w:val="0"/>
        <w:kinsoku/>
        <w:wordWrap/>
        <w:overflowPunct/>
        <w:topLinePunct w:val="0"/>
        <w:autoSpaceDE/>
        <w:autoSpaceDN/>
        <w:bidi w:val="0"/>
        <w:spacing w:line="550" w:lineRule="exact"/>
        <w:ind w:firstLine="640" w:firstLineChars="200"/>
        <w:textAlignment w:val="auto"/>
        <w:rPr>
          <w:rFonts w:ascii="仿宋_GB2312" w:eastAsia="仿宋_GB2312"/>
          <w:sz w:val="32"/>
          <w:szCs w:val="32"/>
        </w:rPr>
      </w:pPr>
      <w:r>
        <w:rPr>
          <w:rFonts w:hint="eastAsia" w:ascii="仿宋_GB2312" w:eastAsia="仿宋_GB2312"/>
          <w:sz w:val="32"/>
          <w:szCs w:val="32"/>
        </w:rPr>
        <w:t>13.承担职责范围内的安全生产和职业健康、生态环境保护、审批服务便民化等工作。</w:t>
      </w:r>
    </w:p>
    <w:p>
      <w:pPr>
        <w:keepNext w:val="0"/>
        <w:keepLines w:val="0"/>
        <w:pageBreakBefore w:val="0"/>
        <w:kinsoku/>
        <w:wordWrap/>
        <w:overflowPunct/>
        <w:topLinePunct w:val="0"/>
        <w:autoSpaceDE/>
        <w:autoSpaceDN/>
        <w:bidi w:val="0"/>
        <w:spacing w:line="550" w:lineRule="exact"/>
        <w:ind w:firstLine="640"/>
        <w:textAlignment w:val="auto"/>
        <w:rPr>
          <w:rFonts w:ascii="仿宋_GB2312" w:eastAsia="仿宋_GB2312"/>
          <w:sz w:val="32"/>
          <w:szCs w:val="32"/>
        </w:rPr>
      </w:pPr>
      <w:r>
        <w:rPr>
          <w:rFonts w:hint="eastAsia" w:ascii="仿宋_GB2312" w:eastAsia="仿宋_GB2312"/>
          <w:sz w:val="32"/>
          <w:szCs w:val="32"/>
        </w:rPr>
        <w:t>14.完成县委、县政府交办的其他任务。</w:t>
      </w:r>
    </w:p>
    <w:p>
      <w:pPr>
        <w:keepNext w:val="0"/>
        <w:keepLines w:val="0"/>
        <w:pageBreakBefore w:val="0"/>
        <w:kinsoku/>
        <w:wordWrap/>
        <w:overflowPunct/>
        <w:topLinePunct w:val="0"/>
        <w:autoSpaceDE/>
        <w:autoSpaceDN/>
        <w:bidi w:val="0"/>
        <w:spacing w:line="550" w:lineRule="exact"/>
        <w:ind w:firstLine="640" w:firstLineChars="200"/>
        <w:textAlignment w:val="auto"/>
        <w:rPr>
          <w:rFonts w:ascii="仿宋_GB2312" w:eastAsia="仿宋_GB2312"/>
          <w:sz w:val="32"/>
          <w:szCs w:val="32"/>
        </w:rPr>
      </w:pPr>
      <w:r>
        <w:rPr>
          <w:rFonts w:hint="eastAsia" w:ascii="仿宋_GB2312" w:eastAsia="仿宋_GB2312"/>
          <w:sz w:val="32"/>
          <w:szCs w:val="32"/>
        </w:rPr>
        <w:t>15.职能转变。深入推进简政放权、放管结合、优化服务改革，进一步减少行政审批事项，规范和优化对外办理事项，贯彻落实国家职业资格目录清单管理制度，加强事中事后监管，创新就业和社会保障等公共服务方式，加强信息分享，提高公共服务水平。</w:t>
      </w:r>
    </w:p>
    <w:p>
      <w:pPr>
        <w:keepNext w:val="0"/>
        <w:keepLines w:val="0"/>
        <w:pageBreakBefore w:val="0"/>
        <w:kinsoku/>
        <w:wordWrap/>
        <w:overflowPunct/>
        <w:topLinePunct w:val="0"/>
        <w:autoSpaceDE/>
        <w:autoSpaceDN/>
        <w:bidi w:val="0"/>
        <w:spacing w:line="550" w:lineRule="exact"/>
        <w:ind w:firstLine="640" w:firstLineChars="200"/>
        <w:textAlignment w:val="auto"/>
        <w:rPr>
          <w:rFonts w:ascii="仿宋_GB2312" w:eastAsia="仿宋_GB2312"/>
          <w:sz w:val="32"/>
          <w:szCs w:val="32"/>
        </w:rPr>
      </w:pPr>
      <w:r>
        <w:rPr>
          <w:rFonts w:hint="eastAsia" w:ascii="仿宋_GB2312" w:eastAsia="仿宋_GB2312"/>
          <w:sz w:val="32"/>
          <w:szCs w:val="32"/>
        </w:rPr>
        <w:t>16.有关职责分工。高校毕业生就业管理的职责分工。毕业生就业政策由县人力资源</w:t>
      </w:r>
      <w:r>
        <w:rPr>
          <w:rFonts w:hint="eastAsia" w:ascii="仿宋_GB2312" w:eastAsia="仿宋_GB2312"/>
          <w:sz w:val="32"/>
          <w:szCs w:val="32"/>
          <w:lang w:val="en-US" w:eastAsia="zh-CN"/>
        </w:rPr>
        <w:t>和</w:t>
      </w:r>
      <w:r>
        <w:rPr>
          <w:rFonts w:hint="eastAsia" w:ascii="仿宋_GB2312" w:eastAsia="仿宋_GB2312"/>
          <w:sz w:val="32"/>
          <w:szCs w:val="32"/>
        </w:rPr>
        <w:t>社会保障局牵头，会同县教育局等部门贯彻落实；毕业生离校前的就业指导和服务工作，由县教育局负责；毕业生离校后的就业指导和服务工作，由县人力资源</w:t>
      </w:r>
      <w:r>
        <w:rPr>
          <w:rFonts w:hint="eastAsia" w:ascii="仿宋_GB2312" w:eastAsia="仿宋_GB2312"/>
          <w:sz w:val="32"/>
          <w:szCs w:val="32"/>
          <w:lang w:val="en-US" w:eastAsia="zh-CN"/>
        </w:rPr>
        <w:t>和</w:t>
      </w:r>
      <w:r>
        <w:rPr>
          <w:rFonts w:hint="eastAsia" w:ascii="仿宋_GB2312" w:eastAsia="仿宋_GB2312"/>
          <w:sz w:val="32"/>
          <w:szCs w:val="32"/>
        </w:rPr>
        <w:t>社会保障局负责。</w:t>
      </w:r>
    </w:p>
    <w:p>
      <w:pPr>
        <w:keepNext w:val="0"/>
        <w:keepLines w:val="0"/>
        <w:pageBreakBefore w:val="0"/>
        <w:kinsoku/>
        <w:wordWrap/>
        <w:overflowPunct/>
        <w:topLinePunct w:val="0"/>
        <w:autoSpaceDE/>
        <w:autoSpaceDN/>
        <w:bidi w:val="0"/>
        <w:spacing w:line="550" w:lineRule="exact"/>
        <w:ind w:firstLine="643" w:firstLineChars="200"/>
        <w:textAlignment w:val="auto"/>
        <w:rPr>
          <w:rFonts w:ascii="楷体_GB2312" w:eastAsia="楷体_GB2312"/>
          <w:b/>
          <w:color w:val="000000"/>
          <w:sz w:val="32"/>
          <w:szCs w:val="32"/>
        </w:rPr>
      </w:pPr>
      <w:r>
        <w:rPr>
          <w:rFonts w:hint="eastAsia" w:ascii="楷体_GB2312" w:eastAsia="楷体_GB2312"/>
          <w:b/>
          <w:color w:val="000000"/>
          <w:sz w:val="32"/>
          <w:szCs w:val="32"/>
        </w:rPr>
        <w:t>（三）人员概况</w:t>
      </w:r>
    </w:p>
    <w:p>
      <w:pPr>
        <w:keepNext w:val="0"/>
        <w:keepLines w:val="0"/>
        <w:pageBreakBefore w:val="0"/>
        <w:kinsoku/>
        <w:wordWrap/>
        <w:overflowPunct/>
        <w:topLinePunct w:val="0"/>
        <w:autoSpaceDE/>
        <w:autoSpaceDN/>
        <w:bidi w:val="0"/>
        <w:spacing w:line="550" w:lineRule="exact"/>
        <w:ind w:firstLine="640" w:firstLineChars="200"/>
        <w:textAlignment w:val="auto"/>
        <w:rPr>
          <w:rFonts w:ascii="仿宋_GB2312" w:eastAsia="仿宋_GB2312"/>
          <w:sz w:val="32"/>
          <w:szCs w:val="32"/>
        </w:rPr>
      </w:pPr>
      <w:r>
        <w:rPr>
          <w:rFonts w:hint="eastAsia" w:ascii="仿宋_GB2312" w:eastAsia="仿宋_GB2312"/>
          <w:sz w:val="32"/>
          <w:szCs w:val="32"/>
        </w:rPr>
        <w:t>县人力资源社会保障局设下列内设机构：办公室、就业促进股（农民工工作股）、工资福利与退休人员管理股、事业单位综合管理股、社会保险基金监督股、政策法规股（行政审批股）。</w:t>
      </w:r>
    </w:p>
    <w:p>
      <w:pPr>
        <w:keepNext w:val="0"/>
        <w:keepLines w:val="0"/>
        <w:pageBreakBefore w:val="0"/>
        <w:kinsoku/>
        <w:wordWrap/>
        <w:overflowPunct/>
        <w:topLinePunct w:val="0"/>
        <w:autoSpaceDE/>
        <w:autoSpaceDN/>
        <w:bidi w:val="0"/>
        <w:spacing w:line="550" w:lineRule="exact"/>
        <w:ind w:firstLine="640" w:firstLineChars="200"/>
        <w:textAlignment w:val="auto"/>
        <w:rPr>
          <w:szCs w:val="32"/>
        </w:rPr>
      </w:pPr>
      <w:r>
        <w:rPr>
          <w:rFonts w:hint="eastAsia" w:ascii="仿宋_GB2312" w:eastAsia="仿宋_GB2312"/>
          <w:sz w:val="32"/>
          <w:szCs w:val="32"/>
        </w:rPr>
        <w:t>县人力资源社会保障局行政编制20名。其中，局长1名，副局长2名；股级领导职数6名，参公10名，机关工勤人员事业编制2名。其他事业人员</w:t>
      </w:r>
      <w:r>
        <w:rPr>
          <w:rFonts w:hint="eastAsia" w:ascii="仿宋_GB2312"/>
          <w:sz w:val="32"/>
          <w:szCs w:val="32"/>
          <w:lang w:val="en-US" w:eastAsia="zh-CN"/>
        </w:rPr>
        <w:t>20</w:t>
      </w:r>
      <w:r>
        <w:rPr>
          <w:rFonts w:hint="eastAsia" w:ascii="仿宋_GB2312" w:eastAsia="仿宋_GB2312"/>
          <w:sz w:val="32"/>
          <w:szCs w:val="32"/>
        </w:rPr>
        <w:t>名。年末在职人员总数</w:t>
      </w:r>
      <w:r>
        <w:rPr>
          <w:rFonts w:ascii="仿宋_GB2312" w:eastAsia="仿宋_GB2312"/>
          <w:sz w:val="32"/>
          <w:szCs w:val="32"/>
        </w:rPr>
        <w:t>3</w:t>
      </w:r>
      <w:r>
        <w:rPr>
          <w:rFonts w:hint="eastAsia" w:ascii="仿宋_GB2312" w:eastAsia="仿宋_GB2312"/>
          <w:sz w:val="32"/>
          <w:szCs w:val="32"/>
          <w:lang w:val="en-US" w:eastAsia="zh-CN"/>
        </w:rPr>
        <w:t>6</w:t>
      </w:r>
      <w:r>
        <w:rPr>
          <w:rFonts w:hint="eastAsia" w:ascii="仿宋_GB2312" w:eastAsia="仿宋_GB2312"/>
          <w:sz w:val="32"/>
          <w:szCs w:val="32"/>
        </w:rPr>
        <w:t>人，其中：行政人员1</w:t>
      </w:r>
      <w:r>
        <w:rPr>
          <w:rFonts w:hint="eastAsia" w:ascii="仿宋_GB2312" w:eastAsia="仿宋_GB2312"/>
          <w:sz w:val="32"/>
          <w:szCs w:val="32"/>
          <w:lang w:val="en-US" w:eastAsia="zh-CN"/>
        </w:rPr>
        <w:t>3</w:t>
      </w:r>
      <w:r>
        <w:rPr>
          <w:rFonts w:hint="eastAsia" w:ascii="仿宋_GB2312" w:eastAsia="仿宋_GB2312"/>
          <w:sz w:val="32"/>
          <w:szCs w:val="32"/>
        </w:rPr>
        <w:t>人，工勤4人，其他事业人员1</w:t>
      </w:r>
      <w:r>
        <w:rPr>
          <w:rFonts w:hint="eastAsia" w:ascii="仿宋_GB2312" w:eastAsia="仿宋_GB2312"/>
          <w:sz w:val="32"/>
          <w:szCs w:val="32"/>
          <w:lang w:val="en-US" w:eastAsia="zh-CN"/>
        </w:rPr>
        <w:t>9</w:t>
      </w:r>
      <w:r>
        <w:rPr>
          <w:rFonts w:hint="eastAsia" w:ascii="仿宋_GB2312" w:eastAsia="仿宋_GB2312"/>
          <w:sz w:val="32"/>
          <w:szCs w:val="32"/>
        </w:rPr>
        <w:t>人；离休人员</w:t>
      </w:r>
      <w:r>
        <w:rPr>
          <w:rFonts w:ascii="仿宋_GB2312" w:eastAsia="仿宋_GB2312"/>
          <w:sz w:val="32"/>
          <w:szCs w:val="32"/>
        </w:rPr>
        <w:t>0</w:t>
      </w:r>
      <w:r>
        <w:rPr>
          <w:rFonts w:hint="eastAsia" w:ascii="仿宋_GB2312" w:eastAsia="仿宋_GB2312"/>
          <w:sz w:val="32"/>
          <w:szCs w:val="32"/>
        </w:rPr>
        <w:t>人，退休人员</w:t>
      </w:r>
      <w:r>
        <w:rPr>
          <w:rFonts w:hint="eastAsia" w:ascii="仿宋_GB2312"/>
          <w:sz w:val="32"/>
          <w:szCs w:val="32"/>
          <w:lang w:val="en-US" w:eastAsia="zh-CN"/>
        </w:rPr>
        <w:t>9</w:t>
      </w:r>
      <w:r>
        <w:rPr>
          <w:rFonts w:hint="eastAsia" w:ascii="仿宋_GB2312" w:eastAsia="仿宋_GB2312"/>
          <w:sz w:val="32"/>
          <w:szCs w:val="32"/>
        </w:rPr>
        <w:t>人。</w:t>
      </w:r>
    </w:p>
    <w:p>
      <w:pPr>
        <w:keepNext w:val="0"/>
        <w:keepLines w:val="0"/>
        <w:pageBreakBefore w:val="0"/>
        <w:widowControl/>
        <w:kinsoku/>
        <w:wordWrap/>
        <w:overflowPunct/>
        <w:topLinePunct w:val="0"/>
        <w:autoSpaceDE/>
        <w:autoSpaceDN/>
        <w:bidi w:val="0"/>
        <w:adjustRightInd w:val="0"/>
        <w:snapToGrid w:val="0"/>
        <w:spacing w:line="550" w:lineRule="exact"/>
        <w:ind w:firstLine="720"/>
        <w:jc w:val="left"/>
        <w:textAlignment w:val="auto"/>
        <w:rPr>
          <w:rFonts w:hint="eastAsia" w:ascii="黑体" w:hAnsi="黑体" w:eastAsia="黑体"/>
          <w:b/>
          <w:color w:val="000000"/>
          <w:sz w:val="32"/>
          <w:szCs w:val="32"/>
        </w:rPr>
      </w:pPr>
      <w:r>
        <w:rPr>
          <w:rFonts w:hint="eastAsia" w:ascii="黑体" w:hAnsi="黑体" w:eastAsia="黑体"/>
          <w:b/>
          <w:color w:val="000000"/>
          <w:sz w:val="32"/>
          <w:szCs w:val="32"/>
        </w:rPr>
        <w:t>二、部门资金收支情况</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仿宋_GB2312" w:eastAsia="仿宋_GB2312"/>
          <w:sz w:val="32"/>
          <w:szCs w:val="32"/>
          <w:lang w:val="en-US" w:eastAsia="zh-CN"/>
        </w:rPr>
      </w:pPr>
      <w:r>
        <w:rPr>
          <w:rFonts w:hint="eastAsia" w:ascii="楷体_GB2312" w:hAnsi="Calibri" w:eastAsia="楷体_GB2312"/>
          <w:b/>
          <w:color w:val="000000"/>
          <w:sz w:val="32"/>
          <w:szCs w:val="32"/>
          <w:lang w:val="zh-CN"/>
        </w:rPr>
        <w:t>（一）收入情况。</w:t>
      </w:r>
      <w:r>
        <w:rPr>
          <w:rFonts w:hint="eastAsia" w:ascii="仿宋_GB2312" w:eastAsia="仿宋_GB2312"/>
          <w:sz w:val="32"/>
          <w:szCs w:val="32"/>
        </w:rPr>
        <w:t>202</w:t>
      </w:r>
      <w:r>
        <w:rPr>
          <w:rFonts w:hint="eastAsia" w:ascii="仿宋_GB2312" w:eastAsia="仿宋_GB2312"/>
          <w:sz w:val="32"/>
          <w:szCs w:val="32"/>
          <w:lang w:val="en-US" w:eastAsia="zh-CN"/>
        </w:rPr>
        <w:t>3</w:t>
      </w:r>
      <w:r>
        <w:rPr>
          <w:rFonts w:hint="eastAsia" w:ascii="仿宋_GB2312" w:eastAsia="仿宋_GB2312"/>
          <w:sz w:val="32"/>
          <w:szCs w:val="32"/>
        </w:rPr>
        <w:t>年收入预算执行数（收入决算数）为</w:t>
      </w:r>
      <w:r>
        <w:rPr>
          <w:rFonts w:hint="eastAsia" w:ascii="仿宋_GB2312" w:eastAsia="仿宋_GB2312"/>
          <w:sz w:val="32"/>
          <w:szCs w:val="32"/>
          <w:lang w:val="en-US" w:eastAsia="zh-CN"/>
        </w:rPr>
        <w:t>972.47万</w:t>
      </w:r>
      <w:r>
        <w:rPr>
          <w:rFonts w:hint="eastAsia" w:ascii="仿宋_GB2312" w:eastAsia="仿宋_GB2312"/>
          <w:sz w:val="32"/>
          <w:szCs w:val="32"/>
        </w:rPr>
        <w:t>元，较202</w:t>
      </w:r>
      <w:r>
        <w:rPr>
          <w:rFonts w:hint="eastAsia" w:ascii="仿宋_GB2312" w:eastAsia="仿宋_GB2312"/>
          <w:sz w:val="32"/>
          <w:szCs w:val="32"/>
          <w:lang w:val="en-US" w:eastAsia="zh-CN"/>
        </w:rPr>
        <w:t>2</w:t>
      </w:r>
      <w:r>
        <w:rPr>
          <w:rFonts w:hint="eastAsia" w:ascii="仿宋_GB2312" w:eastAsia="仿宋_GB2312"/>
          <w:sz w:val="32"/>
          <w:szCs w:val="32"/>
        </w:rPr>
        <w:t>年同期数862</w:t>
      </w:r>
      <w:r>
        <w:rPr>
          <w:rFonts w:hint="eastAsia" w:ascii="仿宋_GB2312" w:eastAsia="仿宋_GB2312"/>
          <w:sz w:val="32"/>
          <w:szCs w:val="32"/>
          <w:lang w:val="en-US" w:eastAsia="zh-CN"/>
        </w:rPr>
        <w:t>.</w:t>
      </w:r>
      <w:r>
        <w:rPr>
          <w:rFonts w:hint="eastAsia" w:ascii="仿宋_GB2312" w:eastAsia="仿宋_GB2312"/>
          <w:sz w:val="32"/>
          <w:szCs w:val="32"/>
        </w:rPr>
        <w:t>8</w:t>
      </w:r>
      <w:r>
        <w:rPr>
          <w:rFonts w:hint="eastAsia" w:ascii="仿宋_GB2312" w:eastAsia="仿宋_GB2312"/>
          <w:sz w:val="32"/>
          <w:szCs w:val="32"/>
          <w:lang w:val="en-US" w:eastAsia="zh-CN"/>
        </w:rPr>
        <w:t>6万</w:t>
      </w:r>
      <w:r>
        <w:rPr>
          <w:rFonts w:hint="eastAsia" w:ascii="仿宋_GB2312" w:eastAsia="仿宋_GB2312"/>
          <w:sz w:val="32"/>
          <w:szCs w:val="32"/>
        </w:rPr>
        <w:t>元增加</w:t>
      </w:r>
      <w:r>
        <w:rPr>
          <w:rFonts w:hint="eastAsia" w:ascii="仿宋_GB2312" w:eastAsia="仿宋_GB2312"/>
          <w:sz w:val="32"/>
          <w:szCs w:val="32"/>
          <w:lang w:val="en-US" w:eastAsia="zh-CN"/>
        </w:rPr>
        <w:t>109.62万元，其他资金257.87万元，为单位代管资金。</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eastAsia="仿宋_GB2312"/>
          <w:sz w:val="32"/>
          <w:szCs w:val="32"/>
        </w:rPr>
      </w:pPr>
      <w:r>
        <w:rPr>
          <w:rFonts w:hint="eastAsia" w:ascii="楷体_GB2312" w:hAnsi="Calibri" w:eastAsia="楷体_GB2312" w:cs="Times New Roman"/>
          <w:b/>
          <w:color w:val="000000"/>
          <w:sz w:val="32"/>
          <w:szCs w:val="32"/>
          <w:lang w:val="zh-CN"/>
        </w:rPr>
        <w:t>（二）支出情况。</w:t>
      </w:r>
      <w:r>
        <w:rPr>
          <w:rFonts w:hint="eastAsia" w:ascii="仿宋_GB2312" w:eastAsia="仿宋_GB2312"/>
          <w:sz w:val="32"/>
          <w:szCs w:val="32"/>
        </w:rPr>
        <w:t>202</w:t>
      </w:r>
      <w:r>
        <w:rPr>
          <w:rFonts w:hint="eastAsia" w:ascii="仿宋_GB2312" w:eastAsia="仿宋_GB2312"/>
          <w:sz w:val="32"/>
          <w:szCs w:val="32"/>
          <w:lang w:val="en-US" w:eastAsia="zh-CN"/>
        </w:rPr>
        <w:t>3</w:t>
      </w:r>
      <w:r>
        <w:rPr>
          <w:rFonts w:hint="eastAsia" w:ascii="仿宋_GB2312" w:eastAsia="仿宋_GB2312"/>
          <w:sz w:val="32"/>
          <w:szCs w:val="32"/>
        </w:rPr>
        <w:t>年支出预算执行数（支出决算数）为</w:t>
      </w:r>
      <w:r>
        <w:rPr>
          <w:rFonts w:hint="eastAsia" w:ascii="仿宋_GB2312" w:eastAsia="仿宋_GB2312"/>
          <w:sz w:val="32"/>
          <w:szCs w:val="32"/>
          <w:lang w:val="en-US" w:eastAsia="zh-CN"/>
        </w:rPr>
        <w:t>9724742.15</w:t>
      </w:r>
      <w:r>
        <w:rPr>
          <w:rFonts w:hint="eastAsia" w:ascii="仿宋_GB2312" w:eastAsia="仿宋_GB2312"/>
          <w:sz w:val="32"/>
          <w:szCs w:val="32"/>
        </w:rPr>
        <w:t>元，较202</w:t>
      </w:r>
      <w:r>
        <w:rPr>
          <w:rFonts w:hint="eastAsia" w:ascii="仿宋_GB2312" w:eastAsia="仿宋_GB2312"/>
          <w:sz w:val="32"/>
          <w:szCs w:val="32"/>
          <w:lang w:val="en-US" w:eastAsia="zh-CN"/>
        </w:rPr>
        <w:t>2</w:t>
      </w:r>
      <w:r>
        <w:rPr>
          <w:rFonts w:hint="eastAsia" w:ascii="仿宋_GB2312" w:eastAsia="仿宋_GB2312"/>
          <w:sz w:val="32"/>
          <w:szCs w:val="32"/>
        </w:rPr>
        <w:t>年同期数862</w:t>
      </w:r>
      <w:r>
        <w:rPr>
          <w:rFonts w:hint="eastAsia" w:ascii="仿宋_GB2312" w:eastAsia="仿宋_GB2312"/>
          <w:sz w:val="32"/>
          <w:szCs w:val="32"/>
          <w:lang w:val="en-US" w:eastAsia="zh-CN"/>
        </w:rPr>
        <w:t>.</w:t>
      </w:r>
      <w:r>
        <w:rPr>
          <w:rFonts w:hint="eastAsia" w:ascii="仿宋_GB2312" w:eastAsia="仿宋_GB2312"/>
          <w:sz w:val="32"/>
          <w:szCs w:val="32"/>
        </w:rPr>
        <w:t>8</w:t>
      </w:r>
      <w:r>
        <w:rPr>
          <w:rFonts w:hint="eastAsia" w:ascii="仿宋_GB2312" w:eastAsia="仿宋_GB2312"/>
          <w:sz w:val="32"/>
          <w:szCs w:val="32"/>
          <w:lang w:val="en-US" w:eastAsia="zh-CN"/>
        </w:rPr>
        <w:t>6万</w:t>
      </w:r>
      <w:r>
        <w:rPr>
          <w:rFonts w:hint="eastAsia" w:ascii="仿宋_GB2312" w:eastAsia="仿宋_GB2312"/>
          <w:sz w:val="32"/>
          <w:szCs w:val="32"/>
        </w:rPr>
        <w:t>元增加</w:t>
      </w:r>
      <w:r>
        <w:rPr>
          <w:rFonts w:hint="eastAsia" w:ascii="仿宋_GB2312" w:eastAsia="仿宋_GB2312"/>
          <w:sz w:val="32"/>
          <w:szCs w:val="32"/>
          <w:lang w:val="en-US" w:eastAsia="zh-CN"/>
        </w:rPr>
        <w:t>109.62万</w:t>
      </w:r>
      <w:r>
        <w:rPr>
          <w:rFonts w:hint="eastAsia" w:ascii="仿宋_GB2312" w:eastAsia="仿宋_GB2312"/>
          <w:sz w:val="32"/>
          <w:szCs w:val="32"/>
        </w:rPr>
        <w:t>元</w:t>
      </w:r>
      <w:r>
        <w:rPr>
          <w:rFonts w:hint="eastAsia" w:ascii="仿宋_GB2312" w:eastAsia="仿宋_GB2312"/>
          <w:sz w:val="32"/>
          <w:szCs w:val="32"/>
          <w:lang w:eastAsia="zh-CN"/>
        </w:rPr>
        <w:t>，</w:t>
      </w:r>
      <w:r>
        <w:rPr>
          <w:rFonts w:hint="eastAsia" w:ascii="仿宋_GB2312" w:eastAsia="仿宋_GB2312"/>
          <w:sz w:val="32"/>
          <w:szCs w:val="32"/>
          <w:lang w:val="en-US" w:eastAsia="zh-CN"/>
        </w:rPr>
        <w:t>其他资金257.87万元，为单位代管资金</w:t>
      </w:r>
      <w:r>
        <w:rPr>
          <w:rFonts w:hint="eastAsia" w:ascii="仿宋_GB2312" w:eastAsia="仿宋_GB2312"/>
          <w:sz w:val="32"/>
          <w:szCs w:val="32"/>
        </w:rPr>
        <w:t>。其中：1.202</w:t>
      </w:r>
      <w:r>
        <w:rPr>
          <w:rFonts w:hint="eastAsia" w:ascii="仿宋_GB2312" w:eastAsia="仿宋_GB2312"/>
          <w:sz w:val="32"/>
          <w:szCs w:val="32"/>
          <w:lang w:val="en-US" w:eastAsia="zh-CN"/>
        </w:rPr>
        <w:t>3</w:t>
      </w:r>
      <w:r>
        <w:rPr>
          <w:rFonts w:hint="eastAsia" w:ascii="仿宋_GB2312" w:eastAsia="仿宋_GB2312"/>
          <w:sz w:val="32"/>
          <w:szCs w:val="32"/>
        </w:rPr>
        <w:t>年基本支出</w:t>
      </w:r>
      <w:r>
        <w:rPr>
          <w:rFonts w:hint="eastAsia" w:ascii="仿宋_GB2312" w:eastAsia="仿宋_GB2312"/>
          <w:sz w:val="32"/>
          <w:szCs w:val="32"/>
          <w:lang w:val="en-US" w:eastAsia="zh-CN"/>
        </w:rPr>
        <w:t>706.43万</w:t>
      </w:r>
      <w:r>
        <w:rPr>
          <w:rFonts w:hint="eastAsia" w:ascii="仿宋_GB2312" w:eastAsia="仿宋_GB2312"/>
          <w:sz w:val="32"/>
          <w:szCs w:val="32"/>
        </w:rPr>
        <w:t>元，较上年同期数626</w:t>
      </w:r>
      <w:r>
        <w:rPr>
          <w:rFonts w:hint="eastAsia" w:ascii="仿宋_GB2312"/>
          <w:sz w:val="32"/>
          <w:szCs w:val="32"/>
          <w:lang w:val="en-US" w:eastAsia="zh-CN"/>
        </w:rPr>
        <w:t>.</w:t>
      </w:r>
      <w:r>
        <w:rPr>
          <w:rFonts w:hint="eastAsia" w:ascii="仿宋_GB2312" w:eastAsia="仿宋_GB2312"/>
          <w:sz w:val="32"/>
          <w:szCs w:val="32"/>
        </w:rPr>
        <w:t>94</w:t>
      </w:r>
      <w:r>
        <w:rPr>
          <w:rFonts w:hint="eastAsia" w:ascii="仿宋_GB2312"/>
          <w:sz w:val="32"/>
          <w:szCs w:val="32"/>
          <w:lang w:val="en-US" w:eastAsia="zh-CN"/>
        </w:rPr>
        <w:t>万</w:t>
      </w:r>
      <w:r>
        <w:rPr>
          <w:rFonts w:hint="eastAsia" w:ascii="仿宋_GB2312" w:eastAsia="仿宋_GB2312"/>
          <w:sz w:val="32"/>
          <w:szCs w:val="32"/>
        </w:rPr>
        <w:t>元增加</w:t>
      </w:r>
      <w:r>
        <w:rPr>
          <w:rFonts w:hint="eastAsia" w:ascii="仿宋_GB2312" w:eastAsia="仿宋_GB2312"/>
          <w:sz w:val="32"/>
          <w:szCs w:val="32"/>
          <w:lang w:val="en-US" w:eastAsia="zh-CN"/>
        </w:rPr>
        <w:t>79</w:t>
      </w:r>
      <w:r>
        <w:rPr>
          <w:rFonts w:hint="eastAsia" w:ascii="仿宋_GB2312"/>
          <w:sz w:val="32"/>
          <w:szCs w:val="32"/>
          <w:lang w:val="en-US" w:eastAsia="zh-CN"/>
        </w:rPr>
        <w:t>.</w:t>
      </w:r>
      <w:r>
        <w:rPr>
          <w:rFonts w:hint="eastAsia" w:ascii="仿宋_GB2312" w:eastAsia="仿宋_GB2312"/>
          <w:sz w:val="32"/>
          <w:szCs w:val="32"/>
          <w:lang w:val="en-US" w:eastAsia="zh-CN"/>
        </w:rPr>
        <w:t>49</w:t>
      </w:r>
      <w:r>
        <w:rPr>
          <w:rFonts w:hint="eastAsia" w:ascii="仿宋_GB2312"/>
          <w:sz w:val="32"/>
          <w:szCs w:val="32"/>
          <w:lang w:val="en-US" w:eastAsia="zh-CN"/>
        </w:rPr>
        <w:t>万</w:t>
      </w:r>
      <w:r>
        <w:rPr>
          <w:rFonts w:hint="eastAsia" w:ascii="仿宋_GB2312" w:eastAsia="仿宋_GB2312"/>
          <w:sz w:val="32"/>
          <w:szCs w:val="32"/>
        </w:rPr>
        <w:t>元。基本支出中人员经费支出</w:t>
      </w:r>
      <w:r>
        <w:rPr>
          <w:rFonts w:hint="eastAsia" w:ascii="仿宋_GB2312" w:eastAsia="仿宋_GB2312"/>
          <w:sz w:val="32"/>
          <w:szCs w:val="32"/>
          <w:lang w:val="en-US" w:eastAsia="zh-CN"/>
        </w:rPr>
        <w:t>681</w:t>
      </w:r>
      <w:r>
        <w:rPr>
          <w:rFonts w:hint="eastAsia" w:ascii="仿宋_GB2312"/>
          <w:sz w:val="32"/>
          <w:szCs w:val="32"/>
          <w:lang w:val="en-US" w:eastAsia="zh-CN"/>
        </w:rPr>
        <w:t>.</w:t>
      </w:r>
      <w:r>
        <w:rPr>
          <w:rFonts w:hint="eastAsia" w:ascii="仿宋_GB2312" w:eastAsia="仿宋_GB2312"/>
          <w:sz w:val="32"/>
          <w:szCs w:val="32"/>
          <w:lang w:val="en-US" w:eastAsia="zh-CN"/>
        </w:rPr>
        <w:t>15</w:t>
      </w:r>
      <w:r>
        <w:rPr>
          <w:rFonts w:hint="eastAsia" w:ascii="仿宋_GB2312"/>
          <w:sz w:val="32"/>
          <w:szCs w:val="32"/>
          <w:lang w:val="en-US" w:eastAsia="zh-CN"/>
        </w:rPr>
        <w:t>万</w:t>
      </w:r>
      <w:r>
        <w:rPr>
          <w:rFonts w:hint="eastAsia" w:ascii="仿宋_GB2312" w:eastAsia="仿宋_GB2312"/>
          <w:sz w:val="32"/>
          <w:szCs w:val="32"/>
        </w:rPr>
        <w:t>元，较上年同期数604</w:t>
      </w:r>
      <w:r>
        <w:rPr>
          <w:rFonts w:hint="eastAsia" w:ascii="仿宋_GB2312"/>
          <w:sz w:val="32"/>
          <w:szCs w:val="32"/>
          <w:lang w:val="en-US" w:eastAsia="zh-CN"/>
        </w:rPr>
        <w:t>.</w:t>
      </w:r>
      <w:r>
        <w:rPr>
          <w:rFonts w:hint="eastAsia" w:ascii="仿宋_GB2312" w:eastAsia="仿宋_GB2312"/>
          <w:sz w:val="32"/>
          <w:szCs w:val="32"/>
        </w:rPr>
        <w:t>1</w:t>
      </w:r>
      <w:r>
        <w:rPr>
          <w:rFonts w:hint="eastAsia" w:ascii="仿宋_GB2312"/>
          <w:sz w:val="32"/>
          <w:szCs w:val="32"/>
          <w:lang w:val="en-US" w:eastAsia="zh-CN"/>
        </w:rPr>
        <w:t>4万</w:t>
      </w:r>
      <w:r>
        <w:rPr>
          <w:rFonts w:hint="eastAsia" w:ascii="仿宋_GB2312" w:eastAsia="仿宋_GB2312"/>
          <w:sz w:val="32"/>
          <w:szCs w:val="32"/>
        </w:rPr>
        <w:t>元增加</w:t>
      </w:r>
      <w:r>
        <w:rPr>
          <w:rFonts w:hint="eastAsia" w:ascii="仿宋_GB2312" w:eastAsia="仿宋_GB2312"/>
          <w:sz w:val="32"/>
          <w:szCs w:val="32"/>
          <w:lang w:val="en-US" w:eastAsia="zh-CN"/>
        </w:rPr>
        <w:t>77</w:t>
      </w:r>
      <w:r>
        <w:rPr>
          <w:rFonts w:hint="eastAsia" w:ascii="仿宋_GB2312"/>
          <w:sz w:val="32"/>
          <w:szCs w:val="32"/>
          <w:lang w:val="en-US" w:eastAsia="zh-CN"/>
        </w:rPr>
        <w:t>.</w:t>
      </w:r>
      <w:r>
        <w:rPr>
          <w:rFonts w:hint="eastAsia" w:ascii="仿宋_GB2312" w:eastAsia="仿宋_GB2312"/>
          <w:sz w:val="32"/>
          <w:szCs w:val="32"/>
          <w:lang w:val="en-US" w:eastAsia="zh-CN"/>
        </w:rPr>
        <w:t>0</w:t>
      </w:r>
      <w:r>
        <w:rPr>
          <w:rFonts w:hint="eastAsia" w:ascii="仿宋_GB2312"/>
          <w:sz w:val="32"/>
          <w:szCs w:val="32"/>
          <w:lang w:val="en-US" w:eastAsia="zh-CN"/>
        </w:rPr>
        <w:t>2万</w:t>
      </w:r>
      <w:r>
        <w:rPr>
          <w:rFonts w:hint="eastAsia" w:ascii="仿宋_GB2312" w:eastAsia="仿宋_GB2312"/>
          <w:sz w:val="32"/>
          <w:szCs w:val="32"/>
        </w:rPr>
        <w:t>元。其中：基本支出中日常公用经费支出</w:t>
      </w:r>
      <w:r>
        <w:rPr>
          <w:rFonts w:hint="eastAsia" w:ascii="仿宋_GB2312" w:eastAsia="仿宋_GB2312"/>
          <w:sz w:val="32"/>
          <w:szCs w:val="32"/>
          <w:lang w:val="en-US" w:eastAsia="zh-CN"/>
        </w:rPr>
        <w:t>25</w:t>
      </w:r>
      <w:r>
        <w:rPr>
          <w:rFonts w:hint="eastAsia" w:ascii="仿宋_GB2312"/>
          <w:sz w:val="32"/>
          <w:szCs w:val="32"/>
          <w:lang w:val="en-US" w:eastAsia="zh-CN"/>
        </w:rPr>
        <w:t>.</w:t>
      </w:r>
      <w:r>
        <w:rPr>
          <w:rFonts w:hint="eastAsia" w:ascii="仿宋_GB2312" w:eastAsia="仿宋_GB2312"/>
          <w:sz w:val="32"/>
          <w:szCs w:val="32"/>
          <w:lang w:val="en-US" w:eastAsia="zh-CN"/>
        </w:rPr>
        <w:t>28</w:t>
      </w:r>
      <w:r>
        <w:rPr>
          <w:rFonts w:hint="eastAsia" w:ascii="仿宋_GB2312"/>
          <w:sz w:val="32"/>
          <w:szCs w:val="32"/>
          <w:lang w:val="en-US" w:eastAsia="zh-CN"/>
        </w:rPr>
        <w:t>万</w:t>
      </w:r>
      <w:r>
        <w:rPr>
          <w:rFonts w:hint="eastAsia" w:ascii="仿宋_GB2312" w:eastAsia="仿宋_GB2312"/>
          <w:sz w:val="32"/>
          <w:szCs w:val="32"/>
        </w:rPr>
        <w:t>元，较上年同期数22</w:t>
      </w:r>
      <w:r>
        <w:rPr>
          <w:rFonts w:hint="eastAsia" w:ascii="仿宋_GB2312"/>
          <w:sz w:val="32"/>
          <w:szCs w:val="32"/>
          <w:lang w:val="en-US" w:eastAsia="zh-CN"/>
        </w:rPr>
        <w:t>.</w:t>
      </w:r>
      <w:r>
        <w:rPr>
          <w:rFonts w:hint="eastAsia" w:ascii="仿宋_GB2312" w:eastAsia="仿宋_GB2312"/>
          <w:sz w:val="32"/>
          <w:szCs w:val="32"/>
        </w:rPr>
        <w:t>80</w:t>
      </w:r>
      <w:r>
        <w:rPr>
          <w:rFonts w:hint="eastAsia" w:ascii="仿宋_GB2312"/>
          <w:sz w:val="32"/>
          <w:szCs w:val="32"/>
          <w:lang w:val="en-US" w:eastAsia="zh-CN"/>
        </w:rPr>
        <w:t>万</w:t>
      </w:r>
      <w:r>
        <w:rPr>
          <w:rFonts w:hint="eastAsia" w:ascii="仿宋_GB2312" w:eastAsia="仿宋_GB2312"/>
          <w:sz w:val="32"/>
          <w:szCs w:val="32"/>
        </w:rPr>
        <w:t>元</w:t>
      </w:r>
      <w:r>
        <w:rPr>
          <w:rFonts w:hint="eastAsia" w:ascii="仿宋_GB2312" w:eastAsia="仿宋_GB2312"/>
          <w:sz w:val="32"/>
          <w:szCs w:val="32"/>
          <w:lang w:val="en-US" w:eastAsia="zh-CN"/>
        </w:rPr>
        <w:t>增加2</w:t>
      </w:r>
      <w:r>
        <w:rPr>
          <w:rFonts w:hint="eastAsia" w:ascii="仿宋_GB2312"/>
          <w:sz w:val="32"/>
          <w:szCs w:val="32"/>
          <w:lang w:val="en-US" w:eastAsia="zh-CN"/>
        </w:rPr>
        <w:t>.</w:t>
      </w:r>
      <w:r>
        <w:rPr>
          <w:rFonts w:hint="eastAsia" w:ascii="仿宋_GB2312" w:eastAsia="仿宋_GB2312"/>
          <w:sz w:val="32"/>
          <w:szCs w:val="32"/>
          <w:lang w:val="en-US" w:eastAsia="zh-CN"/>
        </w:rPr>
        <w:t>4</w:t>
      </w:r>
      <w:r>
        <w:rPr>
          <w:rFonts w:hint="eastAsia" w:ascii="仿宋_GB2312"/>
          <w:sz w:val="32"/>
          <w:szCs w:val="32"/>
          <w:lang w:val="en-US" w:eastAsia="zh-CN"/>
        </w:rPr>
        <w:t>8万</w:t>
      </w:r>
      <w:r>
        <w:rPr>
          <w:rFonts w:hint="eastAsia" w:ascii="仿宋_GB2312" w:eastAsia="仿宋_GB2312"/>
          <w:sz w:val="32"/>
          <w:szCs w:val="32"/>
        </w:rPr>
        <w:t>元。202</w:t>
      </w:r>
      <w:r>
        <w:rPr>
          <w:rFonts w:hint="eastAsia" w:ascii="仿宋_GB2312" w:eastAsia="仿宋_GB2312"/>
          <w:sz w:val="32"/>
          <w:szCs w:val="32"/>
          <w:lang w:val="en-US" w:eastAsia="zh-CN"/>
        </w:rPr>
        <w:t>3</w:t>
      </w:r>
      <w:r>
        <w:rPr>
          <w:rFonts w:hint="eastAsia" w:ascii="仿宋_GB2312" w:eastAsia="仿宋_GB2312"/>
          <w:sz w:val="32"/>
          <w:szCs w:val="32"/>
        </w:rPr>
        <w:t>年项目支出</w:t>
      </w:r>
      <w:r>
        <w:rPr>
          <w:rFonts w:hint="eastAsia" w:ascii="仿宋_GB2312" w:eastAsia="仿宋_GB2312"/>
          <w:sz w:val="32"/>
          <w:szCs w:val="32"/>
          <w:lang w:val="en-US" w:eastAsia="zh-CN"/>
        </w:rPr>
        <w:t>266</w:t>
      </w:r>
      <w:r>
        <w:rPr>
          <w:rFonts w:hint="eastAsia" w:ascii="仿宋_GB2312"/>
          <w:sz w:val="32"/>
          <w:szCs w:val="32"/>
          <w:lang w:val="en-US" w:eastAsia="zh-CN"/>
        </w:rPr>
        <w:t>.</w:t>
      </w:r>
      <w:r>
        <w:rPr>
          <w:rFonts w:hint="eastAsia" w:ascii="仿宋_GB2312" w:eastAsia="仿宋_GB2312"/>
          <w:sz w:val="32"/>
          <w:szCs w:val="32"/>
          <w:lang w:val="en-US" w:eastAsia="zh-CN"/>
        </w:rPr>
        <w:t>04</w:t>
      </w:r>
      <w:r>
        <w:rPr>
          <w:rFonts w:hint="eastAsia" w:ascii="仿宋_GB2312"/>
          <w:sz w:val="32"/>
          <w:szCs w:val="32"/>
          <w:lang w:val="en-US" w:eastAsia="zh-CN"/>
        </w:rPr>
        <w:t>万</w:t>
      </w:r>
      <w:r>
        <w:rPr>
          <w:rFonts w:hint="eastAsia" w:ascii="仿宋_GB2312" w:eastAsia="仿宋_GB2312"/>
          <w:sz w:val="32"/>
          <w:szCs w:val="32"/>
          <w:lang w:val="en-US" w:eastAsia="zh-CN"/>
        </w:rPr>
        <w:t>元</w:t>
      </w:r>
      <w:r>
        <w:rPr>
          <w:rFonts w:hint="eastAsia" w:ascii="仿宋_GB2312" w:eastAsia="仿宋_GB2312"/>
          <w:sz w:val="32"/>
          <w:szCs w:val="32"/>
        </w:rPr>
        <w:t>，其中：</w:t>
      </w:r>
      <w:r>
        <w:rPr>
          <w:rFonts w:hint="eastAsia" w:ascii="仿宋_GB2312" w:eastAsia="仿宋_GB2312"/>
          <w:sz w:val="32"/>
          <w:szCs w:val="32"/>
          <w:lang w:val="en-US" w:eastAsia="zh-CN"/>
        </w:rPr>
        <w:t>实训基地建设项目</w:t>
      </w:r>
      <w:r>
        <w:rPr>
          <w:rFonts w:hint="eastAsia" w:ascii="仿宋_GB2312"/>
          <w:sz w:val="32"/>
          <w:szCs w:val="32"/>
          <w:lang w:val="en-US" w:eastAsia="zh-CN"/>
        </w:rPr>
        <w:t>26.62万</w:t>
      </w:r>
      <w:r>
        <w:rPr>
          <w:rFonts w:hint="eastAsia" w:ascii="仿宋_GB2312" w:eastAsia="仿宋_GB2312"/>
          <w:sz w:val="32"/>
          <w:szCs w:val="32"/>
        </w:rPr>
        <w:t>元</w:t>
      </w:r>
      <w:r>
        <w:rPr>
          <w:rFonts w:hint="eastAsia" w:ascii="仿宋_GB2312" w:eastAsia="仿宋_GB2312"/>
          <w:sz w:val="32"/>
          <w:szCs w:val="32"/>
          <w:lang w:eastAsia="zh-CN"/>
        </w:rPr>
        <w:t>；</w:t>
      </w:r>
      <w:r>
        <w:rPr>
          <w:rFonts w:hint="eastAsia" w:ascii="仿宋_GB2312" w:eastAsia="仿宋_GB2312"/>
          <w:sz w:val="32"/>
          <w:szCs w:val="32"/>
          <w:lang w:val="en-US" w:eastAsia="zh-CN"/>
        </w:rPr>
        <w:t>人社公共服务能力建设资金6</w:t>
      </w:r>
      <w:r>
        <w:rPr>
          <w:rFonts w:hint="eastAsia" w:ascii="仿宋_GB2312"/>
          <w:sz w:val="32"/>
          <w:szCs w:val="32"/>
          <w:lang w:val="en-US" w:eastAsia="zh-CN"/>
        </w:rPr>
        <w:t>.</w:t>
      </w:r>
      <w:r>
        <w:rPr>
          <w:rFonts w:hint="eastAsia" w:ascii="仿宋_GB2312" w:eastAsia="仿宋_GB2312"/>
          <w:sz w:val="32"/>
          <w:szCs w:val="32"/>
          <w:lang w:val="en-US" w:eastAsia="zh-CN"/>
        </w:rPr>
        <w:t>42</w:t>
      </w:r>
      <w:r>
        <w:rPr>
          <w:rFonts w:hint="eastAsia" w:ascii="仿宋_GB2312"/>
          <w:sz w:val="32"/>
          <w:szCs w:val="32"/>
          <w:lang w:val="en-US" w:eastAsia="zh-CN"/>
        </w:rPr>
        <w:t>万</w:t>
      </w:r>
      <w:r>
        <w:rPr>
          <w:rFonts w:hint="eastAsia" w:ascii="仿宋_GB2312" w:eastAsia="仿宋_GB2312"/>
          <w:sz w:val="32"/>
          <w:szCs w:val="32"/>
          <w:lang w:val="en-US" w:eastAsia="zh-CN"/>
        </w:rPr>
        <w:t>元；归还</w:t>
      </w:r>
      <w:r>
        <w:rPr>
          <w:rFonts w:hint="eastAsia" w:ascii="仿宋_GB2312" w:eastAsia="仿宋_GB2312"/>
          <w:sz w:val="32"/>
          <w:szCs w:val="32"/>
        </w:rPr>
        <w:t>东西部协作</w:t>
      </w:r>
      <w:r>
        <w:rPr>
          <w:rFonts w:hint="eastAsia" w:ascii="仿宋_GB2312" w:eastAsia="仿宋_GB2312"/>
          <w:sz w:val="32"/>
          <w:szCs w:val="32"/>
          <w:lang w:val="en-US" w:eastAsia="zh-CN"/>
        </w:rPr>
        <w:t>对口联络站建设</w:t>
      </w:r>
      <w:r>
        <w:rPr>
          <w:rFonts w:hint="eastAsia" w:ascii="仿宋_GB2312" w:eastAsia="仿宋_GB2312"/>
          <w:sz w:val="32"/>
          <w:szCs w:val="32"/>
        </w:rPr>
        <w:t>项目</w:t>
      </w:r>
      <w:r>
        <w:rPr>
          <w:rFonts w:hint="eastAsia" w:ascii="仿宋_GB2312" w:eastAsia="仿宋_GB2312"/>
          <w:sz w:val="32"/>
          <w:szCs w:val="32"/>
          <w:lang w:val="en-US" w:eastAsia="zh-CN"/>
        </w:rPr>
        <w:t>资金33</w:t>
      </w:r>
      <w:r>
        <w:rPr>
          <w:rFonts w:hint="eastAsia" w:ascii="仿宋_GB2312"/>
          <w:sz w:val="32"/>
          <w:szCs w:val="32"/>
          <w:lang w:val="en-US" w:eastAsia="zh-CN"/>
        </w:rPr>
        <w:t>万</w:t>
      </w:r>
      <w:r>
        <w:rPr>
          <w:rFonts w:hint="eastAsia" w:ascii="仿宋_GB2312" w:eastAsia="仿宋_GB2312"/>
          <w:sz w:val="32"/>
          <w:szCs w:val="32"/>
        </w:rPr>
        <w:t>元</w:t>
      </w:r>
      <w:r>
        <w:rPr>
          <w:rFonts w:hint="eastAsia" w:ascii="仿宋_GB2312"/>
          <w:sz w:val="32"/>
          <w:szCs w:val="32"/>
          <w:lang w:eastAsia="zh-CN"/>
        </w:rPr>
        <w:t>；</w:t>
      </w:r>
      <w:r>
        <w:rPr>
          <w:rFonts w:hint="eastAsia" w:ascii="仿宋_GB2312"/>
          <w:sz w:val="32"/>
          <w:szCs w:val="32"/>
          <w:lang w:val="en-US" w:eastAsia="zh-CN"/>
        </w:rPr>
        <w:t>退还民工保证金200万元</w:t>
      </w:r>
      <w:r>
        <w:rPr>
          <w:rFonts w:hint="eastAsia" w:ascii="仿宋_GB2312" w:eastAsia="仿宋_GB2312"/>
          <w:sz w:val="32"/>
          <w:szCs w:val="32"/>
        </w:rPr>
        <w:t>。</w:t>
      </w:r>
    </w:p>
    <w:p>
      <w:pPr>
        <w:keepNext w:val="0"/>
        <w:keepLines w:val="0"/>
        <w:pageBreakBefore w:val="0"/>
        <w:widowControl/>
        <w:kinsoku/>
        <w:wordWrap/>
        <w:overflowPunct/>
        <w:topLinePunct w:val="0"/>
        <w:autoSpaceDE/>
        <w:autoSpaceDN/>
        <w:bidi w:val="0"/>
        <w:adjustRightInd w:val="0"/>
        <w:snapToGrid w:val="0"/>
        <w:spacing w:line="576" w:lineRule="exact"/>
        <w:ind w:firstLine="643" w:firstLineChars="200"/>
        <w:contextualSpacing/>
        <w:jc w:val="left"/>
        <w:textAlignment w:val="auto"/>
        <w:rPr>
          <w:rFonts w:hint="eastAsia" w:eastAsia="楷体_GB2312"/>
          <w:b/>
          <w:szCs w:val="32"/>
        </w:rPr>
      </w:pPr>
      <w:r>
        <w:rPr>
          <w:rFonts w:hint="eastAsia" w:ascii="楷体_GB2312" w:hAnsi="Calibri" w:eastAsia="楷体_GB2312" w:cs="Times New Roman"/>
          <w:b/>
          <w:color w:val="000000"/>
          <w:sz w:val="32"/>
          <w:szCs w:val="32"/>
          <w:lang w:val="zh-CN"/>
        </w:rPr>
        <w:t>（三）结余分配和结转结余情况。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Times New Roman" w:eastAsia="仿宋_GB2312" w:cs="Times New Roman"/>
          <w:sz w:val="32"/>
          <w:szCs w:val="32"/>
          <w:lang w:val="zh-CN" w:eastAsia="zh-CN"/>
        </w:rPr>
      </w:pPr>
      <w:r>
        <w:rPr>
          <w:rFonts w:hint="eastAsia" w:ascii="仿宋_GB2312" w:hAnsi="Times New Roman" w:eastAsia="仿宋_GB2312" w:cs="Times New Roman"/>
          <w:sz w:val="32"/>
          <w:szCs w:val="32"/>
          <w:lang w:val="en-US" w:eastAsia="zh-CN"/>
        </w:rPr>
        <w:t>我单位2023年决算报表无结转结余资金。</w:t>
      </w:r>
    </w:p>
    <w:p>
      <w:pPr>
        <w:keepNext w:val="0"/>
        <w:keepLines w:val="0"/>
        <w:pageBreakBefore w:val="0"/>
        <w:widowControl/>
        <w:kinsoku/>
        <w:wordWrap/>
        <w:overflowPunct/>
        <w:topLinePunct w:val="0"/>
        <w:autoSpaceDE/>
        <w:autoSpaceDN/>
        <w:bidi w:val="0"/>
        <w:adjustRightInd w:val="0"/>
        <w:snapToGrid w:val="0"/>
        <w:spacing w:line="576" w:lineRule="exact"/>
        <w:ind w:firstLine="720"/>
        <w:jc w:val="left"/>
        <w:textAlignment w:val="auto"/>
        <w:rPr>
          <w:rFonts w:hint="eastAsia" w:ascii="黑体" w:hAnsi="黑体" w:eastAsia="黑体" w:cs="Times New Roman"/>
          <w:b/>
          <w:color w:val="000000"/>
          <w:sz w:val="32"/>
          <w:szCs w:val="32"/>
        </w:rPr>
      </w:pPr>
      <w:r>
        <w:rPr>
          <w:rFonts w:hint="eastAsia" w:ascii="黑体" w:hAnsi="黑体" w:eastAsia="黑体" w:cs="Times New Roman"/>
          <w:b/>
          <w:color w:val="000000"/>
          <w:sz w:val="32"/>
          <w:szCs w:val="32"/>
        </w:rPr>
        <w:t>三、部门预算绩效分析</w:t>
      </w:r>
    </w:p>
    <w:p>
      <w:pPr>
        <w:keepNext w:val="0"/>
        <w:keepLines w:val="0"/>
        <w:pageBreakBefore w:val="0"/>
        <w:widowControl/>
        <w:kinsoku/>
        <w:wordWrap/>
        <w:overflowPunct/>
        <w:topLinePunct w:val="0"/>
        <w:autoSpaceDE/>
        <w:autoSpaceDN/>
        <w:bidi w:val="0"/>
        <w:adjustRightInd w:val="0"/>
        <w:snapToGrid w:val="0"/>
        <w:spacing w:line="576" w:lineRule="exact"/>
        <w:ind w:firstLine="643" w:firstLineChars="200"/>
        <w:contextualSpacing/>
        <w:jc w:val="left"/>
        <w:textAlignment w:val="auto"/>
        <w:rPr>
          <w:rFonts w:hint="eastAsia" w:ascii="楷体_GB2312" w:hAnsi="Calibri" w:eastAsia="楷体_GB2312" w:cs="Times New Roman"/>
          <w:b/>
          <w:color w:val="000000"/>
          <w:sz w:val="32"/>
          <w:szCs w:val="32"/>
          <w:lang w:val="zh-CN"/>
        </w:rPr>
      </w:pPr>
      <w:r>
        <w:rPr>
          <w:rFonts w:hint="eastAsia" w:ascii="楷体_GB2312" w:hAnsi="Calibri" w:eastAsia="楷体_GB2312" w:cs="Times New Roman"/>
          <w:b/>
          <w:color w:val="000000"/>
          <w:sz w:val="32"/>
          <w:szCs w:val="32"/>
          <w:lang w:val="zh-CN"/>
        </w:rPr>
        <w:t>（一）部门预算总体绩效分析。</w:t>
      </w:r>
    </w:p>
    <w:p>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eastAsia="仿宋_GB2312"/>
          <w:sz w:val="32"/>
          <w:szCs w:val="32"/>
        </w:rPr>
        <w:t>1.</w:t>
      </w:r>
      <w:r>
        <w:rPr>
          <w:rFonts w:hint="eastAsia" w:ascii="仿宋_GB2312" w:eastAsia="仿宋_GB2312"/>
          <w:sz w:val="32"/>
          <w:szCs w:val="32"/>
          <w:lang w:val="zh-CN"/>
        </w:rPr>
        <w:t>履职效能。</w:t>
      </w:r>
      <w:r>
        <w:rPr>
          <w:rFonts w:hint="eastAsia" w:ascii="仿宋_GB2312" w:hAnsi="仿宋_GB2312" w:eastAsia="仿宋_GB2312" w:cs="仿宋_GB2312"/>
          <w:b w:val="0"/>
          <w:bCs w:val="0"/>
          <w:color w:val="auto"/>
          <w:sz w:val="32"/>
          <w:szCs w:val="32"/>
          <w:highlight w:val="none"/>
          <w:lang w:val="en-US" w:eastAsia="zh-CN"/>
        </w:rPr>
        <w:t>茂县人社系统坚持不懈用习近平新时代中国特色社会主义思想凝心铸魂，高标准、严要求开展主题教育工作。全面落实党的二十大关于“实施就业优先战略、健全社会保障体系”等战略部署，</w:t>
      </w:r>
      <w:r>
        <w:rPr>
          <w:rFonts w:hint="eastAsia" w:ascii="仿宋_GB2312" w:eastAsia="仿宋_GB2312"/>
          <w:sz w:val="32"/>
          <w:szCs w:val="32"/>
          <w:lang w:eastAsia="zh-CN"/>
        </w:rPr>
        <w:t>坚持以人民为中心，以党建工作为引领，为茂县发展和民生幸福勇担使命、砥砺向前，在落实就业优先、促进人才建设、健全社会保障、改善劳动关系和优化公共服务方面取得较大成效</w:t>
      </w:r>
      <w:r>
        <w:rPr>
          <w:rFonts w:hint="eastAsia" w:ascii="仿宋_GB2312" w:eastAsia="仿宋_GB2312"/>
          <w:sz w:val="32"/>
          <w:szCs w:val="32"/>
          <w:lang w:val="zh-CN"/>
        </w:rPr>
        <w:t>。</w:t>
      </w:r>
      <w:r>
        <w:rPr>
          <w:rFonts w:hint="eastAsia" w:ascii="仿宋_GB2312"/>
          <w:sz w:val="32"/>
          <w:szCs w:val="32"/>
          <w:lang w:val="en-US" w:eastAsia="zh-CN"/>
        </w:rPr>
        <w:t>一是</w:t>
      </w:r>
      <w:r>
        <w:rPr>
          <w:rFonts w:hint="eastAsia" w:ascii="仿宋_GB2312" w:hAnsi="仿宋_GB2312" w:eastAsia="仿宋_GB2312" w:cs="仿宋_GB2312"/>
          <w:b w:val="0"/>
          <w:bCs w:val="0"/>
          <w:color w:val="auto"/>
          <w:sz w:val="32"/>
          <w:szCs w:val="32"/>
          <w:highlight w:val="none"/>
          <w:lang w:val="en-US" w:eastAsia="zh-CN"/>
        </w:rPr>
        <w:t>优化公共就业服务，牢牢稳住就业基本。</w:t>
      </w:r>
      <w:r>
        <w:rPr>
          <w:rFonts w:hint="eastAsia" w:ascii="仿宋_GB2312" w:hAnsi="仿宋_GB2312" w:cs="仿宋_GB2312"/>
          <w:b w:val="0"/>
          <w:bCs w:val="0"/>
          <w:color w:val="auto"/>
          <w:sz w:val="32"/>
          <w:szCs w:val="32"/>
          <w:highlight w:val="none"/>
          <w:lang w:val="en-US" w:eastAsia="zh-CN"/>
        </w:rPr>
        <w:t>二是</w:t>
      </w:r>
      <w:r>
        <w:rPr>
          <w:rFonts w:hint="eastAsia" w:ascii="仿宋_GB2312" w:hAnsi="仿宋_GB2312" w:eastAsia="仿宋_GB2312" w:cs="仿宋_GB2312"/>
          <w:b w:val="0"/>
          <w:bCs w:val="0"/>
          <w:color w:val="auto"/>
          <w:sz w:val="32"/>
          <w:szCs w:val="32"/>
          <w:highlight w:val="none"/>
          <w:lang w:val="en-US" w:eastAsia="zh-CN"/>
        </w:rPr>
        <w:t>兜牢社保民生底线，织密扎牢社会保障网。三是激发人才活力引擎，助力城市高质量发展。四是构建和谐同行关系，筑牢民工安薪责任网。</w:t>
      </w:r>
      <w:r>
        <w:rPr>
          <w:rFonts w:hint="eastAsia" w:ascii="仿宋_GB2312" w:hAnsi="仿宋_GB2312" w:cs="仿宋_GB2312"/>
          <w:b w:val="0"/>
          <w:bCs w:val="0"/>
          <w:color w:val="auto"/>
          <w:sz w:val="32"/>
          <w:szCs w:val="32"/>
          <w:highlight w:val="none"/>
          <w:lang w:val="en-US" w:eastAsia="zh-CN"/>
        </w:rPr>
        <w:t>五是</w:t>
      </w:r>
      <w:r>
        <w:rPr>
          <w:rFonts w:hint="eastAsia" w:ascii="仿宋_GB2312" w:hAnsi="仿宋_GB2312" w:eastAsia="仿宋_GB2312" w:cs="仿宋_GB2312"/>
          <w:b w:val="0"/>
          <w:bCs w:val="0"/>
          <w:color w:val="auto"/>
          <w:sz w:val="32"/>
          <w:szCs w:val="32"/>
          <w:highlight w:val="none"/>
          <w:lang w:val="en-US" w:eastAsia="zh-CN"/>
        </w:rPr>
        <w:t>纵深推进温暖人社，提升为民服务新高度。</w:t>
      </w:r>
    </w:p>
    <w:p>
      <w:pPr>
        <w:keepNext w:val="0"/>
        <w:keepLines w:val="0"/>
        <w:pageBreakBefore w:val="0"/>
        <w:kinsoku/>
        <w:wordWrap/>
        <w:overflowPunct/>
        <w:topLinePunct w:val="0"/>
        <w:autoSpaceDE/>
        <w:autoSpaceDN/>
        <w:bidi w:val="0"/>
        <w:spacing w:line="55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2.</w:t>
      </w:r>
      <w:r>
        <w:rPr>
          <w:rFonts w:hint="eastAsia" w:ascii="仿宋_GB2312" w:eastAsia="仿宋_GB2312"/>
          <w:sz w:val="32"/>
          <w:szCs w:val="32"/>
          <w:lang w:val="zh-CN"/>
        </w:rPr>
        <w:t>预算管理。</w:t>
      </w:r>
      <w:r>
        <w:rPr>
          <w:rFonts w:hint="eastAsia" w:ascii="仿宋_GB2312" w:eastAsia="仿宋_GB2312"/>
          <w:sz w:val="32"/>
          <w:szCs w:val="32"/>
        </w:rPr>
        <w:t>一是预算编制：严格按照财政部门预算编制通知明确的范围、标准等编制部门预算；人员和公用支出按定员定额标准编制预算；项目支出预算按规定开展了项目评审；与上年部门决算数据衔接编制结转资金；预算编制完成后报单位领导班子集体决策后再报财政部门。二是预算执行：我局无行政事业性收费等收费行为，不存在隐瞒、截留、挤占、挪用、坐支或私分情况；账户中归集的应缴非税收入于5个工作日内缴入财政专户或国库；不存在无预算、超预算、超标准、超范围列支人员经费、公用经费、项目经费；不存在违规发放工资、奖金、津贴补贴等问题；分配专项资金必须经党组集体决策，按规定履行了预算调剂程序；三是按规定处置了结余资金。</w:t>
      </w:r>
    </w:p>
    <w:p>
      <w:pPr>
        <w:keepNext w:val="0"/>
        <w:keepLines w:val="0"/>
        <w:pageBreakBefore w:val="0"/>
        <w:kinsoku/>
        <w:wordWrap/>
        <w:overflowPunct/>
        <w:topLinePunct w:val="0"/>
        <w:autoSpaceDE/>
        <w:autoSpaceDN/>
        <w:bidi w:val="0"/>
        <w:spacing w:line="55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3.</w:t>
      </w:r>
      <w:r>
        <w:rPr>
          <w:rFonts w:hint="eastAsia" w:ascii="仿宋_GB2312" w:eastAsia="仿宋_GB2312"/>
          <w:sz w:val="32"/>
          <w:szCs w:val="32"/>
          <w:lang w:val="zh-CN"/>
        </w:rPr>
        <w:t>财务管理。</w:t>
      </w:r>
      <w:r>
        <w:rPr>
          <w:rFonts w:hint="eastAsia" w:ascii="仿宋_GB2312" w:eastAsia="仿宋_GB2312"/>
          <w:sz w:val="32"/>
          <w:szCs w:val="32"/>
        </w:rPr>
        <w:t>我单位制定了《茂县人力资源和社会保障局财务管理制度》和《茂县人力资源和社会保障局财务报销审批制度》，进一步规范了机关财务和财产管理工作，节约费用开支，提高了资金使用效益，强化财务监督，严肃财经纪律。按照《会计法》《会计基础工作规范》规定，我</w:t>
      </w:r>
      <w:r>
        <w:rPr>
          <w:rFonts w:hint="eastAsia" w:ascii="仿宋_GB2312" w:eastAsia="仿宋_GB2312"/>
          <w:sz w:val="32"/>
          <w:szCs w:val="32"/>
          <w:lang w:val="en-US" w:eastAsia="zh-CN"/>
        </w:rPr>
        <w:t>单位配有专门的财务室，</w:t>
      </w:r>
      <w:r>
        <w:rPr>
          <w:rFonts w:hint="eastAsia" w:ascii="仿宋_GB2312" w:eastAsia="仿宋_GB2312"/>
          <w:sz w:val="32"/>
          <w:szCs w:val="32"/>
        </w:rPr>
        <w:t>根据会计业务需要配备</w:t>
      </w:r>
      <w:r>
        <w:rPr>
          <w:rFonts w:hint="eastAsia" w:ascii="仿宋_GB2312" w:eastAsia="仿宋_GB2312"/>
          <w:sz w:val="32"/>
          <w:szCs w:val="32"/>
          <w:lang w:val="en-US" w:eastAsia="zh-CN"/>
        </w:rPr>
        <w:t>专职财务人员2人，配备了财务资料柜4个。</w:t>
      </w:r>
      <w:r>
        <w:rPr>
          <w:rFonts w:hint="eastAsia" w:ascii="仿宋_GB2312" w:eastAsia="仿宋_GB2312"/>
          <w:sz w:val="32"/>
          <w:szCs w:val="32"/>
        </w:rPr>
        <w:t>并根据相关岗位制定了会计岗位职责和出纳岗位职责。</w:t>
      </w:r>
    </w:p>
    <w:p>
      <w:pPr>
        <w:keepNext w:val="0"/>
        <w:keepLines w:val="0"/>
        <w:pageBreakBefore w:val="0"/>
        <w:kinsoku/>
        <w:wordWrap/>
        <w:overflowPunct/>
        <w:topLinePunct w:val="0"/>
        <w:autoSpaceDE/>
        <w:autoSpaceDN/>
        <w:bidi w:val="0"/>
        <w:spacing w:line="55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4.</w:t>
      </w:r>
      <w:r>
        <w:rPr>
          <w:rFonts w:hint="eastAsia" w:ascii="仿宋_GB2312" w:eastAsia="仿宋_GB2312"/>
          <w:sz w:val="32"/>
          <w:szCs w:val="32"/>
          <w:lang w:val="zh-CN"/>
        </w:rPr>
        <w:t>资产管理。</w:t>
      </w:r>
      <w:r>
        <w:rPr>
          <w:rFonts w:hint="eastAsia" w:ascii="仿宋_GB2312" w:eastAsia="仿宋_GB2312"/>
          <w:sz w:val="32"/>
          <w:szCs w:val="32"/>
        </w:rPr>
        <w:t>进一步加强机关资产管理，单位所有固定资产由专人负责登记管理，办公室负责对单位固定资产实物情况进行全面管理；单位财务人员负责对固定资产账面价值进行审核统计并录入资产管理系统，对资产盘盈、盘亏、报废、清理等处置业务在获得有关部门审核批准后及时办理相应手续。通过对现有固定资产进行账物实物清查盘点，并按要求在四川省资产管理系统中准确、真实、完整地录入相关数据并上报。</w:t>
      </w:r>
    </w:p>
    <w:p>
      <w:pPr>
        <w:keepNext w:val="0"/>
        <w:keepLines w:val="0"/>
        <w:pageBreakBefore w:val="0"/>
        <w:kinsoku/>
        <w:wordWrap/>
        <w:overflowPunct/>
        <w:topLinePunct w:val="0"/>
        <w:autoSpaceDE/>
        <w:autoSpaceDN/>
        <w:bidi w:val="0"/>
        <w:spacing w:line="55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5.</w:t>
      </w:r>
      <w:r>
        <w:rPr>
          <w:rFonts w:hint="eastAsia" w:ascii="仿宋_GB2312" w:eastAsia="仿宋_GB2312"/>
          <w:sz w:val="32"/>
          <w:szCs w:val="32"/>
          <w:lang w:val="zh-CN"/>
        </w:rPr>
        <w:t>采购管理。</w:t>
      </w:r>
      <w:r>
        <w:rPr>
          <w:rFonts w:hint="eastAsia" w:ascii="仿宋_GB2312" w:eastAsia="仿宋_GB2312"/>
          <w:sz w:val="32"/>
          <w:szCs w:val="32"/>
        </w:rPr>
        <w:t>我局在2023年按要求自行组织采购办公设备一批，为进一步加强我局政府采购监督管理和规范政府采购行为，我局已建立相应的政府采购制度。</w:t>
      </w:r>
    </w:p>
    <w:p>
      <w:pPr>
        <w:keepNext w:val="0"/>
        <w:keepLines w:val="0"/>
        <w:pageBreakBefore w:val="0"/>
        <w:widowControl/>
        <w:kinsoku/>
        <w:wordWrap/>
        <w:overflowPunct/>
        <w:topLinePunct w:val="0"/>
        <w:autoSpaceDE/>
        <w:autoSpaceDN/>
        <w:bidi w:val="0"/>
        <w:adjustRightInd w:val="0"/>
        <w:snapToGrid w:val="0"/>
        <w:spacing w:line="550" w:lineRule="exact"/>
        <w:ind w:firstLine="643" w:firstLineChars="200"/>
        <w:contextualSpacing/>
        <w:jc w:val="left"/>
        <w:textAlignment w:val="auto"/>
        <w:rPr>
          <w:rFonts w:hint="eastAsia" w:ascii="楷体_GB2312" w:hAnsi="Calibri" w:eastAsia="楷体_GB2312" w:cs="Times New Roman"/>
          <w:b/>
          <w:color w:val="000000"/>
          <w:sz w:val="32"/>
          <w:szCs w:val="32"/>
          <w:lang w:val="zh-CN"/>
        </w:rPr>
      </w:pPr>
      <w:r>
        <w:rPr>
          <w:rFonts w:hint="eastAsia" w:ascii="楷体_GB2312" w:hAnsi="Calibri" w:eastAsia="楷体_GB2312" w:cs="Times New Roman"/>
          <w:b/>
          <w:color w:val="000000"/>
          <w:sz w:val="32"/>
          <w:szCs w:val="32"/>
          <w:lang w:val="zh-CN"/>
        </w:rPr>
        <w:t>（二）部门预算项目绩效分析。</w:t>
      </w:r>
    </w:p>
    <w:p>
      <w:pPr>
        <w:keepNext w:val="0"/>
        <w:keepLines w:val="0"/>
        <w:pageBreakBefore w:val="0"/>
        <w:kinsoku/>
        <w:wordWrap/>
        <w:overflowPunct/>
        <w:topLinePunct w:val="0"/>
        <w:autoSpaceDE/>
        <w:autoSpaceDN/>
        <w:bidi w:val="0"/>
        <w:spacing w:line="550" w:lineRule="exact"/>
        <w:ind w:firstLine="640" w:firstLineChars="200"/>
        <w:textAlignment w:val="auto"/>
        <w:rPr>
          <w:rFonts w:hint="eastAsia" w:ascii="仿宋_GB2312" w:hAnsi="Times New Roman" w:eastAsia="仿宋_GB2312" w:cs="Times New Roman"/>
          <w:sz w:val="32"/>
          <w:szCs w:val="32"/>
          <w:lang w:val="zh-CN"/>
        </w:rPr>
      </w:pPr>
      <w:r>
        <w:rPr>
          <w:rFonts w:hint="eastAsia" w:ascii="仿宋_GB2312" w:hAnsi="Times New Roman" w:eastAsia="仿宋_GB2312" w:cs="Times New Roman"/>
          <w:sz w:val="32"/>
          <w:szCs w:val="32"/>
        </w:rPr>
        <w:t>常年项目绩效分析。</w:t>
      </w:r>
      <w:r>
        <w:rPr>
          <w:rFonts w:hint="eastAsia" w:ascii="仿宋_GB2312" w:hAnsi="Times New Roman" w:eastAsia="仿宋_GB2312" w:cs="Times New Roman"/>
          <w:sz w:val="32"/>
          <w:szCs w:val="32"/>
          <w:lang w:val="zh-CN"/>
        </w:rPr>
        <w:t>该类项目总数</w:t>
      </w:r>
      <w:r>
        <w:rPr>
          <w:rFonts w:hint="eastAsia" w:ascii="仿宋_GB2312" w:hAnsi="Times New Roman" w:eastAsia="仿宋_GB2312" w:cs="Times New Roman"/>
          <w:sz w:val="32"/>
          <w:szCs w:val="32"/>
        </w:rPr>
        <w:t xml:space="preserve"> </w:t>
      </w:r>
      <w:r>
        <w:rPr>
          <w:rFonts w:hint="eastAsia" w:ascii="仿宋_GB2312" w:hAnsi="Times New Roman" w:eastAsia="仿宋_GB2312" w:cs="Times New Roman"/>
          <w:sz w:val="32"/>
          <w:szCs w:val="32"/>
          <w:lang w:val="en-US" w:eastAsia="zh-CN"/>
        </w:rPr>
        <w:t>2</w:t>
      </w:r>
      <w:r>
        <w:rPr>
          <w:rFonts w:hint="eastAsia" w:ascii="仿宋_GB2312" w:hAnsi="Times New Roman" w:eastAsia="仿宋_GB2312" w:cs="Times New Roman"/>
          <w:sz w:val="32"/>
          <w:szCs w:val="32"/>
          <w:lang w:val="zh-CN"/>
        </w:rPr>
        <w:t>个，涉及预算总金额</w:t>
      </w:r>
      <w:r>
        <w:rPr>
          <w:rFonts w:hint="eastAsia" w:ascii="仿宋_GB2312" w:hAnsi="Times New Roman" w:eastAsia="仿宋_GB2312" w:cs="Times New Roman"/>
          <w:sz w:val="32"/>
          <w:szCs w:val="32"/>
          <w:lang w:val="en-US" w:eastAsia="zh-CN"/>
        </w:rPr>
        <w:t>16.26</w:t>
      </w:r>
      <w:r>
        <w:rPr>
          <w:rFonts w:hint="eastAsia" w:ascii="仿宋_GB2312" w:hAnsi="Times New Roman" w:eastAsia="仿宋_GB2312" w:cs="Times New Roman"/>
          <w:sz w:val="32"/>
          <w:szCs w:val="32"/>
          <w:lang w:val="zh-CN"/>
        </w:rPr>
        <w:t>万元，1—1</w:t>
      </w:r>
      <w:r>
        <w:rPr>
          <w:rFonts w:hint="eastAsia" w:ascii="仿宋_GB2312" w:hAnsi="Times New Roman" w:eastAsia="仿宋_GB2312" w:cs="Times New Roman"/>
          <w:sz w:val="32"/>
          <w:szCs w:val="32"/>
        </w:rPr>
        <w:t>2</w:t>
      </w:r>
      <w:r>
        <w:rPr>
          <w:rFonts w:hint="eastAsia" w:ascii="仿宋_GB2312" w:hAnsi="Times New Roman" w:eastAsia="仿宋_GB2312" w:cs="Times New Roman"/>
          <w:sz w:val="32"/>
          <w:szCs w:val="32"/>
          <w:lang w:val="zh-CN"/>
        </w:rPr>
        <w:t>月预算执行总体进度为</w:t>
      </w:r>
      <w:r>
        <w:rPr>
          <w:rFonts w:hint="eastAsia" w:ascii="仿宋_GB2312" w:hAnsi="Times New Roman" w:eastAsia="仿宋_GB2312" w:cs="Times New Roman"/>
          <w:sz w:val="32"/>
          <w:szCs w:val="32"/>
          <w:lang w:val="en-US" w:eastAsia="zh-CN"/>
        </w:rPr>
        <w:t>100</w:t>
      </w:r>
      <w:r>
        <w:rPr>
          <w:rFonts w:hint="eastAsia" w:ascii="仿宋_GB2312" w:hAnsi="Times New Roman" w:eastAsia="仿宋_GB2312" w:cs="Times New Roman"/>
          <w:sz w:val="32"/>
          <w:szCs w:val="32"/>
          <w:lang w:val="zh-CN"/>
        </w:rPr>
        <w:t>%，其中：预算结余率大于</w:t>
      </w:r>
      <w:r>
        <w:rPr>
          <w:rFonts w:hint="eastAsia" w:ascii="仿宋_GB2312" w:hAnsi="Times New Roman" w:eastAsia="仿宋_GB2312" w:cs="Times New Roman"/>
          <w:sz w:val="32"/>
          <w:szCs w:val="32"/>
        </w:rPr>
        <w:t>10%</w:t>
      </w:r>
      <w:r>
        <w:rPr>
          <w:rFonts w:hint="eastAsia" w:ascii="仿宋_GB2312" w:hAnsi="Times New Roman" w:eastAsia="仿宋_GB2312" w:cs="Times New Roman"/>
          <w:sz w:val="32"/>
          <w:szCs w:val="32"/>
          <w:lang w:val="zh-CN"/>
        </w:rPr>
        <w:t>的项目共计</w:t>
      </w:r>
      <w:r>
        <w:rPr>
          <w:rFonts w:hint="eastAsia" w:ascii="仿宋_GB2312" w:hAnsi="Times New Roman" w:eastAsia="仿宋_GB2312" w:cs="Times New Roman"/>
          <w:sz w:val="32"/>
          <w:szCs w:val="32"/>
          <w:lang w:val="en-US" w:eastAsia="zh-CN"/>
        </w:rPr>
        <w:t>0</w:t>
      </w:r>
      <w:r>
        <w:rPr>
          <w:rFonts w:hint="eastAsia" w:ascii="仿宋_GB2312" w:hAnsi="Times New Roman" w:eastAsia="仿宋_GB2312" w:cs="Times New Roman"/>
          <w:sz w:val="32"/>
          <w:szCs w:val="32"/>
          <w:lang w:val="zh-CN"/>
        </w:rPr>
        <w:t>个。</w:t>
      </w:r>
    </w:p>
    <w:p>
      <w:pPr>
        <w:keepNext w:val="0"/>
        <w:keepLines w:val="0"/>
        <w:pageBreakBefore w:val="0"/>
        <w:kinsoku/>
        <w:wordWrap/>
        <w:overflowPunct/>
        <w:topLinePunct w:val="0"/>
        <w:autoSpaceDE/>
        <w:autoSpaceDN/>
        <w:bidi w:val="0"/>
        <w:spacing w:line="550" w:lineRule="exact"/>
        <w:ind w:firstLine="640" w:firstLineChars="200"/>
        <w:textAlignment w:val="auto"/>
        <w:rPr>
          <w:rFonts w:hint="eastAsia" w:ascii="仿宋_GB2312" w:hAnsi="Times New Roman" w:eastAsia="仿宋_GB2312" w:cs="Times New Roman"/>
          <w:sz w:val="32"/>
          <w:szCs w:val="32"/>
          <w:lang w:val="zh-CN"/>
        </w:rPr>
      </w:pPr>
      <w:r>
        <w:rPr>
          <w:rFonts w:hint="eastAsia" w:ascii="仿宋_GB2312" w:hAnsi="Times New Roman" w:eastAsia="仿宋_GB2312" w:cs="Times New Roman"/>
          <w:sz w:val="32"/>
          <w:szCs w:val="32"/>
        </w:rPr>
        <w:t>阶段（一次性）项目绩效分析。</w:t>
      </w:r>
      <w:r>
        <w:rPr>
          <w:rFonts w:hint="eastAsia" w:ascii="仿宋_GB2312" w:hAnsi="Times New Roman" w:eastAsia="仿宋_GB2312" w:cs="Times New Roman"/>
          <w:sz w:val="32"/>
          <w:szCs w:val="32"/>
          <w:lang w:val="zh-CN"/>
        </w:rPr>
        <w:t>该类项目总数</w:t>
      </w:r>
      <w:r>
        <w:rPr>
          <w:rFonts w:hint="eastAsia" w:ascii="仿宋_GB2312" w:hAnsi="Times New Roman" w:eastAsia="仿宋_GB2312" w:cs="Times New Roman"/>
          <w:sz w:val="32"/>
          <w:szCs w:val="32"/>
          <w:lang w:val="en-US" w:eastAsia="zh-CN"/>
        </w:rPr>
        <w:t>7</w:t>
      </w:r>
      <w:r>
        <w:rPr>
          <w:rFonts w:hint="eastAsia" w:ascii="仿宋_GB2312" w:hAnsi="Times New Roman" w:eastAsia="仿宋_GB2312" w:cs="Times New Roman"/>
          <w:sz w:val="32"/>
          <w:szCs w:val="32"/>
          <w:lang w:val="zh-CN"/>
        </w:rPr>
        <w:t>个，涉及预算总金额</w:t>
      </w:r>
      <w:r>
        <w:rPr>
          <w:rFonts w:hint="eastAsia" w:ascii="仿宋_GB2312" w:hAnsi="Times New Roman" w:eastAsia="仿宋_GB2312" w:cs="Times New Roman"/>
          <w:sz w:val="32"/>
          <w:szCs w:val="32"/>
          <w:lang w:val="en-US" w:eastAsia="zh-CN"/>
        </w:rPr>
        <w:t>506.34</w:t>
      </w:r>
      <w:r>
        <w:rPr>
          <w:rFonts w:hint="eastAsia" w:ascii="仿宋_GB2312" w:hAnsi="Times New Roman" w:eastAsia="仿宋_GB2312" w:cs="Times New Roman"/>
          <w:sz w:val="32"/>
          <w:szCs w:val="32"/>
          <w:lang w:val="zh-CN"/>
        </w:rPr>
        <w:t>万元，1—1</w:t>
      </w:r>
      <w:r>
        <w:rPr>
          <w:rFonts w:hint="eastAsia" w:ascii="仿宋_GB2312" w:hAnsi="Times New Roman" w:eastAsia="仿宋_GB2312" w:cs="Times New Roman"/>
          <w:sz w:val="32"/>
          <w:szCs w:val="32"/>
        </w:rPr>
        <w:t>2</w:t>
      </w:r>
      <w:r>
        <w:rPr>
          <w:rFonts w:hint="eastAsia" w:ascii="仿宋_GB2312" w:hAnsi="Times New Roman" w:eastAsia="仿宋_GB2312" w:cs="Times New Roman"/>
          <w:sz w:val="32"/>
          <w:szCs w:val="32"/>
          <w:lang w:val="zh-CN"/>
        </w:rPr>
        <w:t>月预算执行总体进度为</w:t>
      </w:r>
      <w:r>
        <w:rPr>
          <w:rFonts w:hint="eastAsia" w:ascii="仿宋_GB2312" w:hAnsi="Times New Roman" w:eastAsia="仿宋_GB2312" w:cs="Times New Roman"/>
          <w:sz w:val="32"/>
          <w:szCs w:val="32"/>
          <w:lang w:val="en-US" w:eastAsia="zh-CN"/>
        </w:rPr>
        <w:t>100</w:t>
      </w:r>
      <w:r>
        <w:rPr>
          <w:rFonts w:hint="eastAsia" w:ascii="仿宋_GB2312" w:hAnsi="Times New Roman" w:eastAsia="仿宋_GB2312" w:cs="Times New Roman"/>
          <w:sz w:val="32"/>
          <w:szCs w:val="32"/>
          <w:lang w:val="zh-CN"/>
        </w:rPr>
        <w:t>%，其中：预算结余率大于</w:t>
      </w:r>
      <w:r>
        <w:rPr>
          <w:rFonts w:hint="eastAsia" w:ascii="仿宋_GB2312" w:hAnsi="Times New Roman" w:eastAsia="仿宋_GB2312" w:cs="Times New Roman"/>
          <w:sz w:val="32"/>
          <w:szCs w:val="32"/>
        </w:rPr>
        <w:t>10%</w:t>
      </w:r>
      <w:r>
        <w:rPr>
          <w:rFonts w:hint="eastAsia" w:ascii="仿宋_GB2312" w:hAnsi="Times New Roman" w:eastAsia="仿宋_GB2312" w:cs="Times New Roman"/>
          <w:sz w:val="32"/>
          <w:szCs w:val="32"/>
          <w:lang w:val="zh-CN"/>
        </w:rPr>
        <w:t>的项目共计</w:t>
      </w:r>
      <w:r>
        <w:rPr>
          <w:rFonts w:hint="eastAsia" w:ascii="仿宋_GB2312" w:hAnsi="Times New Roman" w:eastAsia="仿宋_GB2312" w:cs="Times New Roman"/>
          <w:sz w:val="32"/>
          <w:szCs w:val="32"/>
          <w:lang w:val="en-US" w:eastAsia="zh-CN"/>
        </w:rPr>
        <w:t>0</w:t>
      </w:r>
      <w:r>
        <w:rPr>
          <w:rFonts w:hint="eastAsia" w:ascii="仿宋_GB2312" w:hAnsi="Times New Roman" w:eastAsia="仿宋_GB2312" w:cs="Times New Roman"/>
          <w:sz w:val="32"/>
          <w:szCs w:val="32"/>
          <w:lang w:val="zh-CN"/>
        </w:rPr>
        <w:t>个。</w:t>
      </w:r>
    </w:p>
    <w:p>
      <w:pPr>
        <w:keepNext w:val="0"/>
        <w:keepLines w:val="0"/>
        <w:pageBreakBefore w:val="0"/>
        <w:kinsoku/>
        <w:wordWrap/>
        <w:overflowPunct/>
        <w:topLinePunct w:val="0"/>
        <w:autoSpaceDE/>
        <w:autoSpaceDN/>
        <w:bidi w:val="0"/>
        <w:spacing w:line="550" w:lineRule="exact"/>
        <w:ind w:firstLine="640" w:firstLineChars="200"/>
        <w:textAlignment w:val="auto"/>
        <w:rPr>
          <w:rFonts w:hint="eastAsia" w:ascii="仿宋_GB2312" w:hAnsi="仿宋_GB2312" w:cs="仿宋_GB2312"/>
          <w:color w:val="auto"/>
          <w:sz w:val="32"/>
          <w:szCs w:val="32"/>
          <w:lang w:val="en-US" w:eastAsia="zh-CN"/>
        </w:rPr>
      </w:pPr>
      <w:r>
        <w:rPr>
          <w:rFonts w:hint="eastAsia" w:ascii="仿宋_GB2312" w:hAnsi="Times New Roman" w:eastAsia="仿宋_GB2312" w:cs="Times New Roman"/>
          <w:sz w:val="32"/>
          <w:szCs w:val="32"/>
          <w:lang w:val="en-US" w:eastAsia="zh-CN"/>
        </w:rPr>
        <w:t>1.</w:t>
      </w:r>
      <w:r>
        <w:rPr>
          <w:rFonts w:hint="eastAsia" w:ascii="仿宋_GB2312" w:hAnsi="Times New Roman" w:eastAsia="仿宋_GB2312" w:cs="Times New Roman"/>
          <w:sz w:val="32"/>
          <w:szCs w:val="32"/>
          <w:lang w:val="zh-CN"/>
        </w:rPr>
        <w:t>项目决策。</w:t>
      </w:r>
      <w:r>
        <w:rPr>
          <w:rFonts w:hint="eastAsia" w:ascii="仿宋_GB2312" w:hAnsi="Times New Roman" w:eastAsia="仿宋_GB2312" w:cs="Times New Roman"/>
          <w:sz w:val="32"/>
          <w:szCs w:val="32"/>
          <w:lang w:val="en-US" w:eastAsia="zh-CN"/>
        </w:rPr>
        <w:t>该项目的设立、调整延续等方面符合资金管理基</w:t>
      </w:r>
      <w:r>
        <w:rPr>
          <w:rFonts w:hint="eastAsia" w:ascii="仿宋_GB2312" w:hAnsi="仿宋_GB2312" w:eastAsia="仿宋_GB2312" w:cs="仿宋_GB2312"/>
          <w:color w:val="auto"/>
          <w:sz w:val="32"/>
          <w:szCs w:val="32"/>
          <w:lang w:val="en-US" w:eastAsia="zh-CN"/>
        </w:rPr>
        <w:t>本规范和决策程序要求，项目规划符合上级政府有关决策部署安排，项目绩效目标设置科学合理，资金主要用于完善社会保险经办标准化建设以及信息系统建设及运行维护、设备设施购置，经办人员素质提升培训、做好业务档案数字化管理及风险防控</w:t>
      </w:r>
      <w:r>
        <w:rPr>
          <w:rFonts w:hint="eastAsia" w:ascii="仿宋_GB2312" w:hAnsi="仿宋_GB2312" w:eastAsia="仿宋_GB2312" w:cs="仿宋_GB2312"/>
          <w:color w:val="auto"/>
          <w:sz w:val="32"/>
          <w:szCs w:val="32"/>
          <w:lang w:val="zh-CN"/>
        </w:rPr>
        <w:t>。</w:t>
      </w:r>
      <w:r>
        <w:rPr>
          <w:rFonts w:hint="eastAsia" w:ascii="仿宋_GB2312" w:hAnsi="仿宋_GB2312" w:cs="仿宋_GB2312"/>
          <w:color w:val="auto"/>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550" w:lineRule="exact"/>
        <w:ind w:left="0" w:leftChars="0" w:firstLine="640" w:firstLineChars="200"/>
        <w:textAlignment w:val="auto"/>
        <w:outlineLvl w:val="9"/>
        <w:rPr>
          <w:rFonts w:hint="eastAsia" w:ascii="仿宋_GB2312" w:hAnsi="仿宋_GB2312" w:eastAsia="仿宋_GB2312" w:cs="仿宋_GB2312"/>
          <w:color w:val="auto"/>
          <w:sz w:val="32"/>
          <w:szCs w:val="32"/>
          <w:lang w:val="zh-CN" w:eastAsia="zh-CN"/>
        </w:rPr>
      </w:pPr>
      <w:r>
        <w:rPr>
          <w:rFonts w:hint="eastAsia" w:ascii="仿宋_GB2312" w:hAnsi="Times New Roman" w:eastAsia="仿宋_GB2312" w:cs="Times New Roman"/>
          <w:sz w:val="32"/>
          <w:szCs w:val="32"/>
          <w:lang w:val="en-US" w:eastAsia="zh-CN"/>
        </w:rPr>
        <w:t>2.项目执行</w:t>
      </w:r>
      <w:r>
        <w:rPr>
          <w:rFonts w:hint="eastAsia" w:ascii="仿宋_GB2312" w:hAnsi="Times New Roman" w:eastAsia="仿宋_GB2312" w:cs="Times New Roman"/>
          <w:sz w:val="32"/>
          <w:szCs w:val="32"/>
          <w:lang w:val="zh-CN" w:eastAsia="zh-CN"/>
        </w:rPr>
        <w:t>。项目资金使用、</w:t>
      </w:r>
      <w:r>
        <w:rPr>
          <w:rFonts w:hint="eastAsia" w:ascii="仿宋_GB2312" w:hAnsi="仿宋_GB2312" w:eastAsia="仿宋_GB2312" w:cs="仿宋_GB2312"/>
          <w:color w:val="auto"/>
          <w:sz w:val="32"/>
          <w:szCs w:val="32"/>
          <w:lang w:val="zh-CN" w:eastAsia="zh-CN"/>
        </w:rPr>
        <w:t>拨付符合国家财经法规、财务管理制度及有关专项资金管理制度办法规定和审批程序，</w:t>
      </w:r>
      <w:r>
        <w:rPr>
          <w:rFonts w:hint="eastAsia" w:ascii="仿宋_GB2312" w:hAnsi="仿宋_GB2312" w:eastAsia="仿宋_GB2312" w:cs="仿宋_GB2312"/>
          <w:color w:val="auto"/>
          <w:sz w:val="32"/>
          <w:szCs w:val="32"/>
          <w:lang w:val="en-US" w:eastAsia="zh-CN"/>
        </w:rPr>
        <w:t>不</w:t>
      </w:r>
      <w:r>
        <w:rPr>
          <w:rFonts w:hint="eastAsia" w:ascii="仿宋_GB2312" w:hAnsi="仿宋_GB2312" w:eastAsia="仿宋_GB2312" w:cs="仿宋_GB2312"/>
          <w:color w:val="auto"/>
          <w:sz w:val="32"/>
          <w:szCs w:val="32"/>
          <w:lang w:val="zh-CN" w:eastAsia="zh-CN"/>
        </w:rPr>
        <w:t>存在超范围、超标准、超进度使用专项资金，</w:t>
      </w:r>
      <w:r>
        <w:rPr>
          <w:rFonts w:hint="eastAsia" w:ascii="仿宋_GB2312" w:hAnsi="仿宋_GB2312" w:eastAsia="仿宋_GB2312" w:cs="仿宋_GB2312"/>
          <w:color w:val="auto"/>
          <w:sz w:val="32"/>
          <w:szCs w:val="32"/>
          <w:lang w:val="en-US" w:eastAsia="zh-CN"/>
        </w:rPr>
        <w:t>不</w:t>
      </w:r>
      <w:r>
        <w:rPr>
          <w:rFonts w:hint="eastAsia" w:ascii="仿宋_GB2312" w:hAnsi="仿宋_GB2312" w:eastAsia="仿宋_GB2312" w:cs="仿宋_GB2312"/>
          <w:color w:val="auto"/>
          <w:sz w:val="32"/>
          <w:szCs w:val="32"/>
          <w:lang w:val="zh-CN" w:eastAsia="zh-CN"/>
        </w:rPr>
        <w:t>存在资金损失浪费、长期沉淀、截留、挤占、挪用、虚列支出等情况，项目实施遵守相关法律法规。</w:t>
      </w:r>
    </w:p>
    <w:p>
      <w:pPr>
        <w:keepNext w:val="0"/>
        <w:keepLines w:val="0"/>
        <w:pageBreakBefore w:val="0"/>
        <w:kinsoku/>
        <w:wordWrap/>
        <w:overflowPunct/>
        <w:topLinePunct w:val="0"/>
        <w:autoSpaceDE/>
        <w:autoSpaceDN/>
        <w:bidi w:val="0"/>
        <w:adjustRightInd w:val="0"/>
        <w:snapToGrid w:val="0"/>
        <w:spacing w:line="550" w:lineRule="exact"/>
        <w:ind w:firstLine="640" w:firstLineChars="200"/>
        <w:contextualSpacing/>
        <w:jc w:val="left"/>
        <w:textAlignment w:val="auto"/>
        <w:rPr>
          <w:rFonts w:ascii="楷体_GB2312" w:hAnsi="楷体_GB2312" w:eastAsia="楷体_GB2312" w:cs="楷体_GB2312"/>
          <w:color w:val="000000"/>
          <w:kern w:val="0"/>
          <w:szCs w:val="32"/>
          <w:shd w:val="clear" w:color="auto" w:fill="FFFFFF"/>
          <w:lang w:val="zh-CN"/>
        </w:rPr>
      </w:pPr>
      <w:r>
        <w:rPr>
          <w:rFonts w:hint="eastAsia" w:ascii="仿宋_GB2312" w:hAnsi="Times New Roman" w:eastAsia="仿宋_GB2312" w:cs="Times New Roman"/>
          <w:sz w:val="32"/>
          <w:szCs w:val="32"/>
          <w:lang w:val="en-US" w:eastAsia="zh-CN"/>
        </w:rPr>
        <w:t>3.</w:t>
      </w:r>
      <w:r>
        <w:rPr>
          <w:rFonts w:hint="eastAsia" w:ascii="仿宋_GB2312" w:hAnsi="Times New Roman" w:eastAsia="仿宋_GB2312" w:cs="Times New Roman"/>
          <w:sz w:val="32"/>
          <w:szCs w:val="32"/>
          <w:lang w:val="zh-CN" w:eastAsia="zh-CN"/>
        </w:rPr>
        <w:t>目标实现。常</w:t>
      </w:r>
      <w:r>
        <w:rPr>
          <w:rFonts w:hint="eastAsia" w:ascii="仿宋_GB2312" w:hAnsi="仿宋_GB2312" w:eastAsia="仿宋_GB2312" w:cs="仿宋_GB2312"/>
          <w:color w:val="auto"/>
          <w:sz w:val="32"/>
          <w:szCs w:val="32"/>
          <w:lang w:val="zh-CN" w:eastAsia="zh-CN"/>
        </w:rPr>
        <w:t>年项目、阶段（一次性）项目支出绩效自评结果良好，项目如期完成了预定的绩效目标。</w:t>
      </w:r>
    </w:p>
    <w:p>
      <w:pPr>
        <w:keepNext w:val="0"/>
        <w:keepLines w:val="0"/>
        <w:pageBreakBefore w:val="0"/>
        <w:widowControl/>
        <w:kinsoku/>
        <w:wordWrap/>
        <w:overflowPunct/>
        <w:topLinePunct w:val="0"/>
        <w:autoSpaceDE/>
        <w:autoSpaceDN/>
        <w:bidi w:val="0"/>
        <w:adjustRightInd w:val="0"/>
        <w:snapToGrid w:val="0"/>
        <w:spacing w:line="550" w:lineRule="exact"/>
        <w:ind w:firstLine="643" w:firstLineChars="200"/>
        <w:contextualSpacing/>
        <w:jc w:val="left"/>
        <w:textAlignment w:val="auto"/>
        <w:rPr>
          <w:rFonts w:hint="eastAsia" w:ascii="楷体_GB2312" w:hAnsi="Calibri" w:eastAsia="楷体_GB2312" w:cs="Times New Roman"/>
          <w:b/>
          <w:color w:val="000000"/>
          <w:sz w:val="32"/>
          <w:szCs w:val="32"/>
          <w:lang w:val="zh-CN"/>
        </w:rPr>
      </w:pPr>
      <w:r>
        <w:rPr>
          <w:rFonts w:hint="eastAsia" w:ascii="楷体_GB2312" w:hAnsi="Calibri" w:eastAsia="楷体_GB2312" w:cs="Times New Roman"/>
          <w:b/>
          <w:color w:val="000000"/>
          <w:sz w:val="32"/>
          <w:szCs w:val="32"/>
          <w:lang w:val="zh-CN"/>
        </w:rPr>
        <w:t>（三）重点领域绩效分析。</w:t>
      </w:r>
    </w:p>
    <w:p>
      <w:pPr>
        <w:keepNext w:val="0"/>
        <w:keepLines w:val="0"/>
        <w:pageBreakBefore w:val="0"/>
        <w:widowControl/>
        <w:kinsoku/>
        <w:wordWrap/>
        <w:overflowPunct/>
        <w:topLinePunct w:val="0"/>
        <w:autoSpaceDE/>
        <w:autoSpaceDN/>
        <w:bidi w:val="0"/>
        <w:adjustRightInd w:val="0"/>
        <w:snapToGrid w:val="0"/>
        <w:spacing w:line="550" w:lineRule="exact"/>
        <w:ind w:firstLine="640" w:firstLineChars="200"/>
        <w:contextualSpacing/>
        <w:jc w:val="left"/>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zh-CN" w:eastAsia="zh-CN"/>
        </w:rPr>
        <w:t>我局2023年度不涉及国有资本、债券资金、政府购买服务。</w:t>
      </w:r>
      <w:r>
        <w:rPr>
          <w:rFonts w:hint="eastAsia" w:ascii="仿宋_GB2312" w:hAnsi="仿宋_GB2312" w:eastAsia="仿宋_GB2312" w:cs="仿宋_GB2312"/>
          <w:color w:val="auto"/>
          <w:sz w:val="32"/>
          <w:szCs w:val="32"/>
          <w:lang w:val="en-US" w:eastAsia="zh-CN"/>
        </w:rPr>
        <w:t>我单位新购</w:t>
      </w:r>
      <w:r>
        <w:rPr>
          <w:rFonts w:hint="eastAsia" w:ascii="仿宋_GB2312" w:hAnsi="仿宋_GB2312" w:eastAsia="仿宋_GB2312" w:cs="仿宋_GB2312"/>
          <w:color w:val="auto"/>
          <w:sz w:val="32"/>
          <w:szCs w:val="32"/>
          <w:lang w:val="zh-CN" w:eastAsia="zh-CN"/>
        </w:rPr>
        <w:t>行政事业性国有资产</w:t>
      </w:r>
      <w:r>
        <w:rPr>
          <w:rFonts w:hint="eastAsia" w:ascii="仿宋_GB2312" w:hAnsi="仿宋_GB2312" w:eastAsia="仿宋_GB2312" w:cs="仿宋_GB2312"/>
          <w:color w:val="auto"/>
          <w:sz w:val="32"/>
          <w:szCs w:val="32"/>
          <w:lang w:val="en-US" w:eastAsia="zh-CN"/>
        </w:rPr>
        <w:t>家具用具2.21万元、通用设备4.13万元，用于做好业务档案数字化管理及风险防控</w:t>
      </w:r>
      <w:r>
        <w:rPr>
          <w:rFonts w:hint="eastAsia" w:ascii="仿宋_GB2312" w:hAnsi="仿宋_GB2312" w:cs="仿宋_GB2312"/>
          <w:color w:val="auto"/>
          <w:sz w:val="32"/>
          <w:szCs w:val="32"/>
          <w:lang w:val="en-US" w:eastAsia="zh-CN"/>
        </w:rPr>
        <w:t>。</w:t>
      </w:r>
    </w:p>
    <w:p>
      <w:pPr>
        <w:keepNext w:val="0"/>
        <w:keepLines w:val="0"/>
        <w:pageBreakBefore w:val="0"/>
        <w:widowControl/>
        <w:kinsoku/>
        <w:wordWrap/>
        <w:overflowPunct/>
        <w:topLinePunct w:val="0"/>
        <w:autoSpaceDE/>
        <w:autoSpaceDN/>
        <w:bidi w:val="0"/>
        <w:adjustRightInd w:val="0"/>
        <w:snapToGrid w:val="0"/>
        <w:spacing w:line="550" w:lineRule="exact"/>
        <w:ind w:firstLine="643" w:firstLineChars="200"/>
        <w:contextualSpacing/>
        <w:jc w:val="left"/>
        <w:textAlignment w:val="auto"/>
        <w:rPr>
          <w:rFonts w:hint="eastAsia" w:ascii="楷体_GB2312" w:hAnsi="Calibri" w:eastAsia="楷体_GB2312" w:cs="Times New Roman"/>
          <w:b/>
          <w:color w:val="000000"/>
          <w:sz w:val="32"/>
          <w:szCs w:val="32"/>
          <w:lang w:val="zh-CN"/>
        </w:rPr>
      </w:pPr>
      <w:r>
        <w:rPr>
          <w:rFonts w:hint="eastAsia" w:ascii="楷体_GB2312" w:hAnsi="Calibri" w:eastAsia="楷体_GB2312" w:cs="Times New Roman"/>
          <w:b/>
          <w:color w:val="000000"/>
          <w:sz w:val="32"/>
          <w:szCs w:val="32"/>
          <w:lang w:val="zh-CN"/>
        </w:rPr>
        <w:t>（四）绩效结果应用情况。</w:t>
      </w:r>
    </w:p>
    <w:p>
      <w:pPr>
        <w:keepNext w:val="0"/>
        <w:keepLines w:val="0"/>
        <w:pageBreakBefore w:val="0"/>
        <w:widowControl/>
        <w:kinsoku/>
        <w:wordWrap/>
        <w:overflowPunct/>
        <w:topLinePunct w:val="0"/>
        <w:autoSpaceDE/>
        <w:autoSpaceDN/>
        <w:bidi w:val="0"/>
        <w:adjustRightInd w:val="0"/>
        <w:snapToGrid w:val="0"/>
        <w:spacing w:line="550" w:lineRule="exact"/>
        <w:ind w:firstLine="640" w:firstLineChars="200"/>
        <w:contextualSpacing/>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财政支出绩效评价结果的运用是判断评价工作能否取得成效的主要依据，也是保证这项工作持续、深入发展的基本前提。结合2023年度绩效自评结果，一是对评价结果优秀且绩效突出的，总结相关工作经验，并在安排后续资金时给与充分保障。二是对下一步需要进一步改进的工作，在对存在的问题整改后，转变相关工作思路，提升工作效率。</w:t>
      </w:r>
    </w:p>
    <w:p>
      <w:pPr>
        <w:keepNext w:val="0"/>
        <w:keepLines w:val="0"/>
        <w:pageBreakBefore w:val="0"/>
        <w:widowControl/>
        <w:kinsoku/>
        <w:wordWrap/>
        <w:overflowPunct/>
        <w:topLinePunct w:val="0"/>
        <w:autoSpaceDE/>
        <w:autoSpaceDN/>
        <w:bidi w:val="0"/>
        <w:adjustRightInd w:val="0"/>
        <w:snapToGrid w:val="0"/>
        <w:spacing w:line="550" w:lineRule="exact"/>
        <w:ind w:firstLine="720"/>
        <w:jc w:val="left"/>
        <w:textAlignment w:val="auto"/>
        <w:rPr>
          <w:rFonts w:hint="eastAsia" w:ascii="黑体" w:hAnsi="黑体" w:eastAsia="黑体" w:cs="Times New Roman"/>
          <w:b/>
          <w:color w:val="000000"/>
          <w:sz w:val="32"/>
          <w:szCs w:val="32"/>
        </w:rPr>
      </w:pPr>
      <w:r>
        <w:rPr>
          <w:rFonts w:hint="eastAsia" w:ascii="黑体" w:hAnsi="黑体" w:eastAsia="黑体" w:cs="Times New Roman"/>
          <w:b/>
          <w:color w:val="000000"/>
          <w:sz w:val="32"/>
          <w:szCs w:val="32"/>
        </w:rPr>
        <w:t>四、评价结论及建议</w:t>
      </w:r>
    </w:p>
    <w:p>
      <w:pPr>
        <w:keepNext w:val="0"/>
        <w:keepLines w:val="0"/>
        <w:pageBreakBefore w:val="0"/>
        <w:widowControl/>
        <w:kinsoku/>
        <w:wordWrap/>
        <w:overflowPunct/>
        <w:topLinePunct w:val="0"/>
        <w:autoSpaceDE/>
        <w:autoSpaceDN/>
        <w:bidi w:val="0"/>
        <w:adjustRightInd w:val="0"/>
        <w:snapToGrid w:val="0"/>
        <w:spacing w:line="550" w:lineRule="exact"/>
        <w:ind w:firstLine="643" w:firstLineChars="200"/>
        <w:contextualSpacing/>
        <w:jc w:val="left"/>
        <w:textAlignment w:val="auto"/>
        <w:rPr>
          <w:rFonts w:hint="default" w:ascii="仿宋_GB2312" w:hAnsi="仿宋_GB2312" w:eastAsia="仿宋_GB2312" w:cs="仿宋_GB2312"/>
          <w:color w:val="auto"/>
          <w:sz w:val="32"/>
          <w:szCs w:val="32"/>
          <w:lang w:val="en-US" w:eastAsia="zh-CN"/>
        </w:rPr>
      </w:pPr>
      <w:r>
        <w:rPr>
          <w:rFonts w:hint="eastAsia" w:ascii="楷体_GB2312" w:hAnsi="Calibri" w:eastAsia="楷体_GB2312" w:cs="Times New Roman"/>
          <w:b/>
          <w:color w:val="000000"/>
          <w:sz w:val="32"/>
          <w:szCs w:val="32"/>
          <w:lang w:val="zh-CN"/>
        </w:rPr>
        <w:t>（一）评价结论</w:t>
      </w:r>
      <w:r>
        <w:rPr>
          <w:rFonts w:eastAsia="楷体_GB2312"/>
          <w:b/>
          <w:bCs/>
          <w:color w:val="000000"/>
          <w:kern w:val="0"/>
          <w:szCs w:val="32"/>
          <w:shd w:val="clear" w:color="auto" w:fill="FFFFFF"/>
          <w:lang w:val="zh-CN"/>
        </w:rPr>
        <w:t>。</w:t>
      </w:r>
      <w:r>
        <w:rPr>
          <w:rFonts w:hint="eastAsia" w:ascii="仿宋_GB2312" w:hAnsi="仿宋_GB2312" w:eastAsia="仿宋_GB2312" w:cs="仿宋_GB2312"/>
          <w:color w:val="auto"/>
          <w:sz w:val="32"/>
          <w:szCs w:val="32"/>
          <w:lang w:val="en-US" w:eastAsia="zh-CN"/>
        </w:rPr>
        <w:t>我局2023年部门整体支出绩效评价自查自评得分95分，保证了部门的正常运行和日常工作的正常开展。从整体情况来看，我单位在各项资金使用中，能够按照国家相关规定执行和实施。</w:t>
      </w:r>
    </w:p>
    <w:p>
      <w:pPr>
        <w:keepNext w:val="0"/>
        <w:keepLines w:val="0"/>
        <w:pageBreakBefore w:val="0"/>
        <w:widowControl/>
        <w:kinsoku/>
        <w:wordWrap/>
        <w:overflowPunct/>
        <w:topLinePunct w:val="0"/>
        <w:autoSpaceDE/>
        <w:autoSpaceDN/>
        <w:bidi w:val="0"/>
        <w:adjustRightInd w:val="0"/>
        <w:snapToGrid w:val="0"/>
        <w:spacing w:line="550" w:lineRule="exact"/>
        <w:ind w:firstLine="643" w:firstLineChars="200"/>
        <w:contextualSpacing/>
        <w:jc w:val="left"/>
        <w:textAlignment w:val="auto"/>
        <w:rPr>
          <w:rFonts w:hint="eastAsia" w:ascii="楷体_GB2312" w:hAnsi="Calibri" w:eastAsia="楷体_GB2312" w:cs="Times New Roman"/>
          <w:b/>
          <w:color w:val="000000"/>
          <w:sz w:val="32"/>
          <w:szCs w:val="32"/>
          <w:lang w:val="zh-CN"/>
        </w:rPr>
      </w:pPr>
      <w:r>
        <w:rPr>
          <w:rFonts w:hint="eastAsia" w:ascii="楷体_GB2312" w:hAnsi="Calibri" w:eastAsia="楷体_GB2312" w:cs="Times New Roman"/>
          <w:b/>
          <w:color w:val="000000"/>
          <w:sz w:val="32"/>
          <w:szCs w:val="32"/>
          <w:lang w:val="zh-CN"/>
        </w:rPr>
        <w:t>（二）存在问题。</w:t>
      </w:r>
    </w:p>
    <w:p>
      <w:pPr>
        <w:keepNext w:val="0"/>
        <w:keepLines w:val="0"/>
        <w:pageBreakBefore w:val="0"/>
        <w:widowControl/>
        <w:kinsoku/>
        <w:wordWrap/>
        <w:overflowPunct/>
        <w:topLinePunct w:val="0"/>
        <w:autoSpaceDE/>
        <w:autoSpaceDN/>
        <w:bidi w:val="0"/>
        <w:adjustRightInd w:val="0"/>
        <w:snapToGrid w:val="0"/>
        <w:spacing w:line="550" w:lineRule="exact"/>
        <w:ind w:firstLine="640" w:firstLineChars="200"/>
        <w:contextualSpacing/>
        <w:jc w:val="left"/>
        <w:textAlignment w:val="auto"/>
        <w:rPr>
          <w:rFonts w:hint="default" w:eastAsia="楷体_GB2312"/>
          <w:b/>
          <w:bCs/>
          <w:color w:val="000000"/>
          <w:kern w:val="0"/>
          <w:szCs w:val="32"/>
          <w:shd w:val="clear" w:color="auto" w:fill="FFFFFF"/>
          <w:lang w:val="en-US" w:eastAsia="zh-CN"/>
        </w:rPr>
      </w:pPr>
      <w:r>
        <w:rPr>
          <w:rFonts w:hint="eastAsia" w:ascii="仿宋_GB2312" w:hAnsi="仿宋_GB2312" w:eastAsia="仿宋_GB2312" w:cs="仿宋_GB2312"/>
          <w:color w:val="auto"/>
          <w:sz w:val="32"/>
          <w:szCs w:val="32"/>
          <w:lang w:val="en-US" w:eastAsia="zh-CN"/>
        </w:rPr>
        <w:t>无</w:t>
      </w:r>
    </w:p>
    <w:p>
      <w:pPr>
        <w:keepNext w:val="0"/>
        <w:keepLines w:val="0"/>
        <w:pageBreakBefore w:val="0"/>
        <w:widowControl/>
        <w:kinsoku/>
        <w:wordWrap/>
        <w:overflowPunct/>
        <w:topLinePunct w:val="0"/>
        <w:autoSpaceDE/>
        <w:autoSpaceDN/>
        <w:bidi w:val="0"/>
        <w:adjustRightInd w:val="0"/>
        <w:snapToGrid w:val="0"/>
        <w:spacing w:line="550" w:lineRule="exact"/>
        <w:ind w:firstLine="643" w:firstLineChars="200"/>
        <w:contextualSpacing/>
        <w:jc w:val="left"/>
        <w:textAlignment w:val="auto"/>
        <w:rPr>
          <w:rFonts w:hint="eastAsia" w:ascii="楷体_GB2312" w:hAnsi="Calibri" w:eastAsia="楷体_GB2312" w:cs="Times New Roman"/>
          <w:b/>
          <w:color w:val="000000"/>
          <w:sz w:val="32"/>
          <w:szCs w:val="32"/>
          <w:lang w:val="zh-CN"/>
        </w:rPr>
      </w:pPr>
      <w:r>
        <w:rPr>
          <w:rFonts w:hint="eastAsia" w:ascii="楷体_GB2312" w:hAnsi="Calibri" w:eastAsia="楷体_GB2312" w:cs="Times New Roman"/>
          <w:b/>
          <w:color w:val="000000"/>
          <w:sz w:val="32"/>
          <w:szCs w:val="32"/>
          <w:lang w:val="zh-CN"/>
        </w:rPr>
        <w:t>（</w:t>
      </w:r>
      <w:r>
        <w:rPr>
          <w:rFonts w:hint="eastAsia" w:ascii="楷体_GB2312" w:hAnsi="Calibri" w:eastAsia="楷体_GB2312" w:cs="Times New Roman"/>
          <w:b/>
          <w:color w:val="000000"/>
          <w:sz w:val="32"/>
          <w:szCs w:val="32"/>
          <w:lang w:val="en-US" w:eastAsia="zh-CN"/>
        </w:rPr>
        <w:t>三</w:t>
      </w:r>
      <w:r>
        <w:rPr>
          <w:rFonts w:hint="eastAsia" w:ascii="楷体_GB2312" w:hAnsi="Calibri" w:eastAsia="楷体_GB2312" w:cs="Times New Roman"/>
          <w:b/>
          <w:color w:val="000000"/>
          <w:sz w:val="32"/>
          <w:szCs w:val="32"/>
          <w:lang w:val="zh-CN"/>
        </w:rPr>
        <w:t>）改进建议。</w:t>
      </w:r>
      <w:bookmarkStart w:id="102" w:name="_Hlk110546638"/>
    </w:p>
    <w:p>
      <w:pPr>
        <w:keepNext w:val="0"/>
        <w:keepLines w:val="0"/>
        <w:pageBreakBefore w:val="0"/>
        <w:widowControl/>
        <w:numPr>
          <w:ilvl w:val="0"/>
          <w:numId w:val="0"/>
        </w:numPr>
        <w:kinsoku/>
        <w:wordWrap/>
        <w:overflowPunct/>
        <w:topLinePunct w:val="0"/>
        <w:autoSpaceDE/>
        <w:autoSpaceDN/>
        <w:bidi w:val="0"/>
        <w:adjustRightInd w:val="0"/>
        <w:snapToGrid w:val="0"/>
        <w:spacing w:line="550" w:lineRule="exact"/>
        <w:ind w:firstLine="640" w:firstLineChars="200"/>
        <w:contextualSpacing/>
        <w:jc w:val="left"/>
        <w:textAlignment w:val="auto"/>
        <w:rPr>
          <w:rFonts w:ascii="宋体" w:hAnsi="宋体" w:eastAsia="宋体" w:cs="宋体"/>
          <w:sz w:val="24"/>
          <w:szCs w:val="24"/>
        </w:rPr>
      </w:pPr>
      <w:r>
        <w:rPr>
          <w:rFonts w:hint="eastAsia" w:ascii="仿宋_GB2312" w:hAnsi="仿宋_GB2312" w:eastAsia="仿宋_GB2312" w:cs="仿宋_GB2312"/>
          <w:color w:val="auto"/>
          <w:sz w:val="32"/>
          <w:szCs w:val="32"/>
          <w:lang w:val="en-US" w:eastAsia="zh-CN"/>
        </w:rPr>
        <w:t>在今后工作中要按照有关文件及规章制度的要求，落实岗位职责，坚守职业道德，加强绩效管理工作的学习和培训力度，有效提高部门整体支出绩效管理水平。</w:t>
      </w:r>
      <w:r>
        <w:rPr>
          <w:rFonts w:hint="eastAsia" w:ascii="仿宋_GB2312" w:hAnsi="仿宋_GB2312" w:eastAsia="仿宋_GB2312" w:cs="仿宋_GB2312"/>
          <w:color w:val="auto"/>
          <w:sz w:val="32"/>
          <w:szCs w:val="32"/>
          <w:lang w:val="en-US" w:eastAsia="zh-CN"/>
        </w:rPr>
        <w:br w:type="textWrapping"/>
      </w:r>
      <w:r>
        <w:rPr>
          <w:rFonts w:ascii="宋体" w:hAnsi="宋体" w:eastAsia="宋体" w:cs="宋体"/>
          <w:sz w:val="24"/>
          <w:szCs w:val="24"/>
        </w:rPr>
        <w:t>                 </w:t>
      </w:r>
    </w:p>
    <w:p>
      <w:pPr>
        <w:pStyle w:val="3"/>
        <w:keepNext w:val="0"/>
        <w:keepLines w:val="0"/>
        <w:pageBreakBefore w:val="0"/>
        <w:kinsoku/>
        <w:wordWrap/>
        <w:overflowPunct/>
        <w:topLinePunct w:val="0"/>
        <w:autoSpaceDE/>
        <w:autoSpaceDN/>
        <w:bidi w:val="0"/>
        <w:spacing w:line="550" w:lineRule="exact"/>
        <w:textAlignment w:val="auto"/>
        <w:rPr>
          <w:rFonts w:ascii="宋体" w:hAnsi="宋体" w:eastAsia="宋体" w:cs="宋体"/>
          <w:sz w:val="24"/>
          <w:szCs w:val="24"/>
        </w:rPr>
      </w:pPr>
    </w:p>
    <w:bookmarkEnd w:id="102"/>
    <w:p>
      <w:pPr>
        <w:pStyle w:val="41"/>
        <w:spacing w:line="600" w:lineRule="exact"/>
        <w:ind w:firstLine="640"/>
        <w:jc w:val="center"/>
        <w:rPr>
          <w:rFonts w:hint="eastAsia" w:ascii="方正小标宋简体" w:hAnsi="宋体" w:eastAsia="方正小标宋简体"/>
          <w:sz w:val="44"/>
          <w:szCs w:val="44"/>
        </w:rPr>
      </w:pPr>
    </w:p>
    <w:p>
      <w:pPr>
        <w:pStyle w:val="41"/>
        <w:spacing w:line="600" w:lineRule="exact"/>
        <w:ind w:firstLine="640"/>
        <w:jc w:val="center"/>
        <w:rPr>
          <w:rFonts w:hint="eastAsia" w:ascii="方正小标宋简体" w:hAnsi="宋体" w:eastAsia="方正小标宋简体"/>
          <w:sz w:val="44"/>
          <w:szCs w:val="44"/>
        </w:rPr>
        <w:sectPr>
          <w:footerReference r:id="rId4" w:type="first"/>
          <w:footerReference r:id="rId3" w:type="default"/>
          <w:pgSz w:w="11906" w:h="16838"/>
          <w:pgMar w:top="1440" w:right="1800" w:bottom="1440" w:left="1800" w:header="851" w:footer="992" w:gutter="0"/>
          <w:pgNumType w:fmt="decimal"/>
          <w:cols w:space="425" w:num="1"/>
          <w:titlePg/>
          <w:docGrid w:type="lines" w:linePitch="312" w:charSpace="0"/>
        </w:sectPr>
      </w:pPr>
    </w:p>
    <w:p>
      <w:pPr>
        <w:pStyle w:val="41"/>
        <w:spacing w:line="600" w:lineRule="exact"/>
        <w:ind w:firstLine="640"/>
        <w:jc w:val="center"/>
        <w:rPr>
          <w:rFonts w:hint="eastAsia" w:ascii="方正小标宋简体" w:hAnsi="宋体" w:eastAsia="方正小标宋简体"/>
          <w:sz w:val="44"/>
          <w:szCs w:val="44"/>
        </w:rPr>
      </w:pPr>
    </w:p>
    <w:p>
      <w:pPr>
        <w:pStyle w:val="2"/>
        <w:rPr>
          <w:rFonts w:hint="eastAsia" w:ascii="黑体" w:hAnsi="Times New Roman" w:eastAsia="黑体" w:cs="黑体"/>
          <w:sz w:val="32"/>
          <w:szCs w:val="32"/>
        </w:rPr>
      </w:pPr>
      <w:bookmarkStart w:id="103" w:name="_Toc18944"/>
    </w:p>
    <w:p>
      <w:pPr>
        <w:pStyle w:val="3"/>
        <w:keepNext w:val="0"/>
        <w:keepLines w:val="0"/>
        <w:pageBreakBefore w:val="0"/>
        <w:numPr>
          <w:ilvl w:val="0"/>
          <w:numId w:val="0"/>
        </w:numPr>
        <w:kinsoku/>
        <w:wordWrap/>
        <w:overflowPunct/>
        <w:topLinePunct w:val="0"/>
        <w:autoSpaceDE/>
        <w:autoSpaceDN/>
        <w:bidi w:val="0"/>
        <w:spacing w:line="560" w:lineRule="exact"/>
        <w:textAlignment w:val="auto"/>
        <w:rPr>
          <w:rFonts w:hint="eastAsia" w:hAnsi="Times New Roman" w:cs="Times New Roman"/>
          <w:color w:val="auto"/>
          <w:sz w:val="32"/>
          <w:szCs w:val="32"/>
          <w:highlight w:val="none"/>
          <w:lang w:val="zh-CN" w:eastAsia="zh-CN"/>
        </w:rPr>
      </w:pPr>
      <w:r>
        <w:rPr>
          <w:rFonts w:hint="eastAsia" w:hAnsi="Times New Roman" w:cs="Times New Roman"/>
          <w:color w:val="auto"/>
          <w:sz w:val="32"/>
          <w:szCs w:val="32"/>
          <w:highlight w:val="none"/>
          <w:lang w:val="zh-CN" w:eastAsia="zh-CN"/>
        </w:rPr>
        <w:t>附表：</w:t>
      </w:r>
      <w:r>
        <w:rPr>
          <w:rFonts w:hint="eastAsia" w:hAnsi="Times New Roman" w:cs="Times New Roman"/>
          <w:color w:val="auto"/>
          <w:sz w:val="32"/>
          <w:szCs w:val="32"/>
          <w:highlight w:val="none"/>
          <w:lang w:val="en-US" w:eastAsia="zh-CN"/>
        </w:rPr>
        <w:t>部门预算项目支出绩效自评表（202</w:t>
      </w:r>
      <w:r>
        <w:rPr>
          <w:rFonts w:hint="eastAsia" w:cs="Times New Roman"/>
          <w:color w:val="auto"/>
          <w:sz w:val="32"/>
          <w:szCs w:val="32"/>
          <w:highlight w:val="none"/>
          <w:lang w:val="en-US" w:eastAsia="zh-CN"/>
        </w:rPr>
        <w:t>3</w:t>
      </w:r>
      <w:r>
        <w:rPr>
          <w:rFonts w:hint="eastAsia" w:hAnsi="Times New Roman" w:cs="Times New Roman"/>
          <w:color w:val="auto"/>
          <w:sz w:val="32"/>
          <w:szCs w:val="32"/>
          <w:highlight w:val="none"/>
          <w:lang w:val="en-US" w:eastAsia="zh-CN"/>
        </w:rPr>
        <w:t>年度）</w:t>
      </w:r>
    </w:p>
    <w:p>
      <w:pPr>
        <w:spacing w:line="600" w:lineRule="exact"/>
        <w:jc w:val="center"/>
        <w:rPr>
          <w:rFonts w:hint="eastAsia" w:ascii="方正小标宋简体" w:hAnsi="宋体" w:eastAsia="方正小标宋简体"/>
          <w:color w:val="000000"/>
          <w:kern w:val="0"/>
          <w:sz w:val="44"/>
          <w:szCs w:val="44"/>
          <w:lang w:val="zh-CN"/>
        </w:rPr>
      </w:pPr>
    </w:p>
    <w:tbl>
      <w:tblPr>
        <w:tblStyle w:val="16"/>
        <w:tblW w:w="1411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89"/>
        <w:gridCol w:w="2048"/>
        <w:gridCol w:w="1765"/>
        <w:gridCol w:w="2258"/>
        <w:gridCol w:w="524"/>
        <w:gridCol w:w="1675"/>
        <w:gridCol w:w="524"/>
        <w:gridCol w:w="1094"/>
        <w:gridCol w:w="510"/>
        <w:gridCol w:w="486"/>
        <w:gridCol w:w="254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51322322T000005968529-东西部协作对口联络站建设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茂县人力资源和社会保障局</w:t>
            </w:r>
          </w:p>
        </w:tc>
        <w:tc>
          <w:tcPr>
            <w:tcW w:w="1095"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茂县人力资源和社会保障局（行政）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建设一个集标准化流动人员档案管理室，以及职业介绍，东西部劳务协作联络站为一体的功能齐全的茂县人力资源市场及设施设备。有效缓解用工难的矛盾，对企业健康发展提供保障，同时也为人才引进，促进当地人民就业提供便利，有利于和谐社会建设，为人力资源管理部门提供工作便利，为政府部门执政为民提供便利。</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有利于当地人才引进及外来人口的管理;是推进东西部劳务协作，解决当地就业，促进当地发展。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34.30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34.30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33.00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33.00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保质保量完成此项目</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建设一个集标准化流动人员档案管理室，以及职业介绍，东西部劳务协作联络站为一体的功能齐全的茂县人力资源市场及设施设备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有效缓解用工难的矛盾，对企业健康发展提供保障，同时也为人才引进，促进当地人民就业提供便利，有利于和谐社会建设，为人力资源管理部门提供工作便利，为政府部门执政为民提供便利。</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6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推进东西劳务协作，解决当地就业，促进当地发展，通过有组织的劳务输出，实现脱贫。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30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项目负责人：林书明</w:t>
            </w:r>
          </w:p>
        </w:tc>
        <w:tc>
          <w:tcPr>
            <w:tcW w:w="681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财务负责人：张健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90" w:type="dxa"/>
            <w:tcBorders>
              <w:top w:val="nil"/>
              <w:left w:val="nil"/>
              <w:bottom w:val="nil"/>
              <w:right w:val="nil"/>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055" w:type="dxa"/>
            <w:tcBorders>
              <w:top w:val="nil"/>
              <w:left w:val="nil"/>
              <w:bottom w:val="nil"/>
              <w:right w:val="nil"/>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770" w:type="dxa"/>
            <w:tcBorders>
              <w:top w:val="nil"/>
              <w:left w:val="nil"/>
              <w:bottom w:val="nil"/>
              <w:right w:val="nil"/>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265" w:type="dxa"/>
            <w:tcBorders>
              <w:top w:val="nil"/>
              <w:left w:val="nil"/>
              <w:bottom w:val="nil"/>
              <w:right w:val="nil"/>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680" w:type="dxa"/>
            <w:tcBorders>
              <w:top w:val="nil"/>
              <w:left w:val="nil"/>
              <w:bottom w:val="nil"/>
              <w:right w:val="nil"/>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095" w:type="dxa"/>
            <w:tcBorders>
              <w:top w:val="nil"/>
              <w:left w:val="nil"/>
              <w:bottom w:val="nil"/>
              <w:right w:val="nil"/>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450" w:type="dxa"/>
            <w:tcBorders>
              <w:top w:val="nil"/>
              <w:left w:val="nil"/>
              <w:bottom w:val="nil"/>
              <w:right w:val="nil"/>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550" w:type="dxa"/>
            <w:tcBorders>
              <w:top w:val="nil"/>
              <w:left w:val="nil"/>
              <w:bottom w:val="nil"/>
              <w:right w:val="nil"/>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51322323T000009688768-公共实训基地建设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茂县人力资源和社会保障局</w:t>
            </w:r>
          </w:p>
        </w:tc>
        <w:tc>
          <w:tcPr>
            <w:tcW w:w="1095"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茂县人力资源和社会保障局（行政）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茂县公共实训基地</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依托实训基地，将着力解决当地及周边地区技能人才培养水平不高等问题，在改善高技能人才培养环境、提高培训质量、促进职业培训事业发展起到积极作用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26.62</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26.62</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26.62</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26.62</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新建实训基地，设施设备采购，配套附属设施等</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3083</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平方米</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可持续发展指标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全面助推茂县乡村振兴就业促进工作</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全面助推茂县乡村振兴就业促进工作</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新建实训基地，设施设备采购，配套附属设施等</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6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有利于提高培训就业率，对阿坝经济发展及民生工作有积极的推动作用。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30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项目负责人：林书明</w:t>
            </w:r>
          </w:p>
        </w:tc>
        <w:tc>
          <w:tcPr>
            <w:tcW w:w="681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财务负责人：张健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90" w:type="dxa"/>
            <w:tcBorders>
              <w:top w:val="nil"/>
              <w:left w:val="nil"/>
              <w:bottom w:val="nil"/>
              <w:right w:val="nil"/>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055" w:type="dxa"/>
            <w:tcBorders>
              <w:top w:val="nil"/>
              <w:left w:val="nil"/>
              <w:bottom w:val="nil"/>
              <w:right w:val="nil"/>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770" w:type="dxa"/>
            <w:tcBorders>
              <w:top w:val="nil"/>
              <w:left w:val="nil"/>
              <w:bottom w:val="nil"/>
              <w:right w:val="nil"/>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265" w:type="dxa"/>
            <w:tcBorders>
              <w:top w:val="nil"/>
              <w:left w:val="nil"/>
              <w:bottom w:val="nil"/>
              <w:right w:val="nil"/>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680" w:type="dxa"/>
            <w:tcBorders>
              <w:top w:val="nil"/>
              <w:left w:val="nil"/>
              <w:bottom w:val="nil"/>
              <w:right w:val="nil"/>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095" w:type="dxa"/>
            <w:tcBorders>
              <w:top w:val="nil"/>
              <w:left w:val="nil"/>
              <w:bottom w:val="nil"/>
              <w:right w:val="nil"/>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450" w:type="dxa"/>
            <w:tcBorders>
              <w:top w:val="nil"/>
              <w:left w:val="nil"/>
              <w:bottom w:val="nil"/>
              <w:right w:val="nil"/>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550" w:type="dxa"/>
            <w:tcBorders>
              <w:top w:val="nil"/>
              <w:left w:val="nil"/>
              <w:bottom w:val="nil"/>
              <w:right w:val="nil"/>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51322323T000009872733-人社公共服务能力建设资金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茂县人力资源和社会保障局</w:t>
            </w:r>
          </w:p>
        </w:tc>
        <w:tc>
          <w:tcPr>
            <w:tcW w:w="1095"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茂县人力资源和社会保障局（行政）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社会保险经办标准化建设及信息系统建设及运行维护，落实企业职工基本养老保险全国统筹、推进工伤保险省级统筹顺利实施，参保覆盖人数持续增长，待遇水平稳步提高，基金运行总体平稳。</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确保企业职工基本养老保险、工伤保险省级统筹顺利推进，参保覆盖人数持续增长，待遇水平稳步提高，基金运行总体平稳。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6.42</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6.42</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6.42</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6.42</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企业职工基本养老保险参保在职职工人数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万人</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7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工伤保险参保人数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1.29</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万人</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群众获得感、幸福感不断增强</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政风行风满意度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参保覆盖人数持续增长，待遇水平稳步提高</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6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项目按时完成预期目标，实施结果与绩效目标相匹配，按照实施计划完成目标。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项目负责人：林书明</w:t>
            </w:r>
          </w:p>
        </w:tc>
        <w:tc>
          <w:tcPr>
            <w:tcW w:w="681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财务负责人：张健</w:t>
            </w:r>
          </w:p>
        </w:tc>
      </w:tr>
    </w:tbl>
    <w:p>
      <w:pPr>
        <w:pStyle w:val="35"/>
        <w:spacing w:line="550" w:lineRule="exact"/>
        <w:rPr>
          <w:rFonts w:hint="eastAsia" w:ascii="仿宋_GB2312" w:hAnsi="黑体" w:eastAsia="仿宋_GB2312" w:cs="宋体"/>
          <w:color w:val="000000"/>
          <w:kern w:val="0"/>
          <w:sz w:val="32"/>
          <w:szCs w:val="32"/>
          <w:shd w:val="clear" w:color="auto" w:fill="FFFFFF"/>
        </w:rPr>
      </w:pPr>
    </w:p>
    <w:p>
      <w:pPr>
        <w:pStyle w:val="35"/>
        <w:spacing w:line="550" w:lineRule="exact"/>
        <w:rPr>
          <w:rFonts w:hint="eastAsia" w:ascii="仿宋_GB2312" w:hAnsi="黑体" w:eastAsia="仿宋_GB2312" w:cs="宋体"/>
          <w:color w:val="000000"/>
          <w:kern w:val="0"/>
          <w:sz w:val="32"/>
          <w:szCs w:val="32"/>
          <w:shd w:val="clear" w:color="auto" w:fill="FFFFFF"/>
        </w:rPr>
      </w:pPr>
    </w:p>
    <w:p>
      <w:pPr>
        <w:pStyle w:val="35"/>
        <w:spacing w:line="550" w:lineRule="exact"/>
        <w:rPr>
          <w:rFonts w:hint="eastAsia" w:ascii="仿宋_GB2312" w:hAnsi="黑体" w:eastAsia="仿宋_GB2312" w:cs="宋体"/>
          <w:color w:val="000000"/>
          <w:kern w:val="0"/>
          <w:sz w:val="32"/>
          <w:szCs w:val="32"/>
          <w:shd w:val="clear" w:color="auto" w:fill="FFFFFF"/>
        </w:rPr>
      </w:pPr>
    </w:p>
    <w:p>
      <w:pPr>
        <w:pStyle w:val="35"/>
        <w:spacing w:line="550" w:lineRule="exact"/>
        <w:rPr>
          <w:rFonts w:hint="eastAsia" w:ascii="仿宋_GB2312" w:hAnsi="黑体" w:eastAsia="仿宋_GB2312" w:cs="宋体"/>
          <w:color w:val="000000"/>
          <w:kern w:val="0"/>
          <w:sz w:val="32"/>
          <w:szCs w:val="32"/>
          <w:shd w:val="clear" w:color="auto" w:fill="FFFFFF"/>
        </w:rPr>
        <w:sectPr>
          <w:pgSz w:w="16838" w:h="11906" w:orient="landscape"/>
          <w:pgMar w:top="1800" w:right="1440" w:bottom="1800" w:left="1440" w:header="851" w:footer="992" w:gutter="0"/>
          <w:pgNumType w:fmt="decimal"/>
          <w:cols w:space="425" w:num="1"/>
          <w:titlePg/>
          <w:docGrid w:type="lines" w:linePitch="312" w:charSpace="0"/>
        </w:sectPr>
      </w:pPr>
    </w:p>
    <w:p>
      <w:pPr>
        <w:pageBreakBefore w:val="0"/>
        <w:kinsoku/>
        <w:wordWrap/>
        <w:overflowPunct/>
        <w:topLinePunct w:val="0"/>
        <w:bidi w:val="0"/>
        <w:spacing w:line="576" w:lineRule="exact"/>
        <w:jc w:val="left"/>
        <w:textAlignment w:val="auto"/>
        <w:outlineLvl w:val="0"/>
        <w:rPr>
          <w:rFonts w:hint="eastAsia" w:ascii="黑体" w:hAnsi="Times New Roman" w:eastAsia="黑体" w:cs="黑体"/>
          <w:sz w:val="32"/>
          <w:szCs w:val="32"/>
          <w:lang w:val="en-US" w:eastAsia="zh-CN"/>
        </w:rPr>
      </w:pPr>
      <w:r>
        <w:rPr>
          <w:rFonts w:hint="eastAsia" w:ascii="黑体" w:hAnsi="Times New Roman" w:eastAsia="黑体" w:cs="黑体"/>
          <w:sz w:val="32"/>
          <w:szCs w:val="32"/>
        </w:rPr>
        <w:t>附件</w:t>
      </w:r>
      <w:r>
        <w:rPr>
          <w:rFonts w:hint="eastAsia" w:ascii="黑体" w:hAnsi="Times New Roman" w:eastAsia="黑体" w:cs="黑体"/>
          <w:sz w:val="32"/>
          <w:szCs w:val="32"/>
          <w:lang w:val="en-US" w:eastAsia="zh-CN"/>
        </w:rPr>
        <w:t>2</w:t>
      </w:r>
      <w:bookmarkEnd w:id="103"/>
    </w:p>
    <w:p>
      <w:pPr>
        <w:pStyle w:val="41"/>
        <w:spacing w:line="578" w:lineRule="exact"/>
        <w:jc w:val="center"/>
        <w:rPr>
          <w:rFonts w:hint="eastAsia" w:ascii="方正小标宋简体" w:hAnsi="黑体" w:eastAsia="方正小标宋简体" w:cs="黑体"/>
          <w:color w:val="auto"/>
          <w:kern w:val="2"/>
          <w:sz w:val="44"/>
          <w:szCs w:val="44"/>
          <w:lang w:val="en-US" w:eastAsia="zh-CN" w:bidi="ar-SA"/>
        </w:rPr>
      </w:pPr>
      <w:r>
        <w:rPr>
          <w:rFonts w:hint="eastAsia" w:ascii="方正小标宋简体" w:hAnsi="黑体" w:eastAsia="方正小标宋简体" w:cs="黑体"/>
          <w:color w:val="auto"/>
          <w:kern w:val="2"/>
          <w:sz w:val="44"/>
          <w:szCs w:val="44"/>
          <w:lang w:val="en-US" w:eastAsia="zh-CN" w:bidi="ar-SA"/>
        </w:rPr>
        <w:t>茂县人力资源和社会保障局</w:t>
      </w:r>
    </w:p>
    <w:p>
      <w:pPr>
        <w:pStyle w:val="41"/>
        <w:spacing w:line="578" w:lineRule="exact"/>
        <w:jc w:val="center"/>
        <w:rPr>
          <w:rFonts w:hint="eastAsia" w:ascii="方正小标宋简体" w:hAnsi="黑体" w:eastAsia="方正小标宋简体" w:cs="黑体"/>
          <w:color w:val="auto"/>
          <w:kern w:val="2"/>
          <w:sz w:val="44"/>
          <w:szCs w:val="44"/>
          <w:lang w:val="en-US" w:eastAsia="zh-CN" w:bidi="ar-SA"/>
        </w:rPr>
      </w:pPr>
      <w:r>
        <w:rPr>
          <w:rFonts w:hint="eastAsia" w:ascii="方正小标宋简体" w:hAnsi="黑体" w:eastAsia="方正小标宋简体" w:cs="黑体"/>
          <w:color w:val="auto"/>
          <w:kern w:val="2"/>
          <w:sz w:val="44"/>
          <w:szCs w:val="44"/>
          <w:lang w:val="en-US" w:eastAsia="zh-CN" w:bidi="ar-SA"/>
        </w:rPr>
        <w:t>公共实训基地建设专项预算项目绩效</w:t>
      </w:r>
    </w:p>
    <w:p>
      <w:pPr>
        <w:pStyle w:val="41"/>
        <w:spacing w:line="578" w:lineRule="exact"/>
        <w:ind w:firstLine="3080" w:firstLineChars="700"/>
        <w:jc w:val="both"/>
        <w:rPr>
          <w:rFonts w:hint="eastAsia" w:ascii="方正小标宋简体" w:hAnsi="黑体" w:eastAsia="方正小标宋简体" w:cs="黑体"/>
          <w:color w:val="auto"/>
          <w:kern w:val="2"/>
          <w:sz w:val="44"/>
          <w:szCs w:val="44"/>
          <w:lang w:val="en-US" w:eastAsia="zh-CN" w:bidi="ar-SA"/>
        </w:rPr>
      </w:pPr>
      <w:r>
        <w:rPr>
          <w:rFonts w:hint="eastAsia" w:ascii="方正小标宋简体" w:hAnsi="黑体" w:eastAsia="方正小标宋简体" w:cs="黑体"/>
          <w:color w:val="auto"/>
          <w:kern w:val="2"/>
          <w:sz w:val="44"/>
          <w:szCs w:val="44"/>
          <w:lang w:val="en-US" w:eastAsia="zh-CN" w:bidi="ar-SA"/>
        </w:rPr>
        <w:t>评价报告</w:t>
      </w:r>
    </w:p>
    <w:p>
      <w:pPr>
        <w:pStyle w:val="41"/>
        <w:spacing w:line="578" w:lineRule="exact"/>
        <w:ind w:firstLine="640"/>
        <w:jc w:val="center"/>
        <w:rPr>
          <w:rFonts w:ascii="宋体" w:hAnsi="宋体"/>
          <w:color w:val="auto"/>
          <w:kern w:val="2"/>
          <w:sz w:val="32"/>
          <w:szCs w:val="32"/>
        </w:rPr>
      </w:pPr>
    </w:p>
    <w:p>
      <w:pPr>
        <w:adjustRightInd w:val="0"/>
        <w:snapToGrid w:val="0"/>
        <w:spacing w:line="578" w:lineRule="exact"/>
        <w:ind w:firstLine="640" w:firstLineChars="200"/>
        <w:rPr>
          <w:rFonts w:hint="eastAsia" w:ascii="黑体" w:hAnsi="宋体" w:eastAsia="黑体" w:cs="Times New Roman"/>
          <w:sz w:val="32"/>
          <w:szCs w:val="32"/>
          <w:lang w:val="zh-CN"/>
        </w:rPr>
      </w:pPr>
      <w:r>
        <w:rPr>
          <w:rFonts w:hint="eastAsia" w:ascii="黑体" w:hAnsi="宋体" w:eastAsia="黑体" w:cs="Times New Roman"/>
          <w:sz w:val="32"/>
          <w:szCs w:val="32"/>
          <w:lang w:val="zh-CN"/>
        </w:rPr>
        <w:t>一、项目概况</w:t>
      </w:r>
    </w:p>
    <w:p>
      <w:pPr>
        <w:adjustRightInd w:val="0"/>
        <w:snapToGrid w:val="0"/>
        <w:spacing w:line="578" w:lineRule="exact"/>
        <w:ind w:firstLine="643" w:firstLineChars="200"/>
        <w:rPr>
          <w:rFonts w:hint="eastAsia" w:ascii="楷体_GB2312" w:hAnsi="宋体" w:eastAsia="楷体_GB2312" w:cs="Times New Roman"/>
          <w:b/>
          <w:sz w:val="32"/>
          <w:szCs w:val="32"/>
          <w:lang w:val="zh-CN" w:eastAsia="zh-CN"/>
        </w:rPr>
      </w:pPr>
      <w:r>
        <w:rPr>
          <w:rFonts w:hint="eastAsia" w:ascii="楷体_GB2312" w:hAnsi="宋体" w:eastAsia="楷体_GB2312" w:cs="Times New Roman"/>
          <w:b/>
          <w:sz w:val="32"/>
          <w:szCs w:val="32"/>
          <w:lang w:val="zh-CN"/>
        </w:rPr>
        <w:t>（一）设立背景及基本情</w:t>
      </w:r>
      <w:r>
        <w:rPr>
          <w:rFonts w:hint="eastAsia" w:ascii="楷体_GB2312" w:hAnsi="宋体" w:eastAsia="楷体_GB2312" w:cs="Times New Roman"/>
          <w:b/>
          <w:sz w:val="32"/>
          <w:szCs w:val="32"/>
          <w:lang w:val="zh-CN" w:eastAsia="zh-CN"/>
        </w:rPr>
        <w:t>况。</w:t>
      </w:r>
    </w:p>
    <w:p>
      <w:pPr>
        <w:adjustRightInd w:val="0"/>
        <w:snapToGrid w:val="0"/>
        <w:spacing w:line="578" w:lineRule="exact"/>
        <w:ind w:firstLine="640" w:firstLineChars="200"/>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en-US" w:eastAsia="zh-CN"/>
        </w:rPr>
        <w:t>本</w:t>
      </w:r>
      <w:r>
        <w:rPr>
          <w:rFonts w:hint="eastAsia" w:ascii="仿宋_GB2312" w:hAnsi="仿宋_GB2312" w:eastAsia="仿宋_GB2312" w:cs="仿宋_GB2312"/>
          <w:color w:val="auto"/>
          <w:kern w:val="2"/>
          <w:sz w:val="32"/>
          <w:szCs w:val="32"/>
          <w:lang w:val="en-US" w:eastAsia="zh-CN" w:bidi="ar-SA"/>
        </w:rPr>
        <w:t>项目的主要内容是新建实训基地3083平方米，设施设备采购，配套附属设施等。茂县公共实训基地准备开设13个职业（工种）</w:t>
      </w:r>
      <w:r>
        <w:rPr>
          <w:rFonts w:hint="eastAsia" w:ascii="仿宋_GB2312" w:hAnsi="仿宋_GB2312" w:eastAsia="仿宋_GB2312" w:cs="仿宋_GB2312"/>
          <w:color w:val="auto"/>
          <w:sz w:val="32"/>
          <w:szCs w:val="32"/>
          <w:lang w:val="en-US" w:eastAsia="zh-CN"/>
        </w:rPr>
        <w:t>，主要包括美容美发、中式烹调、乡村旅游、羌绣、服装定制、家政服务、创业培训、电工焊工、果树园林、家禽养殖、计算机操作、汽车修理、驾驶等培训服务项目。本项目全面助推茂县乡村振兴就业促进工作</w:t>
      </w:r>
      <w:r>
        <w:rPr>
          <w:rFonts w:hint="default" w:ascii="仿宋_GB2312" w:hAnsi="仿宋_GB2312" w:eastAsia="仿宋_GB2312" w:cs="仿宋_GB2312"/>
          <w:color w:val="auto"/>
          <w:sz w:val="32"/>
          <w:szCs w:val="32"/>
          <w:lang w:val="en-US" w:eastAsia="zh-CN"/>
        </w:rPr>
        <w:t>。</w:t>
      </w:r>
    </w:p>
    <w:p>
      <w:pPr>
        <w:adjustRightInd w:val="0"/>
        <w:snapToGrid w:val="0"/>
        <w:spacing w:line="578" w:lineRule="exact"/>
        <w:ind w:firstLine="643" w:firstLineChars="200"/>
        <w:rPr>
          <w:rFonts w:ascii="楷体_GB2312" w:hAnsi="宋体" w:eastAsia="楷体_GB2312"/>
          <w:b/>
          <w:lang w:val="zh-CN"/>
        </w:rPr>
      </w:pPr>
      <w:r>
        <w:rPr>
          <w:rFonts w:hint="eastAsia" w:ascii="楷体_GB2312" w:hAnsi="宋体" w:eastAsia="楷体_GB2312" w:cs="Times New Roman"/>
          <w:b/>
          <w:sz w:val="32"/>
          <w:szCs w:val="32"/>
          <w:lang w:val="zh-CN" w:eastAsia="zh-CN"/>
        </w:rPr>
        <w:t>（二）</w:t>
      </w:r>
      <w:r>
        <w:rPr>
          <w:rFonts w:hint="eastAsia" w:ascii="楷体_GB2312" w:hAnsi="宋体" w:eastAsia="楷体_GB2312" w:cs="Times New Roman"/>
          <w:b/>
          <w:sz w:val="32"/>
          <w:szCs w:val="32"/>
          <w:lang w:val="zh-CN"/>
        </w:rPr>
        <w:t>实施目的及支持方向。</w:t>
      </w:r>
      <w:r>
        <w:rPr>
          <w:rFonts w:hint="eastAsia" w:ascii="仿宋_GB2312" w:hAnsi="仿宋_GB2312" w:eastAsia="仿宋_GB2312" w:cs="仿宋_GB2312"/>
          <w:color w:val="auto"/>
          <w:sz w:val="32"/>
          <w:szCs w:val="32"/>
          <w:lang w:val="en-US" w:eastAsia="zh-CN"/>
        </w:rPr>
        <w:t>依托实训基地，将着力解决当地及周边地区技能人才培养水平不高等问题，在改善高技能人才培养环境、提高培训质量、促进职业培训事业发展起到积极作用，也拓宽了技能人才就业渠道，有利于提高培训就业率，对阿坝经济发展及民生工作有积极的推动作用。</w:t>
      </w:r>
    </w:p>
    <w:p>
      <w:pPr>
        <w:spacing w:line="560" w:lineRule="exact"/>
        <w:ind w:firstLine="643" w:firstLineChars="200"/>
        <w:rPr>
          <w:rFonts w:hint="default" w:ascii="仿宋_GB2312" w:eastAsia="仿宋_GB2312" w:cs="Times New Roman"/>
          <w:kern w:val="2"/>
          <w:sz w:val="32"/>
          <w:szCs w:val="32"/>
          <w:lang w:val="en-US" w:eastAsia="zh-CN"/>
        </w:rPr>
      </w:pPr>
      <w:r>
        <w:rPr>
          <w:rFonts w:hint="eastAsia" w:ascii="楷体_GB2312" w:hAnsi="宋体" w:eastAsia="楷体_GB2312" w:cs="Times New Roman"/>
          <w:b/>
          <w:sz w:val="32"/>
          <w:szCs w:val="32"/>
          <w:lang w:val="zh-CN" w:eastAsia="zh-CN"/>
        </w:rPr>
        <w:t>（三）预算安排及分配管理。</w:t>
      </w:r>
      <w:r>
        <w:rPr>
          <w:rFonts w:hint="eastAsia" w:ascii="仿宋_GB2312" w:hAnsi="仿宋_GB2312" w:eastAsia="仿宋_GB2312" w:cs="仿宋_GB2312"/>
          <w:color w:val="auto"/>
          <w:sz w:val="32"/>
          <w:szCs w:val="32"/>
          <w:lang w:val="en-US" w:eastAsia="zh-CN"/>
        </w:rPr>
        <w:t>阿坝州茂县公共实训基地已于2022年10月10日取得由茂县发展和改革局出具的可行性研究报告的批复，批准文号为茂发改行审〔2022〕39号</w:t>
      </w:r>
      <w:r>
        <w:rPr>
          <w:rFonts w:hint="eastAsia" w:ascii="仿宋_GB2312" w:hAnsi="仿宋_GB2312" w:cs="仿宋_GB2312"/>
          <w:color w:val="auto"/>
          <w:sz w:val="32"/>
          <w:szCs w:val="32"/>
          <w:lang w:val="en-US" w:eastAsia="zh-CN"/>
        </w:rPr>
        <w:t>，</w:t>
      </w:r>
      <w:r>
        <w:rPr>
          <w:rFonts w:hint="eastAsia" w:ascii="仿宋_GB2312" w:hAnsi="仿宋_GB2312" w:eastAsia="仿宋_GB2312" w:cs="仿宋_GB2312"/>
          <w:color w:val="auto"/>
          <w:sz w:val="32"/>
          <w:szCs w:val="32"/>
          <w:lang w:val="en-US" w:eastAsia="zh-CN"/>
        </w:rPr>
        <w:t>申报项</w:t>
      </w:r>
      <w:r>
        <w:rPr>
          <w:rFonts w:hint="eastAsia" w:ascii="仿宋_GB2312" w:eastAsia="仿宋_GB2312" w:cs="Times New Roman"/>
          <w:kern w:val="2"/>
          <w:sz w:val="32"/>
          <w:szCs w:val="32"/>
        </w:rPr>
        <w:t>目预算金额为</w:t>
      </w:r>
      <w:r>
        <w:rPr>
          <w:rFonts w:hint="eastAsia" w:ascii="仿宋_GB2312" w:eastAsia="仿宋_GB2312" w:cs="Times New Roman"/>
          <w:kern w:val="2"/>
          <w:sz w:val="32"/>
          <w:szCs w:val="32"/>
          <w:lang w:val="en-US" w:eastAsia="zh-CN"/>
        </w:rPr>
        <w:t>2000</w:t>
      </w:r>
      <w:r>
        <w:rPr>
          <w:rFonts w:hint="eastAsia" w:ascii="仿宋_GB2312" w:eastAsia="仿宋_GB2312" w:cs="Times New Roman"/>
          <w:kern w:val="2"/>
          <w:sz w:val="32"/>
          <w:szCs w:val="32"/>
        </w:rPr>
        <w:t>万元（资金来源为</w:t>
      </w:r>
      <w:r>
        <w:rPr>
          <w:rFonts w:hint="eastAsia" w:ascii="仿宋_GB2312" w:eastAsia="仿宋_GB2312" w:cs="Times New Roman"/>
          <w:kern w:val="2"/>
          <w:sz w:val="32"/>
          <w:szCs w:val="32"/>
          <w:lang w:val="en-US" w:eastAsia="zh-CN"/>
        </w:rPr>
        <w:t>争取中央预算内资金1600万元及地方配套400万元</w:t>
      </w:r>
      <w:r>
        <w:rPr>
          <w:rFonts w:hint="eastAsia" w:ascii="仿宋_GB2312" w:eastAsia="仿宋_GB2312" w:cs="Times New Roman"/>
          <w:kern w:val="2"/>
          <w:sz w:val="32"/>
          <w:szCs w:val="32"/>
        </w:rPr>
        <w:t>）</w:t>
      </w:r>
      <w:r>
        <w:rPr>
          <w:rFonts w:hint="eastAsia" w:ascii="仿宋_GB2312" w:cs="Times New Roman"/>
          <w:kern w:val="2"/>
          <w:sz w:val="32"/>
          <w:szCs w:val="32"/>
          <w:lang w:eastAsia="zh-CN"/>
        </w:rPr>
        <w:t>，</w:t>
      </w:r>
      <w:r>
        <w:rPr>
          <w:rFonts w:hint="eastAsia" w:ascii="仿宋_GB2312" w:cs="Times New Roman"/>
          <w:kern w:val="2"/>
          <w:sz w:val="32"/>
          <w:szCs w:val="32"/>
          <w:lang w:val="en-US" w:eastAsia="zh-CN"/>
        </w:rPr>
        <w:t>2023年财政安排资金</w:t>
      </w:r>
      <w:r>
        <w:rPr>
          <w:rFonts w:hint="eastAsia" w:ascii="仿宋_GB2312" w:hAnsi="仿宋_GB2312" w:cs="仿宋_GB2312"/>
          <w:color w:val="auto"/>
          <w:sz w:val="32"/>
          <w:szCs w:val="32"/>
          <w:lang w:val="en-US" w:eastAsia="zh-CN"/>
        </w:rPr>
        <w:t>26.62</w:t>
      </w:r>
      <w:r>
        <w:rPr>
          <w:rFonts w:hint="eastAsia" w:ascii="仿宋_GB2312" w:cs="Times New Roman"/>
          <w:kern w:val="2"/>
          <w:sz w:val="32"/>
          <w:szCs w:val="32"/>
          <w:lang w:val="en-US" w:eastAsia="zh-CN"/>
        </w:rPr>
        <w:t>万元。</w:t>
      </w:r>
    </w:p>
    <w:p>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3" w:firstLineChars="200"/>
        <w:textAlignment w:val="auto"/>
        <w:outlineLvl w:val="9"/>
        <w:rPr>
          <w:rFonts w:hint="default" w:ascii="仿宋_GB2312" w:hAnsi="仿宋_GB2312" w:eastAsia="仿宋_GB2312" w:cs="仿宋_GB2312"/>
          <w:color w:val="auto"/>
          <w:sz w:val="32"/>
          <w:szCs w:val="32"/>
          <w:lang w:val="zh-CN" w:eastAsia="zh-CN"/>
        </w:rPr>
      </w:pPr>
      <w:r>
        <w:rPr>
          <w:rFonts w:hint="eastAsia" w:ascii="楷体_GB2312" w:hAnsi="宋体" w:eastAsia="楷体_GB2312" w:cs="Times New Roman"/>
          <w:b/>
          <w:sz w:val="32"/>
          <w:szCs w:val="32"/>
          <w:lang w:val="zh-CN" w:eastAsia="zh-CN"/>
        </w:rPr>
        <w:t>（四）项目绩效目标设置。</w:t>
      </w:r>
      <w:r>
        <w:rPr>
          <w:rFonts w:hint="eastAsia" w:ascii="仿宋_GB2312" w:hAnsi="仿宋_GB2312" w:eastAsia="仿宋_GB2312" w:cs="仿宋_GB2312"/>
          <w:color w:val="auto"/>
          <w:sz w:val="32"/>
          <w:szCs w:val="32"/>
          <w:lang w:val="en-US" w:eastAsia="zh-CN"/>
        </w:rPr>
        <w:t>本项目采取自评方式，成立项目自评小组，结合评价内容，做到有计划、有安排地开展自评工作。按照县财政局下发的项目支出绩效评价指标体系，自评小组对绩效目标、决策依据、资金分配、资金到位、资金管理、财务管理等方面做好自评工作。</w:t>
      </w:r>
    </w:p>
    <w:p>
      <w:pPr>
        <w:adjustRightInd w:val="0"/>
        <w:snapToGrid w:val="0"/>
        <w:spacing w:line="578" w:lineRule="exact"/>
        <w:ind w:firstLine="640" w:firstLineChars="200"/>
        <w:rPr>
          <w:rFonts w:hint="eastAsia" w:ascii="黑体" w:hAnsi="宋体" w:eastAsia="黑体" w:cs="Times New Roman"/>
          <w:sz w:val="32"/>
          <w:szCs w:val="32"/>
          <w:lang w:val="zh-CN"/>
        </w:rPr>
      </w:pPr>
      <w:r>
        <w:rPr>
          <w:rFonts w:hint="eastAsia" w:ascii="黑体" w:hAnsi="宋体" w:eastAsia="黑体" w:cs="Times New Roman"/>
          <w:sz w:val="32"/>
          <w:szCs w:val="32"/>
          <w:lang w:val="zh-CN"/>
        </w:rPr>
        <w:t>二、评价实施</w:t>
      </w:r>
    </w:p>
    <w:p>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3" w:firstLineChars="200"/>
        <w:textAlignment w:val="auto"/>
        <w:outlineLvl w:val="9"/>
        <w:rPr>
          <w:rFonts w:hint="eastAsia" w:ascii="楷体_GB2312" w:hAnsi="宋体" w:eastAsia="楷体_GB2312" w:cs="Times New Roman"/>
          <w:b/>
          <w:sz w:val="32"/>
          <w:szCs w:val="32"/>
          <w:lang w:val="zh-CN" w:eastAsia="zh-CN"/>
        </w:rPr>
      </w:pPr>
      <w:r>
        <w:rPr>
          <w:rFonts w:hint="eastAsia" w:ascii="楷体_GB2312" w:hAnsi="宋体" w:eastAsia="楷体_GB2312" w:cs="Times New Roman"/>
          <w:b/>
          <w:sz w:val="32"/>
          <w:szCs w:val="32"/>
          <w:lang w:val="zh-CN" w:eastAsia="zh-CN"/>
        </w:rPr>
        <w:t>（一）评价目的。</w:t>
      </w:r>
    </w:p>
    <w:p>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通过事前绩效评估将绩效管理关口前移，为项目设立和预算安排提供重要参考依据，提高预算编制科学性、合理性，优化财政支出结构，从源头上防控财政资源配置的低效无效，提高财政资源配置效率和财政资金使用效益。</w:t>
      </w:r>
    </w:p>
    <w:p>
      <w:pPr>
        <w:spacing w:line="560" w:lineRule="exact"/>
        <w:ind w:firstLine="643" w:firstLineChars="200"/>
        <w:rPr>
          <w:rFonts w:hint="default" w:ascii="仿宋_GB2312" w:eastAsia="仿宋_GB2312" w:cs="Times New Roman"/>
          <w:kern w:val="2"/>
          <w:sz w:val="32"/>
          <w:szCs w:val="32"/>
          <w:lang w:val="en-US" w:eastAsia="zh-CN"/>
        </w:rPr>
      </w:pPr>
      <w:r>
        <w:rPr>
          <w:rFonts w:hint="eastAsia" w:ascii="楷体_GB2312" w:hAnsi="宋体" w:eastAsia="楷体_GB2312" w:cs="Times New Roman"/>
          <w:b/>
          <w:sz w:val="32"/>
          <w:szCs w:val="32"/>
          <w:lang w:val="zh-CN" w:eastAsia="zh-CN"/>
        </w:rPr>
        <w:t>（二）预设问题及评价重点。</w:t>
      </w:r>
      <w:r>
        <w:rPr>
          <w:rFonts w:hint="eastAsia" w:ascii="仿宋_GB2312" w:hAnsi="仿宋_GB2312" w:eastAsia="仿宋_GB2312" w:cs="仿宋_GB2312"/>
          <w:color w:val="auto"/>
          <w:sz w:val="32"/>
          <w:szCs w:val="32"/>
          <w:lang w:val="en-US" w:eastAsia="zh-CN"/>
        </w:rPr>
        <w:t>项目估算总投资 2000 万元，资金来源为争取中央预算内资金1600万元及地方配套400万元。</w:t>
      </w:r>
      <w:r>
        <w:rPr>
          <w:rFonts w:hint="default" w:ascii="仿宋_GB2312" w:hAnsi="仿宋_GB2312" w:eastAsia="仿宋_GB2312" w:cs="仿宋_GB2312"/>
          <w:color w:val="auto"/>
          <w:sz w:val="32"/>
          <w:szCs w:val="32"/>
          <w:lang w:val="en-US" w:eastAsia="zh-CN"/>
        </w:rPr>
        <w:t>其中工程建设费用</w:t>
      </w:r>
      <w:r>
        <w:rPr>
          <w:rFonts w:hint="eastAsia" w:ascii="仿宋_GB2312" w:hAnsi="仿宋_GB2312" w:eastAsia="仿宋_GB2312" w:cs="仿宋_GB2312"/>
          <w:color w:val="auto"/>
          <w:sz w:val="32"/>
          <w:szCs w:val="32"/>
          <w:lang w:val="en-US" w:eastAsia="zh-CN"/>
        </w:rPr>
        <w:t>1668.05</w:t>
      </w:r>
      <w:r>
        <w:rPr>
          <w:rFonts w:hint="default" w:ascii="仿宋_GB2312" w:hAnsi="仿宋_GB2312" w:eastAsia="仿宋_GB2312" w:cs="仿宋_GB2312"/>
          <w:color w:val="auto"/>
          <w:sz w:val="32"/>
          <w:szCs w:val="32"/>
          <w:lang w:val="en-US" w:eastAsia="zh-CN"/>
        </w:rPr>
        <w:t>万元，占总投资的</w:t>
      </w:r>
      <w:r>
        <w:rPr>
          <w:rFonts w:hint="eastAsia" w:ascii="仿宋_GB2312" w:hAnsi="仿宋_GB2312" w:eastAsia="仿宋_GB2312" w:cs="仿宋_GB2312"/>
          <w:color w:val="auto"/>
          <w:sz w:val="32"/>
          <w:szCs w:val="32"/>
          <w:lang w:val="en-US" w:eastAsia="zh-CN"/>
        </w:rPr>
        <w:t>83.40</w:t>
      </w:r>
      <w:r>
        <w:rPr>
          <w:rFonts w:hint="default" w:ascii="仿宋_GB2312" w:hAnsi="仿宋_GB2312" w:eastAsia="仿宋_GB2312" w:cs="仿宋_GB2312"/>
          <w:color w:val="auto"/>
          <w:sz w:val="32"/>
          <w:szCs w:val="32"/>
          <w:lang w:val="en-US" w:eastAsia="zh-CN"/>
        </w:rPr>
        <w:t>%；工程建设其它费用</w:t>
      </w:r>
      <w:r>
        <w:rPr>
          <w:rFonts w:hint="eastAsia" w:ascii="仿宋_GB2312" w:hAnsi="仿宋_GB2312" w:eastAsia="仿宋_GB2312" w:cs="仿宋_GB2312"/>
          <w:color w:val="auto"/>
          <w:sz w:val="32"/>
          <w:szCs w:val="32"/>
          <w:lang w:val="en-US" w:eastAsia="zh-CN"/>
        </w:rPr>
        <w:t>236.71</w:t>
      </w:r>
      <w:r>
        <w:rPr>
          <w:rFonts w:hint="default" w:ascii="仿宋_GB2312" w:hAnsi="仿宋_GB2312" w:eastAsia="仿宋_GB2312" w:cs="仿宋_GB2312"/>
          <w:color w:val="auto"/>
          <w:sz w:val="32"/>
          <w:szCs w:val="32"/>
          <w:lang w:val="en-US" w:eastAsia="zh-CN"/>
        </w:rPr>
        <w:t>万元，占总投资的</w:t>
      </w:r>
      <w:r>
        <w:rPr>
          <w:rFonts w:hint="eastAsia" w:ascii="仿宋_GB2312" w:hAnsi="仿宋_GB2312" w:eastAsia="仿宋_GB2312" w:cs="仿宋_GB2312"/>
          <w:color w:val="auto"/>
          <w:sz w:val="32"/>
          <w:szCs w:val="32"/>
          <w:lang w:val="en-US" w:eastAsia="zh-CN"/>
        </w:rPr>
        <w:t>11.84</w:t>
      </w:r>
      <w:r>
        <w:rPr>
          <w:rFonts w:hint="default" w:ascii="仿宋_GB2312" w:hAnsi="仿宋_GB2312" w:eastAsia="仿宋_GB2312" w:cs="仿宋_GB2312"/>
          <w:color w:val="auto"/>
          <w:sz w:val="32"/>
          <w:szCs w:val="32"/>
          <w:lang w:val="en-US" w:eastAsia="zh-CN"/>
        </w:rPr>
        <w:t>%；预备费</w:t>
      </w:r>
      <w:r>
        <w:rPr>
          <w:rFonts w:hint="eastAsia" w:ascii="仿宋_GB2312" w:hAnsi="仿宋_GB2312" w:eastAsia="仿宋_GB2312" w:cs="仿宋_GB2312"/>
          <w:color w:val="auto"/>
          <w:sz w:val="32"/>
          <w:szCs w:val="32"/>
          <w:lang w:val="en-US" w:eastAsia="zh-CN"/>
        </w:rPr>
        <w:t>95.24</w:t>
      </w:r>
      <w:r>
        <w:rPr>
          <w:rFonts w:hint="default" w:ascii="仿宋_GB2312" w:hAnsi="仿宋_GB2312" w:eastAsia="仿宋_GB2312" w:cs="仿宋_GB2312"/>
          <w:color w:val="auto"/>
          <w:sz w:val="32"/>
          <w:szCs w:val="32"/>
          <w:lang w:val="en-US" w:eastAsia="zh-CN"/>
        </w:rPr>
        <w:t>万元，占总投资的</w:t>
      </w:r>
      <w:r>
        <w:rPr>
          <w:rFonts w:hint="eastAsia" w:ascii="仿宋_GB2312" w:hAnsi="仿宋_GB2312" w:eastAsia="仿宋_GB2312" w:cs="仿宋_GB2312"/>
          <w:color w:val="auto"/>
          <w:sz w:val="32"/>
          <w:szCs w:val="32"/>
          <w:lang w:val="en-US" w:eastAsia="zh-CN"/>
        </w:rPr>
        <w:t>4.76</w:t>
      </w:r>
      <w:r>
        <w:rPr>
          <w:rFonts w:hint="default" w:ascii="仿宋_GB2312" w:hAnsi="仿宋_GB2312" w:eastAsia="仿宋_GB2312" w:cs="仿宋_GB2312"/>
          <w:color w:val="auto"/>
          <w:sz w:val="32"/>
          <w:szCs w:val="32"/>
          <w:lang w:val="en-US" w:eastAsia="zh-CN"/>
        </w:rPr>
        <w:t>%。</w:t>
      </w:r>
      <w:r>
        <w:rPr>
          <w:rFonts w:hint="eastAsia" w:ascii="仿宋_GB2312" w:cs="Times New Roman"/>
          <w:kern w:val="2"/>
          <w:sz w:val="32"/>
          <w:szCs w:val="32"/>
          <w:lang w:val="en-US" w:eastAsia="zh-CN"/>
        </w:rPr>
        <w:t>2023年财政安排资金</w:t>
      </w:r>
      <w:r>
        <w:rPr>
          <w:rFonts w:hint="eastAsia" w:ascii="仿宋_GB2312" w:hAnsi="仿宋_GB2312" w:cs="仿宋_GB2312"/>
          <w:color w:val="auto"/>
          <w:sz w:val="32"/>
          <w:szCs w:val="32"/>
          <w:lang w:val="en-US" w:eastAsia="zh-CN"/>
        </w:rPr>
        <w:t>26.62</w:t>
      </w:r>
      <w:r>
        <w:rPr>
          <w:rFonts w:hint="eastAsia" w:ascii="仿宋_GB2312" w:cs="Times New Roman"/>
          <w:kern w:val="2"/>
          <w:sz w:val="32"/>
          <w:szCs w:val="32"/>
          <w:lang w:val="en-US" w:eastAsia="zh-CN"/>
        </w:rPr>
        <w:t>万元。</w:t>
      </w:r>
    </w:p>
    <w:p>
      <w:pPr>
        <w:adjustRightInd w:val="0"/>
        <w:snapToGrid w:val="0"/>
        <w:spacing w:line="580" w:lineRule="exact"/>
        <w:ind w:firstLine="803" w:firstLineChars="250"/>
        <w:rPr>
          <w:rFonts w:hint="eastAsia" w:ascii="仿宋_GB2312" w:hAnsi="仿宋_GB2312" w:eastAsia="仿宋_GB2312" w:cs="仿宋_GB2312"/>
          <w:color w:val="auto"/>
          <w:sz w:val="32"/>
          <w:szCs w:val="32"/>
          <w:lang w:val="zh-CN" w:eastAsia="zh-CN"/>
        </w:rPr>
      </w:pPr>
      <w:r>
        <w:rPr>
          <w:rFonts w:hint="eastAsia" w:ascii="楷体_GB2312" w:hAnsi="宋体" w:eastAsia="楷体_GB2312" w:cs="Times New Roman"/>
          <w:b/>
          <w:sz w:val="32"/>
          <w:szCs w:val="32"/>
          <w:lang w:val="zh-CN" w:eastAsia="zh-CN"/>
        </w:rPr>
        <w:t>（三）评价选点。</w:t>
      </w:r>
      <w:r>
        <w:rPr>
          <w:rFonts w:hint="eastAsia" w:ascii="仿宋_GB2312" w:hAnsi="仿宋_GB2312" w:eastAsia="仿宋_GB2312" w:cs="仿宋_GB2312"/>
          <w:color w:val="auto"/>
          <w:sz w:val="32"/>
          <w:szCs w:val="32"/>
          <w:lang w:val="zh-CN" w:eastAsia="zh-CN"/>
        </w:rPr>
        <w:t>单</w:t>
      </w:r>
      <w:r>
        <w:rPr>
          <w:rFonts w:hint="eastAsia" w:ascii="仿宋_GB2312" w:hAnsi="仿宋_GB2312" w:eastAsia="仿宋_GB2312" w:cs="仿宋_GB2312"/>
          <w:color w:val="auto"/>
          <w:sz w:val="32"/>
          <w:szCs w:val="32"/>
          <w:lang w:val="en-US" w:eastAsia="zh-CN"/>
        </w:rPr>
        <w:t>位在财政项目资金财务管理过程中严格按照“收支两条线”、</w:t>
      </w:r>
      <w:r>
        <w:rPr>
          <w:rFonts w:hint="eastAsia" w:ascii="仿宋_GB2312" w:hAnsi="仿宋_GB2312" w:eastAsia="仿宋_GB2312" w:cs="仿宋_GB2312"/>
          <w:color w:val="auto"/>
          <w:sz w:val="32"/>
          <w:szCs w:val="32"/>
          <w:lang w:val="zh-CN" w:eastAsia="zh-CN"/>
        </w:rPr>
        <w:t>会计核算规范，专款专用</w:t>
      </w:r>
      <w:r>
        <w:rPr>
          <w:rFonts w:hint="eastAsia" w:ascii="仿宋_GB2312" w:hAnsi="仿宋_GB2312" w:eastAsia="仿宋_GB2312" w:cs="仿宋_GB2312"/>
          <w:color w:val="auto"/>
          <w:sz w:val="32"/>
          <w:szCs w:val="32"/>
          <w:lang w:val="en-US" w:eastAsia="zh-CN"/>
        </w:rPr>
        <w:t>管理的要求；严格按照《社保基金财务制度》要求的会计科目进行核算。</w:t>
      </w:r>
    </w:p>
    <w:p>
      <w:pPr>
        <w:spacing w:line="578" w:lineRule="exact"/>
        <w:ind w:firstLine="640"/>
        <w:rPr>
          <w:rFonts w:hint="eastAsia" w:ascii="仿宋_GB2312" w:eastAsia="仿宋_GB2312" w:cs="Times New Roman"/>
          <w:kern w:val="2"/>
          <w:sz w:val="32"/>
          <w:szCs w:val="32"/>
          <w:lang w:val="en-US" w:eastAsia="zh-CN" w:bidi="ar-SA"/>
        </w:rPr>
      </w:pPr>
      <w:r>
        <w:rPr>
          <w:rFonts w:hint="eastAsia" w:ascii="楷体_GB2312" w:hAnsi="宋体" w:eastAsia="楷体_GB2312" w:cs="Times New Roman"/>
          <w:b/>
          <w:sz w:val="32"/>
          <w:szCs w:val="32"/>
          <w:lang w:val="zh-CN" w:eastAsia="zh-CN"/>
        </w:rPr>
        <w:t>（四）评价方法。</w:t>
      </w:r>
      <w:r>
        <w:rPr>
          <w:rFonts w:hint="eastAsia" w:ascii="仿宋_GB2312" w:eastAsia="仿宋_GB2312" w:cs="Times New Roman"/>
          <w:kern w:val="2"/>
          <w:sz w:val="32"/>
          <w:szCs w:val="32"/>
          <w:lang w:val="en-US" w:eastAsia="zh-CN" w:bidi="ar-SA"/>
        </w:rPr>
        <w:t>本项目通过与项目相关人员讨论了解项目情况，收集相关资料，综合分析相关情况后，对项目的立项必要性、投入经济性、目标合理性、方案可行性以及筹资合规性实施评估。</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仿宋_GB2312" w:eastAsia="仿宋_GB2312" w:cs="仿宋_GB2312"/>
          <w:color w:val="auto"/>
          <w:sz w:val="32"/>
          <w:szCs w:val="32"/>
          <w:lang w:val="en-US" w:eastAsia="zh-CN"/>
        </w:rPr>
      </w:pPr>
      <w:r>
        <w:rPr>
          <w:rFonts w:hint="eastAsia" w:ascii="楷体_GB2312" w:hAnsi="宋体" w:eastAsia="楷体_GB2312" w:cs="Times New Roman"/>
          <w:b/>
          <w:sz w:val="32"/>
          <w:szCs w:val="32"/>
          <w:lang w:val="zh-CN" w:eastAsia="zh-CN"/>
        </w:rPr>
        <w:t>（五）评价组织。</w:t>
      </w:r>
      <w:r>
        <w:rPr>
          <w:rFonts w:hint="eastAsia" w:ascii="仿宋_GB2312" w:hAnsi="仿宋_GB2312" w:eastAsia="仿宋_GB2312" w:cs="仿宋_GB2312"/>
          <w:color w:val="auto"/>
          <w:sz w:val="32"/>
          <w:szCs w:val="32"/>
          <w:lang w:val="en-US" w:eastAsia="zh-CN"/>
        </w:rPr>
        <w:t>我局高度重视落实开展项目绩效评价工作，成立了以局长为组长，分管财务副局长为副组长，各股室股长为成员的工作领导小组，负责组织开展本单位绩效评价工作。</w:t>
      </w:r>
    </w:p>
    <w:p>
      <w:pPr>
        <w:adjustRightInd w:val="0"/>
        <w:snapToGrid w:val="0"/>
        <w:spacing w:line="578" w:lineRule="exact"/>
        <w:ind w:firstLine="640" w:firstLineChars="200"/>
        <w:rPr>
          <w:rFonts w:hint="eastAsia" w:ascii="黑体" w:hAnsi="宋体" w:eastAsia="黑体" w:cs="Times New Roman"/>
          <w:sz w:val="32"/>
          <w:szCs w:val="32"/>
          <w:lang w:val="zh-CN" w:eastAsia="zh-CN"/>
        </w:rPr>
      </w:pPr>
      <w:r>
        <w:rPr>
          <w:rFonts w:hint="eastAsia" w:ascii="黑体" w:hAnsi="宋体" w:eastAsia="黑体" w:cs="Times New Roman"/>
          <w:sz w:val="32"/>
          <w:szCs w:val="32"/>
          <w:lang w:val="zh-CN" w:eastAsia="zh-CN"/>
        </w:rPr>
        <w:t>三、绩效分析</w:t>
      </w:r>
      <w:r>
        <w:rPr>
          <w:rFonts w:hint="eastAsia" w:ascii="黑体" w:hAnsi="宋体" w:eastAsia="黑体" w:cs="Times New Roman"/>
          <w:sz w:val="32"/>
          <w:szCs w:val="32"/>
          <w:lang w:val="zh-CN" w:eastAsia="zh-CN"/>
        </w:rPr>
        <w:tab/>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楷体_GB2312" w:hAnsi="宋体" w:eastAsia="楷体_GB2312" w:cs="Times New Roman"/>
          <w:b/>
          <w:sz w:val="32"/>
          <w:szCs w:val="32"/>
          <w:lang w:val="zh-CN" w:eastAsia="zh-CN"/>
        </w:rPr>
      </w:pPr>
      <w:r>
        <w:rPr>
          <w:rFonts w:hint="eastAsia" w:ascii="楷体_GB2312" w:hAnsi="宋体" w:eastAsia="楷体_GB2312" w:cs="Times New Roman"/>
          <w:b/>
          <w:sz w:val="32"/>
          <w:szCs w:val="32"/>
          <w:lang w:val="zh-CN" w:eastAsia="zh-CN"/>
        </w:rPr>
        <w:t>（一）通用指标绩效分析。</w:t>
      </w:r>
    </w:p>
    <w:p>
      <w:pPr>
        <w:spacing w:line="578" w:lineRule="exact"/>
        <w:ind w:firstLine="64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val="0"/>
          <w:bCs w:val="0"/>
          <w:i w:val="0"/>
          <w:iCs w:val="0"/>
          <w:color w:val="auto"/>
          <w:sz w:val="32"/>
          <w:szCs w:val="32"/>
          <w:lang w:val="en-US" w:eastAsia="zh-CN"/>
        </w:rPr>
        <w:t>1.项目决策。</w:t>
      </w:r>
      <w:r>
        <w:rPr>
          <w:rFonts w:hint="eastAsia" w:ascii="仿宋_GB2312" w:hAnsi="仿宋_GB2312" w:eastAsia="仿宋_GB2312" w:cs="仿宋_GB2312"/>
          <w:color w:val="auto"/>
          <w:sz w:val="32"/>
          <w:szCs w:val="32"/>
          <w:lang w:val="en-US" w:eastAsia="zh-CN"/>
        </w:rPr>
        <w:t>该项目的设立、调整延续等方面符合资金管理基本规范和决策程序要求，项目规划符合上级政府有关决策部署安排，项目绩效目标设置科学合理，资金主要用于</w:t>
      </w:r>
      <w:r>
        <w:rPr>
          <w:rFonts w:hint="eastAsia" w:ascii="仿宋_GB2312" w:hAnsi="仿宋_GB2312" w:eastAsia="仿宋_GB2312" w:cs="仿宋_GB2312"/>
          <w:color w:val="auto"/>
          <w:kern w:val="2"/>
          <w:sz w:val="32"/>
          <w:szCs w:val="32"/>
          <w:lang w:val="en-US" w:eastAsia="zh-CN" w:bidi="ar-SA"/>
        </w:rPr>
        <w:t>设施设备采购，配套附属设施等</w:t>
      </w:r>
      <w:r>
        <w:rPr>
          <w:rFonts w:hint="eastAsia" w:ascii="仿宋_GB2312" w:hAnsi="仿宋_GB2312" w:cs="仿宋_GB2312"/>
          <w:color w:val="auto"/>
          <w:kern w:val="2"/>
          <w:sz w:val="32"/>
          <w:szCs w:val="32"/>
          <w:lang w:val="en-US" w:eastAsia="zh-CN" w:bidi="ar-SA"/>
        </w:rPr>
        <w:t>。</w:t>
      </w:r>
    </w:p>
    <w:p>
      <w:pPr>
        <w:spacing w:line="578" w:lineRule="exact"/>
        <w:ind w:firstLine="64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2.项目管理。深入实施深度贫困地区贫困劳动力技能培训全覆盖行动，提供免费就业技能培训。项目估算总投资 2000 万元，资金来源为争取中央预算内资金1600万元及地方配套400万元。</w:t>
      </w:r>
    </w:p>
    <w:p>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0" w:firstLineChars="200"/>
        <w:textAlignment w:val="auto"/>
        <w:outlineLvl w:val="9"/>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en-US" w:eastAsia="zh-CN"/>
        </w:rPr>
        <w:t>3.项目实施。</w:t>
      </w:r>
      <w:r>
        <w:rPr>
          <w:rFonts w:hint="eastAsia" w:ascii="仿宋_GB2312" w:hAnsi="仿宋_GB2312" w:eastAsia="仿宋_GB2312" w:cs="仿宋_GB2312"/>
          <w:color w:val="auto"/>
          <w:sz w:val="32"/>
          <w:szCs w:val="32"/>
          <w:lang w:val="zh-CN" w:eastAsia="zh-CN"/>
        </w:rPr>
        <w:t>截止评价时点，20</w:t>
      </w:r>
      <w:r>
        <w:rPr>
          <w:rFonts w:hint="eastAsia" w:ascii="仿宋_GB2312" w:hAnsi="仿宋_GB2312" w:eastAsia="仿宋_GB2312" w:cs="仿宋_GB2312"/>
          <w:color w:val="auto"/>
          <w:sz w:val="32"/>
          <w:szCs w:val="32"/>
          <w:lang w:val="en-US" w:eastAsia="zh-CN"/>
        </w:rPr>
        <w:t>23</w:t>
      </w:r>
      <w:r>
        <w:rPr>
          <w:rFonts w:hint="eastAsia" w:ascii="仿宋_GB2312" w:hAnsi="仿宋_GB2312" w:eastAsia="仿宋_GB2312" w:cs="仿宋_GB2312"/>
          <w:color w:val="auto"/>
          <w:sz w:val="32"/>
          <w:szCs w:val="32"/>
          <w:lang w:val="zh-CN" w:eastAsia="zh-CN"/>
        </w:rPr>
        <w:t>年</w:t>
      </w:r>
      <w:r>
        <w:rPr>
          <w:rFonts w:hint="eastAsia" w:ascii="仿宋_GB2312" w:hAnsi="仿宋_GB2312" w:cs="仿宋_GB2312"/>
          <w:color w:val="auto"/>
          <w:sz w:val="32"/>
          <w:szCs w:val="32"/>
          <w:lang w:val="en-US" w:eastAsia="zh-CN"/>
        </w:rPr>
        <w:t>实训基地建设项目</w:t>
      </w:r>
      <w:r>
        <w:rPr>
          <w:rFonts w:hint="eastAsia" w:ascii="仿宋_GB2312" w:hAnsi="仿宋_GB2312" w:eastAsia="仿宋_GB2312" w:cs="仿宋_GB2312"/>
          <w:color w:val="auto"/>
          <w:sz w:val="32"/>
          <w:szCs w:val="32"/>
          <w:lang w:val="zh-CN" w:eastAsia="zh-CN"/>
        </w:rPr>
        <w:t>资金支出</w:t>
      </w:r>
      <w:r>
        <w:rPr>
          <w:rFonts w:hint="eastAsia" w:ascii="仿宋_GB2312" w:hAnsi="仿宋_GB2312" w:eastAsia="仿宋_GB2312" w:cs="仿宋_GB2312"/>
          <w:color w:val="auto"/>
          <w:sz w:val="32"/>
          <w:szCs w:val="32"/>
          <w:lang w:val="en-US" w:eastAsia="zh-CN"/>
        </w:rPr>
        <w:t>共计：</w:t>
      </w:r>
      <w:r>
        <w:rPr>
          <w:rFonts w:hint="eastAsia" w:ascii="仿宋_GB2312" w:hAnsi="仿宋_GB2312" w:cs="仿宋_GB2312"/>
          <w:color w:val="auto"/>
          <w:sz w:val="32"/>
          <w:szCs w:val="32"/>
          <w:lang w:val="en-US" w:eastAsia="zh-CN"/>
        </w:rPr>
        <w:t>26.62</w:t>
      </w:r>
      <w:r>
        <w:rPr>
          <w:rFonts w:hint="eastAsia" w:ascii="仿宋_GB2312" w:hAnsi="仿宋_GB2312" w:eastAsia="仿宋_GB2312" w:cs="仿宋_GB2312"/>
          <w:color w:val="auto"/>
          <w:sz w:val="32"/>
          <w:szCs w:val="32"/>
          <w:lang w:val="en-US" w:eastAsia="zh-CN"/>
        </w:rPr>
        <w:t>万元</w:t>
      </w:r>
      <w:r>
        <w:rPr>
          <w:rFonts w:hint="eastAsia" w:ascii="仿宋_GB2312" w:hAnsi="仿宋_GB2312" w:eastAsia="仿宋_GB2312" w:cs="仿宋_GB2312"/>
          <w:color w:val="auto"/>
          <w:sz w:val="32"/>
          <w:szCs w:val="32"/>
          <w:lang w:val="zh-CN" w:eastAsia="zh-CN"/>
        </w:rPr>
        <w:t>。项目资金使用、拨付符合国家财经法规、财务管理制度及有关专项资金管理制度办法规定和审批程序，</w:t>
      </w:r>
      <w:r>
        <w:rPr>
          <w:rFonts w:hint="eastAsia" w:ascii="仿宋_GB2312" w:hAnsi="仿宋_GB2312" w:eastAsia="仿宋_GB2312" w:cs="仿宋_GB2312"/>
          <w:color w:val="auto"/>
          <w:sz w:val="32"/>
          <w:szCs w:val="32"/>
          <w:lang w:val="en-US" w:eastAsia="zh-CN"/>
        </w:rPr>
        <w:t>不</w:t>
      </w:r>
      <w:r>
        <w:rPr>
          <w:rFonts w:hint="eastAsia" w:ascii="仿宋_GB2312" w:hAnsi="仿宋_GB2312" w:eastAsia="仿宋_GB2312" w:cs="仿宋_GB2312"/>
          <w:color w:val="auto"/>
          <w:sz w:val="32"/>
          <w:szCs w:val="32"/>
          <w:lang w:val="zh-CN" w:eastAsia="zh-CN"/>
        </w:rPr>
        <w:t>存在超范围、超标准、超进度使用专项资金，</w:t>
      </w:r>
      <w:r>
        <w:rPr>
          <w:rFonts w:hint="eastAsia" w:ascii="仿宋_GB2312" w:hAnsi="仿宋_GB2312" w:eastAsia="仿宋_GB2312" w:cs="仿宋_GB2312"/>
          <w:color w:val="auto"/>
          <w:sz w:val="32"/>
          <w:szCs w:val="32"/>
          <w:lang w:val="en-US" w:eastAsia="zh-CN"/>
        </w:rPr>
        <w:t>不</w:t>
      </w:r>
      <w:r>
        <w:rPr>
          <w:rFonts w:hint="eastAsia" w:ascii="仿宋_GB2312" w:hAnsi="仿宋_GB2312" w:eastAsia="仿宋_GB2312" w:cs="仿宋_GB2312"/>
          <w:color w:val="auto"/>
          <w:sz w:val="32"/>
          <w:szCs w:val="32"/>
          <w:lang w:val="zh-CN" w:eastAsia="zh-CN"/>
        </w:rPr>
        <w:t>存在资金损失浪费、长期沉淀、截留、挤占、挪用、虚列支出等情况，项目实施遵守相关法律法规。</w:t>
      </w:r>
    </w:p>
    <w:p>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0" w:firstLineChars="200"/>
        <w:textAlignment w:val="auto"/>
        <w:outlineLvl w:val="9"/>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4.项目结果。项目按时完成预期目标，实施结果与绩效目标相匹配，按照实施计划完成目标。</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楷体_GB2312" w:hAnsi="宋体" w:eastAsia="楷体_GB2312" w:cs="Times New Roman"/>
          <w:b/>
          <w:sz w:val="32"/>
          <w:szCs w:val="32"/>
          <w:lang w:val="zh-CN" w:eastAsia="zh-CN"/>
        </w:rPr>
      </w:pPr>
      <w:r>
        <w:rPr>
          <w:rFonts w:hint="eastAsia" w:ascii="楷体_GB2312" w:hAnsi="宋体" w:eastAsia="楷体_GB2312" w:cs="Times New Roman"/>
          <w:b/>
          <w:sz w:val="32"/>
          <w:szCs w:val="32"/>
          <w:lang w:val="zh-CN" w:eastAsia="zh-CN"/>
        </w:rPr>
        <w:t>（二）个性指标绩效分析。</w:t>
      </w:r>
    </w:p>
    <w:p>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0" w:firstLineChars="200"/>
        <w:textAlignment w:val="auto"/>
        <w:outlineLvl w:val="9"/>
        <w:rPr>
          <w:rFonts w:hint="default" w:ascii="仿宋_GB2312" w:hAnsi="仿宋_GB2312" w:eastAsia="仿宋_GB2312" w:cs="仿宋_GB2312"/>
          <w:color w:val="auto"/>
          <w:sz w:val="32"/>
          <w:szCs w:val="32"/>
          <w:lang w:val="zh-CN" w:eastAsia="zh-CN"/>
        </w:rPr>
      </w:pPr>
      <w:r>
        <w:rPr>
          <w:rFonts w:hint="default" w:ascii="仿宋_GB2312" w:hAnsi="仿宋_GB2312" w:eastAsia="仿宋_GB2312" w:cs="仿宋_GB2312"/>
          <w:sz w:val="32"/>
          <w:szCs w:val="32"/>
          <w:lang w:val="zh-CN" w:eastAsia="zh-CN"/>
        </w:rPr>
        <w:t>1.</w:t>
      </w:r>
      <w:r>
        <w:rPr>
          <w:rFonts w:hint="default" w:ascii="仿宋_GB2312" w:hAnsi="仿宋_GB2312" w:eastAsia="仿宋_GB2312" w:cs="仿宋_GB2312"/>
          <w:color w:val="auto"/>
          <w:sz w:val="32"/>
          <w:szCs w:val="32"/>
          <w:lang w:val="zh-CN" w:eastAsia="zh-CN"/>
        </w:rPr>
        <w:t>数量指标。</w:t>
      </w:r>
      <w:r>
        <w:rPr>
          <w:rFonts w:hint="eastAsia" w:ascii="仿宋_GB2312" w:hAnsi="仿宋_GB2312" w:cs="仿宋_GB2312"/>
          <w:color w:val="auto"/>
          <w:sz w:val="32"/>
          <w:szCs w:val="32"/>
          <w:lang w:val="en-US" w:eastAsia="zh-CN"/>
        </w:rPr>
        <w:t>新建实训基</w:t>
      </w:r>
      <w:r>
        <w:rPr>
          <w:rFonts w:hint="eastAsia" w:ascii="仿宋_GB2312" w:hAnsi="仿宋_GB2312" w:eastAsia="仿宋_GB2312" w:cs="仿宋_GB2312"/>
          <w:color w:val="auto"/>
          <w:sz w:val="32"/>
          <w:szCs w:val="32"/>
          <w:lang w:val="en-US" w:eastAsia="zh-CN"/>
        </w:rPr>
        <w:t>地3083平方米，</w:t>
      </w:r>
      <w:r>
        <w:rPr>
          <w:rFonts w:hint="eastAsia" w:ascii="仿宋_GB2312" w:hAnsi="仿宋_GB2312" w:eastAsia="仿宋_GB2312" w:cs="仿宋_GB2312"/>
          <w:color w:val="auto"/>
          <w:kern w:val="2"/>
          <w:sz w:val="32"/>
          <w:szCs w:val="32"/>
          <w:lang w:val="en-US" w:eastAsia="zh-CN" w:bidi="ar-SA"/>
        </w:rPr>
        <w:t>设施设备采购，配套附属设施等</w:t>
      </w:r>
      <w:r>
        <w:rPr>
          <w:rFonts w:hint="default" w:ascii="仿宋_GB2312" w:hAnsi="仿宋_GB2312" w:eastAsia="仿宋_GB2312" w:cs="仿宋_GB2312"/>
          <w:color w:val="auto"/>
          <w:sz w:val="32"/>
          <w:szCs w:val="32"/>
          <w:lang w:val="zh-CN" w:eastAsia="zh-CN"/>
        </w:rPr>
        <w:t>。</w:t>
      </w:r>
    </w:p>
    <w:p>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0" w:firstLineChars="200"/>
        <w:textAlignment w:val="auto"/>
        <w:outlineLvl w:val="9"/>
        <w:rPr>
          <w:rFonts w:hint="default" w:ascii="仿宋_GB2312" w:hAnsi="仿宋_GB2312" w:eastAsia="仿宋_GB2312" w:cs="仿宋_GB2312"/>
          <w:color w:val="auto"/>
          <w:sz w:val="32"/>
          <w:szCs w:val="32"/>
          <w:lang w:val="zh-CN" w:eastAsia="zh-CN"/>
        </w:rPr>
      </w:pPr>
      <w:r>
        <w:rPr>
          <w:rFonts w:hint="default" w:ascii="仿宋_GB2312" w:hAnsi="仿宋_GB2312" w:eastAsia="仿宋_GB2312" w:cs="仿宋_GB2312"/>
          <w:color w:val="auto"/>
          <w:sz w:val="32"/>
          <w:szCs w:val="32"/>
          <w:lang w:val="zh-CN" w:eastAsia="zh-CN"/>
        </w:rPr>
        <w:t>2.</w:t>
      </w:r>
      <w:r>
        <w:rPr>
          <w:rFonts w:hint="eastAsia" w:ascii="仿宋_GB2312" w:hAnsi="仿宋_GB2312" w:eastAsia="仿宋_GB2312" w:cs="仿宋_GB2312"/>
          <w:color w:val="auto"/>
          <w:kern w:val="2"/>
          <w:sz w:val="32"/>
          <w:szCs w:val="32"/>
          <w:lang w:val="en-US" w:eastAsia="zh-CN" w:bidi="ar-SA"/>
        </w:rPr>
        <w:t>成本指标</w:t>
      </w:r>
      <w:r>
        <w:rPr>
          <w:rFonts w:hint="default" w:ascii="仿宋_GB2312" w:hAnsi="仿宋_GB2312" w:eastAsia="仿宋_GB2312" w:cs="仿宋_GB2312"/>
          <w:color w:val="auto"/>
          <w:kern w:val="2"/>
          <w:sz w:val="32"/>
          <w:szCs w:val="32"/>
          <w:lang w:val="zh-CN" w:eastAsia="zh-CN" w:bidi="ar-SA"/>
        </w:rPr>
        <w:t>。</w:t>
      </w:r>
      <w:r>
        <w:rPr>
          <w:rFonts w:hint="eastAsia" w:ascii="仿宋_GB2312" w:hAnsi="仿宋_GB2312" w:eastAsia="仿宋_GB2312" w:cs="仿宋_GB2312"/>
          <w:color w:val="auto"/>
          <w:kern w:val="2"/>
          <w:sz w:val="32"/>
          <w:szCs w:val="32"/>
          <w:lang w:val="en-US" w:eastAsia="zh-CN" w:bidi="ar-SA"/>
        </w:rPr>
        <w:t>设施设备采购，配套附属设施等</w:t>
      </w:r>
      <w:r>
        <w:rPr>
          <w:rFonts w:hint="eastAsia" w:ascii="仿宋_GB2312" w:hAnsi="仿宋_GB2312" w:cs="仿宋_GB2312"/>
          <w:color w:val="auto"/>
          <w:kern w:val="2"/>
          <w:sz w:val="32"/>
          <w:szCs w:val="32"/>
          <w:lang w:val="en-US" w:eastAsia="zh-CN" w:bidi="ar-SA"/>
        </w:rPr>
        <w:t>资金2000万元</w:t>
      </w:r>
      <w:r>
        <w:rPr>
          <w:rFonts w:hint="default" w:ascii="仿宋_GB2312" w:hAnsi="仿宋_GB2312" w:eastAsia="仿宋_GB2312" w:cs="仿宋_GB2312"/>
          <w:color w:val="auto"/>
          <w:sz w:val="32"/>
          <w:szCs w:val="32"/>
          <w:lang w:val="zh-CN" w:eastAsia="zh-CN"/>
        </w:rPr>
        <w:t>。</w:t>
      </w:r>
    </w:p>
    <w:p>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0" w:firstLineChars="200"/>
        <w:textAlignment w:val="auto"/>
        <w:outlineLvl w:val="9"/>
        <w:rPr>
          <w:rFonts w:hint="default" w:ascii="仿宋_GB2312" w:hAnsi="仿宋_GB2312" w:eastAsia="仿宋_GB2312" w:cs="仿宋_GB2312"/>
          <w:color w:val="auto"/>
          <w:kern w:val="2"/>
          <w:sz w:val="32"/>
          <w:szCs w:val="32"/>
          <w:lang w:val="zh-CN" w:eastAsia="zh-CN" w:bidi="ar-SA"/>
        </w:rPr>
      </w:pPr>
      <w:r>
        <w:rPr>
          <w:rFonts w:hint="default" w:ascii="仿宋_GB2312" w:hAnsi="仿宋_GB2312" w:eastAsia="仿宋_GB2312" w:cs="仿宋_GB2312"/>
          <w:color w:val="auto"/>
          <w:kern w:val="2"/>
          <w:sz w:val="32"/>
          <w:szCs w:val="32"/>
          <w:lang w:val="zh-CN" w:eastAsia="zh-CN" w:bidi="ar-SA"/>
        </w:rPr>
        <w:t>3.效益指标。</w:t>
      </w:r>
      <w:r>
        <w:rPr>
          <w:rFonts w:hint="eastAsia" w:ascii="仿宋_GB2312" w:hAnsi="仿宋_GB2312" w:eastAsia="仿宋_GB2312" w:cs="仿宋_GB2312"/>
          <w:color w:val="auto"/>
          <w:kern w:val="2"/>
          <w:sz w:val="32"/>
          <w:szCs w:val="32"/>
          <w:lang w:val="en-US" w:eastAsia="zh-CN" w:bidi="ar-SA"/>
        </w:rPr>
        <w:t>为当地群众提供培训，使其经过培训以后可从事农业、旅游业等相关工作。</w:t>
      </w:r>
    </w:p>
    <w:p>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0" w:firstLineChars="200"/>
        <w:textAlignment w:val="auto"/>
        <w:outlineLvl w:val="9"/>
        <w:rPr>
          <w:rFonts w:hint="default" w:ascii="仿宋_GB2312" w:hAnsi="仿宋_GB2312" w:eastAsia="仿宋_GB2312" w:cs="仿宋_GB2312"/>
          <w:color w:val="auto"/>
          <w:kern w:val="2"/>
          <w:sz w:val="32"/>
          <w:szCs w:val="32"/>
          <w:lang w:val="zh-CN" w:eastAsia="zh-CN" w:bidi="ar-SA"/>
        </w:rPr>
      </w:pPr>
      <w:r>
        <w:rPr>
          <w:rFonts w:hint="eastAsia" w:ascii="仿宋_GB2312" w:hAnsi="仿宋_GB2312" w:eastAsia="仿宋_GB2312" w:cs="仿宋_GB2312"/>
          <w:color w:val="auto"/>
          <w:kern w:val="2"/>
          <w:sz w:val="32"/>
          <w:szCs w:val="32"/>
          <w:lang w:val="en-US" w:eastAsia="zh-CN" w:bidi="ar-SA"/>
        </w:rPr>
        <w:t>4</w:t>
      </w:r>
      <w:r>
        <w:rPr>
          <w:rFonts w:hint="default" w:ascii="仿宋_GB2312" w:hAnsi="仿宋_GB2312" w:eastAsia="仿宋_GB2312" w:cs="仿宋_GB2312"/>
          <w:color w:val="auto"/>
          <w:kern w:val="2"/>
          <w:sz w:val="32"/>
          <w:szCs w:val="32"/>
          <w:lang w:val="zh-CN" w:eastAsia="zh-CN" w:bidi="ar-SA"/>
        </w:rPr>
        <w:t>.社会满意度。</w:t>
      </w:r>
      <w:r>
        <w:rPr>
          <w:rFonts w:hint="eastAsia" w:ascii="仿宋_GB2312" w:hAnsi="仿宋_GB2312" w:eastAsia="仿宋_GB2312" w:cs="仿宋_GB2312"/>
          <w:color w:val="auto"/>
          <w:kern w:val="2"/>
          <w:sz w:val="32"/>
          <w:szCs w:val="32"/>
          <w:lang w:val="en-US" w:eastAsia="zh-CN" w:bidi="ar-SA"/>
        </w:rPr>
        <w:t>当地群众</w:t>
      </w:r>
      <w:r>
        <w:rPr>
          <w:rFonts w:hint="default" w:ascii="仿宋_GB2312" w:hAnsi="仿宋_GB2312" w:eastAsia="仿宋_GB2312" w:cs="仿宋_GB2312"/>
          <w:color w:val="auto"/>
          <w:kern w:val="2"/>
          <w:sz w:val="32"/>
          <w:szCs w:val="32"/>
          <w:lang w:val="zh-CN" w:eastAsia="zh-CN" w:bidi="ar-SA"/>
        </w:rPr>
        <w:t>的满意度达到90%以上。</w:t>
      </w:r>
    </w:p>
    <w:p>
      <w:pPr>
        <w:adjustRightInd w:val="0"/>
        <w:snapToGrid w:val="0"/>
        <w:spacing w:line="578" w:lineRule="exact"/>
        <w:ind w:firstLine="640" w:firstLineChars="200"/>
        <w:rPr>
          <w:rFonts w:hint="eastAsia" w:ascii="黑体" w:hAnsi="宋体" w:eastAsia="黑体" w:cs="Times New Roman"/>
          <w:sz w:val="32"/>
          <w:szCs w:val="32"/>
          <w:lang w:val="zh-CN" w:eastAsia="zh-CN"/>
        </w:rPr>
      </w:pPr>
      <w:r>
        <w:rPr>
          <w:rFonts w:hint="eastAsia" w:ascii="黑体" w:hAnsi="宋体" w:eastAsia="黑体" w:cs="Times New Roman"/>
          <w:sz w:val="32"/>
          <w:szCs w:val="32"/>
          <w:lang w:val="zh-CN" w:eastAsia="zh-CN"/>
        </w:rPr>
        <w:t>四、评价结论</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仿宋" w:hAnsi="仿宋" w:eastAsia="仿宋" w:cs="仿宋_GB2312"/>
          <w:sz w:val="32"/>
          <w:szCs w:val="32"/>
          <w:lang w:eastAsia="zh-CN"/>
        </w:rPr>
      </w:pPr>
      <w:r>
        <w:rPr>
          <w:rFonts w:hint="default" w:ascii="仿宋" w:hAnsi="仿宋" w:eastAsia="仿宋" w:cs="Times New Roman"/>
          <w:color w:val="000000"/>
          <w:sz w:val="32"/>
          <w:szCs w:val="32"/>
          <w:shd w:val="clear" w:color="auto" w:fill="FFFFFF"/>
          <w:lang w:val="en-US" w:eastAsia="zh-CN"/>
        </w:rPr>
        <w:t>我单位高度重视绩效评价结果的应用工作，积极探索并建立一套与预算管理相结合、多渠道应用评价结果的有效机制，以提高绩效意识和</w:t>
      </w:r>
      <w:r>
        <w:rPr>
          <w:rFonts w:hint="eastAsia" w:ascii="仿宋" w:hAnsi="仿宋" w:eastAsia="仿宋" w:cs="Times New Roman"/>
          <w:color w:val="000000"/>
          <w:sz w:val="32"/>
          <w:szCs w:val="32"/>
          <w:shd w:val="clear" w:color="auto" w:fill="FFFFFF"/>
          <w:lang w:val="en-US" w:eastAsia="zh-CN"/>
        </w:rPr>
        <w:t>项目</w:t>
      </w:r>
      <w:r>
        <w:rPr>
          <w:rFonts w:hint="default" w:ascii="仿宋" w:hAnsi="仿宋" w:eastAsia="仿宋" w:cs="Times New Roman"/>
          <w:color w:val="000000"/>
          <w:sz w:val="32"/>
          <w:szCs w:val="32"/>
          <w:shd w:val="clear" w:color="auto" w:fill="FFFFFF"/>
          <w:lang w:val="en-US" w:eastAsia="zh-CN"/>
        </w:rPr>
        <w:t>资金使用效益</w:t>
      </w:r>
      <w:r>
        <w:rPr>
          <w:rFonts w:hint="eastAsia" w:ascii="仿宋" w:hAnsi="仿宋" w:eastAsia="仿宋" w:cs="Times New Roman"/>
          <w:color w:val="000000"/>
          <w:sz w:val="32"/>
          <w:szCs w:val="32"/>
          <w:shd w:val="clear" w:color="auto" w:fill="FFFFFF"/>
          <w:lang w:eastAsia="zh-CN"/>
        </w:rPr>
        <w:t>。</w:t>
      </w:r>
      <w:r>
        <w:rPr>
          <w:rFonts w:hint="eastAsia" w:ascii="仿宋_GB2312" w:hAnsi="仿宋_GB2312" w:eastAsia="仿宋_GB2312" w:cs="仿宋_GB2312"/>
          <w:color w:val="auto"/>
          <w:sz w:val="32"/>
          <w:szCs w:val="32"/>
          <w:lang w:val="en-US" w:eastAsia="zh-CN"/>
        </w:rPr>
        <w:t>我</w:t>
      </w:r>
      <w:r>
        <w:rPr>
          <w:rFonts w:hint="eastAsia" w:ascii="仿宋_GB2312" w:hAnsi="仿宋_GB2312" w:cs="仿宋_GB2312"/>
          <w:color w:val="auto"/>
          <w:sz w:val="32"/>
          <w:szCs w:val="32"/>
          <w:lang w:val="en-US" w:eastAsia="zh-CN"/>
        </w:rPr>
        <w:t>单位</w:t>
      </w:r>
      <w:r>
        <w:rPr>
          <w:rFonts w:hint="eastAsia" w:ascii="仿宋_GB2312" w:hAnsi="仿宋_GB2312" w:eastAsia="仿宋_GB2312" w:cs="仿宋_GB2312"/>
          <w:color w:val="auto"/>
          <w:sz w:val="32"/>
          <w:szCs w:val="32"/>
          <w:lang w:val="en-US" w:eastAsia="zh-CN"/>
        </w:rPr>
        <w:t>2023年</w:t>
      </w:r>
      <w:r>
        <w:rPr>
          <w:rFonts w:hint="eastAsia" w:ascii="仿宋_GB2312" w:hAnsi="仿宋_GB2312" w:cs="仿宋_GB2312"/>
          <w:color w:val="auto"/>
          <w:sz w:val="32"/>
          <w:szCs w:val="32"/>
          <w:lang w:val="en-US" w:eastAsia="zh-CN"/>
        </w:rPr>
        <w:t>专项</w:t>
      </w:r>
      <w:r>
        <w:rPr>
          <w:rFonts w:hint="eastAsia" w:ascii="仿宋_GB2312" w:hAnsi="仿宋_GB2312" w:eastAsia="仿宋_GB2312" w:cs="仿宋_GB2312"/>
          <w:color w:val="auto"/>
          <w:sz w:val="32"/>
          <w:szCs w:val="32"/>
          <w:lang w:val="en-US" w:eastAsia="zh-CN"/>
        </w:rPr>
        <w:t>绩效评价自查自评结果良好，自评得分9</w:t>
      </w:r>
      <w:r>
        <w:rPr>
          <w:rFonts w:hint="eastAsia" w:ascii="仿宋_GB2312" w:hAnsi="仿宋_GB2312" w:cs="仿宋_GB2312"/>
          <w:color w:val="auto"/>
          <w:sz w:val="32"/>
          <w:szCs w:val="32"/>
          <w:lang w:val="en-US" w:eastAsia="zh-CN"/>
        </w:rPr>
        <w:t>7</w:t>
      </w:r>
      <w:r>
        <w:rPr>
          <w:rFonts w:hint="eastAsia" w:ascii="仿宋_GB2312" w:hAnsi="仿宋_GB2312" w:eastAsia="仿宋_GB2312" w:cs="仿宋_GB2312"/>
          <w:color w:val="auto"/>
          <w:sz w:val="32"/>
          <w:szCs w:val="32"/>
          <w:lang w:val="en-US" w:eastAsia="zh-CN"/>
        </w:rPr>
        <w:t>分，</w:t>
      </w:r>
      <w:r>
        <w:rPr>
          <w:rFonts w:ascii="仿宋" w:hAnsi="仿宋" w:eastAsia="仿宋" w:cs="仿宋_GB2312"/>
          <w:sz w:val="32"/>
          <w:szCs w:val="32"/>
        </w:rPr>
        <w:t>在财政补助资金使用和管理过程中严格贯彻落实专项资金专款专用的使用要求，</w:t>
      </w:r>
      <w:r>
        <w:rPr>
          <w:rFonts w:hint="eastAsia" w:ascii="仿宋" w:hAnsi="仿宋" w:eastAsia="仿宋"/>
          <w:color w:val="333333"/>
          <w:sz w:val="32"/>
          <w:szCs w:val="32"/>
          <w:shd w:val="clear" w:color="auto" w:fill="FFFFFF"/>
        </w:rPr>
        <w:t>资金</w:t>
      </w:r>
      <w:r>
        <w:rPr>
          <w:rFonts w:hint="eastAsia" w:ascii="仿宋" w:hAnsi="仿宋" w:eastAsia="仿宋"/>
          <w:color w:val="000000"/>
          <w:sz w:val="32"/>
          <w:szCs w:val="32"/>
          <w:shd w:val="clear" w:color="auto" w:fill="FFFFFF"/>
        </w:rPr>
        <w:t>收入、支出管理均严格按照相关要求进行，</w:t>
      </w:r>
      <w:r>
        <w:rPr>
          <w:rFonts w:ascii="仿宋" w:hAnsi="仿宋" w:eastAsia="仿宋" w:cs="仿宋_GB2312"/>
          <w:sz w:val="32"/>
          <w:szCs w:val="32"/>
        </w:rPr>
        <w:t>不存在截留、挤占、挪用及扩大标准及范围发放养老金的情况。</w:t>
      </w:r>
      <w:r>
        <w:rPr>
          <w:rFonts w:hint="eastAsia" w:ascii="仿宋" w:hAnsi="仿宋" w:eastAsia="仿宋" w:cs="仿宋_GB2312"/>
          <w:sz w:val="32"/>
          <w:szCs w:val="32"/>
        </w:rPr>
        <w:t>该项目的及时、完整实施，达到了对应的绩效目标，使</w:t>
      </w:r>
      <w:r>
        <w:rPr>
          <w:rFonts w:hint="eastAsia" w:ascii="仿宋" w:hAnsi="仿宋" w:eastAsia="仿宋" w:cs="仿宋_GB2312"/>
          <w:sz w:val="32"/>
          <w:szCs w:val="32"/>
          <w:lang w:val="en-US" w:eastAsia="zh-CN"/>
        </w:rPr>
        <w:t>社</w:t>
      </w:r>
      <w:r>
        <w:rPr>
          <w:rFonts w:hint="eastAsia" w:ascii="仿宋" w:hAnsi="仿宋" w:eastAsia="仿宋" w:cs="仿宋_GB2312"/>
          <w:sz w:val="32"/>
          <w:szCs w:val="32"/>
        </w:rPr>
        <w:t>保体系更加健全，基金安全平稳运行，经办服务高效快捷，提高了人民群众对</w:t>
      </w:r>
      <w:r>
        <w:rPr>
          <w:rFonts w:hint="eastAsia" w:ascii="仿宋" w:hAnsi="仿宋" w:eastAsia="仿宋" w:cs="仿宋_GB2312"/>
          <w:sz w:val="32"/>
          <w:szCs w:val="32"/>
          <w:lang w:val="en-US" w:eastAsia="zh-CN"/>
        </w:rPr>
        <w:t>社保</w:t>
      </w:r>
      <w:r>
        <w:rPr>
          <w:rFonts w:hint="eastAsia" w:ascii="仿宋" w:hAnsi="仿宋" w:eastAsia="仿宋" w:cs="仿宋_GB2312"/>
          <w:sz w:val="32"/>
          <w:szCs w:val="32"/>
        </w:rPr>
        <w:t>工作的满意度</w:t>
      </w:r>
      <w:r>
        <w:rPr>
          <w:rFonts w:hint="eastAsia" w:ascii="仿宋" w:hAnsi="仿宋" w:eastAsia="仿宋" w:cs="仿宋_GB2312"/>
          <w:sz w:val="32"/>
          <w:szCs w:val="32"/>
          <w:lang w:eastAsia="zh-CN"/>
        </w:rPr>
        <w:t>。</w:t>
      </w:r>
    </w:p>
    <w:p>
      <w:pPr>
        <w:adjustRightInd w:val="0"/>
        <w:snapToGrid w:val="0"/>
        <w:spacing w:line="578" w:lineRule="exact"/>
        <w:ind w:firstLine="640" w:firstLineChars="200"/>
        <w:rPr>
          <w:rFonts w:hint="eastAsia" w:ascii="黑体" w:hAnsi="宋体" w:eastAsia="黑体" w:cs="Times New Roman"/>
          <w:sz w:val="32"/>
          <w:szCs w:val="32"/>
          <w:lang w:val="zh-CN" w:eastAsia="zh-CN"/>
        </w:rPr>
      </w:pPr>
      <w:r>
        <w:rPr>
          <w:rFonts w:hint="eastAsia" w:ascii="黑体" w:hAnsi="宋体" w:eastAsia="黑体" w:cs="Times New Roman"/>
          <w:sz w:val="32"/>
          <w:szCs w:val="32"/>
          <w:lang w:val="zh-CN" w:eastAsia="zh-CN"/>
        </w:rPr>
        <w:t>五、存在主要问题</w:t>
      </w:r>
    </w:p>
    <w:p>
      <w:pPr>
        <w:pStyle w:val="8"/>
        <w:pageBreakBefore w:val="0"/>
        <w:numPr>
          <w:ilvl w:val="0"/>
          <w:numId w:val="0"/>
        </w:numPr>
        <w:tabs>
          <w:tab w:val="left" w:pos="2160"/>
        </w:tabs>
        <w:kinsoku/>
        <w:wordWrap/>
        <w:overflowPunct/>
        <w:topLinePunct w:val="0"/>
        <w:autoSpaceDE/>
        <w:autoSpaceDN/>
        <w:bidi w:val="0"/>
        <w:adjustRightInd/>
        <w:spacing w:line="600" w:lineRule="exact"/>
        <w:ind w:firstLine="640" w:firstLineChars="200"/>
        <w:textAlignment w:val="auto"/>
        <w:rPr>
          <w:rFonts w:hint="eastAsia" w:ascii="仿宋" w:hAnsi="仿宋" w:eastAsia="仿宋" w:cs="仿宋_GB2312"/>
          <w:kern w:val="2"/>
          <w:position w:val="0"/>
          <w:sz w:val="32"/>
          <w:szCs w:val="32"/>
          <w:lang w:val="en-US" w:eastAsia="zh-CN" w:bidi="ar-SA"/>
        </w:rPr>
      </w:pPr>
      <w:r>
        <w:rPr>
          <w:rFonts w:hint="eastAsia" w:ascii="仿宋" w:hAnsi="仿宋" w:eastAsia="仿宋" w:cs="仿宋_GB2312"/>
          <w:kern w:val="2"/>
          <w:position w:val="0"/>
          <w:sz w:val="32"/>
          <w:szCs w:val="32"/>
          <w:lang w:val="en-US" w:eastAsia="zh-CN" w:bidi="ar-SA"/>
        </w:rPr>
        <w:t>无</w:t>
      </w:r>
    </w:p>
    <w:p>
      <w:pPr>
        <w:pStyle w:val="8"/>
        <w:pageBreakBefore w:val="0"/>
        <w:numPr>
          <w:ilvl w:val="0"/>
          <w:numId w:val="0"/>
        </w:numPr>
        <w:tabs>
          <w:tab w:val="left" w:pos="2160"/>
        </w:tabs>
        <w:kinsoku/>
        <w:wordWrap/>
        <w:overflowPunct/>
        <w:topLinePunct w:val="0"/>
        <w:autoSpaceDE/>
        <w:autoSpaceDN/>
        <w:bidi w:val="0"/>
        <w:adjustRightInd/>
        <w:spacing w:line="600" w:lineRule="exact"/>
        <w:ind w:firstLine="640" w:firstLineChars="200"/>
        <w:textAlignment w:val="auto"/>
        <w:rPr>
          <w:rFonts w:hint="eastAsia" w:ascii="黑体" w:hAnsi="宋体" w:eastAsia="黑体" w:cs="Times New Roman"/>
          <w:color w:val="auto"/>
          <w:kern w:val="0"/>
          <w:position w:val="3"/>
          <w:sz w:val="32"/>
          <w:szCs w:val="32"/>
          <w:highlight w:val="none"/>
          <w:u w:val="none"/>
          <w:lang w:val="zh-CN" w:eastAsia="zh-CN" w:bidi="ar-SA"/>
        </w:rPr>
      </w:pPr>
      <w:r>
        <w:rPr>
          <w:rFonts w:hint="eastAsia" w:ascii="黑体" w:hAnsi="宋体" w:eastAsia="黑体" w:cs="Times New Roman"/>
          <w:color w:val="auto"/>
          <w:kern w:val="0"/>
          <w:position w:val="3"/>
          <w:sz w:val="32"/>
          <w:szCs w:val="32"/>
          <w:highlight w:val="none"/>
          <w:u w:val="none"/>
          <w:lang w:val="zh-CN" w:eastAsia="zh-CN" w:bidi="ar-SA"/>
        </w:rPr>
        <w:t>六、改进建议</w:t>
      </w:r>
    </w:p>
    <w:p>
      <w:pPr>
        <w:keepNext w:val="0"/>
        <w:keepLines w:val="0"/>
        <w:pageBreakBefore w:val="0"/>
        <w:widowControl/>
        <w:kinsoku/>
        <w:wordWrap/>
        <w:overflowPunct/>
        <w:topLinePunct w:val="0"/>
        <w:autoSpaceDE/>
        <w:autoSpaceDN/>
        <w:bidi w:val="0"/>
        <w:adjustRightInd w:val="0"/>
        <w:snapToGrid w:val="0"/>
        <w:spacing w:line="550" w:lineRule="exact"/>
        <w:ind w:firstLine="640" w:firstLineChars="200"/>
        <w:contextualSpacing/>
        <w:jc w:val="left"/>
        <w:textAlignment w:val="auto"/>
        <w:rPr>
          <w:rFonts w:hint="eastAsia" w:ascii="仿宋" w:hAnsi="仿宋" w:eastAsia="仿宋" w:cs="仿宋_GB2312"/>
          <w:sz w:val="32"/>
          <w:szCs w:val="32"/>
          <w:lang w:val="zh-CN" w:eastAsia="zh-CN"/>
        </w:rPr>
      </w:pPr>
      <w:r>
        <w:rPr>
          <w:rFonts w:hint="eastAsia" w:ascii="仿宋" w:hAnsi="仿宋" w:eastAsia="仿宋" w:cs="仿宋_GB2312"/>
          <w:sz w:val="32"/>
          <w:szCs w:val="32"/>
          <w:lang w:val="zh-CN" w:eastAsia="zh-CN"/>
        </w:rPr>
        <w:t>强化预算资金精细化管理，提高预算资金科学性、合理性严格根据相关标准和依据，进行资金使用，确保资金使用效益。</w:t>
      </w:r>
    </w:p>
    <w:p>
      <w:pPr>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单位在以后的工作中还需按照相关文件、制度的规范和要求不断完善加强制度建设。建立健全单位经办机构内部控制制度；建立和完善严格的授权审批制度，明确审批人对基金和业务的授权批准方式、权限、程序、责任和相关控制措施；建立长效性的监督检查制度；做好资金的绩效管理结算工作。</w:t>
      </w:r>
    </w:p>
    <w:p>
      <w:pPr>
        <w:tabs>
          <w:tab w:val="left" w:pos="1911"/>
        </w:tabs>
        <w:jc w:val="left"/>
        <w:rPr>
          <w:rFonts w:hint="eastAsia" w:ascii="仿宋_GB2312" w:hAnsi="仿宋_GB2312" w:eastAsia="仿宋_GB2312" w:cs="仿宋_GB2312"/>
          <w:b w:val="0"/>
          <w:bCs w:val="0"/>
          <w:kern w:val="0"/>
          <w:position w:val="0"/>
          <w:sz w:val="32"/>
          <w:szCs w:val="32"/>
          <w:highlight w:val="none"/>
          <w:lang w:val="en" w:eastAsia="zh-CN" w:bidi="ar-SA"/>
        </w:rPr>
      </w:pPr>
    </w:p>
    <w:p>
      <w:pPr>
        <w:pStyle w:val="15"/>
        <w:keepNext w:val="0"/>
        <w:keepLines w:val="0"/>
        <w:pageBreakBefore w:val="0"/>
        <w:widowControl/>
        <w:suppressLineNumbers w:val="0"/>
        <w:kinsoku/>
        <w:wordWrap/>
        <w:overflowPunct/>
        <w:topLinePunct w:val="0"/>
        <w:bidi w:val="0"/>
        <w:spacing w:line="576" w:lineRule="exact"/>
        <w:jc w:val="left"/>
        <w:textAlignment w:val="auto"/>
      </w:pPr>
    </w:p>
    <w:p>
      <w:pPr>
        <w:pStyle w:val="15"/>
        <w:keepNext w:val="0"/>
        <w:keepLines w:val="0"/>
        <w:pageBreakBefore w:val="0"/>
        <w:widowControl/>
        <w:suppressLineNumbers w:val="0"/>
        <w:kinsoku/>
        <w:wordWrap/>
        <w:overflowPunct/>
        <w:topLinePunct w:val="0"/>
        <w:bidi w:val="0"/>
        <w:spacing w:line="576" w:lineRule="exact"/>
        <w:jc w:val="left"/>
        <w:textAlignment w:val="auto"/>
      </w:pPr>
    </w:p>
    <w:p>
      <w:pPr>
        <w:pStyle w:val="15"/>
        <w:keepNext w:val="0"/>
        <w:keepLines w:val="0"/>
        <w:pageBreakBefore w:val="0"/>
        <w:widowControl/>
        <w:suppressLineNumbers w:val="0"/>
        <w:kinsoku/>
        <w:wordWrap/>
        <w:overflowPunct/>
        <w:topLinePunct w:val="0"/>
        <w:bidi w:val="0"/>
        <w:spacing w:line="576" w:lineRule="exact"/>
        <w:jc w:val="left"/>
        <w:textAlignment w:val="auto"/>
      </w:pPr>
    </w:p>
    <w:p>
      <w:pPr>
        <w:pStyle w:val="15"/>
        <w:keepNext w:val="0"/>
        <w:keepLines w:val="0"/>
        <w:pageBreakBefore w:val="0"/>
        <w:widowControl/>
        <w:suppressLineNumbers w:val="0"/>
        <w:kinsoku/>
        <w:wordWrap/>
        <w:overflowPunct/>
        <w:topLinePunct w:val="0"/>
        <w:bidi w:val="0"/>
        <w:spacing w:line="576" w:lineRule="exact"/>
        <w:jc w:val="left"/>
        <w:textAlignment w:val="auto"/>
      </w:pPr>
    </w:p>
    <w:p>
      <w:pPr>
        <w:pStyle w:val="15"/>
        <w:keepNext w:val="0"/>
        <w:keepLines w:val="0"/>
        <w:pageBreakBefore w:val="0"/>
        <w:widowControl/>
        <w:suppressLineNumbers w:val="0"/>
        <w:kinsoku/>
        <w:wordWrap/>
        <w:overflowPunct/>
        <w:topLinePunct w:val="0"/>
        <w:bidi w:val="0"/>
        <w:spacing w:line="576" w:lineRule="exact"/>
        <w:jc w:val="left"/>
        <w:textAlignment w:val="auto"/>
        <w:sectPr>
          <w:footerReference r:id="rId7" w:type="first"/>
          <w:headerReference r:id="rId5" w:type="default"/>
          <w:footerReference r:id="rId6" w:type="default"/>
          <w:pgSz w:w="11906" w:h="16838"/>
          <w:pgMar w:top="1440" w:right="1800" w:bottom="1440" w:left="1800" w:header="851" w:footer="992" w:gutter="0"/>
          <w:pgNumType w:fmt="decimal"/>
          <w:cols w:space="425" w:num="1"/>
          <w:titlePg/>
          <w:docGrid w:type="lines" w:linePitch="312" w:charSpace="0"/>
        </w:sectPr>
      </w:pPr>
    </w:p>
    <w:p>
      <w:pPr>
        <w:spacing w:line="600" w:lineRule="exact"/>
        <w:jc w:val="center"/>
        <w:outlineLvl w:val="0"/>
        <w:rPr>
          <w:rFonts w:hint="eastAsia" w:ascii="方正小标宋简体" w:hAnsi="黑体" w:eastAsia="方正小标宋简体" w:cs="黑体"/>
          <w:sz w:val="44"/>
          <w:szCs w:val="44"/>
          <w:lang w:val="en-US" w:eastAsia="zh-CN"/>
        </w:rPr>
      </w:pPr>
    </w:p>
    <w:p>
      <w:pPr>
        <w:spacing w:line="600" w:lineRule="exact"/>
        <w:jc w:val="center"/>
        <w:outlineLvl w:val="0"/>
        <w:rPr>
          <w:rFonts w:hint="eastAsia" w:ascii="方正小标宋简体" w:hAnsi="黑体" w:eastAsia="方正小标宋简体" w:cs="黑体"/>
          <w:sz w:val="44"/>
          <w:szCs w:val="44"/>
          <w:lang w:val="en-US" w:eastAsia="zh-CN"/>
        </w:rPr>
      </w:pPr>
      <w:r>
        <w:rPr>
          <w:rFonts w:hint="eastAsia" w:ascii="方正小标宋简体" w:hAnsi="黑体" w:eastAsia="方正小标宋简体" w:cs="黑体"/>
          <w:sz w:val="44"/>
          <w:szCs w:val="44"/>
          <w:lang w:val="en-US" w:eastAsia="zh-CN"/>
        </w:rPr>
        <w:t xml:space="preserve"> 茂县人力资源和社会保障局</w:t>
      </w:r>
    </w:p>
    <w:p>
      <w:pPr>
        <w:pStyle w:val="41"/>
        <w:keepNext w:val="0"/>
        <w:keepLines w:val="0"/>
        <w:pageBreakBefore w:val="0"/>
        <w:widowControl w:val="0"/>
        <w:kinsoku/>
        <w:wordWrap/>
        <w:overflowPunct/>
        <w:topLinePunct w:val="0"/>
        <w:autoSpaceDE/>
        <w:autoSpaceDN/>
        <w:bidi w:val="0"/>
        <w:spacing w:line="578" w:lineRule="exact"/>
        <w:ind w:firstLine="440" w:firstLineChars="100"/>
        <w:jc w:val="both"/>
        <w:textAlignment w:val="auto"/>
        <w:rPr>
          <w:rFonts w:hint="eastAsia" w:ascii="方正小标宋简体" w:hAnsi="方正小标宋简体" w:eastAsia="方正小标宋简体" w:cs="方正小标宋简体"/>
          <w:color w:val="auto"/>
          <w:kern w:val="2"/>
          <w:sz w:val="44"/>
          <w:szCs w:val="44"/>
          <w:highlight w:val="none"/>
          <w:lang w:val="en-US" w:eastAsia="zh-CN"/>
        </w:rPr>
      </w:pPr>
      <w:r>
        <w:rPr>
          <w:rFonts w:hint="eastAsia" w:ascii="方正小标宋简体" w:hAnsi="黑体" w:eastAsia="方正小标宋简体" w:cs="黑体"/>
          <w:sz w:val="44"/>
          <w:szCs w:val="44"/>
          <w:lang w:val="en-US" w:eastAsia="zh-CN"/>
        </w:rPr>
        <w:t>2023年人社公共服务能力建设</w:t>
      </w:r>
      <w:r>
        <w:rPr>
          <w:rFonts w:hint="eastAsia" w:ascii="方正小标宋简体" w:hAnsi="方正小标宋简体" w:eastAsia="方正小标宋简体" w:cs="方正小标宋简体"/>
          <w:color w:val="auto"/>
          <w:kern w:val="2"/>
          <w:sz w:val="44"/>
          <w:szCs w:val="44"/>
          <w:highlight w:val="none"/>
          <w:lang w:val="en-US" w:eastAsia="zh-CN"/>
        </w:rPr>
        <w:t>专项预算</w:t>
      </w:r>
    </w:p>
    <w:p>
      <w:pPr>
        <w:pStyle w:val="41"/>
        <w:keepNext w:val="0"/>
        <w:keepLines w:val="0"/>
        <w:pageBreakBefore w:val="0"/>
        <w:widowControl w:val="0"/>
        <w:kinsoku/>
        <w:wordWrap/>
        <w:overflowPunct/>
        <w:topLinePunct w:val="0"/>
        <w:autoSpaceDE/>
        <w:autoSpaceDN/>
        <w:bidi w:val="0"/>
        <w:spacing w:line="578" w:lineRule="exact"/>
        <w:ind w:firstLine="2640" w:firstLineChars="600"/>
        <w:jc w:val="both"/>
        <w:textAlignment w:val="auto"/>
        <w:rPr>
          <w:rFonts w:hint="eastAsia" w:ascii="方正小标宋简体" w:hAnsi="方正小标宋简体" w:eastAsia="方正小标宋简体" w:cs="方正小标宋简体"/>
          <w:color w:val="auto"/>
          <w:kern w:val="2"/>
          <w:sz w:val="44"/>
          <w:szCs w:val="44"/>
          <w:highlight w:val="none"/>
          <w:lang w:val="en-US" w:eastAsia="zh-CN"/>
        </w:rPr>
      </w:pPr>
      <w:r>
        <w:rPr>
          <w:rFonts w:hint="eastAsia" w:ascii="方正小标宋简体" w:hAnsi="方正小标宋简体" w:eastAsia="方正小标宋简体" w:cs="方正小标宋简体"/>
          <w:color w:val="auto"/>
          <w:kern w:val="2"/>
          <w:sz w:val="44"/>
          <w:szCs w:val="44"/>
          <w:highlight w:val="none"/>
          <w:lang w:val="en-US" w:eastAsia="zh-CN"/>
        </w:rPr>
        <w:t>项目绩效评价报告</w:t>
      </w:r>
    </w:p>
    <w:p>
      <w:pPr>
        <w:pStyle w:val="41"/>
        <w:keepNext w:val="0"/>
        <w:keepLines w:val="0"/>
        <w:pageBreakBefore w:val="0"/>
        <w:widowControl w:val="0"/>
        <w:kinsoku/>
        <w:wordWrap/>
        <w:overflowPunct/>
        <w:topLinePunct w:val="0"/>
        <w:autoSpaceDE/>
        <w:autoSpaceDN/>
        <w:bidi w:val="0"/>
        <w:spacing w:line="578" w:lineRule="exact"/>
        <w:ind w:left="0" w:leftChars="0" w:firstLine="640"/>
        <w:jc w:val="center"/>
        <w:textAlignment w:val="auto"/>
        <w:rPr>
          <w:rFonts w:ascii="宋体" w:hAnsi="宋体"/>
          <w:color w:val="auto"/>
          <w:kern w:val="2"/>
          <w:sz w:val="32"/>
          <w:szCs w:val="32"/>
          <w:highlight w:val="none"/>
        </w:rPr>
      </w:pPr>
    </w:p>
    <w:p>
      <w:pPr>
        <w:numPr>
          <w:ilvl w:val="0"/>
          <w:numId w:val="5"/>
        </w:numPr>
        <w:adjustRightInd w:val="0"/>
        <w:snapToGrid w:val="0"/>
        <w:spacing w:line="580" w:lineRule="exact"/>
        <w:ind w:firstLine="720"/>
        <w:rPr>
          <w:rFonts w:hint="eastAsia" w:ascii="黑体" w:hAnsi="黑体" w:eastAsia="黑体" w:cs="黑体"/>
          <w:sz w:val="32"/>
          <w:szCs w:val="32"/>
          <w:lang w:val="zh-CN"/>
        </w:rPr>
      </w:pPr>
      <w:r>
        <w:rPr>
          <w:rFonts w:hint="eastAsia" w:ascii="黑体" w:hAnsi="黑体" w:eastAsia="黑体" w:cs="黑体"/>
          <w:sz w:val="32"/>
          <w:szCs w:val="32"/>
          <w:lang w:val="zh-CN"/>
        </w:rPr>
        <w:t>项目概况</w:t>
      </w:r>
    </w:p>
    <w:p>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（一）</w:t>
      </w:r>
      <w:r>
        <w:rPr>
          <w:rFonts w:hint="eastAsia" w:ascii="楷体_GB2312" w:hAnsi="宋体" w:eastAsia="楷体_GB2312"/>
          <w:b/>
          <w:color w:val="auto"/>
          <w:sz w:val="32"/>
          <w:szCs w:val="32"/>
          <w:highlight w:val="none"/>
          <w:u w:val="none"/>
          <w:lang w:val="zh-CN"/>
        </w:rPr>
        <w:t>设立背景及基本情况</w:t>
      </w:r>
    </w:p>
    <w:p>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0" w:firstLineChars="200"/>
        <w:textAlignment w:val="auto"/>
        <w:outlineLvl w:val="9"/>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为完善社会保险经办标准化建设以及信息系统建设及运行维护、设备设施购置，经办人员素质提升培训、做好业务档案数字化管理及风险防控，确保企业职工基本养老保险、工伤保险参保覆盖人数持续增长，积极开展工伤预防宣传，完善社保基金预决算管理办法。做好基金预决算及预算执行情况分析，上级下达项目资金</w:t>
      </w:r>
      <w:r>
        <w:rPr>
          <w:rFonts w:hint="eastAsia" w:ascii="仿宋_GB2312" w:hAnsi="仿宋_GB2312" w:cs="仿宋_GB2312"/>
          <w:color w:val="auto"/>
          <w:sz w:val="32"/>
          <w:szCs w:val="32"/>
          <w:lang w:val="en-US" w:eastAsia="zh-CN"/>
        </w:rPr>
        <w:t>7</w:t>
      </w:r>
      <w:r>
        <w:rPr>
          <w:rFonts w:hint="eastAsia" w:ascii="仿宋_GB2312" w:hAnsi="仿宋_GB2312" w:eastAsia="仿宋_GB2312" w:cs="仿宋_GB2312"/>
          <w:color w:val="auto"/>
          <w:sz w:val="32"/>
          <w:szCs w:val="32"/>
          <w:lang w:val="en-US" w:eastAsia="zh-CN"/>
        </w:rPr>
        <w:t>万元。</w:t>
      </w:r>
    </w:p>
    <w:p>
      <w:pPr>
        <w:adjustRightInd w:val="0"/>
        <w:snapToGrid w:val="0"/>
        <w:spacing w:line="600" w:lineRule="exact"/>
        <w:ind w:firstLine="720"/>
        <w:rPr>
          <w:rFonts w:hint="eastAsia" w:ascii="楷体_GB2312" w:hAnsi="宋体" w:eastAsia="楷体_GB2312" w:cs="Times New Roman"/>
          <w:b/>
          <w:color w:val="auto"/>
          <w:sz w:val="32"/>
          <w:szCs w:val="32"/>
          <w:highlight w:val="none"/>
          <w:u w:val="none"/>
          <w:lang w:val="zh-CN"/>
        </w:rPr>
      </w:pPr>
      <w:r>
        <w:rPr>
          <w:rFonts w:hint="eastAsia" w:ascii="楷体_GB2312" w:hAnsi="宋体" w:eastAsia="楷体_GB2312" w:cs="Times New Roman"/>
          <w:b/>
          <w:color w:val="auto"/>
          <w:sz w:val="32"/>
          <w:szCs w:val="32"/>
          <w:highlight w:val="none"/>
          <w:u w:val="none"/>
          <w:lang w:val="zh-CN"/>
        </w:rPr>
        <w:t>（二）</w:t>
      </w:r>
      <w:r>
        <w:rPr>
          <w:rFonts w:hint="default" w:ascii="楷体_GB2312" w:hAnsi="宋体" w:eastAsia="楷体_GB2312" w:cs="Times New Roman"/>
          <w:b/>
          <w:color w:val="auto"/>
          <w:sz w:val="32"/>
          <w:szCs w:val="32"/>
          <w:highlight w:val="none"/>
          <w:u w:val="none"/>
          <w:lang w:val="en-US" w:eastAsia="zh-CN"/>
        </w:rPr>
        <w:t>实施目的及支持方向</w:t>
      </w:r>
    </w:p>
    <w:p>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zh-CN" w:eastAsia="zh-CN"/>
        </w:rPr>
        <w:t>1、确保企业职工基本养老保险、</w:t>
      </w:r>
      <w:r>
        <w:rPr>
          <w:rFonts w:hint="eastAsia" w:ascii="仿宋_GB2312" w:hAnsi="仿宋_GB2312" w:eastAsia="仿宋_GB2312" w:cs="仿宋_GB2312"/>
          <w:color w:val="auto"/>
          <w:sz w:val="32"/>
          <w:szCs w:val="32"/>
          <w:lang w:val="en-US" w:eastAsia="zh-CN"/>
        </w:rPr>
        <w:t>工伤保险省级统筹顺利推进，</w:t>
      </w:r>
      <w:r>
        <w:rPr>
          <w:rFonts w:hint="eastAsia" w:ascii="仿宋_GB2312" w:hAnsi="仿宋_GB2312" w:eastAsia="仿宋_GB2312" w:cs="仿宋_GB2312"/>
          <w:color w:val="auto"/>
          <w:sz w:val="32"/>
          <w:szCs w:val="32"/>
          <w:lang w:val="zh-CN" w:eastAsia="zh-CN"/>
        </w:rPr>
        <w:t>参保覆盖人数持续增长，</w:t>
      </w:r>
      <w:r>
        <w:rPr>
          <w:rFonts w:hint="eastAsia" w:ascii="仿宋_GB2312" w:hAnsi="仿宋_GB2312" w:eastAsia="仿宋_GB2312" w:cs="仿宋_GB2312"/>
          <w:color w:val="auto"/>
          <w:sz w:val="32"/>
          <w:szCs w:val="32"/>
          <w:lang w:val="en-US" w:eastAsia="zh-CN"/>
        </w:rPr>
        <w:t>待遇水平稳步提高，基金运行总体平稳。</w:t>
      </w:r>
    </w:p>
    <w:p>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0" w:firstLineChars="200"/>
        <w:textAlignment w:val="auto"/>
        <w:outlineLvl w:val="9"/>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val="zh-CN" w:eastAsia="zh-CN"/>
        </w:rPr>
        <w:t>完善社会保险经办标准化建设以及信息系统建设及运行维护，设施设备购置，经办人员能力素质提升培训，做好业务档案数字化管理及风险防控以及开展工伤事故伤害案件调查信息化建设。做好劳动能力鉴定案件评析和案件评查。</w:t>
      </w:r>
    </w:p>
    <w:p>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0" w:firstLineChars="200"/>
        <w:textAlignment w:val="auto"/>
        <w:outlineLvl w:val="9"/>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val="zh-CN" w:eastAsia="zh-CN"/>
        </w:rPr>
        <w:t>、强化社会保险基金预决算管理工作，完善社保基金预决算管理办法，圆满完成20</w:t>
      </w:r>
      <w:r>
        <w:rPr>
          <w:rFonts w:hint="eastAsia" w:ascii="仿宋_GB2312" w:hAnsi="仿宋_GB2312" w:eastAsia="仿宋_GB2312" w:cs="仿宋_GB2312"/>
          <w:color w:val="auto"/>
          <w:sz w:val="32"/>
          <w:szCs w:val="32"/>
          <w:lang w:val="en-US" w:eastAsia="zh-CN"/>
        </w:rPr>
        <w:t>23</w:t>
      </w:r>
      <w:r>
        <w:rPr>
          <w:rFonts w:hint="eastAsia" w:ascii="仿宋_GB2312" w:hAnsi="仿宋_GB2312" w:eastAsia="仿宋_GB2312" w:cs="仿宋_GB2312"/>
          <w:color w:val="auto"/>
          <w:sz w:val="32"/>
          <w:szCs w:val="32"/>
          <w:lang w:val="zh-CN" w:eastAsia="zh-CN"/>
        </w:rPr>
        <w:t>年社保基金决算和202</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lang w:val="zh-CN" w:eastAsia="zh-CN"/>
        </w:rPr>
        <w:t>年社保基金预算编制工作。</w:t>
      </w:r>
    </w:p>
    <w:p>
      <w:pPr>
        <w:adjustRightInd w:val="0"/>
        <w:snapToGrid w:val="0"/>
        <w:spacing w:line="600" w:lineRule="exact"/>
        <w:ind w:firstLine="720"/>
        <w:rPr>
          <w:rFonts w:hint="eastAsia" w:ascii="楷体_GB2312" w:hAnsi="宋体" w:eastAsia="楷体_GB2312" w:cs="Times New Roman"/>
          <w:b/>
          <w:color w:val="auto"/>
          <w:sz w:val="32"/>
          <w:szCs w:val="32"/>
          <w:highlight w:val="none"/>
          <w:u w:val="none"/>
          <w:lang w:val="zh-CN"/>
        </w:rPr>
      </w:pPr>
      <w:r>
        <w:rPr>
          <w:rFonts w:hint="eastAsia" w:ascii="楷体_GB2312" w:hAnsi="宋体" w:eastAsia="楷体_GB2312" w:cs="Times New Roman"/>
          <w:b/>
          <w:color w:val="auto"/>
          <w:sz w:val="32"/>
          <w:szCs w:val="32"/>
          <w:highlight w:val="none"/>
          <w:u w:val="none"/>
          <w:lang w:val="zh-CN"/>
        </w:rPr>
        <w:t>（三）</w:t>
      </w:r>
      <w:r>
        <w:rPr>
          <w:rFonts w:hint="default" w:ascii="楷体_GB2312" w:hAnsi="宋体" w:eastAsia="楷体_GB2312" w:cs="Times New Roman"/>
          <w:b/>
          <w:color w:val="auto"/>
          <w:sz w:val="32"/>
          <w:szCs w:val="32"/>
          <w:highlight w:val="none"/>
          <w:u w:val="none"/>
          <w:lang w:val="en-US" w:eastAsia="zh-CN"/>
        </w:rPr>
        <w:t>预算安排及分配管理</w:t>
      </w:r>
    </w:p>
    <w:p>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zh-CN" w:eastAsia="zh-CN"/>
        </w:rPr>
        <w:t>20</w:t>
      </w:r>
      <w:r>
        <w:rPr>
          <w:rFonts w:hint="eastAsia" w:ascii="仿宋_GB2312" w:hAnsi="仿宋_GB2312" w:eastAsia="仿宋_GB2312" w:cs="仿宋_GB2312"/>
          <w:color w:val="auto"/>
          <w:sz w:val="32"/>
          <w:szCs w:val="32"/>
          <w:lang w:val="en-US" w:eastAsia="zh-CN"/>
        </w:rPr>
        <w:t>23</w:t>
      </w:r>
      <w:r>
        <w:rPr>
          <w:rFonts w:hint="eastAsia" w:ascii="仿宋_GB2312" w:hAnsi="仿宋_GB2312" w:eastAsia="仿宋_GB2312" w:cs="仿宋_GB2312"/>
          <w:color w:val="auto"/>
          <w:sz w:val="32"/>
          <w:szCs w:val="32"/>
          <w:lang w:val="zh-CN" w:eastAsia="zh-CN"/>
        </w:rPr>
        <w:t>年</w:t>
      </w: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lang w:val="zh-CN" w:eastAsia="zh-CN"/>
        </w:rPr>
        <w:t>月</w:t>
      </w:r>
      <w:r>
        <w:rPr>
          <w:rFonts w:hint="eastAsia" w:ascii="仿宋_GB2312" w:hAnsi="仿宋_GB2312" w:eastAsia="仿宋_GB2312" w:cs="仿宋_GB2312"/>
          <w:color w:val="auto"/>
          <w:sz w:val="32"/>
          <w:szCs w:val="32"/>
          <w:lang w:val="en-US" w:eastAsia="zh-CN"/>
        </w:rPr>
        <w:t>29</w:t>
      </w:r>
      <w:r>
        <w:rPr>
          <w:rFonts w:hint="eastAsia" w:ascii="仿宋_GB2312" w:hAnsi="仿宋_GB2312" w:eastAsia="仿宋_GB2312" w:cs="仿宋_GB2312"/>
          <w:color w:val="auto"/>
          <w:sz w:val="32"/>
          <w:szCs w:val="32"/>
          <w:lang w:val="zh-CN" w:eastAsia="zh-CN"/>
        </w:rPr>
        <w:t>日，</w:t>
      </w:r>
      <w:r>
        <w:rPr>
          <w:rFonts w:hint="eastAsia" w:ascii="仿宋_GB2312" w:hAnsi="仿宋_GB2312" w:eastAsia="仿宋_GB2312" w:cs="仿宋_GB2312"/>
          <w:color w:val="auto"/>
          <w:sz w:val="32"/>
          <w:szCs w:val="32"/>
          <w:lang w:val="en-US" w:eastAsia="zh-CN"/>
        </w:rPr>
        <w:t>县财政</w:t>
      </w:r>
      <w:r>
        <w:rPr>
          <w:rFonts w:hint="eastAsia" w:ascii="仿宋_GB2312" w:hAnsi="仿宋_GB2312" w:eastAsia="仿宋_GB2312" w:cs="仿宋_GB2312"/>
          <w:color w:val="auto"/>
          <w:sz w:val="32"/>
          <w:szCs w:val="32"/>
          <w:lang w:val="zh-CN" w:eastAsia="zh-CN"/>
        </w:rPr>
        <w:t>下达</w:t>
      </w:r>
      <w:r>
        <w:rPr>
          <w:rFonts w:hint="eastAsia" w:ascii="仿宋_GB2312" w:hAnsi="仿宋_GB2312" w:eastAsia="仿宋_GB2312" w:cs="仿宋_GB2312"/>
          <w:color w:val="auto"/>
          <w:sz w:val="32"/>
          <w:szCs w:val="32"/>
          <w:lang w:val="en-US" w:eastAsia="zh-CN"/>
        </w:rPr>
        <w:t>我系统[茂</w:t>
      </w:r>
      <w:r>
        <w:rPr>
          <w:rFonts w:hint="eastAsia" w:ascii="仿宋_GB2312" w:hAnsi="仿宋_GB2312" w:eastAsia="仿宋_GB2312" w:cs="仿宋_GB2312"/>
          <w:color w:val="auto"/>
          <w:sz w:val="32"/>
          <w:szCs w:val="32"/>
          <w:lang w:val="zh-CN" w:eastAsia="zh-CN"/>
        </w:rPr>
        <w:t>财社（20</w:t>
      </w:r>
      <w:r>
        <w:rPr>
          <w:rFonts w:hint="eastAsia" w:ascii="仿宋_GB2312" w:hAnsi="仿宋_GB2312" w:eastAsia="仿宋_GB2312" w:cs="仿宋_GB2312"/>
          <w:color w:val="auto"/>
          <w:sz w:val="32"/>
          <w:szCs w:val="32"/>
          <w:lang w:val="en-US" w:eastAsia="zh-CN"/>
        </w:rPr>
        <w:t>23</w:t>
      </w:r>
      <w:r>
        <w:rPr>
          <w:rFonts w:hint="eastAsia" w:ascii="仿宋_GB2312" w:hAnsi="仿宋_GB2312" w:eastAsia="仿宋_GB2312" w:cs="仿宋_GB2312"/>
          <w:color w:val="auto"/>
          <w:sz w:val="32"/>
          <w:szCs w:val="32"/>
          <w:lang w:val="zh-CN" w:eastAsia="zh-CN"/>
        </w:rPr>
        <w:t>）</w:t>
      </w:r>
      <w:r>
        <w:rPr>
          <w:rFonts w:hint="eastAsia" w:ascii="仿宋_GB2312" w:hAnsi="仿宋_GB2312" w:eastAsia="仿宋_GB2312" w:cs="仿宋_GB2312"/>
          <w:color w:val="auto"/>
          <w:sz w:val="32"/>
          <w:szCs w:val="32"/>
          <w:lang w:val="en-US" w:eastAsia="zh-CN"/>
        </w:rPr>
        <w:t>52</w:t>
      </w:r>
      <w:r>
        <w:rPr>
          <w:rFonts w:hint="eastAsia" w:ascii="仿宋_GB2312" w:hAnsi="仿宋_GB2312" w:eastAsia="仿宋_GB2312" w:cs="仿宋_GB2312"/>
          <w:color w:val="auto"/>
          <w:sz w:val="32"/>
          <w:szCs w:val="32"/>
          <w:lang w:val="zh-CN" w:eastAsia="zh-CN"/>
        </w:rPr>
        <w:t>号</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val="zh-CN" w:eastAsia="zh-CN"/>
        </w:rPr>
        <w:t>20</w:t>
      </w:r>
      <w:r>
        <w:rPr>
          <w:rFonts w:hint="eastAsia" w:ascii="仿宋_GB2312" w:hAnsi="仿宋_GB2312" w:eastAsia="仿宋_GB2312" w:cs="仿宋_GB2312"/>
          <w:color w:val="auto"/>
          <w:sz w:val="32"/>
          <w:szCs w:val="32"/>
          <w:lang w:val="en-US" w:eastAsia="zh-CN"/>
        </w:rPr>
        <w:t>23</w:t>
      </w:r>
      <w:r>
        <w:rPr>
          <w:rFonts w:hint="eastAsia" w:ascii="仿宋_GB2312" w:hAnsi="仿宋_GB2312" w:eastAsia="仿宋_GB2312" w:cs="仿宋_GB2312"/>
          <w:color w:val="auto"/>
          <w:sz w:val="32"/>
          <w:szCs w:val="32"/>
          <w:lang w:val="zh-CN" w:eastAsia="zh-CN"/>
        </w:rPr>
        <w:t>年</w:t>
      </w:r>
      <w:r>
        <w:rPr>
          <w:rFonts w:hint="eastAsia" w:ascii="仿宋_GB2312" w:hAnsi="仿宋_GB2312" w:eastAsia="仿宋_GB2312" w:cs="仿宋_GB2312"/>
          <w:color w:val="auto"/>
          <w:sz w:val="32"/>
          <w:szCs w:val="32"/>
          <w:lang w:val="en-US" w:eastAsia="zh-CN"/>
        </w:rPr>
        <w:t>省级财政社保</w:t>
      </w:r>
      <w:r>
        <w:rPr>
          <w:rFonts w:hint="eastAsia" w:ascii="仿宋_GB2312" w:hAnsi="仿宋_GB2312" w:eastAsia="仿宋_GB2312" w:cs="仿宋_GB2312"/>
          <w:color w:val="auto"/>
          <w:sz w:val="32"/>
          <w:szCs w:val="32"/>
          <w:lang w:val="zh-CN" w:eastAsia="zh-CN"/>
        </w:rPr>
        <w:t>公共服务能力建设资金资金</w:t>
      </w:r>
      <w:r>
        <w:rPr>
          <w:rFonts w:hint="eastAsia" w:ascii="仿宋_GB2312" w:hAnsi="仿宋_GB2312" w:cs="仿宋_GB2312"/>
          <w:color w:val="auto"/>
          <w:sz w:val="32"/>
          <w:szCs w:val="32"/>
          <w:lang w:val="en-US" w:eastAsia="zh-CN"/>
        </w:rPr>
        <w:t>7</w:t>
      </w:r>
      <w:r>
        <w:rPr>
          <w:rFonts w:hint="eastAsia" w:ascii="仿宋_GB2312" w:hAnsi="仿宋_GB2312" w:eastAsia="仿宋_GB2312" w:cs="仿宋_GB2312"/>
          <w:color w:val="auto"/>
          <w:sz w:val="32"/>
          <w:szCs w:val="32"/>
          <w:lang w:val="zh-CN" w:eastAsia="zh-CN"/>
        </w:rPr>
        <w:t>万元</w:t>
      </w:r>
      <w:r>
        <w:rPr>
          <w:rFonts w:hint="eastAsia" w:ascii="仿宋_GB2312" w:hAnsi="仿宋_GB2312" w:eastAsia="仿宋_GB2312" w:cs="仿宋_GB2312"/>
          <w:color w:val="auto"/>
          <w:sz w:val="32"/>
          <w:szCs w:val="32"/>
          <w:lang w:val="en-US" w:eastAsia="zh-CN"/>
        </w:rPr>
        <w:t>。</w:t>
      </w:r>
    </w:p>
    <w:p>
      <w:pPr>
        <w:adjustRightInd w:val="0"/>
        <w:snapToGrid w:val="0"/>
        <w:spacing w:line="580" w:lineRule="exact"/>
        <w:ind w:firstLine="643" w:firstLineChars="200"/>
        <w:rPr>
          <w:rFonts w:hint="eastAsia" w:ascii="楷体" w:hAnsi="楷体" w:eastAsia="楷体" w:cs="楷体"/>
          <w:bCs/>
          <w:sz w:val="32"/>
          <w:szCs w:val="32"/>
          <w:lang w:val="zh-CN"/>
        </w:rPr>
      </w:pPr>
      <w:r>
        <w:rPr>
          <w:rFonts w:hint="eastAsia" w:ascii="楷体_GB2312" w:hAnsi="宋体" w:eastAsia="楷体_GB2312" w:cs="Times New Roman"/>
          <w:b/>
          <w:color w:val="auto"/>
          <w:sz w:val="32"/>
          <w:szCs w:val="32"/>
          <w:highlight w:val="none"/>
          <w:u w:val="none"/>
          <w:lang w:val="zh-CN" w:eastAsia="zh-CN"/>
        </w:rPr>
        <w:t>（</w:t>
      </w:r>
      <w:r>
        <w:rPr>
          <w:rFonts w:hint="eastAsia" w:ascii="楷体_GB2312" w:hAnsi="宋体" w:eastAsia="楷体_GB2312" w:cs="Times New Roman"/>
          <w:b/>
          <w:color w:val="auto"/>
          <w:sz w:val="32"/>
          <w:szCs w:val="32"/>
          <w:highlight w:val="none"/>
          <w:u w:val="none"/>
          <w:lang w:val="en-US" w:eastAsia="zh-CN"/>
        </w:rPr>
        <w:t>四</w:t>
      </w:r>
      <w:r>
        <w:rPr>
          <w:rFonts w:hint="eastAsia" w:ascii="楷体_GB2312" w:hAnsi="宋体" w:eastAsia="楷体_GB2312" w:cs="Times New Roman"/>
          <w:b/>
          <w:color w:val="auto"/>
          <w:sz w:val="32"/>
          <w:szCs w:val="32"/>
          <w:highlight w:val="none"/>
          <w:u w:val="none"/>
          <w:lang w:val="zh-CN" w:eastAsia="zh-CN"/>
        </w:rPr>
        <w:t>）项目绩效目标设置</w:t>
      </w:r>
    </w:p>
    <w:p>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0" w:firstLineChars="200"/>
        <w:textAlignment w:val="auto"/>
        <w:outlineLvl w:val="9"/>
        <w:rPr>
          <w:rFonts w:hint="default"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en-US" w:eastAsia="zh-CN"/>
        </w:rPr>
        <w:t>本项目采取自评方式，成立项目自评小组，结合评价内容，做到有计划、有安排地开展自评工作。按照县财政局下发的项目支出绩效评价指标体系，自评小组对绩效目标、决策依据、资金分配、资金到位、资金管理、财务管理等方面做好自评工作。</w:t>
      </w:r>
    </w:p>
    <w:p>
      <w:pPr>
        <w:numPr>
          <w:ilvl w:val="0"/>
          <w:numId w:val="0"/>
        </w:numPr>
        <w:adjustRightInd w:val="0"/>
        <w:snapToGrid w:val="0"/>
        <w:spacing w:line="580" w:lineRule="exact"/>
        <w:ind w:firstLine="640" w:firstLineChars="200"/>
        <w:rPr>
          <w:rFonts w:hint="eastAsia" w:ascii="黑体" w:hAnsi="黑体" w:eastAsia="黑体" w:cs="黑体"/>
          <w:sz w:val="32"/>
          <w:szCs w:val="32"/>
          <w:lang w:val="zh-CN" w:eastAsia="zh-CN"/>
        </w:rPr>
      </w:pPr>
      <w:r>
        <w:rPr>
          <w:rFonts w:hint="eastAsia" w:ascii="黑体" w:hAnsi="黑体" w:eastAsia="黑体" w:cs="黑体"/>
          <w:sz w:val="32"/>
          <w:szCs w:val="32"/>
          <w:lang w:val="zh-CN"/>
        </w:rPr>
        <w:t>二、</w:t>
      </w:r>
      <w:r>
        <w:rPr>
          <w:rFonts w:hint="eastAsia" w:ascii="黑体" w:hAnsi="黑体" w:eastAsia="黑体" w:cs="黑体"/>
          <w:sz w:val="32"/>
          <w:szCs w:val="32"/>
          <w:lang w:val="zh-CN" w:eastAsia="zh-CN"/>
        </w:rPr>
        <w:t>评价实施</w:t>
      </w:r>
    </w:p>
    <w:p>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3" w:firstLineChars="200"/>
        <w:textAlignment w:val="auto"/>
        <w:outlineLvl w:val="9"/>
        <w:rPr>
          <w:rFonts w:hint="eastAsia" w:ascii="仿宋_GB2312" w:hAnsi="仿宋_GB2312" w:eastAsia="仿宋_GB2312" w:cs="仿宋_GB2312"/>
          <w:color w:val="auto"/>
          <w:sz w:val="32"/>
          <w:szCs w:val="32"/>
          <w:lang w:val="zh-CN" w:eastAsia="zh-CN"/>
        </w:rPr>
      </w:pPr>
      <w:r>
        <w:rPr>
          <w:rFonts w:hint="eastAsia" w:ascii="楷体_GB2312" w:hAnsi="宋体" w:eastAsia="楷体_GB2312"/>
          <w:b/>
          <w:color w:val="auto"/>
          <w:sz w:val="32"/>
          <w:szCs w:val="32"/>
          <w:highlight w:val="none"/>
          <w:u w:val="none"/>
          <w:lang w:val="zh-CN"/>
        </w:rPr>
        <w:t>（一）评价目的。</w:t>
      </w:r>
      <w:r>
        <w:rPr>
          <w:rFonts w:hint="eastAsia" w:ascii="仿宋_GB2312" w:hAnsi="仿宋_GB2312" w:eastAsia="仿宋_GB2312" w:cs="仿宋_GB2312"/>
          <w:color w:val="auto"/>
          <w:sz w:val="32"/>
          <w:szCs w:val="32"/>
          <w:lang w:val="en-US" w:eastAsia="zh-CN"/>
        </w:rPr>
        <w:t>兜牢社保民生底线，织密扎牢社会保障网。倾力做好社会保障文章，</w:t>
      </w:r>
      <w:r>
        <w:rPr>
          <w:rFonts w:hint="eastAsia" w:ascii="仿宋_GB2312" w:hAnsi="仿宋_GB2312" w:eastAsia="仿宋_GB2312" w:cs="仿宋_GB2312"/>
          <w:color w:val="auto"/>
          <w:sz w:val="32"/>
          <w:szCs w:val="32"/>
          <w:lang w:val="zh-CN" w:eastAsia="zh-CN"/>
        </w:rPr>
        <w:t>纵深推进社保领域改革，实施社保精准扩面专项行动。</w:t>
      </w:r>
      <w:r>
        <w:rPr>
          <w:rFonts w:hint="eastAsia" w:ascii="仿宋_GB2312" w:hAnsi="仿宋_GB2312" w:eastAsia="仿宋_GB2312" w:cs="仿宋_GB2312"/>
          <w:color w:val="auto"/>
          <w:sz w:val="32"/>
          <w:szCs w:val="32"/>
          <w:lang w:val="en-US" w:eastAsia="zh-CN"/>
        </w:rPr>
        <w:t>通过“社保服务进万家”宣传活动，帮助广大群众算清社会保险“经济账、受益账”，切实提高广大群众政策的知晓度和参保意愿。全县参加企业职工养老保险13980人，工伤保险13338人，完成8000余名待遇领取人员养老金调整工作，发放企业职工养老保险15512万元，工伤保险751万元。以“社保基金管理巩固提升三年行动”为契机，常态化开展基金警示教育，不断夯实“四位一体”风险防控体系，强化“四防协同”管理能力，持续深入清理社保基金管理问题存量，遏制问题增量，守好老百姓的养老钱、保命钱。</w:t>
      </w:r>
    </w:p>
    <w:p>
      <w:pPr>
        <w:adjustRightInd w:val="0"/>
        <w:snapToGrid w:val="0"/>
        <w:spacing w:line="580" w:lineRule="exact"/>
        <w:ind w:firstLine="803" w:firstLineChars="250"/>
        <w:rPr>
          <w:rFonts w:hint="eastAsia" w:ascii="仿宋_GB2312" w:hAnsi="仿宋_GB2312" w:eastAsia="仿宋_GB2312" w:cs="仿宋_GB2312"/>
          <w:color w:val="auto"/>
          <w:sz w:val="32"/>
          <w:szCs w:val="32"/>
          <w:lang w:val="en-US" w:eastAsia="zh-CN"/>
        </w:rPr>
      </w:pPr>
      <w:r>
        <w:rPr>
          <w:rFonts w:hint="eastAsia" w:ascii="楷体_GB2312" w:hAnsi="宋体" w:eastAsia="楷体_GB2312" w:cs="Times New Roman"/>
          <w:b/>
          <w:color w:val="auto"/>
          <w:sz w:val="32"/>
          <w:szCs w:val="32"/>
          <w:highlight w:val="none"/>
          <w:u w:val="none"/>
          <w:lang w:val="zh-CN"/>
        </w:rPr>
        <w:t>（二</w:t>
      </w:r>
      <w:r>
        <w:rPr>
          <w:rFonts w:hint="eastAsia" w:ascii="楷体_GB2312" w:hAnsi="宋体" w:eastAsia="楷体_GB2312"/>
          <w:b/>
          <w:color w:val="auto"/>
          <w:sz w:val="32"/>
          <w:szCs w:val="32"/>
          <w:highlight w:val="none"/>
          <w:u w:val="none"/>
          <w:lang w:val="zh-CN"/>
        </w:rPr>
        <w:t>）预设问题及评价重点。</w:t>
      </w:r>
      <w:r>
        <w:rPr>
          <w:rFonts w:hint="eastAsia" w:ascii="仿宋_GB2312" w:hAnsi="仿宋_GB2312" w:eastAsia="仿宋_GB2312" w:cs="仿宋_GB2312"/>
          <w:color w:val="auto"/>
          <w:sz w:val="32"/>
          <w:szCs w:val="32"/>
          <w:lang w:val="zh-CN" w:eastAsia="zh-CN"/>
        </w:rPr>
        <w:t>20</w:t>
      </w:r>
      <w:r>
        <w:rPr>
          <w:rFonts w:hint="eastAsia" w:ascii="仿宋_GB2312" w:hAnsi="仿宋_GB2312" w:eastAsia="仿宋_GB2312" w:cs="仿宋_GB2312"/>
          <w:color w:val="auto"/>
          <w:sz w:val="32"/>
          <w:szCs w:val="32"/>
          <w:lang w:val="en-US" w:eastAsia="zh-CN"/>
        </w:rPr>
        <w:t>23</w:t>
      </w:r>
      <w:r>
        <w:rPr>
          <w:rFonts w:hint="eastAsia" w:ascii="仿宋_GB2312" w:hAnsi="仿宋_GB2312" w:eastAsia="仿宋_GB2312" w:cs="仿宋_GB2312"/>
          <w:color w:val="auto"/>
          <w:sz w:val="32"/>
          <w:szCs w:val="32"/>
          <w:lang w:val="zh-CN" w:eastAsia="zh-CN"/>
        </w:rPr>
        <w:t>年</w:t>
      </w: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lang w:val="zh-CN" w:eastAsia="zh-CN"/>
        </w:rPr>
        <w:t>月</w:t>
      </w:r>
      <w:r>
        <w:rPr>
          <w:rFonts w:hint="eastAsia" w:ascii="仿宋_GB2312" w:hAnsi="仿宋_GB2312" w:eastAsia="仿宋_GB2312" w:cs="仿宋_GB2312"/>
          <w:color w:val="auto"/>
          <w:sz w:val="32"/>
          <w:szCs w:val="32"/>
          <w:lang w:val="en-US" w:eastAsia="zh-CN"/>
        </w:rPr>
        <w:t>29</w:t>
      </w:r>
      <w:r>
        <w:rPr>
          <w:rFonts w:hint="eastAsia" w:ascii="仿宋_GB2312" w:hAnsi="仿宋_GB2312" w:eastAsia="仿宋_GB2312" w:cs="仿宋_GB2312"/>
          <w:color w:val="auto"/>
          <w:sz w:val="32"/>
          <w:szCs w:val="32"/>
          <w:lang w:val="zh-CN" w:eastAsia="zh-CN"/>
        </w:rPr>
        <w:t>日，</w:t>
      </w:r>
      <w:r>
        <w:rPr>
          <w:rFonts w:hint="eastAsia" w:ascii="仿宋_GB2312" w:hAnsi="仿宋_GB2312" w:eastAsia="仿宋_GB2312" w:cs="仿宋_GB2312"/>
          <w:color w:val="auto"/>
          <w:sz w:val="32"/>
          <w:szCs w:val="32"/>
          <w:lang w:val="en-US" w:eastAsia="zh-CN"/>
        </w:rPr>
        <w:t>县财政</w:t>
      </w:r>
      <w:r>
        <w:rPr>
          <w:rFonts w:hint="eastAsia" w:ascii="仿宋_GB2312" w:hAnsi="仿宋_GB2312" w:eastAsia="仿宋_GB2312" w:cs="仿宋_GB2312"/>
          <w:color w:val="auto"/>
          <w:sz w:val="32"/>
          <w:szCs w:val="32"/>
          <w:lang w:val="zh-CN" w:eastAsia="zh-CN"/>
        </w:rPr>
        <w:t>下达</w:t>
      </w:r>
      <w:r>
        <w:rPr>
          <w:rFonts w:hint="eastAsia" w:ascii="仿宋_GB2312" w:hAnsi="仿宋_GB2312" w:eastAsia="仿宋_GB2312" w:cs="仿宋_GB2312"/>
          <w:color w:val="auto"/>
          <w:sz w:val="32"/>
          <w:szCs w:val="32"/>
          <w:lang w:val="en-US" w:eastAsia="zh-CN"/>
        </w:rPr>
        <w:t>我系统[茂</w:t>
      </w:r>
      <w:r>
        <w:rPr>
          <w:rFonts w:hint="eastAsia" w:ascii="仿宋_GB2312" w:hAnsi="仿宋_GB2312" w:eastAsia="仿宋_GB2312" w:cs="仿宋_GB2312"/>
          <w:color w:val="auto"/>
          <w:sz w:val="32"/>
          <w:szCs w:val="32"/>
          <w:lang w:val="zh-CN" w:eastAsia="zh-CN"/>
        </w:rPr>
        <w:t>财社（20</w:t>
      </w:r>
      <w:r>
        <w:rPr>
          <w:rFonts w:hint="eastAsia" w:ascii="仿宋_GB2312" w:hAnsi="仿宋_GB2312" w:eastAsia="仿宋_GB2312" w:cs="仿宋_GB2312"/>
          <w:color w:val="auto"/>
          <w:sz w:val="32"/>
          <w:szCs w:val="32"/>
          <w:lang w:val="en-US" w:eastAsia="zh-CN"/>
        </w:rPr>
        <w:t>23</w:t>
      </w:r>
      <w:r>
        <w:rPr>
          <w:rFonts w:hint="eastAsia" w:ascii="仿宋_GB2312" w:hAnsi="仿宋_GB2312" w:eastAsia="仿宋_GB2312" w:cs="仿宋_GB2312"/>
          <w:color w:val="auto"/>
          <w:sz w:val="32"/>
          <w:szCs w:val="32"/>
          <w:lang w:val="zh-CN" w:eastAsia="zh-CN"/>
        </w:rPr>
        <w:t>）</w:t>
      </w:r>
      <w:r>
        <w:rPr>
          <w:rFonts w:hint="eastAsia" w:ascii="仿宋_GB2312" w:hAnsi="仿宋_GB2312" w:eastAsia="仿宋_GB2312" w:cs="仿宋_GB2312"/>
          <w:color w:val="auto"/>
          <w:sz w:val="32"/>
          <w:szCs w:val="32"/>
          <w:lang w:val="en-US" w:eastAsia="zh-CN"/>
        </w:rPr>
        <w:t>52</w:t>
      </w:r>
      <w:r>
        <w:rPr>
          <w:rFonts w:hint="eastAsia" w:ascii="仿宋_GB2312" w:hAnsi="仿宋_GB2312" w:eastAsia="仿宋_GB2312" w:cs="仿宋_GB2312"/>
          <w:color w:val="auto"/>
          <w:sz w:val="32"/>
          <w:szCs w:val="32"/>
          <w:lang w:val="zh-CN" w:eastAsia="zh-CN"/>
        </w:rPr>
        <w:t>号</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val="zh-CN" w:eastAsia="zh-CN"/>
        </w:rPr>
        <w:t>20</w:t>
      </w:r>
      <w:r>
        <w:rPr>
          <w:rFonts w:hint="eastAsia" w:ascii="仿宋_GB2312" w:hAnsi="仿宋_GB2312" w:eastAsia="仿宋_GB2312" w:cs="仿宋_GB2312"/>
          <w:color w:val="auto"/>
          <w:sz w:val="32"/>
          <w:szCs w:val="32"/>
          <w:lang w:val="en-US" w:eastAsia="zh-CN"/>
        </w:rPr>
        <w:t>23</w:t>
      </w:r>
      <w:r>
        <w:rPr>
          <w:rFonts w:hint="eastAsia" w:ascii="仿宋_GB2312" w:hAnsi="仿宋_GB2312" w:eastAsia="仿宋_GB2312" w:cs="仿宋_GB2312"/>
          <w:color w:val="auto"/>
          <w:sz w:val="32"/>
          <w:szCs w:val="32"/>
          <w:lang w:val="zh-CN" w:eastAsia="zh-CN"/>
        </w:rPr>
        <w:t>年</w:t>
      </w:r>
      <w:r>
        <w:rPr>
          <w:rFonts w:hint="eastAsia" w:ascii="仿宋_GB2312" w:hAnsi="仿宋_GB2312" w:eastAsia="仿宋_GB2312" w:cs="仿宋_GB2312"/>
          <w:color w:val="auto"/>
          <w:sz w:val="32"/>
          <w:szCs w:val="32"/>
          <w:lang w:val="en-US" w:eastAsia="zh-CN"/>
        </w:rPr>
        <w:t>省级财政社保</w:t>
      </w:r>
      <w:r>
        <w:rPr>
          <w:rFonts w:hint="eastAsia" w:ascii="仿宋_GB2312" w:hAnsi="仿宋_GB2312" w:eastAsia="仿宋_GB2312" w:cs="仿宋_GB2312"/>
          <w:color w:val="auto"/>
          <w:sz w:val="32"/>
          <w:szCs w:val="32"/>
          <w:lang w:val="zh-CN" w:eastAsia="zh-CN"/>
        </w:rPr>
        <w:t>公共服务能力建设资金资金</w:t>
      </w:r>
      <w:r>
        <w:rPr>
          <w:rFonts w:hint="eastAsia" w:ascii="仿宋_GB2312" w:hAnsi="仿宋_GB2312" w:cs="仿宋_GB2312"/>
          <w:color w:val="auto"/>
          <w:sz w:val="32"/>
          <w:szCs w:val="32"/>
          <w:lang w:val="en-US" w:eastAsia="zh-CN"/>
        </w:rPr>
        <w:t>7</w:t>
      </w:r>
      <w:r>
        <w:rPr>
          <w:rFonts w:hint="eastAsia" w:ascii="仿宋_GB2312" w:hAnsi="仿宋_GB2312" w:eastAsia="仿宋_GB2312" w:cs="仿宋_GB2312"/>
          <w:color w:val="auto"/>
          <w:sz w:val="32"/>
          <w:szCs w:val="32"/>
          <w:lang w:val="zh-CN" w:eastAsia="zh-CN"/>
        </w:rPr>
        <w:t>万元</w:t>
      </w:r>
      <w:r>
        <w:rPr>
          <w:rFonts w:hint="eastAsia" w:ascii="仿宋_GB2312" w:hAnsi="仿宋_GB2312" w:eastAsia="仿宋_GB2312" w:cs="仿宋_GB2312"/>
          <w:color w:val="auto"/>
          <w:sz w:val="32"/>
          <w:szCs w:val="32"/>
          <w:lang w:val="en-US" w:eastAsia="zh-CN"/>
        </w:rPr>
        <w:t>。</w:t>
      </w:r>
    </w:p>
    <w:p>
      <w:pPr>
        <w:adjustRightInd w:val="0"/>
        <w:snapToGrid w:val="0"/>
        <w:spacing w:line="580" w:lineRule="exact"/>
        <w:ind w:firstLine="800" w:firstLineChars="250"/>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zh-CN" w:eastAsia="zh-CN"/>
        </w:rPr>
        <w:t>截止评价时点，20</w:t>
      </w:r>
      <w:r>
        <w:rPr>
          <w:rFonts w:hint="eastAsia" w:ascii="仿宋_GB2312" w:hAnsi="仿宋_GB2312" w:eastAsia="仿宋_GB2312" w:cs="仿宋_GB2312"/>
          <w:color w:val="auto"/>
          <w:sz w:val="32"/>
          <w:szCs w:val="32"/>
          <w:lang w:val="en-US" w:eastAsia="zh-CN"/>
        </w:rPr>
        <w:t>23</w:t>
      </w:r>
      <w:r>
        <w:rPr>
          <w:rFonts w:hint="eastAsia" w:ascii="仿宋_GB2312" w:hAnsi="仿宋_GB2312" w:eastAsia="仿宋_GB2312" w:cs="仿宋_GB2312"/>
          <w:color w:val="auto"/>
          <w:sz w:val="32"/>
          <w:szCs w:val="32"/>
          <w:lang w:val="zh-CN" w:eastAsia="zh-CN"/>
        </w:rPr>
        <w:t>年人社公共服务能力建设资金支出</w:t>
      </w:r>
      <w:r>
        <w:rPr>
          <w:rFonts w:hint="eastAsia" w:ascii="仿宋_GB2312" w:hAnsi="仿宋_GB2312" w:eastAsia="仿宋_GB2312" w:cs="仿宋_GB2312"/>
          <w:color w:val="auto"/>
          <w:sz w:val="32"/>
          <w:szCs w:val="32"/>
          <w:lang w:val="en-US" w:eastAsia="zh-CN"/>
        </w:rPr>
        <w:t>共计：6.42万元</w:t>
      </w:r>
      <w:r>
        <w:rPr>
          <w:rFonts w:hint="eastAsia" w:ascii="仿宋_GB2312" w:hAnsi="仿宋_GB2312" w:eastAsia="仿宋_GB2312" w:cs="仿宋_GB2312"/>
          <w:color w:val="auto"/>
          <w:sz w:val="32"/>
          <w:szCs w:val="32"/>
          <w:lang w:val="zh-CN" w:eastAsia="zh-CN"/>
        </w:rPr>
        <w:t>。</w:t>
      </w:r>
    </w:p>
    <w:p>
      <w:pPr>
        <w:adjustRightInd w:val="0"/>
        <w:snapToGrid w:val="0"/>
        <w:spacing w:line="580" w:lineRule="exact"/>
        <w:ind w:firstLine="803" w:firstLineChars="250"/>
        <w:rPr>
          <w:rFonts w:hint="eastAsia" w:ascii="仿宋_GB2312" w:hAnsi="仿宋_GB2312" w:eastAsia="仿宋_GB2312" w:cs="仿宋_GB2312"/>
          <w:color w:val="auto"/>
          <w:sz w:val="32"/>
          <w:szCs w:val="32"/>
          <w:lang w:val="zh-CN" w:eastAsia="zh-CN"/>
        </w:rPr>
      </w:pPr>
      <w:r>
        <w:rPr>
          <w:rFonts w:hint="eastAsia" w:ascii="楷体_GB2312" w:hAnsi="宋体" w:eastAsia="楷体_GB2312"/>
          <w:b/>
          <w:color w:val="auto"/>
          <w:sz w:val="32"/>
          <w:szCs w:val="32"/>
          <w:highlight w:val="none"/>
          <w:u w:val="none"/>
          <w:lang w:val="zh-CN"/>
        </w:rPr>
        <w:t>（三）评价选点。</w:t>
      </w:r>
      <w:r>
        <w:rPr>
          <w:rFonts w:hint="eastAsia" w:ascii="仿宋_GB2312" w:hAnsi="仿宋_GB2312" w:eastAsia="仿宋_GB2312" w:cs="仿宋_GB2312"/>
          <w:color w:val="auto"/>
          <w:sz w:val="32"/>
          <w:szCs w:val="32"/>
          <w:lang w:val="zh-CN" w:eastAsia="zh-CN"/>
        </w:rPr>
        <w:t>单</w:t>
      </w:r>
      <w:r>
        <w:rPr>
          <w:rFonts w:hint="eastAsia" w:ascii="仿宋_GB2312" w:hAnsi="仿宋_GB2312" w:eastAsia="仿宋_GB2312" w:cs="仿宋_GB2312"/>
          <w:color w:val="auto"/>
          <w:sz w:val="32"/>
          <w:szCs w:val="32"/>
          <w:lang w:val="en-US" w:eastAsia="zh-CN"/>
        </w:rPr>
        <w:t>位在财政项目资金财务管理过程中严格按照“收支两条线”、</w:t>
      </w:r>
      <w:r>
        <w:rPr>
          <w:rFonts w:hint="eastAsia" w:ascii="仿宋_GB2312" w:hAnsi="仿宋_GB2312" w:eastAsia="仿宋_GB2312" w:cs="仿宋_GB2312"/>
          <w:color w:val="auto"/>
          <w:sz w:val="32"/>
          <w:szCs w:val="32"/>
          <w:lang w:val="zh-CN" w:eastAsia="zh-CN"/>
        </w:rPr>
        <w:t>会计核算规范，专款专用</w:t>
      </w:r>
      <w:r>
        <w:rPr>
          <w:rFonts w:hint="eastAsia" w:ascii="仿宋_GB2312" w:hAnsi="仿宋_GB2312" w:eastAsia="仿宋_GB2312" w:cs="仿宋_GB2312"/>
          <w:color w:val="auto"/>
          <w:sz w:val="32"/>
          <w:szCs w:val="32"/>
          <w:lang w:val="en-US" w:eastAsia="zh-CN"/>
        </w:rPr>
        <w:t>管理的要求；严格按照《社保基金财务制度》要求的会计科目进行核算。</w:t>
      </w:r>
    </w:p>
    <w:p>
      <w:pPr>
        <w:spacing w:line="560" w:lineRule="exact"/>
        <w:ind w:firstLine="643" w:firstLineChars="200"/>
        <w:rPr>
          <w:rFonts w:hint="eastAsia" w:ascii="仿宋_GB2312" w:hAnsi="仿宋_GB2312" w:eastAsia="仿宋_GB2312" w:cs="仿宋_GB2312"/>
          <w:color w:val="auto"/>
          <w:sz w:val="32"/>
          <w:szCs w:val="32"/>
          <w:lang w:val="en-US" w:eastAsia="zh-CN"/>
        </w:rPr>
      </w:pPr>
      <w:r>
        <w:rPr>
          <w:rFonts w:hint="eastAsia" w:ascii="楷体_GB2312" w:hAnsi="宋体" w:eastAsia="楷体_GB2312"/>
          <w:b/>
          <w:color w:val="auto"/>
          <w:sz w:val="32"/>
          <w:szCs w:val="32"/>
          <w:highlight w:val="none"/>
          <w:u w:val="none"/>
          <w:lang w:val="zh-CN"/>
        </w:rPr>
        <w:t>（四）评价方法。</w:t>
      </w:r>
      <w:r>
        <w:rPr>
          <w:rFonts w:hint="eastAsia" w:ascii="仿宋_GB2312" w:hAnsi="仿宋_GB2312" w:eastAsia="仿宋_GB2312" w:cs="仿宋_GB2312"/>
          <w:color w:val="auto"/>
          <w:sz w:val="32"/>
          <w:szCs w:val="32"/>
          <w:lang w:val="en-US" w:eastAsia="zh-CN"/>
        </w:rPr>
        <w:t>本项目通过单位自评法了解项目情况，收集相关资料，综合分析相关情况后，对项目的立项必要性、投入经济性、目标合理性、方案可行性以及筹资合规性实施评估。</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仿宋_GB2312" w:eastAsia="仿宋_GB2312" w:cs="仿宋_GB2312"/>
          <w:color w:val="auto"/>
          <w:sz w:val="32"/>
          <w:szCs w:val="32"/>
          <w:lang w:val="en-US" w:eastAsia="zh-CN"/>
        </w:rPr>
      </w:pPr>
      <w:r>
        <w:rPr>
          <w:rFonts w:hint="eastAsia" w:ascii="楷体_GB2312" w:hAnsi="宋体" w:eastAsia="楷体_GB2312"/>
          <w:b/>
          <w:color w:val="auto"/>
          <w:sz w:val="32"/>
          <w:szCs w:val="32"/>
          <w:highlight w:val="none"/>
          <w:u w:val="none"/>
          <w:lang w:val="zh-CN"/>
        </w:rPr>
        <w:t>（五）评价组织。</w:t>
      </w:r>
      <w:r>
        <w:rPr>
          <w:rFonts w:hint="eastAsia" w:ascii="仿宋_GB2312" w:hAnsi="仿宋_GB2312" w:eastAsia="仿宋_GB2312" w:cs="仿宋_GB2312"/>
          <w:color w:val="auto"/>
          <w:sz w:val="32"/>
          <w:szCs w:val="32"/>
          <w:lang w:val="en-US" w:eastAsia="zh-CN"/>
        </w:rPr>
        <w:t>我局高度重视落实开展项目绩效评价工作，成立了以局长为组长，分管财务副局长为副组长，各股室股长为成员的工作领导小组，负责组织开展本单位绩效评价工作。</w:t>
      </w:r>
    </w:p>
    <w:p>
      <w:pPr>
        <w:keepNext w:val="0"/>
        <w:keepLines w:val="0"/>
        <w:pageBreakBefore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宋体"/>
          <w:color w:val="auto"/>
          <w:sz w:val="32"/>
          <w:szCs w:val="32"/>
          <w:highlight w:val="none"/>
          <w:u w:val="none"/>
          <w:lang w:val="zh-CN"/>
        </w:rPr>
      </w:pPr>
      <w:r>
        <w:rPr>
          <w:rFonts w:hint="eastAsia" w:ascii="黑体" w:hAnsi="宋体" w:eastAsia="黑体"/>
          <w:color w:val="auto"/>
          <w:sz w:val="32"/>
          <w:szCs w:val="32"/>
          <w:highlight w:val="none"/>
          <w:u w:val="none"/>
        </w:rPr>
        <w:t>三、</w:t>
      </w:r>
      <w:r>
        <w:rPr>
          <w:rFonts w:hint="eastAsia" w:ascii="黑体" w:hAnsi="宋体" w:eastAsia="黑体"/>
          <w:color w:val="auto"/>
          <w:sz w:val="32"/>
          <w:szCs w:val="32"/>
          <w:highlight w:val="none"/>
          <w:u w:val="none"/>
          <w:lang w:eastAsia="zh-CN"/>
        </w:rPr>
        <w:t>绩效分析</w:t>
      </w:r>
      <w:r>
        <w:rPr>
          <w:rFonts w:hint="eastAsia" w:ascii="仿宋_GB2312" w:hAnsi="宋体"/>
          <w:color w:val="auto"/>
          <w:sz w:val="32"/>
          <w:szCs w:val="32"/>
          <w:highlight w:val="none"/>
          <w:u w:val="none"/>
          <w:lang w:val="zh-CN"/>
        </w:rPr>
        <w:tab/>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楷体_GB2312" w:hAnsi="宋体" w:eastAsia="楷体_GB2312" w:cs="Times New Roman"/>
          <w:b/>
          <w:color w:val="auto"/>
          <w:sz w:val="32"/>
          <w:szCs w:val="32"/>
          <w:highlight w:val="none"/>
          <w:u w:val="none"/>
          <w:lang w:val="en-US" w:eastAsia="zh-CN"/>
        </w:rPr>
      </w:pPr>
      <w:r>
        <w:rPr>
          <w:rFonts w:hint="eastAsia" w:ascii="楷体_GB2312" w:hAnsi="宋体" w:eastAsia="楷体_GB2312" w:cs="Times New Roman"/>
          <w:b/>
          <w:color w:val="auto"/>
          <w:sz w:val="32"/>
          <w:szCs w:val="32"/>
          <w:highlight w:val="none"/>
          <w:u w:val="none"/>
          <w:lang w:val="zh-CN"/>
        </w:rPr>
        <w:t>（一）</w:t>
      </w:r>
      <w:r>
        <w:rPr>
          <w:rFonts w:hint="eastAsia" w:ascii="楷体_GB2312" w:hAnsi="宋体" w:eastAsia="楷体_GB2312" w:cs="Times New Roman"/>
          <w:b/>
          <w:color w:val="auto"/>
          <w:sz w:val="32"/>
          <w:szCs w:val="32"/>
          <w:highlight w:val="none"/>
          <w:u w:val="none"/>
          <w:lang w:val="en-US" w:eastAsia="zh-CN"/>
        </w:rPr>
        <w:t>通用指标</w:t>
      </w:r>
      <w:r>
        <w:rPr>
          <w:rFonts w:hint="default" w:ascii="楷体_GB2312" w:hAnsi="宋体" w:eastAsia="楷体_GB2312" w:cs="Times New Roman"/>
          <w:b/>
          <w:color w:val="auto"/>
          <w:sz w:val="32"/>
          <w:szCs w:val="32"/>
          <w:highlight w:val="none"/>
          <w:u w:val="none"/>
          <w:lang w:val="zh-CN" w:eastAsia="zh-CN"/>
        </w:rPr>
        <w:t>绩效分析。</w:t>
      </w:r>
    </w:p>
    <w:p>
      <w:pPr>
        <w:adjustRightInd w:val="0"/>
        <w:snapToGrid w:val="0"/>
        <w:spacing w:line="580" w:lineRule="exact"/>
        <w:ind w:firstLine="640" w:firstLineChars="200"/>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b w:val="0"/>
          <w:bCs w:val="0"/>
          <w:i w:val="0"/>
          <w:iCs w:val="0"/>
          <w:color w:val="auto"/>
          <w:sz w:val="32"/>
          <w:szCs w:val="32"/>
          <w:lang w:val="en-US" w:eastAsia="zh-CN"/>
        </w:rPr>
        <w:t>1.项目决策。</w:t>
      </w:r>
      <w:r>
        <w:rPr>
          <w:rFonts w:hint="eastAsia" w:ascii="仿宋_GB2312" w:hAnsi="仿宋_GB2312" w:eastAsia="仿宋_GB2312" w:cs="仿宋_GB2312"/>
          <w:color w:val="auto"/>
          <w:sz w:val="32"/>
          <w:szCs w:val="32"/>
          <w:lang w:val="en-US" w:eastAsia="zh-CN"/>
        </w:rPr>
        <w:t>该项目的设立、调整延续等方面符合资金管理基本规范和决策程序要求，项目规划符合上级政府有关决策部署安排，项目绩效目标设置科学合理，资金主要用于完善社会保险经办标准化建设以及信息系统建设及运行维护、设备设施购置，经办人员素质提升培训、做好业务档案数字化管理及风险防控</w:t>
      </w:r>
      <w:r>
        <w:rPr>
          <w:rFonts w:hint="eastAsia" w:ascii="仿宋_GB2312" w:hAnsi="仿宋_GB2312" w:eastAsia="仿宋_GB2312" w:cs="仿宋_GB2312"/>
          <w:color w:val="auto"/>
          <w:sz w:val="32"/>
          <w:szCs w:val="32"/>
          <w:lang w:val="zh-CN"/>
        </w:rPr>
        <w:t>。</w:t>
      </w:r>
    </w:p>
    <w:p>
      <w:pPr>
        <w:adjustRightInd w:val="0"/>
        <w:snapToGrid w:val="0"/>
        <w:spacing w:line="580" w:lineRule="exact"/>
        <w:ind w:firstLine="640" w:firstLineChars="200"/>
        <w:rPr>
          <w:rFonts w:hint="eastAsia" w:ascii="仿宋_GB2312" w:hAnsi="仿宋_GB2312" w:eastAsia="仿宋_GB2312" w:cs="仿宋_GB2312"/>
          <w:b w:val="0"/>
          <w:bCs w:val="0"/>
          <w:i w:val="0"/>
          <w:iCs w:val="0"/>
          <w:color w:val="auto"/>
          <w:sz w:val="32"/>
          <w:szCs w:val="32"/>
          <w:lang w:val="zh-CN" w:eastAsia="zh-CN"/>
        </w:rPr>
      </w:pPr>
      <w:r>
        <w:rPr>
          <w:rFonts w:hint="eastAsia" w:ascii="仿宋_GB2312" w:hAnsi="仿宋_GB2312" w:eastAsia="仿宋_GB2312" w:cs="仿宋_GB2312"/>
          <w:b w:val="0"/>
          <w:bCs w:val="0"/>
          <w:i w:val="0"/>
          <w:iCs w:val="0"/>
          <w:color w:val="auto"/>
          <w:sz w:val="32"/>
          <w:szCs w:val="32"/>
          <w:lang w:val="en-US" w:eastAsia="zh-CN"/>
        </w:rPr>
        <w:t>2.项目管理。</w:t>
      </w:r>
      <w:r>
        <w:rPr>
          <w:rFonts w:hint="eastAsia" w:ascii="仿宋_GB2312" w:hAnsi="仿宋_GB2312" w:eastAsia="仿宋_GB2312" w:cs="仿宋_GB2312"/>
          <w:b w:val="0"/>
          <w:bCs w:val="0"/>
          <w:i w:val="0"/>
          <w:iCs w:val="0"/>
          <w:color w:val="auto"/>
          <w:sz w:val="32"/>
          <w:szCs w:val="32"/>
          <w:lang w:val="zh-CN" w:eastAsia="zh-CN"/>
        </w:rPr>
        <w:t>20</w:t>
      </w:r>
      <w:r>
        <w:rPr>
          <w:rFonts w:hint="eastAsia" w:ascii="仿宋_GB2312" w:hAnsi="仿宋_GB2312" w:eastAsia="仿宋_GB2312" w:cs="仿宋_GB2312"/>
          <w:b w:val="0"/>
          <w:bCs w:val="0"/>
          <w:i w:val="0"/>
          <w:iCs w:val="0"/>
          <w:color w:val="auto"/>
          <w:sz w:val="32"/>
          <w:szCs w:val="32"/>
          <w:lang w:val="en-US" w:eastAsia="zh-CN"/>
        </w:rPr>
        <w:t>23</w:t>
      </w:r>
      <w:r>
        <w:rPr>
          <w:rFonts w:hint="eastAsia" w:ascii="仿宋_GB2312" w:hAnsi="仿宋_GB2312" w:eastAsia="仿宋_GB2312" w:cs="仿宋_GB2312"/>
          <w:b w:val="0"/>
          <w:bCs w:val="0"/>
          <w:i w:val="0"/>
          <w:iCs w:val="0"/>
          <w:color w:val="auto"/>
          <w:sz w:val="32"/>
          <w:szCs w:val="32"/>
          <w:lang w:val="zh-CN" w:eastAsia="zh-CN"/>
        </w:rPr>
        <w:t>年</w:t>
      </w:r>
      <w:r>
        <w:rPr>
          <w:rFonts w:hint="eastAsia" w:ascii="仿宋_GB2312" w:hAnsi="仿宋_GB2312" w:eastAsia="仿宋_GB2312" w:cs="仿宋_GB2312"/>
          <w:b w:val="0"/>
          <w:bCs w:val="0"/>
          <w:i w:val="0"/>
          <w:iCs w:val="0"/>
          <w:color w:val="auto"/>
          <w:sz w:val="32"/>
          <w:szCs w:val="32"/>
          <w:lang w:val="en-US" w:eastAsia="zh-CN"/>
        </w:rPr>
        <w:t>8</w:t>
      </w:r>
      <w:r>
        <w:rPr>
          <w:rFonts w:hint="eastAsia" w:ascii="仿宋_GB2312" w:hAnsi="仿宋_GB2312" w:eastAsia="仿宋_GB2312" w:cs="仿宋_GB2312"/>
          <w:b w:val="0"/>
          <w:bCs w:val="0"/>
          <w:i w:val="0"/>
          <w:iCs w:val="0"/>
          <w:color w:val="auto"/>
          <w:sz w:val="32"/>
          <w:szCs w:val="32"/>
          <w:lang w:val="zh-CN" w:eastAsia="zh-CN"/>
        </w:rPr>
        <w:t>月</w:t>
      </w:r>
      <w:r>
        <w:rPr>
          <w:rFonts w:hint="eastAsia" w:ascii="仿宋_GB2312" w:hAnsi="仿宋_GB2312" w:eastAsia="仿宋_GB2312" w:cs="仿宋_GB2312"/>
          <w:b w:val="0"/>
          <w:bCs w:val="0"/>
          <w:i w:val="0"/>
          <w:iCs w:val="0"/>
          <w:color w:val="auto"/>
          <w:sz w:val="32"/>
          <w:szCs w:val="32"/>
          <w:lang w:val="en-US" w:eastAsia="zh-CN"/>
        </w:rPr>
        <w:t>29</w:t>
      </w:r>
      <w:r>
        <w:rPr>
          <w:rFonts w:hint="eastAsia" w:ascii="仿宋_GB2312" w:hAnsi="仿宋_GB2312" w:eastAsia="仿宋_GB2312" w:cs="仿宋_GB2312"/>
          <w:b w:val="0"/>
          <w:bCs w:val="0"/>
          <w:i w:val="0"/>
          <w:iCs w:val="0"/>
          <w:color w:val="auto"/>
          <w:sz w:val="32"/>
          <w:szCs w:val="32"/>
          <w:lang w:val="zh-CN" w:eastAsia="zh-CN"/>
        </w:rPr>
        <w:t>日，</w:t>
      </w:r>
      <w:r>
        <w:rPr>
          <w:rFonts w:hint="eastAsia" w:ascii="仿宋_GB2312" w:hAnsi="仿宋_GB2312" w:eastAsia="仿宋_GB2312" w:cs="仿宋_GB2312"/>
          <w:b w:val="0"/>
          <w:bCs w:val="0"/>
          <w:i w:val="0"/>
          <w:iCs w:val="0"/>
          <w:color w:val="auto"/>
          <w:sz w:val="32"/>
          <w:szCs w:val="32"/>
          <w:lang w:val="en-US" w:eastAsia="zh-CN"/>
        </w:rPr>
        <w:t>县财政</w:t>
      </w:r>
      <w:r>
        <w:rPr>
          <w:rFonts w:hint="eastAsia" w:ascii="仿宋_GB2312" w:hAnsi="仿宋_GB2312" w:eastAsia="仿宋_GB2312" w:cs="仿宋_GB2312"/>
          <w:b w:val="0"/>
          <w:bCs w:val="0"/>
          <w:i w:val="0"/>
          <w:iCs w:val="0"/>
          <w:color w:val="auto"/>
          <w:sz w:val="32"/>
          <w:szCs w:val="32"/>
          <w:lang w:val="zh-CN" w:eastAsia="zh-CN"/>
        </w:rPr>
        <w:t>下达</w:t>
      </w:r>
      <w:r>
        <w:rPr>
          <w:rFonts w:hint="eastAsia" w:ascii="仿宋_GB2312" w:hAnsi="仿宋_GB2312" w:eastAsia="仿宋_GB2312" w:cs="仿宋_GB2312"/>
          <w:b w:val="0"/>
          <w:bCs w:val="0"/>
          <w:i w:val="0"/>
          <w:iCs w:val="0"/>
          <w:color w:val="auto"/>
          <w:sz w:val="32"/>
          <w:szCs w:val="32"/>
          <w:lang w:val="en-US" w:eastAsia="zh-CN"/>
        </w:rPr>
        <w:t>我系统[茂</w:t>
      </w:r>
      <w:r>
        <w:rPr>
          <w:rFonts w:hint="eastAsia" w:ascii="仿宋_GB2312" w:hAnsi="仿宋_GB2312" w:eastAsia="仿宋_GB2312" w:cs="仿宋_GB2312"/>
          <w:b w:val="0"/>
          <w:bCs w:val="0"/>
          <w:i w:val="0"/>
          <w:iCs w:val="0"/>
          <w:color w:val="auto"/>
          <w:sz w:val="32"/>
          <w:szCs w:val="32"/>
          <w:lang w:val="zh-CN" w:eastAsia="zh-CN"/>
        </w:rPr>
        <w:t>财社（20</w:t>
      </w:r>
      <w:r>
        <w:rPr>
          <w:rFonts w:hint="eastAsia" w:ascii="仿宋_GB2312" w:hAnsi="仿宋_GB2312" w:eastAsia="仿宋_GB2312" w:cs="仿宋_GB2312"/>
          <w:b w:val="0"/>
          <w:bCs w:val="0"/>
          <w:i w:val="0"/>
          <w:iCs w:val="0"/>
          <w:color w:val="auto"/>
          <w:sz w:val="32"/>
          <w:szCs w:val="32"/>
          <w:lang w:val="en-US" w:eastAsia="zh-CN"/>
        </w:rPr>
        <w:t>23</w:t>
      </w:r>
      <w:r>
        <w:rPr>
          <w:rFonts w:hint="eastAsia" w:ascii="仿宋_GB2312" w:hAnsi="仿宋_GB2312" w:eastAsia="仿宋_GB2312" w:cs="仿宋_GB2312"/>
          <w:b w:val="0"/>
          <w:bCs w:val="0"/>
          <w:i w:val="0"/>
          <w:iCs w:val="0"/>
          <w:color w:val="auto"/>
          <w:sz w:val="32"/>
          <w:szCs w:val="32"/>
          <w:lang w:val="zh-CN" w:eastAsia="zh-CN"/>
        </w:rPr>
        <w:t>）</w:t>
      </w:r>
      <w:r>
        <w:rPr>
          <w:rFonts w:hint="eastAsia" w:ascii="仿宋_GB2312" w:hAnsi="仿宋_GB2312" w:eastAsia="仿宋_GB2312" w:cs="仿宋_GB2312"/>
          <w:b w:val="0"/>
          <w:bCs w:val="0"/>
          <w:i w:val="0"/>
          <w:iCs w:val="0"/>
          <w:color w:val="auto"/>
          <w:sz w:val="32"/>
          <w:szCs w:val="32"/>
          <w:lang w:val="en-US" w:eastAsia="zh-CN"/>
        </w:rPr>
        <w:t>52</w:t>
      </w:r>
      <w:r>
        <w:rPr>
          <w:rFonts w:hint="eastAsia" w:ascii="仿宋_GB2312" w:hAnsi="仿宋_GB2312" w:eastAsia="仿宋_GB2312" w:cs="仿宋_GB2312"/>
          <w:b w:val="0"/>
          <w:bCs w:val="0"/>
          <w:i w:val="0"/>
          <w:iCs w:val="0"/>
          <w:color w:val="auto"/>
          <w:sz w:val="32"/>
          <w:szCs w:val="32"/>
          <w:lang w:val="zh-CN" w:eastAsia="zh-CN"/>
        </w:rPr>
        <w:t>号</w:t>
      </w:r>
      <w:r>
        <w:rPr>
          <w:rFonts w:hint="eastAsia" w:ascii="仿宋_GB2312" w:hAnsi="仿宋_GB2312" w:eastAsia="仿宋_GB2312" w:cs="仿宋_GB2312"/>
          <w:b w:val="0"/>
          <w:bCs w:val="0"/>
          <w:i w:val="0"/>
          <w:iCs w:val="0"/>
          <w:color w:val="auto"/>
          <w:sz w:val="32"/>
          <w:szCs w:val="32"/>
          <w:lang w:val="en-US" w:eastAsia="zh-CN"/>
        </w:rPr>
        <w:t>]</w:t>
      </w:r>
      <w:r>
        <w:rPr>
          <w:rFonts w:hint="eastAsia" w:ascii="仿宋_GB2312" w:hAnsi="仿宋_GB2312" w:eastAsia="仿宋_GB2312" w:cs="仿宋_GB2312"/>
          <w:b w:val="0"/>
          <w:bCs w:val="0"/>
          <w:i w:val="0"/>
          <w:iCs w:val="0"/>
          <w:color w:val="auto"/>
          <w:sz w:val="32"/>
          <w:szCs w:val="32"/>
          <w:lang w:val="zh-CN" w:eastAsia="zh-CN"/>
        </w:rPr>
        <w:t>20</w:t>
      </w:r>
      <w:r>
        <w:rPr>
          <w:rFonts w:hint="eastAsia" w:ascii="仿宋_GB2312" w:hAnsi="仿宋_GB2312" w:eastAsia="仿宋_GB2312" w:cs="仿宋_GB2312"/>
          <w:b w:val="0"/>
          <w:bCs w:val="0"/>
          <w:i w:val="0"/>
          <w:iCs w:val="0"/>
          <w:color w:val="auto"/>
          <w:sz w:val="32"/>
          <w:szCs w:val="32"/>
          <w:lang w:val="en-US" w:eastAsia="zh-CN"/>
        </w:rPr>
        <w:t>23</w:t>
      </w:r>
      <w:r>
        <w:rPr>
          <w:rFonts w:hint="eastAsia" w:ascii="仿宋_GB2312" w:hAnsi="仿宋_GB2312" w:eastAsia="仿宋_GB2312" w:cs="仿宋_GB2312"/>
          <w:b w:val="0"/>
          <w:bCs w:val="0"/>
          <w:i w:val="0"/>
          <w:iCs w:val="0"/>
          <w:color w:val="auto"/>
          <w:sz w:val="32"/>
          <w:szCs w:val="32"/>
          <w:lang w:val="zh-CN" w:eastAsia="zh-CN"/>
        </w:rPr>
        <w:t>年</w:t>
      </w:r>
      <w:r>
        <w:rPr>
          <w:rFonts w:hint="eastAsia" w:ascii="仿宋_GB2312" w:hAnsi="仿宋_GB2312" w:eastAsia="仿宋_GB2312" w:cs="仿宋_GB2312"/>
          <w:b w:val="0"/>
          <w:bCs w:val="0"/>
          <w:i w:val="0"/>
          <w:iCs w:val="0"/>
          <w:color w:val="auto"/>
          <w:sz w:val="32"/>
          <w:szCs w:val="32"/>
          <w:lang w:val="en-US" w:eastAsia="zh-CN"/>
        </w:rPr>
        <w:t>省级财政社保</w:t>
      </w:r>
      <w:r>
        <w:rPr>
          <w:rFonts w:hint="eastAsia" w:ascii="仿宋_GB2312" w:hAnsi="仿宋_GB2312" w:eastAsia="仿宋_GB2312" w:cs="仿宋_GB2312"/>
          <w:b w:val="0"/>
          <w:bCs w:val="0"/>
          <w:i w:val="0"/>
          <w:iCs w:val="0"/>
          <w:color w:val="auto"/>
          <w:sz w:val="32"/>
          <w:szCs w:val="32"/>
          <w:lang w:val="zh-CN" w:eastAsia="zh-CN"/>
        </w:rPr>
        <w:t>公共服务能力建设资金资金</w:t>
      </w:r>
      <w:r>
        <w:rPr>
          <w:rFonts w:hint="eastAsia" w:ascii="仿宋_GB2312" w:hAnsi="仿宋_GB2312" w:eastAsia="仿宋_GB2312" w:cs="仿宋_GB2312"/>
          <w:b w:val="0"/>
          <w:bCs w:val="0"/>
          <w:i w:val="0"/>
          <w:iCs w:val="0"/>
          <w:color w:val="auto"/>
          <w:sz w:val="32"/>
          <w:szCs w:val="32"/>
          <w:lang w:val="en-US" w:eastAsia="zh-CN"/>
        </w:rPr>
        <w:t>7</w:t>
      </w:r>
      <w:r>
        <w:rPr>
          <w:rFonts w:hint="eastAsia" w:ascii="仿宋_GB2312" w:hAnsi="仿宋_GB2312" w:eastAsia="仿宋_GB2312" w:cs="仿宋_GB2312"/>
          <w:b w:val="0"/>
          <w:bCs w:val="0"/>
          <w:i w:val="0"/>
          <w:iCs w:val="0"/>
          <w:color w:val="auto"/>
          <w:sz w:val="32"/>
          <w:szCs w:val="32"/>
          <w:lang w:val="zh-CN" w:eastAsia="zh-CN"/>
        </w:rPr>
        <w:t>万元</w:t>
      </w:r>
      <w:r>
        <w:rPr>
          <w:rFonts w:hint="eastAsia" w:ascii="仿宋_GB2312" w:hAnsi="仿宋_GB2312" w:eastAsia="仿宋_GB2312" w:cs="仿宋_GB2312"/>
          <w:b w:val="0"/>
          <w:bCs w:val="0"/>
          <w:i w:val="0"/>
          <w:iCs w:val="0"/>
          <w:color w:val="auto"/>
          <w:sz w:val="32"/>
          <w:szCs w:val="32"/>
          <w:lang w:val="en-US" w:eastAsia="zh-CN"/>
        </w:rPr>
        <w:t>。</w:t>
      </w:r>
    </w:p>
    <w:p>
      <w:pPr>
        <w:adjustRightInd w:val="0"/>
        <w:snapToGrid w:val="0"/>
        <w:spacing w:line="580" w:lineRule="exact"/>
        <w:ind w:firstLine="640" w:firstLineChars="200"/>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b w:val="0"/>
          <w:bCs w:val="0"/>
          <w:i w:val="0"/>
          <w:iCs w:val="0"/>
          <w:color w:val="auto"/>
          <w:sz w:val="32"/>
          <w:szCs w:val="32"/>
          <w:lang w:val="en-US" w:eastAsia="zh-CN"/>
        </w:rPr>
        <w:t>3.项目实施。</w:t>
      </w:r>
      <w:r>
        <w:rPr>
          <w:rFonts w:hint="eastAsia" w:ascii="仿宋_GB2312" w:hAnsi="仿宋_GB2312" w:eastAsia="仿宋_GB2312" w:cs="仿宋_GB2312"/>
          <w:b w:val="0"/>
          <w:bCs w:val="0"/>
          <w:i w:val="0"/>
          <w:iCs w:val="0"/>
          <w:color w:val="auto"/>
          <w:sz w:val="32"/>
          <w:szCs w:val="32"/>
          <w:lang w:val="zh-CN" w:eastAsia="zh-CN"/>
        </w:rPr>
        <w:t>截止评价时点，20</w:t>
      </w:r>
      <w:r>
        <w:rPr>
          <w:rFonts w:hint="eastAsia" w:ascii="仿宋_GB2312" w:hAnsi="仿宋_GB2312" w:eastAsia="仿宋_GB2312" w:cs="仿宋_GB2312"/>
          <w:b w:val="0"/>
          <w:bCs w:val="0"/>
          <w:i w:val="0"/>
          <w:iCs w:val="0"/>
          <w:color w:val="auto"/>
          <w:sz w:val="32"/>
          <w:szCs w:val="32"/>
          <w:lang w:val="en-US" w:eastAsia="zh-CN"/>
        </w:rPr>
        <w:t>23</w:t>
      </w:r>
      <w:r>
        <w:rPr>
          <w:rFonts w:hint="eastAsia" w:ascii="仿宋_GB2312" w:hAnsi="仿宋_GB2312" w:eastAsia="仿宋_GB2312" w:cs="仿宋_GB2312"/>
          <w:b w:val="0"/>
          <w:bCs w:val="0"/>
          <w:i w:val="0"/>
          <w:iCs w:val="0"/>
          <w:color w:val="auto"/>
          <w:sz w:val="32"/>
          <w:szCs w:val="32"/>
          <w:lang w:val="zh-CN" w:eastAsia="zh-CN"/>
        </w:rPr>
        <w:t>年人社公共服务能力建设资金支出</w:t>
      </w:r>
      <w:r>
        <w:rPr>
          <w:rFonts w:hint="eastAsia" w:ascii="仿宋_GB2312" w:hAnsi="仿宋_GB2312" w:eastAsia="仿宋_GB2312" w:cs="仿宋_GB2312"/>
          <w:b w:val="0"/>
          <w:bCs w:val="0"/>
          <w:i w:val="0"/>
          <w:iCs w:val="0"/>
          <w:color w:val="auto"/>
          <w:sz w:val="32"/>
          <w:szCs w:val="32"/>
          <w:lang w:val="en-US" w:eastAsia="zh-CN"/>
        </w:rPr>
        <w:t>共</w:t>
      </w:r>
      <w:r>
        <w:rPr>
          <w:rFonts w:hint="eastAsia" w:ascii="仿宋_GB2312" w:hAnsi="仿宋_GB2312" w:eastAsia="仿宋_GB2312" w:cs="仿宋_GB2312"/>
          <w:color w:val="auto"/>
          <w:sz w:val="32"/>
          <w:szCs w:val="32"/>
          <w:lang w:val="en-US" w:eastAsia="zh-CN"/>
        </w:rPr>
        <w:t>计：6.42万元</w:t>
      </w:r>
      <w:r>
        <w:rPr>
          <w:rFonts w:hint="eastAsia" w:ascii="仿宋_GB2312" w:hAnsi="仿宋_GB2312" w:eastAsia="仿宋_GB2312" w:cs="仿宋_GB2312"/>
          <w:color w:val="auto"/>
          <w:sz w:val="32"/>
          <w:szCs w:val="32"/>
          <w:lang w:val="zh-CN" w:eastAsia="zh-CN"/>
        </w:rPr>
        <w:t>。项目资金使用、拨付符合国家财经法规、财务管理制度及有关专项资金管理制度办法规定和审批程序，</w:t>
      </w:r>
      <w:r>
        <w:rPr>
          <w:rFonts w:hint="eastAsia" w:ascii="仿宋_GB2312" w:hAnsi="仿宋_GB2312" w:eastAsia="仿宋_GB2312" w:cs="仿宋_GB2312"/>
          <w:color w:val="auto"/>
          <w:sz w:val="32"/>
          <w:szCs w:val="32"/>
          <w:lang w:val="en-US" w:eastAsia="zh-CN"/>
        </w:rPr>
        <w:t>不</w:t>
      </w:r>
      <w:r>
        <w:rPr>
          <w:rFonts w:hint="eastAsia" w:ascii="仿宋_GB2312" w:hAnsi="仿宋_GB2312" w:eastAsia="仿宋_GB2312" w:cs="仿宋_GB2312"/>
          <w:color w:val="auto"/>
          <w:sz w:val="32"/>
          <w:szCs w:val="32"/>
          <w:lang w:val="zh-CN" w:eastAsia="zh-CN"/>
        </w:rPr>
        <w:t>存在超范围、超标准、超进度使用专项资金，</w:t>
      </w:r>
      <w:r>
        <w:rPr>
          <w:rFonts w:hint="eastAsia" w:ascii="仿宋_GB2312" w:hAnsi="仿宋_GB2312" w:eastAsia="仿宋_GB2312" w:cs="仿宋_GB2312"/>
          <w:color w:val="auto"/>
          <w:sz w:val="32"/>
          <w:szCs w:val="32"/>
          <w:lang w:val="en-US" w:eastAsia="zh-CN"/>
        </w:rPr>
        <w:t>不</w:t>
      </w:r>
      <w:r>
        <w:rPr>
          <w:rFonts w:hint="eastAsia" w:ascii="仿宋_GB2312" w:hAnsi="仿宋_GB2312" w:eastAsia="仿宋_GB2312" w:cs="仿宋_GB2312"/>
          <w:color w:val="auto"/>
          <w:sz w:val="32"/>
          <w:szCs w:val="32"/>
          <w:lang w:val="zh-CN" w:eastAsia="zh-CN"/>
        </w:rPr>
        <w:t>存在资金损失浪费、长期沉淀、截留、挤占、挪用、虚列支出等情况，项目实施遵守相关法律法规。</w:t>
      </w:r>
    </w:p>
    <w:p>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0" w:firstLineChars="200"/>
        <w:textAlignment w:val="auto"/>
        <w:outlineLvl w:val="9"/>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4.项目结果。项目按时完成预期目标，实施结果与绩效目标相匹配，按照实施计划完成目标。</w:t>
      </w:r>
    </w:p>
    <w:p>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3" w:firstLineChars="200"/>
        <w:textAlignment w:val="auto"/>
        <w:outlineLvl w:val="9"/>
        <w:rPr>
          <w:rFonts w:hint="default" w:ascii="楷体_GB2312" w:hAnsi="宋体" w:eastAsia="楷体_GB2312" w:cs="Times New Roman"/>
          <w:b/>
          <w:color w:val="auto"/>
          <w:sz w:val="32"/>
          <w:szCs w:val="32"/>
          <w:highlight w:val="none"/>
          <w:u w:val="none"/>
          <w:lang w:val="zh-CN" w:eastAsia="zh-CN"/>
        </w:rPr>
      </w:pPr>
      <w:r>
        <w:rPr>
          <w:rFonts w:hint="eastAsia" w:ascii="楷体_GB2312" w:hAnsi="宋体" w:eastAsia="楷体_GB2312" w:cs="Times New Roman"/>
          <w:b/>
          <w:color w:val="auto"/>
          <w:sz w:val="32"/>
          <w:szCs w:val="32"/>
          <w:highlight w:val="none"/>
          <w:u w:val="none"/>
          <w:lang w:val="zh-CN"/>
        </w:rPr>
        <w:t>（二）</w:t>
      </w:r>
      <w:r>
        <w:rPr>
          <w:rFonts w:hint="eastAsia" w:ascii="楷体_GB2312" w:hAnsi="宋体" w:eastAsia="楷体_GB2312" w:cs="Times New Roman"/>
          <w:b/>
          <w:color w:val="auto"/>
          <w:sz w:val="32"/>
          <w:szCs w:val="32"/>
          <w:highlight w:val="none"/>
          <w:u w:val="none"/>
          <w:lang w:val="en-US" w:eastAsia="zh-CN"/>
        </w:rPr>
        <w:t>个性指标</w:t>
      </w:r>
      <w:r>
        <w:rPr>
          <w:rFonts w:hint="default" w:ascii="楷体_GB2312" w:hAnsi="宋体" w:eastAsia="楷体_GB2312" w:cs="Times New Roman"/>
          <w:b/>
          <w:color w:val="auto"/>
          <w:sz w:val="32"/>
          <w:szCs w:val="32"/>
          <w:highlight w:val="none"/>
          <w:u w:val="none"/>
          <w:lang w:val="zh-CN" w:eastAsia="zh-CN"/>
        </w:rPr>
        <w:t>绩效分析。</w:t>
      </w:r>
    </w:p>
    <w:p>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0" w:firstLineChars="200"/>
        <w:textAlignment w:val="auto"/>
        <w:outlineLvl w:val="9"/>
        <w:rPr>
          <w:rFonts w:hint="default" w:ascii="仿宋_GB2312" w:hAnsi="仿宋_GB2312" w:eastAsia="仿宋_GB2312" w:cs="仿宋_GB2312"/>
          <w:color w:val="auto"/>
          <w:sz w:val="32"/>
          <w:szCs w:val="32"/>
          <w:lang w:val="zh-CN" w:eastAsia="zh-CN"/>
        </w:rPr>
      </w:pPr>
      <w:r>
        <w:rPr>
          <w:rFonts w:hint="default" w:ascii="仿宋_GB2312" w:hAnsi="仿宋_GB2312" w:eastAsia="仿宋_GB2312" w:cs="仿宋_GB2312"/>
          <w:sz w:val="32"/>
          <w:szCs w:val="32"/>
          <w:lang w:val="zh-CN" w:eastAsia="zh-CN"/>
        </w:rPr>
        <w:t>1.</w:t>
      </w:r>
      <w:r>
        <w:rPr>
          <w:rFonts w:hint="default" w:ascii="仿宋_GB2312" w:hAnsi="仿宋_GB2312" w:eastAsia="仿宋_GB2312" w:cs="仿宋_GB2312"/>
          <w:color w:val="auto"/>
          <w:sz w:val="32"/>
          <w:szCs w:val="32"/>
          <w:lang w:val="zh-CN" w:eastAsia="zh-CN"/>
        </w:rPr>
        <w:t>数量指标。企业职工基本养老保险参保人数1.40万人以上，工伤保险参保人数1.33万人以上。</w:t>
      </w:r>
    </w:p>
    <w:p>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0" w:firstLineChars="200"/>
        <w:textAlignment w:val="auto"/>
        <w:outlineLvl w:val="9"/>
        <w:rPr>
          <w:rFonts w:hint="default" w:ascii="仿宋_GB2312" w:hAnsi="仿宋_GB2312" w:eastAsia="仿宋_GB2312" w:cs="仿宋_GB2312"/>
          <w:color w:val="auto"/>
          <w:sz w:val="32"/>
          <w:szCs w:val="32"/>
          <w:lang w:val="zh-CN" w:eastAsia="zh-CN"/>
        </w:rPr>
      </w:pPr>
      <w:r>
        <w:rPr>
          <w:rFonts w:hint="default" w:ascii="仿宋_GB2312" w:hAnsi="仿宋_GB2312" w:eastAsia="仿宋_GB2312" w:cs="仿宋_GB2312"/>
          <w:color w:val="auto"/>
          <w:sz w:val="32"/>
          <w:szCs w:val="32"/>
          <w:lang w:val="zh-CN" w:eastAsia="zh-CN"/>
        </w:rPr>
        <w:t>2.质量指标。养老金领取资格认证率100%。</w:t>
      </w:r>
    </w:p>
    <w:p>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0" w:firstLineChars="200"/>
        <w:textAlignment w:val="auto"/>
        <w:outlineLvl w:val="9"/>
        <w:rPr>
          <w:rFonts w:hint="default" w:ascii="仿宋_GB2312" w:hAnsi="仿宋_GB2312" w:eastAsia="仿宋_GB2312" w:cs="仿宋_GB2312"/>
          <w:color w:val="auto"/>
          <w:sz w:val="32"/>
          <w:szCs w:val="32"/>
          <w:lang w:val="zh-CN" w:eastAsia="zh-CN"/>
        </w:rPr>
      </w:pPr>
      <w:r>
        <w:rPr>
          <w:rFonts w:hint="default" w:ascii="仿宋_GB2312" w:hAnsi="仿宋_GB2312" w:eastAsia="仿宋_GB2312" w:cs="仿宋_GB2312"/>
          <w:color w:val="auto"/>
          <w:sz w:val="32"/>
          <w:szCs w:val="32"/>
          <w:lang w:val="zh-CN" w:eastAsia="zh-CN"/>
        </w:rPr>
        <w:t>3.时效指标。资金在规定时间下达率100%，企业职工基本养老保险待遇按时足额发放达到100%，社保基金预决算按时完成率达到100%。</w:t>
      </w:r>
    </w:p>
    <w:p>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0" w:firstLineChars="200"/>
        <w:textAlignment w:val="auto"/>
        <w:outlineLvl w:val="9"/>
        <w:rPr>
          <w:rFonts w:hint="default" w:ascii="仿宋_GB2312" w:hAnsi="仿宋_GB2312" w:eastAsia="仿宋_GB2312" w:cs="仿宋_GB2312"/>
          <w:color w:val="auto"/>
          <w:sz w:val="32"/>
          <w:szCs w:val="32"/>
          <w:lang w:val="zh-CN" w:eastAsia="zh-CN"/>
        </w:rPr>
      </w:pPr>
      <w:r>
        <w:rPr>
          <w:rFonts w:hint="default" w:ascii="仿宋_GB2312" w:hAnsi="仿宋_GB2312" w:eastAsia="仿宋_GB2312" w:cs="仿宋_GB2312"/>
          <w:color w:val="auto"/>
          <w:sz w:val="32"/>
          <w:szCs w:val="32"/>
          <w:lang w:val="zh-CN" w:eastAsia="zh-CN"/>
        </w:rPr>
        <w:t>4.效益指标。一是不断提升社保基金管理信息水平，不断提高经办人员业务技能水平，不断提高社保基金经办管理服务水平，有效改善服务环境；二是不断加强新《四川省工伤保险条例》宣传力度，提高工伤认定质量和水平，提升案卷管理质量；三是提升社保基金预决算管理水平和汇编质量，有效维护社保基金的平稳运行，保障社保待遇的正常发放和支付，保障社保基金的安全完整，不断提高人民群众的获得感和幸福指数。通过对社保基金的监督管理、工伤认定案件办理，有效保障参保人员的合法权益，遏制违法违规行为，保障基金安全，不断提高社会治理水平和人社公共服务质量。</w:t>
      </w:r>
    </w:p>
    <w:p>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0" w:firstLineChars="200"/>
        <w:textAlignment w:val="auto"/>
        <w:outlineLvl w:val="9"/>
        <w:rPr>
          <w:rFonts w:hint="default" w:ascii="仿宋_GB2312" w:hAnsi="仿宋_GB2312" w:eastAsia="仿宋_GB2312" w:cs="仿宋_GB2312"/>
          <w:sz w:val="32"/>
          <w:szCs w:val="32"/>
          <w:lang w:val="zh-CN" w:eastAsia="zh-CN"/>
        </w:rPr>
      </w:pPr>
      <w:r>
        <w:rPr>
          <w:rFonts w:hint="default" w:ascii="仿宋_GB2312" w:hAnsi="仿宋_GB2312" w:eastAsia="仿宋_GB2312" w:cs="仿宋_GB2312"/>
          <w:color w:val="auto"/>
          <w:sz w:val="32"/>
          <w:szCs w:val="32"/>
          <w:lang w:val="zh-CN" w:eastAsia="zh-CN"/>
        </w:rPr>
        <w:t>5.社会满意度。参保人员的满意度达到90%以上。</w:t>
      </w:r>
    </w:p>
    <w:p>
      <w:pPr>
        <w:pStyle w:val="8"/>
        <w:pageBreakBefore w:val="0"/>
        <w:numPr>
          <w:ilvl w:val="0"/>
          <w:numId w:val="0"/>
        </w:numPr>
        <w:tabs>
          <w:tab w:val="left" w:pos="2160"/>
        </w:tabs>
        <w:kinsoku/>
        <w:wordWrap/>
        <w:overflowPunct/>
        <w:topLinePunct w:val="0"/>
        <w:autoSpaceDE/>
        <w:autoSpaceDN/>
        <w:bidi w:val="0"/>
        <w:adjustRightInd/>
        <w:spacing w:line="600" w:lineRule="exact"/>
        <w:ind w:firstLine="640" w:firstLineChars="200"/>
        <w:textAlignment w:val="auto"/>
        <w:rPr>
          <w:rFonts w:hint="eastAsia" w:ascii="黑体" w:hAnsi="宋体" w:eastAsia="黑体"/>
          <w:color w:val="auto"/>
          <w:sz w:val="32"/>
          <w:szCs w:val="32"/>
          <w:highlight w:val="none"/>
          <w:u w:val="none"/>
        </w:rPr>
      </w:pPr>
      <w:r>
        <w:rPr>
          <w:rFonts w:hint="eastAsia" w:ascii="黑体" w:hAnsi="宋体" w:eastAsia="黑体"/>
          <w:color w:val="auto"/>
          <w:sz w:val="32"/>
          <w:szCs w:val="32"/>
          <w:highlight w:val="none"/>
          <w:u w:val="none"/>
          <w:lang w:eastAsia="zh-CN"/>
        </w:rPr>
        <w:t>四</w:t>
      </w:r>
      <w:r>
        <w:rPr>
          <w:rFonts w:hint="eastAsia" w:ascii="黑体" w:hAnsi="宋体" w:eastAsia="黑体"/>
          <w:color w:val="auto"/>
          <w:sz w:val="32"/>
          <w:szCs w:val="32"/>
          <w:highlight w:val="none"/>
          <w:u w:val="none"/>
        </w:rPr>
        <w:t>、评价结论</w:t>
      </w:r>
    </w:p>
    <w:p>
      <w:pPr>
        <w:spacing w:line="576" w:lineRule="exact"/>
        <w:ind w:firstLine="640" w:firstLineChars="200"/>
        <w:rPr>
          <w:rFonts w:hint="eastAsia" w:ascii="仿宋" w:hAnsi="仿宋" w:eastAsia="仿宋" w:cs="仿宋_GB2312"/>
          <w:sz w:val="32"/>
          <w:szCs w:val="32"/>
          <w:lang w:eastAsia="zh-CN"/>
        </w:rPr>
      </w:pPr>
      <w:r>
        <w:rPr>
          <w:rFonts w:hint="eastAsia" w:ascii="仿宋_GB2312" w:hAnsi="仿宋_GB2312" w:eastAsia="仿宋_GB2312" w:cs="仿宋_GB2312"/>
          <w:color w:val="auto"/>
          <w:sz w:val="32"/>
          <w:szCs w:val="32"/>
          <w:lang w:val="en-US" w:eastAsia="zh-CN"/>
        </w:rPr>
        <w:t>我</w:t>
      </w:r>
      <w:r>
        <w:rPr>
          <w:rFonts w:hint="eastAsia" w:ascii="仿宋_GB2312" w:hAnsi="仿宋_GB2312" w:cs="仿宋_GB2312"/>
          <w:color w:val="auto"/>
          <w:sz w:val="32"/>
          <w:szCs w:val="32"/>
          <w:lang w:val="en-US" w:eastAsia="zh-CN"/>
        </w:rPr>
        <w:t>单位</w:t>
      </w:r>
      <w:r>
        <w:rPr>
          <w:rFonts w:hint="eastAsia" w:ascii="仿宋_GB2312" w:hAnsi="仿宋_GB2312" w:eastAsia="仿宋_GB2312" w:cs="仿宋_GB2312"/>
          <w:color w:val="auto"/>
          <w:sz w:val="32"/>
          <w:szCs w:val="32"/>
          <w:lang w:val="en-US" w:eastAsia="zh-CN"/>
        </w:rPr>
        <w:t>2023年</w:t>
      </w:r>
      <w:r>
        <w:rPr>
          <w:rFonts w:hint="eastAsia" w:ascii="仿宋_GB2312" w:hAnsi="仿宋_GB2312" w:cs="仿宋_GB2312"/>
          <w:color w:val="auto"/>
          <w:sz w:val="32"/>
          <w:szCs w:val="32"/>
          <w:lang w:val="en-US" w:eastAsia="zh-CN"/>
        </w:rPr>
        <w:t>专项</w:t>
      </w:r>
      <w:r>
        <w:rPr>
          <w:rFonts w:hint="eastAsia" w:ascii="仿宋_GB2312" w:hAnsi="仿宋_GB2312" w:eastAsia="仿宋_GB2312" w:cs="仿宋_GB2312"/>
          <w:color w:val="auto"/>
          <w:sz w:val="32"/>
          <w:szCs w:val="32"/>
          <w:lang w:val="en-US" w:eastAsia="zh-CN"/>
        </w:rPr>
        <w:t>绩效评价自查自评结果良好，自评得分9</w:t>
      </w:r>
      <w:r>
        <w:rPr>
          <w:rFonts w:hint="eastAsia" w:ascii="仿宋_GB2312" w:hAnsi="仿宋_GB2312" w:cs="仿宋_GB2312"/>
          <w:color w:val="auto"/>
          <w:sz w:val="32"/>
          <w:szCs w:val="32"/>
          <w:lang w:val="en-US" w:eastAsia="zh-CN"/>
        </w:rPr>
        <w:t>7</w:t>
      </w:r>
      <w:r>
        <w:rPr>
          <w:rFonts w:hint="eastAsia" w:ascii="仿宋_GB2312" w:hAnsi="仿宋_GB2312" w:eastAsia="仿宋_GB2312" w:cs="仿宋_GB2312"/>
          <w:color w:val="auto"/>
          <w:sz w:val="32"/>
          <w:szCs w:val="32"/>
          <w:lang w:val="en-US" w:eastAsia="zh-CN"/>
        </w:rPr>
        <w:t>分，</w:t>
      </w:r>
      <w:r>
        <w:rPr>
          <w:rFonts w:ascii="仿宋" w:hAnsi="仿宋" w:eastAsia="仿宋" w:cs="仿宋_GB2312"/>
          <w:sz w:val="32"/>
          <w:szCs w:val="32"/>
        </w:rPr>
        <w:t>在财政资金使用和管理过程中严格贯彻落实专项资金专款专用的使用要求，</w:t>
      </w:r>
      <w:r>
        <w:rPr>
          <w:rFonts w:hint="eastAsia" w:ascii="仿宋" w:hAnsi="仿宋" w:eastAsia="仿宋"/>
          <w:color w:val="333333"/>
          <w:sz w:val="32"/>
          <w:szCs w:val="32"/>
          <w:shd w:val="clear" w:color="auto" w:fill="FFFFFF"/>
        </w:rPr>
        <w:t>资金</w:t>
      </w:r>
      <w:r>
        <w:rPr>
          <w:rFonts w:hint="eastAsia" w:ascii="仿宋" w:hAnsi="仿宋" w:eastAsia="仿宋"/>
          <w:color w:val="000000"/>
          <w:sz w:val="32"/>
          <w:szCs w:val="32"/>
          <w:shd w:val="clear" w:color="auto" w:fill="FFFFFF"/>
        </w:rPr>
        <w:t>收入、支出管理均严格按照相关要求进行，</w:t>
      </w:r>
      <w:r>
        <w:rPr>
          <w:rFonts w:ascii="仿宋" w:hAnsi="仿宋" w:eastAsia="仿宋" w:cs="仿宋_GB2312"/>
          <w:sz w:val="32"/>
          <w:szCs w:val="32"/>
        </w:rPr>
        <w:t>不存在截留、挤占、挪用及扩大标准及范围发放养老金的情况。</w:t>
      </w:r>
      <w:r>
        <w:rPr>
          <w:rFonts w:hint="eastAsia" w:ascii="仿宋" w:hAnsi="仿宋" w:eastAsia="仿宋" w:cs="仿宋_GB2312"/>
          <w:sz w:val="32"/>
          <w:szCs w:val="32"/>
        </w:rPr>
        <w:t>该项目的及时、完整实施，达到了对应的绩效目标，使</w:t>
      </w:r>
      <w:r>
        <w:rPr>
          <w:rFonts w:hint="eastAsia" w:ascii="仿宋" w:hAnsi="仿宋" w:eastAsia="仿宋" w:cs="仿宋_GB2312"/>
          <w:sz w:val="32"/>
          <w:szCs w:val="32"/>
          <w:lang w:val="en-US" w:eastAsia="zh-CN"/>
        </w:rPr>
        <w:t>社</w:t>
      </w:r>
      <w:r>
        <w:rPr>
          <w:rFonts w:hint="eastAsia" w:ascii="仿宋" w:hAnsi="仿宋" w:eastAsia="仿宋" w:cs="仿宋_GB2312"/>
          <w:sz w:val="32"/>
          <w:szCs w:val="32"/>
        </w:rPr>
        <w:t>保体系更加健全，基金安全平稳运行，经办服务高效快捷，提高了人民群众对</w:t>
      </w:r>
      <w:r>
        <w:rPr>
          <w:rFonts w:hint="eastAsia" w:ascii="仿宋" w:hAnsi="仿宋" w:eastAsia="仿宋" w:cs="仿宋_GB2312"/>
          <w:sz w:val="32"/>
          <w:szCs w:val="32"/>
          <w:lang w:val="en-US" w:eastAsia="zh-CN"/>
        </w:rPr>
        <w:t>社保</w:t>
      </w:r>
      <w:r>
        <w:rPr>
          <w:rFonts w:hint="eastAsia" w:ascii="仿宋" w:hAnsi="仿宋" w:eastAsia="仿宋" w:cs="仿宋_GB2312"/>
          <w:sz w:val="32"/>
          <w:szCs w:val="32"/>
        </w:rPr>
        <w:t>工作的满意度</w:t>
      </w:r>
      <w:r>
        <w:rPr>
          <w:rFonts w:hint="eastAsia" w:ascii="仿宋" w:hAnsi="仿宋" w:eastAsia="仿宋" w:cs="仿宋_GB2312"/>
          <w:sz w:val="32"/>
          <w:szCs w:val="32"/>
          <w:lang w:eastAsia="zh-CN"/>
        </w:rPr>
        <w:t>。</w:t>
      </w:r>
    </w:p>
    <w:p>
      <w:pPr>
        <w:pStyle w:val="8"/>
        <w:pageBreakBefore w:val="0"/>
        <w:numPr>
          <w:ilvl w:val="0"/>
          <w:numId w:val="0"/>
        </w:numPr>
        <w:tabs>
          <w:tab w:val="left" w:pos="2160"/>
        </w:tabs>
        <w:kinsoku/>
        <w:wordWrap/>
        <w:overflowPunct/>
        <w:topLinePunct w:val="0"/>
        <w:autoSpaceDE/>
        <w:autoSpaceDN/>
        <w:bidi w:val="0"/>
        <w:adjustRightInd/>
        <w:spacing w:line="600" w:lineRule="exact"/>
        <w:ind w:firstLine="640" w:firstLineChars="200"/>
        <w:textAlignment w:val="auto"/>
        <w:rPr>
          <w:rFonts w:hint="eastAsia" w:ascii="黑体" w:hAnsi="宋体" w:eastAsia="黑体" w:cs="Times New Roman"/>
          <w:color w:val="auto"/>
          <w:sz w:val="32"/>
          <w:szCs w:val="32"/>
          <w:highlight w:val="none"/>
          <w:u w:val="none"/>
          <w:lang w:eastAsia="zh-CN"/>
        </w:rPr>
      </w:pPr>
      <w:r>
        <w:rPr>
          <w:rFonts w:hint="eastAsia" w:ascii="黑体" w:hAnsi="宋体" w:eastAsia="黑体" w:cs="Times New Roman"/>
          <w:color w:val="auto"/>
          <w:kern w:val="0"/>
          <w:position w:val="3"/>
          <w:sz w:val="32"/>
          <w:szCs w:val="32"/>
          <w:highlight w:val="none"/>
          <w:u w:val="none"/>
          <w:lang w:val="zh-CN" w:eastAsia="zh-CN" w:bidi="ar-SA"/>
        </w:rPr>
        <w:t>五、</w:t>
      </w:r>
      <w:r>
        <w:rPr>
          <w:rFonts w:hint="eastAsia" w:ascii="黑体" w:hAnsi="宋体" w:eastAsia="黑体" w:cs="Times New Roman"/>
          <w:color w:val="auto"/>
          <w:sz w:val="32"/>
          <w:szCs w:val="32"/>
          <w:highlight w:val="none"/>
          <w:u w:val="none"/>
          <w:lang w:eastAsia="zh-CN"/>
        </w:rPr>
        <w:t>存在主要问题</w:t>
      </w:r>
    </w:p>
    <w:p>
      <w:pPr>
        <w:pStyle w:val="8"/>
        <w:pageBreakBefore w:val="0"/>
        <w:numPr>
          <w:ilvl w:val="0"/>
          <w:numId w:val="0"/>
        </w:numPr>
        <w:tabs>
          <w:tab w:val="left" w:pos="2160"/>
        </w:tabs>
        <w:kinsoku/>
        <w:wordWrap/>
        <w:overflowPunct/>
        <w:topLinePunct w:val="0"/>
        <w:autoSpaceDE/>
        <w:autoSpaceDN/>
        <w:bidi w:val="0"/>
        <w:adjustRightInd/>
        <w:spacing w:line="600" w:lineRule="exact"/>
        <w:ind w:firstLine="640" w:firstLineChars="200"/>
        <w:textAlignment w:val="auto"/>
        <w:rPr>
          <w:rFonts w:hint="eastAsia" w:ascii="仿宋" w:hAnsi="仿宋" w:eastAsia="仿宋" w:cs="仿宋_GB2312"/>
          <w:kern w:val="2"/>
          <w:position w:val="0"/>
          <w:sz w:val="32"/>
          <w:szCs w:val="32"/>
          <w:lang w:val="en-US" w:eastAsia="zh-CN" w:bidi="ar-SA"/>
        </w:rPr>
      </w:pPr>
      <w:r>
        <w:rPr>
          <w:rFonts w:hint="eastAsia" w:ascii="仿宋" w:hAnsi="仿宋" w:eastAsia="仿宋" w:cs="仿宋_GB2312"/>
          <w:kern w:val="2"/>
          <w:position w:val="0"/>
          <w:sz w:val="32"/>
          <w:szCs w:val="32"/>
          <w:lang w:val="en-US" w:eastAsia="zh-CN" w:bidi="ar-SA"/>
        </w:rPr>
        <w:t>无</w:t>
      </w:r>
    </w:p>
    <w:p>
      <w:pPr>
        <w:pStyle w:val="8"/>
        <w:pageBreakBefore w:val="0"/>
        <w:numPr>
          <w:ilvl w:val="0"/>
          <w:numId w:val="0"/>
        </w:numPr>
        <w:tabs>
          <w:tab w:val="left" w:pos="2160"/>
        </w:tabs>
        <w:kinsoku/>
        <w:wordWrap/>
        <w:overflowPunct/>
        <w:topLinePunct w:val="0"/>
        <w:autoSpaceDE/>
        <w:autoSpaceDN/>
        <w:bidi w:val="0"/>
        <w:adjustRightInd/>
        <w:spacing w:line="600" w:lineRule="exact"/>
        <w:ind w:firstLine="640" w:firstLineChars="200"/>
        <w:textAlignment w:val="auto"/>
        <w:rPr>
          <w:rFonts w:hint="eastAsia" w:ascii="黑体" w:hAnsi="宋体" w:eastAsia="黑体" w:cs="Times New Roman"/>
          <w:color w:val="auto"/>
          <w:kern w:val="0"/>
          <w:position w:val="3"/>
          <w:sz w:val="32"/>
          <w:szCs w:val="32"/>
          <w:highlight w:val="none"/>
          <w:u w:val="none"/>
          <w:lang w:val="zh-CN" w:eastAsia="zh-CN" w:bidi="ar-SA"/>
        </w:rPr>
      </w:pPr>
      <w:r>
        <w:rPr>
          <w:rFonts w:hint="eastAsia" w:ascii="黑体" w:hAnsi="宋体" w:eastAsia="黑体" w:cs="Times New Roman"/>
          <w:color w:val="auto"/>
          <w:kern w:val="0"/>
          <w:position w:val="3"/>
          <w:sz w:val="32"/>
          <w:szCs w:val="32"/>
          <w:highlight w:val="none"/>
          <w:u w:val="none"/>
          <w:lang w:val="zh-CN" w:eastAsia="zh-CN" w:bidi="ar-SA"/>
        </w:rPr>
        <w:t>六、改进建议</w:t>
      </w:r>
    </w:p>
    <w:p>
      <w:pPr>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单位在以后的工作中还需按照相关文件、制度的规范和要求不断完善加强制度建设。建立健全单位经办机构内部控制制度；建立和完善严格的授权审批制度，明确审批人对基金和业务的授权批准方式、权限、程序、责任和相关控制措施；做好资金的绩效管理结算工作。</w:t>
      </w:r>
    </w:p>
    <w:p>
      <w:pPr>
        <w:pStyle w:val="35"/>
        <w:spacing w:line="550" w:lineRule="exact"/>
        <w:rPr>
          <w:rFonts w:hint="eastAsia" w:ascii="仿宋_GB2312" w:hAnsi="黑体" w:eastAsia="仿宋_GB2312" w:cs="宋体"/>
          <w:color w:val="000000"/>
          <w:kern w:val="0"/>
          <w:sz w:val="32"/>
          <w:szCs w:val="32"/>
          <w:shd w:val="clear" w:color="auto" w:fill="FFFFFF"/>
        </w:rPr>
      </w:pPr>
    </w:p>
    <w:p>
      <w:pPr>
        <w:spacing w:line="600" w:lineRule="exact"/>
        <w:jc w:val="center"/>
        <w:outlineLvl w:val="0"/>
        <w:rPr>
          <w:rFonts w:ascii="方正小标宋简体" w:hAnsi="方正小标宋简体" w:eastAsia="方正小标宋简体" w:cs="方正小标宋简体"/>
          <w:color w:val="auto"/>
          <w:kern w:val="2"/>
          <w:sz w:val="44"/>
          <w:szCs w:val="44"/>
          <w:lang w:val="en-US"/>
        </w:rPr>
      </w:pPr>
      <w:r>
        <w:rPr>
          <w:rFonts w:hint="eastAsia" w:ascii="方正小标宋简体" w:hAnsi="黑体" w:eastAsia="方正小标宋简体" w:cs="黑体"/>
          <w:sz w:val="44"/>
          <w:szCs w:val="44"/>
          <w:lang w:val="en-US" w:eastAsia="zh-CN"/>
        </w:rPr>
        <w:t>茂县人力资源和社会保障局</w:t>
      </w:r>
    </w:p>
    <w:p>
      <w:pPr>
        <w:pStyle w:val="41"/>
        <w:spacing w:line="578" w:lineRule="exact"/>
        <w:jc w:val="center"/>
        <w:rPr>
          <w:rFonts w:ascii="方正小标宋简体" w:hAnsi="方正小标宋简体" w:eastAsia="方正小标宋简体" w:cs="方正小标宋简体"/>
          <w:color w:val="auto"/>
          <w:kern w:val="2"/>
          <w:sz w:val="44"/>
          <w:szCs w:val="44"/>
          <w:lang w:val="en-US"/>
        </w:rPr>
      </w:pPr>
      <w:r>
        <w:rPr>
          <w:rFonts w:hint="eastAsia" w:ascii="方正小标宋简体" w:hAnsi="方正小标宋简体" w:eastAsia="方正小标宋简体" w:cs="方正小标宋简体"/>
          <w:color w:val="auto"/>
          <w:kern w:val="2"/>
          <w:sz w:val="44"/>
          <w:szCs w:val="44"/>
          <w:lang w:val="en-US" w:eastAsia="zh-CN"/>
        </w:rPr>
        <w:t xml:space="preserve"> 东西部协作联络站建设</w:t>
      </w:r>
      <w:r>
        <w:rPr>
          <w:rFonts w:hint="eastAsia" w:ascii="方正小标宋简体" w:hAnsi="方正小标宋简体" w:eastAsia="方正小标宋简体" w:cs="方正小标宋简体"/>
          <w:color w:val="auto"/>
          <w:kern w:val="2"/>
          <w:sz w:val="44"/>
          <w:szCs w:val="44"/>
          <w:lang w:val="en-US"/>
        </w:rPr>
        <w:t>专项预算项目绩效评价报告</w:t>
      </w:r>
    </w:p>
    <w:p>
      <w:pPr>
        <w:pStyle w:val="41"/>
        <w:spacing w:line="578" w:lineRule="exact"/>
        <w:ind w:firstLine="640"/>
        <w:jc w:val="center"/>
        <w:rPr>
          <w:rFonts w:ascii="宋体" w:hAnsi="宋体"/>
          <w:color w:val="auto"/>
          <w:kern w:val="2"/>
          <w:sz w:val="32"/>
          <w:szCs w:val="32"/>
        </w:rPr>
      </w:pPr>
    </w:p>
    <w:p>
      <w:pPr>
        <w:adjustRightInd w:val="0"/>
        <w:snapToGrid w:val="0"/>
        <w:spacing w:line="578" w:lineRule="exact"/>
        <w:ind w:firstLine="640" w:firstLineChars="200"/>
        <w:rPr>
          <w:rFonts w:hint="eastAsia" w:ascii="黑体" w:hAnsi="宋体" w:eastAsia="黑体" w:cs="Times New Roman"/>
          <w:color w:val="auto"/>
          <w:kern w:val="0"/>
          <w:position w:val="3"/>
          <w:sz w:val="32"/>
          <w:szCs w:val="32"/>
          <w:highlight w:val="none"/>
          <w:u w:val="none"/>
          <w:lang w:val="zh-CN" w:eastAsia="zh-CN" w:bidi="ar-SA"/>
        </w:rPr>
      </w:pPr>
      <w:r>
        <w:rPr>
          <w:rFonts w:hint="eastAsia" w:ascii="黑体" w:hAnsi="宋体" w:eastAsia="黑体" w:cs="Times New Roman"/>
          <w:color w:val="auto"/>
          <w:kern w:val="0"/>
          <w:position w:val="3"/>
          <w:sz w:val="32"/>
          <w:szCs w:val="32"/>
          <w:highlight w:val="none"/>
          <w:u w:val="none"/>
          <w:lang w:val="zh-CN" w:eastAsia="zh-CN" w:bidi="ar-SA"/>
        </w:rPr>
        <w:t>一、项目概况</w:t>
      </w:r>
    </w:p>
    <w:p>
      <w:pPr>
        <w:adjustRightInd w:val="0"/>
        <w:snapToGrid w:val="0"/>
        <w:spacing w:line="576" w:lineRule="exact"/>
        <w:ind w:firstLine="720"/>
        <w:rPr>
          <w:rFonts w:hint="eastAsia" w:ascii="仿宋_GB2312" w:hAnsi="仿宋_GB2312" w:eastAsia="仿宋_GB2312" w:cs="仿宋_GB2312"/>
          <w:sz w:val="32"/>
          <w:szCs w:val="32"/>
        </w:rPr>
      </w:pPr>
      <w:r>
        <w:rPr>
          <w:rFonts w:hint="eastAsia" w:ascii="楷体_GB2312" w:hAnsi="宋体" w:eastAsia="楷体_GB2312" w:cs="Times New Roman"/>
          <w:b/>
          <w:color w:val="auto"/>
          <w:sz w:val="32"/>
          <w:szCs w:val="32"/>
          <w:highlight w:val="none"/>
          <w:u w:val="none"/>
          <w:lang w:val="zh-CN" w:eastAsia="zh-CN"/>
        </w:rPr>
        <w:t>（一）设立背景及基本情况。</w:t>
      </w:r>
      <w:r>
        <w:rPr>
          <w:rFonts w:hint="eastAsia" w:ascii="仿宋_GB2312" w:hAnsi="仿宋_GB2312" w:eastAsia="仿宋_GB2312" w:cs="仿宋_GB2312"/>
          <w:sz w:val="32"/>
          <w:szCs w:val="32"/>
        </w:rPr>
        <w:t>该项目为阿坝州2021年对口支援项目。为了解决当地就业，加强本地闲散劳动力的输出，促进当地增收致富，逐步形成人才配置市场化、人事代理社会化、信息服务网格化、人才开发专业化和区域性人才市场服务体系，促进茂县发展。新建一个集标准化流动人员档案管理室，以及职业介绍，东西部劳务协作联络站为一体的功能齐全的茂县人力资源市场（档案中心、人才交流市场、办公区、孵化园、新建雨棚）。</w:t>
      </w:r>
    </w:p>
    <w:p>
      <w:pPr>
        <w:adjustRightInd w:val="0"/>
        <w:snapToGrid w:val="0"/>
        <w:spacing w:line="576" w:lineRule="exact"/>
        <w:ind w:firstLine="720"/>
        <w:rPr>
          <w:rFonts w:ascii="仿宋_GB2312" w:hAnsi="仿宋_GB2312" w:eastAsia="仿宋_GB2312" w:cs="仿宋_GB2312"/>
          <w:sz w:val="32"/>
          <w:szCs w:val="32"/>
        </w:rPr>
      </w:pPr>
      <w:r>
        <w:rPr>
          <w:rFonts w:hint="eastAsia" w:ascii="楷体_GB2312" w:hAnsi="宋体" w:eastAsia="楷体_GB2312" w:cs="Times New Roman"/>
          <w:b/>
          <w:color w:val="auto"/>
          <w:sz w:val="32"/>
          <w:szCs w:val="32"/>
          <w:highlight w:val="none"/>
          <w:u w:val="none"/>
          <w:lang w:val="zh-CN" w:eastAsia="zh-CN"/>
        </w:rPr>
        <w:t>（二）实施目的及支持方向。</w:t>
      </w:r>
      <w:r>
        <w:rPr>
          <w:rFonts w:hint="eastAsia" w:ascii="仿宋_GB2312" w:hAnsi="仿宋_GB2312" w:eastAsia="仿宋_GB2312" w:cs="仿宋_GB2312"/>
          <w:sz w:val="32"/>
          <w:szCs w:val="32"/>
        </w:rPr>
        <w:t>有利于当地人才引进及外来人口的管理;是推进东西部劳务协作，解决当地就业，促进当地发展。</w:t>
      </w:r>
    </w:p>
    <w:p>
      <w:pPr>
        <w:adjustRightInd w:val="0"/>
        <w:snapToGrid w:val="0"/>
        <w:spacing w:line="576" w:lineRule="exact"/>
        <w:ind w:firstLine="720"/>
        <w:rPr>
          <w:rFonts w:ascii="仿宋_GB2312" w:hAnsi="宋体" w:eastAsia="仿宋_GB2312"/>
          <w:sz w:val="32"/>
          <w:szCs w:val="32"/>
        </w:rPr>
      </w:pPr>
      <w:r>
        <w:rPr>
          <w:rFonts w:hint="eastAsia" w:ascii="楷体_GB2312" w:hAnsi="宋体" w:eastAsia="楷体_GB2312" w:cs="Times New Roman"/>
          <w:b/>
          <w:color w:val="auto"/>
          <w:sz w:val="32"/>
          <w:szCs w:val="32"/>
          <w:highlight w:val="none"/>
          <w:u w:val="none"/>
          <w:lang w:val="zh-CN" w:eastAsia="zh-CN"/>
        </w:rPr>
        <w:t>（三）预算安排及分配管理。</w:t>
      </w:r>
      <w:r>
        <w:rPr>
          <w:rFonts w:hint="eastAsia" w:ascii="仿宋_GB2312" w:hAnsi="仿宋_GB2312" w:eastAsia="仿宋_GB2312" w:cs="仿宋_GB2312"/>
          <w:sz w:val="32"/>
          <w:szCs w:val="32"/>
        </w:rPr>
        <w:t>单位在资金的核算中严格按规定的会计科目进行核算。实行对项目资金事前预算审核、事中执行审批、事后效果评价，显著提升了资金的使用效益，保障了社会保障业务工作的有效开展。</w:t>
      </w:r>
    </w:p>
    <w:p>
      <w:pPr>
        <w:adjustRightInd w:val="0"/>
        <w:snapToGrid w:val="0"/>
        <w:spacing w:line="576" w:lineRule="exact"/>
        <w:ind w:firstLine="720"/>
        <w:rPr>
          <w:rFonts w:ascii="仿宋_GB2312" w:hAnsi="仿宋_GB2312" w:eastAsia="仿宋_GB2312" w:cs="仿宋_GB2312"/>
          <w:sz w:val="32"/>
          <w:szCs w:val="32"/>
        </w:rPr>
      </w:pPr>
      <w:r>
        <w:rPr>
          <w:rFonts w:hint="eastAsia" w:ascii="楷体_GB2312" w:hAnsi="宋体" w:eastAsia="楷体_GB2312" w:cs="Times New Roman"/>
          <w:b/>
          <w:color w:val="auto"/>
          <w:sz w:val="32"/>
          <w:szCs w:val="32"/>
          <w:highlight w:val="none"/>
          <w:u w:val="none"/>
          <w:lang w:val="zh-CN" w:eastAsia="zh-CN"/>
        </w:rPr>
        <w:t>（四）项目绩效目标设置。</w:t>
      </w:r>
      <w:r>
        <w:rPr>
          <w:rFonts w:hint="eastAsia" w:ascii="仿宋_GB2312" w:hAnsi="仿宋_GB2312" w:eastAsia="仿宋_GB2312" w:cs="仿宋_GB2312"/>
          <w:sz w:val="32"/>
          <w:szCs w:val="32"/>
        </w:rPr>
        <w:t>本项目建设，可以有效缓解用工难的矛盾，对企业健康发展提供保障，同时也为人才引进，促进当地人民就业提供便利，有利于和谐社会建设。</w:t>
      </w:r>
    </w:p>
    <w:p>
      <w:pPr>
        <w:adjustRightInd w:val="0"/>
        <w:snapToGrid w:val="0"/>
        <w:spacing w:line="578" w:lineRule="exact"/>
        <w:ind w:firstLine="640" w:firstLineChars="200"/>
        <w:rPr>
          <w:rFonts w:hint="eastAsia" w:ascii="黑体" w:hAnsi="宋体" w:eastAsia="黑体" w:cs="Times New Roman"/>
          <w:color w:val="auto"/>
          <w:kern w:val="0"/>
          <w:position w:val="3"/>
          <w:sz w:val="32"/>
          <w:szCs w:val="32"/>
          <w:highlight w:val="none"/>
          <w:u w:val="none"/>
          <w:lang w:val="zh-CN" w:eastAsia="zh-CN" w:bidi="ar-SA"/>
        </w:rPr>
      </w:pPr>
      <w:r>
        <w:rPr>
          <w:rFonts w:hint="eastAsia" w:ascii="黑体" w:hAnsi="宋体" w:eastAsia="黑体" w:cs="Times New Roman"/>
          <w:color w:val="auto"/>
          <w:kern w:val="0"/>
          <w:position w:val="3"/>
          <w:sz w:val="32"/>
          <w:szCs w:val="32"/>
          <w:highlight w:val="none"/>
          <w:u w:val="none"/>
          <w:lang w:val="zh-CN" w:eastAsia="zh-CN" w:bidi="ar-SA"/>
        </w:rPr>
        <w:t>二、评价实施</w:t>
      </w:r>
    </w:p>
    <w:p>
      <w:pPr>
        <w:adjustRightInd w:val="0"/>
        <w:snapToGrid w:val="0"/>
        <w:spacing w:line="578" w:lineRule="exact"/>
        <w:ind w:firstLine="643" w:firstLineChars="200"/>
        <w:rPr>
          <w:rFonts w:hint="eastAsia" w:ascii="仿宋_GB2312" w:hAnsi="仿宋_GB2312" w:eastAsia="仿宋_GB2312" w:cs="仿宋_GB2312"/>
          <w:sz w:val="32"/>
          <w:szCs w:val="32"/>
          <w:lang w:eastAsia="zh-CN"/>
        </w:rPr>
      </w:pPr>
      <w:r>
        <w:rPr>
          <w:rFonts w:hint="eastAsia" w:ascii="楷体_GB2312" w:hAnsi="宋体" w:eastAsia="楷体_GB2312" w:cs="Times New Roman"/>
          <w:b/>
          <w:color w:val="auto"/>
          <w:sz w:val="32"/>
          <w:szCs w:val="32"/>
          <w:highlight w:val="none"/>
          <w:u w:val="none"/>
          <w:lang w:val="zh-CN" w:eastAsia="zh-CN"/>
        </w:rPr>
        <w:t>（一）评价目的。</w:t>
      </w:r>
      <w:r>
        <w:rPr>
          <w:rFonts w:hint="eastAsia" w:ascii="仿宋_GB2312" w:hAnsi="仿宋_GB2312" w:eastAsia="仿宋_GB2312" w:cs="仿宋_GB2312"/>
          <w:sz w:val="32"/>
          <w:szCs w:val="32"/>
        </w:rPr>
        <w:t>解决当地就业，加强本地闲散劳动力的输出，促进当地增收致富</w:t>
      </w:r>
      <w:r>
        <w:rPr>
          <w:rFonts w:hint="eastAsia" w:ascii="仿宋_GB2312" w:hAnsi="仿宋_GB2312" w:cs="仿宋_GB2312"/>
          <w:sz w:val="32"/>
          <w:szCs w:val="32"/>
          <w:lang w:eastAsia="zh-CN"/>
        </w:rPr>
        <w:t>。</w:t>
      </w:r>
    </w:p>
    <w:p>
      <w:pPr>
        <w:adjustRightInd w:val="0"/>
        <w:snapToGrid w:val="0"/>
        <w:spacing w:line="578" w:lineRule="exact"/>
        <w:ind w:firstLine="643" w:firstLineChars="200"/>
        <w:rPr>
          <w:rFonts w:hint="default" w:eastAsia="仿宋_GB2312"/>
          <w:lang w:val="en-US" w:eastAsia="zh-CN"/>
        </w:rPr>
      </w:pPr>
      <w:r>
        <w:rPr>
          <w:rFonts w:hint="eastAsia" w:ascii="楷体_GB2312" w:hAnsi="宋体" w:eastAsia="楷体_GB2312" w:cs="Times New Roman"/>
          <w:b/>
          <w:color w:val="auto"/>
          <w:sz w:val="32"/>
          <w:szCs w:val="32"/>
          <w:highlight w:val="none"/>
          <w:u w:val="none"/>
          <w:lang w:val="zh-CN" w:eastAsia="zh-CN"/>
        </w:rPr>
        <w:t>（二）预设问题及评价重点。</w:t>
      </w:r>
      <w:r>
        <w:rPr>
          <w:rFonts w:hint="eastAsia" w:ascii="仿宋_GB2312" w:hAnsi="宋体" w:eastAsia="仿宋_GB2312"/>
          <w:sz w:val="32"/>
          <w:szCs w:val="32"/>
          <w:lang w:val="zh-CN"/>
        </w:rPr>
        <w:t>本项目的建设资金采用东西部援建资金，202</w:t>
      </w:r>
      <w:r>
        <w:rPr>
          <w:rFonts w:hint="eastAsia" w:ascii="仿宋_GB2312" w:hAnsi="宋体"/>
          <w:sz w:val="32"/>
          <w:szCs w:val="32"/>
          <w:lang w:val="en-US" w:eastAsia="zh-CN"/>
        </w:rPr>
        <w:t>3</w:t>
      </w:r>
      <w:r>
        <w:rPr>
          <w:rFonts w:hint="eastAsia" w:ascii="仿宋_GB2312" w:hAnsi="宋体" w:eastAsia="仿宋_GB2312"/>
          <w:sz w:val="32"/>
          <w:szCs w:val="32"/>
          <w:lang w:val="zh-CN"/>
        </w:rPr>
        <w:t>年该项目总投资</w:t>
      </w:r>
      <w:r>
        <w:rPr>
          <w:rFonts w:hint="eastAsia" w:ascii="仿宋_GB2312" w:hAnsi="宋体"/>
          <w:sz w:val="32"/>
          <w:szCs w:val="32"/>
          <w:lang w:val="en-US" w:eastAsia="zh-CN"/>
        </w:rPr>
        <w:t>33万元。</w:t>
      </w:r>
    </w:p>
    <w:p>
      <w:pPr>
        <w:adjustRightInd w:val="0"/>
        <w:snapToGrid w:val="0"/>
        <w:spacing w:line="580" w:lineRule="exact"/>
        <w:ind w:firstLine="803" w:firstLineChars="250"/>
        <w:rPr>
          <w:rFonts w:hint="eastAsia" w:ascii="仿宋_GB2312" w:hAnsi="仿宋_GB2312" w:eastAsia="仿宋_GB2312" w:cs="仿宋_GB2312"/>
          <w:color w:val="auto"/>
          <w:sz w:val="32"/>
          <w:szCs w:val="32"/>
          <w:lang w:val="zh-CN" w:eastAsia="zh-CN"/>
        </w:rPr>
      </w:pPr>
      <w:r>
        <w:rPr>
          <w:rFonts w:hint="eastAsia" w:ascii="楷体_GB2312" w:hAnsi="宋体" w:eastAsia="楷体_GB2312" w:cs="Times New Roman"/>
          <w:b/>
          <w:color w:val="auto"/>
          <w:sz w:val="32"/>
          <w:szCs w:val="32"/>
          <w:highlight w:val="none"/>
          <w:u w:val="none"/>
          <w:lang w:val="zh-CN" w:eastAsia="zh-CN"/>
        </w:rPr>
        <w:t>（三）评价选点。</w:t>
      </w:r>
      <w:r>
        <w:rPr>
          <w:rFonts w:hint="eastAsia" w:ascii="仿宋_GB2312" w:hAnsi="仿宋_GB2312" w:eastAsia="仿宋_GB2312" w:cs="仿宋_GB2312"/>
          <w:color w:val="auto"/>
          <w:sz w:val="32"/>
          <w:szCs w:val="32"/>
          <w:lang w:val="zh-CN" w:eastAsia="zh-CN"/>
        </w:rPr>
        <w:t>单</w:t>
      </w:r>
      <w:r>
        <w:rPr>
          <w:rFonts w:hint="eastAsia" w:ascii="仿宋_GB2312" w:hAnsi="仿宋_GB2312" w:eastAsia="仿宋_GB2312" w:cs="仿宋_GB2312"/>
          <w:color w:val="auto"/>
          <w:sz w:val="32"/>
          <w:szCs w:val="32"/>
          <w:lang w:val="en-US" w:eastAsia="zh-CN"/>
        </w:rPr>
        <w:t>位在财政项目资金财务管理过程中严格按照“收支两条线”、</w:t>
      </w:r>
      <w:r>
        <w:rPr>
          <w:rFonts w:hint="eastAsia" w:ascii="仿宋_GB2312" w:hAnsi="仿宋_GB2312" w:eastAsia="仿宋_GB2312" w:cs="仿宋_GB2312"/>
          <w:color w:val="auto"/>
          <w:sz w:val="32"/>
          <w:szCs w:val="32"/>
          <w:lang w:val="zh-CN" w:eastAsia="zh-CN"/>
        </w:rPr>
        <w:t>会计核算规范，专款专用</w:t>
      </w:r>
      <w:r>
        <w:rPr>
          <w:rFonts w:hint="eastAsia" w:ascii="仿宋_GB2312" w:hAnsi="仿宋_GB2312" w:eastAsia="仿宋_GB2312" w:cs="仿宋_GB2312"/>
          <w:color w:val="auto"/>
          <w:sz w:val="32"/>
          <w:szCs w:val="32"/>
          <w:lang w:val="en-US" w:eastAsia="zh-CN"/>
        </w:rPr>
        <w:t>管理的要求；严格按照《社保基金财务制度》要求的会计科目进行核算。</w:t>
      </w:r>
    </w:p>
    <w:p>
      <w:pPr>
        <w:spacing w:line="560" w:lineRule="exact"/>
        <w:ind w:firstLine="643" w:firstLineChars="200"/>
        <w:rPr>
          <w:rFonts w:hint="eastAsia" w:ascii="仿宋_GB2312" w:hAnsi="仿宋_GB2312" w:eastAsia="仿宋_GB2312" w:cs="仿宋_GB2312"/>
          <w:color w:val="auto"/>
          <w:sz w:val="32"/>
          <w:szCs w:val="32"/>
          <w:lang w:val="en-US" w:eastAsia="zh-CN"/>
        </w:rPr>
      </w:pPr>
      <w:r>
        <w:rPr>
          <w:rFonts w:hint="eastAsia" w:ascii="楷体_GB2312" w:hAnsi="宋体" w:eastAsia="楷体_GB2312" w:cs="Times New Roman"/>
          <w:b/>
          <w:color w:val="auto"/>
          <w:sz w:val="32"/>
          <w:szCs w:val="32"/>
          <w:highlight w:val="none"/>
          <w:u w:val="none"/>
          <w:lang w:val="zh-CN" w:eastAsia="zh-CN"/>
        </w:rPr>
        <w:t>（四）评价方法。</w:t>
      </w:r>
      <w:r>
        <w:rPr>
          <w:rFonts w:hint="eastAsia" w:ascii="仿宋_GB2312" w:hAnsi="仿宋_GB2312" w:eastAsia="仿宋_GB2312" w:cs="仿宋_GB2312"/>
          <w:color w:val="auto"/>
          <w:sz w:val="32"/>
          <w:szCs w:val="32"/>
          <w:lang w:val="en-US" w:eastAsia="zh-CN"/>
        </w:rPr>
        <w:t>本项目通过单位自评法了解项目情况，收集相关资料，综合分析相关情况后，对项目的立项必要性、投入经济性、目标合理性、方案可行性以及筹资合规性实施评估。</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仿宋_GB2312" w:eastAsia="仿宋_GB2312" w:cs="仿宋_GB2312"/>
          <w:color w:val="auto"/>
          <w:sz w:val="32"/>
          <w:szCs w:val="32"/>
          <w:lang w:val="en-US" w:eastAsia="zh-CN"/>
        </w:rPr>
      </w:pPr>
      <w:r>
        <w:rPr>
          <w:rFonts w:hint="eastAsia" w:ascii="楷体_GB2312" w:hAnsi="宋体" w:eastAsia="楷体_GB2312" w:cs="Times New Roman"/>
          <w:b/>
          <w:color w:val="auto"/>
          <w:sz w:val="32"/>
          <w:szCs w:val="32"/>
          <w:highlight w:val="none"/>
          <w:u w:val="none"/>
          <w:lang w:val="zh-CN" w:eastAsia="zh-CN"/>
        </w:rPr>
        <w:t>（五）评价组织。</w:t>
      </w:r>
      <w:r>
        <w:rPr>
          <w:rFonts w:hint="eastAsia" w:ascii="仿宋_GB2312" w:hAnsi="仿宋_GB2312" w:eastAsia="仿宋_GB2312" w:cs="仿宋_GB2312"/>
          <w:color w:val="auto"/>
          <w:sz w:val="32"/>
          <w:szCs w:val="32"/>
          <w:lang w:val="en-US" w:eastAsia="zh-CN"/>
        </w:rPr>
        <w:t>我局高度重视落实开展项目绩效评价工作，成立了以局长为组长，分管财务副局长为副组长，各股室股长为成员的工作领导小组，负责组织开展本单位绩效评价工作。</w:t>
      </w:r>
    </w:p>
    <w:p>
      <w:pPr>
        <w:adjustRightInd w:val="0"/>
        <w:snapToGrid w:val="0"/>
        <w:spacing w:line="578" w:lineRule="exact"/>
        <w:ind w:firstLine="640" w:firstLineChars="200"/>
        <w:rPr>
          <w:rFonts w:hint="eastAsia" w:ascii="黑体" w:hAnsi="宋体" w:eastAsia="黑体" w:cs="Times New Roman"/>
          <w:color w:val="auto"/>
          <w:kern w:val="0"/>
          <w:position w:val="3"/>
          <w:sz w:val="32"/>
          <w:szCs w:val="32"/>
          <w:highlight w:val="none"/>
          <w:u w:val="none"/>
          <w:lang w:val="zh-CN" w:eastAsia="zh-CN" w:bidi="ar-SA"/>
        </w:rPr>
      </w:pPr>
      <w:r>
        <w:rPr>
          <w:rFonts w:hint="eastAsia" w:ascii="黑体" w:hAnsi="宋体" w:eastAsia="黑体" w:cs="Times New Roman"/>
          <w:color w:val="auto"/>
          <w:kern w:val="0"/>
          <w:position w:val="3"/>
          <w:sz w:val="32"/>
          <w:szCs w:val="32"/>
          <w:highlight w:val="none"/>
          <w:u w:val="none"/>
          <w:lang w:val="zh-CN" w:eastAsia="zh-CN" w:bidi="ar-SA"/>
        </w:rPr>
        <w:t>三、绩效分析</w:t>
      </w:r>
      <w:r>
        <w:rPr>
          <w:rFonts w:hint="eastAsia" w:ascii="黑体" w:hAnsi="宋体" w:eastAsia="黑体" w:cs="Times New Roman"/>
          <w:color w:val="auto"/>
          <w:kern w:val="0"/>
          <w:position w:val="3"/>
          <w:sz w:val="32"/>
          <w:szCs w:val="32"/>
          <w:highlight w:val="none"/>
          <w:u w:val="none"/>
          <w:lang w:val="zh-CN" w:eastAsia="zh-CN" w:bidi="ar-SA"/>
        </w:rPr>
        <w:tab/>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楷体_GB2312" w:hAnsi="宋体" w:eastAsia="楷体_GB2312" w:cs="Times New Roman"/>
          <w:b/>
          <w:color w:val="auto"/>
          <w:sz w:val="32"/>
          <w:szCs w:val="32"/>
          <w:highlight w:val="none"/>
          <w:u w:val="none"/>
          <w:lang w:val="zh-CN" w:eastAsia="zh-CN"/>
        </w:rPr>
      </w:pPr>
      <w:r>
        <w:rPr>
          <w:rFonts w:hint="eastAsia" w:ascii="楷体_GB2312" w:hAnsi="宋体" w:eastAsia="楷体_GB2312" w:cs="Times New Roman"/>
          <w:b/>
          <w:color w:val="auto"/>
          <w:sz w:val="32"/>
          <w:szCs w:val="32"/>
          <w:highlight w:val="none"/>
          <w:u w:val="none"/>
          <w:lang w:val="zh-CN" w:eastAsia="zh-CN"/>
        </w:rPr>
        <w:t>（一）通用指标绩效分析。</w:t>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1.项目决策。该项目的设立、调整延续等方面符合资金管理基本规范和决策程序要求，项目规划符合上级政府有关决策部署安排，项目绩效目标设置科学合理，资金主要用于 档案中心、人才交流市场、办公区、孵化园、新建雨棚的建设。</w:t>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en-US" w:eastAsia="zh-CN"/>
        </w:rPr>
        <w:t>2.项目管理。</w:t>
      </w:r>
      <w:r>
        <w:rPr>
          <w:rFonts w:hint="eastAsia" w:ascii="仿宋_GB2312" w:hAnsi="仿宋_GB2312" w:eastAsia="仿宋_GB2312" w:cs="仿宋_GB2312"/>
          <w:color w:val="auto"/>
          <w:sz w:val="32"/>
          <w:szCs w:val="32"/>
          <w:lang w:val="zh-CN" w:eastAsia="zh-CN"/>
        </w:rPr>
        <w:t>20</w:t>
      </w:r>
      <w:r>
        <w:rPr>
          <w:rFonts w:hint="eastAsia" w:ascii="仿宋_GB2312" w:hAnsi="仿宋_GB2312" w:eastAsia="仿宋_GB2312" w:cs="仿宋_GB2312"/>
          <w:color w:val="auto"/>
          <w:sz w:val="32"/>
          <w:szCs w:val="32"/>
          <w:lang w:val="en-US" w:eastAsia="zh-CN"/>
        </w:rPr>
        <w:t>23</w:t>
      </w:r>
      <w:r>
        <w:rPr>
          <w:rFonts w:hint="eastAsia" w:ascii="仿宋_GB2312" w:hAnsi="仿宋_GB2312" w:eastAsia="仿宋_GB2312" w:cs="仿宋_GB2312"/>
          <w:color w:val="auto"/>
          <w:sz w:val="32"/>
          <w:szCs w:val="32"/>
          <w:lang w:val="zh-CN" w:eastAsia="zh-CN"/>
        </w:rPr>
        <w:t>年</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val="zh-CN" w:eastAsia="zh-CN"/>
        </w:rPr>
        <w:t>月，</w:t>
      </w:r>
      <w:r>
        <w:rPr>
          <w:rFonts w:hint="eastAsia" w:ascii="仿宋_GB2312" w:hAnsi="仿宋_GB2312" w:eastAsia="仿宋_GB2312" w:cs="仿宋_GB2312"/>
          <w:color w:val="auto"/>
          <w:sz w:val="32"/>
          <w:szCs w:val="32"/>
          <w:lang w:val="en-US" w:eastAsia="zh-CN"/>
        </w:rPr>
        <w:t>县财政</w:t>
      </w:r>
      <w:r>
        <w:rPr>
          <w:rFonts w:hint="eastAsia" w:ascii="仿宋_GB2312" w:hAnsi="仿宋_GB2312" w:eastAsia="仿宋_GB2312" w:cs="仿宋_GB2312"/>
          <w:color w:val="auto"/>
          <w:sz w:val="32"/>
          <w:szCs w:val="32"/>
          <w:lang w:val="zh-CN" w:eastAsia="zh-CN"/>
        </w:rPr>
        <w:t>下达20</w:t>
      </w:r>
      <w:r>
        <w:rPr>
          <w:rFonts w:hint="eastAsia" w:ascii="仿宋_GB2312" w:hAnsi="仿宋_GB2312" w:eastAsia="仿宋_GB2312" w:cs="仿宋_GB2312"/>
          <w:color w:val="auto"/>
          <w:sz w:val="32"/>
          <w:szCs w:val="32"/>
          <w:lang w:val="en-US" w:eastAsia="zh-CN"/>
        </w:rPr>
        <w:t>23</w:t>
      </w:r>
      <w:r>
        <w:rPr>
          <w:rFonts w:hint="eastAsia" w:ascii="仿宋_GB2312" w:hAnsi="仿宋_GB2312" w:eastAsia="仿宋_GB2312" w:cs="仿宋_GB2312"/>
          <w:color w:val="auto"/>
          <w:sz w:val="32"/>
          <w:szCs w:val="32"/>
          <w:lang w:val="zh-CN" w:eastAsia="zh-CN"/>
        </w:rPr>
        <w:t>年</w:t>
      </w:r>
      <w:r>
        <w:rPr>
          <w:rFonts w:hint="eastAsia" w:ascii="仿宋_GB2312" w:hAnsi="仿宋_GB2312" w:eastAsia="仿宋_GB2312" w:cs="仿宋_GB2312"/>
          <w:color w:val="auto"/>
          <w:sz w:val="32"/>
          <w:szCs w:val="32"/>
          <w:lang w:val="en-US" w:eastAsia="zh-CN"/>
        </w:rPr>
        <w:t>省级东西部劳务协作对口联络站建设</w:t>
      </w:r>
      <w:r>
        <w:rPr>
          <w:rFonts w:hint="eastAsia" w:ascii="仿宋_GB2312" w:hAnsi="仿宋_GB2312" w:eastAsia="仿宋_GB2312" w:cs="仿宋_GB2312"/>
          <w:color w:val="auto"/>
          <w:sz w:val="32"/>
          <w:szCs w:val="32"/>
          <w:lang w:val="zh-CN" w:eastAsia="zh-CN"/>
        </w:rPr>
        <w:t>资金</w:t>
      </w:r>
      <w:r>
        <w:rPr>
          <w:rFonts w:hint="eastAsia" w:ascii="仿宋_GB2312" w:hAnsi="仿宋_GB2312" w:eastAsia="仿宋_GB2312" w:cs="仿宋_GB2312"/>
          <w:color w:val="auto"/>
          <w:sz w:val="32"/>
          <w:szCs w:val="32"/>
          <w:lang w:val="en-US" w:eastAsia="zh-CN"/>
        </w:rPr>
        <w:t>33</w:t>
      </w:r>
      <w:r>
        <w:rPr>
          <w:rFonts w:hint="eastAsia" w:ascii="仿宋_GB2312" w:hAnsi="仿宋_GB2312" w:eastAsia="仿宋_GB2312" w:cs="仿宋_GB2312"/>
          <w:color w:val="auto"/>
          <w:sz w:val="32"/>
          <w:szCs w:val="32"/>
          <w:lang w:val="zh-CN" w:eastAsia="zh-CN"/>
        </w:rPr>
        <w:t>万元</w:t>
      </w:r>
      <w:r>
        <w:rPr>
          <w:rFonts w:hint="eastAsia" w:ascii="仿宋_GB2312" w:hAnsi="仿宋_GB2312" w:eastAsia="仿宋_GB2312" w:cs="仿宋_GB2312"/>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en-US" w:eastAsia="zh-CN"/>
        </w:rPr>
        <w:t>3.项目实施。</w:t>
      </w:r>
      <w:r>
        <w:rPr>
          <w:rFonts w:hint="eastAsia" w:ascii="仿宋_GB2312" w:hAnsi="仿宋_GB2312" w:eastAsia="仿宋_GB2312" w:cs="仿宋_GB2312"/>
          <w:color w:val="auto"/>
          <w:sz w:val="32"/>
          <w:szCs w:val="32"/>
          <w:lang w:val="zh-CN" w:eastAsia="zh-CN"/>
        </w:rPr>
        <w:t>截止评价时点，20</w:t>
      </w:r>
      <w:r>
        <w:rPr>
          <w:rFonts w:hint="eastAsia" w:ascii="仿宋_GB2312" w:hAnsi="仿宋_GB2312" w:eastAsia="仿宋_GB2312" w:cs="仿宋_GB2312"/>
          <w:color w:val="auto"/>
          <w:sz w:val="32"/>
          <w:szCs w:val="32"/>
          <w:lang w:val="en-US" w:eastAsia="zh-CN"/>
        </w:rPr>
        <w:t>23</w:t>
      </w:r>
      <w:r>
        <w:rPr>
          <w:rFonts w:hint="eastAsia" w:ascii="仿宋_GB2312" w:hAnsi="仿宋_GB2312" w:eastAsia="仿宋_GB2312" w:cs="仿宋_GB2312"/>
          <w:color w:val="auto"/>
          <w:sz w:val="32"/>
          <w:szCs w:val="32"/>
          <w:lang w:val="zh-CN" w:eastAsia="zh-CN"/>
        </w:rPr>
        <w:t>年</w:t>
      </w:r>
      <w:r>
        <w:rPr>
          <w:rFonts w:hint="eastAsia" w:ascii="仿宋_GB2312" w:hAnsi="仿宋_GB2312" w:eastAsia="仿宋_GB2312" w:cs="仿宋_GB2312"/>
          <w:color w:val="auto"/>
          <w:sz w:val="32"/>
          <w:szCs w:val="32"/>
          <w:lang w:val="en-US" w:eastAsia="zh-CN"/>
        </w:rPr>
        <w:t>东西部劳务协作对口联络站建设</w:t>
      </w:r>
      <w:r>
        <w:rPr>
          <w:rFonts w:hint="eastAsia" w:ascii="仿宋_GB2312" w:hAnsi="仿宋_GB2312" w:eastAsia="仿宋_GB2312" w:cs="仿宋_GB2312"/>
          <w:color w:val="auto"/>
          <w:sz w:val="32"/>
          <w:szCs w:val="32"/>
          <w:lang w:val="zh-CN" w:eastAsia="zh-CN"/>
        </w:rPr>
        <w:t>资金支出</w:t>
      </w:r>
      <w:r>
        <w:rPr>
          <w:rFonts w:hint="eastAsia" w:ascii="仿宋_GB2312" w:hAnsi="仿宋_GB2312" w:eastAsia="仿宋_GB2312" w:cs="仿宋_GB2312"/>
          <w:color w:val="auto"/>
          <w:sz w:val="32"/>
          <w:szCs w:val="32"/>
          <w:lang w:val="en-US" w:eastAsia="zh-CN"/>
        </w:rPr>
        <w:t>共计：33万元</w:t>
      </w:r>
      <w:r>
        <w:rPr>
          <w:rFonts w:hint="eastAsia" w:ascii="仿宋_GB2312" w:hAnsi="仿宋_GB2312" w:eastAsia="仿宋_GB2312" w:cs="仿宋_GB2312"/>
          <w:color w:val="auto"/>
          <w:sz w:val="32"/>
          <w:szCs w:val="32"/>
          <w:lang w:val="zh-CN" w:eastAsia="zh-CN"/>
        </w:rPr>
        <w:t>。项目资金使用、拨付符合国家财经法规、财务管理制度及有关专项资金管理制度办法规定和审批程序，</w:t>
      </w:r>
      <w:r>
        <w:rPr>
          <w:rFonts w:hint="eastAsia" w:ascii="仿宋_GB2312" w:hAnsi="仿宋_GB2312" w:eastAsia="仿宋_GB2312" w:cs="仿宋_GB2312"/>
          <w:color w:val="auto"/>
          <w:sz w:val="32"/>
          <w:szCs w:val="32"/>
          <w:lang w:val="en-US" w:eastAsia="zh-CN"/>
        </w:rPr>
        <w:t>不</w:t>
      </w:r>
      <w:r>
        <w:rPr>
          <w:rFonts w:hint="eastAsia" w:ascii="仿宋_GB2312" w:hAnsi="仿宋_GB2312" w:eastAsia="仿宋_GB2312" w:cs="仿宋_GB2312"/>
          <w:color w:val="auto"/>
          <w:sz w:val="32"/>
          <w:szCs w:val="32"/>
          <w:lang w:val="zh-CN" w:eastAsia="zh-CN"/>
        </w:rPr>
        <w:t>存在超范围、超标准、超进度使用专项资金，</w:t>
      </w:r>
      <w:r>
        <w:rPr>
          <w:rFonts w:hint="eastAsia" w:ascii="仿宋_GB2312" w:hAnsi="仿宋_GB2312" w:eastAsia="仿宋_GB2312" w:cs="仿宋_GB2312"/>
          <w:color w:val="auto"/>
          <w:sz w:val="32"/>
          <w:szCs w:val="32"/>
          <w:lang w:val="en-US" w:eastAsia="zh-CN"/>
        </w:rPr>
        <w:t>不</w:t>
      </w:r>
      <w:r>
        <w:rPr>
          <w:rFonts w:hint="eastAsia" w:ascii="仿宋_GB2312" w:hAnsi="仿宋_GB2312" w:eastAsia="仿宋_GB2312" w:cs="仿宋_GB2312"/>
          <w:color w:val="auto"/>
          <w:sz w:val="32"/>
          <w:szCs w:val="32"/>
          <w:lang w:val="zh-CN" w:eastAsia="zh-CN"/>
        </w:rPr>
        <w:t>存在资金损失浪费、长期沉淀、截留、挤占、挪用、虚列支出等情况，项目实施遵守相关法律法规。</w:t>
      </w:r>
    </w:p>
    <w:p>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4.项目结果。项目按时完成预期目标，实施结果与绩效目标相匹配，按照实施计划完成目标。</w:t>
      </w:r>
    </w:p>
    <w:p>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3" w:firstLineChars="200"/>
        <w:textAlignment w:val="auto"/>
        <w:outlineLvl w:val="9"/>
        <w:rPr>
          <w:rFonts w:hint="default" w:ascii="Times New Roman" w:hAnsi="Times New Roman" w:eastAsia="楷体_GB2312" w:cs="Times New Roman"/>
          <w:b/>
          <w:bCs/>
          <w:color w:val="auto"/>
          <w:kern w:val="0"/>
          <w:szCs w:val="32"/>
          <w:highlight w:val="none"/>
          <w:shd w:val="clear" w:color="auto" w:fill="FFFFFF"/>
          <w:lang w:val="zh-CN"/>
        </w:rPr>
      </w:pPr>
      <w:r>
        <w:rPr>
          <w:rFonts w:hint="eastAsia" w:ascii="楷体_GB2312" w:hAnsi="宋体" w:eastAsia="楷体_GB2312" w:cs="Times New Roman"/>
          <w:b/>
          <w:color w:val="auto"/>
          <w:sz w:val="32"/>
          <w:szCs w:val="32"/>
          <w:highlight w:val="none"/>
          <w:u w:val="none"/>
          <w:lang w:val="zh-CN"/>
        </w:rPr>
        <w:t>（二）</w:t>
      </w:r>
      <w:r>
        <w:rPr>
          <w:rFonts w:hint="eastAsia" w:ascii="楷体_GB2312" w:hAnsi="宋体" w:eastAsia="楷体_GB2312" w:cs="Times New Roman"/>
          <w:b/>
          <w:color w:val="auto"/>
          <w:sz w:val="32"/>
          <w:szCs w:val="32"/>
          <w:highlight w:val="none"/>
          <w:u w:val="none"/>
          <w:lang w:val="en-US" w:eastAsia="zh-CN"/>
        </w:rPr>
        <w:t>个性指标</w:t>
      </w:r>
      <w:r>
        <w:rPr>
          <w:rFonts w:hint="default" w:ascii="楷体_GB2312" w:hAnsi="宋体" w:eastAsia="楷体_GB2312" w:cs="Times New Roman"/>
          <w:b/>
          <w:color w:val="auto"/>
          <w:sz w:val="32"/>
          <w:szCs w:val="32"/>
          <w:highlight w:val="none"/>
          <w:u w:val="none"/>
          <w:lang w:val="zh-CN" w:eastAsia="zh-CN"/>
        </w:rPr>
        <w:t>绩效分析。</w:t>
      </w:r>
    </w:p>
    <w:p>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0" w:firstLineChars="200"/>
        <w:textAlignment w:val="auto"/>
        <w:outlineLvl w:val="9"/>
        <w:rPr>
          <w:rFonts w:hint="default" w:ascii="仿宋_GB2312" w:hAnsi="仿宋_GB2312" w:eastAsia="仿宋_GB2312" w:cs="仿宋_GB2312"/>
          <w:color w:val="auto"/>
          <w:sz w:val="32"/>
          <w:szCs w:val="32"/>
          <w:lang w:val="zh-CN" w:eastAsia="zh-CN"/>
        </w:rPr>
      </w:pPr>
      <w:r>
        <w:rPr>
          <w:rFonts w:hint="default" w:ascii="仿宋_GB2312" w:hAnsi="仿宋_GB2312" w:eastAsia="仿宋_GB2312" w:cs="仿宋_GB2312"/>
          <w:sz w:val="32"/>
          <w:szCs w:val="32"/>
          <w:lang w:val="zh-CN" w:eastAsia="zh-CN"/>
        </w:rPr>
        <w:t>1.</w:t>
      </w:r>
      <w:r>
        <w:rPr>
          <w:rFonts w:hint="default" w:ascii="仿宋_GB2312" w:hAnsi="仿宋_GB2312" w:eastAsia="仿宋_GB2312" w:cs="仿宋_GB2312"/>
          <w:color w:val="auto"/>
          <w:sz w:val="32"/>
          <w:szCs w:val="32"/>
          <w:lang w:val="zh-CN" w:eastAsia="zh-CN"/>
        </w:rPr>
        <w:t>数量指标。</w:t>
      </w:r>
      <w:r>
        <w:rPr>
          <w:rFonts w:hint="eastAsia" w:ascii="仿宋_GB2312" w:hAnsi="仿宋_GB2312" w:cs="仿宋_GB2312"/>
          <w:color w:val="auto"/>
          <w:sz w:val="32"/>
          <w:szCs w:val="32"/>
          <w:lang w:val="en-US" w:eastAsia="zh-CN"/>
        </w:rPr>
        <w:t>档案中心137.5平方米，人才交流市场184.8平方米，办公区118.6平方米等</w:t>
      </w:r>
      <w:r>
        <w:rPr>
          <w:rFonts w:hint="default" w:ascii="仿宋_GB2312" w:hAnsi="仿宋_GB2312" w:eastAsia="仿宋_GB2312" w:cs="仿宋_GB2312"/>
          <w:color w:val="auto"/>
          <w:sz w:val="32"/>
          <w:szCs w:val="32"/>
          <w:lang w:val="zh-CN" w:eastAsia="zh-CN"/>
        </w:rPr>
        <w:t>。</w:t>
      </w:r>
    </w:p>
    <w:p>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0" w:firstLineChars="200"/>
        <w:textAlignment w:val="auto"/>
        <w:outlineLvl w:val="9"/>
        <w:rPr>
          <w:rFonts w:hint="default" w:ascii="仿宋_GB2312" w:hAnsi="仿宋_GB2312" w:eastAsia="仿宋_GB2312" w:cs="仿宋_GB2312"/>
          <w:color w:val="auto"/>
          <w:sz w:val="32"/>
          <w:szCs w:val="32"/>
          <w:lang w:val="zh-CN" w:eastAsia="zh-CN"/>
        </w:rPr>
      </w:pPr>
      <w:r>
        <w:rPr>
          <w:rFonts w:hint="default" w:ascii="仿宋_GB2312" w:hAnsi="仿宋_GB2312" w:eastAsia="仿宋_GB2312" w:cs="仿宋_GB2312"/>
          <w:color w:val="auto"/>
          <w:sz w:val="32"/>
          <w:szCs w:val="32"/>
          <w:lang w:val="zh-CN" w:eastAsia="zh-CN"/>
        </w:rPr>
        <w:t>2.质量指标。</w:t>
      </w:r>
      <w:r>
        <w:rPr>
          <w:rFonts w:hint="eastAsia" w:ascii="仿宋_GB2312" w:hAnsi="仿宋_GB2312" w:eastAsia="仿宋_GB2312" w:cs="仿宋_GB2312"/>
          <w:color w:val="auto"/>
          <w:sz w:val="32"/>
          <w:szCs w:val="32"/>
          <w:lang w:val="zh-CN" w:eastAsia="zh-CN"/>
        </w:rPr>
        <w:t>《</w:t>
      </w:r>
      <w:r>
        <w:rPr>
          <w:rFonts w:hint="eastAsia" w:ascii="仿宋_GB2312" w:hAnsi="仿宋_GB2312" w:eastAsia="仿宋_GB2312" w:cs="仿宋_GB2312"/>
          <w:color w:val="auto"/>
          <w:sz w:val="32"/>
          <w:szCs w:val="32"/>
          <w:lang w:val="en-US" w:eastAsia="zh-CN"/>
        </w:rPr>
        <w:t>工程施工质量验收规范</w:t>
      </w:r>
      <w:r>
        <w:rPr>
          <w:rFonts w:hint="eastAsia" w:ascii="仿宋_GB2312" w:hAnsi="仿宋_GB2312" w:eastAsia="仿宋_GB2312" w:cs="仿宋_GB2312"/>
          <w:color w:val="auto"/>
          <w:sz w:val="32"/>
          <w:szCs w:val="32"/>
          <w:lang w:val="zh-CN" w:eastAsia="zh-CN"/>
        </w:rPr>
        <w:t>》</w:t>
      </w:r>
      <w:r>
        <w:rPr>
          <w:rFonts w:hint="eastAsia" w:ascii="仿宋_GB2312" w:hAnsi="仿宋_GB2312" w:eastAsia="仿宋_GB2312" w:cs="仿宋_GB2312"/>
          <w:color w:val="auto"/>
          <w:sz w:val="32"/>
          <w:szCs w:val="32"/>
          <w:lang w:val="en-US" w:eastAsia="zh-CN"/>
        </w:rPr>
        <w:t>合格标准</w:t>
      </w:r>
      <w:r>
        <w:rPr>
          <w:rFonts w:hint="default" w:ascii="仿宋_GB2312" w:hAnsi="仿宋_GB2312" w:eastAsia="仿宋_GB2312" w:cs="仿宋_GB2312"/>
          <w:color w:val="auto"/>
          <w:sz w:val="32"/>
          <w:szCs w:val="32"/>
          <w:lang w:val="zh-CN" w:eastAsia="zh-CN"/>
        </w:rPr>
        <w:t>。</w:t>
      </w:r>
    </w:p>
    <w:p>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0" w:firstLineChars="200"/>
        <w:textAlignment w:val="auto"/>
        <w:outlineLvl w:val="9"/>
        <w:rPr>
          <w:rFonts w:hint="default" w:ascii="仿宋_GB2312" w:hAnsi="仿宋_GB2312" w:eastAsia="仿宋_GB2312" w:cs="仿宋_GB2312"/>
          <w:color w:val="auto"/>
          <w:sz w:val="32"/>
          <w:szCs w:val="32"/>
          <w:lang w:val="zh-CN" w:eastAsia="zh-CN"/>
        </w:rPr>
      </w:pPr>
      <w:r>
        <w:rPr>
          <w:rFonts w:hint="default" w:ascii="仿宋_GB2312" w:hAnsi="仿宋_GB2312" w:eastAsia="仿宋_GB2312" w:cs="仿宋_GB2312"/>
          <w:color w:val="auto"/>
          <w:sz w:val="32"/>
          <w:szCs w:val="32"/>
          <w:lang w:val="zh-CN" w:eastAsia="zh-CN"/>
        </w:rPr>
        <w:t>3.时效指标。资金在规定时间下达率100%。</w:t>
      </w:r>
    </w:p>
    <w:p>
      <w:pPr>
        <w:adjustRightInd w:val="0"/>
        <w:snapToGrid w:val="0"/>
        <w:spacing w:line="576" w:lineRule="exact"/>
        <w:ind w:firstLine="720"/>
        <w:rPr>
          <w:rFonts w:hint="default" w:ascii="仿宋_GB2312" w:hAnsi="仿宋_GB2312" w:eastAsia="仿宋_GB2312" w:cs="仿宋_GB2312"/>
          <w:color w:val="auto"/>
          <w:sz w:val="32"/>
          <w:szCs w:val="32"/>
          <w:lang w:val="zh-CN" w:eastAsia="zh-CN"/>
        </w:rPr>
      </w:pPr>
      <w:r>
        <w:rPr>
          <w:rFonts w:hint="default" w:ascii="仿宋_GB2312" w:hAnsi="仿宋_GB2312" w:eastAsia="仿宋_GB2312" w:cs="仿宋_GB2312"/>
          <w:color w:val="auto"/>
          <w:sz w:val="32"/>
          <w:szCs w:val="32"/>
          <w:lang w:val="zh-CN" w:eastAsia="zh-CN"/>
        </w:rPr>
        <w:t>4.效益指标。</w:t>
      </w:r>
      <w:r>
        <w:rPr>
          <w:rFonts w:hint="eastAsia" w:ascii="仿宋_GB2312" w:hAnsi="仿宋_GB2312" w:eastAsia="仿宋_GB2312" w:cs="仿宋_GB2312"/>
          <w:sz w:val="32"/>
          <w:szCs w:val="32"/>
        </w:rPr>
        <w:t>新建一个集标准化流动人员档案管理室，以及职业介绍，东西部劳务协作联络站为一体的功能齐全的茂县人力资源市场（档案中心、人才交流市场、办公区、孵化园、新建雨棚），本项目建设是改善茂县当地就业，有利于当地人才引进及外来人口的管理;是推进东西部劳务协作，解决当地就业，促进当地发展。</w:t>
      </w:r>
    </w:p>
    <w:p>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zh-CN" w:eastAsia="zh-CN"/>
        </w:rPr>
        <w:t>5.社会满意度。</w:t>
      </w:r>
      <w:r>
        <w:rPr>
          <w:rFonts w:hint="eastAsia" w:ascii="仿宋_GB2312" w:hAnsi="仿宋_GB2312" w:cs="仿宋_GB2312"/>
          <w:color w:val="auto"/>
          <w:sz w:val="32"/>
          <w:szCs w:val="32"/>
          <w:lang w:val="en-US" w:eastAsia="zh-CN"/>
        </w:rPr>
        <w:t>流动就业人员</w:t>
      </w:r>
      <w:r>
        <w:rPr>
          <w:rFonts w:hint="default" w:ascii="仿宋_GB2312" w:hAnsi="仿宋_GB2312" w:eastAsia="仿宋_GB2312" w:cs="仿宋_GB2312"/>
          <w:color w:val="auto"/>
          <w:sz w:val="32"/>
          <w:szCs w:val="32"/>
          <w:lang w:val="zh-CN" w:eastAsia="zh-CN"/>
        </w:rPr>
        <w:t>的满意度达到90%以上。</w:t>
      </w:r>
    </w:p>
    <w:p>
      <w:pPr>
        <w:pStyle w:val="8"/>
        <w:pageBreakBefore w:val="0"/>
        <w:numPr>
          <w:ilvl w:val="0"/>
          <w:numId w:val="0"/>
        </w:numPr>
        <w:tabs>
          <w:tab w:val="left" w:pos="2160"/>
        </w:tabs>
        <w:kinsoku/>
        <w:wordWrap/>
        <w:overflowPunct/>
        <w:topLinePunct w:val="0"/>
        <w:autoSpaceDE/>
        <w:autoSpaceDN/>
        <w:bidi w:val="0"/>
        <w:adjustRightInd/>
        <w:spacing w:line="600" w:lineRule="exact"/>
        <w:ind w:firstLine="640" w:firstLineChars="200"/>
        <w:textAlignment w:val="auto"/>
        <w:rPr>
          <w:rFonts w:hint="eastAsia" w:ascii="黑体" w:hAnsi="宋体" w:eastAsia="黑体"/>
          <w:color w:val="auto"/>
          <w:sz w:val="32"/>
          <w:szCs w:val="32"/>
          <w:highlight w:val="none"/>
          <w:u w:val="none"/>
        </w:rPr>
      </w:pPr>
      <w:r>
        <w:rPr>
          <w:rFonts w:hint="eastAsia" w:ascii="黑体" w:hAnsi="宋体" w:eastAsia="黑体"/>
          <w:color w:val="auto"/>
          <w:sz w:val="32"/>
          <w:szCs w:val="32"/>
          <w:highlight w:val="none"/>
          <w:u w:val="none"/>
          <w:lang w:eastAsia="zh-CN"/>
        </w:rPr>
        <w:t>四</w:t>
      </w:r>
      <w:r>
        <w:rPr>
          <w:rFonts w:hint="eastAsia" w:ascii="黑体" w:hAnsi="宋体" w:eastAsia="黑体"/>
          <w:color w:val="auto"/>
          <w:sz w:val="32"/>
          <w:szCs w:val="32"/>
          <w:highlight w:val="none"/>
          <w:u w:val="none"/>
        </w:rPr>
        <w:t>、评价结论</w:t>
      </w:r>
    </w:p>
    <w:p>
      <w:pPr>
        <w:widowControl/>
        <w:spacing w:line="576"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推进东西劳务协作，解决当地就业，促进当地发展，通过有组织的劳务输出，实现脱贫。</w:t>
      </w:r>
    </w:p>
    <w:p>
      <w:pPr>
        <w:pStyle w:val="8"/>
        <w:pageBreakBefore w:val="0"/>
        <w:numPr>
          <w:ilvl w:val="0"/>
          <w:numId w:val="0"/>
        </w:numPr>
        <w:tabs>
          <w:tab w:val="left" w:pos="2160"/>
        </w:tabs>
        <w:kinsoku/>
        <w:wordWrap/>
        <w:overflowPunct/>
        <w:topLinePunct w:val="0"/>
        <w:autoSpaceDE/>
        <w:autoSpaceDN/>
        <w:bidi w:val="0"/>
        <w:adjustRightInd/>
        <w:spacing w:line="600" w:lineRule="exact"/>
        <w:ind w:firstLine="640" w:firstLineChars="200"/>
        <w:textAlignment w:val="auto"/>
        <w:rPr>
          <w:rFonts w:hint="eastAsia" w:ascii="黑体" w:hAnsi="宋体" w:eastAsia="黑体" w:cs="Times New Roman"/>
          <w:color w:val="auto"/>
          <w:sz w:val="32"/>
          <w:szCs w:val="32"/>
          <w:highlight w:val="none"/>
          <w:u w:val="none"/>
          <w:lang w:eastAsia="zh-CN"/>
        </w:rPr>
      </w:pPr>
      <w:r>
        <w:rPr>
          <w:rFonts w:hint="eastAsia" w:ascii="黑体" w:hAnsi="宋体" w:eastAsia="黑体" w:cs="Times New Roman"/>
          <w:color w:val="auto"/>
          <w:sz w:val="32"/>
          <w:szCs w:val="32"/>
          <w:highlight w:val="none"/>
          <w:u w:val="none"/>
          <w:lang w:eastAsia="zh-CN"/>
        </w:rPr>
        <w:t>五、存在主要问题</w:t>
      </w:r>
    </w:p>
    <w:p>
      <w:pPr>
        <w:pStyle w:val="8"/>
        <w:pageBreakBefore w:val="0"/>
        <w:numPr>
          <w:ilvl w:val="0"/>
          <w:numId w:val="0"/>
        </w:numPr>
        <w:tabs>
          <w:tab w:val="left" w:pos="2160"/>
        </w:tabs>
        <w:kinsoku/>
        <w:wordWrap/>
        <w:overflowPunct/>
        <w:topLinePunct w:val="0"/>
        <w:autoSpaceDE/>
        <w:autoSpaceDN/>
        <w:bidi w:val="0"/>
        <w:adjustRightInd/>
        <w:spacing w:line="600" w:lineRule="exact"/>
        <w:ind w:firstLine="640" w:firstLineChars="200"/>
        <w:textAlignment w:val="auto"/>
        <w:rPr>
          <w:rFonts w:hint="eastAsia" w:ascii="仿宋" w:hAnsi="仿宋" w:eastAsia="仿宋" w:cs="仿宋_GB2312"/>
          <w:kern w:val="2"/>
          <w:position w:val="0"/>
          <w:sz w:val="32"/>
          <w:szCs w:val="32"/>
          <w:lang w:val="en-US" w:eastAsia="zh-CN" w:bidi="ar-SA"/>
        </w:rPr>
      </w:pPr>
      <w:r>
        <w:rPr>
          <w:rFonts w:hint="eastAsia" w:ascii="仿宋" w:hAnsi="仿宋" w:eastAsia="仿宋" w:cs="仿宋_GB2312"/>
          <w:kern w:val="2"/>
          <w:position w:val="0"/>
          <w:sz w:val="32"/>
          <w:szCs w:val="32"/>
          <w:lang w:val="en-US" w:eastAsia="zh-CN" w:bidi="ar-SA"/>
        </w:rPr>
        <w:t>无</w:t>
      </w:r>
    </w:p>
    <w:p>
      <w:pPr>
        <w:pStyle w:val="8"/>
        <w:pageBreakBefore w:val="0"/>
        <w:numPr>
          <w:ilvl w:val="0"/>
          <w:numId w:val="0"/>
        </w:numPr>
        <w:tabs>
          <w:tab w:val="left" w:pos="2160"/>
        </w:tabs>
        <w:kinsoku/>
        <w:wordWrap/>
        <w:overflowPunct/>
        <w:topLinePunct w:val="0"/>
        <w:autoSpaceDE/>
        <w:autoSpaceDN/>
        <w:bidi w:val="0"/>
        <w:adjustRightInd/>
        <w:spacing w:line="600" w:lineRule="exact"/>
        <w:ind w:firstLine="640" w:firstLineChars="200"/>
        <w:textAlignment w:val="auto"/>
        <w:rPr>
          <w:rFonts w:hint="eastAsia" w:ascii="黑体" w:hAnsi="宋体" w:eastAsia="黑体" w:cs="Times New Roman"/>
          <w:color w:val="auto"/>
          <w:kern w:val="0"/>
          <w:position w:val="3"/>
          <w:sz w:val="32"/>
          <w:szCs w:val="32"/>
          <w:highlight w:val="none"/>
          <w:u w:val="none"/>
          <w:lang w:val="zh-CN" w:eastAsia="zh-CN" w:bidi="ar-SA"/>
        </w:rPr>
      </w:pPr>
      <w:r>
        <w:rPr>
          <w:rFonts w:hint="eastAsia" w:ascii="黑体" w:hAnsi="宋体" w:eastAsia="黑体" w:cs="Times New Roman"/>
          <w:color w:val="auto"/>
          <w:kern w:val="0"/>
          <w:position w:val="3"/>
          <w:sz w:val="32"/>
          <w:szCs w:val="32"/>
          <w:highlight w:val="none"/>
          <w:u w:val="none"/>
          <w:lang w:val="zh-CN" w:eastAsia="zh-CN" w:bidi="ar-SA"/>
        </w:rPr>
        <w:t>六、改进建议</w:t>
      </w:r>
    </w:p>
    <w:p>
      <w:pPr>
        <w:spacing w:line="576" w:lineRule="exact"/>
        <w:ind w:firstLine="640" w:firstLineChars="200"/>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rPr>
        <w:t>建立健全单位经办机构内部控制制度；建立和完善严格的授权审批制度，明确审批人对基金和业务的授权批准方式、权限、程序、责任和相关控制措施；</w:t>
      </w:r>
      <w:r>
        <w:rPr>
          <w:rFonts w:hint="eastAsia" w:ascii="仿宋_GB2312" w:hAnsi="仿宋_GB2312" w:eastAsia="仿宋_GB2312" w:cs="仿宋_GB2312"/>
          <w:sz w:val="32"/>
          <w:szCs w:val="32"/>
          <w:lang w:val="zh-CN" w:eastAsia="zh-CN"/>
        </w:rPr>
        <w:t>强化预算资金精细化管理，提高预算资金科学性、合理性严格根据相关标准和依据，进行资金使用，确保资金使用效益。</w:t>
      </w:r>
    </w:p>
    <w:p>
      <w:pPr>
        <w:pStyle w:val="35"/>
        <w:spacing w:line="550" w:lineRule="exact"/>
        <w:rPr>
          <w:rFonts w:hint="eastAsia" w:ascii="仿宋_GB2312" w:hAnsi="黑体" w:eastAsia="仿宋_GB2312" w:cs="宋体"/>
          <w:color w:val="000000"/>
          <w:kern w:val="0"/>
          <w:sz w:val="32"/>
          <w:szCs w:val="32"/>
          <w:shd w:val="clear" w:color="auto" w:fill="FFFFFF"/>
        </w:rPr>
      </w:pPr>
    </w:p>
    <w:p>
      <w:pPr>
        <w:pStyle w:val="35"/>
        <w:spacing w:line="550" w:lineRule="exact"/>
        <w:rPr>
          <w:rFonts w:hint="eastAsia" w:ascii="仿宋_GB2312" w:hAnsi="黑体" w:eastAsia="仿宋_GB2312" w:cs="宋体"/>
          <w:color w:val="000000"/>
          <w:kern w:val="0"/>
          <w:sz w:val="32"/>
          <w:szCs w:val="32"/>
          <w:shd w:val="clear" w:color="auto" w:fill="FFFFFF"/>
        </w:rPr>
      </w:pPr>
    </w:p>
    <w:p>
      <w:pPr>
        <w:pStyle w:val="35"/>
        <w:spacing w:line="550" w:lineRule="exact"/>
        <w:rPr>
          <w:rFonts w:hint="eastAsia" w:ascii="仿宋_GB2312" w:hAnsi="黑体" w:eastAsia="仿宋_GB2312" w:cs="宋体"/>
          <w:color w:val="000000"/>
          <w:kern w:val="0"/>
          <w:sz w:val="32"/>
          <w:szCs w:val="32"/>
          <w:shd w:val="clear" w:color="auto" w:fill="FFFFFF"/>
        </w:rPr>
      </w:pPr>
    </w:p>
    <w:p>
      <w:pPr>
        <w:pStyle w:val="35"/>
        <w:spacing w:line="550" w:lineRule="exact"/>
        <w:rPr>
          <w:rFonts w:hint="eastAsia" w:ascii="仿宋_GB2312" w:hAnsi="黑体" w:eastAsia="仿宋_GB2312" w:cs="宋体"/>
          <w:color w:val="000000"/>
          <w:kern w:val="0"/>
          <w:sz w:val="32"/>
          <w:szCs w:val="32"/>
          <w:shd w:val="clear" w:color="auto" w:fill="FFFFFF"/>
        </w:rPr>
      </w:pPr>
    </w:p>
    <w:p>
      <w:pPr>
        <w:pStyle w:val="35"/>
        <w:spacing w:line="550" w:lineRule="exact"/>
        <w:rPr>
          <w:rFonts w:hint="eastAsia" w:ascii="仿宋_GB2312" w:hAnsi="黑体" w:eastAsia="仿宋_GB2312" w:cs="宋体"/>
          <w:color w:val="000000"/>
          <w:kern w:val="0"/>
          <w:sz w:val="32"/>
          <w:szCs w:val="32"/>
          <w:shd w:val="clear" w:color="auto" w:fill="FFFFFF"/>
        </w:rPr>
      </w:pPr>
    </w:p>
    <w:p>
      <w:pPr>
        <w:pStyle w:val="35"/>
        <w:spacing w:line="550" w:lineRule="exact"/>
        <w:rPr>
          <w:rFonts w:hint="eastAsia" w:ascii="仿宋_GB2312" w:hAnsi="黑体" w:eastAsia="仿宋_GB2312" w:cs="宋体"/>
          <w:color w:val="000000"/>
          <w:kern w:val="0"/>
          <w:sz w:val="32"/>
          <w:szCs w:val="32"/>
          <w:shd w:val="clear" w:color="auto" w:fill="FFFFFF"/>
        </w:rPr>
      </w:pPr>
    </w:p>
    <w:p>
      <w:pPr>
        <w:pStyle w:val="35"/>
        <w:spacing w:line="550" w:lineRule="exact"/>
        <w:rPr>
          <w:rFonts w:hint="eastAsia" w:ascii="仿宋_GB2312" w:hAnsi="黑体" w:eastAsia="仿宋_GB2312" w:cs="宋体"/>
          <w:color w:val="000000"/>
          <w:kern w:val="0"/>
          <w:sz w:val="32"/>
          <w:szCs w:val="32"/>
          <w:shd w:val="clear" w:color="auto" w:fill="FFFFFF"/>
        </w:rPr>
      </w:pPr>
    </w:p>
    <w:p>
      <w:pPr>
        <w:pStyle w:val="35"/>
        <w:spacing w:line="550" w:lineRule="exact"/>
        <w:rPr>
          <w:rFonts w:hint="eastAsia" w:ascii="仿宋_GB2312" w:hAnsi="黑体" w:eastAsia="仿宋_GB2312" w:cs="宋体"/>
          <w:color w:val="000000"/>
          <w:kern w:val="0"/>
          <w:sz w:val="32"/>
          <w:szCs w:val="32"/>
          <w:shd w:val="clear" w:color="auto" w:fill="FFFFFF"/>
        </w:rPr>
      </w:pPr>
    </w:p>
    <w:p>
      <w:pPr>
        <w:pStyle w:val="35"/>
        <w:spacing w:line="550" w:lineRule="exact"/>
        <w:rPr>
          <w:rFonts w:hint="eastAsia" w:ascii="仿宋_GB2312" w:hAnsi="黑体" w:eastAsia="仿宋_GB2312" w:cs="宋体"/>
          <w:color w:val="000000"/>
          <w:kern w:val="0"/>
          <w:sz w:val="32"/>
          <w:szCs w:val="32"/>
          <w:shd w:val="clear" w:color="auto" w:fill="FFFFFF"/>
        </w:rPr>
      </w:pPr>
    </w:p>
    <w:p>
      <w:pPr>
        <w:pStyle w:val="35"/>
        <w:spacing w:line="550" w:lineRule="exact"/>
        <w:rPr>
          <w:rFonts w:hint="eastAsia" w:ascii="仿宋_GB2312" w:hAnsi="黑体" w:eastAsia="仿宋_GB2312" w:cs="宋体"/>
          <w:color w:val="000000"/>
          <w:kern w:val="0"/>
          <w:sz w:val="32"/>
          <w:szCs w:val="32"/>
          <w:shd w:val="clear" w:color="auto" w:fill="FFFFFF"/>
        </w:rPr>
      </w:pPr>
    </w:p>
    <w:p>
      <w:pPr>
        <w:pStyle w:val="35"/>
        <w:spacing w:line="550" w:lineRule="exact"/>
        <w:rPr>
          <w:rFonts w:hint="eastAsia" w:ascii="仿宋_GB2312" w:hAnsi="黑体" w:eastAsia="仿宋_GB2312" w:cs="宋体"/>
          <w:color w:val="000000"/>
          <w:kern w:val="0"/>
          <w:sz w:val="32"/>
          <w:szCs w:val="32"/>
          <w:shd w:val="clear" w:color="auto" w:fill="FFFFFF"/>
        </w:rPr>
      </w:pPr>
    </w:p>
    <w:p>
      <w:pPr>
        <w:pStyle w:val="35"/>
        <w:spacing w:line="550" w:lineRule="exact"/>
        <w:rPr>
          <w:rFonts w:hint="eastAsia" w:ascii="仿宋_GB2312" w:hAnsi="黑体" w:eastAsia="仿宋_GB2312" w:cs="宋体"/>
          <w:color w:val="000000"/>
          <w:kern w:val="0"/>
          <w:sz w:val="32"/>
          <w:szCs w:val="32"/>
          <w:shd w:val="clear" w:color="auto" w:fill="FFFFFF"/>
        </w:rPr>
      </w:pPr>
    </w:p>
    <w:p>
      <w:pPr>
        <w:pStyle w:val="35"/>
        <w:spacing w:line="550" w:lineRule="exact"/>
        <w:rPr>
          <w:rFonts w:hint="eastAsia" w:ascii="仿宋_GB2312" w:hAnsi="黑体" w:eastAsia="仿宋_GB2312" w:cs="宋体"/>
          <w:color w:val="000000"/>
          <w:kern w:val="0"/>
          <w:sz w:val="32"/>
          <w:szCs w:val="32"/>
          <w:shd w:val="clear" w:color="auto" w:fill="FFFFFF"/>
        </w:rPr>
      </w:pPr>
    </w:p>
    <w:p>
      <w:pPr>
        <w:pStyle w:val="35"/>
        <w:spacing w:line="550" w:lineRule="exact"/>
        <w:rPr>
          <w:rFonts w:hint="eastAsia" w:ascii="仿宋_GB2312" w:hAnsi="黑体" w:eastAsia="仿宋_GB2312" w:cs="宋体"/>
          <w:color w:val="000000"/>
          <w:kern w:val="0"/>
          <w:sz w:val="32"/>
          <w:szCs w:val="32"/>
          <w:shd w:val="clear" w:color="auto" w:fill="FFFFFF"/>
        </w:rPr>
      </w:pPr>
    </w:p>
    <w:bookmarkEnd w:id="100"/>
    <w:bookmarkEnd w:id="101"/>
    <w:p>
      <w:pPr>
        <w:spacing w:line="600" w:lineRule="exact"/>
        <w:jc w:val="center"/>
        <w:outlineLvl w:val="0"/>
        <w:rPr>
          <w:rStyle w:val="29"/>
          <w:rFonts w:ascii="黑体" w:hAnsi="黑体" w:eastAsia="黑体"/>
          <w:b w:val="0"/>
        </w:rPr>
      </w:pPr>
      <w:bookmarkStart w:id="104" w:name="_Toc15396618"/>
      <w:bookmarkStart w:id="105" w:name="_Toc79163885"/>
      <w:bookmarkStart w:id="106" w:name="_Toc79163635"/>
      <w:r>
        <w:rPr>
          <w:rFonts w:hint="eastAsia" w:ascii="黑体" w:hAnsi="黑体" w:eastAsia="黑体"/>
          <w:color w:val="000000"/>
          <w:sz w:val="44"/>
          <w:szCs w:val="44"/>
        </w:rPr>
        <w:t>第</w:t>
      </w:r>
      <w:r>
        <w:rPr>
          <w:rStyle w:val="29"/>
          <w:rFonts w:hint="eastAsia" w:ascii="黑体" w:hAnsi="黑体" w:eastAsia="黑体"/>
        </w:rPr>
        <w:t>五部分</w:t>
      </w:r>
      <w:r>
        <w:rPr>
          <w:rStyle w:val="29"/>
          <w:rFonts w:ascii="黑体" w:hAnsi="黑体" w:eastAsia="黑体"/>
        </w:rPr>
        <w:t xml:space="preserve"> </w:t>
      </w:r>
      <w:r>
        <w:rPr>
          <w:rStyle w:val="29"/>
          <w:rFonts w:hint="eastAsia" w:ascii="黑体" w:hAnsi="黑体" w:eastAsia="黑体"/>
        </w:rPr>
        <w:t>附表</w:t>
      </w:r>
      <w:bookmarkEnd w:id="97"/>
      <w:bookmarkEnd w:id="104"/>
      <w:bookmarkEnd w:id="105"/>
      <w:bookmarkEnd w:id="106"/>
    </w:p>
    <w:p>
      <w:pPr>
        <w:spacing w:line="576" w:lineRule="exact"/>
        <w:ind w:left="315" w:leftChars="150" w:firstLine="640" w:firstLineChars="200"/>
        <w:rPr>
          <w:rFonts w:ascii="仿宋_GB2312" w:hAnsi="仿宋_GB2312" w:eastAsia="仿宋_GB2312" w:cs="仿宋_GB2312"/>
          <w:color w:val="000000"/>
          <w:sz w:val="32"/>
          <w:szCs w:val="32"/>
        </w:rPr>
      </w:pPr>
      <w:bookmarkStart w:id="107" w:name="_Toc15396619"/>
      <w:bookmarkStart w:id="108" w:name="_Toc79163636"/>
      <w:bookmarkStart w:id="109" w:name="_Toc79163886"/>
    </w:p>
    <w:p>
      <w:pPr>
        <w:spacing w:line="576" w:lineRule="exact"/>
        <w:ind w:left="315" w:leftChars="150"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一、收入支出决算总表</w:t>
      </w:r>
      <w:bookmarkEnd w:id="107"/>
      <w:bookmarkEnd w:id="108"/>
      <w:bookmarkEnd w:id="109"/>
    </w:p>
    <w:p>
      <w:pPr>
        <w:spacing w:line="576" w:lineRule="exact"/>
        <w:ind w:left="315" w:leftChars="150" w:firstLine="640" w:firstLineChars="200"/>
        <w:rPr>
          <w:rFonts w:ascii="仿宋_GB2312" w:hAnsi="仿宋_GB2312" w:eastAsia="仿宋_GB2312" w:cs="仿宋_GB2312"/>
          <w:color w:val="000000"/>
          <w:sz w:val="32"/>
          <w:szCs w:val="32"/>
        </w:rPr>
      </w:pPr>
      <w:bookmarkStart w:id="110" w:name="_Toc79163637"/>
      <w:bookmarkStart w:id="111" w:name="_Toc79163887"/>
      <w:bookmarkStart w:id="112" w:name="_Toc15396620"/>
      <w:r>
        <w:rPr>
          <w:rFonts w:hint="eastAsia" w:ascii="仿宋_GB2312" w:hAnsi="仿宋_GB2312" w:eastAsia="仿宋_GB2312" w:cs="仿宋_GB2312"/>
          <w:color w:val="000000"/>
          <w:sz w:val="32"/>
          <w:szCs w:val="32"/>
        </w:rPr>
        <w:t>二、收入决算表</w:t>
      </w:r>
      <w:bookmarkEnd w:id="110"/>
      <w:bookmarkEnd w:id="111"/>
      <w:bookmarkEnd w:id="112"/>
    </w:p>
    <w:p>
      <w:pPr>
        <w:spacing w:line="576" w:lineRule="exact"/>
        <w:ind w:left="315" w:leftChars="150" w:firstLine="640" w:firstLineChars="200"/>
        <w:rPr>
          <w:rFonts w:ascii="仿宋_GB2312" w:hAnsi="仿宋_GB2312" w:eastAsia="仿宋_GB2312" w:cs="仿宋_GB2312"/>
          <w:color w:val="000000"/>
          <w:sz w:val="32"/>
          <w:szCs w:val="32"/>
        </w:rPr>
      </w:pPr>
      <w:bookmarkStart w:id="113" w:name="_Toc15396621"/>
      <w:bookmarkStart w:id="114" w:name="_Toc79163638"/>
      <w:bookmarkStart w:id="115" w:name="_Toc79163888"/>
      <w:r>
        <w:rPr>
          <w:rFonts w:hint="eastAsia" w:ascii="仿宋_GB2312" w:hAnsi="仿宋_GB2312" w:eastAsia="仿宋_GB2312" w:cs="仿宋_GB2312"/>
          <w:color w:val="000000"/>
          <w:sz w:val="32"/>
          <w:szCs w:val="32"/>
        </w:rPr>
        <w:t>三、支出决算表</w:t>
      </w:r>
      <w:bookmarkEnd w:id="113"/>
      <w:bookmarkEnd w:id="114"/>
      <w:bookmarkEnd w:id="115"/>
    </w:p>
    <w:p>
      <w:pPr>
        <w:spacing w:line="576" w:lineRule="exact"/>
        <w:ind w:left="315" w:leftChars="150" w:firstLine="640" w:firstLineChars="200"/>
        <w:rPr>
          <w:rFonts w:ascii="仿宋_GB2312" w:hAnsi="仿宋_GB2312" w:eastAsia="仿宋_GB2312" w:cs="仿宋_GB2312"/>
          <w:color w:val="000000"/>
          <w:sz w:val="32"/>
          <w:szCs w:val="32"/>
        </w:rPr>
      </w:pPr>
      <w:bookmarkStart w:id="116" w:name="_Toc79163639"/>
      <w:bookmarkStart w:id="117" w:name="_Toc15396622"/>
      <w:bookmarkStart w:id="118" w:name="_Toc79163889"/>
      <w:r>
        <w:rPr>
          <w:rFonts w:hint="eastAsia" w:ascii="仿宋_GB2312" w:hAnsi="仿宋_GB2312" w:eastAsia="仿宋_GB2312" w:cs="仿宋_GB2312"/>
          <w:color w:val="000000"/>
          <w:sz w:val="32"/>
          <w:szCs w:val="32"/>
        </w:rPr>
        <w:t>四、财政拨款收入支出决算总表</w:t>
      </w:r>
      <w:bookmarkEnd w:id="116"/>
      <w:bookmarkEnd w:id="117"/>
      <w:bookmarkEnd w:id="118"/>
    </w:p>
    <w:p>
      <w:pPr>
        <w:spacing w:line="576" w:lineRule="exact"/>
        <w:ind w:left="315" w:leftChars="150" w:firstLine="640" w:firstLineChars="200"/>
        <w:rPr>
          <w:rFonts w:ascii="仿宋_GB2312" w:hAnsi="仿宋_GB2312" w:eastAsia="仿宋_GB2312" w:cs="仿宋_GB2312"/>
          <w:color w:val="000000"/>
          <w:sz w:val="32"/>
          <w:szCs w:val="32"/>
        </w:rPr>
      </w:pPr>
      <w:bookmarkStart w:id="119" w:name="_Toc79163890"/>
      <w:bookmarkStart w:id="120" w:name="_Toc79163640"/>
      <w:bookmarkStart w:id="121" w:name="_Toc15396623"/>
      <w:r>
        <w:rPr>
          <w:rFonts w:hint="eastAsia" w:ascii="仿宋_GB2312" w:hAnsi="仿宋_GB2312" w:eastAsia="仿宋_GB2312" w:cs="仿宋_GB2312"/>
          <w:color w:val="000000"/>
          <w:sz w:val="32"/>
          <w:szCs w:val="32"/>
        </w:rPr>
        <w:t>五、财政拨款支出决算明细表</w:t>
      </w:r>
      <w:bookmarkEnd w:id="119"/>
      <w:bookmarkEnd w:id="120"/>
      <w:bookmarkEnd w:id="121"/>
      <w:bookmarkStart w:id="122" w:name="_Toc15396624"/>
    </w:p>
    <w:p>
      <w:pPr>
        <w:spacing w:line="576" w:lineRule="exact"/>
        <w:ind w:left="315" w:leftChars="150" w:firstLine="640" w:firstLineChars="200"/>
        <w:rPr>
          <w:rFonts w:ascii="仿宋_GB2312" w:hAnsi="仿宋_GB2312" w:eastAsia="仿宋_GB2312" w:cs="仿宋_GB2312"/>
          <w:color w:val="000000"/>
          <w:sz w:val="32"/>
          <w:szCs w:val="32"/>
        </w:rPr>
      </w:pPr>
      <w:bookmarkStart w:id="123" w:name="_Toc79163641"/>
      <w:bookmarkStart w:id="124" w:name="_Toc79163891"/>
      <w:r>
        <w:rPr>
          <w:rFonts w:hint="eastAsia" w:ascii="仿宋_GB2312" w:hAnsi="仿宋_GB2312" w:eastAsia="仿宋_GB2312" w:cs="仿宋_GB2312"/>
          <w:color w:val="000000"/>
          <w:sz w:val="32"/>
          <w:szCs w:val="32"/>
        </w:rPr>
        <w:t>六、一般公共预算财政拨款支出决算表</w:t>
      </w:r>
      <w:bookmarkEnd w:id="122"/>
      <w:bookmarkEnd w:id="123"/>
      <w:bookmarkEnd w:id="124"/>
    </w:p>
    <w:p>
      <w:pPr>
        <w:spacing w:line="576" w:lineRule="exact"/>
        <w:ind w:left="315" w:leftChars="150" w:firstLine="640" w:firstLineChars="200"/>
        <w:rPr>
          <w:rFonts w:ascii="仿宋_GB2312" w:hAnsi="仿宋_GB2312" w:eastAsia="仿宋_GB2312" w:cs="仿宋_GB2312"/>
          <w:color w:val="000000"/>
          <w:sz w:val="32"/>
          <w:szCs w:val="32"/>
        </w:rPr>
      </w:pPr>
      <w:bookmarkStart w:id="125" w:name="_Toc15396625"/>
      <w:bookmarkStart w:id="126" w:name="_Toc79163892"/>
      <w:bookmarkStart w:id="127" w:name="_Toc79163642"/>
      <w:r>
        <w:rPr>
          <w:rFonts w:hint="eastAsia" w:ascii="仿宋_GB2312" w:hAnsi="仿宋_GB2312" w:eastAsia="仿宋_GB2312" w:cs="仿宋_GB2312"/>
          <w:color w:val="000000"/>
          <w:sz w:val="32"/>
          <w:szCs w:val="32"/>
        </w:rPr>
        <w:t>七、一般公共预算财政拨款支出决算明细表</w:t>
      </w:r>
      <w:bookmarkEnd w:id="125"/>
      <w:bookmarkEnd w:id="126"/>
      <w:bookmarkEnd w:id="127"/>
    </w:p>
    <w:p>
      <w:pPr>
        <w:spacing w:line="576" w:lineRule="exact"/>
        <w:ind w:left="315" w:leftChars="150" w:firstLine="640" w:firstLineChars="200"/>
        <w:rPr>
          <w:rFonts w:ascii="仿宋_GB2312" w:hAnsi="仿宋_GB2312" w:eastAsia="仿宋_GB2312" w:cs="仿宋_GB2312"/>
          <w:color w:val="000000"/>
          <w:sz w:val="32"/>
          <w:szCs w:val="32"/>
        </w:rPr>
      </w:pPr>
      <w:bookmarkStart w:id="128" w:name="_Toc79163893"/>
      <w:bookmarkStart w:id="129" w:name="_Toc79163643"/>
      <w:bookmarkStart w:id="130" w:name="_Toc15396626"/>
      <w:r>
        <w:rPr>
          <w:rFonts w:hint="eastAsia" w:ascii="仿宋_GB2312" w:hAnsi="仿宋_GB2312" w:eastAsia="仿宋_GB2312" w:cs="仿宋_GB2312"/>
          <w:color w:val="000000"/>
          <w:sz w:val="32"/>
          <w:szCs w:val="32"/>
        </w:rPr>
        <w:t>八、一般公共预算财政拨款基本支出决算表</w:t>
      </w:r>
      <w:bookmarkEnd w:id="128"/>
      <w:bookmarkEnd w:id="129"/>
      <w:bookmarkEnd w:id="130"/>
    </w:p>
    <w:p>
      <w:pPr>
        <w:spacing w:line="576" w:lineRule="exact"/>
        <w:ind w:left="315" w:leftChars="150" w:firstLine="640" w:firstLineChars="200"/>
        <w:rPr>
          <w:rFonts w:ascii="仿宋_GB2312" w:hAnsi="仿宋_GB2312" w:eastAsia="仿宋_GB2312" w:cs="仿宋_GB2312"/>
          <w:color w:val="000000"/>
          <w:sz w:val="32"/>
          <w:szCs w:val="32"/>
        </w:rPr>
      </w:pPr>
      <w:bookmarkStart w:id="131" w:name="_Toc79163894"/>
      <w:bookmarkStart w:id="132" w:name="_Toc15396627"/>
      <w:bookmarkStart w:id="133" w:name="_Toc79163644"/>
      <w:r>
        <w:rPr>
          <w:rFonts w:hint="eastAsia" w:ascii="仿宋_GB2312" w:hAnsi="仿宋_GB2312" w:eastAsia="仿宋_GB2312" w:cs="仿宋_GB2312"/>
          <w:color w:val="000000"/>
          <w:sz w:val="32"/>
          <w:szCs w:val="32"/>
        </w:rPr>
        <w:t>九、一般公共预算财政拨款项目支出决算表</w:t>
      </w:r>
      <w:bookmarkEnd w:id="131"/>
      <w:bookmarkEnd w:id="132"/>
      <w:bookmarkEnd w:id="133"/>
    </w:p>
    <w:p>
      <w:pPr>
        <w:spacing w:line="576" w:lineRule="exact"/>
        <w:ind w:left="315" w:leftChars="150" w:firstLine="640" w:firstLineChars="200"/>
        <w:rPr>
          <w:rFonts w:ascii="仿宋_GB2312" w:hAnsi="仿宋_GB2312" w:eastAsia="仿宋_GB2312" w:cs="仿宋_GB2312"/>
          <w:color w:val="000000"/>
          <w:sz w:val="32"/>
          <w:szCs w:val="32"/>
        </w:rPr>
      </w:pPr>
      <w:bookmarkStart w:id="134" w:name="_Toc79163895"/>
      <w:bookmarkStart w:id="135" w:name="_Toc15396628"/>
      <w:bookmarkStart w:id="136" w:name="_Toc79163645"/>
      <w:r>
        <w:rPr>
          <w:rFonts w:hint="eastAsia" w:ascii="仿宋_GB2312" w:hAnsi="仿宋_GB2312" w:eastAsia="仿宋_GB2312" w:cs="仿宋_GB2312"/>
          <w:color w:val="000000"/>
          <w:sz w:val="32"/>
          <w:szCs w:val="32"/>
        </w:rPr>
        <w:t>十、</w:t>
      </w:r>
      <w:bookmarkEnd w:id="134"/>
      <w:bookmarkEnd w:id="135"/>
      <w:bookmarkEnd w:id="136"/>
      <w:bookmarkStart w:id="137" w:name="_Toc79163646"/>
      <w:bookmarkStart w:id="138" w:name="_Toc15396629"/>
      <w:bookmarkStart w:id="139" w:name="_Toc79163896"/>
      <w:r>
        <w:rPr>
          <w:rFonts w:hint="eastAsia" w:ascii="仿宋_GB2312" w:hAnsi="仿宋_GB2312" w:eastAsia="仿宋_GB2312" w:cs="仿宋_GB2312"/>
          <w:color w:val="000000"/>
          <w:sz w:val="32"/>
          <w:szCs w:val="32"/>
        </w:rPr>
        <w:t>政府性基金预算财政拨款收入支出决算表</w:t>
      </w:r>
      <w:bookmarkEnd w:id="137"/>
      <w:bookmarkEnd w:id="138"/>
      <w:bookmarkEnd w:id="139"/>
    </w:p>
    <w:p>
      <w:pPr>
        <w:spacing w:line="576" w:lineRule="exact"/>
        <w:ind w:left="315" w:leftChars="150" w:firstLine="640" w:firstLineChars="200"/>
        <w:rPr>
          <w:rFonts w:ascii="仿宋_GB2312" w:hAnsi="仿宋_GB2312" w:eastAsia="仿宋_GB2312" w:cs="仿宋_GB2312"/>
          <w:color w:val="000000"/>
          <w:sz w:val="32"/>
          <w:szCs w:val="32"/>
        </w:rPr>
      </w:pPr>
      <w:bookmarkStart w:id="140" w:name="_Toc79163897"/>
      <w:bookmarkStart w:id="141" w:name="_Toc15396630"/>
      <w:bookmarkStart w:id="142" w:name="_Toc79163647"/>
      <w:r>
        <w:rPr>
          <w:rFonts w:hint="eastAsia" w:ascii="仿宋_GB2312" w:hAnsi="仿宋_GB2312" w:eastAsia="仿宋_GB2312" w:cs="仿宋_GB2312"/>
          <w:color w:val="000000"/>
          <w:sz w:val="32"/>
          <w:szCs w:val="32"/>
        </w:rPr>
        <w:t>十一、</w:t>
      </w:r>
      <w:bookmarkEnd w:id="140"/>
      <w:bookmarkEnd w:id="141"/>
      <w:bookmarkEnd w:id="142"/>
      <w:bookmarkStart w:id="143" w:name="_Toc15396631"/>
      <w:bookmarkStart w:id="144" w:name="_Toc79163898"/>
      <w:bookmarkStart w:id="145" w:name="_Toc79163648"/>
      <w:r>
        <w:rPr>
          <w:rFonts w:hint="eastAsia" w:ascii="仿宋_GB2312" w:hAnsi="仿宋_GB2312" w:eastAsia="仿宋_GB2312" w:cs="仿宋_GB2312"/>
          <w:color w:val="000000"/>
          <w:sz w:val="32"/>
          <w:szCs w:val="32"/>
        </w:rPr>
        <w:t>国有资本经营预算财政拨款收入支出决算表</w:t>
      </w:r>
      <w:bookmarkEnd w:id="143"/>
      <w:bookmarkEnd w:id="144"/>
      <w:bookmarkEnd w:id="145"/>
    </w:p>
    <w:p>
      <w:pPr>
        <w:spacing w:line="576" w:lineRule="exact"/>
        <w:ind w:left="315" w:leftChars="150" w:firstLine="640" w:firstLineChars="200"/>
        <w:rPr>
          <w:rFonts w:ascii="仿宋_GB2312" w:hAnsi="仿宋_GB2312" w:eastAsia="仿宋_GB2312" w:cs="仿宋_GB2312"/>
          <w:color w:val="000000"/>
          <w:sz w:val="32"/>
          <w:szCs w:val="32"/>
        </w:rPr>
      </w:pPr>
      <w:bookmarkStart w:id="146" w:name="_Toc79163899"/>
      <w:bookmarkStart w:id="147" w:name="_Toc79163649"/>
      <w:r>
        <w:rPr>
          <w:rFonts w:hint="eastAsia" w:ascii="仿宋_GB2312" w:hAnsi="仿宋_GB2312" w:eastAsia="仿宋_GB2312" w:cs="仿宋_GB2312"/>
          <w:color w:val="000000"/>
          <w:sz w:val="32"/>
          <w:szCs w:val="32"/>
        </w:rPr>
        <w:t>十</w:t>
      </w:r>
      <w:r>
        <w:rPr>
          <w:rFonts w:hint="eastAsia" w:ascii="仿宋_GB2312" w:hAnsi="仿宋_GB2312" w:eastAsia="仿宋_GB2312" w:cs="仿宋_GB2312"/>
          <w:color w:val="000000"/>
          <w:sz w:val="32"/>
          <w:szCs w:val="32"/>
          <w:lang w:val="en-US" w:eastAsia="zh-CN"/>
        </w:rPr>
        <w:t>二</w:t>
      </w:r>
      <w:r>
        <w:rPr>
          <w:rFonts w:hint="eastAsia" w:ascii="仿宋_GB2312" w:hAnsi="仿宋_GB2312" w:eastAsia="仿宋_GB2312" w:cs="仿宋_GB2312"/>
          <w:color w:val="000000"/>
          <w:sz w:val="32"/>
          <w:szCs w:val="32"/>
        </w:rPr>
        <w:t>、国有资本经营预算财政拨款支出决算表</w:t>
      </w:r>
      <w:bookmarkEnd w:id="146"/>
      <w:bookmarkEnd w:id="147"/>
    </w:p>
    <w:p>
      <w:pPr>
        <w:spacing w:line="576" w:lineRule="exact"/>
        <w:ind w:left="315" w:leftChars="150"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十三、</w:t>
      </w:r>
      <w:r>
        <w:rPr>
          <w:rFonts w:hint="eastAsia" w:ascii="仿宋_GB2312" w:hAnsi="仿宋_GB2312" w:eastAsia="仿宋_GB2312" w:cs="仿宋_GB2312"/>
          <w:color w:val="000000"/>
          <w:sz w:val="32"/>
          <w:szCs w:val="32"/>
        </w:rPr>
        <w:t>财政拨款“三公”经费支出决算表</w:t>
      </w:r>
    </w:p>
    <w:p>
      <w:pPr>
        <w:autoSpaceDE w:val="0"/>
        <w:autoSpaceDN w:val="0"/>
        <w:adjustRightInd w:val="0"/>
        <w:spacing w:line="576" w:lineRule="exact"/>
        <w:ind w:firstLine="640" w:firstLineChars="200"/>
        <w:jc w:val="left"/>
        <w:outlineLvl w:val="2"/>
        <w:rPr>
          <w:rFonts w:ascii="仿宋_GB2312" w:hAnsi="仿宋_GB2312" w:eastAsia="仿宋_GB2312" w:cs="仿宋_GB2312"/>
          <w:color w:val="000000"/>
          <w:sz w:val="32"/>
          <w:szCs w:val="32"/>
        </w:rPr>
      </w:pPr>
    </w:p>
    <w:sectPr>
      <w:pgSz w:w="11906" w:h="16838"/>
      <w:pgMar w:top="1440" w:right="1800" w:bottom="1440" w:left="1800" w:header="851" w:footer="992" w:gutter="0"/>
      <w:pgNumType w:fmt="decimal"/>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仿宋_GB2312"/>
    <w:panose1 w:val="00000000000000000000"/>
    <w:charset w:val="00"/>
    <w:family w:val="roman"/>
    <w:pitch w:val="default"/>
    <w:sig w:usb0="00000000" w:usb1="00000000" w:usb2="00000000" w:usb3="00000000" w:csb0="00000000" w:csb1="00000000"/>
  </w:font>
  <w:font w:name="方正小标宋简体">
    <w:panose1 w:val="02010601030101010101"/>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w:pict>
        <v:shape id="_x0000_s2056" o:spid="_x0000_s2056"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pPr>
                  <w:pStyle w:val="11"/>
                </w:pPr>
                <w:r>
                  <w:fldChar w:fldCharType="begin"/>
                </w:r>
                <w:r>
                  <w:instrText xml:space="preserve"> PAGE  \* MERGEFORMAT </w:instrText>
                </w:r>
                <w:r>
                  <w:fldChar w:fldCharType="separate"/>
                </w:r>
                <w:r>
                  <w:t>2</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w:pict>
        <v:shape id="_x0000_s2057" o:spid="_x0000_s2057"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pPr>
                  <w:pStyle w:val="11"/>
                </w:pPr>
                <w:r>
                  <w:fldChar w:fldCharType="begin"/>
                </w:r>
                <w:r>
                  <w:instrText xml:space="preserve"> PAGE  \* MERGEFORMAT </w:instrText>
                </w:r>
                <w:r>
                  <w:fldChar w:fldCharType="separate"/>
                </w:r>
                <w:r>
                  <w:t>1</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rPr>
        <w:sz w:val="18"/>
      </w:rPr>
      <w:pict>
        <v:shape id="_x0000_s2054" o:spid="_x0000_s2054"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sdt>
                <w:sdtPr>
                  <w:id w:val="-1"/>
                </w:sdtPr>
                <w:sdtContent>
                  <w:p>
                    <w:pPr>
                      <w:pStyle w:val="11"/>
                      <w:jc w:val="center"/>
                    </w:pPr>
                    <w:r>
                      <w:fldChar w:fldCharType="begin"/>
                    </w:r>
                    <w:r>
                      <w:instrText xml:space="preserve">PAGE   \* MERGEFORMAT</w:instrText>
                    </w:r>
                    <w:r>
                      <w:fldChar w:fldCharType="separate"/>
                    </w:r>
                    <w:r>
                      <w:rPr>
                        <w:lang w:val="zh-CN"/>
                      </w:rPr>
                      <w:t>11</w:t>
                    </w:r>
                    <w:r>
                      <w:rPr>
                        <w:lang w:val="zh-CN"/>
                      </w:rPr>
                      <w:fldChar w:fldCharType="end"/>
                    </w:r>
                  </w:p>
                </w:sdtContent>
              </w:sdt>
              <w:p/>
            </w:txbxContent>
          </v:textbox>
        </v:shape>
      </w:pict>
    </w:r>
  </w:p>
  <w:p>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w:pict>
        <v:shape id="_x0000_s2055" o:spid="_x0000_s2055"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pStyle w:val="11"/>
                </w:pPr>
                <w:r>
                  <w:fldChar w:fldCharType="begin"/>
                </w:r>
                <w:r>
                  <w:instrText xml:space="preserve"> PAGE  \* MERGEFORMAT </w:instrText>
                </w:r>
                <w:r>
                  <w:fldChar w:fldCharType="separate"/>
                </w:r>
                <w:r>
                  <w:t>1</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F315E524"/>
    <w:multiLevelType w:val="singleLevel"/>
    <w:tmpl w:val="F315E524"/>
    <w:lvl w:ilvl="0" w:tentative="0">
      <w:start w:val="4"/>
      <w:numFmt w:val="chineseCounting"/>
      <w:suff w:val="nothing"/>
      <w:lvlText w:val="（%1）"/>
      <w:lvlJc w:val="left"/>
      <w:rPr>
        <w:rFonts w:hint="eastAsia"/>
      </w:rPr>
    </w:lvl>
  </w:abstractNum>
  <w:abstractNum w:abstractNumId="3">
    <w:nsid w:val="02EC9457"/>
    <w:multiLevelType w:val="singleLevel"/>
    <w:tmpl w:val="02EC9457"/>
    <w:lvl w:ilvl="0" w:tentative="0">
      <w:start w:val="1"/>
      <w:numFmt w:val="chineseCounting"/>
      <w:suff w:val="nothing"/>
      <w:lvlText w:val="%1、"/>
      <w:lvlJc w:val="left"/>
      <w:rPr>
        <w:rFonts w:hint="eastAsia"/>
      </w:r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jJhYTZiYWMyMjExZGMzMjM0ZWE1MzM4ZDRjOGNhZmQifQ=="/>
  </w:docVars>
  <w:rsids>
    <w:rsidRoot w:val="00F1361C"/>
    <w:rsid w:val="00003925"/>
    <w:rsid w:val="00011DB9"/>
    <w:rsid w:val="000222C6"/>
    <w:rsid w:val="0002549F"/>
    <w:rsid w:val="00031867"/>
    <w:rsid w:val="00037B44"/>
    <w:rsid w:val="000468DB"/>
    <w:rsid w:val="00047587"/>
    <w:rsid w:val="0006487A"/>
    <w:rsid w:val="00065F8F"/>
    <w:rsid w:val="00070A43"/>
    <w:rsid w:val="000768F2"/>
    <w:rsid w:val="0009184B"/>
    <w:rsid w:val="000936C8"/>
    <w:rsid w:val="00094236"/>
    <w:rsid w:val="0009593C"/>
    <w:rsid w:val="00097322"/>
    <w:rsid w:val="000A025A"/>
    <w:rsid w:val="000A07EC"/>
    <w:rsid w:val="000A2D6F"/>
    <w:rsid w:val="000A4660"/>
    <w:rsid w:val="000A6A92"/>
    <w:rsid w:val="000A78B6"/>
    <w:rsid w:val="000B047F"/>
    <w:rsid w:val="000B5923"/>
    <w:rsid w:val="000B5A48"/>
    <w:rsid w:val="000B6FF3"/>
    <w:rsid w:val="000C3467"/>
    <w:rsid w:val="000C3CA6"/>
    <w:rsid w:val="000C3DD9"/>
    <w:rsid w:val="000D1267"/>
    <w:rsid w:val="000D1D50"/>
    <w:rsid w:val="000D3D0A"/>
    <w:rsid w:val="000D5200"/>
    <w:rsid w:val="000D5782"/>
    <w:rsid w:val="000E0717"/>
    <w:rsid w:val="000E6613"/>
    <w:rsid w:val="000E7119"/>
    <w:rsid w:val="000F7D14"/>
    <w:rsid w:val="00114E9B"/>
    <w:rsid w:val="00134DD3"/>
    <w:rsid w:val="00142216"/>
    <w:rsid w:val="0014433D"/>
    <w:rsid w:val="00144D6A"/>
    <w:rsid w:val="0014706F"/>
    <w:rsid w:val="0014729F"/>
    <w:rsid w:val="00151354"/>
    <w:rsid w:val="00157372"/>
    <w:rsid w:val="00157BAB"/>
    <w:rsid w:val="001629C9"/>
    <w:rsid w:val="00164D2A"/>
    <w:rsid w:val="001654D1"/>
    <w:rsid w:val="00174518"/>
    <w:rsid w:val="0018106D"/>
    <w:rsid w:val="001831E2"/>
    <w:rsid w:val="001877A7"/>
    <w:rsid w:val="00191536"/>
    <w:rsid w:val="00193C9E"/>
    <w:rsid w:val="00196687"/>
    <w:rsid w:val="001C0962"/>
    <w:rsid w:val="001C3C4E"/>
    <w:rsid w:val="001D7531"/>
    <w:rsid w:val="001E1DD7"/>
    <w:rsid w:val="001E737D"/>
    <w:rsid w:val="001E7D9E"/>
    <w:rsid w:val="001F0592"/>
    <w:rsid w:val="001F7506"/>
    <w:rsid w:val="001F7820"/>
    <w:rsid w:val="002006CD"/>
    <w:rsid w:val="00202B36"/>
    <w:rsid w:val="00204B7A"/>
    <w:rsid w:val="00204CDE"/>
    <w:rsid w:val="00207071"/>
    <w:rsid w:val="00210BB9"/>
    <w:rsid w:val="0021101A"/>
    <w:rsid w:val="00220536"/>
    <w:rsid w:val="002226CC"/>
    <w:rsid w:val="002233F1"/>
    <w:rsid w:val="002276C3"/>
    <w:rsid w:val="00235629"/>
    <w:rsid w:val="00244DE7"/>
    <w:rsid w:val="002509D6"/>
    <w:rsid w:val="00260C38"/>
    <w:rsid w:val="002616C0"/>
    <w:rsid w:val="00265372"/>
    <w:rsid w:val="002662AA"/>
    <w:rsid w:val="0027084F"/>
    <w:rsid w:val="00280496"/>
    <w:rsid w:val="00294DC9"/>
    <w:rsid w:val="00295495"/>
    <w:rsid w:val="002A31DE"/>
    <w:rsid w:val="002A3307"/>
    <w:rsid w:val="002B2613"/>
    <w:rsid w:val="002B7ED3"/>
    <w:rsid w:val="002C3AAF"/>
    <w:rsid w:val="002D19B0"/>
    <w:rsid w:val="002D6D05"/>
    <w:rsid w:val="002E1CB4"/>
    <w:rsid w:val="002F1818"/>
    <w:rsid w:val="002F567B"/>
    <w:rsid w:val="002F5F2F"/>
    <w:rsid w:val="002F78A2"/>
    <w:rsid w:val="00320D06"/>
    <w:rsid w:val="003216A9"/>
    <w:rsid w:val="0033258B"/>
    <w:rsid w:val="0033450F"/>
    <w:rsid w:val="00335A74"/>
    <w:rsid w:val="003455E3"/>
    <w:rsid w:val="00362EA8"/>
    <w:rsid w:val="0036561B"/>
    <w:rsid w:val="00366617"/>
    <w:rsid w:val="0037013F"/>
    <w:rsid w:val="003703C2"/>
    <w:rsid w:val="00373E9F"/>
    <w:rsid w:val="0038010F"/>
    <w:rsid w:val="00380C92"/>
    <w:rsid w:val="003A31E6"/>
    <w:rsid w:val="003A484F"/>
    <w:rsid w:val="003A4883"/>
    <w:rsid w:val="003B0BE0"/>
    <w:rsid w:val="003B0C1B"/>
    <w:rsid w:val="003B688C"/>
    <w:rsid w:val="003C0291"/>
    <w:rsid w:val="003C39AE"/>
    <w:rsid w:val="003C7B60"/>
    <w:rsid w:val="003D0C0F"/>
    <w:rsid w:val="003D1FB2"/>
    <w:rsid w:val="003D66DA"/>
    <w:rsid w:val="003E0CFB"/>
    <w:rsid w:val="003E1310"/>
    <w:rsid w:val="003E6F55"/>
    <w:rsid w:val="003F627D"/>
    <w:rsid w:val="003F6619"/>
    <w:rsid w:val="00401D55"/>
    <w:rsid w:val="00406254"/>
    <w:rsid w:val="00416CD4"/>
    <w:rsid w:val="00421F55"/>
    <w:rsid w:val="004223DE"/>
    <w:rsid w:val="00434489"/>
    <w:rsid w:val="00437085"/>
    <w:rsid w:val="004406FC"/>
    <w:rsid w:val="00440C35"/>
    <w:rsid w:val="00441C72"/>
    <w:rsid w:val="00443880"/>
    <w:rsid w:val="00443D73"/>
    <w:rsid w:val="004464F4"/>
    <w:rsid w:val="00461AC3"/>
    <w:rsid w:val="004703B5"/>
    <w:rsid w:val="00471401"/>
    <w:rsid w:val="0047399F"/>
    <w:rsid w:val="00473F31"/>
    <w:rsid w:val="0048127E"/>
    <w:rsid w:val="0048263A"/>
    <w:rsid w:val="00487E5D"/>
    <w:rsid w:val="0049273C"/>
    <w:rsid w:val="00497B5A"/>
    <w:rsid w:val="004A711F"/>
    <w:rsid w:val="004B00CE"/>
    <w:rsid w:val="004B199D"/>
    <w:rsid w:val="004B4690"/>
    <w:rsid w:val="004C2615"/>
    <w:rsid w:val="004C3AA4"/>
    <w:rsid w:val="004E0A2D"/>
    <w:rsid w:val="004E206B"/>
    <w:rsid w:val="004E6DF7"/>
    <w:rsid w:val="004F0FBD"/>
    <w:rsid w:val="004F403E"/>
    <w:rsid w:val="004F5C5B"/>
    <w:rsid w:val="00500514"/>
    <w:rsid w:val="00502A87"/>
    <w:rsid w:val="00505A47"/>
    <w:rsid w:val="00512FDA"/>
    <w:rsid w:val="00520DA0"/>
    <w:rsid w:val="005279F4"/>
    <w:rsid w:val="00532C87"/>
    <w:rsid w:val="00555552"/>
    <w:rsid w:val="00556921"/>
    <w:rsid w:val="005664BB"/>
    <w:rsid w:val="00566FFA"/>
    <w:rsid w:val="00567C22"/>
    <w:rsid w:val="0057481D"/>
    <w:rsid w:val="00575F0B"/>
    <w:rsid w:val="00583C57"/>
    <w:rsid w:val="0058486E"/>
    <w:rsid w:val="00585B33"/>
    <w:rsid w:val="0059014D"/>
    <w:rsid w:val="00593C63"/>
    <w:rsid w:val="005B2F51"/>
    <w:rsid w:val="005B5C64"/>
    <w:rsid w:val="005C6857"/>
    <w:rsid w:val="005C6BD0"/>
    <w:rsid w:val="005C6C4C"/>
    <w:rsid w:val="005D1C8B"/>
    <w:rsid w:val="005D468D"/>
    <w:rsid w:val="005D5CED"/>
    <w:rsid w:val="005F1A4C"/>
    <w:rsid w:val="006002DF"/>
    <w:rsid w:val="00605688"/>
    <w:rsid w:val="006070AF"/>
    <w:rsid w:val="00607E6C"/>
    <w:rsid w:val="006101B1"/>
    <w:rsid w:val="006146F8"/>
    <w:rsid w:val="00614E44"/>
    <w:rsid w:val="0062270A"/>
    <w:rsid w:val="00622830"/>
    <w:rsid w:val="00622EBC"/>
    <w:rsid w:val="00623DA0"/>
    <w:rsid w:val="00627DDB"/>
    <w:rsid w:val="00630657"/>
    <w:rsid w:val="00630AEF"/>
    <w:rsid w:val="006325F8"/>
    <w:rsid w:val="00633463"/>
    <w:rsid w:val="00634C9A"/>
    <w:rsid w:val="00635024"/>
    <w:rsid w:val="006440E4"/>
    <w:rsid w:val="006608F7"/>
    <w:rsid w:val="0066343B"/>
    <w:rsid w:val="00664777"/>
    <w:rsid w:val="006748A4"/>
    <w:rsid w:val="00680F63"/>
    <w:rsid w:val="00681064"/>
    <w:rsid w:val="00681A31"/>
    <w:rsid w:val="00683E73"/>
    <w:rsid w:val="0069465C"/>
    <w:rsid w:val="006A3141"/>
    <w:rsid w:val="006A5E34"/>
    <w:rsid w:val="006B2422"/>
    <w:rsid w:val="006B2B9A"/>
    <w:rsid w:val="006B7439"/>
    <w:rsid w:val="006C1639"/>
    <w:rsid w:val="006C1937"/>
    <w:rsid w:val="006C38C5"/>
    <w:rsid w:val="006D7C94"/>
    <w:rsid w:val="006F020C"/>
    <w:rsid w:val="006F3780"/>
    <w:rsid w:val="006F41D9"/>
    <w:rsid w:val="00712156"/>
    <w:rsid w:val="007127B7"/>
    <w:rsid w:val="0071798E"/>
    <w:rsid w:val="007236A6"/>
    <w:rsid w:val="007258E4"/>
    <w:rsid w:val="00726C29"/>
    <w:rsid w:val="00727533"/>
    <w:rsid w:val="007305EB"/>
    <w:rsid w:val="007416B6"/>
    <w:rsid w:val="00746F48"/>
    <w:rsid w:val="00752E95"/>
    <w:rsid w:val="0075404D"/>
    <w:rsid w:val="0076182A"/>
    <w:rsid w:val="0076598F"/>
    <w:rsid w:val="00767B7E"/>
    <w:rsid w:val="00767CC9"/>
    <w:rsid w:val="00772141"/>
    <w:rsid w:val="00773D82"/>
    <w:rsid w:val="00776629"/>
    <w:rsid w:val="007770C3"/>
    <w:rsid w:val="00784D24"/>
    <w:rsid w:val="00785FBA"/>
    <w:rsid w:val="007860C9"/>
    <w:rsid w:val="00786E4A"/>
    <w:rsid w:val="007875EB"/>
    <w:rsid w:val="0079426B"/>
    <w:rsid w:val="007A1DAA"/>
    <w:rsid w:val="007D1682"/>
    <w:rsid w:val="007D312A"/>
    <w:rsid w:val="007D3F19"/>
    <w:rsid w:val="007E23B0"/>
    <w:rsid w:val="007F1991"/>
    <w:rsid w:val="007F2C2F"/>
    <w:rsid w:val="007F55FC"/>
    <w:rsid w:val="007F5665"/>
    <w:rsid w:val="00800112"/>
    <w:rsid w:val="00807E8E"/>
    <w:rsid w:val="00813348"/>
    <w:rsid w:val="0082071C"/>
    <w:rsid w:val="008253BB"/>
    <w:rsid w:val="00833962"/>
    <w:rsid w:val="0083706E"/>
    <w:rsid w:val="008408F6"/>
    <w:rsid w:val="008423A5"/>
    <w:rsid w:val="00847A34"/>
    <w:rsid w:val="00850625"/>
    <w:rsid w:val="00853718"/>
    <w:rsid w:val="00855221"/>
    <w:rsid w:val="00860645"/>
    <w:rsid w:val="00871F71"/>
    <w:rsid w:val="00872FD8"/>
    <w:rsid w:val="00877689"/>
    <w:rsid w:val="00885AF4"/>
    <w:rsid w:val="008939CD"/>
    <w:rsid w:val="008A2BE1"/>
    <w:rsid w:val="008A4B53"/>
    <w:rsid w:val="008B1A58"/>
    <w:rsid w:val="008B494E"/>
    <w:rsid w:val="008B768C"/>
    <w:rsid w:val="008B7F51"/>
    <w:rsid w:val="008C08EC"/>
    <w:rsid w:val="008C4DB1"/>
    <w:rsid w:val="008C4EAF"/>
    <w:rsid w:val="008C5176"/>
    <w:rsid w:val="008C7FD0"/>
    <w:rsid w:val="008E1DE7"/>
    <w:rsid w:val="008E5932"/>
    <w:rsid w:val="008E707C"/>
    <w:rsid w:val="008F141D"/>
    <w:rsid w:val="00900B08"/>
    <w:rsid w:val="00902155"/>
    <w:rsid w:val="00902FA3"/>
    <w:rsid w:val="00914370"/>
    <w:rsid w:val="00914A73"/>
    <w:rsid w:val="00915AE4"/>
    <w:rsid w:val="00923564"/>
    <w:rsid w:val="0092392E"/>
    <w:rsid w:val="009315F9"/>
    <w:rsid w:val="00933499"/>
    <w:rsid w:val="00935C98"/>
    <w:rsid w:val="00946945"/>
    <w:rsid w:val="00951248"/>
    <w:rsid w:val="0095152F"/>
    <w:rsid w:val="00954C49"/>
    <w:rsid w:val="00955E37"/>
    <w:rsid w:val="00961A48"/>
    <w:rsid w:val="00963AFE"/>
    <w:rsid w:val="0097099F"/>
    <w:rsid w:val="00971997"/>
    <w:rsid w:val="00971FFC"/>
    <w:rsid w:val="00972A48"/>
    <w:rsid w:val="00973CC9"/>
    <w:rsid w:val="0098660A"/>
    <w:rsid w:val="00986880"/>
    <w:rsid w:val="00992DCF"/>
    <w:rsid w:val="009931C3"/>
    <w:rsid w:val="00996CA5"/>
    <w:rsid w:val="009970FA"/>
    <w:rsid w:val="009A0993"/>
    <w:rsid w:val="009A4F00"/>
    <w:rsid w:val="009B2C43"/>
    <w:rsid w:val="009B3128"/>
    <w:rsid w:val="009B4EAE"/>
    <w:rsid w:val="009B7573"/>
    <w:rsid w:val="009C22F4"/>
    <w:rsid w:val="009C2E98"/>
    <w:rsid w:val="009C37FB"/>
    <w:rsid w:val="009D3447"/>
    <w:rsid w:val="009D4711"/>
    <w:rsid w:val="009F1185"/>
    <w:rsid w:val="009F18CD"/>
    <w:rsid w:val="009F2A13"/>
    <w:rsid w:val="009F6792"/>
    <w:rsid w:val="009F7527"/>
    <w:rsid w:val="00A01711"/>
    <w:rsid w:val="00A039ED"/>
    <w:rsid w:val="00A04EB0"/>
    <w:rsid w:val="00A13CC1"/>
    <w:rsid w:val="00A16847"/>
    <w:rsid w:val="00A16C42"/>
    <w:rsid w:val="00A237D8"/>
    <w:rsid w:val="00A268C4"/>
    <w:rsid w:val="00A307CD"/>
    <w:rsid w:val="00A331C8"/>
    <w:rsid w:val="00A35117"/>
    <w:rsid w:val="00A40A00"/>
    <w:rsid w:val="00A4142F"/>
    <w:rsid w:val="00A422EB"/>
    <w:rsid w:val="00A45BB7"/>
    <w:rsid w:val="00A5577C"/>
    <w:rsid w:val="00A56DF2"/>
    <w:rsid w:val="00A56E6E"/>
    <w:rsid w:val="00A576C4"/>
    <w:rsid w:val="00A67AB5"/>
    <w:rsid w:val="00A733B2"/>
    <w:rsid w:val="00A741C2"/>
    <w:rsid w:val="00A778F6"/>
    <w:rsid w:val="00A86F98"/>
    <w:rsid w:val="00A91760"/>
    <w:rsid w:val="00A93B00"/>
    <w:rsid w:val="00A93C21"/>
    <w:rsid w:val="00AA347C"/>
    <w:rsid w:val="00AB4AAA"/>
    <w:rsid w:val="00AB64C9"/>
    <w:rsid w:val="00AC3C6A"/>
    <w:rsid w:val="00AC7903"/>
    <w:rsid w:val="00AD0F83"/>
    <w:rsid w:val="00AD5620"/>
    <w:rsid w:val="00AD656B"/>
    <w:rsid w:val="00AD7C1B"/>
    <w:rsid w:val="00AE16BA"/>
    <w:rsid w:val="00AE1EBE"/>
    <w:rsid w:val="00AF37A0"/>
    <w:rsid w:val="00B03C9D"/>
    <w:rsid w:val="00B04C7B"/>
    <w:rsid w:val="00B060AE"/>
    <w:rsid w:val="00B10517"/>
    <w:rsid w:val="00B10F2B"/>
    <w:rsid w:val="00B14E76"/>
    <w:rsid w:val="00B161B8"/>
    <w:rsid w:val="00B2048C"/>
    <w:rsid w:val="00B20A7D"/>
    <w:rsid w:val="00B20D4C"/>
    <w:rsid w:val="00B310B9"/>
    <w:rsid w:val="00B35F3F"/>
    <w:rsid w:val="00B36CBB"/>
    <w:rsid w:val="00B425E0"/>
    <w:rsid w:val="00B440AA"/>
    <w:rsid w:val="00B44B70"/>
    <w:rsid w:val="00B45D91"/>
    <w:rsid w:val="00B53C56"/>
    <w:rsid w:val="00B57DAF"/>
    <w:rsid w:val="00B66F66"/>
    <w:rsid w:val="00B73F29"/>
    <w:rsid w:val="00B77EA6"/>
    <w:rsid w:val="00B81345"/>
    <w:rsid w:val="00B81598"/>
    <w:rsid w:val="00B841F1"/>
    <w:rsid w:val="00B928EE"/>
    <w:rsid w:val="00B931C7"/>
    <w:rsid w:val="00B944D6"/>
    <w:rsid w:val="00B951BD"/>
    <w:rsid w:val="00BA2A5A"/>
    <w:rsid w:val="00BB4DF0"/>
    <w:rsid w:val="00BB5ABF"/>
    <w:rsid w:val="00BC289F"/>
    <w:rsid w:val="00BC2D50"/>
    <w:rsid w:val="00BC5361"/>
    <w:rsid w:val="00BC5460"/>
    <w:rsid w:val="00BC6B50"/>
    <w:rsid w:val="00BD0E25"/>
    <w:rsid w:val="00BE0091"/>
    <w:rsid w:val="00BE4B75"/>
    <w:rsid w:val="00BF5BD6"/>
    <w:rsid w:val="00BF7AA1"/>
    <w:rsid w:val="00C03E31"/>
    <w:rsid w:val="00C251D8"/>
    <w:rsid w:val="00C26F8C"/>
    <w:rsid w:val="00C277F8"/>
    <w:rsid w:val="00C30E69"/>
    <w:rsid w:val="00C33E72"/>
    <w:rsid w:val="00C354B2"/>
    <w:rsid w:val="00C35554"/>
    <w:rsid w:val="00C42709"/>
    <w:rsid w:val="00C43ABB"/>
    <w:rsid w:val="00C533CC"/>
    <w:rsid w:val="00C5751C"/>
    <w:rsid w:val="00C603DA"/>
    <w:rsid w:val="00C61BFC"/>
    <w:rsid w:val="00C62B85"/>
    <w:rsid w:val="00C65438"/>
    <w:rsid w:val="00C67F3F"/>
    <w:rsid w:val="00C7013E"/>
    <w:rsid w:val="00C818C4"/>
    <w:rsid w:val="00C860DE"/>
    <w:rsid w:val="00C91CBB"/>
    <w:rsid w:val="00C922B5"/>
    <w:rsid w:val="00CA7FFB"/>
    <w:rsid w:val="00CB1032"/>
    <w:rsid w:val="00CB4E70"/>
    <w:rsid w:val="00CC09B6"/>
    <w:rsid w:val="00CC3A69"/>
    <w:rsid w:val="00CC3DB4"/>
    <w:rsid w:val="00CC666F"/>
    <w:rsid w:val="00CD1E3F"/>
    <w:rsid w:val="00CE44F6"/>
    <w:rsid w:val="00CE49DA"/>
    <w:rsid w:val="00CE68D7"/>
    <w:rsid w:val="00CE7B61"/>
    <w:rsid w:val="00CF63C2"/>
    <w:rsid w:val="00D00095"/>
    <w:rsid w:val="00D01322"/>
    <w:rsid w:val="00D114F0"/>
    <w:rsid w:val="00D178E7"/>
    <w:rsid w:val="00D179F5"/>
    <w:rsid w:val="00D20620"/>
    <w:rsid w:val="00D2207C"/>
    <w:rsid w:val="00D254F7"/>
    <w:rsid w:val="00D26091"/>
    <w:rsid w:val="00D2685C"/>
    <w:rsid w:val="00D26B1B"/>
    <w:rsid w:val="00D31325"/>
    <w:rsid w:val="00D335A0"/>
    <w:rsid w:val="00D34E7C"/>
    <w:rsid w:val="00D35489"/>
    <w:rsid w:val="00D36AFE"/>
    <w:rsid w:val="00D44B74"/>
    <w:rsid w:val="00D45274"/>
    <w:rsid w:val="00D51276"/>
    <w:rsid w:val="00D52F41"/>
    <w:rsid w:val="00D64C67"/>
    <w:rsid w:val="00D7035F"/>
    <w:rsid w:val="00D77631"/>
    <w:rsid w:val="00D83742"/>
    <w:rsid w:val="00D90266"/>
    <w:rsid w:val="00D92DA7"/>
    <w:rsid w:val="00DA634F"/>
    <w:rsid w:val="00DA65AC"/>
    <w:rsid w:val="00DB1913"/>
    <w:rsid w:val="00DC410D"/>
    <w:rsid w:val="00DC5A81"/>
    <w:rsid w:val="00DC68CA"/>
    <w:rsid w:val="00DC7CBA"/>
    <w:rsid w:val="00DD49C2"/>
    <w:rsid w:val="00DD73B7"/>
    <w:rsid w:val="00DF28BC"/>
    <w:rsid w:val="00DF2E69"/>
    <w:rsid w:val="00DF3322"/>
    <w:rsid w:val="00DF34B9"/>
    <w:rsid w:val="00DF7548"/>
    <w:rsid w:val="00DF769A"/>
    <w:rsid w:val="00E004E3"/>
    <w:rsid w:val="00E01053"/>
    <w:rsid w:val="00E07ACF"/>
    <w:rsid w:val="00E11AD1"/>
    <w:rsid w:val="00E16FE8"/>
    <w:rsid w:val="00E331A1"/>
    <w:rsid w:val="00E33202"/>
    <w:rsid w:val="00E336A9"/>
    <w:rsid w:val="00E3642A"/>
    <w:rsid w:val="00E46A67"/>
    <w:rsid w:val="00E472B1"/>
    <w:rsid w:val="00E50624"/>
    <w:rsid w:val="00E566AD"/>
    <w:rsid w:val="00E568DF"/>
    <w:rsid w:val="00E64269"/>
    <w:rsid w:val="00E66797"/>
    <w:rsid w:val="00E82267"/>
    <w:rsid w:val="00E853CE"/>
    <w:rsid w:val="00E867B6"/>
    <w:rsid w:val="00E87F08"/>
    <w:rsid w:val="00E90A5E"/>
    <w:rsid w:val="00E95D55"/>
    <w:rsid w:val="00E96E57"/>
    <w:rsid w:val="00EA010F"/>
    <w:rsid w:val="00ED1B63"/>
    <w:rsid w:val="00ED1FDC"/>
    <w:rsid w:val="00ED3C1F"/>
    <w:rsid w:val="00ED4085"/>
    <w:rsid w:val="00ED420E"/>
    <w:rsid w:val="00ED6FBE"/>
    <w:rsid w:val="00EE2F57"/>
    <w:rsid w:val="00EF4C34"/>
    <w:rsid w:val="00EF77C6"/>
    <w:rsid w:val="00F05438"/>
    <w:rsid w:val="00F12862"/>
    <w:rsid w:val="00F1299D"/>
    <w:rsid w:val="00F1361C"/>
    <w:rsid w:val="00F156F0"/>
    <w:rsid w:val="00F160C7"/>
    <w:rsid w:val="00F20FEF"/>
    <w:rsid w:val="00F2408F"/>
    <w:rsid w:val="00F240E9"/>
    <w:rsid w:val="00F24291"/>
    <w:rsid w:val="00F25A72"/>
    <w:rsid w:val="00F2671F"/>
    <w:rsid w:val="00F329E1"/>
    <w:rsid w:val="00F36D8F"/>
    <w:rsid w:val="00F407C2"/>
    <w:rsid w:val="00F417B1"/>
    <w:rsid w:val="00F45853"/>
    <w:rsid w:val="00F520D4"/>
    <w:rsid w:val="00F520FE"/>
    <w:rsid w:val="00F602DF"/>
    <w:rsid w:val="00F619A6"/>
    <w:rsid w:val="00F754A1"/>
    <w:rsid w:val="00F81FD9"/>
    <w:rsid w:val="00F841AA"/>
    <w:rsid w:val="00F84A94"/>
    <w:rsid w:val="00F87E96"/>
    <w:rsid w:val="00FA23E8"/>
    <w:rsid w:val="00FD1395"/>
    <w:rsid w:val="00FD3CC1"/>
    <w:rsid w:val="00FD4FED"/>
    <w:rsid w:val="00FF1E02"/>
    <w:rsid w:val="00FF30B4"/>
    <w:rsid w:val="0276787F"/>
    <w:rsid w:val="02AC2E4C"/>
    <w:rsid w:val="032F4154"/>
    <w:rsid w:val="03A252BE"/>
    <w:rsid w:val="03B94246"/>
    <w:rsid w:val="03F87DBC"/>
    <w:rsid w:val="04473C07"/>
    <w:rsid w:val="05BC2F2E"/>
    <w:rsid w:val="06005B80"/>
    <w:rsid w:val="06A72A7B"/>
    <w:rsid w:val="09434CDD"/>
    <w:rsid w:val="098B19C3"/>
    <w:rsid w:val="09B72FD5"/>
    <w:rsid w:val="0AF049F1"/>
    <w:rsid w:val="0B356BEA"/>
    <w:rsid w:val="0E3A4EB9"/>
    <w:rsid w:val="0EBE0AFF"/>
    <w:rsid w:val="0F612708"/>
    <w:rsid w:val="10C055FF"/>
    <w:rsid w:val="11616CF0"/>
    <w:rsid w:val="120B2110"/>
    <w:rsid w:val="12DD5483"/>
    <w:rsid w:val="132C683F"/>
    <w:rsid w:val="13F04A27"/>
    <w:rsid w:val="143E4984"/>
    <w:rsid w:val="14821143"/>
    <w:rsid w:val="14CE6478"/>
    <w:rsid w:val="16BB723D"/>
    <w:rsid w:val="170A6E3A"/>
    <w:rsid w:val="181A2B1F"/>
    <w:rsid w:val="181C5ADF"/>
    <w:rsid w:val="1A7C004F"/>
    <w:rsid w:val="1AC6629F"/>
    <w:rsid w:val="1D4618A9"/>
    <w:rsid w:val="1DA50291"/>
    <w:rsid w:val="1F4F7C3B"/>
    <w:rsid w:val="20B41BC5"/>
    <w:rsid w:val="21951276"/>
    <w:rsid w:val="220A7FB3"/>
    <w:rsid w:val="22B46D74"/>
    <w:rsid w:val="23963804"/>
    <w:rsid w:val="240371BF"/>
    <w:rsid w:val="24344539"/>
    <w:rsid w:val="24FF3D57"/>
    <w:rsid w:val="25DB5D86"/>
    <w:rsid w:val="26E461A3"/>
    <w:rsid w:val="27266A89"/>
    <w:rsid w:val="28505F41"/>
    <w:rsid w:val="291931BB"/>
    <w:rsid w:val="29A307A6"/>
    <w:rsid w:val="29EF5F59"/>
    <w:rsid w:val="29FD04D3"/>
    <w:rsid w:val="2A5341A4"/>
    <w:rsid w:val="2AB4334C"/>
    <w:rsid w:val="2AE552D5"/>
    <w:rsid w:val="2B7B7EAF"/>
    <w:rsid w:val="306929CC"/>
    <w:rsid w:val="30711881"/>
    <w:rsid w:val="319F7F4E"/>
    <w:rsid w:val="31D37E27"/>
    <w:rsid w:val="31F14A27"/>
    <w:rsid w:val="35167B64"/>
    <w:rsid w:val="356E2791"/>
    <w:rsid w:val="362401FB"/>
    <w:rsid w:val="392A565E"/>
    <w:rsid w:val="3A691675"/>
    <w:rsid w:val="3BFD046C"/>
    <w:rsid w:val="3D3A6003"/>
    <w:rsid w:val="3D751162"/>
    <w:rsid w:val="3D820BE1"/>
    <w:rsid w:val="3E8A6C2A"/>
    <w:rsid w:val="3FB86B84"/>
    <w:rsid w:val="409B6EA7"/>
    <w:rsid w:val="42661114"/>
    <w:rsid w:val="44897961"/>
    <w:rsid w:val="44CA35EB"/>
    <w:rsid w:val="44FA7C3F"/>
    <w:rsid w:val="451F6064"/>
    <w:rsid w:val="45B002FD"/>
    <w:rsid w:val="471F06CF"/>
    <w:rsid w:val="47DC362C"/>
    <w:rsid w:val="493375A8"/>
    <w:rsid w:val="49C800BC"/>
    <w:rsid w:val="4BBB4DDF"/>
    <w:rsid w:val="4C07336D"/>
    <w:rsid w:val="4D695962"/>
    <w:rsid w:val="4ECE2238"/>
    <w:rsid w:val="4F0654EA"/>
    <w:rsid w:val="4F8C1E10"/>
    <w:rsid w:val="511107EA"/>
    <w:rsid w:val="51554D47"/>
    <w:rsid w:val="522E28C0"/>
    <w:rsid w:val="5323717F"/>
    <w:rsid w:val="53296BAC"/>
    <w:rsid w:val="53FF6BD1"/>
    <w:rsid w:val="55197FB1"/>
    <w:rsid w:val="561548D9"/>
    <w:rsid w:val="597015DE"/>
    <w:rsid w:val="5AA05F2C"/>
    <w:rsid w:val="5AC87661"/>
    <w:rsid w:val="5B3823B7"/>
    <w:rsid w:val="5B47145F"/>
    <w:rsid w:val="5BB07FF9"/>
    <w:rsid w:val="5CD050A1"/>
    <w:rsid w:val="5DA458BA"/>
    <w:rsid w:val="5F28567D"/>
    <w:rsid w:val="608D6928"/>
    <w:rsid w:val="617955FF"/>
    <w:rsid w:val="62894684"/>
    <w:rsid w:val="637D586B"/>
    <w:rsid w:val="647F52EC"/>
    <w:rsid w:val="65770825"/>
    <w:rsid w:val="66CA337D"/>
    <w:rsid w:val="673A5239"/>
    <w:rsid w:val="677C5CC9"/>
    <w:rsid w:val="695D5F23"/>
    <w:rsid w:val="69B0699A"/>
    <w:rsid w:val="6A3A2708"/>
    <w:rsid w:val="6A674B7F"/>
    <w:rsid w:val="6BBA26E8"/>
    <w:rsid w:val="6BF45D25"/>
    <w:rsid w:val="6DAF0D17"/>
    <w:rsid w:val="6FF14BA2"/>
    <w:rsid w:val="702D5518"/>
    <w:rsid w:val="712437CA"/>
    <w:rsid w:val="719A3A8C"/>
    <w:rsid w:val="71F87B8C"/>
    <w:rsid w:val="720A75BB"/>
    <w:rsid w:val="72734D90"/>
    <w:rsid w:val="73521A0A"/>
    <w:rsid w:val="74082F2F"/>
    <w:rsid w:val="74251D33"/>
    <w:rsid w:val="74F27DED"/>
    <w:rsid w:val="759E3B4B"/>
    <w:rsid w:val="75B21C07"/>
    <w:rsid w:val="75BF4C72"/>
    <w:rsid w:val="77F71C38"/>
    <w:rsid w:val="78865D58"/>
    <w:rsid w:val="79304861"/>
    <w:rsid w:val="7AC5601E"/>
    <w:rsid w:val="7C405469"/>
    <w:rsid w:val="7D270829"/>
    <w:rsid w:val="7FFC682A"/>
    <w:rsid w:val="C7CA1B2D"/>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7">
    <w:name w:val="heading 3"/>
    <w:basedOn w:val="1"/>
    <w:next w:val="1"/>
    <w:link w:val="33"/>
    <w:unhideWhenUsed/>
    <w:qFormat/>
    <w:uiPriority w:val="9"/>
    <w:pPr>
      <w:keepNext/>
      <w:keepLines/>
      <w:spacing w:before="260" w:after="260" w:line="416" w:lineRule="auto"/>
      <w:outlineLvl w:val="2"/>
    </w:pPr>
    <w:rPr>
      <w:b/>
      <w:bCs/>
      <w:sz w:val="32"/>
      <w:szCs w:val="32"/>
    </w:rPr>
  </w:style>
  <w:style w:type="character" w:default="1" w:styleId="17">
    <w:name w:val="Default Paragraph Font"/>
    <w:semiHidden/>
    <w:unhideWhenUsed/>
    <w:qFormat/>
    <w:uiPriority w:val="1"/>
  </w:style>
  <w:style w:type="table" w:default="1" w:styleId="16">
    <w:name w:val="Normal Table"/>
    <w:semiHidden/>
    <w:unhideWhenUsed/>
    <w:qFormat/>
    <w:uiPriority w:val="99"/>
    <w:pPr>
      <w:keepNext w:val="0"/>
      <w:keepLines w:val="0"/>
      <w:widowControl/>
      <w:suppressLineNumbers w:val="0"/>
      <w:spacing w:before="0" w:beforeAutospacing="0" w:after="0" w:afterAutospacing="0"/>
      <w:ind w:left="0" w:right="0"/>
    </w:pPr>
    <w:rPr>
      <w:rFonts w:ascii="Calibri" w:hAnsi="Calibri" w:cs="Times New Roman"/>
      <w:kern w:val="2"/>
      <w:sz w:val="21"/>
      <w:szCs w:val="22"/>
    </w:rPr>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qFormat/>
    <w:uiPriority w:val="0"/>
    <w:pPr>
      <w:ind w:firstLine="420" w:firstLineChars="200"/>
    </w:pPr>
  </w:style>
  <w:style w:type="paragraph" w:styleId="4">
    <w:name w:val="Body Text Indent"/>
    <w:basedOn w:val="1"/>
    <w:next w:val="3"/>
    <w:qFormat/>
    <w:uiPriority w:val="0"/>
    <w:pPr>
      <w:spacing w:after="120"/>
      <w:ind w:left="200" w:leftChars="200"/>
    </w:pPr>
    <w:rPr>
      <w:rFonts w:ascii="仿宋_GB2312"/>
      <w:szCs w:val="32"/>
    </w:rPr>
  </w:style>
  <w:style w:type="paragraph" w:styleId="8">
    <w:name w:val="Body Text"/>
    <w:basedOn w:val="1"/>
    <w:link w:val="26"/>
    <w:qFormat/>
    <w:uiPriority w:val="99"/>
    <w:pPr>
      <w:spacing w:beforeLines="30"/>
    </w:pPr>
    <w:rPr>
      <w:rFonts w:ascii="仿宋_GB2312" w:eastAsia="仿宋_GB2312"/>
      <w:kern w:val="0"/>
      <w:sz w:val="30"/>
    </w:r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2"/>
    <w:semiHidden/>
    <w:unhideWhenUsed/>
    <w:qFormat/>
    <w:uiPriority w:val="99"/>
    <w:rPr>
      <w:sz w:val="18"/>
      <w:szCs w:val="18"/>
    </w:rPr>
  </w:style>
  <w:style w:type="paragraph" w:styleId="11">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toc 2"/>
    <w:basedOn w:val="1"/>
    <w:next w:val="1"/>
    <w:unhideWhenUsed/>
    <w:qFormat/>
    <w:uiPriority w:val="39"/>
    <w:pPr>
      <w:tabs>
        <w:tab w:val="right" w:leader="dot" w:pos="8296"/>
      </w:tabs>
      <w:ind w:left="420" w:leftChars="200"/>
    </w:pPr>
  </w:style>
  <w:style w:type="paragraph" w:styleId="15">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8">
    <w:name w:val="Strong"/>
    <w:basedOn w:val="17"/>
    <w:qFormat/>
    <w:uiPriority w:val="99"/>
    <w:rPr>
      <w:b/>
    </w:rPr>
  </w:style>
  <w:style w:type="character" w:styleId="19">
    <w:name w:val="Emphasis"/>
    <w:basedOn w:val="17"/>
    <w:qFormat/>
    <w:uiPriority w:val="20"/>
    <w:rPr>
      <w:i/>
      <w:iCs/>
    </w:rPr>
  </w:style>
  <w:style w:type="character" w:styleId="20">
    <w:name w:val="Hyperlink"/>
    <w:basedOn w:val="17"/>
    <w:unhideWhenUsed/>
    <w:qFormat/>
    <w:uiPriority w:val="99"/>
    <w:rPr>
      <w:color w:val="0000FF" w:themeColor="hyperlink"/>
      <w:u w:val="single"/>
    </w:rPr>
  </w:style>
  <w:style w:type="character" w:customStyle="1" w:styleId="21">
    <w:name w:val="Header Char"/>
    <w:basedOn w:val="17"/>
    <w:semiHidden/>
    <w:qFormat/>
    <w:uiPriority w:val="99"/>
    <w:rPr>
      <w:rFonts w:ascii="Times New Roman" w:hAnsi="Times New Roman"/>
      <w:sz w:val="18"/>
      <w:szCs w:val="18"/>
    </w:rPr>
  </w:style>
  <w:style w:type="character" w:customStyle="1" w:styleId="22">
    <w:name w:val="页眉 Char"/>
    <w:link w:val="12"/>
    <w:semiHidden/>
    <w:qFormat/>
    <w:locked/>
    <w:uiPriority w:val="99"/>
    <w:rPr>
      <w:sz w:val="18"/>
    </w:rPr>
  </w:style>
  <w:style w:type="character" w:customStyle="1" w:styleId="23">
    <w:name w:val="Footer Char"/>
    <w:basedOn w:val="17"/>
    <w:semiHidden/>
    <w:qFormat/>
    <w:uiPriority w:val="99"/>
    <w:rPr>
      <w:rFonts w:ascii="Times New Roman" w:hAnsi="Times New Roman"/>
      <w:sz w:val="18"/>
      <w:szCs w:val="18"/>
    </w:rPr>
  </w:style>
  <w:style w:type="character" w:customStyle="1" w:styleId="24">
    <w:name w:val="页脚 Char"/>
    <w:link w:val="11"/>
    <w:qFormat/>
    <w:locked/>
    <w:uiPriority w:val="99"/>
    <w:rPr>
      <w:sz w:val="18"/>
    </w:rPr>
  </w:style>
  <w:style w:type="character" w:customStyle="1" w:styleId="25">
    <w:name w:val="Body Text Char"/>
    <w:basedOn w:val="17"/>
    <w:semiHidden/>
    <w:qFormat/>
    <w:uiPriority w:val="99"/>
    <w:rPr>
      <w:rFonts w:ascii="Times New Roman" w:hAnsi="Times New Roman"/>
      <w:szCs w:val="24"/>
    </w:rPr>
  </w:style>
  <w:style w:type="character" w:customStyle="1" w:styleId="26">
    <w:name w:val="正文文本 Char"/>
    <w:link w:val="8"/>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34"/>
    <w:pPr>
      <w:ind w:firstLine="420" w:firstLineChars="200"/>
    </w:pPr>
  </w:style>
  <w:style w:type="character" w:customStyle="1" w:styleId="29">
    <w:name w:val="标题 1 Char"/>
    <w:basedOn w:val="17"/>
    <w:link w:val="5"/>
    <w:qFormat/>
    <w:uiPriority w:val="9"/>
    <w:rPr>
      <w:rFonts w:ascii="Times New Roman" w:hAnsi="Times New Roman"/>
      <w:b/>
      <w:bCs/>
      <w:kern w:val="44"/>
      <w:sz w:val="44"/>
      <w:szCs w:val="44"/>
    </w:rPr>
  </w:style>
  <w:style w:type="character" w:customStyle="1" w:styleId="30">
    <w:name w:val="标题 2 Char"/>
    <w:basedOn w:val="17"/>
    <w:link w:val="6"/>
    <w:qFormat/>
    <w:uiPriority w:val="9"/>
    <w:rPr>
      <w:rFonts w:asciiTheme="majorHAnsi" w:hAnsiTheme="majorHAnsi" w:eastAsiaTheme="majorEastAsia" w:cstheme="majorBidi"/>
      <w:b/>
      <w:bCs/>
      <w:kern w:val="2"/>
      <w:sz w:val="32"/>
      <w:szCs w:val="32"/>
    </w:rPr>
  </w:style>
  <w:style w:type="paragraph" w:customStyle="1" w:styleId="31">
    <w:name w:val="TOC 标题1"/>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2">
    <w:name w:val="批注框文本 Char"/>
    <w:basedOn w:val="17"/>
    <w:link w:val="10"/>
    <w:semiHidden/>
    <w:qFormat/>
    <w:uiPriority w:val="99"/>
    <w:rPr>
      <w:rFonts w:ascii="Times New Roman" w:hAnsi="Times New Roman"/>
      <w:kern w:val="2"/>
      <w:sz w:val="18"/>
      <w:szCs w:val="18"/>
    </w:rPr>
  </w:style>
  <w:style w:type="character" w:customStyle="1" w:styleId="33">
    <w:name w:val="标题 3 Char"/>
    <w:basedOn w:val="17"/>
    <w:link w:val="7"/>
    <w:qFormat/>
    <w:uiPriority w:val="9"/>
    <w:rPr>
      <w:rFonts w:ascii="Times New Roman" w:hAnsi="Times New Roman"/>
      <w:b/>
      <w:bCs/>
      <w:kern w:val="2"/>
      <w:sz w:val="32"/>
      <w:szCs w:val="32"/>
    </w:rPr>
  </w:style>
  <w:style w:type="paragraph" w:customStyle="1" w:styleId="34">
    <w:name w:val="TOC 标题2"/>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styleId="35">
    <w:name w:val="No Spacing"/>
    <w:link w:val="36"/>
    <w:qFormat/>
    <w:uiPriority w:val="99"/>
    <w:pPr>
      <w:widowControl w:val="0"/>
      <w:jc w:val="both"/>
    </w:pPr>
    <w:rPr>
      <w:rFonts w:ascii="Calibri" w:hAnsi="Calibri" w:eastAsia="宋体" w:cs="Times New Roman"/>
      <w:kern w:val="2"/>
      <w:sz w:val="21"/>
      <w:szCs w:val="22"/>
      <w:lang w:val="en-US" w:eastAsia="zh-CN" w:bidi="ar-SA"/>
    </w:rPr>
  </w:style>
  <w:style w:type="character" w:customStyle="1" w:styleId="36">
    <w:name w:val="无间隔 Char"/>
    <w:basedOn w:val="17"/>
    <w:link w:val="35"/>
    <w:qFormat/>
    <w:locked/>
    <w:uiPriority w:val="99"/>
    <w:rPr>
      <w:kern w:val="2"/>
      <w:sz w:val="21"/>
      <w:szCs w:val="22"/>
    </w:rPr>
  </w:style>
  <w:style w:type="character" w:customStyle="1" w:styleId="37">
    <w:name w:val="apple-converted-space"/>
    <w:basedOn w:val="17"/>
    <w:qFormat/>
    <w:uiPriority w:val="99"/>
    <w:rPr>
      <w:rFonts w:cs="Times New Roman"/>
    </w:rPr>
  </w:style>
  <w:style w:type="paragraph" w:customStyle="1" w:styleId="38">
    <w:name w:val="正文1"/>
    <w:qFormat/>
    <w:uiPriority w:val="0"/>
    <w:pPr>
      <w:jc w:val="both"/>
    </w:pPr>
    <w:rPr>
      <w:rFonts w:ascii="Times New Roman" w:hAnsi="Times New Roman" w:eastAsia="宋体" w:cs="Times New Roman"/>
      <w:kern w:val="2"/>
      <w:sz w:val="21"/>
      <w:szCs w:val="21"/>
      <w:lang w:val="en-US" w:eastAsia="zh-CN" w:bidi="ar-SA"/>
    </w:rPr>
  </w:style>
  <w:style w:type="character" w:customStyle="1" w:styleId="39">
    <w:name w:val="标题 1 Char1"/>
    <w:basedOn w:val="17"/>
    <w:qFormat/>
    <w:uiPriority w:val="9"/>
    <w:rPr>
      <w:rFonts w:ascii="Times New Roman" w:hAnsi="Times New Roman"/>
      <w:b/>
      <w:bCs/>
      <w:kern w:val="44"/>
      <w:sz w:val="44"/>
      <w:szCs w:val="44"/>
    </w:rPr>
  </w:style>
  <w:style w:type="paragraph" w:customStyle="1" w:styleId="40">
    <w:name w:val="列表段落1"/>
    <w:basedOn w:val="1"/>
    <w:qFormat/>
    <w:uiPriority w:val="34"/>
    <w:pPr>
      <w:ind w:firstLine="420" w:firstLineChars="200"/>
    </w:pPr>
  </w:style>
  <w:style w:type="paragraph" w:customStyle="1" w:styleId="41">
    <w:name w:val="四号正文"/>
    <w:basedOn w:val="1"/>
    <w:qFormat/>
    <w:uiPriority w:val="0"/>
    <w:pPr>
      <w:spacing w:line="360" w:lineRule="auto"/>
    </w:pPr>
    <w:rPr>
      <w:rFonts w:ascii="??" w:hAnsi="??"/>
      <w:color w:val="000000"/>
      <w:kern w:val="0"/>
      <w:sz w:val="28"/>
      <w:szCs w:val="21"/>
      <w:lang w:val="zh-CN"/>
    </w:rPr>
  </w:style>
  <w:style w:type="paragraph" w:customStyle="1" w:styleId="42">
    <w:name w:val="WPSOffice手动目录 3"/>
    <w:qFormat/>
    <w:uiPriority w:val="0"/>
    <w:pPr>
      <w:ind w:leftChars="400"/>
    </w:pPr>
    <w:rPr>
      <w:rFonts w:ascii="Times New Roman" w:hAnsi="Times New Roman" w:eastAsia="宋体" w:cs="Times New Roman"/>
      <w:sz w:val="20"/>
      <w:szCs w:val="20"/>
    </w:rPr>
  </w:style>
  <w:style w:type="paragraph" w:customStyle="1" w:styleId="43">
    <w:name w:val="WPSOffice手动目录 2"/>
    <w:qFormat/>
    <w:uiPriority w:val="0"/>
    <w:pPr>
      <w:ind w:leftChars="200"/>
    </w:pPr>
    <w:rPr>
      <w:rFonts w:ascii="Times New Roman" w:hAnsi="Times New Roman" w:eastAsia="宋体" w:cs="Times New Roman"/>
      <w:sz w:val="20"/>
      <w:szCs w:val="20"/>
    </w:rPr>
  </w:style>
  <w:style w:type="paragraph" w:customStyle="1" w:styleId="44">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chart" Target="charts/chart7.xml"/><Relationship Id="rId14" Type="http://schemas.openxmlformats.org/officeDocument/2006/relationships/chart" Target="charts/chart6.xml"/><Relationship Id="rId13" Type="http://schemas.openxmlformats.org/officeDocument/2006/relationships/chart" Target="charts/chart5.xml"/><Relationship Id="rId12" Type="http://schemas.openxmlformats.org/officeDocument/2006/relationships/chart" Target="charts/chart4.xml"/><Relationship Id="rId11" Type="http://schemas.openxmlformats.org/officeDocument/2006/relationships/chart" Target="charts/chart3.xml"/><Relationship Id="rId10" Type="http://schemas.openxmlformats.org/officeDocument/2006/relationships/chart" Target="charts/chart2.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Workbook7.xlsx"/></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Workbook1.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7.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en-US"/>
              <a:t>收支决算总计变动情况图</a:t>
            </a:r>
            <a:endParaRPr lang="zh-CN" altLang="en-US"/>
          </a:p>
        </c:rich>
      </c:tx>
      <c:layout>
        <c:manualLayout>
          <c:xMode val="edge"/>
          <c:yMode val="edge"/>
          <c:x val="0.241427788658611"/>
          <c:y val="0.0330237358101137"/>
        </c:manualLayout>
      </c:layout>
      <c:overlay val="0"/>
    </c:title>
    <c:autoTitleDeleted val="0"/>
    <c:plotArea>
      <c:layout>
        <c:manualLayout>
          <c:layoutTarget val="inner"/>
          <c:xMode val="edge"/>
          <c:yMode val="edge"/>
          <c:x val="0.0769323671497585"/>
          <c:y val="0.224842767295597"/>
          <c:w val="0.750845410628019"/>
          <c:h val="0.668553459119497"/>
        </c:manualLayout>
      </c:layout>
      <c:barChart>
        <c:barDir val="col"/>
        <c:grouping val="clustered"/>
        <c:varyColors val="0"/>
        <c:ser>
          <c:idx val="0"/>
          <c:order val="0"/>
          <c:tx>
            <c:strRef>
              <c:f>Sheet1!$B$1</c:f>
              <c:strCache>
                <c:ptCount val="1"/>
                <c:pt idx="0">
                  <c:v>2023年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Sheet1!$A$2</c:f>
              <c:numCache>
                <c:formatCode>General</c:formatCode>
                <c:ptCount val="1"/>
              </c:numCache>
            </c:numRef>
          </c:cat>
          <c:val>
            <c:numRef>
              <c:f>Sheet1!$B$2</c:f>
              <c:numCache>
                <c:formatCode>General</c:formatCode>
                <c:ptCount val="1"/>
                <c:pt idx="0">
                  <c:v>972.47</c:v>
                </c:pt>
              </c:numCache>
            </c:numRef>
          </c:val>
        </c:ser>
        <c:ser>
          <c:idx val="1"/>
          <c:order val="1"/>
          <c:tx>
            <c:strRef>
              <c:f>Sheet1!$C$1</c:f>
              <c:strCache>
                <c:ptCount val="1"/>
                <c:pt idx="0">
                  <c:v>2022年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Sheet1!$A$2</c:f>
              <c:numCache>
                <c:formatCode>General</c:formatCode>
                <c:ptCount val="1"/>
              </c:numCache>
            </c:numRef>
          </c:cat>
          <c:val>
            <c:numRef>
              <c:f>Sheet1!$C$2</c:f>
              <c:numCache>
                <c:formatCode>General</c:formatCode>
                <c:ptCount val="1"/>
                <c:pt idx="0">
                  <c:v>862.86</c:v>
                </c:pt>
              </c:numCache>
            </c:numRef>
          </c:val>
        </c:ser>
        <c:dLbls>
          <c:showLegendKey val="0"/>
          <c:showVal val="1"/>
          <c:showCatName val="0"/>
          <c:showSerName val="0"/>
          <c:showPercent val="0"/>
          <c:showBubbleSize val="0"/>
        </c:dLbls>
        <c:gapWidth val="150"/>
        <c:axId val="243807744"/>
        <c:axId val="277832064"/>
      </c:barChart>
      <c:catAx>
        <c:axId val="243807744"/>
        <c:scaling>
          <c:orientation val="minMax"/>
        </c:scaling>
        <c:delete val="0"/>
        <c:axPos val="b"/>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77832064"/>
        <c:crosses val="autoZero"/>
        <c:auto val="1"/>
        <c:lblAlgn val="ctr"/>
        <c:lblOffset val="100"/>
        <c:noMultiLvlLbl val="0"/>
      </c:catAx>
      <c:valAx>
        <c:axId val="277832064"/>
        <c:scaling>
          <c:orientation val="minMax"/>
        </c:scaling>
        <c:delete val="0"/>
        <c:axPos val="l"/>
        <c:majorGridlines/>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43807744"/>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200" b="1" i="0" u="none" strike="noStrike" kern="1200" baseline="0">
                <a:solidFill>
                  <a:schemeClr val="tx1"/>
                </a:solidFill>
                <a:latin typeface="+mn-lt"/>
                <a:ea typeface="+mn-ea"/>
                <a:cs typeface="+mn-cs"/>
              </a:defRPr>
            </a:pPr>
            <a:r>
              <a:rPr lang="en-US" altLang="zh-CN" sz="1200"/>
              <a:t>2023</a:t>
            </a:r>
            <a:r>
              <a:rPr lang="zh-CN" altLang="en-US" sz="1200"/>
              <a:t>年收入决算结构图</a:t>
            </a:r>
            <a:endParaRPr lang="zh-CN" altLang="en-US" sz="1200"/>
          </a:p>
        </c:rich>
      </c:tx>
      <c:layout/>
      <c:overlay val="0"/>
    </c:title>
    <c:autoTitleDeleted val="0"/>
    <c:plotArea>
      <c:layout>
        <c:manualLayout>
          <c:layoutTarget val="inner"/>
          <c:xMode val="edge"/>
          <c:yMode val="edge"/>
          <c:x val="0.215995924342382"/>
          <c:y val="0.217391304347828"/>
          <c:w val="0.296150696150698"/>
          <c:h val="0.655072463768122"/>
        </c:manualLayout>
      </c:layout>
      <c:pieChart>
        <c:varyColors val="1"/>
        <c:ser>
          <c:idx val="0"/>
          <c:order val="0"/>
          <c:tx>
            <c:strRef>
              <c:f>Sheet1!$B$1</c:f>
              <c:strCache>
                <c:ptCount val="1"/>
                <c:pt idx="0">
                  <c:v>2022年部门决算收入结构图</c:v>
                </c:pt>
              </c:strCache>
            </c:strRef>
          </c:tx>
          <c:explosion val="0"/>
          <c:dPt>
            <c:idx val="0"/>
            <c:bubble3D val="0"/>
          </c:dPt>
          <c:dPt>
            <c:idx val="1"/>
            <c:bubble3D val="0"/>
          </c:dPt>
          <c:dPt>
            <c:idx val="2"/>
            <c:bubble3D val="0"/>
          </c:dPt>
          <c:dPt>
            <c:idx val="3"/>
            <c:bubble3D val="0"/>
          </c:dPt>
          <c:dPt>
            <c:idx val="4"/>
            <c:bubble3D val="0"/>
          </c:dPt>
          <c:dPt>
            <c:idx val="5"/>
            <c:bubble3D val="0"/>
          </c:dPt>
          <c:dPt>
            <c:idx val="6"/>
            <c:bubble3D val="0"/>
          </c:dPt>
          <c:dLbls>
            <c:dLbl>
              <c:idx val="0"/>
              <c:layout>
                <c:manualLayout>
                  <c:x val="0.00527981755089603"/>
                  <c:y val="-0.346956195692932"/>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altLang="en-US" sz="1600"/>
                      <a:t>1</a:t>
                    </a:r>
                    <a:r>
                      <a:rPr altLang="en-US"/>
                      <a:t>00</a:t>
                    </a:r>
                    <a:r>
                      <a:rPr lang="en-US" altLang="zh-CN"/>
                      <a:t>%</a:t>
                    </a:r>
                    <a:endParaRPr altLang="en-US"/>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1"/>
              <c:delete val="1"/>
            </c:dLbl>
            <c:dLbl>
              <c:idx val="2"/>
              <c:delete val="1"/>
            </c:dLbl>
            <c:dLbl>
              <c:idx val="3"/>
              <c:delete val="1"/>
            </c:dLbl>
            <c:dLbl>
              <c:idx val="4"/>
              <c:delete val="1"/>
            </c:dLbl>
            <c:dLbl>
              <c:idx val="5"/>
              <c:delete val="1"/>
            </c:dLbl>
            <c:dLbl>
              <c:idx val="6"/>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Sheet1!$A$2:$A$8</c:f>
              <c:strCache>
                <c:ptCount val="7"/>
                <c:pt idx="0">
                  <c:v>一般公共预算财政拨款收入</c:v>
                </c:pt>
                <c:pt idx="1">
                  <c:v>政府性基金预算财政拨款收入</c:v>
                </c:pt>
                <c:pt idx="2">
                  <c:v>上级补助收入</c:v>
                </c:pt>
                <c:pt idx="3">
                  <c:v>事业收入</c:v>
                </c:pt>
                <c:pt idx="4">
                  <c:v>经营收入</c:v>
                </c:pt>
                <c:pt idx="5">
                  <c:v>附属单位上缴收入</c:v>
                </c:pt>
                <c:pt idx="6">
                  <c:v>其他收入</c:v>
                </c:pt>
              </c:strCache>
            </c:strRef>
          </c:cat>
          <c:val>
            <c:numRef>
              <c:f>Sheet1!$B$2:$B$8</c:f>
              <c:numCache>
                <c:formatCode>General</c:formatCode>
                <c:ptCount val="7"/>
                <c:pt idx="0">
                  <c:v>100</c:v>
                </c:pt>
                <c:pt idx="6">
                  <c:v>0</c:v>
                </c:pt>
              </c:numCache>
            </c:numRef>
          </c:val>
        </c:ser>
        <c:dLbls>
          <c:showLegendKey val="0"/>
          <c:showVal val="1"/>
          <c:showCatName val="0"/>
          <c:showSerName val="0"/>
          <c:showPercent val="0"/>
          <c:showBubbleSize val="0"/>
          <c:showLeaderLines val="1"/>
        </c:dLbls>
        <c:firstSliceAng val="0"/>
      </c:pieChart>
    </c:plotArea>
    <c:legend>
      <c:legendPos val="r"/>
      <c:layout>
        <c:manualLayout>
          <c:xMode val="edge"/>
          <c:yMode val="edge"/>
          <c:x val="0.640000000000005"/>
          <c:y val="0.192746260074382"/>
          <c:w val="0.342222222222222"/>
          <c:h val="0.738888734314581"/>
        </c:manualLayout>
      </c:layout>
      <c:overlay val="0"/>
      <c:txPr>
        <a:bodyPr rot="0" spcFirstLastPara="0" vertOverflow="ellipsis" vert="horz" wrap="square" anchor="ctr" anchorCtr="1"/>
        <a:lstStyle/>
        <a:p>
          <a:pPr>
            <a:defRPr lang="zh-CN" sz="8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en-US" altLang="zh-CN"/>
              <a:t>2023</a:t>
            </a:r>
            <a:r>
              <a:rPr lang="zh-CN" altLang="en-US"/>
              <a:t>年支出决算结构图</a:t>
            </a:r>
            <a:endParaRPr lang="zh-CN" altLang="en-US"/>
          </a:p>
        </c:rich>
      </c:tx>
      <c:layout/>
      <c:overlay val="0"/>
    </c:title>
    <c:autoTitleDeleted val="0"/>
    <c:plotArea>
      <c:layout/>
      <c:pieChart>
        <c:varyColors val="1"/>
        <c:ser>
          <c:idx val="0"/>
          <c:order val="0"/>
          <c:tx>
            <c:strRef>
              <c:f>Sheet1!$B$1</c:f>
              <c:strCache>
                <c:ptCount val="1"/>
                <c:pt idx="0">
                  <c:v>2023年支出决算结构图</c:v>
                </c:pt>
              </c:strCache>
            </c:strRef>
          </c:tx>
          <c:explosion val="0"/>
          <c:dPt>
            <c:idx val="0"/>
            <c:bubble3D val="0"/>
          </c:dPt>
          <c:dPt>
            <c:idx val="1"/>
            <c:bubble3D val="0"/>
          </c:dPt>
          <c:dPt>
            <c:idx val="2"/>
            <c:bubble3D val="0"/>
          </c:dPt>
          <c:dPt>
            <c:idx val="3"/>
            <c:bubble3D val="0"/>
          </c:dPt>
          <c:dPt>
            <c:idx val="4"/>
            <c:bubble3D val="0"/>
          </c:dPt>
          <c:dLbls>
            <c:dLbl>
              <c:idx val="0"/>
              <c:delete val="1"/>
            </c:dLbl>
            <c:dLbl>
              <c:idx val="1"/>
              <c:layout>
                <c:manualLayout>
                  <c:x val="0.0626474190421383"/>
                  <c:y val="0.0279708835128148"/>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t>27.36</a:t>
                    </a:r>
                    <a:r>
                      <a:rPr lang="en-US" altLang="zh-CN"/>
                      <a:t>%</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114710873710102"/>
                  <c:y val="0.342911778884782"/>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en-US"/>
                      <a:t>72.64</a:t>
                    </a:r>
                    <a:r>
                      <a:rPr lang="en-US" altLang="zh-CN"/>
                      <a:t>%</a:t>
                    </a:r>
                    <a:endParaRPr altLang="en-US"/>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3"/>
              <c:delete val="1"/>
            </c:dLbl>
            <c:dLbl>
              <c:idx val="4"/>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General</c:formatCode>
                <c:ptCount val="5"/>
                <c:pt idx="0">
                  <c:v>72.64</c:v>
                </c:pt>
                <c:pt idx="1">
                  <c:v>27.36</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8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1" i="0" u="none" strike="noStrike" kern="1200" baseline="0">
                <a:solidFill>
                  <a:schemeClr val="tx1"/>
                </a:solidFill>
                <a:latin typeface="+mn-lt"/>
                <a:ea typeface="+mn-ea"/>
                <a:cs typeface="+mn-cs"/>
              </a:defRPr>
            </a:pPr>
            <a:r>
              <a:rPr lang="zh-CN" altLang="en-US" sz="1400"/>
              <a:t>财政拨款收支决算总计变动情况图</a:t>
            </a:r>
            <a:endParaRPr lang="zh-CN" altLang="en-US" sz="1400"/>
          </a:p>
        </c:rich>
      </c:tx>
      <c:layout>
        <c:manualLayout>
          <c:xMode val="edge"/>
          <c:yMode val="edge"/>
          <c:x val="0.239012324546389"/>
          <c:y val="0.0521624031445839"/>
        </c:manualLayout>
      </c:layout>
      <c:overlay val="0"/>
    </c:title>
    <c:autoTitleDeleted val="0"/>
    <c:plotArea>
      <c:layout>
        <c:manualLayout>
          <c:layoutTarget val="inner"/>
          <c:xMode val="edge"/>
          <c:yMode val="edge"/>
          <c:x val="0.0769356344423438"/>
          <c:y val="0.212981143314532"/>
          <c:w val="0.763500149073545"/>
          <c:h val="0.68032464027103"/>
        </c:manualLayout>
      </c:layout>
      <c:barChart>
        <c:barDir val="col"/>
        <c:grouping val="clustered"/>
        <c:varyColors val="0"/>
        <c:ser>
          <c:idx val="0"/>
          <c:order val="0"/>
          <c:tx>
            <c:strRef>
              <c:f>Sheet1!$B$1</c:f>
              <c:strCache>
                <c:ptCount val="1"/>
                <c:pt idx="0">
                  <c:v>2023年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Sheet1!$A$2</c:f>
              <c:numCache>
                <c:formatCode>General</c:formatCode>
                <c:ptCount val="1"/>
              </c:numCache>
            </c:numRef>
          </c:cat>
          <c:val>
            <c:numRef>
              <c:f>Sheet1!$B$2</c:f>
              <c:numCache>
                <c:formatCode>General</c:formatCode>
                <c:ptCount val="1"/>
                <c:pt idx="0">
                  <c:v>972.47</c:v>
                </c:pt>
              </c:numCache>
            </c:numRef>
          </c:val>
        </c:ser>
        <c:ser>
          <c:idx val="1"/>
          <c:order val="1"/>
          <c:tx>
            <c:strRef>
              <c:f>Sheet1!$C$1</c:f>
              <c:strCache>
                <c:ptCount val="1"/>
                <c:pt idx="0">
                  <c:v>2022年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Sheet1!$A$2</c:f>
              <c:numCache>
                <c:formatCode>General</c:formatCode>
                <c:ptCount val="1"/>
              </c:numCache>
            </c:numRef>
          </c:cat>
          <c:val>
            <c:numRef>
              <c:f>Sheet1!$C$2</c:f>
              <c:numCache>
                <c:formatCode>General</c:formatCode>
                <c:ptCount val="1"/>
                <c:pt idx="0">
                  <c:v>862.86</c:v>
                </c:pt>
              </c:numCache>
            </c:numRef>
          </c:val>
        </c:ser>
        <c:dLbls>
          <c:showLegendKey val="0"/>
          <c:showVal val="1"/>
          <c:showCatName val="0"/>
          <c:showSerName val="0"/>
          <c:showPercent val="0"/>
          <c:showBubbleSize val="0"/>
        </c:dLbls>
        <c:gapWidth val="150"/>
        <c:axId val="105224832"/>
        <c:axId val="105406848"/>
      </c:barChart>
      <c:catAx>
        <c:axId val="105224832"/>
        <c:scaling>
          <c:orientation val="minMax"/>
        </c:scaling>
        <c:delete val="0"/>
        <c:axPos val="b"/>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05406848"/>
        <c:crosses val="autoZero"/>
        <c:auto val="1"/>
        <c:lblAlgn val="ctr"/>
        <c:lblOffset val="100"/>
        <c:noMultiLvlLbl val="0"/>
      </c:catAx>
      <c:valAx>
        <c:axId val="105406848"/>
        <c:scaling>
          <c:orientation val="minMax"/>
        </c:scaling>
        <c:delete val="0"/>
        <c:axPos val="l"/>
        <c:majorGridlines/>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05224832"/>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200" b="1" i="0" u="none" strike="noStrike" kern="1200" baseline="0">
                <a:solidFill>
                  <a:schemeClr val="tx1"/>
                </a:solidFill>
                <a:latin typeface="+mn-lt"/>
                <a:ea typeface="+mn-ea"/>
                <a:cs typeface="+mn-cs"/>
              </a:defRPr>
            </a:pPr>
            <a:r>
              <a:rPr lang="zh-CN" altLang="en-US" sz="1200"/>
              <a:t>一般公共预算财政拨款支出决算变动情况图</a:t>
            </a:r>
            <a:endParaRPr lang="zh-CN" altLang="en-US" sz="1200"/>
          </a:p>
        </c:rich>
      </c:tx>
      <c:layout/>
      <c:overlay val="0"/>
    </c:title>
    <c:autoTitleDeleted val="0"/>
    <c:plotArea>
      <c:layout>
        <c:manualLayout>
          <c:layoutTarget val="inner"/>
          <c:xMode val="edge"/>
          <c:yMode val="edge"/>
          <c:x val="0.0746107073721493"/>
          <c:y val="0.209319129226495"/>
          <c:w val="0.770646966143447"/>
          <c:h val="0.683986901018178"/>
        </c:manualLayout>
      </c:layout>
      <c:barChart>
        <c:barDir val="col"/>
        <c:grouping val="clustered"/>
        <c:varyColors val="0"/>
        <c:ser>
          <c:idx val="0"/>
          <c:order val="0"/>
          <c:tx>
            <c:strRef>
              <c:f>Sheet1!$B$1</c:f>
              <c:strCache>
                <c:ptCount val="1"/>
                <c:pt idx="0">
                  <c:v>2023年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c:f>
              <c:strCache>
                <c:ptCount val="1"/>
                <c:pt idx="0">
                  <c:v>一般公共预算财政拨款支出</c:v>
                </c:pt>
              </c:strCache>
            </c:strRef>
          </c:cat>
          <c:val>
            <c:numRef>
              <c:f>Sheet1!$B$2</c:f>
              <c:numCache>
                <c:formatCode>General</c:formatCode>
                <c:ptCount val="1"/>
                <c:pt idx="0">
                  <c:v>972.47</c:v>
                </c:pt>
              </c:numCache>
            </c:numRef>
          </c:val>
        </c:ser>
        <c:ser>
          <c:idx val="1"/>
          <c:order val="1"/>
          <c:tx>
            <c:strRef>
              <c:f>Sheet1!$C$1</c:f>
              <c:strCache>
                <c:ptCount val="1"/>
                <c:pt idx="0">
                  <c:v>2022年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c:f>
              <c:strCache>
                <c:ptCount val="1"/>
                <c:pt idx="0">
                  <c:v>一般公共预算财政拨款支出</c:v>
                </c:pt>
              </c:strCache>
            </c:strRef>
          </c:cat>
          <c:val>
            <c:numRef>
              <c:f>Sheet1!$C$2</c:f>
              <c:numCache>
                <c:formatCode>General</c:formatCode>
                <c:ptCount val="1"/>
                <c:pt idx="0">
                  <c:v>862.86</c:v>
                </c:pt>
              </c:numCache>
            </c:numRef>
          </c:val>
        </c:ser>
        <c:dLbls>
          <c:showLegendKey val="0"/>
          <c:showVal val="1"/>
          <c:showCatName val="0"/>
          <c:showSerName val="0"/>
          <c:showPercent val="0"/>
          <c:showBubbleSize val="0"/>
        </c:dLbls>
        <c:gapWidth val="150"/>
        <c:axId val="105444864"/>
        <c:axId val="105446400"/>
      </c:barChart>
      <c:catAx>
        <c:axId val="105444864"/>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05446400"/>
        <c:crosses val="autoZero"/>
        <c:auto val="1"/>
        <c:lblAlgn val="ctr"/>
        <c:lblOffset val="100"/>
        <c:noMultiLvlLbl val="0"/>
      </c:catAx>
      <c:valAx>
        <c:axId val="105446400"/>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05444864"/>
        <c:crosses val="autoZero"/>
        <c:crossBetween val="between"/>
      </c:valAx>
    </c:plotArea>
    <c:legend>
      <c:legendPos val="r"/>
      <c:layout>
        <c:manualLayout>
          <c:xMode val="edge"/>
          <c:yMode val="edge"/>
          <c:x val="0.881289744596317"/>
          <c:y val="0.460636092476829"/>
          <c:w val="0.118710255403684"/>
          <c:h val="0.209961258471139"/>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altLang="en-US" sz="1400"/>
              <a:t>20</a:t>
            </a:r>
            <a:r>
              <a:rPr lang="en-US" altLang="zh-CN" sz="1400"/>
              <a:t>23</a:t>
            </a:r>
            <a:r>
              <a:rPr altLang="en-US" sz="1400"/>
              <a:t>年</a:t>
            </a:r>
            <a:r>
              <a:rPr lang="zh-CN" altLang="en-US" sz="1400"/>
              <a:t>一般公共预算财政拨款</a:t>
            </a:r>
            <a:r>
              <a:rPr altLang="en-US" sz="1400"/>
              <a:t>支出</a:t>
            </a:r>
            <a:r>
              <a:rPr lang="zh-CN" altLang="en-US" sz="1400"/>
              <a:t>决算</a:t>
            </a:r>
            <a:r>
              <a:rPr altLang="en-US" sz="1400"/>
              <a:t>结构图</a:t>
            </a:r>
            <a:endParaRPr altLang="en-US" sz="1400"/>
          </a:p>
        </c:rich>
      </c:tx>
      <c:layout>
        <c:manualLayout>
          <c:xMode val="edge"/>
          <c:yMode val="edge"/>
          <c:x val="0.157430432208409"/>
          <c:y val="0.0326441784548425"/>
        </c:manualLayout>
      </c:layout>
      <c:overlay val="0"/>
    </c:title>
    <c:autoTitleDeleted val="0"/>
    <c:plotArea>
      <c:layout/>
      <c:pieChart>
        <c:varyColors val="1"/>
        <c:ser>
          <c:idx val="0"/>
          <c:order val="0"/>
          <c:tx>
            <c:strRef>
              <c:f>Sheet1!$B$1</c:f>
              <c:strCache>
                <c:ptCount val="1"/>
                <c:pt idx="0">
                  <c:v>2022年部门决算支出结构图</c:v>
                </c:pt>
              </c:strCache>
            </c:strRef>
          </c:tx>
          <c:explosion val="0"/>
          <c:dPt>
            <c:idx val="0"/>
            <c:bubble3D val="0"/>
          </c:dPt>
          <c:dPt>
            <c:idx val="1"/>
            <c:bubble3D val="0"/>
          </c:dPt>
          <c:dPt>
            <c:idx val="2"/>
            <c:bubble3D val="0"/>
          </c:dPt>
          <c:dPt>
            <c:idx val="3"/>
            <c:bubble3D val="0"/>
          </c:dPt>
          <c:dPt>
            <c:idx val="4"/>
            <c:bubble3D val="0"/>
          </c:dPt>
          <c:dPt>
            <c:idx val="5"/>
            <c:bubble3D val="0"/>
          </c:dPt>
          <c:dPt>
            <c:idx val="6"/>
            <c:bubble3D val="0"/>
          </c:dPt>
          <c:dLbls>
            <c:dLbl>
              <c:idx val="0"/>
              <c:layout>
                <c:manualLayout>
                  <c:x val="-0.00650102707000315"/>
                  <c:y val="-0.18690524941492"/>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t>86.21</a:t>
                    </a:r>
                    <a:r>
                      <a:rPr lang="en-US" altLang="zh-CN"/>
                      <a:t>%</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616436238764019"/>
                  <c:y val="0.073449401523395"/>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zh-CN"/>
                      <a:t>4.17%</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15:layout>
                    <c:manualLayout>
                      <c:w val="0.0729425695677916"/>
                      <c:h val="0.0930359085963003"/>
                    </c:manualLayout>
                  </c15:layout>
                </c:ext>
              </c:extLst>
            </c:dLbl>
            <c:dLbl>
              <c:idx val="2"/>
              <c:layout>
                <c:manualLayout>
                  <c:x val="-0.0421192244397514"/>
                  <c:y val="-0.014778987773427"/>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zh-CN"/>
                      <a:t>5.22%</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0139596318773722"/>
                  <c:y val="-0.00596356978745781"/>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t>3.39</a:t>
                    </a:r>
                    <a:r>
                      <a:rPr lang="en-US" altLang="zh-CN"/>
                      <a:t>%</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4"/>
              <c:delete val="1"/>
            </c:dLbl>
            <c:dLbl>
              <c:idx val="5"/>
              <c:delete val="1"/>
            </c:dLbl>
            <c:dLbl>
              <c:idx val="6"/>
              <c:layout>
                <c:manualLayout>
                  <c:x val="0.0426287744227353"/>
                  <c:y val="0.0122415669205658"/>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rPr lang="en-US" altLang="zh-CN"/>
                      <a:t>1.01%</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15:layout>
                    <c:manualLayout>
                      <c:w val="0.0837181764357608"/>
                      <c:h val="0.0669205658324265"/>
                    </c:manualLayout>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Sheet1!$A$2:$A$8</c:f>
              <c:strCache>
                <c:ptCount val="7"/>
                <c:pt idx="0">
                  <c:v>社会保障和就业支出</c:v>
                </c:pt>
                <c:pt idx="1">
                  <c:v>卫生健康支出</c:v>
                </c:pt>
                <c:pt idx="2">
                  <c:v>住房保障支出</c:v>
                </c:pt>
                <c:pt idx="3">
                  <c:v>农林水支出</c:v>
                </c:pt>
                <c:pt idx="4">
                  <c:v>一般公共服务支出</c:v>
                </c:pt>
                <c:pt idx="5">
                  <c:v>其他支出</c:v>
                </c:pt>
              </c:strCache>
            </c:strRef>
          </c:cat>
          <c:val>
            <c:numRef>
              <c:f>Sheet1!$B$2:$B$8</c:f>
              <c:numCache>
                <c:formatCode>General</c:formatCode>
                <c:ptCount val="7"/>
                <c:pt idx="0">
                  <c:v>86.21</c:v>
                </c:pt>
                <c:pt idx="1">
                  <c:v>4.17</c:v>
                </c:pt>
                <c:pt idx="2">
                  <c:v>5.22</c:v>
                </c:pt>
                <c:pt idx="3">
                  <c:v>3.39</c:v>
                </c:pt>
                <c:pt idx="4">
                  <c:v>0</c:v>
                </c:pt>
                <c:pt idx="5">
                  <c:v>1.01</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800" b="1" i="0" u="none" strike="noStrike" kern="1200" baseline="0">
              <a:solidFill>
                <a:schemeClr val="dk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“三公”经费财政拨款支出结构图</c:v>
                </c:pt>
              </c:strCache>
            </c:strRef>
          </c:tx>
          <c:spPr/>
          <c:explosion val="0"/>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Lbls>
            <c:dLbl>
              <c:idx val="1"/>
              <c:layout/>
              <c:tx>
                <c:rich>
                  <a:bodyPr rot="0" spcFirstLastPara="0" vertOverflow="ellipsis" vert="horz" wrap="square" lIns="38100" tIns="19050" rIns="38100" bIns="19050" anchor="ctr" anchorCtr="1"/>
                  <a:lstStyle/>
                  <a:p>
                    <a:pPr defTabSz="914400">
                      <a:defRPr lang="zh-CN" sz="1000" b="1" i="0" u="none" strike="noStrike" kern="1200" baseline="0">
                        <a:solidFill>
                          <a:schemeClr val="lt1"/>
                        </a:solidFill>
                        <a:latin typeface="+mn-lt"/>
                        <a:ea typeface="+mn-ea"/>
                        <a:cs typeface="+mn-cs"/>
                      </a:defRPr>
                    </a:pPr>
                    <a:r>
                      <a:rPr lang="en-US" altLang="zh-CN"/>
                      <a:t>87.99</a:t>
                    </a:r>
                    <a:r>
                      <a:t>%</a:t>
                    </a:r>
                  </a:p>
                </c:rich>
              </c:tx>
              <c:dLblPos val="ctr"/>
              <c:showLegendKey val="0"/>
              <c:showVal val="0"/>
              <c:showCatName val="0"/>
              <c:showSerName val="0"/>
              <c:showPercent val="1"/>
              <c:showBubbleSize val="0"/>
              <c:extLst>
                <c:ext xmlns:c15="http://schemas.microsoft.com/office/drawing/2012/chart" uri="{CE6537A1-D6FC-4f65-9D91-7224C49458BB}"/>
              </c:extLst>
            </c:dLbl>
            <c:dLbl>
              <c:idx val="2"/>
              <c:layout/>
              <c:tx>
                <c:rich>
                  <a:bodyPr rot="0" spcFirstLastPara="0" vertOverflow="ellipsis" vert="horz" wrap="square" lIns="38100" tIns="19050" rIns="38100" bIns="19050" anchor="ctr" anchorCtr="1"/>
                  <a:lstStyle/>
                  <a:p>
                    <a:pPr defTabSz="914400">
                      <a:defRPr lang="zh-CN" sz="1000" b="1" i="0" u="none" strike="noStrike" kern="1200" baseline="0">
                        <a:solidFill>
                          <a:schemeClr val="lt1"/>
                        </a:solidFill>
                        <a:latin typeface="+mn-lt"/>
                        <a:ea typeface="+mn-ea"/>
                        <a:cs typeface="+mn-cs"/>
                      </a:defRPr>
                    </a:pPr>
                    <a:r>
                      <a:t>12</a:t>
                    </a:r>
                    <a:r>
                      <a:rPr lang="en-US" altLang="zh-CN"/>
                      <a:t>.01</a:t>
                    </a:r>
                    <a:r>
                      <a:t>%</a:t>
                    </a:r>
                  </a:p>
                </c:rich>
              </c:tx>
              <c:dLblPos val="ctr"/>
              <c:showLegendKey val="0"/>
              <c:showVal val="0"/>
              <c:showCatName val="0"/>
              <c:showSerName val="0"/>
              <c:showPercent val="1"/>
              <c:showBubbleSize val="0"/>
              <c:extLst>
                <c:ext xmlns:c15="http://schemas.microsoft.com/office/drawing/2012/chart" uri="{CE6537A1-D6FC-4f65-9D91-7224C49458BB}"/>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Sheet1!$A$2:$A$4</c:f>
              <c:strCache>
                <c:ptCount val="3"/>
                <c:pt idx="0">
                  <c:v>因公出国（境）费支出</c:v>
                </c:pt>
                <c:pt idx="1">
                  <c:v>公务用车购置及运行维护费</c:v>
                </c:pt>
                <c:pt idx="2">
                  <c:v>公务接待费支出</c:v>
                </c:pt>
              </c:strCache>
            </c:strRef>
          </c:cat>
          <c:val>
            <c:numRef>
              <c:f>Sheet1!$B$2:$B$4</c:f>
              <c:numCache>
                <c:formatCode>General</c:formatCode>
                <c:ptCount val="3"/>
                <c:pt idx="1">
                  <c:v>87.99</c:v>
                </c:pt>
                <c:pt idx="2">
                  <c:v>12.01</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drawings/drawing1.xml><?xml version="1.0" encoding="utf-8"?>
<c:userShapes xmlns:c="http://schemas.openxmlformats.org/drawingml/2006/chart">
  <cdr:relSizeAnchor xmlns:cdr="http://schemas.openxmlformats.org/drawingml/2006/chartDrawing">
    <cdr:from>
      <cdr:x>0.82892</cdr:x>
      <cdr:y>0.0805</cdr:y>
    </cdr:from>
    <cdr:to>
      <cdr:x>0.98784</cdr:x>
      <cdr:y>0.17028</cdr:y>
    </cdr:to>
    <cdr:sp>
      <cdr:nvSpPr>
        <cdr:cNvPr id="2" name="矩形 1"/>
        <cdr:cNvSpPr/>
      </cdr:nvSpPr>
      <cdr:spPr xmlns:a="http://schemas.openxmlformats.org/drawingml/2006/main">
        <a:xfrm xmlns:a="http://schemas.openxmlformats.org/drawingml/2006/main">
          <a:off x="4371975" y="247650"/>
          <a:ext cx="838200" cy="276225"/>
        </a:xfrm>
        <a:prstGeom xmlns:a="http://schemas.openxmlformats.org/drawingml/2006/main" prst="rect">
          <a:avLst/>
        </a:prstGeom>
      </cdr:spPr>
      <cdr:txBody xmlns:a="http://schemas.openxmlformats.org/drawingml/2006/main">
        <a:bodyPr vertOverflow="clip" vert="horz" wrap="square" lIns="45720" tIns="45720" rIns="45720" bIns="45720" rtlCol="0" anchor="t" anchorCtr="0">
          <a:normAutofit/>
        </a:bodyPr>
        <a:lstStyle/>
        <a:p>
          <a:r>
            <a:rPr lang="zh-CN" altLang="en-US" sz="900"/>
            <a:t>单位：万元</a:t>
          </a:r>
          <a:endParaRPr lang="zh-CN" altLang="en-US" sz="900"/>
        </a:p>
      </cdr:txBody>
    </cdr:sp>
  </cdr:relSizeAnchor>
</c:userShapes>
</file>

<file path=word/drawings/drawing2.xml><?xml version="1.0" encoding="utf-8"?>
<c:userShapes xmlns:c="http://schemas.openxmlformats.org/drawingml/2006/chart">
  <cdr:relSizeAnchor xmlns:cdr="http://schemas.openxmlformats.org/drawingml/2006/chartDrawing">
    <cdr:from>
      <cdr:x>0.84137</cdr:x>
      <cdr:y>0.0461</cdr:y>
    </cdr:from>
    <cdr:to>
      <cdr:x>0.96787</cdr:x>
      <cdr:y>0.19831</cdr:y>
    </cdr:to>
    <cdr:sp>
      <cdr:nvSpPr>
        <cdr:cNvPr id="2" name="矩形 1"/>
        <cdr:cNvSpPr/>
      </cdr:nvSpPr>
      <cdr:spPr xmlns:a="http://schemas.openxmlformats.org/drawingml/2006/main">
        <a:xfrm xmlns:a="http://schemas.openxmlformats.org/drawingml/2006/main">
          <a:off x="4656163" y="104067"/>
          <a:ext cx="700054" cy="343608"/>
        </a:xfrm>
        <a:prstGeom xmlns:a="http://schemas.openxmlformats.org/drawingml/2006/main" prst="rect">
          <a:avLst/>
        </a:prstGeom>
      </cdr:spPr>
      <cdr:txBody xmlns:a="http://schemas.openxmlformats.org/drawingml/2006/main">
        <a:bodyPr vertOverflow="clip" vert="horz" wrap="square" lIns="45720" tIns="45720" rIns="45720" bIns="45720" rtlCol="0" anchor="t" anchorCtr="0">
          <a:normAutofit/>
        </a:bodyPr>
        <a:lstStyle/>
        <a:p>
          <a:endParaRPr lang="zh-CN" altLang="en-US" sz="1100"/>
        </a:p>
      </cdr:txBody>
    </cdr:sp>
  </cdr:relSizeAnchor>
  <cdr:relSizeAnchor xmlns:cdr="http://schemas.openxmlformats.org/drawingml/2006/chartDrawing">
    <cdr:from>
      <cdr:x>0.81727</cdr:x>
      <cdr:y>0.0922</cdr:y>
    </cdr:from>
    <cdr:to>
      <cdr:x>1</cdr:x>
      <cdr:y>0.22363</cdr:y>
    </cdr:to>
    <cdr:sp>
      <cdr:nvSpPr>
        <cdr:cNvPr id="3" name="矩形 2"/>
        <cdr:cNvSpPr/>
      </cdr:nvSpPr>
      <cdr:spPr xmlns:a="http://schemas.openxmlformats.org/drawingml/2006/main">
        <a:xfrm xmlns:a="http://schemas.openxmlformats.org/drawingml/2006/main">
          <a:off x="4522793" y="208135"/>
          <a:ext cx="1011232" cy="296690"/>
        </a:xfrm>
        <a:prstGeom xmlns:a="http://schemas.openxmlformats.org/drawingml/2006/main" prst="rect">
          <a:avLst/>
        </a:prstGeom>
      </cdr:spPr>
      <cdr:txBody xmlns:a="http://schemas.openxmlformats.org/drawingml/2006/main">
        <a:bodyPr vertOverflow="clip" vert="horz" wrap="square" lIns="45720" tIns="45720" rIns="45720" bIns="45720" rtlCol="0" anchor="t" anchorCtr="0">
          <a:normAutofit/>
        </a:bodyPr>
        <a:lstStyle/>
        <a:p>
          <a:r>
            <a:rPr lang="zh-CN" altLang="en-US" sz="900"/>
            <a:t>    单位：万元</a:t>
          </a:r>
          <a:endParaRPr lang="zh-CN" altLang="en-US" sz="900"/>
        </a:p>
      </cdr:txBody>
    </cdr:sp>
  </cdr:relSizeAnchor>
</c:userShapes>
</file>

<file path=word/drawings/drawing3.xml><?xml version="1.0" encoding="utf-8"?>
<c:userShapes xmlns:c="http://schemas.openxmlformats.org/drawingml/2006/chart">
  <cdr:relSizeAnchor xmlns:cdr="http://schemas.openxmlformats.org/drawingml/2006/chartDrawing">
    <cdr:from>
      <cdr:x>0.84137</cdr:x>
      <cdr:y>0.0461</cdr:y>
    </cdr:from>
    <cdr:to>
      <cdr:x>0.96787</cdr:x>
      <cdr:y>0.19831</cdr:y>
    </cdr:to>
    <cdr:sp>
      <cdr:nvSpPr>
        <cdr:cNvPr id="2" name="矩形 1"/>
        <cdr:cNvSpPr/>
      </cdr:nvSpPr>
      <cdr:spPr xmlns:a="http://schemas.openxmlformats.org/drawingml/2006/main">
        <a:xfrm xmlns:a="http://schemas.openxmlformats.org/drawingml/2006/main">
          <a:off x="4656163" y="104067"/>
          <a:ext cx="700054" cy="343608"/>
        </a:xfrm>
        <a:prstGeom xmlns:a="http://schemas.openxmlformats.org/drawingml/2006/main" prst="rect">
          <a:avLst/>
        </a:prstGeom>
      </cdr:spPr>
      <cdr:txBody xmlns:a="http://schemas.openxmlformats.org/drawingml/2006/main">
        <a:bodyPr vertOverflow="clip" vert="horz" wrap="square" lIns="45720" tIns="45720" rIns="45720" bIns="45720" rtlCol="0" anchor="t" anchorCtr="0">
          <a:normAutofit/>
        </a:bodyPr>
        <a:lstStyle/>
        <a:p>
          <a:endParaRPr lang="zh-CN" altLang="en-US" sz="1100"/>
        </a:p>
      </cdr:txBody>
    </cdr:sp>
  </cdr:relSizeAnchor>
  <cdr:relSizeAnchor xmlns:cdr="http://schemas.openxmlformats.org/drawingml/2006/chartDrawing">
    <cdr:from>
      <cdr:x>0.81727</cdr:x>
      <cdr:y>0.0922</cdr:y>
    </cdr:from>
    <cdr:to>
      <cdr:x>1</cdr:x>
      <cdr:y>0.22363</cdr:y>
    </cdr:to>
    <cdr:sp>
      <cdr:nvSpPr>
        <cdr:cNvPr id="3" name="矩形 2"/>
        <cdr:cNvSpPr/>
      </cdr:nvSpPr>
      <cdr:spPr xmlns:a="http://schemas.openxmlformats.org/drawingml/2006/main">
        <a:xfrm xmlns:a="http://schemas.openxmlformats.org/drawingml/2006/main">
          <a:off x="4522793" y="208135"/>
          <a:ext cx="1011232" cy="296690"/>
        </a:xfrm>
        <a:prstGeom xmlns:a="http://schemas.openxmlformats.org/drawingml/2006/main" prst="rect">
          <a:avLst/>
        </a:prstGeom>
      </cdr:spPr>
      <cdr:txBody xmlns:a="http://schemas.openxmlformats.org/drawingml/2006/main">
        <a:bodyPr vertOverflow="clip" vert="horz" wrap="square" lIns="45720" tIns="45720" rIns="45720" bIns="45720" rtlCol="0" anchor="t" anchorCtr="0">
          <a:normAutofit/>
        </a:bodyPr>
        <a:lstStyle/>
        <a:p>
          <a:r>
            <a:rPr lang="zh-CN" altLang="en-US" sz="900"/>
            <a:t>    单位：万元</a:t>
          </a:r>
          <a:endParaRPr lang="zh-CN" altLang="en-US" sz="9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2056" textRotate="1"/>
    <customShpInfo spid="_x0000_s2057" textRotate="1"/>
    <customShpInfo spid="_x0000_s2054" textRotate="1"/>
    <customShpInfo spid="_x0000_s2055"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51</Pages>
  <Words>3348</Words>
  <Characters>19089</Characters>
  <Lines>159</Lines>
  <Paragraphs>44</Paragraphs>
  <TotalTime>28</TotalTime>
  <ScaleCrop>false</ScaleCrop>
  <LinksUpToDate>false</LinksUpToDate>
  <CharactersWithSpaces>22393</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2020-08-04T09:49:00Z</dcterms:created>
  <dc:creator>曹颖</dc:creator>
  <cp:lastModifiedBy>随心所欲</cp:lastModifiedBy>
  <cp:lastPrinted>2023-09-13T09:52:00Z</cp:lastPrinted>
  <dcterms:modified xsi:type="dcterms:W3CDTF">2024-09-20T08:37:28Z</dcterms:modified>
  <dc:title>四川省***</dc:title>
  <cp:revision>170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A08F2A8B83024382BEBCB4A3E8D8E32D</vt:lpwstr>
  </property>
</Properties>
</file>