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2023年度四川省阿坝州</w:t>
      </w: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茂县人力资源和社会保障局（行政）单位</w:t>
      </w: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决算公开</w:t>
      </w: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suppressAutoHyphens/>
        <w:bidi w:val="0"/>
        <w:adjustRightInd w:val="0"/>
        <w:snapToGrid w:val="0"/>
        <w:spacing w:line="576" w:lineRule="exact"/>
        <w:jc w:val="both"/>
        <w:outlineLvl w:val="0"/>
        <w:rPr>
          <w:rFonts w:ascii="黑体" w:hAnsi="黑体" w:eastAsia="黑体"/>
          <w:color w:val="auto"/>
          <w:sz w:val="48"/>
          <w:szCs w:val="48"/>
          <w:highlight w:val="none"/>
        </w:rPr>
      </w:pPr>
      <w:r>
        <w:rPr>
          <w:rFonts w:ascii="方正小标宋简体" w:hAnsi="方正小标宋简体" w:eastAsia="方正小标宋简体" w:cs="方正小标宋简体"/>
          <w:color w:val="000000"/>
          <w:sz w:val="44"/>
          <w:szCs w:val="44"/>
        </w:rPr>
        <w:br w:type="page"/>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黑体" w:hAnsi="黑体" w:eastAsia="黑体"/>
          <w:color w:val="auto"/>
          <w:sz w:val="48"/>
          <w:szCs w:val="48"/>
          <w:highlight w:val="none"/>
        </w:rPr>
        <w:t>目录</w:t>
      </w:r>
    </w:p>
    <w:p>
      <w:pPr>
        <w:widowControl/>
        <w:jc w:val="center"/>
        <w:rPr>
          <w:rFonts w:ascii="黑体" w:hAnsi="黑体" w:eastAsia="黑体" w:cs="Times New Roman"/>
          <w:color w:val="auto"/>
          <w:sz w:val="28"/>
          <w:szCs w:val="28"/>
          <w:highlight w:val="none"/>
        </w:rPr>
      </w:pPr>
    </w:p>
    <w:p>
      <w:pPr>
        <w:pStyle w:val="13"/>
        <w:rPr>
          <w:color w:val="auto"/>
          <w:sz w:val="32"/>
          <w:szCs w:val="32"/>
          <w:highlight w:val="none"/>
        </w:rPr>
      </w:pPr>
      <w:r>
        <w:rPr>
          <w:rFonts w:hint="eastAsia"/>
          <w:color w:val="auto"/>
          <w:sz w:val="32"/>
          <w:szCs w:val="32"/>
          <w:highlight w:val="none"/>
        </w:rPr>
        <w:t>公开时间：20</w:t>
      </w:r>
      <w:r>
        <w:rPr>
          <w:rFonts w:hint="eastAsia"/>
          <w:color w:val="auto"/>
          <w:sz w:val="32"/>
          <w:szCs w:val="32"/>
          <w:highlight w:val="none"/>
          <w:lang w:val="en-US" w:eastAsia="zh-CN"/>
        </w:rPr>
        <w:t>24</w:t>
      </w:r>
      <w:r>
        <w:rPr>
          <w:rFonts w:hint="eastAsia"/>
          <w:color w:val="auto"/>
          <w:sz w:val="32"/>
          <w:szCs w:val="32"/>
          <w:highlight w:val="none"/>
        </w:rPr>
        <w:t>年</w:t>
      </w:r>
      <w:r>
        <w:rPr>
          <w:rFonts w:hint="eastAsia"/>
          <w:color w:val="auto"/>
          <w:sz w:val="32"/>
          <w:szCs w:val="32"/>
          <w:highlight w:val="none"/>
          <w:lang w:val="en-US" w:eastAsia="zh-CN"/>
        </w:rPr>
        <w:t>9</w:t>
      </w:r>
      <w:r>
        <w:rPr>
          <w:rFonts w:hint="eastAsia"/>
          <w:color w:val="auto"/>
          <w:sz w:val="32"/>
          <w:szCs w:val="32"/>
          <w:highlight w:val="none"/>
        </w:rPr>
        <w:t>月</w:t>
      </w:r>
      <w:r>
        <w:rPr>
          <w:rFonts w:hint="eastAsia"/>
          <w:color w:val="auto"/>
          <w:sz w:val="32"/>
          <w:szCs w:val="32"/>
          <w:highlight w:val="none"/>
          <w:lang w:val="en-US" w:eastAsia="zh-CN"/>
        </w:rPr>
        <w:t>25</w:t>
      </w:r>
      <w:r>
        <w:rPr>
          <w:rFonts w:hint="eastAsia"/>
          <w:color w:val="auto"/>
          <w:sz w:val="32"/>
          <w:szCs w:val="32"/>
          <w:highlight w:val="none"/>
        </w:rPr>
        <w:t>日</w:t>
      </w:r>
    </w:p>
    <w:p>
      <w:pPr>
        <w:rPr>
          <w:color w:val="auto"/>
          <w:highlight w:val="none"/>
        </w:rPr>
      </w:pP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概况</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一、主要职责</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二、机构设置</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6</w:t>
      </w: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2023年度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五、一般公共预算财政拨款支出决算情况说明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六、一般公共预算财政拨款基本支出决算情况说明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11</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七、财政拨款“三公”经费支出决算情况说明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11</w:t>
      </w:r>
    </w:p>
    <w:p>
      <w:pPr>
        <w:pStyle w:val="13"/>
        <w:adjustRightInd w:val="0"/>
        <w:snapToGrid w:val="0"/>
        <w:spacing w:before="0" w:line="576" w:lineRule="exac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八、政府性基金预算支出决算情况说明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九、国有资本经营预算支出决算情况说明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十、其他重要事项的情况说明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14</w:t>
      </w:r>
    </w:p>
    <w:p>
      <w:pPr>
        <w:pStyle w:val="14"/>
        <w:adjustRightInd w:val="0"/>
        <w:snapToGrid w:val="0"/>
        <w:spacing w:line="576" w:lineRule="exact"/>
        <w:ind w:firstLine="160" w:firstLineChars="5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20</w:t>
      </w:r>
    </w:p>
    <w:p>
      <w:pPr>
        <w:pStyle w:val="14"/>
        <w:adjustRightInd w:val="0"/>
        <w:snapToGrid w:val="0"/>
        <w:spacing w:line="576" w:lineRule="exact"/>
        <w:ind w:firstLine="160" w:firstLineChars="5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七、一般公共预算财政拨款支出决算明细表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八、一般公共预算财政拨款基本支出决算明细表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九、一般公共预算财政拨款项目支出决算表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十、政府性基金预算财政拨款收入支出决算表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十一、国有资本经营预算财政拨款收入支出决算表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十二、国有资本经营预算财政拨款支出决算表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十三、财政拨款“三公”经费支出决算表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26</w:t>
      </w:r>
    </w:p>
    <w:p>
      <w:pPr>
        <w:widowControl/>
        <w:spacing w:line="440" w:lineRule="exact"/>
        <w:jc w:val="left"/>
        <w:rPr>
          <w:rFonts w:ascii="仿宋" w:hAnsi="仿宋" w:eastAsia="仿宋"/>
          <w:bCs/>
          <w:color w:val="auto"/>
          <w:kern w:val="44"/>
          <w:sz w:val="24"/>
          <w:highlight w:val="none"/>
        </w:rPr>
      </w:pPr>
      <w:r>
        <w:rPr>
          <w:rFonts w:ascii="仿宋" w:hAnsi="仿宋" w:eastAsia="仿宋"/>
          <w:b/>
          <w:color w:val="auto"/>
          <w:sz w:val="24"/>
          <w:highlight w:val="none"/>
        </w:rPr>
        <w:br w:type="page"/>
      </w:r>
    </w:p>
    <w:p>
      <w:pPr>
        <w:suppressAutoHyphens/>
        <w:bidi w:val="0"/>
        <w:spacing w:line="576" w:lineRule="exact"/>
        <w:ind w:left="672"/>
        <w:jc w:val="center"/>
        <w:rPr>
          <w:rFonts w:ascii="黑体" w:eastAsia="黑体"/>
          <w:color w:val="auto"/>
          <w:sz w:val="32"/>
          <w:szCs w:val="32"/>
          <w:highlight w:val="none"/>
        </w:rPr>
      </w:pPr>
      <w:r>
        <w:rPr>
          <w:rStyle w:val="28"/>
          <w:rFonts w:hint="eastAsia" w:ascii="黑体" w:hAnsi="黑体" w:eastAsia="黑体" w:cs="黑体"/>
        </w:rPr>
        <w:t xml:space="preserve">第一部分 </w:t>
      </w:r>
      <w:r>
        <w:rPr>
          <w:rStyle w:val="28"/>
          <w:rFonts w:hint="eastAsia" w:ascii="黑体" w:hAnsi="黑体" w:eastAsia="黑体" w:cs="黑体"/>
          <w:lang w:eastAsia="zh-CN"/>
        </w:rPr>
        <w:t>单位</w:t>
      </w:r>
      <w:r>
        <w:rPr>
          <w:rStyle w:val="28"/>
          <w:rFonts w:hint="eastAsia" w:ascii="黑体" w:hAnsi="黑体" w:eastAsia="黑体" w:cs="黑体"/>
        </w:rPr>
        <w:t>概况</w:t>
      </w:r>
    </w:p>
    <w:p>
      <w:pPr>
        <w:numPr>
          <w:ilvl w:val="0"/>
          <w:numId w:val="1"/>
        </w:numPr>
        <w:spacing w:line="576" w:lineRule="exact"/>
        <w:ind w:firstLine="640" w:firstLineChars="200"/>
        <w:rPr>
          <w:rFonts w:hint="eastAsia" w:ascii="黑体" w:hAnsi="黑体" w:eastAsia="黑体" w:cs="Times New Roman"/>
          <w:b w:val="0"/>
          <w:bCs w:val="0"/>
          <w:color w:val="000000"/>
          <w:kern w:val="2"/>
          <w:sz w:val="32"/>
          <w:szCs w:val="32"/>
          <w:lang w:val="en-US" w:eastAsia="zh-CN" w:bidi="ar-SA"/>
        </w:rPr>
      </w:pPr>
      <w:r>
        <w:rPr>
          <w:rFonts w:hint="eastAsia" w:ascii="黑体" w:hAnsi="黑体" w:eastAsia="黑体" w:cs="Times New Roman"/>
          <w:b w:val="0"/>
          <w:bCs w:val="0"/>
          <w:color w:val="000000"/>
          <w:kern w:val="2"/>
          <w:sz w:val="32"/>
          <w:szCs w:val="32"/>
          <w:lang w:val="en-US" w:eastAsia="zh-CN" w:bidi="ar-SA"/>
        </w:rPr>
        <w:t>主要职责</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56" w:lineRule="exact"/>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56" w:lineRule="exact"/>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spacing w:line="556" w:lineRule="exact"/>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56" w:lineRule="exact"/>
        <w:ind w:firstLine="640"/>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56" w:lineRule="exact"/>
        <w:ind w:firstLine="640"/>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spacing w:line="556" w:lineRule="exact"/>
        <w:ind w:firstLine="640"/>
        <w:rPr>
          <w:rFonts w:ascii="仿宋_GB2312" w:eastAsia="仿宋_GB2312"/>
          <w:sz w:val="32"/>
          <w:szCs w:val="32"/>
        </w:rPr>
      </w:pPr>
      <w:r>
        <w:rPr>
          <w:rFonts w:hint="eastAsia" w:ascii="仿宋_GB2312" w:eastAsia="仿宋_GB2312"/>
          <w:sz w:val="32"/>
          <w:szCs w:val="32"/>
        </w:rPr>
        <w:t>14.完成县委、县政府交办的其他任务。</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56" w:lineRule="exact"/>
        <w:ind w:firstLine="640" w:firstLineChars="200"/>
        <w:rPr>
          <w:rFonts w:hint="eastAsia"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社会保障局牵头，会同县教育局等部门贯彻落实；毕业生离校前的就业指导和服务工作，由县教育局负责；毕业生离校后的就业指导和服务工作，由县人力资源社会</w:t>
      </w:r>
      <w:r>
        <w:rPr>
          <w:rFonts w:hint="eastAsia" w:ascii="仿宋_GB2312" w:eastAsia="仿宋_GB2312"/>
          <w:sz w:val="32"/>
          <w:szCs w:val="32"/>
          <w:lang w:eastAsia="zh-CN"/>
        </w:rPr>
        <w:t>和</w:t>
      </w:r>
      <w:r>
        <w:rPr>
          <w:rFonts w:hint="eastAsia" w:ascii="仿宋_GB2312" w:eastAsia="仿宋_GB2312"/>
          <w:sz w:val="32"/>
          <w:szCs w:val="32"/>
        </w:rPr>
        <w:t>保障局负责。</w:t>
      </w:r>
    </w:p>
    <w:p>
      <w:pPr>
        <w:spacing w:line="560" w:lineRule="exact"/>
        <w:ind w:firstLine="640" w:firstLineChars="200"/>
        <w:rPr>
          <w:rFonts w:ascii="楷体_GB2312" w:eastAsia="楷体_GB2312" w:cs="宋体"/>
          <w:b/>
          <w:kern w:val="0"/>
          <w:sz w:val="32"/>
          <w:szCs w:val="32"/>
        </w:rPr>
      </w:pPr>
      <w:r>
        <w:rPr>
          <w:rFonts w:hint="eastAsia" w:ascii="黑体" w:hAnsi="黑体" w:eastAsia="黑体" w:cs="黑体"/>
          <w:sz w:val="32"/>
          <w:szCs w:val="32"/>
        </w:rPr>
        <w:t>二、机构设置</w:t>
      </w:r>
    </w:p>
    <w:p>
      <w:pPr>
        <w:spacing w:line="576" w:lineRule="exact"/>
        <w:ind w:firstLine="640" w:firstLineChars="200"/>
        <w:rPr>
          <w:rStyle w:val="38"/>
          <w:rFonts w:ascii="仿宋" w:hAnsi="仿宋" w:eastAsia="仿宋"/>
          <w:b w:val="0"/>
          <w:bCs w:val="0"/>
          <w:kern w:val="2"/>
          <w:sz w:val="32"/>
          <w:szCs w:val="32"/>
        </w:rPr>
      </w:pPr>
      <w:r>
        <w:rPr>
          <w:rFonts w:hint="eastAsia" w:ascii="仿宋_GB2312" w:hAnsi="仿宋_GB2312" w:eastAsia="仿宋_GB2312" w:cs="仿宋_GB2312"/>
          <w:sz w:val="32"/>
          <w:szCs w:val="32"/>
        </w:rPr>
        <w:t>茂县</w:t>
      </w:r>
      <w:r>
        <w:rPr>
          <w:rFonts w:ascii="仿宋" w:hAnsi="仿宋" w:eastAsia="仿宋"/>
          <w:sz w:val="32"/>
          <w:szCs w:val="32"/>
        </w:rPr>
        <w:t>人力资源和社会保障局</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r>
        <w:rPr>
          <w:rFonts w:hint="eastAsia" w:ascii="仿宋" w:hAnsi="仿宋" w:eastAsia="仿宋"/>
          <w:color w:val="000000"/>
          <w:sz w:val="32"/>
          <w:szCs w:val="32"/>
        </w:rPr>
        <w:t>无纳入茂县</w:t>
      </w:r>
      <w:r>
        <w:rPr>
          <w:rFonts w:ascii="仿宋" w:hAnsi="仿宋" w:eastAsia="仿宋"/>
          <w:color w:val="000000"/>
          <w:sz w:val="32"/>
          <w:szCs w:val="32"/>
        </w:rPr>
        <w:t>人力资源和社会保障局</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年度部门决算编制范围的二级预算单位。</w:t>
      </w:r>
    </w:p>
    <w:p>
      <w:pPr>
        <w:widowControl/>
        <w:jc w:val="left"/>
        <w:rPr>
          <w:rFonts w:ascii="仿宋" w:hAnsi="仿宋" w:eastAsia="仿宋"/>
          <w:color w:val="auto"/>
          <w:kern w:val="0"/>
          <w:sz w:val="32"/>
          <w:szCs w:val="32"/>
          <w:highlight w:val="none"/>
        </w:rPr>
      </w:pPr>
    </w:p>
    <w:p>
      <w:pPr>
        <w:pStyle w:val="5"/>
        <w:ind w:right="440"/>
        <w:jc w:val="right"/>
        <w:rPr>
          <w:rStyle w:val="38"/>
          <w:rFonts w:ascii="黑体" w:hAnsi="黑体" w:eastAsia="黑体"/>
          <w:b/>
          <w:bCs/>
        </w:rPr>
      </w:pPr>
      <w:r>
        <w:rPr>
          <w:rStyle w:val="38"/>
          <w:rFonts w:hint="eastAsia" w:ascii="黑体" w:hAnsi="黑体" w:eastAsia="黑体"/>
          <w:b w:val="0"/>
          <w:bCs w:val="0"/>
        </w:rPr>
        <w:t>第二部分</w:t>
      </w:r>
      <w:r>
        <w:rPr>
          <w:rStyle w:val="38"/>
          <w:rFonts w:ascii="黑体" w:hAnsi="黑体" w:eastAsia="黑体"/>
          <w:b w:val="0"/>
          <w:bCs w:val="0"/>
        </w:rPr>
        <w:t xml:space="preserve"> 202</w:t>
      </w:r>
      <w:r>
        <w:rPr>
          <w:rStyle w:val="38"/>
          <w:rFonts w:hint="eastAsia" w:ascii="黑体" w:hAnsi="黑体" w:eastAsia="黑体"/>
          <w:b w:val="0"/>
          <w:bCs w:val="0"/>
          <w:lang w:val="en-US" w:eastAsia="zh-CN"/>
        </w:rPr>
        <w:t>3</w:t>
      </w:r>
      <w:r>
        <w:rPr>
          <w:rStyle w:val="38"/>
          <w:rFonts w:hint="eastAsia" w:ascii="黑体" w:hAnsi="黑体" w:eastAsia="黑体"/>
          <w:b w:val="0"/>
          <w:bCs w:val="0"/>
        </w:rPr>
        <w:t>年度</w:t>
      </w:r>
      <w:r>
        <w:rPr>
          <w:rStyle w:val="38"/>
          <w:rFonts w:hint="eastAsia" w:ascii="黑体" w:hAnsi="黑体" w:eastAsia="黑体"/>
          <w:b w:val="0"/>
          <w:bCs w:val="0"/>
          <w:lang w:val="en-US" w:eastAsia="zh-CN"/>
        </w:rPr>
        <w:t>单位</w:t>
      </w:r>
      <w:r>
        <w:rPr>
          <w:rStyle w:val="38"/>
          <w:rFonts w:hint="eastAsia" w:ascii="黑体" w:hAnsi="黑体" w:eastAsia="黑体"/>
          <w:b w:val="0"/>
          <w:bCs w:val="0"/>
        </w:rPr>
        <w:t>决算情况说明</w:t>
      </w:r>
    </w:p>
    <w:p>
      <w:pPr>
        <w:pStyle w:val="39"/>
        <w:numPr>
          <w:ilvl w:val="0"/>
          <w:numId w:val="2"/>
        </w:numPr>
        <w:spacing w:line="600" w:lineRule="exact"/>
        <w:ind w:firstLineChars="0"/>
        <w:outlineLvl w:val="1"/>
        <w:rPr>
          <w:rStyle w:val="29"/>
          <w:rFonts w:ascii="黑体" w:hAnsi="黑体" w:eastAsia="黑体"/>
          <w:b w:val="0"/>
        </w:rPr>
      </w:pPr>
      <w:bookmarkStart w:id="1" w:name="_Toc79163610"/>
      <w:bookmarkStart w:id="2" w:name="_Toc15396603"/>
      <w:bookmarkStart w:id="3" w:name="_Toc15377205"/>
      <w:bookmarkStart w:id="4" w:name="_Toc79163860"/>
      <w:r>
        <w:rPr>
          <w:rStyle w:val="29"/>
          <w:rFonts w:hint="eastAsia" w:ascii="黑体" w:hAnsi="黑体" w:eastAsia="黑体"/>
        </w:rPr>
        <w:t>收入支出决算总体情况说明</w:t>
      </w:r>
      <w:bookmarkEnd w:id="1"/>
      <w:bookmarkEnd w:id="2"/>
      <w:bookmarkEnd w:id="3"/>
      <w:bookmarkEnd w:id="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均为629.81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年相比，收、支总计增加</w:t>
      </w:r>
      <w:r>
        <w:rPr>
          <w:rFonts w:hint="eastAsia" w:ascii="仿宋" w:hAnsi="仿宋" w:eastAsia="仿宋"/>
          <w:color w:val="000000"/>
          <w:sz w:val="32"/>
          <w:szCs w:val="32"/>
          <w:lang w:val="en-US" w:eastAsia="zh-CN"/>
        </w:rPr>
        <w:t>86.56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增长15.93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9"/>
        <w:numPr>
          <w:ilvl w:val="0"/>
          <w:numId w:val="2"/>
        </w:numPr>
        <w:spacing w:line="600" w:lineRule="exact"/>
        <w:ind w:firstLineChars="0"/>
        <w:outlineLvl w:val="1"/>
        <w:rPr>
          <w:rStyle w:val="29"/>
          <w:rFonts w:ascii="黑体" w:hAnsi="黑体" w:eastAsia="黑体"/>
          <w:b w:val="0"/>
        </w:rPr>
      </w:pPr>
      <w:bookmarkStart w:id="5" w:name="_Toc79163861"/>
      <w:bookmarkStart w:id="6" w:name="_Toc79163611"/>
      <w:bookmarkStart w:id="7" w:name="_Toc15396604"/>
      <w:bookmarkStart w:id="8" w:name="_Toc15377206"/>
      <w:r>
        <w:rPr>
          <w:rStyle w:val="29"/>
          <w:rFonts w:hint="eastAsia" w:ascii="黑体" w:hAnsi="黑体" w:eastAsia="黑体"/>
        </w:rPr>
        <w:t>收入决算情况说明</w:t>
      </w:r>
      <w:bookmarkEnd w:id="5"/>
      <w:bookmarkEnd w:id="6"/>
      <w:bookmarkEnd w:id="7"/>
      <w:bookmarkEnd w:id="8"/>
    </w:p>
    <w:p>
      <w:pPr>
        <w:ind w:firstLine="640" w:firstLineChars="200"/>
        <w:outlineLvl w:val="1"/>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629.81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629.81</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auto"/>
          <w:sz w:val="32"/>
          <w:szCs w:val="32"/>
          <w:highlight w:val="none"/>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7"/>
        <w:numPr>
          <w:ilvl w:val="0"/>
          <w:numId w:val="2"/>
        </w:numPr>
        <w:spacing w:line="600" w:lineRule="exact"/>
        <w:ind w:firstLineChars="0"/>
        <w:outlineLvl w:val="1"/>
        <w:rPr>
          <w:rStyle w:val="29"/>
          <w:rFonts w:ascii="黑体" w:hAnsi="黑体" w:eastAsia="黑体"/>
          <w:b w:val="0"/>
        </w:rPr>
      </w:pPr>
      <w:bookmarkStart w:id="9" w:name="_Toc15377207"/>
      <w:bookmarkStart w:id="10"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9"/>
      <w:bookmarkEnd w:id="10"/>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629.81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363.77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57.76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266.04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42.24</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9"/>
          <w:rFonts w:ascii="黑体" w:hAnsi="黑体" w:eastAsia="黑体"/>
          <w:b w:val="0"/>
        </w:rPr>
      </w:pPr>
      <w:bookmarkStart w:id="11" w:name="_Toc15396606"/>
      <w:bookmarkStart w:id="12" w:name="_Toc79163613"/>
      <w:bookmarkStart w:id="13" w:name="_Toc79163863"/>
      <w:bookmarkStart w:id="14" w:name="_Toc15377208"/>
      <w:r>
        <w:rPr>
          <w:rFonts w:hint="eastAsia" w:ascii="黑体" w:hAnsi="黑体" w:eastAsia="黑体"/>
          <w:color w:val="000000"/>
          <w:sz w:val="32"/>
          <w:szCs w:val="32"/>
        </w:rPr>
        <w:t>四、财</w:t>
      </w:r>
      <w:r>
        <w:rPr>
          <w:rStyle w:val="29"/>
          <w:rFonts w:hint="eastAsia" w:ascii="黑体" w:hAnsi="黑体" w:eastAsia="黑体"/>
        </w:rPr>
        <w:t>政拨款收入支出决算总体情况说明</w:t>
      </w:r>
      <w:bookmarkEnd w:id="11"/>
      <w:bookmarkEnd w:id="12"/>
      <w:bookmarkEnd w:id="13"/>
      <w:bookmarkEnd w:id="14"/>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均为629.81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年相比财政拨款收、支总计</w:t>
      </w:r>
      <w:r>
        <w:rPr>
          <w:rFonts w:hint="eastAsia" w:ascii="仿宋" w:hAnsi="仿宋" w:eastAsia="仿宋"/>
          <w:color w:val="000000"/>
          <w:sz w:val="32"/>
          <w:szCs w:val="32"/>
          <w:lang w:val="en-US" w:eastAsia="zh-CN"/>
        </w:rPr>
        <w:t>增加86.56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增长15.93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ind w:firstLine="641"/>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9"/>
          <w:rFonts w:ascii="黑体" w:hAnsi="黑体" w:eastAsia="黑体"/>
          <w:b w:val="0"/>
        </w:rPr>
      </w:pPr>
      <w:bookmarkStart w:id="15" w:name="_Toc15396607"/>
      <w:bookmarkStart w:id="16" w:name="_Toc79163864"/>
      <w:bookmarkStart w:id="17" w:name="_Toc79163614"/>
      <w:bookmarkStart w:id="18"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rPr>
        <w:t>般公共预算财政拨款支出决算情况说明</w:t>
      </w:r>
      <w:bookmarkEnd w:id="15"/>
      <w:bookmarkEnd w:id="16"/>
      <w:bookmarkEnd w:id="17"/>
      <w:bookmarkEnd w:id="18"/>
    </w:p>
    <w:p>
      <w:pPr>
        <w:spacing w:line="600" w:lineRule="exact"/>
        <w:ind w:firstLine="643" w:firstLineChars="200"/>
        <w:outlineLvl w:val="2"/>
        <w:rPr>
          <w:rFonts w:ascii="仿宋" w:hAnsi="仿宋" w:eastAsia="仿宋"/>
          <w:b/>
          <w:color w:val="000000"/>
          <w:sz w:val="32"/>
          <w:szCs w:val="32"/>
        </w:rPr>
      </w:pPr>
      <w:bookmarkStart w:id="19" w:name="_Toc79163615"/>
      <w:bookmarkStart w:id="20" w:name="_Toc79163865"/>
      <w:bookmarkStart w:id="21" w:name="_Toc15377210"/>
      <w:r>
        <w:rPr>
          <w:rFonts w:hint="eastAsia" w:ascii="仿宋" w:hAnsi="仿宋" w:eastAsia="仿宋"/>
          <w:b/>
          <w:color w:val="000000"/>
          <w:sz w:val="32"/>
          <w:szCs w:val="32"/>
        </w:rPr>
        <w:t>（一）一般公共预算财政拨款支出决算总体情况</w:t>
      </w:r>
      <w:bookmarkEnd w:id="19"/>
      <w:bookmarkEnd w:id="20"/>
      <w:bookmarkEnd w:id="21"/>
    </w:p>
    <w:p>
      <w:pPr>
        <w:spacing w:line="600" w:lineRule="exact"/>
        <w:ind w:firstLine="640" w:firstLineChars="200"/>
        <w:rPr>
          <w:rFonts w:hint="eastAsia" w:ascii="仿宋_GB2312" w:eastAsia="仿宋_GB2312" w:cs="Times New Roman"/>
          <w:color w:val="000000"/>
          <w:kern w:val="2"/>
          <w:sz w:val="32"/>
          <w:szCs w:val="32"/>
          <w:lang w:val="en-US" w:eastAsia="zh-CN" w:bidi="ar-SA"/>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629.81</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86.56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增长15.93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pStyle w:val="2"/>
        <w:rPr>
          <w:rFonts w:hint="eastAsia" w:ascii="仿宋_GB2312" w:eastAsia="仿宋_GB2312" w:cs="Times New Roman"/>
          <w:color w:val="000000"/>
          <w:kern w:val="2"/>
          <w:sz w:val="32"/>
          <w:szCs w:val="32"/>
          <w:lang w:val="en-US" w:eastAsia="zh-CN" w:bidi="ar-SA"/>
        </w:rPr>
      </w:pPr>
    </w:p>
    <w:p>
      <w:pPr>
        <w:pStyle w:val="3"/>
        <w:rPr>
          <w:rFonts w:hint="eastAsia"/>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22" w:name="_Toc79163866"/>
      <w:bookmarkStart w:id="23" w:name="_Toc79163616"/>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22"/>
      <w:bookmarkEnd w:id="23"/>
    </w:p>
    <w:p>
      <w:pPr>
        <w:spacing w:line="600" w:lineRule="exact"/>
        <w:ind w:firstLine="64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年一般公共预算财政拨款支出</w:t>
      </w:r>
      <w:r>
        <w:rPr>
          <w:rFonts w:hint="eastAsia" w:ascii="仿宋" w:hAnsi="仿宋" w:eastAsia="仿宋"/>
          <w:color w:val="000000"/>
          <w:sz w:val="32"/>
          <w:szCs w:val="32"/>
          <w:lang w:val="en-US" w:eastAsia="zh-CN"/>
        </w:rPr>
        <w:t>629.81</w:t>
      </w:r>
      <w:r>
        <w:rPr>
          <w:rFonts w:hint="eastAsia" w:ascii="仿宋_GB2312" w:hAnsi="仿宋" w:eastAsia="仿宋_GB2312"/>
          <w:color w:val="000000"/>
          <w:sz w:val="32"/>
          <w:szCs w:val="32"/>
        </w:rPr>
        <w:t>万元，主要用于以下方面:</w:t>
      </w:r>
      <w:r>
        <w:rPr>
          <w:rFonts w:hint="eastAsia" w:ascii="仿宋_GB2312" w:hAnsi="仿宋" w:eastAsia="仿宋_GB2312"/>
          <w:b/>
          <w:color w:val="000000"/>
          <w:sz w:val="32"/>
          <w:szCs w:val="32"/>
        </w:rPr>
        <w:t>社会保障和就业</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540.03</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85.74</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卫生健康支出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20.66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3.28</w:t>
      </w:r>
      <w:r>
        <w:rPr>
          <w:rFonts w:hint="eastAsia" w:ascii="仿宋_GB2312" w:hAnsi="仿宋" w:eastAsia="仿宋_GB2312"/>
          <w:color w:val="000000"/>
          <w:sz w:val="32"/>
          <w:szCs w:val="32"/>
        </w:rPr>
        <w:t>%；</w:t>
      </w:r>
      <w:r>
        <w:rPr>
          <w:rFonts w:hint="eastAsia" w:ascii="仿宋_GB2312" w:hAnsi="仿宋" w:eastAsia="仿宋_GB2312"/>
          <w:b/>
          <w:bCs/>
          <w:color w:val="000000" w:themeColor="text1"/>
          <w:sz w:val="32"/>
          <w:szCs w:val="32"/>
          <w14:textFill>
            <w14:solidFill>
              <w14:schemeClr w14:val="tx1"/>
            </w14:solidFill>
          </w14:textFill>
        </w:rPr>
        <w:t>农林水支出</w:t>
      </w:r>
      <w:r>
        <w:rPr>
          <w:rFonts w:hint="eastAsia" w:ascii="仿宋_GB2312" w:hAnsi="仿宋" w:eastAsia="仿宋_GB2312"/>
          <w:b/>
          <w:color w:val="000000" w:themeColor="text1"/>
          <w:sz w:val="32"/>
          <w:szCs w:val="32"/>
          <w14:textFill>
            <w14:solidFill>
              <w14:schemeClr w14:val="tx1"/>
            </w14:solidFill>
          </w14:textFill>
        </w:rPr>
        <w:t>支出</w:t>
      </w:r>
      <w:r>
        <w:rPr>
          <w:rFonts w:hint="eastAsia" w:ascii="仿宋_GB2312" w:hAnsi="仿宋" w:eastAsia="仿宋_GB2312"/>
          <w:b/>
          <w:bCs/>
          <w:color w:val="000000" w:themeColor="text1"/>
          <w:sz w:val="32"/>
          <w:szCs w:val="32"/>
          <w14:textFill>
            <w14:solidFill>
              <w14:schemeClr w14:val="tx1"/>
            </w14:solidFill>
          </w14:textFill>
        </w:rPr>
        <w:t>（</w:t>
      </w:r>
      <w:r>
        <w:rPr>
          <w:rFonts w:hint="eastAsia" w:ascii="仿宋_GB2312" w:hAnsi="仿宋" w:eastAsia="仿宋_GB2312"/>
          <w:b/>
          <w:color w:val="000000"/>
          <w:sz w:val="32"/>
          <w:szCs w:val="32"/>
        </w:rPr>
        <w:t>类</w:t>
      </w:r>
      <w:r>
        <w:rPr>
          <w:rFonts w:hint="eastAsia" w:ascii="仿宋_GB2312" w:hAnsi="仿宋" w:eastAsia="仿宋_GB2312"/>
          <w:b/>
          <w:bCs/>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33</w:t>
      </w:r>
      <w:r>
        <w:rPr>
          <w:rFonts w:hint="eastAsia" w:ascii="仿宋_GB2312" w:hAnsi="仿宋" w:eastAsia="仿宋_GB2312"/>
          <w:color w:val="000000" w:themeColor="text1"/>
          <w:sz w:val="32"/>
          <w:szCs w:val="32"/>
          <w14:textFill>
            <w14:solidFill>
              <w14:schemeClr w14:val="tx1"/>
            </w14:solidFill>
          </w14:textFill>
        </w:rPr>
        <w:t>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5.24</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住房保障支出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26.30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4.18</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b/>
          <w:bCs/>
          <w:color w:val="000000"/>
          <w:sz w:val="32"/>
          <w:szCs w:val="32"/>
          <w:lang w:val="en-US" w:eastAsia="zh-CN"/>
        </w:rPr>
        <w:t>其他支出（类）</w:t>
      </w:r>
      <w:r>
        <w:rPr>
          <w:rFonts w:hint="eastAsia" w:ascii="仿宋_GB2312" w:hAnsi="仿宋" w:eastAsia="仿宋_GB2312"/>
          <w:color w:val="000000"/>
          <w:sz w:val="32"/>
          <w:szCs w:val="32"/>
          <w:lang w:val="en-US" w:eastAsia="zh-CN"/>
        </w:rPr>
        <w:t>9.82万元，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1.56</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5080" t="4445" r="4445" b="2349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color w:val="000000"/>
          <w:sz w:val="32"/>
          <w:szCs w:val="32"/>
        </w:rPr>
      </w:pPr>
      <w:bookmarkStart w:id="24" w:name="_Toc79163617"/>
      <w:bookmarkStart w:id="25" w:name="_Toc79163867"/>
      <w:bookmarkStart w:id="26" w:name="_Toc15377212"/>
      <w:bookmarkStart w:id="27" w:name="_Toc15377214"/>
      <w:bookmarkStart w:id="28" w:name="_Toc15396608"/>
      <w:r>
        <w:rPr>
          <w:rFonts w:hint="eastAsia" w:ascii="仿宋" w:hAnsi="仿宋" w:eastAsia="仿宋"/>
          <w:b/>
          <w:color w:val="000000"/>
          <w:sz w:val="32"/>
          <w:szCs w:val="32"/>
        </w:rPr>
        <w:t>（三）一般公共预算财政拨款支出决算具体情况</w:t>
      </w:r>
      <w:bookmarkEnd w:id="24"/>
      <w:bookmarkEnd w:id="25"/>
      <w:bookmarkEnd w:id="26"/>
    </w:p>
    <w:p>
      <w:pPr>
        <w:spacing w:line="600" w:lineRule="exact"/>
        <w:ind w:firstLine="640" w:firstLineChars="200"/>
        <w:rPr>
          <w:rFonts w:ascii="仿宋_GB2312" w:hAnsi="仿宋" w:eastAsia="仿宋_GB2312"/>
          <w:color w:val="000000"/>
          <w:sz w:val="32"/>
          <w:szCs w:val="32"/>
        </w:rPr>
      </w:pPr>
      <w:bookmarkStart w:id="29" w:name="_Toc15377444"/>
      <w:bookmarkStart w:id="30" w:name="_Toc15378460"/>
      <w:bookmarkStart w:id="31" w:name="_Toc15377213"/>
      <w:r>
        <w:rPr>
          <w:rFonts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年一般公共预算支出决算数为</w:t>
      </w:r>
      <w:r>
        <w:rPr>
          <w:rFonts w:hint="eastAsia" w:ascii="仿宋" w:hAnsi="仿宋" w:eastAsia="仿宋"/>
          <w:color w:val="000000"/>
          <w:sz w:val="32"/>
          <w:szCs w:val="32"/>
          <w:lang w:val="en-US" w:eastAsia="zh-CN"/>
        </w:rPr>
        <w:t>629.81</w:t>
      </w:r>
      <w:r>
        <w:rPr>
          <w:rFonts w:hint="eastAsia" w:ascii="仿宋" w:hAnsi="仿宋" w:eastAsia="仿宋"/>
          <w:color w:val="000000"/>
          <w:sz w:val="32"/>
          <w:szCs w:val="32"/>
        </w:rPr>
        <w:t>万元</w:t>
      </w:r>
      <w:r>
        <w:rPr>
          <w:rFonts w:hint="eastAsia" w:ascii="仿宋_GB2312" w:hAnsi="仿宋" w:eastAsia="仿宋_GB2312"/>
          <w:color w:val="000000"/>
          <w:sz w:val="32"/>
          <w:szCs w:val="32"/>
        </w:rPr>
        <w:t>，完成预算100</w:t>
      </w:r>
      <w:r>
        <w:rPr>
          <w:rFonts w:ascii="仿宋_GB2312" w:hAnsi="仿宋" w:eastAsia="仿宋_GB2312"/>
          <w:color w:val="000000"/>
          <w:sz w:val="32"/>
          <w:szCs w:val="32"/>
        </w:rPr>
        <w:t>%</w:t>
      </w:r>
      <w:r>
        <w:rPr>
          <w:rFonts w:hint="eastAsia" w:ascii="仿宋_GB2312" w:hAnsi="仿宋" w:eastAsia="仿宋_GB2312"/>
          <w:color w:val="000000"/>
          <w:sz w:val="32"/>
          <w:szCs w:val="32"/>
        </w:rPr>
        <w:t>。其中：</w:t>
      </w:r>
      <w:bookmarkEnd w:id="29"/>
      <w:bookmarkEnd w:id="30"/>
      <w:bookmarkEnd w:id="31"/>
    </w:p>
    <w:p>
      <w:pPr>
        <w:spacing w:line="576" w:lineRule="exact"/>
        <w:ind w:firstLine="643" w:firstLineChars="200"/>
        <w:rPr>
          <w:rStyle w:val="17"/>
          <w:rFonts w:ascii="仿宋_GB2312" w:hAnsi="仿宋" w:eastAsia="仿宋_GB2312"/>
          <w:b w:val="0"/>
          <w:bCs/>
          <w:color w:val="000000"/>
          <w:sz w:val="32"/>
          <w:szCs w:val="32"/>
        </w:rPr>
      </w:pPr>
      <w:r>
        <w:rPr>
          <w:rStyle w:val="17"/>
          <w:rFonts w:ascii="仿宋" w:hAnsi="仿宋" w:eastAsia="仿宋"/>
          <w:bCs/>
          <w:color w:val="000000"/>
          <w:sz w:val="32"/>
          <w:szCs w:val="32"/>
        </w:rPr>
        <w:t>1.</w:t>
      </w:r>
      <w:r>
        <w:rPr>
          <w:rFonts w:hint="eastAsia" w:ascii="仿宋_GB2312" w:eastAsia="仿宋_GB2312"/>
          <w:b/>
          <w:bCs/>
          <w:sz w:val="32"/>
          <w:szCs w:val="32"/>
        </w:rPr>
        <w:t>社会保障和就业支出（</w:t>
      </w:r>
      <w:r>
        <w:rPr>
          <w:rFonts w:hint="eastAsia" w:ascii="仿宋_GB2312" w:hAnsi="仿宋" w:eastAsia="仿宋_GB2312"/>
          <w:b/>
          <w:color w:val="000000"/>
          <w:sz w:val="32"/>
          <w:szCs w:val="32"/>
        </w:rPr>
        <w:t>类</w:t>
      </w:r>
      <w:r>
        <w:rPr>
          <w:rFonts w:hint="eastAsia" w:ascii="仿宋_GB2312" w:eastAsia="仿宋_GB2312"/>
          <w:b/>
          <w:bCs/>
          <w:sz w:val="32"/>
          <w:szCs w:val="32"/>
        </w:rPr>
        <w:t>）人力资源和社会保障管理事务（款）行政运行（项）</w:t>
      </w:r>
      <w:r>
        <w:rPr>
          <w:rStyle w:val="17"/>
          <w:rFonts w:ascii="仿宋" w:hAnsi="仿宋" w:eastAsia="仿宋"/>
          <w:bCs/>
          <w:color w:val="000000"/>
          <w:sz w:val="32"/>
          <w:szCs w:val="32"/>
        </w:rPr>
        <w:t xml:space="preserve">: </w:t>
      </w:r>
      <w:r>
        <w:rPr>
          <w:rStyle w:val="17"/>
          <w:rFonts w:hint="eastAsia" w:ascii="仿宋_GB2312" w:hAnsi="仿宋" w:eastAsia="仿宋_GB2312"/>
          <w:b w:val="0"/>
          <w:bCs/>
          <w:color w:val="000000"/>
          <w:sz w:val="32"/>
          <w:szCs w:val="32"/>
        </w:rPr>
        <w:t>支出决算为</w:t>
      </w:r>
      <w:r>
        <w:rPr>
          <w:rStyle w:val="17"/>
          <w:rFonts w:hint="eastAsia" w:ascii="仿宋_GB2312" w:hAnsi="仿宋" w:eastAsia="仿宋_GB2312"/>
          <w:b w:val="0"/>
          <w:bCs/>
          <w:color w:val="000000"/>
          <w:sz w:val="32"/>
          <w:szCs w:val="32"/>
          <w:lang w:val="en-US" w:eastAsia="zh-CN"/>
        </w:rPr>
        <w:t>269.11</w:t>
      </w:r>
      <w:r>
        <w:rPr>
          <w:rStyle w:val="17"/>
          <w:rFonts w:hint="eastAsia" w:ascii="仿宋_GB2312" w:hAnsi="仿宋" w:eastAsia="仿宋_GB2312"/>
          <w:b w:val="0"/>
          <w:bCs/>
          <w:color w:val="000000"/>
          <w:sz w:val="32"/>
          <w:szCs w:val="32"/>
        </w:rPr>
        <w:t>万元，完成预算100%，决算数等于预算数的主要原因是用于行政单位日常经费开支。</w:t>
      </w:r>
    </w:p>
    <w:p>
      <w:pPr>
        <w:spacing w:line="576" w:lineRule="exact"/>
        <w:ind w:firstLine="643" w:firstLineChars="200"/>
        <w:rPr>
          <w:rStyle w:val="17"/>
          <w:rFonts w:ascii="仿宋_GB2312" w:eastAsia="仿宋_GB2312"/>
          <w:bCs/>
          <w:color w:val="auto"/>
        </w:rPr>
      </w:pPr>
      <w:r>
        <w:rPr>
          <w:rStyle w:val="17"/>
          <w:rFonts w:ascii="仿宋" w:hAnsi="仿宋" w:eastAsia="仿宋"/>
          <w:bCs/>
          <w:color w:val="000000"/>
          <w:sz w:val="32"/>
          <w:szCs w:val="32"/>
        </w:rPr>
        <w:t>2.</w:t>
      </w:r>
      <w:r>
        <w:rPr>
          <w:rFonts w:hint="eastAsia" w:ascii="仿宋_GB2312" w:eastAsia="仿宋_GB2312"/>
          <w:b/>
          <w:bCs/>
          <w:sz w:val="32"/>
          <w:szCs w:val="32"/>
        </w:rPr>
        <w:t xml:space="preserve"> 社会保障和就业支出（</w:t>
      </w:r>
      <w:r>
        <w:rPr>
          <w:rFonts w:hint="eastAsia" w:ascii="仿宋_GB2312" w:hAnsi="仿宋" w:eastAsia="仿宋_GB2312"/>
          <w:b/>
          <w:color w:val="000000"/>
          <w:sz w:val="32"/>
          <w:szCs w:val="32"/>
        </w:rPr>
        <w:t>类</w:t>
      </w:r>
      <w:r>
        <w:rPr>
          <w:rFonts w:hint="eastAsia" w:ascii="仿宋_GB2312" w:eastAsia="仿宋_GB2312"/>
          <w:b/>
          <w:bCs/>
          <w:sz w:val="32"/>
          <w:szCs w:val="32"/>
        </w:rPr>
        <w:t>）人力资源和社会保障管理事务（款）其他人力资源和社会保障管理事务支出（项）</w:t>
      </w:r>
      <w:r>
        <w:rPr>
          <w:rFonts w:ascii="仿宋_GB2312" w:eastAsia="仿宋_GB2312"/>
        </w:rPr>
        <w:t>:</w:t>
      </w:r>
      <w:r>
        <w:rPr>
          <w:rStyle w:val="17"/>
          <w:rFonts w:hint="eastAsia" w:ascii="仿宋_GB2312" w:hAnsi="仿宋" w:eastAsia="仿宋_GB2312"/>
          <w:b w:val="0"/>
          <w:bCs/>
          <w:color w:val="000000"/>
          <w:sz w:val="32"/>
          <w:szCs w:val="32"/>
        </w:rPr>
        <w:t>支出决算为</w:t>
      </w:r>
      <w:r>
        <w:rPr>
          <w:rStyle w:val="17"/>
          <w:rFonts w:hint="eastAsia" w:ascii="仿宋_GB2312" w:hAnsi="仿宋" w:eastAsia="仿宋_GB2312"/>
          <w:b w:val="0"/>
          <w:bCs/>
          <w:color w:val="000000"/>
          <w:sz w:val="32"/>
          <w:szCs w:val="32"/>
          <w:lang w:val="en-US" w:eastAsia="zh-CN"/>
        </w:rPr>
        <w:t>223.22</w:t>
      </w:r>
      <w:r>
        <w:rPr>
          <w:rStyle w:val="17"/>
          <w:rFonts w:hint="eastAsia" w:ascii="仿宋_GB2312" w:hAnsi="仿宋" w:eastAsia="仿宋_GB2312"/>
          <w:b w:val="0"/>
          <w:bCs/>
          <w:color w:val="000000"/>
          <w:sz w:val="32"/>
          <w:szCs w:val="32"/>
        </w:rPr>
        <w:t>万元，完成预算100</w:t>
      </w:r>
      <w:r>
        <w:rPr>
          <w:rStyle w:val="17"/>
          <w:rFonts w:ascii="仿宋_GB2312" w:hAnsi="仿宋" w:eastAsia="仿宋_GB2312"/>
          <w:b w:val="0"/>
          <w:bCs/>
          <w:color w:val="000000"/>
          <w:sz w:val="32"/>
          <w:szCs w:val="32"/>
        </w:rPr>
        <w:t>%</w:t>
      </w:r>
      <w:r>
        <w:rPr>
          <w:rStyle w:val="17"/>
          <w:rFonts w:hint="eastAsia" w:ascii="仿宋_GB2312" w:hAnsi="仿宋" w:eastAsia="仿宋_GB2312"/>
          <w:b w:val="0"/>
          <w:bCs/>
          <w:color w:val="000000"/>
          <w:sz w:val="32"/>
          <w:szCs w:val="32"/>
        </w:rPr>
        <w:t>，</w:t>
      </w:r>
      <w:r>
        <w:rPr>
          <w:rStyle w:val="17"/>
          <w:rFonts w:hint="eastAsia" w:ascii="仿宋_GB2312" w:hAnsi="仿宋" w:eastAsia="仿宋_GB2312"/>
          <w:b w:val="0"/>
          <w:bCs/>
          <w:color w:val="auto"/>
          <w:sz w:val="32"/>
          <w:szCs w:val="32"/>
        </w:rPr>
        <w:t>决算数等于预算数的主要原因是用于</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val="en-US" w:eastAsia="zh-CN"/>
        </w:rPr>
        <w:t>社保公共能力建设项目</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val="en-US" w:eastAsia="zh-CN"/>
        </w:rPr>
        <w:t>公共实训基地</w:t>
      </w:r>
      <w:r>
        <w:rPr>
          <w:rFonts w:hint="eastAsia" w:ascii="仿宋_GB2312" w:hAnsi="仿宋" w:eastAsia="仿宋_GB2312" w:cs="仿宋"/>
          <w:color w:val="auto"/>
          <w:sz w:val="32"/>
          <w:szCs w:val="32"/>
        </w:rPr>
        <w:t>”等</w:t>
      </w:r>
      <w:r>
        <w:rPr>
          <w:rStyle w:val="17"/>
          <w:rFonts w:hint="eastAsia" w:ascii="仿宋_GB2312" w:hAnsi="仿宋" w:eastAsia="仿宋_GB2312"/>
          <w:b w:val="0"/>
          <w:bCs/>
          <w:color w:val="auto"/>
          <w:sz w:val="32"/>
          <w:szCs w:val="32"/>
        </w:rPr>
        <w:t>支出。</w:t>
      </w:r>
    </w:p>
    <w:p>
      <w:pPr>
        <w:spacing w:line="576" w:lineRule="exact"/>
        <w:ind w:firstLine="643" w:firstLineChars="200"/>
        <w:rPr>
          <w:rStyle w:val="17"/>
          <w:rFonts w:ascii="仿宋_GB2312" w:hAnsi="仿宋" w:eastAsia="仿宋_GB2312"/>
          <w:b w:val="0"/>
          <w:bCs/>
          <w:color w:val="000000"/>
          <w:sz w:val="32"/>
          <w:szCs w:val="32"/>
        </w:rPr>
      </w:pPr>
      <w:r>
        <w:rPr>
          <w:rStyle w:val="17"/>
          <w:rFonts w:hint="eastAsia" w:ascii="仿宋" w:hAnsi="仿宋" w:eastAsia="仿宋"/>
          <w:bCs/>
          <w:color w:val="000000"/>
          <w:sz w:val="32"/>
          <w:szCs w:val="32"/>
        </w:rPr>
        <w:t>3</w:t>
      </w:r>
      <w:r>
        <w:rPr>
          <w:rStyle w:val="17"/>
          <w:rFonts w:ascii="仿宋" w:hAnsi="仿宋" w:eastAsia="仿宋"/>
          <w:bCs/>
          <w:color w:val="000000"/>
          <w:sz w:val="32"/>
          <w:szCs w:val="32"/>
        </w:rPr>
        <w:t>.</w:t>
      </w:r>
      <w:r>
        <w:rPr>
          <w:rStyle w:val="17"/>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7"/>
          <w:rFonts w:hint="eastAsia" w:ascii="仿宋_GB2312" w:hAnsi="仿宋_GB2312" w:eastAsia="仿宋_GB2312" w:cs="仿宋_GB2312"/>
          <w:bCs/>
          <w:color w:val="000000"/>
          <w:sz w:val="32"/>
          <w:szCs w:val="32"/>
        </w:rPr>
        <w:t>）行政事业单位养老支出（款）机关事业单位基本养老保险缴费支出（项）</w:t>
      </w:r>
      <w:r>
        <w:rPr>
          <w:rStyle w:val="17"/>
          <w:rFonts w:ascii="仿宋" w:hAnsi="仿宋" w:eastAsia="仿宋"/>
          <w:bCs/>
          <w:color w:val="000000"/>
          <w:sz w:val="32"/>
          <w:szCs w:val="32"/>
        </w:rPr>
        <w:t>:</w:t>
      </w:r>
      <w:r>
        <w:rPr>
          <w:rStyle w:val="17"/>
          <w:rFonts w:hint="eastAsia" w:ascii="仿宋_GB2312" w:hAnsi="仿宋" w:eastAsia="仿宋_GB2312"/>
          <w:b w:val="0"/>
          <w:bCs/>
          <w:color w:val="000000"/>
          <w:sz w:val="32"/>
          <w:szCs w:val="32"/>
        </w:rPr>
        <w:t>支出决算为</w:t>
      </w:r>
      <w:r>
        <w:rPr>
          <w:rStyle w:val="17"/>
          <w:rFonts w:hint="eastAsia" w:ascii="仿宋_GB2312" w:hAnsi="仿宋" w:eastAsia="仿宋_GB2312"/>
          <w:b w:val="0"/>
          <w:bCs/>
          <w:color w:val="000000"/>
          <w:sz w:val="32"/>
          <w:szCs w:val="32"/>
          <w:lang w:val="en-US" w:eastAsia="zh-CN"/>
        </w:rPr>
        <w:t>31.80</w:t>
      </w:r>
      <w:r>
        <w:rPr>
          <w:rStyle w:val="17"/>
          <w:rFonts w:hint="eastAsia" w:ascii="仿宋_GB2312" w:hAnsi="仿宋" w:eastAsia="仿宋_GB2312"/>
          <w:b w:val="0"/>
          <w:bCs/>
          <w:color w:val="000000"/>
          <w:sz w:val="32"/>
          <w:szCs w:val="32"/>
        </w:rPr>
        <w:t>万元，完成预算100%，决算数等于预算数的主要原因是主要用于单位缴纳养老保险。</w:t>
      </w:r>
    </w:p>
    <w:p>
      <w:pPr>
        <w:spacing w:line="576" w:lineRule="exact"/>
        <w:ind w:firstLine="643" w:firstLineChars="200"/>
        <w:rPr>
          <w:rFonts w:ascii="仿宋_GB2312" w:hAnsi="仿宋_GB2312" w:eastAsia="仿宋_GB2312" w:cs="仿宋_GB2312"/>
          <w:sz w:val="32"/>
          <w:szCs w:val="32"/>
        </w:rPr>
      </w:pPr>
      <w:r>
        <w:rPr>
          <w:rStyle w:val="17"/>
          <w:rFonts w:hint="eastAsia" w:ascii="仿宋" w:hAnsi="仿宋" w:eastAsia="仿宋"/>
          <w:bCs/>
          <w:color w:val="000000"/>
          <w:sz w:val="32"/>
          <w:szCs w:val="32"/>
        </w:rPr>
        <w:t>4</w:t>
      </w:r>
      <w:r>
        <w:rPr>
          <w:rStyle w:val="17"/>
          <w:rFonts w:ascii="仿宋" w:hAnsi="仿宋" w:eastAsia="仿宋"/>
          <w:bCs/>
          <w:color w:val="000000"/>
          <w:sz w:val="32"/>
          <w:szCs w:val="32"/>
        </w:rPr>
        <w:t>.</w:t>
      </w:r>
      <w:r>
        <w:rPr>
          <w:rStyle w:val="17"/>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7"/>
          <w:rFonts w:hint="eastAsia" w:ascii="仿宋_GB2312" w:hAnsi="仿宋_GB2312" w:eastAsia="仿宋_GB2312" w:cs="仿宋_GB2312"/>
          <w:bCs/>
          <w:color w:val="000000"/>
          <w:sz w:val="32"/>
          <w:szCs w:val="32"/>
        </w:rPr>
        <w:t>）行政事业单位养老支出（款）机关事业单位职业年金缴费支出（项）</w:t>
      </w:r>
      <w:r>
        <w:rPr>
          <w:rStyle w:val="17"/>
          <w:rFonts w:ascii="仿宋" w:hAnsi="仿宋" w:eastAsia="仿宋"/>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15.9</w:t>
      </w:r>
      <w:r>
        <w:rPr>
          <w:rFonts w:hint="eastAsia" w:ascii="仿宋_GB2312" w:hAnsi="仿宋_GB2312" w:eastAsia="仿宋_GB2312" w:cs="仿宋_GB2312"/>
          <w:sz w:val="32"/>
          <w:szCs w:val="32"/>
        </w:rPr>
        <w:t>万元，完成预算100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，决算数等于预算数的主要原因是主要用于单位缴纳职业年金。</w:t>
      </w:r>
    </w:p>
    <w:p>
      <w:pPr>
        <w:spacing w:line="576" w:lineRule="exact"/>
        <w:ind w:firstLine="643" w:firstLineChars="200"/>
        <w:rPr>
          <w:rFonts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5.医疗卫生与计划生育（</w:t>
      </w:r>
      <w:r>
        <w:rPr>
          <w:rFonts w:hint="eastAsia" w:ascii="仿宋_GB2312" w:hAnsi="仿宋" w:eastAsia="仿宋_GB2312"/>
          <w:b/>
          <w:color w:val="000000"/>
          <w:sz w:val="32"/>
          <w:szCs w:val="32"/>
        </w:rPr>
        <w:t>类</w:t>
      </w:r>
      <w:r>
        <w:rPr>
          <w:rStyle w:val="17"/>
          <w:rFonts w:hint="eastAsia" w:ascii="仿宋_GB2312" w:hAnsi="仿宋_GB2312" w:eastAsia="仿宋_GB2312" w:cs="仿宋_GB2312"/>
          <w:bCs/>
          <w:color w:val="000000"/>
          <w:sz w:val="32"/>
          <w:szCs w:val="32"/>
        </w:rPr>
        <w:t>）行政事业单位医疗（款）行政单位医疗（项）: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20.66</w:t>
      </w:r>
      <w:r>
        <w:rPr>
          <w:rFonts w:hint="eastAsia" w:ascii="仿宋_GB2312" w:hAnsi="仿宋_GB2312" w:eastAsia="仿宋_GB2312" w:cs="仿宋_GB2312"/>
          <w:sz w:val="32"/>
          <w:szCs w:val="32"/>
        </w:rPr>
        <w:t>万元，完成预算100%，决算数等于预算数的主要原因是主要用于行政单位缴纳基本医疗保险。</w:t>
      </w:r>
    </w:p>
    <w:p>
      <w:pPr>
        <w:spacing w:line="576" w:lineRule="exact"/>
        <w:ind w:firstLine="643" w:firstLineChars="200"/>
        <w:rPr>
          <w:rFonts w:ascii="仿宋_GB2312" w:hAnsi="仿宋_GB2312" w:eastAsia="仿宋_GB2312" w:cs="仿宋_GB2312"/>
          <w:color w:val="auto"/>
          <w:sz w:val="32"/>
          <w:szCs w:val="32"/>
        </w:rPr>
      </w:pPr>
      <w:r>
        <w:rPr>
          <w:rStyle w:val="17"/>
          <w:rFonts w:hint="eastAsia" w:ascii="仿宋" w:hAnsi="仿宋" w:eastAsia="仿宋"/>
          <w:bCs/>
          <w:color w:val="000000"/>
          <w:sz w:val="32"/>
          <w:szCs w:val="32"/>
        </w:rPr>
        <w:t>6.</w:t>
      </w:r>
      <w:r>
        <w:rPr>
          <w:rStyle w:val="17"/>
          <w:rFonts w:hint="eastAsia" w:ascii="仿宋_GB2312" w:hAnsi="仿宋_GB2312" w:eastAsia="仿宋_GB2312" w:cs="仿宋_GB2312"/>
          <w:bCs/>
          <w:color w:val="000000"/>
          <w:sz w:val="32"/>
          <w:szCs w:val="32"/>
        </w:rPr>
        <w:t>农林水支出（</w:t>
      </w:r>
      <w:r>
        <w:rPr>
          <w:rFonts w:hint="eastAsia" w:ascii="仿宋_GB2312" w:hAnsi="仿宋" w:eastAsia="仿宋_GB2312"/>
          <w:b/>
          <w:color w:val="000000"/>
          <w:sz w:val="32"/>
          <w:szCs w:val="32"/>
        </w:rPr>
        <w:t>类</w:t>
      </w:r>
      <w:r>
        <w:rPr>
          <w:rStyle w:val="17"/>
          <w:rFonts w:hint="eastAsia" w:ascii="仿宋_GB2312" w:hAnsi="仿宋_GB2312" w:eastAsia="仿宋_GB2312" w:cs="仿宋_GB2312"/>
          <w:bCs/>
          <w:color w:val="000000"/>
          <w:sz w:val="32"/>
          <w:szCs w:val="32"/>
        </w:rPr>
        <w:t>）扶贫（款）其他扶贫支出（项）: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color w:val="auto"/>
          <w:sz w:val="32"/>
          <w:szCs w:val="32"/>
        </w:rPr>
        <w:t>决算数等于预算数的主要原因是主要用于单位</w:t>
      </w:r>
      <w:r>
        <w:rPr>
          <w:rFonts w:hint="eastAsia" w:ascii="仿宋_GB2312" w:eastAsia="仿宋_GB2312"/>
          <w:color w:val="auto"/>
          <w:sz w:val="32"/>
          <w:szCs w:val="32"/>
        </w:rPr>
        <w:t>东西部协作对口联络站建设</w:t>
      </w:r>
      <w:r>
        <w:rPr>
          <w:rFonts w:hint="eastAsia" w:ascii="仿宋_GB2312" w:hAnsi="仿宋" w:eastAsia="仿宋_GB2312" w:cs="仿宋"/>
          <w:color w:val="auto"/>
          <w:sz w:val="32"/>
          <w:szCs w:val="32"/>
        </w:rPr>
        <w:t>支出</w:t>
      </w:r>
      <w:r>
        <w:rPr>
          <w:rFonts w:hint="eastAsia" w:ascii="仿宋_GB2312" w:hAnsi="仿宋_GB2312" w:eastAsia="仿宋_GB2312" w:cs="仿宋_GB2312"/>
          <w:color w:val="auto"/>
          <w:sz w:val="32"/>
          <w:szCs w:val="32"/>
        </w:rPr>
        <w:t>。</w:t>
      </w:r>
    </w:p>
    <w:p>
      <w:pPr>
        <w:tabs>
          <w:tab w:val="right" w:pos="8306"/>
        </w:tabs>
        <w:spacing w:line="576" w:lineRule="exact"/>
        <w:ind w:firstLine="640"/>
        <w:outlineLvl w:val="1"/>
        <w:rPr>
          <w:rFonts w:hint="eastAsia" w:ascii="仿宋_GB2312" w:hAnsi="仿宋_GB2312" w:eastAsia="仿宋_GB2312" w:cs="仿宋_GB2312"/>
          <w:sz w:val="32"/>
          <w:szCs w:val="32"/>
        </w:rPr>
      </w:pPr>
      <w:r>
        <w:rPr>
          <w:rStyle w:val="17"/>
          <w:rFonts w:hint="eastAsia" w:ascii="仿宋" w:hAnsi="仿宋" w:eastAsia="仿宋"/>
          <w:bCs/>
          <w:color w:val="000000"/>
          <w:sz w:val="32"/>
          <w:szCs w:val="32"/>
        </w:rPr>
        <w:t>7.</w:t>
      </w:r>
      <w:r>
        <w:rPr>
          <w:rStyle w:val="17"/>
          <w:rFonts w:hint="eastAsia" w:ascii="仿宋_GB2312" w:hAnsi="仿宋_GB2312" w:eastAsia="仿宋_GB2312" w:cs="仿宋_GB2312"/>
          <w:bCs/>
          <w:color w:val="000000"/>
          <w:sz w:val="32"/>
          <w:szCs w:val="32"/>
        </w:rPr>
        <w:t>住房保障（类）住房改革（款）住房公积金（项）：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26.30</w:t>
      </w:r>
      <w:r>
        <w:rPr>
          <w:rFonts w:hint="eastAsia" w:ascii="仿宋_GB2312" w:hAnsi="仿宋_GB2312" w:eastAsia="仿宋_GB2312" w:cs="仿宋_GB2312"/>
          <w:sz w:val="32"/>
          <w:szCs w:val="32"/>
        </w:rPr>
        <w:t>万元，完成预100%，决算数等于预算数的主要单位为职工缴纳住房公积金。</w:t>
      </w:r>
    </w:p>
    <w:bookmarkEnd w:id="27"/>
    <w:bookmarkEnd w:id="28"/>
    <w:p>
      <w:pPr>
        <w:tabs>
          <w:tab w:val="right" w:pos="8306"/>
        </w:tabs>
        <w:spacing w:line="576" w:lineRule="exact"/>
        <w:ind w:firstLine="640"/>
        <w:outlineLvl w:val="1"/>
        <w:rPr>
          <w:rFonts w:hint="eastAsia" w:ascii="仿宋_GB2312" w:hAnsi="仿宋_GB2312" w:eastAsia="仿宋_GB2312" w:cs="仿宋_GB2312"/>
          <w:sz w:val="32"/>
          <w:szCs w:val="32"/>
        </w:rPr>
      </w:pPr>
      <w:bookmarkStart w:id="32" w:name="_Toc79163618"/>
      <w:bookmarkStart w:id="33" w:name="_Toc79163868"/>
      <w:bookmarkStart w:id="34" w:name="_Toc15377215"/>
      <w:bookmarkStart w:id="35" w:name="_Toc15396609"/>
      <w:r>
        <w:rPr>
          <w:rStyle w:val="17"/>
          <w:rFonts w:hint="eastAsia" w:ascii="仿宋" w:hAnsi="仿宋" w:eastAsia="仿宋"/>
          <w:bCs/>
          <w:color w:val="000000"/>
          <w:sz w:val="32"/>
          <w:szCs w:val="32"/>
          <w:lang w:val="en-US" w:eastAsia="zh-CN"/>
        </w:rPr>
        <w:t>8.</w:t>
      </w:r>
      <w:r>
        <w:rPr>
          <w:rStyle w:val="17"/>
          <w:rFonts w:hint="eastAsia" w:ascii="仿宋_GB2312" w:hAnsi="仿宋_GB2312" w:eastAsia="仿宋_GB2312" w:cs="仿宋_GB2312"/>
          <w:bCs/>
          <w:color w:val="000000"/>
          <w:sz w:val="32"/>
          <w:szCs w:val="32"/>
        </w:rPr>
        <w:t>住房保障（类）住房改革（款）</w:t>
      </w:r>
      <w:r>
        <w:rPr>
          <w:rStyle w:val="17"/>
          <w:rFonts w:hint="eastAsia" w:ascii="仿宋_GB2312" w:hAnsi="仿宋_GB2312" w:eastAsia="仿宋_GB2312" w:cs="仿宋_GB2312"/>
          <w:bCs/>
          <w:color w:val="000000"/>
          <w:sz w:val="32"/>
          <w:szCs w:val="32"/>
          <w:lang w:val="en-US" w:eastAsia="zh-CN"/>
        </w:rPr>
        <w:t>购房补贴</w:t>
      </w:r>
      <w:r>
        <w:rPr>
          <w:rStyle w:val="17"/>
          <w:rFonts w:hint="eastAsia" w:ascii="仿宋_GB2312" w:hAnsi="仿宋_GB2312" w:eastAsia="仿宋_GB2312" w:cs="仿宋_GB2312"/>
          <w:bCs/>
          <w:color w:val="000000"/>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2.23</w:t>
      </w:r>
      <w:r>
        <w:rPr>
          <w:rFonts w:hint="eastAsia" w:ascii="仿宋_GB2312" w:hAnsi="仿宋_GB2312" w:eastAsia="仿宋_GB2312" w:cs="仿宋_GB2312"/>
          <w:sz w:val="32"/>
          <w:szCs w:val="32"/>
        </w:rPr>
        <w:t>万元，完成预100%，决算数等于预算数的主要</w:t>
      </w:r>
      <w:r>
        <w:rPr>
          <w:rFonts w:hint="eastAsia" w:ascii="仿宋_GB2312" w:hAnsi="仿宋_GB2312" w:eastAsia="仿宋_GB2312" w:cs="仿宋_GB2312"/>
          <w:sz w:val="32"/>
          <w:szCs w:val="32"/>
          <w:lang w:val="en-US" w:eastAsia="zh-CN"/>
        </w:rPr>
        <w:t>用于</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当年退休职工的购房补贴</w:t>
      </w:r>
      <w:r>
        <w:rPr>
          <w:rFonts w:hint="eastAsia" w:ascii="仿宋_GB2312" w:hAnsi="仿宋_GB2312" w:eastAsia="仿宋_GB2312" w:cs="仿宋_GB2312"/>
          <w:sz w:val="32"/>
          <w:szCs w:val="32"/>
        </w:rPr>
        <w:t>。</w:t>
      </w:r>
    </w:p>
    <w:p>
      <w:pPr>
        <w:tabs>
          <w:tab w:val="right" w:pos="8306"/>
        </w:tabs>
        <w:spacing w:line="576" w:lineRule="exact"/>
        <w:ind w:firstLine="640"/>
        <w:outlineLvl w:val="1"/>
        <w:rPr>
          <w:rFonts w:hint="eastAsia" w:ascii="仿宋_GB2312" w:hAnsi="仿宋_GB2312" w:eastAsia="仿宋_GB2312" w:cs="仿宋_GB2312"/>
          <w:sz w:val="32"/>
          <w:szCs w:val="32"/>
        </w:rPr>
      </w:pPr>
      <w:r>
        <w:rPr>
          <w:rStyle w:val="17"/>
          <w:rFonts w:hint="eastAsia" w:ascii="仿宋" w:hAnsi="仿宋" w:eastAsia="仿宋"/>
          <w:bCs/>
          <w:color w:val="000000"/>
          <w:sz w:val="32"/>
          <w:szCs w:val="32"/>
          <w:lang w:val="en-US" w:eastAsia="zh-CN"/>
        </w:rPr>
        <w:t>9.</w:t>
      </w:r>
      <w:r>
        <w:rPr>
          <w:rStyle w:val="17"/>
          <w:rFonts w:hint="eastAsia" w:ascii="仿宋_GB2312" w:hAnsi="仿宋_GB2312" w:eastAsia="仿宋_GB2312" w:cs="仿宋_GB2312"/>
          <w:bCs/>
          <w:color w:val="000000"/>
          <w:sz w:val="32"/>
          <w:szCs w:val="32"/>
          <w:lang w:val="en-US" w:eastAsia="zh-CN"/>
        </w:rPr>
        <w:t>其他支出</w:t>
      </w:r>
      <w:r>
        <w:rPr>
          <w:rStyle w:val="17"/>
          <w:rFonts w:hint="eastAsia" w:ascii="仿宋_GB2312" w:hAnsi="仿宋_GB2312" w:eastAsia="仿宋_GB2312" w:cs="仿宋_GB2312"/>
          <w:bCs/>
          <w:color w:val="000000"/>
          <w:sz w:val="32"/>
          <w:szCs w:val="32"/>
        </w:rPr>
        <w:t>（类）</w:t>
      </w:r>
      <w:r>
        <w:rPr>
          <w:rStyle w:val="17"/>
          <w:rFonts w:hint="eastAsia" w:ascii="仿宋_GB2312" w:hAnsi="仿宋_GB2312" w:eastAsia="仿宋_GB2312" w:cs="仿宋_GB2312"/>
          <w:bCs/>
          <w:color w:val="000000"/>
          <w:sz w:val="32"/>
          <w:szCs w:val="32"/>
          <w:lang w:val="en-US" w:eastAsia="zh-CN"/>
        </w:rPr>
        <w:t>其他支出</w:t>
      </w:r>
      <w:r>
        <w:rPr>
          <w:rStyle w:val="17"/>
          <w:rFonts w:hint="eastAsia" w:ascii="仿宋_GB2312" w:hAnsi="仿宋_GB2312" w:eastAsia="仿宋_GB2312" w:cs="仿宋_GB2312"/>
          <w:bCs/>
          <w:color w:val="000000"/>
          <w:sz w:val="32"/>
          <w:szCs w:val="32"/>
        </w:rPr>
        <w:t>（款）</w:t>
      </w:r>
      <w:r>
        <w:rPr>
          <w:rStyle w:val="17"/>
          <w:rFonts w:hint="eastAsia" w:ascii="仿宋_GB2312" w:hAnsi="仿宋_GB2312" w:eastAsia="仿宋_GB2312" w:cs="仿宋_GB2312"/>
          <w:bCs/>
          <w:color w:val="000000"/>
          <w:sz w:val="32"/>
          <w:szCs w:val="32"/>
          <w:lang w:val="en-US" w:eastAsia="zh-CN"/>
        </w:rPr>
        <w:t>其他支出</w:t>
      </w:r>
      <w:r>
        <w:rPr>
          <w:rStyle w:val="17"/>
          <w:rFonts w:hint="eastAsia" w:ascii="仿宋_GB2312" w:hAnsi="仿宋_GB2312" w:eastAsia="仿宋_GB2312" w:cs="仿宋_GB2312"/>
          <w:bCs/>
          <w:color w:val="000000"/>
          <w:sz w:val="32"/>
          <w:szCs w:val="32"/>
        </w:rPr>
        <w:t>（项）：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9.82</w:t>
      </w:r>
      <w:r>
        <w:rPr>
          <w:rFonts w:hint="eastAsia" w:ascii="仿宋_GB2312" w:hAnsi="仿宋_GB2312" w:eastAsia="仿宋_GB2312" w:cs="仿宋_GB2312"/>
          <w:sz w:val="32"/>
          <w:szCs w:val="32"/>
        </w:rPr>
        <w:t>万元，完成预100%，决算数等于预算数的主要</w:t>
      </w:r>
      <w:r>
        <w:rPr>
          <w:rFonts w:hint="eastAsia" w:ascii="仿宋_GB2312" w:hAnsi="仿宋_GB2312" w:eastAsia="仿宋_GB2312" w:cs="仿宋_GB2312"/>
          <w:sz w:val="32"/>
          <w:szCs w:val="32"/>
          <w:lang w:val="en-US" w:eastAsia="zh-CN"/>
        </w:rPr>
        <w:t>用于实训基地项目的测绘费及可研报告费</w:t>
      </w:r>
      <w:r>
        <w:rPr>
          <w:rFonts w:hint="eastAsia" w:ascii="仿宋_GB2312" w:hAnsi="仿宋_GB2312" w:eastAsia="仿宋_GB2312" w:cs="仿宋_GB2312"/>
          <w:sz w:val="32"/>
          <w:szCs w:val="32"/>
        </w:rPr>
        <w:t>。</w:t>
      </w:r>
    </w:p>
    <w:p>
      <w:pPr>
        <w:tabs>
          <w:tab w:val="right" w:pos="8306"/>
        </w:tabs>
        <w:spacing w:line="600" w:lineRule="exact"/>
        <w:ind w:firstLine="640" w:firstLineChars="200"/>
        <w:outlineLvl w:val="1"/>
        <w:rPr>
          <w:rStyle w:val="2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rPr>
        <w:t>般公共预算财政拨款基本支出决算情况说明</w:t>
      </w:r>
      <w:bookmarkEnd w:id="32"/>
      <w:bookmarkEnd w:id="33"/>
      <w:r>
        <w:rPr>
          <w:rStyle w:val="29"/>
          <w:rFonts w:ascii="黑体" w:hAnsi="黑体" w:eastAsia="黑体"/>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363.77</w:t>
      </w:r>
      <w:r>
        <w:rPr>
          <w:rFonts w:hint="eastAsia" w:ascii="仿宋" w:hAnsi="仿宋" w:eastAsia="仿宋"/>
          <w:color w:val="000000"/>
          <w:sz w:val="32"/>
          <w:szCs w:val="32"/>
        </w:rPr>
        <w:t>万元，其中：</w:t>
      </w:r>
    </w:p>
    <w:p>
      <w:pPr>
        <w:spacing w:line="576" w:lineRule="exact"/>
        <w:ind w:firstLine="640"/>
        <w:outlineLvl w:val="1"/>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349.71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0"/>
        <w:outlineLvl w:val="1"/>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14.06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34"/>
    <w:bookmarkEnd w:id="35"/>
    <w:p>
      <w:pPr>
        <w:spacing w:line="600" w:lineRule="exact"/>
        <w:ind w:firstLine="640"/>
        <w:outlineLvl w:val="1"/>
        <w:rPr>
          <w:rStyle w:val="29"/>
          <w:rFonts w:ascii="黑体" w:hAnsi="黑体" w:eastAsia="黑体"/>
          <w:b w:val="0"/>
        </w:rPr>
      </w:pPr>
      <w:bookmarkStart w:id="36" w:name="_Toc79163869"/>
      <w:bookmarkStart w:id="37" w:name="_Toc79163619"/>
      <w:bookmarkStart w:id="38" w:name="_Toc15377217"/>
      <w:r>
        <w:rPr>
          <w:rFonts w:hint="eastAsia" w:ascii="黑体" w:eastAsia="黑体"/>
          <w:color w:val="000000"/>
          <w:sz w:val="32"/>
          <w:szCs w:val="32"/>
        </w:rPr>
        <w:t>七、</w:t>
      </w:r>
      <w:r>
        <w:rPr>
          <w:rStyle w:val="29"/>
          <w:rFonts w:hint="eastAsia" w:ascii="黑体" w:hAnsi="黑体" w:eastAsia="黑体"/>
        </w:rPr>
        <w:t>财政拨款“三公”经费支出决算情况说明</w:t>
      </w:r>
      <w:bookmarkEnd w:id="36"/>
      <w:bookmarkEnd w:id="37"/>
    </w:p>
    <w:p>
      <w:pPr>
        <w:spacing w:line="600" w:lineRule="exact"/>
        <w:ind w:firstLine="640"/>
        <w:outlineLvl w:val="2"/>
        <w:rPr>
          <w:rFonts w:ascii="仿宋" w:hAnsi="仿宋" w:eastAsia="仿宋"/>
          <w:b/>
          <w:color w:val="000000"/>
          <w:sz w:val="32"/>
          <w:szCs w:val="32"/>
        </w:rPr>
      </w:pPr>
      <w:bookmarkStart w:id="39" w:name="_Toc15377216"/>
      <w:bookmarkStart w:id="40" w:name="_Toc79163870"/>
      <w:bookmarkStart w:id="41" w:name="_Toc79163620"/>
      <w:r>
        <w:rPr>
          <w:rFonts w:hint="eastAsia" w:ascii="仿宋" w:hAnsi="仿宋" w:eastAsia="仿宋"/>
          <w:b/>
          <w:color w:val="000000"/>
          <w:sz w:val="32"/>
          <w:szCs w:val="32"/>
        </w:rPr>
        <w:t>（一）“三公”经费财政拨款支出决算总体情况说明</w:t>
      </w:r>
      <w:bookmarkEnd w:id="39"/>
      <w:bookmarkEnd w:id="40"/>
      <w:bookmarkEnd w:id="41"/>
    </w:p>
    <w:p>
      <w:pPr>
        <w:spacing w:line="600" w:lineRule="exact"/>
        <w:ind w:firstLine="640"/>
        <w:rPr>
          <w:rFonts w:ascii="仿宋_GB2312" w:eastAsia="仿宋_GB2312"/>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5.24</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highlight w:val="none"/>
          <w:lang w:eastAsia="zh-CN"/>
        </w:rPr>
        <w:t>较上年度增加</w:t>
      </w:r>
      <w:r>
        <w:rPr>
          <w:rFonts w:hint="eastAsia" w:ascii="仿宋" w:hAnsi="仿宋" w:eastAsia="仿宋"/>
          <w:color w:val="auto"/>
          <w:sz w:val="32"/>
          <w:szCs w:val="32"/>
          <w:highlight w:val="none"/>
          <w:lang w:val="en-US" w:eastAsia="zh-CN"/>
        </w:rPr>
        <w:t>1.89万元，增长56.42%</w:t>
      </w:r>
      <w:r>
        <w:rPr>
          <w:rFonts w:hint="eastAsia" w:ascii="仿宋" w:hAnsi="仿宋" w:eastAsia="仿宋"/>
          <w:color w:val="auto"/>
          <w:sz w:val="32"/>
          <w:szCs w:val="32"/>
          <w:highlight w:val="none"/>
        </w:rPr>
        <w:t>。</w:t>
      </w:r>
      <w:r>
        <w:rPr>
          <w:rFonts w:hint="eastAsia" w:ascii="仿宋" w:hAnsi="仿宋" w:eastAsia="仿宋"/>
          <w:color w:val="000000"/>
          <w:sz w:val="32"/>
          <w:szCs w:val="32"/>
        </w:rPr>
        <w:t>决算数与预算数持平的主要原因是</w:t>
      </w:r>
      <w:r>
        <w:rPr>
          <w:rFonts w:hint="eastAsia" w:ascii="仿宋_GB2312" w:eastAsia="仿宋_GB2312"/>
          <w:color w:val="000000"/>
          <w:sz w:val="32"/>
          <w:szCs w:val="32"/>
          <w:lang w:val="en-US" w:eastAsia="zh-CN"/>
        </w:rPr>
        <w:t>坚持</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过紧日子</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的要求，</w:t>
      </w:r>
      <w:r>
        <w:rPr>
          <w:rFonts w:hint="eastAsia" w:ascii="仿宋_GB2312" w:eastAsia="仿宋_GB2312"/>
          <w:sz w:val="32"/>
          <w:szCs w:val="32"/>
        </w:rPr>
        <w:t>厉行节约。</w:t>
      </w:r>
    </w:p>
    <w:bookmarkEnd w:id="38"/>
    <w:p>
      <w:pPr>
        <w:spacing w:line="600" w:lineRule="exact"/>
        <w:ind w:firstLine="640"/>
        <w:outlineLvl w:val="2"/>
        <w:rPr>
          <w:rFonts w:ascii="仿宋" w:hAnsi="仿宋" w:eastAsia="仿宋"/>
          <w:b/>
          <w:color w:val="000000"/>
          <w:sz w:val="32"/>
          <w:szCs w:val="32"/>
        </w:rPr>
      </w:pPr>
      <w:bookmarkStart w:id="42" w:name="_Toc79163621"/>
      <w:bookmarkStart w:id="43" w:name="_Toc79163871"/>
      <w:r>
        <w:rPr>
          <w:rFonts w:hint="eastAsia" w:ascii="仿宋" w:hAnsi="仿宋" w:eastAsia="仿宋"/>
          <w:b/>
          <w:color w:val="000000"/>
          <w:sz w:val="32"/>
          <w:szCs w:val="32"/>
        </w:rPr>
        <w:t>（二）“三公”经费财政拨款支出决算具体情况说明</w:t>
      </w:r>
      <w:bookmarkEnd w:id="42"/>
      <w:bookmarkEnd w:id="43"/>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95.04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4.96</w:t>
      </w:r>
      <w:r>
        <w:rPr>
          <w:rFonts w:ascii="仿宋" w:hAnsi="仿宋" w:eastAsia="仿宋"/>
          <w:color w:val="000000"/>
          <w:sz w:val="32"/>
          <w:szCs w:val="32"/>
        </w:rPr>
        <w:t>%</w:t>
      </w:r>
      <w:r>
        <w:rPr>
          <w:rFonts w:hint="eastAsia" w:ascii="仿宋" w:hAnsi="仿宋" w:eastAsia="仿宋"/>
          <w:color w:val="000000"/>
          <w:sz w:val="32"/>
          <w:szCs w:val="32"/>
        </w:rPr>
        <w:t>。具体情况如下：</w:t>
      </w:r>
    </w:p>
    <w:p>
      <w:pPr>
        <w:rPr>
          <w:rFonts w:hint="eastAsia" w:ascii="仿宋" w:hAnsi="仿宋" w:eastAsia="仿宋"/>
          <w:color w:val="000000"/>
          <w:sz w:val="32"/>
          <w:szCs w:val="32"/>
        </w:rPr>
      </w:pPr>
      <w:r>
        <w:rPr>
          <w:rFonts w:hint="eastAsia" w:eastAsia="仿宋"/>
          <w:lang w:val="en-US" w:eastAsia="zh-CN"/>
        </w:rPr>
        <w:t xml:space="preserve">        </w:t>
      </w:r>
      <w:r>
        <w:rPr>
          <w:rFonts w:hint="eastAsia" w:eastAsia="仿宋"/>
          <w:lang w:eastAsia="zh-CN"/>
        </w:rPr>
        <w:drawing>
          <wp:inline distT="0" distB="0" distL="114300" distR="114300">
            <wp:extent cx="4041140" cy="2229485"/>
            <wp:effectExtent l="5080" t="4445" r="11430"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ascii="仿宋_GB2312" w:eastAsia="仿宋_GB2312"/>
          <w:color w:val="000000"/>
          <w:sz w:val="32"/>
          <w:szCs w:val="32"/>
        </w:rPr>
      </w:pPr>
      <w:bookmarkStart w:id="44" w:name="_Toc15377218"/>
      <w:bookmarkStart w:id="45" w:name="_Toc15396610"/>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Cs/>
          <w:color w:val="000000"/>
          <w:sz w:val="32"/>
          <w:szCs w:val="32"/>
        </w:rPr>
        <w:t>完成预算0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全年安排因公出国（境）团组0次，出国（境）0人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与上年比无变化</w:t>
      </w:r>
      <w:r>
        <w:rPr>
          <w:rFonts w:hint="eastAsia" w:ascii="仿宋_GB2312" w:eastAsia="仿宋_GB2312"/>
          <w:color w:val="000000"/>
          <w:sz w:val="32"/>
          <w:szCs w:val="32"/>
        </w:rPr>
        <w:t>。</w:t>
      </w:r>
    </w:p>
    <w:p>
      <w:pPr>
        <w:keepNext w:val="0"/>
        <w:keepLines w:val="0"/>
        <w:widowControl w:val="0"/>
        <w:suppressLineNumbers w:val="0"/>
        <w:spacing w:before="0" w:beforeAutospacing="0" w:after="0" w:afterAutospacing="0"/>
        <w:ind w:right="0" w:firstLine="643" w:firstLineChars="200"/>
        <w:jc w:val="both"/>
        <w:rPr>
          <w:rFonts w:hint="default" w:ascii="仿宋_GB2312" w:eastAsia="仿宋_GB2312"/>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4.98</w:t>
      </w:r>
      <w:r>
        <w:rPr>
          <w:rFonts w:hint="eastAsia" w:ascii="仿宋_GB2312" w:eastAsia="仿宋_GB2312"/>
          <w:color w:val="000000"/>
          <w:sz w:val="32"/>
          <w:szCs w:val="32"/>
        </w:rPr>
        <w:t>万元</w:t>
      </w:r>
      <w:r>
        <w:rPr>
          <w:rFonts w:ascii="仿宋_GB2312" w:eastAsia="仿宋_GB2312"/>
          <w:color w:val="000000"/>
          <w:sz w:val="32"/>
          <w:szCs w:val="32"/>
        </w:rPr>
        <w:t>,</w:t>
      </w:r>
      <w:r>
        <w:rPr>
          <w:rStyle w:val="17"/>
          <w:rFonts w:hint="eastAsia" w:ascii="仿宋" w:hAnsi="仿宋" w:eastAsia="仿宋"/>
          <w:bCs/>
          <w:color w:val="000000"/>
          <w:sz w:val="32"/>
          <w:szCs w:val="32"/>
        </w:rPr>
        <w:t>完成预算100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增加1.85</w:t>
      </w:r>
      <w:r>
        <w:rPr>
          <w:rFonts w:hint="eastAsia" w:ascii="仿宋_GB2312" w:eastAsia="仿宋_GB2312"/>
          <w:color w:val="000000"/>
          <w:sz w:val="32"/>
          <w:szCs w:val="32"/>
        </w:rPr>
        <w:t>万元，</w:t>
      </w:r>
      <w:r>
        <w:rPr>
          <w:rFonts w:hint="eastAsia" w:ascii="仿宋" w:hAnsi="仿宋" w:eastAsia="仿宋"/>
          <w:color w:val="auto"/>
          <w:sz w:val="32"/>
          <w:szCs w:val="32"/>
          <w:highlight w:val="none"/>
          <w:lang w:val="en-US" w:eastAsia="zh-CN"/>
        </w:rPr>
        <w:t>增长</w:t>
      </w:r>
      <w:r>
        <w:rPr>
          <w:rFonts w:hint="eastAsia" w:ascii="仿宋_GB2312" w:eastAsia="仿宋_GB2312"/>
          <w:color w:val="000000"/>
          <w:sz w:val="32"/>
          <w:szCs w:val="32"/>
          <w:lang w:val="en-US" w:eastAsia="zh-CN"/>
        </w:rPr>
        <w:t>59.11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因车辆达到报废年限，车辆老旧造成的费用增加等。</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月底，单位共有公务用车2辆，其中：轿车1辆、越野车1辆。</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4.98</w:t>
      </w:r>
      <w:r>
        <w:rPr>
          <w:rFonts w:hint="eastAsia" w:ascii="仿宋_GB2312" w:eastAsia="仿宋_GB2312"/>
          <w:color w:val="000000"/>
          <w:sz w:val="32"/>
          <w:szCs w:val="32"/>
        </w:rPr>
        <w:t>万元。主要用于单位</w:t>
      </w:r>
      <w:r>
        <w:rPr>
          <w:rFonts w:ascii="仿宋_GB2312" w:eastAsia="仿宋_GB2312"/>
          <w:color w:val="000000"/>
          <w:sz w:val="32"/>
          <w:szCs w:val="32"/>
        </w:rPr>
        <w:t>开展包村</w:t>
      </w:r>
      <w:r>
        <w:rPr>
          <w:rFonts w:hint="eastAsia" w:ascii="仿宋_GB2312" w:eastAsia="仿宋_GB2312"/>
          <w:color w:val="000000"/>
          <w:sz w:val="32"/>
          <w:szCs w:val="32"/>
        </w:rPr>
        <w:t>、</w:t>
      </w:r>
      <w:r>
        <w:rPr>
          <w:rFonts w:ascii="仿宋_GB2312" w:eastAsia="仿宋_GB2312"/>
          <w:color w:val="000000"/>
          <w:sz w:val="32"/>
          <w:szCs w:val="32"/>
        </w:rPr>
        <w:t>扶贫</w:t>
      </w:r>
      <w:r>
        <w:rPr>
          <w:rFonts w:hint="eastAsia" w:ascii="仿宋_GB2312" w:eastAsia="仿宋_GB2312"/>
          <w:color w:val="000000"/>
          <w:sz w:val="32"/>
          <w:szCs w:val="32"/>
        </w:rPr>
        <w:t>等工作所需的公务用车燃料费、维修费、过路过桥费、保险费等支出。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w:t>
      </w:r>
      <w:r>
        <w:rPr>
          <w:rStyle w:val="17"/>
          <w:rFonts w:hint="eastAsia" w:ascii="仿宋" w:hAnsi="仿宋" w:eastAsia="仿宋"/>
          <w:bCs/>
          <w:color w:val="000000"/>
          <w:sz w:val="32"/>
          <w:szCs w:val="32"/>
        </w:rPr>
        <w:t>完成预算100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增加0.04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增长18.18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全面落实关于党政机关厉行勤俭节约，坚持</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过紧日子</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的要求，努力营造</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艰苦奋斗、勤俭节约</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氛围，持续推进节约型单位建设</w:t>
      </w:r>
      <w:r>
        <w:rPr>
          <w:rFonts w:hint="eastAsia" w:ascii="仿宋_GB2312" w:eastAsia="仿宋_GB2312"/>
          <w:color w:val="000000"/>
          <w:sz w:val="32"/>
          <w:szCs w:val="32"/>
        </w:rPr>
        <w:t>。其中：</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0.26</w:t>
      </w:r>
      <w:r>
        <w:rPr>
          <w:rFonts w:hint="eastAsia" w:ascii="仿宋_GB2312" w:eastAsia="仿宋_GB2312"/>
          <w:color w:val="000000"/>
          <w:sz w:val="32"/>
          <w:szCs w:val="32"/>
        </w:rPr>
        <w:t>万元，主要用于主要用于执行公务、开展业务活动开支的交通费、住宿费、用餐费等。国内公务接待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bookmarkEnd w:id="44"/>
    <w:bookmarkEnd w:id="45"/>
    <w:p>
      <w:pPr>
        <w:spacing w:line="600" w:lineRule="exact"/>
        <w:ind w:firstLine="640"/>
        <w:outlineLvl w:val="1"/>
        <w:rPr>
          <w:rStyle w:val="29"/>
          <w:rFonts w:ascii="黑体" w:hAnsi="黑体" w:eastAsia="黑体"/>
        </w:rPr>
      </w:pPr>
      <w:bookmarkStart w:id="46" w:name="_Toc79163622"/>
      <w:bookmarkStart w:id="47" w:name="_Toc79163872"/>
      <w:bookmarkStart w:id="48" w:name="_Toc15396612"/>
      <w:bookmarkStart w:id="49" w:name="_Toc15377221"/>
      <w:r>
        <w:rPr>
          <w:rFonts w:hint="eastAsia" w:ascii="黑体" w:eastAsia="黑体"/>
          <w:color w:val="000000"/>
          <w:sz w:val="32"/>
          <w:szCs w:val="32"/>
        </w:rPr>
        <w:t>八、</w:t>
      </w:r>
      <w:r>
        <w:rPr>
          <w:rStyle w:val="29"/>
          <w:rFonts w:hint="eastAsia" w:ascii="黑体" w:hAnsi="黑体" w:eastAsia="黑体"/>
        </w:rPr>
        <w:t>政府性基金预算支出决算情况说明</w:t>
      </w:r>
      <w:bookmarkEnd w:id="46"/>
      <w:bookmarkEnd w:id="4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numPr>
          <w:ilvl w:val="0"/>
          <w:numId w:val="3"/>
        </w:numPr>
        <w:spacing w:line="600" w:lineRule="exact"/>
        <w:ind w:firstLine="640"/>
        <w:outlineLvl w:val="1"/>
        <w:rPr>
          <w:rStyle w:val="29"/>
          <w:rFonts w:ascii="黑体" w:hAnsi="黑体" w:eastAsia="黑体"/>
          <w:b w:val="0"/>
        </w:rPr>
      </w:pPr>
      <w:bookmarkStart w:id="50" w:name="_Toc79163873"/>
      <w:bookmarkStart w:id="51" w:name="_Toc79163623"/>
      <w:bookmarkStart w:id="52" w:name="_Toc15377219"/>
      <w:bookmarkStart w:id="53" w:name="_Toc15396611"/>
      <w:r>
        <w:rPr>
          <w:rStyle w:val="29"/>
          <w:rFonts w:hint="eastAsia" w:ascii="黑体" w:hAnsi="黑体" w:eastAsia="黑体"/>
        </w:rPr>
        <w:t>国有资本经营预算支出决算情况说明</w:t>
      </w:r>
      <w:bookmarkEnd w:id="50"/>
      <w:bookmarkEnd w:id="51"/>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w:t>
      </w:r>
      <w:r>
        <w:rPr>
          <w:rFonts w:hint="eastAsia" w:ascii="仿宋_GB2312" w:eastAsia="仿宋_GB2312"/>
          <w:color w:val="000000"/>
          <w:sz w:val="32"/>
          <w:szCs w:val="32"/>
          <w:lang w:val="en-US" w:eastAsia="zh-CN"/>
        </w:rPr>
        <w:t>财政</w:t>
      </w:r>
      <w:r>
        <w:rPr>
          <w:rFonts w:hint="eastAsia" w:ascii="仿宋_GB2312" w:eastAsia="仿宋_GB2312"/>
          <w:color w:val="000000"/>
          <w:sz w:val="32"/>
          <w:szCs w:val="32"/>
        </w:rPr>
        <w:t>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spacing w:line="600" w:lineRule="exact"/>
        <w:ind w:firstLine="800" w:firstLineChars="250"/>
        <w:outlineLvl w:val="1"/>
        <w:rPr>
          <w:rStyle w:val="29"/>
          <w:rFonts w:ascii="黑体" w:hAnsi="黑体" w:eastAsia="黑体"/>
        </w:rPr>
      </w:pPr>
      <w:bookmarkStart w:id="54" w:name="_Toc79163624"/>
      <w:bookmarkStart w:id="55" w:name="_Toc79163874"/>
      <w:r>
        <w:rPr>
          <w:rFonts w:hint="eastAsia" w:ascii="黑体" w:hAnsi="黑体" w:eastAsia="黑体"/>
          <w:color w:val="000000"/>
          <w:sz w:val="32"/>
          <w:szCs w:val="32"/>
        </w:rPr>
        <w:t>十</w:t>
      </w:r>
      <w:r>
        <w:rPr>
          <w:rStyle w:val="29"/>
          <w:rFonts w:hint="eastAsia" w:ascii="黑体" w:hAnsi="黑体" w:eastAsia="黑体"/>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79163875"/>
      <w:bookmarkStart w:id="57" w:name="_Toc79163625"/>
      <w:r>
        <w:rPr>
          <w:rFonts w:hint="eastAsia" w:ascii="仿宋" w:hAnsi="仿宋" w:eastAsia="仿宋"/>
          <w:b/>
          <w:color w:val="000000"/>
          <w:sz w:val="32"/>
          <w:szCs w:val="32"/>
        </w:rPr>
        <w:t>（一）机关运行经费支出情况</w:t>
      </w:r>
      <w:bookmarkEnd w:id="56"/>
      <w:bookmarkEnd w:id="57"/>
    </w:p>
    <w:p>
      <w:pPr>
        <w:spacing w:line="576" w:lineRule="exact"/>
        <w:ind w:firstLine="800" w:firstLineChars="250"/>
        <w:outlineLvl w:val="1"/>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3年度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14.06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增加1.39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增长10.97</w:t>
      </w:r>
      <w:r>
        <w:rPr>
          <w:rFonts w:ascii="仿宋_GB2312" w:eastAsia="仿宋_GB2312"/>
          <w:color w:val="000000"/>
          <w:sz w:val="32"/>
          <w:szCs w:val="32"/>
        </w:rPr>
        <w:t>%</w:t>
      </w:r>
      <w:r>
        <w:rPr>
          <w:rFonts w:hint="eastAsia" w:ascii="仿宋_GB2312" w:eastAsia="仿宋_GB2312"/>
          <w:color w:val="000000"/>
          <w:sz w:val="32"/>
          <w:szCs w:val="32"/>
        </w:rPr>
        <w:t>。主要原因是车辆、固定资产陈旧等原因，就会造成修理费支出的加大</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bookmarkEnd w:id="48"/>
    <w:bookmarkEnd w:id="49"/>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79163626"/>
      <w:bookmarkStart w:id="59" w:name="_Toc79163876"/>
      <w:bookmarkStart w:id="60" w:name="_Toc15377223"/>
      <w:bookmarkStart w:id="61" w:name="_Toc15377224"/>
      <w:r>
        <w:rPr>
          <w:rFonts w:hint="eastAsia" w:ascii="仿宋" w:hAnsi="仿宋" w:eastAsia="仿宋"/>
          <w:b/>
          <w:color w:val="000000"/>
          <w:sz w:val="32"/>
          <w:szCs w:val="32"/>
        </w:rPr>
        <w:t>（二）政府采购支出情况</w:t>
      </w:r>
      <w:bookmarkEnd w:id="58"/>
      <w:bookmarkEnd w:id="59"/>
      <w:bookmarkEnd w:id="60"/>
    </w:p>
    <w:p>
      <w:pPr>
        <w:widowControl/>
        <w:spacing w:line="576" w:lineRule="exact"/>
        <w:ind w:firstLine="640" w:firstLineChars="200"/>
        <w:jc w:val="left"/>
        <w:rPr>
          <w:rFonts w:ascii="仿宋_GB2312" w:hAnsi="仿宋_GB2312" w:eastAsia="仿宋_GB2312" w:cs="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政府</w:t>
      </w:r>
      <w:r>
        <w:rPr>
          <w:rFonts w:hint="eastAsia" w:ascii="仿宋_GB2312" w:eastAsia="仿宋_GB2312"/>
          <w:color w:val="000000"/>
          <w:sz w:val="32"/>
          <w:szCs w:val="32"/>
        </w:rPr>
        <w:t>采购支出</w:t>
      </w:r>
      <w:r>
        <w:rPr>
          <w:rFonts w:hint="eastAsia" w:ascii="仿宋_GB2312" w:eastAsia="仿宋_GB2312"/>
          <w:color w:val="000000"/>
          <w:sz w:val="32"/>
          <w:szCs w:val="32"/>
          <w:lang w:val="en-US" w:eastAsia="zh-CN"/>
        </w:rPr>
        <w:t>26.62万元</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其中：</w:t>
      </w:r>
      <w:r>
        <w:rPr>
          <w:rFonts w:hint="eastAsia" w:ascii="仿宋_GB2312" w:hAnsi="仿宋" w:eastAsia="仿宋_GB2312" w:cs="仿宋"/>
          <w:sz w:val="32"/>
          <w:szCs w:val="32"/>
          <w:lang w:val="en-US" w:eastAsia="zh-CN"/>
        </w:rPr>
        <w:t>实训基地勘察设计采购支出26.62万元，用于</w:t>
      </w:r>
      <w:r>
        <w:rPr>
          <w:rFonts w:hint="eastAsia" w:ascii="仿宋_GB2312" w:hAnsi="仿宋_GB2312" w:eastAsia="仿宋_GB2312" w:cs="仿宋_GB2312"/>
          <w:sz w:val="32"/>
          <w:szCs w:val="32"/>
          <w:lang w:val="en-US" w:eastAsia="zh-CN"/>
        </w:rPr>
        <w:t>实训基地项目前期勘察设计费用支出</w:t>
      </w:r>
      <w:r>
        <w:rPr>
          <w:rFonts w:hint="eastAsia" w:ascii="仿宋_GB2312" w:hAnsi="仿宋_GB2312" w:eastAsia="仿宋_GB2312" w:cs="仿宋_GB2312"/>
          <w:sz w:val="32"/>
          <w:szCs w:val="32"/>
        </w:rPr>
        <w:t>。</w:t>
      </w:r>
    </w:p>
    <w:bookmarkEnd w:id="61"/>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2" w:name="_Toc79163877"/>
      <w:bookmarkStart w:id="63" w:name="_Toc79163627"/>
      <w:r>
        <w:rPr>
          <w:rFonts w:hint="eastAsia" w:ascii="仿宋" w:hAnsi="仿宋" w:eastAsia="仿宋"/>
          <w:b/>
          <w:color w:val="000000"/>
          <w:sz w:val="32"/>
          <w:szCs w:val="32"/>
        </w:rPr>
        <w:t>（三）国有资产占有使用情况</w:t>
      </w:r>
      <w:bookmarkEnd w:id="62"/>
      <w:bookmarkEnd w:id="63"/>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rPr>
        <w:t>共有车辆2辆，其中：主要领导干部用车0辆、机要通信用车0辆、应急保障用车0辆、其他用车2辆，其他用车主要是用于</w:t>
      </w:r>
      <w:r>
        <w:rPr>
          <w:rFonts w:hint="eastAsia" w:ascii="仿宋_GB2312" w:eastAsia="仿宋_GB2312"/>
          <w:color w:val="000000" w:themeColor="text1"/>
          <w:sz w:val="32"/>
          <w:szCs w:val="32"/>
          <w14:textFill>
            <w14:solidFill>
              <w14:schemeClr w14:val="tx1"/>
            </w14:solidFill>
          </w14:textFill>
        </w:rPr>
        <w:t>单位日常工作</w:t>
      </w:r>
      <w:r>
        <w:rPr>
          <w:rFonts w:hint="eastAsia" w:ascii="仿宋_GB2312" w:eastAsia="仿宋_GB2312"/>
          <w:color w:val="000000" w:themeColor="text1"/>
          <w:sz w:val="32"/>
          <w:szCs w:val="32"/>
          <w:lang w:val="en-US" w:eastAsia="zh-CN"/>
          <w14:textFill>
            <w14:solidFill>
              <w14:schemeClr w14:val="tx1"/>
            </w14:solidFill>
          </w14:textFill>
        </w:rPr>
        <w:t>运转</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4" w:name="_Toc79163628"/>
      <w:bookmarkStart w:id="65" w:name="_Toc79163878"/>
      <w:r>
        <w:rPr>
          <w:rFonts w:hint="eastAsia" w:ascii="仿宋" w:hAnsi="仿宋" w:eastAsia="仿宋"/>
          <w:b/>
          <w:color w:val="000000"/>
          <w:sz w:val="32"/>
          <w:szCs w:val="32"/>
        </w:rPr>
        <w:t>（四）预算绩效管理情况</w:t>
      </w:r>
      <w:bookmarkEnd w:id="64"/>
      <w:bookmarkEnd w:id="65"/>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根据预算绩效管理要求，本单位在</w:t>
      </w:r>
      <w:r>
        <w:rPr>
          <w:rFonts w:hint="eastAsia" w:ascii="仿宋_GB2312" w:hAnsi="仿宋_GB2312" w:eastAsia="仿宋_GB2312" w:cs="仿宋_GB2312"/>
          <w:sz w:val="32"/>
          <w:szCs w:val="32"/>
          <w:lang w:val="en-US" w:eastAsia="zh-CN"/>
        </w:rPr>
        <w:t>2023年度</w:t>
      </w:r>
      <w:r>
        <w:rPr>
          <w:rFonts w:hint="eastAsia" w:ascii="仿宋_GB2312" w:hAnsi="仿宋_GB2312" w:eastAsia="仿宋_GB2312" w:cs="仿宋_GB2312"/>
          <w:sz w:val="32"/>
          <w:szCs w:val="32"/>
        </w:rPr>
        <w:t>预算编制阶段，对</w:t>
      </w:r>
      <w:r>
        <w:rPr>
          <w:rFonts w:hint="eastAsia" w:ascii="仿宋_GB2312" w:hAnsi="仿宋" w:eastAsia="仿宋_GB2312" w:cs="仿宋"/>
          <w:sz w:val="32"/>
          <w:szCs w:val="32"/>
        </w:rPr>
        <w:t>人社局“</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等</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个</w:t>
      </w:r>
      <w:r>
        <w:rPr>
          <w:rFonts w:hint="eastAsia" w:ascii="仿宋_GB2312" w:hAnsi="仿宋_GB2312" w:eastAsia="仿宋_GB2312" w:cs="仿宋_GB2312"/>
          <w:sz w:val="32"/>
          <w:szCs w:val="32"/>
        </w:rPr>
        <w:t>项目开展了预算事前绩效评估，对项目编制了绩效目标，预算执行过程中，</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项目开展绩效监控，年终执行完毕后，对项目开展了绩效目标完成情况自评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绩效自评表详见第四部分附件。</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年部门整体支出开展绩效自评，从评价情况来看从评价情况来看从评价情况来看</w:t>
      </w:r>
      <w:r>
        <w:rPr>
          <w:rFonts w:hint="eastAsia" w:ascii="仿宋_GB2312" w:hAnsi="仿宋" w:eastAsia="仿宋_GB2312" w:cs="仿宋"/>
          <w:sz w:val="32"/>
          <w:szCs w:val="32"/>
        </w:rPr>
        <w:t>我局部门整体支出绩效评价自查自评结果良好，全年基本支出保证了部门的正常运行和日常工作的正常开展，绩效指标体系逐渐丰富和完善。按照规定向社会公开透明本年度单位部门经费及三公经费的使用情况</w:t>
      </w:r>
      <w:r>
        <w:rPr>
          <w:rFonts w:hint="eastAsia" w:ascii="仿宋_GB2312" w:hAnsi="仿宋_GB2312" w:eastAsia="仿宋_GB2312" w:cs="仿宋_GB2312"/>
          <w:sz w:val="32"/>
          <w:szCs w:val="32"/>
        </w:rPr>
        <w:t>。</w:t>
      </w:r>
    </w:p>
    <w:p>
      <w:pPr>
        <w:spacing w:line="58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年度部门决算中反映</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3</w:t>
      </w:r>
      <w:r>
        <w:rPr>
          <w:rFonts w:hint="eastAsia" w:ascii="仿宋_GB2312" w:hAnsi="仿宋_GB2312" w:eastAsia="仿宋_GB2312" w:cs="仿宋_GB2312"/>
          <w:sz w:val="32"/>
          <w:szCs w:val="32"/>
        </w:rPr>
        <w:t>个项目绩效目标实际完成情况。</w:t>
      </w:r>
    </w:p>
    <w:p>
      <w:pPr>
        <w:adjustRightInd w:val="0"/>
        <w:snapToGrid w:val="0"/>
        <w:spacing w:line="578" w:lineRule="exact"/>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 w:eastAsia="仿宋_GB2312" w:cs="仿宋"/>
          <w:sz w:val="32"/>
          <w:szCs w:val="32"/>
          <w:lang w:val="en-US" w:eastAsia="zh-CN"/>
        </w:rPr>
        <w:t>（1）实训基地建设项目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cs="仿宋_GB2312"/>
          <w:color w:val="auto"/>
          <w:sz w:val="32"/>
          <w:szCs w:val="32"/>
          <w:lang w:val="en-US" w:eastAsia="zh-CN"/>
        </w:rPr>
        <w:t>26.62</w:t>
      </w:r>
      <w:r>
        <w:rPr>
          <w:rFonts w:hint="eastAsia" w:ascii="仿宋_GB2312" w:hAnsi="仿宋_GB2312" w:eastAsia="仿宋_GB2312" w:cs="仿宋_GB2312"/>
          <w:sz w:val="32"/>
          <w:szCs w:val="32"/>
        </w:rPr>
        <w:t>万元，执行数为</w:t>
      </w:r>
      <w:r>
        <w:rPr>
          <w:rFonts w:hint="eastAsia" w:ascii="仿宋_GB2312" w:hAnsi="仿宋_GB2312" w:cs="仿宋_GB2312"/>
          <w:color w:val="auto"/>
          <w:sz w:val="32"/>
          <w:szCs w:val="32"/>
          <w:lang w:val="en-US" w:eastAsia="zh-CN"/>
        </w:rPr>
        <w:t>26.62</w:t>
      </w:r>
      <w:r>
        <w:rPr>
          <w:rFonts w:hint="eastAsia" w:ascii="仿宋_GB2312" w:cs="Times New Roman"/>
          <w:kern w:val="2"/>
          <w:sz w:val="32"/>
          <w:szCs w:val="32"/>
          <w:lang w:val="en-US" w:eastAsia="zh-CN"/>
        </w:rPr>
        <w:t>万元</w:t>
      </w:r>
      <w:r>
        <w:rPr>
          <w:rFonts w:hint="eastAsia" w:ascii="仿宋_GB2312" w:hAnsi="仿宋_GB2312" w:eastAsia="仿宋_GB2312" w:cs="仿宋_GB2312"/>
          <w:sz w:val="32"/>
          <w:szCs w:val="32"/>
        </w:rPr>
        <w:t>，完成预算的100%。通过项目实施，完成</w:t>
      </w:r>
      <w:r>
        <w:rPr>
          <w:rFonts w:hint="eastAsia" w:ascii="仿宋_GB2312" w:hAnsi="仿宋_GB2312" w:eastAsia="仿宋_GB2312" w:cs="仿宋_GB2312"/>
          <w:color w:val="auto"/>
          <w:kern w:val="2"/>
          <w:sz w:val="32"/>
          <w:szCs w:val="32"/>
          <w:lang w:val="en-US" w:eastAsia="zh-CN" w:bidi="ar-SA"/>
        </w:rPr>
        <w:t>新建实训基地3083平方米，设施设备采购，配套附属设施等。</w:t>
      </w:r>
      <w:r>
        <w:rPr>
          <w:rFonts w:hint="eastAsia" w:ascii="仿宋_GB2312" w:hAnsi="仿宋_GB2312" w:eastAsia="仿宋_GB2312" w:cs="仿宋_GB2312"/>
          <w:color w:val="auto"/>
          <w:sz w:val="32"/>
          <w:szCs w:val="32"/>
          <w:lang w:val="en-US" w:eastAsia="zh-CN"/>
        </w:rPr>
        <w:t>主要包括美容美发、中式烹调、乡村旅游、羌绣、服装定制、家政服务、创业培训、电工焊工、果树园林、家禽养殖、计算机操作、汽车修理、驾驶等培训服务项目。本项目全面助推茂县乡村振兴就业促进工作</w:t>
      </w:r>
      <w:r>
        <w:rPr>
          <w:rFonts w:hint="default" w:ascii="仿宋_GB2312" w:hAnsi="仿宋_GB2312" w:eastAsia="仿宋_GB2312" w:cs="仿宋_GB2312"/>
          <w:color w:val="auto"/>
          <w:sz w:val="32"/>
          <w:szCs w:val="32"/>
          <w:lang w:val="en-US" w:eastAsia="zh-CN"/>
        </w:rPr>
        <w:t>。</w:t>
      </w:r>
    </w:p>
    <w:p>
      <w:pPr>
        <w:keepNext w:val="0"/>
        <w:keepLines w:val="0"/>
        <w:widowControl w:val="0"/>
        <w:suppressLineNumbers w:val="0"/>
        <w:adjustRightInd w:val="0"/>
        <w:snapToGrid w:val="0"/>
        <w:spacing w:before="0" w:beforeAutospacing="0" w:after="0" w:afterAutospacing="0" w:line="600" w:lineRule="exact"/>
        <w:ind w:left="0" w:right="0" w:firstLine="72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 w:eastAsia="仿宋_GB2312" w:cs="仿宋"/>
          <w:sz w:val="32"/>
          <w:szCs w:val="32"/>
          <w:lang w:val="en-US" w:eastAsia="zh-CN"/>
        </w:rPr>
        <w:t>社保公共能力建设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6.42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6.42</w:t>
      </w:r>
      <w:r>
        <w:rPr>
          <w:rFonts w:hint="eastAsia" w:ascii="仿宋_GB2312" w:hAnsi="仿宋_GB2312" w:eastAsia="仿宋_GB2312" w:cs="仿宋_GB2312"/>
          <w:sz w:val="32"/>
          <w:szCs w:val="32"/>
        </w:rPr>
        <w:t>万元，完成预算的100%。通过项目实施，完成</w:t>
      </w:r>
      <w:r>
        <w:rPr>
          <w:rFonts w:hint="eastAsia" w:ascii="仿宋_GB2312" w:hAnsi="仿宋_GB2312" w:eastAsia="仿宋_GB2312" w:cs="仿宋_GB2312"/>
          <w:kern w:val="2"/>
          <w:sz w:val="32"/>
          <w:szCs w:val="32"/>
          <w:lang w:val="en-US" w:eastAsia="zh-CN" w:bidi="ar"/>
        </w:rPr>
        <w:t>完善社会保险经办标准化建设以及信息系统建设及运行维护，设施设备购置，经办人员能力素质提升培训，做好业务档案数字化管理及风险防控以及开展工伤事故伤害案件调查信息化建设。做好劳动能力鉴定案件评析和案件评查。</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为了解决当地就业，加强本地闲散劳动力的输出，促进当地增收致富，逐步形成人才配置市场化、人事代理社会化、信息服务网格化、人才开发专业化和区域性人才市场服务体系，促进茂县发展。新建一个集标准化流动人员档案管理室，以及职业介绍，东西部劳务协作联络站为一体的功能齐全的茂县人力资源市场（档案中心、人才交流市场、办公区、孵化园、新建雨棚）。</w:t>
      </w: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实训基地建设项目</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社保公共能力建设项目</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东西部劳务协作对口联络站建设</w:t>
      </w:r>
      <w:r>
        <w:rPr>
          <w:rFonts w:hint="eastAsia" w:ascii="仿宋_GB2312" w:hAnsi="仿宋" w:eastAsia="仿宋_GB2312" w:cs="仿宋"/>
          <w:sz w:val="32"/>
          <w:szCs w:val="32"/>
          <w:lang w:eastAsia="zh-CN"/>
        </w:rPr>
        <w:t>”</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部门预算项目支出绩效自评表（202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lang w:eastAsia="zh-CN"/>
        </w:rPr>
      </w:pPr>
    </w:p>
    <w:p>
      <w:pPr>
        <w:spacing w:line="580" w:lineRule="exact"/>
        <w:ind w:firstLine="640" w:firstLineChars="200"/>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3"/>
        <w:rPr>
          <w:rFonts w:hint="eastAsia"/>
          <w:lang w:eastAsia="zh-CN"/>
        </w:rPr>
      </w:pPr>
      <w:bookmarkStart w:id="122" w:name="_GoBack"/>
      <w:bookmarkEnd w:id="122"/>
    </w:p>
    <w:p>
      <w:pPr>
        <w:spacing w:line="580" w:lineRule="exact"/>
        <w:rPr>
          <w:rFonts w:hint="eastAsia" w:ascii="仿宋_GB2312" w:hAnsi="仿宋_GB2312" w:eastAsia="仿宋_GB2312" w:cs="仿宋_GB2312"/>
          <w:sz w:val="32"/>
          <w:szCs w:val="32"/>
          <w:lang w:eastAsia="zh-CN"/>
        </w:rPr>
      </w:pPr>
    </w:p>
    <w:p>
      <w:pPr>
        <w:numPr>
          <w:ilvl w:val="0"/>
          <w:numId w:val="4"/>
        </w:numPr>
        <w:spacing w:line="600" w:lineRule="exact"/>
        <w:ind w:firstLine="660" w:firstLineChars="150"/>
        <w:jc w:val="center"/>
        <w:outlineLvl w:val="0"/>
        <w:rPr>
          <w:rStyle w:val="28"/>
          <w:rFonts w:ascii="黑体" w:hAnsi="黑体" w:eastAsia="黑体"/>
          <w:b w:val="0"/>
        </w:rPr>
      </w:pPr>
      <w:bookmarkStart w:id="66" w:name="_Toc15377225"/>
      <w:bookmarkStart w:id="67" w:name="_Toc15396613"/>
      <w:bookmarkStart w:id="68" w:name="_Toc79163629"/>
      <w:bookmarkStart w:id="69" w:name="_Toc79163879"/>
      <w:r>
        <w:rPr>
          <w:rFonts w:hint="eastAsia" w:ascii="黑体" w:hAnsi="黑体" w:eastAsia="黑体"/>
          <w:color w:val="000000"/>
          <w:sz w:val="44"/>
          <w:szCs w:val="44"/>
        </w:rPr>
        <w:t>名</w:t>
      </w:r>
      <w:r>
        <w:rPr>
          <w:rStyle w:val="28"/>
          <w:rFonts w:hint="eastAsia" w:ascii="黑体" w:hAnsi="黑体" w:eastAsia="黑体"/>
        </w:rPr>
        <w:t>词解释</w:t>
      </w:r>
      <w:bookmarkEnd w:id="66"/>
      <w:bookmarkEnd w:id="67"/>
      <w:bookmarkEnd w:id="68"/>
      <w:bookmarkEnd w:id="69"/>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 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hAnsi="黑体" w:eastAsia="黑体"/>
          <w:color w:val="000000"/>
          <w:sz w:val="44"/>
          <w:szCs w:val="44"/>
        </w:rPr>
      </w:pPr>
      <w:bookmarkStart w:id="70" w:name="_Toc15396614"/>
      <w:bookmarkStart w:id="71" w:name="_Toc79163630"/>
      <w:bookmarkStart w:id="72" w:name="_Toc79163880"/>
      <w:bookmarkStart w:id="73" w:name="_Toc15377226"/>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sectPr>
          <w:footerReference r:id="rId5" w:type="first"/>
          <w:headerReference r:id="rId3" w:type="default"/>
          <w:footerReference r:id="rId4" w:type="default"/>
          <w:pgSz w:w="11906" w:h="16838"/>
          <w:pgMar w:top="1440" w:right="1800" w:bottom="1440" w:left="1800" w:header="851" w:footer="992" w:gutter="0"/>
          <w:pgNumType w:fmt="decimal"/>
          <w:cols w:space="425" w:num="1"/>
          <w:titlePg/>
          <w:docGrid w:type="lines" w:linePitch="312" w:charSpace="0"/>
        </w:sectPr>
      </w:pPr>
    </w:p>
    <w:p>
      <w:pPr>
        <w:spacing w:line="600" w:lineRule="exact"/>
        <w:jc w:val="center"/>
        <w:outlineLvl w:val="0"/>
        <w:rPr>
          <w:rStyle w:val="28"/>
          <w:rFonts w:hint="eastAsia" w:ascii="黑体" w:hAnsi="黑体"/>
        </w:rPr>
      </w:pPr>
    </w:p>
    <w:p>
      <w:pPr>
        <w:spacing w:line="600" w:lineRule="exact"/>
        <w:jc w:val="center"/>
        <w:outlineLvl w:val="0"/>
        <w:rPr>
          <w:rStyle w:val="28"/>
          <w:rFonts w:ascii="黑体" w:hAnsi="黑体" w:eastAsia="黑体"/>
          <w:b w:val="0"/>
        </w:rPr>
      </w:pPr>
      <w:r>
        <w:rPr>
          <w:rStyle w:val="28"/>
          <w:rFonts w:hint="eastAsia" w:ascii="黑体" w:hAnsi="黑体"/>
        </w:rPr>
        <w:t>第</w:t>
      </w:r>
      <w:r>
        <w:rPr>
          <w:rStyle w:val="28"/>
          <w:rFonts w:hint="eastAsia" w:ascii="黑体" w:hAnsi="黑体" w:eastAsia="黑体"/>
        </w:rPr>
        <w:t>四部分</w:t>
      </w:r>
      <w:r>
        <w:rPr>
          <w:rStyle w:val="28"/>
          <w:rFonts w:ascii="黑体" w:hAnsi="黑体" w:eastAsia="黑体"/>
        </w:rPr>
        <w:t xml:space="preserve"> </w:t>
      </w:r>
      <w:r>
        <w:rPr>
          <w:rStyle w:val="28"/>
          <w:rFonts w:hint="eastAsia" w:ascii="黑体" w:hAnsi="黑体" w:eastAsia="黑体"/>
        </w:rPr>
        <w:t>附件</w:t>
      </w:r>
    </w:p>
    <w:p>
      <w:pPr>
        <w:spacing w:line="600" w:lineRule="exact"/>
        <w:jc w:val="left"/>
        <w:outlineLvl w:val="0"/>
        <w:rPr>
          <w:rFonts w:ascii="方正小标宋简体" w:hAnsi="方正小标宋简体" w:eastAsia="方正小标宋简体" w:cs="方正小标宋简体"/>
          <w:sz w:val="32"/>
          <w:szCs w:val="32"/>
        </w:rPr>
      </w:pPr>
      <w:bookmarkStart w:id="74" w:name="_Toc79163881"/>
      <w:bookmarkStart w:id="75" w:name="_Toc79163631"/>
      <w:r>
        <w:rPr>
          <w:rFonts w:hint="eastAsia" w:ascii="黑体" w:hAnsi="黑体" w:eastAsia="黑体" w:cs="黑体"/>
          <w:sz w:val="32"/>
          <w:szCs w:val="32"/>
        </w:rPr>
        <w:t>附件</w:t>
      </w:r>
      <w:r>
        <w:rPr>
          <w:rFonts w:ascii="黑体" w:hAnsi="黑体" w:eastAsia="黑体" w:cs="黑体"/>
          <w:sz w:val="32"/>
          <w:szCs w:val="32"/>
        </w:rPr>
        <w:t>1</w:t>
      </w:r>
      <w:bookmarkEnd w:id="74"/>
      <w:bookmarkEnd w:id="75"/>
    </w:p>
    <w:bookmarkEnd w:id="70"/>
    <w:bookmarkEnd w:id="71"/>
    <w:bookmarkEnd w:id="72"/>
    <w:p>
      <w:pPr>
        <w:pStyle w:val="34"/>
        <w:spacing w:line="550" w:lineRule="exact"/>
        <w:rPr>
          <w:rFonts w:hint="eastAsia" w:ascii="仿宋_GB2312" w:hAnsi="黑体" w:eastAsia="仿宋_GB2312" w:cs="宋体"/>
          <w:color w:val="000000"/>
          <w:kern w:val="0"/>
          <w:sz w:val="32"/>
          <w:szCs w:val="32"/>
          <w:shd w:val="clear" w:color="auto" w:fill="FFFFFF"/>
        </w:rPr>
      </w:pPr>
      <w:bookmarkStart w:id="76" w:name="_Toc79163883"/>
      <w:bookmarkStart w:id="77" w:name="_Toc79163633"/>
    </w:p>
    <w:tbl>
      <w:tblPr>
        <w:tblStyle w:val="15"/>
        <w:tblW w:w="141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2046"/>
        <w:gridCol w:w="1763"/>
        <w:gridCol w:w="2255"/>
        <w:gridCol w:w="525"/>
        <w:gridCol w:w="1673"/>
        <w:gridCol w:w="524"/>
        <w:gridCol w:w="1093"/>
        <w:gridCol w:w="510"/>
        <w:gridCol w:w="486"/>
        <w:gridCol w:w="2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780" w:type="dxa"/>
            <w:gridSpan w:val="4"/>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报表编号：510000_0013zp</w:t>
            </w:r>
          </w:p>
        </w:tc>
        <w:tc>
          <w:tcPr>
            <w:tcW w:w="525"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300" w:type="dxa"/>
            <w:gridSpan w:val="3"/>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c>
          <w:tcPr>
            <w:tcW w:w="51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45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55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51322322T000005968529-东西部协作对口联络站建设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一个集标准化流动人员档案管理室，以及职业介绍，东西部劳务协作联络站为一体的功能齐全的茂县人力资源市场及设施设备。有效缓解用工难的矛盾，对企业健康发展提供保障，同时也为人才引进，促进当地人民就业提供便利，有利于和谐社会建设，为人力资源管理部门提供工作便利，为政府部门执政为民提供便利。</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有利于当地人才引进及外来人口的管理;是推进东西部劳务协作，解决当地就业，促进当地发展。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34.30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保质保量完成此项目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建设一个集标准化流动人员档案管理室，以及职业介绍，东西部劳务协作联络站为一体的功能齐全的茂县人力资源市场及设施设备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有效缓解用工难的矛盾，对企业健康发展提供保障，同时也为人才引进，促进当地人民就业提供便利，有利于和谐社会建设，为人力资源管理部门提供工作便利，为政府部门执政为民提供便利。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推进东西劳务协作，解决当地就业，促进当地发展，通过有组织的劳务输出，实现脱贫。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51322323T000009688768-公共实训基地建设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茂县公共实训基地</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依托实训基地，将着力解决当地及周边地区技能人才培养水平不高等问题，在改善高技能人才培养环境、提高培训质量、促进职业培训事业发展起到积极作用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新建实训基地，设施设备采购，配套附属设施等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3083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全面助推茂县乡村振兴就业促进工作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全面助推茂县乡村振兴就业促进工作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新建实训基地，设施设备采购，配套附属设施等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有利于提高培训就业率，对阿坝经济发展及民生工作有积极的推动作用。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51322323T000009872733-人社公共服务能力建设资金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社会保险经办标准化建设及信息系统建设及运行维护，落实企业职工基本养老保险全国统筹、推进工伤保险省级统筹顺利实施，参保覆盖人数持续增长，待遇水平稳步提高，基金运行总体平稳。</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确保企业职工基本养老保险、工伤保险省级统筹顺利推进，参保覆盖人数持续增长，待遇水平稳步提高，基金运行总体平稳。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企业职工基本养老保险参保在职职工人数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工伤保险参保人数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群众获得感、幸福感不断增强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政风行风满意度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参保覆盖人数持续增长，待遇水平稳步提高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项目按时完成预期目标，实施结果与绩效目标相匹配，按照实施计划完成目标。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bl>
    <w:p>
      <w:pPr>
        <w:pStyle w:val="34"/>
        <w:spacing w:line="550" w:lineRule="exact"/>
        <w:rPr>
          <w:rFonts w:hint="eastAsia" w:ascii="仿宋_GB2312" w:hAnsi="黑体" w:eastAsia="仿宋_GB2312" w:cs="宋体"/>
          <w:color w:val="000000"/>
          <w:kern w:val="0"/>
          <w:sz w:val="32"/>
          <w:szCs w:val="32"/>
          <w:shd w:val="clear" w:color="auto" w:fill="FFFFFF"/>
        </w:rPr>
      </w:pPr>
    </w:p>
    <w:bookmarkEnd w:id="76"/>
    <w:bookmarkEnd w:id="77"/>
    <w:p>
      <w:pPr>
        <w:spacing w:line="600" w:lineRule="exact"/>
        <w:jc w:val="center"/>
        <w:outlineLvl w:val="0"/>
        <w:rPr>
          <w:rFonts w:hint="eastAsia" w:ascii="黑体" w:hAnsi="黑体" w:eastAsia="黑体"/>
          <w:color w:val="000000"/>
          <w:sz w:val="44"/>
          <w:szCs w:val="44"/>
        </w:rPr>
      </w:pPr>
      <w:bookmarkStart w:id="78" w:name="_Toc79163885"/>
      <w:bookmarkStart w:id="79" w:name="_Toc79163635"/>
      <w:bookmarkStart w:id="80"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sectPr>
          <w:pgSz w:w="16838" w:h="11906" w:orient="landscape"/>
          <w:pgMar w:top="1800" w:right="1440" w:bottom="1800" w:left="1440" w:header="851" w:footer="992" w:gutter="0"/>
          <w:pgNumType w:fmt="decimal"/>
          <w:cols w:space="425" w:num="1"/>
          <w:titlePg/>
          <w:docGrid w:type="lines" w:linePitch="312" w:charSpace="0"/>
        </w:sectPr>
      </w:pPr>
    </w:p>
    <w:p>
      <w:pPr>
        <w:pStyle w:val="3"/>
        <w:rPr>
          <w:rFonts w:hint="eastAsia"/>
        </w:rPr>
      </w:pPr>
    </w:p>
    <w:p>
      <w:pPr>
        <w:spacing w:line="600" w:lineRule="exact"/>
        <w:jc w:val="center"/>
        <w:outlineLvl w:val="0"/>
        <w:rPr>
          <w:rFonts w:hint="eastAsia" w:ascii="黑体" w:hAnsi="黑体" w:eastAsia="黑体"/>
          <w:color w:val="000000"/>
          <w:sz w:val="44"/>
          <w:szCs w:val="44"/>
        </w:rPr>
      </w:pPr>
    </w:p>
    <w:p>
      <w:pPr>
        <w:pStyle w:val="3"/>
        <w:rPr>
          <w:rFonts w:hint="eastAsia"/>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rPr>
        <w:t>五部分</w:t>
      </w:r>
      <w:r>
        <w:rPr>
          <w:rStyle w:val="28"/>
          <w:rFonts w:ascii="黑体" w:hAnsi="黑体" w:eastAsia="黑体"/>
        </w:rPr>
        <w:t xml:space="preserve"> </w:t>
      </w:r>
      <w:r>
        <w:rPr>
          <w:rStyle w:val="28"/>
          <w:rFonts w:hint="eastAsia" w:ascii="黑体" w:hAnsi="黑体" w:eastAsia="黑体"/>
        </w:rPr>
        <w:t>附表</w:t>
      </w:r>
      <w:bookmarkEnd w:id="73"/>
      <w:bookmarkEnd w:id="78"/>
      <w:bookmarkEnd w:id="79"/>
      <w:bookmarkEnd w:id="80"/>
    </w:p>
    <w:p>
      <w:pPr>
        <w:spacing w:line="576" w:lineRule="exact"/>
        <w:ind w:left="315" w:leftChars="150" w:firstLine="640" w:firstLineChars="200"/>
        <w:rPr>
          <w:rFonts w:ascii="仿宋_GB2312" w:hAnsi="仿宋_GB2312" w:eastAsia="仿宋_GB2312" w:cs="仿宋_GB2312"/>
          <w:color w:val="000000"/>
          <w:sz w:val="32"/>
          <w:szCs w:val="32"/>
        </w:rPr>
      </w:pPr>
      <w:bookmarkStart w:id="81" w:name="_Toc79163886"/>
      <w:bookmarkStart w:id="82" w:name="_Toc15396619"/>
      <w:bookmarkStart w:id="83" w:name="_Toc79163636"/>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bookmarkEnd w:id="81"/>
      <w:bookmarkEnd w:id="82"/>
      <w:bookmarkEnd w:id="83"/>
    </w:p>
    <w:p>
      <w:pPr>
        <w:spacing w:line="576" w:lineRule="exact"/>
        <w:ind w:left="315" w:leftChars="150" w:firstLine="640" w:firstLineChars="200"/>
        <w:rPr>
          <w:rFonts w:ascii="仿宋_GB2312" w:hAnsi="仿宋_GB2312" w:eastAsia="仿宋_GB2312" w:cs="仿宋_GB2312"/>
          <w:color w:val="000000"/>
          <w:sz w:val="32"/>
          <w:szCs w:val="32"/>
        </w:rPr>
      </w:pPr>
      <w:bookmarkStart w:id="84" w:name="_Toc79163887"/>
      <w:bookmarkStart w:id="85" w:name="_Toc79163637"/>
      <w:bookmarkStart w:id="86" w:name="_Toc15396620"/>
      <w:r>
        <w:rPr>
          <w:rFonts w:hint="eastAsia" w:ascii="仿宋_GB2312" w:hAnsi="仿宋_GB2312" w:eastAsia="仿宋_GB2312" w:cs="仿宋_GB2312"/>
          <w:color w:val="000000"/>
          <w:sz w:val="32"/>
          <w:szCs w:val="32"/>
        </w:rPr>
        <w:t>二、收入决算表</w:t>
      </w:r>
      <w:bookmarkEnd w:id="84"/>
      <w:bookmarkEnd w:id="85"/>
      <w:bookmarkEnd w:id="86"/>
    </w:p>
    <w:p>
      <w:pPr>
        <w:spacing w:line="576" w:lineRule="exact"/>
        <w:ind w:left="315" w:leftChars="150" w:firstLine="640" w:firstLineChars="200"/>
        <w:rPr>
          <w:rFonts w:ascii="仿宋_GB2312" w:hAnsi="仿宋_GB2312" w:eastAsia="仿宋_GB2312" w:cs="仿宋_GB2312"/>
          <w:color w:val="000000"/>
          <w:sz w:val="32"/>
          <w:szCs w:val="32"/>
        </w:rPr>
      </w:pPr>
      <w:bookmarkStart w:id="87" w:name="_Toc79163638"/>
      <w:bookmarkStart w:id="88" w:name="_Toc79163888"/>
      <w:bookmarkStart w:id="89" w:name="_Toc15396621"/>
      <w:r>
        <w:rPr>
          <w:rFonts w:hint="eastAsia" w:ascii="仿宋_GB2312" w:hAnsi="仿宋_GB2312" w:eastAsia="仿宋_GB2312" w:cs="仿宋_GB2312"/>
          <w:color w:val="000000"/>
          <w:sz w:val="32"/>
          <w:szCs w:val="32"/>
        </w:rPr>
        <w:t>三、支出决算表</w:t>
      </w:r>
      <w:bookmarkEnd w:id="87"/>
      <w:bookmarkEnd w:id="88"/>
      <w:bookmarkEnd w:id="89"/>
    </w:p>
    <w:p>
      <w:pPr>
        <w:spacing w:line="576" w:lineRule="exact"/>
        <w:ind w:left="315" w:leftChars="150" w:firstLine="640" w:firstLineChars="200"/>
        <w:rPr>
          <w:rFonts w:ascii="仿宋_GB2312" w:hAnsi="仿宋_GB2312" w:eastAsia="仿宋_GB2312" w:cs="仿宋_GB2312"/>
          <w:color w:val="000000"/>
          <w:sz w:val="32"/>
          <w:szCs w:val="32"/>
        </w:rPr>
      </w:pPr>
      <w:bookmarkStart w:id="90" w:name="_Toc15396622"/>
      <w:bookmarkStart w:id="91" w:name="_Toc79163889"/>
      <w:bookmarkStart w:id="92" w:name="_Toc79163639"/>
      <w:r>
        <w:rPr>
          <w:rFonts w:hint="eastAsia" w:ascii="仿宋_GB2312" w:hAnsi="仿宋_GB2312" w:eastAsia="仿宋_GB2312" w:cs="仿宋_GB2312"/>
          <w:color w:val="000000"/>
          <w:sz w:val="32"/>
          <w:szCs w:val="32"/>
        </w:rPr>
        <w:t>四、财政拨款收入支出决算总表</w:t>
      </w:r>
      <w:bookmarkEnd w:id="90"/>
      <w:bookmarkEnd w:id="91"/>
      <w:bookmarkEnd w:id="92"/>
    </w:p>
    <w:p>
      <w:pPr>
        <w:spacing w:line="576" w:lineRule="exact"/>
        <w:ind w:left="315" w:leftChars="150" w:firstLine="640" w:firstLineChars="200"/>
        <w:rPr>
          <w:rFonts w:ascii="仿宋_GB2312" w:hAnsi="仿宋_GB2312" w:eastAsia="仿宋_GB2312" w:cs="仿宋_GB2312"/>
          <w:color w:val="000000"/>
          <w:sz w:val="32"/>
          <w:szCs w:val="32"/>
        </w:rPr>
      </w:pPr>
      <w:bookmarkStart w:id="93" w:name="_Toc15396623"/>
      <w:bookmarkStart w:id="94" w:name="_Toc79163890"/>
      <w:bookmarkStart w:id="95" w:name="_Toc79163640"/>
      <w:r>
        <w:rPr>
          <w:rFonts w:hint="eastAsia" w:ascii="仿宋_GB2312" w:hAnsi="仿宋_GB2312" w:eastAsia="仿宋_GB2312" w:cs="仿宋_GB2312"/>
          <w:color w:val="000000"/>
          <w:sz w:val="32"/>
          <w:szCs w:val="32"/>
        </w:rPr>
        <w:t>五、财政拨款支出决算明细表</w:t>
      </w:r>
      <w:bookmarkEnd w:id="93"/>
      <w:bookmarkEnd w:id="94"/>
      <w:bookmarkEnd w:id="95"/>
      <w:bookmarkStart w:id="96" w:name="_Toc15396624"/>
    </w:p>
    <w:p>
      <w:pPr>
        <w:spacing w:line="576" w:lineRule="exact"/>
        <w:ind w:left="315" w:leftChars="150" w:firstLine="640" w:firstLineChars="200"/>
        <w:rPr>
          <w:rFonts w:ascii="仿宋_GB2312" w:hAnsi="仿宋_GB2312" w:eastAsia="仿宋_GB2312" w:cs="仿宋_GB2312"/>
          <w:color w:val="000000"/>
          <w:sz w:val="32"/>
          <w:szCs w:val="32"/>
        </w:rPr>
      </w:pPr>
      <w:bookmarkStart w:id="97" w:name="_Toc79163641"/>
      <w:bookmarkStart w:id="98" w:name="_Toc79163891"/>
      <w:r>
        <w:rPr>
          <w:rFonts w:hint="eastAsia" w:ascii="仿宋_GB2312" w:hAnsi="仿宋_GB2312" w:eastAsia="仿宋_GB2312" w:cs="仿宋_GB2312"/>
          <w:color w:val="000000"/>
          <w:sz w:val="32"/>
          <w:szCs w:val="32"/>
        </w:rPr>
        <w:t>六、一般公共预算财政拨款支出决算表</w:t>
      </w:r>
      <w:bookmarkEnd w:id="96"/>
      <w:bookmarkEnd w:id="97"/>
      <w:bookmarkEnd w:id="98"/>
    </w:p>
    <w:p>
      <w:pPr>
        <w:spacing w:line="576" w:lineRule="exact"/>
        <w:ind w:left="315" w:leftChars="150" w:firstLine="640" w:firstLineChars="200"/>
        <w:rPr>
          <w:rFonts w:ascii="仿宋_GB2312" w:hAnsi="仿宋_GB2312" w:eastAsia="仿宋_GB2312" w:cs="仿宋_GB2312"/>
          <w:color w:val="000000"/>
          <w:sz w:val="32"/>
          <w:szCs w:val="32"/>
        </w:rPr>
      </w:pPr>
      <w:bookmarkStart w:id="99" w:name="_Toc79163892"/>
      <w:bookmarkStart w:id="100" w:name="_Toc79163642"/>
      <w:bookmarkStart w:id="101" w:name="_Toc15396625"/>
      <w:r>
        <w:rPr>
          <w:rFonts w:hint="eastAsia" w:ascii="仿宋_GB2312" w:hAnsi="仿宋_GB2312" w:eastAsia="仿宋_GB2312" w:cs="仿宋_GB2312"/>
          <w:color w:val="000000"/>
          <w:sz w:val="32"/>
          <w:szCs w:val="32"/>
        </w:rPr>
        <w:t>七、一般公共预算财政拨款支出决算明细表</w:t>
      </w:r>
      <w:bookmarkEnd w:id="99"/>
      <w:bookmarkEnd w:id="100"/>
      <w:bookmarkEnd w:id="101"/>
    </w:p>
    <w:p>
      <w:pPr>
        <w:spacing w:line="576" w:lineRule="exact"/>
        <w:ind w:left="315" w:leftChars="150" w:firstLine="640" w:firstLineChars="200"/>
        <w:rPr>
          <w:rFonts w:ascii="仿宋_GB2312" w:hAnsi="仿宋_GB2312" w:eastAsia="仿宋_GB2312" w:cs="仿宋_GB2312"/>
          <w:color w:val="000000"/>
          <w:sz w:val="32"/>
          <w:szCs w:val="32"/>
        </w:rPr>
      </w:pPr>
      <w:bookmarkStart w:id="102" w:name="_Toc15396626"/>
      <w:bookmarkStart w:id="103" w:name="_Toc79163643"/>
      <w:bookmarkStart w:id="104" w:name="_Toc79163893"/>
      <w:r>
        <w:rPr>
          <w:rFonts w:hint="eastAsia" w:ascii="仿宋_GB2312" w:hAnsi="仿宋_GB2312" w:eastAsia="仿宋_GB2312" w:cs="仿宋_GB2312"/>
          <w:color w:val="000000"/>
          <w:sz w:val="32"/>
          <w:szCs w:val="32"/>
        </w:rPr>
        <w:t>八、一般公共预算财政拨款基本支出决算表</w:t>
      </w:r>
      <w:bookmarkEnd w:id="102"/>
      <w:bookmarkEnd w:id="103"/>
      <w:bookmarkEnd w:id="104"/>
    </w:p>
    <w:p>
      <w:pPr>
        <w:spacing w:line="576" w:lineRule="exact"/>
        <w:ind w:left="315" w:leftChars="150" w:firstLine="640" w:firstLineChars="200"/>
        <w:rPr>
          <w:rFonts w:ascii="仿宋_GB2312" w:hAnsi="仿宋_GB2312" w:eastAsia="仿宋_GB2312" w:cs="仿宋_GB2312"/>
          <w:color w:val="000000"/>
          <w:sz w:val="32"/>
          <w:szCs w:val="32"/>
        </w:rPr>
      </w:pPr>
      <w:bookmarkStart w:id="105" w:name="_Toc15396627"/>
      <w:bookmarkStart w:id="106" w:name="_Toc79163644"/>
      <w:bookmarkStart w:id="107" w:name="_Toc79163894"/>
      <w:r>
        <w:rPr>
          <w:rFonts w:hint="eastAsia" w:ascii="仿宋_GB2312" w:hAnsi="仿宋_GB2312" w:eastAsia="仿宋_GB2312" w:cs="仿宋_GB2312"/>
          <w:color w:val="000000"/>
          <w:sz w:val="32"/>
          <w:szCs w:val="32"/>
        </w:rPr>
        <w:t>九、一般公共预算财政拨款项目支出决算表</w:t>
      </w:r>
      <w:bookmarkEnd w:id="105"/>
      <w:bookmarkEnd w:id="106"/>
      <w:bookmarkEnd w:id="107"/>
    </w:p>
    <w:p>
      <w:pPr>
        <w:spacing w:line="576" w:lineRule="exact"/>
        <w:ind w:left="315" w:leftChars="150" w:firstLine="640" w:firstLineChars="200"/>
        <w:rPr>
          <w:rFonts w:ascii="仿宋_GB2312" w:hAnsi="仿宋_GB2312" w:eastAsia="仿宋_GB2312" w:cs="仿宋_GB2312"/>
          <w:color w:val="000000"/>
          <w:sz w:val="32"/>
          <w:szCs w:val="32"/>
        </w:rPr>
      </w:pPr>
      <w:bookmarkStart w:id="108" w:name="_Toc79163645"/>
      <w:bookmarkStart w:id="109" w:name="_Toc79163895"/>
      <w:bookmarkStart w:id="110" w:name="_Toc15396628"/>
      <w:r>
        <w:rPr>
          <w:rFonts w:hint="eastAsia" w:ascii="仿宋_GB2312" w:hAnsi="仿宋_GB2312" w:eastAsia="仿宋_GB2312" w:cs="仿宋_GB2312"/>
          <w:color w:val="000000"/>
          <w:sz w:val="32"/>
          <w:szCs w:val="32"/>
        </w:rPr>
        <w:t>十、</w:t>
      </w:r>
      <w:bookmarkEnd w:id="108"/>
      <w:bookmarkEnd w:id="109"/>
      <w:bookmarkEnd w:id="110"/>
      <w:bookmarkStart w:id="111" w:name="_Toc79163646"/>
      <w:bookmarkStart w:id="112" w:name="_Toc15396629"/>
      <w:bookmarkStart w:id="113" w:name="_Toc79163896"/>
      <w:r>
        <w:rPr>
          <w:rFonts w:hint="eastAsia" w:ascii="仿宋_GB2312" w:hAnsi="仿宋_GB2312" w:eastAsia="仿宋_GB2312" w:cs="仿宋_GB2312"/>
          <w:color w:val="000000"/>
          <w:sz w:val="32"/>
          <w:szCs w:val="32"/>
        </w:rPr>
        <w:t>政府性基金预算财政拨款收入支出决算表</w:t>
      </w:r>
      <w:bookmarkEnd w:id="111"/>
      <w:bookmarkEnd w:id="112"/>
      <w:bookmarkEnd w:id="113"/>
    </w:p>
    <w:p>
      <w:pPr>
        <w:spacing w:line="576" w:lineRule="exact"/>
        <w:ind w:left="315" w:leftChars="150" w:firstLine="640" w:firstLineChars="200"/>
        <w:rPr>
          <w:rFonts w:ascii="仿宋_GB2312" w:hAnsi="仿宋_GB2312" w:eastAsia="仿宋_GB2312" w:cs="仿宋_GB2312"/>
          <w:color w:val="000000"/>
          <w:sz w:val="32"/>
          <w:szCs w:val="32"/>
        </w:rPr>
      </w:pPr>
      <w:bookmarkStart w:id="114" w:name="_Toc15396630"/>
      <w:bookmarkStart w:id="115" w:name="_Toc79163897"/>
      <w:bookmarkStart w:id="116" w:name="_Toc79163647"/>
      <w:r>
        <w:rPr>
          <w:rFonts w:hint="eastAsia" w:ascii="仿宋_GB2312" w:hAnsi="仿宋_GB2312" w:eastAsia="仿宋_GB2312" w:cs="仿宋_GB2312"/>
          <w:color w:val="000000"/>
          <w:sz w:val="32"/>
          <w:szCs w:val="32"/>
        </w:rPr>
        <w:t>十一、</w:t>
      </w:r>
      <w:bookmarkEnd w:id="114"/>
      <w:bookmarkEnd w:id="115"/>
      <w:bookmarkEnd w:id="116"/>
      <w:bookmarkStart w:id="117" w:name="_Toc79163898"/>
      <w:bookmarkStart w:id="118" w:name="_Toc15396631"/>
      <w:bookmarkStart w:id="119" w:name="_Toc79163648"/>
      <w:r>
        <w:rPr>
          <w:rFonts w:hint="eastAsia" w:ascii="仿宋_GB2312" w:hAnsi="仿宋_GB2312" w:eastAsia="仿宋_GB2312" w:cs="仿宋_GB2312"/>
          <w:color w:val="000000"/>
          <w:sz w:val="32"/>
          <w:szCs w:val="32"/>
        </w:rPr>
        <w:t>国有资本经营预算财政拨款收入支出决算表</w:t>
      </w:r>
      <w:bookmarkEnd w:id="117"/>
      <w:bookmarkEnd w:id="118"/>
      <w:bookmarkEnd w:id="119"/>
    </w:p>
    <w:p>
      <w:pPr>
        <w:spacing w:line="576" w:lineRule="exact"/>
        <w:ind w:left="315" w:leftChars="150" w:firstLine="640" w:firstLineChars="200"/>
        <w:rPr>
          <w:rFonts w:ascii="仿宋_GB2312" w:hAnsi="仿宋_GB2312" w:eastAsia="仿宋_GB2312" w:cs="仿宋_GB2312"/>
          <w:color w:val="000000"/>
          <w:sz w:val="32"/>
          <w:szCs w:val="32"/>
        </w:rPr>
      </w:pPr>
      <w:bookmarkStart w:id="120" w:name="_Toc79163899"/>
      <w:bookmarkStart w:id="121" w:name="_Toc79163649"/>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、国有资本经营预算财政拨款支出决算表</w:t>
      </w:r>
      <w:bookmarkEnd w:id="120"/>
      <w:bookmarkEnd w:id="121"/>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十三、</w:t>
      </w:r>
      <w:r>
        <w:rPr>
          <w:rFonts w:hint="eastAsia" w:ascii="仿宋_GB2312" w:hAnsi="仿宋_GB2312" w:eastAsia="仿宋_GB2312" w:cs="仿宋_GB2312"/>
          <w:color w:val="000000"/>
          <w:sz w:val="32"/>
          <w:szCs w:val="32"/>
        </w:rPr>
        <w:t>财政拨款“三公”经费支出决算表</w:t>
      </w:r>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
                          </w:sdtPr>
                          <w:sdtContent>
                            <w:p>
                              <w:pPr>
                                <w:pStyle w:val="11"/>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sdt>
                    <w:sdtPr>
                      <w:id w:val="-1"/>
                    </w:sdtPr>
                    <w:sdtContent>
                      <w:p>
                        <w:pPr>
                          <w:pStyle w:val="11"/>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vdzckBAACZ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Ae93NyQEAAJkDAAAOAAAAAAAAAAEAIAAAAB4BAABkcnMvZTJvRG9j&#10;LnhtbFBLBQYAAAAABgAGAFkBAABZBQ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193509"/>
    <w:multiLevelType w:val="singleLevel"/>
    <w:tmpl w:val="E2193509"/>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hYTZiYWMyMjExZGMzMjM0ZWE1MzM4ZDRjOGNhZmQ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3D0A"/>
    <w:rsid w:val="000D5200"/>
    <w:rsid w:val="000D5782"/>
    <w:rsid w:val="000E0717"/>
    <w:rsid w:val="000E6613"/>
    <w:rsid w:val="000E7119"/>
    <w:rsid w:val="000F7D14"/>
    <w:rsid w:val="00114E9B"/>
    <w:rsid w:val="00134DD3"/>
    <w:rsid w:val="00142216"/>
    <w:rsid w:val="0014433D"/>
    <w:rsid w:val="00144D6A"/>
    <w:rsid w:val="0014706F"/>
    <w:rsid w:val="0014729F"/>
    <w:rsid w:val="00151354"/>
    <w:rsid w:val="00157372"/>
    <w:rsid w:val="00157BAB"/>
    <w:rsid w:val="001629C9"/>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1818"/>
    <w:rsid w:val="002F567B"/>
    <w:rsid w:val="002F5F2F"/>
    <w:rsid w:val="002F78A2"/>
    <w:rsid w:val="00320D06"/>
    <w:rsid w:val="003216A9"/>
    <w:rsid w:val="0033258B"/>
    <w:rsid w:val="0033450F"/>
    <w:rsid w:val="00335A74"/>
    <w:rsid w:val="003455E3"/>
    <w:rsid w:val="00362EA8"/>
    <w:rsid w:val="0036561B"/>
    <w:rsid w:val="00366617"/>
    <w:rsid w:val="0037013F"/>
    <w:rsid w:val="003703C2"/>
    <w:rsid w:val="00373E9F"/>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6FC"/>
    <w:rsid w:val="00440C35"/>
    <w:rsid w:val="00441C72"/>
    <w:rsid w:val="00443880"/>
    <w:rsid w:val="00443D73"/>
    <w:rsid w:val="004464F4"/>
    <w:rsid w:val="00461AC3"/>
    <w:rsid w:val="004703B5"/>
    <w:rsid w:val="00471401"/>
    <w:rsid w:val="0047399F"/>
    <w:rsid w:val="00473F31"/>
    <w:rsid w:val="0048127E"/>
    <w:rsid w:val="0048263A"/>
    <w:rsid w:val="00487E5D"/>
    <w:rsid w:val="0049273C"/>
    <w:rsid w:val="00497B5A"/>
    <w:rsid w:val="004A711F"/>
    <w:rsid w:val="004B00CE"/>
    <w:rsid w:val="004B199D"/>
    <w:rsid w:val="004B4690"/>
    <w:rsid w:val="004C2615"/>
    <w:rsid w:val="004C3AA4"/>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70AF"/>
    <w:rsid w:val="00607E6C"/>
    <w:rsid w:val="006101B1"/>
    <w:rsid w:val="006146F8"/>
    <w:rsid w:val="00614E44"/>
    <w:rsid w:val="0062270A"/>
    <w:rsid w:val="00622830"/>
    <w:rsid w:val="00622EBC"/>
    <w:rsid w:val="00623DA0"/>
    <w:rsid w:val="00627DDB"/>
    <w:rsid w:val="00630657"/>
    <w:rsid w:val="00630AEF"/>
    <w:rsid w:val="006325F8"/>
    <w:rsid w:val="00633463"/>
    <w:rsid w:val="00634C9A"/>
    <w:rsid w:val="00635024"/>
    <w:rsid w:val="006440E4"/>
    <w:rsid w:val="006608F7"/>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77689"/>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86880"/>
    <w:rsid w:val="00992DCF"/>
    <w:rsid w:val="009931C3"/>
    <w:rsid w:val="00996CA5"/>
    <w:rsid w:val="009970FA"/>
    <w:rsid w:val="009A0993"/>
    <w:rsid w:val="009A4F00"/>
    <w:rsid w:val="009A6A22"/>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1711"/>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251D8"/>
    <w:rsid w:val="00C26F8C"/>
    <w:rsid w:val="00C277F8"/>
    <w:rsid w:val="00C30E69"/>
    <w:rsid w:val="00C33E72"/>
    <w:rsid w:val="00C354B2"/>
    <w:rsid w:val="00C35554"/>
    <w:rsid w:val="00C42709"/>
    <w:rsid w:val="00C43ABB"/>
    <w:rsid w:val="00C533CC"/>
    <w:rsid w:val="00C5751C"/>
    <w:rsid w:val="00C603DA"/>
    <w:rsid w:val="00C61BFC"/>
    <w:rsid w:val="00C62B85"/>
    <w:rsid w:val="00C65438"/>
    <w:rsid w:val="00C67F3F"/>
    <w:rsid w:val="00C7013E"/>
    <w:rsid w:val="00C818C4"/>
    <w:rsid w:val="00C860DE"/>
    <w:rsid w:val="00C91CBB"/>
    <w:rsid w:val="00C922B5"/>
    <w:rsid w:val="00CA7FFB"/>
    <w:rsid w:val="00CB1032"/>
    <w:rsid w:val="00CB4E70"/>
    <w:rsid w:val="00CC09B6"/>
    <w:rsid w:val="00CC3A69"/>
    <w:rsid w:val="00CC3DB4"/>
    <w:rsid w:val="00CC666F"/>
    <w:rsid w:val="00CD1E3F"/>
    <w:rsid w:val="00CE44F6"/>
    <w:rsid w:val="00CE49DA"/>
    <w:rsid w:val="00CE68D7"/>
    <w:rsid w:val="00CE7B61"/>
    <w:rsid w:val="00CF63C2"/>
    <w:rsid w:val="00D00095"/>
    <w:rsid w:val="00D01322"/>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04E3"/>
    <w:rsid w:val="00E01053"/>
    <w:rsid w:val="00E07ACF"/>
    <w:rsid w:val="00E11AD1"/>
    <w:rsid w:val="00E16FE8"/>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0FEF"/>
    <w:rsid w:val="00F2408F"/>
    <w:rsid w:val="00F240E9"/>
    <w:rsid w:val="00F24291"/>
    <w:rsid w:val="00F25A72"/>
    <w:rsid w:val="00F2671F"/>
    <w:rsid w:val="00F329E1"/>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02AC2E4C"/>
    <w:rsid w:val="02E1246A"/>
    <w:rsid w:val="03525D5A"/>
    <w:rsid w:val="03A252BE"/>
    <w:rsid w:val="03B94246"/>
    <w:rsid w:val="06A72A7B"/>
    <w:rsid w:val="07FA7D60"/>
    <w:rsid w:val="08173F7F"/>
    <w:rsid w:val="09434CDD"/>
    <w:rsid w:val="098B19C3"/>
    <w:rsid w:val="09B72FD5"/>
    <w:rsid w:val="0B545889"/>
    <w:rsid w:val="0C52019F"/>
    <w:rsid w:val="0CDC36D0"/>
    <w:rsid w:val="0F07236C"/>
    <w:rsid w:val="0F612708"/>
    <w:rsid w:val="0FE23CAA"/>
    <w:rsid w:val="10C055FF"/>
    <w:rsid w:val="11685C8B"/>
    <w:rsid w:val="120B2110"/>
    <w:rsid w:val="159812F4"/>
    <w:rsid w:val="16BB723D"/>
    <w:rsid w:val="179F6E32"/>
    <w:rsid w:val="181A2B1F"/>
    <w:rsid w:val="1A4C65B4"/>
    <w:rsid w:val="1A631D43"/>
    <w:rsid w:val="1A7C004F"/>
    <w:rsid w:val="1AAE7F59"/>
    <w:rsid w:val="1BB27180"/>
    <w:rsid w:val="20121F25"/>
    <w:rsid w:val="20502F9F"/>
    <w:rsid w:val="20B41BC5"/>
    <w:rsid w:val="220A7FB3"/>
    <w:rsid w:val="23963804"/>
    <w:rsid w:val="240371BF"/>
    <w:rsid w:val="24FF3D57"/>
    <w:rsid w:val="27266A89"/>
    <w:rsid w:val="281B00E1"/>
    <w:rsid w:val="28505F41"/>
    <w:rsid w:val="28A10002"/>
    <w:rsid w:val="291931BB"/>
    <w:rsid w:val="294046FD"/>
    <w:rsid w:val="29A307A6"/>
    <w:rsid w:val="29FD04D3"/>
    <w:rsid w:val="2A0B40E6"/>
    <w:rsid w:val="2B7B7EAF"/>
    <w:rsid w:val="2BF61FAE"/>
    <w:rsid w:val="2C7D570A"/>
    <w:rsid w:val="2E963C56"/>
    <w:rsid w:val="319F7F4E"/>
    <w:rsid w:val="31D574D0"/>
    <w:rsid w:val="31F14A27"/>
    <w:rsid w:val="3271411A"/>
    <w:rsid w:val="33A9228F"/>
    <w:rsid w:val="34983A37"/>
    <w:rsid w:val="34EF78EF"/>
    <w:rsid w:val="3538617E"/>
    <w:rsid w:val="362401FB"/>
    <w:rsid w:val="37FE1209"/>
    <w:rsid w:val="3A691675"/>
    <w:rsid w:val="3BFD046C"/>
    <w:rsid w:val="3CCA5407"/>
    <w:rsid w:val="3EE02B71"/>
    <w:rsid w:val="40EB31AF"/>
    <w:rsid w:val="42236F20"/>
    <w:rsid w:val="444F32A0"/>
    <w:rsid w:val="44897961"/>
    <w:rsid w:val="44973831"/>
    <w:rsid w:val="44FA7C3F"/>
    <w:rsid w:val="45B002FD"/>
    <w:rsid w:val="4630706B"/>
    <w:rsid w:val="471F06CF"/>
    <w:rsid w:val="47DC362C"/>
    <w:rsid w:val="4C07336D"/>
    <w:rsid w:val="4C357A8B"/>
    <w:rsid w:val="4D695962"/>
    <w:rsid w:val="4D8F3B02"/>
    <w:rsid w:val="4DC66D20"/>
    <w:rsid w:val="4ECE2238"/>
    <w:rsid w:val="4F0654EA"/>
    <w:rsid w:val="4F2B249B"/>
    <w:rsid w:val="4F8C1E10"/>
    <w:rsid w:val="511107EA"/>
    <w:rsid w:val="522E28C0"/>
    <w:rsid w:val="5323717F"/>
    <w:rsid w:val="561548D9"/>
    <w:rsid w:val="57AB3239"/>
    <w:rsid w:val="5A0709C0"/>
    <w:rsid w:val="5AA05F2C"/>
    <w:rsid w:val="5BB07FF9"/>
    <w:rsid w:val="5CD050A1"/>
    <w:rsid w:val="60051A6D"/>
    <w:rsid w:val="608D6928"/>
    <w:rsid w:val="617955FF"/>
    <w:rsid w:val="61E423D7"/>
    <w:rsid w:val="62470222"/>
    <w:rsid w:val="62894684"/>
    <w:rsid w:val="637D586B"/>
    <w:rsid w:val="655D4CDA"/>
    <w:rsid w:val="66202BE1"/>
    <w:rsid w:val="673A5239"/>
    <w:rsid w:val="677C5CC9"/>
    <w:rsid w:val="67AB6CE7"/>
    <w:rsid w:val="695D5F23"/>
    <w:rsid w:val="69B0699A"/>
    <w:rsid w:val="6A2D5F76"/>
    <w:rsid w:val="6A3A2708"/>
    <w:rsid w:val="6A674B7F"/>
    <w:rsid w:val="6CCE6662"/>
    <w:rsid w:val="6FF14BA2"/>
    <w:rsid w:val="712437CA"/>
    <w:rsid w:val="71F87B8C"/>
    <w:rsid w:val="72734D90"/>
    <w:rsid w:val="72AB0D32"/>
    <w:rsid w:val="74082F2F"/>
    <w:rsid w:val="74251D33"/>
    <w:rsid w:val="759E3B4B"/>
    <w:rsid w:val="77F71C38"/>
    <w:rsid w:val="78865D58"/>
    <w:rsid w:val="7AC5601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Emphasis"/>
    <w:basedOn w:val="16"/>
    <w:qFormat/>
    <w:uiPriority w:val="20"/>
    <w:rPr>
      <w:i/>
      <w:iCs/>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4">
    <w:name w:val="No Spacing"/>
    <w:link w:val="35"/>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5">
    <w:name w:val="无间隔 Char"/>
    <w:basedOn w:val="16"/>
    <w:link w:val="34"/>
    <w:qFormat/>
    <w:locked/>
    <w:uiPriority w:val="99"/>
    <w:rPr>
      <w:kern w:val="2"/>
      <w:sz w:val="21"/>
      <w:szCs w:val="22"/>
    </w:rPr>
  </w:style>
  <w:style w:type="character" w:customStyle="1" w:styleId="36">
    <w:name w:val="apple-converted-space"/>
    <w:basedOn w:val="16"/>
    <w:qFormat/>
    <w:uiPriority w:val="99"/>
    <w:rPr>
      <w:rFonts w:cs="Times New Roman"/>
    </w:rPr>
  </w:style>
  <w:style w:type="paragraph" w:customStyle="1" w:styleId="37">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8">
    <w:name w:val="标题 1 Char1"/>
    <w:basedOn w:val="16"/>
    <w:qFormat/>
    <w:uiPriority w:val="9"/>
    <w:rPr>
      <w:rFonts w:ascii="Times New Roman" w:hAnsi="Times New Roman"/>
      <w:b/>
      <w:bCs/>
      <w:kern w:val="44"/>
      <w:sz w:val="44"/>
      <w:szCs w:val="44"/>
    </w:rPr>
  </w:style>
  <w:style w:type="paragraph" w:customStyle="1" w:styleId="39">
    <w:name w:val="列表段落1"/>
    <w:basedOn w:val="1"/>
    <w:qFormat/>
    <w:uiPriority w:val="34"/>
    <w:pPr>
      <w:ind w:firstLine="420" w:firstLineChars="200"/>
    </w:pPr>
  </w:style>
  <w:style w:type="paragraph" w:customStyle="1" w:styleId="40">
    <w:name w:val="四号正文"/>
    <w:basedOn w:val="1"/>
    <w:qFormat/>
    <w:uiPriority w:val="0"/>
    <w:pPr>
      <w:spacing w:line="360" w:lineRule="auto"/>
    </w:pPr>
    <w:rPr>
      <w:rFonts w:ascii="??" w:hAnsi="??"/>
      <w:color w:val="000000"/>
      <w:kern w:val="0"/>
      <w:sz w:val="28"/>
      <w:szCs w:val="21"/>
      <w:lang w:val="zh-CN"/>
    </w:rPr>
  </w:style>
  <w:style w:type="paragraph" w:customStyle="1" w:styleId="41">
    <w:name w:val="WPSOffice手动目录 3"/>
    <w:qFormat/>
    <w:uiPriority w:val="0"/>
    <w:pPr>
      <w:ind w:leftChars="40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7"/>
        </c:manualLayout>
      </c:layout>
      <c:overlay val="0"/>
    </c:title>
    <c:autoTitleDeleted val="0"/>
    <c:plotArea>
      <c:layout>
        <c:manualLayout>
          <c:layoutTarget val="inner"/>
          <c:xMode val="edge"/>
          <c:yMode val="edge"/>
          <c:x val="0.0769356344423438"/>
          <c:y val="0.212981143314532"/>
          <c:w val="0.763500149073545"/>
          <c:h val="0.680324640271032"/>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629.81</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543.25</c:v>
                </c:pt>
              </c:numCache>
            </c:numRef>
          </c:val>
        </c:ser>
        <c:dLbls>
          <c:showLegendKey val="0"/>
          <c:showVal val="1"/>
          <c:showCatName val="0"/>
          <c:showSerName val="0"/>
          <c:showPercent val="0"/>
          <c:showBubbleSize val="0"/>
        </c:dLbls>
        <c:gapWidth val="150"/>
        <c:axId val="243807744"/>
        <c:axId val="277832064"/>
      </c:barChart>
      <c:catAx>
        <c:axId val="24380774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7832064"/>
        <c:crosses val="autoZero"/>
        <c:auto val="1"/>
        <c:lblAlgn val="ctr"/>
        <c:lblOffset val="100"/>
        <c:noMultiLvlLbl val="0"/>
      </c:catAx>
      <c:valAx>
        <c:axId val="27783206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8077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2023</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2"/>
          <c:y val="0.217391304347828"/>
          <c:w val="0.296150696150698"/>
          <c:h val="0.655072463768122"/>
        </c:manualLayout>
      </c:layout>
      <c:pieChart>
        <c:varyColors val="1"/>
        <c:ser>
          <c:idx val="0"/>
          <c:order val="0"/>
          <c:tx>
            <c:strRef>
              <c:f>Sheet1!$B$1</c:f>
              <c:strCache>
                <c:ptCount val="1"/>
                <c:pt idx="0">
                  <c:v>2022年部门决算收入结构图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0.00527981755089603"/>
                  <c:y val="-0.34695619569293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dLbl>
              <c:idx val="7"/>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Sheet1!$A$2:$A$9</c:f>
              <c:strCache>
                <c:ptCount val="8"/>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pt idx="7">
                  <c:v>国有资本经营预算财政拨款收入</c:v>
                </c:pt>
              </c:strCache>
            </c:strRef>
          </c:cat>
          <c:val>
            <c:numRef>
              <c:f>Sheet1!$B$2:$B$9</c:f>
              <c:numCache>
                <c:formatCode>General</c:formatCode>
                <c:ptCount val="8"/>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5"/>
          <c:y val="0.192746260074382"/>
          <c:w val="0.342222222222222"/>
          <c:h val="0.738888734314581"/>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2023</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626474190421383"/>
                  <c:y val="0.027970883512814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42.24</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5468729532653"/>
                  <c:y val="0.36331994215008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57.76</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57.76</c:v>
                </c:pt>
                <c:pt idx="1">
                  <c:v>42.24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9"/>
          <c:y val="0.0521624031445839"/>
        </c:manualLayout>
      </c:layout>
      <c:overlay val="0"/>
    </c:title>
    <c:autoTitleDeleted val="0"/>
    <c:plotArea>
      <c:layout>
        <c:manualLayout>
          <c:layoutTarget val="inner"/>
          <c:xMode val="edge"/>
          <c:yMode val="edge"/>
          <c:x val="0.0769356344423438"/>
          <c:y val="0.212981143314532"/>
          <c:w val="0.763500149073545"/>
          <c:h val="0.68032464027103"/>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629.81</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543.25</c:v>
                </c:pt>
              </c:numCache>
            </c:numRef>
          </c:val>
        </c:ser>
        <c:dLbls>
          <c:showLegendKey val="0"/>
          <c:showVal val="1"/>
          <c:showCatName val="0"/>
          <c:showSerName val="0"/>
          <c:showPercent val="0"/>
          <c:showBubbleSize val="0"/>
        </c:dLbls>
        <c:gapWidth val="150"/>
        <c:axId val="105224832"/>
        <c:axId val="105406848"/>
      </c:barChart>
      <c:catAx>
        <c:axId val="1052248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06848"/>
        <c:crosses val="autoZero"/>
        <c:auto val="1"/>
        <c:lblAlgn val="ctr"/>
        <c:lblOffset val="100"/>
        <c:noMultiLvlLbl val="0"/>
      </c:catAx>
      <c:valAx>
        <c:axId val="1054068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224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47"/>
          <c:h val="0.683986901018178"/>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629.81</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543.25</c:v>
                </c:pt>
              </c:numCache>
            </c:numRef>
          </c:val>
        </c:ser>
        <c:dLbls>
          <c:showLegendKey val="0"/>
          <c:showVal val="1"/>
          <c:showCatName val="0"/>
          <c:showSerName val="0"/>
          <c:showPercent val="0"/>
          <c:showBubbleSize val="0"/>
        </c:dLbls>
        <c:gapWidth val="150"/>
        <c:axId val="105444864"/>
        <c:axId val="105446400"/>
      </c:barChart>
      <c:catAx>
        <c:axId val="1054448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6400"/>
        <c:crosses val="autoZero"/>
        <c:auto val="1"/>
        <c:lblAlgn val="ctr"/>
        <c:lblOffset val="100"/>
        <c:noMultiLvlLbl val="0"/>
      </c:catAx>
      <c:valAx>
        <c:axId val="1054464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4864"/>
        <c:crosses val="autoZero"/>
        <c:crossBetween val="between"/>
      </c:valAx>
    </c:plotArea>
    <c:legend>
      <c:legendPos val="r"/>
      <c:layout>
        <c:manualLayout>
          <c:xMode val="edge"/>
          <c:yMode val="edge"/>
          <c:x val="0.881289744596317"/>
          <c:y val="0.460636092476829"/>
          <c:w val="0.118710255403684"/>
          <c:h val="0.20996125847113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23</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7430432208409"/>
          <c:y val="0.0326441784548425"/>
        </c:manualLayout>
      </c:layout>
      <c:overlay val="0"/>
    </c:title>
    <c:autoTitleDeleted val="0"/>
    <c:plotArea>
      <c:layout/>
      <c:pieChart>
        <c:varyColors val="1"/>
        <c:ser>
          <c:idx val="0"/>
          <c:order val="0"/>
          <c:tx>
            <c:strRef>
              <c:f>Sheet1!$B$1</c:f>
              <c:strCache>
                <c:ptCount val="1"/>
                <c:pt idx="0">
                  <c:v>2022年部门决算支出结构图</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manualLayout>
                  <c:x val="-0.00650102707000315"/>
                  <c:y val="-0.186905249414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85.74</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61196451907892"/>
                  <c:y val="0.028563656147986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3.28%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729425695677916"/>
                      <c:h val="0.0930359085963003"/>
                    </c:manualLayout>
                  </c15:layout>
                </c:ext>
              </c:extLst>
            </c:dLbl>
            <c:dLbl>
              <c:idx val="2"/>
              <c:layout>
                <c:manualLayout>
                  <c:x val="-0.0403430255054708"/>
                  <c:y val="-0.059664733148835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4.18%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17216212201786"/>
                  <c:y val="0.018519564053673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5.24</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delete val="1"/>
            </c:dLbl>
            <c:dLbl>
              <c:idx val="5"/>
              <c:layout>
                <c:manualLayout>
                  <c:x val="0.0284191829484903"/>
                  <c:y val="0.040805223068552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1.56%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921255180580225"/>
                      <c:h val="0.0726332970620239"/>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其他支出</c:v>
                </c:pt>
              </c:strCache>
            </c:strRef>
          </c:cat>
          <c:val>
            <c:numRef>
              <c:f>Sheet1!$B$2:$B$7</c:f>
              <c:numCache>
                <c:formatCode>General</c:formatCode>
                <c:ptCount val="6"/>
                <c:pt idx="0">
                  <c:v>85.74</c:v>
                </c:pt>
                <c:pt idx="1">
                  <c:v>3.28</c:v>
                </c:pt>
                <c:pt idx="2">
                  <c:v>5.24</c:v>
                </c:pt>
                <c:pt idx="3">
                  <c:v>4.18</c:v>
                </c:pt>
                <c:pt idx="4">
                  <c:v>1.56</c:v>
                </c:pt>
                <c:pt idx="5">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95.04</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manualLayout>
                  <c:x val="0.0250323875230759"/>
                  <c:y val="0.199440902360801"/>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4.96</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c:v>
                </c:pt>
                <c:pt idx="2">
                  <c:v>公务接待费支出</c:v>
                </c:pt>
              </c:strCache>
            </c:strRef>
          </c:cat>
          <c:val>
            <c:numRef>
              <c:f>Sheet1!$B$2:$B$4</c:f>
              <c:numCache>
                <c:formatCode>General</c:formatCode>
                <c:ptCount val="3"/>
                <c:pt idx="1">
                  <c:v>95.04</c:v>
                </c:pt>
                <c:pt idx="2">
                  <c:v>4.96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51</Pages>
  <Words>3348</Words>
  <Characters>19089</Characters>
  <Lines>159</Lines>
  <Paragraphs>44</Paragraphs>
  <TotalTime>15</TotalTime>
  <ScaleCrop>false</ScaleCrop>
  <LinksUpToDate>false</LinksUpToDate>
  <CharactersWithSpaces>22393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随心所欲</cp:lastModifiedBy>
  <cp:lastPrinted>2023-09-13T09:58:00Z</cp:lastPrinted>
  <dcterms:modified xsi:type="dcterms:W3CDTF">2024-09-20T08:30:54Z</dcterms:modified>
  <dc:title>四川省***</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3AE9CB1D6C9E66156A02E066174934E8</vt:lpwstr>
  </property>
</Properties>
</file>