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2023年度四川省阿坝州</w:t>
      </w:r>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茂县人力资源和社会保障局（事业）</w:t>
      </w:r>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单位决算公开</w:t>
      </w:r>
    </w:p>
    <w:p>
      <w:pPr>
        <w:widowControl/>
        <w:jc w:val="center"/>
        <w:rPr>
          <w:rFonts w:ascii="方正小标宋简体" w:hAnsi="宋体" w:eastAsia="方正小标宋简体"/>
          <w:color w:val="000000"/>
          <w:sz w:val="36"/>
          <w:szCs w:val="36"/>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suppressAutoHyphens/>
        <w:bidi w:val="0"/>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suppressAutoHyphens/>
        <w:bidi w:val="0"/>
        <w:adjustRightInd w:val="0"/>
        <w:snapToGrid w:val="0"/>
        <w:spacing w:line="576" w:lineRule="exact"/>
        <w:jc w:val="both"/>
        <w:outlineLvl w:val="0"/>
        <w:rPr>
          <w:rFonts w:ascii="黑体" w:hAnsi="黑体" w:eastAsia="黑体"/>
          <w:color w:val="auto"/>
          <w:sz w:val="48"/>
          <w:szCs w:val="48"/>
          <w:highlight w:val="none"/>
        </w:rPr>
      </w:pPr>
      <w:r>
        <w:rPr>
          <w:rFonts w:ascii="方正小标宋简体" w:hAnsi="方正小标宋简体" w:eastAsia="方正小标宋简体" w:cs="方正小标宋简体"/>
          <w:color w:val="000000"/>
          <w:sz w:val="44"/>
          <w:szCs w:val="44"/>
        </w:rPr>
        <w:br w:type="page"/>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黑体" w:hAnsi="黑体" w:eastAsia="黑体"/>
          <w:color w:val="auto"/>
          <w:sz w:val="48"/>
          <w:szCs w:val="48"/>
          <w:highlight w:val="none"/>
        </w:rPr>
        <w:t>目录</w:t>
      </w:r>
    </w:p>
    <w:p>
      <w:pPr>
        <w:widowControl/>
        <w:jc w:val="center"/>
        <w:rPr>
          <w:rFonts w:ascii="黑体" w:hAnsi="黑体" w:eastAsia="黑体" w:cs="Times New Roman"/>
          <w:color w:val="auto"/>
          <w:sz w:val="28"/>
          <w:szCs w:val="28"/>
          <w:highlight w:val="none"/>
        </w:rPr>
      </w:pPr>
    </w:p>
    <w:p>
      <w:pPr>
        <w:pStyle w:val="13"/>
        <w:rPr>
          <w:color w:val="auto"/>
          <w:sz w:val="32"/>
          <w:szCs w:val="32"/>
          <w:highlight w:val="none"/>
        </w:rPr>
      </w:pPr>
      <w:r>
        <w:rPr>
          <w:rFonts w:hint="eastAsia"/>
          <w:color w:val="auto"/>
          <w:sz w:val="32"/>
          <w:szCs w:val="32"/>
          <w:highlight w:val="none"/>
        </w:rPr>
        <w:t>公开时间：20</w:t>
      </w:r>
      <w:r>
        <w:rPr>
          <w:rFonts w:hint="eastAsia"/>
          <w:color w:val="auto"/>
          <w:sz w:val="32"/>
          <w:szCs w:val="32"/>
          <w:highlight w:val="none"/>
          <w:lang w:val="en-US" w:eastAsia="zh-CN"/>
        </w:rPr>
        <w:t>24</w:t>
      </w:r>
      <w:r>
        <w:rPr>
          <w:rFonts w:hint="eastAsia"/>
          <w:color w:val="auto"/>
          <w:sz w:val="32"/>
          <w:szCs w:val="32"/>
          <w:highlight w:val="none"/>
        </w:rPr>
        <w:t>年</w:t>
      </w:r>
      <w:r>
        <w:rPr>
          <w:rFonts w:hint="eastAsia"/>
          <w:color w:val="auto"/>
          <w:sz w:val="32"/>
          <w:szCs w:val="32"/>
          <w:highlight w:val="none"/>
          <w:lang w:val="en-US" w:eastAsia="zh-CN"/>
        </w:rPr>
        <w:t>9</w:t>
      </w:r>
      <w:r>
        <w:rPr>
          <w:rFonts w:hint="eastAsia"/>
          <w:color w:val="auto"/>
          <w:sz w:val="32"/>
          <w:szCs w:val="32"/>
          <w:highlight w:val="none"/>
        </w:rPr>
        <w:t>月</w:t>
      </w:r>
      <w:r>
        <w:rPr>
          <w:rFonts w:hint="eastAsia"/>
          <w:color w:val="auto"/>
          <w:sz w:val="32"/>
          <w:szCs w:val="32"/>
          <w:highlight w:val="none"/>
          <w:lang w:val="en-US" w:eastAsia="zh-CN"/>
        </w:rPr>
        <w:t>25</w:t>
      </w:r>
      <w:r>
        <w:rPr>
          <w:rFonts w:hint="eastAsia"/>
          <w:color w:val="auto"/>
          <w:sz w:val="32"/>
          <w:szCs w:val="32"/>
          <w:highlight w:val="none"/>
        </w:rPr>
        <w:t>日</w:t>
      </w:r>
    </w:p>
    <w:p>
      <w:pPr>
        <w:rPr>
          <w:color w:val="auto"/>
          <w:highlight w:val="none"/>
        </w:rPr>
      </w:pP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概况</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一、主要职责</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二、机构设置</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6</w:t>
      </w:r>
    </w:p>
    <w:p>
      <w:pPr>
        <w:pStyle w:val="14"/>
        <w:adjustRightInd w:val="0"/>
        <w:snapToGrid w:val="0"/>
        <w:spacing w:line="576"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 xml:space="preserve"> 2023年度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7</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四、财政拨款收入支出决算总体情况说明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五、一般公共预算财政拨款支出决算情况说明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8</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六、一般公共预算财政拨款基本支出决算情况说明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10</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七、财政拨款“三公”经费支出决算情况说明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11</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八、政府性基金预算支出决算情况说明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九、国有资本经营预算支出决算情况说明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13</w:t>
      </w:r>
    </w:p>
    <w:p>
      <w:pPr>
        <w:pStyle w:val="14"/>
        <w:adjustRightInd w:val="0"/>
        <w:snapToGrid w:val="0"/>
        <w:spacing w:line="576" w:lineRule="exact"/>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十、其他重要事项的情况说明</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 xml:space="preserve">13  </w:t>
      </w:r>
    </w:p>
    <w:p>
      <w:pPr>
        <w:pStyle w:val="14"/>
        <w:adjustRightInd w:val="0"/>
        <w:snapToGrid w:val="0"/>
        <w:spacing w:line="576"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14</w:t>
      </w:r>
    </w:p>
    <w:p>
      <w:pPr>
        <w:pStyle w:val="14"/>
        <w:adjustRightInd w:val="0"/>
        <w:snapToGrid w:val="0"/>
        <w:spacing w:line="576" w:lineRule="exact"/>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第四部分 附</w:t>
      </w:r>
      <w:r>
        <w:rPr>
          <w:rFonts w:hint="eastAsia" w:ascii="仿宋_GB2312" w:hAnsi="仿宋_GB2312" w:eastAsia="仿宋_GB2312" w:cs="仿宋_GB2312"/>
          <w:sz w:val="32"/>
          <w:szCs w:val="32"/>
          <w:lang w:val="en-US" w:eastAsia="zh-CN"/>
        </w:rPr>
        <w:t>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二、收入决算表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四、财政拨款收入支出决算总表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六、一般公共预算财政拨款支出决算表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七、一般公共预算财政拨款支出决算明细表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八、一般公共预算财政拨款基本支出决算明细表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九、一般公共预算财政拨款项目支出决算表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十、政府性基金预算财政拨款收入支出决算表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十一、国有资本经营预算财政拨款收入支出决算表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十二、国有资本经营预算财政拨款支出决算表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pStyle w:val="14"/>
        <w:adjustRightInd w:val="0"/>
        <w:snapToGrid w:val="0"/>
        <w:spacing w:line="576" w:lineRule="exact"/>
        <w:ind w:firstLine="160" w:firstLineChars="5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十三、财政拨款“三公”经费支出决算表</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17</w:t>
      </w:r>
    </w:p>
    <w:p>
      <w:pPr>
        <w:widowControl/>
        <w:spacing w:line="440" w:lineRule="exact"/>
        <w:jc w:val="left"/>
        <w:rPr>
          <w:rFonts w:ascii="仿宋" w:hAnsi="仿宋" w:eastAsia="仿宋"/>
          <w:bCs/>
          <w:color w:val="auto"/>
          <w:kern w:val="44"/>
          <w:sz w:val="24"/>
          <w:highlight w:val="none"/>
        </w:rPr>
      </w:pPr>
      <w:r>
        <w:rPr>
          <w:rFonts w:ascii="仿宋" w:hAnsi="仿宋" w:eastAsia="仿宋"/>
          <w:b/>
          <w:color w:val="auto"/>
          <w:sz w:val="24"/>
          <w:highlight w:val="none"/>
        </w:rPr>
        <w:br w:type="page"/>
      </w:r>
    </w:p>
    <w:p>
      <w:pPr>
        <w:suppressAutoHyphens/>
        <w:bidi w:val="0"/>
        <w:spacing w:line="576" w:lineRule="exact"/>
        <w:ind w:left="672"/>
        <w:jc w:val="center"/>
        <w:rPr>
          <w:rFonts w:ascii="黑体" w:eastAsia="黑体"/>
          <w:color w:val="auto"/>
          <w:sz w:val="32"/>
          <w:szCs w:val="32"/>
          <w:highlight w:val="none"/>
        </w:rPr>
      </w:pPr>
      <w:r>
        <w:rPr>
          <w:rStyle w:val="28"/>
          <w:rFonts w:hint="eastAsia" w:ascii="黑体" w:hAnsi="黑体" w:eastAsia="黑体" w:cs="黑体"/>
        </w:rPr>
        <w:t xml:space="preserve">第一部分 </w:t>
      </w:r>
      <w:r>
        <w:rPr>
          <w:rStyle w:val="28"/>
          <w:rFonts w:hint="eastAsia" w:ascii="黑体" w:hAnsi="黑体" w:eastAsia="黑体" w:cs="黑体"/>
          <w:lang w:eastAsia="zh-CN"/>
        </w:rPr>
        <w:t>单位</w:t>
      </w:r>
      <w:r>
        <w:rPr>
          <w:rStyle w:val="28"/>
          <w:rFonts w:hint="eastAsia" w:ascii="黑体" w:hAnsi="黑体" w:eastAsia="黑体" w:cs="黑体"/>
        </w:rPr>
        <w:t>概况</w:t>
      </w:r>
    </w:p>
    <w:p>
      <w:pPr>
        <w:numPr>
          <w:ilvl w:val="0"/>
          <w:numId w:val="1"/>
        </w:numPr>
        <w:spacing w:line="576" w:lineRule="exact"/>
        <w:ind w:firstLine="640" w:firstLineChars="200"/>
        <w:rPr>
          <w:rFonts w:hint="eastAsia" w:ascii="黑体" w:hAnsi="黑体" w:eastAsia="黑体" w:cs="Times New Roman"/>
          <w:b w:val="0"/>
          <w:bCs w:val="0"/>
          <w:color w:val="000000"/>
          <w:kern w:val="2"/>
          <w:sz w:val="32"/>
          <w:szCs w:val="32"/>
          <w:lang w:val="en-US" w:eastAsia="zh-CN" w:bidi="ar-SA"/>
        </w:rPr>
      </w:pPr>
      <w:r>
        <w:rPr>
          <w:rFonts w:hint="eastAsia" w:ascii="黑体" w:hAnsi="黑体" w:eastAsia="黑体" w:cs="Times New Roman"/>
          <w:b w:val="0"/>
          <w:bCs w:val="0"/>
          <w:color w:val="000000"/>
          <w:kern w:val="2"/>
          <w:sz w:val="32"/>
          <w:szCs w:val="32"/>
          <w:lang w:val="en-US" w:eastAsia="zh-CN" w:bidi="ar-SA"/>
        </w:rPr>
        <w:t>主要职责</w:t>
      </w:r>
    </w:p>
    <w:p>
      <w:pPr>
        <w:numPr>
          <w:ilvl w:val="0"/>
          <w:numId w:val="0"/>
        </w:numPr>
        <w:spacing w:line="576"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（一）主要职能</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56" w:lineRule="exact"/>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56" w:lineRule="exact"/>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spacing w:line="556" w:lineRule="exact"/>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56" w:lineRule="exact"/>
        <w:ind w:firstLine="640"/>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56" w:lineRule="exact"/>
        <w:ind w:firstLine="640"/>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spacing w:line="556" w:lineRule="exact"/>
        <w:ind w:firstLine="640"/>
        <w:rPr>
          <w:rFonts w:ascii="仿宋_GB2312" w:eastAsia="仿宋_GB2312"/>
          <w:sz w:val="32"/>
          <w:szCs w:val="32"/>
        </w:rPr>
      </w:pPr>
      <w:r>
        <w:rPr>
          <w:rFonts w:hint="eastAsia" w:ascii="仿宋_GB2312" w:eastAsia="仿宋_GB2312"/>
          <w:sz w:val="32"/>
          <w:szCs w:val="32"/>
        </w:rPr>
        <w:t>14.完成县委、县政府交办的其他任务。</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56" w:lineRule="exact"/>
        <w:ind w:firstLine="640" w:firstLineChars="200"/>
        <w:rPr>
          <w:rFonts w:hint="eastAsia"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社会保障局负责。</w:t>
      </w:r>
    </w:p>
    <w:p>
      <w:pPr>
        <w:spacing w:line="560" w:lineRule="exact"/>
        <w:ind w:firstLine="640" w:firstLineChars="200"/>
        <w:rPr>
          <w:rFonts w:ascii="楷体_GB2312" w:eastAsia="楷体_GB2312" w:cs="宋体"/>
          <w:b/>
          <w:kern w:val="0"/>
          <w:sz w:val="32"/>
          <w:szCs w:val="32"/>
        </w:rPr>
      </w:pPr>
      <w:r>
        <w:rPr>
          <w:rFonts w:hint="eastAsia" w:ascii="黑体" w:hAnsi="黑体" w:eastAsia="黑体" w:cs="黑体"/>
          <w:sz w:val="32"/>
          <w:szCs w:val="32"/>
        </w:rPr>
        <w:t>二、机构设置</w:t>
      </w:r>
    </w:p>
    <w:p>
      <w:pPr>
        <w:spacing w:line="576" w:lineRule="exact"/>
        <w:ind w:firstLine="640" w:firstLineChars="200"/>
        <w:rPr>
          <w:rStyle w:val="38"/>
          <w:rFonts w:ascii="仿宋" w:hAnsi="仿宋" w:eastAsia="仿宋"/>
          <w:b w:val="0"/>
          <w:bCs w:val="0"/>
          <w:kern w:val="2"/>
          <w:sz w:val="32"/>
          <w:szCs w:val="32"/>
        </w:rPr>
      </w:pPr>
      <w:r>
        <w:rPr>
          <w:rFonts w:hint="eastAsia" w:ascii="仿宋_GB2312" w:hAnsi="仿宋_GB2312" w:eastAsia="仿宋_GB2312" w:cs="仿宋_GB2312"/>
          <w:sz w:val="32"/>
          <w:szCs w:val="32"/>
        </w:rPr>
        <w:t>茂县</w:t>
      </w:r>
      <w:r>
        <w:rPr>
          <w:rFonts w:ascii="仿宋" w:hAnsi="仿宋" w:eastAsia="仿宋"/>
          <w:sz w:val="32"/>
          <w:szCs w:val="32"/>
        </w:rPr>
        <w:t>人力资源和社会保障局</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r>
        <w:rPr>
          <w:rFonts w:hint="eastAsia" w:ascii="仿宋" w:hAnsi="仿宋" w:eastAsia="仿宋"/>
          <w:color w:val="000000"/>
          <w:sz w:val="32"/>
          <w:szCs w:val="32"/>
        </w:rPr>
        <w:t>无纳入茂县</w:t>
      </w:r>
      <w:r>
        <w:rPr>
          <w:rFonts w:ascii="仿宋" w:hAnsi="仿宋" w:eastAsia="仿宋"/>
          <w:color w:val="000000"/>
          <w:sz w:val="32"/>
          <w:szCs w:val="32"/>
        </w:rPr>
        <w:t>人力资源和社会保障局</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年度部门决算编制范围的二级预算单位。</w:t>
      </w:r>
    </w:p>
    <w:p>
      <w:pPr>
        <w:widowControl/>
        <w:jc w:val="left"/>
        <w:rPr>
          <w:rFonts w:ascii="仿宋" w:hAnsi="仿宋" w:eastAsia="仿宋"/>
          <w:color w:val="auto"/>
          <w:kern w:val="0"/>
          <w:sz w:val="32"/>
          <w:szCs w:val="32"/>
          <w:highlight w:val="none"/>
        </w:rPr>
      </w:pPr>
    </w:p>
    <w:p>
      <w:pPr>
        <w:pStyle w:val="5"/>
        <w:ind w:right="440"/>
        <w:jc w:val="right"/>
        <w:rPr>
          <w:rStyle w:val="38"/>
          <w:rFonts w:ascii="黑体" w:hAnsi="黑体" w:eastAsia="黑体"/>
          <w:b/>
          <w:bCs/>
        </w:rPr>
      </w:pPr>
      <w:r>
        <w:rPr>
          <w:rStyle w:val="38"/>
          <w:rFonts w:hint="eastAsia" w:ascii="黑体" w:hAnsi="黑体" w:eastAsia="黑体"/>
          <w:b w:val="0"/>
          <w:bCs w:val="0"/>
        </w:rPr>
        <w:t>第二部分</w:t>
      </w:r>
      <w:r>
        <w:rPr>
          <w:rStyle w:val="38"/>
          <w:rFonts w:ascii="黑体" w:hAnsi="黑体" w:eastAsia="黑体"/>
          <w:b w:val="0"/>
          <w:bCs w:val="0"/>
        </w:rPr>
        <w:t xml:space="preserve"> 202</w:t>
      </w:r>
      <w:r>
        <w:rPr>
          <w:rStyle w:val="38"/>
          <w:rFonts w:hint="eastAsia" w:ascii="黑体" w:hAnsi="黑体" w:eastAsia="黑体"/>
          <w:b w:val="0"/>
          <w:bCs w:val="0"/>
          <w:lang w:val="en-US" w:eastAsia="zh-CN"/>
        </w:rPr>
        <w:t>3</w:t>
      </w:r>
      <w:r>
        <w:rPr>
          <w:rStyle w:val="38"/>
          <w:rFonts w:hint="eastAsia" w:ascii="黑体" w:hAnsi="黑体" w:eastAsia="黑体"/>
          <w:b w:val="0"/>
          <w:bCs w:val="0"/>
        </w:rPr>
        <w:t>年度</w:t>
      </w:r>
      <w:r>
        <w:rPr>
          <w:rStyle w:val="38"/>
          <w:rFonts w:hint="eastAsia" w:ascii="黑体" w:hAnsi="黑体" w:eastAsia="黑体"/>
          <w:b w:val="0"/>
          <w:bCs w:val="0"/>
          <w:lang w:val="en-US" w:eastAsia="zh-CN"/>
        </w:rPr>
        <w:t>单位</w:t>
      </w:r>
      <w:r>
        <w:rPr>
          <w:rStyle w:val="38"/>
          <w:rFonts w:hint="eastAsia" w:ascii="黑体" w:hAnsi="黑体" w:eastAsia="黑体"/>
          <w:b w:val="0"/>
          <w:bCs w:val="0"/>
        </w:rPr>
        <w:t>决算情况说明</w:t>
      </w:r>
    </w:p>
    <w:p>
      <w:pPr>
        <w:pStyle w:val="39"/>
        <w:numPr>
          <w:ilvl w:val="0"/>
          <w:numId w:val="2"/>
        </w:numPr>
        <w:spacing w:line="600" w:lineRule="exact"/>
        <w:ind w:firstLineChars="0"/>
        <w:outlineLvl w:val="1"/>
        <w:rPr>
          <w:rStyle w:val="29"/>
          <w:rFonts w:ascii="黑体" w:hAnsi="黑体" w:eastAsia="黑体"/>
          <w:b w:val="0"/>
        </w:rPr>
      </w:pPr>
      <w:bookmarkStart w:id="1" w:name="_Toc79163610"/>
      <w:bookmarkStart w:id="2" w:name="_Toc79163860"/>
      <w:bookmarkStart w:id="3" w:name="_Toc15396603"/>
      <w:bookmarkStart w:id="4" w:name="_Toc15377205"/>
      <w:r>
        <w:rPr>
          <w:rStyle w:val="29"/>
          <w:rFonts w:hint="eastAsia" w:ascii="黑体" w:hAnsi="黑体" w:eastAsia="黑体"/>
        </w:rPr>
        <w:t>收入支出决算总体情况说明</w:t>
      </w:r>
      <w:bookmarkEnd w:id="1"/>
      <w:bookmarkEnd w:id="2"/>
      <w:bookmarkEnd w:id="3"/>
      <w:bookmarkEnd w:id="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均为342.66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年相比，收、支总计增加</w:t>
      </w:r>
      <w:r>
        <w:rPr>
          <w:rFonts w:hint="eastAsia" w:ascii="仿宋" w:hAnsi="仿宋" w:eastAsia="仿宋"/>
          <w:color w:val="000000"/>
          <w:sz w:val="32"/>
          <w:szCs w:val="32"/>
          <w:lang w:val="en-US" w:eastAsia="zh-CN"/>
        </w:rPr>
        <w:t>23.05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增长7.21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9"/>
        <w:numPr>
          <w:ilvl w:val="0"/>
          <w:numId w:val="2"/>
        </w:numPr>
        <w:spacing w:line="600" w:lineRule="exact"/>
        <w:ind w:firstLineChars="0"/>
        <w:outlineLvl w:val="1"/>
        <w:rPr>
          <w:rStyle w:val="29"/>
          <w:rFonts w:ascii="黑体" w:hAnsi="黑体" w:eastAsia="黑体"/>
          <w:b w:val="0"/>
        </w:rPr>
      </w:pPr>
      <w:bookmarkStart w:id="5" w:name="_Toc15396604"/>
      <w:bookmarkStart w:id="6" w:name="_Toc15377206"/>
      <w:bookmarkStart w:id="7" w:name="_Toc79163861"/>
      <w:bookmarkStart w:id="8" w:name="_Toc79163611"/>
      <w:r>
        <w:rPr>
          <w:rStyle w:val="29"/>
          <w:rFonts w:hint="eastAsia" w:ascii="黑体" w:hAnsi="黑体" w:eastAsia="黑体"/>
        </w:rPr>
        <w:t>收入决算情况说明</w:t>
      </w:r>
      <w:bookmarkEnd w:id="5"/>
      <w:bookmarkEnd w:id="6"/>
      <w:bookmarkEnd w:id="7"/>
      <w:bookmarkEnd w:id="8"/>
    </w:p>
    <w:p>
      <w:pPr>
        <w:ind w:firstLine="640" w:firstLineChars="200"/>
        <w:outlineLvl w:val="1"/>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342.66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342.66</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auto"/>
          <w:sz w:val="32"/>
          <w:szCs w:val="32"/>
          <w:highlight w:val="none"/>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7"/>
        <w:numPr>
          <w:ilvl w:val="0"/>
          <w:numId w:val="2"/>
        </w:numPr>
        <w:spacing w:line="600" w:lineRule="exact"/>
        <w:ind w:firstLineChars="0"/>
        <w:outlineLvl w:val="1"/>
        <w:rPr>
          <w:rStyle w:val="29"/>
          <w:rFonts w:ascii="黑体" w:hAnsi="黑体" w:eastAsia="黑体"/>
          <w:b w:val="0"/>
        </w:rPr>
      </w:pPr>
      <w:bookmarkStart w:id="9" w:name="_Toc15396605"/>
      <w:bookmarkStart w:id="10"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9"/>
      <w:bookmarkEnd w:id="10"/>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342.66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342.66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9"/>
          <w:rFonts w:ascii="黑体" w:hAnsi="黑体" w:eastAsia="黑体"/>
          <w:b w:val="0"/>
        </w:rPr>
      </w:pPr>
      <w:bookmarkStart w:id="11" w:name="_Toc79163613"/>
      <w:bookmarkStart w:id="12" w:name="_Toc15377208"/>
      <w:bookmarkStart w:id="13" w:name="_Toc79163863"/>
      <w:bookmarkStart w:id="14" w:name="_Toc15396606"/>
      <w:r>
        <w:rPr>
          <w:rFonts w:hint="eastAsia" w:ascii="黑体" w:hAnsi="黑体" w:eastAsia="黑体"/>
          <w:color w:val="000000"/>
          <w:sz w:val="32"/>
          <w:szCs w:val="32"/>
        </w:rPr>
        <w:t>四、财</w:t>
      </w:r>
      <w:r>
        <w:rPr>
          <w:rStyle w:val="29"/>
          <w:rFonts w:hint="eastAsia" w:ascii="黑体" w:hAnsi="黑体" w:eastAsia="黑体"/>
        </w:rPr>
        <w:t>政拨款收入支出决算总体情况说明</w:t>
      </w:r>
      <w:bookmarkEnd w:id="11"/>
      <w:bookmarkEnd w:id="12"/>
      <w:bookmarkEnd w:id="13"/>
      <w:bookmarkEnd w:id="1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均为342.66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年相比财政拨款收、支总计增加</w:t>
      </w:r>
      <w:r>
        <w:rPr>
          <w:rFonts w:hint="eastAsia" w:ascii="仿宋" w:hAnsi="仿宋" w:eastAsia="仿宋"/>
          <w:color w:val="000000"/>
          <w:sz w:val="32"/>
          <w:szCs w:val="32"/>
          <w:lang w:val="en-US" w:eastAsia="zh-CN"/>
        </w:rPr>
        <w:t>23.05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增长7.21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ind w:firstLine="641"/>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outlineLvl w:val="1"/>
        <w:rPr>
          <w:rStyle w:val="29"/>
          <w:rFonts w:ascii="黑体" w:hAnsi="黑体" w:eastAsia="黑体"/>
          <w:b w:val="0"/>
        </w:rPr>
      </w:pPr>
      <w:bookmarkStart w:id="15" w:name="_Toc79163864"/>
      <w:bookmarkStart w:id="16" w:name="_Toc79163614"/>
      <w:bookmarkStart w:id="17" w:name="_Toc15377209"/>
      <w:bookmarkStart w:id="18"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rPr>
        <w:t>般公共预算财政拨款支出决算情况说明</w:t>
      </w:r>
      <w:bookmarkEnd w:id="15"/>
      <w:bookmarkEnd w:id="16"/>
      <w:bookmarkEnd w:id="17"/>
      <w:bookmarkEnd w:id="18"/>
    </w:p>
    <w:p>
      <w:pPr>
        <w:spacing w:line="600" w:lineRule="exact"/>
        <w:ind w:firstLine="643" w:firstLineChars="200"/>
        <w:outlineLvl w:val="2"/>
        <w:rPr>
          <w:rFonts w:ascii="仿宋" w:hAnsi="仿宋" w:eastAsia="仿宋"/>
          <w:b/>
          <w:color w:val="000000"/>
          <w:sz w:val="32"/>
          <w:szCs w:val="32"/>
        </w:rPr>
      </w:pPr>
      <w:bookmarkStart w:id="19" w:name="_Toc15377210"/>
      <w:bookmarkStart w:id="20" w:name="_Toc79163615"/>
      <w:bookmarkStart w:id="21" w:name="_Toc79163865"/>
      <w:r>
        <w:rPr>
          <w:rFonts w:hint="eastAsia" w:ascii="仿宋" w:hAnsi="仿宋" w:eastAsia="仿宋"/>
          <w:b/>
          <w:color w:val="000000"/>
          <w:sz w:val="32"/>
          <w:szCs w:val="32"/>
        </w:rPr>
        <w:t>（一）一般公共预算财政拨款支出决算总体情况</w:t>
      </w:r>
      <w:bookmarkEnd w:id="19"/>
      <w:bookmarkEnd w:id="20"/>
      <w:bookmarkEnd w:id="21"/>
    </w:p>
    <w:p>
      <w:pPr>
        <w:spacing w:line="600" w:lineRule="exact"/>
        <w:ind w:firstLine="640" w:firstLineChars="200"/>
        <w:rPr>
          <w:rFonts w:hint="eastAsia" w:ascii="仿宋_GB2312" w:eastAsia="仿宋_GB2312" w:cs="Times New Roman"/>
          <w:color w:val="000000"/>
          <w:kern w:val="2"/>
          <w:sz w:val="32"/>
          <w:szCs w:val="32"/>
          <w:lang w:val="en-US" w:eastAsia="zh-CN" w:bidi="ar-SA"/>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342.66</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23.05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增长7.21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s="Times New Roman"/>
          <w:color w:val="000000"/>
          <w:kern w:val="2"/>
          <w:sz w:val="32"/>
          <w:szCs w:val="32"/>
          <w:lang w:val="en-US" w:eastAsia="zh-CN" w:bidi="ar-SA"/>
        </w:rPr>
        <w:t>主要变动原因是人员变动、工资正常晋升等。</w:t>
      </w:r>
    </w:p>
    <w:p>
      <w:pPr>
        <w:pStyle w:val="2"/>
        <w:rPr>
          <w:rFonts w:hint="eastAsia" w:ascii="仿宋_GB2312" w:eastAsia="仿宋_GB2312" w:cs="Times New Roman"/>
          <w:color w:val="000000"/>
          <w:kern w:val="2"/>
          <w:sz w:val="32"/>
          <w:szCs w:val="32"/>
          <w:lang w:val="en-US" w:eastAsia="zh-CN" w:bidi="ar-SA"/>
        </w:rPr>
      </w:pPr>
    </w:p>
    <w:p>
      <w:pPr>
        <w:pStyle w:val="3"/>
        <w:rPr>
          <w:rFonts w:hint="eastAsia"/>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22" w:name="_Toc79163616"/>
      <w:bookmarkStart w:id="23" w:name="_Toc79163866"/>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22"/>
      <w:bookmarkEnd w:id="23"/>
    </w:p>
    <w:p>
      <w:pPr>
        <w:spacing w:line="600" w:lineRule="exact"/>
        <w:ind w:firstLine="640"/>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年一般公共预算财政拨款支出</w:t>
      </w:r>
      <w:r>
        <w:rPr>
          <w:rFonts w:hint="eastAsia" w:ascii="仿宋" w:hAnsi="仿宋" w:eastAsia="仿宋"/>
          <w:color w:val="000000"/>
          <w:sz w:val="32"/>
          <w:szCs w:val="32"/>
          <w:lang w:val="en-US" w:eastAsia="zh-CN"/>
        </w:rPr>
        <w:t>342.66</w:t>
      </w:r>
      <w:r>
        <w:rPr>
          <w:rFonts w:hint="eastAsia" w:ascii="仿宋_GB2312" w:hAnsi="仿宋" w:eastAsia="仿宋_GB2312"/>
          <w:color w:val="000000"/>
          <w:sz w:val="32"/>
          <w:szCs w:val="32"/>
        </w:rPr>
        <w:t>万元，主要用于以下方面:</w:t>
      </w:r>
      <w:r>
        <w:rPr>
          <w:rFonts w:hint="eastAsia" w:ascii="仿宋_GB2312" w:hAnsi="仿宋" w:eastAsia="仿宋_GB2312"/>
          <w:b/>
          <w:color w:val="000000"/>
          <w:sz w:val="32"/>
          <w:szCs w:val="32"/>
        </w:rPr>
        <w:t>社会保障和就业</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298.31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87.06</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卫生健康支出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19.88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5.8</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住房保障支出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24.47</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7.14</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5080" t="4445" r="4445" b="2349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color w:val="000000"/>
          <w:sz w:val="32"/>
          <w:szCs w:val="32"/>
        </w:rPr>
      </w:pPr>
      <w:bookmarkStart w:id="24" w:name="_Toc79163617"/>
      <w:bookmarkStart w:id="25" w:name="_Toc79163867"/>
      <w:bookmarkStart w:id="26" w:name="_Toc15377212"/>
      <w:bookmarkStart w:id="27" w:name="_Toc15377214"/>
      <w:bookmarkStart w:id="28" w:name="_Toc15396608"/>
      <w:r>
        <w:rPr>
          <w:rFonts w:hint="eastAsia" w:ascii="仿宋" w:hAnsi="仿宋" w:eastAsia="仿宋"/>
          <w:b/>
          <w:color w:val="000000"/>
          <w:sz w:val="32"/>
          <w:szCs w:val="32"/>
        </w:rPr>
        <w:t>（三）一般公共预算财政拨款支出决算具体情况</w:t>
      </w:r>
      <w:bookmarkEnd w:id="24"/>
      <w:bookmarkEnd w:id="25"/>
      <w:bookmarkEnd w:id="26"/>
    </w:p>
    <w:p>
      <w:pPr>
        <w:spacing w:line="600" w:lineRule="exact"/>
        <w:ind w:firstLine="640" w:firstLineChars="200"/>
        <w:rPr>
          <w:rFonts w:ascii="仿宋_GB2312" w:hAnsi="仿宋" w:eastAsia="仿宋_GB2312"/>
          <w:color w:val="000000"/>
          <w:sz w:val="32"/>
          <w:szCs w:val="32"/>
        </w:rPr>
      </w:pPr>
      <w:bookmarkStart w:id="29" w:name="_Toc15378460"/>
      <w:bookmarkStart w:id="30" w:name="_Toc15377444"/>
      <w:bookmarkStart w:id="31" w:name="_Toc15377213"/>
      <w:r>
        <w:rPr>
          <w:rFonts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年一般公共预算支出决算数为</w:t>
      </w:r>
      <w:r>
        <w:rPr>
          <w:rFonts w:hint="eastAsia" w:ascii="仿宋" w:hAnsi="仿宋" w:eastAsia="仿宋"/>
          <w:color w:val="000000"/>
          <w:sz w:val="32"/>
          <w:szCs w:val="32"/>
          <w:lang w:val="en-US" w:eastAsia="zh-CN"/>
        </w:rPr>
        <w:t>342.66</w:t>
      </w:r>
      <w:r>
        <w:rPr>
          <w:rFonts w:hint="eastAsia" w:ascii="仿宋" w:hAnsi="仿宋" w:eastAsia="仿宋"/>
          <w:color w:val="000000"/>
          <w:sz w:val="32"/>
          <w:szCs w:val="32"/>
        </w:rPr>
        <w:t>万元</w:t>
      </w:r>
      <w:r>
        <w:rPr>
          <w:rFonts w:hint="eastAsia" w:ascii="仿宋_GB2312" w:hAnsi="仿宋" w:eastAsia="仿宋_GB2312"/>
          <w:color w:val="000000"/>
          <w:sz w:val="32"/>
          <w:szCs w:val="32"/>
        </w:rPr>
        <w:t>，完成预算100</w:t>
      </w:r>
      <w:r>
        <w:rPr>
          <w:rFonts w:ascii="仿宋_GB2312" w:hAnsi="仿宋" w:eastAsia="仿宋_GB2312"/>
          <w:color w:val="000000"/>
          <w:sz w:val="32"/>
          <w:szCs w:val="32"/>
        </w:rPr>
        <w:t>%</w:t>
      </w:r>
      <w:r>
        <w:rPr>
          <w:rFonts w:hint="eastAsia" w:ascii="仿宋_GB2312" w:hAnsi="仿宋" w:eastAsia="仿宋_GB2312"/>
          <w:color w:val="000000"/>
          <w:sz w:val="32"/>
          <w:szCs w:val="32"/>
        </w:rPr>
        <w:t>。其中：</w:t>
      </w:r>
      <w:bookmarkEnd w:id="29"/>
      <w:bookmarkEnd w:id="30"/>
      <w:bookmarkEnd w:id="31"/>
    </w:p>
    <w:bookmarkEnd w:id="27"/>
    <w:bookmarkEnd w:id="28"/>
    <w:p>
      <w:pPr>
        <w:spacing w:line="576" w:lineRule="exact"/>
        <w:ind w:firstLine="643" w:firstLineChars="200"/>
        <w:rPr>
          <w:rStyle w:val="17"/>
          <w:rFonts w:ascii="仿宋_GB2312" w:hAnsi="仿宋" w:eastAsia="仿宋_GB2312"/>
          <w:b w:val="0"/>
          <w:bCs/>
          <w:color w:val="000000"/>
          <w:sz w:val="32"/>
          <w:szCs w:val="32"/>
        </w:rPr>
      </w:pPr>
      <w:bookmarkStart w:id="32" w:name="_Toc79163618"/>
      <w:bookmarkStart w:id="33" w:name="_Toc79163868"/>
      <w:bookmarkStart w:id="34" w:name="_Toc15396609"/>
      <w:bookmarkStart w:id="35" w:name="_Toc15377215"/>
      <w:r>
        <w:rPr>
          <w:rStyle w:val="17"/>
          <w:rFonts w:ascii="仿宋" w:hAnsi="仿宋" w:eastAsia="仿宋"/>
          <w:bCs/>
          <w:color w:val="000000"/>
          <w:sz w:val="32"/>
          <w:szCs w:val="32"/>
        </w:rPr>
        <w:t>1.</w:t>
      </w:r>
      <w:r>
        <w:rPr>
          <w:rFonts w:hint="eastAsia" w:ascii="仿宋_GB2312" w:eastAsia="仿宋_GB2312"/>
          <w:b/>
          <w:bCs/>
          <w:sz w:val="32"/>
          <w:szCs w:val="32"/>
        </w:rPr>
        <w:t>社会保障和就业支出（</w:t>
      </w:r>
      <w:r>
        <w:rPr>
          <w:rFonts w:hint="eastAsia" w:ascii="仿宋_GB2312" w:hAnsi="仿宋" w:eastAsia="仿宋_GB2312"/>
          <w:b/>
          <w:color w:val="000000"/>
          <w:sz w:val="32"/>
          <w:szCs w:val="32"/>
        </w:rPr>
        <w:t>类</w:t>
      </w:r>
      <w:r>
        <w:rPr>
          <w:rFonts w:hint="eastAsia" w:ascii="仿宋_GB2312" w:eastAsia="仿宋_GB2312"/>
          <w:b/>
          <w:bCs/>
          <w:sz w:val="32"/>
          <w:szCs w:val="32"/>
        </w:rPr>
        <w:t>）人力资源和社会保障管理事务（款）事业运行（项）</w:t>
      </w:r>
      <w:r>
        <w:rPr>
          <w:rStyle w:val="17"/>
          <w:rFonts w:ascii="仿宋" w:hAnsi="仿宋" w:eastAsia="仿宋"/>
          <w:bCs/>
          <w:color w:val="000000"/>
          <w:sz w:val="32"/>
          <w:szCs w:val="32"/>
        </w:rPr>
        <w:t xml:space="preserve">: </w:t>
      </w:r>
      <w:r>
        <w:rPr>
          <w:rStyle w:val="17"/>
          <w:rFonts w:hint="eastAsia" w:ascii="仿宋_GB2312" w:hAnsi="仿宋" w:eastAsia="仿宋_GB2312"/>
          <w:b w:val="0"/>
          <w:bCs/>
          <w:color w:val="000000"/>
          <w:sz w:val="32"/>
          <w:szCs w:val="32"/>
        </w:rPr>
        <w:t>支出决算为</w:t>
      </w:r>
      <w:r>
        <w:rPr>
          <w:rStyle w:val="17"/>
          <w:rFonts w:hint="eastAsia" w:ascii="仿宋_GB2312" w:hAnsi="仿宋" w:eastAsia="仿宋_GB2312"/>
          <w:b w:val="0"/>
          <w:bCs/>
          <w:color w:val="000000"/>
          <w:sz w:val="32"/>
          <w:szCs w:val="32"/>
          <w:lang w:val="en-US" w:eastAsia="zh-CN"/>
        </w:rPr>
        <w:t>249.87</w:t>
      </w:r>
      <w:r>
        <w:rPr>
          <w:rStyle w:val="17"/>
          <w:rFonts w:hint="eastAsia" w:ascii="仿宋_GB2312" w:hAnsi="仿宋" w:eastAsia="仿宋_GB2312"/>
          <w:b w:val="0"/>
          <w:bCs/>
          <w:color w:val="000000"/>
          <w:sz w:val="32"/>
          <w:szCs w:val="32"/>
        </w:rPr>
        <w:t>万元，完成预算100%，决算数等于预算数的主要原因是用于事业单位日常经费开支。</w:t>
      </w:r>
    </w:p>
    <w:p>
      <w:pPr>
        <w:spacing w:line="576" w:lineRule="exact"/>
        <w:ind w:firstLine="643" w:firstLineChars="200"/>
        <w:rPr>
          <w:rStyle w:val="17"/>
          <w:rFonts w:ascii="仿宋_GB2312" w:hAnsi="仿宋_GB2312" w:eastAsia="仿宋_GB2312" w:cs="仿宋_GB2312"/>
          <w:bCs/>
          <w:color w:val="000000"/>
          <w:sz w:val="32"/>
          <w:szCs w:val="32"/>
        </w:rPr>
      </w:pPr>
      <w:r>
        <w:rPr>
          <w:rStyle w:val="17"/>
          <w:rFonts w:ascii="仿宋" w:hAnsi="仿宋" w:eastAsia="仿宋"/>
          <w:bCs/>
          <w:color w:val="000000"/>
          <w:sz w:val="32"/>
          <w:szCs w:val="32"/>
        </w:rPr>
        <w:t>2.</w:t>
      </w:r>
      <w:r>
        <w:rPr>
          <w:rStyle w:val="17"/>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7"/>
          <w:rFonts w:hint="eastAsia" w:ascii="仿宋_GB2312" w:hAnsi="仿宋_GB2312" w:eastAsia="仿宋_GB2312" w:cs="仿宋_GB2312"/>
          <w:bCs/>
          <w:color w:val="000000"/>
          <w:sz w:val="32"/>
          <w:szCs w:val="32"/>
        </w:rPr>
        <w:t>）行政事业单位养老支出（款）机关事业单位基本养老保险缴费支出（项）</w:t>
      </w:r>
      <w:r>
        <w:rPr>
          <w:rStyle w:val="17"/>
          <w:rFonts w:ascii="仿宋" w:hAnsi="仿宋" w:eastAsia="仿宋"/>
          <w:bCs/>
          <w:color w:val="000000"/>
          <w:sz w:val="32"/>
          <w:szCs w:val="32"/>
        </w:rPr>
        <w:t>:</w:t>
      </w:r>
      <w:r>
        <w:rPr>
          <w:rStyle w:val="17"/>
          <w:rFonts w:hint="eastAsia" w:ascii="仿宋_GB2312" w:hAnsi="仿宋" w:eastAsia="仿宋_GB2312"/>
          <w:b w:val="0"/>
          <w:bCs/>
          <w:color w:val="000000"/>
          <w:sz w:val="32"/>
          <w:szCs w:val="32"/>
        </w:rPr>
        <w:t>支出决算为</w:t>
      </w:r>
      <w:r>
        <w:rPr>
          <w:rStyle w:val="17"/>
          <w:rFonts w:hint="eastAsia" w:ascii="仿宋_GB2312" w:hAnsi="仿宋" w:eastAsia="仿宋_GB2312"/>
          <w:b w:val="0"/>
          <w:bCs/>
          <w:color w:val="000000"/>
          <w:sz w:val="32"/>
          <w:szCs w:val="32"/>
          <w:lang w:val="en-US" w:eastAsia="zh-CN"/>
        </w:rPr>
        <w:t>32.29</w:t>
      </w:r>
      <w:r>
        <w:rPr>
          <w:rStyle w:val="17"/>
          <w:rFonts w:hint="eastAsia" w:ascii="仿宋_GB2312" w:hAnsi="仿宋" w:eastAsia="仿宋_GB2312"/>
          <w:b w:val="0"/>
          <w:bCs/>
          <w:color w:val="000000"/>
          <w:sz w:val="32"/>
          <w:szCs w:val="32"/>
        </w:rPr>
        <w:t>万元，完成预算100%，决算数等于预算数的主要原因是用于单位缴纳养老保险。</w:t>
      </w:r>
    </w:p>
    <w:p>
      <w:pPr>
        <w:spacing w:line="576" w:lineRule="exact"/>
        <w:ind w:firstLine="643" w:firstLineChars="200"/>
        <w:rPr>
          <w:rFonts w:ascii="仿宋_GB2312" w:hAnsi="仿宋_GB2312" w:eastAsia="仿宋_GB2312" w:cs="仿宋_GB2312"/>
          <w:sz w:val="32"/>
          <w:szCs w:val="32"/>
        </w:rPr>
      </w:pPr>
      <w:r>
        <w:rPr>
          <w:rStyle w:val="17"/>
          <w:rFonts w:hint="eastAsia" w:ascii="仿宋" w:hAnsi="仿宋" w:eastAsia="仿宋"/>
          <w:bCs/>
          <w:color w:val="000000"/>
          <w:sz w:val="32"/>
          <w:szCs w:val="32"/>
        </w:rPr>
        <w:t>3</w:t>
      </w:r>
      <w:r>
        <w:rPr>
          <w:rStyle w:val="17"/>
          <w:rFonts w:ascii="仿宋" w:hAnsi="仿宋" w:eastAsia="仿宋"/>
          <w:bCs/>
          <w:color w:val="000000"/>
          <w:sz w:val="32"/>
          <w:szCs w:val="32"/>
        </w:rPr>
        <w:t>.</w:t>
      </w:r>
      <w:r>
        <w:rPr>
          <w:rStyle w:val="17"/>
          <w:rFonts w:hint="eastAsia" w:ascii="仿宋_GB2312" w:hAnsi="仿宋_GB2312" w:eastAsia="仿宋_GB2312" w:cs="仿宋_GB2312"/>
          <w:bCs/>
          <w:color w:val="000000"/>
          <w:sz w:val="32"/>
          <w:szCs w:val="32"/>
        </w:rPr>
        <w:t>社会保障和就业支出（</w:t>
      </w:r>
      <w:r>
        <w:rPr>
          <w:rFonts w:hint="eastAsia" w:ascii="仿宋_GB2312" w:hAnsi="仿宋" w:eastAsia="仿宋_GB2312"/>
          <w:b/>
          <w:color w:val="000000"/>
          <w:sz w:val="32"/>
          <w:szCs w:val="32"/>
        </w:rPr>
        <w:t>类</w:t>
      </w:r>
      <w:r>
        <w:rPr>
          <w:rStyle w:val="17"/>
          <w:rFonts w:hint="eastAsia" w:ascii="仿宋_GB2312" w:hAnsi="仿宋_GB2312" w:eastAsia="仿宋_GB2312" w:cs="仿宋_GB2312"/>
          <w:bCs/>
          <w:color w:val="000000"/>
          <w:sz w:val="32"/>
          <w:szCs w:val="32"/>
        </w:rPr>
        <w:t>）行政事业单位养老支出（款）机关事业单位职业年金缴费支出（项）</w:t>
      </w:r>
      <w:r>
        <w:rPr>
          <w:rStyle w:val="17"/>
          <w:rFonts w:ascii="仿宋" w:hAnsi="仿宋" w:eastAsia="仿宋"/>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16.15</w:t>
      </w:r>
      <w:r>
        <w:rPr>
          <w:rFonts w:hint="eastAsia" w:ascii="仿宋_GB2312" w:hAnsi="仿宋_GB2312" w:eastAsia="仿宋_GB2312" w:cs="仿宋_GB2312"/>
          <w:sz w:val="32"/>
          <w:szCs w:val="32"/>
        </w:rPr>
        <w:t>万元，完成预算100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，决算数等于预算数的主要原因是用于单位缴纳职业年金。</w:t>
      </w:r>
    </w:p>
    <w:p>
      <w:pPr>
        <w:spacing w:line="576" w:lineRule="exact"/>
        <w:ind w:firstLine="643" w:firstLineChars="200"/>
        <w:rPr>
          <w:rFonts w:ascii="仿宋_GB2312" w:hAnsi="仿宋_GB2312" w:eastAsia="仿宋_GB2312" w:cs="仿宋_GB2312"/>
          <w:sz w:val="32"/>
          <w:szCs w:val="32"/>
        </w:rPr>
      </w:pPr>
      <w:r>
        <w:rPr>
          <w:rStyle w:val="17"/>
          <w:rFonts w:hint="eastAsia" w:ascii="仿宋_GB2312" w:hAnsi="仿宋_GB2312" w:eastAsia="仿宋_GB2312" w:cs="仿宋_GB2312"/>
          <w:bCs/>
          <w:color w:val="000000"/>
          <w:sz w:val="32"/>
          <w:szCs w:val="32"/>
        </w:rPr>
        <w:t>4.医疗卫生与计划生育（</w:t>
      </w:r>
      <w:r>
        <w:rPr>
          <w:rFonts w:hint="eastAsia" w:ascii="仿宋_GB2312" w:hAnsi="仿宋" w:eastAsia="仿宋_GB2312"/>
          <w:b/>
          <w:color w:val="000000"/>
          <w:sz w:val="32"/>
          <w:szCs w:val="32"/>
        </w:rPr>
        <w:t>类</w:t>
      </w:r>
      <w:r>
        <w:rPr>
          <w:rStyle w:val="17"/>
          <w:rFonts w:hint="eastAsia" w:ascii="仿宋_GB2312" w:hAnsi="仿宋_GB2312" w:eastAsia="仿宋_GB2312" w:cs="仿宋_GB2312"/>
          <w:bCs/>
          <w:color w:val="000000"/>
          <w:sz w:val="32"/>
          <w:szCs w:val="32"/>
        </w:rPr>
        <w:t>）行政事业单位医疗（款）事业单位医疗（项）: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19.88</w:t>
      </w:r>
      <w:r>
        <w:rPr>
          <w:rFonts w:hint="eastAsia" w:ascii="仿宋_GB2312" w:hAnsi="仿宋_GB2312" w:eastAsia="仿宋_GB2312" w:cs="仿宋_GB2312"/>
          <w:sz w:val="32"/>
          <w:szCs w:val="32"/>
        </w:rPr>
        <w:t>万元，完成预算100%，决算数等于预算数的主要原因是用于事业单位缴纳基本医疗保险。</w:t>
      </w:r>
    </w:p>
    <w:p>
      <w:pPr>
        <w:tabs>
          <w:tab w:val="right" w:pos="8306"/>
        </w:tabs>
        <w:spacing w:line="576" w:lineRule="exact"/>
        <w:ind w:firstLine="640"/>
        <w:outlineLvl w:val="1"/>
        <w:rPr>
          <w:rFonts w:ascii="仿宋_GB2312" w:hAnsi="仿宋_GB2312" w:eastAsia="仿宋_GB2312" w:cs="仿宋_GB2312"/>
          <w:sz w:val="32"/>
          <w:szCs w:val="32"/>
        </w:rPr>
      </w:pPr>
      <w:r>
        <w:rPr>
          <w:rStyle w:val="17"/>
          <w:rFonts w:hint="eastAsia" w:ascii="仿宋" w:hAnsi="仿宋" w:eastAsia="仿宋"/>
          <w:bCs/>
          <w:color w:val="000000"/>
          <w:sz w:val="32"/>
          <w:szCs w:val="32"/>
        </w:rPr>
        <w:t>5.</w:t>
      </w:r>
      <w:r>
        <w:rPr>
          <w:rStyle w:val="17"/>
          <w:rFonts w:hint="eastAsia" w:ascii="仿宋_GB2312" w:hAnsi="仿宋_GB2312" w:eastAsia="仿宋_GB2312" w:cs="仿宋_GB2312"/>
          <w:bCs/>
          <w:color w:val="000000"/>
          <w:sz w:val="32"/>
          <w:szCs w:val="32"/>
        </w:rPr>
        <w:t>住房保障（类）住房改革（款）住房公积金（项）：</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24.47</w:t>
      </w:r>
      <w:r>
        <w:rPr>
          <w:rFonts w:hint="eastAsia" w:ascii="仿宋_GB2312" w:hAnsi="仿宋_GB2312" w:eastAsia="仿宋_GB2312" w:cs="仿宋_GB2312"/>
          <w:sz w:val="32"/>
          <w:szCs w:val="32"/>
        </w:rPr>
        <w:t>万元，完成预</w:t>
      </w:r>
      <w:r>
        <w:rPr>
          <w:rFonts w:hint="eastAsia" w:ascii="仿宋_GB2312" w:hAnsi="仿宋_GB2312" w:eastAsia="仿宋_GB2312" w:cs="仿宋_GB2312"/>
          <w:sz w:val="32"/>
          <w:szCs w:val="32"/>
          <w:lang w:val="en-US" w:eastAsia="zh-CN"/>
        </w:rPr>
        <w:t>算</w:t>
      </w:r>
      <w:r>
        <w:rPr>
          <w:rFonts w:hint="eastAsia" w:ascii="仿宋_GB2312" w:hAnsi="仿宋_GB2312" w:eastAsia="仿宋_GB2312" w:cs="仿宋_GB2312"/>
          <w:sz w:val="32"/>
          <w:szCs w:val="32"/>
        </w:rPr>
        <w:t>100%，决算数等于预算数的主要</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lang w:val="en-US" w:eastAsia="zh-CN"/>
        </w:rPr>
        <w:t>用于事业</w:t>
      </w:r>
      <w:r>
        <w:rPr>
          <w:rFonts w:hint="eastAsia" w:ascii="仿宋_GB2312" w:hAnsi="仿宋_GB2312" w:eastAsia="仿宋_GB2312" w:cs="仿宋_GB2312"/>
          <w:sz w:val="32"/>
          <w:szCs w:val="32"/>
        </w:rPr>
        <w:t>单位为职工缴纳住房公积金。</w:t>
      </w:r>
    </w:p>
    <w:p>
      <w:pPr>
        <w:tabs>
          <w:tab w:val="right" w:pos="8306"/>
        </w:tabs>
        <w:spacing w:line="600" w:lineRule="exact"/>
        <w:ind w:firstLine="640" w:firstLineChars="200"/>
        <w:outlineLvl w:val="1"/>
        <w:rPr>
          <w:rStyle w:val="2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rPr>
        <w:t>般公共预算财政拨款基本支出决算情况说明</w:t>
      </w:r>
      <w:bookmarkEnd w:id="32"/>
      <w:bookmarkEnd w:id="33"/>
      <w:r>
        <w:rPr>
          <w:rStyle w:val="29"/>
          <w:rFonts w:ascii="黑体" w:hAnsi="黑体" w:eastAsia="黑体"/>
        </w:rPr>
        <w:tab/>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342.66</w:t>
      </w:r>
      <w:r>
        <w:rPr>
          <w:rFonts w:hint="eastAsia" w:ascii="仿宋_GB2312" w:hAnsi="仿宋_GB2312" w:eastAsia="仿宋_GB2312" w:cs="仿宋_GB2312"/>
          <w:sz w:val="32"/>
          <w:szCs w:val="32"/>
        </w:rPr>
        <w:t>万元，其中：</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331.45</w:t>
      </w:r>
      <w:r>
        <w:rPr>
          <w:rFonts w:hint="eastAsia" w:ascii="仿宋_GB2312" w:hAnsi="仿宋_GB2312" w:eastAsia="仿宋_GB2312"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日常公用经费</w:t>
      </w:r>
      <w:r>
        <w:rPr>
          <w:rFonts w:hint="eastAsia" w:ascii="仿宋_GB2312" w:hAnsi="仿宋_GB2312" w:eastAsia="仿宋_GB2312" w:cs="仿宋_GB2312"/>
          <w:sz w:val="32"/>
          <w:szCs w:val="32"/>
          <w:lang w:val="en-US" w:eastAsia="zh-CN"/>
        </w:rPr>
        <w:t>11.21</w:t>
      </w:r>
      <w:r>
        <w:rPr>
          <w:rFonts w:hint="eastAsia" w:ascii="仿宋_GB2312" w:hAnsi="仿宋_GB2312" w:eastAsia="仿宋_GB2312" w:cs="仿宋_GB2312"/>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34"/>
    <w:bookmarkEnd w:id="35"/>
    <w:p>
      <w:pPr>
        <w:spacing w:line="600" w:lineRule="exact"/>
        <w:ind w:firstLine="640"/>
        <w:outlineLvl w:val="1"/>
        <w:rPr>
          <w:rStyle w:val="29"/>
          <w:rFonts w:ascii="黑体" w:hAnsi="黑体" w:eastAsia="黑体"/>
          <w:b w:val="0"/>
        </w:rPr>
      </w:pPr>
      <w:bookmarkStart w:id="36" w:name="_Toc79163619"/>
      <w:bookmarkStart w:id="37" w:name="_Toc79163869"/>
      <w:bookmarkStart w:id="38" w:name="_Toc15377217"/>
      <w:r>
        <w:rPr>
          <w:rFonts w:hint="eastAsia" w:ascii="黑体" w:eastAsia="黑体"/>
          <w:color w:val="000000"/>
          <w:sz w:val="32"/>
          <w:szCs w:val="32"/>
        </w:rPr>
        <w:t>七、</w:t>
      </w:r>
      <w:r>
        <w:rPr>
          <w:rStyle w:val="29"/>
          <w:rFonts w:hint="eastAsia" w:ascii="黑体" w:hAnsi="黑体" w:eastAsia="黑体"/>
        </w:rPr>
        <w:t>财政拨款“三公”经费支出决算情况说明</w:t>
      </w:r>
      <w:bookmarkEnd w:id="36"/>
      <w:bookmarkEnd w:id="37"/>
    </w:p>
    <w:p>
      <w:pPr>
        <w:spacing w:line="600" w:lineRule="exact"/>
        <w:ind w:firstLine="640"/>
        <w:outlineLvl w:val="2"/>
        <w:rPr>
          <w:rFonts w:ascii="仿宋" w:hAnsi="仿宋" w:eastAsia="仿宋"/>
          <w:b/>
          <w:color w:val="000000"/>
          <w:sz w:val="32"/>
          <w:szCs w:val="32"/>
        </w:rPr>
      </w:pPr>
      <w:bookmarkStart w:id="39" w:name="_Toc15377216"/>
      <w:bookmarkStart w:id="40" w:name="_Toc79163620"/>
      <w:bookmarkStart w:id="41" w:name="_Toc79163870"/>
      <w:r>
        <w:rPr>
          <w:rFonts w:hint="eastAsia" w:ascii="仿宋" w:hAnsi="仿宋" w:eastAsia="仿宋"/>
          <w:b/>
          <w:color w:val="000000"/>
          <w:sz w:val="32"/>
          <w:szCs w:val="32"/>
        </w:rPr>
        <w:t>（一）“三公”经费财政拨款支出决算总体情况说明</w:t>
      </w:r>
      <w:bookmarkEnd w:id="39"/>
      <w:bookmarkEnd w:id="40"/>
      <w:bookmarkEnd w:id="41"/>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0.42</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lang w:eastAsia="zh-CN"/>
        </w:rPr>
        <w:t>较上年度增加</w:t>
      </w:r>
      <w:r>
        <w:rPr>
          <w:rFonts w:hint="eastAsia" w:ascii="仿宋_GB2312" w:hAnsi="仿宋_GB2312" w:eastAsia="仿宋_GB2312" w:cs="仿宋_GB2312"/>
          <w:sz w:val="32"/>
          <w:szCs w:val="32"/>
          <w:lang w:val="en-US" w:eastAsia="zh-CN"/>
        </w:rPr>
        <w:t>0.03万元，增长7.69%</w:t>
      </w:r>
      <w:r>
        <w:rPr>
          <w:rFonts w:hint="eastAsia" w:ascii="仿宋_GB2312" w:hAnsi="仿宋_GB2312" w:eastAsia="仿宋_GB2312" w:cs="仿宋_GB2312"/>
          <w:sz w:val="32"/>
          <w:szCs w:val="32"/>
        </w:rPr>
        <w:t>。决算数与预算数持平的主要原因是</w:t>
      </w:r>
      <w:r>
        <w:rPr>
          <w:rFonts w:hint="eastAsia" w:ascii="仿宋_GB2312" w:hAnsi="仿宋_GB2312" w:eastAsia="仿宋_GB2312" w:cs="仿宋_GB2312"/>
          <w:sz w:val="32"/>
          <w:szCs w:val="32"/>
          <w:lang w:val="en-US" w:eastAsia="zh-CN"/>
        </w:rPr>
        <w:t>坚持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过紧日子</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的要求，</w:t>
      </w:r>
      <w:r>
        <w:rPr>
          <w:rFonts w:hint="eastAsia" w:ascii="仿宋_GB2312" w:hAnsi="仿宋_GB2312" w:eastAsia="仿宋_GB2312" w:cs="仿宋_GB2312"/>
          <w:sz w:val="32"/>
          <w:szCs w:val="32"/>
        </w:rPr>
        <w:t>厉行节约。</w:t>
      </w:r>
    </w:p>
    <w:bookmarkEnd w:id="38"/>
    <w:p>
      <w:pPr>
        <w:spacing w:line="600" w:lineRule="exact"/>
        <w:ind w:firstLine="640"/>
        <w:outlineLvl w:val="2"/>
        <w:rPr>
          <w:rFonts w:ascii="仿宋" w:hAnsi="仿宋" w:eastAsia="仿宋"/>
          <w:b/>
          <w:color w:val="000000"/>
          <w:sz w:val="32"/>
          <w:szCs w:val="32"/>
        </w:rPr>
      </w:pPr>
      <w:bookmarkStart w:id="42" w:name="_Toc79163621"/>
      <w:bookmarkStart w:id="43" w:name="_Toc79163871"/>
      <w:r>
        <w:rPr>
          <w:rFonts w:hint="eastAsia" w:ascii="仿宋" w:hAnsi="仿宋" w:eastAsia="仿宋"/>
          <w:b/>
          <w:color w:val="000000"/>
          <w:sz w:val="32"/>
          <w:szCs w:val="32"/>
        </w:rPr>
        <w:t>（二）“三公”经费财政拨款支出决算具体情况说明</w:t>
      </w:r>
      <w:bookmarkEnd w:id="42"/>
      <w:bookmarkEnd w:id="43"/>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年“三公”经费财政拨款支出决算中，因公出国（境）费支出决算0万元，占0%；公务用车购置及运行维护费支出决算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0.42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pPr>
        <w:rPr>
          <w:rFonts w:hint="eastAsia" w:ascii="仿宋" w:hAnsi="仿宋" w:eastAsia="仿宋"/>
          <w:color w:val="000000"/>
          <w:sz w:val="32"/>
          <w:szCs w:val="32"/>
        </w:rPr>
      </w:pPr>
      <w:r>
        <w:rPr>
          <w:rFonts w:hint="eastAsia" w:eastAsia="仿宋"/>
          <w:lang w:val="en-US" w:eastAsia="zh-CN"/>
        </w:rPr>
        <w:t xml:space="preserve">       </w:t>
      </w:r>
      <w:r>
        <w:rPr>
          <w:rFonts w:hint="eastAsia" w:eastAsia="仿宋"/>
          <w:lang w:eastAsia="zh-CN"/>
        </w:rPr>
        <w:drawing>
          <wp:inline distT="0" distB="0" distL="114300" distR="114300">
            <wp:extent cx="4260850" cy="2211070"/>
            <wp:effectExtent l="4445" t="4445" r="20955"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仿宋_GB2312" w:hAnsi="仿宋_GB2312" w:eastAsia="仿宋_GB2312" w:cs="仿宋_GB2312"/>
          <w:sz w:val="32"/>
          <w:szCs w:val="32"/>
        </w:rPr>
      </w:pPr>
      <w:bookmarkStart w:id="44" w:name="_Toc15377218"/>
      <w:bookmarkStart w:id="45" w:name="_Toc15396610"/>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Cs/>
          <w:color w:val="000000"/>
          <w:sz w:val="32"/>
          <w:szCs w:val="32"/>
        </w:rPr>
        <w:t>完成预算0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w:t>
      </w:r>
      <w:r>
        <w:rPr>
          <w:rFonts w:hint="eastAsia" w:ascii="仿宋_GB2312" w:hAnsi="仿宋_GB2312" w:eastAsia="仿宋_GB2312" w:cs="仿宋_GB2312"/>
          <w:sz w:val="32"/>
          <w:szCs w:val="32"/>
        </w:rPr>
        <w:t>全年安排因公出国（境）团组0次，出国（境）0人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与上年比无变化</w:t>
      </w:r>
      <w:r>
        <w:rPr>
          <w:rFonts w:hint="eastAsia" w:ascii="仿宋_GB2312" w:hAnsi="仿宋_GB2312" w:eastAsia="仿宋_GB2312" w:cs="仿宋_GB2312"/>
          <w:sz w:val="32"/>
          <w:szCs w:val="32"/>
        </w:rPr>
        <w:t>。</w:t>
      </w:r>
    </w:p>
    <w:p>
      <w:pPr>
        <w:keepNext w:val="0"/>
        <w:keepLines w:val="0"/>
        <w:widowControl w:val="0"/>
        <w:suppressLineNumbers w:val="0"/>
        <w:spacing w:before="0" w:beforeAutospacing="0" w:after="0" w:afterAutospacing="0"/>
        <w:ind w:right="0" w:firstLine="643" w:firstLineChars="200"/>
        <w:jc w:val="both"/>
        <w:rPr>
          <w:rFonts w:hint="default" w:ascii="仿宋_GB2312" w:eastAsia="仿宋_GB2312"/>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0.42</w:t>
      </w:r>
      <w:r>
        <w:rPr>
          <w:rFonts w:hint="eastAsia" w:ascii="仿宋_GB2312" w:eastAsia="仿宋_GB2312"/>
          <w:color w:val="000000"/>
          <w:sz w:val="32"/>
          <w:szCs w:val="32"/>
        </w:rPr>
        <w:t>万元，</w:t>
      </w:r>
      <w:r>
        <w:rPr>
          <w:rStyle w:val="17"/>
          <w:rFonts w:hint="eastAsia" w:ascii="仿宋" w:hAnsi="仿宋" w:eastAsia="仿宋"/>
          <w:bCs/>
          <w:color w:val="000000"/>
          <w:sz w:val="32"/>
          <w:szCs w:val="32"/>
        </w:rPr>
        <w:t>完成预算100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增加0.03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w:t>
      </w:r>
      <w:r>
        <w:rPr>
          <w:rFonts w:hint="eastAsia" w:ascii="仿宋" w:hAnsi="仿宋" w:eastAsia="仿宋"/>
          <w:color w:val="auto"/>
          <w:sz w:val="32"/>
          <w:szCs w:val="32"/>
          <w:highlight w:val="none"/>
          <w:lang w:val="en-US" w:eastAsia="zh-CN"/>
        </w:rPr>
        <w:t>7.69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全面落实关于党政机关厉行勤俭节约，坚持</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过紧日子</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的要求，努力营造</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艰苦奋斗、勤俭节约</w:t>
      </w:r>
      <w:r>
        <w:rPr>
          <w:rFonts w:hint="default" w:ascii="仿宋_GB2312" w:eastAsia="仿宋_GB2312"/>
          <w:color w:val="000000"/>
          <w:sz w:val="32"/>
          <w:szCs w:val="32"/>
          <w:lang w:val="en-US" w:eastAsia="zh-CN"/>
        </w:rPr>
        <w:t>”</w:t>
      </w:r>
      <w:r>
        <w:rPr>
          <w:rFonts w:hint="eastAsia" w:ascii="仿宋_GB2312" w:eastAsia="仿宋_GB2312"/>
          <w:color w:val="000000"/>
          <w:sz w:val="32"/>
          <w:szCs w:val="32"/>
          <w:lang w:val="en-US" w:eastAsia="zh-CN"/>
        </w:rPr>
        <w:t>氛围，持续推进节约型单位建设</w:t>
      </w:r>
      <w:r>
        <w:rPr>
          <w:rFonts w:hint="eastAsia" w:ascii="仿宋_GB2312" w:eastAsia="仿宋_GB2312"/>
          <w:color w:val="000000"/>
          <w:sz w:val="32"/>
          <w:szCs w:val="32"/>
        </w:rPr>
        <w:t>。其中：</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0.42</w:t>
      </w:r>
      <w:r>
        <w:rPr>
          <w:rFonts w:hint="eastAsia" w:ascii="仿宋_GB2312" w:eastAsia="仿宋_GB2312"/>
          <w:color w:val="000000"/>
          <w:sz w:val="32"/>
          <w:szCs w:val="32"/>
        </w:rPr>
        <w:t>万元，主要用于主要用于执行公务、开展业务活动开支的交通费、住宿费、用餐费等。国内公务接待</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53</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0.26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bookmarkEnd w:id="44"/>
    <w:bookmarkEnd w:id="45"/>
    <w:p>
      <w:pPr>
        <w:spacing w:line="600" w:lineRule="exact"/>
        <w:ind w:firstLine="640"/>
        <w:outlineLvl w:val="1"/>
        <w:rPr>
          <w:rStyle w:val="29"/>
          <w:rFonts w:ascii="黑体" w:hAnsi="黑体" w:eastAsia="黑体"/>
        </w:rPr>
      </w:pPr>
      <w:bookmarkStart w:id="46" w:name="_Toc79163622"/>
      <w:bookmarkStart w:id="47" w:name="_Toc79163872"/>
      <w:bookmarkStart w:id="48" w:name="_Toc15377221"/>
      <w:bookmarkStart w:id="49" w:name="_Toc15396612"/>
      <w:r>
        <w:rPr>
          <w:rFonts w:hint="eastAsia" w:ascii="黑体" w:eastAsia="黑体"/>
          <w:color w:val="000000"/>
          <w:sz w:val="32"/>
          <w:szCs w:val="32"/>
        </w:rPr>
        <w:t>八、</w:t>
      </w:r>
      <w:r>
        <w:rPr>
          <w:rStyle w:val="29"/>
          <w:rFonts w:hint="eastAsia" w:ascii="黑体" w:hAnsi="黑体" w:eastAsia="黑体"/>
        </w:rPr>
        <w:t>政府性基金预算支出决算情况说明</w:t>
      </w:r>
      <w:bookmarkEnd w:id="46"/>
      <w:bookmarkEnd w:id="4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numPr>
          <w:ilvl w:val="0"/>
          <w:numId w:val="3"/>
        </w:numPr>
        <w:spacing w:line="600" w:lineRule="exact"/>
        <w:ind w:firstLine="640"/>
        <w:outlineLvl w:val="1"/>
        <w:rPr>
          <w:rStyle w:val="29"/>
          <w:rFonts w:ascii="黑体" w:hAnsi="黑体" w:eastAsia="黑体"/>
          <w:b w:val="0"/>
        </w:rPr>
      </w:pPr>
      <w:bookmarkStart w:id="50" w:name="_Toc15396611"/>
      <w:bookmarkStart w:id="51" w:name="_Toc79163623"/>
      <w:bookmarkStart w:id="52" w:name="_Toc15377219"/>
      <w:bookmarkStart w:id="53" w:name="_Toc79163873"/>
      <w:r>
        <w:rPr>
          <w:rStyle w:val="29"/>
          <w:rFonts w:hint="eastAsia" w:ascii="黑体" w:hAnsi="黑体" w:eastAsia="黑体"/>
        </w:rPr>
        <w:t>国有资本经营预算支出决算情况说明</w:t>
      </w:r>
      <w:bookmarkEnd w:id="50"/>
      <w:bookmarkEnd w:id="51"/>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w:t>
      </w:r>
      <w:r>
        <w:rPr>
          <w:rFonts w:hint="eastAsia" w:ascii="仿宋_GB2312" w:eastAsia="仿宋_GB2312"/>
          <w:color w:val="000000"/>
          <w:sz w:val="32"/>
          <w:szCs w:val="32"/>
          <w:lang w:val="en-US" w:eastAsia="zh-CN"/>
        </w:rPr>
        <w:t>财政</w:t>
      </w:r>
      <w:r>
        <w:rPr>
          <w:rFonts w:hint="eastAsia" w:ascii="仿宋_GB2312" w:eastAsia="仿宋_GB2312"/>
          <w:color w:val="000000"/>
          <w:sz w:val="32"/>
          <w:szCs w:val="32"/>
        </w:rPr>
        <w:t>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spacing w:line="600" w:lineRule="exact"/>
        <w:ind w:firstLine="800" w:firstLineChars="250"/>
        <w:outlineLvl w:val="1"/>
        <w:rPr>
          <w:rStyle w:val="29"/>
          <w:rFonts w:ascii="黑体" w:hAnsi="黑体" w:eastAsia="黑体"/>
        </w:rPr>
      </w:pPr>
      <w:bookmarkStart w:id="54" w:name="_Toc79163624"/>
      <w:bookmarkStart w:id="55" w:name="_Toc79163874"/>
      <w:r>
        <w:rPr>
          <w:rFonts w:hint="eastAsia" w:ascii="黑体" w:hAnsi="黑体" w:eastAsia="黑体"/>
          <w:color w:val="000000"/>
          <w:sz w:val="32"/>
          <w:szCs w:val="32"/>
        </w:rPr>
        <w:t>十</w:t>
      </w:r>
      <w:r>
        <w:rPr>
          <w:rStyle w:val="29"/>
          <w:rFonts w:hint="eastAsia" w:ascii="黑体" w:hAnsi="黑体" w:eastAsia="黑体"/>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79163625"/>
      <w:bookmarkStart w:id="57" w:name="_Toc79163875"/>
      <w:r>
        <w:rPr>
          <w:rFonts w:hint="eastAsia" w:ascii="仿宋" w:hAnsi="仿宋" w:eastAsia="仿宋"/>
          <w:b/>
          <w:color w:val="000000"/>
          <w:sz w:val="32"/>
          <w:szCs w:val="32"/>
        </w:rPr>
        <w:t>（一）机关运行经费支出情况</w:t>
      </w:r>
      <w:bookmarkEnd w:id="56"/>
      <w:bookmarkEnd w:id="57"/>
    </w:p>
    <w:p>
      <w:pPr>
        <w:spacing w:line="576" w:lineRule="exact"/>
        <w:ind w:firstLine="800" w:firstLineChars="250"/>
        <w:outlineLvl w:val="1"/>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3年度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bookmarkEnd w:id="48"/>
    <w:bookmarkEnd w:id="49"/>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3"/>
      <w:bookmarkStart w:id="59" w:name="_Toc79163626"/>
      <w:bookmarkStart w:id="60" w:name="_Toc79163876"/>
      <w:bookmarkStart w:id="61" w:name="_Toc15377224"/>
      <w:r>
        <w:rPr>
          <w:rFonts w:hint="eastAsia" w:ascii="仿宋" w:hAnsi="仿宋" w:eastAsia="仿宋"/>
          <w:b/>
          <w:color w:val="000000"/>
          <w:sz w:val="32"/>
          <w:szCs w:val="32"/>
        </w:rPr>
        <w:t>（二）政府采购支出情况</w:t>
      </w:r>
      <w:bookmarkEnd w:id="58"/>
      <w:bookmarkEnd w:id="59"/>
      <w:bookmarkEnd w:id="60"/>
    </w:p>
    <w:p>
      <w:pPr>
        <w:widowControl/>
        <w:spacing w:line="576" w:lineRule="exact"/>
        <w:ind w:firstLine="640" w:firstLineChars="200"/>
        <w:jc w:val="left"/>
        <w:rPr>
          <w:rFonts w:ascii="仿宋_GB2312" w:hAnsi="仿宋_GB2312" w:eastAsia="仿宋_GB2312" w:cs="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培训中心政府</w:t>
      </w:r>
      <w:r>
        <w:rPr>
          <w:rFonts w:hint="eastAsia" w:ascii="仿宋_GB2312" w:eastAsia="仿宋_GB2312"/>
          <w:color w:val="000000"/>
          <w:sz w:val="32"/>
          <w:szCs w:val="32"/>
        </w:rPr>
        <w:t>采购支出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bookmarkEnd w:id="61"/>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2" w:name="_Toc79163627"/>
      <w:bookmarkStart w:id="63" w:name="_Toc79163877"/>
      <w:r>
        <w:rPr>
          <w:rFonts w:hint="eastAsia" w:ascii="仿宋" w:hAnsi="仿宋" w:eastAsia="仿宋"/>
          <w:b/>
          <w:color w:val="000000"/>
          <w:sz w:val="32"/>
          <w:szCs w:val="32"/>
        </w:rPr>
        <w:t>（三）国有资产占有使用情况</w:t>
      </w:r>
      <w:bookmarkEnd w:id="62"/>
      <w:bookmarkEnd w:id="63"/>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w:t>
      </w:r>
      <w:bookmarkStart w:id="120" w:name="_GoBack"/>
      <w:bookmarkEnd w:id="120"/>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辆，其中：其中：主要领导干部用车0辆、机要通信用车0辆、应急保障用车0辆、其他用车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64" w:name="_Toc79163628"/>
      <w:bookmarkStart w:id="65" w:name="_Toc79163878"/>
      <w:r>
        <w:rPr>
          <w:rFonts w:hint="eastAsia" w:ascii="仿宋" w:hAnsi="仿宋" w:eastAsia="仿宋"/>
          <w:b/>
          <w:color w:val="000000"/>
          <w:sz w:val="32"/>
          <w:szCs w:val="32"/>
        </w:rPr>
        <w:t>（四）预算绩效管理情况</w:t>
      </w:r>
      <w:bookmarkEnd w:id="64"/>
      <w:bookmarkEnd w:id="65"/>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培训中心</w:t>
      </w:r>
      <w:r>
        <w:rPr>
          <w:rFonts w:hint="eastAsia" w:ascii="仿宋_GB2312" w:hAnsi="仿宋_GB2312" w:eastAsia="仿宋_GB2312" w:cs="仿宋_GB2312"/>
          <w:sz w:val="32"/>
          <w:szCs w:val="32"/>
        </w:rPr>
        <w:t>无项目。</w:t>
      </w:r>
    </w:p>
    <w:p>
      <w:pPr>
        <w:pStyle w:val="2"/>
        <w:rPr>
          <w:rFonts w:hint="eastAsia" w:ascii="仿宋_GB2312" w:hAnsi="仿宋_GB2312" w:eastAsia="仿宋_GB2312" w:cs="仿宋_GB2312"/>
          <w:sz w:val="32"/>
          <w:szCs w:val="32"/>
        </w:rPr>
      </w:pPr>
    </w:p>
    <w:p>
      <w:pPr>
        <w:pStyle w:val="3"/>
      </w:pPr>
    </w:p>
    <w:p>
      <w:pPr>
        <w:spacing w:line="580" w:lineRule="exact"/>
        <w:ind w:firstLine="640" w:firstLineChars="200"/>
        <w:rPr>
          <w:rFonts w:ascii="仿宋_GB2312" w:hAnsi="仿宋_GB2312" w:eastAsia="仿宋_GB2312" w:cs="仿宋_GB2312"/>
          <w:sz w:val="32"/>
          <w:szCs w:val="32"/>
        </w:rPr>
      </w:pPr>
    </w:p>
    <w:p>
      <w:pPr>
        <w:numPr>
          <w:ilvl w:val="0"/>
          <w:numId w:val="4"/>
        </w:numPr>
        <w:spacing w:line="600" w:lineRule="exact"/>
        <w:ind w:firstLine="660" w:firstLineChars="150"/>
        <w:jc w:val="center"/>
        <w:outlineLvl w:val="0"/>
        <w:rPr>
          <w:rStyle w:val="28"/>
          <w:rFonts w:ascii="黑体" w:hAnsi="黑体" w:eastAsia="黑体"/>
          <w:b w:val="0"/>
        </w:rPr>
      </w:pPr>
      <w:bookmarkStart w:id="66" w:name="_Toc15377225"/>
      <w:bookmarkStart w:id="67" w:name="_Toc79163879"/>
      <w:bookmarkStart w:id="68" w:name="_Toc79163629"/>
      <w:bookmarkStart w:id="69" w:name="_Toc15396613"/>
      <w:r>
        <w:rPr>
          <w:rFonts w:hint="eastAsia" w:ascii="黑体" w:hAnsi="黑体" w:eastAsia="黑体"/>
          <w:color w:val="000000"/>
          <w:sz w:val="44"/>
          <w:szCs w:val="44"/>
        </w:rPr>
        <w:t>名</w:t>
      </w:r>
      <w:r>
        <w:rPr>
          <w:rStyle w:val="28"/>
          <w:rFonts w:hint="eastAsia" w:ascii="黑体" w:hAnsi="黑体" w:eastAsia="黑体"/>
        </w:rPr>
        <w:t>词解释</w:t>
      </w:r>
      <w:bookmarkEnd w:id="66"/>
      <w:bookmarkEnd w:id="67"/>
      <w:bookmarkEnd w:id="68"/>
      <w:bookmarkEnd w:id="69"/>
    </w:p>
    <w:p>
      <w:pPr>
        <w:spacing w:line="600" w:lineRule="exact"/>
        <w:jc w:val="left"/>
        <w:rPr>
          <w:rFonts w:ascii="宋体"/>
          <w:b/>
          <w:color w:val="000000"/>
          <w:sz w:val="44"/>
          <w:szCs w:val="44"/>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 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hAnsi="黑体" w:eastAsia="黑体"/>
          <w:color w:val="000000"/>
          <w:sz w:val="44"/>
          <w:szCs w:val="44"/>
        </w:rPr>
      </w:pPr>
      <w:bookmarkStart w:id="70" w:name="_Toc79163630"/>
      <w:bookmarkStart w:id="71" w:name="_Toc79163880"/>
      <w:bookmarkStart w:id="72" w:name="_Toc15396614"/>
      <w:bookmarkStart w:id="73" w:name="_Toc15377226"/>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p>
      <w:pPr>
        <w:spacing w:line="600" w:lineRule="exact"/>
        <w:jc w:val="center"/>
        <w:outlineLvl w:val="0"/>
        <w:rPr>
          <w:rStyle w:val="28"/>
          <w:rFonts w:hint="eastAsia" w:ascii="黑体" w:hAnsi="黑体"/>
        </w:rPr>
      </w:pPr>
    </w:p>
    <w:bookmarkEnd w:id="70"/>
    <w:bookmarkEnd w:id="71"/>
    <w:bookmarkEnd w:id="72"/>
    <w:p>
      <w:pPr>
        <w:pStyle w:val="34"/>
        <w:spacing w:line="550" w:lineRule="exact"/>
        <w:rPr>
          <w:rFonts w:hint="eastAsia" w:ascii="仿宋_GB2312" w:hAnsi="黑体" w:eastAsia="仿宋_GB2312" w:cs="宋体"/>
          <w:color w:val="000000"/>
          <w:kern w:val="0"/>
          <w:sz w:val="32"/>
          <w:szCs w:val="32"/>
          <w:shd w:val="clear" w:color="auto" w:fill="FFFFFF"/>
        </w:rPr>
      </w:pPr>
      <w:bookmarkStart w:id="74" w:name="_Toc79163633"/>
      <w:bookmarkStart w:id="75" w:name="_Toc79163883"/>
    </w:p>
    <w:bookmarkEnd w:id="74"/>
    <w:bookmarkEnd w:id="75"/>
    <w:p>
      <w:pPr>
        <w:spacing w:line="600" w:lineRule="exact"/>
        <w:jc w:val="center"/>
        <w:outlineLvl w:val="0"/>
        <w:rPr>
          <w:rStyle w:val="28"/>
          <w:rFonts w:ascii="黑体" w:hAnsi="黑体" w:eastAsia="黑体"/>
          <w:b w:val="0"/>
        </w:rPr>
      </w:pPr>
      <w:bookmarkStart w:id="76" w:name="_Toc79163885"/>
      <w:bookmarkStart w:id="77" w:name="_Toc15396618"/>
      <w:bookmarkStart w:id="78" w:name="_Toc79163635"/>
      <w:r>
        <w:rPr>
          <w:rFonts w:hint="eastAsia" w:ascii="黑体" w:hAnsi="黑体" w:eastAsia="黑体"/>
          <w:color w:val="000000"/>
          <w:sz w:val="44"/>
          <w:szCs w:val="44"/>
        </w:rPr>
        <w:t>第</w:t>
      </w:r>
      <w:r>
        <w:rPr>
          <w:rStyle w:val="28"/>
          <w:rFonts w:hint="eastAsia" w:ascii="黑体" w:hAnsi="黑体" w:eastAsia="黑体"/>
          <w:lang w:val="en-US" w:eastAsia="zh-CN"/>
        </w:rPr>
        <w:t>四</w:t>
      </w:r>
      <w:r>
        <w:rPr>
          <w:rStyle w:val="28"/>
          <w:rFonts w:hint="eastAsia" w:ascii="黑体" w:hAnsi="黑体" w:eastAsia="黑体"/>
        </w:rPr>
        <w:t>部分</w:t>
      </w:r>
      <w:r>
        <w:rPr>
          <w:rStyle w:val="28"/>
          <w:rFonts w:ascii="黑体" w:hAnsi="黑体" w:eastAsia="黑体"/>
        </w:rPr>
        <w:t xml:space="preserve"> </w:t>
      </w:r>
      <w:r>
        <w:rPr>
          <w:rStyle w:val="28"/>
          <w:rFonts w:hint="eastAsia" w:ascii="黑体" w:hAnsi="黑体" w:eastAsia="黑体"/>
        </w:rPr>
        <w:t>附表</w:t>
      </w:r>
      <w:bookmarkEnd w:id="73"/>
      <w:bookmarkEnd w:id="76"/>
      <w:bookmarkEnd w:id="77"/>
      <w:bookmarkEnd w:id="78"/>
    </w:p>
    <w:p>
      <w:pPr>
        <w:spacing w:line="576" w:lineRule="exact"/>
        <w:ind w:left="315" w:leftChars="150" w:firstLine="640" w:firstLineChars="200"/>
        <w:rPr>
          <w:rFonts w:ascii="仿宋_GB2312" w:hAnsi="仿宋_GB2312" w:eastAsia="仿宋_GB2312" w:cs="仿宋_GB2312"/>
          <w:color w:val="000000"/>
          <w:sz w:val="32"/>
          <w:szCs w:val="32"/>
        </w:rPr>
      </w:pPr>
      <w:bookmarkStart w:id="79" w:name="_Toc79163886"/>
      <w:bookmarkStart w:id="80" w:name="_Toc79163636"/>
      <w:bookmarkStart w:id="81" w:name="_Toc15396619"/>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bookmarkEnd w:id="79"/>
      <w:bookmarkEnd w:id="80"/>
      <w:bookmarkEnd w:id="81"/>
    </w:p>
    <w:p>
      <w:pPr>
        <w:spacing w:line="576" w:lineRule="exact"/>
        <w:ind w:left="315" w:leftChars="150" w:firstLine="640" w:firstLineChars="200"/>
        <w:rPr>
          <w:rFonts w:ascii="仿宋_GB2312" w:hAnsi="仿宋_GB2312" w:eastAsia="仿宋_GB2312" w:cs="仿宋_GB2312"/>
          <w:color w:val="000000"/>
          <w:sz w:val="32"/>
          <w:szCs w:val="32"/>
        </w:rPr>
      </w:pPr>
      <w:bookmarkStart w:id="82" w:name="_Toc79163637"/>
      <w:bookmarkStart w:id="83" w:name="_Toc15396620"/>
      <w:bookmarkStart w:id="84" w:name="_Toc79163887"/>
      <w:r>
        <w:rPr>
          <w:rFonts w:hint="eastAsia" w:ascii="仿宋_GB2312" w:hAnsi="仿宋_GB2312" w:eastAsia="仿宋_GB2312" w:cs="仿宋_GB2312"/>
          <w:color w:val="000000"/>
          <w:sz w:val="32"/>
          <w:szCs w:val="32"/>
        </w:rPr>
        <w:t>二、收入决算表</w:t>
      </w:r>
      <w:bookmarkEnd w:id="82"/>
      <w:bookmarkEnd w:id="83"/>
      <w:bookmarkEnd w:id="84"/>
    </w:p>
    <w:p>
      <w:pPr>
        <w:spacing w:line="576" w:lineRule="exact"/>
        <w:ind w:left="315" w:leftChars="150" w:firstLine="640" w:firstLineChars="200"/>
        <w:rPr>
          <w:rFonts w:ascii="仿宋_GB2312" w:hAnsi="仿宋_GB2312" w:eastAsia="仿宋_GB2312" w:cs="仿宋_GB2312"/>
          <w:color w:val="000000"/>
          <w:sz w:val="32"/>
          <w:szCs w:val="32"/>
        </w:rPr>
      </w:pPr>
      <w:bookmarkStart w:id="85" w:name="_Toc15396621"/>
      <w:bookmarkStart w:id="86" w:name="_Toc79163888"/>
      <w:bookmarkStart w:id="87" w:name="_Toc79163638"/>
      <w:r>
        <w:rPr>
          <w:rFonts w:hint="eastAsia" w:ascii="仿宋_GB2312" w:hAnsi="仿宋_GB2312" w:eastAsia="仿宋_GB2312" w:cs="仿宋_GB2312"/>
          <w:color w:val="000000"/>
          <w:sz w:val="32"/>
          <w:szCs w:val="32"/>
        </w:rPr>
        <w:t>三、支出决算表</w:t>
      </w:r>
      <w:bookmarkEnd w:id="85"/>
      <w:bookmarkEnd w:id="86"/>
      <w:bookmarkEnd w:id="87"/>
    </w:p>
    <w:p>
      <w:pPr>
        <w:spacing w:line="576" w:lineRule="exact"/>
        <w:ind w:left="315" w:leftChars="150" w:firstLine="640" w:firstLineChars="200"/>
        <w:rPr>
          <w:rFonts w:ascii="仿宋_GB2312" w:hAnsi="仿宋_GB2312" w:eastAsia="仿宋_GB2312" w:cs="仿宋_GB2312"/>
          <w:color w:val="000000"/>
          <w:sz w:val="32"/>
          <w:szCs w:val="32"/>
        </w:rPr>
      </w:pPr>
      <w:bookmarkStart w:id="88" w:name="_Toc15396622"/>
      <w:bookmarkStart w:id="89" w:name="_Toc79163889"/>
      <w:bookmarkStart w:id="90" w:name="_Toc79163639"/>
      <w:r>
        <w:rPr>
          <w:rFonts w:hint="eastAsia" w:ascii="仿宋_GB2312" w:hAnsi="仿宋_GB2312" w:eastAsia="仿宋_GB2312" w:cs="仿宋_GB2312"/>
          <w:color w:val="000000"/>
          <w:sz w:val="32"/>
          <w:szCs w:val="32"/>
        </w:rPr>
        <w:t>四、财政拨款收入支出决算总表</w:t>
      </w:r>
      <w:bookmarkEnd w:id="88"/>
      <w:bookmarkEnd w:id="89"/>
      <w:bookmarkEnd w:id="90"/>
    </w:p>
    <w:p>
      <w:pPr>
        <w:spacing w:line="576" w:lineRule="exact"/>
        <w:ind w:left="315" w:leftChars="150" w:firstLine="640" w:firstLineChars="200"/>
        <w:rPr>
          <w:rFonts w:ascii="仿宋_GB2312" w:hAnsi="仿宋_GB2312" w:eastAsia="仿宋_GB2312" w:cs="仿宋_GB2312"/>
          <w:color w:val="000000"/>
          <w:sz w:val="32"/>
          <w:szCs w:val="32"/>
        </w:rPr>
      </w:pPr>
      <w:bookmarkStart w:id="91" w:name="_Toc15396623"/>
      <w:bookmarkStart w:id="92" w:name="_Toc79163640"/>
      <w:bookmarkStart w:id="93" w:name="_Toc79163890"/>
      <w:r>
        <w:rPr>
          <w:rFonts w:hint="eastAsia" w:ascii="仿宋_GB2312" w:hAnsi="仿宋_GB2312" w:eastAsia="仿宋_GB2312" w:cs="仿宋_GB2312"/>
          <w:color w:val="000000"/>
          <w:sz w:val="32"/>
          <w:szCs w:val="32"/>
        </w:rPr>
        <w:t>五、财政拨款支出决算明细表</w:t>
      </w:r>
      <w:bookmarkEnd w:id="91"/>
      <w:bookmarkEnd w:id="92"/>
      <w:bookmarkEnd w:id="93"/>
      <w:bookmarkStart w:id="94" w:name="_Toc15396624"/>
    </w:p>
    <w:p>
      <w:pPr>
        <w:spacing w:line="576" w:lineRule="exact"/>
        <w:ind w:left="315" w:leftChars="150" w:firstLine="640" w:firstLineChars="200"/>
        <w:rPr>
          <w:rFonts w:ascii="仿宋_GB2312" w:hAnsi="仿宋_GB2312" w:eastAsia="仿宋_GB2312" w:cs="仿宋_GB2312"/>
          <w:color w:val="000000"/>
          <w:sz w:val="32"/>
          <w:szCs w:val="32"/>
        </w:rPr>
      </w:pPr>
      <w:bookmarkStart w:id="95" w:name="_Toc79163641"/>
      <w:bookmarkStart w:id="96" w:name="_Toc79163891"/>
      <w:r>
        <w:rPr>
          <w:rFonts w:hint="eastAsia" w:ascii="仿宋_GB2312" w:hAnsi="仿宋_GB2312" w:eastAsia="仿宋_GB2312" w:cs="仿宋_GB2312"/>
          <w:color w:val="000000"/>
          <w:sz w:val="32"/>
          <w:szCs w:val="32"/>
        </w:rPr>
        <w:t>六、一般公共预算财政拨款支出决算表</w:t>
      </w:r>
      <w:bookmarkEnd w:id="94"/>
      <w:bookmarkEnd w:id="95"/>
      <w:bookmarkEnd w:id="96"/>
    </w:p>
    <w:p>
      <w:pPr>
        <w:spacing w:line="576" w:lineRule="exact"/>
        <w:ind w:left="315" w:leftChars="150" w:firstLine="640" w:firstLineChars="200"/>
        <w:rPr>
          <w:rFonts w:ascii="仿宋_GB2312" w:hAnsi="仿宋_GB2312" w:eastAsia="仿宋_GB2312" w:cs="仿宋_GB2312"/>
          <w:color w:val="000000"/>
          <w:sz w:val="32"/>
          <w:szCs w:val="32"/>
        </w:rPr>
      </w:pPr>
      <w:bookmarkStart w:id="97" w:name="_Toc79163642"/>
      <w:bookmarkStart w:id="98" w:name="_Toc79163892"/>
      <w:bookmarkStart w:id="99" w:name="_Toc15396625"/>
      <w:r>
        <w:rPr>
          <w:rFonts w:hint="eastAsia" w:ascii="仿宋_GB2312" w:hAnsi="仿宋_GB2312" w:eastAsia="仿宋_GB2312" w:cs="仿宋_GB2312"/>
          <w:color w:val="000000"/>
          <w:sz w:val="32"/>
          <w:szCs w:val="32"/>
        </w:rPr>
        <w:t>七、一般公共预算财政拨款支出决算明细表</w:t>
      </w:r>
      <w:bookmarkEnd w:id="97"/>
      <w:bookmarkEnd w:id="98"/>
      <w:bookmarkEnd w:id="99"/>
    </w:p>
    <w:p>
      <w:pPr>
        <w:spacing w:line="576" w:lineRule="exact"/>
        <w:ind w:left="315" w:leftChars="150" w:firstLine="640" w:firstLineChars="200"/>
        <w:rPr>
          <w:rFonts w:ascii="仿宋_GB2312" w:hAnsi="仿宋_GB2312" w:eastAsia="仿宋_GB2312" w:cs="仿宋_GB2312"/>
          <w:color w:val="000000"/>
          <w:sz w:val="32"/>
          <w:szCs w:val="32"/>
        </w:rPr>
      </w:pPr>
      <w:bookmarkStart w:id="100" w:name="_Toc79163643"/>
      <w:bookmarkStart w:id="101" w:name="_Toc15396626"/>
      <w:bookmarkStart w:id="102" w:name="_Toc79163893"/>
      <w:r>
        <w:rPr>
          <w:rFonts w:hint="eastAsia" w:ascii="仿宋_GB2312" w:hAnsi="仿宋_GB2312" w:eastAsia="仿宋_GB2312" w:cs="仿宋_GB2312"/>
          <w:color w:val="000000"/>
          <w:sz w:val="32"/>
          <w:szCs w:val="32"/>
        </w:rPr>
        <w:t>八、一般公共预算财政拨款基本支出决算表</w:t>
      </w:r>
      <w:bookmarkEnd w:id="100"/>
      <w:bookmarkEnd w:id="101"/>
      <w:bookmarkEnd w:id="102"/>
    </w:p>
    <w:p>
      <w:pPr>
        <w:spacing w:line="576" w:lineRule="exact"/>
        <w:ind w:left="315" w:leftChars="150" w:firstLine="640" w:firstLineChars="200"/>
        <w:rPr>
          <w:rFonts w:ascii="仿宋_GB2312" w:hAnsi="仿宋_GB2312" w:eastAsia="仿宋_GB2312" w:cs="仿宋_GB2312"/>
          <w:color w:val="000000"/>
          <w:sz w:val="32"/>
          <w:szCs w:val="32"/>
        </w:rPr>
      </w:pPr>
      <w:bookmarkStart w:id="103" w:name="_Toc79163894"/>
      <w:bookmarkStart w:id="104" w:name="_Toc79163644"/>
      <w:bookmarkStart w:id="105" w:name="_Toc15396627"/>
      <w:r>
        <w:rPr>
          <w:rFonts w:hint="eastAsia" w:ascii="仿宋_GB2312" w:hAnsi="仿宋_GB2312" w:eastAsia="仿宋_GB2312" w:cs="仿宋_GB2312"/>
          <w:color w:val="000000"/>
          <w:sz w:val="32"/>
          <w:szCs w:val="32"/>
        </w:rPr>
        <w:t>九、一般公共预算财政拨款项目支出决算表</w:t>
      </w:r>
      <w:bookmarkEnd w:id="103"/>
      <w:bookmarkEnd w:id="104"/>
      <w:bookmarkEnd w:id="105"/>
    </w:p>
    <w:p>
      <w:pPr>
        <w:spacing w:line="576" w:lineRule="exact"/>
        <w:ind w:left="315" w:leftChars="150" w:firstLine="640" w:firstLineChars="200"/>
        <w:rPr>
          <w:rFonts w:ascii="仿宋_GB2312" w:hAnsi="仿宋_GB2312" w:eastAsia="仿宋_GB2312" w:cs="仿宋_GB2312"/>
          <w:color w:val="000000"/>
          <w:sz w:val="32"/>
          <w:szCs w:val="32"/>
        </w:rPr>
      </w:pPr>
      <w:bookmarkStart w:id="106" w:name="_Toc15396628"/>
      <w:bookmarkStart w:id="107" w:name="_Toc79163645"/>
      <w:bookmarkStart w:id="108" w:name="_Toc79163895"/>
      <w:r>
        <w:rPr>
          <w:rFonts w:hint="eastAsia" w:ascii="仿宋_GB2312" w:hAnsi="仿宋_GB2312" w:eastAsia="仿宋_GB2312" w:cs="仿宋_GB2312"/>
          <w:color w:val="000000"/>
          <w:sz w:val="32"/>
          <w:szCs w:val="32"/>
        </w:rPr>
        <w:t>十、</w:t>
      </w:r>
      <w:bookmarkEnd w:id="106"/>
      <w:bookmarkEnd w:id="107"/>
      <w:bookmarkEnd w:id="108"/>
      <w:bookmarkStart w:id="109" w:name="_Toc15396629"/>
      <w:bookmarkStart w:id="110" w:name="_Toc79163896"/>
      <w:bookmarkStart w:id="111" w:name="_Toc79163646"/>
      <w:r>
        <w:rPr>
          <w:rFonts w:hint="eastAsia" w:ascii="仿宋_GB2312" w:hAnsi="仿宋_GB2312" w:eastAsia="仿宋_GB2312" w:cs="仿宋_GB2312"/>
          <w:color w:val="000000"/>
          <w:sz w:val="32"/>
          <w:szCs w:val="32"/>
        </w:rPr>
        <w:t>政府性基金预算财政拨款收入支出决算表</w:t>
      </w:r>
      <w:bookmarkEnd w:id="109"/>
      <w:bookmarkEnd w:id="110"/>
      <w:bookmarkEnd w:id="111"/>
    </w:p>
    <w:p>
      <w:pPr>
        <w:spacing w:line="576" w:lineRule="exact"/>
        <w:ind w:left="315" w:leftChars="150" w:firstLine="640" w:firstLineChars="200"/>
        <w:rPr>
          <w:rFonts w:ascii="仿宋_GB2312" w:hAnsi="仿宋_GB2312" w:eastAsia="仿宋_GB2312" w:cs="仿宋_GB2312"/>
          <w:color w:val="000000"/>
          <w:sz w:val="32"/>
          <w:szCs w:val="32"/>
        </w:rPr>
      </w:pPr>
      <w:bookmarkStart w:id="112" w:name="_Toc79163647"/>
      <w:bookmarkStart w:id="113" w:name="_Toc79163897"/>
      <w:bookmarkStart w:id="114" w:name="_Toc15396630"/>
      <w:r>
        <w:rPr>
          <w:rFonts w:hint="eastAsia" w:ascii="仿宋_GB2312" w:hAnsi="仿宋_GB2312" w:eastAsia="仿宋_GB2312" w:cs="仿宋_GB2312"/>
          <w:color w:val="000000"/>
          <w:sz w:val="32"/>
          <w:szCs w:val="32"/>
        </w:rPr>
        <w:t>十一、</w:t>
      </w:r>
      <w:bookmarkEnd w:id="112"/>
      <w:bookmarkEnd w:id="113"/>
      <w:bookmarkEnd w:id="114"/>
      <w:bookmarkStart w:id="115" w:name="_Toc79163898"/>
      <w:bookmarkStart w:id="116" w:name="_Toc15396631"/>
      <w:bookmarkStart w:id="117" w:name="_Toc79163648"/>
      <w:r>
        <w:rPr>
          <w:rFonts w:hint="eastAsia" w:ascii="仿宋_GB2312" w:hAnsi="仿宋_GB2312" w:eastAsia="仿宋_GB2312" w:cs="仿宋_GB2312"/>
          <w:color w:val="000000"/>
          <w:sz w:val="32"/>
          <w:szCs w:val="32"/>
        </w:rPr>
        <w:t>国有资本经营预算财政拨款收入支出决算表</w:t>
      </w:r>
      <w:bookmarkEnd w:id="115"/>
      <w:bookmarkEnd w:id="116"/>
      <w:bookmarkEnd w:id="117"/>
    </w:p>
    <w:p>
      <w:pPr>
        <w:spacing w:line="576" w:lineRule="exact"/>
        <w:ind w:left="315" w:leftChars="150" w:firstLine="640" w:firstLineChars="200"/>
        <w:rPr>
          <w:rFonts w:ascii="仿宋_GB2312" w:hAnsi="仿宋_GB2312" w:eastAsia="仿宋_GB2312" w:cs="仿宋_GB2312"/>
          <w:color w:val="000000"/>
          <w:sz w:val="32"/>
          <w:szCs w:val="32"/>
        </w:rPr>
      </w:pPr>
      <w:bookmarkStart w:id="118" w:name="_Toc79163899"/>
      <w:bookmarkStart w:id="119" w:name="_Toc79163649"/>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、国有资本经营预算财政拨款支出决算表</w:t>
      </w:r>
      <w:bookmarkEnd w:id="118"/>
      <w:bookmarkEnd w:id="119"/>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十三、</w:t>
      </w:r>
      <w:r>
        <w:rPr>
          <w:rFonts w:hint="eastAsia" w:ascii="仿宋_GB2312" w:hAnsi="仿宋_GB2312" w:eastAsia="仿宋_GB2312" w:cs="仿宋_GB2312"/>
          <w:color w:val="000000"/>
          <w:sz w:val="32"/>
          <w:szCs w:val="32"/>
        </w:rPr>
        <w:t>财政拨款“三公”经费支出决算表</w:t>
      </w:r>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sectPr>
      <w:footerReference r:id="rId5" w:type="first"/>
      <w:headerReference r:id="rId3" w:type="default"/>
      <w:footerReference r:id="rId4"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w:pict>
        <v:shape id="_x0000_s2054" o:spid="_x0000_s205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11"/>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v:textbox>
        </v:shape>
      </w:pic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5" o:spid="_x0000_s205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193509"/>
    <w:multiLevelType w:val="singleLevel"/>
    <w:tmpl w:val="E2193509"/>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hYTZiYWMyMjExZGMzMjM0ZWE1MzM4ZDRjOGNhZmQ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3D0A"/>
    <w:rsid w:val="000D5200"/>
    <w:rsid w:val="000D5782"/>
    <w:rsid w:val="000E0717"/>
    <w:rsid w:val="000E6613"/>
    <w:rsid w:val="000E7119"/>
    <w:rsid w:val="000F7D14"/>
    <w:rsid w:val="00114E9B"/>
    <w:rsid w:val="00134DD3"/>
    <w:rsid w:val="00142216"/>
    <w:rsid w:val="0014433D"/>
    <w:rsid w:val="00144D6A"/>
    <w:rsid w:val="0014706F"/>
    <w:rsid w:val="0014729F"/>
    <w:rsid w:val="00151354"/>
    <w:rsid w:val="00157372"/>
    <w:rsid w:val="00157BAB"/>
    <w:rsid w:val="001629C9"/>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1818"/>
    <w:rsid w:val="002F567B"/>
    <w:rsid w:val="002F5F2F"/>
    <w:rsid w:val="002F78A2"/>
    <w:rsid w:val="00320D06"/>
    <w:rsid w:val="003216A9"/>
    <w:rsid w:val="0033258B"/>
    <w:rsid w:val="0033450F"/>
    <w:rsid w:val="00335A74"/>
    <w:rsid w:val="003455E3"/>
    <w:rsid w:val="00362EA8"/>
    <w:rsid w:val="0036561B"/>
    <w:rsid w:val="00366617"/>
    <w:rsid w:val="0037013F"/>
    <w:rsid w:val="003703C2"/>
    <w:rsid w:val="00373E9F"/>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6FC"/>
    <w:rsid w:val="00440C35"/>
    <w:rsid w:val="00441C72"/>
    <w:rsid w:val="00443880"/>
    <w:rsid w:val="00443D73"/>
    <w:rsid w:val="004464F4"/>
    <w:rsid w:val="00461AC3"/>
    <w:rsid w:val="004703B5"/>
    <w:rsid w:val="00471401"/>
    <w:rsid w:val="0047399F"/>
    <w:rsid w:val="00473F31"/>
    <w:rsid w:val="0048127E"/>
    <w:rsid w:val="0048263A"/>
    <w:rsid w:val="00487E5D"/>
    <w:rsid w:val="0049273C"/>
    <w:rsid w:val="00497B5A"/>
    <w:rsid w:val="004A711F"/>
    <w:rsid w:val="004B00CE"/>
    <w:rsid w:val="004B199D"/>
    <w:rsid w:val="004B4690"/>
    <w:rsid w:val="004C2615"/>
    <w:rsid w:val="004C3AA4"/>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70AF"/>
    <w:rsid w:val="00607E6C"/>
    <w:rsid w:val="006101B1"/>
    <w:rsid w:val="006146F8"/>
    <w:rsid w:val="00614E44"/>
    <w:rsid w:val="0062270A"/>
    <w:rsid w:val="00622830"/>
    <w:rsid w:val="00622EBC"/>
    <w:rsid w:val="00623DA0"/>
    <w:rsid w:val="00627DDB"/>
    <w:rsid w:val="00630657"/>
    <w:rsid w:val="00630AEF"/>
    <w:rsid w:val="006325F8"/>
    <w:rsid w:val="00633463"/>
    <w:rsid w:val="00634C9A"/>
    <w:rsid w:val="00635024"/>
    <w:rsid w:val="006440E4"/>
    <w:rsid w:val="006608F7"/>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77689"/>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86880"/>
    <w:rsid w:val="00992DCF"/>
    <w:rsid w:val="009931C3"/>
    <w:rsid w:val="00996CA5"/>
    <w:rsid w:val="009970FA"/>
    <w:rsid w:val="009A0993"/>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1711"/>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251D8"/>
    <w:rsid w:val="00C26F8C"/>
    <w:rsid w:val="00C277F8"/>
    <w:rsid w:val="00C30E69"/>
    <w:rsid w:val="00C33E72"/>
    <w:rsid w:val="00C354B2"/>
    <w:rsid w:val="00C35554"/>
    <w:rsid w:val="00C42709"/>
    <w:rsid w:val="00C43ABB"/>
    <w:rsid w:val="00C533CC"/>
    <w:rsid w:val="00C5751C"/>
    <w:rsid w:val="00C603DA"/>
    <w:rsid w:val="00C61BFC"/>
    <w:rsid w:val="00C62B85"/>
    <w:rsid w:val="00C65438"/>
    <w:rsid w:val="00C67F3F"/>
    <w:rsid w:val="00C7013E"/>
    <w:rsid w:val="00C818C4"/>
    <w:rsid w:val="00C860DE"/>
    <w:rsid w:val="00C91CBB"/>
    <w:rsid w:val="00C922B5"/>
    <w:rsid w:val="00CA7FFB"/>
    <w:rsid w:val="00CB1032"/>
    <w:rsid w:val="00CB4E70"/>
    <w:rsid w:val="00CC09B6"/>
    <w:rsid w:val="00CC3A69"/>
    <w:rsid w:val="00CC3DB4"/>
    <w:rsid w:val="00CC666F"/>
    <w:rsid w:val="00CD1E3F"/>
    <w:rsid w:val="00CE44F6"/>
    <w:rsid w:val="00CE49DA"/>
    <w:rsid w:val="00CE68D7"/>
    <w:rsid w:val="00CE7B61"/>
    <w:rsid w:val="00CF63C2"/>
    <w:rsid w:val="00D00095"/>
    <w:rsid w:val="00D01322"/>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04E3"/>
    <w:rsid w:val="00E01053"/>
    <w:rsid w:val="00E07ACF"/>
    <w:rsid w:val="00E11AD1"/>
    <w:rsid w:val="00E16FE8"/>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0FEF"/>
    <w:rsid w:val="00F2408F"/>
    <w:rsid w:val="00F240E9"/>
    <w:rsid w:val="00F24291"/>
    <w:rsid w:val="00F25A72"/>
    <w:rsid w:val="00F2671F"/>
    <w:rsid w:val="00F329E1"/>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02AC2E4C"/>
    <w:rsid w:val="02E1246A"/>
    <w:rsid w:val="03A252BE"/>
    <w:rsid w:val="03B94246"/>
    <w:rsid w:val="05A27C1F"/>
    <w:rsid w:val="06A72A7B"/>
    <w:rsid w:val="07FA7D60"/>
    <w:rsid w:val="08173F7F"/>
    <w:rsid w:val="09434CDD"/>
    <w:rsid w:val="098B19C3"/>
    <w:rsid w:val="09B72FD5"/>
    <w:rsid w:val="0AFE3E0A"/>
    <w:rsid w:val="0B545889"/>
    <w:rsid w:val="0F07236C"/>
    <w:rsid w:val="0F612708"/>
    <w:rsid w:val="0FE23CAA"/>
    <w:rsid w:val="10C055FF"/>
    <w:rsid w:val="120B2110"/>
    <w:rsid w:val="13235D7A"/>
    <w:rsid w:val="153D6ED0"/>
    <w:rsid w:val="163232ED"/>
    <w:rsid w:val="16BB723D"/>
    <w:rsid w:val="17720E9F"/>
    <w:rsid w:val="179F6E32"/>
    <w:rsid w:val="181A2B1F"/>
    <w:rsid w:val="1A631D43"/>
    <w:rsid w:val="1A7C004F"/>
    <w:rsid w:val="1AAE7F59"/>
    <w:rsid w:val="1B3A2665"/>
    <w:rsid w:val="1BB27180"/>
    <w:rsid w:val="1E2F1712"/>
    <w:rsid w:val="20121F25"/>
    <w:rsid w:val="20502F9F"/>
    <w:rsid w:val="20B41BC5"/>
    <w:rsid w:val="20BE0FB0"/>
    <w:rsid w:val="220A7FB3"/>
    <w:rsid w:val="23963804"/>
    <w:rsid w:val="240371BF"/>
    <w:rsid w:val="24FF3D57"/>
    <w:rsid w:val="27266A89"/>
    <w:rsid w:val="281B00E1"/>
    <w:rsid w:val="28505F41"/>
    <w:rsid w:val="291931BB"/>
    <w:rsid w:val="29A307A6"/>
    <w:rsid w:val="29FD04D3"/>
    <w:rsid w:val="2A0B40E6"/>
    <w:rsid w:val="2B7B7EAF"/>
    <w:rsid w:val="2BF61FAE"/>
    <w:rsid w:val="2C7D570A"/>
    <w:rsid w:val="2DBE5A85"/>
    <w:rsid w:val="2E963C56"/>
    <w:rsid w:val="319F7F4E"/>
    <w:rsid w:val="31D574D0"/>
    <w:rsid w:val="31F14A27"/>
    <w:rsid w:val="3271411A"/>
    <w:rsid w:val="34983A37"/>
    <w:rsid w:val="3538617E"/>
    <w:rsid w:val="35815880"/>
    <w:rsid w:val="3596247A"/>
    <w:rsid w:val="362401FB"/>
    <w:rsid w:val="381C67A1"/>
    <w:rsid w:val="3A691675"/>
    <w:rsid w:val="3BFD046C"/>
    <w:rsid w:val="3CCA5407"/>
    <w:rsid w:val="3EE02B71"/>
    <w:rsid w:val="3F7E260A"/>
    <w:rsid w:val="40EB31AF"/>
    <w:rsid w:val="42236F20"/>
    <w:rsid w:val="44897961"/>
    <w:rsid w:val="44FA7C3F"/>
    <w:rsid w:val="45B002FD"/>
    <w:rsid w:val="4630706B"/>
    <w:rsid w:val="471F06CF"/>
    <w:rsid w:val="47DC362C"/>
    <w:rsid w:val="4C07336D"/>
    <w:rsid w:val="4D695962"/>
    <w:rsid w:val="4DC66D20"/>
    <w:rsid w:val="4ECE2238"/>
    <w:rsid w:val="4F0654EA"/>
    <w:rsid w:val="4F8C1E10"/>
    <w:rsid w:val="510E0613"/>
    <w:rsid w:val="511107EA"/>
    <w:rsid w:val="522E28C0"/>
    <w:rsid w:val="5323717F"/>
    <w:rsid w:val="54AE06D4"/>
    <w:rsid w:val="561548D9"/>
    <w:rsid w:val="5AA05F2C"/>
    <w:rsid w:val="5BB07FF9"/>
    <w:rsid w:val="5CD050A1"/>
    <w:rsid w:val="5DD87487"/>
    <w:rsid w:val="608D6928"/>
    <w:rsid w:val="617955FF"/>
    <w:rsid w:val="62470222"/>
    <w:rsid w:val="62894684"/>
    <w:rsid w:val="62E33751"/>
    <w:rsid w:val="62E4550E"/>
    <w:rsid w:val="637D586B"/>
    <w:rsid w:val="673A5239"/>
    <w:rsid w:val="677C5CC9"/>
    <w:rsid w:val="67AB6CE7"/>
    <w:rsid w:val="695D5F23"/>
    <w:rsid w:val="69B0699A"/>
    <w:rsid w:val="6A2D5F76"/>
    <w:rsid w:val="6A3A2708"/>
    <w:rsid w:val="6A674B7F"/>
    <w:rsid w:val="6CCE6662"/>
    <w:rsid w:val="6FB5551C"/>
    <w:rsid w:val="6FF14BA2"/>
    <w:rsid w:val="712437CA"/>
    <w:rsid w:val="71F87B8C"/>
    <w:rsid w:val="72614840"/>
    <w:rsid w:val="72734D90"/>
    <w:rsid w:val="74082F2F"/>
    <w:rsid w:val="74251D33"/>
    <w:rsid w:val="759E3B4B"/>
    <w:rsid w:val="77F71C38"/>
    <w:rsid w:val="78865D58"/>
    <w:rsid w:val="7AC5601E"/>
    <w:rsid w:val="7B3A7F1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Emphasis"/>
    <w:basedOn w:val="16"/>
    <w:qFormat/>
    <w:uiPriority w:val="20"/>
    <w:rPr>
      <w:i/>
      <w:iCs/>
    </w:rPr>
  </w:style>
  <w:style w:type="character" w:styleId="19">
    <w:name w:val="Hyperlink"/>
    <w:basedOn w:val="16"/>
    <w:unhideWhenUsed/>
    <w:qFormat/>
    <w:uiPriority w:val="99"/>
    <w:rPr>
      <w:color w:val="0000FF" w:themeColor="hyperlink"/>
      <w:u w:val="single"/>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34">
    <w:name w:val="No Spacing"/>
    <w:link w:val="35"/>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5">
    <w:name w:val="无间隔 Char"/>
    <w:basedOn w:val="16"/>
    <w:link w:val="34"/>
    <w:qFormat/>
    <w:locked/>
    <w:uiPriority w:val="99"/>
    <w:rPr>
      <w:kern w:val="2"/>
      <w:sz w:val="21"/>
      <w:szCs w:val="22"/>
    </w:rPr>
  </w:style>
  <w:style w:type="character" w:customStyle="1" w:styleId="36">
    <w:name w:val="apple-converted-space"/>
    <w:basedOn w:val="16"/>
    <w:qFormat/>
    <w:uiPriority w:val="99"/>
    <w:rPr>
      <w:rFonts w:cs="Times New Roman"/>
    </w:rPr>
  </w:style>
  <w:style w:type="paragraph" w:customStyle="1" w:styleId="37">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8">
    <w:name w:val="标题 1 Char1"/>
    <w:basedOn w:val="16"/>
    <w:qFormat/>
    <w:uiPriority w:val="9"/>
    <w:rPr>
      <w:rFonts w:ascii="Times New Roman" w:hAnsi="Times New Roman"/>
      <w:b/>
      <w:bCs/>
      <w:kern w:val="44"/>
      <w:sz w:val="44"/>
      <w:szCs w:val="44"/>
    </w:rPr>
  </w:style>
  <w:style w:type="paragraph" w:customStyle="1" w:styleId="39">
    <w:name w:val="列表段落1"/>
    <w:basedOn w:val="1"/>
    <w:qFormat/>
    <w:uiPriority w:val="34"/>
    <w:pPr>
      <w:ind w:firstLine="420" w:firstLineChars="200"/>
    </w:pPr>
  </w:style>
  <w:style w:type="paragraph" w:customStyle="1" w:styleId="40">
    <w:name w:val="四号正文"/>
    <w:basedOn w:val="1"/>
    <w:qFormat/>
    <w:uiPriority w:val="0"/>
    <w:pPr>
      <w:spacing w:line="360" w:lineRule="auto"/>
    </w:pPr>
    <w:rPr>
      <w:rFonts w:ascii="??" w:hAnsi="??"/>
      <w:color w:val="000000"/>
      <w:kern w:val="0"/>
      <w:sz w:val="28"/>
      <w:szCs w:val="21"/>
      <w:lang w:val="zh-CN"/>
    </w:rPr>
  </w:style>
  <w:style w:type="paragraph" w:customStyle="1" w:styleId="41">
    <w:name w:val="WPSOffice手动目录 3"/>
    <w:qFormat/>
    <w:uiPriority w:val="0"/>
    <w:pPr>
      <w:ind w:leftChars="40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7"/>
        </c:manualLayout>
      </c:layout>
      <c:overlay val="0"/>
    </c:title>
    <c:autoTitleDeleted val="0"/>
    <c:plotArea>
      <c:layout>
        <c:manualLayout>
          <c:layoutTarget val="inner"/>
          <c:xMode val="edge"/>
          <c:yMode val="edge"/>
          <c:x val="0.0769356344423438"/>
          <c:y val="0.212981143314532"/>
          <c:w val="0.763500149073545"/>
          <c:h val="0.680324640271032"/>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342.66</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319.61</c:v>
                </c:pt>
              </c:numCache>
            </c:numRef>
          </c:val>
        </c:ser>
        <c:dLbls>
          <c:showLegendKey val="0"/>
          <c:showVal val="1"/>
          <c:showCatName val="0"/>
          <c:showSerName val="0"/>
          <c:showPercent val="0"/>
          <c:showBubbleSize val="0"/>
        </c:dLbls>
        <c:gapWidth val="150"/>
        <c:axId val="243807744"/>
        <c:axId val="277832064"/>
      </c:barChart>
      <c:catAx>
        <c:axId val="24380774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7832064"/>
        <c:crosses val="autoZero"/>
        <c:auto val="1"/>
        <c:lblAlgn val="ctr"/>
        <c:lblOffset val="100"/>
        <c:noMultiLvlLbl val="0"/>
      </c:catAx>
      <c:valAx>
        <c:axId val="27783206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8077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2023</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2"/>
          <c:y val="0.217391304347828"/>
          <c:w val="0.296150696150698"/>
          <c:h val="0.655072463768122"/>
        </c:manualLayout>
      </c:layout>
      <c:pieChart>
        <c:varyColors val="1"/>
        <c:ser>
          <c:idx val="0"/>
          <c:order val="0"/>
          <c:tx>
            <c:strRef>
              <c:f>Sheet1!$B$1</c:f>
              <c:strCache>
                <c:ptCount val="1"/>
                <c:pt idx="0">
                  <c:v>2022年部门决算收入结构图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0.00527981755089603"/>
                  <c:y val="-0.34695619569293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dLbl>
              <c:idx val="7"/>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Sheet1!$A$2:$A$9</c:f>
              <c:strCache>
                <c:ptCount val="8"/>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pt idx="7">
                  <c:v>国有资本经营预算财政拨款收入</c:v>
                </c:pt>
              </c:strCache>
            </c:strRef>
          </c:cat>
          <c:val>
            <c:numRef>
              <c:f>Sheet1!$B$2:$B$9</c:f>
              <c:numCache>
                <c:formatCode>General</c:formatCode>
                <c:ptCount val="8"/>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5"/>
          <c:y val="0.192746260074382"/>
          <c:w val="0.342222222222222"/>
          <c:h val="0.738888734314581"/>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2023</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626474190421383"/>
                  <c:y val="0.027970883512814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100</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9"/>
          <c:y val="0.0521624031445839"/>
        </c:manualLayout>
      </c:layout>
      <c:overlay val="0"/>
    </c:title>
    <c:autoTitleDeleted val="0"/>
    <c:plotArea>
      <c:layout>
        <c:manualLayout>
          <c:layoutTarget val="inner"/>
          <c:xMode val="edge"/>
          <c:yMode val="edge"/>
          <c:x val="0.0769356344423438"/>
          <c:y val="0.212981143314532"/>
          <c:w val="0.763500149073545"/>
          <c:h val="0.68032464027103"/>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342.66</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319.61</c:v>
                </c:pt>
              </c:numCache>
            </c:numRef>
          </c:val>
        </c:ser>
        <c:dLbls>
          <c:showLegendKey val="0"/>
          <c:showVal val="1"/>
          <c:showCatName val="0"/>
          <c:showSerName val="0"/>
          <c:showPercent val="0"/>
          <c:showBubbleSize val="0"/>
        </c:dLbls>
        <c:gapWidth val="150"/>
        <c:axId val="105224832"/>
        <c:axId val="105406848"/>
      </c:barChart>
      <c:catAx>
        <c:axId val="1052248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06848"/>
        <c:crosses val="autoZero"/>
        <c:auto val="1"/>
        <c:lblAlgn val="ctr"/>
        <c:lblOffset val="100"/>
        <c:noMultiLvlLbl val="0"/>
      </c:catAx>
      <c:valAx>
        <c:axId val="1054068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224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47"/>
          <c:h val="0.683986901018178"/>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342.66</c:v>
                </c:pt>
              </c:numCache>
            </c:numRef>
          </c:val>
        </c:ser>
        <c:ser>
          <c:idx val="1"/>
          <c:order val="1"/>
          <c:tx>
            <c:strRef>
              <c:f>Sheet1!$C$1</c:f>
              <c:strCache>
                <c:ptCount val="1"/>
                <c:pt idx="0">
                  <c:v>2022年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319.61</c:v>
                </c:pt>
              </c:numCache>
            </c:numRef>
          </c:val>
        </c:ser>
        <c:dLbls>
          <c:showLegendKey val="0"/>
          <c:showVal val="1"/>
          <c:showCatName val="0"/>
          <c:showSerName val="0"/>
          <c:showPercent val="0"/>
          <c:showBubbleSize val="0"/>
        </c:dLbls>
        <c:gapWidth val="150"/>
        <c:axId val="105444864"/>
        <c:axId val="105446400"/>
      </c:barChart>
      <c:catAx>
        <c:axId val="1054448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6400"/>
        <c:crosses val="autoZero"/>
        <c:auto val="1"/>
        <c:lblAlgn val="ctr"/>
        <c:lblOffset val="100"/>
        <c:noMultiLvlLbl val="0"/>
      </c:catAx>
      <c:valAx>
        <c:axId val="1054464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4864"/>
        <c:crosses val="autoZero"/>
        <c:crossBetween val="between"/>
      </c:valAx>
    </c:plotArea>
    <c:legend>
      <c:legendPos val="r"/>
      <c:layout>
        <c:manualLayout>
          <c:xMode val="edge"/>
          <c:yMode val="edge"/>
          <c:x val="0.881289744596317"/>
          <c:y val="0.460636092476829"/>
          <c:w val="0.118710255403684"/>
          <c:h val="0.20996125847113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23</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920663114269"/>
          <c:y val="0.0204026115342767"/>
        </c:manualLayout>
      </c:layout>
      <c:overlay val="0"/>
    </c:title>
    <c:autoTitleDeleted val="0"/>
    <c:plotArea>
      <c:layout/>
      <c:pieChart>
        <c:varyColors val="1"/>
        <c:ser>
          <c:idx val="0"/>
          <c:order val="0"/>
          <c:tx>
            <c:strRef>
              <c:f>Sheet1!$B$1</c:f>
              <c:strCache>
                <c:ptCount val="1"/>
                <c:pt idx="0">
                  <c:v>2022年部门决算支出结构图</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manualLayout>
                  <c:x val="-0.00650102707000315"/>
                  <c:y val="-0.186905249414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87.06</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61196451907892"/>
                  <c:y val="0.028563656147986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729425695677916"/>
                      <c:h val="0.0930359085963003"/>
                    </c:manualLayout>
                  </c15:layout>
                </c:ext>
              </c:extLst>
            </c:dLbl>
            <c:dLbl>
              <c:idx val="2"/>
              <c:layout>
                <c:manualLayout>
                  <c:x val="0.0378097276028773"/>
                  <c:y val="-0.027020554693992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7.14%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delete val="1"/>
            </c:dLbl>
            <c:dLbl>
              <c:idx val="4"/>
              <c:delete val="1"/>
            </c:dLbl>
            <c:dLbl>
              <c:idx val="5"/>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社会保障和就业支出</c:v>
                </c:pt>
                <c:pt idx="1">
                  <c:v>卫生健康支出</c:v>
                </c:pt>
                <c:pt idx="2">
                  <c:v>住房保障支出</c:v>
                </c:pt>
                <c:pt idx="3">
                  <c:v>农林水支出</c:v>
                </c:pt>
                <c:pt idx="4">
                  <c:v>其他支出</c:v>
                </c:pt>
              </c:strCache>
            </c:strRef>
          </c:cat>
          <c:val>
            <c:numRef>
              <c:f>Sheet1!$B$2:$B$7</c:f>
              <c:numCache>
                <c:formatCode>General</c:formatCode>
                <c:ptCount val="6"/>
                <c:pt idx="0">
                  <c:v>87.06</c:v>
                </c:pt>
                <c:pt idx="1">
                  <c:v>5.8</c:v>
                </c:pt>
                <c:pt idx="2">
                  <c:v>7.14</c:v>
                </c:pt>
                <c:pt idx="5">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87.99</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manualLayout>
                  <c:x val="-0.00447131443155149"/>
                  <c:y val="-0.368179207352732"/>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1</a:t>
                    </a:r>
                    <a:r>
                      <a:rPr lang="en-US" altLang="zh-CN"/>
                      <a:t>00</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c:v>
                </c:pt>
                <c:pt idx="2">
                  <c:v>公务接待费支出</c:v>
                </c:pt>
              </c:strCache>
            </c:strRef>
          </c:cat>
          <c:val>
            <c:numRef>
              <c:f>Sheet1!$B$2:$B$4</c:f>
              <c:numCache>
                <c:formatCode>General</c:formatCode>
                <c:ptCount val="3"/>
                <c:pt idx="2">
                  <c:v>100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4" textRotate="1"/>
    <customShpInfo spid="_x0000_s2055"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34CBA7-0681-40B0-897A-8BB6A8AF2D43}">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51</Pages>
  <Words>3348</Words>
  <Characters>19089</Characters>
  <Lines>159</Lines>
  <Paragraphs>44</Paragraphs>
  <TotalTime>20</TotalTime>
  <ScaleCrop>false</ScaleCrop>
  <LinksUpToDate>false</LinksUpToDate>
  <CharactersWithSpaces>22393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随心所欲</cp:lastModifiedBy>
  <cp:lastPrinted>2024-09-20T02:05:00Z</cp:lastPrinted>
  <dcterms:modified xsi:type="dcterms:W3CDTF">2024-09-20T08:28:22Z</dcterms:modified>
  <dc:title>四川省***</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A08F2A8B83024382BEBCB4A3E8D8E32D</vt:lpwstr>
  </property>
</Properties>
</file>