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2024年度四川省阿坝州</w:t>
      </w:r>
    </w:p>
    <w:p>
      <w:pPr>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茂县人力资源和社会保障局（事业）</w:t>
      </w:r>
    </w:p>
    <w:p>
      <w:pPr>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单位决算公开</w:t>
      </w:r>
    </w:p>
    <w:p>
      <w:pPr>
        <w:widowControl/>
        <w:jc w:val="center"/>
        <w:rPr>
          <w:rFonts w:ascii="方正小标宋简体" w:hAnsi="宋体" w:eastAsia="方正小标宋简体"/>
          <w:color w:val="000000"/>
          <w:sz w:val="36"/>
          <w:szCs w:val="36"/>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pPr>
        <w:suppressAutoHyphens/>
        <w:bidi w:val="0"/>
        <w:adjustRightInd w:val="0"/>
        <w:snapToGrid w:val="0"/>
        <w:spacing w:line="576" w:lineRule="exact"/>
        <w:jc w:val="both"/>
        <w:outlineLvl w:val="0"/>
        <w:rPr>
          <w:rFonts w:ascii="黑体" w:hAnsi="黑体" w:eastAsia="黑体"/>
          <w:color w:val="auto"/>
          <w:sz w:val="48"/>
          <w:szCs w:val="48"/>
          <w:highlight w:val="none"/>
        </w:rPr>
      </w:pPr>
      <w:r>
        <w:rPr>
          <w:rFonts w:ascii="方正小标宋简体" w:hAnsi="方正小标宋简体" w:eastAsia="方正小标宋简体" w:cs="方正小标宋简体"/>
          <w:color w:val="000000"/>
          <w:sz w:val="44"/>
          <w:szCs w:val="44"/>
        </w:rPr>
        <w:br w:type="page"/>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黑体" w:hAnsi="黑体" w:eastAsia="黑体"/>
          <w:color w:val="auto"/>
          <w:sz w:val="48"/>
          <w:szCs w:val="48"/>
          <w:highlight w:val="none"/>
        </w:rPr>
        <w:t>目录</w:t>
      </w:r>
    </w:p>
    <w:p>
      <w:pPr>
        <w:widowControl/>
        <w:jc w:val="center"/>
        <w:rPr>
          <w:rFonts w:ascii="黑体" w:hAnsi="黑体" w:eastAsia="黑体" w:cs="Times New Roman"/>
          <w:color w:val="auto"/>
          <w:sz w:val="28"/>
          <w:szCs w:val="28"/>
          <w:highlight w:val="none"/>
        </w:rPr>
      </w:pPr>
    </w:p>
    <w:p>
      <w:pPr>
        <w:pStyle w:val="13"/>
        <w:rPr>
          <w:color w:val="auto"/>
          <w:sz w:val="32"/>
          <w:szCs w:val="32"/>
          <w:highlight w:val="none"/>
        </w:rPr>
      </w:pPr>
      <w:r>
        <w:rPr>
          <w:rFonts w:hint="eastAsia"/>
          <w:color w:val="auto"/>
          <w:sz w:val="32"/>
          <w:szCs w:val="32"/>
          <w:highlight w:val="none"/>
        </w:rPr>
        <w:t>公开时间：20</w:t>
      </w:r>
      <w:r>
        <w:rPr>
          <w:rFonts w:hint="eastAsia"/>
          <w:color w:val="auto"/>
          <w:sz w:val="32"/>
          <w:szCs w:val="32"/>
          <w:highlight w:val="none"/>
          <w:lang w:val="en-US" w:eastAsia="zh-CN"/>
        </w:rPr>
        <w:t>25</w:t>
      </w:r>
      <w:r>
        <w:rPr>
          <w:rFonts w:hint="eastAsia"/>
          <w:color w:val="auto"/>
          <w:sz w:val="32"/>
          <w:szCs w:val="32"/>
          <w:highlight w:val="none"/>
        </w:rPr>
        <w:t>年</w:t>
      </w:r>
      <w:r>
        <w:rPr>
          <w:rFonts w:hint="eastAsia"/>
          <w:color w:val="auto"/>
          <w:sz w:val="32"/>
          <w:szCs w:val="32"/>
          <w:highlight w:val="none"/>
          <w:lang w:val="en-US" w:eastAsia="zh-CN"/>
        </w:rPr>
        <w:t>9</w:t>
      </w:r>
      <w:r>
        <w:rPr>
          <w:rFonts w:hint="eastAsia"/>
          <w:color w:val="auto"/>
          <w:sz w:val="32"/>
          <w:szCs w:val="32"/>
          <w:highlight w:val="none"/>
        </w:rPr>
        <w:t>月</w:t>
      </w:r>
      <w:r>
        <w:rPr>
          <w:rFonts w:hint="eastAsia"/>
          <w:color w:val="auto"/>
          <w:sz w:val="32"/>
          <w:szCs w:val="32"/>
          <w:highlight w:val="none"/>
          <w:lang w:val="en-US" w:eastAsia="zh-CN"/>
        </w:rPr>
        <w:t>25</w:t>
      </w:r>
      <w:r>
        <w:rPr>
          <w:rFonts w:hint="eastAsia"/>
          <w:color w:val="auto"/>
          <w:sz w:val="32"/>
          <w:szCs w:val="32"/>
          <w:highlight w:val="none"/>
        </w:rPr>
        <w:t>日</w:t>
      </w:r>
    </w:p>
    <w:p>
      <w:pPr>
        <w:rPr>
          <w:color w:val="auto"/>
          <w:highlight w:val="none"/>
        </w:rPr>
      </w:pPr>
    </w:p>
    <w:p>
      <w:pPr>
        <w:pStyle w:val="14"/>
        <w:adjustRightInd w:val="0"/>
        <w:snapToGrid w:val="0"/>
        <w:spacing w:line="576"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概况</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4</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一、主要职责</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4</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二、机构设置</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6</w:t>
      </w:r>
    </w:p>
    <w:p>
      <w:pPr>
        <w:pStyle w:val="14"/>
        <w:adjustRightInd w:val="0"/>
        <w:snapToGrid w:val="0"/>
        <w:spacing w:line="576"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第二部分</w:t>
      </w:r>
      <w:r>
        <w:rPr>
          <w:rFonts w:hint="eastAsia" w:ascii="仿宋_GB2312" w:hAnsi="仿宋_GB2312" w:eastAsia="仿宋_GB2312" w:cs="仿宋_GB2312"/>
          <w:sz w:val="32"/>
          <w:szCs w:val="32"/>
          <w:lang w:val="en-US" w:eastAsia="zh-CN"/>
        </w:rPr>
        <w:t xml:space="preserve"> 2024年度</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二、收入决算情况说明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四、财政拨款收入支出决算总体情况说明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8</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五、一般公共预算财政拨款支出决算情况说明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8</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六、一般公共预算财政拨款基本支出决算情况说明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10</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七、财政拨款“三公”经费支出决算情况说明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11</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八、政府性基金预算支出决算情况说明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13</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九、国有资本经营预算支出决算情况说明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13</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十、其他重要事项的情况说明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 xml:space="preserve">13  </w:t>
      </w:r>
    </w:p>
    <w:p>
      <w:pPr>
        <w:pStyle w:val="14"/>
        <w:adjustRightInd w:val="0"/>
        <w:snapToGrid w:val="0"/>
        <w:spacing w:line="576" w:lineRule="exact"/>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14</w:t>
      </w:r>
    </w:p>
    <w:p>
      <w:pPr>
        <w:pStyle w:val="14"/>
        <w:adjustRightInd w:val="0"/>
        <w:snapToGrid w:val="0"/>
        <w:spacing w:line="576" w:lineRule="exact"/>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第四部分 附</w:t>
      </w:r>
      <w:r>
        <w:rPr>
          <w:rFonts w:hint="eastAsia" w:ascii="仿宋_GB2312" w:hAnsi="仿宋_GB2312" w:eastAsia="仿宋_GB2312" w:cs="仿宋_GB2312"/>
          <w:sz w:val="32"/>
          <w:szCs w:val="32"/>
          <w:lang w:val="en-US" w:eastAsia="zh-CN"/>
        </w:rPr>
        <w:t>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一、收入支出决算总表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二、收入决算表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四、财政拨款收入支出决算总表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五、财政拨款支出决算明细表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六、一般公共预算财政拨款支出决算表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七、一般公共预算财政拨款支出决算明细表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八、一般公共预算财政拨款基本支出决算明细表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九、一般公共预算财政拨款项目支出决算表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十、政府性基金预算财政拨款收入支出决算表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十一、国有资本经营预算财政拨款收入支出决算表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十二、国有资本经营预算财政拨款支出决算表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十三、财政拨款“三公”经费支出决算表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widowControl/>
        <w:spacing w:line="440" w:lineRule="exact"/>
        <w:jc w:val="left"/>
        <w:rPr>
          <w:rFonts w:ascii="仿宋" w:hAnsi="仿宋" w:eastAsia="仿宋"/>
          <w:bCs/>
          <w:color w:val="auto"/>
          <w:kern w:val="44"/>
          <w:sz w:val="24"/>
          <w:highlight w:val="none"/>
        </w:rPr>
      </w:pPr>
      <w:r>
        <w:rPr>
          <w:rFonts w:ascii="仿宋" w:hAnsi="仿宋" w:eastAsia="仿宋"/>
          <w:b/>
          <w:color w:val="auto"/>
          <w:sz w:val="24"/>
          <w:highlight w:val="none"/>
        </w:rPr>
        <w:br w:type="page"/>
      </w:r>
    </w:p>
    <w:p>
      <w:pPr>
        <w:suppressAutoHyphens/>
        <w:bidi w:val="0"/>
        <w:spacing w:line="576" w:lineRule="exact"/>
        <w:ind w:left="672"/>
        <w:jc w:val="center"/>
        <w:rPr>
          <w:rFonts w:ascii="黑体" w:eastAsia="黑体"/>
          <w:color w:val="auto"/>
          <w:sz w:val="32"/>
          <w:szCs w:val="32"/>
          <w:highlight w:val="none"/>
        </w:rPr>
      </w:pPr>
      <w:r>
        <w:rPr>
          <w:rStyle w:val="28"/>
          <w:rFonts w:hint="eastAsia" w:ascii="黑体" w:hAnsi="黑体" w:eastAsia="黑体" w:cs="黑体"/>
        </w:rPr>
        <w:t xml:space="preserve">第一部分 </w:t>
      </w:r>
      <w:r>
        <w:rPr>
          <w:rStyle w:val="28"/>
          <w:rFonts w:hint="eastAsia" w:ascii="黑体" w:hAnsi="黑体" w:eastAsia="黑体" w:cs="黑体"/>
          <w:lang w:eastAsia="zh-CN"/>
        </w:rPr>
        <w:t>单位</w:t>
      </w:r>
      <w:r>
        <w:rPr>
          <w:rStyle w:val="28"/>
          <w:rFonts w:hint="eastAsia" w:ascii="黑体" w:hAnsi="黑体" w:eastAsia="黑体" w:cs="黑体"/>
        </w:rPr>
        <w:t>概况</w:t>
      </w:r>
    </w:p>
    <w:p>
      <w:pPr>
        <w:numPr>
          <w:ilvl w:val="0"/>
          <w:numId w:val="1"/>
        </w:numPr>
        <w:spacing w:line="576" w:lineRule="exact"/>
        <w:ind w:firstLine="640" w:firstLineChars="200"/>
        <w:rPr>
          <w:rFonts w:hint="eastAsia" w:ascii="黑体" w:hAnsi="黑体" w:eastAsia="黑体" w:cs="Times New Roman"/>
          <w:b w:val="0"/>
          <w:bCs w:val="0"/>
          <w:color w:val="000000"/>
          <w:kern w:val="2"/>
          <w:sz w:val="32"/>
          <w:szCs w:val="32"/>
          <w:lang w:val="en-US" w:eastAsia="zh-CN" w:bidi="ar-SA"/>
        </w:rPr>
      </w:pPr>
      <w:r>
        <w:rPr>
          <w:rFonts w:hint="eastAsia" w:ascii="黑体" w:hAnsi="黑体" w:eastAsia="黑体" w:cs="Times New Roman"/>
          <w:b w:val="0"/>
          <w:bCs w:val="0"/>
          <w:color w:val="000000"/>
          <w:kern w:val="2"/>
          <w:sz w:val="32"/>
          <w:szCs w:val="32"/>
          <w:lang w:val="en-US" w:eastAsia="zh-CN" w:bidi="ar-SA"/>
        </w:rPr>
        <w:t>主要职责</w:t>
      </w:r>
    </w:p>
    <w:p>
      <w:pPr>
        <w:numPr>
          <w:ilvl w:val="0"/>
          <w:numId w:val="0"/>
        </w:numPr>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（一）主要职能</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1.贯彻落实人力资源和社会保障法律、法规、规章和方针政策，拟订执行全县人力资源和社会保障事业发展规划，起草相关规范性文件草案，并组织实施和监督检查。</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2.贯彻落实人力资源市场发展规划、人力资源流动政策，建立全县统一规范的人力资源市场，促进人力资源合理流动、有效配置。</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spacing w:line="556" w:lineRule="exact"/>
        <w:rPr>
          <w:rFonts w:ascii="仿宋_GB2312" w:eastAsia="仿宋_GB2312"/>
          <w:sz w:val="32"/>
          <w:szCs w:val="32"/>
        </w:rPr>
      </w:pPr>
      <w:r>
        <w:rPr>
          <w:rFonts w:hint="eastAsia" w:ascii="仿宋_GB2312" w:eastAsia="仿宋_GB2312"/>
          <w:sz w:val="32"/>
          <w:szCs w:val="32"/>
        </w:rPr>
        <w:t>　　4.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spacing w:line="556" w:lineRule="exact"/>
        <w:rPr>
          <w:rFonts w:ascii="仿宋_GB2312" w:eastAsia="仿宋_GB2312"/>
          <w:sz w:val="32"/>
          <w:szCs w:val="32"/>
        </w:rPr>
      </w:pPr>
      <w:r>
        <w:rPr>
          <w:rFonts w:hint="eastAsia" w:ascii="仿宋_GB2312" w:eastAsia="仿宋_GB2312"/>
          <w:sz w:val="32"/>
          <w:szCs w:val="32"/>
        </w:rPr>
        <w:t>　　5.负责就业、失业和相关社会保险基金预测预警和信息引导，实施预防、调节和控制，保持就业形势稳定和相关社会保险基金总体收支平衡。</w:t>
      </w:r>
    </w:p>
    <w:p>
      <w:pPr>
        <w:spacing w:line="556" w:lineRule="exact"/>
        <w:rPr>
          <w:rFonts w:ascii="仿宋_GB2312" w:eastAsia="仿宋_GB2312"/>
          <w:sz w:val="32"/>
          <w:szCs w:val="32"/>
        </w:rPr>
      </w:pPr>
      <w:r>
        <w:rPr>
          <w:rFonts w:hint="eastAsia" w:ascii="仿宋_GB2312" w:eastAsia="仿宋_GB2312"/>
          <w:sz w:val="32"/>
          <w:szCs w:val="32"/>
        </w:rPr>
        <w:t>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spacing w:line="556" w:lineRule="exact"/>
        <w:ind w:firstLine="640"/>
        <w:rPr>
          <w:rFonts w:ascii="仿宋_GB2312" w:eastAsia="仿宋_GB2312"/>
          <w:sz w:val="32"/>
          <w:szCs w:val="32"/>
        </w:rPr>
      </w:pPr>
      <w:r>
        <w:rPr>
          <w:rFonts w:hint="eastAsia" w:ascii="仿宋_GB2312" w:eastAsia="仿宋_GB2312"/>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pPr>
        <w:spacing w:line="556" w:lineRule="exact"/>
        <w:ind w:firstLine="640"/>
        <w:rPr>
          <w:rFonts w:ascii="仿宋_GB2312" w:eastAsia="仿宋_GB2312"/>
          <w:sz w:val="32"/>
          <w:szCs w:val="32"/>
        </w:rPr>
      </w:pPr>
      <w:r>
        <w:rPr>
          <w:rFonts w:hint="eastAsia" w:ascii="仿宋_GB2312" w:eastAsia="仿宋_GB2312"/>
          <w:sz w:val="32"/>
          <w:szCs w:val="32"/>
        </w:rPr>
        <w:t>10.会同有关部门执行事业单位人员工资收入分配政策，建立企事业单位人员工资决定、正常增长和支付保障机制。贯彻执行企事业单位人员福利和退休政策。</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11.会同有关部门拟订落实农民工工作综合性规划，推动相关政策的落实，协调解决重点难点问题，维护农民工合法权益。负责将安全生产纳入农民工技能培训内容。</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12.负责人力资源和社会保障领域的对外交流与合作工作。</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13.承担职责范围内的安全生产和职业健康、生态环境保护、审批服务便民化等工作。</w:t>
      </w:r>
    </w:p>
    <w:p>
      <w:pPr>
        <w:spacing w:line="556" w:lineRule="exact"/>
        <w:ind w:firstLine="640"/>
        <w:rPr>
          <w:rFonts w:ascii="仿宋_GB2312" w:eastAsia="仿宋_GB2312"/>
          <w:sz w:val="32"/>
          <w:szCs w:val="32"/>
        </w:rPr>
      </w:pPr>
      <w:r>
        <w:rPr>
          <w:rFonts w:hint="eastAsia" w:ascii="仿宋_GB2312" w:eastAsia="仿宋_GB2312"/>
          <w:sz w:val="32"/>
          <w:szCs w:val="32"/>
        </w:rPr>
        <w:t>14.完成县委、县政府交办的其他任务。</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spacing w:line="556" w:lineRule="exact"/>
        <w:ind w:firstLine="640" w:firstLineChars="200"/>
        <w:rPr>
          <w:rFonts w:hint="eastAsia" w:ascii="仿宋_GB2312" w:eastAsia="仿宋_GB2312"/>
          <w:sz w:val="32"/>
          <w:szCs w:val="32"/>
        </w:rPr>
      </w:pPr>
      <w:r>
        <w:rPr>
          <w:rFonts w:hint="eastAsia" w:ascii="仿宋_GB2312" w:eastAsia="仿宋_GB2312"/>
          <w:sz w:val="32"/>
          <w:szCs w:val="32"/>
        </w:rPr>
        <w:t>16.有关职责分工。高校毕业生就业管理的职责分工。毕业生就业政策由县人力资源</w:t>
      </w:r>
      <w:r>
        <w:rPr>
          <w:rFonts w:hint="eastAsia" w:ascii="仿宋_GB2312" w:eastAsia="仿宋_GB2312"/>
          <w:sz w:val="32"/>
          <w:szCs w:val="32"/>
          <w:lang w:val="en-US" w:eastAsia="zh-CN"/>
        </w:rPr>
        <w:t>和</w:t>
      </w:r>
      <w:r>
        <w:rPr>
          <w:rFonts w:hint="eastAsia" w:ascii="仿宋_GB2312" w:eastAsia="仿宋_GB2312"/>
          <w:sz w:val="32"/>
          <w:szCs w:val="32"/>
        </w:rPr>
        <w:t>社会保障局牵头，会同县教育局等部门贯彻落实；毕业生离校前的就业指导和服务工作，由县教育局负责；毕业生离校后的就业指导和服务工作，由县人力资源</w:t>
      </w:r>
      <w:r>
        <w:rPr>
          <w:rFonts w:hint="eastAsia" w:ascii="仿宋_GB2312" w:eastAsia="仿宋_GB2312"/>
          <w:sz w:val="32"/>
          <w:szCs w:val="32"/>
          <w:lang w:val="en-US" w:eastAsia="zh-CN"/>
        </w:rPr>
        <w:t>和</w:t>
      </w:r>
      <w:r>
        <w:rPr>
          <w:rFonts w:hint="eastAsia" w:ascii="仿宋_GB2312" w:eastAsia="仿宋_GB2312"/>
          <w:sz w:val="32"/>
          <w:szCs w:val="32"/>
        </w:rPr>
        <w:t>社会保障局负责。</w:t>
      </w:r>
    </w:p>
    <w:p>
      <w:pPr>
        <w:spacing w:line="560" w:lineRule="exact"/>
        <w:ind w:firstLine="640" w:firstLineChars="200"/>
        <w:rPr>
          <w:rFonts w:ascii="楷体_GB2312" w:eastAsia="楷体_GB2312" w:cs="宋体"/>
          <w:b/>
          <w:kern w:val="0"/>
          <w:sz w:val="32"/>
          <w:szCs w:val="32"/>
        </w:rPr>
      </w:pPr>
      <w:r>
        <w:rPr>
          <w:rFonts w:hint="eastAsia" w:ascii="黑体" w:hAnsi="黑体" w:eastAsia="黑体" w:cs="黑体"/>
          <w:sz w:val="32"/>
          <w:szCs w:val="32"/>
        </w:rPr>
        <w:t>二、机构设置</w:t>
      </w:r>
    </w:p>
    <w:p>
      <w:pPr>
        <w:spacing w:line="576" w:lineRule="exact"/>
        <w:ind w:firstLine="640" w:firstLineChars="200"/>
        <w:rPr>
          <w:rStyle w:val="38"/>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sz w:val="32"/>
          <w:szCs w:val="32"/>
        </w:rPr>
        <w:t>茂县人力资源和社会保障局</w:t>
      </w:r>
      <w:r>
        <w:rPr>
          <w:rFonts w:hint="eastAsia" w:ascii="仿宋_GB2312" w:hAnsi="仿宋_GB2312" w:eastAsia="仿宋_GB2312" w:cs="仿宋_GB2312"/>
          <w:color w:val="000000"/>
          <w:sz w:val="32"/>
          <w:szCs w:val="32"/>
          <w:lang w:val="en-US" w:eastAsia="zh-CN"/>
        </w:rPr>
        <w:t>培训中心</w:t>
      </w:r>
      <w:r>
        <w:rPr>
          <w:rFonts w:hint="eastAsia" w:ascii="仿宋_GB2312" w:hAnsi="仿宋_GB2312" w:eastAsia="仿宋_GB2312" w:cs="仿宋_GB2312"/>
          <w:sz w:val="32"/>
          <w:szCs w:val="32"/>
        </w:rPr>
        <w:t>下属二级单位0个，其中行政单位0个，参照公务员法管理的事业单位</w:t>
      </w:r>
      <w:r>
        <w:rPr>
          <w:rFonts w:hint="eastAsia" w:ascii="仿宋_GB2312" w:hAnsi="仿宋_GB2312" w:eastAsia="仿宋_GB2312" w:cs="仿宋_GB2312"/>
          <w:bCs/>
          <w:sz w:val="32"/>
          <w:szCs w:val="32"/>
        </w:rPr>
        <w:t>0</w:t>
      </w:r>
      <w:r>
        <w:rPr>
          <w:rFonts w:hint="eastAsia" w:ascii="仿宋_GB2312" w:hAnsi="仿宋_GB2312" w:eastAsia="仿宋_GB2312" w:cs="仿宋_GB2312"/>
          <w:sz w:val="32"/>
          <w:szCs w:val="32"/>
        </w:rPr>
        <w:t>个，其他事业单位0个</w:t>
      </w:r>
      <w:r>
        <w:rPr>
          <w:rFonts w:hint="eastAsia" w:ascii="仿宋_GB2312" w:hAnsi="仿宋_GB2312" w:eastAsia="仿宋_GB2312" w:cs="仿宋_GB2312"/>
          <w:sz w:val="32"/>
          <w:szCs w:val="32"/>
          <w:lang w:val="en-US" w:eastAsia="zh-CN"/>
        </w:rPr>
        <w:t>。</w:t>
      </w:r>
    </w:p>
    <w:p>
      <w:pPr>
        <w:widowControl/>
        <w:jc w:val="left"/>
        <w:rPr>
          <w:rFonts w:ascii="仿宋" w:hAnsi="仿宋" w:eastAsia="仿宋"/>
          <w:color w:val="auto"/>
          <w:kern w:val="0"/>
          <w:sz w:val="32"/>
          <w:szCs w:val="32"/>
          <w:highlight w:val="none"/>
        </w:rPr>
      </w:pPr>
    </w:p>
    <w:p>
      <w:pPr>
        <w:pStyle w:val="5"/>
        <w:ind w:right="440"/>
        <w:jc w:val="right"/>
        <w:rPr>
          <w:rStyle w:val="38"/>
          <w:rFonts w:ascii="黑体" w:hAnsi="黑体" w:eastAsia="黑体"/>
          <w:b/>
          <w:bCs/>
        </w:rPr>
      </w:pPr>
      <w:r>
        <w:rPr>
          <w:rStyle w:val="38"/>
          <w:rFonts w:hint="eastAsia" w:ascii="黑体" w:hAnsi="黑体" w:eastAsia="黑体"/>
          <w:b w:val="0"/>
          <w:bCs w:val="0"/>
        </w:rPr>
        <w:t>第二部分</w:t>
      </w:r>
      <w:r>
        <w:rPr>
          <w:rStyle w:val="38"/>
          <w:rFonts w:ascii="黑体" w:hAnsi="黑体" w:eastAsia="黑体"/>
          <w:b w:val="0"/>
          <w:bCs w:val="0"/>
        </w:rPr>
        <w:t xml:space="preserve"> 202</w:t>
      </w:r>
      <w:r>
        <w:rPr>
          <w:rStyle w:val="38"/>
          <w:rFonts w:hint="eastAsia" w:ascii="黑体" w:hAnsi="黑体" w:eastAsia="黑体"/>
          <w:b w:val="0"/>
          <w:bCs w:val="0"/>
          <w:lang w:val="en-US" w:eastAsia="zh-CN"/>
        </w:rPr>
        <w:t>4</w:t>
      </w:r>
      <w:r>
        <w:rPr>
          <w:rStyle w:val="38"/>
          <w:rFonts w:hint="eastAsia" w:ascii="黑体" w:hAnsi="黑体" w:eastAsia="黑体"/>
          <w:b w:val="0"/>
          <w:bCs w:val="0"/>
        </w:rPr>
        <w:t>年度</w:t>
      </w:r>
      <w:r>
        <w:rPr>
          <w:rStyle w:val="38"/>
          <w:rFonts w:hint="eastAsia" w:ascii="黑体" w:hAnsi="黑体" w:eastAsia="黑体"/>
          <w:b w:val="0"/>
          <w:bCs w:val="0"/>
          <w:lang w:val="en-US" w:eastAsia="zh-CN"/>
        </w:rPr>
        <w:t>单位</w:t>
      </w:r>
      <w:r>
        <w:rPr>
          <w:rStyle w:val="38"/>
          <w:rFonts w:hint="eastAsia" w:ascii="黑体" w:hAnsi="黑体" w:eastAsia="黑体"/>
          <w:b w:val="0"/>
          <w:bCs w:val="0"/>
        </w:rPr>
        <w:t>决算情况说明</w:t>
      </w:r>
    </w:p>
    <w:p>
      <w:pPr>
        <w:pStyle w:val="39"/>
        <w:numPr>
          <w:ilvl w:val="0"/>
          <w:numId w:val="2"/>
        </w:numPr>
        <w:spacing w:line="600" w:lineRule="exact"/>
        <w:ind w:firstLineChars="0"/>
        <w:outlineLvl w:val="1"/>
        <w:rPr>
          <w:rStyle w:val="29"/>
          <w:rFonts w:ascii="黑体" w:hAnsi="黑体" w:eastAsia="黑体"/>
          <w:b w:val="0"/>
        </w:rPr>
      </w:pPr>
      <w:bookmarkStart w:id="1" w:name="_Toc15396603"/>
      <w:bookmarkStart w:id="2" w:name="_Toc79163610"/>
      <w:bookmarkStart w:id="3" w:name="_Toc15377205"/>
      <w:bookmarkStart w:id="4" w:name="_Toc79163860"/>
      <w:r>
        <w:rPr>
          <w:rStyle w:val="29"/>
          <w:rFonts w:hint="eastAsia" w:ascii="黑体" w:hAnsi="黑体" w:eastAsia="黑体"/>
        </w:rPr>
        <w:t>收入支出决算总体情况说明</w:t>
      </w:r>
      <w:bookmarkEnd w:id="1"/>
      <w:bookmarkEnd w:id="2"/>
      <w:bookmarkEnd w:id="3"/>
      <w:bookmarkEnd w:id="4"/>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年度收、支总计</w:t>
      </w:r>
      <w:r>
        <w:rPr>
          <w:rFonts w:hint="eastAsia" w:ascii="仿宋_GB2312" w:hAnsi="仿宋_GB2312" w:eastAsia="仿宋_GB2312" w:cs="仿宋_GB2312"/>
          <w:color w:val="000000"/>
          <w:sz w:val="32"/>
          <w:szCs w:val="32"/>
          <w:lang w:val="en-US" w:eastAsia="zh-CN"/>
        </w:rPr>
        <w:t>均为</w:t>
      </w:r>
      <w:r>
        <w:rPr>
          <w:rFonts w:hint="eastAsia" w:ascii="仿宋_GB2312" w:hAnsi="仿宋_GB2312" w:eastAsia="仿宋_GB2312" w:cs="仿宋_GB2312"/>
          <w:sz w:val="32"/>
          <w:szCs w:val="32"/>
        </w:rPr>
        <w:t>382.07</w:t>
      </w:r>
      <w:r>
        <w:rPr>
          <w:rFonts w:hint="eastAsia" w:ascii="仿宋_GB2312" w:hAnsi="仿宋_GB2312" w:eastAsia="仿宋_GB2312" w:cs="仿宋_GB2312"/>
          <w:color w:val="000000"/>
          <w:sz w:val="32"/>
          <w:szCs w:val="32"/>
        </w:rPr>
        <w:t>万元。与202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年相比，收、支总计增加</w:t>
      </w:r>
      <w:r>
        <w:rPr>
          <w:rFonts w:hint="eastAsia" w:ascii="仿宋_GB2312" w:hAnsi="仿宋_GB2312" w:eastAsia="仿宋_GB2312" w:cs="仿宋_GB2312"/>
          <w:color w:val="000000"/>
          <w:sz w:val="32"/>
          <w:szCs w:val="32"/>
          <w:lang w:val="en-US" w:eastAsia="zh-CN"/>
        </w:rPr>
        <w:t>39.41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增长11.5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2"/>
          <w:sz w:val="32"/>
          <w:szCs w:val="32"/>
          <w:lang w:val="en-US" w:eastAsia="zh-CN" w:bidi="ar-SA"/>
        </w:rPr>
        <w:t>主要变动原因是：人员变动、工资正常晋升等。</w:t>
      </w:r>
    </w:p>
    <w:p>
      <w:pPr>
        <w:jc w:val="left"/>
        <w:rPr>
          <w:rFonts w:ascii="仿宋_GB2312" w:eastAsia="仿宋_GB2312"/>
          <w:color w:val="000000"/>
          <w:sz w:val="32"/>
          <w:szCs w:val="32"/>
        </w:rPr>
      </w:pPr>
      <w:r>
        <w:rPr>
          <w:rFonts w:ascii="仿宋_GB2312" w:eastAsia="仿宋_GB2312"/>
          <w:color w:val="000000"/>
          <w:sz w:val="32"/>
          <w:szCs w:val="32"/>
        </w:rPr>
        <w:drawing>
          <wp:inline distT="0" distB="0" distL="0" distR="0">
            <wp:extent cx="5257800" cy="20193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9"/>
        <w:numPr>
          <w:ilvl w:val="0"/>
          <w:numId w:val="2"/>
        </w:numPr>
        <w:spacing w:line="600" w:lineRule="exact"/>
        <w:ind w:firstLineChars="0"/>
        <w:outlineLvl w:val="1"/>
        <w:rPr>
          <w:rStyle w:val="29"/>
          <w:rFonts w:ascii="黑体" w:hAnsi="黑体" w:eastAsia="黑体"/>
          <w:b w:val="0"/>
        </w:rPr>
      </w:pPr>
      <w:bookmarkStart w:id="5" w:name="_Toc79163861"/>
      <w:bookmarkStart w:id="6" w:name="_Toc79163611"/>
      <w:bookmarkStart w:id="7" w:name="_Toc15396604"/>
      <w:bookmarkStart w:id="8" w:name="_Toc15377206"/>
      <w:r>
        <w:rPr>
          <w:rStyle w:val="29"/>
          <w:rFonts w:hint="eastAsia" w:ascii="黑体" w:hAnsi="黑体" w:eastAsia="黑体"/>
        </w:rPr>
        <w:t>收入决算情况说明</w:t>
      </w:r>
      <w:bookmarkEnd w:id="5"/>
      <w:bookmarkEnd w:id="6"/>
      <w:bookmarkEnd w:id="7"/>
      <w:bookmarkEnd w:id="8"/>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2024年度本年收入合计</w:t>
      </w:r>
      <w:r>
        <w:rPr>
          <w:rFonts w:hint="eastAsia" w:ascii="仿宋_GB2312" w:hAnsi="仿宋_GB2312" w:eastAsia="仿宋_GB2312" w:cs="仿宋_GB2312"/>
          <w:color w:val="000000"/>
          <w:sz w:val="32"/>
          <w:szCs w:val="32"/>
        </w:rPr>
        <w:t>382.07万元，其中：一般公共预算财政拨款收入382.07</w:t>
      </w:r>
      <w:r>
        <w:rPr>
          <w:rFonts w:hint="eastAsia" w:ascii="仿宋_GB2312" w:hAnsi="仿宋_GB2312" w:eastAsia="仿宋_GB2312" w:cs="仿宋_GB2312"/>
          <w:color w:val="000000"/>
          <w:sz w:val="32"/>
          <w:szCs w:val="32"/>
          <w:lang w:eastAsia="zh-CN"/>
        </w:rPr>
        <w:t>万元，占</w:t>
      </w:r>
      <w:r>
        <w:rPr>
          <w:rFonts w:hint="eastAsia"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lang w:eastAsia="zh-CN"/>
        </w:rPr>
        <w:t>%。</w:t>
      </w:r>
    </w:p>
    <w:p>
      <w:pPr>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inline distT="0" distB="0" distL="0" distR="0">
            <wp:extent cx="5086350" cy="1390650"/>
            <wp:effectExtent l="4445" t="4445" r="14605" b="14605"/>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7"/>
        <w:numPr>
          <w:ilvl w:val="0"/>
          <w:numId w:val="2"/>
        </w:numPr>
        <w:spacing w:line="600" w:lineRule="exact"/>
        <w:ind w:firstLineChars="0"/>
        <w:outlineLvl w:val="1"/>
        <w:rPr>
          <w:rStyle w:val="29"/>
          <w:rFonts w:ascii="黑体" w:hAnsi="黑体" w:eastAsia="黑体"/>
          <w:b w:val="0"/>
        </w:rPr>
      </w:pPr>
      <w:bookmarkStart w:id="9" w:name="_Toc15377207"/>
      <w:bookmarkStart w:id="10" w:name="_Toc15396605"/>
      <w:r>
        <w:rPr>
          <w:rFonts w:hint="eastAsia" w:ascii="黑体" w:hAnsi="黑体" w:eastAsia="黑体"/>
          <w:color w:val="000000"/>
          <w:sz w:val="32"/>
          <w:szCs w:val="32"/>
        </w:rPr>
        <w:t>支</w:t>
      </w:r>
      <w:r>
        <w:rPr>
          <w:rStyle w:val="29"/>
          <w:rFonts w:hint="eastAsia" w:ascii="黑体" w:hAnsi="黑体" w:eastAsia="黑体"/>
          <w:b w:val="0"/>
        </w:rPr>
        <w:t>出决算情况说明</w:t>
      </w:r>
      <w:bookmarkEnd w:id="9"/>
      <w:bookmarkEnd w:id="10"/>
    </w:p>
    <w:p>
      <w:pPr>
        <w:spacing w:line="600" w:lineRule="exact"/>
        <w:ind w:firstLine="640" w:firstLineChars="200"/>
        <w:outlineLvl w:val="1"/>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382.07</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382.07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p>
    <w:p>
      <w:pPr>
        <w:ind w:firstLine="640" w:firstLineChars="200"/>
        <w:rPr>
          <w:rFonts w:ascii="仿宋_GB2312" w:eastAsia="仿宋_GB2312"/>
          <w:color w:val="FF0000"/>
          <w:sz w:val="32"/>
          <w:szCs w:val="32"/>
        </w:rPr>
      </w:pPr>
      <w:r>
        <w:rPr>
          <w:rFonts w:ascii="仿宋_GB2312" w:eastAsia="仿宋_GB2312"/>
          <w:color w:val="FF0000"/>
          <w:sz w:val="32"/>
          <w:szCs w:val="32"/>
        </w:rPr>
        <w:drawing>
          <wp:inline distT="0" distB="0" distL="0" distR="0">
            <wp:extent cx="5153025" cy="1866900"/>
            <wp:effectExtent l="4445" t="4445" r="5080" b="14605"/>
            <wp:docPr id="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9"/>
          <w:rFonts w:ascii="黑体" w:hAnsi="黑体" w:eastAsia="黑体"/>
          <w:b w:val="0"/>
        </w:rPr>
      </w:pPr>
      <w:bookmarkStart w:id="11" w:name="_Toc79163863"/>
      <w:bookmarkStart w:id="12" w:name="_Toc15377208"/>
      <w:bookmarkStart w:id="13" w:name="_Toc79163613"/>
      <w:bookmarkStart w:id="14" w:name="_Toc15396606"/>
      <w:r>
        <w:rPr>
          <w:rFonts w:hint="eastAsia" w:ascii="黑体" w:hAnsi="黑体" w:eastAsia="黑体"/>
          <w:color w:val="000000"/>
          <w:sz w:val="32"/>
          <w:szCs w:val="32"/>
        </w:rPr>
        <w:t>四、财</w:t>
      </w:r>
      <w:r>
        <w:rPr>
          <w:rStyle w:val="29"/>
          <w:rFonts w:hint="eastAsia" w:ascii="黑体" w:hAnsi="黑体" w:eastAsia="黑体"/>
        </w:rPr>
        <w:t>政拨款收入支出决算总体情况说明</w:t>
      </w:r>
      <w:bookmarkEnd w:id="11"/>
      <w:bookmarkEnd w:id="12"/>
      <w:bookmarkEnd w:id="13"/>
      <w:bookmarkEnd w:id="14"/>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年财政拨款收、支总计</w:t>
      </w:r>
      <w:r>
        <w:rPr>
          <w:rFonts w:hint="eastAsia" w:ascii="仿宋_GB2312" w:hAnsi="仿宋_GB2312" w:eastAsia="仿宋_GB2312" w:cs="仿宋_GB2312"/>
          <w:color w:val="000000"/>
          <w:sz w:val="32"/>
          <w:szCs w:val="32"/>
          <w:lang w:val="en-US" w:eastAsia="zh-CN"/>
        </w:rPr>
        <w:t>均为</w:t>
      </w:r>
      <w:r>
        <w:rPr>
          <w:rFonts w:hint="eastAsia" w:ascii="仿宋_GB2312" w:hAnsi="仿宋_GB2312" w:eastAsia="仿宋_GB2312" w:cs="仿宋_GB2312"/>
          <w:sz w:val="32"/>
          <w:szCs w:val="32"/>
        </w:rPr>
        <w:t>382.07</w:t>
      </w:r>
      <w:r>
        <w:rPr>
          <w:rFonts w:hint="eastAsia" w:ascii="仿宋_GB2312" w:hAnsi="仿宋_GB2312" w:eastAsia="仿宋_GB2312" w:cs="仿宋_GB2312"/>
          <w:color w:val="000000"/>
          <w:sz w:val="32"/>
          <w:szCs w:val="32"/>
        </w:rPr>
        <w:t>万元。与202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年相比财政拨款收、支总计增加</w:t>
      </w:r>
      <w:r>
        <w:rPr>
          <w:rFonts w:hint="eastAsia" w:ascii="仿宋_GB2312" w:hAnsi="仿宋_GB2312" w:eastAsia="仿宋_GB2312" w:cs="仿宋_GB2312"/>
          <w:color w:val="000000"/>
          <w:sz w:val="32"/>
          <w:szCs w:val="32"/>
          <w:lang w:val="en-US" w:eastAsia="zh-CN"/>
        </w:rPr>
        <w:t>39.41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增长11.5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2"/>
          <w:sz w:val="32"/>
          <w:szCs w:val="32"/>
          <w:lang w:val="en-US" w:eastAsia="zh-CN" w:bidi="ar-SA"/>
        </w:rPr>
        <w:t>主要变动原因是：人员变动、工资正常晋升等。</w:t>
      </w:r>
    </w:p>
    <w:p>
      <w:pPr>
        <w:ind w:firstLine="641"/>
        <w:rPr>
          <w:rFonts w:ascii="仿宋" w:hAnsi="仿宋" w:eastAsia="仿宋"/>
          <w:b/>
          <w:color w:val="00B050"/>
          <w:sz w:val="32"/>
          <w:szCs w:val="32"/>
        </w:rPr>
      </w:pPr>
      <w:r>
        <w:rPr>
          <w:rFonts w:ascii="仿宋" w:hAnsi="仿宋" w:eastAsia="仿宋"/>
          <w:b/>
          <w:color w:val="00B050"/>
          <w:sz w:val="32"/>
          <w:szCs w:val="32"/>
        </w:rPr>
        <w:drawing>
          <wp:inline distT="0" distB="0" distL="0" distR="0">
            <wp:extent cx="5257800" cy="1990725"/>
            <wp:effectExtent l="4445" t="4445" r="14605" b="508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29"/>
          <w:rFonts w:ascii="黑体" w:hAnsi="黑体" w:eastAsia="黑体"/>
          <w:b w:val="0"/>
        </w:rPr>
      </w:pPr>
      <w:bookmarkStart w:id="15" w:name="_Toc15377209"/>
      <w:bookmarkStart w:id="16" w:name="_Toc15396607"/>
      <w:bookmarkStart w:id="17" w:name="_Toc79163614"/>
      <w:bookmarkStart w:id="18"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rPr>
        <w:t>般公共预算财政拨款支出决算情况说明</w:t>
      </w:r>
      <w:bookmarkEnd w:id="15"/>
      <w:bookmarkEnd w:id="16"/>
      <w:bookmarkEnd w:id="17"/>
      <w:bookmarkEnd w:id="18"/>
    </w:p>
    <w:p>
      <w:pPr>
        <w:spacing w:line="600" w:lineRule="exact"/>
        <w:ind w:firstLine="642" w:firstLineChars="200"/>
        <w:outlineLvl w:val="2"/>
        <w:rPr>
          <w:rFonts w:ascii="仿宋" w:hAnsi="仿宋" w:eastAsia="仿宋"/>
          <w:b/>
          <w:color w:val="000000"/>
          <w:sz w:val="32"/>
          <w:szCs w:val="32"/>
        </w:rPr>
      </w:pPr>
      <w:bookmarkStart w:id="19" w:name="_Toc79163615"/>
      <w:bookmarkStart w:id="20" w:name="_Toc15377210"/>
      <w:bookmarkStart w:id="21" w:name="_Toc79163865"/>
      <w:r>
        <w:rPr>
          <w:rFonts w:hint="eastAsia" w:ascii="仿宋" w:hAnsi="仿宋" w:eastAsia="仿宋"/>
          <w:b/>
          <w:color w:val="000000"/>
          <w:sz w:val="32"/>
          <w:szCs w:val="32"/>
        </w:rPr>
        <w:t>（一）一般公共预算财政拨款支出决算总体情况</w:t>
      </w:r>
      <w:bookmarkEnd w:id="19"/>
      <w:bookmarkEnd w:id="20"/>
      <w:bookmarkEnd w:id="21"/>
    </w:p>
    <w:p>
      <w:pPr>
        <w:spacing w:line="600" w:lineRule="exact"/>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sz w:val="32"/>
          <w:szCs w:val="32"/>
        </w:rPr>
        <w:t>382.07</w:t>
      </w:r>
      <w:r>
        <w:rPr>
          <w:rFonts w:hint="eastAsia" w:ascii="仿宋_GB2312" w:hAnsi="仿宋_GB2312" w:eastAsia="仿宋_GB2312" w:cs="仿宋_GB2312"/>
          <w:color w:val="000000"/>
          <w:sz w:val="32"/>
          <w:szCs w:val="32"/>
        </w:rPr>
        <w:t>万元，占本年支出合计的100%。与202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年相比，一般公共预算财政拨款增加</w:t>
      </w:r>
      <w:r>
        <w:rPr>
          <w:rFonts w:hint="eastAsia" w:ascii="仿宋_GB2312" w:hAnsi="仿宋_GB2312" w:eastAsia="仿宋_GB2312" w:cs="仿宋_GB2312"/>
          <w:color w:val="000000"/>
          <w:sz w:val="32"/>
          <w:szCs w:val="32"/>
          <w:lang w:val="en-US" w:eastAsia="zh-CN"/>
        </w:rPr>
        <w:t>39.41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增长11.5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2"/>
          <w:sz w:val="32"/>
          <w:szCs w:val="32"/>
          <w:lang w:val="en-US" w:eastAsia="zh-CN" w:bidi="ar-SA"/>
        </w:rPr>
        <w:t>主要变动原因是：人员变动、工资正常晋升等。</w:t>
      </w:r>
    </w:p>
    <w:p>
      <w:pPr>
        <w:pStyle w:val="2"/>
        <w:rPr>
          <w:rFonts w:hint="eastAsia" w:ascii="仿宋_GB2312" w:eastAsia="仿宋_GB2312" w:cs="Times New Roman"/>
          <w:color w:val="000000"/>
          <w:kern w:val="2"/>
          <w:sz w:val="32"/>
          <w:szCs w:val="32"/>
          <w:lang w:val="en-US" w:eastAsia="zh-CN" w:bidi="ar-SA"/>
        </w:rPr>
      </w:pPr>
    </w:p>
    <w:p>
      <w:pPr>
        <w:pStyle w:val="3"/>
        <w:rPr>
          <w:rFonts w:hint="eastAsia"/>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0288" behindDoc="1" locked="0" layoutInCell="1" allowOverlap="1">
            <wp:simplePos x="0" y="0"/>
            <wp:positionH relativeFrom="column">
              <wp:posOffset>285750</wp:posOffset>
            </wp:positionH>
            <wp:positionV relativeFrom="paragraph">
              <wp:posOffset>28575</wp:posOffset>
            </wp:positionV>
            <wp:extent cx="5058410" cy="2188845"/>
            <wp:effectExtent l="19050" t="0" r="27664" b="2157"/>
            <wp:wrapNone/>
            <wp:docPr id="3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2" w:firstLineChars="200"/>
        <w:outlineLvl w:val="2"/>
        <w:rPr>
          <w:rFonts w:ascii="仿宋" w:hAnsi="仿宋" w:eastAsia="仿宋"/>
          <w:b/>
          <w:color w:val="000000"/>
          <w:sz w:val="32"/>
          <w:szCs w:val="32"/>
        </w:rPr>
      </w:pPr>
      <w:bookmarkStart w:id="22" w:name="_Toc79163616"/>
      <w:bookmarkStart w:id="23" w:name="_Toc79163866"/>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22"/>
      <w:bookmarkEnd w:id="23"/>
    </w:p>
    <w:p>
      <w:pPr>
        <w:spacing w:line="600" w:lineRule="exact"/>
        <w:ind w:firstLine="64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202</w:t>
      </w: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年一般公共预算财政拨款支出</w:t>
      </w:r>
      <w:r>
        <w:rPr>
          <w:rFonts w:hint="eastAsia" w:ascii="仿宋_GB2312" w:hAnsi="仿宋_GB2312" w:eastAsia="仿宋_GB2312" w:cs="仿宋_GB2312"/>
          <w:sz w:val="32"/>
          <w:szCs w:val="32"/>
        </w:rPr>
        <w:t>382.07</w:t>
      </w:r>
      <w:r>
        <w:rPr>
          <w:rFonts w:hint="eastAsia" w:ascii="仿宋_GB2312" w:hAnsi="仿宋" w:eastAsia="仿宋_GB2312"/>
          <w:color w:val="000000"/>
          <w:sz w:val="32"/>
          <w:szCs w:val="32"/>
        </w:rPr>
        <w:t>万元，主要用于以下方面:</w:t>
      </w:r>
      <w:r>
        <w:rPr>
          <w:rFonts w:hint="eastAsia" w:ascii="仿宋_GB2312" w:hAnsi="仿宋" w:eastAsia="仿宋_GB2312"/>
          <w:b/>
          <w:color w:val="000000"/>
          <w:sz w:val="32"/>
          <w:szCs w:val="32"/>
        </w:rPr>
        <w:t>社会保障和就业</w:t>
      </w:r>
      <w:r>
        <w:rPr>
          <w:rFonts w:hint="eastAsia" w:ascii="仿宋_GB2312" w:hAnsi="仿宋" w:eastAsia="仿宋_GB2312"/>
          <w:b/>
          <w:bCs/>
          <w:color w:val="000000"/>
          <w:sz w:val="32"/>
          <w:szCs w:val="32"/>
        </w:rPr>
        <w:t>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330.01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86.37</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rPr>
        <w:t>卫生健康支出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22.45</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5.88</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rPr>
        <w:t>住房保障支出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29.61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7.75</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p>
    <w:p>
      <w:pPr>
        <w:rPr>
          <w:rFonts w:ascii="仿宋_GB2312" w:eastAsia="仿宋_GB2312"/>
          <w:color w:val="000000"/>
          <w:sz w:val="32"/>
          <w:szCs w:val="32"/>
        </w:rPr>
      </w:pPr>
      <w:r>
        <w:rPr>
          <w:rFonts w:ascii="仿宋_GB2312" w:hAnsi="仿宋_GB2312" w:eastAsia="仿宋_GB2312" w:cs="仿宋_GB2312"/>
          <w:sz w:val="32"/>
          <w:szCs w:val="32"/>
        </w:rPr>
        <w:drawing>
          <wp:inline distT="0" distB="0" distL="0" distR="0">
            <wp:extent cx="5362575" cy="2334260"/>
            <wp:effectExtent l="5080" t="4445" r="4445" b="23495"/>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2" w:firstLineChars="200"/>
        <w:outlineLvl w:val="2"/>
        <w:rPr>
          <w:rFonts w:ascii="仿宋" w:hAnsi="仿宋" w:eastAsia="仿宋"/>
          <w:b/>
          <w:color w:val="000000"/>
          <w:sz w:val="32"/>
          <w:szCs w:val="32"/>
        </w:rPr>
      </w:pPr>
      <w:bookmarkStart w:id="24" w:name="_Toc79163617"/>
      <w:bookmarkStart w:id="25" w:name="_Toc15377212"/>
      <w:bookmarkStart w:id="26" w:name="_Toc79163867"/>
      <w:bookmarkStart w:id="27" w:name="_Toc15377214"/>
      <w:bookmarkStart w:id="28" w:name="_Toc15396608"/>
      <w:r>
        <w:rPr>
          <w:rFonts w:hint="eastAsia" w:ascii="仿宋" w:hAnsi="仿宋" w:eastAsia="仿宋"/>
          <w:b/>
          <w:color w:val="000000"/>
          <w:sz w:val="32"/>
          <w:szCs w:val="32"/>
        </w:rPr>
        <w:t>（三）一般公共预算财政拨款支出决算具体情况</w:t>
      </w:r>
      <w:bookmarkEnd w:id="24"/>
      <w:bookmarkEnd w:id="25"/>
      <w:bookmarkEnd w:id="26"/>
    </w:p>
    <w:p>
      <w:pPr>
        <w:spacing w:line="600" w:lineRule="exact"/>
        <w:ind w:firstLine="640" w:firstLineChars="200"/>
        <w:rPr>
          <w:rFonts w:hint="eastAsia" w:ascii="仿宋_GB2312" w:hAnsi="仿宋_GB2312" w:eastAsia="仿宋_GB2312" w:cs="仿宋_GB2312"/>
          <w:color w:val="000000"/>
          <w:sz w:val="32"/>
          <w:szCs w:val="32"/>
        </w:rPr>
      </w:pPr>
      <w:bookmarkStart w:id="29" w:name="_Toc15378460"/>
      <w:bookmarkStart w:id="30" w:name="_Toc15377213"/>
      <w:bookmarkStart w:id="31" w:name="_Toc15377444"/>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年一般公共预算支出决算数为</w:t>
      </w:r>
      <w:r>
        <w:rPr>
          <w:rFonts w:hint="eastAsia" w:ascii="仿宋_GB2312" w:hAnsi="仿宋_GB2312" w:eastAsia="仿宋_GB2312" w:cs="仿宋_GB2312"/>
          <w:sz w:val="32"/>
          <w:szCs w:val="32"/>
        </w:rPr>
        <w:t>382.07</w:t>
      </w:r>
      <w:r>
        <w:rPr>
          <w:rFonts w:hint="eastAsia" w:ascii="仿宋_GB2312" w:hAnsi="仿宋_GB2312" w:eastAsia="仿宋_GB2312" w:cs="仿宋_GB2312"/>
          <w:color w:val="000000"/>
          <w:sz w:val="32"/>
          <w:szCs w:val="32"/>
        </w:rPr>
        <w:t>万元，完成预算100%。其中：</w:t>
      </w:r>
      <w:bookmarkEnd w:id="29"/>
      <w:bookmarkEnd w:id="30"/>
      <w:bookmarkEnd w:id="31"/>
    </w:p>
    <w:bookmarkEnd w:id="27"/>
    <w:bookmarkEnd w:id="28"/>
    <w:p>
      <w:pPr>
        <w:spacing w:line="576" w:lineRule="exact"/>
        <w:ind w:firstLine="642" w:firstLineChars="200"/>
        <w:rPr>
          <w:rStyle w:val="17"/>
          <w:rFonts w:hint="eastAsia" w:ascii="仿宋_GB2312" w:hAnsi="仿宋_GB2312" w:eastAsia="仿宋_GB2312" w:cs="仿宋_GB2312"/>
          <w:b w:val="0"/>
          <w:bCs/>
          <w:color w:val="000000"/>
          <w:sz w:val="32"/>
          <w:szCs w:val="32"/>
        </w:rPr>
      </w:pPr>
      <w:bookmarkStart w:id="32" w:name="_Toc79163618"/>
      <w:bookmarkStart w:id="33" w:name="_Toc79163868"/>
      <w:bookmarkStart w:id="34" w:name="_Toc15377215"/>
      <w:bookmarkStart w:id="35" w:name="_Toc15396609"/>
      <w:r>
        <w:rPr>
          <w:rStyle w:val="17"/>
          <w:rFonts w:hint="eastAsia" w:ascii="仿宋_GB2312" w:hAnsi="仿宋_GB2312" w:eastAsia="仿宋_GB2312" w:cs="仿宋_GB2312"/>
          <w:bCs/>
          <w:color w:val="000000"/>
          <w:sz w:val="32"/>
          <w:szCs w:val="32"/>
        </w:rPr>
        <w:t>1.</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b/>
          <w:color w:val="000000"/>
          <w:sz w:val="32"/>
          <w:szCs w:val="32"/>
          <w:lang w:val="en-US" w:eastAsia="zh-CN"/>
        </w:rPr>
        <w:t>208</w:t>
      </w:r>
      <w:r>
        <w:rPr>
          <w:rFonts w:hint="eastAsia" w:ascii="仿宋_GB2312" w:hAnsi="仿宋_GB2312" w:eastAsia="仿宋_GB2312" w:cs="仿宋_GB2312"/>
          <w:b/>
          <w:bCs/>
          <w:sz w:val="32"/>
          <w:szCs w:val="32"/>
        </w:rPr>
        <w:t>）人力资源和社会保障管理事务（</w:t>
      </w:r>
      <w:r>
        <w:rPr>
          <w:rFonts w:hint="eastAsia" w:ascii="仿宋_GB2312" w:hAnsi="仿宋_GB2312" w:eastAsia="仿宋_GB2312" w:cs="仿宋_GB2312"/>
          <w:b/>
          <w:bCs/>
          <w:sz w:val="32"/>
          <w:szCs w:val="32"/>
          <w:lang w:val="en-US" w:eastAsia="zh-CN"/>
        </w:rPr>
        <w:t>01</w:t>
      </w:r>
      <w:r>
        <w:rPr>
          <w:rFonts w:hint="eastAsia" w:ascii="仿宋_GB2312" w:hAnsi="仿宋_GB2312" w:eastAsia="仿宋_GB2312" w:cs="仿宋_GB2312"/>
          <w:b/>
          <w:bCs/>
          <w:sz w:val="32"/>
          <w:szCs w:val="32"/>
        </w:rPr>
        <w:t>）事业运行（</w:t>
      </w:r>
      <w:r>
        <w:rPr>
          <w:rFonts w:hint="eastAsia" w:ascii="仿宋_GB2312" w:hAnsi="仿宋_GB2312" w:eastAsia="仿宋_GB2312" w:cs="仿宋_GB2312"/>
          <w:b/>
          <w:bCs/>
          <w:sz w:val="32"/>
          <w:szCs w:val="32"/>
          <w:lang w:val="en-US" w:eastAsia="zh-CN"/>
        </w:rPr>
        <w:t>50</w:t>
      </w:r>
      <w:r>
        <w:rPr>
          <w:rFonts w:hint="eastAsia" w:ascii="仿宋_GB2312" w:hAnsi="仿宋_GB2312" w:eastAsia="仿宋_GB2312" w:cs="仿宋_GB2312"/>
          <w:b/>
          <w:bCs/>
          <w:sz w:val="32"/>
          <w:szCs w:val="32"/>
        </w:rPr>
        <w:t>）</w:t>
      </w:r>
      <w:r>
        <w:rPr>
          <w:rStyle w:val="17"/>
          <w:rFonts w:hint="eastAsia" w:ascii="仿宋_GB2312" w:hAnsi="仿宋_GB2312" w:eastAsia="仿宋_GB2312" w:cs="仿宋_GB2312"/>
          <w:bCs/>
          <w:color w:val="000000"/>
          <w:sz w:val="32"/>
          <w:szCs w:val="32"/>
        </w:rPr>
        <w:t xml:space="preserve">: </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278.39</w:t>
      </w:r>
      <w:r>
        <w:rPr>
          <w:rStyle w:val="17"/>
          <w:rFonts w:hint="eastAsia" w:ascii="仿宋_GB2312" w:hAnsi="仿宋_GB2312" w:eastAsia="仿宋_GB2312" w:cs="仿宋_GB2312"/>
          <w:b w:val="0"/>
          <w:bCs/>
          <w:color w:val="000000"/>
          <w:sz w:val="32"/>
          <w:szCs w:val="32"/>
        </w:rPr>
        <w:t>万元，完成预算100%，主要原因是</w:t>
      </w:r>
      <w:r>
        <w:rPr>
          <w:rStyle w:val="17"/>
          <w:rFonts w:hint="eastAsia" w:ascii="仿宋_GB2312" w:hAnsi="仿宋_GB2312" w:eastAsia="仿宋_GB2312" w:cs="仿宋_GB2312"/>
          <w:b w:val="0"/>
          <w:bCs/>
          <w:color w:val="000000"/>
          <w:sz w:val="32"/>
          <w:szCs w:val="32"/>
          <w:lang w:eastAsia="zh-CN"/>
        </w:rPr>
        <w:t>：</w:t>
      </w:r>
      <w:r>
        <w:rPr>
          <w:rStyle w:val="17"/>
          <w:rFonts w:hint="eastAsia" w:ascii="仿宋_GB2312" w:hAnsi="仿宋_GB2312" w:eastAsia="仿宋_GB2312" w:cs="仿宋_GB2312"/>
          <w:b w:val="0"/>
          <w:bCs/>
          <w:color w:val="000000"/>
          <w:sz w:val="32"/>
          <w:szCs w:val="32"/>
        </w:rPr>
        <w:t>事业单位日常经费开支。</w:t>
      </w:r>
    </w:p>
    <w:p>
      <w:pPr>
        <w:spacing w:line="576" w:lineRule="exact"/>
        <w:ind w:firstLine="642" w:firstLineChars="200"/>
        <w:rPr>
          <w:rStyle w:val="17"/>
          <w:rFonts w:hint="eastAsia" w:ascii="仿宋_GB2312" w:hAnsi="仿宋_GB2312" w:eastAsia="仿宋_GB2312" w:cs="仿宋_GB2312"/>
          <w:bCs/>
          <w:color w:val="000000"/>
          <w:sz w:val="32"/>
          <w:szCs w:val="32"/>
        </w:rPr>
      </w:pPr>
      <w:r>
        <w:rPr>
          <w:rStyle w:val="17"/>
          <w:rFonts w:hint="eastAsia" w:ascii="仿宋_GB2312" w:hAnsi="仿宋_GB2312" w:eastAsia="仿宋_GB2312" w:cs="仿宋_GB2312"/>
          <w:bCs/>
          <w:color w:val="000000"/>
          <w:sz w:val="32"/>
          <w:szCs w:val="32"/>
        </w:rPr>
        <w:t>2.</w:t>
      </w:r>
      <w:r>
        <w:rPr>
          <w:rStyle w:val="17"/>
          <w:rFonts w:hint="eastAsia" w:ascii="仿宋_GB2312" w:hAnsi="仿宋_GB2312" w:eastAsia="仿宋_GB2312" w:cs="仿宋_GB2312"/>
          <w:bCs/>
          <w:color w:val="000000"/>
          <w:sz w:val="32"/>
          <w:szCs w:val="32"/>
        </w:rPr>
        <w:t>社会保障和就业支出（</w:t>
      </w:r>
      <w:r>
        <w:rPr>
          <w:rFonts w:hint="eastAsia" w:ascii="仿宋_GB2312" w:hAnsi="仿宋_GB2312" w:eastAsia="仿宋_GB2312" w:cs="仿宋_GB2312"/>
          <w:b/>
          <w:color w:val="000000"/>
          <w:sz w:val="32"/>
          <w:szCs w:val="32"/>
          <w:lang w:val="en-US" w:eastAsia="zh-CN"/>
        </w:rPr>
        <w:t>208</w:t>
      </w:r>
      <w:r>
        <w:rPr>
          <w:rStyle w:val="17"/>
          <w:rFonts w:hint="eastAsia" w:ascii="仿宋_GB2312" w:hAnsi="仿宋_GB2312" w:eastAsia="仿宋_GB2312" w:cs="仿宋_GB2312"/>
          <w:bCs/>
          <w:color w:val="000000"/>
          <w:sz w:val="32"/>
          <w:szCs w:val="32"/>
        </w:rPr>
        <w:t>）行政事业单位养老支出（</w:t>
      </w:r>
      <w:r>
        <w:rPr>
          <w:rStyle w:val="17"/>
          <w:rFonts w:hint="eastAsia" w:ascii="仿宋_GB2312" w:hAnsi="仿宋_GB2312" w:eastAsia="仿宋_GB2312" w:cs="仿宋_GB2312"/>
          <w:bCs/>
          <w:color w:val="000000"/>
          <w:sz w:val="32"/>
          <w:szCs w:val="32"/>
          <w:lang w:val="en-US" w:eastAsia="zh-CN"/>
        </w:rPr>
        <w:t>05</w:t>
      </w:r>
      <w:r>
        <w:rPr>
          <w:rStyle w:val="17"/>
          <w:rFonts w:hint="eastAsia" w:ascii="仿宋_GB2312" w:hAnsi="仿宋_GB2312" w:eastAsia="仿宋_GB2312" w:cs="仿宋_GB2312"/>
          <w:bCs/>
          <w:color w:val="000000"/>
          <w:sz w:val="32"/>
          <w:szCs w:val="32"/>
        </w:rPr>
        <w:t>）机关事业单位基本养老保险缴费支出（</w:t>
      </w:r>
      <w:r>
        <w:rPr>
          <w:rStyle w:val="17"/>
          <w:rFonts w:hint="eastAsia" w:ascii="仿宋_GB2312" w:hAnsi="仿宋_GB2312" w:eastAsia="仿宋_GB2312" w:cs="仿宋_GB2312"/>
          <w:bCs/>
          <w:color w:val="000000"/>
          <w:sz w:val="32"/>
          <w:szCs w:val="32"/>
          <w:lang w:val="en-US" w:eastAsia="zh-CN"/>
        </w:rPr>
        <w:t>05</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34.41</w:t>
      </w:r>
      <w:r>
        <w:rPr>
          <w:rStyle w:val="17"/>
          <w:rFonts w:hint="eastAsia" w:ascii="仿宋_GB2312" w:hAnsi="仿宋_GB2312" w:eastAsia="仿宋_GB2312" w:cs="仿宋_GB2312"/>
          <w:b w:val="0"/>
          <w:bCs/>
          <w:color w:val="000000"/>
          <w:sz w:val="32"/>
          <w:szCs w:val="32"/>
        </w:rPr>
        <w:t>万元，完成预算100%，主要原因是</w:t>
      </w:r>
      <w:r>
        <w:rPr>
          <w:rStyle w:val="17"/>
          <w:rFonts w:hint="eastAsia" w:ascii="仿宋_GB2312" w:hAnsi="仿宋_GB2312" w:eastAsia="仿宋_GB2312" w:cs="仿宋_GB2312"/>
          <w:b w:val="0"/>
          <w:bCs/>
          <w:color w:val="000000"/>
          <w:sz w:val="32"/>
          <w:szCs w:val="32"/>
          <w:lang w:eastAsia="zh-CN"/>
        </w:rPr>
        <w:t>：</w:t>
      </w:r>
      <w:r>
        <w:rPr>
          <w:rStyle w:val="17"/>
          <w:rFonts w:hint="eastAsia" w:ascii="仿宋_GB2312" w:hAnsi="仿宋_GB2312" w:eastAsia="仿宋_GB2312" w:cs="仿宋_GB2312"/>
          <w:b w:val="0"/>
          <w:bCs/>
          <w:color w:val="000000"/>
          <w:sz w:val="32"/>
          <w:szCs w:val="32"/>
        </w:rPr>
        <w:t>单位缴纳养老保险。</w:t>
      </w:r>
    </w:p>
    <w:p>
      <w:pPr>
        <w:spacing w:line="576" w:lineRule="exact"/>
        <w:ind w:firstLine="642" w:firstLineChars="200"/>
        <w:rPr>
          <w:rFonts w:hint="eastAsia" w:ascii="仿宋_GB2312" w:hAnsi="仿宋_GB2312" w:eastAsia="仿宋_GB2312" w:cs="仿宋_GB2312"/>
          <w:sz w:val="32"/>
          <w:szCs w:val="32"/>
        </w:rPr>
      </w:pPr>
      <w:r>
        <w:rPr>
          <w:rStyle w:val="17"/>
          <w:rFonts w:hint="eastAsia" w:ascii="仿宋_GB2312" w:hAnsi="仿宋_GB2312" w:eastAsia="仿宋_GB2312" w:cs="仿宋_GB2312"/>
          <w:bCs/>
          <w:color w:val="000000"/>
          <w:sz w:val="32"/>
          <w:szCs w:val="32"/>
        </w:rPr>
        <w:t>3.</w:t>
      </w:r>
      <w:r>
        <w:rPr>
          <w:rStyle w:val="17"/>
          <w:rFonts w:hint="eastAsia" w:ascii="仿宋_GB2312" w:hAnsi="仿宋_GB2312" w:eastAsia="仿宋_GB2312" w:cs="仿宋_GB2312"/>
          <w:bCs/>
          <w:color w:val="000000"/>
          <w:sz w:val="32"/>
          <w:szCs w:val="32"/>
        </w:rPr>
        <w:t>社会保障和就业支出（</w:t>
      </w:r>
      <w:r>
        <w:rPr>
          <w:rFonts w:hint="eastAsia" w:ascii="仿宋_GB2312" w:hAnsi="仿宋_GB2312" w:eastAsia="仿宋_GB2312" w:cs="仿宋_GB2312"/>
          <w:b/>
          <w:color w:val="000000"/>
          <w:sz w:val="32"/>
          <w:szCs w:val="32"/>
          <w:lang w:val="en-US" w:eastAsia="zh-CN"/>
        </w:rPr>
        <w:t>208</w:t>
      </w:r>
      <w:r>
        <w:rPr>
          <w:rStyle w:val="17"/>
          <w:rFonts w:hint="eastAsia" w:ascii="仿宋_GB2312" w:hAnsi="仿宋_GB2312" w:eastAsia="仿宋_GB2312" w:cs="仿宋_GB2312"/>
          <w:bCs/>
          <w:color w:val="000000"/>
          <w:sz w:val="32"/>
          <w:szCs w:val="32"/>
        </w:rPr>
        <w:t>）行政事业单位养老支出（</w:t>
      </w:r>
      <w:r>
        <w:rPr>
          <w:rStyle w:val="17"/>
          <w:rFonts w:hint="eastAsia" w:ascii="仿宋_GB2312" w:hAnsi="仿宋_GB2312" w:eastAsia="仿宋_GB2312" w:cs="仿宋_GB2312"/>
          <w:bCs/>
          <w:color w:val="000000"/>
          <w:sz w:val="32"/>
          <w:szCs w:val="32"/>
          <w:lang w:val="en-US" w:eastAsia="zh-CN"/>
        </w:rPr>
        <w:t>05</w:t>
      </w:r>
      <w:r>
        <w:rPr>
          <w:rStyle w:val="17"/>
          <w:rFonts w:hint="eastAsia" w:ascii="仿宋_GB2312" w:hAnsi="仿宋_GB2312" w:eastAsia="仿宋_GB2312" w:cs="仿宋_GB2312"/>
          <w:bCs/>
          <w:color w:val="000000"/>
          <w:sz w:val="32"/>
          <w:szCs w:val="32"/>
        </w:rPr>
        <w:t>）机关事业单位职业年金缴费支出（</w:t>
      </w:r>
      <w:r>
        <w:rPr>
          <w:rStyle w:val="17"/>
          <w:rFonts w:hint="eastAsia" w:ascii="仿宋_GB2312" w:hAnsi="仿宋_GB2312" w:eastAsia="仿宋_GB2312" w:cs="仿宋_GB2312"/>
          <w:bCs/>
          <w:color w:val="000000"/>
          <w:sz w:val="32"/>
          <w:szCs w:val="32"/>
          <w:lang w:val="en-US" w:eastAsia="zh-CN"/>
        </w:rPr>
        <w:t>06</w:t>
      </w:r>
      <w:r>
        <w:rPr>
          <w:rStyle w:val="17"/>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17.21</w:t>
      </w:r>
      <w:r>
        <w:rPr>
          <w:rFonts w:hint="eastAsia" w:ascii="仿宋_GB2312" w:hAnsi="仿宋_GB2312" w:eastAsia="仿宋_GB2312" w:cs="仿宋_GB2312"/>
          <w:sz w:val="32"/>
          <w:szCs w:val="32"/>
        </w:rPr>
        <w:t>万元，完成预算100%</w:t>
      </w:r>
      <w:r>
        <w:rPr>
          <w:rFonts w:hint="eastAsia" w:ascii="仿宋_GB2312" w:hAnsi="仿宋_GB2312" w:eastAsia="仿宋_GB2312" w:cs="仿宋_GB2312"/>
          <w:sz w:val="32"/>
          <w:szCs w:val="32"/>
        </w:rPr>
        <w:t>，主要原因是用于单位缴纳职业年金。</w:t>
      </w:r>
    </w:p>
    <w:p>
      <w:pPr>
        <w:spacing w:line="576" w:lineRule="exact"/>
        <w:ind w:firstLine="642" w:firstLineChars="200"/>
        <w:rPr>
          <w:rFonts w:hint="eastAsia" w:ascii="仿宋_GB2312" w:hAnsi="仿宋_GB2312" w:eastAsia="仿宋_GB2312" w:cs="仿宋_GB2312"/>
          <w:sz w:val="32"/>
          <w:szCs w:val="32"/>
        </w:rPr>
      </w:pPr>
      <w:r>
        <w:rPr>
          <w:rStyle w:val="17"/>
          <w:rFonts w:hint="eastAsia" w:ascii="仿宋_GB2312" w:hAnsi="仿宋_GB2312" w:eastAsia="仿宋_GB2312" w:cs="仿宋_GB2312"/>
          <w:bCs/>
          <w:color w:val="000000"/>
          <w:sz w:val="32"/>
          <w:szCs w:val="32"/>
        </w:rPr>
        <w:t>4.医疗卫生与计划生育（</w:t>
      </w:r>
      <w:r>
        <w:rPr>
          <w:rFonts w:hint="eastAsia" w:ascii="仿宋_GB2312" w:hAnsi="仿宋_GB2312" w:eastAsia="仿宋_GB2312" w:cs="仿宋_GB2312"/>
          <w:b/>
          <w:color w:val="000000"/>
          <w:sz w:val="32"/>
          <w:szCs w:val="32"/>
          <w:lang w:val="en-US" w:eastAsia="zh-CN"/>
        </w:rPr>
        <w:t>210</w:t>
      </w:r>
      <w:r>
        <w:rPr>
          <w:rStyle w:val="17"/>
          <w:rFonts w:hint="eastAsia" w:ascii="仿宋_GB2312" w:hAnsi="仿宋_GB2312" w:eastAsia="仿宋_GB2312" w:cs="仿宋_GB2312"/>
          <w:bCs/>
          <w:color w:val="000000"/>
          <w:sz w:val="32"/>
          <w:szCs w:val="32"/>
        </w:rPr>
        <w:t>）行政事业单位医疗（</w:t>
      </w:r>
      <w:r>
        <w:rPr>
          <w:rStyle w:val="17"/>
          <w:rFonts w:hint="eastAsia" w:ascii="仿宋_GB2312" w:hAnsi="仿宋_GB2312" w:eastAsia="仿宋_GB2312" w:cs="仿宋_GB2312"/>
          <w:bCs/>
          <w:color w:val="000000"/>
          <w:sz w:val="32"/>
          <w:szCs w:val="32"/>
          <w:lang w:val="en-US" w:eastAsia="zh-CN"/>
        </w:rPr>
        <w:t>11</w:t>
      </w:r>
      <w:r>
        <w:rPr>
          <w:rStyle w:val="17"/>
          <w:rFonts w:hint="eastAsia" w:ascii="仿宋_GB2312" w:hAnsi="仿宋_GB2312" w:eastAsia="仿宋_GB2312" w:cs="仿宋_GB2312"/>
          <w:bCs/>
          <w:color w:val="000000"/>
          <w:sz w:val="32"/>
          <w:szCs w:val="32"/>
        </w:rPr>
        <w:t>）事业单位医疗（</w:t>
      </w:r>
      <w:r>
        <w:rPr>
          <w:rStyle w:val="17"/>
          <w:rFonts w:hint="eastAsia" w:ascii="仿宋_GB2312" w:hAnsi="仿宋_GB2312" w:eastAsia="仿宋_GB2312" w:cs="仿宋_GB2312"/>
          <w:bCs/>
          <w:color w:val="000000"/>
          <w:sz w:val="32"/>
          <w:szCs w:val="32"/>
          <w:lang w:val="en-US" w:eastAsia="zh-CN"/>
        </w:rPr>
        <w:t>02</w:t>
      </w:r>
      <w:r>
        <w:rPr>
          <w:rStyle w:val="17"/>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22.45</w:t>
      </w:r>
      <w:r>
        <w:rPr>
          <w:rFonts w:hint="eastAsia" w:ascii="仿宋_GB2312" w:hAnsi="仿宋_GB2312" w:eastAsia="仿宋_GB2312" w:cs="仿宋_GB2312"/>
          <w:sz w:val="32"/>
          <w:szCs w:val="32"/>
        </w:rPr>
        <w:t>万元，完成预算100%，主要原因是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事业单位缴纳基本医疗保险。</w:t>
      </w:r>
    </w:p>
    <w:p>
      <w:pPr>
        <w:tabs>
          <w:tab w:val="right" w:pos="8306"/>
        </w:tabs>
        <w:spacing w:line="576" w:lineRule="exact"/>
        <w:ind w:firstLine="640"/>
        <w:outlineLvl w:val="1"/>
        <w:rPr>
          <w:rFonts w:hint="eastAsia" w:ascii="仿宋_GB2312" w:hAnsi="仿宋_GB2312" w:eastAsia="仿宋_GB2312" w:cs="仿宋_GB2312"/>
          <w:sz w:val="32"/>
          <w:szCs w:val="32"/>
        </w:rPr>
      </w:pPr>
      <w:r>
        <w:rPr>
          <w:rStyle w:val="17"/>
          <w:rFonts w:hint="eastAsia" w:ascii="仿宋_GB2312" w:hAnsi="仿宋_GB2312" w:eastAsia="仿宋_GB2312" w:cs="仿宋_GB2312"/>
          <w:bCs/>
          <w:color w:val="000000"/>
          <w:sz w:val="32"/>
          <w:szCs w:val="32"/>
        </w:rPr>
        <w:t>5.</w:t>
      </w:r>
      <w:r>
        <w:rPr>
          <w:rStyle w:val="17"/>
          <w:rFonts w:hint="eastAsia" w:ascii="仿宋_GB2312" w:hAnsi="仿宋_GB2312" w:eastAsia="仿宋_GB2312" w:cs="仿宋_GB2312"/>
          <w:bCs/>
          <w:color w:val="000000"/>
          <w:sz w:val="32"/>
          <w:szCs w:val="32"/>
        </w:rPr>
        <w:t>住房保障（</w:t>
      </w:r>
      <w:r>
        <w:rPr>
          <w:rStyle w:val="17"/>
          <w:rFonts w:hint="eastAsia" w:ascii="仿宋_GB2312" w:hAnsi="仿宋_GB2312" w:eastAsia="仿宋_GB2312" w:cs="仿宋_GB2312"/>
          <w:bCs/>
          <w:color w:val="000000"/>
          <w:sz w:val="32"/>
          <w:szCs w:val="32"/>
          <w:lang w:val="en-US" w:eastAsia="zh-CN"/>
        </w:rPr>
        <w:t>221</w:t>
      </w:r>
      <w:r>
        <w:rPr>
          <w:rStyle w:val="17"/>
          <w:rFonts w:hint="eastAsia" w:ascii="仿宋_GB2312" w:hAnsi="仿宋_GB2312" w:eastAsia="仿宋_GB2312" w:cs="仿宋_GB2312"/>
          <w:bCs/>
          <w:color w:val="000000"/>
          <w:sz w:val="32"/>
          <w:szCs w:val="32"/>
        </w:rPr>
        <w:t>）住房改革（</w:t>
      </w:r>
      <w:r>
        <w:rPr>
          <w:rStyle w:val="17"/>
          <w:rFonts w:hint="eastAsia" w:ascii="仿宋_GB2312" w:hAnsi="仿宋_GB2312" w:eastAsia="仿宋_GB2312" w:cs="仿宋_GB2312"/>
          <w:bCs/>
          <w:color w:val="000000"/>
          <w:sz w:val="32"/>
          <w:szCs w:val="32"/>
          <w:lang w:val="en-US" w:eastAsia="zh-CN"/>
        </w:rPr>
        <w:t>02</w:t>
      </w:r>
      <w:r>
        <w:rPr>
          <w:rStyle w:val="17"/>
          <w:rFonts w:hint="eastAsia" w:ascii="仿宋_GB2312" w:hAnsi="仿宋_GB2312" w:eastAsia="仿宋_GB2312" w:cs="仿宋_GB2312"/>
          <w:bCs/>
          <w:color w:val="000000"/>
          <w:sz w:val="32"/>
          <w:szCs w:val="32"/>
        </w:rPr>
        <w:t>）住房公积金（</w:t>
      </w:r>
      <w:r>
        <w:rPr>
          <w:rStyle w:val="17"/>
          <w:rFonts w:hint="eastAsia" w:ascii="仿宋_GB2312" w:hAnsi="仿宋_GB2312" w:eastAsia="仿宋_GB2312" w:cs="仿宋_GB2312"/>
          <w:bCs/>
          <w:color w:val="000000"/>
          <w:sz w:val="32"/>
          <w:szCs w:val="32"/>
          <w:lang w:val="en-US" w:eastAsia="zh-CN"/>
        </w:rPr>
        <w:t>01</w:t>
      </w:r>
      <w:r>
        <w:rPr>
          <w:rStyle w:val="17"/>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29.61</w:t>
      </w:r>
      <w:r>
        <w:rPr>
          <w:rFonts w:hint="eastAsia" w:ascii="仿宋_GB2312" w:hAnsi="仿宋_GB2312" w:eastAsia="仿宋_GB2312" w:cs="仿宋_GB2312"/>
          <w:sz w:val="32"/>
          <w:szCs w:val="32"/>
        </w:rPr>
        <w:t>万元，完成预</w:t>
      </w:r>
      <w:r>
        <w:rPr>
          <w:rFonts w:hint="eastAsia" w:ascii="仿宋_GB2312" w:hAnsi="仿宋_GB2312" w:eastAsia="仿宋_GB2312" w:cs="仿宋_GB2312"/>
          <w:sz w:val="32"/>
          <w:szCs w:val="32"/>
          <w:lang w:val="en-US" w:eastAsia="zh-CN"/>
        </w:rPr>
        <w:t>算</w:t>
      </w:r>
      <w:r>
        <w:rPr>
          <w:rFonts w:hint="eastAsia" w:ascii="仿宋_GB2312" w:hAnsi="仿宋_GB2312" w:eastAsia="仿宋_GB2312" w:cs="仿宋_GB2312"/>
          <w:sz w:val="32"/>
          <w:szCs w:val="32"/>
        </w:rPr>
        <w:t>100%，主要</w:t>
      </w:r>
      <w:r>
        <w:rPr>
          <w:rFonts w:hint="eastAsia" w:ascii="仿宋_GB2312" w:hAnsi="仿宋_GB2312" w:eastAsia="仿宋_GB2312" w:cs="仿宋_GB2312"/>
          <w:sz w:val="32"/>
          <w:szCs w:val="32"/>
          <w:lang w:val="en-US" w:eastAsia="zh-CN"/>
        </w:rPr>
        <w:t>原因</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lang w:val="en-US" w:eastAsia="zh-CN"/>
        </w:rPr>
        <w:t>事业</w:t>
      </w:r>
      <w:r>
        <w:rPr>
          <w:rFonts w:hint="eastAsia" w:ascii="仿宋_GB2312" w:hAnsi="仿宋_GB2312" w:eastAsia="仿宋_GB2312" w:cs="仿宋_GB2312"/>
          <w:sz w:val="32"/>
          <w:szCs w:val="32"/>
        </w:rPr>
        <w:t>单位为职工缴纳住房公积金。</w:t>
      </w:r>
    </w:p>
    <w:p>
      <w:pPr>
        <w:tabs>
          <w:tab w:val="right" w:pos="8306"/>
        </w:tabs>
        <w:spacing w:line="600" w:lineRule="exact"/>
        <w:ind w:firstLine="640" w:firstLineChars="200"/>
        <w:outlineLvl w:val="1"/>
        <w:rPr>
          <w:rStyle w:val="29"/>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rPr>
        <w:t>般公共预算财政拨款基本支出决算情况说明</w:t>
      </w:r>
      <w:bookmarkEnd w:id="32"/>
      <w:bookmarkEnd w:id="33"/>
      <w:r>
        <w:rPr>
          <w:rStyle w:val="29"/>
          <w:rFonts w:ascii="黑体" w:hAnsi="黑体" w:eastAsia="黑体"/>
        </w:rPr>
        <w:tab/>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年一般公共预算财政拨款基本支出382.07万元，其中：</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368.45</w:t>
      </w:r>
      <w:r>
        <w:rPr>
          <w:rFonts w:hint="eastAsia" w:ascii="仿宋_GB2312" w:hAnsi="仿宋_GB2312" w:eastAsia="仿宋_GB2312"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日常公用经费</w:t>
      </w:r>
      <w:r>
        <w:rPr>
          <w:rFonts w:hint="eastAsia" w:ascii="仿宋_GB2312" w:hAnsi="仿宋_GB2312" w:eastAsia="仿宋_GB2312" w:cs="仿宋_GB2312"/>
          <w:sz w:val="32"/>
          <w:szCs w:val="32"/>
          <w:lang w:val="en-US" w:eastAsia="zh-CN"/>
        </w:rPr>
        <w:t>13.62</w:t>
      </w:r>
      <w:r>
        <w:rPr>
          <w:rFonts w:hint="eastAsia" w:ascii="仿宋_GB2312" w:hAnsi="仿宋_GB2312" w:eastAsia="仿宋_GB2312" w:cs="仿宋_GB2312"/>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bookmarkEnd w:id="34"/>
    <w:bookmarkEnd w:id="35"/>
    <w:p>
      <w:pPr>
        <w:spacing w:line="600" w:lineRule="exact"/>
        <w:ind w:firstLine="640"/>
        <w:outlineLvl w:val="1"/>
        <w:rPr>
          <w:rStyle w:val="29"/>
          <w:rFonts w:ascii="黑体" w:hAnsi="黑体" w:eastAsia="黑体"/>
          <w:b w:val="0"/>
        </w:rPr>
      </w:pPr>
      <w:bookmarkStart w:id="36" w:name="_Toc79163619"/>
      <w:bookmarkStart w:id="37" w:name="_Toc79163869"/>
      <w:bookmarkStart w:id="38" w:name="_Toc15377217"/>
      <w:r>
        <w:rPr>
          <w:rFonts w:hint="eastAsia" w:ascii="黑体" w:eastAsia="黑体"/>
          <w:color w:val="000000"/>
          <w:sz w:val="32"/>
          <w:szCs w:val="32"/>
        </w:rPr>
        <w:t>七、</w:t>
      </w:r>
      <w:r>
        <w:rPr>
          <w:rStyle w:val="29"/>
          <w:rFonts w:hint="eastAsia" w:ascii="黑体" w:hAnsi="黑体" w:eastAsia="黑体"/>
        </w:rPr>
        <w:t>财政拨款“三公”经费支出决算情况说明</w:t>
      </w:r>
      <w:bookmarkEnd w:id="36"/>
      <w:bookmarkEnd w:id="37"/>
    </w:p>
    <w:p>
      <w:pPr>
        <w:spacing w:line="600" w:lineRule="exact"/>
        <w:ind w:firstLine="640"/>
        <w:outlineLvl w:val="2"/>
        <w:rPr>
          <w:rFonts w:ascii="仿宋" w:hAnsi="仿宋" w:eastAsia="仿宋"/>
          <w:b/>
          <w:color w:val="000000"/>
          <w:sz w:val="32"/>
          <w:szCs w:val="32"/>
        </w:rPr>
      </w:pPr>
      <w:bookmarkStart w:id="39" w:name="_Toc79163870"/>
      <w:bookmarkStart w:id="40" w:name="_Toc15377216"/>
      <w:bookmarkStart w:id="41" w:name="_Toc79163620"/>
      <w:r>
        <w:rPr>
          <w:rFonts w:hint="eastAsia" w:ascii="仿宋" w:hAnsi="仿宋" w:eastAsia="仿宋"/>
          <w:b/>
          <w:color w:val="000000"/>
          <w:sz w:val="32"/>
          <w:szCs w:val="32"/>
        </w:rPr>
        <w:t>（一）“三公”经费财政拨款支出决算总体情况说明</w:t>
      </w:r>
      <w:bookmarkEnd w:id="39"/>
      <w:bookmarkEnd w:id="40"/>
      <w:bookmarkEnd w:id="41"/>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0.28</w:t>
      </w:r>
      <w:r>
        <w:rPr>
          <w:rFonts w:hint="eastAsia" w:ascii="仿宋_GB2312" w:hAnsi="仿宋_GB2312" w:eastAsia="仿宋_GB2312" w:cs="仿宋_GB2312"/>
          <w:sz w:val="32"/>
          <w:szCs w:val="32"/>
        </w:rPr>
        <w:t>万元，完成预算100%，</w:t>
      </w:r>
      <w:r>
        <w:rPr>
          <w:rFonts w:hint="eastAsia" w:ascii="仿宋_GB2312" w:hAnsi="仿宋_GB2312" w:eastAsia="仿宋_GB2312" w:cs="仿宋_GB2312"/>
          <w:sz w:val="32"/>
          <w:szCs w:val="32"/>
          <w:lang w:eastAsia="zh-CN"/>
        </w:rPr>
        <w:t>较上年度</w:t>
      </w:r>
      <w:r>
        <w:rPr>
          <w:rFonts w:hint="eastAsia" w:ascii="仿宋_GB2312" w:hAnsi="仿宋_GB2312" w:eastAsia="仿宋_GB2312" w:cs="仿宋_GB2312"/>
          <w:sz w:val="32"/>
          <w:szCs w:val="32"/>
          <w:lang w:val="en-US" w:eastAsia="zh-CN"/>
        </w:rPr>
        <w:t>减少0.14万元，下降33.33%</w:t>
      </w:r>
      <w:r>
        <w:rPr>
          <w:rFonts w:hint="eastAsia" w:ascii="仿宋_GB2312" w:hAnsi="仿宋_GB2312" w:eastAsia="仿宋_GB2312" w:cs="仿宋_GB2312"/>
          <w:sz w:val="32"/>
          <w:szCs w:val="32"/>
        </w:rPr>
        <w:t>。决算数与预算数持平的主要原因是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坚持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过紧日子</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的要求，</w:t>
      </w:r>
      <w:r>
        <w:rPr>
          <w:rFonts w:hint="eastAsia" w:ascii="仿宋_GB2312" w:hAnsi="仿宋_GB2312" w:eastAsia="仿宋_GB2312" w:cs="仿宋_GB2312"/>
          <w:sz w:val="32"/>
          <w:szCs w:val="32"/>
        </w:rPr>
        <w:t>厉行节约。</w:t>
      </w:r>
    </w:p>
    <w:bookmarkEnd w:id="38"/>
    <w:p>
      <w:pPr>
        <w:spacing w:line="600" w:lineRule="exact"/>
        <w:ind w:firstLine="640"/>
        <w:outlineLvl w:val="2"/>
        <w:rPr>
          <w:rFonts w:ascii="仿宋" w:hAnsi="仿宋" w:eastAsia="仿宋"/>
          <w:b/>
          <w:color w:val="000000"/>
          <w:sz w:val="32"/>
          <w:szCs w:val="32"/>
        </w:rPr>
      </w:pPr>
      <w:bookmarkStart w:id="42" w:name="_Toc79163621"/>
      <w:bookmarkStart w:id="43" w:name="_Toc79163871"/>
      <w:r>
        <w:rPr>
          <w:rFonts w:hint="eastAsia" w:ascii="仿宋" w:hAnsi="仿宋" w:eastAsia="仿宋"/>
          <w:b/>
          <w:color w:val="000000"/>
          <w:sz w:val="32"/>
          <w:szCs w:val="32"/>
        </w:rPr>
        <w:t>（二）“三公”经费财政拨款支出决算具体情况说明</w:t>
      </w:r>
      <w:bookmarkEnd w:id="42"/>
      <w:bookmarkEnd w:id="43"/>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年“三公”经费财政拨款支出决算中，因公出国（境）费支出决算0万元，占0%；公务用车购置及运行维护费支出决算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0.28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%。具体情况如下：</w:t>
      </w:r>
    </w:p>
    <w:p>
      <w:pPr>
        <w:rPr>
          <w:rFonts w:hint="eastAsia" w:ascii="仿宋" w:hAnsi="仿宋" w:eastAsia="仿宋"/>
          <w:color w:val="000000"/>
          <w:sz w:val="32"/>
          <w:szCs w:val="32"/>
        </w:rPr>
      </w:pPr>
      <w:r>
        <w:rPr>
          <w:rFonts w:hint="eastAsia" w:eastAsia="仿宋"/>
          <w:lang w:val="en-US" w:eastAsia="zh-CN"/>
        </w:rPr>
        <w:t xml:space="preserve">       </w:t>
      </w:r>
      <w:r>
        <w:rPr>
          <w:rFonts w:hint="eastAsia" w:eastAsia="仿宋"/>
          <w:lang w:eastAsia="zh-CN"/>
        </w:rPr>
        <w:drawing>
          <wp:inline distT="0" distB="0" distL="114300" distR="114300">
            <wp:extent cx="4260850" cy="2211070"/>
            <wp:effectExtent l="4445" t="4445" r="20955" b="1333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hint="eastAsia" w:ascii="仿宋_GB2312" w:hAnsi="仿宋_GB2312" w:eastAsia="仿宋_GB2312" w:cs="仿宋_GB2312"/>
          <w:sz w:val="32"/>
          <w:szCs w:val="32"/>
        </w:rPr>
      </w:pPr>
      <w:bookmarkStart w:id="44" w:name="_Toc15396610"/>
      <w:bookmarkStart w:id="45" w:name="_Toc15377218"/>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Fonts w:hint="eastAsia" w:ascii="仿宋_GB2312" w:hAnsi="仿宋_GB2312" w:eastAsia="仿宋_GB2312" w:cs="仿宋_GB2312"/>
          <w:sz w:val="32"/>
          <w:szCs w:val="32"/>
        </w:rPr>
        <w:t>完成预算0%。全年安排因公出国（境）团组0次，出国（境）0人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与上年比无变化</w:t>
      </w:r>
      <w:r>
        <w:rPr>
          <w:rFonts w:hint="eastAsia" w:ascii="仿宋_GB2312" w:hAnsi="仿宋_GB2312" w:eastAsia="仿宋_GB2312" w:cs="仿宋_GB2312"/>
          <w:sz w:val="32"/>
          <w:szCs w:val="32"/>
        </w:rPr>
        <w:t>。</w:t>
      </w:r>
    </w:p>
    <w:p>
      <w:pPr>
        <w:keepNext w:val="0"/>
        <w:keepLines w:val="0"/>
        <w:widowControl w:val="0"/>
        <w:suppressLineNumbers w:val="0"/>
        <w:spacing w:before="0" w:beforeAutospacing="0" w:after="0" w:afterAutospacing="0"/>
        <w:ind w:right="0" w:firstLine="642" w:firstLineChars="200"/>
        <w:jc w:val="both"/>
        <w:rPr>
          <w:rFonts w:hint="default" w:ascii="仿宋_GB2312" w:eastAsia="仿宋_GB2312"/>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hAnsi="仿宋_GB2312" w:eastAsia="仿宋_GB2312" w:cs="仿宋_GB2312"/>
          <w:sz w:val="32"/>
          <w:szCs w:val="32"/>
        </w:rPr>
        <w:t>公务用车购置支出0万元。全年按规定更新购置公务用车0辆，其中：轿车0辆、金</w:t>
      </w:r>
      <w:r>
        <w:rPr>
          <w:rFonts w:hint="eastAsia" w:ascii="仿宋_GB2312" w:eastAsia="仿宋_GB2312"/>
          <w:color w:val="000000"/>
          <w:sz w:val="32"/>
          <w:szCs w:val="32"/>
        </w:rPr>
        <w:t>额0万元，越野车0辆、金额0万元，载客汽车0辆、金额0万元。</w:t>
      </w:r>
    </w:p>
    <w:p>
      <w:pPr>
        <w:spacing w:line="576" w:lineRule="exact"/>
        <w:ind w:firstLine="640"/>
        <w:rPr>
          <w:rFonts w:ascii="仿宋_GB2312" w:eastAsia="仿宋_GB2312"/>
          <w:color w:val="000000"/>
          <w:sz w:val="32"/>
          <w:szCs w:val="32"/>
        </w:rPr>
      </w:pPr>
      <w:r>
        <w:rPr>
          <w:rFonts w:hint="eastAsia" w:ascii="仿宋_GB2312" w:hAnsi="仿宋_GB2312" w:eastAsia="仿宋_GB2312" w:cs="仿宋_GB2312"/>
          <w:sz w:val="32"/>
          <w:szCs w:val="32"/>
        </w:rPr>
        <w:t>公务用车运行维护费支出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w:t>
      </w:r>
      <w:r>
        <w:rPr>
          <w:rFonts w:hint="eastAsia" w:ascii="仿宋_GB2312" w:eastAsia="仿宋_GB2312"/>
          <w:color w:val="000000"/>
          <w:sz w:val="32"/>
          <w:szCs w:val="32"/>
        </w:rPr>
        <w:t>元。</w:t>
      </w:r>
    </w:p>
    <w:p>
      <w:pPr>
        <w:spacing w:line="576" w:lineRule="exact"/>
        <w:ind w:firstLine="640"/>
        <w:rPr>
          <w:rFonts w:hint="eastAsia" w:ascii="仿宋_GB2312" w:hAnsi="仿宋_GB2312" w:eastAsia="仿宋_GB2312" w:cs="仿宋_GB2312"/>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0.28</w:t>
      </w:r>
      <w:r>
        <w:rPr>
          <w:rFonts w:hint="eastAsia" w:ascii="仿宋_GB2312" w:eastAsia="仿宋_GB2312"/>
          <w:color w:val="000000"/>
          <w:sz w:val="32"/>
          <w:szCs w:val="32"/>
        </w:rPr>
        <w:t>万元，</w:t>
      </w:r>
      <w:r>
        <w:rPr>
          <w:rFonts w:hint="eastAsia" w:ascii="仿宋_GB2312" w:hAnsi="仿宋_GB2312" w:eastAsia="仿宋_GB2312" w:cs="仿宋_GB2312"/>
          <w:sz w:val="32"/>
          <w:szCs w:val="32"/>
        </w:rPr>
        <w:t>完成预算100%。公务接待费支出决算比202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减少0.14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下降33.33</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全面落实关于党政机关厉行勤俭节约，坚持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过紧日子</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的要求，努力营造</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艰苦奋斗、勤俭节约</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氛围，持续推进节约型单位建设</w:t>
      </w:r>
      <w:r>
        <w:rPr>
          <w:rFonts w:hint="eastAsia" w:ascii="仿宋_GB2312" w:hAnsi="仿宋_GB2312" w:eastAsia="仿宋_GB2312" w:cs="仿宋_GB2312"/>
          <w:sz w:val="32"/>
          <w:szCs w:val="32"/>
        </w:rPr>
        <w:t>。其中：</w:t>
      </w:r>
    </w:p>
    <w:p>
      <w:pPr>
        <w:spacing w:line="576"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国内公务接待支出</w:t>
      </w:r>
      <w:r>
        <w:rPr>
          <w:rFonts w:hint="eastAsia" w:ascii="仿宋_GB2312" w:hAnsi="仿宋_GB2312" w:eastAsia="仿宋_GB2312" w:cs="仿宋_GB2312"/>
          <w:sz w:val="32"/>
          <w:szCs w:val="32"/>
          <w:lang w:val="en-US" w:eastAsia="zh-CN"/>
        </w:rPr>
        <w:t>0.28</w:t>
      </w:r>
      <w:r>
        <w:rPr>
          <w:rFonts w:hint="eastAsia" w:ascii="仿宋_GB2312" w:hAnsi="仿宋_GB2312" w:eastAsia="仿宋_GB2312" w:cs="仿宋_GB2312"/>
          <w:sz w:val="32"/>
          <w:szCs w:val="32"/>
        </w:rPr>
        <w:t>万元，主要用于执行公务、开展业务活动开支的交通费、住宿费、用餐费等。国内公务接待</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0.28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spacing w:line="576" w:lineRule="exact"/>
        <w:ind w:firstLine="640"/>
        <w:rPr>
          <w:rFonts w:ascii="仿宋_GB2312" w:eastAsia="仿宋_GB2312"/>
          <w:color w:val="000000"/>
          <w:sz w:val="32"/>
          <w:szCs w:val="32"/>
        </w:rPr>
      </w:pPr>
      <w:r>
        <w:rPr>
          <w:rFonts w:hint="eastAsia" w:ascii="仿宋_GB2312" w:hAnsi="仿宋_GB2312" w:eastAsia="仿宋_GB2312" w:cs="仿宋_GB2312"/>
          <w:sz w:val="32"/>
          <w:szCs w:val="32"/>
        </w:rPr>
        <w:t>外事接待支出0万元，外事接</w:t>
      </w:r>
      <w:r>
        <w:rPr>
          <w:rFonts w:hint="eastAsia" w:ascii="仿宋_GB2312" w:eastAsia="仿宋_GB2312"/>
          <w:color w:val="000000"/>
          <w:sz w:val="32"/>
          <w:szCs w:val="32"/>
        </w:rPr>
        <w:t>待0批次，0人，共计支出0万元。</w:t>
      </w:r>
    </w:p>
    <w:bookmarkEnd w:id="44"/>
    <w:bookmarkEnd w:id="45"/>
    <w:p>
      <w:pPr>
        <w:spacing w:line="600" w:lineRule="exact"/>
        <w:ind w:firstLine="640"/>
        <w:outlineLvl w:val="1"/>
        <w:rPr>
          <w:rStyle w:val="29"/>
          <w:rFonts w:ascii="黑体" w:hAnsi="黑体" w:eastAsia="黑体"/>
        </w:rPr>
      </w:pPr>
      <w:bookmarkStart w:id="46" w:name="_Toc79163622"/>
      <w:bookmarkStart w:id="47" w:name="_Toc79163872"/>
      <w:bookmarkStart w:id="48" w:name="_Toc15377221"/>
      <w:bookmarkStart w:id="49" w:name="_Toc15396612"/>
      <w:r>
        <w:rPr>
          <w:rFonts w:hint="eastAsia" w:ascii="黑体" w:eastAsia="黑体"/>
          <w:color w:val="000000"/>
          <w:sz w:val="32"/>
          <w:szCs w:val="32"/>
        </w:rPr>
        <w:t>八、</w:t>
      </w:r>
      <w:r>
        <w:rPr>
          <w:rStyle w:val="29"/>
          <w:rFonts w:hint="eastAsia" w:ascii="黑体" w:hAnsi="黑体" w:eastAsia="黑体"/>
        </w:rPr>
        <w:t>政府性基金预算支出决算情况说明</w:t>
      </w:r>
      <w:bookmarkEnd w:id="46"/>
      <w:bookmarkEnd w:id="47"/>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numPr>
          <w:ilvl w:val="0"/>
          <w:numId w:val="3"/>
        </w:numPr>
        <w:spacing w:line="600" w:lineRule="exact"/>
        <w:ind w:firstLine="640"/>
        <w:outlineLvl w:val="1"/>
        <w:rPr>
          <w:rStyle w:val="29"/>
          <w:rFonts w:ascii="黑体" w:hAnsi="黑体" w:eastAsia="黑体"/>
          <w:b w:val="0"/>
        </w:rPr>
      </w:pPr>
      <w:bookmarkStart w:id="50" w:name="_Toc15377219"/>
      <w:bookmarkStart w:id="51" w:name="_Toc79163623"/>
      <w:bookmarkStart w:id="52" w:name="_Toc15396611"/>
      <w:bookmarkStart w:id="53" w:name="_Toc79163873"/>
      <w:r>
        <w:rPr>
          <w:rStyle w:val="29"/>
          <w:rFonts w:hint="eastAsia" w:ascii="黑体" w:hAnsi="黑体" w:eastAsia="黑体"/>
        </w:rPr>
        <w:t>国有资本经营预算支出决算情况说明</w:t>
      </w:r>
      <w:bookmarkEnd w:id="50"/>
      <w:bookmarkEnd w:id="51"/>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年国有资本经营预算</w:t>
      </w:r>
      <w:r>
        <w:rPr>
          <w:rFonts w:hint="eastAsia" w:ascii="仿宋_GB2312" w:eastAsia="仿宋_GB2312"/>
          <w:color w:val="000000"/>
          <w:sz w:val="32"/>
          <w:szCs w:val="32"/>
          <w:lang w:val="en-US" w:eastAsia="zh-CN"/>
        </w:rPr>
        <w:t>财政</w:t>
      </w:r>
      <w:r>
        <w:rPr>
          <w:rFonts w:hint="eastAsia" w:ascii="仿宋_GB2312" w:eastAsia="仿宋_GB2312"/>
          <w:color w:val="000000"/>
          <w:sz w:val="32"/>
          <w:szCs w:val="32"/>
        </w:rPr>
        <w:t>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spacing w:line="600" w:lineRule="exact"/>
        <w:ind w:firstLine="800" w:firstLineChars="250"/>
        <w:outlineLvl w:val="1"/>
        <w:rPr>
          <w:rStyle w:val="29"/>
          <w:rFonts w:ascii="黑体" w:hAnsi="黑体" w:eastAsia="黑体"/>
        </w:rPr>
      </w:pPr>
      <w:bookmarkStart w:id="54" w:name="_Toc79163874"/>
      <w:bookmarkStart w:id="55" w:name="_Toc79163624"/>
      <w:r>
        <w:rPr>
          <w:rFonts w:hint="eastAsia" w:ascii="黑体" w:hAnsi="黑体" w:eastAsia="黑体"/>
          <w:color w:val="000000"/>
          <w:sz w:val="32"/>
          <w:szCs w:val="32"/>
        </w:rPr>
        <w:t>十</w:t>
      </w:r>
      <w:r>
        <w:rPr>
          <w:rStyle w:val="29"/>
          <w:rFonts w:hint="eastAsia" w:ascii="黑体" w:hAnsi="黑体" w:eastAsia="黑体"/>
        </w:rPr>
        <w:t>、其他重要事项的情况说明</w:t>
      </w:r>
      <w:bookmarkEnd w:id="54"/>
      <w:bookmarkEnd w:id="55"/>
    </w:p>
    <w:p>
      <w:pPr>
        <w:spacing w:line="600" w:lineRule="exact"/>
        <w:ind w:firstLine="642" w:firstLineChars="200"/>
        <w:outlineLvl w:val="2"/>
        <w:rPr>
          <w:rFonts w:ascii="仿宋" w:hAnsi="仿宋" w:eastAsia="仿宋"/>
          <w:color w:val="000000"/>
          <w:sz w:val="32"/>
          <w:szCs w:val="32"/>
        </w:rPr>
      </w:pPr>
      <w:bookmarkStart w:id="56" w:name="_Toc79163625"/>
      <w:bookmarkStart w:id="57" w:name="_Toc79163875"/>
      <w:r>
        <w:rPr>
          <w:rFonts w:hint="eastAsia" w:ascii="仿宋" w:hAnsi="仿宋" w:eastAsia="仿宋"/>
          <w:b/>
          <w:color w:val="000000"/>
          <w:sz w:val="32"/>
          <w:szCs w:val="32"/>
        </w:rPr>
        <w:t>（一）机关运行经费支出情况</w:t>
      </w:r>
      <w:bookmarkEnd w:id="56"/>
      <w:bookmarkEnd w:id="57"/>
    </w:p>
    <w:p>
      <w:pPr>
        <w:spacing w:line="576" w:lineRule="exact"/>
        <w:ind w:firstLine="800" w:firstLineChars="250"/>
        <w:outlineLvl w:val="1"/>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4年度</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lang w:val="en-US" w:eastAsia="zh-CN"/>
        </w:rPr>
        <w:t>培训中心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bookmarkEnd w:id="48"/>
    <w:bookmarkEnd w:id="49"/>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8" w:name="_Toc79163626"/>
      <w:bookmarkStart w:id="59" w:name="_Toc79163876"/>
      <w:bookmarkStart w:id="60" w:name="_Toc15377223"/>
      <w:bookmarkStart w:id="61" w:name="_Toc15377224"/>
      <w:r>
        <w:rPr>
          <w:rFonts w:hint="eastAsia" w:ascii="仿宋" w:hAnsi="仿宋" w:eastAsia="仿宋"/>
          <w:b/>
          <w:color w:val="000000"/>
          <w:sz w:val="32"/>
          <w:szCs w:val="32"/>
        </w:rPr>
        <w:t>（二）政府采购支出情况</w:t>
      </w:r>
      <w:bookmarkEnd w:id="58"/>
      <w:bookmarkEnd w:id="59"/>
      <w:bookmarkEnd w:id="60"/>
    </w:p>
    <w:p>
      <w:pPr>
        <w:widowControl/>
        <w:spacing w:line="576" w:lineRule="exact"/>
        <w:ind w:firstLine="640" w:firstLineChars="200"/>
        <w:jc w:val="left"/>
        <w:rPr>
          <w:rFonts w:ascii="仿宋_GB2312" w:hAnsi="仿宋_GB2312" w:eastAsia="仿宋_GB2312" w:cs="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度</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lang w:val="en-US" w:eastAsia="zh-CN"/>
        </w:rPr>
        <w:t>培训中心政府</w:t>
      </w:r>
      <w:r>
        <w:rPr>
          <w:rFonts w:hint="eastAsia" w:ascii="仿宋_GB2312" w:eastAsia="仿宋_GB2312"/>
          <w:color w:val="000000"/>
          <w:sz w:val="32"/>
          <w:szCs w:val="32"/>
        </w:rPr>
        <w:t>采购支出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bookmarkEnd w:id="61"/>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62" w:name="_Toc79163627"/>
      <w:bookmarkStart w:id="63" w:name="_Toc79163877"/>
      <w:r>
        <w:rPr>
          <w:rFonts w:hint="eastAsia" w:ascii="仿宋" w:hAnsi="仿宋" w:eastAsia="仿宋"/>
          <w:b/>
          <w:color w:val="000000"/>
          <w:sz w:val="32"/>
          <w:szCs w:val="32"/>
        </w:rPr>
        <w:t>（三）国有资产占有使用情况</w:t>
      </w:r>
      <w:bookmarkEnd w:id="62"/>
      <w:bookmarkEnd w:id="63"/>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lang w:val="en-US" w:eastAsia="zh-CN"/>
        </w:rPr>
        <w:t>培训中心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辆，其中：其中：主要领导干部用车0辆、机要通信用车0辆、应急保障用车0辆、其他用车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64" w:name="_Toc79163628"/>
      <w:bookmarkStart w:id="65" w:name="_Toc79163878"/>
      <w:r>
        <w:rPr>
          <w:rFonts w:hint="eastAsia" w:ascii="仿宋" w:hAnsi="仿宋" w:eastAsia="仿宋"/>
          <w:b/>
          <w:color w:val="000000"/>
          <w:sz w:val="32"/>
          <w:szCs w:val="32"/>
        </w:rPr>
        <w:t>（四）预算绩效管理情况</w:t>
      </w:r>
      <w:bookmarkEnd w:id="64"/>
      <w:bookmarkEnd w:id="65"/>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lang w:val="en-US" w:eastAsia="zh-CN"/>
        </w:rPr>
        <w:t>培训中心</w:t>
      </w:r>
      <w:r>
        <w:rPr>
          <w:rFonts w:hint="eastAsia" w:ascii="仿宋_GB2312" w:hAnsi="仿宋_GB2312" w:eastAsia="仿宋_GB2312" w:cs="仿宋_GB2312"/>
          <w:sz w:val="32"/>
          <w:szCs w:val="32"/>
        </w:rPr>
        <w:t>无项目。</w:t>
      </w:r>
    </w:p>
    <w:p>
      <w:pPr>
        <w:pStyle w:val="2"/>
        <w:rPr>
          <w:rFonts w:hint="eastAsia" w:ascii="仿宋_GB2312" w:hAnsi="仿宋_GB2312" w:eastAsia="仿宋_GB2312" w:cs="仿宋_GB2312"/>
          <w:sz w:val="32"/>
          <w:szCs w:val="32"/>
        </w:rPr>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Pr>
        <w:spacing w:line="580" w:lineRule="exact"/>
        <w:ind w:firstLine="640" w:firstLineChars="200"/>
        <w:rPr>
          <w:rFonts w:ascii="仿宋_GB2312" w:hAnsi="仿宋_GB2312" w:eastAsia="仿宋_GB2312" w:cs="仿宋_GB2312"/>
          <w:sz w:val="32"/>
          <w:szCs w:val="32"/>
        </w:rPr>
      </w:pPr>
    </w:p>
    <w:p>
      <w:pPr>
        <w:numPr>
          <w:ilvl w:val="0"/>
          <w:numId w:val="4"/>
        </w:numPr>
        <w:spacing w:line="600" w:lineRule="exact"/>
        <w:ind w:firstLine="662" w:firstLineChars="150"/>
        <w:jc w:val="center"/>
        <w:outlineLvl w:val="0"/>
        <w:rPr>
          <w:rStyle w:val="28"/>
          <w:rFonts w:ascii="黑体" w:hAnsi="黑体" w:eastAsia="黑体"/>
          <w:b w:val="0"/>
        </w:rPr>
      </w:pPr>
      <w:bookmarkStart w:id="66" w:name="_Toc15377225"/>
      <w:bookmarkStart w:id="67" w:name="_Toc79163879"/>
      <w:bookmarkStart w:id="68" w:name="_Toc15396613"/>
      <w:bookmarkStart w:id="69" w:name="_Toc79163629"/>
      <w:r>
        <w:rPr>
          <w:rFonts w:hint="eastAsia" w:ascii="黑体" w:hAnsi="黑体" w:eastAsia="黑体" w:cs="黑体"/>
          <w:b/>
          <w:bCs/>
          <w:color w:val="000000"/>
          <w:sz w:val="44"/>
          <w:szCs w:val="44"/>
        </w:rPr>
        <w:t>名</w:t>
      </w:r>
      <w:r>
        <w:rPr>
          <w:rStyle w:val="28"/>
          <w:rFonts w:hint="eastAsia" w:ascii="黑体" w:hAnsi="黑体" w:eastAsia="黑体" w:cs="黑体"/>
          <w:b/>
          <w:bCs/>
        </w:rPr>
        <w:t>词解释</w:t>
      </w:r>
      <w:bookmarkEnd w:id="66"/>
      <w:bookmarkEnd w:id="67"/>
      <w:bookmarkEnd w:id="68"/>
      <w:bookmarkEnd w:id="69"/>
    </w:p>
    <w:p>
      <w:pPr>
        <w:spacing w:line="600" w:lineRule="exact"/>
        <w:jc w:val="left"/>
        <w:rPr>
          <w:rFonts w:ascii="宋体"/>
          <w:b/>
          <w:color w:val="000000"/>
          <w:sz w:val="44"/>
          <w:szCs w:val="44"/>
        </w:rPr>
      </w:pPr>
      <w:bookmarkStart w:id="120" w:name="_GoBack"/>
      <w:bookmarkEnd w:id="120"/>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ascii="仿宋_GB2312" w:eastAsia="仿宋_GB2312"/>
          <w:color w:val="000000"/>
          <w:sz w:val="32"/>
          <w:szCs w:val="32"/>
        </w:rPr>
        <w:t>9.</w:t>
      </w:r>
      <w:r>
        <w:rPr>
          <w:rFonts w:hint="eastAsia" w:ascii="仿宋_GB2312" w:eastAsia="仿宋_GB2312"/>
          <w:color w:val="000000"/>
          <w:sz w:val="32"/>
          <w:szCs w:val="32"/>
        </w:rPr>
        <w:t xml:space="preserve"> 一般公共服务（</w:t>
      </w:r>
      <w:r>
        <w:rPr>
          <w:rFonts w:hint="eastAsia" w:ascii="仿宋_GB2312" w:eastAsia="仿宋_GB2312"/>
          <w:sz w:val="32"/>
          <w:szCs w:val="32"/>
        </w:rPr>
        <w:t>类）</w:t>
      </w:r>
      <w:r>
        <w:rPr>
          <w:rFonts w:hint="eastAsia" w:ascii="仿宋_GB2312" w:eastAsia="仿宋_GB2312"/>
          <w:color w:val="000000"/>
          <w:sz w:val="32"/>
          <w:szCs w:val="32"/>
        </w:rPr>
        <w:t>人力</w:t>
      </w:r>
      <w:r>
        <w:rPr>
          <w:rFonts w:ascii="仿宋_GB2312" w:eastAsia="仿宋_GB2312"/>
          <w:color w:val="000000"/>
          <w:sz w:val="32"/>
          <w:szCs w:val="32"/>
        </w:rPr>
        <w:t>资源事务</w:t>
      </w:r>
      <w:r>
        <w:rPr>
          <w:rFonts w:hint="eastAsia" w:ascii="仿宋_GB2312" w:eastAsia="仿宋_GB2312"/>
          <w:color w:val="000000"/>
          <w:sz w:val="32"/>
          <w:szCs w:val="32"/>
        </w:rPr>
        <w:t>（款）行政</w:t>
      </w:r>
      <w:r>
        <w:rPr>
          <w:rFonts w:ascii="仿宋_GB2312" w:eastAsia="仿宋_GB2312"/>
          <w:color w:val="000000"/>
          <w:sz w:val="32"/>
          <w:szCs w:val="32"/>
        </w:rPr>
        <w:t>运行</w:t>
      </w:r>
      <w:r>
        <w:rPr>
          <w:rFonts w:hint="eastAsia" w:ascii="仿宋_GB2312" w:eastAsia="仿宋_GB2312"/>
          <w:color w:val="000000"/>
          <w:sz w:val="32"/>
          <w:szCs w:val="32"/>
        </w:rPr>
        <w:t>（项）：指</w:t>
      </w:r>
      <w:r>
        <w:rPr>
          <w:rFonts w:hint="eastAsia" w:ascii="仿宋_GB2312" w:eastAsia="仿宋_GB2312"/>
          <w:sz w:val="32"/>
          <w:szCs w:val="32"/>
        </w:rPr>
        <w:t>主要用于单位行政人员经费和日常公用经费等基本支出和军转干部医保、慰问等费用，一般公共服务（类）人力资源事务（款）一般行政管理事务（项）：指事业人员经费和日常公用经费等基本支出。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sz w:val="32"/>
          <w:szCs w:val="32"/>
        </w:rPr>
        <w:t>（类）行政事业单位离退休（款）机关事业单位基本养老保险缴费支出（项）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sz w:val="32"/>
          <w:szCs w:val="32"/>
        </w:rPr>
        <w:t>单位缴纳基本养老保险费，社会保障和就业支出（类）行政事业单位离退休（款）机关事业单位职业年金缴费支出（项）：指单位缴纳职业年金</w:t>
      </w:r>
      <w:r>
        <w:rPr>
          <w:rFonts w:hint="eastAsia" w:ascii="仿宋_GB2312" w:eastAsia="仿宋_GB2312"/>
          <w:color w:val="000000"/>
          <w:sz w:val="32"/>
          <w:szCs w:val="32"/>
        </w:rPr>
        <w:t>。</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sz w:val="32"/>
          <w:szCs w:val="32"/>
        </w:rPr>
        <w:t>（类）行政事业单位医疗（款）行政单位医疗</w:t>
      </w:r>
      <w:r>
        <w:rPr>
          <w:rFonts w:hint="eastAsia" w:ascii="仿宋_GB2312" w:eastAsia="仿宋_GB2312"/>
          <w:color w:val="000000"/>
          <w:sz w:val="32"/>
          <w:szCs w:val="32"/>
        </w:rPr>
        <w:t>（项）：指</w:t>
      </w:r>
      <w:r>
        <w:rPr>
          <w:rFonts w:hint="eastAsia" w:ascii="仿宋_GB2312" w:eastAsia="仿宋_GB2312"/>
          <w:sz w:val="32"/>
          <w:szCs w:val="32"/>
        </w:rPr>
        <w:t>单位行政人员缴纳基本医疗保险</w:t>
      </w:r>
      <w:r>
        <w:rPr>
          <w:rFonts w:hint="eastAsia" w:ascii="仿宋_GB2312" w:eastAsia="仿宋_GB2312"/>
          <w:color w:val="000000"/>
          <w:sz w:val="32"/>
          <w:szCs w:val="32"/>
        </w:rPr>
        <w:t>，</w:t>
      </w:r>
      <w:r>
        <w:rPr>
          <w:rFonts w:hint="eastAsia" w:ascii="仿宋_GB2312" w:eastAsia="仿宋_GB2312"/>
          <w:sz w:val="32"/>
          <w:szCs w:val="32"/>
        </w:rPr>
        <w:t>卫生健康支出（类）行政事业单位医疗（款）事业单位医疗（项）：指事业单位缴纳基本医疗保险。</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住房保障（类）住房改革（款）住房公积金（项）：指单位为职工缴纳住房公积金，住房保障（类）住房改革（款）购房补贴（项）：指财政支付退休职工购房补贴。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Fonts w:ascii="黑体" w:hAnsi="黑体" w:eastAsia="黑体"/>
          <w:color w:val="000000"/>
          <w:sz w:val="44"/>
          <w:szCs w:val="44"/>
        </w:rPr>
      </w:pPr>
      <w:bookmarkStart w:id="70" w:name="_Toc79163880"/>
      <w:bookmarkStart w:id="71" w:name="_Toc15396614"/>
      <w:bookmarkStart w:id="72" w:name="_Toc79163630"/>
      <w:bookmarkStart w:id="73" w:name="_Toc15377226"/>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bookmarkEnd w:id="70"/>
    <w:bookmarkEnd w:id="71"/>
    <w:bookmarkEnd w:id="72"/>
    <w:p>
      <w:pPr>
        <w:pStyle w:val="34"/>
        <w:spacing w:line="550" w:lineRule="exact"/>
        <w:rPr>
          <w:rFonts w:hint="eastAsia" w:ascii="仿宋_GB2312" w:hAnsi="黑体" w:eastAsia="仿宋_GB2312" w:cs="宋体"/>
          <w:color w:val="000000"/>
          <w:kern w:val="0"/>
          <w:sz w:val="32"/>
          <w:szCs w:val="32"/>
          <w:shd w:val="clear" w:color="auto" w:fill="FFFFFF"/>
        </w:rPr>
      </w:pPr>
      <w:bookmarkStart w:id="74" w:name="_Toc79163633"/>
      <w:bookmarkStart w:id="75" w:name="_Toc79163883"/>
    </w:p>
    <w:bookmarkEnd w:id="74"/>
    <w:bookmarkEnd w:id="75"/>
    <w:p>
      <w:pPr>
        <w:spacing w:line="600" w:lineRule="exact"/>
        <w:jc w:val="center"/>
        <w:outlineLvl w:val="0"/>
        <w:rPr>
          <w:rStyle w:val="28"/>
          <w:rFonts w:ascii="黑体" w:hAnsi="黑体" w:eastAsia="黑体"/>
          <w:b w:val="0"/>
        </w:rPr>
      </w:pPr>
      <w:bookmarkStart w:id="76" w:name="_Toc15396618"/>
      <w:bookmarkStart w:id="77" w:name="_Toc79163885"/>
      <w:bookmarkStart w:id="78" w:name="_Toc79163635"/>
      <w:r>
        <w:rPr>
          <w:rFonts w:hint="eastAsia" w:ascii="黑体" w:hAnsi="黑体" w:eastAsia="黑体"/>
          <w:color w:val="000000"/>
          <w:sz w:val="44"/>
          <w:szCs w:val="44"/>
        </w:rPr>
        <w:t>第</w:t>
      </w:r>
      <w:r>
        <w:rPr>
          <w:rStyle w:val="28"/>
          <w:rFonts w:hint="eastAsia" w:ascii="黑体" w:hAnsi="黑体" w:eastAsia="黑体"/>
          <w:lang w:val="en-US" w:eastAsia="zh-CN"/>
        </w:rPr>
        <w:t>四</w:t>
      </w:r>
      <w:r>
        <w:rPr>
          <w:rStyle w:val="28"/>
          <w:rFonts w:hint="eastAsia" w:ascii="黑体" w:hAnsi="黑体" w:eastAsia="黑体"/>
        </w:rPr>
        <w:t>部分</w:t>
      </w:r>
      <w:r>
        <w:rPr>
          <w:rStyle w:val="28"/>
          <w:rFonts w:ascii="黑体" w:hAnsi="黑体" w:eastAsia="黑体"/>
        </w:rPr>
        <w:t xml:space="preserve"> </w:t>
      </w:r>
      <w:r>
        <w:rPr>
          <w:rStyle w:val="28"/>
          <w:rFonts w:hint="eastAsia" w:ascii="黑体" w:hAnsi="黑体" w:eastAsia="黑体"/>
        </w:rPr>
        <w:t>附表</w:t>
      </w:r>
      <w:bookmarkEnd w:id="73"/>
      <w:bookmarkEnd w:id="76"/>
      <w:bookmarkEnd w:id="77"/>
      <w:bookmarkEnd w:id="78"/>
    </w:p>
    <w:p>
      <w:pPr>
        <w:spacing w:line="576" w:lineRule="exact"/>
        <w:ind w:left="315" w:leftChars="150" w:firstLine="640" w:firstLineChars="200"/>
        <w:rPr>
          <w:rFonts w:ascii="仿宋_GB2312" w:hAnsi="仿宋_GB2312" w:eastAsia="仿宋_GB2312" w:cs="仿宋_GB2312"/>
          <w:color w:val="000000"/>
          <w:sz w:val="32"/>
          <w:szCs w:val="32"/>
        </w:rPr>
      </w:pPr>
      <w:bookmarkStart w:id="79" w:name="_Toc79163636"/>
      <w:bookmarkStart w:id="80" w:name="_Toc15396619"/>
      <w:bookmarkStart w:id="81" w:name="_Toc79163886"/>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一、收入支出决算总表</w:t>
      </w:r>
      <w:bookmarkEnd w:id="79"/>
      <w:bookmarkEnd w:id="80"/>
      <w:bookmarkEnd w:id="81"/>
    </w:p>
    <w:p>
      <w:pPr>
        <w:spacing w:line="576" w:lineRule="exact"/>
        <w:ind w:left="315" w:leftChars="150" w:firstLine="640" w:firstLineChars="200"/>
        <w:rPr>
          <w:rFonts w:ascii="仿宋_GB2312" w:hAnsi="仿宋_GB2312" w:eastAsia="仿宋_GB2312" w:cs="仿宋_GB2312"/>
          <w:color w:val="000000"/>
          <w:sz w:val="32"/>
          <w:szCs w:val="32"/>
        </w:rPr>
      </w:pPr>
      <w:bookmarkStart w:id="82" w:name="_Toc79163887"/>
      <w:bookmarkStart w:id="83" w:name="_Toc15396620"/>
      <w:bookmarkStart w:id="84" w:name="_Toc79163637"/>
      <w:r>
        <w:rPr>
          <w:rFonts w:hint="eastAsia" w:ascii="仿宋_GB2312" w:hAnsi="仿宋_GB2312" w:eastAsia="仿宋_GB2312" w:cs="仿宋_GB2312"/>
          <w:color w:val="000000"/>
          <w:sz w:val="32"/>
          <w:szCs w:val="32"/>
        </w:rPr>
        <w:t>二、收入决算表</w:t>
      </w:r>
      <w:bookmarkEnd w:id="82"/>
      <w:bookmarkEnd w:id="83"/>
      <w:bookmarkEnd w:id="84"/>
    </w:p>
    <w:p>
      <w:pPr>
        <w:spacing w:line="576" w:lineRule="exact"/>
        <w:ind w:left="315" w:leftChars="150" w:firstLine="640" w:firstLineChars="200"/>
        <w:rPr>
          <w:rFonts w:ascii="仿宋_GB2312" w:hAnsi="仿宋_GB2312" w:eastAsia="仿宋_GB2312" w:cs="仿宋_GB2312"/>
          <w:color w:val="000000"/>
          <w:sz w:val="32"/>
          <w:szCs w:val="32"/>
        </w:rPr>
      </w:pPr>
      <w:bookmarkStart w:id="85" w:name="_Toc79163888"/>
      <w:bookmarkStart w:id="86" w:name="_Toc15396621"/>
      <w:bookmarkStart w:id="87" w:name="_Toc79163638"/>
      <w:r>
        <w:rPr>
          <w:rFonts w:hint="eastAsia" w:ascii="仿宋_GB2312" w:hAnsi="仿宋_GB2312" w:eastAsia="仿宋_GB2312" w:cs="仿宋_GB2312"/>
          <w:color w:val="000000"/>
          <w:sz w:val="32"/>
          <w:szCs w:val="32"/>
        </w:rPr>
        <w:t>三、支出决算表</w:t>
      </w:r>
      <w:bookmarkEnd w:id="85"/>
      <w:bookmarkEnd w:id="86"/>
      <w:bookmarkEnd w:id="87"/>
    </w:p>
    <w:p>
      <w:pPr>
        <w:spacing w:line="576" w:lineRule="exact"/>
        <w:ind w:left="315" w:leftChars="150" w:firstLine="640" w:firstLineChars="200"/>
        <w:rPr>
          <w:rFonts w:ascii="仿宋_GB2312" w:hAnsi="仿宋_GB2312" w:eastAsia="仿宋_GB2312" w:cs="仿宋_GB2312"/>
          <w:color w:val="000000"/>
          <w:sz w:val="32"/>
          <w:szCs w:val="32"/>
        </w:rPr>
      </w:pPr>
      <w:bookmarkStart w:id="88" w:name="_Toc79163639"/>
      <w:bookmarkStart w:id="89" w:name="_Toc79163889"/>
      <w:bookmarkStart w:id="90" w:name="_Toc15396622"/>
      <w:r>
        <w:rPr>
          <w:rFonts w:hint="eastAsia" w:ascii="仿宋_GB2312" w:hAnsi="仿宋_GB2312" w:eastAsia="仿宋_GB2312" w:cs="仿宋_GB2312"/>
          <w:color w:val="000000"/>
          <w:sz w:val="32"/>
          <w:szCs w:val="32"/>
        </w:rPr>
        <w:t>四、财政拨款收入支出决算总表</w:t>
      </w:r>
      <w:bookmarkEnd w:id="88"/>
      <w:bookmarkEnd w:id="89"/>
      <w:bookmarkEnd w:id="90"/>
    </w:p>
    <w:p>
      <w:pPr>
        <w:spacing w:line="576" w:lineRule="exact"/>
        <w:ind w:left="315" w:leftChars="150" w:firstLine="640" w:firstLineChars="200"/>
        <w:rPr>
          <w:rFonts w:ascii="仿宋_GB2312" w:hAnsi="仿宋_GB2312" w:eastAsia="仿宋_GB2312" w:cs="仿宋_GB2312"/>
          <w:color w:val="000000"/>
          <w:sz w:val="32"/>
          <w:szCs w:val="32"/>
        </w:rPr>
      </w:pPr>
      <w:bookmarkStart w:id="91" w:name="_Toc79163890"/>
      <w:bookmarkStart w:id="92" w:name="_Toc79163640"/>
      <w:bookmarkStart w:id="93" w:name="_Toc15396623"/>
      <w:r>
        <w:rPr>
          <w:rFonts w:hint="eastAsia" w:ascii="仿宋_GB2312" w:hAnsi="仿宋_GB2312" w:eastAsia="仿宋_GB2312" w:cs="仿宋_GB2312"/>
          <w:color w:val="000000"/>
          <w:sz w:val="32"/>
          <w:szCs w:val="32"/>
        </w:rPr>
        <w:t>五、财政拨款支出决算明细表</w:t>
      </w:r>
      <w:bookmarkEnd w:id="91"/>
      <w:bookmarkEnd w:id="92"/>
      <w:bookmarkEnd w:id="93"/>
      <w:bookmarkStart w:id="94" w:name="_Toc15396624"/>
    </w:p>
    <w:p>
      <w:pPr>
        <w:spacing w:line="576" w:lineRule="exact"/>
        <w:ind w:left="315" w:leftChars="150" w:firstLine="640" w:firstLineChars="200"/>
        <w:rPr>
          <w:rFonts w:ascii="仿宋_GB2312" w:hAnsi="仿宋_GB2312" w:eastAsia="仿宋_GB2312" w:cs="仿宋_GB2312"/>
          <w:color w:val="000000"/>
          <w:sz w:val="32"/>
          <w:szCs w:val="32"/>
        </w:rPr>
      </w:pPr>
      <w:bookmarkStart w:id="95" w:name="_Toc79163641"/>
      <w:bookmarkStart w:id="96" w:name="_Toc79163891"/>
      <w:r>
        <w:rPr>
          <w:rFonts w:hint="eastAsia" w:ascii="仿宋_GB2312" w:hAnsi="仿宋_GB2312" w:eastAsia="仿宋_GB2312" w:cs="仿宋_GB2312"/>
          <w:color w:val="000000"/>
          <w:sz w:val="32"/>
          <w:szCs w:val="32"/>
        </w:rPr>
        <w:t>六、一般公共预算财政拨款支出决算表</w:t>
      </w:r>
      <w:bookmarkEnd w:id="94"/>
      <w:bookmarkEnd w:id="95"/>
      <w:bookmarkEnd w:id="96"/>
    </w:p>
    <w:p>
      <w:pPr>
        <w:spacing w:line="576" w:lineRule="exact"/>
        <w:ind w:left="315" w:leftChars="150" w:firstLine="640" w:firstLineChars="200"/>
        <w:rPr>
          <w:rFonts w:ascii="仿宋_GB2312" w:hAnsi="仿宋_GB2312" w:eastAsia="仿宋_GB2312" w:cs="仿宋_GB2312"/>
          <w:color w:val="000000"/>
          <w:sz w:val="32"/>
          <w:szCs w:val="32"/>
        </w:rPr>
      </w:pPr>
      <w:bookmarkStart w:id="97" w:name="_Toc79163642"/>
      <w:bookmarkStart w:id="98" w:name="_Toc15396625"/>
      <w:bookmarkStart w:id="99" w:name="_Toc79163892"/>
      <w:r>
        <w:rPr>
          <w:rFonts w:hint="eastAsia" w:ascii="仿宋_GB2312" w:hAnsi="仿宋_GB2312" w:eastAsia="仿宋_GB2312" w:cs="仿宋_GB2312"/>
          <w:color w:val="000000"/>
          <w:sz w:val="32"/>
          <w:szCs w:val="32"/>
        </w:rPr>
        <w:t>七、一般公共预算财政拨款支出决算明细表</w:t>
      </w:r>
      <w:bookmarkEnd w:id="97"/>
      <w:bookmarkEnd w:id="98"/>
      <w:bookmarkEnd w:id="99"/>
    </w:p>
    <w:p>
      <w:pPr>
        <w:spacing w:line="576" w:lineRule="exact"/>
        <w:ind w:left="315" w:leftChars="150" w:firstLine="640" w:firstLineChars="200"/>
        <w:rPr>
          <w:rFonts w:ascii="仿宋_GB2312" w:hAnsi="仿宋_GB2312" w:eastAsia="仿宋_GB2312" w:cs="仿宋_GB2312"/>
          <w:color w:val="000000"/>
          <w:sz w:val="32"/>
          <w:szCs w:val="32"/>
        </w:rPr>
      </w:pPr>
      <w:bookmarkStart w:id="100" w:name="_Toc79163893"/>
      <w:bookmarkStart w:id="101" w:name="_Toc79163643"/>
      <w:bookmarkStart w:id="102" w:name="_Toc15396626"/>
      <w:r>
        <w:rPr>
          <w:rFonts w:hint="eastAsia" w:ascii="仿宋_GB2312" w:hAnsi="仿宋_GB2312" w:eastAsia="仿宋_GB2312" w:cs="仿宋_GB2312"/>
          <w:color w:val="000000"/>
          <w:sz w:val="32"/>
          <w:szCs w:val="32"/>
        </w:rPr>
        <w:t>八、一般公共预算财政拨款基本支出决算表</w:t>
      </w:r>
      <w:bookmarkEnd w:id="100"/>
      <w:bookmarkEnd w:id="101"/>
      <w:bookmarkEnd w:id="102"/>
    </w:p>
    <w:p>
      <w:pPr>
        <w:spacing w:line="576" w:lineRule="exact"/>
        <w:ind w:left="315" w:leftChars="150" w:firstLine="640" w:firstLineChars="200"/>
        <w:rPr>
          <w:rFonts w:ascii="仿宋_GB2312" w:hAnsi="仿宋_GB2312" w:eastAsia="仿宋_GB2312" w:cs="仿宋_GB2312"/>
          <w:color w:val="000000"/>
          <w:sz w:val="32"/>
          <w:szCs w:val="32"/>
        </w:rPr>
      </w:pPr>
      <w:bookmarkStart w:id="103" w:name="_Toc15396627"/>
      <w:bookmarkStart w:id="104" w:name="_Toc79163894"/>
      <w:bookmarkStart w:id="105" w:name="_Toc79163644"/>
      <w:r>
        <w:rPr>
          <w:rFonts w:hint="eastAsia" w:ascii="仿宋_GB2312" w:hAnsi="仿宋_GB2312" w:eastAsia="仿宋_GB2312" w:cs="仿宋_GB2312"/>
          <w:color w:val="000000"/>
          <w:sz w:val="32"/>
          <w:szCs w:val="32"/>
        </w:rPr>
        <w:t>九、一般公共预算财政拨款项目支出决算表</w:t>
      </w:r>
      <w:bookmarkEnd w:id="103"/>
      <w:bookmarkEnd w:id="104"/>
      <w:bookmarkEnd w:id="105"/>
    </w:p>
    <w:p>
      <w:pPr>
        <w:spacing w:line="576" w:lineRule="exact"/>
        <w:ind w:left="315" w:leftChars="150" w:firstLine="640" w:firstLineChars="200"/>
        <w:rPr>
          <w:rFonts w:ascii="仿宋_GB2312" w:hAnsi="仿宋_GB2312" w:eastAsia="仿宋_GB2312" w:cs="仿宋_GB2312"/>
          <w:color w:val="000000"/>
          <w:sz w:val="32"/>
          <w:szCs w:val="32"/>
        </w:rPr>
      </w:pPr>
      <w:bookmarkStart w:id="106" w:name="_Toc15396628"/>
      <w:bookmarkStart w:id="107" w:name="_Toc79163645"/>
      <w:bookmarkStart w:id="108" w:name="_Toc79163895"/>
      <w:r>
        <w:rPr>
          <w:rFonts w:hint="eastAsia" w:ascii="仿宋_GB2312" w:hAnsi="仿宋_GB2312" w:eastAsia="仿宋_GB2312" w:cs="仿宋_GB2312"/>
          <w:color w:val="000000"/>
          <w:sz w:val="32"/>
          <w:szCs w:val="32"/>
        </w:rPr>
        <w:t>十、</w:t>
      </w:r>
      <w:bookmarkEnd w:id="106"/>
      <w:bookmarkEnd w:id="107"/>
      <w:bookmarkEnd w:id="108"/>
      <w:bookmarkStart w:id="109" w:name="_Toc79163646"/>
      <w:bookmarkStart w:id="110" w:name="_Toc15396629"/>
      <w:bookmarkStart w:id="111" w:name="_Toc79163896"/>
      <w:r>
        <w:rPr>
          <w:rFonts w:hint="eastAsia" w:ascii="仿宋_GB2312" w:hAnsi="仿宋_GB2312" w:eastAsia="仿宋_GB2312" w:cs="仿宋_GB2312"/>
          <w:color w:val="000000"/>
          <w:sz w:val="32"/>
          <w:szCs w:val="32"/>
        </w:rPr>
        <w:t>政府性基金预算财政拨款收入支出决算表</w:t>
      </w:r>
      <w:bookmarkEnd w:id="109"/>
      <w:bookmarkEnd w:id="110"/>
      <w:bookmarkEnd w:id="111"/>
    </w:p>
    <w:p>
      <w:pPr>
        <w:spacing w:line="576" w:lineRule="exact"/>
        <w:ind w:left="315" w:leftChars="150" w:firstLine="640" w:firstLineChars="200"/>
        <w:rPr>
          <w:rFonts w:ascii="仿宋_GB2312" w:hAnsi="仿宋_GB2312" w:eastAsia="仿宋_GB2312" w:cs="仿宋_GB2312"/>
          <w:color w:val="000000"/>
          <w:sz w:val="32"/>
          <w:szCs w:val="32"/>
        </w:rPr>
      </w:pPr>
      <w:bookmarkStart w:id="112" w:name="_Toc79163897"/>
      <w:bookmarkStart w:id="113" w:name="_Toc15396630"/>
      <w:bookmarkStart w:id="114" w:name="_Toc79163647"/>
      <w:r>
        <w:rPr>
          <w:rFonts w:hint="eastAsia" w:ascii="仿宋_GB2312" w:hAnsi="仿宋_GB2312" w:eastAsia="仿宋_GB2312" w:cs="仿宋_GB2312"/>
          <w:color w:val="000000"/>
          <w:sz w:val="32"/>
          <w:szCs w:val="32"/>
        </w:rPr>
        <w:t>十一、</w:t>
      </w:r>
      <w:bookmarkEnd w:id="112"/>
      <w:bookmarkEnd w:id="113"/>
      <w:bookmarkEnd w:id="114"/>
      <w:bookmarkStart w:id="115" w:name="_Toc15396631"/>
      <w:bookmarkStart w:id="116" w:name="_Toc79163648"/>
      <w:bookmarkStart w:id="117" w:name="_Toc79163898"/>
      <w:r>
        <w:rPr>
          <w:rFonts w:hint="eastAsia" w:ascii="仿宋_GB2312" w:hAnsi="仿宋_GB2312" w:eastAsia="仿宋_GB2312" w:cs="仿宋_GB2312"/>
          <w:color w:val="000000"/>
          <w:sz w:val="32"/>
          <w:szCs w:val="32"/>
        </w:rPr>
        <w:t>国有资本经营预算财政拨款收入支出决算表</w:t>
      </w:r>
      <w:bookmarkEnd w:id="115"/>
      <w:bookmarkEnd w:id="116"/>
      <w:bookmarkEnd w:id="117"/>
    </w:p>
    <w:p>
      <w:pPr>
        <w:spacing w:line="576" w:lineRule="exact"/>
        <w:ind w:left="315" w:leftChars="150" w:firstLine="640" w:firstLineChars="200"/>
        <w:rPr>
          <w:rFonts w:ascii="仿宋_GB2312" w:hAnsi="仿宋_GB2312" w:eastAsia="仿宋_GB2312" w:cs="仿宋_GB2312"/>
          <w:color w:val="000000"/>
          <w:sz w:val="32"/>
          <w:szCs w:val="32"/>
        </w:rPr>
      </w:pPr>
      <w:bookmarkStart w:id="118" w:name="_Toc79163899"/>
      <w:bookmarkStart w:id="119" w:name="_Toc79163649"/>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sz w:val="32"/>
          <w:szCs w:val="32"/>
        </w:rPr>
        <w:t>、国有资本经营预算财政拨款支出决算表</w:t>
      </w:r>
      <w:bookmarkEnd w:id="118"/>
      <w:bookmarkEnd w:id="119"/>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十三、</w:t>
      </w:r>
      <w:r>
        <w:rPr>
          <w:rFonts w:hint="eastAsia" w:ascii="仿宋_GB2312" w:hAnsi="仿宋_GB2312" w:eastAsia="仿宋_GB2312" w:cs="仿宋_GB2312"/>
          <w:color w:val="000000"/>
          <w:sz w:val="32"/>
          <w:szCs w:val="32"/>
        </w:rPr>
        <w:t>财政拨款“三公”经费支出决算表</w:t>
      </w:r>
    </w:p>
    <w:p>
      <w:pPr>
        <w:autoSpaceDE w:val="0"/>
        <w:autoSpaceDN w:val="0"/>
        <w:adjustRightInd w:val="0"/>
        <w:spacing w:line="576" w:lineRule="exact"/>
        <w:ind w:firstLine="640" w:firstLineChars="200"/>
        <w:jc w:val="left"/>
        <w:outlineLvl w:val="2"/>
        <w:rPr>
          <w:rFonts w:ascii="仿宋_GB2312" w:hAnsi="仿宋_GB2312" w:eastAsia="仿宋_GB2312" w:cs="仿宋_GB2312"/>
          <w:color w:val="000000"/>
          <w:sz w:val="32"/>
          <w:szCs w:val="32"/>
        </w:rPr>
      </w:pPr>
    </w:p>
    <w:sectPr>
      <w:footerReference r:id="rId5" w:type="first"/>
      <w:headerReference r:id="rId3" w:type="default"/>
      <w:footerReference r:id="rId4"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w:pict>
        <v:shape id="_x0000_s2054" o:spid="_x0000_s205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1994781956"/>
                </w:sdtPr>
                <w:sdtContent>
                  <w:p>
                    <w:pPr>
                      <w:pStyle w:val="11"/>
                      <w:jc w:val="center"/>
                    </w:pPr>
                    <w:r>
                      <w:fldChar w:fldCharType="begin"/>
                    </w:r>
                    <w:r>
                      <w:instrText xml:space="preserve">PAGE   \* MERGEFORMAT</w:instrText>
                    </w:r>
                    <w:r>
                      <w:fldChar w:fldCharType="separate"/>
                    </w:r>
                    <w:r>
                      <w:rPr>
                        <w:lang w:val="zh-CN"/>
                      </w:rPr>
                      <w:t>11</w:t>
                    </w:r>
                    <w:r>
                      <w:rPr>
                        <w:lang w:val="zh-CN"/>
                      </w:rPr>
                      <w:fldChar w:fldCharType="end"/>
                    </w:r>
                  </w:p>
                </w:sdtContent>
              </w:sdt>
              <w:p/>
            </w:txbxContent>
          </v:textbox>
        </v:shape>
      </w:pic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2055" o:spid="_x0000_s205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193509"/>
    <w:multiLevelType w:val="singleLevel"/>
    <w:tmpl w:val="E2193509"/>
    <w:lvl w:ilvl="0" w:tentative="0">
      <w:start w:val="1"/>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hYTZiYWMyMjExZGMzMjM0ZWE1MzM4ZDRjOGNhZmQifQ=="/>
  </w:docVars>
  <w:rsids>
    <w:rsidRoot w:val="00F1361C"/>
    <w:rsid w:val="00003925"/>
    <w:rsid w:val="00011DB9"/>
    <w:rsid w:val="000222C6"/>
    <w:rsid w:val="0002549F"/>
    <w:rsid w:val="00031867"/>
    <w:rsid w:val="00037B44"/>
    <w:rsid w:val="000468DB"/>
    <w:rsid w:val="00047587"/>
    <w:rsid w:val="0006487A"/>
    <w:rsid w:val="00065F8F"/>
    <w:rsid w:val="00070A43"/>
    <w:rsid w:val="000768F2"/>
    <w:rsid w:val="0009184B"/>
    <w:rsid w:val="000936C8"/>
    <w:rsid w:val="00094236"/>
    <w:rsid w:val="0009593C"/>
    <w:rsid w:val="00097322"/>
    <w:rsid w:val="000A025A"/>
    <w:rsid w:val="000A07EC"/>
    <w:rsid w:val="000A2D6F"/>
    <w:rsid w:val="000A4660"/>
    <w:rsid w:val="000A6A92"/>
    <w:rsid w:val="000A78B6"/>
    <w:rsid w:val="000B047F"/>
    <w:rsid w:val="000B5923"/>
    <w:rsid w:val="000B5A48"/>
    <w:rsid w:val="000B6FF3"/>
    <w:rsid w:val="000C3467"/>
    <w:rsid w:val="000C3CA6"/>
    <w:rsid w:val="000C3DD9"/>
    <w:rsid w:val="000D1267"/>
    <w:rsid w:val="000D1D50"/>
    <w:rsid w:val="000D3D0A"/>
    <w:rsid w:val="000D5200"/>
    <w:rsid w:val="000D5782"/>
    <w:rsid w:val="000E0717"/>
    <w:rsid w:val="000E6613"/>
    <w:rsid w:val="000E7119"/>
    <w:rsid w:val="000F7D14"/>
    <w:rsid w:val="00114E9B"/>
    <w:rsid w:val="00134DD3"/>
    <w:rsid w:val="00142216"/>
    <w:rsid w:val="0014433D"/>
    <w:rsid w:val="00144D6A"/>
    <w:rsid w:val="0014706F"/>
    <w:rsid w:val="0014729F"/>
    <w:rsid w:val="00151354"/>
    <w:rsid w:val="00157372"/>
    <w:rsid w:val="00157BAB"/>
    <w:rsid w:val="001629C9"/>
    <w:rsid w:val="00164D2A"/>
    <w:rsid w:val="001654D1"/>
    <w:rsid w:val="00174518"/>
    <w:rsid w:val="0018106D"/>
    <w:rsid w:val="001831E2"/>
    <w:rsid w:val="001877A7"/>
    <w:rsid w:val="00191536"/>
    <w:rsid w:val="00193C9E"/>
    <w:rsid w:val="00196687"/>
    <w:rsid w:val="001C0962"/>
    <w:rsid w:val="001C3C4E"/>
    <w:rsid w:val="001D7531"/>
    <w:rsid w:val="001E1DD7"/>
    <w:rsid w:val="001E737D"/>
    <w:rsid w:val="001E7D9E"/>
    <w:rsid w:val="001F0592"/>
    <w:rsid w:val="001F7506"/>
    <w:rsid w:val="001F7820"/>
    <w:rsid w:val="002006CD"/>
    <w:rsid w:val="00202B36"/>
    <w:rsid w:val="00204B7A"/>
    <w:rsid w:val="00204CDE"/>
    <w:rsid w:val="00207071"/>
    <w:rsid w:val="00210BB9"/>
    <w:rsid w:val="0021101A"/>
    <w:rsid w:val="00220536"/>
    <w:rsid w:val="002226CC"/>
    <w:rsid w:val="002233F1"/>
    <w:rsid w:val="002276C3"/>
    <w:rsid w:val="00235629"/>
    <w:rsid w:val="00244DE7"/>
    <w:rsid w:val="002509D6"/>
    <w:rsid w:val="00260C38"/>
    <w:rsid w:val="002616C0"/>
    <w:rsid w:val="00265372"/>
    <w:rsid w:val="002662AA"/>
    <w:rsid w:val="0027084F"/>
    <w:rsid w:val="00280496"/>
    <w:rsid w:val="00294DC9"/>
    <w:rsid w:val="00295495"/>
    <w:rsid w:val="002A31DE"/>
    <w:rsid w:val="002A3307"/>
    <w:rsid w:val="002B2613"/>
    <w:rsid w:val="002B7ED3"/>
    <w:rsid w:val="002C3AAF"/>
    <w:rsid w:val="002D19B0"/>
    <w:rsid w:val="002D6D05"/>
    <w:rsid w:val="002E1CB4"/>
    <w:rsid w:val="002F1818"/>
    <w:rsid w:val="002F567B"/>
    <w:rsid w:val="002F5F2F"/>
    <w:rsid w:val="002F78A2"/>
    <w:rsid w:val="00320D06"/>
    <w:rsid w:val="003216A9"/>
    <w:rsid w:val="0033258B"/>
    <w:rsid w:val="0033450F"/>
    <w:rsid w:val="00335A74"/>
    <w:rsid w:val="003455E3"/>
    <w:rsid w:val="00362EA8"/>
    <w:rsid w:val="0036561B"/>
    <w:rsid w:val="00366617"/>
    <w:rsid w:val="0037013F"/>
    <w:rsid w:val="003703C2"/>
    <w:rsid w:val="00373E9F"/>
    <w:rsid w:val="0038010F"/>
    <w:rsid w:val="00380C92"/>
    <w:rsid w:val="003A31E6"/>
    <w:rsid w:val="003A484F"/>
    <w:rsid w:val="003A4883"/>
    <w:rsid w:val="003B0BE0"/>
    <w:rsid w:val="003B0C1B"/>
    <w:rsid w:val="003B688C"/>
    <w:rsid w:val="003C0291"/>
    <w:rsid w:val="003C39AE"/>
    <w:rsid w:val="003C7B60"/>
    <w:rsid w:val="003D0C0F"/>
    <w:rsid w:val="003D1FB2"/>
    <w:rsid w:val="003D66DA"/>
    <w:rsid w:val="003E0CFB"/>
    <w:rsid w:val="003E1310"/>
    <w:rsid w:val="003E6F55"/>
    <w:rsid w:val="003F627D"/>
    <w:rsid w:val="003F6619"/>
    <w:rsid w:val="00401D55"/>
    <w:rsid w:val="00406254"/>
    <w:rsid w:val="00416CD4"/>
    <w:rsid w:val="00421F55"/>
    <w:rsid w:val="004223DE"/>
    <w:rsid w:val="00434489"/>
    <w:rsid w:val="00437085"/>
    <w:rsid w:val="004406FC"/>
    <w:rsid w:val="00440C35"/>
    <w:rsid w:val="00441C72"/>
    <w:rsid w:val="00443880"/>
    <w:rsid w:val="00443D73"/>
    <w:rsid w:val="004464F4"/>
    <w:rsid w:val="00461AC3"/>
    <w:rsid w:val="004703B5"/>
    <w:rsid w:val="00471401"/>
    <w:rsid w:val="0047399F"/>
    <w:rsid w:val="00473F31"/>
    <w:rsid w:val="0048127E"/>
    <w:rsid w:val="0048263A"/>
    <w:rsid w:val="00487E5D"/>
    <w:rsid w:val="0049273C"/>
    <w:rsid w:val="00497B5A"/>
    <w:rsid w:val="004A711F"/>
    <w:rsid w:val="004B00CE"/>
    <w:rsid w:val="004B199D"/>
    <w:rsid w:val="004B4690"/>
    <w:rsid w:val="004C2615"/>
    <w:rsid w:val="004C3AA4"/>
    <w:rsid w:val="004E0A2D"/>
    <w:rsid w:val="004E206B"/>
    <w:rsid w:val="004E6DF7"/>
    <w:rsid w:val="004F0FBD"/>
    <w:rsid w:val="004F403E"/>
    <w:rsid w:val="004F5C5B"/>
    <w:rsid w:val="00500514"/>
    <w:rsid w:val="00502A87"/>
    <w:rsid w:val="00505A47"/>
    <w:rsid w:val="00512FDA"/>
    <w:rsid w:val="00520DA0"/>
    <w:rsid w:val="005279F4"/>
    <w:rsid w:val="00532C87"/>
    <w:rsid w:val="00555552"/>
    <w:rsid w:val="00556921"/>
    <w:rsid w:val="005664BB"/>
    <w:rsid w:val="00566FFA"/>
    <w:rsid w:val="00567C22"/>
    <w:rsid w:val="0057481D"/>
    <w:rsid w:val="00575F0B"/>
    <w:rsid w:val="00583C57"/>
    <w:rsid w:val="0058486E"/>
    <w:rsid w:val="00585B33"/>
    <w:rsid w:val="0059014D"/>
    <w:rsid w:val="00593C63"/>
    <w:rsid w:val="005B2F51"/>
    <w:rsid w:val="005B5C64"/>
    <w:rsid w:val="005C6857"/>
    <w:rsid w:val="005C6BD0"/>
    <w:rsid w:val="005C6C4C"/>
    <w:rsid w:val="005D1C8B"/>
    <w:rsid w:val="005D468D"/>
    <w:rsid w:val="005D5CED"/>
    <w:rsid w:val="005F1A4C"/>
    <w:rsid w:val="006002DF"/>
    <w:rsid w:val="00605688"/>
    <w:rsid w:val="006070AF"/>
    <w:rsid w:val="00607E6C"/>
    <w:rsid w:val="006101B1"/>
    <w:rsid w:val="006146F8"/>
    <w:rsid w:val="00614E44"/>
    <w:rsid w:val="0062270A"/>
    <w:rsid w:val="00622830"/>
    <w:rsid w:val="00622EBC"/>
    <w:rsid w:val="00623DA0"/>
    <w:rsid w:val="00627DDB"/>
    <w:rsid w:val="00630657"/>
    <w:rsid w:val="00630AEF"/>
    <w:rsid w:val="006325F8"/>
    <w:rsid w:val="00633463"/>
    <w:rsid w:val="00634C9A"/>
    <w:rsid w:val="00635024"/>
    <w:rsid w:val="006440E4"/>
    <w:rsid w:val="006608F7"/>
    <w:rsid w:val="0066343B"/>
    <w:rsid w:val="00664777"/>
    <w:rsid w:val="006748A4"/>
    <w:rsid w:val="00680F63"/>
    <w:rsid w:val="00681064"/>
    <w:rsid w:val="00681A31"/>
    <w:rsid w:val="00683E73"/>
    <w:rsid w:val="0069465C"/>
    <w:rsid w:val="006A3141"/>
    <w:rsid w:val="006A5E34"/>
    <w:rsid w:val="006B2422"/>
    <w:rsid w:val="006B2B9A"/>
    <w:rsid w:val="006B7439"/>
    <w:rsid w:val="006C1639"/>
    <w:rsid w:val="006C1937"/>
    <w:rsid w:val="006C38C5"/>
    <w:rsid w:val="006D7C94"/>
    <w:rsid w:val="006F020C"/>
    <w:rsid w:val="006F3780"/>
    <w:rsid w:val="006F41D9"/>
    <w:rsid w:val="00712156"/>
    <w:rsid w:val="007127B7"/>
    <w:rsid w:val="0071798E"/>
    <w:rsid w:val="007236A6"/>
    <w:rsid w:val="007258E4"/>
    <w:rsid w:val="00726C29"/>
    <w:rsid w:val="00727533"/>
    <w:rsid w:val="007305EB"/>
    <w:rsid w:val="007416B6"/>
    <w:rsid w:val="00746F48"/>
    <w:rsid w:val="00752E95"/>
    <w:rsid w:val="0075404D"/>
    <w:rsid w:val="0076182A"/>
    <w:rsid w:val="0076598F"/>
    <w:rsid w:val="00767B7E"/>
    <w:rsid w:val="00767CC9"/>
    <w:rsid w:val="00772141"/>
    <w:rsid w:val="00773D82"/>
    <w:rsid w:val="00776629"/>
    <w:rsid w:val="007770C3"/>
    <w:rsid w:val="00784D24"/>
    <w:rsid w:val="00785FBA"/>
    <w:rsid w:val="007860C9"/>
    <w:rsid w:val="00786E4A"/>
    <w:rsid w:val="007875EB"/>
    <w:rsid w:val="0079426B"/>
    <w:rsid w:val="007A1DAA"/>
    <w:rsid w:val="007D1682"/>
    <w:rsid w:val="007D312A"/>
    <w:rsid w:val="007D3F19"/>
    <w:rsid w:val="007E23B0"/>
    <w:rsid w:val="007F1991"/>
    <w:rsid w:val="007F2C2F"/>
    <w:rsid w:val="007F55FC"/>
    <w:rsid w:val="007F5665"/>
    <w:rsid w:val="00800112"/>
    <w:rsid w:val="00807E8E"/>
    <w:rsid w:val="00813348"/>
    <w:rsid w:val="0082071C"/>
    <w:rsid w:val="008253BB"/>
    <w:rsid w:val="00833962"/>
    <w:rsid w:val="0083706E"/>
    <w:rsid w:val="008408F6"/>
    <w:rsid w:val="008423A5"/>
    <w:rsid w:val="00847A34"/>
    <w:rsid w:val="00850625"/>
    <w:rsid w:val="00853718"/>
    <w:rsid w:val="00855221"/>
    <w:rsid w:val="00860645"/>
    <w:rsid w:val="00871F71"/>
    <w:rsid w:val="00872FD8"/>
    <w:rsid w:val="00877689"/>
    <w:rsid w:val="00885AF4"/>
    <w:rsid w:val="008939CD"/>
    <w:rsid w:val="008A2BE1"/>
    <w:rsid w:val="008A4B53"/>
    <w:rsid w:val="008B1A58"/>
    <w:rsid w:val="008B494E"/>
    <w:rsid w:val="008B768C"/>
    <w:rsid w:val="008B7F51"/>
    <w:rsid w:val="008C08EC"/>
    <w:rsid w:val="008C4DB1"/>
    <w:rsid w:val="008C4EAF"/>
    <w:rsid w:val="008C5176"/>
    <w:rsid w:val="008C7FD0"/>
    <w:rsid w:val="008E1DE7"/>
    <w:rsid w:val="008E5932"/>
    <w:rsid w:val="008E707C"/>
    <w:rsid w:val="008F141D"/>
    <w:rsid w:val="00900B08"/>
    <w:rsid w:val="00902155"/>
    <w:rsid w:val="00902FA3"/>
    <w:rsid w:val="00914370"/>
    <w:rsid w:val="00914A73"/>
    <w:rsid w:val="00915AE4"/>
    <w:rsid w:val="00923564"/>
    <w:rsid w:val="0092392E"/>
    <w:rsid w:val="009315F9"/>
    <w:rsid w:val="00933499"/>
    <w:rsid w:val="00935C98"/>
    <w:rsid w:val="00946945"/>
    <w:rsid w:val="00951248"/>
    <w:rsid w:val="0095152F"/>
    <w:rsid w:val="00954C49"/>
    <w:rsid w:val="00955E37"/>
    <w:rsid w:val="00961A48"/>
    <w:rsid w:val="00963AFE"/>
    <w:rsid w:val="0097099F"/>
    <w:rsid w:val="00971997"/>
    <w:rsid w:val="00971FFC"/>
    <w:rsid w:val="00972A48"/>
    <w:rsid w:val="00973CC9"/>
    <w:rsid w:val="0098660A"/>
    <w:rsid w:val="00986880"/>
    <w:rsid w:val="00992DCF"/>
    <w:rsid w:val="009931C3"/>
    <w:rsid w:val="00996CA5"/>
    <w:rsid w:val="009970FA"/>
    <w:rsid w:val="009A0993"/>
    <w:rsid w:val="009A4F00"/>
    <w:rsid w:val="009B2C43"/>
    <w:rsid w:val="009B3128"/>
    <w:rsid w:val="009B4EAE"/>
    <w:rsid w:val="009B7573"/>
    <w:rsid w:val="009C22F4"/>
    <w:rsid w:val="009C2E98"/>
    <w:rsid w:val="009C37FB"/>
    <w:rsid w:val="009D3447"/>
    <w:rsid w:val="009D4711"/>
    <w:rsid w:val="009F1185"/>
    <w:rsid w:val="009F18CD"/>
    <w:rsid w:val="009F2A13"/>
    <w:rsid w:val="009F6792"/>
    <w:rsid w:val="009F7527"/>
    <w:rsid w:val="00A01711"/>
    <w:rsid w:val="00A039ED"/>
    <w:rsid w:val="00A04EB0"/>
    <w:rsid w:val="00A13CC1"/>
    <w:rsid w:val="00A16847"/>
    <w:rsid w:val="00A16C42"/>
    <w:rsid w:val="00A237D8"/>
    <w:rsid w:val="00A268C4"/>
    <w:rsid w:val="00A307CD"/>
    <w:rsid w:val="00A331C8"/>
    <w:rsid w:val="00A35117"/>
    <w:rsid w:val="00A40A00"/>
    <w:rsid w:val="00A4142F"/>
    <w:rsid w:val="00A422EB"/>
    <w:rsid w:val="00A45BB7"/>
    <w:rsid w:val="00A5577C"/>
    <w:rsid w:val="00A56DF2"/>
    <w:rsid w:val="00A56E6E"/>
    <w:rsid w:val="00A576C4"/>
    <w:rsid w:val="00A67AB5"/>
    <w:rsid w:val="00A733B2"/>
    <w:rsid w:val="00A741C2"/>
    <w:rsid w:val="00A778F6"/>
    <w:rsid w:val="00A86F98"/>
    <w:rsid w:val="00A91760"/>
    <w:rsid w:val="00A93B00"/>
    <w:rsid w:val="00A93C21"/>
    <w:rsid w:val="00AA347C"/>
    <w:rsid w:val="00AB4AAA"/>
    <w:rsid w:val="00AB64C9"/>
    <w:rsid w:val="00AC3C6A"/>
    <w:rsid w:val="00AC7903"/>
    <w:rsid w:val="00AD0F83"/>
    <w:rsid w:val="00AD5620"/>
    <w:rsid w:val="00AD656B"/>
    <w:rsid w:val="00AD7C1B"/>
    <w:rsid w:val="00AE16BA"/>
    <w:rsid w:val="00AE1EBE"/>
    <w:rsid w:val="00AF37A0"/>
    <w:rsid w:val="00B03C9D"/>
    <w:rsid w:val="00B04C7B"/>
    <w:rsid w:val="00B060AE"/>
    <w:rsid w:val="00B10517"/>
    <w:rsid w:val="00B10F2B"/>
    <w:rsid w:val="00B14E76"/>
    <w:rsid w:val="00B161B8"/>
    <w:rsid w:val="00B2048C"/>
    <w:rsid w:val="00B20A7D"/>
    <w:rsid w:val="00B20D4C"/>
    <w:rsid w:val="00B310B9"/>
    <w:rsid w:val="00B35F3F"/>
    <w:rsid w:val="00B36CBB"/>
    <w:rsid w:val="00B425E0"/>
    <w:rsid w:val="00B440AA"/>
    <w:rsid w:val="00B44B70"/>
    <w:rsid w:val="00B45D91"/>
    <w:rsid w:val="00B53C56"/>
    <w:rsid w:val="00B57DAF"/>
    <w:rsid w:val="00B66F66"/>
    <w:rsid w:val="00B73F29"/>
    <w:rsid w:val="00B77EA6"/>
    <w:rsid w:val="00B81345"/>
    <w:rsid w:val="00B81598"/>
    <w:rsid w:val="00B841F1"/>
    <w:rsid w:val="00B928EE"/>
    <w:rsid w:val="00B931C7"/>
    <w:rsid w:val="00B944D6"/>
    <w:rsid w:val="00B951BD"/>
    <w:rsid w:val="00BA2A5A"/>
    <w:rsid w:val="00BB4DF0"/>
    <w:rsid w:val="00BB5ABF"/>
    <w:rsid w:val="00BC289F"/>
    <w:rsid w:val="00BC2D50"/>
    <w:rsid w:val="00BC5361"/>
    <w:rsid w:val="00BC5460"/>
    <w:rsid w:val="00BC6B50"/>
    <w:rsid w:val="00BD0E25"/>
    <w:rsid w:val="00BE0091"/>
    <w:rsid w:val="00BE4B75"/>
    <w:rsid w:val="00BF5BD6"/>
    <w:rsid w:val="00BF7AA1"/>
    <w:rsid w:val="00C03E31"/>
    <w:rsid w:val="00C251D8"/>
    <w:rsid w:val="00C26F8C"/>
    <w:rsid w:val="00C277F8"/>
    <w:rsid w:val="00C30E69"/>
    <w:rsid w:val="00C33E72"/>
    <w:rsid w:val="00C354B2"/>
    <w:rsid w:val="00C35554"/>
    <w:rsid w:val="00C42709"/>
    <w:rsid w:val="00C43ABB"/>
    <w:rsid w:val="00C533CC"/>
    <w:rsid w:val="00C5751C"/>
    <w:rsid w:val="00C603DA"/>
    <w:rsid w:val="00C61BFC"/>
    <w:rsid w:val="00C62B85"/>
    <w:rsid w:val="00C65438"/>
    <w:rsid w:val="00C67F3F"/>
    <w:rsid w:val="00C7013E"/>
    <w:rsid w:val="00C818C4"/>
    <w:rsid w:val="00C860DE"/>
    <w:rsid w:val="00C91CBB"/>
    <w:rsid w:val="00C922B5"/>
    <w:rsid w:val="00CA7FFB"/>
    <w:rsid w:val="00CB1032"/>
    <w:rsid w:val="00CB4E70"/>
    <w:rsid w:val="00CC09B6"/>
    <w:rsid w:val="00CC3A69"/>
    <w:rsid w:val="00CC3DB4"/>
    <w:rsid w:val="00CC666F"/>
    <w:rsid w:val="00CD1E3F"/>
    <w:rsid w:val="00CE44F6"/>
    <w:rsid w:val="00CE49DA"/>
    <w:rsid w:val="00CE68D7"/>
    <w:rsid w:val="00CE7B61"/>
    <w:rsid w:val="00CF63C2"/>
    <w:rsid w:val="00D00095"/>
    <w:rsid w:val="00D01322"/>
    <w:rsid w:val="00D114F0"/>
    <w:rsid w:val="00D178E7"/>
    <w:rsid w:val="00D179F5"/>
    <w:rsid w:val="00D20620"/>
    <w:rsid w:val="00D2207C"/>
    <w:rsid w:val="00D254F7"/>
    <w:rsid w:val="00D26091"/>
    <w:rsid w:val="00D2685C"/>
    <w:rsid w:val="00D26B1B"/>
    <w:rsid w:val="00D31325"/>
    <w:rsid w:val="00D335A0"/>
    <w:rsid w:val="00D34E7C"/>
    <w:rsid w:val="00D35489"/>
    <w:rsid w:val="00D36AFE"/>
    <w:rsid w:val="00D44B74"/>
    <w:rsid w:val="00D45274"/>
    <w:rsid w:val="00D51276"/>
    <w:rsid w:val="00D52F41"/>
    <w:rsid w:val="00D64C67"/>
    <w:rsid w:val="00D7035F"/>
    <w:rsid w:val="00D77631"/>
    <w:rsid w:val="00D83742"/>
    <w:rsid w:val="00D90266"/>
    <w:rsid w:val="00D92DA7"/>
    <w:rsid w:val="00DA634F"/>
    <w:rsid w:val="00DA65AC"/>
    <w:rsid w:val="00DB1913"/>
    <w:rsid w:val="00DC410D"/>
    <w:rsid w:val="00DC5A81"/>
    <w:rsid w:val="00DC68CA"/>
    <w:rsid w:val="00DC7CBA"/>
    <w:rsid w:val="00DD49C2"/>
    <w:rsid w:val="00DD73B7"/>
    <w:rsid w:val="00DF28BC"/>
    <w:rsid w:val="00DF2E69"/>
    <w:rsid w:val="00DF3322"/>
    <w:rsid w:val="00DF34B9"/>
    <w:rsid w:val="00DF7548"/>
    <w:rsid w:val="00DF769A"/>
    <w:rsid w:val="00E004E3"/>
    <w:rsid w:val="00E01053"/>
    <w:rsid w:val="00E07ACF"/>
    <w:rsid w:val="00E11AD1"/>
    <w:rsid w:val="00E16FE8"/>
    <w:rsid w:val="00E331A1"/>
    <w:rsid w:val="00E33202"/>
    <w:rsid w:val="00E336A9"/>
    <w:rsid w:val="00E3642A"/>
    <w:rsid w:val="00E46A67"/>
    <w:rsid w:val="00E472B1"/>
    <w:rsid w:val="00E50624"/>
    <w:rsid w:val="00E566AD"/>
    <w:rsid w:val="00E568DF"/>
    <w:rsid w:val="00E64269"/>
    <w:rsid w:val="00E66797"/>
    <w:rsid w:val="00E82267"/>
    <w:rsid w:val="00E853CE"/>
    <w:rsid w:val="00E867B6"/>
    <w:rsid w:val="00E87F08"/>
    <w:rsid w:val="00E90A5E"/>
    <w:rsid w:val="00E95D55"/>
    <w:rsid w:val="00E96E57"/>
    <w:rsid w:val="00EA010F"/>
    <w:rsid w:val="00ED1B63"/>
    <w:rsid w:val="00ED1FDC"/>
    <w:rsid w:val="00ED3C1F"/>
    <w:rsid w:val="00ED4085"/>
    <w:rsid w:val="00ED420E"/>
    <w:rsid w:val="00ED6FBE"/>
    <w:rsid w:val="00EE2F57"/>
    <w:rsid w:val="00EF4C34"/>
    <w:rsid w:val="00EF77C6"/>
    <w:rsid w:val="00F05438"/>
    <w:rsid w:val="00F12862"/>
    <w:rsid w:val="00F1299D"/>
    <w:rsid w:val="00F1361C"/>
    <w:rsid w:val="00F156F0"/>
    <w:rsid w:val="00F160C7"/>
    <w:rsid w:val="00F20FEF"/>
    <w:rsid w:val="00F2408F"/>
    <w:rsid w:val="00F240E9"/>
    <w:rsid w:val="00F24291"/>
    <w:rsid w:val="00F25A72"/>
    <w:rsid w:val="00F2671F"/>
    <w:rsid w:val="00F329E1"/>
    <w:rsid w:val="00F36D8F"/>
    <w:rsid w:val="00F407C2"/>
    <w:rsid w:val="00F417B1"/>
    <w:rsid w:val="00F45853"/>
    <w:rsid w:val="00F520D4"/>
    <w:rsid w:val="00F520FE"/>
    <w:rsid w:val="00F602DF"/>
    <w:rsid w:val="00F619A6"/>
    <w:rsid w:val="00F754A1"/>
    <w:rsid w:val="00F81FD9"/>
    <w:rsid w:val="00F841AA"/>
    <w:rsid w:val="00F84A94"/>
    <w:rsid w:val="00F87E96"/>
    <w:rsid w:val="00FA23E8"/>
    <w:rsid w:val="00FD1395"/>
    <w:rsid w:val="00FD3CC1"/>
    <w:rsid w:val="00FD4FED"/>
    <w:rsid w:val="00FF1E02"/>
    <w:rsid w:val="00FF30B4"/>
    <w:rsid w:val="02AC2E4C"/>
    <w:rsid w:val="02E1246A"/>
    <w:rsid w:val="03A252BE"/>
    <w:rsid w:val="03B94246"/>
    <w:rsid w:val="05A27C1F"/>
    <w:rsid w:val="063769D0"/>
    <w:rsid w:val="06A72A7B"/>
    <w:rsid w:val="07FA7D60"/>
    <w:rsid w:val="08173F7F"/>
    <w:rsid w:val="09434CDD"/>
    <w:rsid w:val="098B19C3"/>
    <w:rsid w:val="09B72FD5"/>
    <w:rsid w:val="0AFE3E0A"/>
    <w:rsid w:val="0B545889"/>
    <w:rsid w:val="0F07236C"/>
    <w:rsid w:val="0F612708"/>
    <w:rsid w:val="0FE23CAA"/>
    <w:rsid w:val="10C055FF"/>
    <w:rsid w:val="120B2110"/>
    <w:rsid w:val="13235D7A"/>
    <w:rsid w:val="13946B85"/>
    <w:rsid w:val="140E4A15"/>
    <w:rsid w:val="153D6ED0"/>
    <w:rsid w:val="163232ED"/>
    <w:rsid w:val="16BB723D"/>
    <w:rsid w:val="17720E9F"/>
    <w:rsid w:val="179F6E32"/>
    <w:rsid w:val="181A2B1F"/>
    <w:rsid w:val="1A631D43"/>
    <w:rsid w:val="1A7C004F"/>
    <w:rsid w:val="1AAE7F59"/>
    <w:rsid w:val="1B3A2665"/>
    <w:rsid w:val="1BB27180"/>
    <w:rsid w:val="1CE617B0"/>
    <w:rsid w:val="1E2F1712"/>
    <w:rsid w:val="20121F25"/>
    <w:rsid w:val="20502F9F"/>
    <w:rsid w:val="20B41BC5"/>
    <w:rsid w:val="20BE0FB0"/>
    <w:rsid w:val="220A7FB3"/>
    <w:rsid w:val="23963804"/>
    <w:rsid w:val="240371BF"/>
    <w:rsid w:val="24FF3D57"/>
    <w:rsid w:val="25C31A20"/>
    <w:rsid w:val="27266A89"/>
    <w:rsid w:val="281B00E1"/>
    <w:rsid w:val="28505F41"/>
    <w:rsid w:val="291931BB"/>
    <w:rsid w:val="29A307A6"/>
    <w:rsid w:val="29FD04D3"/>
    <w:rsid w:val="2A0B40E6"/>
    <w:rsid w:val="2B7B7EAF"/>
    <w:rsid w:val="2BF61FAE"/>
    <w:rsid w:val="2C7D570A"/>
    <w:rsid w:val="2DBE5A85"/>
    <w:rsid w:val="2E963C56"/>
    <w:rsid w:val="309D4424"/>
    <w:rsid w:val="319F7F4E"/>
    <w:rsid w:val="31D574D0"/>
    <w:rsid w:val="31F14A27"/>
    <w:rsid w:val="3271411A"/>
    <w:rsid w:val="34983A37"/>
    <w:rsid w:val="3538617E"/>
    <w:rsid w:val="35815880"/>
    <w:rsid w:val="3596247A"/>
    <w:rsid w:val="362401FB"/>
    <w:rsid w:val="381C67A1"/>
    <w:rsid w:val="3A42752D"/>
    <w:rsid w:val="3A691675"/>
    <w:rsid w:val="3A794B9A"/>
    <w:rsid w:val="3BFD046C"/>
    <w:rsid w:val="3CCA5407"/>
    <w:rsid w:val="3EE02B71"/>
    <w:rsid w:val="3F7E260A"/>
    <w:rsid w:val="40EB31AF"/>
    <w:rsid w:val="410A1661"/>
    <w:rsid w:val="42236F20"/>
    <w:rsid w:val="44897961"/>
    <w:rsid w:val="44FA7C3F"/>
    <w:rsid w:val="45017990"/>
    <w:rsid w:val="45134739"/>
    <w:rsid w:val="45B002FD"/>
    <w:rsid w:val="4630706B"/>
    <w:rsid w:val="471F06CF"/>
    <w:rsid w:val="47A802AE"/>
    <w:rsid w:val="47DC362C"/>
    <w:rsid w:val="4C07336D"/>
    <w:rsid w:val="4D1E36AC"/>
    <w:rsid w:val="4D695962"/>
    <w:rsid w:val="4DC66D20"/>
    <w:rsid w:val="4ECE2238"/>
    <w:rsid w:val="4F0654EA"/>
    <w:rsid w:val="4F8C1E10"/>
    <w:rsid w:val="4FF36991"/>
    <w:rsid w:val="510E0613"/>
    <w:rsid w:val="511107EA"/>
    <w:rsid w:val="522E28C0"/>
    <w:rsid w:val="5323717F"/>
    <w:rsid w:val="54AE06D4"/>
    <w:rsid w:val="561548D9"/>
    <w:rsid w:val="5AA05F2C"/>
    <w:rsid w:val="5BB07FF9"/>
    <w:rsid w:val="5CD050A1"/>
    <w:rsid w:val="5DD87487"/>
    <w:rsid w:val="608D6928"/>
    <w:rsid w:val="617955FF"/>
    <w:rsid w:val="62470222"/>
    <w:rsid w:val="62894684"/>
    <w:rsid w:val="62E33751"/>
    <w:rsid w:val="62E4550E"/>
    <w:rsid w:val="637D586B"/>
    <w:rsid w:val="64933547"/>
    <w:rsid w:val="673A5239"/>
    <w:rsid w:val="677C5CC9"/>
    <w:rsid w:val="67AB6CE7"/>
    <w:rsid w:val="691722BE"/>
    <w:rsid w:val="695D5F23"/>
    <w:rsid w:val="69B0699A"/>
    <w:rsid w:val="6A2D5F76"/>
    <w:rsid w:val="6A3A2708"/>
    <w:rsid w:val="6A674B7F"/>
    <w:rsid w:val="6C0F54CE"/>
    <w:rsid w:val="6CCE6662"/>
    <w:rsid w:val="6FB5551C"/>
    <w:rsid w:val="6FF14BA2"/>
    <w:rsid w:val="712437CA"/>
    <w:rsid w:val="71F87B8C"/>
    <w:rsid w:val="72614840"/>
    <w:rsid w:val="72734D90"/>
    <w:rsid w:val="74082F2F"/>
    <w:rsid w:val="74251D33"/>
    <w:rsid w:val="759E3B4B"/>
    <w:rsid w:val="77F71C38"/>
    <w:rsid w:val="78865D58"/>
    <w:rsid w:val="7AC5601E"/>
    <w:rsid w:val="7B3A7F1B"/>
    <w:rsid w:val="7DAC5C92"/>
    <w:rsid w:val="7EEB231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qFormat/>
    <w:uiPriority w:val="0"/>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Emphasis"/>
    <w:basedOn w:val="16"/>
    <w:qFormat/>
    <w:uiPriority w:val="20"/>
    <w:rPr>
      <w:i/>
      <w:iCs/>
    </w:rPr>
  </w:style>
  <w:style w:type="character" w:styleId="19">
    <w:name w:val="Hyperlink"/>
    <w:basedOn w:val="16"/>
    <w:unhideWhenUsed/>
    <w:qFormat/>
    <w:uiPriority w:val="99"/>
    <w:rPr>
      <w:color w:val="0000FF" w:themeColor="hyperlink"/>
      <w:u w:val="single"/>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styleId="34">
    <w:name w:val="No Spacing"/>
    <w:link w:val="35"/>
    <w:qFormat/>
    <w:uiPriority w:val="99"/>
    <w:pPr>
      <w:widowControl w:val="0"/>
      <w:jc w:val="both"/>
    </w:pPr>
    <w:rPr>
      <w:rFonts w:ascii="Calibri" w:hAnsi="Calibri" w:eastAsia="宋体" w:cs="Times New Roman"/>
      <w:kern w:val="2"/>
      <w:sz w:val="21"/>
      <w:szCs w:val="22"/>
      <w:lang w:val="en-US" w:eastAsia="zh-CN" w:bidi="ar-SA"/>
    </w:rPr>
  </w:style>
  <w:style w:type="character" w:customStyle="1" w:styleId="35">
    <w:name w:val="无间隔 Char"/>
    <w:basedOn w:val="16"/>
    <w:link w:val="34"/>
    <w:qFormat/>
    <w:locked/>
    <w:uiPriority w:val="99"/>
    <w:rPr>
      <w:kern w:val="2"/>
      <w:sz w:val="21"/>
      <w:szCs w:val="22"/>
    </w:rPr>
  </w:style>
  <w:style w:type="character" w:customStyle="1" w:styleId="36">
    <w:name w:val="apple-converted-space"/>
    <w:basedOn w:val="16"/>
    <w:qFormat/>
    <w:uiPriority w:val="99"/>
    <w:rPr>
      <w:rFonts w:cs="Times New Roman"/>
    </w:rPr>
  </w:style>
  <w:style w:type="paragraph" w:customStyle="1" w:styleId="37">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38">
    <w:name w:val="标题 1 Char1"/>
    <w:basedOn w:val="16"/>
    <w:qFormat/>
    <w:uiPriority w:val="9"/>
    <w:rPr>
      <w:rFonts w:ascii="Times New Roman" w:hAnsi="Times New Roman"/>
      <w:b/>
      <w:bCs/>
      <w:kern w:val="44"/>
      <w:sz w:val="44"/>
      <w:szCs w:val="44"/>
    </w:rPr>
  </w:style>
  <w:style w:type="paragraph" w:customStyle="1" w:styleId="39">
    <w:name w:val="列表段落1"/>
    <w:basedOn w:val="1"/>
    <w:qFormat/>
    <w:uiPriority w:val="34"/>
    <w:pPr>
      <w:ind w:firstLine="420" w:firstLineChars="200"/>
    </w:pPr>
  </w:style>
  <w:style w:type="paragraph" w:customStyle="1" w:styleId="40">
    <w:name w:val="四号正文"/>
    <w:basedOn w:val="1"/>
    <w:qFormat/>
    <w:uiPriority w:val="0"/>
    <w:pPr>
      <w:spacing w:line="360" w:lineRule="auto"/>
    </w:pPr>
    <w:rPr>
      <w:rFonts w:ascii="??" w:hAnsi="??"/>
      <w:color w:val="000000"/>
      <w:kern w:val="0"/>
      <w:sz w:val="28"/>
      <w:szCs w:val="21"/>
      <w:lang w:val="zh-CN"/>
    </w:rPr>
  </w:style>
  <w:style w:type="paragraph" w:customStyle="1" w:styleId="41">
    <w:name w:val="WPSOffice手动目录 3"/>
    <w:qFormat/>
    <w:uiPriority w:val="0"/>
    <w:pPr>
      <w:ind w:leftChars="400"/>
    </w:pPr>
    <w:rPr>
      <w:rFonts w:ascii="Times New Roman" w:hAnsi="Times New Roman" w:eastAsia="宋体" w:cs="Times New Roman"/>
      <w:sz w:val="20"/>
      <w:szCs w:val="20"/>
    </w:rPr>
  </w:style>
  <w:style w:type="paragraph" w:customStyle="1" w:styleId="42">
    <w:name w:val="WPSOffice手动目录 2"/>
    <w:qFormat/>
    <w:uiPriority w:val="0"/>
    <w:pPr>
      <w:ind w:leftChars="200"/>
    </w:pPr>
    <w:rPr>
      <w:rFonts w:ascii="Times New Roman" w:hAnsi="Times New Roman" w:eastAsia="宋体" w:cs="Times New Roman"/>
      <w:sz w:val="20"/>
      <w:szCs w:val="20"/>
    </w:rPr>
  </w:style>
  <w:style w:type="paragraph" w:customStyle="1" w:styleId="4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7"/>
        </c:manualLayout>
      </c:layout>
      <c:overlay val="0"/>
    </c:title>
    <c:autoTitleDeleted val="0"/>
    <c:plotArea>
      <c:layout>
        <c:manualLayout>
          <c:layoutTarget val="inner"/>
          <c:xMode val="edge"/>
          <c:yMode val="edge"/>
          <c:x val="0.0769356344423438"/>
          <c:y val="0.212981143314532"/>
          <c:w val="0.763500149073545"/>
          <c:h val="0.680324640271032"/>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342.66</c:v>
                </c:pt>
              </c:numCache>
            </c:numRef>
          </c:val>
        </c:ser>
        <c:ser>
          <c:idx val="1"/>
          <c:order val="1"/>
          <c:tx>
            <c:strRef>
              <c:f>Sheet1!$C$1</c:f>
              <c:strCache>
                <c:ptCount val="1"/>
                <c:pt idx="0">
                  <c:v>2024年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382.07</c:v>
                </c:pt>
              </c:numCache>
            </c:numRef>
          </c:val>
        </c:ser>
        <c:dLbls>
          <c:showLegendKey val="0"/>
          <c:showVal val="1"/>
          <c:showCatName val="0"/>
          <c:showSerName val="0"/>
          <c:showPercent val="0"/>
          <c:showBubbleSize val="0"/>
        </c:dLbls>
        <c:gapWidth val="150"/>
        <c:axId val="243807744"/>
        <c:axId val="277832064"/>
      </c:barChart>
      <c:catAx>
        <c:axId val="24380774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7832064"/>
        <c:crosses val="autoZero"/>
        <c:auto val="1"/>
        <c:lblAlgn val="ctr"/>
        <c:lblOffset val="100"/>
        <c:noMultiLvlLbl val="0"/>
      </c:catAx>
      <c:valAx>
        <c:axId val="27783206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8077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ltLang="zh-CN" sz="1200"/>
              <a:t>2024</a:t>
            </a:r>
            <a:r>
              <a:rPr lang="zh-CN" altLang="en-US" sz="1200"/>
              <a:t>年收入决算结构图</a:t>
            </a:r>
            <a:endParaRPr lang="zh-CN" altLang="en-US" sz="1200"/>
          </a:p>
        </c:rich>
      </c:tx>
      <c:layout/>
      <c:overlay val="0"/>
    </c:title>
    <c:autoTitleDeleted val="0"/>
    <c:plotArea>
      <c:layout>
        <c:manualLayout>
          <c:layoutTarget val="inner"/>
          <c:xMode val="edge"/>
          <c:yMode val="edge"/>
          <c:x val="0.215995924342382"/>
          <c:y val="0.217391304347828"/>
          <c:w val="0.296150696150698"/>
          <c:h val="0.655072463768122"/>
        </c:manualLayout>
      </c:layout>
      <c:pieChart>
        <c:varyColors val="1"/>
        <c:ser>
          <c:idx val="0"/>
          <c:order val="0"/>
          <c:tx>
            <c:strRef>
              <c:f>Sheet1!$B$1</c:f>
              <c:strCache>
                <c:ptCount val="1"/>
                <c:pt idx="0">
                  <c:v>2022年部门决算收入结构图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dLbl>
              <c:idx val="0"/>
              <c:layout>
                <c:manualLayout>
                  <c:x val="0.00527981755089603"/>
                  <c:y val="-0.34695619569293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sz="1600"/>
                      <a:t>1</a:t>
                    </a:r>
                    <a:r>
                      <a:rPr altLang="en-US"/>
                      <a:t>00</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dLbl>
              <c:idx val="7"/>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Sheet1!$A$2:$A$9</c:f>
              <c:strCache>
                <c:ptCount val="8"/>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pt idx="7">
                  <c:v>国有资本经营预算财政拨款收入</c:v>
                </c:pt>
              </c:strCache>
            </c:strRef>
          </c:cat>
          <c:val>
            <c:numRef>
              <c:f>Sheet1!$B$2:$B$9</c:f>
              <c:numCache>
                <c:formatCode>General</c:formatCode>
                <c:ptCount val="8"/>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0000000000005"/>
          <c:y val="0.192746260074382"/>
          <c:w val="0.342222222222222"/>
          <c:h val="0.738888734314581"/>
        </c:manualLayout>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2024</a:t>
            </a:r>
            <a:r>
              <a:rPr lang="zh-CN" altLang="en-US"/>
              <a:t>年支出决算结构图</a:t>
            </a:r>
            <a:endParaRPr lang="zh-CN" altLang="en-US"/>
          </a:p>
        </c:rich>
      </c:tx>
      <c:layout/>
      <c:overlay val="0"/>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Lbl>
              <c:idx val="0"/>
              <c:delete val="1"/>
            </c:dLbl>
            <c:dLbl>
              <c:idx val="1"/>
              <c:layout>
                <c:manualLayout>
                  <c:x val="0.0626474190421383"/>
                  <c:y val="0.027970883512814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100</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100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89"/>
          <c:y val="0.0521624031445839"/>
        </c:manualLayout>
      </c:layout>
      <c:overlay val="0"/>
    </c:title>
    <c:autoTitleDeleted val="0"/>
    <c:plotArea>
      <c:layout>
        <c:manualLayout>
          <c:layoutTarget val="inner"/>
          <c:xMode val="edge"/>
          <c:yMode val="edge"/>
          <c:x val="0.0769356344423438"/>
          <c:y val="0.212981143314532"/>
          <c:w val="0.763500149073545"/>
          <c:h val="0.68032464027103"/>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342.66</c:v>
                </c:pt>
              </c:numCache>
            </c:numRef>
          </c:val>
        </c:ser>
        <c:ser>
          <c:idx val="1"/>
          <c:order val="1"/>
          <c:tx>
            <c:strRef>
              <c:f>Sheet1!$C$1</c:f>
              <c:strCache>
                <c:ptCount val="1"/>
                <c:pt idx="0">
                  <c:v>2024年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382.07</c:v>
                </c:pt>
              </c:numCache>
            </c:numRef>
          </c:val>
        </c:ser>
        <c:dLbls>
          <c:showLegendKey val="0"/>
          <c:showVal val="1"/>
          <c:showCatName val="0"/>
          <c:showSerName val="0"/>
          <c:showPercent val="0"/>
          <c:showBubbleSize val="0"/>
        </c:dLbls>
        <c:gapWidth val="150"/>
        <c:axId val="105224832"/>
        <c:axId val="105406848"/>
      </c:barChart>
      <c:catAx>
        <c:axId val="10522483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06848"/>
        <c:crosses val="autoZero"/>
        <c:auto val="1"/>
        <c:lblAlgn val="ctr"/>
        <c:lblOffset val="100"/>
        <c:noMultiLvlLbl val="0"/>
      </c:catAx>
      <c:valAx>
        <c:axId val="10540684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22483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3"/>
          <c:y val="0.209319129226495"/>
          <c:w val="0.770646966143447"/>
          <c:h val="0.683986901018178"/>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342.66</c:v>
                </c:pt>
              </c:numCache>
            </c:numRef>
          </c:val>
        </c:ser>
        <c:ser>
          <c:idx val="1"/>
          <c:order val="1"/>
          <c:tx>
            <c:strRef>
              <c:f>Sheet1!$C$1</c:f>
              <c:strCache>
                <c:ptCount val="1"/>
                <c:pt idx="0">
                  <c:v>2024年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382.07</c:v>
                </c:pt>
              </c:numCache>
            </c:numRef>
          </c:val>
        </c:ser>
        <c:dLbls>
          <c:showLegendKey val="0"/>
          <c:showVal val="1"/>
          <c:showCatName val="0"/>
          <c:showSerName val="0"/>
          <c:showPercent val="0"/>
          <c:showBubbleSize val="0"/>
        </c:dLbls>
        <c:gapWidth val="150"/>
        <c:axId val="105444864"/>
        <c:axId val="105446400"/>
      </c:barChart>
      <c:catAx>
        <c:axId val="1054448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46400"/>
        <c:crosses val="autoZero"/>
        <c:auto val="1"/>
        <c:lblAlgn val="ctr"/>
        <c:lblOffset val="100"/>
        <c:noMultiLvlLbl val="0"/>
      </c:catAx>
      <c:valAx>
        <c:axId val="1054464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44864"/>
        <c:crosses val="autoZero"/>
        <c:crossBetween val="between"/>
      </c:valAx>
    </c:plotArea>
    <c:legend>
      <c:legendPos val="r"/>
      <c:layout>
        <c:manualLayout>
          <c:xMode val="edge"/>
          <c:yMode val="edge"/>
          <c:x val="0.881289744596317"/>
          <c:y val="0.460636092476829"/>
          <c:w val="0.118710255403684"/>
          <c:h val="0.20996125847113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a:t>
            </a:r>
            <a:r>
              <a:rPr lang="en-US" altLang="zh-CN" sz="1400"/>
              <a:t>24</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manualLayout>
          <c:xMode val="edge"/>
          <c:yMode val="edge"/>
          <c:x val="0.15920663114269"/>
          <c:y val="0.0204026115342767"/>
        </c:manualLayout>
      </c:layout>
      <c:overlay val="0"/>
    </c:title>
    <c:autoTitleDeleted val="0"/>
    <c:plotArea>
      <c:layout/>
      <c:pieChart>
        <c:varyColors val="1"/>
        <c:ser>
          <c:idx val="0"/>
          <c:order val="0"/>
          <c:tx>
            <c:strRef>
              <c:f>Sheet1!$B$1</c:f>
              <c:strCache>
                <c:ptCount val="1"/>
                <c:pt idx="0">
                  <c:v>2022年部门决算支出结构图</c:v>
                </c:pt>
              </c:strCache>
            </c:strRef>
          </c:tx>
          <c:explosion val="0"/>
          <c:dPt>
            <c:idx val="0"/>
            <c:bubble3D val="0"/>
          </c:dPt>
          <c:dPt>
            <c:idx val="1"/>
            <c:bubble3D val="0"/>
          </c:dPt>
          <c:dPt>
            <c:idx val="2"/>
            <c:bubble3D val="0"/>
          </c:dPt>
          <c:dPt>
            <c:idx val="3"/>
            <c:bubble3D val="0"/>
          </c:dPt>
          <c:dPt>
            <c:idx val="4"/>
            <c:bubble3D val="0"/>
          </c:dPt>
          <c:dPt>
            <c:idx val="5"/>
            <c:bubble3D val="0"/>
          </c:dPt>
          <c:dLbls>
            <c:dLbl>
              <c:idx val="0"/>
              <c:layout>
                <c:manualLayout>
                  <c:x val="-0.00650102707000315"/>
                  <c:y val="-0.1869052494149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86.37</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61196451907892"/>
                  <c:y val="0.028563656147986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5.88%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729425695677916"/>
                      <c:h val="0.0930359085963003"/>
                    </c:manualLayout>
                  </c15:layout>
                </c:ext>
              </c:extLst>
            </c:dLbl>
            <c:dLbl>
              <c:idx val="2"/>
              <c:layout>
                <c:manualLayout>
                  <c:x val="0.0378097276028773"/>
                  <c:y val="-0.027020554693992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7.75%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delete val="1"/>
            </c:dLbl>
            <c:dLbl>
              <c:idx val="4"/>
              <c:delete val="1"/>
            </c:dLbl>
            <c:dLbl>
              <c:idx val="5"/>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Sheet1!$A$2:$A$7</c:f>
              <c:strCache>
                <c:ptCount val="6"/>
                <c:pt idx="0">
                  <c:v>社会保障和就业支出</c:v>
                </c:pt>
                <c:pt idx="1">
                  <c:v>卫生健康支出</c:v>
                </c:pt>
                <c:pt idx="2">
                  <c:v>住房保障支出</c:v>
                </c:pt>
                <c:pt idx="3">
                  <c:v>农林水支出</c:v>
                </c:pt>
                <c:pt idx="4">
                  <c:v>其他支出</c:v>
                </c:pt>
              </c:strCache>
            </c:strRef>
          </c:cat>
          <c:val>
            <c:numRef>
              <c:f>Sheet1!$B$2:$B$7</c:f>
              <c:numCache>
                <c:formatCode>General</c:formatCode>
                <c:ptCount val="6"/>
                <c:pt idx="0">
                  <c:v>87.06</c:v>
                </c:pt>
                <c:pt idx="1">
                  <c:v>5.8</c:v>
                </c:pt>
                <c:pt idx="2">
                  <c:v>7.14</c:v>
                </c:pt>
                <c:pt idx="5">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87.99</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2"/>
              <c:layout>
                <c:manualLayout>
                  <c:x val="-0.00447131443155149"/>
                  <c:y val="-0.368179207352732"/>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1</a:t>
                    </a:r>
                    <a:r>
                      <a:rPr lang="en-US" altLang="zh-CN"/>
                      <a:t>00</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Sheet1!$A$2:$A$4</c:f>
              <c:strCache>
                <c:ptCount val="3"/>
                <c:pt idx="0">
                  <c:v>因公出国（境）费支出</c:v>
                </c:pt>
                <c:pt idx="1">
                  <c:v>公务用车购置及运行维护费</c:v>
                </c:pt>
                <c:pt idx="2">
                  <c:v>公务接待费支出</c:v>
                </c:pt>
              </c:strCache>
            </c:strRef>
          </c:cat>
          <c:val>
            <c:numRef>
              <c:f>Sheet1!$B$2:$B$4</c:f>
              <c:numCache>
                <c:formatCode>General</c:formatCode>
                <c:ptCount val="3"/>
                <c:pt idx="2">
                  <c:v>100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0.82892</cdr:x>
      <cdr:y>0.0805</cdr:y>
    </cdr:from>
    <cdr:to>
      <cdr:x>0.98784</cdr:x>
      <cdr:y>0.17028</cdr:y>
    </cdr:to>
    <cdr:sp>
      <cdr:nvSpPr>
        <cdr:cNvPr id="2" name="矩形 1"/>
        <cdr:cNvSpPr/>
      </cdr:nvSpPr>
      <cdr:spPr xmlns:a="http://schemas.openxmlformats.org/drawingml/2006/main">
        <a:xfrm xmlns:a="http://schemas.openxmlformats.org/drawingml/2006/main">
          <a:off x="4371975" y="247650"/>
          <a:ext cx="838200" cy="27622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4" textRotate="1"/>
    <customShpInfo spid="_x0000_s205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17</Pages>
  <Words>5537</Words>
  <Characters>5909</Characters>
  <Lines>159</Lines>
  <Paragraphs>44</Paragraphs>
  <TotalTime>6</TotalTime>
  <ScaleCrop>false</ScaleCrop>
  <LinksUpToDate>false</LinksUpToDate>
  <CharactersWithSpaces>5983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2025-09-10T16:34:00Z</cp:lastPrinted>
  <dcterms:modified xsi:type="dcterms:W3CDTF">2025-09-15T14:30:59Z</dcterms:modified>
  <dc:title>四川省***</dc:title>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A08F2A8B83024382BEBCB4A3E8D8E32D</vt:lpwstr>
  </property>
  <property fmtid="{D5CDD505-2E9C-101B-9397-08002B2CF9AE}" pid="4" name="KSOTemplateDocerSaveRecord">
    <vt:lpwstr>eyJoZGlkIjoiMzY1ZmFmMjI2M2RiOGU5MzVhZjU3MmFmMjIzMmQxMDkiLCJ1c2VySWQiOiI4MjcwNzU3NTMifQ==</vt:lpwstr>
  </property>
</Properties>
</file>