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D1C" w:rsidRDefault="00290D1C">
      <w:pPr>
        <w:spacing w:line="600" w:lineRule="exact"/>
        <w:jc w:val="center"/>
        <w:rPr>
          <w:rFonts w:ascii="方正小标宋简体" w:eastAsia="方正小标宋简体" w:hAnsi="宋体"/>
          <w:color w:val="000000"/>
          <w:sz w:val="72"/>
          <w:szCs w:val="72"/>
        </w:rPr>
      </w:pPr>
      <w:bookmarkStart w:id="0" w:name="_Toc15306267"/>
    </w:p>
    <w:p w:rsidR="00290D1C" w:rsidRDefault="00290D1C">
      <w:pPr>
        <w:spacing w:line="600" w:lineRule="exact"/>
        <w:jc w:val="center"/>
        <w:rPr>
          <w:rFonts w:ascii="方正小标宋简体" w:eastAsia="方正小标宋简体" w:hAnsi="宋体"/>
          <w:color w:val="000000"/>
          <w:sz w:val="72"/>
          <w:szCs w:val="72"/>
        </w:rPr>
      </w:pPr>
    </w:p>
    <w:p w:rsidR="00290D1C" w:rsidRDefault="00290D1C">
      <w:pPr>
        <w:spacing w:line="600" w:lineRule="exact"/>
        <w:jc w:val="center"/>
        <w:rPr>
          <w:rFonts w:ascii="方正小标宋简体" w:eastAsia="方正小标宋简体" w:hAnsi="宋体"/>
          <w:color w:val="000000"/>
          <w:sz w:val="72"/>
          <w:szCs w:val="72"/>
        </w:rPr>
      </w:pPr>
    </w:p>
    <w:p w:rsidR="00290D1C" w:rsidRDefault="00290D1C">
      <w:pPr>
        <w:spacing w:line="600" w:lineRule="exact"/>
        <w:jc w:val="center"/>
        <w:rPr>
          <w:rFonts w:ascii="方正小标宋简体" w:eastAsia="方正小标宋简体" w:hAnsi="宋体"/>
          <w:color w:val="000000"/>
          <w:sz w:val="72"/>
          <w:szCs w:val="72"/>
        </w:rPr>
      </w:pPr>
    </w:p>
    <w:p w:rsidR="00290D1C" w:rsidRDefault="00AA6F46">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8441"/>
      <w:bookmarkStart w:id="2" w:name="_Toc15396475"/>
      <w:bookmarkStart w:id="3" w:name="_Toc16590"/>
      <w:bookmarkStart w:id="4" w:name="_Toc15377193"/>
      <w:bookmarkStart w:id="5" w:name="_Toc15377425"/>
      <w:bookmarkStart w:id="6" w:name="_Toc15396597"/>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bookmarkEnd w:id="6"/>
    </w:p>
    <w:p w:rsidR="00290D1C" w:rsidRDefault="00AA6F46">
      <w:pPr>
        <w:adjustRightInd w:val="0"/>
        <w:snapToGrid w:val="0"/>
        <w:spacing w:line="360" w:lineRule="auto"/>
        <w:jc w:val="center"/>
        <w:outlineLvl w:val="0"/>
        <w:rPr>
          <w:rFonts w:ascii="方正小标宋简体" w:eastAsia="方正小标宋简体" w:hAnsi="宋体"/>
          <w:color w:val="000000"/>
          <w:sz w:val="52"/>
          <w:szCs w:val="52"/>
        </w:rPr>
      </w:pPr>
      <w:bookmarkStart w:id="7" w:name="_Toc15378442"/>
      <w:bookmarkStart w:id="8" w:name="_Toc15377426"/>
      <w:bookmarkStart w:id="9" w:name="_Toc15377194"/>
      <w:bookmarkStart w:id="10" w:name="_Toc1502"/>
      <w:bookmarkStart w:id="11" w:name="_Toc15396598"/>
      <w:bookmarkStart w:id="12" w:name="_Toc15396476"/>
      <w:r>
        <w:rPr>
          <w:rFonts w:ascii="方正小标宋简体" w:eastAsia="方正小标宋简体" w:hAnsi="宋体" w:hint="eastAsia"/>
          <w:color w:val="000000"/>
          <w:sz w:val="72"/>
          <w:szCs w:val="72"/>
        </w:rPr>
        <w:t>四川省阿坝州</w:t>
      </w:r>
      <w:bookmarkStart w:id="13" w:name="_Toc15306268"/>
      <w:bookmarkEnd w:id="0"/>
      <w:r>
        <w:rPr>
          <w:rFonts w:ascii="方正小标宋简体" w:eastAsia="方正小标宋简体" w:hAnsi="宋体" w:hint="eastAsia"/>
          <w:color w:val="000000"/>
          <w:sz w:val="72"/>
          <w:szCs w:val="72"/>
        </w:rPr>
        <w:t>茂县自然资源局部门决算</w:t>
      </w:r>
      <w:bookmarkEnd w:id="7"/>
      <w:bookmarkEnd w:id="8"/>
      <w:bookmarkEnd w:id="9"/>
      <w:bookmarkEnd w:id="10"/>
      <w:bookmarkEnd w:id="11"/>
      <w:bookmarkEnd w:id="12"/>
      <w:bookmarkEnd w:id="13"/>
    </w:p>
    <w:p w:rsidR="00290D1C" w:rsidRDefault="00290D1C">
      <w:pPr>
        <w:widowControl/>
        <w:jc w:val="center"/>
        <w:rPr>
          <w:rFonts w:ascii="方正小标宋简体" w:eastAsia="方正小标宋简体" w:hAnsi="宋体"/>
          <w:color w:val="000000"/>
          <w:sz w:val="36"/>
          <w:szCs w:val="36"/>
        </w:rPr>
      </w:pPr>
    </w:p>
    <w:p w:rsidR="00290D1C" w:rsidRDefault="00290D1C">
      <w:pPr>
        <w:rPr>
          <w:rFonts w:ascii="方正小标宋简体" w:eastAsia="方正小标宋简体" w:hAnsi="宋体"/>
          <w:sz w:val="36"/>
          <w:szCs w:val="36"/>
        </w:rPr>
      </w:pPr>
    </w:p>
    <w:p w:rsidR="00290D1C" w:rsidRDefault="00290D1C">
      <w:pPr>
        <w:rPr>
          <w:rFonts w:ascii="方正小标宋简体" w:eastAsia="方正小标宋简体" w:hAnsi="宋体"/>
          <w:sz w:val="36"/>
          <w:szCs w:val="36"/>
        </w:rPr>
      </w:pPr>
    </w:p>
    <w:p w:rsidR="00290D1C" w:rsidRDefault="00290D1C">
      <w:pPr>
        <w:rPr>
          <w:rFonts w:ascii="方正小标宋简体" w:eastAsia="方正小标宋简体" w:hAnsi="宋体"/>
          <w:sz w:val="36"/>
          <w:szCs w:val="36"/>
        </w:rPr>
      </w:pPr>
    </w:p>
    <w:p w:rsidR="00290D1C" w:rsidRDefault="00290D1C">
      <w:pPr>
        <w:rPr>
          <w:rFonts w:ascii="方正小标宋简体" w:eastAsia="方正小标宋简体" w:hAnsi="宋体"/>
          <w:sz w:val="36"/>
          <w:szCs w:val="36"/>
        </w:rPr>
      </w:pPr>
    </w:p>
    <w:p w:rsidR="00290D1C" w:rsidRDefault="00AA6F46">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w:t>
      </w:r>
    </w:p>
    <w:p w:rsidR="00290D1C" w:rsidRDefault="00AA6F46">
      <w:pPr>
        <w:autoSpaceDE w:val="0"/>
        <w:autoSpaceDN w:val="0"/>
        <w:adjustRightInd w:val="0"/>
        <w:ind w:firstLine="1276"/>
        <w:jc w:val="left"/>
        <w:rPr>
          <w:rFonts w:ascii="仿宋" w:eastAsia="仿宋" w:hAnsi="仿宋"/>
          <w:b/>
          <w:sz w:val="24"/>
        </w:rPr>
      </w:pPr>
      <w:r>
        <w:rPr>
          <w:rFonts w:ascii="仿宋_GB2312" w:eastAsia="仿宋_GB2312" w:cs="仿宋_GB2312" w:hint="eastAsia"/>
          <w:sz w:val="32"/>
          <w:szCs w:val="32"/>
        </w:rPr>
        <w:t>部门主要负责人审签情况：</w:t>
      </w:r>
      <w:bookmarkStart w:id="14" w:name="_Toc15396599"/>
      <w:bookmarkStart w:id="15" w:name="_Toc15377196"/>
    </w:p>
    <w:p w:rsidR="00290D1C" w:rsidRDefault="00290D1C" w:rsidP="00AA6F46">
      <w:pPr>
        <w:widowControl/>
        <w:spacing w:beforeLines="100" w:before="312" w:afterLines="100" w:after="312"/>
        <w:jc w:val="center"/>
        <w:rPr>
          <w:rFonts w:ascii="宋体" w:hAnsi="宋体"/>
        </w:rPr>
        <w:sectPr w:rsidR="00290D1C">
          <w:headerReference w:type="default" r:id="rId10"/>
          <w:footerReference w:type="default" r:id="rId11"/>
          <w:pgSz w:w="11906" w:h="16838"/>
          <w:pgMar w:top="1440" w:right="1800" w:bottom="1440" w:left="1800" w:header="851" w:footer="992" w:gutter="0"/>
          <w:pgNumType w:start="1"/>
          <w:cols w:space="425"/>
          <w:titlePg/>
          <w:docGrid w:type="lines" w:linePitch="312"/>
        </w:sectPr>
      </w:pPr>
    </w:p>
    <w:sdt>
      <w:sdtPr>
        <w:rPr>
          <w:rFonts w:ascii="宋体" w:hAnsi="宋体"/>
        </w:rPr>
        <w:id w:val="147468004"/>
        <w:docPartObj>
          <w:docPartGallery w:val="Table of Contents"/>
          <w:docPartUnique/>
        </w:docPartObj>
      </w:sdtPr>
      <w:sdtEndPr>
        <w:rPr>
          <w:rFonts w:ascii="仿宋_GB2312" w:eastAsia="仿宋_GB2312" w:hAnsi="仿宋_GB2312" w:cs="仿宋_GB2312" w:hint="eastAsia"/>
          <w:color w:val="000000"/>
          <w:kern w:val="0"/>
          <w:sz w:val="32"/>
          <w:szCs w:val="32"/>
          <w:shd w:val="clear" w:color="auto" w:fill="FFFFFF"/>
        </w:rPr>
      </w:sdtEndPr>
      <w:sdtContent>
        <w:p w:rsidR="00290D1C" w:rsidRDefault="00AA6F46" w:rsidP="00AA6F46">
          <w:pPr>
            <w:widowControl/>
            <w:spacing w:beforeLines="100" w:before="312" w:afterLines="100" w:after="312"/>
            <w:jc w:val="center"/>
            <w:rPr>
              <w:rFonts w:ascii="仿宋_GB2312" w:eastAsia="仿宋_GB2312" w:hAnsi="仿宋_GB2312" w:cs="仿宋_GB2312"/>
              <w:color w:val="000000"/>
              <w:kern w:val="0"/>
              <w:sz w:val="32"/>
              <w:szCs w:val="32"/>
              <w:shd w:val="clear" w:color="auto" w:fill="FFFFFF"/>
            </w:rPr>
          </w:pPr>
          <w:r>
            <w:rPr>
              <w:rFonts w:ascii="黑体" w:eastAsia="黑体" w:hAnsi="黑体" w:hint="eastAsia"/>
              <w:color w:val="000000"/>
              <w:sz w:val="48"/>
              <w:szCs w:val="48"/>
            </w:rPr>
            <w:t>目录</w:t>
          </w:r>
          <w:r>
            <w:rPr>
              <w:rFonts w:ascii="仿宋_GB2312" w:eastAsia="仿宋_GB2312" w:hAnsi="仿宋_GB2312" w:cs="仿宋_GB2312" w:hint="eastAsia"/>
              <w:color w:val="000000"/>
              <w:kern w:val="0"/>
              <w:sz w:val="32"/>
              <w:szCs w:val="32"/>
              <w:shd w:val="clear" w:color="auto" w:fill="FFFFFF"/>
            </w:rPr>
            <w:fldChar w:fldCharType="begin"/>
          </w:r>
          <w:r>
            <w:rPr>
              <w:rFonts w:ascii="仿宋_GB2312" w:eastAsia="仿宋_GB2312" w:hAnsi="仿宋_GB2312" w:cs="仿宋_GB2312" w:hint="eastAsia"/>
              <w:color w:val="000000"/>
              <w:kern w:val="0"/>
              <w:sz w:val="32"/>
              <w:szCs w:val="32"/>
              <w:shd w:val="clear" w:color="auto" w:fill="FFFFFF"/>
            </w:rPr>
            <w:instrText xml:space="preserve">TOC \o "1-2" \h \u </w:instrText>
          </w:r>
          <w:r>
            <w:rPr>
              <w:rFonts w:ascii="仿宋_GB2312" w:eastAsia="仿宋_GB2312" w:hAnsi="仿宋_GB2312" w:cs="仿宋_GB2312" w:hint="eastAsia"/>
              <w:color w:val="000000"/>
              <w:kern w:val="0"/>
              <w:sz w:val="32"/>
              <w:szCs w:val="32"/>
              <w:shd w:val="clear" w:color="auto" w:fill="FFFFFF"/>
            </w:rPr>
            <w:fldChar w:fldCharType="separate"/>
          </w:r>
        </w:p>
        <w:p w:rsidR="00290D1C" w:rsidRDefault="00AA6F46">
          <w:pPr>
            <w:pStyle w:val="WPSOffice1"/>
            <w:tabs>
              <w:tab w:val="right" w:leader="dot" w:pos="8306"/>
            </w:tabs>
            <w:spacing w:line="440" w:lineRule="exact"/>
            <w:rPr>
              <w:rFonts w:ascii="仿宋_GB2312" w:eastAsia="仿宋_GB2312" w:hAnsi="仿宋_GB2312" w:cs="仿宋_GB2312"/>
              <w:color w:val="000000"/>
              <w:sz w:val="32"/>
              <w:szCs w:val="32"/>
              <w:shd w:val="clear" w:color="auto" w:fill="FFFFFF"/>
            </w:rPr>
          </w:pPr>
          <w:hyperlink w:anchor="_Toc21558" w:history="1">
            <w:r>
              <w:rPr>
                <w:rFonts w:ascii="仿宋_GB2312" w:eastAsia="仿宋_GB2312" w:hAnsi="仿宋_GB2312" w:cs="仿宋_GB2312" w:hint="eastAsia"/>
                <w:color w:val="000000"/>
                <w:sz w:val="32"/>
                <w:szCs w:val="32"/>
                <w:shd w:val="clear" w:color="auto" w:fill="FFFFFF"/>
              </w:rPr>
              <w:t>第一部分 部门概况</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_Toc21558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1</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31815" w:history="1">
            <w:r>
              <w:rPr>
                <w:rFonts w:ascii="仿宋_GB2312" w:eastAsia="仿宋_GB2312" w:hAnsi="仿宋_GB2312" w:cs="仿宋_GB2312" w:hint="eastAsia"/>
                <w:color w:val="000000"/>
                <w:sz w:val="32"/>
                <w:szCs w:val="32"/>
                <w:shd w:val="clear" w:color="auto" w:fill="FFFFFF"/>
              </w:rPr>
              <w:t>一、基本职能及主要工作</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_Toc31815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1</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25527" w:history="1">
            <w:r>
              <w:rPr>
                <w:rFonts w:ascii="仿宋_GB2312" w:eastAsia="仿宋_GB2312" w:hAnsi="仿宋_GB2312" w:cs="仿宋_GB2312" w:hint="eastAsia"/>
                <w:color w:val="000000"/>
                <w:sz w:val="32"/>
                <w:szCs w:val="32"/>
                <w:shd w:val="clear" w:color="auto" w:fill="FFFFFF"/>
              </w:rPr>
              <w:t>二、机构设置</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_Toc25527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2</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pPr>
            <w:pStyle w:val="WPSOffice1"/>
            <w:tabs>
              <w:tab w:val="right" w:leader="dot" w:pos="8306"/>
            </w:tabs>
            <w:spacing w:line="440" w:lineRule="exact"/>
            <w:rPr>
              <w:rFonts w:ascii="仿宋_GB2312" w:eastAsia="仿宋_GB2312" w:hAnsi="仿宋_GB2312" w:cs="仿宋_GB2312"/>
              <w:color w:val="000000"/>
              <w:sz w:val="32"/>
              <w:szCs w:val="32"/>
              <w:shd w:val="clear" w:color="auto" w:fill="FFFFFF"/>
            </w:rPr>
          </w:pPr>
          <w:hyperlink w:anchor="_Toc31033" w:history="1">
            <w:r>
              <w:rPr>
                <w:rFonts w:ascii="仿宋_GB2312" w:eastAsia="仿宋_GB2312" w:hAnsi="仿宋_GB2312" w:cs="仿宋_GB2312" w:hint="eastAsia"/>
                <w:color w:val="000000"/>
                <w:sz w:val="32"/>
                <w:szCs w:val="32"/>
                <w:shd w:val="clear" w:color="auto" w:fill="FFFFFF"/>
              </w:rPr>
              <w:t>第二部分 2019年度部门决算情况说明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_Toc31033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3796" w:history="1">
            <w:r>
              <w:rPr>
                <w:rFonts w:ascii="仿宋_GB2312" w:eastAsia="仿宋_GB2312" w:hAnsi="仿宋_GB2312" w:cs="仿宋_GB2312" w:hint="eastAsia"/>
                <w:color w:val="000000"/>
                <w:sz w:val="32"/>
                <w:szCs w:val="32"/>
                <w:shd w:val="clear" w:color="auto" w:fill="FFFFFF"/>
              </w:rPr>
              <w:t>一、收入支出决算总体情况说明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_Toc3796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21392" w:history="1">
            <w:r>
              <w:rPr>
                <w:rFonts w:ascii="仿宋_GB2312" w:eastAsia="仿宋_GB2312" w:hAnsi="仿宋_GB2312" w:cs="仿宋_GB2312" w:hint="eastAsia"/>
                <w:color w:val="000000"/>
                <w:sz w:val="32"/>
                <w:szCs w:val="32"/>
                <w:shd w:val="clear" w:color="auto" w:fill="FFFFFF"/>
              </w:rPr>
              <w:t>二、收入决算情况说明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_Toc21392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16822" w:history="1">
            <w:r>
              <w:rPr>
                <w:rFonts w:ascii="仿宋_GB2312" w:eastAsia="仿宋_GB2312" w:hAnsi="仿宋_GB2312" w:cs="仿宋_GB2312" w:hint="eastAsia"/>
                <w:color w:val="000000"/>
                <w:sz w:val="32"/>
                <w:szCs w:val="32"/>
                <w:shd w:val="clear" w:color="auto" w:fill="FFFFFF"/>
              </w:rPr>
              <w:t>三、支出决算情况说明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_Toc16822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4</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7478" w:history="1">
            <w:r>
              <w:rPr>
                <w:rFonts w:ascii="仿宋_GB2312" w:eastAsia="仿宋_GB2312" w:hAnsi="仿宋_GB2312" w:cs="仿宋_GB2312" w:hint="eastAsia"/>
                <w:color w:val="000000"/>
                <w:sz w:val="32"/>
                <w:szCs w:val="32"/>
                <w:shd w:val="clear" w:color="auto" w:fill="FFFFFF"/>
              </w:rPr>
              <w:t>四、财政拨款收入支出决算总体情况说明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_Toc7478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5</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17648" w:history="1">
            <w:r>
              <w:rPr>
                <w:rFonts w:ascii="仿宋_GB2312" w:eastAsia="仿宋_GB2312" w:hAnsi="仿宋_GB2312" w:cs="仿宋_GB2312" w:hint="eastAsia"/>
                <w:color w:val="000000"/>
                <w:sz w:val="32"/>
                <w:szCs w:val="32"/>
                <w:shd w:val="clear" w:color="auto" w:fill="FFFFFF"/>
              </w:rPr>
              <w:t>五、一般公共预算财政拨款支出决算情况说明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_Toc17648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5</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30951" w:history="1">
            <w:r>
              <w:rPr>
                <w:rFonts w:ascii="仿宋_GB2312" w:eastAsia="仿宋_GB2312" w:hAnsi="仿宋_GB2312" w:cs="仿宋_GB2312" w:hint="eastAsia"/>
                <w:color w:val="000000"/>
                <w:sz w:val="32"/>
                <w:szCs w:val="32"/>
                <w:shd w:val="clear" w:color="auto" w:fill="FFFFFF"/>
              </w:rPr>
              <w:t>六、一般公共预算财政拨款基本支出决算情况说明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_Toc30951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8</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19524" w:history="1">
            <w:r>
              <w:rPr>
                <w:rFonts w:ascii="仿宋_GB2312" w:eastAsia="仿宋_GB2312" w:hAnsi="仿宋_GB2312" w:cs="仿宋_GB2312" w:hint="eastAsia"/>
                <w:color w:val="000000"/>
                <w:sz w:val="32"/>
                <w:szCs w:val="32"/>
                <w:shd w:val="clear" w:color="auto" w:fill="FFFFFF"/>
              </w:rPr>
              <w:t>七、“三公”经费财政拨款支出决算情况说明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_Toc19524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9</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29268" w:history="1">
            <w:r>
              <w:rPr>
                <w:rFonts w:ascii="仿宋_GB2312" w:eastAsia="仿宋_GB2312" w:hAnsi="仿宋_GB2312" w:cs="仿宋_GB2312" w:hint="eastAsia"/>
                <w:color w:val="000000"/>
                <w:sz w:val="32"/>
                <w:szCs w:val="32"/>
                <w:shd w:val="clear" w:color="auto" w:fill="FFFFFF"/>
              </w:rPr>
              <w:t>八、政府性基金预算支出决算情况说明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_Toc29268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10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5598" w:history="1">
            <w:r>
              <w:rPr>
                <w:rFonts w:ascii="仿宋_GB2312" w:eastAsia="仿宋_GB2312" w:hAnsi="仿宋_GB2312" w:cs="仿宋_GB2312" w:hint="eastAsia"/>
                <w:color w:val="000000"/>
                <w:sz w:val="32"/>
                <w:szCs w:val="32"/>
                <w:shd w:val="clear" w:color="auto" w:fill="FFFFFF"/>
              </w:rPr>
              <w:t>九、国有资本经营预算支出决算情况说明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_Toc5598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10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18309" w:history="1">
            <w:r>
              <w:rPr>
                <w:rFonts w:ascii="仿宋_GB2312" w:eastAsia="仿宋_GB2312" w:hAnsi="仿宋_GB2312" w:cs="仿宋_GB2312" w:hint="eastAsia"/>
                <w:color w:val="000000"/>
                <w:sz w:val="32"/>
                <w:szCs w:val="32"/>
                <w:shd w:val="clear" w:color="auto" w:fill="FFFFFF"/>
              </w:rPr>
              <w:t>十、其他重要事项的情况说明</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_Toc18309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10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pPr>
            <w:pStyle w:val="WPSOffice1"/>
            <w:tabs>
              <w:tab w:val="right" w:leader="dot" w:pos="8306"/>
            </w:tabs>
            <w:spacing w:line="440" w:lineRule="exact"/>
            <w:rPr>
              <w:rFonts w:ascii="仿宋_GB2312" w:eastAsia="仿宋_GB2312" w:hAnsi="仿宋_GB2312" w:cs="仿宋_GB2312"/>
              <w:color w:val="000000"/>
              <w:sz w:val="32"/>
              <w:szCs w:val="32"/>
              <w:shd w:val="clear" w:color="auto" w:fill="FFFFFF"/>
            </w:rPr>
          </w:pPr>
          <w:hyperlink w:anchor="_Toc1388" w:history="1">
            <w:r>
              <w:rPr>
                <w:rFonts w:ascii="仿宋_GB2312" w:eastAsia="仿宋_GB2312" w:hAnsi="仿宋_GB2312" w:cs="仿宋_GB2312" w:hint="eastAsia"/>
                <w:color w:val="000000"/>
                <w:sz w:val="32"/>
                <w:szCs w:val="32"/>
                <w:shd w:val="clear" w:color="auto" w:fill="FFFFFF"/>
              </w:rPr>
              <w:t>第三部分 名词解释</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_Toc1388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22</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pPr>
            <w:pStyle w:val="WPSOffice1"/>
            <w:tabs>
              <w:tab w:val="right" w:leader="dot" w:pos="8306"/>
            </w:tabs>
            <w:spacing w:line="440" w:lineRule="exact"/>
            <w:rPr>
              <w:rFonts w:ascii="仿宋_GB2312" w:eastAsia="仿宋_GB2312" w:hAnsi="仿宋_GB2312" w:cs="仿宋_GB2312"/>
              <w:color w:val="000000"/>
              <w:sz w:val="32"/>
              <w:szCs w:val="32"/>
              <w:shd w:val="clear" w:color="auto" w:fill="FFFFFF"/>
            </w:rPr>
          </w:pPr>
          <w:hyperlink w:anchor="_Toc7185" w:history="1">
            <w:r>
              <w:rPr>
                <w:rFonts w:ascii="仿宋_GB2312" w:eastAsia="仿宋_GB2312" w:hAnsi="仿宋_GB2312" w:cs="仿宋_GB2312" w:hint="eastAsia"/>
                <w:color w:val="000000"/>
                <w:sz w:val="32"/>
                <w:szCs w:val="32"/>
                <w:shd w:val="clear" w:color="auto" w:fill="FFFFFF"/>
              </w:rPr>
              <w:t>第四部分 附件</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_Toc7185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25</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pPr>
            <w:pStyle w:val="WPSOffice1"/>
            <w:tabs>
              <w:tab w:val="right" w:leader="dot" w:pos="8306"/>
            </w:tabs>
            <w:spacing w:line="440" w:lineRule="exact"/>
            <w:ind w:firstLineChars="200" w:firstLine="640"/>
            <w:rPr>
              <w:rFonts w:ascii="仿宋_GB2312" w:eastAsia="仿宋_GB2312" w:hAnsi="仿宋_GB2312" w:cs="仿宋_GB2312"/>
              <w:color w:val="000000"/>
              <w:sz w:val="32"/>
              <w:szCs w:val="32"/>
              <w:shd w:val="clear" w:color="auto" w:fill="FFFFFF"/>
            </w:rPr>
          </w:pPr>
          <w:hyperlink w:anchor="_Toc19531" w:history="1">
            <w:r>
              <w:rPr>
                <w:rFonts w:ascii="仿宋_GB2312" w:eastAsia="仿宋_GB2312" w:hAnsi="仿宋_GB2312" w:cs="仿宋_GB2312" w:hint="eastAsia"/>
                <w:color w:val="000000"/>
                <w:sz w:val="32"/>
                <w:szCs w:val="32"/>
                <w:shd w:val="clear" w:color="auto" w:fill="FFFFFF"/>
              </w:rPr>
              <w:t>茂县自然资源局2019年部门整体支出绩效评价报告</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_Toc19531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26</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pPr>
            <w:pStyle w:val="WPSOffice1"/>
            <w:tabs>
              <w:tab w:val="right" w:leader="dot" w:pos="8306"/>
            </w:tabs>
            <w:spacing w:line="440" w:lineRule="exact"/>
            <w:rPr>
              <w:rFonts w:ascii="仿宋_GB2312" w:eastAsia="仿宋_GB2312" w:hAnsi="仿宋_GB2312" w:cs="仿宋_GB2312"/>
              <w:color w:val="000000"/>
              <w:sz w:val="32"/>
              <w:szCs w:val="32"/>
              <w:shd w:val="clear" w:color="auto" w:fill="FFFFFF"/>
            </w:rPr>
          </w:pPr>
          <w:hyperlink w:anchor="_Toc11769" w:history="1">
            <w:r>
              <w:rPr>
                <w:rFonts w:ascii="仿宋_GB2312" w:eastAsia="仿宋_GB2312" w:hAnsi="仿宋_GB2312" w:cs="仿宋_GB2312" w:hint="eastAsia"/>
                <w:color w:val="000000"/>
                <w:sz w:val="32"/>
                <w:szCs w:val="32"/>
                <w:shd w:val="clear" w:color="auto" w:fill="FFFFFF"/>
              </w:rPr>
              <w:t>第五部分 附表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_Toc11769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12593" w:history="1">
            <w:r>
              <w:rPr>
                <w:rFonts w:ascii="仿宋_GB2312" w:eastAsia="仿宋_GB2312" w:hAnsi="仿宋_GB2312" w:cs="仿宋_GB2312" w:hint="eastAsia"/>
                <w:color w:val="000000"/>
                <w:sz w:val="32"/>
                <w:szCs w:val="32"/>
                <w:shd w:val="clear" w:color="auto" w:fill="FFFFFF"/>
              </w:rPr>
              <w:t>一、收入支出决算总表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_Toc12593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22911" w:history="1">
            <w:r>
              <w:rPr>
                <w:rFonts w:ascii="仿宋_GB2312" w:eastAsia="仿宋_GB2312" w:hAnsi="仿宋_GB2312" w:cs="仿宋_GB2312" w:hint="eastAsia"/>
                <w:color w:val="000000"/>
                <w:sz w:val="32"/>
                <w:szCs w:val="32"/>
                <w:shd w:val="clear" w:color="auto" w:fill="FFFFFF"/>
              </w:rPr>
              <w:t>二、收入决算表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_Toc22911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14187" w:history="1">
            <w:r>
              <w:rPr>
                <w:rFonts w:ascii="仿宋_GB2312" w:eastAsia="仿宋_GB2312" w:hAnsi="仿宋_GB2312" w:cs="仿宋_GB2312" w:hint="eastAsia"/>
                <w:color w:val="000000"/>
                <w:sz w:val="32"/>
                <w:szCs w:val="32"/>
                <w:shd w:val="clear" w:color="auto" w:fill="FFFFFF"/>
              </w:rPr>
              <w:t>三、支出决算表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_Toc14187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4885" w:history="1">
            <w:r>
              <w:rPr>
                <w:rFonts w:ascii="仿宋_GB2312" w:eastAsia="仿宋_GB2312" w:hAnsi="仿宋_GB2312" w:cs="仿宋_GB2312" w:hint="eastAsia"/>
                <w:color w:val="000000"/>
                <w:sz w:val="32"/>
                <w:szCs w:val="32"/>
                <w:shd w:val="clear" w:color="auto" w:fill="FFFFFF"/>
              </w:rPr>
              <w:t>四、财政拨款收入支出决算总表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_Toc4885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29177" w:history="1">
            <w:r>
              <w:rPr>
                <w:rFonts w:ascii="仿宋_GB2312" w:eastAsia="仿宋_GB2312" w:hAnsi="仿宋_GB2312" w:cs="仿宋_GB2312" w:hint="eastAsia"/>
                <w:color w:val="000000"/>
                <w:sz w:val="32"/>
                <w:szCs w:val="32"/>
                <w:shd w:val="clear" w:color="auto" w:fill="FFFFFF"/>
              </w:rPr>
              <w:t>五、财政拨款支出决算明细表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_Toc29177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18706" w:history="1">
            <w:r>
              <w:rPr>
                <w:rFonts w:ascii="仿宋_GB2312" w:eastAsia="仿宋_GB2312" w:hAnsi="仿宋_GB2312" w:cs="仿宋_GB2312" w:hint="eastAsia"/>
                <w:color w:val="000000"/>
                <w:sz w:val="32"/>
                <w:szCs w:val="32"/>
                <w:shd w:val="clear" w:color="auto" w:fill="FFFFFF"/>
              </w:rPr>
              <w:t>六、一般公共预算财政拨款支出决算表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_Toc18706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19495" w:history="1">
            <w:r>
              <w:rPr>
                <w:rFonts w:ascii="仿宋_GB2312" w:eastAsia="仿宋_GB2312" w:hAnsi="仿宋_GB2312" w:cs="仿宋_GB2312" w:hint="eastAsia"/>
                <w:color w:val="000000"/>
                <w:sz w:val="32"/>
                <w:szCs w:val="32"/>
                <w:shd w:val="clear" w:color="auto" w:fill="FFFFFF"/>
              </w:rPr>
              <w:t>七、一般公共预算财政拨款支出决算明细表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_Toc19495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290D1C"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sectPr w:rsidR="00290D1C">
              <w:footerReference w:type="default" r:id="rId12"/>
              <w:footerReference w:type="first" r:id="rId13"/>
              <w:pgSz w:w="11906" w:h="16838"/>
              <w:pgMar w:top="1440" w:right="1800" w:bottom="1440" w:left="1800" w:header="851" w:footer="992" w:gutter="0"/>
              <w:pgNumType w:start="1"/>
              <w:cols w:space="425"/>
              <w:titlePg/>
              <w:docGrid w:type="lines" w:linePitch="312"/>
            </w:sectPr>
          </w:pPr>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16056" w:history="1">
            <w:r>
              <w:rPr>
                <w:rFonts w:ascii="仿宋_GB2312" w:eastAsia="仿宋_GB2312" w:hAnsi="仿宋_GB2312" w:cs="仿宋_GB2312" w:hint="eastAsia"/>
                <w:color w:val="000000"/>
                <w:sz w:val="32"/>
                <w:szCs w:val="32"/>
                <w:shd w:val="clear" w:color="auto" w:fill="FFFFFF"/>
              </w:rPr>
              <w:t>八、一般公共预算财政拨款基本支出决算表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_Toc16056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29898" w:history="1">
            <w:r>
              <w:rPr>
                <w:rFonts w:ascii="仿宋_GB2312" w:eastAsia="仿宋_GB2312" w:hAnsi="仿宋_GB2312" w:cs="仿宋_GB2312" w:hint="eastAsia"/>
                <w:color w:val="000000"/>
                <w:sz w:val="32"/>
                <w:szCs w:val="32"/>
                <w:shd w:val="clear" w:color="auto" w:fill="FFFFFF"/>
              </w:rPr>
              <w:t>九、一般公共预算财政拨款项目支出决算表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_Toc29898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26037" w:history="1">
            <w:r>
              <w:rPr>
                <w:rFonts w:ascii="仿宋_GB2312" w:eastAsia="仿宋_GB2312" w:hAnsi="仿宋_GB2312" w:cs="仿宋_GB2312" w:hint="eastAsia"/>
                <w:color w:val="000000"/>
                <w:sz w:val="32"/>
                <w:szCs w:val="32"/>
                <w:shd w:val="clear" w:color="auto" w:fill="FFFFFF"/>
              </w:rPr>
              <w:t>十、一般公共预算财政拨款“三公”经费支出决算表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_Toc26037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25660" w:history="1">
            <w:r>
              <w:rPr>
                <w:rFonts w:ascii="仿宋_GB2312" w:eastAsia="仿宋_GB2312" w:hAnsi="仿宋_GB2312" w:cs="仿宋_GB2312" w:hint="eastAsia"/>
                <w:color w:val="000000"/>
                <w:sz w:val="32"/>
                <w:szCs w:val="32"/>
                <w:shd w:val="clear" w:color="auto" w:fill="FFFFFF"/>
              </w:rPr>
              <w:t>十一、政府性基金预算财政拨款收入支出决算表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_Toc25660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5314" w:history="1">
            <w:r>
              <w:rPr>
                <w:rFonts w:ascii="仿宋_GB2312" w:eastAsia="仿宋_GB2312" w:hAnsi="仿宋_GB2312" w:cs="仿宋_GB2312" w:hint="eastAsia"/>
                <w:color w:val="000000"/>
                <w:sz w:val="32"/>
                <w:szCs w:val="32"/>
                <w:shd w:val="clear" w:color="auto" w:fill="FFFFFF"/>
              </w:rPr>
              <w:t>十二、政府性基金预算财政拨款“三公”经费支出决算表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_Toc5314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rsidP="00AA6F46">
          <w:pPr>
            <w:pStyle w:val="WPSOffice2"/>
            <w:tabs>
              <w:tab w:val="right" w:leader="dot" w:pos="8306"/>
            </w:tabs>
            <w:spacing w:line="440" w:lineRule="exact"/>
            <w:ind w:left="420"/>
            <w:rPr>
              <w:rFonts w:ascii="仿宋_GB2312" w:eastAsia="仿宋_GB2312" w:hAnsi="仿宋_GB2312" w:cs="仿宋_GB2312"/>
              <w:color w:val="000000"/>
              <w:sz w:val="32"/>
              <w:szCs w:val="32"/>
              <w:shd w:val="clear" w:color="auto" w:fill="FFFFFF"/>
            </w:rPr>
          </w:pPr>
          <w:hyperlink w:anchor="_Toc24337" w:history="1">
            <w:r>
              <w:rPr>
                <w:rFonts w:ascii="仿宋_GB2312" w:eastAsia="仿宋_GB2312" w:hAnsi="仿宋_GB2312" w:cs="仿宋_GB2312" w:hint="eastAsia"/>
                <w:color w:val="000000"/>
                <w:sz w:val="32"/>
                <w:szCs w:val="32"/>
                <w:shd w:val="clear" w:color="auto" w:fill="FFFFFF"/>
              </w:rPr>
              <w:t>十三、国有资本经营预算支出决算表</w:t>
            </w:r>
            <w:r>
              <w:rPr>
                <w:rFonts w:ascii="仿宋_GB2312" w:eastAsia="仿宋_GB2312" w:hAnsi="仿宋_GB2312" w:cs="仿宋_GB2312" w:hint="eastAsia"/>
                <w:color w:val="000000"/>
                <w:sz w:val="32"/>
                <w:szCs w:val="32"/>
                <w:shd w:val="clear" w:color="auto" w:fill="FFFFFF"/>
              </w:rPr>
              <w:tab/>
            </w:r>
            <w:r>
              <w:rPr>
                <w:rFonts w:ascii="仿宋_GB2312" w:eastAsia="仿宋_GB2312" w:hAnsi="仿宋_GB2312" w:cs="仿宋_GB2312" w:hint="eastAsia"/>
                <w:color w:val="000000"/>
                <w:sz w:val="32"/>
                <w:szCs w:val="32"/>
                <w:shd w:val="clear" w:color="auto" w:fill="FFFFFF"/>
              </w:rPr>
              <w:fldChar w:fldCharType="begin"/>
            </w:r>
            <w:r>
              <w:rPr>
                <w:rFonts w:ascii="仿宋_GB2312" w:eastAsia="仿宋_GB2312" w:hAnsi="仿宋_GB2312" w:cs="仿宋_GB2312" w:hint="eastAsia"/>
                <w:color w:val="000000"/>
                <w:sz w:val="32"/>
                <w:szCs w:val="32"/>
                <w:shd w:val="clear" w:color="auto" w:fill="FFFFFF"/>
              </w:rPr>
              <w:instrText xml:space="preserve"> PAGEREF _Toc24337 </w:instrText>
            </w:r>
            <w:r>
              <w:rPr>
                <w:rFonts w:ascii="仿宋_GB2312" w:eastAsia="仿宋_GB2312" w:hAnsi="仿宋_GB2312" w:cs="仿宋_GB2312" w:hint="eastAsia"/>
                <w:color w:val="000000"/>
                <w:sz w:val="32"/>
                <w:szCs w:val="32"/>
                <w:shd w:val="clear" w:color="auto" w:fill="FFFFFF"/>
              </w:rPr>
              <w:fldChar w:fldCharType="separate"/>
            </w:r>
            <w:r>
              <w:rPr>
                <w:rFonts w:ascii="仿宋_GB2312" w:eastAsia="仿宋_GB2312" w:hAnsi="仿宋_GB2312" w:cs="仿宋_GB2312" w:hint="eastAsia"/>
                <w:color w:val="000000"/>
                <w:sz w:val="32"/>
                <w:szCs w:val="32"/>
                <w:shd w:val="clear" w:color="auto" w:fill="FFFFFF"/>
              </w:rPr>
              <w:t>30</w:t>
            </w:r>
            <w:r>
              <w:rPr>
                <w:rFonts w:ascii="仿宋_GB2312" w:eastAsia="仿宋_GB2312" w:hAnsi="仿宋_GB2312" w:cs="仿宋_GB2312" w:hint="eastAsia"/>
                <w:color w:val="000000"/>
                <w:sz w:val="32"/>
                <w:szCs w:val="32"/>
                <w:shd w:val="clear" w:color="auto" w:fill="FFFFFF"/>
              </w:rPr>
              <w:fldChar w:fldCharType="end"/>
            </w:r>
          </w:hyperlink>
        </w:p>
        <w:p w:rsidR="00290D1C" w:rsidRDefault="00AA6F46">
          <w:pPr>
            <w:widowControl/>
            <w:spacing w:line="440" w:lineRule="exact"/>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fldChar w:fldCharType="end"/>
          </w:r>
        </w:p>
      </w:sdtContent>
    </w:sdt>
    <w:p w:rsidR="00290D1C" w:rsidRDefault="00290D1C">
      <w:pPr>
        <w:pStyle w:val="1"/>
        <w:jc w:val="center"/>
        <w:rPr>
          <w:rFonts w:ascii="仿宋_GB2312" w:eastAsia="仿宋_GB2312" w:hAnsi="仿宋_GB2312" w:cs="仿宋_GB2312"/>
          <w:color w:val="000000"/>
          <w:kern w:val="0"/>
          <w:sz w:val="32"/>
          <w:szCs w:val="32"/>
          <w:shd w:val="clear" w:color="auto" w:fill="FFFFFF"/>
        </w:rPr>
        <w:sectPr w:rsidR="00290D1C">
          <w:footerReference w:type="default" r:id="rId14"/>
          <w:footerReference w:type="first" r:id="rId15"/>
          <w:pgSz w:w="11906" w:h="16838"/>
          <w:pgMar w:top="1440" w:right="1800" w:bottom="1440" w:left="1800" w:header="851" w:footer="992" w:gutter="0"/>
          <w:pgNumType w:start="1"/>
          <w:cols w:space="425"/>
          <w:titlePg/>
          <w:docGrid w:type="lines" w:linePitch="312"/>
        </w:sectPr>
      </w:pPr>
      <w:bookmarkStart w:id="16" w:name="_Toc21558"/>
    </w:p>
    <w:p w:rsidR="00290D1C" w:rsidRDefault="00AA6F46">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4"/>
      <w:bookmarkEnd w:id="15"/>
      <w:bookmarkEnd w:id="16"/>
    </w:p>
    <w:p w:rsidR="00290D1C" w:rsidRDefault="00290D1C">
      <w:pPr>
        <w:widowControl/>
        <w:jc w:val="left"/>
        <w:rPr>
          <w:rFonts w:ascii="黑体" w:eastAsia="黑体"/>
          <w:color w:val="000000"/>
          <w:sz w:val="32"/>
          <w:szCs w:val="32"/>
        </w:rPr>
      </w:pPr>
    </w:p>
    <w:p w:rsidR="00290D1C" w:rsidRDefault="00AA6F46">
      <w:pPr>
        <w:pStyle w:val="2"/>
        <w:ind w:firstLineChars="200" w:firstLine="640"/>
        <w:rPr>
          <w:rStyle w:val="2Char"/>
          <w:rFonts w:ascii="仿宋" w:eastAsia="仿宋" w:hAnsi="仿宋"/>
        </w:rPr>
      </w:pPr>
      <w:bookmarkStart w:id="17" w:name="_Toc15377197"/>
      <w:bookmarkStart w:id="18" w:name="_Toc31815"/>
      <w:bookmarkStart w:id="19"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7"/>
      <w:bookmarkEnd w:id="18"/>
      <w:bookmarkEnd w:id="19"/>
    </w:p>
    <w:p w:rsidR="00290D1C" w:rsidRDefault="00AA6F46">
      <w:pPr>
        <w:pStyle w:val="a3"/>
        <w:adjustRightInd w:val="0"/>
        <w:snapToGrid w:val="0"/>
        <w:spacing w:before="93" w:line="600" w:lineRule="exact"/>
        <w:ind w:firstLineChars="210" w:firstLine="675"/>
        <w:outlineLvl w:val="2"/>
        <w:rPr>
          <w:rFonts w:ascii="楷体" w:eastAsia="楷体" w:hAnsi="楷体" w:cs="楷体"/>
          <w:b/>
          <w:color w:val="000000"/>
          <w:sz w:val="32"/>
          <w:szCs w:val="32"/>
        </w:rPr>
      </w:pPr>
      <w:bookmarkStart w:id="20" w:name="_Toc15378445"/>
      <w:bookmarkStart w:id="21" w:name="_Toc15377198"/>
      <w:r>
        <w:rPr>
          <w:rFonts w:ascii="楷体" w:eastAsia="楷体" w:hAnsi="楷体" w:cs="楷体" w:hint="eastAsia"/>
          <w:b/>
          <w:color w:val="000000"/>
          <w:sz w:val="32"/>
          <w:szCs w:val="32"/>
        </w:rPr>
        <w:t>（一）主要职能</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1.履行全民所有土地、矿产、森林、草原、湿地、水等自然资源资产所有者职责和所有国土空间用途管制职责；</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2.负责全县自然资源调查监测评价；</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3.负责全县自然资源统一确权登记工作；</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4.负责全县自然资源资产有偿使用工作；</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5.负责全县自然资源局的合理开发利用；</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6.负责建立全县空间规划体系并监督实施；</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7.负责统筹全县国土空间生态修复；</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8.负责组织实施最严格的耕地保护制度；</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9.负责管理谦虚地质勘查行业和地质工作；</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10.负责落实综合防灾减灾规划相关要求；</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11.负责全县矿产资源管理工作；</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12.负责全县测绘地理信息工作；</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13.推动全县自然资源领域科级发展和对外合作；</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rsidR="00290D1C" w:rsidRDefault="00AA6F46">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shd w:val="clear" w:color="auto" w:fill="FFFFFF"/>
        </w:rPr>
      </w:pPr>
      <w:r>
        <w:rPr>
          <w:rFonts w:ascii="仿宋_GB2312" w:eastAsia="仿宋_GB2312" w:hAnsi="仿宋_GB2312" w:cs="仿宋_GB2312" w:hint="eastAsia"/>
          <w:color w:val="000000"/>
          <w:kern w:val="0"/>
          <w:sz w:val="32"/>
          <w:szCs w:val="32"/>
          <w:shd w:val="clear" w:color="auto" w:fill="FFFFFF"/>
        </w:rPr>
        <w:lastRenderedPageBreak/>
        <w:t>15.负责职责范围内的安全生产和职业健康、生态环境保护、审批服务便民化及行政执法等工作；</w:t>
      </w:r>
    </w:p>
    <w:p w:rsidR="00290D1C" w:rsidRDefault="00AA6F46">
      <w:pPr>
        <w:widowControl/>
        <w:snapToGrid w:val="0"/>
        <w:spacing w:line="576" w:lineRule="exact"/>
        <w:ind w:firstLineChars="200" w:firstLine="640"/>
      </w:pPr>
      <w:r>
        <w:rPr>
          <w:rFonts w:ascii="仿宋_GB2312" w:eastAsia="仿宋_GB2312" w:hAnsi="仿宋_GB2312" w:cs="仿宋_GB2312" w:hint="eastAsia"/>
          <w:color w:val="000000"/>
          <w:kern w:val="0"/>
          <w:sz w:val="32"/>
          <w:szCs w:val="32"/>
          <w:shd w:val="clear" w:color="auto" w:fill="FFFFFF"/>
        </w:rPr>
        <w:t>16.完成县委、县人民政府交办的其他任务。</w:t>
      </w:r>
    </w:p>
    <w:p w:rsidR="00290D1C" w:rsidRDefault="00AA6F46">
      <w:pPr>
        <w:pStyle w:val="a3"/>
        <w:adjustRightInd w:val="0"/>
        <w:snapToGrid w:val="0"/>
        <w:spacing w:before="93" w:line="600" w:lineRule="exact"/>
        <w:ind w:firstLineChars="210" w:firstLine="675"/>
        <w:outlineLvl w:val="2"/>
        <w:rPr>
          <w:rFonts w:ascii="楷体" w:eastAsia="楷体" w:hAnsi="楷体" w:cs="楷体"/>
          <w:b/>
          <w:color w:val="000000"/>
          <w:sz w:val="32"/>
          <w:szCs w:val="32"/>
        </w:rPr>
      </w:pPr>
      <w:bookmarkStart w:id="22" w:name="_Toc15378446"/>
      <w:bookmarkStart w:id="23" w:name="_Toc15377199"/>
      <w:bookmarkEnd w:id="20"/>
      <w:bookmarkEnd w:id="21"/>
      <w:r>
        <w:rPr>
          <w:rFonts w:ascii="楷体" w:eastAsia="楷体" w:hAnsi="楷体" w:cs="楷体" w:hint="eastAsia"/>
          <w:b/>
          <w:color w:val="000000"/>
          <w:sz w:val="32"/>
          <w:szCs w:val="32"/>
        </w:rPr>
        <w:t>（二）2019年重点工作完成情况</w:t>
      </w:r>
      <w:bookmarkEnd w:id="22"/>
      <w:bookmarkEnd w:id="23"/>
    </w:p>
    <w:p w:rsidR="00290D1C" w:rsidRDefault="00AA6F46">
      <w:pPr>
        <w:spacing w:line="576" w:lineRule="exact"/>
        <w:ind w:firstLineChars="200" w:firstLine="640"/>
        <w:outlineLvl w:val="1"/>
        <w:rPr>
          <w:rFonts w:ascii="仿宋" w:eastAsia="仿宋_GB2312" w:hAnsi="仿宋"/>
          <w:bCs/>
          <w:color w:val="000000"/>
          <w:sz w:val="32"/>
          <w:szCs w:val="32"/>
        </w:rPr>
      </w:pPr>
      <w:bookmarkStart w:id="24" w:name="_Toc18358"/>
      <w:r>
        <w:rPr>
          <w:rFonts w:ascii="仿宋_GB2312" w:eastAsia="仿宋_GB2312" w:hAnsi="仿宋_GB2312" w:cs="仿宋_GB2312" w:hint="eastAsia"/>
          <w:sz w:val="32"/>
          <w:szCs w:val="32"/>
        </w:rPr>
        <w:t>2019年共完成不动产权确权登记1212宗（其中首次登记371宗，变更登记16宗，注销登记13宗，转移登记812宗），发放不动产权证书1199本，进行国有土地使用权抵押权登记230宗，发放不动产登记证明230本；征收土地61.4702亩（其中：耕地：30.4187其他土地：31.0515），对付资金2181344.62元；完成</w:t>
      </w:r>
      <w:r>
        <w:rPr>
          <w:rFonts w:ascii="仿宋_GB2312" w:eastAsia="仿宋_GB2312" w:hint="eastAsia"/>
          <w:sz w:val="32"/>
          <w:szCs w:val="32"/>
        </w:rPr>
        <w:t>70户避险搬迁安置任务；盘活国有储量建设用地，划拨土地5宗国有建设用地使用权，挂牌出让2宗土地国有建设用地使用权，拍卖出让11宗国有土地建设用地使用权；加强2019年汛期地质灾害防范工作，出动培训专家9人，培训了170场次，专家现场答疑120余次，培训人数达到51500人次，发放宣传画10000余册、发放宣传手册11500余本、发放宣传单30000余张。</w:t>
      </w:r>
      <w:bookmarkEnd w:id="24"/>
    </w:p>
    <w:p w:rsidR="00290D1C" w:rsidRDefault="00AA6F46">
      <w:pPr>
        <w:pStyle w:val="2"/>
        <w:ind w:firstLineChars="200" w:firstLine="640"/>
        <w:rPr>
          <w:rStyle w:val="2Char"/>
        </w:rPr>
      </w:pPr>
      <w:bookmarkStart w:id="25" w:name="_Toc15377200"/>
      <w:bookmarkStart w:id="26" w:name="_Toc25527"/>
      <w:bookmarkStart w:id="27" w:name="_Toc15396601"/>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5"/>
      <w:bookmarkEnd w:id="26"/>
      <w:bookmarkEnd w:id="27"/>
    </w:p>
    <w:p w:rsidR="00290D1C" w:rsidRDefault="00AA6F46">
      <w:pPr>
        <w:pStyle w:val="a3"/>
        <w:adjustRightInd w:val="0"/>
        <w:snapToGrid w:val="0"/>
        <w:spacing w:before="93" w:line="576" w:lineRule="exact"/>
        <w:ind w:firstLineChars="200" w:firstLine="640"/>
        <w:rPr>
          <w:sz w:val="32"/>
          <w:szCs w:val="32"/>
        </w:rPr>
      </w:pPr>
      <w:r>
        <w:rPr>
          <w:rFonts w:hint="eastAsia"/>
          <w:sz w:val="32"/>
          <w:szCs w:val="32"/>
        </w:rPr>
        <w:t>茂县自然资源局是一级预算行政单位，无下属二级预算单位。</w:t>
      </w:r>
    </w:p>
    <w:p w:rsidR="00290D1C" w:rsidRDefault="00AA6F46">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290D1C" w:rsidRDefault="00AA6F46">
      <w:pPr>
        <w:pStyle w:val="1"/>
        <w:ind w:right="440"/>
        <w:jc w:val="right"/>
        <w:rPr>
          <w:rStyle w:val="1Char"/>
          <w:rFonts w:ascii="黑体" w:eastAsia="黑体" w:hAnsi="黑体"/>
        </w:rPr>
      </w:pPr>
      <w:bookmarkStart w:id="28" w:name="_Toc15377204"/>
      <w:bookmarkStart w:id="29" w:name="_Toc31033"/>
      <w:bookmarkStart w:id="30"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2019年度部门决算情况说明</w:t>
      </w:r>
      <w:bookmarkEnd w:id="28"/>
      <w:bookmarkEnd w:id="29"/>
      <w:bookmarkEnd w:id="30"/>
    </w:p>
    <w:p w:rsidR="00290D1C" w:rsidRDefault="00290D1C"/>
    <w:p w:rsidR="00290D1C" w:rsidRDefault="00AA6F46">
      <w:pPr>
        <w:pStyle w:val="a9"/>
        <w:numPr>
          <w:ilvl w:val="0"/>
          <w:numId w:val="1"/>
        </w:numPr>
        <w:spacing w:line="600" w:lineRule="exact"/>
        <w:ind w:firstLineChars="0"/>
        <w:outlineLvl w:val="1"/>
        <w:rPr>
          <w:rStyle w:val="2Char"/>
          <w:rFonts w:ascii="黑体" w:eastAsia="黑体" w:hAnsi="黑体"/>
          <w:b w:val="0"/>
        </w:rPr>
      </w:pPr>
      <w:bookmarkStart w:id="31" w:name="_Toc3796"/>
      <w:bookmarkStart w:id="32" w:name="_Toc15377205"/>
      <w:bookmarkStart w:id="33"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31"/>
      <w:bookmarkEnd w:id="32"/>
      <w:bookmarkEnd w:id="33"/>
    </w:p>
    <w:p w:rsidR="00290D1C" w:rsidRDefault="00AA6F46">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sz w:val="32"/>
          <w:szCs w:val="32"/>
        </w:rPr>
        <w:t>2019年度收、支总计15481万元。与2018年相比，收、支总计各减少2069.36万元，下降13.37</w:t>
      </w:r>
      <w:r>
        <w:rPr>
          <w:rFonts w:ascii="仿宋" w:eastAsia="仿宋" w:hAnsi="仿宋"/>
          <w:color w:val="000000"/>
          <w:sz w:val="32"/>
          <w:szCs w:val="32"/>
        </w:rPr>
        <w:t>%</w:t>
      </w:r>
      <w:r>
        <w:rPr>
          <w:rFonts w:ascii="仿宋" w:eastAsia="仿宋" w:hAnsi="仿宋" w:hint="eastAsia"/>
          <w:color w:val="000000"/>
          <w:sz w:val="32"/>
          <w:szCs w:val="32"/>
        </w:rPr>
        <w:t>。主要变动原因是大型项目减少。</w:t>
      </w:r>
    </w:p>
    <w:p w:rsidR="00290D1C" w:rsidRDefault="00AA6F46">
      <w:pPr>
        <w:spacing w:line="600" w:lineRule="exact"/>
        <w:ind w:firstLineChars="200" w:firstLine="640"/>
        <w:jc w:val="left"/>
        <w:rPr>
          <w:rFonts w:ascii="仿宋_GB2312" w:eastAsia="仿宋_GB2312"/>
          <w:color w:val="000000"/>
          <w:sz w:val="32"/>
          <w:szCs w:val="32"/>
        </w:rPr>
      </w:pPr>
      <w:r>
        <w:rPr>
          <w:rFonts w:ascii="仿宋" w:eastAsia="仿宋" w:hAnsi="仿宋" w:hint="eastAsia"/>
          <w:noProof/>
          <w:color w:val="000000" w:themeColor="text1"/>
          <w:sz w:val="32"/>
          <w:szCs w:val="32"/>
        </w:rPr>
        <w:drawing>
          <wp:anchor distT="0" distB="0" distL="114300" distR="114300" simplePos="0" relativeHeight="251658240" behindDoc="0" locked="0" layoutInCell="1" allowOverlap="1">
            <wp:simplePos x="0" y="0"/>
            <wp:positionH relativeFrom="column">
              <wp:posOffset>37465</wp:posOffset>
            </wp:positionH>
            <wp:positionV relativeFrom="paragraph">
              <wp:posOffset>276225</wp:posOffset>
            </wp:positionV>
            <wp:extent cx="5080000" cy="3911600"/>
            <wp:effectExtent l="4445" t="4445" r="5715" b="1587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290D1C" w:rsidRDefault="00AA6F46">
      <w:pPr>
        <w:pStyle w:val="a9"/>
        <w:numPr>
          <w:ilvl w:val="0"/>
          <w:numId w:val="1"/>
        </w:numPr>
        <w:spacing w:line="600" w:lineRule="exact"/>
        <w:ind w:firstLineChars="0"/>
        <w:outlineLvl w:val="1"/>
        <w:rPr>
          <w:rStyle w:val="2Char"/>
          <w:rFonts w:ascii="黑体" w:eastAsia="黑体" w:hAnsi="黑体"/>
          <w:b w:val="0"/>
        </w:rPr>
      </w:pPr>
      <w:bookmarkStart w:id="34" w:name="_Toc15396604"/>
      <w:bookmarkStart w:id="35" w:name="_Toc21392"/>
      <w:bookmarkStart w:id="36"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34"/>
      <w:bookmarkEnd w:id="35"/>
      <w:bookmarkEnd w:id="36"/>
    </w:p>
    <w:p w:rsidR="00290D1C" w:rsidRDefault="00AA6F46">
      <w:pPr>
        <w:spacing w:line="576" w:lineRule="exact"/>
        <w:ind w:firstLineChars="200" w:firstLine="640"/>
        <w:outlineLvl w:val="1"/>
        <w:rPr>
          <w:rFonts w:ascii="仿宋_GB2312" w:eastAsia="仿宋_GB2312"/>
          <w:color w:val="FF0000"/>
          <w:sz w:val="32"/>
          <w:szCs w:val="32"/>
        </w:rPr>
      </w:pPr>
      <w:bookmarkStart w:id="37" w:name="_Toc7397"/>
      <w:r>
        <w:rPr>
          <w:rFonts w:ascii="仿宋" w:eastAsia="仿宋" w:hAnsi="仿宋"/>
          <w:color w:val="000000"/>
          <w:sz w:val="32"/>
          <w:szCs w:val="32"/>
        </w:rPr>
        <w:t>201</w:t>
      </w:r>
      <w:r>
        <w:rPr>
          <w:rFonts w:ascii="仿宋" w:eastAsia="仿宋" w:hAnsi="仿宋" w:hint="eastAsia"/>
          <w:color w:val="000000"/>
          <w:sz w:val="32"/>
          <w:szCs w:val="32"/>
        </w:rPr>
        <w:t>9年本年收入合计6,065.11万元，其中：一般公共预算财政拨款收入3,802.69万元，占62.70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；政府性基金预算财政拨款收入2,262.42万元，占37.30</w:t>
      </w:r>
      <w:r>
        <w:rPr>
          <w:rFonts w:ascii="仿宋" w:eastAsia="仿宋" w:hAnsi="仿宋"/>
          <w:color w:val="000000"/>
          <w:sz w:val="32"/>
          <w:szCs w:val="32"/>
        </w:rPr>
        <w:t>%</w:t>
      </w:r>
      <w:r>
        <w:rPr>
          <w:rFonts w:ascii="仿宋" w:eastAsia="仿宋" w:hAnsi="仿宋" w:hint="eastAsia"/>
          <w:color w:val="000000"/>
          <w:sz w:val="32"/>
          <w:szCs w:val="32"/>
        </w:rPr>
        <w:t>；</w:t>
      </w:r>
      <w:r>
        <w:rPr>
          <w:rFonts w:ascii="仿宋_GB2312" w:eastAsia="仿宋_GB2312" w:hAnsi="仿宋_GB2312" w:cs="仿宋_GB2312" w:hint="eastAsia"/>
          <w:color w:val="000000"/>
          <w:sz w:val="32"/>
          <w:szCs w:val="32"/>
        </w:rPr>
        <w:t>国有资本经营预算财政拨款收入0万元，占0%；事业收入0万元，占</w:t>
      </w:r>
      <w:r>
        <w:rPr>
          <w:rFonts w:ascii="仿宋" w:eastAsia="仿宋" w:hAnsi="仿宋" w:hint="eastAsia"/>
          <w:noProof/>
          <w:color w:val="000000" w:themeColor="text1"/>
          <w:sz w:val="32"/>
          <w:szCs w:val="32"/>
        </w:rPr>
        <w:lastRenderedPageBreak/>
        <w:drawing>
          <wp:anchor distT="0" distB="0" distL="114300" distR="114300" simplePos="0" relativeHeight="251659264" behindDoc="0" locked="0" layoutInCell="1" allowOverlap="1">
            <wp:simplePos x="0" y="0"/>
            <wp:positionH relativeFrom="column">
              <wp:posOffset>165100</wp:posOffset>
            </wp:positionH>
            <wp:positionV relativeFrom="paragraph">
              <wp:posOffset>821690</wp:posOffset>
            </wp:positionV>
            <wp:extent cx="4707890" cy="2675890"/>
            <wp:effectExtent l="4445" t="4445" r="12065" b="1714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ascii="仿宋_GB2312" w:eastAsia="仿宋_GB2312" w:hAnsi="仿宋_GB2312" w:cs="仿宋_GB2312" w:hint="eastAsia"/>
          <w:color w:val="000000"/>
          <w:sz w:val="32"/>
          <w:szCs w:val="32"/>
        </w:rPr>
        <w:t>0%；经营收入0万元，占0%；附属单位上缴收入0万元，占0%；其他收入0万元，占0%。</w:t>
      </w:r>
      <w:bookmarkEnd w:id="37"/>
    </w:p>
    <w:p w:rsidR="00290D1C" w:rsidRDefault="00AA6F46">
      <w:pPr>
        <w:pStyle w:val="a9"/>
        <w:numPr>
          <w:ilvl w:val="0"/>
          <w:numId w:val="1"/>
        </w:numPr>
        <w:spacing w:line="600" w:lineRule="exact"/>
        <w:ind w:firstLineChars="0"/>
        <w:outlineLvl w:val="1"/>
        <w:rPr>
          <w:rStyle w:val="2Char"/>
          <w:rFonts w:ascii="黑体" w:eastAsia="黑体" w:hAnsi="黑体"/>
          <w:b w:val="0"/>
        </w:rPr>
      </w:pPr>
      <w:bookmarkStart w:id="38" w:name="_Toc16822"/>
      <w:bookmarkStart w:id="39" w:name="_Toc15377207"/>
      <w:bookmarkStart w:id="40"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38"/>
      <w:bookmarkEnd w:id="39"/>
      <w:bookmarkEnd w:id="40"/>
    </w:p>
    <w:p w:rsidR="00290D1C" w:rsidRDefault="00AA6F46">
      <w:pPr>
        <w:spacing w:line="600" w:lineRule="exact"/>
        <w:ind w:firstLineChars="200" w:firstLine="640"/>
        <w:outlineLvl w:val="1"/>
        <w:rPr>
          <w:rFonts w:ascii="仿宋" w:eastAsia="仿宋" w:hAnsi="仿宋"/>
          <w:color w:val="000000"/>
          <w:sz w:val="32"/>
          <w:szCs w:val="32"/>
        </w:rPr>
      </w:pPr>
      <w:bookmarkStart w:id="41" w:name="_Toc14984"/>
      <w:r>
        <w:rPr>
          <w:rFonts w:ascii="仿宋" w:eastAsia="仿宋" w:hAnsi="仿宋"/>
          <w:color w:val="000000"/>
          <w:sz w:val="32"/>
          <w:szCs w:val="32"/>
        </w:rPr>
        <w:t>201</w:t>
      </w:r>
      <w:r>
        <w:rPr>
          <w:rFonts w:ascii="仿宋" w:eastAsia="仿宋" w:hAnsi="仿宋" w:hint="eastAsia"/>
          <w:color w:val="000000"/>
          <w:sz w:val="32"/>
          <w:szCs w:val="32"/>
        </w:rPr>
        <w:t>9年本年支出合计8634.84万元，其中：基本支出698.44万元，占8.09</w:t>
      </w:r>
      <w:r>
        <w:rPr>
          <w:rFonts w:ascii="仿宋" w:eastAsia="仿宋" w:hAnsi="仿宋"/>
          <w:color w:val="000000"/>
          <w:sz w:val="32"/>
          <w:szCs w:val="32"/>
        </w:rPr>
        <w:t>%</w:t>
      </w:r>
      <w:r>
        <w:rPr>
          <w:rFonts w:ascii="仿宋" w:eastAsia="仿宋" w:hAnsi="仿宋" w:hint="eastAsia"/>
          <w:color w:val="000000"/>
          <w:sz w:val="32"/>
          <w:szCs w:val="32"/>
        </w:rPr>
        <w:t>；项目支出7936.40万元，占91.91</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bookmarkEnd w:id="41"/>
    </w:p>
    <w:p w:rsidR="00290D1C" w:rsidRDefault="00AA6F46">
      <w:pPr>
        <w:spacing w:line="600" w:lineRule="exact"/>
        <w:ind w:firstLineChars="200" w:firstLine="640"/>
        <w:rPr>
          <w:rFonts w:ascii="仿宋_GB2312" w:eastAsia="仿宋_GB2312"/>
          <w:color w:val="FF0000"/>
          <w:sz w:val="32"/>
          <w:szCs w:val="32"/>
        </w:rPr>
      </w:pPr>
      <w:r>
        <w:rPr>
          <w:rFonts w:ascii="仿宋" w:eastAsia="仿宋" w:hAnsi="仿宋" w:hint="eastAsia"/>
          <w:noProof/>
          <w:color w:val="000000" w:themeColor="text1"/>
          <w:sz w:val="32"/>
          <w:szCs w:val="32"/>
        </w:rPr>
        <w:drawing>
          <wp:anchor distT="0" distB="0" distL="114300" distR="114300" simplePos="0" relativeHeight="251660288" behindDoc="0" locked="0" layoutInCell="1" allowOverlap="1">
            <wp:simplePos x="0" y="0"/>
            <wp:positionH relativeFrom="column">
              <wp:posOffset>215900</wp:posOffset>
            </wp:positionH>
            <wp:positionV relativeFrom="paragraph">
              <wp:posOffset>155575</wp:posOffset>
            </wp:positionV>
            <wp:extent cx="4707255" cy="2876550"/>
            <wp:effectExtent l="4445" t="4445" r="12700"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290D1C" w:rsidRDefault="00AA6F46">
      <w:pPr>
        <w:spacing w:line="600" w:lineRule="exact"/>
        <w:ind w:firstLineChars="200" w:firstLine="640"/>
        <w:outlineLvl w:val="1"/>
        <w:rPr>
          <w:rStyle w:val="2Char"/>
          <w:rFonts w:ascii="黑体" w:eastAsia="黑体" w:hAnsi="黑体"/>
          <w:b w:val="0"/>
        </w:rPr>
      </w:pPr>
      <w:bookmarkStart w:id="42" w:name="_Toc15377208"/>
      <w:bookmarkStart w:id="43" w:name="_Toc15396606"/>
      <w:bookmarkStart w:id="44" w:name="_Toc7478"/>
      <w:r>
        <w:rPr>
          <w:rFonts w:ascii="黑体" w:eastAsia="黑体" w:hAnsi="黑体" w:hint="eastAsia"/>
          <w:color w:val="000000"/>
          <w:sz w:val="32"/>
          <w:szCs w:val="32"/>
        </w:rPr>
        <w:lastRenderedPageBreak/>
        <w:t>四、财</w:t>
      </w:r>
      <w:r>
        <w:rPr>
          <w:rStyle w:val="2Char"/>
          <w:rFonts w:ascii="黑体" w:eastAsia="黑体" w:hAnsi="黑体" w:hint="eastAsia"/>
          <w:b w:val="0"/>
        </w:rPr>
        <w:t>政拨款收入支出决算总体情况说明</w:t>
      </w:r>
      <w:bookmarkEnd w:id="42"/>
      <w:bookmarkEnd w:id="43"/>
      <w:bookmarkEnd w:id="44"/>
    </w:p>
    <w:p w:rsidR="00290D1C" w:rsidRDefault="00AA6F46">
      <w:pPr>
        <w:spacing w:line="600" w:lineRule="exact"/>
        <w:ind w:firstLine="640"/>
        <w:rPr>
          <w:rFonts w:ascii="仿宋" w:eastAsia="仿宋" w:hAnsi="仿宋"/>
          <w:b/>
          <w:color w:val="00B050"/>
          <w:sz w:val="32"/>
          <w:szCs w:val="32"/>
        </w:rPr>
      </w:pPr>
      <w:r>
        <w:rPr>
          <w:rFonts w:ascii="仿宋" w:eastAsia="仿宋" w:hAnsi="仿宋" w:hint="eastAsia"/>
          <w:noProof/>
          <w:color w:val="000000"/>
          <w:sz w:val="32"/>
          <w:szCs w:val="32"/>
        </w:rPr>
        <w:drawing>
          <wp:anchor distT="0" distB="0" distL="114300" distR="114300" simplePos="0" relativeHeight="251661312" behindDoc="0" locked="0" layoutInCell="1" allowOverlap="1">
            <wp:simplePos x="0" y="0"/>
            <wp:positionH relativeFrom="column">
              <wp:posOffset>39370</wp:posOffset>
            </wp:positionH>
            <wp:positionV relativeFrom="paragraph">
              <wp:posOffset>1358900</wp:posOffset>
            </wp:positionV>
            <wp:extent cx="5080000" cy="3810000"/>
            <wp:effectExtent l="4445" t="4445" r="5715" b="1079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9年财政拨款收、支总计15481万元。与</w:t>
      </w:r>
      <w:r>
        <w:rPr>
          <w:rFonts w:ascii="仿宋" w:eastAsia="仿宋" w:hAnsi="仿宋"/>
          <w:color w:val="000000"/>
          <w:sz w:val="32"/>
          <w:szCs w:val="32"/>
        </w:rPr>
        <w:t>201</w:t>
      </w:r>
      <w:r>
        <w:rPr>
          <w:rFonts w:ascii="仿宋" w:eastAsia="仿宋" w:hAnsi="仿宋" w:hint="eastAsia"/>
          <w:color w:val="000000"/>
          <w:sz w:val="32"/>
          <w:szCs w:val="32"/>
        </w:rPr>
        <w:t>8年相比，财政拨款收、支总计各减少2069.36万元，下降13.37</w:t>
      </w:r>
      <w:r>
        <w:rPr>
          <w:rFonts w:ascii="仿宋" w:eastAsia="仿宋" w:hAnsi="仿宋"/>
          <w:color w:val="000000"/>
          <w:sz w:val="32"/>
          <w:szCs w:val="32"/>
        </w:rPr>
        <w:t>%</w:t>
      </w:r>
      <w:r>
        <w:rPr>
          <w:rFonts w:ascii="仿宋" w:eastAsia="仿宋" w:hAnsi="仿宋" w:hint="eastAsia"/>
          <w:color w:val="000000"/>
          <w:sz w:val="32"/>
          <w:szCs w:val="32"/>
        </w:rPr>
        <w:t>。主要变动原因是大型项目减少。</w:t>
      </w:r>
    </w:p>
    <w:p w:rsidR="00290D1C" w:rsidRDefault="00AA6F46">
      <w:pPr>
        <w:spacing w:line="600" w:lineRule="exact"/>
        <w:ind w:firstLineChars="200" w:firstLine="640"/>
        <w:outlineLvl w:val="1"/>
        <w:rPr>
          <w:rStyle w:val="2Char"/>
          <w:rFonts w:ascii="黑体" w:eastAsia="黑体" w:hAnsi="黑体"/>
          <w:b w:val="0"/>
        </w:rPr>
      </w:pPr>
      <w:bookmarkStart w:id="45" w:name="_Toc15396607"/>
      <w:bookmarkStart w:id="46" w:name="_Toc17648"/>
      <w:bookmarkStart w:id="47"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45"/>
      <w:bookmarkEnd w:id="46"/>
      <w:bookmarkEnd w:id="47"/>
    </w:p>
    <w:p w:rsidR="00290D1C" w:rsidRDefault="00AA6F46">
      <w:pPr>
        <w:pStyle w:val="a3"/>
        <w:adjustRightInd w:val="0"/>
        <w:snapToGrid w:val="0"/>
        <w:spacing w:before="93" w:line="600" w:lineRule="exact"/>
        <w:ind w:firstLineChars="210" w:firstLine="675"/>
        <w:outlineLvl w:val="2"/>
        <w:rPr>
          <w:rFonts w:ascii="楷体" w:eastAsia="楷体" w:hAnsi="楷体" w:cs="楷体"/>
          <w:b/>
          <w:color w:val="000000"/>
          <w:sz w:val="32"/>
          <w:szCs w:val="32"/>
        </w:rPr>
      </w:pPr>
      <w:bookmarkStart w:id="48" w:name="_Toc15377210"/>
      <w:r>
        <w:rPr>
          <w:rFonts w:ascii="楷体" w:eastAsia="楷体" w:hAnsi="楷体" w:cs="楷体" w:hint="eastAsia"/>
          <w:b/>
          <w:color w:val="000000"/>
          <w:sz w:val="32"/>
          <w:szCs w:val="32"/>
        </w:rPr>
        <w:t>（一）一般公共预算财政拨款支出决算总体情况</w:t>
      </w:r>
      <w:bookmarkEnd w:id="48"/>
    </w:p>
    <w:p w:rsidR="00290D1C" w:rsidRDefault="00AA6F46">
      <w:pPr>
        <w:spacing w:line="600" w:lineRule="exact"/>
        <w:ind w:firstLineChars="200"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9年一般公共预算财政拨款支出6498.41万元，占本年支出合计的75.26</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8年相比，一般公共预算财政拨款减少344.22万元，下降5.30</w:t>
      </w:r>
      <w:r>
        <w:rPr>
          <w:rFonts w:ascii="仿宋" w:eastAsia="仿宋" w:hAnsi="仿宋"/>
          <w:color w:val="000000"/>
          <w:sz w:val="32"/>
          <w:szCs w:val="32"/>
        </w:rPr>
        <w:t>%</w:t>
      </w:r>
      <w:r>
        <w:rPr>
          <w:rFonts w:ascii="仿宋" w:eastAsia="仿宋" w:hAnsi="仿宋" w:hint="eastAsia"/>
          <w:color w:val="000000"/>
          <w:sz w:val="32"/>
          <w:szCs w:val="32"/>
        </w:rPr>
        <w:t>。主要变动原因是大型项目减少。</w:t>
      </w:r>
    </w:p>
    <w:p w:rsidR="00290D1C" w:rsidRDefault="00AA6F46">
      <w:pPr>
        <w:spacing w:line="600" w:lineRule="exact"/>
        <w:rPr>
          <w:rFonts w:ascii="仿宋" w:eastAsia="仿宋" w:hAnsi="仿宋"/>
          <w:color w:val="000000" w:themeColor="text1"/>
          <w:sz w:val="32"/>
          <w:szCs w:val="32"/>
        </w:rPr>
      </w:pPr>
      <w:r>
        <w:rPr>
          <w:rFonts w:ascii="仿宋" w:eastAsia="仿宋" w:hAnsi="仿宋" w:hint="eastAsia"/>
          <w:noProof/>
          <w:color w:val="000000" w:themeColor="text1"/>
          <w:sz w:val="32"/>
          <w:szCs w:val="32"/>
        </w:rPr>
        <w:lastRenderedPageBreak/>
        <w:drawing>
          <wp:anchor distT="0" distB="0" distL="114300" distR="114300" simplePos="0" relativeHeight="251662336" behindDoc="0" locked="0" layoutInCell="1" allowOverlap="1">
            <wp:simplePos x="0" y="0"/>
            <wp:positionH relativeFrom="column">
              <wp:posOffset>165100</wp:posOffset>
            </wp:positionH>
            <wp:positionV relativeFrom="paragraph">
              <wp:posOffset>-5429885</wp:posOffset>
            </wp:positionV>
            <wp:extent cx="5080000" cy="3810000"/>
            <wp:effectExtent l="4445" t="4445" r="5715" b="1079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290D1C" w:rsidRDefault="00AA6F46">
      <w:pPr>
        <w:pStyle w:val="a3"/>
        <w:adjustRightInd w:val="0"/>
        <w:snapToGrid w:val="0"/>
        <w:spacing w:before="93" w:line="600" w:lineRule="exact"/>
        <w:ind w:firstLineChars="210" w:firstLine="675"/>
        <w:outlineLvl w:val="2"/>
        <w:rPr>
          <w:rFonts w:ascii="楷体" w:eastAsia="楷体" w:hAnsi="楷体" w:cs="楷体"/>
          <w:b/>
          <w:color w:val="000000"/>
          <w:sz w:val="32"/>
          <w:szCs w:val="32"/>
        </w:rPr>
      </w:pPr>
      <w:bookmarkStart w:id="49" w:name="_Toc15377211"/>
      <w:r>
        <w:rPr>
          <w:rFonts w:ascii="楷体" w:eastAsia="楷体" w:hAnsi="楷体" w:cs="楷体" w:hint="eastAsia"/>
          <w:b/>
          <w:color w:val="000000"/>
          <w:sz w:val="32"/>
          <w:szCs w:val="32"/>
        </w:rPr>
        <w:t>（二）一般公共预算财政拨款支出决算结构情况</w:t>
      </w:r>
      <w:bookmarkEnd w:id="49"/>
    </w:p>
    <w:p w:rsidR="00290D1C" w:rsidRDefault="00AA6F46">
      <w:pPr>
        <w:spacing w:line="576" w:lineRule="exact"/>
        <w:ind w:firstLine="641"/>
        <w:rPr>
          <w:rFonts w:ascii="仿宋" w:eastAsia="仿宋" w:hAnsi="仿宋"/>
          <w:color w:val="000000"/>
          <w:sz w:val="32"/>
          <w:szCs w:val="32"/>
        </w:rPr>
      </w:pPr>
      <w:r>
        <w:rPr>
          <w:rFonts w:ascii="仿宋_GB2312" w:eastAsia="仿宋_GB2312" w:hAnsi="仿宋_GB2312" w:cs="仿宋_GB2312" w:hint="eastAsia"/>
          <w:noProof/>
          <w:color w:val="000000"/>
          <w:sz w:val="32"/>
          <w:szCs w:val="32"/>
        </w:rPr>
        <w:drawing>
          <wp:anchor distT="0" distB="0" distL="114300" distR="114300" simplePos="0" relativeHeight="251663360" behindDoc="0" locked="0" layoutInCell="1" allowOverlap="1">
            <wp:simplePos x="0" y="0"/>
            <wp:positionH relativeFrom="column">
              <wp:posOffset>173990</wp:posOffset>
            </wp:positionH>
            <wp:positionV relativeFrom="paragraph">
              <wp:posOffset>2697480</wp:posOffset>
            </wp:positionV>
            <wp:extent cx="5062855" cy="2437130"/>
            <wp:effectExtent l="5080" t="4445" r="6985" b="1206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9年一般公共预算财</w:t>
      </w:r>
      <w:r>
        <w:rPr>
          <w:rFonts w:ascii="仿宋" w:eastAsia="仿宋" w:hAnsi="仿宋" w:hint="eastAsia"/>
          <w:color w:val="000000" w:themeColor="text1"/>
          <w:sz w:val="32"/>
          <w:szCs w:val="32"/>
        </w:rPr>
        <w:t>政拨款支出6498.41万元，主要用于以下方面</w:t>
      </w:r>
      <w:r>
        <w:rPr>
          <w:rFonts w:ascii="仿宋" w:eastAsia="仿宋" w:hAnsi="仿宋"/>
          <w:color w:val="000000" w:themeColor="text1"/>
          <w:sz w:val="32"/>
          <w:szCs w:val="32"/>
        </w:rPr>
        <w:t>:</w:t>
      </w:r>
      <w:r>
        <w:rPr>
          <w:rFonts w:ascii="仿宋_GB2312" w:eastAsia="仿宋_GB2312" w:hAnsi="仿宋_GB2312" w:cs="仿宋_GB2312" w:hint="eastAsia"/>
          <w:b/>
          <w:color w:val="000000" w:themeColor="text1"/>
          <w:sz w:val="32"/>
          <w:szCs w:val="32"/>
        </w:rPr>
        <w:t>社会保障和就业（类）</w:t>
      </w:r>
      <w:r>
        <w:rPr>
          <w:rFonts w:ascii="仿宋_GB2312" w:eastAsia="仿宋_GB2312" w:hAnsi="仿宋_GB2312" w:cs="仿宋_GB2312" w:hint="eastAsia"/>
          <w:color w:val="000000" w:themeColor="text1"/>
          <w:sz w:val="32"/>
          <w:szCs w:val="32"/>
        </w:rPr>
        <w:t>支出91.01万元，占1.4%；</w:t>
      </w:r>
      <w:r>
        <w:rPr>
          <w:rFonts w:ascii="仿宋_GB2312" w:eastAsia="仿宋_GB2312" w:hAnsi="仿宋_GB2312" w:cs="仿宋_GB2312" w:hint="eastAsia"/>
          <w:b/>
          <w:bCs/>
          <w:color w:val="000000" w:themeColor="text1"/>
          <w:sz w:val="32"/>
          <w:szCs w:val="32"/>
        </w:rPr>
        <w:t>卫生健康（类）</w:t>
      </w:r>
      <w:r>
        <w:rPr>
          <w:rFonts w:ascii="仿宋_GB2312" w:eastAsia="仿宋_GB2312" w:hAnsi="仿宋_GB2312" w:cs="仿宋_GB2312" w:hint="eastAsia"/>
          <w:color w:val="000000" w:themeColor="text1"/>
          <w:sz w:val="32"/>
          <w:szCs w:val="32"/>
        </w:rPr>
        <w:t>支出43.18万元，占0.66%；</w:t>
      </w:r>
      <w:r>
        <w:rPr>
          <w:rFonts w:ascii="仿宋_GB2312" w:eastAsia="仿宋_GB2312" w:hAnsi="仿宋_GB2312" w:cs="仿宋_GB2312" w:hint="eastAsia"/>
          <w:b/>
          <w:bCs/>
          <w:color w:val="000000" w:themeColor="text1"/>
          <w:sz w:val="32"/>
          <w:szCs w:val="32"/>
        </w:rPr>
        <w:t>农林水（类）</w:t>
      </w:r>
      <w:r>
        <w:rPr>
          <w:rFonts w:ascii="仿宋_GB2312" w:eastAsia="仿宋_GB2312" w:hAnsi="仿宋_GB2312" w:cs="仿宋_GB2312" w:hint="eastAsia"/>
          <w:color w:val="000000" w:themeColor="text1"/>
          <w:sz w:val="32"/>
          <w:szCs w:val="32"/>
        </w:rPr>
        <w:t>支出2688.26万元，占41.37%；</w:t>
      </w:r>
      <w:r>
        <w:rPr>
          <w:rFonts w:ascii="仿宋_GB2312" w:eastAsia="仿宋_GB2312" w:hAnsi="仿宋_GB2312" w:cs="仿宋_GB2312" w:hint="eastAsia"/>
          <w:b/>
          <w:bCs/>
          <w:color w:val="000000" w:themeColor="text1"/>
          <w:sz w:val="32"/>
          <w:szCs w:val="32"/>
        </w:rPr>
        <w:t>自然资源海洋气象（类）</w:t>
      </w:r>
      <w:r>
        <w:rPr>
          <w:rFonts w:ascii="仿宋_GB2312" w:eastAsia="仿宋_GB2312" w:hAnsi="仿宋_GB2312" w:cs="仿宋_GB2312" w:hint="eastAsia"/>
          <w:color w:val="000000" w:themeColor="text1"/>
          <w:sz w:val="32"/>
          <w:szCs w:val="32"/>
        </w:rPr>
        <w:t>支出655.87万元，占10.09%；</w:t>
      </w:r>
      <w:r>
        <w:rPr>
          <w:rFonts w:ascii="仿宋_GB2312" w:eastAsia="仿宋_GB2312" w:hAnsi="仿宋_GB2312" w:cs="仿宋_GB2312" w:hint="eastAsia"/>
          <w:b/>
          <w:bCs/>
          <w:color w:val="000000" w:themeColor="text1"/>
          <w:sz w:val="32"/>
          <w:szCs w:val="32"/>
        </w:rPr>
        <w:t>住房保障（类）</w:t>
      </w:r>
      <w:r>
        <w:rPr>
          <w:rFonts w:ascii="仿宋_GB2312" w:eastAsia="仿宋_GB2312" w:hAnsi="仿宋_GB2312" w:cs="仿宋_GB2312" w:hint="eastAsia"/>
          <w:color w:val="000000" w:themeColor="text1"/>
          <w:sz w:val="32"/>
          <w:szCs w:val="32"/>
        </w:rPr>
        <w:t>支出58.38万元，占0.90%；</w:t>
      </w:r>
      <w:r>
        <w:rPr>
          <w:rFonts w:ascii="仿宋_GB2312" w:eastAsia="仿宋_GB2312" w:hAnsi="仿宋_GB2312" w:cs="仿宋_GB2312" w:hint="eastAsia"/>
          <w:b/>
          <w:bCs/>
          <w:color w:val="000000" w:themeColor="text1"/>
          <w:sz w:val="32"/>
          <w:szCs w:val="32"/>
        </w:rPr>
        <w:t>灾害防治及应急管理（类）</w:t>
      </w:r>
      <w:r>
        <w:rPr>
          <w:rFonts w:ascii="仿宋_GB2312" w:eastAsia="仿宋_GB2312" w:hAnsi="仿宋_GB2312" w:cs="仿宋_GB2312" w:hint="eastAsia"/>
          <w:color w:val="000000" w:themeColor="text1"/>
          <w:sz w:val="32"/>
          <w:szCs w:val="32"/>
        </w:rPr>
        <w:t>支出2961.71万元，占45.58%。</w:t>
      </w:r>
    </w:p>
    <w:p w:rsidR="00290D1C" w:rsidRDefault="00AA6F46">
      <w:pPr>
        <w:pStyle w:val="a3"/>
        <w:adjustRightInd w:val="0"/>
        <w:snapToGrid w:val="0"/>
        <w:spacing w:before="93" w:line="600" w:lineRule="exact"/>
        <w:ind w:firstLineChars="210" w:firstLine="675"/>
        <w:outlineLvl w:val="2"/>
        <w:rPr>
          <w:rFonts w:ascii="楷体" w:eastAsia="楷体" w:hAnsi="楷体" w:cs="楷体"/>
          <w:b/>
          <w:color w:val="000000"/>
          <w:sz w:val="32"/>
          <w:szCs w:val="32"/>
        </w:rPr>
      </w:pPr>
      <w:bookmarkStart w:id="50" w:name="_Toc15377212"/>
      <w:r>
        <w:rPr>
          <w:rFonts w:ascii="楷体" w:eastAsia="楷体" w:hAnsi="楷体" w:cs="楷体" w:hint="eastAsia"/>
          <w:b/>
          <w:color w:val="000000"/>
          <w:sz w:val="32"/>
          <w:szCs w:val="32"/>
        </w:rPr>
        <w:lastRenderedPageBreak/>
        <w:t>（三）一般公共预算财政拨款支出决算具体情况</w:t>
      </w:r>
      <w:bookmarkEnd w:id="50"/>
    </w:p>
    <w:p w:rsidR="00290D1C" w:rsidRDefault="00AA6F46">
      <w:pPr>
        <w:spacing w:line="600" w:lineRule="exact"/>
        <w:ind w:firstLineChars="200" w:firstLine="643"/>
        <w:outlineLvl w:val="2"/>
        <w:rPr>
          <w:rFonts w:ascii="仿宋" w:eastAsia="仿宋" w:hAnsi="仿宋"/>
          <w:color w:val="FF0000"/>
          <w:sz w:val="32"/>
          <w:szCs w:val="32"/>
        </w:rPr>
      </w:pPr>
      <w:bookmarkStart w:id="51" w:name="_Toc15378460"/>
      <w:bookmarkStart w:id="52" w:name="_Toc15377444"/>
      <w:bookmarkStart w:id="53" w:name="_Toc15377213"/>
      <w:r>
        <w:rPr>
          <w:rFonts w:ascii="仿宋" w:eastAsia="仿宋" w:hAnsi="仿宋" w:hint="eastAsia"/>
          <w:b/>
          <w:color w:val="000000" w:themeColor="text1"/>
          <w:sz w:val="32"/>
          <w:szCs w:val="32"/>
        </w:rPr>
        <w:t>2019年一般公共预算支出决算数为6498.4万元</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51"/>
      <w:bookmarkEnd w:id="52"/>
      <w:bookmarkEnd w:id="53"/>
    </w:p>
    <w:p w:rsidR="00290D1C" w:rsidRDefault="00AA6F46">
      <w:pPr>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1.社会保障和就业（208）行政事业单位离退休（05）机关事业单位职业年金缴费支出（05）:</w:t>
      </w:r>
      <w:r>
        <w:rPr>
          <w:rStyle w:val="a7"/>
          <w:rFonts w:ascii="仿宋_GB2312" w:eastAsia="仿宋_GB2312" w:hAnsi="仿宋_GB2312" w:cs="仿宋_GB2312" w:hint="eastAsia"/>
          <w:b w:val="0"/>
          <w:bCs/>
          <w:color w:val="000000"/>
          <w:sz w:val="32"/>
          <w:szCs w:val="32"/>
        </w:rPr>
        <w:t>支出决算为62.24万元，完成预算100%，决算数等于预算数。</w:t>
      </w:r>
    </w:p>
    <w:p w:rsidR="00290D1C" w:rsidRDefault="00AA6F46">
      <w:pPr>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2.社会保障和就业（208）行政事业单位离退休（05）机关事业单位基本养老保险缴费支出（06）:</w:t>
      </w:r>
      <w:r>
        <w:rPr>
          <w:rStyle w:val="a7"/>
          <w:rFonts w:ascii="仿宋_GB2312" w:eastAsia="仿宋_GB2312" w:hAnsi="仿宋_GB2312" w:cs="仿宋_GB2312" w:hint="eastAsia"/>
          <w:b w:val="0"/>
          <w:bCs/>
          <w:color w:val="000000"/>
          <w:sz w:val="32"/>
          <w:szCs w:val="32"/>
        </w:rPr>
        <w:t>支出决算为28.77万元，完成预算100%，决算数等于预算数。</w:t>
      </w:r>
    </w:p>
    <w:p w:rsidR="00290D1C" w:rsidRDefault="00AA6F46">
      <w:pPr>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3.卫生健康支出（210）行政事业单位医疗（11）行政单位医疗（01）:</w:t>
      </w:r>
      <w:r>
        <w:rPr>
          <w:rStyle w:val="a7"/>
          <w:rFonts w:ascii="仿宋_GB2312" w:eastAsia="仿宋_GB2312" w:hAnsi="仿宋_GB2312" w:cs="仿宋_GB2312" w:hint="eastAsia"/>
          <w:b w:val="0"/>
          <w:bCs/>
          <w:color w:val="000000"/>
          <w:sz w:val="32"/>
          <w:szCs w:val="32"/>
        </w:rPr>
        <w:t>支出决算为21.97万元，完成预算100%，决算数等于预算数。</w:t>
      </w:r>
    </w:p>
    <w:p w:rsidR="00290D1C" w:rsidRDefault="00AA6F46">
      <w:pPr>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4.卫生健康支出（210）行政事业单位医疗（11）行政单位医疗（02）:</w:t>
      </w:r>
      <w:r>
        <w:rPr>
          <w:rStyle w:val="a7"/>
          <w:rFonts w:ascii="仿宋_GB2312" w:eastAsia="仿宋_GB2312" w:hAnsi="仿宋_GB2312" w:cs="仿宋_GB2312" w:hint="eastAsia"/>
          <w:b w:val="0"/>
          <w:bCs/>
          <w:color w:val="000000"/>
          <w:sz w:val="32"/>
          <w:szCs w:val="32"/>
        </w:rPr>
        <w:t>支出决算为21.21万元，完成预算100%，决算数等于预算数。</w:t>
      </w:r>
    </w:p>
    <w:p w:rsidR="00290D1C" w:rsidRDefault="00AA6F46">
      <w:pPr>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5.农林水支出（213）扶贫（05）其他扶贫支出（99）:</w:t>
      </w:r>
      <w:r>
        <w:rPr>
          <w:rStyle w:val="a7"/>
          <w:rFonts w:ascii="仿宋_GB2312" w:eastAsia="仿宋_GB2312" w:hAnsi="仿宋_GB2312" w:cs="仿宋_GB2312" w:hint="eastAsia"/>
          <w:b w:val="0"/>
          <w:bCs/>
          <w:color w:val="000000"/>
          <w:sz w:val="32"/>
          <w:szCs w:val="32"/>
        </w:rPr>
        <w:t>支出决算为2688.26万元，完成预算100%，决算数等于预算数。</w:t>
      </w:r>
    </w:p>
    <w:p w:rsidR="00290D1C" w:rsidRDefault="00AA6F46">
      <w:pPr>
        <w:spacing w:line="576" w:lineRule="exact"/>
        <w:ind w:firstLineChars="200" w:firstLine="643"/>
        <w:rPr>
          <w:rStyle w:val="a7"/>
          <w:rFonts w:ascii="仿宋_GB2312" w:eastAsia="仿宋_GB2312" w:hAnsi="仿宋_GB2312" w:cs="仿宋_GB2312"/>
          <w:bCs/>
          <w:color w:val="000000"/>
          <w:sz w:val="32"/>
          <w:szCs w:val="32"/>
        </w:rPr>
      </w:pPr>
      <w:r>
        <w:rPr>
          <w:rStyle w:val="a7"/>
          <w:rFonts w:ascii="仿宋_GB2312" w:eastAsia="仿宋_GB2312" w:hAnsi="仿宋_GB2312" w:cs="仿宋_GB2312" w:hint="eastAsia"/>
          <w:bCs/>
          <w:color w:val="000000"/>
          <w:sz w:val="32"/>
          <w:szCs w:val="32"/>
        </w:rPr>
        <w:t>6.自然资源海洋气象等支出（220）自然资源事务（01）行政运行（01）:</w:t>
      </w:r>
      <w:r>
        <w:rPr>
          <w:rStyle w:val="a7"/>
          <w:rFonts w:ascii="仿宋_GB2312" w:eastAsia="仿宋_GB2312" w:hAnsi="仿宋_GB2312" w:cs="仿宋_GB2312" w:hint="eastAsia"/>
          <w:b w:val="0"/>
          <w:bCs/>
          <w:color w:val="000000"/>
          <w:sz w:val="32"/>
          <w:szCs w:val="32"/>
        </w:rPr>
        <w:t>支出决算为219.42万元，完成预算100%，决算数等于预算数。</w:t>
      </w:r>
    </w:p>
    <w:p w:rsidR="00290D1C" w:rsidRDefault="00AA6F46">
      <w:pPr>
        <w:spacing w:line="576" w:lineRule="exact"/>
        <w:ind w:firstLineChars="200" w:firstLine="643"/>
        <w:rPr>
          <w:rStyle w:val="a7"/>
          <w:rFonts w:ascii="仿宋_GB2312" w:eastAsia="仿宋_GB2312" w:hAnsi="仿宋_GB2312" w:cs="仿宋_GB2312"/>
          <w:bCs/>
          <w:color w:val="000000"/>
          <w:sz w:val="32"/>
          <w:szCs w:val="32"/>
        </w:rPr>
      </w:pPr>
      <w:r>
        <w:rPr>
          <w:rStyle w:val="a7"/>
          <w:rFonts w:ascii="仿宋_GB2312" w:eastAsia="仿宋_GB2312" w:hAnsi="仿宋_GB2312" w:cs="仿宋_GB2312" w:hint="eastAsia"/>
          <w:bCs/>
          <w:color w:val="000000"/>
          <w:sz w:val="32"/>
          <w:szCs w:val="32"/>
        </w:rPr>
        <w:t>7.自然资源海洋气象等支出（220）自然资源事务（01）土地资源调查（05）:</w:t>
      </w:r>
      <w:r>
        <w:rPr>
          <w:rStyle w:val="a7"/>
          <w:rFonts w:ascii="仿宋_GB2312" w:eastAsia="仿宋_GB2312" w:hAnsi="仿宋_GB2312" w:cs="仿宋_GB2312" w:hint="eastAsia"/>
          <w:b w:val="0"/>
          <w:bCs/>
          <w:color w:val="000000"/>
          <w:sz w:val="32"/>
          <w:szCs w:val="32"/>
        </w:rPr>
        <w:t>支出决算为150万元，完成预算100%，决算数等于预算数。</w:t>
      </w:r>
    </w:p>
    <w:p w:rsidR="00290D1C" w:rsidRDefault="00AA6F46">
      <w:pPr>
        <w:spacing w:line="576" w:lineRule="exact"/>
        <w:ind w:firstLineChars="200" w:firstLine="643"/>
        <w:rPr>
          <w:rStyle w:val="a7"/>
          <w:rFonts w:ascii="仿宋_GB2312" w:eastAsia="仿宋_GB2312" w:hAnsi="仿宋_GB2312" w:cs="仿宋_GB2312"/>
          <w:bCs/>
          <w:color w:val="000000"/>
          <w:sz w:val="32"/>
          <w:szCs w:val="32"/>
        </w:rPr>
      </w:pPr>
      <w:r>
        <w:rPr>
          <w:rStyle w:val="a7"/>
          <w:rFonts w:ascii="仿宋_GB2312" w:eastAsia="仿宋_GB2312" w:hAnsi="仿宋_GB2312" w:cs="仿宋_GB2312" w:hint="eastAsia"/>
          <w:bCs/>
          <w:color w:val="000000"/>
          <w:sz w:val="32"/>
          <w:szCs w:val="32"/>
        </w:rPr>
        <w:lastRenderedPageBreak/>
        <w:t>8.自然资源海洋气象等支出（220）自然资源事务（01）事业运行（50）:</w:t>
      </w:r>
      <w:r>
        <w:rPr>
          <w:rStyle w:val="a7"/>
          <w:rFonts w:ascii="仿宋_GB2312" w:eastAsia="仿宋_GB2312" w:hAnsi="仿宋_GB2312" w:cs="仿宋_GB2312" w:hint="eastAsia"/>
          <w:b w:val="0"/>
          <w:bCs/>
          <w:color w:val="000000"/>
          <w:sz w:val="32"/>
          <w:szCs w:val="32"/>
        </w:rPr>
        <w:t>支出决算为286.45万元，完成预算100%，决算数等于预算数。</w:t>
      </w:r>
    </w:p>
    <w:p w:rsidR="00290D1C" w:rsidRDefault="00AA6F46">
      <w:pPr>
        <w:spacing w:line="576" w:lineRule="exact"/>
        <w:ind w:firstLineChars="200" w:firstLine="643"/>
        <w:rPr>
          <w:rStyle w:val="a7"/>
          <w:rFonts w:ascii="仿宋_GB2312" w:eastAsia="仿宋_GB2312" w:hAnsi="仿宋_GB2312" w:cs="仿宋_GB2312"/>
          <w:bCs/>
          <w:color w:val="000000"/>
          <w:sz w:val="32"/>
          <w:szCs w:val="32"/>
        </w:rPr>
      </w:pPr>
      <w:r>
        <w:rPr>
          <w:rStyle w:val="a7"/>
          <w:rFonts w:ascii="仿宋_GB2312" w:eastAsia="仿宋_GB2312" w:hAnsi="仿宋_GB2312" w:cs="仿宋_GB2312" w:hint="eastAsia"/>
          <w:bCs/>
          <w:color w:val="000000"/>
          <w:sz w:val="32"/>
          <w:szCs w:val="32"/>
        </w:rPr>
        <w:t>9.住房保障支出（221）住房改革支出（02）住房公积金（01）:</w:t>
      </w:r>
      <w:r>
        <w:rPr>
          <w:rStyle w:val="a7"/>
          <w:rFonts w:ascii="仿宋_GB2312" w:eastAsia="仿宋_GB2312" w:hAnsi="仿宋_GB2312" w:cs="仿宋_GB2312" w:hint="eastAsia"/>
          <w:b w:val="0"/>
          <w:bCs/>
          <w:color w:val="000000"/>
          <w:sz w:val="32"/>
          <w:szCs w:val="32"/>
        </w:rPr>
        <w:t>支出决算为57.16万元，完成预算100%，决算数等于预算数。</w:t>
      </w:r>
    </w:p>
    <w:p w:rsidR="00290D1C" w:rsidRDefault="00AA6F46">
      <w:pPr>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10.住房保障支出（221）住房改革支出（02）购房补贴（03）:</w:t>
      </w:r>
      <w:r>
        <w:rPr>
          <w:rStyle w:val="a7"/>
          <w:rFonts w:ascii="仿宋_GB2312" w:eastAsia="仿宋_GB2312" w:hAnsi="仿宋_GB2312" w:cs="仿宋_GB2312" w:hint="eastAsia"/>
          <w:b w:val="0"/>
          <w:bCs/>
          <w:color w:val="000000"/>
          <w:sz w:val="32"/>
          <w:szCs w:val="32"/>
        </w:rPr>
        <w:t>支出决算为1.22万元，完成预算100%，决算数等于预算数。</w:t>
      </w:r>
    </w:p>
    <w:p w:rsidR="00290D1C" w:rsidRDefault="00AA6F46">
      <w:pPr>
        <w:spacing w:line="576" w:lineRule="exact"/>
        <w:ind w:firstLineChars="200" w:firstLine="643"/>
        <w:rPr>
          <w:rFonts w:ascii="仿宋" w:eastAsia="仿宋" w:hAnsi="仿宋"/>
          <w:b/>
          <w:color w:val="000000"/>
          <w:sz w:val="32"/>
          <w:szCs w:val="32"/>
        </w:rPr>
      </w:pPr>
      <w:r>
        <w:rPr>
          <w:rStyle w:val="a7"/>
          <w:rFonts w:ascii="仿宋_GB2312" w:eastAsia="仿宋_GB2312" w:hAnsi="仿宋_GB2312" w:cs="仿宋_GB2312" w:hint="eastAsia"/>
          <w:bCs/>
          <w:color w:val="000000"/>
          <w:sz w:val="32"/>
          <w:szCs w:val="32"/>
        </w:rPr>
        <w:t>11.灾害防治及应急管理支出（224）自然灾害防治（06）地质灾害防治（01）:</w:t>
      </w:r>
      <w:r>
        <w:rPr>
          <w:rStyle w:val="a7"/>
          <w:rFonts w:ascii="仿宋_GB2312" w:eastAsia="仿宋_GB2312" w:hAnsi="仿宋_GB2312" w:cs="仿宋_GB2312" w:hint="eastAsia"/>
          <w:b w:val="0"/>
          <w:bCs/>
          <w:color w:val="000000"/>
          <w:sz w:val="32"/>
          <w:szCs w:val="32"/>
        </w:rPr>
        <w:t>支出决算为2961.7万元，完成预算100%，决算数等于预算数。</w:t>
      </w:r>
    </w:p>
    <w:p w:rsidR="00290D1C" w:rsidRDefault="00AA6F46">
      <w:pPr>
        <w:tabs>
          <w:tab w:val="right" w:pos="8306"/>
        </w:tabs>
        <w:spacing w:line="600" w:lineRule="exact"/>
        <w:ind w:firstLine="640"/>
        <w:outlineLvl w:val="1"/>
        <w:rPr>
          <w:rStyle w:val="2Char"/>
        </w:rPr>
      </w:pPr>
      <w:bookmarkStart w:id="54" w:name="_Toc30951"/>
      <w:bookmarkStart w:id="55" w:name="_Toc15377214"/>
      <w:bookmarkStart w:id="56"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54"/>
      <w:bookmarkEnd w:id="55"/>
      <w:bookmarkEnd w:id="56"/>
      <w:r>
        <w:rPr>
          <w:rStyle w:val="2Char"/>
          <w:rFonts w:ascii="黑体" w:eastAsia="黑体" w:hAnsi="黑体"/>
          <w:b w:val="0"/>
        </w:rPr>
        <w:tab/>
      </w:r>
    </w:p>
    <w:p w:rsidR="00290D1C" w:rsidRDefault="00AA6F46">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9年一般公共预算财政拨款基本支出698.43万元，其中：</w:t>
      </w:r>
    </w:p>
    <w:p w:rsidR="00290D1C" w:rsidRDefault="00AA6F46">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655.85万元，主要包括：基本工资、津贴补贴、奖金、伙食补助费、绩效工资、机关事业单位基本养老保险缴费、职业年金缴费、其他社会保障缴费、其他工资福利支出、退休费、生活补助、奖励金、住房公积金等。</w:t>
      </w:r>
      <w:r>
        <w:rPr>
          <w:rFonts w:ascii="仿宋" w:eastAsia="仿宋" w:hAnsi="仿宋"/>
          <w:color w:val="000000"/>
          <w:sz w:val="32"/>
          <w:szCs w:val="32"/>
        </w:rPr>
        <w:br/>
      </w:r>
      <w:r>
        <w:rPr>
          <w:rFonts w:ascii="仿宋" w:eastAsia="仿宋" w:hAnsi="仿宋" w:hint="eastAsia"/>
          <w:color w:val="000000"/>
          <w:sz w:val="32"/>
          <w:szCs w:val="32"/>
        </w:rPr>
        <w:t xml:space="preserve">　　日常公用经费42.58万元，主要包括：办公费、水费、电费、邮电费、差旅费、培训费、委托业务费、公务用车运行维护费、办公设备购置、专用设备购置、其他资本性支出等。</w:t>
      </w:r>
    </w:p>
    <w:p w:rsidR="00290D1C" w:rsidRDefault="00AA6F46">
      <w:pPr>
        <w:spacing w:line="600" w:lineRule="exact"/>
        <w:ind w:firstLine="640"/>
        <w:outlineLvl w:val="1"/>
        <w:rPr>
          <w:rStyle w:val="2Char"/>
          <w:rFonts w:ascii="黑体" w:eastAsia="黑体" w:hAnsi="黑体"/>
          <w:b w:val="0"/>
        </w:rPr>
      </w:pPr>
      <w:bookmarkStart w:id="57" w:name="_Toc15396609"/>
      <w:bookmarkStart w:id="58" w:name="_Toc15377215"/>
      <w:bookmarkStart w:id="59" w:name="_Toc19524"/>
      <w:r>
        <w:rPr>
          <w:rFonts w:ascii="黑体" w:eastAsia="黑体" w:hint="eastAsia"/>
          <w:color w:val="000000"/>
          <w:sz w:val="32"/>
          <w:szCs w:val="32"/>
        </w:rPr>
        <w:lastRenderedPageBreak/>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57"/>
      <w:bookmarkEnd w:id="58"/>
      <w:bookmarkEnd w:id="59"/>
    </w:p>
    <w:p w:rsidR="00290D1C" w:rsidRDefault="00AA6F46">
      <w:pPr>
        <w:pStyle w:val="a3"/>
        <w:adjustRightInd w:val="0"/>
        <w:snapToGrid w:val="0"/>
        <w:spacing w:before="93" w:line="600" w:lineRule="exact"/>
        <w:ind w:firstLineChars="210" w:firstLine="675"/>
        <w:outlineLvl w:val="2"/>
        <w:rPr>
          <w:rFonts w:ascii="楷体" w:eastAsia="楷体" w:hAnsi="楷体" w:cs="楷体"/>
          <w:b/>
          <w:color w:val="000000"/>
          <w:sz w:val="32"/>
          <w:szCs w:val="32"/>
        </w:rPr>
      </w:pPr>
      <w:bookmarkStart w:id="60" w:name="_Toc15377216"/>
      <w:r>
        <w:rPr>
          <w:rFonts w:ascii="楷体" w:eastAsia="楷体" w:hAnsi="楷体" w:cs="楷体" w:hint="eastAsia"/>
          <w:b/>
          <w:color w:val="000000"/>
          <w:sz w:val="32"/>
          <w:szCs w:val="32"/>
        </w:rPr>
        <w:t>（一）“三公”经费财政拨款支出决算总体情况说明</w:t>
      </w:r>
      <w:bookmarkEnd w:id="60"/>
    </w:p>
    <w:p w:rsidR="00290D1C" w:rsidRDefault="00AA6F46">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9年“三公”经费财政拨款支出决算为4万元，完成预算100</w:t>
      </w:r>
      <w:r>
        <w:rPr>
          <w:rFonts w:ascii="仿宋" w:eastAsia="仿宋" w:hAnsi="仿宋"/>
          <w:color w:val="000000"/>
          <w:sz w:val="32"/>
          <w:szCs w:val="32"/>
        </w:rPr>
        <w:t>%</w:t>
      </w:r>
      <w:r>
        <w:rPr>
          <w:rFonts w:ascii="仿宋" w:eastAsia="仿宋" w:hAnsi="仿宋" w:hint="eastAsia"/>
          <w:color w:val="000000"/>
          <w:sz w:val="32"/>
          <w:szCs w:val="32"/>
        </w:rPr>
        <w:t>，与预算数持平。</w:t>
      </w:r>
    </w:p>
    <w:p w:rsidR="00290D1C" w:rsidRDefault="00AA6F46">
      <w:pPr>
        <w:pStyle w:val="a3"/>
        <w:adjustRightInd w:val="0"/>
        <w:snapToGrid w:val="0"/>
        <w:spacing w:before="93" w:line="600" w:lineRule="exact"/>
        <w:ind w:firstLineChars="210" w:firstLine="675"/>
        <w:outlineLvl w:val="2"/>
        <w:rPr>
          <w:rFonts w:ascii="楷体" w:eastAsia="楷体" w:hAnsi="楷体" w:cs="楷体"/>
          <w:b/>
          <w:color w:val="000000"/>
          <w:sz w:val="32"/>
          <w:szCs w:val="32"/>
        </w:rPr>
      </w:pPr>
      <w:bookmarkStart w:id="61" w:name="_Toc15377217"/>
      <w:r>
        <w:rPr>
          <w:rFonts w:ascii="楷体" w:eastAsia="楷体" w:hAnsi="楷体" w:cs="楷体" w:hint="eastAsia"/>
          <w:b/>
          <w:color w:val="000000"/>
          <w:sz w:val="32"/>
          <w:szCs w:val="32"/>
        </w:rPr>
        <w:t>（二）“三公”经费财政拨款支出决算具体情况说明</w:t>
      </w:r>
      <w:bookmarkEnd w:id="61"/>
    </w:p>
    <w:p w:rsidR="00290D1C" w:rsidRDefault="00AA6F46">
      <w:pPr>
        <w:spacing w:line="600" w:lineRule="exact"/>
        <w:ind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4384" behindDoc="0" locked="0" layoutInCell="1" allowOverlap="1">
            <wp:simplePos x="0" y="0"/>
            <wp:positionH relativeFrom="column">
              <wp:posOffset>5715</wp:posOffset>
            </wp:positionH>
            <wp:positionV relativeFrom="paragraph">
              <wp:posOffset>1293495</wp:posOffset>
            </wp:positionV>
            <wp:extent cx="5029835" cy="3105785"/>
            <wp:effectExtent l="4445" t="4445" r="10160"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9年“三公”经费财政拨款支出决算中，因公出国（境）费支出决算0万元；公务用车购置及运行维护费支出决算4万元，占100</w:t>
      </w:r>
      <w:r>
        <w:rPr>
          <w:rFonts w:ascii="仿宋" w:eastAsia="仿宋" w:hAnsi="仿宋"/>
          <w:color w:val="000000"/>
          <w:sz w:val="32"/>
          <w:szCs w:val="32"/>
        </w:rPr>
        <w:t>%</w:t>
      </w:r>
      <w:r>
        <w:rPr>
          <w:rFonts w:ascii="仿宋" w:eastAsia="仿宋" w:hAnsi="仿宋" w:hint="eastAsia"/>
          <w:color w:val="000000"/>
          <w:sz w:val="32"/>
          <w:szCs w:val="32"/>
        </w:rPr>
        <w:t>；公务接待费支出决算0万元。具体情况如下：</w:t>
      </w:r>
    </w:p>
    <w:p w:rsidR="00290D1C" w:rsidRDefault="00AA6F46">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p>
    <w:p w:rsidR="00290D1C" w:rsidRDefault="00AA6F46">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4万元,</w:t>
      </w:r>
      <w:r>
        <w:rPr>
          <w:rStyle w:val="a7"/>
          <w:rFonts w:ascii="仿宋" w:eastAsia="仿宋" w:hAnsi="仿宋" w:hint="eastAsia"/>
          <w:b w:val="0"/>
          <w:bCs/>
          <w:color w:val="000000"/>
          <w:sz w:val="32"/>
          <w:szCs w:val="32"/>
        </w:rPr>
        <w:t>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公务用车购置及运行维护费支出决算与</w:t>
      </w:r>
      <w:r>
        <w:rPr>
          <w:rFonts w:ascii="仿宋_GB2312" w:eastAsia="仿宋_GB2312"/>
          <w:color w:val="000000"/>
          <w:sz w:val="32"/>
          <w:szCs w:val="32"/>
        </w:rPr>
        <w:t>201</w:t>
      </w:r>
      <w:r>
        <w:rPr>
          <w:rFonts w:ascii="仿宋_GB2312" w:eastAsia="仿宋_GB2312" w:hint="eastAsia"/>
          <w:color w:val="000000"/>
          <w:sz w:val="32"/>
          <w:szCs w:val="32"/>
        </w:rPr>
        <w:t>8年决算数持平。</w:t>
      </w:r>
    </w:p>
    <w:p w:rsidR="00290D1C" w:rsidRDefault="00AA6F46">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0万元。截止</w:t>
      </w:r>
      <w:r>
        <w:rPr>
          <w:rFonts w:ascii="仿宋_GB2312" w:eastAsia="仿宋_GB2312" w:hAnsi="仿宋_GB2312" w:cs="仿宋_GB2312" w:hint="eastAsia"/>
          <w:bCs/>
          <w:color w:val="000000"/>
          <w:sz w:val="32"/>
          <w:szCs w:val="32"/>
        </w:rPr>
        <w:t>2019年12月底，单位共有公务用车4辆，其中：主要领导干部用车0辆、机</w:t>
      </w:r>
      <w:r>
        <w:rPr>
          <w:rFonts w:ascii="仿宋_GB2312" w:eastAsia="仿宋_GB2312" w:hAnsi="仿宋_GB2312" w:cs="仿宋_GB2312" w:hint="eastAsia"/>
          <w:bCs/>
          <w:color w:val="000000"/>
          <w:sz w:val="32"/>
          <w:szCs w:val="32"/>
        </w:rPr>
        <w:lastRenderedPageBreak/>
        <w:t>要通信用车0辆、应急保障用车4辆、 执法执勤用车0辆。</w:t>
      </w:r>
    </w:p>
    <w:p w:rsidR="00290D1C" w:rsidRDefault="00AA6F46">
      <w:pPr>
        <w:spacing w:line="576" w:lineRule="exact"/>
        <w:ind w:firstLine="640"/>
        <w:rPr>
          <w:rFonts w:ascii="仿宋_GB2312" w:eastAsia="仿宋_GB2312" w:hAnsi="仿宋_GB2312" w:cs="仿宋_GB2312"/>
          <w:color w:val="000000"/>
          <w:sz w:val="32"/>
          <w:szCs w:val="32"/>
        </w:rPr>
      </w:pPr>
      <w:r>
        <w:rPr>
          <w:rFonts w:ascii="仿宋_GB2312" w:eastAsia="仿宋_GB2312" w:hint="eastAsia"/>
          <w:b/>
          <w:color w:val="000000"/>
          <w:sz w:val="32"/>
          <w:szCs w:val="32"/>
        </w:rPr>
        <w:t>公务用车运行维护费支出</w:t>
      </w:r>
      <w:bookmarkStart w:id="62" w:name="_GoBack"/>
      <w:bookmarkEnd w:id="62"/>
      <w:r>
        <w:rPr>
          <w:rFonts w:ascii="仿宋_GB2312" w:eastAsia="仿宋_GB2312" w:hint="eastAsia"/>
          <w:color w:val="000000"/>
          <w:sz w:val="32"/>
          <w:szCs w:val="32"/>
        </w:rPr>
        <w:t>4万元。</w:t>
      </w:r>
      <w:r>
        <w:rPr>
          <w:rFonts w:ascii="仿宋_GB2312" w:eastAsia="仿宋_GB2312" w:hAnsi="仿宋_GB2312" w:cs="仿宋_GB2312" w:hint="eastAsia"/>
          <w:color w:val="000000"/>
          <w:sz w:val="32"/>
          <w:szCs w:val="32"/>
        </w:rPr>
        <w:t>主要用于职工出差、下乡等所需的公务用车燃料费、维修费、过路过桥费、保险费等支出。</w:t>
      </w:r>
    </w:p>
    <w:p w:rsidR="00290D1C" w:rsidRDefault="00AA6F46">
      <w:pPr>
        <w:spacing w:line="600" w:lineRule="exact"/>
        <w:ind w:firstLineChars="200" w:firstLine="643"/>
        <w:rPr>
          <w:rFonts w:ascii="黑体" w:eastAsia="黑体"/>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bookmarkStart w:id="63" w:name="_Toc15377218"/>
      <w:bookmarkStart w:id="64" w:name="_Toc15396610"/>
    </w:p>
    <w:p w:rsidR="00290D1C" w:rsidRDefault="00AA6F46">
      <w:pPr>
        <w:spacing w:line="600" w:lineRule="exact"/>
        <w:ind w:firstLine="640"/>
        <w:outlineLvl w:val="1"/>
        <w:rPr>
          <w:rStyle w:val="2Char"/>
          <w:rFonts w:ascii="黑体" w:eastAsia="黑体" w:hAnsi="黑体"/>
        </w:rPr>
      </w:pPr>
      <w:bookmarkStart w:id="65" w:name="_Toc2926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63"/>
      <w:bookmarkEnd w:id="64"/>
      <w:bookmarkEnd w:id="65"/>
    </w:p>
    <w:p w:rsidR="00290D1C" w:rsidRDefault="00AA6F4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9年政府性基金预算拨款支出2262.42万元。</w:t>
      </w:r>
    </w:p>
    <w:p w:rsidR="00290D1C" w:rsidRDefault="00AA6F46">
      <w:pPr>
        <w:numPr>
          <w:ilvl w:val="0"/>
          <w:numId w:val="2"/>
        </w:numPr>
        <w:spacing w:line="600" w:lineRule="exact"/>
        <w:ind w:firstLine="640"/>
        <w:outlineLvl w:val="1"/>
        <w:rPr>
          <w:rStyle w:val="2Char"/>
          <w:rFonts w:ascii="黑体" w:eastAsia="黑体" w:hAnsi="黑体"/>
          <w:b w:val="0"/>
        </w:rPr>
      </w:pPr>
      <w:bookmarkStart w:id="66" w:name="_Toc15377219"/>
      <w:bookmarkStart w:id="67" w:name="_Toc15396611"/>
      <w:bookmarkStart w:id="68" w:name="_Toc5598"/>
      <w:r>
        <w:rPr>
          <w:rStyle w:val="2Char"/>
          <w:rFonts w:ascii="黑体" w:eastAsia="黑体" w:hAnsi="黑体" w:hint="eastAsia"/>
          <w:b w:val="0"/>
        </w:rPr>
        <w:t>国有资本经营预算支出决算情况说明</w:t>
      </w:r>
      <w:bookmarkEnd w:id="66"/>
      <w:bookmarkEnd w:id="67"/>
      <w:bookmarkEnd w:id="68"/>
    </w:p>
    <w:p w:rsidR="00290D1C" w:rsidRDefault="00AA6F46">
      <w:pPr>
        <w:spacing w:line="600" w:lineRule="exact"/>
        <w:ind w:firstLine="640"/>
        <w:rPr>
          <w:rFonts w:ascii="方正小标宋简体" w:eastAsia="方正小标宋简体" w:hAnsi="方正小标宋简体" w:cs="方正小标宋简体"/>
          <w:sz w:val="44"/>
          <w:szCs w:val="44"/>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9年国有资本经营预算拨款支出0万元。</w:t>
      </w:r>
    </w:p>
    <w:p w:rsidR="00290D1C" w:rsidRDefault="00AA6F46">
      <w:pPr>
        <w:spacing w:line="600" w:lineRule="exact"/>
        <w:ind w:firstLineChars="250" w:firstLine="800"/>
        <w:outlineLvl w:val="1"/>
        <w:rPr>
          <w:rStyle w:val="2Char"/>
          <w:rFonts w:ascii="黑体" w:eastAsia="黑体" w:hAnsi="黑体"/>
        </w:rPr>
      </w:pPr>
      <w:bookmarkStart w:id="69" w:name="_Toc15396612"/>
      <w:bookmarkStart w:id="70" w:name="_Toc18309"/>
      <w:bookmarkStart w:id="71"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69"/>
      <w:bookmarkEnd w:id="70"/>
      <w:bookmarkEnd w:id="71"/>
    </w:p>
    <w:p w:rsidR="00290D1C" w:rsidRDefault="00AA6F46">
      <w:pPr>
        <w:spacing w:line="600" w:lineRule="exact"/>
        <w:ind w:firstLineChars="200" w:firstLine="643"/>
        <w:outlineLvl w:val="2"/>
        <w:rPr>
          <w:rFonts w:ascii="楷体" w:eastAsia="楷体" w:hAnsi="楷体" w:cs="楷体"/>
          <w:color w:val="000000"/>
          <w:sz w:val="32"/>
          <w:szCs w:val="32"/>
        </w:rPr>
      </w:pPr>
      <w:bookmarkStart w:id="72" w:name="_Toc15377222"/>
      <w:r>
        <w:rPr>
          <w:rFonts w:ascii="楷体" w:eastAsia="楷体" w:hAnsi="楷体" w:cs="楷体" w:hint="eastAsia"/>
          <w:b/>
          <w:color w:val="000000"/>
          <w:sz w:val="32"/>
          <w:szCs w:val="32"/>
        </w:rPr>
        <w:t>（一）机关运行经费支出情况</w:t>
      </w:r>
      <w:bookmarkEnd w:id="72"/>
    </w:p>
    <w:p w:rsidR="00290D1C" w:rsidRDefault="00AA6F46">
      <w:pPr>
        <w:spacing w:line="576"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9年，茂县自然资源局机关运行经费支出17.98万元，比</w:t>
      </w:r>
      <w:r>
        <w:rPr>
          <w:rFonts w:ascii="仿宋_GB2312" w:eastAsia="仿宋_GB2312"/>
          <w:color w:val="000000"/>
          <w:sz w:val="32"/>
          <w:szCs w:val="32"/>
        </w:rPr>
        <w:t>201</w:t>
      </w:r>
      <w:r>
        <w:rPr>
          <w:rFonts w:ascii="仿宋_GB2312" w:eastAsia="仿宋_GB2312" w:hint="eastAsia"/>
          <w:color w:val="000000"/>
          <w:sz w:val="32"/>
          <w:szCs w:val="32"/>
        </w:rPr>
        <w:t>8年减少3.18万元，下降17.69</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主要原因是继续积极贯彻落实中央八项规定及省委省政府十项规定要求，加强单位日常经费管理。</w:t>
      </w:r>
    </w:p>
    <w:p w:rsidR="00290D1C" w:rsidRDefault="00AA6F46">
      <w:pPr>
        <w:spacing w:line="600" w:lineRule="exact"/>
        <w:ind w:firstLineChars="200" w:firstLine="643"/>
        <w:outlineLvl w:val="2"/>
        <w:rPr>
          <w:rFonts w:ascii="楷体" w:eastAsia="楷体" w:hAnsi="楷体" w:cs="楷体"/>
          <w:b/>
          <w:color w:val="000000"/>
          <w:sz w:val="32"/>
          <w:szCs w:val="32"/>
        </w:rPr>
      </w:pPr>
      <w:bookmarkStart w:id="73" w:name="_Toc15377223"/>
      <w:r>
        <w:rPr>
          <w:rFonts w:ascii="楷体" w:eastAsia="楷体" w:hAnsi="楷体" w:cs="楷体" w:hint="eastAsia"/>
          <w:b/>
          <w:color w:val="000000"/>
          <w:sz w:val="32"/>
          <w:szCs w:val="32"/>
        </w:rPr>
        <w:t>（二）政府采购支出情况</w:t>
      </w:r>
      <w:bookmarkEnd w:id="73"/>
    </w:p>
    <w:p w:rsidR="00290D1C" w:rsidRDefault="00AA6F46">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9年，茂县自然资源局政府采购支出总额0万元。</w:t>
      </w:r>
    </w:p>
    <w:p w:rsidR="00290D1C" w:rsidRDefault="00AA6F46">
      <w:pPr>
        <w:spacing w:line="600" w:lineRule="exact"/>
        <w:ind w:firstLineChars="200" w:firstLine="643"/>
        <w:outlineLvl w:val="2"/>
        <w:rPr>
          <w:rFonts w:ascii="楷体" w:eastAsia="楷体" w:hAnsi="楷体" w:cs="楷体"/>
          <w:b/>
          <w:color w:val="000000"/>
          <w:sz w:val="32"/>
          <w:szCs w:val="32"/>
        </w:rPr>
      </w:pPr>
      <w:bookmarkStart w:id="74" w:name="_Toc15377224"/>
      <w:r>
        <w:rPr>
          <w:rFonts w:ascii="楷体" w:eastAsia="楷体" w:hAnsi="楷体" w:cs="楷体" w:hint="eastAsia"/>
          <w:b/>
          <w:color w:val="000000"/>
          <w:sz w:val="32"/>
          <w:szCs w:val="32"/>
        </w:rPr>
        <w:t>（三）国有资产占有使用情况</w:t>
      </w:r>
      <w:bookmarkEnd w:id="74"/>
    </w:p>
    <w:p w:rsidR="00290D1C" w:rsidRDefault="00AA6F46">
      <w:pPr>
        <w:autoSpaceDE w:val="0"/>
        <w:autoSpaceDN w:val="0"/>
        <w:adjustRightInd w:val="0"/>
        <w:spacing w:line="600" w:lineRule="exact"/>
        <w:ind w:firstLineChars="200" w:firstLine="640"/>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日，茂县自然资源局共有车辆4辆，其中：主要领导干部用车0辆、机要通信用车0辆、应急保障用车4辆、其他用车0辆。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rsidR="00290D1C" w:rsidRDefault="00AA6F46">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楷体" w:eastAsia="楷体" w:hAnsi="楷体" w:cs="楷体" w:hint="eastAsia"/>
          <w:b/>
          <w:color w:val="000000"/>
          <w:sz w:val="32"/>
          <w:szCs w:val="32"/>
        </w:rPr>
        <w:t>（四）预算绩效管理情况</w:t>
      </w:r>
    </w:p>
    <w:p w:rsidR="00290D1C" w:rsidRDefault="00AA6F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本单位在2019年初预算编制无项目预算事前绩效评估。对10个项目编制了绩效目标，预算执行过程中，选取10个项目开展绩效监控，年终执行完毕后，对10个项目开展了绩效目标完成情况自评。</w:t>
      </w:r>
    </w:p>
    <w:p w:rsidR="00290D1C" w:rsidRDefault="00AA6F46">
      <w:pPr>
        <w:snapToGrid w:val="0"/>
        <w:spacing w:line="520" w:lineRule="exact"/>
        <w:ind w:firstLineChars="200" w:firstLine="640"/>
        <w:rPr>
          <w:rFonts w:ascii="仿宋_GB2312" w:eastAsia="仿宋_GB2312" w:hAnsi="仿宋"/>
          <w:sz w:val="32"/>
          <w:szCs w:val="32"/>
        </w:rPr>
      </w:pPr>
      <w:r>
        <w:rPr>
          <w:rFonts w:ascii="仿宋_GB2312" w:eastAsia="仿宋_GB2312" w:hAnsi="仿宋_GB2312" w:cs="仿宋_GB2312" w:hint="eastAsia"/>
          <w:sz w:val="32"/>
          <w:szCs w:val="32"/>
        </w:rPr>
        <w:t>本单位按要求对2019年部门整体支出开展绩效自评，从评价情况来看</w:t>
      </w:r>
      <w:r>
        <w:rPr>
          <w:rFonts w:ascii="仿宋_GB2312" w:eastAsia="仿宋_GB2312" w:hAnsi="仿宋" w:hint="eastAsia"/>
          <w:sz w:val="32"/>
          <w:szCs w:val="32"/>
        </w:rPr>
        <w:t>我局</w:t>
      </w:r>
      <w:r>
        <w:rPr>
          <w:rFonts w:ascii="仿宋_GB2312" w:eastAsia="仿宋_GB2312" w:hAnsi="仿宋" w:hint="eastAsia"/>
          <w:sz w:val="32"/>
          <w:szCs w:val="32"/>
          <w:lang w:val="zh-CN"/>
        </w:rPr>
        <w:t>认真履行部门职能职责，全面保障了机关日常正常运转，圆满完成</w:t>
      </w:r>
      <w:r>
        <w:rPr>
          <w:rFonts w:ascii="仿宋_GB2312" w:eastAsia="仿宋_GB2312" w:hAnsi="仿宋" w:hint="eastAsia"/>
          <w:sz w:val="32"/>
          <w:szCs w:val="32"/>
        </w:rPr>
        <w:t>县</w:t>
      </w:r>
      <w:r>
        <w:rPr>
          <w:rFonts w:ascii="仿宋_GB2312" w:eastAsia="仿宋_GB2312" w:hAnsi="仿宋" w:hint="eastAsia"/>
          <w:sz w:val="32"/>
          <w:szCs w:val="32"/>
          <w:lang w:val="zh-CN"/>
        </w:rPr>
        <w:t>政府、</w:t>
      </w:r>
      <w:r>
        <w:rPr>
          <w:rFonts w:ascii="仿宋_GB2312" w:eastAsia="仿宋_GB2312" w:hAnsi="仿宋" w:hint="eastAsia"/>
          <w:sz w:val="32"/>
          <w:szCs w:val="32"/>
        </w:rPr>
        <w:t>县财政</w:t>
      </w:r>
      <w:r>
        <w:rPr>
          <w:rFonts w:ascii="仿宋_GB2312" w:eastAsia="仿宋_GB2312" w:hAnsi="仿宋" w:hint="eastAsia"/>
          <w:sz w:val="32"/>
          <w:szCs w:val="32"/>
          <w:lang w:val="zh-CN"/>
        </w:rPr>
        <w:t>下达的各项目标任务。</w:t>
      </w:r>
    </w:p>
    <w:p w:rsidR="00290D1C" w:rsidRDefault="00AA6F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本部门未自行组织开展项目支出绩效评价。</w:t>
      </w:r>
    </w:p>
    <w:p w:rsidR="00290D1C" w:rsidRDefault="00AA6F46">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1.项目绩效目标完成情况。</w:t>
      </w:r>
    </w:p>
    <w:p w:rsidR="00290D1C" w:rsidRDefault="00AA6F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本部门在2019年度部门决算中反映“小河坝村地质灾害治理</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“回龙乡沙坝村獐归寨崩塌治理</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“富顺镇永城村散水收集工程”等10个项目绩效目标实际完成情况。</w:t>
      </w:r>
    </w:p>
    <w:p w:rsidR="00290D1C" w:rsidRDefault="00AA6F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小河坝村地质灾害治理项目绩效目标完成情况综述。项目全年预算数22.14万元，执行数为21.033万元，完成预算的95%。通过项目实施，达到对地质灾害的防灾减灾，达到绿化生态建设，对生态环境创造良好的条件，发现的主要问题：项目实施方案待优化。下一步改进措施：我们将进一步优化项目实施方案，进一步做好方案的可操作性，在进行项目设计时，做好相关农户的协调工作，确保项目的顺利开展，并优化项目设计方案，尽量减少后期维护内容。</w:t>
      </w:r>
    </w:p>
    <w:p w:rsidR="00290D1C" w:rsidRDefault="00AA6F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（2）富顺镇永城村散水收集工程项目绩效目标完成情况综述。项目全年预算数20.36443万元，执行数为20.36443万元，完成预算的100%。通过项目实施，达到对地质灾害的</w:t>
      </w:r>
      <w:r>
        <w:rPr>
          <w:rFonts w:ascii="仿宋_GB2312" w:eastAsia="仿宋_GB2312" w:hAnsi="仿宋_GB2312" w:cs="仿宋_GB2312" w:hint="eastAsia"/>
          <w:sz w:val="32"/>
          <w:szCs w:val="32"/>
        </w:rPr>
        <w:lastRenderedPageBreak/>
        <w:t>防灾减灾，达到绿化生态建设，对生态环境创造良好的条件，发现的主要问题：项目实施方案待优化。下一步改进措施：我们将进一步优化项目实施方案，进一步做好方案的可操作性，在进行项目设计时，做好相关农户的协调工作，确保项目的顺利开展，并优化项目设计方案，尽量减少后期维护内容。</w:t>
      </w:r>
    </w:p>
    <w:p w:rsidR="00290D1C" w:rsidRDefault="00AA6F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凤仪镇石鼓村地质灾害治理项目绩效目标完成情况综述。项目全年预算数40.451456万元，执行数为40.451456万元，完成预算的100%。通过项目实施，达到对地质灾害的防灾减灾，达到绿化生态建设，对生态环境创造良好的条件，发现的主要问题：项目实施方案待优化。下一步改进措施：我们将进一步优化项目实施方案，进一步做好方案的可操作性，在进行项目设计时，做好相关农户的协调工作，确保项目的顺利开展，并优化项目设计方案，尽量减少后期维护内容。</w:t>
      </w:r>
    </w:p>
    <w:p w:rsidR="00290D1C" w:rsidRDefault="00AA6F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（4）黑虎乡巴</w:t>
      </w:r>
      <w:proofErr w:type="gramStart"/>
      <w:r>
        <w:rPr>
          <w:rFonts w:ascii="仿宋_GB2312" w:eastAsia="仿宋_GB2312" w:hAnsi="仿宋_GB2312" w:cs="仿宋_GB2312" w:hint="eastAsia"/>
          <w:sz w:val="32"/>
          <w:szCs w:val="32"/>
        </w:rPr>
        <w:t>地五坡村</w:t>
      </w:r>
      <w:proofErr w:type="gramEnd"/>
      <w:r>
        <w:rPr>
          <w:rFonts w:ascii="仿宋_GB2312" w:eastAsia="仿宋_GB2312" w:hAnsi="仿宋_GB2312" w:cs="仿宋_GB2312" w:hint="eastAsia"/>
          <w:sz w:val="32"/>
          <w:szCs w:val="32"/>
        </w:rPr>
        <w:t>散水收集项目绩效目标完成情况综述。项目全年预算数35万元，执行数为33.202817万元，完成预算的94.87%。通过项目实施，达到对地质灾害的防灾减灾，达到绿化生态建设，对生态环境创造良好的条件，发现的主要问题：项目实施方案待优化。下一步改进措施：我们将进一步优化项目实施方案，进一步做好方案的可操作性，在进行项目设计时，做好相关农户的协调工作，确保项目的顺利开展，并优化项目设计方案，尽量减少后期维护内容。</w:t>
      </w:r>
    </w:p>
    <w:p w:rsidR="00290D1C" w:rsidRDefault="00AA6F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5）雅都镇前村散水收集项目绩效目标完成情况综述。项目全年预算数30万元，执行数为22.696587万元，完成预算的88.99%。通过项目实施，达到对地质灾害的防灾减灾，达到绿化生态建设，对生态环境创造良好的条件，发现的主要问题：项目实施方案待优化。下一步改进措施：我们将进一步优化项目实施方案，进一步做好方案的可操作性，在进行项目设计时，做好相关农户的协调工作，确保项目的顺利开展，并优化项目设计方案，尽量减少后期维护内容。</w:t>
      </w:r>
      <w:r>
        <w:rPr>
          <w:rFonts w:ascii="仿宋_GB2312" w:eastAsia="仿宋_GB2312" w:hAnsi="仿宋_GB2312" w:cs="仿宋_GB2312"/>
          <w:sz w:val="32"/>
          <w:szCs w:val="32"/>
        </w:rPr>
        <w:br w:type="page"/>
      </w:r>
    </w:p>
    <w:tbl>
      <w:tblPr>
        <w:tblpPr w:leftFromText="180" w:rightFromText="180" w:vertAnchor="text" w:horzAnchor="page" w:tblpXSpec="center" w:tblpY="423"/>
        <w:tblOverlap w:val="neve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290D1C">
        <w:trPr>
          <w:trHeight w:val="1034"/>
          <w:jc w:val="center"/>
        </w:trPr>
        <w:tc>
          <w:tcPr>
            <w:tcW w:w="9960" w:type="dxa"/>
            <w:gridSpan w:val="6"/>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(2019年度)</w:t>
            </w:r>
          </w:p>
        </w:tc>
      </w:tr>
      <w:tr w:rsidR="00290D1C">
        <w:trPr>
          <w:trHeight w:val="276"/>
          <w:jc w:val="center"/>
        </w:trPr>
        <w:tc>
          <w:tcPr>
            <w:tcW w:w="2782"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小河坝村地质灾害治理</w:t>
            </w:r>
          </w:p>
        </w:tc>
      </w:tr>
      <w:tr w:rsidR="00290D1C">
        <w:trPr>
          <w:trHeight w:val="276"/>
          <w:jc w:val="center"/>
        </w:trPr>
        <w:tc>
          <w:tcPr>
            <w:tcW w:w="2782"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茂县自然资源局</w:t>
            </w:r>
          </w:p>
        </w:tc>
      </w:tr>
      <w:tr w:rsidR="00290D1C">
        <w:trPr>
          <w:trHeight w:val="276"/>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22.14万元</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22.14万元</w:t>
            </w:r>
          </w:p>
        </w:tc>
      </w:tr>
      <w:tr w:rsidR="00290D1C">
        <w:trPr>
          <w:trHeight w:val="276"/>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22.14万元</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22.14万元</w:t>
            </w:r>
          </w:p>
        </w:tc>
      </w:tr>
      <w:tr w:rsidR="00290D1C">
        <w:trPr>
          <w:trHeight w:val="1511"/>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r>
      <w:tr w:rsidR="00290D1C">
        <w:trPr>
          <w:trHeight w:val="276"/>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 xml:space="preserve">年度目标完成   情况   </w:t>
            </w:r>
          </w:p>
        </w:tc>
        <w:tc>
          <w:tcPr>
            <w:tcW w:w="4784"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90D1C">
        <w:trPr>
          <w:trHeight w:val="1159"/>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rsidR="00290D1C" w:rsidRDefault="00AA6F46">
            <w:pPr>
              <w:widowControl/>
              <w:jc w:val="left"/>
              <w:textAlignment w:val="center"/>
              <w:rPr>
                <w:rFonts w:ascii="宋体" w:hAnsi="宋体" w:cs="宋体"/>
                <w:color w:val="000000"/>
                <w:sz w:val="24"/>
              </w:rPr>
            </w:pPr>
            <w:r>
              <w:rPr>
                <w:rFonts w:ascii="宋体" w:hAnsi="宋体" w:cs="宋体" w:hint="eastAsia"/>
                <w:color w:val="000000"/>
                <w:sz w:val="24"/>
              </w:rPr>
              <w:t>1.年底完成该项目的施工；2.年底完成该项目的质量验收和审计；3.年底完成该项目</w:t>
            </w:r>
            <w:proofErr w:type="gramStart"/>
            <w:r>
              <w:rPr>
                <w:rFonts w:ascii="宋体" w:hAnsi="宋体" w:cs="宋体" w:hint="eastAsia"/>
                <w:color w:val="000000"/>
                <w:sz w:val="24"/>
              </w:rPr>
              <w:t>的除质保金</w:t>
            </w:r>
            <w:proofErr w:type="gramEnd"/>
            <w:r>
              <w:rPr>
                <w:rFonts w:ascii="宋体" w:hAnsi="宋体" w:cs="宋体" w:hint="eastAsia"/>
                <w:color w:val="000000"/>
                <w:sz w:val="24"/>
              </w:rPr>
              <w:t>的资金拨付。</w:t>
            </w:r>
          </w:p>
        </w:tc>
        <w:tc>
          <w:tcPr>
            <w:tcW w:w="4786" w:type="dxa"/>
            <w:gridSpan w:val="2"/>
            <w:tcBorders>
              <w:tl2br w:val="nil"/>
              <w:tr2bl w:val="nil"/>
            </w:tcBorders>
            <w:tcMar>
              <w:top w:w="15" w:type="dxa"/>
              <w:left w:w="15" w:type="dxa"/>
              <w:right w:w="15" w:type="dxa"/>
            </w:tcMar>
            <w:vAlign w:val="center"/>
          </w:tcPr>
          <w:p w:rsidR="00290D1C" w:rsidRDefault="00AA6F46">
            <w:pPr>
              <w:widowControl/>
              <w:jc w:val="left"/>
              <w:textAlignment w:val="center"/>
              <w:rPr>
                <w:rFonts w:ascii="宋体" w:hAnsi="宋体" w:cs="宋体"/>
                <w:color w:val="000000"/>
                <w:sz w:val="24"/>
              </w:rPr>
            </w:pPr>
            <w:r>
              <w:rPr>
                <w:rFonts w:ascii="宋体" w:hAnsi="宋体" w:cs="宋体" w:hint="eastAsia"/>
                <w:color w:val="000000"/>
                <w:sz w:val="24"/>
              </w:rPr>
              <w:t>1.完成了该项目的施工；2.完成了该项目的质量验收和审计；3完成了该项目</w:t>
            </w:r>
            <w:proofErr w:type="gramStart"/>
            <w:r>
              <w:rPr>
                <w:rFonts w:ascii="宋体" w:hAnsi="宋体" w:cs="宋体" w:hint="eastAsia"/>
                <w:color w:val="000000"/>
                <w:sz w:val="24"/>
              </w:rPr>
              <w:t>的除质保金</w:t>
            </w:r>
            <w:proofErr w:type="gramEnd"/>
            <w:r>
              <w:rPr>
                <w:rFonts w:ascii="宋体" w:hAnsi="宋体" w:cs="宋体" w:hint="eastAsia"/>
                <w:color w:val="000000"/>
                <w:sz w:val="24"/>
              </w:rPr>
              <w:t>的资金拨付。</w:t>
            </w:r>
          </w:p>
        </w:tc>
      </w:tr>
      <w:tr w:rsidR="00290D1C">
        <w:trPr>
          <w:trHeight w:val="1042"/>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p>
        </w:tc>
      </w:tr>
      <w:tr w:rsidR="00290D1C">
        <w:trPr>
          <w:trHeight w:val="953"/>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l2br w:val="nil"/>
              <w:tr2bl w:val="nil"/>
            </w:tcBorders>
            <w:tcMar>
              <w:top w:w="15" w:type="dxa"/>
              <w:left w:w="15" w:type="dxa"/>
              <w:right w:w="15" w:type="dxa"/>
            </w:tcMar>
            <w:vAlign w:val="center"/>
          </w:tcPr>
          <w:p w:rsidR="00290D1C" w:rsidRDefault="00AA6F46">
            <w:pPr>
              <w:widowControl/>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于2019年11月30日前完成该项目的施工</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成本指标</w:t>
            </w:r>
          </w:p>
          <w:p w:rsidR="00290D1C" w:rsidRDefault="00290D1C">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r>
              <w:rPr>
                <w:rFonts w:ascii="宋体" w:hAnsi="宋体" w:cs="宋体" w:hint="eastAsia"/>
                <w:color w:val="000000"/>
                <w:sz w:val="24"/>
              </w:rPr>
              <w:t>完成100%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r>
              <w:rPr>
                <w:rFonts w:ascii="宋体" w:hAnsi="宋体" w:cs="宋体" w:hint="eastAsia"/>
                <w:color w:val="000000"/>
                <w:sz w:val="24"/>
              </w:rPr>
              <w:t>完成100%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经济效益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社会效益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生态效益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对生态环境创造良好的条件</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可持续影响指标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服务对象</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达到90分</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达到90分</w:t>
            </w:r>
          </w:p>
        </w:tc>
      </w:tr>
    </w:tbl>
    <w:p w:rsidR="00290D1C" w:rsidRDefault="00290D1C">
      <w:pPr>
        <w:rPr>
          <w:rFonts w:ascii="楷体_GB2312" w:eastAsia="楷体_GB2312" w:hAnsi="楷体_GB2312" w:cs="楷体_GB2312"/>
          <w:sz w:val="32"/>
          <w:szCs w:val="32"/>
        </w:rPr>
      </w:pPr>
    </w:p>
    <w:tbl>
      <w:tblPr>
        <w:tblpPr w:leftFromText="180" w:rightFromText="180" w:vertAnchor="text" w:horzAnchor="page" w:tblpXSpec="center" w:tblpY="423"/>
        <w:tblOverlap w:val="neve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290D1C">
        <w:trPr>
          <w:trHeight w:val="1034"/>
          <w:jc w:val="center"/>
        </w:trPr>
        <w:tc>
          <w:tcPr>
            <w:tcW w:w="9960" w:type="dxa"/>
            <w:gridSpan w:val="6"/>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(2019年度)</w:t>
            </w:r>
          </w:p>
        </w:tc>
      </w:tr>
      <w:tr w:rsidR="00290D1C">
        <w:trPr>
          <w:trHeight w:val="276"/>
          <w:jc w:val="center"/>
        </w:trPr>
        <w:tc>
          <w:tcPr>
            <w:tcW w:w="2782"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富顺镇永城村散水收集工程</w:t>
            </w:r>
          </w:p>
        </w:tc>
      </w:tr>
      <w:tr w:rsidR="00290D1C">
        <w:trPr>
          <w:trHeight w:val="276"/>
          <w:jc w:val="center"/>
        </w:trPr>
        <w:tc>
          <w:tcPr>
            <w:tcW w:w="2782"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茂县自然资源局</w:t>
            </w:r>
          </w:p>
        </w:tc>
      </w:tr>
      <w:tr w:rsidR="00290D1C">
        <w:trPr>
          <w:trHeight w:val="276"/>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20.36443万元</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20.36443万元</w:t>
            </w:r>
          </w:p>
        </w:tc>
      </w:tr>
      <w:tr w:rsidR="00290D1C">
        <w:trPr>
          <w:trHeight w:val="276"/>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20.36443万元</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20.36443万元</w:t>
            </w:r>
          </w:p>
        </w:tc>
      </w:tr>
      <w:tr w:rsidR="00290D1C">
        <w:trPr>
          <w:trHeight w:val="1511"/>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r>
      <w:tr w:rsidR="00290D1C">
        <w:trPr>
          <w:trHeight w:val="276"/>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 xml:space="preserve">年度目标完成   情况   </w:t>
            </w:r>
          </w:p>
        </w:tc>
        <w:tc>
          <w:tcPr>
            <w:tcW w:w="4784"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90D1C">
        <w:trPr>
          <w:trHeight w:val="1159"/>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rsidR="00290D1C" w:rsidRDefault="00AA6F46">
            <w:pPr>
              <w:widowControl/>
              <w:jc w:val="left"/>
              <w:textAlignment w:val="center"/>
              <w:rPr>
                <w:rFonts w:ascii="宋体" w:hAnsi="宋体" w:cs="宋体"/>
                <w:color w:val="000000"/>
                <w:sz w:val="24"/>
              </w:rPr>
            </w:pPr>
            <w:r>
              <w:rPr>
                <w:rFonts w:ascii="宋体" w:hAnsi="宋体" w:cs="宋体" w:hint="eastAsia"/>
                <w:color w:val="000000"/>
                <w:sz w:val="24"/>
              </w:rPr>
              <w:t>1.年底完成该项目的施工；2.年底完成该项目的质量验收和审计；3.年底完成该项目</w:t>
            </w:r>
            <w:proofErr w:type="gramStart"/>
            <w:r>
              <w:rPr>
                <w:rFonts w:ascii="宋体" w:hAnsi="宋体" w:cs="宋体" w:hint="eastAsia"/>
                <w:color w:val="000000"/>
                <w:sz w:val="24"/>
              </w:rPr>
              <w:t>的除质保金</w:t>
            </w:r>
            <w:proofErr w:type="gramEnd"/>
            <w:r>
              <w:rPr>
                <w:rFonts w:ascii="宋体" w:hAnsi="宋体" w:cs="宋体" w:hint="eastAsia"/>
                <w:color w:val="000000"/>
                <w:sz w:val="24"/>
              </w:rPr>
              <w:t>的资金拨付。</w:t>
            </w:r>
          </w:p>
        </w:tc>
        <w:tc>
          <w:tcPr>
            <w:tcW w:w="4786" w:type="dxa"/>
            <w:gridSpan w:val="2"/>
            <w:tcBorders>
              <w:tl2br w:val="nil"/>
              <w:tr2bl w:val="nil"/>
            </w:tcBorders>
            <w:tcMar>
              <w:top w:w="15" w:type="dxa"/>
              <w:left w:w="15" w:type="dxa"/>
              <w:right w:w="15" w:type="dxa"/>
            </w:tcMar>
            <w:vAlign w:val="center"/>
          </w:tcPr>
          <w:p w:rsidR="00290D1C" w:rsidRDefault="00AA6F46">
            <w:pPr>
              <w:widowControl/>
              <w:jc w:val="left"/>
              <w:textAlignment w:val="center"/>
              <w:rPr>
                <w:rFonts w:ascii="宋体" w:hAnsi="宋体" w:cs="宋体"/>
                <w:color w:val="000000"/>
                <w:sz w:val="24"/>
              </w:rPr>
            </w:pPr>
            <w:r>
              <w:rPr>
                <w:rFonts w:ascii="宋体" w:hAnsi="宋体" w:cs="宋体" w:hint="eastAsia"/>
                <w:color w:val="000000"/>
                <w:sz w:val="24"/>
              </w:rPr>
              <w:t>1.完成了该项目的施工；2.完成了该项目的质量验收和审计；3完成了该项目的资金拨付。</w:t>
            </w:r>
          </w:p>
        </w:tc>
      </w:tr>
      <w:tr w:rsidR="00290D1C">
        <w:trPr>
          <w:trHeight w:val="1042"/>
          <w:jc w:val="center"/>
        </w:trPr>
        <w:tc>
          <w:tcPr>
            <w:tcW w:w="390" w:type="dxa"/>
            <w:vMerge w:val="restart"/>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p>
        </w:tc>
      </w:tr>
      <w:tr w:rsidR="00290D1C">
        <w:trPr>
          <w:trHeight w:val="953"/>
          <w:jc w:val="center"/>
        </w:trPr>
        <w:tc>
          <w:tcPr>
            <w:tcW w:w="390"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val="restart"/>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Mar>
              <w:top w:w="15" w:type="dxa"/>
              <w:left w:w="15" w:type="dxa"/>
              <w:right w:w="15" w:type="dxa"/>
            </w:tcMar>
            <w:vAlign w:val="center"/>
          </w:tcPr>
          <w:p w:rsidR="00290D1C" w:rsidRDefault="00AA6F46">
            <w:pPr>
              <w:widowControl/>
              <w:textAlignment w:val="center"/>
              <w:rPr>
                <w:rFonts w:ascii="宋体" w:hAnsi="宋体" w:cs="宋体"/>
                <w:color w:val="000000"/>
                <w:sz w:val="24"/>
              </w:rPr>
            </w:pPr>
            <w:r>
              <w:rPr>
                <w:rFonts w:ascii="宋体" w:hAnsi="宋体" w:cs="宋体" w:hint="eastAsia"/>
                <w:color w:val="000000"/>
                <w:sz w:val="24"/>
              </w:rPr>
              <w:t>数量指标</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r>
      <w:tr w:rsidR="00290D1C">
        <w:trPr>
          <w:trHeight w:val="1297"/>
          <w:jc w:val="center"/>
        </w:trPr>
        <w:tc>
          <w:tcPr>
            <w:tcW w:w="390"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r>
      <w:tr w:rsidR="00290D1C">
        <w:trPr>
          <w:trHeight w:val="1042"/>
          <w:jc w:val="center"/>
        </w:trPr>
        <w:tc>
          <w:tcPr>
            <w:tcW w:w="390"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于2019年11月30日前完成该项目的施工</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r>
      <w:tr w:rsidR="00290D1C">
        <w:trPr>
          <w:trHeight w:val="1042"/>
          <w:jc w:val="center"/>
        </w:trPr>
        <w:tc>
          <w:tcPr>
            <w:tcW w:w="390"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kern w:val="0"/>
                <w:sz w:val="24"/>
              </w:rPr>
            </w:pPr>
          </w:p>
        </w:tc>
        <w:tc>
          <w:tcPr>
            <w:tcW w:w="1025"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成本指标</w:t>
            </w:r>
          </w:p>
          <w:p w:rsidR="00290D1C" w:rsidRDefault="00290D1C">
            <w:pPr>
              <w:widowControl/>
              <w:jc w:val="center"/>
              <w:textAlignment w:val="center"/>
              <w:rPr>
                <w:rFonts w:ascii="宋体" w:hAnsi="宋体" w:cs="宋体"/>
                <w:color w:val="000000"/>
                <w:sz w:val="24"/>
              </w:rPr>
            </w:pP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r>
              <w:rPr>
                <w:rFonts w:ascii="宋体" w:hAnsi="宋体" w:cs="宋体" w:hint="eastAsia"/>
                <w:color w:val="000000"/>
                <w:sz w:val="24"/>
              </w:rPr>
              <w:t>完成100%</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r>
              <w:rPr>
                <w:rFonts w:ascii="宋体" w:hAnsi="宋体" w:cs="宋体" w:hint="eastAsia"/>
                <w:color w:val="000000"/>
                <w:sz w:val="24"/>
              </w:rPr>
              <w:t>完成100%</w:t>
            </w:r>
          </w:p>
        </w:tc>
      </w:tr>
      <w:tr w:rsidR="00290D1C">
        <w:trPr>
          <w:trHeight w:val="1042"/>
          <w:jc w:val="center"/>
        </w:trPr>
        <w:tc>
          <w:tcPr>
            <w:tcW w:w="390"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val="restart"/>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经济效益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项目投资和效益比低于1：6</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042"/>
          <w:jc w:val="center"/>
        </w:trPr>
        <w:tc>
          <w:tcPr>
            <w:tcW w:w="390"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社会效益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042"/>
          <w:jc w:val="center"/>
        </w:trPr>
        <w:tc>
          <w:tcPr>
            <w:tcW w:w="390"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生态效益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对生态环境创造良好的条件</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297"/>
          <w:jc w:val="center"/>
        </w:trPr>
        <w:tc>
          <w:tcPr>
            <w:tcW w:w="390"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可持续影响指标</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遏制环境的恶化，积极推进人与自然和谐相处</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297"/>
          <w:jc w:val="center"/>
        </w:trPr>
        <w:tc>
          <w:tcPr>
            <w:tcW w:w="390" w:type="dxa"/>
            <w:vMerge/>
            <w:tcBorders>
              <w:bottom w:val="single" w:sz="4" w:space="0" w:color="auto"/>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tcBorders>
              <w:bottom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bottom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服务对象</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bottom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针对保护或受益对象的满意评价打分</w:t>
            </w:r>
          </w:p>
        </w:tc>
        <w:tc>
          <w:tcPr>
            <w:tcW w:w="2394" w:type="dxa"/>
            <w:tcBorders>
              <w:bottom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达到90分</w:t>
            </w:r>
          </w:p>
        </w:tc>
        <w:tc>
          <w:tcPr>
            <w:tcW w:w="2392" w:type="dxa"/>
            <w:tcBorders>
              <w:bottom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完成90分</w:t>
            </w:r>
          </w:p>
        </w:tc>
      </w:tr>
      <w:tr w:rsidR="00290D1C">
        <w:trPr>
          <w:trHeight w:val="1034"/>
          <w:jc w:val="center"/>
        </w:trPr>
        <w:tc>
          <w:tcPr>
            <w:tcW w:w="9960" w:type="dxa"/>
            <w:gridSpan w:val="6"/>
            <w:tcBorders>
              <w:top w:val="single" w:sz="4" w:space="0" w:color="auto"/>
              <w:left w:val="nil"/>
              <w:bottom w:val="single" w:sz="4" w:space="0" w:color="auto"/>
              <w:right w:val="nil"/>
            </w:tcBorders>
            <w:tcMar>
              <w:top w:w="15" w:type="dxa"/>
              <w:left w:w="15" w:type="dxa"/>
              <w:right w:w="15" w:type="dxa"/>
            </w:tcMar>
            <w:vAlign w:val="center"/>
          </w:tcPr>
          <w:p w:rsidR="00290D1C" w:rsidRDefault="00290D1C">
            <w:pPr>
              <w:widowControl/>
              <w:jc w:val="center"/>
              <w:textAlignment w:val="center"/>
              <w:rPr>
                <w:rFonts w:ascii="宋体" w:hAnsi="宋体" w:cs="宋体"/>
                <w:b/>
                <w:bCs/>
                <w:color w:val="000000"/>
                <w:kern w:val="0"/>
                <w:sz w:val="36"/>
                <w:szCs w:val="36"/>
              </w:rPr>
            </w:pPr>
          </w:p>
        </w:tc>
      </w:tr>
      <w:tr w:rsidR="00290D1C">
        <w:trPr>
          <w:trHeight w:val="1034"/>
          <w:jc w:val="center"/>
        </w:trPr>
        <w:tc>
          <w:tcPr>
            <w:tcW w:w="9960" w:type="dxa"/>
            <w:gridSpan w:val="6"/>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(2019年度)</w:t>
            </w:r>
          </w:p>
        </w:tc>
      </w:tr>
      <w:tr w:rsidR="00290D1C">
        <w:trPr>
          <w:trHeight w:val="276"/>
          <w:jc w:val="center"/>
        </w:trPr>
        <w:tc>
          <w:tcPr>
            <w:tcW w:w="2782" w:type="dxa"/>
            <w:gridSpan w:val="3"/>
            <w:tcBorders>
              <w:top w:val="single" w:sz="4" w:space="0" w:color="auto"/>
              <w:left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7178" w:type="dxa"/>
            <w:gridSpan w:val="3"/>
            <w:tcBorders>
              <w:top w:val="single" w:sz="4" w:space="0" w:color="auto"/>
              <w:right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凤仪镇石鼓村地质灾害治理</w:t>
            </w:r>
          </w:p>
        </w:tc>
      </w:tr>
      <w:tr w:rsidR="00290D1C">
        <w:trPr>
          <w:trHeight w:val="276"/>
          <w:jc w:val="center"/>
        </w:trPr>
        <w:tc>
          <w:tcPr>
            <w:tcW w:w="2782" w:type="dxa"/>
            <w:gridSpan w:val="3"/>
            <w:tcBorders>
              <w:left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right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茂县自然资源局</w:t>
            </w:r>
          </w:p>
        </w:tc>
      </w:tr>
      <w:tr w:rsidR="00290D1C">
        <w:trPr>
          <w:trHeight w:val="276"/>
          <w:jc w:val="center"/>
        </w:trPr>
        <w:tc>
          <w:tcPr>
            <w:tcW w:w="390" w:type="dxa"/>
            <w:vMerge w:val="restart"/>
            <w:tcBorders>
              <w:left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40.451456万元</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right w:val="single" w:sz="4" w:space="0" w:color="auto"/>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40.451456万元</w:t>
            </w:r>
          </w:p>
        </w:tc>
      </w:tr>
      <w:tr w:rsidR="00290D1C">
        <w:trPr>
          <w:trHeight w:val="276"/>
          <w:jc w:val="center"/>
        </w:trPr>
        <w:tc>
          <w:tcPr>
            <w:tcW w:w="390" w:type="dxa"/>
            <w:vMerge/>
            <w:tcBorders>
              <w:left w:val="single" w:sz="4" w:space="0" w:color="auto"/>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2392" w:type="dxa"/>
            <w:gridSpan w:val="2"/>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40.451456万元</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40.451456万元</w:t>
            </w:r>
          </w:p>
        </w:tc>
      </w:tr>
      <w:tr w:rsidR="00290D1C">
        <w:trPr>
          <w:trHeight w:val="1511"/>
          <w:jc w:val="center"/>
        </w:trPr>
        <w:tc>
          <w:tcPr>
            <w:tcW w:w="390" w:type="dxa"/>
            <w:vMerge/>
            <w:tcBorders>
              <w:left w:val="single" w:sz="4" w:space="0" w:color="auto"/>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r>
      <w:tr w:rsidR="00290D1C">
        <w:trPr>
          <w:trHeight w:val="276"/>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 xml:space="preserve">年度目标完成   情况   </w:t>
            </w:r>
          </w:p>
        </w:tc>
        <w:tc>
          <w:tcPr>
            <w:tcW w:w="4784"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90D1C">
        <w:trPr>
          <w:trHeight w:val="1159"/>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rsidR="00290D1C" w:rsidRDefault="00AA6F46">
            <w:pPr>
              <w:widowControl/>
              <w:jc w:val="left"/>
              <w:textAlignment w:val="center"/>
              <w:rPr>
                <w:rFonts w:ascii="宋体" w:hAnsi="宋体" w:cs="宋体"/>
                <w:color w:val="000000"/>
                <w:sz w:val="24"/>
              </w:rPr>
            </w:pPr>
            <w:r>
              <w:rPr>
                <w:rFonts w:ascii="宋体" w:hAnsi="宋体" w:cs="宋体" w:hint="eastAsia"/>
                <w:color w:val="000000"/>
                <w:sz w:val="24"/>
              </w:rPr>
              <w:t>1.年底完成该项目的施工；2.年底完成该项目的质量验收和审计；3.年底完成该项目</w:t>
            </w:r>
            <w:proofErr w:type="gramStart"/>
            <w:r>
              <w:rPr>
                <w:rFonts w:ascii="宋体" w:hAnsi="宋体" w:cs="宋体" w:hint="eastAsia"/>
                <w:color w:val="000000"/>
                <w:sz w:val="24"/>
              </w:rPr>
              <w:t>的除质保金</w:t>
            </w:r>
            <w:proofErr w:type="gramEnd"/>
            <w:r>
              <w:rPr>
                <w:rFonts w:ascii="宋体" w:hAnsi="宋体" w:cs="宋体" w:hint="eastAsia"/>
                <w:color w:val="000000"/>
                <w:sz w:val="24"/>
              </w:rPr>
              <w:t>的资金拨付。</w:t>
            </w:r>
          </w:p>
        </w:tc>
        <w:tc>
          <w:tcPr>
            <w:tcW w:w="4786"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1.完成了该项目的施工；2.完成了该项目的质量验收和审计；3完成了该项目的资金拨付。</w:t>
            </w:r>
          </w:p>
        </w:tc>
      </w:tr>
      <w:tr w:rsidR="00290D1C">
        <w:trPr>
          <w:trHeight w:val="1042"/>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p>
        </w:tc>
      </w:tr>
      <w:tr w:rsidR="00290D1C">
        <w:trPr>
          <w:trHeight w:val="953"/>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l2br w:val="nil"/>
              <w:tr2bl w:val="nil"/>
            </w:tcBorders>
            <w:tcMar>
              <w:top w:w="15" w:type="dxa"/>
              <w:left w:w="15" w:type="dxa"/>
              <w:right w:w="15" w:type="dxa"/>
            </w:tcMar>
            <w:vAlign w:val="center"/>
          </w:tcPr>
          <w:p w:rsidR="00290D1C" w:rsidRDefault="00AA6F46">
            <w:pPr>
              <w:widowControl/>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于2019年11月30日前完成该项目的施工</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成本指标</w:t>
            </w:r>
          </w:p>
          <w:p w:rsidR="00290D1C" w:rsidRDefault="00290D1C">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r>
              <w:rPr>
                <w:rFonts w:ascii="宋体" w:hAnsi="宋体" w:cs="宋体" w:hint="eastAsia"/>
                <w:color w:val="000000"/>
                <w:sz w:val="24"/>
              </w:rPr>
              <w:t>完成100%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r>
              <w:rPr>
                <w:rFonts w:ascii="宋体" w:hAnsi="宋体" w:cs="宋体" w:hint="eastAsia"/>
                <w:color w:val="000000"/>
                <w:sz w:val="24"/>
              </w:rPr>
              <w:t>完成100%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经济效益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项目投资和效益比低于1：6</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社会效益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生态效益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对生态环境创造良好的条件</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可持续影响指标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服务对象</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达到90分</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完成90分</w:t>
            </w:r>
          </w:p>
        </w:tc>
      </w:tr>
      <w:tr w:rsidR="00290D1C">
        <w:trPr>
          <w:trHeight w:val="1034"/>
          <w:jc w:val="center"/>
        </w:trPr>
        <w:tc>
          <w:tcPr>
            <w:tcW w:w="9960" w:type="dxa"/>
            <w:gridSpan w:val="6"/>
            <w:tcBorders>
              <w:top w:val="single" w:sz="4" w:space="0" w:color="auto"/>
              <w:left w:val="nil"/>
              <w:bottom w:val="single" w:sz="4" w:space="0" w:color="000000"/>
              <w:right w:val="nil"/>
            </w:tcBorders>
            <w:tcMar>
              <w:top w:w="15" w:type="dxa"/>
              <w:left w:w="15" w:type="dxa"/>
              <w:right w:w="15" w:type="dxa"/>
            </w:tcMar>
            <w:vAlign w:val="center"/>
          </w:tcPr>
          <w:p w:rsidR="00290D1C" w:rsidRDefault="00290D1C">
            <w:pPr>
              <w:widowControl/>
              <w:jc w:val="center"/>
              <w:textAlignment w:val="center"/>
              <w:rPr>
                <w:rFonts w:ascii="宋体" w:hAnsi="宋体" w:cs="宋体"/>
                <w:b/>
                <w:bCs/>
                <w:color w:val="000000"/>
                <w:kern w:val="0"/>
                <w:sz w:val="36"/>
                <w:szCs w:val="36"/>
              </w:rPr>
            </w:pPr>
          </w:p>
        </w:tc>
      </w:tr>
      <w:tr w:rsidR="00290D1C">
        <w:trPr>
          <w:trHeight w:val="1034"/>
          <w:jc w:val="center"/>
        </w:trPr>
        <w:tc>
          <w:tcPr>
            <w:tcW w:w="996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(2019年度)</w:t>
            </w:r>
          </w:p>
        </w:tc>
      </w:tr>
      <w:tr w:rsidR="00290D1C">
        <w:trPr>
          <w:trHeight w:val="276"/>
          <w:jc w:val="center"/>
        </w:trPr>
        <w:tc>
          <w:tcPr>
            <w:tcW w:w="2782" w:type="dxa"/>
            <w:gridSpan w:val="3"/>
            <w:tcBorders>
              <w:top w:val="single" w:sz="4" w:space="0" w:color="000000"/>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黑虎乡巴</w:t>
            </w:r>
            <w:proofErr w:type="gramStart"/>
            <w:r>
              <w:rPr>
                <w:rFonts w:ascii="宋体" w:hAnsi="宋体" w:cs="宋体" w:hint="eastAsia"/>
                <w:color w:val="000000"/>
                <w:sz w:val="24"/>
              </w:rPr>
              <w:t>地五坡村</w:t>
            </w:r>
            <w:proofErr w:type="gramEnd"/>
            <w:r>
              <w:rPr>
                <w:rFonts w:ascii="宋体" w:hAnsi="宋体" w:cs="宋体" w:hint="eastAsia"/>
                <w:color w:val="000000"/>
                <w:sz w:val="24"/>
              </w:rPr>
              <w:t>散水收集项目</w:t>
            </w:r>
          </w:p>
        </w:tc>
      </w:tr>
      <w:tr w:rsidR="00290D1C">
        <w:trPr>
          <w:trHeight w:val="276"/>
          <w:jc w:val="center"/>
        </w:trPr>
        <w:tc>
          <w:tcPr>
            <w:tcW w:w="2782" w:type="dxa"/>
            <w:gridSpan w:val="3"/>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茂县自然资源局</w:t>
            </w:r>
          </w:p>
        </w:tc>
      </w:tr>
      <w:tr w:rsidR="00290D1C">
        <w:trPr>
          <w:trHeight w:val="276"/>
          <w:jc w:val="center"/>
        </w:trPr>
        <w:tc>
          <w:tcPr>
            <w:tcW w:w="390" w:type="dxa"/>
            <w:vMerge w:val="restart"/>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35万元</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33.202817万元</w:t>
            </w:r>
          </w:p>
        </w:tc>
      </w:tr>
      <w:tr w:rsidR="00290D1C">
        <w:trPr>
          <w:trHeight w:val="276"/>
          <w:jc w:val="center"/>
        </w:trPr>
        <w:tc>
          <w:tcPr>
            <w:tcW w:w="390" w:type="dxa"/>
            <w:vMerge/>
            <w:tcMar>
              <w:top w:w="15" w:type="dxa"/>
              <w:left w:w="15" w:type="dxa"/>
              <w:right w:w="15" w:type="dxa"/>
            </w:tcMar>
            <w:vAlign w:val="center"/>
          </w:tcPr>
          <w:p w:rsidR="00290D1C" w:rsidRDefault="00290D1C">
            <w:pPr>
              <w:jc w:val="center"/>
              <w:rPr>
                <w:rFonts w:ascii="宋体" w:hAnsi="宋体" w:cs="宋体"/>
                <w:color w:val="000000"/>
                <w:sz w:val="24"/>
              </w:rPr>
            </w:pPr>
          </w:p>
        </w:tc>
        <w:tc>
          <w:tcPr>
            <w:tcW w:w="2392" w:type="dxa"/>
            <w:gridSpan w:val="2"/>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35万元</w:t>
            </w:r>
          </w:p>
        </w:tc>
        <w:tc>
          <w:tcPr>
            <w:tcW w:w="2394" w:type="dxa"/>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33.202817万元</w:t>
            </w:r>
          </w:p>
        </w:tc>
      </w:tr>
      <w:tr w:rsidR="00290D1C">
        <w:trPr>
          <w:trHeight w:val="1511"/>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r>
      <w:tr w:rsidR="00290D1C">
        <w:trPr>
          <w:trHeight w:val="276"/>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 xml:space="preserve">年度目标完成   情况   </w:t>
            </w:r>
          </w:p>
        </w:tc>
        <w:tc>
          <w:tcPr>
            <w:tcW w:w="4784"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90D1C">
        <w:trPr>
          <w:trHeight w:val="1159"/>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rsidR="00290D1C" w:rsidRDefault="00AA6F46">
            <w:pPr>
              <w:widowControl/>
              <w:jc w:val="left"/>
              <w:textAlignment w:val="center"/>
              <w:rPr>
                <w:rFonts w:ascii="宋体" w:hAnsi="宋体" w:cs="宋体"/>
                <w:color w:val="000000"/>
                <w:sz w:val="24"/>
              </w:rPr>
            </w:pPr>
            <w:r>
              <w:rPr>
                <w:rFonts w:ascii="宋体" w:hAnsi="宋体" w:cs="宋体" w:hint="eastAsia"/>
                <w:color w:val="000000"/>
                <w:sz w:val="24"/>
              </w:rPr>
              <w:t>1.年底完成该项目的施工；2.年底完成该项目的质量验收和审计；3.年底完成该项目</w:t>
            </w:r>
            <w:proofErr w:type="gramStart"/>
            <w:r>
              <w:rPr>
                <w:rFonts w:ascii="宋体" w:hAnsi="宋体" w:cs="宋体" w:hint="eastAsia"/>
                <w:color w:val="000000"/>
                <w:sz w:val="24"/>
              </w:rPr>
              <w:t>的除质保金</w:t>
            </w:r>
            <w:proofErr w:type="gramEnd"/>
            <w:r>
              <w:rPr>
                <w:rFonts w:ascii="宋体" w:hAnsi="宋体" w:cs="宋体" w:hint="eastAsia"/>
                <w:color w:val="000000"/>
                <w:sz w:val="24"/>
              </w:rPr>
              <w:t>的资金拨付。</w:t>
            </w:r>
          </w:p>
        </w:tc>
        <w:tc>
          <w:tcPr>
            <w:tcW w:w="4786" w:type="dxa"/>
            <w:gridSpan w:val="2"/>
            <w:tcBorders>
              <w:tl2br w:val="nil"/>
              <w:tr2bl w:val="nil"/>
            </w:tcBorders>
            <w:tcMar>
              <w:top w:w="15" w:type="dxa"/>
              <w:left w:w="15" w:type="dxa"/>
              <w:right w:w="15" w:type="dxa"/>
            </w:tcMar>
            <w:vAlign w:val="center"/>
          </w:tcPr>
          <w:p w:rsidR="00290D1C" w:rsidRDefault="00AA6F46">
            <w:pPr>
              <w:widowControl/>
              <w:jc w:val="left"/>
              <w:textAlignment w:val="center"/>
              <w:rPr>
                <w:rFonts w:ascii="宋体" w:hAnsi="宋体" w:cs="宋体"/>
                <w:color w:val="000000"/>
                <w:sz w:val="24"/>
              </w:rPr>
            </w:pPr>
            <w:r>
              <w:rPr>
                <w:rFonts w:ascii="宋体" w:hAnsi="宋体" w:cs="宋体" w:hint="eastAsia"/>
                <w:color w:val="000000"/>
                <w:sz w:val="24"/>
              </w:rPr>
              <w:t>1.完成了该项目的施工；2.完成了该项目的质量验收和审计；3完成了该项目</w:t>
            </w:r>
            <w:proofErr w:type="gramStart"/>
            <w:r>
              <w:rPr>
                <w:rFonts w:ascii="宋体" w:hAnsi="宋体" w:cs="宋体" w:hint="eastAsia"/>
                <w:color w:val="000000"/>
                <w:sz w:val="24"/>
              </w:rPr>
              <w:t>的除质保金</w:t>
            </w:r>
            <w:proofErr w:type="gramEnd"/>
            <w:r>
              <w:rPr>
                <w:rFonts w:ascii="宋体" w:hAnsi="宋体" w:cs="宋体" w:hint="eastAsia"/>
                <w:color w:val="000000"/>
                <w:sz w:val="24"/>
              </w:rPr>
              <w:t>的资金拨付。</w:t>
            </w:r>
          </w:p>
        </w:tc>
      </w:tr>
      <w:tr w:rsidR="00290D1C">
        <w:trPr>
          <w:trHeight w:val="1042"/>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绩效指标完成</w:t>
            </w:r>
            <w:r>
              <w:rPr>
                <w:rFonts w:ascii="宋体" w:hAnsi="宋体" w:cs="宋体" w:hint="eastAsia"/>
                <w:color w:val="000000"/>
                <w:sz w:val="24"/>
              </w:rPr>
              <w:lastRenderedPageBreak/>
              <w:t>情况</w:t>
            </w:r>
          </w:p>
        </w:tc>
        <w:tc>
          <w:tcPr>
            <w:tcW w:w="1367"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一级指标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p>
        </w:tc>
      </w:tr>
      <w:tr w:rsidR="00290D1C">
        <w:trPr>
          <w:trHeight w:val="953"/>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l2br w:val="nil"/>
              <w:tr2bl w:val="nil"/>
            </w:tcBorders>
            <w:tcMar>
              <w:top w:w="15" w:type="dxa"/>
              <w:left w:w="15" w:type="dxa"/>
              <w:right w:w="15" w:type="dxa"/>
            </w:tcMar>
            <w:vAlign w:val="center"/>
          </w:tcPr>
          <w:p w:rsidR="00290D1C" w:rsidRDefault="00AA6F46">
            <w:pPr>
              <w:widowControl/>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于2019年11月30日前完成该项目的施工</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成本指标</w:t>
            </w:r>
          </w:p>
          <w:p w:rsidR="00290D1C" w:rsidRDefault="00290D1C">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r>
              <w:rPr>
                <w:rFonts w:ascii="宋体" w:hAnsi="宋体" w:cs="宋体" w:hint="eastAsia"/>
                <w:color w:val="000000"/>
                <w:sz w:val="24"/>
              </w:rPr>
              <w:t>完成100%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r>
              <w:rPr>
                <w:rFonts w:ascii="宋体" w:hAnsi="宋体" w:cs="宋体" w:hint="eastAsia"/>
                <w:color w:val="000000"/>
                <w:sz w:val="24"/>
              </w:rPr>
              <w:t>完成100%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经济效益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项目投资和效益比低于1：6</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社会效益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生态效益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对生态环境创造良好的条件</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可持续影响指标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服务对象</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达到90分</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完成90分</w:t>
            </w:r>
          </w:p>
        </w:tc>
      </w:tr>
    </w:tbl>
    <w:p w:rsidR="00290D1C" w:rsidRDefault="00290D1C">
      <w:pPr>
        <w:spacing w:line="580" w:lineRule="exact"/>
        <w:ind w:left="630"/>
        <w:rPr>
          <w:rFonts w:ascii="楷体_GB2312" w:eastAsia="楷体_GB2312" w:hAnsi="楷体_GB2312" w:cs="楷体_GB2312"/>
          <w:sz w:val="32"/>
          <w:szCs w:val="32"/>
        </w:rPr>
      </w:pPr>
    </w:p>
    <w:tbl>
      <w:tblPr>
        <w:tblpPr w:leftFromText="180" w:rightFromText="180" w:vertAnchor="text" w:horzAnchor="page" w:tblpXSpec="center" w:tblpY="423"/>
        <w:tblOverlap w:val="neve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290D1C">
        <w:trPr>
          <w:trHeight w:val="1034"/>
          <w:jc w:val="center"/>
        </w:trPr>
        <w:tc>
          <w:tcPr>
            <w:tcW w:w="9960" w:type="dxa"/>
            <w:gridSpan w:val="6"/>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(2019年度)</w:t>
            </w:r>
          </w:p>
        </w:tc>
      </w:tr>
      <w:tr w:rsidR="00290D1C">
        <w:trPr>
          <w:trHeight w:val="276"/>
          <w:jc w:val="center"/>
        </w:trPr>
        <w:tc>
          <w:tcPr>
            <w:tcW w:w="2782"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小河坝村地质灾害治理</w:t>
            </w:r>
          </w:p>
        </w:tc>
      </w:tr>
      <w:tr w:rsidR="00290D1C">
        <w:trPr>
          <w:trHeight w:val="276"/>
          <w:jc w:val="center"/>
        </w:trPr>
        <w:tc>
          <w:tcPr>
            <w:tcW w:w="2782"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茂县自然资源局</w:t>
            </w:r>
          </w:p>
        </w:tc>
      </w:tr>
      <w:tr w:rsidR="00290D1C">
        <w:trPr>
          <w:trHeight w:val="276"/>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预算</w:t>
            </w:r>
            <w:r>
              <w:rPr>
                <w:rFonts w:ascii="宋体" w:hAnsi="宋体" w:cs="宋体" w:hint="eastAsia"/>
                <w:color w:val="000000"/>
                <w:kern w:val="0"/>
                <w:sz w:val="24"/>
              </w:rPr>
              <w:lastRenderedPageBreak/>
              <w:t>执行情况(万元)</w:t>
            </w: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30万元</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26.696587万元</w:t>
            </w:r>
          </w:p>
        </w:tc>
      </w:tr>
      <w:tr w:rsidR="00290D1C">
        <w:trPr>
          <w:trHeight w:val="276"/>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30万元</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26.696587万元</w:t>
            </w:r>
          </w:p>
        </w:tc>
      </w:tr>
      <w:tr w:rsidR="00290D1C">
        <w:trPr>
          <w:trHeight w:val="1511"/>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2392"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r>
      <w:tr w:rsidR="00290D1C">
        <w:trPr>
          <w:trHeight w:val="276"/>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 xml:space="preserve">年度目标完成   情况   </w:t>
            </w:r>
          </w:p>
        </w:tc>
        <w:tc>
          <w:tcPr>
            <w:tcW w:w="4784" w:type="dxa"/>
            <w:gridSpan w:val="3"/>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90D1C">
        <w:trPr>
          <w:trHeight w:val="1159"/>
          <w:jc w:val="center"/>
        </w:trPr>
        <w:tc>
          <w:tcPr>
            <w:tcW w:w="390" w:type="dxa"/>
            <w:vMerge/>
            <w:tcBorders>
              <w:tl2br w:val="nil"/>
              <w:tr2bl w:val="nil"/>
            </w:tcBorders>
            <w:tcMar>
              <w:top w:w="15" w:type="dxa"/>
              <w:left w:w="15" w:type="dxa"/>
              <w:right w:w="15" w:type="dxa"/>
            </w:tcMar>
            <w:vAlign w:val="center"/>
          </w:tcPr>
          <w:p w:rsidR="00290D1C" w:rsidRDefault="00290D1C">
            <w:pPr>
              <w:jc w:val="center"/>
              <w:rPr>
                <w:rFonts w:ascii="宋体" w:hAnsi="宋体" w:cs="宋体"/>
                <w:color w:val="000000"/>
                <w:sz w:val="24"/>
              </w:rPr>
            </w:pPr>
          </w:p>
        </w:tc>
        <w:tc>
          <w:tcPr>
            <w:tcW w:w="4784" w:type="dxa"/>
            <w:gridSpan w:val="3"/>
            <w:tcBorders>
              <w:tl2br w:val="nil"/>
              <w:tr2bl w:val="nil"/>
            </w:tcBorders>
            <w:tcMar>
              <w:top w:w="15" w:type="dxa"/>
              <w:left w:w="15" w:type="dxa"/>
              <w:right w:w="15" w:type="dxa"/>
            </w:tcMar>
            <w:vAlign w:val="center"/>
          </w:tcPr>
          <w:p w:rsidR="00290D1C" w:rsidRDefault="00AA6F46">
            <w:pPr>
              <w:widowControl/>
              <w:jc w:val="left"/>
              <w:textAlignment w:val="center"/>
              <w:rPr>
                <w:rFonts w:ascii="宋体" w:hAnsi="宋体" w:cs="宋体"/>
                <w:color w:val="000000"/>
                <w:sz w:val="24"/>
              </w:rPr>
            </w:pPr>
            <w:r>
              <w:rPr>
                <w:rFonts w:ascii="宋体" w:hAnsi="宋体" w:cs="宋体" w:hint="eastAsia"/>
                <w:color w:val="000000"/>
                <w:sz w:val="24"/>
              </w:rPr>
              <w:t>1.年底完成该项目的施工；2.年底完成该项目的质量验收和审计；3.年底完成该项目</w:t>
            </w:r>
            <w:proofErr w:type="gramStart"/>
            <w:r>
              <w:rPr>
                <w:rFonts w:ascii="宋体" w:hAnsi="宋体" w:cs="宋体" w:hint="eastAsia"/>
                <w:color w:val="000000"/>
                <w:sz w:val="24"/>
              </w:rPr>
              <w:t>的除质保金</w:t>
            </w:r>
            <w:proofErr w:type="gramEnd"/>
            <w:r>
              <w:rPr>
                <w:rFonts w:ascii="宋体" w:hAnsi="宋体" w:cs="宋体" w:hint="eastAsia"/>
                <w:color w:val="000000"/>
                <w:sz w:val="24"/>
              </w:rPr>
              <w:t>的资金拨付。</w:t>
            </w:r>
          </w:p>
        </w:tc>
        <w:tc>
          <w:tcPr>
            <w:tcW w:w="4786" w:type="dxa"/>
            <w:gridSpan w:val="2"/>
            <w:tcBorders>
              <w:tl2br w:val="nil"/>
              <w:tr2bl w:val="nil"/>
            </w:tcBorders>
            <w:tcMar>
              <w:top w:w="15" w:type="dxa"/>
              <w:left w:w="15" w:type="dxa"/>
              <w:right w:w="15" w:type="dxa"/>
            </w:tcMar>
            <w:vAlign w:val="center"/>
          </w:tcPr>
          <w:p w:rsidR="00290D1C" w:rsidRDefault="00AA6F46">
            <w:pPr>
              <w:widowControl/>
              <w:jc w:val="left"/>
              <w:textAlignment w:val="center"/>
              <w:rPr>
                <w:rFonts w:ascii="宋体" w:hAnsi="宋体" w:cs="宋体"/>
                <w:color w:val="000000"/>
                <w:sz w:val="24"/>
              </w:rPr>
            </w:pPr>
            <w:r>
              <w:rPr>
                <w:rFonts w:ascii="宋体" w:hAnsi="宋体" w:cs="宋体" w:hint="eastAsia"/>
                <w:color w:val="000000"/>
                <w:sz w:val="24"/>
              </w:rPr>
              <w:t>1.完成了该项目的施工；2.完成了该项目的质量验收和审计；3完成了该项目</w:t>
            </w:r>
            <w:proofErr w:type="gramStart"/>
            <w:r>
              <w:rPr>
                <w:rFonts w:ascii="宋体" w:hAnsi="宋体" w:cs="宋体" w:hint="eastAsia"/>
                <w:color w:val="000000"/>
                <w:sz w:val="24"/>
              </w:rPr>
              <w:t>的除质保金</w:t>
            </w:r>
            <w:proofErr w:type="gramEnd"/>
            <w:r>
              <w:rPr>
                <w:rFonts w:ascii="宋体" w:hAnsi="宋体" w:cs="宋体" w:hint="eastAsia"/>
                <w:color w:val="000000"/>
                <w:sz w:val="24"/>
              </w:rPr>
              <w:t>的资金拨付。</w:t>
            </w:r>
          </w:p>
        </w:tc>
      </w:tr>
      <w:tr w:rsidR="00290D1C">
        <w:trPr>
          <w:trHeight w:val="1042"/>
          <w:jc w:val="center"/>
        </w:trPr>
        <w:tc>
          <w:tcPr>
            <w:tcW w:w="390"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p>
        </w:tc>
      </w:tr>
      <w:tr w:rsidR="00290D1C">
        <w:trPr>
          <w:trHeight w:val="953"/>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l2br w:val="nil"/>
              <w:tr2bl w:val="nil"/>
            </w:tcBorders>
            <w:tcMar>
              <w:top w:w="15" w:type="dxa"/>
              <w:left w:w="15" w:type="dxa"/>
              <w:right w:w="15" w:type="dxa"/>
            </w:tcMar>
            <w:vAlign w:val="center"/>
          </w:tcPr>
          <w:p w:rsidR="00290D1C" w:rsidRDefault="00AA6F46">
            <w:pPr>
              <w:widowControl/>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年底前完成该项目的施工100%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年底完成该项目的质量验收100%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于2019年11月30日前完成该项目的施工</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施工时间100%完成</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kern w:val="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成本指标</w:t>
            </w:r>
          </w:p>
          <w:p w:rsidR="00290D1C" w:rsidRDefault="00290D1C">
            <w:pPr>
              <w:widowControl/>
              <w:jc w:val="center"/>
              <w:textAlignment w:val="center"/>
              <w:rPr>
                <w:rFonts w:ascii="宋体" w:hAnsi="宋体" w:cs="宋体"/>
                <w:color w:val="000000"/>
                <w:sz w:val="24"/>
              </w:rPr>
            </w:pP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r>
              <w:rPr>
                <w:rFonts w:ascii="宋体" w:hAnsi="宋体" w:cs="宋体" w:hint="eastAsia"/>
                <w:color w:val="000000"/>
                <w:sz w:val="24"/>
              </w:rPr>
              <w:t>完成100%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成本控制均参照相关</w:t>
            </w:r>
            <w:proofErr w:type="gramStart"/>
            <w:r>
              <w:rPr>
                <w:rFonts w:ascii="宋体" w:hAnsi="宋体" w:cs="宋体" w:hint="eastAsia"/>
                <w:color w:val="000000"/>
                <w:sz w:val="24"/>
              </w:rPr>
              <w:t>财评结果</w:t>
            </w:r>
            <w:proofErr w:type="gramEnd"/>
            <w:r>
              <w:rPr>
                <w:rFonts w:ascii="宋体" w:hAnsi="宋体" w:cs="宋体" w:hint="eastAsia"/>
                <w:color w:val="000000"/>
                <w:sz w:val="24"/>
              </w:rPr>
              <w:t>完成100%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val="restart"/>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经济效益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项目投资和效益比低于1：6</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社会效益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达到对地质灾害的防灾减灾，达到绿化生态建设</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042"/>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生态效益</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对生态环境创造良好的条件</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可持续影响指标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遏制环境的恶化，积极推进人与自然和谐相处</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完成度100%</w:t>
            </w:r>
          </w:p>
        </w:tc>
      </w:tr>
      <w:tr w:rsidR="00290D1C">
        <w:trPr>
          <w:trHeight w:val="1297"/>
          <w:jc w:val="center"/>
        </w:trPr>
        <w:tc>
          <w:tcPr>
            <w:tcW w:w="390" w:type="dxa"/>
            <w:vMerge/>
            <w:tcBorders>
              <w:tl2br w:val="nil"/>
              <w:tr2bl w:val="nil"/>
            </w:tcBorders>
            <w:tcMar>
              <w:top w:w="15" w:type="dxa"/>
              <w:left w:w="15" w:type="dxa"/>
              <w:right w:w="15" w:type="dxa"/>
            </w:tcMar>
            <w:vAlign w:val="center"/>
          </w:tcPr>
          <w:p w:rsidR="00290D1C" w:rsidRDefault="00290D1C">
            <w:pPr>
              <w:widowControl/>
              <w:jc w:val="center"/>
              <w:textAlignment w:val="center"/>
              <w:rPr>
                <w:rFonts w:ascii="宋体" w:hAnsi="宋体" w:cs="宋体"/>
                <w:color w:val="000000"/>
                <w:sz w:val="24"/>
              </w:rPr>
            </w:pPr>
          </w:p>
        </w:tc>
        <w:tc>
          <w:tcPr>
            <w:tcW w:w="1367"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服务对象</w:t>
            </w:r>
          </w:p>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针对保护或受益对象的满意评价打分</w:t>
            </w:r>
          </w:p>
        </w:tc>
        <w:tc>
          <w:tcPr>
            <w:tcW w:w="2394"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达到90分</w:t>
            </w:r>
          </w:p>
        </w:tc>
        <w:tc>
          <w:tcPr>
            <w:tcW w:w="2392" w:type="dxa"/>
            <w:tcBorders>
              <w:tl2br w:val="nil"/>
              <w:tr2bl w:val="nil"/>
            </w:tcBorders>
            <w:tcMar>
              <w:top w:w="15" w:type="dxa"/>
              <w:left w:w="15" w:type="dxa"/>
              <w:right w:w="15" w:type="dxa"/>
            </w:tcMar>
            <w:vAlign w:val="center"/>
          </w:tcPr>
          <w:p w:rsidR="00290D1C" w:rsidRDefault="00AA6F46">
            <w:pPr>
              <w:widowControl/>
              <w:jc w:val="center"/>
              <w:textAlignment w:val="center"/>
              <w:rPr>
                <w:rFonts w:ascii="宋体" w:hAnsi="宋体" w:cs="宋体"/>
                <w:color w:val="000000"/>
                <w:sz w:val="24"/>
              </w:rPr>
            </w:pPr>
            <w:r>
              <w:rPr>
                <w:rFonts w:ascii="宋体" w:hAnsi="宋体" w:cs="宋体" w:hint="eastAsia"/>
                <w:color w:val="000000"/>
                <w:sz w:val="24"/>
              </w:rPr>
              <w:t>达到90分</w:t>
            </w:r>
          </w:p>
        </w:tc>
      </w:tr>
    </w:tbl>
    <w:p w:rsidR="00290D1C" w:rsidRDefault="00AA6F46">
      <w:pPr>
        <w:spacing w:line="580" w:lineRule="exact"/>
        <w:ind w:left="630"/>
        <w:rPr>
          <w:rFonts w:ascii="仿宋_GB2312" w:eastAsia="仿宋_GB2312" w:hAnsi="仿宋_GB2312" w:cs="仿宋_GB2312"/>
          <w:sz w:val="32"/>
          <w:szCs w:val="32"/>
        </w:rPr>
      </w:pPr>
      <w:r>
        <w:rPr>
          <w:rFonts w:ascii="楷体_GB2312" w:eastAsia="楷体_GB2312" w:hAnsi="楷体_GB2312" w:cs="楷体_GB2312" w:hint="eastAsia"/>
          <w:sz w:val="32"/>
          <w:szCs w:val="32"/>
        </w:rPr>
        <w:t>2.部门绩效评价结果。</w:t>
      </w:r>
    </w:p>
    <w:p w:rsidR="00290D1C" w:rsidRDefault="00AA6F46">
      <w:pPr>
        <w:spacing w:line="580" w:lineRule="exact"/>
        <w:ind w:firstLineChars="200" w:firstLine="640"/>
        <w:rPr>
          <w:rFonts w:ascii="仿宋_GB2312" w:eastAsia="仿宋_GB2312"/>
          <w:b/>
          <w:color w:val="000000"/>
          <w:sz w:val="32"/>
          <w:szCs w:val="32"/>
        </w:rPr>
      </w:pPr>
      <w:r>
        <w:rPr>
          <w:rFonts w:ascii="仿宋_GB2312" w:eastAsia="仿宋_GB2312" w:hAnsi="仿宋_GB2312" w:cs="仿宋_GB2312" w:hint="eastAsia"/>
          <w:sz w:val="32"/>
          <w:szCs w:val="32"/>
        </w:rPr>
        <w:t>本部门按要求对2019年部门整体支出绩效评价情况开展自评，《茂县自然资源局2019年部门整体支出绩效评价报告》见附件（附件1）。</w:t>
      </w:r>
    </w:p>
    <w:p w:rsidR="00290D1C" w:rsidRDefault="00AA6F46">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290D1C" w:rsidRDefault="00AA6F46">
      <w:pPr>
        <w:numPr>
          <w:ilvl w:val="0"/>
          <w:numId w:val="3"/>
        </w:numPr>
        <w:spacing w:line="600" w:lineRule="exact"/>
        <w:ind w:firstLineChars="150" w:firstLine="660"/>
        <w:jc w:val="center"/>
        <w:outlineLvl w:val="0"/>
        <w:rPr>
          <w:rStyle w:val="1Char"/>
          <w:rFonts w:ascii="黑体" w:eastAsia="黑体" w:hAnsi="黑体"/>
          <w:b w:val="0"/>
        </w:rPr>
      </w:pPr>
      <w:bookmarkStart w:id="75" w:name="_Toc15396613"/>
      <w:bookmarkStart w:id="76" w:name="_Toc15377225"/>
      <w:bookmarkStart w:id="77" w:name="_Toc1388"/>
      <w:r>
        <w:rPr>
          <w:rFonts w:ascii="黑体" w:eastAsia="黑体" w:hAnsi="黑体" w:hint="eastAsia"/>
          <w:color w:val="000000"/>
          <w:sz w:val="44"/>
          <w:szCs w:val="44"/>
        </w:rPr>
        <w:lastRenderedPageBreak/>
        <w:t>名</w:t>
      </w:r>
      <w:r>
        <w:rPr>
          <w:rStyle w:val="1Char"/>
          <w:rFonts w:ascii="黑体" w:eastAsia="黑体" w:hAnsi="黑体" w:hint="eastAsia"/>
          <w:b w:val="0"/>
        </w:rPr>
        <w:t>词解释</w:t>
      </w:r>
      <w:bookmarkEnd w:id="75"/>
      <w:bookmarkEnd w:id="76"/>
      <w:bookmarkEnd w:id="77"/>
    </w:p>
    <w:p w:rsidR="00290D1C" w:rsidRDefault="00290D1C">
      <w:pPr>
        <w:spacing w:line="600" w:lineRule="exact"/>
        <w:jc w:val="left"/>
        <w:rPr>
          <w:rFonts w:ascii="宋体"/>
          <w:b/>
          <w:color w:val="000000"/>
          <w:sz w:val="44"/>
          <w:szCs w:val="44"/>
        </w:rPr>
      </w:pPr>
    </w:p>
    <w:p w:rsidR="00290D1C" w:rsidRDefault="00AA6F46">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290D1C" w:rsidRDefault="00AA6F46">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290D1C" w:rsidRDefault="00AA6F46">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290D1C" w:rsidRDefault="00AA6F46">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290D1C" w:rsidRDefault="00AA6F46">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290D1C" w:rsidRDefault="00AA6F46">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290D1C" w:rsidRDefault="00AA6F46">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290D1C" w:rsidRDefault="00AA6F46">
      <w:pPr>
        <w:pStyle w:val="Default"/>
        <w:spacing w:line="560" w:lineRule="exact"/>
        <w:ind w:firstLineChars="200" w:firstLine="640"/>
        <w:jc w:val="both"/>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9.社会保障和就业（类）行政事业单位离退休（款）机关事业单位基本养老保险缴费支出（项）：指部门实施养老保险制度由单位缴纳的养老保险费的支出。</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10.社会保障和就业（类）行政事业单位离退休（款）机关事业单位职业年金缴费支出（项）：指部门实施养老保险制度由单位缴纳的职业年金的支出。</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11.医疗卫生与计划生育（类）行政事业单位医疗（款）</w:t>
      </w:r>
    </w:p>
    <w:p w:rsidR="00290D1C" w:rsidRDefault="00AA6F46">
      <w:pPr>
        <w:spacing w:line="576" w:lineRule="exact"/>
        <w:rPr>
          <w:rFonts w:ascii="仿宋_GB2312" w:eastAsia="仿宋_GB2312"/>
          <w:color w:val="000000"/>
          <w:sz w:val="32"/>
          <w:szCs w:val="32"/>
        </w:rPr>
      </w:pPr>
      <w:r>
        <w:rPr>
          <w:rFonts w:ascii="仿宋_GB2312" w:eastAsia="仿宋_GB2312" w:hint="eastAsia"/>
          <w:color w:val="000000"/>
          <w:sz w:val="32"/>
          <w:szCs w:val="32"/>
        </w:rPr>
        <w:t>行政单位医疗（项）：</w:t>
      </w:r>
      <w:proofErr w:type="gramStart"/>
      <w:r>
        <w:rPr>
          <w:rFonts w:ascii="仿宋_GB2312" w:eastAsia="仿宋_GB2312" w:hint="eastAsia"/>
          <w:color w:val="000000"/>
          <w:sz w:val="32"/>
          <w:szCs w:val="32"/>
        </w:rPr>
        <w:t>指厅机关</w:t>
      </w:r>
      <w:proofErr w:type="gramEnd"/>
      <w:r>
        <w:rPr>
          <w:rFonts w:ascii="仿宋_GB2312" w:eastAsia="仿宋_GB2312" w:hint="eastAsia"/>
          <w:color w:val="000000"/>
          <w:sz w:val="32"/>
          <w:szCs w:val="32"/>
        </w:rPr>
        <w:t>及</w:t>
      </w:r>
      <w:proofErr w:type="gramStart"/>
      <w:r>
        <w:rPr>
          <w:rFonts w:ascii="仿宋_GB2312" w:eastAsia="仿宋_GB2312" w:hint="eastAsia"/>
          <w:color w:val="000000"/>
          <w:sz w:val="32"/>
          <w:szCs w:val="32"/>
        </w:rPr>
        <w:t>参公管理</w:t>
      </w:r>
      <w:proofErr w:type="gramEnd"/>
      <w:r>
        <w:rPr>
          <w:rFonts w:ascii="仿宋_GB2312" w:eastAsia="仿宋_GB2312" w:hint="eastAsia"/>
          <w:color w:val="000000"/>
          <w:sz w:val="32"/>
          <w:szCs w:val="32"/>
        </w:rPr>
        <w:t>事业单位用于</w:t>
      </w:r>
      <w:proofErr w:type="gramStart"/>
      <w:r>
        <w:rPr>
          <w:rFonts w:ascii="仿宋_GB2312" w:eastAsia="仿宋_GB2312" w:hint="eastAsia"/>
          <w:color w:val="000000"/>
          <w:sz w:val="32"/>
          <w:szCs w:val="32"/>
        </w:rPr>
        <w:t>缴</w:t>
      </w:r>
      <w:proofErr w:type="gramEnd"/>
    </w:p>
    <w:p w:rsidR="00290D1C" w:rsidRDefault="00AA6F46">
      <w:pPr>
        <w:spacing w:line="576" w:lineRule="exact"/>
        <w:rPr>
          <w:rFonts w:ascii="仿宋_GB2312" w:eastAsia="仿宋_GB2312"/>
          <w:color w:val="000000"/>
          <w:sz w:val="32"/>
          <w:szCs w:val="32"/>
        </w:rPr>
      </w:pPr>
      <w:proofErr w:type="gramStart"/>
      <w:r>
        <w:rPr>
          <w:rFonts w:ascii="仿宋_GB2312" w:eastAsia="仿宋_GB2312" w:hint="eastAsia"/>
          <w:color w:val="000000"/>
          <w:sz w:val="32"/>
          <w:szCs w:val="32"/>
        </w:rPr>
        <w:t>纳单位</w:t>
      </w:r>
      <w:proofErr w:type="gramEnd"/>
      <w:r>
        <w:rPr>
          <w:rFonts w:ascii="仿宋_GB2312" w:eastAsia="仿宋_GB2312" w:hint="eastAsia"/>
          <w:color w:val="000000"/>
          <w:sz w:val="32"/>
          <w:szCs w:val="32"/>
        </w:rPr>
        <w:t xml:space="preserve">基本医疗保险支出。 </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12.医疗卫生与计划生育（类）行政事业单位医疗（款）</w:t>
      </w:r>
    </w:p>
    <w:p w:rsidR="00290D1C" w:rsidRDefault="00AA6F46">
      <w:pPr>
        <w:spacing w:line="576" w:lineRule="exact"/>
        <w:rPr>
          <w:rFonts w:ascii="仿宋_GB2312" w:eastAsia="仿宋_GB2312"/>
          <w:color w:val="000000"/>
          <w:sz w:val="32"/>
          <w:szCs w:val="32"/>
        </w:rPr>
      </w:pPr>
      <w:r>
        <w:rPr>
          <w:rFonts w:ascii="仿宋_GB2312" w:eastAsia="仿宋_GB2312" w:hint="eastAsia"/>
          <w:color w:val="000000"/>
          <w:sz w:val="32"/>
          <w:szCs w:val="32"/>
        </w:rPr>
        <w:t>事业单位医疗（项）：指事业单位用于缴纳单位基本医疗保</w:t>
      </w:r>
    </w:p>
    <w:p w:rsidR="00290D1C" w:rsidRDefault="00AA6F46">
      <w:pPr>
        <w:spacing w:line="576" w:lineRule="exact"/>
        <w:rPr>
          <w:rFonts w:ascii="仿宋_GB2312" w:eastAsia="仿宋_GB2312"/>
          <w:color w:val="000000"/>
          <w:sz w:val="32"/>
          <w:szCs w:val="32"/>
        </w:rPr>
      </w:pPr>
      <w:r>
        <w:rPr>
          <w:rFonts w:ascii="仿宋_GB2312" w:eastAsia="仿宋_GB2312" w:hint="eastAsia"/>
          <w:color w:val="000000"/>
          <w:sz w:val="32"/>
          <w:szCs w:val="32"/>
        </w:rPr>
        <w:t>险支出。</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 xml:space="preserve">.住房保障（类）住房改革支出（款）住房公积金（项）： </w:t>
      </w:r>
    </w:p>
    <w:p w:rsidR="00290D1C" w:rsidRDefault="00AA6F46">
      <w:pPr>
        <w:spacing w:line="576" w:lineRule="exact"/>
        <w:rPr>
          <w:rFonts w:ascii="仿宋_GB2312" w:eastAsia="仿宋_GB2312"/>
          <w:color w:val="000000"/>
          <w:sz w:val="32"/>
          <w:szCs w:val="32"/>
        </w:rPr>
      </w:pPr>
      <w:r>
        <w:rPr>
          <w:rFonts w:ascii="仿宋_GB2312" w:eastAsia="仿宋_GB2312"/>
          <w:color w:val="000000"/>
          <w:sz w:val="32"/>
          <w:szCs w:val="32"/>
        </w:rPr>
        <w:t xml:space="preserve">反映行政事业单位按规定为职工缴纳的住房公积金。 </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 xml:space="preserve">.住房保障（类）住房改革支出（款）购房补贴（项）： </w:t>
      </w:r>
    </w:p>
    <w:p w:rsidR="00290D1C" w:rsidRDefault="00AA6F46">
      <w:pPr>
        <w:spacing w:line="576" w:lineRule="exact"/>
        <w:rPr>
          <w:rFonts w:ascii="仿宋_GB2312" w:eastAsia="仿宋_GB2312"/>
          <w:color w:val="000000"/>
          <w:sz w:val="32"/>
          <w:szCs w:val="32"/>
        </w:rPr>
      </w:pPr>
      <w:r>
        <w:rPr>
          <w:rFonts w:ascii="仿宋_GB2312" w:eastAsia="仿宋_GB2312"/>
          <w:color w:val="000000"/>
          <w:sz w:val="32"/>
          <w:szCs w:val="32"/>
        </w:rPr>
        <w:t>指根据房改政策规定的标准，向符合条件职工发放的用于购</w:t>
      </w:r>
    </w:p>
    <w:p w:rsidR="00290D1C" w:rsidRDefault="00AA6F46">
      <w:pPr>
        <w:spacing w:line="576" w:lineRule="exact"/>
        <w:rPr>
          <w:rFonts w:ascii="仿宋_GB2312" w:eastAsia="仿宋_GB2312"/>
          <w:color w:val="000000"/>
          <w:sz w:val="32"/>
          <w:szCs w:val="32"/>
        </w:rPr>
      </w:pPr>
      <w:r>
        <w:rPr>
          <w:rFonts w:ascii="仿宋_GB2312" w:eastAsia="仿宋_GB2312"/>
          <w:color w:val="000000"/>
          <w:sz w:val="32"/>
          <w:szCs w:val="32"/>
        </w:rPr>
        <w:t xml:space="preserve">买住房的补贴。 </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15.农林水支出</w:t>
      </w:r>
      <w:r>
        <w:rPr>
          <w:rFonts w:ascii="仿宋_GB2312" w:eastAsia="仿宋_GB2312"/>
          <w:color w:val="000000"/>
          <w:sz w:val="32"/>
          <w:szCs w:val="32"/>
        </w:rPr>
        <w:t>（类）</w:t>
      </w:r>
      <w:r>
        <w:rPr>
          <w:rFonts w:ascii="仿宋_GB2312" w:eastAsia="仿宋_GB2312" w:hint="eastAsia"/>
          <w:color w:val="000000"/>
          <w:sz w:val="32"/>
          <w:szCs w:val="32"/>
        </w:rPr>
        <w:t>扶贫</w:t>
      </w:r>
      <w:r>
        <w:rPr>
          <w:rFonts w:ascii="仿宋_GB2312" w:eastAsia="仿宋_GB2312"/>
          <w:color w:val="000000"/>
          <w:sz w:val="32"/>
          <w:szCs w:val="32"/>
        </w:rPr>
        <w:t>（款）</w:t>
      </w:r>
      <w:r>
        <w:rPr>
          <w:rFonts w:ascii="仿宋_GB2312" w:eastAsia="仿宋_GB2312" w:hint="eastAsia"/>
          <w:color w:val="000000"/>
          <w:sz w:val="32"/>
          <w:szCs w:val="32"/>
        </w:rPr>
        <w:t>农村基础设施建设</w:t>
      </w:r>
      <w:r>
        <w:rPr>
          <w:rFonts w:ascii="仿宋_GB2312" w:eastAsia="仿宋_GB2312"/>
          <w:color w:val="000000"/>
          <w:sz w:val="32"/>
          <w:szCs w:val="32"/>
        </w:rPr>
        <w:t>（项）</w:t>
      </w:r>
      <w:r>
        <w:rPr>
          <w:rFonts w:ascii="仿宋_GB2312" w:eastAsia="仿宋_GB2312" w:hint="eastAsia"/>
          <w:color w:val="000000"/>
          <w:sz w:val="32"/>
          <w:szCs w:val="32"/>
        </w:rPr>
        <w:t>：</w:t>
      </w:r>
    </w:p>
    <w:p w:rsidR="00290D1C" w:rsidRDefault="00AA6F46">
      <w:pPr>
        <w:spacing w:line="576" w:lineRule="exact"/>
        <w:rPr>
          <w:rFonts w:ascii="仿宋_GB2312" w:eastAsia="仿宋_GB2312"/>
          <w:color w:val="000000"/>
          <w:sz w:val="32"/>
          <w:szCs w:val="32"/>
        </w:rPr>
      </w:pPr>
      <w:r>
        <w:rPr>
          <w:rFonts w:ascii="仿宋_GB2312" w:eastAsia="仿宋_GB2312" w:hint="eastAsia"/>
          <w:color w:val="000000"/>
          <w:sz w:val="32"/>
          <w:szCs w:val="32"/>
        </w:rPr>
        <w:t>用于</w:t>
      </w:r>
      <w:r>
        <w:rPr>
          <w:rFonts w:ascii="仿宋_GB2312" w:eastAsia="仿宋_GB2312"/>
          <w:color w:val="000000"/>
          <w:sz w:val="32"/>
          <w:szCs w:val="32"/>
        </w:rPr>
        <w:t>农村</w:t>
      </w:r>
      <w:r>
        <w:rPr>
          <w:rFonts w:ascii="仿宋_GB2312" w:eastAsia="仿宋_GB2312" w:hint="eastAsia"/>
          <w:color w:val="000000"/>
          <w:sz w:val="32"/>
          <w:szCs w:val="32"/>
        </w:rPr>
        <w:t>贫困地区乡村道路、住房、基本农田等生活条件改善方面的支出。</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16.农林水支出</w:t>
      </w:r>
      <w:r>
        <w:rPr>
          <w:rFonts w:ascii="仿宋_GB2312" w:eastAsia="仿宋_GB2312"/>
          <w:color w:val="000000"/>
          <w:sz w:val="32"/>
          <w:szCs w:val="32"/>
        </w:rPr>
        <w:t>（类）</w:t>
      </w:r>
      <w:r>
        <w:rPr>
          <w:rFonts w:ascii="仿宋_GB2312" w:eastAsia="仿宋_GB2312" w:hint="eastAsia"/>
          <w:color w:val="000000"/>
          <w:sz w:val="32"/>
          <w:szCs w:val="32"/>
        </w:rPr>
        <w:t>扶贫</w:t>
      </w:r>
      <w:r>
        <w:rPr>
          <w:rFonts w:ascii="仿宋_GB2312" w:eastAsia="仿宋_GB2312"/>
          <w:color w:val="000000"/>
          <w:sz w:val="32"/>
          <w:szCs w:val="32"/>
        </w:rPr>
        <w:t>（款）</w:t>
      </w:r>
      <w:r>
        <w:rPr>
          <w:rFonts w:ascii="仿宋_GB2312" w:eastAsia="仿宋_GB2312" w:hint="eastAsia"/>
          <w:color w:val="000000"/>
          <w:sz w:val="32"/>
          <w:szCs w:val="32"/>
        </w:rPr>
        <w:t>其他扶贫支出</w:t>
      </w:r>
      <w:r>
        <w:rPr>
          <w:rFonts w:ascii="仿宋_GB2312" w:eastAsia="仿宋_GB2312"/>
          <w:color w:val="000000"/>
          <w:sz w:val="32"/>
          <w:szCs w:val="32"/>
        </w:rPr>
        <w:t>（项）</w:t>
      </w:r>
      <w:r>
        <w:rPr>
          <w:rFonts w:ascii="仿宋_GB2312" w:eastAsia="仿宋_GB2312" w:hint="eastAsia"/>
          <w:color w:val="000000"/>
          <w:sz w:val="32"/>
          <w:szCs w:val="32"/>
        </w:rPr>
        <w:t>：</w:t>
      </w:r>
    </w:p>
    <w:p w:rsidR="00290D1C" w:rsidRDefault="00AA6F46">
      <w:pPr>
        <w:spacing w:line="576" w:lineRule="exact"/>
        <w:rPr>
          <w:rFonts w:ascii="仿宋_GB2312" w:eastAsia="仿宋_GB2312"/>
          <w:color w:val="000000"/>
          <w:sz w:val="32"/>
          <w:szCs w:val="32"/>
        </w:rPr>
      </w:pPr>
      <w:r>
        <w:rPr>
          <w:rFonts w:ascii="仿宋_GB2312" w:eastAsia="仿宋_GB2312" w:hint="eastAsia"/>
          <w:color w:val="000000"/>
          <w:sz w:val="32"/>
          <w:szCs w:val="32"/>
        </w:rPr>
        <w:t>反映除上述项目以外其他用于扶贫方面的支出。</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17.农林水支出</w:t>
      </w:r>
      <w:r>
        <w:rPr>
          <w:rFonts w:ascii="仿宋_GB2312" w:eastAsia="仿宋_GB2312"/>
          <w:color w:val="000000"/>
          <w:sz w:val="32"/>
          <w:szCs w:val="32"/>
        </w:rPr>
        <w:t>（类）</w:t>
      </w:r>
      <w:r>
        <w:rPr>
          <w:rFonts w:ascii="仿宋_GB2312" w:eastAsia="仿宋_GB2312" w:hint="eastAsia"/>
          <w:color w:val="000000"/>
          <w:sz w:val="32"/>
          <w:szCs w:val="32"/>
        </w:rPr>
        <w:t>其他农林水支出</w:t>
      </w:r>
      <w:r>
        <w:rPr>
          <w:rFonts w:ascii="仿宋_GB2312" w:eastAsia="仿宋_GB2312"/>
          <w:color w:val="000000"/>
          <w:sz w:val="32"/>
          <w:szCs w:val="32"/>
        </w:rPr>
        <w:t>（款）</w:t>
      </w:r>
      <w:r>
        <w:rPr>
          <w:rFonts w:ascii="仿宋_GB2312" w:eastAsia="仿宋_GB2312" w:hint="eastAsia"/>
          <w:color w:val="000000"/>
          <w:sz w:val="32"/>
          <w:szCs w:val="32"/>
        </w:rPr>
        <w:t>其他农林水支出</w:t>
      </w:r>
      <w:r>
        <w:rPr>
          <w:rFonts w:ascii="仿宋_GB2312" w:eastAsia="仿宋_GB2312"/>
          <w:color w:val="000000"/>
          <w:sz w:val="32"/>
          <w:szCs w:val="32"/>
        </w:rPr>
        <w:t>（项）</w:t>
      </w:r>
      <w:r>
        <w:rPr>
          <w:rFonts w:ascii="仿宋_GB2312" w:eastAsia="仿宋_GB2312" w:hint="eastAsia"/>
          <w:color w:val="000000"/>
          <w:sz w:val="32"/>
          <w:szCs w:val="32"/>
        </w:rPr>
        <w:t>：反映除化解债务支出以外其他用于农林水方面的支出。</w:t>
      </w:r>
    </w:p>
    <w:p w:rsidR="00290D1C" w:rsidRDefault="00AA6F46">
      <w:pPr>
        <w:spacing w:line="576" w:lineRule="exact"/>
        <w:ind w:firstLineChars="200" w:firstLine="640"/>
        <w:rPr>
          <w:rFonts w:ascii="仿宋_GB2312" w:eastAsia="仿宋_GB2312"/>
          <w:sz w:val="32"/>
          <w:szCs w:val="32"/>
        </w:rPr>
      </w:pPr>
      <w:r>
        <w:rPr>
          <w:rFonts w:ascii="仿宋_GB2312" w:eastAsia="仿宋_GB2312" w:hint="eastAsia"/>
          <w:color w:val="000000"/>
          <w:sz w:val="32"/>
          <w:szCs w:val="32"/>
        </w:rPr>
        <w:t>18.自然资源海洋气象等支出（类）自然资源事务（款）行政运</w:t>
      </w:r>
      <w:r>
        <w:rPr>
          <w:rFonts w:ascii="仿宋_GB2312" w:eastAsia="仿宋_GB2312" w:hint="eastAsia"/>
          <w:sz w:val="32"/>
          <w:szCs w:val="32"/>
        </w:rPr>
        <w:t>行（项）：反映用于自然资源行政单位的基本支出。</w:t>
      </w:r>
    </w:p>
    <w:p w:rsidR="00290D1C" w:rsidRDefault="00AA6F46">
      <w:pPr>
        <w:spacing w:line="576" w:lineRule="exact"/>
        <w:ind w:firstLineChars="200" w:firstLine="640"/>
        <w:rPr>
          <w:rFonts w:ascii="仿宋_GB2312" w:eastAsia="仿宋_GB2312"/>
          <w:sz w:val="32"/>
          <w:szCs w:val="32"/>
        </w:rPr>
      </w:pPr>
      <w:r>
        <w:rPr>
          <w:rFonts w:ascii="仿宋_GB2312" w:eastAsia="仿宋_GB2312" w:hint="eastAsia"/>
          <w:sz w:val="32"/>
          <w:szCs w:val="32"/>
        </w:rPr>
        <w:lastRenderedPageBreak/>
        <w:t>19.自然资源海洋气象等支出（类）自然资源事务（款）一般行政管理事务（项）：反映未单独设置项级科目的其他项目支出</w:t>
      </w:r>
    </w:p>
    <w:p w:rsidR="00290D1C" w:rsidRDefault="00AA6F46">
      <w:pPr>
        <w:spacing w:line="576" w:lineRule="exact"/>
        <w:ind w:firstLineChars="200" w:firstLine="640"/>
        <w:rPr>
          <w:rFonts w:ascii="仿宋_GB2312" w:eastAsia="仿宋_GB2312"/>
          <w:sz w:val="32"/>
          <w:szCs w:val="32"/>
        </w:rPr>
      </w:pPr>
      <w:r>
        <w:rPr>
          <w:rFonts w:ascii="仿宋_GB2312" w:eastAsia="仿宋_GB2312" w:hint="eastAsia"/>
          <w:sz w:val="32"/>
          <w:szCs w:val="32"/>
        </w:rPr>
        <w:t>20.自然资源海洋气象等支出（类）自然资源事务（款）土地资源调查（项）：反映用于土地资源调查评价、土地利用变更调查、地籍调查等方面的支出。</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hint="eastAsia"/>
          <w:sz w:val="32"/>
          <w:szCs w:val="32"/>
        </w:rPr>
        <w:t>21.自然资源海洋气象等支出（类</w:t>
      </w:r>
      <w:r>
        <w:rPr>
          <w:rFonts w:ascii="仿宋_GB2312" w:eastAsia="仿宋_GB2312" w:hint="eastAsia"/>
          <w:color w:val="000000"/>
          <w:sz w:val="32"/>
          <w:szCs w:val="32"/>
        </w:rPr>
        <w:t>）自然资源事务（款）事业运行（项）：反映用于自然资源事业单位的基本支出。</w:t>
      </w:r>
    </w:p>
    <w:p w:rsidR="00290D1C" w:rsidRDefault="00AA6F46">
      <w:pPr>
        <w:spacing w:line="576" w:lineRule="exact"/>
        <w:ind w:firstLine="640"/>
        <w:rPr>
          <w:rFonts w:ascii="仿宋_GB2312" w:eastAsia="仿宋_GB2312"/>
          <w:color w:val="000000"/>
          <w:sz w:val="32"/>
          <w:szCs w:val="32"/>
        </w:rPr>
      </w:pPr>
      <w:r>
        <w:rPr>
          <w:rFonts w:ascii="仿宋_GB2312" w:eastAsia="仿宋_GB2312" w:hint="eastAsia"/>
          <w:color w:val="000000"/>
          <w:sz w:val="32"/>
          <w:szCs w:val="32"/>
        </w:rPr>
        <w:t>22.自然资源海洋气象等支出（类）自然资源事务（款）其他自然资源事务支出（项）：反映除上述项目以外其他用于自然资源事务方面的支出。</w:t>
      </w:r>
    </w:p>
    <w:p w:rsidR="00290D1C" w:rsidRDefault="00AA6F46">
      <w:pPr>
        <w:spacing w:line="576" w:lineRule="exact"/>
        <w:ind w:firstLine="640"/>
        <w:rPr>
          <w:rFonts w:ascii="仿宋_GB2312" w:eastAsia="仿宋_GB2312"/>
          <w:color w:val="000000"/>
          <w:sz w:val="32"/>
          <w:szCs w:val="32"/>
        </w:rPr>
      </w:pPr>
      <w:r>
        <w:rPr>
          <w:rFonts w:ascii="仿宋_GB2312" w:eastAsia="仿宋_GB2312" w:hint="eastAsia"/>
          <w:color w:val="000000"/>
          <w:sz w:val="32"/>
          <w:szCs w:val="32"/>
        </w:rPr>
        <w:t>23.灾害防治及应急管理支出（类）自然灾害防治（款）地质灾害防治（项）：反映防治地质灾害方面的支出。</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290D1C" w:rsidRDefault="00AA6F46">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6</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290D1C" w:rsidRDefault="00AA6F46">
      <w:pPr>
        <w:pStyle w:val="Default"/>
        <w:spacing w:line="576" w:lineRule="exact"/>
        <w:ind w:firstLineChars="200" w:firstLine="640"/>
        <w:jc w:val="both"/>
        <w:rPr>
          <w:rFonts w:ascii="仿宋_GB2312" w:eastAsia="仿宋_GB2312"/>
          <w:sz w:val="32"/>
          <w:szCs w:val="32"/>
        </w:rPr>
      </w:pPr>
      <w:r>
        <w:rPr>
          <w:rFonts w:ascii="仿宋_GB2312" w:eastAsia="仿宋_GB2312" w:hint="eastAsia"/>
          <w:sz w:val="32"/>
          <w:szCs w:val="32"/>
        </w:rPr>
        <w:t>27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w:t>
      </w:r>
      <w:r>
        <w:rPr>
          <w:rFonts w:ascii="仿宋_GB2312" w:eastAsia="仿宋_GB2312" w:hint="eastAsia"/>
          <w:sz w:val="32"/>
          <w:szCs w:val="32"/>
        </w:rPr>
        <w:lastRenderedPageBreak/>
        <w:t>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290D1C" w:rsidRDefault="00AA6F46">
      <w:pPr>
        <w:pStyle w:val="Default"/>
        <w:spacing w:line="576" w:lineRule="exact"/>
        <w:ind w:firstLineChars="200" w:firstLine="640"/>
        <w:jc w:val="both"/>
        <w:rPr>
          <w:rFonts w:ascii="仿宋_GB2312" w:eastAsia="仿宋_GB2312"/>
          <w:sz w:val="32"/>
          <w:szCs w:val="32"/>
        </w:rPr>
      </w:pPr>
      <w:r>
        <w:rPr>
          <w:rFonts w:ascii="仿宋_GB2312" w:eastAsia="仿宋_GB2312" w:hint="eastAsia"/>
          <w:sz w:val="32"/>
          <w:szCs w:val="32"/>
        </w:rPr>
        <w:t>28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90D1C" w:rsidRDefault="00AA6F46">
      <w:pPr>
        <w:pStyle w:val="Default"/>
        <w:spacing w:line="576" w:lineRule="exact"/>
        <w:ind w:firstLineChars="200" w:firstLine="640"/>
        <w:jc w:val="both"/>
        <w:rPr>
          <w:rFonts w:ascii="仿宋_GB2312" w:eastAsia="仿宋_GB2312" w:cs="黑体"/>
          <w:sz w:val="32"/>
          <w:szCs w:val="32"/>
        </w:rPr>
      </w:pPr>
      <w:r>
        <w:rPr>
          <w:rFonts w:ascii="仿宋_GB2312" w:eastAsia="仿宋_GB2312" w:cs="黑体" w:hint="eastAsia"/>
          <w:sz w:val="32"/>
          <w:szCs w:val="32"/>
        </w:rPr>
        <w:t>39</w:t>
      </w:r>
      <w:r>
        <w:rPr>
          <w:rFonts w:ascii="仿宋_GB2312" w:eastAsia="仿宋_GB2312" w:cs="黑体"/>
          <w:sz w:val="32"/>
          <w:szCs w:val="32"/>
        </w:rPr>
        <w:t>.财政应返还额度：为行政事业单位会计核算科目</w:t>
      </w:r>
      <w:r>
        <w:rPr>
          <w:rFonts w:ascii="仿宋_GB2312" w:eastAsia="仿宋_GB2312" w:cs="黑体" w:hint="eastAsia"/>
          <w:sz w:val="32"/>
          <w:szCs w:val="32"/>
        </w:rPr>
        <w:t>，用于核算实行国库集中支付的行政事业单位应收财政返</w:t>
      </w:r>
      <w:bookmarkStart w:id="78" w:name="_Toc7185"/>
      <w:r>
        <w:rPr>
          <w:rFonts w:ascii="仿宋_GB2312" w:eastAsia="仿宋_GB2312" w:cs="黑体" w:hint="eastAsia"/>
          <w:sz w:val="32"/>
          <w:szCs w:val="32"/>
        </w:rPr>
        <w:t>还的资金额度。</w:t>
      </w:r>
      <w:bookmarkStart w:id="79" w:name="_Toc15396614"/>
      <w:bookmarkStart w:id="80" w:name="_Toc15377226"/>
    </w:p>
    <w:p w:rsidR="00290D1C" w:rsidRDefault="00AA6F46">
      <w:pPr>
        <w:rPr>
          <w:rFonts w:ascii="仿宋_GB2312" w:eastAsia="仿宋_GB2312" w:cs="黑体"/>
          <w:sz w:val="32"/>
          <w:szCs w:val="32"/>
        </w:rPr>
      </w:pPr>
      <w:r>
        <w:rPr>
          <w:rFonts w:ascii="仿宋_GB2312" w:eastAsia="仿宋_GB2312" w:cs="黑体" w:hint="eastAsia"/>
          <w:sz w:val="32"/>
          <w:szCs w:val="32"/>
        </w:rPr>
        <w:br w:type="page"/>
      </w:r>
    </w:p>
    <w:p w:rsidR="00290D1C" w:rsidRDefault="00AA6F46">
      <w:pPr>
        <w:pStyle w:val="Default"/>
        <w:spacing w:line="576" w:lineRule="exact"/>
        <w:ind w:firstLineChars="200" w:firstLine="880"/>
        <w:jc w:val="center"/>
        <w:rPr>
          <w:rStyle w:val="1Char"/>
          <w:rFonts w:ascii="黑体" w:eastAsia="黑体" w:hAnsi="黑体"/>
          <w:b w:val="0"/>
        </w:rPr>
      </w:pPr>
      <w:r>
        <w:rPr>
          <w:rFonts w:ascii="黑体" w:eastAsia="黑体" w:hAnsi="黑体" w:hint="eastAsia"/>
          <w:sz w:val="44"/>
          <w:szCs w:val="44"/>
        </w:rPr>
        <w:lastRenderedPageBreak/>
        <w:t>第</w:t>
      </w:r>
      <w:r>
        <w:rPr>
          <w:rStyle w:val="1Char"/>
          <w:rFonts w:ascii="黑体" w:eastAsia="黑体" w:hAnsi="黑体" w:hint="eastAsia"/>
          <w:b w:val="0"/>
        </w:rPr>
        <w:t>四部分 附件</w:t>
      </w:r>
      <w:bookmarkEnd w:id="78"/>
      <w:bookmarkEnd w:id="79"/>
    </w:p>
    <w:p w:rsidR="00290D1C" w:rsidRDefault="00AA6F46">
      <w:pPr>
        <w:spacing w:line="600" w:lineRule="exact"/>
        <w:jc w:val="left"/>
        <w:outlineLvl w:val="0"/>
        <w:rPr>
          <w:rFonts w:ascii="方正小标宋简体" w:eastAsia="方正小标宋简体" w:hAnsi="方正小标宋简体" w:cs="方正小标宋简体"/>
          <w:sz w:val="32"/>
          <w:szCs w:val="32"/>
        </w:rPr>
      </w:pPr>
      <w:bookmarkStart w:id="81" w:name="_Toc19531"/>
      <w:r>
        <w:rPr>
          <w:rFonts w:ascii="黑体" w:eastAsia="黑体" w:hAnsi="黑体" w:cs="黑体" w:hint="eastAsia"/>
          <w:sz w:val="32"/>
          <w:szCs w:val="32"/>
        </w:rPr>
        <w:t>附件1</w:t>
      </w:r>
      <w:bookmarkEnd w:id="81"/>
    </w:p>
    <w:p w:rsidR="00290D1C" w:rsidRDefault="00290D1C">
      <w:pPr>
        <w:spacing w:line="580" w:lineRule="exact"/>
        <w:jc w:val="center"/>
        <w:rPr>
          <w:rFonts w:ascii="方正小标宋简体" w:eastAsia="方正小标宋简体" w:hAnsi="方正小标宋简体" w:cs="方正小标宋简体"/>
          <w:sz w:val="44"/>
          <w:szCs w:val="44"/>
        </w:rPr>
      </w:pPr>
    </w:p>
    <w:p w:rsidR="00290D1C" w:rsidRDefault="00AA6F46">
      <w:pPr>
        <w:spacing w:line="600" w:lineRule="exact"/>
        <w:jc w:val="center"/>
        <w:outlineLvl w:val="0"/>
        <w:rPr>
          <w:rFonts w:ascii="方正小标宋简体" w:eastAsia="方正小标宋简体" w:hAnsi="宋体"/>
          <w:color w:val="000000"/>
          <w:kern w:val="0"/>
          <w:sz w:val="40"/>
          <w:szCs w:val="44"/>
        </w:rPr>
      </w:pPr>
      <w:bookmarkStart w:id="82" w:name="_Toc28559"/>
      <w:r>
        <w:rPr>
          <w:rFonts w:ascii="方正小标宋简体" w:eastAsia="方正小标宋简体" w:hAnsi="宋体" w:hint="eastAsia"/>
          <w:color w:val="000000"/>
          <w:kern w:val="0"/>
          <w:sz w:val="40"/>
          <w:szCs w:val="44"/>
        </w:rPr>
        <w:t>茂县自然资源局</w:t>
      </w:r>
    </w:p>
    <w:p w:rsidR="00290D1C" w:rsidRDefault="00AA6F46">
      <w:pPr>
        <w:spacing w:line="600" w:lineRule="exact"/>
        <w:jc w:val="center"/>
        <w:outlineLvl w:val="0"/>
        <w:rPr>
          <w:rFonts w:ascii="方正小标宋简体" w:eastAsia="方正小标宋简体" w:hAnsi="宋体"/>
          <w:color w:val="000000"/>
          <w:kern w:val="0"/>
          <w:sz w:val="40"/>
          <w:szCs w:val="44"/>
          <w:lang w:val="zh-CN"/>
        </w:rPr>
      </w:pPr>
      <w:r>
        <w:rPr>
          <w:rFonts w:ascii="方正小标宋简体" w:eastAsia="方正小标宋简体" w:hAnsi="宋体"/>
          <w:color w:val="000000"/>
          <w:kern w:val="0"/>
          <w:sz w:val="40"/>
          <w:szCs w:val="44"/>
        </w:rPr>
        <w:t>2019年部门</w:t>
      </w:r>
      <w:r>
        <w:rPr>
          <w:rFonts w:ascii="方正小标宋简体" w:eastAsia="方正小标宋简体" w:hAnsi="宋体" w:hint="eastAsia"/>
          <w:color w:val="000000"/>
          <w:kern w:val="0"/>
          <w:sz w:val="40"/>
          <w:szCs w:val="44"/>
          <w:lang w:val="zh-CN"/>
        </w:rPr>
        <w:t>整体支出绩效评价报告</w:t>
      </w:r>
      <w:bookmarkEnd w:id="82"/>
    </w:p>
    <w:p w:rsidR="00290D1C" w:rsidRDefault="00AA6F46">
      <w:pPr>
        <w:widowControl/>
        <w:spacing w:line="580" w:lineRule="exact"/>
        <w:ind w:firstLineChars="200" w:firstLine="640"/>
        <w:contextualSpacing/>
        <w:jc w:val="center"/>
        <w:outlineLvl w:val="0"/>
        <w:rPr>
          <w:rFonts w:ascii="仿宋_GB2312" w:eastAsia="仿宋_GB2312" w:hAnsi="宋体"/>
          <w:sz w:val="32"/>
          <w:szCs w:val="32"/>
          <w:shd w:val="clear" w:color="auto" w:fill="FFFFFF"/>
        </w:rPr>
      </w:pPr>
      <w:bookmarkStart w:id="83" w:name="_Toc30872"/>
      <w:r>
        <w:rPr>
          <w:rFonts w:ascii="仿宋_GB2312" w:eastAsia="仿宋_GB2312" w:hAnsi="宋体" w:hint="eastAsia"/>
          <w:sz w:val="32"/>
          <w:szCs w:val="32"/>
          <w:shd w:val="clear" w:color="auto" w:fill="FFFFFF"/>
        </w:rPr>
        <w:t>（报告范围包括机关和下属单位）</w:t>
      </w:r>
      <w:bookmarkEnd w:id="83"/>
    </w:p>
    <w:p w:rsidR="00290D1C" w:rsidRDefault="00290D1C">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rsidR="00290D1C" w:rsidRDefault="00AA6F46">
      <w:pPr>
        <w:widowControl/>
        <w:adjustRightInd w:val="0"/>
        <w:snapToGrid w:val="0"/>
        <w:spacing w:line="580" w:lineRule="exact"/>
        <w:ind w:firstLineChars="200" w:firstLine="640"/>
        <w:contextualSpacing/>
        <w:jc w:val="left"/>
        <w:outlineLvl w:val="1"/>
        <w:rPr>
          <w:rFonts w:ascii="黑体" w:eastAsia="黑体" w:hAnsi="宋体" w:cs="宋体"/>
          <w:color w:val="000000"/>
          <w:kern w:val="0"/>
          <w:sz w:val="32"/>
          <w:szCs w:val="32"/>
          <w:shd w:val="clear" w:color="auto" w:fill="FFFFFF"/>
          <w:lang w:val="zh-CN"/>
        </w:rPr>
      </w:pPr>
      <w:bookmarkStart w:id="84" w:name="_Toc6385"/>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单位概况</w:t>
      </w:r>
      <w:bookmarkEnd w:id="84"/>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（一）机构组成</w:t>
      </w:r>
    </w:p>
    <w:p w:rsidR="00290D1C" w:rsidRDefault="00AA6F4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茂县</w:t>
      </w:r>
      <w:r>
        <w:rPr>
          <w:rFonts w:ascii="仿宋_GB2312" w:eastAsia="仿宋_GB2312" w:hAnsi="宋体" w:cs="宋体" w:hint="eastAsia"/>
          <w:color w:val="000000"/>
          <w:kern w:val="0"/>
          <w:sz w:val="32"/>
          <w:szCs w:val="32"/>
          <w:shd w:val="clear" w:color="auto" w:fill="FFFFFF"/>
          <w:lang w:val="zh-CN"/>
        </w:rPr>
        <w:t>自然资源局按照“三定方案”内设办公室、信访法规和执法监察股、国土空间用途管制股、自然资源开发利用股4个职能股室。</w:t>
      </w:r>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（二）机构职能</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1.</w:t>
      </w:r>
      <w:r>
        <w:rPr>
          <w:rFonts w:ascii="仿宋_GB2312" w:eastAsia="仿宋_GB2312" w:hAnsi="宋体" w:cs="宋体" w:hint="eastAsia"/>
          <w:color w:val="000000"/>
          <w:kern w:val="0"/>
          <w:sz w:val="32"/>
          <w:szCs w:val="32"/>
          <w:shd w:val="clear" w:color="auto" w:fill="FFFFFF"/>
          <w:lang w:val="zh-CN"/>
        </w:rPr>
        <w:t>履行全民所有土地、矿产、森林、草原、湿地、水等自然资源资产所有者职责和所有国土空间用途管制职责；</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2.</w:t>
      </w:r>
      <w:r>
        <w:rPr>
          <w:rFonts w:ascii="仿宋_GB2312" w:eastAsia="仿宋_GB2312" w:hAnsi="宋体" w:cs="宋体" w:hint="eastAsia"/>
          <w:color w:val="000000"/>
          <w:kern w:val="0"/>
          <w:sz w:val="32"/>
          <w:szCs w:val="32"/>
          <w:shd w:val="clear" w:color="auto" w:fill="FFFFFF"/>
          <w:lang w:val="zh-CN"/>
        </w:rPr>
        <w:t>负责全县自然资源调查监测评价；</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3.</w:t>
      </w:r>
      <w:r>
        <w:rPr>
          <w:rFonts w:ascii="仿宋_GB2312" w:eastAsia="仿宋_GB2312" w:hAnsi="宋体" w:cs="宋体" w:hint="eastAsia"/>
          <w:color w:val="000000"/>
          <w:kern w:val="0"/>
          <w:sz w:val="32"/>
          <w:szCs w:val="32"/>
          <w:shd w:val="clear" w:color="auto" w:fill="FFFFFF"/>
          <w:lang w:val="zh-CN"/>
        </w:rPr>
        <w:t>负责全县自然资源统一确权登记工作；</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4.</w:t>
      </w:r>
      <w:r>
        <w:rPr>
          <w:rFonts w:ascii="仿宋_GB2312" w:eastAsia="仿宋_GB2312" w:hAnsi="宋体" w:cs="宋体" w:hint="eastAsia"/>
          <w:color w:val="000000"/>
          <w:kern w:val="0"/>
          <w:sz w:val="32"/>
          <w:szCs w:val="32"/>
          <w:shd w:val="clear" w:color="auto" w:fill="FFFFFF"/>
          <w:lang w:val="zh-CN"/>
        </w:rPr>
        <w:t>负责全县自然资源资产有偿使用工作；</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5.</w:t>
      </w:r>
      <w:r>
        <w:rPr>
          <w:rFonts w:ascii="仿宋_GB2312" w:eastAsia="仿宋_GB2312" w:hAnsi="宋体" w:cs="宋体" w:hint="eastAsia"/>
          <w:color w:val="000000"/>
          <w:kern w:val="0"/>
          <w:sz w:val="32"/>
          <w:szCs w:val="32"/>
          <w:shd w:val="clear" w:color="auto" w:fill="FFFFFF"/>
          <w:lang w:val="zh-CN"/>
        </w:rPr>
        <w:t>负责全县自然资源局的合理开发利用；</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6.</w:t>
      </w:r>
      <w:r>
        <w:rPr>
          <w:rFonts w:ascii="仿宋_GB2312" w:eastAsia="仿宋_GB2312" w:hAnsi="宋体" w:cs="宋体" w:hint="eastAsia"/>
          <w:color w:val="000000"/>
          <w:kern w:val="0"/>
          <w:sz w:val="32"/>
          <w:szCs w:val="32"/>
          <w:shd w:val="clear" w:color="auto" w:fill="FFFFFF"/>
          <w:lang w:val="zh-CN"/>
        </w:rPr>
        <w:t>负责建立全县空间规划体系并监督实施；</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7.</w:t>
      </w:r>
      <w:r>
        <w:rPr>
          <w:rFonts w:ascii="仿宋_GB2312" w:eastAsia="仿宋_GB2312" w:hAnsi="宋体" w:cs="宋体" w:hint="eastAsia"/>
          <w:color w:val="000000"/>
          <w:kern w:val="0"/>
          <w:sz w:val="32"/>
          <w:szCs w:val="32"/>
          <w:shd w:val="clear" w:color="auto" w:fill="FFFFFF"/>
          <w:lang w:val="zh-CN"/>
        </w:rPr>
        <w:t>负责统筹全县国土空间生态修复；</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8.</w:t>
      </w:r>
      <w:r>
        <w:rPr>
          <w:rFonts w:ascii="仿宋_GB2312" w:eastAsia="仿宋_GB2312" w:hAnsi="宋体" w:cs="宋体" w:hint="eastAsia"/>
          <w:color w:val="000000"/>
          <w:kern w:val="0"/>
          <w:sz w:val="32"/>
          <w:szCs w:val="32"/>
          <w:shd w:val="clear" w:color="auto" w:fill="FFFFFF"/>
          <w:lang w:val="zh-CN"/>
        </w:rPr>
        <w:t>负责组织实施最严格的耕地保护制度；</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9.</w:t>
      </w:r>
      <w:r>
        <w:rPr>
          <w:rFonts w:ascii="仿宋_GB2312" w:eastAsia="仿宋_GB2312" w:hAnsi="宋体" w:cs="宋体" w:hint="eastAsia"/>
          <w:color w:val="000000"/>
          <w:kern w:val="0"/>
          <w:sz w:val="32"/>
          <w:szCs w:val="32"/>
          <w:shd w:val="clear" w:color="auto" w:fill="FFFFFF"/>
          <w:lang w:val="zh-CN"/>
        </w:rPr>
        <w:t>负责管理谦虚地质勘查行业和地质工作；</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10.</w:t>
      </w:r>
      <w:r>
        <w:rPr>
          <w:rFonts w:ascii="仿宋_GB2312" w:eastAsia="仿宋_GB2312" w:hAnsi="宋体" w:cs="宋体" w:hint="eastAsia"/>
          <w:color w:val="000000"/>
          <w:kern w:val="0"/>
          <w:sz w:val="32"/>
          <w:szCs w:val="32"/>
          <w:shd w:val="clear" w:color="auto" w:fill="FFFFFF"/>
          <w:lang w:val="zh-CN"/>
        </w:rPr>
        <w:t>负责落实综合防灾减灾规划相关要求；</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lastRenderedPageBreak/>
        <w:t>11.</w:t>
      </w:r>
      <w:r>
        <w:rPr>
          <w:rFonts w:ascii="仿宋_GB2312" w:eastAsia="仿宋_GB2312" w:hAnsi="宋体" w:cs="宋体" w:hint="eastAsia"/>
          <w:color w:val="000000"/>
          <w:kern w:val="0"/>
          <w:sz w:val="32"/>
          <w:szCs w:val="32"/>
          <w:shd w:val="clear" w:color="auto" w:fill="FFFFFF"/>
          <w:lang w:val="zh-CN"/>
        </w:rPr>
        <w:t>负责全县矿产资源管理工作；</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12.</w:t>
      </w:r>
      <w:r>
        <w:rPr>
          <w:rFonts w:ascii="仿宋_GB2312" w:eastAsia="仿宋_GB2312" w:hAnsi="宋体" w:cs="宋体" w:hint="eastAsia"/>
          <w:color w:val="000000"/>
          <w:kern w:val="0"/>
          <w:sz w:val="32"/>
          <w:szCs w:val="32"/>
          <w:shd w:val="clear" w:color="auto" w:fill="FFFFFF"/>
          <w:lang w:val="zh-CN"/>
        </w:rPr>
        <w:t>负责全县测绘地理信息工作；</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13.</w:t>
      </w:r>
      <w:r>
        <w:rPr>
          <w:rFonts w:ascii="仿宋_GB2312" w:eastAsia="仿宋_GB2312" w:hAnsi="宋体" w:cs="宋体" w:hint="eastAsia"/>
          <w:color w:val="000000"/>
          <w:kern w:val="0"/>
          <w:sz w:val="32"/>
          <w:szCs w:val="32"/>
          <w:shd w:val="clear" w:color="auto" w:fill="FFFFFF"/>
          <w:lang w:val="zh-CN"/>
        </w:rPr>
        <w:t>推动全县自然资源领域科级发展和对外合作；</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14.</w:t>
      </w:r>
      <w:r>
        <w:rPr>
          <w:rFonts w:ascii="仿宋_GB2312" w:eastAsia="仿宋_GB2312" w:hAnsi="宋体" w:cs="宋体" w:hint="eastAsia"/>
          <w:color w:val="000000"/>
          <w:kern w:val="0"/>
          <w:sz w:val="32"/>
          <w:szCs w:val="32"/>
          <w:shd w:val="clear" w:color="auto" w:fill="FFFFFF"/>
          <w:lang w:val="zh-CN"/>
        </w:rPr>
        <w:t>配合国家、省、州对县人民政府落实党中央、国务院关于自然资源和国土空间规划的重大方针政策、决策部署及法律法规执行情况进行督察；</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15.</w:t>
      </w:r>
      <w:r>
        <w:rPr>
          <w:rFonts w:ascii="仿宋_GB2312" w:eastAsia="仿宋_GB2312" w:hAnsi="宋体" w:cs="宋体" w:hint="eastAsia"/>
          <w:color w:val="000000"/>
          <w:kern w:val="0"/>
          <w:sz w:val="32"/>
          <w:szCs w:val="32"/>
          <w:shd w:val="clear" w:color="auto" w:fill="FFFFFF"/>
          <w:lang w:val="zh-CN"/>
        </w:rPr>
        <w:t>负责职责范围内的安全生产和职业健康、生态环境保护、审批服务便民化及行政执法等工作；</w:t>
      </w:r>
    </w:p>
    <w:p w:rsidR="00290D1C" w:rsidRDefault="00AA6F46">
      <w:pPr>
        <w:widowControl/>
        <w:adjustRightInd w:val="0"/>
        <w:snapToGrid w:val="0"/>
        <w:spacing w:line="576"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16.</w:t>
      </w:r>
      <w:r>
        <w:rPr>
          <w:rFonts w:ascii="仿宋_GB2312" w:eastAsia="仿宋_GB2312" w:hAnsi="宋体" w:cs="宋体" w:hint="eastAsia"/>
          <w:color w:val="000000"/>
          <w:kern w:val="0"/>
          <w:sz w:val="32"/>
          <w:szCs w:val="32"/>
          <w:shd w:val="clear" w:color="auto" w:fill="FFFFFF"/>
          <w:lang w:val="zh-CN"/>
        </w:rPr>
        <w:t>完成县委、县人民政府交办的其他任务。</w:t>
      </w:r>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（三）人员概况</w:t>
      </w:r>
    </w:p>
    <w:p w:rsidR="00290D1C" w:rsidRDefault="00AA6F4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lang w:val="zh-CN"/>
        </w:rPr>
        <w:t>2019年我局行政编制7人，行政工勤编制2人，事业编制</w:t>
      </w:r>
      <w:r>
        <w:rPr>
          <w:rFonts w:ascii="仿宋_GB2312" w:eastAsia="仿宋_GB2312" w:hAnsi="宋体" w:cs="宋体" w:hint="eastAsia"/>
          <w:color w:val="000000"/>
          <w:kern w:val="0"/>
          <w:sz w:val="32"/>
          <w:szCs w:val="32"/>
          <w:shd w:val="clear" w:color="auto" w:fill="FFFFFF"/>
        </w:rPr>
        <w:t>47人（其中：参公人员10人、事业编制40人）</w:t>
      </w:r>
      <w:r>
        <w:rPr>
          <w:rFonts w:ascii="仿宋_GB2312" w:eastAsia="仿宋_GB2312" w:hAnsi="宋体" w:cs="宋体" w:hint="eastAsia"/>
          <w:color w:val="000000"/>
          <w:kern w:val="0"/>
          <w:sz w:val="32"/>
          <w:szCs w:val="32"/>
          <w:shd w:val="clear" w:color="auto" w:fill="FFFFFF"/>
          <w:lang w:val="zh-CN"/>
        </w:rPr>
        <w:t>，我局在职事业人员4</w:t>
      </w:r>
      <w:r>
        <w:rPr>
          <w:rFonts w:ascii="仿宋_GB2312" w:eastAsia="仿宋_GB2312" w:hAnsi="宋体" w:cs="宋体" w:hint="eastAsia"/>
          <w:color w:val="000000"/>
          <w:kern w:val="0"/>
          <w:sz w:val="32"/>
          <w:szCs w:val="32"/>
          <w:shd w:val="clear" w:color="auto" w:fill="FFFFFF"/>
        </w:rPr>
        <w:t>8</w:t>
      </w:r>
      <w:r>
        <w:rPr>
          <w:rFonts w:ascii="仿宋_GB2312" w:eastAsia="仿宋_GB2312" w:hAnsi="宋体" w:cs="宋体" w:hint="eastAsia"/>
          <w:color w:val="000000"/>
          <w:kern w:val="0"/>
          <w:sz w:val="32"/>
          <w:szCs w:val="32"/>
          <w:shd w:val="clear" w:color="auto" w:fill="FFFFFF"/>
          <w:lang w:val="zh-CN"/>
        </w:rPr>
        <w:t>人（参公人员</w:t>
      </w:r>
      <w:r>
        <w:rPr>
          <w:rFonts w:ascii="仿宋_GB2312" w:eastAsia="仿宋_GB2312" w:hAnsi="宋体" w:cs="宋体" w:hint="eastAsia"/>
          <w:color w:val="000000"/>
          <w:kern w:val="0"/>
          <w:sz w:val="32"/>
          <w:szCs w:val="32"/>
          <w:shd w:val="clear" w:color="auto" w:fill="FFFFFF"/>
        </w:rPr>
        <w:t>4</w:t>
      </w:r>
      <w:r>
        <w:rPr>
          <w:rFonts w:ascii="仿宋_GB2312" w:eastAsia="仿宋_GB2312" w:hAnsi="宋体" w:cs="宋体" w:hint="eastAsia"/>
          <w:color w:val="000000"/>
          <w:kern w:val="0"/>
          <w:sz w:val="32"/>
          <w:szCs w:val="32"/>
          <w:shd w:val="clear" w:color="auto" w:fill="FFFFFF"/>
          <w:lang w:val="zh-CN"/>
        </w:rPr>
        <w:t>人，事业人员</w:t>
      </w:r>
      <w:r>
        <w:rPr>
          <w:rFonts w:ascii="仿宋_GB2312" w:eastAsia="仿宋_GB2312" w:hAnsi="宋体" w:cs="宋体" w:hint="eastAsia"/>
          <w:color w:val="000000"/>
          <w:kern w:val="0"/>
          <w:sz w:val="32"/>
          <w:szCs w:val="32"/>
          <w:shd w:val="clear" w:color="auto" w:fill="FFFFFF"/>
        </w:rPr>
        <w:t>42</w:t>
      </w:r>
      <w:r>
        <w:rPr>
          <w:rFonts w:ascii="仿宋_GB2312" w:eastAsia="仿宋_GB2312" w:hAnsi="宋体" w:cs="宋体" w:hint="eastAsia"/>
          <w:color w:val="000000"/>
          <w:kern w:val="0"/>
          <w:sz w:val="32"/>
          <w:szCs w:val="32"/>
          <w:shd w:val="clear" w:color="auto" w:fill="FFFFFF"/>
          <w:lang w:val="zh-CN"/>
        </w:rPr>
        <w:t>人），退休人员1</w:t>
      </w:r>
      <w:r>
        <w:rPr>
          <w:rFonts w:ascii="仿宋_GB2312" w:eastAsia="仿宋_GB2312" w:hAnsi="宋体" w:cs="宋体" w:hint="eastAsia"/>
          <w:color w:val="000000"/>
          <w:kern w:val="0"/>
          <w:sz w:val="32"/>
          <w:szCs w:val="32"/>
          <w:shd w:val="clear" w:color="auto" w:fill="FFFFFF"/>
        </w:rPr>
        <w:t>3</w:t>
      </w:r>
      <w:r>
        <w:rPr>
          <w:rFonts w:ascii="仿宋_GB2312" w:eastAsia="仿宋_GB2312" w:hAnsi="宋体" w:cs="宋体" w:hint="eastAsia"/>
          <w:color w:val="000000"/>
          <w:kern w:val="0"/>
          <w:sz w:val="32"/>
          <w:szCs w:val="32"/>
          <w:shd w:val="clear" w:color="auto" w:fill="FFFFFF"/>
          <w:lang w:val="zh-CN"/>
        </w:rPr>
        <w:t>人。</w:t>
      </w:r>
    </w:p>
    <w:p w:rsidR="00290D1C" w:rsidRDefault="00AA6F46">
      <w:pPr>
        <w:widowControl/>
        <w:adjustRightInd w:val="0"/>
        <w:snapToGrid w:val="0"/>
        <w:spacing w:line="580" w:lineRule="exact"/>
        <w:ind w:firstLineChars="200" w:firstLine="640"/>
        <w:contextualSpacing/>
        <w:jc w:val="left"/>
        <w:outlineLvl w:val="1"/>
        <w:rPr>
          <w:rFonts w:ascii="黑体" w:eastAsia="黑体" w:hAnsi="宋体" w:cs="宋体"/>
          <w:color w:val="000000"/>
          <w:kern w:val="0"/>
          <w:sz w:val="32"/>
          <w:szCs w:val="32"/>
          <w:shd w:val="clear" w:color="auto" w:fill="FFFFFF"/>
        </w:rPr>
      </w:pPr>
      <w:bookmarkStart w:id="85" w:name="_Toc2492"/>
      <w:r>
        <w:rPr>
          <w:rFonts w:ascii="黑体" w:eastAsia="黑体" w:hAnsi="宋体" w:cs="宋体" w:hint="eastAsia"/>
          <w:color w:val="000000"/>
          <w:kern w:val="0"/>
          <w:sz w:val="32"/>
          <w:szCs w:val="32"/>
          <w:shd w:val="clear" w:color="auto" w:fill="FFFFFF"/>
        </w:rPr>
        <w:t>二、部门财政资金收支情况</w:t>
      </w:r>
      <w:bookmarkEnd w:id="85"/>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（一）部门财政资金收入情况</w:t>
      </w:r>
    </w:p>
    <w:p w:rsidR="00290D1C" w:rsidRDefault="00AA6F46">
      <w:pPr>
        <w:widowControl/>
        <w:adjustRightInd w:val="0"/>
        <w:snapToGrid w:val="0"/>
        <w:spacing w:line="580" w:lineRule="exact"/>
        <w:ind w:firstLineChars="200" w:firstLine="640"/>
        <w:contextualSpacing/>
        <w:jc w:val="left"/>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9年本年收入合计6,065.11万元，其中：一般公共预算财政拨款收入3,802.69万元，占62.70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；政府性基金预算财政拨款收入2,262.42万元，占37.30</w:t>
      </w:r>
      <w:r>
        <w:rPr>
          <w:rFonts w:ascii="仿宋" w:eastAsia="仿宋" w:hAnsi="仿宋"/>
          <w:color w:val="000000"/>
          <w:sz w:val="32"/>
          <w:szCs w:val="32"/>
        </w:rPr>
        <w:t>%</w:t>
      </w:r>
      <w:r>
        <w:rPr>
          <w:rFonts w:ascii="仿宋" w:eastAsia="仿宋" w:hAnsi="仿宋" w:hint="eastAsia"/>
          <w:color w:val="000000"/>
          <w:sz w:val="32"/>
          <w:szCs w:val="32"/>
        </w:rPr>
        <w:t>。</w:t>
      </w:r>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w:t>
      </w:r>
      <w:r>
        <w:rPr>
          <w:rFonts w:ascii="楷体" w:eastAsia="楷体" w:hAnsi="楷体" w:cs="楷体" w:hint="eastAsia"/>
          <w:b/>
          <w:bCs/>
          <w:color w:val="000000"/>
          <w:kern w:val="0"/>
          <w:sz w:val="32"/>
          <w:szCs w:val="32"/>
          <w:shd w:val="clear" w:color="auto" w:fill="FFFFFF"/>
        </w:rPr>
        <w:t>二</w:t>
      </w:r>
      <w:r>
        <w:rPr>
          <w:rFonts w:ascii="楷体" w:eastAsia="楷体" w:hAnsi="楷体" w:cs="楷体" w:hint="eastAsia"/>
          <w:b/>
          <w:bCs/>
          <w:color w:val="000000"/>
          <w:kern w:val="0"/>
          <w:sz w:val="32"/>
          <w:szCs w:val="32"/>
          <w:shd w:val="clear" w:color="auto" w:fill="FFFFFF"/>
          <w:lang w:val="zh-CN"/>
        </w:rPr>
        <w:t>）部门财政资金支出情况</w:t>
      </w:r>
    </w:p>
    <w:p w:rsidR="00290D1C" w:rsidRDefault="00AA6F4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 w:eastAsia="仿宋" w:hAnsi="仿宋"/>
          <w:color w:val="000000"/>
          <w:sz w:val="32"/>
          <w:szCs w:val="32"/>
        </w:rPr>
        <w:t>201</w:t>
      </w:r>
      <w:r>
        <w:rPr>
          <w:rFonts w:ascii="仿宋" w:eastAsia="仿宋" w:hAnsi="仿宋" w:hint="eastAsia"/>
          <w:color w:val="000000"/>
          <w:sz w:val="32"/>
          <w:szCs w:val="32"/>
        </w:rPr>
        <w:t>9年本年支出合计8634.83万元，其中：基本支出698.44万元，占8.09</w:t>
      </w:r>
      <w:r>
        <w:rPr>
          <w:rFonts w:ascii="仿宋" w:eastAsia="仿宋" w:hAnsi="仿宋"/>
          <w:color w:val="000000"/>
          <w:sz w:val="32"/>
          <w:szCs w:val="32"/>
        </w:rPr>
        <w:t>%</w:t>
      </w:r>
      <w:r>
        <w:rPr>
          <w:rFonts w:ascii="仿宋" w:eastAsia="仿宋" w:hAnsi="仿宋" w:hint="eastAsia"/>
          <w:color w:val="000000"/>
          <w:sz w:val="32"/>
          <w:szCs w:val="32"/>
        </w:rPr>
        <w:t>；项目支出7936.40万元，占91.91</w:t>
      </w:r>
      <w:r>
        <w:rPr>
          <w:rFonts w:ascii="仿宋" w:eastAsia="仿宋" w:hAnsi="仿宋"/>
          <w:color w:val="000000"/>
          <w:sz w:val="32"/>
          <w:szCs w:val="32"/>
        </w:rPr>
        <w:t>%</w:t>
      </w:r>
      <w:r>
        <w:rPr>
          <w:rFonts w:ascii="仿宋" w:eastAsia="仿宋" w:hAnsi="仿宋" w:hint="eastAsia"/>
          <w:color w:val="000000"/>
          <w:sz w:val="32"/>
          <w:szCs w:val="32"/>
        </w:rPr>
        <w:t>。</w:t>
      </w:r>
    </w:p>
    <w:p w:rsidR="00290D1C" w:rsidRDefault="00AA6F46">
      <w:pPr>
        <w:widowControl/>
        <w:adjustRightInd w:val="0"/>
        <w:snapToGrid w:val="0"/>
        <w:spacing w:line="580" w:lineRule="exact"/>
        <w:ind w:firstLineChars="200" w:firstLine="640"/>
        <w:contextualSpacing/>
        <w:jc w:val="left"/>
        <w:outlineLvl w:val="1"/>
        <w:rPr>
          <w:rFonts w:ascii="黑体" w:eastAsia="黑体" w:hAnsi="宋体" w:cs="宋体"/>
          <w:color w:val="000000"/>
          <w:kern w:val="0"/>
          <w:sz w:val="32"/>
          <w:szCs w:val="32"/>
          <w:shd w:val="clear" w:color="auto" w:fill="FFFFFF"/>
        </w:rPr>
      </w:pPr>
      <w:bookmarkStart w:id="86" w:name="_Toc30024"/>
      <w:r>
        <w:rPr>
          <w:rFonts w:ascii="黑体" w:eastAsia="黑体" w:hAnsi="宋体" w:cs="宋体" w:hint="eastAsia"/>
          <w:color w:val="000000"/>
          <w:kern w:val="0"/>
          <w:sz w:val="32"/>
          <w:szCs w:val="32"/>
          <w:shd w:val="clear" w:color="auto" w:fill="FFFFFF"/>
        </w:rPr>
        <w:t>三、部门整体预算绩效管理情况</w:t>
      </w:r>
      <w:bookmarkEnd w:id="86"/>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（一）部门预算管理</w:t>
      </w:r>
    </w:p>
    <w:p w:rsidR="00290D1C" w:rsidRDefault="00AA6F4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lastRenderedPageBreak/>
        <w:t>1</w:t>
      </w:r>
      <w:r>
        <w:rPr>
          <w:rFonts w:ascii="仿宋_GB2312" w:eastAsia="仿宋_GB2312" w:hAnsi="宋体" w:cs="宋体" w:hint="eastAsia"/>
          <w:color w:val="000000"/>
          <w:kern w:val="0"/>
          <w:sz w:val="32"/>
          <w:szCs w:val="32"/>
          <w:shd w:val="clear" w:color="auto" w:fill="FFFFFF"/>
        </w:rPr>
        <w:t>.</w:t>
      </w:r>
      <w:r>
        <w:rPr>
          <w:rFonts w:ascii="仿宋_GB2312" w:eastAsia="仿宋_GB2312" w:hAnsi="宋体" w:cs="宋体" w:hint="eastAsia"/>
          <w:color w:val="000000"/>
          <w:kern w:val="0"/>
          <w:sz w:val="32"/>
          <w:szCs w:val="32"/>
          <w:shd w:val="clear" w:color="auto" w:fill="FFFFFF"/>
          <w:lang w:val="zh-CN"/>
        </w:rPr>
        <w:t>预算编制。</w:t>
      </w:r>
    </w:p>
    <w:p w:rsidR="00290D1C" w:rsidRDefault="00AA6F4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按照县财政局201</w:t>
      </w:r>
      <w:r>
        <w:rPr>
          <w:rFonts w:ascii="仿宋_GB2312" w:eastAsia="仿宋_GB2312" w:hAnsi="宋体" w:cs="宋体" w:hint="eastAsia"/>
          <w:color w:val="000000"/>
          <w:kern w:val="0"/>
          <w:sz w:val="32"/>
          <w:szCs w:val="32"/>
          <w:shd w:val="clear" w:color="auto" w:fill="FFFFFF"/>
        </w:rPr>
        <w:t>9</w:t>
      </w:r>
      <w:r>
        <w:rPr>
          <w:rFonts w:ascii="仿宋_GB2312" w:eastAsia="仿宋_GB2312" w:hAnsi="宋体" w:cs="宋体" w:hint="eastAsia"/>
          <w:color w:val="000000"/>
          <w:kern w:val="0"/>
          <w:sz w:val="32"/>
          <w:szCs w:val="32"/>
          <w:shd w:val="clear" w:color="auto" w:fill="FFFFFF"/>
          <w:lang w:val="zh-CN"/>
        </w:rPr>
        <w:t>年部门预算编制通知要求，按时完成部门年初预算编制工作。在编制过程中，认真核实单位实有编制情况，正确编制人员经费和公用经费等，做到尽量细化项目资金支出预算范围和科目，及时上报相关股室进行审核。</w:t>
      </w:r>
    </w:p>
    <w:p w:rsidR="00290D1C" w:rsidRDefault="00AA6F4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2</w:t>
      </w:r>
      <w:r>
        <w:rPr>
          <w:rFonts w:ascii="仿宋_GB2312" w:eastAsia="仿宋_GB2312" w:hAnsi="宋体" w:cs="宋体" w:hint="eastAsia"/>
          <w:color w:val="000000"/>
          <w:kern w:val="0"/>
          <w:sz w:val="32"/>
          <w:szCs w:val="32"/>
          <w:shd w:val="clear" w:color="auto" w:fill="FFFFFF"/>
        </w:rPr>
        <w:t>.</w:t>
      </w:r>
      <w:r>
        <w:rPr>
          <w:rFonts w:ascii="仿宋_GB2312" w:eastAsia="仿宋_GB2312" w:hAnsi="宋体" w:cs="宋体" w:hint="eastAsia"/>
          <w:color w:val="000000"/>
          <w:kern w:val="0"/>
          <w:sz w:val="32"/>
          <w:szCs w:val="32"/>
          <w:shd w:val="clear" w:color="auto" w:fill="FFFFFF"/>
          <w:lang w:val="zh-CN"/>
        </w:rPr>
        <w:t>认真编制部门年度决算报表。</w:t>
      </w:r>
    </w:p>
    <w:p w:rsidR="00290D1C" w:rsidRDefault="00AA6F4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按照政府收支分类科目和财务报表支出情况编制部门决算，决算收入、支出口径与财政局国库股、预算股和农财股以及财政大平台核对无误，报表编制无差错。认真开展部门年度决算报表编制工作。</w:t>
      </w:r>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（二）执行管理情况</w:t>
      </w:r>
    </w:p>
    <w:p w:rsidR="00290D1C" w:rsidRDefault="00AA6F4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1</w:t>
      </w:r>
      <w:r>
        <w:rPr>
          <w:rFonts w:ascii="仿宋_GB2312" w:eastAsia="仿宋_GB2312" w:hAnsi="宋体" w:cs="宋体" w:hint="eastAsia"/>
          <w:color w:val="000000"/>
          <w:kern w:val="0"/>
          <w:sz w:val="32"/>
          <w:szCs w:val="32"/>
          <w:shd w:val="clear" w:color="auto" w:fill="FFFFFF"/>
        </w:rPr>
        <w:t>.</w:t>
      </w:r>
      <w:r>
        <w:rPr>
          <w:rFonts w:ascii="仿宋_GB2312" w:eastAsia="仿宋_GB2312" w:hAnsi="宋体" w:cs="宋体" w:hint="eastAsia"/>
          <w:color w:val="000000"/>
          <w:kern w:val="0"/>
          <w:sz w:val="32"/>
          <w:szCs w:val="32"/>
          <w:shd w:val="clear" w:color="auto" w:fill="FFFFFF"/>
          <w:lang w:val="zh-CN"/>
        </w:rPr>
        <w:t>部门预算执行进度情况。</w:t>
      </w:r>
    </w:p>
    <w:p w:rsidR="00290D1C" w:rsidRDefault="00AA6F4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按《预算法》和财政有关规定，职工工资等人员经费按月发放，公务</w:t>
      </w:r>
      <w:proofErr w:type="gramStart"/>
      <w:r>
        <w:rPr>
          <w:rFonts w:ascii="仿宋_GB2312" w:eastAsia="仿宋_GB2312" w:hAnsi="宋体" w:cs="宋体" w:hint="eastAsia"/>
          <w:color w:val="000000"/>
          <w:kern w:val="0"/>
          <w:sz w:val="32"/>
          <w:szCs w:val="32"/>
          <w:shd w:val="clear" w:color="auto" w:fill="FFFFFF"/>
          <w:lang w:val="zh-CN"/>
        </w:rPr>
        <w:t>费及时</w:t>
      </w:r>
      <w:proofErr w:type="gramEnd"/>
      <w:r>
        <w:rPr>
          <w:rFonts w:ascii="仿宋_GB2312" w:eastAsia="仿宋_GB2312" w:hAnsi="宋体" w:cs="宋体" w:hint="eastAsia"/>
          <w:color w:val="000000"/>
          <w:kern w:val="0"/>
          <w:sz w:val="32"/>
          <w:szCs w:val="32"/>
          <w:shd w:val="clear" w:color="auto" w:fill="FFFFFF"/>
          <w:lang w:val="zh-CN"/>
        </w:rPr>
        <w:t>申报，项目支出按项目实施情况经我单位和县财政审核无误后按项目进度拨付。在支付方式上，工资和项目资金实行财政直接支付；公用经费根据资金用途申请授权支付，并尽量采取公务卡支付。</w:t>
      </w:r>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（三）结果应用情况</w:t>
      </w:r>
    </w:p>
    <w:p w:rsidR="00290D1C" w:rsidRDefault="00AA6F46">
      <w:pPr>
        <w:widowControl/>
        <w:adjustRightInd w:val="0"/>
        <w:snapToGrid w:val="0"/>
        <w:spacing w:line="580" w:lineRule="exact"/>
        <w:ind w:firstLineChars="200" w:firstLine="640"/>
        <w:contextualSpacing/>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明确了项目计划完成的效益性成果，争取为之后开展项目提供经验。</w:t>
      </w:r>
    </w:p>
    <w:p w:rsidR="00290D1C" w:rsidRDefault="00AA6F46">
      <w:pPr>
        <w:widowControl/>
        <w:adjustRightInd w:val="0"/>
        <w:snapToGrid w:val="0"/>
        <w:spacing w:line="580" w:lineRule="exact"/>
        <w:ind w:firstLineChars="200" w:firstLine="640"/>
        <w:contextualSpacing/>
        <w:jc w:val="left"/>
        <w:outlineLvl w:val="1"/>
        <w:rPr>
          <w:rFonts w:ascii="黑体" w:eastAsia="黑体" w:hAnsi="宋体" w:cs="宋体"/>
          <w:color w:val="000000"/>
          <w:kern w:val="0"/>
          <w:sz w:val="32"/>
          <w:szCs w:val="32"/>
          <w:shd w:val="clear" w:color="auto" w:fill="FFFFFF"/>
        </w:rPr>
      </w:pPr>
      <w:bookmarkStart w:id="87" w:name="_Toc7820"/>
      <w:r>
        <w:rPr>
          <w:rFonts w:ascii="黑体" w:eastAsia="黑体" w:hAnsi="宋体" w:cs="宋体" w:hint="eastAsia"/>
          <w:color w:val="000000"/>
          <w:kern w:val="0"/>
          <w:sz w:val="32"/>
          <w:szCs w:val="32"/>
          <w:shd w:val="clear" w:color="auto" w:fill="FFFFFF"/>
        </w:rPr>
        <w:t>四、评价结论及建议</w:t>
      </w:r>
      <w:bookmarkEnd w:id="87"/>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（一）评价结论</w:t>
      </w:r>
    </w:p>
    <w:p w:rsidR="00290D1C" w:rsidRDefault="00AA6F46">
      <w:pPr>
        <w:spacing w:line="58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我单位按照《预算法》《会计法》等相关财务法律、法</w:t>
      </w:r>
      <w:r>
        <w:rPr>
          <w:rFonts w:ascii="仿宋_GB2312" w:eastAsia="仿宋_GB2312" w:hAnsi="仿宋_GB2312" w:cs="仿宋_GB2312" w:hint="eastAsia"/>
          <w:sz w:val="32"/>
          <w:szCs w:val="32"/>
          <w:lang w:val="zh-CN"/>
        </w:rPr>
        <w:lastRenderedPageBreak/>
        <w:t>规及制度对财务预算编制及执行决算较为准确，支出管理较为规范，财务管理制度较完善，部门整体绩效较好。</w:t>
      </w:r>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（二）存在问题</w:t>
      </w:r>
    </w:p>
    <w:p w:rsidR="00290D1C" w:rsidRDefault="00AA6F46">
      <w:pPr>
        <w:spacing w:line="58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内控制度管理质量不高，个别内控制度执行力不强、监督不力，导致制度管理质量不高。</w:t>
      </w:r>
    </w:p>
    <w:p w:rsidR="00290D1C" w:rsidRDefault="00AA6F46">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（三）改进</w:t>
      </w:r>
      <w:r>
        <w:rPr>
          <w:rFonts w:ascii="楷体" w:eastAsia="楷体" w:hAnsi="楷体" w:cs="楷体" w:hint="eastAsia"/>
          <w:b/>
          <w:bCs/>
          <w:color w:val="000000"/>
          <w:kern w:val="0"/>
          <w:sz w:val="32"/>
          <w:szCs w:val="32"/>
          <w:shd w:val="clear" w:color="auto" w:fill="FFFFFF"/>
        </w:rPr>
        <w:t>建议</w:t>
      </w:r>
    </w:p>
    <w:p w:rsidR="00290D1C" w:rsidRDefault="00AA6F46">
      <w:pPr>
        <w:spacing w:line="58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我们一定要提高预算编制质量，强化资金财务管理，加大内控管理制度，使我单位能更好的完成各项目标任务。</w:t>
      </w:r>
    </w:p>
    <w:p w:rsidR="00290D1C" w:rsidRDefault="00290D1C">
      <w:pPr>
        <w:spacing w:line="580" w:lineRule="exact"/>
        <w:ind w:firstLineChars="200" w:firstLine="640"/>
        <w:rPr>
          <w:rFonts w:ascii="仿宋_GB2312" w:eastAsia="仿宋_GB2312" w:hAnsi="仿宋_GB2312" w:cs="仿宋_GB2312"/>
          <w:sz w:val="32"/>
          <w:szCs w:val="32"/>
        </w:rPr>
      </w:pPr>
    </w:p>
    <w:p w:rsidR="00290D1C" w:rsidRDefault="00290D1C">
      <w:pPr>
        <w:spacing w:line="580" w:lineRule="exact"/>
        <w:ind w:firstLineChars="200" w:firstLine="640"/>
        <w:rPr>
          <w:rFonts w:ascii="仿宋_GB2312" w:eastAsia="仿宋_GB2312" w:hAnsi="仿宋_GB2312" w:cs="仿宋_GB2312"/>
          <w:sz w:val="32"/>
          <w:szCs w:val="32"/>
        </w:rPr>
      </w:pPr>
    </w:p>
    <w:p w:rsidR="00290D1C" w:rsidRDefault="00AA6F46">
      <w:pPr>
        <w:rPr>
          <w:rStyle w:val="1Char"/>
          <w:rFonts w:ascii="黑体" w:eastAsia="黑体" w:hAnsi="黑体"/>
          <w:b w:val="0"/>
        </w:rPr>
      </w:pPr>
      <w:r>
        <w:rPr>
          <w:rStyle w:val="1Char"/>
          <w:rFonts w:ascii="黑体" w:eastAsia="黑体" w:hAnsi="黑体"/>
          <w:b w:val="0"/>
        </w:rPr>
        <w:br w:type="page"/>
      </w:r>
    </w:p>
    <w:p w:rsidR="00290D1C" w:rsidRDefault="00290D1C">
      <w:pPr>
        <w:spacing w:line="600" w:lineRule="exact"/>
        <w:jc w:val="center"/>
        <w:rPr>
          <w:rStyle w:val="1Char"/>
          <w:rFonts w:ascii="黑体" w:eastAsia="黑体" w:hAnsi="黑体"/>
          <w:b w:val="0"/>
        </w:rPr>
      </w:pPr>
    </w:p>
    <w:p w:rsidR="00290D1C" w:rsidRDefault="00AA6F46">
      <w:pPr>
        <w:spacing w:line="600" w:lineRule="exact"/>
        <w:jc w:val="center"/>
        <w:outlineLvl w:val="0"/>
        <w:rPr>
          <w:rStyle w:val="1Char"/>
          <w:rFonts w:ascii="黑体" w:eastAsia="黑体" w:hAnsi="黑体"/>
          <w:b w:val="0"/>
        </w:rPr>
      </w:pPr>
      <w:bookmarkStart w:id="88" w:name="_Toc15396618"/>
      <w:bookmarkStart w:id="89" w:name="_Toc11769"/>
      <w:r>
        <w:rPr>
          <w:rFonts w:ascii="黑体" w:eastAsia="黑体" w:hAnsi="黑体" w:hint="eastAsia"/>
          <w:color w:val="000000"/>
          <w:sz w:val="44"/>
          <w:szCs w:val="44"/>
        </w:rPr>
        <w:t>第</w:t>
      </w:r>
      <w:r>
        <w:rPr>
          <w:rStyle w:val="1Char"/>
          <w:rFonts w:ascii="黑体" w:eastAsia="黑体" w:hAnsi="黑体" w:hint="eastAsia"/>
          <w:b w:val="0"/>
        </w:rPr>
        <w:t>五部分 附表</w:t>
      </w:r>
      <w:bookmarkEnd w:id="80"/>
      <w:bookmarkEnd w:id="88"/>
      <w:bookmarkEnd w:id="89"/>
    </w:p>
    <w:p w:rsidR="00290D1C" w:rsidRDefault="00290D1C">
      <w:pPr>
        <w:spacing w:line="600" w:lineRule="exact"/>
        <w:jc w:val="center"/>
        <w:rPr>
          <w:rFonts w:ascii="仿宋" w:eastAsia="仿宋" w:hAnsi="仿宋"/>
          <w:b/>
          <w:color w:val="000000"/>
          <w:sz w:val="44"/>
          <w:szCs w:val="44"/>
        </w:rPr>
      </w:pPr>
    </w:p>
    <w:p w:rsidR="00290D1C" w:rsidRDefault="00AA6F46">
      <w:pPr>
        <w:pStyle w:val="2"/>
        <w:rPr>
          <w:rFonts w:ascii="仿宋" w:eastAsia="仿宋" w:hAnsi="仿宋"/>
          <w:color w:val="000000"/>
        </w:rPr>
      </w:pPr>
      <w:bookmarkStart w:id="90" w:name="_Toc12593"/>
      <w:bookmarkStart w:id="91" w:name="_Toc15396619"/>
      <w:r>
        <w:rPr>
          <w:rFonts w:ascii="仿宋" w:eastAsia="仿宋" w:hAnsi="仿宋" w:hint="eastAsia"/>
          <w:b w:val="0"/>
          <w:color w:val="000000"/>
        </w:rPr>
        <w:t>一、收</w:t>
      </w:r>
      <w:r>
        <w:rPr>
          <w:rStyle w:val="2Char"/>
          <w:rFonts w:ascii="仿宋" w:eastAsia="仿宋" w:hAnsi="仿宋" w:hint="eastAsia"/>
        </w:rPr>
        <w:t>入支出决算总表</w:t>
      </w:r>
      <w:bookmarkEnd w:id="90"/>
      <w:bookmarkEnd w:id="91"/>
    </w:p>
    <w:p w:rsidR="00290D1C" w:rsidRDefault="00AA6F46">
      <w:pPr>
        <w:pStyle w:val="2"/>
        <w:rPr>
          <w:rFonts w:ascii="仿宋" w:eastAsia="仿宋" w:hAnsi="仿宋"/>
          <w:color w:val="000000"/>
        </w:rPr>
      </w:pPr>
      <w:bookmarkStart w:id="92" w:name="_Toc15396620"/>
      <w:bookmarkStart w:id="93" w:name="_Toc22911"/>
      <w:r>
        <w:rPr>
          <w:rFonts w:ascii="仿宋" w:eastAsia="仿宋" w:hAnsi="仿宋" w:hint="eastAsia"/>
          <w:b w:val="0"/>
          <w:color w:val="000000"/>
        </w:rPr>
        <w:t>二、收</w:t>
      </w:r>
      <w:r>
        <w:rPr>
          <w:rStyle w:val="2Char"/>
          <w:rFonts w:ascii="仿宋" w:eastAsia="仿宋" w:hAnsi="仿宋" w:hint="eastAsia"/>
        </w:rPr>
        <w:t>入决算表</w:t>
      </w:r>
      <w:bookmarkEnd w:id="92"/>
      <w:bookmarkEnd w:id="93"/>
    </w:p>
    <w:p w:rsidR="00290D1C" w:rsidRDefault="00AA6F46">
      <w:pPr>
        <w:pStyle w:val="2"/>
        <w:rPr>
          <w:rFonts w:ascii="仿宋" w:eastAsia="仿宋" w:hAnsi="仿宋"/>
          <w:color w:val="000000"/>
        </w:rPr>
      </w:pPr>
      <w:bookmarkStart w:id="94" w:name="_Toc14187"/>
      <w:bookmarkStart w:id="95"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94"/>
      <w:bookmarkEnd w:id="95"/>
    </w:p>
    <w:p w:rsidR="00290D1C" w:rsidRDefault="00AA6F46">
      <w:pPr>
        <w:pStyle w:val="2"/>
        <w:rPr>
          <w:rFonts w:ascii="仿宋" w:eastAsia="仿宋" w:hAnsi="仿宋"/>
          <w:b w:val="0"/>
          <w:color w:val="000000"/>
        </w:rPr>
      </w:pPr>
      <w:bookmarkStart w:id="96" w:name="_Toc4885"/>
      <w:bookmarkStart w:id="97"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96"/>
      <w:bookmarkEnd w:id="97"/>
    </w:p>
    <w:p w:rsidR="00290D1C" w:rsidRDefault="00AA6F46">
      <w:pPr>
        <w:pStyle w:val="2"/>
        <w:rPr>
          <w:rStyle w:val="2Char"/>
          <w:rFonts w:ascii="仿宋" w:eastAsia="仿宋" w:hAnsi="仿宋"/>
        </w:rPr>
      </w:pPr>
      <w:bookmarkStart w:id="98" w:name="_Toc29177"/>
      <w:bookmarkStart w:id="99"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100" w:name="_Toc15396624"/>
      <w:bookmarkEnd w:id="98"/>
      <w:bookmarkEnd w:id="99"/>
    </w:p>
    <w:p w:rsidR="00290D1C" w:rsidRDefault="00AA6F46">
      <w:pPr>
        <w:pStyle w:val="2"/>
        <w:rPr>
          <w:rFonts w:ascii="仿宋" w:eastAsia="仿宋" w:hAnsi="仿宋"/>
          <w:color w:val="000000"/>
        </w:rPr>
      </w:pPr>
      <w:bookmarkStart w:id="101" w:name="_Toc18706"/>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100"/>
      <w:bookmarkEnd w:id="101"/>
    </w:p>
    <w:p w:rsidR="00290D1C" w:rsidRDefault="00AA6F46">
      <w:pPr>
        <w:pStyle w:val="2"/>
        <w:rPr>
          <w:rFonts w:ascii="仿宋" w:eastAsia="仿宋" w:hAnsi="仿宋"/>
          <w:color w:val="000000"/>
        </w:rPr>
      </w:pPr>
      <w:bookmarkStart w:id="102" w:name="_Toc15396625"/>
      <w:bookmarkStart w:id="103" w:name="_Toc1949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102"/>
      <w:bookmarkEnd w:id="103"/>
    </w:p>
    <w:p w:rsidR="00290D1C" w:rsidRDefault="00AA6F46">
      <w:pPr>
        <w:pStyle w:val="2"/>
        <w:rPr>
          <w:rFonts w:ascii="仿宋" w:eastAsia="仿宋" w:hAnsi="仿宋"/>
          <w:color w:val="000000"/>
        </w:rPr>
      </w:pPr>
      <w:bookmarkStart w:id="104" w:name="_Toc16056"/>
      <w:bookmarkStart w:id="105"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104"/>
      <w:bookmarkEnd w:id="105"/>
    </w:p>
    <w:p w:rsidR="00290D1C" w:rsidRDefault="00AA6F46">
      <w:pPr>
        <w:pStyle w:val="2"/>
        <w:rPr>
          <w:rFonts w:ascii="仿宋" w:eastAsia="仿宋" w:hAnsi="仿宋"/>
          <w:color w:val="000000"/>
        </w:rPr>
      </w:pPr>
      <w:bookmarkStart w:id="106" w:name="_Toc15396627"/>
      <w:bookmarkStart w:id="107" w:name="_Toc29898"/>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106"/>
      <w:bookmarkEnd w:id="107"/>
    </w:p>
    <w:p w:rsidR="00290D1C" w:rsidRDefault="00AA6F46">
      <w:pPr>
        <w:pStyle w:val="2"/>
        <w:rPr>
          <w:rFonts w:ascii="仿宋" w:eastAsia="仿宋" w:hAnsi="仿宋"/>
          <w:color w:val="000000"/>
        </w:rPr>
      </w:pPr>
      <w:bookmarkStart w:id="108" w:name="_Toc15396628"/>
      <w:bookmarkStart w:id="109" w:name="_Toc26037"/>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108"/>
      <w:bookmarkEnd w:id="109"/>
    </w:p>
    <w:p w:rsidR="00290D1C" w:rsidRDefault="00AA6F46">
      <w:pPr>
        <w:pStyle w:val="2"/>
        <w:rPr>
          <w:rFonts w:ascii="仿宋" w:eastAsia="仿宋" w:hAnsi="仿宋"/>
          <w:color w:val="000000"/>
        </w:rPr>
      </w:pPr>
      <w:bookmarkStart w:id="110" w:name="_Toc25660"/>
      <w:bookmarkStart w:id="111"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110"/>
      <w:bookmarkEnd w:id="111"/>
    </w:p>
    <w:p w:rsidR="00290D1C" w:rsidRDefault="00AA6F46">
      <w:pPr>
        <w:pStyle w:val="2"/>
        <w:rPr>
          <w:rFonts w:ascii="仿宋" w:eastAsia="仿宋" w:hAnsi="仿宋"/>
          <w:color w:val="000000"/>
        </w:rPr>
      </w:pPr>
      <w:bookmarkStart w:id="112" w:name="_Toc15396630"/>
      <w:bookmarkStart w:id="113" w:name="_Toc5314"/>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112"/>
      <w:bookmarkEnd w:id="113"/>
    </w:p>
    <w:p w:rsidR="00290D1C" w:rsidRDefault="00AA6F46">
      <w:pPr>
        <w:pStyle w:val="2"/>
        <w:rPr>
          <w:rFonts w:ascii="仿宋" w:eastAsia="仿宋" w:hAnsi="仿宋"/>
          <w:color w:val="000000" w:themeColor="text1"/>
        </w:rPr>
      </w:pPr>
      <w:bookmarkStart w:id="114" w:name="_Toc15396631"/>
      <w:bookmarkStart w:id="115" w:name="_Toc24337"/>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114"/>
      <w:bookmarkEnd w:id="115"/>
    </w:p>
    <w:sectPr w:rsidR="00290D1C">
      <w:footerReference w:type="default" r:id="rId23"/>
      <w:footerReference w:type="first" r:id="rId24"/>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51F" w:rsidRDefault="0007351F">
      <w:r>
        <w:separator/>
      </w:r>
    </w:p>
  </w:endnote>
  <w:endnote w:type="continuationSeparator" w:id="0">
    <w:p w:rsidR="0007351F" w:rsidRDefault="00073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781956"/>
    </w:sdtPr>
    <w:sdtContent>
      <w:p w:rsidR="00AA6F46" w:rsidRDefault="00AA6F46">
        <w:pPr>
          <w:pStyle w:val="a5"/>
          <w:jc w:val="center"/>
        </w:pPr>
        <w:r>
          <w:fldChar w:fldCharType="begin"/>
        </w:r>
        <w:r>
          <w:instrText>PAGE   \* MERGEFORMAT</w:instrText>
        </w:r>
        <w:r>
          <w:fldChar w:fldCharType="separate"/>
        </w:r>
        <w:r>
          <w:rPr>
            <w:lang w:val="zh-CN"/>
          </w:rPr>
          <w:t>2</w:t>
        </w:r>
        <w:r>
          <w:fldChar w:fldCharType="end"/>
        </w:r>
      </w:p>
    </w:sdtContent>
  </w:sdt>
  <w:p w:rsidR="00AA6F46" w:rsidRDefault="00AA6F4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46" w:rsidRDefault="00AA6F4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46" w:rsidRDefault="00AA6F46">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46" w:rsidRDefault="00AA6F46">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46" w:rsidRDefault="00AA6F46">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285761"/>
    </w:sdtPr>
    <w:sdtContent>
      <w:p w:rsidR="00AA6F46" w:rsidRDefault="00AA6F46">
        <w:pPr>
          <w:pStyle w:val="a5"/>
          <w:jc w:val="center"/>
        </w:pPr>
        <w:r>
          <w:fldChar w:fldCharType="begin"/>
        </w:r>
        <w:r>
          <w:instrText>PAGE   \* MERGEFORMAT</w:instrText>
        </w:r>
        <w:r>
          <w:fldChar w:fldCharType="separate"/>
        </w:r>
        <w:r w:rsidR="00766659" w:rsidRPr="00766659">
          <w:rPr>
            <w:noProof/>
            <w:lang w:val="zh-CN"/>
          </w:rPr>
          <w:t>30</w:t>
        </w:r>
        <w:r>
          <w:fldChar w:fldCharType="end"/>
        </w:r>
      </w:p>
    </w:sdtContent>
  </w:sdt>
  <w:p w:rsidR="00AA6F46" w:rsidRDefault="00AA6F46">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46" w:rsidRDefault="00AA6F4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51F" w:rsidRDefault="0007351F">
      <w:r>
        <w:separator/>
      </w:r>
    </w:p>
  </w:footnote>
  <w:footnote w:type="continuationSeparator" w:id="0">
    <w:p w:rsidR="0007351F" w:rsidRDefault="000735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46" w:rsidRDefault="00AA6F46">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351F"/>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0D1C"/>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6659"/>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149C7"/>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A6F46"/>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056000"/>
    <w:rsid w:val="062879BF"/>
    <w:rsid w:val="067517D0"/>
    <w:rsid w:val="06895BB3"/>
    <w:rsid w:val="0715262A"/>
    <w:rsid w:val="079C3174"/>
    <w:rsid w:val="10C055FF"/>
    <w:rsid w:val="120643CA"/>
    <w:rsid w:val="1424280D"/>
    <w:rsid w:val="14C91563"/>
    <w:rsid w:val="16BB723D"/>
    <w:rsid w:val="17264A97"/>
    <w:rsid w:val="17976C35"/>
    <w:rsid w:val="17F07818"/>
    <w:rsid w:val="193D218A"/>
    <w:rsid w:val="202815D5"/>
    <w:rsid w:val="23962F73"/>
    <w:rsid w:val="240371BF"/>
    <w:rsid w:val="24804ED2"/>
    <w:rsid w:val="271A5CC2"/>
    <w:rsid w:val="278D5354"/>
    <w:rsid w:val="28B101C7"/>
    <w:rsid w:val="291E12C3"/>
    <w:rsid w:val="294B37A6"/>
    <w:rsid w:val="29FD04D3"/>
    <w:rsid w:val="2A9A7B53"/>
    <w:rsid w:val="2EDF5AA9"/>
    <w:rsid w:val="319F7F4E"/>
    <w:rsid w:val="33CF3F7F"/>
    <w:rsid w:val="33F31BD2"/>
    <w:rsid w:val="34B15E06"/>
    <w:rsid w:val="36377C11"/>
    <w:rsid w:val="38B86F38"/>
    <w:rsid w:val="39451756"/>
    <w:rsid w:val="399A6459"/>
    <w:rsid w:val="39F24775"/>
    <w:rsid w:val="3C3A2241"/>
    <w:rsid w:val="3D3118CD"/>
    <w:rsid w:val="3DC53514"/>
    <w:rsid w:val="43975152"/>
    <w:rsid w:val="45A7058D"/>
    <w:rsid w:val="46416898"/>
    <w:rsid w:val="473434CE"/>
    <w:rsid w:val="47650630"/>
    <w:rsid w:val="47FB47F0"/>
    <w:rsid w:val="49084A27"/>
    <w:rsid w:val="49797C0F"/>
    <w:rsid w:val="4C0A4EEC"/>
    <w:rsid w:val="4ECE2238"/>
    <w:rsid w:val="50B24BB7"/>
    <w:rsid w:val="52560D5E"/>
    <w:rsid w:val="555B422D"/>
    <w:rsid w:val="56232EFB"/>
    <w:rsid w:val="56BD0F5A"/>
    <w:rsid w:val="56FE5135"/>
    <w:rsid w:val="57C518E3"/>
    <w:rsid w:val="5854549D"/>
    <w:rsid w:val="585B1887"/>
    <w:rsid w:val="5BC33415"/>
    <w:rsid w:val="5BDC761B"/>
    <w:rsid w:val="5BE676D2"/>
    <w:rsid w:val="5C355777"/>
    <w:rsid w:val="5D9C4E51"/>
    <w:rsid w:val="60050977"/>
    <w:rsid w:val="610E7099"/>
    <w:rsid w:val="627B6B82"/>
    <w:rsid w:val="63F50AB6"/>
    <w:rsid w:val="661F6C40"/>
    <w:rsid w:val="6DB21DE3"/>
    <w:rsid w:val="72734D90"/>
    <w:rsid w:val="72A77608"/>
    <w:rsid w:val="76D13445"/>
    <w:rsid w:val="776C5C80"/>
    <w:rsid w:val="77CB3949"/>
    <w:rsid w:val="78A42B00"/>
    <w:rsid w:val="7C4E6E60"/>
    <w:rsid w:val="7CBA586B"/>
    <w:rsid w:val="7F267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efault"/>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3">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character" w:styleId="a7">
    <w:name w:val="Strong"/>
    <w:basedOn w:val="a0"/>
    <w:uiPriority w:val="99"/>
    <w:qFormat/>
    <w:rPr>
      <w:b/>
    </w:rPr>
  </w:style>
  <w:style w:type="character" w:styleId="a8">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6"/>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5"/>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styleId="a9">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WPSOffice1">
    <w:name w:val="WPSOffice手动目录 1"/>
    <w:qFormat/>
    <w:rPr>
      <w:rFonts w:ascii="Calibri" w:eastAsia="微软雅黑" w:hAnsi="Calibri"/>
    </w:rPr>
  </w:style>
  <w:style w:type="paragraph" w:customStyle="1" w:styleId="WPSOffice2">
    <w:name w:val="WPSOffice手动目录 2"/>
    <w:qFormat/>
    <w:pPr>
      <w:ind w:leftChars="200" w:left="200"/>
    </w:pPr>
    <w:rPr>
      <w:rFonts w:ascii="Calibri" w:eastAsia="微软雅黑"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6.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7.xml"/><Relationship Id="rId5" Type="http://schemas.microsoft.com/office/2007/relationships/stylesWithEffects" Target="stylesWithEffects.xml"/><Relationship Id="rId15" Type="http://schemas.openxmlformats.org/officeDocument/2006/relationships/footer" Target="footer5.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chart" Target="charts/chart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a:t>
            </a:r>
            <a:r>
              <a:rPr altLang="en-US"/>
              <a:t>：收、支决算总计变动情况图（单位：万元）</a:t>
            </a:r>
          </a:p>
        </c:rich>
      </c:tx>
      <c:overlay val="0"/>
      <c:spPr>
        <a:noFill/>
        <a:ln>
          <a:noFill/>
        </a:ln>
        <a:effectLst/>
      </c:spPr>
    </c:title>
    <c:autoTitleDeleted val="0"/>
    <c:plotArea>
      <c:layout>
        <c:manualLayout>
          <c:layoutTarget val="inner"/>
          <c:xMode val="edge"/>
          <c:yMode val="edge"/>
          <c:x val="2.0825E-2"/>
          <c:y val="0.23449999999999999"/>
          <c:w val="0.927925"/>
          <c:h val="0.71656666666666702"/>
        </c:manualLayout>
      </c:layout>
      <c:barChart>
        <c:barDir val="col"/>
        <c:grouping val="clustered"/>
        <c:varyColors val="0"/>
        <c:ser>
          <c:idx val="0"/>
          <c:order val="0"/>
          <c:tx>
            <c:strRef>
              <c:f>Sheet1!$B$1</c:f>
              <c:strCache>
                <c:ptCount val="1"/>
                <c:pt idx="0">
                  <c:v>2018年决算数</c:v>
                </c:pt>
              </c:strCache>
            </c:strRef>
          </c:tx>
          <c:spPr>
            <a:solidFill>
              <a:schemeClr val="accent1">
                <a:shade val="76667"/>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Sheet1!$B$2</c:f>
              <c:numCache>
                <c:formatCode>General</c:formatCode>
                <c:ptCount val="1"/>
                <c:pt idx="0">
                  <c:v>17550.349999999999</c:v>
                </c:pt>
              </c:numCache>
            </c:numRef>
          </c:val>
          <c:extLst>
            <c:ext xmlns:c15="http://schemas.microsoft.com/office/drawing/2012/chart" uri="{02D57815-91ED-43cb-92C2-25804820EDAC}">
              <c15:filteredCategoryTitle>
                <c15:cat>
                  <c:numRef>
                    <c:extLst>
                      <c:ext uri="{02D57815-91ED-43cb-92C2-25804820EDAC}">
                        <c15:formulaRef>
                          <c15:sqref>Sheet1!$A$2</c15:sqref>
                        </c15:formulaRef>
                      </c:ext>
                    </c:extLst>
                    <c:numCache>
                      <c:formatCode>General</c:formatCode>
                      <c:ptCount val="1"/>
                    </c:numCache>
                  </c:numRef>
                </c15:cat>
              </c15:filteredCategoryTitle>
            </c:ext>
          </c:extLst>
        </c:ser>
        <c:ser>
          <c:idx val="1"/>
          <c:order val="1"/>
          <c:tx>
            <c:strRef>
              <c:f>Sheet1!$C$1</c:f>
              <c:strCache>
                <c:ptCount val="1"/>
                <c:pt idx="0">
                  <c:v>2019年决算数</c:v>
                </c:pt>
              </c:strCache>
            </c:strRef>
          </c:tx>
          <c:spPr>
            <a:solidFill>
              <a:schemeClr val="accent1">
                <a:tint val="76667"/>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Sheet1!$C$2</c:f>
              <c:numCache>
                <c:formatCode>General</c:formatCode>
                <c:ptCount val="1"/>
                <c:pt idx="0">
                  <c:v>15480.99</c:v>
                </c:pt>
              </c:numCache>
            </c:numRef>
          </c:val>
          <c:extLst>
            <c:ext xmlns:c15="http://schemas.microsoft.com/office/drawing/2012/chart" uri="{02D57815-91ED-43cb-92C2-25804820EDAC}">
              <c15:filteredCategoryTitle>
                <c15:cat>
                  <c:numRef>
                    <c:extLst>
                      <c:ext uri="{02D57815-91ED-43cb-92C2-25804820EDAC}">
                        <c15:formulaRef>
                          <c15:sqref>Sheet1!$A$2</c15:sqref>
                        </c15:formulaRef>
                      </c:ext>
                    </c:extLst>
                    <c:numCache>
                      <c:formatCode>General</c:formatCode>
                      <c:ptCount val="1"/>
                    </c:numCache>
                  </c:numRef>
                </c15:cat>
              </c15:filteredCategoryTitle>
            </c:ext>
          </c:extLst>
        </c:ser>
        <c:dLbls>
          <c:showLegendKey val="0"/>
          <c:showVal val="1"/>
          <c:showCatName val="0"/>
          <c:showSerName val="0"/>
          <c:showPercent val="0"/>
          <c:showBubbleSize val="0"/>
        </c:dLbls>
        <c:gapWidth val="219"/>
        <c:overlap val="-27"/>
        <c:axId val="127983104"/>
        <c:axId val="120021568"/>
      </c:barChart>
      <c:catAx>
        <c:axId val="1279831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20021568"/>
        <c:crosses val="autoZero"/>
        <c:auto val="1"/>
        <c:lblAlgn val="ctr"/>
        <c:lblOffset val="100"/>
        <c:noMultiLvlLbl val="0"/>
      </c:catAx>
      <c:valAx>
        <c:axId val="12002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27983104"/>
        <c:crosses val="autoZero"/>
        <c:crossBetween val="between"/>
      </c:valAx>
      <c:spPr>
        <a:noFill/>
        <a:ln>
          <a:noFill/>
        </a:ln>
        <a:effectLst/>
      </c:spPr>
    </c:plotArea>
    <c:legend>
      <c:legendPos val="b"/>
      <c:layout>
        <c:manualLayout>
          <c:xMode val="edge"/>
          <c:yMode val="edge"/>
          <c:x val="0.27"/>
          <c:y val="0.92423780487804896"/>
          <c:w val="0.58337499999999998"/>
          <c:h val="7.0884146341463394E-2"/>
        </c:manualLayout>
      </c:layout>
      <c:overlay val="0"/>
      <c:spPr>
        <a:solidFill>
          <a:schemeClr val="bg1"/>
        </a:solidFill>
        <a:ln>
          <a:solidFill>
            <a:schemeClr val="bg1"/>
          </a:solid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图2：收入决算结构图（单位：万元）</c:v>
                </c:pt>
              </c:strCache>
            </c:strRef>
          </c:tx>
          <c:dPt>
            <c:idx val="0"/>
            <c:bubble3D val="0"/>
            <c:spPr>
              <a:solidFill>
                <a:schemeClr val="accent1">
                  <a:shade val="76667"/>
                </a:schemeClr>
              </a:solidFill>
              <a:ln w="19050">
                <a:solidFill>
                  <a:schemeClr val="lt1"/>
                </a:solidFill>
              </a:ln>
              <a:effectLst/>
            </c:spPr>
          </c:dPt>
          <c:dPt>
            <c:idx val="1"/>
            <c:bubble3D val="0"/>
            <c:spPr>
              <a:solidFill>
                <a:schemeClr val="accent1">
                  <a:tint val="76667"/>
                </a:schemeClr>
              </a:solidFill>
              <a:ln w="19050">
                <a:solidFill>
                  <a:schemeClr val="lt1"/>
                </a:solidFill>
              </a:ln>
              <a:effectLst/>
            </c:spPr>
          </c:dPt>
          <c:dLbls>
            <c:dLbl>
              <c:idx val="0"/>
              <c:layout>
                <c:manualLayout>
                  <c:x val="3.0908934825744801E-2"/>
                  <c:y val="-0.28028936451602199"/>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2.65893951756667E-3"/>
                  <c:y val="-2.2043956405483098E-2"/>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3802.69</c:v>
                </c:pt>
                <c:pt idx="1">
                  <c:v>2262.42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图3：支出决算结构图</a:t>
            </a:r>
          </a:p>
        </c:rich>
      </c:tx>
      <c:layout>
        <c:manualLayout>
          <c:xMode val="edge"/>
          <c:yMode val="edge"/>
          <c:x val="0.33447996762444299"/>
          <c:y val="4.9188391539596699E-2"/>
        </c:manualLayout>
      </c:layout>
      <c:overlay val="0"/>
      <c:spPr>
        <a:noFill/>
        <a:ln>
          <a:noFill/>
        </a:ln>
        <a:effectLst/>
      </c:spPr>
    </c:title>
    <c:autoTitleDeleted val="0"/>
    <c:plotArea>
      <c:layout/>
      <c:pieChart>
        <c:varyColors val="1"/>
        <c:ser>
          <c:idx val="0"/>
          <c:order val="0"/>
          <c:tx>
            <c:strRef>
              <c:f>Sheet1!$B$1</c:f>
              <c:strCache>
                <c:ptCount val="1"/>
                <c:pt idx="0">
                  <c:v>图3：支出决算结构图（单位：万元）</c:v>
                </c:pt>
              </c:strCache>
            </c:strRef>
          </c:tx>
          <c:dPt>
            <c:idx val="0"/>
            <c:bubble3D val="0"/>
            <c:spPr>
              <a:solidFill>
                <a:schemeClr val="accent1">
                  <a:shade val="76667"/>
                </a:schemeClr>
              </a:solidFill>
              <a:ln w="19050">
                <a:solidFill>
                  <a:schemeClr val="lt1"/>
                </a:solidFill>
              </a:ln>
              <a:effectLst/>
            </c:spPr>
          </c:dPt>
          <c:dPt>
            <c:idx val="1"/>
            <c:bubble3D val="0"/>
            <c:spPr>
              <a:solidFill>
                <a:schemeClr val="accent1">
                  <a:tint val="76667"/>
                </a:schemeClr>
              </a:solidFill>
              <a:ln w="19050">
                <a:solidFill>
                  <a:schemeClr val="lt1"/>
                </a:solidFill>
              </a:ln>
              <a:effectLst/>
            </c:spPr>
          </c:dPt>
          <c:dLbls>
            <c:dLbl>
              <c:idx val="0"/>
              <c:layout>
                <c:manualLayout>
                  <c:x val="0.21302853408463401"/>
                  <c:y val="0.3782017896177919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5342822282942301"/>
                  <c:y val="-0.240766167093941"/>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698.44</c:v>
                </c:pt>
                <c:pt idx="1">
                  <c:v>7936.4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4</a:t>
            </a:r>
            <a:r>
              <a:rPr altLang="en-US"/>
              <a:t>：财政拨款收、支决算总计变动情况</a:t>
            </a:r>
          </a:p>
          <a:p>
            <a:pPr defTabSz="914400">
              <a:defRPr lang="zh-CN" sz="1400" b="0" i="0" u="none" strike="noStrike" kern="1200" spc="0" baseline="0">
                <a:solidFill>
                  <a:schemeClr val="tx1">
                    <a:lumMod val="65000"/>
                    <a:lumOff val="35000"/>
                  </a:schemeClr>
                </a:solidFill>
                <a:latin typeface="+mn-lt"/>
                <a:ea typeface="+mn-ea"/>
                <a:cs typeface="+mn-cs"/>
              </a:defRPr>
            </a:pPr>
            <a:r>
              <a:rPr altLang="en-US"/>
              <a:t>（单位：万元）</a:t>
            </a:r>
          </a:p>
        </c:rich>
      </c:tx>
      <c:layout>
        <c:manualLayout>
          <c:xMode val="edge"/>
          <c:yMode val="edge"/>
          <c:x val="0.18825"/>
          <c:y val="3.5666666666666701E-2"/>
        </c:manualLayout>
      </c:layout>
      <c:overlay val="0"/>
      <c:spPr>
        <a:noFill/>
        <a:ln>
          <a:noFill/>
        </a:ln>
        <a:effectLst/>
      </c:spPr>
    </c:title>
    <c:autoTitleDeleted val="0"/>
    <c:plotArea>
      <c:layout/>
      <c:barChart>
        <c:barDir val="col"/>
        <c:grouping val="clustered"/>
        <c:varyColors val="0"/>
        <c:ser>
          <c:idx val="0"/>
          <c:order val="0"/>
          <c:tx>
            <c:strRef>
              <c:f>Sheet1!$A$2</c:f>
              <c:strCache>
                <c:ptCount val="1"/>
                <c:pt idx="0">
                  <c:v>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2018年</c:v>
                </c:pt>
                <c:pt idx="1">
                  <c:v>2019年</c:v>
                </c:pt>
              </c:strCache>
            </c:strRef>
          </c:cat>
          <c:val>
            <c:numRef>
              <c:f>Sheet1!$B$2:$C$2</c:f>
              <c:numCache>
                <c:formatCode>General</c:formatCode>
                <c:ptCount val="2"/>
                <c:pt idx="0">
                  <c:v>17550.349999999999</c:v>
                </c:pt>
                <c:pt idx="1">
                  <c:v>15480.99</c:v>
                </c:pt>
              </c:numCache>
            </c:numRef>
          </c:val>
        </c:ser>
        <c:dLbls>
          <c:showLegendKey val="0"/>
          <c:showVal val="1"/>
          <c:showCatName val="0"/>
          <c:showSerName val="0"/>
          <c:showPercent val="0"/>
          <c:showBubbleSize val="0"/>
        </c:dLbls>
        <c:gapWidth val="219"/>
        <c:overlap val="-27"/>
        <c:axId val="127980032"/>
        <c:axId val="120027904"/>
      </c:barChart>
      <c:catAx>
        <c:axId val="1279800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20027904"/>
        <c:crosses val="autoZero"/>
        <c:auto val="1"/>
        <c:lblAlgn val="ctr"/>
        <c:lblOffset val="100"/>
        <c:noMultiLvlLbl val="0"/>
      </c:catAx>
      <c:valAx>
        <c:axId val="12002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27980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5</a:t>
            </a:r>
            <a:r>
              <a:rPr altLang="en-US"/>
              <a:t>：一般公共预算财政拨款支出决算变动情况（单位：万元）</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hade val="76667"/>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类别 1</c:v>
                </c:pt>
              </c:strCache>
            </c:strRef>
          </c:cat>
          <c:val>
            <c:numRef>
              <c:f>Sheet1!$B$2</c:f>
              <c:numCache>
                <c:formatCode>General</c:formatCode>
                <c:ptCount val="1"/>
                <c:pt idx="0">
                  <c:v>6842.62</c:v>
                </c:pt>
              </c:numCache>
            </c:numRef>
          </c:val>
        </c:ser>
        <c:ser>
          <c:idx val="1"/>
          <c:order val="1"/>
          <c:tx>
            <c:strRef>
              <c:f>Sheet1!$C$1</c:f>
              <c:strCache>
                <c:ptCount val="1"/>
                <c:pt idx="0">
                  <c:v>2019年</c:v>
                </c:pt>
              </c:strCache>
            </c:strRef>
          </c:tx>
          <c:spPr>
            <a:solidFill>
              <a:schemeClr val="accent1">
                <a:tint val="76667"/>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类别 1</c:v>
                </c:pt>
              </c:strCache>
            </c:strRef>
          </c:cat>
          <c:val>
            <c:numRef>
              <c:f>Sheet1!$C$2</c:f>
              <c:numCache>
                <c:formatCode>General</c:formatCode>
                <c:ptCount val="1"/>
                <c:pt idx="0">
                  <c:v>6498.4</c:v>
                </c:pt>
              </c:numCache>
            </c:numRef>
          </c:val>
        </c:ser>
        <c:dLbls>
          <c:showLegendKey val="0"/>
          <c:showVal val="1"/>
          <c:showCatName val="0"/>
          <c:showSerName val="0"/>
          <c:showPercent val="0"/>
          <c:showBubbleSize val="0"/>
        </c:dLbls>
        <c:gapWidth val="219"/>
        <c:overlap val="-27"/>
        <c:axId val="127982592"/>
        <c:axId val="120053760"/>
      </c:barChart>
      <c:catAx>
        <c:axId val="127982592"/>
        <c:scaling>
          <c:orientation val="minMax"/>
        </c:scaling>
        <c:delete val="1"/>
        <c:axPos val="b"/>
        <c:majorTickMark val="none"/>
        <c:minorTickMark val="none"/>
        <c:tickLblPos val="nextTo"/>
        <c:crossAx val="120053760"/>
        <c:crosses val="autoZero"/>
        <c:auto val="1"/>
        <c:lblAlgn val="ctr"/>
        <c:lblOffset val="100"/>
        <c:noMultiLvlLbl val="0"/>
      </c:catAx>
      <c:valAx>
        <c:axId val="120053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27982592"/>
        <c:crosses val="autoZero"/>
        <c:crossBetween val="between"/>
      </c:valAx>
      <c:spPr>
        <a:noFill/>
        <a:ln>
          <a:noFill/>
        </a:ln>
        <a:effectLst/>
      </c:spPr>
    </c:plotArea>
    <c:legend>
      <c:legendPos val="b"/>
      <c:layout>
        <c:manualLayout>
          <c:xMode val="edge"/>
          <c:yMode val="edge"/>
          <c:x val="0.14149999999999999"/>
          <c:y val="0.91783333333333295"/>
          <c:w val="0.78662500000000002"/>
          <c:h val="6.4333333333333298E-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6</a:t>
            </a:r>
            <a:r>
              <a:rPr altLang="en-US"/>
              <a:t>：一般公共预算财政拨款支出决算结构</a:t>
            </a:r>
          </a:p>
        </c:rich>
      </c:tx>
      <c:overlay val="0"/>
      <c:spPr>
        <a:noFill/>
        <a:ln>
          <a:noFill/>
        </a:ln>
        <a:effectLst/>
      </c:spPr>
    </c:title>
    <c:autoTitleDeleted val="0"/>
    <c:plotArea>
      <c:layout/>
      <c:pieChart>
        <c:varyColors val="1"/>
        <c:ser>
          <c:idx val="0"/>
          <c:order val="0"/>
          <c:tx>
            <c:strRef>
              <c:f>Sheet1!$B$1</c:f>
              <c:strCache>
                <c:ptCount val="1"/>
                <c:pt idx="0">
                  <c:v>图6：一般公共预算财政拨款支出决算结构</c:v>
                </c:pt>
              </c:strCache>
            </c:strRef>
          </c:tx>
          <c:dPt>
            <c:idx val="0"/>
            <c:bubble3D val="0"/>
            <c:spPr>
              <a:solidFill>
                <a:schemeClr val="accent1">
                  <a:shade val="50000"/>
                </a:schemeClr>
              </a:solidFill>
              <a:ln w="19050">
                <a:solidFill>
                  <a:schemeClr val="lt1"/>
                </a:solidFill>
              </a:ln>
              <a:effectLst/>
            </c:spPr>
          </c:dPt>
          <c:dPt>
            <c:idx val="1"/>
            <c:bubble3D val="0"/>
            <c:spPr>
              <a:solidFill>
                <a:schemeClr val="accent1">
                  <a:shade val="70000"/>
                </a:schemeClr>
              </a:solidFill>
              <a:ln w="19050">
                <a:solidFill>
                  <a:schemeClr val="lt1"/>
                </a:solidFill>
              </a:ln>
              <a:effectLst/>
            </c:spPr>
          </c:dPt>
          <c:dPt>
            <c:idx val="2"/>
            <c:bubble3D val="0"/>
            <c:spPr>
              <a:solidFill>
                <a:schemeClr val="accent1">
                  <a:shade val="90000"/>
                </a:schemeClr>
              </a:solidFill>
              <a:ln w="19050">
                <a:solidFill>
                  <a:schemeClr val="lt1"/>
                </a:solidFill>
              </a:ln>
              <a:effectLst/>
            </c:spPr>
          </c:dPt>
          <c:dPt>
            <c:idx val="3"/>
            <c:bubble3D val="0"/>
            <c:spPr>
              <a:solidFill>
                <a:schemeClr val="accent1">
                  <a:tint val="90000"/>
                </a:schemeClr>
              </a:solidFill>
              <a:ln w="19050">
                <a:solidFill>
                  <a:schemeClr val="lt1"/>
                </a:solidFill>
              </a:ln>
              <a:effectLst/>
            </c:spPr>
          </c:dPt>
          <c:dPt>
            <c:idx val="4"/>
            <c:bubble3D val="0"/>
            <c:spPr>
              <a:solidFill>
                <a:schemeClr val="accent1">
                  <a:tint val="70000"/>
                </a:schemeClr>
              </a:solidFill>
              <a:ln w="19050">
                <a:solidFill>
                  <a:schemeClr val="lt1"/>
                </a:solidFill>
              </a:ln>
              <a:effectLst/>
            </c:spPr>
          </c:dPt>
          <c:dPt>
            <c:idx val="5"/>
            <c:bubble3D val="0"/>
            <c:spPr>
              <a:solidFill>
                <a:schemeClr val="accent1">
                  <a:tint val="50000"/>
                </a:schemeClr>
              </a:solidFill>
              <a:ln w="19050">
                <a:solidFill>
                  <a:schemeClr val="lt1"/>
                </a:solidFill>
              </a:ln>
              <a:effectLst/>
            </c:spPr>
          </c:dPt>
          <c:dLbls>
            <c:dLbl>
              <c:idx val="0"/>
              <c:layout>
                <c:manualLayout>
                  <c:x val="0.15056522974299699"/>
                  <c:y val="0.13922182703193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3433721562177801"/>
                  <c:y val="0.2764547478433599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6.8606547096450504E-2"/>
                  <c:y val="0.18394997394476301"/>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26090609766294798"/>
                  <c:y val="-8.337675872850440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22446738044419401"/>
                  <c:y val="0"/>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社会保障和就业支出</c:v>
                </c:pt>
                <c:pt idx="1">
                  <c:v>卫生健康支出</c:v>
                </c:pt>
                <c:pt idx="2">
                  <c:v>农林水支出</c:v>
                </c:pt>
                <c:pt idx="3">
                  <c:v>自然资源海洋气象支出</c:v>
                </c:pt>
                <c:pt idx="4">
                  <c:v>住房保障支出</c:v>
                </c:pt>
                <c:pt idx="5">
                  <c:v>灾害防治及应急管理等支出</c:v>
                </c:pt>
              </c:strCache>
            </c:strRef>
          </c:cat>
          <c:val>
            <c:numRef>
              <c:f>Sheet1!$B$2:$B$7</c:f>
              <c:numCache>
                <c:formatCode>General</c:formatCode>
                <c:ptCount val="6"/>
                <c:pt idx="0">
                  <c:v>91.01</c:v>
                </c:pt>
                <c:pt idx="1">
                  <c:v>43.18</c:v>
                </c:pt>
                <c:pt idx="2">
                  <c:v>2688.26</c:v>
                </c:pt>
                <c:pt idx="3">
                  <c:v>655.87</c:v>
                </c:pt>
                <c:pt idx="4">
                  <c:v>58.37</c:v>
                </c:pt>
                <c:pt idx="5">
                  <c:v>2961.71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图7：“三公”经费财政拨款支出结构</c:v>
                </c:pt>
              </c:strCache>
            </c:strRef>
          </c:tx>
          <c:dPt>
            <c:idx val="0"/>
            <c:bubble3D val="0"/>
            <c:spPr>
              <a:solidFill>
                <a:schemeClr val="accent1"/>
              </a:solidFill>
              <a:ln w="19050">
                <a:solidFill>
                  <a:schemeClr val="lt1"/>
                </a:solidFill>
              </a:ln>
              <a:effectLst/>
            </c:spPr>
          </c:dPt>
          <c:dLbls>
            <c:dLbl>
              <c:idx val="0"/>
              <c:layout>
                <c:manualLayout>
                  <c:x val="0.35020735040082901"/>
                  <c:y val="-0.38334761021487201"/>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Sheet1!$A$2</c:f>
            </c:multiLvlStrRef>
          </c:cat>
          <c:val>
            <c:numRef>
              <c:f>Sheet1!$B$2</c:f>
              <c:numCache>
                <c:formatCode>General</c:formatCode>
                <c:ptCount val="1"/>
                <c:pt idx="0">
                  <c:v>4</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0090B4-5B12-42F5-B055-DDBD95FD2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2181</Words>
  <Characters>12435</Characters>
  <Application>Microsoft Office Word</Application>
  <DocSecurity>0</DocSecurity>
  <Lines>103</Lines>
  <Paragraphs>29</Paragraphs>
  <ScaleCrop>false</ScaleCrop>
  <Company>四川省财政厅</Company>
  <LinksUpToDate>false</LinksUpToDate>
  <CharactersWithSpaces>14587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Administrator</cp:lastModifiedBy>
  <cp:revision>42</cp:revision>
  <cp:lastPrinted>2020-09-24T04:05:00Z</cp:lastPrinted>
  <dcterms:created xsi:type="dcterms:W3CDTF">2020-08-04T01:49:00Z</dcterms:created>
  <dcterms:modified xsi:type="dcterms:W3CDTF">2021-06-01T02:24:00Z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