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34C" w:rsidRDefault="0021334C">
      <w:pPr>
        <w:spacing w:line="600" w:lineRule="exact"/>
        <w:jc w:val="center"/>
        <w:outlineLvl w:val="0"/>
        <w:rPr>
          <w:rFonts w:ascii="方正小标宋简体" w:eastAsia="方正小标宋简体" w:hAnsi="宋体"/>
          <w:color w:val="000000"/>
          <w:sz w:val="72"/>
          <w:szCs w:val="72"/>
        </w:rPr>
      </w:pPr>
      <w:bookmarkStart w:id="0" w:name="_Toc15306267"/>
    </w:p>
    <w:p w:rsidR="0021334C" w:rsidRDefault="0021334C">
      <w:pPr>
        <w:spacing w:line="600" w:lineRule="exact"/>
        <w:jc w:val="center"/>
        <w:outlineLvl w:val="0"/>
        <w:rPr>
          <w:rFonts w:ascii="方正小标宋简体" w:eastAsia="方正小标宋简体" w:hAnsi="宋体"/>
          <w:color w:val="000000"/>
          <w:sz w:val="72"/>
          <w:szCs w:val="72"/>
        </w:rPr>
      </w:pPr>
    </w:p>
    <w:p w:rsidR="0021334C" w:rsidRDefault="0021334C">
      <w:pPr>
        <w:spacing w:line="600" w:lineRule="exact"/>
        <w:jc w:val="center"/>
        <w:outlineLvl w:val="0"/>
        <w:rPr>
          <w:rFonts w:ascii="方正小标宋简体" w:eastAsia="方正小标宋简体" w:hAnsi="宋体"/>
          <w:color w:val="000000"/>
          <w:sz w:val="72"/>
          <w:szCs w:val="72"/>
        </w:rPr>
      </w:pPr>
    </w:p>
    <w:p w:rsidR="0021334C" w:rsidRDefault="0021334C">
      <w:pPr>
        <w:spacing w:line="600" w:lineRule="exact"/>
        <w:jc w:val="center"/>
        <w:outlineLvl w:val="0"/>
        <w:rPr>
          <w:rFonts w:ascii="方正小标宋简体" w:eastAsia="方正小标宋简体" w:hAnsi="宋体"/>
          <w:color w:val="000000"/>
          <w:sz w:val="72"/>
          <w:szCs w:val="72"/>
        </w:rPr>
      </w:pPr>
    </w:p>
    <w:p w:rsidR="0021334C" w:rsidRDefault="008511F3">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597"/>
      <w:bookmarkStart w:id="2" w:name="_Toc15377193"/>
      <w:bookmarkStart w:id="3" w:name="_Toc15396475"/>
      <w:bookmarkStart w:id="4" w:name="_Toc15378441"/>
      <w:bookmarkStart w:id="5" w:name="_Toc15377425"/>
      <w:r>
        <w:rPr>
          <w:rFonts w:ascii="黑体" w:eastAsia="黑体" w:hAnsi="黑体" w:hint="eastAsia"/>
          <w:color w:val="000000"/>
          <w:sz w:val="72"/>
          <w:szCs w:val="72"/>
        </w:rPr>
        <w:t>2020</w:t>
      </w:r>
      <w:r>
        <w:rPr>
          <w:rFonts w:ascii="方正小标宋简体" w:eastAsia="方正小标宋简体" w:hAnsi="宋体" w:hint="eastAsia"/>
          <w:color w:val="000000"/>
          <w:sz w:val="72"/>
          <w:szCs w:val="72"/>
        </w:rPr>
        <w:t>年度</w:t>
      </w:r>
      <w:bookmarkEnd w:id="1"/>
      <w:bookmarkEnd w:id="2"/>
      <w:bookmarkEnd w:id="3"/>
      <w:bookmarkEnd w:id="4"/>
      <w:bookmarkEnd w:id="5"/>
    </w:p>
    <w:p w:rsidR="0021334C" w:rsidRDefault="008511F3">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598"/>
      <w:bookmarkStart w:id="7" w:name="_Toc15396476"/>
      <w:bookmarkStart w:id="8" w:name="_Toc15306268"/>
      <w:bookmarkStart w:id="9" w:name="_Toc15377194"/>
      <w:bookmarkStart w:id="10" w:name="_Toc15378442"/>
      <w:bookmarkStart w:id="11" w:name="_Toc15377426"/>
      <w:bookmarkEnd w:id="0"/>
      <w:r>
        <w:rPr>
          <w:rFonts w:ascii="方正小标宋简体" w:eastAsia="方正小标宋简体" w:hAnsi="宋体" w:hint="eastAsia"/>
          <w:color w:val="000000" w:themeColor="text1"/>
          <w:sz w:val="72"/>
          <w:szCs w:val="72"/>
        </w:rPr>
        <w:t>四川省茂县自然资源局</w:t>
      </w: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r>
        <w:rPr>
          <w:rFonts w:ascii="方正小标宋简体" w:eastAsia="方正小标宋简体" w:hAnsi="宋体" w:hint="eastAsia"/>
          <w:color w:val="000000"/>
          <w:sz w:val="72"/>
          <w:szCs w:val="72"/>
        </w:rPr>
        <w:t>编制说明</w:t>
      </w:r>
    </w:p>
    <w:p w:rsidR="0021334C" w:rsidRDefault="0021334C">
      <w:pPr>
        <w:widowControl/>
        <w:jc w:val="center"/>
        <w:rPr>
          <w:rFonts w:ascii="方正小标宋简体" w:eastAsia="方正小标宋简体" w:hAnsi="宋体"/>
          <w:color w:val="000000"/>
          <w:sz w:val="36"/>
          <w:szCs w:val="36"/>
        </w:rPr>
      </w:pPr>
    </w:p>
    <w:p w:rsidR="0021334C" w:rsidRDefault="0021334C">
      <w:pPr>
        <w:widowControl/>
        <w:jc w:val="center"/>
        <w:rPr>
          <w:rFonts w:ascii="方正小标宋简体" w:eastAsia="方正小标宋简体" w:hAnsi="宋体"/>
          <w:color w:val="000000"/>
          <w:sz w:val="36"/>
          <w:szCs w:val="36"/>
        </w:rPr>
      </w:pPr>
    </w:p>
    <w:p w:rsidR="0021334C" w:rsidRDefault="0021334C">
      <w:pPr>
        <w:widowControl/>
        <w:jc w:val="center"/>
        <w:rPr>
          <w:rFonts w:ascii="方正小标宋简体" w:eastAsia="方正小标宋简体" w:hAnsi="宋体"/>
          <w:color w:val="000000"/>
          <w:sz w:val="36"/>
          <w:szCs w:val="36"/>
        </w:rPr>
      </w:pPr>
    </w:p>
    <w:p w:rsidR="0021334C" w:rsidRDefault="0021334C">
      <w:pPr>
        <w:widowControl/>
        <w:jc w:val="center"/>
        <w:rPr>
          <w:rFonts w:ascii="方正小标宋简体" w:eastAsia="方正小标宋简体" w:hAnsi="宋体"/>
          <w:color w:val="000000"/>
          <w:sz w:val="36"/>
          <w:szCs w:val="36"/>
        </w:rPr>
      </w:pPr>
    </w:p>
    <w:p w:rsidR="0021334C" w:rsidRDefault="0021334C">
      <w:pPr>
        <w:widowControl/>
        <w:jc w:val="center"/>
        <w:rPr>
          <w:rFonts w:ascii="方正小标宋简体" w:eastAsia="方正小标宋简体" w:hAnsi="宋体"/>
          <w:color w:val="000000"/>
          <w:sz w:val="36"/>
          <w:szCs w:val="36"/>
        </w:rPr>
      </w:pPr>
    </w:p>
    <w:p w:rsidR="0021334C" w:rsidRDefault="0021334C">
      <w:pPr>
        <w:widowControl/>
        <w:jc w:val="center"/>
        <w:rPr>
          <w:rFonts w:ascii="方正小标宋简体" w:eastAsia="方正小标宋简体" w:hAnsi="宋体"/>
          <w:color w:val="000000"/>
          <w:sz w:val="36"/>
          <w:szCs w:val="36"/>
        </w:rPr>
      </w:pPr>
    </w:p>
    <w:p w:rsidR="0021334C" w:rsidRDefault="0021334C">
      <w:pPr>
        <w:widowControl/>
        <w:rPr>
          <w:rFonts w:ascii="方正小标宋简体" w:eastAsia="方正小标宋简体" w:hAnsi="宋体"/>
          <w:color w:val="000000"/>
          <w:sz w:val="36"/>
          <w:szCs w:val="36"/>
        </w:rPr>
      </w:pPr>
    </w:p>
    <w:p w:rsidR="0021334C" w:rsidRDefault="0021334C">
      <w:pPr>
        <w:widowControl/>
        <w:jc w:val="center"/>
        <w:rPr>
          <w:rFonts w:ascii="方正小标宋简体" w:eastAsia="方正小标宋简体" w:hAnsi="宋体"/>
          <w:color w:val="000000"/>
          <w:sz w:val="36"/>
          <w:szCs w:val="36"/>
        </w:rPr>
      </w:pPr>
    </w:p>
    <w:p w:rsidR="0021334C" w:rsidRDefault="008511F3">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保密审查情况：已审查，内容审定</w:t>
      </w:r>
    </w:p>
    <w:p w:rsidR="0021334C" w:rsidRDefault="008511F3">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部门主要负责人审签情况：已审签，同意对外公开</w:t>
      </w:r>
    </w:p>
    <w:p w:rsidR="0021334C" w:rsidRDefault="008511F3">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21334C" w:rsidRDefault="006F41E3">
      <w:pPr>
        <w:pStyle w:val="10"/>
        <w:spacing w:before="120" w:after="120"/>
        <w:jc w:val="left"/>
        <w:rPr>
          <w:smallCaps/>
          <w:sz w:val="20"/>
          <w:szCs w:val="20"/>
        </w:rPr>
      </w:pPr>
      <w:r>
        <w:rPr>
          <w:smallCaps/>
          <w:sz w:val="20"/>
          <w:szCs w:val="20"/>
        </w:rPr>
        <w:fldChar w:fldCharType="begin"/>
      </w:r>
      <w:r w:rsidR="008511F3">
        <w:rPr>
          <w:smallCaps/>
          <w:sz w:val="20"/>
          <w:szCs w:val="20"/>
        </w:rPr>
        <w:instrText xml:space="preserve"> TOC \o "1-2" \h \z \u </w:instrText>
      </w:r>
      <w:r>
        <w:rPr>
          <w:smallCaps/>
          <w:sz w:val="20"/>
          <w:szCs w:val="20"/>
        </w:rPr>
        <w:fldChar w:fldCharType="separate"/>
      </w:r>
    </w:p>
    <w:p w:rsidR="0021334C" w:rsidRDefault="008511F3">
      <w:pPr>
        <w:pStyle w:val="10"/>
        <w:spacing w:before="120" w:after="120"/>
        <w:rPr>
          <w:smallCaps/>
          <w:sz w:val="20"/>
          <w:szCs w:val="20"/>
        </w:rPr>
      </w:pPr>
      <w:r>
        <w:rPr>
          <w:rFonts w:hint="eastAsia"/>
          <w:smallCaps/>
          <w:sz w:val="20"/>
          <w:szCs w:val="20"/>
        </w:rPr>
        <w:t>公开时间：2021年9月27日</w:t>
      </w:r>
    </w:p>
    <w:p w:rsidR="0021334C" w:rsidRDefault="0021334C">
      <w:pPr>
        <w:pStyle w:val="10"/>
        <w:spacing w:before="120" w:after="120"/>
        <w:jc w:val="left"/>
        <w:rPr>
          <w:smallCaps/>
          <w:sz w:val="20"/>
          <w:szCs w:val="20"/>
        </w:rPr>
      </w:pPr>
    </w:p>
    <w:p w:rsidR="0021334C" w:rsidRDefault="006F41E3">
      <w:pPr>
        <w:pStyle w:val="10"/>
        <w:spacing w:before="120" w:after="120"/>
        <w:jc w:val="left"/>
        <w:rPr>
          <w:smallCaps/>
          <w:sz w:val="20"/>
          <w:szCs w:val="20"/>
        </w:rPr>
      </w:pPr>
      <w:hyperlink w:anchor="_Toc15396599" w:history="1">
        <w:r w:rsidR="008511F3">
          <w:rPr>
            <w:rFonts w:hint="eastAsia"/>
            <w:smallCaps/>
            <w:sz w:val="20"/>
            <w:szCs w:val="20"/>
          </w:rPr>
          <w:t>第一部分部门概况</w:t>
        </w:r>
        <w:r w:rsidR="008511F3">
          <w:rPr>
            <w:smallCaps/>
            <w:sz w:val="20"/>
            <w:szCs w:val="20"/>
          </w:rPr>
          <w:tab/>
        </w:r>
        <w:r w:rsidR="008511F3">
          <w:rPr>
            <w:rFonts w:hint="eastAsia"/>
            <w:smallCaps/>
            <w:sz w:val="20"/>
            <w:szCs w:val="20"/>
          </w:rPr>
          <w:t>4</w:t>
        </w:r>
      </w:hyperlink>
    </w:p>
    <w:p w:rsidR="0021334C" w:rsidRDefault="006F41E3">
      <w:pPr>
        <w:pStyle w:val="10"/>
        <w:spacing w:before="120" w:after="120"/>
        <w:jc w:val="left"/>
        <w:rPr>
          <w:smallCaps/>
          <w:sz w:val="20"/>
          <w:szCs w:val="20"/>
        </w:rPr>
      </w:pPr>
      <w:hyperlink w:anchor="_Toc15396600" w:history="1">
        <w:r w:rsidR="008511F3">
          <w:rPr>
            <w:rFonts w:hint="eastAsia"/>
            <w:smallCaps/>
            <w:sz w:val="20"/>
            <w:szCs w:val="20"/>
          </w:rPr>
          <w:t>一、基本职能及主要工作</w:t>
        </w:r>
        <w:r w:rsidR="008511F3">
          <w:rPr>
            <w:smallCaps/>
            <w:sz w:val="20"/>
            <w:szCs w:val="20"/>
          </w:rPr>
          <w:tab/>
        </w:r>
        <w:r w:rsidR="008511F3">
          <w:rPr>
            <w:rFonts w:hint="eastAsia"/>
            <w:smallCaps/>
            <w:sz w:val="20"/>
            <w:szCs w:val="20"/>
          </w:rPr>
          <w:t>4</w:t>
        </w:r>
      </w:hyperlink>
    </w:p>
    <w:p w:rsidR="0021334C" w:rsidRDefault="006F41E3">
      <w:pPr>
        <w:pStyle w:val="10"/>
        <w:spacing w:before="120" w:after="120"/>
        <w:jc w:val="left"/>
        <w:rPr>
          <w:smallCaps/>
          <w:sz w:val="20"/>
          <w:szCs w:val="20"/>
        </w:rPr>
      </w:pPr>
      <w:hyperlink w:anchor="_Toc15396601" w:history="1">
        <w:r w:rsidR="008511F3">
          <w:rPr>
            <w:rFonts w:hint="eastAsia"/>
            <w:smallCaps/>
            <w:sz w:val="20"/>
            <w:szCs w:val="20"/>
          </w:rPr>
          <w:t>二、机构设置</w:t>
        </w:r>
        <w:r w:rsidR="008511F3">
          <w:rPr>
            <w:smallCaps/>
            <w:sz w:val="20"/>
            <w:szCs w:val="20"/>
          </w:rPr>
          <w:tab/>
        </w:r>
        <w:r>
          <w:rPr>
            <w:smallCaps/>
            <w:sz w:val="20"/>
            <w:szCs w:val="20"/>
          </w:rPr>
          <w:fldChar w:fldCharType="begin"/>
        </w:r>
        <w:r w:rsidR="008511F3">
          <w:rPr>
            <w:smallCaps/>
            <w:sz w:val="20"/>
            <w:szCs w:val="20"/>
          </w:rPr>
          <w:instrText xml:space="preserve"> PAGEREF _Toc15396601 \h </w:instrText>
        </w:r>
        <w:r>
          <w:rPr>
            <w:smallCaps/>
            <w:sz w:val="20"/>
            <w:szCs w:val="20"/>
          </w:rPr>
        </w:r>
        <w:r>
          <w:rPr>
            <w:smallCaps/>
            <w:sz w:val="20"/>
            <w:szCs w:val="20"/>
          </w:rPr>
          <w:fldChar w:fldCharType="separate"/>
        </w:r>
        <w:r w:rsidR="004E7EC7">
          <w:rPr>
            <w:smallCaps/>
            <w:noProof/>
            <w:sz w:val="20"/>
            <w:szCs w:val="20"/>
          </w:rPr>
          <w:t>5</w:t>
        </w:r>
        <w:r>
          <w:rPr>
            <w:smallCaps/>
            <w:sz w:val="20"/>
            <w:szCs w:val="20"/>
          </w:rPr>
          <w:fldChar w:fldCharType="end"/>
        </w:r>
      </w:hyperlink>
    </w:p>
    <w:p w:rsidR="0021334C" w:rsidRDefault="006F41E3">
      <w:pPr>
        <w:pStyle w:val="10"/>
        <w:spacing w:before="120" w:after="120"/>
        <w:jc w:val="left"/>
        <w:rPr>
          <w:smallCaps/>
          <w:sz w:val="20"/>
          <w:szCs w:val="20"/>
        </w:rPr>
      </w:pPr>
      <w:hyperlink w:anchor="_Toc15396602" w:history="1">
        <w:r w:rsidR="008511F3">
          <w:rPr>
            <w:rFonts w:hint="eastAsia"/>
            <w:smallCaps/>
            <w:sz w:val="20"/>
            <w:szCs w:val="20"/>
          </w:rPr>
          <w:t>第二部分</w:t>
        </w:r>
        <w:r w:rsidR="008511F3">
          <w:rPr>
            <w:smallCaps/>
            <w:sz w:val="20"/>
            <w:szCs w:val="20"/>
          </w:rPr>
          <w:t xml:space="preserve"> </w:t>
        </w:r>
        <w:r w:rsidR="008511F3">
          <w:rPr>
            <w:rFonts w:hint="eastAsia"/>
            <w:smallCaps/>
            <w:sz w:val="20"/>
            <w:szCs w:val="20"/>
          </w:rPr>
          <w:t>2020年度部门决算情况说明</w:t>
        </w:r>
        <w:r w:rsidR="008511F3">
          <w:rPr>
            <w:smallCaps/>
            <w:sz w:val="20"/>
            <w:szCs w:val="20"/>
          </w:rPr>
          <w:tab/>
        </w:r>
        <w:r>
          <w:rPr>
            <w:smallCaps/>
            <w:sz w:val="20"/>
            <w:szCs w:val="20"/>
          </w:rPr>
          <w:fldChar w:fldCharType="begin"/>
        </w:r>
        <w:r w:rsidR="008511F3">
          <w:rPr>
            <w:smallCaps/>
            <w:sz w:val="20"/>
            <w:szCs w:val="20"/>
          </w:rPr>
          <w:instrText xml:space="preserve"> PAGEREF _Toc15396602 \h </w:instrText>
        </w:r>
        <w:r>
          <w:rPr>
            <w:smallCaps/>
            <w:sz w:val="20"/>
            <w:szCs w:val="20"/>
          </w:rPr>
        </w:r>
        <w:r>
          <w:rPr>
            <w:smallCaps/>
            <w:sz w:val="20"/>
            <w:szCs w:val="20"/>
          </w:rPr>
          <w:fldChar w:fldCharType="separate"/>
        </w:r>
        <w:r w:rsidR="004E7EC7">
          <w:rPr>
            <w:smallCaps/>
            <w:noProof/>
            <w:sz w:val="20"/>
            <w:szCs w:val="20"/>
          </w:rPr>
          <w:t>6</w:t>
        </w:r>
        <w:r>
          <w:rPr>
            <w:smallCaps/>
            <w:sz w:val="20"/>
            <w:szCs w:val="20"/>
          </w:rPr>
          <w:fldChar w:fldCharType="end"/>
        </w:r>
      </w:hyperlink>
    </w:p>
    <w:p w:rsidR="0021334C" w:rsidRDefault="006F41E3">
      <w:pPr>
        <w:pStyle w:val="10"/>
        <w:spacing w:before="120" w:after="120"/>
        <w:jc w:val="left"/>
        <w:rPr>
          <w:smallCaps/>
          <w:sz w:val="20"/>
          <w:szCs w:val="20"/>
        </w:rPr>
      </w:pPr>
      <w:hyperlink w:anchor="_Toc15396603" w:history="1">
        <w:r w:rsidR="008511F3">
          <w:rPr>
            <w:rFonts w:hint="eastAsia"/>
            <w:smallCaps/>
            <w:sz w:val="20"/>
            <w:szCs w:val="20"/>
          </w:rPr>
          <w:t>一、收入支出决算总体情况说明</w:t>
        </w:r>
        <w:r w:rsidR="008511F3">
          <w:rPr>
            <w:smallCaps/>
            <w:sz w:val="20"/>
            <w:szCs w:val="20"/>
          </w:rPr>
          <w:tab/>
        </w:r>
        <w:r>
          <w:rPr>
            <w:smallCaps/>
            <w:sz w:val="20"/>
            <w:szCs w:val="20"/>
          </w:rPr>
          <w:fldChar w:fldCharType="begin"/>
        </w:r>
        <w:r w:rsidR="008511F3">
          <w:rPr>
            <w:smallCaps/>
            <w:sz w:val="20"/>
            <w:szCs w:val="20"/>
          </w:rPr>
          <w:instrText xml:space="preserve"> PAGEREF _Toc15396603 \h </w:instrText>
        </w:r>
        <w:r>
          <w:rPr>
            <w:smallCaps/>
            <w:sz w:val="20"/>
            <w:szCs w:val="20"/>
          </w:rPr>
        </w:r>
        <w:r>
          <w:rPr>
            <w:smallCaps/>
            <w:sz w:val="20"/>
            <w:szCs w:val="20"/>
          </w:rPr>
          <w:fldChar w:fldCharType="separate"/>
        </w:r>
        <w:r w:rsidR="004E7EC7">
          <w:rPr>
            <w:smallCaps/>
            <w:noProof/>
            <w:sz w:val="20"/>
            <w:szCs w:val="20"/>
          </w:rPr>
          <w:t>6</w:t>
        </w:r>
        <w:r>
          <w:rPr>
            <w:smallCaps/>
            <w:sz w:val="20"/>
            <w:szCs w:val="20"/>
          </w:rPr>
          <w:fldChar w:fldCharType="end"/>
        </w:r>
      </w:hyperlink>
    </w:p>
    <w:p w:rsidR="0021334C" w:rsidRDefault="006F41E3">
      <w:pPr>
        <w:pStyle w:val="10"/>
        <w:spacing w:before="120" w:after="120"/>
        <w:jc w:val="left"/>
        <w:rPr>
          <w:smallCaps/>
          <w:sz w:val="20"/>
          <w:szCs w:val="20"/>
        </w:rPr>
      </w:pPr>
      <w:hyperlink w:anchor="_Toc15396604" w:history="1">
        <w:r w:rsidR="008511F3">
          <w:rPr>
            <w:rFonts w:hint="eastAsia"/>
            <w:smallCaps/>
            <w:sz w:val="20"/>
            <w:szCs w:val="20"/>
          </w:rPr>
          <w:t>二、收入决算情况说明</w:t>
        </w:r>
        <w:r w:rsidR="008511F3">
          <w:rPr>
            <w:smallCaps/>
            <w:sz w:val="20"/>
            <w:szCs w:val="20"/>
          </w:rPr>
          <w:tab/>
        </w:r>
        <w:r>
          <w:rPr>
            <w:smallCaps/>
            <w:sz w:val="20"/>
            <w:szCs w:val="20"/>
          </w:rPr>
          <w:fldChar w:fldCharType="begin"/>
        </w:r>
        <w:r w:rsidR="008511F3">
          <w:rPr>
            <w:smallCaps/>
            <w:sz w:val="20"/>
            <w:szCs w:val="20"/>
          </w:rPr>
          <w:instrText xml:space="preserve"> PAGEREF _Toc15396604 \h </w:instrText>
        </w:r>
        <w:r>
          <w:rPr>
            <w:smallCaps/>
            <w:sz w:val="20"/>
            <w:szCs w:val="20"/>
          </w:rPr>
        </w:r>
        <w:r>
          <w:rPr>
            <w:smallCaps/>
            <w:sz w:val="20"/>
            <w:szCs w:val="20"/>
          </w:rPr>
          <w:fldChar w:fldCharType="separate"/>
        </w:r>
        <w:r w:rsidR="004E7EC7">
          <w:rPr>
            <w:smallCaps/>
            <w:noProof/>
            <w:sz w:val="20"/>
            <w:szCs w:val="20"/>
          </w:rPr>
          <w:t>6</w:t>
        </w:r>
        <w:r>
          <w:rPr>
            <w:smallCaps/>
            <w:sz w:val="20"/>
            <w:szCs w:val="20"/>
          </w:rPr>
          <w:fldChar w:fldCharType="end"/>
        </w:r>
      </w:hyperlink>
    </w:p>
    <w:p w:rsidR="0021334C" w:rsidRDefault="006F41E3">
      <w:pPr>
        <w:pStyle w:val="10"/>
        <w:spacing w:before="120" w:after="120"/>
        <w:jc w:val="left"/>
        <w:rPr>
          <w:smallCaps/>
          <w:sz w:val="20"/>
          <w:szCs w:val="20"/>
        </w:rPr>
      </w:pPr>
      <w:hyperlink w:anchor="_Toc15396605" w:history="1">
        <w:r w:rsidR="008511F3">
          <w:rPr>
            <w:rFonts w:hint="eastAsia"/>
            <w:smallCaps/>
            <w:sz w:val="20"/>
            <w:szCs w:val="20"/>
          </w:rPr>
          <w:t>三、支出决算情况说明</w:t>
        </w:r>
        <w:r w:rsidR="008511F3">
          <w:rPr>
            <w:smallCaps/>
            <w:sz w:val="20"/>
            <w:szCs w:val="20"/>
          </w:rPr>
          <w:tab/>
        </w:r>
        <w:r>
          <w:rPr>
            <w:smallCaps/>
            <w:sz w:val="20"/>
            <w:szCs w:val="20"/>
          </w:rPr>
          <w:fldChar w:fldCharType="begin"/>
        </w:r>
        <w:r w:rsidR="008511F3">
          <w:rPr>
            <w:smallCaps/>
            <w:sz w:val="20"/>
            <w:szCs w:val="20"/>
          </w:rPr>
          <w:instrText xml:space="preserve"> PAGEREF _Toc15396605 \h </w:instrText>
        </w:r>
        <w:r>
          <w:rPr>
            <w:smallCaps/>
            <w:sz w:val="20"/>
            <w:szCs w:val="20"/>
          </w:rPr>
        </w:r>
        <w:r>
          <w:rPr>
            <w:smallCaps/>
            <w:sz w:val="20"/>
            <w:szCs w:val="20"/>
          </w:rPr>
          <w:fldChar w:fldCharType="separate"/>
        </w:r>
        <w:r w:rsidR="004E7EC7">
          <w:rPr>
            <w:smallCaps/>
            <w:noProof/>
            <w:sz w:val="20"/>
            <w:szCs w:val="20"/>
          </w:rPr>
          <w:t>7</w:t>
        </w:r>
        <w:r>
          <w:rPr>
            <w:smallCaps/>
            <w:sz w:val="20"/>
            <w:szCs w:val="20"/>
          </w:rPr>
          <w:fldChar w:fldCharType="end"/>
        </w:r>
      </w:hyperlink>
    </w:p>
    <w:p w:rsidR="0021334C" w:rsidRDefault="006F41E3">
      <w:pPr>
        <w:pStyle w:val="10"/>
        <w:spacing w:before="120" w:after="120"/>
        <w:jc w:val="left"/>
        <w:rPr>
          <w:smallCaps/>
          <w:sz w:val="20"/>
          <w:szCs w:val="20"/>
        </w:rPr>
      </w:pPr>
      <w:hyperlink w:anchor="_Toc15396606" w:history="1">
        <w:r w:rsidR="008511F3">
          <w:rPr>
            <w:rFonts w:hint="eastAsia"/>
            <w:smallCaps/>
            <w:sz w:val="20"/>
            <w:szCs w:val="20"/>
          </w:rPr>
          <w:t>四、财政拨款收入支出决算总体情况说明</w:t>
        </w:r>
        <w:r w:rsidR="008511F3">
          <w:rPr>
            <w:smallCaps/>
            <w:sz w:val="20"/>
            <w:szCs w:val="20"/>
          </w:rPr>
          <w:tab/>
        </w:r>
        <w:r>
          <w:rPr>
            <w:smallCaps/>
            <w:sz w:val="20"/>
            <w:szCs w:val="20"/>
          </w:rPr>
          <w:fldChar w:fldCharType="begin"/>
        </w:r>
        <w:r w:rsidR="008511F3">
          <w:rPr>
            <w:smallCaps/>
            <w:sz w:val="20"/>
            <w:szCs w:val="20"/>
          </w:rPr>
          <w:instrText xml:space="preserve"> PAGEREF _Toc15396606 \h </w:instrText>
        </w:r>
        <w:r>
          <w:rPr>
            <w:smallCaps/>
            <w:sz w:val="20"/>
            <w:szCs w:val="20"/>
          </w:rPr>
        </w:r>
        <w:r>
          <w:rPr>
            <w:smallCaps/>
            <w:sz w:val="20"/>
            <w:szCs w:val="20"/>
          </w:rPr>
          <w:fldChar w:fldCharType="separate"/>
        </w:r>
        <w:r w:rsidR="004E7EC7">
          <w:rPr>
            <w:smallCaps/>
            <w:noProof/>
            <w:sz w:val="20"/>
            <w:szCs w:val="20"/>
          </w:rPr>
          <w:t>7</w:t>
        </w:r>
        <w:r>
          <w:rPr>
            <w:smallCaps/>
            <w:sz w:val="20"/>
            <w:szCs w:val="20"/>
          </w:rPr>
          <w:fldChar w:fldCharType="end"/>
        </w:r>
      </w:hyperlink>
    </w:p>
    <w:p w:rsidR="0021334C" w:rsidRDefault="006F41E3">
      <w:pPr>
        <w:pStyle w:val="10"/>
        <w:spacing w:before="120" w:after="120"/>
        <w:jc w:val="left"/>
        <w:rPr>
          <w:smallCaps/>
          <w:sz w:val="20"/>
          <w:szCs w:val="20"/>
        </w:rPr>
      </w:pPr>
      <w:hyperlink w:anchor="_Toc15396607" w:history="1">
        <w:r w:rsidR="008511F3">
          <w:rPr>
            <w:rFonts w:hint="eastAsia"/>
            <w:smallCaps/>
            <w:sz w:val="20"/>
            <w:szCs w:val="20"/>
          </w:rPr>
          <w:t>五、一般公共预算财政拨款支出决算情况说明</w:t>
        </w:r>
        <w:r w:rsidR="008511F3">
          <w:rPr>
            <w:smallCaps/>
            <w:sz w:val="20"/>
            <w:szCs w:val="20"/>
          </w:rPr>
          <w:tab/>
        </w:r>
        <w:r>
          <w:rPr>
            <w:smallCaps/>
            <w:sz w:val="20"/>
            <w:szCs w:val="20"/>
          </w:rPr>
          <w:fldChar w:fldCharType="begin"/>
        </w:r>
        <w:r w:rsidR="008511F3">
          <w:rPr>
            <w:smallCaps/>
            <w:sz w:val="20"/>
            <w:szCs w:val="20"/>
          </w:rPr>
          <w:instrText xml:space="preserve"> PAGEREF _Toc15396607 \h </w:instrText>
        </w:r>
        <w:r>
          <w:rPr>
            <w:smallCaps/>
            <w:sz w:val="20"/>
            <w:szCs w:val="20"/>
          </w:rPr>
        </w:r>
        <w:r>
          <w:rPr>
            <w:smallCaps/>
            <w:sz w:val="20"/>
            <w:szCs w:val="20"/>
          </w:rPr>
          <w:fldChar w:fldCharType="separate"/>
        </w:r>
        <w:r w:rsidR="004E7EC7">
          <w:rPr>
            <w:smallCaps/>
            <w:noProof/>
            <w:sz w:val="20"/>
            <w:szCs w:val="20"/>
          </w:rPr>
          <w:t>8</w:t>
        </w:r>
        <w:r>
          <w:rPr>
            <w:smallCaps/>
            <w:sz w:val="20"/>
            <w:szCs w:val="20"/>
          </w:rPr>
          <w:fldChar w:fldCharType="end"/>
        </w:r>
      </w:hyperlink>
    </w:p>
    <w:p w:rsidR="0021334C" w:rsidRDefault="006F41E3">
      <w:pPr>
        <w:pStyle w:val="10"/>
        <w:spacing w:before="120" w:after="120"/>
        <w:jc w:val="left"/>
        <w:rPr>
          <w:smallCaps/>
          <w:sz w:val="20"/>
          <w:szCs w:val="20"/>
        </w:rPr>
      </w:pPr>
      <w:hyperlink w:anchor="_Toc15396608" w:history="1">
        <w:r w:rsidR="008511F3">
          <w:rPr>
            <w:rFonts w:hint="eastAsia"/>
            <w:smallCaps/>
            <w:sz w:val="20"/>
            <w:szCs w:val="20"/>
          </w:rPr>
          <w:t>六、一般公共预算财政拨款基本支出决算情况说明</w:t>
        </w:r>
        <w:r w:rsidR="008511F3">
          <w:rPr>
            <w:smallCaps/>
            <w:sz w:val="20"/>
            <w:szCs w:val="20"/>
          </w:rPr>
          <w:tab/>
        </w:r>
        <w:r>
          <w:rPr>
            <w:smallCaps/>
            <w:sz w:val="20"/>
            <w:szCs w:val="20"/>
          </w:rPr>
          <w:fldChar w:fldCharType="begin"/>
        </w:r>
        <w:r w:rsidR="008511F3">
          <w:rPr>
            <w:smallCaps/>
            <w:sz w:val="20"/>
            <w:szCs w:val="20"/>
          </w:rPr>
          <w:instrText xml:space="preserve"> PAGEREF _Toc15396608 \h </w:instrText>
        </w:r>
        <w:r>
          <w:rPr>
            <w:smallCaps/>
            <w:sz w:val="20"/>
            <w:szCs w:val="20"/>
          </w:rPr>
        </w:r>
        <w:r>
          <w:rPr>
            <w:smallCaps/>
            <w:sz w:val="20"/>
            <w:szCs w:val="20"/>
          </w:rPr>
          <w:fldChar w:fldCharType="separate"/>
        </w:r>
        <w:r w:rsidR="004E7EC7">
          <w:rPr>
            <w:smallCaps/>
            <w:noProof/>
            <w:sz w:val="20"/>
            <w:szCs w:val="20"/>
          </w:rPr>
          <w:t>12</w:t>
        </w:r>
        <w:r>
          <w:rPr>
            <w:smallCaps/>
            <w:sz w:val="20"/>
            <w:szCs w:val="20"/>
          </w:rPr>
          <w:fldChar w:fldCharType="end"/>
        </w:r>
      </w:hyperlink>
    </w:p>
    <w:p w:rsidR="0021334C" w:rsidRDefault="006F41E3">
      <w:pPr>
        <w:pStyle w:val="10"/>
        <w:spacing w:before="120" w:after="120"/>
        <w:jc w:val="left"/>
        <w:rPr>
          <w:smallCaps/>
          <w:sz w:val="20"/>
          <w:szCs w:val="20"/>
        </w:rPr>
      </w:pPr>
      <w:hyperlink w:anchor="_Toc15396609" w:history="1">
        <w:r w:rsidR="008511F3">
          <w:rPr>
            <w:rFonts w:hint="eastAsia"/>
            <w:smallCaps/>
            <w:sz w:val="20"/>
            <w:szCs w:val="20"/>
          </w:rPr>
          <w:t>七、</w:t>
        </w:r>
        <w:r w:rsidR="008511F3">
          <w:rPr>
            <w:smallCaps/>
            <w:sz w:val="20"/>
            <w:szCs w:val="20"/>
          </w:rPr>
          <w:t>“</w:t>
        </w:r>
        <w:r w:rsidR="008511F3">
          <w:rPr>
            <w:rFonts w:hint="eastAsia"/>
            <w:smallCaps/>
            <w:sz w:val="20"/>
            <w:szCs w:val="20"/>
          </w:rPr>
          <w:t>三公”经费财政拨款支出决算情况说明</w:t>
        </w:r>
        <w:r w:rsidR="008511F3">
          <w:rPr>
            <w:smallCaps/>
            <w:sz w:val="20"/>
            <w:szCs w:val="20"/>
          </w:rPr>
          <w:tab/>
        </w:r>
        <w:r>
          <w:rPr>
            <w:smallCaps/>
            <w:sz w:val="20"/>
            <w:szCs w:val="20"/>
          </w:rPr>
          <w:fldChar w:fldCharType="begin"/>
        </w:r>
        <w:r w:rsidR="008511F3">
          <w:rPr>
            <w:smallCaps/>
            <w:sz w:val="20"/>
            <w:szCs w:val="20"/>
          </w:rPr>
          <w:instrText xml:space="preserve"> PAGEREF _Toc15396609 \h </w:instrText>
        </w:r>
        <w:r>
          <w:rPr>
            <w:smallCaps/>
            <w:sz w:val="20"/>
            <w:szCs w:val="20"/>
          </w:rPr>
        </w:r>
        <w:r>
          <w:rPr>
            <w:smallCaps/>
            <w:sz w:val="20"/>
            <w:szCs w:val="20"/>
          </w:rPr>
          <w:fldChar w:fldCharType="separate"/>
        </w:r>
        <w:r w:rsidR="004E7EC7">
          <w:rPr>
            <w:smallCaps/>
            <w:noProof/>
            <w:sz w:val="20"/>
            <w:szCs w:val="20"/>
          </w:rPr>
          <w:t>12</w:t>
        </w:r>
        <w:r>
          <w:rPr>
            <w:smallCaps/>
            <w:sz w:val="20"/>
            <w:szCs w:val="20"/>
          </w:rPr>
          <w:fldChar w:fldCharType="end"/>
        </w:r>
      </w:hyperlink>
    </w:p>
    <w:p w:rsidR="0021334C" w:rsidRDefault="006F41E3">
      <w:pPr>
        <w:pStyle w:val="10"/>
        <w:spacing w:before="120" w:after="120"/>
        <w:jc w:val="left"/>
        <w:rPr>
          <w:smallCaps/>
          <w:sz w:val="20"/>
          <w:szCs w:val="20"/>
        </w:rPr>
      </w:pPr>
      <w:hyperlink w:anchor="_Toc15396610" w:history="1">
        <w:r w:rsidR="008511F3">
          <w:rPr>
            <w:rFonts w:hint="eastAsia"/>
            <w:smallCaps/>
            <w:sz w:val="20"/>
            <w:szCs w:val="20"/>
          </w:rPr>
          <w:t>八、政府性基金预算支出决算情况说明</w:t>
        </w:r>
        <w:r w:rsidR="008511F3">
          <w:rPr>
            <w:smallCaps/>
            <w:sz w:val="20"/>
            <w:szCs w:val="20"/>
          </w:rPr>
          <w:tab/>
        </w:r>
        <w:r>
          <w:rPr>
            <w:smallCaps/>
            <w:sz w:val="20"/>
            <w:szCs w:val="20"/>
          </w:rPr>
          <w:fldChar w:fldCharType="begin"/>
        </w:r>
        <w:r w:rsidR="008511F3">
          <w:rPr>
            <w:smallCaps/>
            <w:sz w:val="20"/>
            <w:szCs w:val="20"/>
          </w:rPr>
          <w:instrText xml:space="preserve"> PAGEREF _Toc15396610 \h </w:instrText>
        </w:r>
        <w:r>
          <w:rPr>
            <w:smallCaps/>
            <w:sz w:val="20"/>
            <w:szCs w:val="20"/>
          </w:rPr>
        </w:r>
        <w:r>
          <w:rPr>
            <w:smallCaps/>
            <w:sz w:val="20"/>
            <w:szCs w:val="20"/>
          </w:rPr>
          <w:fldChar w:fldCharType="separate"/>
        </w:r>
        <w:r w:rsidR="004E7EC7">
          <w:rPr>
            <w:smallCaps/>
            <w:noProof/>
            <w:sz w:val="20"/>
            <w:szCs w:val="20"/>
          </w:rPr>
          <w:t>14</w:t>
        </w:r>
        <w:r>
          <w:rPr>
            <w:smallCaps/>
            <w:sz w:val="20"/>
            <w:szCs w:val="20"/>
          </w:rPr>
          <w:fldChar w:fldCharType="end"/>
        </w:r>
      </w:hyperlink>
    </w:p>
    <w:p w:rsidR="0021334C" w:rsidRDefault="006F41E3">
      <w:pPr>
        <w:pStyle w:val="10"/>
        <w:spacing w:before="120" w:after="120"/>
        <w:jc w:val="left"/>
        <w:rPr>
          <w:smallCaps/>
          <w:sz w:val="20"/>
          <w:szCs w:val="20"/>
        </w:rPr>
      </w:pPr>
      <w:hyperlink w:anchor="_Toc15396611" w:history="1">
        <w:r w:rsidR="008511F3">
          <w:rPr>
            <w:rFonts w:hint="eastAsia"/>
            <w:smallCaps/>
            <w:sz w:val="20"/>
            <w:szCs w:val="20"/>
          </w:rPr>
          <w:t>九、 国有资本经营预算支出决算情况说明</w:t>
        </w:r>
        <w:r w:rsidR="008511F3">
          <w:rPr>
            <w:smallCaps/>
            <w:sz w:val="20"/>
            <w:szCs w:val="20"/>
          </w:rPr>
          <w:tab/>
        </w:r>
        <w:r>
          <w:rPr>
            <w:smallCaps/>
            <w:sz w:val="20"/>
            <w:szCs w:val="20"/>
          </w:rPr>
          <w:fldChar w:fldCharType="begin"/>
        </w:r>
        <w:r w:rsidR="008511F3">
          <w:rPr>
            <w:smallCaps/>
            <w:sz w:val="20"/>
            <w:szCs w:val="20"/>
          </w:rPr>
          <w:instrText xml:space="preserve"> PAGEREF _Toc15396611 \h </w:instrText>
        </w:r>
        <w:r>
          <w:rPr>
            <w:smallCaps/>
            <w:sz w:val="20"/>
            <w:szCs w:val="20"/>
          </w:rPr>
        </w:r>
        <w:r>
          <w:rPr>
            <w:smallCaps/>
            <w:sz w:val="20"/>
            <w:szCs w:val="20"/>
          </w:rPr>
          <w:fldChar w:fldCharType="separate"/>
        </w:r>
        <w:r w:rsidR="004E7EC7">
          <w:rPr>
            <w:smallCaps/>
            <w:noProof/>
            <w:sz w:val="20"/>
            <w:szCs w:val="20"/>
          </w:rPr>
          <w:t>14</w:t>
        </w:r>
        <w:r>
          <w:rPr>
            <w:smallCaps/>
            <w:sz w:val="20"/>
            <w:szCs w:val="20"/>
          </w:rPr>
          <w:fldChar w:fldCharType="end"/>
        </w:r>
      </w:hyperlink>
    </w:p>
    <w:p w:rsidR="0021334C" w:rsidRDefault="006F41E3">
      <w:pPr>
        <w:pStyle w:val="10"/>
        <w:spacing w:before="120" w:after="120"/>
        <w:jc w:val="left"/>
        <w:rPr>
          <w:smallCaps/>
          <w:sz w:val="20"/>
          <w:szCs w:val="20"/>
        </w:rPr>
      </w:pPr>
      <w:hyperlink w:anchor="_Toc15396612" w:history="1">
        <w:r w:rsidR="008511F3">
          <w:rPr>
            <w:rFonts w:hint="eastAsia"/>
            <w:smallCaps/>
            <w:sz w:val="20"/>
            <w:szCs w:val="20"/>
          </w:rPr>
          <w:t>十一、其他重要事项的情况说明</w:t>
        </w:r>
        <w:r w:rsidR="008511F3">
          <w:rPr>
            <w:smallCaps/>
            <w:sz w:val="20"/>
            <w:szCs w:val="20"/>
          </w:rPr>
          <w:tab/>
        </w:r>
        <w:r>
          <w:rPr>
            <w:smallCaps/>
            <w:sz w:val="20"/>
            <w:szCs w:val="20"/>
          </w:rPr>
          <w:fldChar w:fldCharType="begin"/>
        </w:r>
        <w:r w:rsidR="008511F3">
          <w:rPr>
            <w:smallCaps/>
            <w:sz w:val="20"/>
            <w:szCs w:val="20"/>
          </w:rPr>
          <w:instrText xml:space="preserve"> PAGEREF _Toc15396612 \h </w:instrText>
        </w:r>
        <w:r>
          <w:rPr>
            <w:smallCaps/>
            <w:sz w:val="20"/>
            <w:szCs w:val="20"/>
          </w:rPr>
        </w:r>
        <w:r>
          <w:rPr>
            <w:smallCaps/>
            <w:sz w:val="20"/>
            <w:szCs w:val="20"/>
          </w:rPr>
          <w:fldChar w:fldCharType="separate"/>
        </w:r>
        <w:r w:rsidR="004E7EC7">
          <w:rPr>
            <w:smallCaps/>
            <w:noProof/>
            <w:sz w:val="20"/>
            <w:szCs w:val="20"/>
          </w:rPr>
          <w:t>14</w:t>
        </w:r>
        <w:r>
          <w:rPr>
            <w:smallCaps/>
            <w:sz w:val="20"/>
            <w:szCs w:val="20"/>
          </w:rPr>
          <w:fldChar w:fldCharType="end"/>
        </w:r>
      </w:hyperlink>
    </w:p>
    <w:p w:rsidR="0021334C" w:rsidRDefault="006F41E3">
      <w:pPr>
        <w:pStyle w:val="10"/>
        <w:spacing w:before="120" w:after="120"/>
        <w:jc w:val="left"/>
        <w:rPr>
          <w:smallCaps/>
          <w:sz w:val="20"/>
          <w:szCs w:val="20"/>
        </w:rPr>
      </w:pPr>
      <w:hyperlink w:anchor="_Toc15396613" w:history="1">
        <w:r w:rsidR="008511F3">
          <w:rPr>
            <w:rFonts w:hint="eastAsia"/>
            <w:smallCaps/>
            <w:sz w:val="20"/>
            <w:szCs w:val="20"/>
          </w:rPr>
          <w:t>第三部分 名词解释</w:t>
        </w:r>
        <w:r w:rsidR="008511F3">
          <w:rPr>
            <w:smallCaps/>
            <w:sz w:val="20"/>
            <w:szCs w:val="20"/>
          </w:rPr>
          <w:tab/>
        </w:r>
        <w:r>
          <w:rPr>
            <w:smallCaps/>
            <w:sz w:val="20"/>
            <w:szCs w:val="20"/>
          </w:rPr>
          <w:fldChar w:fldCharType="begin"/>
        </w:r>
        <w:r w:rsidR="008511F3">
          <w:rPr>
            <w:smallCaps/>
            <w:sz w:val="20"/>
            <w:szCs w:val="20"/>
          </w:rPr>
          <w:instrText xml:space="preserve"> PAGEREF _Toc15396613 \h </w:instrText>
        </w:r>
        <w:r>
          <w:rPr>
            <w:smallCaps/>
            <w:sz w:val="20"/>
            <w:szCs w:val="20"/>
          </w:rPr>
        </w:r>
        <w:r>
          <w:rPr>
            <w:smallCaps/>
            <w:sz w:val="20"/>
            <w:szCs w:val="20"/>
          </w:rPr>
          <w:fldChar w:fldCharType="separate"/>
        </w:r>
        <w:r w:rsidR="004E7EC7">
          <w:rPr>
            <w:smallCaps/>
            <w:noProof/>
            <w:sz w:val="20"/>
            <w:szCs w:val="20"/>
          </w:rPr>
          <w:t>27</w:t>
        </w:r>
        <w:r>
          <w:rPr>
            <w:smallCaps/>
            <w:sz w:val="20"/>
            <w:szCs w:val="20"/>
          </w:rPr>
          <w:fldChar w:fldCharType="end"/>
        </w:r>
      </w:hyperlink>
    </w:p>
    <w:p w:rsidR="0021334C" w:rsidRDefault="006F41E3">
      <w:pPr>
        <w:pStyle w:val="10"/>
        <w:spacing w:before="120" w:after="120"/>
        <w:jc w:val="left"/>
        <w:rPr>
          <w:smallCaps/>
          <w:sz w:val="20"/>
          <w:szCs w:val="20"/>
        </w:rPr>
      </w:pPr>
      <w:hyperlink w:anchor="_Toc15396614" w:history="1">
        <w:r w:rsidR="008511F3">
          <w:rPr>
            <w:rFonts w:hint="eastAsia"/>
            <w:smallCaps/>
            <w:sz w:val="20"/>
            <w:szCs w:val="20"/>
          </w:rPr>
          <w:t>第四部分 附件</w:t>
        </w:r>
        <w:r w:rsidR="008511F3">
          <w:rPr>
            <w:smallCaps/>
            <w:sz w:val="20"/>
            <w:szCs w:val="20"/>
          </w:rPr>
          <w:tab/>
        </w:r>
      </w:hyperlink>
      <w:r w:rsidR="008511F3">
        <w:rPr>
          <w:rFonts w:hint="eastAsia"/>
          <w:smallCaps/>
          <w:sz w:val="20"/>
          <w:szCs w:val="20"/>
        </w:rPr>
        <w:t>29</w:t>
      </w:r>
    </w:p>
    <w:p w:rsidR="0021334C" w:rsidRDefault="006F41E3">
      <w:pPr>
        <w:pStyle w:val="10"/>
        <w:spacing w:before="120" w:after="120"/>
        <w:jc w:val="left"/>
        <w:rPr>
          <w:smallCaps/>
          <w:sz w:val="20"/>
          <w:szCs w:val="20"/>
        </w:rPr>
      </w:pPr>
      <w:hyperlink w:anchor="_Toc15396615" w:history="1">
        <w:r w:rsidR="008511F3">
          <w:rPr>
            <w:rFonts w:hint="eastAsia"/>
            <w:smallCaps/>
            <w:sz w:val="20"/>
            <w:szCs w:val="20"/>
          </w:rPr>
          <w:t>附件</w:t>
        </w:r>
        <w:r w:rsidR="008511F3">
          <w:rPr>
            <w:smallCaps/>
            <w:sz w:val="20"/>
            <w:szCs w:val="20"/>
          </w:rPr>
          <w:t>1</w:t>
        </w:r>
        <w:r w:rsidR="008511F3">
          <w:rPr>
            <w:smallCaps/>
            <w:sz w:val="20"/>
            <w:szCs w:val="20"/>
          </w:rPr>
          <w:tab/>
        </w:r>
      </w:hyperlink>
      <w:r w:rsidR="008511F3">
        <w:rPr>
          <w:rFonts w:hint="eastAsia"/>
          <w:smallCaps/>
          <w:sz w:val="20"/>
          <w:szCs w:val="20"/>
        </w:rPr>
        <w:t>29</w:t>
      </w:r>
    </w:p>
    <w:p w:rsidR="0021334C" w:rsidRDefault="006F41E3">
      <w:pPr>
        <w:pStyle w:val="10"/>
        <w:spacing w:before="120" w:after="120"/>
        <w:jc w:val="left"/>
        <w:rPr>
          <w:smallCaps/>
          <w:sz w:val="20"/>
          <w:szCs w:val="20"/>
        </w:rPr>
      </w:pPr>
      <w:hyperlink w:anchor="_Toc15396618" w:history="1">
        <w:r w:rsidR="008511F3">
          <w:rPr>
            <w:rFonts w:hint="eastAsia"/>
            <w:smallCaps/>
            <w:sz w:val="20"/>
            <w:szCs w:val="20"/>
          </w:rPr>
          <w:t>第五部分附表</w:t>
        </w:r>
        <w:r w:rsidR="008511F3">
          <w:rPr>
            <w:smallCaps/>
            <w:sz w:val="20"/>
            <w:szCs w:val="20"/>
          </w:rPr>
          <w:tab/>
        </w:r>
        <w:r>
          <w:rPr>
            <w:smallCaps/>
            <w:sz w:val="20"/>
            <w:szCs w:val="20"/>
          </w:rPr>
          <w:fldChar w:fldCharType="begin"/>
        </w:r>
        <w:r w:rsidR="008511F3">
          <w:rPr>
            <w:smallCaps/>
            <w:sz w:val="20"/>
            <w:szCs w:val="20"/>
          </w:rPr>
          <w:instrText xml:space="preserve"> PAGEREF _Toc15396618 \h </w:instrText>
        </w:r>
        <w:r>
          <w:rPr>
            <w:smallCaps/>
            <w:sz w:val="20"/>
            <w:szCs w:val="20"/>
          </w:rPr>
        </w:r>
        <w:r>
          <w:rPr>
            <w:smallCaps/>
            <w:sz w:val="20"/>
            <w:szCs w:val="20"/>
          </w:rPr>
          <w:fldChar w:fldCharType="separate"/>
        </w:r>
        <w:r w:rsidR="004E7EC7">
          <w:rPr>
            <w:smallCaps/>
            <w:noProof/>
            <w:sz w:val="20"/>
            <w:szCs w:val="20"/>
          </w:rPr>
          <w:t>35</w:t>
        </w:r>
        <w:r>
          <w:rPr>
            <w:smallCaps/>
            <w:sz w:val="20"/>
            <w:szCs w:val="20"/>
          </w:rPr>
          <w:fldChar w:fldCharType="end"/>
        </w:r>
      </w:hyperlink>
    </w:p>
    <w:p w:rsidR="0021334C" w:rsidRDefault="008511F3">
      <w:pPr>
        <w:pStyle w:val="10"/>
        <w:spacing w:before="120" w:after="120"/>
        <w:jc w:val="left"/>
        <w:rPr>
          <w:smallCaps/>
          <w:sz w:val="20"/>
          <w:szCs w:val="20"/>
        </w:rPr>
      </w:pPr>
      <w:r>
        <w:rPr>
          <w:rFonts w:hint="eastAsia"/>
          <w:smallCaps/>
          <w:sz w:val="20"/>
          <w:szCs w:val="20"/>
        </w:rPr>
        <w:t>一、</w:t>
      </w:r>
      <w:hyperlink w:anchor="_Toc15396619" w:history="1">
        <w:r>
          <w:rPr>
            <w:rFonts w:hint="eastAsia"/>
            <w:smallCaps/>
            <w:sz w:val="20"/>
            <w:szCs w:val="20"/>
          </w:rPr>
          <w:t>收入支出决算总表</w:t>
        </w:r>
        <w:r>
          <w:rPr>
            <w:smallCaps/>
            <w:sz w:val="20"/>
            <w:szCs w:val="20"/>
          </w:rPr>
          <w:tab/>
        </w:r>
        <w:r w:rsidR="006F41E3">
          <w:rPr>
            <w:smallCaps/>
            <w:sz w:val="20"/>
            <w:szCs w:val="20"/>
          </w:rPr>
          <w:fldChar w:fldCharType="begin"/>
        </w:r>
        <w:r>
          <w:rPr>
            <w:smallCaps/>
            <w:sz w:val="20"/>
            <w:szCs w:val="20"/>
          </w:rPr>
          <w:instrText xml:space="preserve"> PAGEREF _Toc15396619 \h </w:instrText>
        </w:r>
        <w:r w:rsidR="006F41E3">
          <w:rPr>
            <w:smallCaps/>
            <w:sz w:val="20"/>
            <w:szCs w:val="20"/>
          </w:rPr>
        </w:r>
        <w:r w:rsidR="006F41E3">
          <w:rPr>
            <w:smallCaps/>
            <w:sz w:val="20"/>
            <w:szCs w:val="20"/>
          </w:rPr>
          <w:fldChar w:fldCharType="separate"/>
        </w:r>
        <w:r w:rsidR="004E7EC7">
          <w:rPr>
            <w:smallCaps/>
            <w:noProof/>
            <w:sz w:val="20"/>
            <w:szCs w:val="20"/>
          </w:rPr>
          <w:t>35</w:t>
        </w:r>
        <w:r w:rsidR="006F41E3">
          <w:rPr>
            <w:smallCaps/>
            <w:sz w:val="20"/>
            <w:szCs w:val="20"/>
          </w:rPr>
          <w:fldChar w:fldCharType="end"/>
        </w:r>
      </w:hyperlink>
    </w:p>
    <w:p w:rsidR="0021334C" w:rsidRDefault="008511F3">
      <w:pPr>
        <w:pStyle w:val="10"/>
        <w:spacing w:before="120" w:after="120"/>
        <w:jc w:val="left"/>
        <w:rPr>
          <w:smallCaps/>
          <w:sz w:val="20"/>
          <w:szCs w:val="20"/>
        </w:rPr>
      </w:pPr>
      <w:r>
        <w:rPr>
          <w:rFonts w:hint="eastAsia"/>
          <w:smallCaps/>
          <w:sz w:val="20"/>
          <w:szCs w:val="20"/>
        </w:rPr>
        <w:t>二、</w:t>
      </w:r>
      <w:hyperlink w:anchor="_Toc15396620" w:history="1">
        <w:r>
          <w:rPr>
            <w:rFonts w:hint="eastAsia"/>
            <w:smallCaps/>
            <w:sz w:val="20"/>
            <w:szCs w:val="20"/>
          </w:rPr>
          <w:t>收入总表</w:t>
        </w:r>
        <w:r>
          <w:rPr>
            <w:smallCaps/>
            <w:sz w:val="20"/>
            <w:szCs w:val="20"/>
          </w:rPr>
          <w:tab/>
        </w:r>
        <w:r w:rsidR="006F41E3">
          <w:rPr>
            <w:smallCaps/>
            <w:sz w:val="20"/>
            <w:szCs w:val="20"/>
          </w:rPr>
          <w:fldChar w:fldCharType="begin"/>
        </w:r>
        <w:r>
          <w:rPr>
            <w:smallCaps/>
            <w:sz w:val="20"/>
            <w:szCs w:val="20"/>
          </w:rPr>
          <w:instrText xml:space="preserve"> PAGEREF _Toc15396620 \h </w:instrText>
        </w:r>
        <w:r w:rsidR="006F41E3">
          <w:rPr>
            <w:smallCaps/>
            <w:sz w:val="20"/>
            <w:szCs w:val="20"/>
          </w:rPr>
        </w:r>
        <w:r w:rsidR="006F41E3">
          <w:rPr>
            <w:smallCaps/>
            <w:sz w:val="20"/>
            <w:szCs w:val="20"/>
          </w:rPr>
          <w:fldChar w:fldCharType="separate"/>
        </w:r>
        <w:r w:rsidR="004E7EC7">
          <w:rPr>
            <w:smallCaps/>
            <w:noProof/>
            <w:sz w:val="20"/>
            <w:szCs w:val="20"/>
          </w:rPr>
          <w:t>35</w:t>
        </w:r>
        <w:r w:rsidR="006F41E3">
          <w:rPr>
            <w:smallCaps/>
            <w:sz w:val="20"/>
            <w:szCs w:val="20"/>
          </w:rPr>
          <w:fldChar w:fldCharType="end"/>
        </w:r>
      </w:hyperlink>
    </w:p>
    <w:p w:rsidR="0021334C" w:rsidRDefault="008511F3">
      <w:pPr>
        <w:pStyle w:val="10"/>
        <w:spacing w:before="120" w:after="120"/>
        <w:jc w:val="left"/>
        <w:rPr>
          <w:smallCaps/>
          <w:sz w:val="20"/>
          <w:szCs w:val="20"/>
        </w:rPr>
      </w:pPr>
      <w:r>
        <w:rPr>
          <w:rFonts w:hint="eastAsia"/>
          <w:smallCaps/>
          <w:sz w:val="20"/>
          <w:szCs w:val="20"/>
        </w:rPr>
        <w:t>三、</w:t>
      </w:r>
      <w:hyperlink w:anchor="_Toc15396621" w:history="1">
        <w:r>
          <w:rPr>
            <w:rFonts w:hint="eastAsia"/>
            <w:smallCaps/>
            <w:sz w:val="20"/>
            <w:szCs w:val="20"/>
          </w:rPr>
          <w:t>支出总表</w:t>
        </w:r>
        <w:r>
          <w:rPr>
            <w:smallCaps/>
            <w:sz w:val="20"/>
            <w:szCs w:val="20"/>
          </w:rPr>
          <w:tab/>
        </w:r>
        <w:r w:rsidR="006F41E3">
          <w:rPr>
            <w:smallCaps/>
            <w:sz w:val="20"/>
            <w:szCs w:val="20"/>
          </w:rPr>
          <w:fldChar w:fldCharType="begin"/>
        </w:r>
        <w:r>
          <w:rPr>
            <w:smallCaps/>
            <w:sz w:val="20"/>
            <w:szCs w:val="20"/>
          </w:rPr>
          <w:instrText xml:space="preserve"> PAGEREF _Toc15396621 \h </w:instrText>
        </w:r>
        <w:r w:rsidR="006F41E3">
          <w:rPr>
            <w:smallCaps/>
            <w:sz w:val="20"/>
            <w:szCs w:val="20"/>
          </w:rPr>
        </w:r>
        <w:r w:rsidR="006F41E3">
          <w:rPr>
            <w:smallCaps/>
            <w:sz w:val="20"/>
            <w:szCs w:val="20"/>
          </w:rPr>
          <w:fldChar w:fldCharType="separate"/>
        </w:r>
        <w:r w:rsidR="004E7EC7">
          <w:rPr>
            <w:smallCaps/>
            <w:noProof/>
            <w:sz w:val="20"/>
            <w:szCs w:val="20"/>
          </w:rPr>
          <w:t>35</w:t>
        </w:r>
        <w:r w:rsidR="006F41E3">
          <w:rPr>
            <w:smallCaps/>
            <w:sz w:val="20"/>
            <w:szCs w:val="20"/>
          </w:rPr>
          <w:fldChar w:fldCharType="end"/>
        </w:r>
      </w:hyperlink>
    </w:p>
    <w:p w:rsidR="0021334C" w:rsidRDefault="008511F3">
      <w:pPr>
        <w:pStyle w:val="10"/>
        <w:spacing w:before="120" w:after="120"/>
        <w:jc w:val="left"/>
        <w:rPr>
          <w:smallCaps/>
          <w:sz w:val="20"/>
          <w:szCs w:val="20"/>
        </w:rPr>
      </w:pPr>
      <w:r>
        <w:rPr>
          <w:rFonts w:hint="eastAsia"/>
          <w:smallCaps/>
          <w:sz w:val="20"/>
          <w:szCs w:val="20"/>
        </w:rPr>
        <w:t>四、</w:t>
      </w:r>
      <w:hyperlink w:anchor="_Toc15396622" w:history="1">
        <w:r>
          <w:rPr>
            <w:rFonts w:hint="eastAsia"/>
            <w:smallCaps/>
            <w:sz w:val="20"/>
            <w:szCs w:val="20"/>
          </w:rPr>
          <w:t>财政拨款收入支出决算总表</w:t>
        </w:r>
        <w:r>
          <w:rPr>
            <w:smallCaps/>
            <w:sz w:val="20"/>
            <w:szCs w:val="20"/>
          </w:rPr>
          <w:tab/>
        </w:r>
        <w:r w:rsidR="006F41E3">
          <w:rPr>
            <w:smallCaps/>
            <w:sz w:val="20"/>
            <w:szCs w:val="20"/>
          </w:rPr>
          <w:fldChar w:fldCharType="begin"/>
        </w:r>
        <w:r>
          <w:rPr>
            <w:smallCaps/>
            <w:sz w:val="20"/>
            <w:szCs w:val="20"/>
          </w:rPr>
          <w:instrText xml:space="preserve"> PAGEREF _Toc15396622 \h </w:instrText>
        </w:r>
        <w:r w:rsidR="006F41E3">
          <w:rPr>
            <w:smallCaps/>
            <w:sz w:val="20"/>
            <w:szCs w:val="20"/>
          </w:rPr>
        </w:r>
        <w:r w:rsidR="006F41E3">
          <w:rPr>
            <w:smallCaps/>
            <w:sz w:val="20"/>
            <w:szCs w:val="20"/>
          </w:rPr>
          <w:fldChar w:fldCharType="separate"/>
        </w:r>
        <w:r w:rsidR="004E7EC7">
          <w:rPr>
            <w:smallCaps/>
            <w:noProof/>
            <w:sz w:val="20"/>
            <w:szCs w:val="20"/>
          </w:rPr>
          <w:t>35</w:t>
        </w:r>
        <w:r w:rsidR="006F41E3">
          <w:rPr>
            <w:smallCaps/>
            <w:sz w:val="20"/>
            <w:szCs w:val="20"/>
          </w:rPr>
          <w:fldChar w:fldCharType="end"/>
        </w:r>
      </w:hyperlink>
    </w:p>
    <w:p w:rsidR="0021334C" w:rsidRDefault="008511F3">
      <w:pPr>
        <w:pStyle w:val="10"/>
        <w:spacing w:before="120" w:after="120"/>
        <w:jc w:val="left"/>
        <w:rPr>
          <w:smallCaps/>
          <w:sz w:val="20"/>
          <w:szCs w:val="20"/>
        </w:rPr>
      </w:pPr>
      <w:r>
        <w:rPr>
          <w:rFonts w:hint="eastAsia"/>
          <w:smallCaps/>
          <w:sz w:val="20"/>
          <w:szCs w:val="20"/>
        </w:rPr>
        <w:t>五、</w:t>
      </w:r>
      <w:hyperlink w:anchor="_Toc15396623" w:history="1">
        <w:r>
          <w:rPr>
            <w:rFonts w:hint="eastAsia"/>
            <w:smallCaps/>
            <w:sz w:val="20"/>
            <w:szCs w:val="20"/>
          </w:rPr>
          <w:t>财政拨款支出决算明细表（政府经济分类科目）</w:t>
        </w:r>
        <w:r>
          <w:rPr>
            <w:smallCaps/>
            <w:sz w:val="20"/>
            <w:szCs w:val="20"/>
          </w:rPr>
          <w:tab/>
        </w:r>
        <w:r w:rsidR="006F41E3">
          <w:rPr>
            <w:smallCaps/>
            <w:sz w:val="20"/>
            <w:szCs w:val="20"/>
          </w:rPr>
          <w:fldChar w:fldCharType="begin"/>
        </w:r>
        <w:r>
          <w:rPr>
            <w:smallCaps/>
            <w:sz w:val="20"/>
            <w:szCs w:val="20"/>
          </w:rPr>
          <w:instrText xml:space="preserve"> PAGEREF _Toc15396623 \h </w:instrText>
        </w:r>
        <w:r w:rsidR="006F41E3">
          <w:rPr>
            <w:smallCaps/>
            <w:sz w:val="20"/>
            <w:szCs w:val="20"/>
          </w:rPr>
        </w:r>
        <w:r w:rsidR="006F41E3">
          <w:rPr>
            <w:smallCaps/>
            <w:sz w:val="20"/>
            <w:szCs w:val="20"/>
          </w:rPr>
          <w:fldChar w:fldCharType="separate"/>
        </w:r>
        <w:r w:rsidR="004E7EC7">
          <w:rPr>
            <w:smallCaps/>
            <w:noProof/>
            <w:sz w:val="20"/>
            <w:szCs w:val="20"/>
          </w:rPr>
          <w:t>35</w:t>
        </w:r>
        <w:r w:rsidR="006F41E3">
          <w:rPr>
            <w:smallCaps/>
            <w:sz w:val="20"/>
            <w:szCs w:val="20"/>
          </w:rPr>
          <w:fldChar w:fldCharType="end"/>
        </w:r>
      </w:hyperlink>
    </w:p>
    <w:p w:rsidR="0021334C" w:rsidRDefault="008511F3">
      <w:pPr>
        <w:pStyle w:val="10"/>
        <w:spacing w:before="120" w:after="120"/>
        <w:jc w:val="left"/>
        <w:rPr>
          <w:smallCaps/>
          <w:sz w:val="20"/>
          <w:szCs w:val="20"/>
        </w:rPr>
      </w:pPr>
      <w:r>
        <w:rPr>
          <w:rFonts w:hint="eastAsia"/>
          <w:smallCaps/>
          <w:sz w:val="20"/>
          <w:szCs w:val="20"/>
        </w:rPr>
        <w:t>六、</w:t>
      </w:r>
      <w:hyperlink w:anchor="_Toc15396624" w:history="1">
        <w:r>
          <w:rPr>
            <w:rFonts w:hint="eastAsia"/>
            <w:smallCaps/>
            <w:sz w:val="20"/>
            <w:szCs w:val="20"/>
          </w:rPr>
          <w:t>一般公共预算财政拨款支出决算表</w:t>
        </w:r>
        <w:r>
          <w:rPr>
            <w:smallCaps/>
            <w:sz w:val="20"/>
            <w:szCs w:val="20"/>
          </w:rPr>
          <w:tab/>
        </w:r>
        <w:r w:rsidR="006F41E3">
          <w:rPr>
            <w:smallCaps/>
            <w:sz w:val="20"/>
            <w:szCs w:val="20"/>
          </w:rPr>
          <w:fldChar w:fldCharType="begin"/>
        </w:r>
        <w:r>
          <w:rPr>
            <w:smallCaps/>
            <w:sz w:val="20"/>
            <w:szCs w:val="20"/>
          </w:rPr>
          <w:instrText xml:space="preserve"> PAGEREF _Toc15396624 \h </w:instrText>
        </w:r>
        <w:r w:rsidR="006F41E3">
          <w:rPr>
            <w:smallCaps/>
            <w:sz w:val="20"/>
            <w:szCs w:val="20"/>
          </w:rPr>
        </w:r>
        <w:r w:rsidR="006F41E3">
          <w:rPr>
            <w:smallCaps/>
            <w:sz w:val="20"/>
            <w:szCs w:val="20"/>
          </w:rPr>
          <w:fldChar w:fldCharType="separate"/>
        </w:r>
        <w:r w:rsidR="004E7EC7">
          <w:rPr>
            <w:smallCaps/>
            <w:noProof/>
            <w:sz w:val="20"/>
            <w:szCs w:val="20"/>
          </w:rPr>
          <w:t>35</w:t>
        </w:r>
        <w:r w:rsidR="006F41E3">
          <w:rPr>
            <w:smallCaps/>
            <w:sz w:val="20"/>
            <w:szCs w:val="20"/>
          </w:rPr>
          <w:fldChar w:fldCharType="end"/>
        </w:r>
      </w:hyperlink>
    </w:p>
    <w:p w:rsidR="0021334C" w:rsidRDefault="008511F3">
      <w:pPr>
        <w:pStyle w:val="10"/>
        <w:spacing w:before="120" w:after="120"/>
        <w:jc w:val="left"/>
        <w:rPr>
          <w:smallCaps/>
          <w:sz w:val="20"/>
          <w:szCs w:val="20"/>
        </w:rPr>
      </w:pPr>
      <w:r>
        <w:rPr>
          <w:rFonts w:hint="eastAsia"/>
          <w:smallCaps/>
          <w:sz w:val="20"/>
          <w:szCs w:val="20"/>
        </w:rPr>
        <w:t>七、</w:t>
      </w:r>
      <w:hyperlink w:anchor="_Toc15396625" w:history="1">
        <w:r>
          <w:rPr>
            <w:rFonts w:hint="eastAsia"/>
            <w:smallCaps/>
            <w:sz w:val="20"/>
            <w:szCs w:val="20"/>
          </w:rPr>
          <w:t>一般公共预算财政拨款支出决算明细表</w:t>
        </w:r>
        <w:r>
          <w:rPr>
            <w:smallCaps/>
            <w:sz w:val="20"/>
            <w:szCs w:val="20"/>
          </w:rPr>
          <w:tab/>
        </w:r>
        <w:r w:rsidR="006F41E3">
          <w:rPr>
            <w:smallCaps/>
            <w:sz w:val="20"/>
            <w:szCs w:val="20"/>
          </w:rPr>
          <w:fldChar w:fldCharType="begin"/>
        </w:r>
        <w:r>
          <w:rPr>
            <w:smallCaps/>
            <w:sz w:val="20"/>
            <w:szCs w:val="20"/>
          </w:rPr>
          <w:instrText xml:space="preserve"> PAGEREF _Toc15396625 \h </w:instrText>
        </w:r>
        <w:r w:rsidR="006F41E3">
          <w:rPr>
            <w:smallCaps/>
            <w:sz w:val="20"/>
            <w:szCs w:val="20"/>
          </w:rPr>
        </w:r>
        <w:r w:rsidR="006F41E3">
          <w:rPr>
            <w:smallCaps/>
            <w:sz w:val="20"/>
            <w:szCs w:val="20"/>
          </w:rPr>
          <w:fldChar w:fldCharType="separate"/>
        </w:r>
        <w:r w:rsidR="004E7EC7">
          <w:rPr>
            <w:smallCaps/>
            <w:noProof/>
            <w:sz w:val="20"/>
            <w:szCs w:val="20"/>
          </w:rPr>
          <w:t>35</w:t>
        </w:r>
        <w:r w:rsidR="006F41E3">
          <w:rPr>
            <w:smallCaps/>
            <w:sz w:val="20"/>
            <w:szCs w:val="20"/>
          </w:rPr>
          <w:fldChar w:fldCharType="end"/>
        </w:r>
      </w:hyperlink>
    </w:p>
    <w:p w:rsidR="0021334C" w:rsidRDefault="008511F3">
      <w:pPr>
        <w:pStyle w:val="10"/>
        <w:spacing w:before="120" w:after="120"/>
        <w:jc w:val="left"/>
        <w:rPr>
          <w:smallCaps/>
          <w:sz w:val="20"/>
          <w:szCs w:val="20"/>
        </w:rPr>
      </w:pPr>
      <w:r>
        <w:rPr>
          <w:rFonts w:hint="eastAsia"/>
          <w:smallCaps/>
          <w:sz w:val="20"/>
          <w:szCs w:val="20"/>
        </w:rPr>
        <w:t>八、</w:t>
      </w:r>
      <w:hyperlink w:anchor="_Toc15396626" w:history="1">
        <w:r>
          <w:rPr>
            <w:rFonts w:hint="eastAsia"/>
            <w:smallCaps/>
            <w:sz w:val="20"/>
            <w:szCs w:val="20"/>
          </w:rPr>
          <w:t>一般公共预算财政拨款基本支出决算表</w:t>
        </w:r>
        <w:r>
          <w:rPr>
            <w:smallCaps/>
            <w:sz w:val="20"/>
            <w:szCs w:val="20"/>
          </w:rPr>
          <w:tab/>
        </w:r>
        <w:r w:rsidR="006F41E3">
          <w:rPr>
            <w:smallCaps/>
            <w:sz w:val="20"/>
            <w:szCs w:val="20"/>
          </w:rPr>
          <w:fldChar w:fldCharType="begin"/>
        </w:r>
        <w:r>
          <w:rPr>
            <w:smallCaps/>
            <w:sz w:val="20"/>
            <w:szCs w:val="20"/>
          </w:rPr>
          <w:instrText xml:space="preserve"> PAGEREF _Toc15396626 \h </w:instrText>
        </w:r>
        <w:r w:rsidR="006F41E3">
          <w:rPr>
            <w:smallCaps/>
            <w:sz w:val="20"/>
            <w:szCs w:val="20"/>
          </w:rPr>
        </w:r>
        <w:r w:rsidR="006F41E3">
          <w:rPr>
            <w:smallCaps/>
            <w:sz w:val="20"/>
            <w:szCs w:val="20"/>
          </w:rPr>
          <w:fldChar w:fldCharType="separate"/>
        </w:r>
        <w:r w:rsidR="004E7EC7">
          <w:rPr>
            <w:smallCaps/>
            <w:noProof/>
            <w:sz w:val="20"/>
            <w:szCs w:val="20"/>
          </w:rPr>
          <w:t>35</w:t>
        </w:r>
        <w:r w:rsidR="006F41E3">
          <w:rPr>
            <w:smallCaps/>
            <w:sz w:val="20"/>
            <w:szCs w:val="20"/>
          </w:rPr>
          <w:fldChar w:fldCharType="end"/>
        </w:r>
      </w:hyperlink>
    </w:p>
    <w:p w:rsidR="0021334C" w:rsidRDefault="008511F3">
      <w:pPr>
        <w:pStyle w:val="10"/>
        <w:spacing w:before="120" w:after="120"/>
        <w:jc w:val="left"/>
        <w:rPr>
          <w:smallCaps/>
          <w:sz w:val="20"/>
          <w:szCs w:val="20"/>
        </w:rPr>
      </w:pPr>
      <w:r>
        <w:rPr>
          <w:rFonts w:hint="eastAsia"/>
          <w:smallCaps/>
          <w:sz w:val="20"/>
          <w:szCs w:val="20"/>
        </w:rPr>
        <w:t>九、</w:t>
      </w:r>
      <w:hyperlink w:anchor="_Toc15396627" w:history="1">
        <w:r>
          <w:rPr>
            <w:rFonts w:hint="eastAsia"/>
            <w:smallCaps/>
            <w:sz w:val="20"/>
            <w:szCs w:val="20"/>
          </w:rPr>
          <w:t>一般公共预算财政拨款项目支出决算表</w:t>
        </w:r>
        <w:r>
          <w:rPr>
            <w:smallCaps/>
            <w:sz w:val="20"/>
            <w:szCs w:val="20"/>
          </w:rPr>
          <w:tab/>
        </w:r>
        <w:r w:rsidR="006F41E3">
          <w:rPr>
            <w:smallCaps/>
            <w:sz w:val="20"/>
            <w:szCs w:val="20"/>
          </w:rPr>
          <w:fldChar w:fldCharType="begin"/>
        </w:r>
        <w:r>
          <w:rPr>
            <w:smallCaps/>
            <w:sz w:val="20"/>
            <w:szCs w:val="20"/>
          </w:rPr>
          <w:instrText xml:space="preserve"> PAGEREF _Toc15396627 \h </w:instrText>
        </w:r>
        <w:r w:rsidR="006F41E3">
          <w:rPr>
            <w:smallCaps/>
            <w:sz w:val="20"/>
            <w:szCs w:val="20"/>
          </w:rPr>
        </w:r>
        <w:r w:rsidR="006F41E3">
          <w:rPr>
            <w:smallCaps/>
            <w:sz w:val="20"/>
            <w:szCs w:val="20"/>
          </w:rPr>
          <w:fldChar w:fldCharType="separate"/>
        </w:r>
        <w:r w:rsidR="004E7EC7">
          <w:rPr>
            <w:smallCaps/>
            <w:noProof/>
            <w:sz w:val="20"/>
            <w:szCs w:val="20"/>
          </w:rPr>
          <w:t>35</w:t>
        </w:r>
        <w:r w:rsidR="006F41E3">
          <w:rPr>
            <w:smallCaps/>
            <w:sz w:val="20"/>
            <w:szCs w:val="20"/>
          </w:rPr>
          <w:fldChar w:fldCharType="end"/>
        </w:r>
      </w:hyperlink>
    </w:p>
    <w:p w:rsidR="0021334C" w:rsidRDefault="008511F3">
      <w:pPr>
        <w:pStyle w:val="10"/>
        <w:spacing w:before="120" w:after="120"/>
        <w:jc w:val="left"/>
        <w:rPr>
          <w:smallCaps/>
          <w:sz w:val="20"/>
          <w:szCs w:val="20"/>
        </w:rPr>
      </w:pPr>
      <w:r>
        <w:rPr>
          <w:rFonts w:hint="eastAsia"/>
          <w:smallCaps/>
          <w:sz w:val="20"/>
          <w:szCs w:val="20"/>
        </w:rPr>
        <w:lastRenderedPageBreak/>
        <w:t>十、</w:t>
      </w:r>
      <w:hyperlink w:anchor="_Toc15396628" w:history="1">
        <w:r>
          <w:rPr>
            <w:rFonts w:hint="eastAsia"/>
            <w:smallCaps/>
            <w:sz w:val="20"/>
            <w:szCs w:val="20"/>
          </w:rPr>
          <w:t>一般公共预算财政拨款“三公”经费支出决算表</w:t>
        </w:r>
        <w:r>
          <w:rPr>
            <w:smallCaps/>
            <w:sz w:val="20"/>
            <w:szCs w:val="20"/>
          </w:rPr>
          <w:tab/>
        </w:r>
        <w:r w:rsidR="006F41E3">
          <w:rPr>
            <w:smallCaps/>
            <w:sz w:val="20"/>
            <w:szCs w:val="20"/>
          </w:rPr>
          <w:fldChar w:fldCharType="begin"/>
        </w:r>
        <w:r>
          <w:rPr>
            <w:smallCaps/>
            <w:sz w:val="20"/>
            <w:szCs w:val="20"/>
          </w:rPr>
          <w:instrText xml:space="preserve"> PAGEREF _Toc15396628 \h </w:instrText>
        </w:r>
        <w:r w:rsidR="006F41E3">
          <w:rPr>
            <w:smallCaps/>
            <w:sz w:val="20"/>
            <w:szCs w:val="20"/>
          </w:rPr>
        </w:r>
        <w:r w:rsidR="006F41E3">
          <w:rPr>
            <w:smallCaps/>
            <w:sz w:val="20"/>
            <w:szCs w:val="20"/>
          </w:rPr>
          <w:fldChar w:fldCharType="separate"/>
        </w:r>
        <w:r w:rsidR="004E7EC7">
          <w:rPr>
            <w:smallCaps/>
            <w:noProof/>
            <w:sz w:val="20"/>
            <w:szCs w:val="20"/>
          </w:rPr>
          <w:t>35</w:t>
        </w:r>
        <w:r w:rsidR="006F41E3">
          <w:rPr>
            <w:smallCaps/>
            <w:sz w:val="20"/>
            <w:szCs w:val="20"/>
          </w:rPr>
          <w:fldChar w:fldCharType="end"/>
        </w:r>
      </w:hyperlink>
    </w:p>
    <w:p w:rsidR="0021334C" w:rsidRDefault="008511F3">
      <w:pPr>
        <w:pStyle w:val="10"/>
        <w:spacing w:before="120" w:after="120"/>
        <w:jc w:val="left"/>
        <w:rPr>
          <w:smallCaps/>
          <w:sz w:val="20"/>
          <w:szCs w:val="20"/>
        </w:rPr>
      </w:pPr>
      <w:r>
        <w:rPr>
          <w:rFonts w:hint="eastAsia"/>
          <w:smallCaps/>
          <w:sz w:val="20"/>
          <w:szCs w:val="20"/>
        </w:rPr>
        <w:t>十一、</w:t>
      </w:r>
      <w:hyperlink w:anchor="_Toc15396629" w:history="1">
        <w:r>
          <w:rPr>
            <w:rFonts w:hint="eastAsia"/>
            <w:smallCaps/>
            <w:sz w:val="20"/>
            <w:szCs w:val="20"/>
          </w:rPr>
          <w:t>政府性基金预算财政拨款收入支出决算表</w:t>
        </w:r>
        <w:r>
          <w:rPr>
            <w:smallCaps/>
            <w:sz w:val="20"/>
            <w:szCs w:val="20"/>
          </w:rPr>
          <w:tab/>
        </w:r>
        <w:r w:rsidR="006F41E3">
          <w:rPr>
            <w:smallCaps/>
            <w:sz w:val="20"/>
            <w:szCs w:val="20"/>
          </w:rPr>
          <w:fldChar w:fldCharType="begin"/>
        </w:r>
        <w:r>
          <w:rPr>
            <w:smallCaps/>
            <w:sz w:val="20"/>
            <w:szCs w:val="20"/>
          </w:rPr>
          <w:instrText xml:space="preserve"> PAGEREF _Toc15396629 \h </w:instrText>
        </w:r>
        <w:r w:rsidR="006F41E3">
          <w:rPr>
            <w:smallCaps/>
            <w:sz w:val="20"/>
            <w:szCs w:val="20"/>
          </w:rPr>
        </w:r>
        <w:r w:rsidR="006F41E3">
          <w:rPr>
            <w:smallCaps/>
            <w:sz w:val="20"/>
            <w:szCs w:val="20"/>
          </w:rPr>
          <w:fldChar w:fldCharType="separate"/>
        </w:r>
        <w:r w:rsidR="004E7EC7">
          <w:rPr>
            <w:smallCaps/>
            <w:noProof/>
            <w:sz w:val="20"/>
            <w:szCs w:val="20"/>
          </w:rPr>
          <w:t>35</w:t>
        </w:r>
        <w:r w:rsidR="006F41E3">
          <w:rPr>
            <w:smallCaps/>
            <w:sz w:val="20"/>
            <w:szCs w:val="20"/>
          </w:rPr>
          <w:fldChar w:fldCharType="end"/>
        </w:r>
      </w:hyperlink>
    </w:p>
    <w:p w:rsidR="0021334C" w:rsidRDefault="008511F3">
      <w:pPr>
        <w:pStyle w:val="10"/>
        <w:spacing w:before="120" w:after="120"/>
        <w:jc w:val="left"/>
        <w:rPr>
          <w:smallCaps/>
          <w:sz w:val="20"/>
          <w:szCs w:val="20"/>
        </w:rPr>
      </w:pPr>
      <w:r>
        <w:rPr>
          <w:rFonts w:hint="eastAsia"/>
          <w:smallCaps/>
          <w:sz w:val="20"/>
          <w:szCs w:val="20"/>
        </w:rPr>
        <w:t>十二、</w:t>
      </w:r>
      <w:hyperlink w:anchor="_Toc15396630" w:history="1">
        <w:r>
          <w:rPr>
            <w:rFonts w:hint="eastAsia"/>
            <w:smallCaps/>
            <w:sz w:val="20"/>
            <w:szCs w:val="20"/>
          </w:rPr>
          <w:t>政府性基金预算财政拨款“三公”经费支出决算表</w:t>
        </w:r>
        <w:r>
          <w:rPr>
            <w:smallCaps/>
            <w:sz w:val="20"/>
            <w:szCs w:val="20"/>
          </w:rPr>
          <w:tab/>
        </w:r>
        <w:r w:rsidR="006F41E3">
          <w:rPr>
            <w:smallCaps/>
            <w:sz w:val="20"/>
            <w:szCs w:val="20"/>
          </w:rPr>
          <w:fldChar w:fldCharType="begin"/>
        </w:r>
        <w:r>
          <w:rPr>
            <w:smallCaps/>
            <w:sz w:val="20"/>
            <w:szCs w:val="20"/>
          </w:rPr>
          <w:instrText xml:space="preserve"> PAGEREF _Toc15396630 \h </w:instrText>
        </w:r>
        <w:r w:rsidR="006F41E3">
          <w:rPr>
            <w:smallCaps/>
            <w:sz w:val="20"/>
            <w:szCs w:val="20"/>
          </w:rPr>
        </w:r>
        <w:r w:rsidR="006F41E3">
          <w:rPr>
            <w:smallCaps/>
            <w:sz w:val="20"/>
            <w:szCs w:val="20"/>
          </w:rPr>
          <w:fldChar w:fldCharType="separate"/>
        </w:r>
        <w:r w:rsidR="004E7EC7">
          <w:rPr>
            <w:smallCaps/>
            <w:noProof/>
            <w:sz w:val="20"/>
            <w:szCs w:val="20"/>
          </w:rPr>
          <w:t>35</w:t>
        </w:r>
        <w:r w:rsidR="006F41E3">
          <w:rPr>
            <w:smallCaps/>
            <w:sz w:val="20"/>
            <w:szCs w:val="20"/>
          </w:rPr>
          <w:fldChar w:fldCharType="end"/>
        </w:r>
      </w:hyperlink>
    </w:p>
    <w:p w:rsidR="0021334C" w:rsidRDefault="008511F3">
      <w:pPr>
        <w:pStyle w:val="10"/>
        <w:spacing w:before="120" w:after="120"/>
        <w:jc w:val="left"/>
        <w:rPr>
          <w:smallCaps/>
          <w:sz w:val="20"/>
          <w:szCs w:val="20"/>
        </w:rPr>
      </w:pPr>
      <w:r>
        <w:rPr>
          <w:rFonts w:hint="eastAsia"/>
          <w:smallCaps/>
          <w:sz w:val="20"/>
          <w:szCs w:val="20"/>
        </w:rPr>
        <w:t>十三、</w:t>
      </w:r>
      <w:hyperlink w:anchor="_Toc15396631" w:history="1">
        <w:r>
          <w:rPr>
            <w:rFonts w:hint="eastAsia"/>
            <w:smallCaps/>
            <w:sz w:val="20"/>
            <w:szCs w:val="20"/>
          </w:rPr>
          <w:t>国有资本经营预算财政拨款收入支出决算表</w:t>
        </w:r>
        <w:r>
          <w:rPr>
            <w:smallCaps/>
            <w:sz w:val="20"/>
            <w:szCs w:val="20"/>
          </w:rPr>
          <w:tab/>
        </w:r>
        <w:r w:rsidR="006F41E3">
          <w:rPr>
            <w:smallCaps/>
            <w:sz w:val="20"/>
            <w:szCs w:val="20"/>
          </w:rPr>
          <w:fldChar w:fldCharType="begin"/>
        </w:r>
        <w:r>
          <w:rPr>
            <w:smallCaps/>
            <w:sz w:val="20"/>
            <w:szCs w:val="20"/>
          </w:rPr>
          <w:instrText xml:space="preserve"> PAGEREF _Toc15396631 \h </w:instrText>
        </w:r>
        <w:r w:rsidR="006F41E3">
          <w:rPr>
            <w:smallCaps/>
            <w:sz w:val="20"/>
            <w:szCs w:val="20"/>
          </w:rPr>
        </w:r>
        <w:r w:rsidR="006F41E3">
          <w:rPr>
            <w:smallCaps/>
            <w:sz w:val="20"/>
            <w:szCs w:val="20"/>
          </w:rPr>
          <w:fldChar w:fldCharType="separate"/>
        </w:r>
        <w:r w:rsidR="004E7EC7">
          <w:rPr>
            <w:smallCaps/>
            <w:noProof/>
            <w:sz w:val="20"/>
            <w:szCs w:val="20"/>
          </w:rPr>
          <w:t>35</w:t>
        </w:r>
        <w:r w:rsidR="006F41E3">
          <w:rPr>
            <w:smallCaps/>
            <w:sz w:val="20"/>
            <w:szCs w:val="20"/>
          </w:rPr>
          <w:fldChar w:fldCharType="end"/>
        </w:r>
      </w:hyperlink>
    </w:p>
    <w:p w:rsidR="0021334C" w:rsidRDefault="006F41E3">
      <w:pPr>
        <w:pStyle w:val="10"/>
        <w:spacing w:before="120" w:after="120"/>
        <w:jc w:val="left"/>
        <w:rPr>
          <w:rFonts w:ascii="黑体" w:eastAsia="黑体" w:hAnsi="黑体"/>
          <w:b/>
        </w:rPr>
      </w:pPr>
      <w:r>
        <w:rPr>
          <w:smallCaps/>
          <w:sz w:val="20"/>
          <w:szCs w:val="20"/>
        </w:rPr>
        <w:fldChar w:fldCharType="end"/>
      </w:r>
      <w:r w:rsidR="008511F3">
        <w:rPr>
          <w:rFonts w:hint="eastAsia"/>
          <w:smallCaps/>
          <w:sz w:val="20"/>
          <w:szCs w:val="20"/>
        </w:rPr>
        <w:t>十四、</w:t>
      </w:r>
      <w:hyperlink w:anchor="_Toc15396631" w:history="1">
        <w:r w:rsidR="008511F3">
          <w:rPr>
            <w:rFonts w:hint="eastAsia"/>
            <w:smallCaps/>
            <w:sz w:val="20"/>
            <w:szCs w:val="20"/>
          </w:rPr>
          <w:t>国有资本经营预算财政拨款支出决算表</w:t>
        </w:r>
        <w:r w:rsidR="008511F3">
          <w:rPr>
            <w:smallCaps/>
            <w:sz w:val="20"/>
            <w:szCs w:val="20"/>
          </w:rPr>
          <w:tab/>
        </w:r>
        <w:r>
          <w:rPr>
            <w:smallCaps/>
            <w:sz w:val="20"/>
            <w:szCs w:val="20"/>
          </w:rPr>
          <w:fldChar w:fldCharType="begin"/>
        </w:r>
        <w:r w:rsidR="008511F3">
          <w:rPr>
            <w:smallCaps/>
            <w:sz w:val="20"/>
            <w:szCs w:val="20"/>
          </w:rPr>
          <w:instrText xml:space="preserve"> PAGEREF _Toc15396631 \h </w:instrText>
        </w:r>
        <w:r>
          <w:rPr>
            <w:smallCaps/>
            <w:sz w:val="20"/>
            <w:szCs w:val="20"/>
          </w:rPr>
        </w:r>
        <w:r>
          <w:rPr>
            <w:smallCaps/>
            <w:sz w:val="20"/>
            <w:szCs w:val="20"/>
          </w:rPr>
          <w:fldChar w:fldCharType="separate"/>
        </w:r>
        <w:r w:rsidR="004E7EC7">
          <w:rPr>
            <w:smallCaps/>
            <w:noProof/>
            <w:sz w:val="20"/>
            <w:szCs w:val="20"/>
          </w:rPr>
          <w:t>35</w:t>
        </w:r>
        <w:r>
          <w:rPr>
            <w:smallCaps/>
            <w:sz w:val="20"/>
            <w:szCs w:val="20"/>
          </w:rPr>
          <w:fldChar w:fldCharType="end"/>
        </w:r>
      </w:hyperlink>
    </w:p>
    <w:p w:rsidR="0021334C" w:rsidRDefault="0021334C">
      <w:pPr>
        <w:pStyle w:val="10"/>
        <w:spacing w:before="120" w:after="120"/>
        <w:jc w:val="left"/>
        <w:rPr>
          <w:smallCaps/>
          <w:sz w:val="20"/>
          <w:szCs w:val="20"/>
        </w:rPr>
      </w:pPr>
    </w:p>
    <w:p w:rsidR="0021334C" w:rsidRDefault="0021334C">
      <w:pPr>
        <w:widowControl/>
        <w:jc w:val="left"/>
        <w:rPr>
          <w:rFonts w:ascii="黑体" w:eastAsia="黑体" w:hAnsi="黑体"/>
          <w:b/>
          <w:sz w:val="28"/>
          <w:szCs w:val="28"/>
        </w:rPr>
      </w:pPr>
      <w:bookmarkStart w:id="12" w:name="_Toc15396599"/>
      <w:bookmarkStart w:id="13" w:name="_Toc15377196"/>
    </w:p>
    <w:p w:rsidR="0021334C" w:rsidRDefault="0021334C">
      <w:pPr>
        <w:widowControl/>
        <w:jc w:val="left"/>
        <w:rPr>
          <w:rFonts w:ascii="黑体" w:eastAsia="黑体" w:hAnsi="黑体"/>
          <w:b/>
        </w:rPr>
      </w:pPr>
    </w:p>
    <w:p w:rsidR="0021334C" w:rsidRDefault="0021334C">
      <w:pPr>
        <w:widowControl/>
        <w:jc w:val="left"/>
        <w:rPr>
          <w:rFonts w:ascii="黑体" w:eastAsia="黑体" w:hAnsi="黑体"/>
          <w:b/>
        </w:rPr>
      </w:pPr>
    </w:p>
    <w:p w:rsidR="0021334C" w:rsidRDefault="0021334C">
      <w:pPr>
        <w:widowControl/>
        <w:jc w:val="left"/>
        <w:rPr>
          <w:rFonts w:ascii="黑体" w:eastAsia="黑体" w:hAnsi="黑体"/>
          <w:b/>
        </w:rPr>
      </w:pPr>
    </w:p>
    <w:p w:rsidR="0021334C" w:rsidRDefault="008511F3">
      <w:pPr>
        <w:widowControl/>
        <w:jc w:val="left"/>
        <w:rPr>
          <w:rFonts w:ascii="仿宋_GB2312" w:eastAsia="仿宋_GB2312" w:hAnsi="黑体"/>
          <w:b/>
          <w:bCs/>
          <w:kern w:val="44"/>
          <w:sz w:val="44"/>
          <w:szCs w:val="44"/>
        </w:rPr>
      </w:pPr>
      <w:r>
        <w:rPr>
          <w:rFonts w:ascii="仿宋_GB2312" w:eastAsia="仿宋_GB2312" w:hAnsi="黑体"/>
          <w:b/>
          <w:bCs/>
          <w:kern w:val="44"/>
          <w:sz w:val="44"/>
          <w:szCs w:val="44"/>
        </w:rPr>
        <w:br w:type="page"/>
      </w:r>
    </w:p>
    <w:p w:rsidR="0021334C" w:rsidRDefault="008511F3">
      <w:pPr>
        <w:pStyle w:val="1"/>
        <w:jc w:val="center"/>
        <w:rPr>
          <w:rFonts w:ascii="仿宋_GB2312" w:eastAsia="仿宋_GB2312" w:hAnsi="黑体"/>
          <w:b w:val="0"/>
          <w:bCs w:val="0"/>
        </w:rPr>
      </w:pPr>
      <w:r>
        <w:rPr>
          <w:rFonts w:ascii="仿宋_GB2312" w:eastAsia="仿宋_GB2312" w:hAnsi="黑体" w:hint="eastAsia"/>
        </w:rPr>
        <w:lastRenderedPageBreak/>
        <w:t xml:space="preserve">第一部分 </w:t>
      </w:r>
      <w:r>
        <w:rPr>
          <w:rStyle w:val="1Char"/>
          <w:rFonts w:ascii="仿宋_GB2312" w:eastAsia="仿宋_GB2312" w:hAnsi="黑体" w:hint="eastAsia"/>
          <w:b/>
        </w:rPr>
        <w:t>部门概况</w:t>
      </w:r>
      <w:bookmarkEnd w:id="12"/>
      <w:bookmarkEnd w:id="13"/>
    </w:p>
    <w:p w:rsidR="0021334C" w:rsidRDefault="008511F3">
      <w:pPr>
        <w:pStyle w:val="2"/>
        <w:ind w:firstLineChars="200" w:firstLine="640"/>
        <w:rPr>
          <w:rFonts w:ascii="黑体" w:eastAsia="黑体" w:hAnsi="黑体" w:cs="Times New Roman"/>
          <w:bCs w:val="0"/>
          <w:color w:val="000000"/>
        </w:rPr>
      </w:pPr>
      <w:bookmarkStart w:id="14" w:name="_Toc15396600"/>
      <w:bookmarkStart w:id="15" w:name="_Toc15377197"/>
      <w:r>
        <w:rPr>
          <w:rFonts w:ascii="黑体" w:eastAsia="黑体" w:hAnsi="黑体" w:cs="Times New Roman" w:hint="eastAsia"/>
          <w:b w:val="0"/>
          <w:color w:val="000000"/>
        </w:rPr>
        <w:t>一、基本职能及主要工作</w:t>
      </w:r>
      <w:bookmarkEnd w:id="14"/>
      <w:bookmarkEnd w:id="15"/>
    </w:p>
    <w:p w:rsidR="0021334C" w:rsidRDefault="008511F3">
      <w:pPr>
        <w:pStyle w:val="a5"/>
        <w:adjustRightInd w:val="0"/>
        <w:snapToGrid w:val="0"/>
        <w:spacing w:before="93" w:line="600" w:lineRule="exact"/>
        <w:ind w:firstLineChars="210" w:firstLine="672"/>
        <w:outlineLvl w:val="2"/>
        <w:rPr>
          <w:rFonts w:hAnsi="仿宋"/>
          <w:bCs/>
          <w:color w:val="000000"/>
          <w:sz w:val="32"/>
          <w:szCs w:val="32"/>
        </w:rPr>
      </w:pPr>
      <w:bookmarkStart w:id="16" w:name="_Toc15377198"/>
      <w:bookmarkStart w:id="17" w:name="_Toc15378445"/>
      <w:r>
        <w:rPr>
          <w:rFonts w:hAnsi="仿宋" w:hint="eastAsia"/>
          <w:bCs/>
          <w:color w:val="000000"/>
          <w:sz w:val="32"/>
          <w:szCs w:val="32"/>
        </w:rPr>
        <w:t>（一）主要职能</w:t>
      </w:r>
      <w:bookmarkEnd w:id="16"/>
      <w:bookmarkEnd w:id="17"/>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bookmarkStart w:id="18" w:name="_Toc15378446"/>
      <w:bookmarkStart w:id="19" w:name="_Toc15377199"/>
      <w:r>
        <w:rPr>
          <w:rFonts w:ascii="仿宋_GB2312" w:eastAsia="仿宋_GB2312" w:hAnsi="仿宋_GB2312" w:cs="仿宋_GB2312" w:hint="eastAsia"/>
          <w:color w:val="000000"/>
          <w:kern w:val="0"/>
          <w:sz w:val="32"/>
          <w:szCs w:val="32"/>
          <w:shd w:val="clear" w:color="auto" w:fill="FFFFFF"/>
        </w:rPr>
        <w:t>1.履行全民所有土地、矿产、森林、草原、湿地、水等自然资源资产所有者职责和所有国土空间用途管制职责；</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2.负责全县自然资源调查监测评价；</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3.负责全县自然资源统一确权登记工作；</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4.负责全县自然资源资产有偿使用工作；</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5.负责全县自然资源的合理开发利用；</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6.负责建立全县空间规划体系并监督实施；</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7.负责统筹全县国土空间生态修复；</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8.负责组织实施最严格的耕地保护制度；</w:t>
      </w:r>
    </w:p>
    <w:p w:rsidR="0021334C" w:rsidRDefault="008511F3">
      <w:pPr>
        <w:ind w:firstLineChars="200" w:firstLine="640"/>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9.负责管理全县地质勘查行业和地质工作；</w:t>
      </w:r>
    </w:p>
    <w:p w:rsidR="0021334C" w:rsidRDefault="008511F3">
      <w:pPr>
        <w:ind w:firstLineChars="200" w:firstLine="640"/>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10.负责落实综合防灾减灾规划相关要求；</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11.负责全县矿产资源管理工作；</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12.负责全县测绘地理信息工作；</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13.推动全县自然资源领域科技发展和对外合作；</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14.配合国家、省、州对县人民政府落实党中央、国务院关于自然资源和国土空间规划的重大方针政策、决策部署及法律法规执行情况进行督察；</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15.负责职责范围内的安全生产和职业健康、生态环境保护、审批服务便民化及行政执法等工作；</w:t>
      </w:r>
    </w:p>
    <w:p w:rsidR="0021334C" w:rsidRDefault="008511F3">
      <w:pPr>
        <w:widowControl/>
        <w:snapToGrid w:val="0"/>
        <w:spacing w:line="576" w:lineRule="exact"/>
        <w:ind w:firstLineChars="200" w:firstLine="640"/>
      </w:pPr>
      <w:r>
        <w:rPr>
          <w:rFonts w:ascii="仿宋_GB2312" w:eastAsia="仿宋_GB2312" w:hAnsi="仿宋_GB2312" w:cs="仿宋_GB2312" w:hint="eastAsia"/>
          <w:color w:val="000000"/>
          <w:kern w:val="0"/>
          <w:sz w:val="32"/>
          <w:szCs w:val="32"/>
          <w:shd w:val="clear" w:color="auto" w:fill="FFFFFF"/>
        </w:rPr>
        <w:lastRenderedPageBreak/>
        <w:t>16.完成县委、县人民政府交办的其他任务。</w:t>
      </w:r>
    </w:p>
    <w:p w:rsidR="0021334C" w:rsidRDefault="008511F3">
      <w:pPr>
        <w:pStyle w:val="a5"/>
        <w:adjustRightInd w:val="0"/>
        <w:snapToGrid w:val="0"/>
        <w:spacing w:before="93" w:line="576" w:lineRule="exact"/>
        <w:ind w:firstLineChars="100" w:firstLine="320"/>
        <w:outlineLvl w:val="2"/>
        <w:rPr>
          <w:rFonts w:hAnsi="仿宋_GB2312" w:cs="仿宋_GB2312"/>
          <w:color w:val="000000"/>
          <w:sz w:val="32"/>
          <w:szCs w:val="32"/>
          <w:shd w:val="clear" w:color="auto" w:fill="FFFFFF"/>
        </w:rPr>
      </w:pPr>
      <w:r>
        <w:rPr>
          <w:rFonts w:hAnsi="仿宋" w:hint="eastAsia"/>
          <w:bCs/>
          <w:color w:val="000000"/>
          <w:sz w:val="32"/>
          <w:szCs w:val="32"/>
        </w:rPr>
        <w:t>（二）2020年重点工作完成情况</w:t>
      </w:r>
      <w:bookmarkStart w:id="20" w:name="_Toc18358"/>
      <w:bookmarkStart w:id="21" w:name="_Toc15377200"/>
      <w:bookmarkStart w:id="22" w:name="_Toc15396601"/>
      <w:bookmarkEnd w:id="18"/>
      <w:bookmarkEnd w:id="19"/>
    </w:p>
    <w:p w:rsidR="0021334C" w:rsidRDefault="008511F3">
      <w:pPr>
        <w:pStyle w:val="a5"/>
        <w:adjustRightInd w:val="0"/>
        <w:snapToGrid w:val="0"/>
        <w:spacing w:beforeLines="0" w:line="576" w:lineRule="exact"/>
        <w:ind w:firstLineChars="200" w:firstLine="640"/>
        <w:rPr>
          <w:rFonts w:hAnsi="仿宋_GB2312" w:cs="仿宋_GB2312"/>
          <w:color w:val="000000"/>
          <w:sz w:val="32"/>
          <w:szCs w:val="32"/>
          <w:shd w:val="clear" w:color="auto" w:fill="FFFFFF"/>
        </w:rPr>
      </w:pPr>
      <w:r>
        <w:rPr>
          <w:rFonts w:hAnsi="仿宋_GB2312" w:cs="仿宋_GB2312" w:hint="eastAsia"/>
          <w:color w:val="000000"/>
          <w:sz w:val="32"/>
          <w:szCs w:val="32"/>
          <w:shd w:val="clear" w:color="auto" w:fill="FFFFFF"/>
        </w:rPr>
        <w:t>2020年共完成不动产权确权登记1212宗（其中首次登记371宗，变更登记16宗，注销登记13宗，转移登记812宗），发放不动产权证书1199本，进行国有土地使用权抵押权登记230宗，发放不动产登记证明230本；征收土地60余亩，兑付资金200余万元；完成70户避险搬迁安置任务；盘活国有储量建设用地，划拨土地5宗国有建设用地使用权，挂牌出让2宗土地国有建设用地使用权，拍卖出让11宗国有土地建设用地使用权；加强2019年汛期地质灾害防范工作，出动培训专家9人，培训了170场次，专家现场答疑120余次，培训人数达到51500人次，发放宣传画10000余册、发放宣传手册11500余本、发放宣传单30000余张。</w:t>
      </w:r>
      <w:bookmarkEnd w:id="20"/>
    </w:p>
    <w:p w:rsidR="0021334C" w:rsidRDefault="008511F3">
      <w:pPr>
        <w:pStyle w:val="2"/>
        <w:ind w:firstLineChars="200" w:firstLine="640"/>
        <w:rPr>
          <w:rFonts w:ascii="黑体" w:eastAsia="黑体" w:hAnsi="黑体" w:cs="Times New Roman"/>
          <w:b w:val="0"/>
          <w:color w:val="000000"/>
        </w:rPr>
      </w:pPr>
      <w:r>
        <w:rPr>
          <w:rFonts w:ascii="黑体" w:eastAsia="黑体" w:hAnsi="黑体" w:cs="Times New Roman" w:hint="eastAsia"/>
          <w:b w:val="0"/>
          <w:color w:val="000000"/>
        </w:rPr>
        <w:t>二、机构设置</w:t>
      </w:r>
      <w:bookmarkEnd w:id="21"/>
      <w:bookmarkEnd w:id="22"/>
    </w:p>
    <w:p w:rsidR="0021334C" w:rsidRDefault="008511F3">
      <w:pPr>
        <w:widowControl/>
        <w:ind w:firstLineChars="200" w:firstLine="640"/>
        <w:jc w:val="left"/>
        <w:rPr>
          <w:rFonts w:ascii="仿宋_GB2312" w:eastAsia="仿宋_GB2312" w:hAnsi="仿宋"/>
          <w:color w:val="000000"/>
          <w:kern w:val="0"/>
          <w:sz w:val="32"/>
          <w:szCs w:val="32"/>
        </w:rPr>
      </w:pPr>
      <w:r>
        <w:rPr>
          <w:rFonts w:ascii="仿宋_GB2312" w:eastAsia="仿宋_GB2312" w:hint="eastAsia"/>
          <w:sz w:val="32"/>
          <w:szCs w:val="32"/>
        </w:rPr>
        <w:t>茂县自然资源局是一级预算行政单位，无下属二级预算单位。</w:t>
      </w:r>
    </w:p>
    <w:p w:rsidR="0021334C" w:rsidRDefault="008511F3">
      <w:pPr>
        <w:widowControl/>
        <w:jc w:val="left"/>
        <w:rPr>
          <w:rFonts w:ascii="仿宋_GB2312" w:eastAsia="仿宋_GB2312" w:hAnsi="黑体"/>
          <w:b/>
          <w:bCs/>
          <w:color w:val="000000"/>
          <w:kern w:val="44"/>
          <w:sz w:val="44"/>
          <w:szCs w:val="44"/>
        </w:rPr>
      </w:pPr>
      <w:bookmarkStart w:id="23" w:name="_Toc15377204"/>
      <w:bookmarkStart w:id="24" w:name="_Toc15396602"/>
      <w:r>
        <w:rPr>
          <w:rFonts w:ascii="仿宋_GB2312" w:eastAsia="仿宋_GB2312" w:hAnsi="黑体"/>
          <w:color w:val="000000"/>
        </w:rPr>
        <w:br w:type="page"/>
      </w:r>
    </w:p>
    <w:p w:rsidR="0021334C" w:rsidRDefault="008511F3">
      <w:pPr>
        <w:pStyle w:val="1"/>
        <w:ind w:right="440"/>
        <w:jc w:val="center"/>
        <w:rPr>
          <w:rFonts w:ascii="仿宋_GB2312" w:eastAsia="仿宋_GB2312"/>
          <w:sz w:val="32"/>
          <w:szCs w:val="32"/>
        </w:rPr>
      </w:pPr>
      <w:r>
        <w:rPr>
          <w:rFonts w:ascii="仿宋_GB2312" w:eastAsia="仿宋_GB2312" w:hAnsi="黑体" w:hint="eastAsia"/>
          <w:color w:val="000000"/>
        </w:rPr>
        <w:lastRenderedPageBreak/>
        <w:t xml:space="preserve">  第二部分</w:t>
      </w:r>
      <w:r>
        <w:rPr>
          <w:rStyle w:val="1Char"/>
          <w:rFonts w:ascii="仿宋_GB2312" w:eastAsia="仿宋_GB2312" w:hAnsi="黑体" w:hint="eastAsia"/>
          <w:b/>
        </w:rPr>
        <w:t>2020年度部门决算情况说明</w:t>
      </w:r>
      <w:bookmarkEnd w:id="23"/>
      <w:bookmarkEnd w:id="24"/>
    </w:p>
    <w:p w:rsidR="0021334C" w:rsidRDefault="008511F3">
      <w:pPr>
        <w:pStyle w:val="2"/>
        <w:ind w:firstLineChars="200" w:firstLine="643"/>
        <w:rPr>
          <w:rFonts w:ascii="黑体" w:eastAsia="黑体" w:cs="Times New Roman"/>
          <w:bCs w:val="0"/>
          <w:color w:val="000000"/>
        </w:rPr>
      </w:pPr>
      <w:bookmarkStart w:id="25" w:name="_Toc15377205"/>
      <w:bookmarkStart w:id="26" w:name="_Toc15396603"/>
      <w:r>
        <w:rPr>
          <w:rFonts w:ascii="黑体" w:eastAsia="黑体" w:cs="Times New Roman" w:hint="eastAsia"/>
          <w:bCs w:val="0"/>
          <w:color w:val="000000"/>
        </w:rPr>
        <w:t>一、收入支出决算总体情况说明</w:t>
      </w:r>
      <w:bookmarkEnd w:id="25"/>
      <w:bookmarkEnd w:id="26"/>
    </w:p>
    <w:p w:rsidR="0021334C" w:rsidRDefault="008511F3">
      <w:pPr>
        <w:spacing w:line="600" w:lineRule="exact"/>
        <w:ind w:firstLineChars="200" w:firstLine="640"/>
        <w:rPr>
          <w:rFonts w:ascii="仿宋_GB2312" w:eastAsia="仿宋_GB2312" w:hAnsi="仿宋"/>
          <w:color w:val="00B0F0"/>
          <w:sz w:val="32"/>
          <w:szCs w:val="32"/>
        </w:rPr>
      </w:pPr>
      <w:r>
        <w:rPr>
          <w:rFonts w:ascii="仿宋" w:eastAsia="仿宋" w:hAnsi="仿宋"/>
          <w:color w:val="000000"/>
          <w:sz w:val="32"/>
          <w:szCs w:val="32"/>
        </w:rPr>
        <w:t>2020</w:t>
      </w:r>
      <w:r>
        <w:rPr>
          <w:rFonts w:ascii="仿宋" w:eastAsia="仿宋" w:hAnsi="仿宋" w:hint="eastAsia"/>
          <w:color w:val="000000"/>
          <w:sz w:val="32"/>
          <w:szCs w:val="32"/>
        </w:rPr>
        <w:t>年度收、支总计16061.14万元。与</w:t>
      </w:r>
      <w:r>
        <w:rPr>
          <w:rFonts w:ascii="仿宋" w:eastAsia="仿宋" w:hAnsi="仿宋"/>
          <w:color w:val="000000"/>
          <w:sz w:val="32"/>
          <w:szCs w:val="32"/>
        </w:rPr>
        <w:t>2019</w:t>
      </w:r>
      <w:r>
        <w:rPr>
          <w:rFonts w:ascii="仿宋" w:eastAsia="仿宋" w:hAnsi="仿宋" w:hint="eastAsia"/>
          <w:color w:val="000000"/>
          <w:sz w:val="32"/>
          <w:szCs w:val="32"/>
        </w:rPr>
        <w:t>年相比，收、支总计各增加580.14万元，增长3.7</w:t>
      </w:r>
      <w:r>
        <w:rPr>
          <w:rFonts w:ascii="仿宋" w:eastAsia="仿宋" w:hAnsi="仿宋"/>
          <w:color w:val="000000"/>
          <w:sz w:val="32"/>
          <w:szCs w:val="32"/>
        </w:rPr>
        <w:t>%</w:t>
      </w:r>
      <w:r>
        <w:rPr>
          <w:rFonts w:ascii="仿宋" w:eastAsia="仿宋" w:hAnsi="仿宋" w:hint="eastAsia"/>
          <w:color w:val="000000"/>
          <w:sz w:val="32"/>
          <w:szCs w:val="32"/>
        </w:rPr>
        <w:t>。主要变动原因是项目增加。</w:t>
      </w:r>
    </w:p>
    <w:p w:rsidR="0021334C" w:rsidRDefault="008511F3">
      <w:pPr>
        <w:spacing w:line="600" w:lineRule="exact"/>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（图1：收、支决算总计变动情况图）</w:t>
      </w:r>
    </w:p>
    <w:p w:rsidR="0021334C" w:rsidRDefault="0021334C">
      <w:pPr>
        <w:spacing w:line="600" w:lineRule="exact"/>
        <w:ind w:firstLineChars="200" w:firstLine="560"/>
        <w:jc w:val="center"/>
        <w:rPr>
          <w:rFonts w:ascii="仿宋_GB2312" w:eastAsia="仿宋_GB2312"/>
          <w:color w:val="000000"/>
          <w:sz w:val="28"/>
          <w:szCs w:val="28"/>
        </w:rPr>
      </w:pPr>
    </w:p>
    <w:p w:rsidR="0021334C" w:rsidRDefault="008511F3">
      <w:pPr>
        <w:pStyle w:val="Default"/>
        <w:rPr>
          <w:rFonts w:ascii="仿宋_GB2312" w:eastAsia="仿宋_GB2312"/>
          <w:sz w:val="28"/>
          <w:szCs w:val="28"/>
        </w:rPr>
      </w:pPr>
      <w:r>
        <w:rPr>
          <w:noProof/>
        </w:rPr>
        <w:drawing>
          <wp:inline distT="0" distB="0" distL="114300" distR="114300">
            <wp:extent cx="4572000" cy="2743200"/>
            <wp:effectExtent l="4445" t="4445" r="14605" b="14605"/>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1334C" w:rsidRDefault="0021334C">
      <w:pPr>
        <w:pStyle w:val="Default"/>
        <w:rPr>
          <w:rFonts w:ascii="仿宋_GB2312" w:eastAsia="仿宋_GB2312"/>
          <w:sz w:val="28"/>
          <w:szCs w:val="28"/>
        </w:rPr>
      </w:pPr>
    </w:p>
    <w:p w:rsidR="0021334C" w:rsidRDefault="008511F3">
      <w:pPr>
        <w:pStyle w:val="2"/>
        <w:ind w:firstLineChars="200" w:firstLine="643"/>
        <w:rPr>
          <w:rFonts w:ascii="黑体" w:eastAsia="黑体" w:cs="Times New Roman"/>
          <w:bCs w:val="0"/>
          <w:color w:val="000000"/>
        </w:rPr>
      </w:pPr>
      <w:bookmarkStart w:id="27" w:name="_Toc15396604"/>
      <w:bookmarkStart w:id="28" w:name="_Toc15377206"/>
      <w:r>
        <w:rPr>
          <w:rFonts w:ascii="黑体" w:eastAsia="黑体" w:cs="Times New Roman" w:hint="eastAsia"/>
          <w:bCs w:val="0"/>
          <w:color w:val="000000"/>
        </w:rPr>
        <w:t>二、收入决算情况说明</w:t>
      </w:r>
      <w:bookmarkEnd w:id="27"/>
      <w:bookmarkEnd w:id="28"/>
    </w:p>
    <w:p w:rsidR="0021334C" w:rsidRDefault="008511F3">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2020年本年收入合计9866.63万元，其中：一般公共预算财政拨款收入5441.95万元，占55%；政府性基金预算财政拨款收入4424.68万元，占45%。</w:t>
      </w:r>
    </w:p>
    <w:p w:rsidR="0021334C" w:rsidRDefault="008511F3">
      <w:pPr>
        <w:spacing w:line="600" w:lineRule="exact"/>
        <w:ind w:firstLineChars="200" w:firstLine="640"/>
        <w:rPr>
          <w:rFonts w:ascii="仿宋_GB2312" w:eastAsia="仿宋_GB2312"/>
          <w:color w:val="FF0000"/>
          <w:sz w:val="32"/>
          <w:szCs w:val="32"/>
        </w:rPr>
      </w:pPr>
      <w:r>
        <w:rPr>
          <w:rFonts w:ascii="仿宋_GB2312" w:eastAsia="仿宋_GB2312" w:hAnsi="仿宋" w:hint="eastAsia"/>
          <w:color w:val="000000" w:themeColor="text1"/>
          <w:sz w:val="32"/>
          <w:szCs w:val="32"/>
        </w:rPr>
        <w:t>（图2：收入决算结构图）</w:t>
      </w:r>
    </w:p>
    <w:p w:rsidR="0021334C" w:rsidRDefault="008511F3">
      <w:pPr>
        <w:pStyle w:val="a9"/>
        <w:ind w:left="1060" w:hanging="640"/>
        <w:jc w:val="center"/>
      </w:pPr>
      <w:r>
        <w:rPr>
          <w:rFonts w:ascii="仿宋_GB2312" w:eastAsia="仿宋_GB2312" w:hint="eastAsia"/>
          <w:noProof/>
          <w:color w:val="FF0000"/>
          <w:sz w:val="32"/>
          <w:szCs w:val="32"/>
        </w:rPr>
        <w:lastRenderedPageBreak/>
        <w:drawing>
          <wp:inline distT="0" distB="0" distL="114300" distR="114300">
            <wp:extent cx="3717925" cy="2077085"/>
            <wp:effectExtent l="5080" t="4445" r="10795" b="1397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1334C" w:rsidRDefault="008511F3">
      <w:pPr>
        <w:pStyle w:val="2"/>
        <w:ind w:firstLineChars="200" w:firstLine="643"/>
        <w:rPr>
          <w:rFonts w:ascii="黑体" w:eastAsia="黑体" w:cs="Times New Roman"/>
          <w:color w:val="000000"/>
        </w:rPr>
      </w:pPr>
      <w:bookmarkStart w:id="29" w:name="_Toc15396605"/>
      <w:bookmarkStart w:id="30" w:name="_Toc15377207"/>
      <w:r>
        <w:rPr>
          <w:rFonts w:ascii="黑体" w:eastAsia="黑体" w:cs="Times New Roman" w:hint="eastAsia"/>
          <w:bCs w:val="0"/>
          <w:color w:val="000000"/>
        </w:rPr>
        <w:t>三、支</w:t>
      </w:r>
      <w:r>
        <w:rPr>
          <w:rFonts w:ascii="黑体" w:eastAsia="黑体" w:cs="Times New Roman" w:hint="eastAsia"/>
          <w:b w:val="0"/>
          <w:color w:val="000000"/>
        </w:rPr>
        <w:t>出决算情况说明</w:t>
      </w:r>
      <w:bookmarkEnd w:id="29"/>
      <w:bookmarkEnd w:id="30"/>
    </w:p>
    <w:p w:rsidR="0021334C" w:rsidRDefault="008511F3">
      <w:pPr>
        <w:spacing w:line="600" w:lineRule="exact"/>
        <w:ind w:firstLine="640"/>
        <w:rPr>
          <w:rFonts w:ascii="仿宋_GB2312" w:eastAsia="仿宋_GB2312" w:hAnsi="仿宋"/>
          <w:color w:val="000000"/>
          <w:sz w:val="32"/>
          <w:szCs w:val="32"/>
          <w:shd w:val="pct10" w:color="auto" w:fill="FFFFFF"/>
        </w:rPr>
      </w:pPr>
      <w:r>
        <w:rPr>
          <w:rFonts w:ascii="仿宋_GB2312" w:eastAsia="仿宋_GB2312" w:hAnsi="仿宋" w:hint="eastAsia"/>
          <w:color w:val="000000"/>
          <w:sz w:val="32"/>
          <w:szCs w:val="32"/>
        </w:rPr>
        <w:t>2020年本年支出合计10009.43万元，其中：基本支出878.05万元，占9%；项目支出9131.38万元，占91%。</w:t>
      </w:r>
    </w:p>
    <w:p w:rsidR="0021334C" w:rsidRDefault="008511F3">
      <w:pPr>
        <w:spacing w:line="600" w:lineRule="exact"/>
        <w:ind w:firstLineChars="200" w:firstLine="640"/>
        <w:rPr>
          <w:rFonts w:ascii="仿宋_GB2312" w:eastAsia="仿宋_GB2312" w:hAnsi="仿宋"/>
          <w:color w:val="000000" w:themeColor="text1"/>
          <w:sz w:val="32"/>
          <w:szCs w:val="32"/>
        </w:rPr>
      </w:pPr>
      <w:r>
        <w:rPr>
          <w:rFonts w:ascii="仿宋_GB2312" w:eastAsia="仿宋_GB2312" w:hAnsi="仿宋" w:hint="eastAsia"/>
          <w:color w:val="000000" w:themeColor="text1"/>
          <w:sz w:val="32"/>
          <w:szCs w:val="32"/>
        </w:rPr>
        <w:t>（图3：支出决算结构图）</w:t>
      </w:r>
    </w:p>
    <w:p w:rsidR="0021334C" w:rsidRDefault="0021334C">
      <w:pPr>
        <w:pStyle w:val="a9"/>
        <w:ind w:leftChars="0" w:left="0" w:firstLineChars="0" w:firstLine="0"/>
        <w:rPr>
          <w:rFonts w:ascii="仿宋_GB2312" w:eastAsia="仿宋_GB2312"/>
          <w:color w:val="FF0000"/>
          <w:sz w:val="32"/>
          <w:szCs w:val="32"/>
        </w:rPr>
      </w:pPr>
    </w:p>
    <w:p w:rsidR="0021334C" w:rsidRDefault="008511F3">
      <w:pPr>
        <w:jc w:val="center"/>
        <w:rPr>
          <w:rFonts w:ascii="仿宋_GB2312" w:eastAsia="仿宋_GB2312"/>
          <w:color w:val="FF0000"/>
          <w:sz w:val="32"/>
          <w:szCs w:val="32"/>
        </w:rPr>
      </w:pPr>
      <w:r>
        <w:rPr>
          <w:rFonts w:ascii="仿宋_GB2312" w:eastAsia="仿宋_GB2312" w:hint="eastAsia"/>
          <w:noProof/>
          <w:color w:val="FF0000"/>
          <w:sz w:val="32"/>
          <w:szCs w:val="32"/>
        </w:rPr>
        <w:drawing>
          <wp:inline distT="0" distB="0" distL="114300" distR="114300">
            <wp:extent cx="3717925" cy="2077085"/>
            <wp:effectExtent l="5080" t="4445" r="10795" b="1397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1334C" w:rsidRDefault="0021334C">
      <w:pPr>
        <w:pStyle w:val="a0"/>
      </w:pPr>
    </w:p>
    <w:p w:rsidR="0021334C" w:rsidRDefault="008511F3">
      <w:pPr>
        <w:pStyle w:val="2"/>
        <w:ind w:firstLineChars="200" w:firstLine="640"/>
        <w:rPr>
          <w:rFonts w:ascii="黑体" w:eastAsia="黑体" w:cs="Times New Roman"/>
          <w:bCs w:val="0"/>
          <w:color w:val="000000"/>
        </w:rPr>
      </w:pPr>
      <w:bookmarkStart w:id="31" w:name="_Toc15396606"/>
      <w:bookmarkStart w:id="32" w:name="_Toc15377208"/>
      <w:r>
        <w:rPr>
          <w:rFonts w:ascii="黑体" w:eastAsia="黑体" w:cs="Times New Roman" w:hint="eastAsia"/>
          <w:b w:val="0"/>
          <w:color w:val="000000"/>
        </w:rPr>
        <w:t>四、财政拨款收入支出决算总体情况说明</w:t>
      </w:r>
      <w:bookmarkEnd w:id="31"/>
      <w:bookmarkEnd w:id="32"/>
    </w:p>
    <w:p w:rsidR="0021334C" w:rsidRDefault="008511F3">
      <w:pPr>
        <w:spacing w:line="600" w:lineRule="exact"/>
        <w:ind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年财政拨款收、支总计16061.1</w:t>
      </w:r>
      <w:r w:rsidR="00804659">
        <w:rPr>
          <w:rFonts w:ascii="仿宋" w:eastAsia="仿宋" w:hAnsi="仿宋" w:hint="eastAsia"/>
          <w:color w:val="000000"/>
          <w:sz w:val="32"/>
          <w:szCs w:val="32"/>
        </w:rPr>
        <w:t>4</w:t>
      </w:r>
      <w:r>
        <w:rPr>
          <w:rFonts w:ascii="仿宋" w:eastAsia="仿宋" w:hAnsi="仿宋" w:hint="eastAsia"/>
          <w:color w:val="000000"/>
          <w:sz w:val="32"/>
          <w:szCs w:val="32"/>
        </w:rPr>
        <w:t>万元。与</w:t>
      </w:r>
      <w:r>
        <w:rPr>
          <w:rFonts w:ascii="仿宋" w:eastAsia="仿宋" w:hAnsi="仿宋"/>
          <w:color w:val="000000"/>
          <w:sz w:val="32"/>
          <w:szCs w:val="32"/>
        </w:rPr>
        <w:t>2019</w:t>
      </w:r>
      <w:r>
        <w:rPr>
          <w:rFonts w:ascii="仿宋" w:eastAsia="仿宋" w:hAnsi="仿宋" w:hint="eastAsia"/>
          <w:color w:val="000000"/>
          <w:sz w:val="32"/>
          <w:szCs w:val="32"/>
        </w:rPr>
        <w:t>年相比，财政拨款收、支总计各增加580.14万元，增长3.7</w:t>
      </w:r>
      <w:r>
        <w:rPr>
          <w:rFonts w:ascii="仿宋" w:eastAsia="仿宋" w:hAnsi="仿宋"/>
          <w:color w:val="000000"/>
          <w:sz w:val="32"/>
          <w:szCs w:val="32"/>
        </w:rPr>
        <w:t>%</w:t>
      </w:r>
      <w:r>
        <w:rPr>
          <w:rFonts w:ascii="仿宋" w:eastAsia="仿宋" w:hAnsi="仿宋" w:hint="eastAsia"/>
          <w:color w:val="000000"/>
          <w:sz w:val="32"/>
          <w:szCs w:val="32"/>
        </w:rPr>
        <w:t>。主要变动原因是项目增加。</w:t>
      </w:r>
    </w:p>
    <w:p w:rsidR="0021334C" w:rsidRDefault="008511F3">
      <w:pPr>
        <w:spacing w:line="60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lastRenderedPageBreak/>
        <w:t>（图4：财政拨款收、支决算总计变动情况）</w:t>
      </w:r>
    </w:p>
    <w:p w:rsidR="0021334C" w:rsidRDefault="0021334C">
      <w:pPr>
        <w:spacing w:line="600" w:lineRule="exact"/>
        <w:ind w:firstLineChars="200" w:firstLine="640"/>
        <w:rPr>
          <w:rFonts w:ascii="仿宋_GB2312" w:eastAsia="仿宋_GB2312" w:hAnsi="仿宋"/>
          <w:color w:val="000000" w:themeColor="text1"/>
          <w:sz w:val="32"/>
          <w:szCs w:val="32"/>
        </w:rPr>
      </w:pPr>
    </w:p>
    <w:p w:rsidR="0021334C" w:rsidRDefault="0021334C">
      <w:pPr>
        <w:pStyle w:val="Default"/>
      </w:pPr>
    </w:p>
    <w:p w:rsidR="0021334C" w:rsidRDefault="008511F3">
      <w:pPr>
        <w:spacing w:line="600" w:lineRule="exact"/>
        <w:ind w:firstLine="640"/>
        <w:rPr>
          <w:rFonts w:ascii="仿宋_GB2312" w:eastAsia="仿宋_GB2312" w:hAnsi="仿宋"/>
          <w:b/>
          <w:color w:val="00B050"/>
          <w:sz w:val="32"/>
          <w:szCs w:val="32"/>
        </w:rPr>
      </w:pPr>
      <w:r>
        <w:rPr>
          <w:noProof/>
        </w:rPr>
        <w:drawing>
          <wp:anchor distT="0" distB="0" distL="114300" distR="114300" simplePos="0" relativeHeight="251660288" behindDoc="0" locked="0" layoutInCell="1" allowOverlap="1">
            <wp:simplePos x="0" y="0"/>
            <wp:positionH relativeFrom="column">
              <wp:posOffset>594995</wp:posOffset>
            </wp:positionH>
            <wp:positionV relativeFrom="paragraph">
              <wp:posOffset>53975</wp:posOffset>
            </wp:positionV>
            <wp:extent cx="4572000" cy="2743200"/>
            <wp:effectExtent l="0" t="0" r="19050" b="1905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21334C" w:rsidRDefault="008511F3">
      <w:pPr>
        <w:pStyle w:val="2"/>
        <w:ind w:firstLineChars="200" w:firstLine="640"/>
        <w:rPr>
          <w:rFonts w:ascii="黑体" w:eastAsia="黑体" w:cs="Times New Roman"/>
          <w:bCs w:val="0"/>
          <w:color w:val="000000"/>
        </w:rPr>
      </w:pPr>
      <w:bookmarkStart w:id="33" w:name="_Toc15396607"/>
      <w:bookmarkStart w:id="34" w:name="_Toc15377209"/>
      <w:r>
        <w:rPr>
          <w:rFonts w:ascii="黑体" w:eastAsia="黑体" w:cs="Times New Roman" w:hint="eastAsia"/>
          <w:b w:val="0"/>
          <w:color w:val="000000"/>
        </w:rPr>
        <w:t>五、一</w:t>
      </w:r>
      <w:r>
        <w:rPr>
          <w:rFonts w:ascii="黑体" w:eastAsia="黑体" w:cs="Times New Roman" w:hint="eastAsia"/>
          <w:bCs w:val="0"/>
          <w:color w:val="000000"/>
        </w:rPr>
        <w:t>般公共预算财政拨款支出决算情况说明</w:t>
      </w:r>
      <w:bookmarkEnd w:id="33"/>
      <w:bookmarkEnd w:id="34"/>
    </w:p>
    <w:p w:rsidR="0021334C" w:rsidRDefault="008511F3">
      <w:pPr>
        <w:spacing w:line="600" w:lineRule="exact"/>
        <w:ind w:firstLineChars="200" w:firstLine="643"/>
        <w:outlineLvl w:val="2"/>
        <w:rPr>
          <w:rFonts w:ascii="仿宋" w:eastAsia="仿宋" w:hAnsi="仿宋"/>
          <w:b/>
          <w:color w:val="000000"/>
          <w:sz w:val="32"/>
          <w:szCs w:val="32"/>
        </w:rPr>
      </w:pPr>
      <w:bookmarkStart w:id="35" w:name="_Toc15377210"/>
      <w:r>
        <w:rPr>
          <w:rFonts w:ascii="仿宋" w:eastAsia="仿宋" w:hAnsi="仿宋" w:hint="eastAsia"/>
          <w:b/>
          <w:color w:val="000000"/>
          <w:sz w:val="32"/>
          <w:szCs w:val="32"/>
        </w:rPr>
        <w:t>（一）一般公共预算财政拨款支出决算总体情况</w:t>
      </w:r>
      <w:bookmarkEnd w:id="35"/>
    </w:p>
    <w:p w:rsidR="0021334C" w:rsidRDefault="008511F3">
      <w:pPr>
        <w:spacing w:line="600" w:lineRule="exact"/>
        <w:ind w:firstLineChars="200" w:firstLine="640"/>
        <w:rPr>
          <w:rFonts w:ascii="仿宋_GB2312" w:eastAsia="仿宋_GB2312" w:hAnsi="仿宋"/>
          <w:color w:val="000000"/>
          <w:sz w:val="32"/>
          <w:szCs w:val="32"/>
        </w:rPr>
      </w:pPr>
      <w:bookmarkStart w:id="36" w:name="_Toc15377211"/>
      <w:r>
        <w:rPr>
          <w:rFonts w:ascii="仿宋_GB2312" w:eastAsia="仿宋_GB2312" w:hAnsi="仿宋" w:hint="eastAsia"/>
          <w:color w:val="000000"/>
          <w:sz w:val="32"/>
          <w:szCs w:val="32"/>
        </w:rPr>
        <w:t>2020年一般公共预算财政拨款支出6668.7</w:t>
      </w:r>
      <w:r w:rsidR="00DB14B7">
        <w:rPr>
          <w:rFonts w:ascii="仿宋_GB2312" w:eastAsia="仿宋_GB2312" w:hAnsi="仿宋" w:hint="eastAsia"/>
          <w:color w:val="000000"/>
          <w:sz w:val="32"/>
          <w:szCs w:val="32"/>
        </w:rPr>
        <w:t>8</w:t>
      </w:r>
      <w:r>
        <w:rPr>
          <w:rFonts w:ascii="仿宋_GB2312" w:eastAsia="仿宋_GB2312" w:hAnsi="仿宋" w:hint="eastAsia"/>
          <w:color w:val="000000"/>
          <w:sz w:val="32"/>
          <w:szCs w:val="32"/>
        </w:rPr>
        <w:t>万元，占本年支出合计的66.6%。与2019年相比，一般公共预算财政拨款增加170.3</w:t>
      </w:r>
      <w:r w:rsidR="008D0A15">
        <w:rPr>
          <w:rFonts w:ascii="仿宋_GB2312" w:eastAsia="仿宋_GB2312" w:hAnsi="仿宋" w:hint="eastAsia"/>
          <w:color w:val="000000"/>
          <w:sz w:val="32"/>
          <w:szCs w:val="32"/>
        </w:rPr>
        <w:t>7</w:t>
      </w:r>
      <w:r>
        <w:rPr>
          <w:rFonts w:ascii="仿宋_GB2312" w:eastAsia="仿宋_GB2312" w:hAnsi="仿宋" w:hint="eastAsia"/>
          <w:color w:val="000000"/>
          <w:sz w:val="32"/>
          <w:szCs w:val="32"/>
        </w:rPr>
        <w:t>万元，增长26.2%。主要变动原因是项目增加。</w:t>
      </w:r>
    </w:p>
    <w:p w:rsidR="0021334C" w:rsidRDefault="008511F3">
      <w:pPr>
        <w:spacing w:line="60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（图5：一般公共预算财政拨款支出决算变动情况）</w:t>
      </w:r>
    </w:p>
    <w:p w:rsidR="0021334C" w:rsidRDefault="0021334C">
      <w:pPr>
        <w:pStyle w:val="a0"/>
        <w:ind w:firstLine="0"/>
        <w:rPr>
          <w:rFonts w:ascii="仿宋_GB2312" w:eastAsia="仿宋_GB2312" w:hAnsi="仿宋"/>
          <w:b/>
          <w:color w:val="000000"/>
          <w:sz w:val="32"/>
          <w:szCs w:val="32"/>
        </w:rPr>
      </w:pPr>
    </w:p>
    <w:p w:rsidR="0021334C" w:rsidRDefault="008511F3">
      <w:pPr>
        <w:pStyle w:val="a0"/>
        <w:rPr>
          <w:rFonts w:ascii="仿宋_GB2312" w:eastAsia="仿宋_GB2312" w:hAnsi="仿宋"/>
          <w:b/>
          <w:color w:val="000000"/>
          <w:sz w:val="32"/>
          <w:szCs w:val="32"/>
        </w:rPr>
      </w:pPr>
      <w:r>
        <w:rPr>
          <w:noProof/>
        </w:rPr>
        <w:lastRenderedPageBreak/>
        <w:drawing>
          <wp:anchor distT="0" distB="0" distL="114300" distR="114300" simplePos="0" relativeHeight="251659264" behindDoc="0" locked="0" layoutInCell="1" allowOverlap="1">
            <wp:simplePos x="0" y="0"/>
            <wp:positionH relativeFrom="column">
              <wp:posOffset>952500</wp:posOffset>
            </wp:positionH>
            <wp:positionV relativeFrom="paragraph">
              <wp:posOffset>220980</wp:posOffset>
            </wp:positionV>
            <wp:extent cx="4114800" cy="2011680"/>
            <wp:effectExtent l="0" t="0" r="19050" b="26670"/>
            <wp:wrapTopAndBottom/>
            <wp:docPr id="520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21334C" w:rsidRDefault="008511F3">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bookmarkEnd w:id="36"/>
    </w:p>
    <w:p w:rsidR="0021334C" w:rsidRDefault="008511F3">
      <w:pPr>
        <w:spacing w:line="600" w:lineRule="exact"/>
        <w:ind w:firstLine="640"/>
        <w:rPr>
          <w:rFonts w:ascii="仿宋_GB2312" w:eastAsia="仿宋_GB2312" w:hAnsi="仿宋"/>
          <w:color w:val="000000" w:themeColor="text1"/>
          <w:sz w:val="32"/>
          <w:szCs w:val="32"/>
        </w:rPr>
      </w:pPr>
      <w:r>
        <w:rPr>
          <w:rFonts w:ascii="仿宋_GB2312" w:eastAsia="仿宋_GB2312" w:hAnsi="仿宋" w:hint="eastAsia"/>
          <w:color w:val="000000"/>
          <w:sz w:val="32"/>
          <w:szCs w:val="32"/>
        </w:rPr>
        <w:t>2020年一般公共预算财</w:t>
      </w:r>
      <w:r>
        <w:rPr>
          <w:rFonts w:ascii="仿宋_GB2312" w:eastAsia="仿宋_GB2312" w:hAnsi="仿宋" w:hint="eastAsia"/>
          <w:color w:val="000000" w:themeColor="text1"/>
          <w:sz w:val="32"/>
          <w:szCs w:val="32"/>
        </w:rPr>
        <w:t>政拨款支出</w:t>
      </w:r>
      <w:r>
        <w:rPr>
          <w:rFonts w:ascii="仿宋_GB2312" w:eastAsia="仿宋_GB2312" w:hAnsi="仿宋" w:hint="eastAsia"/>
          <w:color w:val="000000"/>
          <w:sz w:val="32"/>
          <w:szCs w:val="32"/>
        </w:rPr>
        <w:t>6668.7</w:t>
      </w:r>
      <w:r w:rsidR="00DB14B7">
        <w:rPr>
          <w:rFonts w:ascii="仿宋_GB2312" w:eastAsia="仿宋_GB2312" w:hAnsi="仿宋" w:hint="eastAsia"/>
          <w:color w:val="000000"/>
          <w:sz w:val="32"/>
          <w:szCs w:val="32"/>
        </w:rPr>
        <w:t>8</w:t>
      </w:r>
      <w:r>
        <w:rPr>
          <w:rFonts w:ascii="仿宋_GB2312" w:eastAsia="仿宋_GB2312" w:hAnsi="仿宋" w:hint="eastAsia"/>
          <w:color w:val="000000" w:themeColor="text1"/>
          <w:sz w:val="32"/>
          <w:szCs w:val="32"/>
        </w:rPr>
        <w:t>万元，主要用于以下方面:社会保障和就业支出91.20万元，占1%；卫生健康支出47.56万元，占1%；农林水支出1308.23万元，占20%；自然资源海洋气象等支出1812.3</w:t>
      </w:r>
      <w:r w:rsidR="00DB14B7">
        <w:rPr>
          <w:rFonts w:ascii="仿宋_GB2312" w:eastAsia="仿宋_GB2312" w:hAnsi="仿宋" w:hint="eastAsia"/>
          <w:color w:val="000000" w:themeColor="text1"/>
          <w:sz w:val="32"/>
          <w:szCs w:val="32"/>
        </w:rPr>
        <w:t>3</w:t>
      </w:r>
      <w:r>
        <w:rPr>
          <w:rFonts w:ascii="仿宋_GB2312" w:eastAsia="仿宋_GB2312" w:hAnsi="仿宋" w:hint="eastAsia"/>
          <w:color w:val="000000" w:themeColor="text1"/>
          <w:sz w:val="32"/>
          <w:szCs w:val="32"/>
        </w:rPr>
        <w:t>支出万元，占27%；灾害防治及应急管理支出3344.93万元，占50%；住房保障支出64.53万元，占1%。</w:t>
      </w:r>
    </w:p>
    <w:p w:rsidR="0021334C" w:rsidRDefault="008511F3">
      <w:pPr>
        <w:spacing w:line="600" w:lineRule="exact"/>
        <w:ind w:firstLineChars="200" w:firstLine="420"/>
        <w:rPr>
          <w:rFonts w:ascii="仿宋_GB2312" w:eastAsia="仿宋_GB2312" w:hAnsi="仿宋"/>
          <w:color w:val="000000"/>
          <w:sz w:val="32"/>
          <w:szCs w:val="32"/>
        </w:rPr>
      </w:pPr>
      <w:r>
        <w:rPr>
          <w:noProof/>
        </w:rPr>
        <w:drawing>
          <wp:anchor distT="0" distB="0" distL="114300" distR="114300" simplePos="0" relativeHeight="251661312" behindDoc="0" locked="0" layoutInCell="1" allowOverlap="1">
            <wp:simplePos x="0" y="0"/>
            <wp:positionH relativeFrom="column">
              <wp:posOffset>68580</wp:posOffset>
            </wp:positionH>
            <wp:positionV relativeFrom="paragraph">
              <wp:posOffset>384810</wp:posOffset>
            </wp:positionV>
            <wp:extent cx="5372100" cy="3063240"/>
            <wp:effectExtent l="0" t="0" r="19050" b="22860"/>
            <wp:wrapTopAndBottom/>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ascii="仿宋_GB2312" w:eastAsia="仿宋_GB2312" w:hAnsi="仿宋" w:hint="eastAsia"/>
          <w:color w:val="000000"/>
          <w:sz w:val="32"/>
          <w:szCs w:val="32"/>
        </w:rPr>
        <w:t>（图6：一般公共预算财政拨款支出决算结构）</w:t>
      </w:r>
    </w:p>
    <w:p w:rsidR="0021334C" w:rsidRDefault="0021334C">
      <w:pPr>
        <w:spacing w:line="600" w:lineRule="exact"/>
        <w:ind w:firstLineChars="200" w:firstLine="643"/>
        <w:outlineLvl w:val="2"/>
        <w:rPr>
          <w:rFonts w:ascii="仿宋_GB2312" w:eastAsia="仿宋_GB2312" w:hAnsi="仿宋"/>
          <w:b/>
          <w:color w:val="000000"/>
          <w:sz w:val="32"/>
          <w:szCs w:val="32"/>
        </w:rPr>
      </w:pPr>
      <w:bookmarkStart w:id="37" w:name="_Toc15377212"/>
    </w:p>
    <w:p w:rsidR="0021334C" w:rsidRDefault="008511F3">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（三）一般公共预算财政拨款支出决算具体情况</w:t>
      </w:r>
      <w:bookmarkEnd w:id="37"/>
    </w:p>
    <w:p w:rsidR="0021334C" w:rsidRDefault="008511F3">
      <w:pPr>
        <w:spacing w:line="600" w:lineRule="exact"/>
        <w:ind w:firstLine="645"/>
        <w:rPr>
          <w:rFonts w:ascii="仿宋_GB2312" w:eastAsia="仿宋_GB2312" w:hAnsi="仿宋"/>
          <w:color w:val="000000"/>
          <w:sz w:val="32"/>
          <w:szCs w:val="32"/>
        </w:rPr>
      </w:pPr>
      <w:bookmarkStart w:id="38" w:name="_Toc15378460"/>
      <w:bookmarkStart w:id="39" w:name="_Toc15377213"/>
      <w:bookmarkStart w:id="40" w:name="_Toc15377444"/>
      <w:r>
        <w:rPr>
          <w:rFonts w:ascii="仿宋_GB2312" w:eastAsia="仿宋_GB2312" w:hAnsi="仿宋" w:hint="eastAsia"/>
          <w:color w:val="000000"/>
          <w:sz w:val="32"/>
          <w:szCs w:val="32"/>
        </w:rPr>
        <w:t>2020年一般公共预算支出决算数为6668.7</w:t>
      </w:r>
      <w:r w:rsidR="00DB14B7">
        <w:rPr>
          <w:rFonts w:ascii="仿宋_GB2312" w:eastAsia="仿宋_GB2312" w:hAnsi="仿宋" w:hint="eastAsia"/>
          <w:color w:val="000000"/>
          <w:sz w:val="32"/>
          <w:szCs w:val="32"/>
        </w:rPr>
        <w:t>8</w:t>
      </w:r>
      <w:r>
        <w:rPr>
          <w:rFonts w:ascii="仿宋_GB2312" w:eastAsia="仿宋_GB2312" w:hAnsi="仿宋" w:hint="eastAsia"/>
          <w:color w:val="000000"/>
          <w:sz w:val="32"/>
          <w:szCs w:val="32"/>
        </w:rPr>
        <w:t>万，完成预算100%。其中：</w:t>
      </w:r>
      <w:bookmarkEnd w:id="38"/>
      <w:bookmarkEnd w:id="39"/>
      <w:bookmarkEnd w:id="40"/>
    </w:p>
    <w:p w:rsidR="0021334C" w:rsidRDefault="007F2D6D">
      <w:pPr>
        <w:spacing w:line="600"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1.</w:t>
      </w:r>
      <w:r w:rsidR="008511F3">
        <w:rPr>
          <w:rFonts w:ascii="仿宋_GB2312" w:eastAsia="仿宋_GB2312" w:hAnsi="仿宋" w:hint="eastAsia"/>
          <w:color w:val="000000"/>
          <w:sz w:val="32"/>
          <w:szCs w:val="32"/>
        </w:rPr>
        <w:t>社会保障和就业支出（</w:t>
      </w:r>
      <w:r w:rsidR="00EA230E">
        <w:rPr>
          <w:rFonts w:ascii="仿宋_GB2312" w:eastAsia="仿宋_GB2312" w:hAnsi="仿宋" w:hint="eastAsia"/>
          <w:color w:val="000000"/>
          <w:sz w:val="32"/>
          <w:szCs w:val="32"/>
        </w:rPr>
        <w:t>类</w:t>
      </w:r>
      <w:r w:rsidR="008511F3">
        <w:rPr>
          <w:rFonts w:ascii="仿宋_GB2312" w:eastAsia="仿宋_GB2312" w:hAnsi="仿宋" w:hint="eastAsia"/>
          <w:color w:val="000000"/>
          <w:sz w:val="32"/>
          <w:szCs w:val="32"/>
        </w:rPr>
        <w:t>）行政事业单位养老支出(</w:t>
      </w:r>
      <w:r w:rsidR="00EA230E">
        <w:rPr>
          <w:rFonts w:ascii="仿宋_GB2312" w:eastAsia="仿宋_GB2312" w:hAnsi="仿宋" w:hint="eastAsia"/>
          <w:color w:val="000000"/>
          <w:sz w:val="32"/>
          <w:szCs w:val="32"/>
        </w:rPr>
        <w:t>款</w:t>
      </w:r>
      <w:r w:rsidR="008511F3">
        <w:rPr>
          <w:rFonts w:ascii="仿宋_GB2312" w:eastAsia="仿宋_GB2312" w:hAnsi="仿宋" w:hint="eastAsia"/>
          <w:color w:val="000000"/>
          <w:sz w:val="32"/>
          <w:szCs w:val="32"/>
        </w:rPr>
        <w:t>)机关事业单位基本养老保险缴费支出(</w:t>
      </w:r>
      <w:r w:rsidR="00EA230E">
        <w:rPr>
          <w:rFonts w:ascii="仿宋_GB2312" w:eastAsia="仿宋_GB2312" w:hAnsi="仿宋" w:hint="eastAsia"/>
          <w:color w:val="000000"/>
          <w:sz w:val="32"/>
          <w:szCs w:val="32"/>
        </w:rPr>
        <w:t>项</w:t>
      </w:r>
      <w:r w:rsidR="008511F3">
        <w:rPr>
          <w:rFonts w:ascii="仿宋_GB2312" w:eastAsia="仿宋_GB2312" w:hAnsi="仿宋" w:hint="eastAsia"/>
          <w:color w:val="000000"/>
          <w:sz w:val="32"/>
          <w:szCs w:val="32"/>
        </w:rPr>
        <w:t>)支出决算为60.80万</w:t>
      </w:r>
      <w:r>
        <w:rPr>
          <w:rFonts w:ascii="仿宋_GB2312" w:eastAsia="仿宋_GB2312" w:hAnsi="仿宋" w:hint="eastAsia"/>
          <w:color w:val="000000"/>
          <w:sz w:val="32"/>
          <w:szCs w:val="32"/>
        </w:rPr>
        <w:t>元</w:t>
      </w:r>
      <w:r w:rsidR="008511F3">
        <w:rPr>
          <w:rFonts w:ascii="仿宋_GB2312" w:eastAsia="仿宋_GB2312" w:hAnsi="仿宋" w:hint="eastAsia"/>
          <w:color w:val="000000"/>
          <w:sz w:val="32"/>
          <w:szCs w:val="32"/>
        </w:rPr>
        <w:t>。完成预算100%。决算数与预算</w:t>
      </w:r>
      <w:r w:rsidR="00E47769">
        <w:rPr>
          <w:rFonts w:ascii="仿宋_GB2312" w:eastAsia="仿宋_GB2312" w:hAnsi="仿宋" w:hint="eastAsia"/>
          <w:color w:val="000000"/>
          <w:sz w:val="32"/>
          <w:szCs w:val="32"/>
        </w:rPr>
        <w:t>数</w:t>
      </w:r>
      <w:r w:rsidR="008511F3">
        <w:rPr>
          <w:rFonts w:ascii="仿宋_GB2312" w:eastAsia="仿宋_GB2312" w:hAnsi="仿宋" w:hint="eastAsia"/>
          <w:color w:val="000000"/>
          <w:sz w:val="32"/>
          <w:szCs w:val="32"/>
        </w:rPr>
        <w:t>持平。</w:t>
      </w:r>
    </w:p>
    <w:p w:rsidR="0021334C" w:rsidRDefault="007F2D6D">
      <w:pPr>
        <w:spacing w:line="600"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2.</w:t>
      </w:r>
      <w:r w:rsidR="008511F3">
        <w:rPr>
          <w:rFonts w:ascii="仿宋_GB2312" w:eastAsia="仿宋_GB2312" w:hAnsi="仿宋" w:hint="eastAsia"/>
          <w:color w:val="000000"/>
          <w:sz w:val="32"/>
          <w:szCs w:val="32"/>
        </w:rPr>
        <w:t>社会保障和就业支出（</w:t>
      </w:r>
      <w:r w:rsidR="00EA230E">
        <w:rPr>
          <w:rFonts w:ascii="仿宋_GB2312" w:eastAsia="仿宋_GB2312" w:hAnsi="仿宋" w:hint="eastAsia"/>
          <w:color w:val="000000"/>
          <w:sz w:val="32"/>
          <w:szCs w:val="32"/>
        </w:rPr>
        <w:t>类</w:t>
      </w:r>
      <w:r w:rsidR="008511F3">
        <w:rPr>
          <w:rFonts w:ascii="仿宋_GB2312" w:eastAsia="仿宋_GB2312" w:hAnsi="仿宋" w:hint="eastAsia"/>
          <w:color w:val="000000"/>
          <w:sz w:val="32"/>
          <w:szCs w:val="32"/>
        </w:rPr>
        <w:t>）行政事业单位养老支出(</w:t>
      </w:r>
      <w:r w:rsidR="00EA230E">
        <w:rPr>
          <w:rFonts w:ascii="仿宋_GB2312" w:eastAsia="仿宋_GB2312" w:hAnsi="仿宋" w:hint="eastAsia"/>
          <w:color w:val="000000"/>
          <w:sz w:val="32"/>
          <w:szCs w:val="32"/>
        </w:rPr>
        <w:t>款</w:t>
      </w:r>
      <w:r w:rsidR="008511F3">
        <w:rPr>
          <w:rFonts w:ascii="仿宋_GB2312" w:eastAsia="仿宋_GB2312" w:hAnsi="仿宋" w:hint="eastAsia"/>
          <w:color w:val="000000"/>
          <w:sz w:val="32"/>
          <w:szCs w:val="32"/>
        </w:rPr>
        <w:t>)机关事业单位职业年金缴费支出(</w:t>
      </w:r>
      <w:r w:rsidR="00EA230E">
        <w:rPr>
          <w:rFonts w:ascii="仿宋_GB2312" w:eastAsia="仿宋_GB2312" w:hAnsi="仿宋" w:hint="eastAsia"/>
          <w:color w:val="000000"/>
          <w:sz w:val="32"/>
          <w:szCs w:val="32"/>
        </w:rPr>
        <w:t>项</w:t>
      </w:r>
      <w:r w:rsidR="008511F3">
        <w:rPr>
          <w:rFonts w:ascii="仿宋_GB2312" w:eastAsia="仿宋_GB2312" w:hAnsi="仿宋" w:hint="eastAsia"/>
          <w:color w:val="000000"/>
          <w:sz w:val="32"/>
          <w:szCs w:val="32"/>
        </w:rPr>
        <w:t>)支出决算为30.4</w:t>
      </w:r>
      <w:r w:rsidR="008D0A15">
        <w:rPr>
          <w:rFonts w:ascii="仿宋_GB2312" w:eastAsia="仿宋_GB2312" w:hAnsi="仿宋" w:hint="eastAsia"/>
          <w:color w:val="000000"/>
          <w:sz w:val="32"/>
          <w:szCs w:val="32"/>
        </w:rPr>
        <w:t>0</w:t>
      </w:r>
      <w:r w:rsidR="008511F3">
        <w:rPr>
          <w:rFonts w:ascii="仿宋_GB2312" w:eastAsia="仿宋_GB2312" w:hAnsi="仿宋" w:hint="eastAsia"/>
          <w:color w:val="000000"/>
          <w:sz w:val="32"/>
          <w:szCs w:val="32"/>
        </w:rPr>
        <w:t>万</w:t>
      </w:r>
      <w:r>
        <w:rPr>
          <w:rFonts w:ascii="仿宋_GB2312" w:eastAsia="仿宋_GB2312" w:hAnsi="仿宋" w:hint="eastAsia"/>
          <w:color w:val="000000"/>
          <w:sz w:val="32"/>
          <w:szCs w:val="32"/>
        </w:rPr>
        <w:t>元</w:t>
      </w:r>
      <w:r w:rsidR="008511F3">
        <w:rPr>
          <w:rFonts w:ascii="仿宋_GB2312" w:eastAsia="仿宋_GB2312" w:hAnsi="仿宋" w:hint="eastAsia"/>
          <w:color w:val="000000"/>
          <w:sz w:val="32"/>
          <w:szCs w:val="32"/>
        </w:rPr>
        <w:t>。完成预算100%。决算数与预算</w:t>
      </w:r>
      <w:r w:rsidR="00E47769">
        <w:rPr>
          <w:rFonts w:ascii="仿宋_GB2312" w:eastAsia="仿宋_GB2312" w:hAnsi="仿宋" w:hint="eastAsia"/>
          <w:color w:val="000000"/>
          <w:sz w:val="32"/>
          <w:szCs w:val="32"/>
        </w:rPr>
        <w:t>数</w:t>
      </w:r>
      <w:r w:rsidR="008511F3">
        <w:rPr>
          <w:rFonts w:ascii="仿宋_GB2312" w:eastAsia="仿宋_GB2312" w:hAnsi="仿宋" w:hint="eastAsia"/>
          <w:color w:val="000000"/>
          <w:sz w:val="32"/>
          <w:szCs w:val="32"/>
        </w:rPr>
        <w:t>持平。</w:t>
      </w:r>
    </w:p>
    <w:p w:rsidR="0021334C" w:rsidRDefault="008511F3">
      <w:pPr>
        <w:spacing w:line="600"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3.卫生健康支出（</w:t>
      </w:r>
      <w:r w:rsidR="00EA230E">
        <w:rPr>
          <w:rFonts w:ascii="仿宋_GB2312" w:eastAsia="仿宋_GB2312" w:hAnsi="仿宋" w:hint="eastAsia"/>
          <w:color w:val="000000"/>
          <w:sz w:val="32"/>
          <w:szCs w:val="32"/>
        </w:rPr>
        <w:t>类</w:t>
      </w:r>
      <w:r>
        <w:rPr>
          <w:rFonts w:ascii="仿宋_GB2312" w:eastAsia="仿宋_GB2312" w:hAnsi="仿宋" w:hint="eastAsia"/>
          <w:color w:val="000000"/>
          <w:sz w:val="32"/>
          <w:szCs w:val="32"/>
        </w:rPr>
        <w:t>）行政事业单位医疗（</w:t>
      </w:r>
      <w:r w:rsidR="00EA230E">
        <w:rPr>
          <w:rFonts w:ascii="仿宋_GB2312" w:eastAsia="仿宋_GB2312" w:hAnsi="仿宋" w:hint="eastAsia"/>
          <w:color w:val="000000"/>
          <w:sz w:val="32"/>
          <w:szCs w:val="32"/>
        </w:rPr>
        <w:t>款</w:t>
      </w:r>
      <w:r>
        <w:rPr>
          <w:rFonts w:ascii="仿宋_GB2312" w:eastAsia="仿宋_GB2312" w:hAnsi="仿宋" w:hint="eastAsia"/>
          <w:color w:val="000000"/>
          <w:sz w:val="32"/>
          <w:szCs w:val="32"/>
        </w:rPr>
        <w:t>）行政单位医疗(</w:t>
      </w:r>
      <w:r w:rsidR="00EA230E">
        <w:rPr>
          <w:rFonts w:ascii="仿宋_GB2312" w:eastAsia="仿宋_GB2312" w:hAnsi="仿宋" w:hint="eastAsia"/>
          <w:color w:val="000000"/>
          <w:sz w:val="32"/>
          <w:szCs w:val="32"/>
        </w:rPr>
        <w:t>项</w:t>
      </w:r>
      <w:r>
        <w:rPr>
          <w:rFonts w:ascii="仿宋_GB2312" w:eastAsia="仿宋_GB2312" w:hAnsi="仿宋" w:hint="eastAsia"/>
          <w:color w:val="000000"/>
          <w:sz w:val="32"/>
          <w:szCs w:val="32"/>
        </w:rPr>
        <w:t>)支出决算为24.75万</w:t>
      </w:r>
      <w:r w:rsidR="007F2D6D">
        <w:rPr>
          <w:rFonts w:ascii="仿宋_GB2312" w:eastAsia="仿宋_GB2312" w:hAnsi="仿宋" w:hint="eastAsia"/>
          <w:color w:val="000000"/>
          <w:sz w:val="32"/>
          <w:szCs w:val="32"/>
        </w:rPr>
        <w:t>元</w:t>
      </w:r>
      <w:r>
        <w:rPr>
          <w:rFonts w:ascii="仿宋_GB2312" w:eastAsia="仿宋_GB2312" w:hAnsi="仿宋" w:hint="eastAsia"/>
          <w:color w:val="000000"/>
          <w:sz w:val="32"/>
          <w:szCs w:val="32"/>
        </w:rPr>
        <w:t>。完成预算100%。决算数与预算</w:t>
      </w:r>
      <w:r w:rsidR="00E47769">
        <w:rPr>
          <w:rFonts w:ascii="仿宋_GB2312" w:eastAsia="仿宋_GB2312" w:hAnsi="仿宋" w:hint="eastAsia"/>
          <w:color w:val="000000"/>
          <w:sz w:val="32"/>
          <w:szCs w:val="32"/>
        </w:rPr>
        <w:t>数</w:t>
      </w:r>
      <w:r>
        <w:rPr>
          <w:rFonts w:ascii="仿宋_GB2312" w:eastAsia="仿宋_GB2312" w:hAnsi="仿宋" w:hint="eastAsia"/>
          <w:color w:val="000000"/>
          <w:sz w:val="32"/>
          <w:szCs w:val="32"/>
        </w:rPr>
        <w:t>持平。</w:t>
      </w:r>
    </w:p>
    <w:p w:rsidR="0021334C" w:rsidRDefault="008511F3">
      <w:pPr>
        <w:spacing w:line="600"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4.卫生健康支出（</w:t>
      </w:r>
      <w:r w:rsidR="00EA230E">
        <w:rPr>
          <w:rFonts w:ascii="仿宋_GB2312" w:eastAsia="仿宋_GB2312" w:hAnsi="仿宋" w:hint="eastAsia"/>
          <w:color w:val="000000"/>
          <w:sz w:val="32"/>
          <w:szCs w:val="32"/>
        </w:rPr>
        <w:t>类</w:t>
      </w:r>
      <w:r w:rsidR="00E15312">
        <w:rPr>
          <w:rFonts w:ascii="仿宋_GB2312" w:eastAsia="仿宋_GB2312" w:hAnsi="仿宋" w:hint="eastAsia"/>
          <w:color w:val="000000"/>
          <w:sz w:val="32"/>
          <w:szCs w:val="32"/>
        </w:rPr>
        <w:t>）行政事业单位医疗（</w:t>
      </w:r>
      <w:r w:rsidR="00EA230E">
        <w:rPr>
          <w:rFonts w:ascii="仿宋_GB2312" w:eastAsia="仿宋_GB2312" w:hAnsi="仿宋" w:hint="eastAsia"/>
          <w:color w:val="000000"/>
          <w:sz w:val="32"/>
          <w:szCs w:val="32"/>
        </w:rPr>
        <w:t>款</w:t>
      </w:r>
      <w:r>
        <w:rPr>
          <w:rFonts w:ascii="仿宋_GB2312" w:eastAsia="仿宋_GB2312" w:hAnsi="仿宋" w:hint="eastAsia"/>
          <w:color w:val="000000"/>
          <w:sz w:val="32"/>
          <w:szCs w:val="32"/>
        </w:rPr>
        <w:t>）事业单位医疗</w:t>
      </w:r>
      <w:r w:rsidR="00E15312">
        <w:rPr>
          <w:rFonts w:ascii="仿宋_GB2312" w:eastAsia="仿宋_GB2312" w:hAnsi="仿宋" w:hint="eastAsia"/>
          <w:color w:val="000000"/>
          <w:sz w:val="32"/>
          <w:szCs w:val="32"/>
        </w:rPr>
        <w:t>（</w:t>
      </w:r>
      <w:r w:rsidR="00EA230E">
        <w:rPr>
          <w:rFonts w:ascii="仿宋_GB2312" w:eastAsia="仿宋_GB2312" w:hAnsi="仿宋" w:hint="eastAsia"/>
          <w:color w:val="000000"/>
          <w:sz w:val="32"/>
          <w:szCs w:val="32"/>
        </w:rPr>
        <w:t>项</w:t>
      </w:r>
      <w:r w:rsidR="00E15312">
        <w:rPr>
          <w:rFonts w:ascii="仿宋_GB2312" w:eastAsia="仿宋_GB2312" w:hAnsi="仿宋" w:hint="eastAsia"/>
          <w:color w:val="000000"/>
          <w:sz w:val="32"/>
          <w:szCs w:val="32"/>
        </w:rPr>
        <w:t>）</w:t>
      </w:r>
      <w:r>
        <w:rPr>
          <w:rFonts w:ascii="仿宋_GB2312" w:eastAsia="仿宋_GB2312" w:hAnsi="仿宋" w:hint="eastAsia"/>
          <w:color w:val="000000"/>
          <w:sz w:val="32"/>
          <w:szCs w:val="32"/>
        </w:rPr>
        <w:t>支出决算为22.81万</w:t>
      </w:r>
      <w:r w:rsidR="007F2D6D">
        <w:rPr>
          <w:rFonts w:ascii="仿宋_GB2312" w:eastAsia="仿宋_GB2312" w:hAnsi="仿宋" w:hint="eastAsia"/>
          <w:color w:val="000000"/>
          <w:sz w:val="32"/>
          <w:szCs w:val="32"/>
        </w:rPr>
        <w:t>元</w:t>
      </w:r>
      <w:r>
        <w:rPr>
          <w:rFonts w:ascii="仿宋_GB2312" w:eastAsia="仿宋_GB2312" w:hAnsi="仿宋" w:hint="eastAsia"/>
          <w:color w:val="000000"/>
          <w:sz w:val="32"/>
          <w:szCs w:val="32"/>
        </w:rPr>
        <w:t>。完成预算100%。决算数与预算</w:t>
      </w:r>
      <w:r w:rsidR="00E47769">
        <w:rPr>
          <w:rFonts w:ascii="仿宋_GB2312" w:eastAsia="仿宋_GB2312" w:hAnsi="仿宋" w:hint="eastAsia"/>
          <w:color w:val="000000"/>
          <w:sz w:val="32"/>
          <w:szCs w:val="32"/>
        </w:rPr>
        <w:t>数</w:t>
      </w:r>
      <w:r>
        <w:rPr>
          <w:rFonts w:ascii="仿宋_GB2312" w:eastAsia="仿宋_GB2312" w:hAnsi="仿宋" w:hint="eastAsia"/>
          <w:color w:val="000000"/>
          <w:sz w:val="32"/>
          <w:szCs w:val="32"/>
        </w:rPr>
        <w:t>持平。</w:t>
      </w:r>
    </w:p>
    <w:p w:rsidR="00E15312" w:rsidRPr="00E15312" w:rsidRDefault="00E15312" w:rsidP="00E15312">
      <w:pPr>
        <w:pStyle w:val="a0"/>
      </w:pPr>
      <w:r>
        <w:rPr>
          <w:rFonts w:ascii="仿宋_GB2312" w:eastAsia="仿宋_GB2312" w:hAnsi="仿宋" w:hint="eastAsia"/>
          <w:color w:val="000000"/>
          <w:sz w:val="32"/>
          <w:szCs w:val="32"/>
        </w:rPr>
        <w:t>5.农林水支出</w:t>
      </w:r>
      <w:r w:rsidR="00003C0D">
        <w:rPr>
          <w:rFonts w:ascii="仿宋_GB2312" w:eastAsia="仿宋_GB2312" w:hAnsi="仿宋" w:hint="eastAsia"/>
          <w:color w:val="000000"/>
          <w:sz w:val="32"/>
          <w:szCs w:val="32"/>
        </w:rPr>
        <w:t>（</w:t>
      </w:r>
      <w:r w:rsidR="00EA230E">
        <w:rPr>
          <w:rFonts w:ascii="仿宋_GB2312" w:eastAsia="仿宋_GB2312" w:hAnsi="仿宋" w:hint="eastAsia"/>
          <w:color w:val="000000"/>
          <w:sz w:val="32"/>
          <w:szCs w:val="32"/>
        </w:rPr>
        <w:t>类</w:t>
      </w:r>
      <w:r w:rsidR="00003C0D">
        <w:rPr>
          <w:rFonts w:ascii="仿宋_GB2312" w:eastAsia="仿宋_GB2312" w:hAnsi="仿宋" w:hint="eastAsia"/>
          <w:color w:val="000000"/>
          <w:sz w:val="32"/>
          <w:szCs w:val="32"/>
        </w:rPr>
        <w:t>）</w:t>
      </w:r>
      <w:r>
        <w:rPr>
          <w:rFonts w:ascii="仿宋_GB2312" w:eastAsia="仿宋_GB2312" w:hAnsi="仿宋" w:hint="eastAsia"/>
          <w:color w:val="000000"/>
          <w:sz w:val="32"/>
          <w:szCs w:val="32"/>
        </w:rPr>
        <w:t>扶贫</w:t>
      </w:r>
      <w:r w:rsidR="00003C0D">
        <w:rPr>
          <w:rFonts w:ascii="仿宋_GB2312" w:eastAsia="仿宋_GB2312" w:hAnsi="仿宋" w:hint="eastAsia"/>
          <w:color w:val="000000"/>
          <w:sz w:val="32"/>
          <w:szCs w:val="32"/>
        </w:rPr>
        <w:t>（</w:t>
      </w:r>
      <w:r w:rsidR="00EA230E">
        <w:rPr>
          <w:rFonts w:ascii="仿宋_GB2312" w:eastAsia="仿宋_GB2312" w:hAnsi="仿宋" w:hint="eastAsia"/>
          <w:color w:val="000000"/>
          <w:sz w:val="32"/>
          <w:szCs w:val="32"/>
        </w:rPr>
        <w:t>款</w:t>
      </w:r>
      <w:r w:rsidR="00003C0D">
        <w:rPr>
          <w:rFonts w:ascii="仿宋_GB2312" w:eastAsia="仿宋_GB2312" w:hAnsi="仿宋" w:hint="eastAsia"/>
          <w:color w:val="000000"/>
          <w:sz w:val="32"/>
          <w:szCs w:val="32"/>
        </w:rPr>
        <w:t>）</w:t>
      </w:r>
      <w:r>
        <w:rPr>
          <w:rFonts w:ascii="仿宋_GB2312" w:eastAsia="仿宋_GB2312" w:hAnsi="仿宋" w:hint="eastAsia"/>
          <w:color w:val="000000"/>
          <w:sz w:val="32"/>
          <w:szCs w:val="32"/>
        </w:rPr>
        <w:t>农村基础设施建设</w:t>
      </w:r>
      <w:r w:rsidR="00003C0D">
        <w:rPr>
          <w:rFonts w:ascii="仿宋_GB2312" w:eastAsia="仿宋_GB2312" w:hAnsi="仿宋" w:hint="eastAsia"/>
          <w:color w:val="000000"/>
          <w:sz w:val="32"/>
          <w:szCs w:val="32"/>
        </w:rPr>
        <w:t>（</w:t>
      </w:r>
      <w:r w:rsidR="00EA230E">
        <w:rPr>
          <w:rFonts w:ascii="仿宋_GB2312" w:eastAsia="仿宋_GB2312" w:hAnsi="仿宋" w:hint="eastAsia"/>
          <w:color w:val="000000"/>
          <w:sz w:val="32"/>
          <w:szCs w:val="32"/>
        </w:rPr>
        <w:t>项</w:t>
      </w:r>
      <w:r w:rsidR="00003C0D">
        <w:rPr>
          <w:rFonts w:ascii="仿宋_GB2312" w:eastAsia="仿宋_GB2312" w:hAnsi="仿宋" w:hint="eastAsia"/>
          <w:color w:val="000000"/>
          <w:sz w:val="32"/>
          <w:szCs w:val="32"/>
        </w:rPr>
        <w:t>）</w:t>
      </w:r>
      <w:r>
        <w:rPr>
          <w:rFonts w:ascii="仿宋_GB2312" w:eastAsia="仿宋_GB2312" w:hAnsi="仿宋" w:hint="eastAsia"/>
          <w:color w:val="000000"/>
          <w:sz w:val="32"/>
          <w:szCs w:val="32"/>
        </w:rPr>
        <w:t>支出决算为181.53万元，完成预算100%。决算数与预算数持平。</w:t>
      </w:r>
    </w:p>
    <w:p w:rsidR="00E15312" w:rsidRPr="00E15312" w:rsidRDefault="00E15312" w:rsidP="00E15312">
      <w:pPr>
        <w:spacing w:line="600"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6</w:t>
      </w:r>
      <w:r w:rsidR="008511F3">
        <w:rPr>
          <w:rFonts w:ascii="仿宋_GB2312" w:eastAsia="仿宋_GB2312" w:hAnsi="仿宋" w:hint="eastAsia"/>
          <w:color w:val="000000"/>
          <w:sz w:val="32"/>
          <w:szCs w:val="32"/>
        </w:rPr>
        <w:t>.农林水支出(</w:t>
      </w:r>
      <w:r w:rsidR="00EA230E">
        <w:rPr>
          <w:rFonts w:ascii="仿宋_GB2312" w:eastAsia="仿宋_GB2312" w:hAnsi="仿宋" w:hint="eastAsia"/>
          <w:color w:val="000000"/>
          <w:sz w:val="32"/>
          <w:szCs w:val="32"/>
        </w:rPr>
        <w:t>类</w:t>
      </w:r>
      <w:r w:rsidR="008511F3">
        <w:rPr>
          <w:rFonts w:ascii="仿宋_GB2312" w:eastAsia="仿宋_GB2312" w:hAnsi="仿宋" w:hint="eastAsia"/>
          <w:color w:val="000000"/>
          <w:sz w:val="32"/>
          <w:szCs w:val="32"/>
        </w:rPr>
        <w:t>)扶贫(</w:t>
      </w:r>
      <w:r w:rsidR="00EA230E">
        <w:rPr>
          <w:rFonts w:ascii="仿宋_GB2312" w:eastAsia="仿宋_GB2312" w:hAnsi="仿宋" w:hint="eastAsia"/>
          <w:color w:val="000000"/>
          <w:sz w:val="32"/>
          <w:szCs w:val="32"/>
        </w:rPr>
        <w:t>款</w:t>
      </w:r>
      <w:r w:rsidR="008511F3">
        <w:rPr>
          <w:rFonts w:ascii="仿宋_GB2312" w:eastAsia="仿宋_GB2312" w:hAnsi="仿宋" w:hint="eastAsia"/>
          <w:color w:val="000000"/>
          <w:sz w:val="32"/>
          <w:szCs w:val="32"/>
        </w:rPr>
        <w:t>)其他扶贫支出(</w:t>
      </w:r>
      <w:r w:rsidR="00EA230E">
        <w:rPr>
          <w:rFonts w:ascii="仿宋_GB2312" w:eastAsia="仿宋_GB2312" w:hAnsi="仿宋" w:hint="eastAsia"/>
          <w:color w:val="000000"/>
          <w:sz w:val="32"/>
          <w:szCs w:val="32"/>
        </w:rPr>
        <w:t>项</w:t>
      </w:r>
      <w:r w:rsidR="008511F3">
        <w:rPr>
          <w:rFonts w:ascii="仿宋_GB2312" w:eastAsia="仿宋_GB2312" w:hAnsi="仿宋" w:hint="eastAsia"/>
          <w:color w:val="000000"/>
          <w:sz w:val="32"/>
          <w:szCs w:val="32"/>
        </w:rPr>
        <w:t>)支出决算为</w:t>
      </w:r>
      <w:r>
        <w:rPr>
          <w:rFonts w:ascii="仿宋_GB2312" w:eastAsia="仿宋_GB2312" w:hAnsi="仿宋" w:hint="eastAsia"/>
          <w:color w:val="000000"/>
          <w:sz w:val="32"/>
          <w:szCs w:val="32"/>
        </w:rPr>
        <w:t>1126.70</w:t>
      </w:r>
      <w:r w:rsidR="008511F3">
        <w:rPr>
          <w:rFonts w:ascii="仿宋_GB2312" w:eastAsia="仿宋_GB2312" w:hAnsi="仿宋" w:hint="eastAsia"/>
          <w:color w:val="000000"/>
          <w:sz w:val="32"/>
          <w:szCs w:val="32"/>
        </w:rPr>
        <w:t>万</w:t>
      </w:r>
      <w:r w:rsidR="007F2D6D">
        <w:rPr>
          <w:rFonts w:ascii="仿宋_GB2312" w:eastAsia="仿宋_GB2312" w:hAnsi="仿宋" w:hint="eastAsia"/>
          <w:color w:val="000000"/>
          <w:sz w:val="32"/>
          <w:szCs w:val="32"/>
        </w:rPr>
        <w:t>元</w:t>
      </w:r>
      <w:r w:rsidR="008511F3">
        <w:rPr>
          <w:rFonts w:ascii="仿宋_GB2312" w:eastAsia="仿宋_GB2312" w:hAnsi="仿宋" w:hint="eastAsia"/>
          <w:color w:val="000000"/>
          <w:sz w:val="32"/>
          <w:szCs w:val="32"/>
        </w:rPr>
        <w:t>，完成预算100%。决算数与预算</w:t>
      </w:r>
      <w:r w:rsidR="00E47769">
        <w:rPr>
          <w:rFonts w:ascii="仿宋_GB2312" w:eastAsia="仿宋_GB2312" w:hAnsi="仿宋" w:hint="eastAsia"/>
          <w:color w:val="000000"/>
          <w:sz w:val="32"/>
          <w:szCs w:val="32"/>
        </w:rPr>
        <w:t>数</w:t>
      </w:r>
      <w:r w:rsidR="008511F3">
        <w:rPr>
          <w:rFonts w:ascii="仿宋_GB2312" w:eastAsia="仿宋_GB2312" w:hAnsi="仿宋" w:hint="eastAsia"/>
          <w:color w:val="000000"/>
          <w:sz w:val="32"/>
          <w:szCs w:val="32"/>
        </w:rPr>
        <w:t>持平。</w:t>
      </w:r>
    </w:p>
    <w:p w:rsidR="0021334C" w:rsidRDefault="00003C0D">
      <w:pPr>
        <w:spacing w:line="600"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7</w:t>
      </w:r>
      <w:r w:rsidR="008511F3">
        <w:rPr>
          <w:rFonts w:ascii="仿宋_GB2312" w:eastAsia="仿宋_GB2312" w:hAnsi="仿宋" w:hint="eastAsia"/>
          <w:color w:val="000000"/>
          <w:sz w:val="32"/>
          <w:szCs w:val="32"/>
        </w:rPr>
        <w:t>.自然资源海洋气象等支出（</w:t>
      </w:r>
      <w:r w:rsidR="00EA230E">
        <w:rPr>
          <w:rFonts w:ascii="仿宋_GB2312" w:eastAsia="仿宋_GB2312" w:hAnsi="仿宋" w:hint="eastAsia"/>
          <w:color w:val="000000"/>
          <w:sz w:val="32"/>
          <w:szCs w:val="32"/>
        </w:rPr>
        <w:t>类</w:t>
      </w:r>
      <w:r w:rsidR="008511F3">
        <w:rPr>
          <w:rFonts w:ascii="仿宋_GB2312" w:eastAsia="仿宋_GB2312" w:hAnsi="仿宋" w:hint="eastAsia"/>
          <w:color w:val="000000"/>
          <w:sz w:val="32"/>
          <w:szCs w:val="32"/>
        </w:rPr>
        <w:t>） 自然资源事务（</w:t>
      </w:r>
      <w:r w:rsidR="00EA230E">
        <w:rPr>
          <w:rFonts w:ascii="仿宋_GB2312" w:eastAsia="仿宋_GB2312" w:hAnsi="仿宋" w:hint="eastAsia"/>
          <w:color w:val="000000"/>
          <w:sz w:val="32"/>
          <w:szCs w:val="32"/>
        </w:rPr>
        <w:t>款</w:t>
      </w:r>
      <w:r w:rsidR="008511F3">
        <w:rPr>
          <w:rFonts w:ascii="仿宋_GB2312" w:eastAsia="仿宋_GB2312" w:hAnsi="仿宋" w:hint="eastAsia"/>
          <w:color w:val="000000"/>
          <w:sz w:val="32"/>
          <w:szCs w:val="32"/>
        </w:rPr>
        <w:t>） 行政运行（</w:t>
      </w:r>
      <w:r w:rsidR="00EA230E">
        <w:rPr>
          <w:rFonts w:ascii="仿宋_GB2312" w:eastAsia="仿宋_GB2312" w:hAnsi="仿宋" w:hint="eastAsia"/>
          <w:color w:val="000000"/>
          <w:sz w:val="32"/>
          <w:szCs w:val="32"/>
        </w:rPr>
        <w:t>项</w:t>
      </w:r>
      <w:r w:rsidR="008511F3">
        <w:rPr>
          <w:rFonts w:ascii="仿宋_GB2312" w:eastAsia="仿宋_GB2312" w:hAnsi="仿宋" w:hint="eastAsia"/>
          <w:color w:val="000000"/>
          <w:sz w:val="32"/>
          <w:szCs w:val="32"/>
        </w:rPr>
        <w:t>）支出决算为</w:t>
      </w:r>
      <w:r w:rsidR="00E15312">
        <w:rPr>
          <w:rFonts w:ascii="仿宋_GB2312" w:eastAsia="仿宋_GB2312" w:hAnsi="仿宋" w:hint="eastAsia"/>
          <w:color w:val="000000"/>
          <w:sz w:val="32"/>
          <w:szCs w:val="32"/>
        </w:rPr>
        <w:t>300.88</w:t>
      </w:r>
      <w:r w:rsidR="008511F3">
        <w:rPr>
          <w:rFonts w:ascii="仿宋_GB2312" w:eastAsia="仿宋_GB2312" w:hAnsi="仿宋" w:hint="eastAsia"/>
          <w:color w:val="000000"/>
          <w:sz w:val="32"/>
          <w:szCs w:val="32"/>
        </w:rPr>
        <w:t>万</w:t>
      </w:r>
      <w:r w:rsidR="007F2D6D">
        <w:rPr>
          <w:rFonts w:ascii="仿宋_GB2312" w:eastAsia="仿宋_GB2312" w:hAnsi="仿宋" w:hint="eastAsia"/>
          <w:color w:val="000000"/>
          <w:sz w:val="32"/>
          <w:szCs w:val="32"/>
        </w:rPr>
        <w:t>元</w:t>
      </w:r>
      <w:r w:rsidR="008511F3">
        <w:rPr>
          <w:rFonts w:ascii="仿宋_GB2312" w:eastAsia="仿宋_GB2312" w:hAnsi="仿宋" w:hint="eastAsia"/>
          <w:color w:val="000000"/>
          <w:sz w:val="32"/>
          <w:szCs w:val="32"/>
        </w:rPr>
        <w:t>，完成决算100%</w:t>
      </w:r>
      <w:r w:rsidR="00E47769">
        <w:rPr>
          <w:rFonts w:ascii="仿宋_GB2312" w:eastAsia="仿宋_GB2312" w:hAnsi="仿宋" w:hint="eastAsia"/>
          <w:color w:val="000000"/>
          <w:sz w:val="32"/>
          <w:szCs w:val="32"/>
        </w:rPr>
        <w:t>。</w:t>
      </w:r>
      <w:r w:rsidR="00E47769">
        <w:rPr>
          <w:rFonts w:ascii="仿宋_GB2312" w:eastAsia="仿宋_GB2312" w:hAnsi="仿宋" w:hint="eastAsia"/>
          <w:color w:val="000000"/>
          <w:sz w:val="32"/>
          <w:szCs w:val="32"/>
        </w:rPr>
        <w:lastRenderedPageBreak/>
        <w:t>决算数与预算数</w:t>
      </w:r>
      <w:r w:rsidR="008511F3">
        <w:rPr>
          <w:rFonts w:ascii="仿宋_GB2312" w:eastAsia="仿宋_GB2312" w:hAnsi="仿宋" w:hint="eastAsia"/>
          <w:color w:val="000000"/>
          <w:sz w:val="32"/>
          <w:szCs w:val="32"/>
        </w:rPr>
        <w:t>持平。</w:t>
      </w:r>
    </w:p>
    <w:p w:rsidR="00003C0D" w:rsidRDefault="00003C0D" w:rsidP="00003C0D">
      <w:pPr>
        <w:pStyle w:val="a0"/>
        <w:rPr>
          <w:rFonts w:ascii="仿宋_GB2312" w:eastAsia="仿宋_GB2312" w:hAnsi="仿宋"/>
          <w:color w:val="000000"/>
          <w:sz w:val="32"/>
          <w:szCs w:val="32"/>
        </w:rPr>
      </w:pPr>
      <w:r>
        <w:rPr>
          <w:rFonts w:ascii="仿宋_GB2312" w:eastAsia="仿宋_GB2312" w:hAnsi="仿宋" w:hint="eastAsia"/>
          <w:color w:val="000000"/>
          <w:sz w:val="32"/>
          <w:szCs w:val="32"/>
        </w:rPr>
        <w:t>8.自然资源海洋气象等支出（</w:t>
      </w:r>
      <w:r w:rsidR="00EA230E">
        <w:rPr>
          <w:rFonts w:ascii="仿宋_GB2312" w:eastAsia="仿宋_GB2312" w:hAnsi="仿宋" w:hint="eastAsia"/>
          <w:color w:val="000000"/>
          <w:sz w:val="32"/>
          <w:szCs w:val="32"/>
        </w:rPr>
        <w:t>类</w:t>
      </w:r>
      <w:r>
        <w:rPr>
          <w:rFonts w:ascii="仿宋_GB2312" w:eastAsia="仿宋_GB2312" w:hAnsi="仿宋" w:hint="eastAsia"/>
          <w:color w:val="000000"/>
          <w:sz w:val="32"/>
          <w:szCs w:val="32"/>
        </w:rPr>
        <w:t>） 自然资源事务（</w:t>
      </w:r>
      <w:r w:rsidR="00EA230E">
        <w:rPr>
          <w:rFonts w:ascii="仿宋_GB2312" w:eastAsia="仿宋_GB2312" w:hAnsi="仿宋" w:hint="eastAsia"/>
          <w:color w:val="000000"/>
          <w:sz w:val="32"/>
          <w:szCs w:val="32"/>
        </w:rPr>
        <w:t>款</w:t>
      </w:r>
      <w:r>
        <w:rPr>
          <w:rFonts w:ascii="仿宋_GB2312" w:eastAsia="仿宋_GB2312" w:hAnsi="仿宋" w:hint="eastAsia"/>
          <w:color w:val="000000"/>
          <w:sz w:val="32"/>
          <w:szCs w:val="32"/>
        </w:rPr>
        <w:t>）自然资源规划及管理（</w:t>
      </w:r>
      <w:r w:rsidR="00EA230E">
        <w:rPr>
          <w:rFonts w:ascii="仿宋_GB2312" w:eastAsia="仿宋_GB2312" w:hAnsi="仿宋" w:hint="eastAsia"/>
          <w:color w:val="000000"/>
          <w:sz w:val="32"/>
          <w:szCs w:val="32"/>
        </w:rPr>
        <w:t>项</w:t>
      </w:r>
      <w:r>
        <w:rPr>
          <w:rFonts w:ascii="仿宋_GB2312" w:eastAsia="仿宋_GB2312" w:hAnsi="仿宋" w:hint="eastAsia"/>
          <w:color w:val="000000"/>
          <w:sz w:val="32"/>
          <w:szCs w:val="32"/>
        </w:rPr>
        <w:t>）支出决算为3万元，完成预算100%。决算数与预算数持平。</w:t>
      </w:r>
    </w:p>
    <w:p w:rsidR="00003C0D" w:rsidRPr="00003C0D" w:rsidRDefault="005B415B" w:rsidP="00003C0D">
      <w:pPr>
        <w:pStyle w:val="a0"/>
        <w:rPr>
          <w:rFonts w:ascii="仿宋_GB2312" w:eastAsia="仿宋_GB2312" w:hAnsi="仿宋"/>
          <w:color w:val="000000"/>
          <w:sz w:val="32"/>
          <w:szCs w:val="32"/>
        </w:rPr>
      </w:pPr>
      <w:r>
        <w:rPr>
          <w:rFonts w:ascii="仿宋_GB2312" w:eastAsia="仿宋_GB2312" w:hAnsi="仿宋" w:hint="eastAsia"/>
          <w:color w:val="000000"/>
          <w:sz w:val="32"/>
          <w:szCs w:val="32"/>
        </w:rPr>
        <w:t>10.</w:t>
      </w:r>
      <w:r w:rsidR="00003C0D">
        <w:rPr>
          <w:rFonts w:ascii="仿宋_GB2312" w:eastAsia="仿宋_GB2312" w:hAnsi="仿宋" w:hint="eastAsia"/>
          <w:color w:val="000000"/>
          <w:sz w:val="32"/>
          <w:szCs w:val="32"/>
        </w:rPr>
        <w:t>自然资源海洋气象等支出（</w:t>
      </w:r>
      <w:r w:rsidR="00EA230E">
        <w:rPr>
          <w:rFonts w:ascii="仿宋_GB2312" w:eastAsia="仿宋_GB2312" w:hAnsi="仿宋" w:hint="eastAsia"/>
          <w:color w:val="000000"/>
          <w:sz w:val="32"/>
          <w:szCs w:val="32"/>
        </w:rPr>
        <w:t>类</w:t>
      </w:r>
      <w:r w:rsidR="00003C0D">
        <w:rPr>
          <w:rFonts w:ascii="仿宋_GB2312" w:eastAsia="仿宋_GB2312" w:hAnsi="仿宋" w:hint="eastAsia"/>
          <w:color w:val="000000"/>
          <w:sz w:val="32"/>
          <w:szCs w:val="32"/>
        </w:rPr>
        <w:t>） 自然资源事务（</w:t>
      </w:r>
      <w:r w:rsidR="00EA230E">
        <w:rPr>
          <w:rFonts w:ascii="仿宋_GB2312" w:eastAsia="仿宋_GB2312" w:hAnsi="仿宋" w:hint="eastAsia"/>
          <w:color w:val="000000"/>
          <w:sz w:val="32"/>
          <w:szCs w:val="32"/>
        </w:rPr>
        <w:t>款</w:t>
      </w:r>
      <w:r w:rsidR="00003C0D">
        <w:rPr>
          <w:rFonts w:ascii="仿宋_GB2312" w:eastAsia="仿宋_GB2312" w:hAnsi="仿宋" w:hint="eastAsia"/>
          <w:color w:val="000000"/>
          <w:sz w:val="32"/>
          <w:szCs w:val="32"/>
        </w:rPr>
        <w:t>）自然资源调查与确权登记（</w:t>
      </w:r>
      <w:r w:rsidR="00EA230E">
        <w:rPr>
          <w:rFonts w:ascii="仿宋_GB2312" w:eastAsia="仿宋_GB2312" w:hAnsi="仿宋" w:hint="eastAsia"/>
          <w:color w:val="000000"/>
          <w:sz w:val="32"/>
          <w:szCs w:val="32"/>
        </w:rPr>
        <w:t>项</w:t>
      </w:r>
      <w:r w:rsidR="00003C0D">
        <w:rPr>
          <w:rFonts w:ascii="仿宋_GB2312" w:eastAsia="仿宋_GB2312" w:hAnsi="仿宋" w:hint="eastAsia"/>
          <w:color w:val="000000"/>
          <w:sz w:val="32"/>
          <w:szCs w:val="32"/>
        </w:rPr>
        <w:t>）支出决算为635.59万元，完成预算100%。决算数与预算数持平。</w:t>
      </w:r>
    </w:p>
    <w:p w:rsidR="0021334C" w:rsidRDefault="005B415B">
      <w:pPr>
        <w:spacing w:line="600"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11</w:t>
      </w:r>
      <w:r w:rsidR="008511F3">
        <w:rPr>
          <w:rFonts w:ascii="仿宋_GB2312" w:eastAsia="仿宋_GB2312" w:hAnsi="仿宋" w:hint="eastAsia"/>
          <w:color w:val="000000"/>
          <w:sz w:val="32"/>
          <w:szCs w:val="32"/>
        </w:rPr>
        <w:t>. 自然资源海洋气象等支出（</w:t>
      </w:r>
      <w:r w:rsidR="00EA230E">
        <w:rPr>
          <w:rFonts w:ascii="仿宋_GB2312" w:eastAsia="仿宋_GB2312" w:hAnsi="仿宋" w:hint="eastAsia"/>
          <w:color w:val="000000"/>
          <w:sz w:val="32"/>
          <w:szCs w:val="32"/>
        </w:rPr>
        <w:t>类</w:t>
      </w:r>
      <w:r w:rsidR="008511F3">
        <w:rPr>
          <w:rFonts w:ascii="仿宋_GB2312" w:eastAsia="仿宋_GB2312" w:hAnsi="仿宋" w:hint="eastAsia"/>
          <w:color w:val="000000"/>
          <w:sz w:val="32"/>
          <w:szCs w:val="32"/>
        </w:rPr>
        <w:t>） 自然资源事务（</w:t>
      </w:r>
      <w:r w:rsidR="00EA230E">
        <w:rPr>
          <w:rFonts w:ascii="仿宋_GB2312" w:eastAsia="仿宋_GB2312" w:hAnsi="仿宋" w:hint="eastAsia"/>
          <w:color w:val="000000"/>
          <w:sz w:val="32"/>
          <w:szCs w:val="32"/>
        </w:rPr>
        <w:t>款</w:t>
      </w:r>
      <w:r w:rsidR="008511F3">
        <w:rPr>
          <w:rFonts w:ascii="仿宋_GB2312" w:eastAsia="仿宋_GB2312" w:hAnsi="仿宋" w:hint="eastAsia"/>
          <w:color w:val="000000"/>
          <w:sz w:val="32"/>
          <w:szCs w:val="32"/>
        </w:rPr>
        <w:t>）事业运行（</w:t>
      </w:r>
      <w:r w:rsidR="00EA230E">
        <w:rPr>
          <w:rFonts w:ascii="仿宋_GB2312" w:eastAsia="仿宋_GB2312" w:hAnsi="仿宋" w:hint="eastAsia"/>
          <w:color w:val="000000"/>
          <w:sz w:val="32"/>
          <w:szCs w:val="32"/>
        </w:rPr>
        <w:t>项</w:t>
      </w:r>
      <w:r w:rsidR="008511F3">
        <w:rPr>
          <w:rFonts w:ascii="仿宋_GB2312" w:eastAsia="仿宋_GB2312" w:hAnsi="仿宋" w:hint="eastAsia"/>
          <w:color w:val="000000"/>
          <w:sz w:val="32"/>
          <w:szCs w:val="32"/>
        </w:rPr>
        <w:t>）支出决算为</w:t>
      </w:r>
      <w:r w:rsidR="00E15312">
        <w:rPr>
          <w:rFonts w:ascii="仿宋_GB2312" w:eastAsia="仿宋_GB2312" w:hAnsi="仿宋" w:hint="eastAsia"/>
          <w:color w:val="000000"/>
          <w:sz w:val="32"/>
          <w:szCs w:val="32"/>
        </w:rPr>
        <w:t>373.88</w:t>
      </w:r>
      <w:r w:rsidR="008511F3">
        <w:rPr>
          <w:rFonts w:ascii="仿宋_GB2312" w:eastAsia="仿宋_GB2312" w:hAnsi="仿宋" w:hint="eastAsia"/>
          <w:color w:val="000000"/>
          <w:sz w:val="32"/>
          <w:szCs w:val="32"/>
        </w:rPr>
        <w:t>万</w:t>
      </w:r>
      <w:r w:rsidR="007F2D6D">
        <w:rPr>
          <w:rFonts w:ascii="仿宋_GB2312" w:eastAsia="仿宋_GB2312" w:hAnsi="仿宋" w:hint="eastAsia"/>
          <w:color w:val="000000"/>
          <w:sz w:val="32"/>
          <w:szCs w:val="32"/>
        </w:rPr>
        <w:t>元</w:t>
      </w:r>
      <w:r w:rsidR="008511F3">
        <w:rPr>
          <w:rFonts w:ascii="仿宋_GB2312" w:eastAsia="仿宋_GB2312" w:hAnsi="仿宋" w:hint="eastAsia"/>
          <w:color w:val="000000"/>
          <w:sz w:val="32"/>
          <w:szCs w:val="32"/>
        </w:rPr>
        <w:t>，完成预算100%。决算数与预算</w:t>
      </w:r>
      <w:r w:rsidR="00E47769">
        <w:rPr>
          <w:rFonts w:ascii="仿宋_GB2312" w:eastAsia="仿宋_GB2312" w:hAnsi="仿宋" w:hint="eastAsia"/>
          <w:color w:val="000000"/>
          <w:sz w:val="32"/>
          <w:szCs w:val="32"/>
        </w:rPr>
        <w:t>数</w:t>
      </w:r>
      <w:r w:rsidR="008511F3">
        <w:rPr>
          <w:rFonts w:ascii="仿宋_GB2312" w:eastAsia="仿宋_GB2312" w:hAnsi="仿宋" w:hint="eastAsia"/>
          <w:color w:val="000000"/>
          <w:sz w:val="32"/>
          <w:szCs w:val="32"/>
        </w:rPr>
        <w:t>持平。</w:t>
      </w:r>
    </w:p>
    <w:p w:rsidR="0021334C" w:rsidRDefault="005B415B">
      <w:pPr>
        <w:spacing w:line="600"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12</w:t>
      </w:r>
      <w:r w:rsidR="008511F3">
        <w:rPr>
          <w:rFonts w:ascii="仿宋_GB2312" w:eastAsia="仿宋_GB2312" w:hAnsi="仿宋" w:hint="eastAsia"/>
          <w:color w:val="000000"/>
          <w:sz w:val="32"/>
          <w:szCs w:val="32"/>
        </w:rPr>
        <w:t>.自然资源海洋气象等支出（</w:t>
      </w:r>
      <w:r w:rsidR="00EA230E">
        <w:rPr>
          <w:rFonts w:ascii="仿宋_GB2312" w:eastAsia="仿宋_GB2312" w:hAnsi="仿宋" w:hint="eastAsia"/>
          <w:color w:val="000000"/>
          <w:sz w:val="32"/>
          <w:szCs w:val="32"/>
        </w:rPr>
        <w:t>类</w:t>
      </w:r>
      <w:r w:rsidR="008511F3">
        <w:rPr>
          <w:rFonts w:ascii="仿宋_GB2312" w:eastAsia="仿宋_GB2312" w:hAnsi="仿宋" w:hint="eastAsia"/>
          <w:color w:val="000000"/>
          <w:sz w:val="32"/>
          <w:szCs w:val="32"/>
        </w:rPr>
        <w:t>） 自然资源事务（</w:t>
      </w:r>
      <w:r w:rsidR="00EA230E">
        <w:rPr>
          <w:rFonts w:ascii="仿宋_GB2312" w:eastAsia="仿宋_GB2312" w:hAnsi="仿宋" w:hint="eastAsia"/>
          <w:color w:val="000000"/>
          <w:sz w:val="32"/>
          <w:szCs w:val="32"/>
        </w:rPr>
        <w:t>款</w:t>
      </w:r>
      <w:r w:rsidR="008511F3">
        <w:rPr>
          <w:rFonts w:ascii="仿宋_GB2312" w:eastAsia="仿宋_GB2312" w:hAnsi="仿宋" w:hint="eastAsia"/>
          <w:color w:val="000000"/>
          <w:sz w:val="32"/>
          <w:szCs w:val="32"/>
        </w:rPr>
        <w:t>） 其他自然资源事务支出（</w:t>
      </w:r>
      <w:r w:rsidR="00EA230E">
        <w:rPr>
          <w:rFonts w:ascii="仿宋_GB2312" w:eastAsia="仿宋_GB2312" w:hAnsi="仿宋" w:hint="eastAsia"/>
          <w:color w:val="000000"/>
          <w:sz w:val="32"/>
          <w:szCs w:val="32"/>
        </w:rPr>
        <w:t>项</w:t>
      </w:r>
      <w:r w:rsidR="008511F3">
        <w:rPr>
          <w:rFonts w:ascii="仿宋_GB2312" w:eastAsia="仿宋_GB2312" w:hAnsi="仿宋" w:hint="eastAsia"/>
          <w:color w:val="000000"/>
          <w:sz w:val="32"/>
          <w:szCs w:val="32"/>
        </w:rPr>
        <w:t>）支出决算为</w:t>
      </w:r>
      <w:r w:rsidR="00003C0D">
        <w:rPr>
          <w:rFonts w:ascii="仿宋_GB2312" w:eastAsia="仿宋_GB2312" w:hAnsi="仿宋" w:hint="eastAsia"/>
          <w:color w:val="000000"/>
          <w:sz w:val="32"/>
          <w:szCs w:val="32"/>
        </w:rPr>
        <w:t>498.98</w:t>
      </w:r>
      <w:r w:rsidR="008511F3">
        <w:rPr>
          <w:rFonts w:ascii="仿宋_GB2312" w:eastAsia="仿宋_GB2312" w:hAnsi="仿宋" w:hint="eastAsia"/>
          <w:color w:val="000000"/>
          <w:sz w:val="32"/>
          <w:szCs w:val="32"/>
        </w:rPr>
        <w:t>万</w:t>
      </w:r>
      <w:r w:rsidR="007F2D6D">
        <w:rPr>
          <w:rFonts w:ascii="仿宋_GB2312" w:eastAsia="仿宋_GB2312" w:hAnsi="仿宋" w:hint="eastAsia"/>
          <w:color w:val="000000"/>
          <w:sz w:val="32"/>
          <w:szCs w:val="32"/>
        </w:rPr>
        <w:t>元</w:t>
      </w:r>
      <w:r w:rsidR="008511F3">
        <w:rPr>
          <w:rFonts w:ascii="仿宋_GB2312" w:eastAsia="仿宋_GB2312" w:hAnsi="仿宋" w:hint="eastAsia"/>
          <w:color w:val="000000"/>
          <w:sz w:val="32"/>
          <w:szCs w:val="32"/>
        </w:rPr>
        <w:t>，完成预算100%。决算数与预算</w:t>
      </w:r>
      <w:r w:rsidR="00E47769">
        <w:rPr>
          <w:rFonts w:ascii="仿宋_GB2312" w:eastAsia="仿宋_GB2312" w:hAnsi="仿宋" w:hint="eastAsia"/>
          <w:color w:val="000000"/>
          <w:sz w:val="32"/>
          <w:szCs w:val="32"/>
        </w:rPr>
        <w:t>数</w:t>
      </w:r>
      <w:r w:rsidR="008511F3">
        <w:rPr>
          <w:rFonts w:ascii="仿宋_GB2312" w:eastAsia="仿宋_GB2312" w:hAnsi="仿宋" w:hint="eastAsia"/>
          <w:color w:val="000000"/>
          <w:sz w:val="32"/>
          <w:szCs w:val="32"/>
        </w:rPr>
        <w:t>持平。</w:t>
      </w:r>
    </w:p>
    <w:p w:rsidR="005B415B" w:rsidRDefault="005B415B" w:rsidP="005B415B">
      <w:pPr>
        <w:pStyle w:val="a0"/>
        <w:rPr>
          <w:rFonts w:ascii="仿宋_GB2312" w:eastAsia="仿宋_GB2312" w:hAnsi="仿宋"/>
          <w:color w:val="000000"/>
          <w:sz w:val="32"/>
          <w:szCs w:val="32"/>
        </w:rPr>
      </w:pPr>
      <w:r>
        <w:rPr>
          <w:rFonts w:ascii="仿宋_GB2312" w:eastAsia="仿宋_GB2312" w:hint="eastAsia"/>
          <w:sz w:val="32"/>
          <w:szCs w:val="32"/>
        </w:rPr>
        <w:t>13.</w:t>
      </w:r>
      <w:r>
        <w:rPr>
          <w:rFonts w:ascii="仿宋_GB2312" w:eastAsia="仿宋_GB2312"/>
          <w:sz w:val="32"/>
          <w:szCs w:val="32"/>
        </w:rPr>
        <w:t>住房保障</w:t>
      </w:r>
      <w:r>
        <w:rPr>
          <w:rFonts w:ascii="仿宋_GB2312" w:eastAsia="仿宋_GB2312" w:hint="eastAsia"/>
          <w:sz w:val="32"/>
          <w:szCs w:val="32"/>
        </w:rPr>
        <w:t>支出</w:t>
      </w:r>
      <w:r>
        <w:rPr>
          <w:rFonts w:ascii="仿宋_GB2312" w:eastAsia="仿宋_GB2312"/>
          <w:sz w:val="32"/>
          <w:szCs w:val="32"/>
        </w:rPr>
        <w:t>（</w:t>
      </w:r>
      <w:r w:rsidR="00EA230E">
        <w:rPr>
          <w:rFonts w:ascii="仿宋_GB2312" w:eastAsia="仿宋_GB2312" w:hAnsi="仿宋" w:hint="eastAsia"/>
          <w:color w:val="000000"/>
          <w:sz w:val="32"/>
          <w:szCs w:val="32"/>
        </w:rPr>
        <w:t>类</w:t>
      </w:r>
      <w:r>
        <w:rPr>
          <w:rFonts w:ascii="仿宋_GB2312" w:eastAsia="仿宋_GB2312"/>
          <w:sz w:val="32"/>
          <w:szCs w:val="32"/>
        </w:rPr>
        <w:t>）住房改革</w:t>
      </w:r>
      <w:r>
        <w:rPr>
          <w:rFonts w:ascii="仿宋_GB2312" w:eastAsia="仿宋_GB2312" w:hint="eastAsia"/>
          <w:sz w:val="32"/>
          <w:szCs w:val="32"/>
        </w:rPr>
        <w:t>支出</w:t>
      </w:r>
      <w:r>
        <w:rPr>
          <w:rFonts w:ascii="仿宋_GB2312" w:eastAsia="仿宋_GB2312"/>
          <w:sz w:val="32"/>
          <w:szCs w:val="32"/>
        </w:rPr>
        <w:t>（</w:t>
      </w:r>
      <w:r w:rsidR="00EA230E">
        <w:rPr>
          <w:rFonts w:ascii="仿宋_GB2312" w:eastAsia="仿宋_GB2312" w:hAnsi="仿宋" w:hint="eastAsia"/>
          <w:color w:val="000000"/>
          <w:sz w:val="32"/>
          <w:szCs w:val="32"/>
        </w:rPr>
        <w:t>款</w:t>
      </w:r>
      <w:r>
        <w:rPr>
          <w:rFonts w:ascii="仿宋_GB2312" w:eastAsia="仿宋_GB2312"/>
          <w:sz w:val="32"/>
          <w:szCs w:val="32"/>
        </w:rPr>
        <w:t>）住房公积金（</w:t>
      </w:r>
      <w:r w:rsidR="00EA230E">
        <w:rPr>
          <w:rFonts w:ascii="仿宋_GB2312" w:eastAsia="仿宋_GB2312" w:hAnsi="仿宋" w:hint="eastAsia"/>
          <w:color w:val="000000"/>
          <w:sz w:val="32"/>
          <w:szCs w:val="32"/>
        </w:rPr>
        <w:t>项</w:t>
      </w:r>
      <w:r>
        <w:rPr>
          <w:rFonts w:ascii="仿宋_GB2312" w:eastAsia="仿宋_GB2312"/>
          <w:sz w:val="32"/>
          <w:szCs w:val="32"/>
        </w:rPr>
        <w:t>）</w:t>
      </w:r>
      <w:r>
        <w:rPr>
          <w:rFonts w:ascii="仿宋_GB2312" w:eastAsia="仿宋_GB2312" w:hAnsi="仿宋" w:hint="eastAsia"/>
          <w:color w:val="000000"/>
          <w:sz w:val="32"/>
          <w:szCs w:val="32"/>
        </w:rPr>
        <w:t>支出决算为63.51万元，完成预算100%。决算数与预算数持平。</w:t>
      </w:r>
    </w:p>
    <w:p w:rsidR="005B415B" w:rsidRPr="005B415B" w:rsidRDefault="005B415B" w:rsidP="005B415B">
      <w:pPr>
        <w:pStyle w:val="a0"/>
      </w:pPr>
      <w:r>
        <w:rPr>
          <w:rFonts w:ascii="仿宋_GB2312" w:eastAsia="仿宋_GB2312" w:hint="eastAsia"/>
          <w:sz w:val="32"/>
          <w:szCs w:val="32"/>
        </w:rPr>
        <w:t>14.</w:t>
      </w:r>
      <w:r>
        <w:rPr>
          <w:rFonts w:ascii="仿宋_GB2312" w:eastAsia="仿宋_GB2312"/>
          <w:sz w:val="32"/>
          <w:szCs w:val="32"/>
        </w:rPr>
        <w:t>住房保障</w:t>
      </w:r>
      <w:r>
        <w:rPr>
          <w:rFonts w:ascii="仿宋_GB2312" w:eastAsia="仿宋_GB2312" w:hint="eastAsia"/>
          <w:sz w:val="32"/>
          <w:szCs w:val="32"/>
        </w:rPr>
        <w:t>支出</w:t>
      </w:r>
      <w:r>
        <w:rPr>
          <w:rFonts w:ascii="仿宋_GB2312" w:eastAsia="仿宋_GB2312"/>
          <w:sz w:val="32"/>
          <w:szCs w:val="32"/>
        </w:rPr>
        <w:t>（</w:t>
      </w:r>
      <w:r w:rsidR="00EA230E">
        <w:rPr>
          <w:rFonts w:ascii="仿宋_GB2312" w:eastAsia="仿宋_GB2312" w:hAnsi="仿宋" w:hint="eastAsia"/>
          <w:color w:val="000000"/>
          <w:sz w:val="32"/>
          <w:szCs w:val="32"/>
        </w:rPr>
        <w:t>类</w:t>
      </w:r>
      <w:r>
        <w:rPr>
          <w:rFonts w:ascii="仿宋_GB2312" w:eastAsia="仿宋_GB2312"/>
          <w:sz w:val="32"/>
          <w:szCs w:val="32"/>
        </w:rPr>
        <w:t>）住房改革</w:t>
      </w:r>
      <w:r>
        <w:rPr>
          <w:rFonts w:ascii="仿宋_GB2312" w:eastAsia="仿宋_GB2312" w:hint="eastAsia"/>
          <w:sz w:val="32"/>
          <w:szCs w:val="32"/>
        </w:rPr>
        <w:t>支出</w:t>
      </w:r>
      <w:r>
        <w:rPr>
          <w:rFonts w:ascii="仿宋_GB2312" w:eastAsia="仿宋_GB2312"/>
          <w:sz w:val="32"/>
          <w:szCs w:val="32"/>
        </w:rPr>
        <w:t>（</w:t>
      </w:r>
      <w:r w:rsidR="00EA230E">
        <w:rPr>
          <w:rFonts w:ascii="仿宋_GB2312" w:eastAsia="仿宋_GB2312" w:hAnsi="仿宋" w:hint="eastAsia"/>
          <w:color w:val="000000"/>
          <w:sz w:val="32"/>
          <w:szCs w:val="32"/>
        </w:rPr>
        <w:t>款</w:t>
      </w:r>
      <w:r>
        <w:rPr>
          <w:rFonts w:ascii="仿宋_GB2312" w:eastAsia="仿宋_GB2312"/>
          <w:sz w:val="32"/>
          <w:szCs w:val="32"/>
        </w:rPr>
        <w:t>）住房公积金（</w:t>
      </w:r>
      <w:r w:rsidR="00EA230E">
        <w:rPr>
          <w:rFonts w:ascii="仿宋_GB2312" w:eastAsia="仿宋_GB2312" w:hAnsi="仿宋" w:hint="eastAsia"/>
          <w:color w:val="000000"/>
          <w:sz w:val="32"/>
          <w:szCs w:val="32"/>
        </w:rPr>
        <w:t>项</w:t>
      </w:r>
      <w:r>
        <w:rPr>
          <w:rFonts w:ascii="仿宋_GB2312" w:eastAsia="仿宋_GB2312"/>
          <w:sz w:val="32"/>
          <w:szCs w:val="32"/>
        </w:rPr>
        <w:t>）</w:t>
      </w:r>
      <w:r>
        <w:rPr>
          <w:rFonts w:ascii="仿宋_GB2312" w:eastAsia="仿宋_GB2312" w:hAnsi="仿宋" w:hint="eastAsia"/>
          <w:color w:val="000000"/>
          <w:sz w:val="32"/>
          <w:szCs w:val="32"/>
        </w:rPr>
        <w:t>支出决算为1.02万元，完成预算100%。决算数与预算数持平。</w:t>
      </w:r>
    </w:p>
    <w:p w:rsidR="0021334C" w:rsidRDefault="005B415B">
      <w:pPr>
        <w:spacing w:line="600"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15</w:t>
      </w:r>
      <w:r w:rsidR="008511F3">
        <w:rPr>
          <w:rFonts w:ascii="仿宋_GB2312" w:eastAsia="仿宋_GB2312" w:hAnsi="仿宋" w:hint="eastAsia"/>
          <w:color w:val="000000"/>
          <w:sz w:val="32"/>
          <w:szCs w:val="32"/>
        </w:rPr>
        <w:t>.灾害防治及应急管理支出（</w:t>
      </w:r>
      <w:r w:rsidR="00EA230E">
        <w:rPr>
          <w:rFonts w:ascii="仿宋_GB2312" w:eastAsia="仿宋_GB2312" w:hAnsi="仿宋" w:hint="eastAsia"/>
          <w:color w:val="000000"/>
          <w:sz w:val="32"/>
          <w:szCs w:val="32"/>
        </w:rPr>
        <w:t>类</w:t>
      </w:r>
      <w:r w:rsidR="008511F3">
        <w:rPr>
          <w:rFonts w:ascii="仿宋_GB2312" w:eastAsia="仿宋_GB2312" w:hAnsi="仿宋" w:hint="eastAsia"/>
          <w:color w:val="000000"/>
          <w:sz w:val="32"/>
          <w:szCs w:val="32"/>
        </w:rPr>
        <w:t>）自然灾害防治（</w:t>
      </w:r>
      <w:r w:rsidR="00EA230E">
        <w:rPr>
          <w:rFonts w:ascii="仿宋_GB2312" w:eastAsia="仿宋_GB2312" w:hAnsi="仿宋" w:hint="eastAsia"/>
          <w:color w:val="000000"/>
          <w:sz w:val="32"/>
          <w:szCs w:val="32"/>
        </w:rPr>
        <w:t>款</w:t>
      </w:r>
      <w:r w:rsidR="008511F3">
        <w:rPr>
          <w:rFonts w:ascii="仿宋_GB2312" w:eastAsia="仿宋_GB2312" w:hAnsi="仿宋" w:hint="eastAsia"/>
          <w:color w:val="000000"/>
          <w:sz w:val="32"/>
          <w:szCs w:val="32"/>
        </w:rPr>
        <w:t>）地质灾害防治（</w:t>
      </w:r>
      <w:bookmarkStart w:id="41" w:name="_GoBack"/>
      <w:bookmarkEnd w:id="41"/>
      <w:r w:rsidR="00EA230E">
        <w:rPr>
          <w:rFonts w:ascii="仿宋_GB2312" w:eastAsia="仿宋_GB2312" w:hAnsi="仿宋" w:hint="eastAsia"/>
          <w:color w:val="000000"/>
          <w:sz w:val="32"/>
          <w:szCs w:val="32"/>
        </w:rPr>
        <w:t>项</w:t>
      </w:r>
      <w:r w:rsidR="008511F3">
        <w:rPr>
          <w:rFonts w:ascii="仿宋_GB2312" w:eastAsia="仿宋_GB2312" w:hAnsi="仿宋" w:hint="eastAsia"/>
          <w:color w:val="000000"/>
          <w:sz w:val="32"/>
          <w:szCs w:val="32"/>
        </w:rPr>
        <w:t>）支出决算</w:t>
      </w:r>
      <w:r w:rsidR="00003C0D">
        <w:rPr>
          <w:rFonts w:ascii="仿宋_GB2312" w:eastAsia="仿宋_GB2312" w:hAnsi="仿宋" w:hint="eastAsia"/>
          <w:color w:val="000000"/>
          <w:sz w:val="32"/>
          <w:szCs w:val="32"/>
        </w:rPr>
        <w:t>3344.93</w:t>
      </w:r>
      <w:r w:rsidR="008511F3">
        <w:rPr>
          <w:rFonts w:ascii="仿宋_GB2312" w:eastAsia="仿宋_GB2312" w:hAnsi="仿宋" w:hint="eastAsia"/>
          <w:color w:val="000000"/>
          <w:sz w:val="32"/>
          <w:szCs w:val="32"/>
        </w:rPr>
        <w:t>万</w:t>
      </w:r>
      <w:r w:rsidR="007F2D6D">
        <w:rPr>
          <w:rFonts w:ascii="仿宋_GB2312" w:eastAsia="仿宋_GB2312" w:hAnsi="仿宋" w:hint="eastAsia"/>
          <w:color w:val="000000"/>
          <w:sz w:val="32"/>
          <w:szCs w:val="32"/>
        </w:rPr>
        <w:t>元</w:t>
      </w:r>
      <w:r w:rsidR="008511F3">
        <w:rPr>
          <w:rFonts w:ascii="仿宋_GB2312" w:eastAsia="仿宋_GB2312" w:hAnsi="仿宋" w:hint="eastAsia"/>
          <w:color w:val="000000"/>
          <w:sz w:val="32"/>
          <w:szCs w:val="32"/>
        </w:rPr>
        <w:t>，完成预算100%。</w:t>
      </w:r>
    </w:p>
    <w:p w:rsidR="0021334C" w:rsidRDefault="008511F3">
      <w:pPr>
        <w:pStyle w:val="Default"/>
      </w:pPr>
      <w:r>
        <w:rPr>
          <w:rFonts w:ascii="仿宋_GB2312" w:eastAsia="仿宋_GB2312" w:hAnsi="仿宋" w:cs="Times New Roman" w:hint="eastAsia"/>
          <w:sz w:val="32"/>
          <w:szCs w:val="32"/>
        </w:rPr>
        <w:t>决算数与预算</w:t>
      </w:r>
      <w:r w:rsidR="00E47769">
        <w:rPr>
          <w:rFonts w:ascii="仿宋_GB2312" w:eastAsia="仿宋_GB2312" w:hAnsi="仿宋" w:hint="eastAsia"/>
          <w:sz w:val="32"/>
          <w:szCs w:val="32"/>
        </w:rPr>
        <w:t>数</w:t>
      </w:r>
      <w:r>
        <w:rPr>
          <w:rFonts w:ascii="仿宋_GB2312" w:eastAsia="仿宋_GB2312" w:hAnsi="仿宋" w:cs="Times New Roman" w:hint="eastAsia"/>
          <w:sz w:val="32"/>
          <w:szCs w:val="32"/>
        </w:rPr>
        <w:t>持平。</w:t>
      </w:r>
    </w:p>
    <w:p w:rsidR="0021334C" w:rsidRDefault="008511F3">
      <w:pPr>
        <w:pStyle w:val="2"/>
        <w:ind w:firstLineChars="200" w:firstLine="643"/>
        <w:rPr>
          <w:rStyle w:val="2Char"/>
          <w:rFonts w:ascii="仿宋_GB2312" w:eastAsia="仿宋_GB2312"/>
        </w:rPr>
      </w:pPr>
      <w:bookmarkStart w:id="42" w:name="_Toc15377214"/>
      <w:bookmarkStart w:id="43" w:name="_Toc15396608"/>
      <w:r>
        <w:rPr>
          <w:rFonts w:ascii="黑体" w:eastAsia="黑体" w:cs="Times New Roman" w:hint="eastAsia"/>
          <w:bCs w:val="0"/>
          <w:color w:val="000000"/>
        </w:rPr>
        <w:lastRenderedPageBreak/>
        <w:t>六、一</w:t>
      </w:r>
      <w:r>
        <w:rPr>
          <w:rFonts w:ascii="黑体" w:eastAsia="黑体" w:cs="Times New Roman" w:hint="eastAsia"/>
          <w:b w:val="0"/>
          <w:color w:val="000000"/>
        </w:rPr>
        <w:t>般公共预算财政拨款基本支出决算情况说明</w:t>
      </w:r>
      <w:bookmarkEnd w:id="42"/>
      <w:bookmarkEnd w:id="43"/>
      <w:r>
        <w:rPr>
          <w:rStyle w:val="2Char"/>
          <w:rFonts w:ascii="仿宋_GB2312" w:eastAsia="仿宋_GB2312" w:hAnsi="黑体" w:hint="eastAsia"/>
        </w:rPr>
        <w:tab/>
      </w:r>
    </w:p>
    <w:p w:rsidR="0021334C" w:rsidRDefault="008511F3">
      <w:pPr>
        <w:spacing w:line="600"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2020年一般公共预算财政拨款基本支出878.05万元，其中：</w:t>
      </w:r>
    </w:p>
    <w:p w:rsidR="0021334C" w:rsidRDefault="008511F3">
      <w:pPr>
        <w:spacing w:line="600"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人员经费844.2</w:t>
      </w:r>
      <w:r w:rsidR="008F2936">
        <w:rPr>
          <w:rFonts w:ascii="仿宋_GB2312" w:eastAsia="仿宋_GB2312" w:hAnsi="仿宋" w:hint="eastAsia"/>
          <w:color w:val="000000"/>
          <w:sz w:val="32"/>
          <w:szCs w:val="32"/>
        </w:rPr>
        <w:t>6</w:t>
      </w:r>
      <w:r>
        <w:rPr>
          <w:rFonts w:ascii="仿宋_GB2312" w:eastAsia="仿宋_GB2312" w:hAnsi="仿宋" w:hint="eastAsia"/>
          <w:color w:val="000000"/>
          <w:sz w:val="32"/>
          <w:szCs w:val="32"/>
        </w:rPr>
        <w:t>万元，主要包括：基本工资180.11万元、津贴补贴72.6</w:t>
      </w:r>
      <w:r w:rsidR="008F2936">
        <w:rPr>
          <w:rFonts w:ascii="仿宋_GB2312" w:eastAsia="仿宋_GB2312" w:hAnsi="仿宋" w:hint="eastAsia"/>
          <w:color w:val="000000"/>
          <w:sz w:val="32"/>
          <w:szCs w:val="32"/>
        </w:rPr>
        <w:t>4</w:t>
      </w:r>
      <w:r>
        <w:rPr>
          <w:rFonts w:ascii="仿宋_GB2312" w:eastAsia="仿宋_GB2312" w:hAnsi="仿宋" w:hint="eastAsia"/>
          <w:color w:val="000000"/>
          <w:sz w:val="32"/>
          <w:szCs w:val="32"/>
        </w:rPr>
        <w:t>万元、奖金46.59万元、绩效工资132.38万元、机关事业单位基本养老保险缴费60.80万元、职业年金缴费30.40万元、职工基本医疗保险缴费47.56万元，其他社会保障缴费16.92万元、医疗费10.68万元、住房公积金63.51万元、其他对个人和家庭的补助支出182.67万元。</w:t>
      </w:r>
      <w:r>
        <w:rPr>
          <w:rFonts w:ascii="仿宋_GB2312" w:eastAsia="仿宋_GB2312" w:hAnsi="仿宋" w:hint="eastAsia"/>
          <w:color w:val="000000"/>
          <w:sz w:val="32"/>
          <w:szCs w:val="32"/>
        </w:rPr>
        <w:br/>
        <w:t xml:space="preserve">　　公用经费33.7</w:t>
      </w:r>
      <w:r w:rsidR="008F2936">
        <w:rPr>
          <w:rFonts w:ascii="仿宋_GB2312" w:eastAsia="仿宋_GB2312" w:hAnsi="仿宋" w:hint="eastAsia"/>
          <w:color w:val="000000"/>
          <w:sz w:val="32"/>
          <w:szCs w:val="32"/>
        </w:rPr>
        <w:t>9</w:t>
      </w:r>
      <w:r>
        <w:rPr>
          <w:rFonts w:ascii="仿宋_GB2312" w:eastAsia="仿宋_GB2312" w:hAnsi="仿宋" w:hint="eastAsia"/>
          <w:color w:val="000000"/>
          <w:sz w:val="32"/>
          <w:szCs w:val="32"/>
        </w:rPr>
        <w:t>万元，主要包括：办公费10.21万元、水费0.06万元、电费1.7</w:t>
      </w:r>
      <w:r w:rsidR="008F2936">
        <w:rPr>
          <w:rFonts w:ascii="仿宋_GB2312" w:eastAsia="仿宋_GB2312" w:hAnsi="仿宋" w:hint="eastAsia"/>
          <w:color w:val="000000"/>
          <w:sz w:val="32"/>
          <w:szCs w:val="32"/>
        </w:rPr>
        <w:t>8</w:t>
      </w:r>
      <w:r>
        <w:rPr>
          <w:rFonts w:ascii="仿宋_GB2312" w:eastAsia="仿宋_GB2312" w:hAnsi="仿宋" w:hint="eastAsia"/>
          <w:color w:val="000000"/>
          <w:sz w:val="32"/>
          <w:szCs w:val="32"/>
        </w:rPr>
        <w:t>万元、邮电费0.56万元、差旅费16.2万元、培训费0.98万元、公务用车运行维护费4万元。</w:t>
      </w:r>
    </w:p>
    <w:p w:rsidR="0021334C" w:rsidRDefault="008511F3">
      <w:pPr>
        <w:pStyle w:val="2"/>
        <w:ind w:firstLineChars="200" w:firstLine="643"/>
        <w:rPr>
          <w:rFonts w:ascii="黑体" w:eastAsia="黑体" w:cs="Times New Roman"/>
          <w:color w:val="000000"/>
        </w:rPr>
      </w:pPr>
      <w:bookmarkStart w:id="44" w:name="_Toc15377215"/>
      <w:bookmarkStart w:id="45" w:name="_Toc15396609"/>
      <w:r>
        <w:rPr>
          <w:rFonts w:ascii="黑体" w:eastAsia="黑体" w:cs="Times New Roman" w:hint="eastAsia"/>
          <w:bCs w:val="0"/>
          <w:color w:val="000000"/>
        </w:rPr>
        <w:t>七、</w:t>
      </w:r>
      <w:r>
        <w:rPr>
          <w:rFonts w:ascii="黑体" w:eastAsia="黑体" w:cs="Times New Roman" w:hint="eastAsia"/>
          <w:b w:val="0"/>
          <w:color w:val="000000"/>
        </w:rPr>
        <w:t>“三公”经费财政拨款支出决算情况说明</w:t>
      </w:r>
      <w:bookmarkEnd w:id="44"/>
      <w:bookmarkEnd w:id="45"/>
    </w:p>
    <w:p w:rsidR="0021334C" w:rsidRDefault="008511F3">
      <w:pPr>
        <w:spacing w:line="600" w:lineRule="exact"/>
        <w:ind w:firstLineChars="200" w:firstLine="643"/>
        <w:outlineLvl w:val="2"/>
        <w:rPr>
          <w:rFonts w:ascii="仿宋" w:eastAsia="仿宋" w:hAnsi="仿宋"/>
          <w:b/>
          <w:color w:val="000000"/>
          <w:sz w:val="32"/>
          <w:szCs w:val="32"/>
        </w:rPr>
      </w:pPr>
      <w:bookmarkStart w:id="46" w:name="_Toc15377216"/>
      <w:r>
        <w:rPr>
          <w:rFonts w:ascii="仿宋" w:eastAsia="仿宋" w:hAnsi="仿宋" w:hint="eastAsia"/>
          <w:b/>
          <w:color w:val="000000"/>
          <w:sz w:val="32"/>
          <w:szCs w:val="32"/>
        </w:rPr>
        <w:t>（一）“三公”经费财政拨款支出决算总体情况说明</w:t>
      </w:r>
      <w:bookmarkEnd w:id="46"/>
    </w:p>
    <w:p w:rsidR="0021334C" w:rsidRDefault="008511F3">
      <w:pPr>
        <w:spacing w:line="600" w:lineRule="exact"/>
        <w:ind w:firstLine="640"/>
        <w:rPr>
          <w:rFonts w:ascii="仿宋_GB2312" w:eastAsia="仿宋_GB2312" w:hAnsi="仿宋"/>
          <w:color w:val="000000"/>
          <w:sz w:val="32"/>
          <w:szCs w:val="32"/>
        </w:rPr>
      </w:pPr>
      <w:r>
        <w:rPr>
          <w:rFonts w:ascii="仿宋_GB2312" w:eastAsia="仿宋_GB2312" w:hAnsi="仿宋" w:hint="eastAsia"/>
          <w:color w:val="000000"/>
          <w:sz w:val="32"/>
          <w:szCs w:val="32"/>
        </w:rPr>
        <w:t>2020年“三公”经费财政拨款支出决算为22万元，完成预算100%。</w:t>
      </w:r>
    </w:p>
    <w:p w:rsidR="0021334C" w:rsidRDefault="0021334C">
      <w:pPr>
        <w:spacing w:line="600" w:lineRule="exact"/>
        <w:ind w:firstLineChars="200" w:firstLine="643"/>
        <w:outlineLvl w:val="2"/>
        <w:rPr>
          <w:rFonts w:ascii="仿宋" w:eastAsia="仿宋" w:hAnsi="仿宋"/>
          <w:b/>
          <w:color w:val="000000"/>
          <w:sz w:val="32"/>
          <w:szCs w:val="32"/>
        </w:rPr>
      </w:pPr>
      <w:bookmarkStart w:id="47" w:name="_Toc15377217"/>
    </w:p>
    <w:p w:rsidR="0021334C" w:rsidRDefault="008511F3">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（二）“三公”经费财政拨款支出决算具体情况说明</w:t>
      </w:r>
      <w:bookmarkEnd w:id="47"/>
    </w:p>
    <w:p w:rsidR="0021334C" w:rsidRDefault="008511F3">
      <w:pPr>
        <w:spacing w:line="600" w:lineRule="exact"/>
        <w:ind w:firstLine="640"/>
        <w:rPr>
          <w:rFonts w:ascii="仿宋_GB2312" w:eastAsia="仿宋_GB2312" w:hAnsi="仿宋"/>
          <w:color w:val="000000"/>
          <w:sz w:val="32"/>
          <w:szCs w:val="32"/>
        </w:rPr>
      </w:pPr>
      <w:r>
        <w:rPr>
          <w:rFonts w:ascii="仿宋_GB2312" w:eastAsia="仿宋_GB2312" w:hAnsi="仿宋" w:hint="eastAsia"/>
          <w:color w:val="000000"/>
          <w:sz w:val="32"/>
          <w:szCs w:val="32"/>
        </w:rPr>
        <w:t>2020年“三公”经费财政拨款支出22万，因公出国（境）费支出决算0万元，公务用车购置及运行维护费支出决算22</w:t>
      </w:r>
      <w:r>
        <w:rPr>
          <w:rFonts w:ascii="仿宋_GB2312" w:eastAsia="仿宋_GB2312" w:hAnsi="仿宋" w:hint="eastAsia"/>
          <w:color w:val="000000"/>
          <w:sz w:val="32"/>
          <w:szCs w:val="32"/>
        </w:rPr>
        <w:lastRenderedPageBreak/>
        <w:t>万元，占100%；公务接待费支出决算0万元。具体情况如下：</w:t>
      </w:r>
    </w:p>
    <w:p w:rsidR="0021334C" w:rsidRDefault="008511F3">
      <w:pPr>
        <w:spacing w:line="600" w:lineRule="exact"/>
        <w:ind w:firstLine="640"/>
        <w:rPr>
          <w:rFonts w:ascii="仿宋_GB2312" w:eastAsia="仿宋_GB2312" w:hAnsi="仿宋"/>
          <w:color w:val="000000"/>
          <w:sz w:val="32"/>
          <w:szCs w:val="32"/>
        </w:rPr>
      </w:pPr>
      <w:r>
        <w:rPr>
          <w:rFonts w:ascii="仿宋_GB2312" w:eastAsia="仿宋_GB2312" w:hAnsi="仿宋" w:hint="eastAsia"/>
          <w:color w:val="000000"/>
          <w:sz w:val="32"/>
          <w:szCs w:val="32"/>
        </w:rPr>
        <w:t>（图8：“三公”经费财政拨款支出结构）</w:t>
      </w:r>
    </w:p>
    <w:p w:rsidR="0021334C" w:rsidRDefault="008511F3">
      <w:pPr>
        <w:pStyle w:val="a0"/>
        <w:rPr>
          <w:rFonts w:ascii="仿宋_GB2312" w:eastAsia="仿宋_GB2312" w:hAnsi="仿宋"/>
          <w:color w:val="000000"/>
          <w:sz w:val="32"/>
          <w:szCs w:val="32"/>
        </w:rPr>
      </w:pPr>
      <w:r>
        <w:rPr>
          <w:noProof/>
        </w:rPr>
        <w:drawing>
          <wp:inline distT="0" distB="0" distL="114300" distR="114300">
            <wp:extent cx="4572000" cy="2743200"/>
            <wp:effectExtent l="4445" t="4445" r="14605" b="7175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1334C" w:rsidRDefault="008511F3">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1.因公出国（境）经费支出0</w:t>
      </w:r>
      <w:r>
        <w:rPr>
          <w:rFonts w:ascii="仿宋_GB2312" w:eastAsia="仿宋_GB2312" w:hint="eastAsia"/>
          <w:color w:val="000000"/>
          <w:sz w:val="32"/>
          <w:szCs w:val="32"/>
        </w:rPr>
        <w:t>万元</w:t>
      </w:r>
      <w:r>
        <w:rPr>
          <w:rStyle w:val="aa"/>
          <w:rFonts w:ascii="仿宋_GB2312" w:eastAsia="仿宋_GB2312" w:hAnsi="仿宋" w:hint="eastAsia"/>
          <w:b w:val="0"/>
          <w:bCs/>
          <w:color w:val="000000"/>
          <w:sz w:val="32"/>
          <w:szCs w:val="32"/>
        </w:rPr>
        <w:t>。</w:t>
      </w:r>
      <w:r>
        <w:rPr>
          <w:rFonts w:ascii="仿宋_GB2312" w:eastAsia="仿宋_GB2312" w:hint="eastAsia"/>
          <w:color w:val="000000"/>
          <w:sz w:val="32"/>
          <w:szCs w:val="32"/>
        </w:rPr>
        <w:t>全年安排因公出国（境）团组次，出国（境）人。因公出国（境）支出决算比2019年增加0万元。主要原因是无因公出国（境）经费支出。</w:t>
      </w:r>
    </w:p>
    <w:p w:rsidR="0021334C" w:rsidRDefault="008511F3">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2.公务用车购置及运行维护费支出22</w:t>
      </w:r>
      <w:r>
        <w:rPr>
          <w:rFonts w:ascii="仿宋_GB2312" w:eastAsia="仿宋_GB2312" w:hint="eastAsia"/>
          <w:color w:val="000000"/>
          <w:sz w:val="32"/>
          <w:szCs w:val="32"/>
        </w:rPr>
        <w:t>万元,</w:t>
      </w:r>
      <w:r>
        <w:rPr>
          <w:rStyle w:val="aa"/>
          <w:rFonts w:ascii="仿宋_GB2312" w:eastAsia="仿宋_GB2312" w:hAnsi="仿宋" w:hint="eastAsia"/>
          <w:b w:val="0"/>
          <w:bCs/>
          <w:color w:val="000000"/>
          <w:sz w:val="32"/>
          <w:szCs w:val="32"/>
        </w:rPr>
        <w:t>完成预算100%。</w:t>
      </w:r>
      <w:r>
        <w:rPr>
          <w:rFonts w:ascii="仿宋_GB2312" w:eastAsia="仿宋_GB2312" w:hint="eastAsia"/>
          <w:color w:val="000000"/>
          <w:sz w:val="32"/>
          <w:szCs w:val="32"/>
        </w:rPr>
        <w:t>公务用车购置及运行维护费支出决算比2019年增加18万元，增长450%。主要原因是应急保障车辆燃料费，维修费，过路过桥费等支出增加。</w:t>
      </w:r>
    </w:p>
    <w:p w:rsidR="0021334C" w:rsidRDefault="008511F3">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公务用车运行维护费支出22</w:t>
      </w:r>
      <w:r>
        <w:rPr>
          <w:rFonts w:ascii="仿宋_GB2312" w:eastAsia="仿宋_GB2312" w:hint="eastAsia"/>
          <w:color w:val="000000"/>
          <w:sz w:val="32"/>
          <w:szCs w:val="32"/>
        </w:rPr>
        <w:t>万元。主要用于应急保障车辆所需的公务用车燃料费、维修费、过路过桥费、保险费等支出。</w:t>
      </w:r>
    </w:p>
    <w:p w:rsidR="0021334C" w:rsidRDefault="008511F3">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3.公务接待费支出0</w:t>
      </w:r>
      <w:r>
        <w:rPr>
          <w:rFonts w:ascii="仿宋_GB2312" w:eastAsia="仿宋_GB2312" w:hint="eastAsia"/>
          <w:color w:val="000000"/>
          <w:sz w:val="32"/>
          <w:szCs w:val="32"/>
        </w:rPr>
        <w:t>万元，</w:t>
      </w:r>
      <w:r>
        <w:rPr>
          <w:rStyle w:val="aa"/>
          <w:rFonts w:ascii="仿宋_GB2312" w:eastAsia="仿宋_GB2312" w:hAnsi="仿宋" w:hint="eastAsia"/>
          <w:b w:val="0"/>
          <w:bCs/>
          <w:color w:val="000000"/>
          <w:sz w:val="32"/>
          <w:szCs w:val="32"/>
        </w:rPr>
        <w:t>完成预算100%。</w:t>
      </w:r>
      <w:r>
        <w:rPr>
          <w:rFonts w:ascii="仿宋_GB2312" w:eastAsia="仿宋_GB2312" w:hint="eastAsia"/>
          <w:color w:val="000000"/>
          <w:sz w:val="32"/>
          <w:szCs w:val="32"/>
        </w:rPr>
        <w:t>公务接待费支出决算比2019年增加0万元。主要原因是无公务接待费支出。</w:t>
      </w:r>
      <w:bookmarkStart w:id="48" w:name="_Toc15396610"/>
      <w:bookmarkStart w:id="49" w:name="_Toc15377218"/>
    </w:p>
    <w:p w:rsidR="0021334C" w:rsidRDefault="0021334C">
      <w:pPr>
        <w:spacing w:line="600" w:lineRule="exact"/>
        <w:ind w:firstLine="640"/>
        <w:outlineLvl w:val="1"/>
        <w:rPr>
          <w:rStyle w:val="2Char"/>
          <w:rFonts w:ascii="黑体" w:eastAsia="黑体" w:hAnsi="黑体" w:cs="Times New Roman"/>
        </w:rPr>
      </w:pPr>
    </w:p>
    <w:p w:rsidR="0021334C" w:rsidRDefault="008511F3">
      <w:pPr>
        <w:spacing w:line="600" w:lineRule="exact"/>
        <w:ind w:firstLine="640"/>
        <w:outlineLvl w:val="1"/>
        <w:rPr>
          <w:rStyle w:val="2Char"/>
          <w:rFonts w:ascii="黑体" w:eastAsia="黑体" w:hAnsi="黑体" w:cs="Times New Roman"/>
          <w:b w:val="0"/>
        </w:rPr>
      </w:pPr>
      <w:r>
        <w:rPr>
          <w:rStyle w:val="2Char"/>
          <w:rFonts w:ascii="黑体" w:eastAsia="黑体" w:hAnsi="黑体" w:cs="Times New Roman" w:hint="eastAsia"/>
        </w:rPr>
        <w:t>八、</w:t>
      </w:r>
      <w:r>
        <w:rPr>
          <w:rStyle w:val="2Char"/>
          <w:rFonts w:ascii="黑体" w:eastAsia="黑体" w:hAnsi="黑体" w:cs="Times New Roman" w:hint="eastAsia"/>
          <w:b w:val="0"/>
        </w:rPr>
        <w:t>政府性基金预算支出决算情况说明</w:t>
      </w:r>
      <w:bookmarkEnd w:id="48"/>
      <w:bookmarkEnd w:id="49"/>
    </w:p>
    <w:p w:rsidR="0021334C" w:rsidRDefault="008511F3">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2020年政府性基金预算拨款支出3340.66万元。</w:t>
      </w:r>
    </w:p>
    <w:p w:rsidR="0021334C" w:rsidRDefault="0021334C">
      <w:pPr>
        <w:spacing w:line="600" w:lineRule="exact"/>
        <w:ind w:firstLine="640"/>
        <w:outlineLvl w:val="1"/>
        <w:rPr>
          <w:rStyle w:val="2Char"/>
          <w:rFonts w:ascii="黑体" w:eastAsia="黑体" w:hAnsi="黑体" w:cs="Times New Roman"/>
        </w:rPr>
      </w:pPr>
      <w:bookmarkStart w:id="50" w:name="_Toc15377219"/>
      <w:bookmarkStart w:id="51" w:name="_Toc15396611"/>
    </w:p>
    <w:p w:rsidR="0021334C" w:rsidRDefault="008511F3">
      <w:pPr>
        <w:spacing w:line="600" w:lineRule="exact"/>
        <w:ind w:firstLine="640"/>
        <w:outlineLvl w:val="1"/>
        <w:rPr>
          <w:rStyle w:val="2Char"/>
          <w:rFonts w:ascii="黑体" w:eastAsia="黑体" w:hAnsi="黑体" w:cs="Times New Roman"/>
        </w:rPr>
      </w:pPr>
      <w:r>
        <w:rPr>
          <w:rStyle w:val="2Char"/>
          <w:rFonts w:ascii="黑体" w:eastAsia="黑体" w:hAnsi="黑体" w:cs="Times New Roman" w:hint="eastAsia"/>
        </w:rPr>
        <w:t>九、国有资本经营预算支出决算情况说明</w:t>
      </w:r>
      <w:bookmarkEnd w:id="50"/>
      <w:bookmarkEnd w:id="51"/>
    </w:p>
    <w:p w:rsidR="0021334C" w:rsidRDefault="008511F3">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2020年国有资本经营预算拨款支出0万元。</w:t>
      </w:r>
    </w:p>
    <w:p w:rsidR="0021334C" w:rsidRDefault="0021334C">
      <w:pPr>
        <w:spacing w:line="600" w:lineRule="exact"/>
        <w:ind w:firstLine="640"/>
        <w:outlineLvl w:val="1"/>
        <w:rPr>
          <w:rStyle w:val="2Char"/>
          <w:rFonts w:ascii="黑体" w:eastAsia="黑体" w:hAnsi="黑体" w:cs="Times New Roman"/>
        </w:rPr>
      </w:pPr>
    </w:p>
    <w:p w:rsidR="0021334C" w:rsidRDefault="008511F3">
      <w:pPr>
        <w:spacing w:line="600" w:lineRule="exact"/>
        <w:ind w:firstLineChars="250" w:firstLine="803"/>
        <w:outlineLvl w:val="1"/>
        <w:rPr>
          <w:rStyle w:val="2Char"/>
          <w:rFonts w:ascii="黑体" w:eastAsia="黑体" w:hAnsi="黑体" w:cs="Times New Roman"/>
          <w:bCs w:val="0"/>
        </w:rPr>
      </w:pPr>
      <w:bookmarkStart w:id="52" w:name="_Toc15396612"/>
      <w:bookmarkStart w:id="53" w:name="_Toc15377221"/>
      <w:r>
        <w:rPr>
          <w:rStyle w:val="2Char"/>
          <w:rFonts w:ascii="黑体" w:eastAsia="黑体" w:hAnsi="黑体" w:cs="Times New Roman" w:hint="eastAsia"/>
        </w:rPr>
        <w:t>十</w:t>
      </w:r>
      <w:r>
        <w:rPr>
          <w:rStyle w:val="2Char"/>
          <w:rFonts w:ascii="黑体" w:eastAsia="黑体" w:hAnsi="黑体" w:cs="Times New Roman" w:hint="eastAsia"/>
          <w:bCs w:val="0"/>
        </w:rPr>
        <w:t>、其他重要事项的情况说明</w:t>
      </w:r>
      <w:bookmarkEnd w:id="52"/>
      <w:bookmarkEnd w:id="53"/>
    </w:p>
    <w:p w:rsidR="0021334C" w:rsidRDefault="008511F3">
      <w:pPr>
        <w:spacing w:line="600" w:lineRule="exact"/>
        <w:ind w:firstLineChars="200" w:firstLine="643"/>
        <w:outlineLvl w:val="2"/>
        <w:rPr>
          <w:rFonts w:ascii="仿宋" w:eastAsia="仿宋" w:hAnsi="仿宋"/>
          <w:b/>
          <w:color w:val="000000"/>
          <w:sz w:val="32"/>
          <w:szCs w:val="32"/>
        </w:rPr>
      </w:pPr>
      <w:bookmarkStart w:id="54" w:name="_Toc15377222"/>
      <w:r>
        <w:rPr>
          <w:rFonts w:ascii="仿宋" w:eastAsia="仿宋" w:hAnsi="仿宋" w:hint="eastAsia"/>
          <w:b/>
          <w:color w:val="000000"/>
          <w:sz w:val="32"/>
          <w:szCs w:val="32"/>
        </w:rPr>
        <w:t>（一）机关运行经费支出情况</w:t>
      </w:r>
      <w:bookmarkEnd w:id="54"/>
    </w:p>
    <w:p w:rsidR="0021334C" w:rsidRDefault="008511F3">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2020年，机关运行经费支出15.76万元，比2019年减2.22少万元，下降12.35%。主要原因是减少</w:t>
      </w:r>
      <w:r>
        <w:rPr>
          <w:rFonts w:ascii="仿宋_GB2312" w:eastAsia="仿宋_GB2312" w:hint="eastAsia"/>
          <w:color w:val="000000" w:themeColor="text1"/>
          <w:sz w:val="32"/>
          <w:szCs w:val="32"/>
        </w:rPr>
        <w:t>单位日常管理经费。</w:t>
      </w:r>
    </w:p>
    <w:p w:rsidR="0021334C" w:rsidRDefault="008511F3">
      <w:pPr>
        <w:spacing w:line="600" w:lineRule="exact"/>
        <w:ind w:firstLineChars="200" w:firstLine="643"/>
        <w:outlineLvl w:val="2"/>
        <w:rPr>
          <w:rFonts w:ascii="仿宋" w:eastAsia="仿宋" w:hAnsi="仿宋"/>
          <w:b/>
          <w:color w:val="000000"/>
          <w:sz w:val="32"/>
          <w:szCs w:val="32"/>
        </w:rPr>
      </w:pPr>
      <w:bookmarkStart w:id="55" w:name="_Toc15377223"/>
      <w:r>
        <w:rPr>
          <w:rFonts w:ascii="仿宋" w:eastAsia="仿宋" w:hAnsi="仿宋" w:hint="eastAsia"/>
          <w:b/>
          <w:color w:val="000000"/>
          <w:sz w:val="32"/>
          <w:szCs w:val="32"/>
        </w:rPr>
        <w:t>（二）政府采购支出情况</w:t>
      </w:r>
      <w:bookmarkEnd w:id="55"/>
    </w:p>
    <w:p w:rsidR="0021334C" w:rsidRDefault="008511F3">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2020年，政府采购支出总额0万元，其中：政府采购货物支出0万元、政府采购工程支出0万元、政府采购服务支出0万元。授予中小企业合同金额0万元，其中：授予小微企业合同金额0万元。</w:t>
      </w:r>
    </w:p>
    <w:p w:rsidR="0021334C" w:rsidRDefault="008511F3">
      <w:pPr>
        <w:spacing w:line="600" w:lineRule="exact"/>
        <w:ind w:firstLineChars="200" w:firstLine="643"/>
        <w:outlineLvl w:val="2"/>
        <w:rPr>
          <w:rFonts w:ascii="仿宋" w:eastAsia="仿宋" w:hAnsi="仿宋"/>
          <w:b/>
          <w:color w:val="000000"/>
          <w:sz w:val="32"/>
          <w:szCs w:val="32"/>
        </w:rPr>
      </w:pPr>
      <w:bookmarkStart w:id="56" w:name="_Toc15377224"/>
      <w:r>
        <w:rPr>
          <w:rFonts w:ascii="仿宋" w:eastAsia="仿宋" w:hAnsi="仿宋" w:hint="eastAsia"/>
          <w:b/>
          <w:color w:val="000000"/>
          <w:sz w:val="32"/>
          <w:szCs w:val="32"/>
        </w:rPr>
        <w:t>（三）国有资产占有使用情况</w:t>
      </w:r>
      <w:bookmarkEnd w:id="56"/>
    </w:p>
    <w:p w:rsidR="0021334C" w:rsidRDefault="008511F3">
      <w:pPr>
        <w:autoSpaceDE w:val="0"/>
        <w:autoSpaceDN w:val="0"/>
        <w:adjustRightInd w:val="0"/>
        <w:spacing w:line="600" w:lineRule="exact"/>
        <w:ind w:firstLineChars="200" w:firstLine="640"/>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rPr>
        <w:t>20年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日，茂县自然资源局共有车辆4辆，其中：主要领导干部用车0辆、机要通信用车0辆、应急保障用车4辆、其他用车0辆。</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万元以上通用设备0台（套），单价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万元以上专用设备0台（套）。</w:t>
      </w:r>
    </w:p>
    <w:p w:rsidR="0021334C" w:rsidRDefault="008511F3">
      <w:pPr>
        <w:spacing w:line="600" w:lineRule="exact"/>
        <w:ind w:left="643"/>
        <w:outlineLvl w:val="2"/>
        <w:rPr>
          <w:rFonts w:ascii="仿宋" w:eastAsia="仿宋" w:hAnsi="仿宋"/>
          <w:b/>
          <w:color w:val="000000"/>
          <w:sz w:val="32"/>
          <w:szCs w:val="32"/>
        </w:rPr>
      </w:pPr>
      <w:r>
        <w:rPr>
          <w:rFonts w:ascii="仿宋" w:eastAsia="仿宋" w:hAnsi="仿宋" w:hint="eastAsia"/>
          <w:b/>
          <w:color w:val="000000"/>
          <w:sz w:val="32"/>
          <w:szCs w:val="32"/>
        </w:rPr>
        <w:t>（四）预算绩效管理情况</w:t>
      </w:r>
    </w:p>
    <w:p w:rsidR="0021334C" w:rsidRDefault="008511F3">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本单位在2020年初预算编制无项目预算事前绩效评估。对12个项目编制了绩效目标，预算执行过程中，选取12个项目开展绩效监控，年终执行完毕后，对12个项目开展了绩效目标完成情况自评。</w:t>
      </w:r>
    </w:p>
    <w:p w:rsidR="0021334C" w:rsidRDefault="008511F3">
      <w:pPr>
        <w:snapToGrid w:val="0"/>
        <w:spacing w:line="520" w:lineRule="exact"/>
        <w:ind w:firstLineChars="200" w:firstLine="640"/>
        <w:rPr>
          <w:rFonts w:ascii="仿宋_GB2312" w:eastAsia="仿宋_GB2312" w:hAnsi="仿宋"/>
          <w:sz w:val="32"/>
          <w:szCs w:val="32"/>
        </w:rPr>
      </w:pPr>
      <w:r>
        <w:rPr>
          <w:rFonts w:ascii="仿宋_GB2312" w:eastAsia="仿宋_GB2312" w:hAnsi="仿宋_GB2312" w:cs="仿宋_GB2312" w:hint="eastAsia"/>
          <w:sz w:val="32"/>
          <w:szCs w:val="32"/>
        </w:rPr>
        <w:t>本单位按要求对2020年部门整体支出开展绩效自评，从评价情况来看</w:t>
      </w:r>
      <w:r>
        <w:rPr>
          <w:rFonts w:ascii="仿宋_GB2312" w:eastAsia="仿宋_GB2312" w:hAnsi="仿宋" w:hint="eastAsia"/>
          <w:sz w:val="32"/>
          <w:szCs w:val="32"/>
        </w:rPr>
        <w:t>我局</w:t>
      </w:r>
      <w:r>
        <w:rPr>
          <w:rFonts w:ascii="仿宋_GB2312" w:eastAsia="仿宋_GB2312" w:hAnsi="仿宋" w:hint="eastAsia"/>
          <w:sz w:val="32"/>
          <w:szCs w:val="32"/>
          <w:lang w:val="zh-CN"/>
        </w:rPr>
        <w:t>认真履行部门职能职责，全面保障了机关日常正常运转，圆满完成</w:t>
      </w:r>
      <w:r>
        <w:rPr>
          <w:rFonts w:ascii="仿宋_GB2312" w:eastAsia="仿宋_GB2312" w:hAnsi="仿宋" w:hint="eastAsia"/>
          <w:sz w:val="32"/>
          <w:szCs w:val="32"/>
        </w:rPr>
        <w:t>县</w:t>
      </w:r>
      <w:r>
        <w:rPr>
          <w:rFonts w:ascii="仿宋_GB2312" w:eastAsia="仿宋_GB2312" w:hAnsi="仿宋" w:hint="eastAsia"/>
          <w:sz w:val="32"/>
          <w:szCs w:val="32"/>
          <w:lang w:val="zh-CN"/>
        </w:rPr>
        <w:t>政府、</w:t>
      </w:r>
      <w:r>
        <w:rPr>
          <w:rFonts w:ascii="仿宋_GB2312" w:eastAsia="仿宋_GB2312" w:hAnsi="仿宋" w:hint="eastAsia"/>
          <w:sz w:val="32"/>
          <w:szCs w:val="32"/>
        </w:rPr>
        <w:t>县财政</w:t>
      </w:r>
      <w:r>
        <w:rPr>
          <w:rFonts w:ascii="仿宋_GB2312" w:eastAsia="仿宋_GB2312" w:hAnsi="仿宋" w:hint="eastAsia"/>
          <w:sz w:val="32"/>
          <w:szCs w:val="32"/>
          <w:lang w:val="zh-CN"/>
        </w:rPr>
        <w:t>下达的各项目标任务。</w:t>
      </w:r>
    </w:p>
    <w:p w:rsidR="0021334C" w:rsidRDefault="008511F3">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本部门未自行组织开展项目支出绩效评价。</w:t>
      </w:r>
    </w:p>
    <w:p w:rsidR="0021334C" w:rsidRDefault="0021334C">
      <w:pPr>
        <w:pStyle w:val="Default"/>
      </w:pPr>
    </w:p>
    <w:p w:rsidR="0021334C" w:rsidRDefault="008511F3">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 xml:space="preserve">1.项目绩效目标完成情况 </w:t>
      </w:r>
      <w:r>
        <w:rPr>
          <w:rFonts w:ascii="仿宋_GB2312" w:eastAsia="仿宋_GB2312" w:hAnsi="仿宋_GB2312" w:cs="仿宋_GB2312" w:hint="eastAsia"/>
          <w:sz w:val="32"/>
          <w:szCs w:val="32"/>
        </w:rPr>
        <w:t xml:space="preserve"> </w:t>
      </w:r>
    </w:p>
    <w:p w:rsidR="0021334C" w:rsidRDefault="008511F3">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本部门在2020年度部门决算中反映“避险搬迁”“群测群防专职监测”“太平乡杨柳村石桥地崩塌治理工程”等12个项目绩效目标实际完成情况。</w:t>
      </w:r>
    </w:p>
    <w:p w:rsidR="0021334C" w:rsidRDefault="008511F3">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避险搬迁项目绩效目标完成情况综述。项目全年预算数396万元，执行数为396万元，完成预算的100%。通过地质灾害避险搬迁安置工程的实施，实现保护财产安全3000余万元，保护人数300余人。各地灾隐患点搬迁农户安居乐业，受威胁农户思想稳定，充分体现党和政府对地灾防治工作的重视，以及对人民群众无微不至的关怀。避险搬迁工作对我县减少灾害的危害具有重大意义，推动了地质灾害防治工作上新的台阶，真正让受地灾威胁的群众搬得出去，住的安心。发现的主要问题：项目实施方案待优化。下一步改进措施：我们将进一步优化项目实施方案，进一步做好方</w:t>
      </w:r>
      <w:r>
        <w:rPr>
          <w:rFonts w:ascii="仿宋_GB2312" w:eastAsia="仿宋_GB2312" w:hAnsi="仿宋_GB2312" w:cs="仿宋_GB2312" w:hint="eastAsia"/>
          <w:sz w:val="32"/>
          <w:szCs w:val="32"/>
        </w:rPr>
        <w:lastRenderedPageBreak/>
        <w:t>案的可操作性，在进行项目设计时，做好相关农户的协调工作，确保项目的顺利开展，并优化项目设计方案，尽量减少后期维护内容。</w:t>
      </w:r>
    </w:p>
    <w:tbl>
      <w:tblPr>
        <w:tblpPr w:leftFromText="180" w:rightFromText="180" w:vertAnchor="text" w:horzAnchor="page" w:tblpX="1943" w:tblpY="-3509"/>
        <w:tblOverlap w:val="never"/>
        <w:tblW w:w="8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90"/>
        <w:gridCol w:w="1367"/>
        <w:gridCol w:w="1025"/>
        <w:gridCol w:w="2392"/>
        <w:gridCol w:w="2394"/>
        <w:gridCol w:w="753"/>
        <w:gridCol w:w="161"/>
      </w:tblGrid>
      <w:tr w:rsidR="0021334C">
        <w:trPr>
          <w:trHeight w:val="1034"/>
        </w:trPr>
        <w:tc>
          <w:tcPr>
            <w:tcW w:w="8482" w:type="dxa"/>
            <w:gridSpan w:val="7"/>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lastRenderedPageBreak/>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(2020年度)</w:t>
            </w:r>
          </w:p>
        </w:tc>
      </w:tr>
      <w:tr w:rsidR="0021334C">
        <w:trPr>
          <w:trHeight w:val="276"/>
        </w:trPr>
        <w:tc>
          <w:tcPr>
            <w:tcW w:w="2782" w:type="dxa"/>
            <w:gridSpan w:val="3"/>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5700" w:type="dxa"/>
            <w:gridSpan w:val="4"/>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避险搬迁</w:t>
            </w:r>
          </w:p>
        </w:tc>
      </w:tr>
      <w:tr w:rsidR="0021334C">
        <w:trPr>
          <w:trHeight w:val="276"/>
        </w:trPr>
        <w:tc>
          <w:tcPr>
            <w:tcW w:w="2782" w:type="dxa"/>
            <w:gridSpan w:val="3"/>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5700" w:type="dxa"/>
            <w:gridSpan w:val="4"/>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茂县自然资源局</w:t>
            </w:r>
          </w:p>
        </w:tc>
      </w:tr>
      <w:tr w:rsidR="0021334C">
        <w:trPr>
          <w:trHeight w:val="276"/>
        </w:trPr>
        <w:tc>
          <w:tcPr>
            <w:tcW w:w="390"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396万元</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914"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396万元</w:t>
            </w:r>
          </w:p>
        </w:tc>
      </w:tr>
      <w:tr w:rsidR="0021334C">
        <w:trPr>
          <w:trHeight w:val="276"/>
        </w:trPr>
        <w:tc>
          <w:tcPr>
            <w:tcW w:w="390" w:type="dxa"/>
            <w:vMerge/>
            <w:tcBorders>
              <w:tl2br w:val="nil"/>
              <w:tr2bl w:val="nil"/>
            </w:tcBorders>
            <w:tcMar>
              <w:top w:w="15" w:type="dxa"/>
              <w:left w:w="15" w:type="dxa"/>
              <w:right w:w="15" w:type="dxa"/>
            </w:tcMar>
            <w:vAlign w:val="center"/>
          </w:tcPr>
          <w:p w:rsidR="0021334C" w:rsidRDefault="0021334C">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396万元</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914"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396万元</w:t>
            </w:r>
          </w:p>
        </w:tc>
      </w:tr>
      <w:tr w:rsidR="0021334C">
        <w:trPr>
          <w:trHeight w:val="1511"/>
        </w:trPr>
        <w:tc>
          <w:tcPr>
            <w:tcW w:w="390" w:type="dxa"/>
            <w:vMerge/>
            <w:tcBorders>
              <w:tl2br w:val="nil"/>
              <w:tr2bl w:val="nil"/>
            </w:tcBorders>
            <w:tcMar>
              <w:top w:w="15" w:type="dxa"/>
              <w:left w:w="15" w:type="dxa"/>
              <w:right w:w="15" w:type="dxa"/>
            </w:tcMar>
            <w:vAlign w:val="center"/>
          </w:tcPr>
          <w:p w:rsidR="0021334C" w:rsidRDefault="0021334C">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914" w:type="dxa"/>
            <w:gridSpan w:val="2"/>
            <w:tcBorders>
              <w:tl2br w:val="nil"/>
              <w:tr2bl w:val="nil"/>
            </w:tcBorders>
            <w:tcMar>
              <w:top w:w="15" w:type="dxa"/>
              <w:left w:w="15" w:type="dxa"/>
              <w:right w:w="15" w:type="dxa"/>
            </w:tcMar>
            <w:vAlign w:val="center"/>
          </w:tcPr>
          <w:p w:rsidR="0021334C" w:rsidRDefault="0021334C">
            <w:pPr>
              <w:jc w:val="center"/>
              <w:rPr>
                <w:rFonts w:ascii="宋体" w:hAnsi="宋体" w:cs="宋体"/>
                <w:color w:val="000000"/>
                <w:sz w:val="24"/>
              </w:rPr>
            </w:pPr>
          </w:p>
        </w:tc>
      </w:tr>
      <w:tr w:rsidR="0021334C">
        <w:trPr>
          <w:trHeight w:val="276"/>
        </w:trPr>
        <w:tc>
          <w:tcPr>
            <w:tcW w:w="390"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 xml:space="preserve">年度目标完成   情况   </w:t>
            </w:r>
          </w:p>
        </w:tc>
        <w:tc>
          <w:tcPr>
            <w:tcW w:w="4784" w:type="dxa"/>
            <w:gridSpan w:val="3"/>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3308" w:type="dxa"/>
            <w:gridSpan w:val="3"/>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21334C">
        <w:trPr>
          <w:trHeight w:val="1159"/>
        </w:trPr>
        <w:tc>
          <w:tcPr>
            <w:tcW w:w="390" w:type="dxa"/>
            <w:vMerge/>
            <w:tcBorders>
              <w:tl2br w:val="nil"/>
              <w:tr2bl w:val="nil"/>
            </w:tcBorders>
            <w:tcMar>
              <w:top w:w="15" w:type="dxa"/>
              <w:left w:w="15" w:type="dxa"/>
              <w:right w:w="15" w:type="dxa"/>
            </w:tcMar>
            <w:vAlign w:val="center"/>
          </w:tcPr>
          <w:p w:rsidR="0021334C" w:rsidRDefault="0021334C">
            <w:pPr>
              <w:jc w:val="center"/>
              <w:rPr>
                <w:rFonts w:ascii="宋体" w:hAnsi="宋体" w:cs="宋体"/>
                <w:color w:val="000000"/>
                <w:sz w:val="24"/>
              </w:rPr>
            </w:pPr>
          </w:p>
        </w:tc>
        <w:tc>
          <w:tcPr>
            <w:tcW w:w="4784" w:type="dxa"/>
            <w:gridSpan w:val="3"/>
            <w:tcBorders>
              <w:tl2br w:val="nil"/>
              <w:tr2bl w:val="nil"/>
            </w:tcBorders>
            <w:tcMar>
              <w:top w:w="15" w:type="dxa"/>
              <w:left w:w="15" w:type="dxa"/>
              <w:right w:w="15" w:type="dxa"/>
            </w:tcMar>
            <w:vAlign w:val="center"/>
          </w:tcPr>
          <w:p w:rsidR="0021334C" w:rsidRDefault="008511F3">
            <w:pPr>
              <w:widowControl/>
              <w:jc w:val="left"/>
              <w:textAlignment w:val="center"/>
              <w:rPr>
                <w:rFonts w:ascii="宋体" w:hAnsi="宋体" w:cs="宋体"/>
                <w:color w:val="000000"/>
                <w:sz w:val="24"/>
              </w:rPr>
            </w:pPr>
            <w:r>
              <w:rPr>
                <w:rFonts w:ascii="宋体" w:hAnsi="宋体" w:cs="宋体" w:hint="eastAsia"/>
                <w:color w:val="000000"/>
                <w:sz w:val="24"/>
              </w:rPr>
              <w:t>1.年底完成该项目的施工；2.年底完成该项目的质量验收和审计；3.年底完成该项目的除质保金的资金拨付。</w:t>
            </w:r>
          </w:p>
        </w:tc>
        <w:tc>
          <w:tcPr>
            <w:tcW w:w="3308" w:type="dxa"/>
            <w:gridSpan w:val="3"/>
            <w:tcBorders>
              <w:tl2br w:val="nil"/>
              <w:tr2bl w:val="nil"/>
            </w:tcBorders>
            <w:tcMar>
              <w:top w:w="15" w:type="dxa"/>
              <w:left w:w="15" w:type="dxa"/>
              <w:right w:w="15" w:type="dxa"/>
            </w:tcMar>
            <w:vAlign w:val="center"/>
          </w:tcPr>
          <w:p w:rsidR="0021334C" w:rsidRDefault="008511F3">
            <w:pPr>
              <w:widowControl/>
              <w:jc w:val="left"/>
              <w:textAlignment w:val="center"/>
              <w:rPr>
                <w:rFonts w:ascii="宋体" w:hAnsi="宋体" w:cs="宋体"/>
                <w:color w:val="000000"/>
                <w:sz w:val="24"/>
              </w:rPr>
            </w:pPr>
            <w:r>
              <w:rPr>
                <w:rFonts w:ascii="宋体" w:hAnsi="宋体" w:cs="宋体" w:hint="eastAsia"/>
                <w:color w:val="000000"/>
                <w:sz w:val="24"/>
              </w:rPr>
              <w:t>1.完成了该项目的施工；2.完成了该项目的质量验收和审计；3完成了该项目的除质保金的资金拨付。</w:t>
            </w:r>
          </w:p>
        </w:tc>
      </w:tr>
      <w:tr w:rsidR="0021334C">
        <w:trPr>
          <w:trHeight w:val="1042"/>
        </w:trPr>
        <w:tc>
          <w:tcPr>
            <w:tcW w:w="390"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预期指标值</w:t>
            </w:r>
          </w:p>
        </w:tc>
        <w:tc>
          <w:tcPr>
            <w:tcW w:w="914"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w:t>
            </w:r>
          </w:p>
        </w:tc>
      </w:tr>
      <w:tr w:rsidR="0021334C">
        <w:trPr>
          <w:trHeight w:val="953"/>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l2br w:val="nil"/>
              <w:tr2bl w:val="nil"/>
            </w:tcBorders>
            <w:tcMar>
              <w:top w:w="15" w:type="dxa"/>
              <w:left w:w="15" w:type="dxa"/>
              <w:right w:w="15" w:type="dxa"/>
            </w:tcMar>
            <w:vAlign w:val="center"/>
          </w:tcPr>
          <w:p w:rsidR="0021334C" w:rsidRDefault="008511F3">
            <w:pPr>
              <w:widowControl/>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c>
          <w:tcPr>
            <w:tcW w:w="914"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r>
      <w:tr w:rsidR="0021334C">
        <w:trPr>
          <w:trHeight w:val="1297"/>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质量指标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c>
          <w:tcPr>
            <w:tcW w:w="914"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r>
      <w:tr w:rsidR="0021334C">
        <w:trPr>
          <w:trHeight w:val="1042"/>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时效指标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于2020年11月30日前完成该项目的施工</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c>
          <w:tcPr>
            <w:tcW w:w="914"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r>
      <w:tr w:rsidR="0021334C">
        <w:trPr>
          <w:trHeight w:val="1042"/>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kern w:val="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成本指标</w:t>
            </w:r>
          </w:p>
          <w:p w:rsidR="0021334C" w:rsidRDefault="0021334C">
            <w:pPr>
              <w:widowControl/>
              <w:jc w:val="center"/>
              <w:textAlignment w:val="center"/>
              <w:rPr>
                <w:rFonts w:ascii="宋体" w:hAnsi="宋体" w:cs="宋体"/>
                <w:color w:val="000000"/>
                <w:sz w:val="24"/>
              </w:rPr>
            </w:pP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成本控制均参照相关财评结果</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成本控制均参照相关财评结果完成100%</w:t>
            </w:r>
          </w:p>
        </w:tc>
        <w:tc>
          <w:tcPr>
            <w:tcW w:w="914"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成本控制均参照相关财评结果完成100%</w:t>
            </w:r>
          </w:p>
        </w:tc>
      </w:tr>
      <w:tr w:rsidR="0021334C">
        <w:trPr>
          <w:trHeight w:val="1042"/>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经济效益</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达到对地质灾害的防灾减灾，达到绿化生态建设</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914"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042"/>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社会效益</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达到对地质灾害的防灾减灾，达到绿化生态建设</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914"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042"/>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生态效益</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对生态环境创造良好的条件</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914"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297"/>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可持续影响指标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遏制环境的恶化，积极推进人与自然和谐相处</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914"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gridAfter w:val="1"/>
          <w:wAfter w:w="161" w:type="dxa"/>
          <w:trHeight w:val="1297"/>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服务对象</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满意度指标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针对保护或受益对象的满意评价打分</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达到90分</w:t>
            </w:r>
          </w:p>
        </w:tc>
        <w:tc>
          <w:tcPr>
            <w:tcW w:w="753"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达到90分</w:t>
            </w:r>
          </w:p>
        </w:tc>
      </w:tr>
    </w:tbl>
    <w:p w:rsidR="0021334C" w:rsidRDefault="0021334C">
      <w:pPr>
        <w:spacing w:line="560" w:lineRule="exact"/>
        <w:rPr>
          <w:rFonts w:ascii="仿宋" w:eastAsia="仿宋" w:hAnsi="Calibri" w:cs="仿宋"/>
          <w:color w:val="000000"/>
          <w:kern w:val="0"/>
          <w:sz w:val="24"/>
        </w:rPr>
      </w:pPr>
    </w:p>
    <w:p w:rsidR="0021334C" w:rsidRDefault="008511F3">
      <w:pPr>
        <w:spacing w:line="560" w:lineRule="exact"/>
        <w:ind w:firstLineChars="200" w:firstLine="640"/>
        <w:rPr>
          <w:rFonts w:ascii="仿宋_GB2312" w:eastAsia="仿宋_GB2312" w:hAnsi="仿宋_GB2312" w:cs="仿宋_GB2312"/>
          <w:sz w:val="32"/>
          <w:szCs w:val="32"/>
        </w:rPr>
      </w:pPr>
      <w:r>
        <w:rPr>
          <w:rFonts w:ascii="仿宋_GB2312" w:eastAsia="仿宋_GB2312" w:hAnsi="楷体_GB2312" w:cs="楷体_GB2312" w:hint="eastAsia"/>
          <w:sz w:val="32"/>
          <w:szCs w:val="32"/>
        </w:rPr>
        <w:t>（2）</w:t>
      </w:r>
      <w:r>
        <w:rPr>
          <w:rFonts w:ascii="仿宋_GB2312" w:eastAsia="仿宋_GB2312" w:hAnsi="仿宋_GB2312" w:cs="仿宋_GB2312" w:hint="eastAsia"/>
          <w:sz w:val="32"/>
          <w:szCs w:val="32"/>
        </w:rPr>
        <w:t>群测群防专职监测项目绩效目标完成情况综述。项目全年预算数300.6万元，执行数为300.6万元，完成预算的100%。2020年，茂县共有1296处地质灾害隐患点，其中滑坡499处，崩塌269处，不稳定斜坡343处，泥石流184处，地面塌陷1处。通过项目实施，全力做好汛期监测预警工作，充分发挥我县群测群防体系作用，完善群测群防员的管理与保障。发现的主要问题：项目实施方案待优化。下一步改进措施：我们将进一步优化项目实施方案，进一步做好方案的可操作性，在进行项目设计时，做好相关农户的协调工作，确保项目的顺利开展，并优化项目设计方案，尽量减少后期维护内容。</w:t>
      </w:r>
    </w:p>
    <w:p w:rsidR="0021334C" w:rsidRDefault="0021334C">
      <w:pPr>
        <w:pStyle w:val="Default"/>
      </w:pPr>
    </w:p>
    <w:tbl>
      <w:tblPr>
        <w:tblpPr w:leftFromText="180" w:rightFromText="180" w:vertAnchor="text" w:horzAnchor="page" w:tblpXSpec="center" w:tblpY="423"/>
        <w:tblOverlap w:val="neve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90"/>
        <w:gridCol w:w="1367"/>
        <w:gridCol w:w="1025"/>
        <w:gridCol w:w="2392"/>
        <w:gridCol w:w="2394"/>
        <w:gridCol w:w="1661"/>
      </w:tblGrid>
      <w:tr w:rsidR="0021334C">
        <w:trPr>
          <w:trHeight w:val="1034"/>
          <w:jc w:val="center"/>
        </w:trPr>
        <w:tc>
          <w:tcPr>
            <w:tcW w:w="9229" w:type="dxa"/>
            <w:gridSpan w:val="6"/>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(2020年度)</w:t>
            </w:r>
          </w:p>
        </w:tc>
      </w:tr>
      <w:tr w:rsidR="0021334C">
        <w:trPr>
          <w:trHeight w:val="276"/>
          <w:jc w:val="center"/>
        </w:trPr>
        <w:tc>
          <w:tcPr>
            <w:tcW w:w="2782" w:type="dxa"/>
            <w:gridSpan w:val="3"/>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6447" w:type="dxa"/>
            <w:gridSpan w:val="3"/>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群测群防专职监测</w:t>
            </w:r>
          </w:p>
        </w:tc>
      </w:tr>
      <w:tr w:rsidR="0021334C">
        <w:trPr>
          <w:trHeight w:val="276"/>
          <w:jc w:val="center"/>
        </w:trPr>
        <w:tc>
          <w:tcPr>
            <w:tcW w:w="2782" w:type="dxa"/>
            <w:gridSpan w:val="3"/>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预算单位</w:t>
            </w:r>
          </w:p>
        </w:tc>
        <w:tc>
          <w:tcPr>
            <w:tcW w:w="6447" w:type="dxa"/>
            <w:gridSpan w:val="3"/>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茂县自然资源局</w:t>
            </w:r>
          </w:p>
        </w:tc>
      </w:tr>
      <w:tr w:rsidR="0021334C">
        <w:trPr>
          <w:trHeight w:val="276"/>
          <w:jc w:val="center"/>
        </w:trPr>
        <w:tc>
          <w:tcPr>
            <w:tcW w:w="390"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300.6万元</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1661"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300.6万元</w:t>
            </w:r>
          </w:p>
        </w:tc>
      </w:tr>
      <w:tr w:rsidR="0021334C">
        <w:trPr>
          <w:trHeight w:val="276"/>
          <w:jc w:val="center"/>
        </w:trPr>
        <w:tc>
          <w:tcPr>
            <w:tcW w:w="390" w:type="dxa"/>
            <w:vMerge/>
            <w:tcBorders>
              <w:tl2br w:val="nil"/>
              <w:tr2bl w:val="nil"/>
            </w:tcBorders>
            <w:tcMar>
              <w:top w:w="15" w:type="dxa"/>
              <w:left w:w="15" w:type="dxa"/>
              <w:right w:w="15" w:type="dxa"/>
            </w:tcMar>
            <w:vAlign w:val="center"/>
          </w:tcPr>
          <w:p w:rsidR="0021334C" w:rsidRDefault="0021334C">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300.6万元</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1661"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300.6万元</w:t>
            </w:r>
          </w:p>
        </w:tc>
      </w:tr>
      <w:tr w:rsidR="0021334C">
        <w:trPr>
          <w:trHeight w:val="1511"/>
          <w:jc w:val="center"/>
        </w:trPr>
        <w:tc>
          <w:tcPr>
            <w:tcW w:w="390" w:type="dxa"/>
            <w:vMerge/>
            <w:tcBorders>
              <w:tl2br w:val="nil"/>
              <w:tr2bl w:val="nil"/>
            </w:tcBorders>
            <w:tcMar>
              <w:top w:w="15" w:type="dxa"/>
              <w:left w:w="15" w:type="dxa"/>
              <w:right w:w="15" w:type="dxa"/>
            </w:tcMar>
            <w:vAlign w:val="center"/>
          </w:tcPr>
          <w:p w:rsidR="0021334C" w:rsidRDefault="0021334C">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1661" w:type="dxa"/>
            <w:tcBorders>
              <w:tl2br w:val="nil"/>
              <w:tr2bl w:val="nil"/>
            </w:tcBorders>
            <w:tcMar>
              <w:top w:w="15" w:type="dxa"/>
              <w:left w:w="15" w:type="dxa"/>
              <w:right w:w="15" w:type="dxa"/>
            </w:tcMar>
            <w:vAlign w:val="center"/>
          </w:tcPr>
          <w:p w:rsidR="0021334C" w:rsidRDefault="0021334C">
            <w:pPr>
              <w:jc w:val="center"/>
              <w:rPr>
                <w:rFonts w:ascii="宋体" w:hAnsi="宋体" w:cs="宋体"/>
                <w:color w:val="000000"/>
                <w:sz w:val="24"/>
              </w:rPr>
            </w:pPr>
          </w:p>
        </w:tc>
      </w:tr>
      <w:tr w:rsidR="0021334C">
        <w:trPr>
          <w:trHeight w:val="276"/>
          <w:jc w:val="center"/>
        </w:trPr>
        <w:tc>
          <w:tcPr>
            <w:tcW w:w="390"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 xml:space="preserve">年度目标完成   情况   </w:t>
            </w:r>
          </w:p>
        </w:tc>
        <w:tc>
          <w:tcPr>
            <w:tcW w:w="4784" w:type="dxa"/>
            <w:gridSpan w:val="3"/>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055"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21334C">
        <w:trPr>
          <w:trHeight w:val="1159"/>
          <w:jc w:val="center"/>
        </w:trPr>
        <w:tc>
          <w:tcPr>
            <w:tcW w:w="390" w:type="dxa"/>
            <w:vMerge/>
            <w:tcBorders>
              <w:tl2br w:val="nil"/>
              <w:tr2bl w:val="nil"/>
            </w:tcBorders>
            <w:tcMar>
              <w:top w:w="15" w:type="dxa"/>
              <w:left w:w="15" w:type="dxa"/>
              <w:right w:w="15" w:type="dxa"/>
            </w:tcMar>
            <w:vAlign w:val="center"/>
          </w:tcPr>
          <w:p w:rsidR="0021334C" w:rsidRDefault="0021334C">
            <w:pPr>
              <w:jc w:val="center"/>
              <w:rPr>
                <w:rFonts w:ascii="宋体" w:hAnsi="宋体" w:cs="宋体"/>
                <w:color w:val="000000"/>
                <w:sz w:val="24"/>
              </w:rPr>
            </w:pPr>
          </w:p>
        </w:tc>
        <w:tc>
          <w:tcPr>
            <w:tcW w:w="4784" w:type="dxa"/>
            <w:gridSpan w:val="3"/>
            <w:tcBorders>
              <w:tl2br w:val="nil"/>
              <w:tr2bl w:val="nil"/>
            </w:tcBorders>
            <w:tcMar>
              <w:top w:w="15" w:type="dxa"/>
              <w:left w:w="15" w:type="dxa"/>
              <w:right w:w="15" w:type="dxa"/>
            </w:tcMar>
            <w:vAlign w:val="center"/>
          </w:tcPr>
          <w:p w:rsidR="0021334C" w:rsidRDefault="008511F3">
            <w:pPr>
              <w:widowControl/>
              <w:jc w:val="left"/>
              <w:textAlignment w:val="center"/>
              <w:rPr>
                <w:rFonts w:ascii="宋体" w:hAnsi="宋体" w:cs="宋体"/>
                <w:color w:val="000000"/>
                <w:sz w:val="24"/>
              </w:rPr>
            </w:pPr>
            <w:r>
              <w:rPr>
                <w:rFonts w:ascii="宋体" w:hAnsi="宋体" w:cs="宋体" w:hint="eastAsia"/>
                <w:color w:val="000000"/>
                <w:sz w:val="24"/>
              </w:rPr>
              <w:t>1.年底完成该项目的施工；2.年底完成该项目的质量验收和审计；3.年底完成该项目的除质保金的资金拨付。</w:t>
            </w:r>
          </w:p>
        </w:tc>
        <w:tc>
          <w:tcPr>
            <w:tcW w:w="4055" w:type="dxa"/>
            <w:gridSpan w:val="2"/>
            <w:tcBorders>
              <w:tl2br w:val="nil"/>
              <w:tr2bl w:val="nil"/>
            </w:tcBorders>
            <w:tcMar>
              <w:top w:w="15" w:type="dxa"/>
              <w:left w:w="15" w:type="dxa"/>
              <w:right w:w="15" w:type="dxa"/>
            </w:tcMar>
            <w:vAlign w:val="center"/>
          </w:tcPr>
          <w:p w:rsidR="0021334C" w:rsidRDefault="008511F3">
            <w:pPr>
              <w:widowControl/>
              <w:jc w:val="left"/>
              <w:textAlignment w:val="center"/>
              <w:rPr>
                <w:rFonts w:ascii="宋体" w:hAnsi="宋体" w:cs="宋体"/>
                <w:color w:val="000000"/>
                <w:sz w:val="24"/>
              </w:rPr>
            </w:pPr>
            <w:r>
              <w:rPr>
                <w:rFonts w:ascii="宋体" w:hAnsi="宋体" w:cs="宋体" w:hint="eastAsia"/>
                <w:color w:val="000000"/>
                <w:sz w:val="24"/>
              </w:rPr>
              <w:t>1.完成了该项目的施工；2.完成了该项目的质量验收和审计；3完成了该项目的资金拨付。</w:t>
            </w:r>
          </w:p>
        </w:tc>
      </w:tr>
      <w:tr w:rsidR="0021334C">
        <w:trPr>
          <w:trHeight w:val="1042"/>
          <w:jc w:val="center"/>
        </w:trPr>
        <w:tc>
          <w:tcPr>
            <w:tcW w:w="390" w:type="dxa"/>
            <w:vMerge w:val="restart"/>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预期指标值</w:t>
            </w:r>
          </w:p>
        </w:tc>
        <w:tc>
          <w:tcPr>
            <w:tcW w:w="1661"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w:t>
            </w:r>
          </w:p>
        </w:tc>
      </w:tr>
      <w:tr w:rsidR="0021334C">
        <w:trPr>
          <w:trHeight w:val="953"/>
          <w:jc w:val="center"/>
        </w:trPr>
        <w:tc>
          <w:tcPr>
            <w:tcW w:w="390" w:type="dxa"/>
            <w:vMerge/>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val="restart"/>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Mar>
              <w:top w:w="15" w:type="dxa"/>
              <w:left w:w="15" w:type="dxa"/>
              <w:right w:w="15" w:type="dxa"/>
            </w:tcMar>
            <w:vAlign w:val="center"/>
          </w:tcPr>
          <w:p w:rsidR="0021334C" w:rsidRDefault="008511F3">
            <w:pPr>
              <w:widowControl/>
              <w:textAlignment w:val="center"/>
              <w:rPr>
                <w:rFonts w:ascii="宋体" w:hAnsi="宋体" w:cs="宋体"/>
                <w:color w:val="000000"/>
                <w:sz w:val="24"/>
              </w:rPr>
            </w:pPr>
            <w:r>
              <w:rPr>
                <w:rFonts w:ascii="宋体" w:hAnsi="宋体" w:cs="宋体" w:hint="eastAsia"/>
                <w:color w:val="000000"/>
                <w:sz w:val="24"/>
              </w:rPr>
              <w:t>数量指标</w:t>
            </w:r>
          </w:p>
        </w:tc>
        <w:tc>
          <w:tcPr>
            <w:tcW w:w="2392"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w:t>
            </w:r>
          </w:p>
        </w:tc>
        <w:tc>
          <w:tcPr>
            <w:tcW w:w="2394"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c>
          <w:tcPr>
            <w:tcW w:w="1661"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r>
      <w:tr w:rsidR="0021334C">
        <w:trPr>
          <w:trHeight w:val="1297"/>
          <w:jc w:val="center"/>
        </w:trPr>
        <w:tc>
          <w:tcPr>
            <w:tcW w:w="390" w:type="dxa"/>
            <w:vMerge/>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质量指标</w:t>
            </w:r>
          </w:p>
        </w:tc>
        <w:tc>
          <w:tcPr>
            <w:tcW w:w="2392"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w:t>
            </w:r>
          </w:p>
        </w:tc>
        <w:tc>
          <w:tcPr>
            <w:tcW w:w="2394"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c>
          <w:tcPr>
            <w:tcW w:w="1661"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r>
      <w:tr w:rsidR="0021334C">
        <w:trPr>
          <w:trHeight w:val="1042"/>
          <w:jc w:val="center"/>
        </w:trPr>
        <w:tc>
          <w:tcPr>
            <w:tcW w:w="390" w:type="dxa"/>
            <w:vMerge/>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时效指标</w:t>
            </w:r>
          </w:p>
        </w:tc>
        <w:tc>
          <w:tcPr>
            <w:tcW w:w="2392"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于2020年11月30日前完成该项目的施工</w:t>
            </w:r>
          </w:p>
        </w:tc>
        <w:tc>
          <w:tcPr>
            <w:tcW w:w="2394"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c>
          <w:tcPr>
            <w:tcW w:w="1661"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r>
      <w:tr w:rsidR="0021334C">
        <w:trPr>
          <w:trHeight w:val="1042"/>
          <w:jc w:val="center"/>
        </w:trPr>
        <w:tc>
          <w:tcPr>
            <w:tcW w:w="390" w:type="dxa"/>
            <w:vMerge/>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Mar>
              <w:top w:w="15" w:type="dxa"/>
              <w:left w:w="15" w:type="dxa"/>
              <w:right w:w="15" w:type="dxa"/>
            </w:tcMar>
            <w:vAlign w:val="center"/>
          </w:tcPr>
          <w:p w:rsidR="0021334C" w:rsidRDefault="0021334C">
            <w:pPr>
              <w:widowControl/>
              <w:jc w:val="center"/>
              <w:textAlignment w:val="center"/>
              <w:rPr>
                <w:rFonts w:ascii="宋体" w:hAnsi="宋体" w:cs="宋体"/>
                <w:color w:val="000000"/>
                <w:kern w:val="0"/>
                <w:sz w:val="24"/>
              </w:rPr>
            </w:pPr>
          </w:p>
        </w:tc>
        <w:tc>
          <w:tcPr>
            <w:tcW w:w="1025"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成本指标</w:t>
            </w:r>
          </w:p>
          <w:p w:rsidR="0021334C" w:rsidRDefault="0021334C">
            <w:pPr>
              <w:widowControl/>
              <w:jc w:val="center"/>
              <w:textAlignment w:val="center"/>
              <w:rPr>
                <w:rFonts w:ascii="宋体" w:hAnsi="宋体" w:cs="宋体"/>
                <w:color w:val="000000"/>
                <w:sz w:val="24"/>
              </w:rPr>
            </w:pPr>
          </w:p>
        </w:tc>
        <w:tc>
          <w:tcPr>
            <w:tcW w:w="2392"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成本控制均参照相关财评结果</w:t>
            </w:r>
          </w:p>
        </w:tc>
        <w:tc>
          <w:tcPr>
            <w:tcW w:w="2394"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成本控制均参照相关财评结果完成100%</w:t>
            </w:r>
          </w:p>
        </w:tc>
        <w:tc>
          <w:tcPr>
            <w:tcW w:w="1661"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成本控制均参照相关财评结果完成100%</w:t>
            </w:r>
          </w:p>
        </w:tc>
      </w:tr>
      <w:tr w:rsidR="0021334C">
        <w:trPr>
          <w:trHeight w:val="1042"/>
          <w:jc w:val="center"/>
        </w:trPr>
        <w:tc>
          <w:tcPr>
            <w:tcW w:w="390" w:type="dxa"/>
            <w:vMerge/>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val="restart"/>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经济效益</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项目投资和效益比低于1：6</w:t>
            </w:r>
          </w:p>
        </w:tc>
        <w:tc>
          <w:tcPr>
            <w:tcW w:w="2394"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1661"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042"/>
          <w:jc w:val="center"/>
        </w:trPr>
        <w:tc>
          <w:tcPr>
            <w:tcW w:w="390" w:type="dxa"/>
            <w:vMerge/>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社会效益</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达到对地质灾害的防灾减灾，达到绿化生态建设</w:t>
            </w:r>
          </w:p>
        </w:tc>
        <w:tc>
          <w:tcPr>
            <w:tcW w:w="2394"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1661"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042"/>
          <w:jc w:val="center"/>
        </w:trPr>
        <w:tc>
          <w:tcPr>
            <w:tcW w:w="390" w:type="dxa"/>
            <w:vMerge/>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生态效益</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对生态环境创造良好的条件</w:t>
            </w:r>
          </w:p>
        </w:tc>
        <w:tc>
          <w:tcPr>
            <w:tcW w:w="2394"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1661"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297"/>
          <w:jc w:val="center"/>
        </w:trPr>
        <w:tc>
          <w:tcPr>
            <w:tcW w:w="390" w:type="dxa"/>
            <w:vMerge/>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可持续影响指标</w:t>
            </w:r>
          </w:p>
        </w:tc>
        <w:tc>
          <w:tcPr>
            <w:tcW w:w="2392"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遏制环境的恶化，积极推进人与自然和谐相处</w:t>
            </w:r>
          </w:p>
        </w:tc>
        <w:tc>
          <w:tcPr>
            <w:tcW w:w="2394"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1661"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297"/>
          <w:jc w:val="center"/>
        </w:trPr>
        <w:tc>
          <w:tcPr>
            <w:tcW w:w="390" w:type="dxa"/>
            <w:vMerge/>
            <w:tcBorders>
              <w:bottom w:val="single" w:sz="4" w:space="0" w:color="auto"/>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tcBorders>
              <w:bottom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bottom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服务对象</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满意度指标</w:t>
            </w:r>
          </w:p>
        </w:tc>
        <w:tc>
          <w:tcPr>
            <w:tcW w:w="2392" w:type="dxa"/>
            <w:tcBorders>
              <w:bottom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针对保护或受益对象的满意评价打分</w:t>
            </w:r>
          </w:p>
        </w:tc>
        <w:tc>
          <w:tcPr>
            <w:tcW w:w="2394" w:type="dxa"/>
            <w:tcBorders>
              <w:bottom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达到90分</w:t>
            </w:r>
          </w:p>
        </w:tc>
        <w:tc>
          <w:tcPr>
            <w:tcW w:w="1661" w:type="dxa"/>
            <w:tcBorders>
              <w:bottom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完成90分</w:t>
            </w:r>
          </w:p>
        </w:tc>
      </w:tr>
    </w:tbl>
    <w:p w:rsidR="0021334C" w:rsidRDefault="0021334C">
      <w:pPr>
        <w:tabs>
          <w:tab w:val="left" w:pos="312"/>
        </w:tabs>
        <w:rPr>
          <w:rFonts w:ascii="仿宋" w:eastAsia="仿宋" w:hAnsi="Calibri" w:cs="仿宋"/>
          <w:color w:val="000000"/>
          <w:kern w:val="0"/>
          <w:sz w:val="24"/>
        </w:rPr>
      </w:pPr>
    </w:p>
    <w:p w:rsidR="0021334C" w:rsidRDefault="008511F3">
      <w:pPr>
        <w:spacing w:line="56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3）太平乡杨柳村石桥地崩塌治理工程项目绩效目标完成情况综述。项目全年预算数161.66万元，执行数为161.66万元，完成预算的100%。通过项目完成及时有效，效果显著，工程治理区群众生命财产安全保障有所提高，皆达到目标值项目建成，群众满意度较高，实现保护财产安全400余万元，保护人数48人。发现的主要问题：项目实施方案待优化。下一步改进措施：我们将进一步优化项目实施方案，进一步做好方案的可操作性，在进行项目设计时，做好相关农户的协调工作，确保项目的顺利开展，并优化项目设计方案，尽量减少后期维护内容。</w:t>
      </w:r>
    </w:p>
    <w:p w:rsidR="0021334C" w:rsidRDefault="0021334C">
      <w:pPr>
        <w:pStyle w:val="Default"/>
      </w:pPr>
    </w:p>
    <w:tbl>
      <w:tblPr>
        <w:tblpPr w:leftFromText="180" w:rightFromText="180" w:vertAnchor="text" w:horzAnchor="page" w:tblpXSpec="center" w:tblpY="423"/>
        <w:tblOverlap w:val="never"/>
        <w:tblW w:w="9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90"/>
        <w:gridCol w:w="1367"/>
        <w:gridCol w:w="1025"/>
        <w:gridCol w:w="2392"/>
        <w:gridCol w:w="2394"/>
        <w:gridCol w:w="1945"/>
      </w:tblGrid>
      <w:tr w:rsidR="0021334C">
        <w:trPr>
          <w:trHeight w:val="1034"/>
          <w:jc w:val="center"/>
        </w:trPr>
        <w:tc>
          <w:tcPr>
            <w:tcW w:w="9513" w:type="dxa"/>
            <w:gridSpan w:val="6"/>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(2020年度)</w:t>
            </w:r>
          </w:p>
        </w:tc>
      </w:tr>
      <w:tr w:rsidR="0021334C">
        <w:trPr>
          <w:trHeight w:val="276"/>
          <w:jc w:val="center"/>
        </w:trPr>
        <w:tc>
          <w:tcPr>
            <w:tcW w:w="2782" w:type="dxa"/>
            <w:gridSpan w:val="3"/>
            <w:tcBorders>
              <w:top w:val="single" w:sz="4" w:space="0" w:color="auto"/>
              <w:lef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6731" w:type="dxa"/>
            <w:gridSpan w:val="3"/>
            <w:tcBorders>
              <w:top w:val="single" w:sz="4" w:space="0" w:color="auto"/>
              <w:righ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太平乡杨柳村石桥地崩塌治理工程</w:t>
            </w:r>
          </w:p>
        </w:tc>
      </w:tr>
      <w:tr w:rsidR="0021334C">
        <w:trPr>
          <w:trHeight w:val="276"/>
          <w:jc w:val="center"/>
        </w:trPr>
        <w:tc>
          <w:tcPr>
            <w:tcW w:w="2782" w:type="dxa"/>
            <w:gridSpan w:val="3"/>
            <w:tcBorders>
              <w:lef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6731" w:type="dxa"/>
            <w:gridSpan w:val="3"/>
            <w:tcBorders>
              <w:righ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茂县自然资源局</w:t>
            </w:r>
          </w:p>
        </w:tc>
      </w:tr>
      <w:tr w:rsidR="0021334C">
        <w:trPr>
          <w:trHeight w:val="276"/>
          <w:jc w:val="center"/>
        </w:trPr>
        <w:tc>
          <w:tcPr>
            <w:tcW w:w="390" w:type="dxa"/>
            <w:vMerge w:val="restart"/>
            <w:tcBorders>
              <w:lef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预算</w:t>
            </w:r>
            <w:r>
              <w:rPr>
                <w:rFonts w:ascii="宋体" w:hAnsi="宋体" w:cs="宋体" w:hint="eastAsia"/>
                <w:color w:val="000000"/>
                <w:kern w:val="0"/>
                <w:sz w:val="24"/>
              </w:rPr>
              <w:lastRenderedPageBreak/>
              <w:t>执行情况(万元)</w:t>
            </w:r>
          </w:p>
        </w:tc>
        <w:tc>
          <w:tcPr>
            <w:tcW w:w="2392" w:type="dxa"/>
            <w:gridSpan w:val="2"/>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预算数:</w:t>
            </w:r>
          </w:p>
        </w:tc>
        <w:tc>
          <w:tcPr>
            <w:tcW w:w="2392"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161.66万元</w:t>
            </w:r>
          </w:p>
        </w:tc>
        <w:tc>
          <w:tcPr>
            <w:tcW w:w="2394"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1945" w:type="dxa"/>
            <w:tcBorders>
              <w:righ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161.66万元</w:t>
            </w:r>
          </w:p>
        </w:tc>
      </w:tr>
      <w:tr w:rsidR="0021334C">
        <w:trPr>
          <w:trHeight w:val="276"/>
          <w:jc w:val="center"/>
        </w:trPr>
        <w:tc>
          <w:tcPr>
            <w:tcW w:w="390" w:type="dxa"/>
            <w:vMerge/>
            <w:tcBorders>
              <w:left w:val="single" w:sz="4" w:space="0" w:color="auto"/>
            </w:tcBorders>
            <w:tcMar>
              <w:top w:w="15" w:type="dxa"/>
              <w:left w:w="15" w:type="dxa"/>
              <w:right w:w="15" w:type="dxa"/>
            </w:tcMar>
            <w:vAlign w:val="center"/>
          </w:tcPr>
          <w:p w:rsidR="0021334C" w:rsidRDefault="0021334C">
            <w:pPr>
              <w:jc w:val="center"/>
              <w:rPr>
                <w:rFonts w:ascii="宋体" w:hAnsi="宋体" w:cs="宋体"/>
                <w:color w:val="000000"/>
                <w:sz w:val="24"/>
              </w:rPr>
            </w:pPr>
          </w:p>
        </w:tc>
        <w:tc>
          <w:tcPr>
            <w:tcW w:w="2392" w:type="dxa"/>
            <w:gridSpan w:val="2"/>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161.66万元</w:t>
            </w:r>
          </w:p>
        </w:tc>
        <w:tc>
          <w:tcPr>
            <w:tcW w:w="2394"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161.66万元</w:t>
            </w:r>
          </w:p>
        </w:tc>
      </w:tr>
      <w:tr w:rsidR="0021334C">
        <w:trPr>
          <w:trHeight w:val="1511"/>
          <w:jc w:val="center"/>
        </w:trPr>
        <w:tc>
          <w:tcPr>
            <w:tcW w:w="390" w:type="dxa"/>
            <w:vMerge/>
            <w:tcBorders>
              <w:left w:val="single" w:sz="4" w:space="0" w:color="auto"/>
              <w:tl2br w:val="nil"/>
              <w:tr2bl w:val="nil"/>
            </w:tcBorders>
            <w:tcMar>
              <w:top w:w="15" w:type="dxa"/>
              <w:left w:w="15" w:type="dxa"/>
              <w:right w:w="15" w:type="dxa"/>
            </w:tcMar>
            <w:vAlign w:val="center"/>
          </w:tcPr>
          <w:p w:rsidR="0021334C" w:rsidRDefault="0021334C">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1945" w:type="dxa"/>
            <w:tcBorders>
              <w:tl2br w:val="nil"/>
              <w:tr2bl w:val="nil"/>
            </w:tcBorders>
            <w:tcMar>
              <w:top w:w="15" w:type="dxa"/>
              <w:left w:w="15" w:type="dxa"/>
              <w:right w:w="15" w:type="dxa"/>
            </w:tcMar>
            <w:vAlign w:val="center"/>
          </w:tcPr>
          <w:p w:rsidR="0021334C" w:rsidRDefault="0021334C">
            <w:pPr>
              <w:jc w:val="center"/>
              <w:rPr>
                <w:rFonts w:ascii="宋体" w:hAnsi="宋体" w:cs="宋体"/>
                <w:color w:val="000000"/>
                <w:sz w:val="24"/>
              </w:rPr>
            </w:pPr>
          </w:p>
        </w:tc>
      </w:tr>
      <w:tr w:rsidR="0021334C">
        <w:trPr>
          <w:trHeight w:val="276"/>
          <w:jc w:val="center"/>
        </w:trPr>
        <w:tc>
          <w:tcPr>
            <w:tcW w:w="390"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 xml:space="preserve">年度目标完成   情况   </w:t>
            </w:r>
          </w:p>
        </w:tc>
        <w:tc>
          <w:tcPr>
            <w:tcW w:w="4784" w:type="dxa"/>
            <w:gridSpan w:val="3"/>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339"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21334C">
        <w:trPr>
          <w:trHeight w:val="1159"/>
          <w:jc w:val="center"/>
        </w:trPr>
        <w:tc>
          <w:tcPr>
            <w:tcW w:w="390" w:type="dxa"/>
            <w:vMerge/>
            <w:tcBorders>
              <w:tl2br w:val="nil"/>
              <w:tr2bl w:val="nil"/>
            </w:tcBorders>
            <w:tcMar>
              <w:top w:w="15" w:type="dxa"/>
              <w:left w:w="15" w:type="dxa"/>
              <w:right w:w="15" w:type="dxa"/>
            </w:tcMar>
            <w:vAlign w:val="center"/>
          </w:tcPr>
          <w:p w:rsidR="0021334C" w:rsidRDefault="0021334C">
            <w:pPr>
              <w:jc w:val="center"/>
              <w:rPr>
                <w:rFonts w:ascii="宋体" w:hAnsi="宋体" w:cs="宋体"/>
                <w:color w:val="000000"/>
                <w:sz w:val="24"/>
              </w:rPr>
            </w:pPr>
          </w:p>
        </w:tc>
        <w:tc>
          <w:tcPr>
            <w:tcW w:w="4784" w:type="dxa"/>
            <w:gridSpan w:val="3"/>
            <w:tcBorders>
              <w:tl2br w:val="nil"/>
              <w:tr2bl w:val="nil"/>
            </w:tcBorders>
            <w:tcMar>
              <w:top w:w="15" w:type="dxa"/>
              <w:left w:w="15" w:type="dxa"/>
              <w:right w:w="15" w:type="dxa"/>
            </w:tcMar>
            <w:vAlign w:val="center"/>
          </w:tcPr>
          <w:p w:rsidR="0021334C" w:rsidRDefault="008511F3">
            <w:pPr>
              <w:widowControl/>
              <w:jc w:val="left"/>
              <w:textAlignment w:val="center"/>
              <w:rPr>
                <w:rFonts w:ascii="宋体" w:hAnsi="宋体" w:cs="宋体"/>
                <w:color w:val="000000"/>
                <w:sz w:val="24"/>
              </w:rPr>
            </w:pPr>
            <w:r>
              <w:rPr>
                <w:rFonts w:ascii="宋体" w:hAnsi="宋体" w:cs="宋体" w:hint="eastAsia"/>
                <w:color w:val="000000"/>
                <w:sz w:val="24"/>
              </w:rPr>
              <w:t>1.年底完成该项目的施工；2.年底完成该项目的质量验收和审计；3.年底完成该项目的除质保金的资金拨付。</w:t>
            </w:r>
          </w:p>
        </w:tc>
        <w:tc>
          <w:tcPr>
            <w:tcW w:w="4339"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1.完成了该项目的施工；2.完成了该项目的质量验收和审计；3完成了该项目的资金拨付。</w:t>
            </w:r>
          </w:p>
        </w:tc>
      </w:tr>
      <w:tr w:rsidR="0021334C">
        <w:trPr>
          <w:trHeight w:val="1042"/>
          <w:jc w:val="center"/>
        </w:trPr>
        <w:tc>
          <w:tcPr>
            <w:tcW w:w="390"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预期指标值</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w:t>
            </w:r>
          </w:p>
        </w:tc>
      </w:tr>
      <w:tr w:rsidR="0021334C">
        <w:trPr>
          <w:trHeight w:val="953"/>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l2br w:val="nil"/>
              <w:tr2bl w:val="nil"/>
            </w:tcBorders>
            <w:tcMar>
              <w:top w:w="15" w:type="dxa"/>
              <w:left w:w="15" w:type="dxa"/>
              <w:right w:w="15" w:type="dxa"/>
            </w:tcMar>
            <w:vAlign w:val="center"/>
          </w:tcPr>
          <w:p w:rsidR="0021334C" w:rsidRDefault="008511F3">
            <w:pPr>
              <w:widowControl/>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r>
      <w:tr w:rsidR="0021334C">
        <w:trPr>
          <w:trHeight w:val="1297"/>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质量指标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r>
      <w:tr w:rsidR="0021334C">
        <w:trPr>
          <w:trHeight w:val="1042"/>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时效指标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于2020年11月30日前完成该项目的施工</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r>
      <w:tr w:rsidR="0021334C">
        <w:trPr>
          <w:trHeight w:val="1042"/>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kern w:val="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成本指标</w:t>
            </w:r>
          </w:p>
          <w:p w:rsidR="0021334C" w:rsidRDefault="0021334C">
            <w:pPr>
              <w:widowControl/>
              <w:jc w:val="center"/>
              <w:textAlignment w:val="center"/>
              <w:rPr>
                <w:rFonts w:ascii="宋体" w:hAnsi="宋体" w:cs="宋体"/>
                <w:color w:val="000000"/>
                <w:sz w:val="24"/>
              </w:rPr>
            </w:pP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成本控制均参照相关财评结果</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成本控制均参照相关财评结果完成100%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成本控制均参照相关财评结果完成100%</w:t>
            </w:r>
          </w:p>
        </w:tc>
      </w:tr>
      <w:tr w:rsidR="0021334C">
        <w:trPr>
          <w:trHeight w:val="1042"/>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经济效益</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项目投资和效益比低于1：6</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042"/>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社会效益</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达到对地质灾害的防灾减灾，达到绿化生态建设</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042"/>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生态效益</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对生态环境创造良好的条件</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297"/>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可持续影响指标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遏制环境的恶化，积极推进人与自然和谐相处</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297"/>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服务对象</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满意度指标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针对保护或受益对象的满意评价打分</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达到90分</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完成90分</w:t>
            </w:r>
          </w:p>
        </w:tc>
      </w:tr>
    </w:tbl>
    <w:p w:rsidR="0021334C" w:rsidRDefault="0021334C">
      <w:pPr>
        <w:tabs>
          <w:tab w:val="left" w:pos="312"/>
        </w:tabs>
        <w:rPr>
          <w:rFonts w:ascii="仿宋" w:eastAsia="仿宋" w:hAnsi="Calibri" w:cs="仿宋"/>
          <w:color w:val="000000"/>
          <w:kern w:val="0"/>
          <w:sz w:val="24"/>
        </w:rPr>
      </w:pPr>
    </w:p>
    <w:p w:rsidR="0021334C" w:rsidRDefault="008511F3">
      <w:pPr>
        <w:tabs>
          <w:tab w:val="left" w:pos="312"/>
        </w:tabs>
        <w:ind w:firstLineChars="200" w:firstLine="640"/>
        <w:rPr>
          <w:rFonts w:ascii="仿宋_GB2312" w:eastAsia="仿宋_GB2312" w:hAnsi="仿宋_GB2312" w:cs="仿宋_GB2312"/>
          <w:sz w:val="32"/>
          <w:szCs w:val="32"/>
        </w:rPr>
      </w:pPr>
      <w:r>
        <w:rPr>
          <w:rFonts w:ascii="仿宋_GB2312" w:eastAsia="仿宋_GB2312" w:hAnsi="楷体_GB2312" w:cs="楷体_GB2312" w:hint="eastAsia"/>
          <w:sz w:val="32"/>
          <w:szCs w:val="32"/>
        </w:rPr>
        <w:t>（4）凤仪镇顺城村1组滑</w:t>
      </w:r>
      <w:r>
        <w:rPr>
          <w:rFonts w:ascii="仿宋_GB2312" w:eastAsia="仿宋_GB2312" w:hAnsi="仿宋_GB2312" w:cs="仿宋_GB2312" w:hint="eastAsia"/>
          <w:sz w:val="32"/>
          <w:szCs w:val="32"/>
        </w:rPr>
        <w:t>坡治理工程项目绩效目标完成情况综述。项目全年预算数216.47万元，执行数为216.47万元，完成预算的100%。通过项目完成及时有效，效果显著，工程治理区群众生命财产安全保障有所提高，皆达到目标值项目建成，群众满意度较高，实现保护财产安全800万元，保护人数50人，发现的主要问题：项目实施方案待优化。下一步改进措施：我们将进一步优化项目实施方案，进一步做好方案的可操作性，在进行项目设计时，做好相关农户的协调工作，确保项目的顺利开展，并优化项目设计方案，尽量减少后期维护内容。</w:t>
      </w:r>
    </w:p>
    <w:tbl>
      <w:tblPr>
        <w:tblpPr w:leftFromText="180" w:rightFromText="180" w:vertAnchor="text" w:horzAnchor="page" w:tblpXSpec="center" w:tblpY="423"/>
        <w:tblOverlap w:val="never"/>
        <w:tblW w:w="9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90"/>
        <w:gridCol w:w="1367"/>
        <w:gridCol w:w="1025"/>
        <w:gridCol w:w="2392"/>
        <w:gridCol w:w="2394"/>
        <w:gridCol w:w="1945"/>
      </w:tblGrid>
      <w:tr w:rsidR="0021334C">
        <w:trPr>
          <w:trHeight w:val="1034"/>
          <w:jc w:val="center"/>
        </w:trPr>
        <w:tc>
          <w:tcPr>
            <w:tcW w:w="9513" w:type="dxa"/>
            <w:gridSpan w:val="6"/>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(2020年度)</w:t>
            </w:r>
          </w:p>
        </w:tc>
      </w:tr>
      <w:tr w:rsidR="0021334C">
        <w:trPr>
          <w:trHeight w:val="276"/>
          <w:jc w:val="center"/>
        </w:trPr>
        <w:tc>
          <w:tcPr>
            <w:tcW w:w="2782" w:type="dxa"/>
            <w:gridSpan w:val="3"/>
            <w:tcBorders>
              <w:top w:val="single" w:sz="4" w:space="0" w:color="auto"/>
              <w:lef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6731" w:type="dxa"/>
            <w:gridSpan w:val="3"/>
            <w:tcBorders>
              <w:top w:val="single" w:sz="4" w:space="0" w:color="auto"/>
              <w:righ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凤仪镇顺城村1组滑坡治理工程</w:t>
            </w:r>
          </w:p>
        </w:tc>
      </w:tr>
      <w:tr w:rsidR="0021334C">
        <w:trPr>
          <w:trHeight w:val="276"/>
          <w:jc w:val="center"/>
        </w:trPr>
        <w:tc>
          <w:tcPr>
            <w:tcW w:w="2782" w:type="dxa"/>
            <w:gridSpan w:val="3"/>
            <w:tcBorders>
              <w:lef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6731" w:type="dxa"/>
            <w:gridSpan w:val="3"/>
            <w:tcBorders>
              <w:righ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茂县自然资源局</w:t>
            </w:r>
          </w:p>
        </w:tc>
      </w:tr>
      <w:tr w:rsidR="0021334C">
        <w:trPr>
          <w:trHeight w:val="276"/>
          <w:jc w:val="center"/>
        </w:trPr>
        <w:tc>
          <w:tcPr>
            <w:tcW w:w="390" w:type="dxa"/>
            <w:vMerge w:val="restart"/>
            <w:tcBorders>
              <w:lef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w:t>
            </w:r>
            <w:r>
              <w:rPr>
                <w:rFonts w:ascii="宋体" w:hAnsi="宋体" w:cs="宋体" w:hint="eastAsia"/>
                <w:color w:val="000000"/>
                <w:kern w:val="0"/>
                <w:sz w:val="24"/>
              </w:rPr>
              <w:lastRenderedPageBreak/>
              <w:t>元)</w:t>
            </w:r>
          </w:p>
        </w:tc>
        <w:tc>
          <w:tcPr>
            <w:tcW w:w="2392" w:type="dxa"/>
            <w:gridSpan w:val="2"/>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预算数:</w:t>
            </w:r>
          </w:p>
        </w:tc>
        <w:tc>
          <w:tcPr>
            <w:tcW w:w="2392"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216.47万元</w:t>
            </w:r>
          </w:p>
        </w:tc>
        <w:tc>
          <w:tcPr>
            <w:tcW w:w="2394"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1945" w:type="dxa"/>
            <w:tcBorders>
              <w:righ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216.47万元</w:t>
            </w:r>
          </w:p>
        </w:tc>
      </w:tr>
      <w:tr w:rsidR="0021334C">
        <w:trPr>
          <w:trHeight w:val="276"/>
          <w:jc w:val="center"/>
        </w:trPr>
        <w:tc>
          <w:tcPr>
            <w:tcW w:w="390" w:type="dxa"/>
            <w:vMerge/>
            <w:tcBorders>
              <w:left w:val="single" w:sz="4" w:space="0" w:color="auto"/>
            </w:tcBorders>
            <w:tcMar>
              <w:top w:w="15" w:type="dxa"/>
              <w:left w:w="15" w:type="dxa"/>
              <w:right w:w="15" w:type="dxa"/>
            </w:tcMar>
            <w:vAlign w:val="center"/>
          </w:tcPr>
          <w:p w:rsidR="0021334C" w:rsidRDefault="0021334C">
            <w:pPr>
              <w:jc w:val="center"/>
              <w:rPr>
                <w:rFonts w:ascii="宋体" w:hAnsi="宋体" w:cs="宋体"/>
                <w:color w:val="000000"/>
                <w:sz w:val="24"/>
              </w:rPr>
            </w:pPr>
          </w:p>
        </w:tc>
        <w:tc>
          <w:tcPr>
            <w:tcW w:w="2392" w:type="dxa"/>
            <w:gridSpan w:val="2"/>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216.47万元</w:t>
            </w:r>
          </w:p>
        </w:tc>
        <w:tc>
          <w:tcPr>
            <w:tcW w:w="2394" w:type="dxa"/>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216.47万元</w:t>
            </w:r>
          </w:p>
        </w:tc>
      </w:tr>
      <w:tr w:rsidR="0021334C">
        <w:trPr>
          <w:trHeight w:val="1511"/>
          <w:jc w:val="center"/>
        </w:trPr>
        <w:tc>
          <w:tcPr>
            <w:tcW w:w="390" w:type="dxa"/>
            <w:vMerge/>
            <w:tcBorders>
              <w:left w:val="single" w:sz="4" w:space="0" w:color="auto"/>
              <w:tl2br w:val="nil"/>
              <w:tr2bl w:val="nil"/>
            </w:tcBorders>
            <w:tcMar>
              <w:top w:w="15" w:type="dxa"/>
              <w:left w:w="15" w:type="dxa"/>
              <w:right w:w="15" w:type="dxa"/>
            </w:tcMar>
            <w:vAlign w:val="center"/>
          </w:tcPr>
          <w:p w:rsidR="0021334C" w:rsidRDefault="0021334C">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1945" w:type="dxa"/>
            <w:tcBorders>
              <w:tl2br w:val="nil"/>
              <w:tr2bl w:val="nil"/>
            </w:tcBorders>
            <w:tcMar>
              <w:top w:w="15" w:type="dxa"/>
              <w:left w:w="15" w:type="dxa"/>
              <w:right w:w="15" w:type="dxa"/>
            </w:tcMar>
            <w:vAlign w:val="center"/>
          </w:tcPr>
          <w:p w:rsidR="0021334C" w:rsidRDefault="0021334C">
            <w:pPr>
              <w:jc w:val="center"/>
              <w:rPr>
                <w:rFonts w:ascii="宋体" w:hAnsi="宋体" w:cs="宋体"/>
                <w:color w:val="000000"/>
                <w:sz w:val="24"/>
              </w:rPr>
            </w:pPr>
          </w:p>
        </w:tc>
      </w:tr>
      <w:tr w:rsidR="0021334C">
        <w:trPr>
          <w:trHeight w:val="276"/>
          <w:jc w:val="center"/>
        </w:trPr>
        <w:tc>
          <w:tcPr>
            <w:tcW w:w="390"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 xml:space="preserve">年度目标完成   情况   </w:t>
            </w:r>
          </w:p>
        </w:tc>
        <w:tc>
          <w:tcPr>
            <w:tcW w:w="4784" w:type="dxa"/>
            <w:gridSpan w:val="3"/>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339"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21334C">
        <w:trPr>
          <w:trHeight w:val="1159"/>
          <w:jc w:val="center"/>
        </w:trPr>
        <w:tc>
          <w:tcPr>
            <w:tcW w:w="390" w:type="dxa"/>
            <w:vMerge/>
            <w:tcBorders>
              <w:tl2br w:val="nil"/>
              <w:tr2bl w:val="nil"/>
            </w:tcBorders>
            <w:tcMar>
              <w:top w:w="15" w:type="dxa"/>
              <w:left w:w="15" w:type="dxa"/>
              <w:right w:w="15" w:type="dxa"/>
            </w:tcMar>
            <w:vAlign w:val="center"/>
          </w:tcPr>
          <w:p w:rsidR="0021334C" w:rsidRDefault="0021334C">
            <w:pPr>
              <w:jc w:val="center"/>
              <w:rPr>
                <w:rFonts w:ascii="宋体" w:hAnsi="宋体" w:cs="宋体"/>
                <w:color w:val="000000"/>
                <w:sz w:val="24"/>
              </w:rPr>
            </w:pPr>
          </w:p>
        </w:tc>
        <w:tc>
          <w:tcPr>
            <w:tcW w:w="4784" w:type="dxa"/>
            <w:gridSpan w:val="3"/>
            <w:tcBorders>
              <w:tl2br w:val="nil"/>
              <w:tr2bl w:val="nil"/>
            </w:tcBorders>
            <w:tcMar>
              <w:top w:w="15" w:type="dxa"/>
              <w:left w:w="15" w:type="dxa"/>
              <w:right w:w="15" w:type="dxa"/>
            </w:tcMar>
            <w:vAlign w:val="center"/>
          </w:tcPr>
          <w:p w:rsidR="0021334C" w:rsidRDefault="008511F3">
            <w:pPr>
              <w:widowControl/>
              <w:jc w:val="left"/>
              <w:textAlignment w:val="center"/>
              <w:rPr>
                <w:rFonts w:ascii="宋体" w:hAnsi="宋体" w:cs="宋体"/>
                <w:color w:val="000000"/>
                <w:sz w:val="24"/>
              </w:rPr>
            </w:pPr>
            <w:r>
              <w:rPr>
                <w:rFonts w:ascii="宋体" w:hAnsi="宋体" w:cs="宋体" w:hint="eastAsia"/>
                <w:color w:val="000000"/>
                <w:sz w:val="24"/>
              </w:rPr>
              <w:t>1.年底完成该项目的施工；2.年底完成该项目的质量验收和审计；3.年底完成该项目的除质保金的资金拨付。</w:t>
            </w:r>
          </w:p>
        </w:tc>
        <w:tc>
          <w:tcPr>
            <w:tcW w:w="4339"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1.完成了该项目的施工；2.完成了该项目的质量验收和审计；3完成了该项目的资金拨付。</w:t>
            </w:r>
          </w:p>
        </w:tc>
      </w:tr>
      <w:tr w:rsidR="0021334C">
        <w:trPr>
          <w:trHeight w:val="1042"/>
          <w:jc w:val="center"/>
        </w:trPr>
        <w:tc>
          <w:tcPr>
            <w:tcW w:w="390"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预期指标值</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w:t>
            </w:r>
          </w:p>
        </w:tc>
      </w:tr>
      <w:tr w:rsidR="0021334C">
        <w:trPr>
          <w:trHeight w:val="953"/>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l2br w:val="nil"/>
              <w:tr2bl w:val="nil"/>
            </w:tcBorders>
            <w:tcMar>
              <w:top w:w="15" w:type="dxa"/>
              <w:left w:w="15" w:type="dxa"/>
              <w:right w:w="15" w:type="dxa"/>
            </w:tcMar>
            <w:vAlign w:val="center"/>
          </w:tcPr>
          <w:p w:rsidR="0021334C" w:rsidRDefault="008511F3">
            <w:pPr>
              <w:widowControl/>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r>
      <w:tr w:rsidR="0021334C">
        <w:trPr>
          <w:trHeight w:val="1297"/>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质量指标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r>
      <w:tr w:rsidR="0021334C">
        <w:trPr>
          <w:trHeight w:val="1042"/>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时效指标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于2020年11月30日前完成该项目的施工</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r>
      <w:tr w:rsidR="0021334C">
        <w:trPr>
          <w:trHeight w:val="1042"/>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kern w:val="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成本指标</w:t>
            </w:r>
          </w:p>
          <w:p w:rsidR="0021334C" w:rsidRDefault="0021334C">
            <w:pPr>
              <w:widowControl/>
              <w:jc w:val="center"/>
              <w:textAlignment w:val="center"/>
              <w:rPr>
                <w:rFonts w:ascii="宋体" w:hAnsi="宋体" w:cs="宋体"/>
                <w:color w:val="000000"/>
                <w:sz w:val="24"/>
              </w:rPr>
            </w:pP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成本控制均参照相关财评结果</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成本控制均参照相关财评结果完成100%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成本控制均参照相关财评结果完成100%</w:t>
            </w:r>
          </w:p>
        </w:tc>
      </w:tr>
      <w:tr w:rsidR="0021334C">
        <w:trPr>
          <w:trHeight w:val="1042"/>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经济效益</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项目投资和效益比低于1：6</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042"/>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社会效益</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达到对地质灾害的防灾减灾，达到绿化生态建设</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042"/>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生态效益</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对生态环境创造良好的条件</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297"/>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可持续影响指标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遏制环境的恶化，积极推进人与自然和谐相处</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297"/>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服务对象</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满意度指标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针对保护或受益对象的满意评价打分</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达到90分</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完成90分</w:t>
            </w:r>
          </w:p>
        </w:tc>
      </w:tr>
    </w:tbl>
    <w:p w:rsidR="0021334C" w:rsidRDefault="008511F3">
      <w:pPr>
        <w:tabs>
          <w:tab w:val="left" w:pos="3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凤仪镇坪头村秋隔壁滑坡工程项目绩效目标完成情况综述。项目全年预算数130.5万元，执行数为130.5万元，完成预算的100%。通过项目完成及时有效，效果显著，工程治理区群众生命财产安全保障有所提高，皆达到目标值项目建成，群众满意度较高，实现保护财产安全1000余万元，保护人数78人，发现的主要问题：项目实施方案待优化。下一步改进措施：我们将进一步优化项目实施方案，进一步做好方案的可操作性，在进行项目设计时，做好相关农户的协调工作，确保项目的顺利开展，并优化项目设计方案，尽量减少后期维护内容。</w:t>
      </w:r>
    </w:p>
    <w:tbl>
      <w:tblPr>
        <w:tblpPr w:leftFromText="180" w:rightFromText="180" w:vertAnchor="text" w:horzAnchor="page" w:tblpXSpec="center" w:tblpY="423"/>
        <w:tblOverlap w:val="never"/>
        <w:tblW w:w="9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90"/>
        <w:gridCol w:w="1367"/>
        <w:gridCol w:w="1025"/>
        <w:gridCol w:w="2392"/>
        <w:gridCol w:w="2394"/>
        <w:gridCol w:w="1945"/>
      </w:tblGrid>
      <w:tr w:rsidR="0021334C">
        <w:trPr>
          <w:trHeight w:val="1034"/>
          <w:jc w:val="center"/>
        </w:trPr>
        <w:tc>
          <w:tcPr>
            <w:tcW w:w="9513" w:type="dxa"/>
            <w:gridSpan w:val="6"/>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(2020年度)</w:t>
            </w:r>
          </w:p>
        </w:tc>
      </w:tr>
      <w:tr w:rsidR="0021334C">
        <w:trPr>
          <w:trHeight w:val="276"/>
          <w:jc w:val="center"/>
        </w:trPr>
        <w:tc>
          <w:tcPr>
            <w:tcW w:w="2782" w:type="dxa"/>
            <w:gridSpan w:val="3"/>
            <w:tcBorders>
              <w:top w:val="single" w:sz="4" w:space="0" w:color="auto"/>
              <w:lef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6731" w:type="dxa"/>
            <w:gridSpan w:val="3"/>
            <w:tcBorders>
              <w:top w:val="single" w:sz="4" w:space="0" w:color="auto"/>
              <w:righ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凤仪镇坪头村秋隔壁滑坡</w:t>
            </w:r>
          </w:p>
        </w:tc>
      </w:tr>
      <w:tr w:rsidR="0021334C">
        <w:trPr>
          <w:trHeight w:val="276"/>
          <w:jc w:val="center"/>
        </w:trPr>
        <w:tc>
          <w:tcPr>
            <w:tcW w:w="2782" w:type="dxa"/>
            <w:gridSpan w:val="3"/>
            <w:tcBorders>
              <w:lef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6731" w:type="dxa"/>
            <w:gridSpan w:val="3"/>
            <w:tcBorders>
              <w:righ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茂县自然资源局</w:t>
            </w:r>
          </w:p>
        </w:tc>
      </w:tr>
      <w:tr w:rsidR="0021334C">
        <w:trPr>
          <w:trHeight w:val="276"/>
          <w:jc w:val="center"/>
        </w:trPr>
        <w:tc>
          <w:tcPr>
            <w:tcW w:w="390" w:type="dxa"/>
            <w:vMerge w:val="restart"/>
            <w:tcBorders>
              <w:lef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Mar>
              <w:top w:w="15" w:type="dxa"/>
              <w:left w:w="15" w:type="dxa"/>
              <w:right w:w="15" w:type="dxa"/>
            </w:tcMar>
            <w:vAlign w:val="center"/>
          </w:tcPr>
          <w:p w:rsidR="0021334C" w:rsidRDefault="008511F3">
            <w:pPr>
              <w:widowControl/>
              <w:jc w:val="center"/>
              <w:textAlignment w:val="center"/>
              <w:rPr>
                <w:rFonts w:ascii="宋体" w:hAnsi="宋体" w:cs="宋体"/>
                <w:color w:val="000000"/>
                <w:kern w:val="0"/>
                <w:sz w:val="24"/>
              </w:rPr>
            </w:pPr>
            <w:r>
              <w:rPr>
                <w:rFonts w:ascii="宋体" w:hAnsi="宋体" w:cs="宋体" w:hint="eastAsia"/>
                <w:color w:val="000000"/>
                <w:kern w:val="0"/>
                <w:sz w:val="24"/>
              </w:rPr>
              <w:t>130.5万元</w:t>
            </w:r>
          </w:p>
        </w:tc>
        <w:tc>
          <w:tcPr>
            <w:tcW w:w="2394" w:type="dxa"/>
            <w:tcMar>
              <w:top w:w="15" w:type="dxa"/>
              <w:left w:w="15" w:type="dxa"/>
              <w:right w:w="15" w:type="dxa"/>
            </w:tcMar>
            <w:vAlign w:val="center"/>
          </w:tcPr>
          <w:p w:rsidR="0021334C" w:rsidRDefault="008511F3">
            <w:pPr>
              <w:widowControl/>
              <w:jc w:val="center"/>
              <w:textAlignment w:val="center"/>
              <w:rPr>
                <w:rFonts w:ascii="宋体" w:hAnsi="宋体" w:cs="宋体"/>
                <w:color w:val="000000"/>
                <w:kern w:val="0"/>
                <w:sz w:val="24"/>
              </w:rPr>
            </w:pPr>
            <w:r>
              <w:rPr>
                <w:rFonts w:ascii="宋体" w:hAnsi="宋体" w:cs="宋体" w:hint="eastAsia"/>
                <w:color w:val="000000"/>
                <w:kern w:val="0"/>
                <w:sz w:val="24"/>
              </w:rPr>
              <w:t>执行数:</w:t>
            </w:r>
          </w:p>
        </w:tc>
        <w:tc>
          <w:tcPr>
            <w:tcW w:w="1945" w:type="dxa"/>
            <w:tcBorders>
              <w:right w:val="single" w:sz="4" w:space="0" w:color="auto"/>
            </w:tcBorders>
            <w:tcMar>
              <w:top w:w="15" w:type="dxa"/>
              <w:left w:w="15" w:type="dxa"/>
              <w:right w:w="15" w:type="dxa"/>
            </w:tcMar>
            <w:vAlign w:val="center"/>
          </w:tcPr>
          <w:p w:rsidR="0021334C" w:rsidRDefault="008511F3">
            <w:pPr>
              <w:widowControl/>
              <w:jc w:val="center"/>
              <w:textAlignment w:val="center"/>
              <w:rPr>
                <w:rFonts w:ascii="宋体" w:hAnsi="宋体" w:cs="宋体"/>
                <w:color w:val="000000"/>
                <w:kern w:val="0"/>
                <w:sz w:val="24"/>
              </w:rPr>
            </w:pPr>
            <w:r>
              <w:rPr>
                <w:rFonts w:ascii="宋体" w:hAnsi="宋体" w:cs="宋体" w:hint="eastAsia"/>
                <w:color w:val="000000"/>
                <w:kern w:val="0"/>
                <w:sz w:val="24"/>
              </w:rPr>
              <w:t>130.5万元</w:t>
            </w:r>
          </w:p>
        </w:tc>
      </w:tr>
      <w:tr w:rsidR="0021334C">
        <w:trPr>
          <w:trHeight w:val="276"/>
          <w:jc w:val="center"/>
        </w:trPr>
        <w:tc>
          <w:tcPr>
            <w:tcW w:w="390" w:type="dxa"/>
            <w:vMerge/>
            <w:tcBorders>
              <w:left w:val="single" w:sz="4" w:space="0" w:color="auto"/>
            </w:tcBorders>
            <w:tcMar>
              <w:top w:w="15" w:type="dxa"/>
              <w:left w:w="15" w:type="dxa"/>
              <w:right w:w="15" w:type="dxa"/>
            </w:tcMar>
            <w:vAlign w:val="center"/>
          </w:tcPr>
          <w:p w:rsidR="0021334C" w:rsidRDefault="0021334C">
            <w:pPr>
              <w:jc w:val="center"/>
              <w:rPr>
                <w:rFonts w:ascii="宋体" w:hAnsi="宋体" w:cs="宋体"/>
                <w:color w:val="000000"/>
                <w:sz w:val="24"/>
              </w:rPr>
            </w:pPr>
          </w:p>
        </w:tc>
        <w:tc>
          <w:tcPr>
            <w:tcW w:w="2392" w:type="dxa"/>
            <w:gridSpan w:val="2"/>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Mar>
              <w:top w:w="15" w:type="dxa"/>
              <w:left w:w="15" w:type="dxa"/>
              <w:right w:w="15" w:type="dxa"/>
            </w:tcMar>
            <w:vAlign w:val="center"/>
          </w:tcPr>
          <w:p w:rsidR="0021334C" w:rsidRDefault="008511F3">
            <w:pPr>
              <w:widowControl/>
              <w:jc w:val="center"/>
              <w:textAlignment w:val="center"/>
              <w:rPr>
                <w:rFonts w:ascii="宋体" w:hAnsi="宋体" w:cs="宋体"/>
                <w:color w:val="000000"/>
                <w:kern w:val="0"/>
                <w:sz w:val="24"/>
              </w:rPr>
            </w:pPr>
            <w:r>
              <w:rPr>
                <w:rFonts w:ascii="宋体" w:hAnsi="宋体" w:cs="宋体" w:hint="eastAsia"/>
                <w:color w:val="000000"/>
                <w:kern w:val="0"/>
                <w:sz w:val="24"/>
              </w:rPr>
              <w:t>130.5万元</w:t>
            </w:r>
          </w:p>
        </w:tc>
        <w:tc>
          <w:tcPr>
            <w:tcW w:w="2394" w:type="dxa"/>
            <w:tcMar>
              <w:top w:w="15" w:type="dxa"/>
              <w:left w:w="15" w:type="dxa"/>
              <w:right w:w="15" w:type="dxa"/>
            </w:tcMar>
            <w:vAlign w:val="center"/>
          </w:tcPr>
          <w:p w:rsidR="0021334C" w:rsidRDefault="008511F3">
            <w:pPr>
              <w:widowControl/>
              <w:jc w:val="center"/>
              <w:textAlignment w:val="center"/>
              <w:rPr>
                <w:rFonts w:ascii="宋体" w:hAnsi="宋体" w:cs="宋体"/>
                <w:color w:val="000000"/>
                <w:kern w:val="0"/>
                <w:sz w:val="24"/>
              </w:rPr>
            </w:pPr>
            <w:r>
              <w:rPr>
                <w:rFonts w:ascii="宋体" w:hAnsi="宋体" w:cs="宋体" w:hint="eastAsia"/>
                <w:color w:val="000000"/>
                <w:kern w:val="0"/>
                <w:sz w:val="24"/>
              </w:rPr>
              <w:t>其中-财政拨款:</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kern w:val="0"/>
                <w:sz w:val="24"/>
              </w:rPr>
            </w:pPr>
            <w:r>
              <w:rPr>
                <w:rFonts w:ascii="宋体" w:hAnsi="宋体" w:cs="宋体" w:hint="eastAsia"/>
                <w:color w:val="000000"/>
                <w:kern w:val="0"/>
                <w:sz w:val="24"/>
              </w:rPr>
              <w:t>130.5万元</w:t>
            </w:r>
          </w:p>
        </w:tc>
      </w:tr>
      <w:tr w:rsidR="0021334C">
        <w:trPr>
          <w:trHeight w:val="1511"/>
          <w:jc w:val="center"/>
        </w:trPr>
        <w:tc>
          <w:tcPr>
            <w:tcW w:w="390" w:type="dxa"/>
            <w:vMerge/>
            <w:tcBorders>
              <w:left w:val="single" w:sz="4" w:space="0" w:color="auto"/>
              <w:tl2br w:val="nil"/>
              <w:tr2bl w:val="nil"/>
            </w:tcBorders>
            <w:tcMar>
              <w:top w:w="15" w:type="dxa"/>
              <w:left w:w="15" w:type="dxa"/>
              <w:right w:w="15" w:type="dxa"/>
            </w:tcMar>
            <w:vAlign w:val="center"/>
          </w:tcPr>
          <w:p w:rsidR="0021334C" w:rsidRDefault="0021334C">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1945" w:type="dxa"/>
            <w:tcBorders>
              <w:tl2br w:val="nil"/>
              <w:tr2bl w:val="nil"/>
            </w:tcBorders>
            <w:tcMar>
              <w:top w:w="15" w:type="dxa"/>
              <w:left w:w="15" w:type="dxa"/>
              <w:right w:w="15" w:type="dxa"/>
            </w:tcMar>
            <w:vAlign w:val="center"/>
          </w:tcPr>
          <w:p w:rsidR="0021334C" w:rsidRDefault="0021334C">
            <w:pPr>
              <w:jc w:val="center"/>
              <w:rPr>
                <w:rFonts w:ascii="宋体" w:hAnsi="宋体" w:cs="宋体"/>
                <w:color w:val="000000"/>
                <w:sz w:val="24"/>
              </w:rPr>
            </w:pPr>
          </w:p>
        </w:tc>
      </w:tr>
      <w:tr w:rsidR="0021334C">
        <w:trPr>
          <w:trHeight w:val="276"/>
          <w:jc w:val="center"/>
        </w:trPr>
        <w:tc>
          <w:tcPr>
            <w:tcW w:w="390"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 xml:space="preserve">年度目标完成   情况   </w:t>
            </w:r>
          </w:p>
        </w:tc>
        <w:tc>
          <w:tcPr>
            <w:tcW w:w="4784" w:type="dxa"/>
            <w:gridSpan w:val="3"/>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339"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21334C">
        <w:trPr>
          <w:trHeight w:val="1159"/>
          <w:jc w:val="center"/>
        </w:trPr>
        <w:tc>
          <w:tcPr>
            <w:tcW w:w="390" w:type="dxa"/>
            <w:vMerge/>
            <w:tcBorders>
              <w:tl2br w:val="nil"/>
              <w:tr2bl w:val="nil"/>
            </w:tcBorders>
            <w:tcMar>
              <w:top w:w="15" w:type="dxa"/>
              <w:left w:w="15" w:type="dxa"/>
              <w:right w:w="15" w:type="dxa"/>
            </w:tcMar>
            <w:vAlign w:val="center"/>
          </w:tcPr>
          <w:p w:rsidR="0021334C" w:rsidRDefault="0021334C">
            <w:pPr>
              <w:jc w:val="center"/>
              <w:rPr>
                <w:rFonts w:ascii="宋体" w:hAnsi="宋体" w:cs="宋体"/>
                <w:color w:val="000000"/>
                <w:sz w:val="24"/>
              </w:rPr>
            </w:pPr>
          </w:p>
        </w:tc>
        <w:tc>
          <w:tcPr>
            <w:tcW w:w="4784" w:type="dxa"/>
            <w:gridSpan w:val="3"/>
            <w:tcBorders>
              <w:tl2br w:val="nil"/>
              <w:tr2bl w:val="nil"/>
            </w:tcBorders>
            <w:tcMar>
              <w:top w:w="15" w:type="dxa"/>
              <w:left w:w="15" w:type="dxa"/>
              <w:right w:w="15" w:type="dxa"/>
            </w:tcMar>
            <w:vAlign w:val="center"/>
          </w:tcPr>
          <w:p w:rsidR="0021334C" w:rsidRDefault="008511F3">
            <w:pPr>
              <w:widowControl/>
              <w:jc w:val="left"/>
              <w:textAlignment w:val="center"/>
              <w:rPr>
                <w:rFonts w:ascii="宋体" w:hAnsi="宋体" w:cs="宋体"/>
                <w:color w:val="000000"/>
                <w:sz w:val="24"/>
              </w:rPr>
            </w:pPr>
            <w:r>
              <w:rPr>
                <w:rFonts w:ascii="宋体" w:hAnsi="宋体" w:cs="宋体" w:hint="eastAsia"/>
                <w:color w:val="000000"/>
                <w:sz w:val="24"/>
              </w:rPr>
              <w:t>1.年底完成该项目的施工；2.年底完成该项目的质量验收和审计；3.年底完成该项目的除质保金的资金拨付。</w:t>
            </w:r>
          </w:p>
        </w:tc>
        <w:tc>
          <w:tcPr>
            <w:tcW w:w="4339" w:type="dxa"/>
            <w:gridSpan w:val="2"/>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1.完成了该项目的施工；2.完成了该项目的质量验收和审计；3完成了该项目的资金拨付。</w:t>
            </w:r>
          </w:p>
        </w:tc>
      </w:tr>
      <w:tr w:rsidR="0021334C">
        <w:trPr>
          <w:trHeight w:val="1042"/>
          <w:jc w:val="center"/>
        </w:trPr>
        <w:tc>
          <w:tcPr>
            <w:tcW w:w="390"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预期指标值</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w:t>
            </w:r>
          </w:p>
        </w:tc>
      </w:tr>
      <w:tr w:rsidR="0021334C">
        <w:trPr>
          <w:trHeight w:val="953"/>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l2br w:val="nil"/>
              <w:tr2bl w:val="nil"/>
            </w:tcBorders>
            <w:tcMar>
              <w:top w:w="15" w:type="dxa"/>
              <w:left w:w="15" w:type="dxa"/>
              <w:right w:w="15" w:type="dxa"/>
            </w:tcMar>
            <w:vAlign w:val="center"/>
          </w:tcPr>
          <w:p w:rsidR="0021334C" w:rsidRDefault="008511F3">
            <w:pPr>
              <w:widowControl/>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r>
      <w:tr w:rsidR="0021334C">
        <w:trPr>
          <w:trHeight w:val="1297"/>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质量指标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r>
      <w:tr w:rsidR="0021334C">
        <w:trPr>
          <w:trHeight w:val="1042"/>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时效指标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于2020年11月30日前完成该项目的施工</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r>
      <w:tr w:rsidR="0021334C">
        <w:trPr>
          <w:trHeight w:val="1042"/>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kern w:val="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成本指标</w:t>
            </w:r>
          </w:p>
          <w:p w:rsidR="0021334C" w:rsidRDefault="0021334C">
            <w:pPr>
              <w:widowControl/>
              <w:jc w:val="center"/>
              <w:textAlignment w:val="center"/>
              <w:rPr>
                <w:rFonts w:ascii="宋体" w:hAnsi="宋体" w:cs="宋体"/>
                <w:color w:val="000000"/>
                <w:sz w:val="24"/>
              </w:rPr>
            </w:pP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成本控制均参照相关财评结果</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成本控制均参照相关财评结果完成100%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成本控制均参照相关财评结果完成100%</w:t>
            </w:r>
          </w:p>
        </w:tc>
      </w:tr>
      <w:tr w:rsidR="0021334C">
        <w:trPr>
          <w:trHeight w:val="1042"/>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经济效益</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项目投资和效益比低于1：6</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042"/>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社会效益</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达到对地质灾害的防灾减灾，达到绿化生态建设</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042"/>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生态效益</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对生态环境创造良好的条件</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297"/>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可持续影响指标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遏制环境的恶化，积极推进人与自然和谐相处</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1334C">
        <w:trPr>
          <w:trHeight w:val="1297"/>
          <w:jc w:val="center"/>
        </w:trPr>
        <w:tc>
          <w:tcPr>
            <w:tcW w:w="390" w:type="dxa"/>
            <w:vMerge/>
            <w:tcBorders>
              <w:tl2br w:val="nil"/>
              <w:tr2bl w:val="nil"/>
            </w:tcBorders>
            <w:tcMar>
              <w:top w:w="15" w:type="dxa"/>
              <w:left w:w="15" w:type="dxa"/>
              <w:right w:w="15" w:type="dxa"/>
            </w:tcMar>
            <w:vAlign w:val="center"/>
          </w:tcPr>
          <w:p w:rsidR="0021334C" w:rsidRDefault="0021334C">
            <w:pPr>
              <w:widowControl/>
              <w:jc w:val="center"/>
              <w:textAlignment w:val="center"/>
              <w:rPr>
                <w:rFonts w:ascii="宋体" w:hAnsi="宋体" w:cs="宋体"/>
                <w:color w:val="000000"/>
                <w:sz w:val="24"/>
              </w:rPr>
            </w:pPr>
          </w:p>
        </w:tc>
        <w:tc>
          <w:tcPr>
            <w:tcW w:w="1367"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服务对象</w:t>
            </w:r>
          </w:p>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满意度指标</w:t>
            </w:r>
          </w:p>
        </w:tc>
        <w:tc>
          <w:tcPr>
            <w:tcW w:w="2392"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针对保护或受益对象的满意评价打分</w:t>
            </w:r>
          </w:p>
        </w:tc>
        <w:tc>
          <w:tcPr>
            <w:tcW w:w="2394"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达到90分</w:t>
            </w:r>
          </w:p>
        </w:tc>
        <w:tc>
          <w:tcPr>
            <w:tcW w:w="1945" w:type="dxa"/>
            <w:tcBorders>
              <w:tl2br w:val="nil"/>
              <w:tr2bl w:val="nil"/>
            </w:tcBorders>
            <w:tcMar>
              <w:top w:w="15" w:type="dxa"/>
              <w:left w:w="15" w:type="dxa"/>
              <w:right w:w="15" w:type="dxa"/>
            </w:tcMar>
            <w:vAlign w:val="center"/>
          </w:tcPr>
          <w:p w:rsidR="0021334C" w:rsidRDefault="008511F3">
            <w:pPr>
              <w:widowControl/>
              <w:jc w:val="center"/>
              <w:textAlignment w:val="center"/>
              <w:rPr>
                <w:rFonts w:ascii="宋体" w:hAnsi="宋体" w:cs="宋体"/>
                <w:color w:val="000000"/>
                <w:sz w:val="24"/>
              </w:rPr>
            </w:pPr>
            <w:r>
              <w:rPr>
                <w:rFonts w:ascii="宋体" w:hAnsi="宋体" w:cs="宋体" w:hint="eastAsia"/>
                <w:color w:val="000000"/>
                <w:sz w:val="24"/>
              </w:rPr>
              <w:t>完成90分</w:t>
            </w:r>
          </w:p>
        </w:tc>
      </w:tr>
    </w:tbl>
    <w:p w:rsidR="0021334C" w:rsidRDefault="0021334C">
      <w:pPr>
        <w:pStyle w:val="Default"/>
        <w:rPr>
          <w:rFonts w:ascii="仿宋_GB2312" w:eastAsia="仿宋_GB2312"/>
          <w:sz w:val="28"/>
          <w:szCs w:val="28"/>
        </w:rPr>
      </w:pPr>
    </w:p>
    <w:p w:rsidR="0021334C" w:rsidRDefault="008511F3">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2.部门开展绩效评价结果</w:t>
      </w:r>
    </w:p>
    <w:p w:rsidR="0021334C" w:rsidRDefault="008511F3">
      <w:pPr>
        <w:spacing w:line="580" w:lineRule="exact"/>
        <w:ind w:firstLineChars="200" w:firstLine="640"/>
        <w:rPr>
          <w:rFonts w:ascii="仿宋_GB2312" w:eastAsia="仿宋_GB2312"/>
          <w:b/>
          <w:color w:val="000000"/>
          <w:sz w:val="32"/>
          <w:szCs w:val="32"/>
        </w:rPr>
      </w:pPr>
      <w:r>
        <w:rPr>
          <w:rFonts w:ascii="仿宋_GB2312" w:eastAsia="仿宋_GB2312" w:hAnsi="仿宋_GB2312" w:cs="仿宋_GB2312" w:hint="eastAsia"/>
          <w:sz w:val="32"/>
          <w:szCs w:val="32"/>
        </w:rPr>
        <w:t>本部门按要求对2020年部门整体支出绩效评价情况开展自评，《茂县自然资源局2020年部门整体支出绩效评价报告》见附件（附件1）。</w:t>
      </w:r>
    </w:p>
    <w:p w:rsidR="0021334C" w:rsidRDefault="008511F3">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21334C" w:rsidRDefault="008511F3">
      <w:pPr>
        <w:numPr>
          <w:ilvl w:val="0"/>
          <w:numId w:val="1"/>
        </w:numPr>
        <w:spacing w:line="600" w:lineRule="exact"/>
        <w:ind w:firstLineChars="150" w:firstLine="663"/>
        <w:jc w:val="center"/>
        <w:outlineLvl w:val="0"/>
        <w:rPr>
          <w:rStyle w:val="1Char"/>
          <w:rFonts w:ascii="黑体" w:eastAsia="黑体" w:hAnsi="黑体"/>
        </w:rPr>
      </w:pPr>
      <w:bookmarkStart w:id="57" w:name="_Toc15396613"/>
      <w:bookmarkStart w:id="58" w:name="_Toc15377225"/>
      <w:r>
        <w:rPr>
          <w:rStyle w:val="1Char"/>
          <w:rFonts w:ascii="黑体" w:eastAsia="黑体" w:hAnsi="黑体" w:hint="eastAsia"/>
        </w:rPr>
        <w:lastRenderedPageBreak/>
        <w:t>名词解释</w:t>
      </w:r>
      <w:bookmarkEnd w:id="57"/>
      <w:bookmarkEnd w:id="58"/>
    </w:p>
    <w:p w:rsidR="0021334C" w:rsidRDefault="0021334C">
      <w:pPr>
        <w:spacing w:line="600" w:lineRule="exact"/>
        <w:jc w:val="left"/>
        <w:rPr>
          <w:rFonts w:ascii="仿宋_GB2312" w:eastAsia="仿宋_GB2312"/>
          <w:b/>
          <w:color w:val="000000"/>
          <w:sz w:val="32"/>
          <w:szCs w:val="32"/>
        </w:rPr>
      </w:pPr>
    </w:p>
    <w:p w:rsidR="0021334C" w:rsidRDefault="008511F3">
      <w:pPr>
        <w:pStyle w:val="Default"/>
        <w:spacing w:line="560" w:lineRule="exact"/>
        <w:ind w:firstLineChars="200" w:firstLine="640"/>
        <w:jc w:val="both"/>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21334C" w:rsidRDefault="008511F3">
      <w:pPr>
        <w:pStyle w:val="Default"/>
        <w:spacing w:line="560" w:lineRule="exact"/>
        <w:ind w:firstLineChars="200" w:firstLine="640"/>
        <w:jc w:val="both"/>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21334C" w:rsidRDefault="008511F3">
      <w:pPr>
        <w:pStyle w:val="Default"/>
        <w:spacing w:line="560" w:lineRule="exact"/>
        <w:ind w:firstLineChars="200" w:firstLine="640"/>
        <w:jc w:val="both"/>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21334C" w:rsidRDefault="008511F3">
      <w:pPr>
        <w:pStyle w:val="Default"/>
        <w:spacing w:line="560" w:lineRule="exact"/>
        <w:ind w:firstLineChars="200" w:firstLine="640"/>
        <w:jc w:val="both"/>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21334C" w:rsidRDefault="008511F3">
      <w:pPr>
        <w:pStyle w:val="Default"/>
        <w:spacing w:line="560" w:lineRule="exact"/>
        <w:ind w:firstLineChars="200" w:firstLine="640"/>
        <w:jc w:val="both"/>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21334C" w:rsidRDefault="008511F3">
      <w:pPr>
        <w:pStyle w:val="Default"/>
        <w:spacing w:line="560" w:lineRule="exact"/>
        <w:ind w:firstLineChars="200" w:firstLine="640"/>
        <w:jc w:val="both"/>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21334C" w:rsidRDefault="008511F3">
      <w:pPr>
        <w:pStyle w:val="Default"/>
        <w:spacing w:line="560" w:lineRule="exact"/>
        <w:ind w:firstLineChars="200" w:firstLine="640"/>
        <w:jc w:val="both"/>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21334C" w:rsidRDefault="008511F3">
      <w:pPr>
        <w:pStyle w:val="Default"/>
        <w:spacing w:line="560" w:lineRule="exact"/>
        <w:ind w:firstLineChars="200" w:firstLine="640"/>
        <w:jc w:val="both"/>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21334C" w:rsidRDefault="008511F3">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9.社会保障和就业（类）行政事业单位离退休（款）机关事业单位基本养老保险缴费支出（项）：指部门实施养老保险制度由单位缴纳的养老保险费的支出。</w:t>
      </w:r>
    </w:p>
    <w:p w:rsidR="0021334C" w:rsidRDefault="008511F3">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10.社会保障和就业（类）行政事业单位离退休（款）</w:t>
      </w:r>
      <w:r>
        <w:rPr>
          <w:rFonts w:ascii="仿宋_GB2312" w:eastAsia="仿宋_GB2312" w:hint="eastAsia"/>
          <w:color w:val="000000"/>
          <w:sz w:val="32"/>
          <w:szCs w:val="32"/>
        </w:rPr>
        <w:lastRenderedPageBreak/>
        <w:t>机关事业单位职业年金缴费支出（项）：指部门实施养老保险制度由单位缴纳的职业年金的支出。</w:t>
      </w:r>
    </w:p>
    <w:p w:rsidR="0021334C" w:rsidRDefault="008511F3">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11.医疗卫生与计划生育（类）行政事业单位医疗（款）</w:t>
      </w:r>
    </w:p>
    <w:p w:rsidR="0021334C" w:rsidRDefault="008511F3">
      <w:pPr>
        <w:spacing w:line="576" w:lineRule="exact"/>
        <w:rPr>
          <w:rFonts w:ascii="仿宋_GB2312" w:eastAsia="仿宋_GB2312"/>
          <w:color w:val="000000"/>
          <w:sz w:val="32"/>
          <w:szCs w:val="32"/>
        </w:rPr>
      </w:pPr>
      <w:r>
        <w:rPr>
          <w:rFonts w:ascii="仿宋_GB2312" w:eastAsia="仿宋_GB2312" w:hint="eastAsia"/>
          <w:color w:val="000000"/>
          <w:sz w:val="32"/>
          <w:szCs w:val="32"/>
        </w:rPr>
        <w:t>行政单位医疗（项）：指局机关及参公管理事业单位用于缴</w:t>
      </w:r>
    </w:p>
    <w:p w:rsidR="0021334C" w:rsidRDefault="008511F3">
      <w:pPr>
        <w:spacing w:line="576" w:lineRule="exact"/>
        <w:rPr>
          <w:rFonts w:ascii="仿宋_GB2312" w:eastAsia="仿宋_GB2312"/>
          <w:color w:val="000000"/>
          <w:sz w:val="32"/>
          <w:szCs w:val="32"/>
        </w:rPr>
      </w:pPr>
      <w:r>
        <w:rPr>
          <w:rFonts w:ascii="仿宋_GB2312" w:eastAsia="仿宋_GB2312" w:hint="eastAsia"/>
          <w:color w:val="000000"/>
          <w:sz w:val="32"/>
          <w:szCs w:val="32"/>
        </w:rPr>
        <w:t xml:space="preserve">纳单位基本医疗保险支出。 </w:t>
      </w:r>
    </w:p>
    <w:p w:rsidR="0021334C" w:rsidRDefault="008511F3">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12.医疗卫生与计划生育（类）行政事业单位医疗（款）</w:t>
      </w:r>
    </w:p>
    <w:p w:rsidR="0021334C" w:rsidRDefault="008511F3">
      <w:pPr>
        <w:spacing w:line="576" w:lineRule="exact"/>
        <w:rPr>
          <w:rFonts w:ascii="仿宋_GB2312" w:eastAsia="仿宋_GB2312"/>
          <w:color w:val="000000"/>
          <w:sz w:val="32"/>
          <w:szCs w:val="32"/>
        </w:rPr>
      </w:pPr>
      <w:r>
        <w:rPr>
          <w:rFonts w:ascii="仿宋_GB2312" w:eastAsia="仿宋_GB2312" w:hint="eastAsia"/>
          <w:color w:val="000000"/>
          <w:sz w:val="32"/>
          <w:szCs w:val="32"/>
        </w:rPr>
        <w:t>事业单位医疗（项）：指行政事业单位用于缴纳单位基本医疗保</w:t>
      </w:r>
    </w:p>
    <w:p w:rsidR="0021334C" w:rsidRDefault="008511F3">
      <w:pPr>
        <w:spacing w:line="576" w:lineRule="exact"/>
        <w:rPr>
          <w:rFonts w:ascii="仿宋_GB2312" w:eastAsia="仿宋_GB2312"/>
          <w:color w:val="000000"/>
          <w:sz w:val="32"/>
          <w:szCs w:val="32"/>
        </w:rPr>
      </w:pPr>
      <w:r>
        <w:rPr>
          <w:rFonts w:ascii="仿宋_GB2312" w:eastAsia="仿宋_GB2312" w:hint="eastAsia"/>
          <w:color w:val="000000"/>
          <w:sz w:val="32"/>
          <w:szCs w:val="32"/>
        </w:rPr>
        <w:t>险支出。</w:t>
      </w:r>
    </w:p>
    <w:p w:rsidR="0021334C" w:rsidRDefault="008511F3">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 xml:space="preserve">.住房保障（类）住房改革支出（款）住房公积金（项）： </w:t>
      </w:r>
    </w:p>
    <w:p w:rsidR="0021334C" w:rsidRDefault="008511F3">
      <w:pPr>
        <w:spacing w:line="576" w:lineRule="exact"/>
        <w:rPr>
          <w:rFonts w:ascii="仿宋_GB2312" w:eastAsia="仿宋_GB2312"/>
          <w:color w:val="000000"/>
          <w:sz w:val="32"/>
          <w:szCs w:val="32"/>
        </w:rPr>
      </w:pPr>
      <w:r>
        <w:rPr>
          <w:rFonts w:ascii="仿宋_GB2312" w:eastAsia="仿宋_GB2312"/>
          <w:color w:val="000000"/>
          <w:sz w:val="32"/>
          <w:szCs w:val="32"/>
        </w:rPr>
        <w:t xml:space="preserve">反映行政事业单位按规定为职工缴纳的住房公积金。 </w:t>
      </w:r>
    </w:p>
    <w:p w:rsidR="0021334C" w:rsidRDefault="008511F3">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 xml:space="preserve">.住房保障（类）住房改革支出（款）购房补贴（项）： </w:t>
      </w:r>
    </w:p>
    <w:p w:rsidR="0021334C" w:rsidRDefault="008511F3">
      <w:pPr>
        <w:spacing w:line="576" w:lineRule="exact"/>
        <w:rPr>
          <w:rFonts w:ascii="仿宋_GB2312" w:eastAsia="仿宋_GB2312"/>
          <w:color w:val="000000"/>
          <w:sz w:val="32"/>
          <w:szCs w:val="32"/>
        </w:rPr>
      </w:pPr>
      <w:r>
        <w:rPr>
          <w:rFonts w:ascii="仿宋_GB2312" w:eastAsia="仿宋_GB2312"/>
          <w:color w:val="000000"/>
          <w:sz w:val="32"/>
          <w:szCs w:val="32"/>
        </w:rPr>
        <w:t>指根据房改政策规定的标准，向符合条件职工发放的用于购</w:t>
      </w:r>
    </w:p>
    <w:p w:rsidR="0021334C" w:rsidRDefault="008511F3">
      <w:pPr>
        <w:spacing w:line="576" w:lineRule="exact"/>
        <w:rPr>
          <w:rFonts w:ascii="仿宋_GB2312" w:eastAsia="仿宋_GB2312"/>
          <w:color w:val="000000"/>
          <w:sz w:val="32"/>
          <w:szCs w:val="32"/>
        </w:rPr>
      </w:pPr>
      <w:r>
        <w:rPr>
          <w:rFonts w:ascii="仿宋_GB2312" w:eastAsia="仿宋_GB2312"/>
          <w:color w:val="000000"/>
          <w:sz w:val="32"/>
          <w:szCs w:val="32"/>
        </w:rPr>
        <w:t xml:space="preserve">买住房的补贴。 </w:t>
      </w:r>
    </w:p>
    <w:p w:rsidR="0021334C" w:rsidRDefault="008511F3">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15.农林水支出</w:t>
      </w:r>
      <w:r>
        <w:rPr>
          <w:rFonts w:ascii="仿宋_GB2312" w:eastAsia="仿宋_GB2312"/>
          <w:color w:val="000000"/>
          <w:sz w:val="32"/>
          <w:szCs w:val="32"/>
        </w:rPr>
        <w:t>（类）</w:t>
      </w:r>
      <w:r>
        <w:rPr>
          <w:rFonts w:ascii="仿宋_GB2312" w:eastAsia="仿宋_GB2312" w:hint="eastAsia"/>
          <w:color w:val="000000"/>
          <w:sz w:val="32"/>
          <w:szCs w:val="32"/>
        </w:rPr>
        <w:t>扶贫</w:t>
      </w:r>
      <w:r>
        <w:rPr>
          <w:rFonts w:ascii="仿宋_GB2312" w:eastAsia="仿宋_GB2312"/>
          <w:color w:val="000000"/>
          <w:sz w:val="32"/>
          <w:szCs w:val="32"/>
        </w:rPr>
        <w:t>（款）</w:t>
      </w:r>
      <w:r>
        <w:rPr>
          <w:rFonts w:ascii="仿宋_GB2312" w:eastAsia="仿宋_GB2312" w:hint="eastAsia"/>
          <w:color w:val="000000"/>
          <w:sz w:val="32"/>
          <w:szCs w:val="32"/>
        </w:rPr>
        <w:t>农村基础设施建设</w:t>
      </w:r>
      <w:r>
        <w:rPr>
          <w:rFonts w:ascii="仿宋_GB2312" w:eastAsia="仿宋_GB2312"/>
          <w:color w:val="000000"/>
          <w:sz w:val="32"/>
          <w:szCs w:val="32"/>
        </w:rPr>
        <w:t>（项）</w:t>
      </w:r>
      <w:r>
        <w:rPr>
          <w:rFonts w:ascii="仿宋_GB2312" w:eastAsia="仿宋_GB2312" w:hint="eastAsia"/>
          <w:color w:val="000000"/>
          <w:sz w:val="32"/>
          <w:szCs w:val="32"/>
        </w:rPr>
        <w:t>：</w:t>
      </w:r>
    </w:p>
    <w:p w:rsidR="0021334C" w:rsidRDefault="008511F3">
      <w:pPr>
        <w:spacing w:line="576" w:lineRule="exact"/>
        <w:rPr>
          <w:rFonts w:ascii="仿宋_GB2312" w:eastAsia="仿宋_GB2312"/>
          <w:color w:val="000000"/>
          <w:sz w:val="32"/>
          <w:szCs w:val="32"/>
        </w:rPr>
      </w:pPr>
      <w:r>
        <w:rPr>
          <w:rFonts w:ascii="仿宋_GB2312" w:eastAsia="仿宋_GB2312" w:hint="eastAsia"/>
          <w:color w:val="000000"/>
          <w:sz w:val="32"/>
          <w:szCs w:val="32"/>
        </w:rPr>
        <w:t>用于</w:t>
      </w:r>
      <w:r>
        <w:rPr>
          <w:rFonts w:ascii="仿宋_GB2312" w:eastAsia="仿宋_GB2312"/>
          <w:color w:val="000000"/>
          <w:sz w:val="32"/>
          <w:szCs w:val="32"/>
        </w:rPr>
        <w:t>农村</w:t>
      </w:r>
      <w:r>
        <w:rPr>
          <w:rFonts w:ascii="仿宋_GB2312" w:eastAsia="仿宋_GB2312" w:hint="eastAsia"/>
          <w:color w:val="000000"/>
          <w:sz w:val="32"/>
          <w:szCs w:val="32"/>
        </w:rPr>
        <w:t>贫困地区乡村道路、住房、基本农田等生活条件改善方面的支出。</w:t>
      </w:r>
    </w:p>
    <w:p w:rsidR="0021334C" w:rsidRDefault="008511F3">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16.农林水支出</w:t>
      </w:r>
      <w:r>
        <w:rPr>
          <w:rFonts w:ascii="仿宋_GB2312" w:eastAsia="仿宋_GB2312"/>
          <w:color w:val="000000"/>
          <w:sz w:val="32"/>
          <w:szCs w:val="32"/>
        </w:rPr>
        <w:t>（类）</w:t>
      </w:r>
      <w:r>
        <w:rPr>
          <w:rFonts w:ascii="仿宋_GB2312" w:eastAsia="仿宋_GB2312" w:hint="eastAsia"/>
          <w:color w:val="000000"/>
          <w:sz w:val="32"/>
          <w:szCs w:val="32"/>
        </w:rPr>
        <w:t>扶贫</w:t>
      </w:r>
      <w:r>
        <w:rPr>
          <w:rFonts w:ascii="仿宋_GB2312" w:eastAsia="仿宋_GB2312"/>
          <w:color w:val="000000"/>
          <w:sz w:val="32"/>
          <w:szCs w:val="32"/>
        </w:rPr>
        <w:t>（款）</w:t>
      </w:r>
      <w:r>
        <w:rPr>
          <w:rFonts w:ascii="仿宋_GB2312" w:eastAsia="仿宋_GB2312" w:hint="eastAsia"/>
          <w:color w:val="000000"/>
          <w:sz w:val="32"/>
          <w:szCs w:val="32"/>
        </w:rPr>
        <w:t>其他扶贫支出</w:t>
      </w:r>
      <w:r>
        <w:rPr>
          <w:rFonts w:ascii="仿宋_GB2312" w:eastAsia="仿宋_GB2312"/>
          <w:color w:val="000000"/>
          <w:sz w:val="32"/>
          <w:szCs w:val="32"/>
        </w:rPr>
        <w:t>（项）</w:t>
      </w:r>
      <w:r>
        <w:rPr>
          <w:rFonts w:ascii="仿宋_GB2312" w:eastAsia="仿宋_GB2312" w:hint="eastAsia"/>
          <w:color w:val="000000"/>
          <w:sz w:val="32"/>
          <w:szCs w:val="32"/>
        </w:rPr>
        <w:t>：</w:t>
      </w:r>
    </w:p>
    <w:p w:rsidR="0021334C" w:rsidRDefault="008511F3">
      <w:pPr>
        <w:spacing w:line="576" w:lineRule="exact"/>
        <w:rPr>
          <w:rFonts w:ascii="仿宋_GB2312" w:eastAsia="仿宋_GB2312"/>
          <w:color w:val="000000"/>
          <w:sz w:val="32"/>
          <w:szCs w:val="32"/>
        </w:rPr>
      </w:pPr>
      <w:r>
        <w:rPr>
          <w:rFonts w:ascii="仿宋_GB2312" w:eastAsia="仿宋_GB2312" w:hint="eastAsia"/>
          <w:color w:val="000000"/>
          <w:sz w:val="32"/>
          <w:szCs w:val="32"/>
        </w:rPr>
        <w:t>反映除上述项目以外其他用于扶贫方面的支出。</w:t>
      </w:r>
    </w:p>
    <w:p w:rsidR="0021334C" w:rsidRDefault="008511F3">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17.农林水支出</w:t>
      </w:r>
      <w:r>
        <w:rPr>
          <w:rFonts w:ascii="仿宋_GB2312" w:eastAsia="仿宋_GB2312"/>
          <w:color w:val="000000"/>
          <w:sz w:val="32"/>
          <w:szCs w:val="32"/>
        </w:rPr>
        <w:t>（类）</w:t>
      </w:r>
      <w:r>
        <w:rPr>
          <w:rFonts w:ascii="仿宋_GB2312" w:eastAsia="仿宋_GB2312" w:hint="eastAsia"/>
          <w:color w:val="000000"/>
          <w:sz w:val="32"/>
          <w:szCs w:val="32"/>
        </w:rPr>
        <w:t>其他农林水支出</w:t>
      </w:r>
      <w:r>
        <w:rPr>
          <w:rFonts w:ascii="仿宋_GB2312" w:eastAsia="仿宋_GB2312"/>
          <w:color w:val="000000"/>
          <w:sz w:val="32"/>
          <w:szCs w:val="32"/>
        </w:rPr>
        <w:t>（款）</w:t>
      </w:r>
      <w:r>
        <w:rPr>
          <w:rFonts w:ascii="仿宋_GB2312" w:eastAsia="仿宋_GB2312" w:hint="eastAsia"/>
          <w:color w:val="000000"/>
          <w:sz w:val="32"/>
          <w:szCs w:val="32"/>
        </w:rPr>
        <w:t>其他农林水支出</w:t>
      </w:r>
      <w:r>
        <w:rPr>
          <w:rFonts w:ascii="仿宋_GB2312" w:eastAsia="仿宋_GB2312"/>
          <w:color w:val="000000"/>
          <w:sz w:val="32"/>
          <w:szCs w:val="32"/>
        </w:rPr>
        <w:t>（项）</w:t>
      </w:r>
      <w:r>
        <w:rPr>
          <w:rFonts w:ascii="仿宋_GB2312" w:eastAsia="仿宋_GB2312" w:hint="eastAsia"/>
          <w:color w:val="000000"/>
          <w:sz w:val="32"/>
          <w:szCs w:val="32"/>
        </w:rPr>
        <w:t>：反映除化解债务支出以外其他用于农林水方面的支出。</w:t>
      </w:r>
    </w:p>
    <w:p w:rsidR="0021334C" w:rsidRDefault="008511F3">
      <w:pPr>
        <w:spacing w:line="576" w:lineRule="exact"/>
        <w:ind w:firstLineChars="200" w:firstLine="640"/>
        <w:rPr>
          <w:rFonts w:ascii="仿宋_GB2312" w:eastAsia="仿宋_GB2312"/>
          <w:sz w:val="32"/>
          <w:szCs w:val="32"/>
        </w:rPr>
      </w:pPr>
      <w:r>
        <w:rPr>
          <w:rFonts w:ascii="仿宋_GB2312" w:eastAsia="仿宋_GB2312" w:hint="eastAsia"/>
          <w:color w:val="000000"/>
          <w:sz w:val="32"/>
          <w:szCs w:val="32"/>
        </w:rPr>
        <w:t>18.自然资源海洋气象等支出（类）自然资源事务（款）行政运</w:t>
      </w:r>
      <w:r>
        <w:rPr>
          <w:rFonts w:ascii="仿宋_GB2312" w:eastAsia="仿宋_GB2312" w:hint="eastAsia"/>
          <w:sz w:val="32"/>
          <w:szCs w:val="32"/>
        </w:rPr>
        <w:t>行（项）：反映用于自然资源行政单位的基本支出。</w:t>
      </w:r>
    </w:p>
    <w:p w:rsidR="0021334C" w:rsidRDefault="008511F3">
      <w:pPr>
        <w:spacing w:line="576" w:lineRule="exact"/>
        <w:ind w:firstLineChars="200" w:firstLine="640"/>
        <w:rPr>
          <w:rFonts w:ascii="仿宋_GB2312" w:eastAsia="仿宋_GB2312"/>
          <w:sz w:val="32"/>
          <w:szCs w:val="32"/>
        </w:rPr>
      </w:pPr>
      <w:r>
        <w:rPr>
          <w:rFonts w:ascii="仿宋_GB2312" w:eastAsia="仿宋_GB2312" w:hint="eastAsia"/>
          <w:sz w:val="32"/>
          <w:szCs w:val="32"/>
        </w:rPr>
        <w:lastRenderedPageBreak/>
        <w:t>19.自然资源海洋气象等支出（类）自然资源事务（款）一般行政管理事务（项）：反映未单独设置项级科目的其他项目支出</w:t>
      </w:r>
    </w:p>
    <w:p w:rsidR="0021334C" w:rsidRDefault="008511F3">
      <w:pPr>
        <w:spacing w:line="576" w:lineRule="exact"/>
        <w:ind w:firstLineChars="200" w:firstLine="640"/>
        <w:rPr>
          <w:rFonts w:ascii="仿宋_GB2312" w:eastAsia="仿宋_GB2312"/>
          <w:sz w:val="32"/>
          <w:szCs w:val="32"/>
        </w:rPr>
      </w:pPr>
      <w:r>
        <w:rPr>
          <w:rFonts w:ascii="仿宋_GB2312" w:eastAsia="仿宋_GB2312" w:hint="eastAsia"/>
          <w:sz w:val="32"/>
          <w:szCs w:val="32"/>
        </w:rPr>
        <w:t>20.自然资源海洋气象等支出（类）自然资源事务（款）土地资源调查（项）：反映用于土地资源调查评价、土地利用变更调查、地籍调查等方面的支出。</w:t>
      </w:r>
    </w:p>
    <w:p w:rsidR="0021334C" w:rsidRDefault="008511F3">
      <w:pPr>
        <w:spacing w:line="576" w:lineRule="exact"/>
        <w:ind w:firstLineChars="200" w:firstLine="640"/>
        <w:rPr>
          <w:rFonts w:ascii="仿宋_GB2312" w:eastAsia="仿宋_GB2312"/>
          <w:color w:val="000000"/>
          <w:sz w:val="32"/>
          <w:szCs w:val="32"/>
        </w:rPr>
      </w:pPr>
      <w:r>
        <w:rPr>
          <w:rFonts w:ascii="仿宋_GB2312" w:eastAsia="仿宋_GB2312" w:hint="eastAsia"/>
          <w:sz w:val="32"/>
          <w:szCs w:val="32"/>
        </w:rPr>
        <w:t>21.自然资源海洋气象等支出（类</w:t>
      </w:r>
      <w:r>
        <w:rPr>
          <w:rFonts w:ascii="仿宋_GB2312" w:eastAsia="仿宋_GB2312" w:hint="eastAsia"/>
          <w:color w:val="000000"/>
          <w:sz w:val="32"/>
          <w:szCs w:val="32"/>
        </w:rPr>
        <w:t>）自然资源事务（款）事业运行（项）：反映用于自然资源事业单位的基本支出。</w:t>
      </w:r>
    </w:p>
    <w:p w:rsidR="0021334C" w:rsidRDefault="008511F3">
      <w:pPr>
        <w:spacing w:line="576" w:lineRule="exact"/>
        <w:ind w:firstLine="640"/>
        <w:rPr>
          <w:rFonts w:ascii="仿宋_GB2312" w:eastAsia="仿宋_GB2312"/>
          <w:color w:val="000000"/>
          <w:sz w:val="32"/>
          <w:szCs w:val="32"/>
        </w:rPr>
      </w:pPr>
      <w:r>
        <w:rPr>
          <w:rFonts w:ascii="仿宋_GB2312" w:eastAsia="仿宋_GB2312" w:hint="eastAsia"/>
          <w:color w:val="000000"/>
          <w:sz w:val="32"/>
          <w:szCs w:val="32"/>
        </w:rPr>
        <w:t>22.自然资源海洋气象等支出（类）自然资源事务（款）其他自然资源事务支出（项）：反映除上述项目以外其他用于自然资源事务方面的支出。</w:t>
      </w:r>
    </w:p>
    <w:p w:rsidR="0021334C" w:rsidRDefault="008511F3">
      <w:pPr>
        <w:spacing w:line="576" w:lineRule="exact"/>
        <w:ind w:firstLine="640"/>
        <w:rPr>
          <w:rFonts w:ascii="仿宋_GB2312" w:eastAsia="仿宋_GB2312"/>
          <w:color w:val="000000"/>
          <w:sz w:val="32"/>
          <w:szCs w:val="32"/>
        </w:rPr>
      </w:pPr>
      <w:r>
        <w:rPr>
          <w:rFonts w:ascii="仿宋_GB2312" w:eastAsia="仿宋_GB2312" w:hint="eastAsia"/>
          <w:color w:val="000000"/>
          <w:sz w:val="32"/>
          <w:szCs w:val="32"/>
        </w:rPr>
        <w:t>23.灾害防治及应急管理支出（类）自然灾害防治（款）地质灾害防治（项）：反映防治地质灾害方面的支出。</w:t>
      </w:r>
    </w:p>
    <w:p w:rsidR="0021334C" w:rsidRDefault="008511F3">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4</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21334C" w:rsidRDefault="008511F3">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5</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21334C" w:rsidRDefault="008511F3">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6</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21334C" w:rsidRDefault="008511F3">
      <w:pPr>
        <w:pStyle w:val="Default"/>
        <w:spacing w:line="576" w:lineRule="exact"/>
        <w:ind w:firstLineChars="200" w:firstLine="640"/>
        <w:jc w:val="both"/>
        <w:rPr>
          <w:rFonts w:ascii="仿宋_GB2312" w:eastAsia="仿宋_GB2312"/>
          <w:sz w:val="32"/>
          <w:szCs w:val="32"/>
        </w:rPr>
      </w:pPr>
      <w:r>
        <w:rPr>
          <w:rFonts w:ascii="仿宋_GB2312" w:eastAsia="仿宋_GB2312" w:hint="eastAsia"/>
          <w:sz w:val="32"/>
          <w:szCs w:val="32"/>
        </w:rPr>
        <w:t>27</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w:t>
      </w:r>
      <w:r>
        <w:rPr>
          <w:rFonts w:ascii="仿宋_GB2312" w:eastAsia="仿宋_GB2312" w:hint="eastAsia"/>
          <w:sz w:val="32"/>
          <w:szCs w:val="32"/>
        </w:rPr>
        <w:lastRenderedPageBreak/>
        <w:t>车辆购置税）及租用费、燃料费、维修费、过路过桥费、保险费等支出；公务接待费反映单位按规定开支的各类公务接待（含外宾接待）支出。</w:t>
      </w:r>
    </w:p>
    <w:p w:rsidR="0021334C" w:rsidRDefault="008511F3">
      <w:pPr>
        <w:pStyle w:val="Default"/>
        <w:spacing w:line="576" w:lineRule="exact"/>
        <w:ind w:firstLineChars="200" w:firstLine="640"/>
        <w:jc w:val="both"/>
        <w:rPr>
          <w:rFonts w:ascii="仿宋_GB2312" w:eastAsia="仿宋_GB2312"/>
          <w:sz w:val="32"/>
          <w:szCs w:val="32"/>
        </w:rPr>
      </w:pPr>
      <w:r>
        <w:rPr>
          <w:rFonts w:ascii="仿宋_GB2312" w:eastAsia="仿宋_GB2312" w:hint="eastAsia"/>
          <w:sz w:val="32"/>
          <w:szCs w:val="32"/>
        </w:rPr>
        <w:t>28</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21334C" w:rsidRDefault="008511F3">
      <w:pPr>
        <w:pStyle w:val="Default"/>
        <w:spacing w:line="576" w:lineRule="exact"/>
        <w:ind w:firstLineChars="200" w:firstLine="640"/>
        <w:jc w:val="both"/>
        <w:rPr>
          <w:rFonts w:ascii="仿宋_GB2312" w:eastAsia="仿宋_GB2312" w:cs="黑体"/>
          <w:sz w:val="32"/>
          <w:szCs w:val="32"/>
        </w:rPr>
      </w:pPr>
      <w:r>
        <w:rPr>
          <w:rFonts w:ascii="仿宋_GB2312" w:eastAsia="仿宋_GB2312" w:cs="黑体" w:hint="eastAsia"/>
          <w:sz w:val="32"/>
          <w:szCs w:val="32"/>
        </w:rPr>
        <w:t>39</w:t>
      </w:r>
      <w:r>
        <w:rPr>
          <w:rFonts w:ascii="仿宋_GB2312" w:eastAsia="仿宋_GB2312" w:cs="黑体"/>
          <w:sz w:val="32"/>
          <w:szCs w:val="32"/>
        </w:rPr>
        <w:t>.财政应返还额度：为行政事业单位会计核算科目</w:t>
      </w:r>
      <w:r>
        <w:rPr>
          <w:rFonts w:ascii="仿宋_GB2312" w:eastAsia="仿宋_GB2312" w:cs="黑体" w:hint="eastAsia"/>
          <w:sz w:val="32"/>
          <w:szCs w:val="32"/>
        </w:rPr>
        <w:t>，用于核算实行国库集中支付的行政事业单位应收财政返还的资金额度。</w:t>
      </w:r>
    </w:p>
    <w:p w:rsidR="0021334C" w:rsidRDefault="008511F3">
      <w:pPr>
        <w:widowControl/>
        <w:jc w:val="left"/>
        <w:rPr>
          <w:rStyle w:val="1Char"/>
          <w:rFonts w:ascii="黑体" w:eastAsia="黑体" w:hAnsi="黑体"/>
        </w:rPr>
      </w:pPr>
      <w:r>
        <w:rPr>
          <w:rStyle w:val="1Char"/>
          <w:rFonts w:ascii="黑体" w:eastAsia="黑体" w:hAnsi="黑体"/>
        </w:rPr>
        <w:br w:type="page"/>
      </w:r>
    </w:p>
    <w:p w:rsidR="0021334C" w:rsidRDefault="008511F3">
      <w:pPr>
        <w:spacing w:line="600" w:lineRule="exact"/>
        <w:ind w:firstLineChars="600" w:firstLine="2650"/>
        <w:outlineLvl w:val="0"/>
        <w:rPr>
          <w:rStyle w:val="1Char"/>
          <w:rFonts w:ascii="黑体" w:eastAsia="黑体" w:hAnsi="黑体"/>
        </w:rPr>
      </w:pPr>
      <w:r>
        <w:rPr>
          <w:rStyle w:val="1Char"/>
          <w:rFonts w:ascii="黑体" w:eastAsia="黑体" w:hAnsi="黑体" w:hint="eastAsia"/>
        </w:rPr>
        <w:lastRenderedPageBreak/>
        <w:t>第四部分 附件</w:t>
      </w:r>
    </w:p>
    <w:p w:rsidR="0021334C" w:rsidRDefault="008511F3">
      <w:pPr>
        <w:spacing w:line="600" w:lineRule="exact"/>
        <w:jc w:val="left"/>
        <w:outlineLvl w:val="0"/>
        <w:rPr>
          <w:rFonts w:ascii="黑体" w:eastAsia="黑体" w:hAnsi="黑体" w:cs="黑体"/>
          <w:sz w:val="32"/>
          <w:szCs w:val="32"/>
        </w:rPr>
      </w:pPr>
      <w:r>
        <w:rPr>
          <w:rFonts w:ascii="黑体" w:eastAsia="黑体" w:hAnsi="黑体" w:cs="黑体" w:hint="eastAsia"/>
          <w:sz w:val="32"/>
          <w:szCs w:val="32"/>
        </w:rPr>
        <w:t>附件1</w:t>
      </w:r>
    </w:p>
    <w:p w:rsidR="0021334C" w:rsidRDefault="008511F3">
      <w:pPr>
        <w:spacing w:line="600" w:lineRule="exact"/>
        <w:jc w:val="center"/>
        <w:outlineLvl w:val="0"/>
        <w:rPr>
          <w:rFonts w:ascii="方正小标宋简体" w:eastAsia="方正小标宋简体" w:hAnsi="黑体" w:cs="黑体"/>
          <w:sz w:val="44"/>
          <w:szCs w:val="44"/>
        </w:rPr>
      </w:pPr>
      <w:bookmarkStart w:id="59" w:name="_Toc15396616"/>
      <w:r>
        <w:rPr>
          <w:rFonts w:ascii="方正小标宋简体" w:eastAsia="方正小标宋简体" w:hAnsi="黑体" w:cs="黑体" w:hint="eastAsia"/>
          <w:sz w:val="44"/>
          <w:szCs w:val="44"/>
        </w:rPr>
        <w:t>茂县自然资源局</w:t>
      </w:r>
    </w:p>
    <w:p w:rsidR="0021334C" w:rsidRDefault="008511F3">
      <w:pPr>
        <w:spacing w:line="600" w:lineRule="exact"/>
        <w:jc w:val="center"/>
        <w:outlineLvl w:val="0"/>
        <w:rPr>
          <w:rFonts w:ascii="方正小标宋简体" w:eastAsia="方正小标宋简体" w:hAnsi="黑体" w:cs="黑体"/>
          <w:sz w:val="44"/>
          <w:szCs w:val="44"/>
        </w:rPr>
      </w:pPr>
      <w:r>
        <w:rPr>
          <w:rFonts w:ascii="方正小标宋简体" w:eastAsia="方正小标宋简体" w:hAnsi="黑体" w:cs="黑体" w:hint="eastAsia"/>
          <w:sz w:val="44"/>
          <w:szCs w:val="44"/>
        </w:rPr>
        <w:t>2020年部门整体支出绩效评价报告</w:t>
      </w:r>
      <w:bookmarkEnd w:id="59"/>
    </w:p>
    <w:p w:rsidR="0021334C" w:rsidRDefault="0021334C">
      <w:pPr>
        <w:spacing w:line="580" w:lineRule="exact"/>
        <w:ind w:firstLineChars="200" w:firstLine="643"/>
        <w:rPr>
          <w:rFonts w:ascii="仿宋_GB2312" w:eastAsia="仿宋_GB2312" w:hAnsi="黑体" w:cs="黑体"/>
          <w:b/>
          <w:sz w:val="32"/>
          <w:szCs w:val="32"/>
        </w:rPr>
      </w:pPr>
    </w:p>
    <w:p w:rsidR="0021334C" w:rsidRDefault="008511F3">
      <w:pPr>
        <w:spacing w:line="580" w:lineRule="exact"/>
        <w:ind w:firstLineChars="200" w:firstLine="640"/>
        <w:rPr>
          <w:rFonts w:ascii="黑体" w:eastAsia="黑体" w:hAnsi="宋体" w:cs="宋体"/>
          <w:color w:val="000000"/>
          <w:kern w:val="0"/>
          <w:sz w:val="32"/>
          <w:szCs w:val="32"/>
          <w:shd w:val="clear" w:color="auto" w:fill="FFFFFF"/>
          <w:lang w:val="zh-CN"/>
        </w:rPr>
      </w:pPr>
      <w:r>
        <w:rPr>
          <w:rFonts w:ascii="黑体" w:eastAsia="黑体" w:hAnsi="宋体" w:cs="宋体" w:hint="eastAsia"/>
          <w:color w:val="000000"/>
          <w:kern w:val="0"/>
          <w:sz w:val="32"/>
          <w:szCs w:val="32"/>
          <w:shd w:val="clear" w:color="auto" w:fill="FFFFFF"/>
          <w:lang w:val="zh-CN"/>
        </w:rPr>
        <w:t>一、部门（单位）概况</w:t>
      </w:r>
    </w:p>
    <w:p w:rsidR="0021334C" w:rsidRDefault="008511F3">
      <w:pPr>
        <w:numPr>
          <w:ilvl w:val="0"/>
          <w:numId w:val="2"/>
        </w:numPr>
        <w:spacing w:line="580" w:lineRule="exact"/>
        <w:rPr>
          <w:rFonts w:ascii="仿宋_GB2312" w:eastAsia="仿宋_GB2312" w:hAnsi="仿宋" w:cs="仿宋_GB2312"/>
          <w:sz w:val="32"/>
          <w:szCs w:val="32"/>
        </w:rPr>
      </w:pPr>
      <w:r>
        <w:rPr>
          <w:rFonts w:ascii="仿宋_GB2312" w:eastAsia="仿宋_GB2312" w:hAnsi="仿宋" w:cs="仿宋_GB2312" w:hint="eastAsia"/>
          <w:sz w:val="32"/>
          <w:szCs w:val="32"/>
        </w:rPr>
        <w:t>机构组成</w:t>
      </w:r>
    </w:p>
    <w:p w:rsidR="0021334C" w:rsidRDefault="008511F3">
      <w:pPr>
        <w:widowControl/>
        <w:jc w:val="left"/>
        <w:rPr>
          <w:rFonts w:ascii="仿宋_GB2312" w:eastAsia="仿宋_GB2312" w:hAnsi="仿宋"/>
          <w:color w:val="000000"/>
          <w:kern w:val="0"/>
          <w:sz w:val="32"/>
          <w:szCs w:val="32"/>
        </w:rPr>
      </w:pPr>
      <w:r>
        <w:rPr>
          <w:rFonts w:ascii="仿宋_GB2312" w:eastAsia="仿宋_GB2312" w:hint="eastAsia"/>
          <w:sz w:val="32"/>
          <w:szCs w:val="32"/>
        </w:rPr>
        <w:t>茂县自然资源局是一级预算行政单位，无下属二级预算单位。</w:t>
      </w:r>
    </w:p>
    <w:p w:rsidR="0021334C" w:rsidRDefault="008511F3">
      <w:pPr>
        <w:numPr>
          <w:ilvl w:val="0"/>
          <w:numId w:val="2"/>
        </w:numPr>
        <w:spacing w:line="580" w:lineRule="exact"/>
        <w:rPr>
          <w:rFonts w:ascii="仿宋_GB2312" w:eastAsia="仿宋_GB2312" w:hAnsi="仿宋" w:cs="仿宋_GB2312"/>
          <w:sz w:val="32"/>
          <w:szCs w:val="32"/>
        </w:rPr>
      </w:pPr>
      <w:r>
        <w:rPr>
          <w:rFonts w:ascii="仿宋_GB2312" w:eastAsia="仿宋_GB2312" w:hAnsi="仿宋" w:cs="仿宋_GB2312" w:hint="eastAsia"/>
          <w:sz w:val="32"/>
          <w:szCs w:val="32"/>
        </w:rPr>
        <w:t>机构职能</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1.履行全民所有土地、矿产、森林、草原、湿地、水等自然资源资产所有者职责和所有国土空间用途管制职责；</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2.负责全县自然资源调查监测评价；</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3.负责全县自然资源统一确权登记工作；</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4.负责全县自然资源资产有偿使用工作；</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5.负责全县自然资源的合理开发利用；</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6.负责建立全县空间规划体系并监督实施；</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7.负责统筹全县国土空间生态修复；</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8.负责组织实施最严格的耕地保护制度；</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9.负责管理全县地质勘查行业和地质工作；</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10.负责落实综合防灾减灾规划相关要求；</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11.负责全县矿产资源管理工作；</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12.负责全县测绘地理信息工作；</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13.推动全县自然资源领域科技发展和对外合作；</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lastRenderedPageBreak/>
        <w:t>14.配合国家、省、州对县人民政府落实党中央、国务院关于自然资源和国土空间规划的重大方针政策、决策部署及法律法规执行情况进行督察；</w:t>
      </w:r>
    </w:p>
    <w:p w:rsidR="0021334C" w:rsidRDefault="008511F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15.负责职责范围内的安全生产和职业健康、生态环境保护、审批服务便民化及行政执法等工作；</w:t>
      </w:r>
    </w:p>
    <w:p w:rsidR="0021334C" w:rsidRDefault="008511F3">
      <w:pPr>
        <w:widowControl/>
        <w:snapToGrid w:val="0"/>
        <w:spacing w:line="576" w:lineRule="exact"/>
        <w:ind w:firstLineChars="200" w:firstLine="640"/>
      </w:pPr>
      <w:r>
        <w:rPr>
          <w:rFonts w:ascii="仿宋_GB2312" w:eastAsia="仿宋_GB2312" w:hAnsi="仿宋_GB2312" w:cs="仿宋_GB2312" w:hint="eastAsia"/>
          <w:color w:val="000000"/>
          <w:kern w:val="0"/>
          <w:sz w:val="32"/>
          <w:szCs w:val="32"/>
          <w:shd w:val="clear" w:color="auto" w:fill="FFFFFF"/>
        </w:rPr>
        <w:t>16.完成县委、县人民政府交办的其他任务。</w:t>
      </w:r>
    </w:p>
    <w:p w:rsidR="0021334C" w:rsidRDefault="0021334C">
      <w:pPr>
        <w:pStyle w:val="a0"/>
      </w:pPr>
    </w:p>
    <w:p w:rsidR="0021334C" w:rsidRDefault="008511F3">
      <w:pPr>
        <w:spacing w:line="58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（三）人员概况</w:t>
      </w:r>
    </w:p>
    <w:p w:rsidR="0021334C" w:rsidRDefault="008511F3">
      <w:pPr>
        <w:spacing w:line="560" w:lineRule="exact"/>
        <w:ind w:firstLineChars="300" w:firstLine="960"/>
        <w:rPr>
          <w:rFonts w:ascii="仿宋_GB2312" w:eastAsia="仿宋_GB2312" w:hAnsi="仿宋"/>
          <w:sz w:val="32"/>
          <w:szCs w:val="32"/>
        </w:rPr>
      </w:pPr>
      <w:r>
        <w:rPr>
          <w:rFonts w:ascii="仿宋_GB2312" w:eastAsia="仿宋_GB2312" w:hAnsi="仿宋" w:hint="eastAsia"/>
          <w:sz w:val="32"/>
          <w:szCs w:val="32"/>
        </w:rPr>
        <w:t>2020年，茂县自然资源管理局在职人数52人（行政人员5人，行政工勤2人，参公管理事业人员6人，非参公管理事业人员39人），</w:t>
      </w:r>
    </w:p>
    <w:p w:rsidR="0021334C" w:rsidRDefault="008511F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二、部门财政资金收支情况</w:t>
      </w:r>
    </w:p>
    <w:p w:rsidR="0021334C" w:rsidRDefault="008511F3">
      <w:pPr>
        <w:spacing w:line="580" w:lineRule="exact"/>
        <w:ind w:firstLineChars="100" w:firstLine="320"/>
        <w:rPr>
          <w:rFonts w:ascii="仿宋_GB2312" w:eastAsia="仿宋_GB2312" w:hAnsi="仿宋" w:cs="仿宋_GB2312"/>
          <w:sz w:val="32"/>
          <w:szCs w:val="32"/>
        </w:rPr>
      </w:pPr>
      <w:r>
        <w:rPr>
          <w:rFonts w:ascii="仿宋_GB2312" w:eastAsia="仿宋_GB2312" w:hAnsi="仿宋" w:cs="仿宋_GB2312" w:hint="eastAsia"/>
          <w:sz w:val="32"/>
          <w:szCs w:val="32"/>
        </w:rPr>
        <w:t>（一）部门财政资金收入情况</w:t>
      </w:r>
    </w:p>
    <w:p w:rsidR="0021334C" w:rsidRDefault="008511F3">
      <w:pPr>
        <w:spacing w:line="60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2020年财政拨款收入总计9866.63万元，财政拨款支出总计10009.43万元。与2019年相比，财政拨款收入增加3801.52万元，增长62.68%。财政拨款支出增加1374.59万元，增长15.9%。主要变动原因是项目增加。</w:t>
      </w:r>
    </w:p>
    <w:p w:rsidR="0021334C" w:rsidRDefault="008511F3">
      <w:pPr>
        <w:spacing w:line="60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（图4：财政拨款收、支决算总计变动情况）</w:t>
      </w:r>
    </w:p>
    <w:p w:rsidR="0021334C" w:rsidRDefault="008511F3">
      <w:pPr>
        <w:spacing w:line="600" w:lineRule="exact"/>
        <w:ind w:left="420"/>
        <w:rPr>
          <w:rFonts w:ascii="仿宋_GB2312" w:eastAsia="仿宋_GB2312" w:hAnsi="仿宋"/>
          <w:color w:val="000000" w:themeColor="text1"/>
          <w:sz w:val="32"/>
          <w:szCs w:val="32"/>
        </w:rPr>
      </w:pPr>
      <w:r>
        <w:rPr>
          <w:noProof/>
        </w:rPr>
        <w:lastRenderedPageBreak/>
        <w:drawing>
          <wp:anchor distT="0" distB="0" distL="114300" distR="114300" simplePos="0" relativeHeight="251662336" behindDoc="0" locked="0" layoutInCell="1" allowOverlap="1">
            <wp:simplePos x="0" y="0"/>
            <wp:positionH relativeFrom="column">
              <wp:posOffset>1014095</wp:posOffset>
            </wp:positionH>
            <wp:positionV relativeFrom="paragraph">
              <wp:posOffset>375920</wp:posOffset>
            </wp:positionV>
            <wp:extent cx="3533775" cy="2952750"/>
            <wp:effectExtent l="4445" t="4445" r="5080" b="14605"/>
            <wp:wrapTopAndBottom/>
            <wp:docPr id="317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21334C" w:rsidRDefault="008511F3">
      <w:pPr>
        <w:spacing w:line="580" w:lineRule="exact"/>
        <w:ind w:left="420" w:firstLineChars="100" w:firstLine="320"/>
        <w:rPr>
          <w:rFonts w:ascii="仿宋_GB2312" w:eastAsia="仿宋_GB2312" w:hAnsi="仿宋" w:cs="仿宋_GB2312"/>
          <w:sz w:val="32"/>
          <w:szCs w:val="32"/>
        </w:rPr>
      </w:pPr>
      <w:r>
        <w:rPr>
          <w:rFonts w:ascii="仿宋_GB2312" w:eastAsia="仿宋_GB2312" w:hAnsi="仿宋" w:cs="仿宋_GB2312" w:hint="eastAsia"/>
          <w:sz w:val="32"/>
          <w:szCs w:val="32"/>
        </w:rPr>
        <w:t>（二）部门财政资金支出情况</w:t>
      </w:r>
    </w:p>
    <w:p w:rsidR="0021334C" w:rsidRDefault="008511F3">
      <w:pPr>
        <w:spacing w:line="580" w:lineRule="exact"/>
        <w:ind w:firstLineChars="300" w:firstLine="960"/>
        <w:rPr>
          <w:rFonts w:ascii="仿宋_GB2312" w:eastAsia="仿宋_GB2312" w:hAnsi="黑体" w:cs="黑体"/>
          <w:sz w:val="32"/>
          <w:szCs w:val="32"/>
        </w:rPr>
      </w:pPr>
      <w:r>
        <w:rPr>
          <w:rFonts w:ascii="仿宋_GB2312" w:eastAsia="仿宋_GB2312" w:hAnsi="仿宋" w:hint="eastAsia"/>
          <w:color w:val="000000"/>
          <w:sz w:val="32"/>
          <w:szCs w:val="32"/>
        </w:rPr>
        <w:t>财政拨款支出总计10009.43万元</w:t>
      </w:r>
      <w:r w:rsidR="007F2D6D">
        <w:rPr>
          <w:rFonts w:ascii="仿宋_GB2312" w:eastAsia="仿宋_GB2312" w:hAnsi="仿宋" w:hint="eastAsia"/>
          <w:color w:val="000000"/>
          <w:sz w:val="32"/>
          <w:szCs w:val="32"/>
        </w:rPr>
        <w:t>。</w:t>
      </w:r>
    </w:p>
    <w:p w:rsidR="0021334C" w:rsidRDefault="008511F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三、部门整体预算绩效管理情况</w:t>
      </w:r>
    </w:p>
    <w:p w:rsidR="0021334C" w:rsidRDefault="008511F3">
      <w:pPr>
        <w:spacing w:line="58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（一）部门预算管理</w:t>
      </w:r>
    </w:p>
    <w:p w:rsidR="0021334C" w:rsidRDefault="008511F3">
      <w:pPr>
        <w:spacing w:line="580" w:lineRule="exact"/>
        <w:ind w:firstLineChars="200" w:firstLine="640"/>
        <w:rPr>
          <w:rFonts w:ascii="仿宋_GB2312" w:eastAsia="仿宋_GB2312" w:hAnsi="仿宋" w:cs="仿宋_GB2312"/>
          <w:sz w:val="32"/>
          <w:szCs w:val="32"/>
        </w:rPr>
      </w:pPr>
      <w:r>
        <w:rPr>
          <w:rFonts w:ascii="仿宋" w:eastAsia="仿宋" w:hAnsi="仿宋" w:cs="仿宋" w:hint="eastAsia"/>
          <w:sz w:val="32"/>
          <w:szCs w:val="32"/>
        </w:rPr>
        <w:t>我单位根据《行政单位会计制度》、《预算法》、等相关法律法规制定了单位层面管理制度、业务层面管理制度，完成了内部控制规范体系建设，特别就“三公经费”等按照中央八项规定、省九条规定规范了经费支出流程，制定了公务接待、公务用车、差旅费、办公费等相关实施细则，厉行节约、严控“三公经费”和日常公用经费；接待制度对人员、标准、接待程序都予以规范，用车制度对车辆管理、维修、费用支出都进行了明确。同时，按照普格县财政局要求实行“整体部门预算”、“三公经费”预算、“政府采购”预算公</w:t>
      </w:r>
      <w:r>
        <w:rPr>
          <w:rFonts w:ascii="仿宋" w:eastAsia="仿宋" w:hAnsi="仿宋" w:cs="仿宋" w:hint="eastAsia"/>
          <w:sz w:val="32"/>
          <w:szCs w:val="32"/>
        </w:rPr>
        <w:lastRenderedPageBreak/>
        <w:t>开制度，有效控制了基本支出，实际支出没有超出预算规模、范围和标准。2020年“三公经费”预算4万元</w:t>
      </w:r>
      <w:r>
        <w:rPr>
          <w:rFonts w:ascii="仿宋_GB2312" w:eastAsia="仿宋_GB2312" w:hAnsi="仿宋" w:cs="仿宋_GB2312" w:hint="eastAsia"/>
          <w:sz w:val="32"/>
          <w:szCs w:val="32"/>
        </w:rPr>
        <w:t>。</w:t>
      </w:r>
    </w:p>
    <w:p w:rsidR="0021334C" w:rsidRDefault="008511F3">
      <w:pPr>
        <w:spacing w:line="58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（二）结果应用情况</w:t>
      </w:r>
    </w:p>
    <w:p w:rsidR="0021334C" w:rsidRDefault="008511F3">
      <w:pPr>
        <w:spacing w:line="58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包括部门自评质量、绩效目标公开和自评公开、评价结果整改和应用结果反馈等情况。</w:t>
      </w:r>
    </w:p>
    <w:p w:rsidR="0021334C" w:rsidRDefault="008511F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四、评价结论及建议</w:t>
      </w:r>
    </w:p>
    <w:p w:rsidR="0021334C" w:rsidRDefault="008511F3">
      <w:pPr>
        <w:spacing w:line="560" w:lineRule="exact"/>
        <w:ind w:firstLineChars="200" w:firstLine="640"/>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（一）评价结论</w:t>
      </w:r>
    </w:p>
    <w:p w:rsidR="0021334C" w:rsidRDefault="008511F3">
      <w:pPr>
        <w:spacing w:line="560" w:lineRule="exact"/>
        <w:ind w:firstLineChars="200" w:firstLine="640"/>
      </w:pPr>
      <w:r>
        <w:rPr>
          <w:rFonts w:ascii="仿宋" w:eastAsia="仿宋" w:hAnsi="仿宋" w:cs="仿宋" w:hint="eastAsia"/>
          <w:sz w:val="32"/>
          <w:szCs w:val="32"/>
        </w:rPr>
        <w:t>高度重视绩效评价结果的应用工作，积极探索和建立一套与预算管理相结合、多渠道应用评价结果的有效机制，大力提高绩效意识和财政资金使用效益。</w:t>
      </w:r>
    </w:p>
    <w:p w:rsidR="0021334C" w:rsidRDefault="008511F3">
      <w:pPr>
        <w:pStyle w:val="a0"/>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（二）存在问题</w:t>
      </w:r>
    </w:p>
    <w:p w:rsidR="0021334C" w:rsidRDefault="008511F3">
      <w:pPr>
        <w:pStyle w:val="a0"/>
        <w:rPr>
          <w:sz w:val="32"/>
          <w:szCs w:val="32"/>
        </w:rPr>
      </w:pPr>
      <w:r>
        <w:rPr>
          <w:rFonts w:ascii="仿宋" w:eastAsia="仿宋" w:hAnsi="仿宋" w:cs="仿宋" w:hint="eastAsia"/>
          <w:sz w:val="32"/>
          <w:szCs w:val="32"/>
        </w:rPr>
        <w:t>基本支出执行与年初一致，无问题。</w:t>
      </w:r>
    </w:p>
    <w:p w:rsidR="0021334C" w:rsidRDefault="008511F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（三）改进建议</w:t>
      </w:r>
    </w:p>
    <w:p w:rsidR="0021334C" w:rsidRDefault="008511F3">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1、细化预算编制工作，认真做好预算的编制。</w:t>
      </w:r>
    </w:p>
    <w:p w:rsidR="0021334C" w:rsidRDefault="008511F3">
      <w:pPr>
        <w:spacing w:line="580" w:lineRule="exact"/>
        <w:ind w:firstLineChars="200" w:firstLine="640"/>
        <w:rPr>
          <w:rFonts w:ascii="仿宋_GB2312" w:eastAsia="仿宋_GB2312" w:hAnsi="仿宋_GB2312" w:cs="仿宋_GB2312"/>
          <w:sz w:val="32"/>
          <w:szCs w:val="32"/>
        </w:rPr>
      </w:pPr>
      <w:r>
        <w:rPr>
          <w:rFonts w:ascii="仿宋" w:eastAsia="仿宋" w:hAnsi="仿宋" w:cs="仿宋" w:hint="eastAsia"/>
          <w:sz w:val="32"/>
          <w:szCs w:val="32"/>
        </w:rPr>
        <w:t>2、加强财务管理，严格财务审核。在费用报账支付时，按照预算规定的费用项目和用途进行资金使用审核、列报支付、财务核算，杜绝超支现象的发生。</w:t>
      </w:r>
    </w:p>
    <w:p w:rsidR="0021334C" w:rsidRDefault="008511F3">
      <w:pPr>
        <w:widowControl/>
        <w:jc w:val="left"/>
        <w:rPr>
          <w:rFonts w:ascii="黑体" w:eastAsia="黑体" w:hAnsi="黑体"/>
          <w:color w:val="000000"/>
          <w:sz w:val="44"/>
          <w:szCs w:val="44"/>
        </w:rPr>
      </w:pPr>
      <w:bookmarkStart w:id="60" w:name="_Toc79163635"/>
      <w:bookmarkStart w:id="61" w:name="_Toc15396618"/>
      <w:bookmarkStart w:id="62" w:name="_Toc79163885"/>
      <w:r>
        <w:rPr>
          <w:rFonts w:ascii="黑体" w:eastAsia="黑体" w:hAnsi="黑体"/>
          <w:color w:val="000000"/>
          <w:sz w:val="44"/>
          <w:szCs w:val="44"/>
        </w:rPr>
        <w:br w:type="page"/>
      </w:r>
    </w:p>
    <w:p w:rsidR="0021334C" w:rsidRDefault="008511F3">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b w:val="0"/>
        </w:rPr>
        <w:t xml:space="preserve"> </w:t>
      </w:r>
      <w:r>
        <w:rPr>
          <w:rStyle w:val="1Char"/>
          <w:rFonts w:ascii="黑体" w:eastAsia="黑体" w:hAnsi="黑体" w:hint="eastAsia"/>
          <w:b w:val="0"/>
        </w:rPr>
        <w:t>附表</w:t>
      </w:r>
      <w:bookmarkEnd w:id="60"/>
      <w:bookmarkEnd w:id="61"/>
      <w:bookmarkEnd w:id="62"/>
    </w:p>
    <w:p w:rsidR="0021334C" w:rsidRDefault="008511F3">
      <w:pPr>
        <w:pStyle w:val="2"/>
        <w:rPr>
          <w:rFonts w:ascii="仿宋" w:eastAsia="仿宋" w:hAnsi="仿宋"/>
          <w:color w:val="000000"/>
        </w:rPr>
      </w:pPr>
      <w:bookmarkStart w:id="63" w:name="_Toc79163636"/>
      <w:bookmarkStart w:id="64" w:name="_Toc79163886"/>
      <w:bookmarkStart w:id="65" w:name="_Toc15396619"/>
      <w:r>
        <w:rPr>
          <w:rFonts w:ascii="仿宋" w:eastAsia="仿宋" w:hAnsi="仿宋" w:hint="eastAsia"/>
          <w:b w:val="0"/>
          <w:color w:val="000000"/>
        </w:rPr>
        <w:t>一、收</w:t>
      </w:r>
      <w:r>
        <w:rPr>
          <w:rStyle w:val="2Char"/>
          <w:rFonts w:ascii="仿宋" w:eastAsia="仿宋" w:hAnsi="仿宋" w:hint="eastAsia"/>
        </w:rPr>
        <w:t>入支出决算总表</w:t>
      </w:r>
      <w:bookmarkEnd w:id="63"/>
      <w:bookmarkEnd w:id="64"/>
      <w:bookmarkEnd w:id="65"/>
    </w:p>
    <w:p w:rsidR="0021334C" w:rsidRDefault="008511F3">
      <w:pPr>
        <w:pStyle w:val="2"/>
        <w:rPr>
          <w:rFonts w:ascii="仿宋" w:eastAsia="仿宋" w:hAnsi="仿宋"/>
          <w:color w:val="000000"/>
        </w:rPr>
      </w:pPr>
      <w:bookmarkStart w:id="66" w:name="_Toc79163887"/>
      <w:bookmarkStart w:id="67" w:name="_Toc15396620"/>
      <w:bookmarkStart w:id="68" w:name="_Toc79163637"/>
      <w:r>
        <w:rPr>
          <w:rFonts w:ascii="仿宋" w:eastAsia="仿宋" w:hAnsi="仿宋" w:hint="eastAsia"/>
          <w:b w:val="0"/>
          <w:color w:val="000000"/>
        </w:rPr>
        <w:t>二、收</w:t>
      </w:r>
      <w:r>
        <w:rPr>
          <w:rStyle w:val="2Char"/>
          <w:rFonts w:ascii="仿宋" w:eastAsia="仿宋" w:hAnsi="仿宋" w:hint="eastAsia"/>
        </w:rPr>
        <w:t>入决算表</w:t>
      </w:r>
      <w:bookmarkEnd w:id="66"/>
      <w:bookmarkEnd w:id="67"/>
      <w:bookmarkEnd w:id="68"/>
    </w:p>
    <w:p w:rsidR="0021334C" w:rsidRDefault="008511F3">
      <w:pPr>
        <w:pStyle w:val="2"/>
        <w:rPr>
          <w:rFonts w:ascii="仿宋" w:eastAsia="仿宋" w:hAnsi="仿宋"/>
          <w:color w:val="000000"/>
        </w:rPr>
      </w:pPr>
      <w:bookmarkStart w:id="69" w:name="_Toc15396621"/>
      <w:bookmarkStart w:id="70" w:name="_Toc79163638"/>
      <w:bookmarkStart w:id="71" w:name="_Toc79163888"/>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出决算表</w:t>
      </w:r>
      <w:bookmarkEnd w:id="69"/>
      <w:bookmarkEnd w:id="70"/>
      <w:bookmarkEnd w:id="71"/>
    </w:p>
    <w:p w:rsidR="0021334C" w:rsidRDefault="008511F3">
      <w:pPr>
        <w:pStyle w:val="2"/>
        <w:rPr>
          <w:rFonts w:ascii="仿宋" w:eastAsia="仿宋" w:hAnsi="仿宋"/>
          <w:b w:val="0"/>
          <w:color w:val="000000"/>
        </w:rPr>
      </w:pPr>
      <w:bookmarkStart w:id="72" w:name="_Toc15396622"/>
      <w:bookmarkStart w:id="73" w:name="_Toc79163889"/>
      <w:bookmarkStart w:id="74" w:name="_Toc79163639"/>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72"/>
      <w:bookmarkEnd w:id="73"/>
      <w:bookmarkEnd w:id="74"/>
    </w:p>
    <w:p w:rsidR="0021334C" w:rsidRDefault="008511F3">
      <w:pPr>
        <w:pStyle w:val="2"/>
        <w:rPr>
          <w:rStyle w:val="2Char"/>
          <w:rFonts w:ascii="仿宋" w:eastAsia="仿宋" w:hAnsi="仿宋"/>
        </w:rPr>
      </w:pPr>
      <w:bookmarkStart w:id="75" w:name="_Toc79163640"/>
      <w:bookmarkStart w:id="76" w:name="_Toc79163890"/>
      <w:bookmarkStart w:id="77"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78" w:name="_Toc15396624"/>
      <w:bookmarkEnd w:id="75"/>
      <w:bookmarkEnd w:id="76"/>
      <w:bookmarkEnd w:id="77"/>
    </w:p>
    <w:p w:rsidR="0021334C" w:rsidRDefault="008511F3">
      <w:pPr>
        <w:pStyle w:val="2"/>
        <w:rPr>
          <w:rFonts w:ascii="仿宋" w:eastAsia="仿宋" w:hAnsi="仿宋"/>
          <w:color w:val="000000"/>
        </w:rPr>
      </w:pPr>
      <w:bookmarkStart w:id="79" w:name="_Toc79163641"/>
      <w:bookmarkStart w:id="80" w:name="_Toc79163891"/>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78"/>
      <w:bookmarkEnd w:id="79"/>
      <w:bookmarkEnd w:id="80"/>
    </w:p>
    <w:p w:rsidR="0021334C" w:rsidRDefault="008511F3">
      <w:pPr>
        <w:pStyle w:val="2"/>
        <w:rPr>
          <w:rFonts w:ascii="仿宋" w:eastAsia="仿宋" w:hAnsi="仿宋"/>
          <w:color w:val="000000"/>
        </w:rPr>
      </w:pPr>
      <w:bookmarkStart w:id="81" w:name="_Toc15396625"/>
      <w:bookmarkStart w:id="82" w:name="_Toc79163642"/>
      <w:bookmarkStart w:id="83" w:name="_Toc79163892"/>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81"/>
      <w:bookmarkEnd w:id="82"/>
      <w:bookmarkEnd w:id="83"/>
    </w:p>
    <w:p w:rsidR="0021334C" w:rsidRDefault="008511F3">
      <w:pPr>
        <w:pStyle w:val="2"/>
        <w:rPr>
          <w:rFonts w:ascii="仿宋" w:eastAsia="仿宋" w:hAnsi="仿宋"/>
          <w:color w:val="000000"/>
        </w:rPr>
      </w:pPr>
      <w:bookmarkStart w:id="84" w:name="_Toc79163643"/>
      <w:bookmarkStart w:id="85" w:name="_Toc79163893"/>
      <w:bookmarkStart w:id="86"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84"/>
      <w:bookmarkEnd w:id="85"/>
      <w:bookmarkEnd w:id="86"/>
    </w:p>
    <w:p w:rsidR="0021334C" w:rsidRDefault="008511F3">
      <w:pPr>
        <w:pStyle w:val="2"/>
        <w:rPr>
          <w:rFonts w:ascii="仿宋" w:eastAsia="仿宋" w:hAnsi="仿宋"/>
          <w:color w:val="000000"/>
        </w:rPr>
      </w:pPr>
      <w:bookmarkStart w:id="87" w:name="_Toc79163894"/>
      <w:bookmarkStart w:id="88" w:name="_Toc15396627"/>
      <w:bookmarkStart w:id="89" w:name="_Toc79163644"/>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87"/>
      <w:bookmarkEnd w:id="88"/>
      <w:bookmarkEnd w:id="89"/>
    </w:p>
    <w:p w:rsidR="0021334C" w:rsidRDefault="008511F3">
      <w:pPr>
        <w:pStyle w:val="2"/>
        <w:rPr>
          <w:rFonts w:ascii="仿宋" w:eastAsia="仿宋" w:hAnsi="仿宋"/>
          <w:color w:val="000000"/>
        </w:rPr>
      </w:pPr>
      <w:bookmarkStart w:id="90" w:name="_Toc79163645"/>
      <w:bookmarkStart w:id="91" w:name="_Toc79163895"/>
      <w:bookmarkStart w:id="92"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90"/>
      <w:bookmarkEnd w:id="91"/>
      <w:bookmarkEnd w:id="92"/>
    </w:p>
    <w:p w:rsidR="0021334C" w:rsidRDefault="008511F3">
      <w:pPr>
        <w:pStyle w:val="2"/>
        <w:rPr>
          <w:rFonts w:ascii="仿宋" w:eastAsia="仿宋" w:hAnsi="仿宋"/>
          <w:color w:val="000000"/>
        </w:rPr>
      </w:pPr>
      <w:bookmarkStart w:id="93" w:name="_Toc15396629"/>
      <w:bookmarkStart w:id="94" w:name="_Toc79163896"/>
      <w:bookmarkStart w:id="95" w:name="_Toc79163646"/>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93"/>
      <w:bookmarkEnd w:id="94"/>
      <w:bookmarkEnd w:id="95"/>
    </w:p>
    <w:p w:rsidR="0021334C" w:rsidRDefault="008511F3">
      <w:pPr>
        <w:pStyle w:val="2"/>
        <w:rPr>
          <w:rFonts w:ascii="仿宋" w:eastAsia="仿宋" w:hAnsi="仿宋"/>
          <w:color w:val="000000"/>
        </w:rPr>
      </w:pPr>
      <w:bookmarkStart w:id="96" w:name="_Toc79163647"/>
      <w:bookmarkStart w:id="97" w:name="_Toc79163897"/>
      <w:bookmarkStart w:id="98"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96"/>
      <w:bookmarkEnd w:id="97"/>
      <w:bookmarkEnd w:id="98"/>
    </w:p>
    <w:p w:rsidR="0021334C" w:rsidRDefault="008511F3">
      <w:pPr>
        <w:pStyle w:val="2"/>
        <w:rPr>
          <w:rStyle w:val="2Char"/>
          <w:rFonts w:ascii="仿宋" w:eastAsia="仿宋" w:hAnsi="仿宋"/>
        </w:rPr>
      </w:pPr>
      <w:bookmarkStart w:id="99" w:name="_Toc79163898"/>
      <w:bookmarkStart w:id="100" w:name="_Toc79163648"/>
      <w:bookmarkStart w:id="101" w:name="_Toc15396631"/>
      <w:r>
        <w:rPr>
          <w:rStyle w:val="2Char"/>
          <w:rFonts w:ascii="仿宋" w:eastAsia="仿宋" w:hAnsi="仿宋" w:hint="eastAsia"/>
        </w:rPr>
        <w:t>十三、</w:t>
      </w:r>
      <w:bookmarkEnd w:id="99"/>
      <w:bookmarkEnd w:id="100"/>
      <w:bookmarkEnd w:id="101"/>
      <w:r>
        <w:rPr>
          <w:rStyle w:val="2Char"/>
          <w:rFonts w:ascii="仿宋" w:eastAsia="仿宋" w:hAnsi="仿宋" w:hint="eastAsia"/>
        </w:rPr>
        <w:t>国有资本经营预算财政拨款收入支出决算表</w:t>
      </w:r>
    </w:p>
    <w:p w:rsidR="0021334C" w:rsidRDefault="008511F3">
      <w:pPr>
        <w:pStyle w:val="2"/>
        <w:rPr>
          <w:rFonts w:eastAsia="仿宋"/>
        </w:rPr>
      </w:pPr>
      <w:r>
        <w:rPr>
          <w:rStyle w:val="2Char"/>
          <w:rFonts w:ascii="仿宋" w:eastAsia="仿宋" w:hAnsi="仿宋" w:hint="eastAsia"/>
        </w:rPr>
        <w:t>十四、国有资本经营预算财政拨款支出决算表</w:t>
      </w:r>
    </w:p>
    <w:sectPr w:rsidR="0021334C" w:rsidSect="006F41E3">
      <w:headerReference w:type="default" r:id="rId17"/>
      <w:footerReference w:type="default" r:id="rId18"/>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DDF" w:rsidRDefault="00967DDF">
      <w:r>
        <w:separator/>
      </w:r>
    </w:p>
  </w:endnote>
  <w:endnote w:type="continuationSeparator" w:id="0">
    <w:p w:rsidR="00967DDF" w:rsidRDefault="00967D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黑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E15312" w:rsidRDefault="006F41E3">
        <w:pPr>
          <w:pStyle w:val="a7"/>
          <w:jc w:val="center"/>
        </w:pPr>
        <w:r>
          <w:fldChar w:fldCharType="begin"/>
        </w:r>
        <w:r w:rsidR="00E15312">
          <w:instrText>PAGE   \* MERGEFORMAT</w:instrText>
        </w:r>
        <w:r>
          <w:fldChar w:fldCharType="separate"/>
        </w:r>
        <w:r w:rsidR="004E7EC7" w:rsidRPr="004E7EC7">
          <w:rPr>
            <w:noProof/>
            <w:lang w:val="zh-CN"/>
          </w:rPr>
          <w:t>11</w:t>
        </w:r>
        <w:r>
          <w:fldChar w:fldCharType="end"/>
        </w:r>
      </w:p>
    </w:sdtContent>
  </w:sdt>
  <w:p w:rsidR="00E15312" w:rsidRDefault="00E1531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DDF" w:rsidRDefault="00967DDF">
      <w:r>
        <w:separator/>
      </w:r>
    </w:p>
  </w:footnote>
  <w:footnote w:type="continuationSeparator" w:id="0">
    <w:p w:rsidR="00967DDF" w:rsidRDefault="00967D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312" w:rsidRDefault="00E15312">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FA047D"/>
    <w:multiLevelType w:val="singleLevel"/>
    <w:tmpl w:val="E2FA047D"/>
    <w:lvl w:ilvl="0">
      <w:start w:val="3"/>
      <w:numFmt w:val="chineseCounting"/>
      <w:suff w:val="space"/>
      <w:lvlText w:val="第%1部分"/>
      <w:lvlJc w:val="left"/>
      <w:rPr>
        <w:rFonts w:hint="eastAsia"/>
      </w:rPr>
    </w:lvl>
  </w:abstractNum>
  <w:abstractNum w:abstractNumId="1">
    <w:nsid w:val="28BB8ABA"/>
    <w:multiLevelType w:val="singleLevel"/>
    <w:tmpl w:val="28BB8ABA"/>
    <w:lvl w:ilvl="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000015A2"/>
    <w:rsid w:val="00003C0D"/>
    <w:rsid w:val="000222C6"/>
    <w:rsid w:val="00025226"/>
    <w:rsid w:val="0002549F"/>
    <w:rsid w:val="0002749D"/>
    <w:rsid w:val="0006487A"/>
    <w:rsid w:val="00065F8F"/>
    <w:rsid w:val="000768F2"/>
    <w:rsid w:val="0009184B"/>
    <w:rsid w:val="0009593C"/>
    <w:rsid w:val="000B047F"/>
    <w:rsid w:val="000B202D"/>
    <w:rsid w:val="000B5923"/>
    <w:rsid w:val="000B5A48"/>
    <w:rsid w:val="000B6FF3"/>
    <w:rsid w:val="000C3467"/>
    <w:rsid w:val="000C3CA6"/>
    <w:rsid w:val="000D1267"/>
    <w:rsid w:val="000D1D50"/>
    <w:rsid w:val="000D304F"/>
    <w:rsid w:val="000D5782"/>
    <w:rsid w:val="000E6613"/>
    <w:rsid w:val="000E7119"/>
    <w:rsid w:val="00107CCA"/>
    <w:rsid w:val="00114E9B"/>
    <w:rsid w:val="0014729F"/>
    <w:rsid w:val="00157BAB"/>
    <w:rsid w:val="001654D1"/>
    <w:rsid w:val="0018106D"/>
    <w:rsid w:val="001877A7"/>
    <w:rsid w:val="00191536"/>
    <w:rsid w:val="00196687"/>
    <w:rsid w:val="001B1FA9"/>
    <w:rsid w:val="001C0962"/>
    <w:rsid w:val="001D342B"/>
    <w:rsid w:val="001D6C1E"/>
    <w:rsid w:val="001D7531"/>
    <w:rsid w:val="001E737D"/>
    <w:rsid w:val="001F0592"/>
    <w:rsid w:val="001F7506"/>
    <w:rsid w:val="002006CD"/>
    <w:rsid w:val="00202B36"/>
    <w:rsid w:val="00204B7A"/>
    <w:rsid w:val="0021101A"/>
    <w:rsid w:val="0021334C"/>
    <w:rsid w:val="00220536"/>
    <w:rsid w:val="00235629"/>
    <w:rsid w:val="00260C38"/>
    <w:rsid w:val="002616C0"/>
    <w:rsid w:val="002662AA"/>
    <w:rsid w:val="00280496"/>
    <w:rsid w:val="00295495"/>
    <w:rsid w:val="002A7AE1"/>
    <w:rsid w:val="002B2613"/>
    <w:rsid w:val="002B2F51"/>
    <w:rsid w:val="002B544A"/>
    <w:rsid w:val="002F1818"/>
    <w:rsid w:val="002F567B"/>
    <w:rsid w:val="00317FD1"/>
    <w:rsid w:val="003216A9"/>
    <w:rsid w:val="00335ED6"/>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6E3E"/>
    <w:rsid w:val="00487E5D"/>
    <w:rsid w:val="004A711F"/>
    <w:rsid w:val="004B199D"/>
    <w:rsid w:val="004B4690"/>
    <w:rsid w:val="004B785F"/>
    <w:rsid w:val="004E0A2D"/>
    <w:rsid w:val="004E206B"/>
    <w:rsid w:val="004E6DF7"/>
    <w:rsid w:val="004E7EC7"/>
    <w:rsid w:val="004F0FBD"/>
    <w:rsid w:val="00505A47"/>
    <w:rsid w:val="00512FDA"/>
    <w:rsid w:val="00520DA0"/>
    <w:rsid w:val="0055106D"/>
    <w:rsid w:val="005664BB"/>
    <w:rsid w:val="0057481D"/>
    <w:rsid w:val="0058486E"/>
    <w:rsid w:val="00597919"/>
    <w:rsid w:val="005B415B"/>
    <w:rsid w:val="005B553C"/>
    <w:rsid w:val="005C52C6"/>
    <w:rsid w:val="005D1C8B"/>
    <w:rsid w:val="005D5CED"/>
    <w:rsid w:val="005E3365"/>
    <w:rsid w:val="005E5517"/>
    <w:rsid w:val="005F1A4C"/>
    <w:rsid w:val="00605688"/>
    <w:rsid w:val="006070AF"/>
    <w:rsid w:val="00607E6C"/>
    <w:rsid w:val="006101B1"/>
    <w:rsid w:val="00614E44"/>
    <w:rsid w:val="00622830"/>
    <w:rsid w:val="00630AEF"/>
    <w:rsid w:val="006325F8"/>
    <w:rsid w:val="00634C9A"/>
    <w:rsid w:val="00643C0A"/>
    <w:rsid w:val="006440E4"/>
    <w:rsid w:val="0065182B"/>
    <w:rsid w:val="0066343B"/>
    <w:rsid w:val="00664777"/>
    <w:rsid w:val="00666366"/>
    <w:rsid w:val="006748A4"/>
    <w:rsid w:val="00683E73"/>
    <w:rsid w:val="006A1E7E"/>
    <w:rsid w:val="006A3141"/>
    <w:rsid w:val="006A5E34"/>
    <w:rsid w:val="006B2422"/>
    <w:rsid w:val="006B2B9A"/>
    <w:rsid w:val="006C1937"/>
    <w:rsid w:val="006F020C"/>
    <w:rsid w:val="006F41E3"/>
    <w:rsid w:val="007127B7"/>
    <w:rsid w:val="007231D9"/>
    <w:rsid w:val="007416B6"/>
    <w:rsid w:val="00746F48"/>
    <w:rsid w:val="0075404D"/>
    <w:rsid w:val="0076182A"/>
    <w:rsid w:val="00767B7E"/>
    <w:rsid w:val="007770C3"/>
    <w:rsid w:val="00784D24"/>
    <w:rsid w:val="00785FBA"/>
    <w:rsid w:val="00786E4A"/>
    <w:rsid w:val="007875EB"/>
    <w:rsid w:val="0079426B"/>
    <w:rsid w:val="007A762F"/>
    <w:rsid w:val="007D312A"/>
    <w:rsid w:val="007D3F19"/>
    <w:rsid w:val="007E23B0"/>
    <w:rsid w:val="007E6A33"/>
    <w:rsid w:val="007F1991"/>
    <w:rsid w:val="007F2C2F"/>
    <w:rsid w:val="007F2D6D"/>
    <w:rsid w:val="007F55FC"/>
    <w:rsid w:val="007F5665"/>
    <w:rsid w:val="00800112"/>
    <w:rsid w:val="00804659"/>
    <w:rsid w:val="008068DA"/>
    <w:rsid w:val="00807797"/>
    <w:rsid w:val="008253BB"/>
    <w:rsid w:val="0083706E"/>
    <w:rsid w:val="008423A5"/>
    <w:rsid w:val="00850625"/>
    <w:rsid w:val="008511F3"/>
    <w:rsid w:val="00853718"/>
    <w:rsid w:val="00855221"/>
    <w:rsid w:val="00860645"/>
    <w:rsid w:val="00862A9D"/>
    <w:rsid w:val="00871F71"/>
    <w:rsid w:val="00885AF4"/>
    <w:rsid w:val="00887A58"/>
    <w:rsid w:val="008939CD"/>
    <w:rsid w:val="00897199"/>
    <w:rsid w:val="008B768C"/>
    <w:rsid w:val="008C4DB1"/>
    <w:rsid w:val="008C4EAF"/>
    <w:rsid w:val="008C5176"/>
    <w:rsid w:val="008C7FD0"/>
    <w:rsid w:val="008D0A15"/>
    <w:rsid w:val="008E1DE7"/>
    <w:rsid w:val="008E707C"/>
    <w:rsid w:val="008F2936"/>
    <w:rsid w:val="00900B08"/>
    <w:rsid w:val="00902155"/>
    <w:rsid w:val="00902FA3"/>
    <w:rsid w:val="00923564"/>
    <w:rsid w:val="0092392E"/>
    <w:rsid w:val="009315F9"/>
    <w:rsid w:val="009337F3"/>
    <w:rsid w:val="00946945"/>
    <w:rsid w:val="00951248"/>
    <w:rsid w:val="0095152F"/>
    <w:rsid w:val="009540C0"/>
    <w:rsid w:val="00954C49"/>
    <w:rsid w:val="00967DDF"/>
    <w:rsid w:val="0097099F"/>
    <w:rsid w:val="00971997"/>
    <w:rsid w:val="00971FFC"/>
    <w:rsid w:val="00974188"/>
    <w:rsid w:val="0098660A"/>
    <w:rsid w:val="009931C3"/>
    <w:rsid w:val="009B2C43"/>
    <w:rsid w:val="009B4EAE"/>
    <w:rsid w:val="009B7573"/>
    <w:rsid w:val="009C22F4"/>
    <w:rsid w:val="009C2E98"/>
    <w:rsid w:val="009D3447"/>
    <w:rsid w:val="009D4711"/>
    <w:rsid w:val="009E7FBF"/>
    <w:rsid w:val="009F1185"/>
    <w:rsid w:val="009F18CD"/>
    <w:rsid w:val="009F2A13"/>
    <w:rsid w:val="00A04EB0"/>
    <w:rsid w:val="00A13CC1"/>
    <w:rsid w:val="00A1637E"/>
    <w:rsid w:val="00A16847"/>
    <w:rsid w:val="00A237D8"/>
    <w:rsid w:val="00A268C4"/>
    <w:rsid w:val="00A307CD"/>
    <w:rsid w:val="00A3233A"/>
    <w:rsid w:val="00A40A00"/>
    <w:rsid w:val="00A4142F"/>
    <w:rsid w:val="00A52260"/>
    <w:rsid w:val="00A56DF2"/>
    <w:rsid w:val="00A57F63"/>
    <w:rsid w:val="00A67AB5"/>
    <w:rsid w:val="00A91760"/>
    <w:rsid w:val="00A93B00"/>
    <w:rsid w:val="00A93C21"/>
    <w:rsid w:val="00AC3C6A"/>
    <w:rsid w:val="00AD5620"/>
    <w:rsid w:val="00AD7C1B"/>
    <w:rsid w:val="00AE16BA"/>
    <w:rsid w:val="00AE1EBE"/>
    <w:rsid w:val="00AE7003"/>
    <w:rsid w:val="00B03C9D"/>
    <w:rsid w:val="00B060AE"/>
    <w:rsid w:val="00B10517"/>
    <w:rsid w:val="00B14E76"/>
    <w:rsid w:val="00B15718"/>
    <w:rsid w:val="00B161B8"/>
    <w:rsid w:val="00B2048C"/>
    <w:rsid w:val="00B310B9"/>
    <w:rsid w:val="00B35F3F"/>
    <w:rsid w:val="00B36CBB"/>
    <w:rsid w:val="00B425E0"/>
    <w:rsid w:val="00B440AA"/>
    <w:rsid w:val="00B44B70"/>
    <w:rsid w:val="00B53C56"/>
    <w:rsid w:val="00B77EA6"/>
    <w:rsid w:val="00B81598"/>
    <w:rsid w:val="00B841F1"/>
    <w:rsid w:val="00B8480B"/>
    <w:rsid w:val="00B944D6"/>
    <w:rsid w:val="00BA0AED"/>
    <w:rsid w:val="00BB4DF0"/>
    <w:rsid w:val="00BC289F"/>
    <w:rsid w:val="00BC5361"/>
    <w:rsid w:val="00BC5460"/>
    <w:rsid w:val="00BC6B50"/>
    <w:rsid w:val="00BD0E25"/>
    <w:rsid w:val="00BD6D67"/>
    <w:rsid w:val="00BF5BD6"/>
    <w:rsid w:val="00C03E31"/>
    <w:rsid w:val="00C11626"/>
    <w:rsid w:val="00C13B26"/>
    <w:rsid w:val="00C33E72"/>
    <w:rsid w:val="00C34EED"/>
    <w:rsid w:val="00C354B2"/>
    <w:rsid w:val="00C35554"/>
    <w:rsid w:val="00C42709"/>
    <w:rsid w:val="00C533CC"/>
    <w:rsid w:val="00C5751C"/>
    <w:rsid w:val="00C61BFC"/>
    <w:rsid w:val="00C62B85"/>
    <w:rsid w:val="00C65438"/>
    <w:rsid w:val="00C663B4"/>
    <w:rsid w:val="00C87773"/>
    <w:rsid w:val="00C91CBB"/>
    <w:rsid w:val="00C94460"/>
    <w:rsid w:val="00CA1D7E"/>
    <w:rsid w:val="00CA7CBE"/>
    <w:rsid w:val="00CC09B6"/>
    <w:rsid w:val="00CC666F"/>
    <w:rsid w:val="00CD1E3F"/>
    <w:rsid w:val="00CE44F6"/>
    <w:rsid w:val="00CE49DA"/>
    <w:rsid w:val="00CE7B61"/>
    <w:rsid w:val="00D00095"/>
    <w:rsid w:val="00D20620"/>
    <w:rsid w:val="00D26091"/>
    <w:rsid w:val="00D34E7C"/>
    <w:rsid w:val="00D35489"/>
    <w:rsid w:val="00D43BB3"/>
    <w:rsid w:val="00D51276"/>
    <w:rsid w:val="00D577F9"/>
    <w:rsid w:val="00D7035F"/>
    <w:rsid w:val="00DA65AC"/>
    <w:rsid w:val="00DB14B7"/>
    <w:rsid w:val="00DB1913"/>
    <w:rsid w:val="00DB7B27"/>
    <w:rsid w:val="00DC410D"/>
    <w:rsid w:val="00DC68CA"/>
    <w:rsid w:val="00DC7CBA"/>
    <w:rsid w:val="00DD2D64"/>
    <w:rsid w:val="00DD73B7"/>
    <w:rsid w:val="00DF0369"/>
    <w:rsid w:val="00DF28BC"/>
    <w:rsid w:val="00DF34B9"/>
    <w:rsid w:val="00DF36DA"/>
    <w:rsid w:val="00E01053"/>
    <w:rsid w:val="00E07ACF"/>
    <w:rsid w:val="00E15312"/>
    <w:rsid w:val="00E331A1"/>
    <w:rsid w:val="00E33202"/>
    <w:rsid w:val="00E336A9"/>
    <w:rsid w:val="00E352AD"/>
    <w:rsid w:val="00E47769"/>
    <w:rsid w:val="00E50624"/>
    <w:rsid w:val="00E568DF"/>
    <w:rsid w:val="00E64269"/>
    <w:rsid w:val="00E82267"/>
    <w:rsid w:val="00EA010F"/>
    <w:rsid w:val="00EA230E"/>
    <w:rsid w:val="00ED1B63"/>
    <w:rsid w:val="00ED3C1F"/>
    <w:rsid w:val="00ED4085"/>
    <w:rsid w:val="00ED420E"/>
    <w:rsid w:val="00EE2F57"/>
    <w:rsid w:val="00EF4C34"/>
    <w:rsid w:val="00EF77C6"/>
    <w:rsid w:val="00F05438"/>
    <w:rsid w:val="00F1361C"/>
    <w:rsid w:val="00F160C7"/>
    <w:rsid w:val="00F301B6"/>
    <w:rsid w:val="00F36D8F"/>
    <w:rsid w:val="00F417B1"/>
    <w:rsid w:val="00F602DF"/>
    <w:rsid w:val="00F81FD9"/>
    <w:rsid w:val="00F841AA"/>
    <w:rsid w:val="00FA23E8"/>
    <w:rsid w:val="00FD3CC1"/>
    <w:rsid w:val="00FE17BC"/>
    <w:rsid w:val="00FE4DB0"/>
    <w:rsid w:val="00FF1E02"/>
    <w:rsid w:val="00FF30B4"/>
    <w:rsid w:val="01D74DB7"/>
    <w:rsid w:val="01F04616"/>
    <w:rsid w:val="0463543B"/>
    <w:rsid w:val="051A6F96"/>
    <w:rsid w:val="06951176"/>
    <w:rsid w:val="07001BE1"/>
    <w:rsid w:val="09081517"/>
    <w:rsid w:val="0B99373B"/>
    <w:rsid w:val="0D6C338E"/>
    <w:rsid w:val="0F5E6610"/>
    <w:rsid w:val="10C055FF"/>
    <w:rsid w:val="11D56DF6"/>
    <w:rsid w:val="11ED6591"/>
    <w:rsid w:val="16BB723D"/>
    <w:rsid w:val="17BC7656"/>
    <w:rsid w:val="17EA348C"/>
    <w:rsid w:val="1840212F"/>
    <w:rsid w:val="19943114"/>
    <w:rsid w:val="1AB026BC"/>
    <w:rsid w:val="1BF70747"/>
    <w:rsid w:val="1C06153F"/>
    <w:rsid w:val="1EF81F78"/>
    <w:rsid w:val="1F620905"/>
    <w:rsid w:val="211A679A"/>
    <w:rsid w:val="240371BF"/>
    <w:rsid w:val="2435534E"/>
    <w:rsid w:val="24534F10"/>
    <w:rsid w:val="265C1D1F"/>
    <w:rsid w:val="26BB36DB"/>
    <w:rsid w:val="276F1834"/>
    <w:rsid w:val="27C51E91"/>
    <w:rsid w:val="28513369"/>
    <w:rsid w:val="28BF6D42"/>
    <w:rsid w:val="29FD04D3"/>
    <w:rsid w:val="31810DA9"/>
    <w:rsid w:val="319F7F4E"/>
    <w:rsid w:val="36FD0156"/>
    <w:rsid w:val="38F8371D"/>
    <w:rsid w:val="39226F5F"/>
    <w:rsid w:val="3C8D2F9D"/>
    <w:rsid w:val="3E343C22"/>
    <w:rsid w:val="3FEA5DFB"/>
    <w:rsid w:val="41677310"/>
    <w:rsid w:val="43684120"/>
    <w:rsid w:val="475E72DC"/>
    <w:rsid w:val="47F514AF"/>
    <w:rsid w:val="48FD75BD"/>
    <w:rsid w:val="4A745623"/>
    <w:rsid w:val="4D846266"/>
    <w:rsid w:val="4DF123A8"/>
    <w:rsid w:val="4F6F7A34"/>
    <w:rsid w:val="4FD74194"/>
    <w:rsid w:val="4FDA49F5"/>
    <w:rsid w:val="51EE42CA"/>
    <w:rsid w:val="52ED6284"/>
    <w:rsid w:val="532B0C13"/>
    <w:rsid w:val="53BE2B80"/>
    <w:rsid w:val="5BE202EA"/>
    <w:rsid w:val="5CFA7F1D"/>
    <w:rsid w:val="5E2506F8"/>
    <w:rsid w:val="5F3A07D2"/>
    <w:rsid w:val="60BB3927"/>
    <w:rsid w:val="62A42EE2"/>
    <w:rsid w:val="63347FC4"/>
    <w:rsid w:val="64C656C1"/>
    <w:rsid w:val="68DA2DB6"/>
    <w:rsid w:val="69725134"/>
    <w:rsid w:val="6B4666B6"/>
    <w:rsid w:val="6DC31436"/>
    <w:rsid w:val="6ECB49CF"/>
    <w:rsid w:val="6ECB5A2B"/>
    <w:rsid w:val="70202A42"/>
    <w:rsid w:val="78A4106B"/>
    <w:rsid w:val="7ABC1C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annotation text" w:qFormat="1"/>
    <w:lsdException w:name="header" w:unhideWhenUsed="0" w:qFormat="1"/>
    <w:lsdException w:name="footer" w:semiHidden="0" w:unhideWhenUsed="0" w:qFormat="1"/>
    <w:lsdException w:name="caption" w:uiPriority="35" w:qFormat="1"/>
    <w:lsdException w:name="table of figures" w:semiHidden="0" w:uiPriority="0" w:unhideWhenUsed="0" w:qFormat="1"/>
    <w:lsdException w:name="annotation reference"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6F41E3"/>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6F41E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6F41E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6F41E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F41E3"/>
    <w:pPr>
      <w:ind w:firstLine="680"/>
    </w:pPr>
  </w:style>
  <w:style w:type="paragraph" w:styleId="a4">
    <w:name w:val="annotation text"/>
    <w:basedOn w:val="a"/>
    <w:uiPriority w:val="99"/>
    <w:semiHidden/>
    <w:unhideWhenUsed/>
    <w:qFormat/>
    <w:rsid w:val="006F41E3"/>
    <w:pPr>
      <w:jc w:val="left"/>
    </w:pPr>
  </w:style>
  <w:style w:type="paragraph" w:styleId="a5">
    <w:name w:val="Body Text"/>
    <w:basedOn w:val="a"/>
    <w:link w:val="Char"/>
    <w:uiPriority w:val="99"/>
    <w:qFormat/>
    <w:rsid w:val="006F41E3"/>
    <w:pPr>
      <w:spacing w:beforeLines="30"/>
    </w:pPr>
    <w:rPr>
      <w:rFonts w:ascii="仿宋_GB2312" w:eastAsia="仿宋_GB2312"/>
      <w:kern w:val="0"/>
      <w:sz w:val="30"/>
    </w:rPr>
  </w:style>
  <w:style w:type="paragraph" w:styleId="30">
    <w:name w:val="toc 3"/>
    <w:basedOn w:val="a"/>
    <w:next w:val="a"/>
    <w:uiPriority w:val="39"/>
    <w:unhideWhenUsed/>
    <w:qFormat/>
    <w:rsid w:val="006F41E3"/>
    <w:pPr>
      <w:tabs>
        <w:tab w:val="right" w:leader="dot" w:pos="8296"/>
      </w:tabs>
      <w:ind w:leftChars="400" w:left="840"/>
    </w:pPr>
  </w:style>
  <w:style w:type="paragraph" w:styleId="a6">
    <w:name w:val="Balloon Text"/>
    <w:basedOn w:val="a"/>
    <w:link w:val="Char0"/>
    <w:uiPriority w:val="99"/>
    <w:semiHidden/>
    <w:unhideWhenUsed/>
    <w:qFormat/>
    <w:rsid w:val="006F41E3"/>
    <w:rPr>
      <w:sz w:val="18"/>
      <w:szCs w:val="18"/>
    </w:rPr>
  </w:style>
  <w:style w:type="paragraph" w:styleId="a7">
    <w:name w:val="footer"/>
    <w:basedOn w:val="a"/>
    <w:link w:val="Char1"/>
    <w:uiPriority w:val="99"/>
    <w:qFormat/>
    <w:rsid w:val="006F41E3"/>
    <w:pPr>
      <w:tabs>
        <w:tab w:val="center" w:pos="4153"/>
        <w:tab w:val="right" w:pos="8306"/>
      </w:tabs>
      <w:snapToGrid w:val="0"/>
      <w:jc w:val="left"/>
    </w:pPr>
    <w:rPr>
      <w:rFonts w:ascii="Calibri" w:hAnsi="Calibri"/>
      <w:kern w:val="0"/>
      <w:sz w:val="18"/>
      <w:szCs w:val="18"/>
    </w:rPr>
  </w:style>
  <w:style w:type="paragraph" w:styleId="a8">
    <w:name w:val="header"/>
    <w:basedOn w:val="a"/>
    <w:link w:val="Char2"/>
    <w:uiPriority w:val="99"/>
    <w:semiHidden/>
    <w:qFormat/>
    <w:rsid w:val="006F41E3"/>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6F41E3"/>
    <w:pPr>
      <w:tabs>
        <w:tab w:val="right" w:leader="dot" w:pos="8296"/>
      </w:tabs>
      <w:spacing w:before="93"/>
      <w:jc w:val="center"/>
    </w:pPr>
    <w:rPr>
      <w:rFonts w:ascii="仿宋" w:eastAsia="仿宋" w:hAnsi="仿宋"/>
      <w:sz w:val="28"/>
      <w:szCs w:val="28"/>
    </w:rPr>
  </w:style>
  <w:style w:type="paragraph" w:styleId="a9">
    <w:name w:val="table of figures"/>
    <w:basedOn w:val="a"/>
    <w:next w:val="a"/>
    <w:qFormat/>
    <w:rsid w:val="006F41E3"/>
    <w:pPr>
      <w:ind w:leftChars="200" w:left="200" w:hangingChars="200" w:hanging="200"/>
    </w:pPr>
  </w:style>
  <w:style w:type="paragraph" w:styleId="20">
    <w:name w:val="toc 2"/>
    <w:basedOn w:val="a"/>
    <w:next w:val="a"/>
    <w:uiPriority w:val="39"/>
    <w:unhideWhenUsed/>
    <w:qFormat/>
    <w:rsid w:val="006F41E3"/>
    <w:pPr>
      <w:tabs>
        <w:tab w:val="right" w:leader="dot" w:pos="8296"/>
      </w:tabs>
      <w:ind w:leftChars="200" w:left="420"/>
    </w:pPr>
  </w:style>
  <w:style w:type="character" w:styleId="aa">
    <w:name w:val="Strong"/>
    <w:basedOn w:val="a1"/>
    <w:uiPriority w:val="99"/>
    <w:qFormat/>
    <w:rsid w:val="006F41E3"/>
    <w:rPr>
      <w:b/>
    </w:rPr>
  </w:style>
  <w:style w:type="character" w:styleId="ab">
    <w:name w:val="Hyperlink"/>
    <w:basedOn w:val="a1"/>
    <w:uiPriority w:val="99"/>
    <w:unhideWhenUsed/>
    <w:qFormat/>
    <w:rsid w:val="006F41E3"/>
    <w:rPr>
      <w:color w:val="0000FF" w:themeColor="hyperlink"/>
      <w:u w:val="single"/>
    </w:rPr>
  </w:style>
  <w:style w:type="character" w:styleId="ac">
    <w:name w:val="annotation reference"/>
    <w:basedOn w:val="a1"/>
    <w:uiPriority w:val="99"/>
    <w:semiHidden/>
    <w:unhideWhenUsed/>
    <w:qFormat/>
    <w:rsid w:val="006F41E3"/>
    <w:rPr>
      <w:sz w:val="21"/>
      <w:szCs w:val="21"/>
    </w:rPr>
  </w:style>
  <w:style w:type="paragraph" w:customStyle="1" w:styleId="Default">
    <w:name w:val="Default"/>
    <w:uiPriority w:val="99"/>
    <w:qFormat/>
    <w:rsid w:val="006F41E3"/>
    <w:pPr>
      <w:widowControl w:val="0"/>
      <w:autoSpaceDE w:val="0"/>
      <w:autoSpaceDN w:val="0"/>
      <w:adjustRightInd w:val="0"/>
    </w:pPr>
    <w:rPr>
      <w:rFonts w:ascii="仿宋" w:eastAsia="仿宋" w:cs="仿宋"/>
      <w:color w:val="000000"/>
      <w:sz w:val="24"/>
      <w:szCs w:val="24"/>
    </w:rPr>
  </w:style>
  <w:style w:type="character" w:customStyle="1" w:styleId="HeaderChar">
    <w:name w:val="Header Char"/>
    <w:basedOn w:val="a1"/>
    <w:uiPriority w:val="99"/>
    <w:semiHidden/>
    <w:qFormat/>
    <w:rsid w:val="006F41E3"/>
    <w:rPr>
      <w:rFonts w:ascii="Times New Roman" w:hAnsi="Times New Roman"/>
      <w:sz w:val="18"/>
      <w:szCs w:val="18"/>
    </w:rPr>
  </w:style>
  <w:style w:type="character" w:customStyle="1" w:styleId="Char2">
    <w:name w:val="页眉 Char"/>
    <w:link w:val="a8"/>
    <w:uiPriority w:val="99"/>
    <w:semiHidden/>
    <w:qFormat/>
    <w:locked/>
    <w:rsid w:val="006F41E3"/>
    <w:rPr>
      <w:sz w:val="18"/>
    </w:rPr>
  </w:style>
  <w:style w:type="character" w:customStyle="1" w:styleId="FooterChar">
    <w:name w:val="Footer Char"/>
    <w:basedOn w:val="a1"/>
    <w:uiPriority w:val="99"/>
    <w:semiHidden/>
    <w:qFormat/>
    <w:rsid w:val="006F41E3"/>
    <w:rPr>
      <w:rFonts w:ascii="Times New Roman" w:hAnsi="Times New Roman"/>
      <w:sz w:val="18"/>
      <w:szCs w:val="18"/>
    </w:rPr>
  </w:style>
  <w:style w:type="character" w:customStyle="1" w:styleId="Char1">
    <w:name w:val="页脚 Char"/>
    <w:link w:val="a7"/>
    <w:uiPriority w:val="99"/>
    <w:qFormat/>
    <w:locked/>
    <w:rsid w:val="006F41E3"/>
    <w:rPr>
      <w:sz w:val="18"/>
    </w:rPr>
  </w:style>
  <w:style w:type="character" w:customStyle="1" w:styleId="BodyTextChar">
    <w:name w:val="Body Text Char"/>
    <w:basedOn w:val="a1"/>
    <w:uiPriority w:val="99"/>
    <w:semiHidden/>
    <w:qFormat/>
    <w:rsid w:val="006F41E3"/>
    <w:rPr>
      <w:rFonts w:ascii="Times New Roman" w:hAnsi="Times New Roman"/>
      <w:szCs w:val="24"/>
    </w:rPr>
  </w:style>
  <w:style w:type="character" w:customStyle="1" w:styleId="Char">
    <w:name w:val="正文文本 Char"/>
    <w:link w:val="a5"/>
    <w:uiPriority w:val="99"/>
    <w:qFormat/>
    <w:locked/>
    <w:rsid w:val="006F41E3"/>
    <w:rPr>
      <w:rFonts w:ascii="仿宋_GB2312" w:eastAsia="仿宋_GB2312" w:hAnsi="Times New Roman"/>
      <w:sz w:val="24"/>
    </w:rPr>
  </w:style>
  <w:style w:type="paragraph" w:styleId="ad">
    <w:name w:val="List Paragraph"/>
    <w:basedOn w:val="a"/>
    <w:uiPriority w:val="34"/>
    <w:qFormat/>
    <w:rsid w:val="006F41E3"/>
    <w:pPr>
      <w:ind w:firstLineChars="200" w:firstLine="420"/>
    </w:pPr>
  </w:style>
  <w:style w:type="character" w:customStyle="1" w:styleId="1Char">
    <w:name w:val="标题 1 Char"/>
    <w:basedOn w:val="a1"/>
    <w:link w:val="1"/>
    <w:uiPriority w:val="9"/>
    <w:qFormat/>
    <w:rsid w:val="006F41E3"/>
    <w:rPr>
      <w:rFonts w:ascii="Times New Roman" w:hAnsi="Times New Roman"/>
      <w:b/>
      <w:bCs/>
      <w:kern w:val="44"/>
      <w:sz w:val="44"/>
      <w:szCs w:val="44"/>
    </w:rPr>
  </w:style>
  <w:style w:type="character" w:customStyle="1" w:styleId="2Char">
    <w:name w:val="标题 2 Char"/>
    <w:basedOn w:val="a1"/>
    <w:link w:val="2"/>
    <w:uiPriority w:val="9"/>
    <w:qFormat/>
    <w:rsid w:val="006F41E3"/>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6F41E3"/>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6"/>
    <w:uiPriority w:val="99"/>
    <w:semiHidden/>
    <w:qFormat/>
    <w:rsid w:val="006F41E3"/>
    <w:rPr>
      <w:rFonts w:ascii="Times New Roman" w:hAnsi="Times New Roman"/>
      <w:kern w:val="2"/>
      <w:sz w:val="18"/>
      <w:szCs w:val="18"/>
    </w:rPr>
  </w:style>
  <w:style w:type="character" w:customStyle="1" w:styleId="3Char">
    <w:name w:val="标题 3 Char"/>
    <w:basedOn w:val="a1"/>
    <w:link w:val="3"/>
    <w:uiPriority w:val="9"/>
    <w:qFormat/>
    <w:rsid w:val="006F41E3"/>
    <w:rPr>
      <w:rFonts w:ascii="Times New Roman" w:hAnsi="Times New Roman"/>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annotation text" w:qFormat="1"/>
    <w:lsdException w:name="header" w:unhideWhenUsed="0" w:qFormat="1"/>
    <w:lsdException w:name="footer" w:semiHidden="0" w:unhideWhenUsed="0" w:qFormat="1"/>
    <w:lsdException w:name="caption" w:uiPriority="35" w:qFormat="1"/>
    <w:lsdException w:name="table of figures" w:semiHidden="0" w:uiPriority="0" w:unhideWhenUsed="0" w:qFormat="1"/>
    <w:lsdException w:name="annotation reference"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imes New Roman" w:hAnsi="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pPr>
      <w:ind w:firstLine="680"/>
    </w:pPr>
  </w:style>
  <w:style w:type="paragraph" w:styleId="a4">
    <w:name w:val="annotation text"/>
    <w:basedOn w:val="a"/>
    <w:uiPriority w:val="99"/>
    <w:semiHidden/>
    <w:unhideWhenUsed/>
    <w:qFormat/>
    <w:pPr>
      <w:jc w:val="left"/>
    </w:pPr>
  </w:style>
  <w:style w:type="paragraph" w:styleId="a5">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6">
    <w:name w:val="Balloon Text"/>
    <w:basedOn w:val="a"/>
    <w:link w:val="Char0"/>
    <w:uiPriority w:val="99"/>
    <w:semiHidden/>
    <w:unhideWhenUsed/>
    <w:qFormat/>
    <w:rPr>
      <w:sz w:val="18"/>
      <w:szCs w:val="18"/>
    </w:rPr>
  </w:style>
  <w:style w:type="paragraph" w:styleId="a7">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8">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a9">
    <w:name w:val="table of figures"/>
    <w:basedOn w:val="a"/>
    <w:next w:val="a"/>
    <w:qFormat/>
    <w:pPr>
      <w:ind w:leftChars="200" w:left="200" w:hangingChars="200" w:hanging="200"/>
    </w:pPr>
  </w:style>
  <w:style w:type="paragraph" w:styleId="20">
    <w:name w:val="toc 2"/>
    <w:basedOn w:val="a"/>
    <w:next w:val="a"/>
    <w:uiPriority w:val="39"/>
    <w:unhideWhenUsed/>
    <w:qFormat/>
    <w:pPr>
      <w:tabs>
        <w:tab w:val="right" w:leader="dot" w:pos="8296"/>
      </w:tabs>
      <w:ind w:leftChars="200" w:left="420"/>
    </w:pPr>
  </w:style>
  <w:style w:type="character" w:styleId="aa">
    <w:name w:val="Strong"/>
    <w:basedOn w:val="a1"/>
    <w:uiPriority w:val="99"/>
    <w:qFormat/>
    <w:rPr>
      <w:b/>
    </w:rPr>
  </w:style>
  <w:style w:type="character" w:styleId="ab">
    <w:name w:val="Hyperlink"/>
    <w:basedOn w:val="a1"/>
    <w:uiPriority w:val="99"/>
    <w:unhideWhenUsed/>
    <w:qFormat/>
    <w:rPr>
      <w:color w:val="0000FF" w:themeColor="hyperlink"/>
      <w:u w:val="single"/>
    </w:rPr>
  </w:style>
  <w:style w:type="character" w:styleId="ac">
    <w:name w:val="annotation reference"/>
    <w:basedOn w:val="a1"/>
    <w:uiPriority w:val="99"/>
    <w:semiHidden/>
    <w:unhideWhenUsed/>
    <w:qFormat/>
    <w:rPr>
      <w:sz w:val="21"/>
      <w:szCs w:val="21"/>
    </w:rPr>
  </w:style>
  <w:style w:type="paragraph" w:customStyle="1" w:styleId="Default">
    <w:name w:val="Default"/>
    <w:uiPriority w:val="99"/>
    <w:qFormat/>
    <w:pPr>
      <w:widowControl w:val="0"/>
      <w:autoSpaceDE w:val="0"/>
      <w:autoSpaceDN w:val="0"/>
      <w:adjustRightInd w:val="0"/>
    </w:pPr>
    <w:rPr>
      <w:rFonts w:ascii="仿宋" w:eastAsia="仿宋" w:cs="仿宋"/>
      <w:color w:val="000000"/>
      <w:sz w:val="24"/>
      <w:szCs w:val="24"/>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Char2">
    <w:name w:val="页眉 Char"/>
    <w:link w:val="a8"/>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Char1">
    <w:name w:val="页脚 Char"/>
    <w:link w:val="a7"/>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Char">
    <w:name w:val="正文文本 Char"/>
    <w:link w:val="a5"/>
    <w:uiPriority w:val="99"/>
    <w:qFormat/>
    <w:locked/>
    <w:rPr>
      <w:rFonts w:ascii="仿宋_GB2312" w:eastAsia="仿宋_GB2312" w:hAnsi="Times New Roman"/>
      <w:sz w:val="24"/>
    </w:rPr>
  </w:style>
  <w:style w:type="paragraph" w:styleId="ad">
    <w:name w:val="List Paragraph"/>
    <w:basedOn w:val="a"/>
    <w:uiPriority w:val="34"/>
    <w:qFormat/>
    <w:pPr>
      <w:ind w:firstLineChars="200" w:firstLine="420"/>
    </w:pPr>
  </w:style>
  <w:style w:type="character" w:customStyle="1" w:styleId="1Char">
    <w:name w:val="标题 1 Char"/>
    <w:basedOn w:val="a1"/>
    <w:link w:val="1"/>
    <w:uiPriority w:val="9"/>
    <w:qFormat/>
    <w:rPr>
      <w:rFonts w:ascii="Times New Roman" w:hAnsi="Times New Roman"/>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6"/>
    <w:uiPriority w:val="99"/>
    <w:semiHidden/>
    <w:qFormat/>
    <w:rPr>
      <w:rFonts w:ascii="Times New Roman" w:hAnsi="Times New Roman"/>
      <w:kern w:val="2"/>
      <w:sz w:val="18"/>
      <w:szCs w:val="18"/>
    </w:rPr>
  </w:style>
  <w:style w:type="character" w:customStyle="1" w:styleId="3Char">
    <w:name w:val="标题 3 Char"/>
    <w:basedOn w:val="a1"/>
    <w:link w:val="3"/>
    <w:uiPriority w:val="9"/>
    <w:qFormat/>
    <w:rPr>
      <w:rFonts w:ascii="Times New Roman" w:hAnsi="Times New Roman"/>
      <w:b/>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numbering" Target="numbering.xml"/><Relationship Id="rId21"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2007____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2007____2.xlsx"/></Relationships>
</file>

<file path=word/charts/_rels/chart4.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1\AppData\Local\Temp\wps.mv1168\Work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24037;&#20316;&#31807;2"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I~1\AppData\Local\Temp\wps.yV1168\Workbook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zh-CN"/>
  <c:chart>
    <c:autoTitleDeleted val="1"/>
    <c:plotArea>
      <c:layout>
        <c:manualLayout>
          <c:layoutTarget val="inner"/>
          <c:xMode val="edge"/>
          <c:yMode val="edge"/>
          <c:x val="5.5981621809946827E-2"/>
          <c:y val="0.24786511290783603"/>
          <c:w val="0.91111111111111098"/>
          <c:h val="0.6540277777777781"/>
        </c:manualLayout>
      </c:layout>
      <c:barChart>
        <c:barDir val="col"/>
        <c:grouping val="clustered"/>
        <c:ser>
          <c:idx val="0"/>
          <c:order val="0"/>
          <c:tx>
            <c:strRef>
              <c:f>[工作簿1]Sheet1!$G$3</c:f>
              <c:strCache>
                <c:ptCount val="1"/>
                <c:pt idx="0">
                  <c:v>收支总计</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endParaRPr lang="zh-CN"/>
              </a:p>
            </c:txPr>
            <c:dLblPos val="inEnd"/>
            <c:showVal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numRef>
              <c:f>[工作簿1]Sheet1!$F$4:$F$5</c:f>
              <c:numCache>
                <c:formatCode>General</c:formatCode>
                <c:ptCount val="2"/>
                <c:pt idx="0">
                  <c:v>2019</c:v>
                </c:pt>
                <c:pt idx="1">
                  <c:v>2020</c:v>
                </c:pt>
              </c:numCache>
            </c:numRef>
          </c:cat>
          <c:val>
            <c:numRef>
              <c:f>[工作簿1]Sheet1!$G$4:$G$5</c:f>
              <c:numCache>
                <c:formatCode>General</c:formatCode>
                <c:ptCount val="2"/>
                <c:pt idx="0">
                  <c:v>15481</c:v>
                </c:pt>
                <c:pt idx="1">
                  <c:v>16061.140000000001</c:v>
                </c:pt>
              </c:numCache>
            </c:numRef>
          </c:val>
        </c:ser>
        <c:dLbls>
          <c:showVal val="1"/>
        </c:dLbls>
        <c:gapWidth val="41"/>
        <c:axId val="198533504"/>
        <c:axId val="198535040"/>
      </c:barChart>
      <c:catAx>
        <c:axId val="198533504"/>
        <c:scaling>
          <c:orientation val="minMax"/>
        </c:scaling>
        <c:axPos val="b"/>
        <c:numFmt formatCode="General" sourceLinked="0"/>
        <c:maj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endParaRPr lang="zh-CN"/>
          </a:p>
        </c:txPr>
        <c:crossAx val="198535040"/>
        <c:crosses val="autoZero"/>
        <c:auto val="1"/>
        <c:lblAlgn val="ctr"/>
        <c:lblOffset val="100"/>
      </c:catAx>
      <c:valAx>
        <c:axId val="198535040"/>
        <c:scaling>
          <c:orientation val="minMax"/>
        </c:scaling>
        <c:delete val="1"/>
        <c:axPos val="l"/>
        <c:numFmt formatCode="General" sourceLinked="1"/>
        <c:majorTickMark val="none"/>
        <c:tickLblPos val="none"/>
        <c:crossAx val="198533504"/>
        <c:crosses val="autoZero"/>
        <c:crossBetween val="between"/>
      </c:valAx>
      <c:spPr>
        <a:noFill/>
        <a:ln>
          <a:noFill/>
        </a:ln>
        <a:effectLst/>
      </c:spPr>
    </c:plotArea>
    <c:legend>
      <c:legendPos val="t"/>
      <c:layout/>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zh-CN"/>
        </a:p>
      </c:txPr>
    </c:legend>
    <c:plotVisOnly val="1"/>
    <c:dispBlanksAs val="gap"/>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prstDash val="solid"/>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zh-CN"/>
  <c:chart>
    <c:autoTitleDeleted val="1"/>
    <c:plotArea>
      <c:layout/>
      <c:pieChart>
        <c:varyColors val="1"/>
        <c:ser>
          <c:idx val="0"/>
          <c:order val="0"/>
          <c:tx>
            <c:strRef>
              <c:f>Sheet1!$B$1</c:f>
              <c:strCache>
                <c:ptCount val="1"/>
                <c:pt idx="0">
                  <c:v>销售额</c:v>
                </c:pt>
              </c:strCache>
            </c:strRef>
          </c:tx>
          <c:dPt>
            <c:idx val="0"/>
            <c:spPr>
              <a:solidFill>
                <a:schemeClr val="accent1"/>
              </a:solidFill>
              <a:ln>
                <a:noFill/>
              </a:ln>
              <a:effectLst>
                <a:outerShdw blurRad="254000" sx="102000" sy="102000" algn="ctr" rotWithShape="0">
                  <a:prstClr val="black">
                    <a:alpha val="20000"/>
                  </a:prstClr>
                </a:outerShdw>
              </a:effectLst>
            </c:spPr>
          </c:dPt>
          <c:dPt>
            <c:idx val="1"/>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endParaRPr lang="zh-CN"/>
              </a:p>
            </c:txPr>
            <c:dLblPos val="ctr"/>
            <c:showPercent val="1"/>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5441.95</c:v>
                </c:pt>
                <c:pt idx="1">
                  <c:v>4424.68</c:v>
                </c:pt>
              </c:numCache>
            </c:numRef>
          </c:val>
        </c:ser>
        <c:dLbls>
          <c:showPercent val="1"/>
        </c:dLbls>
        <c:firstSliceAng val="0"/>
      </c:pieChart>
      <c:spPr>
        <a:noFill/>
        <a:ln>
          <a:noFill/>
        </a:ln>
        <a:effectLst/>
      </c:spPr>
    </c:plotArea>
    <c:legend>
      <c:legendPos val="r"/>
      <c:layout/>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endParaRPr lang="zh-CN"/>
        </a:p>
      </c:txPr>
    </c:legend>
    <c:plotVisOnly val="1"/>
    <c:dispBlanksAs val="zero"/>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autoTitleDeleted val="1"/>
    <c:plotArea>
      <c:layout/>
      <c:pieChart>
        <c:varyColors val="1"/>
        <c:ser>
          <c:idx val="0"/>
          <c:order val="0"/>
          <c:tx>
            <c:strRef>
              <c:f>Sheet1!$B$1</c:f>
              <c:strCache>
                <c:ptCount val="1"/>
                <c:pt idx="0">
                  <c:v>销售额</c:v>
                </c:pt>
              </c:strCache>
            </c:strRef>
          </c:tx>
          <c:dPt>
            <c:idx val="0"/>
            <c:spPr>
              <a:solidFill>
                <a:schemeClr val="accent1"/>
              </a:solidFill>
              <a:ln>
                <a:noFill/>
              </a:ln>
              <a:effectLst>
                <a:outerShdw blurRad="254000" sx="102000" sy="102000" algn="ctr" rotWithShape="0">
                  <a:prstClr val="black">
                    <a:alpha val="20000"/>
                  </a:prstClr>
                </a:outerShdw>
              </a:effectLst>
            </c:spPr>
          </c:dPt>
          <c:dPt>
            <c:idx val="1"/>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endParaRPr lang="zh-CN"/>
              </a:p>
            </c:txPr>
            <c:dLblPos val="ctr"/>
            <c:showPercent val="1"/>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878.05</c:v>
                </c:pt>
                <c:pt idx="1">
                  <c:v>9131.3799999999956</c:v>
                </c:pt>
              </c:numCache>
            </c:numRef>
          </c:val>
        </c:ser>
        <c:dLbls>
          <c:showPercent val="1"/>
        </c:dLbls>
        <c:firstSliceAng val="0"/>
      </c:pieChart>
      <c:spPr>
        <a:noFill/>
        <a:ln>
          <a:noFill/>
        </a:ln>
        <a:effectLst/>
      </c:spPr>
    </c:plotArea>
    <c:legend>
      <c:legendPos val="r"/>
      <c:layout/>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endParaRPr lang="zh-CN"/>
        </a:p>
      </c:txPr>
    </c:legend>
    <c:plotVisOnly val="1"/>
    <c:dispBlanksAs val="zero"/>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autoTitleDeleted val="1"/>
    <c:plotArea>
      <c:layout>
        <c:manualLayout>
          <c:layoutTarget val="inner"/>
          <c:xMode val="edge"/>
          <c:yMode val="edge"/>
          <c:x val="4.1666666666666701E-3"/>
          <c:y val="0.24722222222222204"/>
          <c:w val="0.91111111111111098"/>
          <c:h val="0.6540277777777781"/>
        </c:manualLayout>
      </c:layout>
      <c:barChart>
        <c:barDir val="col"/>
        <c:grouping val="clustered"/>
        <c:ser>
          <c:idx val="0"/>
          <c:order val="0"/>
          <c:tx>
            <c:strRef>
              <c:f>[工作簿1]Sheet1!$G$8</c:f>
              <c:strCache>
                <c:ptCount val="1"/>
                <c:pt idx="0">
                  <c:v>财政拨款收支总计</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dLbls>
            <c:dLbl>
              <c:idx val="1"/>
              <c:layout/>
              <c:tx>
                <c:rich>
                  <a:bodyPr/>
                  <a:lstStyle/>
                  <a:p>
                    <a:r>
                      <a:rPr lang="en-US" altLang="en-US"/>
                      <a:t>16061.14</a:t>
                    </a:r>
                  </a:p>
                </c:rich>
              </c:tx>
              <c:dLblPos val="inEnd"/>
              <c:showVal val="1"/>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endParaRPr lang="zh-CN"/>
              </a:p>
            </c:txPr>
            <c:dLblPos val="inEnd"/>
            <c:showVal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numRef>
              <c:f>[工作簿1]Sheet1!$F$9:$F$10</c:f>
              <c:numCache>
                <c:formatCode>General</c:formatCode>
                <c:ptCount val="2"/>
                <c:pt idx="0">
                  <c:v>2019</c:v>
                </c:pt>
                <c:pt idx="1">
                  <c:v>2020</c:v>
                </c:pt>
              </c:numCache>
            </c:numRef>
          </c:cat>
          <c:val>
            <c:numRef>
              <c:f>[工作簿1]Sheet1!$G$9:$G$10</c:f>
              <c:numCache>
                <c:formatCode>General</c:formatCode>
                <c:ptCount val="2"/>
                <c:pt idx="0">
                  <c:v>15481</c:v>
                </c:pt>
                <c:pt idx="1">
                  <c:v>16061.15</c:v>
                </c:pt>
              </c:numCache>
            </c:numRef>
          </c:val>
        </c:ser>
        <c:dLbls>
          <c:showVal val="1"/>
        </c:dLbls>
        <c:gapWidth val="41"/>
        <c:axId val="198720896"/>
        <c:axId val="198739072"/>
      </c:barChart>
      <c:catAx>
        <c:axId val="198720896"/>
        <c:scaling>
          <c:orientation val="minMax"/>
        </c:scaling>
        <c:axPos val="b"/>
        <c:numFmt formatCode="General" sourceLinked="0"/>
        <c:maj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endParaRPr lang="zh-CN"/>
          </a:p>
        </c:txPr>
        <c:crossAx val="198739072"/>
        <c:crosses val="autoZero"/>
        <c:auto val="1"/>
        <c:lblAlgn val="ctr"/>
        <c:lblOffset val="100"/>
      </c:catAx>
      <c:valAx>
        <c:axId val="198739072"/>
        <c:scaling>
          <c:orientation val="minMax"/>
        </c:scaling>
        <c:delete val="1"/>
        <c:axPos val="l"/>
        <c:numFmt formatCode="General" sourceLinked="1"/>
        <c:majorTickMark val="none"/>
        <c:tickLblPos val="none"/>
        <c:crossAx val="198720896"/>
        <c:crosses val="autoZero"/>
        <c:crossBetween val="between"/>
      </c:valAx>
      <c:spPr>
        <a:noFill/>
        <a:ln>
          <a:noFill/>
        </a:ln>
        <a:effectLst/>
      </c:spPr>
    </c:plotArea>
    <c:legend>
      <c:legendPos val="t"/>
      <c:layout/>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zh-CN"/>
        </a:p>
      </c:txPr>
    </c:legend>
    <c:plotVisOnly val="1"/>
    <c:dispBlanksAs val="gap"/>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prstDash val="solid"/>
      <a:round/>
    </a:ln>
    <a:effectLst/>
  </c:spPr>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a:defRPr lang="zh-CN" sz="1200" b="0" i="0" u="none" strike="noStrike" kern="1200" baseline="0">
                <a:solidFill>
                  <a:srgbClr val="333333"/>
                </a:solidFill>
                <a:latin typeface="宋体" panose="02010600030101010101" charset="-122"/>
                <a:ea typeface="宋体" panose="02010600030101010101" charset="-122"/>
                <a:cs typeface="宋体" panose="02010600030101010101" charset="-122"/>
              </a:defRPr>
            </a:pPr>
            <a:r>
              <a:rPr lang="zh-CN" altLang="en-US"/>
              <a:t>一般公共预算财政拨款支出总体情况</a:t>
            </a:r>
          </a:p>
        </c:rich>
      </c:tx>
      <c:layout>
        <c:manualLayout>
          <c:xMode val="edge"/>
          <c:yMode val="edge"/>
          <c:x val="0.14492362982929002"/>
          <c:y val="3.7037037037037007E-2"/>
        </c:manualLayout>
      </c:layout>
      <c:spPr>
        <a:noFill/>
        <a:ln w="25400">
          <a:noFill/>
        </a:ln>
      </c:spPr>
    </c:title>
    <c:plotArea>
      <c:layout/>
      <c:barChart>
        <c:barDir val="col"/>
        <c:grouping val="clustered"/>
        <c:ser>
          <c:idx val="0"/>
          <c:order val="0"/>
          <c:tx>
            <c:strRef>
              <c:f>一般公共预算财政拨款支出柱状图!$B$2</c:f>
              <c:strCache>
                <c:ptCount val="1"/>
                <c:pt idx="0">
                  <c:v>2019</c:v>
                </c:pt>
              </c:strCache>
            </c:strRef>
          </c:tx>
          <c:spPr>
            <a:solidFill>
              <a:srgbClr val="70AD47"/>
            </a:solidFill>
            <a:ln w="12700">
              <a:solidFill>
                <a:srgbClr val="FFFFFF"/>
              </a:solidFill>
              <a:prstDash val="solid"/>
            </a:ln>
          </c:spPr>
          <c:dPt>
            <c:idx val="0"/>
          </c:dPt>
          <c:dLbls>
            <c:spPr>
              <a:noFill/>
              <a:ln w="25400">
                <a:noFill/>
              </a:ln>
              <a:effectLst/>
            </c:spPr>
            <c:txPr>
              <a:bodyPr rot="0" spcFirstLastPara="0" vertOverflow="ellipsis" vert="horz" wrap="square" lIns="38100" tIns="19050" rIns="38100" bIns="19050" anchor="ctr" anchorCtr="1">
                <a:spAutoFit/>
              </a:bodyPr>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endParaRPr lang="zh-CN"/>
              </a:p>
            </c:txPr>
            <c:dLblPos val="outEnd"/>
            <c:showVal val="1"/>
            <c:extLst>
              <c:ext xmlns:c15="http://schemas.microsoft.com/office/drawing/2012/chart" uri="{CE6537A1-D6FC-4f65-9D91-7224C49458BB}">
                <c15:layout/>
                <c15:showLeaderLines val="0"/>
                <c15:leaderLines/>
              </c:ext>
            </c:extLst>
          </c:dLbls>
          <c:cat>
            <c:strRef>
              <c:f>一般公共预算财政拨款支出柱状图!$C$1</c:f>
              <c:strCache>
                <c:ptCount val="1"/>
                <c:pt idx="0">
                  <c:v>支出</c:v>
                </c:pt>
              </c:strCache>
            </c:strRef>
          </c:cat>
          <c:val>
            <c:numRef>
              <c:f>一般公共预算财政拨款支出柱状图!$C$2</c:f>
              <c:numCache>
                <c:formatCode>General</c:formatCode>
                <c:ptCount val="1"/>
                <c:pt idx="0">
                  <c:v>6498.41</c:v>
                </c:pt>
              </c:numCache>
            </c:numRef>
          </c:val>
        </c:ser>
        <c:ser>
          <c:idx val="1"/>
          <c:order val="1"/>
          <c:tx>
            <c:strRef>
              <c:f>一般公共预算财政拨款支出柱状图!$B$3</c:f>
              <c:strCache>
                <c:ptCount val="1"/>
                <c:pt idx="0">
                  <c:v>2020</c:v>
                </c:pt>
              </c:strCache>
            </c:strRef>
          </c:tx>
          <c:spPr>
            <a:solidFill>
              <a:srgbClr val="ED7D31"/>
            </a:solidFill>
            <a:ln w="12700">
              <a:solidFill>
                <a:srgbClr val="FFFFFF"/>
              </a:solidFill>
              <a:prstDash val="solid"/>
            </a:ln>
          </c:spPr>
          <c:dLbls>
            <c:dLbl>
              <c:idx val="0"/>
              <c:layout/>
              <c:tx>
                <c:rich>
                  <a:bodyPr/>
                  <a:lstStyle/>
                  <a:p>
                    <a:r>
                      <a:rPr lang="en-US" altLang="en-US"/>
                      <a:t>6668.78</a:t>
                    </a:r>
                  </a:p>
                </c:rich>
              </c:tx>
              <c:dLblPos val="outEnd"/>
              <c:showVal val="1"/>
            </c:dLbl>
            <c:spPr>
              <a:noFill/>
              <a:ln w="25400">
                <a:noFill/>
              </a:ln>
              <a:effectLst/>
            </c:spPr>
            <c:txPr>
              <a:bodyPr rot="0" spcFirstLastPara="0" vertOverflow="ellipsis" vert="horz" wrap="square" lIns="38100" tIns="19050" rIns="38100" bIns="19050" anchor="ctr" anchorCtr="1">
                <a:spAutoFit/>
              </a:bodyPr>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endParaRPr lang="zh-CN"/>
              </a:p>
            </c:txPr>
            <c:dLblPos val="outEnd"/>
            <c:showVal val="1"/>
            <c:extLst>
              <c:ext xmlns:c15="http://schemas.microsoft.com/office/drawing/2012/chart" uri="{CE6537A1-D6FC-4f65-9D91-7224C49458BB}">
                <c15:layout/>
                <c15:showLeaderLines val="0"/>
                <c15:leaderLines/>
              </c:ext>
            </c:extLst>
          </c:dLbls>
          <c:cat>
            <c:strRef>
              <c:f>一般公共预算财政拨款支出柱状图!$C$1</c:f>
              <c:strCache>
                <c:ptCount val="1"/>
                <c:pt idx="0">
                  <c:v>支出</c:v>
                </c:pt>
              </c:strCache>
            </c:strRef>
          </c:cat>
          <c:val>
            <c:numRef>
              <c:f>一般公共预算财政拨款支出柱状图!$C$3</c:f>
              <c:numCache>
                <c:formatCode>General</c:formatCode>
                <c:ptCount val="1"/>
                <c:pt idx="0">
                  <c:v>6668.7699999999995</c:v>
                </c:pt>
              </c:numCache>
            </c:numRef>
          </c:val>
        </c:ser>
        <c:dLbls/>
        <c:axId val="198838528"/>
        <c:axId val="198852608"/>
      </c:barChart>
      <c:catAx>
        <c:axId val="198838528"/>
        <c:scaling>
          <c:orientation val="minMax"/>
        </c:scaling>
        <c:axPos val="b"/>
        <c:numFmt formatCode="General" sourceLinked="1"/>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endParaRPr lang="zh-CN"/>
          </a:p>
        </c:txPr>
        <c:crossAx val="198852608"/>
        <c:crosses val="autoZero"/>
        <c:auto val="1"/>
        <c:lblAlgn val="ctr"/>
        <c:lblOffset val="100"/>
      </c:catAx>
      <c:valAx>
        <c:axId val="198852608"/>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tickLblPos val="nextTo"/>
        <c:spPr>
          <a:ln w="6350"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endParaRPr lang="zh-CN"/>
          </a:p>
        </c:txPr>
        <c:crossAx val="198838528"/>
        <c:crosses val="autoZero"/>
        <c:crossBetween val="between"/>
      </c:valAx>
      <c:spPr>
        <a:noFill/>
        <a:ln w="25400">
          <a:noFill/>
        </a:ln>
      </c:spPr>
    </c:plotArea>
    <c:legend>
      <c:legendPos val="r"/>
      <c:layout>
        <c:manualLayout>
          <c:xMode val="edge"/>
          <c:yMode val="edge"/>
          <c:x val="0.86025001591782202"/>
          <c:y val="0.45675012845616497"/>
          <c:w val="0.11799987265742698"/>
          <c:h val="0.19699981946701103"/>
        </c:manualLayout>
      </c:layout>
      <c:spPr>
        <a:noFill/>
        <a:ln w="25400">
          <a:noFill/>
        </a:ln>
      </c:spPr>
      <c:txPr>
        <a:bodyPr rot="0" spcFirstLastPara="0" vertOverflow="ellipsis" vert="horz" wrap="square" anchor="ctr" anchorCtr="1"/>
        <a:lstStyle/>
        <a:p>
          <a:pPr>
            <a:defRPr lang="zh-CN" sz="825" b="0" i="0" u="none" strike="noStrike" kern="1200" baseline="0">
              <a:solidFill>
                <a:srgbClr val="333333"/>
              </a:solidFill>
              <a:latin typeface="宋体" panose="02010600030101010101" charset="-122"/>
              <a:ea typeface="宋体" panose="02010600030101010101" charset="-122"/>
              <a:cs typeface="宋体" panose="02010600030101010101" charset="-122"/>
            </a:defRPr>
          </a:pPr>
          <a:endParaRPr lang="zh-CN"/>
        </a:p>
      </c:txPr>
    </c:legend>
    <c:plotVisOnly val="1"/>
    <c:dispBlanksAs val="gap"/>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a:defRPr lang="zh-CN" sz="1600" b="1" i="0" u="none" strike="noStrike" kern="1200" baseline="0">
                <a:solidFill>
                  <a:schemeClr val="tx2"/>
                </a:solidFill>
                <a:latin typeface="+mn-lt"/>
                <a:ea typeface="+mn-ea"/>
                <a:cs typeface="+mn-cs"/>
              </a:defRPr>
            </a:pPr>
            <a:r>
              <a:rPr lang="zh-CN" altLang="en-US"/>
              <a:t>一般公共预算财政拨款支出</a:t>
            </a:r>
          </a:p>
        </c:rich>
      </c:tx>
      <c:layout/>
      <c:spPr>
        <a:noFill/>
        <a:ln>
          <a:noFill/>
        </a:ln>
        <a:effectLst/>
      </c:spPr>
    </c:title>
    <c:plotArea>
      <c:layout>
        <c:manualLayout>
          <c:layoutTarget val="inner"/>
          <c:xMode val="edge"/>
          <c:yMode val="edge"/>
          <c:x val="0.34118055555555604"/>
          <c:y val="0.18402777777777801"/>
          <c:w val="0.31763888888888914"/>
          <c:h val="0.52939814814814801"/>
        </c:manualLayout>
      </c:layout>
      <c:pieChart>
        <c:varyColors val="1"/>
        <c:ser>
          <c:idx val="0"/>
          <c:order val="0"/>
          <c:dPt>
            <c:idx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Pt>
            <c:idx val="2"/>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Pt>
          <c:dPt>
            <c:idx val="3"/>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Pt>
          <c:dPt>
            <c:idx val="4"/>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dPt>
          <c:dPt>
            <c:idx val="5"/>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dPt>
          <c:dLbls>
            <c:dLbl>
              <c:idx val="0"/>
              <c:layout>
                <c:manualLayout>
                  <c:x val="0.26176860110840805"/>
                  <c:y val="0.15264064640677799"/>
                </c:manualLayout>
              </c:layout>
              <c:dLblPos val="bestFit"/>
              <c:showVal val="1"/>
              <c:showCatName val="1"/>
              <c:showPercent val="1"/>
              <c:extLst>
                <c:ext xmlns:c15="http://schemas.microsoft.com/office/drawing/2012/chart" uri="{CE6537A1-D6FC-4f65-9D91-7224C49458BB}">
                  <c15:layout/>
                </c:ext>
              </c:extLst>
            </c:dLbl>
            <c:dLbl>
              <c:idx val="1"/>
              <c:layout>
                <c:manualLayout>
                  <c:x val="-0.2999023157855501"/>
                  <c:y val="9.1621005275479644E-2"/>
                </c:manualLayout>
              </c:layout>
              <c:dLblPos val="bestFit"/>
              <c:showVal val="1"/>
              <c:showCatName val="1"/>
              <c:showPercent val="1"/>
              <c:extLst>
                <c:ext xmlns:c15="http://schemas.microsoft.com/office/drawing/2012/chart" uri="{CE6537A1-D6FC-4f65-9D91-7224C49458BB}">
                  <c15:layout/>
                </c:ext>
              </c:extLst>
            </c:dLbl>
            <c:dLbl>
              <c:idx val="2"/>
              <c:layout>
                <c:manualLayout>
                  <c:x val="-0.118402217387561"/>
                  <c:y val="-4.6401101298250196E-2"/>
                </c:manualLayout>
              </c:layout>
              <c:dLblPos val="bestFit"/>
              <c:showVal val="1"/>
              <c:showCatName val="1"/>
              <c:showPercent val="1"/>
              <c:extLst>
                <c:ext xmlns:c15="http://schemas.microsoft.com/office/drawing/2012/chart" uri="{CE6537A1-D6FC-4f65-9D91-7224C49458BB}">
                  <c15:layout/>
                </c:ext>
              </c:extLst>
            </c:dLbl>
            <c:dLbl>
              <c:idx val="3"/>
              <c:layout>
                <c:manualLayout>
                  <c:x val="5.3482016659180009E-2"/>
                  <c:y val="-0.112342738351161"/>
                </c:manualLayout>
              </c:layout>
              <c:tx>
                <c:rich>
                  <a:bodyPr/>
                  <a:lstStyle/>
                  <a:p>
                    <a:r>
                      <a:rPr lang="zh-CN" altLang="en-US"/>
                      <a:t>十八、自然资源海洋气象等支出</a:t>
                    </a:r>
                    <a:r>
                      <a:rPr lang="en-US" altLang="zh-CN"/>
                      <a:t>, 1,812.33, 27%</a:t>
                    </a:r>
                    <a:endParaRPr lang="zh-CN" altLang="en-US"/>
                  </a:p>
                </c:rich>
              </c:tx>
              <c:dLblPos val="bestFit"/>
              <c:showVal val="1"/>
              <c:showCatName val="1"/>
              <c:showPercent val="1"/>
              <c:extLst>
                <c:ext xmlns:c15="http://schemas.microsoft.com/office/drawing/2012/chart" uri="{CE6537A1-D6FC-4f65-9D91-7224C49458BB}">
                  <c15:layout/>
                </c:ext>
              </c:extLst>
            </c:dLbl>
            <c:dLbl>
              <c:idx val="4"/>
              <c:layout>
                <c:manualLayout>
                  <c:x val="-0.15851036369855601"/>
                  <c:y val="-0.15830541219159305"/>
                </c:manualLayout>
              </c:layout>
              <c:dLblPos val="bestFit"/>
              <c:showVal val="1"/>
              <c:showCatName val="1"/>
              <c:showPercent val="1"/>
              <c:extLst>
                <c:ext xmlns:c15="http://schemas.microsoft.com/office/drawing/2012/chart" uri="{CE6537A1-D6FC-4f65-9D91-7224C49458BB}">
                  <c15:layout/>
                </c:ext>
              </c:extLst>
            </c:dLbl>
            <c:dLbl>
              <c:idx val="5"/>
              <c:layout>
                <c:manualLayout>
                  <c:x val="-4.9367187220031819E-2"/>
                  <c:y val="9.2068094764167011E-3"/>
                </c:manualLayout>
              </c:layout>
              <c:dLblPos val="bestFit"/>
              <c:showVal val="1"/>
              <c:showCatName val="1"/>
              <c:showPercent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endParaRPr lang="zh-CN"/>
              </a:p>
            </c:txPr>
            <c:dLblPos val="inEnd"/>
            <c:showVal val="1"/>
            <c:showCatName val="1"/>
            <c:showPercent val="1"/>
            <c:showLeaderLines val="1"/>
            <c:extLst>
              <c:ext xmlns:c15="http://schemas.microsoft.com/office/drawing/2012/chart" uri="{CE6537A1-D6FC-4f65-9D91-7224C49458BB}">
                <c15:layout/>
                <c15:showLeaderLines val="1"/>
                <c15:leaderLines>
                  <c:spPr>
                    <a:ln w="9525" cap="flat" cmpd="sng" algn="ctr">
                      <a:solidFill>
                        <a:schemeClr val="tx2">
                          <a:lumMod val="35000"/>
                          <a:lumOff val="65000"/>
                        </a:schemeClr>
                      </a:solidFill>
                      <a:prstDash val="solid"/>
                      <a:round/>
                    </a:ln>
                    <a:effectLst/>
                  </c:spPr>
                </c15:leaderLines>
              </c:ext>
            </c:extLst>
          </c:dLbls>
          <c:cat>
            <c:strRef>
              <c:f>[工作簿1]Sheet1!$A$1:$A$6</c:f>
              <c:strCache>
                <c:ptCount val="6"/>
                <c:pt idx="0">
                  <c:v>八、社会保障和就业支出</c:v>
                </c:pt>
                <c:pt idx="1">
                  <c:v>九、卫生健康支出</c:v>
                </c:pt>
                <c:pt idx="2">
                  <c:v>十二、农林水支出</c:v>
                </c:pt>
                <c:pt idx="3">
                  <c:v>十八、自然资源海洋气象等支出</c:v>
                </c:pt>
                <c:pt idx="4">
                  <c:v>十九、住房保障支出</c:v>
                </c:pt>
                <c:pt idx="5">
                  <c:v>二十二、灾害防治及应急管理支出</c:v>
                </c:pt>
              </c:strCache>
            </c:strRef>
          </c:cat>
          <c:val>
            <c:numRef>
              <c:f>[工作簿1]Sheet1!$B$1:$B$6</c:f>
              <c:numCache>
                <c:formatCode>#,##0.00</c:formatCode>
                <c:ptCount val="6"/>
                <c:pt idx="0">
                  <c:v>91.2</c:v>
                </c:pt>
                <c:pt idx="1">
                  <c:v>47.56</c:v>
                </c:pt>
                <c:pt idx="2">
                  <c:v>1308.23</c:v>
                </c:pt>
                <c:pt idx="3">
                  <c:v>1812.32</c:v>
                </c:pt>
                <c:pt idx="4">
                  <c:v>64.53</c:v>
                </c:pt>
                <c:pt idx="5">
                  <c:v>3344.9300000000003</c:v>
                </c:pt>
              </c:numCache>
            </c:numRef>
          </c:val>
        </c:ser>
        <c:dLbls>
          <c:showCatName val="1"/>
          <c:showPercent val="1"/>
        </c:dLbls>
        <c:firstSliceAng val="0"/>
      </c:pieChart>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endParaRPr lang="zh-CN"/>
        </a:p>
      </c:txPr>
    </c:legend>
    <c:plotVisOnly val="1"/>
    <c:dispBlanksAs val="zero"/>
  </c:chart>
  <c:spPr>
    <a:solidFill>
      <a:schemeClr val="bg1"/>
    </a:solidFill>
    <a:ln w="9525" cap="flat" cmpd="sng" algn="ctr">
      <a:solidFill>
        <a:schemeClr val="tx2">
          <a:lumMod val="15000"/>
          <a:lumOff val="85000"/>
        </a:schemeClr>
      </a:solidFill>
      <a:prstDash val="solid"/>
      <a:round/>
    </a:ln>
    <a:effectLst/>
  </c:spPr>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a:defRPr lang="zh-CN" sz="1600" b="1" i="0" u="none" strike="noStrike" kern="1200" spc="0" normalizeH="0" baseline="0">
                <a:solidFill>
                  <a:schemeClr val="dk1">
                    <a:lumMod val="50000"/>
                    <a:lumOff val="50000"/>
                  </a:schemeClr>
                </a:solidFill>
                <a:latin typeface="+mj-lt"/>
                <a:ea typeface="+mj-ea"/>
                <a:cs typeface="+mj-cs"/>
              </a:defRPr>
            </a:pPr>
            <a:r>
              <a:rPr lang="zh-CN" altLang="en-US"/>
              <a:t>三公经费</a:t>
            </a:r>
          </a:p>
        </c:rich>
      </c:tx>
      <c:spPr>
        <a:noFill/>
        <a:ln>
          <a:noFill/>
        </a:ln>
        <a:effectLst/>
      </c:spPr>
    </c:title>
    <c:plotArea>
      <c:layout>
        <c:manualLayout>
          <c:layoutTarget val="inner"/>
          <c:xMode val="edge"/>
          <c:yMode val="edge"/>
          <c:x val="0.30045967404931107"/>
          <c:y val="0.25974025974025999"/>
          <c:w val="0.40855272322050407"/>
          <c:h val="0.69256198347107401"/>
        </c:manualLayout>
      </c:layout>
      <c:pieChart>
        <c:varyColors val="1"/>
        <c:ser>
          <c:idx val="0"/>
          <c:order val="0"/>
          <c:tx>
            <c:strRef>
              <c:f>[工作簿2]Sheet1!$B$8</c:f>
              <c:strCache>
                <c:ptCount val="1"/>
                <c:pt idx="0">
                  <c:v> 公务用车运行维护费</c:v>
                </c:pt>
              </c:strCache>
            </c:strRef>
          </c:tx>
          <c:dPt>
            <c:idx val="0"/>
            <c:spPr>
              <a:gradFill>
                <a:gsLst>
                  <a:gs pos="100000">
                    <a:schemeClr val="accent1">
                      <a:lumMod val="60000"/>
                      <a:lumOff val="40000"/>
                    </a:schemeClr>
                  </a:gs>
                  <a:gs pos="0">
                    <a:schemeClr val="accent1"/>
                  </a:gs>
                </a:gsLst>
                <a:lin ang="5400000" scaled="0"/>
              </a:gra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endParaRPr lang="zh-CN"/>
              </a:p>
            </c:txPr>
            <c:dLblPos val="inEnd"/>
            <c:showCatName val="1"/>
            <c:showPercent val="1"/>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prstDash val="solid"/>
                      <a:round/>
                    </a:ln>
                    <a:effectLst/>
                  </c:spPr>
                </c15:leaderLines>
              </c:ext>
            </c:extLst>
          </c:dLbls>
          <c:cat>
            <c:strRef>
              <c:f>[工作簿2]Sheet1!$C$7</c:f>
              <c:strCache>
                <c:ptCount val="1"/>
                <c:pt idx="0">
                  <c:v> 公务用车运行维护费</c:v>
                </c:pt>
              </c:strCache>
            </c:strRef>
          </c:cat>
          <c:val>
            <c:numRef>
              <c:f>[工作簿2]Sheet1!$C$8</c:f>
              <c:numCache>
                <c:formatCode>0%</c:formatCode>
                <c:ptCount val="1"/>
                <c:pt idx="0">
                  <c:v>1</c:v>
                </c:pt>
              </c:numCache>
            </c:numRef>
          </c:val>
        </c:ser>
        <c:dLbls>
          <c:showCatName val="1"/>
          <c:showPercent val="1"/>
        </c:dLbls>
        <c:firstSliceAng val="0"/>
      </c:pieChart>
      <c:spPr>
        <a:noFill/>
        <a:ln>
          <a:noFill/>
        </a:ln>
        <a:effectLst/>
      </c:spPr>
    </c:plotArea>
    <c:legend>
      <c:legendPos val="r"/>
      <c:spPr>
        <a:solidFill>
          <a:schemeClr val="lt1">
            <a:alpha val="50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zh-CN"/>
        </a:p>
      </c:txPr>
    </c:legend>
    <c:plotVisOnly val="1"/>
    <c:dispBlanksAs val="zero"/>
  </c:chart>
  <c:spPr>
    <a:pattFill prst="dkDnDiag">
      <a:fgClr>
        <a:schemeClr val="lt1"/>
      </a:fgClr>
      <a:bgClr>
        <a:schemeClr val="dk1">
          <a:lumMod val="10000"/>
          <a:lumOff val="90000"/>
        </a:schemeClr>
      </a:bgClr>
    </a:pattFill>
    <a:ln w="9525" cap="flat" cmpd="sng" algn="ctr">
      <a:solidFill>
        <a:schemeClr val="dk1">
          <a:lumMod val="15000"/>
          <a:lumOff val="85000"/>
        </a:schemeClr>
      </a:solidFill>
      <a:prstDash val="solid"/>
      <a:round/>
    </a:ln>
    <a:effectLst/>
  </c:spPr>
  <c:txPr>
    <a:bodyPr/>
    <a:lstStyle/>
    <a:p>
      <a:pPr>
        <a:defRPr lang="zh-CN"/>
      </a:pPr>
      <a:endParaRPr lang="zh-CN"/>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r>
              <a:rPr lang="zh-CN" altLang="en-US"/>
              <a:t>财政拨款收支</a:t>
            </a:r>
          </a:p>
        </c:rich>
      </c:tx>
      <c:layout>
        <c:manualLayout>
          <c:xMode val="edge"/>
          <c:yMode val="edge"/>
          <c:x val="0.33701296771865819"/>
          <c:y val="3.4771314875963105E-2"/>
        </c:manualLayout>
      </c:layout>
      <c:spPr>
        <a:noFill/>
        <a:ln w="25400">
          <a:noFill/>
        </a:ln>
      </c:spPr>
    </c:title>
    <c:plotArea>
      <c:layout>
        <c:manualLayout>
          <c:layoutTarget val="inner"/>
          <c:xMode val="edge"/>
          <c:yMode val="edge"/>
          <c:x val="9.6244384546271294E-2"/>
          <c:y val="0.20473118279569902"/>
          <c:w val="0.70231805929919111"/>
          <c:h val="0.73255913978494591"/>
        </c:manualLayout>
      </c:layout>
      <c:barChart>
        <c:barDir val="col"/>
        <c:grouping val="clustered"/>
        <c:ser>
          <c:idx val="0"/>
          <c:order val="0"/>
          <c:tx>
            <c:strRef>
              <c:f>[Workbook2.xlsx]财政拨款收支柱状图!$B$2</c:f>
              <c:strCache>
                <c:ptCount val="1"/>
                <c:pt idx="0">
                  <c:v>2019</c:v>
                </c:pt>
              </c:strCache>
            </c:strRef>
          </c:tx>
          <c:spPr>
            <a:solidFill>
              <a:srgbClr val="70AD47"/>
            </a:solidFill>
            <a:ln w="12700">
              <a:solidFill>
                <a:srgbClr val="FFFFFF"/>
              </a:solidFill>
              <a:prstDash val="solid"/>
            </a:ln>
          </c:spPr>
          <c:dPt>
            <c:idx val="0"/>
          </c:dPt>
          <c:dPt>
            <c:idx val="1"/>
          </c:dPt>
          <c:dLbls>
            <c:spPr>
              <a:noFill/>
              <a:ln w="25400">
                <a:noFill/>
              </a:ln>
              <a:effectLst/>
            </c:spPr>
            <c:txPr>
              <a:bodyPr rot="0" spcFirstLastPara="0" vertOverflow="ellipsis" vert="horz" wrap="square" lIns="38100" tIns="19050" rIns="38100" bIns="19050" anchor="ctr" anchorCtr="1">
                <a:spAutoFit/>
              </a:bodyPr>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endParaRPr lang="zh-CN"/>
              </a:p>
            </c:txPr>
            <c:dLblPos val="outEnd"/>
            <c:showVal val="1"/>
            <c:extLst>
              <c:ext xmlns:c15="http://schemas.microsoft.com/office/drawing/2012/chart" uri="{CE6537A1-D6FC-4f65-9D91-7224C49458BB}">
                <c15:layout/>
                <c15:showLeaderLines val="0"/>
                <c15:leaderLines/>
              </c:ext>
            </c:extLst>
          </c:dLbls>
          <c:cat>
            <c:strRef>
              <c:f>[Workbook2.xlsx]财政拨款收支柱状图!$C$1:$D$1</c:f>
              <c:strCache>
                <c:ptCount val="2"/>
                <c:pt idx="0">
                  <c:v>收入</c:v>
                </c:pt>
                <c:pt idx="1">
                  <c:v>支出</c:v>
                </c:pt>
              </c:strCache>
            </c:strRef>
          </c:cat>
          <c:val>
            <c:numRef>
              <c:f>[Workbook2.xlsx]财政拨款收支柱状图!$C$2:$D$2</c:f>
              <c:numCache>
                <c:formatCode>General</c:formatCode>
                <c:ptCount val="2"/>
                <c:pt idx="0">
                  <c:v>6065.1100000000006</c:v>
                </c:pt>
                <c:pt idx="1">
                  <c:v>8634.84</c:v>
                </c:pt>
              </c:numCache>
            </c:numRef>
          </c:val>
        </c:ser>
        <c:ser>
          <c:idx val="1"/>
          <c:order val="1"/>
          <c:tx>
            <c:strRef>
              <c:f>[Workbook2.xlsx]财政拨款收支柱状图!$B$3</c:f>
              <c:strCache>
                <c:ptCount val="1"/>
                <c:pt idx="0">
                  <c:v>2020</c:v>
                </c:pt>
              </c:strCache>
            </c:strRef>
          </c:tx>
          <c:spPr>
            <a:solidFill>
              <a:srgbClr val="ED7D31"/>
            </a:solidFill>
            <a:ln w="12700">
              <a:solidFill>
                <a:srgbClr val="FFFFFF"/>
              </a:solidFill>
              <a:prstDash val="solid"/>
            </a:ln>
          </c:spPr>
          <c:dLbls>
            <c:spPr>
              <a:noFill/>
              <a:ln w="25400">
                <a:noFill/>
              </a:ln>
              <a:effectLst/>
            </c:spPr>
            <c:txPr>
              <a:bodyPr rot="0" spcFirstLastPara="0" vertOverflow="ellipsis" vert="horz" wrap="square" lIns="38100" tIns="19050" rIns="38100" bIns="19050" anchor="ctr" anchorCtr="1">
                <a:spAutoFit/>
              </a:bodyPr>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endParaRPr lang="zh-CN"/>
              </a:p>
            </c:txPr>
            <c:dLblPos val="outEnd"/>
            <c:showVal val="1"/>
            <c:extLst>
              <c:ext xmlns:c15="http://schemas.microsoft.com/office/drawing/2012/chart" uri="{CE6537A1-D6FC-4f65-9D91-7224C49458BB}">
                <c15:layout/>
                <c15:showLeaderLines val="0"/>
                <c15:leaderLines/>
              </c:ext>
            </c:extLst>
          </c:dLbls>
          <c:cat>
            <c:strRef>
              <c:f>[Workbook2.xlsx]财政拨款收支柱状图!$C$1:$D$1</c:f>
              <c:strCache>
                <c:ptCount val="2"/>
                <c:pt idx="0">
                  <c:v>收入</c:v>
                </c:pt>
                <c:pt idx="1">
                  <c:v>支出</c:v>
                </c:pt>
              </c:strCache>
            </c:strRef>
          </c:cat>
          <c:val>
            <c:numRef>
              <c:f>[Workbook2.xlsx]财政拨款收支柱状图!$C$3:$D$3</c:f>
              <c:numCache>
                <c:formatCode>General</c:formatCode>
                <c:ptCount val="2"/>
                <c:pt idx="0">
                  <c:v>9866.6299999999974</c:v>
                </c:pt>
                <c:pt idx="1">
                  <c:v>10009.43</c:v>
                </c:pt>
              </c:numCache>
            </c:numRef>
          </c:val>
        </c:ser>
        <c:dLbls/>
        <c:axId val="199140480"/>
        <c:axId val="199142016"/>
      </c:barChart>
      <c:catAx>
        <c:axId val="199140480"/>
        <c:scaling>
          <c:orientation val="minMax"/>
        </c:scaling>
        <c:axPos val="b"/>
        <c:numFmt formatCode="General" sourceLinked="1"/>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endParaRPr lang="zh-CN"/>
          </a:p>
        </c:txPr>
        <c:crossAx val="199142016"/>
        <c:crosses val="autoZero"/>
        <c:auto val="1"/>
        <c:lblAlgn val="ctr"/>
        <c:lblOffset val="100"/>
      </c:catAx>
      <c:valAx>
        <c:axId val="199142016"/>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tickLblPos val="nextTo"/>
        <c:spPr>
          <a:ln w="6350"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endParaRPr lang="zh-CN"/>
          </a:p>
        </c:txPr>
        <c:crossAx val="199140480"/>
        <c:crosses val="autoZero"/>
        <c:crossBetween val="between"/>
      </c:valAx>
      <c:spPr>
        <a:noFill/>
        <a:ln w="25400">
          <a:noFill/>
        </a:ln>
      </c:spPr>
    </c:plotArea>
    <c:legend>
      <c:legendPos val="r"/>
      <c:layout>
        <c:manualLayout>
          <c:xMode val="edge"/>
          <c:yMode val="edge"/>
          <c:x val="0.86016879965476001"/>
          <c:y val="0.22778562357124699"/>
          <c:w val="0.13444630741912006"/>
          <c:h val="0.43370959275251902"/>
        </c:manualLayout>
      </c:layout>
      <c:spPr>
        <a:noFill/>
        <a:ln w="25400">
          <a:noFill/>
        </a:ln>
      </c:spPr>
      <c:txPr>
        <a:bodyPr rot="0" spcFirstLastPara="0" vertOverflow="ellipsis" vert="horz" wrap="square" anchor="ctr" anchorCtr="1"/>
        <a:lstStyle/>
        <a:p>
          <a:pPr>
            <a:defRPr lang="zh-CN" sz="825" b="0" i="0" u="none" strike="noStrike" kern="1200" baseline="0">
              <a:solidFill>
                <a:srgbClr val="333333"/>
              </a:solidFill>
              <a:latin typeface="宋体" panose="02010600030101010101" charset="-122"/>
              <a:ea typeface="宋体" panose="02010600030101010101" charset="-122"/>
              <a:cs typeface="宋体" panose="02010600030101010101" charset="-122"/>
            </a:defRPr>
          </a:pPr>
          <a:endParaRPr lang="zh-CN"/>
        </a:p>
      </c:txPr>
    </c:legend>
    <c:plotVisOnly val="1"/>
    <c:dispBlanksAs val="gap"/>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47A71E-AFD0-442F-8988-615B3E277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35</Pages>
  <Words>11446</Words>
  <Characters>3931</Characters>
  <Application>Microsoft Office Word</Application>
  <DocSecurity>0</DocSecurity>
  <Lines>32</Lines>
  <Paragraphs>30</Paragraphs>
  <ScaleCrop>false</ScaleCrop>
  <Company>四川省财政厅</Company>
  <LinksUpToDate>false</LinksUpToDate>
  <CharactersWithSpaces>15347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Administrator</cp:lastModifiedBy>
  <cp:revision>24</cp:revision>
  <cp:lastPrinted>2022-06-30T03:28:00Z</cp:lastPrinted>
  <dcterms:created xsi:type="dcterms:W3CDTF">2021-09-26T08:37:00Z</dcterms:created>
  <dcterms:modified xsi:type="dcterms:W3CDTF">2022-06-30T03:28:00Z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58E1EA1348EB407DB7950A64E051003F</vt:lpwstr>
  </property>
</Properties>
</file>