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425"/>
      <w:bookmarkStart w:id="3" w:name="_Toc15396597"/>
      <w:bookmarkStart w:id="4" w:name="_Toc15377193"/>
      <w:bookmarkStart w:id="5" w:name="_Toc15396475"/>
      <w:r>
        <w:rPr>
          <w:rFonts w:hint="eastAsia" w:ascii="黑体" w:hAnsi="黑体" w:eastAsia="黑体"/>
          <w:color w:val="000000"/>
          <w:sz w:val="72"/>
          <w:szCs w:val="72"/>
        </w:rPr>
        <w:t>2021</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06268"/>
      <w:bookmarkStart w:id="7" w:name="_Toc15377194"/>
      <w:bookmarkStart w:id="8" w:name="_Toc15396476"/>
      <w:bookmarkStart w:id="9" w:name="_Toc15396598"/>
      <w:bookmarkStart w:id="10" w:name="_Toc15377426"/>
      <w:bookmarkStart w:id="11" w:name="_Toc15378442"/>
      <w:r>
        <w:rPr>
          <w:rFonts w:hint="eastAsia" w:ascii="方正小标宋简体" w:hAnsi="宋体" w:eastAsia="方正小标宋简体"/>
          <w:color w:val="000000" w:themeColor="text1"/>
          <w:sz w:val="72"/>
          <w:szCs w:val="72"/>
          <w14:textFill>
            <w14:solidFill>
              <w14:schemeClr w14:val="tx1"/>
            </w14:solidFill>
          </w14:textFill>
        </w:rPr>
        <w:t>四川省茂县自然资源局</w:t>
      </w:r>
      <w:r>
        <w:rPr>
          <w:rFonts w:hint="eastAsia" w:ascii="方正小标宋简体" w:hAnsi="宋体" w:eastAsia="方正小标宋简体"/>
          <w:color w:val="000000"/>
          <w:sz w:val="72"/>
          <w:szCs w:val="72"/>
        </w:rPr>
        <w:t>汇总决算</w:t>
      </w:r>
      <w:bookmarkEnd w:id="6"/>
      <w:bookmarkEnd w:id="7"/>
      <w:bookmarkEnd w:id="8"/>
      <w:bookmarkEnd w:id="9"/>
      <w:bookmarkEnd w:id="10"/>
      <w:bookmarkEnd w:id="11"/>
      <w:r>
        <w:rPr>
          <w:rFonts w:hint="eastAsia" w:ascii="方正小标宋简体" w:hAnsi="宋体" w:eastAsia="方正小标宋简体"/>
          <w:color w:val="000000"/>
          <w:sz w:val="72"/>
          <w:szCs w:val="72"/>
        </w:rPr>
        <w:t>编制说明</w:t>
      </w: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pStyle w:val="12"/>
        <w:spacing w:before="120" w:after="120"/>
        <w:jc w:val="left"/>
        <w:rPr>
          <w:smallCaps/>
          <w:sz w:val="20"/>
          <w:szCs w:val="20"/>
        </w:rPr>
      </w:pPr>
      <w:r>
        <w:rPr>
          <w:smallCaps/>
          <w:sz w:val="20"/>
          <w:szCs w:val="20"/>
        </w:rPr>
        <w:fldChar w:fldCharType="begin"/>
      </w:r>
      <w:r>
        <w:rPr>
          <w:smallCaps/>
          <w:sz w:val="20"/>
          <w:szCs w:val="20"/>
        </w:rPr>
        <w:instrText xml:space="preserve"> TOC \o "1-2" \h \z \u </w:instrText>
      </w:r>
      <w:r>
        <w:rPr>
          <w:smallCaps/>
          <w:sz w:val="20"/>
          <w:szCs w:val="20"/>
        </w:rPr>
        <w:fldChar w:fldCharType="separate"/>
      </w:r>
    </w:p>
    <w:p>
      <w:pPr>
        <w:pStyle w:val="12"/>
        <w:spacing w:before="120" w:after="120"/>
        <w:rPr>
          <w:smallCaps/>
          <w:sz w:val="20"/>
          <w:szCs w:val="20"/>
        </w:rPr>
      </w:pPr>
      <w:r>
        <w:rPr>
          <w:rFonts w:hint="eastAsia"/>
          <w:smallCaps/>
          <w:sz w:val="20"/>
          <w:szCs w:val="20"/>
        </w:rPr>
        <w:t>公开时间：2021年9月27日</w:t>
      </w:r>
    </w:p>
    <w:p>
      <w:pPr>
        <w:pStyle w:val="12"/>
        <w:spacing w:before="120" w:after="120"/>
        <w:jc w:val="left"/>
        <w:rPr>
          <w:smallCaps/>
          <w:sz w:val="20"/>
          <w:szCs w:val="20"/>
        </w:rPr>
      </w:pPr>
    </w:p>
    <w:p>
      <w:pPr>
        <w:pStyle w:val="12"/>
        <w:spacing w:before="120" w:after="120"/>
        <w:jc w:val="left"/>
        <w:rPr>
          <w:smallCaps/>
          <w:sz w:val="20"/>
          <w:szCs w:val="20"/>
        </w:rPr>
      </w:pPr>
      <w:r>
        <w:fldChar w:fldCharType="begin"/>
      </w:r>
      <w:r>
        <w:instrText xml:space="preserve"> HYPERLINK \l "_Toc15396599" </w:instrText>
      </w:r>
      <w:r>
        <w:fldChar w:fldCharType="separate"/>
      </w:r>
      <w:r>
        <w:rPr>
          <w:rFonts w:hint="eastAsia"/>
          <w:smallCaps/>
          <w:sz w:val="20"/>
          <w:szCs w:val="20"/>
        </w:rPr>
        <w:t>第一部分部门概况</w:t>
      </w:r>
      <w:r>
        <w:rPr>
          <w:smallCaps/>
          <w:sz w:val="20"/>
          <w:szCs w:val="20"/>
        </w:rPr>
        <w:tab/>
      </w:r>
      <w:r>
        <w:rPr>
          <w:rFonts w:hint="eastAsia"/>
          <w:smallCaps/>
          <w:sz w:val="20"/>
          <w:szCs w:val="20"/>
        </w:rPr>
        <w:t>4</w:t>
      </w:r>
      <w:r>
        <w:rPr>
          <w:rFonts w:hint="eastAsia"/>
          <w:smallCaps/>
          <w:sz w:val="20"/>
          <w:szCs w:val="20"/>
        </w:rPr>
        <w:fldChar w:fldCharType="end"/>
      </w:r>
    </w:p>
    <w:p>
      <w:pPr>
        <w:pStyle w:val="12"/>
        <w:spacing w:before="120" w:after="120"/>
        <w:jc w:val="left"/>
        <w:rPr>
          <w:smallCaps/>
          <w:sz w:val="20"/>
          <w:szCs w:val="20"/>
        </w:rPr>
      </w:pPr>
      <w:r>
        <w:fldChar w:fldCharType="begin"/>
      </w:r>
      <w:r>
        <w:instrText xml:space="preserve"> HYPERLINK \l "_Toc15396600" </w:instrText>
      </w:r>
      <w:r>
        <w:fldChar w:fldCharType="separate"/>
      </w:r>
      <w:r>
        <w:rPr>
          <w:rFonts w:hint="eastAsia"/>
          <w:smallCaps/>
          <w:sz w:val="20"/>
          <w:szCs w:val="20"/>
        </w:rPr>
        <w:t>一、基本职能及主要工作</w:t>
      </w:r>
      <w:r>
        <w:rPr>
          <w:smallCaps/>
          <w:sz w:val="20"/>
          <w:szCs w:val="20"/>
        </w:rPr>
        <w:tab/>
      </w:r>
      <w:r>
        <w:rPr>
          <w:rFonts w:hint="eastAsia"/>
          <w:smallCaps/>
          <w:sz w:val="20"/>
          <w:szCs w:val="20"/>
        </w:rPr>
        <w:t>4</w:t>
      </w:r>
      <w:r>
        <w:rPr>
          <w:rFonts w:hint="eastAsia"/>
          <w:smallCaps/>
          <w:sz w:val="20"/>
          <w:szCs w:val="20"/>
        </w:rPr>
        <w:fldChar w:fldCharType="end"/>
      </w:r>
    </w:p>
    <w:p>
      <w:pPr>
        <w:pStyle w:val="12"/>
        <w:spacing w:before="120" w:after="120"/>
        <w:jc w:val="left"/>
        <w:rPr>
          <w:smallCaps/>
          <w:sz w:val="20"/>
          <w:szCs w:val="20"/>
        </w:rPr>
      </w:pPr>
      <w:r>
        <w:fldChar w:fldCharType="begin"/>
      </w:r>
      <w:r>
        <w:instrText xml:space="preserve"> HYPERLINK \l "_Toc15396601" </w:instrText>
      </w:r>
      <w:r>
        <w:fldChar w:fldCharType="separate"/>
      </w:r>
      <w:r>
        <w:rPr>
          <w:rFonts w:hint="eastAsia"/>
          <w:smallCaps/>
          <w:sz w:val="20"/>
          <w:szCs w:val="20"/>
        </w:rPr>
        <w:t>二、机构设置</w:t>
      </w:r>
      <w:r>
        <w:rPr>
          <w:smallCaps/>
          <w:sz w:val="20"/>
          <w:szCs w:val="20"/>
        </w:rPr>
        <w:tab/>
      </w:r>
      <w:r>
        <w:rPr>
          <w:smallCaps/>
          <w:sz w:val="20"/>
          <w:szCs w:val="20"/>
        </w:rPr>
        <w:fldChar w:fldCharType="begin"/>
      </w:r>
      <w:r>
        <w:rPr>
          <w:smallCaps/>
          <w:sz w:val="20"/>
          <w:szCs w:val="20"/>
        </w:rPr>
        <w:instrText xml:space="preserve"> PAGEREF _Toc15396601 \h </w:instrText>
      </w:r>
      <w:r>
        <w:rPr>
          <w:smallCaps/>
          <w:sz w:val="20"/>
          <w:szCs w:val="20"/>
        </w:rPr>
        <w:fldChar w:fldCharType="separate"/>
      </w:r>
      <w:r>
        <w:rPr>
          <w:smallCaps/>
          <w:sz w:val="20"/>
          <w:szCs w:val="20"/>
        </w:rPr>
        <w:t>5</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"_Toc15396602" </w:instrText>
      </w:r>
      <w:r>
        <w:fldChar w:fldCharType="separate"/>
      </w:r>
      <w:r>
        <w:rPr>
          <w:rFonts w:hint="eastAsia"/>
          <w:smallCaps/>
          <w:sz w:val="20"/>
          <w:szCs w:val="20"/>
        </w:rPr>
        <w:t>第二部分</w:t>
      </w:r>
      <w:r>
        <w:rPr>
          <w:smallCaps/>
          <w:sz w:val="20"/>
          <w:szCs w:val="20"/>
        </w:rPr>
        <w:t xml:space="preserve"> </w:t>
      </w:r>
      <w:r>
        <w:rPr>
          <w:rFonts w:hint="eastAsia"/>
          <w:smallCaps/>
          <w:sz w:val="20"/>
          <w:szCs w:val="20"/>
        </w:rPr>
        <w:t>2021年度部门决算情况说明</w:t>
      </w:r>
      <w:r>
        <w:rPr>
          <w:smallCaps/>
          <w:sz w:val="20"/>
          <w:szCs w:val="20"/>
        </w:rPr>
        <w:tab/>
      </w:r>
      <w:r>
        <w:rPr>
          <w:smallCaps/>
          <w:sz w:val="20"/>
          <w:szCs w:val="20"/>
        </w:rPr>
        <w:fldChar w:fldCharType="begin"/>
      </w:r>
      <w:r>
        <w:rPr>
          <w:smallCaps/>
          <w:sz w:val="20"/>
          <w:szCs w:val="20"/>
        </w:rPr>
        <w:instrText xml:space="preserve"> PAGEREF _Toc15396602 \h </w:instrText>
      </w:r>
      <w:r>
        <w:rPr>
          <w:smallCaps/>
          <w:sz w:val="20"/>
          <w:szCs w:val="20"/>
        </w:rPr>
        <w:fldChar w:fldCharType="separate"/>
      </w:r>
      <w:r>
        <w:rPr>
          <w:smallCaps/>
          <w:sz w:val="20"/>
          <w:szCs w:val="20"/>
        </w:rPr>
        <w:t>6</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"_Toc15396603" </w:instrText>
      </w:r>
      <w:r>
        <w:fldChar w:fldCharType="separate"/>
      </w:r>
      <w:r>
        <w:rPr>
          <w:rFonts w:hint="eastAsia"/>
          <w:smallCaps/>
          <w:sz w:val="20"/>
          <w:szCs w:val="20"/>
        </w:rPr>
        <w:t>一、收入支出决算总体情况说明</w:t>
      </w:r>
      <w:r>
        <w:rPr>
          <w:smallCaps/>
          <w:sz w:val="20"/>
          <w:szCs w:val="20"/>
        </w:rPr>
        <w:tab/>
      </w:r>
      <w:r>
        <w:rPr>
          <w:smallCaps/>
          <w:sz w:val="20"/>
          <w:szCs w:val="20"/>
        </w:rPr>
        <w:fldChar w:fldCharType="begin"/>
      </w:r>
      <w:r>
        <w:rPr>
          <w:smallCaps/>
          <w:sz w:val="20"/>
          <w:szCs w:val="20"/>
        </w:rPr>
        <w:instrText xml:space="preserve"> PAGEREF _Toc15396603 \h </w:instrText>
      </w:r>
      <w:r>
        <w:rPr>
          <w:smallCaps/>
          <w:sz w:val="20"/>
          <w:szCs w:val="20"/>
        </w:rPr>
        <w:fldChar w:fldCharType="separate"/>
      </w:r>
      <w:r>
        <w:rPr>
          <w:smallCaps/>
          <w:sz w:val="20"/>
          <w:szCs w:val="20"/>
        </w:rPr>
        <w:t>6</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"_Toc15396604" </w:instrText>
      </w:r>
      <w:r>
        <w:fldChar w:fldCharType="separate"/>
      </w:r>
      <w:r>
        <w:rPr>
          <w:rFonts w:hint="eastAsia"/>
          <w:smallCaps/>
          <w:sz w:val="20"/>
          <w:szCs w:val="20"/>
        </w:rPr>
        <w:t>二、收入决算情况说明</w:t>
      </w:r>
      <w:r>
        <w:rPr>
          <w:smallCaps/>
          <w:sz w:val="20"/>
          <w:szCs w:val="20"/>
        </w:rPr>
        <w:tab/>
      </w:r>
      <w:r>
        <w:rPr>
          <w:smallCaps/>
          <w:sz w:val="20"/>
          <w:szCs w:val="20"/>
        </w:rPr>
        <w:fldChar w:fldCharType="begin"/>
      </w:r>
      <w:r>
        <w:rPr>
          <w:smallCaps/>
          <w:sz w:val="20"/>
          <w:szCs w:val="20"/>
        </w:rPr>
        <w:instrText xml:space="preserve"> PAGEREF _Toc15396604 \h </w:instrText>
      </w:r>
      <w:r>
        <w:rPr>
          <w:smallCaps/>
          <w:sz w:val="20"/>
          <w:szCs w:val="20"/>
        </w:rPr>
        <w:fldChar w:fldCharType="separate"/>
      </w:r>
      <w:r>
        <w:rPr>
          <w:smallCaps/>
          <w:sz w:val="20"/>
          <w:szCs w:val="20"/>
        </w:rPr>
        <w:t>6</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"_Toc15396605" </w:instrText>
      </w:r>
      <w:r>
        <w:fldChar w:fldCharType="separate"/>
      </w:r>
      <w:r>
        <w:rPr>
          <w:rFonts w:hint="eastAsia"/>
          <w:smallCaps/>
          <w:sz w:val="20"/>
          <w:szCs w:val="20"/>
        </w:rPr>
        <w:t>三、支出决算情况说明</w:t>
      </w:r>
      <w:r>
        <w:rPr>
          <w:smallCaps/>
          <w:sz w:val="20"/>
          <w:szCs w:val="20"/>
        </w:rPr>
        <w:tab/>
      </w:r>
      <w:r>
        <w:rPr>
          <w:smallCaps/>
          <w:sz w:val="20"/>
          <w:szCs w:val="20"/>
        </w:rPr>
        <w:fldChar w:fldCharType="begin"/>
      </w:r>
      <w:r>
        <w:rPr>
          <w:smallCaps/>
          <w:sz w:val="20"/>
          <w:szCs w:val="20"/>
        </w:rPr>
        <w:instrText xml:space="preserve"> PAGEREF _Toc15396605 \h </w:instrText>
      </w:r>
      <w:r>
        <w:rPr>
          <w:smallCaps/>
          <w:sz w:val="20"/>
          <w:szCs w:val="20"/>
        </w:rPr>
        <w:fldChar w:fldCharType="separate"/>
      </w:r>
      <w:r>
        <w:rPr>
          <w:smallCaps/>
          <w:sz w:val="20"/>
          <w:szCs w:val="20"/>
        </w:rPr>
        <w:t>7</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"_Toc15396606" </w:instrText>
      </w:r>
      <w:r>
        <w:fldChar w:fldCharType="separate"/>
      </w:r>
      <w:r>
        <w:rPr>
          <w:rFonts w:hint="eastAsia"/>
          <w:smallCaps/>
          <w:sz w:val="20"/>
          <w:szCs w:val="20"/>
        </w:rPr>
        <w:t>四、财政拨款收入支出决算总体情况说明</w:t>
      </w:r>
      <w:r>
        <w:rPr>
          <w:smallCaps/>
          <w:sz w:val="20"/>
          <w:szCs w:val="20"/>
        </w:rPr>
        <w:tab/>
      </w:r>
      <w:r>
        <w:rPr>
          <w:smallCaps/>
          <w:sz w:val="20"/>
          <w:szCs w:val="20"/>
        </w:rPr>
        <w:fldChar w:fldCharType="begin"/>
      </w:r>
      <w:r>
        <w:rPr>
          <w:smallCaps/>
          <w:sz w:val="20"/>
          <w:szCs w:val="20"/>
        </w:rPr>
        <w:instrText xml:space="preserve"> PAGEREF _Toc15396606 \h </w:instrText>
      </w:r>
      <w:r>
        <w:rPr>
          <w:smallCaps/>
          <w:sz w:val="20"/>
          <w:szCs w:val="20"/>
        </w:rPr>
        <w:fldChar w:fldCharType="separate"/>
      </w:r>
      <w:r>
        <w:rPr>
          <w:smallCaps/>
          <w:sz w:val="20"/>
          <w:szCs w:val="20"/>
        </w:rPr>
        <w:t>7</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"_Toc15396607" </w:instrText>
      </w:r>
      <w:r>
        <w:fldChar w:fldCharType="separate"/>
      </w:r>
      <w:r>
        <w:rPr>
          <w:rFonts w:hint="eastAsia"/>
          <w:smallCaps/>
          <w:sz w:val="20"/>
          <w:szCs w:val="20"/>
        </w:rPr>
        <w:t>五、一般公共预算财政拨款支出决算情况说明</w:t>
      </w:r>
      <w:r>
        <w:rPr>
          <w:smallCaps/>
          <w:sz w:val="20"/>
          <w:szCs w:val="20"/>
        </w:rPr>
        <w:tab/>
      </w:r>
      <w:r>
        <w:rPr>
          <w:smallCaps/>
          <w:sz w:val="20"/>
          <w:szCs w:val="20"/>
        </w:rPr>
        <w:fldChar w:fldCharType="begin"/>
      </w:r>
      <w:r>
        <w:rPr>
          <w:smallCaps/>
          <w:sz w:val="20"/>
          <w:szCs w:val="20"/>
        </w:rPr>
        <w:instrText xml:space="preserve"> PAGEREF _Toc15396607 \h </w:instrText>
      </w:r>
      <w:r>
        <w:rPr>
          <w:smallCaps/>
          <w:sz w:val="20"/>
          <w:szCs w:val="20"/>
        </w:rPr>
        <w:fldChar w:fldCharType="separate"/>
      </w:r>
      <w:r>
        <w:rPr>
          <w:smallCaps/>
          <w:sz w:val="20"/>
          <w:szCs w:val="20"/>
        </w:rPr>
        <w:t>8</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"_Toc15396608" </w:instrText>
      </w:r>
      <w:r>
        <w:fldChar w:fldCharType="separate"/>
      </w:r>
      <w:r>
        <w:rPr>
          <w:rFonts w:hint="eastAsia"/>
          <w:smallCaps/>
          <w:sz w:val="20"/>
          <w:szCs w:val="20"/>
        </w:rPr>
        <w:t>六、一般公共预算财政拨款基本支出决算情况说明</w:t>
      </w:r>
      <w:r>
        <w:rPr>
          <w:smallCaps/>
          <w:sz w:val="20"/>
          <w:szCs w:val="20"/>
        </w:rPr>
        <w:tab/>
      </w:r>
      <w:r>
        <w:rPr>
          <w:smallCaps/>
          <w:sz w:val="20"/>
          <w:szCs w:val="20"/>
        </w:rPr>
        <w:fldChar w:fldCharType="begin"/>
      </w:r>
      <w:r>
        <w:rPr>
          <w:smallCaps/>
          <w:sz w:val="20"/>
          <w:szCs w:val="20"/>
        </w:rPr>
        <w:instrText xml:space="preserve"> PAGEREF _Toc15396608 \h </w:instrText>
      </w:r>
      <w:r>
        <w:rPr>
          <w:smallCaps/>
          <w:sz w:val="20"/>
          <w:szCs w:val="20"/>
        </w:rPr>
        <w:fldChar w:fldCharType="separate"/>
      </w:r>
      <w:r>
        <w:rPr>
          <w:smallCaps/>
          <w:sz w:val="20"/>
          <w:szCs w:val="20"/>
        </w:rPr>
        <w:t>11</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"_Toc15396609" </w:instrText>
      </w:r>
      <w:r>
        <w:fldChar w:fldCharType="separate"/>
      </w:r>
      <w:r>
        <w:rPr>
          <w:rFonts w:hint="eastAsia"/>
          <w:smallCaps/>
          <w:sz w:val="20"/>
          <w:szCs w:val="20"/>
        </w:rPr>
        <w:t>七、</w:t>
      </w:r>
      <w:r>
        <w:rPr>
          <w:smallCaps/>
          <w:sz w:val="20"/>
          <w:szCs w:val="20"/>
        </w:rPr>
        <w:t>“</w:t>
      </w:r>
      <w:r>
        <w:rPr>
          <w:rFonts w:hint="eastAsia"/>
          <w:smallCaps/>
          <w:sz w:val="20"/>
          <w:szCs w:val="20"/>
        </w:rPr>
        <w:t>三公”经费财政拨款支出决算情况说明</w:t>
      </w:r>
      <w:r>
        <w:rPr>
          <w:smallCaps/>
          <w:sz w:val="20"/>
          <w:szCs w:val="20"/>
        </w:rPr>
        <w:tab/>
      </w:r>
      <w:r>
        <w:rPr>
          <w:smallCaps/>
          <w:sz w:val="20"/>
          <w:szCs w:val="20"/>
        </w:rPr>
        <w:fldChar w:fldCharType="begin"/>
      </w:r>
      <w:r>
        <w:rPr>
          <w:smallCaps/>
          <w:sz w:val="20"/>
          <w:szCs w:val="20"/>
        </w:rPr>
        <w:instrText xml:space="preserve"> PAGEREF _Toc15396609 \h </w:instrText>
      </w:r>
      <w:r>
        <w:rPr>
          <w:smallCaps/>
          <w:sz w:val="20"/>
          <w:szCs w:val="20"/>
        </w:rPr>
        <w:fldChar w:fldCharType="separate"/>
      </w:r>
      <w:r>
        <w:rPr>
          <w:smallCaps/>
          <w:sz w:val="20"/>
          <w:szCs w:val="20"/>
        </w:rPr>
        <w:t>12</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"_Toc15396610" </w:instrText>
      </w:r>
      <w:r>
        <w:fldChar w:fldCharType="separate"/>
      </w:r>
      <w:r>
        <w:rPr>
          <w:rFonts w:hint="eastAsia"/>
          <w:smallCaps/>
          <w:sz w:val="20"/>
          <w:szCs w:val="20"/>
        </w:rPr>
        <w:t>八、政府性基金预算支出决算情况说明</w:t>
      </w:r>
      <w:r>
        <w:rPr>
          <w:smallCaps/>
          <w:sz w:val="20"/>
          <w:szCs w:val="20"/>
        </w:rPr>
        <w:tab/>
      </w:r>
      <w:r>
        <w:rPr>
          <w:smallCaps/>
          <w:sz w:val="20"/>
          <w:szCs w:val="20"/>
        </w:rPr>
        <w:fldChar w:fldCharType="begin"/>
      </w:r>
      <w:r>
        <w:rPr>
          <w:smallCaps/>
          <w:sz w:val="20"/>
          <w:szCs w:val="20"/>
        </w:rPr>
        <w:instrText xml:space="preserve"> PAGEREF _Toc15396610 \h </w:instrText>
      </w:r>
      <w:r>
        <w:rPr>
          <w:smallCaps/>
          <w:sz w:val="20"/>
          <w:szCs w:val="20"/>
        </w:rPr>
        <w:fldChar w:fldCharType="separate"/>
      </w:r>
      <w:r>
        <w:rPr>
          <w:smallCaps/>
          <w:sz w:val="20"/>
          <w:szCs w:val="20"/>
        </w:rPr>
        <w:t>1</w:t>
      </w:r>
      <w:r>
        <w:rPr>
          <w:rFonts w:hint="eastAsia"/>
          <w:smallCaps/>
          <w:sz w:val="20"/>
          <w:szCs w:val="20"/>
        </w:rPr>
        <w:t>3</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"_Toc15396611" </w:instrText>
      </w:r>
      <w:r>
        <w:fldChar w:fldCharType="separate"/>
      </w:r>
      <w:r>
        <w:rPr>
          <w:rFonts w:hint="eastAsia"/>
          <w:smallCaps/>
          <w:sz w:val="20"/>
          <w:szCs w:val="20"/>
        </w:rPr>
        <w:t>九、 国有资本经营预算支出决算情况说明</w:t>
      </w:r>
      <w:r>
        <w:rPr>
          <w:smallCaps/>
          <w:sz w:val="20"/>
          <w:szCs w:val="20"/>
        </w:rPr>
        <w:tab/>
      </w:r>
      <w:r>
        <w:rPr>
          <w:smallCaps/>
          <w:sz w:val="20"/>
          <w:szCs w:val="20"/>
        </w:rPr>
        <w:fldChar w:fldCharType="begin"/>
      </w:r>
      <w:r>
        <w:rPr>
          <w:smallCaps/>
          <w:sz w:val="20"/>
          <w:szCs w:val="20"/>
        </w:rPr>
        <w:instrText xml:space="preserve"> PAGEREF _Toc15396611 \h </w:instrText>
      </w:r>
      <w:r>
        <w:rPr>
          <w:smallCaps/>
          <w:sz w:val="20"/>
          <w:szCs w:val="20"/>
        </w:rPr>
        <w:fldChar w:fldCharType="separate"/>
      </w:r>
      <w:r>
        <w:rPr>
          <w:smallCaps/>
          <w:sz w:val="20"/>
          <w:szCs w:val="20"/>
        </w:rPr>
        <w:t>1</w:t>
      </w:r>
      <w:r>
        <w:rPr>
          <w:rFonts w:hint="eastAsia"/>
          <w:smallCaps/>
          <w:sz w:val="20"/>
          <w:szCs w:val="20"/>
        </w:rPr>
        <w:t>4</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"_Toc15396612" </w:instrText>
      </w:r>
      <w:r>
        <w:fldChar w:fldCharType="separate"/>
      </w:r>
      <w:r>
        <w:rPr>
          <w:rFonts w:hint="eastAsia"/>
          <w:smallCaps/>
          <w:sz w:val="20"/>
          <w:szCs w:val="20"/>
        </w:rPr>
        <w:t>十、其他重要事项的情况说明</w:t>
      </w:r>
      <w:r>
        <w:rPr>
          <w:smallCaps/>
          <w:sz w:val="20"/>
          <w:szCs w:val="20"/>
        </w:rPr>
        <w:tab/>
      </w:r>
      <w:r>
        <w:rPr>
          <w:smallCaps/>
          <w:sz w:val="20"/>
          <w:szCs w:val="20"/>
        </w:rPr>
        <w:fldChar w:fldCharType="begin"/>
      </w:r>
      <w:r>
        <w:rPr>
          <w:smallCaps/>
          <w:sz w:val="20"/>
          <w:szCs w:val="20"/>
        </w:rPr>
        <w:instrText xml:space="preserve"> PAGEREF _Toc15396612 \h </w:instrText>
      </w:r>
      <w:r>
        <w:rPr>
          <w:smallCaps/>
          <w:sz w:val="20"/>
          <w:szCs w:val="20"/>
        </w:rPr>
        <w:fldChar w:fldCharType="separate"/>
      </w:r>
      <w:r>
        <w:rPr>
          <w:smallCaps/>
          <w:sz w:val="20"/>
          <w:szCs w:val="20"/>
        </w:rPr>
        <w:t>1</w:t>
      </w:r>
      <w:r>
        <w:rPr>
          <w:rFonts w:hint="eastAsia"/>
          <w:smallCaps/>
          <w:sz w:val="20"/>
          <w:szCs w:val="20"/>
        </w:rPr>
        <w:t>4</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"_Toc15396613" </w:instrText>
      </w:r>
      <w:r>
        <w:fldChar w:fldCharType="separate"/>
      </w:r>
      <w:r>
        <w:rPr>
          <w:rFonts w:hint="eastAsia"/>
          <w:smallCaps/>
          <w:sz w:val="20"/>
          <w:szCs w:val="20"/>
        </w:rPr>
        <w:t>第三部分 名词解释</w:t>
      </w:r>
      <w:r>
        <w:rPr>
          <w:smallCaps/>
          <w:sz w:val="20"/>
          <w:szCs w:val="20"/>
        </w:rPr>
        <w:tab/>
      </w:r>
      <w:r>
        <w:rPr>
          <w:rFonts w:hint="eastAsia"/>
          <w:smallCaps/>
          <w:sz w:val="20"/>
          <w:szCs w:val="20"/>
        </w:rPr>
        <w:t>20</w:t>
      </w:r>
      <w:r>
        <w:rPr>
          <w:rFonts w:hint="eastAsia"/>
          <w:smallCaps/>
          <w:sz w:val="20"/>
          <w:szCs w:val="20"/>
        </w:rPr>
        <w:fldChar w:fldCharType="end"/>
      </w:r>
    </w:p>
    <w:p>
      <w:pPr>
        <w:pStyle w:val="12"/>
        <w:spacing w:before="120" w:after="120"/>
        <w:jc w:val="left"/>
        <w:rPr>
          <w:smallCaps/>
          <w:sz w:val="20"/>
          <w:szCs w:val="20"/>
        </w:rPr>
      </w:pPr>
      <w:r>
        <w:fldChar w:fldCharType="begin"/>
      </w:r>
      <w:r>
        <w:instrText xml:space="preserve"> HYPERLINK \l "_Toc15396614" </w:instrText>
      </w:r>
      <w:r>
        <w:fldChar w:fldCharType="separate"/>
      </w:r>
      <w:r>
        <w:rPr>
          <w:rFonts w:hint="eastAsia"/>
          <w:smallCaps/>
          <w:sz w:val="20"/>
          <w:szCs w:val="20"/>
        </w:rPr>
        <w:t>第四部分 附件</w:t>
      </w:r>
      <w:r>
        <w:rPr>
          <w:smallCaps/>
          <w:sz w:val="20"/>
          <w:szCs w:val="20"/>
        </w:rPr>
        <w:tab/>
      </w:r>
      <w:r>
        <w:rPr>
          <w:smallCaps/>
          <w:sz w:val="20"/>
          <w:szCs w:val="20"/>
        </w:rPr>
        <w:fldChar w:fldCharType="end"/>
      </w:r>
      <w:r>
        <w:rPr>
          <w:rFonts w:hint="eastAsia"/>
          <w:smallCaps/>
          <w:sz w:val="20"/>
          <w:szCs w:val="20"/>
        </w:rPr>
        <w:t>24</w:t>
      </w:r>
    </w:p>
    <w:p>
      <w:pPr>
        <w:pStyle w:val="12"/>
        <w:spacing w:before="120" w:after="120"/>
        <w:jc w:val="left"/>
        <w:rPr>
          <w:smallCaps/>
          <w:sz w:val="20"/>
          <w:szCs w:val="20"/>
        </w:rPr>
      </w:pPr>
      <w:r>
        <w:fldChar w:fldCharType="begin"/>
      </w:r>
      <w:r>
        <w:instrText xml:space="preserve"> HYPERLINK \l "_Toc15396615" </w:instrText>
      </w:r>
      <w:r>
        <w:fldChar w:fldCharType="separate"/>
      </w:r>
      <w:r>
        <w:rPr>
          <w:rFonts w:hint="eastAsia"/>
          <w:smallCaps/>
          <w:sz w:val="20"/>
          <w:szCs w:val="20"/>
        </w:rPr>
        <w:t>附件</w:t>
      </w:r>
      <w:r>
        <w:rPr>
          <w:smallCaps/>
          <w:sz w:val="20"/>
          <w:szCs w:val="20"/>
        </w:rPr>
        <w:t>1</w:t>
      </w:r>
      <w:r>
        <w:rPr>
          <w:smallCaps/>
          <w:sz w:val="20"/>
          <w:szCs w:val="20"/>
        </w:rPr>
        <w:tab/>
      </w:r>
      <w:r>
        <w:rPr>
          <w:smallCaps/>
          <w:sz w:val="20"/>
          <w:szCs w:val="20"/>
        </w:rPr>
        <w:fldChar w:fldCharType="end"/>
      </w:r>
      <w:r>
        <w:rPr>
          <w:rFonts w:hint="eastAsia"/>
          <w:smallCaps/>
          <w:sz w:val="20"/>
          <w:szCs w:val="20"/>
        </w:rPr>
        <w:t>24</w:t>
      </w:r>
    </w:p>
    <w:p>
      <w:pPr>
        <w:pStyle w:val="12"/>
        <w:spacing w:before="120" w:after="120"/>
        <w:jc w:val="left"/>
        <w:rPr>
          <w:smallCaps/>
          <w:sz w:val="20"/>
          <w:szCs w:val="20"/>
        </w:rPr>
      </w:pPr>
      <w:r>
        <w:fldChar w:fldCharType="begin"/>
      </w:r>
      <w:r>
        <w:instrText xml:space="preserve"> HYPERLINK \l "_Toc15396618" </w:instrText>
      </w:r>
      <w:r>
        <w:fldChar w:fldCharType="separate"/>
      </w:r>
      <w:r>
        <w:rPr>
          <w:rFonts w:hint="eastAsia"/>
          <w:smallCaps/>
          <w:sz w:val="20"/>
          <w:szCs w:val="20"/>
        </w:rPr>
        <w:t>第五部分附表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一、</w:t>
      </w:r>
      <w:r>
        <w:fldChar w:fldCharType="begin"/>
      </w:r>
      <w:r>
        <w:instrText xml:space="preserve"> HYPERLINK \l "_Toc15396619" </w:instrText>
      </w:r>
      <w:r>
        <w:fldChar w:fldCharType="separate"/>
      </w:r>
      <w:r>
        <w:rPr>
          <w:rFonts w:hint="eastAsia"/>
          <w:smallCaps/>
          <w:sz w:val="20"/>
          <w:szCs w:val="20"/>
        </w:rPr>
        <w:t>收入支出决算总表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二、</w:t>
      </w:r>
      <w:r>
        <w:fldChar w:fldCharType="begin"/>
      </w:r>
      <w:r>
        <w:instrText xml:space="preserve"> HYPERLINK \l "_Toc15396620" </w:instrText>
      </w:r>
      <w:r>
        <w:fldChar w:fldCharType="separate"/>
      </w:r>
      <w:r>
        <w:rPr>
          <w:rFonts w:hint="eastAsia"/>
          <w:smallCaps/>
          <w:sz w:val="20"/>
          <w:szCs w:val="20"/>
        </w:rPr>
        <w:t>收入总表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三、</w:t>
      </w:r>
      <w:r>
        <w:fldChar w:fldCharType="begin"/>
      </w:r>
      <w:r>
        <w:instrText xml:space="preserve"> HYPERLINK \l "_Toc15396621" </w:instrText>
      </w:r>
      <w:r>
        <w:fldChar w:fldCharType="separate"/>
      </w:r>
      <w:r>
        <w:rPr>
          <w:rFonts w:hint="eastAsia"/>
          <w:smallCaps/>
          <w:sz w:val="20"/>
          <w:szCs w:val="20"/>
        </w:rPr>
        <w:t>支出总表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四、</w:t>
      </w:r>
      <w:r>
        <w:fldChar w:fldCharType="begin"/>
      </w:r>
      <w:r>
        <w:instrText xml:space="preserve"> HYPERLINK \l "_Toc15396622" </w:instrText>
      </w:r>
      <w:r>
        <w:fldChar w:fldCharType="separate"/>
      </w:r>
      <w:r>
        <w:rPr>
          <w:rFonts w:hint="eastAsia"/>
          <w:smallCaps/>
          <w:sz w:val="20"/>
          <w:szCs w:val="20"/>
        </w:rPr>
        <w:t>财政拨款收入支出决算总表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五、</w:t>
      </w:r>
      <w:r>
        <w:fldChar w:fldCharType="begin"/>
      </w:r>
      <w:r>
        <w:instrText xml:space="preserve"> HYPERLINK \l "_Toc15396623" </w:instrText>
      </w:r>
      <w:r>
        <w:fldChar w:fldCharType="separate"/>
      </w:r>
      <w:r>
        <w:rPr>
          <w:rFonts w:hint="eastAsia"/>
          <w:smallCaps/>
          <w:sz w:val="20"/>
          <w:szCs w:val="20"/>
        </w:rPr>
        <w:t>财政拨款支出决算明细表（政府经济分类科目）</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六、</w:t>
      </w:r>
      <w:r>
        <w:fldChar w:fldCharType="begin"/>
      </w:r>
      <w:r>
        <w:instrText xml:space="preserve"> HYPERLINK \l "_Toc15396624" </w:instrText>
      </w:r>
      <w:r>
        <w:fldChar w:fldCharType="separate"/>
      </w:r>
      <w:r>
        <w:rPr>
          <w:rFonts w:hint="eastAsia"/>
          <w:smallCaps/>
          <w:sz w:val="20"/>
          <w:szCs w:val="20"/>
        </w:rPr>
        <w:t>一般公共预算财政拨款支出决算表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七、</w:t>
      </w:r>
      <w:r>
        <w:fldChar w:fldCharType="begin"/>
      </w:r>
      <w:r>
        <w:instrText xml:space="preserve"> HYPERLINK \l "_Toc15396625" </w:instrText>
      </w:r>
      <w:r>
        <w:fldChar w:fldCharType="separate"/>
      </w:r>
      <w:r>
        <w:rPr>
          <w:rFonts w:hint="eastAsia"/>
          <w:smallCaps/>
          <w:sz w:val="20"/>
          <w:szCs w:val="20"/>
        </w:rPr>
        <w:t>一般公共预算财政拨款支出决算明细表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八、</w:t>
      </w:r>
      <w:r>
        <w:fldChar w:fldCharType="begin"/>
      </w:r>
      <w:r>
        <w:instrText xml:space="preserve"> HYPERLINK \l "_Toc15396626" </w:instrText>
      </w:r>
      <w:r>
        <w:fldChar w:fldCharType="separate"/>
      </w:r>
      <w:r>
        <w:rPr>
          <w:rFonts w:hint="eastAsia"/>
          <w:smallCaps/>
          <w:sz w:val="20"/>
          <w:szCs w:val="20"/>
        </w:rPr>
        <w:t>一般公共预算财政拨款基本支出决算表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九、</w:t>
      </w:r>
      <w:r>
        <w:fldChar w:fldCharType="begin"/>
      </w:r>
      <w:r>
        <w:instrText xml:space="preserve"> HYPERLINK \l "_Toc15396627" </w:instrText>
      </w:r>
      <w:r>
        <w:fldChar w:fldCharType="separate"/>
      </w:r>
      <w:r>
        <w:rPr>
          <w:rFonts w:hint="eastAsia"/>
          <w:smallCaps/>
          <w:sz w:val="20"/>
          <w:szCs w:val="20"/>
        </w:rPr>
        <w:t>一般公共预算财政拨款项目支出决算表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十、</w:t>
      </w:r>
      <w:r>
        <w:fldChar w:fldCharType="begin"/>
      </w:r>
      <w:r>
        <w:instrText xml:space="preserve"> HYPERLINK \l "_Toc15396628" </w:instrText>
      </w:r>
      <w:r>
        <w:fldChar w:fldCharType="separate"/>
      </w:r>
      <w:r>
        <w:rPr>
          <w:rFonts w:hint="eastAsia"/>
          <w:smallCaps/>
          <w:sz w:val="20"/>
          <w:szCs w:val="20"/>
        </w:rPr>
        <w:t>一般公共预算财政拨款“三公”经费支出决算表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十一、</w:t>
      </w:r>
      <w:r>
        <w:fldChar w:fldCharType="begin"/>
      </w:r>
      <w:r>
        <w:instrText xml:space="preserve"> HYPERLINK \l "_Toc15396629" </w:instrText>
      </w:r>
      <w:r>
        <w:fldChar w:fldCharType="separate"/>
      </w:r>
      <w:r>
        <w:rPr>
          <w:rFonts w:hint="eastAsia"/>
          <w:smallCaps/>
          <w:sz w:val="20"/>
          <w:szCs w:val="20"/>
        </w:rPr>
        <w:t>政府性基金预算财政拨款收入支出决算表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十二、</w:t>
      </w:r>
      <w:r>
        <w:fldChar w:fldCharType="begin"/>
      </w:r>
      <w:r>
        <w:instrText xml:space="preserve"> HYPERLINK \l "_Toc15396630" </w:instrText>
      </w:r>
      <w:r>
        <w:fldChar w:fldCharType="separate"/>
      </w:r>
      <w:r>
        <w:rPr>
          <w:rFonts w:hint="eastAsia"/>
          <w:smallCaps/>
          <w:sz w:val="20"/>
          <w:szCs w:val="20"/>
        </w:rPr>
        <w:t>政府性基金预算财政拨款“三公”经费支出决算表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十三、</w:t>
      </w:r>
      <w:r>
        <w:fldChar w:fldCharType="begin"/>
      </w:r>
      <w:r>
        <w:instrText xml:space="preserve"> HYPERLINK \l "_Toc15396631" </w:instrText>
      </w:r>
      <w:r>
        <w:fldChar w:fldCharType="separate"/>
      </w:r>
      <w:r>
        <w:rPr>
          <w:rFonts w:hint="eastAsia"/>
          <w:smallCaps/>
          <w:sz w:val="20"/>
          <w:szCs w:val="20"/>
        </w:rPr>
        <w:t>国有资本经营预算财政拨款收入支出决算表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rFonts w:ascii="黑体" w:hAnsi="黑体" w:eastAsia="黑体"/>
          <w:b/>
        </w:rPr>
      </w:pPr>
      <w:r>
        <w:rPr>
          <w:smallCaps/>
          <w:sz w:val="20"/>
          <w:szCs w:val="20"/>
        </w:rPr>
        <w:fldChar w:fldCharType="end"/>
      </w:r>
      <w:r>
        <w:rPr>
          <w:rFonts w:hint="eastAsia"/>
          <w:smallCaps/>
          <w:sz w:val="20"/>
          <w:szCs w:val="20"/>
        </w:rPr>
        <w:t>十四、</w:t>
      </w:r>
      <w:r>
        <w:fldChar w:fldCharType="begin"/>
      </w:r>
      <w:r>
        <w:instrText xml:space="preserve"> HYPERLINK \l "_Toc15396631" </w:instrText>
      </w:r>
      <w:r>
        <w:fldChar w:fldCharType="separate"/>
      </w:r>
      <w:r>
        <w:rPr>
          <w:rFonts w:hint="eastAsia"/>
          <w:smallCaps/>
          <w:sz w:val="20"/>
          <w:szCs w:val="20"/>
        </w:rPr>
        <w:t>国有资本经营预算财政拨款支出决算表</w:t>
      </w:r>
      <w:r>
        <w:rPr>
          <w:smallCaps/>
          <w:sz w:val="20"/>
          <w:szCs w:val="20"/>
        </w:rPr>
        <w:tab/>
      </w:r>
      <w:r>
        <w:rPr>
          <w:rFonts w:hint="eastAsia"/>
          <w:smallCaps/>
          <w:sz w:val="20"/>
          <w:szCs w:val="20"/>
        </w:rPr>
        <w:t>28</w:t>
      </w:r>
      <w:r>
        <w:rPr>
          <w:rFonts w:hint="eastAsia"/>
          <w:smallCaps/>
          <w:sz w:val="20"/>
          <w:szCs w:val="20"/>
        </w:rPr>
        <w:fldChar w:fldCharType="end"/>
      </w:r>
    </w:p>
    <w:p>
      <w:pPr>
        <w:pStyle w:val="12"/>
        <w:spacing w:before="120" w:after="120"/>
        <w:jc w:val="left"/>
        <w:rPr>
          <w:smallCaps/>
          <w:sz w:val="20"/>
          <w:szCs w:val="20"/>
        </w:rPr>
      </w:pPr>
    </w:p>
    <w:p>
      <w:pPr>
        <w:widowControl/>
        <w:jc w:val="left"/>
        <w:rPr>
          <w:rFonts w:ascii="黑体" w:hAnsi="黑体" w:eastAsia="黑体"/>
          <w:b/>
          <w:sz w:val="28"/>
          <w:szCs w:val="28"/>
        </w:rPr>
      </w:pPr>
      <w:bookmarkStart w:id="12" w:name="_Toc15396599"/>
      <w:bookmarkStart w:id="13" w:name="_Toc15377196"/>
    </w:p>
    <w:p>
      <w:pPr>
        <w:widowControl/>
        <w:jc w:val="left"/>
        <w:rPr>
          <w:rFonts w:ascii="黑体" w:hAnsi="黑体" w:eastAsia="黑体"/>
          <w:b/>
        </w:rPr>
      </w:pPr>
    </w:p>
    <w:p>
      <w:pPr>
        <w:widowControl/>
        <w:jc w:val="left"/>
        <w:rPr>
          <w:rFonts w:ascii="黑体" w:hAnsi="黑体" w:eastAsia="黑体"/>
          <w:b/>
        </w:rPr>
      </w:pPr>
    </w:p>
    <w:p>
      <w:pPr>
        <w:widowControl/>
        <w:jc w:val="left"/>
        <w:rPr>
          <w:rFonts w:ascii="黑体" w:hAnsi="黑体" w:eastAsia="黑体"/>
          <w:b/>
        </w:rPr>
      </w:pPr>
    </w:p>
    <w:p>
      <w:pPr>
        <w:widowControl/>
        <w:jc w:val="left"/>
        <w:rPr>
          <w:rFonts w:ascii="仿宋_GB2312" w:hAnsi="黑体" w:eastAsia="仿宋_GB2312"/>
          <w:b/>
          <w:bCs/>
          <w:kern w:val="44"/>
          <w:sz w:val="44"/>
          <w:szCs w:val="44"/>
        </w:rPr>
      </w:pPr>
      <w:r>
        <w:rPr>
          <w:rFonts w:ascii="仿宋_GB2312" w:hAnsi="黑体" w:eastAsia="仿宋_GB2312"/>
          <w:b/>
          <w:bCs/>
          <w:kern w:val="44"/>
          <w:sz w:val="44"/>
          <w:szCs w:val="44"/>
        </w:rPr>
        <w:br w:type="page"/>
      </w:r>
    </w:p>
    <w:p>
      <w:pPr>
        <w:pStyle w:val="3"/>
        <w:jc w:val="center"/>
        <w:rPr>
          <w:rFonts w:ascii="仿宋_GB2312" w:hAnsi="黑体" w:eastAsia="仿宋_GB2312"/>
          <w:b w:val="0"/>
          <w:bCs w:val="0"/>
        </w:rPr>
      </w:pPr>
      <w:r>
        <w:rPr>
          <w:rFonts w:hint="eastAsia" w:ascii="仿宋_GB2312" w:hAnsi="黑体" w:eastAsia="仿宋_GB2312"/>
        </w:rPr>
        <w:t xml:space="preserve">第一部分 </w:t>
      </w:r>
      <w:r>
        <w:rPr>
          <w:rStyle w:val="28"/>
          <w:rFonts w:hint="eastAsia" w:ascii="仿宋_GB2312" w:hAnsi="黑体" w:eastAsia="仿宋_GB2312"/>
          <w:b/>
          <w:bCs w:val="0"/>
        </w:rPr>
        <w:t>部门概况</w:t>
      </w:r>
      <w:bookmarkEnd w:id="12"/>
      <w:bookmarkEnd w:id="13"/>
    </w:p>
    <w:p>
      <w:pPr>
        <w:pStyle w:val="4"/>
        <w:ind w:firstLine="640" w:firstLineChars="200"/>
        <w:rPr>
          <w:rFonts w:ascii="黑体" w:hAnsi="黑体" w:eastAsia="黑体" w:cs="Times New Roman"/>
          <w:bCs w:val="0"/>
          <w:color w:val="000000"/>
        </w:rPr>
      </w:pPr>
      <w:bookmarkStart w:id="14" w:name="_Toc15396600"/>
      <w:bookmarkStart w:id="15" w:name="_Toc15377197"/>
      <w:r>
        <w:rPr>
          <w:rFonts w:hint="eastAsia" w:ascii="黑体" w:hAnsi="黑体" w:eastAsia="黑体" w:cs="Times New Roman"/>
          <w:b w:val="0"/>
          <w:color w:val="000000"/>
        </w:rPr>
        <w:t>一、基本职能及主要工作</w:t>
      </w:r>
      <w:bookmarkEnd w:id="14"/>
      <w:bookmarkEnd w:id="15"/>
    </w:p>
    <w:p>
      <w:pPr>
        <w:pStyle w:val="7"/>
        <w:adjustRightInd w:val="0"/>
        <w:snapToGrid w:val="0"/>
        <w:spacing w:before="93" w:line="600" w:lineRule="exact"/>
        <w:ind w:firstLine="672" w:firstLineChars="210"/>
        <w:outlineLvl w:val="2"/>
        <w:rPr>
          <w:rFonts w:hAnsi="仿宋"/>
          <w:bCs/>
          <w:color w:val="000000"/>
          <w:sz w:val="32"/>
          <w:szCs w:val="32"/>
        </w:rPr>
      </w:pPr>
      <w:bookmarkStart w:id="16" w:name="_Toc15377198"/>
      <w:bookmarkStart w:id="17" w:name="_Toc15378445"/>
      <w:r>
        <w:rPr>
          <w:rFonts w:hint="eastAsia" w:hAnsi="仿宋"/>
          <w:bCs/>
          <w:color w:val="000000"/>
          <w:sz w:val="32"/>
          <w:szCs w:val="32"/>
        </w:rPr>
        <w:t>（一）主要职能</w:t>
      </w:r>
      <w:bookmarkEnd w:id="16"/>
      <w:bookmarkEnd w:id="17"/>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bookmarkStart w:id="18" w:name="_Toc15378446"/>
      <w:bookmarkStart w:id="19" w:name="_Toc15377199"/>
      <w:r>
        <w:rPr>
          <w:rFonts w:hint="eastAsia" w:ascii="仿宋_GB2312" w:hAnsi="仿宋_GB2312" w:eastAsia="仿宋_GB2312" w:cs="仿宋_GB2312"/>
          <w:color w:val="000000"/>
          <w:kern w:val="0"/>
          <w:sz w:val="32"/>
          <w:szCs w:val="32"/>
          <w:shd w:val="clear" w:color="auto" w:fill="FFFFFF"/>
        </w:rPr>
        <w:t>1.履行全民所有土地、矿产、森林、草原、湿地、水等自然资源资产所有者职责和所有国土空间用途管制职责；</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2.负责全县自然资源调查监测评价；</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3.负责全县自然资源统一确权登记工作；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4.负责全县自然资源资产有偿使用工作；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5.负责全县自然资源的合理开发利用；</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6.负责建立全县空间规划体系并监督实施；</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7.负责统筹全县国土空间生态修复；</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8.负责组织实施最严格的耕地保护制度；</w:t>
      </w:r>
    </w:p>
    <w:p>
      <w:pPr>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9.负责管理全县地质勘查行业和地质工作；</w:t>
      </w:r>
    </w:p>
    <w:p>
      <w:pPr>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10.负责落实综合防灾减灾规划相关要求；</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11.负责全县矿产资源管理工作；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12.负责全县测绘地理信息工作；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13.推动全县自然资源领域科技发展和对外合作；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14.配合国家、省、州对县人民政府落实党中央、国务院关于自然资源和国土空间规划的重大方针政策、决策部署及法律法规执行情况进行督察；</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15.负责职责范围内的安全生产和职业健康、生态环境保护、审批服务便民化及行政执法等工作；</w:t>
      </w:r>
    </w:p>
    <w:p>
      <w:pPr>
        <w:widowControl/>
        <w:snapToGrid w:val="0"/>
        <w:spacing w:line="576" w:lineRule="exact"/>
        <w:ind w:firstLine="640" w:firstLineChars="200"/>
      </w:pPr>
      <w:r>
        <w:rPr>
          <w:rFonts w:hint="eastAsia" w:ascii="仿宋_GB2312" w:hAnsi="仿宋_GB2312" w:eastAsia="仿宋_GB2312" w:cs="仿宋_GB2312"/>
          <w:color w:val="000000"/>
          <w:kern w:val="0"/>
          <w:sz w:val="32"/>
          <w:szCs w:val="32"/>
          <w:shd w:val="clear" w:color="auto" w:fill="FFFFFF"/>
        </w:rPr>
        <w:t>16.完成县委、县人民政府交办的其他任务。</w:t>
      </w:r>
    </w:p>
    <w:p>
      <w:pPr>
        <w:pStyle w:val="7"/>
        <w:adjustRightInd w:val="0"/>
        <w:snapToGrid w:val="0"/>
        <w:spacing w:before="93" w:line="576" w:lineRule="exact"/>
        <w:ind w:firstLine="320" w:firstLineChars="100"/>
        <w:outlineLvl w:val="2"/>
        <w:rPr>
          <w:rFonts w:hAnsi="仿宋_GB2312" w:cs="仿宋_GB2312"/>
          <w:color w:val="000000"/>
          <w:sz w:val="32"/>
          <w:szCs w:val="32"/>
          <w:shd w:val="clear" w:color="auto" w:fill="FFFFFF"/>
        </w:rPr>
      </w:pPr>
      <w:r>
        <w:rPr>
          <w:rFonts w:hint="eastAsia" w:hAnsi="仿宋"/>
          <w:bCs/>
          <w:color w:val="000000"/>
          <w:sz w:val="32"/>
          <w:szCs w:val="32"/>
        </w:rPr>
        <w:t>（二）2021年重点工作完成情况</w:t>
      </w:r>
      <w:bookmarkEnd w:id="18"/>
      <w:bookmarkEnd w:id="19"/>
      <w:bookmarkStart w:id="20" w:name="_Toc18358"/>
      <w:bookmarkStart w:id="21" w:name="_Toc15377200"/>
      <w:bookmarkStart w:id="22" w:name="_Toc15396601"/>
    </w:p>
    <w:p>
      <w:pPr>
        <w:pStyle w:val="7"/>
        <w:adjustRightInd w:val="0"/>
        <w:snapToGrid w:val="0"/>
        <w:spacing w:beforeLines="0" w:line="576" w:lineRule="exact"/>
        <w:ind w:firstLine="640" w:firstLineChars="200"/>
        <w:rPr>
          <w:rFonts w:hAnsi="仿宋_GB2312" w:cs="仿宋_GB2312"/>
          <w:color w:val="000000"/>
          <w:sz w:val="32"/>
          <w:szCs w:val="32"/>
          <w:shd w:val="clear" w:color="auto" w:fill="FFFFFF"/>
        </w:rPr>
      </w:pPr>
      <w:r>
        <w:rPr>
          <w:rFonts w:hint="eastAsia" w:hAnsi="仿宋_GB2312" w:cs="仿宋_GB2312"/>
          <w:color w:val="000000"/>
          <w:sz w:val="32"/>
          <w:szCs w:val="32"/>
          <w:shd w:val="clear" w:color="auto" w:fill="FFFFFF"/>
        </w:rPr>
        <w:t>2021年我局严格按照24小时应急值班、主要领导带班制和AB岗补位等制度开展汛期值班值守工作，并扎实做好防大汛、抢大险及抗大灾各项准备工作</w:t>
      </w:r>
      <w:bookmarkEnd w:id="20"/>
      <w:r>
        <w:rPr>
          <w:rFonts w:hint="eastAsia" w:hAnsi="仿宋_GB2312" w:cs="仿宋_GB2312"/>
          <w:color w:val="000000"/>
          <w:sz w:val="32"/>
          <w:szCs w:val="32"/>
          <w:shd w:val="clear" w:color="auto" w:fill="FFFFFF"/>
        </w:rPr>
        <w:t>；</w:t>
      </w:r>
      <w:r>
        <w:rPr>
          <w:rFonts w:hint="eastAsia"/>
          <w:sz w:val="32"/>
        </w:rPr>
        <w:t>发放农村乱占耕地“八不准”等宣传册2000余份，营造良好的自然资源法治环境；</w:t>
      </w:r>
      <w:r>
        <w:rPr>
          <w:rFonts w:hint="eastAsia"/>
          <w:sz w:val="32"/>
          <w:szCs w:val="32"/>
        </w:rPr>
        <w:t>完成不动产权确权登记1400余宗，完成国有土地使用权抵押权登记 200余宗，开具房屋查询证明2000余份，农村房地一体确权登记总宗地数28000余宗。</w:t>
      </w:r>
      <w:r>
        <w:rPr>
          <w:rFonts w:hAnsi="仿宋_GB2312" w:cs="仿宋_GB2312"/>
          <w:color w:val="000000"/>
          <w:sz w:val="32"/>
          <w:szCs w:val="32"/>
          <w:shd w:val="clear" w:color="auto" w:fill="FFFFFF"/>
        </w:rPr>
        <w:t xml:space="preserve"> </w:t>
      </w:r>
    </w:p>
    <w:p>
      <w:pPr>
        <w:pStyle w:val="4"/>
        <w:ind w:firstLine="640" w:firstLineChars="200"/>
        <w:rPr>
          <w:rFonts w:ascii="黑体" w:hAnsi="黑体" w:eastAsia="黑体" w:cs="Times New Roman"/>
          <w:b w:val="0"/>
          <w:color w:val="000000"/>
        </w:rPr>
      </w:pPr>
      <w:r>
        <w:rPr>
          <w:rFonts w:hint="eastAsia" w:ascii="黑体" w:hAnsi="黑体" w:eastAsia="黑体" w:cs="Times New Roman"/>
          <w:b w:val="0"/>
          <w:color w:val="000000"/>
        </w:rPr>
        <w:t>二、机构设置</w:t>
      </w:r>
      <w:bookmarkEnd w:id="21"/>
      <w:bookmarkEnd w:id="22"/>
    </w:p>
    <w:p>
      <w:pPr>
        <w:widowControl/>
        <w:ind w:firstLine="640" w:firstLineChars="200"/>
        <w:jc w:val="left"/>
        <w:rPr>
          <w:rFonts w:ascii="仿宋_GB2312" w:hAnsi="仿宋" w:eastAsia="仿宋_GB2312"/>
          <w:color w:val="000000"/>
          <w:kern w:val="0"/>
          <w:sz w:val="32"/>
          <w:szCs w:val="32"/>
        </w:rPr>
      </w:pPr>
      <w:r>
        <w:rPr>
          <w:rFonts w:hint="eastAsia" w:ascii="仿宋_GB2312" w:eastAsia="仿宋_GB2312"/>
          <w:sz w:val="32"/>
          <w:szCs w:val="32"/>
        </w:rPr>
        <w:t>茂县自然资源局是一级预算行政单位，无下属二级预算单位。</w:t>
      </w:r>
    </w:p>
    <w:p>
      <w:pPr>
        <w:widowControl/>
        <w:jc w:val="left"/>
        <w:rPr>
          <w:rFonts w:ascii="仿宋_GB2312" w:hAnsi="黑体" w:eastAsia="仿宋_GB2312"/>
          <w:b/>
          <w:bCs/>
          <w:color w:val="000000"/>
          <w:kern w:val="44"/>
          <w:sz w:val="44"/>
          <w:szCs w:val="44"/>
        </w:rPr>
      </w:pPr>
      <w:bookmarkStart w:id="23" w:name="_Toc15377204"/>
      <w:bookmarkStart w:id="24" w:name="_Toc15396602"/>
      <w:r>
        <w:rPr>
          <w:rFonts w:ascii="仿宋_GB2312" w:hAnsi="黑体" w:eastAsia="仿宋_GB2312"/>
          <w:color w:val="000000"/>
        </w:rPr>
        <w:br w:type="page"/>
      </w:r>
    </w:p>
    <w:p>
      <w:pPr>
        <w:pStyle w:val="3"/>
        <w:ind w:right="440"/>
        <w:jc w:val="center"/>
        <w:rPr>
          <w:rFonts w:ascii="仿宋_GB2312" w:eastAsia="仿宋_GB2312"/>
          <w:sz w:val="32"/>
          <w:szCs w:val="32"/>
        </w:rPr>
      </w:pPr>
      <w:r>
        <w:rPr>
          <w:rFonts w:hint="eastAsia" w:ascii="仿宋_GB2312" w:hAnsi="黑体" w:eastAsia="仿宋_GB2312"/>
          <w:color w:val="000000"/>
        </w:rPr>
        <w:t xml:space="preserve">  第二部分</w:t>
      </w:r>
      <w:r>
        <w:rPr>
          <w:rStyle w:val="28"/>
          <w:rFonts w:hint="eastAsia" w:ascii="仿宋_GB2312" w:hAnsi="黑体" w:eastAsia="仿宋_GB2312"/>
          <w:b/>
          <w:bCs w:val="0"/>
        </w:rPr>
        <w:t>2021年度部门决算情况说明</w:t>
      </w:r>
      <w:bookmarkEnd w:id="23"/>
      <w:bookmarkEnd w:id="24"/>
    </w:p>
    <w:p>
      <w:pPr>
        <w:pStyle w:val="4"/>
        <w:ind w:firstLine="642" w:firstLineChars="200"/>
        <w:rPr>
          <w:rFonts w:ascii="黑体" w:eastAsia="黑体" w:cs="Times New Roman"/>
          <w:bCs w:val="0"/>
          <w:color w:val="000000"/>
        </w:rPr>
      </w:pPr>
      <w:bookmarkStart w:id="25" w:name="_Toc15377205"/>
      <w:bookmarkStart w:id="26" w:name="_Toc15396603"/>
      <w:r>
        <w:rPr>
          <w:rFonts w:hint="eastAsia" w:ascii="黑体" w:eastAsia="黑体" w:cs="Times New Roman"/>
          <w:bCs w:val="0"/>
          <w:color w:val="000000"/>
        </w:rPr>
        <w:t>一、收入支出决算总体情况说明</w:t>
      </w:r>
      <w:bookmarkEnd w:id="25"/>
      <w:bookmarkEnd w:id="26"/>
    </w:p>
    <w:p>
      <w:pPr>
        <w:spacing w:line="600" w:lineRule="exact"/>
        <w:ind w:firstLine="640" w:firstLineChars="200"/>
        <w:rPr>
          <w:rFonts w:ascii="仿宋_GB2312" w:hAnsi="仿宋" w:eastAsia="仿宋_GB2312"/>
          <w:color w:val="00B0F0"/>
          <w:sz w:val="32"/>
          <w:szCs w:val="32"/>
        </w:rPr>
      </w:pPr>
      <w:r>
        <w:rPr>
          <w:rFonts w:ascii="仿宋" w:hAnsi="仿宋" w:eastAsia="仿宋"/>
          <w:color w:val="000000"/>
          <w:sz w:val="32"/>
          <w:szCs w:val="32"/>
        </w:rPr>
        <w:t>202</w:t>
      </w:r>
      <w:r>
        <w:rPr>
          <w:rFonts w:hint="eastAsia" w:ascii="仿宋" w:hAnsi="仿宋" w:eastAsia="仿宋"/>
          <w:color w:val="000000"/>
          <w:sz w:val="32"/>
          <w:szCs w:val="32"/>
        </w:rPr>
        <w:t>1年度年初结转和结余2477.54万元，收入总计8907.19万元，支出总计11384.73万元。与</w:t>
      </w:r>
      <w:r>
        <w:rPr>
          <w:rFonts w:ascii="仿宋" w:hAnsi="仿宋" w:eastAsia="仿宋"/>
          <w:color w:val="000000"/>
          <w:sz w:val="32"/>
          <w:szCs w:val="32"/>
        </w:rPr>
        <w:t>20</w:t>
      </w:r>
      <w:r>
        <w:rPr>
          <w:rFonts w:hint="eastAsia" w:ascii="仿宋" w:hAnsi="仿宋" w:eastAsia="仿宋"/>
          <w:color w:val="000000"/>
          <w:sz w:val="32"/>
          <w:szCs w:val="32"/>
        </w:rPr>
        <w:t>20年相比，收入减少959.44万元，支出增加1375.3万元。主要变动原因是2021年新增项目减少。</w:t>
      </w:r>
    </w:p>
    <w:p>
      <w:pPr>
        <w:spacing w:line="6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（图1：收、支决算总计变动情况图）</w:t>
      </w:r>
    </w:p>
    <w:p>
      <w:pPr>
        <w:pStyle w:val="20"/>
        <w:rPr>
          <w:rFonts w:ascii="仿宋_GB2312" w:eastAsia="仿宋_GB2312"/>
          <w:sz w:val="28"/>
          <w:szCs w:val="28"/>
        </w:rPr>
      </w:pPr>
      <w:r>
        <w:rPr>
          <w:rFonts w:ascii="仿宋_GB2312" w:eastAsia="仿宋_GB2312"/>
          <w:sz w:val="28"/>
          <w:szCs w:val="28"/>
        </w:rPr>
        <w:drawing>
          <wp:inline distT="0" distB="0" distL="0" distR="0">
            <wp:extent cx="5274310" cy="3076575"/>
            <wp:effectExtent l="0" t="0" r="21590" b="952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ind w:firstLine="642" w:firstLineChars="200"/>
        <w:rPr>
          <w:rFonts w:ascii="黑体" w:eastAsia="黑体" w:cs="Times New Roman"/>
          <w:bCs w:val="0"/>
          <w:color w:val="000000"/>
        </w:rPr>
      </w:pPr>
      <w:bookmarkStart w:id="27" w:name="_Toc15396604"/>
      <w:bookmarkStart w:id="28" w:name="_Toc15377206"/>
      <w:r>
        <w:rPr>
          <w:rFonts w:hint="eastAsia" w:ascii="黑体" w:eastAsia="黑体" w:cs="Times New Roman"/>
          <w:bCs w:val="0"/>
          <w:color w:val="000000"/>
        </w:rPr>
        <w:t>二、收入决算情况说明</w:t>
      </w:r>
      <w:bookmarkEnd w:id="27"/>
      <w:bookmarkEnd w:id="28"/>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2021年本年收入合计8907.19万元，其中：一般公共预算财政拨款收入8199.99万元，占92.1%；政府性基金预算财政拨款收入707.2万元，占7.9%。</w:t>
      </w:r>
    </w:p>
    <w:p>
      <w:pPr>
        <w:spacing w:line="600" w:lineRule="exact"/>
        <w:ind w:firstLine="640" w:firstLineChars="200"/>
        <w:rPr>
          <w:rFonts w:ascii="仿宋_GB2312" w:eastAsia="仿宋_GB2312"/>
          <w:color w:val="FF0000"/>
          <w:sz w:val="32"/>
          <w:szCs w:val="32"/>
        </w:rPr>
      </w:pPr>
      <w:r>
        <w:rPr>
          <w:rFonts w:hint="eastAsia" w:ascii="仿宋_GB2312" w:hAnsi="仿宋" w:eastAsia="仿宋_GB2312"/>
          <w:color w:val="000000" w:themeColor="text1"/>
          <w:sz w:val="32"/>
          <w:szCs w:val="32"/>
          <w14:textFill>
            <w14:solidFill>
              <w14:schemeClr w14:val="tx1"/>
            </w14:solidFill>
          </w14:textFill>
        </w:rPr>
        <w:t>（图2：收入决算结构图）</w:t>
      </w:r>
    </w:p>
    <w:p>
      <w:pPr>
        <w:pStyle w:val="13"/>
        <w:ind w:left="1060" w:hanging="640"/>
        <w:jc w:val="center"/>
      </w:pPr>
      <w:r>
        <w:rPr>
          <w:rFonts w:hint="eastAsia" w:ascii="仿宋_GB2312" w:eastAsia="仿宋_GB2312"/>
          <w:color w:val="FF0000"/>
          <w:sz w:val="32"/>
          <w:szCs w:val="32"/>
        </w:rPr>
        <w:drawing>
          <wp:inline distT="0" distB="0" distL="114300" distR="114300">
            <wp:extent cx="3717925" cy="2077085"/>
            <wp:effectExtent l="0" t="0" r="15875" b="1841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2" w:firstLineChars="200"/>
        <w:rPr>
          <w:rFonts w:ascii="黑体" w:eastAsia="黑体" w:cs="Times New Roman"/>
          <w:color w:val="000000"/>
        </w:rPr>
      </w:pPr>
      <w:bookmarkStart w:id="29" w:name="_Toc15396605"/>
      <w:bookmarkStart w:id="30" w:name="_Toc15377207"/>
      <w:r>
        <w:rPr>
          <w:rFonts w:hint="eastAsia" w:ascii="黑体" w:eastAsia="黑体" w:cs="Times New Roman"/>
          <w:bCs w:val="0"/>
          <w:color w:val="000000"/>
        </w:rPr>
        <w:t>三、支</w:t>
      </w:r>
      <w:r>
        <w:rPr>
          <w:rFonts w:hint="eastAsia" w:ascii="黑体" w:eastAsia="黑体" w:cs="Times New Roman"/>
          <w:b w:val="0"/>
          <w:color w:val="000000"/>
        </w:rPr>
        <w:t>出决算情况说明</w:t>
      </w:r>
      <w:bookmarkEnd w:id="29"/>
      <w:bookmarkEnd w:id="30"/>
    </w:p>
    <w:p>
      <w:pPr>
        <w:spacing w:line="600" w:lineRule="exact"/>
        <w:ind w:firstLine="640"/>
        <w:rPr>
          <w:rFonts w:ascii="仿宋_GB2312" w:hAnsi="仿宋" w:eastAsia="仿宋_GB2312"/>
          <w:color w:val="000000"/>
          <w:sz w:val="32"/>
          <w:szCs w:val="32"/>
          <w:shd w:val="pct10" w:color="auto" w:fill="FFFFFF"/>
        </w:rPr>
      </w:pPr>
      <w:r>
        <w:rPr>
          <w:rFonts w:hint="eastAsia" w:ascii="仿宋_GB2312" w:hAnsi="仿宋" w:eastAsia="仿宋_GB2312"/>
          <w:color w:val="000000"/>
          <w:sz w:val="32"/>
          <w:szCs w:val="32"/>
        </w:rPr>
        <w:t>2021年本年支出合计11384.73万元，其中：基本支出893.15万元，占7.85%；项目支出10491.58万元，占92.15%。</w:t>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（图3：支出决算结构图）</w:t>
      </w:r>
    </w:p>
    <w:p>
      <w:pPr>
        <w:pStyle w:val="13"/>
        <w:ind w:left="0" w:leftChars="0" w:firstLine="0" w:firstLineChars="0"/>
        <w:rPr>
          <w:rFonts w:ascii="仿宋_GB2312" w:eastAsia="仿宋_GB2312"/>
          <w:color w:val="FF0000"/>
          <w:sz w:val="32"/>
          <w:szCs w:val="32"/>
        </w:rPr>
      </w:pP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3717925" cy="2077085"/>
            <wp:effectExtent l="5080" t="4445" r="10795" b="1397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0" w:firstLineChars="200"/>
        <w:rPr>
          <w:rFonts w:ascii="黑体" w:eastAsia="黑体" w:cs="Times New Roman"/>
          <w:bCs w:val="0"/>
          <w:color w:val="000000"/>
        </w:rPr>
      </w:pPr>
      <w:bookmarkStart w:id="31" w:name="_Toc15396606"/>
      <w:bookmarkStart w:id="32" w:name="_Toc15377208"/>
      <w:r>
        <w:rPr>
          <w:rFonts w:hint="eastAsia" w:ascii="黑体" w:eastAsia="黑体" w:cs="Times New Roman"/>
          <w:b w:val="0"/>
          <w:color w:val="000000"/>
        </w:rPr>
        <w:t>四、财政拨款收入支出决算总体情况说明</w:t>
      </w:r>
      <w:bookmarkEnd w:id="31"/>
      <w:bookmarkEnd w:id="32"/>
    </w:p>
    <w:p>
      <w:pPr>
        <w:spacing w:line="600" w:lineRule="exact"/>
        <w:ind w:firstLine="640" w:firstLineChars="200"/>
        <w:rPr>
          <w:rFonts w:ascii="仿宋_GB2312" w:hAnsi="仿宋" w:eastAsia="仿宋_GB2312"/>
          <w:color w:val="00B0F0"/>
          <w:sz w:val="32"/>
          <w:szCs w:val="32"/>
        </w:rPr>
      </w:pPr>
      <w:r>
        <w:rPr>
          <w:rFonts w:ascii="仿宋" w:hAnsi="仿宋" w:eastAsia="仿宋"/>
          <w:color w:val="000000"/>
          <w:sz w:val="32"/>
          <w:szCs w:val="32"/>
        </w:rPr>
        <w:t>202</w:t>
      </w:r>
      <w:r>
        <w:rPr>
          <w:rFonts w:hint="eastAsia" w:ascii="仿宋" w:hAnsi="仿宋" w:eastAsia="仿宋"/>
          <w:color w:val="000000"/>
          <w:sz w:val="32"/>
          <w:szCs w:val="32"/>
        </w:rPr>
        <w:t>1年度年初结转和结余2477.54万元，收入总计8907.19万元，支出总计11384.73万元。与</w:t>
      </w:r>
      <w:r>
        <w:rPr>
          <w:rFonts w:ascii="仿宋" w:hAnsi="仿宋" w:eastAsia="仿宋"/>
          <w:color w:val="000000"/>
          <w:sz w:val="32"/>
          <w:szCs w:val="32"/>
        </w:rPr>
        <w:t>20</w:t>
      </w:r>
      <w:r>
        <w:rPr>
          <w:rFonts w:hint="eastAsia" w:ascii="仿宋" w:hAnsi="仿宋" w:eastAsia="仿宋"/>
          <w:color w:val="000000"/>
          <w:sz w:val="32"/>
          <w:szCs w:val="32"/>
        </w:rPr>
        <w:t>20年相比，收入减少959.44万元，支出增加1375.3万元。主要变动原因是2021年新增项目减少。</w:t>
      </w:r>
    </w:p>
    <w:p>
      <w:pPr>
        <w:spacing w:line="600" w:lineRule="exact"/>
        <w:ind w:firstLine="560" w:firstLineChars="200"/>
        <w:rPr>
          <w:rFonts w:ascii="仿宋_GB2312" w:hAnsi="仿宋" w:eastAsia="仿宋_GB2312"/>
          <w:color w:val="000000"/>
          <w:sz w:val="32"/>
          <w:szCs w:val="32"/>
        </w:rPr>
      </w:pPr>
      <w:r>
        <w:rPr>
          <w:rFonts w:ascii="仿宋_GB2312" w:eastAsia="仿宋_GB2312"/>
          <w:sz w:val="28"/>
          <w:szCs w:val="28"/>
        </w:rPr>
        <w:drawing>
          <wp:anchor distT="0" distB="0" distL="114300" distR="114300" simplePos="0" relativeHeight="251661312" behindDoc="0" locked="0" layoutInCell="1" allowOverlap="1">
            <wp:simplePos x="0" y="0"/>
            <wp:positionH relativeFrom="column">
              <wp:posOffset>236220</wp:posOffset>
            </wp:positionH>
            <wp:positionV relativeFrom="paragraph">
              <wp:posOffset>609600</wp:posOffset>
            </wp:positionV>
            <wp:extent cx="5274310" cy="3076575"/>
            <wp:effectExtent l="0" t="0" r="21590" b="952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 w:eastAsia="仿宋_GB2312"/>
          <w:color w:val="000000"/>
          <w:sz w:val="32"/>
          <w:szCs w:val="32"/>
        </w:rPr>
        <w:t>（图4：财政拨款收、支决算总计变动情况）</w:t>
      </w:r>
    </w:p>
    <w:p>
      <w:pPr>
        <w:pStyle w:val="4"/>
        <w:ind w:firstLine="640" w:firstLineChars="200"/>
        <w:rPr>
          <w:rFonts w:ascii="黑体" w:eastAsia="黑体" w:cs="Times New Roman"/>
          <w:bCs w:val="0"/>
          <w:color w:val="000000"/>
        </w:rPr>
      </w:pPr>
      <w:bookmarkStart w:id="33" w:name="_Toc15377209"/>
      <w:bookmarkStart w:id="34" w:name="_Toc15396607"/>
      <w:r>
        <w:rPr>
          <w:rFonts w:hint="eastAsia" w:ascii="黑体" w:eastAsia="黑体" w:cs="Times New Roman"/>
          <w:b w:val="0"/>
          <w:color w:val="000000"/>
        </w:rPr>
        <w:t>五、一</w:t>
      </w:r>
      <w:r>
        <w:rPr>
          <w:rFonts w:hint="eastAsia" w:ascii="黑体" w:eastAsia="黑体" w:cs="Times New Roman"/>
          <w:bCs w:val="0"/>
          <w:color w:val="000000"/>
        </w:rPr>
        <w:t>般公共预算财政拨款支出决算情况说明</w:t>
      </w:r>
      <w:bookmarkEnd w:id="33"/>
      <w:bookmarkEnd w:id="34"/>
    </w:p>
    <w:p>
      <w:pPr>
        <w:spacing w:line="600" w:lineRule="exact"/>
        <w:ind w:firstLine="642" w:firstLineChars="200"/>
        <w:outlineLvl w:val="2"/>
        <w:rPr>
          <w:rFonts w:ascii="仿宋" w:hAnsi="仿宋" w:eastAsia="仿宋"/>
          <w:b/>
          <w:color w:val="000000"/>
          <w:sz w:val="32"/>
          <w:szCs w:val="32"/>
        </w:rPr>
      </w:pPr>
      <w:bookmarkStart w:id="35" w:name="_Toc15377210"/>
      <w:r>
        <w:rPr>
          <w:rFonts w:hint="eastAsia" w:ascii="仿宋" w:hAnsi="仿宋" w:eastAsia="仿宋"/>
          <w:b/>
          <w:color w:val="000000"/>
          <w:sz w:val="32"/>
          <w:szCs w:val="32"/>
        </w:rPr>
        <w:t>（一）一般公共预算财政拨款支出决算总体情况</w:t>
      </w:r>
      <w:bookmarkEnd w:id="35"/>
    </w:p>
    <w:p>
      <w:pPr>
        <w:spacing w:line="600" w:lineRule="exact"/>
        <w:ind w:firstLine="640" w:firstLineChars="200"/>
        <w:rPr>
          <w:rFonts w:ascii="仿宋_GB2312" w:hAnsi="仿宋" w:eastAsia="仿宋_GB2312"/>
          <w:color w:val="000000"/>
          <w:sz w:val="32"/>
          <w:szCs w:val="32"/>
        </w:rPr>
      </w:pPr>
      <w:bookmarkStart w:id="36" w:name="_Toc15377211"/>
      <w:r>
        <w:rPr>
          <w:rFonts w:hint="eastAsia" w:ascii="仿宋_GB2312" w:hAnsi="仿宋" w:eastAsia="仿宋_GB2312"/>
          <w:color w:val="000000"/>
          <w:sz w:val="32"/>
          <w:szCs w:val="32"/>
        </w:rPr>
        <w:t>2021年一般公共预算财政拨款支出9954.45万元，占本年支出合计的66.6%。与2020年相比，一般公共预算财政拨款增加3285.67万元，增长33%。主要变动原因是一般公共预算财政拨款项目增加。</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（图5：一般公共预算财政拨款支出决算变动情况）</w:t>
      </w:r>
    </w:p>
    <w:p>
      <w:pPr>
        <w:pStyle w:val="2"/>
        <w:ind w:firstLine="0"/>
        <w:rPr>
          <w:rFonts w:ascii="仿宋_GB2312" w:hAnsi="仿宋" w:eastAsia="仿宋_GB2312"/>
          <w:b/>
          <w:color w:val="000000"/>
          <w:sz w:val="32"/>
          <w:szCs w:val="32"/>
        </w:rPr>
      </w:pPr>
    </w:p>
    <w:p>
      <w:pPr>
        <w:pStyle w:val="2"/>
        <w:rPr>
          <w:rFonts w:ascii="仿宋_GB2312" w:hAnsi="仿宋" w:eastAsia="仿宋_GB2312"/>
          <w:b/>
          <w:color w:val="000000"/>
          <w:sz w:val="32"/>
          <w:szCs w:val="32"/>
        </w:rPr>
      </w:pPr>
      <w:r>
        <w:drawing>
          <wp:anchor distT="0" distB="0" distL="114300" distR="114300" simplePos="0" relativeHeight="251659264" behindDoc="0" locked="0" layoutInCell="1" allowOverlap="1">
            <wp:simplePos x="0" y="0"/>
            <wp:positionH relativeFrom="column">
              <wp:posOffset>952500</wp:posOffset>
            </wp:positionH>
            <wp:positionV relativeFrom="paragraph">
              <wp:posOffset>220980</wp:posOffset>
            </wp:positionV>
            <wp:extent cx="4114800" cy="2011680"/>
            <wp:effectExtent l="0" t="0" r="19050" b="26670"/>
            <wp:wrapTopAndBottom/>
            <wp:docPr id="520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6"/>
    </w:p>
    <w:p>
      <w:pPr>
        <w:spacing w:line="600" w:lineRule="exact"/>
        <w:ind w:firstLine="640"/>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b/>
          <w:color w:val="000000"/>
          <w:sz w:val="32"/>
          <w:szCs w:val="32"/>
        </w:rPr>
        <w:drawing>
          <wp:anchor distT="0" distB="0" distL="114300" distR="114300" simplePos="0" relativeHeight="251660288" behindDoc="0" locked="0" layoutInCell="1" allowOverlap="1">
            <wp:simplePos x="0" y="0"/>
            <wp:positionH relativeFrom="column">
              <wp:posOffset>99060</wp:posOffset>
            </wp:positionH>
            <wp:positionV relativeFrom="paragraph">
              <wp:posOffset>3093720</wp:posOffset>
            </wp:positionV>
            <wp:extent cx="5274310" cy="3076575"/>
            <wp:effectExtent l="0" t="0" r="21590" b="952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 w:eastAsia="仿宋_GB2312"/>
          <w:color w:val="000000"/>
          <w:sz w:val="32"/>
          <w:szCs w:val="32"/>
        </w:rPr>
        <w:t>2021年一般公共预算财</w:t>
      </w:r>
      <w:r>
        <w:rPr>
          <w:rFonts w:hint="eastAsia" w:ascii="仿宋_GB2312" w:hAnsi="仿宋" w:eastAsia="仿宋_GB2312"/>
          <w:color w:val="000000" w:themeColor="text1"/>
          <w:sz w:val="32"/>
          <w:szCs w:val="32"/>
          <w14:textFill>
            <w14:solidFill>
              <w14:schemeClr w14:val="tx1"/>
            </w14:solidFill>
          </w14:textFill>
        </w:rPr>
        <w:t>政拨款支出</w:t>
      </w:r>
      <w:r>
        <w:rPr>
          <w:rFonts w:hint="eastAsia" w:ascii="仿宋_GB2312" w:hAnsi="仿宋" w:eastAsia="仿宋_GB2312"/>
          <w:color w:val="000000"/>
          <w:sz w:val="32"/>
          <w:szCs w:val="32"/>
        </w:rPr>
        <w:t>9954.45</w:t>
      </w:r>
      <w:r>
        <w:rPr>
          <w:rFonts w:hint="eastAsia" w:ascii="仿宋_GB2312" w:hAnsi="仿宋" w:eastAsia="仿宋_GB2312"/>
          <w:color w:val="000000" w:themeColor="text1"/>
          <w:sz w:val="32"/>
          <w:szCs w:val="32"/>
          <w14:textFill>
            <w14:solidFill>
              <w14:schemeClr w14:val="tx1"/>
            </w14:solidFill>
          </w14:textFill>
        </w:rPr>
        <w:t>万元，主要用于以下方面:社会保障和就业支出92.19万元，占0.93%；卫生健康支出43.23万元，占0.43%；节能环保支出164.38万元，占1.65%；农林水支出829.10万元，占8.33%；自然资源海洋气象等支出1201.59万元，占12.07%；灾害防治及应急管理支出7561.44万元，占75.96%；住房保障支出62.16万元，占0.63%。</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（图6：一般公共预算财政拨款支出决算结构图）</w:t>
      </w:r>
      <w:bookmarkStart w:id="37" w:name="_Toc15377212"/>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7"/>
    </w:p>
    <w:p>
      <w:pPr>
        <w:spacing w:line="600" w:lineRule="exact"/>
        <w:ind w:firstLine="645"/>
        <w:rPr>
          <w:rFonts w:ascii="仿宋_GB2312" w:hAnsi="仿宋" w:eastAsia="仿宋_GB2312"/>
          <w:color w:val="000000"/>
          <w:sz w:val="32"/>
          <w:szCs w:val="32"/>
        </w:rPr>
      </w:pPr>
      <w:bookmarkStart w:id="38" w:name="_Toc15377213"/>
      <w:bookmarkStart w:id="39" w:name="_Toc15377444"/>
      <w:bookmarkStart w:id="40" w:name="_Toc15378460"/>
      <w:r>
        <w:rPr>
          <w:rFonts w:hint="eastAsia" w:ascii="仿宋_GB2312" w:hAnsi="仿宋" w:eastAsia="仿宋_GB2312"/>
          <w:color w:val="000000"/>
          <w:sz w:val="32"/>
          <w:szCs w:val="32"/>
        </w:rPr>
        <w:t>2021年一般公共预算支出决算数为9954.45万</w:t>
      </w:r>
      <w:r>
        <w:rPr>
          <w:rFonts w:hint="eastAsia" w:ascii="仿宋_GB2312" w:hAnsi="仿宋" w:eastAsia="仿宋_GB2312"/>
          <w:color w:val="000000"/>
          <w:sz w:val="32"/>
          <w:szCs w:val="32"/>
          <w:lang w:eastAsia="zh-CN"/>
        </w:rPr>
        <w:t>元</w:t>
      </w:r>
      <w:bookmarkStart w:id="100" w:name="_GoBack"/>
      <w:bookmarkEnd w:id="100"/>
      <w:r>
        <w:rPr>
          <w:rFonts w:hint="eastAsia" w:ascii="仿宋_GB2312" w:hAnsi="仿宋" w:eastAsia="仿宋_GB2312"/>
          <w:color w:val="000000"/>
          <w:sz w:val="32"/>
          <w:szCs w:val="32"/>
        </w:rPr>
        <w:t>，完成预算100%。其中：</w:t>
      </w:r>
      <w:bookmarkEnd w:id="38"/>
      <w:bookmarkEnd w:id="39"/>
      <w:bookmarkEnd w:id="40"/>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1.社会保障和就业支出（208）行政事业单位养老支出(05)机关事业单位基本养老保险缴费支出(05)支出决算为61.46万元。完成预算100%。决算数与预算数持平。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2.社会保障和就业支出（208）行政事业单位养老支出(05)机关事业单位职业年金缴费支出(06)支出决算为30.73万元。完成预算100%。决算数与预算数持平。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3.卫生健康支出（210）行政事业单位医疗（11）行政单位医疗(01)支出决算为16.62万元。完成预算100%。决算数与预算数持平。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4.卫生健康支出（210）行政事业单位医疗（11）事业单位医疗（02）支出决算为26.61万元。完成预算100%。决算数与预算数持平。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5.节能环保支出（211）自然生态保护（04）生态保护（01）支出决算为164.38万元。完成预算100%。决算数与预算数持平。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6.农林水支出（213）扶贫（05）农村基础设施建设（04）支出决算为30.88万元，完成预算100%。决算数与预算数持平。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7.农林水支出(213)扶贫(05)其他扶贫支出(99)支出决算为798.22万元，完成预算100%。决算数与预算数持平。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8.自然资源海洋气象等支出（220） 自然资源事务（01） 行政运行（01）支出决算为205.04万元，完成决算100%。决算数与预算数持平。</w:t>
      </w:r>
    </w:p>
    <w:p>
      <w:pPr>
        <w:pStyle w:val="2"/>
        <w:rPr>
          <w:rFonts w:ascii="仿宋_GB2312" w:hAnsi="仿宋" w:eastAsia="仿宋_GB2312"/>
          <w:color w:val="000000"/>
          <w:sz w:val="32"/>
          <w:szCs w:val="32"/>
        </w:rPr>
      </w:pPr>
      <w:r>
        <w:rPr>
          <w:rFonts w:hint="eastAsia" w:ascii="仿宋_GB2312" w:hAnsi="仿宋" w:eastAsia="仿宋_GB2312"/>
          <w:color w:val="000000"/>
          <w:sz w:val="32"/>
          <w:szCs w:val="32"/>
        </w:rPr>
        <w:t>9.自然资源海洋气象等支出（220） 自然资源事务（01）自然资源规划及管理（04）支出决算为105.54万元，完成预算100%。决算数与预算数持平。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10. 自然资源海洋气象等支出（220） 自然资源事务（01）事业运行（50）支出决算为490.52万元，完成预算100%。决算数与预算数持平。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12.自然资源海洋气象等支出（220） 自然资源事务（01） 其他自然资源事务支出（99）支出决算为400.85万元，完成预算100%。决算数与预算数持平。</w:t>
      </w:r>
    </w:p>
    <w:p>
      <w:pPr>
        <w:pStyle w:val="2"/>
        <w:rPr>
          <w:rFonts w:ascii="仿宋_GB2312" w:hAnsi="仿宋" w:eastAsia="仿宋_GB2312"/>
          <w:color w:val="000000"/>
          <w:sz w:val="32"/>
          <w:szCs w:val="32"/>
        </w:rPr>
      </w:pPr>
      <w:r>
        <w:rPr>
          <w:rFonts w:hint="eastAsia" w:ascii="仿宋_GB2312" w:eastAsia="仿宋_GB2312"/>
          <w:sz w:val="32"/>
          <w:szCs w:val="32"/>
        </w:rPr>
        <w:t>13.</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w:t>
      </w:r>
      <w:r>
        <w:rPr>
          <w:rFonts w:hint="eastAsia" w:ascii="仿宋_GB2312" w:hAnsi="仿宋" w:eastAsia="仿宋_GB2312"/>
          <w:color w:val="000000"/>
          <w:sz w:val="32"/>
          <w:szCs w:val="32"/>
        </w:rPr>
        <w:t>支出决算为62.16万元，完成预算100%。决算数与预算数持平。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14.灾害防治及应急管理支出（224）自然灾害防治（06）地质灾害防治（01）支出决算7561.44万元，完成预算100%。</w:t>
      </w:r>
    </w:p>
    <w:p>
      <w:pPr>
        <w:pStyle w:val="20"/>
      </w:pPr>
      <w:r>
        <w:rPr>
          <w:rFonts w:hint="eastAsia" w:ascii="仿宋_GB2312" w:hAnsi="仿宋" w:eastAsia="仿宋_GB2312" w:cs="Times New Roman"/>
          <w:sz w:val="32"/>
          <w:szCs w:val="32"/>
        </w:rPr>
        <w:t>决算数与预算</w:t>
      </w:r>
      <w:r>
        <w:rPr>
          <w:rFonts w:hint="eastAsia" w:ascii="仿宋_GB2312" w:hAnsi="仿宋" w:eastAsia="仿宋_GB2312"/>
          <w:sz w:val="32"/>
          <w:szCs w:val="32"/>
        </w:rPr>
        <w:t>数</w:t>
      </w:r>
      <w:r>
        <w:rPr>
          <w:rFonts w:hint="eastAsia" w:ascii="仿宋_GB2312" w:hAnsi="仿宋" w:eastAsia="仿宋_GB2312" w:cs="Times New Roman"/>
          <w:sz w:val="32"/>
          <w:szCs w:val="32"/>
        </w:rPr>
        <w:t>持平。</w:t>
      </w:r>
    </w:p>
    <w:p>
      <w:pPr>
        <w:pStyle w:val="4"/>
        <w:ind w:firstLine="642" w:firstLineChars="200"/>
        <w:rPr>
          <w:rStyle w:val="29"/>
          <w:rFonts w:ascii="仿宋_GB2312" w:eastAsia="仿宋_GB2312"/>
          <w:b w:val="0"/>
          <w:bCs w:val="0"/>
        </w:rPr>
      </w:pPr>
      <w:bookmarkStart w:id="41" w:name="_Toc15396608"/>
      <w:bookmarkStart w:id="42" w:name="_Toc15377214"/>
      <w:r>
        <w:rPr>
          <w:rFonts w:hint="eastAsia" w:ascii="黑体" w:eastAsia="黑体" w:cs="Times New Roman"/>
          <w:bCs w:val="0"/>
          <w:color w:val="000000"/>
        </w:rPr>
        <w:t>六、一</w:t>
      </w:r>
      <w:r>
        <w:rPr>
          <w:rFonts w:hint="eastAsia" w:ascii="黑体" w:eastAsia="黑体" w:cs="Times New Roman"/>
          <w:b w:val="0"/>
          <w:color w:val="000000"/>
        </w:rPr>
        <w:t>般公共预算财政拨款基本支出决算情况说明</w:t>
      </w:r>
      <w:bookmarkEnd w:id="41"/>
      <w:bookmarkEnd w:id="42"/>
      <w:r>
        <w:rPr>
          <w:rStyle w:val="29"/>
          <w:rFonts w:hint="eastAsia" w:ascii="仿宋_GB2312" w:hAnsi="黑体" w:eastAsia="仿宋_GB2312"/>
          <w:b w:val="0"/>
          <w:bCs w:val="0"/>
        </w:rPr>
        <w:tab/>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2021年一般公共预算财政拨款基本支出893.15万元，其中：</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860.15万元，主要包括：基本工资181.72万元、津贴补贴69.48万元、奖金59.34万元、绩效工资310.16万元、机关事业单位基本养老保险缴费61.46万元、职业年金缴费30.73万元、职工基本医疗保险缴费43.23万元，其他社会保障缴费3.31万元、医疗费6.92万元、住房公积金62.16万元、生活补助31.23万元、医疗费补助0.27万元、奖励金0.14万元。</w:t>
      </w:r>
      <w:r>
        <w:rPr>
          <w:rFonts w:hint="eastAsia" w:ascii="仿宋_GB2312" w:hAnsi="仿宋" w:eastAsia="仿宋_GB2312"/>
          <w:color w:val="000000"/>
          <w:sz w:val="32"/>
          <w:szCs w:val="32"/>
        </w:rPr>
        <w:br w:type="textWrapping"/>
      </w:r>
      <w:r>
        <w:rPr>
          <w:rFonts w:hint="eastAsia" w:ascii="仿宋_GB2312" w:hAnsi="仿宋" w:eastAsia="仿宋_GB2312"/>
          <w:color w:val="000000"/>
          <w:sz w:val="32"/>
          <w:szCs w:val="32"/>
        </w:rPr>
        <w:t>　　公用经费33万元，主要包括：办公费21.45万元、水费0.17万元、邮电费0.13万元、差旅费7.25万元、公务用车运行维护费4万元。</w:t>
      </w:r>
    </w:p>
    <w:p>
      <w:pPr>
        <w:pStyle w:val="4"/>
        <w:ind w:firstLine="642" w:firstLineChars="200"/>
        <w:rPr>
          <w:rFonts w:ascii="黑体" w:eastAsia="黑体" w:cs="Times New Roman"/>
          <w:color w:val="000000"/>
        </w:rPr>
      </w:pPr>
      <w:bookmarkStart w:id="43" w:name="_Toc15396609"/>
      <w:bookmarkStart w:id="44" w:name="_Toc15377215"/>
      <w:r>
        <w:rPr>
          <w:rFonts w:hint="eastAsia" w:ascii="黑体" w:eastAsia="黑体" w:cs="Times New Roman"/>
          <w:bCs w:val="0"/>
          <w:color w:val="000000"/>
        </w:rPr>
        <w:t>七、</w:t>
      </w:r>
      <w:r>
        <w:rPr>
          <w:rFonts w:hint="eastAsia" w:ascii="黑体" w:eastAsia="黑体" w:cs="Times New Roman"/>
          <w:b w:val="0"/>
          <w:color w:val="000000"/>
        </w:rPr>
        <w:t>“三公”经费财政拨款支出决算情况说明</w:t>
      </w:r>
      <w:bookmarkEnd w:id="43"/>
      <w:bookmarkEnd w:id="44"/>
    </w:p>
    <w:p>
      <w:pPr>
        <w:spacing w:line="600" w:lineRule="exact"/>
        <w:ind w:firstLine="642" w:firstLineChars="200"/>
        <w:outlineLvl w:val="2"/>
        <w:rPr>
          <w:rFonts w:ascii="仿宋" w:hAnsi="仿宋" w:eastAsia="仿宋"/>
          <w:b/>
          <w:color w:val="000000"/>
          <w:sz w:val="32"/>
          <w:szCs w:val="32"/>
        </w:rPr>
      </w:pPr>
      <w:bookmarkStart w:id="45" w:name="_Toc15377216"/>
      <w:r>
        <w:rPr>
          <w:rFonts w:hint="eastAsia" w:ascii="仿宋" w:hAnsi="仿宋" w:eastAsia="仿宋"/>
          <w:b/>
          <w:color w:val="000000"/>
          <w:sz w:val="32"/>
          <w:szCs w:val="32"/>
        </w:rPr>
        <w:t>（一）“三公”经费财政拨款支出决算总体情况说明</w:t>
      </w:r>
      <w:bookmarkEnd w:id="45"/>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2021年“三公”经费财政拨款支出决算为12万元，完成预算100%。</w:t>
      </w:r>
      <w:bookmarkStart w:id="46" w:name="_Toc15377217"/>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46"/>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2021年“三公”经费财政拨款支出12万，因公出国（境）费支出决算0万元，公务用车购置及运行维护费支出决算12万元，占100%；公务接待费支出决算0万元。具体情况如下：</w:t>
      </w:r>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（图7：“三公”经费财政拨款支出结构）</w:t>
      </w:r>
    </w:p>
    <w:p>
      <w:pPr>
        <w:pStyle w:val="2"/>
        <w:rPr>
          <w:rFonts w:ascii="仿宋_GB2312" w:hAnsi="仿宋" w:eastAsia="仿宋_GB2312"/>
          <w:color w:val="000000"/>
          <w:sz w:val="32"/>
          <w:szCs w:val="32"/>
        </w:rPr>
      </w:pPr>
      <w:r>
        <w:drawing>
          <wp:inline distT="0" distB="0" distL="114300" distR="114300">
            <wp:extent cx="4572000" cy="2743200"/>
            <wp:effectExtent l="4445" t="4445" r="14605" b="7175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1.因公出国（境）经费支出0</w:t>
      </w:r>
      <w:r>
        <w:rPr>
          <w:rFonts w:hint="eastAsia" w:ascii="仿宋_GB2312" w:eastAsia="仿宋_GB2312"/>
          <w:color w:val="000000"/>
          <w:sz w:val="32"/>
          <w:szCs w:val="32"/>
        </w:rPr>
        <w:t>万元</w:t>
      </w:r>
      <w:r>
        <w:rPr>
          <w:rStyle w:val="17"/>
          <w:rFonts w:hint="eastAsia" w:ascii="仿宋_GB2312" w:hAnsi="仿宋" w:eastAsia="仿宋_GB2312"/>
          <w:b w:val="0"/>
          <w:bCs/>
          <w:color w:val="000000"/>
          <w:sz w:val="32"/>
          <w:szCs w:val="32"/>
        </w:rPr>
        <w:t>。</w:t>
      </w:r>
      <w:r>
        <w:rPr>
          <w:rFonts w:hint="eastAsia" w:ascii="仿宋_GB2312" w:eastAsia="仿宋_GB2312"/>
          <w:color w:val="000000"/>
          <w:sz w:val="32"/>
          <w:szCs w:val="32"/>
        </w:rPr>
        <w:t>全年安排因公出国（境）团组次，出国（境）人。因公出国（境）支出决算比2019年增加0万元。主要原因是无因公出国（境）经费支出。</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2.公务用车购置及运行维护费支出12</w:t>
      </w:r>
      <w:r>
        <w:rPr>
          <w:rFonts w:hint="eastAsia" w:ascii="仿宋_GB2312" w:eastAsia="仿宋_GB2312"/>
          <w:color w:val="000000"/>
          <w:sz w:val="32"/>
          <w:szCs w:val="32"/>
        </w:rPr>
        <w:t>万元,</w:t>
      </w:r>
      <w:r>
        <w:rPr>
          <w:rStyle w:val="17"/>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公务用车购置及运行维护费支出决算比2020年减少10万元，减少83.33%。主要原因是应急保障车辆维修费减少。</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公务用车运行维护费支出12</w:t>
      </w:r>
      <w:r>
        <w:rPr>
          <w:rFonts w:hint="eastAsia" w:ascii="仿宋_GB2312" w:eastAsia="仿宋_GB2312"/>
          <w:color w:val="000000"/>
          <w:sz w:val="32"/>
          <w:szCs w:val="32"/>
        </w:rPr>
        <w:t>万元。主要用于应急保障车辆所需的公务用车燃料费、维修费、过路过桥费、保险费等支出。</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3.公务接待费支出0</w:t>
      </w:r>
      <w:r>
        <w:rPr>
          <w:rFonts w:hint="eastAsia" w:ascii="仿宋_GB2312" w:eastAsia="仿宋_GB2312"/>
          <w:color w:val="000000"/>
          <w:sz w:val="32"/>
          <w:szCs w:val="32"/>
        </w:rPr>
        <w:t>万元，</w:t>
      </w:r>
      <w:r>
        <w:rPr>
          <w:rStyle w:val="17"/>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公务接待费支出决算比2020年增加0万元。主要原因是无公务接待费支出。</w:t>
      </w:r>
      <w:bookmarkStart w:id="47" w:name="_Toc15377218"/>
      <w:bookmarkStart w:id="48" w:name="_Toc15396610"/>
    </w:p>
    <w:p>
      <w:pPr>
        <w:spacing w:line="600" w:lineRule="exact"/>
        <w:ind w:firstLine="640"/>
        <w:outlineLvl w:val="1"/>
        <w:rPr>
          <w:rStyle w:val="29"/>
          <w:rFonts w:ascii="黑体" w:hAnsi="黑体" w:eastAsia="黑体" w:cs="Times New Roman"/>
        </w:rPr>
      </w:pPr>
    </w:p>
    <w:p>
      <w:pPr>
        <w:spacing w:line="600" w:lineRule="exact"/>
        <w:ind w:firstLine="640"/>
        <w:outlineLvl w:val="1"/>
        <w:rPr>
          <w:rStyle w:val="29"/>
          <w:rFonts w:ascii="黑体" w:hAnsi="黑体" w:eastAsia="黑体" w:cs="Times New Roman"/>
          <w:b w:val="0"/>
        </w:rPr>
      </w:pPr>
      <w:r>
        <w:rPr>
          <w:rStyle w:val="29"/>
          <w:rFonts w:hint="eastAsia" w:ascii="黑体" w:hAnsi="黑体" w:eastAsia="黑体" w:cs="Times New Roman"/>
        </w:rPr>
        <w:t>八、</w:t>
      </w:r>
      <w:r>
        <w:rPr>
          <w:rStyle w:val="29"/>
          <w:rFonts w:hint="eastAsia" w:ascii="黑体" w:hAnsi="黑体" w:eastAsia="黑体" w:cs="Times New Roman"/>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2021年政府性基金预算拨款支出1430.28万元。</w:t>
      </w:r>
    </w:p>
    <w:p>
      <w:pPr>
        <w:spacing w:line="600" w:lineRule="exact"/>
        <w:ind w:firstLine="640"/>
        <w:outlineLvl w:val="1"/>
        <w:rPr>
          <w:rStyle w:val="29"/>
          <w:rFonts w:ascii="黑体" w:hAnsi="黑体" w:eastAsia="黑体" w:cs="Times New Roman"/>
        </w:rPr>
      </w:pPr>
      <w:bookmarkStart w:id="49" w:name="_Toc15377219"/>
      <w:bookmarkStart w:id="50" w:name="_Toc15396611"/>
    </w:p>
    <w:p>
      <w:pPr>
        <w:spacing w:line="600" w:lineRule="exact"/>
        <w:ind w:firstLine="640"/>
        <w:outlineLvl w:val="1"/>
        <w:rPr>
          <w:rStyle w:val="29"/>
          <w:rFonts w:ascii="黑体" w:hAnsi="黑体" w:eastAsia="黑体" w:cs="Times New Roman"/>
        </w:rPr>
      </w:pPr>
      <w:r>
        <w:rPr>
          <w:rStyle w:val="29"/>
          <w:rFonts w:hint="eastAsia" w:ascii="黑体" w:hAnsi="黑体" w:eastAsia="黑体" w:cs="Times New Roman"/>
        </w:rPr>
        <w:t>九、国有资本经营预算支出决算情况说明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2021年国有资本经营预算拨款支出0万元。</w:t>
      </w:r>
    </w:p>
    <w:p>
      <w:pPr>
        <w:spacing w:line="600" w:lineRule="exact"/>
        <w:ind w:firstLine="640"/>
        <w:outlineLvl w:val="1"/>
        <w:rPr>
          <w:rStyle w:val="29"/>
          <w:rFonts w:ascii="黑体" w:hAnsi="黑体" w:eastAsia="黑体" w:cs="Times New Roman"/>
        </w:rPr>
      </w:pPr>
    </w:p>
    <w:p>
      <w:pPr>
        <w:spacing w:line="600" w:lineRule="exact"/>
        <w:ind w:firstLine="803" w:firstLineChars="250"/>
        <w:outlineLvl w:val="1"/>
        <w:rPr>
          <w:rStyle w:val="29"/>
          <w:rFonts w:ascii="黑体" w:hAnsi="黑体" w:eastAsia="黑体" w:cs="Times New Roman"/>
          <w:bCs w:val="0"/>
        </w:rPr>
      </w:pPr>
      <w:bookmarkStart w:id="51" w:name="_Toc15377221"/>
      <w:bookmarkStart w:id="52" w:name="_Toc15396612"/>
      <w:r>
        <w:rPr>
          <w:rStyle w:val="29"/>
          <w:rFonts w:hint="eastAsia" w:ascii="黑体" w:hAnsi="黑体" w:eastAsia="黑体" w:cs="Times New Roman"/>
        </w:rPr>
        <w:t>十</w:t>
      </w:r>
      <w:r>
        <w:rPr>
          <w:rStyle w:val="29"/>
          <w:rFonts w:hint="eastAsia" w:ascii="黑体" w:hAnsi="黑体" w:eastAsia="黑体" w:cs="Times New Roman"/>
          <w:bCs w:val="0"/>
        </w:rPr>
        <w:t>、其他重要事项的情况说明</w:t>
      </w:r>
      <w:bookmarkEnd w:id="51"/>
      <w:bookmarkEnd w:id="52"/>
    </w:p>
    <w:p>
      <w:pPr>
        <w:spacing w:line="600" w:lineRule="exact"/>
        <w:ind w:firstLine="642" w:firstLineChars="200"/>
        <w:outlineLvl w:val="2"/>
        <w:rPr>
          <w:rFonts w:ascii="仿宋" w:hAnsi="仿宋" w:eastAsia="仿宋"/>
          <w:b/>
          <w:color w:val="000000"/>
          <w:sz w:val="32"/>
          <w:szCs w:val="32"/>
        </w:rPr>
      </w:pPr>
      <w:bookmarkStart w:id="53" w:name="_Toc15377222"/>
      <w:r>
        <w:rPr>
          <w:rFonts w:hint="eastAsia" w:ascii="仿宋" w:hAnsi="仿宋" w:eastAsia="仿宋"/>
          <w:b/>
          <w:color w:val="000000"/>
          <w:sz w:val="32"/>
          <w:szCs w:val="32"/>
        </w:rPr>
        <w:t>（一）机关运行经费支出情况</w:t>
      </w:r>
      <w:bookmarkEnd w:id="53"/>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2021年，机关运行经费支出9.18万元，比2020年减少6.58万元，下降7.17%。主要原因是减少</w:t>
      </w:r>
      <w:r>
        <w:rPr>
          <w:rFonts w:hint="eastAsia" w:ascii="仿宋_GB2312" w:eastAsia="仿宋_GB2312"/>
          <w:color w:val="000000" w:themeColor="text1"/>
          <w:sz w:val="32"/>
          <w:szCs w:val="32"/>
          <w14:textFill>
            <w14:solidFill>
              <w14:schemeClr w14:val="tx1"/>
            </w14:solidFill>
          </w14:textFill>
        </w:rPr>
        <w:t>单位日常管理经费。</w:t>
      </w:r>
    </w:p>
    <w:p>
      <w:pPr>
        <w:spacing w:line="600" w:lineRule="exact"/>
        <w:ind w:firstLine="642" w:firstLineChars="200"/>
        <w:outlineLvl w:val="2"/>
        <w:rPr>
          <w:rFonts w:ascii="仿宋" w:hAnsi="仿宋" w:eastAsia="仿宋"/>
          <w:b/>
          <w:color w:val="000000"/>
          <w:sz w:val="32"/>
          <w:szCs w:val="32"/>
        </w:rPr>
      </w:pPr>
      <w:bookmarkStart w:id="54" w:name="_Toc15377223"/>
      <w:r>
        <w:rPr>
          <w:rFonts w:hint="eastAsia" w:ascii="仿宋" w:hAnsi="仿宋" w:eastAsia="仿宋"/>
          <w:b/>
          <w:color w:val="000000"/>
          <w:sz w:val="32"/>
          <w:szCs w:val="32"/>
        </w:rPr>
        <w:t>（二）政府采购支出情况</w:t>
      </w:r>
      <w:bookmarkEnd w:id="54"/>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2021年，政府采购支出总额0万元，其中：政府采购货物支出0万元、政府采购工程支出0万元、政府采购服务支出0万元。授予中小企业合同金额0万元，其中：授予小微企业合同金额0万元。</w:t>
      </w:r>
    </w:p>
    <w:p>
      <w:pPr>
        <w:spacing w:line="600" w:lineRule="exact"/>
        <w:ind w:firstLine="642" w:firstLineChars="200"/>
        <w:outlineLvl w:val="2"/>
        <w:rPr>
          <w:rFonts w:ascii="仿宋" w:hAnsi="仿宋" w:eastAsia="仿宋"/>
          <w:b/>
          <w:color w:val="000000"/>
          <w:sz w:val="32"/>
          <w:szCs w:val="32"/>
        </w:rPr>
      </w:pPr>
      <w:bookmarkStart w:id="55" w:name="_Toc15377224"/>
      <w:r>
        <w:rPr>
          <w:rFonts w:hint="eastAsia" w:ascii="仿宋" w:hAnsi="仿宋" w:eastAsia="仿宋"/>
          <w:b/>
          <w:color w:val="000000"/>
          <w:sz w:val="32"/>
          <w:szCs w:val="32"/>
        </w:rPr>
        <w:t>（三）国有资产占有使用情况</w:t>
      </w:r>
      <w:bookmarkEnd w:id="55"/>
    </w:p>
    <w:p>
      <w:pPr>
        <w:autoSpaceDE w:val="0"/>
        <w:autoSpaceDN w:val="0"/>
        <w:adjustRightInd w:val="0"/>
        <w:spacing w:line="600" w:lineRule="exact"/>
        <w:ind w:firstLine="640" w:firstLineChars="200"/>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日，茂县自然资源局共有车辆4辆，其中：主要领导干部用车0辆、机要通信用车0辆、应急保障用车4辆、其他用车0辆。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spacing w:line="600" w:lineRule="exact"/>
        <w:ind w:left="643"/>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本单位在2021年初预算编制无项目预算事前绩效评估。对16个项目编制了绩效目标，预算执行过程中，选取16个项目开展绩效监控，年终执行完毕后，对16个项目开展了绩效目标完成情况自评。</w:t>
      </w:r>
    </w:p>
    <w:p>
      <w:pPr>
        <w:snapToGrid w:val="0"/>
        <w:spacing w:line="520" w:lineRule="exact"/>
        <w:ind w:firstLine="640" w:firstLineChars="200"/>
        <w:rPr>
          <w:rFonts w:ascii="仿宋_GB2312" w:hAnsi="仿宋" w:eastAsia="仿宋_GB2312"/>
          <w:sz w:val="32"/>
          <w:szCs w:val="32"/>
        </w:rPr>
      </w:pPr>
      <w:r>
        <w:rPr>
          <w:rFonts w:hint="eastAsia" w:ascii="仿宋_GB2312" w:hAnsi="仿宋_GB2312" w:eastAsia="仿宋_GB2312" w:cs="仿宋_GB2312"/>
          <w:sz w:val="32"/>
          <w:szCs w:val="32"/>
        </w:rPr>
        <w:t>本单位按要求对2021年部门整体支出开展绩效自评，从评价情况来看</w:t>
      </w:r>
      <w:r>
        <w:rPr>
          <w:rFonts w:hint="eastAsia" w:ascii="仿宋_GB2312" w:hAnsi="仿宋" w:eastAsia="仿宋_GB2312"/>
          <w:sz w:val="32"/>
          <w:szCs w:val="32"/>
        </w:rPr>
        <w:t>我局</w:t>
      </w:r>
      <w:r>
        <w:rPr>
          <w:rFonts w:hint="eastAsia" w:ascii="仿宋_GB2312" w:hAnsi="仿宋" w:eastAsia="仿宋_GB2312"/>
          <w:sz w:val="32"/>
          <w:szCs w:val="32"/>
          <w:lang w:val="zh-CN"/>
        </w:rPr>
        <w:t>认真履行部门职能职责，全面保障了机关日常正常运转，圆满完成</w:t>
      </w:r>
      <w:r>
        <w:rPr>
          <w:rFonts w:hint="eastAsia" w:ascii="仿宋_GB2312" w:hAnsi="仿宋" w:eastAsia="仿宋_GB2312"/>
          <w:sz w:val="32"/>
          <w:szCs w:val="32"/>
        </w:rPr>
        <w:t>县</w:t>
      </w:r>
      <w:r>
        <w:rPr>
          <w:rFonts w:hint="eastAsia" w:ascii="仿宋_GB2312" w:hAnsi="仿宋" w:eastAsia="仿宋_GB2312"/>
          <w:sz w:val="32"/>
          <w:szCs w:val="32"/>
          <w:lang w:val="zh-CN"/>
        </w:rPr>
        <w:t>政府、</w:t>
      </w:r>
      <w:r>
        <w:rPr>
          <w:rFonts w:hint="eastAsia" w:ascii="仿宋_GB2312" w:hAnsi="仿宋" w:eastAsia="仿宋_GB2312"/>
          <w:sz w:val="32"/>
          <w:szCs w:val="32"/>
        </w:rPr>
        <w:t>县财政</w:t>
      </w:r>
      <w:r>
        <w:rPr>
          <w:rFonts w:hint="eastAsia" w:ascii="仿宋_GB2312" w:hAnsi="仿宋" w:eastAsia="仿宋_GB2312"/>
          <w:sz w:val="32"/>
          <w:szCs w:val="32"/>
          <w:lang w:val="zh-CN"/>
        </w:rPr>
        <w:t>下达的各项目标任务。</w:t>
      </w:r>
    </w:p>
    <w:p>
      <w:pPr>
        <w:pStyle w:val="20"/>
      </w:pP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 xml:space="preserve">1.项目绩效目标完成情况 </w:t>
      </w:r>
      <w:r>
        <w:rPr>
          <w:rFonts w:hint="eastAsia" w:ascii="仿宋_GB2312" w:hAnsi="仿宋_GB2312" w:eastAsia="仿宋_GB2312" w:cs="仿宋_GB2312"/>
          <w:sz w:val="32"/>
          <w:szCs w:val="32"/>
        </w:rPr>
        <w:t xml:space="preserve"> </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本部门在2021年度部门决算中反映“2020年国土变更调查”、“叠溪镇国土空间规划项目”、“阿坝职业学院东校区南侧滑坡理工程”“刁林沟排导槽泥石流治理工程”等16个项目绩效目标实际完成情况。</w:t>
      </w:r>
    </w:p>
    <w:tbl>
      <w:tblPr>
        <w:tblStyle w:val="15"/>
        <w:tblpPr w:leftFromText="180" w:rightFromText="180" w:vertAnchor="text" w:horzAnchor="margin" w:tblpY="233"/>
        <w:tblOverlap w:val="never"/>
        <w:tblW w:w="5173" w:type="pct"/>
        <w:tblInd w:w="0" w:type="dxa"/>
        <w:tblLayout w:type="autofit"/>
        <w:tblCellMar>
          <w:top w:w="0" w:type="dxa"/>
          <w:left w:w="108" w:type="dxa"/>
          <w:bottom w:w="0" w:type="dxa"/>
          <w:right w:w="108" w:type="dxa"/>
        </w:tblCellMar>
      </w:tblPr>
      <w:tblGrid>
        <w:gridCol w:w="1971"/>
        <w:gridCol w:w="875"/>
        <w:gridCol w:w="1458"/>
        <w:gridCol w:w="1561"/>
        <w:gridCol w:w="1305"/>
        <w:gridCol w:w="1425"/>
        <w:gridCol w:w="222"/>
      </w:tblGrid>
      <w:tr>
        <w:tblPrEx>
          <w:tblCellMar>
            <w:top w:w="0" w:type="dxa"/>
            <w:left w:w="108" w:type="dxa"/>
            <w:bottom w:w="0" w:type="dxa"/>
            <w:right w:w="108" w:type="dxa"/>
          </w:tblCellMar>
        </w:tblPrEx>
        <w:trPr>
          <w:trHeight w:val="675" w:hRule="atLeast"/>
        </w:trPr>
        <w:tc>
          <w:tcPr>
            <w:tcW w:w="4874" w:type="pct"/>
            <w:gridSpan w:val="6"/>
            <w:tcBorders>
              <w:top w:val="nil"/>
              <w:left w:val="nil"/>
              <w:bottom w:val="nil"/>
              <w:right w:val="nil"/>
            </w:tcBorders>
            <w:shd w:val="clear" w:color="auto" w:fill="auto"/>
            <w:vAlign w:val="center"/>
          </w:tcPr>
          <w:p>
            <w:pPr>
              <w:widowControl/>
              <w:jc w:val="center"/>
              <w:textAlignment w:val="center"/>
              <w:rPr>
                <w:rFonts w:ascii="宋体" w:hAnsi="宋体" w:cs="宋体"/>
                <w:b/>
                <w:color w:val="000000"/>
                <w:szCs w:val="32"/>
              </w:rPr>
            </w:pPr>
            <w:r>
              <w:rPr>
                <w:rFonts w:hint="eastAsia" w:ascii="宋体" w:hAnsi="宋体" w:cs="宋体"/>
                <w:b/>
                <w:color w:val="000000"/>
                <w:szCs w:val="32"/>
              </w:rPr>
              <w:t>2021年50万元以上（含）特定目标类部门预算项目绩效目标自评</w:t>
            </w:r>
          </w:p>
        </w:tc>
        <w:tc>
          <w:tcPr>
            <w:tcW w:w="126" w:type="pct"/>
            <w:tcBorders>
              <w:top w:val="nil"/>
              <w:left w:val="nil"/>
              <w:bottom w:val="nil"/>
              <w:right w:val="nil"/>
            </w:tcBorders>
            <w:shd w:val="clear" w:color="auto" w:fill="auto"/>
            <w:vAlign w:val="center"/>
          </w:tcPr>
          <w:p>
            <w:pPr>
              <w:widowControl/>
              <w:jc w:val="center"/>
              <w:textAlignment w:val="center"/>
              <w:rPr>
                <w:rFonts w:ascii="宋体" w:hAnsi="宋体" w:cs="宋体"/>
                <w:b/>
                <w:color w:val="000000"/>
                <w:kern w:val="0"/>
                <w:szCs w:val="32"/>
                <w:lang w:bidi="ar"/>
              </w:rPr>
            </w:pPr>
          </w:p>
        </w:tc>
      </w:tr>
      <w:tr>
        <w:tblPrEx>
          <w:tblCellMar>
            <w:top w:w="0" w:type="dxa"/>
            <w:left w:w="108" w:type="dxa"/>
            <w:bottom w:w="0" w:type="dxa"/>
            <w:right w:w="108" w:type="dxa"/>
          </w:tblCellMar>
        </w:tblPrEx>
        <w:trPr>
          <w:gridAfter w:val="1"/>
          <w:wAfter w:w="126" w:type="pct"/>
          <w:trHeight w:val="254" w:hRule="atLeast"/>
        </w:trPr>
        <w:tc>
          <w:tcPr>
            <w:tcW w:w="16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主管部门及代码</w:t>
            </w:r>
          </w:p>
        </w:tc>
        <w:tc>
          <w:tcPr>
            <w:tcW w:w="17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茂县自然资源局</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实施单位</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茂县自然资源局</w:t>
            </w:r>
          </w:p>
        </w:tc>
      </w:tr>
      <w:tr>
        <w:tblPrEx>
          <w:tblCellMar>
            <w:top w:w="0" w:type="dxa"/>
            <w:left w:w="108" w:type="dxa"/>
            <w:bottom w:w="0" w:type="dxa"/>
            <w:right w:w="108" w:type="dxa"/>
          </w:tblCellMar>
        </w:tblPrEx>
        <w:trPr>
          <w:gridAfter w:val="1"/>
          <w:wAfter w:w="126" w:type="pct"/>
          <w:trHeight w:val="341" w:hRule="atLeast"/>
        </w:trPr>
        <w:tc>
          <w:tcPr>
            <w:tcW w:w="161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项目预算</w:t>
            </w:r>
            <w:r>
              <w:rPr>
                <w:rFonts w:hint="eastAsia" w:ascii="仿宋_GB2312" w:hAnsi="仿宋_GB2312" w:cs="仿宋_GB2312"/>
                <w:color w:val="000000"/>
                <w:sz w:val="18"/>
                <w:szCs w:val="18"/>
              </w:rPr>
              <w:br w:type="textWrapping"/>
            </w:r>
            <w:r>
              <w:rPr>
                <w:rFonts w:hint="eastAsia" w:ascii="仿宋_GB2312" w:hAnsi="仿宋_GB2312" w:cs="仿宋_GB2312"/>
                <w:color w:val="000000"/>
                <w:sz w:val="18"/>
                <w:szCs w:val="18"/>
              </w:rPr>
              <w:t>执行情况</w:t>
            </w:r>
            <w:r>
              <w:rPr>
                <w:rFonts w:hint="eastAsia" w:ascii="仿宋_GB2312" w:hAnsi="仿宋_GB2312" w:cs="仿宋_GB2312"/>
                <w:color w:val="000000"/>
                <w:sz w:val="18"/>
                <w:szCs w:val="18"/>
              </w:rPr>
              <w:br w:type="textWrapping"/>
            </w:r>
            <w:r>
              <w:rPr>
                <w:rFonts w:hint="eastAsia" w:ascii="仿宋_GB2312" w:hAnsi="仿宋_GB2312" w:cs="仿宋_GB2312"/>
                <w:color w:val="000000"/>
                <w:sz w:val="18"/>
                <w:szCs w:val="18"/>
              </w:rPr>
              <w:t>（万元）</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预算数：</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72.76</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执行数：</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69</w:t>
            </w:r>
          </w:p>
        </w:tc>
      </w:tr>
      <w:tr>
        <w:tblPrEx>
          <w:tblCellMar>
            <w:top w:w="0" w:type="dxa"/>
            <w:left w:w="108" w:type="dxa"/>
            <w:bottom w:w="0" w:type="dxa"/>
            <w:right w:w="108" w:type="dxa"/>
          </w:tblCellMar>
        </w:tblPrEx>
        <w:trPr>
          <w:gridAfter w:val="1"/>
          <w:wAfter w:w="126" w:type="pct"/>
          <w:trHeight w:val="577" w:hRule="atLeast"/>
        </w:trPr>
        <w:tc>
          <w:tcPr>
            <w:tcW w:w="16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其中：</w:t>
            </w:r>
          </w:p>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财政拨款</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72.76</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其中：</w:t>
            </w:r>
          </w:p>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财政拨款</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69</w:t>
            </w:r>
          </w:p>
        </w:tc>
      </w:tr>
      <w:tr>
        <w:tblPrEx>
          <w:tblCellMar>
            <w:top w:w="0" w:type="dxa"/>
            <w:left w:w="108" w:type="dxa"/>
            <w:bottom w:w="0" w:type="dxa"/>
            <w:right w:w="108" w:type="dxa"/>
          </w:tblCellMar>
        </w:tblPrEx>
        <w:trPr>
          <w:gridAfter w:val="1"/>
          <w:wAfter w:w="126" w:type="pct"/>
          <w:trHeight w:val="341" w:hRule="atLeast"/>
        </w:trPr>
        <w:tc>
          <w:tcPr>
            <w:tcW w:w="16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其他资金</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其他资金</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0</w:t>
            </w:r>
          </w:p>
        </w:tc>
      </w:tr>
      <w:tr>
        <w:tblPrEx>
          <w:tblCellMar>
            <w:top w:w="0" w:type="dxa"/>
            <w:left w:w="108" w:type="dxa"/>
            <w:bottom w:w="0" w:type="dxa"/>
            <w:right w:w="108" w:type="dxa"/>
          </w:tblCellMar>
        </w:tblPrEx>
        <w:trPr>
          <w:gridAfter w:val="1"/>
          <w:wAfter w:w="126" w:type="pct"/>
          <w:trHeight w:val="217" w:hRule="atLeast"/>
        </w:trPr>
        <w:tc>
          <w:tcPr>
            <w:tcW w:w="11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年度总体目标</w:t>
            </w:r>
          </w:p>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完成情况</w:t>
            </w:r>
          </w:p>
        </w:tc>
        <w:tc>
          <w:tcPr>
            <w:tcW w:w="220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预期目标</w:t>
            </w:r>
          </w:p>
        </w:tc>
        <w:tc>
          <w:tcPr>
            <w:tcW w:w="1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目标实际完成情况</w:t>
            </w:r>
          </w:p>
        </w:tc>
      </w:tr>
      <w:tr>
        <w:tblPrEx>
          <w:tblCellMar>
            <w:top w:w="0" w:type="dxa"/>
            <w:left w:w="108" w:type="dxa"/>
            <w:bottom w:w="0" w:type="dxa"/>
            <w:right w:w="108" w:type="dxa"/>
          </w:tblCellMar>
        </w:tblPrEx>
        <w:trPr>
          <w:gridAfter w:val="1"/>
          <w:wAfter w:w="126" w:type="pct"/>
          <w:trHeight w:val="848" w:hRule="atLeast"/>
        </w:trPr>
        <w:tc>
          <w:tcPr>
            <w:tcW w:w="11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220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按期完成2020年国土变更调查</w:t>
            </w:r>
          </w:p>
        </w:tc>
        <w:tc>
          <w:tcPr>
            <w:tcW w:w="15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已按期完成2020年国土变更调查</w:t>
            </w:r>
          </w:p>
        </w:tc>
      </w:tr>
      <w:tr>
        <w:tblPrEx>
          <w:tblCellMar>
            <w:top w:w="0" w:type="dxa"/>
            <w:left w:w="108" w:type="dxa"/>
            <w:bottom w:w="0" w:type="dxa"/>
            <w:right w:w="108" w:type="dxa"/>
          </w:tblCellMar>
        </w:tblPrEx>
        <w:trPr>
          <w:gridAfter w:val="1"/>
          <w:wAfter w:w="126" w:type="pct"/>
          <w:trHeight w:val="738" w:hRule="atLeast"/>
        </w:trPr>
        <w:tc>
          <w:tcPr>
            <w:tcW w:w="1118" w:type="pct"/>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sz w:val="18"/>
                <w:szCs w:val="18"/>
              </w:rPr>
              <w:t>年度绩效指标完成情况</w:t>
            </w:r>
          </w:p>
        </w:tc>
        <w:tc>
          <w:tcPr>
            <w:tcW w:w="496" w:type="pct"/>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一级</w:t>
            </w:r>
          </w:p>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二级</w:t>
            </w:r>
          </w:p>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三级</w:t>
            </w:r>
          </w:p>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预期指标值</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实际完成指标值</w:t>
            </w:r>
          </w:p>
        </w:tc>
      </w:tr>
      <w:tr>
        <w:tblPrEx>
          <w:tblCellMar>
            <w:top w:w="0" w:type="dxa"/>
            <w:left w:w="108" w:type="dxa"/>
            <w:bottom w:w="0" w:type="dxa"/>
            <w:right w:w="108" w:type="dxa"/>
          </w:tblCellMar>
        </w:tblPrEx>
        <w:trPr>
          <w:gridAfter w:val="1"/>
          <w:wAfter w:w="126" w:type="pct"/>
          <w:trHeight w:val="480" w:hRule="atLeast"/>
        </w:trPr>
        <w:tc>
          <w:tcPr>
            <w:tcW w:w="1118"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w:t>
            </w:r>
          </w:p>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数量指标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完成2020年度国土变更调查</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983个图斑开展全面完善和补充举证</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983个图斑开展全面完善和补充举证</w:t>
            </w:r>
          </w:p>
        </w:tc>
      </w:tr>
      <w:tr>
        <w:tblPrEx>
          <w:tblCellMar>
            <w:top w:w="0" w:type="dxa"/>
            <w:left w:w="108" w:type="dxa"/>
            <w:bottom w:w="0" w:type="dxa"/>
            <w:right w:w="108" w:type="dxa"/>
          </w:tblCellMar>
        </w:tblPrEx>
        <w:trPr>
          <w:gridAfter w:val="1"/>
          <w:wAfter w:w="126" w:type="pct"/>
          <w:trHeight w:val="480" w:hRule="atLeast"/>
        </w:trPr>
        <w:tc>
          <w:tcPr>
            <w:tcW w:w="1118"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质量指标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合格率100%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合格率100%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合格率100%</w:t>
            </w:r>
          </w:p>
        </w:tc>
      </w:tr>
      <w:tr>
        <w:tblPrEx>
          <w:tblCellMar>
            <w:top w:w="0" w:type="dxa"/>
            <w:left w:w="108" w:type="dxa"/>
            <w:bottom w:w="0" w:type="dxa"/>
            <w:right w:w="108" w:type="dxa"/>
          </w:tblCellMar>
        </w:tblPrEx>
        <w:trPr>
          <w:gridAfter w:val="1"/>
          <w:wAfter w:w="126" w:type="pct"/>
          <w:trHeight w:val="480" w:hRule="atLeast"/>
        </w:trPr>
        <w:tc>
          <w:tcPr>
            <w:tcW w:w="1118"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时效指标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2021年底</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2021年底</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2021年底</w:t>
            </w:r>
          </w:p>
        </w:tc>
      </w:tr>
      <w:tr>
        <w:tblPrEx>
          <w:tblCellMar>
            <w:top w:w="0" w:type="dxa"/>
            <w:left w:w="108" w:type="dxa"/>
            <w:bottom w:w="0" w:type="dxa"/>
            <w:right w:w="108" w:type="dxa"/>
          </w:tblCellMar>
        </w:tblPrEx>
        <w:trPr>
          <w:gridAfter w:val="1"/>
          <w:wAfter w:w="126" w:type="pct"/>
          <w:trHeight w:val="480" w:hRule="atLeast"/>
        </w:trPr>
        <w:tc>
          <w:tcPr>
            <w:tcW w:w="1118"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成本指标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项目总投资不超过72.76</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项目总投资不超过72.76万</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项目总投资69万</w:t>
            </w:r>
          </w:p>
        </w:tc>
      </w:tr>
      <w:tr>
        <w:tblPrEx>
          <w:tblCellMar>
            <w:top w:w="0" w:type="dxa"/>
            <w:left w:w="108" w:type="dxa"/>
            <w:bottom w:w="0" w:type="dxa"/>
            <w:right w:w="108" w:type="dxa"/>
          </w:tblCellMar>
        </w:tblPrEx>
        <w:trPr>
          <w:gridAfter w:val="1"/>
          <w:wAfter w:w="126" w:type="pct"/>
          <w:trHeight w:val="480" w:hRule="atLeast"/>
        </w:trPr>
        <w:tc>
          <w:tcPr>
            <w:tcW w:w="1118"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效益</w:t>
            </w:r>
            <w:r>
              <w:rPr>
                <w:rFonts w:hint="eastAsia" w:ascii="仿宋_GB2312" w:hAnsi="仿宋_GB2312" w:cs="仿宋_GB2312"/>
                <w:color w:val="000000"/>
                <w:sz w:val="18"/>
                <w:szCs w:val="18"/>
              </w:rPr>
              <w:br w:type="textWrapping"/>
            </w:r>
            <w:r>
              <w:rPr>
                <w:rFonts w:hint="eastAsia" w:ascii="仿宋_GB2312" w:hAnsi="仿宋_GB2312" w:cs="仿宋_GB2312"/>
                <w:color w:val="000000"/>
                <w:sz w:val="18"/>
                <w:szCs w:val="18"/>
              </w:rPr>
              <w:t>指标</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经济效益指标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监督经济发展</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监督经济发展</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监督经济发展</w:t>
            </w:r>
          </w:p>
        </w:tc>
      </w:tr>
      <w:tr>
        <w:tblPrEx>
          <w:tblCellMar>
            <w:top w:w="0" w:type="dxa"/>
            <w:left w:w="108" w:type="dxa"/>
            <w:bottom w:w="0" w:type="dxa"/>
            <w:right w:w="108" w:type="dxa"/>
          </w:tblCellMar>
        </w:tblPrEx>
        <w:trPr>
          <w:gridAfter w:val="1"/>
          <w:wAfter w:w="126" w:type="pct"/>
          <w:trHeight w:val="672" w:hRule="atLeast"/>
        </w:trPr>
        <w:tc>
          <w:tcPr>
            <w:tcW w:w="1118"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社会效益  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完成2020年国土变更调查，服务社会。</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完成2020年国土变更调查，服务社会。</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完成2020年国土变更调查，服务社会。</w:t>
            </w:r>
          </w:p>
        </w:tc>
      </w:tr>
      <w:tr>
        <w:tblPrEx>
          <w:tblCellMar>
            <w:top w:w="0" w:type="dxa"/>
            <w:left w:w="108" w:type="dxa"/>
            <w:bottom w:w="0" w:type="dxa"/>
            <w:right w:w="108" w:type="dxa"/>
          </w:tblCellMar>
        </w:tblPrEx>
        <w:trPr>
          <w:gridAfter w:val="1"/>
          <w:wAfter w:w="126" w:type="pct"/>
          <w:trHeight w:val="577" w:hRule="atLeast"/>
        </w:trPr>
        <w:tc>
          <w:tcPr>
            <w:tcW w:w="1118"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生态效益指标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完成2020年国土变更调查，保护生态环境。</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完成2020年国土变更调查，保护生态环境</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完成2020年国土变更调查，保护生态环境</w:t>
            </w:r>
          </w:p>
        </w:tc>
      </w:tr>
      <w:tr>
        <w:tblPrEx>
          <w:tblCellMar>
            <w:top w:w="0" w:type="dxa"/>
            <w:left w:w="108" w:type="dxa"/>
            <w:bottom w:w="0" w:type="dxa"/>
            <w:right w:w="108" w:type="dxa"/>
          </w:tblCellMar>
        </w:tblPrEx>
        <w:trPr>
          <w:gridAfter w:val="1"/>
          <w:wAfter w:w="126" w:type="pct"/>
          <w:trHeight w:val="480" w:hRule="atLeast"/>
        </w:trPr>
        <w:tc>
          <w:tcPr>
            <w:tcW w:w="1118"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可持续影响指标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有效遏制环境恶化，积极推进人与自然和谐发展，能有效推进社会发展与经济进步。</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有效遏制环境恶化，积极推进人与自然和谐发展，能有效推进社会发展与经济进步。</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有效遏制环境恶化，积极推进人与自然和谐发展，能有效推进社会发展与经济进步。</w:t>
            </w:r>
          </w:p>
        </w:tc>
      </w:tr>
      <w:tr>
        <w:tblPrEx>
          <w:tblCellMar>
            <w:top w:w="0" w:type="dxa"/>
            <w:left w:w="108" w:type="dxa"/>
            <w:bottom w:w="0" w:type="dxa"/>
            <w:right w:w="108" w:type="dxa"/>
          </w:tblCellMar>
        </w:tblPrEx>
        <w:trPr>
          <w:gridAfter w:val="1"/>
          <w:wAfter w:w="126" w:type="pct"/>
          <w:trHeight w:val="480" w:hRule="atLeast"/>
        </w:trPr>
        <w:tc>
          <w:tcPr>
            <w:tcW w:w="1118" w:type="pct"/>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满意</w:t>
            </w:r>
            <w:r>
              <w:rPr>
                <w:rFonts w:hint="eastAsia" w:ascii="仿宋_GB2312" w:hAnsi="仿宋_GB2312" w:cs="仿宋_GB2312"/>
                <w:color w:val="000000"/>
                <w:sz w:val="18"/>
                <w:szCs w:val="18"/>
              </w:rPr>
              <w:br w:type="textWrapping"/>
            </w:r>
            <w:r>
              <w:rPr>
                <w:rFonts w:hint="eastAsia" w:ascii="仿宋_GB2312" w:hAnsi="仿宋_GB2312" w:cs="仿宋_GB2312"/>
                <w:color w:val="000000"/>
                <w:sz w:val="18"/>
                <w:szCs w:val="18"/>
              </w:rPr>
              <w:t>度指标</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满意度</w:t>
            </w:r>
          </w:p>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8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政府满意度</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≥95%</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18"/>
                <w:szCs w:val="18"/>
              </w:rPr>
            </w:pPr>
            <w:r>
              <w:rPr>
                <w:rFonts w:hint="eastAsia" w:ascii="仿宋_GB2312" w:hAnsi="仿宋_GB2312" w:cs="仿宋_GB2312"/>
                <w:color w:val="000000"/>
                <w:sz w:val="18"/>
                <w:szCs w:val="18"/>
              </w:rPr>
              <w:t>≥95%</w:t>
            </w:r>
          </w:p>
        </w:tc>
      </w:tr>
    </w:tbl>
    <w:tbl>
      <w:tblPr>
        <w:tblStyle w:val="15"/>
        <w:tblpPr w:leftFromText="180" w:rightFromText="180" w:vertAnchor="text" w:horzAnchor="margin" w:tblpY="5777"/>
        <w:tblOverlap w:val="never"/>
        <w:tblW w:w="5747" w:type="pct"/>
        <w:tblInd w:w="0" w:type="dxa"/>
        <w:tblLayout w:type="autofit"/>
        <w:tblCellMar>
          <w:top w:w="0" w:type="dxa"/>
          <w:left w:w="108" w:type="dxa"/>
          <w:bottom w:w="0" w:type="dxa"/>
          <w:right w:w="108" w:type="dxa"/>
        </w:tblCellMar>
      </w:tblPr>
      <w:tblGrid>
        <w:gridCol w:w="1984"/>
        <w:gridCol w:w="1144"/>
        <w:gridCol w:w="1640"/>
        <w:gridCol w:w="1436"/>
        <w:gridCol w:w="983"/>
        <w:gridCol w:w="290"/>
        <w:gridCol w:w="1136"/>
        <w:gridCol w:w="1182"/>
      </w:tblGrid>
      <w:tr>
        <w:tblPrEx>
          <w:tblCellMar>
            <w:top w:w="0" w:type="dxa"/>
            <w:left w:w="108" w:type="dxa"/>
            <w:bottom w:w="0" w:type="dxa"/>
            <w:right w:w="108" w:type="dxa"/>
          </w:tblCellMar>
        </w:tblPrEx>
        <w:trPr>
          <w:trHeight w:val="675" w:hRule="atLeast"/>
        </w:trPr>
        <w:tc>
          <w:tcPr>
            <w:tcW w:w="4397" w:type="pct"/>
            <w:gridSpan w:val="7"/>
            <w:tcBorders>
              <w:top w:val="nil"/>
              <w:left w:val="nil"/>
              <w:bottom w:val="nil"/>
              <w:right w:val="nil"/>
            </w:tcBorders>
            <w:shd w:val="clear" w:color="auto" w:fill="auto"/>
            <w:vAlign w:val="center"/>
          </w:tcPr>
          <w:p>
            <w:pPr>
              <w:widowControl/>
              <w:jc w:val="center"/>
              <w:textAlignment w:val="center"/>
              <w:rPr>
                <w:rFonts w:ascii="宋体" w:hAnsi="宋体" w:cs="宋体"/>
                <w:b/>
                <w:color w:val="000000"/>
                <w:szCs w:val="32"/>
              </w:rPr>
            </w:pPr>
            <w:r>
              <w:rPr>
                <w:rFonts w:hint="eastAsia" w:ascii="宋体" w:hAnsi="宋体" w:cs="宋体"/>
                <w:b/>
                <w:color w:val="000000"/>
                <w:szCs w:val="32"/>
              </w:rPr>
              <w:t>2021年50万元以上（含）特定目标类部门预算项目绩效目标自评</w:t>
            </w:r>
          </w:p>
        </w:tc>
        <w:tc>
          <w:tcPr>
            <w:tcW w:w="603" w:type="pct"/>
            <w:tcBorders>
              <w:top w:val="nil"/>
              <w:left w:val="nil"/>
              <w:bottom w:val="nil"/>
              <w:right w:val="nil"/>
            </w:tcBorders>
            <w:shd w:val="clear" w:color="auto" w:fill="auto"/>
            <w:vAlign w:val="center"/>
          </w:tcPr>
          <w:p>
            <w:pPr>
              <w:widowControl/>
              <w:jc w:val="center"/>
              <w:textAlignment w:val="center"/>
              <w:rPr>
                <w:rFonts w:ascii="宋体" w:hAnsi="宋体" w:cs="宋体"/>
                <w:b/>
                <w:color w:val="000000"/>
                <w:kern w:val="0"/>
                <w:szCs w:val="32"/>
              </w:rPr>
            </w:pPr>
          </w:p>
        </w:tc>
      </w:tr>
      <w:tr>
        <w:tblPrEx>
          <w:tblCellMar>
            <w:top w:w="0" w:type="dxa"/>
            <w:left w:w="108" w:type="dxa"/>
            <w:bottom w:w="0" w:type="dxa"/>
            <w:right w:w="108" w:type="dxa"/>
          </w:tblCellMar>
        </w:tblPrEx>
        <w:trPr>
          <w:gridAfter w:val="1"/>
          <w:wAfter w:w="603" w:type="pct"/>
          <w:trHeight w:val="446"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主管部门及代码</w:t>
            </w:r>
          </w:p>
        </w:tc>
        <w:tc>
          <w:tcPr>
            <w:tcW w:w="15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实施单位</w:t>
            </w:r>
          </w:p>
        </w:tc>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茂县自然资源局</w:t>
            </w:r>
          </w:p>
        </w:tc>
      </w:tr>
      <w:tr>
        <w:tblPrEx>
          <w:tblCellMar>
            <w:top w:w="0" w:type="dxa"/>
            <w:left w:w="108" w:type="dxa"/>
            <w:bottom w:w="0" w:type="dxa"/>
            <w:right w:w="108" w:type="dxa"/>
          </w:tblCellMar>
        </w:tblPrEx>
        <w:trPr>
          <w:gridAfter w:val="1"/>
          <w:wAfter w:w="603" w:type="pct"/>
          <w:trHeight w:val="341" w:hRule="atLeast"/>
        </w:trPr>
        <w:tc>
          <w:tcPr>
            <w:tcW w:w="159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项目预算</w:t>
            </w:r>
            <w:r>
              <w:rPr>
                <w:rFonts w:hint="eastAsia" w:ascii="仿宋_GB2312" w:hAnsi="仿宋_GB2312" w:cs="仿宋_GB2312"/>
                <w:color w:val="000000"/>
                <w:sz w:val="18"/>
                <w:szCs w:val="18"/>
              </w:rPr>
              <w:br w:type="textWrapping"/>
            </w:r>
            <w:r>
              <w:rPr>
                <w:rFonts w:hint="eastAsia" w:ascii="仿宋_GB2312" w:hAnsi="仿宋_GB2312" w:cs="仿宋_GB2312"/>
                <w:color w:val="000000"/>
                <w:sz w:val="18"/>
                <w:szCs w:val="18"/>
              </w:rPr>
              <w:t>执行情况</w:t>
            </w:r>
            <w:r>
              <w:rPr>
                <w:rFonts w:hint="eastAsia" w:ascii="仿宋_GB2312" w:hAnsi="仿宋_GB2312" w:cs="仿宋_GB2312"/>
                <w:color w:val="000000"/>
                <w:sz w:val="18"/>
                <w:szCs w:val="18"/>
              </w:rPr>
              <w:br w:type="textWrapping"/>
            </w:r>
            <w:r>
              <w:rPr>
                <w:rFonts w:hint="eastAsia" w:ascii="仿宋_GB2312" w:hAnsi="仿宋_GB2312" w:cs="仿宋_GB2312"/>
                <w:color w:val="000000"/>
                <w:sz w:val="18"/>
                <w:szCs w:val="18"/>
              </w:rPr>
              <w:t>（万元）</w:t>
            </w: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 xml:space="preserve"> 预算数：</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180</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 xml:space="preserve"> 执行数：</w:t>
            </w:r>
          </w:p>
        </w:tc>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105.54</w:t>
            </w:r>
          </w:p>
        </w:tc>
      </w:tr>
      <w:tr>
        <w:tblPrEx>
          <w:tblCellMar>
            <w:top w:w="0" w:type="dxa"/>
            <w:left w:w="108" w:type="dxa"/>
            <w:bottom w:w="0" w:type="dxa"/>
            <w:right w:w="108" w:type="dxa"/>
          </w:tblCellMar>
        </w:tblPrEx>
        <w:trPr>
          <w:gridAfter w:val="1"/>
          <w:wAfter w:w="603" w:type="pct"/>
          <w:trHeight w:val="446" w:hRule="atLeast"/>
        </w:trPr>
        <w:tc>
          <w:tcPr>
            <w:tcW w:w="159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其中：</w:t>
            </w:r>
          </w:p>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财政拨款</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180</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其中：</w:t>
            </w:r>
          </w:p>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财政拨款</w:t>
            </w:r>
          </w:p>
        </w:tc>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105.54</w:t>
            </w:r>
          </w:p>
        </w:tc>
      </w:tr>
      <w:tr>
        <w:tblPrEx>
          <w:tblCellMar>
            <w:top w:w="0" w:type="dxa"/>
            <w:left w:w="108" w:type="dxa"/>
            <w:bottom w:w="0" w:type="dxa"/>
            <w:right w:w="108" w:type="dxa"/>
          </w:tblCellMar>
        </w:tblPrEx>
        <w:trPr>
          <w:gridAfter w:val="1"/>
          <w:wAfter w:w="603" w:type="pct"/>
          <w:trHeight w:val="341" w:hRule="atLeast"/>
        </w:trPr>
        <w:tc>
          <w:tcPr>
            <w:tcW w:w="159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其他资金</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其他资金</w:t>
            </w:r>
          </w:p>
        </w:tc>
        <w:tc>
          <w:tcPr>
            <w:tcW w:w="7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r>
      <w:tr>
        <w:tblPrEx>
          <w:tblCellMar>
            <w:top w:w="0" w:type="dxa"/>
            <w:left w:w="108" w:type="dxa"/>
            <w:bottom w:w="0" w:type="dxa"/>
            <w:right w:w="108" w:type="dxa"/>
          </w:tblCellMar>
        </w:tblPrEx>
        <w:trPr>
          <w:gridAfter w:val="1"/>
          <w:wAfter w:w="603" w:type="pct"/>
          <w:trHeight w:val="217" w:hRule="atLeast"/>
        </w:trPr>
        <w:tc>
          <w:tcPr>
            <w:tcW w:w="10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年度总体目标</w:t>
            </w:r>
          </w:p>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完成情况</w:t>
            </w:r>
          </w:p>
        </w:tc>
        <w:tc>
          <w:tcPr>
            <w:tcW w:w="21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预期目标</w:t>
            </w:r>
          </w:p>
        </w:tc>
        <w:tc>
          <w:tcPr>
            <w:tcW w:w="122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目标实际完成情况</w:t>
            </w:r>
          </w:p>
        </w:tc>
      </w:tr>
      <w:tr>
        <w:tblPrEx>
          <w:tblCellMar>
            <w:top w:w="0" w:type="dxa"/>
            <w:left w:w="108" w:type="dxa"/>
            <w:bottom w:w="0" w:type="dxa"/>
            <w:right w:w="108" w:type="dxa"/>
          </w:tblCellMar>
        </w:tblPrEx>
        <w:trPr>
          <w:gridAfter w:val="1"/>
          <w:wAfter w:w="603" w:type="pct"/>
          <w:trHeight w:val="521" w:hRule="atLeast"/>
        </w:trPr>
        <w:tc>
          <w:tcPr>
            <w:tcW w:w="10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2154" w:type="pct"/>
            <w:gridSpan w:val="3"/>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按期完成叠溪镇国土空间规划项目</w:t>
            </w:r>
          </w:p>
        </w:tc>
        <w:tc>
          <w:tcPr>
            <w:tcW w:w="1229" w:type="pct"/>
            <w:gridSpan w:val="3"/>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已按期完成叠溪镇国土空间规划项目</w:t>
            </w:r>
          </w:p>
        </w:tc>
      </w:tr>
      <w:tr>
        <w:tblPrEx>
          <w:tblCellMar>
            <w:top w:w="0" w:type="dxa"/>
            <w:left w:w="108" w:type="dxa"/>
            <w:bottom w:w="0" w:type="dxa"/>
            <w:right w:w="108" w:type="dxa"/>
          </w:tblCellMar>
        </w:tblPrEx>
        <w:trPr>
          <w:gridAfter w:val="1"/>
          <w:wAfter w:w="603" w:type="pct"/>
          <w:trHeight w:val="738" w:hRule="atLeast"/>
        </w:trPr>
        <w:tc>
          <w:tcPr>
            <w:tcW w:w="1013" w:type="pct"/>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年度绩效指标完成情况</w:t>
            </w:r>
          </w:p>
        </w:tc>
        <w:tc>
          <w:tcPr>
            <w:tcW w:w="584" w:type="pct"/>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一级</w:t>
            </w:r>
          </w:p>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二级</w:t>
            </w:r>
          </w:p>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三级</w:t>
            </w:r>
          </w:p>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预期指标值</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实际完成指标值</w:t>
            </w:r>
          </w:p>
        </w:tc>
      </w:tr>
      <w:tr>
        <w:tblPrEx>
          <w:tblCellMar>
            <w:top w:w="0" w:type="dxa"/>
            <w:left w:w="108" w:type="dxa"/>
            <w:bottom w:w="0" w:type="dxa"/>
            <w:right w:w="108" w:type="dxa"/>
          </w:tblCellMar>
        </w:tblPrEx>
        <w:trPr>
          <w:gridAfter w:val="1"/>
          <w:wAfter w:w="603" w:type="pct"/>
          <w:trHeight w:val="1162" w:hRule="atLeast"/>
        </w:trPr>
        <w:tc>
          <w:tcPr>
            <w:tcW w:w="1013" w:type="pct"/>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w:t>
            </w:r>
          </w:p>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数量指标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完成叠溪镇国土空间规划项目</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完成叠溪镇国土空间规划成果</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完成叠溪镇国土空间规划成果</w:t>
            </w:r>
          </w:p>
        </w:tc>
      </w:tr>
      <w:tr>
        <w:tblPrEx>
          <w:tblCellMar>
            <w:top w:w="0" w:type="dxa"/>
            <w:left w:w="108" w:type="dxa"/>
            <w:bottom w:w="0" w:type="dxa"/>
            <w:right w:w="108" w:type="dxa"/>
          </w:tblCellMar>
        </w:tblPrEx>
        <w:trPr>
          <w:gridAfter w:val="1"/>
          <w:wAfter w:w="603" w:type="pct"/>
          <w:trHeight w:val="480" w:hRule="atLeast"/>
        </w:trPr>
        <w:tc>
          <w:tcPr>
            <w:tcW w:w="1013" w:type="pct"/>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质量指标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服务实施</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一套文本</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一套文本</w:t>
            </w:r>
          </w:p>
        </w:tc>
      </w:tr>
      <w:tr>
        <w:tblPrEx>
          <w:tblCellMar>
            <w:top w:w="0" w:type="dxa"/>
            <w:left w:w="108" w:type="dxa"/>
            <w:bottom w:w="0" w:type="dxa"/>
            <w:right w:w="108" w:type="dxa"/>
          </w:tblCellMar>
        </w:tblPrEx>
        <w:trPr>
          <w:gridAfter w:val="1"/>
          <w:wAfter w:w="603" w:type="pct"/>
          <w:trHeight w:val="480" w:hRule="atLeast"/>
        </w:trPr>
        <w:tc>
          <w:tcPr>
            <w:tcW w:w="1013" w:type="pct"/>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时效指标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完成年度</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2022年</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2022年</w:t>
            </w:r>
          </w:p>
        </w:tc>
      </w:tr>
      <w:tr>
        <w:tblPrEx>
          <w:tblCellMar>
            <w:top w:w="0" w:type="dxa"/>
            <w:left w:w="108" w:type="dxa"/>
            <w:bottom w:w="0" w:type="dxa"/>
            <w:right w:w="108" w:type="dxa"/>
          </w:tblCellMar>
        </w:tblPrEx>
        <w:trPr>
          <w:gridAfter w:val="1"/>
          <w:wAfter w:w="603" w:type="pct"/>
          <w:trHeight w:val="434" w:hRule="atLeast"/>
        </w:trPr>
        <w:tc>
          <w:tcPr>
            <w:tcW w:w="1013" w:type="pct"/>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成本指标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总投资不超过180</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总投资不超过180</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总投资175.9</w:t>
            </w:r>
          </w:p>
        </w:tc>
      </w:tr>
      <w:tr>
        <w:tblPrEx>
          <w:tblCellMar>
            <w:top w:w="0" w:type="dxa"/>
            <w:left w:w="108" w:type="dxa"/>
            <w:bottom w:w="0" w:type="dxa"/>
            <w:right w:w="108" w:type="dxa"/>
          </w:tblCellMar>
        </w:tblPrEx>
        <w:trPr>
          <w:gridAfter w:val="1"/>
          <w:wAfter w:w="603" w:type="pct"/>
          <w:trHeight w:val="343" w:hRule="atLeast"/>
        </w:trPr>
        <w:tc>
          <w:tcPr>
            <w:tcW w:w="1013" w:type="pct"/>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效益</w:t>
            </w:r>
            <w:r>
              <w:rPr>
                <w:rFonts w:hint="eastAsia" w:ascii="仿宋_GB2312" w:hAnsi="仿宋_GB2312" w:cs="仿宋_GB2312"/>
                <w:color w:val="000000"/>
                <w:sz w:val="18"/>
                <w:szCs w:val="18"/>
              </w:rPr>
              <w:br w:type="textWrapping"/>
            </w:r>
            <w:r>
              <w:rPr>
                <w:rFonts w:hint="eastAsia" w:ascii="仿宋_GB2312" w:hAnsi="仿宋_GB2312" w:cs="仿宋_GB2312"/>
                <w:color w:val="000000"/>
                <w:sz w:val="18"/>
                <w:szCs w:val="18"/>
              </w:rPr>
              <w:t>指标</w:t>
            </w: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经济效益  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监督经济发展</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监督经济发展</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监督经济发展</w:t>
            </w:r>
          </w:p>
        </w:tc>
      </w:tr>
      <w:tr>
        <w:tblPrEx>
          <w:tblCellMar>
            <w:top w:w="0" w:type="dxa"/>
            <w:left w:w="108" w:type="dxa"/>
            <w:bottom w:w="0" w:type="dxa"/>
            <w:right w:w="108" w:type="dxa"/>
          </w:tblCellMar>
        </w:tblPrEx>
        <w:trPr>
          <w:gridAfter w:val="1"/>
          <w:wAfter w:w="603" w:type="pct"/>
          <w:trHeight w:val="1283" w:hRule="atLeast"/>
        </w:trPr>
        <w:tc>
          <w:tcPr>
            <w:tcW w:w="1013" w:type="pct"/>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社会效益  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完成叠溪镇国土空间规划项目，服务社会</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完成叠溪镇国土空间规划项目，服务社会</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完成叠溪镇国土空间规划项目，服务社会</w:t>
            </w:r>
          </w:p>
        </w:tc>
      </w:tr>
      <w:tr>
        <w:tblPrEx>
          <w:tblCellMar>
            <w:top w:w="0" w:type="dxa"/>
            <w:left w:w="108" w:type="dxa"/>
            <w:bottom w:w="0" w:type="dxa"/>
            <w:right w:w="108" w:type="dxa"/>
          </w:tblCellMar>
        </w:tblPrEx>
        <w:trPr>
          <w:gridAfter w:val="1"/>
          <w:wAfter w:w="603" w:type="pct"/>
          <w:trHeight w:val="577" w:hRule="atLeast"/>
        </w:trPr>
        <w:tc>
          <w:tcPr>
            <w:tcW w:w="1013" w:type="pct"/>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生态效益  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完成叠溪镇国土空间规划项目，保护生态环境。</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完成叠溪镇国土空间规划项目，保护生态环境。</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完成叠溪镇国土空间规划项目，保护生态环境。</w:t>
            </w:r>
          </w:p>
        </w:tc>
      </w:tr>
      <w:tr>
        <w:tblPrEx>
          <w:tblCellMar>
            <w:top w:w="0" w:type="dxa"/>
            <w:left w:w="108" w:type="dxa"/>
            <w:bottom w:w="0" w:type="dxa"/>
            <w:right w:w="108" w:type="dxa"/>
          </w:tblCellMar>
        </w:tblPrEx>
        <w:trPr>
          <w:gridAfter w:val="1"/>
          <w:wAfter w:w="603" w:type="pct"/>
          <w:trHeight w:val="480" w:hRule="atLeast"/>
        </w:trPr>
        <w:tc>
          <w:tcPr>
            <w:tcW w:w="1013" w:type="pct"/>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可持续影响 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有效遏制环境恶化，积极推进人与自然和谐发展，能有效推进社会发展与经济进步。</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有效遏制环境恶化，积极推进人与自然和谐发展，能有效推进社会发展与经济进步。</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有效遏制环境恶化，积极推进人与自然和谐发展，能有效推进社会发展与经济进步。</w:t>
            </w:r>
          </w:p>
        </w:tc>
      </w:tr>
      <w:tr>
        <w:tblPrEx>
          <w:tblCellMar>
            <w:top w:w="0" w:type="dxa"/>
            <w:left w:w="108" w:type="dxa"/>
            <w:bottom w:w="0" w:type="dxa"/>
            <w:right w:w="108" w:type="dxa"/>
          </w:tblCellMar>
        </w:tblPrEx>
        <w:trPr>
          <w:gridAfter w:val="1"/>
          <w:wAfter w:w="603" w:type="pct"/>
          <w:trHeight w:val="480" w:hRule="atLeast"/>
        </w:trPr>
        <w:tc>
          <w:tcPr>
            <w:tcW w:w="1013" w:type="pct"/>
            <w:vMerge w:val="continue"/>
            <w:tcBorders>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仿宋_GB2312" w:hAnsi="仿宋_GB2312" w:cs="仿宋_GB2312"/>
                <w:color w:val="000000"/>
                <w:sz w:val="18"/>
                <w:szCs w:val="18"/>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满意</w:t>
            </w:r>
            <w:r>
              <w:rPr>
                <w:rFonts w:hint="eastAsia" w:ascii="仿宋_GB2312" w:hAnsi="仿宋_GB2312" w:cs="仿宋_GB2312"/>
                <w:color w:val="000000"/>
                <w:sz w:val="18"/>
                <w:szCs w:val="18"/>
              </w:rPr>
              <w:br w:type="textWrapping"/>
            </w:r>
            <w:r>
              <w:rPr>
                <w:rFonts w:hint="eastAsia" w:ascii="仿宋_GB2312" w:hAnsi="仿宋_GB2312" w:cs="仿宋_GB2312"/>
                <w:color w:val="000000"/>
                <w:sz w:val="18"/>
                <w:szCs w:val="18"/>
              </w:rPr>
              <w:t>度指标</w:t>
            </w:r>
          </w:p>
        </w:tc>
        <w:tc>
          <w:tcPr>
            <w:tcW w:w="837"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满意度</w:t>
            </w:r>
          </w:p>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指标</w:t>
            </w:r>
          </w:p>
        </w:tc>
        <w:tc>
          <w:tcPr>
            <w:tcW w:w="733"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政府满意度</w:t>
            </w:r>
          </w:p>
        </w:tc>
        <w:tc>
          <w:tcPr>
            <w:tcW w:w="650"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≥95</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left"/>
              <w:textAlignment w:val="center"/>
              <w:rPr>
                <w:rFonts w:ascii="仿宋_GB2312" w:hAnsi="仿宋_GB2312" w:cs="仿宋_GB2312"/>
                <w:color w:val="000000"/>
                <w:sz w:val="18"/>
                <w:szCs w:val="18"/>
              </w:rPr>
            </w:pPr>
            <w:r>
              <w:rPr>
                <w:rFonts w:hint="eastAsia" w:ascii="仿宋_GB2312" w:hAnsi="仿宋_GB2312" w:cs="仿宋_GB2312"/>
                <w:color w:val="000000"/>
                <w:sz w:val="18"/>
                <w:szCs w:val="18"/>
              </w:rPr>
              <w:t>≥95</w:t>
            </w:r>
          </w:p>
        </w:tc>
      </w:tr>
    </w:tbl>
    <w:tbl>
      <w:tblPr>
        <w:tblStyle w:val="15"/>
        <w:tblpPr w:leftFromText="180" w:rightFromText="180" w:vertAnchor="text" w:horzAnchor="margin" w:tblpXSpec="center" w:tblpY="6005"/>
        <w:tblOverlap w:val="never"/>
        <w:tblW w:w="5296" w:type="pct"/>
        <w:tblInd w:w="0" w:type="dxa"/>
        <w:tblLayout w:type="autofit"/>
        <w:tblCellMar>
          <w:top w:w="0" w:type="dxa"/>
          <w:left w:w="108" w:type="dxa"/>
          <w:bottom w:w="0" w:type="dxa"/>
          <w:right w:w="108" w:type="dxa"/>
        </w:tblCellMar>
      </w:tblPr>
      <w:tblGrid>
        <w:gridCol w:w="496"/>
        <w:gridCol w:w="821"/>
        <w:gridCol w:w="460"/>
        <w:gridCol w:w="704"/>
        <w:gridCol w:w="144"/>
        <w:gridCol w:w="141"/>
        <w:gridCol w:w="460"/>
        <w:gridCol w:w="780"/>
        <w:gridCol w:w="240"/>
        <w:gridCol w:w="442"/>
        <w:gridCol w:w="87"/>
        <w:gridCol w:w="193"/>
        <w:gridCol w:w="139"/>
        <w:gridCol w:w="1181"/>
        <w:gridCol w:w="87"/>
        <w:gridCol w:w="720"/>
        <w:gridCol w:w="139"/>
        <w:gridCol w:w="1557"/>
        <w:gridCol w:w="236"/>
      </w:tblGrid>
      <w:tr>
        <w:trPr>
          <w:trHeight w:val="675" w:hRule="atLeast"/>
        </w:trPr>
        <w:tc>
          <w:tcPr>
            <w:tcW w:w="4870" w:type="pct"/>
            <w:gridSpan w:val="18"/>
            <w:tcBorders>
              <w:top w:val="nil"/>
              <w:left w:val="nil"/>
              <w:bottom w:val="nil"/>
              <w:right w:val="nil"/>
            </w:tcBorders>
            <w:shd w:val="clear" w:color="auto" w:fill="auto"/>
            <w:vAlign w:val="center"/>
          </w:tcPr>
          <w:p>
            <w:pPr>
              <w:widowControl/>
              <w:jc w:val="center"/>
              <w:textAlignment w:val="center"/>
              <w:rPr>
                <w:rFonts w:ascii="宋体" w:hAnsi="宋体" w:cs="宋体"/>
                <w:b/>
                <w:color w:val="000000"/>
                <w:szCs w:val="32"/>
              </w:rPr>
            </w:pPr>
            <w:r>
              <w:rPr>
                <w:rFonts w:hint="eastAsia" w:ascii="宋体" w:hAnsi="宋体" w:cs="宋体"/>
                <w:b/>
                <w:color w:val="000000"/>
                <w:szCs w:val="32"/>
              </w:rPr>
              <w:t>2021年50万元以上（含）特定目标类部门预算项目绩效目标自评</w:t>
            </w:r>
          </w:p>
        </w:tc>
        <w:tc>
          <w:tcPr>
            <w:tcW w:w="130" w:type="pct"/>
            <w:tcBorders>
              <w:top w:val="nil"/>
              <w:left w:val="nil"/>
              <w:bottom w:val="nil"/>
              <w:right w:val="nil"/>
            </w:tcBorders>
            <w:shd w:val="clear" w:color="auto" w:fill="auto"/>
            <w:vAlign w:val="center"/>
          </w:tcPr>
          <w:p>
            <w:pPr>
              <w:widowControl/>
              <w:jc w:val="center"/>
              <w:textAlignment w:val="center"/>
              <w:rPr>
                <w:rFonts w:ascii="宋体" w:hAnsi="宋体" w:cs="宋体"/>
                <w:b/>
                <w:color w:val="000000"/>
                <w:szCs w:val="32"/>
              </w:rPr>
            </w:pPr>
          </w:p>
        </w:tc>
      </w:tr>
      <w:tr>
        <w:tblPrEx>
          <w:tblCellMar>
            <w:top w:w="0" w:type="dxa"/>
            <w:left w:w="108" w:type="dxa"/>
            <w:bottom w:w="0" w:type="dxa"/>
            <w:right w:w="108" w:type="dxa"/>
          </w:tblCellMar>
        </w:tblPrEx>
        <w:trPr>
          <w:gridAfter w:val="1"/>
          <w:wAfter w:w="130" w:type="pct"/>
          <w:trHeight w:val="254" w:hRule="atLeast"/>
        </w:trPr>
        <w:tc>
          <w:tcPr>
            <w:tcW w:w="14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主管部门及代码</w:t>
            </w:r>
          </w:p>
        </w:tc>
        <w:tc>
          <w:tcPr>
            <w:tcW w:w="1298"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rFonts w:ascii="宋体" w:hAnsi="宋体" w:cs="宋体"/>
                <w:color w:val="000000"/>
                <w:sz w:val="24"/>
              </w:rPr>
            </w:pP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实施单位</w:t>
            </w:r>
          </w:p>
        </w:tc>
        <w:tc>
          <w:tcPr>
            <w:tcW w:w="9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茂县自然资源局</w:t>
            </w:r>
          </w:p>
        </w:tc>
      </w:tr>
      <w:tr>
        <w:tblPrEx>
          <w:tblCellMar>
            <w:top w:w="0" w:type="dxa"/>
            <w:left w:w="108" w:type="dxa"/>
            <w:bottom w:w="0" w:type="dxa"/>
            <w:right w:w="108" w:type="dxa"/>
          </w:tblCellMar>
        </w:tblPrEx>
        <w:trPr>
          <w:gridAfter w:val="1"/>
          <w:wAfter w:w="130" w:type="pct"/>
          <w:trHeight w:val="341" w:hRule="atLeast"/>
        </w:trPr>
        <w:tc>
          <w:tcPr>
            <w:tcW w:w="1455"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项目预算</w:t>
            </w:r>
            <w:r>
              <w:rPr>
                <w:rFonts w:hint="eastAsia" w:ascii="宋体" w:hAnsi="宋体" w:cs="宋体"/>
                <w:color w:val="000000"/>
                <w:kern w:val="0"/>
                <w:sz w:val="24"/>
              </w:rPr>
              <w:br w:type="textWrapping"/>
            </w:r>
            <w:r>
              <w:rPr>
                <w:rFonts w:hint="eastAsia" w:ascii="宋体" w:hAnsi="宋体" w:cs="宋体"/>
                <w:color w:val="000000"/>
                <w:kern w:val="0"/>
                <w:sz w:val="24"/>
              </w:rPr>
              <w:t>执行情况</w:t>
            </w:r>
            <w:r>
              <w:rPr>
                <w:rFonts w:hint="eastAsia" w:ascii="宋体" w:hAnsi="宋体" w:cs="宋体"/>
                <w:color w:val="000000"/>
                <w:kern w:val="0"/>
                <w:sz w:val="24"/>
              </w:rPr>
              <w:br w:type="textWrapping"/>
            </w:r>
            <w:r>
              <w:rPr>
                <w:rFonts w:hint="eastAsia" w:ascii="宋体" w:hAnsi="宋体" w:cs="宋体"/>
                <w:color w:val="000000"/>
                <w:kern w:val="0"/>
                <w:sz w:val="24"/>
              </w:rPr>
              <w:t>（万元）</w:t>
            </w:r>
          </w:p>
        </w:tc>
        <w:tc>
          <w:tcPr>
            <w:tcW w:w="89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 xml:space="preserve"> 预算数：</w:t>
            </w:r>
          </w:p>
        </w:tc>
        <w:tc>
          <w:tcPr>
            <w:tcW w:w="4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sz w:val="24"/>
              </w:rPr>
              <w:t>240</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 xml:space="preserve"> 执行数：</w:t>
            </w:r>
          </w:p>
        </w:tc>
        <w:tc>
          <w:tcPr>
            <w:tcW w:w="9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right"/>
              <w:textAlignment w:val="center"/>
              <w:rPr>
                <w:rFonts w:ascii="宋体" w:hAnsi="宋体" w:cs="宋体"/>
                <w:color w:val="000000"/>
                <w:sz w:val="24"/>
              </w:rPr>
            </w:pPr>
            <w:r>
              <w:rPr>
                <w:rFonts w:hint="eastAsia" w:ascii="宋体" w:hAnsi="宋体" w:cs="宋体"/>
                <w:color w:val="000000"/>
                <w:sz w:val="24"/>
              </w:rPr>
              <w:t>240</w:t>
            </w:r>
          </w:p>
        </w:tc>
      </w:tr>
      <w:tr>
        <w:trPr>
          <w:gridAfter w:val="1"/>
          <w:wAfter w:w="130" w:type="pct"/>
          <w:trHeight w:val="577" w:hRule="atLeast"/>
        </w:trPr>
        <w:tc>
          <w:tcPr>
            <w:tcW w:w="1455"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color w:val="000000"/>
                <w:sz w:val="24"/>
              </w:rPr>
            </w:pPr>
          </w:p>
        </w:tc>
        <w:tc>
          <w:tcPr>
            <w:tcW w:w="89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kern w:val="0"/>
                <w:sz w:val="24"/>
              </w:rPr>
            </w:pPr>
            <w:r>
              <w:rPr>
                <w:rFonts w:hint="eastAsia" w:ascii="宋体" w:hAnsi="宋体" w:cs="宋体"/>
                <w:color w:val="000000"/>
                <w:kern w:val="0"/>
                <w:sz w:val="24"/>
              </w:rPr>
              <w:t>其中：</w:t>
            </w:r>
          </w:p>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财政拨款</w:t>
            </w:r>
          </w:p>
        </w:tc>
        <w:tc>
          <w:tcPr>
            <w:tcW w:w="4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sz w:val="24"/>
              </w:rPr>
              <w:t>240</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kern w:val="0"/>
                <w:sz w:val="24"/>
              </w:rPr>
            </w:pPr>
            <w:r>
              <w:rPr>
                <w:rFonts w:hint="eastAsia" w:ascii="宋体" w:hAnsi="宋体" w:cs="宋体"/>
                <w:color w:val="000000"/>
                <w:kern w:val="0"/>
                <w:sz w:val="24"/>
              </w:rPr>
              <w:t>其中：</w:t>
            </w:r>
          </w:p>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财政拨款</w:t>
            </w:r>
          </w:p>
        </w:tc>
        <w:tc>
          <w:tcPr>
            <w:tcW w:w="9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rFonts w:ascii="宋体" w:hAnsi="宋体" w:cs="宋体"/>
                <w:color w:val="000000"/>
                <w:sz w:val="24"/>
              </w:rPr>
            </w:pPr>
            <w:r>
              <w:rPr>
                <w:rFonts w:hint="eastAsia" w:ascii="宋体" w:hAnsi="宋体" w:cs="宋体"/>
                <w:color w:val="000000"/>
                <w:sz w:val="24"/>
              </w:rPr>
              <w:t>240</w:t>
            </w:r>
          </w:p>
        </w:tc>
      </w:tr>
      <w:tr>
        <w:trPr>
          <w:gridAfter w:val="1"/>
          <w:wAfter w:w="130" w:type="pct"/>
          <w:trHeight w:val="341" w:hRule="atLeast"/>
        </w:trPr>
        <w:tc>
          <w:tcPr>
            <w:tcW w:w="1455"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color w:val="000000"/>
                <w:sz w:val="24"/>
              </w:rPr>
            </w:pPr>
          </w:p>
        </w:tc>
        <w:tc>
          <w:tcPr>
            <w:tcW w:w="89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其他资金</w:t>
            </w:r>
          </w:p>
        </w:tc>
        <w:tc>
          <w:tcPr>
            <w:tcW w:w="4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其他资金</w:t>
            </w:r>
          </w:p>
        </w:tc>
        <w:tc>
          <w:tcPr>
            <w:tcW w:w="9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p>
        </w:tc>
      </w:tr>
      <w:tr>
        <w:tblPrEx>
          <w:tblCellMar>
            <w:top w:w="0" w:type="dxa"/>
            <w:left w:w="108" w:type="dxa"/>
            <w:bottom w:w="0" w:type="dxa"/>
            <w:right w:w="108" w:type="dxa"/>
          </w:tblCellMar>
        </w:tblPrEx>
        <w:trPr>
          <w:gridAfter w:val="1"/>
          <w:wAfter w:w="130" w:type="pct"/>
          <w:trHeight w:val="217" w:hRule="atLeast"/>
        </w:trPr>
        <w:tc>
          <w:tcPr>
            <w:tcW w:w="2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kern w:val="0"/>
                <w:sz w:val="24"/>
              </w:rPr>
            </w:pPr>
            <w:r>
              <w:rPr>
                <w:rFonts w:hint="eastAsia" w:ascii="宋体" w:hAnsi="宋体" w:cs="宋体"/>
                <w:color w:val="000000"/>
                <w:kern w:val="0"/>
                <w:sz w:val="24"/>
              </w:rPr>
              <w:t>年度总体目标</w:t>
            </w:r>
          </w:p>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完成情况</w:t>
            </w:r>
          </w:p>
        </w:tc>
        <w:tc>
          <w:tcPr>
            <w:tcW w:w="2555"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20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目标实际完成情况</w:t>
            </w:r>
          </w:p>
        </w:tc>
      </w:tr>
      <w:tr>
        <w:tblPrEx>
          <w:tblCellMar>
            <w:top w:w="0" w:type="dxa"/>
            <w:left w:w="108" w:type="dxa"/>
            <w:bottom w:w="0" w:type="dxa"/>
            <w:right w:w="108" w:type="dxa"/>
          </w:tblCellMar>
        </w:tblPrEx>
        <w:trPr>
          <w:gridAfter w:val="1"/>
          <w:wAfter w:w="130" w:type="pct"/>
          <w:trHeight w:val="1297" w:hRule="atLeast"/>
        </w:trPr>
        <w:tc>
          <w:tcPr>
            <w:tcW w:w="2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color w:val="000000"/>
                <w:sz w:val="24"/>
              </w:rPr>
            </w:pPr>
          </w:p>
        </w:tc>
        <w:tc>
          <w:tcPr>
            <w:tcW w:w="2555" w:type="pct"/>
            <w:gridSpan w:val="12"/>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center"/>
              <w:textAlignment w:val="top"/>
              <w:rPr>
                <w:rFonts w:ascii="宋体" w:hAnsi="宋体" w:cs="宋体"/>
                <w:color w:val="000000"/>
                <w:sz w:val="24"/>
              </w:rPr>
            </w:pPr>
            <w:r>
              <w:rPr>
                <w:rFonts w:hint="eastAsia" w:ascii="宋体" w:hAnsi="宋体" w:cs="宋体"/>
                <w:color w:val="000000"/>
                <w:sz w:val="24"/>
              </w:rPr>
              <w:t>开展茂县阿坝职业学院东校区南侧滑坡理工程治理工程该治理工程，采用“桩板墙”的治理方案。保护规划阿坝职业学院东校区学生，及坡顶泵房水池等财产2000万元。提升茂县地质灾害防治能力。</w:t>
            </w:r>
          </w:p>
        </w:tc>
        <w:tc>
          <w:tcPr>
            <w:tcW w:w="2039" w:type="pct"/>
            <w:gridSpan w:val="5"/>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center"/>
              <w:textAlignment w:val="top"/>
              <w:rPr>
                <w:rFonts w:ascii="宋体" w:hAnsi="宋体" w:cs="宋体"/>
                <w:color w:val="000000"/>
                <w:sz w:val="24"/>
              </w:rPr>
            </w:pPr>
            <w:r>
              <w:rPr>
                <w:rFonts w:hint="eastAsia" w:ascii="宋体" w:hAnsi="宋体" w:cs="宋体"/>
                <w:color w:val="000000"/>
                <w:sz w:val="24"/>
              </w:rPr>
              <w:t>开展茂县阿坝职业学院东校区南侧滑坡理工程治理工程该治理工程，采用“桩板墙”的治理方案。保护规划阿坝职业学院东校区学生，及坡顶泵房水池等财产2000万元。提升茂县地质灾害防治能力。</w:t>
            </w:r>
          </w:p>
        </w:tc>
      </w:tr>
      <w:tr>
        <w:trPr>
          <w:gridAfter w:val="1"/>
          <w:wAfter w:w="130" w:type="pct"/>
          <w:trHeight w:val="738" w:hRule="atLeast"/>
        </w:trPr>
        <w:tc>
          <w:tcPr>
            <w:tcW w:w="275" w:type="pct"/>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年度绩效指标完成情况</w:t>
            </w:r>
          </w:p>
        </w:tc>
        <w:tc>
          <w:tcPr>
            <w:tcW w:w="710" w:type="pct"/>
            <w:gridSpan w:val="2"/>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一级</w:t>
            </w:r>
          </w:p>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二级</w:t>
            </w:r>
          </w:p>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104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三级</w:t>
            </w:r>
          </w:p>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预期指标值</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实际完成指标值</w:t>
            </w:r>
          </w:p>
        </w:tc>
      </w:tr>
      <w:tr>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完成</w:t>
            </w:r>
          </w:p>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数量指标</w:t>
            </w:r>
          </w:p>
        </w:tc>
        <w:tc>
          <w:tcPr>
            <w:tcW w:w="1042" w:type="pct"/>
            <w:gridSpan w:val="6"/>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开展地质灾害治理工程</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1处</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1处</w:t>
            </w:r>
          </w:p>
        </w:tc>
      </w:tr>
      <w:tr>
        <w:tblPrEx>
          <w:tblCellMar>
            <w:top w:w="0" w:type="dxa"/>
            <w:left w:w="108" w:type="dxa"/>
            <w:bottom w:w="0" w:type="dxa"/>
            <w:right w:w="108" w:type="dxa"/>
          </w:tblCellMar>
        </w:tblPrEx>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数量指标</w:t>
            </w:r>
          </w:p>
        </w:tc>
        <w:tc>
          <w:tcPr>
            <w:tcW w:w="1042" w:type="pct"/>
            <w:gridSpan w:val="6"/>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规划任务寨四川省地质灾害防治项目在线监管平台填报率</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100%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100%</w:t>
            </w:r>
          </w:p>
        </w:tc>
      </w:tr>
      <w:tr>
        <w:tblPrEx>
          <w:tblCellMar>
            <w:top w:w="0" w:type="dxa"/>
            <w:left w:w="108" w:type="dxa"/>
            <w:bottom w:w="0" w:type="dxa"/>
            <w:right w:w="108" w:type="dxa"/>
          </w:tblCellMar>
        </w:tblPrEx>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时效指标</w:t>
            </w:r>
          </w:p>
        </w:tc>
        <w:tc>
          <w:tcPr>
            <w:tcW w:w="1042" w:type="pct"/>
            <w:gridSpan w:val="6"/>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按时编制并使用2021年度实施方案</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100%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100%</w:t>
            </w:r>
          </w:p>
        </w:tc>
      </w:tr>
      <w:tr>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效益</w:t>
            </w:r>
            <w:r>
              <w:rPr>
                <w:rFonts w:hint="eastAsia" w:ascii="仿宋_GB2312" w:hAnsi="仿宋_GB2312" w:cs="仿宋_GB2312"/>
                <w:color w:val="000000"/>
                <w:kern w:val="0"/>
                <w:sz w:val="28"/>
                <w:szCs w:val="28"/>
              </w:rPr>
              <w:br w:type="textWrapping"/>
            </w:r>
            <w:r>
              <w:rPr>
                <w:rFonts w:hint="eastAsia" w:ascii="仿宋_GB2312" w:hAnsi="仿宋_GB2312" w:cs="仿宋_GB2312"/>
                <w:color w:val="000000"/>
                <w:kern w:val="0"/>
                <w:sz w:val="28"/>
                <w:szCs w:val="28"/>
              </w:rPr>
              <w:t>指标</w:t>
            </w: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经济效益  指标</w:t>
            </w:r>
          </w:p>
        </w:tc>
        <w:tc>
          <w:tcPr>
            <w:tcW w:w="1042" w:type="pct"/>
            <w:gridSpan w:val="6"/>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项目实施后保护财产</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2000万元</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2000万元</w:t>
            </w:r>
          </w:p>
        </w:tc>
      </w:tr>
      <w:tr>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社会效益  指标</w:t>
            </w:r>
          </w:p>
        </w:tc>
        <w:tc>
          <w:tcPr>
            <w:tcW w:w="1042" w:type="pct"/>
            <w:gridSpan w:val="6"/>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项目实施区区地质灾害防范能力</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提升</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提升</w:t>
            </w:r>
          </w:p>
        </w:tc>
      </w:tr>
      <w:tr>
        <w:tblPrEx>
          <w:tblCellMar>
            <w:top w:w="0" w:type="dxa"/>
            <w:left w:w="108" w:type="dxa"/>
            <w:bottom w:w="0" w:type="dxa"/>
            <w:right w:w="108" w:type="dxa"/>
          </w:tblCellMar>
        </w:tblPrEx>
        <w:trPr>
          <w:gridAfter w:val="1"/>
          <w:wAfter w:w="130" w:type="pct"/>
          <w:trHeight w:val="577"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ind w:left="463" w:leftChars="87" w:hanging="280" w:hangingChars="100"/>
              <w:jc w:val="left"/>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社会效益指标</w:t>
            </w:r>
          </w:p>
        </w:tc>
        <w:tc>
          <w:tcPr>
            <w:tcW w:w="1042" w:type="pct"/>
            <w:gridSpan w:val="6"/>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ascii="仿宋_GB2312" w:hAnsi="仿宋_GB2312" w:cs="仿宋_GB2312"/>
                <w:color w:val="000000"/>
                <w:sz w:val="28"/>
                <w:szCs w:val="28"/>
              </w:rPr>
              <w:t>项目实施后保护人数</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300人</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300人</w:t>
            </w:r>
          </w:p>
        </w:tc>
      </w:tr>
      <w:tr>
        <w:tblPrEx>
          <w:tblCellMar>
            <w:top w:w="0" w:type="dxa"/>
            <w:left w:w="108" w:type="dxa"/>
            <w:bottom w:w="0" w:type="dxa"/>
            <w:right w:w="108" w:type="dxa"/>
          </w:tblCellMar>
        </w:tblPrEx>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可持续影响 指标</w:t>
            </w:r>
          </w:p>
        </w:tc>
        <w:tc>
          <w:tcPr>
            <w:tcW w:w="1042" w:type="pct"/>
            <w:gridSpan w:val="6"/>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p>
        </w:tc>
      </w:tr>
      <w:tr>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restart"/>
            <w:tcBorders>
              <w:top w:val="single" w:color="000000" w:sz="4" w:space="0"/>
              <w:left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满意</w:t>
            </w:r>
            <w:r>
              <w:rPr>
                <w:rFonts w:hint="eastAsia" w:ascii="仿宋_GB2312" w:hAnsi="仿宋_GB2312" w:cs="仿宋_GB2312"/>
                <w:color w:val="000000"/>
                <w:kern w:val="0"/>
                <w:sz w:val="28"/>
                <w:szCs w:val="28"/>
              </w:rPr>
              <w:br w:type="textWrapping"/>
            </w:r>
            <w:r>
              <w:rPr>
                <w:rFonts w:hint="eastAsia" w:ascii="仿宋_GB2312" w:hAnsi="仿宋_GB2312" w:cs="仿宋_GB2312"/>
                <w:color w:val="000000"/>
                <w:kern w:val="0"/>
                <w:sz w:val="28"/>
                <w:szCs w:val="28"/>
              </w:rPr>
              <w:t>度指标</w:t>
            </w:r>
          </w:p>
        </w:tc>
        <w:tc>
          <w:tcPr>
            <w:tcW w:w="803" w:type="pct"/>
            <w:gridSpan w:val="4"/>
            <w:vMerge w:val="restart"/>
            <w:tcBorders>
              <w:top w:val="single" w:color="000000" w:sz="4" w:space="0"/>
              <w:left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满意度</w:t>
            </w:r>
          </w:p>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1042" w:type="pct"/>
            <w:gridSpan w:val="6"/>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实施区域受益人群满意度</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≥95%</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≥95%</w:t>
            </w:r>
          </w:p>
        </w:tc>
      </w:tr>
      <w:tr>
        <w:trPr>
          <w:gridAfter w:val="1"/>
          <w:wAfter w:w="130" w:type="pct"/>
          <w:trHeight w:val="480" w:hRule="atLeast"/>
        </w:trPr>
        <w:tc>
          <w:tcPr>
            <w:tcW w:w="275" w:type="pct"/>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710" w:type="pct"/>
            <w:gridSpan w:val="2"/>
            <w:vMerge w:val="continue"/>
            <w:tcBorders>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kern w:val="0"/>
                <w:sz w:val="28"/>
                <w:szCs w:val="28"/>
              </w:rPr>
            </w:pPr>
          </w:p>
        </w:tc>
        <w:tc>
          <w:tcPr>
            <w:tcW w:w="803" w:type="pct"/>
            <w:gridSpan w:val="4"/>
            <w:vMerge w:val="continue"/>
            <w:tcBorders>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kern w:val="0"/>
                <w:sz w:val="28"/>
                <w:szCs w:val="28"/>
              </w:rPr>
            </w:pPr>
          </w:p>
        </w:tc>
        <w:tc>
          <w:tcPr>
            <w:tcW w:w="1042" w:type="pct"/>
            <w:gridSpan w:val="6"/>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实施区群众参与度</w:t>
            </w:r>
          </w:p>
        </w:tc>
        <w:tc>
          <w:tcPr>
            <w:tcW w:w="1178"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≥85%</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≥85%</w:t>
            </w:r>
          </w:p>
        </w:tc>
      </w:tr>
      <w:tr>
        <w:tblPrEx>
          <w:tblCellMar>
            <w:top w:w="0" w:type="dxa"/>
            <w:left w:w="108" w:type="dxa"/>
            <w:bottom w:w="0" w:type="dxa"/>
            <w:right w:w="108" w:type="dxa"/>
          </w:tblCellMar>
        </w:tblPrEx>
        <w:trPr>
          <w:trHeight w:val="675" w:hRule="atLeast"/>
        </w:trPr>
        <w:tc>
          <w:tcPr>
            <w:tcW w:w="4870" w:type="pct"/>
            <w:gridSpan w:val="18"/>
            <w:tcBorders>
              <w:top w:val="nil"/>
              <w:left w:val="nil"/>
              <w:bottom w:val="nil"/>
              <w:right w:val="nil"/>
            </w:tcBorders>
            <w:shd w:val="clear" w:color="auto" w:fill="auto"/>
            <w:vAlign w:val="center"/>
          </w:tcPr>
          <w:p>
            <w:pPr>
              <w:widowControl/>
              <w:jc w:val="center"/>
              <w:textAlignment w:val="center"/>
              <w:rPr>
                <w:rFonts w:ascii="宋体" w:hAnsi="宋体" w:cs="宋体"/>
                <w:b/>
                <w:color w:val="000000"/>
                <w:szCs w:val="32"/>
              </w:rPr>
            </w:pPr>
            <w:r>
              <w:rPr>
                <w:rFonts w:hint="eastAsia" w:ascii="宋体" w:hAnsi="宋体" w:cs="宋体"/>
                <w:b/>
                <w:color w:val="000000"/>
                <w:szCs w:val="32"/>
              </w:rPr>
              <w:t>2021年50万元以上（含）特定目标类部门预算项目绩效目标自评</w:t>
            </w:r>
          </w:p>
        </w:tc>
        <w:tc>
          <w:tcPr>
            <w:tcW w:w="130" w:type="pct"/>
            <w:tcBorders>
              <w:top w:val="nil"/>
              <w:left w:val="nil"/>
              <w:bottom w:val="nil"/>
              <w:right w:val="nil"/>
            </w:tcBorders>
            <w:shd w:val="clear" w:color="auto" w:fill="auto"/>
            <w:vAlign w:val="center"/>
          </w:tcPr>
          <w:p>
            <w:pPr>
              <w:widowControl/>
              <w:jc w:val="center"/>
              <w:textAlignment w:val="center"/>
              <w:rPr>
                <w:rFonts w:ascii="宋体" w:hAnsi="宋体" w:cs="宋体"/>
                <w:b/>
                <w:color w:val="000000"/>
                <w:szCs w:val="32"/>
              </w:rPr>
            </w:pPr>
          </w:p>
        </w:tc>
      </w:tr>
      <w:tr>
        <w:tblPrEx>
          <w:tblCellMar>
            <w:top w:w="0" w:type="dxa"/>
            <w:left w:w="108" w:type="dxa"/>
            <w:bottom w:w="0" w:type="dxa"/>
            <w:right w:w="108" w:type="dxa"/>
          </w:tblCellMar>
        </w:tblPrEx>
        <w:trPr>
          <w:gridAfter w:val="1"/>
          <w:wAfter w:w="130" w:type="pct"/>
          <w:trHeight w:val="254" w:hRule="atLeast"/>
        </w:trPr>
        <w:tc>
          <w:tcPr>
            <w:tcW w:w="137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主管部门及代码</w:t>
            </w:r>
          </w:p>
        </w:tc>
        <w:tc>
          <w:tcPr>
            <w:tcW w:w="122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rFonts w:ascii="宋体" w:hAnsi="宋体" w:cs="宋体"/>
                <w:color w:val="000000"/>
                <w:sz w:val="24"/>
              </w:rPr>
            </w:pPr>
          </w:p>
        </w:tc>
        <w:tc>
          <w:tcPr>
            <w:tcW w:w="88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实施单位</w:t>
            </w:r>
          </w:p>
        </w:tc>
        <w:tc>
          <w:tcPr>
            <w:tcW w:w="138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茂县自然资源局</w:t>
            </w:r>
          </w:p>
        </w:tc>
      </w:tr>
      <w:tr>
        <w:trPr>
          <w:gridAfter w:val="1"/>
          <w:wAfter w:w="130" w:type="pct"/>
          <w:trHeight w:val="341" w:hRule="atLeast"/>
        </w:trPr>
        <w:tc>
          <w:tcPr>
            <w:tcW w:w="1375"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项目预算</w:t>
            </w:r>
            <w:r>
              <w:rPr>
                <w:rFonts w:hint="eastAsia" w:ascii="宋体" w:hAnsi="宋体" w:cs="宋体"/>
                <w:color w:val="000000"/>
                <w:kern w:val="0"/>
                <w:sz w:val="24"/>
              </w:rPr>
              <w:br w:type="textWrapping"/>
            </w:r>
            <w:r>
              <w:rPr>
                <w:rFonts w:hint="eastAsia" w:ascii="宋体" w:hAnsi="宋体" w:cs="宋体"/>
                <w:color w:val="000000"/>
                <w:kern w:val="0"/>
                <w:sz w:val="24"/>
              </w:rPr>
              <w:t>执行情况</w:t>
            </w:r>
            <w:r>
              <w:rPr>
                <w:rFonts w:hint="eastAsia" w:ascii="宋体" w:hAnsi="宋体" w:cs="宋体"/>
                <w:color w:val="000000"/>
                <w:kern w:val="0"/>
                <w:sz w:val="24"/>
              </w:rPr>
              <w:br w:type="textWrapping"/>
            </w:r>
            <w:r>
              <w:rPr>
                <w:rFonts w:hint="eastAsia" w:ascii="宋体" w:hAnsi="宋体" w:cs="宋体"/>
                <w:color w:val="000000"/>
                <w:kern w:val="0"/>
                <w:sz w:val="24"/>
              </w:rPr>
              <w:t>（万元）</w:t>
            </w:r>
          </w:p>
        </w:tc>
        <w:tc>
          <w:tcPr>
            <w:tcW w:w="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 xml:space="preserve"> 预算数：</w:t>
            </w:r>
          </w:p>
        </w:tc>
        <w:tc>
          <w:tcPr>
            <w:tcW w:w="3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sz w:val="24"/>
              </w:rPr>
              <w:t>170</w:t>
            </w:r>
          </w:p>
        </w:tc>
        <w:tc>
          <w:tcPr>
            <w:tcW w:w="88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 xml:space="preserve"> 执行数：</w:t>
            </w:r>
          </w:p>
        </w:tc>
        <w:tc>
          <w:tcPr>
            <w:tcW w:w="138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right="480"/>
              <w:jc w:val="center"/>
              <w:textAlignment w:val="center"/>
              <w:rPr>
                <w:rFonts w:ascii="宋体" w:hAnsi="宋体" w:cs="宋体"/>
                <w:color w:val="000000"/>
                <w:sz w:val="24"/>
              </w:rPr>
            </w:pPr>
            <w:r>
              <w:rPr>
                <w:rFonts w:hint="eastAsia" w:ascii="宋体" w:hAnsi="宋体" w:cs="宋体"/>
                <w:color w:val="000000"/>
                <w:sz w:val="24"/>
              </w:rPr>
              <w:t>170</w:t>
            </w:r>
          </w:p>
        </w:tc>
      </w:tr>
      <w:tr>
        <w:trPr>
          <w:gridAfter w:val="1"/>
          <w:wAfter w:w="130" w:type="pct"/>
          <w:trHeight w:val="577" w:hRule="atLeast"/>
        </w:trPr>
        <w:tc>
          <w:tcPr>
            <w:tcW w:w="1375"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color w:val="000000"/>
                <w:sz w:val="24"/>
              </w:rPr>
            </w:pPr>
          </w:p>
        </w:tc>
        <w:tc>
          <w:tcPr>
            <w:tcW w:w="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kern w:val="0"/>
                <w:sz w:val="24"/>
              </w:rPr>
            </w:pPr>
            <w:r>
              <w:rPr>
                <w:rFonts w:hint="eastAsia" w:ascii="宋体" w:hAnsi="宋体" w:cs="宋体"/>
                <w:color w:val="000000"/>
                <w:kern w:val="0"/>
                <w:sz w:val="24"/>
              </w:rPr>
              <w:t>其中：</w:t>
            </w:r>
          </w:p>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财政拨款</w:t>
            </w:r>
          </w:p>
        </w:tc>
        <w:tc>
          <w:tcPr>
            <w:tcW w:w="3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sz w:val="24"/>
              </w:rPr>
              <w:t>170</w:t>
            </w:r>
          </w:p>
        </w:tc>
        <w:tc>
          <w:tcPr>
            <w:tcW w:w="88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kern w:val="0"/>
                <w:sz w:val="24"/>
              </w:rPr>
            </w:pPr>
            <w:r>
              <w:rPr>
                <w:rFonts w:hint="eastAsia" w:ascii="宋体" w:hAnsi="宋体" w:cs="宋体"/>
                <w:color w:val="000000"/>
                <w:kern w:val="0"/>
                <w:sz w:val="24"/>
              </w:rPr>
              <w:t>其中：</w:t>
            </w:r>
          </w:p>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财政拨款</w:t>
            </w:r>
          </w:p>
        </w:tc>
        <w:tc>
          <w:tcPr>
            <w:tcW w:w="138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sz w:val="24"/>
              </w:rPr>
              <w:t>170</w:t>
            </w:r>
          </w:p>
        </w:tc>
      </w:tr>
      <w:tr>
        <w:tblPrEx>
          <w:tblCellMar>
            <w:top w:w="0" w:type="dxa"/>
            <w:left w:w="108" w:type="dxa"/>
            <w:bottom w:w="0" w:type="dxa"/>
            <w:right w:w="108" w:type="dxa"/>
          </w:tblCellMar>
        </w:tblPrEx>
        <w:trPr>
          <w:gridAfter w:val="1"/>
          <w:wAfter w:w="130" w:type="pct"/>
          <w:trHeight w:val="341" w:hRule="atLeast"/>
        </w:trPr>
        <w:tc>
          <w:tcPr>
            <w:tcW w:w="1375"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color w:val="000000"/>
                <w:sz w:val="24"/>
              </w:rPr>
            </w:pPr>
          </w:p>
        </w:tc>
        <w:tc>
          <w:tcPr>
            <w:tcW w:w="84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其他资金</w:t>
            </w:r>
          </w:p>
        </w:tc>
        <w:tc>
          <w:tcPr>
            <w:tcW w:w="3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p>
        </w:tc>
        <w:tc>
          <w:tcPr>
            <w:tcW w:w="88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color w:val="000000"/>
                <w:sz w:val="24"/>
              </w:rPr>
            </w:pPr>
            <w:r>
              <w:rPr>
                <w:rFonts w:hint="eastAsia" w:ascii="宋体" w:hAnsi="宋体" w:cs="宋体"/>
                <w:color w:val="000000"/>
                <w:kern w:val="0"/>
                <w:sz w:val="24"/>
              </w:rPr>
              <w:t>其他资金</w:t>
            </w:r>
          </w:p>
        </w:tc>
        <w:tc>
          <w:tcPr>
            <w:tcW w:w="138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p>
        </w:tc>
      </w:tr>
      <w:tr>
        <w:tblPrEx>
          <w:tblCellMar>
            <w:top w:w="0" w:type="dxa"/>
            <w:left w:w="108" w:type="dxa"/>
            <w:bottom w:w="0" w:type="dxa"/>
            <w:right w:w="108" w:type="dxa"/>
          </w:tblCellMar>
        </w:tblPrEx>
        <w:trPr>
          <w:gridAfter w:val="1"/>
          <w:wAfter w:w="130" w:type="pct"/>
          <w:trHeight w:val="217" w:hRule="atLeast"/>
        </w:trPr>
        <w:tc>
          <w:tcPr>
            <w:tcW w:w="2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kern w:val="0"/>
                <w:sz w:val="24"/>
              </w:rPr>
            </w:pPr>
            <w:r>
              <w:rPr>
                <w:rFonts w:hint="eastAsia" w:ascii="宋体" w:hAnsi="宋体" w:cs="宋体"/>
                <w:color w:val="000000"/>
                <w:kern w:val="0"/>
                <w:sz w:val="24"/>
              </w:rPr>
              <w:t>年度总体目标</w:t>
            </w:r>
          </w:p>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完成情况</w:t>
            </w:r>
          </w:p>
        </w:tc>
        <w:tc>
          <w:tcPr>
            <w:tcW w:w="237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2223"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color w:val="000000"/>
                <w:sz w:val="24"/>
              </w:rPr>
            </w:pPr>
            <w:r>
              <w:rPr>
                <w:rFonts w:hint="eastAsia" w:ascii="宋体" w:hAnsi="宋体" w:cs="宋体"/>
                <w:color w:val="000000"/>
                <w:kern w:val="0"/>
                <w:sz w:val="24"/>
              </w:rPr>
              <w:t>目标实际完成情况</w:t>
            </w:r>
          </w:p>
        </w:tc>
      </w:tr>
      <w:tr>
        <w:trPr>
          <w:gridAfter w:val="1"/>
          <w:wAfter w:w="130" w:type="pct"/>
          <w:trHeight w:val="1297" w:hRule="atLeast"/>
        </w:trPr>
        <w:tc>
          <w:tcPr>
            <w:tcW w:w="2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color w:val="000000"/>
                <w:sz w:val="24"/>
              </w:rPr>
            </w:pPr>
          </w:p>
        </w:tc>
        <w:tc>
          <w:tcPr>
            <w:tcW w:w="2371" w:type="pct"/>
            <w:gridSpan w:val="10"/>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center"/>
              <w:textAlignment w:val="top"/>
              <w:rPr>
                <w:rFonts w:ascii="宋体" w:hAnsi="宋体" w:cs="宋体"/>
                <w:color w:val="000000"/>
                <w:sz w:val="24"/>
              </w:rPr>
            </w:pPr>
            <w:r>
              <w:rPr>
                <w:rFonts w:hint="eastAsia" w:ascii="宋体" w:hAnsi="宋体" w:cs="宋体"/>
                <w:color w:val="000000"/>
                <w:sz w:val="24"/>
              </w:rPr>
              <w:t>该项目建设内容为：排导槽（修复挡墙+加固挡墙+拆除重新修建+截弯取直）+景观人行步道”的总体方案进行治理。建设该项目可有效保护50户280人生命安全及国道213、学校、镇政府等3000万财产安全。</w:t>
            </w:r>
          </w:p>
        </w:tc>
        <w:tc>
          <w:tcPr>
            <w:tcW w:w="2223" w:type="pct"/>
            <w:gridSpan w:val="7"/>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center"/>
              <w:textAlignment w:val="top"/>
              <w:rPr>
                <w:rFonts w:ascii="宋体" w:hAnsi="宋体" w:cs="宋体"/>
                <w:color w:val="000000"/>
                <w:sz w:val="24"/>
              </w:rPr>
            </w:pPr>
            <w:r>
              <w:rPr>
                <w:rFonts w:hint="eastAsia" w:ascii="宋体" w:hAnsi="宋体" w:cs="宋体"/>
                <w:color w:val="000000"/>
                <w:sz w:val="24"/>
              </w:rPr>
              <w:t>该项目建设内容为：排导槽（修复挡墙+加固挡墙+拆除重新修建+截弯取直）+景观人行步道”的总体方案进行治理。建设该项目可有效保护50户280人生命安全及国道213、学校、镇政府等3000万财产安全。</w:t>
            </w:r>
          </w:p>
        </w:tc>
      </w:tr>
      <w:tr>
        <w:trPr>
          <w:gridAfter w:val="1"/>
          <w:wAfter w:w="130" w:type="pct"/>
          <w:trHeight w:val="738" w:hRule="atLeast"/>
        </w:trPr>
        <w:tc>
          <w:tcPr>
            <w:tcW w:w="275" w:type="pct"/>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年度绩效指标完成情况</w:t>
            </w:r>
          </w:p>
        </w:tc>
        <w:tc>
          <w:tcPr>
            <w:tcW w:w="455" w:type="pct"/>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一级</w:t>
            </w:r>
          </w:p>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二级</w:t>
            </w:r>
          </w:p>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三级</w:t>
            </w:r>
          </w:p>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88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预期指标值</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实际完成指标值</w:t>
            </w:r>
          </w:p>
        </w:tc>
      </w:tr>
      <w:tr>
        <w:tblPrEx>
          <w:tblCellMar>
            <w:top w:w="0" w:type="dxa"/>
            <w:left w:w="108" w:type="dxa"/>
            <w:bottom w:w="0" w:type="dxa"/>
            <w:right w:w="108" w:type="dxa"/>
          </w:tblCellMar>
        </w:tblPrEx>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完成</w:t>
            </w:r>
          </w:p>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数量指标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开展地质灾害治理工程</w:t>
            </w:r>
          </w:p>
        </w:tc>
        <w:tc>
          <w:tcPr>
            <w:tcW w:w="886"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1处</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1处</w:t>
            </w:r>
          </w:p>
        </w:tc>
      </w:tr>
      <w:tr>
        <w:tblPrEx>
          <w:tblCellMar>
            <w:top w:w="0" w:type="dxa"/>
            <w:left w:w="108" w:type="dxa"/>
            <w:bottom w:w="0" w:type="dxa"/>
            <w:right w:w="108" w:type="dxa"/>
          </w:tblCellMar>
        </w:tblPrEx>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数量指标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规划任务寨四川省地质灾害防治项目在线监管平台填报率</w:t>
            </w:r>
          </w:p>
        </w:tc>
        <w:tc>
          <w:tcPr>
            <w:tcW w:w="886"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100%</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100%</w:t>
            </w:r>
          </w:p>
        </w:tc>
      </w:tr>
      <w:tr>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时效指标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按时编制并使用2021年度实施方案</w:t>
            </w:r>
          </w:p>
        </w:tc>
        <w:tc>
          <w:tcPr>
            <w:tcW w:w="886"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100%</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100%</w:t>
            </w:r>
          </w:p>
        </w:tc>
      </w:tr>
      <w:tr>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效益</w:t>
            </w:r>
            <w:r>
              <w:rPr>
                <w:rFonts w:hint="eastAsia" w:ascii="仿宋_GB2312" w:hAnsi="仿宋_GB2312" w:cs="仿宋_GB2312"/>
                <w:color w:val="000000"/>
                <w:kern w:val="0"/>
                <w:sz w:val="28"/>
                <w:szCs w:val="28"/>
              </w:rPr>
              <w:br w:type="textWrapping"/>
            </w:r>
            <w:r>
              <w:rPr>
                <w:rFonts w:hint="eastAsia" w:ascii="仿宋_GB2312" w:hAnsi="仿宋_GB2312" w:cs="仿宋_GB2312"/>
                <w:color w:val="000000"/>
                <w:kern w:val="0"/>
                <w:sz w:val="28"/>
                <w:szCs w:val="28"/>
              </w:rPr>
              <w:t>指标</w:t>
            </w: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经济效益  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项目实施后保护财产</w:t>
            </w:r>
          </w:p>
        </w:tc>
        <w:tc>
          <w:tcPr>
            <w:tcW w:w="886"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3000万元</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3000万元</w:t>
            </w:r>
          </w:p>
        </w:tc>
      </w:tr>
      <w:tr>
        <w:tblPrEx>
          <w:tblCellMar>
            <w:top w:w="0" w:type="dxa"/>
            <w:left w:w="108" w:type="dxa"/>
            <w:bottom w:w="0" w:type="dxa"/>
            <w:right w:w="108" w:type="dxa"/>
          </w:tblCellMar>
        </w:tblPrEx>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社会效益  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项目实施区区地质灾害防范能力</w:t>
            </w:r>
          </w:p>
        </w:tc>
        <w:tc>
          <w:tcPr>
            <w:tcW w:w="886"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提升</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提升</w:t>
            </w:r>
          </w:p>
        </w:tc>
      </w:tr>
      <w:tr>
        <w:tblPrEx>
          <w:tblCellMar>
            <w:top w:w="0" w:type="dxa"/>
            <w:left w:w="108" w:type="dxa"/>
            <w:bottom w:w="0" w:type="dxa"/>
            <w:right w:w="108" w:type="dxa"/>
          </w:tblCellMar>
        </w:tblPrEx>
        <w:trPr>
          <w:gridAfter w:val="1"/>
          <w:wAfter w:w="130" w:type="pct"/>
          <w:trHeight w:val="577"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ind w:left="463" w:leftChars="87" w:hanging="280" w:hangingChars="100"/>
              <w:jc w:val="left"/>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社会效益指标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ascii="仿宋_GB2312" w:hAnsi="仿宋_GB2312" w:cs="仿宋_GB2312"/>
                <w:color w:val="000000"/>
                <w:sz w:val="28"/>
                <w:szCs w:val="28"/>
              </w:rPr>
              <w:t>项目实施后保护人数</w:t>
            </w:r>
          </w:p>
        </w:tc>
        <w:tc>
          <w:tcPr>
            <w:tcW w:w="886"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280人</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280人</w:t>
            </w:r>
          </w:p>
        </w:tc>
      </w:tr>
      <w:tr>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cs="仿宋_GB2312"/>
                <w:color w:val="000000"/>
                <w:sz w:val="28"/>
                <w:szCs w:val="28"/>
              </w:rPr>
            </w:pPr>
          </w:p>
        </w:tc>
        <w:tc>
          <w:tcPr>
            <w:tcW w:w="803"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可持续影响 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p>
        </w:tc>
        <w:tc>
          <w:tcPr>
            <w:tcW w:w="886"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p>
        </w:tc>
      </w:tr>
      <w:tr>
        <w:trPr>
          <w:gridAfter w:val="1"/>
          <w:wAfter w:w="130" w:type="pct"/>
          <w:trHeight w:val="480" w:hRule="atLeast"/>
        </w:trPr>
        <w:tc>
          <w:tcPr>
            <w:tcW w:w="275" w:type="pct"/>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restart"/>
            <w:tcBorders>
              <w:top w:val="single" w:color="000000" w:sz="4" w:space="0"/>
              <w:left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满意</w:t>
            </w:r>
            <w:r>
              <w:rPr>
                <w:rFonts w:hint="eastAsia" w:ascii="仿宋_GB2312" w:hAnsi="仿宋_GB2312" w:cs="仿宋_GB2312"/>
                <w:color w:val="000000"/>
                <w:kern w:val="0"/>
                <w:sz w:val="28"/>
                <w:szCs w:val="28"/>
              </w:rPr>
              <w:br w:type="textWrapping"/>
            </w:r>
            <w:r>
              <w:rPr>
                <w:rFonts w:hint="eastAsia" w:ascii="仿宋_GB2312" w:hAnsi="仿宋_GB2312" w:cs="仿宋_GB2312"/>
                <w:color w:val="000000"/>
                <w:kern w:val="0"/>
                <w:sz w:val="28"/>
                <w:szCs w:val="28"/>
              </w:rPr>
              <w:t>度指标</w:t>
            </w:r>
          </w:p>
        </w:tc>
        <w:tc>
          <w:tcPr>
            <w:tcW w:w="803" w:type="pct"/>
            <w:gridSpan w:val="4"/>
            <w:vMerge w:val="restart"/>
            <w:tcBorders>
              <w:top w:val="single" w:color="000000" w:sz="4" w:space="0"/>
              <w:left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满意度</w:t>
            </w:r>
          </w:p>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实施区域受益人群满意度</w:t>
            </w:r>
          </w:p>
        </w:tc>
        <w:tc>
          <w:tcPr>
            <w:tcW w:w="886"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≥95%</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≥95%</w:t>
            </w:r>
          </w:p>
        </w:tc>
      </w:tr>
      <w:tr>
        <w:tblPrEx>
          <w:tblCellMar>
            <w:top w:w="0" w:type="dxa"/>
            <w:left w:w="108" w:type="dxa"/>
            <w:bottom w:w="0" w:type="dxa"/>
            <w:right w:w="108" w:type="dxa"/>
          </w:tblCellMar>
        </w:tblPrEx>
        <w:trPr>
          <w:gridAfter w:val="1"/>
          <w:wAfter w:w="130" w:type="pct"/>
          <w:trHeight w:val="480" w:hRule="atLeast"/>
        </w:trPr>
        <w:tc>
          <w:tcPr>
            <w:tcW w:w="275" w:type="pct"/>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仿宋_GB2312" w:hAnsi="仿宋_GB2312" w:cs="仿宋_GB2312"/>
                <w:color w:val="000000"/>
                <w:sz w:val="28"/>
                <w:szCs w:val="28"/>
              </w:rPr>
            </w:pPr>
          </w:p>
        </w:tc>
        <w:tc>
          <w:tcPr>
            <w:tcW w:w="455" w:type="pct"/>
            <w:vMerge w:val="continue"/>
            <w:tcBorders>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kern w:val="0"/>
                <w:sz w:val="28"/>
                <w:szCs w:val="28"/>
              </w:rPr>
            </w:pPr>
          </w:p>
        </w:tc>
        <w:tc>
          <w:tcPr>
            <w:tcW w:w="803" w:type="pct"/>
            <w:gridSpan w:val="4"/>
            <w:vMerge w:val="continue"/>
            <w:tcBorders>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kern w:val="0"/>
                <w:sz w:val="28"/>
                <w:szCs w:val="28"/>
              </w:rPr>
            </w:pPr>
          </w:p>
        </w:tc>
        <w:tc>
          <w:tcPr>
            <w:tcW w:w="1113" w:type="pct"/>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实施区群众参与度</w:t>
            </w:r>
          </w:p>
        </w:tc>
        <w:tc>
          <w:tcPr>
            <w:tcW w:w="886" w:type="pct"/>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≥85%</w:t>
            </w:r>
          </w:p>
        </w:tc>
        <w:tc>
          <w:tcPr>
            <w:tcW w:w="1338" w:type="pct"/>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sz w:val="28"/>
                <w:szCs w:val="28"/>
              </w:rPr>
              <w:t>≥85%</w:t>
            </w:r>
          </w:p>
        </w:tc>
      </w:tr>
    </w:tbl>
    <w:p>
      <w:pPr>
        <w:pStyle w:val="20"/>
        <w:rPr>
          <w:rFonts w:ascii="仿宋_GB2312" w:eastAsia="仿宋_GB2312"/>
          <w:sz w:val="28"/>
          <w:szCs w:val="28"/>
        </w:rPr>
      </w:pPr>
    </w:p>
    <w:p>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2.部门开展绩效评价结果</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本部门按要求对2021年部门整体支出绩效评价情况开展自评，《茂县自然资源局2021年部门整体支出绩效评价报告》见附件（附件1）。</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1"/>
        </w:numPr>
        <w:spacing w:line="600" w:lineRule="exact"/>
        <w:ind w:firstLine="662" w:firstLineChars="150"/>
        <w:jc w:val="center"/>
        <w:outlineLvl w:val="0"/>
        <w:rPr>
          <w:rStyle w:val="28"/>
          <w:rFonts w:ascii="黑体" w:hAnsi="黑体" w:eastAsia="黑体"/>
        </w:rPr>
      </w:pPr>
      <w:bookmarkStart w:id="56" w:name="_Toc15396613"/>
      <w:bookmarkStart w:id="57" w:name="_Toc15377225"/>
      <w:r>
        <w:rPr>
          <w:rStyle w:val="28"/>
          <w:rFonts w:hint="eastAsia" w:ascii="黑体" w:hAnsi="黑体" w:eastAsia="黑体"/>
        </w:rPr>
        <w:t>名词解释</w:t>
      </w:r>
      <w:bookmarkEnd w:id="56"/>
      <w:bookmarkEnd w:id="57"/>
    </w:p>
    <w:p>
      <w:pPr>
        <w:spacing w:line="600" w:lineRule="exact"/>
        <w:jc w:val="left"/>
        <w:rPr>
          <w:rFonts w:ascii="仿宋_GB2312" w:eastAsia="仿宋_GB2312"/>
          <w:b/>
          <w:color w:val="000000"/>
          <w:sz w:val="32"/>
          <w:szCs w:val="32"/>
        </w:rPr>
      </w:pP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9.社会保障和就业（类）行政事业单位离退休（款）机关事业单位基本养老保险缴费支出（项）：指部门实施养老保险制度由单位缴纳的养老保险费的支出。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10.社会保障和就业（类）行政事业单位离退休（款）机关事业单位职业年金缴费支出（项）：指部门实施养老保险制度由单位缴纳的职业年金的支出。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11.医疗卫生与计划生育（类）行政事业单位医疗（款）</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行政单位医疗（项）：指局机关及参公管理事业单位用于缴</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 xml:space="preserve">纳单位基本医疗保险支出。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12.医疗卫生与计划生育（类）行政事业单位医疗（款）</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事业单位医疗（项）：指行政事业单位用于缴纳单位基本医疗保</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 xml:space="preserve">.住房保障（类）住房改革支出（款）住房公积金（项）： </w:t>
      </w:r>
    </w:p>
    <w:p>
      <w:pPr>
        <w:spacing w:line="576" w:lineRule="exact"/>
        <w:rPr>
          <w:rFonts w:ascii="仿宋_GB2312" w:eastAsia="仿宋_GB2312"/>
          <w:color w:val="000000"/>
          <w:sz w:val="32"/>
          <w:szCs w:val="32"/>
        </w:rPr>
      </w:pPr>
      <w:r>
        <w:rPr>
          <w:rFonts w:ascii="仿宋_GB2312" w:eastAsia="仿宋_GB2312"/>
          <w:color w:val="000000"/>
          <w:sz w:val="32"/>
          <w:szCs w:val="32"/>
        </w:rPr>
        <w:t xml:space="preserve">反映行政事业单位按规定为职工缴纳的住房公积金。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 xml:space="preserve">.住房保障（类）住房改革支出（款）购房补贴（项）： </w:t>
      </w:r>
    </w:p>
    <w:p>
      <w:pPr>
        <w:spacing w:line="576" w:lineRule="exact"/>
        <w:rPr>
          <w:rFonts w:ascii="仿宋_GB2312" w:eastAsia="仿宋_GB2312"/>
          <w:color w:val="000000"/>
          <w:sz w:val="32"/>
          <w:szCs w:val="32"/>
        </w:rPr>
      </w:pPr>
      <w:r>
        <w:rPr>
          <w:rFonts w:ascii="仿宋_GB2312" w:eastAsia="仿宋_GB2312"/>
          <w:color w:val="000000"/>
          <w:sz w:val="32"/>
          <w:szCs w:val="32"/>
        </w:rPr>
        <w:t>指根据房改政策规定的标准，向符合条件职工发放的用于购</w:t>
      </w:r>
    </w:p>
    <w:p>
      <w:pPr>
        <w:spacing w:line="576" w:lineRule="exact"/>
        <w:rPr>
          <w:rFonts w:ascii="仿宋_GB2312" w:eastAsia="仿宋_GB2312"/>
          <w:color w:val="000000"/>
          <w:sz w:val="32"/>
          <w:szCs w:val="32"/>
        </w:rPr>
      </w:pPr>
      <w:r>
        <w:rPr>
          <w:rFonts w:ascii="仿宋_GB2312" w:eastAsia="仿宋_GB2312"/>
          <w:color w:val="000000"/>
          <w:sz w:val="32"/>
          <w:szCs w:val="32"/>
        </w:rPr>
        <w:t xml:space="preserve">买住房的补贴。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15.农林水支出</w:t>
      </w:r>
      <w:r>
        <w:rPr>
          <w:rFonts w:ascii="仿宋_GB2312" w:eastAsia="仿宋_GB2312"/>
          <w:color w:val="000000"/>
          <w:sz w:val="32"/>
          <w:szCs w:val="32"/>
        </w:rPr>
        <w:t>（类）</w:t>
      </w:r>
      <w:r>
        <w:rPr>
          <w:rFonts w:hint="eastAsia" w:ascii="仿宋_GB2312" w:eastAsia="仿宋_GB2312"/>
          <w:color w:val="000000"/>
          <w:sz w:val="32"/>
          <w:szCs w:val="32"/>
        </w:rPr>
        <w:t>扶贫</w:t>
      </w:r>
      <w:r>
        <w:rPr>
          <w:rFonts w:ascii="仿宋_GB2312" w:eastAsia="仿宋_GB2312"/>
          <w:color w:val="000000"/>
          <w:sz w:val="32"/>
          <w:szCs w:val="32"/>
        </w:rPr>
        <w:t>（款）</w:t>
      </w:r>
      <w:r>
        <w:rPr>
          <w:rFonts w:hint="eastAsia" w:ascii="仿宋_GB2312" w:eastAsia="仿宋_GB2312"/>
          <w:color w:val="000000"/>
          <w:sz w:val="32"/>
          <w:szCs w:val="32"/>
        </w:rPr>
        <w:t>农村基础设施建设</w:t>
      </w:r>
      <w:r>
        <w:rPr>
          <w:rFonts w:ascii="仿宋_GB2312" w:eastAsia="仿宋_GB2312"/>
          <w:color w:val="000000"/>
          <w:sz w:val="32"/>
          <w:szCs w:val="32"/>
        </w:rPr>
        <w:t>（项）</w:t>
      </w:r>
      <w:r>
        <w:rPr>
          <w:rFonts w:hint="eastAsia" w:ascii="仿宋_GB2312" w:eastAsia="仿宋_GB2312"/>
          <w:color w:val="000000"/>
          <w:sz w:val="32"/>
          <w:szCs w:val="32"/>
        </w:rPr>
        <w:t>：</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用于</w:t>
      </w:r>
      <w:r>
        <w:rPr>
          <w:rFonts w:ascii="仿宋_GB2312" w:eastAsia="仿宋_GB2312"/>
          <w:color w:val="000000"/>
          <w:sz w:val="32"/>
          <w:szCs w:val="32"/>
        </w:rPr>
        <w:t>农村</w:t>
      </w:r>
      <w:r>
        <w:rPr>
          <w:rFonts w:hint="eastAsia" w:ascii="仿宋_GB2312" w:eastAsia="仿宋_GB2312"/>
          <w:color w:val="000000"/>
          <w:sz w:val="32"/>
          <w:szCs w:val="32"/>
        </w:rPr>
        <w:t>贫困地区乡村道路、住房、基本农田等生活条件改善方面的支出。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16.农林水支出</w:t>
      </w:r>
      <w:r>
        <w:rPr>
          <w:rFonts w:ascii="仿宋_GB2312" w:eastAsia="仿宋_GB2312"/>
          <w:color w:val="000000"/>
          <w:sz w:val="32"/>
          <w:szCs w:val="32"/>
        </w:rPr>
        <w:t>（类）</w:t>
      </w:r>
      <w:r>
        <w:rPr>
          <w:rFonts w:hint="eastAsia" w:ascii="仿宋_GB2312" w:eastAsia="仿宋_GB2312"/>
          <w:color w:val="000000"/>
          <w:sz w:val="32"/>
          <w:szCs w:val="32"/>
        </w:rPr>
        <w:t>扶贫</w:t>
      </w:r>
      <w:r>
        <w:rPr>
          <w:rFonts w:ascii="仿宋_GB2312" w:eastAsia="仿宋_GB2312"/>
          <w:color w:val="000000"/>
          <w:sz w:val="32"/>
          <w:szCs w:val="32"/>
        </w:rPr>
        <w:t>（款）</w:t>
      </w:r>
      <w:r>
        <w:rPr>
          <w:rFonts w:hint="eastAsia" w:ascii="仿宋_GB2312" w:eastAsia="仿宋_GB2312"/>
          <w:color w:val="000000"/>
          <w:sz w:val="32"/>
          <w:szCs w:val="32"/>
        </w:rPr>
        <w:t>其他扶贫支出</w:t>
      </w:r>
      <w:r>
        <w:rPr>
          <w:rFonts w:ascii="仿宋_GB2312" w:eastAsia="仿宋_GB2312"/>
          <w:color w:val="000000"/>
          <w:sz w:val="32"/>
          <w:szCs w:val="32"/>
        </w:rPr>
        <w:t>（项）</w:t>
      </w:r>
      <w:r>
        <w:rPr>
          <w:rFonts w:hint="eastAsia" w:ascii="仿宋_GB2312" w:eastAsia="仿宋_GB2312"/>
          <w:color w:val="000000"/>
          <w:sz w:val="32"/>
          <w:szCs w:val="32"/>
        </w:rPr>
        <w:t>：</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反映除上述项目以外其他用于扶贫方面的支出。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17.农林水支出</w:t>
      </w:r>
      <w:r>
        <w:rPr>
          <w:rFonts w:ascii="仿宋_GB2312" w:eastAsia="仿宋_GB2312"/>
          <w:color w:val="000000"/>
          <w:sz w:val="32"/>
          <w:szCs w:val="32"/>
        </w:rPr>
        <w:t>（类）</w:t>
      </w:r>
      <w:r>
        <w:rPr>
          <w:rFonts w:hint="eastAsia" w:ascii="仿宋_GB2312" w:eastAsia="仿宋_GB2312"/>
          <w:color w:val="000000"/>
          <w:sz w:val="32"/>
          <w:szCs w:val="32"/>
        </w:rPr>
        <w:t>其他农林水支出</w:t>
      </w:r>
      <w:r>
        <w:rPr>
          <w:rFonts w:ascii="仿宋_GB2312" w:eastAsia="仿宋_GB2312"/>
          <w:color w:val="000000"/>
          <w:sz w:val="32"/>
          <w:szCs w:val="32"/>
        </w:rPr>
        <w:t>（款）</w:t>
      </w:r>
      <w:r>
        <w:rPr>
          <w:rFonts w:hint="eastAsia" w:ascii="仿宋_GB2312" w:eastAsia="仿宋_GB2312"/>
          <w:color w:val="000000"/>
          <w:sz w:val="32"/>
          <w:szCs w:val="32"/>
        </w:rPr>
        <w:t>其他农林水支出</w:t>
      </w:r>
      <w:r>
        <w:rPr>
          <w:rFonts w:ascii="仿宋_GB2312" w:eastAsia="仿宋_GB2312"/>
          <w:color w:val="000000"/>
          <w:sz w:val="32"/>
          <w:szCs w:val="32"/>
        </w:rPr>
        <w:t>（项）</w:t>
      </w:r>
      <w:r>
        <w:rPr>
          <w:rFonts w:hint="eastAsia" w:ascii="仿宋_GB2312" w:eastAsia="仿宋_GB2312"/>
          <w:color w:val="000000"/>
          <w:sz w:val="32"/>
          <w:szCs w:val="32"/>
        </w:rPr>
        <w:t>：反映除化解债务支出以外其他用于农林水方面的支出。</w:t>
      </w:r>
    </w:p>
    <w:p>
      <w:pPr>
        <w:spacing w:line="576" w:lineRule="exact"/>
        <w:ind w:firstLine="640" w:firstLineChars="200"/>
        <w:rPr>
          <w:rFonts w:ascii="仿宋_GB2312" w:eastAsia="仿宋_GB2312"/>
          <w:sz w:val="32"/>
          <w:szCs w:val="32"/>
        </w:rPr>
      </w:pPr>
      <w:r>
        <w:rPr>
          <w:rFonts w:hint="eastAsia" w:ascii="仿宋_GB2312" w:eastAsia="仿宋_GB2312"/>
          <w:color w:val="000000"/>
          <w:sz w:val="32"/>
          <w:szCs w:val="32"/>
        </w:rPr>
        <w:t>18.自然资源海洋气象等支出（类）自然资源事务（款）行政运</w:t>
      </w:r>
      <w:r>
        <w:rPr>
          <w:rFonts w:hint="eastAsia" w:ascii="仿宋_GB2312" w:eastAsia="仿宋_GB2312"/>
          <w:sz w:val="32"/>
          <w:szCs w:val="32"/>
        </w:rPr>
        <w:t>行（项）：反映用于自然资源行政单位的基本支出。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19.自然资源海洋气象等支出（类）自然资源事务（款）一般行政管理事务（项）：反映未单独设置项级科目的其他项目支出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20.自然资源海洋气象等支出（类）自然资源事务（款）土地资源调查（项）：反映用于土地资源调查评价、土地利用变更调查、地籍调查等方面的支出。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sz w:val="32"/>
          <w:szCs w:val="32"/>
        </w:rPr>
        <w:t>21.自然资源海洋气象等支出（类</w:t>
      </w:r>
      <w:r>
        <w:rPr>
          <w:rFonts w:hint="eastAsia" w:ascii="仿宋_GB2312" w:eastAsia="仿宋_GB2312"/>
          <w:color w:val="000000"/>
          <w:sz w:val="32"/>
          <w:szCs w:val="32"/>
        </w:rPr>
        <w:t>）自然资源事务（款）事业运行（项）：反映用于自然资源事业单位的基本支出。</w:t>
      </w:r>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22.自然资源海洋气象等支出（类）自然资源事务（款）其他自然资源事务支出（项）：反映除上述项目以外其他用于自然资源事务方面的支出。</w:t>
      </w:r>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23.灾害防治及应急管理支出（类）自然灾害防治（款）地质灾害防治（项）：反映防治地质灾害方面的支出。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0"/>
        <w:spacing w:line="576" w:lineRule="exact"/>
        <w:ind w:firstLine="640" w:firstLineChars="200"/>
        <w:jc w:val="both"/>
        <w:rPr>
          <w:rFonts w:ascii="仿宋_GB2312" w:eastAsia="仿宋_GB2312"/>
          <w:sz w:val="32"/>
          <w:szCs w:val="32"/>
        </w:rPr>
      </w:pPr>
      <w:r>
        <w:rPr>
          <w:rFonts w:hint="eastAsia" w:ascii="仿宋_GB2312" w:eastAsia="仿宋_GB2312"/>
          <w:sz w:val="32"/>
          <w:szCs w:val="32"/>
        </w:rPr>
        <w:t>27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
        <w:spacing w:line="576" w:lineRule="exact"/>
        <w:ind w:firstLine="640" w:firstLineChars="200"/>
        <w:jc w:val="both"/>
        <w:rPr>
          <w:rFonts w:ascii="仿宋_GB2312" w:eastAsia="仿宋_GB2312"/>
          <w:sz w:val="32"/>
          <w:szCs w:val="32"/>
        </w:rPr>
      </w:pPr>
      <w:r>
        <w:rPr>
          <w:rFonts w:hint="eastAsia" w:ascii="仿宋_GB2312" w:eastAsia="仿宋_GB2312"/>
          <w:sz w:val="32"/>
          <w:szCs w:val="32"/>
        </w:rPr>
        <w:t>28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0"/>
        <w:spacing w:line="576" w:lineRule="exact"/>
        <w:ind w:firstLine="640" w:firstLineChars="200"/>
        <w:jc w:val="both"/>
        <w:rPr>
          <w:rFonts w:ascii="仿宋_GB2312" w:eastAsia="仿宋_GB2312" w:cs="黑体"/>
          <w:sz w:val="32"/>
          <w:szCs w:val="32"/>
        </w:rPr>
      </w:pPr>
      <w:r>
        <w:rPr>
          <w:rFonts w:hint="eastAsia" w:ascii="仿宋_GB2312" w:eastAsia="仿宋_GB2312" w:cs="黑体"/>
          <w:sz w:val="32"/>
          <w:szCs w:val="32"/>
        </w:rPr>
        <w:t>39</w:t>
      </w:r>
      <w:r>
        <w:rPr>
          <w:rFonts w:ascii="仿宋_GB2312" w:eastAsia="仿宋_GB2312" w:cs="黑体"/>
          <w:sz w:val="32"/>
          <w:szCs w:val="32"/>
        </w:rPr>
        <w:t>.财政应返还额度：为行政事业单位会计核算科目</w:t>
      </w:r>
      <w:r>
        <w:rPr>
          <w:rFonts w:hint="eastAsia" w:ascii="仿宋_GB2312" w:eastAsia="仿宋_GB2312" w:cs="黑体"/>
          <w:sz w:val="32"/>
          <w:szCs w:val="32"/>
        </w:rPr>
        <w:t>，用于核算实行国库集中支付的行政事业单位应收财政返还的资金额度。</w:t>
      </w:r>
    </w:p>
    <w:p>
      <w:pPr>
        <w:widowControl/>
        <w:jc w:val="left"/>
        <w:rPr>
          <w:rStyle w:val="28"/>
          <w:rFonts w:ascii="黑体" w:hAnsi="黑体" w:eastAsia="黑体"/>
        </w:rPr>
      </w:pPr>
      <w:r>
        <w:rPr>
          <w:rStyle w:val="28"/>
          <w:rFonts w:ascii="黑体" w:hAnsi="黑体" w:eastAsia="黑体"/>
        </w:rPr>
        <w:br w:type="page"/>
      </w:r>
    </w:p>
    <w:p>
      <w:pPr>
        <w:spacing w:line="600" w:lineRule="exact"/>
        <w:ind w:firstLine="2650" w:firstLineChars="600"/>
        <w:outlineLvl w:val="0"/>
        <w:rPr>
          <w:rStyle w:val="28"/>
          <w:rFonts w:ascii="黑体" w:hAnsi="黑体" w:eastAsia="黑体"/>
        </w:rPr>
      </w:pPr>
      <w:r>
        <w:rPr>
          <w:rStyle w:val="28"/>
          <w:rFonts w:hint="eastAsia" w:ascii="黑体" w:hAnsi="黑体" w:eastAsia="黑体"/>
        </w:rPr>
        <w:t>第四部分 附件</w:t>
      </w:r>
    </w:p>
    <w:p>
      <w:pPr>
        <w:spacing w:line="600" w:lineRule="exact"/>
        <w:jc w:val="left"/>
        <w:outlineLvl w:val="0"/>
        <w:rPr>
          <w:rFonts w:ascii="黑体" w:hAnsi="黑体" w:eastAsia="黑体" w:cs="黑体"/>
          <w:sz w:val="32"/>
          <w:szCs w:val="32"/>
        </w:rPr>
      </w:pPr>
      <w:r>
        <w:rPr>
          <w:rFonts w:hint="eastAsia" w:ascii="黑体" w:hAnsi="黑体" w:eastAsia="黑体" w:cs="黑体"/>
          <w:sz w:val="32"/>
          <w:szCs w:val="32"/>
        </w:rPr>
        <w:t>附件1</w:t>
      </w:r>
    </w:p>
    <w:p>
      <w:pPr>
        <w:widowControl/>
        <w:spacing w:line="576" w:lineRule="exact"/>
        <w:contextualSpacing/>
        <w:jc w:val="center"/>
        <w:rPr>
          <w:rFonts w:ascii="宋体" w:hAnsi="宋体"/>
          <w:b/>
          <w:sz w:val="44"/>
          <w:szCs w:val="44"/>
          <w:shd w:val="clear" w:color="auto" w:fill="FFFFFF"/>
        </w:rPr>
      </w:pPr>
      <w:r>
        <w:rPr>
          <w:rFonts w:hint="eastAsia" w:ascii="宋体" w:hAnsi="宋体"/>
          <w:b/>
          <w:sz w:val="44"/>
          <w:szCs w:val="44"/>
          <w:shd w:val="clear" w:color="auto" w:fill="FFFFFF"/>
        </w:rPr>
        <w:t>2021年茂县自然资源局整体支出</w:t>
      </w:r>
    </w:p>
    <w:p>
      <w:pPr>
        <w:widowControl/>
        <w:spacing w:line="576" w:lineRule="exact"/>
        <w:contextualSpacing/>
        <w:jc w:val="center"/>
        <w:rPr>
          <w:rFonts w:ascii="宋体" w:hAnsi="宋体"/>
          <w:b/>
          <w:sz w:val="44"/>
          <w:szCs w:val="44"/>
          <w:shd w:val="clear" w:color="auto" w:fill="FFFFFF"/>
        </w:rPr>
      </w:pPr>
      <w:r>
        <w:rPr>
          <w:rFonts w:hint="eastAsia" w:ascii="宋体" w:hAnsi="宋体"/>
          <w:b/>
          <w:sz w:val="44"/>
          <w:szCs w:val="44"/>
          <w:shd w:val="clear" w:color="auto" w:fill="FFFFFF"/>
        </w:rPr>
        <w:t>绩效评价报告</w:t>
      </w:r>
    </w:p>
    <w:p>
      <w:pPr>
        <w:widowControl/>
        <w:adjustRightInd w:val="0"/>
        <w:snapToGrid w:val="0"/>
        <w:spacing w:line="576"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单位概况</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rPr>
        <w:t>自然资源局按照“三定方案”</w:t>
      </w:r>
      <w:r>
        <w:rPr>
          <w:rFonts w:hint="eastAsia" w:ascii="仿宋_GB2312" w:hAnsi="宋体" w:eastAsia="仿宋_GB2312" w:cs="宋体"/>
          <w:color w:val="000000"/>
          <w:kern w:val="0"/>
          <w:sz w:val="32"/>
          <w:szCs w:val="32"/>
          <w:shd w:val="clear" w:color="auto" w:fill="FFFFFF"/>
          <w:lang w:val="zh-CN"/>
        </w:rPr>
        <w:t>内设办公室、</w:t>
      </w:r>
      <w:r>
        <w:rPr>
          <w:rFonts w:hint="eastAsia" w:ascii="仿宋_GB2312" w:hAnsi="宋体" w:eastAsia="仿宋_GB2312" w:cs="宋体"/>
          <w:color w:val="000000"/>
          <w:kern w:val="0"/>
          <w:sz w:val="32"/>
          <w:szCs w:val="32"/>
          <w:shd w:val="clear" w:color="auto" w:fill="FFFFFF"/>
        </w:rPr>
        <w:t>信访法规和执法监察</w:t>
      </w:r>
      <w:r>
        <w:rPr>
          <w:rFonts w:hint="eastAsia" w:ascii="仿宋_GB2312" w:hAnsi="宋体" w:eastAsia="仿宋_GB2312" w:cs="宋体"/>
          <w:color w:val="000000"/>
          <w:kern w:val="0"/>
          <w:sz w:val="32"/>
          <w:szCs w:val="32"/>
          <w:shd w:val="clear" w:color="auto" w:fill="FFFFFF"/>
          <w:lang w:val="zh-CN"/>
        </w:rPr>
        <w:t>股、</w:t>
      </w:r>
      <w:r>
        <w:rPr>
          <w:rFonts w:hint="eastAsia" w:ascii="仿宋_GB2312" w:hAnsi="宋体" w:eastAsia="仿宋_GB2312" w:cs="宋体"/>
          <w:color w:val="000000"/>
          <w:kern w:val="0"/>
          <w:sz w:val="32"/>
          <w:szCs w:val="32"/>
          <w:shd w:val="clear" w:color="auto" w:fill="FFFFFF"/>
        </w:rPr>
        <w:t>国土空间用途管制</w:t>
      </w:r>
      <w:r>
        <w:rPr>
          <w:rFonts w:hint="eastAsia" w:ascii="仿宋_GB2312" w:hAnsi="宋体" w:eastAsia="仿宋_GB2312" w:cs="宋体"/>
          <w:color w:val="000000"/>
          <w:kern w:val="0"/>
          <w:sz w:val="32"/>
          <w:szCs w:val="32"/>
          <w:shd w:val="clear" w:color="auto" w:fill="FFFFFF"/>
          <w:lang w:val="zh-CN"/>
        </w:rPr>
        <w:t>股、</w:t>
      </w:r>
      <w:r>
        <w:rPr>
          <w:rFonts w:hint="eastAsia" w:ascii="仿宋_GB2312" w:hAnsi="宋体" w:eastAsia="仿宋_GB2312" w:cs="宋体"/>
          <w:color w:val="000000"/>
          <w:kern w:val="0"/>
          <w:sz w:val="32"/>
          <w:szCs w:val="32"/>
          <w:shd w:val="clear" w:color="auto" w:fill="FFFFFF"/>
        </w:rPr>
        <w:t>自然资源开发利用</w:t>
      </w:r>
      <w:r>
        <w:rPr>
          <w:rFonts w:hint="eastAsia" w:ascii="仿宋_GB2312" w:hAnsi="宋体" w:eastAsia="仿宋_GB2312" w:cs="宋体"/>
          <w:color w:val="000000"/>
          <w:kern w:val="0"/>
          <w:sz w:val="32"/>
          <w:szCs w:val="32"/>
          <w:shd w:val="clear" w:color="auto" w:fill="FFFFFF"/>
          <w:lang w:val="zh-CN"/>
        </w:rPr>
        <w:t>股</w:t>
      </w:r>
      <w:r>
        <w:rPr>
          <w:rFonts w:hint="eastAsia" w:ascii="仿宋_GB2312" w:hAnsi="宋体" w:eastAsia="仿宋_GB2312" w:cs="宋体"/>
          <w:color w:val="000000"/>
          <w:kern w:val="0"/>
          <w:sz w:val="32"/>
          <w:szCs w:val="32"/>
          <w:shd w:val="clear" w:color="auto" w:fill="FFFFFF"/>
        </w:rPr>
        <w:t>4</w:t>
      </w:r>
      <w:r>
        <w:rPr>
          <w:rFonts w:hint="eastAsia" w:ascii="仿宋_GB2312" w:hAnsi="宋体" w:eastAsia="仿宋_GB2312" w:cs="宋体"/>
          <w:color w:val="000000"/>
          <w:kern w:val="0"/>
          <w:sz w:val="32"/>
          <w:szCs w:val="32"/>
          <w:shd w:val="clear" w:color="auto" w:fill="FFFFFF"/>
          <w:lang w:val="zh-CN"/>
        </w:rPr>
        <w:t>个职能股室。</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1.履行全民所有土地、矿产、森林、草原、湿地、水等自然资源资产所有者职责和所有国土空间用途管制职责；</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2.负责全县自然资源调查监测评价；</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3.负责全县自然资源统一确权登记工作；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4.负责全县自然资源资产有偿使用工作；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5.负责全县自然资源的合理开发利用；</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6.负责建立全县空间规划体系并监督实施；</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7.负责统筹全县国土空间生态修复；</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8.负责组织实施最严格的耕地保护制度；</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9.负责管理全县地质勘查行业和地质工作；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10.负责落实综合防灾减灾规划相关要求；</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11.负责全县矿产资源管理工作；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12.负责全县测绘地理信息工作；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13.推动全县自然资源领域科技发展和对外合作；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14.配合国家、省、州对县人民政府落实党中央、国务院关于自然资源和国土空间规划的重大方针政策、决策部署及法律法规执行情况进行督察；</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15.负责职责范围内的安全生产和职业健康、生态环境保护、审批服务便民化及行政执法等工作；</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16.完成县委、县人民政府交办的其他任务。</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76" w:lineRule="exact"/>
        <w:ind w:firstLine="720"/>
        <w:jc w:val="left"/>
        <w:rPr>
          <w:rFonts w:ascii="仿宋_GB2312" w:hAnsi="宋体" w:eastAsia="仿宋_GB2312" w:cs="宋体"/>
          <w:kern w:val="0"/>
          <w:sz w:val="32"/>
          <w:szCs w:val="32"/>
          <w:shd w:val="clear" w:color="auto" w:fill="FFFFFF"/>
        </w:rPr>
      </w:pPr>
      <w:r>
        <w:rPr>
          <w:rFonts w:hint="eastAsia" w:ascii="仿宋_GB2312" w:eastAsia="仿宋_GB2312"/>
          <w:sz w:val="32"/>
          <w:szCs w:val="32"/>
        </w:rPr>
        <w:t>自然资源局为行政单位，</w:t>
      </w:r>
      <w:r>
        <w:rPr>
          <w:rFonts w:hint="eastAsia" w:ascii="仿宋_GB2312" w:hAnsi="宋体" w:eastAsia="仿宋_GB2312" w:cs="宋体"/>
          <w:kern w:val="0"/>
          <w:sz w:val="32"/>
          <w:szCs w:val="32"/>
          <w:shd w:val="clear" w:color="auto" w:fill="FFFFFF"/>
        </w:rPr>
        <w:t>我局现有行政编制7人，行政工勤编制2人，参公编制10人，事业编制42人。在职行政人员5人，行政工勤2人，参公人员5人，事业人员41人，退休人员14人。</w:t>
      </w: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suppressAutoHyphens/>
        <w:adjustRightInd w:val="0"/>
        <w:snapToGrid w:val="0"/>
        <w:spacing w:line="576" w:lineRule="exact"/>
        <w:ind w:firstLine="720"/>
        <w:jc w:val="left"/>
        <w:rPr>
          <w:rFonts w:ascii="仿宋_GB2312" w:eastAsia="仿宋_GB2312"/>
          <w:sz w:val="32"/>
          <w:szCs w:val="32"/>
        </w:rPr>
      </w:pPr>
      <w:r>
        <w:rPr>
          <w:rFonts w:hint="eastAsia" w:ascii="仿宋_GB2312" w:eastAsia="仿宋_GB2312"/>
          <w:sz w:val="32"/>
          <w:szCs w:val="32"/>
        </w:rPr>
        <w:t>2021年</w:t>
      </w:r>
      <w:r>
        <w:rPr>
          <w:rFonts w:hint="eastAsia" w:ascii="仿宋" w:hAnsi="仿宋" w:eastAsia="仿宋"/>
          <w:sz w:val="32"/>
          <w:szCs w:val="32"/>
        </w:rPr>
        <w:t>我单位收入合计8907.19万元，其中：一般公共预算财政拨款收入8199.99万元，政府性基金预算财政拨款收入</w:t>
      </w:r>
      <w:r>
        <w:rPr>
          <w:rFonts w:ascii="仿宋" w:hAnsi="仿宋" w:eastAsia="仿宋"/>
          <w:sz w:val="32"/>
          <w:szCs w:val="32"/>
        </w:rPr>
        <w:t>707.20</w:t>
      </w:r>
      <w:r>
        <w:rPr>
          <w:rFonts w:hint="eastAsia" w:ascii="仿宋" w:hAnsi="仿宋" w:eastAsia="仿宋"/>
          <w:sz w:val="32"/>
          <w:szCs w:val="32"/>
        </w:rPr>
        <w:t>万元。</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widowControl/>
        <w:adjustRightInd w:val="0"/>
        <w:snapToGrid w:val="0"/>
        <w:spacing w:line="576" w:lineRule="exact"/>
        <w:ind w:firstLine="720"/>
        <w:jc w:val="left"/>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21年支出合计</w:t>
      </w:r>
      <w:r>
        <w:rPr>
          <w:rFonts w:hint="eastAsia" w:eastAsia="仿宋_GB2312"/>
          <w:sz w:val="32"/>
        </w:rPr>
        <w:t>11384.73</w:t>
      </w:r>
      <w:r>
        <w:rPr>
          <w:rFonts w:hint="eastAsia" w:ascii="仿宋" w:hAnsi="仿宋" w:eastAsia="仿宋"/>
          <w:sz w:val="32"/>
          <w:szCs w:val="32"/>
        </w:rPr>
        <w:t>万元，其中：一般公共预算财政拨款支出9954.45万元，政府性基金预算财政拨款支出1430.28万元。</w:t>
      </w: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（一）部门预算项目绩效管理。</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1．预算编制。每年11月，财务室根据县财政局下达的部门预算编制任务和要求，向各业务科室布置预算项目资金申报工作。</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2．预算申报。按财政时间节点要求，各业务科室根据次年重点工作目标任务和计划，提出真实详细的项目预算资金申请及制定绩效目标，由财务室汇总经局领导审核同意后录入预算管理系统报县财政局审批。</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3．预算管理。加强对财政预算安排的项目资金的管理工作，保证项目资金按计划、进度执行，专款专用，不虚列支出，不截留、挤占、挪用、浪费、套取和转移项目资金。</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shd w:val="clear" w:color="auto" w:fill="FFFFFF"/>
        <w:spacing w:line="576" w:lineRule="exact"/>
        <w:ind w:firstLine="640"/>
        <w:jc w:val="left"/>
        <w:rPr>
          <w:rFonts w:eastAsia="仿宋_GB2312"/>
          <w:color w:val="000000"/>
          <w:kern w:val="0"/>
          <w:szCs w:val="21"/>
        </w:rPr>
      </w:pPr>
      <w:r>
        <w:rPr>
          <w:rFonts w:hint="eastAsia" w:ascii="仿宋_GB2312" w:eastAsia="仿宋_GB2312"/>
          <w:color w:val="000000"/>
          <w:kern w:val="0"/>
          <w:sz w:val="32"/>
          <w:szCs w:val="32"/>
        </w:rPr>
        <w:t>1.严格执行财务管理制度。严格执行财经纪律相关规定，严控"三公经费"、会议费、培训费、差旅费等支出。严格报账程序，严把票据审核关。认真做好会计核算，做到账账相符、账实相符。强化内控建设，防范防控岗位风险,确保各项工作有序运转。</w:t>
      </w:r>
    </w:p>
    <w:p>
      <w:pPr>
        <w:widowControl/>
        <w:shd w:val="clear" w:color="auto" w:fill="FFFFFF"/>
        <w:spacing w:line="576" w:lineRule="exact"/>
        <w:ind w:firstLine="640"/>
        <w:jc w:val="left"/>
        <w:rPr>
          <w:rFonts w:eastAsia="仿宋_GB2312"/>
          <w:color w:val="000000"/>
          <w:kern w:val="0"/>
          <w:szCs w:val="21"/>
        </w:rPr>
      </w:pPr>
      <w:r>
        <w:rPr>
          <w:rFonts w:hint="eastAsia" w:ascii="仿宋_GB2312" w:eastAsia="仿宋_GB2312"/>
          <w:color w:val="000000"/>
          <w:kern w:val="0"/>
          <w:sz w:val="32"/>
          <w:szCs w:val="32"/>
        </w:rPr>
        <w:t>2.加强政府采购管理。严格按照《政府采购法》和《政府采购法实施条例》等相关管理规定，根据省采购目录和财政部门预算管理要求，编制政府采购计划。采购前,各股室与县财政等相关单位做好事前沟通,做好采购政策咨询，了解相关业务规范；采购中,合理选择采购方式，确保采购流程合理合规，做好采购项目信息的公开公示工作；采购后,抓好采购项目的监管工作，严把质量关力求实效。</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color w:val="000000"/>
          <w:kern w:val="0"/>
          <w:sz w:val="32"/>
          <w:szCs w:val="32"/>
        </w:rPr>
        <w:t>3.加强政府信息公开。2021年，我局严格按照县关于全面推进政府信息公开工作的统一安排部署，突出重点，狠抓落实，细化公开内容，拓宽公开渠道，不断提高政府信息公开的质量和实效。</w:t>
      </w:r>
    </w:p>
    <w:p>
      <w:pPr>
        <w:widowControl/>
        <w:numPr>
          <w:ilvl w:val="0"/>
          <w:numId w:val="2"/>
        </w:numPr>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自评质量</w:t>
      </w:r>
    </w:p>
    <w:p>
      <w:pPr>
        <w:widowControl/>
        <w:adjustRightInd w:val="0"/>
        <w:snapToGrid w:val="0"/>
        <w:spacing w:line="576" w:lineRule="exact"/>
        <w:contextualSpacing/>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 xml:space="preserve">    根据《部门整体支出绩效评价指标》评分，得分81.82分。</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lang w:val="zh-CN"/>
        </w:rPr>
        <w:t>（一）评价结论。</w:t>
      </w:r>
    </w:p>
    <w:p>
      <w:pPr>
        <w:shd w:val="clear" w:color="auto" w:fill="FFFFFF"/>
        <w:spacing w:line="576" w:lineRule="exact"/>
        <w:ind w:firstLine="640"/>
        <w:rPr>
          <w:rFonts w:eastAsia="仿宋_GB2312"/>
          <w:color w:val="000000"/>
          <w:kern w:val="0"/>
          <w:szCs w:val="21"/>
        </w:rPr>
      </w:pPr>
      <w:r>
        <w:rPr>
          <w:rFonts w:hint="eastAsia" w:ascii="仿宋_GB2312" w:hAnsi="宋体" w:eastAsia="仿宋_GB2312" w:cs="宋体"/>
          <w:color w:val="000000"/>
          <w:kern w:val="0"/>
          <w:sz w:val="32"/>
          <w:szCs w:val="32"/>
          <w:shd w:val="clear" w:color="auto" w:fill="FFFFFF"/>
        </w:rPr>
        <w:t>2021</w:t>
      </w:r>
      <w:r>
        <w:rPr>
          <w:rFonts w:hint="eastAsia" w:ascii="仿宋_GB2312" w:eastAsia="仿宋_GB2312"/>
          <w:color w:val="000000"/>
          <w:kern w:val="0"/>
          <w:sz w:val="32"/>
          <w:szCs w:val="32"/>
        </w:rPr>
        <w:t>年，我局严格按照年初预算批复认真组织实施, 严格执行财经纪律相关管理规定，确保了单位正常运行和重大项目的实施，较好地完成了2021年部门预算编制和决算工作, 2021年目标任务基本完成，预算执行情况较好。</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color w:val="000000"/>
          <w:kern w:val="0"/>
          <w:sz w:val="32"/>
          <w:szCs w:val="32"/>
        </w:rPr>
        <w:t>存在预算编制不够完善,个别项目进度缓慢、绩效管理工作有待加强等问题。</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spacing w:line="580" w:lineRule="exact"/>
        <w:ind w:firstLine="640" w:firstLineChars="200"/>
        <w:rPr>
          <w:rFonts w:ascii="仿宋_GB2312" w:hAnsi="仿宋_GB2312" w:eastAsia="仿宋_GB2312" w:cs="仿宋_GB2312"/>
          <w:sz w:val="32"/>
          <w:szCs w:val="32"/>
        </w:rPr>
      </w:pPr>
      <w:r>
        <w:rPr>
          <w:rFonts w:hint="eastAsia" w:ascii="仿宋_GB2312" w:eastAsia="仿宋_GB2312"/>
          <w:color w:val="000000"/>
          <w:kern w:val="0"/>
          <w:sz w:val="32"/>
          <w:szCs w:val="32"/>
        </w:rPr>
        <w:t>在今后的工作中,我局将严格按照《预算法》的要求，加强预算编制的科学性、合理性，让预算编制更贴合实际，使项目预算与工作结合更加紧密。严格按照批复预算执行，按照项目开展进度有计划申请资金及时支付。</w:t>
      </w:r>
    </w:p>
    <w:p>
      <w:pPr>
        <w:widowControl/>
        <w:jc w:val="left"/>
        <w:rPr>
          <w:rFonts w:ascii="黑体" w:hAnsi="黑体" w:eastAsia="黑体"/>
          <w:color w:val="000000"/>
          <w:sz w:val="44"/>
          <w:szCs w:val="44"/>
        </w:rPr>
      </w:pPr>
      <w:bookmarkStart w:id="58" w:name="_Toc79163635"/>
      <w:bookmarkStart w:id="59" w:name="_Toc15396618"/>
      <w:bookmarkStart w:id="60" w:name="_Toc79163885"/>
      <w:r>
        <w:rPr>
          <w:rFonts w:ascii="黑体" w:hAnsi="黑体" w:eastAsia="黑体"/>
          <w:color w:val="000000"/>
          <w:sz w:val="44"/>
          <w:szCs w:val="44"/>
        </w:rPr>
        <w:br w:type="page"/>
      </w:r>
    </w:p>
    <w:p>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b w:val="0"/>
        </w:rPr>
        <w:t>五部分</w:t>
      </w:r>
      <w:r>
        <w:rPr>
          <w:rStyle w:val="28"/>
          <w:rFonts w:ascii="黑体" w:hAnsi="黑体" w:eastAsia="黑体"/>
          <w:b w:val="0"/>
        </w:rPr>
        <w:t xml:space="preserve"> </w:t>
      </w:r>
      <w:r>
        <w:rPr>
          <w:rStyle w:val="28"/>
          <w:rFonts w:hint="eastAsia" w:ascii="黑体" w:hAnsi="黑体" w:eastAsia="黑体"/>
          <w:b w:val="0"/>
        </w:rPr>
        <w:t>附表</w:t>
      </w:r>
      <w:bookmarkEnd w:id="58"/>
      <w:bookmarkEnd w:id="59"/>
      <w:bookmarkEnd w:id="60"/>
    </w:p>
    <w:p>
      <w:pPr>
        <w:pStyle w:val="4"/>
        <w:rPr>
          <w:rFonts w:ascii="仿宋" w:hAnsi="仿宋" w:eastAsia="仿宋"/>
          <w:color w:val="000000"/>
        </w:rPr>
      </w:pPr>
      <w:bookmarkStart w:id="61" w:name="_Toc79163636"/>
      <w:bookmarkStart w:id="62" w:name="_Toc79163886"/>
      <w:bookmarkStart w:id="63"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61"/>
      <w:bookmarkEnd w:id="62"/>
      <w:bookmarkEnd w:id="63"/>
    </w:p>
    <w:p>
      <w:pPr>
        <w:pStyle w:val="4"/>
        <w:rPr>
          <w:rFonts w:ascii="仿宋" w:hAnsi="仿宋" w:eastAsia="仿宋"/>
          <w:color w:val="000000"/>
        </w:rPr>
      </w:pPr>
      <w:bookmarkStart w:id="64" w:name="_Toc79163887"/>
      <w:bookmarkStart w:id="65" w:name="_Toc15396620"/>
      <w:bookmarkStart w:id="66" w:name="_Toc79163637"/>
      <w:r>
        <w:rPr>
          <w:rFonts w:hint="eastAsia" w:ascii="仿宋" w:hAnsi="仿宋" w:eastAsia="仿宋"/>
          <w:b w:val="0"/>
          <w:color w:val="000000"/>
        </w:rPr>
        <w:t>二、收</w:t>
      </w:r>
      <w:r>
        <w:rPr>
          <w:rStyle w:val="29"/>
          <w:rFonts w:hint="eastAsia" w:ascii="仿宋" w:hAnsi="仿宋" w:eastAsia="仿宋"/>
          <w:b w:val="0"/>
          <w:bCs w:val="0"/>
        </w:rPr>
        <w:t>入决算表</w:t>
      </w:r>
      <w:bookmarkEnd w:id="64"/>
      <w:bookmarkEnd w:id="65"/>
      <w:bookmarkEnd w:id="66"/>
    </w:p>
    <w:p>
      <w:pPr>
        <w:pStyle w:val="4"/>
        <w:rPr>
          <w:rFonts w:ascii="仿宋" w:hAnsi="仿宋" w:eastAsia="仿宋"/>
          <w:color w:val="000000"/>
        </w:rPr>
      </w:pPr>
      <w:bookmarkStart w:id="67" w:name="_Toc15396621"/>
      <w:bookmarkStart w:id="68" w:name="_Toc79163638"/>
      <w:bookmarkStart w:id="69" w:name="_Toc79163888"/>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67"/>
      <w:bookmarkEnd w:id="68"/>
      <w:bookmarkEnd w:id="69"/>
    </w:p>
    <w:p>
      <w:pPr>
        <w:pStyle w:val="4"/>
        <w:rPr>
          <w:rFonts w:ascii="仿宋" w:hAnsi="仿宋" w:eastAsia="仿宋"/>
          <w:b w:val="0"/>
          <w:color w:val="000000"/>
        </w:rPr>
      </w:pPr>
      <w:bookmarkStart w:id="70" w:name="_Toc15396622"/>
      <w:bookmarkStart w:id="71" w:name="_Toc79163889"/>
      <w:bookmarkStart w:id="72" w:name="_Toc79163639"/>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70"/>
      <w:bookmarkEnd w:id="71"/>
      <w:bookmarkEnd w:id="72"/>
    </w:p>
    <w:p>
      <w:pPr>
        <w:pStyle w:val="4"/>
        <w:rPr>
          <w:rStyle w:val="29"/>
          <w:rFonts w:ascii="仿宋" w:hAnsi="仿宋" w:eastAsia="仿宋"/>
          <w:b w:val="0"/>
          <w:bCs w:val="0"/>
        </w:rPr>
      </w:pPr>
      <w:bookmarkStart w:id="73" w:name="_Toc79163640"/>
      <w:bookmarkStart w:id="74" w:name="_Toc79163890"/>
      <w:bookmarkStart w:id="75"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73"/>
      <w:bookmarkEnd w:id="74"/>
      <w:bookmarkEnd w:id="75"/>
      <w:bookmarkStart w:id="76" w:name="_Toc15396624"/>
    </w:p>
    <w:p>
      <w:pPr>
        <w:pStyle w:val="4"/>
        <w:rPr>
          <w:rFonts w:ascii="仿宋" w:hAnsi="仿宋" w:eastAsia="仿宋"/>
          <w:color w:val="000000"/>
        </w:rPr>
      </w:pPr>
      <w:bookmarkStart w:id="77" w:name="_Toc79163641"/>
      <w:bookmarkStart w:id="78" w:name="_Toc79163891"/>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76"/>
      <w:bookmarkEnd w:id="77"/>
      <w:bookmarkEnd w:id="78"/>
    </w:p>
    <w:p>
      <w:pPr>
        <w:pStyle w:val="4"/>
        <w:rPr>
          <w:rFonts w:ascii="仿宋" w:hAnsi="仿宋" w:eastAsia="仿宋"/>
          <w:color w:val="000000"/>
        </w:rPr>
      </w:pPr>
      <w:bookmarkStart w:id="79" w:name="_Toc15396625"/>
      <w:bookmarkStart w:id="80" w:name="_Toc79163642"/>
      <w:bookmarkStart w:id="81" w:name="_Toc79163892"/>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79"/>
      <w:bookmarkEnd w:id="80"/>
      <w:bookmarkEnd w:id="81"/>
    </w:p>
    <w:p>
      <w:pPr>
        <w:pStyle w:val="4"/>
        <w:rPr>
          <w:rFonts w:ascii="仿宋" w:hAnsi="仿宋" w:eastAsia="仿宋"/>
          <w:color w:val="000000"/>
        </w:rPr>
      </w:pPr>
      <w:bookmarkStart w:id="82" w:name="_Toc79163643"/>
      <w:bookmarkStart w:id="83" w:name="_Toc79163893"/>
      <w:bookmarkStart w:id="84"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82"/>
      <w:bookmarkEnd w:id="83"/>
      <w:bookmarkEnd w:id="84"/>
    </w:p>
    <w:p>
      <w:pPr>
        <w:pStyle w:val="4"/>
        <w:rPr>
          <w:rFonts w:ascii="仿宋" w:hAnsi="仿宋" w:eastAsia="仿宋"/>
          <w:color w:val="000000"/>
        </w:rPr>
      </w:pPr>
      <w:bookmarkStart w:id="85" w:name="_Toc79163894"/>
      <w:bookmarkStart w:id="86" w:name="_Toc15396627"/>
      <w:bookmarkStart w:id="87" w:name="_Toc79163644"/>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85"/>
      <w:bookmarkEnd w:id="86"/>
      <w:bookmarkEnd w:id="87"/>
    </w:p>
    <w:p>
      <w:pPr>
        <w:pStyle w:val="4"/>
        <w:rPr>
          <w:rFonts w:ascii="仿宋" w:hAnsi="仿宋" w:eastAsia="仿宋"/>
          <w:color w:val="000000"/>
        </w:rPr>
      </w:pPr>
      <w:bookmarkStart w:id="88" w:name="_Toc79163645"/>
      <w:bookmarkStart w:id="89" w:name="_Toc79163895"/>
      <w:bookmarkStart w:id="90"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88"/>
      <w:bookmarkEnd w:id="89"/>
      <w:bookmarkEnd w:id="90"/>
    </w:p>
    <w:p>
      <w:pPr>
        <w:pStyle w:val="4"/>
        <w:rPr>
          <w:rFonts w:ascii="仿宋" w:hAnsi="仿宋" w:eastAsia="仿宋"/>
          <w:color w:val="000000"/>
        </w:rPr>
      </w:pPr>
      <w:bookmarkStart w:id="91" w:name="_Toc15396629"/>
      <w:bookmarkStart w:id="92" w:name="_Toc79163896"/>
      <w:bookmarkStart w:id="93" w:name="_Toc79163646"/>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91"/>
      <w:bookmarkEnd w:id="92"/>
      <w:bookmarkEnd w:id="93"/>
    </w:p>
    <w:p>
      <w:pPr>
        <w:pStyle w:val="4"/>
        <w:rPr>
          <w:rFonts w:ascii="仿宋" w:hAnsi="仿宋" w:eastAsia="仿宋"/>
          <w:color w:val="000000"/>
        </w:rPr>
      </w:pPr>
      <w:bookmarkStart w:id="94" w:name="_Toc79163647"/>
      <w:bookmarkStart w:id="95" w:name="_Toc79163897"/>
      <w:bookmarkStart w:id="96"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94"/>
      <w:bookmarkEnd w:id="95"/>
      <w:bookmarkEnd w:id="96"/>
    </w:p>
    <w:p>
      <w:pPr>
        <w:pStyle w:val="4"/>
        <w:rPr>
          <w:rStyle w:val="29"/>
          <w:rFonts w:ascii="仿宋" w:hAnsi="仿宋" w:eastAsia="仿宋"/>
          <w:b w:val="0"/>
          <w:bCs w:val="0"/>
        </w:rPr>
      </w:pPr>
      <w:bookmarkStart w:id="97" w:name="_Toc79163898"/>
      <w:bookmarkStart w:id="98" w:name="_Toc79163648"/>
      <w:bookmarkStart w:id="99" w:name="_Toc15396631"/>
      <w:r>
        <w:rPr>
          <w:rStyle w:val="29"/>
          <w:rFonts w:hint="eastAsia" w:ascii="仿宋" w:hAnsi="仿宋" w:eastAsia="仿宋"/>
          <w:b w:val="0"/>
          <w:bCs w:val="0"/>
        </w:rPr>
        <w:t>十三、</w:t>
      </w:r>
      <w:bookmarkEnd w:id="97"/>
      <w:bookmarkEnd w:id="98"/>
      <w:bookmarkEnd w:id="99"/>
      <w:r>
        <w:rPr>
          <w:rStyle w:val="29"/>
          <w:rFonts w:hint="eastAsia" w:ascii="仿宋" w:hAnsi="仿宋" w:eastAsia="仿宋"/>
          <w:b w:val="0"/>
          <w:bCs w:val="0"/>
        </w:rPr>
        <w:t>国有资本经营预算财政拨款收入支出决算表</w:t>
      </w:r>
    </w:p>
    <w:p>
      <w:pPr>
        <w:pStyle w:val="4"/>
        <w:rPr>
          <w:rFonts w:eastAsia="仿宋"/>
        </w:rPr>
      </w:pPr>
      <w:r>
        <w:rPr>
          <w:rStyle w:val="29"/>
          <w:rFonts w:hint="eastAsia" w:ascii="仿宋" w:hAnsi="仿宋" w:eastAsia="仿宋"/>
          <w:b w:val="0"/>
          <w:bCs w:val="0"/>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3</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3E794925"/>
    <w:multiLevelType w:val="singleLevel"/>
    <w:tmpl w:val="3E794925"/>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15A2"/>
    <w:rsid w:val="00003C0D"/>
    <w:rsid w:val="000222C6"/>
    <w:rsid w:val="000230BE"/>
    <w:rsid w:val="00025226"/>
    <w:rsid w:val="0002549F"/>
    <w:rsid w:val="0002749D"/>
    <w:rsid w:val="0006487A"/>
    <w:rsid w:val="00065F8F"/>
    <w:rsid w:val="000768F2"/>
    <w:rsid w:val="0009184B"/>
    <w:rsid w:val="0009593C"/>
    <w:rsid w:val="000B047F"/>
    <w:rsid w:val="000B202D"/>
    <w:rsid w:val="000B5923"/>
    <w:rsid w:val="000B5A48"/>
    <w:rsid w:val="000B6FF3"/>
    <w:rsid w:val="000C3467"/>
    <w:rsid w:val="000C3CA6"/>
    <w:rsid w:val="000D1267"/>
    <w:rsid w:val="000D1D50"/>
    <w:rsid w:val="000D304F"/>
    <w:rsid w:val="000D5782"/>
    <w:rsid w:val="000E6613"/>
    <w:rsid w:val="000E7119"/>
    <w:rsid w:val="00107CCA"/>
    <w:rsid w:val="00114E9B"/>
    <w:rsid w:val="0014729F"/>
    <w:rsid w:val="00157BAB"/>
    <w:rsid w:val="001654D1"/>
    <w:rsid w:val="0018106D"/>
    <w:rsid w:val="001877A7"/>
    <w:rsid w:val="00191536"/>
    <w:rsid w:val="00196687"/>
    <w:rsid w:val="001B1FA9"/>
    <w:rsid w:val="001C0962"/>
    <w:rsid w:val="001D342B"/>
    <w:rsid w:val="001D6C1E"/>
    <w:rsid w:val="001D7531"/>
    <w:rsid w:val="001E737D"/>
    <w:rsid w:val="001F0592"/>
    <w:rsid w:val="001F7506"/>
    <w:rsid w:val="002006CD"/>
    <w:rsid w:val="00202B36"/>
    <w:rsid w:val="00204B7A"/>
    <w:rsid w:val="0021101A"/>
    <w:rsid w:val="002110A9"/>
    <w:rsid w:val="0021334C"/>
    <w:rsid w:val="00220536"/>
    <w:rsid w:val="00235629"/>
    <w:rsid w:val="00260C38"/>
    <w:rsid w:val="002616C0"/>
    <w:rsid w:val="002662AA"/>
    <w:rsid w:val="00280496"/>
    <w:rsid w:val="00295495"/>
    <w:rsid w:val="002A7AE1"/>
    <w:rsid w:val="002B2613"/>
    <w:rsid w:val="002B2F51"/>
    <w:rsid w:val="002B544A"/>
    <w:rsid w:val="002C3C0D"/>
    <w:rsid w:val="002C5994"/>
    <w:rsid w:val="002E3CA8"/>
    <w:rsid w:val="002F1818"/>
    <w:rsid w:val="002F567B"/>
    <w:rsid w:val="00317FD1"/>
    <w:rsid w:val="003216A9"/>
    <w:rsid w:val="00335ED6"/>
    <w:rsid w:val="0037013F"/>
    <w:rsid w:val="00380C92"/>
    <w:rsid w:val="003A042C"/>
    <w:rsid w:val="003A484F"/>
    <w:rsid w:val="003B0BE0"/>
    <w:rsid w:val="003B0C1B"/>
    <w:rsid w:val="003B688C"/>
    <w:rsid w:val="003C0291"/>
    <w:rsid w:val="003C39AE"/>
    <w:rsid w:val="003C7B60"/>
    <w:rsid w:val="003D1FB2"/>
    <w:rsid w:val="003D66DA"/>
    <w:rsid w:val="003E1310"/>
    <w:rsid w:val="003E6F55"/>
    <w:rsid w:val="00406254"/>
    <w:rsid w:val="004145AD"/>
    <w:rsid w:val="004223DE"/>
    <w:rsid w:val="00434489"/>
    <w:rsid w:val="00437085"/>
    <w:rsid w:val="00443880"/>
    <w:rsid w:val="004464F4"/>
    <w:rsid w:val="004657F1"/>
    <w:rsid w:val="00471401"/>
    <w:rsid w:val="00473F31"/>
    <w:rsid w:val="0048263A"/>
    <w:rsid w:val="00486E3E"/>
    <w:rsid w:val="00487E5D"/>
    <w:rsid w:val="0049177B"/>
    <w:rsid w:val="004A711F"/>
    <w:rsid w:val="004B199D"/>
    <w:rsid w:val="004B4690"/>
    <w:rsid w:val="004B785F"/>
    <w:rsid w:val="004E0A2D"/>
    <w:rsid w:val="004E206B"/>
    <w:rsid w:val="004E6DF7"/>
    <w:rsid w:val="004F0FBD"/>
    <w:rsid w:val="00505A47"/>
    <w:rsid w:val="00512FDA"/>
    <w:rsid w:val="00520DA0"/>
    <w:rsid w:val="0055106D"/>
    <w:rsid w:val="005664BB"/>
    <w:rsid w:val="0057481D"/>
    <w:rsid w:val="0058486E"/>
    <w:rsid w:val="00597919"/>
    <w:rsid w:val="005B415B"/>
    <w:rsid w:val="005B553C"/>
    <w:rsid w:val="005C52C6"/>
    <w:rsid w:val="005D1C8B"/>
    <w:rsid w:val="005D5CED"/>
    <w:rsid w:val="005E3365"/>
    <w:rsid w:val="005E5517"/>
    <w:rsid w:val="005F1A4C"/>
    <w:rsid w:val="00605688"/>
    <w:rsid w:val="006070AF"/>
    <w:rsid w:val="00607E6C"/>
    <w:rsid w:val="006101B1"/>
    <w:rsid w:val="00614E44"/>
    <w:rsid w:val="00622830"/>
    <w:rsid w:val="00630AEF"/>
    <w:rsid w:val="006325F8"/>
    <w:rsid w:val="006342AA"/>
    <w:rsid w:val="00634C9A"/>
    <w:rsid w:val="00643C0A"/>
    <w:rsid w:val="006440E4"/>
    <w:rsid w:val="0065182B"/>
    <w:rsid w:val="0066343B"/>
    <w:rsid w:val="00664777"/>
    <w:rsid w:val="00666366"/>
    <w:rsid w:val="006748A4"/>
    <w:rsid w:val="00683E73"/>
    <w:rsid w:val="006A1E7E"/>
    <w:rsid w:val="006A3141"/>
    <w:rsid w:val="006A5E34"/>
    <w:rsid w:val="006B2422"/>
    <w:rsid w:val="006B2B9A"/>
    <w:rsid w:val="006B7E39"/>
    <w:rsid w:val="006C1937"/>
    <w:rsid w:val="006F020C"/>
    <w:rsid w:val="007127B7"/>
    <w:rsid w:val="007231D9"/>
    <w:rsid w:val="007416B6"/>
    <w:rsid w:val="00746F48"/>
    <w:rsid w:val="0075404D"/>
    <w:rsid w:val="0076182A"/>
    <w:rsid w:val="00767B7E"/>
    <w:rsid w:val="007770C3"/>
    <w:rsid w:val="00784D24"/>
    <w:rsid w:val="00785FBA"/>
    <w:rsid w:val="00786E4A"/>
    <w:rsid w:val="007875EB"/>
    <w:rsid w:val="0079426B"/>
    <w:rsid w:val="007A762F"/>
    <w:rsid w:val="007D312A"/>
    <w:rsid w:val="007D3F19"/>
    <w:rsid w:val="007D7FE0"/>
    <w:rsid w:val="007E23B0"/>
    <w:rsid w:val="007E6A33"/>
    <w:rsid w:val="007F1991"/>
    <w:rsid w:val="007F2C2F"/>
    <w:rsid w:val="007F2D6D"/>
    <w:rsid w:val="007F55FC"/>
    <w:rsid w:val="007F5665"/>
    <w:rsid w:val="00800112"/>
    <w:rsid w:val="00804659"/>
    <w:rsid w:val="008068DA"/>
    <w:rsid w:val="00807797"/>
    <w:rsid w:val="008253BB"/>
    <w:rsid w:val="008261F5"/>
    <w:rsid w:val="0083706E"/>
    <w:rsid w:val="008423A5"/>
    <w:rsid w:val="00850625"/>
    <w:rsid w:val="008511F3"/>
    <w:rsid w:val="00853718"/>
    <w:rsid w:val="00855221"/>
    <w:rsid w:val="00860645"/>
    <w:rsid w:val="00862A9D"/>
    <w:rsid w:val="00871F71"/>
    <w:rsid w:val="00885AF4"/>
    <w:rsid w:val="00887A58"/>
    <w:rsid w:val="008939CD"/>
    <w:rsid w:val="00897199"/>
    <w:rsid w:val="008B768C"/>
    <w:rsid w:val="008C4DB1"/>
    <w:rsid w:val="008C4EAF"/>
    <w:rsid w:val="008C5176"/>
    <w:rsid w:val="008C7FD0"/>
    <w:rsid w:val="008D0A15"/>
    <w:rsid w:val="008E1DE7"/>
    <w:rsid w:val="008E707C"/>
    <w:rsid w:val="008F2936"/>
    <w:rsid w:val="00900B08"/>
    <w:rsid w:val="00902155"/>
    <w:rsid w:val="00902FA3"/>
    <w:rsid w:val="00923564"/>
    <w:rsid w:val="0092392E"/>
    <w:rsid w:val="009315F9"/>
    <w:rsid w:val="009337F3"/>
    <w:rsid w:val="00946945"/>
    <w:rsid w:val="00951248"/>
    <w:rsid w:val="0095152F"/>
    <w:rsid w:val="009540C0"/>
    <w:rsid w:val="00954C49"/>
    <w:rsid w:val="00967DDF"/>
    <w:rsid w:val="0097099F"/>
    <w:rsid w:val="00971997"/>
    <w:rsid w:val="00971FFC"/>
    <w:rsid w:val="00974188"/>
    <w:rsid w:val="009775F8"/>
    <w:rsid w:val="0098660A"/>
    <w:rsid w:val="009931C3"/>
    <w:rsid w:val="009A76D0"/>
    <w:rsid w:val="009B2C43"/>
    <w:rsid w:val="009B4EAE"/>
    <w:rsid w:val="009B7573"/>
    <w:rsid w:val="009C22F4"/>
    <w:rsid w:val="009C2E98"/>
    <w:rsid w:val="009D3447"/>
    <w:rsid w:val="009D4711"/>
    <w:rsid w:val="009E7FBF"/>
    <w:rsid w:val="009F1185"/>
    <w:rsid w:val="009F18CD"/>
    <w:rsid w:val="009F2A13"/>
    <w:rsid w:val="00A04EB0"/>
    <w:rsid w:val="00A13CC1"/>
    <w:rsid w:val="00A1637E"/>
    <w:rsid w:val="00A16847"/>
    <w:rsid w:val="00A237D8"/>
    <w:rsid w:val="00A268C4"/>
    <w:rsid w:val="00A307CD"/>
    <w:rsid w:val="00A3233A"/>
    <w:rsid w:val="00A40A00"/>
    <w:rsid w:val="00A4142F"/>
    <w:rsid w:val="00A51382"/>
    <w:rsid w:val="00A52260"/>
    <w:rsid w:val="00A56DF2"/>
    <w:rsid w:val="00A57F63"/>
    <w:rsid w:val="00A67AB5"/>
    <w:rsid w:val="00A91760"/>
    <w:rsid w:val="00A93B00"/>
    <w:rsid w:val="00A93C21"/>
    <w:rsid w:val="00AC3C6A"/>
    <w:rsid w:val="00AD5620"/>
    <w:rsid w:val="00AD7C1B"/>
    <w:rsid w:val="00AE16BA"/>
    <w:rsid w:val="00AE1EBE"/>
    <w:rsid w:val="00AE7003"/>
    <w:rsid w:val="00AF28DB"/>
    <w:rsid w:val="00B03C9D"/>
    <w:rsid w:val="00B060AE"/>
    <w:rsid w:val="00B10517"/>
    <w:rsid w:val="00B14E76"/>
    <w:rsid w:val="00B15718"/>
    <w:rsid w:val="00B161B8"/>
    <w:rsid w:val="00B2048C"/>
    <w:rsid w:val="00B310B9"/>
    <w:rsid w:val="00B35F3F"/>
    <w:rsid w:val="00B36CBB"/>
    <w:rsid w:val="00B425E0"/>
    <w:rsid w:val="00B440AA"/>
    <w:rsid w:val="00B44B70"/>
    <w:rsid w:val="00B53C56"/>
    <w:rsid w:val="00B77EA6"/>
    <w:rsid w:val="00B81598"/>
    <w:rsid w:val="00B841F1"/>
    <w:rsid w:val="00B8480B"/>
    <w:rsid w:val="00B944D6"/>
    <w:rsid w:val="00BA0AED"/>
    <w:rsid w:val="00BB4DF0"/>
    <w:rsid w:val="00BC289F"/>
    <w:rsid w:val="00BC5361"/>
    <w:rsid w:val="00BC5460"/>
    <w:rsid w:val="00BC6B50"/>
    <w:rsid w:val="00BD0E25"/>
    <w:rsid w:val="00BD6D67"/>
    <w:rsid w:val="00BF5BD6"/>
    <w:rsid w:val="00C03E31"/>
    <w:rsid w:val="00C11626"/>
    <w:rsid w:val="00C13B26"/>
    <w:rsid w:val="00C33E72"/>
    <w:rsid w:val="00C34EED"/>
    <w:rsid w:val="00C354B2"/>
    <w:rsid w:val="00C35554"/>
    <w:rsid w:val="00C42709"/>
    <w:rsid w:val="00C533CC"/>
    <w:rsid w:val="00C5751C"/>
    <w:rsid w:val="00C61BFC"/>
    <w:rsid w:val="00C62B85"/>
    <w:rsid w:val="00C65438"/>
    <w:rsid w:val="00C663B4"/>
    <w:rsid w:val="00C87773"/>
    <w:rsid w:val="00C91CBB"/>
    <w:rsid w:val="00C94460"/>
    <w:rsid w:val="00CA1D7E"/>
    <w:rsid w:val="00CA7CBE"/>
    <w:rsid w:val="00CC09B6"/>
    <w:rsid w:val="00CC2FB5"/>
    <w:rsid w:val="00CC666F"/>
    <w:rsid w:val="00CD1E3F"/>
    <w:rsid w:val="00CE44F6"/>
    <w:rsid w:val="00CE49DA"/>
    <w:rsid w:val="00CE7B61"/>
    <w:rsid w:val="00D00095"/>
    <w:rsid w:val="00D20620"/>
    <w:rsid w:val="00D26091"/>
    <w:rsid w:val="00D34E7C"/>
    <w:rsid w:val="00D35489"/>
    <w:rsid w:val="00D43BB3"/>
    <w:rsid w:val="00D51276"/>
    <w:rsid w:val="00D577F9"/>
    <w:rsid w:val="00D7035F"/>
    <w:rsid w:val="00DA65AC"/>
    <w:rsid w:val="00DB14B7"/>
    <w:rsid w:val="00DB1913"/>
    <w:rsid w:val="00DB7B27"/>
    <w:rsid w:val="00DC410D"/>
    <w:rsid w:val="00DC68CA"/>
    <w:rsid w:val="00DC7CBA"/>
    <w:rsid w:val="00DD2D64"/>
    <w:rsid w:val="00DD73B7"/>
    <w:rsid w:val="00DF0369"/>
    <w:rsid w:val="00DF28BC"/>
    <w:rsid w:val="00DF34B9"/>
    <w:rsid w:val="00DF36DA"/>
    <w:rsid w:val="00E01053"/>
    <w:rsid w:val="00E07ACF"/>
    <w:rsid w:val="00E15312"/>
    <w:rsid w:val="00E331A1"/>
    <w:rsid w:val="00E33202"/>
    <w:rsid w:val="00E336A9"/>
    <w:rsid w:val="00E352AD"/>
    <w:rsid w:val="00E47769"/>
    <w:rsid w:val="00E50624"/>
    <w:rsid w:val="00E568DF"/>
    <w:rsid w:val="00E64269"/>
    <w:rsid w:val="00E82267"/>
    <w:rsid w:val="00EA010F"/>
    <w:rsid w:val="00EC52C6"/>
    <w:rsid w:val="00ED1B63"/>
    <w:rsid w:val="00ED3C1F"/>
    <w:rsid w:val="00ED4085"/>
    <w:rsid w:val="00ED420E"/>
    <w:rsid w:val="00EE2F57"/>
    <w:rsid w:val="00EF4A3D"/>
    <w:rsid w:val="00EF4C34"/>
    <w:rsid w:val="00EF77C6"/>
    <w:rsid w:val="00F05438"/>
    <w:rsid w:val="00F1361C"/>
    <w:rsid w:val="00F160C7"/>
    <w:rsid w:val="00F301B6"/>
    <w:rsid w:val="00F35700"/>
    <w:rsid w:val="00F36D8F"/>
    <w:rsid w:val="00F417B1"/>
    <w:rsid w:val="00F602DF"/>
    <w:rsid w:val="00F81FD9"/>
    <w:rsid w:val="00F841AA"/>
    <w:rsid w:val="00FA23E8"/>
    <w:rsid w:val="00FB35C1"/>
    <w:rsid w:val="00FD3CC1"/>
    <w:rsid w:val="00FE17BC"/>
    <w:rsid w:val="00FE4DB0"/>
    <w:rsid w:val="00FF1E02"/>
    <w:rsid w:val="00FF30B4"/>
    <w:rsid w:val="01D74DB7"/>
    <w:rsid w:val="01F04616"/>
    <w:rsid w:val="0463543B"/>
    <w:rsid w:val="051A6F96"/>
    <w:rsid w:val="06951176"/>
    <w:rsid w:val="07001BE1"/>
    <w:rsid w:val="09081517"/>
    <w:rsid w:val="0B99373B"/>
    <w:rsid w:val="0D6C338E"/>
    <w:rsid w:val="0F5E6610"/>
    <w:rsid w:val="10C055FF"/>
    <w:rsid w:val="11D56DF6"/>
    <w:rsid w:val="11ED6591"/>
    <w:rsid w:val="16BB723D"/>
    <w:rsid w:val="17BC7656"/>
    <w:rsid w:val="17EA348C"/>
    <w:rsid w:val="1840212F"/>
    <w:rsid w:val="19943114"/>
    <w:rsid w:val="1AB026BC"/>
    <w:rsid w:val="1BF70747"/>
    <w:rsid w:val="1C06153F"/>
    <w:rsid w:val="1EF81F78"/>
    <w:rsid w:val="1F620905"/>
    <w:rsid w:val="211A679A"/>
    <w:rsid w:val="240371BF"/>
    <w:rsid w:val="2435534E"/>
    <w:rsid w:val="24534F10"/>
    <w:rsid w:val="265C1D1F"/>
    <w:rsid w:val="26BB36DB"/>
    <w:rsid w:val="276F1834"/>
    <w:rsid w:val="27C51E91"/>
    <w:rsid w:val="28513369"/>
    <w:rsid w:val="28BF6D42"/>
    <w:rsid w:val="29FD04D3"/>
    <w:rsid w:val="31810DA9"/>
    <w:rsid w:val="319F7F4E"/>
    <w:rsid w:val="36FD0156"/>
    <w:rsid w:val="38F8371D"/>
    <w:rsid w:val="39226F5F"/>
    <w:rsid w:val="3C8D2F9D"/>
    <w:rsid w:val="3E343C22"/>
    <w:rsid w:val="3FEA5DFB"/>
    <w:rsid w:val="41677310"/>
    <w:rsid w:val="43684120"/>
    <w:rsid w:val="475E72DC"/>
    <w:rsid w:val="47F514AF"/>
    <w:rsid w:val="48FD75BD"/>
    <w:rsid w:val="4A745623"/>
    <w:rsid w:val="4D846266"/>
    <w:rsid w:val="4DF123A8"/>
    <w:rsid w:val="4F6F7A34"/>
    <w:rsid w:val="4FD74194"/>
    <w:rsid w:val="4FDA49F5"/>
    <w:rsid w:val="51EE42CA"/>
    <w:rsid w:val="52ED6284"/>
    <w:rsid w:val="532B0C13"/>
    <w:rsid w:val="53BE2B80"/>
    <w:rsid w:val="5BE202EA"/>
    <w:rsid w:val="5CFA7F1D"/>
    <w:rsid w:val="5E2506F8"/>
    <w:rsid w:val="5F3A07D2"/>
    <w:rsid w:val="60BB3927"/>
    <w:rsid w:val="62A42EE2"/>
    <w:rsid w:val="63347FC4"/>
    <w:rsid w:val="64C656C1"/>
    <w:rsid w:val="68DA2DB6"/>
    <w:rsid w:val="69725134"/>
    <w:rsid w:val="69F3C531"/>
    <w:rsid w:val="6B4666B6"/>
    <w:rsid w:val="6DC31436"/>
    <w:rsid w:val="6ECB49CF"/>
    <w:rsid w:val="6ECB5A2B"/>
    <w:rsid w:val="70202A42"/>
    <w:rsid w:val="78A4106B"/>
    <w:rsid w:val="7ABC1C9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1\AppData\Local\Temp\wps.mv1168\Workbook1.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oleObject" Target="&#24037;&#20316;&#31807;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9866.63</c:v>
                </c:pt>
                <c:pt idx="1">
                  <c:v>10009.43</c:v>
                </c:pt>
              </c:numCache>
            </c:numRef>
          </c:val>
        </c:ser>
        <c:ser>
          <c:idx val="1"/>
          <c:order val="1"/>
          <c:tx>
            <c:strRef>
              <c:f>Sheet1!$C$1</c:f>
              <c:strCache>
                <c:ptCount val="1"/>
                <c:pt idx="0">
                  <c:v>2021年</c:v>
                </c:pt>
              </c:strCache>
            </c:strRef>
          </c:tx>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General</c:formatCode>
                <c:ptCount val="2"/>
                <c:pt idx="0">
                  <c:v>8907.19</c:v>
                </c:pt>
                <c:pt idx="1">
                  <c:v>11384.73</c:v>
                </c:pt>
              </c:numCache>
            </c:numRef>
          </c:val>
        </c:ser>
        <c:dLbls>
          <c:showLegendKey val="0"/>
          <c:showVal val="0"/>
          <c:showCatName val="0"/>
          <c:showSerName val="0"/>
          <c:showPercent val="0"/>
          <c:showBubbleSize val="0"/>
        </c:dLbls>
        <c:gapWidth val="150"/>
        <c:axId val="90560000"/>
        <c:axId val="268372224"/>
      </c:barChart>
      <c:catAx>
        <c:axId val="9056000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8372224"/>
        <c:crosses val="autoZero"/>
        <c:auto val="1"/>
        <c:lblAlgn val="ctr"/>
        <c:lblOffset val="100"/>
        <c:noMultiLvlLbl val="0"/>
      </c:catAx>
      <c:valAx>
        <c:axId val="2683722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056000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r>
                      <a:rPr lang="en-US" altLang="zh-CN"/>
                      <a:t>92.1%</a:t>
                    </a:r>
                    <a:endParaRPr lang="en-US" altLang="zh-CN"/>
                  </a:p>
                </c:rich>
              </c:tx>
              <c:dLblPos val="ctr"/>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r>
                      <a:rPr lang="en-US" altLang="zh-CN"/>
                      <a:t>7.9%</a:t>
                    </a:r>
                    <a:endParaRPr lang="en-US" altLang="zh-CN"/>
                  </a:p>
                </c:rich>
              </c:tx>
              <c:dLblPos val="ctr"/>
              <c:showLegendKey val="0"/>
              <c:showVal val="0"/>
              <c:showCatName val="0"/>
              <c:showSerName val="0"/>
              <c:showPercent val="1"/>
              <c:showBubbleSize val="0"/>
              <c:extLst>
                <c:ext xmlns:c15="http://schemas.microsoft.com/office/drawing/2012/chart" uri="{CE6537A1-D6FC-4f65-9D91-7224C49458BB}"/>
              </c:extLst>
            </c:dLbl>
            <c:numFmt formatCode="0.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8199.99</c:v>
                </c:pt>
                <c:pt idx="1">
                  <c:v>707.2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numFmt formatCode="0.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893.15</c:v>
                </c:pt>
                <c:pt idx="1">
                  <c:v>10491.58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9866.63</c:v>
                </c:pt>
                <c:pt idx="1">
                  <c:v>10009.43</c:v>
                </c:pt>
              </c:numCache>
            </c:numRef>
          </c:val>
        </c:ser>
        <c:ser>
          <c:idx val="1"/>
          <c:order val="1"/>
          <c:tx>
            <c:strRef>
              <c:f>Sheet1!$C$1</c:f>
              <c:strCache>
                <c:ptCount val="1"/>
                <c:pt idx="0">
                  <c:v>2021年</c:v>
                </c:pt>
              </c:strCache>
            </c:strRef>
          </c:tx>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General</c:formatCode>
                <c:ptCount val="2"/>
                <c:pt idx="0">
                  <c:v>8907.19</c:v>
                </c:pt>
                <c:pt idx="1">
                  <c:v>11384.73</c:v>
                </c:pt>
              </c:numCache>
            </c:numRef>
          </c:val>
        </c:ser>
        <c:dLbls>
          <c:showLegendKey val="0"/>
          <c:showVal val="0"/>
          <c:showCatName val="0"/>
          <c:showSerName val="0"/>
          <c:showPercent val="0"/>
          <c:showBubbleSize val="0"/>
        </c:dLbls>
        <c:gapWidth val="150"/>
        <c:axId val="92967424"/>
        <c:axId val="268990080"/>
      </c:barChart>
      <c:catAx>
        <c:axId val="9296742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8990080"/>
        <c:crosses val="autoZero"/>
        <c:auto val="1"/>
        <c:lblAlgn val="ctr"/>
        <c:lblOffset val="100"/>
        <c:noMultiLvlLbl val="0"/>
      </c:catAx>
      <c:valAx>
        <c:axId val="2689900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296742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一般公共预算财政拨款支出柱状图!$B$2</c:f>
              <c:strCache>
                <c:ptCount val="1"/>
                <c:pt idx="0">
                  <c:v>2019</c:v>
                </c:pt>
              </c:strCache>
            </c:strRef>
          </c:tx>
          <c:spPr>
            <a:solidFill>
              <a:srgbClr val="70AD47"/>
            </a:solidFill>
            <a:ln w="12700">
              <a:solidFill>
                <a:srgbClr val="FFFFFF"/>
              </a:solidFill>
              <a:prstDash val="solid"/>
            </a:ln>
          </c:spPr>
          <c:invertIfNegative val="0"/>
          <c:dPt>
            <c:idx val="0"/>
            <c:invertIfNegative val="0"/>
            <c:bubble3D val="0"/>
          </c:dPt>
          <c:dLbls>
            <c:spPr>
              <a:noFill/>
              <a:ln w="25400">
                <a:noFill/>
              </a:ln>
              <a:effectLst/>
            </c:spPr>
            <c:txPr>
              <a:bodyPr rot="0" spcFirstLastPara="0" vertOverflow="ellipsis" vert="horz" wrap="square" lIns="38100" tIns="19050" rIns="38100" bIns="19050" anchor="ctr" anchorCtr="1">
                <a:spAutoFit/>
              </a:bodyPr>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一般公共预算财政拨款支出柱状图!$C$1</c:f>
              <c:strCache>
                <c:ptCount val="1"/>
                <c:pt idx="0">
                  <c:v>支出</c:v>
                </c:pt>
              </c:strCache>
            </c:strRef>
          </c:cat>
          <c:val>
            <c:numRef>
              <c:f>一般公共预算财政拨款支出柱状图!$C$2</c:f>
              <c:numCache>
                <c:formatCode>General</c:formatCode>
                <c:ptCount val="1"/>
                <c:pt idx="0">
                  <c:v>6498.41</c:v>
                </c:pt>
              </c:numCache>
            </c:numRef>
          </c:val>
        </c:ser>
        <c:ser>
          <c:idx val="1"/>
          <c:order val="1"/>
          <c:tx>
            <c:strRef>
              <c:f>一般公共预算财政拨款支出柱状图!$B$3</c:f>
              <c:strCache>
                <c:ptCount val="1"/>
                <c:pt idx="0">
                  <c:v>2020</c:v>
                </c:pt>
              </c:strCache>
            </c:strRef>
          </c:tx>
          <c:spPr>
            <a:solidFill>
              <a:srgbClr val="ED7D31"/>
            </a:solidFill>
            <a:ln w="12700">
              <a:solidFill>
                <a:srgbClr val="FFFFFF"/>
              </a:solidFill>
              <a:prstDash val="solid"/>
            </a:ln>
          </c:spPr>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en-US"/>
                      <a:t>6668.78</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a:effectLst/>
            </c:spPr>
            <c:txPr>
              <a:bodyPr rot="0" spcFirstLastPara="0" vertOverflow="ellipsis" vert="horz" wrap="square" lIns="38100" tIns="19050" rIns="38100" bIns="19050" anchor="ctr" anchorCtr="1">
                <a:spAutoFit/>
              </a:bodyPr>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一般公共预算财政拨款支出柱状图!$C$1</c:f>
              <c:strCache>
                <c:ptCount val="1"/>
                <c:pt idx="0">
                  <c:v>支出</c:v>
                </c:pt>
              </c:strCache>
            </c:strRef>
          </c:cat>
          <c:val>
            <c:numRef>
              <c:f>一般公共预算财政拨款支出柱状图!$C$3</c:f>
              <c:numCache>
                <c:formatCode>General</c:formatCode>
                <c:ptCount val="1"/>
                <c:pt idx="0">
                  <c:v>6668.77</c:v>
                </c:pt>
              </c:numCache>
            </c:numRef>
          </c:val>
        </c:ser>
        <c:dLbls>
          <c:showLegendKey val="0"/>
          <c:showVal val="0"/>
          <c:showCatName val="0"/>
          <c:showSerName val="0"/>
          <c:showPercent val="0"/>
          <c:showBubbleSize val="0"/>
        </c:dLbls>
        <c:gapWidth val="150"/>
        <c:axId val="92968960"/>
        <c:axId val="268394496"/>
      </c:barChart>
      <c:catAx>
        <c:axId val="929689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268394496"/>
        <c:crosses val="autoZero"/>
        <c:auto val="1"/>
        <c:lblAlgn val="ctr"/>
        <c:lblOffset val="100"/>
        <c:noMultiLvlLbl val="0"/>
      </c:catAx>
      <c:valAx>
        <c:axId val="26839449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out"/>
        <c:minorTickMark val="none"/>
        <c:tickLblPos val="nextTo"/>
        <c:spPr>
          <a:ln w="6350"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92968960"/>
        <c:crosses val="autoZero"/>
        <c:crossBetween val="between"/>
      </c:valAx>
      <c:spPr>
        <a:noFill/>
        <a:ln w="25400">
          <a:noFill/>
        </a:ln>
      </c:spPr>
    </c:plotArea>
    <c:legend>
      <c:legendPos val="r"/>
      <c:layout>
        <c:manualLayout>
          <c:xMode val="edge"/>
          <c:yMode val="edge"/>
          <c:x val="0.860250015917822"/>
          <c:y val="0.456750128456165"/>
          <c:w val="0.117999872657427"/>
          <c:h val="0.196999819467011"/>
        </c:manualLayout>
      </c:layout>
      <c:overlay val="0"/>
      <c:spPr>
        <a:noFill/>
        <a:ln w="25400">
          <a:noFill/>
        </a:ln>
      </c:spPr>
      <c:txPr>
        <a:bodyPr rot="0" spcFirstLastPara="0" vertOverflow="ellipsis" vert="horz" wrap="square" anchor="ctr" anchorCtr="1"/>
        <a:lstStyle/>
        <a:p>
          <a:pPr>
            <a:defRPr lang="zh-CN" sz="82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Sheet1!$B$1</c:f>
              <c:strCache>
                <c:ptCount val="1"/>
                <c:pt idx="0">
                  <c:v>销售额</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6"/>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住房保障支出
</a:t>
                    </a:r>
                    <a:r>
                      <a:rPr lang="en-US" altLang="zh-CN"/>
                      <a:t>0.63%</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Sheet1!$A$2:$A$8</c:f>
              <c:strCache>
                <c:ptCount val="7"/>
                <c:pt idx="0">
                  <c:v>社会保障和就业支出</c:v>
                </c:pt>
                <c:pt idx="1">
                  <c:v>卫生健康支出</c:v>
                </c:pt>
                <c:pt idx="2">
                  <c:v>节能环保支出</c:v>
                </c:pt>
                <c:pt idx="3">
                  <c:v>农林水支出</c:v>
                </c:pt>
                <c:pt idx="4">
                  <c:v>自然资源海洋气象等支出</c:v>
                </c:pt>
                <c:pt idx="5">
                  <c:v>灾害防治及应急管理支出</c:v>
                </c:pt>
                <c:pt idx="6">
                  <c:v>住房保障支出</c:v>
                </c:pt>
              </c:strCache>
            </c:strRef>
          </c:cat>
          <c:val>
            <c:numRef>
              <c:f>Sheet1!$B$2:$B$8</c:f>
              <c:numCache>
                <c:formatCode>General</c:formatCode>
                <c:ptCount val="7"/>
                <c:pt idx="0">
                  <c:v>92.19</c:v>
                </c:pt>
                <c:pt idx="1">
                  <c:v>43.23</c:v>
                </c:pt>
                <c:pt idx="2">
                  <c:v>164.38</c:v>
                </c:pt>
                <c:pt idx="3">
                  <c:v>829.1</c:v>
                </c:pt>
                <c:pt idx="4">
                  <c:v>1201.59</c:v>
                </c:pt>
                <c:pt idx="5">
                  <c:v>7561.44</c:v>
                </c:pt>
                <c:pt idx="6">
                  <c:v>62.16</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spc="0" normalizeH="0" baseline="0">
                <a:solidFill>
                  <a:schemeClr val="dk1">
                    <a:lumMod val="50000"/>
                    <a:lumOff val="50000"/>
                  </a:schemeClr>
                </a:solidFill>
                <a:latin typeface="+mj-lt"/>
                <a:ea typeface="+mj-ea"/>
                <a:cs typeface="+mj-cs"/>
              </a:defRPr>
            </a:pPr>
            <a:r>
              <a:rPr lang="zh-CN" altLang="en-US"/>
              <a:t>三公经费</a:t>
            </a:r>
            <a:endParaRPr lang="zh-CN" altLang="en-US"/>
          </a:p>
        </c:rich>
      </c:tx>
      <c:layout/>
      <c:overlay val="0"/>
      <c:spPr>
        <a:noFill/>
        <a:ln>
          <a:noFill/>
        </a:ln>
        <a:effectLst/>
      </c:spPr>
    </c:title>
    <c:autoTitleDeleted val="0"/>
    <c:plotArea>
      <c:layout>
        <c:manualLayout>
          <c:layoutTarget val="inner"/>
          <c:xMode val="edge"/>
          <c:yMode val="edge"/>
          <c:x val="0.300459674049311"/>
          <c:y val="0.25974025974026"/>
          <c:w val="0.408552723220504"/>
          <c:h val="0.692561983471074"/>
        </c:manualLayout>
      </c:layout>
      <c:pieChart>
        <c:varyColors val="1"/>
        <c:ser>
          <c:idx val="0"/>
          <c:order val="0"/>
          <c:tx>
            <c:strRef>
              <c:f>[工作簿2]Sheet1!$B$8</c:f>
              <c:strCache>
                <c:ptCount val="1"/>
                <c:pt idx="0">
                  <c:v> 公务用车运行维护费</c:v>
                </c:pt>
              </c:strCache>
            </c:strRef>
          </c:tx>
          <c:explosion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prstDash val="solid"/>
                      <a:round/>
                    </a:ln>
                    <a:effectLst/>
                  </c:spPr>
                </c15:leaderLines>
              </c:ext>
            </c:extLst>
          </c:dLbls>
          <c:cat>
            <c:strRef>
              <c:f>[工作簿2]Sheet1!$C$7</c:f>
              <c:strCache>
                <c:ptCount val="1"/>
                <c:pt idx="0">
                  <c:v> 公务用车运行维护费</c:v>
                </c:pt>
              </c:strCache>
            </c:strRef>
          </c:cat>
          <c:val>
            <c:numRef>
              <c:f>[工作簿2]Sheet1!$C$8</c:f>
              <c:numCache>
                <c:formatCode>0%</c:formatCode>
                <c:ptCount val="1"/>
                <c:pt idx="0">
                  <c:v>1</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28</Pages>
  <Words>1942</Words>
  <Characters>11074</Characters>
  <Lines>92</Lines>
  <Paragraphs>25</Paragraphs>
  <TotalTime>190</TotalTime>
  <ScaleCrop>false</ScaleCrop>
  <LinksUpToDate>false</LinksUpToDate>
  <CharactersWithSpaces>12991</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2021-09-26T16:37:00Z</dcterms:created>
  <dc:creator>张彬茜</dc:creator>
  <cp:lastModifiedBy>user</cp:lastModifiedBy>
  <cp:lastPrinted>2021-09-26T16:39:00Z</cp:lastPrinted>
  <dcterms:modified xsi:type="dcterms:W3CDTF">2022-09-26T17:26:40Z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58E1EA1348EB407DB7950A64E051003F</vt:lpwstr>
  </property>
</Properties>
</file>