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8441"/>
      <w:bookmarkStart w:id="2" w:name="_Toc15377425"/>
      <w:bookmarkStart w:id="3" w:name="_Toc15396597"/>
      <w:bookmarkStart w:id="4" w:name="_Toc15396475"/>
      <w:bookmarkStart w:id="5" w:name="_Toc15377193"/>
      <w:r>
        <w:rPr>
          <w:rFonts w:hint="eastAsia" w:ascii="黑体" w:hAnsi="黑体" w:eastAsia="黑体"/>
          <w:color w:val="000000"/>
          <w:sz w:val="72"/>
          <w:szCs w:val="72"/>
        </w:rPr>
        <w:t>2021</w:t>
      </w:r>
      <w:r>
        <w:rPr>
          <w:rFonts w:hint="eastAsia" w:ascii="方正小标宋简体" w:hAnsi="宋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476"/>
      <w:bookmarkStart w:id="7" w:name="_Toc15378442"/>
      <w:bookmarkStart w:id="8" w:name="_Toc15377194"/>
      <w:bookmarkStart w:id="9" w:name="_Toc15306268"/>
      <w:bookmarkStart w:id="10" w:name="_Toc15396598"/>
      <w:bookmarkStart w:id="11" w:name="_Toc15377426"/>
      <w:r>
        <w:rPr>
          <w:rFonts w:hint="eastAsia" w:ascii="方正小标宋简体" w:hAnsi="宋体" w:eastAsia="方正小标宋简体"/>
          <w:color w:val="000000" w:themeColor="text1"/>
          <w:sz w:val="72"/>
          <w:szCs w:val="72"/>
          <w14:textFill>
            <w14:solidFill>
              <w14:schemeClr w14:val="tx1"/>
            </w14:solidFill>
          </w14:textFill>
        </w:rPr>
        <w:t>四川省茂县不动产登记中心</w:t>
      </w:r>
      <w:r>
        <w:rPr>
          <w:rFonts w:hint="eastAsia" w:ascii="方正小标宋简体" w:hAnsi="宋体" w:eastAsia="方正小标宋简体"/>
          <w:color w:val="000000"/>
          <w:sz w:val="72"/>
          <w:szCs w:val="72"/>
        </w:rPr>
        <w:t>决算</w:t>
      </w:r>
      <w:bookmarkEnd w:id="6"/>
      <w:bookmarkEnd w:id="7"/>
      <w:bookmarkEnd w:id="8"/>
      <w:bookmarkEnd w:id="9"/>
      <w:bookmarkEnd w:id="10"/>
      <w:bookmarkEnd w:id="11"/>
      <w:r>
        <w:rPr>
          <w:rFonts w:hint="eastAsia" w:ascii="方正小标宋简体" w:hAnsi="宋体" w:eastAsia="方正小标宋简体"/>
          <w:color w:val="000000"/>
          <w:sz w:val="72"/>
          <w:szCs w:val="72"/>
        </w:rPr>
        <w:t>编制说明</w:t>
      </w:r>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widowControl/>
        <w:rPr>
          <w:rFonts w:ascii="方正小标宋简体" w:hAnsi="宋体" w:eastAsia="方正小标宋简体"/>
          <w:color w:val="000000"/>
          <w:sz w:val="36"/>
          <w:szCs w:val="36"/>
        </w:rPr>
      </w:pPr>
    </w:p>
    <w:p>
      <w:pPr>
        <w:widowControl/>
        <w:jc w:val="center"/>
        <w:rPr>
          <w:rFonts w:ascii="方正小标宋简体" w:hAnsi="宋体" w:eastAsia="方正小标宋简体"/>
          <w:color w:val="000000"/>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p>
    <w:p>
      <w:pPr>
        <w:pStyle w:val="12"/>
        <w:spacing w:before="120" w:after="120"/>
        <w:jc w:val="left"/>
        <w:rPr>
          <w:smallCaps/>
          <w:sz w:val="20"/>
          <w:szCs w:val="20"/>
        </w:rPr>
      </w:pPr>
      <w:r>
        <w:rPr>
          <w:smallCaps/>
          <w:sz w:val="20"/>
          <w:szCs w:val="20"/>
        </w:rPr>
        <w:fldChar w:fldCharType="begin"/>
      </w:r>
      <w:r>
        <w:rPr>
          <w:smallCaps/>
          <w:sz w:val="20"/>
          <w:szCs w:val="20"/>
        </w:rPr>
        <w:instrText xml:space="preserve"> TOC \o "1-2" \h \z \u </w:instrText>
      </w:r>
      <w:r>
        <w:rPr>
          <w:smallCaps/>
          <w:sz w:val="20"/>
          <w:szCs w:val="20"/>
        </w:rPr>
        <w:fldChar w:fldCharType="separate"/>
      </w:r>
    </w:p>
    <w:p>
      <w:pPr>
        <w:pStyle w:val="12"/>
        <w:spacing w:before="120" w:after="120"/>
        <w:rPr>
          <w:smallCaps/>
          <w:sz w:val="20"/>
          <w:szCs w:val="20"/>
        </w:rPr>
      </w:pPr>
      <w:r>
        <w:rPr>
          <w:rFonts w:hint="eastAsia"/>
          <w:smallCaps/>
          <w:sz w:val="20"/>
          <w:szCs w:val="20"/>
        </w:rPr>
        <w:t>公开时间：2022年9月27日</w:t>
      </w:r>
    </w:p>
    <w:p>
      <w:pPr>
        <w:pStyle w:val="12"/>
        <w:spacing w:before="120" w:after="120"/>
        <w:jc w:val="left"/>
        <w:rPr>
          <w:smallCaps/>
          <w:sz w:val="20"/>
          <w:szCs w:val="20"/>
        </w:rPr>
      </w:pPr>
    </w:p>
    <w:p>
      <w:pPr>
        <w:pStyle w:val="12"/>
        <w:spacing w:before="120" w:after="120"/>
        <w:jc w:val="left"/>
        <w:rPr>
          <w:smallCaps/>
          <w:sz w:val="20"/>
          <w:szCs w:val="20"/>
        </w:rPr>
      </w:pPr>
      <w:r>
        <w:fldChar w:fldCharType="begin"/>
      </w:r>
      <w:r>
        <w:instrText xml:space="preserve"> HYPERLINK \l "_Toc15396599" </w:instrText>
      </w:r>
      <w:r>
        <w:fldChar w:fldCharType="separate"/>
      </w:r>
      <w:r>
        <w:rPr>
          <w:rFonts w:hint="eastAsia"/>
          <w:smallCaps/>
          <w:sz w:val="20"/>
          <w:szCs w:val="20"/>
        </w:rPr>
        <w:t>第一部分部门概况</w:t>
      </w:r>
      <w:r>
        <w:rPr>
          <w:smallCaps/>
          <w:sz w:val="20"/>
          <w:szCs w:val="20"/>
        </w:rPr>
        <w:tab/>
      </w:r>
      <w:r>
        <w:rPr>
          <w:rFonts w:hint="eastAsia"/>
          <w:smallCaps/>
          <w:sz w:val="20"/>
          <w:szCs w:val="20"/>
        </w:rPr>
        <w:t>4</w:t>
      </w:r>
      <w:r>
        <w:rPr>
          <w:rFonts w:hint="eastAsia"/>
          <w:smallCaps/>
          <w:sz w:val="20"/>
          <w:szCs w:val="20"/>
        </w:rPr>
        <w:fldChar w:fldCharType="end"/>
      </w:r>
    </w:p>
    <w:p>
      <w:pPr>
        <w:pStyle w:val="12"/>
        <w:spacing w:before="120" w:after="120"/>
        <w:jc w:val="left"/>
        <w:rPr>
          <w:smallCaps/>
          <w:sz w:val="20"/>
          <w:szCs w:val="20"/>
        </w:rPr>
      </w:pPr>
      <w:r>
        <w:fldChar w:fldCharType="begin"/>
      </w:r>
      <w:r>
        <w:instrText xml:space="preserve"> HYPERLINK \l "_Toc15396600" </w:instrText>
      </w:r>
      <w:r>
        <w:fldChar w:fldCharType="separate"/>
      </w:r>
      <w:r>
        <w:rPr>
          <w:rFonts w:hint="eastAsia"/>
          <w:smallCaps/>
          <w:sz w:val="20"/>
          <w:szCs w:val="20"/>
        </w:rPr>
        <w:t>一、基本职能及主要工作</w:t>
      </w:r>
      <w:r>
        <w:rPr>
          <w:smallCaps/>
          <w:sz w:val="20"/>
          <w:szCs w:val="20"/>
        </w:rPr>
        <w:tab/>
      </w:r>
      <w:r>
        <w:rPr>
          <w:rFonts w:hint="eastAsia"/>
          <w:smallCaps/>
          <w:sz w:val="20"/>
          <w:szCs w:val="20"/>
        </w:rPr>
        <w:t>4</w:t>
      </w:r>
      <w:r>
        <w:rPr>
          <w:rFonts w:hint="eastAsia"/>
          <w:smallCaps/>
          <w:sz w:val="20"/>
          <w:szCs w:val="20"/>
        </w:rPr>
        <w:fldChar w:fldCharType="end"/>
      </w:r>
    </w:p>
    <w:p>
      <w:pPr>
        <w:pStyle w:val="12"/>
        <w:spacing w:before="120" w:after="120"/>
        <w:jc w:val="left"/>
        <w:rPr>
          <w:smallCaps/>
          <w:sz w:val="20"/>
          <w:szCs w:val="20"/>
        </w:rPr>
      </w:pPr>
      <w:r>
        <w:fldChar w:fldCharType="begin"/>
      </w:r>
      <w:r>
        <w:instrText xml:space="preserve"> HYPERLINK \l "_Toc15396601" </w:instrText>
      </w:r>
      <w:r>
        <w:fldChar w:fldCharType="separate"/>
      </w:r>
      <w:r>
        <w:rPr>
          <w:rFonts w:hint="eastAsia"/>
          <w:smallCaps/>
          <w:sz w:val="20"/>
          <w:szCs w:val="20"/>
        </w:rPr>
        <w:t>二、机构设置</w:t>
      </w:r>
      <w:r>
        <w:rPr>
          <w:smallCaps/>
          <w:sz w:val="20"/>
          <w:szCs w:val="20"/>
        </w:rPr>
        <w:tab/>
      </w:r>
      <w:r>
        <w:rPr>
          <w:smallCaps/>
          <w:sz w:val="20"/>
          <w:szCs w:val="20"/>
        </w:rPr>
        <w:fldChar w:fldCharType="begin"/>
      </w:r>
      <w:r>
        <w:rPr>
          <w:smallCaps/>
          <w:sz w:val="20"/>
          <w:szCs w:val="20"/>
        </w:rPr>
        <w:instrText xml:space="preserve"> PAGEREF _Toc15396601 \h </w:instrText>
      </w:r>
      <w:r>
        <w:rPr>
          <w:smallCaps/>
          <w:sz w:val="20"/>
          <w:szCs w:val="20"/>
        </w:rPr>
        <w:fldChar w:fldCharType="separate"/>
      </w:r>
      <w:r>
        <w:rPr>
          <w:smallCaps/>
          <w:sz w:val="20"/>
          <w:szCs w:val="20"/>
        </w:rPr>
        <w:t>5</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"_Toc15396602" </w:instrText>
      </w:r>
      <w:r>
        <w:fldChar w:fldCharType="separate"/>
      </w:r>
      <w:r>
        <w:rPr>
          <w:rFonts w:hint="eastAsia"/>
          <w:smallCaps/>
          <w:sz w:val="20"/>
          <w:szCs w:val="20"/>
        </w:rPr>
        <w:t>第二部分</w:t>
      </w:r>
      <w:r>
        <w:rPr>
          <w:smallCaps/>
          <w:sz w:val="20"/>
          <w:szCs w:val="20"/>
        </w:rPr>
        <w:t xml:space="preserve"> </w:t>
      </w:r>
      <w:r>
        <w:rPr>
          <w:rFonts w:hint="eastAsia"/>
          <w:smallCaps/>
          <w:sz w:val="20"/>
          <w:szCs w:val="20"/>
        </w:rPr>
        <w:t>2021年度部门决算情况说明</w:t>
      </w:r>
      <w:r>
        <w:rPr>
          <w:smallCaps/>
          <w:sz w:val="20"/>
          <w:szCs w:val="20"/>
        </w:rPr>
        <w:tab/>
      </w:r>
      <w:r>
        <w:rPr>
          <w:smallCaps/>
          <w:sz w:val="20"/>
          <w:szCs w:val="20"/>
        </w:rPr>
        <w:fldChar w:fldCharType="begin"/>
      </w:r>
      <w:r>
        <w:rPr>
          <w:smallCaps/>
          <w:sz w:val="20"/>
          <w:szCs w:val="20"/>
        </w:rPr>
        <w:instrText xml:space="preserve"> PAGEREF _Toc15396602 \h </w:instrText>
      </w:r>
      <w:r>
        <w:rPr>
          <w:smallCaps/>
          <w:sz w:val="20"/>
          <w:szCs w:val="20"/>
        </w:rPr>
        <w:fldChar w:fldCharType="separate"/>
      </w:r>
      <w:r>
        <w:rPr>
          <w:smallCaps/>
          <w:sz w:val="20"/>
          <w:szCs w:val="20"/>
        </w:rPr>
        <w:t>6</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"_Toc15396603" </w:instrText>
      </w:r>
      <w:r>
        <w:fldChar w:fldCharType="separate"/>
      </w:r>
      <w:r>
        <w:rPr>
          <w:rFonts w:hint="eastAsia"/>
          <w:smallCaps/>
          <w:sz w:val="20"/>
          <w:szCs w:val="20"/>
        </w:rPr>
        <w:t>一、收入支出决算总体情况说明</w:t>
      </w:r>
      <w:r>
        <w:rPr>
          <w:smallCaps/>
          <w:sz w:val="20"/>
          <w:szCs w:val="20"/>
        </w:rPr>
        <w:tab/>
      </w:r>
      <w:r>
        <w:rPr>
          <w:smallCaps/>
          <w:sz w:val="20"/>
          <w:szCs w:val="20"/>
        </w:rPr>
        <w:fldChar w:fldCharType="begin"/>
      </w:r>
      <w:r>
        <w:rPr>
          <w:smallCaps/>
          <w:sz w:val="20"/>
          <w:szCs w:val="20"/>
        </w:rPr>
        <w:instrText xml:space="preserve"> PAGEREF _Toc15396603 \h </w:instrText>
      </w:r>
      <w:r>
        <w:rPr>
          <w:smallCaps/>
          <w:sz w:val="20"/>
          <w:szCs w:val="20"/>
        </w:rPr>
        <w:fldChar w:fldCharType="separate"/>
      </w:r>
      <w:r>
        <w:rPr>
          <w:smallCaps/>
          <w:sz w:val="20"/>
          <w:szCs w:val="20"/>
        </w:rPr>
        <w:t>6</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"_Toc15396604" </w:instrText>
      </w:r>
      <w:r>
        <w:fldChar w:fldCharType="separate"/>
      </w:r>
      <w:r>
        <w:rPr>
          <w:rFonts w:hint="eastAsia"/>
          <w:smallCaps/>
          <w:sz w:val="20"/>
          <w:szCs w:val="20"/>
        </w:rPr>
        <w:t>二、收入决算情况说明</w:t>
      </w:r>
      <w:r>
        <w:rPr>
          <w:smallCaps/>
          <w:sz w:val="20"/>
          <w:szCs w:val="20"/>
        </w:rPr>
        <w:tab/>
      </w:r>
      <w:r>
        <w:rPr>
          <w:smallCaps/>
          <w:sz w:val="20"/>
          <w:szCs w:val="20"/>
        </w:rPr>
        <w:fldChar w:fldCharType="begin"/>
      </w:r>
      <w:r>
        <w:rPr>
          <w:smallCaps/>
          <w:sz w:val="20"/>
          <w:szCs w:val="20"/>
        </w:rPr>
        <w:instrText xml:space="preserve"> PAGEREF _Toc15396604 \h </w:instrText>
      </w:r>
      <w:r>
        <w:rPr>
          <w:smallCaps/>
          <w:sz w:val="20"/>
          <w:szCs w:val="20"/>
        </w:rPr>
        <w:fldChar w:fldCharType="separate"/>
      </w:r>
      <w:r>
        <w:rPr>
          <w:smallCaps/>
          <w:sz w:val="20"/>
          <w:szCs w:val="20"/>
        </w:rPr>
        <w:t>6</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"_Toc15396605" </w:instrText>
      </w:r>
      <w:r>
        <w:fldChar w:fldCharType="separate"/>
      </w:r>
      <w:r>
        <w:rPr>
          <w:rFonts w:hint="eastAsia"/>
          <w:smallCaps/>
          <w:sz w:val="20"/>
          <w:szCs w:val="20"/>
        </w:rPr>
        <w:t>三、支出决算情况说明</w:t>
      </w:r>
      <w:r>
        <w:rPr>
          <w:smallCaps/>
          <w:sz w:val="20"/>
          <w:szCs w:val="20"/>
        </w:rPr>
        <w:tab/>
      </w:r>
      <w:r>
        <w:rPr>
          <w:smallCaps/>
          <w:sz w:val="20"/>
          <w:szCs w:val="20"/>
        </w:rPr>
        <w:fldChar w:fldCharType="begin"/>
      </w:r>
      <w:r>
        <w:rPr>
          <w:smallCaps/>
          <w:sz w:val="20"/>
          <w:szCs w:val="20"/>
        </w:rPr>
        <w:instrText xml:space="preserve"> PAGEREF _Toc15396605 \h </w:instrText>
      </w:r>
      <w:r>
        <w:rPr>
          <w:smallCaps/>
          <w:sz w:val="20"/>
          <w:szCs w:val="20"/>
        </w:rPr>
        <w:fldChar w:fldCharType="separate"/>
      </w:r>
      <w:r>
        <w:rPr>
          <w:smallCaps/>
          <w:sz w:val="20"/>
          <w:szCs w:val="20"/>
        </w:rPr>
        <w:t>7</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"_Toc15396606" </w:instrText>
      </w:r>
      <w:r>
        <w:fldChar w:fldCharType="separate"/>
      </w:r>
      <w:r>
        <w:rPr>
          <w:rFonts w:hint="eastAsia"/>
          <w:smallCaps/>
          <w:sz w:val="20"/>
          <w:szCs w:val="20"/>
        </w:rPr>
        <w:t>四、财政拨款收入支出决算总体情况说明</w:t>
      </w:r>
      <w:r>
        <w:rPr>
          <w:smallCaps/>
          <w:sz w:val="20"/>
          <w:szCs w:val="20"/>
        </w:rPr>
        <w:tab/>
      </w:r>
      <w:r>
        <w:rPr>
          <w:smallCaps/>
          <w:sz w:val="20"/>
          <w:szCs w:val="20"/>
        </w:rPr>
        <w:fldChar w:fldCharType="begin"/>
      </w:r>
      <w:r>
        <w:rPr>
          <w:smallCaps/>
          <w:sz w:val="20"/>
          <w:szCs w:val="20"/>
        </w:rPr>
        <w:instrText xml:space="preserve"> PAGEREF _Toc15396606 \h </w:instrText>
      </w:r>
      <w:r>
        <w:rPr>
          <w:smallCaps/>
          <w:sz w:val="20"/>
          <w:szCs w:val="20"/>
        </w:rPr>
        <w:fldChar w:fldCharType="separate"/>
      </w:r>
      <w:r>
        <w:rPr>
          <w:smallCaps/>
          <w:sz w:val="20"/>
          <w:szCs w:val="20"/>
        </w:rPr>
        <w:t>7</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"_Toc15396607" </w:instrText>
      </w:r>
      <w:r>
        <w:fldChar w:fldCharType="separate"/>
      </w:r>
      <w:r>
        <w:rPr>
          <w:rFonts w:hint="eastAsia"/>
          <w:smallCaps/>
          <w:sz w:val="20"/>
          <w:szCs w:val="20"/>
        </w:rPr>
        <w:t>五、一般公共预算财政拨款支出决算情况说明</w:t>
      </w:r>
      <w:r>
        <w:rPr>
          <w:smallCaps/>
          <w:sz w:val="20"/>
          <w:szCs w:val="20"/>
        </w:rPr>
        <w:tab/>
      </w:r>
      <w:r>
        <w:rPr>
          <w:smallCaps/>
          <w:sz w:val="20"/>
          <w:szCs w:val="20"/>
        </w:rPr>
        <w:fldChar w:fldCharType="begin"/>
      </w:r>
      <w:r>
        <w:rPr>
          <w:smallCaps/>
          <w:sz w:val="20"/>
          <w:szCs w:val="20"/>
        </w:rPr>
        <w:instrText xml:space="preserve"> PAGEREF _Toc15396607 \h </w:instrText>
      </w:r>
      <w:r>
        <w:rPr>
          <w:smallCaps/>
          <w:sz w:val="20"/>
          <w:szCs w:val="20"/>
        </w:rPr>
        <w:fldChar w:fldCharType="separate"/>
      </w:r>
      <w:r>
        <w:rPr>
          <w:smallCaps/>
          <w:sz w:val="20"/>
          <w:szCs w:val="20"/>
        </w:rPr>
        <w:t>8</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"_Toc15396608" </w:instrText>
      </w:r>
      <w:r>
        <w:fldChar w:fldCharType="separate"/>
      </w:r>
      <w:r>
        <w:rPr>
          <w:rFonts w:hint="eastAsia"/>
          <w:smallCaps/>
          <w:sz w:val="20"/>
          <w:szCs w:val="20"/>
        </w:rPr>
        <w:t>六、一般公共预算财政拨款基本支出决算情况说明</w:t>
      </w:r>
      <w:r>
        <w:rPr>
          <w:smallCaps/>
          <w:sz w:val="20"/>
          <w:szCs w:val="20"/>
        </w:rPr>
        <w:tab/>
      </w:r>
      <w:r>
        <w:rPr>
          <w:smallCaps/>
          <w:sz w:val="20"/>
          <w:szCs w:val="20"/>
        </w:rPr>
        <w:fldChar w:fldCharType="begin"/>
      </w:r>
      <w:r>
        <w:rPr>
          <w:smallCaps/>
          <w:sz w:val="20"/>
          <w:szCs w:val="20"/>
        </w:rPr>
        <w:instrText xml:space="preserve"> PAGEREF _Toc15396608 \h </w:instrText>
      </w:r>
      <w:r>
        <w:rPr>
          <w:smallCaps/>
          <w:sz w:val="20"/>
          <w:szCs w:val="20"/>
        </w:rPr>
        <w:fldChar w:fldCharType="separate"/>
      </w:r>
      <w:r>
        <w:rPr>
          <w:smallCaps/>
          <w:sz w:val="20"/>
          <w:szCs w:val="20"/>
        </w:rPr>
        <w:t>1</w:t>
      </w:r>
      <w:r>
        <w:rPr>
          <w:rFonts w:hint="eastAsia"/>
          <w:smallCaps/>
          <w:sz w:val="20"/>
          <w:szCs w:val="20"/>
        </w:rPr>
        <w:t>0</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"_Toc15396609" </w:instrText>
      </w:r>
      <w:r>
        <w:fldChar w:fldCharType="separate"/>
      </w:r>
      <w:r>
        <w:rPr>
          <w:rFonts w:hint="eastAsia"/>
          <w:smallCaps/>
          <w:sz w:val="20"/>
          <w:szCs w:val="20"/>
        </w:rPr>
        <w:t>七、</w:t>
      </w:r>
      <w:r>
        <w:rPr>
          <w:smallCaps/>
          <w:sz w:val="20"/>
          <w:szCs w:val="20"/>
        </w:rPr>
        <w:t>“</w:t>
      </w:r>
      <w:r>
        <w:rPr>
          <w:rFonts w:hint="eastAsia"/>
          <w:smallCaps/>
          <w:sz w:val="20"/>
          <w:szCs w:val="20"/>
        </w:rPr>
        <w:t>三公”经费财政拨款支出决算情况说明</w:t>
      </w:r>
      <w:r>
        <w:rPr>
          <w:smallCaps/>
          <w:sz w:val="20"/>
          <w:szCs w:val="20"/>
        </w:rPr>
        <w:tab/>
      </w:r>
      <w:r>
        <w:rPr>
          <w:smallCaps/>
          <w:sz w:val="20"/>
          <w:szCs w:val="20"/>
        </w:rPr>
        <w:fldChar w:fldCharType="begin"/>
      </w:r>
      <w:r>
        <w:rPr>
          <w:smallCaps/>
          <w:sz w:val="20"/>
          <w:szCs w:val="20"/>
        </w:rPr>
        <w:instrText xml:space="preserve"> PAGEREF _Toc15396609 \h </w:instrText>
      </w:r>
      <w:r>
        <w:rPr>
          <w:smallCaps/>
          <w:sz w:val="20"/>
          <w:szCs w:val="20"/>
        </w:rPr>
        <w:fldChar w:fldCharType="separate"/>
      </w:r>
      <w:r>
        <w:rPr>
          <w:smallCaps/>
          <w:sz w:val="20"/>
          <w:szCs w:val="20"/>
        </w:rPr>
        <w:t>1</w:t>
      </w:r>
      <w:r>
        <w:rPr>
          <w:rFonts w:hint="eastAsia"/>
          <w:smallCaps/>
          <w:sz w:val="20"/>
          <w:szCs w:val="20"/>
        </w:rPr>
        <w:t>1</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"_Toc15396610" </w:instrText>
      </w:r>
      <w:r>
        <w:fldChar w:fldCharType="separate"/>
      </w:r>
      <w:r>
        <w:rPr>
          <w:rFonts w:hint="eastAsia"/>
          <w:smallCaps/>
          <w:sz w:val="20"/>
          <w:szCs w:val="20"/>
        </w:rPr>
        <w:t>八、政府性基金预算支出决算情况说明</w:t>
      </w:r>
      <w:r>
        <w:rPr>
          <w:smallCaps/>
          <w:sz w:val="20"/>
          <w:szCs w:val="20"/>
        </w:rPr>
        <w:tab/>
      </w:r>
      <w:r>
        <w:rPr>
          <w:smallCaps/>
          <w:sz w:val="20"/>
          <w:szCs w:val="20"/>
        </w:rPr>
        <w:fldChar w:fldCharType="begin"/>
      </w:r>
      <w:r>
        <w:rPr>
          <w:smallCaps/>
          <w:sz w:val="20"/>
          <w:szCs w:val="20"/>
        </w:rPr>
        <w:instrText xml:space="preserve"> PAGEREF _Toc15396610 \h </w:instrText>
      </w:r>
      <w:r>
        <w:rPr>
          <w:smallCaps/>
          <w:sz w:val="20"/>
          <w:szCs w:val="20"/>
        </w:rPr>
        <w:fldChar w:fldCharType="separate"/>
      </w:r>
      <w:r>
        <w:rPr>
          <w:smallCaps/>
          <w:sz w:val="20"/>
          <w:szCs w:val="20"/>
        </w:rPr>
        <w:t>1</w:t>
      </w:r>
      <w:r>
        <w:rPr>
          <w:rFonts w:hint="eastAsia"/>
          <w:smallCaps/>
          <w:sz w:val="20"/>
          <w:szCs w:val="20"/>
        </w:rPr>
        <w:t>2</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"_Toc15396611" </w:instrText>
      </w:r>
      <w:r>
        <w:fldChar w:fldCharType="separate"/>
      </w:r>
      <w:r>
        <w:rPr>
          <w:rFonts w:hint="eastAsia"/>
          <w:smallCaps/>
          <w:sz w:val="20"/>
          <w:szCs w:val="20"/>
        </w:rPr>
        <w:t>九、 国有资本经营预算支出决算情况说明</w:t>
      </w:r>
      <w:r>
        <w:rPr>
          <w:smallCaps/>
          <w:sz w:val="20"/>
          <w:szCs w:val="20"/>
        </w:rPr>
        <w:tab/>
      </w:r>
      <w:r>
        <w:rPr>
          <w:smallCaps/>
          <w:sz w:val="20"/>
          <w:szCs w:val="20"/>
        </w:rPr>
        <w:fldChar w:fldCharType="begin"/>
      </w:r>
      <w:r>
        <w:rPr>
          <w:smallCaps/>
          <w:sz w:val="20"/>
          <w:szCs w:val="20"/>
        </w:rPr>
        <w:instrText xml:space="preserve"> PAGEREF _Toc15396611 \h </w:instrText>
      </w:r>
      <w:r>
        <w:rPr>
          <w:smallCaps/>
          <w:sz w:val="20"/>
          <w:szCs w:val="20"/>
        </w:rPr>
        <w:fldChar w:fldCharType="separate"/>
      </w:r>
      <w:r>
        <w:rPr>
          <w:smallCaps/>
          <w:sz w:val="20"/>
          <w:szCs w:val="20"/>
        </w:rPr>
        <w:t>1</w:t>
      </w:r>
      <w:r>
        <w:rPr>
          <w:rFonts w:hint="eastAsia"/>
          <w:smallCaps/>
          <w:sz w:val="20"/>
          <w:szCs w:val="20"/>
        </w:rPr>
        <w:t>2</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"_Toc15396612" </w:instrText>
      </w:r>
      <w:r>
        <w:fldChar w:fldCharType="separate"/>
      </w:r>
      <w:r>
        <w:rPr>
          <w:rFonts w:hint="eastAsia"/>
          <w:smallCaps/>
          <w:sz w:val="20"/>
          <w:szCs w:val="20"/>
        </w:rPr>
        <w:t>十、其他重要事项的情况说明</w:t>
      </w:r>
      <w:r>
        <w:rPr>
          <w:smallCaps/>
          <w:sz w:val="20"/>
          <w:szCs w:val="20"/>
        </w:rPr>
        <w:tab/>
      </w:r>
      <w:r>
        <w:rPr>
          <w:smallCaps/>
          <w:sz w:val="20"/>
          <w:szCs w:val="20"/>
        </w:rPr>
        <w:fldChar w:fldCharType="begin"/>
      </w:r>
      <w:r>
        <w:rPr>
          <w:smallCaps/>
          <w:sz w:val="20"/>
          <w:szCs w:val="20"/>
        </w:rPr>
        <w:instrText xml:space="preserve"> PAGEREF _Toc15396612 \h </w:instrText>
      </w:r>
      <w:r>
        <w:rPr>
          <w:smallCaps/>
          <w:sz w:val="20"/>
          <w:szCs w:val="20"/>
        </w:rPr>
        <w:fldChar w:fldCharType="separate"/>
      </w:r>
      <w:r>
        <w:rPr>
          <w:smallCaps/>
          <w:sz w:val="20"/>
          <w:szCs w:val="20"/>
        </w:rPr>
        <w:t>1</w:t>
      </w:r>
      <w:r>
        <w:rPr>
          <w:rFonts w:hint="eastAsia"/>
          <w:smallCaps/>
          <w:sz w:val="20"/>
          <w:szCs w:val="20"/>
        </w:rPr>
        <w:t>2</w:t>
      </w:r>
      <w:r>
        <w:rPr>
          <w:smallCaps/>
          <w:sz w:val="20"/>
          <w:szCs w:val="20"/>
        </w:rPr>
        <w:fldChar w:fldCharType="end"/>
      </w:r>
      <w:r>
        <w:rPr>
          <w:smallCaps/>
          <w:sz w:val="20"/>
          <w:szCs w:val="20"/>
        </w:rPr>
        <w:fldChar w:fldCharType="end"/>
      </w:r>
    </w:p>
    <w:p>
      <w:pPr>
        <w:pStyle w:val="12"/>
        <w:spacing w:before="120" w:after="120"/>
        <w:jc w:val="left"/>
        <w:rPr>
          <w:smallCaps/>
          <w:sz w:val="20"/>
          <w:szCs w:val="20"/>
        </w:rPr>
      </w:pPr>
      <w:r>
        <w:fldChar w:fldCharType="begin"/>
      </w:r>
      <w:r>
        <w:instrText xml:space="preserve"> HYPERLINK \l "_Toc15396613" </w:instrText>
      </w:r>
      <w:r>
        <w:fldChar w:fldCharType="separate"/>
      </w:r>
      <w:r>
        <w:rPr>
          <w:rFonts w:hint="eastAsia"/>
          <w:smallCaps/>
          <w:sz w:val="20"/>
          <w:szCs w:val="20"/>
        </w:rPr>
        <w:t>第三部分 名词解释</w:t>
      </w:r>
      <w:r>
        <w:rPr>
          <w:smallCaps/>
          <w:sz w:val="20"/>
          <w:szCs w:val="20"/>
        </w:rPr>
        <w:tab/>
      </w:r>
      <w:r>
        <w:rPr>
          <w:rFonts w:hint="eastAsia"/>
          <w:smallCaps/>
          <w:sz w:val="20"/>
          <w:szCs w:val="20"/>
        </w:rPr>
        <w:t>14</w:t>
      </w:r>
      <w:r>
        <w:rPr>
          <w:rFonts w:hint="eastAsia"/>
          <w:smallCaps/>
          <w:sz w:val="20"/>
          <w:szCs w:val="20"/>
        </w:rPr>
        <w:fldChar w:fldCharType="end"/>
      </w:r>
    </w:p>
    <w:p>
      <w:pPr>
        <w:pStyle w:val="12"/>
        <w:spacing w:before="120" w:after="120"/>
        <w:jc w:val="left"/>
        <w:rPr>
          <w:smallCaps/>
          <w:sz w:val="20"/>
          <w:szCs w:val="20"/>
        </w:rPr>
      </w:pPr>
      <w:r>
        <w:fldChar w:fldCharType="begin"/>
      </w:r>
      <w:r>
        <w:instrText xml:space="preserve"> HYPERLINK \l "_Toc15396614" </w:instrText>
      </w:r>
      <w:r>
        <w:fldChar w:fldCharType="separate"/>
      </w:r>
      <w:r>
        <w:rPr>
          <w:rFonts w:hint="eastAsia"/>
          <w:smallCaps/>
          <w:sz w:val="20"/>
          <w:szCs w:val="20"/>
        </w:rPr>
        <w:t>第四部分 附件</w:t>
      </w:r>
      <w:r>
        <w:rPr>
          <w:smallCaps/>
          <w:sz w:val="20"/>
          <w:szCs w:val="20"/>
        </w:rPr>
        <w:tab/>
      </w:r>
      <w:r>
        <w:rPr>
          <w:smallCaps/>
          <w:sz w:val="20"/>
          <w:szCs w:val="20"/>
        </w:rPr>
        <w:fldChar w:fldCharType="end"/>
      </w:r>
      <w:r>
        <w:rPr>
          <w:rFonts w:hint="eastAsia"/>
          <w:smallCaps/>
          <w:sz w:val="20"/>
          <w:szCs w:val="20"/>
        </w:rPr>
        <w:t>18</w:t>
      </w:r>
    </w:p>
    <w:p>
      <w:pPr>
        <w:pStyle w:val="12"/>
        <w:spacing w:before="120" w:after="120"/>
        <w:jc w:val="left"/>
        <w:rPr>
          <w:smallCaps/>
          <w:sz w:val="20"/>
          <w:szCs w:val="20"/>
        </w:rPr>
      </w:pPr>
      <w:r>
        <w:fldChar w:fldCharType="begin"/>
      </w:r>
      <w:r>
        <w:instrText xml:space="preserve"> HYPERLINK \l "_Toc15396615" </w:instrText>
      </w:r>
      <w:r>
        <w:fldChar w:fldCharType="separate"/>
      </w:r>
      <w:r>
        <w:rPr>
          <w:rFonts w:hint="eastAsia"/>
          <w:smallCaps/>
          <w:sz w:val="20"/>
          <w:szCs w:val="20"/>
        </w:rPr>
        <w:t>附件</w:t>
      </w:r>
      <w:r>
        <w:rPr>
          <w:smallCaps/>
          <w:sz w:val="20"/>
          <w:szCs w:val="20"/>
        </w:rPr>
        <w:t>1</w:t>
      </w:r>
      <w:r>
        <w:rPr>
          <w:smallCaps/>
          <w:sz w:val="20"/>
          <w:szCs w:val="20"/>
        </w:rPr>
        <w:tab/>
      </w:r>
      <w:r>
        <w:rPr>
          <w:smallCaps/>
          <w:sz w:val="20"/>
          <w:szCs w:val="20"/>
        </w:rPr>
        <w:fldChar w:fldCharType="end"/>
      </w:r>
      <w:r>
        <w:rPr>
          <w:rFonts w:hint="eastAsia"/>
          <w:smallCaps/>
          <w:sz w:val="20"/>
          <w:szCs w:val="20"/>
        </w:rPr>
        <w:t>18</w:t>
      </w:r>
    </w:p>
    <w:p>
      <w:pPr>
        <w:pStyle w:val="12"/>
        <w:spacing w:before="120" w:after="120"/>
        <w:jc w:val="left"/>
        <w:rPr>
          <w:smallCaps/>
          <w:sz w:val="20"/>
          <w:szCs w:val="20"/>
        </w:rPr>
      </w:pPr>
      <w:r>
        <w:fldChar w:fldCharType="begin"/>
      </w:r>
      <w:r>
        <w:instrText xml:space="preserve"> HYPERLINK \l "_Toc15396618" </w:instrText>
      </w:r>
      <w:r>
        <w:fldChar w:fldCharType="separate"/>
      </w:r>
      <w:r>
        <w:rPr>
          <w:rFonts w:hint="eastAsia"/>
          <w:smallCaps/>
          <w:sz w:val="20"/>
          <w:szCs w:val="20"/>
        </w:rPr>
        <w:t>第五部分附表</w:t>
      </w:r>
      <w:r>
        <w:rPr>
          <w:smallCaps/>
          <w:sz w:val="20"/>
          <w:szCs w:val="20"/>
        </w:rPr>
        <w:tab/>
      </w:r>
      <w:r>
        <w:rPr>
          <w:rFonts w:hint="eastAsia"/>
          <w:smallCaps/>
          <w:sz w:val="20"/>
          <w:szCs w:val="20"/>
        </w:rPr>
        <w:t>22</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一、</w:t>
      </w:r>
      <w:r>
        <w:fldChar w:fldCharType="begin"/>
      </w:r>
      <w:r>
        <w:instrText xml:space="preserve"> HYPERLINK \l "_Toc15396619" </w:instrText>
      </w:r>
      <w:r>
        <w:fldChar w:fldCharType="separate"/>
      </w:r>
      <w:r>
        <w:rPr>
          <w:rFonts w:hint="eastAsia"/>
          <w:smallCaps/>
          <w:sz w:val="20"/>
          <w:szCs w:val="20"/>
        </w:rPr>
        <w:t>收入支出决算总表</w:t>
      </w:r>
      <w:r>
        <w:rPr>
          <w:smallCaps/>
          <w:sz w:val="20"/>
          <w:szCs w:val="20"/>
        </w:rPr>
        <w:tab/>
      </w:r>
      <w:r>
        <w:rPr>
          <w:rFonts w:hint="eastAsia"/>
          <w:smallCaps/>
          <w:sz w:val="20"/>
          <w:szCs w:val="20"/>
        </w:rPr>
        <w:t>22</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二、</w:t>
      </w:r>
      <w:r>
        <w:fldChar w:fldCharType="begin"/>
      </w:r>
      <w:r>
        <w:instrText xml:space="preserve"> HYPERLINK \l "_Toc15396620" </w:instrText>
      </w:r>
      <w:r>
        <w:fldChar w:fldCharType="separate"/>
      </w:r>
      <w:r>
        <w:rPr>
          <w:rFonts w:hint="eastAsia"/>
          <w:smallCaps/>
          <w:sz w:val="20"/>
          <w:szCs w:val="20"/>
        </w:rPr>
        <w:t>收入总表</w:t>
      </w:r>
      <w:r>
        <w:rPr>
          <w:smallCaps/>
          <w:sz w:val="20"/>
          <w:szCs w:val="20"/>
        </w:rPr>
        <w:tab/>
      </w:r>
      <w:r>
        <w:rPr>
          <w:rFonts w:hint="eastAsia"/>
          <w:smallCaps/>
          <w:sz w:val="20"/>
          <w:szCs w:val="20"/>
        </w:rPr>
        <w:t>22</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三、</w:t>
      </w:r>
      <w:r>
        <w:fldChar w:fldCharType="begin"/>
      </w:r>
      <w:r>
        <w:instrText xml:space="preserve"> HYPERLINK \l "_Toc15396621" </w:instrText>
      </w:r>
      <w:r>
        <w:fldChar w:fldCharType="separate"/>
      </w:r>
      <w:r>
        <w:rPr>
          <w:rFonts w:hint="eastAsia"/>
          <w:smallCaps/>
          <w:sz w:val="20"/>
          <w:szCs w:val="20"/>
        </w:rPr>
        <w:t>支出总表</w:t>
      </w:r>
      <w:r>
        <w:rPr>
          <w:smallCaps/>
          <w:sz w:val="20"/>
          <w:szCs w:val="20"/>
        </w:rPr>
        <w:tab/>
      </w:r>
      <w:r>
        <w:rPr>
          <w:rFonts w:hint="eastAsia"/>
          <w:smallCaps/>
          <w:sz w:val="20"/>
          <w:szCs w:val="20"/>
        </w:rPr>
        <w:t>22</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四、</w:t>
      </w:r>
      <w:r>
        <w:fldChar w:fldCharType="begin"/>
      </w:r>
      <w:r>
        <w:instrText xml:space="preserve"> HYPERLINK \l "_Toc15396622" </w:instrText>
      </w:r>
      <w:r>
        <w:fldChar w:fldCharType="separate"/>
      </w:r>
      <w:r>
        <w:rPr>
          <w:rFonts w:hint="eastAsia"/>
          <w:smallCaps/>
          <w:sz w:val="20"/>
          <w:szCs w:val="20"/>
        </w:rPr>
        <w:t>财政拨款收入支出决算总表</w:t>
      </w:r>
      <w:r>
        <w:rPr>
          <w:smallCaps/>
          <w:sz w:val="20"/>
          <w:szCs w:val="20"/>
        </w:rPr>
        <w:tab/>
      </w:r>
      <w:r>
        <w:rPr>
          <w:rFonts w:hint="eastAsia"/>
          <w:smallCaps/>
          <w:sz w:val="20"/>
          <w:szCs w:val="20"/>
        </w:rPr>
        <w:t>22</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五、</w:t>
      </w:r>
      <w:r>
        <w:fldChar w:fldCharType="begin"/>
      </w:r>
      <w:r>
        <w:instrText xml:space="preserve"> HYPERLINK \l "_Toc15396623" </w:instrText>
      </w:r>
      <w:r>
        <w:fldChar w:fldCharType="separate"/>
      </w:r>
      <w:r>
        <w:rPr>
          <w:rFonts w:hint="eastAsia"/>
          <w:smallCaps/>
          <w:sz w:val="20"/>
          <w:szCs w:val="20"/>
        </w:rPr>
        <w:t>财政拨款支出决算明细表（政府经济分类科目）</w:t>
      </w:r>
      <w:r>
        <w:rPr>
          <w:smallCaps/>
          <w:sz w:val="20"/>
          <w:szCs w:val="20"/>
        </w:rPr>
        <w:tab/>
      </w:r>
      <w:r>
        <w:rPr>
          <w:rFonts w:hint="eastAsia"/>
          <w:smallCaps/>
          <w:sz w:val="20"/>
          <w:szCs w:val="20"/>
        </w:rPr>
        <w:t>22</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六、</w:t>
      </w:r>
      <w:r>
        <w:fldChar w:fldCharType="begin"/>
      </w:r>
      <w:r>
        <w:instrText xml:space="preserve"> HYPERLINK \l "_Toc15396624" </w:instrText>
      </w:r>
      <w:r>
        <w:fldChar w:fldCharType="separate"/>
      </w:r>
      <w:r>
        <w:rPr>
          <w:rFonts w:hint="eastAsia"/>
          <w:smallCaps/>
          <w:sz w:val="20"/>
          <w:szCs w:val="20"/>
        </w:rPr>
        <w:t>一般公共预算财政拨款支出决算表</w:t>
      </w:r>
      <w:r>
        <w:rPr>
          <w:smallCaps/>
          <w:sz w:val="20"/>
          <w:szCs w:val="20"/>
        </w:rPr>
        <w:tab/>
      </w:r>
      <w:r>
        <w:rPr>
          <w:rFonts w:hint="eastAsia"/>
          <w:smallCaps/>
          <w:sz w:val="20"/>
          <w:szCs w:val="20"/>
        </w:rPr>
        <w:t>22</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七、</w:t>
      </w:r>
      <w:r>
        <w:fldChar w:fldCharType="begin"/>
      </w:r>
      <w:r>
        <w:instrText xml:space="preserve"> HYPERLINK \l "_Toc15396625" </w:instrText>
      </w:r>
      <w:r>
        <w:fldChar w:fldCharType="separate"/>
      </w:r>
      <w:r>
        <w:rPr>
          <w:rFonts w:hint="eastAsia"/>
          <w:smallCaps/>
          <w:sz w:val="20"/>
          <w:szCs w:val="20"/>
        </w:rPr>
        <w:t>一般公共预算财政拨款支出决算明细表</w:t>
      </w:r>
      <w:r>
        <w:rPr>
          <w:smallCaps/>
          <w:sz w:val="20"/>
          <w:szCs w:val="20"/>
        </w:rPr>
        <w:tab/>
      </w:r>
      <w:r>
        <w:rPr>
          <w:rFonts w:hint="eastAsia"/>
          <w:smallCaps/>
          <w:sz w:val="20"/>
          <w:szCs w:val="20"/>
        </w:rPr>
        <w:t>22</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八、</w:t>
      </w:r>
      <w:r>
        <w:fldChar w:fldCharType="begin"/>
      </w:r>
      <w:r>
        <w:instrText xml:space="preserve"> HYPERLINK \l "_Toc15396626" </w:instrText>
      </w:r>
      <w:r>
        <w:fldChar w:fldCharType="separate"/>
      </w:r>
      <w:r>
        <w:rPr>
          <w:rFonts w:hint="eastAsia"/>
          <w:smallCaps/>
          <w:sz w:val="20"/>
          <w:szCs w:val="20"/>
        </w:rPr>
        <w:t>一般公共预算财政拨款基本支出决算表</w:t>
      </w:r>
      <w:r>
        <w:rPr>
          <w:smallCaps/>
          <w:sz w:val="20"/>
          <w:szCs w:val="20"/>
        </w:rPr>
        <w:tab/>
      </w:r>
      <w:r>
        <w:rPr>
          <w:rFonts w:hint="eastAsia"/>
          <w:smallCaps/>
          <w:sz w:val="20"/>
          <w:szCs w:val="20"/>
        </w:rPr>
        <w:t>22</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九、</w:t>
      </w:r>
      <w:r>
        <w:fldChar w:fldCharType="begin"/>
      </w:r>
      <w:r>
        <w:instrText xml:space="preserve"> HYPERLINK \l "_Toc15396627" </w:instrText>
      </w:r>
      <w:r>
        <w:fldChar w:fldCharType="separate"/>
      </w:r>
      <w:r>
        <w:rPr>
          <w:rFonts w:hint="eastAsia"/>
          <w:smallCaps/>
          <w:sz w:val="20"/>
          <w:szCs w:val="20"/>
        </w:rPr>
        <w:t>一般公共预算财政拨款项目支出决算表</w:t>
      </w:r>
      <w:r>
        <w:rPr>
          <w:smallCaps/>
          <w:sz w:val="20"/>
          <w:szCs w:val="20"/>
        </w:rPr>
        <w:tab/>
      </w:r>
      <w:r>
        <w:rPr>
          <w:rFonts w:hint="eastAsia"/>
          <w:smallCaps/>
          <w:sz w:val="20"/>
          <w:szCs w:val="20"/>
        </w:rPr>
        <w:t>22</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十、</w:t>
      </w:r>
      <w:r>
        <w:fldChar w:fldCharType="begin"/>
      </w:r>
      <w:r>
        <w:instrText xml:space="preserve"> HYPERLINK \l "_Toc15396628" </w:instrText>
      </w:r>
      <w:r>
        <w:fldChar w:fldCharType="separate"/>
      </w:r>
      <w:r>
        <w:rPr>
          <w:rFonts w:hint="eastAsia"/>
          <w:smallCaps/>
          <w:sz w:val="20"/>
          <w:szCs w:val="20"/>
        </w:rPr>
        <w:t>一般公共预算财政拨款“三公”经费支出决算表</w:t>
      </w:r>
      <w:r>
        <w:rPr>
          <w:smallCaps/>
          <w:sz w:val="20"/>
          <w:szCs w:val="20"/>
        </w:rPr>
        <w:tab/>
      </w:r>
      <w:r>
        <w:rPr>
          <w:rFonts w:hint="eastAsia"/>
          <w:smallCaps/>
          <w:sz w:val="20"/>
          <w:szCs w:val="20"/>
        </w:rPr>
        <w:t>22</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十一、</w:t>
      </w:r>
      <w:r>
        <w:fldChar w:fldCharType="begin"/>
      </w:r>
      <w:r>
        <w:instrText xml:space="preserve"> HYPERLINK \l "_Toc15396629" </w:instrText>
      </w:r>
      <w:r>
        <w:fldChar w:fldCharType="separate"/>
      </w:r>
      <w:r>
        <w:rPr>
          <w:rFonts w:hint="eastAsia"/>
          <w:smallCaps/>
          <w:sz w:val="20"/>
          <w:szCs w:val="20"/>
        </w:rPr>
        <w:t>政府性基金预算财政拨款收入支出决算表</w:t>
      </w:r>
      <w:r>
        <w:rPr>
          <w:smallCaps/>
          <w:sz w:val="20"/>
          <w:szCs w:val="20"/>
        </w:rPr>
        <w:tab/>
      </w:r>
      <w:r>
        <w:rPr>
          <w:rFonts w:hint="eastAsia"/>
          <w:smallCaps/>
          <w:sz w:val="20"/>
          <w:szCs w:val="20"/>
        </w:rPr>
        <w:t>22</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十二、</w:t>
      </w:r>
      <w:r>
        <w:fldChar w:fldCharType="begin"/>
      </w:r>
      <w:r>
        <w:instrText xml:space="preserve"> HYPERLINK \l "_Toc15396630" </w:instrText>
      </w:r>
      <w:r>
        <w:fldChar w:fldCharType="separate"/>
      </w:r>
      <w:r>
        <w:rPr>
          <w:rFonts w:hint="eastAsia"/>
          <w:smallCaps/>
          <w:sz w:val="20"/>
          <w:szCs w:val="20"/>
        </w:rPr>
        <w:t>政府性基金预算财政拨款“三公”经费支出决算表</w:t>
      </w:r>
      <w:r>
        <w:rPr>
          <w:smallCaps/>
          <w:sz w:val="20"/>
          <w:szCs w:val="20"/>
        </w:rPr>
        <w:tab/>
      </w:r>
      <w:r>
        <w:rPr>
          <w:rFonts w:hint="eastAsia"/>
          <w:smallCaps/>
          <w:sz w:val="20"/>
          <w:szCs w:val="20"/>
        </w:rPr>
        <w:t>22</w:t>
      </w:r>
      <w:r>
        <w:rPr>
          <w:rFonts w:hint="eastAsia"/>
          <w:smallCaps/>
          <w:sz w:val="20"/>
          <w:szCs w:val="20"/>
        </w:rPr>
        <w:fldChar w:fldCharType="end"/>
      </w:r>
    </w:p>
    <w:p>
      <w:pPr>
        <w:pStyle w:val="12"/>
        <w:spacing w:before="120" w:after="120"/>
        <w:jc w:val="left"/>
        <w:rPr>
          <w:smallCaps/>
          <w:sz w:val="20"/>
          <w:szCs w:val="20"/>
        </w:rPr>
      </w:pPr>
      <w:r>
        <w:rPr>
          <w:rFonts w:hint="eastAsia"/>
          <w:smallCaps/>
          <w:sz w:val="20"/>
          <w:szCs w:val="20"/>
        </w:rPr>
        <w:t>十三、</w:t>
      </w:r>
      <w:r>
        <w:fldChar w:fldCharType="begin"/>
      </w:r>
      <w:r>
        <w:instrText xml:space="preserve"> HYPERLINK \l "_Toc15396631" </w:instrText>
      </w:r>
      <w:r>
        <w:fldChar w:fldCharType="separate"/>
      </w:r>
      <w:r>
        <w:rPr>
          <w:rFonts w:hint="eastAsia"/>
          <w:smallCaps/>
          <w:sz w:val="20"/>
          <w:szCs w:val="20"/>
        </w:rPr>
        <w:t>国有资本经营预算财政拨款收入支出决算表</w:t>
      </w:r>
      <w:r>
        <w:rPr>
          <w:smallCaps/>
          <w:sz w:val="20"/>
          <w:szCs w:val="20"/>
        </w:rPr>
        <w:tab/>
      </w:r>
      <w:r>
        <w:rPr>
          <w:rFonts w:hint="eastAsia"/>
          <w:smallCaps/>
          <w:sz w:val="20"/>
          <w:szCs w:val="20"/>
        </w:rPr>
        <w:t>22</w:t>
      </w:r>
      <w:r>
        <w:rPr>
          <w:rFonts w:hint="eastAsia"/>
          <w:smallCaps/>
          <w:sz w:val="20"/>
          <w:szCs w:val="20"/>
        </w:rPr>
        <w:fldChar w:fldCharType="end"/>
      </w:r>
    </w:p>
    <w:p>
      <w:pPr>
        <w:pStyle w:val="12"/>
        <w:spacing w:before="120" w:after="120"/>
        <w:jc w:val="left"/>
        <w:rPr>
          <w:rFonts w:ascii="黑体" w:hAnsi="黑体" w:eastAsia="黑体"/>
          <w:b/>
        </w:rPr>
      </w:pPr>
      <w:r>
        <w:rPr>
          <w:smallCaps/>
          <w:sz w:val="20"/>
          <w:szCs w:val="20"/>
        </w:rPr>
        <w:fldChar w:fldCharType="end"/>
      </w:r>
      <w:r>
        <w:rPr>
          <w:rFonts w:hint="eastAsia"/>
          <w:smallCaps/>
          <w:sz w:val="20"/>
          <w:szCs w:val="20"/>
        </w:rPr>
        <w:t>十四、</w:t>
      </w:r>
      <w:r>
        <w:fldChar w:fldCharType="begin"/>
      </w:r>
      <w:r>
        <w:instrText xml:space="preserve"> HYPERLINK \l "_Toc15396631" </w:instrText>
      </w:r>
      <w:r>
        <w:fldChar w:fldCharType="separate"/>
      </w:r>
      <w:r>
        <w:rPr>
          <w:rFonts w:hint="eastAsia"/>
          <w:smallCaps/>
          <w:sz w:val="20"/>
          <w:szCs w:val="20"/>
        </w:rPr>
        <w:t>国有资本经营预算财政拨款支出决算表</w:t>
      </w:r>
      <w:r>
        <w:rPr>
          <w:smallCaps/>
          <w:sz w:val="20"/>
          <w:szCs w:val="20"/>
        </w:rPr>
        <w:tab/>
      </w:r>
      <w:r>
        <w:rPr>
          <w:rFonts w:hint="eastAsia"/>
          <w:smallCaps/>
          <w:sz w:val="20"/>
          <w:szCs w:val="20"/>
        </w:rPr>
        <w:t>22</w:t>
      </w:r>
      <w:r>
        <w:rPr>
          <w:rFonts w:hint="eastAsia"/>
          <w:smallCaps/>
          <w:sz w:val="20"/>
          <w:szCs w:val="20"/>
        </w:rPr>
        <w:fldChar w:fldCharType="end"/>
      </w:r>
    </w:p>
    <w:p>
      <w:pPr>
        <w:pStyle w:val="12"/>
        <w:spacing w:before="120" w:after="120"/>
        <w:jc w:val="left"/>
        <w:rPr>
          <w:smallCaps/>
          <w:sz w:val="20"/>
          <w:szCs w:val="20"/>
        </w:rPr>
      </w:pPr>
    </w:p>
    <w:p>
      <w:pPr>
        <w:widowControl/>
        <w:jc w:val="left"/>
        <w:rPr>
          <w:rFonts w:ascii="黑体" w:hAnsi="黑体" w:eastAsia="黑体"/>
          <w:b/>
          <w:sz w:val="28"/>
          <w:szCs w:val="28"/>
        </w:rPr>
      </w:pPr>
      <w:bookmarkStart w:id="12" w:name="_Toc15396599"/>
      <w:bookmarkStart w:id="13" w:name="_Toc15377196"/>
    </w:p>
    <w:p>
      <w:pPr>
        <w:widowControl/>
        <w:jc w:val="left"/>
        <w:rPr>
          <w:rFonts w:ascii="黑体" w:hAnsi="黑体" w:eastAsia="黑体"/>
          <w:b/>
        </w:rPr>
      </w:pPr>
    </w:p>
    <w:p>
      <w:pPr>
        <w:widowControl/>
        <w:jc w:val="left"/>
        <w:rPr>
          <w:rFonts w:ascii="黑体" w:hAnsi="黑体" w:eastAsia="黑体"/>
          <w:b/>
        </w:rPr>
      </w:pPr>
    </w:p>
    <w:p>
      <w:pPr>
        <w:widowControl/>
        <w:jc w:val="left"/>
        <w:rPr>
          <w:rFonts w:ascii="黑体" w:hAnsi="黑体" w:eastAsia="黑体"/>
          <w:b/>
        </w:rPr>
      </w:pPr>
    </w:p>
    <w:p>
      <w:pPr>
        <w:widowControl/>
        <w:jc w:val="left"/>
        <w:rPr>
          <w:rFonts w:ascii="仿宋_GB2312" w:hAnsi="黑体" w:eastAsia="仿宋_GB2312"/>
          <w:b/>
          <w:bCs/>
          <w:kern w:val="44"/>
          <w:sz w:val="44"/>
          <w:szCs w:val="44"/>
        </w:rPr>
      </w:pPr>
      <w:r>
        <w:rPr>
          <w:rFonts w:ascii="仿宋_GB2312" w:hAnsi="黑体" w:eastAsia="仿宋_GB2312"/>
          <w:b/>
          <w:bCs/>
          <w:kern w:val="44"/>
          <w:sz w:val="44"/>
          <w:szCs w:val="44"/>
        </w:rPr>
        <w:br w:type="page"/>
      </w:r>
    </w:p>
    <w:p>
      <w:pPr>
        <w:pStyle w:val="3"/>
        <w:jc w:val="center"/>
        <w:rPr>
          <w:rFonts w:ascii="仿宋_GB2312" w:hAnsi="黑体" w:eastAsia="仿宋_GB2312"/>
          <w:b w:val="0"/>
          <w:bCs w:val="0"/>
        </w:rPr>
      </w:pPr>
      <w:r>
        <w:rPr>
          <w:rFonts w:hint="eastAsia" w:ascii="仿宋_GB2312" w:hAnsi="黑体" w:eastAsia="仿宋_GB2312"/>
        </w:rPr>
        <w:t xml:space="preserve">第一部分 </w:t>
      </w:r>
      <w:r>
        <w:rPr>
          <w:rStyle w:val="28"/>
          <w:rFonts w:hint="eastAsia" w:ascii="仿宋_GB2312" w:hAnsi="黑体" w:eastAsia="仿宋_GB2312"/>
          <w:b/>
          <w:bCs w:val="0"/>
        </w:rPr>
        <w:t>部门概况</w:t>
      </w:r>
      <w:bookmarkEnd w:id="12"/>
      <w:bookmarkEnd w:id="13"/>
    </w:p>
    <w:p>
      <w:pPr>
        <w:pStyle w:val="4"/>
        <w:ind w:firstLine="640" w:firstLineChars="200"/>
        <w:rPr>
          <w:rFonts w:ascii="黑体" w:hAnsi="黑体" w:eastAsia="黑体" w:cs="Times New Roman"/>
          <w:bCs w:val="0"/>
          <w:color w:val="000000"/>
        </w:rPr>
      </w:pPr>
      <w:bookmarkStart w:id="14" w:name="_Toc15377197"/>
      <w:bookmarkStart w:id="15" w:name="_Toc15396600"/>
      <w:r>
        <w:rPr>
          <w:rFonts w:hint="eastAsia" w:ascii="黑体" w:hAnsi="黑体" w:eastAsia="黑体" w:cs="Times New Roman"/>
          <w:b w:val="0"/>
          <w:color w:val="000000"/>
        </w:rPr>
        <w:t>一、基本职能及主要工作</w:t>
      </w:r>
      <w:bookmarkEnd w:id="14"/>
      <w:bookmarkEnd w:id="15"/>
    </w:p>
    <w:p>
      <w:pPr>
        <w:pStyle w:val="7"/>
        <w:adjustRightInd w:val="0"/>
        <w:snapToGrid w:val="0"/>
        <w:spacing w:before="93" w:line="600" w:lineRule="exact"/>
        <w:ind w:firstLine="672" w:firstLineChars="210"/>
        <w:outlineLvl w:val="2"/>
        <w:rPr>
          <w:rFonts w:hAnsi="仿宋"/>
          <w:bCs/>
          <w:color w:val="000000"/>
          <w:sz w:val="32"/>
          <w:szCs w:val="32"/>
        </w:rPr>
      </w:pPr>
      <w:bookmarkStart w:id="16" w:name="_Toc15378445"/>
      <w:bookmarkStart w:id="17" w:name="_Toc15377198"/>
      <w:r>
        <w:rPr>
          <w:rFonts w:hint="eastAsia" w:hAnsi="仿宋"/>
          <w:bCs/>
          <w:color w:val="000000"/>
          <w:sz w:val="32"/>
          <w:szCs w:val="32"/>
        </w:rPr>
        <w:t>（一）主要职能</w:t>
      </w:r>
      <w:bookmarkEnd w:id="16"/>
      <w:bookmarkEnd w:id="17"/>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bookmarkStart w:id="18" w:name="_Toc15377199"/>
      <w:bookmarkStart w:id="19" w:name="_Toc15378446"/>
      <w:r>
        <w:rPr>
          <w:rFonts w:hint="eastAsia" w:ascii="仿宋_GB2312" w:hAnsi="仿宋_GB2312" w:eastAsia="仿宋_GB2312" w:cs="仿宋_GB2312"/>
          <w:color w:val="000000"/>
          <w:kern w:val="0"/>
          <w:sz w:val="32"/>
          <w:szCs w:val="32"/>
          <w:shd w:val="clear" w:color="auto" w:fill="FFFFFF"/>
        </w:rPr>
        <w:t>1.履行全民所有土地、矿产、森林、草原、湿地、水等自然资源资产所有者职责和所有国土空间用途管制职责；</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2.负责全县自然资源调查监测评价；</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3.负责全县自然资源统一确权登记工作；</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4.负责全县自然资源资产有偿使用工作；</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5.负责全县自然资源的合理开发利用；</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6.负责建立全县空间规划体系并监督实施；</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7.负责统筹全县国土空间生态修复；</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8.负责组织实施最严格的耕地保护制度；</w:t>
      </w:r>
    </w:p>
    <w:p>
      <w:pPr>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9.负责管理全县地质勘查行业和地质工作；</w:t>
      </w:r>
    </w:p>
    <w:p>
      <w:pPr>
        <w:ind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10.负责落实综合防灾减灾规划相关要求；</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11.负责全县矿产资源管理工作；</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12.负责全县测绘地理信息工作；</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13.推动全县自然资源领域科技发展和对外合作；</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14.配合国家、省、州对县人民政府落实党中央、国务院关于自然资源和国土空间规划的重大方针政策、决策部署及法律法规执行情况进行督察；</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15.负责职责范围内的安全生产和职业健康、生态环境保护、审批服务便民化及行政执法等工作；</w:t>
      </w:r>
    </w:p>
    <w:p>
      <w:pPr>
        <w:widowControl/>
        <w:snapToGrid w:val="0"/>
        <w:spacing w:line="576" w:lineRule="exact"/>
        <w:ind w:firstLine="640" w:firstLineChars="200"/>
      </w:pPr>
      <w:r>
        <w:rPr>
          <w:rFonts w:hint="eastAsia" w:ascii="仿宋_GB2312" w:hAnsi="仿宋_GB2312" w:eastAsia="仿宋_GB2312" w:cs="仿宋_GB2312"/>
          <w:color w:val="000000"/>
          <w:kern w:val="0"/>
          <w:sz w:val="32"/>
          <w:szCs w:val="32"/>
          <w:shd w:val="clear" w:color="auto" w:fill="FFFFFF"/>
        </w:rPr>
        <w:t>16.完成县委、县人民政府交办的其他任务。</w:t>
      </w:r>
    </w:p>
    <w:p>
      <w:pPr>
        <w:pStyle w:val="7"/>
        <w:adjustRightInd w:val="0"/>
        <w:snapToGrid w:val="0"/>
        <w:spacing w:before="93" w:line="576" w:lineRule="exact"/>
        <w:ind w:firstLine="320" w:firstLineChars="100"/>
        <w:outlineLvl w:val="2"/>
        <w:rPr>
          <w:rFonts w:hAnsi="仿宋_GB2312" w:cs="仿宋_GB2312"/>
          <w:color w:val="000000"/>
          <w:sz w:val="32"/>
          <w:szCs w:val="32"/>
          <w:shd w:val="clear" w:color="auto" w:fill="FFFFFF"/>
        </w:rPr>
      </w:pPr>
      <w:r>
        <w:rPr>
          <w:rFonts w:hint="eastAsia" w:hAnsi="仿宋"/>
          <w:bCs/>
          <w:color w:val="000000"/>
          <w:sz w:val="32"/>
          <w:szCs w:val="32"/>
        </w:rPr>
        <w:t>（二）2021年重点工作完成情况</w:t>
      </w:r>
      <w:bookmarkEnd w:id="18"/>
      <w:bookmarkEnd w:id="19"/>
      <w:bookmarkStart w:id="20" w:name="_Toc18358"/>
      <w:bookmarkStart w:id="21" w:name="_Toc15377200"/>
      <w:bookmarkStart w:id="22" w:name="_Toc15396601"/>
    </w:p>
    <w:bookmarkEnd w:id="20"/>
    <w:p>
      <w:pPr>
        <w:pStyle w:val="7"/>
        <w:adjustRightInd w:val="0"/>
        <w:snapToGrid w:val="0"/>
        <w:spacing w:beforeLines="0" w:line="576" w:lineRule="exact"/>
        <w:ind w:firstLine="640" w:firstLineChars="200"/>
        <w:rPr>
          <w:rFonts w:hAnsi="仿宋_GB2312" w:cs="仿宋_GB2312"/>
          <w:color w:val="000000"/>
          <w:sz w:val="32"/>
          <w:szCs w:val="32"/>
          <w:shd w:val="clear" w:color="auto" w:fill="FFFFFF"/>
        </w:rPr>
      </w:pPr>
      <w:r>
        <w:rPr>
          <w:rFonts w:hint="eastAsia"/>
          <w:sz w:val="32"/>
          <w:szCs w:val="32"/>
        </w:rPr>
        <w:t>完成不动产权确权登记1400余宗，完成国有土地使用权抵押权登记 200余宗，开具房屋查询证明2000余份，农村房地一体确权登记总宗地数28000余宗。</w:t>
      </w:r>
      <w:r>
        <w:rPr>
          <w:rFonts w:hAnsi="仿宋_GB2312" w:cs="仿宋_GB2312"/>
          <w:color w:val="000000"/>
          <w:sz w:val="32"/>
          <w:szCs w:val="32"/>
          <w:shd w:val="clear" w:color="auto" w:fill="FFFFFF"/>
        </w:rPr>
        <w:t xml:space="preserve"> </w:t>
      </w:r>
    </w:p>
    <w:p>
      <w:pPr>
        <w:pStyle w:val="4"/>
        <w:ind w:firstLine="640" w:firstLineChars="200"/>
        <w:rPr>
          <w:rFonts w:ascii="黑体" w:hAnsi="黑体" w:eastAsia="黑体" w:cs="Times New Roman"/>
          <w:b w:val="0"/>
          <w:color w:val="000000"/>
        </w:rPr>
      </w:pPr>
      <w:r>
        <w:rPr>
          <w:rFonts w:hint="eastAsia" w:ascii="黑体" w:hAnsi="黑体" w:eastAsia="黑体" w:cs="Times New Roman"/>
          <w:b w:val="0"/>
          <w:color w:val="000000"/>
        </w:rPr>
        <w:t>二、机构设置</w:t>
      </w:r>
      <w:bookmarkEnd w:id="21"/>
      <w:bookmarkEnd w:id="22"/>
    </w:p>
    <w:p>
      <w:pPr>
        <w:widowControl/>
        <w:ind w:firstLine="640" w:firstLineChars="200"/>
        <w:jc w:val="left"/>
        <w:rPr>
          <w:rFonts w:ascii="仿宋_GB2312" w:hAnsi="仿宋" w:eastAsia="仿宋_GB2312"/>
          <w:color w:val="000000"/>
          <w:kern w:val="0"/>
          <w:sz w:val="32"/>
          <w:szCs w:val="32"/>
        </w:rPr>
      </w:pPr>
      <w:r>
        <w:rPr>
          <w:rFonts w:hint="eastAsia" w:ascii="仿宋_GB2312" w:eastAsia="仿宋_GB2312"/>
          <w:sz w:val="32"/>
          <w:szCs w:val="32"/>
        </w:rPr>
        <w:t>茂县不动产登记中心是一级预算行政单位，无下属二级预算单位。</w:t>
      </w:r>
    </w:p>
    <w:p>
      <w:pPr>
        <w:widowControl/>
        <w:jc w:val="left"/>
        <w:rPr>
          <w:rFonts w:ascii="仿宋_GB2312" w:hAnsi="黑体" w:eastAsia="仿宋_GB2312"/>
          <w:b/>
          <w:bCs/>
          <w:color w:val="000000"/>
          <w:kern w:val="44"/>
          <w:sz w:val="44"/>
          <w:szCs w:val="44"/>
        </w:rPr>
      </w:pPr>
      <w:bookmarkStart w:id="23" w:name="_Toc15396602"/>
      <w:bookmarkStart w:id="24" w:name="_Toc15377204"/>
      <w:r>
        <w:rPr>
          <w:rFonts w:ascii="仿宋_GB2312" w:hAnsi="黑体" w:eastAsia="仿宋_GB2312"/>
          <w:color w:val="000000"/>
        </w:rPr>
        <w:br w:type="page"/>
      </w:r>
    </w:p>
    <w:p>
      <w:pPr>
        <w:pStyle w:val="3"/>
        <w:ind w:right="440"/>
        <w:jc w:val="center"/>
        <w:rPr>
          <w:rFonts w:ascii="仿宋_GB2312" w:eastAsia="仿宋_GB2312"/>
          <w:sz w:val="32"/>
          <w:szCs w:val="32"/>
        </w:rPr>
      </w:pPr>
      <w:r>
        <w:rPr>
          <w:rFonts w:hint="eastAsia" w:ascii="仿宋_GB2312" w:hAnsi="黑体" w:eastAsia="仿宋_GB2312"/>
          <w:color w:val="000000"/>
        </w:rPr>
        <w:t xml:space="preserve">  第二部分</w:t>
      </w:r>
      <w:r>
        <w:rPr>
          <w:rStyle w:val="28"/>
          <w:rFonts w:hint="eastAsia" w:ascii="仿宋_GB2312" w:hAnsi="黑体" w:eastAsia="仿宋_GB2312"/>
          <w:b/>
          <w:bCs w:val="0"/>
        </w:rPr>
        <w:t>2021年度部门决算情况说明</w:t>
      </w:r>
      <w:bookmarkEnd w:id="23"/>
      <w:bookmarkEnd w:id="24"/>
    </w:p>
    <w:p>
      <w:pPr>
        <w:pStyle w:val="4"/>
        <w:ind w:firstLine="642" w:firstLineChars="200"/>
        <w:rPr>
          <w:rFonts w:ascii="黑体" w:eastAsia="黑体" w:cs="Times New Roman"/>
          <w:bCs w:val="0"/>
          <w:color w:val="000000"/>
        </w:rPr>
      </w:pPr>
      <w:bookmarkStart w:id="25" w:name="_Toc15377205"/>
      <w:bookmarkStart w:id="26" w:name="_Toc15396603"/>
      <w:r>
        <w:rPr>
          <w:rFonts w:hint="eastAsia" w:ascii="黑体" w:eastAsia="黑体" w:cs="Times New Roman"/>
          <w:bCs w:val="0"/>
          <w:color w:val="000000"/>
        </w:rPr>
        <w:t>一、收入支出决算总体情况说明</w:t>
      </w:r>
      <w:bookmarkEnd w:id="25"/>
      <w:bookmarkEnd w:id="26"/>
    </w:p>
    <w:p>
      <w:pPr>
        <w:spacing w:line="600" w:lineRule="exact"/>
        <w:ind w:firstLine="640" w:firstLineChars="200"/>
        <w:rPr>
          <w:rFonts w:ascii="仿宋_GB2312" w:hAnsi="仿宋" w:eastAsia="仿宋_GB2312"/>
          <w:color w:val="00B0F0"/>
          <w:sz w:val="32"/>
          <w:szCs w:val="32"/>
        </w:rPr>
      </w:pPr>
      <w:r>
        <w:rPr>
          <w:rFonts w:ascii="仿宋" w:hAnsi="仿宋" w:eastAsia="仿宋"/>
          <w:color w:val="000000"/>
          <w:sz w:val="32"/>
          <w:szCs w:val="32"/>
        </w:rPr>
        <w:t>202</w:t>
      </w:r>
      <w:r>
        <w:rPr>
          <w:rFonts w:hint="eastAsia" w:ascii="仿宋" w:hAnsi="仿宋" w:eastAsia="仿宋"/>
          <w:color w:val="000000"/>
          <w:sz w:val="32"/>
          <w:szCs w:val="32"/>
        </w:rPr>
        <w:t>1年度总收入、支出合计为631.38万元。与</w:t>
      </w:r>
      <w:r>
        <w:rPr>
          <w:rFonts w:ascii="仿宋" w:hAnsi="仿宋" w:eastAsia="仿宋"/>
          <w:color w:val="000000"/>
          <w:sz w:val="32"/>
          <w:szCs w:val="32"/>
        </w:rPr>
        <w:t>20</w:t>
      </w:r>
      <w:r>
        <w:rPr>
          <w:rFonts w:hint="eastAsia" w:ascii="仿宋" w:hAnsi="仿宋" w:eastAsia="仿宋"/>
          <w:color w:val="000000"/>
          <w:sz w:val="32"/>
          <w:szCs w:val="32"/>
        </w:rPr>
        <w:t>20年相比，收入支出增加131.4万元，事业人员增加。</w:t>
      </w:r>
    </w:p>
    <w:p>
      <w:pPr>
        <w:spacing w:line="600" w:lineRule="exact"/>
        <w:ind w:firstLine="560" w:firstLineChars="200"/>
        <w:rPr>
          <w:rFonts w:ascii="仿宋_GB2312" w:hAnsi="仿宋" w:eastAsia="仿宋_GB2312"/>
          <w:color w:val="000000" w:themeColor="text1"/>
          <w:sz w:val="28"/>
          <w:szCs w:val="28"/>
          <w14:textFill>
            <w14:solidFill>
              <w14:schemeClr w14:val="tx1"/>
            </w14:solidFill>
          </w14:textFill>
        </w:rPr>
      </w:pPr>
      <w:r>
        <w:rPr>
          <w:rFonts w:hint="eastAsia" w:ascii="仿宋_GB2312" w:hAnsi="仿宋" w:eastAsia="仿宋_GB2312"/>
          <w:color w:val="000000" w:themeColor="text1"/>
          <w:sz w:val="28"/>
          <w:szCs w:val="28"/>
          <w14:textFill>
            <w14:solidFill>
              <w14:schemeClr w14:val="tx1"/>
            </w14:solidFill>
          </w14:textFill>
        </w:rPr>
        <w:t>（图1：收、支决算总计变动情况图）</w:t>
      </w:r>
    </w:p>
    <w:p>
      <w:pPr>
        <w:pStyle w:val="20"/>
        <w:rPr>
          <w:rFonts w:ascii="仿宋_GB2312" w:eastAsia="仿宋_GB2312"/>
          <w:sz w:val="28"/>
          <w:szCs w:val="28"/>
        </w:rPr>
      </w:pPr>
      <w:r>
        <w:rPr>
          <w:rFonts w:ascii="仿宋_GB2312" w:eastAsia="仿宋_GB2312"/>
          <w:sz w:val="28"/>
          <w:szCs w:val="28"/>
        </w:rPr>
        <w:drawing>
          <wp:inline distT="0" distB="0" distL="0" distR="0">
            <wp:extent cx="5274310" cy="3076575"/>
            <wp:effectExtent l="0" t="0" r="21590" b="952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4"/>
        <w:ind w:firstLine="642" w:firstLineChars="200"/>
        <w:rPr>
          <w:rFonts w:ascii="黑体" w:eastAsia="黑体" w:cs="Times New Roman"/>
          <w:bCs w:val="0"/>
          <w:color w:val="000000"/>
        </w:rPr>
      </w:pPr>
      <w:bookmarkStart w:id="27" w:name="_Toc15377206"/>
      <w:bookmarkStart w:id="28" w:name="_Toc15396604"/>
      <w:r>
        <w:rPr>
          <w:rFonts w:hint="eastAsia" w:ascii="黑体" w:eastAsia="黑体" w:cs="Times New Roman"/>
          <w:bCs w:val="0"/>
          <w:color w:val="000000"/>
        </w:rPr>
        <w:t>二、收入决算情况说明</w:t>
      </w:r>
      <w:bookmarkEnd w:id="27"/>
      <w:bookmarkEnd w:id="28"/>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2021年本年收入合计631.38万元，其中：一般公共预算财政拨款收入631.38万元，占100%；政府性基金预算财政拨款收入0万元。</w:t>
      </w:r>
    </w:p>
    <w:p>
      <w:pPr>
        <w:spacing w:line="600" w:lineRule="exact"/>
        <w:ind w:firstLine="640" w:firstLineChars="200"/>
        <w:rPr>
          <w:rFonts w:ascii="仿宋_GB2312" w:eastAsia="仿宋_GB2312"/>
          <w:color w:val="FF0000"/>
          <w:sz w:val="32"/>
          <w:szCs w:val="32"/>
        </w:rPr>
      </w:pPr>
      <w:r>
        <w:rPr>
          <w:rFonts w:hint="eastAsia" w:ascii="仿宋_GB2312" w:hAnsi="仿宋" w:eastAsia="仿宋_GB2312"/>
          <w:color w:val="000000" w:themeColor="text1"/>
          <w:sz w:val="32"/>
          <w:szCs w:val="32"/>
          <w14:textFill>
            <w14:solidFill>
              <w14:schemeClr w14:val="tx1"/>
            </w14:solidFill>
          </w14:textFill>
        </w:rPr>
        <w:t>（图2：收入决算结构图）</w:t>
      </w:r>
    </w:p>
    <w:p>
      <w:pPr>
        <w:pStyle w:val="13"/>
        <w:ind w:left="1060" w:hanging="640"/>
        <w:jc w:val="center"/>
      </w:pPr>
      <w:r>
        <w:rPr>
          <w:rFonts w:hint="eastAsia" w:ascii="仿宋_GB2312" w:eastAsia="仿宋_GB2312"/>
          <w:color w:val="FF0000"/>
          <w:sz w:val="32"/>
          <w:szCs w:val="32"/>
        </w:rPr>
        <w:drawing>
          <wp:inline distT="0" distB="0" distL="114300" distR="114300">
            <wp:extent cx="3717925" cy="2077085"/>
            <wp:effectExtent l="0" t="0" r="15875" b="1841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4"/>
        <w:ind w:firstLine="642" w:firstLineChars="200"/>
        <w:rPr>
          <w:rFonts w:ascii="黑体" w:eastAsia="黑体" w:cs="Times New Roman"/>
          <w:color w:val="000000"/>
        </w:rPr>
      </w:pPr>
      <w:bookmarkStart w:id="29" w:name="_Toc15396605"/>
      <w:bookmarkStart w:id="30" w:name="_Toc15377207"/>
      <w:r>
        <w:rPr>
          <w:rFonts w:hint="eastAsia" w:ascii="黑体" w:eastAsia="黑体" w:cs="Times New Roman"/>
          <w:bCs w:val="0"/>
          <w:color w:val="000000"/>
        </w:rPr>
        <w:t>三、支</w:t>
      </w:r>
      <w:r>
        <w:rPr>
          <w:rFonts w:hint="eastAsia" w:ascii="黑体" w:eastAsia="黑体" w:cs="Times New Roman"/>
          <w:b w:val="0"/>
          <w:color w:val="000000"/>
        </w:rPr>
        <w:t>出决算情况说明</w:t>
      </w:r>
      <w:bookmarkEnd w:id="29"/>
      <w:bookmarkEnd w:id="30"/>
    </w:p>
    <w:p>
      <w:pPr>
        <w:spacing w:line="600" w:lineRule="exact"/>
        <w:ind w:firstLine="640"/>
        <w:rPr>
          <w:rFonts w:ascii="仿宋_GB2312" w:hAnsi="仿宋" w:eastAsia="仿宋_GB2312"/>
          <w:color w:val="000000"/>
          <w:sz w:val="32"/>
          <w:szCs w:val="32"/>
          <w:shd w:val="pct10" w:color="auto" w:fill="FFFFFF"/>
        </w:rPr>
      </w:pPr>
      <w:r>
        <w:rPr>
          <w:rFonts w:hint="eastAsia" w:ascii="仿宋_GB2312" w:hAnsi="仿宋" w:eastAsia="仿宋_GB2312"/>
          <w:color w:val="000000"/>
          <w:sz w:val="32"/>
          <w:szCs w:val="32"/>
        </w:rPr>
        <w:t>2021年本年支出合计631.38万元，其中：基本支出631.38万元，占100%；项目支出0万元。</w:t>
      </w:r>
    </w:p>
    <w:p>
      <w:pPr>
        <w:spacing w:line="600" w:lineRule="exact"/>
        <w:ind w:firstLine="640"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（图3：支出决算结构图）</w:t>
      </w:r>
    </w:p>
    <w:p>
      <w:pPr>
        <w:pStyle w:val="13"/>
        <w:ind w:left="0" w:leftChars="0" w:firstLine="0" w:firstLineChars="0"/>
        <w:rPr>
          <w:rFonts w:ascii="仿宋_GB2312" w:eastAsia="仿宋_GB2312"/>
          <w:color w:val="FF0000"/>
          <w:sz w:val="32"/>
          <w:szCs w:val="32"/>
        </w:rPr>
      </w:pPr>
    </w:p>
    <w:p>
      <w:pPr>
        <w:jc w:val="center"/>
        <w:rPr>
          <w:rFonts w:ascii="仿宋_GB2312" w:eastAsia="仿宋_GB2312"/>
          <w:color w:val="FF0000"/>
          <w:sz w:val="32"/>
          <w:szCs w:val="32"/>
        </w:rPr>
      </w:pPr>
      <w:r>
        <w:rPr>
          <w:rFonts w:hint="eastAsia" w:ascii="仿宋_GB2312" w:eastAsia="仿宋_GB2312"/>
          <w:color w:val="FF0000"/>
          <w:sz w:val="32"/>
          <w:szCs w:val="32"/>
        </w:rPr>
        <w:drawing>
          <wp:inline distT="0" distB="0" distL="114300" distR="114300">
            <wp:extent cx="3717925" cy="2077085"/>
            <wp:effectExtent l="5080" t="4445" r="10795" b="1397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
      </w:pPr>
    </w:p>
    <w:p>
      <w:pPr>
        <w:pStyle w:val="4"/>
        <w:ind w:firstLine="640" w:firstLineChars="200"/>
        <w:rPr>
          <w:rFonts w:ascii="黑体" w:eastAsia="黑体" w:cs="Times New Roman"/>
          <w:bCs w:val="0"/>
          <w:color w:val="000000"/>
        </w:rPr>
      </w:pPr>
      <w:bookmarkStart w:id="31" w:name="_Toc15396606"/>
      <w:bookmarkStart w:id="32" w:name="_Toc15377208"/>
      <w:r>
        <w:rPr>
          <w:rFonts w:hint="eastAsia" w:ascii="黑体" w:eastAsia="黑体" w:cs="Times New Roman"/>
          <w:b w:val="0"/>
          <w:color w:val="000000"/>
        </w:rPr>
        <w:t>四、财政拨款收入支出决算总体情况说明</w:t>
      </w:r>
      <w:bookmarkEnd w:id="31"/>
      <w:bookmarkEnd w:id="32"/>
    </w:p>
    <w:p>
      <w:pPr>
        <w:spacing w:line="600" w:lineRule="exact"/>
        <w:ind w:firstLine="640" w:firstLineChars="200"/>
        <w:rPr>
          <w:rFonts w:ascii="仿宋_GB2312" w:hAnsi="仿宋" w:eastAsia="仿宋_GB2312"/>
          <w:color w:val="00B0F0"/>
          <w:sz w:val="32"/>
          <w:szCs w:val="32"/>
        </w:rPr>
      </w:pPr>
      <w:r>
        <w:rPr>
          <w:rFonts w:ascii="仿宋" w:hAnsi="仿宋" w:eastAsia="仿宋"/>
          <w:color w:val="000000"/>
          <w:sz w:val="32"/>
          <w:szCs w:val="32"/>
        </w:rPr>
        <w:t>202</w:t>
      </w:r>
      <w:r>
        <w:rPr>
          <w:rFonts w:hint="eastAsia" w:ascii="仿宋" w:hAnsi="仿宋" w:eastAsia="仿宋"/>
          <w:color w:val="000000"/>
          <w:sz w:val="32"/>
          <w:szCs w:val="32"/>
        </w:rPr>
        <w:t>1年度总收入、支出合计为631.38万元。与</w:t>
      </w:r>
      <w:r>
        <w:rPr>
          <w:rFonts w:ascii="仿宋" w:hAnsi="仿宋" w:eastAsia="仿宋"/>
          <w:color w:val="000000"/>
          <w:sz w:val="32"/>
          <w:szCs w:val="32"/>
        </w:rPr>
        <w:t>20</w:t>
      </w:r>
      <w:r>
        <w:rPr>
          <w:rFonts w:hint="eastAsia" w:ascii="仿宋" w:hAnsi="仿宋" w:eastAsia="仿宋"/>
          <w:color w:val="000000"/>
          <w:sz w:val="32"/>
          <w:szCs w:val="32"/>
        </w:rPr>
        <w:t>20年相比，收入支出增加131.4万元，事业人员增加。</w:t>
      </w:r>
    </w:p>
    <w:p>
      <w:pPr>
        <w:spacing w:line="600" w:lineRule="exact"/>
        <w:ind w:firstLine="560" w:firstLineChars="200"/>
        <w:rPr>
          <w:rFonts w:ascii="仿宋_GB2312" w:hAnsi="仿宋" w:eastAsia="仿宋_GB2312"/>
          <w:color w:val="000000"/>
          <w:sz w:val="32"/>
          <w:szCs w:val="32"/>
        </w:rPr>
      </w:pPr>
      <w:r>
        <w:rPr>
          <w:rFonts w:ascii="仿宋_GB2312" w:eastAsia="仿宋_GB2312"/>
          <w:sz w:val="28"/>
          <w:szCs w:val="28"/>
        </w:rPr>
        <w:drawing>
          <wp:anchor distT="0" distB="0" distL="114300" distR="114300" simplePos="0" relativeHeight="251660288" behindDoc="0" locked="0" layoutInCell="1" allowOverlap="1">
            <wp:simplePos x="0" y="0"/>
            <wp:positionH relativeFrom="column">
              <wp:posOffset>236220</wp:posOffset>
            </wp:positionH>
            <wp:positionV relativeFrom="paragraph">
              <wp:posOffset>609600</wp:posOffset>
            </wp:positionV>
            <wp:extent cx="5274310" cy="3076575"/>
            <wp:effectExtent l="0" t="0" r="21590" b="9525"/>
            <wp:wrapSquare wrapText="bothSides"/>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_GB2312" w:hAnsi="仿宋" w:eastAsia="仿宋_GB2312"/>
          <w:color w:val="000000"/>
          <w:sz w:val="32"/>
          <w:szCs w:val="32"/>
        </w:rPr>
        <w:t>（图4：财政拨款收、支决算总计变动情况）</w:t>
      </w:r>
    </w:p>
    <w:p>
      <w:pPr>
        <w:pStyle w:val="4"/>
        <w:ind w:firstLine="640" w:firstLineChars="200"/>
        <w:rPr>
          <w:rFonts w:ascii="黑体" w:eastAsia="黑体" w:cs="Times New Roman"/>
          <w:bCs w:val="0"/>
          <w:color w:val="000000"/>
        </w:rPr>
      </w:pPr>
      <w:bookmarkStart w:id="33" w:name="_Toc15396607"/>
      <w:bookmarkStart w:id="34" w:name="_Toc15377209"/>
      <w:r>
        <w:rPr>
          <w:rFonts w:hint="eastAsia" w:ascii="黑体" w:eastAsia="黑体" w:cs="Times New Roman"/>
          <w:b w:val="0"/>
          <w:color w:val="000000"/>
        </w:rPr>
        <w:t>五、一</w:t>
      </w:r>
      <w:r>
        <w:rPr>
          <w:rFonts w:hint="eastAsia" w:ascii="黑体" w:eastAsia="黑体" w:cs="Times New Roman"/>
          <w:bCs w:val="0"/>
          <w:color w:val="000000"/>
        </w:rPr>
        <w:t>般公共预算财政拨款支出决算情况说明</w:t>
      </w:r>
      <w:bookmarkEnd w:id="33"/>
      <w:bookmarkEnd w:id="34"/>
    </w:p>
    <w:p>
      <w:pPr>
        <w:spacing w:line="600" w:lineRule="exact"/>
        <w:ind w:firstLine="642" w:firstLineChars="200"/>
        <w:outlineLvl w:val="2"/>
        <w:rPr>
          <w:rFonts w:ascii="仿宋" w:hAnsi="仿宋" w:eastAsia="仿宋"/>
          <w:b/>
          <w:color w:val="000000"/>
          <w:sz w:val="32"/>
          <w:szCs w:val="32"/>
        </w:rPr>
      </w:pPr>
      <w:bookmarkStart w:id="35" w:name="_Toc15377210"/>
      <w:r>
        <w:rPr>
          <w:rFonts w:hint="eastAsia" w:ascii="仿宋" w:hAnsi="仿宋" w:eastAsia="仿宋"/>
          <w:b/>
          <w:color w:val="000000"/>
          <w:sz w:val="32"/>
          <w:szCs w:val="32"/>
        </w:rPr>
        <w:t>（一）一般公共预算财政拨款支出决算总体情况</w:t>
      </w:r>
      <w:bookmarkEnd w:id="35"/>
    </w:p>
    <w:p>
      <w:pPr>
        <w:spacing w:line="600" w:lineRule="exact"/>
        <w:ind w:firstLine="640" w:firstLineChars="200"/>
        <w:rPr>
          <w:rFonts w:ascii="仿宋_GB2312" w:hAnsi="仿宋" w:eastAsia="仿宋_GB2312"/>
          <w:color w:val="000000"/>
          <w:sz w:val="32"/>
          <w:szCs w:val="32"/>
        </w:rPr>
      </w:pPr>
      <w:bookmarkStart w:id="36" w:name="_Toc15377211"/>
      <w:r>
        <w:rPr>
          <w:rFonts w:hint="eastAsia" w:ascii="仿宋_GB2312" w:hAnsi="仿宋" w:eastAsia="仿宋_GB2312"/>
          <w:color w:val="000000"/>
          <w:sz w:val="32"/>
          <w:szCs w:val="32"/>
        </w:rPr>
        <w:t>2021年一般公共预算财政拨款支出631.38万元，占本年支出合计的100%。与2020年相比，一般公共预算财政拨款增加134.18万元，增长21.25%。主要变动原因是事业人员增加。</w:t>
      </w: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（图5：一般公共预算财政拨款支出决算变动情况）</w:t>
      </w:r>
    </w:p>
    <w:p>
      <w:pPr>
        <w:pStyle w:val="2"/>
        <w:ind w:firstLine="0"/>
        <w:rPr>
          <w:rFonts w:ascii="仿宋_GB2312" w:hAnsi="仿宋" w:eastAsia="仿宋_GB2312"/>
          <w:b/>
          <w:color w:val="000000"/>
          <w:sz w:val="32"/>
          <w:szCs w:val="32"/>
        </w:rPr>
      </w:pPr>
      <w:r>
        <w:rPr>
          <w:rFonts w:ascii="仿宋_GB2312" w:hAnsi="仿宋" w:eastAsia="仿宋_GB2312"/>
          <w:b/>
          <w:color w:val="000000"/>
          <w:sz w:val="32"/>
          <w:szCs w:val="32"/>
        </w:rPr>
        <w:drawing>
          <wp:inline distT="0" distB="0" distL="0" distR="0">
            <wp:extent cx="5274310" cy="3076575"/>
            <wp:effectExtent l="0" t="0" r="21590" b="952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36"/>
    </w:p>
    <w:p>
      <w:pPr>
        <w:spacing w:line="600" w:lineRule="exact"/>
        <w:ind w:firstLine="640"/>
        <w:rPr>
          <w:rFonts w:ascii="仿宋_GB2312" w:hAnsi="仿宋" w:eastAsia="仿宋_GB2312"/>
          <w:color w:val="000000" w:themeColor="text1"/>
          <w:sz w:val="32"/>
          <w:szCs w:val="32"/>
          <w14:textFill>
            <w14:solidFill>
              <w14:schemeClr w14:val="tx1"/>
            </w14:solidFill>
          </w14:textFill>
        </w:rPr>
      </w:pPr>
      <w:r>
        <w:rPr>
          <w:rFonts w:ascii="仿宋_GB2312" w:hAnsi="仿宋" w:eastAsia="仿宋_GB2312"/>
          <w:b/>
          <w:color w:val="000000"/>
          <w:sz w:val="32"/>
          <w:szCs w:val="32"/>
        </w:rPr>
        <w:drawing>
          <wp:anchor distT="0" distB="0" distL="114300" distR="114300" simplePos="0" relativeHeight="251659264" behindDoc="0" locked="0" layoutInCell="1" allowOverlap="1">
            <wp:simplePos x="0" y="0"/>
            <wp:positionH relativeFrom="column">
              <wp:posOffset>281940</wp:posOffset>
            </wp:positionH>
            <wp:positionV relativeFrom="paragraph">
              <wp:posOffset>2359660</wp:posOffset>
            </wp:positionV>
            <wp:extent cx="4907280" cy="2667000"/>
            <wp:effectExtent l="0" t="0" r="26670" b="1905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Pr>
          <w:rFonts w:hint="eastAsia" w:ascii="仿宋_GB2312" w:hAnsi="仿宋" w:eastAsia="仿宋_GB2312"/>
          <w:color w:val="000000"/>
          <w:sz w:val="32"/>
          <w:szCs w:val="32"/>
        </w:rPr>
        <w:t>2021年一般公共预算财</w:t>
      </w:r>
      <w:r>
        <w:rPr>
          <w:rFonts w:hint="eastAsia" w:ascii="仿宋_GB2312" w:hAnsi="仿宋" w:eastAsia="仿宋_GB2312"/>
          <w:color w:val="000000" w:themeColor="text1"/>
          <w:sz w:val="32"/>
          <w:szCs w:val="32"/>
          <w14:textFill>
            <w14:solidFill>
              <w14:schemeClr w14:val="tx1"/>
            </w14:solidFill>
          </w14:textFill>
        </w:rPr>
        <w:t>政拨款支出</w:t>
      </w:r>
      <w:r>
        <w:rPr>
          <w:rFonts w:hint="eastAsia" w:ascii="仿宋_GB2312" w:hAnsi="仿宋" w:eastAsia="仿宋_GB2312"/>
          <w:color w:val="000000"/>
          <w:sz w:val="32"/>
          <w:szCs w:val="32"/>
        </w:rPr>
        <w:t>631.38</w:t>
      </w:r>
      <w:r>
        <w:rPr>
          <w:rFonts w:hint="eastAsia" w:ascii="仿宋_GB2312" w:hAnsi="仿宋" w:eastAsia="仿宋_GB2312"/>
          <w:color w:val="000000" w:themeColor="text1"/>
          <w:sz w:val="32"/>
          <w:szCs w:val="32"/>
          <w14:textFill>
            <w14:solidFill>
              <w14:schemeClr w14:val="tx1"/>
            </w14:solidFill>
          </w14:textFill>
        </w:rPr>
        <w:t>万元，主要用于以下方面:社会保障和就业支出68.74万元，占0.93%；卫生健康支出26.61万元，占0.43%；自然资源海洋气象等支出490.52万元，占12.07%；住房保障支出45.5万元，占0.63%。</w:t>
      </w: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（图6：一般公共预算财政拨款支出决算结构图）</w:t>
      </w:r>
      <w:bookmarkStart w:id="37" w:name="_Toc15377212"/>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37"/>
    </w:p>
    <w:p>
      <w:pPr>
        <w:spacing w:line="600" w:lineRule="exact"/>
        <w:ind w:firstLine="645"/>
        <w:rPr>
          <w:rFonts w:ascii="仿宋_GB2312" w:hAnsi="仿宋" w:eastAsia="仿宋_GB2312"/>
          <w:color w:val="000000"/>
          <w:sz w:val="32"/>
          <w:szCs w:val="32"/>
        </w:rPr>
      </w:pPr>
      <w:bookmarkStart w:id="38" w:name="_Toc15377213"/>
      <w:bookmarkStart w:id="39" w:name="_Toc15378460"/>
      <w:bookmarkStart w:id="40" w:name="_Toc15377444"/>
      <w:r>
        <w:rPr>
          <w:rFonts w:hint="eastAsia" w:ascii="仿宋_GB2312" w:hAnsi="仿宋" w:eastAsia="仿宋_GB2312"/>
          <w:color w:val="000000"/>
          <w:sz w:val="32"/>
          <w:szCs w:val="32"/>
        </w:rPr>
        <w:t>2021年一般公共预算支出决算数为631.38万</w:t>
      </w:r>
      <w:r>
        <w:rPr>
          <w:rFonts w:hint="eastAsia" w:ascii="仿宋_GB2312" w:hAnsi="仿宋" w:eastAsia="仿宋_GB2312"/>
          <w:color w:val="000000"/>
          <w:sz w:val="32"/>
          <w:szCs w:val="32"/>
          <w:lang w:eastAsia="zh-CN"/>
        </w:rPr>
        <w:t>元</w:t>
      </w:r>
      <w:bookmarkStart w:id="100" w:name="_GoBack"/>
      <w:bookmarkEnd w:id="100"/>
      <w:r>
        <w:rPr>
          <w:rFonts w:hint="eastAsia" w:ascii="仿宋_GB2312" w:hAnsi="仿宋" w:eastAsia="仿宋_GB2312"/>
          <w:color w:val="000000"/>
          <w:sz w:val="32"/>
          <w:szCs w:val="32"/>
        </w:rPr>
        <w:t>，完成预算100%。其中：</w:t>
      </w:r>
      <w:bookmarkEnd w:id="38"/>
      <w:bookmarkEnd w:id="39"/>
      <w:bookmarkEnd w:id="40"/>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1.社会保障和就业支出（208）行政事业单位养老支出(05)机关事业单位基本养老保险缴费支出(05)支出决算为45.38万元。完成预算100%。决算数与预算数持平。</w:t>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2.社会保障和就业支出（208）行政事业单位养老支出(05)机关事业单位职业年金缴费支出(06)支出决算为22.91万元。完成预算100%。决算数与预算数持平。</w:t>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3.卫生健康支出（210）行政事业单位医疗（11）事业单位医疗（02）支出决算为26.61万元。完成预算100%。决算数与预算数持平。</w:t>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4. 自然资源海洋气象等支出（220） 自然资源事务（01）事业运行（50）支出决算为490.52万元，完成预算100%。决算数与预算数持平。</w:t>
      </w:r>
    </w:p>
    <w:p>
      <w:pPr>
        <w:pStyle w:val="2"/>
        <w:rPr>
          <w:rFonts w:ascii="仿宋_GB2312" w:hAnsi="仿宋" w:eastAsia="仿宋_GB2312"/>
          <w:color w:val="000000"/>
          <w:sz w:val="32"/>
          <w:szCs w:val="32"/>
        </w:rPr>
      </w:pPr>
      <w:r>
        <w:rPr>
          <w:rFonts w:hint="eastAsia" w:ascii="仿宋_GB2312" w:eastAsia="仿宋_GB2312"/>
          <w:sz w:val="32"/>
          <w:szCs w:val="32"/>
        </w:rPr>
        <w:t>5.</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02</w:t>
      </w:r>
      <w:r>
        <w:rPr>
          <w:rFonts w:ascii="仿宋_GB2312" w:eastAsia="仿宋_GB2312"/>
          <w:sz w:val="32"/>
          <w:szCs w:val="32"/>
        </w:rPr>
        <w:t>）住房公积金（</w:t>
      </w:r>
      <w:r>
        <w:rPr>
          <w:rFonts w:hint="eastAsia" w:ascii="仿宋_GB2312" w:eastAsia="仿宋_GB2312"/>
          <w:sz w:val="32"/>
          <w:szCs w:val="32"/>
        </w:rPr>
        <w:t>01</w:t>
      </w:r>
      <w:r>
        <w:rPr>
          <w:rFonts w:ascii="仿宋_GB2312" w:eastAsia="仿宋_GB2312"/>
          <w:sz w:val="32"/>
          <w:szCs w:val="32"/>
        </w:rPr>
        <w:t>）</w:t>
      </w:r>
      <w:r>
        <w:rPr>
          <w:rFonts w:hint="eastAsia" w:ascii="仿宋_GB2312" w:hAnsi="仿宋" w:eastAsia="仿宋_GB2312"/>
          <w:color w:val="000000"/>
          <w:sz w:val="32"/>
          <w:szCs w:val="32"/>
        </w:rPr>
        <w:t>支出决算为45.5万元，完成预算100%。决算数与预算数持平。</w:t>
      </w:r>
    </w:p>
    <w:p>
      <w:pPr>
        <w:pStyle w:val="4"/>
        <w:ind w:firstLine="642" w:firstLineChars="200"/>
        <w:rPr>
          <w:rStyle w:val="29"/>
          <w:rFonts w:ascii="仿宋_GB2312" w:eastAsia="仿宋_GB2312"/>
          <w:b w:val="0"/>
          <w:bCs w:val="0"/>
        </w:rPr>
      </w:pPr>
      <w:bookmarkStart w:id="41" w:name="_Toc15396608"/>
      <w:bookmarkStart w:id="42" w:name="_Toc15377214"/>
      <w:r>
        <w:rPr>
          <w:rFonts w:hint="eastAsia" w:ascii="黑体" w:eastAsia="黑体" w:cs="Times New Roman"/>
          <w:bCs w:val="0"/>
          <w:color w:val="000000"/>
        </w:rPr>
        <w:t>六、一</w:t>
      </w:r>
      <w:r>
        <w:rPr>
          <w:rFonts w:hint="eastAsia" w:ascii="黑体" w:eastAsia="黑体" w:cs="Times New Roman"/>
          <w:b w:val="0"/>
          <w:color w:val="000000"/>
        </w:rPr>
        <w:t>般公共预算财政拨款基本支出决算情况说明</w:t>
      </w:r>
      <w:bookmarkEnd w:id="41"/>
      <w:bookmarkEnd w:id="42"/>
      <w:r>
        <w:rPr>
          <w:rStyle w:val="29"/>
          <w:rFonts w:hint="eastAsia" w:ascii="仿宋_GB2312" w:hAnsi="黑体" w:eastAsia="仿宋_GB2312"/>
          <w:b w:val="0"/>
          <w:bCs w:val="0"/>
        </w:rPr>
        <w:tab/>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2021年一般公共预算财政拨款基本支出631.38万元，其中：</w:t>
      </w:r>
    </w:p>
    <w:p>
      <w:pPr>
        <w:spacing w:line="600"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人员经费607.55万元，主要包括：基本工资129.44万元、津贴补贴20.44万元、绩效工资310.16万元、机关事业单位基本养老保险缴费45.83万元、职业年金缴费22.91万元、职工基本医疗保险缴费4.28万元，其他社会保障缴费2.30万元、医疗费4.28万元、住房公积金45.5万元、奖励金0.09万元。</w:t>
      </w:r>
      <w:r>
        <w:rPr>
          <w:rFonts w:hint="eastAsia" w:ascii="仿宋_GB2312" w:hAnsi="仿宋" w:eastAsia="仿宋_GB2312"/>
          <w:color w:val="000000"/>
          <w:sz w:val="32"/>
          <w:szCs w:val="32"/>
        </w:rPr>
        <w:br w:type="textWrapping"/>
      </w:r>
      <w:r>
        <w:rPr>
          <w:rFonts w:hint="eastAsia" w:ascii="仿宋_GB2312" w:hAnsi="仿宋" w:eastAsia="仿宋_GB2312"/>
          <w:color w:val="000000"/>
          <w:sz w:val="32"/>
          <w:szCs w:val="32"/>
        </w:rPr>
        <w:t>　　公用经费23.83万元，主要包括：办公费20.58万元、差旅费3.25万元。</w:t>
      </w:r>
    </w:p>
    <w:p>
      <w:pPr>
        <w:pStyle w:val="4"/>
        <w:ind w:firstLine="642" w:firstLineChars="200"/>
        <w:rPr>
          <w:rFonts w:ascii="黑体" w:eastAsia="黑体" w:cs="Times New Roman"/>
          <w:color w:val="000000"/>
        </w:rPr>
      </w:pPr>
      <w:bookmarkStart w:id="43" w:name="_Toc15377215"/>
      <w:bookmarkStart w:id="44" w:name="_Toc15396609"/>
      <w:r>
        <w:rPr>
          <w:rFonts w:hint="eastAsia" w:ascii="黑体" w:eastAsia="黑体" w:cs="Times New Roman"/>
          <w:bCs w:val="0"/>
          <w:color w:val="000000"/>
        </w:rPr>
        <w:t>七、</w:t>
      </w:r>
      <w:r>
        <w:rPr>
          <w:rFonts w:hint="eastAsia" w:ascii="黑体" w:eastAsia="黑体" w:cs="Times New Roman"/>
          <w:b w:val="0"/>
          <w:color w:val="000000"/>
        </w:rPr>
        <w:t>“三公”经费财政拨款支出决算情况说明</w:t>
      </w:r>
      <w:bookmarkEnd w:id="43"/>
      <w:bookmarkEnd w:id="44"/>
    </w:p>
    <w:p>
      <w:pPr>
        <w:spacing w:line="600" w:lineRule="exact"/>
        <w:ind w:firstLine="642" w:firstLineChars="200"/>
        <w:outlineLvl w:val="2"/>
        <w:rPr>
          <w:rFonts w:ascii="仿宋" w:hAnsi="仿宋" w:eastAsia="仿宋"/>
          <w:b/>
          <w:color w:val="000000"/>
          <w:sz w:val="32"/>
          <w:szCs w:val="32"/>
        </w:rPr>
      </w:pPr>
      <w:bookmarkStart w:id="45" w:name="_Toc15377216"/>
      <w:r>
        <w:rPr>
          <w:rFonts w:hint="eastAsia" w:ascii="仿宋" w:hAnsi="仿宋" w:eastAsia="仿宋"/>
          <w:b/>
          <w:color w:val="000000"/>
          <w:sz w:val="32"/>
          <w:szCs w:val="32"/>
        </w:rPr>
        <w:t>（一）“三公”经费财政拨款支出决算总体情况说明</w:t>
      </w:r>
      <w:bookmarkEnd w:id="45"/>
    </w:p>
    <w:p>
      <w:pPr>
        <w:spacing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2021年“三公”经费财政拨款支出决算为0万元。</w:t>
      </w:r>
      <w:bookmarkStart w:id="46" w:name="_Toc15377217"/>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（二）“三公”经费财政拨款支出决算具体情况说明</w:t>
      </w:r>
      <w:bookmarkEnd w:id="46"/>
    </w:p>
    <w:p>
      <w:pPr>
        <w:spacing w:line="600" w:lineRule="exact"/>
        <w:ind w:firstLine="640"/>
        <w:rPr>
          <w:rFonts w:ascii="仿宋_GB2312" w:hAnsi="仿宋" w:eastAsia="仿宋_GB2312"/>
          <w:color w:val="000000"/>
          <w:sz w:val="32"/>
          <w:szCs w:val="32"/>
        </w:rPr>
      </w:pPr>
      <w:r>
        <w:rPr>
          <w:rFonts w:hint="eastAsia" w:ascii="仿宋_GB2312" w:hAnsi="仿宋" w:eastAsia="仿宋_GB2312"/>
          <w:color w:val="000000"/>
          <w:sz w:val="32"/>
          <w:szCs w:val="32"/>
        </w:rPr>
        <w:t>2021年“三公”经费财政拨款支出0万，因公出国（境）费支出决算0万元，公务用车购置及运行维护费支出决算0万元；公务接待费支出决算0万元。具体情况如下：</w:t>
      </w:r>
    </w:p>
    <w:p>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1.因公出国（境）经费支出0</w:t>
      </w:r>
      <w:r>
        <w:rPr>
          <w:rFonts w:hint="eastAsia" w:ascii="仿宋_GB2312" w:eastAsia="仿宋_GB2312"/>
          <w:color w:val="000000"/>
          <w:sz w:val="32"/>
          <w:szCs w:val="32"/>
        </w:rPr>
        <w:t>万元</w:t>
      </w:r>
      <w:r>
        <w:rPr>
          <w:rStyle w:val="17"/>
          <w:rFonts w:hint="eastAsia" w:ascii="仿宋_GB2312" w:hAnsi="仿宋" w:eastAsia="仿宋_GB2312"/>
          <w:b w:val="0"/>
          <w:bCs/>
          <w:color w:val="000000"/>
          <w:sz w:val="32"/>
          <w:szCs w:val="32"/>
        </w:rPr>
        <w:t>。</w:t>
      </w:r>
      <w:r>
        <w:rPr>
          <w:rFonts w:hint="eastAsia" w:ascii="仿宋_GB2312" w:eastAsia="仿宋_GB2312"/>
          <w:color w:val="000000"/>
          <w:sz w:val="32"/>
          <w:szCs w:val="32"/>
        </w:rPr>
        <w:t>全年安排因公出国（境）团组次，出国（境）人。因公出国（境）支出决算比2020年增加0万元。主要原因是无因公出国（境）经费支出。</w:t>
      </w:r>
    </w:p>
    <w:p>
      <w:pPr>
        <w:spacing w:line="600" w:lineRule="exact"/>
        <w:ind w:firstLine="640"/>
        <w:rPr>
          <w:rFonts w:ascii="仿宋_GB2312" w:eastAsia="仿宋_GB2312"/>
          <w:b/>
          <w:color w:val="000000"/>
          <w:sz w:val="32"/>
          <w:szCs w:val="32"/>
        </w:rPr>
      </w:pPr>
      <w:r>
        <w:rPr>
          <w:rFonts w:hint="eastAsia" w:ascii="仿宋_GB2312" w:eastAsia="仿宋_GB2312"/>
          <w:b/>
          <w:color w:val="000000"/>
          <w:sz w:val="32"/>
          <w:szCs w:val="32"/>
        </w:rPr>
        <w:t>2.公务用车购置及运行维护费支出0</w:t>
      </w:r>
      <w:r>
        <w:rPr>
          <w:rFonts w:hint="eastAsia" w:ascii="仿宋_GB2312" w:eastAsia="仿宋_GB2312"/>
          <w:color w:val="000000"/>
          <w:sz w:val="32"/>
          <w:szCs w:val="32"/>
        </w:rPr>
        <w:t>万元。</w:t>
      </w:r>
      <w:r>
        <w:rPr>
          <w:rFonts w:ascii="仿宋_GB2312" w:eastAsia="仿宋_GB2312"/>
          <w:b/>
          <w:color w:val="000000"/>
          <w:sz w:val="32"/>
          <w:szCs w:val="32"/>
        </w:rPr>
        <w:t xml:space="preserve"> </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3.公务接待费支出0</w:t>
      </w:r>
      <w:r>
        <w:rPr>
          <w:rFonts w:hint="eastAsia" w:ascii="仿宋_GB2312" w:eastAsia="仿宋_GB2312"/>
          <w:color w:val="000000"/>
          <w:sz w:val="32"/>
          <w:szCs w:val="32"/>
        </w:rPr>
        <w:t>万元，</w:t>
      </w:r>
      <w:r>
        <w:rPr>
          <w:rStyle w:val="17"/>
          <w:rFonts w:hint="eastAsia" w:ascii="仿宋_GB2312" w:hAnsi="仿宋" w:eastAsia="仿宋_GB2312"/>
          <w:b w:val="0"/>
          <w:bCs/>
          <w:color w:val="000000"/>
          <w:sz w:val="32"/>
          <w:szCs w:val="32"/>
        </w:rPr>
        <w:t>完成预算100%。</w:t>
      </w:r>
      <w:r>
        <w:rPr>
          <w:rFonts w:hint="eastAsia" w:ascii="仿宋_GB2312" w:eastAsia="仿宋_GB2312"/>
          <w:color w:val="000000"/>
          <w:sz w:val="32"/>
          <w:szCs w:val="32"/>
        </w:rPr>
        <w:t>公务接待费支出决算比2020年增加0万元。主要原因是无公务接待费支出。</w:t>
      </w:r>
      <w:bookmarkStart w:id="47" w:name="_Toc15377218"/>
      <w:bookmarkStart w:id="48" w:name="_Toc15396610"/>
    </w:p>
    <w:p>
      <w:pPr>
        <w:spacing w:line="600" w:lineRule="exact"/>
        <w:ind w:firstLine="640"/>
        <w:outlineLvl w:val="1"/>
        <w:rPr>
          <w:rStyle w:val="29"/>
          <w:rFonts w:ascii="黑体" w:hAnsi="黑体" w:eastAsia="黑体" w:cs="Times New Roman"/>
        </w:rPr>
      </w:pPr>
    </w:p>
    <w:p>
      <w:pPr>
        <w:spacing w:line="600" w:lineRule="exact"/>
        <w:ind w:firstLine="640"/>
        <w:outlineLvl w:val="1"/>
        <w:rPr>
          <w:rStyle w:val="29"/>
          <w:rFonts w:ascii="黑体" w:hAnsi="黑体" w:eastAsia="黑体" w:cs="Times New Roman"/>
          <w:b w:val="0"/>
        </w:rPr>
      </w:pPr>
      <w:r>
        <w:rPr>
          <w:rStyle w:val="29"/>
          <w:rFonts w:hint="eastAsia" w:ascii="黑体" w:hAnsi="黑体" w:eastAsia="黑体" w:cs="Times New Roman"/>
        </w:rPr>
        <w:t>八、</w:t>
      </w:r>
      <w:r>
        <w:rPr>
          <w:rStyle w:val="29"/>
          <w:rFonts w:hint="eastAsia" w:ascii="黑体" w:hAnsi="黑体" w:eastAsia="黑体" w:cs="Times New Roman"/>
          <w:b w:val="0"/>
        </w:rPr>
        <w:t>政府性基金预算支出决算情况说明</w:t>
      </w:r>
      <w:bookmarkEnd w:id="47"/>
      <w:bookmarkEnd w:id="48"/>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2021年政府性基金预算拨款支出0万元。</w:t>
      </w:r>
    </w:p>
    <w:p>
      <w:pPr>
        <w:spacing w:line="600" w:lineRule="exact"/>
        <w:ind w:firstLine="640"/>
        <w:outlineLvl w:val="1"/>
        <w:rPr>
          <w:rStyle w:val="29"/>
          <w:rFonts w:ascii="黑体" w:hAnsi="黑体" w:eastAsia="黑体" w:cs="Times New Roman"/>
        </w:rPr>
      </w:pPr>
      <w:bookmarkStart w:id="49" w:name="_Toc15396611"/>
      <w:bookmarkStart w:id="50" w:name="_Toc15377219"/>
    </w:p>
    <w:p>
      <w:pPr>
        <w:spacing w:line="600" w:lineRule="exact"/>
        <w:ind w:firstLine="640"/>
        <w:outlineLvl w:val="1"/>
        <w:rPr>
          <w:rStyle w:val="29"/>
          <w:rFonts w:ascii="黑体" w:hAnsi="黑体" w:eastAsia="黑体" w:cs="Times New Roman"/>
        </w:rPr>
      </w:pPr>
      <w:r>
        <w:rPr>
          <w:rStyle w:val="29"/>
          <w:rFonts w:hint="eastAsia" w:ascii="黑体" w:hAnsi="黑体" w:eastAsia="黑体" w:cs="Times New Roman"/>
        </w:rPr>
        <w:t>九、国有资本经营预算支出决算情况说明</w:t>
      </w:r>
      <w:bookmarkEnd w:id="49"/>
      <w:bookmarkEnd w:id="50"/>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2021年国有资本经营预算拨款支出0万元。</w:t>
      </w:r>
    </w:p>
    <w:p>
      <w:pPr>
        <w:spacing w:line="600" w:lineRule="exact"/>
        <w:ind w:firstLine="640"/>
        <w:outlineLvl w:val="1"/>
        <w:rPr>
          <w:rStyle w:val="29"/>
          <w:rFonts w:ascii="黑体" w:hAnsi="黑体" w:eastAsia="黑体" w:cs="Times New Roman"/>
        </w:rPr>
      </w:pPr>
    </w:p>
    <w:p>
      <w:pPr>
        <w:spacing w:line="600" w:lineRule="exact"/>
        <w:ind w:firstLine="803" w:firstLineChars="250"/>
        <w:outlineLvl w:val="1"/>
        <w:rPr>
          <w:rStyle w:val="29"/>
          <w:rFonts w:ascii="黑体" w:hAnsi="黑体" w:eastAsia="黑体" w:cs="Times New Roman"/>
          <w:bCs w:val="0"/>
        </w:rPr>
      </w:pPr>
      <w:bookmarkStart w:id="51" w:name="_Toc15377221"/>
      <w:bookmarkStart w:id="52" w:name="_Toc15396612"/>
      <w:r>
        <w:rPr>
          <w:rStyle w:val="29"/>
          <w:rFonts w:hint="eastAsia" w:ascii="黑体" w:hAnsi="黑体" w:eastAsia="黑体" w:cs="Times New Roman"/>
        </w:rPr>
        <w:t>十</w:t>
      </w:r>
      <w:r>
        <w:rPr>
          <w:rStyle w:val="29"/>
          <w:rFonts w:hint="eastAsia" w:ascii="黑体" w:hAnsi="黑体" w:eastAsia="黑体" w:cs="Times New Roman"/>
          <w:bCs w:val="0"/>
        </w:rPr>
        <w:t>、其他重要事项的情况说明</w:t>
      </w:r>
      <w:bookmarkEnd w:id="51"/>
      <w:bookmarkEnd w:id="52"/>
    </w:p>
    <w:p>
      <w:pPr>
        <w:spacing w:line="600" w:lineRule="exact"/>
        <w:ind w:firstLine="642" w:firstLineChars="200"/>
        <w:outlineLvl w:val="2"/>
        <w:rPr>
          <w:rFonts w:ascii="仿宋" w:hAnsi="仿宋" w:eastAsia="仿宋"/>
          <w:b/>
          <w:color w:val="000000"/>
          <w:sz w:val="32"/>
          <w:szCs w:val="32"/>
        </w:rPr>
      </w:pPr>
      <w:bookmarkStart w:id="53" w:name="_Toc15377222"/>
      <w:r>
        <w:rPr>
          <w:rFonts w:hint="eastAsia" w:ascii="仿宋" w:hAnsi="仿宋" w:eastAsia="仿宋"/>
          <w:b/>
          <w:color w:val="000000"/>
          <w:sz w:val="32"/>
          <w:szCs w:val="32"/>
        </w:rPr>
        <w:t>（一）机关运行经费支出情况</w:t>
      </w:r>
      <w:bookmarkEnd w:id="53"/>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2021年，机关运行经费支出0万元，与2020年持平。</w:t>
      </w:r>
    </w:p>
    <w:p>
      <w:pPr>
        <w:spacing w:line="600" w:lineRule="exact"/>
        <w:ind w:firstLine="642" w:firstLineChars="200"/>
        <w:outlineLvl w:val="2"/>
        <w:rPr>
          <w:rFonts w:ascii="仿宋" w:hAnsi="仿宋" w:eastAsia="仿宋"/>
          <w:b/>
          <w:color w:val="000000"/>
          <w:sz w:val="32"/>
          <w:szCs w:val="32"/>
        </w:rPr>
      </w:pPr>
      <w:bookmarkStart w:id="54" w:name="_Toc15377223"/>
      <w:r>
        <w:rPr>
          <w:rFonts w:hint="eastAsia" w:ascii="仿宋" w:hAnsi="仿宋" w:eastAsia="仿宋"/>
          <w:b/>
          <w:color w:val="000000"/>
          <w:sz w:val="32"/>
          <w:szCs w:val="32"/>
        </w:rPr>
        <w:t>（二）政府采购支出情况</w:t>
      </w:r>
      <w:bookmarkEnd w:id="54"/>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2021年，政府采购支出总额0万元，其中：政府采购货物支出0万元、政府采购工程支出0万元、政府采购服务支出0万元。授予中小企业合同金额0万元，其中：授予小微企业合同金额0万元。</w:t>
      </w:r>
    </w:p>
    <w:p>
      <w:pPr>
        <w:spacing w:line="600" w:lineRule="exact"/>
        <w:ind w:firstLine="642" w:firstLineChars="200"/>
        <w:outlineLvl w:val="2"/>
        <w:rPr>
          <w:rFonts w:ascii="仿宋" w:hAnsi="仿宋" w:eastAsia="仿宋"/>
          <w:b/>
          <w:color w:val="000000"/>
          <w:sz w:val="32"/>
          <w:szCs w:val="32"/>
        </w:rPr>
      </w:pPr>
      <w:bookmarkStart w:id="55" w:name="_Toc15377224"/>
      <w:r>
        <w:rPr>
          <w:rFonts w:hint="eastAsia" w:ascii="仿宋" w:hAnsi="仿宋" w:eastAsia="仿宋"/>
          <w:b/>
          <w:color w:val="000000"/>
          <w:sz w:val="32"/>
          <w:szCs w:val="32"/>
        </w:rPr>
        <w:t>（三）国有资产占有使用情况</w:t>
      </w:r>
      <w:bookmarkEnd w:id="55"/>
    </w:p>
    <w:p>
      <w:pPr>
        <w:autoSpaceDE w:val="0"/>
        <w:autoSpaceDN w:val="0"/>
        <w:adjustRightInd w:val="0"/>
        <w:spacing w:line="600" w:lineRule="exact"/>
        <w:ind w:firstLine="640" w:firstLineChars="200"/>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日，茂县不动产登记中心共有车辆0辆，其中：主要领导干部用车0辆、机要通信用车0辆、应急保障用车0辆、其他用车0辆。</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pPr>
        <w:spacing w:line="600" w:lineRule="exact"/>
        <w:ind w:left="643"/>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spacing w:line="580" w:lineRule="exact"/>
        <w:ind w:firstLine="640" w:firstLineChars="200"/>
        <w:rPr>
          <w:rFonts w:ascii="仿宋_GB2312" w:hAnsi="仿宋" w:eastAsia="仿宋_GB2312"/>
          <w:sz w:val="32"/>
          <w:szCs w:val="32"/>
        </w:rPr>
      </w:pPr>
      <w:r>
        <w:rPr>
          <w:rFonts w:hint="eastAsia" w:ascii="仿宋_GB2312" w:hAnsi="仿宋_GB2312" w:eastAsia="仿宋_GB2312" w:cs="仿宋_GB2312"/>
          <w:sz w:val="32"/>
          <w:szCs w:val="32"/>
        </w:rPr>
        <w:t>茂县不动产登记中心在2021年初预算编制无项目预算编制。</w:t>
      </w:r>
    </w:p>
    <w:p>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 xml:space="preserve">1.项目绩效目标完成情况 </w:t>
      </w:r>
      <w:r>
        <w:rPr>
          <w:rFonts w:hint="eastAsia" w:ascii="仿宋_GB2312" w:hAnsi="仿宋_GB2312" w:eastAsia="仿宋_GB2312" w:cs="仿宋_GB2312"/>
          <w:sz w:val="32"/>
          <w:szCs w:val="32"/>
        </w:rPr>
        <w:t xml:space="preserve"> </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本部门在2021年度无项目支出</w:t>
      </w:r>
      <w:r>
        <w:rPr>
          <w:rFonts w:ascii="仿宋_GB2312" w:hAnsi="仿宋_GB2312" w:eastAsia="仿宋_GB2312" w:cs="仿宋_GB2312"/>
          <w:sz w:val="32"/>
          <w:szCs w:val="32"/>
        </w:rPr>
        <w:t xml:space="preserve"> </w:t>
      </w:r>
    </w:p>
    <w:p>
      <w:pPr>
        <w:pStyle w:val="20"/>
        <w:rPr>
          <w:rFonts w:ascii="仿宋_GB2312" w:eastAsia="仿宋_GB2312"/>
          <w:sz w:val="28"/>
          <w:szCs w:val="28"/>
        </w:rPr>
      </w:pPr>
    </w:p>
    <w:p>
      <w:pPr>
        <w:spacing w:line="58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2.部门开展绩效评价结果</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本部门按要求对2021年部门整体支出绩效评价情况开展自评，《茂县自然资源局2021年部门整体支出绩效评价报告》见附件（附件1）。</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1"/>
        </w:numPr>
        <w:spacing w:line="600" w:lineRule="exact"/>
        <w:ind w:firstLine="662" w:firstLineChars="150"/>
        <w:jc w:val="center"/>
        <w:outlineLvl w:val="0"/>
        <w:rPr>
          <w:rStyle w:val="28"/>
          <w:rFonts w:ascii="黑体" w:hAnsi="黑体" w:eastAsia="黑体"/>
        </w:rPr>
      </w:pPr>
      <w:bookmarkStart w:id="56" w:name="_Toc15377225"/>
      <w:bookmarkStart w:id="57" w:name="_Toc15396613"/>
      <w:r>
        <w:rPr>
          <w:rStyle w:val="28"/>
          <w:rFonts w:hint="eastAsia" w:ascii="黑体" w:hAnsi="黑体" w:eastAsia="黑体"/>
        </w:rPr>
        <w:t>名词解释</w:t>
      </w:r>
      <w:bookmarkEnd w:id="56"/>
      <w:bookmarkEnd w:id="57"/>
    </w:p>
    <w:p>
      <w:pPr>
        <w:spacing w:line="600" w:lineRule="exact"/>
        <w:jc w:val="left"/>
        <w:rPr>
          <w:rFonts w:ascii="仿宋_GB2312" w:eastAsia="仿宋_GB2312"/>
          <w:b/>
          <w:color w:val="000000"/>
          <w:sz w:val="32"/>
          <w:szCs w:val="32"/>
        </w:rPr>
      </w:pPr>
    </w:p>
    <w:p>
      <w:pPr>
        <w:pStyle w:val="20"/>
        <w:spacing w:line="560" w:lineRule="exact"/>
        <w:ind w:firstLine="640" w:firstLineChars="200"/>
        <w:jc w:val="both"/>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0"/>
        <w:spacing w:line="560" w:lineRule="exact"/>
        <w:ind w:firstLine="640" w:firstLineChars="200"/>
        <w:jc w:val="both"/>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0"/>
        <w:spacing w:line="560" w:lineRule="exact"/>
        <w:ind w:firstLine="640" w:firstLineChars="200"/>
        <w:jc w:val="both"/>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0"/>
        <w:spacing w:line="560" w:lineRule="exact"/>
        <w:ind w:firstLine="640" w:firstLineChars="200"/>
        <w:jc w:val="both"/>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0"/>
        <w:spacing w:line="560" w:lineRule="exact"/>
        <w:ind w:firstLine="640" w:firstLineChars="200"/>
        <w:jc w:val="both"/>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0"/>
        <w:spacing w:line="560" w:lineRule="exact"/>
        <w:ind w:firstLine="640" w:firstLineChars="200"/>
        <w:jc w:val="both"/>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0"/>
        <w:spacing w:line="560" w:lineRule="exact"/>
        <w:ind w:firstLine="640" w:firstLineChars="200"/>
        <w:jc w:val="both"/>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0"/>
        <w:spacing w:line="560" w:lineRule="exact"/>
        <w:ind w:firstLine="640" w:firstLineChars="200"/>
        <w:jc w:val="both"/>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9.社会保障和就业（类）行政事业单位离退休（款）机关事业单位基本养老保险缴费支出（项）：指部门实施养老保险制度由单位缴纳的养老保险费的支出。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10.社会保障和就业（类）行政事业单位离退休（款）机关事业单位职业年金缴费支出（项）：指部门实施养老保险制度由单位缴纳的职业年金的支出。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11.医疗卫生与计划生育（类）行政事业单位医疗（款）</w:t>
      </w:r>
    </w:p>
    <w:p>
      <w:pPr>
        <w:spacing w:line="576" w:lineRule="exact"/>
        <w:rPr>
          <w:rFonts w:ascii="仿宋_GB2312" w:eastAsia="仿宋_GB2312"/>
          <w:color w:val="000000"/>
          <w:sz w:val="32"/>
          <w:szCs w:val="32"/>
        </w:rPr>
      </w:pPr>
      <w:r>
        <w:rPr>
          <w:rFonts w:hint="eastAsia" w:ascii="仿宋_GB2312" w:eastAsia="仿宋_GB2312"/>
          <w:color w:val="000000"/>
          <w:sz w:val="32"/>
          <w:szCs w:val="32"/>
        </w:rPr>
        <w:t>行政单位医疗（项）：指局机关及参公管理事业单位用于缴</w:t>
      </w:r>
    </w:p>
    <w:p>
      <w:pPr>
        <w:spacing w:line="576" w:lineRule="exact"/>
        <w:rPr>
          <w:rFonts w:ascii="仿宋_GB2312" w:eastAsia="仿宋_GB2312"/>
          <w:color w:val="000000"/>
          <w:sz w:val="32"/>
          <w:szCs w:val="32"/>
        </w:rPr>
      </w:pPr>
      <w:r>
        <w:rPr>
          <w:rFonts w:hint="eastAsia" w:ascii="仿宋_GB2312" w:eastAsia="仿宋_GB2312"/>
          <w:color w:val="000000"/>
          <w:sz w:val="32"/>
          <w:szCs w:val="32"/>
        </w:rPr>
        <w:t xml:space="preserve">纳单位基本医疗保险支出。 </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12.医疗卫生与计划生育（类）行政事业单位医疗（款）</w:t>
      </w:r>
    </w:p>
    <w:p>
      <w:pPr>
        <w:spacing w:line="576" w:lineRule="exact"/>
        <w:rPr>
          <w:rFonts w:ascii="仿宋_GB2312" w:eastAsia="仿宋_GB2312"/>
          <w:color w:val="000000"/>
          <w:sz w:val="32"/>
          <w:szCs w:val="32"/>
        </w:rPr>
      </w:pPr>
      <w:r>
        <w:rPr>
          <w:rFonts w:hint="eastAsia" w:ascii="仿宋_GB2312" w:eastAsia="仿宋_GB2312"/>
          <w:color w:val="000000"/>
          <w:sz w:val="32"/>
          <w:szCs w:val="32"/>
        </w:rPr>
        <w:t>事业单位医疗（项）：指行政事业单位用于缴纳单位基本医疗保</w:t>
      </w:r>
    </w:p>
    <w:p>
      <w:pPr>
        <w:spacing w:line="576" w:lineRule="exact"/>
        <w:rPr>
          <w:rFonts w:ascii="仿宋_GB2312" w:eastAsia="仿宋_GB2312"/>
          <w:color w:val="000000"/>
          <w:sz w:val="32"/>
          <w:szCs w:val="32"/>
        </w:rPr>
      </w:pPr>
      <w:r>
        <w:rPr>
          <w:rFonts w:hint="eastAsia" w:ascii="仿宋_GB2312" w:eastAsia="仿宋_GB2312"/>
          <w:color w:val="000000"/>
          <w:sz w:val="32"/>
          <w:szCs w:val="32"/>
        </w:rPr>
        <w:t>险支出。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 xml:space="preserve">.住房保障（类）住房改革支出（款）住房公积金（项）： </w:t>
      </w:r>
    </w:p>
    <w:p>
      <w:pPr>
        <w:spacing w:line="576" w:lineRule="exact"/>
        <w:rPr>
          <w:rFonts w:ascii="仿宋_GB2312" w:eastAsia="仿宋_GB2312"/>
          <w:color w:val="000000"/>
          <w:sz w:val="32"/>
          <w:szCs w:val="32"/>
        </w:rPr>
      </w:pPr>
      <w:r>
        <w:rPr>
          <w:rFonts w:ascii="仿宋_GB2312" w:eastAsia="仿宋_GB2312"/>
          <w:color w:val="000000"/>
          <w:sz w:val="32"/>
          <w:szCs w:val="32"/>
        </w:rPr>
        <w:t xml:space="preserve">反映行政事业单位按规定为职工缴纳的住房公积金。 </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 xml:space="preserve">.住房保障（类）住房改革支出（款）购房补贴（项）： </w:t>
      </w:r>
    </w:p>
    <w:p>
      <w:pPr>
        <w:spacing w:line="576" w:lineRule="exact"/>
        <w:rPr>
          <w:rFonts w:ascii="仿宋_GB2312" w:eastAsia="仿宋_GB2312"/>
          <w:color w:val="000000"/>
          <w:sz w:val="32"/>
          <w:szCs w:val="32"/>
        </w:rPr>
      </w:pPr>
      <w:r>
        <w:rPr>
          <w:rFonts w:ascii="仿宋_GB2312" w:eastAsia="仿宋_GB2312"/>
          <w:color w:val="000000"/>
          <w:sz w:val="32"/>
          <w:szCs w:val="32"/>
        </w:rPr>
        <w:t>指根据房改政策规定的标准，向符合条件职工发放的用于购</w:t>
      </w:r>
    </w:p>
    <w:p>
      <w:pPr>
        <w:spacing w:line="576" w:lineRule="exact"/>
        <w:rPr>
          <w:rFonts w:ascii="仿宋_GB2312" w:eastAsia="仿宋_GB2312"/>
          <w:color w:val="000000"/>
          <w:sz w:val="32"/>
          <w:szCs w:val="32"/>
        </w:rPr>
      </w:pPr>
      <w:r>
        <w:rPr>
          <w:rFonts w:ascii="仿宋_GB2312" w:eastAsia="仿宋_GB2312"/>
          <w:color w:val="000000"/>
          <w:sz w:val="32"/>
          <w:szCs w:val="32"/>
        </w:rPr>
        <w:t xml:space="preserve">买住房的补贴。 </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15.农林水支出</w:t>
      </w:r>
      <w:r>
        <w:rPr>
          <w:rFonts w:ascii="仿宋_GB2312" w:eastAsia="仿宋_GB2312"/>
          <w:color w:val="000000"/>
          <w:sz w:val="32"/>
          <w:szCs w:val="32"/>
        </w:rPr>
        <w:t>（类）</w:t>
      </w:r>
      <w:r>
        <w:rPr>
          <w:rFonts w:hint="eastAsia" w:ascii="仿宋_GB2312" w:eastAsia="仿宋_GB2312"/>
          <w:color w:val="000000"/>
          <w:sz w:val="32"/>
          <w:szCs w:val="32"/>
        </w:rPr>
        <w:t>扶贫</w:t>
      </w:r>
      <w:r>
        <w:rPr>
          <w:rFonts w:ascii="仿宋_GB2312" w:eastAsia="仿宋_GB2312"/>
          <w:color w:val="000000"/>
          <w:sz w:val="32"/>
          <w:szCs w:val="32"/>
        </w:rPr>
        <w:t>（款）</w:t>
      </w:r>
      <w:r>
        <w:rPr>
          <w:rFonts w:hint="eastAsia" w:ascii="仿宋_GB2312" w:eastAsia="仿宋_GB2312"/>
          <w:color w:val="000000"/>
          <w:sz w:val="32"/>
          <w:szCs w:val="32"/>
        </w:rPr>
        <w:t>农村基础设施建设</w:t>
      </w:r>
      <w:r>
        <w:rPr>
          <w:rFonts w:ascii="仿宋_GB2312" w:eastAsia="仿宋_GB2312"/>
          <w:color w:val="000000"/>
          <w:sz w:val="32"/>
          <w:szCs w:val="32"/>
        </w:rPr>
        <w:t>（项）</w:t>
      </w:r>
      <w:r>
        <w:rPr>
          <w:rFonts w:hint="eastAsia" w:ascii="仿宋_GB2312" w:eastAsia="仿宋_GB2312"/>
          <w:color w:val="000000"/>
          <w:sz w:val="32"/>
          <w:szCs w:val="32"/>
        </w:rPr>
        <w:t>：</w:t>
      </w:r>
    </w:p>
    <w:p>
      <w:pPr>
        <w:spacing w:line="576" w:lineRule="exact"/>
        <w:rPr>
          <w:rFonts w:ascii="仿宋_GB2312" w:eastAsia="仿宋_GB2312"/>
          <w:color w:val="000000"/>
          <w:sz w:val="32"/>
          <w:szCs w:val="32"/>
        </w:rPr>
      </w:pPr>
      <w:r>
        <w:rPr>
          <w:rFonts w:hint="eastAsia" w:ascii="仿宋_GB2312" w:eastAsia="仿宋_GB2312"/>
          <w:color w:val="000000"/>
          <w:sz w:val="32"/>
          <w:szCs w:val="32"/>
        </w:rPr>
        <w:t>用于</w:t>
      </w:r>
      <w:r>
        <w:rPr>
          <w:rFonts w:ascii="仿宋_GB2312" w:eastAsia="仿宋_GB2312"/>
          <w:color w:val="000000"/>
          <w:sz w:val="32"/>
          <w:szCs w:val="32"/>
        </w:rPr>
        <w:t>农村</w:t>
      </w:r>
      <w:r>
        <w:rPr>
          <w:rFonts w:hint="eastAsia" w:ascii="仿宋_GB2312" w:eastAsia="仿宋_GB2312"/>
          <w:color w:val="000000"/>
          <w:sz w:val="32"/>
          <w:szCs w:val="32"/>
        </w:rPr>
        <w:t>贫困地区乡村道路、住房、基本农田等生活条件改善方面的支出。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16.农林水支出</w:t>
      </w:r>
      <w:r>
        <w:rPr>
          <w:rFonts w:ascii="仿宋_GB2312" w:eastAsia="仿宋_GB2312"/>
          <w:color w:val="000000"/>
          <w:sz w:val="32"/>
          <w:szCs w:val="32"/>
        </w:rPr>
        <w:t>（类）</w:t>
      </w:r>
      <w:r>
        <w:rPr>
          <w:rFonts w:hint="eastAsia" w:ascii="仿宋_GB2312" w:eastAsia="仿宋_GB2312"/>
          <w:color w:val="000000"/>
          <w:sz w:val="32"/>
          <w:szCs w:val="32"/>
        </w:rPr>
        <w:t>扶贫</w:t>
      </w:r>
      <w:r>
        <w:rPr>
          <w:rFonts w:ascii="仿宋_GB2312" w:eastAsia="仿宋_GB2312"/>
          <w:color w:val="000000"/>
          <w:sz w:val="32"/>
          <w:szCs w:val="32"/>
        </w:rPr>
        <w:t>（款）</w:t>
      </w:r>
      <w:r>
        <w:rPr>
          <w:rFonts w:hint="eastAsia" w:ascii="仿宋_GB2312" w:eastAsia="仿宋_GB2312"/>
          <w:color w:val="000000"/>
          <w:sz w:val="32"/>
          <w:szCs w:val="32"/>
        </w:rPr>
        <w:t>其他扶贫支出</w:t>
      </w:r>
      <w:r>
        <w:rPr>
          <w:rFonts w:ascii="仿宋_GB2312" w:eastAsia="仿宋_GB2312"/>
          <w:color w:val="000000"/>
          <w:sz w:val="32"/>
          <w:szCs w:val="32"/>
        </w:rPr>
        <w:t>（项）</w:t>
      </w:r>
      <w:r>
        <w:rPr>
          <w:rFonts w:hint="eastAsia" w:ascii="仿宋_GB2312" w:eastAsia="仿宋_GB2312"/>
          <w:color w:val="000000"/>
          <w:sz w:val="32"/>
          <w:szCs w:val="32"/>
        </w:rPr>
        <w:t>：</w:t>
      </w:r>
    </w:p>
    <w:p>
      <w:pPr>
        <w:spacing w:line="576" w:lineRule="exact"/>
        <w:rPr>
          <w:rFonts w:ascii="仿宋_GB2312" w:eastAsia="仿宋_GB2312"/>
          <w:color w:val="000000"/>
          <w:sz w:val="32"/>
          <w:szCs w:val="32"/>
        </w:rPr>
      </w:pPr>
      <w:r>
        <w:rPr>
          <w:rFonts w:hint="eastAsia" w:ascii="仿宋_GB2312" w:eastAsia="仿宋_GB2312"/>
          <w:color w:val="000000"/>
          <w:sz w:val="32"/>
          <w:szCs w:val="32"/>
        </w:rPr>
        <w:t>反映除上述项目以外其他用于扶贫方面的支出。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17.农林水支出</w:t>
      </w:r>
      <w:r>
        <w:rPr>
          <w:rFonts w:ascii="仿宋_GB2312" w:eastAsia="仿宋_GB2312"/>
          <w:color w:val="000000"/>
          <w:sz w:val="32"/>
          <w:szCs w:val="32"/>
        </w:rPr>
        <w:t>（类）</w:t>
      </w:r>
      <w:r>
        <w:rPr>
          <w:rFonts w:hint="eastAsia" w:ascii="仿宋_GB2312" w:eastAsia="仿宋_GB2312"/>
          <w:color w:val="000000"/>
          <w:sz w:val="32"/>
          <w:szCs w:val="32"/>
        </w:rPr>
        <w:t>其他农林水支出</w:t>
      </w:r>
      <w:r>
        <w:rPr>
          <w:rFonts w:ascii="仿宋_GB2312" w:eastAsia="仿宋_GB2312"/>
          <w:color w:val="000000"/>
          <w:sz w:val="32"/>
          <w:szCs w:val="32"/>
        </w:rPr>
        <w:t>（款）</w:t>
      </w:r>
      <w:r>
        <w:rPr>
          <w:rFonts w:hint="eastAsia" w:ascii="仿宋_GB2312" w:eastAsia="仿宋_GB2312"/>
          <w:color w:val="000000"/>
          <w:sz w:val="32"/>
          <w:szCs w:val="32"/>
        </w:rPr>
        <w:t>其他农林水支出</w:t>
      </w:r>
      <w:r>
        <w:rPr>
          <w:rFonts w:ascii="仿宋_GB2312" w:eastAsia="仿宋_GB2312"/>
          <w:color w:val="000000"/>
          <w:sz w:val="32"/>
          <w:szCs w:val="32"/>
        </w:rPr>
        <w:t>（项）</w:t>
      </w:r>
      <w:r>
        <w:rPr>
          <w:rFonts w:hint="eastAsia" w:ascii="仿宋_GB2312" w:eastAsia="仿宋_GB2312"/>
          <w:color w:val="000000"/>
          <w:sz w:val="32"/>
          <w:szCs w:val="32"/>
        </w:rPr>
        <w:t>：反映除化解债务支出以外其他用于农林水方面的支出。</w:t>
      </w:r>
    </w:p>
    <w:p>
      <w:pPr>
        <w:spacing w:line="576" w:lineRule="exact"/>
        <w:ind w:firstLine="640" w:firstLineChars="200"/>
        <w:rPr>
          <w:rFonts w:ascii="仿宋_GB2312" w:eastAsia="仿宋_GB2312"/>
          <w:sz w:val="32"/>
          <w:szCs w:val="32"/>
        </w:rPr>
      </w:pPr>
      <w:r>
        <w:rPr>
          <w:rFonts w:hint="eastAsia" w:ascii="仿宋_GB2312" w:eastAsia="仿宋_GB2312"/>
          <w:color w:val="000000"/>
          <w:sz w:val="32"/>
          <w:szCs w:val="32"/>
        </w:rPr>
        <w:t>18.自然资源海洋气象等支出（类）自然资源事务（款）行政运</w:t>
      </w:r>
      <w:r>
        <w:rPr>
          <w:rFonts w:hint="eastAsia" w:ascii="仿宋_GB2312" w:eastAsia="仿宋_GB2312"/>
          <w:sz w:val="32"/>
          <w:szCs w:val="32"/>
        </w:rPr>
        <w:t>行（项）：反映用于自然资源行政单位的基本支出。</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19.自然资源海洋气象等支出（类）自然资源事务（款）一般行政管理事务（项）：反映未单独设置项级科目的其他项目支出</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20.自然资源海洋气象等支出（类）自然资源事务（款）土地资源调查（项）：反映用于土地资源调查评价、土地利用变更调查、地籍调查等方面的支出。</w:t>
      </w:r>
    </w:p>
    <w:p>
      <w:pPr>
        <w:spacing w:line="576" w:lineRule="exact"/>
        <w:ind w:firstLine="640" w:firstLineChars="200"/>
        <w:rPr>
          <w:rFonts w:ascii="仿宋_GB2312" w:eastAsia="仿宋_GB2312"/>
          <w:color w:val="000000"/>
          <w:sz w:val="32"/>
          <w:szCs w:val="32"/>
        </w:rPr>
      </w:pPr>
      <w:r>
        <w:rPr>
          <w:rFonts w:hint="eastAsia" w:ascii="仿宋_GB2312" w:eastAsia="仿宋_GB2312"/>
          <w:sz w:val="32"/>
          <w:szCs w:val="32"/>
        </w:rPr>
        <w:t>21.自然资源海洋气象等支出（类</w:t>
      </w:r>
      <w:r>
        <w:rPr>
          <w:rFonts w:hint="eastAsia" w:ascii="仿宋_GB2312" w:eastAsia="仿宋_GB2312"/>
          <w:color w:val="000000"/>
          <w:sz w:val="32"/>
          <w:szCs w:val="32"/>
        </w:rPr>
        <w:t>）自然资源事务（款）事业运行（项）：反映用于自然资源事业单位的基本支出。</w:t>
      </w:r>
    </w:p>
    <w:p>
      <w:pPr>
        <w:spacing w:line="576" w:lineRule="exact"/>
        <w:ind w:firstLine="640"/>
        <w:rPr>
          <w:rFonts w:ascii="仿宋_GB2312" w:eastAsia="仿宋_GB2312"/>
          <w:color w:val="000000"/>
          <w:sz w:val="32"/>
          <w:szCs w:val="32"/>
        </w:rPr>
      </w:pPr>
      <w:r>
        <w:rPr>
          <w:rFonts w:hint="eastAsia" w:ascii="仿宋_GB2312" w:eastAsia="仿宋_GB2312"/>
          <w:color w:val="000000"/>
          <w:sz w:val="32"/>
          <w:szCs w:val="32"/>
        </w:rPr>
        <w:t>22.自然资源海洋气象等支出（类）自然资源事务（款）其他自然资源事务支出（项）：反映除上述项目以外其他用于自然资源事务方面的支出。</w:t>
      </w:r>
    </w:p>
    <w:p>
      <w:pPr>
        <w:spacing w:line="576" w:lineRule="exact"/>
        <w:ind w:firstLine="640"/>
        <w:rPr>
          <w:rFonts w:ascii="仿宋_GB2312" w:eastAsia="仿宋_GB2312"/>
          <w:color w:val="000000"/>
          <w:sz w:val="32"/>
          <w:szCs w:val="32"/>
        </w:rPr>
      </w:pPr>
      <w:r>
        <w:rPr>
          <w:rFonts w:hint="eastAsia" w:ascii="仿宋_GB2312" w:eastAsia="仿宋_GB2312"/>
          <w:color w:val="000000"/>
          <w:sz w:val="32"/>
          <w:szCs w:val="32"/>
        </w:rPr>
        <w:t>23.灾害防治及应急管理支出（类）自然灾害防治（款）地质灾害防治（项）：反映防治地质灾害方面的支出。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6</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0"/>
        <w:spacing w:line="576" w:lineRule="exact"/>
        <w:ind w:firstLine="640" w:firstLineChars="200"/>
        <w:jc w:val="both"/>
        <w:rPr>
          <w:rFonts w:ascii="仿宋_GB2312" w:eastAsia="仿宋_GB2312"/>
          <w:sz w:val="32"/>
          <w:szCs w:val="32"/>
        </w:rPr>
      </w:pPr>
      <w:r>
        <w:rPr>
          <w:rFonts w:hint="eastAsia" w:ascii="仿宋_GB2312" w:eastAsia="仿宋_GB2312"/>
          <w:sz w:val="32"/>
          <w:szCs w:val="32"/>
        </w:rPr>
        <w:t>27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0"/>
        <w:spacing w:line="576" w:lineRule="exact"/>
        <w:ind w:firstLine="640" w:firstLineChars="200"/>
        <w:jc w:val="both"/>
        <w:rPr>
          <w:rFonts w:ascii="仿宋_GB2312" w:eastAsia="仿宋_GB2312"/>
          <w:sz w:val="32"/>
          <w:szCs w:val="32"/>
        </w:rPr>
      </w:pPr>
      <w:r>
        <w:rPr>
          <w:rFonts w:hint="eastAsia" w:ascii="仿宋_GB2312" w:eastAsia="仿宋_GB2312"/>
          <w:sz w:val="32"/>
          <w:szCs w:val="32"/>
        </w:rPr>
        <w:t>28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0"/>
        <w:spacing w:line="576" w:lineRule="exact"/>
        <w:ind w:firstLine="640" w:firstLineChars="200"/>
        <w:jc w:val="both"/>
        <w:rPr>
          <w:rFonts w:ascii="仿宋_GB2312" w:eastAsia="仿宋_GB2312" w:cs="黑体"/>
          <w:sz w:val="32"/>
          <w:szCs w:val="32"/>
        </w:rPr>
      </w:pPr>
      <w:r>
        <w:rPr>
          <w:rFonts w:hint="eastAsia" w:ascii="仿宋_GB2312" w:eastAsia="仿宋_GB2312" w:cs="黑体"/>
          <w:sz w:val="32"/>
          <w:szCs w:val="32"/>
        </w:rPr>
        <w:t>39</w:t>
      </w:r>
      <w:r>
        <w:rPr>
          <w:rFonts w:ascii="仿宋_GB2312" w:eastAsia="仿宋_GB2312" w:cs="黑体"/>
          <w:sz w:val="32"/>
          <w:szCs w:val="32"/>
        </w:rPr>
        <w:t>.财政应返还额度：为行政事业单位会计核算科目</w:t>
      </w:r>
      <w:r>
        <w:rPr>
          <w:rFonts w:hint="eastAsia" w:ascii="仿宋_GB2312" w:eastAsia="仿宋_GB2312" w:cs="黑体"/>
          <w:sz w:val="32"/>
          <w:szCs w:val="32"/>
        </w:rPr>
        <w:t>，用于核算实行国库集中支付的行政事业单位应收财政返还的资金额度。</w:t>
      </w:r>
    </w:p>
    <w:p>
      <w:pPr>
        <w:widowControl/>
        <w:jc w:val="left"/>
        <w:rPr>
          <w:rStyle w:val="28"/>
          <w:rFonts w:ascii="黑体" w:hAnsi="黑体" w:eastAsia="黑体"/>
        </w:rPr>
      </w:pPr>
      <w:r>
        <w:rPr>
          <w:rStyle w:val="28"/>
          <w:rFonts w:ascii="黑体" w:hAnsi="黑体" w:eastAsia="黑体"/>
        </w:rPr>
        <w:br w:type="page"/>
      </w:r>
    </w:p>
    <w:p>
      <w:pPr>
        <w:spacing w:line="600" w:lineRule="exact"/>
        <w:ind w:firstLine="2650" w:firstLineChars="600"/>
        <w:outlineLvl w:val="0"/>
        <w:rPr>
          <w:rStyle w:val="28"/>
          <w:rFonts w:ascii="黑体" w:hAnsi="黑体" w:eastAsia="黑体"/>
        </w:rPr>
      </w:pPr>
      <w:r>
        <w:rPr>
          <w:rStyle w:val="28"/>
          <w:rFonts w:hint="eastAsia" w:ascii="黑体" w:hAnsi="黑体" w:eastAsia="黑体"/>
        </w:rPr>
        <w:t>第四部分 附件</w:t>
      </w:r>
    </w:p>
    <w:p>
      <w:pPr>
        <w:spacing w:line="600" w:lineRule="exact"/>
        <w:jc w:val="left"/>
        <w:outlineLvl w:val="0"/>
        <w:rPr>
          <w:rFonts w:ascii="黑体" w:hAnsi="黑体" w:eastAsia="黑体" w:cs="黑体"/>
          <w:sz w:val="32"/>
          <w:szCs w:val="32"/>
        </w:rPr>
      </w:pPr>
      <w:r>
        <w:rPr>
          <w:rFonts w:hint="eastAsia" w:ascii="黑体" w:hAnsi="黑体" w:eastAsia="黑体" w:cs="黑体"/>
          <w:sz w:val="32"/>
          <w:szCs w:val="32"/>
        </w:rPr>
        <w:t>附件1</w:t>
      </w:r>
    </w:p>
    <w:p>
      <w:pPr>
        <w:widowControl/>
        <w:spacing w:line="576" w:lineRule="exact"/>
        <w:contextualSpacing/>
        <w:jc w:val="center"/>
        <w:rPr>
          <w:rFonts w:ascii="宋体" w:hAnsi="宋体"/>
          <w:b/>
          <w:sz w:val="44"/>
          <w:szCs w:val="44"/>
          <w:shd w:val="clear" w:color="auto" w:fill="FFFFFF"/>
        </w:rPr>
      </w:pPr>
      <w:r>
        <w:rPr>
          <w:rFonts w:hint="eastAsia" w:ascii="宋体" w:hAnsi="宋体"/>
          <w:b/>
          <w:sz w:val="44"/>
          <w:szCs w:val="44"/>
          <w:shd w:val="clear" w:color="auto" w:fill="FFFFFF"/>
        </w:rPr>
        <w:t>2021年茂县自然资源局整体支出</w:t>
      </w:r>
    </w:p>
    <w:p>
      <w:pPr>
        <w:widowControl/>
        <w:spacing w:line="576" w:lineRule="exact"/>
        <w:contextualSpacing/>
        <w:jc w:val="center"/>
        <w:rPr>
          <w:rFonts w:ascii="宋体" w:hAnsi="宋体"/>
          <w:b/>
          <w:sz w:val="44"/>
          <w:szCs w:val="44"/>
          <w:shd w:val="clear" w:color="auto" w:fill="FFFFFF"/>
        </w:rPr>
      </w:pPr>
      <w:r>
        <w:rPr>
          <w:rFonts w:hint="eastAsia" w:ascii="宋体" w:hAnsi="宋体"/>
          <w:b/>
          <w:sz w:val="44"/>
          <w:szCs w:val="44"/>
          <w:shd w:val="clear" w:color="auto" w:fill="FFFFFF"/>
        </w:rPr>
        <w:t>绩效评价报告</w:t>
      </w:r>
    </w:p>
    <w:p>
      <w:pPr>
        <w:widowControl/>
        <w:adjustRightInd w:val="0"/>
        <w:snapToGrid w:val="0"/>
        <w:spacing w:line="576"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76"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单位概况</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rPr>
        <w:t>自然资源局按照“三定方案”</w:t>
      </w:r>
      <w:r>
        <w:rPr>
          <w:rFonts w:hint="eastAsia" w:ascii="仿宋_GB2312" w:hAnsi="宋体" w:eastAsia="仿宋_GB2312" w:cs="宋体"/>
          <w:color w:val="000000"/>
          <w:kern w:val="0"/>
          <w:sz w:val="32"/>
          <w:szCs w:val="32"/>
          <w:shd w:val="clear" w:color="auto" w:fill="FFFFFF"/>
          <w:lang w:val="zh-CN"/>
        </w:rPr>
        <w:t>内设办公室、</w:t>
      </w:r>
      <w:r>
        <w:rPr>
          <w:rFonts w:hint="eastAsia" w:ascii="仿宋_GB2312" w:hAnsi="宋体" w:eastAsia="仿宋_GB2312" w:cs="宋体"/>
          <w:color w:val="000000"/>
          <w:kern w:val="0"/>
          <w:sz w:val="32"/>
          <w:szCs w:val="32"/>
          <w:shd w:val="clear" w:color="auto" w:fill="FFFFFF"/>
        </w:rPr>
        <w:t>信访法规和执法监察</w:t>
      </w:r>
      <w:r>
        <w:rPr>
          <w:rFonts w:hint="eastAsia" w:ascii="仿宋_GB2312" w:hAnsi="宋体" w:eastAsia="仿宋_GB2312" w:cs="宋体"/>
          <w:color w:val="000000"/>
          <w:kern w:val="0"/>
          <w:sz w:val="32"/>
          <w:szCs w:val="32"/>
          <w:shd w:val="clear" w:color="auto" w:fill="FFFFFF"/>
          <w:lang w:val="zh-CN"/>
        </w:rPr>
        <w:t>股、</w:t>
      </w:r>
      <w:r>
        <w:rPr>
          <w:rFonts w:hint="eastAsia" w:ascii="仿宋_GB2312" w:hAnsi="宋体" w:eastAsia="仿宋_GB2312" w:cs="宋体"/>
          <w:color w:val="000000"/>
          <w:kern w:val="0"/>
          <w:sz w:val="32"/>
          <w:szCs w:val="32"/>
          <w:shd w:val="clear" w:color="auto" w:fill="FFFFFF"/>
        </w:rPr>
        <w:t>国土空间用途管制</w:t>
      </w:r>
      <w:r>
        <w:rPr>
          <w:rFonts w:hint="eastAsia" w:ascii="仿宋_GB2312" w:hAnsi="宋体" w:eastAsia="仿宋_GB2312" w:cs="宋体"/>
          <w:color w:val="000000"/>
          <w:kern w:val="0"/>
          <w:sz w:val="32"/>
          <w:szCs w:val="32"/>
          <w:shd w:val="clear" w:color="auto" w:fill="FFFFFF"/>
          <w:lang w:val="zh-CN"/>
        </w:rPr>
        <w:t>股、</w:t>
      </w:r>
      <w:r>
        <w:rPr>
          <w:rFonts w:hint="eastAsia" w:ascii="仿宋_GB2312" w:hAnsi="宋体" w:eastAsia="仿宋_GB2312" w:cs="宋体"/>
          <w:color w:val="000000"/>
          <w:kern w:val="0"/>
          <w:sz w:val="32"/>
          <w:szCs w:val="32"/>
          <w:shd w:val="clear" w:color="auto" w:fill="FFFFFF"/>
        </w:rPr>
        <w:t>自然资源开发利用</w:t>
      </w:r>
      <w:r>
        <w:rPr>
          <w:rFonts w:hint="eastAsia" w:ascii="仿宋_GB2312" w:hAnsi="宋体" w:eastAsia="仿宋_GB2312" w:cs="宋体"/>
          <w:color w:val="000000"/>
          <w:kern w:val="0"/>
          <w:sz w:val="32"/>
          <w:szCs w:val="32"/>
          <w:shd w:val="clear" w:color="auto" w:fill="FFFFFF"/>
          <w:lang w:val="zh-CN"/>
        </w:rPr>
        <w:t>股</w:t>
      </w:r>
      <w:r>
        <w:rPr>
          <w:rFonts w:hint="eastAsia" w:ascii="仿宋_GB2312" w:hAnsi="宋体" w:eastAsia="仿宋_GB2312" w:cs="宋体"/>
          <w:color w:val="000000"/>
          <w:kern w:val="0"/>
          <w:sz w:val="32"/>
          <w:szCs w:val="32"/>
          <w:shd w:val="clear" w:color="auto" w:fill="FFFFFF"/>
        </w:rPr>
        <w:t>4</w:t>
      </w:r>
      <w:r>
        <w:rPr>
          <w:rFonts w:hint="eastAsia" w:ascii="仿宋_GB2312" w:hAnsi="宋体" w:eastAsia="仿宋_GB2312" w:cs="宋体"/>
          <w:color w:val="000000"/>
          <w:kern w:val="0"/>
          <w:sz w:val="32"/>
          <w:szCs w:val="32"/>
          <w:shd w:val="clear" w:color="auto" w:fill="FFFFFF"/>
          <w:lang w:val="zh-CN"/>
        </w:rPr>
        <w:t>个职能股室。</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（二）机构职能。</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1.履行全民所有土地、矿产、森林、草原、湿地、水等自然资源资产所有者职责和所有国土空间用途管制职责；</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2.负责全县自然资源调查监测评价；</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3.负责全县自然资源统一确权登记工作；</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4.负责全县自然资源资产有偿使用工作；</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5.负责全县自然资源的合理开发利用；</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6.负责建立全县空间规划体系并监督实施；</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7.负责统筹全县国土空间生态修复；</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8.负责组织实施最严格的耕地保护制度；</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9.负责管理全县地质勘查行业和地质工作；</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10.负责落实综合防灾减灾规划相关要求；</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11.负责全县矿产资源管理工作；</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12.负责全县测绘地理信息工作；</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13.推动全县自然资源领域科技发展和对外合作；</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14.配合国家、省、州对县人民政府落实党中央、国务院关于自然资源和国土空间规划的重大方针政策、决策部署及法律法规执行情况进行督察；</w:t>
      </w:r>
    </w:p>
    <w:p>
      <w:pPr>
        <w:widowControl/>
        <w:adjustRightInd w:val="0"/>
        <w:snapToGrid w:val="0"/>
        <w:spacing w:line="576" w:lineRule="exact"/>
        <w:ind w:firstLine="640" w:firstLineChars="200"/>
        <w:jc w:val="left"/>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15.负责职责范围内的安全生产和职业健康、生态环境保护、审批服务便民化及行政执法等工作；</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16.完成县委、县人民政府交办的其他任务。</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pPr>
        <w:widowControl/>
        <w:adjustRightInd w:val="0"/>
        <w:snapToGrid w:val="0"/>
        <w:spacing w:line="576" w:lineRule="exact"/>
        <w:ind w:firstLine="720"/>
        <w:jc w:val="left"/>
        <w:rPr>
          <w:rFonts w:ascii="仿宋_GB2312" w:hAnsi="宋体" w:eastAsia="仿宋_GB2312" w:cs="宋体"/>
          <w:kern w:val="0"/>
          <w:sz w:val="32"/>
          <w:szCs w:val="32"/>
          <w:shd w:val="clear" w:color="auto" w:fill="FFFFFF"/>
        </w:rPr>
      </w:pPr>
      <w:r>
        <w:rPr>
          <w:rFonts w:hint="eastAsia" w:ascii="仿宋_GB2312" w:eastAsia="仿宋_GB2312"/>
          <w:sz w:val="32"/>
          <w:szCs w:val="32"/>
        </w:rPr>
        <w:t>自然资源局为行政单位，</w:t>
      </w:r>
      <w:r>
        <w:rPr>
          <w:rFonts w:hint="eastAsia" w:ascii="仿宋_GB2312" w:hAnsi="宋体" w:eastAsia="仿宋_GB2312" w:cs="宋体"/>
          <w:kern w:val="0"/>
          <w:sz w:val="32"/>
          <w:szCs w:val="32"/>
          <w:shd w:val="clear" w:color="auto" w:fill="FFFFFF"/>
        </w:rPr>
        <w:t>我局现有行政编制7人，行政工勤编制2人，参公编制10人，事业编制42人。在职行政人员5人，行政工勤2人，参公人员5人，事业人员41人，退休人员14人。</w:t>
      </w:r>
    </w:p>
    <w:p>
      <w:pPr>
        <w:widowControl/>
        <w:adjustRightInd w:val="0"/>
        <w:snapToGrid w:val="0"/>
        <w:spacing w:line="576"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widowControl/>
        <w:suppressAutoHyphens/>
        <w:adjustRightInd w:val="0"/>
        <w:snapToGrid w:val="0"/>
        <w:spacing w:line="576" w:lineRule="exact"/>
        <w:ind w:firstLine="720"/>
        <w:jc w:val="left"/>
        <w:rPr>
          <w:rFonts w:ascii="仿宋_GB2312" w:eastAsia="仿宋_GB2312"/>
          <w:sz w:val="32"/>
          <w:szCs w:val="32"/>
        </w:rPr>
      </w:pPr>
      <w:r>
        <w:rPr>
          <w:rFonts w:hint="eastAsia" w:ascii="仿宋_GB2312" w:eastAsia="仿宋_GB2312"/>
          <w:sz w:val="32"/>
          <w:szCs w:val="32"/>
        </w:rPr>
        <w:t>2021年</w:t>
      </w:r>
      <w:r>
        <w:rPr>
          <w:rFonts w:hint="eastAsia" w:ascii="仿宋" w:hAnsi="仿宋" w:eastAsia="仿宋"/>
          <w:sz w:val="32"/>
          <w:szCs w:val="32"/>
        </w:rPr>
        <w:t>我单位收入合计631.38万元，其中：一般公共预算财政拨款收入631.38万元，政府性基金预算财政拨款收入0万元。</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（二）部门财政资金支出情况。</w:t>
      </w:r>
    </w:p>
    <w:p>
      <w:pPr>
        <w:widowControl/>
        <w:adjustRightInd w:val="0"/>
        <w:snapToGrid w:val="0"/>
        <w:spacing w:line="576" w:lineRule="exact"/>
        <w:ind w:firstLine="720"/>
        <w:jc w:val="left"/>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21年支出合计631.38万元，其中：一般公共预算财政拨款支出631.38万元，政府性基金预算财政拨款支出0万元。</w:t>
      </w:r>
    </w:p>
    <w:p>
      <w:pPr>
        <w:widowControl/>
        <w:adjustRightInd w:val="0"/>
        <w:snapToGrid w:val="0"/>
        <w:spacing w:line="576"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（一）部门预算项目绩效管理。</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1．预算编制。每年11月，财务室根据县财政局下达的部门预算编制任务和要求，编制布置下一年经费。</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2．预算申报。按财政时间节点要求，根据次年重点工作目标任务和计划，提出真实详细的项目预算资金申请，经局领导审核同意后录入预算管理系统报县财政局审批。</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3．预算管理。加强对财政预算安排的项目资金的管理工作，保证项目资金按计划、进度执行，专款专用，不虚列支出，不截留、挤占、挪用、浪费、套取和转移资金。</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widowControl/>
        <w:shd w:val="clear" w:color="auto" w:fill="FFFFFF"/>
        <w:spacing w:line="576" w:lineRule="exact"/>
        <w:ind w:firstLine="640"/>
        <w:jc w:val="left"/>
        <w:rPr>
          <w:rFonts w:eastAsia="仿宋_GB2312"/>
          <w:color w:val="000000"/>
          <w:kern w:val="0"/>
          <w:szCs w:val="21"/>
        </w:rPr>
      </w:pPr>
      <w:r>
        <w:rPr>
          <w:rFonts w:hint="eastAsia" w:ascii="仿宋_GB2312" w:eastAsia="仿宋_GB2312"/>
          <w:color w:val="000000"/>
          <w:kern w:val="0"/>
          <w:sz w:val="32"/>
          <w:szCs w:val="32"/>
        </w:rPr>
        <w:t>1.严格执行财务管理制度。严格执行财经纪律相关规定，严控"三公经费"、会议费、培训费、差旅费等支出。严格报账程序，严把票据审核关。认真做好会计核算，做到账账相符、账实相符。强化内控建设，防范防控岗位风险,确保各项工作有序运转。</w:t>
      </w:r>
    </w:p>
    <w:p>
      <w:pPr>
        <w:widowControl/>
        <w:shd w:val="clear" w:color="auto" w:fill="FFFFFF"/>
        <w:spacing w:line="576" w:lineRule="exact"/>
        <w:ind w:firstLine="640"/>
        <w:jc w:val="left"/>
        <w:rPr>
          <w:rFonts w:eastAsia="仿宋_GB2312"/>
          <w:color w:val="000000"/>
          <w:kern w:val="0"/>
          <w:szCs w:val="21"/>
        </w:rPr>
      </w:pPr>
      <w:r>
        <w:rPr>
          <w:rFonts w:hint="eastAsia" w:ascii="仿宋_GB2312" w:eastAsia="仿宋_GB2312"/>
          <w:color w:val="000000"/>
          <w:kern w:val="0"/>
          <w:sz w:val="32"/>
          <w:szCs w:val="32"/>
        </w:rPr>
        <w:t>2.加强政府采购管理。严格按照《政府采购法》和《政府采购法实施条例》等相关管理规定，根据省采购目录和财政部门预算管理要求，编制政府采购计划。采购前,各股室与县财政等相关单位做好事前沟通,做好采购政策咨询，了解相关业务规范；采购中,合理选择采购方式，确保采购流程合理合规，做好采购项目信息的公开公示工作；采购后,抓好采购项目的监管工作，严把质量关力求实效。</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eastAsia="仿宋_GB2312"/>
          <w:color w:val="000000"/>
          <w:kern w:val="0"/>
          <w:sz w:val="32"/>
          <w:szCs w:val="32"/>
        </w:rPr>
        <w:t>3.加强政府信息公开。2021年，我局严格按照县关于全面推进政府信息公开工作的统一安排部署，突出重点，狠抓落实，细化公开内容，拓宽公开渠道，不断提高政府信息公开的质量和实效。</w:t>
      </w:r>
    </w:p>
    <w:p>
      <w:pPr>
        <w:widowControl/>
        <w:numPr>
          <w:ilvl w:val="0"/>
          <w:numId w:val="2"/>
        </w:numPr>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自评质量</w:t>
      </w:r>
    </w:p>
    <w:p>
      <w:pPr>
        <w:widowControl/>
        <w:adjustRightInd w:val="0"/>
        <w:snapToGrid w:val="0"/>
        <w:spacing w:line="576" w:lineRule="exact"/>
        <w:contextualSpacing/>
        <w:jc w:val="left"/>
        <w:rPr>
          <w:rFonts w:ascii="仿宋_GB2312" w:hAnsi="宋体" w:eastAsia="仿宋_GB2312" w:cs="宋体"/>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rPr>
        <w:t xml:space="preserve">    根据《部门整体支出绩效评价指标》评分，得分81.82分。</w:t>
      </w:r>
    </w:p>
    <w:p>
      <w:pPr>
        <w:widowControl/>
        <w:adjustRightInd w:val="0"/>
        <w:snapToGrid w:val="0"/>
        <w:spacing w:line="576"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76"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仿宋_GB2312" w:hAnsi="宋体" w:eastAsia="仿宋_GB2312" w:cs="宋体"/>
          <w:color w:val="000000"/>
          <w:kern w:val="0"/>
          <w:sz w:val="32"/>
          <w:szCs w:val="32"/>
          <w:shd w:val="clear" w:color="auto" w:fill="FFFFFF"/>
          <w:lang w:val="zh-CN"/>
        </w:rPr>
        <w:t>（一）评价结论。</w:t>
      </w:r>
    </w:p>
    <w:p>
      <w:pPr>
        <w:shd w:val="clear" w:color="auto" w:fill="FFFFFF"/>
        <w:spacing w:line="576" w:lineRule="exact"/>
        <w:ind w:firstLine="640"/>
        <w:rPr>
          <w:rFonts w:eastAsia="仿宋_GB2312"/>
          <w:color w:val="000000"/>
          <w:kern w:val="0"/>
          <w:szCs w:val="21"/>
        </w:rPr>
      </w:pPr>
      <w:r>
        <w:rPr>
          <w:rFonts w:hint="eastAsia" w:ascii="仿宋_GB2312" w:hAnsi="宋体" w:eastAsia="仿宋_GB2312" w:cs="宋体"/>
          <w:color w:val="000000"/>
          <w:kern w:val="0"/>
          <w:sz w:val="32"/>
          <w:szCs w:val="32"/>
          <w:shd w:val="clear" w:color="auto" w:fill="FFFFFF"/>
        </w:rPr>
        <w:t>2021</w:t>
      </w:r>
      <w:r>
        <w:rPr>
          <w:rFonts w:hint="eastAsia" w:ascii="仿宋_GB2312" w:eastAsia="仿宋_GB2312"/>
          <w:color w:val="000000"/>
          <w:kern w:val="0"/>
          <w:sz w:val="32"/>
          <w:szCs w:val="32"/>
        </w:rPr>
        <w:t>年，我局严格按照年初预算批复认真组织实施, 严格执行财经纪律相关管理规定，确保了单位正常运行和重大项目的实施，较好地完成了2021年部门预算编制和决算工作, 2021年目标任务基本完成，预算执行情况较好。</w:t>
      </w:r>
    </w:p>
    <w:p>
      <w:pPr>
        <w:spacing w:line="580" w:lineRule="exact"/>
        <w:ind w:firstLine="640" w:firstLineChars="200"/>
        <w:rPr>
          <w:rFonts w:ascii="仿宋_GB2312" w:hAnsi="仿宋_GB2312" w:eastAsia="仿宋_GB2312" w:cs="仿宋_GB2312"/>
          <w:sz w:val="32"/>
          <w:szCs w:val="32"/>
        </w:rPr>
      </w:pPr>
    </w:p>
    <w:p>
      <w:pPr>
        <w:widowControl/>
        <w:jc w:val="left"/>
        <w:rPr>
          <w:rFonts w:ascii="黑体" w:hAnsi="黑体" w:eastAsia="黑体"/>
          <w:color w:val="000000"/>
          <w:sz w:val="44"/>
          <w:szCs w:val="44"/>
        </w:rPr>
      </w:pPr>
      <w:bookmarkStart w:id="58" w:name="_Toc79163885"/>
      <w:bookmarkStart w:id="59" w:name="_Toc15396618"/>
      <w:bookmarkStart w:id="60" w:name="_Toc79163635"/>
      <w:r>
        <w:rPr>
          <w:rFonts w:ascii="黑体" w:hAnsi="黑体" w:eastAsia="黑体"/>
          <w:color w:val="000000"/>
          <w:sz w:val="44"/>
          <w:szCs w:val="44"/>
        </w:rPr>
        <w:br w:type="page"/>
      </w:r>
    </w:p>
    <w:p>
      <w:pPr>
        <w:spacing w:line="600" w:lineRule="exact"/>
        <w:jc w:val="center"/>
        <w:outlineLvl w:val="0"/>
        <w:rPr>
          <w:rStyle w:val="28"/>
          <w:rFonts w:ascii="黑体" w:hAnsi="黑体" w:eastAsia="黑体"/>
          <w:b w:val="0"/>
        </w:rPr>
      </w:pPr>
      <w:r>
        <w:rPr>
          <w:rFonts w:hint="eastAsia" w:ascii="黑体" w:hAnsi="黑体" w:eastAsia="黑体"/>
          <w:color w:val="000000"/>
          <w:sz w:val="44"/>
          <w:szCs w:val="44"/>
        </w:rPr>
        <w:t>第</w:t>
      </w:r>
      <w:r>
        <w:rPr>
          <w:rStyle w:val="28"/>
          <w:rFonts w:hint="eastAsia" w:ascii="黑体" w:hAnsi="黑体" w:eastAsia="黑体"/>
          <w:b w:val="0"/>
        </w:rPr>
        <w:t>五部分</w:t>
      </w:r>
      <w:r>
        <w:rPr>
          <w:rStyle w:val="28"/>
          <w:rFonts w:ascii="黑体" w:hAnsi="黑体" w:eastAsia="黑体"/>
          <w:b w:val="0"/>
        </w:rPr>
        <w:t xml:space="preserve"> </w:t>
      </w:r>
      <w:r>
        <w:rPr>
          <w:rStyle w:val="28"/>
          <w:rFonts w:hint="eastAsia" w:ascii="黑体" w:hAnsi="黑体" w:eastAsia="黑体"/>
          <w:b w:val="0"/>
        </w:rPr>
        <w:t>附表</w:t>
      </w:r>
      <w:bookmarkEnd w:id="58"/>
      <w:bookmarkEnd w:id="59"/>
      <w:bookmarkEnd w:id="60"/>
    </w:p>
    <w:p>
      <w:pPr>
        <w:pStyle w:val="4"/>
        <w:rPr>
          <w:rFonts w:ascii="仿宋" w:hAnsi="仿宋" w:eastAsia="仿宋"/>
          <w:color w:val="000000"/>
        </w:rPr>
      </w:pPr>
      <w:bookmarkStart w:id="61" w:name="_Toc79163636"/>
      <w:bookmarkStart w:id="62" w:name="_Toc15396619"/>
      <w:bookmarkStart w:id="63" w:name="_Toc79163886"/>
      <w:r>
        <w:rPr>
          <w:rFonts w:hint="eastAsia" w:ascii="仿宋" w:hAnsi="仿宋" w:eastAsia="仿宋"/>
          <w:b w:val="0"/>
          <w:color w:val="000000"/>
        </w:rPr>
        <w:t>一、收</w:t>
      </w:r>
      <w:r>
        <w:rPr>
          <w:rStyle w:val="29"/>
          <w:rFonts w:hint="eastAsia" w:ascii="仿宋" w:hAnsi="仿宋" w:eastAsia="仿宋"/>
          <w:b w:val="0"/>
          <w:bCs w:val="0"/>
        </w:rPr>
        <w:t>入支出决算总表</w:t>
      </w:r>
      <w:bookmarkEnd w:id="61"/>
      <w:bookmarkEnd w:id="62"/>
      <w:bookmarkEnd w:id="63"/>
    </w:p>
    <w:p>
      <w:pPr>
        <w:pStyle w:val="4"/>
        <w:rPr>
          <w:rFonts w:ascii="仿宋" w:hAnsi="仿宋" w:eastAsia="仿宋"/>
          <w:color w:val="000000"/>
        </w:rPr>
      </w:pPr>
      <w:bookmarkStart w:id="64" w:name="_Toc79163887"/>
      <w:bookmarkStart w:id="65" w:name="_Toc15396620"/>
      <w:bookmarkStart w:id="66" w:name="_Toc79163637"/>
      <w:r>
        <w:rPr>
          <w:rFonts w:hint="eastAsia" w:ascii="仿宋" w:hAnsi="仿宋" w:eastAsia="仿宋"/>
          <w:b w:val="0"/>
          <w:color w:val="000000"/>
        </w:rPr>
        <w:t>二、收</w:t>
      </w:r>
      <w:r>
        <w:rPr>
          <w:rStyle w:val="29"/>
          <w:rFonts w:hint="eastAsia" w:ascii="仿宋" w:hAnsi="仿宋" w:eastAsia="仿宋"/>
          <w:b w:val="0"/>
          <w:bCs w:val="0"/>
        </w:rPr>
        <w:t>入决算表</w:t>
      </w:r>
      <w:bookmarkEnd w:id="64"/>
      <w:bookmarkEnd w:id="65"/>
      <w:bookmarkEnd w:id="66"/>
    </w:p>
    <w:p>
      <w:pPr>
        <w:pStyle w:val="4"/>
        <w:rPr>
          <w:rFonts w:ascii="仿宋" w:hAnsi="仿宋" w:eastAsia="仿宋"/>
          <w:color w:val="000000"/>
        </w:rPr>
      </w:pPr>
      <w:bookmarkStart w:id="67" w:name="_Toc79163638"/>
      <w:bookmarkStart w:id="68" w:name="_Toc15396621"/>
      <w:bookmarkStart w:id="69" w:name="_Toc79163888"/>
      <w:r>
        <w:rPr>
          <w:rStyle w:val="29"/>
          <w:rFonts w:hint="eastAsia" w:ascii="仿宋" w:hAnsi="仿宋" w:eastAsia="仿宋"/>
          <w:b w:val="0"/>
          <w:bCs w:val="0"/>
        </w:rPr>
        <w:t>三、</w:t>
      </w:r>
      <w:r>
        <w:rPr>
          <w:rFonts w:hint="eastAsia" w:ascii="仿宋" w:hAnsi="仿宋" w:eastAsia="仿宋"/>
          <w:b w:val="0"/>
          <w:color w:val="000000"/>
        </w:rPr>
        <w:t>支</w:t>
      </w:r>
      <w:r>
        <w:rPr>
          <w:rStyle w:val="29"/>
          <w:rFonts w:hint="eastAsia" w:ascii="仿宋" w:hAnsi="仿宋" w:eastAsia="仿宋"/>
          <w:b w:val="0"/>
          <w:bCs w:val="0"/>
        </w:rPr>
        <w:t>出决算表</w:t>
      </w:r>
      <w:bookmarkEnd w:id="67"/>
      <w:bookmarkEnd w:id="68"/>
      <w:bookmarkEnd w:id="69"/>
    </w:p>
    <w:p>
      <w:pPr>
        <w:pStyle w:val="4"/>
        <w:rPr>
          <w:rFonts w:ascii="仿宋" w:hAnsi="仿宋" w:eastAsia="仿宋"/>
          <w:b w:val="0"/>
          <w:color w:val="000000"/>
        </w:rPr>
      </w:pPr>
      <w:bookmarkStart w:id="70" w:name="_Toc15396622"/>
      <w:bookmarkStart w:id="71" w:name="_Toc79163639"/>
      <w:bookmarkStart w:id="72" w:name="_Toc79163889"/>
      <w:r>
        <w:rPr>
          <w:rStyle w:val="29"/>
          <w:rFonts w:hint="eastAsia" w:ascii="仿宋" w:hAnsi="仿宋" w:eastAsia="仿宋"/>
          <w:b w:val="0"/>
          <w:bCs w:val="0"/>
        </w:rPr>
        <w:t>四、</w:t>
      </w:r>
      <w:r>
        <w:rPr>
          <w:rFonts w:hint="eastAsia" w:ascii="仿宋" w:hAnsi="仿宋" w:eastAsia="仿宋"/>
          <w:b w:val="0"/>
          <w:color w:val="000000"/>
        </w:rPr>
        <w:t>财</w:t>
      </w:r>
      <w:r>
        <w:rPr>
          <w:rStyle w:val="29"/>
          <w:rFonts w:hint="eastAsia" w:ascii="仿宋" w:hAnsi="仿宋" w:eastAsia="仿宋"/>
          <w:b w:val="0"/>
          <w:bCs w:val="0"/>
        </w:rPr>
        <w:t>政拨款收入支出决算总表</w:t>
      </w:r>
      <w:bookmarkEnd w:id="70"/>
      <w:bookmarkEnd w:id="71"/>
      <w:bookmarkEnd w:id="72"/>
    </w:p>
    <w:p>
      <w:pPr>
        <w:pStyle w:val="4"/>
        <w:rPr>
          <w:rStyle w:val="29"/>
          <w:rFonts w:ascii="仿宋" w:hAnsi="仿宋" w:eastAsia="仿宋"/>
          <w:b w:val="0"/>
          <w:bCs w:val="0"/>
        </w:rPr>
      </w:pPr>
      <w:bookmarkStart w:id="73" w:name="_Toc79163640"/>
      <w:bookmarkStart w:id="74" w:name="_Toc79163890"/>
      <w:bookmarkStart w:id="75" w:name="_Toc15396623"/>
      <w:r>
        <w:rPr>
          <w:rStyle w:val="29"/>
          <w:rFonts w:hint="eastAsia" w:ascii="仿宋" w:hAnsi="仿宋" w:eastAsia="仿宋"/>
          <w:b w:val="0"/>
          <w:bCs w:val="0"/>
        </w:rPr>
        <w:t>五、</w:t>
      </w:r>
      <w:r>
        <w:rPr>
          <w:rFonts w:hint="eastAsia" w:ascii="仿宋" w:hAnsi="仿宋" w:eastAsia="仿宋"/>
          <w:b w:val="0"/>
          <w:color w:val="000000"/>
        </w:rPr>
        <w:t>财</w:t>
      </w:r>
      <w:r>
        <w:rPr>
          <w:rStyle w:val="29"/>
          <w:rFonts w:hint="eastAsia" w:ascii="仿宋" w:hAnsi="仿宋" w:eastAsia="仿宋"/>
          <w:b w:val="0"/>
          <w:bCs w:val="0"/>
        </w:rPr>
        <w:t>政拨款支出决算明细表</w:t>
      </w:r>
      <w:bookmarkEnd w:id="73"/>
      <w:bookmarkEnd w:id="74"/>
      <w:bookmarkEnd w:id="75"/>
      <w:bookmarkStart w:id="76" w:name="_Toc15396624"/>
    </w:p>
    <w:p>
      <w:pPr>
        <w:pStyle w:val="4"/>
        <w:rPr>
          <w:rFonts w:ascii="仿宋" w:hAnsi="仿宋" w:eastAsia="仿宋"/>
          <w:color w:val="000000"/>
        </w:rPr>
      </w:pPr>
      <w:bookmarkStart w:id="77" w:name="_Toc79163891"/>
      <w:bookmarkStart w:id="78" w:name="_Toc79163641"/>
      <w:r>
        <w:rPr>
          <w:rStyle w:val="29"/>
          <w:rFonts w:hint="eastAsia" w:ascii="仿宋" w:hAnsi="仿宋" w:eastAsia="仿宋"/>
          <w:b w:val="0"/>
          <w:bCs w:val="0"/>
        </w:rPr>
        <w:t>六、</w:t>
      </w:r>
      <w:r>
        <w:rPr>
          <w:rFonts w:hint="eastAsia" w:ascii="仿宋" w:hAnsi="仿宋" w:eastAsia="仿宋"/>
          <w:b w:val="0"/>
          <w:color w:val="000000"/>
        </w:rPr>
        <w:t>一</w:t>
      </w:r>
      <w:r>
        <w:rPr>
          <w:rStyle w:val="29"/>
          <w:rFonts w:hint="eastAsia" w:ascii="仿宋" w:hAnsi="仿宋" w:eastAsia="仿宋"/>
          <w:b w:val="0"/>
          <w:bCs w:val="0"/>
        </w:rPr>
        <w:t>般公共预算财政拨款支出决算表</w:t>
      </w:r>
      <w:bookmarkEnd w:id="76"/>
      <w:bookmarkEnd w:id="77"/>
      <w:bookmarkEnd w:id="78"/>
    </w:p>
    <w:p>
      <w:pPr>
        <w:pStyle w:val="4"/>
        <w:rPr>
          <w:rFonts w:ascii="仿宋" w:hAnsi="仿宋" w:eastAsia="仿宋"/>
          <w:color w:val="000000"/>
        </w:rPr>
      </w:pPr>
      <w:bookmarkStart w:id="79" w:name="_Toc79163892"/>
      <w:bookmarkStart w:id="80" w:name="_Toc79163642"/>
      <w:bookmarkStart w:id="81" w:name="_Toc15396625"/>
      <w:r>
        <w:rPr>
          <w:rStyle w:val="29"/>
          <w:rFonts w:hint="eastAsia" w:ascii="仿宋" w:hAnsi="仿宋" w:eastAsia="仿宋"/>
          <w:b w:val="0"/>
          <w:bCs w:val="0"/>
        </w:rPr>
        <w:t>七、</w:t>
      </w:r>
      <w:r>
        <w:rPr>
          <w:rFonts w:hint="eastAsia" w:ascii="仿宋" w:hAnsi="仿宋" w:eastAsia="仿宋"/>
          <w:b w:val="0"/>
          <w:color w:val="000000"/>
        </w:rPr>
        <w:t>一</w:t>
      </w:r>
      <w:r>
        <w:rPr>
          <w:rStyle w:val="29"/>
          <w:rFonts w:hint="eastAsia" w:ascii="仿宋" w:hAnsi="仿宋" w:eastAsia="仿宋"/>
          <w:b w:val="0"/>
          <w:bCs w:val="0"/>
        </w:rPr>
        <w:t>般公共预算财政拨款支出决算明细表</w:t>
      </w:r>
      <w:bookmarkEnd w:id="79"/>
      <w:bookmarkEnd w:id="80"/>
      <w:bookmarkEnd w:id="81"/>
    </w:p>
    <w:p>
      <w:pPr>
        <w:pStyle w:val="4"/>
        <w:rPr>
          <w:rFonts w:ascii="仿宋" w:hAnsi="仿宋" w:eastAsia="仿宋"/>
          <w:color w:val="000000"/>
        </w:rPr>
      </w:pPr>
      <w:bookmarkStart w:id="82" w:name="_Toc15396626"/>
      <w:bookmarkStart w:id="83" w:name="_Toc79163643"/>
      <w:bookmarkStart w:id="84" w:name="_Toc79163893"/>
      <w:r>
        <w:rPr>
          <w:rStyle w:val="29"/>
          <w:rFonts w:hint="eastAsia" w:ascii="仿宋" w:hAnsi="仿宋" w:eastAsia="仿宋"/>
          <w:b w:val="0"/>
          <w:bCs w:val="0"/>
        </w:rPr>
        <w:t>八、</w:t>
      </w:r>
      <w:r>
        <w:rPr>
          <w:rFonts w:hint="eastAsia" w:ascii="仿宋" w:hAnsi="仿宋" w:eastAsia="仿宋"/>
          <w:b w:val="0"/>
          <w:color w:val="000000"/>
        </w:rPr>
        <w:t>一</w:t>
      </w:r>
      <w:r>
        <w:rPr>
          <w:rStyle w:val="29"/>
          <w:rFonts w:hint="eastAsia" w:ascii="仿宋" w:hAnsi="仿宋" w:eastAsia="仿宋"/>
          <w:b w:val="0"/>
          <w:bCs w:val="0"/>
        </w:rPr>
        <w:t>般公共预算财政拨款基本支出决算表</w:t>
      </w:r>
      <w:bookmarkEnd w:id="82"/>
      <w:bookmarkEnd w:id="83"/>
      <w:bookmarkEnd w:id="84"/>
    </w:p>
    <w:p>
      <w:pPr>
        <w:pStyle w:val="4"/>
        <w:rPr>
          <w:rFonts w:ascii="仿宋" w:hAnsi="仿宋" w:eastAsia="仿宋"/>
          <w:color w:val="000000"/>
        </w:rPr>
      </w:pPr>
      <w:bookmarkStart w:id="85" w:name="_Toc15396627"/>
      <w:bookmarkStart w:id="86" w:name="_Toc79163894"/>
      <w:bookmarkStart w:id="87" w:name="_Toc79163644"/>
      <w:r>
        <w:rPr>
          <w:rStyle w:val="29"/>
          <w:rFonts w:hint="eastAsia" w:ascii="仿宋" w:hAnsi="仿宋" w:eastAsia="仿宋"/>
          <w:b w:val="0"/>
          <w:bCs w:val="0"/>
        </w:rPr>
        <w:t>九、</w:t>
      </w:r>
      <w:r>
        <w:rPr>
          <w:rFonts w:hint="eastAsia" w:ascii="仿宋" w:hAnsi="仿宋" w:eastAsia="仿宋"/>
          <w:b w:val="0"/>
          <w:color w:val="000000"/>
        </w:rPr>
        <w:t>一</w:t>
      </w:r>
      <w:r>
        <w:rPr>
          <w:rStyle w:val="29"/>
          <w:rFonts w:hint="eastAsia" w:ascii="仿宋" w:hAnsi="仿宋" w:eastAsia="仿宋"/>
          <w:b w:val="0"/>
          <w:bCs w:val="0"/>
        </w:rPr>
        <w:t>般公共预算财政拨款项目支出决算表</w:t>
      </w:r>
      <w:bookmarkEnd w:id="85"/>
      <w:bookmarkEnd w:id="86"/>
      <w:bookmarkEnd w:id="87"/>
    </w:p>
    <w:p>
      <w:pPr>
        <w:pStyle w:val="4"/>
        <w:rPr>
          <w:rFonts w:ascii="仿宋" w:hAnsi="仿宋" w:eastAsia="仿宋"/>
          <w:color w:val="000000"/>
        </w:rPr>
      </w:pPr>
      <w:bookmarkStart w:id="88" w:name="_Toc15396628"/>
      <w:bookmarkStart w:id="89" w:name="_Toc79163895"/>
      <w:bookmarkStart w:id="90" w:name="_Toc79163645"/>
      <w:r>
        <w:rPr>
          <w:rStyle w:val="29"/>
          <w:rFonts w:hint="eastAsia" w:ascii="仿宋" w:hAnsi="仿宋" w:eastAsia="仿宋"/>
          <w:b w:val="0"/>
          <w:bCs w:val="0"/>
        </w:rPr>
        <w:t>十、</w:t>
      </w:r>
      <w:r>
        <w:rPr>
          <w:rFonts w:hint="eastAsia" w:ascii="仿宋" w:hAnsi="仿宋" w:eastAsia="仿宋"/>
          <w:b w:val="0"/>
          <w:color w:val="000000"/>
        </w:rPr>
        <w:t>一</w:t>
      </w:r>
      <w:r>
        <w:rPr>
          <w:rStyle w:val="29"/>
          <w:rFonts w:hint="eastAsia" w:ascii="仿宋" w:hAnsi="仿宋" w:eastAsia="仿宋"/>
          <w:b w:val="0"/>
          <w:bCs w:val="0"/>
        </w:rPr>
        <w:t>般公共预算财政拨款“三公”经费支出决算表</w:t>
      </w:r>
      <w:bookmarkEnd w:id="88"/>
      <w:bookmarkEnd w:id="89"/>
      <w:bookmarkEnd w:id="90"/>
    </w:p>
    <w:p>
      <w:pPr>
        <w:pStyle w:val="4"/>
        <w:rPr>
          <w:rFonts w:ascii="仿宋" w:hAnsi="仿宋" w:eastAsia="仿宋"/>
          <w:color w:val="000000"/>
        </w:rPr>
      </w:pPr>
      <w:bookmarkStart w:id="91" w:name="_Toc79163646"/>
      <w:bookmarkStart w:id="92" w:name="_Toc15396629"/>
      <w:bookmarkStart w:id="93" w:name="_Toc79163896"/>
      <w:r>
        <w:rPr>
          <w:rStyle w:val="29"/>
          <w:rFonts w:hint="eastAsia" w:ascii="仿宋" w:hAnsi="仿宋" w:eastAsia="仿宋"/>
          <w:b w:val="0"/>
          <w:bCs w:val="0"/>
        </w:rPr>
        <w:t>十一、</w:t>
      </w:r>
      <w:r>
        <w:rPr>
          <w:rFonts w:hint="eastAsia" w:ascii="仿宋" w:hAnsi="仿宋" w:eastAsia="仿宋"/>
          <w:b w:val="0"/>
          <w:color w:val="000000"/>
        </w:rPr>
        <w:t>政</w:t>
      </w:r>
      <w:r>
        <w:rPr>
          <w:rStyle w:val="29"/>
          <w:rFonts w:hint="eastAsia" w:ascii="仿宋" w:hAnsi="仿宋" w:eastAsia="仿宋"/>
          <w:b w:val="0"/>
          <w:bCs w:val="0"/>
        </w:rPr>
        <w:t>府性基金预算财政拨款收入支出决算表</w:t>
      </w:r>
      <w:bookmarkEnd w:id="91"/>
      <w:bookmarkEnd w:id="92"/>
      <w:bookmarkEnd w:id="93"/>
    </w:p>
    <w:p>
      <w:pPr>
        <w:pStyle w:val="4"/>
        <w:rPr>
          <w:rFonts w:ascii="仿宋" w:hAnsi="仿宋" w:eastAsia="仿宋"/>
          <w:color w:val="000000"/>
        </w:rPr>
      </w:pPr>
      <w:bookmarkStart w:id="94" w:name="_Toc15396630"/>
      <w:bookmarkStart w:id="95" w:name="_Toc79163647"/>
      <w:bookmarkStart w:id="96" w:name="_Toc79163897"/>
      <w:r>
        <w:rPr>
          <w:rStyle w:val="29"/>
          <w:rFonts w:hint="eastAsia" w:ascii="仿宋" w:hAnsi="仿宋" w:eastAsia="仿宋"/>
          <w:b w:val="0"/>
          <w:bCs w:val="0"/>
        </w:rPr>
        <w:t>十二、</w:t>
      </w:r>
      <w:r>
        <w:rPr>
          <w:rFonts w:hint="eastAsia" w:ascii="仿宋" w:hAnsi="仿宋" w:eastAsia="仿宋"/>
          <w:b w:val="0"/>
          <w:color w:val="000000"/>
        </w:rPr>
        <w:t>政</w:t>
      </w:r>
      <w:r>
        <w:rPr>
          <w:rStyle w:val="29"/>
          <w:rFonts w:hint="eastAsia" w:ascii="仿宋" w:hAnsi="仿宋" w:eastAsia="仿宋"/>
          <w:b w:val="0"/>
          <w:bCs w:val="0"/>
        </w:rPr>
        <w:t>府性基金预算财政拨款“三公”经费支出决算表</w:t>
      </w:r>
      <w:bookmarkEnd w:id="94"/>
      <w:bookmarkEnd w:id="95"/>
      <w:bookmarkEnd w:id="96"/>
    </w:p>
    <w:p>
      <w:pPr>
        <w:pStyle w:val="4"/>
        <w:rPr>
          <w:rStyle w:val="29"/>
          <w:rFonts w:ascii="仿宋" w:hAnsi="仿宋" w:eastAsia="仿宋"/>
          <w:b w:val="0"/>
          <w:bCs w:val="0"/>
        </w:rPr>
      </w:pPr>
      <w:bookmarkStart w:id="97" w:name="_Toc79163648"/>
      <w:bookmarkStart w:id="98" w:name="_Toc15396631"/>
      <w:bookmarkStart w:id="99" w:name="_Toc79163898"/>
      <w:r>
        <w:rPr>
          <w:rStyle w:val="29"/>
          <w:rFonts w:hint="eastAsia" w:ascii="仿宋" w:hAnsi="仿宋" w:eastAsia="仿宋"/>
          <w:b w:val="0"/>
          <w:bCs w:val="0"/>
        </w:rPr>
        <w:t>十三、</w:t>
      </w:r>
      <w:bookmarkEnd w:id="97"/>
      <w:bookmarkEnd w:id="98"/>
      <w:bookmarkEnd w:id="99"/>
      <w:r>
        <w:rPr>
          <w:rStyle w:val="29"/>
          <w:rFonts w:hint="eastAsia" w:ascii="仿宋" w:hAnsi="仿宋" w:eastAsia="仿宋"/>
          <w:b w:val="0"/>
          <w:bCs w:val="0"/>
        </w:rPr>
        <w:t>国有资本经营预算财政拨款收入支出决算表</w:t>
      </w:r>
    </w:p>
    <w:p>
      <w:pPr>
        <w:pStyle w:val="4"/>
        <w:rPr>
          <w:rFonts w:eastAsia="仿宋"/>
        </w:rPr>
      </w:pPr>
      <w:r>
        <w:rPr>
          <w:rStyle w:val="29"/>
          <w:rFonts w:hint="eastAsia" w:ascii="仿宋" w:hAnsi="仿宋" w:eastAsia="仿宋"/>
          <w:b w:val="0"/>
          <w:bCs w:val="0"/>
        </w:rPr>
        <w:t>十四、国有资本经营预算财政拨款支出决算表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3</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abstractNum w:abstractNumId="1">
    <w:nsid w:val="3E794925"/>
    <w:multiLevelType w:val="singleLevel"/>
    <w:tmpl w:val="3E794925"/>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15A2"/>
    <w:rsid w:val="00003C0D"/>
    <w:rsid w:val="000222C6"/>
    <w:rsid w:val="000230BE"/>
    <w:rsid w:val="00025226"/>
    <w:rsid w:val="0002549F"/>
    <w:rsid w:val="0002749D"/>
    <w:rsid w:val="0004399A"/>
    <w:rsid w:val="0006487A"/>
    <w:rsid w:val="00065F8F"/>
    <w:rsid w:val="000768F2"/>
    <w:rsid w:val="0009184B"/>
    <w:rsid w:val="0009593C"/>
    <w:rsid w:val="000B047F"/>
    <w:rsid w:val="000B202D"/>
    <w:rsid w:val="000B5923"/>
    <w:rsid w:val="000B5A48"/>
    <w:rsid w:val="000B6FF3"/>
    <w:rsid w:val="000C3467"/>
    <w:rsid w:val="000C3CA6"/>
    <w:rsid w:val="000D1267"/>
    <w:rsid w:val="000D1D50"/>
    <w:rsid w:val="000D304F"/>
    <w:rsid w:val="000D5782"/>
    <w:rsid w:val="000E6613"/>
    <w:rsid w:val="000E7119"/>
    <w:rsid w:val="00107CCA"/>
    <w:rsid w:val="00114E9B"/>
    <w:rsid w:val="0014729F"/>
    <w:rsid w:val="00157BAB"/>
    <w:rsid w:val="001654D1"/>
    <w:rsid w:val="0018106D"/>
    <w:rsid w:val="001877A7"/>
    <w:rsid w:val="00191536"/>
    <w:rsid w:val="00196687"/>
    <w:rsid w:val="001B1FA9"/>
    <w:rsid w:val="001C0962"/>
    <w:rsid w:val="001C272B"/>
    <w:rsid w:val="001D342B"/>
    <w:rsid w:val="001D6C1E"/>
    <w:rsid w:val="001D7531"/>
    <w:rsid w:val="001E737D"/>
    <w:rsid w:val="001F0592"/>
    <w:rsid w:val="001F7506"/>
    <w:rsid w:val="002006CD"/>
    <w:rsid w:val="00202B36"/>
    <w:rsid w:val="00204B7A"/>
    <w:rsid w:val="0021101A"/>
    <w:rsid w:val="002110A9"/>
    <w:rsid w:val="0021334C"/>
    <w:rsid w:val="00220536"/>
    <w:rsid w:val="00235629"/>
    <w:rsid w:val="002438CE"/>
    <w:rsid w:val="00260C38"/>
    <w:rsid w:val="002616C0"/>
    <w:rsid w:val="002662AA"/>
    <w:rsid w:val="00280496"/>
    <w:rsid w:val="00295495"/>
    <w:rsid w:val="002A7AE1"/>
    <w:rsid w:val="002B2613"/>
    <w:rsid w:val="002B2F51"/>
    <w:rsid w:val="002B544A"/>
    <w:rsid w:val="002C3C0D"/>
    <w:rsid w:val="002C5994"/>
    <w:rsid w:val="002E3CA8"/>
    <w:rsid w:val="002F1818"/>
    <w:rsid w:val="002F567B"/>
    <w:rsid w:val="00317FD1"/>
    <w:rsid w:val="003216A9"/>
    <w:rsid w:val="00335ED6"/>
    <w:rsid w:val="0037013F"/>
    <w:rsid w:val="00374013"/>
    <w:rsid w:val="00380C92"/>
    <w:rsid w:val="003A042C"/>
    <w:rsid w:val="003A484F"/>
    <w:rsid w:val="003B0BE0"/>
    <w:rsid w:val="003B0C1B"/>
    <w:rsid w:val="003B688C"/>
    <w:rsid w:val="003C0291"/>
    <w:rsid w:val="003C39AE"/>
    <w:rsid w:val="003C7B60"/>
    <w:rsid w:val="003D1FB2"/>
    <w:rsid w:val="003D66DA"/>
    <w:rsid w:val="003E1310"/>
    <w:rsid w:val="003E6F55"/>
    <w:rsid w:val="00406254"/>
    <w:rsid w:val="004145AD"/>
    <w:rsid w:val="004223DE"/>
    <w:rsid w:val="00434489"/>
    <w:rsid w:val="00437085"/>
    <w:rsid w:val="00443880"/>
    <w:rsid w:val="004464F4"/>
    <w:rsid w:val="00471401"/>
    <w:rsid w:val="00473F31"/>
    <w:rsid w:val="0048263A"/>
    <w:rsid w:val="00486E3E"/>
    <w:rsid w:val="00487E5D"/>
    <w:rsid w:val="0049177B"/>
    <w:rsid w:val="004A711F"/>
    <w:rsid w:val="004B199D"/>
    <w:rsid w:val="004B4690"/>
    <w:rsid w:val="004B785F"/>
    <w:rsid w:val="004E0A2D"/>
    <w:rsid w:val="004E206B"/>
    <w:rsid w:val="004E6DF7"/>
    <w:rsid w:val="004F0FBD"/>
    <w:rsid w:val="004F1920"/>
    <w:rsid w:val="00505A47"/>
    <w:rsid w:val="00512FDA"/>
    <w:rsid w:val="00520DA0"/>
    <w:rsid w:val="0055106D"/>
    <w:rsid w:val="005664BB"/>
    <w:rsid w:val="0057481D"/>
    <w:rsid w:val="0058486E"/>
    <w:rsid w:val="00597919"/>
    <w:rsid w:val="005B415B"/>
    <w:rsid w:val="005B553C"/>
    <w:rsid w:val="005C52C6"/>
    <w:rsid w:val="005D1C8B"/>
    <w:rsid w:val="005D5CED"/>
    <w:rsid w:val="005E3365"/>
    <w:rsid w:val="005E5517"/>
    <w:rsid w:val="005F1A4C"/>
    <w:rsid w:val="00605688"/>
    <w:rsid w:val="006070AF"/>
    <w:rsid w:val="00607E6C"/>
    <w:rsid w:val="006101B1"/>
    <w:rsid w:val="00614E44"/>
    <w:rsid w:val="00622830"/>
    <w:rsid w:val="00630AEF"/>
    <w:rsid w:val="006325F8"/>
    <w:rsid w:val="006342AA"/>
    <w:rsid w:val="00634C9A"/>
    <w:rsid w:val="00643C0A"/>
    <w:rsid w:val="006440E4"/>
    <w:rsid w:val="0065182B"/>
    <w:rsid w:val="0066343B"/>
    <w:rsid w:val="00664777"/>
    <w:rsid w:val="00666366"/>
    <w:rsid w:val="006748A4"/>
    <w:rsid w:val="00683E73"/>
    <w:rsid w:val="006A1E7E"/>
    <w:rsid w:val="006A3141"/>
    <w:rsid w:val="006A5E34"/>
    <w:rsid w:val="006B2422"/>
    <w:rsid w:val="006B2B9A"/>
    <w:rsid w:val="006B7E39"/>
    <w:rsid w:val="006C1937"/>
    <w:rsid w:val="006F020C"/>
    <w:rsid w:val="007127B7"/>
    <w:rsid w:val="007231D9"/>
    <w:rsid w:val="007416B6"/>
    <w:rsid w:val="00746F48"/>
    <w:rsid w:val="0075404D"/>
    <w:rsid w:val="0076182A"/>
    <w:rsid w:val="00767B7E"/>
    <w:rsid w:val="007770C3"/>
    <w:rsid w:val="00784D24"/>
    <w:rsid w:val="00785FBA"/>
    <w:rsid w:val="00786E4A"/>
    <w:rsid w:val="007875EB"/>
    <w:rsid w:val="0079426B"/>
    <w:rsid w:val="007A762F"/>
    <w:rsid w:val="007D312A"/>
    <w:rsid w:val="007D3F19"/>
    <w:rsid w:val="007D7FE0"/>
    <w:rsid w:val="007E23B0"/>
    <w:rsid w:val="007E6A33"/>
    <w:rsid w:val="007F1991"/>
    <w:rsid w:val="007F2C2F"/>
    <w:rsid w:val="007F2D6D"/>
    <w:rsid w:val="007F55FC"/>
    <w:rsid w:val="007F5665"/>
    <w:rsid w:val="00800112"/>
    <w:rsid w:val="00804659"/>
    <w:rsid w:val="008068DA"/>
    <w:rsid w:val="00807797"/>
    <w:rsid w:val="008253BB"/>
    <w:rsid w:val="008261F5"/>
    <w:rsid w:val="0083706E"/>
    <w:rsid w:val="008423A5"/>
    <w:rsid w:val="00850625"/>
    <w:rsid w:val="008511F3"/>
    <w:rsid w:val="00853718"/>
    <w:rsid w:val="00855221"/>
    <w:rsid w:val="00860645"/>
    <w:rsid w:val="00862A9D"/>
    <w:rsid w:val="00871F71"/>
    <w:rsid w:val="00885AF4"/>
    <w:rsid w:val="00887A58"/>
    <w:rsid w:val="008939CD"/>
    <w:rsid w:val="00897199"/>
    <w:rsid w:val="008B768C"/>
    <w:rsid w:val="008C4DB1"/>
    <w:rsid w:val="008C4EAF"/>
    <w:rsid w:val="008C5176"/>
    <w:rsid w:val="008C7FD0"/>
    <w:rsid w:val="008D0A15"/>
    <w:rsid w:val="008E1DE7"/>
    <w:rsid w:val="008E707C"/>
    <w:rsid w:val="008F2936"/>
    <w:rsid w:val="00900B08"/>
    <w:rsid w:val="00902155"/>
    <w:rsid w:val="00902FA3"/>
    <w:rsid w:val="00923564"/>
    <w:rsid w:val="0092392E"/>
    <w:rsid w:val="009315F9"/>
    <w:rsid w:val="009337F3"/>
    <w:rsid w:val="00946945"/>
    <w:rsid w:val="00951248"/>
    <w:rsid w:val="0095152F"/>
    <w:rsid w:val="009540C0"/>
    <w:rsid w:val="00954C49"/>
    <w:rsid w:val="00967DDF"/>
    <w:rsid w:val="0097099F"/>
    <w:rsid w:val="00971997"/>
    <w:rsid w:val="00971FFC"/>
    <w:rsid w:val="00974188"/>
    <w:rsid w:val="009775F8"/>
    <w:rsid w:val="0098660A"/>
    <w:rsid w:val="009931C3"/>
    <w:rsid w:val="009A76D0"/>
    <w:rsid w:val="009B2C43"/>
    <w:rsid w:val="009B4EAE"/>
    <w:rsid w:val="009B7573"/>
    <w:rsid w:val="009C22F4"/>
    <w:rsid w:val="009C2E98"/>
    <w:rsid w:val="009D3447"/>
    <w:rsid w:val="009D4711"/>
    <w:rsid w:val="009E7FBF"/>
    <w:rsid w:val="009F1185"/>
    <w:rsid w:val="009F18CD"/>
    <w:rsid w:val="009F2A13"/>
    <w:rsid w:val="00A04EB0"/>
    <w:rsid w:val="00A13CC1"/>
    <w:rsid w:val="00A1637E"/>
    <w:rsid w:val="00A16847"/>
    <w:rsid w:val="00A237D8"/>
    <w:rsid w:val="00A268C4"/>
    <w:rsid w:val="00A307CD"/>
    <w:rsid w:val="00A3233A"/>
    <w:rsid w:val="00A33405"/>
    <w:rsid w:val="00A40A00"/>
    <w:rsid w:val="00A4142F"/>
    <w:rsid w:val="00A52260"/>
    <w:rsid w:val="00A56DF2"/>
    <w:rsid w:val="00A57F63"/>
    <w:rsid w:val="00A67AB5"/>
    <w:rsid w:val="00A91760"/>
    <w:rsid w:val="00A93B00"/>
    <w:rsid w:val="00A93C21"/>
    <w:rsid w:val="00AC3C6A"/>
    <w:rsid w:val="00AD5620"/>
    <w:rsid w:val="00AD7C1B"/>
    <w:rsid w:val="00AE16BA"/>
    <w:rsid w:val="00AE1EBE"/>
    <w:rsid w:val="00AE7003"/>
    <w:rsid w:val="00AF28DB"/>
    <w:rsid w:val="00B03C9D"/>
    <w:rsid w:val="00B060AE"/>
    <w:rsid w:val="00B10517"/>
    <w:rsid w:val="00B14E76"/>
    <w:rsid w:val="00B15718"/>
    <w:rsid w:val="00B161B8"/>
    <w:rsid w:val="00B2048C"/>
    <w:rsid w:val="00B310B9"/>
    <w:rsid w:val="00B35F3F"/>
    <w:rsid w:val="00B36CBB"/>
    <w:rsid w:val="00B425E0"/>
    <w:rsid w:val="00B440AA"/>
    <w:rsid w:val="00B44B70"/>
    <w:rsid w:val="00B53C56"/>
    <w:rsid w:val="00B77EA6"/>
    <w:rsid w:val="00B81598"/>
    <w:rsid w:val="00B841F1"/>
    <w:rsid w:val="00B8480B"/>
    <w:rsid w:val="00B944D6"/>
    <w:rsid w:val="00BA0AED"/>
    <w:rsid w:val="00BB4DF0"/>
    <w:rsid w:val="00BC289F"/>
    <w:rsid w:val="00BC5361"/>
    <w:rsid w:val="00BC5460"/>
    <w:rsid w:val="00BC6B50"/>
    <w:rsid w:val="00BD0E25"/>
    <w:rsid w:val="00BD6D67"/>
    <w:rsid w:val="00BF5BD6"/>
    <w:rsid w:val="00C03E31"/>
    <w:rsid w:val="00C11626"/>
    <w:rsid w:val="00C13B26"/>
    <w:rsid w:val="00C33E72"/>
    <w:rsid w:val="00C34EED"/>
    <w:rsid w:val="00C354B2"/>
    <w:rsid w:val="00C35554"/>
    <w:rsid w:val="00C42709"/>
    <w:rsid w:val="00C46FC3"/>
    <w:rsid w:val="00C533CC"/>
    <w:rsid w:val="00C5751C"/>
    <w:rsid w:val="00C61BFC"/>
    <w:rsid w:val="00C62B85"/>
    <w:rsid w:val="00C65438"/>
    <w:rsid w:val="00C663B4"/>
    <w:rsid w:val="00C87773"/>
    <w:rsid w:val="00C91CBB"/>
    <w:rsid w:val="00C94460"/>
    <w:rsid w:val="00CA1D7E"/>
    <w:rsid w:val="00CA7CBE"/>
    <w:rsid w:val="00CC09B6"/>
    <w:rsid w:val="00CC2FB5"/>
    <w:rsid w:val="00CC666F"/>
    <w:rsid w:val="00CD1E3F"/>
    <w:rsid w:val="00CE44F6"/>
    <w:rsid w:val="00CE49DA"/>
    <w:rsid w:val="00CE7B61"/>
    <w:rsid w:val="00D00095"/>
    <w:rsid w:val="00D20620"/>
    <w:rsid w:val="00D26091"/>
    <w:rsid w:val="00D34E7C"/>
    <w:rsid w:val="00D35489"/>
    <w:rsid w:val="00D43BB3"/>
    <w:rsid w:val="00D51276"/>
    <w:rsid w:val="00D577F9"/>
    <w:rsid w:val="00D7035F"/>
    <w:rsid w:val="00DA65AC"/>
    <w:rsid w:val="00DB14B7"/>
    <w:rsid w:val="00DB1913"/>
    <w:rsid w:val="00DB7B27"/>
    <w:rsid w:val="00DC410D"/>
    <w:rsid w:val="00DC68CA"/>
    <w:rsid w:val="00DC7CBA"/>
    <w:rsid w:val="00DD2D64"/>
    <w:rsid w:val="00DD73B7"/>
    <w:rsid w:val="00DF0369"/>
    <w:rsid w:val="00DF28BC"/>
    <w:rsid w:val="00DF34B9"/>
    <w:rsid w:val="00DF36DA"/>
    <w:rsid w:val="00E01053"/>
    <w:rsid w:val="00E07ACF"/>
    <w:rsid w:val="00E15312"/>
    <w:rsid w:val="00E331A1"/>
    <w:rsid w:val="00E33202"/>
    <w:rsid w:val="00E336A9"/>
    <w:rsid w:val="00E352AD"/>
    <w:rsid w:val="00E47769"/>
    <w:rsid w:val="00E50624"/>
    <w:rsid w:val="00E568DF"/>
    <w:rsid w:val="00E64269"/>
    <w:rsid w:val="00E82267"/>
    <w:rsid w:val="00EA010F"/>
    <w:rsid w:val="00EA4915"/>
    <w:rsid w:val="00EC52C6"/>
    <w:rsid w:val="00ED1B63"/>
    <w:rsid w:val="00ED3C1F"/>
    <w:rsid w:val="00ED4085"/>
    <w:rsid w:val="00ED420E"/>
    <w:rsid w:val="00EE2F57"/>
    <w:rsid w:val="00EF4A3D"/>
    <w:rsid w:val="00EF4C34"/>
    <w:rsid w:val="00EF77C6"/>
    <w:rsid w:val="00F05438"/>
    <w:rsid w:val="00F1361C"/>
    <w:rsid w:val="00F160C7"/>
    <w:rsid w:val="00F301B6"/>
    <w:rsid w:val="00F35700"/>
    <w:rsid w:val="00F36D8F"/>
    <w:rsid w:val="00F417B1"/>
    <w:rsid w:val="00F602DF"/>
    <w:rsid w:val="00F81FD9"/>
    <w:rsid w:val="00F841AA"/>
    <w:rsid w:val="00FA23E8"/>
    <w:rsid w:val="00FB35C1"/>
    <w:rsid w:val="00FD3CC1"/>
    <w:rsid w:val="00FE17BC"/>
    <w:rsid w:val="00FE4DB0"/>
    <w:rsid w:val="00FF1E02"/>
    <w:rsid w:val="00FF30B4"/>
    <w:rsid w:val="01D74DB7"/>
    <w:rsid w:val="01F04616"/>
    <w:rsid w:val="0463543B"/>
    <w:rsid w:val="051A6F96"/>
    <w:rsid w:val="06951176"/>
    <w:rsid w:val="07001BE1"/>
    <w:rsid w:val="09081517"/>
    <w:rsid w:val="0B99373B"/>
    <w:rsid w:val="0D6C338E"/>
    <w:rsid w:val="0F5E6610"/>
    <w:rsid w:val="10C055FF"/>
    <w:rsid w:val="11D56DF6"/>
    <w:rsid w:val="11ED6591"/>
    <w:rsid w:val="16BB723D"/>
    <w:rsid w:val="17BC7656"/>
    <w:rsid w:val="17EA348C"/>
    <w:rsid w:val="1840212F"/>
    <w:rsid w:val="19943114"/>
    <w:rsid w:val="1AB026BC"/>
    <w:rsid w:val="1BF70747"/>
    <w:rsid w:val="1C06153F"/>
    <w:rsid w:val="1EF81F78"/>
    <w:rsid w:val="1F620905"/>
    <w:rsid w:val="211A679A"/>
    <w:rsid w:val="240371BF"/>
    <w:rsid w:val="2435534E"/>
    <w:rsid w:val="24534F10"/>
    <w:rsid w:val="265C1D1F"/>
    <w:rsid w:val="26BB36DB"/>
    <w:rsid w:val="276F1834"/>
    <w:rsid w:val="27C51E91"/>
    <w:rsid w:val="28513369"/>
    <w:rsid w:val="28BF6D42"/>
    <w:rsid w:val="29FD04D3"/>
    <w:rsid w:val="31810DA9"/>
    <w:rsid w:val="319F7F4E"/>
    <w:rsid w:val="36FD0156"/>
    <w:rsid w:val="38F8371D"/>
    <w:rsid w:val="39226F5F"/>
    <w:rsid w:val="3C8D2F9D"/>
    <w:rsid w:val="3E343C22"/>
    <w:rsid w:val="3FEA5DFB"/>
    <w:rsid w:val="41677310"/>
    <w:rsid w:val="43684120"/>
    <w:rsid w:val="475E72DC"/>
    <w:rsid w:val="47F514AF"/>
    <w:rsid w:val="48FD75BD"/>
    <w:rsid w:val="4A745623"/>
    <w:rsid w:val="4D846266"/>
    <w:rsid w:val="4DF123A8"/>
    <w:rsid w:val="4F6F7A34"/>
    <w:rsid w:val="4FD74194"/>
    <w:rsid w:val="4FDA49F5"/>
    <w:rsid w:val="51EE42CA"/>
    <w:rsid w:val="52ED6284"/>
    <w:rsid w:val="532B0C13"/>
    <w:rsid w:val="53BE2B80"/>
    <w:rsid w:val="5BE202EA"/>
    <w:rsid w:val="5CFA7F1D"/>
    <w:rsid w:val="5E2506F8"/>
    <w:rsid w:val="5F3A07D2"/>
    <w:rsid w:val="60BB3927"/>
    <w:rsid w:val="62A42EE2"/>
    <w:rsid w:val="63347FC4"/>
    <w:rsid w:val="64C656C1"/>
    <w:rsid w:val="68DA2DB6"/>
    <w:rsid w:val="69725134"/>
    <w:rsid w:val="6B4666B6"/>
    <w:rsid w:val="6DC31436"/>
    <w:rsid w:val="6ECB49CF"/>
    <w:rsid w:val="6ECB5A2B"/>
    <w:rsid w:val="70202A42"/>
    <w:rsid w:val="78A4106B"/>
    <w:rsid w:val="7ABC1C9C"/>
    <w:rsid w:val="7AFF2901"/>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ind w:firstLine="680"/>
    </w:pPr>
  </w:style>
  <w:style w:type="paragraph" w:styleId="6">
    <w:name w:val="annotation text"/>
    <w:basedOn w:val="1"/>
    <w:semiHidden/>
    <w:unhideWhenUsed/>
    <w:qFormat/>
    <w:uiPriority w:val="99"/>
    <w:pPr>
      <w:jc w:val="left"/>
    </w:pPr>
  </w:style>
  <w:style w:type="paragraph" w:styleId="7">
    <w:name w:val="Body Text"/>
    <w:basedOn w:val="1"/>
    <w:link w:val="26"/>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qFormat/>
    <w:uiPriority w:val="0"/>
    <w:pPr>
      <w:ind w:left="200" w:leftChars="200" w:hanging="200" w:hangingChars="200"/>
    </w:p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styleId="19">
    <w:name w:val="annotation reference"/>
    <w:basedOn w:val="16"/>
    <w:semiHidden/>
    <w:unhideWhenUsed/>
    <w:qFormat/>
    <w:uiPriority w:val="99"/>
    <w:rPr>
      <w:sz w:val="21"/>
      <w:szCs w:val="21"/>
    </w:rPr>
  </w:style>
  <w:style w:type="paragraph" w:customStyle="1" w:styleId="2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1">
    <w:name w:val="Header Char"/>
    <w:basedOn w:val="16"/>
    <w:semiHidden/>
    <w:qFormat/>
    <w:uiPriority w:val="99"/>
    <w:rPr>
      <w:rFonts w:ascii="Times New Roman" w:hAnsi="Times New Roman"/>
      <w:sz w:val="18"/>
      <w:szCs w:val="18"/>
    </w:rPr>
  </w:style>
  <w:style w:type="character" w:customStyle="1" w:styleId="22">
    <w:name w:val="页眉 Char"/>
    <w:link w:val="11"/>
    <w:semiHidden/>
    <w:qFormat/>
    <w:locked/>
    <w:uiPriority w:val="99"/>
    <w:rPr>
      <w:sz w:val="18"/>
    </w:rPr>
  </w:style>
  <w:style w:type="character" w:customStyle="1" w:styleId="23">
    <w:name w:val="Footer Char"/>
    <w:basedOn w:val="16"/>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6"/>
    <w:semiHidden/>
    <w:qFormat/>
    <w:uiPriority w:val="99"/>
    <w:rPr>
      <w:rFonts w:ascii="Times New Roman" w:hAnsi="Times New Roman"/>
      <w:szCs w:val="24"/>
    </w:rPr>
  </w:style>
  <w:style w:type="character" w:customStyle="1" w:styleId="26">
    <w:name w:val="正文文本 Char"/>
    <w:link w:val="7"/>
    <w:qFormat/>
    <w:locked/>
    <w:uiPriority w:val="99"/>
    <w:rPr>
      <w:rFonts w:ascii="仿宋_GB2312" w:hAnsi="Times New Roman" w:eastAsia="仿宋_GB2312"/>
      <w:sz w:val="24"/>
    </w:rPr>
  </w:style>
  <w:style w:type="paragraph" w:styleId="27">
    <w:name w:val="List Paragraph"/>
    <w:basedOn w:val="1"/>
    <w:qFormat/>
    <w:uiPriority w:val="34"/>
    <w:pPr>
      <w:ind w:firstLine="420" w:firstLineChars="200"/>
    </w:pPr>
  </w:style>
  <w:style w:type="character" w:customStyle="1" w:styleId="28">
    <w:name w:val="标题 1 Char"/>
    <w:basedOn w:val="16"/>
    <w:link w:val="3"/>
    <w:qFormat/>
    <w:uiPriority w:val="9"/>
    <w:rPr>
      <w:rFonts w:ascii="Times New Roman" w:hAnsi="Times New Roman"/>
      <w:b/>
      <w:bCs/>
      <w:kern w:val="44"/>
      <w:sz w:val="44"/>
      <w:szCs w:val="44"/>
    </w:rPr>
  </w:style>
  <w:style w:type="character" w:customStyle="1" w:styleId="29">
    <w:name w:val="标题 2 Char"/>
    <w:basedOn w:val="16"/>
    <w:link w:val="4"/>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9"/>
    <w:semiHidden/>
    <w:qFormat/>
    <w:uiPriority w:val="99"/>
    <w:rPr>
      <w:rFonts w:ascii="Times New Roman" w:hAnsi="Times New Roman"/>
      <w:kern w:val="2"/>
      <w:sz w:val="18"/>
      <w:szCs w:val="18"/>
    </w:rPr>
  </w:style>
  <w:style w:type="character" w:customStyle="1" w:styleId="32">
    <w:name w:val="标题 3 Char"/>
    <w:basedOn w:val="16"/>
    <w:link w:val="5"/>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2020年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收入、支出数</c:v>
                </c:pt>
              </c:strCache>
            </c:strRef>
          </c:cat>
          <c:val>
            <c:numRef>
              <c:f>Sheet1!$B$2</c:f>
              <c:numCache>
                <c:formatCode>General</c:formatCode>
                <c:ptCount val="1"/>
                <c:pt idx="0">
                  <c:v>499.98</c:v>
                </c:pt>
              </c:numCache>
            </c:numRef>
          </c:val>
        </c:ser>
        <c:ser>
          <c:idx val="1"/>
          <c:order val="1"/>
          <c:tx>
            <c:strRef>
              <c:f>Sheet1!$C$1</c:f>
              <c:strCache>
                <c:ptCount val="1"/>
                <c:pt idx="0">
                  <c:v>2021年</c:v>
                </c:pt>
              </c:strCache>
            </c:strRef>
          </c:tx>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收入、支出数</c:v>
                </c:pt>
              </c:strCache>
            </c:strRef>
          </c:cat>
          <c:val>
            <c:numRef>
              <c:f>Sheet1!$C$2</c:f>
              <c:numCache>
                <c:formatCode>General</c:formatCode>
                <c:ptCount val="1"/>
                <c:pt idx="0">
                  <c:v>631.38</c:v>
                </c:pt>
              </c:numCache>
            </c:numRef>
          </c:val>
        </c:ser>
        <c:dLbls>
          <c:showLegendKey val="0"/>
          <c:showVal val="0"/>
          <c:showCatName val="0"/>
          <c:showSerName val="0"/>
          <c:showPercent val="0"/>
          <c:showBubbleSize val="0"/>
        </c:dLbls>
        <c:gapWidth val="150"/>
        <c:axId val="170117632"/>
        <c:axId val="48904960"/>
      </c:barChart>
      <c:catAx>
        <c:axId val="17011763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48904960"/>
        <c:crosses val="autoZero"/>
        <c:auto val="1"/>
        <c:lblAlgn val="ctr"/>
        <c:lblOffset val="100"/>
        <c:noMultiLvlLbl val="0"/>
      </c:catAx>
      <c:valAx>
        <c:axId val="4890496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7011763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dLbl>
              <c:idx val="0"/>
              <c:layout/>
              <c:tx>
                <c:rich>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r>
                      <a:rPr lang="en-US" altLang="zh-CN"/>
                      <a:t>100%</a:t>
                    </a:r>
                    <a:endParaRPr lang="en-US" altLang="zh-CN"/>
                  </a:p>
                </c:rich>
              </c:tx>
              <c:dLblPos val="ctr"/>
              <c:showLegendKey val="0"/>
              <c:showVal val="0"/>
              <c:showCatName val="0"/>
              <c:showSerName val="0"/>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r>
                      <a:rPr lang="en-US" altLang="zh-CN"/>
                      <a:t>7.9%</a:t>
                    </a:r>
                    <a:endParaRPr lang="en-US" altLang="zh-CN"/>
                  </a:p>
                </c:rich>
              </c:tx>
              <c:dLblPos val="ctr"/>
              <c:showLegendKey val="0"/>
              <c:showVal val="0"/>
              <c:showCatName val="0"/>
              <c:showSerName val="0"/>
              <c:showPercent val="1"/>
              <c:showBubbleSize val="0"/>
              <c:extLst>
                <c:ext xmlns:c15="http://schemas.microsoft.com/office/drawing/2012/chart" uri="{CE6537A1-D6FC-4f65-9D91-7224C49458BB}"/>
              </c:extLst>
            </c:dLbl>
            <c:numFmt formatCode="0.00%" sourceLinked="0"/>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dk1">
                          <a:lumMod val="50000"/>
                          <a:lumOff val="50000"/>
                        </a:schemeClr>
                      </a:solidFill>
                      <a:prstDash val="solid"/>
                      <a:round/>
                    </a:ln>
                    <a:effectLst/>
                  </c:spPr>
                </c15:leaderLines>
              </c:ext>
            </c:extLst>
          </c:dLbls>
          <c:cat>
            <c:strRef>
              <c:f>Sheet1!$A$2:$A$3</c:f>
              <c:strCache>
                <c:ptCount val="1"/>
                <c:pt idx="0">
                  <c:v>一般公共预算财政拨款收入</c:v>
                </c:pt>
              </c:strCache>
            </c:strRef>
          </c:cat>
          <c:val>
            <c:numRef>
              <c:f>Sheet1!$B$2:$B$3</c:f>
              <c:numCache>
                <c:formatCode>General</c:formatCode>
                <c:ptCount val="2"/>
                <c:pt idx="0">
                  <c:v>8199.99</c:v>
                </c:pt>
              </c:numCache>
            </c:numRef>
          </c:val>
        </c:ser>
        <c:dLbls>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销售额</c:v>
                </c:pt>
              </c:strCache>
            </c:strRef>
          </c:tx>
          <c:explosion val="0"/>
          <c:dPt>
            <c:idx val="0"/>
            <c:bubble3D val="0"/>
            <c:spPr>
              <a:solidFill>
                <a:schemeClr val="accent1"/>
              </a:solidFill>
              <a:ln>
                <a:noFill/>
              </a:ln>
              <a:effectLst>
                <a:outerShdw blurRad="254000" sx="102000" sy="102000" algn="ctr" rotWithShape="0">
                  <a:prstClr val="black">
                    <a:alpha val="20000"/>
                  </a:prstClr>
                </a:outerShdw>
              </a:effectLst>
            </c:spPr>
          </c:dPt>
          <c:dLbls>
            <c:delete val="1"/>
          </c:dLbls>
          <c:cat>
            <c:strRef>
              <c:f>Sheet1!$A$2</c:f>
              <c:strCache>
                <c:ptCount val="1"/>
                <c:pt idx="0">
                  <c:v>基本支出</c:v>
                </c:pt>
              </c:strCache>
            </c:strRef>
          </c:cat>
          <c:val>
            <c:numRef>
              <c:f>Sheet1!$B$2</c:f>
              <c:numCache>
                <c:formatCode>General</c:formatCode>
                <c:ptCount val="1"/>
                <c:pt idx="0">
                  <c:v>893.15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Sheet1!$B$1</c:f>
              <c:strCache>
                <c:ptCount val="1"/>
                <c:pt idx="0">
                  <c:v>2020年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Sheet1!$B$2:$B$3</c:f>
              <c:numCache>
                <c:formatCode>General</c:formatCode>
                <c:ptCount val="2"/>
                <c:pt idx="0">
                  <c:v>9866.63</c:v>
                </c:pt>
                <c:pt idx="1">
                  <c:v>10009.43</c:v>
                </c:pt>
              </c:numCache>
            </c:numRef>
          </c:val>
        </c:ser>
        <c:ser>
          <c:idx val="1"/>
          <c:order val="1"/>
          <c:tx>
            <c:strRef>
              <c:f>Sheet1!$C$1</c:f>
              <c:strCache>
                <c:ptCount val="1"/>
                <c:pt idx="0">
                  <c:v>2021年</c:v>
                </c:pt>
              </c:strCache>
            </c:strRef>
          </c:tx>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extLst>
            </c:dLbl>
            <c:dLbl>
              <c:idx val="1"/>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收入</c:v>
                </c:pt>
                <c:pt idx="1">
                  <c:v>支出</c:v>
                </c:pt>
              </c:strCache>
            </c:strRef>
          </c:cat>
          <c:val>
            <c:numRef>
              <c:f>Sheet1!$C$2:$C$3</c:f>
              <c:numCache>
                <c:formatCode>General</c:formatCode>
                <c:ptCount val="2"/>
                <c:pt idx="0">
                  <c:v>8907.19</c:v>
                </c:pt>
                <c:pt idx="1">
                  <c:v>11384.73</c:v>
                </c:pt>
              </c:numCache>
            </c:numRef>
          </c:val>
        </c:ser>
        <c:dLbls>
          <c:showLegendKey val="0"/>
          <c:showVal val="0"/>
          <c:showCatName val="0"/>
          <c:showSerName val="0"/>
          <c:showPercent val="0"/>
          <c:showBubbleSize val="0"/>
        </c:dLbls>
        <c:gapWidth val="150"/>
        <c:axId val="270472192"/>
        <c:axId val="161333824"/>
      </c:barChart>
      <c:catAx>
        <c:axId val="270472192"/>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61333824"/>
        <c:crosses val="autoZero"/>
        <c:auto val="1"/>
        <c:lblAlgn val="ctr"/>
        <c:lblOffset val="100"/>
        <c:noMultiLvlLbl val="0"/>
      </c:catAx>
      <c:valAx>
        <c:axId val="161333824"/>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7047219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Sheet1!$B$1</c:f>
              <c:strCache>
                <c:ptCount val="1"/>
                <c:pt idx="0">
                  <c:v>2020年</c:v>
                </c:pt>
              </c:strCache>
            </c:strRef>
          </c:tx>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类别 1</c:v>
                </c:pt>
              </c:strCache>
            </c:strRef>
          </c:cat>
          <c:val>
            <c:numRef>
              <c:f>Sheet1!$B$2</c:f>
              <c:numCache>
                <c:formatCode>General</c:formatCode>
                <c:ptCount val="1"/>
                <c:pt idx="0">
                  <c:v>497.2</c:v>
                </c:pt>
              </c:numCache>
            </c:numRef>
          </c:val>
        </c:ser>
        <c:ser>
          <c:idx val="1"/>
          <c:order val="1"/>
          <c:tx>
            <c:strRef>
              <c:f>Sheet1!$C$1</c:f>
              <c:strCache>
                <c:ptCount val="1"/>
                <c:pt idx="0">
                  <c:v>2021年</c:v>
                </c:pt>
              </c:strCache>
            </c:strRef>
          </c:tx>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c:f>
              <c:strCache>
                <c:ptCount val="1"/>
                <c:pt idx="0">
                  <c:v>类别 1</c:v>
                </c:pt>
              </c:strCache>
            </c:strRef>
          </c:cat>
          <c:val>
            <c:numRef>
              <c:f>Sheet1!$C$2</c:f>
              <c:numCache>
                <c:formatCode>General</c:formatCode>
                <c:ptCount val="1"/>
                <c:pt idx="0">
                  <c:v>631.38</c:v>
                </c:pt>
              </c:numCache>
            </c:numRef>
          </c:val>
        </c:ser>
        <c:dLbls>
          <c:showLegendKey val="0"/>
          <c:showVal val="0"/>
          <c:showCatName val="0"/>
          <c:showSerName val="0"/>
          <c:showPercent val="0"/>
          <c:showBubbleSize val="0"/>
        </c:dLbls>
        <c:gapWidth val="150"/>
        <c:axId val="270472704"/>
        <c:axId val="161336128"/>
      </c:barChart>
      <c:catAx>
        <c:axId val="270472704"/>
        <c:scaling>
          <c:orientation val="minMax"/>
        </c:scaling>
        <c:delete val="1"/>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61336128"/>
        <c:crosses val="autoZero"/>
        <c:auto val="1"/>
        <c:lblAlgn val="ctr"/>
        <c:lblOffset val="100"/>
        <c:noMultiLvlLbl val="0"/>
      </c:catAx>
      <c:valAx>
        <c:axId val="16133612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70472704"/>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tx>
            <c:strRef>
              <c:f>Sheet1!$B$1</c:f>
              <c:strCache>
                <c:ptCount val="1"/>
                <c:pt idx="0">
                  <c:v>销售额</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Lbls>
            <c:dLbl>
              <c:idx val="6"/>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zh-CN" altLang="en-US"/>
                      <a:t>住房保障支出
</a:t>
                    </a:r>
                    <a:r>
                      <a:rPr lang="en-US" altLang="zh-CN"/>
                      <a:t>0.63%</a:t>
                    </a:r>
                    <a:endParaRPr lang="en-US" altLang="zh-CN"/>
                  </a:p>
                </c:rich>
              </c:tx>
              <c:dLblPos val="bestFit"/>
              <c:showLegendKey val="0"/>
              <c:showVal val="0"/>
              <c:showCatName val="1"/>
              <c:showSerName val="0"/>
              <c:showPercent val="1"/>
              <c:showBubbleSize val="0"/>
              <c:separator>
</c:separator>
              <c:extLst>
                <c:ext xmlns:c15="http://schemas.microsoft.com/office/drawing/2012/chart" uri="{CE6537A1-D6FC-4f65-9D91-7224C49458BB}"/>
              </c:extLst>
            </c:dLbl>
            <c:numFmt formatCode="0.0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Sheet1!$A$2:$A$8</c:f>
              <c:strCache>
                <c:ptCount val="7"/>
                <c:pt idx="0">
                  <c:v>社会保障和就业支出</c:v>
                </c:pt>
                <c:pt idx="1">
                  <c:v>卫生健康支出</c:v>
                </c:pt>
                <c:pt idx="2">
                  <c:v>节能环保支出</c:v>
                </c:pt>
                <c:pt idx="3">
                  <c:v>农林水支出</c:v>
                </c:pt>
                <c:pt idx="4">
                  <c:v>自然资源海洋气象等支出</c:v>
                </c:pt>
                <c:pt idx="5">
                  <c:v>灾害防治及应急管理支出</c:v>
                </c:pt>
                <c:pt idx="6">
                  <c:v>住房保障支出</c:v>
                </c:pt>
              </c:strCache>
            </c:strRef>
          </c:cat>
          <c:val>
            <c:numRef>
              <c:f>Sheet1!$B$2:$B$8</c:f>
              <c:numCache>
                <c:formatCode>General</c:formatCode>
                <c:ptCount val="7"/>
                <c:pt idx="0">
                  <c:v>92.19</c:v>
                </c:pt>
                <c:pt idx="1">
                  <c:v>43.23</c:v>
                </c:pt>
                <c:pt idx="2">
                  <c:v>164.38</c:v>
                </c:pt>
                <c:pt idx="3">
                  <c:v>829.1</c:v>
                </c:pt>
                <c:pt idx="4">
                  <c:v>1201.59</c:v>
                </c:pt>
                <c:pt idx="5">
                  <c:v>7561.44</c:v>
                </c:pt>
                <c:pt idx="6">
                  <c:v>62.16</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22</Pages>
  <Words>1284</Words>
  <Characters>7320</Characters>
  <Lines>61</Lines>
  <Paragraphs>17</Paragraphs>
  <TotalTime>226</TotalTime>
  <ScaleCrop>false</ScaleCrop>
  <LinksUpToDate>false</LinksUpToDate>
  <CharactersWithSpaces>8587</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2021-09-26T16:37:00Z</dcterms:created>
  <dc:creator>张彬茜</dc:creator>
  <cp:lastModifiedBy>user</cp:lastModifiedBy>
  <cp:lastPrinted>2021-09-26T16:39:00Z</cp:lastPrinted>
  <dcterms:modified xsi:type="dcterms:W3CDTF">2022-09-26T17:27:02Z</dcterms:modified>
  <dc:title>四川省***</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58E1EA1348EB407DB7950A64E051003F</vt:lpwstr>
  </property>
</Properties>
</file>