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2019年度</w:t>
      </w: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四川省阿坝州茂县</w:t>
      </w:r>
      <w:bookmarkStart w:id="0" w:name="_Toc15377194"/>
      <w:bookmarkStart w:id="1" w:name="_Toc15396598"/>
      <w:bookmarkStart w:id="2" w:name="_Toc15306268"/>
      <w:bookmarkStart w:id="3" w:name="_Toc15396476"/>
      <w:bookmarkStart w:id="4" w:name="_Toc15378442"/>
      <w:bookmarkStart w:id="5" w:name="_Toc15377426"/>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住房和城乡建设局部门决算</w:t>
      </w:r>
      <w:bookmarkEnd w:id="0"/>
      <w:bookmarkEnd w:id="1"/>
      <w:bookmarkEnd w:id="2"/>
      <w:bookmarkEnd w:id="3"/>
      <w:bookmarkEnd w:id="4"/>
      <w:bookmarkEnd w:id="5"/>
    </w:p>
    <w:p>
      <w:pPr>
        <w:adjustRightInd w:val="0"/>
        <w:snapToGrid w:val="0"/>
        <w:spacing w:line="360" w:lineRule="auto"/>
        <w:jc w:val="center"/>
        <w:outlineLvl w:val="0"/>
        <w:rPr>
          <w:rFonts w:ascii="仿宋_GB2312" w:hAnsi="仿宋_GB2312" w:eastAsia="仿宋_GB2312" w:cs="仿宋_GB2312"/>
          <w:color w:val="000000"/>
          <w:sz w:val="32"/>
          <w:szCs w:val="32"/>
        </w:rPr>
      </w:pPr>
    </w:p>
    <w:p>
      <w:pPr>
        <w:adjustRightInd w:val="0"/>
        <w:snapToGrid w:val="0"/>
        <w:spacing w:line="360" w:lineRule="auto"/>
        <w:jc w:val="center"/>
        <w:outlineLvl w:val="0"/>
        <w:rPr>
          <w:rFonts w:ascii="方正小标宋简体" w:hAnsi="宋体" w:eastAsia="方正小标宋简体"/>
          <w:color w:val="000000"/>
          <w:sz w:val="52"/>
          <w:szCs w:val="52"/>
        </w:rPr>
      </w:pPr>
    </w:p>
    <w:p>
      <w:pPr>
        <w:autoSpaceDE w:val="0"/>
        <w:autoSpaceDN w:val="0"/>
        <w:adjustRightInd w:val="0"/>
        <w:ind w:firstLine="1276"/>
        <w:jc w:val="left"/>
        <w:rPr>
          <w:rFonts w:ascii="仿宋_GB2312" w:eastAsia="仿宋_GB2312" w:cs="仿宋_GB2312"/>
          <w:sz w:val="32"/>
          <w:szCs w:val="32"/>
        </w:rPr>
      </w:pPr>
    </w:p>
    <w:p>
      <w:pPr>
        <w:autoSpaceDE w:val="0"/>
        <w:autoSpaceDN w:val="0"/>
        <w:adjustRightInd w:val="0"/>
        <w:ind w:firstLine="1276"/>
        <w:jc w:val="left"/>
        <w:rPr>
          <w:rFonts w:ascii="仿宋_GB2312" w:eastAsia="仿宋_GB2312" w:cs="仿宋_GB2312"/>
          <w:sz w:val="32"/>
          <w:szCs w:val="32"/>
        </w:rPr>
      </w:pPr>
    </w:p>
    <w:p>
      <w:pPr>
        <w:autoSpaceDE w:val="0"/>
        <w:autoSpaceDN w:val="0"/>
        <w:adjustRightInd w:val="0"/>
        <w:ind w:firstLine="1276"/>
        <w:jc w:val="left"/>
        <w:rPr>
          <w:rFonts w:ascii="仿宋_GB2312" w:eastAsia="仿宋_GB2312" w:cs="仿宋_GB2312"/>
          <w:sz w:val="32"/>
          <w:szCs w:val="32"/>
        </w:rPr>
      </w:pPr>
    </w:p>
    <w:p>
      <w:pPr>
        <w:autoSpaceDE w:val="0"/>
        <w:autoSpaceDN w:val="0"/>
        <w:adjustRightInd w:val="0"/>
        <w:ind w:firstLine="1276"/>
        <w:jc w:val="left"/>
        <w:rPr>
          <w:rFonts w:ascii="仿宋_GB2312" w:eastAsia="仿宋_GB2312" w:cs="仿宋_GB2312"/>
          <w:sz w:val="32"/>
          <w:szCs w:val="32"/>
        </w:rPr>
      </w:pPr>
    </w:p>
    <w:p>
      <w:pPr>
        <w:autoSpaceDE w:val="0"/>
        <w:autoSpaceDN w:val="0"/>
        <w:adjustRightInd w:val="0"/>
        <w:ind w:firstLine="1276"/>
        <w:jc w:val="left"/>
        <w:rPr>
          <w:rFonts w:ascii="仿宋_GB2312" w:eastAsia="仿宋_GB2312" w:cs="仿宋_GB2312"/>
          <w:sz w:val="32"/>
          <w:szCs w:val="32"/>
        </w:rPr>
      </w:pPr>
    </w:p>
    <w:p>
      <w:pPr>
        <w:autoSpaceDE w:val="0"/>
        <w:autoSpaceDN w:val="0"/>
        <w:adjustRightInd w:val="0"/>
        <w:ind w:firstLine="1276"/>
        <w:jc w:val="left"/>
        <w:rPr>
          <w:rFonts w:ascii="仿宋_GB2312" w:eastAsia="仿宋_GB2312" w:cs="仿宋_GB2312"/>
          <w:sz w:val="32"/>
          <w:szCs w:val="32"/>
        </w:rPr>
      </w:pPr>
      <w:r>
        <w:rPr>
          <w:rFonts w:hint="eastAsia" w:ascii="仿宋_GB2312"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360" w:lineRule="auto"/>
        <w:jc w:val="center"/>
        <w:outlineLvl w:val="0"/>
        <w:rPr>
          <w:rFonts w:ascii="方正小标宋简体" w:hAnsi="宋体" w:eastAsia="方正小标宋简体"/>
          <w:color w:val="000000"/>
          <w:sz w:val="36"/>
          <w:szCs w:val="36"/>
        </w:rPr>
      </w:pPr>
      <w:r>
        <w:rPr>
          <w:rFonts w:ascii="方正小标宋简体" w:hAnsi="宋体" w:eastAsia="方正小标宋简体"/>
          <w:color w:val="000000"/>
          <w:sz w:val="36"/>
          <w:szCs w:val="36"/>
        </w:rPr>
        <w:br w:type="page"/>
      </w:r>
    </w:p>
    <w:p>
      <w:pPr>
        <w:adjustRightInd w:val="0"/>
        <w:snapToGrid w:val="0"/>
        <w:spacing w:line="360" w:lineRule="auto"/>
        <w:ind w:firstLine="3520" w:firstLineChars="800"/>
        <w:outlineLvl w:val="0"/>
        <w:rPr>
          <w:rFonts w:ascii="黑体" w:hAnsi="黑体" w:eastAsia="黑体"/>
          <w:color w:val="000000"/>
          <w:sz w:val="48"/>
          <w:szCs w:val="48"/>
        </w:rPr>
      </w:pPr>
      <w:r>
        <w:rPr>
          <w:rFonts w:hint="eastAsia" w:ascii="黑体" w:hAnsi="黑体" w:eastAsia="黑体"/>
          <w:color w:val="000000"/>
          <w:sz w:val="44"/>
          <w:szCs w:val="44"/>
        </w:rPr>
        <w:t>目  录</w:t>
      </w:r>
    </w:p>
    <w:p>
      <w:pPr>
        <w:widowControl/>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TOC \o "1-2" \h \z \u </w:instrText>
      </w:r>
      <w:r>
        <w:rPr>
          <w:rFonts w:hint="eastAsia" w:ascii="仿宋_GB2312" w:hAnsi="仿宋_GB2312" w:eastAsia="仿宋_GB2312" w:cs="仿宋_GB2312"/>
          <w:color w:val="000000"/>
          <w:sz w:val="32"/>
          <w:szCs w:val="32"/>
        </w:rPr>
        <w:fldChar w:fldCharType="separate"/>
      </w:r>
    </w:p>
    <w:p>
      <w:pPr>
        <w:rPr>
          <w:rFonts w:ascii="仿宋_GB2312" w:hAnsi="仿宋_GB2312" w:eastAsia="仿宋_GB2312" w:cs="仿宋_GB2312"/>
          <w:sz w:val="32"/>
          <w:szCs w:val="32"/>
        </w:rPr>
      </w:pPr>
    </w:p>
    <w:p>
      <w:pPr>
        <w:pStyle w:val="7"/>
        <w:jc w:val="both"/>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2"/>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8"/>
        <w:ind w:left="0" w:leftChars="0"/>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2"/>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8"/>
        <w:ind w:left="0" w:leftChars="0"/>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2"/>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pStyle w:val="7"/>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2"/>
          <w:rFonts w:hint="eastAsia" w:ascii="仿宋_GB2312" w:hAnsi="仿宋_GB2312" w:eastAsia="仿宋_GB2312" w:cs="仿宋_GB2312"/>
          <w:sz w:val="32"/>
          <w:szCs w:val="32"/>
        </w:rPr>
        <w:t>第二部分 2019年度部门决算情况说明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pStyle w:val="8"/>
        <w:ind w:left="0" w:leftChars="0"/>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2"/>
          <w:rFonts w:hint="eastAsia" w:ascii="仿宋_GB2312" w:hAnsi="仿宋_GB2312" w:eastAsia="仿宋_GB2312" w:cs="仿宋_GB2312"/>
          <w:bCs/>
          <w:sz w:val="32"/>
          <w:szCs w:val="32"/>
        </w:rPr>
        <w:t>一、</w:t>
      </w:r>
      <w:r>
        <w:rPr>
          <w:rStyle w:val="12"/>
          <w:rFonts w:hint="eastAsia" w:ascii="仿宋_GB2312" w:hAnsi="仿宋_GB2312" w:eastAsia="仿宋_GB2312" w:cs="仿宋_GB2312"/>
          <w:sz w:val="32"/>
          <w:szCs w:val="32"/>
        </w:rPr>
        <w:t>收</w:t>
      </w:r>
      <w:r>
        <w:rPr>
          <w:rStyle w:val="12"/>
          <w:rFonts w:hint="eastAsia" w:ascii="仿宋_GB2312" w:hAnsi="仿宋_GB2312" w:eastAsia="仿宋_GB2312" w:cs="仿宋_GB2312"/>
          <w:bCs/>
          <w:sz w:val="32"/>
          <w:szCs w:val="32"/>
        </w:rPr>
        <w:t>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pStyle w:val="8"/>
        <w:ind w:left="0" w:leftChars="0"/>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2"/>
          <w:rFonts w:hint="eastAsia" w:ascii="仿宋_GB2312" w:hAnsi="仿宋_GB2312" w:eastAsia="仿宋_GB2312" w:cs="仿宋_GB2312"/>
          <w:bCs/>
          <w:sz w:val="32"/>
          <w:szCs w:val="32"/>
        </w:rPr>
        <w:t>二、</w:t>
      </w:r>
      <w:r>
        <w:rPr>
          <w:rStyle w:val="12"/>
          <w:rFonts w:hint="eastAsia" w:ascii="仿宋_GB2312" w:hAnsi="仿宋_GB2312" w:eastAsia="仿宋_GB2312" w:cs="仿宋_GB2312"/>
          <w:sz w:val="32"/>
          <w:szCs w:val="32"/>
        </w:rPr>
        <w:t>收</w:t>
      </w:r>
      <w:r>
        <w:rPr>
          <w:rStyle w:val="12"/>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ind w:left="0" w:leftChars="0"/>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2"/>
          <w:rFonts w:hint="eastAsia" w:ascii="仿宋_GB2312" w:hAnsi="仿宋_GB2312" w:eastAsia="仿宋_GB2312" w:cs="仿宋_GB2312"/>
          <w:bCs/>
          <w:sz w:val="32"/>
          <w:szCs w:val="32"/>
        </w:rPr>
        <w:t>三、</w:t>
      </w:r>
      <w:r>
        <w:rPr>
          <w:rStyle w:val="12"/>
          <w:rFonts w:hint="eastAsia" w:ascii="仿宋_GB2312" w:hAnsi="仿宋_GB2312" w:eastAsia="仿宋_GB2312" w:cs="仿宋_GB2312"/>
          <w:sz w:val="32"/>
          <w:szCs w:val="32"/>
        </w:rPr>
        <w:t>支</w:t>
      </w:r>
      <w:r>
        <w:rPr>
          <w:rStyle w:val="12"/>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p>
    <w:p>
      <w:pPr>
        <w:pStyle w:val="8"/>
        <w:ind w:left="0" w:leftChars="0"/>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2"/>
          <w:rFonts w:hint="eastAsia" w:ascii="仿宋_GB2312" w:hAnsi="仿宋_GB2312" w:eastAsia="仿宋_GB2312" w:cs="仿宋_GB2312"/>
          <w:sz w:val="32"/>
          <w:szCs w:val="32"/>
        </w:rPr>
        <w:t>四、财</w:t>
      </w:r>
      <w:r>
        <w:rPr>
          <w:rStyle w:val="12"/>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p>
    <w:p>
      <w:pPr>
        <w:pStyle w:val="8"/>
        <w:ind w:left="0" w:leftChars="0"/>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2"/>
          <w:rFonts w:hint="eastAsia" w:ascii="仿宋_GB2312" w:hAnsi="仿宋_GB2312" w:eastAsia="仿宋_GB2312" w:cs="仿宋_GB2312"/>
          <w:sz w:val="32"/>
          <w:szCs w:val="32"/>
        </w:rPr>
        <w:t>五、一</w:t>
      </w:r>
      <w:r>
        <w:rPr>
          <w:rStyle w:val="12"/>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0</w:t>
      </w:r>
    </w:p>
    <w:p>
      <w:pPr>
        <w:pStyle w:val="8"/>
        <w:ind w:left="0" w:leftChars="0"/>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2"/>
          <w:rFonts w:hint="eastAsia" w:ascii="仿宋_GB2312" w:hAnsi="仿宋_GB2312" w:eastAsia="仿宋_GB2312" w:cs="仿宋_GB2312"/>
          <w:sz w:val="32"/>
          <w:szCs w:val="32"/>
        </w:rPr>
        <w:t>六、一</w:t>
      </w:r>
      <w:r>
        <w:rPr>
          <w:rStyle w:val="12"/>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3</w:t>
      </w:r>
    </w:p>
    <w:p>
      <w:pPr>
        <w:pStyle w:val="8"/>
        <w:ind w:left="0" w:leftChars="0"/>
        <w:rPr>
          <w:rFonts w:ascii="仿宋_GB2312" w:hAnsi="仿宋_GB2312" w:eastAsia="仿宋_GB2312" w:cs="仿宋_GB2312"/>
          <w:sz w:val="32"/>
          <w:szCs w:val="32"/>
        </w:rPr>
      </w:pPr>
      <w:r>
        <w:fldChar w:fldCharType="begin"/>
      </w:r>
      <w:r>
        <w:instrText xml:space="preserve"> HYPERLINK \l "_Toc15396609" </w:instrText>
      </w:r>
      <w:r>
        <w:fldChar w:fldCharType="separate"/>
      </w:r>
      <w:r>
        <w:rPr>
          <w:rStyle w:val="12"/>
          <w:rFonts w:hint="eastAsia" w:ascii="仿宋_GB2312" w:hAnsi="仿宋_GB2312" w:eastAsia="仿宋_GB2312" w:cs="仿宋_GB2312"/>
          <w:sz w:val="32"/>
          <w:szCs w:val="32"/>
        </w:rPr>
        <w:t>七、“</w:t>
      </w:r>
      <w:r>
        <w:rPr>
          <w:rStyle w:val="12"/>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4</w:t>
      </w:r>
    </w:p>
    <w:p>
      <w:pPr>
        <w:pStyle w:val="8"/>
        <w:ind w:left="0" w:leftChars="0"/>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2"/>
          <w:rFonts w:hint="eastAsia" w:ascii="仿宋_GB2312" w:hAnsi="仿宋_GB2312" w:eastAsia="仿宋_GB2312" w:cs="仿宋_GB2312"/>
          <w:sz w:val="32"/>
          <w:szCs w:val="32"/>
        </w:rPr>
        <w:t>八、</w:t>
      </w:r>
      <w:r>
        <w:rPr>
          <w:rStyle w:val="12"/>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ind w:left="0" w:leftChars="0"/>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2"/>
          <w:rFonts w:hint="eastAsia" w:ascii="仿宋_GB2312" w:hAnsi="仿宋_GB2312" w:eastAsia="仿宋_GB2312" w:cs="仿宋_GB2312"/>
          <w:bCs/>
          <w:sz w:val="32"/>
          <w:szCs w:val="32"/>
        </w:rPr>
        <w:t>九、</w:t>
      </w:r>
      <w:r>
        <w:rPr>
          <w:rStyle w:val="12"/>
          <w:rFonts w:hint="eastAsia" w:ascii="仿宋_GB2312" w:hAnsi="仿宋_GB2312" w:eastAsia="仿宋_GB2312" w:cs="仿宋_GB2312"/>
          <w:sz w:val="32"/>
          <w:szCs w:val="32"/>
        </w:rPr>
        <w:t xml:space="preserve"> 国</w:t>
      </w:r>
      <w:r>
        <w:rPr>
          <w:rStyle w:val="12"/>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6</w:t>
      </w:r>
    </w:p>
    <w:p>
      <w:pPr>
        <w:pStyle w:val="8"/>
        <w:ind w:left="0" w:leftChars="0"/>
        <w:rPr>
          <w:rFonts w:ascii="仿宋_GB2312" w:hAnsi="仿宋_GB2312" w:eastAsia="仿宋_GB2312" w:cs="仿宋_GB2312"/>
          <w:sz w:val="32"/>
          <w:szCs w:val="32"/>
        </w:rPr>
      </w:pPr>
      <w:r>
        <w:fldChar w:fldCharType="begin"/>
      </w:r>
      <w:r>
        <w:instrText xml:space="preserve"> HYPERLINK \l "_Toc15396612" </w:instrText>
      </w:r>
      <w:r>
        <w:fldChar w:fldCharType="separate"/>
      </w:r>
      <w:r>
        <w:rPr>
          <w:rStyle w:val="12"/>
          <w:rFonts w:hint="eastAsia" w:ascii="仿宋_GB2312" w:hAnsi="仿宋_GB2312" w:eastAsia="仿宋_GB2312" w:cs="仿宋_GB2312"/>
          <w:sz w:val="32"/>
          <w:szCs w:val="32"/>
        </w:rPr>
        <w:t>十</w:t>
      </w:r>
      <w:r>
        <w:rPr>
          <w:rStyle w:val="12"/>
          <w:rFonts w:hint="eastAsia" w:ascii="仿宋_GB2312" w:hAnsi="仿宋_GB2312" w:eastAsia="仿宋_GB2312" w:cs="仿宋_GB2312"/>
          <w:bCs/>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6</w:t>
      </w:r>
    </w:p>
    <w:p>
      <w:pPr>
        <w:pStyle w:val="7"/>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2"/>
          <w:rFonts w:hint="eastAsia" w:ascii="仿宋_GB2312" w:hAnsi="仿宋_GB2312" w:eastAsia="仿宋_GB2312" w:cs="仿宋_GB2312"/>
          <w:bCs/>
          <w:kern w:val="44"/>
          <w:sz w:val="32"/>
          <w:szCs w:val="32"/>
        </w:rPr>
        <w:t>第三部分</w:t>
      </w:r>
      <w:r>
        <w:rPr>
          <w:rStyle w:val="12"/>
          <w:rFonts w:hint="eastAsia" w:ascii="仿宋_GB2312" w:hAnsi="仿宋_GB2312" w:eastAsia="仿宋_GB2312" w:cs="仿宋_GB2312"/>
          <w:sz w:val="32"/>
          <w:szCs w:val="32"/>
        </w:rPr>
        <w:t xml:space="preserve"> 名</w:t>
      </w:r>
      <w:r>
        <w:rPr>
          <w:rStyle w:val="12"/>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4</w:t>
      </w:r>
    </w:p>
    <w:p>
      <w:pPr>
        <w:pStyle w:val="7"/>
        <w:rPr>
          <w:rFonts w:ascii="仿宋_GB2312" w:hAnsi="仿宋_GB2312" w:eastAsia="仿宋_GB2312" w:cs="仿宋_GB2312"/>
          <w:sz w:val="32"/>
          <w:szCs w:val="32"/>
        </w:rPr>
      </w:pPr>
      <w:r>
        <w:fldChar w:fldCharType="begin"/>
      </w:r>
      <w:r>
        <w:instrText xml:space="preserve"> HYPERLINK \l "_Toc15396614" </w:instrText>
      </w:r>
      <w:r>
        <w:fldChar w:fldCharType="separate"/>
      </w:r>
      <w:r>
        <w:rPr>
          <w:rStyle w:val="12"/>
          <w:rFonts w:hint="eastAsia" w:ascii="仿宋_GB2312" w:hAnsi="仿宋_GB2312" w:eastAsia="仿宋_GB2312" w:cs="仿宋_GB2312"/>
          <w:sz w:val="32"/>
          <w:szCs w:val="32"/>
        </w:rPr>
        <w:t>第</w:t>
      </w:r>
      <w:r>
        <w:rPr>
          <w:rStyle w:val="12"/>
          <w:rFonts w:hint="eastAsia" w:ascii="仿宋_GB2312" w:hAnsi="仿宋_GB2312" w:eastAsia="仿宋_GB2312" w:cs="仿宋_GB2312"/>
          <w:bCs/>
          <w:kern w:val="44"/>
          <w:sz w:val="32"/>
          <w:szCs w:val="32"/>
        </w:rPr>
        <w:t>四部分 附件2019年部门整体支出绩效评价</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8</w:t>
      </w:r>
    </w:p>
    <w:p>
      <w:pPr>
        <w:pStyle w:val="7"/>
        <w:jc w:val="both"/>
        <w:rPr>
          <w:rFonts w:ascii="仿宋_GB2312" w:hAnsi="仿宋_GB2312" w:eastAsia="仿宋_GB2312" w:cs="仿宋_GB2312"/>
          <w:sz w:val="32"/>
          <w:szCs w:val="32"/>
        </w:rPr>
      </w:pPr>
      <w:r>
        <w:fldChar w:fldCharType="begin"/>
      </w:r>
      <w:r>
        <w:instrText xml:space="preserve"> HYPERLINK \l "_Toc15396618" </w:instrText>
      </w:r>
      <w:r>
        <w:fldChar w:fldCharType="separate"/>
      </w:r>
      <w:r>
        <w:rPr>
          <w:rStyle w:val="12"/>
          <w:rFonts w:hint="eastAsia" w:ascii="仿宋_GB2312" w:hAnsi="仿宋_GB2312" w:eastAsia="仿宋_GB2312" w:cs="仿宋_GB2312"/>
          <w:sz w:val="32"/>
          <w:szCs w:val="32"/>
        </w:rPr>
        <w:t>第</w:t>
      </w:r>
      <w:r>
        <w:rPr>
          <w:rStyle w:val="12"/>
          <w:rFonts w:hint="eastAsia" w:ascii="仿宋_GB2312" w:hAnsi="仿宋_GB2312" w:eastAsia="仿宋_GB2312" w:cs="仿宋_GB2312"/>
          <w:bCs/>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2"/>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2"/>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2"/>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2"/>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2"/>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2"/>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Style w:val="12"/>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2"/>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2"/>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2"/>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2"/>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pStyle w:val="8"/>
        <w:ind w:left="0" w:leftChars="0"/>
        <w:rPr>
          <w:rFonts w:ascii="仿宋_GB2312" w:hAnsi="仿宋_GB2312" w:eastAsia="仿宋_GB2312" w:cs="仿宋_GB2312"/>
          <w:sz w:val="32"/>
          <w:szCs w:val="32"/>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2"/>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widowControl/>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fldChar w:fldCharType="end"/>
      </w:r>
    </w:p>
    <w:p>
      <w:pPr>
        <w:widowControl/>
        <w:jc w:val="left"/>
        <w:rPr>
          <w:rFonts w:ascii="仿宋_GB2312" w:hAnsi="仿宋_GB2312" w:eastAsia="仿宋_GB2312" w:cs="仿宋_GB2312"/>
          <w:bCs/>
          <w:kern w:val="44"/>
          <w:sz w:val="32"/>
          <w:szCs w:val="32"/>
        </w:rPr>
      </w:pPr>
      <w:bookmarkStart w:id="6" w:name="_Toc15377196"/>
      <w:bookmarkStart w:id="7" w:name="_Toc15396599"/>
    </w:p>
    <w:p>
      <w:pPr>
        <w:widowControl/>
        <w:jc w:val="left"/>
        <w:rPr>
          <w:rFonts w:ascii="仿宋_GB2312" w:hAnsi="仿宋_GB2312" w:eastAsia="仿宋_GB2312" w:cs="仿宋_GB2312"/>
          <w:bCs/>
          <w:kern w:val="44"/>
          <w:sz w:val="32"/>
          <w:szCs w:val="32"/>
        </w:rPr>
      </w:pPr>
    </w:p>
    <w:p>
      <w:pPr>
        <w:widowControl/>
        <w:jc w:val="left"/>
        <w:rPr>
          <w:rFonts w:ascii="仿宋_GB2312" w:hAnsi="仿宋_GB2312" w:eastAsia="仿宋_GB2312" w:cs="仿宋_GB2312"/>
          <w:bCs/>
          <w:kern w:val="44"/>
          <w:sz w:val="32"/>
          <w:szCs w:val="32"/>
        </w:rPr>
      </w:pPr>
    </w:p>
    <w:p>
      <w:pPr>
        <w:widowControl/>
        <w:jc w:val="left"/>
        <w:rPr>
          <w:rFonts w:ascii="仿宋_GB2312" w:hAnsi="仿宋_GB2312" w:eastAsia="仿宋_GB2312" w:cs="仿宋_GB2312"/>
          <w:bCs/>
          <w:kern w:val="44"/>
          <w:sz w:val="32"/>
          <w:szCs w:val="32"/>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bookmarkEnd w:id="6"/>
    <w:bookmarkEnd w:id="7"/>
    <w:p>
      <w:pPr>
        <w:widowControl/>
        <w:ind w:firstLine="1760" w:firstLineChars="400"/>
        <w:jc w:val="left"/>
        <w:rPr>
          <w:rFonts w:ascii="方正小标宋简体" w:hAnsi="宋体" w:eastAsia="方正小标宋简体" w:cs="黑体"/>
          <w:color w:val="000000"/>
          <w:kern w:val="0"/>
          <w:sz w:val="44"/>
          <w:szCs w:val="44"/>
        </w:rPr>
      </w:pPr>
    </w:p>
    <w:p>
      <w:pPr>
        <w:widowControl/>
        <w:ind w:firstLine="1760" w:firstLineChars="400"/>
        <w:jc w:val="left"/>
        <w:rPr>
          <w:rFonts w:ascii="方正小标宋简体" w:hAnsi="宋体" w:eastAsia="方正小标宋简体" w:cs="黑体"/>
          <w:color w:val="000000"/>
          <w:kern w:val="0"/>
          <w:sz w:val="44"/>
          <w:szCs w:val="44"/>
        </w:rPr>
      </w:pPr>
    </w:p>
    <w:p>
      <w:pPr>
        <w:widowControl/>
        <w:ind w:firstLine="1760" w:firstLineChars="400"/>
        <w:jc w:val="left"/>
        <w:rPr>
          <w:rFonts w:ascii="方正小标宋简体" w:hAnsi="宋体" w:eastAsia="方正小标宋简体" w:cs="黑体"/>
          <w:color w:val="000000"/>
          <w:kern w:val="0"/>
          <w:sz w:val="44"/>
          <w:szCs w:val="44"/>
        </w:rPr>
      </w:pPr>
      <w:r>
        <w:rPr>
          <w:rFonts w:hint="eastAsia" w:ascii="方正小标宋简体" w:hAnsi="宋体" w:eastAsia="方正小标宋简体" w:cs="黑体"/>
          <w:color w:val="000000"/>
          <w:kern w:val="0"/>
          <w:sz w:val="44"/>
          <w:szCs w:val="44"/>
        </w:rPr>
        <w:t xml:space="preserve">第一部分 部门概况 </w:t>
      </w:r>
      <w:bookmarkStart w:id="8" w:name="_Toc15377197"/>
      <w:bookmarkStart w:id="9" w:name="_Toc15396600"/>
    </w:p>
    <w:p>
      <w:pPr>
        <w:widowControl/>
        <w:ind w:firstLine="1727" w:firstLineChars="400"/>
        <w:jc w:val="left"/>
        <w:rPr>
          <w:rFonts w:ascii="黑体" w:hAnsi="宋体" w:eastAsia="黑体" w:cs="黑体"/>
          <w:b/>
          <w:color w:val="000000"/>
          <w:kern w:val="0"/>
          <w:sz w:val="43"/>
          <w:szCs w:val="43"/>
        </w:rPr>
      </w:pPr>
    </w:p>
    <w:p>
      <w:pPr>
        <w:widowControl/>
        <w:ind w:firstLine="480" w:firstLineChars="150"/>
        <w:jc w:val="left"/>
        <w:rPr>
          <w:b/>
          <w:sz w:val="32"/>
          <w:szCs w:val="32"/>
        </w:rPr>
      </w:pPr>
      <w:r>
        <w:rPr>
          <w:rFonts w:hint="eastAsia" w:ascii="黑体" w:hAnsi="宋体" w:eastAsia="黑体" w:cs="黑体"/>
          <w:color w:val="000000"/>
          <w:kern w:val="0"/>
          <w:sz w:val="32"/>
          <w:szCs w:val="32"/>
        </w:rPr>
        <w:t>一</w:t>
      </w:r>
      <w:r>
        <w:rPr>
          <w:rFonts w:hint="eastAsia" w:ascii="黑体" w:hAnsi="宋体" w:eastAsia="黑体" w:cs="黑体"/>
          <w:b/>
          <w:color w:val="000000"/>
          <w:kern w:val="0"/>
          <w:sz w:val="32"/>
          <w:szCs w:val="32"/>
        </w:rPr>
        <w:t>、</w:t>
      </w:r>
      <w:r>
        <w:rPr>
          <w:rFonts w:hint="eastAsia" w:ascii="黑体" w:hAnsi="黑体" w:eastAsia="黑体"/>
          <w:color w:val="000000"/>
          <w:sz w:val="32"/>
          <w:szCs w:val="32"/>
        </w:rPr>
        <w:t>基</w:t>
      </w:r>
      <w:r>
        <w:rPr>
          <w:rStyle w:val="16"/>
          <w:rFonts w:hint="eastAsia" w:ascii="黑体" w:hAnsi="黑体" w:eastAsia="黑体"/>
          <w:b w:val="0"/>
        </w:rPr>
        <w:t>本职能及主要工作</w:t>
      </w:r>
      <w:bookmarkEnd w:id="8"/>
      <w:bookmarkEnd w:id="9"/>
      <w:bookmarkStart w:id="10" w:name="_Toc15378445"/>
      <w:bookmarkStart w:id="11" w:name="_Toc15377198"/>
    </w:p>
    <w:p>
      <w:pPr>
        <w:spacing w:line="600" w:lineRule="exact"/>
        <w:ind w:firstLine="321" w:firstLineChars="100"/>
        <w:outlineLvl w:val="1"/>
        <w:rPr>
          <w:rFonts w:ascii="楷体_GB2312" w:hAnsi="楷体_GB2312" w:eastAsia="楷体_GB2312" w:cs="楷体_GB2312"/>
          <w:b/>
          <w:color w:val="000000"/>
          <w:sz w:val="32"/>
          <w:szCs w:val="32"/>
        </w:rPr>
      </w:pPr>
      <w:r>
        <w:rPr>
          <w:rFonts w:hint="eastAsia" w:ascii="楷体_GB2312" w:hAnsi="仿宋" w:eastAsia="楷体_GB2312"/>
          <w:b/>
          <w:color w:val="000000"/>
          <w:sz w:val="32"/>
          <w:szCs w:val="32"/>
        </w:rPr>
        <w:t>（一）</w:t>
      </w:r>
      <w:r>
        <w:rPr>
          <w:rFonts w:hint="eastAsia" w:ascii="楷体_GB2312" w:hAnsi="楷体_GB2312" w:eastAsia="楷体_GB2312" w:cs="楷体_GB2312"/>
          <w:b/>
          <w:color w:val="000000"/>
          <w:sz w:val="32"/>
          <w:szCs w:val="32"/>
        </w:rPr>
        <w:t>主要职能</w:t>
      </w:r>
      <w:bookmarkEnd w:id="10"/>
      <w:bookmarkEnd w:id="11"/>
      <w:bookmarkStart w:id="12" w:name="_Toc15378446"/>
      <w:bookmarkStart w:id="13" w:name="_Toc15377199"/>
    </w:p>
    <w:p>
      <w:pPr>
        <w:spacing w:line="600" w:lineRule="exact"/>
        <w:ind w:firstLine="480" w:firstLineChars="150"/>
        <w:rPr>
          <w:rFonts w:ascii="仿宋_GB2312" w:eastAsia="仿宋_GB2312"/>
          <w:sz w:val="32"/>
          <w:szCs w:val="32"/>
        </w:rPr>
      </w:pPr>
      <w:r>
        <w:rPr>
          <w:rFonts w:hint="eastAsia" w:ascii="仿宋_GB2312" w:eastAsia="仿宋_GB2312"/>
          <w:sz w:val="32"/>
          <w:szCs w:val="32"/>
        </w:rPr>
        <w:t>1.贯彻执行国家、省、州关于工程建设、城市建设、村镇建设、建筑业、房地产业、农村能源建设和测绘工作的方针、政策、中长期规划，并指导实施、起草相关的地方性法规草案。</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xml:space="preserve">   2.负责各类房屋建筑及其附属设施的建造和与其配套的线路、管道、设备安装项目和市政工程项目的初步设计审查、施工图审批、开工审批和招投标活动的执法监督。</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3.综合管理和指导全县建筑业，规范建筑市场；指导和监督管理建筑市场和室内装饰装修市场准入、工程监理及工程质量监督、检测和施工安全；监督指导相关社会中介机构；组织实施工程建设实施阶段的国家标准、全国统一定额、四川省定额和行业标准定额，制定相关地方性标准。</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4.指导城市供水、排水设施的建设管理工作；指导城市计划用水，节约用水工作。</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xml:space="preserve">   5.指导全县城镇建设、集镇和村镇规划建设工作；指导城市防洪设施建设工作和城市建设档案工作；会同有关部门管理工业民用建筑的抗震设防工作。</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xml:space="preserve">   6.指导全县城镇土地使用权有偿转让、房地产开发经营和中介服务、房屋商品化工作，规范房地产市场；指导和推进城镇住宅建设；负责住房制度改革工作。</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xml:space="preserve">   7.参与全县注册建筑师和注册工程师的管理；会同有关部门管理工业与民用建筑的抗震设防建设；审查外来设计单位的资质，检查外来设计质量，会同有关单位管理设计市场及设计的招投标工作；管理行业科技成果的技术市场；鉴定房屋的结构情况提出加固措施，积极向上级争取危房加固资金。</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xml:space="preserve">   8.承担推进住房制度改革、保障城镇低收入家庭住房的责任；拟订全县住房及住房保障相关政策并指导实施，指导住房建设和住房制度改革；拟订廉租住房规划及政策，会同有关部门做好国家、省、州有关廉租住房资金安排并监督地方组织实施；编制住房保障发展规划和年度计划并监督实施。</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9.承担县政府公布的有关行政审批事项。</w:t>
      </w:r>
      <w:r>
        <w:rPr>
          <w:rFonts w:hint="eastAsia" w:eastAsia="仿宋_GB2312"/>
          <w:sz w:val="32"/>
          <w:szCs w:val="32"/>
        </w:rPr>
        <w:t> </w:t>
      </w:r>
      <w:r>
        <w:rPr>
          <w:rFonts w:hint="eastAsia" w:ascii="仿宋_GB2312" w:eastAsia="仿宋_GB2312"/>
          <w:sz w:val="32"/>
          <w:szCs w:val="32"/>
        </w:rPr>
        <w:br w:type="textWrapping"/>
      </w:r>
      <w:r>
        <w:rPr>
          <w:rFonts w:hint="eastAsia" w:ascii="仿宋_GB2312" w:eastAsia="仿宋_GB2312"/>
          <w:sz w:val="32"/>
          <w:szCs w:val="32"/>
        </w:rPr>
        <w:t>　 10.承办县政府交办的其他事项。</w:t>
      </w:r>
    </w:p>
    <w:p>
      <w:pPr>
        <w:spacing w:line="600" w:lineRule="exact"/>
        <w:ind w:firstLine="321" w:firstLineChars="100"/>
        <w:outlineLvl w:val="1"/>
        <w:rPr>
          <w:rStyle w:val="16"/>
          <w:rFonts w:ascii="楷体_GB2312" w:hAnsi="楷体_GB2312" w:eastAsia="楷体_GB2312" w:cs="楷体_GB2312"/>
          <w:bCs w:val="0"/>
          <w:color w:val="000000"/>
        </w:rPr>
      </w:pPr>
      <w:r>
        <w:rPr>
          <w:rFonts w:hint="eastAsia" w:ascii="楷体_GB2312" w:hAnsi="仿宋" w:eastAsia="楷体_GB2312"/>
          <w:b/>
          <w:color w:val="000000"/>
          <w:sz w:val="32"/>
          <w:szCs w:val="32"/>
        </w:rPr>
        <w:t>（二）</w:t>
      </w:r>
      <w:r>
        <w:rPr>
          <w:rFonts w:hint="eastAsia" w:ascii="楷体_GB2312" w:hAnsi="楷体_GB2312" w:eastAsia="楷体_GB2312" w:cs="楷体_GB2312"/>
          <w:b/>
          <w:color w:val="000000"/>
          <w:sz w:val="32"/>
          <w:szCs w:val="32"/>
        </w:rPr>
        <w:t>2019年重点工作完成情况</w:t>
      </w:r>
      <w:bookmarkEnd w:id="12"/>
      <w:bookmarkEnd w:id="13"/>
    </w:p>
    <w:p>
      <w:pPr>
        <w:ind w:firstLine="643" w:firstLineChars="200"/>
        <w:rPr>
          <w:rFonts w:ascii="仿宋_GB2312" w:hAnsi="仿宋_GB2312" w:eastAsia="仿宋_GB2312" w:cs="仿宋_GB2312"/>
          <w:sz w:val="32"/>
          <w:szCs w:val="32"/>
        </w:rPr>
      </w:pPr>
      <w:bookmarkStart w:id="14" w:name="_Toc15377200"/>
      <w:bookmarkStart w:id="15" w:name="_Toc15396601"/>
      <w:r>
        <w:rPr>
          <w:rFonts w:hint="eastAsia" w:ascii="仿宋_GB2312" w:eastAsia="仿宋_GB2312"/>
          <w:b/>
          <w:sz w:val="32"/>
          <w:szCs w:val="32"/>
        </w:rPr>
        <w:t>1.</w:t>
      </w:r>
      <w:r>
        <w:rPr>
          <w:rFonts w:hint="eastAsia" w:ascii="仿宋_GB2312" w:hAnsi="仿宋_GB2312" w:eastAsia="仿宋_GB2312" w:cs="仿宋_GB2312"/>
          <w:sz w:val="32"/>
          <w:szCs w:val="32"/>
        </w:rPr>
        <w:t>完成</w:t>
      </w:r>
      <w:r>
        <w:rPr>
          <w:rFonts w:hint="eastAsia" w:ascii="仿宋_GB2312" w:eastAsia="仿宋_GB2312"/>
          <w:sz w:val="32"/>
          <w:szCs w:val="32"/>
        </w:rPr>
        <w:t>青坡门旧城改造工作</w:t>
      </w:r>
      <w:r>
        <w:rPr>
          <w:rFonts w:hint="eastAsia" w:ascii="仿宋_GB2312" w:hAnsi="仿宋_GB2312" w:eastAsia="仿宋_GB2312" w:cs="仿宋_GB2312"/>
          <w:sz w:val="32"/>
          <w:szCs w:val="32"/>
        </w:rPr>
        <w:t>改造片区内</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宗宅基的测绘工作,</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年拆除危旧房</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栋,拆除面积</w:t>
      </w:r>
      <w:r>
        <w:rPr>
          <w:rFonts w:ascii="仿宋_GB2312" w:hAnsi="仿宋_GB2312" w:eastAsia="仿宋_GB2312" w:cs="仿宋_GB2312"/>
          <w:sz w:val="32"/>
          <w:szCs w:val="32"/>
        </w:rPr>
        <w:t>1285</w:t>
      </w:r>
      <w:r>
        <w:rPr>
          <w:rFonts w:hint="eastAsia" w:ascii="仿宋_GB2312" w:hAnsi="仿宋_GB2312" w:eastAsia="仿宋_GB2312" w:cs="仿宋_GB2312"/>
          <w:sz w:val="32"/>
          <w:szCs w:val="32"/>
        </w:rPr>
        <w:t>平方米。</w:t>
      </w:r>
    </w:p>
    <w:p>
      <w:pPr>
        <w:ind w:firstLine="643" w:firstLineChars="200"/>
        <w:rPr>
          <w:rFonts w:ascii="仿宋_GB2312" w:hAnsi="华文楷体" w:eastAsia="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完成</w:t>
      </w:r>
      <w:r>
        <w:rPr>
          <w:rFonts w:hint="eastAsia" w:ascii="仿宋_GB2312" w:hAnsi="仿宋_GB2312" w:eastAsia="仿宋_GB2312" w:cs="仿宋_GB2312"/>
          <w:bCs/>
          <w:sz w:val="32"/>
          <w:szCs w:val="32"/>
        </w:rPr>
        <w:t>南店坡至大河坝市政道路</w:t>
      </w:r>
      <w:r>
        <w:rPr>
          <w:rFonts w:hint="eastAsia" w:ascii="仿宋_GB2312" w:hAnsi="仿宋_GB2312" w:eastAsia="仿宋_GB2312" w:cs="仿宋_GB2312"/>
          <w:sz w:val="32"/>
          <w:szCs w:val="32"/>
        </w:rPr>
        <w:t>审计决算工作，完成</w:t>
      </w:r>
      <w:r>
        <w:rPr>
          <w:rFonts w:hint="eastAsia" w:ascii="仿宋_GB2312" w:hAnsi="仿宋_GB2312" w:eastAsia="仿宋_GB2312" w:cs="仿宋_GB2312"/>
          <w:bCs/>
          <w:sz w:val="32"/>
          <w:szCs w:val="32"/>
        </w:rPr>
        <w:t>凤仪镇供水基础设施项目审计结算。</w:t>
      </w:r>
    </w:p>
    <w:p>
      <w:pPr>
        <w:ind w:firstLine="643" w:firstLineChars="200"/>
        <w:rPr>
          <w:rFonts w:ascii="仿宋_GB2312" w:hAnsi="仿宋_GB2312" w:eastAsia="仿宋_GB2312" w:cs="仿宋_GB2312"/>
          <w:sz w:val="32"/>
          <w:szCs w:val="32"/>
        </w:rPr>
      </w:pPr>
      <w:r>
        <w:rPr>
          <w:rFonts w:hint="eastAsia" w:ascii="仿宋_GB2312" w:hAnsi="华文楷体" w:eastAsia="仿宋_GB2312"/>
          <w:b/>
          <w:bCs/>
          <w:sz w:val="32"/>
          <w:szCs w:val="32"/>
        </w:rPr>
        <w:t>3</w:t>
      </w:r>
      <w:r>
        <w:rPr>
          <w:rFonts w:hint="eastAsia" w:ascii="仿宋_GB2312" w:hAnsi="华文楷体" w:eastAsia="仿宋_GB2312"/>
          <w:sz w:val="32"/>
          <w:szCs w:val="32"/>
        </w:rPr>
        <w:t>.</w:t>
      </w:r>
      <w:r>
        <w:rPr>
          <w:rFonts w:hint="eastAsia" w:ascii="仿宋_GB2312" w:hAnsi="华文楷体" w:eastAsia="仿宋_GB2312"/>
          <w:b/>
          <w:bCs/>
          <w:sz w:val="32"/>
          <w:szCs w:val="32"/>
        </w:rPr>
        <w:t xml:space="preserve"> </w:t>
      </w:r>
      <w:r>
        <w:rPr>
          <w:rFonts w:hint="eastAsia" w:ascii="仿宋_GB2312" w:hAnsi="华文楷体" w:eastAsia="仿宋_GB2312"/>
          <w:bCs/>
          <w:sz w:val="32"/>
          <w:szCs w:val="32"/>
        </w:rPr>
        <w:t>完成</w:t>
      </w:r>
      <w:r>
        <w:rPr>
          <w:rFonts w:hint="eastAsia" w:ascii="仿宋_GB2312" w:hAnsi="仿宋_GB2312" w:eastAsia="仿宋_GB2312" w:cs="仿宋_GB2312"/>
          <w:bCs/>
          <w:sz w:val="32"/>
          <w:szCs w:val="32"/>
        </w:rPr>
        <w:t>茂县甘青村甘格墩至晋茂大道北段污水管网工程</w:t>
      </w:r>
      <w:r>
        <w:rPr>
          <w:rFonts w:hint="eastAsia" w:ascii="仿宋_GB2312" w:hAnsi="华文楷体" w:eastAsia="仿宋_GB2312"/>
          <w:sz w:val="32"/>
          <w:szCs w:val="32"/>
        </w:rPr>
        <w:t>竣工结算审核</w:t>
      </w:r>
      <w:r>
        <w:rPr>
          <w:rFonts w:hint="eastAsia" w:ascii="仿宋_GB2312" w:hAnsi="仿宋_GB2312" w:eastAsia="仿宋_GB2312" w:cs="仿宋_GB2312"/>
          <w:b/>
          <w:bCs/>
          <w:sz w:val="32"/>
          <w:szCs w:val="32"/>
        </w:rPr>
        <w:t>。</w:t>
      </w:r>
    </w:p>
    <w:p>
      <w:pPr>
        <w:ind w:firstLine="643" w:firstLineChars="200"/>
        <w:rPr>
          <w:rFonts w:ascii="仿宋_GB2312" w:eastAsia="仿宋_GB2312"/>
          <w:sz w:val="32"/>
          <w:szCs w:val="32"/>
        </w:rPr>
      </w:pPr>
      <w:r>
        <w:rPr>
          <w:rFonts w:hint="eastAsia" w:ascii="仿宋_GB2312" w:hAnsi="华文楷体" w:eastAsia="仿宋_GB2312"/>
          <w:b/>
          <w:bCs/>
          <w:sz w:val="32"/>
          <w:szCs w:val="32"/>
        </w:rPr>
        <w:t>4.</w:t>
      </w:r>
      <w:r>
        <w:rPr>
          <w:rFonts w:hint="eastAsia" w:ascii="仿宋_GB2312" w:hAnsi="华文楷体" w:eastAsia="仿宋_GB2312"/>
          <w:bCs/>
          <w:sz w:val="32"/>
          <w:szCs w:val="32"/>
        </w:rPr>
        <w:t>完成</w:t>
      </w:r>
      <w:r>
        <w:rPr>
          <w:rFonts w:hint="eastAsia" w:ascii="仿宋_GB2312" w:hAnsi="仿宋_GB2312" w:eastAsia="仿宋_GB2312" w:cs="仿宋_GB2312"/>
          <w:bCs/>
          <w:sz w:val="32"/>
          <w:szCs w:val="32"/>
        </w:rPr>
        <w:t>县城南入口综合治理工程</w:t>
      </w:r>
      <w:r>
        <w:rPr>
          <w:rFonts w:hint="eastAsia" w:ascii="仿宋_GB2312" w:eastAsia="仿宋_GB2312"/>
          <w:sz w:val="32"/>
          <w:szCs w:val="32"/>
        </w:rPr>
        <w:t>工程结算审核工作</w:t>
      </w:r>
      <w:r>
        <w:rPr>
          <w:rFonts w:hint="eastAsia" w:ascii="仿宋_GB2312" w:hAnsi="仿宋_GB2312" w:eastAsia="仿宋_GB2312" w:cs="仿宋_GB2312"/>
          <w:b/>
          <w:bCs/>
          <w:sz w:val="32"/>
          <w:szCs w:val="32"/>
        </w:rPr>
        <w:t>。</w:t>
      </w:r>
      <w:r>
        <w:rPr>
          <w:rFonts w:hint="eastAsia" w:ascii="仿宋_GB2312" w:eastAsia="仿宋_GB2312"/>
          <w:sz w:val="32"/>
          <w:szCs w:val="32"/>
        </w:rPr>
        <w:t>算。</w:t>
      </w:r>
    </w:p>
    <w:p>
      <w:pPr>
        <w:ind w:firstLine="643" w:firstLineChars="200"/>
        <w:rPr>
          <w:rFonts w:ascii="仿宋_GB2312" w:hAnsi="华文楷体" w:eastAsia="仿宋_GB2312"/>
          <w:sz w:val="32"/>
          <w:szCs w:val="32"/>
        </w:rPr>
      </w:pPr>
      <w:r>
        <w:rPr>
          <w:rFonts w:hint="eastAsia" w:ascii="仿宋_GB2312" w:eastAsia="仿宋_GB2312"/>
          <w:b/>
          <w:bCs/>
          <w:sz w:val="32"/>
          <w:szCs w:val="32"/>
        </w:rPr>
        <w:t>5.</w:t>
      </w:r>
      <w:r>
        <w:rPr>
          <w:rFonts w:ascii="仿宋_GB2312" w:hAnsi="华文楷体" w:eastAsia="仿宋_GB2312"/>
          <w:sz w:val="32"/>
          <w:szCs w:val="32"/>
        </w:rPr>
        <w:t xml:space="preserve"> 6</w:t>
      </w:r>
      <w:r>
        <w:rPr>
          <w:rFonts w:hint="eastAsia" w:ascii="仿宋_GB2312" w:hAnsi="华文楷体" w:eastAsia="仿宋_GB2312"/>
          <w:sz w:val="32"/>
          <w:szCs w:val="32"/>
        </w:rPr>
        <w:t>个茂县农村生活垃圾处置转运项目，施工招标于</w:t>
      </w:r>
      <w:r>
        <w:rPr>
          <w:rFonts w:ascii="仿宋_GB2312" w:hAnsi="华文楷体" w:eastAsia="仿宋_GB2312"/>
          <w:sz w:val="32"/>
          <w:szCs w:val="32"/>
        </w:rPr>
        <w:t>2019</w:t>
      </w:r>
      <w:r>
        <w:rPr>
          <w:rFonts w:hint="eastAsia" w:ascii="仿宋_GB2312" w:hAnsi="华文楷体" w:eastAsia="仿宋_GB2312"/>
          <w:sz w:val="32"/>
          <w:szCs w:val="32"/>
        </w:rPr>
        <w:t>年</w:t>
      </w:r>
      <w:r>
        <w:rPr>
          <w:rFonts w:ascii="仿宋_GB2312" w:hAnsi="华文楷体" w:eastAsia="仿宋_GB2312"/>
          <w:sz w:val="32"/>
          <w:szCs w:val="32"/>
        </w:rPr>
        <w:t>4</w:t>
      </w:r>
      <w:r>
        <w:rPr>
          <w:rFonts w:hint="eastAsia" w:ascii="仿宋_GB2312" w:hAnsi="华文楷体" w:eastAsia="仿宋_GB2312"/>
          <w:sz w:val="32"/>
          <w:szCs w:val="32"/>
        </w:rPr>
        <w:t>月</w:t>
      </w:r>
      <w:r>
        <w:rPr>
          <w:rFonts w:ascii="仿宋_GB2312" w:hAnsi="华文楷体" w:eastAsia="仿宋_GB2312"/>
          <w:sz w:val="32"/>
          <w:szCs w:val="32"/>
        </w:rPr>
        <w:t>17</w:t>
      </w:r>
      <w:r>
        <w:rPr>
          <w:rFonts w:hint="eastAsia" w:ascii="仿宋_GB2312" w:hAnsi="华文楷体" w:eastAsia="仿宋_GB2312"/>
          <w:sz w:val="32"/>
          <w:szCs w:val="32"/>
        </w:rPr>
        <w:t>日开标，目前光明镇马蹄村、富顺镇团结村、回龙乡沙坝村、曲谷乡二不寨村的垃圾转运设施项目压缩站主体工程已完工，准备进行设备安装。</w:t>
      </w:r>
    </w:p>
    <w:p>
      <w:pPr>
        <w:ind w:firstLine="630" w:firstLineChars="196"/>
        <w:rPr>
          <w:rFonts w:ascii="仿宋_GB2312" w:hAnsi="华文楷体" w:eastAsia="仿宋_GB2312"/>
          <w:b/>
          <w:bCs/>
          <w:sz w:val="32"/>
          <w:szCs w:val="32"/>
        </w:rPr>
      </w:pPr>
      <w:r>
        <w:rPr>
          <w:rFonts w:hint="eastAsia" w:ascii="仿宋_GB2312" w:hAnsi="华文楷体" w:eastAsia="仿宋_GB2312"/>
          <w:b/>
          <w:bCs/>
          <w:sz w:val="32"/>
          <w:szCs w:val="32"/>
        </w:rPr>
        <w:t>6.</w:t>
      </w:r>
      <w:r>
        <w:rPr>
          <w:rFonts w:ascii="仿宋_GB2312" w:hAnsi="华文楷体" w:eastAsia="仿宋_GB2312"/>
          <w:b/>
          <w:bCs/>
          <w:sz w:val="32"/>
          <w:szCs w:val="32"/>
        </w:rPr>
        <w:t>10</w:t>
      </w:r>
      <w:r>
        <w:rPr>
          <w:rFonts w:hint="eastAsia" w:ascii="仿宋_GB2312" w:hAnsi="华文楷体" w:eastAsia="仿宋_GB2312"/>
          <w:b/>
          <w:bCs/>
          <w:sz w:val="32"/>
          <w:szCs w:val="32"/>
        </w:rPr>
        <w:t>个茂县贫困村居民聚居点生活污水处理设施项目：</w:t>
      </w:r>
      <w:r>
        <w:rPr>
          <w:rFonts w:ascii="仿宋_GB2312" w:hAnsi="华文楷体" w:eastAsia="仿宋_GB2312"/>
          <w:sz w:val="32"/>
          <w:szCs w:val="32"/>
        </w:rPr>
        <w:t>10</w:t>
      </w:r>
      <w:r>
        <w:rPr>
          <w:rFonts w:hint="eastAsia" w:ascii="仿宋_GB2312" w:hAnsi="华文楷体" w:eastAsia="仿宋_GB2312"/>
          <w:sz w:val="32"/>
          <w:szCs w:val="32"/>
        </w:rPr>
        <w:t>个茂县贫困村居民聚居点生活污水处理设施项目完成项目建议书、发改委已立项、测绘、选址前期工作。</w:t>
      </w:r>
    </w:p>
    <w:p>
      <w:pPr>
        <w:ind w:firstLine="643" w:firstLineChars="200"/>
        <w:rPr>
          <w:rFonts w:ascii="仿宋_GB2312" w:hAnsi="华文楷体" w:eastAsia="仿宋_GB2312"/>
          <w:b/>
          <w:sz w:val="32"/>
          <w:szCs w:val="32"/>
        </w:rPr>
      </w:pPr>
      <w:r>
        <w:rPr>
          <w:rFonts w:hint="eastAsia" w:ascii="仿宋_GB2312" w:hAnsi="华文楷体" w:eastAsia="仿宋_GB2312"/>
          <w:b/>
          <w:bCs/>
          <w:sz w:val="32"/>
          <w:szCs w:val="32"/>
        </w:rPr>
        <w:t>7.</w:t>
      </w:r>
      <w:r>
        <w:rPr>
          <w:rFonts w:hint="eastAsia" w:ascii="仿宋_GB2312" w:hAnsi="华文楷体" w:eastAsia="仿宋_GB2312"/>
          <w:b/>
          <w:sz w:val="32"/>
          <w:szCs w:val="32"/>
        </w:rPr>
        <w:t>完成茂县生活垃圾转运体系提升项目。</w:t>
      </w:r>
    </w:p>
    <w:p>
      <w:pPr>
        <w:ind w:firstLine="641"/>
        <w:rPr>
          <w:rFonts w:ascii="仿宋_GB2312" w:hAnsi="华文楷体" w:eastAsia="仿宋_GB2312"/>
          <w:sz w:val="32"/>
          <w:szCs w:val="32"/>
        </w:rPr>
      </w:pPr>
      <w:r>
        <w:rPr>
          <w:rFonts w:hint="eastAsia" w:ascii="仿宋_GB2312" w:eastAsia="仿宋_GB2312"/>
          <w:b/>
          <w:sz w:val="32"/>
          <w:szCs w:val="32"/>
        </w:rPr>
        <w:t>8.6.24灾后重建项目：</w:t>
      </w:r>
      <w:r>
        <w:rPr>
          <w:rFonts w:hint="eastAsia" w:ascii="仿宋_GB2312" w:eastAsia="仿宋_GB2312"/>
          <w:bCs/>
          <w:sz w:val="32"/>
          <w:szCs w:val="32"/>
        </w:rPr>
        <w:t>叠溪镇新磨村集中安置点市政道路建设项目</w:t>
      </w:r>
      <w:r>
        <w:rPr>
          <w:rFonts w:hint="eastAsia" w:ascii="仿宋_GB2312" w:hAnsi="华文楷体" w:eastAsia="仿宋_GB2312"/>
          <w:sz w:val="32"/>
          <w:szCs w:val="32"/>
        </w:rPr>
        <w:t>于</w:t>
      </w:r>
      <w:r>
        <w:rPr>
          <w:rFonts w:ascii="仿宋_GB2312" w:hAnsi="华文楷体" w:eastAsia="仿宋_GB2312"/>
          <w:sz w:val="32"/>
          <w:szCs w:val="32"/>
        </w:rPr>
        <w:t>2018</w:t>
      </w:r>
      <w:r>
        <w:rPr>
          <w:rFonts w:hint="eastAsia" w:ascii="仿宋_GB2312" w:hAnsi="华文楷体" w:eastAsia="仿宋_GB2312"/>
          <w:sz w:val="32"/>
          <w:szCs w:val="32"/>
        </w:rPr>
        <w:t>年</w:t>
      </w:r>
      <w:r>
        <w:rPr>
          <w:rFonts w:ascii="仿宋_GB2312" w:hAnsi="华文楷体" w:eastAsia="仿宋_GB2312"/>
          <w:sz w:val="32"/>
          <w:szCs w:val="32"/>
        </w:rPr>
        <w:t>3</w:t>
      </w:r>
      <w:r>
        <w:rPr>
          <w:rFonts w:hint="eastAsia" w:ascii="仿宋_GB2312" w:hAnsi="华文楷体" w:eastAsia="仿宋_GB2312"/>
          <w:sz w:val="32"/>
          <w:szCs w:val="32"/>
        </w:rPr>
        <w:t>月开工建设，于</w:t>
      </w:r>
      <w:r>
        <w:rPr>
          <w:rFonts w:ascii="仿宋_GB2312" w:hAnsi="华文楷体" w:eastAsia="仿宋_GB2312"/>
          <w:sz w:val="32"/>
          <w:szCs w:val="32"/>
        </w:rPr>
        <w:t>2019</w:t>
      </w:r>
      <w:r>
        <w:rPr>
          <w:rFonts w:hint="eastAsia" w:ascii="仿宋_GB2312" w:hAnsi="华文楷体" w:eastAsia="仿宋_GB2312"/>
          <w:sz w:val="32"/>
          <w:szCs w:val="32"/>
        </w:rPr>
        <w:t>年</w:t>
      </w:r>
      <w:r>
        <w:rPr>
          <w:rFonts w:ascii="仿宋_GB2312" w:hAnsi="华文楷体" w:eastAsia="仿宋_GB2312"/>
          <w:sz w:val="32"/>
          <w:szCs w:val="32"/>
        </w:rPr>
        <w:t>6</w:t>
      </w:r>
      <w:r>
        <w:rPr>
          <w:rFonts w:hint="eastAsia" w:ascii="仿宋_GB2312" w:hAnsi="华文楷体" w:eastAsia="仿宋_GB2312"/>
          <w:sz w:val="32"/>
          <w:szCs w:val="32"/>
        </w:rPr>
        <w:t>月</w:t>
      </w:r>
      <w:r>
        <w:rPr>
          <w:rFonts w:ascii="仿宋_GB2312" w:hAnsi="华文楷体" w:eastAsia="仿宋_GB2312"/>
          <w:sz w:val="32"/>
          <w:szCs w:val="32"/>
        </w:rPr>
        <w:t>5</w:t>
      </w:r>
      <w:r>
        <w:rPr>
          <w:rFonts w:hint="eastAsia" w:ascii="仿宋_GB2312" w:hAnsi="华文楷体" w:eastAsia="仿宋_GB2312"/>
          <w:sz w:val="32"/>
          <w:szCs w:val="32"/>
        </w:rPr>
        <w:t>日竣工验收。目前工程结算审核已完成，正在办理财务决算；</w:t>
      </w:r>
      <w:r>
        <w:rPr>
          <w:rFonts w:hint="eastAsia" w:ascii="仿宋_GB2312" w:hAnsi="仿宋_GB2312" w:eastAsia="仿宋_GB2312" w:cs="仿宋_GB2312"/>
          <w:sz w:val="32"/>
          <w:szCs w:val="32"/>
        </w:rPr>
        <w:t>新磨村集中安置点集中供水项目</w:t>
      </w:r>
      <w:r>
        <w:rPr>
          <w:rFonts w:hint="eastAsia" w:ascii="仿宋_GB2312" w:hAnsi="华文楷体" w:eastAsia="仿宋_GB2312"/>
          <w:sz w:val="32"/>
          <w:szCs w:val="32"/>
        </w:rPr>
        <w:t>于</w:t>
      </w:r>
      <w:r>
        <w:rPr>
          <w:rFonts w:ascii="仿宋_GB2312" w:hAnsi="华文楷体" w:eastAsia="仿宋_GB2312"/>
          <w:sz w:val="32"/>
          <w:szCs w:val="32"/>
        </w:rPr>
        <w:t>2019</w:t>
      </w:r>
      <w:r>
        <w:rPr>
          <w:rFonts w:hint="eastAsia" w:ascii="仿宋_GB2312" w:hAnsi="华文楷体" w:eastAsia="仿宋_GB2312"/>
          <w:sz w:val="32"/>
          <w:szCs w:val="32"/>
        </w:rPr>
        <w:t>年</w:t>
      </w:r>
      <w:r>
        <w:rPr>
          <w:rFonts w:ascii="仿宋_GB2312" w:hAnsi="华文楷体" w:eastAsia="仿宋_GB2312"/>
          <w:sz w:val="32"/>
          <w:szCs w:val="32"/>
        </w:rPr>
        <w:t>6</w:t>
      </w:r>
      <w:r>
        <w:rPr>
          <w:rFonts w:hint="eastAsia" w:ascii="仿宋_GB2312" w:hAnsi="华文楷体" w:eastAsia="仿宋_GB2312"/>
          <w:sz w:val="32"/>
          <w:szCs w:val="32"/>
        </w:rPr>
        <w:t>月</w:t>
      </w:r>
      <w:r>
        <w:rPr>
          <w:rFonts w:ascii="仿宋_GB2312" w:hAnsi="华文楷体" w:eastAsia="仿宋_GB2312"/>
          <w:sz w:val="32"/>
          <w:szCs w:val="32"/>
        </w:rPr>
        <w:t>5</w:t>
      </w:r>
      <w:r>
        <w:rPr>
          <w:rFonts w:hint="eastAsia" w:ascii="仿宋_GB2312" w:hAnsi="华文楷体" w:eastAsia="仿宋_GB2312"/>
          <w:sz w:val="32"/>
          <w:szCs w:val="32"/>
        </w:rPr>
        <w:t>日竣工验收，目前正在进行结算审核；</w:t>
      </w:r>
      <w:r>
        <w:rPr>
          <w:rFonts w:hint="eastAsia" w:ascii="仿宋_GB2312" w:hAnsi="仿宋_GB2312" w:eastAsia="仿宋_GB2312" w:cs="仿宋_GB2312"/>
          <w:sz w:val="32"/>
          <w:szCs w:val="32"/>
        </w:rPr>
        <w:t>新磨村集中安置点垃圾转运系统项目</w:t>
      </w:r>
      <w:r>
        <w:rPr>
          <w:rFonts w:hint="eastAsia" w:ascii="仿宋_GB2312" w:hAnsi="华文楷体" w:eastAsia="仿宋_GB2312"/>
          <w:sz w:val="32"/>
          <w:szCs w:val="32"/>
        </w:rPr>
        <w:t>于</w:t>
      </w:r>
      <w:r>
        <w:rPr>
          <w:rFonts w:ascii="仿宋_GB2312" w:hAnsi="华文楷体" w:eastAsia="仿宋_GB2312"/>
          <w:sz w:val="32"/>
          <w:szCs w:val="32"/>
        </w:rPr>
        <w:t>2018</w:t>
      </w:r>
      <w:r>
        <w:rPr>
          <w:rFonts w:hint="eastAsia" w:ascii="仿宋_GB2312" w:hAnsi="华文楷体" w:eastAsia="仿宋_GB2312"/>
          <w:sz w:val="32"/>
          <w:szCs w:val="32"/>
        </w:rPr>
        <w:t>年</w:t>
      </w:r>
      <w:r>
        <w:rPr>
          <w:rFonts w:ascii="仿宋_GB2312" w:hAnsi="华文楷体" w:eastAsia="仿宋_GB2312"/>
          <w:sz w:val="32"/>
          <w:szCs w:val="32"/>
        </w:rPr>
        <w:t>3</w:t>
      </w:r>
      <w:r>
        <w:rPr>
          <w:rFonts w:hint="eastAsia" w:ascii="仿宋_GB2312" w:hAnsi="华文楷体" w:eastAsia="仿宋_GB2312"/>
          <w:sz w:val="32"/>
          <w:szCs w:val="32"/>
        </w:rPr>
        <w:t>月开工建设，</w:t>
      </w:r>
      <w:r>
        <w:rPr>
          <w:rFonts w:ascii="仿宋_GB2312" w:hAnsi="华文楷体" w:eastAsia="仿宋_GB2312"/>
          <w:sz w:val="32"/>
          <w:szCs w:val="32"/>
        </w:rPr>
        <w:t>2019</w:t>
      </w:r>
      <w:r>
        <w:rPr>
          <w:rFonts w:hint="eastAsia" w:ascii="仿宋_GB2312" w:hAnsi="华文楷体" w:eastAsia="仿宋_GB2312"/>
          <w:sz w:val="32"/>
          <w:szCs w:val="32"/>
        </w:rPr>
        <w:t>年</w:t>
      </w:r>
      <w:r>
        <w:rPr>
          <w:rFonts w:ascii="仿宋_GB2312" w:hAnsi="华文楷体" w:eastAsia="仿宋_GB2312"/>
          <w:sz w:val="32"/>
          <w:szCs w:val="32"/>
        </w:rPr>
        <w:t>7</w:t>
      </w:r>
      <w:r>
        <w:rPr>
          <w:rFonts w:hint="eastAsia" w:ascii="仿宋_GB2312" w:hAnsi="华文楷体" w:eastAsia="仿宋_GB2312"/>
          <w:sz w:val="32"/>
          <w:szCs w:val="32"/>
        </w:rPr>
        <w:t>月竣工验收，目前正在进行结算审核。</w:t>
      </w:r>
    </w:p>
    <w:p>
      <w:pPr>
        <w:spacing w:line="600" w:lineRule="exact"/>
        <w:ind w:firstLine="643" w:firstLineChars="200"/>
        <w:rPr>
          <w:rFonts w:ascii="仿宋_GB2312" w:eastAsia="仿宋_GB2312"/>
          <w:sz w:val="32"/>
          <w:szCs w:val="32"/>
        </w:rPr>
      </w:pPr>
      <w:r>
        <w:rPr>
          <w:rFonts w:hint="eastAsia" w:ascii="仿宋_GB2312" w:hAnsi="华文楷体" w:eastAsia="仿宋_GB2312"/>
          <w:b/>
          <w:bCs/>
          <w:sz w:val="32"/>
          <w:szCs w:val="32"/>
        </w:rPr>
        <w:t>9</w:t>
      </w:r>
      <w:r>
        <w:rPr>
          <w:rFonts w:hint="eastAsia" w:ascii="仿宋_GB2312" w:hAnsi="华文楷体" w:eastAsia="仿宋_GB2312"/>
          <w:sz w:val="32"/>
          <w:szCs w:val="32"/>
        </w:rPr>
        <w:t>.</w:t>
      </w:r>
      <w:r>
        <w:rPr>
          <w:rFonts w:hint="eastAsia" w:ascii="仿宋_GB2312" w:hAnsi="华文楷体" w:eastAsia="仿宋_GB2312"/>
          <w:b/>
          <w:bCs/>
          <w:sz w:val="32"/>
          <w:szCs w:val="32"/>
        </w:rPr>
        <w:t>房产管理方面：</w:t>
      </w:r>
      <w:r>
        <w:rPr>
          <w:rFonts w:hint="eastAsia" w:ascii="仿宋_GB2312" w:eastAsia="仿宋_GB2312"/>
          <w:sz w:val="32"/>
          <w:szCs w:val="32"/>
        </w:rPr>
        <w:t>房产交易过户和网上签约管理业务顺利开展。</w:t>
      </w:r>
    </w:p>
    <w:p>
      <w:pPr>
        <w:spacing w:line="560" w:lineRule="exact"/>
        <w:ind w:firstLine="640" w:firstLineChars="200"/>
        <w:rPr>
          <w:rStyle w:val="16"/>
          <w:rFonts w:ascii="黑体" w:hAnsi="黑体" w:eastAsia="黑体"/>
          <w:b w:val="0"/>
          <w:bCs w:val="0"/>
        </w:rPr>
      </w:pPr>
      <w:r>
        <w:rPr>
          <w:rStyle w:val="16"/>
          <w:rFonts w:hint="eastAsia" w:ascii="黑体" w:hAnsi="黑体" w:eastAsia="黑体"/>
          <w:b w:val="0"/>
        </w:rPr>
        <w:t>二、机构设置</w:t>
      </w:r>
      <w:bookmarkEnd w:id="14"/>
      <w:bookmarkEnd w:id="15"/>
    </w:p>
    <w:p>
      <w:pPr>
        <w:spacing w:line="600" w:lineRule="exact"/>
        <w:ind w:firstLine="640" w:firstLineChars="200"/>
        <w:rPr>
          <w:rFonts w:ascii="仿宋_GB2312" w:eastAsia="仿宋_GB2312"/>
          <w:sz w:val="32"/>
          <w:szCs w:val="32"/>
        </w:rPr>
      </w:pPr>
      <w:bookmarkStart w:id="16" w:name="_Toc15396602"/>
      <w:bookmarkStart w:id="17" w:name="_Toc15377204"/>
      <w:r>
        <w:rPr>
          <w:rFonts w:hint="eastAsia" w:ascii="仿宋_GB2312" w:eastAsia="仿宋_GB2312"/>
          <w:sz w:val="32"/>
          <w:szCs w:val="32"/>
        </w:rPr>
        <w:t>茂县住房和城乡建设局属一级预算单位，下属二级预算单位</w:t>
      </w:r>
      <w:r>
        <w:rPr>
          <w:rFonts w:ascii="仿宋_GB2312" w:eastAsia="仿宋_GB2312"/>
          <w:sz w:val="32"/>
          <w:szCs w:val="32"/>
        </w:rPr>
        <w:t>0</w:t>
      </w:r>
      <w:r>
        <w:rPr>
          <w:rFonts w:hint="eastAsia" w:ascii="仿宋_GB2312" w:eastAsia="仿宋_GB2312"/>
          <w:sz w:val="32"/>
          <w:szCs w:val="32"/>
        </w:rPr>
        <w:t>个，其中：参照公务员法管理的事业单位</w:t>
      </w:r>
      <w:r>
        <w:rPr>
          <w:rFonts w:ascii="仿宋_GB2312" w:eastAsia="仿宋_GB2312"/>
          <w:sz w:val="32"/>
          <w:szCs w:val="32"/>
        </w:rPr>
        <w:t>0</w:t>
      </w:r>
      <w:r>
        <w:rPr>
          <w:rFonts w:hint="eastAsia" w:ascii="仿宋_GB2312" w:eastAsia="仿宋_GB2312"/>
          <w:sz w:val="32"/>
          <w:szCs w:val="32"/>
        </w:rPr>
        <w:t>个</w:t>
      </w:r>
      <w:r>
        <w:rPr>
          <w:rFonts w:ascii="仿宋_GB2312" w:eastAsia="仿宋_GB2312"/>
          <w:sz w:val="32"/>
          <w:szCs w:val="32"/>
        </w:rPr>
        <w:t>,</w:t>
      </w:r>
      <w:r>
        <w:rPr>
          <w:rFonts w:hint="eastAsia" w:ascii="仿宋_GB2312" w:eastAsia="仿宋_GB2312"/>
          <w:sz w:val="32"/>
          <w:szCs w:val="32"/>
        </w:rPr>
        <w:t>其他事业单位</w:t>
      </w:r>
      <w:r>
        <w:rPr>
          <w:rFonts w:ascii="仿宋_GB2312" w:eastAsia="仿宋_GB2312"/>
          <w:sz w:val="32"/>
          <w:szCs w:val="32"/>
        </w:rPr>
        <w:t>0</w:t>
      </w:r>
      <w:r>
        <w:rPr>
          <w:rFonts w:hint="eastAsia" w:ascii="仿宋_GB2312" w:eastAsia="仿宋_GB2312"/>
          <w:sz w:val="32"/>
          <w:szCs w:val="32"/>
        </w:rPr>
        <w:t>个。茂县住房和城乡建设局总编制</w:t>
      </w:r>
      <w:r>
        <w:rPr>
          <w:rFonts w:ascii="仿宋_GB2312" w:eastAsia="仿宋_GB2312"/>
          <w:sz w:val="32"/>
          <w:szCs w:val="32"/>
        </w:rPr>
        <w:t>28</w:t>
      </w:r>
      <w:r>
        <w:rPr>
          <w:rFonts w:hint="eastAsia" w:ascii="仿宋_GB2312" w:eastAsia="仿宋_GB2312"/>
          <w:sz w:val="32"/>
          <w:szCs w:val="32"/>
        </w:rPr>
        <w:t>名，其中：行政编制</w:t>
      </w:r>
      <w:r>
        <w:rPr>
          <w:rFonts w:ascii="仿宋_GB2312" w:eastAsia="仿宋_GB2312"/>
          <w:sz w:val="32"/>
          <w:szCs w:val="32"/>
        </w:rPr>
        <w:t>8</w:t>
      </w:r>
      <w:r>
        <w:rPr>
          <w:rFonts w:hint="eastAsia" w:ascii="仿宋_GB2312" w:eastAsia="仿宋_GB2312"/>
          <w:sz w:val="32"/>
          <w:szCs w:val="32"/>
        </w:rPr>
        <w:t>名，其他事业编制</w:t>
      </w:r>
      <w:r>
        <w:rPr>
          <w:rFonts w:ascii="仿宋_GB2312" w:eastAsia="仿宋_GB2312"/>
          <w:sz w:val="32"/>
          <w:szCs w:val="32"/>
        </w:rPr>
        <w:t>20</w:t>
      </w:r>
      <w:r>
        <w:rPr>
          <w:rFonts w:hint="eastAsia" w:ascii="仿宋_GB2312" w:eastAsia="仿宋_GB2312"/>
          <w:sz w:val="32"/>
          <w:szCs w:val="32"/>
        </w:rPr>
        <w:t>名。在职人员总数</w:t>
      </w:r>
      <w:r>
        <w:rPr>
          <w:rFonts w:ascii="仿宋_GB2312" w:eastAsia="仿宋_GB2312"/>
          <w:sz w:val="32"/>
          <w:szCs w:val="32"/>
        </w:rPr>
        <w:t>2</w:t>
      </w:r>
      <w:r>
        <w:rPr>
          <w:rFonts w:hint="eastAsia" w:ascii="仿宋_GB2312" w:eastAsia="仿宋_GB2312"/>
          <w:sz w:val="32"/>
          <w:szCs w:val="32"/>
        </w:rPr>
        <w:t>7人，其中：行政人员</w:t>
      </w:r>
      <w:r>
        <w:rPr>
          <w:rFonts w:ascii="仿宋_GB2312" w:eastAsia="仿宋_GB2312"/>
          <w:sz w:val="32"/>
          <w:szCs w:val="32"/>
        </w:rPr>
        <w:t>6</w:t>
      </w:r>
      <w:r>
        <w:rPr>
          <w:rFonts w:hint="eastAsia" w:ascii="仿宋_GB2312" w:eastAsia="仿宋_GB2312"/>
          <w:sz w:val="32"/>
          <w:szCs w:val="32"/>
        </w:rPr>
        <w:t>人，行政工勤1人，其他事业人员</w:t>
      </w:r>
      <w:r>
        <w:rPr>
          <w:rFonts w:ascii="仿宋_GB2312" w:eastAsia="仿宋_GB2312"/>
          <w:sz w:val="32"/>
          <w:szCs w:val="32"/>
        </w:rPr>
        <w:t>20</w:t>
      </w:r>
      <w:r>
        <w:rPr>
          <w:rFonts w:hint="eastAsia" w:ascii="仿宋_GB2312" w:eastAsia="仿宋_GB2312"/>
          <w:sz w:val="32"/>
          <w:szCs w:val="32"/>
        </w:rPr>
        <w:t>人。离休人员</w:t>
      </w:r>
      <w:r>
        <w:rPr>
          <w:rFonts w:ascii="仿宋_GB2312" w:eastAsia="仿宋_GB2312"/>
          <w:sz w:val="32"/>
          <w:szCs w:val="32"/>
        </w:rPr>
        <w:t>0</w:t>
      </w:r>
      <w:r>
        <w:rPr>
          <w:rFonts w:hint="eastAsia" w:ascii="仿宋_GB2312" w:eastAsia="仿宋_GB2312"/>
          <w:sz w:val="32"/>
          <w:szCs w:val="32"/>
        </w:rPr>
        <w:t>人，退休人员</w:t>
      </w:r>
      <w:r>
        <w:rPr>
          <w:rFonts w:ascii="仿宋_GB2312" w:eastAsia="仿宋_GB2312"/>
          <w:sz w:val="32"/>
          <w:szCs w:val="32"/>
        </w:rPr>
        <w:t>9</w:t>
      </w:r>
      <w:r>
        <w:rPr>
          <w:rFonts w:hint="eastAsia" w:ascii="仿宋_GB2312" w:eastAsia="仿宋_GB2312"/>
          <w:sz w:val="32"/>
          <w:szCs w:val="32"/>
        </w:rPr>
        <w:t>人。</w:t>
      </w:r>
    </w:p>
    <w:p>
      <w:pPr>
        <w:adjustRightInd w:val="0"/>
        <w:snapToGrid w:val="0"/>
        <w:spacing w:line="360" w:lineRule="auto"/>
        <w:ind w:firstLine="440" w:firstLineChars="100"/>
        <w:outlineLvl w:val="0"/>
        <w:rPr>
          <w:rStyle w:val="15"/>
          <w:rFonts w:ascii="方正小标宋简体" w:hAnsi="方正小标宋简体" w:eastAsia="方正小标宋简体" w:cs="方正小标宋简体"/>
          <w:b w:val="0"/>
          <w:bCs w:val="0"/>
        </w:rPr>
      </w:pPr>
    </w:p>
    <w:p>
      <w:pPr>
        <w:adjustRightInd w:val="0"/>
        <w:snapToGrid w:val="0"/>
        <w:spacing w:line="360" w:lineRule="auto"/>
        <w:ind w:firstLine="440" w:firstLineChars="100"/>
        <w:outlineLvl w:val="0"/>
        <w:rPr>
          <w:rStyle w:val="15"/>
          <w:rFonts w:ascii="方正小标宋简体" w:hAnsi="方正小标宋简体" w:eastAsia="方正小标宋简体" w:cs="方正小标宋简体"/>
          <w:b w:val="0"/>
          <w:bCs w:val="0"/>
        </w:rPr>
      </w:pPr>
    </w:p>
    <w:p>
      <w:pPr>
        <w:adjustRightInd w:val="0"/>
        <w:snapToGrid w:val="0"/>
        <w:spacing w:line="360" w:lineRule="auto"/>
        <w:jc w:val="center"/>
        <w:outlineLvl w:val="0"/>
        <w:rPr>
          <w:rStyle w:val="15"/>
          <w:rFonts w:ascii="方正小标宋简体" w:hAnsi="方正小标宋简体" w:eastAsia="方正小标宋简体" w:cs="方正小标宋简体"/>
        </w:rPr>
      </w:pPr>
    </w:p>
    <w:p>
      <w:pPr>
        <w:adjustRightInd w:val="0"/>
        <w:snapToGrid w:val="0"/>
        <w:spacing w:line="360" w:lineRule="auto"/>
        <w:jc w:val="center"/>
        <w:outlineLvl w:val="0"/>
        <w:rPr>
          <w:rStyle w:val="15"/>
          <w:rFonts w:ascii="方正小标宋简体" w:hAnsi="方正小标宋简体" w:eastAsia="方正小标宋简体" w:cs="方正小标宋简体"/>
        </w:rPr>
      </w:pPr>
    </w:p>
    <w:p>
      <w:pPr>
        <w:adjustRightInd w:val="0"/>
        <w:snapToGrid w:val="0"/>
        <w:spacing w:line="360" w:lineRule="auto"/>
        <w:jc w:val="center"/>
        <w:outlineLvl w:val="0"/>
        <w:rPr>
          <w:rStyle w:val="15"/>
          <w:rFonts w:ascii="方正小标宋简体" w:hAnsi="方正小标宋简体" w:eastAsia="方正小标宋简体" w:cs="方正小标宋简体"/>
        </w:rPr>
      </w:pPr>
    </w:p>
    <w:p>
      <w:pPr>
        <w:adjustRightInd w:val="0"/>
        <w:snapToGrid w:val="0"/>
        <w:spacing w:line="360" w:lineRule="auto"/>
        <w:jc w:val="center"/>
        <w:outlineLvl w:val="0"/>
        <w:rPr>
          <w:rStyle w:val="15"/>
          <w:rFonts w:ascii="方正小标宋简体" w:hAnsi="方正小标宋简体" w:eastAsia="方正小标宋简体" w:cs="方正小标宋简体"/>
        </w:rPr>
      </w:pPr>
    </w:p>
    <w:p>
      <w:pPr>
        <w:adjustRightInd w:val="0"/>
        <w:snapToGrid w:val="0"/>
        <w:spacing w:line="360" w:lineRule="auto"/>
        <w:jc w:val="center"/>
        <w:outlineLvl w:val="0"/>
        <w:rPr>
          <w:rStyle w:val="15"/>
          <w:rFonts w:ascii="方正小标宋简体" w:hAnsi="方正小标宋简体" w:eastAsia="方正小标宋简体" w:cs="方正小标宋简体"/>
        </w:rPr>
      </w:pPr>
    </w:p>
    <w:p>
      <w:pPr>
        <w:adjustRightInd w:val="0"/>
        <w:snapToGrid w:val="0"/>
        <w:spacing w:line="360" w:lineRule="auto"/>
        <w:jc w:val="center"/>
        <w:outlineLvl w:val="0"/>
        <w:rPr>
          <w:rStyle w:val="15"/>
          <w:rFonts w:ascii="方正小标宋简体" w:hAnsi="方正小标宋简体" w:eastAsia="方正小标宋简体" w:cs="方正小标宋简体"/>
        </w:rPr>
      </w:pPr>
    </w:p>
    <w:p>
      <w:pPr>
        <w:adjustRightInd w:val="0"/>
        <w:snapToGrid w:val="0"/>
        <w:spacing w:line="360" w:lineRule="auto"/>
        <w:jc w:val="center"/>
        <w:outlineLvl w:val="0"/>
        <w:rPr>
          <w:rStyle w:val="15"/>
          <w:rFonts w:ascii="方正小标宋简体" w:hAnsi="方正小标宋简体" w:eastAsia="方正小标宋简体" w:cs="方正小标宋简体"/>
        </w:rPr>
      </w:pPr>
    </w:p>
    <w:p>
      <w:pPr>
        <w:adjustRightInd w:val="0"/>
        <w:snapToGrid w:val="0"/>
        <w:spacing w:line="360" w:lineRule="auto"/>
        <w:jc w:val="center"/>
        <w:outlineLvl w:val="0"/>
        <w:rPr>
          <w:rStyle w:val="15"/>
          <w:rFonts w:ascii="方正小标宋简体" w:hAnsi="方正小标宋简体" w:eastAsia="方正小标宋简体" w:cs="方正小标宋简体"/>
        </w:rPr>
      </w:pPr>
    </w:p>
    <w:p>
      <w:pPr>
        <w:adjustRightInd w:val="0"/>
        <w:snapToGrid w:val="0"/>
        <w:spacing w:line="360" w:lineRule="auto"/>
        <w:jc w:val="center"/>
        <w:outlineLvl w:val="0"/>
        <w:rPr>
          <w:rStyle w:val="15"/>
          <w:rFonts w:ascii="方正小标宋简体" w:hAnsi="方正小标宋简体" w:eastAsia="方正小标宋简体" w:cs="方正小标宋简体"/>
        </w:rPr>
      </w:pPr>
    </w:p>
    <w:p>
      <w:pPr>
        <w:adjustRightInd w:val="0"/>
        <w:snapToGrid w:val="0"/>
        <w:spacing w:line="360" w:lineRule="auto"/>
        <w:jc w:val="center"/>
        <w:outlineLvl w:val="0"/>
        <w:rPr>
          <w:rStyle w:val="15"/>
          <w:rFonts w:ascii="方正小标宋简体" w:hAnsi="方正小标宋简体" w:eastAsia="方正小标宋简体" w:cs="方正小标宋简体"/>
          <w:b w:val="0"/>
          <w:bCs w:val="0"/>
        </w:rPr>
      </w:pPr>
      <w:r>
        <w:rPr>
          <w:rStyle w:val="15"/>
          <w:rFonts w:hint="eastAsia" w:ascii="方正小标宋简体" w:hAnsi="方正小标宋简体" w:eastAsia="方正小标宋简体" w:cs="方正小标宋简体"/>
        </w:rPr>
        <w:t>第二部分2019年度部门决算情况说明</w:t>
      </w:r>
      <w:bookmarkEnd w:id="16"/>
      <w:bookmarkEnd w:id="17"/>
    </w:p>
    <w:p>
      <w:pPr>
        <w:pStyle w:val="17"/>
        <w:numPr>
          <w:ilvl w:val="0"/>
          <w:numId w:val="1"/>
        </w:numPr>
        <w:spacing w:line="600" w:lineRule="exact"/>
        <w:ind w:firstLineChars="0"/>
        <w:outlineLvl w:val="1"/>
        <w:rPr>
          <w:rStyle w:val="16"/>
          <w:rFonts w:ascii="黑体" w:hAnsi="黑体" w:eastAsia="黑体"/>
          <w:b w:val="0"/>
        </w:rPr>
      </w:pPr>
      <w:bookmarkStart w:id="18" w:name="_Toc15396603"/>
      <w:bookmarkStart w:id="19" w:name="_Toc15377205"/>
      <w:r>
        <w:rPr>
          <w:rFonts w:hint="eastAsia" w:ascii="黑体" w:hAnsi="黑体" w:eastAsia="黑体"/>
          <w:b/>
          <w:color w:val="000000"/>
          <w:sz w:val="32"/>
          <w:szCs w:val="32"/>
        </w:rPr>
        <w:t>收</w:t>
      </w:r>
      <w:r>
        <w:rPr>
          <w:rStyle w:val="16"/>
          <w:rFonts w:hint="eastAsia" w:ascii="黑体" w:hAnsi="黑体" w:eastAsia="黑体"/>
          <w:b w:val="0"/>
        </w:rPr>
        <w:t>入支出决算总体情况说明</w:t>
      </w:r>
      <w:bookmarkEnd w:id="18"/>
      <w:bookmarkEnd w:id="19"/>
    </w:p>
    <w:p>
      <w:pPr>
        <w:spacing w:line="576" w:lineRule="exact"/>
        <w:ind w:firstLine="480" w:firstLineChars="1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2019年度收、支总计</w:t>
      </w:r>
      <w:r>
        <w:rPr>
          <w:rFonts w:hint="eastAsia" w:ascii="仿宋_GB2312" w:hAnsi="仿宋_GB2312" w:eastAsia="仿宋_GB2312" w:cs="仿宋_GB2312"/>
          <w:color w:val="000000"/>
          <w:sz w:val="32"/>
          <w:szCs w:val="32"/>
          <w:lang w:val="en-US" w:eastAsia="zh-CN"/>
        </w:rPr>
        <w:t>10836.03</w:t>
      </w:r>
      <w:r>
        <w:rPr>
          <w:rFonts w:hint="eastAsia" w:ascii="仿宋_GB2312" w:hAnsi="仿宋_GB2312" w:eastAsia="仿宋_GB2312" w:cs="仿宋_GB2312"/>
          <w:color w:val="000000"/>
          <w:sz w:val="32"/>
          <w:szCs w:val="32"/>
        </w:rPr>
        <w:t>万元。与2018年相比，收、支总计</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2665.64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下降</w:t>
      </w:r>
      <w:r>
        <w:rPr>
          <w:rFonts w:hint="eastAsia" w:ascii="仿宋_GB2312" w:hAnsi="仿宋_GB2312" w:eastAsia="仿宋_GB2312" w:cs="仿宋_GB2312"/>
          <w:color w:val="000000"/>
          <w:sz w:val="32"/>
          <w:szCs w:val="32"/>
          <w:lang w:val="en-US" w:eastAsia="zh-CN"/>
        </w:rPr>
        <w:t>19.74</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项目减少</w:t>
      </w:r>
      <w:r>
        <w:rPr>
          <w:rFonts w:hint="eastAsia" w:ascii="仿宋_GB2312" w:hAnsi="仿宋_GB2312" w:eastAsia="仿宋_GB2312" w:cs="仿宋_GB2312"/>
          <w:color w:val="000000"/>
          <w:sz w:val="32"/>
          <w:szCs w:val="32"/>
        </w:rPr>
        <w:t>。</w:t>
      </w:r>
    </w:p>
    <w:p>
      <w:pPr>
        <w:spacing w:line="600" w:lineRule="exact"/>
        <w:rPr>
          <w:rFonts w:ascii="仿宋" w:hAnsi="仿宋" w:eastAsia="仿宋"/>
          <w:b/>
          <w:bCs/>
          <w:color w:val="000000" w:themeColor="text1"/>
          <w:sz w:val="32"/>
          <w:szCs w:val="32"/>
        </w:rPr>
      </w:pPr>
      <w:r>
        <w:rPr>
          <w:rFonts w:hint="eastAsia" w:ascii="仿宋" w:hAnsi="仿宋" w:eastAsia="仿宋"/>
          <w:b/>
          <w:bCs/>
          <w:color w:val="000000" w:themeColor="text1"/>
          <w:sz w:val="32"/>
          <w:szCs w:val="32"/>
        </w:rPr>
        <w:t>（图</w:t>
      </w:r>
      <w:r>
        <w:rPr>
          <w:rFonts w:ascii="仿宋" w:hAnsi="仿宋" w:eastAsia="仿宋"/>
          <w:b/>
          <w:bCs/>
          <w:color w:val="000000" w:themeColor="text1"/>
          <w:sz w:val="32"/>
          <w:szCs w:val="32"/>
        </w:rPr>
        <w:t>1</w:t>
      </w:r>
      <w:r>
        <w:rPr>
          <w:rFonts w:hint="eastAsia" w:ascii="仿宋" w:hAnsi="仿宋" w:eastAsia="仿宋"/>
          <w:b/>
          <w:bCs/>
          <w:color w:val="000000" w:themeColor="text1"/>
          <w:sz w:val="32"/>
          <w:szCs w:val="32"/>
        </w:rPr>
        <w:t>:收、支决算总计变动情况图（单位:万元）</w:t>
      </w:r>
    </w:p>
    <w:p>
      <w:pPr>
        <w:spacing w:line="600" w:lineRule="exact"/>
        <w:ind w:firstLine="567" w:firstLineChars="270"/>
        <w:rPr>
          <w:rFonts w:ascii="仿宋_GB2312" w:hAnsi="仿宋_GB2312" w:eastAsia="仿宋_GB2312" w:cs="仿宋_GB2312"/>
          <w:b/>
          <w:color w:val="000000"/>
          <w:sz w:val="32"/>
          <w:szCs w:val="32"/>
        </w:rPr>
      </w:pPr>
      <w:r>
        <w:drawing>
          <wp:anchor distT="0" distB="0" distL="0" distR="0" simplePos="0" relativeHeight="251663360" behindDoc="0" locked="0" layoutInCell="1" allowOverlap="1">
            <wp:simplePos x="0" y="0"/>
            <wp:positionH relativeFrom="column">
              <wp:posOffset>189865</wp:posOffset>
            </wp:positionH>
            <wp:positionV relativeFrom="paragraph">
              <wp:posOffset>116205</wp:posOffset>
            </wp:positionV>
            <wp:extent cx="5006975" cy="2350135"/>
            <wp:effectExtent l="12192" t="6096" r="3937" b="3556"/>
            <wp:wrapSquare wrapText="bothSides"/>
            <wp:docPr id="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bookmarkStart w:id="20" w:name="_Toc15396604"/>
      <w:bookmarkStart w:id="21" w:name="_Toc15377206"/>
      <w:r>
        <w:rPr>
          <w:rFonts w:hint="eastAsia" w:ascii="黑体" w:hAnsi="黑体" w:eastAsia="黑体" w:cs="仿宋_GB2312"/>
          <w:bCs/>
          <w:color w:val="000000"/>
          <w:sz w:val="32"/>
          <w:szCs w:val="32"/>
        </w:rPr>
        <w:t>二、收</w:t>
      </w:r>
      <w:r>
        <w:rPr>
          <w:rStyle w:val="16"/>
          <w:rFonts w:hint="eastAsia" w:ascii="黑体" w:hAnsi="黑体" w:eastAsia="黑体" w:cs="仿宋_GB2312"/>
          <w:b w:val="0"/>
        </w:rPr>
        <w:t>入决算情况说明</w:t>
      </w:r>
      <w:bookmarkEnd w:id="20"/>
      <w:bookmarkEnd w:id="21"/>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2019年本年收入合计3073.45万元，其中：一般公共预算财政拨款收入2463.86万元，占97%；政府性基金预算财政拨款收入609.59万元，占</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3%；国有资本经营预算财政拨款收入0万元;事业收入0万元;经营收入0万元;附属单位上缴收入0万元;其他收入0万</w:t>
      </w:r>
    </w:p>
    <w:p>
      <w:pPr>
        <w:spacing w:line="600" w:lineRule="exact"/>
        <w:ind w:firstLine="643" w:firstLineChars="200"/>
        <w:rPr>
          <w:rFonts w:ascii="仿宋" w:hAnsi="仿宋" w:eastAsia="仿宋"/>
          <w:b/>
          <w:color w:val="000000" w:themeColor="text1"/>
          <w:sz w:val="32"/>
          <w:szCs w:val="32"/>
        </w:rPr>
      </w:pPr>
      <w:r>
        <w:rPr>
          <w:rFonts w:hint="eastAsia" w:ascii="仿宋" w:hAnsi="仿宋" w:eastAsia="仿宋"/>
          <w:b/>
          <w:color w:val="000000" w:themeColor="text1"/>
          <w:sz w:val="32"/>
          <w:szCs w:val="32"/>
        </w:rPr>
        <w:t>( 图2：收入决算结构图（单位:万元）</w:t>
      </w:r>
    </w:p>
    <w:p>
      <w:pPr>
        <w:spacing w:line="600" w:lineRule="exact"/>
        <w:ind w:firstLine="640" w:firstLineChars="200"/>
        <w:rPr>
          <w:rStyle w:val="16"/>
          <w:rFonts w:ascii="黑体" w:hAnsi="黑体" w:eastAsia="黑体"/>
          <w:b w:val="0"/>
        </w:rPr>
      </w:pPr>
      <w:bookmarkStart w:id="22" w:name="_Toc15396605"/>
      <w:bookmarkStart w:id="23" w:name="_Toc15377207"/>
      <w:r>
        <w:rPr>
          <w:rFonts w:hint="eastAsia" w:ascii="仿宋" w:hAnsi="仿宋" w:eastAsia="仿宋"/>
          <w:color w:val="000000" w:themeColor="text1"/>
          <w:sz w:val="32"/>
          <w:szCs w:val="32"/>
        </w:rPr>
        <w:drawing>
          <wp:anchor distT="0" distB="0" distL="114300" distR="114300" simplePos="0" relativeHeight="251661312" behindDoc="0" locked="0" layoutInCell="1" allowOverlap="1">
            <wp:simplePos x="0" y="0"/>
            <wp:positionH relativeFrom="column">
              <wp:posOffset>182880</wp:posOffset>
            </wp:positionH>
            <wp:positionV relativeFrom="paragraph">
              <wp:posOffset>34290</wp:posOffset>
            </wp:positionV>
            <wp:extent cx="4583430" cy="2743200"/>
            <wp:effectExtent l="12192" t="6096" r="7493" b="635"/>
            <wp:wrapTopAndBottom/>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olor w:val="000000"/>
          <w:sz w:val="32"/>
          <w:szCs w:val="32"/>
        </w:rPr>
        <w:t>三、支</w:t>
      </w:r>
      <w:r>
        <w:rPr>
          <w:rStyle w:val="16"/>
          <w:rFonts w:hint="eastAsia" w:ascii="黑体" w:hAnsi="黑体" w:eastAsia="黑体"/>
        </w:rPr>
        <w:t>出决算情况说明</w:t>
      </w:r>
      <w:bookmarkEnd w:id="22"/>
      <w:bookmarkEnd w:id="23"/>
    </w:p>
    <w:p>
      <w:pPr>
        <w:spacing w:line="576" w:lineRule="exact"/>
        <w:ind w:firstLine="640" w:firstLineChars="200"/>
        <w:rPr>
          <w:rFonts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2019年本年支出合计6986.66万元,其中：基本支出538.41万元，占4%；项目支出6448.25万元,占96%;上缴上级支出0万元;经营支出0万元;对附属单位补助支出0万元。</w:t>
      </w:r>
    </w:p>
    <w:p>
      <w:pPr>
        <w:spacing w:line="600" w:lineRule="exact"/>
        <w:ind w:firstLine="1606" w:firstLineChars="500"/>
        <w:rPr>
          <w:rFonts w:ascii="仿宋_GB2312" w:hAnsi="仿宋_GB2312" w:eastAsia="仿宋_GB2312" w:cs="仿宋_GB2312"/>
          <w:b/>
          <w:bCs/>
          <w:color w:val="000000" w:themeColor="text1"/>
          <w:sz w:val="32"/>
          <w:szCs w:val="32"/>
        </w:rPr>
      </w:pPr>
      <w:r>
        <w:rPr>
          <w:rFonts w:hint="eastAsia" w:ascii="仿宋_GB2312" w:hAnsi="仿宋_GB2312" w:eastAsia="仿宋_GB2312" w:cs="仿宋_GB2312"/>
          <w:b/>
          <w:bCs/>
          <w:color w:val="000000" w:themeColor="text1"/>
          <w:sz w:val="32"/>
          <w:szCs w:val="32"/>
        </w:rPr>
        <w:t>（图3：支出决算结构图</w:t>
      </w:r>
      <w:r>
        <w:rPr>
          <w:rFonts w:hint="eastAsia" w:ascii="仿宋" w:hAnsi="仿宋" w:eastAsia="仿宋"/>
          <w:b/>
          <w:bCs/>
          <w:color w:val="000000" w:themeColor="text1"/>
          <w:sz w:val="32"/>
          <w:szCs w:val="32"/>
        </w:rPr>
        <w:t>（单位:万元</w:t>
      </w:r>
      <w:r>
        <w:rPr>
          <w:rFonts w:hint="eastAsia" w:ascii="仿宋_GB2312" w:hAnsi="仿宋_GB2312" w:eastAsia="仿宋_GB2312" w:cs="仿宋_GB2312"/>
          <w:b/>
          <w:bCs/>
          <w:color w:val="000000" w:themeColor="text1"/>
          <w:sz w:val="32"/>
          <w:szCs w:val="32"/>
        </w:rPr>
        <w:t>）</w:t>
      </w:r>
    </w:p>
    <w:p>
      <w:pPr>
        <w:spacing w:line="600" w:lineRule="exact"/>
        <w:ind w:firstLine="1260" w:firstLineChars="600"/>
        <w:rPr>
          <w:rFonts w:ascii="仿宋_GB2312" w:hAnsi="仿宋_GB2312" w:eastAsia="仿宋_GB2312" w:cs="仿宋_GB2312"/>
          <w:color w:val="000000" w:themeColor="text1"/>
          <w:sz w:val="32"/>
          <w:szCs w:val="32"/>
        </w:rPr>
      </w:pPr>
      <w:r>
        <w:drawing>
          <wp:anchor distT="0" distB="0" distL="114300" distR="114300" simplePos="0" relativeHeight="251659264" behindDoc="1" locked="0" layoutInCell="1" allowOverlap="1">
            <wp:simplePos x="0" y="0"/>
            <wp:positionH relativeFrom="column">
              <wp:posOffset>149225</wp:posOffset>
            </wp:positionH>
            <wp:positionV relativeFrom="paragraph">
              <wp:posOffset>145415</wp:posOffset>
            </wp:positionV>
            <wp:extent cx="4572635" cy="2743200"/>
            <wp:effectExtent l="12192" t="6096" r="5461" b="0"/>
            <wp:wrapTight wrapText="bothSides">
              <wp:wrapPolygon>
                <wp:start x="-90" y="0"/>
                <wp:lineTo x="-90" y="21600"/>
                <wp:lineTo x="21687" y="21600"/>
                <wp:lineTo x="21687" y="0"/>
                <wp:lineTo x="-90" y="0"/>
              </wp:wrapPolygon>
            </wp:wrapTight>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17"/>
        <w:numPr>
          <w:ilvl w:val="0"/>
          <w:numId w:val="2"/>
        </w:numPr>
        <w:spacing w:line="600" w:lineRule="exact"/>
        <w:ind w:firstLineChars="0"/>
        <w:rPr>
          <w:rStyle w:val="16"/>
          <w:rFonts w:ascii="黑体" w:hAnsi="黑体" w:eastAsia="黑体"/>
          <w:b w:val="0"/>
        </w:rPr>
      </w:pPr>
      <w:bookmarkStart w:id="24" w:name="_Toc15396606"/>
      <w:bookmarkStart w:id="25" w:name="_Toc15377208"/>
      <w:r>
        <w:rPr>
          <w:rFonts w:hint="eastAsia" w:ascii="黑体" w:hAnsi="黑体" w:eastAsia="黑体"/>
          <w:color w:val="000000"/>
          <w:sz w:val="32"/>
          <w:szCs w:val="32"/>
        </w:rPr>
        <w:t>财</w:t>
      </w:r>
      <w:r>
        <w:rPr>
          <w:rStyle w:val="16"/>
          <w:rFonts w:hint="eastAsia" w:ascii="黑体" w:hAnsi="黑体" w:eastAsia="黑体"/>
        </w:rPr>
        <w:t>政拨款收入支出决算总体情况说明</w:t>
      </w:r>
      <w:bookmarkEnd w:id="24"/>
      <w:bookmarkEnd w:id="25"/>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2019年财政拨款收、支总计</w:t>
      </w:r>
      <w:r>
        <w:rPr>
          <w:rFonts w:hint="eastAsia" w:ascii="仿宋_GB2312" w:hAnsi="仿宋_GB2312" w:eastAsia="仿宋_GB2312" w:cs="仿宋_GB2312"/>
          <w:color w:val="000000"/>
          <w:sz w:val="32"/>
          <w:szCs w:val="32"/>
          <w:lang w:val="en-US" w:eastAsia="zh-CN"/>
        </w:rPr>
        <w:t>10836.03</w:t>
      </w:r>
      <w:r>
        <w:rPr>
          <w:rFonts w:hint="eastAsia" w:ascii="仿宋_GB2312" w:hAnsi="仿宋_GB2312" w:eastAsia="仿宋_GB2312" w:cs="仿宋_GB2312"/>
          <w:color w:val="000000"/>
          <w:sz w:val="32"/>
          <w:szCs w:val="32"/>
        </w:rPr>
        <w:t>万元。与2018年相比,财政拨款收、支总计各减少</w:t>
      </w:r>
      <w:r>
        <w:rPr>
          <w:rFonts w:hint="eastAsia" w:ascii="仿宋_GB2312" w:hAnsi="仿宋_GB2312" w:eastAsia="仿宋_GB2312" w:cs="仿宋_GB2312"/>
          <w:color w:val="000000"/>
          <w:sz w:val="32"/>
          <w:szCs w:val="32"/>
          <w:lang w:val="en-US" w:eastAsia="zh-CN"/>
        </w:rPr>
        <w:t>2665.64</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19.74</w:t>
      </w:r>
      <w:r>
        <w:rPr>
          <w:rFonts w:hint="eastAsia" w:ascii="仿宋_GB2312" w:hAnsi="仿宋_GB2312" w:eastAsia="仿宋_GB2312" w:cs="仿宋_GB2312"/>
          <w:color w:val="000000"/>
          <w:sz w:val="32"/>
          <w:szCs w:val="32"/>
        </w:rPr>
        <w:t>%。主要变动原因是2019年机构改革项目减少，人员减少。</w:t>
      </w:r>
    </w:p>
    <w:p>
      <w:pPr>
        <w:spacing w:line="600" w:lineRule="exact"/>
        <w:rPr>
          <w:rFonts w:ascii="仿宋" w:hAnsi="仿宋" w:eastAsia="仿宋"/>
          <w:b/>
          <w:bCs/>
          <w:color w:val="000000" w:themeColor="text1"/>
          <w:sz w:val="32"/>
          <w:szCs w:val="32"/>
        </w:rPr>
      </w:pPr>
      <w:r>
        <w:rPr>
          <w:rFonts w:hint="eastAsia" w:ascii="仿宋" w:hAnsi="仿宋" w:eastAsia="仿宋"/>
          <w:b/>
          <w:bCs/>
          <w:color w:val="000000" w:themeColor="text1"/>
          <w:sz w:val="32"/>
          <w:szCs w:val="32"/>
        </w:rPr>
        <w:t>（图4:财政拨款收、支决算总计变动情况（单位:万元）</w:t>
      </w:r>
    </w:p>
    <w:p>
      <w:pPr>
        <w:spacing w:line="600" w:lineRule="exact"/>
        <w:ind w:firstLine="420" w:firstLineChars="200"/>
        <w:rPr>
          <w:rFonts w:ascii="黑体" w:hAnsi="黑体" w:eastAsia="黑体"/>
          <w:color w:val="000000"/>
          <w:sz w:val="32"/>
          <w:szCs w:val="32"/>
        </w:rPr>
      </w:pPr>
      <w:bookmarkStart w:id="26" w:name="_Toc15396607"/>
      <w:bookmarkStart w:id="27" w:name="_Toc15377209"/>
      <w:r>
        <w:drawing>
          <wp:anchor distT="0" distB="0" distL="0" distR="0" simplePos="0" relativeHeight="251662336" behindDoc="0" locked="0" layoutInCell="1" allowOverlap="1">
            <wp:simplePos x="0" y="0"/>
            <wp:positionH relativeFrom="column">
              <wp:posOffset>245110</wp:posOffset>
            </wp:positionH>
            <wp:positionV relativeFrom="paragraph">
              <wp:posOffset>64770</wp:posOffset>
            </wp:positionV>
            <wp:extent cx="4579620" cy="2766060"/>
            <wp:effectExtent l="12192" t="6096" r="5207" b="2159"/>
            <wp:wrapSquare wrapText="bothSides"/>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黑体" w:hAnsi="黑体" w:eastAsia="黑体"/>
          <w:color w:val="000000"/>
          <w:sz w:val="32"/>
          <w:szCs w:val="32"/>
        </w:rPr>
      </w:pPr>
    </w:p>
    <w:p>
      <w:pPr>
        <w:spacing w:line="600" w:lineRule="exact"/>
        <w:ind w:firstLine="640" w:firstLineChars="200"/>
        <w:rPr>
          <w:rFonts w:ascii="黑体" w:hAnsi="黑体" w:eastAsia="黑体"/>
          <w:color w:val="000000"/>
          <w:sz w:val="32"/>
          <w:szCs w:val="32"/>
        </w:rPr>
      </w:pPr>
    </w:p>
    <w:p>
      <w:pPr>
        <w:spacing w:line="600" w:lineRule="exact"/>
        <w:ind w:firstLine="640" w:firstLineChars="200"/>
        <w:rPr>
          <w:rFonts w:ascii="黑体" w:hAnsi="黑体" w:eastAsia="黑体"/>
          <w:color w:val="000000"/>
          <w:sz w:val="32"/>
          <w:szCs w:val="32"/>
        </w:rPr>
      </w:pPr>
    </w:p>
    <w:p>
      <w:pPr>
        <w:spacing w:line="600" w:lineRule="exact"/>
        <w:ind w:firstLine="640" w:firstLineChars="200"/>
        <w:rPr>
          <w:rFonts w:ascii="黑体" w:hAnsi="黑体" w:eastAsia="黑体"/>
          <w:color w:val="000000"/>
          <w:sz w:val="32"/>
          <w:szCs w:val="32"/>
        </w:rPr>
      </w:pPr>
    </w:p>
    <w:p>
      <w:pPr>
        <w:spacing w:line="600" w:lineRule="exact"/>
        <w:ind w:firstLine="640" w:firstLineChars="200"/>
        <w:rPr>
          <w:rFonts w:ascii="黑体" w:hAnsi="黑体" w:eastAsia="黑体"/>
          <w:color w:val="000000"/>
          <w:sz w:val="32"/>
          <w:szCs w:val="32"/>
        </w:rPr>
      </w:pPr>
    </w:p>
    <w:p>
      <w:pPr>
        <w:spacing w:line="600" w:lineRule="exact"/>
        <w:ind w:firstLine="640" w:firstLineChars="200"/>
        <w:rPr>
          <w:rFonts w:ascii="黑体" w:hAnsi="黑体" w:eastAsia="黑体"/>
          <w:color w:val="000000"/>
          <w:sz w:val="32"/>
          <w:szCs w:val="32"/>
        </w:rPr>
      </w:pPr>
    </w:p>
    <w:p>
      <w:pPr>
        <w:spacing w:line="600" w:lineRule="exact"/>
        <w:ind w:firstLine="640" w:firstLineChars="200"/>
        <w:rPr>
          <w:rFonts w:ascii="黑体" w:hAnsi="黑体" w:eastAsia="黑体"/>
          <w:color w:val="000000"/>
          <w:sz w:val="32"/>
          <w:szCs w:val="32"/>
        </w:rPr>
      </w:pPr>
    </w:p>
    <w:p>
      <w:pPr>
        <w:spacing w:line="600" w:lineRule="exact"/>
        <w:ind w:firstLine="640" w:firstLineChars="200"/>
        <w:rPr>
          <w:rFonts w:ascii="仿宋" w:hAnsi="仿宋" w:eastAsia="仿宋"/>
          <w:bCs/>
          <w:color w:val="000000"/>
          <w:sz w:val="32"/>
          <w:szCs w:val="32"/>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6"/>
          <w:rFonts w:hint="eastAsia" w:ascii="黑体" w:hAnsi="黑体" w:eastAsia="黑体"/>
        </w:rPr>
        <w:t>般公共预算财政拨款支出决算情况说明</w:t>
      </w:r>
      <w:bookmarkEnd w:id="26"/>
      <w:bookmarkEnd w:id="27"/>
      <w:bookmarkStart w:id="28" w:name="_Toc15377210"/>
    </w:p>
    <w:p>
      <w:pPr>
        <w:spacing w:line="600" w:lineRule="exact"/>
        <w:ind w:firstLine="472" w:firstLineChars="147"/>
        <w:outlineLvl w:val="1"/>
        <w:rPr>
          <w:rFonts w:ascii="楷体_GB2312" w:hAnsi="仿宋" w:eastAsia="楷体_GB2312"/>
          <w:b/>
          <w:color w:val="000000"/>
          <w:sz w:val="32"/>
          <w:szCs w:val="32"/>
        </w:rPr>
      </w:pPr>
      <w:r>
        <w:rPr>
          <w:rFonts w:hint="eastAsia" w:ascii="楷体_GB2312" w:hAnsi="仿宋" w:eastAsia="楷体_GB2312"/>
          <w:b/>
          <w:color w:val="000000"/>
          <w:sz w:val="32"/>
          <w:szCs w:val="32"/>
        </w:rPr>
        <w:t>（一）</w:t>
      </w:r>
      <w:r>
        <w:rPr>
          <w:rFonts w:hint="eastAsia" w:ascii="楷体_GB2312" w:hAnsi="楷体_GB2312" w:eastAsia="楷体_GB2312" w:cs="楷体_GB2312"/>
          <w:b/>
          <w:color w:val="000000"/>
          <w:sz w:val="32"/>
          <w:szCs w:val="32"/>
        </w:rPr>
        <w:t>一般公共预算财政拨款支出决算总体情况</w:t>
      </w:r>
      <w:bookmarkEnd w:id="28"/>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2019年一般公共预算财政拨款支出6</w:t>
      </w:r>
      <w:r>
        <w:rPr>
          <w:rFonts w:hint="eastAsia" w:ascii="仿宋_GB2312" w:hAnsi="仿宋_GB2312" w:eastAsia="仿宋_GB2312" w:cs="仿宋_GB2312"/>
          <w:color w:val="000000"/>
          <w:sz w:val="32"/>
          <w:szCs w:val="32"/>
          <w:lang w:val="en-US" w:eastAsia="zh-CN"/>
        </w:rPr>
        <w:t>986.66</w:t>
      </w:r>
      <w:r>
        <w:rPr>
          <w:rFonts w:hint="eastAsia" w:ascii="仿宋_GB2312" w:hAnsi="仿宋_GB2312" w:eastAsia="仿宋_GB2312" w:cs="仿宋_GB2312"/>
          <w:color w:val="000000"/>
          <w:sz w:val="32"/>
          <w:szCs w:val="32"/>
        </w:rPr>
        <w:t>万元，占本年支出合计的93%。与2018年相比，一般公共预算财政拨款增加</w:t>
      </w:r>
      <w:r>
        <w:rPr>
          <w:rFonts w:hint="eastAsia" w:ascii="仿宋_GB2312" w:hAnsi="仿宋_GB2312" w:eastAsia="仿宋_GB2312" w:cs="仿宋_GB2312"/>
          <w:color w:val="000000"/>
          <w:sz w:val="32"/>
          <w:szCs w:val="32"/>
          <w:lang w:val="en-US" w:eastAsia="zh-CN"/>
        </w:rPr>
        <w:t>891.73</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14.63</w:t>
      </w:r>
      <w:r>
        <w:rPr>
          <w:rFonts w:hint="eastAsia" w:ascii="仿宋_GB2312" w:hAnsi="仿宋_GB2312" w:eastAsia="仿宋_GB2312" w:cs="仿宋_GB2312"/>
          <w:color w:val="000000"/>
          <w:sz w:val="32"/>
          <w:szCs w:val="32"/>
        </w:rPr>
        <w:t>%。主要变动原因是财返增加。</w:t>
      </w:r>
    </w:p>
    <w:p>
      <w:pPr>
        <w:spacing w:line="600" w:lineRule="exact"/>
        <w:jc w:val="left"/>
        <w:rPr>
          <w:rFonts w:ascii="仿宋" w:hAnsi="仿宋" w:eastAsia="仿宋"/>
          <w:b/>
          <w:bCs/>
          <w:color w:val="000000" w:themeColor="text1"/>
          <w:sz w:val="30"/>
          <w:szCs w:val="30"/>
        </w:rPr>
      </w:pPr>
      <w:bookmarkStart w:id="62" w:name="_GoBack"/>
      <w:r>
        <w:rPr>
          <w:rFonts w:hint="eastAsia" w:ascii="仿宋_GB2312" w:hAnsi="仿宋_GB2312" w:eastAsia="仿宋_GB2312" w:cs="仿宋_GB2312"/>
          <w:b/>
          <w:bCs/>
          <w:color w:val="000000" w:themeColor="text1"/>
          <w:sz w:val="30"/>
          <w:szCs w:val="30"/>
        </w:rPr>
        <w:drawing>
          <wp:anchor distT="0" distB="0" distL="114300" distR="114300" simplePos="0" relativeHeight="251665408" behindDoc="0" locked="0" layoutInCell="1" allowOverlap="1">
            <wp:simplePos x="0" y="0"/>
            <wp:positionH relativeFrom="column">
              <wp:posOffset>137160</wp:posOffset>
            </wp:positionH>
            <wp:positionV relativeFrom="paragraph">
              <wp:posOffset>589915</wp:posOffset>
            </wp:positionV>
            <wp:extent cx="5172710" cy="2527300"/>
            <wp:effectExtent l="12827" t="6096" r="8890" b="2540"/>
            <wp:wrapTopAndBottom/>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End w:id="62"/>
      <w:r>
        <w:rPr>
          <w:rFonts w:hint="eastAsia" w:ascii="仿宋_GB2312" w:hAnsi="仿宋_GB2312" w:eastAsia="仿宋_GB2312" w:cs="仿宋_GB2312"/>
          <w:b/>
          <w:bCs/>
          <w:color w:val="000000" w:themeColor="text1"/>
          <w:sz w:val="30"/>
          <w:szCs w:val="30"/>
        </w:rPr>
        <w:t>（图5:一般公共预算财政拨款支出决算变动情况(</w:t>
      </w:r>
      <w:r>
        <w:rPr>
          <w:rFonts w:hint="eastAsia" w:ascii="仿宋" w:hAnsi="仿宋" w:eastAsia="仿宋"/>
          <w:b/>
          <w:bCs/>
          <w:color w:val="000000" w:themeColor="text1"/>
          <w:sz w:val="30"/>
          <w:szCs w:val="30"/>
        </w:rPr>
        <w:t>单位:万元）</w:t>
      </w:r>
      <w:bookmarkStart w:id="29" w:name="_Toc15377211"/>
    </w:p>
    <w:p>
      <w:pPr>
        <w:spacing w:line="600" w:lineRule="exact"/>
        <w:ind w:left="479" w:leftChars="228"/>
        <w:outlineLvl w:val="1"/>
        <w:rPr>
          <w:rFonts w:ascii="楷体_GB2312" w:hAnsi="仿宋" w:eastAsia="楷体_GB2312"/>
          <w:b/>
          <w:color w:val="000000"/>
          <w:sz w:val="32"/>
          <w:szCs w:val="32"/>
        </w:rPr>
      </w:pPr>
      <w:r>
        <w:rPr>
          <w:rFonts w:hint="eastAsia" w:ascii="楷体_GB2312" w:hAnsi="仿宋" w:eastAsia="楷体_GB2312"/>
          <w:b/>
          <w:color w:val="000000"/>
          <w:sz w:val="32"/>
          <w:szCs w:val="32"/>
        </w:rPr>
        <w:t>（二）</w:t>
      </w:r>
      <w:r>
        <w:rPr>
          <w:rFonts w:hint="eastAsia" w:ascii="楷体_GB2312" w:hAnsi="楷体_GB2312" w:eastAsia="楷体_GB2312" w:cs="楷体_GB2312"/>
          <w:b/>
          <w:color w:val="000000"/>
          <w:sz w:val="32"/>
          <w:szCs w:val="32"/>
        </w:rPr>
        <w:t>一般公共预算财政拨款支出决算结构情况</w:t>
      </w:r>
      <w:bookmarkEnd w:id="29"/>
    </w:p>
    <w:p>
      <w:pPr>
        <w:spacing w:line="600" w:lineRule="exact"/>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rPr>
        <w:t>政拨款支出6377.07万元，主要用于以下方面:</w:t>
      </w:r>
      <w:r>
        <w:rPr>
          <w:rFonts w:hint="eastAsia" w:ascii="仿宋_GB2312" w:hAnsi="仿宋_GB2312" w:eastAsia="仿宋_GB2312" w:cs="仿宋_GB2312"/>
          <w:b/>
          <w:color w:val="000000" w:themeColor="text1"/>
          <w:sz w:val="32"/>
          <w:szCs w:val="32"/>
        </w:rPr>
        <w:t>一般公共服务（类）</w:t>
      </w:r>
      <w:r>
        <w:rPr>
          <w:rFonts w:hint="eastAsia" w:ascii="仿宋_GB2312" w:hAnsi="仿宋_GB2312" w:eastAsia="仿宋_GB2312" w:cs="仿宋_GB2312"/>
          <w:color w:val="000000" w:themeColor="text1"/>
          <w:sz w:val="32"/>
          <w:szCs w:val="32"/>
        </w:rPr>
        <w:t>支出1756.71万元，占27%；</w:t>
      </w:r>
      <w:r>
        <w:rPr>
          <w:rFonts w:hint="eastAsia" w:ascii="仿宋_GB2312" w:hAnsi="仿宋_GB2312" w:eastAsia="仿宋_GB2312" w:cs="仿宋_GB2312"/>
          <w:b/>
          <w:color w:val="000000" w:themeColor="text1"/>
          <w:sz w:val="32"/>
          <w:szCs w:val="32"/>
        </w:rPr>
        <w:t>节能环保（类）支出</w:t>
      </w:r>
      <w:r>
        <w:rPr>
          <w:rFonts w:hint="eastAsia" w:ascii="仿宋_GB2312" w:hAnsi="仿宋_GB2312" w:eastAsia="仿宋_GB2312" w:cs="仿宋_GB2312"/>
          <w:color w:val="000000" w:themeColor="text1"/>
          <w:sz w:val="32"/>
          <w:szCs w:val="32"/>
        </w:rPr>
        <w:t>498.55万元，占8%；</w:t>
      </w:r>
      <w:r>
        <w:rPr>
          <w:rFonts w:hint="eastAsia" w:ascii="仿宋_GB2312" w:hAnsi="仿宋_GB2312" w:eastAsia="仿宋_GB2312" w:cs="仿宋_GB2312"/>
          <w:b/>
          <w:color w:val="000000" w:themeColor="text1"/>
          <w:sz w:val="32"/>
          <w:szCs w:val="32"/>
        </w:rPr>
        <w:t>城乡社区（类）</w:t>
      </w:r>
      <w:r>
        <w:rPr>
          <w:rFonts w:hint="eastAsia" w:ascii="仿宋_GB2312" w:hAnsi="仿宋_GB2312" w:eastAsia="仿宋_GB2312" w:cs="仿宋_GB2312"/>
          <w:color w:val="000000" w:themeColor="text1"/>
          <w:sz w:val="32"/>
          <w:szCs w:val="32"/>
        </w:rPr>
        <w:t>支出1047.43万元，占16%；</w:t>
      </w:r>
      <w:r>
        <w:rPr>
          <w:rFonts w:hint="eastAsia" w:ascii="仿宋_GB2312" w:hAnsi="仿宋_GB2312" w:eastAsia="仿宋_GB2312" w:cs="仿宋_GB2312"/>
          <w:b/>
          <w:color w:val="000000" w:themeColor="text1"/>
          <w:sz w:val="32"/>
          <w:szCs w:val="32"/>
        </w:rPr>
        <w:t>社会保障和就业（类）</w:t>
      </w:r>
      <w:r>
        <w:rPr>
          <w:rFonts w:hint="eastAsia" w:ascii="仿宋_GB2312" w:hAnsi="仿宋_GB2312" w:eastAsia="仿宋_GB2312" w:cs="仿宋_GB2312"/>
          <w:color w:val="000000" w:themeColor="text1"/>
          <w:sz w:val="32"/>
          <w:szCs w:val="32"/>
        </w:rPr>
        <w:t>支出1031.02万元，占16%；</w:t>
      </w:r>
      <w:r>
        <w:rPr>
          <w:rFonts w:hint="eastAsia" w:ascii="仿宋_GB2312" w:hAnsi="仿宋_GB2312" w:eastAsia="仿宋_GB2312" w:cs="仿宋_GB2312"/>
          <w:b/>
          <w:bCs/>
          <w:color w:val="000000" w:themeColor="text1"/>
          <w:sz w:val="32"/>
          <w:szCs w:val="32"/>
        </w:rPr>
        <w:t>医疗卫生支出（类）</w:t>
      </w:r>
      <w:r>
        <w:rPr>
          <w:rFonts w:hint="eastAsia" w:ascii="仿宋_GB2312" w:hAnsi="仿宋_GB2312" w:eastAsia="仿宋_GB2312" w:cs="仿宋_GB2312"/>
          <w:color w:val="000000" w:themeColor="text1"/>
          <w:sz w:val="32"/>
          <w:szCs w:val="32"/>
        </w:rPr>
        <w:t>26.86万元，占1%；</w:t>
      </w:r>
      <w:r>
        <w:rPr>
          <w:rFonts w:hint="eastAsia" w:ascii="仿宋_GB2312" w:hAnsi="仿宋_GB2312" w:eastAsia="仿宋_GB2312" w:cs="仿宋_GB2312"/>
          <w:b/>
          <w:bCs/>
          <w:color w:val="000000" w:themeColor="text1"/>
          <w:sz w:val="32"/>
          <w:szCs w:val="32"/>
        </w:rPr>
        <w:t>住房保障支出（类）37.79</w:t>
      </w:r>
      <w:r>
        <w:rPr>
          <w:rFonts w:hint="eastAsia" w:ascii="仿宋_GB2312" w:hAnsi="仿宋_GB2312" w:eastAsia="仿宋_GB2312" w:cs="仿宋_GB2312"/>
          <w:color w:val="000000" w:themeColor="text1"/>
          <w:sz w:val="32"/>
          <w:szCs w:val="32"/>
        </w:rPr>
        <w:t>万元，占1%；</w:t>
      </w:r>
      <w:r>
        <w:rPr>
          <w:rFonts w:hint="eastAsia" w:ascii="仿宋_GB2312" w:hAnsi="仿宋_GB2312" w:eastAsia="仿宋_GB2312" w:cs="仿宋_GB2312"/>
          <w:b/>
          <w:bCs/>
          <w:color w:val="000000" w:themeColor="text1"/>
          <w:sz w:val="32"/>
          <w:szCs w:val="32"/>
        </w:rPr>
        <w:t>农林水（类）</w:t>
      </w:r>
      <w:r>
        <w:rPr>
          <w:rFonts w:hint="eastAsia" w:ascii="仿宋_GB2312" w:hAnsi="仿宋_GB2312" w:eastAsia="仿宋_GB2312" w:cs="仿宋_GB2312"/>
          <w:color w:val="000000" w:themeColor="text1"/>
          <w:sz w:val="32"/>
          <w:szCs w:val="32"/>
        </w:rPr>
        <w:t>支出870.65万元，占14%；灾害防治及应急管理支出（类）808.06万元，占12%；其他支出（类）300万元，占5%。</w:t>
      </w:r>
    </w:p>
    <w:p>
      <w:pPr>
        <w:spacing w:line="600" w:lineRule="exact"/>
        <w:rPr>
          <w:rFonts w:ascii="仿宋" w:hAnsi="仿宋" w:eastAsia="仿宋"/>
          <w:b/>
          <w:bCs/>
          <w:color w:val="000000"/>
          <w:sz w:val="32"/>
          <w:szCs w:val="32"/>
        </w:rPr>
      </w:pPr>
      <w:r>
        <w:rPr>
          <w:rFonts w:hint="eastAsia" w:ascii="仿宋" w:hAnsi="仿宋" w:eastAsia="仿宋"/>
          <w:b/>
          <w:bCs/>
          <w:color w:val="000000"/>
          <w:sz w:val="32"/>
          <w:szCs w:val="32"/>
        </w:rPr>
        <w:t>（图6:一般公共预算财政拨款支出决算结构</w:t>
      </w:r>
      <w:r>
        <w:rPr>
          <w:rFonts w:hint="eastAsia" w:ascii="仿宋" w:hAnsi="仿宋" w:eastAsia="仿宋"/>
          <w:b/>
          <w:bCs/>
          <w:color w:val="000000" w:themeColor="text1"/>
          <w:sz w:val="32"/>
          <w:szCs w:val="32"/>
        </w:rPr>
        <w:t>（单位:万元</w:t>
      </w:r>
      <w:r>
        <w:rPr>
          <w:rFonts w:hint="eastAsia" w:ascii="仿宋" w:hAnsi="仿宋" w:eastAsia="仿宋"/>
          <w:b/>
          <w:bCs/>
          <w:color w:val="000000"/>
          <w:sz w:val="32"/>
          <w:szCs w:val="32"/>
        </w:rPr>
        <w:t>）</w:t>
      </w:r>
    </w:p>
    <w:p>
      <w:pPr>
        <w:spacing w:line="600" w:lineRule="exact"/>
        <w:ind w:firstLine="472" w:firstLineChars="147"/>
        <w:rPr>
          <w:rFonts w:ascii="楷体_GB2312" w:hAnsi="楷体_GB2312" w:eastAsia="楷体_GB2312" w:cs="楷体_GB2312"/>
          <w:b/>
          <w:bCs/>
          <w:color w:val="000000"/>
          <w:sz w:val="32"/>
          <w:szCs w:val="32"/>
        </w:rPr>
      </w:pPr>
      <w:bookmarkStart w:id="30" w:name="_Toc15377212"/>
    </w:p>
    <w:p>
      <w:pPr>
        <w:spacing w:line="600" w:lineRule="exact"/>
        <w:ind w:firstLine="472" w:firstLineChars="147"/>
        <w:rPr>
          <w:rFonts w:ascii="楷体_GB2312" w:hAnsi="楷体_GB2312" w:eastAsia="楷体_GB2312" w:cs="楷体_GB2312"/>
          <w:b/>
          <w:bCs/>
          <w:color w:val="000000"/>
          <w:sz w:val="32"/>
          <w:szCs w:val="32"/>
        </w:rPr>
      </w:pPr>
    </w:p>
    <w:p>
      <w:pPr>
        <w:spacing w:line="600" w:lineRule="exact"/>
        <w:ind w:firstLine="472" w:firstLineChars="147"/>
        <w:rPr>
          <w:rFonts w:ascii="楷体_GB2312" w:hAnsi="楷体_GB2312" w:eastAsia="楷体_GB2312" w:cs="楷体_GB2312"/>
          <w:b/>
          <w:bCs/>
          <w:color w:val="000000"/>
          <w:sz w:val="32"/>
          <w:szCs w:val="32"/>
        </w:rPr>
      </w:pPr>
    </w:p>
    <w:p>
      <w:pPr>
        <w:spacing w:line="600" w:lineRule="exact"/>
        <w:ind w:firstLine="472" w:firstLineChars="147"/>
        <w:rPr>
          <w:rFonts w:ascii="楷体_GB2312" w:hAnsi="楷体_GB2312" w:eastAsia="楷体_GB2312" w:cs="楷体_GB2312"/>
          <w:b/>
          <w:bCs/>
          <w:color w:val="000000"/>
          <w:sz w:val="32"/>
          <w:szCs w:val="32"/>
        </w:rPr>
      </w:pPr>
    </w:p>
    <w:p>
      <w:pPr>
        <w:spacing w:line="600" w:lineRule="exact"/>
        <w:ind w:firstLine="472" w:firstLineChars="147"/>
        <w:rPr>
          <w:rFonts w:ascii="楷体_GB2312" w:hAnsi="楷体_GB2312" w:eastAsia="楷体_GB2312" w:cs="楷体_GB2312"/>
          <w:b/>
          <w:bCs/>
          <w:color w:val="000000"/>
          <w:sz w:val="32"/>
          <w:szCs w:val="32"/>
        </w:rPr>
      </w:pPr>
    </w:p>
    <w:p>
      <w:pPr>
        <w:spacing w:line="600" w:lineRule="exact"/>
        <w:ind w:firstLine="472" w:firstLineChars="147"/>
        <w:rPr>
          <w:rFonts w:ascii="楷体_GB2312" w:hAnsi="楷体_GB2312" w:eastAsia="楷体_GB2312" w:cs="楷体_GB2312"/>
          <w:b/>
          <w:bCs/>
          <w:color w:val="000000"/>
          <w:sz w:val="32"/>
          <w:szCs w:val="32"/>
        </w:rPr>
      </w:pPr>
    </w:p>
    <w:p>
      <w:pPr>
        <w:spacing w:line="600" w:lineRule="exact"/>
        <w:rPr>
          <w:rFonts w:ascii="楷体_GB2312" w:hAnsi="楷体_GB2312" w:eastAsia="楷体_GB2312" w:cs="楷体_GB2312"/>
          <w:b/>
          <w:bCs/>
          <w:color w:val="000000"/>
          <w:sz w:val="32"/>
          <w:szCs w:val="32"/>
        </w:rPr>
      </w:pPr>
    </w:p>
    <w:p>
      <w:pPr>
        <w:spacing w:line="600" w:lineRule="exact"/>
        <w:ind w:firstLine="210" w:firstLineChars="100"/>
        <w:rPr>
          <w:rFonts w:ascii="楷体_GB2312" w:hAnsi="楷体_GB2312" w:eastAsia="楷体_GB2312" w:cs="楷体_GB2312"/>
          <w:b/>
          <w:bCs/>
          <w:color w:val="000000"/>
          <w:sz w:val="32"/>
          <w:szCs w:val="32"/>
        </w:rPr>
      </w:pPr>
      <w:r>
        <w:drawing>
          <wp:anchor distT="0" distB="0" distL="114300" distR="114300" simplePos="0" relativeHeight="251664384" behindDoc="0" locked="0" layoutInCell="1" allowOverlap="1">
            <wp:simplePos x="0" y="0"/>
            <wp:positionH relativeFrom="column">
              <wp:posOffset>137795</wp:posOffset>
            </wp:positionH>
            <wp:positionV relativeFrom="paragraph">
              <wp:posOffset>-2453005</wp:posOffset>
            </wp:positionV>
            <wp:extent cx="4572000" cy="2743200"/>
            <wp:effectExtent l="12192" t="6096" r="6096" b="635"/>
            <wp:wrapSquare wrapText="bothSides"/>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479" w:firstLineChars="149"/>
        <w:rPr>
          <w:rFonts w:ascii="仿宋" w:hAnsi="仿宋" w:eastAsia="仿宋"/>
          <w:b/>
          <w:color w:val="000000"/>
          <w:sz w:val="32"/>
          <w:szCs w:val="32"/>
        </w:rPr>
      </w:pPr>
      <w:r>
        <w:rPr>
          <w:rFonts w:hint="eastAsia" w:ascii="楷体_GB2312" w:hAnsi="楷体_GB2312" w:eastAsia="楷体_GB2312" w:cs="楷体_GB2312"/>
          <w:b/>
          <w:bCs/>
          <w:color w:val="000000"/>
          <w:sz w:val="32"/>
          <w:szCs w:val="32"/>
        </w:rPr>
        <w:t>（三）一般公共预算财政拨款支出决算具体情况</w:t>
      </w:r>
      <w:bookmarkEnd w:id="30"/>
    </w:p>
    <w:p>
      <w:pPr>
        <w:spacing w:line="600" w:lineRule="exact"/>
        <w:ind w:firstLine="643" w:firstLineChars="200"/>
        <w:outlineLvl w:val="2"/>
        <w:rPr>
          <w:rFonts w:ascii="仿宋_GB2312" w:hAnsi="仿宋_GB2312" w:eastAsia="仿宋_GB2312" w:cs="仿宋_GB2312"/>
          <w:color w:val="FF0000"/>
          <w:sz w:val="32"/>
          <w:szCs w:val="32"/>
        </w:rPr>
      </w:pPr>
      <w:bookmarkStart w:id="31" w:name="_Toc15378460"/>
      <w:bookmarkStart w:id="32" w:name="_Toc15377213"/>
      <w:bookmarkStart w:id="33" w:name="_Toc15377444"/>
      <w:r>
        <w:rPr>
          <w:rFonts w:hint="eastAsia" w:ascii="仿宋_GB2312" w:hAnsi="仿宋_GB2312" w:eastAsia="仿宋_GB2312" w:cs="仿宋_GB2312"/>
          <w:b/>
          <w:color w:val="000000" w:themeColor="text1"/>
          <w:sz w:val="32"/>
          <w:szCs w:val="32"/>
        </w:rPr>
        <w:t>2019年一般公共预算支出决算数为6377.07万元</w:t>
      </w:r>
      <w:r>
        <w:rPr>
          <w:rFonts w:hint="eastAsia" w:ascii="仿宋_GB2312" w:hAnsi="仿宋_GB2312" w:eastAsia="仿宋_GB2312" w:cs="仿宋_GB2312"/>
          <w:color w:val="000000" w:themeColor="text1"/>
          <w:sz w:val="32"/>
          <w:szCs w:val="32"/>
        </w:rPr>
        <w:t>，</w:t>
      </w:r>
      <w:r>
        <w:rPr>
          <w:rStyle w:val="11"/>
          <w:rFonts w:hint="eastAsia" w:ascii="仿宋_GB2312" w:hAnsi="仿宋_GB2312" w:eastAsia="仿宋_GB2312" w:cs="仿宋_GB2312"/>
          <w:bCs/>
          <w:color w:val="000000" w:themeColor="text1"/>
          <w:sz w:val="32"/>
          <w:szCs w:val="32"/>
        </w:rPr>
        <w:t>完成</w:t>
      </w:r>
      <w:r>
        <w:rPr>
          <w:rStyle w:val="11"/>
          <w:rFonts w:hint="eastAsia" w:ascii="仿宋_GB2312" w:hAnsi="仿宋_GB2312" w:eastAsia="仿宋_GB2312" w:cs="仿宋_GB2312"/>
          <w:bCs/>
          <w:color w:val="000000"/>
          <w:sz w:val="32"/>
          <w:szCs w:val="32"/>
        </w:rPr>
        <w:t>预算100%。其中：</w:t>
      </w:r>
      <w:bookmarkEnd w:id="31"/>
      <w:bookmarkEnd w:id="32"/>
      <w:bookmarkEnd w:id="33"/>
    </w:p>
    <w:p>
      <w:pPr>
        <w:spacing w:line="576" w:lineRule="exact"/>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1.一般公共服务支出（类）其他一般公共服务支出（款）其他一般公共服务支出（项）:</w:t>
      </w:r>
      <w:r>
        <w:rPr>
          <w:rStyle w:val="11"/>
          <w:rFonts w:hint="eastAsia" w:ascii="仿宋_GB2312" w:hAnsi="仿宋_GB2312" w:eastAsia="仿宋_GB2312" w:cs="仿宋_GB2312"/>
          <w:b w:val="0"/>
          <w:bCs/>
          <w:color w:val="000000"/>
          <w:sz w:val="32"/>
          <w:szCs w:val="32"/>
        </w:rPr>
        <w:t xml:space="preserve"> 支出决算为1756.71万元，完成预算100%。</w:t>
      </w:r>
    </w:p>
    <w:p>
      <w:pPr>
        <w:spacing w:line="576" w:lineRule="exact"/>
        <w:ind w:firstLine="643" w:firstLineChars="200"/>
        <w:rPr>
          <w:rFonts w:ascii="仿宋_GB2312" w:hAnsi="仿宋_GB2312" w:eastAsia="仿宋_GB2312" w:cs="仿宋_GB2312"/>
          <w:b/>
          <w:color w:val="000000"/>
          <w:sz w:val="32"/>
          <w:szCs w:val="32"/>
        </w:rPr>
      </w:pPr>
      <w:r>
        <w:rPr>
          <w:rStyle w:val="11"/>
          <w:rFonts w:hint="eastAsia" w:ascii="仿宋_GB2312" w:hAnsi="仿宋_GB2312" w:eastAsia="仿宋_GB2312" w:cs="仿宋_GB2312"/>
          <w:bCs/>
          <w:color w:val="000000"/>
          <w:sz w:val="32"/>
          <w:szCs w:val="32"/>
        </w:rPr>
        <w:t>2.节能环保支出（类）自然生态保护（款）生态保护（项）:</w:t>
      </w:r>
      <w:r>
        <w:rPr>
          <w:rStyle w:val="11"/>
          <w:rFonts w:hint="eastAsia" w:ascii="仿宋_GB2312" w:hAnsi="仿宋_GB2312" w:eastAsia="仿宋_GB2312" w:cs="仿宋_GB2312"/>
          <w:b w:val="0"/>
          <w:bCs/>
          <w:color w:val="000000"/>
          <w:sz w:val="32"/>
          <w:szCs w:val="32"/>
        </w:rPr>
        <w:t>支出决算为498.54万元,完成预算100%。</w:t>
      </w:r>
    </w:p>
    <w:p>
      <w:pPr>
        <w:spacing w:line="576" w:lineRule="exact"/>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3.城乡社区支出（类）城乡社区管理事务（款）行政运行（项）:</w:t>
      </w:r>
      <w:r>
        <w:rPr>
          <w:rStyle w:val="11"/>
          <w:rFonts w:hint="eastAsia" w:ascii="仿宋_GB2312" w:hAnsi="仿宋_GB2312" w:eastAsia="仿宋_GB2312" w:cs="仿宋_GB2312"/>
          <w:b w:val="0"/>
          <w:bCs/>
          <w:color w:val="000000"/>
          <w:sz w:val="32"/>
          <w:szCs w:val="32"/>
        </w:rPr>
        <w:t>支出决算为218.03万元,完成预算100%。</w:t>
      </w:r>
    </w:p>
    <w:p>
      <w:pPr>
        <w:spacing w:line="576" w:lineRule="exact"/>
        <w:ind w:firstLine="640"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 w:val="0"/>
          <w:bCs/>
          <w:color w:val="000000"/>
          <w:sz w:val="32"/>
          <w:szCs w:val="32"/>
        </w:rPr>
        <w:t>4.</w:t>
      </w:r>
      <w:r>
        <w:rPr>
          <w:rStyle w:val="11"/>
          <w:rFonts w:hint="eastAsia" w:ascii="仿宋_GB2312" w:hAnsi="仿宋_GB2312" w:eastAsia="仿宋_GB2312" w:cs="仿宋_GB2312"/>
          <w:bCs/>
          <w:color w:val="000000"/>
          <w:sz w:val="32"/>
          <w:szCs w:val="32"/>
        </w:rPr>
        <w:t>城乡社区支出（类）城乡社区管理事务（款）其他城乡社区管理事务（项）:</w:t>
      </w:r>
      <w:r>
        <w:rPr>
          <w:rStyle w:val="11"/>
          <w:rFonts w:hint="eastAsia" w:ascii="仿宋_GB2312" w:hAnsi="仿宋_GB2312" w:eastAsia="仿宋_GB2312" w:cs="仿宋_GB2312"/>
          <w:b w:val="0"/>
          <w:bCs/>
          <w:color w:val="000000"/>
          <w:sz w:val="32"/>
          <w:szCs w:val="32"/>
        </w:rPr>
        <w:t xml:space="preserve"> 支出决算为484.36万元,完成预算100%。</w:t>
      </w:r>
    </w:p>
    <w:p>
      <w:pPr>
        <w:spacing w:line="576" w:lineRule="exact"/>
        <w:ind w:firstLine="640"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 w:val="0"/>
          <w:bCs/>
          <w:color w:val="000000"/>
          <w:sz w:val="32"/>
          <w:szCs w:val="32"/>
        </w:rPr>
        <w:t>5.</w:t>
      </w:r>
      <w:r>
        <w:rPr>
          <w:rStyle w:val="11"/>
          <w:rFonts w:hint="eastAsia" w:ascii="仿宋_GB2312" w:hAnsi="仿宋_GB2312" w:eastAsia="仿宋_GB2312" w:cs="仿宋_GB2312"/>
          <w:bCs/>
          <w:color w:val="000000"/>
          <w:sz w:val="32"/>
          <w:szCs w:val="32"/>
        </w:rPr>
        <w:t>城乡社区支出（类）城乡社区管理事务（款）城乡社区管理事务（项）:</w:t>
      </w:r>
      <w:r>
        <w:rPr>
          <w:rStyle w:val="11"/>
          <w:rFonts w:hint="eastAsia" w:ascii="仿宋_GB2312" w:hAnsi="仿宋_GB2312" w:eastAsia="仿宋_GB2312" w:cs="仿宋_GB2312"/>
          <w:b w:val="0"/>
          <w:bCs/>
          <w:color w:val="000000"/>
          <w:sz w:val="32"/>
          <w:szCs w:val="32"/>
        </w:rPr>
        <w:t xml:space="preserve">支出决算为99.30万元,完成预算100%。               </w:t>
      </w:r>
    </w:p>
    <w:p>
      <w:pPr>
        <w:spacing w:line="576" w:lineRule="exact"/>
        <w:ind w:firstLine="643" w:firstLineChars="200"/>
        <w:rPr>
          <w:rFonts w:ascii="仿宋_GB2312" w:hAnsi="仿宋_GB2312" w:eastAsia="仿宋_GB2312" w:cs="仿宋_GB2312"/>
          <w:b/>
          <w:color w:val="000000"/>
          <w:sz w:val="32"/>
          <w:szCs w:val="32"/>
        </w:rPr>
      </w:pPr>
      <w:r>
        <w:rPr>
          <w:rStyle w:val="11"/>
          <w:rFonts w:hint="eastAsia" w:ascii="仿宋_GB2312" w:hAnsi="仿宋_GB2312" w:eastAsia="仿宋_GB2312" w:cs="仿宋_GB2312"/>
          <w:bCs/>
          <w:color w:val="000000"/>
          <w:sz w:val="32"/>
          <w:szCs w:val="32"/>
        </w:rPr>
        <w:t>6.城乡社区支出（类）,其他社区城乡支出（款）其他社区城乡支出（项）:</w:t>
      </w:r>
      <w:r>
        <w:rPr>
          <w:rStyle w:val="11"/>
          <w:rFonts w:hint="eastAsia" w:ascii="仿宋_GB2312" w:hAnsi="仿宋_GB2312" w:eastAsia="仿宋_GB2312" w:cs="仿宋_GB2312"/>
          <w:b w:val="0"/>
          <w:bCs/>
          <w:color w:val="000000"/>
          <w:sz w:val="32"/>
          <w:szCs w:val="32"/>
        </w:rPr>
        <w:t>支出决算为245.73万元，完成预算100%。</w:t>
      </w:r>
    </w:p>
    <w:p>
      <w:pPr>
        <w:spacing w:line="576" w:lineRule="exact"/>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7.农林水支出（类）扶贫（款）其他扶贫支出（项）:</w:t>
      </w:r>
      <w:r>
        <w:rPr>
          <w:rStyle w:val="11"/>
          <w:rFonts w:hint="eastAsia" w:ascii="仿宋_GB2312" w:hAnsi="仿宋_GB2312" w:eastAsia="仿宋_GB2312" w:cs="仿宋_GB2312"/>
          <w:b w:val="0"/>
          <w:bCs/>
          <w:color w:val="000000"/>
          <w:sz w:val="32"/>
          <w:szCs w:val="32"/>
        </w:rPr>
        <w:t>支出决算为374.75万元,完成预算100%。</w:t>
      </w:r>
    </w:p>
    <w:p>
      <w:pPr>
        <w:spacing w:line="576" w:lineRule="exact"/>
        <w:ind w:firstLine="643" w:firstLineChars="200"/>
        <w:rPr>
          <w:rFonts w:ascii="仿宋_GB2312" w:hAnsi="仿宋_GB2312" w:eastAsia="仿宋_GB2312" w:cs="仿宋_GB2312"/>
          <w:b/>
          <w:color w:val="000000"/>
          <w:sz w:val="32"/>
          <w:szCs w:val="32"/>
        </w:rPr>
      </w:pPr>
      <w:r>
        <w:rPr>
          <w:rStyle w:val="11"/>
          <w:rFonts w:hint="eastAsia" w:ascii="仿宋_GB2312" w:hAnsi="仿宋_GB2312" w:eastAsia="仿宋_GB2312" w:cs="仿宋_GB2312"/>
          <w:bCs/>
          <w:color w:val="000000"/>
          <w:sz w:val="32"/>
          <w:szCs w:val="32"/>
        </w:rPr>
        <w:t>8.农林水支出（类）其他农林水支出（款）其他农林水支出（项）:</w:t>
      </w:r>
      <w:r>
        <w:rPr>
          <w:rStyle w:val="11"/>
          <w:rFonts w:hint="eastAsia" w:ascii="仿宋_GB2312" w:hAnsi="仿宋_GB2312" w:eastAsia="仿宋_GB2312" w:cs="仿宋_GB2312"/>
          <w:b w:val="0"/>
          <w:bCs/>
          <w:color w:val="000000"/>
          <w:sz w:val="32"/>
          <w:szCs w:val="32"/>
        </w:rPr>
        <w:t xml:space="preserve"> 支出决算为495.90万元,完成预算100%。</w:t>
      </w:r>
    </w:p>
    <w:p>
      <w:pPr>
        <w:spacing w:line="576" w:lineRule="exact"/>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9.社会保障和就业（类）行政事业单位离退休（款）机关事业单位基本养老保险缴费支出（项）:</w:t>
      </w:r>
      <w:r>
        <w:rPr>
          <w:rStyle w:val="11"/>
          <w:rFonts w:hint="eastAsia" w:ascii="仿宋_GB2312" w:hAnsi="仿宋_GB2312" w:eastAsia="仿宋_GB2312" w:cs="仿宋_GB2312"/>
          <w:b w:val="0"/>
          <w:bCs/>
          <w:color w:val="000000"/>
          <w:sz w:val="32"/>
          <w:szCs w:val="32"/>
        </w:rPr>
        <w:t>支出决算为41.13万元，完成预算100%。</w:t>
      </w:r>
    </w:p>
    <w:p>
      <w:pPr>
        <w:spacing w:line="576" w:lineRule="exact"/>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10.社会保障和就业（类）行政事业单位离退休（款）机关事业单位职业年金缴费支出（项）:</w:t>
      </w:r>
      <w:r>
        <w:rPr>
          <w:rStyle w:val="11"/>
          <w:rFonts w:hint="eastAsia" w:ascii="仿宋_GB2312" w:hAnsi="仿宋_GB2312" w:eastAsia="仿宋_GB2312" w:cs="仿宋_GB2312"/>
          <w:b w:val="0"/>
          <w:bCs/>
          <w:color w:val="000000"/>
          <w:sz w:val="32"/>
          <w:szCs w:val="32"/>
        </w:rPr>
        <w:t xml:space="preserve"> 支出决算为18.45万元,完成预算100%。</w:t>
      </w:r>
    </w:p>
    <w:p>
      <w:pPr>
        <w:spacing w:line="576" w:lineRule="exact"/>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11.社会保障和就业（类）其他社会保障和就业支出（款）其他社会保障和就业支出（项）:</w:t>
      </w:r>
      <w:r>
        <w:rPr>
          <w:rStyle w:val="11"/>
          <w:rFonts w:hint="eastAsia" w:ascii="仿宋_GB2312" w:hAnsi="仿宋_GB2312" w:eastAsia="仿宋_GB2312" w:cs="仿宋_GB2312"/>
          <w:b w:val="0"/>
          <w:bCs/>
          <w:color w:val="000000"/>
          <w:sz w:val="32"/>
          <w:szCs w:val="32"/>
        </w:rPr>
        <w:t xml:space="preserve"> 支出决算为971.44万元,完成预算100%。</w:t>
      </w:r>
    </w:p>
    <w:p>
      <w:pPr>
        <w:spacing w:line="576" w:lineRule="exact"/>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12.医疗卫生与计划生育（类）行政事业单位医疗（款）行政事业单位医疗（项）:</w:t>
      </w:r>
      <w:r>
        <w:rPr>
          <w:rStyle w:val="11"/>
          <w:rFonts w:hint="eastAsia" w:ascii="仿宋_GB2312" w:hAnsi="仿宋_GB2312" w:eastAsia="仿宋_GB2312" w:cs="仿宋_GB2312"/>
          <w:b w:val="0"/>
          <w:bCs/>
          <w:color w:val="000000"/>
          <w:sz w:val="32"/>
          <w:szCs w:val="32"/>
        </w:rPr>
        <w:t>支出决算为26.86万元,完成预算100%.</w:t>
      </w:r>
    </w:p>
    <w:p>
      <w:pPr>
        <w:spacing w:line="360" w:lineRule="auto"/>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13.灾害防治及应急管理支出（类）灾害防治及应急管理支出（款）中央自然灾害生活补助（项）:</w:t>
      </w:r>
      <w:r>
        <w:rPr>
          <w:rStyle w:val="11"/>
          <w:rFonts w:hint="eastAsia" w:ascii="仿宋_GB2312" w:hAnsi="仿宋_GB2312" w:eastAsia="仿宋_GB2312" w:cs="仿宋_GB2312"/>
          <w:b w:val="0"/>
          <w:bCs/>
          <w:color w:val="000000"/>
          <w:sz w:val="32"/>
          <w:szCs w:val="32"/>
        </w:rPr>
        <w:t>支出决算为75万元，完成预算100%。</w:t>
      </w:r>
    </w:p>
    <w:p>
      <w:pPr>
        <w:spacing w:line="360" w:lineRule="auto"/>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14</w:t>
      </w:r>
      <w:r>
        <w:rPr>
          <w:rStyle w:val="11"/>
          <w:rFonts w:hint="eastAsia" w:ascii="仿宋_GB2312" w:hAnsi="仿宋_GB2312" w:eastAsia="仿宋_GB2312" w:cs="仿宋_GB2312"/>
          <w:b w:val="0"/>
          <w:bCs/>
          <w:color w:val="000000"/>
          <w:sz w:val="32"/>
          <w:szCs w:val="32"/>
        </w:rPr>
        <w:t>.</w:t>
      </w:r>
      <w:r>
        <w:rPr>
          <w:rStyle w:val="11"/>
          <w:rFonts w:hint="eastAsia" w:ascii="仿宋_GB2312" w:hAnsi="仿宋_GB2312" w:eastAsia="仿宋_GB2312" w:cs="仿宋_GB2312"/>
          <w:bCs/>
          <w:color w:val="000000"/>
          <w:sz w:val="32"/>
          <w:szCs w:val="32"/>
        </w:rPr>
        <w:t xml:space="preserve"> 灾害防治及应急管理支出（类）灾害防治及应急管理支出（款）自然灾害重建补助（项）:</w:t>
      </w:r>
      <w:r>
        <w:rPr>
          <w:rStyle w:val="11"/>
          <w:rFonts w:hint="eastAsia" w:ascii="仿宋_GB2312" w:hAnsi="仿宋_GB2312" w:eastAsia="仿宋_GB2312" w:cs="仿宋_GB2312"/>
          <w:b w:val="0"/>
          <w:bCs/>
          <w:color w:val="000000"/>
          <w:sz w:val="32"/>
          <w:szCs w:val="32"/>
        </w:rPr>
        <w:t>支出决算为733.07万元，完成预算100%。</w:t>
      </w:r>
    </w:p>
    <w:p>
      <w:pPr>
        <w:spacing w:line="360" w:lineRule="auto"/>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15.住房保障支出（类）购房补贴（款）购房补贴（项）:</w:t>
      </w:r>
      <w:r>
        <w:rPr>
          <w:rStyle w:val="11"/>
          <w:rFonts w:hint="eastAsia" w:ascii="仿宋_GB2312" w:hAnsi="仿宋_GB2312" w:eastAsia="仿宋_GB2312" w:cs="仿宋_GB2312"/>
          <w:b w:val="0"/>
          <w:bCs/>
          <w:color w:val="000000"/>
          <w:sz w:val="32"/>
          <w:szCs w:val="32"/>
        </w:rPr>
        <w:t>支出决算为1.02万元,完成预算100%。</w:t>
      </w:r>
    </w:p>
    <w:p>
      <w:pPr>
        <w:spacing w:line="360" w:lineRule="auto"/>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16.住房保障支出（类）住房改革支出（款）住房公积金（项）:</w:t>
      </w:r>
      <w:r>
        <w:rPr>
          <w:rStyle w:val="11"/>
          <w:rFonts w:hint="eastAsia" w:ascii="仿宋_GB2312" w:hAnsi="仿宋_GB2312" w:eastAsia="仿宋_GB2312" w:cs="仿宋_GB2312"/>
          <w:b w:val="0"/>
          <w:bCs/>
          <w:color w:val="000000"/>
          <w:sz w:val="32"/>
          <w:szCs w:val="32"/>
        </w:rPr>
        <w:t>支出决算为36.78万元,完成预算100%</w:t>
      </w:r>
      <w:bookmarkStart w:id="34" w:name="_Toc15396608"/>
      <w:bookmarkStart w:id="35" w:name="_Toc15377214"/>
      <w:r>
        <w:rPr>
          <w:rStyle w:val="11"/>
          <w:rFonts w:hint="eastAsia" w:ascii="仿宋_GB2312" w:hAnsi="仿宋_GB2312" w:eastAsia="仿宋_GB2312" w:cs="仿宋_GB2312"/>
          <w:b w:val="0"/>
          <w:bCs/>
          <w:color w:val="000000"/>
          <w:sz w:val="32"/>
          <w:szCs w:val="32"/>
        </w:rPr>
        <w:t>。</w:t>
      </w:r>
    </w:p>
    <w:p>
      <w:pPr>
        <w:spacing w:line="360" w:lineRule="auto"/>
        <w:ind w:firstLine="643" w:firstLineChars="200"/>
        <w:rPr>
          <w:rStyle w:val="11"/>
          <w:rFonts w:ascii="仿宋_GB2312" w:hAnsi="仿宋_GB2312" w:eastAsia="仿宋_GB2312" w:cs="仿宋_GB2312"/>
          <w:b w:val="0"/>
          <w:bCs/>
          <w:color w:val="000000"/>
          <w:sz w:val="32"/>
          <w:szCs w:val="32"/>
        </w:rPr>
      </w:pPr>
      <w:r>
        <w:rPr>
          <w:rStyle w:val="11"/>
          <w:rFonts w:hint="eastAsia" w:ascii="仿宋_GB2312" w:hAnsi="仿宋_GB2312" w:eastAsia="仿宋_GB2312" w:cs="仿宋_GB2312"/>
          <w:bCs/>
          <w:color w:val="000000"/>
          <w:sz w:val="32"/>
          <w:szCs w:val="32"/>
        </w:rPr>
        <w:t>17</w:t>
      </w:r>
      <w:r>
        <w:rPr>
          <w:rStyle w:val="11"/>
          <w:rFonts w:hint="eastAsia" w:ascii="仿宋_GB2312" w:hAnsi="仿宋_GB2312" w:eastAsia="仿宋_GB2312" w:cs="仿宋_GB2312"/>
          <w:b w:val="0"/>
          <w:bCs/>
          <w:color w:val="000000"/>
          <w:sz w:val="32"/>
          <w:szCs w:val="32"/>
        </w:rPr>
        <w:t>.</w:t>
      </w:r>
      <w:r>
        <w:rPr>
          <w:rStyle w:val="11"/>
          <w:rFonts w:hint="eastAsia" w:ascii="仿宋_GB2312" w:hAnsi="仿宋_GB2312" w:eastAsia="仿宋_GB2312" w:cs="仿宋_GB2312"/>
          <w:bCs/>
          <w:color w:val="000000"/>
          <w:sz w:val="32"/>
          <w:szCs w:val="32"/>
        </w:rPr>
        <w:t>其他支出（类）其他支出（款）其他支出（项）</w:t>
      </w:r>
      <w:r>
        <w:rPr>
          <w:rStyle w:val="11"/>
          <w:rFonts w:hint="eastAsia" w:ascii="仿宋_GB2312" w:hAnsi="仿宋_GB2312" w:eastAsia="仿宋_GB2312" w:cs="仿宋_GB2312"/>
          <w:b w:val="0"/>
          <w:bCs/>
          <w:color w:val="000000"/>
          <w:sz w:val="32"/>
          <w:szCs w:val="32"/>
        </w:rPr>
        <w:t>:支出决算为300万元，完成预算100%。</w:t>
      </w:r>
    </w:p>
    <w:p>
      <w:pPr>
        <w:spacing w:line="360" w:lineRule="auto"/>
        <w:ind w:firstLine="640" w:firstLineChars="200"/>
        <w:rPr>
          <w:rStyle w:val="16"/>
          <w:rFonts w:ascii="黑体" w:hAnsi="仿宋_GB2312" w:eastAsia="黑体" w:cs="仿宋_GB2312"/>
          <w:b w:val="0"/>
          <w:color w:val="000000"/>
        </w:rPr>
      </w:pPr>
      <w:r>
        <w:rPr>
          <w:rStyle w:val="11"/>
          <w:rFonts w:hint="eastAsia" w:ascii="黑体" w:hAnsi="仿宋_GB2312" w:eastAsia="黑体" w:cs="仿宋_GB2312"/>
          <w:b w:val="0"/>
          <w:bCs/>
          <w:color w:val="000000"/>
          <w:sz w:val="32"/>
          <w:szCs w:val="32"/>
        </w:rPr>
        <w:t>六、</w:t>
      </w:r>
      <w:r>
        <w:rPr>
          <w:rFonts w:hint="eastAsia" w:ascii="黑体" w:hAnsi="黑体" w:eastAsia="黑体"/>
          <w:b/>
          <w:color w:val="000000"/>
          <w:sz w:val="32"/>
          <w:szCs w:val="32"/>
        </w:rPr>
        <w:t>一</w:t>
      </w:r>
      <w:r>
        <w:rPr>
          <w:rStyle w:val="16"/>
          <w:rFonts w:hint="eastAsia" w:ascii="黑体" w:hAnsi="黑体" w:eastAsia="黑体"/>
          <w:b w:val="0"/>
        </w:rPr>
        <w:t>般公共预算财政拨款基本支出决算情况说明</w:t>
      </w:r>
      <w:bookmarkEnd w:id="34"/>
      <w:bookmarkEnd w:id="35"/>
    </w:p>
    <w:p>
      <w:pPr>
        <w:spacing w:line="360" w:lineRule="auto"/>
        <w:ind w:firstLine="640" w:firstLineChars="200"/>
        <w:rPr>
          <w:rFonts w:ascii="仿宋_GB2312" w:hAnsi="仿宋_GB2312" w:eastAsia="仿宋_GB2312" w:cs="仿宋_GB2312"/>
          <w:color w:val="000000"/>
          <w:sz w:val="32"/>
          <w:szCs w:val="32"/>
        </w:rPr>
      </w:pPr>
      <w:r>
        <w:rPr>
          <w:rFonts w:ascii="仿宋" w:hAnsi="仿宋" w:eastAsia="仿宋"/>
          <w:color w:val="000000"/>
          <w:sz w:val="32"/>
          <w:szCs w:val="32"/>
        </w:rPr>
        <w:t>2</w:t>
      </w:r>
      <w:r>
        <w:rPr>
          <w:rFonts w:hint="eastAsia" w:ascii="仿宋_GB2312" w:hAnsi="仿宋_GB2312" w:eastAsia="仿宋_GB2312" w:cs="仿宋_GB2312"/>
          <w:color w:val="000000"/>
          <w:sz w:val="32"/>
          <w:szCs w:val="32"/>
        </w:rPr>
        <w:t>019年一般公共预算财政拨款基本支出538.4万元，其中:人员经费483.03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55.37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bookmarkStart w:id="36" w:name="_Toc15396609"/>
      <w:bookmarkStart w:id="37" w:name="_Toc15377215"/>
    </w:p>
    <w:p>
      <w:pPr>
        <w:spacing w:line="360" w:lineRule="auto"/>
        <w:ind w:firstLine="640" w:firstLineChars="200"/>
        <w:rPr>
          <w:rStyle w:val="16"/>
          <w:rFonts w:ascii="仿宋_GB2312" w:hAnsi="仿宋_GB2312" w:eastAsia="仿宋_GB2312" w:cs="仿宋_GB2312"/>
          <w:b w:val="0"/>
          <w:bCs w:val="0"/>
          <w:color w:val="000000"/>
        </w:rPr>
      </w:pPr>
      <w:r>
        <w:rPr>
          <w:rStyle w:val="16"/>
          <w:rFonts w:hint="eastAsia" w:ascii="黑体" w:hAnsi="黑体" w:eastAsia="黑体" w:cs="黑体"/>
          <w:b w:val="0"/>
        </w:rPr>
        <w:t>七、“三公”经费财政拨款支出决算情况说明</w:t>
      </w:r>
      <w:bookmarkEnd w:id="36"/>
      <w:bookmarkEnd w:id="37"/>
    </w:p>
    <w:p>
      <w:pPr>
        <w:spacing w:line="600" w:lineRule="exact"/>
        <w:ind w:firstLine="472" w:firstLineChars="147"/>
        <w:outlineLvl w:val="1"/>
        <w:rPr>
          <w:rFonts w:ascii="仿宋_GB2312" w:hAnsi="仿宋_GB2312" w:eastAsia="仿宋_GB2312" w:cs="仿宋_GB2312"/>
          <w:b/>
          <w:color w:val="000000"/>
          <w:sz w:val="32"/>
          <w:szCs w:val="32"/>
        </w:rPr>
      </w:pPr>
      <w:bookmarkStart w:id="38" w:name="_Toc15377216"/>
      <w:r>
        <w:rPr>
          <w:rFonts w:hint="eastAsia" w:ascii="楷体_GB2312" w:hAnsi="楷体_GB2312" w:eastAsia="楷体_GB2312" w:cs="楷体_GB2312"/>
          <w:b/>
          <w:color w:val="000000"/>
          <w:sz w:val="32"/>
          <w:szCs w:val="32"/>
        </w:rPr>
        <w:t>（一）“三公”经费财政拨款支出决算总体情况说明</w:t>
      </w:r>
      <w:bookmarkEnd w:id="38"/>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2019年“三公”经费财政拨款支出决算为6.09万元，完成预算100%决算数与,决算数大于预算数的主要原因是公务用车维护费较上年增加。</w:t>
      </w:r>
    </w:p>
    <w:p>
      <w:pPr>
        <w:spacing w:line="600" w:lineRule="exact"/>
        <w:ind w:firstLine="321" w:firstLineChars="100"/>
        <w:outlineLvl w:val="1"/>
        <w:rPr>
          <w:rFonts w:ascii="仿宋_GB2312" w:hAnsi="仿宋_GB2312" w:eastAsia="仿宋_GB2312" w:cs="仿宋_GB2312"/>
          <w:b/>
          <w:color w:val="000000"/>
          <w:sz w:val="32"/>
          <w:szCs w:val="32"/>
        </w:rPr>
      </w:pPr>
      <w:bookmarkStart w:id="39" w:name="_Toc15377217"/>
      <w:r>
        <w:rPr>
          <w:rFonts w:hint="eastAsia" w:ascii="楷体_GB2312" w:hAnsi="楷体_GB2312" w:eastAsia="楷体_GB2312" w:cs="楷体_GB2312"/>
          <w:b/>
          <w:color w:val="000000"/>
          <w:sz w:val="32"/>
          <w:szCs w:val="32"/>
        </w:rPr>
        <w:t>（二）“三公”经费财政拨款支出决算具体情况说明</w:t>
      </w:r>
      <w:bookmarkEnd w:id="39"/>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2019年“三公”经费财政拨款支出决算中,因公出国（境）费支出决算0万元,占0%；公务用车购置及运行维护费支出决算5.53万元,占62%；公务接待费支出决算0.56万元，占8%。具体情况如下：</w:t>
      </w:r>
    </w:p>
    <w:p>
      <w:pPr>
        <w:spacing w:line="600" w:lineRule="exact"/>
        <w:ind w:firstLine="640"/>
        <w:rPr>
          <w:rFonts w:ascii="仿宋" w:hAnsi="仿宋" w:eastAsia="仿宋"/>
          <w:b/>
          <w:bCs/>
          <w:color w:val="000000"/>
          <w:sz w:val="32"/>
          <w:szCs w:val="32"/>
        </w:rPr>
      </w:pPr>
      <w:r>
        <w:rPr>
          <w:rFonts w:hint="eastAsia" w:ascii="仿宋_GB2312" w:hAnsi="仿宋_GB2312" w:eastAsia="仿宋_GB2312" w:cs="仿宋_GB2312"/>
          <w:b/>
          <w:bCs/>
          <w:sz w:val="32"/>
          <w:szCs w:val="32"/>
        </w:rPr>
        <w:drawing>
          <wp:anchor distT="0" distB="0" distL="114300" distR="114300" simplePos="0" relativeHeight="251660288" behindDoc="0" locked="0" layoutInCell="1" allowOverlap="1">
            <wp:simplePos x="0" y="0"/>
            <wp:positionH relativeFrom="column">
              <wp:posOffset>431165</wp:posOffset>
            </wp:positionH>
            <wp:positionV relativeFrom="paragraph">
              <wp:posOffset>458470</wp:posOffset>
            </wp:positionV>
            <wp:extent cx="4570095" cy="2741295"/>
            <wp:effectExtent l="12192" t="6096" r="8001" b="2540"/>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b/>
          <w:bCs/>
          <w:color w:val="000000"/>
          <w:sz w:val="32"/>
          <w:szCs w:val="32"/>
        </w:rPr>
        <w:t>（图8:“三公”经费财政拨款支出结构</w:t>
      </w:r>
      <w:r>
        <w:rPr>
          <w:rFonts w:hint="eastAsia" w:ascii="仿宋" w:hAnsi="仿宋" w:eastAsia="仿宋"/>
          <w:b/>
          <w:bCs/>
          <w:color w:val="000000" w:themeColor="text1"/>
          <w:sz w:val="32"/>
          <w:szCs w:val="32"/>
        </w:rPr>
        <w:t>（单位:万元</w:t>
      </w:r>
      <w:r>
        <w:rPr>
          <w:rFonts w:hint="eastAsia" w:ascii="仿宋" w:hAnsi="仿宋" w:eastAsia="仿宋"/>
          <w:b/>
          <w:bCs/>
          <w:color w:val="000000"/>
          <w:sz w:val="32"/>
          <w:szCs w:val="32"/>
        </w:rPr>
        <w:t>）</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1.因公出国（境）经费支出0万元，全年安排因公出国（境）团组0次，出国（境）0人。</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2.公务用车购置及运行维护费支出5.53万元,</w:t>
      </w:r>
      <w:r>
        <w:rPr>
          <w:rStyle w:val="11"/>
          <w:rFonts w:hint="eastAsia" w:ascii="仿宋_GB2312" w:hAnsi="仿宋_GB2312" w:eastAsia="仿宋_GB2312" w:cs="仿宋_GB2312"/>
          <w:b w:val="0"/>
          <w:color w:val="000000"/>
          <w:sz w:val="32"/>
          <w:szCs w:val="32"/>
        </w:rPr>
        <w:t>完成预算100%。</w:t>
      </w:r>
      <w:r>
        <w:rPr>
          <w:rFonts w:hint="eastAsia" w:ascii="仿宋_GB2312" w:hAnsi="仿宋_GB2312" w:eastAsia="仿宋_GB2312" w:cs="仿宋_GB2312"/>
          <w:color w:val="000000"/>
          <w:sz w:val="32"/>
          <w:szCs w:val="32"/>
        </w:rPr>
        <w:t>公务用车购置及运行维护费支出决算比2018年增加1.5万元，增长0.37%。主要原因是下乡检查次数增加。</w:t>
      </w:r>
      <w:r>
        <w:rPr>
          <w:rFonts w:hint="eastAsia" w:ascii="仿宋_GB2312" w:hAnsi="仿宋_GB2312" w:eastAsia="仿宋_GB2312" w:cs="仿宋_GB2312"/>
          <w:color w:val="333333"/>
          <w:kern w:val="0"/>
          <w:sz w:val="32"/>
          <w:szCs w:val="32"/>
        </w:rPr>
        <w:t>2019年未安排公务用车购置。</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公务用车运行维护费支出5.53万元。主要用于日常办公、培训、出差等所需的公务用车燃料费、维修费、过路过桥费、保险费等支出。</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3.公务接待费支出0.5645万元，</w:t>
      </w:r>
      <w:r>
        <w:rPr>
          <w:rStyle w:val="11"/>
          <w:rFonts w:hint="eastAsia" w:ascii="仿宋_GB2312" w:hAnsi="仿宋_GB2312" w:eastAsia="仿宋_GB2312" w:cs="仿宋_GB2312"/>
          <w:b w:val="0"/>
          <w:color w:val="000000"/>
          <w:sz w:val="32"/>
          <w:szCs w:val="32"/>
        </w:rPr>
        <w:t>完成预算80%。</w:t>
      </w:r>
      <w:r>
        <w:rPr>
          <w:rFonts w:hint="eastAsia" w:ascii="仿宋_GB2312" w:hAnsi="仿宋_GB2312" w:eastAsia="仿宋_GB2312" w:cs="仿宋_GB2312"/>
          <w:color w:val="000000"/>
          <w:sz w:val="32"/>
          <w:szCs w:val="32"/>
        </w:rPr>
        <w:t>公务接待费支出决算比2018年增加0.19万元，增长0.33%。主要原因是业务活动增加。主要用于执行公务、开展业务活动开支的交通费、住宿费、用餐费等。国内公务接待36批次，180人次（不包括陪同人员），共计支出0.5645万元，具体内容包括：州住建局脱贫攻坚农房建设管理专项督查接待费0.0355万元；2019年全省建设工程质量安全综合督查接待费0.1398万元；省住建厅住建系统安全生产检查接待费0.3392万元；州住建局开展燃气安全生产专项检查接待费0.05万元。</w:t>
      </w:r>
      <w:bookmarkStart w:id="40" w:name="_Toc15396610"/>
      <w:bookmarkStart w:id="41" w:name="_Toc15377218"/>
    </w:p>
    <w:p>
      <w:pPr>
        <w:spacing w:line="576" w:lineRule="exact"/>
        <w:ind w:firstLine="643" w:firstLineChars="200"/>
        <w:rPr>
          <w:rFonts w:ascii="仿宋_GB2312" w:hAnsi="仿宋_GB2312" w:eastAsia="仿宋_GB2312" w:cs="仿宋_GB2312"/>
          <w:b/>
          <w:color w:val="000000"/>
          <w:sz w:val="32"/>
          <w:szCs w:val="32"/>
        </w:rPr>
      </w:pPr>
      <w:r>
        <w:rPr>
          <w:rFonts w:hint="eastAsia" w:ascii="黑体" w:hAnsi="仿宋_GB2312" w:eastAsia="黑体" w:cs="仿宋_GB2312"/>
          <w:b/>
          <w:color w:val="000000"/>
          <w:sz w:val="32"/>
          <w:szCs w:val="32"/>
        </w:rPr>
        <w:t>八、</w:t>
      </w:r>
      <w:r>
        <w:rPr>
          <w:rStyle w:val="16"/>
          <w:rFonts w:hint="eastAsia" w:ascii="黑体" w:hAnsi="黑体" w:eastAsia="黑体"/>
          <w:b w:val="0"/>
        </w:rPr>
        <w:t>政府性基金预算支出决算情况说明</w:t>
      </w:r>
      <w:bookmarkEnd w:id="40"/>
      <w:bookmarkEnd w:id="41"/>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9年政府性基金预算拨款支出609.59万元。</w:t>
      </w:r>
      <w:bookmarkStart w:id="42" w:name="_Toc15377219"/>
      <w:bookmarkStart w:id="43" w:name="_Toc15396611"/>
    </w:p>
    <w:p>
      <w:pPr>
        <w:spacing w:line="600" w:lineRule="exact"/>
        <w:ind w:firstLine="640" w:firstLineChars="200"/>
        <w:rPr>
          <w:rStyle w:val="16"/>
          <w:rFonts w:ascii="黑体" w:hAnsi="黑体" w:eastAsia="黑体"/>
          <w:b w:val="0"/>
        </w:rPr>
      </w:pPr>
      <w:r>
        <w:rPr>
          <w:rStyle w:val="16"/>
          <w:rFonts w:hint="eastAsia" w:ascii="黑体" w:hAnsi="黑体" w:eastAsia="黑体"/>
          <w:b w:val="0"/>
        </w:rPr>
        <w:t>九、国有资本经营预算支出决算情况说明</w:t>
      </w:r>
      <w:bookmarkEnd w:id="42"/>
      <w:bookmarkEnd w:id="43"/>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9年无国有资本经营预算拨款支出。</w:t>
      </w:r>
    </w:p>
    <w:p>
      <w:pPr>
        <w:spacing w:line="600" w:lineRule="exact"/>
        <w:ind w:firstLine="643" w:firstLineChars="200"/>
        <w:outlineLvl w:val="1"/>
        <w:rPr>
          <w:rStyle w:val="16"/>
          <w:rFonts w:ascii="黑体" w:hAnsi="黑体" w:eastAsia="黑体"/>
          <w:b w:val="0"/>
        </w:rPr>
      </w:pPr>
      <w:r>
        <w:rPr>
          <w:rFonts w:hint="eastAsia" w:ascii="黑体" w:hAnsi="黑体" w:eastAsia="黑体"/>
          <w:b/>
          <w:color w:val="000000"/>
          <w:sz w:val="32"/>
          <w:szCs w:val="32"/>
        </w:rPr>
        <w:t>十</w:t>
      </w:r>
      <w:r>
        <w:rPr>
          <w:rStyle w:val="16"/>
          <w:rFonts w:hint="eastAsia" w:ascii="黑体" w:hAnsi="黑体" w:eastAsia="黑体"/>
          <w:b w:val="0"/>
        </w:rPr>
        <w:t>、其他重要事项的情况说明</w:t>
      </w:r>
    </w:p>
    <w:p>
      <w:pPr>
        <w:spacing w:line="600" w:lineRule="exact"/>
        <w:ind w:firstLine="472" w:firstLineChars="147"/>
        <w:outlineLvl w:val="2"/>
        <w:rPr>
          <w:rFonts w:ascii="楷体_GB2312" w:hAnsi="楷体_GB2312" w:eastAsia="楷体_GB2312" w:cs="楷体_GB2312"/>
          <w:color w:val="000000"/>
          <w:sz w:val="32"/>
          <w:szCs w:val="32"/>
        </w:rPr>
      </w:pPr>
      <w:r>
        <w:rPr>
          <w:rFonts w:hint="eastAsia" w:ascii="楷体_GB2312" w:hAnsi="楷体_GB2312" w:eastAsia="楷体_GB2312" w:cs="楷体_GB2312"/>
          <w:b/>
          <w:color w:val="000000"/>
          <w:sz w:val="32"/>
          <w:szCs w:val="32"/>
        </w:rPr>
        <w:t>（一）机关运行经费支出情况</w:t>
      </w:r>
    </w:p>
    <w:p>
      <w:pPr>
        <w:widowControl/>
        <w:spacing w:line="576" w:lineRule="exact"/>
        <w:ind w:firstLine="640" w:firstLineChars="200"/>
        <w:jc w:val="left"/>
        <w:rPr>
          <w:rFonts w:ascii="仿宋_GB2312" w:hAnsi="仿宋_GB2312" w:eastAsia="仿宋_GB2312" w:cs="仿宋_GB2312"/>
          <w:color w:val="000000"/>
          <w:kern w:val="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hAnsi="仿宋_GB2312" w:eastAsia="仿宋_GB2312" w:cs="仿宋_GB2312"/>
          <w:color w:val="000000"/>
          <w:sz w:val="32"/>
          <w:szCs w:val="32"/>
        </w:rPr>
        <w:t>茂县住房和城乡建设局</w:t>
      </w:r>
      <w:r>
        <w:rPr>
          <w:rFonts w:hint="eastAsia" w:ascii="仿宋_GB2312" w:eastAsia="仿宋_GB2312"/>
          <w:color w:val="000000"/>
          <w:sz w:val="32"/>
          <w:szCs w:val="32"/>
        </w:rPr>
        <w:t>机关运行经费支出35.06万元，比</w:t>
      </w:r>
      <w:r>
        <w:rPr>
          <w:rFonts w:ascii="仿宋_GB2312" w:eastAsia="仿宋_GB2312"/>
          <w:color w:val="000000"/>
          <w:sz w:val="32"/>
          <w:szCs w:val="32"/>
        </w:rPr>
        <w:t>201</w:t>
      </w:r>
      <w:r>
        <w:rPr>
          <w:rFonts w:hint="eastAsia" w:ascii="仿宋_GB2312" w:eastAsia="仿宋_GB2312"/>
          <w:color w:val="000000"/>
          <w:sz w:val="32"/>
          <w:szCs w:val="32"/>
        </w:rPr>
        <w:t>8年增加24.64万元,增长0.70</w:t>
      </w:r>
      <w:r>
        <w:rPr>
          <w:rFonts w:ascii="仿宋_GB2312" w:eastAsia="仿宋_GB2312"/>
          <w:color w:val="000000"/>
          <w:sz w:val="32"/>
          <w:szCs w:val="32"/>
        </w:rPr>
        <w:t>%</w:t>
      </w:r>
      <w:r>
        <w:rPr>
          <w:rFonts w:hint="eastAsia" w:ascii="仿宋_GB2312" w:eastAsia="仿宋_GB2312"/>
          <w:color w:val="000000" w:themeColor="text1"/>
          <w:sz w:val="32"/>
          <w:szCs w:val="32"/>
        </w:rPr>
        <w:t>主要原</w:t>
      </w:r>
      <w:r>
        <w:rPr>
          <w:rFonts w:hint="eastAsia" w:ascii="仿宋_GB2312" w:hAnsi="仿宋_GB2312" w:eastAsia="仿宋_GB2312" w:cs="仿宋_GB2312"/>
          <w:color w:val="000000" w:themeColor="text1"/>
          <w:sz w:val="32"/>
          <w:szCs w:val="32"/>
        </w:rPr>
        <w:t>因是</w:t>
      </w:r>
      <w:r>
        <w:rPr>
          <w:rFonts w:hint="eastAsia" w:ascii="仿宋_GB2312" w:hAnsi="仿宋_GB2312" w:eastAsia="仿宋_GB2312" w:cs="仿宋_GB2312"/>
          <w:color w:val="000000"/>
          <w:kern w:val="0"/>
          <w:sz w:val="32"/>
          <w:szCs w:val="32"/>
        </w:rPr>
        <w:t>因工作需要下乡检查次数增多。</w:t>
      </w:r>
    </w:p>
    <w:p>
      <w:pPr>
        <w:widowControl/>
        <w:spacing w:line="576" w:lineRule="exact"/>
        <w:ind w:firstLine="643" w:firstLineChars="200"/>
        <w:jc w:val="left"/>
        <w:rPr>
          <w:rFonts w:ascii="仿宋" w:hAnsi="仿宋" w:eastAsia="仿宋"/>
          <w:b/>
          <w:color w:val="000000"/>
          <w:sz w:val="32"/>
          <w:szCs w:val="32"/>
        </w:rPr>
      </w:pPr>
      <w:r>
        <w:rPr>
          <w:rFonts w:hint="eastAsia" w:ascii="楷体_GB2312" w:hAnsi="楷体_GB2312" w:eastAsia="楷体_GB2312" w:cs="楷体_GB2312"/>
          <w:b/>
          <w:color w:val="000000"/>
          <w:sz w:val="32"/>
          <w:szCs w:val="32"/>
        </w:rPr>
        <w:t>（二）政府采购支出情况</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9年，无政府采购支出。</w:t>
      </w:r>
    </w:p>
    <w:p>
      <w:pPr>
        <w:spacing w:line="600" w:lineRule="exact"/>
        <w:ind w:firstLine="643" w:firstLineChars="200"/>
        <w:outlineLvl w:val="1"/>
        <w:rPr>
          <w:rFonts w:ascii="仿宋" w:hAnsi="仿宋" w:eastAsia="仿宋"/>
          <w:b/>
          <w:color w:val="000000"/>
          <w:sz w:val="32"/>
          <w:szCs w:val="32"/>
        </w:rPr>
      </w:pPr>
      <w:r>
        <w:rPr>
          <w:rFonts w:hint="eastAsia" w:ascii="楷体_GB2312" w:hAnsi="楷体_GB2312" w:eastAsia="楷体_GB2312" w:cs="楷体_GB2312"/>
          <w:b/>
          <w:color w:val="000000"/>
          <w:sz w:val="32"/>
          <w:szCs w:val="32"/>
        </w:rPr>
        <w:t>（三）国有资产占有使用情况</w:t>
      </w:r>
    </w:p>
    <w:p>
      <w:pPr>
        <w:autoSpaceDE w:val="0"/>
        <w:autoSpaceDN w:val="0"/>
        <w:adjustRightInd w:val="0"/>
        <w:snapToGrid w:val="0"/>
        <w:spacing w:line="576" w:lineRule="exact"/>
        <w:ind w:firstLine="697" w:firstLineChars="218"/>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sz w:val="32"/>
          <w:szCs w:val="32"/>
        </w:rPr>
        <w:t>茂县住房和城乡建设局</w:t>
      </w:r>
      <w:r>
        <w:rPr>
          <w:rFonts w:hint="eastAsia" w:ascii="仿宋_GB2312" w:eastAsia="仿宋_GB2312"/>
          <w:color w:val="000000"/>
          <w:sz w:val="32"/>
          <w:szCs w:val="32"/>
        </w:rPr>
        <w:t>共有车辆10辆，其中：一般公务用车3辆、其他用车7辆。</w:t>
      </w:r>
    </w:p>
    <w:p>
      <w:pPr>
        <w:spacing w:line="576" w:lineRule="exact"/>
        <w:ind w:firstLine="643" w:firstLineChars="200"/>
        <w:rPr>
          <w:rFonts w:ascii="楷体_GB2312" w:eastAsia="楷体_GB2312"/>
          <w:b/>
          <w:color w:val="000000"/>
          <w:sz w:val="32"/>
          <w:szCs w:val="32"/>
        </w:rPr>
      </w:pPr>
      <w:r>
        <w:rPr>
          <w:rFonts w:hint="eastAsia" w:ascii="楷体_GB2312" w:hAnsi="楷体_GB2312" w:eastAsia="楷体_GB2312" w:cs="楷体_GB2312"/>
          <w:b/>
          <w:sz w:val="32"/>
          <w:szCs w:val="32"/>
        </w:rPr>
        <w:t>（四）</w:t>
      </w:r>
      <w:r>
        <w:rPr>
          <w:rFonts w:hint="eastAsia" w:ascii="楷体_GB2312" w:hAnsi="仿宋" w:eastAsia="楷体_GB2312"/>
          <w:b/>
          <w:color w:val="000000"/>
          <w:sz w:val="32"/>
          <w:szCs w:val="32"/>
        </w:rPr>
        <w:t>预算绩效管理情况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茂县住房和城乡局在年初预算编制阶段，组织对5个项目开展了预算事前绩效评估，对5个项目编制了绩效目标，预算执行过程中，选取4个项目开展绩效监控，年终执行完毕后，对4个项目开展了绩效目标完成情况梳理填报。</w:t>
      </w:r>
    </w:p>
    <w:p>
      <w:pPr>
        <w:widowControl/>
        <w:spacing w:line="576" w:lineRule="exact"/>
        <w:ind w:firstLine="64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2"/>
          <w:szCs w:val="32"/>
        </w:rPr>
        <w:t>本部门按要求对2019年部门整体支出开展绩效自评，从评价情况来看</w:t>
      </w:r>
      <w:r>
        <w:rPr>
          <w:rFonts w:ascii="仿宋" w:hAnsi="仿宋" w:eastAsia="仿宋" w:cs="仿宋"/>
          <w:color w:val="000000"/>
          <w:kern w:val="0"/>
          <w:sz w:val="31"/>
          <w:szCs w:val="31"/>
        </w:rPr>
        <w:t>，</w:t>
      </w:r>
      <w:r>
        <w:rPr>
          <w:rFonts w:hint="eastAsia" w:ascii="仿宋_GB2312" w:hAnsi="仿宋_GB2312" w:eastAsia="仿宋_GB2312" w:cs="仿宋_GB2312"/>
          <w:color w:val="000000"/>
          <w:kern w:val="0"/>
          <w:sz w:val="30"/>
          <w:szCs w:val="30"/>
        </w:rPr>
        <w:t xml:space="preserve">2019 年我局部门整体支出绩效评价自查自评结果良好，全年基本支出保证了部门的正常运行和日常工作正常展，项目支出保障了重点工作的开展，绩效目标得到较好实现，绩效管理水平不断提高，绩效指标体系逐渐丰富和完善。 </w:t>
      </w:r>
    </w:p>
    <w:p>
      <w:pPr>
        <w:spacing w:line="576" w:lineRule="atLeast"/>
        <w:ind w:firstLine="643" w:firstLineChars="200"/>
        <w:outlineLvl w:val="1"/>
        <w:rPr>
          <w:rFonts w:ascii="仿宋_GB2312" w:hAnsi="仿宋_GB2312" w:eastAsia="仿宋_GB2312" w:cs="仿宋_GB2312"/>
          <w:sz w:val="32"/>
          <w:szCs w:val="32"/>
        </w:rPr>
      </w:pPr>
      <w:r>
        <w:rPr>
          <w:rFonts w:hint="eastAsia" w:ascii="楷体_GB2312" w:hAnsi="楷体_GB2312" w:eastAsia="楷体_GB2312" w:cs="楷体_GB2312"/>
          <w:b/>
          <w:bCs/>
          <w:sz w:val="32"/>
          <w:szCs w:val="32"/>
        </w:rPr>
        <w:t>1.项目绩效目标完成情况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本部门在2019年度部门决算中反映“城南入口“中心大道南段</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“垃圾收转运体系提升项目”“叠溪镇新磨村集中安置点垃圾转运系统建设项目”4个项目绩效目标实际完成情况。</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城南入口项目绩效目标完成情况综述。项目全年预算数800万元，执行数为790.8万元，完成预算的98%。通过项目的实施,有效的治理了茂县县城南端入口的边坡,有利于维护公路的安全运营,确保了车辆和行人的通行安全,同时也提升了茂县的城市形象,进一步推动了茂县旅游经济的发展。发现的主要问题:项目已全面完工，竣工决算审计已完成，暂无问题。下一步改进措施:进一步加强费用测算提高预算编制准确度。</w:t>
      </w:r>
    </w:p>
    <w:p>
      <w:pPr>
        <w:widowControl/>
        <w:spacing w:line="576" w:lineRule="atLeas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2.中心大道南段项目绩效目标完成情况综述。项目全年预算数700万元，执行数为700万元，完成预算的100%。通过项目实施，改善了交通拥堵去情况，确保了车辆和行人的通行安全,同时也提升了茂县的城市形象。发现的主要问题：</w:t>
      </w:r>
      <w:r>
        <w:rPr>
          <w:rFonts w:hint="eastAsia" w:ascii="仿宋_GB2312" w:hAnsi="微软雅黑" w:eastAsia="仿宋_GB2312" w:cs="仿宋_GB2312"/>
          <w:color w:val="000000"/>
          <w:kern w:val="0"/>
          <w:sz w:val="32"/>
          <w:szCs w:val="32"/>
          <w:shd w:val="clear" w:color="auto" w:fill="FFFFFF"/>
        </w:rPr>
        <w:t>目前该项目竣工结算审计已完成，不存在相关问题。</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color w:val="000000"/>
          <w:kern w:val="0"/>
          <w:sz w:val="32"/>
          <w:szCs w:val="32"/>
        </w:rPr>
        <w:t xml:space="preserve">进一步加强费用测算提高预算编制准确度。 </w:t>
      </w:r>
    </w:p>
    <w:p>
      <w:pPr>
        <w:widowControl/>
        <w:spacing w:line="576" w:lineRule="atLeas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w:t>
      </w:r>
      <w:r>
        <w:rPr>
          <w:rFonts w:hint="eastAsia" w:ascii="仿宋_GB2312" w:hAnsi="宋体" w:eastAsia="仿宋_GB2312" w:cs="宋体"/>
          <w:kern w:val="0"/>
          <w:sz w:val="32"/>
          <w:szCs w:val="30"/>
        </w:rPr>
        <w:t>茂县垃圾收转运体系提升建设</w:t>
      </w:r>
      <w:r>
        <w:rPr>
          <w:rFonts w:hint="eastAsia" w:ascii="仿宋_GB2312" w:hAnsi="仿宋_GB2312" w:eastAsia="仿宋_GB2312" w:cs="仿宋_GB2312"/>
          <w:sz w:val="32"/>
          <w:szCs w:val="32"/>
        </w:rPr>
        <w:t>项目绩效目标完成情况综述。项目全年预算数324万元，执行数为245.7325万元，完成预算的90%。通过项目实施，提高了当地居民的生活质量，使当地居民享受到了社会经济发展的成果，同时也保护了茂县的生态环境</w:t>
      </w:r>
      <w:r>
        <w:rPr>
          <w:rFonts w:ascii="宋体" w:hAnsi="宋体" w:cs="宋体"/>
          <w:sz w:val="24"/>
        </w:rPr>
        <w:t>。</w:t>
      </w:r>
      <w:r>
        <w:rPr>
          <w:rFonts w:hint="eastAsia" w:ascii="仿宋_GB2312" w:hAnsi="仿宋_GB2312" w:eastAsia="仿宋_GB2312" w:cs="仿宋_GB2312"/>
          <w:sz w:val="32"/>
          <w:szCs w:val="32"/>
        </w:rPr>
        <w:t>发现的主要问题：购买的设备实物已移交给城市管理局，但资产还未划转，资产划转请示已上交，还未过会。下一步改进措施：</w:t>
      </w:r>
      <w:r>
        <w:rPr>
          <w:rFonts w:hint="eastAsia" w:ascii="仿宋_GB2312" w:hAnsi="仿宋_GB2312" w:eastAsia="仿宋_GB2312" w:cs="仿宋_GB2312"/>
          <w:color w:val="000000"/>
          <w:kern w:val="0"/>
          <w:sz w:val="32"/>
          <w:szCs w:val="32"/>
        </w:rPr>
        <w:t>进一步加强费用测算提高预算编制准确度。</w:t>
      </w:r>
    </w:p>
    <w:p>
      <w:pPr>
        <w:widowControl/>
        <w:spacing w:line="576"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4.茂县叠溪镇新磨村集中安置点垃圾转运系统建设项目绩效目标完成情况综述。项目全年预算数250万元，执行数232.48万元，完成预算数的96%。通过项目的实施，能有效的解决叠溪镇垃圾转运运输问题，大大缓解和改善生活垃圾转运过程中的卫生条件、降低运行成本、改善城镇周边环境卫生，加快城镇生活垃圾无害化处置的力度。发现的主要问题：目前项目已建成，还没有接管单位，存在运营维护管理的问题。下一步改进措施：尽快确定运营管理维护单位，确保项目有限运行，避免资产闲置，进一步加强费用测算提高预算编制准确度。</w:t>
      </w:r>
    </w:p>
    <w:p>
      <w:pPr>
        <w:widowControl/>
        <w:spacing w:line="576" w:lineRule="atLeast"/>
        <w:ind w:firstLine="640" w:firstLineChars="200"/>
        <w:jc w:val="left"/>
        <w:rPr>
          <w:rFonts w:ascii="仿宋_GB2312" w:hAnsi="仿宋_GB2312" w:eastAsia="仿宋_GB2312" w:cs="仿宋_GB2312"/>
          <w:color w:val="000000"/>
          <w:kern w:val="0"/>
          <w:sz w:val="32"/>
          <w:szCs w:val="32"/>
        </w:rPr>
      </w:pPr>
    </w:p>
    <w:p>
      <w:pPr>
        <w:widowControl/>
        <w:spacing w:line="576" w:lineRule="exact"/>
        <w:ind w:firstLine="640" w:firstLineChars="200"/>
        <w:jc w:val="left"/>
        <w:rPr>
          <w:rFonts w:ascii="仿宋_GB2312" w:hAnsi="仿宋_GB2312" w:eastAsia="仿宋_GB2312" w:cs="仿宋_GB2312"/>
          <w:color w:val="000000"/>
          <w:kern w:val="0"/>
          <w:sz w:val="32"/>
          <w:szCs w:val="32"/>
        </w:rPr>
      </w:pPr>
    </w:p>
    <w:p>
      <w:pPr>
        <w:widowControl/>
        <w:ind w:firstLine="640" w:firstLineChars="200"/>
        <w:jc w:val="left"/>
        <w:rPr>
          <w:rFonts w:ascii="仿宋_GB2312" w:hAnsi="仿宋_GB2312" w:eastAsia="仿宋_GB2312" w:cs="仿宋_GB2312"/>
          <w:color w:val="000000"/>
          <w:kern w:val="0"/>
          <w:sz w:val="32"/>
          <w:szCs w:val="32"/>
        </w:rPr>
      </w:pPr>
    </w:p>
    <w:p>
      <w:pPr>
        <w:widowControl/>
        <w:jc w:val="left"/>
        <w:rPr>
          <w:rFonts w:ascii="楷体_GB2312" w:hAnsi="楷体_GB2312" w:eastAsia="楷体_GB2312" w:cs="楷体_GB2312"/>
          <w:b/>
          <w:bCs/>
          <w:sz w:val="32"/>
          <w:szCs w:val="32"/>
        </w:rPr>
      </w:pPr>
    </w:p>
    <w:tbl>
      <w:tblPr>
        <w:tblStyle w:val="9"/>
        <w:tblpPr w:leftFromText="180" w:rightFromText="180" w:vertAnchor="text" w:horzAnchor="page" w:tblpXSpec="center" w:tblpY="-1276"/>
        <w:tblOverlap w:val="never"/>
        <w:tblW w:w="10334" w:type="dxa"/>
        <w:jc w:val="center"/>
        <w:tblLayout w:type="fixed"/>
        <w:tblCellMar>
          <w:top w:w="0" w:type="dxa"/>
          <w:left w:w="0" w:type="dxa"/>
          <w:bottom w:w="0" w:type="dxa"/>
          <w:right w:w="0" w:type="dxa"/>
        </w:tblCellMar>
      </w:tblPr>
      <w:tblGrid>
        <w:gridCol w:w="528"/>
        <w:gridCol w:w="1401"/>
        <w:gridCol w:w="1050"/>
        <w:gridCol w:w="2451"/>
        <w:gridCol w:w="2453"/>
        <w:gridCol w:w="2451"/>
      </w:tblGrid>
      <w:tr>
        <w:tblPrEx>
          <w:tblCellMar>
            <w:top w:w="0" w:type="dxa"/>
            <w:left w:w="0" w:type="dxa"/>
            <w:bottom w:w="0" w:type="dxa"/>
            <w:right w:w="0" w:type="dxa"/>
          </w:tblCellMar>
        </w:tblPrEx>
        <w:trPr>
          <w:trHeight w:val="1034" w:hRule="atLeast"/>
          <w:jc w:val="center"/>
        </w:trPr>
        <w:tc>
          <w:tcPr>
            <w:tcW w:w="10334" w:type="dxa"/>
            <w:gridSpan w:val="6"/>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pStyle w:val="17"/>
              <w:widowControl/>
              <w:ind w:left="3792" w:leftChars="1120" w:hanging="1440" w:hangingChars="40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9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35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茂县</w:t>
            </w:r>
            <w:r>
              <w:rPr>
                <w:rFonts w:hint="eastAsia" w:ascii="宋体" w:hAnsi="宋体" w:cs="宋体"/>
                <w:sz w:val="24"/>
              </w:rPr>
              <w:t>中心大道南段建设项目</w:t>
            </w:r>
          </w:p>
        </w:tc>
      </w:tr>
      <w:tr>
        <w:tblPrEx>
          <w:tblCellMar>
            <w:top w:w="0" w:type="dxa"/>
            <w:left w:w="0" w:type="dxa"/>
            <w:bottom w:w="0" w:type="dxa"/>
            <w:right w:w="0" w:type="dxa"/>
          </w:tblCellMar>
        </w:tblPrEx>
        <w:trPr>
          <w:trHeight w:val="276" w:hRule="atLeast"/>
          <w:jc w:val="center"/>
        </w:trPr>
        <w:tc>
          <w:tcPr>
            <w:tcW w:w="29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35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茂住城乡规划建设和住房保障局</w:t>
            </w:r>
          </w:p>
        </w:tc>
      </w:tr>
      <w:tr>
        <w:tblPrEx>
          <w:tblCellMar>
            <w:top w:w="0" w:type="dxa"/>
            <w:left w:w="0" w:type="dxa"/>
            <w:bottom w:w="0" w:type="dxa"/>
            <w:right w:w="0" w:type="dxa"/>
          </w:tblCellMar>
        </w:tblPrEx>
        <w:trPr>
          <w:trHeight w:val="276" w:hRule="atLeast"/>
          <w:jc w:val="center"/>
        </w:trPr>
        <w:tc>
          <w:tcPr>
            <w:tcW w:w="52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5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700</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700</w:t>
            </w:r>
          </w:p>
        </w:tc>
      </w:tr>
      <w:tr>
        <w:tblPrEx>
          <w:tblCellMar>
            <w:top w:w="0" w:type="dxa"/>
            <w:left w:w="0" w:type="dxa"/>
            <w:bottom w:w="0" w:type="dxa"/>
            <w:right w:w="0" w:type="dxa"/>
          </w:tblCellMar>
        </w:tblPrEx>
        <w:trPr>
          <w:trHeight w:val="276"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45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700</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700</w:t>
            </w:r>
          </w:p>
        </w:tc>
      </w:tr>
      <w:tr>
        <w:tblPrEx>
          <w:tblCellMar>
            <w:top w:w="0" w:type="dxa"/>
            <w:left w:w="0" w:type="dxa"/>
            <w:bottom w:w="0" w:type="dxa"/>
            <w:right w:w="0" w:type="dxa"/>
          </w:tblCellMar>
        </w:tblPrEx>
        <w:trPr>
          <w:trHeight w:val="1415"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45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52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90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90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14"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90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缓解交通拥堵问题，</w:t>
            </w:r>
            <w:r>
              <w:rPr>
                <w:rFonts w:ascii="宋体" w:hAnsi="宋体" w:cs="宋体"/>
                <w:sz w:val="24"/>
              </w:rPr>
              <w:t>确保了车辆和行人的通行安全</w:t>
            </w:r>
            <w:r>
              <w:rPr>
                <w:rFonts w:hint="eastAsia" w:ascii="宋体" w:hAnsi="宋体" w:cs="宋体"/>
                <w:sz w:val="24"/>
              </w:rPr>
              <w:t>，</w:t>
            </w:r>
            <w:r>
              <w:rPr>
                <w:rFonts w:ascii="宋体" w:hAnsi="宋体" w:cs="宋体"/>
                <w:sz w:val="24"/>
              </w:rPr>
              <w:t>加快城镇生活</w:t>
            </w:r>
          </w:p>
        </w:tc>
        <w:tc>
          <w:tcPr>
            <w:tcW w:w="490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缓解交通拥堵问题，</w:t>
            </w:r>
            <w:r>
              <w:rPr>
                <w:rFonts w:ascii="宋体" w:hAnsi="宋体" w:cs="宋体"/>
                <w:sz w:val="24"/>
              </w:rPr>
              <w:t>确保了车辆和行人的通行安全</w:t>
            </w:r>
            <w:r>
              <w:rPr>
                <w:rFonts w:hint="eastAsia" w:ascii="宋体" w:hAnsi="宋体" w:cs="宋体"/>
                <w:sz w:val="24"/>
              </w:rPr>
              <w:t>，</w:t>
            </w:r>
            <w:r>
              <w:rPr>
                <w:rFonts w:ascii="宋体" w:hAnsi="宋体" w:cs="宋体"/>
                <w:sz w:val="24"/>
              </w:rPr>
              <w:t>加快城镇生活</w:t>
            </w:r>
          </w:p>
        </w:tc>
      </w:tr>
      <w:tr>
        <w:tblPrEx>
          <w:tblCellMar>
            <w:top w:w="0" w:type="dxa"/>
            <w:left w:w="0" w:type="dxa"/>
            <w:bottom w:w="0" w:type="dxa"/>
            <w:right w:w="0" w:type="dxa"/>
          </w:tblCellMar>
        </w:tblPrEx>
        <w:trPr>
          <w:trHeight w:val="1042" w:hRule="atLeast"/>
          <w:jc w:val="center"/>
        </w:trPr>
        <w:tc>
          <w:tcPr>
            <w:tcW w:w="52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完成预算数的100%</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完成预算数的100%</w:t>
            </w:r>
          </w:p>
        </w:tc>
      </w:tr>
      <w:tr>
        <w:tblPrEx>
          <w:tblCellMar>
            <w:top w:w="0" w:type="dxa"/>
            <w:left w:w="0" w:type="dxa"/>
            <w:bottom w:w="0" w:type="dxa"/>
            <w:right w:w="0" w:type="dxa"/>
          </w:tblCellMar>
        </w:tblPrEx>
        <w:trPr>
          <w:trHeight w:val="954"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实效指标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项目完成及时</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p>
            <w:pPr>
              <w:widowControl/>
              <w:jc w:val="center"/>
              <w:textAlignment w:val="center"/>
              <w:rPr>
                <w:rFonts w:ascii="宋体" w:hAnsi="宋体" w:cs="宋体"/>
                <w:color w:val="000000"/>
                <w:sz w:val="24"/>
              </w:rPr>
            </w:pP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按照当年合同金额执行</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按照当年合同金额执行</w:t>
            </w:r>
          </w:p>
        </w:tc>
      </w:tr>
      <w:tr>
        <w:tblPrEx>
          <w:tblCellMar>
            <w:top w:w="0" w:type="dxa"/>
            <w:left w:w="0" w:type="dxa"/>
            <w:bottom w:w="0" w:type="dxa"/>
            <w:right w:w="0" w:type="dxa"/>
          </w:tblCellMar>
        </w:tblPrEx>
        <w:trPr>
          <w:trHeight w:val="1042"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240" w:firstLineChars="10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rPr>
              <w:t>拟达成效</w:t>
            </w:r>
          </w:p>
          <w:p>
            <w:pPr>
              <w:widowControl/>
              <w:jc w:val="center"/>
              <w:textAlignment w:val="center"/>
              <w:rPr>
                <w:rFonts w:ascii="宋体" w:hAnsi="宋体" w:cs="宋体"/>
                <w:color w:val="000000"/>
                <w:sz w:val="24"/>
              </w:rPr>
            </w:pP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缓解交通拥堵问题，</w:t>
            </w:r>
            <w:r>
              <w:rPr>
                <w:rFonts w:ascii="宋体" w:hAnsi="宋体" w:cs="宋体"/>
                <w:sz w:val="24"/>
              </w:rPr>
              <w:t>确保了车辆和行人的通行安全</w:t>
            </w:r>
            <w:r>
              <w:rPr>
                <w:rFonts w:hint="eastAsia" w:ascii="宋体" w:hAnsi="宋体" w:cs="宋体"/>
                <w:sz w:val="24"/>
              </w:rPr>
              <w:t>，</w:t>
            </w:r>
            <w:r>
              <w:rPr>
                <w:rFonts w:ascii="宋体" w:hAnsi="宋体" w:cs="宋体"/>
                <w:sz w:val="24"/>
              </w:rPr>
              <w:t>加快城镇生活</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eastAsiaTheme="minorEastAsia"/>
                <w:color w:val="000000"/>
                <w:sz w:val="24"/>
              </w:rPr>
            </w:pPr>
            <w:r>
              <w:rPr>
                <w:rFonts w:hint="eastAsia" w:ascii="宋体" w:hAnsi="宋体" w:cs="宋体"/>
                <w:sz w:val="24"/>
              </w:rPr>
              <w:t>缓解交通拥堵问题，</w:t>
            </w:r>
            <w:r>
              <w:rPr>
                <w:rFonts w:ascii="宋体" w:hAnsi="宋体" w:cs="宋体"/>
                <w:sz w:val="24"/>
              </w:rPr>
              <w:t>确保了车辆和行人的通行安全</w:t>
            </w:r>
            <w:r>
              <w:rPr>
                <w:rFonts w:hint="eastAsia" w:ascii="宋体" w:hAnsi="宋体" w:cs="宋体"/>
                <w:sz w:val="24"/>
              </w:rPr>
              <w:t>，</w:t>
            </w:r>
            <w:r>
              <w:rPr>
                <w:rFonts w:ascii="宋体" w:hAnsi="宋体" w:cs="宋体"/>
                <w:sz w:val="24"/>
              </w:rPr>
              <w:t>加快城镇生活</w:t>
            </w:r>
          </w:p>
        </w:tc>
      </w:tr>
      <w:tr>
        <w:tblPrEx>
          <w:tblCellMar>
            <w:top w:w="0" w:type="dxa"/>
            <w:left w:w="0" w:type="dxa"/>
            <w:bottom w:w="0" w:type="dxa"/>
            <w:right w:w="0" w:type="dxa"/>
          </w:tblCellMar>
        </w:tblPrEx>
        <w:trPr>
          <w:trHeight w:val="1050"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组织工作满意度</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r>
    </w:tbl>
    <w:p>
      <w:pPr>
        <w:widowControl/>
        <w:jc w:val="left"/>
        <w:rPr>
          <w:rFonts w:ascii="楷体_GB2312" w:hAnsi="楷体_GB2312" w:eastAsia="楷体_GB2312" w:cs="楷体_GB2312"/>
          <w:b/>
          <w:bCs/>
          <w:sz w:val="32"/>
          <w:szCs w:val="32"/>
        </w:rPr>
      </w:pPr>
    </w:p>
    <w:p>
      <w:pPr>
        <w:widowControl/>
        <w:jc w:val="left"/>
        <w:rPr>
          <w:rFonts w:ascii="楷体_GB2312" w:hAnsi="楷体_GB2312" w:eastAsia="楷体_GB2312" w:cs="楷体_GB2312"/>
          <w:b/>
          <w:bCs/>
          <w:sz w:val="32"/>
          <w:szCs w:val="32"/>
        </w:rPr>
      </w:pPr>
    </w:p>
    <w:tbl>
      <w:tblPr>
        <w:tblStyle w:val="9"/>
        <w:tblpPr w:leftFromText="180" w:rightFromText="180" w:vertAnchor="text" w:horzAnchor="page" w:tblpXSpec="center" w:tblpY="-1276"/>
        <w:tblOverlap w:val="never"/>
        <w:tblW w:w="10334" w:type="dxa"/>
        <w:jc w:val="center"/>
        <w:tblLayout w:type="fixed"/>
        <w:tblCellMar>
          <w:top w:w="0" w:type="dxa"/>
          <w:left w:w="0" w:type="dxa"/>
          <w:bottom w:w="0" w:type="dxa"/>
          <w:right w:w="0" w:type="dxa"/>
        </w:tblCellMar>
      </w:tblPr>
      <w:tblGrid>
        <w:gridCol w:w="528"/>
        <w:gridCol w:w="1401"/>
        <w:gridCol w:w="1050"/>
        <w:gridCol w:w="2451"/>
        <w:gridCol w:w="2453"/>
        <w:gridCol w:w="2451"/>
      </w:tblGrid>
      <w:tr>
        <w:tblPrEx>
          <w:tblCellMar>
            <w:top w:w="0" w:type="dxa"/>
            <w:left w:w="0" w:type="dxa"/>
            <w:bottom w:w="0" w:type="dxa"/>
            <w:right w:w="0" w:type="dxa"/>
          </w:tblCellMar>
        </w:tblPrEx>
        <w:trPr>
          <w:trHeight w:val="1034" w:hRule="atLeast"/>
          <w:jc w:val="center"/>
        </w:trPr>
        <w:tc>
          <w:tcPr>
            <w:tcW w:w="10334" w:type="dxa"/>
            <w:gridSpan w:val="6"/>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pStyle w:val="17"/>
              <w:widowControl/>
              <w:ind w:left="3792" w:leftChars="1120" w:hanging="1440" w:hangingChars="40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9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35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Theme="minorEastAsia" w:hAnsiTheme="minorEastAsia" w:eastAsiaTheme="minorEastAsia" w:cstheme="minorEastAsia"/>
                <w:kern w:val="0"/>
                <w:sz w:val="24"/>
              </w:rPr>
              <w:t>茂县城南入口综合治理建设</w:t>
            </w:r>
            <w:r>
              <w:rPr>
                <w:rFonts w:hint="eastAsia" w:asciiTheme="minorEastAsia" w:hAnsiTheme="minorEastAsia" w:eastAsiaTheme="minorEastAsia" w:cstheme="minorEastAsia"/>
                <w:sz w:val="24"/>
              </w:rPr>
              <w:t>项目</w:t>
            </w:r>
          </w:p>
        </w:tc>
      </w:tr>
      <w:tr>
        <w:tblPrEx>
          <w:tblCellMar>
            <w:top w:w="0" w:type="dxa"/>
            <w:left w:w="0" w:type="dxa"/>
            <w:bottom w:w="0" w:type="dxa"/>
            <w:right w:w="0" w:type="dxa"/>
          </w:tblCellMar>
        </w:tblPrEx>
        <w:trPr>
          <w:trHeight w:val="276" w:hRule="atLeast"/>
          <w:jc w:val="center"/>
        </w:trPr>
        <w:tc>
          <w:tcPr>
            <w:tcW w:w="29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35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茂住城乡规划建设和住房保障局</w:t>
            </w:r>
          </w:p>
        </w:tc>
      </w:tr>
      <w:tr>
        <w:tblPrEx>
          <w:tblCellMar>
            <w:top w:w="0" w:type="dxa"/>
            <w:left w:w="0" w:type="dxa"/>
            <w:bottom w:w="0" w:type="dxa"/>
            <w:right w:w="0" w:type="dxa"/>
          </w:tblCellMar>
        </w:tblPrEx>
        <w:trPr>
          <w:trHeight w:val="276" w:hRule="atLeast"/>
          <w:jc w:val="center"/>
        </w:trPr>
        <w:tc>
          <w:tcPr>
            <w:tcW w:w="52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5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800</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800</w:t>
            </w:r>
          </w:p>
        </w:tc>
      </w:tr>
      <w:tr>
        <w:tblPrEx>
          <w:tblCellMar>
            <w:top w:w="0" w:type="dxa"/>
            <w:left w:w="0" w:type="dxa"/>
            <w:bottom w:w="0" w:type="dxa"/>
            <w:right w:w="0" w:type="dxa"/>
          </w:tblCellMar>
        </w:tblPrEx>
        <w:trPr>
          <w:trHeight w:val="276"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45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800</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800</w:t>
            </w:r>
          </w:p>
        </w:tc>
      </w:tr>
      <w:tr>
        <w:tblPrEx>
          <w:tblCellMar>
            <w:top w:w="0" w:type="dxa"/>
            <w:left w:w="0" w:type="dxa"/>
            <w:bottom w:w="0" w:type="dxa"/>
            <w:right w:w="0" w:type="dxa"/>
          </w:tblCellMar>
        </w:tblPrEx>
        <w:trPr>
          <w:trHeight w:val="1415"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45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52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90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90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14"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90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有效的治理茂县县城南端入口的边坡，维护公路的安全运营，确保车辆和行人的通行安全</w:t>
            </w:r>
          </w:p>
        </w:tc>
        <w:tc>
          <w:tcPr>
            <w:tcW w:w="490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有效的治理茂县县城南端入口的边坡，维护公路的安全运营，确保车辆和行人的通行安全</w:t>
            </w:r>
          </w:p>
        </w:tc>
      </w:tr>
      <w:tr>
        <w:tblPrEx>
          <w:tblCellMar>
            <w:top w:w="0" w:type="dxa"/>
            <w:left w:w="0" w:type="dxa"/>
            <w:bottom w:w="0" w:type="dxa"/>
            <w:right w:w="0" w:type="dxa"/>
          </w:tblCellMar>
        </w:tblPrEx>
        <w:trPr>
          <w:trHeight w:val="1042" w:hRule="atLeast"/>
          <w:jc w:val="center"/>
        </w:trPr>
        <w:tc>
          <w:tcPr>
            <w:tcW w:w="52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完成预算数的98%</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完成预算数的98%</w:t>
            </w:r>
          </w:p>
        </w:tc>
      </w:tr>
      <w:tr>
        <w:tblPrEx>
          <w:tblCellMar>
            <w:top w:w="0" w:type="dxa"/>
            <w:left w:w="0" w:type="dxa"/>
            <w:bottom w:w="0" w:type="dxa"/>
            <w:right w:w="0" w:type="dxa"/>
          </w:tblCellMar>
        </w:tblPrEx>
        <w:trPr>
          <w:trHeight w:val="954"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实效指标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项目完成及时</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p>
            <w:pPr>
              <w:widowControl/>
              <w:jc w:val="center"/>
              <w:textAlignment w:val="center"/>
              <w:rPr>
                <w:rFonts w:ascii="宋体" w:hAnsi="宋体" w:cs="宋体"/>
                <w:color w:val="000000"/>
                <w:sz w:val="24"/>
              </w:rPr>
            </w:pP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按照当年合同金额执行</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按照当年合同金额执行</w:t>
            </w:r>
          </w:p>
        </w:tc>
      </w:tr>
      <w:tr>
        <w:tblPrEx>
          <w:tblCellMar>
            <w:top w:w="0" w:type="dxa"/>
            <w:left w:w="0" w:type="dxa"/>
            <w:bottom w:w="0" w:type="dxa"/>
            <w:right w:w="0" w:type="dxa"/>
          </w:tblCellMar>
        </w:tblPrEx>
        <w:trPr>
          <w:trHeight w:val="1042"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240" w:firstLineChars="10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rPr>
              <w:t>拟达成效</w:t>
            </w:r>
          </w:p>
          <w:p>
            <w:pPr>
              <w:widowControl/>
              <w:jc w:val="center"/>
              <w:textAlignment w:val="center"/>
              <w:rPr>
                <w:rFonts w:ascii="宋体" w:hAnsi="宋体" w:cs="宋体"/>
                <w:color w:val="000000"/>
                <w:sz w:val="24"/>
              </w:rPr>
            </w:pP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有效的治理了茂县县城南端入口的边坡，有利于维护公路的安全运营，确保了车辆和行人的通行安全</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eastAsiaTheme="minorEastAsia"/>
                <w:color w:val="000000"/>
                <w:sz w:val="24"/>
              </w:rPr>
            </w:pPr>
            <w:r>
              <w:rPr>
                <w:rFonts w:ascii="宋体" w:hAnsi="宋体" w:cs="宋体"/>
                <w:sz w:val="24"/>
              </w:rPr>
              <w:t>有效的治理了茂县县城南端入口的边坡，有利于维护公路的安全运营，确保了车辆和行人的通行安全</w:t>
            </w:r>
          </w:p>
        </w:tc>
      </w:tr>
      <w:tr>
        <w:tblPrEx>
          <w:tblCellMar>
            <w:top w:w="0" w:type="dxa"/>
            <w:left w:w="0" w:type="dxa"/>
            <w:bottom w:w="0" w:type="dxa"/>
            <w:right w:w="0" w:type="dxa"/>
          </w:tblCellMar>
        </w:tblPrEx>
        <w:trPr>
          <w:trHeight w:val="1050" w:hRule="atLeast"/>
          <w:jc w:val="center"/>
        </w:trPr>
        <w:tc>
          <w:tcPr>
            <w:tcW w:w="5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40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组织工作满意度</w:t>
            </w:r>
          </w:p>
        </w:tc>
        <w:tc>
          <w:tcPr>
            <w:tcW w:w="24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4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r>
    </w:tbl>
    <w:p>
      <w:pPr>
        <w:widowControl/>
        <w:jc w:val="left"/>
        <w:rPr>
          <w:rFonts w:ascii="楷体_GB2312" w:hAnsi="楷体_GB2312" w:eastAsia="楷体_GB2312" w:cs="楷体_GB2312"/>
          <w:b/>
          <w:bCs/>
          <w:sz w:val="32"/>
          <w:szCs w:val="32"/>
        </w:rPr>
      </w:pPr>
    </w:p>
    <w:p>
      <w:pPr>
        <w:widowControl/>
        <w:jc w:val="left"/>
        <w:rPr>
          <w:rFonts w:ascii="楷体_GB2312" w:hAnsi="楷体_GB2312" w:eastAsia="楷体_GB2312" w:cs="楷体_GB2312"/>
          <w:b/>
          <w:bCs/>
          <w:sz w:val="32"/>
          <w:szCs w:val="32"/>
        </w:rPr>
      </w:pPr>
    </w:p>
    <w:p>
      <w:pPr>
        <w:widowControl/>
        <w:ind w:firstLine="479" w:firstLineChars="149"/>
        <w:jc w:val="left"/>
        <w:rPr>
          <w:rFonts w:ascii="楷体_GB2312" w:hAnsi="楷体_GB2312" w:eastAsia="楷体_GB2312" w:cs="楷体_GB2312"/>
          <w:b/>
          <w:bCs/>
          <w:sz w:val="32"/>
          <w:szCs w:val="32"/>
        </w:rPr>
      </w:pPr>
    </w:p>
    <w:tbl>
      <w:tblPr>
        <w:tblStyle w:val="9"/>
        <w:tblpPr w:leftFromText="180" w:rightFromText="180" w:vertAnchor="text" w:horzAnchor="page" w:tblpXSpec="center" w:tblpY="-1276"/>
        <w:tblOverlap w:val="never"/>
        <w:tblW w:w="10221" w:type="dxa"/>
        <w:jc w:val="center"/>
        <w:tblLayout w:type="fixed"/>
        <w:tblCellMar>
          <w:top w:w="0" w:type="dxa"/>
          <w:left w:w="0" w:type="dxa"/>
          <w:bottom w:w="0" w:type="dxa"/>
          <w:right w:w="0" w:type="dxa"/>
        </w:tblCellMar>
      </w:tblPr>
      <w:tblGrid>
        <w:gridCol w:w="745"/>
        <w:gridCol w:w="1170"/>
        <w:gridCol w:w="1039"/>
        <w:gridCol w:w="2421"/>
        <w:gridCol w:w="2424"/>
        <w:gridCol w:w="2422"/>
      </w:tblGrid>
      <w:tr>
        <w:tblPrEx>
          <w:tblCellMar>
            <w:top w:w="0" w:type="dxa"/>
            <w:left w:w="0" w:type="dxa"/>
            <w:bottom w:w="0" w:type="dxa"/>
            <w:right w:w="0" w:type="dxa"/>
          </w:tblCellMar>
        </w:tblPrEx>
        <w:trPr>
          <w:trHeight w:val="1034" w:hRule="atLeast"/>
          <w:jc w:val="center"/>
        </w:trPr>
        <w:tc>
          <w:tcPr>
            <w:tcW w:w="9727" w:type="dxa"/>
            <w:gridSpan w:val="6"/>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widowControl/>
              <w:jc w:val="center"/>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CellMar>
            <w:top w:w="0" w:type="dxa"/>
            <w:left w:w="0" w:type="dxa"/>
            <w:bottom w:w="0" w:type="dxa"/>
            <w:right w:w="0" w:type="dxa"/>
          </w:tblCellMar>
        </w:tblPrEx>
        <w:trPr>
          <w:trHeight w:val="276" w:hRule="atLeast"/>
          <w:jc w:val="center"/>
        </w:trPr>
        <w:tc>
          <w:tcPr>
            <w:tcW w:w="281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1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Theme="minorEastAsia" w:hAnsiTheme="minorEastAsia" w:eastAsiaTheme="minorEastAsia" w:cstheme="minorEastAsia"/>
                <w:kern w:val="0"/>
                <w:sz w:val="24"/>
              </w:rPr>
              <w:t>茂县垃圾收转运体系提升项目建设</w:t>
            </w:r>
          </w:p>
        </w:tc>
      </w:tr>
      <w:tr>
        <w:tblPrEx>
          <w:tblCellMar>
            <w:top w:w="0" w:type="dxa"/>
            <w:left w:w="0" w:type="dxa"/>
            <w:bottom w:w="0" w:type="dxa"/>
            <w:right w:w="0" w:type="dxa"/>
          </w:tblCellMar>
        </w:tblPrEx>
        <w:trPr>
          <w:trHeight w:val="276" w:hRule="atLeast"/>
          <w:jc w:val="center"/>
        </w:trPr>
        <w:tc>
          <w:tcPr>
            <w:tcW w:w="281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1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茂住城乡规划建设和住房保障局</w:t>
            </w:r>
          </w:p>
        </w:tc>
      </w:tr>
      <w:tr>
        <w:tblPrEx>
          <w:tblCellMar>
            <w:top w:w="0" w:type="dxa"/>
            <w:left w:w="0" w:type="dxa"/>
            <w:bottom w:w="0" w:type="dxa"/>
            <w:right w:w="0" w:type="dxa"/>
          </w:tblCellMar>
        </w:tblPrEx>
        <w:trPr>
          <w:trHeight w:val="276" w:hRule="atLeast"/>
          <w:jc w:val="center"/>
        </w:trPr>
        <w:tc>
          <w:tcPr>
            <w:tcW w:w="70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1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324</w:t>
            </w:r>
          </w:p>
        </w:tc>
        <w:tc>
          <w:tcPr>
            <w:tcW w:w="23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245.7325</w:t>
            </w:r>
          </w:p>
        </w:tc>
      </w:tr>
      <w:tr>
        <w:tblPrEx>
          <w:tblCellMar>
            <w:top w:w="0" w:type="dxa"/>
            <w:left w:w="0" w:type="dxa"/>
            <w:bottom w:w="0" w:type="dxa"/>
            <w:right w:w="0" w:type="dxa"/>
          </w:tblCellMar>
        </w:tblPrEx>
        <w:trPr>
          <w:trHeight w:val="276"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1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324</w:t>
            </w:r>
          </w:p>
        </w:tc>
        <w:tc>
          <w:tcPr>
            <w:tcW w:w="23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324</w:t>
            </w:r>
          </w:p>
        </w:tc>
      </w:tr>
      <w:tr>
        <w:tblPrEx>
          <w:tblCellMar>
            <w:top w:w="0" w:type="dxa"/>
            <w:left w:w="0" w:type="dxa"/>
            <w:bottom w:w="0" w:type="dxa"/>
            <w:right w:w="0" w:type="dxa"/>
          </w:tblCellMar>
        </w:tblPrEx>
        <w:trPr>
          <w:trHeight w:val="1511"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10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0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61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14"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40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该项目建设规模购置并安装</w:t>
            </w:r>
            <w:r>
              <w:rPr>
                <w:rFonts w:hint="eastAsia" w:ascii="宋体" w:hAnsi="宋体" w:cs="宋体"/>
                <w:color w:val="000000"/>
                <w:sz w:val="24"/>
              </w:rPr>
              <w:t>后装压缩式垃圾车5辆，车厢可卸式垃圾车5辆，方形垃圾桶155个，可卸式垃圾桶60个，绿化洒水车1辆</w:t>
            </w:r>
          </w:p>
        </w:tc>
        <w:tc>
          <w:tcPr>
            <w:tcW w:w="461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该项目建设规模购置并安装</w:t>
            </w:r>
            <w:r>
              <w:rPr>
                <w:rFonts w:hint="eastAsia" w:ascii="宋体" w:hAnsi="宋体" w:cs="宋体"/>
                <w:color w:val="000000"/>
                <w:sz w:val="24"/>
              </w:rPr>
              <w:t>后装压缩式垃圾车5辆，车厢可卸式垃圾车5辆，方形垃圾桶155个，可卸式垃圾桶60个，绿化洒水车1辆</w:t>
            </w:r>
          </w:p>
          <w:p>
            <w:pPr>
              <w:widowControl/>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70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9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3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后装压缩式垃圾车5辆，车厢可卸式垃圾车5辆，方形垃圾桶155个，可卸式垃圾桶60个，绿化洒水车1辆</w:t>
            </w:r>
          </w:p>
        </w:tc>
        <w:tc>
          <w:tcPr>
            <w:tcW w:w="23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后装压缩式垃圾车5辆，车厢可卸式垃圾车5辆，方形垃圾桶155个，可卸式垃圾桶60个，绿化洒水车1辆</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实效指标</w:t>
            </w:r>
          </w:p>
        </w:tc>
        <w:tc>
          <w:tcPr>
            <w:tcW w:w="2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当年9月底</w:t>
            </w:r>
          </w:p>
        </w:tc>
        <w:tc>
          <w:tcPr>
            <w:tcW w:w="23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当年9月底</w:t>
            </w:r>
          </w:p>
        </w:tc>
      </w:tr>
      <w:tr>
        <w:tblPrEx>
          <w:tblCellMar>
            <w:top w:w="0" w:type="dxa"/>
            <w:left w:w="0" w:type="dxa"/>
            <w:bottom w:w="0" w:type="dxa"/>
            <w:right w:w="0" w:type="dxa"/>
          </w:tblCellMar>
        </w:tblPrEx>
        <w:trPr>
          <w:trHeight w:val="1042"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3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按照当年合同金额执行</w:t>
            </w:r>
          </w:p>
        </w:tc>
        <w:tc>
          <w:tcPr>
            <w:tcW w:w="23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按照合同支付金额</w:t>
            </w:r>
          </w:p>
        </w:tc>
      </w:tr>
      <w:tr>
        <w:tblPrEx>
          <w:tblCellMar>
            <w:top w:w="0" w:type="dxa"/>
            <w:left w:w="0" w:type="dxa"/>
            <w:bottom w:w="0" w:type="dxa"/>
            <w:right w:w="0" w:type="dxa"/>
          </w:tblCellMar>
        </w:tblPrEx>
        <w:trPr>
          <w:trHeight w:val="1042"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113"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989"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04"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ind w:firstLine="240" w:firstLineChars="10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rPr>
              <w:t>拟达成效</w:t>
            </w:r>
          </w:p>
          <w:p>
            <w:pPr>
              <w:widowControl/>
              <w:jc w:val="center"/>
              <w:textAlignment w:val="center"/>
              <w:rPr>
                <w:rFonts w:ascii="宋体" w:hAnsi="宋体" w:cs="宋体"/>
                <w:color w:val="000000"/>
                <w:sz w:val="24"/>
              </w:rPr>
            </w:pPr>
          </w:p>
        </w:tc>
        <w:tc>
          <w:tcPr>
            <w:tcW w:w="23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Theme="minorEastAsia" w:hAnsiTheme="minorEastAsia" w:eastAsiaTheme="minorEastAsia" w:cstheme="minorEastAsia"/>
                <w:sz w:val="24"/>
              </w:rPr>
              <w:t>提高了当地居民的生活质量，同时也保护了茂县的生态环境</w:t>
            </w:r>
          </w:p>
        </w:tc>
        <w:tc>
          <w:tcPr>
            <w:tcW w:w="23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Theme="minorEastAsia" w:hAnsiTheme="minorEastAsia" w:eastAsiaTheme="minorEastAsia" w:cstheme="minorEastAsia"/>
                <w:sz w:val="24"/>
              </w:rPr>
            </w:pPr>
          </w:p>
          <w:p>
            <w:pPr>
              <w:widowControl/>
              <w:jc w:val="center"/>
              <w:textAlignment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提高了当地居民的生活质量，同时也保护了茂县的生态环境</w:t>
            </w:r>
          </w:p>
          <w:p>
            <w:pPr>
              <w:widowControl/>
              <w:textAlignment w:val="center"/>
              <w:rPr>
                <w:rFonts w:ascii="宋体" w:hAnsi="宋体" w:cs="宋体" w:eastAsiaTheme="minorEastAsia"/>
                <w:color w:val="000000"/>
                <w:sz w:val="24"/>
              </w:rPr>
            </w:pPr>
          </w:p>
        </w:tc>
      </w:tr>
      <w:tr>
        <w:tblPrEx>
          <w:tblCellMar>
            <w:top w:w="0" w:type="dxa"/>
            <w:left w:w="0" w:type="dxa"/>
            <w:bottom w:w="0" w:type="dxa"/>
            <w:right w:w="0" w:type="dxa"/>
          </w:tblCellMar>
        </w:tblPrEx>
        <w:trPr>
          <w:trHeight w:val="684"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113" w:type="dxa"/>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989" w:type="dxa"/>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04" w:type="dxa"/>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组织工作满意度</w:t>
            </w:r>
          </w:p>
        </w:tc>
        <w:tc>
          <w:tcPr>
            <w:tcW w:w="23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r>
    </w:tbl>
    <w:p>
      <w:pPr>
        <w:rPr>
          <w:szCs w:val="28"/>
        </w:rPr>
      </w:pPr>
    </w:p>
    <w:p>
      <w:pPr>
        <w:rPr>
          <w:szCs w:val="28"/>
        </w:rPr>
      </w:pPr>
    </w:p>
    <w:tbl>
      <w:tblPr>
        <w:tblStyle w:val="9"/>
        <w:tblpPr w:leftFromText="180" w:rightFromText="180" w:vertAnchor="text" w:horzAnchor="page" w:tblpXSpec="center" w:tblpY="-1276"/>
        <w:tblOverlap w:val="never"/>
        <w:tblW w:w="10221" w:type="dxa"/>
        <w:jc w:val="center"/>
        <w:tblLayout w:type="fixed"/>
        <w:tblCellMar>
          <w:top w:w="0" w:type="dxa"/>
          <w:left w:w="0" w:type="dxa"/>
          <w:bottom w:w="0" w:type="dxa"/>
          <w:right w:w="0" w:type="dxa"/>
        </w:tblCellMar>
      </w:tblPr>
      <w:tblGrid>
        <w:gridCol w:w="637"/>
        <w:gridCol w:w="1505"/>
        <w:gridCol w:w="859"/>
        <w:gridCol w:w="416"/>
        <w:gridCol w:w="1945"/>
        <w:gridCol w:w="2364"/>
        <w:gridCol w:w="2495"/>
      </w:tblGrid>
      <w:tr>
        <w:tblPrEx>
          <w:tblCellMar>
            <w:top w:w="0" w:type="dxa"/>
            <w:left w:w="0" w:type="dxa"/>
            <w:bottom w:w="0" w:type="dxa"/>
            <w:right w:w="0" w:type="dxa"/>
          </w:tblCellMar>
        </w:tblPrEx>
        <w:trPr>
          <w:trHeight w:val="1034" w:hRule="atLeast"/>
          <w:jc w:val="center"/>
        </w:trPr>
        <w:tc>
          <w:tcPr>
            <w:tcW w:w="10221" w:type="dxa"/>
            <w:gridSpan w:val="7"/>
            <w:tcBorders>
              <w:bottom w:val="single" w:color="auto" w:sz="4" w:space="0"/>
            </w:tcBorders>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pStyle w:val="17"/>
              <w:widowControl/>
              <w:ind w:left="4136" w:leftChars="1284" w:hanging="1440" w:hangingChars="40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3001"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22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茂县叠溪镇新磨村集中安置点垃圾转运系统</w:t>
            </w:r>
            <w:r>
              <w:rPr>
                <w:rFonts w:hint="eastAsia" w:asciiTheme="minorEastAsia" w:hAnsiTheme="minorEastAsia" w:eastAsiaTheme="minorEastAsia" w:cstheme="minorEastAsia"/>
                <w:kern w:val="0"/>
                <w:sz w:val="24"/>
              </w:rPr>
              <w:t>建设</w:t>
            </w:r>
            <w:r>
              <w:rPr>
                <w:rFonts w:hint="eastAsia" w:asciiTheme="minorEastAsia" w:hAnsiTheme="minorEastAsia" w:eastAsiaTheme="minorEastAsia" w:cstheme="minorEastAsia"/>
                <w:sz w:val="24"/>
              </w:rPr>
              <w:t>项目</w:t>
            </w:r>
          </w:p>
        </w:tc>
      </w:tr>
      <w:tr>
        <w:tblPrEx>
          <w:tblCellMar>
            <w:top w:w="0" w:type="dxa"/>
            <w:left w:w="0" w:type="dxa"/>
            <w:bottom w:w="0" w:type="dxa"/>
            <w:right w:w="0" w:type="dxa"/>
          </w:tblCellMar>
        </w:tblPrEx>
        <w:trPr>
          <w:trHeight w:val="276" w:hRule="atLeast"/>
          <w:jc w:val="center"/>
        </w:trPr>
        <w:tc>
          <w:tcPr>
            <w:tcW w:w="3001"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22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茂住城乡规划建设和住房保障局</w:t>
            </w:r>
          </w:p>
        </w:tc>
      </w:tr>
      <w:tr>
        <w:tblPrEx>
          <w:tblCellMar>
            <w:top w:w="0" w:type="dxa"/>
            <w:left w:w="0" w:type="dxa"/>
            <w:bottom w:w="0" w:type="dxa"/>
            <w:right w:w="0" w:type="dxa"/>
          </w:tblCellMar>
        </w:tblPrEx>
        <w:trPr>
          <w:trHeight w:val="276" w:hRule="atLeast"/>
          <w:jc w:val="center"/>
        </w:trPr>
        <w:tc>
          <w:tcPr>
            <w:tcW w:w="637"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6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61"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250</w:t>
            </w:r>
          </w:p>
        </w:tc>
        <w:tc>
          <w:tcPr>
            <w:tcW w:w="236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9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232.48</w:t>
            </w:r>
          </w:p>
        </w:tc>
      </w:tr>
      <w:tr>
        <w:tblPrEx>
          <w:tblCellMar>
            <w:top w:w="0" w:type="dxa"/>
            <w:left w:w="0" w:type="dxa"/>
            <w:bottom w:w="0" w:type="dxa"/>
            <w:right w:w="0" w:type="dxa"/>
          </w:tblCellMar>
        </w:tblPrEx>
        <w:trPr>
          <w:trHeight w:val="276" w:hRule="atLeast"/>
          <w:jc w:val="center"/>
        </w:trPr>
        <w:tc>
          <w:tcPr>
            <w:tcW w:w="637"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64"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61"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250</w:t>
            </w:r>
          </w:p>
        </w:tc>
        <w:tc>
          <w:tcPr>
            <w:tcW w:w="2364"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250</w:t>
            </w:r>
          </w:p>
        </w:tc>
      </w:tr>
      <w:tr>
        <w:tblPrEx>
          <w:tblCellMar>
            <w:top w:w="0" w:type="dxa"/>
            <w:left w:w="0" w:type="dxa"/>
            <w:bottom w:w="0" w:type="dxa"/>
            <w:right w:w="0" w:type="dxa"/>
          </w:tblCellMar>
        </w:tblPrEx>
        <w:trPr>
          <w:trHeight w:val="1141" w:hRule="atLeast"/>
          <w:jc w:val="center"/>
        </w:trPr>
        <w:tc>
          <w:tcPr>
            <w:tcW w:w="63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6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6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2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5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14" w:hRule="atLeast"/>
          <w:jc w:val="center"/>
        </w:trPr>
        <w:tc>
          <w:tcPr>
            <w:tcW w:w="63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2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解决叠溪镇垃圾转运运输问题，大大缓解和改善生活垃圾转运过程中的卫生条件、降低运行成本、改善城镇周边环境卫生，加快城镇生活垃圾无害化处置的力度</w:t>
            </w:r>
          </w:p>
        </w:tc>
        <w:tc>
          <w:tcPr>
            <w:tcW w:w="485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解决叠溪镇垃圾转运运输问题，大大缓解和改善生活垃圾转运过程中的卫生条件、降低运行成本、改善城镇周边环境卫生，加快城镇生活垃圾无害化处置的力度</w:t>
            </w:r>
          </w:p>
        </w:tc>
      </w:tr>
      <w:tr>
        <w:tblPrEx>
          <w:tblCellMar>
            <w:top w:w="0" w:type="dxa"/>
            <w:left w:w="0" w:type="dxa"/>
            <w:bottom w:w="0" w:type="dxa"/>
            <w:right w:w="0" w:type="dxa"/>
          </w:tblCellMar>
        </w:tblPrEx>
        <w:trPr>
          <w:trHeight w:val="1042" w:hRule="atLeast"/>
          <w:jc w:val="center"/>
        </w:trPr>
        <w:tc>
          <w:tcPr>
            <w:tcW w:w="63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5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9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4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63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5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19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3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完成预算数的96%</w:t>
            </w:r>
          </w:p>
        </w:tc>
        <w:tc>
          <w:tcPr>
            <w:tcW w:w="24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完成预算数的96%</w:t>
            </w:r>
          </w:p>
        </w:tc>
      </w:tr>
      <w:tr>
        <w:tblPrEx>
          <w:tblCellMar>
            <w:top w:w="0" w:type="dxa"/>
            <w:left w:w="0" w:type="dxa"/>
            <w:bottom w:w="0" w:type="dxa"/>
            <w:right w:w="0" w:type="dxa"/>
          </w:tblCellMar>
        </w:tblPrEx>
        <w:trPr>
          <w:trHeight w:val="954" w:hRule="atLeast"/>
          <w:jc w:val="center"/>
        </w:trPr>
        <w:tc>
          <w:tcPr>
            <w:tcW w:w="63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5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实效指标</w:t>
            </w:r>
          </w:p>
        </w:tc>
        <w:tc>
          <w:tcPr>
            <w:tcW w:w="19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项目完成及时</w:t>
            </w:r>
          </w:p>
        </w:tc>
        <w:tc>
          <w:tcPr>
            <w:tcW w:w="23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p>
            <w:pPr>
              <w:widowControl/>
              <w:jc w:val="center"/>
              <w:textAlignment w:val="center"/>
              <w:rPr>
                <w:rFonts w:ascii="宋体" w:hAnsi="宋体" w:cs="宋体"/>
                <w:color w:val="000000"/>
                <w:sz w:val="24"/>
              </w:rPr>
            </w:pPr>
          </w:p>
        </w:tc>
        <w:tc>
          <w:tcPr>
            <w:tcW w:w="24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63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5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19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3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按照当年合同金额执行</w:t>
            </w:r>
          </w:p>
        </w:tc>
        <w:tc>
          <w:tcPr>
            <w:tcW w:w="24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按照当年合同金额执行</w:t>
            </w:r>
          </w:p>
        </w:tc>
      </w:tr>
      <w:tr>
        <w:tblPrEx>
          <w:tblCellMar>
            <w:top w:w="0" w:type="dxa"/>
            <w:left w:w="0" w:type="dxa"/>
            <w:bottom w:w="0" w:type="dxa"/>
            <w:right w:w="0" w:type="dxa"/>
          </w:tblCellMar>
        </w:tblPrEx>
        <w:trPr>
          <w:trHeight w:val="1042" w:hRule="atLeast"/>
          <w:jc w:val="center"/>
        </w:trPr>
        <w:tc>
          <w:tcPr>
            <w:tcW w:w="63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5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2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19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240" w:firstLineChars="10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rPr>
              <w:t>拟达成效</w:t>
            </w:r>
          </w:p>
          <w:p>
            <w:pPr>
              <w:widowControl/>
              <w:jc w:val="center"/>
              <w:textAlignment w:val="center"/>
              <w:rPr>
                <w:rFonts w:ascii="宋体" w:hAnsi="宋体" w:cs="宋体"/>
                <w:color w:val="000000"/>
                <w:sz w:val="24"/>
              </w:rPr>
            </w:pPr>
          </w:p>
        </w:tc>
        <w:tc>
          <w:tcPr>
            <w:tcW w:w="23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有效的解决叠溪镇垃圾转运运输问题，大大缓解和改善生活垃圾转运过程中的卫生条件、降低运行成本、改善城镇周边环境卫生，加快城镇生活垃圾无害化处置的力度。</w:t>
            </w:r>
          </w:p>
        </w:tc>
        <w:tc>
          <w:tcPr>
            <w:tcW w:w="24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eastAsiaTheme="minorEastAsia"/>
                <w:color w:val="000000"/>
                <w:sz w:val="24"/>
              </w:rPr>
            </w:pPr>
            <w:r>
              <w:rPr>
                <w:rFonts w:ascii="宋体" w:hAnsi="宋体" w:cs="宋体"/>
                <w:sz w:val="24"/>
              </w:rPr>
              <w:t>有效的解决叠溪镇垃圾转运运输问题，大大缓解和改善生活垃圾转运过程中的卫生条件、降低运行成本、改善城镇周边环境卫生，加快城镇生活垃圾无害化处置的力度。</w:t>
            </w:r>
          </w:p>
        </w:tc>
      </w:tr>
      <w:tr>
        <w:tblPrEx>
          <w:tblCellMar>
            <w:top w:w="0" w:type="dxa"/>
            <w:left w:w="0" w:type="dxa"/>
            <w:bottom w:w="0" w:type="dxa"/>
            <w:right w:w="0" w:type="dxa"/>
          </w:tblCellMar>
        </w:tblPrEx>
        <w:trPr>
          <w:trHeight w:val="1050" w:hRule="atLeast"/>
          <w:jc w:val="center"/>
        </w:trPr>
        <w:tc>
          <w:tcPr>
            <w:tcW w:w="63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5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2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19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组织工作满意度</w:t>
            </w:r>
          </w:p>
        </w:tc>
        <w:tc>
          <w:tcPr>
            <w:tcW w:w="23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4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r>
    </w:tbl>
    <w:p>
      <w:pPr>
        <w:rPr>
          <w:szCs w:val="28"/>
        </w:rPr>
      </w:pPr>
    </w:p>
    <w:p>
      <w:pPr>
        <w:rPr>
          <w:szCs w:val="28"/>
        </w:rPr>
      </w:pPr>
    </w:p>
    <w:p>
      <w:pPr>
        <w:rPr>
          <w:szCs w:val="28"/>
        </w:rPr>
      </w:pPr>
    </w:p>
    <w:p>
      <w:pPr>
        <w:rPr>
          <w:szCs w:val="28"/>
        </w:rPr>
      </w:pPr>
    </w:p>
    <w:p>
      <w:pPr>
        <w:widowControl/>
        <w:ind w:firstLine="630" w:firstLineChars="196"/>
        <w:jc w:val="left"/>
        <w:rPr>
          <w:rFonts w:ascii="仿宋" w:hAnsi="仿宋" w:eastAsia="仿宋" w:cs="楷体_GB2312"/>
          <w:b/>
          <w:bCs/>
          <w:sz w:val="32"/>
          <w:szCs w:val="32"/>
        </w:rPr>
      </w:pPr>
      <w:r>
        <w:rPr>
          <w:rFonts w:hint="eastAsia" w:ascii="楷体_GB2312" w:hAnsi="楷体_GB2312" w:eastAsia="楷体_GB2312" w:cs="楷体_GB2312"/>
          <w:b/>
          <w:bCs/>
          <w:sz w:val="32"/>
          <w:szCs w:val="32"/>
        </w:rPr>
        <w:t>2.部门开展绩效评价结果</w:t>
      </w:r>
    </w:p>
    <w:p>
      <w:pPr>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本部门按要求对2019年部门整体支出绩效评价情况开展自评，《建设局部门2019年部门整体支出绩效评价报告》见附件1。</w:t>
      </w: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bookmarkStart w:id="44" w:name="_Toc15396613"/>
      <w:bookmarkStart w:id="45" w:name="_Toc15377225"/>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Fonts w:ascii="方正小标宋简体" w:hAnsi="方正小标宋简体" w:eastAsia="方正小标宋简体" w:cs="方正小标宋简体"/>
          <w:b/>
          <w:color w:val="000000"/>
          <w:sz w:val="44"/>
          <w:szCs w:val="44"/>
        </w:rPr>
      </w:pPr>
    </w:p>
    <w:p>
      <w:pPr>
        <w:spacing w:line="600" w:lineRule="exact"/>
        <w:ind w:left="630" w:leftChars="300" w:firstLine="1959" w:firstLineChars="445"/>
        <w:jc w:val="left"/>
        <w:outlineLvl w:val="0"/>
        <w:rPr>
          <w:rStyle w:val="15"/>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b/>
          <w:color w:val="000000"/>
          <w:sz w:val="44"/>
          <w:szCs w:val="44"/>
        </w:rPr>
        <w:t>第三部分 名</w:t>
      </w:r>
      <w:r>
        <w:rPr>
          <w:rStyle w:val="15"/>
          <w:rFonts w:hint="eastAsia" w:ascii="方正小标宋简体" w:hAnsi="方正小标宋简体" w:eastAsia="方正小标宋简体" w:cs="方正小标宋简体"/>
        </w:rPr>
        <w:t>词解释</w:t>
      </w:r>
      <w:bookmarkEnd w:id="44"/>
      <w:bookmarkEnd w:id="45"/>
    </w:p>
    <w:p>
      <w:pPr>
        <w:spacing w:line="600" w:lineRule="exact"/>
        <w:jc w:val="left"/>
        <w:rPr>
          <w:rFonts w:ascii="宋体"/>
          <w:b/>
          <w:color w:val="000000"/>
          <w:sz w:val="44"/>
          <w:szCs w:val="44"/>
        </w:rPr>
      </w:pPr>
    </w:p>
    <w:p>
      <w:pPr>
        <w:pStyle w:val="1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一般公共服务支出（类）其他一般公共服务支出（款）其他一般公共服务支出（项）:指政府提供一般公共服务的支出。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社会保障和就业（类）行政事业单位离休费（款）机关事业单位基本养老保险缴费支出（项）:指政府在社会保障与就业方面的支出。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医疗卫生与计划生育支出（类）行政事业单位医疗（款）行政单位医疗（项）：指政府卫生健康方面的支出。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节能环保支出（类）自然生态保护（款）生态保护（项）:指政府节能环保支出。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Fonts w:hint="eastAsia" w:ascii="仿宋_GB2312" w:eastAsia="仿宋_GB2312"/>
          <w:color w:val="000000"/>
          <w:sz w:val="32"/>
          <w:szCs w:val="32"/>
        </w:rPr>
        <w:t>城乡社区支出（类）城乡社区管理事务（款）行政运行（项）:指行政单位（包括实行公务员管理的事业单位）的基本支出。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城乡社区支出（类）城乡社区管理事务（款）其他城乡社区管理事务（项）:指其他用于城乡事务方面的支出。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城乡社区支出（类）城乡社区规划与管理（款）城乡社区规划与管理（项）:指城乡社区、防灾减灾、历史名城规划制定与管理等方面的支出。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城乡社区支出（类）城乡社区公共设施（款）其他城乡社区公共设施支出（项）:指用于城乡社区公共设施方面的支出。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城乡社区支出（类）国有土地使用权出让收入及应对专项债务收入的安排（款）其他国有土地使用权出让收入安排的支出（项）:指土地出让收入用于其他方面的支出。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18.农林水支出（类）扶贫（款）其他扶贫支出（项）:指用于扶贫方面的支出。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农林水支出（类）其他农林水支出（款）其他农林水支出（项）:指除化解债务支出以外其他用于农林水方面的支出。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住房保障支出（类）保障性安居工程支出（款）廉租住房（项）:指用于新建、改建、购买、租赁廉租住房支出。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21.住房保障支出（类）保障性安居工程支出（款）棚户区（项）:指用于棚户区改造方面的支出。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22.住房保障支出（类）保障性安居工程支出（款）农村危房（项）:指用于农村危房改造方面的支出。</w:t>
      </w:r>
    </w:p>
    <w:p>
      <w:pPr>
        <w:widowControl/>
        <w:ind w:firstLine="640" w:firstLineChars="200"/>
        <w:jc w:val="left"/>
        <w:rPr>
          <w:rFonts w:ascii="仿宋_GB2312" w:hAnsi="仿宋_GB2312" w:eastAsia="仿宋_GB2312" w:cs="仿宋_GB2312"/>
          <w:sz w:val="32"/>
          <w:szCs w:val="32"/>
        </w:rPr>
      </w:pPr>
      <w:r>
        <w:rPr>
          <w:rFonts w:hint="eastAsia" w:ascii="仿宋_GB2312" w:eastAsia="仿宋_GB2312"/>
          <w:color w:val="000000"/>
          <w:sz w:val="32"/>
          <w:szCs w:val="32"/>
        </w:rPr>
        <w:t>23.住房保障支出（类）住房改革支出（款）住房公积金（项）:</w:t>
      </w:r>
      <w:r>
        <w:rPr>
          <w:rFonts w:hint="eastAsia" w:ascii="仿宋_GB2312" w:hAnsi="仿宋_GB2312" w:eastAsia="仿宋_GB2312" w:cs="仿宋_GB2312"/>
          <w:color w:val="000000"/>
          <w:sz w:val="32"/>
          <w:szCs w:val="32"/>
        </w:rPr>
        <w:t>指</w:t>
      </w:r>
      <w:r>
        <w:rPr>
          <w:rFonts w:hint="eastAsia" w:ascii="仿宋_GB2312" w:hAnsi="仿宋_GB2312" w:eastAsia="仿宋_GB2312" w:cs="仿宋_GB2312"/>
          <w:color w:val="000000"/>
          <w:kern w:val="0"/>
          <w:sz w:val="32"/>
          <w:szCs w:val="32"/>
        </w:rPr>
        <w:t xml:space="preserve">根据房改政策规定的标准，向符合条件职工发放的用于购买住房的补贴。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27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28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1760" w:firstLineChars="400"/>
        <w:outlineLvl w:val="0"/>
        <w:rPr>
          <w:rStyle w:val="15"/>
          <w:rFonts w:ascii="方正小标宋简体" w:hAnsi="黑体" w:eastAsia="方正小标宋简体"/>
          <w:b w:val="0"/>
        </w:rPr>
      </w:pPr>
      <w:bookmarkStart w:id="46" w:name="_Toc15377226"/>
    </w:p>
    <w:p>
      <w:pPr>
        <w:spacing w:line="600" w:lineRule="exact"/>
        <w:ind w:firstLine="1760" w:firstLineChars="400"/>
        <w:outlineLvl w:val="0"/>
        <w:rPr>
          <w:rStyle w:val="15"/>
          <w:rFonts w:ascii="方正小标宋简体" w:hAnsi="黑体" w:eastAsia="方正小标宋简体"/>
          <w:b w:val="0"/>
        </w:rPr>
      </w:pPr>
    </w:p>
    <w:p>
      <w:pPr>
        <w:spacing w:line="600" w:lineRule="exact"/>
        <w:ind w:firstLine="1760" w:firstLineChars="400"/>
        <w:outlineLvl w:val="0"/>
        <w:rPr>
          <w:rStyle w:val="15"/>
          <w:rFonts w:ascii="方正小标宋简体" w:hAnsi="黑体" w:eastAsia="方正小标宋简体"/>
          <w:b w:val="0"/>
        </w:rPr>
      </w:pPr>
    </w:p>
    <w:p>
      <w:pPr>
        <w:spacing w:line="600" w:lineRule="exact"/>
        <w:ind w:firstLine="1760" w:firstLineChars="400"/>
        <w:outlineLvl w:val="0"/>
        <w:rPr>
          <w:rStyle w:val="15"/>
          <w:rFonts w:ascii="方正小标宋简体" w:hAnsi="黑体" w:eastAsia="方正小标宋简体"/>
          <w:b w:val="0"/>
        </w:rPr>
      </w:pPr>
    </w:p>
    <w:p>
      <w:pPr>
        <w:spacing w:line="600" w:lineRule="exact"/>
        <w:ind w:firstLine="1760" w:firstLineChars="400"/>
        <w:outlineLvl w:val="0"/>
        <w:rPr>
          <w:rStyle w:val="15"/>
          <w:rFonts w:ascii="方正小标宋简体" w:hAnsi="黑体" w:eastAsia="方正小标宋简体"/>
          <w:b w:val="0"/>
        </w:rPr>
      </w:pPr>
    </w:p>
    <w:p>
      <w:pPr>
        <w:spacing w:line="600" w:lineRule="exact"/>
        <w:outlineLvl w:val="0"/>
        <w:rPr>
          <w:rStyle w:val="15"/>
          <w:rFonts w:ascii="方正小标宋简体" w:hAnsi="黑体" w:eastAsia="方正小标宋简体"/>
          <w:b w:val="0"/>
        </w:rPr>
      </w:pPr>
    </w:p>
    <w:p>
      <w:pPr>
        <w:spacing w:line="600" w:lineRule="exact"/>
        <w:outlineLvl w:val="0"/>
        <w:rPr>
          <w:rStyle w:val="15"/>
          <w:rFonts w:ascii="方正小标宋简体" w:hAnsi="黑体" w:eastAsia="方正小标宋简体"/>
          <w:b w:val="0"/>
        </w:rPr>
      </w:pPr>
    </w:p>
    <w:p>
      <w:pPr>
        <w:spacing w:line="600" w:lineRule="exact"/>
        <w:outlineLvl w:val="0"/>
        <w:rPr>
          <w:rStyle w:val="15"/>
          <w:rFonts w:ascii="方正小标宋简体" w:hAnsi="黑体" w:eastAsia="方正小标宋简体"/>
          <w:b w:val="0"/>
        </w:rPr>
      </w:pPr>
    </w:p>
    <w:p>
      <w:pPr>
        <w:spacing w:line="600" w:lineRule="exact"/>
        <w:ind w:firstLine="1760" w:firstLineChars="400"/>
        <w:outlineLvl w:val="0"/>
        <w:rPr>
          <w:rStyle w:val="15"/>
          <w:rFonts w:ascii="方正小标宋简体" w:hAnsi="黑体" w:eastAsia="方正小标宋简体"/>
          <w:b w:val="0"/>
        </w:rPr>
      </w:pPr>
    </w:p>
    <w:p>
      <w:pPr>
        <w:spacing w:line="600" w:lineRule="exact"/>
        <w:ind w:firstLine="1760" w:firstLineChars="400"/>
        <w:outlineLvl w:val="0"/>
        <w:rPr>
          <w:rStyle w:val="15"/>
          <w:rFonts w:ascii="方正小标宋简体" w:hAnsi="黑体" w:eastAsia="方正小标宋简体"/>
          <w:b w:val="0"/>
        </w:rPr>
      </w:pPr>
    </w:p>
    <w:p>
      <w:pPr>
        <w:spacing w:line="600" w:lineRule="exact"/>
        <w:ind w:firstLine="1760" w:firstLineChars="400"/>
        <w:outlineLvl w:val="0"/>
        <w:rPr>
          <w:rStyle w:val="15"/>
          <w:rFonts w:ascii="方正小标宋简体" w:hAnsi="黑体" w:eastAsia="方正小标宋简体"/>
          <w:b w:val="0"/>
        </w:rPr>
      </w:pPr>
    </w:p>
    <w:p>
      <w:pPr>
        <w:spacing w:line="600" w:lineRule="exact"/>
        <w:ind w:firstLine="1760" w:firstLineChars="400"/>
        <w:outlineLvl w:val="0"/>
        <w:rPr>
          <w:rStyle w:val="15"/>
          <w:rFonts w:ascii="方正小标宋简体" w:hAnsi="黑体" w:eastAsia="方正小标宋简体"/>
          <w:b w:val="0"/>
        </w:rPr>
      </w:pPr>
    </w:p>
    <w:p>
      <w:pPr>
        <w:spacing w:line="600" w:lineRule="exact"/>
        <w:ind w:firstLine="2192" w:firstLineChars="498"/>
        <w:outlineLvl w:val="0"/>
        <w:rPr>
          <w:rStyle w:val="15"/>
          <w:rFonts w:ascii="方正小标宋简体" w:hAnsi="黑体" w:eastAsia="方正小标宋简体"/>
        </w:rPr>
      </w:pPr>
    </w:p>
    <w:p>
      <w:pPr>
        <w:spacing w:line="600" w:lineRule="exact"/>
        <w:ind w:firstLine="2192" w:firstLineChars="498"/>
        <w:outlineLvl w:val="0"/>
        <w:rPr>
          <w:rStyle w:val="15"/>
          <w:rFonts w:ascii="方正小标宋简体" w:hAnsi="黑体" w:eastAsia="方正小标宋简体"/>
          <w:b w:val="0"/>
        </w:rPr>
      </w:pPr>
      <w:r>
        <w:rPr>
          <w:rStyle w:val="15"/>
          <w:rFonts w:hint="eastAsia" w:ascii="方正小标宋简体" w:hAnsi="黑体" w:eastAsia="方正小标宋简体"/>
        </w:rPr>
        <w:t>第四部分  附 件</w:t>
      </w:r>
      <w:bookmarkStart w:id="47" w:name="_Toc15396615"/>
    </w:p>
    <w:p>
      <w:pPr>
        <w:spacing w:line="600" w:lineRule="exact"/>
        <w:ind w:left="2010"/>
        <w:outlineLvl w:val="0"/>
        <w:rPr>
          <w:rStyle w:val="15"/>
          <w:rFonts w:ascii="方正小标宋简体" w:hAnsi="黑体" w:eastAsia="方正小标宋简体"/>
          <w:b w:val="0"/>
        </w:rPr>
      </w:pPr>
    </w:p>
    <w:p>
      <w:pPr>
        <w:spacing w:line="600" w:lineRule="exact"/>
        <w:outlineLvl w:val="0"/>
        <w:rPr>
          <w:rStyle w:val="15"/>
          <w:rFonts w:ascii="方正小标宋简体" w:hAnsi="黑体" w:eastAsia="方正小标宋简体"/>
        </w:rPr>
      </w:pPr>
      <w:r>
        <w:rPr>
          <w:rStyle w:val="15"/>
          <w:rFonts w:hint="eastAsia" w:ascii="仿宋" w:hAnsi="仿宋" w:eastAsia="仿宋"/>
          <w:sz w:val="32"/>
          <w:szCs w:val="32"/>
        </w:rPr>
        <w:t>附件1</w:t>
      </w:r>
      <w:bookmarkEnd w:id="47"/>
    </w:p>
    <w:p>
      <w:pPr>
        <w:spacing w:line="600" w:lineRule="exact"/>
        <w:jc w:val="center"/>
        <w:outlineLvl w:val="0"/>
        <w:rPr>
          <w:rFonts w:ascii="方正小标宋简体" w:hAnsi="方正小标宋简体" w:eastAsia="方正小标宋简体" w:cs="方正小标宋简体"/>
          <w:sz w:val="44"/>
          <w:szCs w:val="44"/>
        </w:rPr>
      </w:pPr>
      <w:bookmarkStart w:id="48" w:name="_Toc15396616"/>
    </w:p>
    <w:p>
      <w:pPr>
        <w:spacing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茂县城乡规划和住房保障局</w:t>
      </w:r>
    </w:p>
    <w:p>
      <w:pPr>
        <w:spacing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2019年部门整体支出绩效评价报告</w:t>
      </w:r>
      <w:bookmarkEnd w:id="48"/>
    </w:p>
    <w:p>
      <w:pPr>
        <w:spacing w:line="600" w:lineRule="exact"/>
        <w:jc w:val="center"/>
        <w:outlineLvl w:val="0"/>
        <w:rPr>
          <w:rFonts w:ascii="方正小标宋简体" w:hAnsi="方正小标宋简体" w:eastAsia="方正小标宋简体" w:cs="方正小标宋简体"/>
          <w:sz w:val="44"/>
          <w:szCs w:val="44"/>
        </w:rPr>
      </w:pPr>
    </w:p>
    <w:p>
      <w:pPr>
        <w:spacing w:line="600" w:lineRule="exact"/>
        <w:ind w:firstLine="640" w:firstLineChars="200"/>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一、部门（单位）概况</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(一)机构组成</w:t>
      </w:r>
    </w:p>
    <w:p>
      <w:pPr>
        <w:widowControl/>
        <w:adjustRightInd w:val="0"/>
        <w:snapToGrid w:val="0"/>
        <w:spacing w:line="576" w:lineRule="atLeas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茂县住房和城乡建设局内设局机构办公室、建设管理股、质监站、房管所、环境整治办、房地产交易中心。</w:t>
      </w:r>
    </w:p>
    <w:p>
      <w:pPr>
        <w:spacing w:line="580" w:lineRule="exact"/>
        <w:ind w:left="420" w:leftChars="200"/>
        <w:rPr>
          <w:rFonts w:ascii="楷体_GB2312" w:hAnsi="仿宋" w:eastAsia="楷体_GB2312" w:cs="仿宋_GB2312"/>
          <w:b/>
          <w:sz w:val="32"/>
          <w:szCs w:val="32"/>
        </w:rPr>
      </w:pPr>
      <w:r>
        <w:rPr>
          <w:rFonts w:hint="eastAsia" w:ascii="楷体_GB2312" w:hAnsi="仿宋" w:eastAsia="楷体_GB2312" w:cs="仿宋_GB2312"/>
          <w:b/>
          <w:sz w:val="32"/>
          <w:szCs w:val="32"/>
        </w:rPr>
        <w:t>（二）机构职能</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住建局主要职责是贯彻执行国家、省、州关于工程建设、城市建设、村镇建设、建筑业、房地产、农村能源建设和测绘工作的方针、政策、中长期规划；负责各类房屋建筑及其附属设施的建设与配套的线路、管道、设备安装项目和市政工程项目的初步设计审查、施工图审批、开工审批和招标活动的执法监督；综合管理和指导全县建筑业、规范建筑市场；指导全县房地产开发经营和中介服务，规范房地产市场，指导和推进城镇住宅建设，负责住房制度改革工作；参与全县注册建造师和注册工程师的管理，会同有关部门管理工业与民用建筑的抗震设防建设，承担推进住房制度改革、保障城镇低收入家庭住房的责任。</w:t>
      </w:r>
    </w:p>
    <w:p>
      <w:pPr>
        <w:spacing w:line="580" w:lineRule="exact"/>
        <w:ind w:left="420" w:leftChars="200"/>
        <w:rPr>
          <w:rFonts w:ascii="楷体_GB2312" w:hAnsi="仿宋" w:eastAsia="楷体_GB2312" w:cs="仿宋_GB2312"/>
          <w:b/>
          <w:sz w:val="32"/>
          <w:szCs w:val="32"/>
        </w:rPr>
      </w:pPr>
      <w:r>
        <w:rPr>
          <w:rFonts w:hint="eastAsia" w:ascii="楷体_GB2312" w:hAnsi="仿宋" w:eastAsia="楷体_GB2312" w:cs="仿宋_GB2312"/>
          <w:b/>
          <w:sz w:val="32"/>
          <w:szCs w:val="32"/>
        </w:rPr>
        <w:t>（三）人员概况</w:t>
      </w:r>
    </w:p>
    <w:p>
      <w:pPr>
        <w:widowControl/>
        <w:adjustRightInd w:val="0"/>
        <w:snapToGrid w:val="0"/>
        <w:spacing w:line="54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t>我局现有人员编制数为:</w:t>
      </w:r>
      <w:r>
        <w:rPr>
          <w:rFonts w:hint="eastAsia" w:ascii="仿宋_GB2312" w:eastAsia="仿宋_GB2312"/>
          <w:sz w:val="32"/>
          <w:szCs w:val="32"/>
        </w:rPr>
        <w:t>行政8人,行政工勤1人,事业20人。现实有在职职工27人,其中:行政在职6人,行政工勤1人,事业在职20人,退休人员9人.</w:t>
      </w:r>
    </w:p>
    <w:p>
      <w:pPr>
        <w:spacing w:line="580" w:lineRule="exact"/>
        <w:ind w:firstLine="482" w:firstLineChars="150"/>
        <w:rPr>
          <w:rFonts w:ascii="楷体_GB2312" w:hAnsi="仿宋" w:eastAsia="楷体_GB2312" w:cs="仿宋_GB2312"/>
          <w:b/>
          <w:sz w:val="32"/>
          <w:szCs w:val="32"/>
        </w:rPr>
      </w:pPr>
      <w:r>
        <w:rPr>
          <w:rFonts w:hint="eastAsia" w:ascii="楷体_GB2312" w:hAnsi="仿宋" w:eastAsia="楷体_GB2312" w:cs="仿宋_GB2312"/>
          <w:b/>
          <w:sz w:val="32"/>
          <w:szCs w:val="32"/>
        </w:rPr>
        <w:t>（一）部门财政资金收入情况</w:t>
      </w:r>
    </w:p>
    <w:p>
      <w:pPr>
        <w:widowControl/>
        <w:adjustRightInd w:val="0"/>
        <w:snapToGrid w:val="0"/>
        <w:spacing w:line="540" w:lineRule="exact"/>
        <w:ind w:firstLine="640" w:firstLineChars="200"/>
        <w:jc w:val="left"/>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2019年财政拨款收入3073.45万元;一般公共预算拨款收入2463.86万元;2019年政府性基金收入609.59万元。</w:t>
      </w:r>
    </w:p>
    <w:p>
      <w:pPr>
        <w:spacing w:line="580" w:lineRule="exact"/>
        <w:ind w:firstLine="482" w:firstLineChars="150"/>
        <w:rPr>
          <w:rFonts w:ascii="楷体_GB2312" w:hAnsi="仿宋" w:eastAsia="楷体_GB2312" w:cs="仿宋_GB2312"/>
          <w:b/>
          <w:sz w:val="32"/>
          <w:szCs w:val="32"/>
        </w:rPr>
      </w:pPr>
      <w:r>
        <w:rPr>
          <w:rFonts w:hint="eastAsia" w:ascii="楷体_GB2312" w:hAnsi="仿宋" w:eastAsia="楷体_GB2312" w:cs="仿宋_GB2312"/>
          <w:b/>
          <w:sz w:val="32"/>
          <w:szCs w:val="32"/>
        </w:rPr>
        <w:t>（二）部门财政资金支出情况</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2019年财政拨款经费支出共计6986.66万元。其中：工资福利支出:397.79万元；商品和服务支出:55.38万元；对个人和家庭补助:161.86万元；资本性支出2800.88万元；资本性支出（基本建设）3570.75万元。</w:t>
      </w:r>
    </w:p>
    <w:p>
      <w:pPr>
        <w:pStyle w:val="17"/>
        <w:numPr>
          <w:ilvl w:val="0"/>
          <w:numId w:val="1"/>
        </w:numPr>
        <w:spacing w:line="520" w:lineRule="exact"/>
        <w:ind w:firstLineChars="0"/>
        <w:rPr>
          <w:rFonts w:ascii="黑体" w:hAnsi="黑体" w:eastAsia="黑体" w:cs="黑体"/>
          <w:sz w:val="32"/>
          <w:szCs w:val="32"/>
        </w:rPr>
      </w:pPr>
      <w:r>
        <w:rPr>
          <w:rFonts w:ascii="黑体" w:hAnsi="黑体" w:eastAsia="黑体" w:cs="黑体"/>
          <w:sz w:val="32"/>
          <w:szCs w:val="32"/>
        </w:rPr>
        <w:t>部门整体预算绩效管理情况</w:t>
      </w:r>
    </w:p>
    <w:p>
      <w:pPr>
        <w:spacing w:line="520" w:lineRule="exact"/>
        <w:ind w:firstLine="482" w:firstLineChars="150"/>
        <w:rPr>
          <w:rStyle w:val="16"/>
          <w:rFonts w:ascii="黑体" w:hAnsi="黑体" w:eastAsia="黑体"/>
          <w:b w:val="0"/>
          <w:bCs w:val="0"/>
        </w:rPr>
      </w:pPr>
      <w:r>
        <w:rPr>
          <w:rFonts w:hint="eastAsia" w:ascii="楷体_GB2312" w:hAnsi="楷体_GB2312" w:eastAsia="楷体_GB2312" w:cs="楷体_GB2312"/>
          <w:b/>
          <w:sz w:val="32"/>
          <w:szCs w:val="32"/>
        </w:rPr>
        <w:t>（一）部门预算管理</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一是按照 2019年部门预算编审要求，根据我局职能职责，结合中长期规划和年度工作计划，明确了年度主要工作任务及年度内履职所要达到的总体产出和效果。</w:t>
      </w:r>
    </w:p>
    <w:p>
      <w:pPr>
        <w:widowControl/>
        <w:spacing w:line="576"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二是按照财政部门统一部署，我局于2019年5月按要求公开部门预算。</w:t>
      </w:r>
    </w:p>
    <w:p>
      <w:pPr>
        <w:widowControl/>
        <w:spacing w:line="576" w:lineRule="exact"/>
        <w:ind w:firstLine="482" w:firstLineChars="150"/>
        <w:jc w:val="left"/>
        <w:rPr>
          <w:rFonts w:ascii="仿宋" w:hAnsi="仿宋" w:eastAsia="仿宋" w:cs="仿宋_GB2312"/>
          <w:b/>
          <w:sz w:val="32"/>
          <w:szCs w:val="32"/>
        </w:rPr>
      </w:pPr>
      <w:r>
        <w:rPr>
          <w:rFonts w:hint="eastAsia" w:ascii="楷体_GB2312" w:hAnsi="楷体_GB2312" w:eastAsia="楷体_GB2312" w:cs="楷体_GB2312"/>
          <w:b/>
          <w:sz w:val="32"/>
          <w:szCs w:val="32"/>
        </w:rPr>
        <w:t>（二）专项预算管理</w:t>
      </w:r>
    </w:p>
    <w:p>
      <w:pPr>
        <w:widowControl/>
        <w:spacing w:line="576" w:lineRule="exact"/>
        <w:ind w:firstLine="643" w:firstLineChars="200"/>
        <w:jc w:val="left"/>
        <w:rPr>
          <w:rStyle w:val="16"/>
          <w:rFonts w:ascii="仿宋_GB2312" w:hAnsi="仿宋_GB2312" w:eastAsia="仿宋_GB2312" w:cs="仿宋_GB2312"/>
          <w:b w:val="0"/>
          <w:bCs w:val="0"/>
        </w:rPr>
      </w:pPr>
      <w:r>
        <w:rPr>
          <w:rStyle w:val="16"/>
          <w:rFonts w:hint="eastAsia" w:ascii="仿宋_GB2312" w:hAnsi="仿宋_GB2312" w:eastAsia="仿宋_GB2312" w:cs="仿宋_GB2312"/>
        </w:rPr>
        <w:t>2019年本部门无专项预算。</w:t>
      </w:r>
    </w:p>
    <w:p>
      <w:pPr>
        <w:widowControl/>
        <w:spacing w:line="576" w:lineRule="exact"/>
        <w:ind w:firstLine="643" w:firstLineChars="200"/>
        <w:jc w:val="left"/>
        <w:rPr>
          <w:rStyle w:val="16"/>
          <w:rFonts w:ascii="仿宋_GB2312" w:hAnsi="仿宋_GB2312" w:eastAsia="仿宋_GB2312" w:cs="仿宋_GB2312"/>
          <w:b w:val="0"/>
          <w:bCs w:val="0"/>
        </w:rPr>
      </w:pPr>
      <w:r>
        <w:rPr>
          <w:rFonts w:hint="eastAsia" w:ascii="楷体_GB2312" w:hAnsi="楷体_GB2312" w:eastAsia="楷体_GB2312" w:cs="楷体_GB2312"/>
          <w:b/>
          <w:bCs/>
          <w:sz w:val="32"/>
          <w:szCs w:val="32"/>
        </w:rPr>
        <w:t>(三）结果应用情况</w:t>
      </w:r>
    </w:p>
    <w:p>
      <w:pPr>
        <w:widowControl/>
        <w:spacing w:line="576" w:lineRule="exact"/>
        <w:ind w:firstLine="640" w:firstLineChars="200"/>
        <w:rPr>
          <w:rFonts w:ascii="仿宋" w:hAnsi="仿宋" w:eastAsia="仿宋" w:cs="仿宋"/>
          <w:color w:val="000000"/>
          <w:kern w:val="0"/>
          <w:sz w:val="31"/>
          <w:szCs w:val="31"/>
        </w:rPr>
      </w:pPr>
      <w:r>
        <w:rPr>
          <w:rFonts w:hint="eastAsia" w:ascii="仿宋_GB2312" w:hAnsi="仿宋_GB2312" w:eastAsia="仿宋_GB2312" w:cs="仿宋_GB2312"/>
          <w:color w:val="000000"/>
          <w:kern w:val="0"/>
          <w:sz w:val="32"/>
          <w:szCs w:val="32"/>
        </w:rPr>
        <w:t>我局对部门预算绩效管理工作开展情况认真进行了自查自评。将评价结果作为预算安排的重要依据，参照项目年度预算执行情况、“三年滚动规划”执行情况统筹项目支出需求，保障重点支出，调整支出结构，优化财政资金配置，不断强化绩效理念，推动我局部门整体绩效管理水平不断提升。</w:t>
      </w:r>
    </w:p>
    <w:p>
      <w:pPr>
        <w:widowControl/>
        <w:numPr>
          <w:ilvl w:val="0"/>
          <w:numId w:val="1"/>
        </w:numPr>
        <w:spacing w:line="576" w:lineRule="exact"/>
        <w:rPr>
          <w:rStyle w:val="16"/>
          <w:rFonts w:ascii="黑体" w:hAnsi="黑体" w:eastAsia="黑体"/>
          <w:b w:val="0"/>
          <w:bCs w:val="0"/>
        </w:rPr>
      </w:pPr>
      <w:r>
        <w:rPr>
          <w:rFonts w:ascii="黑体" w:hAnsi="黑体" w:eastAsia="黑体" w:cs="黑体"/>
          <w:sz w:val="32"/>
          <w:szCs w:val="32"/>
        </w:rPr>
        <w:t>评价结论及建议</w:t>
      </w:r>
    </w:p>
    <w:p>
      <w:pPr>
        <w:widowControl/>
        <w:spacing w:line="576" w:lineRule="exact"/>
        <w:ind w:firstLine="482" w:firstLineChars="150"/>
        <w:rPr>
          <w:rFonts w:ascii="楷体_GB2312" w:hAnsi="仿宋_GB2312" w:eastAsia="楷体_GB2312" w:cs="仿宋_GB2312"/>
          <w:b/>
          <w:sz w:val="32"/>
          <w:szCs w:val="32"/>
        </w:rPr>
      </w:pPr>
      <w:r>
        <w:rPr>
          <w:rFonts w:hint="eastAsia" w:ascii="楷体_GB2312" w:hAnsi="仿宋" w:eastAsia="楷体_GB2312" w:cs="仿宋_GB2312"/>
          <w:b/>
          <w:sz w:val="32"/>
          <w:szCs w:val="32"/>
        </w:rPr>
        <w:t>（一）评价结论</w:t>
      </w:r>
    </w:p>
    <w:p>
      <w:pPr>
        <w:widowControl/>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2019年我局部门整体支出绩效评价自查自评结果良好全年基本支出保证了部门的正常运行和日常工作的正常开 展，项目支出保障了重点工作的开展，达到预期绩效目标。 </w:t>
      </w:r>
    </w:p>
    <w:p>
      <w:pPr>
        <w:widowControl/>
        <w:spacing w:line="576" w:lineRule="exact"/>
        <w:ind w:firstLine="640" w:firstLineChars="200"/>
      </w:pPr>
      <w:r>
        <w:rPr>
          <w:rFonts w:hint="eastAsia" w:ascii="仿宋_GB2312" w:hAnsi="仿宋_GB2312" w:eastAsia="仿宋_GB2312" w:cs="仿宋_GB2312"/>
          <w:color w:val="000000"/>
          <w:kern w:val="0"/>
          <w:sz w:val="32"/>
          <w:szCs w:val="32"/>
        </w:rPr>
        <w:t>按照《茂县财政局关于开展2019年财政支出绩效评价工作的通知》（茂财发[2019]38号）2019年茂县住房和城乡建设局部门整体支出绩效评价指标体系自评得分87.38分。</w:t>
      </w:r>
    </w:p>
    <w:p>
      <w:pPr>
        <w:widowControl/>
        <w:spacing w:line="576" w:lineRule="exact"/>
        <w:ind w:firstLine="472" w:firstLineChars="147"/>
        <w:rPr>
          <w:rStyle w:val="16"/>
          <w:rFonts w:ascii="楷体_GB2312" w:hAnsi="黑体" w:eastAsia="楷体_GB2312"/>
          <w:b w:val="0"/>
          <w:bCs w:val="0"/>
        </w:rPr>
      </w:pPr>
      <w:r>
        <w:rPr>
          <w:rFonts w:hint="eastAsia" w:ascii="楷体_GB2312" w:hAnsi="仿宋" w:eastAsia="楷体_GB2312" w:cs="仿宋_GB2312"/>
          <w:b/>
          <w:sz w:val="32"/>
          <w:szCs w:val="32"/>
        </w:rPr>
        <w:t>（二）存在问题</w:t>
      </w:r>
    </w:p>
    <w:p>
      <w:pPr>
        <w:widowControl/>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绩效目标设定有待更科学更合理。</w:t>
      </w:r>
    </w:p>
    <w:p>
      <w:pPr>
        <w:widowControl/>
        <w:numPr>
          <w:ilvl w:val="0"/>
          <w:numId w:val="3"/>
        </w:numPr>
        <w:ind w:firstLine="472" w:firstLineChars="147"/>
        <w:jc w:val="left"/>
        <w:rPr>
          <w:rFonts w:ascii="楷体_GB2312" w:hAnsi="仿宋" w:eastAsia="楷体_GB2312" w:cs="仿宋_GB2312"/>
          <w:b/>
          <w:sz w:val="32"/>
          <w:szCs w:val="32"/>
        </w:rPr>
      </w:pPr>
      <w:r>
        <w:rPr>
          <w:rFonts w:hint="eastAsia" w:ascii="楷体_GB2312" w:hAnsi="仿宋" w:eastAsia="楷体_GB2312" w:cs="仿宋_GB2312"/>
          <w:b/>
          <w:sz w:val="32"/>
          <w:szCs w:val="32"/>
        </w:rPr>
        <w:t>改进建议</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针对存在的问题，我们将进一步科学设定绩效目标，加 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 </w:t>
      </w: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bookmarkEnd w:id="46"/>
    <w:p>
      <w:pPr>
        <w:spacing w:line="580" w:lineRule="exact"/>
        <w:ind w:firstLine="2640" w:firstLineChars="600"/>
        <w:rPr>
          <w:rFonts w:ascii="方正小标宋简体" w:hAnsi="方正小标宋简体" w:eastAsia="方正小标宋简体" w:cs="方正小标宋简体"/>
          <w:color w:val="000000"/>
          <w:sz w:val="44"/>
          <w:szCs w:val="44"/>
        </w:rPr>
      </w:pPr>
      <w:bookmarkStart w:id="49" w:name="_Toc15396619"/>
      <w:r>
        <w:rPr>
          <w:rFonts w:hint="eastAsia" w:ascii="方正小标宋简体" w:hAnsi="方正小标宋简体" w:eastAsia="方正小标宋简体" w:cs="方正小标宋简体"/>
          <w:color w:val="000000"/>
          <w:sz w:val="44"/>
          <w:szCs w:val="44"/>
        </w:rPr>
        <w:t>第五部分 附 表</w:t>
      </w:r>
    </w:p>
    <w:p>
      <w:pPr>
        <w:spacing w:line="580" w:lineRule="exact"/>
        <w:jc w:val="center"/>
        <w:rPr>
          <w:rFonts w:ascii="方正小标宋简体" w:hAnsi="方正小标宋简体" w:eastAsia="方正小标宋简体" w:cs="方正小标宋简体"/>
          <w:color w:val="000000"/>
          <w:sz w:val="44"/>
          <w:szCs w:val="44"/>
        </w:rPr>
      </w:pPr>
    </w:p>
    <w:p>
      <w:pPr>
        <w:spacing w:line="576" w:lineRule="exact"/>
        <w:ind w:firstLine="640" w:firstLineChars="200"/>
        <w:rPr>
          <w:rStyle w:val="16"/>
          <w:rFonts w:ascii="仿宋_GB2312" w:hAnsi="仿宋_GB2312" w:eastAsia="仿宋_GB2312" w:cs="仿宋_GB231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收</w:t>
      </w:r>
      <w:r>
        <w:rPr>
          <w:rStyle w:val="16"/>
          <w:rFonts w:hint="eastAsia" w:ascii="仿宋_GB2312" w:hAnsi="仿宋_GB2312" w:eastAsia="仿宋_GB2312" w:cs="仿宋_GB2312"/>
        </w:rPr>
        <w:t>入支出决算总表</w:t>
      </w:r>
      <w:bookmarkEnd w:id="49"/>
      <w:bookmarkStart w:id="50" w:name="_Toc15396620"/>
    </w:p>
    <w:p>
      <w:pPr>
        <w:spacing w:line="576"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二、收</w:t>
      </w:r>
      <w:r>
        <w:rPr>
          <w:rStyle w:val="16"/>
          <w:rFonts w:hint="eastAsia" w:ascii="仿宋_GB2312" w:hAnsi="仿宋_GB2312" w:eastAsia="仿宋_GB2312" w:cs="仿宋_GB2312"/>
        </w:rPr>
        <w:t>入总表</w:t>
      </w:r>
      <w:bookmarkEnd w:id="50"/>
      <w:bookmarkStart w:id="51" w:name="_Toc15396621"/>
    </w:p>
    <w:p>
      <w:pPr>
        <w:spacing w:line="576" w:lineRule="exact"/>
        <w:ind w:firstLine="643" w:firstLineChars="200"/>
        <w:rPr>
          <w:rFonts w:ascii="仿宋_GB2312" w:hAnsi="仿宋_GB2312" w:eastAsia="仿宋_GB2312" w:cs="仿宋_GB2312"/>
          <w:b/>
          <w:bCs/>
          <w:color w:val="000000"/>
          <w:sz w:val="32"/>
          <w:szCs w:val="32"/>
        </w:rPr>
      </w:pPr>
      <w:r>
        <w:rPr>
          <w:rStyle w:val="16"/>
          <w:rFonts w:hint="eastAsia" w:ascii="仿宋_GB2312" w:hAnsi="仿宋_GB2312" w:eastAsia="仿宋_GB2312" w:cs="仿宋_GB2312"/>
        </w:rPr>
        <w:t>三、</w:t>
      </w:r>
      <w:r>
        <w:rPr>
          <w:rFonts w:hint="eastAsia" w:ascii="仿宋_GB2312" w:hAnsi="仿宋_GB2312" w:eastAsia="仿宋_GB2312" w:cs="仿宋_GB2312"/>
          <w:b/>
          <w:bCs/>
          <w:color w:val="000000"/>
          <w:sz w:val="32"/>
          <w:szCs w:val="32"/>
        </w:rPr>
        <w:t>支</w:t>
      </w:r>
      <w:r>
        <w:rPr>
          <w:rStyle w:val="16"/>
          <w:rFonts w:hint="eastAsia" w:ascii="仿宋_GB2312" w:hAnsi="仿宋_GB2312" w:eastAsia="仿宋_GB2312" w:cs="仿宋_GB2312"/>
        </w:rPr>
        <w:t>出总表</w:t>
      </w:r>
      <w:bookmarkEnd w:id="51"/>
      <w:bookmarkStart w:id="52" w:name="_Toc15396622"/>
    </w:p>
    <w:p>
      <w:pPr>
        <w:spacing w:line="576" w:lineRule="exact"/>
        <w:ind w:firstLine="643" w:firstLineChars="200"/>
        <w:rPr>
          <w:rFonts w:ascii="仿宋_GB2312" w:hAnsi="仿宋_GB2312" w:eastAsia="仿宋_GB2312" w:cs="仿宋_GB2312"/>
          <w:b/>
          <w:bCs/>
          <w:color w:val="000000"/>
          <w:sz w:val="32"/>
          <w:szCs w:val="32"/>
        </w:rPr>
      </w:pPr>
      <w:r>
        <w:rPr>
          <w:rStyle w:val="16"/>
          <w:rFonts w:hint="eastAsia" w:ascii="仿宋_GB2312" w:hAnsi="仿宋_GB2312" w:eastAsia="仿宋_GB2312" w:cs="仿宋_GB2312"/>
        </w:rPr>
        <w:t>四、</w:t>
      </w:r>
      <w:r>
        <w:rPr>
          <w:rFonts w:hint="eastAsia" w:ascii="仿宋_GB2312" w:hAnsi="仿宋_GB2312" w:eastAsia="仿宋_GB2312" w:cs="仿宋_GB2312"/>
          <w:b/>
          <w:bCs/>
          <w:color w:val="000000"/>
          <w:sz w:val="32"/>
          <w:szCs w:val="32"/>
        </w:rPr>
        <w:t>财</w:t>
      </w:r>
      <w:r>
        <w:rPr>
          <w:rStyle w:val="16"/>
          <w:rFonts w:hint="eastAsia" w:ascii="仿宋_GB2312" w:hAnsi="仿宋_GB2312" w:eastAsia="仿宋_GB2312" w:cs="仿宋_GB2312"/>
        </w:rPr>
        <w:t>政拨款收入支出决算总表</w:t>
      </w:r>
      <w:bookmarkEnd w:id="52"/>
      <w:bookmarkStart w:id="53" w:name="_Toc15396623"/>
    </w:p>
    <w:p>
      <w:pPr>
        <w:spacing w:line="576" w:lineRule="exact"/>
        <w:ind w:firstLine="643" w:firstLineChars="200"/>
        <w:rPr>
          <w:rFonts w:ascii="仿宋_GB2312" w:hAnsi="仿宋_GB2312" w:eastAsia="仿宋_GB2312" w:cs="仿宋_GB2312"/>
          <w:b/>
          <w:bCs/>
          <w:color w:val="000000"/>
          <w:sz w:val="32"/>
          <w:szCs w:val="32"/>
        </w:rPr>
      </w:pPr>
      <w:r>
        <w:rPr>
          <w:rStyle w:val="16"/>
          <w:rFonts w:hint="eastAsia" w:ascii="仿宋_GB2312" w:hAnsi="仿宋_GB2312" w:eastAsia="仿宋_GB2312" w:cs="仿宋_GB2312"/>
        </w:rPr>
        <w:t>五、</w:t>
      </w:r>
      <w:r>
        <w:rPr>
          <w:rFonts w:hint="eastAsia" w:ascii="仿宋_GB2312" w:hAnsi="仿宋_GB2312" w:eastAsia="仿宋_GB2312" w:cs="仿宋_GB2312"/>
          <w:b/>
          <w:bCs/>
          <w:color w:val="000000"/>
          <w:sz w:val="32"/>
          <w:szCs w:val="32"/>
        </w:rPr>
        <w:t>财</w:t>
      </w:r>
      <w:r>
        <w:rPr>
          <w:rStyle w:val="16"/>
          <w:rFonts w:hint="eastAsia" w:ascii="仿宋_GB2312" w:hAnsi="仿宋_GB2312" w:eastAsia="仿宋_GB2312" w:cs="仿宋_GB2312"/>
        </w:rPr>
        <w:t>政拨款支出决算明细表（政府经济分类科目）</w:t>
      </w:r>
      <w:bookmarkEnd w:id="53"/>
      <w:bookmarkStart w:id="54" w:name="_Toc15396624"/>
    </w:p>
    <w:p>
      <w:pPr>
        <w:spacing w:line="576" w:lineRule="exact"/>
        <w:ind w:firstLine="643" w:firstLineChars="200"/>
        <w:rPr>
          <w:rFonts w:ascii="仿宋_GB2312" w:hAnsi="仿宋_GB2312" w:eastAsia="仿宋_GB2312" w:cs="仿宋_GB2312"/>
          <w:b/>
          <w:bCs/>
          <w:color w:val="000000"/>
          <w:sz w:val="32"/>
          <w:szCs w:val="32"/>
        </w:rPr>
      </w:pPr>
      <w:r>
        <w:rPr>
          <w:rStyle w:val="16"/>
          <w:rFonts w:hint="eastAsia" w:ascii="仿宋_GB2312" w:hAnsi="仿宋_GB2312" w:eastAsia="仿宋_GB2312" w:cs="仿宋_GB2312"/>
        </w:rPr>
        <w:t>六、</w:t>
      </w:r>
      <w:r>
        <w:rPr>
          <w:rFonts w:hint="eastAsia" w:ascii="仿宋_GB2312" w:hAnsi="仿宋_GB2312" w:eastAsia="仿宋_GB2312" w:cs="仿宋_GB2312"/>
          <w:b/>
          <w:bCs/>
          <w:color w:val="000000"/>
          <w:sz w:val="32"/>
          <w:szCs w:val="32"/>
        </w:rPr>
        <w:t>一</w:t>
      </w:r>
      <w:r>
        <w:rPr>
          <w:rStyle w:val="16"/>
          <w:rFonts w:hint="eastAsia" w:ascii="仿宋_GB2312" w:hAnsi="仿宋_GB2312" w:eastAsia="仿宋_GB2312" w:cs="仿宋_GB2312"/>
        </w:rPr>
        <w:t>般公共预算财政拨款支出决算表</w:t>
      </w:r>
      <w:bookmarkEnd w:id="54"/>
      <w:bookmarkStart w:id="55" w:name="_Toc15396625"/>
    </w:p>
    <w:p>
      <w:pPr>
        <w:spacing w:line="576" w:lineRule="exact"/>
        <w:ind w:firstLine="643" w:firstLineChars="200"/>
        <w:rPr>
          <w:rFonts w:ascii="仿宋_GB2312" w:hAnsi="仿宋_GB2312" w:eastAsia="仿宋_GB2312" w:cs="仿宋_GB2312"/>
          <w:b/>
          <w:bCs/>
          <w:color w:val="000000"/>
          <w:sz w:val="32"/>
          <w:szCs w:val="32"/>
        </w:rPr>
      </w:pPr>
      <w:r>
        <w:rPr>
          <w:rStyle w:val="16"/>
          <w:rFonts w:hint="eastAsia" w:ascii="仿宋_GB2312" w:hAnsi="仿宋_GB2312" w:eastAsia="仿宋_GB2312" w:cs="仿宋_GB2312"/>
        </w:rPr>
        <w:t>七、</w:t>
      </w:r>
      <w:r>
        <w:rPr>
          <w:rFonts w:hint="eastAsia" w:ascii="仿宋_GB2312" w:hAnsi="仿宋_GB2312" w:eastAsia="仿宋_GB2312" w:cs="仿宋_GB2312"/>
          <w:b/>
          <w:bCs/>
          <w:color w:val="000000"/>
          <w:sz w:val="32"/>
          <w:szCs w:val="32"/>
        </w:rPr>
        <w:t>一</w:t>
      </w:r>
      <w:r>
        <w:rPr>
          <w:rStyle w:val="16"/>
          <w:rFonts w:hint="eastAsia" w:ascii="仿宋_GB2312" w:hAnsi="仿宋_GB2312" w:eastAsia="仿宋_GB2312" w:cs="仿宋_GB2312"/>
        </w:rPr>
        <w:t>般公共预算财政拨款支出决算明细表</w:t>
      </w:r>
      <w:bookmarkEnd w:id="55"/>
      <w:bookmarkStart w:id="56" w:name="_Toc15396626"/>
    </w:p>
    <w:p>
      <w:pPr>
        <w:spacing w:line="576" w:lineRule="exact"/>
        <w:ind w:firstLine="643" w:firstLineChars="200"/>
        <w:rPr>
          <w:rFonts w:ascii="仿宋_GB2312" w:hAnsi="仿宋_GB2312" w:eastAsia="仿宋_GB2312" w:cs="仿宋_GB2312"/>
          <w:b/>
          <w:bCs/>
          <w:color w:val="000000"/>
          <w:sz w:val="32"/>
          <w:szCs w:val="32"/>
        </w:rPr>
      </w:pPr>
      <w:r>
        <w:rPr>
          <w:rStyle w:val="16"/>
          <w:rFonts w:hint="eastAsia" w:ascii="仿宋_GB2312" w:hAnsi="仿宋_GB2312" w:eastAsia="仿宋_GB2312" w:cs="仿宋_GB2312"/>
        </w:rPr>
        <w:t>八、</w:t>
      </w:r>
      <w:r>
        <w:rPr>
          <w:rFonts w:hint="eastAsia" w:ascii="仿宋_GB2312" w:hAnsi="仿宋_GB2312" w:eastAsia="仿宋_GB2312" w:cs="仿宋_GB2312"/>
          <w:b/>
          <w:bCs/>
          <w:color w:val="000000"/>
          <w:sz w:val="32"/>
          <w:szCs w:val="32"/>
        </w:rPr>
        <w:t>一</w:t>
      </w:r>
      <w:r>
        <w:rPr>
          <w:rStyle w:val="16"/>
          <w:rFonts w:hint="eastAsia" w:ascii="仿宋_GB2312" w:hAnsi="仿宋_GB2312" w:eastAsia="仿宋_GB2312" w:cs="仿宋_GB2312"/>
        </w:rPr>
        <w:t>般公共预算财政拨款基本支出决算表</w:t>
      </w:r>
      <w:bookmarkEnd w:id="56"/>
      <w:bookmarkStart w:id="57" w:name="_Toc15396627"/>
    </w:p>
    <w:p>
      <w:pPr>
        <w:spacing w:line="576" w:lineRule="exact"/>
        <w:ind w:firstLine="643" w:firstLineChars="200"/>
        <w:rPr>
          <w:rStyle w:val="16"/>
          <w:rFonts w:ascii="仿宋_GB2312" w:hAnsi="仿宋_GB2312" w:eastAsia="仿宋_GB2312" w:cs="仿宋_GB2312"/>
        </w:rPr>
      </w:pPr>
      <w:r>
        <w:rPr>
          <w:rStyle w:val="16"/>
          <w:rFonts w:hint="eastAsia" w:ascii="仿宋_GB2312" w:hAnsi="仿宋_GB2312" w:eastAsia="仿宋_GB2312" w:cs="仿宋_GB2312"/>
        </w:rPr>
        <w:t>九、</w:t>
      </w:r>
      <w:r>
        <w:rPr>
          <w:rFonts w:hint="eastAsia" w:ascii="仿宋_GB2312" w:hAnsi="仿宋_GB2312" w:eastAsia="仿宋_GB2312" w:cs="仿宋_GB2312"/>
          <w:b/>
          <w:bCs/>
          <w:color w:val="000000"/>
          <w:sz w:val="32"/>
          <w:szCs w:val="32"/>
        </w:rPr>
        <w:t>一</w:t>
      </w:r>
      <w:r>
        <w:rPr>
          <w:rStyle w:val="16"/>
          <w:rFonts w:hint="eastAsia" w:ascii="仿宋_GB2312" w:hAnsi="仿宋_GB2312" w:eastAsia="仿宋_GB2312" w:cs="仿宋_GB2312"/>
        </w:rPr>
        <w:t>般公共预算财政拨款项目支出决算表</w:t>
      </w:r>
      <w:bookmarkEnd w:id="57"/>
      <w:bookmarkStart w:id="58" w:name="_Toc15396628"/>
    </w:p>
    <w:p>
      <w:pPr>
        <w:spacing w:line="576" w:lineRule="exact"/>
        <w:ind w:firstLine="643" w:firstLineChars="200"/>
        <w:rPr>
          <w:rStyle w:val="16"/>
          <w:rFonts w:ascii="仿宋_GB2312" w:hAnsi="仿宋_GB2312" w:eastAsia="仿宋_GB2312" w:cs="仿宋_GB2312"/>
        </w:rPr>
      </w:pPr>
      <w:r>
        <w:rPr>
          <w:rStyle w:val="16"/>
          <w:rFonts w:hint="eastAsia" w:ascii="仿宋_GB2312" w:hAnsi="仿宋_GB2312" w:eastAsia="仿宋_GB2312" w:cs="仿宋_GB2312"/>
        </w:rPr>
        <w:t>十、</w:t>
      </w:r>
      <w:r>
        <w:rPr>
          <w:rFonts w:hint="eastAsia" w:ascii="仿宋_GB2312" w:hAnsi="仿宋_GB2312" w:eastAsia="仿宋_GB2312" w:cs="仿宋_GB2312"/>
          <w:b/>
          <w:bCs/>
          <w:color w:val="000000"/>
          <w:sz w:val="32"/>
          <w:szCs w:val="32"/>
        </w:rPr>
        <w:t>一</w:t>
      </w:r>
      <w:r>
        <w:rPr>
          <w:rStyle w:val="16"/>
          <w:rFonts w:hint="eastAsia" w:ascii="仿宋_GB2312" w:hAnsi="仿宋_GB2312" w:eastAsia="仿宋_GB2312" w:cs="仿宋_GB2312"/>
        </w:rPr>
        <w:t>般公共预算财政拨款“三公”经费支出决算表</w:t>
      </w:r>
      <w:bookmarkEnd w:id="58"/>
      <w:bookmarkStart w:id="59" w:name="_Toc15396629"/>
    </w:p>
    <w:p>
      <w:pPr>
        <w:spacing w:line="576" w:lineRule="exact"/>
        <w:ind w:firstLine="643" w:firstLineChars="200"/>
        <w:rPr>
          <w:rStyle w:val="16"/>
          <w:rFonts w:ascii="仿宋_GB2312" w:hAnsi="仿宋_GB2312" w:eastAsia="仿宋_GB2312" w:cs="仿宋_GB2312"/>
        </w:rPr>
      </w:pPr>
      <w:r>
        <w:rPr>
          <w:rStyle w:val="16"/>
          <w:rFonts w:hint="eastAsia" w:ascii="仿宋_GB2312" w:hAnsi="仿宋_GB2312" w:eastAsia="仿宋_GB2312" w:cs="仿宋_GB2312"/>
        </w:rPr>
        <w:t>十一、</w:t>
      </w:r>
      <w:r>
        <w:rPr>
          <w:rFonts w:hint="eastAsia" w:ascii="仿宋_GB2312" w:hAnsi="仿宋_GB2312" w:eastAsia="仿宋_GB2312" w:cs="仿宋_GB2312"/>
          <w:b/>
          <w:bCs/>
          <w:color w:val="000000"/>
          <w:sz w:val="32"/>
          <w:szCs w:val="32"/>
        </w:rPr>
        <w:t>政</w:t>
      </w:r>
      <w:r>
        <w:rPr>
          <w:rStyle w:val="16"/>
          <w:rFonts w:hint="eastAsia" w:ascii="仿宋_GB2312" w:hAnsi="仿宋_GB2312" w:eastAsia="仿宋_GB2312" w:cs="仿宋_GB2312"/>
        </w:rPr>
        <w:t>府性基金预算财政拨款收入支出决算表</w:t>
      </w:r>
      <w:bookmarkEnd w:id="59"/>
      <w:bookmarkStart w:id="60" w:name="_Toc15396630"/>
    </w:p>
    <w:p>
      <w:pPr>
        <w:spacing w:line="576" w:lineRule="exact"/>
        <w:ind w:left="638" w:leftChars="304"/>
        <w:rPr>
          <w:rStyle w:val="16"/>
          <w:rFonts w:ascii="仿宋_GB2312" w:hAnsi="仿宋_GB2312" w:eastAsia="仿宋_GB2312" w:cs="仿宋_GB2312"/>
          <w:b w:val="0"/>
        </w:rPr>
      </w:pPr>
      <w:r>
        <w:rPr>
          <w:rStyle w:val="16"/>
          <w:rFonts w:hint="eastAsia" w:ascii="仿宋_GB2312" w:hAnsi="仿宋_GB2312" w:eastAsia="仿宋_GB2312" w:cs="仿宋_GB2312"/>
        </w:rPr>
        <w:t>十二、</w:t>
      </w:r>
      <w:r>
        <w:rPr>
          <w:rFonts w:hint="eastAsia" w:ascii="仿宋_GB2312" w:hAnsi="仿宋_GB2312" w:eastAsia="仿宋_GB2312" w:cs="仿宋_GB2312"/>
          <w:b/>
          <w:bCs/>
          <w:color w:val="000000"/>
          <w:sz w:val="32"/>
          <w:szCs w:val="32"/>
        </w:rPr>
        <w:t>政</w:t>
      </w:r>
      <w:r>
        <w:rPr>
          <w:rStyle w:val="16"/>
          <w:rFonts w:hint="eastAsia" w:ascii="仿宋_GB2312" w:hAnsi="仿宋_GB2312" w:eastAsia="仿宋_GB2312" w:cs="仿宋_GB2312"/>
        </w:rPr>
        <w:t>府性基金预算财政拨款“三公”经费支出决算表</w:t>
      </w:r>
      <w:bookmarkEnd w:id="60"/>
      <w:bookmarkStart w:id="61" w:name="_Toc15396631"/>
    </w:p>
    <w:p>
      <w:pPr>
        <w:spacing w:line="576" w:lineRule="exact"/>
        <w:ind w:firstLine="643" w:firstLineChars="200"/>
        <w:rPr>
          <w:rStyle w:val="16"/>
          <w:rFonts w:ascii="仿宋_GB2312" w:hAnsi="仿宋_GB2312" w:eastAsia="仿宋_GB2312" w:cs="仿宋_GB2312"/>
          <w:b w:val="0"/>
          <w:bCs w:val="0"/>
          <w:color w:val="000000"/>
        </w:rPr>
      </w:pPr>
      <w:r>
        <w:rPr>
          <w:rStyle w:val="16"/>
          <w:rFonts w:hint="eastAsia" w:ascii="仿宋_GB2312" w:hAnsi="仿宋_GB2312" w:eastAsia="仿宋_GB2312" w:cs="仿宋_GB2312"/>
        </w:rPr>
        <w:t>十三、</w:t>
      </w:r>
      <w:r>
        <w:rPr>
          <w:rFonts w:hint="eastAsia" w:ascii="仿宋_GB2312" w:hAnsi="仿宋_GB2312" w:eastAsia="仿宋_GB2312" w:cs="仿宋_GB2312"/>
          <w:b/>
          <w:bCs/>
          <w:color w:val="000000"/>
          <w:sz w:val="32"/>
          <w:szCs w:val="32"/>
        </w:rPr>
        <w:t>国</w:t>
      </w:r>
      <w:r>
        <w:rPr>
          <w:rStyle w:val="16"/>
          <w:rFonts w:hint="eastAsia" w:ascii="仿宋_GB2312" w:hAnsi="仿宋_GB2312" w:eastAsia="仿宋_GB2312" w:cs="仿宋_GB2312"/>
        </w:rPr>
        <w:t>有资本经营预算支出决算表</w:t>
      </w:r>
      <w:bookmarkEnd w:id="61"/>
    </w:p>
    <w:p>
      <w:pPr>
        <w:spacing w:line="576" w:lineRule="exact"/>
        <w:ind w:firstLine="643" w:firstLineChars="200"/>
        <w:rPr>
          <w:rFonts w:ascii="仿宋_GB2312" w:hAnsi="仿宋_GB2312" w:eastAsia="仿宋_GB2312" w:cs="仿宋_GB2312"/>
          <w:b/>
          <w:bCs/>
          <w:sz w:val="32"/>
          <w:szCs w:val="32"/>
        </w:rPr>
      </w:pPr>
    </w:p>
    <w:p>
      <w:pPr>
        <w:rPr>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华文楷体">
    <w:altName w:val="宋体"/>
    <w:panose1 w:val="00000000000000000000"/>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435302"/>
    </w:sdtPr>
    <w:sdtContent>
      <w:p>
        <w:pPr>
          <w:pStyle w:val="5"/>
          <w:jc w:val="center"/>
        </w:pPr>
        <w:r>
          <w:fldChar w:fldCharType="begin"/>
        </w:r>
        <w:r>
          <w:instrText xml:space="preserve"> PAGE   \* MERGEFORMAT </w:instrText>
        </w:r>
        <w:r>
          <w:fldChar w:fldCharType="separate"/>
        </w:r>
        <w:r>
          <w:rPr>
            <w:lang w:val="zh-CN"/>
          </w:rPr>
          <w:t>18</w:t>
        </w:r>
        <w:r>
          <w:rPr>
            <w:lang w:val="zh-CN"/>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9F6E89"/>
    <w:multiLevelType w:val="singleLevel"/>
    <w:tmpl w:val="E59F6E89"/>
    <w:lvl w:ilvl="0" w:tentative="0">
      <w:start w:val="3"/>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287"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FF04FA4"/>
    <w:multiLevelType w:val="multilevel"/>
    <w:tmpl w:val="5FF04FA4"/>
    <w:lvl w:ilvl="0" w:tentative="0">
      <w:start w:val="4"/>
      <w:numFmt w:val="japaneseCounting"/>
      <w:lvlText w:val="%1、"/>
      <w:lvlJc w:val="left"/>
      <w:pPr>
        <w:ind w:left="1350" w:hanging="720"/>
      </w:pPr>
      <w:rPr>
        <w:rFonts w:hint="default" w:cs="Times New Roman"/>
        <w:color w:val="000000"/>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37C88"/>
    <w:rsid w:val="00435295"/>
    <w:rsid w:val="00523354"/>
    <w:rsid w:val="005330FC"/>
    <w:rsid w:val="005C1297"/>
    <w:rsid w:val="00641419"/>
    <w:rsid w:val="00686712"/>
    <w:rsid w:val="00726181"/>
    <w:rsid w:val="007E2B54"/>
    <w:rsid w:val="00857665"/>
    <w:rsid w:val="00976173"/>
    <w:rsid w:val="00A25CDE"/>
    <w:rsid w:val="00B42850"/>
    <w:rsid w:val="00BB57D3"/>
    <w:rsid w:val="00C37C88"/>
    <w:rsid w:val="00D6510C"/>
    <w:rsid w:val="088C0099"/>
    <w:rsid w:val="0FB433DA"/>
    <w:rsid w:val="10F2191E"/>
    <w:rsid w:val="1191787B"/>
    <w:rsid w:val="11AD759C"/>
    <w:rsid w:val="149D0E3C"/>
    <w:rsid w:val="169D2B64"/>
    <w:rsid w:val="1E282F14"/>
    <w:rsid w:val="24B56243"/>
    <w:rsid w:val="2B30270D"/>
    <w:rsid w:val="2B714170"/>
    <w:rsid w:val="2E152831"/>
    <w:rsid w:val="372778F3"/>
    <w:rsid w:val="3C9D24DC"/>
    <w:rsid w:val="47924E14"/>
    <w:rsid w:val="4946045D"/>
    <w:rsid w:val="56B745A3"/>
    <w:rsid w:val="57044142"/>
    <w:rsid w:val="5F4B6D7D"/>
    <w:rsid w:val="607D215E"/>
    <w:rsid w:val="6BFB3569"/>
    <w:rsid w:val="6DF6524E"/>
    <w:rsid w:val="73A433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9"/>
    <w:qFormat/>
    <w:uiPriority w:val="0"/>
    <w:rPr>
      <w:sz w:val="18"/>
      <w:szCs w:val="18"/>
    </w:rPr>
  </w:style>
  <w:style w:type="paragraph" w:styleId="5">
    <w:name w:val="footer"/>
    <w:basedOn w:val="1"/>
    <w:link w:val="14"/>
    <w:uiPriority w:val="99"/>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8">
    <w:name w:val="toc 2"/>
    <w:basedOn w:val="1"/>
    <w:next w:val="1"/>
    <w:unhideWhenUsed/>
    <w:qFormat/>
    <w:uiPriority w:val="39"/>
    <w:pPr>
      <w:tabs>
        <w:tab w:val="right" w:leader="dot" w:pos="8296"/>
      </w:tabs>
      <w:ind w:left="420" w:leftChars="200"/>
    </w:pPr>
    <w:rPr>
      <w:rFonts w:ascii="Times New Roman" w:hAnsi="Times New Roman"/>
    </w:rPr>
  </w:style>
  <w:style w:type="character" w:styleId="11">
    <w:name w:val="Strong"/>
    <w:basedOn w:val="10"/>
    <w:qFormat/>
    <w:uiPriority w:val="99"/>
    <w:rPr>
      <w:b/>
    </w:rPr>
  </w:style>
  <w:style w:type="character" w:styleId="12">
    <w:name w:val="Hyperlink"/>
    <w:basedOn w:val="10"/>
    <w:unhideWhenUsed/>
    <w:qFormat/>
    <w:uiPriority w:val="99"/>
    <w:rPr>
      <w:color w:val="0000FF" w:themeColor="hyperlink"/>
      <w:u w:val="single"/>
    </w:rPr>
  </w:style>
  <w:style w:type="character" w:customStyle="1" w:styleId="13">
    <w:name w:val="页眉 Char"/>
    <w:basedOn w:val="10"/>
    <w:link w:val="6"/>
    <w:qFormat/>
    <w:uiPriority w:val="0"/>
    <w:rPr>
      <w:kern w:val="2"/>
      <w:sz w:val="18"/>
      <w:szCs w:val="18"/>
    </w:rPr>
  </w:style>
  <w:style w:type="character" w:customStyle="1" w:styleId="14">
    <w:name w:val="页脚 Char"/>
    <w:basedOn w:val="10"/>
    <w:link w:val="5"/>
    <w:qFormat/>
    <w:uiPriority w:val="99"/>
    <w:rPr>
      <w:kern w:val="2"/>
      <w:sz w:val="18"/>
      <w:szCs w:val="18"/>
    </w:rPr>
  </w:style>
  <w:style w:type="character" w:customStyle="1" w:styleId="15">
    <w:name w:val="标题 1 Char"/>
    <w:basedOn w:val="10"/>
    <w:link w:val="2"/>
    <w:qFormat/>
    <w:uiPriority w:val="9"/>
    <w:rPr>
      <w:rFonts w:ascii="Times New Roman" w:hAnsi="Times New Roman"/>
      <w:b/>
      <w:bCs/>
      <w:kern w:val="44"/>
      <w:sz w:val="44"/>
      <w:szCs w:val="44"/>
    </w:rPr>
  </w:style>
  <w:style w:type="character" w:customStyle="1" w:styleId="16">
    <w:name w:val="标题 2 Char"/>
    <w:basedOn w:val="10"/>
    <w:link w:val="3"/>
    <w:qFormat/>
    <w:uiPriority w:val="9"/>
    <w:rPr>
      <w:rFonts w:asciiTheme="majorHAnsi" w:hAnsiTheme="majorHAnsi" w:eastAsiaTheme="majorEastAsia" w:cstheme="majorBidi"/>
      <w:b/>
      <w:bCs/>
      <w:kern w:val="2"/>
      <w:sz w:val="32"/>
      <w:szCs w:val="32"/>
    </w:rPr>
  </w:style>
  <w:style w:type="paragraph" w:styleId="17">
    <w:name w:val="List Paragraph"/>
    <w:basedOn w:val="1"/>
    <w:qFormat/>
    <w:uiPriority w:val="34"/>
    <w:pPr>
      <w:ind w:firstLine="420" w:firstLineChars="200"/>
    </w:pPr>
    <w:rPr>
      <w:rFonts w:ascii="Times New Roman" w:hAnsi="Times New Roman"/>
    </w:r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9">
    <w:name w:val="批注框文本 Char"/>
    <w:basedOn w:val="10"/>
    <w:link w:val="4"/>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97-2003%20&#24037;&#20316;&#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tor\&#26700;&#38754;\&#26032;&#24314;%20XLS%20&#24037;&#20316;&#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tor\&#26700;&#38754;\&#26032;&#24314;%20XLS%20&#24037;&#20316;&#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97-2003%20&#24037;&#20316;&#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dministrator\&#26700;&#38754;\&#26032;&#24314;%20XLS%20&#24037;&#20316;&#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Administrator\&#26700;&#38754;\&#26032;&#24314;%20Microsoft%20Office%20Excel%2097-2003%20&#24037;&#20316;&#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Administrator\&#26700;&#38754;\&#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627353361196"/>
          <c:y val="0.0286349536886402"/>
          <c:w val="0.72172134733159"/>
          <c:h val="0.828939195100612"/>
        </c:manualLayout>
      </c:layout>
      <c:barChart>
        <c:barDir val="col"/>
        <c:grouping val="clustered"/>
        <c:varyColors val="0"/>
        <c:ser>
          <c:idx val="0"/>
          <c:order val="0"/>
          <c:invertIfNegative val="0"/>
          <c:dLbls>
            <c:dLbl>
              <c:idx val="1"/>
              <c:layout>
                <c:manualLayout>
                  <c:x val="0.0131724902939545"/>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1350</a:t>
                    </a:r>
                    <a:r>
                      <a:rPr lang="en-US" altLang="zh-CN"/>
                      <a:t>1</a:t>
                    </a:r>
                    <a:r>
                      <a:t>.67</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Sheet1!$A$1:$B$1</c:f>
              <c:strCache>
                <c:ptCount val="2"/>
                <c:pt idx="0">
                  <c:v>年度</c:v>
                </c:pt>
                <c:pt idx="1">
                  <c:v>收、支总计</c:v>
                </c:pt>
              </c:strCache>
            </c:strRef>
          </c:cat>
          <c:val>
            <c:numRef>
              <c:f>Sheet1!$A$2:$B$2</c:f>
              <c:numCache>
                <c:formatCode>General</c:formatCode>
                <c:ptCount val="2"/>
                <c:pt idx="0">
                  <c:v>2018</c:v>
                </c:pt>
                <c:pt idx="1">
                  <c:v>13500.67</c:v>
                </c:pt>
              </c:numCache>
            </c:numRef>
          </c:val>
        </c:ser>
        <c:ser>
          <c:idx val="1"/>
          <c:order val="1"/>
          <c:invertIfNegative val="0"/>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1</a:t>
                    </a:r>
                    <a:r>
                      <a:rPr lang="en-US" altLang="zh-CN"/>
                      <a:t>0836.03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Sheet1!$A$1:$B$1</c:f>
              <c:strCache>
                <c:ptCount val="2"/>
                <c:pt idx="0">
                  <c:v>年度</c:v>
                </c:pt>
                <c:pt idx="1">
                  <c:v>收、支总计</c:v>
                </c:pt>
              </c:strCache>
            </c:strRef>
          </c:cat>
          <c:val>
            <c:numRef>
              <c:f>Sheet1!$A$3:$B$3</c:f>
              <c:numCache>
                <c:formatCode>General</c:formatCode>
                <c:ptCount val="2"/>
                <c:pt idx="0">
                  <c:v>2019</c:v>
                </c:pt>
                <c:pt idx="1">
                  <c:v>10060.11</c:v>
                </c:pt>
              </c:numCache>
            </c:numRef>
          </c:val>
        </c:ser>
        <c:dLbls>
          <c:showLegendKey val="0"/>
          <c:showVal val="1"/>
          <c:showCatName val="0"/>
          <c:showSerName val="0"/>
          <c:showPercent val="0"/>
          <c:showBubbleSize val="0"/>
        </c:dLbls>
        <c:gapWidth val="150"/>
        <c:axId val="116836608"/>
        <c:axId val="151797760"/>
      </c:barChart>
      <c:catAx>
        <c:axId val="11683660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1797760"/>
        <c:crosses val="autoZero"/>
        <c:auto val="1"/>
        <c:lblAlgn val="ctr"/>
        <c:lblOffset val="100"/>
        <c:noMultiLvlLbl val="0"/>
      </c:catAx>
      <c:valAx>
        <c:axId val="15179776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68366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3113542104947"/>
          <c:y val="0.00422207640711578"/>
          <c:w val="0.418855555555556"/>
          <c:h val="0.698092592592597"/>
        </c:manualLayout>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3073.45</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2463.86</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609.59</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'[新建 XLS 工作表.xls]Sheet2'!$A$1:$C$1</c:f>
              <c:strCache>
                <c:ptCount val="3"/>
                <c:pt idx="0">
                  <c:v>本年度总收入</c:v>
                </c:pt>
                <c:pt idx="1">
                  <c:v>一般公共预算收入</c:v>
                </c:pt>
                <c:pt idx="2">
                  <c:v>政府性基金收入</c:v>
                </c:pt>
              </c:strCache>
            </c:strRef>
          </c:cat>
          <c:val>
            <c:numRef>
              <c:f>'[新建 XLS 工作表.xls]Sheet2'!$A$2:$C$2</c:f>
              <c:numCache>
                <c:formatCode>General</c:formatCode>
                <c:ptCount val="3"/>
                <c:pt idx="0">
                  <c:v>8774.72</c:v>
                </c:pt>
                <c:pt idx="1">
                  <c:v>7812.9</c:v>
                </c:pt>
                <c:pt idx="2">
                  <c:v>961.819999999998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141386312268528"/>
                  <c:y val="0.0218963254593177"/>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en-US"/>
                      <a:t>6986.66</a:t>
                    </a:r>
                    <a:endParaRPr alt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en-US"/>
                      <a:t>538.41</a:t>
                    </a:r>
                    <a:endParaRPr alt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en-US"/>
                      <a:t>6448.25</a:t>
                    </a:r>
                    <a:endParaRPr alt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'[新建 XLS 工作表.xls]Sheet2'!$A$1:$C$1</c:f>
              <c:strCache>
                <c:ptCount val="3"/>
                <c:pt idx="0">
                  <c:v>本年度总支出</c:v>
                </c:pt>
                <c:pt idx="1">
                  <c:v>基本支出</c:v>
                </c:pt>
                <c:pt idx="2">
                  <c:v>项目支出</c:v>
                </c:pt>
              </c:strCache>
            </c:strRef>
          </c:cat>
          <c:val>
            <c:numRef>
              <c:f>'[新建 XLS 工作表.xls]Sheet2'!$A$2:$C$2</c:f>
              <c:numCache>
                <c:formatCode>General</c:formatCode>
                <c:ptCount val="3"/>
                <c:pt idx="0">
                  <c:v>7024.75</c:v>
                </c:pt>
                <c:pt idx="1">
                  <c:v>595.9</c:v>
                </c:pt>
                <c:pt idx="2">
                  <c:v>6248.85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917425463248"/>
          <c:y val="0.0346648301193756"/>
          <c:w val="0.72172134733159"/>
          <c:h val="0.828939195100612"/>
        </c:manualLayout>
      </c:layout>
      <c:barChart>
        <c:barDir val="col"/>
        <c:grouping val="clustered"/>
        <c:varyColors val="0"/>
        <c:ser>
          <c:idx val="0"/>
          <c:order val="0"/>
          <c:invertIfNegative val="0"/>
          <c:dLbls>
            <c:dLbl>
              <c:idx val="1"/>
              <c:layout>
                <c:manualLayout>
                  <c:x val="0.0131724902939545"/>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1350</a:t>
                    </a:r>
                    <a:r>
                      <a:rPr lang="en-US" altLang="zh-CN"/>
                      <a:t>1</a:t>
                    </a:r>
                    <a:r>
                      <a:t>.67</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Sheet1!$A$1:$B$1</c:f>
              <c:strCache>
                <c:ptCount val="2"/>
                <c:pt idx="0">
                  <c:v>年度</c:v>
                </c:pt>
                <c:pt idx="1">
                  <c:v>收、支总计</c:v>
                </c:pt>
              </c:strCache>
            </c:strRef>
          </c:cat>
          <c:val>
            <c:numRef>
              <c:f>Sheet1!$A$2:$B$2</c:f>
              <c:numCache>
                <c:formatCode>General</c:formatCode>
                <c:ptCount val="2"/>
                <c:pt idx="0">
                  <c:v>2018</c:v>
                </c:pt>
                <c:pt idx="1">
                  <c:v>13500.67</c:v>
                </c:pt>
              </c:numCache>
            </c:numRef>
          </c:val>
        </c:ser>
        <c:ser>
          <c:idx val="1"/>
          <c:order val="1"/>
          <c:invertIfNegative val="0"/>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10</a:t>
                    </a:r>
                    <a:r>
                      <a:rPr lang="en-US" altLang="zh-CN"/>
                      <a:t>836</a:t>
                    </a:r>
                    <a:r>
                      <a:t>.</a:t>
                    </a:r>
                    <a:r>
                      <a:rPr lang="en-US" altLang="zh-CN"/>
                      <a:t>03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Sheet1!$A$1:$B$1</c:f>
              <c:strCache>
                <c:ptCount val="2"/>
                <c:pt idx="0">
                  <c:v>年度</c:v>
                </c:pt>
                <c:pt idx="1">
                  <c:v>收、支总计</c:v>
                </c:pt>
              </c:strCache>
            </c:strRef>
          </c:cat>
          <c:val>
            <c:numRef>
              <c:f>Sheet1!$A$3:$B$3</c:f>
              <c:numCache>
                <c:formatCode>General</c:formatCode>
                <c:ptCount val="2"/>
                <c:pt idx="0">
                  <c:v>2019</c:v>
                </c:pt>
                <c:pt idx="1">
                  <c:v>10060.11</c:v>
                </c:pt>
              </c:numCache>
            </c:numRef>
          </c:val>
        </c:ser>
        <c:dLbls>
          <c:showLegendKey val="0"/>
          <c:showVal val="1"/>
          <c:showCatName val="0"/>
          <c:showSerName val="0"/>
          <c:showPercent val="0"/>
          <c:showBubbleSize val="0"/>
        </c:dLbls>
        <c:gapWidth val="150"/>
        <c:axId val="246580352"/>
        <c:axId val="246581888"/>
      </c:barChart>
      <c:catAx>
        <c:axId val="24658035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6581888"/>
        <c:crosses val="autoZero"/>
        <c:auto val="1"/>
        <c:lblAlgn val="ctr"/>
        <c:lblOffset val="100"/>
        <c:noMultiLvlLbl val="0"/>
      </c:catAx>
      <c:valAx>
        <c:axId val="24658188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658035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一般公共预算支出</a:t>
            </a:r>
          </a:p>
        </c:rich>
      </c:tx>
      <c:layout>
        <c:manualLayout>
          <c:xMode val="edge"/>
          <c:yMode val="edge"/>
          <c:x val="0.380294403555063"/>
          <c:y val="0.027784209307710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altLang="en-US"/>
                      <a:t>201</a:t>
                    </a:r>
                    <a:r>
                      <a:rPr lang="en-US" altLang="en-US"/>
                      <a:t>8</a:t>
                    </a:r>
                    <a:endParaRPr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altLang="en-US"/>
                      <a:t>201</a:t>
                    </a:r>
                    <a:r>
                      <a:rPr lang="en-US" altLang="en-US"/>
                      <a:t>9</a:t>
                    </a:r>
                    <a:endParaRPr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'[新建 XLS 工作表.xls]Sheet1'!$A$1:$B$1</c:f>
              <c:numCache>
                <c:formatCode>General</c:formatCode>
                <c:ptCount val="2"/>
                <c:pt idx="0">
                  <c:v>2017</c:v>
                </c:pt>
                <c:pt idx="1">
                  <c:v>2018</c:v>
                </c:pt>
              </c:numCache>
            </c:numRef>
          </c:val>
        </c:ser>
        <c:ser>
          <c:idx val="1"/>
          <c:order val="1"/>
          <c:spPr>
            <a:solidFill>
              <a:schemeClr val="accent2"/>
            </a:solidFill>
            <a:ln>
              <a:noFill/>
            </a:ln>
            <a:effectLst/>
          </c:spPr>
          <c:invertIfNegative val="0"/>
          <c:dLbls>
            <c:delete val="1"/>
          </c:dLbls>
          <c:val>
            <c:numRef>
              <c:f>'[新建 XLS 工作表.xls]Sheet1'!$A$2:$B$2</c:f>
              <c:numCache>
                <c:formatCode>General</c:formatCode>
                <c:ptCount val="2"/>
                <c:pt idx="0">
                  <c:v>4936.13</c:v>
                </c:pt>
                <c:pt idx="1">
                  <c:v>6094.93</c:v>
                </c:pt>
              </c:numCache>
            </c:numRef>
          </c:val>
        </c:ser>
        <c:dLbls>
          <c:showLegendKey val="0"/>
          <c:showVal val="0"/>
          <c:showCatName val="0"/>
          <c:showSerName val="0"/>
          <c:showPercent val="0"/>
          <c:showBubbleSize val="0"/>
        </c:dLbls>
        <c:gapWidth val="219"/>
        <c:overlap val="-27"/>
        <c:axId val="54206848"/>
        <c:axId val="54208384"/>
      </c:barChart>
      <c:catAx>
        <c:axId val="5420684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208384"/>
        <c:crosses val="autoZero"/>
        <c:auto val="1"/>
        <c:lblAlgn val="ctr"/>
        <c:lblOffset val="100"/>
        <c:noMultiLvlLbl val="0"/>
      </c:catAx>
      <c:valAx>
        <c:axId val="542083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2068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'[新建 Microsoft Office Excel 97-2003 工作表.xls]Sheet1'!$A$23:$A$31</c:f>
              <c:strCache>
                <c:ptCount val="9"/>
                <c:pt idx="0">
                  <c:v>一般公共服务</c:v>
                </c:pt>
                <c:pt idx="1">
                  <c:v>节能环保支出</c:v>
                </c:pt>
                <c:pt idx="2">
                  <c:v>城乡社区支出</c:v>
                </c:pt>
                <c:pt idx="3">
                  <c:v>社会保障就业支出</c:v>
                </c:pt>
                <c:pt idx="4">
                  <c:v>医疗卫生支出</c:v>
                </c:pt>
                <c:pt idx="5">
                  <c:v>住房保障支出</c:v>
                </c:pt>
                <c:pt idx="6">
                  <c:v>农林水支出</c:v>
                </c:pt>
                <c:pt idx="7">
                  <c:v>灾害防治及应急管理支出</c:v>
                </c:pt>
                <c:pt idx="8">
                  <c:v>其他支出</c:v>
                </c:pt>
              </c:strCache>
            </c:strRef>
          </c:cat>
          <c:val>
            <c:numRef>
              <c:f>'[新建 Microsoft Office Excel 97-2003 工作表.xls]Sheet1'!$B$23:$B$31</c:f>
              <c:numCache>
                <c:formatCode>General</c:formatCode>
                <c:ptCount val="9"/>
                <c:pt idx="0">
                  <c:v>1756.71</c:v>
                </c:pt>
                <c:pt idx="1">
                  <c:v>498.55</c:v>
                </c:pt>
                <c:pt idx="2">
                  <c:v>1047.43</c:v>
                </c:pt>
                <c:pt idx="3">
                  <c:v>1031.02</c:v>
                </c:pt>
                <c:pt idx="4">
                  <c:v>26.86</c:v>
                </c:pt>
                <c:pt idx="5">
                  <c:v>37.79</c:v>
                </c:pt>
                <c:pt idx="6">
                  <c:v>870.65</c:v>
                </c:pt>
                <c:pt idx="7">
                  <c:v>808.06</c:v>
                </c:pt>
                <c:pt idx="8">
                  <c:v>300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en-US"/>
                      <a:t>5645</a:t>
                    </a:r>
                    <a:endParaRPr altLang="en-US"/>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en-US"/>
                      <a:t>55344</a:t>
                    </a:r>
                    <a:endParaRPr altLang="en-US"/>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'[新建 XLS 工作表.xls]Sheet1'!$I$1:$J$1</c:f>
              <c:strCache>
                <c:ptCount val="2"/>
                <c:pt idx="0">
                  <c:v>公务接待费</c:v>
                </c:pt>
                <c:pt idx="1">
                  <c:v>公务用车运行维护费</c:v>
                </c:pt>
              </c:strCache>
            </c:strRef>
          </c:cat>
          <c:val>
            <c:numRef>
              <c:f>'[新建 XLS 工作表.xls]Sheet1'!$I$2:$J$2</c:f>
              <c:numCache>
                <c:formatCode>General</c:formatCode>
                <c:ptCount val="2"/>
                <c:pt idx="0">
                  <c:v>3667</c:v>
                </c:pt>
                <c:pt idx="1">
                  <c:v>40319.32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11010</Words>
  <Characters>2719</Characters>
  <Lines>22</Lines>
  <Paragraphs>27</Paragraphs>
  <TotalTime>52</TotalTime>
  <ScaleCrop>false</ScaleCrop>
  <LinksUpToDate>false</LinksUpToDate>
  <CharactersWithSpaces>13702</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2020-09-23T09:10:00Z</dcterms:created>
  <dc:creator>lenovo</dc:creator>
  <cp:lastModifiedBy>samsung</cp:lastModifiedBy>
  <cp:lastPrinted>2020-09-25T07:16:00Z</cp:lastPrinted>
  <dcterms:modified xsi:type="dcterms:W3CDTF">2021-06-04T04:41:53Z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