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8441"/>
      <w:bookmarkStart w:id="1" w:name="_Toc15377425"/>
      <w:bookmarkStart w:id="2" w:name="_Toc15396597"/>
      <w:bookmarkStart w:id="3" w:name="_Toc15377193"/>
      <w:bookmarkStart w:id="4" w:name="_Toc15396475"/>
      <w:bookmarkStart w:id="5" w:name="_Toc15306267"/>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b/>
          <w:sz w:val="72"/>
          <w:szCs w:val="72"/>
        </w:rPr>
      </w:pPr>
      <w:bookmarkStart w:id="6" w:name="_Toc15396598"/>
      <w:bookmarkStart w:id="7" w:name="_Toc15306268"/>
      <w:bookmarkStart w:id="8" w:name="_Toc15378442"/>
      <w:bookmarkStart w:id="9" w:name="_Toc15377426"/>
      <w:bookmarkStart w:id="10" w:name="_Toc15396476"/>
      <w:bookmarkStart w:id="11" w:name="_Toc15377194"/>
      <w:bookmarkEnd w:id="5"/>
      <w:r>
        <w:rPr>
          <w:rFonts w:ascii="宋体" w:eastAsia="宋体"/>
          <w:b/>
          <w:sz w:val="72"/>
          <w:szCs w:val="72"/>
        </w:rPr>
        <w:t>阿坝州茂县农村公路管理办公室</w:t>
      </w:r>
      <w:r>
        <w:rPr>
          <w:rFonts w:ascii="宋体" w:eastAsia="宋体" w:hint="eastAsia"/>
          <w:b/>
          <w:sz w:val="72"/>
          <w:szCs w:val="72"/>
        </w:rPr>
        <w:t>部门决算</w:t>
      </w:r>
      <w:bookmarkEnd w:id="6"/>
      <w:bookmarkEnd w:id="7"/>
      <w:bookmarkEnd w:id="8"/>
      <w:bookmarkEnd w:id="9"/>
      <w:bookmarkEnd w:id="10"/>
      <w:bookmarkEnd w:id="11"/>
      <w:r>
        <w:rPr>
          <w:rFonts w:ascii="宋体" w:eastAsia="宋体" w:hint="eastAsia"/>
          <w:b/>
          <w:sz w:val="72"/>
          <w:szCs w:val="72"/>
        </w:rPr>
        <w:t>编制说明</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2" w:name="_Toc15377196"/>
    </w:p>
    <w:p>
      <w:pPr>
        <w:pStyle w:val="22"/>
        <w:tabs>
          <w:tab w:val="right" w:leader="dot" w:pos="8296"/>
        </w:tabs>
        <w:rPr>
          <w:rFonts w:ascii="Calibri" w:eastAsia="宋体" w:cs="Arial" w:hAnsi="Calibri"/>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Hyperlink \l "_Toc113981009"</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"_Toc113981010"</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"_Toc113981011"</w:instrText>
      </w:r>
      <w:r>
        <w:fldChar w:fldCharType="separate"/>
      </w:r>
      <w:r>
        <w:rPr>
          <w:rFonts w:ascii="黑体" w:eastAsia="黑体"/>
        </w:rPr>
        <w:t>二、机构设置</w:t>
      </w:r>
      <w:r>
        <w:tab/>
      </w:r>
      <w:r>
        <w:fldChar w:fldCharType="begin"/>
      </w:r>
      <w:r>
        <w:instrText xml:space="preserve"> PAGEREF _Toc113981011 \h </w:instrText>
      </w:r>
      <w:r>
        <w:fldChar w:fldCharType="separate"/>
      </w:r>
      <w:r>
        <w:t>6</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Hyperlink \l "_Toc113981012"</w:instrText>
      </w:r>
      <w:r>
        <w:fldChar w:fldCharType="separate"/>
      </w:r>
      <w:r>
        <w:rPr>
          <w:rFonts w:ascii="黑体" w:eastAsia="黑体" w:cs="黑体" w:hint="eastAsia"/>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8</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"_Toc113981013"</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8</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"_Toc113981014"</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8</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"_Toc113981015"</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9</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"_Toc113981016"</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10</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"_Toc113981017"</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11</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"_Toc113981018"</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14</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"_Toc113981019"</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14</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"_Toc113981020"</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"_Toc113981021"</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"_Toc113981022"</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16</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Hyperlink \l "_Toc113981023"</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18</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Hyperlink \l "_Toc113981024"</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21</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Hyperlink \l "_Toc113981025"</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21</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"_Toc113981026"</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"_Toc113981027"</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"_Toc113981028"</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"_Toc113981029"</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"_Toc113981030"</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"_Toc113981031"</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"_Toc113981032"</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"_Toc113981033"</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"_Toc113981034"</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"_Toc113981035"</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"_Toc113981036"</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"_Toc113981037"</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"_Toc113981038"</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26</w:t>
      </w:r>
      <w:r>
        <w:fldChar w:fldCharType="end"/>
      </w:r>
      <w:r>
        <w:fldChar w:fldCharType="end"/>
      </w:r>
    </w:p>
    <w:p>
      <w:pPr>
        <w:pStyle w:val="24"/>
        <w:tabs>
          <w:tab w:val="right" w:leader="dot" w:pos="8296"/>
        </w:tabs>
        <w:rPr>
          <w:rFonts w:ascii="Calibri" w:eastAsia="宋体" w:cs="Arial" w:hAnsi="Calibri"/>
          <w:szCs w:val="22"/>
        </w:rPr>
      </w:pPr>
      <w:r>
        <w:fldChar w:fldCharType="begin"/>
      </w:r>
      <w:r>
        <w:instrText>Hyperlink \l "_Toc113981039"</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26</w:t>
      </w:r>
      <w:r>
        <w:fldChar w:fldCharType="end"/>
      </w:r>
      <w:r>
        <w:fldChar w:fldCharType="end"/>
      </w:r>
    </w:p>
    <w:p>
      <w:pPr>
        <w:pStyle w:val="15"/>
      </w:pPr>
      <w:r>
        <w:rPr>
          <w:caps w:val="0"/>
          <w:smallCaps/>
          <w:szCs w:val="20"/>
        </w:rPr>
        <w:fldChar w:fldCharType="end"/>
      </w:r>
    </w:p>
    <w:p>
      <w:pPr>
        <w:pStyle w:val="1"/>
        <w:jc w:val="center"/>
        <w:rPr>
          <w:rFonts w:ascii="黑体" w:eastAsia="黑体" w:cs="黑体"/>
          <w:b w:val="0"/>
          <w:bCs w:val="0"/>
        </w:rPr>
      </w:pPr>
      <w:bookmarkStart w:id="13" w:name="_Toc111208495"/>
      <w:bookmarkStart w:id="14" w:name="_Toc113981009"/>
      <w:r>
        <w:rPr>
          <w:rFonts w:ascii="黑体" w:eastAsia="黑体" w:cs="黑体" w:hint="eastAsia"/>
        </w:rPr>
        <w:t xml:space="preserve">第一部分 </w:t>
      </w:r>
      <w:r>
        <w:rPr>
          <w:rStyle w:val="1Char"/>
          <w:rFonts w:ascii="黑体" w:eastAsia="黑体" w:cs="黑体" w:hint="eastAsia"/>
          <w:b/>
        </w:rPr>
        <w:t>部门概况</w:t>
      </w:r>
      <w:bookmarkEnd w:id="12"/>
      <w:bookmarkEnd w:id="13"/>
      <w:bookmarkEnd w:id="14"/>
    </w:p>
    <w:p>
      <w:pPr>
        <w:pStyle w:val="2"/>
        <w:ind w:firstLineChars="200" w:firstLine="640"/>
        <w:rPr>
          <w:rFonts w:ascii="黑体" w:eastAsia="黑体" w:cs="Times New Roman"/>
          <w:bCs w:val="0"/>
          <w:color w:val="000000"/>
        </w:rPr>
      </w:pPr>
      <w:bookmarkStart w:id="15" w:name="_Toc15377197"/>
      <w:bookmarkStart w:id="16" w:name="_Toc111208496"/>
      <w:bookmarkStart w:id="17" w:name="_Toc113981010"/>
      <w:r>
        <w:rPr>
          <w:rFonts w:ascii="黑体" w:eastAsia="黑体" w:cs="Times New Roman" w:hint="eastAsia"/>
          <w:bCs w:val="0"/>
          <w:color w:val="000000"/>
        </w:rPr>
        <w:t>一、基本职能及主要工作</w:t>
      </w:r>
      <w:bookmarkStart w:id="18" w:name="_Toc15377198"/>
      <w:bookmarkStart w:id="19" w:name="_Toc15378445"/>
      <w:bookmarkEnd w:id="15"/>
      <w:bookmarkEnd w:id="16"/>
      <w:bookmarkEnd w:id="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（一）主要职能</w:t>
      </w:r>
      <w:bookmarkEnd w:id="18"/>
      <w:bookmarkEnd w:id="19"/>
    </w:p>
    <w:p>
      <w:pPr>
        <w:ind w:left="480" w:hangingChars="150" w:hanging="480"/>
        <w:rPr>
          <w:rFonts w:ascii="仿宋" w:eastAsia="仿宋"/>
          <w:color w:val="000000"/>
          <w:sz w:val="32"/>
          <w:szCs w:val="32"/>
        </w:rPr>
      </w:pPr>
      <w:r>
        <w:rPr>
          <w:rFonts w:ascii="仿宋" w:eastAsia="仿宋"/>
          <w:color w:val="000000"/>
          <w:sz w:val="32"/>
          <w:szCs w:val="32"/>
        </w:rPr>
        <w:br/>
        <w:tab/>
        <w:t xml:space="preserve">1.拟定全县公路、交通行业发展战略、政策、交通规章，并组织实施及监督执行。 </w:t>
      </w:r>
    </w:p>
    <w:p>
      <w:pPr>
        <w:ind w:firstLineChars="250" w:firstLine="800"/>
        <w:rPr>
          <w:rFonts w:ascii="仿宋" w:eastAsia="仿宋"/>
          <w:color w:val="000000"/>
          <w:sz w:val="32"/>
          <w:szCs w:val="32"/>
        </w:rPr>
      </w:pPr>
      <w:r>
        <w:rPr>
          <w:rFonts w:ascii="仿宋" w:eastAsia="仿宋"/>
          <w:color w:val="000000"/>
          <w:sz w:val="32"/>
          <w:szCs w:val="32"/>
        </w:rPr>
        <w:t>2.按全县的规划拟定公路交通行业发展规划、中长期计划和年度计划，并负责组织和监督实施，负责交通行业统计和信息引导。</w:t>
      </w:r>
    </w:p>
    <w:p>
      <w:pPr>
        <w:ind w:firstLineChars="200" w:firstLine="640"/>
        <w:rPr>
          <w:rFonts w:ascii="仿宋" w:eastAsia="仿宋"/>
          <w:color w:val="000000"/>
          <w:sz w:val="32"/>
          <w:szCs w:val="32"/>
        </w:rPr>
      </w:pPr>
      <w:r>
        <w:rPr>
          <w:rFonts w:ascii="仿宋" w:eastAsia="仿宋"/>
          <w:color w:val="000000"/>
          <w:sz w:val="32"/>
          <w:szCs w:val="32"/>
        </w:rPr>
        <w:t xml:space="preserve">3.对国家、省、市、县重点物资和紧急客货运输进行调控及公路客货运输管理工作，组织实施国家、省、州、县重点公路交通工程建设。 </w:t>
      </w:r>
    </w:p>
    <w:p>
      <w:pPr>
        <w:ind w:firstLineChars="200" w:firstLine="640"/>
        <w:rPr>
          <w:rFonts w:ascii="仿宋" w:eastAsia="仿宋"/>
          <w:color w:val="000000"/>
          <w:sz w:val="32"/>
          <w:szCs w:val="32"/>
        </w:rPr>
      </w:pPr>
      <w:r>
        <w:rPr>
          <w:rFonts w:ascii="仿宋" w:eastAsia="仿宋"/>
          <w:color w:val="000000"/>
          <w:sz w:val="32"/>
          <w:szCs w:val="32"/>
        </w:rPr>
        <w:t>4.指导交通行业体制改革和企业管理；维护公路交通行业平等竞争秩序，引导交通运输行业优化结构、协调发展，为全县经济建设服务。</w:t>
      </w:r>
    </w:p>
    <w:p>
      <w:pPr>
        <w:rPr>
          <w:rFonts w:ascii="仿宋" w:eastAsia="仿宋"/>
          <w:color w:val="000000"/>
          <w:sz w:val="32"/>
          <w:szCs w:val="32"/>
        </w:rPr>
      </w:pPr>
      <w:r>
        <w:rPr>
          <w:rFonts w:ascii="仿宋" w:eastAsia="仿宋"/>
          <w:color w:val="000000"/>
          <w:sz w:val="32"/>
          <w:szCs w:val="32"/>
        </w:rPr>
        <w:t xml:space="preserve">   5.组织公路及其设施的立项、测设、预算及建设、维护、管理；负责道路运输市场、汽车维修市场、搬运装卸、运输服务、机动车综合性能检测、汽车驾驶学校、驾驶员培训工作的行业管理和公路标志、标线的设置和管理。 </w:t>
      </w:r>
    </w:p>
    <w:p>
      <w:pPr>
        <w:ind w:firstLineChars="100" w:firstLine="320"/>
        <w:rPr>
          <w:rFonts w:ascii="仿宋" w:eastAsia="仿宋"/>
          <w:color w:val="000000"/>
          <w:sz w:val="32"/>
          <w:szCs w:val="32"/>
        </w:rPr>
      </w:pPr>
      <w:r>
        <w:rPr>
          <w:rFonts w:ascii="仿宋" w:eastAsia="仿宋"/>
          <w:color w:val="000000"/>
          <w:sz w:val="32"/>
          <w:szCs w:val="32"/>
        </w:rPr>
        <w:t>6.负责辖区内交通安全生产的管理工作。</w:t>
      </w:r>
    </w:p>
    <w:p>
      <w:pPr>
        <w:rPr>
          <w:rFonts w:ascii="仿宋" w:eastAsia="仿宋"/>
          <w:color w:val="000000"/>
          <w:sz w:val="32"/>
          <w:szCs w:val="32"/>
        </w:rPr>
      </w:pPr>
      <w:r>
        <w:rPr>
          <w:rFonts w:ascii="仿宋" w:eastAsia="仿宋"/>
          <w:color w:val="000000"/>
          <w:sz w:val="32"/>
          <w:szCs w:val="32"/>
        </w:rPr>
        <w:t xml:space="preserve">  7.指导全县交通系统财务管理，负责国有资产管理；负责全县交通专项资金管理和使用；负责交通工程质量监督；按照有关规定组织交通工业的认证和质量监督；组织交通系统内部审计工作。</w:t>
      </w:r>
    </w:p>
    <w:p>
      <w:pPr>
        <w:rPr>
          <w:rFonts w:ascii="仿宋" w:eastAsia="仿宋"/>
          <w:color w:val="000000"/>
          <w:sz w:val="32"/>
          <w:szCs w:val="32"/>
        </w:rPr>
      </w:pPr>
      <w:r>
        <w:rPr>
          <w:rFonts w:ascii="仿宋" w:eastAsia="仿宋"/>
          <w:color w:val="000000"/>
          <w:sz w:val="32"/>
          <w:szCs w:val="32"/>
        </w:rPr>
        <w:t xml:space="preserve">  8.负责全县交通科技教育的发展与管理，组织科技开发，推动行业技术进步；指导交通行业成人教育工作和交通科技工作的开展。 </w:t>
      </w:r>
    </w:p>
    <w:p>
      <w:pPr>
        <w:ind w:firstLineChars="100" w:firstLine="320"/>
        <w:rPr>
          <w:rFonts w:ascii="仿宋" w:eastAsia="仿宋"/>
          <w:color w:val="000000"/>
          <w:sz w:val="32"/>
          <w:szCs w:val="32"/>
        </w:rPr>
      </w:pPr>
      <w:r>
        <w:rPr>
          <w:rFonts w:ascii="仿宋" w:eastAsia="仿宋"/>
          <w:color w:val="000000"/>
          <w:sz w:val="32"/>
          <w:szCs w:val="32"/>
        </w:rPr>
        <w:t>9.负责局机关和直属单位人事、劳动、机构编制管理、人力资源开发工作；负责直属单位领导班子建设和股级干部管理工作；指导交通行业精神文明建设职工队伍建设。</w:t>
      </w:r>
    </w:p>
    <w:p>
      <w:pPr>
        <w:rPr>
          <w:rFonts w:ascii="仿宋" w:eastAsia="仿宋"/>
          <w:color w:val="000000"/>
          <w:sz w:val="32"/>
          <w:szCs w:val="32"/>
        </w:rPr>
      </w:pPr>
      <w:r>
        <w:rPr>
          <w:rFonts w:ascii="仿宋" w:eastAsia="仿宋"/>
          <w:color w:val="000000"/>
          <w:sz w:val="32"/>
          <w:szCs w:val="32"/>
        </w:rPr>
        <w:t xml:space="preserve">  10.负责交通行业涉外工作，指导利用外资工作；管理公路交通涉及国家组织的有关事宜，开展国际交通经济技术合作与交流。 </w:t>
      </w:r>
    </w:p>
    <w:p>
      <w:pPr>
        <w:ind w:firstLineChars="100" w:firstLine="320"/>
      </w:pPr>
      <w:r>
        <w:rPr>
          <w:rFonts w:ascii="仿宋" w:eastAsia="仿宋"/>
          <w:color w:val="000000"/>
          <w:sz w:val="32"/>
          <w:szCs w:val="32"/>
        </w:rPr>
        <w:t>11.承办县政府交办的其它事项。</w:t>
      </w:r>
    </w:p>
    <w:p>
      <w:pPr>
        <w:spacing w:line="600" w:lineRule="exact"/>
        <w:ind w:firstLineChars="200" w:firstLine="640"/>
        <w:outlineLvl w:val="2"/>
        <w:rPr>
          <w:rFonts w:ascii="仿宋" w:eastAsia="仿宋"/>
          <w:b/>
          <w:color w:val="000000"/>
          <w:sz w:val="32"/>
          <w:szCs w:val="32"/>
        </w:rPr>
      </w:pPr>
      <w:bookmarkStart w:id="20" w:name="_Toc15377199"/>
      <w:bookmarkStart w:id="21" w:name="_Toc15378446"/>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2" w:name="_Toc15377200"/>
      <w:bookmarkEnd w:id="20"/>
      <w:bookmarkEnd w:id="21"/>
    </w:p>
    <w:p>
      <w:pPr>
        <w:ind w:left="480" w:hangingChars="150" w:hanging="480"/>
        <w:rPr>
          <w:rFonts w:ascii="仿宋" w:eastAsia="仿宋"/>
          <w:color w:val="000000"/>
          <w:sz w:val="32"/>
          <w:szCs w:val="32"/>
        </w:rPr>
      </w:pPr>
      <w:r>
        <w:rPr>
          <w:rFonts w:ascii="仿宋" w:eastAsia="仿宋"/>
          <w:color w:val="000000"/>
          <w:sz w:val="32"/>
          <w:szCs w:val="32"/>
        </w:rPr>
        <w:br/>
        <w:tab/>
        <w:t>1.</w:t>
        <w:tab/>
        <w:t xml:space="preserve">积极配合做好川汶高速前期、茂绵公路等项目要素保障。目前川汶高速项目已完成用地预审及规范选址手续等，茂绵高速项目已完成压覆矿专项、采空区专项、地灾评估、遥感解译、全线综合遥感勘查等工作。 </w:t>
      </w:r>
    </w:p>
    <w:p>
      <w:pPr>
        <w:ind w:firstLineChars="200" w:firstLine="640"/>
        <w:rPr>
          <w:rFonts w:ascii="仿宋" w:eastAsia="仿宋"/>
          <w:color w:val="000000"/>
          <w:sz w:val="32"/>
          <w:szCs w:val="32"/>
        </w:rPr>
      </w:pPr>
      <w:r>
        <w:rPr>
          <w:rFonts w:ascii="仿宋" w:eastAsia="仿宋"/>
          <w:color w:val="000000"/>
          <w:sz w:val="32"/>
          <w:szCs w:val="32"/>
        </w:rPr>
        <w:t xml:space="preserve"> 2.持续推进茂（县）绵（竹）公路建设。2021年计划投资7000万，截至目前，完成投资5260万元。完成绵茂路蓝家岩隧道（阿坝端）主洞装饰工程5235米、完成平导度盖板安装5000米、完成洞外截水沟400余米、完成洞内电缆沟支架安装4800米、完成洞外拦渣坝清淤10000余方、完成洞外绿化工程25000余平方米。截至目前，绵茂路蓝家岩隧道（阿坝端）土建主体工程已全面完工。10月27日绵茂路蓝家岩隧道整体贯通。 </w:t>
      </w:r>
    </w:p>
    <w:p>
      <w:pPr>
        <w:ind w:firstLineChars="100" w:firstLine="320"/>
        <w:rPr>
          <w:rFonts w:ascii="仿宋" w:eastAsia="仿宋"/>
          <w:color w:val="000000"/>
          <w:sz w:val="32"/>
          <w:szCs w:val="32"/>
        </w:rPr>
      </w:pPr>
      <w:r>
        <w:rPr>
          <w:rFonts w:ascii="仿宋" w:eastAsia="仿宋"/>
          <w:color w:val="000000"/>
          <w:sz w:val="32"/>
          <w:szCs w:val="32"/>
        </w:rPr>
        <w:t xml:space="preserve"> 3.持续推进茂（县）红（原）公路建设。总投资39158.0447万元，累计完成投资35180.6739万元，本年度至今完成投资3570.03万元,已完成总投资的89.84%。 </w:t>
      </w:r>
    </w:p>
    <w:p>
      <w:pPr>
        <w:ind w:firstLineChars="100" w:firstLine="320"/>
        <w:rPr>
          <w:rFonts w:ascii="仿宋" w:eastAsia="仿宋"/>
          <w:color w:val="000000"/>
          <w:sz w:val="32"/>
          <w:szCs w:val="32"/>
        </w:rPr>
      </w:pPr>
      <w:r>
        <w:rPr>
          <w:rFonts w:ascii="仿宋" w:eastAsia="仿宋"/>
          <w:color w:val="000000"/>
          <w:sz w:val="32"/>
          <w:szCs w:val="32"/>
        </w:rPr>
        <w:t xml:space="preserve"> 4.继续推进“8.16”农村公路灾后恢复重建。共实施项目工34个，总投资2942万元。截至目前，已支付资金1075.045万元，剩余质保金17.779561万元，净结余1.601115万元；松黑路、渭永路，总投资1597万元，现松黑路已完成工可编制和施工图设计；渭永路已完成财评工作，现正在进行施工单位招标工作，12月1日，完成技术现场交底工作，其它专项正在办理中。 </w:t>
      </w:r>
    </w:p>
    <w:p>
      <w:pPr>
        <w:ind w:firstLineChars="100" w:firstLine="320"/>
        <w:rPr>
          <w:rFonts w:ascii="仿宋" w:eastAsia="仿宋"/>
          <w:color w:val="000000"/>
          <w:sz w:val="32"/>
          <w:szCs w:val="32"/>
        </w:rPr>
      </w:pPr>
      <w:r>
        <w:rPr>
          <w:rFonts w:ascii="仿宋" w:eastAsia="仿宋"/>
          <w:color w:val="000000"/>
          <w:sz w:val="32"/>
          <w:szCs w:val="32"/>
        </w:rPr>
        <w:t xml:space="preserve"> 5.实施茂县统筹整合财政涉农资金交通建设项目方面。建设项目47个，项目总投资2018.59万元。目前，已全部完工并完成办结，支付工程款1842.17万元，质保金56.06万元，净结余120.36万元。  </w:t>
      </w:r>
    </w:p>
    <w:p>
      <w:pPr>
        <w:ind w:firstLineChars="150" w:firstLine="480"/>
        <w:rPr>
          <w:rFonts w:ascii="仿宋" w:eastAsia="仿宋"/>
          <w:color w:val="000000"/>
          <w:sz w:val="32"/>
          <w:szCs w:val="32"/>
        </w:rPr>
      </w:pPr>
      <w:r>
        <w:rPr>
          <w:rFonts w:ascii="仿宋" w:eastAsia="仿宋"/>
          <w:color w:val="000000"/>
          <w:sz w:val="32"/>
          <w:szCs w:val="32"/>
        </w:rPr>
        <w:t xml:space="preserve">6.实施G347线茂县土门镇至凤仪镇段灾毁修复整治工程方面。2020年12月22日，州交通运输局以《关于加快推进“8.10”暴雨洪灾灾后修复整治普通国道项目前期工作的通知》（阿州交规划〔2020〕527号）文件，下达我县G347线茂县土门镇至凤仪镇段灾毁修复整治工程（原文件项目名称为G347线茂县与北川交界至茂德路交接口段灾毁修复整治工程，工可评审时要求将原项目调整为现项目名称），修复整治6.37公里，项目估算总投资14199万元（其中:中央、省级补助7099万元，地方自筹解决7100万元)。经四川省公路规划勘察设计研究院有限公司现场勘察设计，灾毁修复整治70处，建设规模4.095公里，修复整治路基、拦挡墙、破损路面、交安恢复及新建暗板桥、涵洞等，估算总投资13600万元，其中：建安费约12372万元。截至目前，一是完成工可报告、社会稳定评价，选址意见书、立项批复、勘察设计初设方案评审待省厅批复、施工图评审工作;二是现已公开比选完成监理单位、施工单位招标代理公司，近期将开展招标文件编制工作；三是正在实施水土保持方案、环评报告编制工作；四是正在公开挂网采购行洪论证、水保监测、水保验收编制单位；  </w:t>
      </w:r>
    </w:p>
    <w:p>
      <w:pPr>
        <w:ind w:firstLineChars="150" w:firstLine="480"/>
        <w:rPr>
          <w:rFonts w:ascii="仿宋" w:eastAsia="仿宋"/>
          <w:color w:val="000000"/>
          <w:sz w:val="32"/>
          <w:szCs w:val="32"/>
        </w:rPr>
      </w:pPr>
      <w:r>
        <w:rPr>
          <w:rFonts w:ascii="仿宋" w:eastAsia="仿宋"/>
          <w:color w:val="000000"/>
          <w:sz w:val="32"/>
          <w:szCs w:val="32"/>
        </w:rPr>
        <w:t xml:space="preserve">7.有序推动省“金通工程”样板县创建工作。“金通工程”总投资375.22万元，资金支付进度100%。目前，正在整理完善相关软件资料，准备迎检。 </w:t>
      </w:r>
    </w:p>
    <w:p>
      <w:pPr>
        <w:pStyle w:val="2"/>
        <w:ind w:firstLineChars="200" w:firstLine="640"/>
        <w:rPr>
          <w:rFonts w:ascii="黑体" w:eastAsia="黑体" w:cs="Times New Roman"/>
          <w:bCs w:val="0"/>
          <w:color w:val="000000"/>
        </w:rPr>
      </w:pPr>
      <w:bookmarkStart w:id="23" w:name="_Toc111208497"/>
      <w:bookmarkStart w:id="24" w:name="_Toc113981011"/>
      <w:r>
        <w:rPr>
          <w:rFonts w:ascii="黑体" w:eastAsia="黑体" w:cs="Times New Roman" w:hint="eastAsia"/>
          <w:bCs w:val="0"/>
          <w:color w:val="000000"/>
        </w:rPr>
        <w:t>二、机构设置</w:t>
      </w:r>
      <w:bookmarkEnd w:id="22"/>
      <w:bookmarkEnd w:id="23"/>
      <w:bookmarkEnd w:id="24"/>
    </w:p>
    <w:p>
      <w:pPr>
        <w:rPr>
          <w:rFonts w:ascii="仿宋" w:eastAsia="仿宋"/>
          <w:color w:val="000000"/>
          <w:sz w:val="32"/>
          <w:szCs w:val="32"/>
        </w:rPr>
      </w:pPr>
      <w:r>
        <w:rPr>
          <w:rFonts w:ascii="仿宋" w:eastAsia="仿宋"/>
          <w:color w:val="000000"/>
          <w:sz w:val="32"/>
          <w:szCs w:val="32"/>
        </w:rPr>
        <w:br/>
        <w:tab/>
        <w:t>本部门是行政单位，属于一级预算单位，下设办公室、工程股、财务股、安运股。</w:t>
      </w:r>
    </w:p>
    <w:p>
      <w:pPr>
        <w:widowControl/>
        <w:jc w:val="left"/>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1"/>
        <w:jc w:val="center"/>
        <w:rPr>
          <w:rFonts w:ascii="黑体" w:eastAsia="黑体" w:cs="黑体"/>
        </w:rPr>
      </w:pPr>
      <w:bookmarkStart w:id="26" w:name="_Toc111208498"/>
      <w:bookmarkStart w:id="27" w:name="_Toc113981012"/>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5"/>
      <w:bookmarkEnd w:id="26"/>
      <w:bookmarkEnd w:id="27"/>
    </w:p>
    <w:p>
      <w:pPr>
        <w:pStyle w:val="2"/>
        <w:ind w:firstLineChars="200" w:firstLine="640"/>
        <w:rPr>
          <w:rFonts w:ascii="黑体" w:eastAsia="黑体" w:cs="Times New Roman"/>
          <w:bCs w:val="0"/>
          <w:color w:val="000000"/>
        </w:rPr>
      </w:pPr>
      <w:bookmarkStart w:id="28" w:name="_Toc15377205"/>
      <w:bookmarkStart w:id="29" w:name="_Toc111208499"/>
      <w:bookmarkStart w:id="30" w:name="_Toc113981013"/>
      <w:r>
        <w:rPr>
          <w:rFonts w:ascii="黑体" w:eastAsia="黑体" w:cs="Times New Roman" w:hint="eastAsia"/>
          <w:bCs w:val="0"/>
          <w:color w:val="000000"/>
        </w:rPr>
        <w:t>一、收入支出决算总体情况说</w:t>
      </w:r>
      <w:bookmarkEnd w:id="28"/>
      <w:r>
        <w:rPr>
          <w:rFonts w:ascii="黑体" w:eastAsia="黑体" w:cs="Times New Roman" w:hint="eastAsia"/>
          <w:bCs w:val="0"/>
          <w:color w:val="000000"/>
        </w:rPr>
        <w:t>明</w:t>
      </w:r>
      <w:bookmarkEnd w:id="29"/>
      <w:bookmarkEnd w:id="30"/>
    </w:p>
    <w:p>
      <w:pPr>
        <w:spacing w:line="600" w:lineRule="exact"/>
        <w:ind w:firstLineChars="200" w:firstLine="640"/>
        <w:rPr>
          <w:rFonts w:ascii="仿宋_GB2312" w:eastAsia="仿宋_GB2312"/>
          <w:color w:val="00B0F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243.05</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增加32.01</w:t>
      </w:r>
      <w:r>
        <w:rPr>
          <w:rFonts w:ascii="仿宋" w:eastAsia="仿宋" w:hint="eastAsia"/>
          <w:color w:val="000000"/>
          <w:sz w:val="32"/>
          <w:szCs w:val="32"/>
        </w:rPr>
        <w:t>万元，</w:t>
      </w:r>
      <w:r>
        <w:rPr>
          <w:rFonts w:ascii="仿宋" w:eastAsia="仿宋"/>
          <w:color w:val="000000"/>
          <w:sz w:val="32"/>
          <w:szCs w:val="32"/>
        </w:rPr>
        <w:t>增加15.17</w:t>
      </w:r>
      <w:r>
        <w:rPr>
          <w:rFonts w:ascii="仿宋" w:eastAsia="仿宋" w:hint="eastAsia"/>
          <w:color w:val="000000"/>
          <w:sz w:val="32"/>
          <w:szCs w:val="32"/>
        </w:rPr>
        <w:t xml:space="preserve"> %。主要变动原因是人员增加</w:t>
      </w:r>
    </w:p>
    <w:p>
      <w:pPr>
        <w:spacing w:line="600" w:lineRule="exact"/>
        <w:ind w:firstLineChars="200" w:firstLine="640"/>
        <w:rPr>
          <w:rFonts w:ascii="仿宋_GB2312" w:eastAsia="仿宋_GB2312"/>
          <w:color w:val="000000"/>
          <w:sz w:val="28"/>
          <w:szCs w:val="28"/>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1" w:name="_Toc15377206"/>
      <w:bookmarkStart w:id="32" w:name="_Toc111208500"/>
      <w:bookmarkStart w:id="33" w:name="_Toc113981014"/>
      <w:r>
        <w:rPr>
          <w:rFonts w:ascii="黑体" w:eastAsia="黑体" w:cs="Times New Roman" w:hint="eastAsia"/>
          <w:bCs w:val="0"/>
          <w:color w:val="000000"/>
        </w:rPr>
        <w:t>二、收入决算情况说明</w:t>
      </w:r>
      <w:bookmarkEnd w:id="31"/>
      <w:bookmarkEnd w:id="32"/>
      <w:bookmarkEnd w:id="33"/>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243.05万元，其中：一般公共预算财政拨款收入243.05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4" w:name="_Toc15377207"/>
      <w:bookmarkStart w:id="35" w:name="_Toc111208501"/>
      <w:bookmarkStart w:id="36" w:name="_Toc113981015"/>
      <w:r>
        <w:rPr>
          <w:rFonts w:ascii="黑体" w:eastAsia="黑体" w:cs="Times New Roman" w:hint="eastAsia"/>
          <w:bCs w:val="0"/>
          <w:color w:val="000000"/>
        </w:rPr>
        <w:t>三、支出决算情况说明</w:t>
      </w:r>
      <w:bookmarkEnd w:id="34"/>
      <w:bookmarkEnd w:id="35"/>
      <w:bookmarkEnd w:id="36"/>
    </w:p>
    <w:p>
      <w:pPr>
        <w:pStyle w:val="15"/>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243.05</w:t>
      </w:r>
      <w:r>
        <w:rPr>
          <w:rFonts w:ascii="仿宋" w:eastAsia="仿宋"/>
          <w:color w:val="000000"/>
          <w:sz w:val="32"/>
          <w:szCs w:val="32"/>
        </w:rPr>
        <w:t>万元，其中：基本支出</w:t>
      </w:r>
      <w:r>
        <w:rPr>
          <w:rFonts w:ascii="仿宋" w:eastAsia="仿宋" w:hint="eastAsia"/>
          <w:color w:val="000000"/>
          <w:sz w:val="32"/>
          <w:szCs w:val="32"/>
        </w:rPr>
        <w:t>243.05</w:t>
      </w:r>
      <w:r>
        <w:rPr>
          <w:rFonts w:ascii="仿宋" w:eastAsia="仿宋"/>
          <w:color w:val="000000"/>
          <w:sz w:val="32"/>
          <w:szCs w:val="32"/>
        </w:rPr>
        <w:t>万元，占</w:t>
      </w:r>
      <w:r>
        <w:rPr>
          <w:rFonts w:ascii="仿宋" w:eastAsia="仿宋" w:hint="eastAsia"/>
          <w:color w:val="000000"/>
          <w:sz w:val="32"/>
          <w:szCs w:val="32"/>
        </w:rPr>
        <w:t>100.00</w:t>
      </w:r>
      <w:r>
        <w:rPr>
          <w:rFonts w:ascii="仿宋" w:eastAsia="仿宋"/>
          <w:color w:val="000000"/>
          <w:sz w:val="32"/>
          <w:szCs w:val="32"/>
        </w:rPr>
        <w:t>%；项目支出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%；上缴上级支出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%；经营支出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%；对附属单位补助支出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Cs w:val="0"/>
          <w:color w:val="000000"/>
        </w:rPr>
      </w:pPr>
      <w:bookmarkStart w:id="37" w:name="_Toc15377208"/>
      <w:bookmarkStart w:id="38" w:name="_Toc111208502"/>
      <w:bookmarkStart w:id="39" w:name="_Toc113981016"/>
      <w:r>
        <w:rPr>
          <w:rFonts w:ascii="黑体" w:eastAsia="黑体" w:cs="Times New Roman" w:hint="eastAsia"/>
          <w:bCs w:val="0"/>
          <w:color w:val="000000"/>
        </w:rPr>
        <w:t>四、财政拨款收入支出决算总体情况说明</w:t>
      </w:r>
      <w:bookmarkEnd w:id="37"/>
      <w:bookmarkEnd w:id="38"/>
      <w:bookmarkEnd w:id="39"/>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2021年财政拨款收、支总计243.05万元。与2020年相比，财政拨款收、支总计各增加32.01万元，增加15.17 %。主要变动原因是人员增加</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ind w:firstLine="0"/>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Cs w:val="0"/>
          <w:color w:val="000000"/>
        </w:rPr>
      </w:pPr>
      <w:bookmarkStart w:id="40" w:name="_Toc15377209"/>
      <w:bookmarkStart w:id="41" w:name="_Toc111208503"/>
      <w:bookmarkStart w:id="42" w:name="_Toc113981017"/>
      <w:r>
        <w:rPr>
          <w:rFonts w:ascii="黑体" w:eastAsia="黑体" w:cs="Times New Roman" w:hint="eastAsia"/>
          <w:bCs w:val="0"/>
          <w:color w:val="000000"/>
        </w:rPr>
        <w:t>五、一般公共预算财政拨款支出决算情况说</w:t>
      </w:r>
      <w:bookmarkEnd w:id="40"/>
      <w:r>
        <w:rPr>
          <w:rFonts w:ascii="黑体" w:eastAsia="黑体" w:cs="Times New Roman" w:hint="eastAsia"/>
          <w:bCs w:val="0"/>
          <w:color w:val="000000"/>
        </w:rPr>
        <w:t>明</w:t>
      </w:r>
      <w:bookmarkEnd w:id="41"/>
      <w:bookmarkEnd w:id="42"/>
    </w:p>
    <w:p>
      <w:pPr>
        <w:spacing w:line="600" w:lineRule="exact"/>
        <w:ind w:firstLineChars="200" w:firstLine="640"/>
        <w:outlineLvl w:val="2"/>
        <w:rPr>
          <w:rFonts w:ascii="仿宋" w:eastAsia="仿宋"/>
          <w:b/>
          <w:color w:val="000000"/>
          <w:sz w:val="32"/>
          <w:szCs w:val="32"/>
        </w:rPr>
      </w:pPr>
      <w:bookmarkStart w:id="43" w:name="_Toc15377210"/>
      <w:r>
        <w:rPr>
          <w:rFonts w:ascii="仿宋" w:eastAsia="仿宋" w:hint="eastAsia"/>
          <w:b/>
          <w:color w:val="000000"/>
          <w:sz w:val="32"/>
          <w:szCs w:val="32"/>
        </w:rPr>
        <w:t>（一）一般公共预算财政拨款支出决算总体情况</w:t>
      </w:r>
      <w:bookmarkEnd w:id="43"/>
    </w:p>
    <w:p>
      <w:pPr>
        <w:spacing w:line="600" w:lineRule="exact"/>
        <w:ind w:firstLineChars="200" w:firstLine="640"/>
        <w:rPr>
          <w:rFonts w:ascii="仿宋_GB2312" w:eastAsia="仿宋_GB2312"/>
          <w:color w:val="000000"/>
          <w:sz w:val="32"/>
          <w:szCs w:val="32"/>
        </w:rPr>
      </w:pPr>
      <w:bookmarkStart w:id="44" w:name="_Toc15377211"/>
      <w:r>
        <w:rPr>
          <w:rFonts w:ascii="仿宋" w:eastAsia="仿宋" w:hint="eastAsia"/>
          <w:color w:val="000000"/>
          <w:sz w:val="32"/>
          <w:szCs w:val="32"/>
        </w:rPr>
        <w:t>2021年一般公共预算财政拨款支出243.05万元，占本年支出合计的100.00%。与2020相比，一般公共预算财政拨款增加32.01万元，增加15.17 %。主要变动原因是人员增加</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3"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4"/>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2021年一般公共预算财政拨款支出243.05万元，主要用于以下方面:社会保障和就业支出26.92万元，占11.08%；卫生健康支出12.21万元，占5.02%；交通运输支出186.31万元，占76.66%；住房保障支出17.62万元，占7.24%。</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5"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5"/>
    </w:p>
    <w:p>
      <w:pPr>
        <w:spacing w:line="600" w:lineRule="exact"/>
        <w:ind w:firstLine="640"/>
        <w:rPr>
          <w:rFonts w:ascii="仿宋" w:eastAsia="仿宋"/>
          <w:color w:val="000000"/>
          <w:sz w:val="32"/>
          <w:szCs w:val="32"/>
        </w:rPr>
      </w:pPr>
      <w:bookmarkStart w:id="46" w:name="_Toc15377444"/>
      <w:bookmarkStart w:id="47" w:name="_Toc15378460"/>
      <w:bookmarkStart w:id="48" w:name="_Toc15377213"/>
      <w:r>
        <w:rPr>
          <w:rFonts w:ascii="仿宋" w:eastAsia="仿宋" w:hint="eastAsia"/>
          <w:color w:val="000000"/>
          <w:sz w:val="32"/>
          <w:szCs w:val="32"/>
        </w:rPr>
        <w:t>2021年一般公共预算支出决算数为243.05万元，完成预算100%。其中：</w:t>
      </w:r>
      <w:bookmarkEnd w:id="46"/>
      <w:bookmarkEnd w:id="47"/>
      <w:bookmarkEnd w:id="48"/>
    </w:p>
    <w:p>
      <w:pPr>
        <w:spacing w:line="600" w:lineRule="exact"/>
        <w:ind w:firstLine="640"/>
        <w:rPr>
          <w:rFonts w:ascii="仿宋" w:eastAsia="仿宋"/>
          <w:color w:val="000000"/>
          <w:sz w:val="32"/>
          <w:szCs w:val="32"/>
        </w:rPr>
      </w:pPr>
      <w:r>
        <w:rPr>
          <w:rFonts w:ascii="仿宋" w:eastAsia="仿宋" w:hint="eastAsia"/>
          <w:color w:val="000000"/>
          <w:sz w:val="32"/>
          <w:szCs w:val="32"/>
        </w:rPr>
        <w:t>1.社会保障和就业支出（208）行政事业单位养老支出（20805）机关事业单位基本养老保险缴费支出（2080505）支出决算17.94万元，完成预算100%。</w:t>
        <w:br/>
        <w:tab/>
        <w:t>2.社会保障和就业支出（208）行政事业单位养老支出（20805）机关事业单位职业年金缴费支出（2080506）支出决算8.97万元，完成预算100%。</w:t>
        <w:br/>
        <w:tab/>
        <w:t>3.卫生健康支出（210）行政事业单位医疗（21011）事业单位医疗（2101102）支出决算12.21万元，完成预算100%。</w:t>
        <w:br/>
        <w:tab/>
        <w:t>4.交通运输支出（214）公路水路运输（21401）其他公路水路运输支出（2140199）支出决算186.31万元，完成预算100%。</w:t>
        <w:br/>
        <w:tab/>
        <w:t>5.住房保障支出（221）住房改革支出（22102）住房公积金（2210201）支出决算17.62万元，完成预算100%。</w:t>
      </w:r>
    </w:p>
    <w:p>
      <w:pPr>
        <w:pStyle w:val="2"/>
        <w:ind w:firstLineChars="200" w:firstLine="640"/>
        <w:rPr>
          <w:rFonts w:ascii="黑体" w:eastAsia="黑体" w:cs="Times New Roman"/>
          <w:b w:val="0"/>
          <w:color w:val="000000"/>
        </w:rPr>
      </w:pPr>
      <w:bookmarkStart w:id="49" w:name="_Toc15377214"/>
      <w:bookmarkStart w:id="50" w:name="_Toc111208504"/>
      <w:bookmarkStart w:id="51" w:name="_Toc113981018"/>
      <w:r>
        <w:rPr>
          <w:rFonts w:ascii="黑体" w:eastAsia="黑体" w:cs="Times New Roman" w:hint="eastAsia"/>
          <w:bCs w:val="0"/>
          <w:color w:val="000000"/>
        </w:rPr>
        <w:t>六、一般公共预算财政拨款基本支出决算情况说</w:t>
      </w:r>
      <w:bookmarkEnd w:id="49"/>
      <w:r>
        <w:rPr>
          <w:rFonts w:ascii="黑体" w:eastAsia="黑体" w:cs="Times New Roman" w:hint="eastAsia"/>
          <w:bCs w:val="0"/>
          <w:color w:val="000000"/>
        </w:rPr>
        <w:t>明</w:t>
      </w:r>
      <w:bookmarkEnd w:id="50"/>
      <w:bookmarkEnd w:id="51"/>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2021年一般公共预算财政拨款基本支出243.05万元，其中：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233.48万元，主要包括：基本工资55.91万元、津贴补贴8.46万元、绩效工资109.52万元、机关事业单位基本养老保险缴费17.94万元、职业年金缴费8.97万元、职工基本医疗保险缴费12.21万元、其他社会保障缴费1.21万元、住房公积金17.62万元、医疗费1.64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公用经费9.57万元，主要包括：办公费2.78万元、邮电费1.15万元、差旅费5.40万元、培训费0.23万元。</w:t>
      </w:r>
    </w:p>
    <w:p>
      <w:pPr>
        <w:pStyle w:val="2"/>
        <w:ind w:firstLineChars="200" w:firstLine="640"/>
        <w:rPr>
          <w:rFonts w:ascii="黑体" w:eastAsia="黑体" w:cs="Times New Roman"/>
          <w:bCs w:val="0"/>
          <w:color w:val="000000"/>
        </w:rPr>
      </w:pPr>
      <w:bookmarkStart w:id="52" w:name="_Toc15377215"/>
      <w:bookmarkStart w:id="53" w:name="_Toc111208505"/>
      <w:bookmarkStart w:id="54" w:name="_Toc113981019"/>
      <w:r>
        <w:rPr>
          <w:rFonts w:ascii="黑体" w:eastAsia="黑体" w:cs="Times New Roman" w:hint="eastAsia"/>
          <w:bCs w:val="0"/>
          <w:color w:val="000000"/>
        </w:rPr>
        <w:t>七、“三公”经费财政拨款支出决算情况说明</w:t>
      </w:r>
      <w:bookmarkEnd w:id="52"/>
      <w:bookmarkEnd w:id="53"/>
      <w:bookmarkEnd w:id="54"/>
    </w:p>
    <w:p>
      <w:pPr>
        <w:spacing w:line="600" w:lineRule="exact"/>
        <w:ind w:firstLineChars="200" w:firstLine="640"/>
        <w:outlineLvl w:val="2"/>
        <w:rPr>
          <w:rFonts w:ascii="仿宋" w:eastAsia="仿宋"/>
          <w:b/>
          <w:color w:val="000000"/>
          <w:sz w:val="32"/>
          <w:szCs w:val="32"/>
        </w:rPr>
      </w:pPr>
      <w:bookmarkStart w:id="55" w:name="_Toc15377216"/>
      <w:r>
        <w:rPr>
          <w:rFonts w:ascii="仿宋" w:eastAsia="仿宋" w:hint="eastAsia"/>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2021年“三公”经费财政拨款支出决算为0.00万元，完成预算0.00%。</w:t>
      </w:r>
      <w:bookmarkStart w:id="56"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2021年“三公”经费财政拨款支出0.00万元</w:t>
      </w:r>
      <w:bookmarkStart w:id="57" w:name="_GoBack"/>
      <w:bookmarkEnd w:id="57"/>
      <w:r>
        <w:rPr>
          <w:rFonts w:ascii="仿宋" w:eastAsia="仿宋" w:hint="eastAsia"/>
          <w:color w:val="000000"/>
          <w:sz w:val="32"/>
          <w:szCs w:val="32"/>
        </w:rPr>
        <w:t>，因公出国（境）费支出决算0.00万元，占0.00%；公务用车购置及运行维护费支出决算0.00万元，占0.00%；公务接待费支出决算0.00万元，占0.00%。具体情况如下：</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2.公务用车购置及运行维护费支出0.00万元,完成预算0.00%。公务用车购置及运行维护费支出决算比2020年增加0.00万元，增加0%。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月底，单位共有公务用车0辆，其中：轿车0辆、越野车0辆、载客汽车0辆。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公务用车运行维护费支出0.00万元。 </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3.公务接待费支出0.00万元，完成预算0.00%。公务接待费支出决算比2020年减少0.19万元，增加0.00</w:t>
      </w:r>
      <w:r>
        <w:rPr>
          <w:rFonts w:ascii="仿宋" w:eastAsia="仿宋"/>
          <w:color w:val="000000"/>
          <w:sz w:val="32"/>
          <w:szCs w:val="32"/>
        </w:rPr>
        <w:t>%</w:t>
      </w:r>
      <w:r>
        <w:rPr>
          <w:rFonts w:ascii="仿宋" w:eastAsia="仿宋" w:hint="eastAsia"/>
          <w:color w:val="000000"/>
          <w:sz w:val="32"/>
          <w:szCs w:val="32"/>
        </w:rPr>
        <w:t>。</w:t>
      </w:r>
      <w:bookmarkStart w:id="58" w:name="_Toc15377218"/>
      <w:r>
        <w:rPr>
          <w:rFonts w:ascii="仿宋" w:eastAsia="仿宋" w:hint="eastAsia"/>
          <w:color w:val="000000"/>
          <w:sz w:val="32"/>
          <w:szCs w:val="32"/>
        </w:rPr>
        <w:t xml:space="preserve">主要原因是今年无接待费开支。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国内公务接待支出0.00万元。国内公务接待0批次，0人次（不包括陪同人员），共计支出0.00万元。</w:t>
      </w:r>
    </w:p>
    <w:p>
      <w:pPr>
        <w:pStyle w:val="15"/>
        <w:rPr>
          <w:rFonts w:ascii="仿宋" w:eastAsia="仿宋"/>
          <w:color w:val="000000"/>
          <w:sz w:val="32"/>
          <w:szCs w:val="32"/>
        </w:rPr>
      </w:pPr>
      <w:r>
        <w:rPr>
          <w:rFonts w:ascii="仿宋" w:eastAsia="仿宋" w:hint="eastAsia"/>
          <w:color w:val="000000"/>
          <w:sz w:val="32"/>
          <w:szCs w:val="32"/>
        </w:rPr>
        <w:t>外事接待支出0.00万元，外事接待0批次，0人，共计支出0.00万元。</w:t>
      </w:r>
    </w:p>
    <w:p>
      <w:pPr>
        <w:pStyle w:val="2"/>
        <w:ind w:firstLineChars="200" w:firstLine="640"/>
        <w:rPr>
          <w:rFonts w:ascii="黑体" w:eastAsia="黑体" w:cs="Times New Roman"/>
          <w:bCs w:val="0"/>
          <w:color w:val="000000"/>
        </w:rPr>
      </w:pPr>
      <w:bookmarkStart w:id="59" w:name="_Toc111208506"/>
      <w:bookmarkStart w:id="60" w:name="_Toc113981020"/>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2021年政府性基金预算拨款支出0.00万元。</w:t>
      </w:r>
      <w:bookmarkStart w:id="61" w:name="_Toc15377219"/>
    </w:p>
    <w:p>
      <w:pPr>
        <w:pStyle w:val="2"/>
        <w:ind w:firstLineChars="200" w:firstLine="640"/>
        <w:rPr>
          <w:rFonts w:ascii="黑体" w:eastAsia="黑体" w:cs="Times New Roman"/>
          <w:bCs w:val="0"/>
          <w:color w:val="000000"/>
        </w:rPr>
      </w:pPr>
      <w:bookmarkStart w:id="62" w:name="_Toc111208507"/>
      <w:bookmarkStart w:id="63" w:name="_Toc113981021"/>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2021年国有资本经营预算拨款支出0.00万元。</w:t>
      </w:r>
    </w:p>
    <w:p>
      <w:pPr>
        <w:pStyle w:val="2"/>
        <w:ind w:firstLineChars="200" w:firstLine="640"/>
        <w:rPr>
          <w:rFonts w:ascii="黑体" w:eastAsia="黑体" w:cs="Times New Roman"/>
          <w:bCs w:val="0"/>
          <w:color w:val="000000"/>
        </w:rPr>
      </w:pPr>
      <w:bookmarkStart w:id="64" w:name="_Toc15377221"/>
      <w:bookmarkStart w:id="65" w:name="_Toc111208508"/>
      <w:bookmarkStart w:id="66" w:name="_Toc113981022"/>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2021年，机关运行经费支出0.00万元，比2020年增加0.00万元，增加0 %。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日，共有车辆0辆，其中：主要领导干部用车0辆、机要通信用车0辆、应急保障用车0辆、其他用车0辆。单价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15"/>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70" w:name="_Toc15377225"/>
      <w:bookmarkStart w:id="71" w:name="_Toc111208509"/>
      <w:bookmarkStart w:id="72" w:name="_Toc113981023"/>
      <w:r>
        <w:rPr>
          <w:rFonts w:ascii="黑体" w:eastAsia="黑体" w:cs="黑体" w:hint="eastAsia"/>
        </w:rPr>
        <w:t>第三部分 名词解释</w:t>
      </w:r>
      <w:bookmarkEnd w:id="70"/>
      <w:bookmarkEnd w:id="71"/>
      <w:bookmarkEnd w:id="72"/>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ascii="仿宋" w:eastAsia="仿宋"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br/>
        <w:tab/>
        <w:t>10.社会保障和就业支出（208）行政事业单位养老支出（20805）机关事业单位职业年金缴费支出（2080506）：反映机关事业单位实施养老保险制度由单位实际缴纳的职业年金支出。</w:t>
        <w:br/>
        <w:tab/>
        <w:t>11.卫生健康支出（210）行政事业单位医疗（21011）事业单位医疗（2101102）：反映财政部门安排的事业单位基本医疗保险缴费经费，未参加医疗保险的事业单位的公费医疗经费，按国家规定享受离休人员待遇的医疗经费。</w:t>
        <w:br/>
        <w:tab/>
        <w:t>12.交通运输支出（214）公路水路运输（21401）其他公路水路运输支出（2140199）：反映除上述项i以外其他用于公路水路运输方面的支出。</w:t>
        <w:br/>
        <w:tab/>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14.基本支出：指为保障机构正常运转、完成日常工作任务而发生的人员支出和公用支出。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15.经营支出：指事业单位在专业业务活动及其辅助活动之外开展非独立核算经营活动发生的支出。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18.财政应返还额度：为行政事业单位会计核算科目，用于核算实行国库集中支付的行政事业单位应收财政返还的资金额度。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3" w:name="_Toc111208510"/>
      <w:bookmarkStart w:id="74" w:name="_Toc113981024"/>
      <w:r>
        <w:rPr>
          <w:rFonts w:ascii="黑体" w:eastAsia="黑体" w:cs="黑体" w:hint="eastAsia"/>
        </w:rPr>
        <w:t>第四部分 附件</w:t>
      </w:r>
      <w:bookmarkEnd w:id="73"/>
      <w:bookmarkEnd w:id="74"/>
    </w:p>
    <w:p>
      <w:pPr>
        <w:widowControl/>
        <w:spacing w:line="580" w:lineRule="exact"/>
        <w:contextualSpacing/>
        <w:jc w:val="center"/>
        <w:rPr>
          <w:rFonts w:ascii="宋体" w:eastAsia="宋体" w:hint="eastAsia"/>
          <w:b/>
          <w:sz w:val="44"/>
          <w:szCs w:val="44"/>
          <w:shd w:val="clear" w:color="auto" w:fill="FFFFFF"/>
        </w:rPr>
      </w:pPr>
      <w:bookmarkStart w:id="75" w:name="_Toc79163885"/>
      <w:bookmarkStart w:id="76" w:name="_Toc79163635"/>
      <w:bookmarkStart w:id="77" w:name="_Toc111208512"/>
      <w:bookmarkStart w:id="78" w:name="_Toc113981025"/>
      <w:r>
        <w:rPr>
          <w:rFonts w:ascii="宋体" w:eastAsia="宋体" w:hint="eastAsia"/>
          <w:b/>
          <w:sz w:val="44"/>
          <w:szCs w:val="44"/>
          <w:shd w:val="clear" w:color="auto" w:fill="FFFFFF"/>
        </w:rPr>
        <w:t>202</w:t>
      </w:r>
      <w:r>
        <w:rPr>
          <w:rFonts w:ascii="宋体" w:eastAsia="宋体" w:hint="eastAsia"/>
          <w:b/>
          <w:sz w:val="44"/>
          <w:szCs w:val="44"/>
          <w:shd w:val="clear" w:color="auto" w:fill="FFFFFF"/>
          <w:lang w:val="en-US" w:eastAsia="zh-CN"/>
        </w:rPr>
        <w:t>2</w:t>
      </w:r>
      <w:r>
        <w:rPr>
          <w:rFonts w:ascii="宋体" w:eastAsia="宋体" w:hint="eastAsia"/>
          <w:b/>
          <w:sz w:val="44"/>
          <w:szCs w:val="44"/>
          <w:shd w:val="clear" w:color="auto" w:fill="FFFFFF"/>
        </w:rPr>
        <w:t>年县级部门整体支出</w:t>
      </w:r>
    </w:p>
    <w:p>
      <w:pPr>
        <w:widowControl/>
        <w:spacing w:line="580" w:lineRule="exact"/>
        <w:contextualSpacing/>
        <w:jc w:val="center"/>
        <w:rPr>
          <w:rFonts w:ascii="宋体" w:eastAsia="宋体" w:hint="eastAsia"/>
          <w:b/>
          <w:sz w:val="44"/>
          <w:szCs w:val="44"/>
          <w:shd w:val="clear" w:color="auto" w:fill="FFFFFF"/>
        </w:rPr>
      </w:pPr>
      <w:r>
        <w:rPr>
          <w:rFonts w:ascii="宋体" w:eastAsia="宋体" w:hint="eastAsia"/>
          <w:b/>
          <w:sz w:val="44"/>
          <w:szCs w:val="44"/>
          <w:shd w:val="clear" w:color="auto" w:fill="FFFFFF"/>
        </w:rPr>
        <w:t>绩效评价报告</w:t>
      </w:r>
    </w:p>
    <w:p>
      <w:pPr>
        <w:widowControl/>
        <w:spacing w:line="580" w:lineRule="exact"/>
        <w:contextualSpacing/>
        <w:jc w:val="center"/>
        <w:rPr>
          <w:rFonts w:ascii="仿宋_GB2312" w:hAnsi="仿宋_GB2312" w:hint="eastAsia"/>
          <w:szCs w:val="32"/>
          <w:shd w:val="clear" w:color="auto" w:fill="FFFFFF"/>
        </w:rPr>
      </w:pPr>
      <w:r>
        <w:rPr>
          <w:rFonts w:ascii="仿宋_GB2312" w:hAnsi="仿宋_GB2312" w:hint="eastAsia"/>
          <w:szCs w:val="32"/>
          <w:shd w:val="clear" w:color="auto" w:fill="FFFFFF"/>
        </w:rPr>
        <w:t>（</w:t>
      </w:r>
      <w:r>
        <w:rPr>
          <w:rFonts w:ascii="仿宋_GB2312" w:hAnsi="仿宋_GB2312" w:hint="eastAsia"/>
          <w:szCs w:val="32"/>
          <w:shd w:val="clear" w:color="auto" w:fill="FFFFFF"/>
          <w:lang w:eastAsia="zh-CN"/>
        </w:rPr>
        <w:t>茂县</w:t>
      </w:r>
      <w:r>
        <w:rPr>
          <w:rFonts w:ascii="仿宋_GB2312" w:hAnsi="仿宋_GB2312" w:hint="eastAsia"/>
          <w:szCs w:val="32"/>
          <w:shd w:val="clear" w:color="auto" w:fill="FFFFFF"/>
          <w:lang w:val="en-US" w:eastAsia="zh-CN"/>
        </w:rPr>
        <w:t>交通运输</w:t>
      </w:r>
      <w:r>
        <w:rPr>
          <w:rFonts w:ascii="仿宋_GB2312" w:hAnsi="仿宋_GB2312" w:hint="eastAsia"/>
          <w:szCs w:val="32"/>
          <w:shd w:val="clear" w:color="auto" w:fill="FFFFFF"/>
          <w:lang w:eastAsia="zh-CN"/>
        </w:rPr>
        <w:t>局</w:t>
      </w:r>
      <w:r>
        <w:rPr>
          <w:rFonts w:ascii="仿宋_GB2312" w:hAnsi="仿宋_GB2312" w:hint="eastAsia"/>
          <w:szCs w:val="32"/>
          <w:shd w:val="clear" w:color="auto" w:fill="FFFFFF"/>
        </w:rPr>
        <w:t>）</w:t>
      </w:r>
    </w:p>
    <w:p>
      <w:pPr>
        <w:widowControl/>
        <w:adjustRightInd w:val="0"/>
        <w:snapToGrid w:val="0"/>
        <w:spacing w:line="580" w:lineRule="exact"/>
        <w:ind w:firstLineChars="200" w:firstLine="640"/>
        <w:contextualSpacing/>
        <w:jc w:val="left"/>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bidi="ar-SA"/>
        </w:rPr>
        <w:t>一、</w:t>
      </w:r>
      <w:r>
        <w:rPr>
          <w:rFonts w:ascii="仿宋" w:eastAsia="仿宋" w:cs="宋体" w:hint="eastAsia"/>
          <w:color w:val="000000"/>
          <w:kern w:val="0"/>
          <w:sz w:val="32"/>
          <w:szCs w:val="32"/>
          <w:shd w:val="clear" w:color="auto" w:fill="FFFFFF"/>
          <w:lang w:val="zh-CN" w:eastAsia="zh-CN" w:bidi="ar-SA"/>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（一）机构组成。</w:t>
      </w:r>
    </w:p>
    <w:p>
      <w:pPr>
        <w:keepNext w:val="0"/>
        <w:keepLines w:val="0"/>
        <w:pageBreakBefore w:val="0"/>
        <w:widowControl w:val="0"/>
        <w:kinsoku/>
        <w:wordWrap/>
        <w:overflowPunct/>
        <w:topLinePunct w:val="0"/>
        <w:autoSpaceDE/>
        <w:autoSpaceDN/>
        <w:bidi w:val="0"/>
        <w:spacing w:line="560" w:lineRule="exact"/>
        <w:ind w:firstLineChars="400" w:firstLine="1280"/>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本部门是行政单位，属于一级预算单位，下设办公室、工程股、财务股、安运股。</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机构职能。</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1.拟定全县公路、交通行业发展战略、政策、交通规章，并组织实施及监督执行。</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2.按全县的规划拟定公路交通行业发展规划、中长期计划和年度计划，并负责组织和监督实施，负责交通行业统计和信息引导。</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3.对国家、省、市、县重点物资和紧急客货运输进行调控及公路客货运输管理工作，组织实施国家、省、州、县重点公路交通工程建设。</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4.指导交通行业体制改革和企业管理；维护公路交通行业平等竞争秩序，引导交通运输行业优化结构、协调发展，为全县经济建设服务。</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5.组织公路及其设施的立项、测设、预算及建设、维护、管理；负责道路运输市场、汽车维修市场、搬运装卸、运输服务、机动车综合性能检测、汽车驾驶学校、驾驶员培训工作的行业管理和公路标志、标线的设置和管理。</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6.负责辖区内交通安全生产的管理工作。</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7.指导全县交通系统财务管理，负责国有资产管理；负责全县交通专项资金管理和使用；负责交通工程质量监督；按照有关规定组织交通工业的认证和质量监督；组织交通系统内部审计工作。</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8.负责全县交通科技教育的发展与管理，组织科技开发，推动行业技术进步；指导交通行业成人教育工作和交通科技工作的开展。</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9.负责局机关和直属单位人事、劳动、机构编制管理、人力资源开发工作；负责直属单位领导班子建设和股级干部管理工作；指导交通行业精神文明建设职工队伍建设。</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10.负责交通行业涉外工作，指导利用外资工作；管理公路交通涉及国家组织的有关事宜，开展国际交通经济技术合作与交流。</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11.承办县政府交办的其它事项。</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人员概况。</w:t>
      </w:r>
    </w:p>
    <w:p>
      <w:pPr>
        <w:keepNext w:val="0"/>
        <w:keepLines w:val="0"/>
        <w:pageBreakBefore w:val="0"/>
        <w:widowControl/>
        <w:kinsoku/>
        <w:wordWrap/>
        <w:overflowPunct/>
        <w:topLinePunct w:val="0"/>
        <w:autoSpaceDE/>
        <w:autoSpaceDN/>
        <w:bidi w:val="0"/>
        <w:adjustRightInd w:val="0"/>
        <w:snapToGrid w:val="0"/>
        <w:spacing w:line="560" w:lineRule="exact"/>
        <w:ind w:leftChars="200" w:left="42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总编制16名，其中：事业编制16名，年末在职人员15人，退休2人。</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bidi="ar-SA"/>
        </w:rPr>
      </w:pPr>
      <w:r>
        <w:rPr>
          <w:rFonts w:ascii="仿宋" w:eastAsia="仿宋" w:cs="宋体" w:hint="eastAsia"/>
          <w:color w:val="000000"/>
          <w:kern w:val="0"/>
          <w:sz w:val="32"/>
          <w:szCs w:val="32"/>
          <w:shd w:val="clear" w:color="auto" w:fill="FFFFFF"/>
          <w:lang w:bidi="ar-SA"/>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300" w:firstLine="96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本年度我单位共收到财政拨款</w:t>
      </w:r>
      <w:r>
        <w:rPr>
          <w:rFonts w:ascii="仿宋" w:eastAsia="仿宋" w:hint="eastAsia"/>
          <w:sz w:val="32"/>
          <w:szCs w:val="32"/>
        </w:rPr>
        <w:t>243.05</w:t>
      </w:r>
      <w:r>
        <w:rPr>
          <w:rFonts w:ascii="仿宋" w:eastAsia="仿宋" w:cs="宋体" w:hint="eastAsia"/>
          <w:color w:val="000000"/>
          <w:kern w:val="0"/>
          <w:sz w:val="32"/>
          <w:szCs w:val="32"/>
          <w:shd w:val="clear" w:color="auto" w:fill="FFFFFF"/>
          <w:lang w:val="zh-CN" w:eastAsia="zh-CN" w:bidi="ar-SA"/>
        </w:rPr>
        <w:t>万元，（其中：一般公共收入</w:t>
      </w:r>
      <w:r>
        <w:rPr>
          <w:rFonts w:ascii="仿宋" w:eastAsia="仿宋" w:cs="宋体" w:hint="eastAsia"/>
          <w:color w:val="000000"/>
          <w:kern w:val="0"/>
          <w:sz w:val="32"/>
          <w:szCs w:val="32"/>
          <w:shd w:val="clear" w:color="auto" w:fill="FFFFFF"/>
          <w:lang w:val="en-US" w:eastAsia="zh-CN" w:bidi="ar-SA"/>
        </w:rPr>
        <w:t>243.05</w:t>
      </w:r>
      <w:r>
        <w:rPr>
          <w:rFonts w:ascii="仿宋" w:eastAsia="仿宋" w:cs="宋体" w:hint="eastAsia"/>
          <w:color w:val="000000"/>
          <w:kern w:val="0"/>
          <w:sz w:val="32"/>
          <w:szCs w:val="32"/>
          <w:shd w:val="clear" w:color="auto" w:fill="FFFFFF"/>
          <w:lang w:val="zh-CN" w:eastAsia="zh-CN" w:bidi="ar-SA"/>
        </w:rPr>
        <w:t>万元；无政府性基金收入）。</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317"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部门财政资金支出情况。</w:t>
      </w:r>
    </w:p>
    <w:p>
      <w:pPr>
        <w:pageBreakBefore w:val="0"/>
        <w:widowControl w:val="0"/>
        <w:kinsoku/>
        <w:wordWrap/>
        <w:overflowPunct/>
        <w:topLinePunct w:val="0"/>
        <w:bidi w:val="0"/>
        <w:adjustRightInd w:val="0"/>
        <w:snapToGrid w:val="0"/>
        <w:spacing w:line="576" w:lineRule="exact"/>
        <w:ind w:left="0" w:right="0" w:firstLineChars="200" w:firstLine="640"/>
        <w:rPr>
          <w:rFonts w:ascii="仿宋" w:eastAsia="仿宋" w:hint="eastAsia"/>
          <w:color w:val="auto"/>
          <w:sz w:val="32"/>
          <w:szCs w:val="32"/>
          <w:lang w:val="zh-CN" w:eastAsia="zh-CN"/>
        </w:rPr>
      </w:pPr>
      <w:r>
        <w:rPr>
          <w:rFonts w:ascii="仿宋" w:eastAsia="仿宋" w:cs="仿宋_GB2312" w:hint="eastAsia"/>
          <w:sz w:val="32"/>
          <w:szCs w:val="32"/>
          <w:lang w:bidi="ar-SA"/>
        </w:rPr>
        <w:t>本年度共支出经费</w:t>
      </w:r>
      <w:r>
        <w:rPr>
          <w:rFonts w:ascii="仿宋" w:eastAsia="仿宋" w:hint="eastAsia"/>
          <w:sz w:val="32"/>
          <w:szCs w:val="32"/>
        </w:rPr>
        <w:t>243.05</w:t>
      </w:r>
      <w:r>
        <w:rPr>
          <w:rFonts w:ascii="仿宋" w:eastAsia="仿宋" w:cs="仿宋_GB2312" w:hint="eastAsia"/>
          <w:sz w:val="32"/>
          <w:szCs w:val="32"/>
          <w:lang w:bidi="ar-SA"/>
        </w:rPr>
        <w:t>万元。其中：</w:t>
      </w:r>
      <w:r>
        <w:rPr>
          <w:rFonts w:ascii="仿宋" w:eastAsia="仿宋" w:cs="仿宋_GB2312" w:hint="eastAsia"/>
          <w:color w:val="auto"/>
          <w:sz w:val="32"/>
          <w:szCs w:val="32"/>
          <w:lang w:bidi="ar-SA"/>
        </w:rPr>
        <w:t>1.基本支出</w:t>
      </w:r>
      <w:r>
        <w:rPr>
          <w:rFonts w:ascii="仿宋" w:eastAsia="仿宋" w:hint="eastAsia"/>
          <w:sz w:val="32"/>
          <w:szCs w:val="32"/>
        </w:rPr>
        <w:t>243.05</w:t>
      </w:r>
      <w:r>
        <w:rPr>
          <w:rFonts w:ascii="仿宋" w:eastAsia="仿宋" w:cs="仿宋_GB2312" w:hint="eastAsia"/>
          <w:color w:val="auto"/>
          <w:sz w:val="32"/>
          <w:szCs w:val="32"/>
          <w:lang w:bidi="ar-SA"/>
        </w:rPr>
        <w:t>万元（工资和福利支出</w:t>
      </w:r>
      <w:r>
        <w:rPr>
          <w:rFonts w:ascii="仿宋" w:eastAsia="仿宋" w:cs="仿宋_GB2312" w:hint="eastAsia"/>
          <w:color w:val="auto"/>
          <w:sz w:val="32"/>
          <w:szCs w:val="32"/>
          <w:lang w:val="en-US" w:eastAsia="zh-CN" w:bidi="ar-SA"/>
        </w:rPr>
        <w:t>233.48</w:t>
      </w:r>
      <w:r>
        <w:rPr>
          <w:rFonts w:ascii="仿宋" w:eastAsia="仿宋" w:cs="仿宋_GB2312" w:hint="eastAsia"/>
          <w:color w:val="auto"/>
          <w:sz w:val="32"/>
          <w:szCs w:val="32"/>
          <w:lang w:bidi="ar-SA"/>
        </w:rPr>
        <w:t>万元，商品和服务支出</w:t>
      </w:r>
      <w:r>
        <w:rPr>
          <w:rFonts w:ascii="仿宋" w:eastAsia="仿宋" w:cs="仿宋_GB2312" w:hint="eastAsia"/>
          <w:color w:val="auto"/>
          <w:sz w:val="32"/>
          <w:szCs w:val="32"/>
          <w:lang w:val="en-US" w:eastAsia="zh-CN" w:bidi="ar-SA"/>
        </w:rPr>
        <w:t>9.57</w:t>
      </w:r>
      <w:r>
        <w:rPr>
          <w:rFonts w:ascii="仿宋" w:eastAsia="仿宋" w:cs="仿宋_GB2312" w:hint="eastAsia"/>
          <w:color w:val="auto"/>
          <w:sz w:val="32"/>
          <w:szCs w:val="32"/>
          <w:lang w:bidi="ar-SA"/>
        </w:rPr>
        <w:t>万元。总支出</w:t>
      </w:r>
      <w:r>
        <w:rPr>
          <w:rFonts w:ascii="仿宋" w:eastAsia="仿宋" w:hint="eastAsia"/>
          <w:sz w:val="32"/>
          <w:szCs w:val="32"/>
        </w:rPr>
        <w:t>243.05</w:t>
      </w:r>
      <w:r>
        <w:rPr>
          <w:rFonts w:ascii="仿宋" w:eastAsia="仿宋" w:cs="仿宋_GB2312" w:hint="eastAsia"/>
          <w:color w:val="auto"/>
          <w:sz w:val="32"/>
          <w:szCs w:val="32"/>
          <w:lang w:bidi="ar-SA"/>
        </w:rPr>
        <w:t>万元。</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 w:eastAsia="仿宋" w:cs="宋体" w:hint="eastAsia"/>
          <w:color w:val="000000"/>
          <w:kern w:val="0"/>
          <w:sz w:val="32"/>
          <w:szCs w:val="32"/>
          <w:shd w:val="clear" w:color="auto" w:fill="FFFFFF"/>
          <w:lang w:bidi="ar-SA"/>
        </w:rPr>
      </w:pPr>
      <w:r>
        <w:rPr>
          <w:rFonts w:ascii="仿宋" w:eastAsia="仿宋" w:cs="宋体" w:hint="eastAsia"/>
          <w:color w:val="000000"/>
          <w:kern w:val="0"/>
          <w:sz w:val="32"/>
          <w:szCs w:val="32"/>
          <w:shd w:val="clear" w:color="auto" w:fill="FFFFFF"/>
          <w:lang w:bidi="ar-SA"/>
        </w:rPr>
        <w:t>部门整体预算绩效管理情况</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Chars="200" w:firstLine="640"/>
        <w:jc w:val="left"/>
        <w:textAlignment w:val="auto"/>
        <w:rPr>
          <w:rFonts w:ascii="仿宋" w:eastAsia="仿宋" w:cs="宋体" w:hint="eastAsia"/>
          <w:color w:val="000000"/>
          <w:kern w:val="0"/>
          <w:sz w:val="32"/>
          <w:szCs w:val="32"/>
          <w:shd w:val="clear" w:color="auto" w:fill="FFFFFF"/>
          <w:lang w:val="en-US" w:eastAsia="zh-CN" w:bidi="ar-SA"/>
        </w:rPr>
      </w:pPr>
      <w:r>
        <w:rPr>
          <w:rFonts w:ascii="仿宋" w:eastAsia="仿宋" w:cs="宋体" w:hint="eastAsia"/>
          <w:color w:val="000000"/>
          <w:kern w:val="0"/>
          <w:sz w:val="32"/>
          <w:szCs w:val="32"/>
          <w:shd w:val="clear" w:color="auto" w:fill="FFFFFF"/>
          <w:lang w:val="en-US" w:eastAsia="zh-CN" w:bidi="ar-SA"/>
        </w:rPr>
        <w:t>部门预算项目绩效管理</w:t>
      </w:r>
    </w:p>
    <w:p>
      <w:pPr>
        <w:pStyle w:val="34"/>
        <w:rPr>
          <w:rFonts w:ascii="仿宋" w:eastAsia="仿宋" w:cs="仿宋" w:hint="eastAsia"/>
          <w:color w:val="000000"/>
          <w:kern w:val="0"/>
          <w:szCs w:val="32"/>
          <w:shd w:val="clear" w:color="auto" w:fill="FFFFFF"/>
          <w:lang w:val="en-US" w:eastAsia="zh-CN" w:bidi="ar-SA"/>
        </w:rPr>
      </w:pPr>
      <w:r>
        <w:rPr>
          <w:rFonts w:ascii="仿宋" w:eastAsia="仿宋" w:cs="仿宋" w:hint="eastAsia"/>
          <w:color w:val="000000"/>
          <w:kern w:val="0"/>
          <w:szCs w:val="32"/>
          <w:shd w:val="clear" w:color="auto" w:fill="FFFFFF"/>
          <w:lang w:val="en-US" w:eastAsia="zh-CN" w:bidi="ar-SA"/>
        </w:rPr>
        <w:t>为保证财政资金使用效率，我单位严格按照《预算法》完成年度目标任务，人员类和运转类支出严格按年初预算执行，保障了机关的正常运转；项目类支出严格按照项目实施方案，对项目进行事前、事中、事后绩效评价分析，确保项目顺利实施，项目实施过程中严格按要求实施，具有较好的经济效益和社会效益，项目实施效果好，具有高度的可持续性。</w:t>
      </w:r>
    </w:p>
    <w:p>
      <w:pPr>
        <w:pStyle w:val="34"/>
        <w:rPr>
          <w:rFonts w:ascii="仿宋" w:eastAsia="仿宋" w:cs="宋体" w:hint="eastAsia"/>
          <w:b/>
          <w:color w:val="000000"/>
          <w:kern w:val="0"/>
          <w:szCs w:val="32"/>
          <w:shd w:val="clear" w:color="auto" w:fill="FFFFFF"/>
          <w:lang w:val="zh-CN" w:eastAsia="zh-CN" w:bidi="ar-SA"/>
        </w:rPr>
      </w:pPr>
      <w:r>
        <w:rPr>
          <w:rFonts w:ascii="仿宋" w:eastAsia="仿宋" w:cs="宋体" w:hint="eastAsia"/>
          <w:b/>
          <w:color w:val="000000"/>
          <w:kern w:val="0"/>
          <w:szCs w:val="32"/>
          <w:shd w:val="clear" w:color="auto" w:fill="FFFFFF"/>
          <w:lang w:val="zh-CN" w:eastAsia="zh-CN" w:bidi="ar-SA"/>
        </w:rPr>
        <w:t>（二）结果应用情况。</w:t>
      </w:r>
    </w:p>
    <w:p>
      <w:pPr>
        <w:keepNext w:val="0"/>
        <w:keepLines w:val="0"/>
        <w:pageBreakBefore w:val="0"/>
        <w:widowControl w:val="0"/>
        <w:kinsoku/>
        <w:wordWrap/>
        <w:overflowPunct/>
        <w:topLinePunct w:val="0"/>
        <w:autoSpaceDE/>
        <w:autoSpaceDN/>
        <w:bidi w:val="0"/>
        <w:spacing w:line="560" w:lineRule="exact"/>
        <w:ind w:leftChars="200" w:left="420" w:firstLineChars="200" w:firstLine="640"/>
        <w:textAlignment w:val="auto"/>
        <w:rPr>
          <w:rFonts w:ascii="仿宋" w:eastAsia="仿宋" w:cs="宋体" w:hint="eastAsia"/>
          <w:bCs/>
          <w:color w:val="auto"/>
          <w:kern w:val="0"/>
          <w:sz w:val="32"/>
          <w:szCs w:val="32"/>
          <w:shd w:val="clear" w:color="auto" w:fill="FFFFFF"/>
          <w:lang w:val="zh-CN" w:eastAsia="zh-CN" w:bidi="ar-SA"/>
        </w:rPr>
      </w:pPr>
      <w:r>
        <w:rPr>
          <w:rFonts w:ascii="仿宋" w:eastAsia="仿宋" w:cs="宋体" w:hint="eastAsia"/>
          <w:bCs/>
          <w:color w:val="auto"/>
          <w:kern w:val="0"/>
          <w:sz w:val="32"/>
          <w:szCs w:val="32"/>
          <w:shd w:val="clear" w:color="auto" w:fill="FFFFFF"/>
          <w:lang w:val="zh-CN" w:eastAsia="zh-CN" w:bidi="ar-SA"/>
        </w:rPr>
        <w:t>我单位在预算编制上做到认真、负责、按时按规定报送。所有预算收支包括部门绩效目标制定、目标实现、预算编制准确、支出控制、预算动态调整、执行进度、预算完成情况都符合国家政策，无违规记录等情况。</w:t>
      </w:r>
    </w:p>
    <w:p>
      <w:pPr>
        <w:widowControl/>
        <w:adjustRightInd w:val="0"/>
        <w:snapToGrid w:val="0"/>
        <w:spacing w:line="540" w:lineRule="exact"/>
        <w:ind w:firstLineChars="200" w:firstLine="640"/>
        <w:jc w:val="left"/>
        <w:rPr>
          <w:rFonts w:ascii="仿宋" w:eastAsia="仿宋" w:cs="仿宋" w:hint="eastAsia"/>
          <w:color w:val="000000"/>
          <w:kern w:val="0"/>
          <w:sz w:val="32"/>
          <w:szCs w:val="32"/>
          <w:shd w:val="clear" w:color="auto" w:fill="FFFFFF"/>
          <w:lang w:val="zh-CN" w:eastAsia="zh-CN" w:bidi="ar-SA"/>
        </w:rPr>
      </w:pPr>
      <w:r>
        <w:rPr>
          <w:rFonts w:ascii="仿宋" w:eastAsia="仿宋" w:cs="仿宋" w:hint="eastAsia"/>
          <w:b/>
          <w:bCs/>
          <w:color w:val="000000"/>
          <w:kern w:val="0"/>
          <w:sz w:val="32"/>
          <w:szCs w:val="32"/>
          <w:shd w:val="clear" w:color="auto" w:fill="FFFFFF"/>
          <w:lang w:val="zh-CN" w:eastAsia="zh-CN" w:bidi="ar-SA"/>
        </w:rPr>
        <w:t>（三）自评质量</w:t>
      </w:r>
      <w:r>
        <w:rPr>
          <w:rFonts w:ascii="仿宋" w:eastAsia="仿宋" w:cs="仿宋" w:hint="eastAsia"/>
          <w:color w:val="000000"/>
          <w:kern w:val="0"/>
          <w:sz w:val="32"/>
          <w:szCs w:val="32"/>
          <w:shd w:val="clear" w:color="auto" w:fill="FFFFFF"/>
          <w:lang w:val="zh-CN" w:eastAsia="zh-CN" w:bidi="ar-SA"/>
        </w:rPr>
        <w:t>。</w:t>
      </w:r>
    </w:p>
    <w:p>
      <w:pPr>
        <w:pStyle w:val="35"/>
        <w:pageBreakBefore w:val="0"/>
        <w:widowControl w:val="0"/>
        <w:kinsoku/>
        <w:wordWrap/>
        <w:overflowPunct/>
        <w:topLinePunct w:val="0"/>
        <w:bidi w:val="0"/>
        <w:spacing w:before="0" w:beforeAutospacing="0" w:after="0" w:afterAutospacing="0" w:line="576" w:lineRule="exact"/>
        <w:ind w:left="0" w:right="0" w:firstLineChars="300" w:firstLine="960"/>
        <w:jc w:val="both"/>
        <w:rPr>
          <w:rFonts w:ascii="仿宋" w:eastAsia="仿宋" w:cs="仿宋" w:hint="eastAsia"/>
          <w:color w:val="auto"/>
          <w:kern w:val="0"/>
          <w:sz w:val="32"/>
          <w:szCs w:val="32"/>
          <w:lang w:val="zh-CN" w:eastAsia="zh-CN" w:bidi="ar-SA"/>
        </w:rPr>
      </w:pPr>
      <w:r>
        <w:rPr>
          <w:rFonts w:ascii="仿宋" w:eastAsia="仿宋" w:cs="宋体" w:hint="eastAsia"/>
          <w:color w:val="000000"/>
          <w:kern w:val="0"/>
          <w:sz w:val="32"/>
          <w:szCs w:val="32"/>
          <w:shd w:val="clear" w:color="auto" w:fill="FFFFFF"/>
          <w:lang w:val="zh-CN" w:eastAsia="zh-CN" w:bidi="ar-SA"/>
        </w:rPr>
        <w:t>绩效自评公开，产生了一定的社会效益和经济效益，</w:t>
      </w:r>
      <w:r>
        <w:rPr>
          <w:rFonts w:ascii="仿宋" w:eastAsia="仿宋" w:cs="仿宋_GB2312" w:hint="eastAsia"/>
          <w:color w:val="000000"/>
          <w:sz w:val="32"/>
          <w:szCs w:val="32"/>
          <w:lang w:bidi="ar-SA"/>
        </w:rPr>
        <w:t>保老百姓出行和农作物运输条件。切实保证运输安全，认真开展安全“隐患清零”“安全生产月”等专项活动。深入开展“打非治违”工作，扎实推进交通建设质量安全监管。坚决遏制重特大质量安全事故的发生，辖区内无发生安全责任事故、无质量事故。客运站服务质量稳步提升以赴做好运力、应急等各类保障工作。</w:t>
      </w:r>
      <w:r>
        <w:rPr>
          <w:rFonts w:ascii="仿宋" w:eastAsia="仿宋" w:cs="仿宋" w:hint="eastAsia"/>
          <w:color w:val="auto"/>
          <w:kern w:val="0"/>
          <w:sz w:val="32"/>
          <w:szCs w:val="32"/>
          <w:lang w:val="zh-CN" w:eastAsia="zh-CN" w:bidi="ar-SA"/>
        </w:rPr>
        <w:t>在信息公开上，我单位及时将预算编制信息在茂县政府门户网站上进行公示，接受社会的监督和检查。</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bidi="ar-SA"/>
        </w:rPr>
      </w:pPr>
      <w:r>
        <w:rPr>
          <w:rFonts w:ascii="仿宋" w:eastAsia="仿宋" w:cs="宋体" w:hint="eastAsia"/>
          <w:color w:val="000000"/>
          <w:kern w:val="0"/>
          <w:sz w:val="32"/>
          <w:szCs w:val="32"/>
          <w:shd w:val="clear" w:color="auto" w:fill="FFFFFF"/>
          <w:lang w:bidi="ar-SA"/>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hint="eastAsia"/>
          <w:sz w:val="32"/>
          <w:szCs w:val="32"/>
        </w:rPr>
        <w:t>20</w:t>
      </w:r>
      <w:r>
        <w:rPr>
          <w:rFonts w:ascii="仿宋" w:eastAsia="仿宋" w:hint="eastAsia"/>
          <w:sz w:val="32"/>
          <w:szCs w:val="32"/>
          <w:lang w:val="en-US" w:eastAsia="zh-CN"/>
        </w:rPr>
        <w:t>21</w:t>
      </w:r>
      <w:r>
        <w:rPr>
          <w:rFonts w:ascii="仿宋" w:eastAsia="仿宋" w:hint="eastAsia"/>
          <w:sz w:val="32"/>
          <w:szCs w:val="32"/>
        </w:rPr>
        <w:t>年我局部门整体支出绩效评价自查自评结果良好，全年基本支出保证了部门的正常运行和日常工作的正常开展，达到预期绩效目标。</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存在问题。</w:t>
      </w:r>
    </w:p>
    <w:p>
      <w:pPr>
        <w:pageBreakBefore w:val="0"/>
        <w:widowControl w:val="0"/>
        <w:kinsoku/>
        <w:wordWrap/>
        <w:overflowPunct/>
        <w:topLinePunct w:val="0"/>
        <w:autoSpaceDN w:val="0"/>
        <w:bidi w:val="0"/>
        <w:spacing w:line="576" w:lineRule="exact"/>
        <w:ind w:left="40" w:right="0" w:firstLineChars="200" w:firstLine="640"/>
        <w:rPr>
          <w:rFonts w:ascii="仿宋" w:eastAsia="仿宋" w:hint="eastAsia"/>
          <w:sz w:val="32"/>
          <w:szCs w:val="32"/>
          <w:lang w:eastAsia="zh-CN"/>
        </w:rPr>
      </w:pPr>
      <w:r>
        <w:rPr>
          <w:rFonts w:ascii="仿宋" w:eastAsia="仿宋" w:hint="eastAsia"/>
          <w:sz w:val="32"/>
          <w:szCs w:val="32"/>
          <w:lang w:val="en-US" w:eastAsia="zh-CN"/>
        </w:rPr>
        <w:t>1.</w:t>
      </w:r>
      <w:r>
        <w:rPr>
          <w:rFonts w:ascii="仿宋" w:eastAsia="仿宋" w:hint="eastAsia"/>
          <w:sz w:val="32"/>
          <w:szCs w:val="32"/>
        </w:rPr>
        <w:t>农村公路特别是通村公路建设安保设施滞后，缺乏安全防护设施，部分农村公路安全隐患治理不彻底，安全隐患严重</w:t>
      </w:r>
      <w:r>
        <w:rPr>
          <w:rFonts w:ascii="仿宋" w:eastAsia="仿宋" w:hint="eastAsia"/>
          <w:sz w:val="32"/>
          <w:szCs w:val="32"/>
          <w:lang w:eastAsia="zh-CN"/>
        </w:rPr>
        <w:t>。</w:t>
      </w:r>
    </w:p>
    <w:p>
      <w:pPr>
        <w:pageBreakBefore w:val="0"/>
        <w:widowControl w:val="0"/>
        <w:kinsoku/>
        <w:wordWrap/>
        <w:overflowPunct/>
        <w:topLinePunct w:val="0"/>
        <w:autoSpaceDN w:val="0"/>
        <w:bidi w:val="0"/>
        <w:spacing w:line="576" w:lineRule="exact"/>
        <w:ind w:left="40" w:right="0" w:firstLineChars="200" w:firstLine="640"/>
        <w:rPr>
          <w:rFonts w:ascii="仿宋" w:eastAsia="仿宋" w:hint="eastAsia"/>
          <w:sz w:val="32"/>
          <w:szCs w:val="32"/>
          <w:lang w:val="zh-CN" w:eastAsia="zh-CN"/>
        </w:rPr>
      </w:pPr>
      <w:r>
        <w:rPr>
          <w:rFonts w:ascii="仿宋" w:eastAsia="仿宋" w:cs="仿宋_GB2312" w:hint="eastAsia"/>
          <w:sz w:val="32"/>
          <w:szCs w:val="32"/>
          <w:lang w:val="en-US" w:eastAsia="zh-CN" w:bidi="ar-SA"/>
        </w:rPr>
        <w:t>2.</w:t>
      </w:r>
      <w:r>
        <w:rPr>
          <w:rFonts w:ascii="仿宋" w:eastAsia="仿宋" w:cs="仿宋_GB2312" w:hint="eastAsia"/>
          <w:sz w:val="32"/>
          <w:szCs w:val="32"/>
          <w:lang w:bidi="ar-SA"/>
        </w:rPr>
        <w:t>基层安全监管仍存在薄弱环节，</w:t>
      </w:r>
      <w:r>
        <w:rPr>
          <w:rFonts w:ascii="仿宋" w:eastAsia="仿宋" w:hint="eastAsia"/>
          <w:sz w:val="32"/>
          <w:szCs w:val="32"/>
        </w:rPr>
        <w:t>客运企业安全生产意识不高，</w:t>
      </w:r>
      <w:r>
        <w:rPr>
          <w:rFonts w:ascii="仿宋" w:eastAsia="仿宋" w:cs="仿宋_GB2312" w:hint="eastAsia"/>
          <w:sz w:val="32"/>
          <w:szCs w:val="32"/>
          <w:lang w:bidi="ar-SA"/>
        </w:rPr>
        <w:t>城市公交、出租汽车行业和农村客运违规违章现象时有发生</w:t>
      </w:r>
      <w:r>
        <w:rPr>
          <w:rFonts w:ascii="仿宋" w:eastAsia="仿宋" w:cs="仿宋_GB2312" w:hint="eastAsia"/>
          <w:sz w:val="32"/>
          <w:szCs w:val="32"/>
          <w:lang w:eastAsia="zh-CN" w:bidi="ar-SA"/>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 w:eastAsia="仿宋" w:cs="宋体" w:hint="eastAsia"/>
          <w:color w:val="000000"/>
          <w:kern w:val="0"/>
          <w:sz w:val="32"/>
          <w:szCs w:val="32"/>
          <w:shd w:val="clear" w:color="auto" w:fill="FFFFFF"/>
          <w:lang w:val="zh-CN" w:eastAsia="zh-CN" w:bidi="ar-SA"/>
        </w:rPr>
      </w:pPr>
      <w:r>
        <w:rPr>
          <w:rFonts w:ascii="仿宋" w:eastAsia="仿宋" w:cs="宋体" w:hint="eastAsia"/>
          <w:color w:val="000000"/>
          <w:kern w:val="0"/>
          <w:sz w:val="32"/>
          <w:szCs w:val="32"/>
          <w:shd w:val="clear" w:color="auto" w:fill="FFFFFF"/>
          <w:lang w:val="zh-CN" w:eastAsia="zh-CN" w:bidi="ar-SA"/>
        </w:rPr>
        <w:t>改进建议。</w:t>
      </w:r>
    </w:p>
    <w:p>
      <w:pPr>
        <w:pageBreakBefore w:val="0"/>
        <w:widowControl w:val="0"/>
        <w:kinsoku/>
        <w:wordWrap/>
        <w:overflowPunct/>
        <w:topLinePunct w:val="0"/>
        <w:bidi w:val="0"/>
        <w:spacing w:line="576" w:lineRule="exact"/>
        <w:ind w:left="0" w:right="0" w:firstLine="848"/>
        <w:rPr>
          <w:rFonts w:ascii="仿宋" w:eastAsia="仿宋" w:cs="仿宋_GB2312" w:hint="eastAsia"/>
          <w:color w:val="333333"/>
          <w:kern w:val="0"/>
          <w:sz w:val="32"/>
          <w:szCs w:val="32"/>
          <w:lang w:bidi="ar-SA"/>
        </w:rPr>
      </w:pPr>
      <w:r>
        <w:rPr>
          <w:rFonts w:ascii="仿宋" w:eastAsia="仿宋" w:cs="仿宋_GB2312" w:hint="eastAsia"/>
          <w:color w:val="333333"/>
          <w:kern w:val="0"/>
          <w:sz w:val="32"/>
          <w:szCs w:val="32"/>
          <w:lang w:val="en-US" w:eastAsia="zh-CN" w:bidi="ar-SA"/>
        </w:rPr>
        <w:t>1.</w:t>
      </w:r>
      <w:r>
        <w:rPr>
          <w:rFonts w:ascii="仿宋" w:eastAsia="仿宋" w:cs="宋体" w:hint="eastAsia"/>
          <w:color w:val="000000"/>
          <w:kern w:val="0"/>
          <w:sz w:val="32"/>
          <w:szCs w:val="32"/>
          <w:shd w:val="clear" w:color="auto" w:fill="FFFFFF"/>
          <w:lang w:eastAsia="zh-CN" w:bidi="ar-SA"/>
        </w:rPr>
        <w:t>一是提高安全宣传力度；二是提升农村公路改造升级，消除安全隐患。三</w:t>
      </w:r>
      <w:r>
        <w:rPr>
          <w:rFonts w:ascii="仿宋" w:eastAsia="仿宋" w:cs="宋体" w:hint="eastAsia"/>
          <w:color w:val="000000"/>
          <w:kern w:val="0"/>
          <w:sz w:val="32"/>
          <w:szCs w:val="32"/>
          <w:shd w:val="clear" w:color="auto" w:fill="FFFFFF"/>
          <w:lang w:bidi="ar-SA"/>
        </w:rPr>
        <w:t>是严格审核预算方案，科学编制预算方案，认真执行，强化监督</w:t>
      </w:r>
      <w:r>
        <w:rPr>
          <w:rFonts w:ascii="仿宋" w:eastAsia="仿宋" w:cs="宋体" w:hint="eastAsia"/>
          <w:color w:val="000000"/>
          <w:kern w:val="0"/>
          <w:sz w:val="32"/>
          <w:szCs w:val="32"/>
          <w:shd w:val="clear" w:color="auto" w:fill="FFFFFF"/>
          <w:lang w:eastAsia="zh-CN" w:bidi="ar-SA"/>
        </w:rPr>
        <w:t>。四是</w:t>
      </w:r>
      <w:r>
        <w:rPr>
          <w:rFonts w:ascii="仿宋" w:eastAsia="仿宋" w:cs="仿宋_GB2312" w:hint="eastAsia"/>
          <w:color w:val="333333"/>
          <w:kern w:val="0"/>
          <w:sz w:val="32"/>
          <w:szCs w:val="32"/>
          <w:lang w:bidi="ar-SA"/>
        </w:rPr>
        <w:t>加强新《预算法》、《行政单位会计制度》等学习培训，规范部门预算收支核算，制定和完善基本支出、项目支出等各项支出标准，严格按项目和进度执行预算，增强预算的约束力和严肃性。</w:t>
      </w:r>
      <w:r>
        <w:rPr>
          <w:rFonts w:ascii="仿宋" w:eastAsia="仿宋" w:cs="仿宋_GB2312" w:hint="eastAsia"/>
          <w:color w:val="333333"/>
          <w:kern w:val="0"/>
          <w:sz w:val="32"/>
          <w:szCs w:val="32"/>
          <w:lang w:eastAsia="zh-CN" w:bidi="ar-SA"/>
        </w:rPr>
        <w:t>五</w:t>
      </w:r>
      <w:r>
        <w:rPr>
          <w:rFonts w:ascii="仿宋" w:eastAsia="仿宋" w:cs="仿宋_GB2312" w:hint="eastAsia"/>
          <w:color w:val="333333"/>
          <w:kern w:val="0"/>
          <w:sz w:val="32"/>
          <w:szCs w:val="32"/>
          <w:lang w:bidi="ar-SA"/>
        </w:rPr>
        <w:t>是落实预算执行分析，及时了解预算执行差异，合理调整、纠正预算执行偏差，切实提高部门预算收支管理水平。</w:t>
      </w:r>
    </w:p>
    <w:p/>
    <w:p>
      <w:pPr>
        <w:pStyle w:val="1"/>
        <w:ind w:firstLineChars="650" w:firstLine="2860"/>
        <w:rPr>
          <w:rFonts w:ascii="黑体" w:eastAsia="黑体" w:cs="黑体"/>
        </w:rPr>
      </w:pPr>
      <w:r>
        <w:rPr>
          <w:rFonts w:ascii="黑体" w:eastAsia="黑体" w:cs="黑体" w:hint="eastAsia"/>
        </w:rPr>
        <w:t>第五部分 附表</w:t>
      </w:r>
      <w:bookmarkEnd w:id="75"/>
      <w:bookmarkEnd w:id="76"/>
      <w:bookmarkEnd w:id="77"/>
      <w:bookmarkEnd w:id="78"/>
    </w:p>
    <w:p>
      <w:pPr>
        <w:pStyle w:val="2"/>
        <w:ind w:firstLineChars="200" w:firstLine="640"/>
        <w:rPr>
          <w:rFonts w:ascii="黑体" w:eastAsia="黑体" w:cs="Times New Roman"/>
          <w:bCs w:val="0"/>
          <w:color w:val="000000"/>
        </w:rPr>
      </w:pPr>
      <w:bookmarkStart w:id="79" w:name="_Toc79163636"/>
      <w:bookmarkStart w:id="80" w:name="_Toc79163886"/>
      <w:bookmarkStart w:id="81" w:name="_Toc111208513"/>
      <w:bookmarkStart w:id="82" w:name="_Toc113981026"/>
      <w:r>
        <w:rPr>
          <w:rFonts w:ascii="黑体" w:eastAsia="黑体" w:cs="Times New Roman" w:hint="eastAsia"/>
          <w:bCs w:val="0"/>
          <w:color w:val="000000"/>
        </w:rPr>
        <w:t>一、收入支出决算总表</w:t>
      </w:r>
      <w:bookmarkEnd w:id="79"/>
      <w:bookmarkEnd w:id="80"/>
      <w:bookmarkEnd w:id="81"/>
      <w:bookmarkEnd w:id="82"/>
    </w:p>
    <w:p>
      <w:pPr>
        <w:pStyle w:val="2"/>
        <w:ind w:firstLineChars="200" w:firstLine="640"/>
        <w:rPr>
          <w:rFonts w:ascii="黑体" w:eastAsia="黑体" w:cs="Times New Roman"/>
          <w:bCs w:val="0"/>
          <w:color w:val="000000"/>
        </w:rPr>
      </w:pPr>
      <w:bookmarkStart w:id="83" w:name="_Toc79163887"/>
      <w:bookmarkStart w:id="84" w:name="_Toc79163637"/>
      <w:bookmarkStart w:id="85" w:name="_Toc111208514"/>
      <w:bookmarkStart w:id="86" w:name="_Toc113981027"/>
      <w:r>
        <w:rPr>
          <w:rFonts w:ascii="黑体" w:eastAsia="黑体" w:cs="Times New Roman" w:hint="eastAsia"/>
          <w:bCs w:val="0"/>
          <w:color w:val="000000"/>
        </w:rPr>
        <w:t>二、收入决算表</w:t>
      </w:r>
      <w:bookmarkEnd w:id="83"/>
      <w:bookmarkEnd w:id="84"/>
      <w:bookmarkEnd w:id="85"/>
      <w:bookmarkEnd w:id="86"/>
    </w:p>
    <w:p>
      <w:pPr>
        <w:pStyle w:val="2"/>
        <w:ind w:firstLineChars="200" w:firstLine="640"/>
        <w:rPr>
          <w:rFonts w:ascii="黑体" w:eastAsia="黑体" w:cs="Times New Roman"/>
          <w:b w:val="0"/>
          <w:color w:val="000000"/>
        </w:rPr>
      </w:pPr>
      <w:bookmarkStart w:id="87" w:name="_Toc79163638"/>
      <w:bookmarkStart w:id="88" w:name="_Toc79163888"/>
      <w:bookmarkStart w:id="89" w:name="_Toc111208515"/>
      <w:bookmarkStart w:id="90" w:name="_Toc113981028"/>
      <w:r>
        <w:rPr>
          <w:rFonts w:ascii="黑体" w:eastAsia="黑体" w:cs="Times New Roman" w:hint="eastAsia"/>
          <w:bCs w:val="0"/>
          <w:color w:val="000000"/>
        </w:rPr>
        <w:t>三、支出决算表</w:t>
      </w:r>
      <w:bookmarkEnd w:id="87"/>
      <w:bookmarkEnd w:id="88"/>
      <w:bookmarkEnd w:id="89"/>
      <w:bookmarkEnd w:id="90"/>
    </w:p>
    <w:p>
      <w:pPr>
        <w:pStyle w:val="2"/>
        <w:ind w:firstLineChars="200" w:firstLine="640"/>
        <w:rPr>
          <w:rFonts w:ascii="黑体" w:eastAsia="黑体" w:cs="Times New Roman"/>
          <w:bCs w:val="0"/>
          <w:color w:val="000000"/>
        </w:rPr>
      </w:pPr>
      <w:bookmarkStart w:id="91" w:name="_Toc79163889"/>
      <w:bookmarkStart w:id="92" w:name="_Toc79163639"/>
      <w:bookmarkStart w:id="93" w:name="_Toc111208516"/>
      <w:bookmarkStart w:id="94" w:name="_Toc113981029"/>
      <w:r>
        <w:rPr>
          <w:rFonts w:ascii="黑体" w:eastAsia="黑体" w:cs="Times New Roman" w:hint="eastAsia"/>
          <w:bCs w:val="0"/>
          <w:color w:val="000000"/>
        </w:rPr>
        <w:t>四、财政拨款收入支出决算总表</w:t>
      </w:r>
      <w:bookmarkEnd w:id="91"/>
      <w:bookmarkEnd w:id="92"/>
      <w:bookmarkEnd w:id="93"/>
      <w:bookmarkEnd w:id="94"/>
    </w:p>
    <w:p>
      <w:pPr>
        <w:pStyle w:val="2"/>
        <w:ind w:firstLineChars="200" w:firstLine="640"/>
        <w:rPr>
          <w:rFonts w:ascii="黑体" w:eastAsia="黑体" w:cs="Times New Roman"/>
          <w:bCs w:val="0"/>
          <w:color w:val="000000"/>
        </w:rPr>
      </w:pPr>
      <w:bookmarkStart w:id="95" w:name="_Toc79163890"/>
      <w:bookmarkStart w:id="96" w:name="_Toc79163640"/>
      <w:bookmarkStart w:id="97" w:name="_Toc111208517"/>
      <w:bookmarkStart w:id="98" w:name="_Toc113981030"/>
      <w:r>
        <w:rPr>
          <w:rFonts w:ascii="黑体" w:eastAsia="黑体" w:cs="Times New Roman" w:hint="eastAsia"/>
          <w:bCs w:val="0"/>
          <w:color w:val="000000"/>
        </w:rPr>
        <w:t>五、财政拨款支出决算明细表</w:t>
      </w:r>
      <w:bookmarkEnd w:id="95"/>
      <w:bookmarkEnd w:id="96"/>
      <w:bookmarkEnd w:id="97"/>
      <w:bookmarkEnd w:id="98"/>
    </w:p>
    <w:p>
      <w:pPr>
        <w:pStyle w:val="2"/>
        <w:ind w:firstLineChars="200" w:firstLine="640"/>
        <w:rPr>
          <w:rFonts w:ascii="黑体" w:eastAsia="黑体" w:cs="Times New Roman"/>
          <w:bCs w:val="0"/>
          <w:color w:val="000000"/>
        </w:rPr>
      </w:pPr>
      <w:bookmarkStart w:id="99" w:name="_Toc79163891"/>
      <w:bookmarkStart w:id="100" w:name="_Toc79163641"/>
      <w:bookmarkStart w:id="101" w:name="_Toc111208518"/>
      <w:bookmarkStart w:id="102" w:name="_Toc113981031"/>
      <w:r>
        <w:rPr>
          <w:rFonts w:ascii="黑体" w:eastAsia="黑体" w:cs="Times New Roman" w:hint="eastAsia"/>
          <w:bCs w:val="0"/>
          <w:color w:val="000000"/>
        </w:rPr>
        <w:t>六、一般公共预算财政拨款支出决算表</w:t>
      </w:r>
      <w:bookmarkEnd w:id="99"/>
      <w:bookmarkEnd w:id="100"/>
      <w:bookmarkEnd w:id="101"/>
      <w:bookmarkEnd w:id="102"/>
    </w:p>
    <w:p>
      <w:pPr>
        <w:pStyle w:val="2"/>
        <w:ind w:firstLineChars="200" w:firstLine="640"/>
        <w:rPr>
          <w:rFonts w:ascii="黑体" w:eastAsia="黑体" w:cs="Times New Roman"/>
          <w:bCs w:val="0"/>
          <w:color w:val="000000"/>
        </w:rPr>
      </w:pPr>
      <w:bookmarkStart w:id="103" w:name="_Toc79163892"/>
      <w:bookmarkStart w:id="104" w:name="_Toc79163642"/>
      <w:bookmarkStart w:id="105" w:name="_Toc111208519"/>
      <w:bookmarkStart w:id="106" w:name="_Toc113981032"/>
      <w:r>
        <w:rPr>
          <w:rFonts w:ascii="黑体" w:eastAsia="黑体" w:cs="Times New Roman" w:hint="eastAsia"/>
          <w:bCs w:val="0"/>
          <w:color w:val="000000"/>
        </w:rPr>
        <w:t>七、一般公共预算财政拨款支出决算明细表</w:t>
      </w:r>
      <w:bookmarkEnd w:id="103"/>
      <w:bookmarkEnd w:id="104"/>
      <w:bookmarkEnd w:id="105"/>
      <w:bookmarkEnd w:id="106"/>
    </w:p>
    <w:p>
      <w:pPr>
        <w:pStyle w:val="2"/>
        <w:ind w:firstLineChars="200" w:firstLine="640"/>
        <w:rPr>
          <w:rFonts w:ascii="黑体" w:eastAsia="黑体" w:cs="Times New Roman"/>
          <w:bCs w:val="0"/>
          <w:color w:val="000000"/>
        </w:rPr>
      </w:pPr>
      <w:bookmarkStart w:id="107" w:name="_Toc79163893"/>
      <w:bookmarkStart w:id="108" w:name="_Toc79163643"/>
      <w:bookmarkStart w:id="109" w:name="_Toc111208520"/>
      <w:bookmarkStart w:id="110" w:name="_Toc113981033"/>
      <w:r>
        <w:rPr>
          <w:rFonts w:ascii="黑体" w:eastAsia="黑体" w:cs="Times New Roman" w:hint="eastAsia"/>
          <w:bCs w:val="0"/>
          <w:color w:val="000000"/>
        </w:rPr>
        <w:t>八、一般公共预算财政拨款基本支出决算表</w:t>
      </w:r>
      <w:bookmarkEnd w:id="107"/>
      <w:bookmarkEnd w:id="108"/>
      <w:bookmarkEnd w:id="109"/>
      <w:bookmarkEnd w:id="110"/>
    </w:p>
    <w:p>
      <w:pPr>
        <w:pStyle w:val="2"/>
        <w:ind w:firstLineChars="200" w:firstLine="640"/>
        <w:rPr>
          <w:rFonts w:ascii="黑体" w:eastAsia="黑体" w:cs="Times New Roman"/>
          <w:bCs w:val="0"/>
          <w:color w:val="000000"/>
        </w:rPr>
      </w:pPr>
      <w:bookmarkStart w:id="111" w:name="_Toc79163644"/>
      <w:bookmarkStart w:id="112" w:name="_Toc79163894"/>
      <w:bookmarkStart w:id="113" w:name="_Toc111208521"/>
      <w:bookmarkStart w:id="114" w:name="_Toc113981034"/>
      <w:r>
        <w:rPr>
          <w:rFonts w:ascii="黑体" w:eastAsia="黑体" w:cs="Times New Roman" w:hint="eastAsia"/>
          <w:bCs w:val="0"/>
          <w:color w:val="000000"/>
        </w:rPr>
        <w:t>九、一般公共预算财政拨款项目支出决算表</w:t>
      </w:r>
      <w:bookmarkEnd w:id="111"/>
      <w:bookmarkEnd w:id="112"/>
      <w:bookmarkEnd w:id="113"/>
      <w:bookmarkEnd w:id="114"/>
    </w:p>
    <w:p>
      <w:pPr>
        <w:pStyle w:val="2"/>
        <w:ind w:firstLineChars="200" w:firstLine="640"/>
        <w:rPr>
          <w:rFonts w:ascii="黑体" w:eastAsia="黑体" w:cs="Times New Roman"/>
          <w:bCs w:val="0"/>
          <w:color w:val="000000"/>
        </w:rPr>
      </w:pPr>
      <w:bookmarkStart w:id="115" w:name="_Toc79163645"/>
      <w:bookmarkStart w:id="116" w:name="_Toc79163895"/>
      <w:bookmarkStart w:id="117" w:name="_Toc111208522"/>
      <w:bookmarkStart w:id="118" w:name="_Toc113981035"/>
      <w:r>
        <w:rPr>
          <w:rFonts w:ascii="黑体" w:eastAsia="黑体" w:cs="Times New Roman" w:hint="eastAsia"/>
          <w:bCs w:val="0"/>
          <w:color w:val="000000"/>
        </w:rPr>
        <w:t>十、一般公共预算财政拨款“三公”经费支出决算表</w:t>
      </w:r>
      <w:bookmarkEnd w:id="115"/>
      <w:bookmarkEnd w:id="116"/>
      <w:bookmarkEnd w:id="117"/>
      <w:bookmarkEnd w:id="118"/>
    </w:p>
    <w:p>
      <w:pPr>
        <w:pStyle w:val="2"/>
        <w:ind w:firstLineChars="200" w:firstLine="640"/>
        <w:rPr>
          <w:rFonts w:ascii="黑体" w:eastAsia="黑体" w:cs="Times New Roman"/>
          <w:bCs w:val="0"/>
          <w:color w:val="000000"/>
        </w:rPr>
      </w:pPr>
      <w:bookmarkStart w:id="119" w:name="_Toc79163646"/>
      <w:bookmarkStart w:id="120" w:name="_Toc79163896"/>
      <w:bookmarkStart w:id="121" w:name="_Toc111208523"/>
      <w:bookmarkStart w:id="122" w:name="_Toc113981036"/>
      <w:r>
        <w:rPr>
          <w:rFonts w:ascii="黑体" w:eastAsia="黑体" w:cs="Times New Roman" w:hint="eastAsia"/>
          <w:bCs w:val="0"/>
          <w:color w:val="000000"/>
        </w:rPr>
        <w:t>十一、政府性基金预算财政拨款收入支出决算表</w:t>
      </w:r>
      <w:bookmarkEnd w:id="119"/>
      <w:bookmarkEnd w:id="120"/>
      <w:bookmarkEnd w:id="121"/>
      <w:bookmarkEnd w:id="122"/>
    </w:p>
    <w:p>
      <w:pPr>
        <w:pStyle w:val="2"/>
        <w:ind w:firstLineChars="200" w:firstLine="640"/>
        <w:rPr>
          <w:rFonts w:ascii="黑体" w:eastAsia="黑体" w:cs="Times New Roman"/>
          <w:bCs w:val="0"/>
          <w:color w:val="000000"/>
        </w:rPr>
      </w:pPr>
      <w:bookmarkStart w:id="123" w:name="_Toc79163897"/>
      <w:bookmarkStart w:id="124" w:name="_Toc79163647"/>
      <w:bookmarkStart w:id="125" w:name="_Toc111208524"/>
      <w:bookmarkStart w:id="126" w:name="_Toc113981037"/>
      <w:r>
        <w:rPr>
          <w:rFonts w:ascii="黑体" w:eastAsia="黑体" w:cs="Times New Roman" w:hint="eastAsia"/>
          <w:bCs w:val="0"/>
          <w:color w:val="000000"/>
        </w:rPr>
        <w:t>十二、政府性基金预算财政拨款“三公”经费支出决算表</w:t>
      </w:r>
      <w:bookmarkEnd w:id="123"/>
      <w:bookmarkEnd w:id="124"/>
      <w:bookmarkEnd w:id="125"/>
      <w:bookmarkEnd w:id="126"/>
    </w:p>
    <w:p>
      <w:pPr>
        <w:pStyle w:val="2"/>
        <w:ind w:firstLineChars="200" w:firstLine="640"/>
        <w:rPr>
          <w:rFonts w:ascii="黑体" w:eastAsia="黑体" w:cs="Times New Roman"/>
          <w:bCs w:val="0"/>
          <w:color w:val="000000"/>
        </w:rPr>
      </w:pPr>
      <w:bookmarkStart w:id="127" w:name="_Toc79163898"/>
      <w:bookmarkStart w:id="128" w:name="_Toc79163648"/>
      <w:bookmarkStart w:id="129" w:name="_Toc111208525"/>
      <w:bookmarkStart w:id="130" w:name="_Toc113981038"/>
      <w:r>
        <w:rPr>
          <w:rFonts w:ascii="黑体" w:eastAsia="黑体" w:cs="Times New Roman" w:hint="eastAsia"/>
          <w:bCs w:val="0"/>
          <w:color w:val="000000"/>
        </w:rPr>
        <w:t>十三、</w:t>
      </w:r>
      <w:bookmarkEnd w:id="127"/>
      <w:bookmarkEnd w:id="128"/>
      <w:r>
        <w:rPr>
          <w:rFonts w:ascii="黑体" w:eastAsia="黑体" w:cs="Times New Roman" w:hint="eastAsia"/>
          <w:bCs w:val="0"/>
          <w:color w:val="000000"/>
        </w:rPr>
        <w:t>国有资本经营预算财政拨款收入支出决算表</w:t>
      </w:r>
      <w:bookmarkEnd w:id="129"/>
      <w:bookmarkEnd w:id="130"/>
    </w:p>
    <w:p>
      <w:pPr>
        <w:pStyle w:val="2"/>
        <w:ind w:firstLineChars="200" w:firstLine="640"/>
        <w:rPr>
          <w:rFonts w:ascii="黑体" w:eastAsia="黑体" w:cs="Times New Roman"/>
          <w:b w:val="0"/>
          <w:color w:val="000000"/>
        </w:rPr>
      </w:pPr>
      <w:bookmarkStart w:id="131" w:name="_Toc111208526"/>
      <w:bookmarkStart w:id="132" w:name="_Toc113981039"/>
      <w:r>
        <w:rPr>
          <w:rFonts w:ascii="黑体" w:eastAsia="黑体" w:cs="Times New Roman" w:hint="eastAsia"/>
          <w:bCs w:val="0"/>
          <w:color w:val="000000"/>
        </w:rPr>
        <w:t>十四、国有资本经营预算财政拨款支出决算表</w:t>
      </w:r>
      <w:bookmarkEnd w:id="131"/>
      <w:bookmarkEnd w:id="13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方正小标宋简体">
    <w:altName w:val="黑体"/>
    <w:panose1 w:val="00000000000000000000"/>
    <w:charset w:val="86"/>
    <w:family w:val="script"/>
    <w:pitch w:val="variable"/>
    <w:sig w:usb0="00000000" w:usb1="0000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36868258"/>
    </w:sdtPr>
    <w:sdtContent>
      <w:p>
        <w:pPr>
          <w:pStyle w:val="20"/>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768FC03"/>
    <w:multiLevelType w:val="singleLevel"/>
    <w:tmpl w:val="6768FC03"/>
    <w:lvl w:ilvl="0">
      <w:start w:val="2"/>
      <w:numFmt w:val="chineseCounting"/>
      <w:lvlRestart w:val="0"/>
      <w:suff w:val="nothing"/>
      <w:lvlText w:val="（%1）"/>
      <w:lvlJc w:val="left"/>
      <w:pPr>
        <w:ind w:left="0" w:hanging="0"/>
      </w:pPr>
      <w:rPr>
        <w:rFonts w:hint="eastAsia"/>
      </w:rPr>
    </w:lvl>
  </w:abstractNum>
  <w:abstractNum w:abstractNumId="1">
    <w:nsid w:val="5D7716BF"/>
    <w:multiLevelType w:val="singleLevel"/>
    <w:tmpl w:val="5D7716BF"/>
    <w:lvl w:ilvl="0">
      <w:start w:val="2"/>
      <w:numFmt w:val="chineseCounting"/>
      <w:lvlRestart w:val="0"/>
      <w:suff w:val="nothing"/>
      <w:lvlText w:val="（%1）"/>
      <w:lvlJc w:val="left"/>
      <w:pPr>
        <w:ind w:left="317" w:hanging="317"/>
      </w:pPr>
      <w:rPr>
        <w:rFonts w:hint="eastAsia"/>
      </w:rPr>
    </w:lvl>
  </w:abstractNum>
  <w:abstractNum w:abstractNumId="2">
    <w:nsid w:val="BC74C60E"/>
    <w:multiLevelType w:val="singleLevel"/>
    <w:tmpl w:val="BC74C60E"/>
    <w:lvl w:ilvl="0">
      <w:start w:val="3"/>
      <w:numFmt w:val="chineseCounting"/>
      <w:lvlRestart w:val="0"/>
      <w:suff w:val="nothing"/>
      <w:lvlText w:val="%1、"/>
      <w:lvlJc w:val="left"/>
      <w:pPr>
        <w:ind w:left="0" w:hanging="0"/>
      </w:pPr>
      <w:rPr>
        <w:rFonts w:hint="eastAsia"/>
      </w:rPr>
    </w:lvl>
  </w:abstractNum>
  <w:abstractNum w:abstractNumId="3">
    <w:nsid w:val="228865B6"/>
    <w:multiLevelType w:val="singleLevel"/>
    <w:tmpl w:val="228865B6"/>
    <w:lvl w:ilvl="0">
      <w:start w:val="1"/>
      <w:numFmt w:val="chineseCounting"/>
      <w:lvlRestart w:val="0"/>
      <w:suff w:val="space"/>
      <w:lvlText w:val="（%1）"/>
      <w:lvlJc w:val="left"/>
      <w:pPr>
        <w:ind w:left="0" w:hanging="0"/>
      </w:pPr>
      <w:rPr>
        <w:rFonts w:hint="eastAsia"/>
      </w:rPr>
    </w:lvl>
  </w:abstractNum>
  <w:abstractNum w:abstractNumId="4">
    <w:nsid w:val="0806C6A1"/>
    <w:multiLevelType w:val="singleLevel"/>
    <w:tmpl w:val="0806C6A1"/>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WE5N2FkMzhiMjUyZjMzYTU1ZTRmN2M5ODIyNTI5Nm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character" w:styleId="27">
    <w:name w:val="annotation reference"/>
    <w:basedOn w:val="10"/>
    <w:rPr>
      <w:sz w:val="21"/>
      <w:szCs w:val="21"/>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styleId="34">
    <w:name w:val="Body Text First Indent 2"/>
    <w:basedOn w:val="0"/>
    <w:next w:val="16"/>
    <w:pPr>
      <w:widowControl w:val="0"/>
      <w:spacing w:after="120"/>
      <w:ind w:leftChars="200" w:left="200" w:firstLineChars="200" w:firstLine="200"/>
      <w:jc w:val="both"/>
    </w:pPr>
    <w:rPr>
      <w:rFonts w:ascii="Times New Roman" w:eastAsia="仿宋_GB2312" w:cs="Times New Roman" w:hAnsi="Times New Roman"/>
      <w:kern w:val="2"/>
      <w:sz w:val="32"/>
      <w:szCs w:val="24"/>
      <w:lang w:val="en-US" w:eastAsia="zh-CN" w:bidi="ar-SA"/>
    </w:rPr>
  </w:style>
  <w:style w:type="paragraph" w:styleId="35">
    <w:name w:val="Normal (Web)"/>
    <w:basedOn w:val="0"/>
    <w:next w:val="16"/>
    <w:pPr>
      <w:widowControl/>
      <w:spacing w:before="100" w:beforeAutospacing="1" w:after="100" w:afterAutospacing="1"/>
      <w:jc w:val="left"/>
    </w:pPr>
    <w:rPr>
      <w:rFonts w:ascii="宋体" w:eastAsia="仿宋_GB2312" w:cs="宋体" w:hAnsi="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Arial"/>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211.04</c:v>
                </c:pt>
                <c:pt idx="1">
                  <c:v>243.05</c:v>
                </c:pt>
              </c:numCache>
            </c:numRef>
          </c:val>
        </c:ser>
        <c:ser>
          <c:idx val="2"/>
          <c:order val="1"/>
          <c:tx>
            <c:v>支出</c:v>
          </c:tx>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211.04</c:v>
                </c:pt>
                <c:pt idx="1">
                  <c:v>243.05</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Arial"/>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1"/>
        <c:axPos val="l"/>
        <c:title>
          <c:tx>
            <c:rich>
              <a:bodyPr rot="0" vert="horz" anchor="t" anchorCtr="0"/>
              <a:lstStyle/>
              <a:p>
                <a:pPr>
                  <a:defRPr sz="1000" b="1" i="0" u="none" strike="noStrike" baseline="0">
                    <a:solidFill>
                      <a:srgbClr val="000000"/>
                    </a:solidFill>
                    <a:latin typeface="Times New Roman"/>
                    <a:ea typeface="宋体"/>
                    <a:cs typeface="Arial"/>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Arial"/>
              </a:defRPr>
            </a:pPr>
            <a:r>
              <a:rPr lang="zh-CN"/>
              <a:t>收入决算结构图</a:t>
            </a:r>
          </a:p>
        </c:rich>
      </c:tx>
      <c:layout/>
      <c:overlay val="0"/>
      <c:spPr>
        <a:ln>
          <a:noFill/>
        </a:ln>
      </c:spPr>
    </c:title>
    <c:autoTitleDeleted val="1"/>
    <c:plotArea>
      <c:layout/>
      <c:pieChart>
        <c:varyColors val="1"/>
        <c:ser>
          <c:idx val="1"/>
          <c:order val="0"/>
          <c:spPr>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txPr>
              <a:bodyPr/>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0"/>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2430496.54</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Arial"/>
              </a:defRPr>
            </a:pPr>
            <a:r>
              <a:rPr lang="zh-CN"/>
              <a:t>支出决算结构图</a:t>
            </a:r>
          </a:p>
        </c:rich>
      </c:tx>
      <c:layout/>
      <c:overlay val="0"/>
      <c:spPr>
        <a:ln>
          <a:noFill/>
        </a:ln>
      </c:spPr>
    </c:title>
    <c:autoTitleDeleted val="1"/>
    <c:plotArea>
      <c:layout/>
      <c:pieChart>
        <c:varyColors val="1"/>
        <c:ser>
          <c:idx val="1"/>
          <c:order val="0"/>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txPr>
              <a:bodyPr/>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0"/>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2430496.54</c:v>
                </c:pt>
                <c:pt idx="1">
                  <c:v>0.0</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211.04</c:v>
                </c:pt>
                <c:pt idx="1">
                  <c:v>243.05</c:v>
                </c:pt>
              </c:numCache>
            </c:numRef>
          </c:val>
        </c:ser>
        <c:ser>
          <c:idx val="2"/>
          <c:order val="1"/>
          <c:tx>
            <c:v>支出</c:v>
          </c:tx>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211.04</c:v>
                </c:pt>
                <c:pt idx="1">
                  <c:v>243.05</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Arial"/>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0" vert="horz" anchor="t" anchorCtr="0"/>
              <a:lstStyle/>
              <a:p>
                <a:pPr>
                  <a:defRPr sz="1000" b="1" i="0" u="none" strike="noStrike" baseline="0">
                    <a:solidFill>
                      <a:srgbClr val="000000"/>
                    </a:solidFill>
                    <a:latin typeface="Times New Roman"/>
                    <a:ea typeface="宋体"/>
                    <a:cs typeface="Arial"/>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Arial"/>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211.04</c:v>
                </c:pt>
              </c:numCache>
            </c:numRef>
          </c:val>
        </c:ser>
        <c:ser>
          <c:idx val="2"/>
          <c:order val="1"/>
          <c:tx>
            <c:v>2021</c:v>
          </c:tx>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243.05</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Arial"/>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0" vert="horz" anchor="t" anchorCtr="0"/>
              <a:lstStyle/>
              <a:p>
                <a:pPr>
                  <a:defRPr sz="1000" b="1" i="0" u="none" strike="noStrike" baseline="0">
                    <a:solidFill>
                      <a:srgbClr val="000000"/>
                    </a:solidFill>
                    <a:latin typeface="Times New Roman"/>
                    <a:ea typeface="宋体"/>
                    <a:cs typeface="Arial"/>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strLit>
              <c:ptCount val="4"/>
              <c:pt idx="0">
                <c:v>社会保障和就业支出</c:v>
              </c:pt>
              <c:pt idx="1">
                <c:v>卫生健康支出</c:v>
              </c:pt>
              <c:pt idx="2">
                <c:v>交通运输支出</c:v>
              </c:pt>
              <c:pt idx="3">
                <c:v>住房保障支出</c:v>
              </c:pt>
            </c:strLit>
          </c:cat>
          <c:val>
            <c:numRef>
              <c:f/>
              <c:numCache>
                <c:formatCode>General</c:formatCode>
                <c:ptCount val="4"/>
                <c:pt idx="0">
                  <c:v>26.92</c:v>
                </c:pt>
                <c:pt idx="1">
                  <c:v>12.21</c:v>
                </c:pt>
                <c:pt idx="2">
                  <c:v>186.31</c:v>
                </c:pt>
                <c:pt idx="3">
                  <c:v>17.62</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三公经费</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0"/>
          </c:dLbls>
          <c:cat>
            <c:strLit>
              <c:ptCount val="3"/>
              <c:pt idx="0">
                <c:v>因公出国（境）费</c:v>
              </c:pt>
              <c:pt idx="1">
                <c:v>公务用车购置及运行维护费</c:v>
              </c:pt>
              <c:pt idx="2">
                <c:v>公务接待费</c:v>
              </c:pt>
            </c:strLit>
          </c:cat>
          <c:val>
            <c:numRef>
              <c:f/>
              <c:numCache>
                <c:formatCode>General</c:formatCode>
                <c:ptCount val="3"/>
                <c:pt idx="0">
                  <c:v>0.0</c:v>
                </c:pt>
                <c:pt idx="1">
                  <c:v>0.0</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202</TotalTime>
  <Application>Yozo_Office27021597764231179</Application>
  <Pages>26</Pages>
  <Words>7699</Words>
  <Characters>8642</Characters>
  <Lines>451</Lines>
  <Paragraphs>184</Paragraphs>
  <CharactersWithSpaces>8749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Administrator</cp:lastModifiedBy>
  <cp:revision>303</cp:revision>
  <cp:lastPrinted>2021-09-26T08:39:00Z</cp:lastPrinted>
  <dcterms:created xsi:type="dcterms:W3CDTF">2022-08-17T01:31:00Z</dcterms:created>
  <dcterms:modified xsi:type="dcterms:W3CDTF">2022-09-29T03:05:51Z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2052-11.1.0.11875</vt:lpwstr>
  </property>
  <property fmtid="{D5CDD505-2E9C-101B-9397-08002B2CF9AE}" pid="3" name="ICV">
    <vt:lpwstr>B93CA6F4BEAD4F359769D1203595D585</vt:lpwstr>
  </property>
</Properties>
</file>