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96475"/>
      <w:bookmarkStart w:id="1" w:name="_Toc15377193"/>
      <w:bookmarkStart w:id="2" w:name="_Toc15396597"/>
      <w:bookmarkStart w:id="3" w:name="_Toc15306267"/>
    </w:p>
    <w:p>
      <w:pPr>
        <w:pStyle w:val="2"/>
        <w:ind w:firstLine="0"/>
      </w:pPr>
    </w:p>
    <w:p>
      <w:pPr>
        <w:jc w:val="center"/>
        <w:rPr>
          <w:rFonts w:ascii="宋体" w:eastAsia="宋体"/>
          <w:b/>
          <w:sz w:val="72"/>
          <w:szCs w:val="72"/>
        </w:rPr>
      </w:pPr>
      <w:r>
        <w:rPr>
          <w:rFonts w:hint="eastAsia" w:ascii="宋体" w:eastAsia="宋体"/>
          <w:b/>
          <w:sz w:val="72"/>
          <w:szCs w:val="72"/>
        </w:rPr>
        <w:t>2021年度</w:t>
      </w:r>
      <w:bookmarkEnd w:id="0"/>
      <w:bookmarkEnd w:id="1"/>
      <w:bookmarkEnd w:id="2"/>
    </w:p>
    <w:bookmarkEnd w:id="3"/>
    <w:p>
      <w:pPr>
        <w:jc w:val="center"/>
        <w:rPr>
          <w:rFonts w:ascii="宋体" w:eastAsia="宋体"/>
          <w:b/>
          <w:sz w:val="72"/>
          <w:szCs w:val="72"/>
        </w:rPr>
      </w:pPr>
      <w:bookmarkStart w:id="4" w:name="_Toc15306268"/>
      <w:bookmarkStart w:id="5" w:name="_Toc15377194"/>
      <w:bookmarkStart w:id="6" w:name="_Toc15396476"/>
      <w:bookmarkStart w:id="7" w:name="_Toc15378442"/>
      <w:bookmarkStart w:id="8" w:name="_Toc15396598"/>
      <w:bookmarkStart w:id="9" w:name="_Toc15377426"/>
      <w:r>
        <w:rPr>
          <w:rFonts w:ascii="宋体" w:eastAsia="宋体"/>
          <w:b/>
          <w:sz w:val="72"/>
          <w:szCs w:val="72"/>
        </w:rPr>
        <w:t>阿坝州茂县交通运输局（行政）</w:t>
      </w:r>
      <w:r>
        <w:rPr>
          <w:rFonts w:hint="eastAsia" w:ascii="宋体" w:eastAsia="宋体"/>
          <w:b/>
          <w:sz w:val="72"/>
          <w:szCs w:val="72"/>
        </w:rPr>
        <w:t>部门决算</w:t>
      </w:r>
      <w:bookmarkEnd w:id="4"/>
      <w:bookmarkEnd w:id="5"/>
      <w:bookmarkEnd w:id="6"/>
      <w:bookmarkEnd w:id="7"/>
      <w:bookmarkEnd w:id="8"/>
      <w:bookmarkEnd w:id="9"/>
      <w:r>
        <w:rPr>
          <w:rFonts w:hint="eastAsia" w:ascii="宋体" w:eastAsia="宋体"/>
          <w:b/>
          <w:sz w:val="72"/>
          <w:szCs w:val="72"/>
        </w:rPr>
        <w:t>编制</w:t>
      </w:r>
      <w:r>
        <w:rPr>
          <w:rFonts w:ascii="宋体" w:eastAsia="宋体"/>
          <w:b/>
          <w:sz w:val="72"/>
          <w:szCs w:val="72"/>
        </w:rPr>
        <w:t xml:space="preserve">  </w:t>
      </w:r>
      <w:r>
        <w:rPr>
          <w:rFonts w:hint="eastAsia" w:ascii="宋体" w:eastAsia="宋体"/>
          <w:b/>
          <w:sz w:val="72"/>
          <w:szCs w:val="72"/>
        </w:rPr>
        <w:t>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10" w:name="_Toc15377196"/>
    </w:p>
    <w:p>
      <w:pPr>
        <w:pStyle w:val="12"/>
        <w:rPr>
          <w:rFonts w:ascii="Calibri" w:hAnsi="Calibri" w:eastAsia="宋体" w:cs="Arial"/>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Hyperlink \l "_Toc113981009"</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Calibri" w:hAnsi="Calibri" w:eastAsia="宋体" w:cs="Arial"/>
          <w:szCs w:val="22"/>
        </w:rPr>
      </w:pPr>
      <w:r>
        <w:fldChar w:fldCharType="begin"/>
      </w:r>
      <w:r>
        <w:instrText xml:space="preserve">Hyperlink \l "_Toc113981010"</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Calibri" w:hAnsi="Calibri" w:eastAsia="宋体" w:cs="Arial"/>
          <w:szCs w:val="22"/>
        </w:rPr>
      </w:pPr>
      <w:r>
        <w:fldChar w:fldCharType="begin"/>
      </w:r>
      <w:r>
        <w:instrText xml:space="preserve">Hyperlink \l "_Toc113981011"</w:instrText>
      </w:r>
      <w:r>
        <w:fldChar w:fldCharType="separate"/>
      </w:r>
      <w:r>
        <w:rPr>
          <w:rFonts w:ascii="黑体" w:eastAsia="黑体"/>
        </w:rPr>
        <w:t>二、机构设置</w:t>
      </w:r>
      <w:r>
        <w:tab/>
      </w:r>
      <w:r>
        <w:fldChar w:fldCharType="begin"/>
      </w:r>
      <w:r>
        <w:instrText xml:space="preserve"> PAGEREF _Toc113981011 \h </w:instrText>
      </w:r>
      <w:r>
        <w:fldChar w:fldCharType="separate"/>
      </w:r>
      <w:r>
        <w:t>9</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"_Toc113981012"</w:instrText>
      </w:r>
      <w:r>
        <w:fldChar w:fldCharType="separate"/>
      </w:r>
      <w:r>
        <w:rPr>
          <w:rFonts w:hint="eastAsia" w:ascii="黑体" w:eastAsia="黑体" w:cs="黑体"/>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11</w:t>
      </w:r>
      <w:r>
        <w:fldChar w:fldCharType="end"/>
      </w:r>
      <w:r>
        <w:fldChar w:fldCharType="end"/>
      </w:r>
    </w:p>
    <w:p>
      <w:pPr>
        <w:pStyle w:val="14"/>
        <w:rPr>
          <w:rFonts w:ascii="Calibri" w:hAnsi="Calibri" w:eastAsia="宋体" w:cs="Arial"/>
          <w:szCs w:val="22"/>
        </w:rPr>
      </w:pPr>
      <w:r>
        <w:fldChar w:fldCharType="begin"/>
      </w:r>
      <w:r>
        <w:instrText xml:space="preserve">Hyperlink \l "_Toc113981013"</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11</w:t>
      </w:r>
      <w:r>
        <w:fldChar w:fldCharType="end"/>
      </w:r>
      <w:r>
        <w:fldChar w:fldCharType="end"/>
      </w:r>
    </w:p>
    <w:p>
      <w:pPr>
        <w:pStyle w:val="14"/>
        <w:rPr>
          <w:rFonts w:ascii="Calibri" w:hAnsi="Calibri" w:eastAsia="宋体" w:cs="Arial"/>
          <w:szCs w:val="22"/>
        </w:rPr>
      </w:pPr>
      <w:r>
        <w:fldChar w:fldCharType="begin"/>
      </w:r>
      <w:r>
        <w:instrText xml:space="preserve">Hyperlink \l "_Toc113981014"</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11</w:t>
      </w:r>
      <w:r>
        <w:fldChar w:fldCharType="end"/>
      </w:r>
      <w:r>
        <w:fldChar w:fldCharType="end"/>
      </w:r>
    </w:p>
    <w:p>
      <w:pPr>
        <w:pStyle w:val="14"/>
        <w:rPr>
          <w:rFonts w:ascii="Calibri" w:hAnsi="Calibri" w:eastAsia="宋体" w:cs="Arial"/>
          <w:szCs w:val="22"/>
        </w:rPr>
      </w:pPr>
      <w:r>
        <w:fldChar w:fldCharType="begin"/>
      </w:r>
      <w:r>
        <w:instrText xml:space="preserve">Hyperlink \l "_Toc113981015"</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12</w:t>
      </w:r>
      <w:r>
        <w:fldChar w:fldCharType="end"/>
      </w:r>
      <w:r>
        <w:fldChar w:fldCharType="end"/>
      </w:r>
    </w:p>
    <w:p>
      <w:pPr>
        <w:pStyle w:val="14"/>
        <w:rPr>
          <w:rFonts w:ascii="Calibri" w:hAnsi="Calibri" w:eastAsia="宋体" w:cs="Arial"/>
          <w:szCs w:val="22"/>
        </w:rPr>
      </w:pPr>
      <w:r>
        <w:fldChar w:fldCharType="begin"/>
      </w:r>
      <w:r>
        <w:instrText xml:space="preserve">Hyperlink \l "_Toc113981016"</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13</w:t>
      </w:r>
      <w:r>
        <w:fldChar w:fldCharType="end"/>
      </w:r>
      <w:r>
        <w:fldChar w:fldCharType="end"/>
      </w:r>
    </w:p>
    <w:p>
      <w:pPr>
        <w:pStyle w:val="14"/>
        <w:rPr>
          <w:rFonts w:ascii="Calibri" w:hAnsi="Calibri" w:eastAsia="宋体" w:cs="Arial"/>
          <w:szCs w:val="22"/>
        </w:rPr>
      </w:pPr>
      <w:r>
        <w:fldChar w:fldCharType="begin"/>
      </w:r>
      <w:r>
        <w:instrText xml:space="preserve">Hyperlink \l "_Toc113981017"</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14</w:t>
      </w:r>
      <w:r>
        <w:fldChar w:fldCharType="end"/>
      </w:r>
      <w:r>
        <w:fldChar w:fldCharType="end"/>
      </w:r>
    </w:p>
    <w:p>
      <w:pPr>
        <w:pStyle w:val="14"/>
        <w:rPr>
          <w:rFonts w:ascii="Calibri" w:hAnsi="Calibri" w:eastAsia="宋体" w:cs="Arial"/>
          <w:szCs w:val="22"/>
        </w:rPr>
      </w:pPr>
      <w:r>
        <w:fldChar w:fldCharType="begin"/>
      </w:r>
      <w:r>
        <w:instrText xml:space="preserve">Hyperlink \l "_Toc113981018"</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18</w:t>
      </w:r>
      <w:r>
        <w:fldChar w:fldCharType="end"/>
      </w:r>
      <w:r>
        <w:fldChar w:fldCharType="end"/>
      </w:r>
    </w:p>
    <w:p>
      <w:pPr>
        <w:pStyle w:val="14"/>
        <w:rPr>
          <w:rFonts w:ascii="Calibri" w:hAnsi="Calibri" w:eastAsia="宋体" w:cs="Arial"/>
          <w:szCs w:val="22"/>
        </w:rPr>
      </w:pPr>
      <w:r>
        <w:fldChar w:fldCharType="begin"/>
      </w:r>
      <w:r>
        <w:instrText xml:space="preserve">Hyperlink \l "_Toc113981019"</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19</w:t>
      </w:r>
      <w:r>
        <w:fldChar w:fldCharType="end"/>
      </w:r>
      <w:r>
        <w:fldChar w:fldCharType="end"/>
      </w:r>
    </w:p>
    <w:p>
      <w:pPr>
        <w:pStyle w:val="14"/>
        <w:rPr>
          <w:rFonts w:ascii="Calibri" w:hAnsi="Calibri" w:eastAsia="宋体" w:cs="Arial"/>
          <w:szCs w:val="22"/>
        </w:rPr>
      </w:pPr>
      <w:r>
        <w:fldChar w:fldCharType="begin"/>
      </w:r>
      <w:r>
        <w:instrText xml:space="preserve">Hyperlink \l "_Toc113981020"</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20</w:t>
      </w:r>
      <w:r>
        <w:fldChar w:fldCharType="end"/>
      </w:r>
      <w:r>
        <w:fldChar w:fldCharType="end"/>
      </w:r>
    </w:p>
    <w:p>
      <w:pPr>
        <w:pStyle w:val="14"/>
        <w:rPr>
          <w:rFonts w:ascii="Calibri" w:hAnsi="Calibri" w:eastAsia="宋体" w:cs="Arial"/>
          <w:szCs w:val="22"/>
        </w:rPr>
      </w:pPr>
      <w:r>
        <w:fldChar w:fldCharType="begin"/>
      </w:r>
      <w:r>
        <w:instrText xml:space="preserve">Hyperlink \l "_Toc113981021"</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20</w:t>
      </w:r>
      <w:r>
        <w:fldChar w:fldCharType="end"/>
      </w:r>
      <w:r>
        <w:fldChar w:fldCharType="end"/>
      </w:r>
    </w:p>
    <w:p>
      <w:pPr>
        <w:pStyle w:val="14"/>
        <w:rPr>
          <w:rFonts w:ascii="Calibri" w:hAnsi="Calibri" w:eastAsia="宋体" w:cs="Arial"/>
          <w:szCs w:val="22"/>
        </w:rPr>
      </w:pPr>
      <w:r>
        <w:fldChar w:fldCharType="begin"/>
      </w:r>
      <w:r>
        <w:instrText xml:space="preserve">Hyperlink \l "_Toc113981022"</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21</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"_Toc113981023"</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22</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"_Toc113981024"</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27</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"_Toc113981025"</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"_Toc113981026"</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"_Toc113981027"</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"_Toc113981028"</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"_Toc113981029"</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"_Toc113981030"</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"_Toc113981031"</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"_Toc113981032"</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"_Toc113981033"</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"_Toc113981034"</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"_Toc113981035"</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"_Toc113981036"</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"_Toc113981037"</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"_Toc113981038"</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80</w:t>
      </w:r>
      <w:r>
        <w:fldChar w:fldCharType="end"/>
      </w:r>
      <w:r>
        <w:fldChar w:fldCharType="end"/>
      </w:r>
    </w:p>
    <w:p>
      <w:pPr>
        <w:pStyle w:val="14"/>
        <w:rPr>
          <w:rFonts w:ascii="Calibri" w:hAnsi="Calibri" w:eastAsia="宋体" w:cs="Arial"/>
          <w:szCs w:val="22"/>
        </w:rPr>
      </w:pPr>
      <w:r>
        <w:fldChar w:fldCharType="begin"/>
      </w:r>
      <w:r>
        <w:instrText xml:space="preserve">Hyperlink \l "_Toc113981039"</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80</w:t>
      </w:r>
      <w:r>
        <w:fldChar w:fldCharType="end"/>
      </w:r>
      <w:r>
        <w:fldChar w:fldCharType="end"/>
      </w:r>
    </w:p>
    <w:p>
      <w:pPr>
        <w:pStyle w:val="2"/>
      </w:pPr>
      <w:r>
        <w:rPr>
          <w:caps w:val="0"/>
          <w:smallCaps/>
          <w:szCs w:val="20"/>
        </w:rPr>
        <w:fldChar w:fldCharType="end"/>
      </w:r>
    </w:p>
    <w:p>
      <w:pPr>
        <w:pStyle w:val="3"/>
        <w:jc w:val="center"/>
        <w:rPr>
          <w:rFonts w:ascii="黑体" w:eastAsia="黑体" w:cs="黑体"/>
          <w:b w:val="0"/>
          <w:bCs w:val="0"/>
        </w:rPr>
      </w:pPr>
      <w:bookmarkStart w:id="11" w:name="_Toc113981009"/>
      <w:bookmarkStart w:id="12" w:name="_Toc111208495"/>
      <w:r>
        <w:rPr>
          <w:rFonts w:hint="eastAsia" w:ascii="黑体" w:eastAsia="黑体" w:cs="黑体"/>
        </w:rPr>
        <w:t xml:space="preserve">第一部分 </w:t>
      </w:r>
      <w:r>
        <w:rPr>
          <w:rStyle w:val="20"/>
          <w:rFonts w:hint="eastAsia" w:ascii="黑体" w:eastAsia="黑体" w:cs="黑体"/>
          <w:b/>
          <w:bCs w:val="0"/>
        </w:rPr>
        <w:t>部门概况</w:t>
      </w:r>
      <w:bookmarkEnd w:id="10"/>
      <w:bookmarkEnd w:id="11"/>
      <w:bookmarkEnd w:id="12"/>
    </w:p>
    <w:p>
      <w:pPr>
        <w:pStyle w:val="4"/>
        <w:ind w:firstLine="642" w:firstLineChars="200"/>
        <w:rPr>
          <w:rFonts w:ascii="黑体" w:eastAsia="黑体" w:cs="Times New Roman"/>
          <w:bCs w:val="0"/>
          <w:color w:val="000000"/>
        </w:rPr>
      </w:pPr>
      <w:bookmarkStart w:id="13" w:name="_Toc113981010"/>
      <w:bookmarkStart w:id="14" w:name="_Toc15377197"/>
      <w:bookmarkStart w:id="15" w:name="_Toc111208496"/>
      <w:r>
        <w:rPr>
          <w:rFonts w:hint="eastAsia" w:ascii="黑体" w:eastAsia="黑体" w:cs="Times New Roman"/>
          <w:bCs w:val="0"/>
          <w:color w:val="000000"/>
        </w:rPr>
        <w:t>一、基本职能及主要工作</w:t>
      </w:r>
      <w:bookmarkEnd w:id="13"/>
      <w:bookmarkEnd w:id="14"/>
      <w:bookmarkEnd w:id="15"/>
      <w:bookmarkStart w:id="16" w:name="_Toc15378445"/>
      <w:bookmarkStart w:id="17" w:name="_Toc15377198"/>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（一）主要职能</w:t>
      </w:r>
      <w:bookmarkEnd w:id="16"/>
      <w:bookmarkEnd w:id="17"/>
    </w:p>
    <w:p>
      <w:pPr>
        <w:rPr>
          <w:rFonts w:ascii="仿宋" w:eastAsia="仿宋"/>
          <w:color w:val="000000"/>
          <w:sz w:val="32"/>
          <w:szCs w:val="32"/>
        </w:rPr>
      </w:pPr>
      <w:r>
        <w:rPr>
          <w:rFonts w:ascii="仿宋" w:eastAsia="仿宋"/>
          <w:color w:val="000000"/>
          <w:sz w:val="32"/>
          <w:szCs w:val="32"/>
        </w:rPr>
        <w:br w:type="textWrapping"/>
      </w:r>
      <w:r>
        <w:rPr>
          <w:rFonts w:ascii="仿宋" w:eastAsia="仿宋"/>
          <w:color w:val="000000"/>
          <w:sz w:val="32"/>
          <w:szCs w:val="32"/>
        </w:rPr>
        <w:tab/>
      </w:r>
      <w:r>
        <w:rPr>
          <w:rFonts w:ascii="仿宋" w:eastAsia="仿宋"/>
          <w:color w:val="000000"/>
          <w:sz w:val="32"/>
          <w:szCs w:val="32"/>
        </w:rPr>
        <w:t xml:space="preserve">  （一）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 　　</w:t>
      </w:r>
    </w:p>
    <w:p>
      <w:pPr>
        <w:ind w:firstLine="320" w:firstLineChars="100"/>
        <w:rPr>
          <w:rFonts w:ascii="仿宋" w:eastAsia="仿宋"/>
          <w:color w:val="000000"/>
          <w:sz w:val="32"/>
          <w:szCs w:val="32"/>
        </w:rPr>
      </w:pPr>
      <w:r>
        <w:rPr>
          <w:rFonts w:ascii="仿宋" w:eastAsia="仿宋"/>
          <w:color w:val="000000"/>
          <w:sz w:val="32"/>
          <w:szCs w:val="32"/>
        </w:rPr>
        <w:t>（二）承担涉及全县综合运输体系的规划协调工作。会同有关部门组织编制综合运输体系规划，组织陆路、水路交通运输枢纽规划和管理；参与城市地铁、轨道交通等综合运输枢纽的规划工作。 　</w:t>
      </w:r>
    </w:p>
    <w:p>
      <w:pPr>
        <w:ind w:firstLine="320" w:firstLineChars="100"/>
        <w:rPr>
          <w:rFonts w:ascii="仿宋" w:eastAsia="仿宋"/>
          <w:color w:val="000000"/>
          <w:sz w:val="32"/>
          <w:szCs w:val="32"/>
        </w:rPr>
      </w:pPr>
      <w:r>
        <w:rPr>
          <w:rFonts w:ascii="仿宋" w:eastAsia="仿宋"/>
          <w:color w:val="000000"/>
          <w:sz w:val="32"/>
          <w:szCs w:val="32"/>
        </w:rPr>
        <w:t>（三）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 　　</w:t>
      </w:r>
    </w:p>
    <w:p>
      <w:pPr>
        <w:ind w:firstLine="320" w:firstLineChars="100"/>
        <w:rPr>
          <w:rFonts w:ascii="仿宋" w:eastAsia="仿宋"/>
          <w:color w:val="000000"/>
          <w:sz w:val="32"/>
          <w:szCs w:val="32"/>
        </w:rPr>
      </w:pPr>
      <w:r>
        <w:rPr>
          <w:rFonts w:ascii="仿宋" w:eastAsia="仿宋"/>
          <w:color w:val="000000"/>
          <w:sz w:val="32"/>
          <w:szCs w:val="32"/>
        </w:rPr>
        <w:t>（四）承担全县公路、水路建设市场监管责任。负责组织实施全市公路、水路交通运输设施建设和养护，指导农村公路建设和养护；组织协调工程建设质量和安全生产监督管理工作。 　　</w:t>
      </w:r>
    </w:p>
    <w:p>
      <w:pPr>
        <w:ind w:firstLine="320" w:firstLineChars="100"/>
        <w:rPr>
          <w:rFonts w:ascii="仿宋" w:eastAsia="仿宋"/>
          <w:color w:val="000000"/>
          <w:sz w:val="32"/>
          <w:szCs w:val="32"/>
        </w:rPr>
      </w:pPr>
      <w:r>
        <w:rPr>
          <w:rFonts w:ascii="仿宋" w:eastAsia="仿宋"/>
          <w:color w:val="000000"/>
          <w:sz w:val="32"/>
          <w:szCs w:val="32"/>
        </w:rPr>
        <w:t>（五）承担全县水上交通安全监管责任。负责水上交通安全管理、水上交通突发事件应急处置。 　　</w:t>
      </w:r>
    </w:p>
    <w:p>
      <w:pPr>
        <w:ind w:firstLine="320" w:firstLineChars="100"/>
        <w:rPr>
          <w:rFonts w:ascii="仿宋" w:eastAsia="仿宋"/>
          <w:color w:val="000000"/>
          <w:sz w:val="32"/>
          <w:szCs w:val="32"/>
        </w:rPr>
      </w:pPr>
      <w:r>
        <w:rPr>
          <w:rFonts w:ascii="仿宋" w:eastAsia="仿宋"/>
          <w:color w:val="000000"/>
          <w:sz w:val="32"/>
          <w:szCs w:val="32"/>
        </w:rPr>
        <w:t>（六）负责全县公路、水路、公共交通（含出租车）行业安全生产和应急管理工作；负责突发事件的应急处置和依法组织或参与有关事故调查处理工作。 　　</w:t>
      </w:r>
    </w:p>
    <w:p>
      <w:pPr>
        <w:ind w:firstLine="320" w:firstLineChars="100"/>
        <w:rPr>
          <w:rFonts w:ascii="仿宋" w:eastAsia="仿宋"/>
          <w:color w:val="000000"/>
          <w:sz w:val="32"/>
          <w:szCs w:val="32"/>
        </w:rPr>
      </w:pPr>
      <w:r>
        <w:rPr>
          <w:rFonts w:ascii="仿宋" w:eastAsia="仿宋"/>
          <w:color w:val="000000"/>
          <w:sz w:val="32"/>
          <w:szCs w:val="32"/>
        </w:rPr>
        <w:t>（七）负责全县交通运输的组织和结构调整，指导运输技术装备建设，协调指导城乡各种运输方式衔接；对重点物资和紧急客货运输进行调控；承担交通战备有关工作。 　　</w:t>
      </w:r>
    </w:p>
    <w:p>
      <w:pPr>
        <w:ind w:firstLine="480" w:firstLineChars="150"/>
        <w:rPr>
          <w:rFonts w:ascii="仿宋" w:eastAsia="仿宋"/>
          <w:color w:val="000000"/>
          <w:sz w:val="32"/>
          <w:szCs w:val="32"/>
        </w:rPr>
      </w:pPr>
      <w:r>
        <w:rPr>
          <w:rFonts w:ascii="仿宋" w:eastAsia="仿宋"/>
          <w:color w:val="000000"/>
          <w:sz w:val="32"/>
          <w:szCs w:val="32"/>
        </w:rPr>
        <w:t>（八）负责全县交通运输信息化建设，监测分析运行情况；开展相关统计工作，发布有关信息；组织开展公路、水路行业环境保护和节能减排工作。 　　</w:t>
      </w:r>
    </w:p>
    <w:p>
      <w:pPr>
        <w:ind w:firstLine="480" w:firstLineChars="150"/>
        <w:rPr>
          <w:rFonts w:ascii="仿宋" w:eastAsia="仿宋"/>
          <w:color w:val="000000"/>
          <w:sz w:val="32"/>
          <w:szCs w:val="32"/>
        </w:rPr>
      </w:pPr>
      <w:r>
        <w:rPr>
          <w:rFonts w:ascii="仿宋" w:eastAsia="仿宋"/>
          <w:color w:val="000000"/>
          <w:sz w:val="32"/>
          <w:szCs w:val="32"/>
        </w:rPr>
        <w:t>（九）负责全县国有交通运输基础设施建设资金的使用管理、国有资产的监督管理和保值增值工作；组织实施交通运输重点建设项目的内部审计工作。 　　</w:t>
      </w:r>
    </w:p>
    <w:p>
      <w:pPr>
        <w:ind w:firstLine="480" w:firstLineChars="150"/>
        <w:rPr>
          <w:rFonts w:ascii="仿宋" w:eastAsia="仿宋"/>
          <w:color w:val="000000"/>
          <w:sz w:val="32"/>
          <w:szCs w:val="32"/>
        </w:rPr>
      </w:pPr>
      <w:r>
        <w:rPr>
          <w:rFonts w:ascii="仿宋" w:eastAsia="仿宋"/>
          <w:color w:val="000000"/>
          <w:sz w:val="32"/>
          <w:szCs w:val="32"/>
        </w:rPr>
        <w:t>（十）组织实施交通运输行业技术标准和规范；组织技术开发和科技成果推广，推动行业科技进步。 　</w:t>
      </w:r>
    </w:p>
    <w:p>
      <w:pPr>
        <w:rPr>
          <w:rFonts w:ascii="仿宋" w:eastAsia="仿宋"/>
          <w:color w:val="000000"/>
          <w:sz w:val="32"/>
          <w:szCs w:val="32"/>
        </w:rPr>
      </w:pPr>
      <w:r>
        <w:rPr>
          <w:rFonts w:ascii="仿宋" w:eastAsia="仿宋"/>
          <w:color w:val="000000"/>
          <w:sz w:val="32"/>
          <w:szCs w:val="32"/>
        </w:rPr>
        <w:t>　 （十一）承办县政府公布的有关行政审批事项。 　</w:t>
      </w:r>
    </w:p>
    <w:p>
      <w:r>
        <w:rPr>
          <w:rFonts w:ascii="仿宋" w:eastAsia="仿宋"/>
          <w:color w:val="000000"/>
          <w:sz w:val="32"/>
          <w:szCs w:val="32"/>
        </w:rPr>
        <w:t>　 （十二）承办县政府交办的其他事项。</w:t>
      </w:r>
    </w:p>
    <w:p>
      <w:pPr>
        <w:spacing w:line="600" w:lineRule="exact"/>
        <w:ind w:firstLine="642" w:firstLineChars="200"/>
        <w:outlineLvl w:val="2"/>
        <w:rPr>
          <w:rFonts w:ascii="仿宋" w:eastAsia="仿宋"/>
          <w:b/>
          <w:color w:val="000000"/>
          <w:sz w:val="32"/>
          <w:szCs w:val="32"/>
        </w:rPr>
      </w:pPr>
      <w:bookmarkStart w:id="18" w:name="_Toc15378446"/>
      <w:bookmarkStart w:id="19" w:name="_Toc15377199"/>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18"/>
      <w:bookmarkEnd w:id="19"/>
      <w:bookmarkStart w:id="20" w:name="_Toc15377200"/>
    </w:p>
    <w:p>
      <w:pPr>
        <w:rPr>
          <w:rFonts w:ascii="仿宋" w:eastAsia="仿宋"/>
          <w:color w:val="000000"/>
          <w:sz w:val="32"/>
          <w:szCs w:val="32"/>
        </w:rPr>
      </w:pPr>
      <w:r>
        <w:rPr>
          <w:rFonts w:ascii="仿宋" w:eastAsia="仿宋"/>
          <w:color w:val="000000"/>
          <w:sz w:val="32"/>
          <w:szCs w:val="32"/>
        </w:rPr>
        <w:br w:type="textWrapping"/>
      </w:r>
      <w:r>
        <w:rPr>
          <w:rFonts w:ascii="仿宋" w:eastAsia="仿宋"/>
          <w:color w:val="000000"/>
          <w:sz w:val="32"/>
          <w:szCs w:val="32"/>
        </w:rPr>
        <w:tab/>
      </w:r>
      <w:r>
        <w:rPr>
          <w:rFonts w:ascii="仿宋" w:eastAsia="仿宋"/>
          <w:color w:val="000000"/>
          <w:sz w:val="32"/>
          <w:szCs w:val="32"/>
        </w:rPr>
        <w:t>党建设促发展</w:t>
      </w:r>
    </w:p>
    <w:p>
      <w:pPr>
        <w:ind w:firstLine="320" w:firstLineChars="100"/>
        <w:rPr>
          <w:rFonts w:ascii="仿宋" w:eastAsia="仿宋"/>
          <w:color w:val="000000"/>
          <w:sz w:val="32"/>
          <w:szCs w:val="32"/>
        </w:rPr>
      </w:pPr>
      <w:r>
        <w:rPr>
          <w:rFonts w:ascii="仿宋" w:eastAsia="仿宋"/>
          <w:color w:val="000000"/>
          <w:sz w:val="32"/>
          <w:szCs w:val="32"/>
        </w:rPr>
        <w:t xml:space="preserve">1.政治引领，涵养了良好的政治生态。强化“党史教育学习”，引导党员干部增强“四个意识”、坚定“四个自信”、坚决做到“两个维护”，确保党的各项方针政策在交通运输部门落地见效。认真组织学习贯彻党章党规，严格落实《局党组议事规则》《三重一大》，坚决执行“四个服从”和重大事项报告、民主集中制等制度，以严肃的党内政治生活提升班子解决问题、推动发展的能力。理论学习走深走实。把学习贯彻习近平新时代中国特色社会主义思想作为首要任务，抓实党组理论学习中心组等制度，举行党组中心组理论学习8次，建立周一集中学习机制。意识形态责任有效落实。修订并严格落实《意识形势工作责任清单》，设立网评员1人，及时有效处理交办网上舆情3件次。加强新闻信息宣传，讲好交通故事。加强统一战线、民族宗教及民族团结进步工作，积极发挥工会、妇联等群团组织的作用，形成凝聚行业“正能量”。 </w:t>
      </w:r>
    </w:p>
    <w:p>
      <w:pPr>
        <w:ind w:firstLine="320" w:firstLineChars="100"/>
        <w:rPr>
          <w:rFonts w:ascii="仿宋" w:eastAsia="仿宋"/>
          <w:color w:val="000000"/>
          <w:sz w:val="32"/>
          <w:szCs w:val="32"/>
        </w:rPr>
      </w:pPr>
      <w:r>
        <w:rPr>
          <w:rFonts w:ascii="仿宋" w:eastAsia="仿宋"/>
          <w:color w:val="000000"/>
          <w:sz w:val="32"/>
          <w:szCs w:val="32"/>
        </w:rPr>
        <w:t xml:space="preserve">2.落细落实，全面从严治党纵深推进。机关党建工作提质增效。严格落实“主题党日”“三会一课”党建制度，深入开展“两联一进”及“双联”、“双报到”工作，根据要求全体干部职工18人确定联系群众84户。结合“党史学习教育”活动，认真组织开展学习党章党规大讨论，党员学习教育管理得到强化。结合庆祝建党100周年，开展党建共建活动，慰问老党员活动。廉政责任压紧压实。签订党风廉政承诺书22份，制订“换届纪律及有关要求明白卡”28份，促进压力传导和责任落实。精准运用监督执纪“四种形态”，组织观看警示教育片4次，通报典型案例15次，开展干部职工廉政谈话21人次。作风建设持续用力。建立《茂县交通运输局干部管理积分制奖惩激励考核办法（试行）》、《局机关工作作风十条纪律》，通过积极推进整治形式主义、官僚主义，干部队伍建设得到加强。 </w:t>
      </w:r>
    </w:p>
    <w:p>
      <w:pPr>
        <w:ind w:firstLine="320" w:firstLineChars="100"/>
        <w:rPr>
          <w:rFonts w:ascii="仿宋" w:eastAsia="仿宋"/>
          <w:color w:val="000000"/>
          <w:sz w:val="32"/>
          <w:szCs w:val="32"/>
        </w:rPr>
      </w:pPr>
      <w:r>
        <w:rPr>
          <w:rFonts w:ascii="仿宋" w:eastAsia="仿宋"/>
          <w:color w:val="000000"/>
          <w:sz w:val="32"/>
          <w:szCs w:val="32"/>
        </w:rPr>
        <w:t xml:space="preserve">交通工程建设 </w:t>
      </w:r>
    </w:p>
    <w:p>
      <w:pPr>
        <w:numPr>
          <w:ilvl w:val="0"/>
          <w:numId w:val="1"/>
        </w:numPr>
        <w:rPr>
          <w:rFonts w:ascii="仿宋" w:eastAsia="仿宋"/>
          <w:color w:val="000000"/>
          <w:sz w:val="32"/>
          <w:szCs w:val="32"/>
        </w:rPr>
      </w:pPr>
      <w:r>
        <w:rPr>
          <w:rFonts w:ascii="仿宋" w:eastAsia="仿宋"/>
          <w:color w:val="000000"/>
          <w:sz w:val="32"/>
          <w:szCs w:val="32"/>
        </w:rPr>
        <w:t xml:space="preserve">积极配合做好川汶高速前期、茂绵公路等项目要素保障。目前川汶高速项目已完成用地预审及规范选址手续等，茂绵高速项目已完成压覆矿专项、采空区专项、地灾评估、遥感解译、全线综合遥感勘查等工作。 </w:t>
      </w:r>
    </w:p>
    <w:p>
      <w:pPr>
        <w:ind w:firstLine="320" w:firstLineChars="100"/>
        <w:rPr>
          <w:rFonts w:ascii="仿宋" w:eastAsia="仿宋"/>
          <w:color w:val="000000"/>
          <w:sz w:val="32"/>
          <w:szCs w:val="32"/>
        </w:rPr>
      </w:pPr>
      <w:r>
        <w:rPr>
          <w:rFonts w:ascii="仿宋" w:eastAsia="仿宋"/>
          <w:color w:val="000000"/>
          <w:sz w:val="32"/>
          <w:szCs w:val="32"/>
        </w:rPr>
        <w:t>2.持续推进茂（县）绵（竹）公路建设。2021年计划投资7000万，截至目前，完成投资5260万元。完成绵茂路蓝家岩隧道（阿坝端）主洞装饰工程5235米、完成平导度盖板安装5000米、完成洞外截水沟400余米、完成洞内电缆沟支架安装4800米、完成洞外拦渣坝清淤10000余方、完成洞外绿化工程25000余平方米。截至目前，绵茂路蓝家岩隧道（阿坝端）土建主体工程已全面完工。10月27日绵茂路蓝家岩隧道整体贯通。</w:t>
      </w:r>
    </w:p>
    <w:p>
      <w:pPr>
        <w:ind w:firstLine="320" w:firstLineChars="100"/>
        <w:rPr>
          <w:rFonts w:ascii="仿宋" w:eastAsia="仿宋"/>
          <w:color w:val="000000"/>
          <w:sz w:val="32"/>
          <w:szCs w:val="32"/>
        </w:rPr>
      </w:pPr>
      <w:r>
        <w:rPr>
          <w:rFonts w:ascii="仿宋" w:eastAsia="仿宋"/>
          <w:color w:val="000000"/>
          <w:sz w:val="32"/>
          <w:szCs w:val="32"/>
        </w:rPr>
        <w:t xml:space="preserve"> 3.持续推进茂（县）红（原）公路建设。总投资39158.0447万元，累计完成投资35180.6739万元，本年度至今完成投资3570.03万元,已完成总投资的89.84%。</w:t>
      </w:r>
    </w:p>
    <w:p>
      <w:pPr>
        <w:ind w:firstLine="320" w:firstLineChars="100"/>
        <w:rPr>
          <w:rFonts w:ascii="仿宋" w:eastAsia="仿宋"/>
          <w:color w:val="000000"/>
          <w:sz w:val="32"/>
          <w:szCs w:val="32"/>
        </w:rPr>
      </w:pPr>
      <w:r>
        <w:rPr>
          <w:rFonts w:ascii="仿宋" w:eastAsia="仿宋"/>
          <w:color w:val="000000"/>
          <w:sz w:val="32"/>
          <w:szCs w:val="32"/>
        </w:rPr>
        <w:t xml:space="preserve"> 4.继续推进“8.16”农村公路灾后恢复重建。共实施项目工34个，总投资2942万元。截至目前，已支付资金1075.045万元，剩余质保金17.779561万元，净结余1.601115万元；松黑路、渭永路，总投资1597万元，现松黑路已完成工可编制和施工图设计；渭永路已完成财评工作，现正在进行施工单位招标工作，12月1日，完成技术现场交底工作，其它专项正在办理中。</w:t>
      </w:r>
    </w:p>
    <w:p>
      <w:pPr>
        <w:ind w:firstLine="320" w:firstLineChars="100"/>
        <w:rPr>
          <w:rFonts w:ascii="仿宋" w:eastAsia="仿宋"/>
          <w:color w:val="000000"/>
          <w:sz w:val="32"/>
          <w:szCs w:val="32"/>
        </w:rPr>
      </w:pPr>
      <w:r>
        <w:rPr>
          <w:rFonts w:ascii="仿宋" w:eastAsia="仿宋"/>
          <w:color w:val="000000"/>
          <w:sz w:val="32"/>
          <w:szCs w:val="32"/>
        </w:rPr>
        <w:t xml:space="preserve"> 5.实施茂县统筹整合财政涉农资金交通建设项目方面。建设项目47个，项目总投资2018.59万元。目前，已全部完工并完成办结，支付工程款1842.17万元，质保金56.06万元，净结余120.36万元。</w:t>
      </w:r>
    </w:p>
    <w:p>
      <w:pPr>
        <w:ind w:firstLine="320" w:firstLineChars="100"/>
        <w:rPr>
          <w:rFonts w:ascii="仿宋" w:eastAsia="仿宋"/>
          <w:color w:val="000000"/>
          <w:sz w:val="32"/>
          <w:szCs w:val="32"/>
        </w:rPr>
      </w:pPr>
      <w:r>
        <w:rPr>
          <w:rFonts w:ascii="仿宋" w:eastAsia="仿宋"/>
          <w:color w:val="000000"/>
          <w:sz w:val="32"/>
          <w:szCs w:val="32"/>
        </w:rPr>
        <w:t xml:space="preserve"> 6.实施G347线茂县土门镇至凤仪镇段灾毁修复整治工程方面。2020年12月22日，州交通运输局以《关于加快推进“8.10”暴雨洪灾灾后修复整治普通国道项目前期工作的通知》（阿州交规划〔2020〕527号）文件，下达我县G347线茂县土门镇至凤仪镇段灾毁修复整治工程（原文件项目名称为G347线茂县与北川交界至茂德路交接口段灾毁修复整治工程，工可评审时要求将原项目调整为现项目名称），修复整治6.37公里，项目估算总投资14199万元（其中:中央、省级补助7099万元，地方自筹解决7100万元)。经四川省公路规划勘察设计研究院有限公司现场勘察设计，灾毁修复整治70处，建设规模4.095公里，修复整治路基、拦挡墙、破损路面、交安恢复及新建暗板桥、涵洞等，估算总投资13600万元，其中：建安费约12372万元。截至目前，一是完成工可报告、社会稳定评价，选址意见书、立项批复、勘察设计初设方案评审待省厅批复、施工图评审工作;二是现已公开比选完成监理单位、施工单位招标代理公司，近期将开展招标文件编制工作；三是正在实施水土保持方案、环评报告编制工作；四是正在公开挂网采购行洪论证、水保监测、水保验收编制单位； </w:t>
      </w:r>
    </w:p>
    <w:p>
      <w:pPr>
        <w:ind w:firstLine="320" w:firstLineChars="100"/>
        <w:rPr>
          <w:rFonts w:ascii="仿宋" w:eastAsia="仿宋"/>
          <w:color w:val="000000"/>
          <w:sz w:val="32"/>
          <w:szCs w:val="32"/>
        </w:rPr>
      </w:pPr>
      <w:r>
        <w:rPr>
          <w:rFonts w:ascii="仿宋" w:eastAsia="仿宋"/>
          <w:color w:val="000000"/>
          <w:sz w:val="32"/>
          <w:szCs w:val="32"/>
        </w:rPr>
        <w:t xml:space="preserve">7.有序推动省“金通工程”样板县创建工作。“金通工程”总投资375.22万元，资金支付进度100%。目前，正在整理完善相关软件资料，准备迎检。 </w:t>
      </w:r>
    </w:p>
    <w:p>
      <w:pPr>
        <w:ind w:firstLine="320" w:firstLineChars="100"/>
        <w:rPr>
          <w:rFonts w:ascii="仿宋" w:eastAsia="仿宋"/>
          <w:color w:val="000000"/>
          <w:sz w:val="32"/>
          <w:szCs w:val="32"/>
        </w:rPr>
      </w:pPr>
      <w:r>
        <w:rPr>
          <w:rFonts w:ascii="仿宋" w:eastAsia="仿宋"/>
          <w:color w:val="000000"/>
          <w:sz w:val="32"/>
          <w:szCs w:val="32"/>
        </w:rPr>
        <w:t>道路保通保畅</w:t>
      </w:r>
    </w:p>
    <w:p>
      <w:pPr>
        <w:ind w:firstLine="320" w:firstLineChars="100"/>
        <w:rPr>
          <w:rFonts w:ascii="仿宋" w:eastAsia="仿宋"/>
          <w:color w:val="000000"/>
          <w:sz w:val="32"/>
          <w:szCs w:val="32"/>
        </w:rPr>
      </w:pPr>
      <w:r>
        <w:rPr>
          <w:rFonts w:ascii="仿宋" w:eastAsia="仿宋"/>
          <w:color w:val="000000"/>
          <w:sz w:val="32"/>
          <w:szCs w:val="32"/>
        </w:rPr>
        <w:t xml:space="preserve">1.加大道路巡查力度和养护工作。加强与县公路分局对接，切实做好冬季路段安全隐患排查及防治工作。将14台装载机分别停放在易垮、易坍方路段，做到随垮随推,随坍随抢及时清理。截至目前，开展道路巡查450余人次，出动车辆150余车次，查处安全隐患1处，整改1处，增设临时警示标志标牌59副，修复校正19副警示标志牌，修补路面坑凼150平方米，修复损坏波形防护栏、缆索护栏共计44余米，增设波形护栏44余米，规范涉路施工路段“抛、撒、滴、漏”运输车辆15余车次，实现了路况良好、安全畅通，未发生一起因道路管理不善出现的重大事故。 </w:t>
      </w:r>
    </w:p>
    <w:p>
      <w:pPr>
        <w:ind w:firstLine="320" w:firstLineChars="100"/>
        <w:rPr>
          <w:rFonts w:ascii="仿宋" w:eastAsia="仿宋"/>
          <w:color w:val="000000"/>
          <w:sz w:val="32"/>
          <w:szCs w:val="32"/>
        </w:rPr>
      </w:pPr>
      <w:r>
        <w:rPr>
          <w:rFonts w:ascii="仿宋" w:eastAsia="仿宋"/>
          <w:color w:val="000000"/>
          <w:sz w:val="32"/>
          <w:szCs w:val="32"/>
        </w:rPr>
        <w:t xml:space="preserve">2.全面做好文旅大会道路保畅工作。安排落实清扫车5台、洒水车4台，开展机械养护和道路保障。清理国道213线公路墙体广告标志112幅，清除重复标识标牌33处，设置警示反光桩7处，清理破损主动网44处，清理破损被动网13处，对全线公路路基缺口堆放的土堆警示进行加铺防尘网6处，清理公路两侧土堆和孤石132处，设立危险路段标志标牌26幅。协助抓好州国投、州公路局G213线（茂县段）大中修及病害整治服务工作。期间，完成原路面铣刨铺筑52.271公里，桥梁桩基永久性钢护筒加固维修14根，更换桥面伸缩缝36根，文化墙涂装彩绘约15950米，安装被动防护网1000平方米，提升波形护栏9572米，标线施划52.217公里。 </w:t>
      </w:r>
    </w:p>
    <w:p>
      <w:pPr>
        <w:ind w:firstLine="320" w:firstLineChars="100"/>
        <w:rPr>
          <w:rFonts w:ascii="仿宋" w:eastAsia="仿宋"/>
          <w:color w:val="000000"/>
          <w:sz w:val="32"/>
          <w:szCs w:val="32"/>
        </w:rPr>
      </w:pPr>
      <w:r>
        <w:rPr>
          <w:rFonts w:ascii="仿宋" w:eastAsia="仿宋"/>
          <w:color w:val="000000"/>
          <w:sz w:val="32"/>
          <w:szCs w:val="32"/>
        </w:rPr>
        <w:t>3.抓好农村公路保通保畅工作。一是督促各镇人民政府做好对农村公路的养护和保通工作。二是我局安排机械对部分农村公路塌方路段进行清理，共安排机械210台次对农村公路进行清理，共清理塌方约1.2万余方，确保了道路安全畅通。</w:t>
      </w:r>
    </w:p>
    <w:p>
      <w:pPr>
        <w:pStyle w:val="4"/>
        <w:ind w:firstLine="642" w:firstLineChars="200"/>
        <w:rPr>
          <w:rFonts w:ascii="黑体" w:eastAsia="黑体" w:cs="Times New Roman"/>
          <w:bCs w:val="0"/>
          <w:color w:val="000000"/>
        </w:rPr>
      </w:pPr>
      <w:bookmarkStart w:id="21" w:name="_Toc113981011"/>
      <w:bookmarkStart w:id="22" w:name="_Toc111208497"/>
      <w:r>
        <w:rPr>
          <w:rFonts w:hint="eastAsia" w:ascii="黑体" w:eastAsia="黑体" w:cs="Times New Roman"/>
          <w:bCs w:val="0"/>
          <w:color w:val="000000"/>
        </w:rPr>
        <w:t>二、机构设置</w:t>
      </w:r>
      <w:bookmarkEnd w:id="20"/>
      <w:bookmarkEnd w:id="21"/>
      <w:bookmarkEnd w:id="22"/>
    </w:p>
    <w:p>
      <w:pPr>
        <w:rPr>
          <w:rFonts w:ascii="仿宋" w:eastAsia="仿宋"/>
          <w:color w:val="000000"/>
          <w:sz w:val="32"/>
          <w:szCs w:val="32"/>
        </w:rPr>
      </w:pPr>
      <w:r>
        <w:rPr>
          <w:rFonts w:ascii="仿宋" w:eastAsia="仿宋"/>
          <w:color w:val="000000"/>
          <w:sz w:val="32"/>
          <w:szCs w:val="32"/>
        </w:rPr>
        <w:br w:type="textWrapping"/>
      </w:r>
      <w:r>
        <w:rPr>
          <w:rFonts w:ascii="仿宋" w:eastAsia="仿宋"/>
          <w:color w:val="000000"/>
          <w:sz w:val="32"/>
          <w:szCs w:val="32"/>
        </w:rPr>
        <w:tab/>
      </w:r>
      <w:r>
        <w:rPr>
          <w:rFonts w:ascii="仿宋" w:eastAsia="仿宋"/>
          <w:color w:val="000000"/>
          <w:sz w:val="32"/>
          <w:szCs w:val="32"/>
        </w:rPr>
        <w:t>交通局内设3股一室  1.办公室2.财务股3.运输安全股4. 工程股。 年末在职7人（其中公务员5人，机关工勤2人），退休10人，遗属2人。</w:t>
      </w:r>
    </w:p>
    <w:p>
      <w:pPr>
        <w:widowControl/>
        <w:jc w:val="left"/>
        <w:rPr>
          <w:rFonts w:ascii="仿宋_GB2312" w:eastAsia="仿宋_GB2312"/>
          <w:b/>
          <w:bCs/>
          <w:color w:val="000000"/>
          <w:kern w:val="44"/>
          <w:sz w:val="44"/>
          <w:szCs w:val="44"/>
        </w:rPr>
      </w:pPr>
      <w:bookmarkStart w:id="23" w:name="_Toc15377204"/>
      <w:r>
        <w:rPr>
          <w:rFonts w:ascii="仿宋_GB2312" w:eastAsia="仿宋_GB2312"/>
          <w:color w:val="000000"/>
        </w:rPr>
        <w:br w:type="page"/>
      </w:r>
    </w:p>
    <w:p>
      <w:pPr>
        <w:pStyle w:val="3"/>
        <w:jc w:val="center"/>
        <w:rPr>
          <w:rFonts w:ascii="黑体" w:eastAsia="黑体" w:cs="黑体"/>
        </w:rPr>
      </w:pPr>
      <w:bookmarkStart w:id="24" w:name="_Toc113981012"/>
      <w:bookmarkStart w:id="25" w:name="_Toc111208498"/>
      <w:r>
        <w:rPr>
          <w:rFonts w:hint="eastAsia" w:ascii="黑体" w:eastAsia="黑体" w:cs="黑体"/>
        </w:rPr>
        <w:t>第二部分</w:t>
      </w:r>
      <w:r>
        <w:rPr>
          <w:rFonts w:ascii="黑体" w:eastAsia="黑体" w:cs="黑体"/>
        </w:rPr>
        <w:t xml:space="preserve"> </w:t>
      </w:r>
      <w:r>
        <w:rPr>
          <w:rFonts w:hint="eastAsia" w:ascii="黑体" w:eastAsia="黑体" w:cs="黑体"/>
        </w:rPr>
        <w:t>2021年度部门决算情况说明</w:t>
      </w:r>
      <w:bookmarkEnd w:id="23"/>
      <w:bookmarkEnd w:id="24"/>
      <w:bookmarkEnd w:id="25"/>
    </w:p>
    <w:p>
      <w:pPr>
        <w:pStyle w:val="4"/>
        <w:ind w:firstLine="642" w:firstLineChars="200"/>
        <w:rPr>
          <w:rFonts w:ascii="黑体" w:eastAsia="黑体" w:cs="Times New Roman"/>
          <w:bCs w:val="0"/>
          <w:color w:val="000000"/>
        </w:rPr>
      </w:pPr>
      <w:bookmarkStart w:id="26" w:name="_Toc15377205"/>
      <w:bookmarkStart w:id="27" w:name="_Toc113981013"/>
      <w:bookmarkStart w:id="28" w:name="_Toc111208499"/>
      <w:r>
        <w:rPr>
          <w:rFonts w:hint="eastAsia" w:ascii="黑体" w:eastAsia="黑体" w:cs="Times New Roman"/>
          <w:bCs w:val="0"/>
          <w:color w:val="000000"/>
        </w:rPr>
        <w:t>一、收入支出决算总体情况说</w:t>
      </w:r>
      <w:bookmarkEnd w:id="26"/>
      <w:r>
        <w:rPr>
          <w:rFonts w:hint="eastAsia" w:ascii="黑体" w:eastAsia="黑体" w:cs="Times New Roman"/>
          <w:bCs w:val="0"/>
          <w:color w:val="000000"/>
        </w:rPr>
        <w:t>明</w:t>
      </w:r>
      <w:bookmarkEnd w:id="27"/>
      <w:bookmarkEnd w:id="28"/>
    </w:p>
    <w:p>
      <w:pPr>
        <w:spacing w:line="600" w:lineRule="exact"/>
        <w:ind w:firstLine="640" w:firstLineChars="200"/>
        <w:rPr>
          <w:rFonts w:ascii="仿宋_GB2312" w:eastAsia="仿宋_GB2312"/>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4840.85</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减少2671.85</w:t>
      </w:r>
      <w:r>
        <w:rPr>
          <w:rFonts w:hint="eastAsia" w:ascii="仿宋" w:eastAsia="仿宋"/>
          <w:color w:val="000000"/>
          <w:sz w:val="32"/>
          <w:szCs w:val="32"/>
        </w:rPr>
        <w:t>万元，</w:t>
      </w:r>
      <w:r>
        <w:rPr>
          <w:rFonts w:ascii="仿宋" w:eastAsia="仿宋"/>
          <w:color w:val="000000"/>
          <w:sz w:val="32"/>
          <w:szCs w:val="32"/>
        </w:rPr>
        <w:t>减少35.56</w:t>
      </w:r>
      <w:r>
        <w:rPr>
          <w:rFonts w:hint="eastAsia" w:ascii="仿宋" w:eastAsia="仿宋"/>
          <w:color w:val="000000"/>
          <w:sz w:val="32"/>
          <w:szCs w:val="32"/>
        </w:rPr>
        <w:t xml:space="preserve"> %。主要变动原因是支付往年项目质保金</w:t>
      </w:r>
    </w:p>
    <w:p>
      <w:pPr>
        <w:spacing w:line="600" w:lineRule="exact"/>
        <w:ind w:firstLine="640" w:firstLineChars="200"/>
        <w:rPr>
          <w:rFonts w:ascii="仿宋_GB2312" w:eastAsia="仿宋_GB2312"/>
          <w:color w:val="000000"/>
          <w:sz w:val="28"/>
          <w:szCs w:val="28"/>
        </w:rPr>
      </w:pPr>
      <w:r>
        <w:rPr>
          <w:rFonts w:hint="eastAsia" w:asci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29" w:name="_Toc113981014"/>
      <w:bookmarkStart w:id="30" w:name="_Toc15377206"/>
      <w:bookmarkStart w:id="31" w:name="_Toc111208500"/>
      <w:r>
        <w:rPr>
          <w:rFonts w:hint="eastAsia" w:ascii="黑体" w:eastAsia="黑体" w:cs="Times New Roman"/>
          <w:bCs w:val="0"/>
          <w:color w:val="000000"/>
        </w:rPr>
        <w:t>二、收入决算情况说明</w:t>
      </w:r>
      <w:bookmarkEnd w:id="29"/>
      <w:bookmarkEnd w:id="30"/>
      <w:bookmarkEnd w:id="31"/>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本年收入合计2981.72万元，其中：一般公共预算财政拨款收入2888.10万元，占96.86%；政府性基金预算财政拨款收入93.62万元，占3.14%；国有资本经营预算财政拨款收入0.00万元，占0.00%；上级补助收入0.00万元，占0.00%；事业收入0.00万元，占%；经营收入0.00万元，占0.00%；附属单位上缴收入0.00万元，占0.00%；其他收入0.00万元，占0.00%。</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（图2：收入决算结构图）</w:t>
      </w:r>
    </w:p>
    <w:p>
      <w:pPr>
        <w:pStyle w:val="13"/>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2" w:name="_Toc111208501"/>
      <w:bookmarkStart w:id="33" w:name="_Toc113981015"/>
      <w:bookmarkStart w:id="34" w:name="_Toc15377207"/>
      <w:r>
        <w:rPr>
          <w:rFonts w:hint="eastAsia" w:ascii="黑体" w:eastAsia="黑体" w:cs="Times New Roman"/>
          <w:bCs w:val="0"/>
          <w:color w:val="000000"/>
        </w:rPr>
        <w:t>三、支出决算情况说明</w:t>
      </w:r>
      <w:bookmarkEnd w:id="32"/>
      <w:bookmarkEnd w:id="33"/>
      <w:bookmarkEnd w:id="34"/>
    </w:p>
    <w:p>
      <w:pPr>
        <w:pStyle w:val="2"/>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4840.85</w:t>
      </w:r>
      <w:r>
        <w:rPr>
          <w:rFonts w:ascii="仿宋" w:eastAsia="仿宋"/>
          <w:color w:val="000000"/>
          <w:sz w:val="32"/>
          <w:szCs w:val="32"/>
        </w:rPr>
        <w:t>万元，其中：基本支出</w:t>
      </w:r>
      <w:r>
        <w:rPr>
          <w:rFonts w:hint="eastAsia" w:ascii="仿宋" w:eastAsia="仿宋"/>
          <w:color w:val="000000"/>
          <w:sz w:val="32"/>
          <w:szCs w:val="32"/>
        </w:rPr>
        <w:t>160.63</w:t>
      </w:r>
      <w:r>
        <w:rPr>
          <w:rFonts w:ascii="仿宋" w:eastAsia="仿宋"/>
          <w:color w:val="000000"/>
          <w:sz w:val="32"/>
          <w:szCs w:val="32"/>
        </w:rPr>
        <w:t>万元，占</w:t>
      </w:r>
      <w:r>
        <w:rPr>
          <w:rFonts w:hint="eastAsia" w:ascii="仿宋" w:eastAsia="仿宋"/>
          <w:color w:val="000000"/>
          <w:sz w:val="32"/>
          <w:szCs w:val="32"/>
        </w:rPr>
        <w:t>3.32</w:t>
      </w:r>
      <w:r>
        <w:rPr>
          <w:rFonts w:ascii="仿宋" w:eastAsia="仿宋"/>
          <w:color w:val="000000"/>
          <w:sz w:val="32"/>
          <w:szCs w:val="32"/>
        </w:rPr>
        <w:t>%；项目支出</w:t>
      </w:r>
      <w:r>
        <w:rPr>
          <w:rFonts w:hint="eastAsia" w:ascii="仿宋" w:eastAsia="仿宋"/>
          <w:color w:val="000000"/>
          <w:sz w:val="32"/>
          <w:szCs w:val="32"/>
        </w:rPr>
        <w:t>4680.22</w:t>
      </w:r>
      <w:r>
        <w:rPr>
          <w:rFonts w:ascii="仿宋" w:eastAsia="仿宋"/>
          <w:color w:val="000000"/>
          <w:sz w:val="32"/>
          <w:szCs w:val="32"/>
        </w:rPr>
        <w:t>万元，占</w:t>
      </w:r>
      <w:r>
        <w:rPr>
          <w:rFonts w:hint="eastAsia" w:ascii="仿宋" w:eastAsia="仿宋"/>
          <w:color w:val="000000"/>
          <w:sz w:val="32"/>
          <w:szCs w:val="32"/>
        </w:rPr>
        <w:t>96.68</w:t>
      </w:r>
      <w:r>
        <w:rPr>
          <w:rFonts w:ascii="仿宋" w:eastAsia="仿宋"/>
          <w:color w:val="000000"/>
          <w:sz w:val="32"/>
          <w:szCs w:val="32"/>
        </w:rPr>
        <w:t>%；上缴上级支出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%；经营支出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%；对附属单位补助支出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3520" cy="3429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5" w:name="_Toc113981016"/>
      <w:bookmarkStart w:id="36" w:name="_Toc15377208"/>
      <w:bookmarkStart w:id="37" w:name="_Toc111208502"/>
      <w:r>
        <w:rPr>
          <w:rFonts w:hint="eastAsia" w:ascii="黑体" w:eastAsia="黑体" w:cs="Times New Roman"/>
          <w:bCs w:val="0"/>
          <w:color w:val="000000"/>
        </w:rPr>
        <w:t>四、财政拨款收入支出决算总体情况说明</w:t>
      </w:r>
      <w:bookmarkEnd w:id="35"/>
      <w:bookmarkEnd w:id="36"/>
      <w:bookmarkEnd w:id="37"/>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2021年财政拨款收、支总计4840.85万元。与2020年相比，财政拨款收、支总计各减少2671.85万元，减少35.56 %。主要变动原因是支付往年项目质保金</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ind w:firstLine="0"/>
      </w:pPr>
    </w:p>
    <w:p>
      <w:pPr>
        <w:pStyle w:val="2"/>
        <w:jc w:val="left"/>
      </w:pPr>
      <w:r>
        <w:rPr>
          <w:rFonts w:hint="eastAsia" w:ascii="仿宋_GB2312" w:eastAsia="仿宋_GB2312"/>
          <w:color w:val="000000"/>
          <w:sz w:val="32"/>
          <w:szCs w:val="32"/>
        </w:rPr>
        <w:drawing>
          <wp:inline distT="0" distB="0" distL="0" distR="0">
            <wp:extent cx="4981575" cy="3171825"/>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38" w:name="_Toc15377209"/>
      <w:bookmarkStart w:id="39" w:name="_Toc113981017"/>
      <w:bookmarkStart w:id="40" w:name="_Toc111208503"/>
      <w:r>
        <w:rPr>
          <w:rFonts w:hint="eastAsia" w:ascii="黑体" w:eastAsia="黑体" w:cs="Times New Roman"/>
          <w:bCs w:val="0"/>
          <w:color w:val="000000"/>
        </w:rPr>
        <w:t>五、一般公共预算财政拨款支出决算情况说</w:t>
      </w:r>
      <w:bookmarkEnd w:id="38"/>
      <w:r>
        <w:rPr>
          <w:rFonts w:hint="eastAsia" w:ascii="黑体" w:eastAsia="黑体" w:cs="Times New Roman"/>
          <w:bCs w:val="0"/>
          <w:color w:val="000000"/>
        </w:rPr>
        <w:t>明</w:t>
      </w:r>
      <w:bookmarkEnd w:id="39"/>
      <w:bookmarkEnd w:id="40"/>
    </w:p>
    <w:p>
      <w:pPr>
        <w:spacing w:line="600" w:lineRule="exact"/>
        <w:ind w:firstLine="642" w:firstLineChars="200"/>
        <w:outlineLvl w:val="2"/>
        <w:rPr>
          <w:rFonts w:ascii="仿宋" w:eastAsia="仿宋"/>
          <w:b/>
          <w:color w:val="000000"/>
          <w:sz w:val="32"/>
          <w:szCs w:val="32"/>
        </w:rPr>
      </w:pPr>
      <w:bookmarkStart w:id="41" w:name="_Toc15377210"/>
      <w:r>
        <w:rPr>
          <w:rFonts w:hint="eastAsia" w:ascii="仿宋" w:eastAsia="仿宋"/>
          <w:b/>
          <w:color w:val="000000"/>
          <w:sz w:val="32"/>
          <w:szCs w:val="32"/>
        </w:rPr>
        <w:t>（一）一般公共预算财政拨款支出决算总体情况</w:t>
      </w:r>
      <w:bookmarkEnd w:id="41"/>
    </w:p>
    <w:p>
      <w:pPr>
        <w:spacing w:line="600" w:lineRule="exact"/>
        <w:ind w:firstLine="640" w:firstLineChars="200"/>
        <w:rPr>
          <w:rFonts w:ascii="仿宋_GB2312" w:eastAsia="仿宋_GB2312"/>
          <w:color w:val="000000"/>
          <w:sz w:val="32"/>
          <w:szCs w:val="32"/>
        </w:rPr>
      </w:pPr>
      <w:bookmarkStart w:id="42" w:name="_Toc15377211"/>
      <w:r>
        <w:rPr>
          <w:rFonts w:hint="eastAsia" w:ascii="仿宋" w:eastAsia="仿宋"/>
          <w:color w:val="000000"/>
          <w:sz w:val="32"/>
          <w:szCs w:val="32"/>
        </w:rPr>
        <w:t>2021年一般公共预算财政拨款支出4747.23万元，占本年支出合计的98.07%。与2020相比，一般公共预算财政拨款增加1868.73万元，增加64.92 %。主要变动原因是支付往年项目质保金</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r>
        <w:rPr>
          <w:rFonts w:hint="eastAsia" w:ascii="仿宋_GB2312" w:eastAsia="仿宋_GB2312"/>
          <w:b/>
          <w:color w:val="000000"/>
          <w:sz w:val="32"/>
          <w:szCs w:val="32"/>
        </w:rPr>
        <w:drawing>
          <wp:inline distT="0" distB="0" distL="0" distR="0">
            <wp:extent cx="4904740" cy="3569970"/>
            <wp:effectExtent l="0" t="0" r="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eastAsia="仿宋_GB2312"/>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2"/>
      <w:r>
        <w:rPr>
          <w:rFonts w:hint="eastAsia" w:ascii="仿宋" w:eastAsia="仿宋"/>
          <w:b/>
          <w:color w:val="000000"/>
          <w:sz w:val="32"/>
          <w:szCs w:val="32"/>
        </w:rPr>
        <w:t>（一般公共预算收支表）</w:t>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2021年一般公共预算财政拨款支出4747.23万元，主要用于以下方面:社会保障和就业支出137.10万元，占2.89%；卫生健康支出8.33万元，占0.18%；农林水支出2536.96万元，占53.44%；交通运输支出2016.67万元，占42.48%；住房保障支出11.11万元，占0.23%；其他支出37.06万元，占0.78%。</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3" w:name="_Toc15377212"/>
    </w:p>
    <w:p>
      <w:pPr>
        <w:pStyle w:val="2"/>
      </w:pPr>
      <w:r>
        <w:drawing>
          <wp:inline distT="0" distB="0" distL="0" distR="0">
            <wp:extent cx="4333240" cy="2886075"/>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3"/>
    </w:p>
    <w:p>
      <w:pPr>
        <w:spacing w:line="600" w:lineRule="exact"/>
        <w:ind w:firstLine="640"/>
        <w:rPr>
          <w:rFonts w:ascii="仿宋" w:eastAsia="仿宋"/>
          <w:color w:val="000000"/>
          <w:sz w:val="32"/>
          <w:szCs w:val="32"/>
        </w:rPr>
      </w:pPr>
      <w:bookmarkStart w:id="44" w:name="_Toc15378460"/>
      <w:bookmarkStart w:id="45" w:name="_Toc15377444"/>
      <w:bookmarkStart w:id="46" w:name="_Toc15377213"/>
      <w:r>
        <w:rPr>
          <w:rFonts w:hint="eastAsia" w:ascii="仿宋" w:eastAsia="仿宋"/>
          <w:color w:val="000000"/>
          <w:sz w:val="32"/>
          <w:szCs w:val="32"/>
        </w:rPr>
        <w:t>2021年一般公共预算支出决算数为4747.23万元，完成预算100%。其中：</w:t>
      </w:r>
      <w:bookmarkEnd w:id="44"/>
      <w:bookmarkEnd w:id="45"/>
      <w:bookmarkEnd w:id="46"/>
    </w:p>
    <w:p>
      <w:pPr>
        <w:spacing w:line="600" w:lineRule="exact"/>
        <w:ind w:firstLine="640"/>
        <w:rPr>
          <w:rFonts w:ascii="仿宋" w:eastAsia="仿宋"/>
          <w:color w:val="000000"/>
          <w:sz w:val="32"/>
          <w:szCs w:val="32"/>
        </w:rPr>
      </w:pPr>
      <w:r>
        <w:rPr>
          <w:rFonts w:hint="eastAsia" w:ascii="仿宋" w:eastAsia="仿宋"/>
          <w:color w:val="000000"/>
          <w:sz w:val="32"/>
          <w:szCs w:val="32"/>
        </w:rPr>
        <w:t>1.社会保障和就业支出（208）行政事业单位养老支出（20805）机关事业单位基本养老保险缴费支出（2080505）支出决算10.07万元，完成预算100%。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2.社会保障和就业支出（208）行政事业单位养老支出（20805）机关事业单位职业年金缴费支出（2080506）支出决算5.03万元，完成预算100%。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3.社会保障和就业支出（208）其他社会保障和就业支出（20899）其他社会保障和就业支出（2089999）支出决算122.00万元，完成预算100%。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4.卫生健康支出（210）行政事业单位医疗（21011）行政单位医疗（2101101）支出决算8.33万元，完成预算100%。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5.农林水支出（213）农业农村（21301）农村道路建设（2130142）支出决算37.18万元，完成预算100%。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6.农林水支出（213）扶贫（21305）农村基础设施建设（2130504）支出决算563.21万元，完成预算100%。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7.农林水支出（213）扶贫（21305）其他扶贫支出（2130599）支出决算1936.57万元，完成预算100%。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8.交通运输支出（214）公路水路运输（21401）行政运行（2140101）支出决算126.09万元，完成预算100%。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9.交通运输支出（214）公路水路运输（21401）公路建设（2140104）支出决算285.03万元，完成预算100%。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10.交通运输支出（214）公路水路运输（21401）公路养护（2140106）支出决算103.52万元，完成预算100%。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11.交通运输支出（214）公路水路运输（21401）其他公路水路运输支出（2140199）支出决算1252.93万元，完成预算100%。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12.交通运输支出（214）成品油价格改革对交通运输的补贴（21404）对农村道路客运的补贴（2140402）支出决算29.00万元，完成预算100%。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13.交通运输支出（214）成品油价格改革对交通运输的补贴（21404）成品油价格改革补贴其他支出（2140499）支出决算120.40万元，完成预算100%。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14.交通运输支出（214）其他交通运输支出（21499）公共交通运营补助（2149901）支出决算27.68万元，完成预算100%。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15.交通运输支出（214）其他交通运输支出（21499）其他交通运输支出（2149999）支出决算72.03万元，完成预算100%。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16.住房保障支出（221）住房改革支出（22102）住房公积金（2210201）支出决算10.09万元，完成预算100%。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17.住房保障支出（221）住房改革支出（22102）购房补贴（2210203）支出决算1.02万元，完成预算100%。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18.其他支出（229）其他支出（22999）其他支出（2299999）支出决算37.06万元，完成预算100%。</w:t>
      </w:r>
    </w:p>
    <w:p>
      <w:pPr>
        <w:pStyle w:val="4"/>
        <w:ind w:firstLine="642" w:firstLineChars="200"/>
        <w:rPr>
          <w:rFonts w:ascii="黑体" w:eastAsia="黑体" w:cs="Times New Roman"/>
          <w:b w:val="0"/>
          <w:color w:val="000000"/>
        </w:rPr>
      </w:pPr>
      <w:bookmarkStart w:id="47" w:name="_Toc15377214"/>
      <w:bookmarkStart w:id="48" w:name="_Toc113981018"/>
      <w:bookmarkStart w:id="49" w:name="_Toc111208504"/>
      <w:r>
        <w:rPr>
          <w:rFonts w:hint="eastAsia" w:ascii="黑体" w:eastAsia="黑体" w:cs="Times New Roman"/>
          <w:bCs w:val="0"/>
          <w:color w:val="000000"/>
        </w:rPr>
        <w:t>六、一般公共预算财政拨款基本支出决算情况说</w:t>
      </w:r>
      <w:bookmarkEnd w:id="47"/>
      <w:r>
        <w:rPr>
          <w:rFonts w:hint="eastAsia" w:ascii="黑体" w:eastAsia="黑体" w:cs="Times New Roman"/>
          <w:bCs w:val="0"/>
          <w:color w:val="000000"/>
        </w:rPr>
        <w:t>明</w:t>
      </w:r>
      <w:bookmarkEnd w:id="48"/>
      <w:bookmarkEnd w:id="49"/>
    </w:p>
    <w:p>
      <w:pPr>
        <w:spacing w:line="600" w:lineRule="exact"/>
        <w:ind w:firstLine="640"/>
        <w:rPr>
          <w:rFonts w:ascii="仿宋" w:eastAsia="仿宋"/>
          <w:color w:val="000000"/>
          <w:sz w:val="32"/>
          <w:szCs w:val="32"/>
        </w:rPr>
      </w:pPr>
      <w:r>
        <w:rPr>
          <w:rFonts w:hint="eastAsia" w:ascii="仿宋" w:eastAsia="仿宋"/>
          <w:color w:val="000000"/>
          <w:sz w:val="32"/>
          <w:szCs w:val="32"/>
        </w:rPr>
        <w:t>2021年一般公共预算财政拨款基本支出160.63万元，其中：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151.09万元，主要包括：基本工资31.45万元、津贴补贴31.61万元、奖金30.87万元、机关事业单位基本养老保险缴费10.07万元、职业年金缴费5.03万元、职工基本医疗保险缴费8.33万元、其他社会保障缴费0.29万元、住房公积金10.09万元、医疗费1.56万元、生活补助21.66万元、医疗费补助0.08万元、奖励金0.05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公用经费9.54万元，主要包括：办公费2.99万元、邮电费0.68万元、差旅费1.40万元、培训费0.48万元、公务用车运行维护费4.00万元。</w:t>
      </w:r>
    </w:p>
    <w:p>
      <w:pPr>
        <w:pStyle w:val="4"/>
        <w:ind w:firstLine="642" w:firstLineChars="200"/>
        <w:rPr>
          <w:rFonts w:ascii="黑体" w:eastAsia="黑体" w:cs="Times New Roman"/>
          <w:bCs w:val="0"/>
          <w:color w:val="000000"/>
        </w:rPr>
      </w:pPr>
      <w:bookmarkStart w:id="50" w:name="_Toc111208505"/>
      <w:bookmarkStart w:id="51" w:name="_Toc113981019"/>
      <w:bookmarkStart w:id="52" w:name="_Toc15377215"/>
      <w:r>
        <w:rPr>
          <w:rFonts w:hint="eastAsia" w:ascii="黑体" w:eastAsia="黑体" w:cs="Times New Roman"/>
          <w:bCs w:val="0"/>
          <w:color w:val="000000"/>
        </w:rPr>
        <w:t>七、“三公”经费财政拨款支出决算情况说明</w:t>
      </w:r>
      <w:bookmarkEnd w:id="50"/>
      <w:bookmarkEnd w:id="51"/>
      <w:bookmarkEnd w:id="52"/>
    </w:p>
    <w:p>
      <w:pPr>
        <w:spacing w:line="600" w:lineRule="exact"/>
        <w:ind w:firstLine="642" w:firstLineChars="200"/>
        <w:outlineLvl w:val="2"/>
        <w:rPr>
          <w:rFonts w:ascii="仿宋" w:eastAsia="仿宋"/>
          <w:b/>
          <w:color w:val="000000"/>
          <w:sz w:val="32"/>
          <w:szCs w:val="32"/>
        </w:rPr>
      </w:pPr>
      <w:bookmarkStart w:id="53" w:name="_Toc15377216"/>
      <w:r>
        <w:rPr>
          <w:rFonts w:hint="eastAsia" w:ascii="仿宋" w:eastAsia="仿宋"/>
          <w:b/>
          <w:color w:val="000000"/>
          <w:sz w:val="32"/>
          <w:szCs w:val="32"/>
        </w:rPr>
        <w:t>（一）“三公”经费财政拨款支出决算总体情况说明</w:t>
      </w:r>
      <w:bookmarkEnd w:id="53"/>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2021年“三公”经费财政拨款支出决算为4.00万元，完成预算100.00%。</w:t>
      </w:r>
      <w:bookmarkStart w:id="54" w:name="_Toc15377217"/>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4"/>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2021年“三公”经费财政拨款支出4.00万元，因公出国（境）费支出决算0.00万元，占0.00%；公务用车购置及运行维护费支出决算4.00万元，占100.00%；公务接待费支出决算0.00万元，占0.00%。具体情况如下：</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（图7：“三公”经费财政拨款支出结构）</w:t>
      </w:r>
    </w:p>
    <w:p>
      <w:pPr>
        <w:pStyle w:val="2"/>
        <w:rPr>
          <w:rFonts w:ascii="仿宋_GB2312" w:eastAsia="仿宋_GB2312"/>
          <w:color w:val="000000"/>
          <w:sz w:val="32"/>
          <w:szCs w:val="32"/>
        </w:rPr>
      </w:pPr>
      <w:r>
        <w:drawing>
          <wp:inline distT="0" distB="0" distL="0" distR="0">
            <wp:extent cx="4333240" cy="2886075"/>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2.公务用车购置及运行维护费支出4.00万元,完成预算100.00%。公务用车购置及运行维护费支出决算比2020年增加0.00万元，增加0%。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月底，单位共有公务用车7辆，其中：轿车0辆、越野车3辆、载客汽车0辆。</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公务用车运行维护费支出4.00万元。 </w:t>
      </w:r>
    </w:p>
    <w:p>
      <w:pPr>
        <w:spacing w:line="600" w:lineRule="exact"/>
        <w:ind w:firstLine="640"/>
        <w:rPr>
          <w:rFonts w:ascii="仿宋" w:eastAsia="仿宋"/>
          <w:color w:val="000000"/>
          <w:sz w:val="32"/>
          <w:szCs w:val="32"/>
        </w:rPr>
      </w:pPr>
      <w:r>
        <w:rPr>
          <w:rFonts w:hint="eastAsia" w:ascii="仿宋" w:eastAsia="仿宋"/>
          <w:color w:val="000000"/>
          <w:sz w:val="32"/>
          <w:szCs w:val="32"/>
        </w:rPr>
        <w:t>3.公务接待费支出0.00万元，完成预算0.00%。公务接待费支出决算比2020年减少0.14万元，增加0.00</w:t>
      </w:r>
      <w:r>
        <w:rPr>
          <w:rFonts w:ascii="仿宋" w:eastAsia="仿宋"/>
          <w:color w:val="000000"/>
          <w:sz w:val="32"/>
          <w:szCs w:val="32"/>
        </w:rPr>
        <w:t>%</w:t>
      </w:r>
      <w:r>
        <w:rPr>
          <w:rFonts w:hint="eastAsia" w:ascii="仿宋" w:eastAsia="仿宋"/>
          <w:color w:val="000000"/>
          <w:sz w:val="32"/>
          <w:szCs w:val="32"/>
        </w:rPr>
        <w:t>。</w:t>
      </w:r>
      <w:bookmarkStart w:id="55" w:name="_Toc15377218"/>
      <w:r>
        <w:rPr>
          <w:rFonts w:hint="eastAsia" w:ascii="仿宋" w:eastAsia="仿宋"/>
          <w:color w:val="000000"/>
          <w:sz w:val="32"/>
          <w:szCs w:val="32"/>
        </w:rPr>
        <w:t xml:space="preserve">主要原因是本年无接待费支出。 </w:t>
      </w:r>
    </w:p>
    <w:p>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国内公务接待支出0.00万元。国内公务接待0批次，0人次（不包括陪同人员），共计支出0.00万元。</w:t>
      </w:r>
    </w:p>
    <w:p>
      <w:pPr>
        <w:pStyle w:val="2"/>
        <w:rPr>
          <w:rFonts w:ascii="仿宋" w:eastAsia="仿宋"/>
          <w:color w:val="000000"/>
          <w:sz w:val="32"/>
          <w:szCs w:val="32"/>
        </w:rPr>
      </w:pPr>
      <w:r>
        <w:rPr>
          <w:rFonts w:hint="eastAsia" w:asci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6" w:name="_Toc113981020"/>
      <w:bookmarkStart w:id="57" w:name="_Toc111208506"/>
      <w:r>
        <w:rPr>
          <w:rFonts w:hint="eastAsia" w:ascii="黑体" w:eastAsia="黑体" w:cs="Times New Roman"/>
          <w:bCs w:val="0"/>
          <w:color w:val="000000"/>
        </w:rPr>
        <w:t>八、政府性基金预算支出决算情况说明</w:t>
      </w:r>
      <w:bookmarkEnd w:id="55"/>
      <w:bookmarkEnd w:id="56"/>
      <w:bookmarkEnd w:id="57"/>
    </w:p>
    <w:p>
      <w:pPr>
        <w:spacing w:line="600" w:lineRule="exact"/>
        <w:ind w:firstLine="640"/>
        <w:rPr>
          <w:rFonts w:ascii="仿宋" w:eastAsia="仿宋"/>
        </w:rPr>
      </w:pPr>
      <w:r>
        <w:rPr>
          <w:rFonts w:hint="eastAsia" w:ascii="仿宋" w:eastAsia="仿宋"/>
          <w:color w:val="000000"/>
          <w:sz w:val="32"/>
          <w:szCs w:val="32"/>
        </w:rPr>
        <w:t>2021年政府性基金预算拨款支出93.62万元。</w:t>
      </w:r>
      <w:bookmarkStart w:id="58" w:name="_Toc15377219"/>
    </w:p>
    <w:p>
      <w:pPr>
        <w:pStyle w:val="4"/>
        <w:ind w:firstLine="642" w:firstLineChars="200"/>
        <w:rPr>
          <w:rFonts w:ascii="黑体" w:eastAsia="黑体" w:cs="Times New Roman"/>
          <w:bCs w:val="0"/>
          <w:color w:val="000000"/>
        </w:rPr>
      </w:pPr>
      <w:bookmarkStart w:id="59" w:name="_Toc111208507"/>
      <w:bookmarkStart w:id="60" w:name="_Toc113981021"/>
      <w:r>
        <w:rPr>
          <w:rFonts w:hint="eastAsia" w:ascii="黑体" w:eastAsia="黑体" w:cs="Times New Roman"/>
          <w:bCs w:val="0"/>
          <w:color w:val="000000"/>
        </w:rPr>
        <w:t>九、国有资本经营预算支出决算情况说明</w:t>
      </w:r>
      <w:bookmarkEnd w:id="58"/>
      <w:bookmarkEnd w:id="59"/>
      <w:bookmarkEnd w:id="60"/>
    </w:p>
    <w:p>
      <w:pPr>
        <w:spacing w:line="600" w:lineRule="exact"/>
        <w:ind w:firstLine="640"/>
        <w:rPr>
          <w:rFonts w:ascii="仿宋" w:eastAsia="仿宋"/>
        </w:rPr>
      </w:pPr>
      <w:r>
        <w:rPr>
          <w:rFonts w:hint="eastAsia" w:asci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1" w:name="_Toc15377221"/>
      <w:bookmarkStart w:id="62" w:name="_Toc111208508"/>
      <w:bookmarkStart w:id="63" w:name="_Toc113981022"/>
      <w:r>
        <w:rPr>
          <w:rFonts w:hint="eastAsia" w:ascii="黑体" w:eastAsia="黑体" w:cs="Times New Roman"/>
          <w:bCs w:val="0"/>
          <w:color w:val="000000"/>
        </w:rPr>
        <w:t>十、其他重要事项的情况说明</w:t>
      </w:r>
      <w:bookmarkEnd w:id="61"/>
      <w:bookmarkEnd w:id="62"/>
      <w:bookmarkEnd w:id="63"/>
    </w:p>
    <w:p>
      <w:pPr>
        <w:spacing w:line="600" w:lineRule="exact"/>
        <w:ind w:firstLine="642" w:firstLineChars="200"/>
        <w:outlineLvl w:val="2"/>
        <w:rPr>
          <w:rFonts w:ascii="仿宋" w:eastAsia="仿宋"/>
          <w:b/>
          <w:color w:val="000000"/>
          <w:sz w:val="32"/>
          <w:szCs w:val="32"/>
        </w:rPr>
      </w:pPr>
      <w:bookmarkStart w:id="64" w:name="_Toc15377222"/>
      <w:r>
        <w:rPr>
          <w:rFonts w:hint="eastAsia" w:ascii="仿宋" w:eastAsia="仿宋"/>
          <w:b/>
          <w:color w:val="000000"/>
          <w:sz w:val="32"/>
          <w:szCs w:val="32"/>
        </w:rPr>
        <w:t>（一）机关运行经费支出情况</w:t>
      </w:r>
      <w:bookmarkEnd w:id="64"/>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2021年，机关运行经费支出9.54万元，比2020年减少1.02万元，减少9.69 %。 </w:t>
      </w:r>
    </w:p>
    <w:p>
      <w:pPr>
        <w:spacing w:line="600" w:lineRule="exact"/>
        <w:ind w:firstLine="642" w:firstLineChars="200"/>
        <w:outlineLvl w:val="2"/>
        <w:rPr>
          <w:rFonts w:ascii="仿宋" w:eastAsia="仿宋"/>
          <w:b/>
          <w:color w:val="000000"/>
          <w:sz w:val="32"/>
          <w:szCs w:val="32"/>
        </w:rPr>
      </w:pPr>
      <w:bookmarkStart w:id="65" w:name="_Toc15377223"/>
      <w:r>
        <w:rPr>
          <w:rFonts w:hint="eastAsia" w:ascii="仿宋" w:eastAsia="仿宋"/>
          <w:b/>
          <w:color w:val="000000"/>
          <w:sz w:val="32"/>
          <w:szCs w:val="32"/>
        </w:rPr>
        <w:t>（二）政府采购支出情况</w:t>
      </w:r>
      <w:bookmarkEnd w:id="65"/>
      <w:r>
        <w:rPr>
          <w:rFonts w:hint="eastAsia" w:asci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642" w:firstLineChars="200"/>
        <w:outlineLvl w:val="2"/>
        <w:rPr>
          <w:rFonts w:ascii="仿宋" w:eastAsia="仿宋"/>
          <w:b/>
          <w:color w:val="000000"/>
          <w:sz w:val="32"/>
          <w:szCs w:val="32"/>
        </w:rPr>
      </w:pPr>
      <w:bookmarkStart w:id="66" w:name="_Toc15377224"/>
      <w:r>
        <w:rPr>
          <w:rFonts w:hint="eastAsia" w:ascii="仿宋" w:eastAsia="仿宋"/>
          <w:b/>
          <w:color w:val="000000"/>
          <w:sz w:val="32"/>
          <w:szCs w:val="32"/>
        </w:rPr>
        <w:t>（三）国有资产占有使用情况</w:t>
      </w:r>
      <w:bookmarkEnd w:id="66"/>
    </w:p>
    <w:p>
      <w:pPr>
        <w:spacing w:line="600" w:lineRule="exact"/>
        <w:ind w:firstLine="640"/>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日，共有车辆7辆，其中：主要领导干部用车0辆、机要通信用车0辆、应急保障用车7辆、其他用车0辆。单价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
      </w:pPr>
      <w:r>
        <w:rPr>
          <w:rFonts w:hint="eastAsia"/>
        </w:rPr>
        <w:t xml:space="preserve"> </w:t>
      </w:r>
    </w:p>
    <w:p>
      <w:pPr>
        <w:pStyle w:val="28"/>
        <w:rPr>
          <w:rFonts w:hint="eastAsia" w:ascii="仿宋" w:eastAsia="仿宋" w:cs="仿宋"/>
          <w:color w:val="000000"/>
          <w:kern w:val="0"/>
          <w:szCs w:val="32"/>
          <w:shd w:val="clear" w:color="auto" w:fill="FFFFFF"/>
        </w:rPr>
      </w:pPr>
      <w:r>
        <w:rPr>
          <w:rFonts w:hint="eastAsia" w:ascii="仿宋" w:eastAsia="仿宋" w:cs="仿宋"/>
          <w:color w:val="000000"/>
          <w:kern w:val="0"/>
          <w:szCs w:val="32"/>
          <w:shd w:val="clear" w:color="auto" w:fill="FFFFFF"/>
          <w:lang w:val="en-US" w:eastAsia="zh-CN"/>
        </w:rPr>
        <w:t>为保证财政资金使用效率，我单位严格按照《预算法》完成年度目标任务，人员类和运转类支出严格按年初预算执行，保障了机关的正常运转；项目类支出严格按照项目实施方案，对项目进行事前、事中、事后绩效评价分析，确保项目顺利实施，项目实施过程中严格按要求实施，具有较好的经济效益和社会效益，项目实施效果好，具有高度的可持续性。</w:t>
      </w:r>
      <w:r>
        <w:rPr>
          <w:rFonts w:ascii="仿宋_GB2312" w:eastAsia="仿宋_GB2312"/>
          <w:b/>
          <w:color w:val="000000"/>
          <w:sz w:val="32"/>
          <w:szCs w:val="32"/>
        </w:rPr>
        <w:br w:type="page"/>
      </w:r>
    </w:p>
    <w:p>
      <w:pPr>
        <w:pStyle w:val="3"/>
        <w:jc w:val="center"/>
        <w:rPr>
          <w:rFonts w:ascii="黑体" w:eastAsia="黑体" w:cs="黑体"/>
        </w:rPr>
      </w:pPr>
      <w:bookmarkStart w:id="67" w:name="_Toc111208509"/>
      <w:bookmarkStart w:id="68" w:name="_Toc113981023"/>
      <w:bookmarkStart w:id="69" w:name="_Toc15377225"/>
      <w:r>
        <w:rPr>
          <w:rFonts w:hint="eastAsia" w:ascii="黑体" w:eastAsia="黑体" w:cs="黑体"/>
        </w:rPr>
        <w:t>第三部分 名词解释</w:t>
      </w:r>
      <w:bookmarkEnd w:id="67"/>
      <w:bookmarkEnd w:id="68"/>
      <w:bookmarkEnd w:id="69"/>
    </w:p>
    <w:p>
      <w:pPr>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hint="eastAsia" w:ascii="仿宋" w:eastAsia="仿宋"/>
          <w:color w:val="000000"/>
          <w:sz w:val="32"/>
          <w:szCs w:val="32"/>
        </w:rPr>
        <w:t>9.社会保障和就业支出（208）行政事业单位养老支出（20805）机关事业单位基本养老保险缴费支出（2080505）：反映机关事业单位实施养老保险制度由单位缴纳的基本养老保险费支出。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10.社会保障和就业支出（208）行政事业单位养老支出（20805）机关事业单位职业年金缴费支出（2080506）：反映机关事业单位实施养老保险制度由单位实际缴纳的职业年金支出。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11.社会保障和就业支出（208）其他社会保障和就业支出（20899）其他社会保障和就业支出（2089999）：反映除上述项以外其他用于社会保障和就业方面的支出。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13.农林水支出（213）农业农村（21301）农村道路建设（2130142）：反映用于农村公路、乡村道路建设方面的支出。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14.农林水支出（213）扶贫（21305）农村基础设施建设（2130504）：反映用于农村贫困地区乡村道路、住房、基本农田、水利设施、人畜饮水、生态环境保护等生产生活条件改善方面的支出。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15.农林水支出（213）扶贫（21305）其他扶贫支出（2130599）：反映除上述项目以外其他用于扶贫方面的支出。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16.交通运输支出（214）公路水路运输（21401）行政运行（2140101）：反映行政单位（包括实行公务员管理的事业单位）的基本支出。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17.交通运输支出（214）公路水路运输（21401）公路建设（2140104）：反映新建公路支出，公路改建支出，特大型桥梁建设支出，公路客货运站（场）建设支出。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18.交通运输支出（214）公路水路运输（21401）公路养护（2140106）：反映公路养护支出。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19.交通运输支出（214）公路水路运输（21401）其他公路水路运输支出（2140199）：反映除上述项i以外其他用于公路水路运输方面的支出。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20.交通运输支出（214）成品油价格改革对交通运输的补贴（21404）对农村道路客运的补贴（2140402）：反映成品油价格改革财政对农村道路客运的补贴。</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21.交通运输支出（214）成品油价格改革对交通运输的补贴（21404）成品油价格改革补贴其他支出（2140499）：反映成品油价格改革财政补贴对其他方面的支出。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22.交通运输支出（214）其他交通运输支出（21499）公共交通运营补助（2149901）：反映对公共交通运输企业的补助支出。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23.交通运输支出（214）其他交通运输支出（21499）其他交通运输支出（2149999）：反映其他交通运输支出中除对公共交通运营补助以外的其他支出。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24.住房保障支出（221）住房改革支出（22102）住房公积金（2210201）：反映行政事业单位按人力资源和社会保障部、财政部规定的基本工资和津贴补贴以及规定比例为职工缴纳的住房公积金。</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25.住房保障支出（221）住房改革支出（22102）购房补贴（2210203）：反映按房改政策规定，行政事业单位向符合条件职工（含离退休人员）、军队（含武警）向转役复员离退休人员发放的用于购买住房的补贴。</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26.其他支出（229）其他支出（22999）其他支出（2299999）：无文字说明。</w:t>
      </w:r>
    </w:p>
    <w:p>
      <w:pPr>
        <w:spacing w:line="600" w:lineRule="exact"/>
        <w:ind w:firstLine="640"/>
        <w:rPr>
          <w:rFonts w:ascii="仿宋" w:eastAsia="仿宋"/>
          <w:color w:val="000000"/>
          <w:sz w:val="32"/>
          <w:szCs w:val="32"/>
        </w:rPr>
      </w:pPr>
      <w:r>
        <w:rPr>
          <w:rFonts w:hint="eastAsia" w:ascii="仿宋" w:eastAsia="仿宋"/>
          <w:color w:val="000000"/>
          <w:sz w:val="32"/>
          <w:szCs w:val="32"/>
        </w:rPr>
        <w:t>27.基本支出：指为保障机构正常运转、完成日常工作任务而发生的人员支出和公用支出。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hint="eastAsia" w:ascii="仿宋" w:eastAsia="仿宋"/>
          <w:color w:val="000000"/>
          <w:sz w:val="32"/>
          <w:szCs w:val="32"/>
        </w:rPr>
        <w:t>28.经营支出：指事业单位在专业业务活动及其辅助活动之外开展非独立核算经营活动发生的支出。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29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hint="eastAsia" w:ascii="仿宋" w:eastAsia="仿宋"/>
          <w:color w:val="000000"/>
          <w:sz w:val="32"/>
          <w:szCs w:val="32"/>
        </w:rPr>
        <w:t>30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eastAsia="仿宋"/>
          <w:color w:val="000000"/>
          <w:sz w:val="32"/>
          <w:szCs w:val="32"/>
        </w:rPr>
        <w:t>31.财政应返还额度：为行政事业单位会计核算科目，用于核算实行国库集中支付的行政事业单位应收财政返还的资金额度。</w:t>
      </w:r>
    </w:p>
    <w:p>
      <w:pPr>
        <w:widowControl/>
        <w:jc w:val="left"/>
        <w:rPr>
          <w:rStyle w:val="20"/>
          <w:rFonts w:ascii="黑体" w:eastAsia="黑体"/>
        </w:rPr>
      </w:pPr>
      <w:r>
        <w:rPr>
          <w:rStyle w:val="20"/>
          <w:rFonts w:ascii="黑体" w:eastAsia="黑体"/>
        </w:rPr>
        <w:br w:type="page"/>
      </w:r>
    </w:p>
    <w:p>
      <w:pPr>
        <w:pStyle w:val="3"/>
        <w:jc w:val="center"/>
        <w:rPr>
          <w:rFonts w:ascii="黑体" w:eastAsia="黑体" w:cs="黑体"/>
        </w:rPr>
      </w:pPr>
      <w:bookmarkStart w:id="70" w:name="_Toc111208510"/>
      <w:bookmarkStart w:id="71" w:name="_Toc113981024"/>
      <w:r>
        <w:rPr>
          <w:rFonts w:hint="eastAsia" w:ascii="黑体" w:eastAsia="黑体" w:cs="黑体"/>
        </w:rPr>
        <w:t>第四部分 附件</w:t>
      </w:r>
      <w:bookmarkEnd w:id="70"/>
      <w:bookmarkEnd w:id="71"/>
    </w:p>
    <w:p>
      <w:pPr>
        <w:pStyle w:val="27"/>
        <w:spacing w:line="580" w:lineRule="exact"/>
        <w:contextualSpacing/>
        <w:rPr>
          <w:rFonts w:ascii="黑体" w:eastAsia="黑体" w:cs="黑体"/>
          <w:szCs w:val="32"/>
          <w:lang w:val="zh-CN"/>
        </w:rPr>
      </w:pPr>
      <w:r>
        <w:rPr>
          <w:rFonts w:hint="eastAsia" w:ascii="黑体" w:eastAsia="黑体" w:cs="黑体"/>
          <w:szCs w:val="32"/>
          <w:lang w:val="zh-CN"/>
        </w:rPr>
        <w:t>附件</w:t>
      </w:r>
      <w:r>
        <w:rPr>
          <w:rFonts w:hint="eastAsia" w:ascii="黑体" w:eastAsia="黑体" w:cs="黑体"/>
          <w:szCs w:val="32"/>
        </w:rPr>
        <w:t>2</w:t>
      </w:r>
    </w:p>
    <w:p>
      <w:pPr>
        <w:pStyle w:val="27"/>
        <w:widowControl/>
        <w:spacing w:line="580" w:lineRule="exact"/>
        <w:contextualSpacing/>
        <w:rPr>
          <w:rFonts w:ascii="宋体" w:eastAsia="宋体"/>
          <w:b/>
          <w:sz w:val="44"/>
          <w:szCs w:val="44"/>
          <w:shd w:val="clear" w:color="auto" w:fill="FFFFFF"/>
        </w:rPr>
      </w:pPr>
    </w:p>
    <w:p>
      <w:pPr>
        <w:pStyle w:val="27"/>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202</w:t>
      </w:r>
      <w:r>
        <w:rPr>
          <w:rFonts w:hint="eastAsia" w:ascii="宋体" w:eastAsia="宋体"/>
          <w:b/>
          <w:sz w:val="44"/>
          <w:szCs w:val="44"/>
          <w:shd w:val="clear" w:color="auto" w:fill="FFFFFF"/>
          <w:lang w:val="en-US" w:eastAsia="zh-CN"/>
        </w:rPr>
        <w:t>2</w:t>
      </w:r>
      <w:r>
        <w:rPr>
          <w:rFonts w:hint="eastAsia" w:ascii="宋体" w:eastAsia="宋体"/>
          <w:b/>
          <w:sz w:val="44"/>
          <w:szCs w:val="44"/>
          <w:shd w:val="clear" w:color="auto" w:fill="FFFFFF"/>
        </w:rPr>
        <w:t>年县级部门整体支出</w:t>
      </w:r>
    </w:p>
    <w:p>
      <w:pPr>
        <w:pStyle w:val="27"/>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绩效评价报告</w:t>
      </w:r>
    </w:p>
    <w:p>
      <w:pPr>
        <w:pStyle w:val="27"/>
        <w:widowControl/>
        <w:spacing w:line="580" w:lineRule="exact"/>
        <w:contextualSpacing/>
        <w:jc w:val="center"/>
        <w:rPr>
          <w:rFonts w:ascii="仿宋_GB2312"/>
          <w:szCs w:val="32"/>
          <w:shd w:val="clear" w:color="auto" w:fill="FFFFFF"/>
        </w:rPr>
      </w:pPr>
      <w:r>
        <w:rPr>
          <w:rFonts w:hint="eastAsia" w:ascii="仿宋_GB2312"/>
          <w:szCs w:val="32"/>
          <w:shd w:val="clear" w:color="auto" w:fill="FFFFFF"/>
        </w:rPr>
        <w:t>（</w:t>
      </w:r>
      <w:r>
        <w:rPr>
          <w:rFonts w:hint="eastAsia" w:ascii="仿宋_GB2312"/>
          <w:szCs w:val="32"/>
          <w:shd w:val="clear" w:color="auto" w:fill="FFFFFF"/>
          <w:lang w:eastAsia="zh-CN"/>
        </w:rPr>
        <w:t>茂县</w:t>
      </w:r>
      <w:r>
        <w:rPr>
          <w:rFonts w:hint="eastAsia" w:ascii="仿宋_GB2312"/>
          <w:szCs w:val="32"/>
          <w:shd w:val="clear" w:color="auto" w:fill="FFFFFF"/>
          <w:lang w:val="en-US" w:eastAsia="zh-CN"/>
        </w:rPr>
        <w:t>交通运输</w:t>
      </w:r>
      <w:r>
        <w:rPr>
          <w:rFonts w:hint="eastAsia" w:ascii="仿宋_GB2312"/>
          <w:szCs w:val="32"/>
          <w:shd w:val="clear" w:color="auto" w:fill="FFFFFF"/>
          <w:lang w:eastAsia="zh-CN"/>
        </w:rPr>
        <w:t>局</w:t>
      </w:r>
      <w:r>
        <w:rPr>
          <w:rFonts w:hint="eastAsia" w:ascii="仿宋_GB2312"/>
          <w:szCs w:val="32"/>
          <w:shd w:val="clear" w:color="auto" w:fill="FFFFFF"/>
        </w:rPr>
        <w:t>）</w:t>
      </w:r>
    </w:p>
    <w:p>
      <w:pPr>
        <w:pStyle w:val="27"/>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（一）机构组成。</w:t>
      </w:r>
    </w:p>
    <w:p>
      <w:pPr>
        <w:pStyle w:val="27"/>
        <w:keepNext w:val="0"/>
        <w:keepLines w:val="0"/>
        <w:pageBreakBefore w:val="0"/>
        <w:widowControl w:val="0"/>
        <w:kinsoku/>
        <w:wordWrap/>
        <w:overflowPunct/>
        <w:topLinePunct w:val="0"/>
        <w:autoSpaceDE/>
        <w:autoSpaceDN/>
        <w:bidi w:val="0"/>
        <w:spacing w:line="560" w:lineRule="exact"/>
        <w:ind w:firstLine="1280" w:firstLineChars="4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本部门是行政单位，属于一级预算单位，下设办公室、工程股、财务股、安运股。</w:t>
      </w:r>
    </w:p>
    <w:p>
      <w:pPr>
        <w:pStyle w:val="27"/>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机构职能。</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1.拟定全县公路、交通行业发展战略、政策、交通规章，并组织实施及监督执行。</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2.按全县的规划拟定公路交通行业发展规划、中长期计划和年度计划，并负责组织和监督实施，负责交通行业统计和信息引导。</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3.对国家、省、市、县重点物资和紧急客货运输进行调控及公路客货运输管理工作，组织实施国家、省、州、县重点公路交通工程建设。</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4.指导交通行业体制改革和企业管理；维护公路交通行业平等竞争秩序，引导交通运输行业优化结构、协调发展，为全县经济建设服务。</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5.组织公路及其设施的立项、测设、预算及建设、维护、管理；负责道路运输市场、汽车维修市场、搬运装卸、运输服务、机动车综合性能检测、汽车驾驶学校、驾驶员培训工作的行业管理和公路标志、标线的设置和管理。</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6.负责辖区内交通安全生产的管理工作。</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7.指导全县交通系统财务管理，负责国有资产管理；负责全县交通专项资金管理和使用；负责交通工程质量监督；按照有关规定组织交通工业的认证和质量监督；组织交通系统内部审计工作。</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8.负责全县交通科技教育的发展与管理，组织科技开发，推动行业技术进步；指导交通行业成人教育工作和交通科技工作的开展。</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9.负责局机关和直属单位人事、劳动、机构编制管理、人力资源开发工作；负责直属单位领导班子建设和股级干部管理工作；指导交通行业精神文明建设职工队伍建设。</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10.负责交通行业涉外工作，指导利用外资工作；管理公路交通涉及国家组织的有关事宜，开展国际交通经济技术合作与交流。</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11.承办县政府交办的其它事项。</w:t>
      </w:r>
    </w:p>
    <w:p>
      <w:pPr>
        <w:pStyle w:val="27"/>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人员概况。</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总编制</w:t>
      </w:r>
      <w:r>
        <w:rPr>
          <w:rFonts w:ascii="仿宋_GB2312" w:cs="宋体"/>
          <w:color w:val="000000"/>
          <w:kern w:val="0"/>
          <w:szCs w:val="32"/>
          <w:shd w:val="clear" w:color="auto" w:fill="FFFFFF"/>
          <w:lang w:val="zh-CN"/>
        </w:rPr>
        <w:t>7</w:t>
      </w:r>
      <w:r>
        <w:rPr>
          <w:rFonts w:hint="eastAsia" w:ascii="仿宋_GB2312" w:cs="宋体"/>
          <w:color w:val="000000"/>
          <w:kern w:val="0"/>
          <w:szCs w:val="32"/>
          <w:shd w:val="clear" w:color="auto" w:fill="FFFFFF"/>
          <w:lang w:val="zh-CN"/>
        </w:rPr>
        <w:t>名，其中：行政编制</w:t>
      </w:r>
      <w:r>
        <w:rPr>
          <w:rFonts w:ascii="仿宋_GB2312" w:cs="宋体"/>
          <w:color w:val="000000"/>
          <w:kern w:val="0"/>
          <w:szCs w:val="32"/>
          <w:shd w:val="clear" w:color="auto" w:fill="FFFFFF"/>
          <w:lang w:val="zh-CN"/>
        </w:rPr>
        <w:t>5</w:t>
      </w:r>
      <w:r>
        <w:rPr>
          <w:rFonts w:hint="eastAsia" w:ascii="仿宋_GB2312" w:cs="宋体"/>
          <w:color w:val="000000"/>
          <w:kern w:val="0"/>
          <w:szCs w:val="32"/>
          <w:shd w:val="clear" w:color="auto" w:fill="FFFFFF"/>
          <w:lang w:val="zh-CN"/>
        </w:rPr>
        <w:t>名，行政工勤人员2名。</w:t>
      </w:r>
      <w:r>
        <w:rPr>
          <w:rFonts w:ascii="仿宋_GB2312" w:cs="宋体"/>
          <w:color w:val="000000"/>
          <w:kern w:val="0"/>
          <w:szCs w:val="32"/>
          <w:shd w:val="clear" w:color="auto" w:fill="FFFFFF"/>
          <w:lang w:val="zh-CN"/>
        </w:rPr>
        <w:t>年末</w:t>
      </w:r>
      <w:r>
        <w:rPr>
          <w:rFonts w:hint="eastAsia" w:ascii="仿宋_GB2312" w:cs="宋体"/>
          <w:color w:val="000000"/>
          <w:kern w:val="0"/>
          <w:szCs w:val="32"/>
          <w:shd w:val="clear" w:color="auto" w:fill="FFFFFF"/>
          <w:lang w:val="zh-CN"/>
        </w:rPr>
        <w:t>在职人员</w:t>
      </w:r>
      <w:r>
        <w:rPr>
          <w:rFonts w:ascii="仿宋_GB2312" w:cs="宋体"/>
          <w:color w:val="000000"/>
          <w:kern w:val="0"/>
          <w:szCs w:val="32"/>
          <w:shd w:val="clear" w:color="auto" w:fill="FFFFFF"/>
          <w:lang w:val="zh-CN" w:eastAsia="zh-CN"/>
        </w:rPr>
        <w:t>7</w:t>
      </w:r>
      <w:r>
        <w:rPr>
          <w:rFonts w:hint="eastAsia" w:ascii="仿宋_GB2312" w:cs="宋体"/>
          <w:color w:val="000000"/>
          <w:kern w:val="0"/>
          <w:szCs w:val="32"/>
          <w:shd w:val="clear" w:color="auto" w:fill="FFFFFF"/>
          <w:lang w:val="zh-CN"/>
        </w:rPr>
        <w:t>人，退休1</w:t>
      </w:r>
      <w:r>
        <w:rPr>
          <w:rFonts w:ascii="仿宋_GB2312" w:cs="宋体"/>
          <w:color w:val="000000"/>
          <w:kern w:val="0"/>
          <w:szCs w:val="32"/>
          <w:shd w:val="clear" w:color="auto" w:fill="FFFFFF"/>
          <w:lang w:val="en-US" w:eastAsia="zh-CN"/>
        </w:rPr>
        <w:t>0</w:t>
      </w:r>
      <w:r>
        <w:rPr>
          <w:rFonts w:hint="eastAsia" w:ascii="仿宋_GB2312" w:cs="宋体"/>
          <w:color w:val="000000"/>
          <w:kern w:val="0"/>
          <w:szCs w:val="32"/>
          <w:shd w:val="clear" w:color="auto" w:fill="FFFFFF"/>
          <w:lang w:val="zh-CN"/>
        </w:rPr>
        <w:t>人。</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（一）部门财政资金收入情况。</w:t>
      </w:r>
    </w:p>
    <w:p>
      <w:pPr>
        <w:pStyle w:val="27"/>
        <w:keepNext w:val="0"/>
        <w:keepLines w:val="0"/>
        <w:pageBreakBefore w:val="0"/>
        <w:widowControl/>
        <w:kinsoku/>
        <w:wordWrap/>
        <w:overflowPunct/>
        <w:topLinePunct w:val="0"/>
        <w:autoSpaceDE/>
        <w:autoSpaceDN/>
        <w:bidi w:val="0"/>
        <w:adjustRightInd w:val="0"/>
        <w:snapToGrid w:val="0"/>
        <w:spacing w:line="560" w:lineRule="exact"/>
        <w:ind w:left="0" w:firstLine="960" w:firstLineChars="3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本年度我单位共收到财政拨款</w:t>
      </w:r>
      <w:r>
        <w:rPr>
          <w:rFonts w:hint="eastAsia" w:ascii="仿宋_GB2312" w:eastAsia="仿宋_GB2312"/>
          <w:sz w:val="32"/>
          <w:szCs w:val="32"/>
        </w:rPr>
        <w:t>3224.77</w:t>
      </w:r>
      <w:r>
        <w:rPr>
          <w:rFonts w:hint="eastAsia" w:ascii="仿宋_GB2312" w:cs="宋体"/>
          <w:color w:val="000000"/>
          <w:kern w:val="0"/>
          <w:szCs w:val="32"/>
          <w:shd w:val="clear" w:color="auto" w:fill="FFFFFF"/>
          <w:lang w:val="zh-CN"/>
        </w:rPr>
        <w:t>万元，（其中：一般公共收入</w:t>
      </w:r>
      <w:r>
        <w:rPr>
          <w:rFonts w:hint="eastAsia" w:ascii="仿宋_GB2312" w:cs="宋体"/>
          <w:color w:val="000000"/>
          <w:kern w:val="0"/>
          <w:szCs w:val="32"/>
          <w:shd w:val="clear" w:color="auto" w:fill="FFFFFF"/>
          <w:lang w:val="en-US" w:eastAsia="zh-CN"/>
        </w:rPr>
        <w:t>3131.15</w:t>
      </w:r>
      <w:r>
        <w:rPr>
          <w:rFonts w:hint="eastAsia" w:ascii="仿宋_GB2312" w:cs="宋体"/>
          <w:color w:val="000000"/>
          <w:kern w:val="0"/>
          <w:szCs w:val="32"/>
          <w:shd w:val="clear" w:color="auto" w:fill="FFFFFF"/>
          <w:lang w:val="zh-CN"/>
        </w:rPr>
        <w:t>万元；</w:t>
      </w:r>
      <w:r>
        <w:rPr>
          <w:rFonts w:hint="eastAsia" w:ascii="仿宋_GB2312" w:cs="宋体"/>
          <w:color w:val="000000"/>
          <w:kern w:val="0"/>
          <w:szCs w:val="32"/>
          <w:shd w:val="clear" w:color="auto" w:fill="FFFFFF"/>
          <w:lang w:val="zh-CN" w:eastAsia="zh-CN"/>
        </w:rPr>
        <w:t>政府性基金收入</w:t>
      </w:r>
      <w:r>
        <w:rPr>
          <w:rFonts w:hint="eastAsia" w:ascii="仿宋_GB2312" w:eastAsia="仿宋_GB2312"/>
          <w:sz w:val="32"/>
          <w:szCs w:val="32"/>
        </w:rPr>
        <w:t>93.62</w:t>
      </w:r>
      <w:r>
        <w:rPr>
          <w:rFonts w:hint="eastAsia" w:ascii="仿宋_GB2312" w:cs="宋体"/>
          <w:color w:val="000000"/>
          <w:kern w:val="0"/>
          <w:szCs w:val="32"/>
          <w:shd w:val="clear" w:color="auto" w:fill="FFFFFF"/>
          <w:lang w:val="zh-CN"/>
        </w:rPr>
        <w:t>万元）。</w:t>
      </w:r>
    </w:p>
    <w:p>
      <w:pPr>
        <w:pStyle w:val="27"/>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317" w:firstLine="64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部门财政资金支出情况。</w:t>
      </w:r>
    </w:p>
    <w:p>
      <w:pPr>
        <w:pStyle w:val="27"/>
        <w:pageBreakBefore w:val="0"/>
        <w:widowControl w:val="0"/>
        <w:kinsoku/>
        <w:wordWrap/>
        <w:overflowPunct/>
        <w:topLinePunct w:val="0"/>
        <w:bidi w:val="0"/>
        <w:adjustRightInd w:val="0"/>
        <w:snapToGrid w:val="0"/>
        <w:spacing w:line="576" w:lineRule="exact"/>
        <w:ind w:left="0" w:right="0" w:firstLine="640" w:firstLineChars="200"/>
        <w:rPr>
          <w:color w:val="auto"/>
          <w:lang w:val="zh-CN"/>
        </w:rPr>
      </w:pPr>
      <w:r>
        <w:rPr>
          <w:rFonts w:hint="eastAsia" w:ascii="仿宋_GB2312" w:eastAsia="仿宋_GB2312" w:cs="仿宋_GB2312"/>
          <w:sz w:val="32"/>
          <w:szCs w:val="32"/>
        </w:rPr>
        <w:t>本年度共支出经费</w:t>
      </w:r>
      <w:r>
        <w:rPr>
          <w:rFonts w:hint="eastAsia" w:ascii="仿宋_GB2312" w:eastAsia="仿宋_GB2312"/>
          <w:sz w:val="32"/>
          <w:szCs w:val="32"/>
        </w:rPr>
        <w:t>5083.9</w:t>
      </w:r>
      <w:r>
        <w:rPr>
          <w:rFonts w:hint="eastAsia" w:ascii="仿宋_GB2312" w:eastAsia="仿宋_GB2312" w:cs="仿宋_GB2312"/>
          <w:sz w:val="32"/>
          <w:szCs w:val="32"/>
        </w:rPr>
        <w:t>万元。其中：</w:t>
      </w:r>
      <w:r>
        <w:rPr>
          <w:rFonts w:hint="eastAsia" w:ascii="仿宋_GB2312" w:eastAsia="仿宋_GB2312" w:cs="仿宋_GB2312"/>
          <w:color w:val="auto"/>
          <w:sz w:val="32"/>
          <w:szCs w:val="32"/>
        </w:rPr>
        <w:t>1.基本支出</w:t>
      </w:r>
      <w:r>
        <w:rPr>
          <w:rFonts w:hint="eastAsia" w:ascii="仿宋_GB2312" w:eastAsia="仿宋_GB2312"/>
          <w:sz w:val="32"/>
          <w:szCs w:val="32"/>
        </w:rPr>
        <w:t>403.68</w:t>
      </w:r>
      <w:r>
        <w:rPr>
          <w:rFonts w:hint="eastAsia" w:ascii="仿宋_GB2312" w:eastAsia="仿宋_GB2312" w:cs="仿宋_GB2312"/>
          <w:color w:val="auto"/>
          <w:sz w:val="32"/>
          <w:szCs w:val="32"/>
        </w:rPr>
        <w:t>万元（工资和福利支出</w:t>
      </w:r>
      <w:r>
        <w:rPr>
          <w:rFonts w:hint="eastAsia" w:ascii="仿宋_GB2312" w:cs="仿宋_GB2312"/>
          <w:color w:val="auto"/>
          <w:sz w:val="32"/>
          <w:szCs w:val="32"/>
          <w:lang w:val="en-US" w:eastAsia="zh-CN"/>
        </w:rPr>
        <w:t>362.78</w:t>
      </w:r>
      <w:r>
        <w:rPr>
          <w:rFonts w:hint="eastAsia" w:ascii="仿宋_GB2312" w:eastAsia="仿宋_GB2312" w:cs="仿宋_GB2312"/>
          <w:color w:val="auto"/>
          <w:sz w:val="32"/>
          <w:szCs w:val="32"/>
        </w:rPr>
        <w:t>万元，商品和服务支出</w:t>
      </w:r>
      <w:r>
        <w:rPr>
          <w:rFonts w:hint="eastAsia" w:ascii="仿宋_GB2312" w:cs="仿宋_GB2312"/>
          <w:color w:val="auto"/>
          <w:sz w:val="32"/>
          <w:szCs w:val="32"/>
          <w:lang w:val="en-US" w:eastAsia="zh-CN"/>
        </w:rPr>
        <w:t>19.1</w:t>
      </w:r>
      <w:r>
        <w:rPr>
          <w:rFonts w:hint="eastAsia" w:ascii="仿宋_GB2312" w:eastAsia="仿宋_GB2312" w:cs="仿宋_GB2312"/>
          <w:color w:val="auto"/>
          <w:sz w:val="32"/>
          <w:szCs w:val="32"/>
        </w:rPr>
        <w:t>万元，对个人和家庭补助支出</w:t>
      </w:r>
      <w:r>
        <w:rPr>
          <w:rFonts w:hint="eastAsia" w:ascii="仿宋_GB2312" w:cs="仿宋_GB2312"/>
          <w:color w:val="auto"/>
          <w:sz w:val="32"/>
          <w:szCs w:val="32"/>
          <w:lang w:val="en-US" w:eastAsia="zh-CN"/>
        </w:rPr>
        <w:t>21.8</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2.项目支出</w:t>
      </w:r>
      <w:r>
        <w:rPr>
          <w:rFonts w:hint="eastAsia" w:ascii="仿宋_GB2312" w:eastAsia="仿宋_GB2312"/>
          <w:color w:val="auto"/>
          <w:sz w:val="32"/>
          <w:szCs w:val="32"/>
        </w:rPr>
        <w:t>4680.22</w:t>
      </w:r>
      <w:r>
        <w:rPr>
          <w:rFonts w:hint="eastAsia" w:ascii="仿宋_GB2312" w:eastAsia="仿宋_GB2312" w:cs="仿宋_GB2312"/>
          <w:color w:val="auto"/>
          <w:sz w:val="32"/>
          <w:szCs w:val="32"/>
        </w:rPr>
        <w:t>万元。总支出</w:t>
      </w:r>
      <w:r>
        <w:rPr>
          <w:rFonts w:hint="eastAsia" w:ascii="仿宋_GB2312" w:eastAsia="仿宋_GB2312"/>
          <w:sz w:val="32"/>
          <w:szCs w:val="32"/>
        </w:rPr>
        <w:t>5083.9</w:t>
      </w:r>
      <w:r>
        <w:rPr>
          <w:rFonts w:hint="eastAsia" w:ascii="仿宋_GB2312" w:eastAsia="仿宋_GB2312" w:cs="仿宋_GB2312"/>
          <w:color w:val="auto"/>
          <w:sz w:val="32"/>
          <w:szCs w:val="32"/>
        </w:rPr>
        <w:t>万元。</w:t>
      </w:r>
    </w:p>
    <w:p>
      <w:pPr>
        <w:pStyle w:val="27"/>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eastAsia" w:ascii="宋体" w:eastAsia="宋体" w:cs="宋体"/>
          <w:color w:val="000000"/>
          <w:kern w:val="0"/>
          <w:szCs w:val="32"/>
          <w:shd w:val="clear" w:color="auto" w:fill="FFFFFF"/>
        </w:rPr>
      </w:pPr>
      <w:r>
        <w:rPr>
          <w:rFonts w:hint="eastAsia" w:ascii="宋体" w:eastAsia="宋体" w:cs="宋体"/>
          <w:color w:val="000000"/>
          <w:kern w:val="0"/>
          <w:szCs w:val="32"/>
          <w:shd w:val="clear" w:color="auto" w:fill="FFFFFF"/>
        </w:rPr>
        <w:t>部门整体预算绩效管理情况</w:t>
      </w:r>
    </w:p>
    <w:p>
      <w:pPr>
        <w:pStyle w:val="27"/>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eastAsia="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部门预算项目绩效管理</w:t>
      </w:r>
    </w:p>
    <w:p>
      <w:pPr>
        <w:pStyle w:val="28"/>
        <w:rPr>
          <w:rFonts w:hint="eastAsia" w:ascii="仿宋" w:eastAsia="仿宋" w:cs="仿宋"/>
          <w:color w:val="000000"/>
          <w:kern w:val="0"/>
          <w:szCs w:val="32"/>
          <w:shd w:val="clear" w:color="auto" w:fill="FFFFFF"/>
          <w:lang w:val="en-US" w:eastAsia="zh-CN"/>
        </w:rPr>
      </w:pPr>
      <w:r>
        <w:rPr>
          <w:rFonts w:hint="eastAsia" w:ascii="仿宋" w:eastAsia="仿宋" w:cs="仿宋"/>
          <w:color w:val="000000"/>
          <w:kern w:val="0"/>
          <w:szCs w:val="32"/>
          <w:shd w:val="clear" w:color="auto" w:fill="FFFFFF"/>
          <w:lang w:val="en-US" w:eastAsia="zh-CN"/>
        </w:rPr>
        <w:t>为保证财政资金使用效率，我单位严格按照《预算法》完成年度目标任务，人员类和运转类支出严格按年初预算执行，保障了机关的正常运转；项目类支出严格按照项目实施方案，对项目进行事前、事中、事后绩效评价分析，确保项目顺利实施，项目实施过程中严格按要求实施，具有较好的经济效益和社会效益，项目实施效果好，具有高度的可持续性。</w:t>
      </w:r>
    </w:p>
    <w:p>
      <w:pPr>
        <w:pStyle w:val="28"/>
        <w:rPr>
          <w:rFonts w:hint="eastAsia" w:ascii="仿宋_GB2312" w:eastAsia="仿宋_GB2312" w:cs="宋体"/>
          <w:b/>
          <w:color w:val="000000"/>
          <w:kern w:val="0"/>
          <w:sz w:val="32"/>
          <w:szCs w:val="32"/>
          <w:shd w:val="clear" w:color="auto" w:fill="FFFFFF"/>
          <w:lang w:val="zh-CN"/>
        </w:rPr>
      </w:pPr>
      <w:r>
        <w:rPr>
          <w:rFonts w:hint="eastAsia" w:ascii="仿宋_GB2312" w:eastAsia="仿宋_GB2312" w:cs="宋体"/>
          <w:b/>
          <w:color w:val="000000"/>
          <w:kern w:val="0"/>
          <w:sz w:val="32"/>
          <w:szCs w:val="32"/>
          <w:shd w:val="clear" w:color="auto" w:fill="FFFFFF"/>
          <w:lang w:val="zh-CN"/>
        </w:rPr>
        <w:t>（二）</w:t>
      </w:r>
      <w:r>
        <w:rPr>
          <w:rFonts w:hint="eastAsia" w:ascii="仿宋_GB2312" w:cs="宋体"/>
          <w:b/>
          <w:color w:val="000000"/>
          <w:kern w:val="0"/>
          <w:sz w:val="32"/>
          <w:szCs w:val="32"/>
          <w:shd w:val="clear" w:color="auto" w:fill="FFFFFF"/>
          <w:lang w:val="zh-CN"/>
        </w:rPr>
        <w:t>结果应用</w:t>
      </w:r>
      <w:r>
        <w:rPr>
          <w:rFonts w:hint="eastAsia" w:ascii="仿宋_GB2312" w:eastAsia="仿宋_GB2312" w:cs="宋体"/>
          <w:b/>
          <w:color w:val="000000"/>
          <w:kern w:val="0"/>
          <w:sz w:val="32"/>
          <w:szCs w:val="32"/>
          <w:shd w:val="clear" w:color="auto" w:fill="FFFFFF"/>
          <w:lang w:val="zh-CN"/>
        </w:rPr>
        <w:t>情况。</w:t>
      </w:r>
    </w:p>
    <w:p>
      <w:pPr>
        <w:pStyle w:val="27"/>
        <w:keepNext w:val="0"/>
        <w:keepLines w:val="0"/>
        <w:pageBreakBefore w:val="0"/>
        <w:widowControl w:val="0"/>
        <w:kinsoku/>
        <w:wordWrap/>
        <w:overflowPunct/>
        <w:topLinePunct w:val="0"/>
        <w:autoSpaceDE/>
        <w:autoSpaceDN/>
        <w:bidi w:val="0"/>
        <w:spacing w:line="560" w:lineRule="exact"/>
        <w:ind w:left="420" w:leftChars="200" w:firstLine="640" w:firstLineChars="200"/>
        <w:textAlignment w:val="auto"/>
        <w:rPr>
          <w:rFonts w:hint="eastAsia" w:ascii="仿宋_GB2312" w:cs="宋体"/>
          <w:b w:val="0"/>
          <w:bCs/>
          <w:color w:val="auto"/>
          <w:kern w:val="0"/>
          <w:sz w:val="32"/>
          <w:szCs w:val="32"/>
          <w:shd w:val="clear" w:color="auto" w:fill="FFFFFF"/>
          <w:lang w:val="zh-CN"/>
        </w:rPr>
      </w:pPr>
      <w:r>
        <w:rPr>
          <w:rFonts w:hint="eastAsia" w:ascii="仿宋_GB2312" w:eastAsia="仿宋_GB2312" w:cs="宋体"/>
          <w:b w:val="0"/>
          <w:bCs/>
          <w:color w:val="auto"/>
          <w:kern w:val="0"/>
          <w:sz w:val="32"/>
          <w:szCs w:val="32"/>
          <w:shd w:val="clear" w:color="auto" w:fill="FFFFFF"/>
          <w:lang w:val="zh-CN"/>
        </w:rPr>
        <w:t>我单位在预算编制上做到认真、负责、按时</w:t>
      </w:r>
      <w:r>
        <w:rPr>
          <w:rFonts w:ascii="仿宋_GB2312" w:eastAsia="仿宋_GB2312" w:cs="宋体"/>
          <w:b w:val="0"/>
          <w:bCs/>
          <w:color w:val="auto"/>
          <w:kern w:val="0"/>
          <w:sz w:val="32"/>
          <w:szCs w:val="32"/>
          <w:shd w:val="clear" w:color="auto" w:fill="FFFFFF"/>
          <w:lang w:val="zh-CN"/>
        </w:rPr>
        <w:t>按</w:t>
      </w:r>
      <w:r>
        <w:rPr>
          <w:rFonts w:hint="eastAsia" w:ascii="仿宋_GB2312" w:eastAsia="仿宋_GB2312" w:cs="宋体"/>
          <w:b w:val="0"/>
          <w:bCs/>
          <w:color w:val="auto"/>
          <w:kern w:val="0"/>
          <w:sz w:val="32"/>
          <w:szCs w:val="32"/>
          <w:shd w:val="clear" w:color="auto" w:fill="FFFFFF"/>
          <w:lang w:val="zh-CN"/>
        </w:rPr>
        <w:t>规定报送。</w:t>
      </w:r>
      <w:r>
        <w:rPr>
          <w:rFonts w:hint="eastAsia" w:ascii="仿宋_GB2312" w:cs="宋体"/>
          <w:b w:val="0"/>
          <w:bCs/>
          <w:color w:val="auto"/>
          <w:kern w:val="0"/>
          <w:sz w:val="32"/>
          <w:szCs w:val="32"/>
          <w:shd w:val="clear" w:color="auto" w:fill="FFFFFF"/>
          <w:lang w:val="zh-CN"/>
        </w:rPr>
        <w:t>所有预算收支</w:t>
      </w:r>
      <w:r>
        <w:rPr>
          <w:rFonts w:hint="eastAsia" w:ascii="仿宋_GB2312" w:eastAsia="仿宋_GB2312" w:cs="宋体"/>
          <w:b w:val="0"/>
          <w:bCs/>
          <w:color w:val="auto"/>
          <w:kern w:val="0"/>
          <w:sz w:val="32"/>
          <w:szCs w:val="32"/>
          <w:shd w:val="clear" w:color="auto" w:fill="FFFFFF"/>
          <w:lang w:val="zh-CN"/>
        </w:rPr>
        <w:t>包括部门绩效目标制定、目标实现、预算编制准确、支出控制、预算动态调整、执行进度、预算完成情况</w:t>
      </w:r>
      <w:r>
        <w:rPr>
          <w:rFonts w:hint="eastAsia" w:ascii="仿宋_GB2312" w:cs="宋体"/>
          <w:b w:val="0"/>
          <w:bCs/>
          <w:color w:val="auto"/>
          <w:kern w:val="0"/>
          <w:sz w:val="32"/>
          <w:szCs w:val="32"/>
          <w:shd w:val="clear" w:color="auto" w:fill="FFFFFF"/>
          <w:lang w:val="zh-CN"/>
        </w:rPr>
        <w:t>都符合国家政策，无</w:t>
      </w:r>
      <w:r>
        <w:rPr>
          <w:rFonts w:hint="eastAsia" w:ascii="仿宋_GB2312" w:eastAsia="仿宋_GB2312" w:cs="宋体"/>
          <w:b w:val="0"/>
          <w:bCs/>
          <w:color w:val="auto"/>
          <w:kern w:val="0"/>
          <w:sz w:val="32"/>
          <w:szCs w:val="32"/>
          <w:shd w:val="clear" w:color="auto" w:fill="FFFFFF"/>
          <w:lang w:val="zh-CN"/>
        </w:rPr>
        <w:t>违规记录等情况</w:t>
      </w:r>
      <w:r>
        <w:rPr>
          <w:rFonts w:hint="eastAsia" w:ascii="仿宋_GB2312" w:cs="宋体"/>
          <w:b w:val="0"/>
          <w:bCs/>
          <w:color w:val="auto"/>
          <w:kern w:val="0"/>
          <w:sz w:val="32"/>
          <w:szCs w:val="32"/>
          <w:shd w:val="clear" w:color="auto" w:fill="FFFFFF"/>
          <w:lang w:val="zh-CN"/>
        </w:rPr>
        <w:t>。</w:t>
      </w:r>
    </w:p>
    <w:p>
      <w:pPr>
        <w:pStyle w:val="27"/>
        <w:widowControl/>
        <w:adjustRightInd w:val="0"/>
        <w:snapToGrid w:val="0"/>
        <w:spacing w:line="540" w:lineRule="exact"/>
        <w:ind w:firstLine="642" w:firstLineChars="200"/>
        <w:jc w:val="left"/>
        <w:rPr>
          <w:rFonts w:hint="eastAsia" w:ascii="仿宋" w:eastAsia="仿宋" w:cs="仿宋"/>
          <w:b w:val="0"/>
          <w:bCs w:val="0"/>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（三）自评质量</w:t>
      </w:r>
      <w:r>
        <w:rPr>
          <w:rFonts w:hint="eastAsia" w:ascii="仿宋" w:eastAsia="仿宋" w:cs="仿宋"/>
          <w:b w:val="0"/>
          <w:bCs w:val="0"/>
          <w:color w:val="000000"/>
          <w:kern w:val="0"/>
          <w:sz w:val="32"/>
          <w:szCs w:val="32"/>
          <w:shd w:val="clear" w:color="auto" w:fill="FFFFFF"/>
          <w:lang w:val="zh-CN"/>
        </w:rPr>
        <w:t>。</w:t>
      </w:r>
    </w:p>
    <w:p>
      <w:pPr>
        <w:pStyle w:val="36"/>
        <w:pageBreakBefore w:val="0"/>
        <w:widowControl w:val="0"/>
        <w:kinsoku/>
        <w:wordWrap/>
        <w:overflowPunct/>
        <w:topLinePunct w:val="0"/>
        <w:bidi w:val="0"/>
        <w:spacing w:before="0" w:beforeAutospacing="0" w:after="0" w:afterAutospacing="0" w:line="576" w:lineRule="exact"/>
        <w:ind w:left="0" w:right="0" w:firstLine="960" w:firstLineChars="300"/>
        <w:jc w:val="both"/>
        <w:rPr>
          <w:rFonts w:hint="eastAsia" w:ascii="仿宋" w:eastAsia="仿宋" w:cs="仿宋"/>
          <w:b w:val="0"/>
          <w:bCs w:val="0"/>
          <w:color w:val="auto"/>
          <w:kern w:val="0"/>
          <w:sz w:val="32"/>
          <w:szCs w:val="32"/>
          <w:lang w:val="zh-CN"/>
        </w:rPr>
      </w:pPr>
      <w:r>
        <w:rPr>
          <w:rFonts w:hint="eastAsia" w:ascii="仿宋_GB2312" w:eastAsia="仿宋_GB2312" w:cs="宋体"/>
          <w:color w:val="000000"/>
          <w:kern w:val="0"/>
          <w:sz w:val="32"/>
          <w:szCs w:val="32"/>
          <w:shd w:val="clear" w:color="auto" w:fill="FFFFFF"/>
          <w:lang w:val="zh-CN"/>
        </w:rPr>
        <w:t>绩效自评公开，产生了一定的社会效益和经济效益，</w:t>
      </w:r>
      <w:r>
        <w:rPr>
          <w:rFonts w:hint="eastAsia" w:ascii="仿宋_GB2312" w:eastAsia="仿宋_GB2312" w:cs="仿宋_GB2312"/>
          <w:color w:val="000000"/>
          <w:sz w:val="32"/>
          <w:szCs w:val="32"/>
        </w:rPr>
        <w:t>保老百姓出行和农作物运输条件。切实保证运输安全，认真开展安全“隐患清零”“安全生产月”等专项活动。深入开展“打非治违”工作，扎实推进交通建设质量安全监管。坚决遏制重特大质量安全事故的发生，辖区内无发生安全责任事故、无质量事故。客运站服务质量稳步提升以赴做好运力、应急等各类保障工作。</w:t>
      </w:r>
      <w:r>
        <w:rPr>
          <w:rFonts w:hint="eastAsia" w:ascii="仿宋" w:eastAsia="仿宋" w:cs="仿宋"/>
          <w:b w:val="0"/>
          <w:bCs w:val="0"/>
          <w:color w:val="auto"/>
          <w:kern w:val="0"/>
          <w:sz w:val="32"/>
          <w:szCs w:val="32"/>
          <w:lang w:val="zh-CN"/>
        </w:rPr>
        <w:t>在信息公开上，我单位及时将预算编制信息在茂县政府门户网站上进行公示，接受社会的监督和检查。</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（一）评价结论。</w:t>
      </w:r>
    </w:p>
    <w:p>
      <w:pPr>
        <w:pStyle w:val="2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eastAsia="仿宋_GB2312"/>
          <w:sz w:val="32"/>
          <w:szCs w:val="32"/>
        </w:rPr>
        <w:t>20</w:t>
      </w:r>
      <w:r>
        <w:rPr>
          <w:rFonts w:hint="eastAsia" w:ascii="仿宋_GB2312"/>
          <w:sz w:val="32"/>
          <w:szCs w:val="32"/>
          <w:lang w:val="en-US" w:eastAsia="zh-CN"/>
        </w:rPr>
        <w:t>21</w:t>
      </w:r>
      <w:r>
        <w:rPr>
          <w:rFonts w:hint="eastAsia" w:ascii="仿宋_GB2312" w:eastAsia="仿宋_GB2312"/>
          <w:sz w:val="32"/>
          <w:szCs w:val="32"/>
        </w:rPr>
        <w:t>年我局部门整体支出绩效评价自查自评结果良好，全年基本支出保证了部门的正常运行和日常工作的正常开展，项目支出保障了重点工作的开展，达到预期绩效目标。</w:t>
      </w:r>
    </w:p>
    <w:p>
      <w:pPr>
        <w:pStyle w:val="27"/>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存在问题。</w:t>
      </w:r>
    </w:p>
    <w:p>
      <w:pPr>
        <w:pStyle w:val="27"/>
        <w:pageBreakBefore w:val="0"/>
        <w:widowControl w:val="0"/>
        <w:kinsoku/>
        <w:wordWrap/>
        <w:overflowPunct/>
        <w:topLinePunct w:val="0"/>
        <w:autoSpaceDN w:val="0"/>
        <w:bidi w:val="0"/>
        <w:spacing w:line="576" w:lineRule="exact"/>
        <w:ind w:left="40" w:right="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农村公路特别是通村公路建设安保设施滞后，缺乏安全防护设施，部分农村公路安全隐患治理不彻底，安全隐患严重</w:t>
      </w:r>
      <w:r>
        <w:rPr>
          <w:rFonts w:hint="eastAsia" w:ascii="仿宋_GB2312" w:eastAsia="仿宋_GB2312"/>
          <w:sz w:val="32"/>
          <w:szCs w:val="32"/>
          <w:lang w:eastAsia="zh-CN"/>
        </w:rPr>
        <w:t>。</w:t>
      </w:r>
    </w:p>
    <w:p>
      <w:pPr>
        <w:pStyle w:val="27"/>
        <w:pageBreakBefore w:val="0"/>
        <w:widowControl w:val="0"/>
        <w:kinsoku/>
        <w:wordWrap/>
        <w:overflowPunct/>
        <w:topLinePunct w:val="0"/>
        <w:autoSpaceDN w:val="0"/>
        <w:bidi w:val="0"/>
        <w:spacing w:line="576" w:lineRule="exact"/>
        <w:ind w:left="40" w:right="0" w:firstLine="640" w:firstLineChars="200"/>
        <w:rPr>
          <w:lang w:val="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基层安全监管仍存在薄弱环节，</w:t>
      </w:r>
      <w:r>
        <w:rPr>
          <w:rFonts w:hint="eastAsia" w:ascii="仿宋_GB2312" w:eastAsia="仿宋_GB2312"/>
          <w:sz w:val="32"/>
          <w:szCs w:val="32"/>
        </w:rPr>
        <w:t>客运企业安全生产意识不高，</w:t>
      </w:r>
      <w:r>
        <w:rPr>
          <w:rFonts w:hint="eastAsia" w:ascii="仿宋_GB2312" w:eastAsia="仿宋_GB2312" w:cs="仿宋_GB2312"/>
          <w:sz w:val="32"/>
          <w:szCs w:val="32"/>
        </w:rPr>
        <w:t>城市公交、出租汽车行业和农村客运违规违章现象时有发生</w:t>
      </w:r>
      <w:r>
        <w:rPr>
          <w:rFonts w:hint="eastAsia" w:ascii="仿宋_GB2312" w:eastAsia="仿宋_GB2312" w:cs="仿宋_GB2312"/>
          <w:sz w:val="32"/>
          <w:szCs w:val="32"/>
          <w:lang w:eastAsia="zh-CN"/>
        </w:rPr>
        <w:t>。</w:t>
      </w:r>
    </w:p>
    <w:p>
      <w:pPr>
        <w:pStyle w:val="27"/>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改进建议。</w:t>
      </w:r>
    </w:p>
    <w:p>
      <w:pPr>
        <w:pStyle w:val="27"/>
        <w:pageBreakBefore w:val="0"/>
        <w:widowControl w:val="0"/>
        <w:kinsoku/>
        <w:wordWrap/>
        <w:overflowPunct/>
        <w:topLinePunct w:val="0"/>
        <w:bidi w:val="0"/>
        <w:spacing w:line="576" w:lineRule="exact"/>
        <w:ind w:left="0" w:right="0" w:firstLine="848"/>
        <w:rPr>
          <w:rFonts w:hint="eastAsia" w:ascii="仿宋_GB2312" w:eastAsia="仿宋_GB2312" w:cs="仿宋_GB2312"/>
          <w:color w:val="333333"/>
          <w:kern w:val="0"/>
          <w:sz w:val="32"/>
          <w:szCs w:val="32"/>
        </w:rPr>
      </w:pPr>
      <w:r>
        <w:rPr>
          <w:rFonts w:hint="eastAsia" w:ascii="仿宋_GB2312" w:cs="仿宋_GB2312"/>
          <w:color w:val="333333"/>
          <w:kern w:val="0"/>
          <w:sz w:val="32"/>
          <w:szCs w:val="32"/>
          <w:lang w:val="en-US" w:eastAsia="zh-CN"/>
        </w:rPr>
        <w:t>1.</w:t>
      </w:r>
      <w:r>
        <w:rPr>
          <w:rFonts w:hint="eastAsia" w:ascii="仿宋_GB2312" w:eastAsia="仿宋_GB2312" w:cs="宋体"/>
          <w:color w:val="000000"/>
          <w:kern w:val="0"/>
          <w:sz w:val="32"/>
          <w:szCs w:val="32"/>
          <w:shd w:val="clear" w:color="auto" w:fill="FFFFFF"/>
          <w:lang w:eastAsia="zh-CN"/>
        </w:rPr>
        <w:t>一是提高安全宣传力度；二是提升农村公路改造升级，消除安全隐患。三</w:t>
      </w:r>
      <w:r>
        <w:rPr>
          <w:rFonts w:ascii="仿宋_GB2312" w:eastAsia="仿宋_GB2312" w:cs="宋体"/>
          <w:color w:val="000000"/>
          <w:kern w:val="0"/>
          <w:sz w:val="32"/>
          <w:szCs w:val="32"/>
          <w:shd w:val="clear" w:color="auto" w:fill="FFFFFF"/>
        </w:rPr>
        <w:t>是严格审核预算方案，科学编制预算方案，认真执行，强化监督</w:t>
      </w:r>
      <w:r>
        <w:rPr>
          <w:rFonts w:hint="eastAsia" w:ascii="仿宋_GB2312" w:eastAsia="仿宋_GB2312" w:cs="宋体"/>
          <w:color w:val="000000"/>
          <w:kern w:val="0"/>
          <w:sz w:val="32"/>
          <w:szCs w:val="32"/>
          <w:shd w:val="clear" w:color="auto" w:fill="FFFFFF"/>
          <w:lang w:eastAsia="zh-CN"/>
        </w:rPr>
        <w:t>。</w:t>
      </w:r>
      <w:r>
        <w:rPr>
          <w:rFonts w:hint="eastAsia" w:ascii="仿宋_GB2312" w:cs="宋体"/>
          <w:color w:val="000000"/>
          <w:kern w:val="0"/>
          <w:sz w:val="32"/>
          <w:szCs w:val="32"/>
          <w:shd w:val="clear" w:color="auto" w:fill="FFFFFF"/>
          <w:lang w:eastAsia="zh-CN"/>
        </w:rPr>
        <w:t>四是</w:t>
      </w:r>
      <w:r>
        <w:rPr>
          <w:rFonts w:hint="eastAsia" w:ascii="仿宋_GB2312" w:eastAsia="仿宋_GB2312" w:cs="仿宋_GB2312"/>
          <w:color w:val="333333"/>
          <w:kern w:val="0"/>
          <w:sz w:val="32"/>
          <w:szCs w:val="32"/>
        </w:rPr>
        <w:t>加强新《预算法》、《行政单位会计制度》等学习培训，规范部门预算收支核算，制定和完善基本支出、项目支出等各项支出标准，严格按项目和进度执行预算，增强预算的约束力和严肃性。</w:t>
      </w:r>
      <w:r>
        <w:rPr>
          <w:rFonts w:hint="eastAsia" w:ascii="仿宋_GB2312" w:cs="仿宋_GB2312"/>
          <w:color w:val="333333"/>
          <w:kern w:val="0"/>
          <w:sz w:val="32"/>
          <w:szCs w:val="32"/>
          <w:lang w:eastAsia="zh-CN"/>
        </w:rPr>
        <w:t>五</w:t>
      </w:r>
      <w:r>
        <w:rPr>
          <w:rFonts w:hint="eastAsia" w:ascii="仿宋_GB2312" w:eastAsia="仿宋_GB2312" w:cs="仿宋_GB2312"/>
          <w:color w:val="333333"/>
          <w:kern w:val="0"/>
          <w:sz w:val="32"/>
          <w:szCs w:val="32"/>
        </w:rPr>
        <w:t>是落实预算执行分析，及时了解预算执行差异，合理调整、纠正预算执行偏差，切实提高部门预算收支管理水平。</w:t>
      </w:r>
    </w:p>
    <w:p>
      <w:pPr>
        <w:pStyle w:val="27"/>
        <w:keepNext w:val="0"/>
        <w:keepLines w:val="0"/>
        <w:pageBreakBefore w:val="0"/>
        <w:widowControl/>
        <w:kinsoku/>
        <w:wordWrap/>
        <w:overflowPunct/>
        <w:topLinePunct w:val="0"/>
        <w:autoSpaceDE/>
        <w:autoSpaceDN/>
        <w:bidi w:val="0"/>
        <w:adjustRightInd w:val="0"/>
        <w:snapToGrid w:val="0"/>
        <w:spacing w:line="560" w:lineRule="exact"/>
        <w:ind w:left="420" w:leftChars="200"/>
        <w:contextualSpacing/>
        <w:jc w:val="left"/>
        <w:textAlignment w:val="auto"/>
        <w:rPr>
          <w:rFonts w:hint="eastAsia" w:ascii="仿宋_GB2312" w:cs="宋体"/>
          <w:color w:val="000000"/>
          <w:kern w:val="0"/>
          <w:szCs w:val="32"/>
          <w:shd w:val="clear" w:color="auto" w:fill="FFFFFF"/>
          <w:lang w:val="zh-CN"/>
        </w:rPr>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沟口镇飞虹村村道堡坎建设项目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县县委办公室 茂县人民政府办公室《关于下达茂县2021年度统筹整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编制完成《沟口镇飞虹村村道堡坎建设项目实施方案》，继续加强我村基础设施的建设，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下达给沟口镇飞虹村村道堡坎建设项目资金57.6</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。按照有关文件要求，编制完成了《沟口镇飞虹村村道堡坎建设项目实施方案》，并呈报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对《沟口镇飞虹村村道堡坎建设项目实施方案》进行了审查，同意报的实施方案，并下达批复，要求按照实施方案，抓紧组织实施，确保项目按时保质保量完成。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年11月完成项目区所有建设任务，收集整理资料，搞好项目总结，迎接上级检查验收。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，资金为57.6</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w:t>
      </w:r>
      <w:bookmarkStart w:id="72" w:name="_Toc15378441"/>
      <w:bookmarkEnd w:id="72"/>
      <w:r>
        <w:rPr>
          <w:rFonts w:hint="eastAsia" w:ascii="仿宋" w:eastAsia="仿宋" w:cs="仿宋"/>
          <w:color w:val="auto"/>
          <w:kern w:val="2"/>
          <w:sz w:val="32"/>
          <w:szCs w:val="32"/>
          <w:lang w:bidi="ar-SA"/>
        </w:rPr>
        <w:t>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7"/>
      </w:pPr>
    </w:p>
    <w:p>
      <w:pPr>
        <w:pStyle w:val="27"/>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沟口镇沟口村村道堡坎及路面整治项目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县县委办公室 茂县人民政府办公室《关于下达茂县2021年度统筹整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编制完成《沟口镇沟口村村道堡坎及路面整治项目实施方案》，继续加强我村基础设施的建设，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下达给沟口镇沟口村村道堡坎及路面整治项目资金57.6</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。按照有关文件要求，编制完成了《沟口镇沟口村村道堡坎及路面整治项目实施方案》，并呈报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对《沟口镇沟口村村道堡坎及路面整治项目实施方案》进行了审查，同意报的实施方案，并下达批复，要求按照实施方案，抓紧组织实施，确保项目按时保质保量完成。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，资金为57.6</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沟口镇水若村村道堡坎建设项目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县县委办公室 茂县人民政府办公室《关于下达茂县2021年度统筹整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编制完成《沟口镇水若村村道堡坎建设项目实施方案》，继续加强我村基础设施的建设，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下达给沟口镇水若村村道堡坎建设项目资金96</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。按照有关文件要求，编制完成了《沟口镇水若村村道堡坎建设项目实施方案》，并呈报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对《沟口镇水若村村道堡坎建设项目实施方案》进行了审查，同意报的实施方案，并下达批复，要求按照实施方案，抓紧组织实施，确保项目按时保质保量完成。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，资金为96</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8"/>
        <w:rPr>
          <w:rFonts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rPr>
          <w:rFonts w:ascii="仿宋" w:eastAsia="仿宋" w:cs="仿宋"/>
          <w:sz w:val="32"/>
          <w:szCs w:val="32"/>
          <w:lang w:bidi="ar-SA"/>
        </w:rPr>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沟口镇吾家村村道堡坎建设项目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县县委办公室 茂县人民政府办公室《关于下达茂县2021年度统筹整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编制完成《沟口镇吾家村村道堡坎建设项目实施方案》，继续加强我村基础设施的建设，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下达给沟口镇吾家村村道堡坎建设项目资金32</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。按照有关文件要求，编制完成了《沟口镇吾家村村道堡坎建设项目实施方案》，并呈报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对《沟口镇吾家村村道堡坎建设项目实施方案》进行了审查，同意报的实施方案，并下达批复，要求按照实施方案，抓紧组织实施，确保项目按时保质保量完成。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，资金为32</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黑虎镇蔼紫关村村道维修整治项目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县县委办公室 茂县人民政府办公室《关于下达茂县2021年度统筹整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w:t>
      </w:r>
      <w:r>
        <w:rPr>
          <w:rFonts w:hint="eastAsia" w:ascii="仿宋" w:eastAsia="仿宋" w:cs="仿宋"/>
          <w:bCs/>
          <w:sz w:val="32"/>
          <w:szCs w:val="32"/>
          <w:lang w:bidi="ar-SA"/>
        </w:rPr>
        <w:t>黑虎镇蔼紫关村村道维修整治项目</w:t>
      </w:r>
      <w:r>
        <w:rPr>
          <w:rFonts w:hint="eastAsia" w:ascii="仿宋" w:eastAsia="仿宋" w:cs="仿宋"/>
          <w:sz w:val="32"/>
          <w:szCs w:val="32"/>
          <w:lang w:bidi="ar-SA"/>
        </w:rPr>
        <w:t>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w:t>
      </w:r>
      <w:r>
        <w:rPr>
          <w:rFonts w:hint="eastAsia" w:ascii="仿宋" w:eastAsia="仿宋" w:cs="仿宋"/>
          <w:bCs/>
          <w:sz w:val="32"/>
          <w:szCs w:val="32"/>
          <w:lang w:bidi="ar-SA"/>
        </w:rPr>
        <w:t>黑虎镇蔼紫关村村道维修整治</w:t>
      </w:r>
      <w:r>
        <w:rPr>
          <w:rFonts w:hint="eastAsia" w:ascii="仿宋" w:eastAsia="仿宋" w:cs="仿宋"/>
          <w:sz w:val="32"/>
          <w:szCs w:val="32"/>
          <w:lang w:bidi="ar-SA"/>
        </w:rPr>
        <w:t xml:space="preserve">项目资金26.4 </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w:t>
      </w:r>
      <w:r>
        <w:rPr>
          <w:rFonts w:hint="eastAsia" w:ascii="仿宋" w:eastAsia="仿宋" w:cs="仿宋"/>
          <w:bCs/>
          <w:sz w:val="32"/>
          <w:szCs w:val="32"/>
          <w:lang w:bidi="ar-SA"/>
        </w:rPr>
        <w:t>黑虎镇蔼紫关村村道维修整治项目</w:t>
      </w:r>
      <w:r>
        <w:rPr>
          <w:rFonts w:hint="eastAsia" w:ascii="仿宋" w:eastAsia="仿宋" w:cs="仿宋"/>
          <w:sz w:val="32"/>
          <w:szCs w:val="32"/>
          <w:lang w:bidi="ar-SA"/>
        </w:rPr>
        <w:t>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w:t>
      </w:r>
      <w:r>
        <w:rPr>
          <w:rFonts w:hint="eastAsia" w:ascii="仿宋" w:eastAsia="仿宋" w:cs="仿宋"/>
          <w:bCs/>
          <w:sz w:val="32"/>
          <w:szCs w:val="32"/>
          <w:lang w:bidi="ar-SA"/>
        </w:rPr>
        <w:t>黑虎镇蔼紫关村村道维修整治项目</w:t>
      </w:r>
      <w:r>
        <w:rPr>
          <w:rFonts w:hint="eastAsia" w:ascii="仿宋" w:eastAsia="仿宋" w:cs="仿宋"/>
          <w:sz w:val="32"/>
          <w:szCs w:val="32"/>
          <w:lang w:bidi="ar-SA"/>
        </w:rPr>
        <w:t>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年9月开展前期工作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年9月项目建设中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年11月完成项目区所有建设任务，收集整理资料，搞好项目总结，迎接上级检查验收。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，资金为26.4</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黑虎镇耕读百吉村村道维修整治项目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w:t>
      </w:r>
      <w:r>
        <w:rPr>
          <w:rFonts w:hint="eastAsia" w:ascii="仿宋" w:eastAsia="仿宋" w:cs="仿宋"/>
          <w:bCs/>
          <w:sz w:val="32"/>
          <w:szCs w:val="32"/>
          <w:lang w:bidi="ar-SA"/>
        </w:rPr>
        <w:t>黑虎镇耕读百吉村村道维修整治项目</w:t>
      </w:r>
      <w:r>
        <w:rPr>
          <w:rFonts w:hint="eastAsia" w:ascii="仿宋" w:eastAsia="仿宋" w:cs="仿宋"/>
          <w:sz w:val="32"/>
          <w:szCs w:val="32"/>
          <w:lang w:bidi="ar-SA"/>
        </w:rPr>
        <w:t>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w:t>
      </w:r>
      <w:r>
        <w:rPr>
          <w:rFonts w:hint="eastAsia" w:ascii="仿宋" w:eastAsia="仿宋" w:cs="仿宋"/>
          <w:bCs/>
          <w:sz w:val="32"/>
          <w:szCs w:val="32"/>
          <w:lang w:bidi="ar-SA"/>
        </w:rPr>
        <w:t>黑虎镇耕读百吉村村道维修整治项目</w:t>
      </w:r>
      <w:r>
        <w:rPr>
          <w:rFonts w:hint="eastAsia" w:ascii="仿宋" w:eastAsia="仿宋" w:cs="仿宋"/>
          <w:sz w:val="32"/>
          <w:szCs w:val="32"/>
          <w:lang w:bidi="ar-SA"/>
        </w:rPr>
        <w:t xml:space="preserve">资金55.2 </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w:t>
      </w:r>
      <w:r>
        <w:rPr>
          <w:rFonts w:hint="eastAsia" w:ascii="仿宋" w:eastAsia="仿宋" w:cs="仿宋"/>
          <w:bCs/>
          <w:sz w:val="32"/>
          <w:szCs w:val="32"/>
          <w:lang w:bidi="ar-SA"/>
        </w:rPr>
        <w:t>黑虎镇耕读百吉村村道维修整治项目</w:t>
      </w:r>
      <w:r>
        <w:rPr>
          <w:rFonts w:hint="eastAsia" w:ascii="仿宋" w:eastAsia="仿宋" w:cs="仿宋"/>
          <w:sz w:val="32"/>
          <w:szCs w:val="32"/>
          <w:lang w:bidi="ar-SA"/>
        </w:rPr>
        <w:t>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w:t>
      </w:r>
      <w:r>
        <w:rPr>
          <w:rFonts w:hint="eastAsia" w:ascii="仿宋" w:eastAsia="仿宋" w:cs="仿宋"/>
          <w:bCs/>
          <w:sz w:val="32"/>
          <w:szCs w:val="32"/>
          <w:lang w:bidi="ar-SA"/>
        </w:rPr>
        <w:t>黑虎镇耕读百吉村村道维修整治项目</w:t>
      </w:r>
      <w:r>
        <w:rPr>
          <w:rFonts w:hint="eastAsia" w:ascii="仿宋" w:eastAsia="仿宋" w:cs="仿宋"/>
          <w:sz w:val="32"/>
          <w:szCs w:val="32"/>
          <w:lang w:bidi="ar-SA"/>
        </w:rPr>
        <w:t>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年9月开展前期工作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年9月项目建设中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年11月完成项目区所有建设任务，收集整理资料，搞好项目总结，迎接上级检查验收。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，资金为55.2</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w:t>
      </w:r>
      <w:bookmarkStart w:id="132" w:name="_GoBack"/>
      <w:bookmarkEnd w:id="132"/>
      <w:r>
        <w:rPr>
          <w:rFonts w:hint="eastAsia" w:ascii="仿宋" w:eastAsia="仿宋" w:cs="仿宋"/>
          <w:color w:val="auto"/>
          <w:kern w:val="2"/>
          <w:sz w:val="32"/>
          <w:szCs w:val="32"/>
          <w:lang w:bidi="ar-SA"/>
        </w:rPr>
        <w:t>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8"/>
        <w:rPr>
          <w:rFonts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简体" w:eastAsia="方正小标宋简体" w:cs="方正小标宋_GBK"/>
          <w:bCs/>
          <w:sz w:val="36"/>
          <w:szCs w:val="36"/>
          <w:lang w:bidi="ar-SA"/>
        </w:rPr>
      </w:pPr>
      <w:r>
        <w:rPr>
          <w:rFonts w:hint="eastAsia" w:ascii="方正小标宋简体" w:eastAsia="方正小标宋简体" w:cs="方正小标宋_GBK"/>
          <w:bCs/>
          <w:sz w:val="36"/>
          <w:szCs w:val="36"/>
          <w:lang w:bidi="ar-SA"/>
        </w:rPr>
        <w:t>沙坝镇白布村村道维修整治项目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编制完成《沙坝镇白布村村道维修整治项目实施方案》，继续加强我村基础设施的建设，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下达给沙坝镇白布村村道维修整治项目资金60</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。按照有关文件要求，编制完成了《沙坝镇白布村村道维修整治项目实施方案》，并呈报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对《沙坝镇白布村村道维修整治项目实施方案》进行了审查，同意报的实施方案，并下达批复，要求按照实施方案，抓紧组织实施，确保项目按时保质保量完成。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，资金为60</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rPr>
          <w:rFonts w:ascii="仿宋" w:eastAsia="仿宋" w:cs="仿宋"/>
          <w:sz w:val="32"/>
          <w:szCs w:val="32"/>
          <w:lang w:bidi="ar-SA"/>
        </w:rPr>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沙坝镇白溪村村组道板函项目（3座）</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编制完成《沙坝镇白溪村村组道板函项目（3座）实施方案》，继续加强我村基础设施的建设，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 xml:space="preserve">下达给沙坝镇白溪村村组道板函（3座）建设项目资金24.00 </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。按照有关文件要求，编制完成了《沙坝镇白溪村村组道板函项目（3座）实施方案》，并呈报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对《沙坝镇白溪村村组道板函项目（3座）实施方案》进行了审查，同意报的实施方案，并下达批复，要求按照实施方案，抓紧组织实施，确保项目按时保质保量完成。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项目实施进度计划：项目于</w:t>
      </w:r>
      <w:r>
        <w:rPr>
          <w:rFonts w:hint="eastAsia" w:ascii="仿宋" w:eastAsia="仿宋" w:cs="仿宋"/>
          <w:sz w:val="32"/>
          <w:szCs w:val="32"/>
          <w:lang w:eastAsia="zh-CN" w:bidi="ar-SA"/>
        </w:rPr>
        <w:t>2021</w:t>
      </w:r>
      <w:r>
        <w:rPr>
          <w:rFonts w:hint="eastAsia" w:ascii="仿宋" w:eastAsia="仿宋" w:cs="仿宋"/>
          <w:sz w:val="32"/>
          <w:szCs w:val="32"/>
          <w:lang w:bidi="ar-SA"/>
        </w:rPr>
        <w:t>年3月开展前期工作</w:t>
      </w:r>
      <w:r>
        <w:rPr>
          <w:rFonts w:hint="eastAsia" w:ascii="仿宋" w:eastAsia="仿宋" w:cs="仿宋"/>
          <w:sz w:val="32"/>
          <w:szCs w:val="32"/>
          <w:lang w:eastAsia="zh-CN" w:bidi="ar-SA"/>
        </w:rPr>
        <w:t>，2021</w:t>
      </w:r>
      <w:r>
        <w:rPr>
          <w:rFonts w:hint="eastAsia" w:ascii="仿宋" w:eastAsia="仿宋" w:cs="仿宋"/>
          <w:sz w:val="32"/>
          <w:szCs w:val="32"/>
          <w:lang w:bidi="ar-SA"/>
        </w:rPr>
        <w:t>年3月底项目建设中</w:t>
      </w:r>
      <w:r>
        <w:rPr>
          <w:rFonts w:hint="eastAsia" w:ascii="仿宋" w:eastAsia="仿宋" w:cs="仿宋"/>
          <w:sz w:val="32"/>
          <w:szCs w:val="32"/>
          <w:lang w:eastAsia="zh-CN" w:bidi="ar-SA"/>
        </w:rPr>
        <w:t>，2021</w:t>
      </w:r>
      <w:r>
        <w:rPr>
          <w:rFonts w:hint="eastAsia" w:ascii="仿宋" w:eastAsia="仿宋" w:cs="仿宋"/>
          <w:sz w:val="32"/>
          <w:szCs w:val="32"/>
          <w:lang w:bidi="ar-SA"/>
        </w:rPr>
        <w:t>年</w:t>
      </w:r>
      <w:r>
        <w:rPr>
          <w:rFonts w:hint="eastAsia" w:ascii="仿宋" w:eastAsia="仿宋" w:cs="仿宋"/>
          <w:sz w:val="32"/>
          <w:szCs w:val="32"/>
          <w:lang w:val="en-US" w:eastAsia="zh-CN" w:bidi="ar-SA"/>
        </w:rPr>
        <w:t>5</w:t>
      </w:r>
      <w:r>
        <w:rPr>
          <w:rFonts w:hint="eastAsia" w:ascii="仿宋" w:eastAsia="仿宋" w:cs="仿宋"/>
          <w:sz w:val="32"/>
          <w:szCs w:val="32"/>
          <w:lang w:bidi="ar-SA"/>
        </w:rPr>
        <w:t>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 xml:space="preserve">，资金为24.00 </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沙坝镇龙坪村道路维修整治项目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编制完成《沙坝镇龙坪村道路维修整治项目实施方案》，继续加强我村基础设施的建设，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 xml:space="preserve">下达给沙坝镇龙坪村道路维修整治建设项目资金60.7 </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。按照有关文件要求，编制完成了《沙坝镇龙坪村道路维修整治项目实施方案》，并呈报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对《沙坝镇龙坪村道路维修整治项目实施方案》进行了审查，同意报的实施方案，并下达批复，要求按照实施方案，抓紧组织实施，确保项目按时保质保量完成。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项目实施进度计划：项目于</w:t>
      </w:r>
      <w:r>
        <w:rPr>
          <w:rFonts w:hint="eastAsia" w:ascii="仿宋" w:eastAsia="仿宋" w:cs="仿宋"/>
          <w:sz w:val="32"/>
          <w:szCs w:val="32"/>
          <w:lang w:eastAsia="zh-CN" w:bidi="ar-SA"/>
        </w:rPr>
        <w:t>2021</w:t>
      </w:r>
      <w:r>
        <w:rPr>
          <w:rFonts w:hint="eastAsia" w:ascii="仿宋" w:eastAsia="仿宋" w:cs="仿宋"/>
          <w:sz w:val="32"/>
          <w:szCs w:val="32"/>
          <w:lang w:bidi="ar-SA"/>
        </w:rPr>
        <w:t>年4月开展前期工作</w:t>
      </w:r>
      <w:r>
        <w:rPr>
          <w:rFonts w:hint="eastAsia" w:ascii="仿宋" w:eastAsia="仿宋" w:cs="仿宋"/>
          <w:sz w:val="32"/>
          <w:szCs w:val="32"/>
          <w:lang w:eastAsia="zh-CN" w:bidi="ar-SA"/>
        </w:rPr>
        <w:t>，2021</w:t>
      </w:r>
      <w:r>
        <w:rPr>
          <w:rFonts w:hint="eastAsia" w:ascii="仿宋" w:eastAsia="仿宋" w:cs="仿宋"/>
          <w:sz w:val="32"/>
          <w:szCs w:val="32"/>
          <w:lang w:bidi="ar-SA"/>
        </w:rPr>
        <w:t>年4月项目建设中</w:t>
      </w:r>
      <w:r>
        <w:rPr>
          <w:rFonts w:hint="eastAsia" w:ascii="仿宋" w:eastAsia="仿宋" w:cs="仿宋"/>
          <w:sz w:val="32"/>
          <w:szCs w:val="32"/>
          <w:lang w:eastAsia="zh-CN" w:bidi="ar-SA"/>
        </w:rPr>
        <w:t>，2021</w:t>
      </w:r>
      <w:r>
        <w:rPr>
          <w:rFonts w:hint="eastAsia" w:ascii="仿宋" w:eastAsia="仿宋" w:cs="仿宋"/>
          <w:sz w:val="32"/>
          <w:szCs w:val="32"/>
          <w:lang w:bidi="ar-SA"/>
        </w:rPr>
        <w:t>年7月完成项目区所有建设任务，收集整理资料，搞好项目总结，迎接上级检查验收。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，资金为60.7</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沙坝镇小牛儿村村道项目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茂县人民政府办公室《关于下达茂县2021年度统筹整合使用财政涉农资金项目（第一批）的通知》（茂委办发【2021】18号）文件精神要求，</w:t>
      </w:r>
      <w:r>
        <w:rPr>
          <w:rFonts w:hint="eastAsia" w:ascii="仿宋" w:eastAsia="仿宋" w:cs="仿宋"/>
          <w:sz w:val="32"/>
          <w:szCs w:val="32"/>
          <w:lang w:bidi="ar-SA"/>
        </w:rPr>
        <w:t>编制完成《沙坝镇小牛儿村村道项目实施方案》，继续加强我村基础设施的建设，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下达给洼底镇三雅村村道堡坎建设项目资金</w:t>
      </w:r>
      <w:r>
        <w:rPr>
          <w:rFonts w:hint="eastAsia" w:ascii="仿宋" w:eastAsia="仿宋" w:cs="仿宋"/>
          <w:sz w:val="32"/>
          <w:szCs w:val="32"/>
          <w:lang w:val="en-US" w:eastAsia="zh-CN" w:bidi="ar-SA"/>
        </w:rPr>
        <w:t>12.8万元</w:t>
      </w:r>
      <w:r>
        <w:rPr>
          <w:rFonts w:hint="eastAsia" w:ascii="仿宋" w:eastAsia="仿宋" w:cs="仿宋"/>
          <w:sz w:val="32"/>
          <w:szCs w:val="32"/>
          <w:lang w:bidi="ar-SA"/>
        </w:rPr>
        <w:t>。按照有关文件要求，编制完成了《沙坝镇小牛儿村村道项目实施方案》，并呈报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对《沙坝镇小牛儿村村道项目实施方案》进行了审查，同意报的实施方案，并下达批复，要求按照实施方案，抓紧组织实施，确保项目按时保质保量完成。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项目实施进度计划：项目于</w:t>
      </w:r>
      <w:r>
        <w:rPr>
          <w:rFonts w:hint="eastAsia" w:ascii="仿宋" w:eastAsia="仿宋" w:cs="仿宋"/>
          <w:sz w:val="32"/>
          <w:szCs w:val="32"/>
          <w:lang w:eastAsia="zh-CN" w:bidi="ar-SA"/>
        </w:rPr>
        <w:t>2021</w:t>
      </w:r>
      <w:r>
        <w:rPr>
          <w:rFonts w:hint="eastAsia" w:ascii="仿宋" w:eastAsia="仿宋" w:cs="仿宋"/>
          <w:sz w:val="32"/>
          <w:szCs w:val="32"/>
          <w:lang w:bidi="ar-SA"/>
        </w:rPr>
        <w:t>年4月开展前期工作</w:t>
      </w:r>
      <w:r>
        <w:rPr>
          <w:rFonts w:hint="eastAsia" w:ascii="仿宋" w:eastAsia="仿宋" w:cs="仿宋"/>
          <w:sz w:val="32"/>
          <w:szCs w:val="32"/>
          <w:lang w:eastAsia="zh-CN" w:bidi="ar-SA"/>
        </w:rPr>
        <w:t>，2021</w:t>
      </w:r>
      <w:r>
        <w:rPr>
          <w:rFonts w:hint="eastAsia" w:ascii="仿宋" w:eastAsia="仿宋" w:cs="仿宋"/>
          <w:sz w:val="32"/>
          <w:szCs w:val="32"/>
          <w:lang w:bidi="ar-SA"/>
        </w:rPr>
        <w:t>年4</w:t>
      </w:r>
      <w:r>
        <w:rPr>
          <w:rFonts w:hint="eastAsia" w:ascii="仿宋" w:eastAsia="仿宋" w:cs="仿宋"/>
          <w:sz w:val="32"/>
          <w:szCs w:val="32"/>
          <w:lang w:val="en-US" w:eastAsia="zh-CN" w:bidi="ar-SA"/>
        </w:rPr>
        <w:t>月</w:t>
      </w:r>
      <w:r>
        <w:rPr>
          <w:rFonts w:hint="eastAsia" w:ascii="仿宋" w:eastAsia="仿宋" w:cs="仿宋"/>
          <w:sz w:val="32"/>
          <w:szCs w:val="32"/>
          <w:lang w:bidi="ar-SA"/>
        </w:rPr>
        <w:t>项目建设中</w:t>
      </w:r>
      <w:r>
        <w:rPr>
          <w:rFonts w:hint="eastAsia" w:ascii="仿宋" w:eastAsia="仿宋" w:cs="仿宋"/>
          <w:sz w:val="32"/>
          <w:szCs w:val="32"/>
          <w:lang w:eastAsia="zh-CN" w:bidi="ar-SA"/>
        </w:rPr>
        <w:t>，2021</w:t>
      </w:r>
      <w:r>
        <w:rPr>
          <w:rFonts w:hint="eastAsia" w:ascii="仿宋" w:eastAsia="仿宋" w:cs="仿宋"/>
          <w:sz w:val="32"/>
          <w:szCs w:val="32"/>
          <w:lang w:bidi="ar-SA"/>
        </w:rPr>
        <w:t>年</w:t>
      </w:r>
      <w:r>
        <w:rPr>
          <w:rFonts w:hint="eastAsia" w:ascii="仿宋" w:eastAsia="仿宋" w:cs="仿宋"/>
          <w:sz w:val="32"/>
          <w:szCs w:val="32"/>
          <w:lang w:val="en-US" w:eastAsia="zh-CN" w:bidi="ar-SA"/>
        </w:rPr>
        <w:t>5</w:t>
      </w:r>
      <w:r>
        <w:rPr>
          <w:rFonts w:hint="eastAsia" w:ascii="仿宋" w:eastAsia="仿宋" w:cs="仿宋"/>
          <w:sz w:val="32"/>
          <w:szCs w:val="32"/>
          <w:lang w:bidi="ar-SA"/>
        </w:rPr>
        <w:t>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w:t>
      </w:r>
      <w:r>
        <w:rPr>
          <w:rFonts w:hint="eastAsia" w:ascii="仿宋" w:eastAsia="仿宋" w:cs="仿宋"/>
          <w:sz w:val="32"/>
          <w:szCs w:val="32"/>
          <w:lang w:val="en-US" w:eastAsia="zh-CN" w:bidi="ar-SA"/>
        </w:rPr>
        <w:t>12.8万元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val="en-US" w:eastAsia="zh-CN" w:bidi="ar-SA"/>
        </w:rPr>
        <w:t>茂县</w:t>
      </w:r>
      <w:r>
        <w:rPr>
          <w:rFonts w:hint="eastAsia" w:ascii="方正小标宋_GBK" w:eastAsia="方正小标宋_GBK" w:cs="方正小标宋_GBK"/>
          <w:bCs/>
          <w:sz w:val="36"/>
          <w:szCs w:val="36"/>
          <w:lang w:bidi="ar-SA"/>
        </w:rPr>
        <w:t>洼底镇三雅村村道堡坎建设项目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茂县人民政府办公室《关于下达茂县2021年度统筹整合使用财政涉农资金项目（第一批）的通知》（茂委办发【2021】18号）文件精神要求，</w:t>
      </w:r>
      <w:r>
        <w:rPr>
          <w:rFonts w:hint="eastAsia" w:ascii="仿宋" w:eastAsia="仿宋" w:cs="仿宋"/>
          <w:sz w:val="32"/>
          <w:szCs w:val="32"/>
          <w:lang w:bidi="ar-SA"/>
        </w:rPr>
        <w:t>编制完成《洼底镇三雅村村道堡坎建设项目实施方案》，继续加强我村基础设施的建设，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下达给洼底镇三雅村村道堡坎建设项目资金</w:t>
      </w:r>
      <w:r>
        <w:rPr>
          <w:rFonts w:hint="eastAsia" w:ascii="仿宋" w:eastAsia="仿宋" w:cs="仿宋"/>
          <w:sz w:val="32"/>
          <w:szCs w:val="32"/>
          <w:lang w:val="en-US" w:eastAsia="zh-CN" w:bidi="ar-SA"/>
        </w:rPr>
        <w:t>25.6万元</w:t>
      </w:r>
      <w:r>
        <w:rPr>
          <w:rFonts w:hint="eastAsia" w:ascii="仿宋" w:eastAsia="仿宋" w:cs="仿宋"/>
          <w:sz w:val="32"/>
          <w:szCs w:val="32"/>
          <w:lang w:bidi="ar-SA"/>
        </w:rPr>
        <w:t>。按照有关文件要求，编制完成了《洼底镇三雅村村道堡坎建设项目实施方案》，并呈报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w:t>
      </w:r>
      <w:r>
        <w:rPr>
          <w:rFonts w:hint="eastAsia" w:ascii="仿宋" w:eastAsia="仿宋" w:cs="仿宋"/>
          <w:sz w:val="32"/>
          <w:szCs w:val="32"/>
          <w:lang w:eastAsia="zh-CN" w:bidi="ar-SA"/>
        </w:rPr>
        <w:t>茂县</w:t>
      </w:r>
      <w:r>
        <w:rPr>
          <w:rFonts w:hint="eastAsia" w:ascii="仿宋" w:eastAsia="仿宋" w:cs="仿宋"/>
          <w:sz w:val="32"/>
          <w:szCs w:val="32"/>
          <w:lang w:bidi="ar-SA"/>
        </w:rPr>
        <w:t>洼底镇三雅村村道堡坎建设项目实施方案》进行了审查，同意报的实施方案，并下达批复，要求按照实施方案，抓紧组织实施，确保项目按时保质保量完成。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2" w:firstLineChars="200"/>
        <w:textAlignment w:val="auto"/>
        <w:rPr>
          <w:rFonts w:hint="eastAsia" w:ascii="仿宋" w:eastAsia="仿宋" w:cs="仿宋"/>
          <w:b/>
          <w:sz w:val="32"/>
          <w:szCs w:val="32"/>
          <w:lang w:bidi="ar-SA"/>
        </w:rPr>
      </w:pPr>
      <w:r>
        <w:rPr>
          <w:rFonts w:hint="eastAsia" w:ascii="仿宋" w:eastAsia="仿宋" w:cs="仿宋"/>
          <w:b/>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color w:val="000000"/>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w:t>
      </w:r>
      <w:r>
        <w:rPr>
          <w:rFonts w:hint="eastAsia" w:ascii="仿宋" w:eastAsia="仿宋" w:cs="仿宋"/>
          <w:sz w:val="32"/>
          <w:szCs w:val="32"/>
          <w:lang w:val="en-US" w:eastAsia="zh-CN" w:bidi="ar-SA"/>
        </w:rPr>
        <w:t>11</w:t>
      </w:r>
      <w:r>
        <w:rPr>
          <w:rFonts w:hint="eastAsia" w:ascii="仿宋" w:eastAsia="仿宋" w:cs="仿宋"/>
          <w:sz w:val="32"/>
          <w:szCs w:val="32"/>
          <w:lang w:bidi="ar-SA"/>
        </w:rPr>
        <w:t>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年11月</w:t>
      </w:r>
      <w:r>
        <w:rPr>
          <w:rFonts w:hint="eastAsia" w:ascii="仿宋" w:eastAsia="仿宋" w:cs="仿宋"/>
          <w:sz w:val="32"/>
          <w:szCs w:val="32"/>
          <w:lang w:val="en-US" w:eastAsia="zh-CN" w:bidi="ar-SA"/>
        </w:rPr>
        <w:t>--12月</w:t>
      </w:r>
      <w:r>
        <w:rPr>
          <w:rFonts w:hint="eastAsia" w:ascii="仿宋" w:eastAsia="仿宋" w:cs="仿宋"/>
          <w:sz w:val="32"/>
          <w:szCs w:val="32"/>
          <w:lang w:bidi="ar-SA"/>
        </w:rPr>
        <w:t>项目建设中</w:t>
      </w:r>
      <w:r>
        <w:rPr>
          <w:rFonts w:hint="eastAsia" w:ascii="仿宋" w:eastAsia="仿宋" w:cs="仿宋"/>
          <w:sz w:val="32"/>
          <w:szCs w:val="32"/>
          <w:lang w:eastAsia="zh-CN" w:bidi="ar-SA"/>
        </w:rPr>
        <w:t>，2021</w:t>
      </w:r>
      <w:r>
        <w:rPr>
          <w:rFonts w:hint="eastAsia" w:ascii="仿宋" w:eastAsia="仿宋" w:cs="仿宋"/>
          <w:sz w:val="32"/>
          <w:szCs w:val="32"/>
          <w:lang w:bidi="ar-SA"/>
        </w:rPr>
        <w:t>年</w:t>
      </w:r>
      <w:r>
        <w:rPr>
          <w:rFonts w:hint="eastAsia" w:ascii="仿宋" w:eastAsia="仿宋" w:cs="仿宋"/>
          <w:sz w:val="32"/>
          <w:szCs w:val="32"/>
          <w:lang w:val="en-US" w:eastAsia="zh-CN" w:bidi="ar-SA"/>
        </w:rPr>
        <w:t>1</w:t>
      </w:r>
      <w:r>
        <w:rPr>
          <w:rFonts w:hint="eastAsia" w:ascii="仿宋" w:eastAsia="仿宋" w:cs="仿宋"/>
          <w:sz w:val="32"/>
          <w:szCs w:val="32"/>
          <w:lang w:bidi="ar-SA"/>
        </w:rPr>
        <w:t>月</w:t>
      </w:r>
      <w:r>
        <w:rPr>
          <w:rFonts w:hint="eastAsia" w:ascii="仿宋" w:eastAsia="仿宋" w:cs="仿宋"/>
          <w:color w:val="000000"/>
          <w:kern w:val="0"/>
          <w:sz w:val="32"/>
          <w:szCs w:val="32"/>
          <w:lang w:bidi="ar-SA"/>
        </w:rPr>
        <w:t>底完成项目区所有建设任务，收集整理资料，搞好项目总结</w:t>
      </w:r>
      <w:r>
        <w:rPr>
          <w:rFonts w:hint="eastAsia" w:ascii="仿宋" w:eastAsia="仿宋" w:cs="仿宋"/>
          <w:color w:val="000000"/>
          <w:sz w:val="32"/>
          <w:szCs w:val="32"/>
          <w:lang w:bidi="ar-SA"/>
        </w:rPr>
        <w:t>，迎接上级检查验收。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2" w:firstLineChars="200"/>
        <w:textAlignment w:val="auto"/>
        <w:rPr>
          <w:rFonts w:hint="eastAsia" w:ascii="仿宋" w:eastAsia="仿宋" w:cs="仿宋"/>
          <w:b/>
          <w:sz w:val="32"/>
          <w:szCs w:val="32"/>
          <w:lang w:bidi="ar-SA"/>
        </w:rPr>
      </w:pPr>
      <w:r>
        <w:rPr>
          <w:rFonts w:hint="eastAsia" w:ascii="仿宋" w:eastAsia="仿宋" w:cs="仿宋"/>
          <w:b/>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kern w:val="0"/>
          <w:sz w:val="32"/>
          <w:szCs w:val="32"/>
          <w:lang w:bidi="ar-SA"/>
        </w:rPr>
      </w:pPr>
      <w:r>
        <w:rPr>
          <w:rFonts w:hint="eastAsia" w:ascii="仿宋" w:eastAsia="仿宋" w:cs="仿宋"/>
          <w:sz w:val="32"/>
          <w:szCs w:val="32"/>
          <w:lang w:bidi="ar-SA"/>
        </w:rPr>
        <w:t>该项目</w:t>
      </w:r>
      <w:r>
        <w:rPr>
          <w:rFonts w:hint="eastAsia" w:ascii="仿宋" w:eastAsia="仿宋" w:cs="仿宋"/>
          <w:kern w:val="0"/>
          <w:sz w:val="32"/>
          <w:szCs w:val="32"/>
          <w:lang w:bidi="ar-SA"/>
        </w:rPr>
        <w:t>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2" w:firstLineChars="147"/>
        <w:textAlignment w:val="auto"/>
        <w:rPr>
          <w:rFonts w:hint="eastAsia" w:ascii="仿宋" w:eastAsia="仿宋" w:cs="仿宋"/>
          <w:b/>
          <w:sz w:val="32"/>
          <w:szCs w:val="32"/>
          <w:lang w:bidi="ar-SA"/>
        </w:rPr>
      </w:pPr>
      <w:r>
        <w:rPr>
          <w:rFonts w:hint="eastAsia" w:ascii="仿宋" w:eastAsia="仿宋" w:cs="仿宋"/>
          <w:b/>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 w:eastAsia="仿宋" w:cs="仿宋"/>
          <w:b/>
          <w:sz w:val="32"/>
          <w:szCs w:val="32"/>
          <w:lang w:bidi="ar-SA"/>
        </w:rPr>
      </w:pPr>
      <w:r>
        <w:rPr>
          <w:rFonts w:hint="eastAsia" w:ascii="仿宋" w:eastAsia="仿宋" w:cs="仿宋"/>
          <w:b/>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b/>
          <w:color w:val="000000"/>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w:t>
      </w:r>
      <w:r>
        <w:rPr>
          <w:rFonts w:hint="eastAsia" w:ascii="仿宋" w:eastAsia="仿宋" w:cs="仿宋"/>
          <w:sz w:val="32"/>
          <w:szCs w:val="32"/>
          <w:lang w:val="en-US" w:eastAsia="zh-CN" w:bidi="ar-SA"/>
        </w:rPr>
        <w:t>25.6万元</w:t>
      </w:r>
      <w:r>
        <w:rPr>
          <w:rFonts w:hint="eastAsia" w:ascii="仿宋" w:eastAsia="仿宋" w:cs="仿宋"/>
          <w:bCs/>
          <w:color w:val="000000"/>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2" w:firstLineChars="225"/>
        <w:textAlignment w:val="auto"/>
        <w:rPr>
          <w:rFonts w:hint="eastAsia" w:ascii="仿宋" w:eastAsia="仿宋" w:cs="仿宋"/>
          <w:b/>
          <w:sz w:val="32"/>
          <w:szCs w:val="32"/>
          <w:lang w:bidi="ar-SA"/>
        </w:rPr>
      </w:pPr>
      <w:r>
        <w:rPr>
          <w:rFonts w:hint="eastAsia" w:ascii="仿宋" w:eastAsia="仿宋" w:cs="仿宋"/>
          <w:b/>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2" w:firstLineChars="147"/>
        <w:textAlignment w:val="auto"/>
        <w:rPr>
          <w:rFonts w:hint="eastAsia" w:ascii="仿宋" w:eastAsia="仿宋" w:cs="仿宋"/>
          <w:b/>
          <w:sz w:val="32"/>
          <w:szCs w:val="32"/>
          <w:lang w:bidi="ar-SA"/>
        </w:rPr>
      </w:pPr>
      <w:r>
        <w:rPr>
          <w:rFonts w:hint="eastAsia" w:ascii="仿宋" w:eastAsia="仿宋" w:cs="仿宋"/>
          <w:b/>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2" w:firstLineChars="147"/>
        <w:textAlignment w:val="auto"/>
        <w:rPr>
          <w:rFonts w:hint="eastAsia" w:ascii="仿宋" w:eastAsia="仿宋" w:cs="仿宋"/>
          <w:b/>
          <w:sz w:val="32"/>
          <w:szCs w:val="32"/>
          <w:lang w:bidi="ar-SA"/>
        </w:rPr>
      </w:pPr>
      <w:r>
        <w:rPr>
          <w:rFonts w:hint="eastAsia" w:ascii="仿宋" w:eastAsia="仿宋" w:cs="仿宋"/>
          <w:b/>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sz w:val="32"/>
          <w:szCs w:val="32"/>
          <w:lang w:bidi="ar-SA"/>
        </w:rPr>
      </w:pPr>
      <w:r>
        <w:rPr>
          <w:rFonts w:hint="eastAsia" w:ascii="仿宋" w:eastAsia="仿宋" w:cs="仿宋"/>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b/>
          <w:sz w:val="32"/>
          <w:szCs w:val="32"/>
          <w:lang w:bidi="ar-SA"/>
        </w:rPr>
      </w:pPr>
      <w:r>
        <w:rPr>
          <w:rFonts w:hint="eastAsia" w:ascii="仿宋" w:eastAsia="仿宋" w:cs="仿宋"/>
          <w:sz w:val="32"/>
          <w:szCs w:val="32"/>
          <w:lang w:bidi="ar-SA"/>
        </w:rPr>
        <w:t xml:space="preserve">    </w:t>
      </w:r>
      <w:r>
        <w:rPr>
          <w:rFonts w:hint="eastAsia" w:ascii="黑体" w:eastAsia="黑体" w:cs="黑体"/>
          <w:sz w:val="32"/>
          <w:szCs w:val="32"/>
          <w:lang w:bidi="ar-SA"/>
        </w:rPr>
        <w:t xml:space="preserve"> </w:t>
      </w:r>
      <w:r>
        <w:rPr>
          <w:rFonts w:hint="eastAsia" w:ascii="黑体" w:eastAsia="黑体" w:cs="黑体"/>
          <w:bCs/>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b/>
          <w:sz w:val="32"/>
          <w:szCs w:val="32"/>
          <w:lang w:bidi="ar-SA"/>
        </w:rPr>
      </w:pPr>
      <w:r>
        <w:rPr>
          <w:rFonts w:hint="eastAsia" w:ascii="仿宋" w:eastAsia="仿宋" w:cs="仿宋"/>
          <w:b/>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2" w:firstLineChars="200"/>
        <w:textAlignment w:val="auto"/>
        <w:rPr>
          <w:rFonts w:hint="eastAsia" w:ascii="仿宋" w:eastAsia="仿宋" w:cs="仿宋"/>
          <w:b/>
          <w:sz w:val="32"/>
          <w:szCs w:val="32"/>
          <w:lang w:bidi="ar-SA"/>
        </w:rPr>
      </w:pPr>
      <w:r>
        <w:rPr>
          <w:rFonts w:hint="eastAsia" w:ascii="仿宋" w:eastAsia="仿宋" w:cs="仿宋"/>
          <w:b/>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2" w:firstLineChars="200"/>
        <w:textAlignment w:val="auto"/>
        <w:rPr>
          <w:rFonts w:hint="eastAsia" w:ascii="仿宋" w:eastAsia="仿宋" w:cs="仿宋"/>
          <w:b/>
          <w:sz w:val="32"/>
          <w:szCs w:val="32"/>
          <w:lang w:bidi="ar-SA"/>
        </w:rPr>
      </w:pPr>
      <w:r>
        <w:rPr>
          <w:rFonts w:hint="eastAsia" w:ascii="仿宋" w:eastAsia="仿宋" w:cs="仿宋"/>
          <w:b/>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color w:val="000000"/>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黑体" w:eastAsia="黑体" w:cs="黑体"/>
          <w:bCs/>
          <w:color w:val="000000"/>
          <w:kern w:val="0"/>
          <w:sz w:val="32"/>
          <w:szCs w:val="32"/>
          <w:lang w:bidi="ar-SA"/>
        </w:rPr>
      </w:pPr>
      <w:r>
        <w:rPr>
          <w:rFonts w:hint="eastAsia" w:ascii="黑体" w:eastAsia="黑体" w:cs="黑体"/>
          <w:bCs/>
          <w:color w:val="000000"/>
          <w:kern w:val="0"/>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color w:val="000000"/>
          <w:sz w:val="32"/>
          <w:szCs w:val="32"/>
          <w:lang w:bidi="ar-SA"/>
        </w:rPr>
        <w:t>该项目实施完成后，将使</w:t>
      </w:r>
      <w:r>
        <w:rPr>
          <w:rFonts w:hint="eastAsia" w:ascii="仿宋" w:eastAsia="仿宋" w:cs="仿宋"/>
          <w:sz w:val="32"/>
          <w:szCs w:val="32"/>
          <w:lang w:bidi="ar-SA"/>
        </w:rPr>
        <w:t>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eastAsia="黑体" w:cs="黑体"/>
          <w:bCs/>
          <w:color w:val="000000"/>
          <w:kern w:val="0"/>
          <w:sz w:val="32"/>
          <w:szCs w:val="32"/>
          <w:lang w:bidi="ar-SA"/>
        </w:rPr>
      </w:pPr>
      <w:r>
        <w:rPr>
          <w:rFonts w:hint="eastAsia" w:ascii="黑体" w:eastAsia="黑体" w:cs="黑体"/>
          <w:bCs/>
          <w:color w:val="000000"/>
          <w:kern w:val="0"/>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黑体" w:eastAsia="黑体" w:cs="黑体"/>
          <w:bCs/>
          <w:color w:val="000000"/>
          <w:kern w:val="0"/>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渭门镇道财村村道维修整治项目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编制完成《渭门镇道财村村道维修整治项目实施方案》，继续加强我村基础设施的建设，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下达给渭门镇道财村村道维修整治项目资金63.3</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。按照有关文件要求，编制完成了《渭门镇道财村村道维修整治项目实施方案》，并呈报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对《渭门镇道财村村道维修整治项目实施方案》进行了审查，同意报的实施方案，并下达批复，要求按照实施方案，抓紧组织实施，确保项目按时保质保量完成。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，2021</w:t>
      </w:r>
      <w:r>
        <w:rPr>
          <w:rFonts w:hint="eastAsia" w:ascii="仿宋" w:eastAsia="仿宋" w:cs="仿宋"/>
          <w:sz w:val="32"/>
          <w:szCs w:val="32"/>
          <w:lang w:bidi="ar-SA"/>
        </w:rPr>
        <w:t>年1月完成项目区所有建设任务，收集整理资料，搞好项目总结，迎接上级检查验收。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，资金为63.3</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渭门镇德胜村村道维修整治项目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编制完成《渭门镇德胜村村道维修整治项目实施方案》，继续加强我村基础设施的建设，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下达给渭门镇德胜村村道维修整治项目资金48</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。按照有关文件要求，编制完成了《渭门镇德胜村村道维修整治项目实施方案》，并呈报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对《渭门镇德胜村村道维修整治项目实施方案》进行了审查，同意报的实施方案，并下达批复，要求按照实施方案，抓紧组织实施，确保项目按时保质保量完成。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，资金为48</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p>
    <w:p>
      <w:pPr>
        <w:pStyle w:val="27"/>
        <w:keepNext w:val="0"/>
        <w:keepLines w:val="0"/>
        <w:pageBreakBefore w:val="0"/>
        <w:widowControl w:val="0"/>
        <w:kinsoku/>
        <w:wordWrap/>
        <w:overflowPunct/>
        <w:topLinePunct w:val="0"/>
        <w:autoSpaceDE/>
        <w:autoSpaceDN/>
        <w:bidi w:val="0"/>
        <w:adjustRightInd/>
        <w:snapToGrid/>
        <w:spacing w:line="520" w:lineRule="exact"/>
        <w:jc w:val="center"/>
        <w:rPr>
          <w:rFonts w:hint="eastAsia" w:ascii="方正小标宋_GBK" w:eastAsia="方正小标宋_GBK" w:cs="方正小标宋_GBK"/>
          <w:bCs/>
          <w:sz w:val="36"/>
          <w:szCs w:val="36"/>
          <w:lang w:bidi="ar-SA"/>
        </w:rPr>
      </w:pPr>
      <w:r>
        <w:rPr>
          <w:rFonts w:hint="eastAsia" w:ascii="方正小标宋_GBK" w:eastAsia="方正小标宋_GBK" w:cs="方正小标宋_GBK"/>
          <w:bCs/>
          <w:sz w:val="36"/>
          <w:szCs w:val="36"/>
          <w:lang w:bidi="ar-SA"/>
        </w:rPr>
        <w:t>渭门镇腊普村村道维修整治项目</w:t>
      </w:r>
    </w:p>
    <w:p>
      <w:pPr>
        <w:pStyle w:val="27"/>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cs="方正小标宋_GBK"/>
          <w:bCs/>
          <w:sz w:val="44"/>
          <w:szCs w:val="44"/>
          <w:lang w:bidi="ar-SA"/>
        </w:rPr>
      </w:pPr>
      <w:r>
        <w:rPr>
          <w:rFonts w:hint="eastAsia" w:ascii="方正小标宋_GBK" w:eastAsia="方正小标宋_GBK" w:cs="方正小标宋_GBK"/>
          <w:bCs/>
          <w:sz w:val="44"/>
          <w:szCs w:val="44"/>
          <w:lang w:bidi="ar-SA"/>
        </w:rPr>
        <w:t>建设绩效自评报告</w:t>
      </w:r>
    </w:p>
    <w:p>
      <w:pPr>
        <w:pStyle w:val="27"/>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黑体" w:eastAsia="黑体" w:cs="黑体"/>
          <w:b/>
          <w:sz w:val="32"/>
          <w:szCs w:val="32"/>
          <w:lang w:bidi="ar-SA"/>
        </w:rPr>
      </w:pP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eastAsia="黑体" w:cs="黑体"/>
          <w:bCs/>
          <w:sz w:val="32"/>
          <w:szCs w:val="32"/>
          <w:lang w:bidi="ar-SA"/>
        </w:rPr>
      </w:pPr>
      <w:r>
        <w:rPr>
          <w:rFonts w:hint="eastAsia" w:ascii="黑体" w:eastAsia="黑体" w:cs="黑体"/>
          <w:bCs/>
          <w:sz w:val="32"/>
          <w:szCs w:val="32"/>
          <w:lang w:bidi="ar-SA"/>
        </w:rPr>
        <w:t>一、项目概况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根据</w:t>
      </w:r>
      <w:r>
        <w:rPr>
          <w:rFonts w:hint="eastAsia" w:ascii="仿宋" w:eastAsia="仿宋" w:cs="仿宋"/>
          <w:sz w:val="32"/>
          <w:szCs w:val="32"/>
          <w:lang w:eastAsia="zh-CN" w:bidi="ar-SA"/>
        </w:rPr>
        <w:t>中共茂</w:t>
      </w:r>
      <w:r>
        <w:rPr>
          <w:rFonts w:hint="eastAsia" w:ascii="仿宋" w:eastAsia="仿宋" w:cs="仿宋"/>
          <w:sz w:val="32"/>
          <w:szCs w:val="32"/>
          <w:lang w:bidi="ar-SA"/>
        </w:rPr>
        <w:t xml:space="preserve">县县委办公室 </w:t>
      </w:r>
      <w:r>
        <w:rPr>
          <w:rFonts w:hint="eastAsia" w:ascii="仿宋" w:eastAsia="仿宋" w:cs="仿宋"/>
          <w:sz w:val="32"/>
          <w:szCs w:val="32"/>
          <w:lang w:eastAsia="zh-CN" w:bidi="ar-SA"/>
        </w:rPr>
        <w:t>茂县人民政府办公室</w:t>
      </w:r>
      <w:r>
        <w:rPr>
          <w:rFonts w:hint="eastAsia" w:ascii="仿宋" w:eastAsia="仿宋" w:cs="仿宋"/>
          <w:sz w:val="32"/>
          <w:szCs w:val="32"/>
          <w:lang w:bidi="ar-SA"/>
        </w:rPr>
        <w:t>《关于下达茂县2021年度统筹整</w:t>
      </w:r>
      <w:r>
        <w:rPr>
          <w:rFonts w:hint="eastAsia" w:ascii="仿宋" w:eastAsia="仿宋" w:cs="仿宋"/>
          <w:sz w:val="32"/>
          <w:szCs w:val="32"/>
          <w:lang w:val="en-US" w:eastAsia="zh-CN" w:bidi="ar-SA"/>
        </w:rPr>
        <w:t>合使用财政涉农资金项目（第一批）的通知》（茂委办发【2021】18号）文件精神要求，</w:t>
      </w:r>
      <w:r>
        <w:rPr>
          <w:rFonts w:hint="eastAsia" w:ascii="仿宋" w:eastAsia="仿宋" w:cs="仿宋"/>
          <w:sz w:val="32"/>
          <w:szCs w:val="32"/>
          <w:lang w:bidi="ar-SA"/>
        </w:rPr>
        <w:t>编制完成《渭门镇腊普村村道维修整治项目实施方案》，继续加强我村基础设施的建设，</w:t>
      </w:r>
      <w:r>
        <w:rPr>
          <w:rFonts w:hint="eastAsia" w:ascii="仿宋" w:eastAsia="仿宋" w:cs="仿宋"/>
          <w:sz w:val="32"/>
          <w:szCs w:val="32"/>
          <w:lang w:val="en-US" w:eastAsia="zh-CN" w:bidi="ar-SA"/>
        </w:rPr>
        <w:t>保障群众出行安全，</w:t>
      </w:r>
      <w:r>
        <w:rPr>
          <w:rFonts w:hint="eastAsia" w:ascii="仿宋" w:eastAsia="仿宋" w:cs="仿宋"/>
          <w:sz w:val="32"/>
          <w:szCs w:val="32"/>
          <w:highlight w:val="none"/>
          <w:lang w:bidi="ar-SA"/>
        </w:rPr>
        <w:t>带动了全村的经济发展</w:t>
      </w:r>
      <w:r>
        <w:rPr>
          <w:rFonts w:hint="eastAsia" w:ascii="仿宋" w:eastAsia="仿宋" w:cs="仿宋"/>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left="640"/>
        <w:textAlignment w:val="auto"/>
        <w:rPr>
          <w:rFonts w:hint="eastAsia" w:ascii="仿宋" w:eastAsia="仿宋" w:cs="仿宋"/>
          <w:b/>
          <w:sz w:val="32"/>
          <w:szCs w:val="32"/>
          <w:lang w:bidi="ar-SA"/>
        </w:rPr>
      </w:pPr>
      <w:r>
        <w:rPr>
          <w:rFonts w:hint="eastAsia" w:ascii="仿宋" w:eastAsia="仿宋" w:cs="仿宋"/>
          <w:b/>
          <w:sz w:val="32"/>
          <w:szCs w:val="32"/>
          <w:lang w:bidi="ar-SA"/>
        </w:rPr>
        <w:t>（一）项目资金申报及批复情况</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eastAsia="zh-CN" w:bidi="ar-SA"/>
        </w:rPr>
        <w:t>2021</w:t>
      </w:r>
      <w:r>
        <w:rPr>
          <w:rFonts w:hint="eastAsia" w:ascii="仿宋" w:eastAsia="仿宋" w:cs="仿宋"/>
          <w:sz w:val="32"/>
          <w:szCs w:val="32"/>
          <w:lang w:bidi="ar-SA"/>
        </w:rPr>
        <w:t>年根据</w:t>
      </w:r>
      <w:r>
        <w:rPr>
          <w:rFonts w:hint="eastAsia" w:ascii="仿宋" w:eastAsia="仿宋" w:cs="仿宋"/>
          <w:sz w:val="32"/>
          <w:szCs w:val="32"/>
          <w:lang w:eastAsia="zh-CN" w:bidi="ar-SA"/>
        </w:rPr>
        <w:t>中共茂县县委办公室</w:t>
      </w:r>
      <w:r>
        <w:rPr>
          <w:rFonts w:hint="eastAsia" w:ascii="仿宋" w:eastAsia="仿宋" w:cs="仿宋"/>
          <w:sz w:val="32"/>
          <w:szCs w:val="32"/>
          <w:lang w:val="en-US" w:eastAsia="zh-CN" w:bidi="ar-SA"/>
        </w:rPr>
        <w:t xml:space="preserve"> 茂县人民政府办公室《关于下达茂县2021年度统筹整合使用财政涉农资金项目（第一批）的通知》（茂委办发【2021】18号）文件</w:t>
      </w:r>
      <w:r>
        <w:rPr>
          <w:rFonts w:hint="eastAsia" w:ascii="仿宋" w:eastAsia="仿宋" w:cs="仿宋"/>
          <w:sz w:val="32"/>
          <w:szCs w:val="32"/>
          <w:lang w:bidi="ar-SA"/>
        </w:rPr>
        <w:t>下达给渭门镇腊普村村道维修整治项目资金184.34</w:t>
      </w:r>
      <w:r>
        <w:rPr>
          <w:rFonts w:hint="eastAsia" w:ascii="仿宋" w:eastAsia="仿宋" w:cs="仿宋"/>
          <w:sz w:val="32"/>
          <w:szCs w:val="32"/>
          <w:lang w:val="en-US" w:eastAsia="zh-CN" w:bidi="ar-SA"/>
        </w:rPr>
        <w:t>万元</w:t>
      </w:r>
      <w:r>
        <w:rPr>
          <w:rFonts w:hint="eastAsia" w:ascii="仿宋" w:eastAsia="仿宋" w:cs="仿宋"/>
          <w:sz w:val="32"/>
          <w:szCs w:val="32"/>
          <w:lang w:bidi="ar-SA"/>
        </w:rPr>
        <w:t>。按照有关文件要求，编制完成了《渭门镇腊普村村道维修整治项目实施方案》，并呈报</w:t>
      </w:r>
      <w:r>
        <w:rPr>
          <w:rFonts w:hint="eastAsia" w:ascii="仿宋" w:eastAsia="仿宋" w:cs="仿宋"/>
          <w:sz w:val="32"/>
          <w:szCs w:val="32"/>
          <w:lang w:eastAsia="zh-CN" w:bidi="ar-SA"/>
        </w:rPr>
        <w:t>县交通运输局</w:t>
      </w:r>
      <w:r>
        <w:rPr>
          <w:rFonts w:hint="eastAsia" w:ascii="仿宋" w:eastAsia="仿宋" w:cs="仿宋"/>
          <w:sz w:val="32"/>
          <w:szCs w:val="32"/>
          <w:lang w:bidi="ar-SA"/>
        </w:rPr>
        <w:t>。</w:t>
      </w:r>
      <w:r>
        <w:rPr>
          <w:rFonts w:hint="eastAsia" w:ascii="仿宋" w:eastAsia="仿宋" w:cs="仿宋"/>
          <w:sz w:val="32"/>
          <w:szCs w:val="32"/>
          <w:lang w:eastAsia="zh-CN" w:bidi="ar-SA"/>
        </w:rPr>
        <w:t>县交通运输局</w:t>
      </w:r>
      <w:r>
        <w:rPr>
          <w:rFonts w:hint="eastAsia" w:ascii="仿宋" w:eastAsia="仿宋" w:cs="仿宋"/>
          <w:sz w:val="32"/>
          <w:szCs w:val="32"/>
          <w:lang w:bidi="ar-SA"/>
        </w:rPr>
        <w:t>对《渭门镇腊普村村道维修整治项目实施方案》进行了审查，同意报的实施方案，并下达批复，要求按照实施方案，抓紧组织实施，确保项目按时保质保量完成。</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（二）项目绩效目标</w:t>
      </w:r>
    </w:p>
    <w:p>
      <w:pPr>
        <w:pStyle w:val="27"/>
        <w:keepNext w:val="0"/>
        <w:keepLines w:val="0"/>
        <w:pageBreakBefore w:val="0"/>
        <w:widowControl w:val="0"/>
        <w:kinsoku/>
        <w:wordWrap/>
        <w:topLinePunct w:val="0"/>
        <w:bidi w:val="0"/>
        <w:snapToGrid/>
        <w:spacing w:line="576" w:lineRule="exact"/>
        <w:ind w:left="0" w:firstLine="642"/>
        <w:textAlignment w:val="auto"/>
        <w:rPr>
          <w:rFonts w:hint="eastAsia" w:ascii="仿宋" w:eastAsia="仿宋" w:cs="仿宋"/>
          <w:sz w:val="32"/>
          <w:szCs w:val="32"/>
          <w:lang w:bidi="ar-SA"/>
        </w:rPr>
      </w:pPr>
      <w:r>
        <w:rPr>
          <w:rFonts w:hint="eastAsia" w:ascii="仿宋" w:eastAsia="仿宋" w:cs="仿宋"/>
          <w:sz w:val="32"/>
          <w:szCs w:val="32"/>
          <w:lang w:bidi="ar-SA"/>
        </w:rPr>
        <w:t>为加强我村基础设施的建设,使农副产品快速变成商品提高农产品价值,将农民从繁重的体力劳动中解脱出来, 同比提高农产品售价10—20％，人平增收20—40元，为农村产业发展创造条件。</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项目实施进度计划：项目预安排于</w:t>
      </w:r>
      <w:r>
        <w:rPr>
          <w:rFonts w:hint="eastAsia" w:ascii="仿宋" w:eastAsia="仿宋" w:cs="仿宋"/>
          <w:sz w:val="32"/>
          <w:szCs w:val="32"/>
          <w:lang w:eastAsia="zh-CN" w:bidi="ar-SA"/>
        </w:rPr>
        <w:t>2020</w:t>
      </w:r>
      <w:r>
        <w:rPr>
          <w:rFonts w:hint="eastAsia" w:ascii="仿宋" w:eastAsia="仿宋" w:cs="仿宋"/>
          <w:sz w:val="32"/>
          <w:szCs w:val="32"/>
          <w:lang w:bidi="ar-SA"/>
        </w:rPr>
        <w:t>年10月开展前期工作</w:t>
      </w:r>
      <w:r>
        <w:rPr>
          <w:rFonts w:hint="eastAsia" w:ascii="仿宋" w:eastAsia="仿宋" w:cs="仿宋"/>
          <w:sz w:val="32"/>
          <w:szCs w:val="32"/>
          <w:lang w:eastAsia="zh-CN" w:bidi="ar-SA"/>
        </w:rPr>
        <w:t>，2020</w:t>
      </w:r>
      <w:r>
        <w:rPr>
          <w:rFonts w:hint="eastAsia" w:ascii="仿宋" w:eastAsia="仿宋" w:cs="仿宋"/>
          <w:sz w:val="32"/>
          <w:szCs w:val="32"/>
          <w:lang w:bidi="ar-SA"/>
        </w:rPr>
        <w:t>年10月项目建设中</w:t>
      </w:r>
      <w:r>
        <w:rPr>
          <w:rFonts w:hint="eastAsia" w:ascii="仿宋" w:eastAsia="仿宋" w:cs="仿宋"/>
          <w:sz w:val="32"/>
          <w:szCs w:val="32"/>
          <w:lang w:eastAsia="zh-CN" w:bidi="ar-SA"/>
        </w:rPr>
        <w:t>，2020</w:t>
      </w:r>
      <w:r>
        <w:rPr>
          <w:rFonts w:hint="eastAsia" w:ascii="仿宋" w:eastAsia="仿宋" w:cs="仿宋"/>
          <w:sz w:val="32"/>
          <w:szCs w:val="32"/>
          <w:lang w:bidi="ar-SA"/>
        </w:rPr>
        <w:t>年12月完成项目区所有建设任务，收集整理资料，搞好项目总结，迎接上级检查验收。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（三）项目资金申报相符性</w:t>
      </w:r>
    </w:p>
    <w:p>
      <w:pPr>
        <w:pStyle w:val="27"/>
        <w:keepNext w:val="0"/>
        <w:keepLines w:val="0"/>
        <w:pageBreakBefore w:val="0"/>
        <w:widowControl w:val="0"/>
        <w:kinsoku/>
        <w:wordWrap/>
        <w:topLinePunct w:val="0"/>
        <w:snapToGrid/>
        <w:spacing w:line="576" w:lineRule="exact"/>
        <w:ind w:left="0" w:firstLine="642"/>
        <w:rPr>
          <w:rFonts w:hint="eastAsia" w:ascii="仿宋" w:eastAsia="仿宋" w:cs="仿宋"/>
          <w:sz w:val="32"/>
          <w:szCs w:val="32"/>
          <w:lang w:bidi="ar-SA"/>
        </w:rPr>
      </w:pPr>
      <w:r>
        <w:rPr>
          <w:rFonts w:hint="eastAsia" w:ascii="仿宋" w:eastAsia="仿宋" w:cs="仿宋"/>
          <w:sz w:val="32"/>
          <w:szCs w:val="32"/>
          <w:lang w:bidi="ar-SA"/>
        </w:rPr>
        <w:t>该项目申报内容与具体实施内容相符，申报目标合理可行。</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二、项目实施及管理情况</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（一）资金计划、到位及使用情况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1、资金计划、到位及使用情况</w:t>
      </w:r>
    </w:p>
    <w:p>
      <w:pPr>
        <w:pStyle w:val="2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s="仿宋"/>
          <w:sz w:val="32"/>
          <w:szCs w:val="32"/>
          <w:highlight w:val="none"/>
          <w:lang w:val="en-US" w:bidi="ar-SA"/>
        </w:rPr>
      </w:pPr>
      <w:r>
        <w:rPr>
          <w:rFonts w:hint="eastAsia" w:ascii="仿宋" w:eastAsia="仿宋" w:cs="仿宋"/>
          <w:sz w:val="32"/>
          <w:szCs w:val="32"/>
          <w:lang w:bidi="ar-SA"/>
        </w:rPr>
        <w:t>该项目是</w:t>
      </w:r>
      <w:r>
        <w:rPr>
          <w:rFonts w:hint="eastAsia" w:ascii="仿宋" w:eastAsia="仿宋" w:cs="仿宋"/>
          <w:sz w:val="32"/>
          <w:szCs w:val="32"/>
          <w:lang w:val="en-US" w:eastAsia="zh-CN" w:bidi="ar-SA"/>
        </w:rPr>
        <w:t>统筹整合使用财政涉农资金</w:t>
      </w:r>
      <w:r>
        <w:rPr>
          <w:rFonts w:hint="eastAsia" w:ascii="仿宋" w:eastAsia="仿宋" w:cs="仿宋"/>
          <w:sz w:val="32"/>
          <w:szCs w:val="32"/>
          <w:lang w:bidi="ar-SA"/>
        </w:rPr>
        <w:t>，资金为184.34</w:t>
      </w:r>
      <w:r>
        <w:rPr>
          <w:rFonts w:hint="eastAsia" w:ascii="仿宋" w:eastAsia="仿宋" w:cs="仿宋"/>
          <w:sz w:val="32"/>
          <w:szCs w:val="32"/>
          <w:lang w:val="en-US" w:eastAsia="zh-CN" w:bidi="ar-SA"/>
        </w:rPr>
        <w:t>万元</w:t>
      </w:r>
      <w:r>
        <w:rPr>
          <w:rFonts w:hint="eastAsia" w:ascii="仿宋" w:eastAsia="仿宋" w:cs="仿宋"/>
          <w:bCs/>
          <w:sz w:val="32"/>
          <w:szCs w:val="32"/>
          <w:lang w:bidi="ar-SA"/>
        </w:rPr>
        <w:t>。</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2、资金使用情况</w:t>
      </w:r>
    </w:p>
    <w:p>
      <w:pPr>
        <w:pStyle w:val="27"/>
        <w:keepNext w:val="0"/>
        <w:keepLines w:val="0"/>
        <w:pageBreakBefore w:val="0"/>
        <w:widowControl w:val="0"/>
        <w:kinsoku/>
        <w:wordWrap/>
        <w:overflowPunct/>
        <w:topLinePunct w:val="0"/>
        <w:autoSpaceDE/>
        <w:autoSpaceDN/>
        <w:bidi w:val="0"/>
        <w:spacing w:line="576" w:lineRule="exact"/>
        <w:ind w:firstLine="720" w:firstLineChars="225"/>
        <w:textAlignment w:val="auto"/>
        <w:rPr>
          <w:rFonts w:hint="eastAsia" w:ascii="仿宋" w:eastAsia="仿宋" w:cs="仿宋"/>
          <w:sz w:val="32"/>
          <w:szCs w:val="32"/>
          <w:lang w:bidi="ar-SA"/>
        </w:rPr>
      </w:pPr>
      <w:r>
        <w:rPr>
          <w:rFonts w:hint="eastAsia" w:ascii="仿宋" w:eastAsia="仿宋" w:cs="仿宋"/>
          <w:sz w:val="32"/>
          <w:szCs w:val="32"/>
          <w:lang w:bidi="ar-SA"/>
        </w:rPr>
        <w:t>已完成结算。</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（二）项目财务管理情况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keepNext w:val="0"/>
        <w:keepLines w:val="0"/>
        <w:pageBreakBefore w:val="0"/>
        <w:widowControl w:val="0"/>
        <w:kinsoku/>
        <w:wordWrap/>
        <w:overflowPunct/>
        <w:topLinePunct w:val="0"/>
        <w:autoSpaceDE/>
        <w:autoSpaceDN/>
        <w:bidi w:val="0"/>
        <w:spacing w:line="576" w:lineRule="exact"/>
        <w:ind w:firstLine="470" w:firstLineChars="147"/>
        <w:textAlignment w:val="auto"/>
        <w:rPr>
          <w:rFonts w:hint="eastAsia" w:ascii="仿宋" w:eastAsia="仿宋" w:cs="仿宋"/>
          <w:sz w:val="32"/>
          <w:szCs w:val="32"/>
          <w:lang w:bidi="ar-SA"/>
        </w:rPr>
      </w:pPr>
      <w:r>
        <w:rPr>
          <w:rFonts w:hint="eastAsia" w:ascii="仿宋" w:eastAsia="仿宋" w:cs="仿宋"/>
          <w:sz w:val="32"/>
          <w:szCs w:val="32"/>
          <w:lang w:bidi="ar-SA"/>
        </w:rPr>
        <w:t>（三）项目组织实施情况</w:t>
      </w:r>
    </w:p>
    <w:p>
      <w:pPr>
        <w:pStyle w:val="36"/>
        <w:keepNext w:val="0"/>
        <w:keepLines w:val="0"/>
        <w:pageBreakBefore w:val="0"/>
        <w:widowControl/>
        <w:shd w:val="clear" w:color="auto" w:fill="FFFFFF"/>
        <w:kinsoku/>
        <w:wordWrap/>
        <w:overflowPunct/>
        <w:topLinePunct w:val="0"/>
        <w:autoSpaceDE/>
        <w:autoSpaceDN/>
        <w:bidi w:val="0"/>
        <w:spacing w:beforeAutospacing="0" w:after="24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keepNext w:val="0"/>
        <w:keepLines w:val="0"/>
        <w:pageBreakBefore w:val="0"/>
        <w:widowControl/>
        <w:shd w:val="clear" w:color="auto" w:fill="FFFFFF"/>
        <w:kinsoku/>
        <w:wordWrap/>
        <w:overflowPunct/>
        <w:topLinePunct w:val="0"/>
        <w:autoSpaceDE/>
        <w:autoSpaceDN/>
        <w:bidi w:val="0"/>
        <w:spacing w:before="0" w:beforeAutospacing="0" w:after="0" w:afterAutospacing="0" w:line="576" w:lineRule="exact"/>
        <w:textAlignment w:val="auto"/>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w:t>
      </w:r>
      <w:r>
        <w:rPr>
          <w:rFonts w:hint="eastAsia" w:ascii="仿宋" w:eastAsia="仿宋" w:cs="仿宋"/>
          <w:bCs/>
          <w:color w:val="auto"/>
          <w:kern w:val="2"/>
          <w:sz w:val="32"/>
          <w:szCs w:val="32"/>
          <w:lang w:bidi="ar-SA"/>
        </w:rPr>
        <w:t>三、项目完成情况</w:t>
      </w:r>
    </w:p>
    <w:p>
      <w:pPr>
        <w:pStyle w:val="36"/>
        <w:keepNext w:val="0"/>
        <w:keepLines w:val="0"/>
        <w:pageBreakBefore w:val="0"/>
        <w:widowControl/>
        <w:shd w:val="clear" w:color="auto" w:fill="FFFFFF"/>
        <w:kinsoku/>
        <w:wordWrap/>
        <w:overflowPunct/>
        <w:topLinePunct w:val="0"/>
        <w:autoSpaceDE/>
        <w:autoSpaceDN/>
        <w:spacing w:before="0" w:beforeAutospacing="0" w:after="0" w:afterAutospacing="0" w:line="576" w:lineRule="exact"/>
        <w:rPr>
          <w:rFonts w:hint="eastAsia" w:ascii="仿宋" w:eastAsia="仿宋" w:cs="仿宋"/>
          <w:color w:val="auto"/>
          <w:kern w:val="2"/>
          <w:sz w:val="32"/>
          <w:szCs w:val="32"/>
          <w:lang w:bidi="ar-SA"/>
        </w:rPr>
      </w:pPr>
      <w:r>
        <w:rPr>
          <w:rFonts w:hint="eastAsia" w:ascii="仿宋" w:eastAsia="仿宋" w:cs="仿宋"/>
          <w:color w:val="auto"/>
          <w:kern w:val="2"/>
          <w:sz w:val="32"/>
          <w:szCs w:val="32"/>
          <w:lang w:bidi="ar-SA"/>
        </w:rPr>
        <w:t xml:space="preserve">    （一）项目完成任务量</w:t>
      </w:r>
    </w:p>
    <w:p>
      <w:pPr>
        <w:pStyle w:val="27"/>
        <w:keepNext w:val="0"/>
        <w:keepLines w:val="0"/>
        <w:pageBreakBefore w:val="0"/>
        <w:widowControl w:val="0"/>
        <w:kinsoku/>
        <w:wordWrap/>
        <w:overflowPunct/>
        <w:topLinePunct w:val="0"/>
        <w:autoSpaceDE/>
        <w:autoSpaceDN/>
        <w:bidi w:val="0"/>
        <w:spacing w:line="576" w:lineRule="exact"/>
        <w:ind w:firstLine="629"/>
        <w:textAlignment w:val="auto"/>
        <w:rPr>
          <w:rFonts w:hint="eastAsia" w:ascii="仿宋" w:eastAsia="仿宋" w:cs="仿宋"/>
          <w:sz w:val="32"/>
          <w:szCs w:val="32"/>
          <w:lang w:bidi="ar-SA"/>
        </w:rPr>
      </w:pPr>
      <w:r>
        <w:rPr>
          <w:rFonts w:hint="eastAsia" w:ascii="仿宋" w:eastAsia="仿宋" w:cs="仿宋"/>
          <w:sz w:val="32"/>
          <w:szCs w:val="32"/>
          <w:lang w:bidi="ar-SA"/>
        </w:rPr>
        <w:t>目前，项目也全部完工。</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（二）项目完成质量</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按照实施方案要求完成建设，通过验收小组的验收，达到实施方案质量要求。</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（三）项目完成进度</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已全部完成，并验收。</w:t>
      </w:r>
    </w:p>
    <w:p>
      <w:pPr>
        <w:pStyle w:val="27"/>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四、项目效益情况</w:t>
      </w:r>
    </w:p>
    <w:p>
      <w:pPr>
        <w:pStyle w:val="27"/>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（一）经济效益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随着各项目的逐步建成并投入使用，将使农副产品快速变成商品，同比提高农产品售价10—20％，大大降低农副产品、生产生活用品的运输成本。为农民脱贫致富创造有利的条件。</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（二）社会效益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搞好基础设施的建设，将带动全村及周边地区的货物流动，搞活商品流通，加快农业产业结构和经济结构调整，发展农村经济，促进农民增产增收，提高农民生活。</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（三）生态效益</w:t>
      </w:r>
    </w:p>
    <w:p>
      <w:pPr>
        <w:pStyle w:val="27"/>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该项目实施完成后，将使农产品售价同比提高10—20%，人平增收20—40元，大部分农民生活上将向电器化发展，砍伐树木将明显减少，这对生态保护起着巨大的作用。</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bCs/>
          <w:sz w:val="32"/>
          <w:szCs w:val="32"/>
          <w:lang w:bidi="ar-SA"/>
        </w:rPr>
      </w:pPr>
      <w:r>
        <w:rPr>
          <w:rFonts w:hint="eastAsia" w:ascii="仿宋" w:eastAsia="仿宋" w:cs="仿宋"/>
          <w:bCs/>
          <w:sz w:val="32"/>
          <w:szCs w:val="32"/>
          <w:lang w:bidi="ar-SA"/>
        </w:rPr>
        <w:t>五、问题及建议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480" w:firstLineChars="150"/>
        <w:textAlignment w:val="auto"/>
        <w:rPr>
          <w:rFonts w:hint="eastAsia" w:ascii="仿宋" w:eastAsia="仿宋" w:cs="仿宋"/>
          <w:bCs/>
          <w:sz w:val="32"/>
          <w:szCs w:val="32"/>
          <w:lang w:bidi="ar-SA"/>
        </w:rPr>
      </w:pPr>
      <w:r>
        <w:rPr>
          <w:rFonts w:hint="eastAsia" w:ascii="仿宋" w:eastAsia="仿宋" w:cs="仿宋"/>
          <w:sz w:val="32"/>
          <w:szCs w:val="32"/>
          <w:lang w:bidi="ar-SA"/>
        </w:rPr>
        <w:t>（一）存在的问题及建议</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1、由于地处高山峡谷地带，相对于内地，项目建设成本高，在项目补贴方面相对于内地偏少。</w:t>
      </w:r>
    </w:p>
    <w:p>
      <w:pPr>
        <w:pStyle w:val="27"/>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eastAsia="仿宋" w:cs="仿宋"/>
          <w:sz w:val="32"/>
          <w:szCs w:val="32"/>
          <w:lang w:bidi="ar-SA"/>
        </w:rPr>
      </w:pPr>
      <w:r>
        <w:rPr>
          <w:rFonts w:hint="eastAsia" w:ascii="仿宋" w:eastAsia="仿宋" w:cs="仿宋"/>
          <w:sz w:val="32"/>
          <w:szCs w:val="32"/>
          <w:lang w:bidi="ar-SA"/>
        </w:rPr>
        <w:t>2、建议对老、少、边、穷地区，加大项目补贴额度。</w:t>
      </w:r>
    </w:p>
    <w:p>
      <w:pPr>
        <w:pStyle w:val="28"/>
      </w:pPr>
      <w:bookmarkStart w:id="73" w:name="_Toc15377425"/>
      <w:bookmarkEnd w:id="73"/>
    </w:p>
    <w:p>
      <w:pPr>
        <w:pStyle w:val="3"/>
        <w:jc w:val="center"/>
        <w:rPr>
          <w:rFonts w:ascii="黑体" w:eastAsia="黑体" w:cs="黑体"/>
        </w:rPr>
      </w:pPr>
      <w:bookmarkStart w:id="74" w:name="_Toc113981025"/>
      <w:bookmarkStart w:id="75" w:name="_Toc111208512"/>
      <w:bookmarkStart w:id="76" w:name="_Toc79163635"/>
      <w:bookmarkStart w:id="77" w:name="_Toc79163885"/>
      <w:r>
        <w:rPr>
          <w:rFonts w:hint="eastAsia" w:asci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79163886"/>
      <w:bookmarkStart w:id="79" w:name="_Toc111208513"/>
      <w:bookmarkStart w:id="80" w:name="_Toc113981026"/>
      <w:bookmarkStart w:id="81" w:name="_Toc7916363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79163637"/>
      <w:bookmarkStart w:id="83" w:name="_Toc79163887"/>
      <w:bookmarkStart w:id="84" w:name="_Toc113981027"/>
      <w:bookmarkStart w:id="85" w:name="_Toc111208514"/>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113981028"/>
      <w:bookmarkStart w:id="87" w:name="_Toc79163888"/>
      <w:bookmarkStart w:id="88" w:name="_Toc111208515"/>
      <w:bookmarkStart w:id="89" w:name="_Toc79163638"/>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79163889"/>
      <w:bookmarkStart w:id="91" w:name="_Toc113981029"/>
      <w:bookmarkStart w:id="92" w:name="_Toc111208516"/>
      <w:bookmarkStart w:id="93" w:name="_Toc7916363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79163640"/>
      <w:bookmarkStart w:id="95" w:name="_Toc111208517"/>
      <w:bookmarkStart w:id="96" w:name="_Toc113981030"/>
      <w:bookmarkStart w:id="97" w:name="_Toc79163890"/>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79163641"/>
      <w:bookmarkStart w:id="99" w:name="_Toc111208518"/>
      <w:bookmarkStart w:id="100" w:name="_Toc113981031"/>
      <w:bookmarkStart w:id="101" w:name="_Toc79163891"/>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111208519"/>
      <w:bookmarkStart w:id="103" w:name="_Toc113981032"/>
      <w:bookmarkStart w:id="104" w:name="_Toc79163642"/>
      <w:bookmarkStart w:id="105" w:name="_Toc7916389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79163893"/>
      <w:bookmarkStart w:id="107" w:name="_Toc111208520"/>
      <w:bookmarkStart w:id="108" w:name="_Toc79163643"/>
      <w:bookmarkStart w:id="109" w:name="_Toc11398103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113981034"/>
      <w:bookmarkStart w:id="111" w:name="_Toc79163894"/>
      <w:bookmarkStart w:id="112" w:name="_Toc79163644"/>
      <w:bookmarkStart w:id="113" w:name="_Toc111208521"/>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79163645"/>
      <w:bookmarkStart w:id="115" w:name="_Toc79163895"/>
      <w:bookmarkStart w:id="116" w:name="_Toc113981035"/>
      <w:bookmarkStart w:id="117" w:name="_Toc111208522"/>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79163646"/>
      <w:bookmarkStart w:id="119" w:name="_Toc79163896"/>
      <w:bookmarkStart w:id="120" w:name="_Toc111208523"/>
      <w:bookmarkStart w:id="121" w:name="_Toc11398103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111208524"/>
      <w:bookmarkStart w:id="123" w:name="_Toc113981037"/>
      <w:bookmarkStart w:id="124" w:name="_Toc79163897"/>
      <w:bookmarkStart w:id="125" w:name="_Toc7916364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898"/>
      <w:bookmarkStart w:id="127" w:name="_Toc7916364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1208526"/>
      <w:bookmarkStart w:id="131" w:name="_Toc113981039"/>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Arial">
    <w:altName w:val="Times New Roman"/>
    <w:panose1 w:val="020B0604020202020204"/>
    <w:charset w:val="00"/>
    <w:family w:val="auto"/>
    <w:pitch w:val="default"/>
    <w:sig w:usb0="00000000" w:usb1="00000000" w:usb2="00000008" w:usb3="00000000" w:csb0="400001FF" w:csb1="FFFF0000"/>
  </w:font>
  <w:font w:name="方正小标宋_GBK">
    <w:panose1 w:val="03000502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9216785"/>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98AE4"/>
    <w:multiLevelType w:val="multilevel"/>
    <w:tmpl w:val="84998AE4"/>
    <w:lvl w:ilvl="0" w:tentative="0">
      <w:start w:val="1"/>
      <w:numFmt w:val="decimal"/>
      <w:lvlText w:val="%1."/>
      <w:lvlJc w:val="left"/>
      <w:pPr>
        <w:ind w:left="680" w:hanging="360"/>
      </w:p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abstractNum w:abstractNumId="1">
    <w:nsid w:val="00000000"/>
    <w:multiLevelType w:val="singleLevel"/>
    <w:tmpl w:val="00000000"/>
    <w:lvl w:ilvl="0" w:tentative="0">
      <w:start w:val="2"/>
      <w:numFmt w:val="chineseCounting"/>
      <w:suff w:val="nothing"/>
      <w:lvlText w:val="（%1）"/>
      <w:lvlJc w:val="left"/>
      <w:pPr>
        <w:ind w:left="0" w:firstLine="0"/>
      </w:pPr>
      <w:rPr>
        <w:rFonts w:hint="eastAsia"/>
      </w:rPr>
    </w:lvl>
  </w:abstractNum>
  <w:abstractNum w:abstractNumId="2">
    <w:nsid w:val="00000001"/>
    <w:multiLevelType w:val="singleLevel"/>
    <w:tmpl w:val="00000001"/>
    <w:lvl w:ilvl="0" w:tentative="0">
      <w:start w:val="2"/>
      <w:numFmt w:val="chineseCounting"/>
      <w:suff w:val="nothing"/>
      <w:lvlText w:val="（%1）"/>
      <w:lvlJc w:val="left"/>
      <w:pPr>
        <w:ind w:left="317" w:hanging="317"/>
      </w:pPr>
      <w:rPr>
        <w:rFonts w:hint="eastAsia"/>
      </w:rPr>
    </w:lvl>
  </w:abstractNum>
  <w:abstractNum w:abstractNumId="3">
    <w:nsid w:val="00000002"/>
    <w:multiLevelType w:val="singleLevel"/>
    <w:tmpl w:val="00000002"/>
    <w:lvl w:ilvl="0" w:tentative="0">
      <w:start w:val="3"/>
      <w:numFmt w:val="chineseCounting"/>
      <w:suff w:val="nothing"/>
      <w:lvlText w:val="%1、"/>
      <w:lvlJc w:val="left"/>
      <w:pPr>
        <w:ind w:left="0" w:firstLine="0"/>
      </w:pPr>
      <w:rPr>
        <w:rFonts w:hint="eastAsia"/>
      </w:rPr>
    </w:lvl>
  </w:abstractNum>
  <w:abstractNum w:abstractNumId="4">
    <w:nsid w:val="00000003"/>
    <w:multiLevelType w:val="singleLevel"/>
    <w:tmpl w:val="00000003"/>
    <w:lvl w:ilvl="0" w:tentative="0">
      <w:start w:val="1"/>
      <w:numFmt w:val="chineseCounting"/>
      <w:suff w:val="space"/>
      <w:lvlText w:val="（%1）"/>
      <w:lvlJc w:val="left"/>
      <w:pPr>
        <w:ind w:left="0" w:firstLine="0"/>
      </w:pPr>
      <w:rPr>
        <w:rFonts w:hint="eastAsia"/>
      </w:rPr>
    </w:lvl>
  </w:abstractNum>
  <w:abstractNum w:abstractNumId="5">
    <w:nsid w:val="00000004"/>
    <w:multiLevelType w:val="singleLevel"/>
    <w:tmpl w:val="00000004"/>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WE5N2FkMzhiMjUyZjMzYTU1ZTRmN2M5ODIyNTI5NmQifQ=="/>
  </w:docVars>
  <w:rsids>
    <w:rsidRoot w:val="00000000"/>
    <w:rsid w:val="67F2DE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styleId="19">
    <w:name w:val="annotation reference"/>
    <w:basedOn w:val="16"/>
    <w:qFormat/>
    <w:uiPriority w:val="0"/>
    <w:rPr>
      <w:sz w:val="21"/>
      <w:szCs w:val="21"/>
    </w:rPr>
  </w:style>
  <w:style w:type="character" w:customStyle="1" w:styleId="20">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7">
    <w:name w:val="Normal0"/>
    <w:next w:val="28"/>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8">
    <w:name w:val="Body Text First Indent 216"/>
    <w:basedOn w:val="29"/>
    <w:qFormat/>
    <w:uiPriority w:val="0"/>
    <w:pPr>
      <w:ind w:firstLine="200" w:firstLineChars="200"/>
    </w:pPr>
  </w:style>
  <w:style w:type="paragraph" w:customStyle="1" w:styleId="29">
    <w:name w:val="Body Text Indent15"/>
    <w:basedOn w:val="27"/>
    <w:qFormat/>
    <w:uiPriority w:val="0"/>
    <w:pPr>
      <w:spacing w:after="120"/>
      <w:ind w:left="200" w:leftChars="200"/>
    </w:pPr>
    <w:rPr>
      <w:rFonts w:ascii="Times New Roman" w:hAnsi="Times New Roman"/>
    </w:rPr>
  </w:style>
  <w:style w:type="paragraph" w:customStyle="1" w:styleId="30">
    <w:name w:val="heading 17d5886f8"/>
    <w:basedOn w:val="27"/>
    <w:next w:val="27"/>
    <w:qFormat/>
    <w:uiPriority w:val="0"/>
    <w:pPr>
      <w:keepNext/>
      <w:keepLines/>
      <w:widowControl w:val="0"/>
      <w:spacing w:before="340" w:after="330" w:line="578" w:lineRule="auto"/>
      <w:outlineLvl w:val="0"/>
    </w:pPr>
    <w:rPr>
      <w:b/>
      <w:bCs/>
      <w:kern w:val="44"/>
      <w:sz w:val="44"/>
    </w:rPr>
  </w:style>
  <w:style w:type="paragraph" w:customStyle="1" w:styleId="31">
    <w:name w:val="heading 207b34c1b"/>
    <w:basedOn w:val="27"/>
    <w:next w:val="27"/>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32">
    <w:name w:val="heading 38e47e9aa"/>
    <w:basedOn w:val="27"/>
    <w:next w:val="27"/>
    <w:qFormat/>
    <w:uiPriority w:val="0"/>
    <w:pPr>
      <w:keepNext/>
      <w:keepLines/>
      <w:widowControl w:val="0"/>
      <w:spacing w:before="260" w:after="260" w:line="415" w:lineRule="auto"/>
      <w:outlineLvl w:val="2"/>
    </w:pPr>
    <w:rPr>
      <w:b/>
      <w:sz w:val="32"/>
    </w:rPr>
  </w:style>
  <w:style w:type="character" w:customStyle="1" w:styleId="33">
    <w:name w:val="Default Paragraph Font66e1b193"/>
    <w:qFormat/>
    <w:uiPriority w:val="0"/>
  </w:style>
  <w:style w:type="paragraph" w:customStyle="1" w:styleId="34">
    <w:name w:val="footer17"/>
    <w:basedOn w:val="27"/>
    <w:uiPriority w:val="0"/>
    <w:pPr>
      <w:tabs>
        <w:tab w:val="center" w:pos="4153"/>
        <w:tab w:val="right" w:pos="8306"/>
      </w:tabs>
      <w:snapToGrid w:val="0"/>
      <w:jc w:val="left"/>
    </w:pPr>
    <w:rPr>
      <w:rFonts w:eastAsia="宋体"/>
      <w:sz w:val="18"/>
      <w:szCs w:val="18"/>
    </w:rPr>
  </w:style>
  <w:style w:type="paragraph" w:customStyle="1" w:styleId="35">
    <w:name w:val="header18"/>
    <w:basedOn w:val="27"/>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36">
    <w:name w:val="Normal (Web)19"/>
    <w:basedOn w:val="27"/>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{7512.7,4840.85}</c:f>
              <c:numCache>
                <c:formatCode>General</c:formatCode>
                <c:ptCount val="2"/>
                <c:pt idx="0">
                  <c:v>7512.7</c:v>
                </c:pt>
                <c:pt idx="1">
                  <c:v>4840.85</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{7512.7,4840.85}</c:f>
              <c:numCache>
                <c:formatCode>General</c:formatCode>
                <c:ptCount val="2"/>
                <c:pt idx="0">
                  <c:v>7512.7</c:v>
                </c:pt>
                <c:pt idx="1">
                  <c:v>4840.85</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1"/>
        <c:axPos val="l"/>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{28880965.56,936195.49,0,0,0,0,0,0}</c:f>
              <c:numCache>
                <c:formatCode>General</c:formatCode>
                <c:ptCount val="8"/>
                <c:pt idx="0">
                  <c:v>28880965.56</c:v>
                </c:pt>
                <c:pt idx="1">
                  <c:v>936195.49</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{1606278.41,46802217.34,0,0,0}</c:f>
              <c:numCache>
                <c:formatCode>General</c:formatCode>
                <c:ptCount val="5"/>
                <c:pt idx="0">
                  <c:v>1606278.41</c:v>
                </c:pt>
                <c:pt idx="1">
                  <c:v>46802217.34</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{7512.7,4840.85}</c:f>
              <c:numCache>
                <c:formatCode>General</c:formatCode>
                <c:ptCount val="2"/>
                <c:pt idx="0">
                  <c:v>7512.7</c:v>
                </c:pt>
                <c:pt idx="1">
                  <c:v>4840.85</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{7512.7,4840.85}</c:f>
              <c:numCache>
                <c:formatCode>General</c:formatCode>
                <c:ptCount val="2"/>
                <c:pt idx="0">
                  <c:v>7512.7</c:v>
                </c:pt>
                <c:pt idx="1">
                  <c:v>4840.85</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2020</c:f>
              <c:strCache>
                <c:ptCount val="1"/>
                <c:pt idx="0">
                  <c:v>2020</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{2878.5}</c:f>
              <c:numCache>
                <c:formatCode>General</c:formatCode>
                <c:ptCount val="1"/>
                <c:pt idx="0">
                  <c:v>2878.5</c:v>
                </c:pt>
              </c:numCache>
            </c:numRef>
          </c:val>
        </c:ser>
        <c:ser>
          <c:idx val="2"/>
          <c:order val="1"/>
          <c:tx>
            <c:strRef>
              <c:f>2021</c:f>
              <c:strCache>
                <c:ptCount val="1"/>
                <c:pt idx="0">
                  <c:v>2021</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{4747.23}</c:f>
              <c:numCache>
                <c:formatCode>General</c:formatCode>
                <c:ptCount val="1"/>
                <c:pt idx="0">
                  <c:v>4747.23</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{"社会保障和就业支出","卫生健康支出","农林水支出","交通运输支出","住房保障支出","其他支出"}</c:f>
              <c:strCache>
                <c:ptCount val="6"/>
                <c:pt idx="0">
                  <c:v>社会保障和就业支出</c:v>
                </c:pt>
                <c:pt idx="1">
                  <c:v>卫生健康支出</c:v>
                </c:pt>
                <c:pt idx="2">
                  <c:v>农林水支出</c:v>
                </c:pt>
                <c:pt idx="3">
                  <c:v>交通运输支出</c:v>
                </c:pt>
                <c:pt idx="4">
                  <c:v>住房保障支出</c:v>
                </c:pt>
                <c:pt idx="5">
                  <c:v>其他支出</c:v>
                </c:pt>
              </c:strCache>
            </c:strRef>
          </c:cat>
          <c:val>
            <c:numRef>
              <c:f>{137.1,8.33,2536.96,2016.67,11.11,37.06}</c:f>
              <c:numCache>
                <c:formatCode>General</c:formatCode>
                <c:ptCount val="6"/>
                <c:pt idx="0">
                  <c:v>137.1</c:v>
                </c:pt>
                <c:pt idx="1">
                  <c:v>8.33</c:v>
                </c:pt>
                <c:pt idx="2">
                  <c:v>2536.96</c:v>
                </c:pt>
                <c:pt idx="3">
                  <c:v>2016.67</c:v>
                </c:pt>
                <c:pt idx="4">
                  <c:v>11.11</c:v>
                </c:pt>
                <c:pt idx="5">
                  <c:v>37.06</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三公经费</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Pages>
  <Words>0</Words>
  <Characters>0</Characters>
  <Lines>1</Lines>
  <Paragraphs>0</Paragraphs>
  <TotalTime>1165</TotalTime>
  <ScaleCrop>false</ScaleCrop>
  <LinksUpToDate>false</LinksUpToDate>
  <CharactersWithSpaces>1</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2023-03-17T18:16:54Z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B93CA6F4BEAD4F359769D1203595D585</vt:lpwstr>
  </property>
</Properties>
</file>