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bookmarkStart w:id="0" w:name="_Toc15306267"/>
    </w:p>
    <w:p/>
    <w:p/>
    <w:p>
      <w:pPr>
        <w:ind w:left="0" w:firstLineChars="0" w:firstLine="0"/>
        <w:jc w:val="center"/>
        <w:rPr>
          <w:rFonts w:ascii="方正小标宋简体" w:eastAsia="方正小标宋简体" w:cs="方正小标宋简体" w:hint="eastAsia"/>
          <w:sz w:val="44"/>
          <w:szCs w:val="44"/>
        </w:rPr>
      </w:pPr>
      <w:bookmarkStart w:id="1" w:name="_Toc15378441"/>
      <w:bookmarkStart w:id="2" w:name="_Toc15377425"/>
      <w:bookmarkStart w:id="3" w:name="_Toc15396475"/>
      <w:bookmarkStart w:id="4" w:name="_Toc15396597"/>
      <w:bookmarkStart w:id="5" w:name="_Toc15377193"/>
      <w:r>
        <w:rPr>
          <w:rFonts w:ascii="方正小标宋简体" w:eastAsia="方正小标宋简体" w:cs="方正小标宋简体" w:hint="eastAsia"/>
          <w:sz w:val="44"/>
          <w:szCs w:val="44"/>
        </w:rPr>
        <w:t>2019年度</w:t>
      </w:r>
      <w:bookmarkEnd w:id="1"/>
      <w:bookmarkEnd w:id="2"/>
      <w:bookmarkEnd w:id="3"/>
      <w:bookmarkEnd w:id="4"/>
      <w:bookmarkEnd w:id="5"/>
    </w:p>
    <w:p>
      <w:pPr>
        <w:ind w:left="0" w:firstLineChars="0" w:firstLine="0"/>
        <w:jc w:val="center"/>
        <w:rPr>
          <w:rFonts w:ascii="方正小标宋简体" w:eastAsia="方正小标宋简体" w:cs="方正小标宋简体" w:hint="eastAsia"/>
          <w:sz w:val="44"/>
          <w:szCs w:val="44"/>
        </w:rPr>
      </w:pPr>
      <w:bookmarkStart w:id="6" w:name="_Toc15396476"/>
      <w:bookmarkStart w:id="7" w:name="_Toc15377194"/>
      <w:bookmarkStart w:id="8" w:name="_Toc15378442"/>
      <w:bookmarkStart w:id="9" w:name="_Toc15377426"/>
      <w:bookmarkStart w:id="10" w:name="_Toc15396598"/>
      <w:r>
        <w:rPr>
          <w:rFonts w:ascii="方正小标宋简体" w:eastAsia="方正小标宋简体" w:cs="方正小标宋简体" w:hint="eastAsia"/>
          <w:sz w:val="44"/>
          <w:szCs w:val="44"/>
        </w:rPr>
        <w:t>四川省阿坝州</w:t>
      </w:r>
      <w:bookmarkStart w:id="11" w:name="_Toc15306268"/>
      <w:bookmarkEnd w:id="0"/>
      <w:r>
        <w:rPr>
          <w:rFonts w:ascii="方正小标宋简体" w:eastAsia="方正小标宋简体" w:cs="方正小标宋简体" w:hint="eastAsia"/>
          <w:sz w:val="44"/>
          <w:szCs w:val="44"/>
        </w:rPr>
        <w:t>茂县水务局部门决算</w:t>
      </w:r>
      <w:bookmarkEnd w:id="6"/>
      <w:bookmarkEnd w:id="7"/>
      <w:bookmarkEnd w:id="8"/>
      <w:bookmarkEnd w:id="9"/>
      <w:bookmarkEnd w:id="10"/>
      <w:bookmarkEnd w:id="11"/>
    </w:p>
    <w:p/>
    <w:p/>
    <w:p/>
    <w:p/>
    <w:p/>
    <w:p/>
    <w:p/>
    <w:p/>
    <w:p/>
    <w:p>
      <w:pPr>
        <w:autoSpaceDE w:val="0"/>
        <w:autoSpaceDN w:val="0"/>
        <w:adjustRightInd w:val="0"/>
        <w:ind w:left="0" w:firstLineChars="0" w:firstLine="0"/>
        <w:rPr>
          <w:rFonts w:ascii="仿宋_GB2312" w:eastAsia="仿宋_GB2312" w:cs="仿宋_GB2312"/>
        </w:rPr>
      </w:pPr>
    </w:p>
    <w:p>
      <w:pPr>
        <w:autoSpaceDE w:val="0"/>
        <w:autoSpaceDN w:val="0"/>
        <w:adjustRightInd w:val="0"/>
        <w:rPr>
          <w:rFonts w:ascii="仿宋_GB2312" w:eastAsia="仿宋_GB2312" w:cs="仿宋_GB2312"/>
        </w:rPr>
      </w:pPr>
    </w:p>
    <w:p>
      <w:pPr>
        <w:autoSpaceDE w:val="0"/>
        <w:autoSpaceDN w:val="0"/>
        <w:adjustRightInd w:val="0"/>
        <w:ind w:firstLineChars="400" w:firstLine="1280"/>
        <w:rPr>
          <w:rFonts w:ascii="仿宋_GB2312" w:eastAsia="仿宋_GB2312" w:cs="仿宋_GB2312"/>
        </w:rPr>
      </w:pPr>
      <w:r>
        <w:rPr>
          <w:rFonts w:ascii="仿宋_GB2312" w:eastAsia="仿宋_GB2312" w:cs="仿宋_GB2312" w:hint="eastAsia"/>
        </w:rPr>
        <w:t>保密审查情况：</w:t>
      </w:r>
    </w:p>
    <w:p>
      <w:pPr>
        <w:autoSpaceDE w:val="0"/>
        <w:autoSpaceDN w:val="0"/>
        <w:adjustRightInd w:val="0"/>
        <w:ind w:firstLineChars="400" w:firstLine="1280"/>
        <w:rPr>
          <w:rFonts w:eastAsia="仿宋_GB2312"/>
        </w:rPr>
      </w:pPr>
      <w:r>
        <w:rPr>
          <w:rFonts w:ascii="仿宋_GB2312" w:eastAsia="仿宋_GB2312" w:cs="仿宋_GB2312" w:hint="eastAsia"/>
        </w:rPr>
        <w:t>部门主要负责人审签情况：</w:t>
      </w:r>
      <w:r>
        <w:rPr>
          <w:rFonts w:eastAsia="仿宋_GB2312"/>
        </w:rPr>
        <w:t xml:space="preserve"> </w:t>
      </w:r>
    </w:p>
    <w:p>
      <w:pPr>
        <w:jc w:val="center"/>
        <w:rPr>
          <w:rFonts w:ascii="黑体" w:eastAsia="黑体" w:hint="eastAsia"/>
          <w:b/>
          <w:sz w:val="44"/>
          <w:szCs w:val="44"/>
        </w:rPr>
      </w:pPr>
    </w:p>
    <w:p>
      <w:pPr>
        <w:jc w:val="center"/>
        <w:rPr>
          <w:rFonts w:ascii="黑体" w:eastAsia="黑体" w:hint="eastAsia"/>
          <w:b/>
          <w:sz w:val="44"/>
          <w:szCs w:val="44"/>
        </w:rPr>
      </w:pPr>
    </w:p>
    <w:p>
      <w:pPr>
        <w:jc w:val="center"/>
        <w:rPr>
          <w:rFonts w:ascii="黑体" w:eastAsia="黑体" w:hint="eastAsia"/>
          <w:b/>
          <w:sz w:val="44"/>
          <w:szCs w:val="44"/>
        </w:rPr>
      </w:pPr>
    </w:p>
    <w:p>
      <w:pPr>
        <w:jc w:val="center"/>
        <w:rPr>
          <w:rFonts w:ascii="黑体" w:eastAsia="黑体" w:hint="eastAsia"/>
          <w:b/>
          <w:sz w:val="44"/>
          <w:szCs w:val="44"/>
        </w:rPr>
      </w:pPr>
    </w:p>
    <w:p>
      <w:pPr>
        <w:jc w:val="center"/>
        <w:rPr>
          <w:rFonts w:ascii="黑体" w:eastAsia="黑体"/>
          <w:b/>
          <w:sz w:val="44"/>
          <w:szCs w:val="44"/>
        </w:rPr>
      </w:pPr>
      <w:r>
        <w:rPr>
          <w:rFonts w:ascii="黑体" w:eastAsia="黑体" w:hint="eastAsia"/>
          <w:b/>
          <w:sz w:val="44"/>
          <w:szCs w:val="44"/>
        </w:rPr>
        <w:t>目</w:t>
      </w:r>
      <w:r>
        <w:rPr>
          <w:rFonts w:ascii="黑体" w:eastAsia="黑体" w:hint="eastAsia"/>
          <w:b/>
          <w:sz w:val="44"/>
          <w:szCs w:val="44"/>
          <w:lang w:val="en-US" w:eastAsia="zh-CN"/>
        </w:rPr>
        <w:t xml:space="preserve">  </w:t>
      </w:r>
      <w:r>
        <w:rPr>
          <w:rFonts w:ascii="黑体" w:eastAsia="黑体" w:hint="eastAsia"/>
          <w:b/>
          <w:sz w:val="44"/>
          <w:szCs w:val="44"/>
        </w:rPr>
        <w:t>录</w:t>
      </w:r>
    </w:p>
    <w:p>
      <w:pPr>
        <w:ind w:firstLineChars="0" w:firstLine="0"/>
      </w:pPr>
    </w:p>
    <w:p>
      <w:pPr>
        <w:pStyle w:val="20"/>
        <w:tabs>
          <w:tab w:val="right" w:leader="dot" w:pos="8296"/>
        </w:tabs>
        <w:spacing w:before="0"/>
        <w:jc w:val="left"/>
        <w:rPr>
          <w:rFonts w:ascii="仿宋" w:eastAsia="仿宋" w:cs="Times New Roman" w:hint="eastAsia"/>
          <w:color w:val="000000"/>
          <w:kern w:val="2"/>
          <w:sz w:val="32"/>
          <w:szCs w:val="32"/>
          <w:lang w:val="en-US" w:eastAsia="zh-CN" w:bidi="ar-SA"/>
        </w:rPr>
      </w:pPr>
      <w:r>
        <w:rPr>
          <w:rFonts w:ascii="仿宋" w:eastAsia="仿宋" w:cs="Times New Roman" w:hint="eastAsia"/>
          <w:color w:val="000000"/>
          <w:kern w:val="2"/>
          <w:sz w:val="32"/>
          <w:szCs w:val="32"/>
          <w:lang w:val="en-US" w:eastAsia="zh-CN" w:bidi="ar-SA"/>
        </w:rPr>
        <w:t>第一部分 部门概况</w:t>
      </w:r>
      <w:r>
        <w:t>…………………………………………</w:t>
      </w:r>
      <w:r>
        <w:rPr>
          <w:rFonts w:hint="eastAsia"/>
          <w:lang w:val="en-US" w:eastAsia="zh-CN"/>
        </w:rPr>
        <w:t>4</w:t>
      </w:r>
    </w:p>
    <w:p>
      <w:pPr>
        <w:pStyle w:val="21"/>
        <w:tabs>
          <w:tab w:val="right" w:leader="dot" w:pos="8296"/>
        </w:tabs>
      </w:pPr>
      <w:r>
        <w:rPr>
          <w:rFonts w:hint="eastAsia"/>
        </w:rPr>
        <w:t>一、基本职能及主要工作</w:t>
      </w:r>
      <w:r>
        <w:t>………………………</w:t>
      </w:r>
      <w:r>
        <w:rPr>
          <w:rFonts w:hint="eastAsia"/>
        </w:rPr>
        <w:t>4</w:t>
      </w:r>
    </w:p>
    <w:p>
      <w:pPr>
        <w:pStyle w:val="21"/>
        <w:tabs>
          <w:tab w:val="right" w:leader="dot" w:pos="8296"/>
        </w:tabs>
        <w:rPr>
          <w:rFonts w:cs="Arial"/>
        </w:rPr>
      </w:pPr>
      <w:r>
        <w:rPr>
          <w:rFonts w:hint="eastAsia"/>
        </w:rPr>
        <w:t>二、机构设置</w:t>
      </w:r>
      <w:r>
        <w:t>……………………………………</w:t>
      </w:r>
      <w:r>
        <w:rPr>
          <w:rFonts w:hint="eastAsia"/>
        </w:rPr>
        <w:t>8</w:t>
      </w:r>
    </w:p>
    <w:p>
      <w:pPr>
        <w:pStyle w:val="20"/>
        <w:tabs>
          <w:tab w:val="right" w:leader="dot" w:pos="8296"/>
        </w:tabs>
        <w:spacing w:before="0"/>
        <w:jc w:val="left"/>
        <w:rPr>
          <w:rFonts w:ascii="仿宋" w:eastAsia="仿宋" w:cs="Times New Roman" w:hint="eastAsia"/>
          <w:color w:val="000000"/>
          <w:kern w:val="2"/>
          <w:sz w:val="32"/>
          <w:szCs w:val="32"/>
          <w:lang w:val="en-US" w:eastAsia="zh-CN" w:bidi="ar-SA"/>
        </w:rPr>
      </w:pPr>
      <w:r>
        <w:rPr>
          <w:rFonts w:ascii="仿宋" w:eastAsia="仿宋" w:cs="Times New Roman" w:hint="eastAsia"/>
          <w:color w:val="000000"/>
          <w:kern w:val="2"/>
          <w:sz w:val="32"/>
          <w:szCs w:val="32"/>
          <w:lang w:val="en-US" w:eastAsia="zh-CN" w:bidi="ar-SA"/>
        </w:rPr>
        <w:t>第二部分 2019年度部门决算情况说明</w:t>
      </w:r>
      <w:r>
        <w:t>………………</w:t>
      </w:r>
      <w:r>
        <w:rPr>
          <w:rFonts w:hint="eastAsia"/>
        </w:rPr>
        <w:t>9</w:t>
      </w:r>
    </w:p>
    <w:p>
      <w:pPr>
        <w:pStyle w:val="21"/>
        <w:tabs>
          <w:tab w:val="right" w:leader="dot" w:pos="8296"/>
        </w:tabs>
        <w:rPr>
          <w:rFonts w:cs="Arial"/>
        </w:rPr>
      </w:pPr>
      <w:r>
        <w:rPr>
          <w:rFonts w:hint="eastAsia"/>
        </w:rPr>
        <w:t>一、收入支出决算总体情况说明</w:t>
      </w:r>
      <w:r>
        <w:t>………………</w:t>
      </w:r>
      <w:r>
        <w:rPr>
          <w:rFonts w:hint="eastAsia"/>
        </w:rPr>
        <w:t>9</w:t>
      </w:r>
    </w:p>
    <w:p>
      <w:pPr>
        <w:pStyle w:val="21"/>
        <w:tabs>
          <w:tab w:val="right" w:leader="dot" w:pos="8296"/>
        </w:tabs>
        <w:rPr>
          <w:rFonts w:cs="Arial"/>
        </w:rPr>
      </w:pPr>
      <w:r>
        <w:rPr>
          <w:rFonts w:hint="eastAsia"/>
        </w:rPr>
        <w:t>二、收入决算情况说明</w:t>
      </w:r>
      <w:r>
        <w:t>…………………………</w:t>
      </w:r>
      <w:r>
        <w:rPr>
          <w:rFonts w:hint="eastAsia"/>
        </w:rPr>
        <w:t>9</w:t>
      </w:r>
    </w:p>
    <w:p>
      <w:pPr>
        <w:pStyle w:val="21"/>
        <w:tabs>
          <w:tab w:val="right" w:leader="dot" w:pos="8296"/>
        </w:tabs>
        <w:rPr>
          <w:rFonts w:cs="Arial"/>
        </w:rPr>
      </w:pPr>
      <w:r>
        <w:rPr>
          <w:rFonts w:hint="eastAsia"/>
        </w:rPr>
        <w:t>三、支出决算情况说明</w:t>
      </w:r>
      <w:r>
        <w:t>…………………………</w:t>
      </w:r>
      <w:r>
        <w:rPr>
          <w:rFonts w:hint="eastAsia"/>
        </w:rPr>
        <w:t>10</w:t>
      </w:r>
    </w:p>
    <w:p>
      <w:pPr>
        <w:pStyle w:val="21"/>
        <w:tabs>
          <w:tab w:val="right" w:leader="dot" w:pos="8296"/>
        </w:tabs>
        <w:rPr>
          <w:rFonts w:cs="Arial"/>
        </w:rPr>
      </w:pPr>
      <w:r>
        <w:rPr>
          <w:rFonts w:hint="eastAsia"/>
        </w:rPr>
        <w:t>四、财政拨款收入支出决算总体情况说明</w:t>
      </w:r>
      <w:r>
        <w:t>……</w:t>
      </w:r>
      <w:r>
        <w:rPr>
          <w:rFonts w:hint="eastAsia"/>
        </w:rPr>
        <w:t>10</w:t>
      </w:r>
    </w:p>
    <w:p>
      <w:pPr>
        <w:pStyle w:val="21"/>
        <w:tabs>
          <w:tab w:val="right" w:leader="dot" w:pos="8296"/>
        </w:tabs>
        <w:rPr>
          <w:rFonts w:cs="Arial"/>
        </w:rPr>
      </w:pPr>
      <w:r>
        <w:rPr>
          <w:rFonts w:hint="eastAsia"/>
        </w:rPr>
        <w:t>五、一般公共预算财政拨款支出决算情况说明11</w:t>
      </w:r>
    </w:p>
    <w:p>
      <w:pPr>
        <w:pStyle w:val="21"/>
        <w:tabs>
          <w:tab w:val="right" w:leader="dot" w:pos="8296"/>
        </w:tabs>
        <w:rPr>
          <w:rFonts w:cs="Arial"/>
        </w:rPr>
      </w:pPr>
      <w:r>
        <w:rPr>
          <w:rFonts w:hint="eastAsia"/>
        </w:rPr>
        <w:t>六、一般公共预算财政拨款基本支出决算情况说明</w:t>
      </w:r>
      <w:r>
        <w:t>………………………………………………………</w:t>
      </w:r>
      <w:r>
        <w:rPr>
          <w:rFonts w:hint="eastAsia"/>
        </w:rPr>
        <w:t>14</w:t>
      </w:r>
    </w:p>
    <w:p>
      <w:pPr>
        <w:pStyle w:val="21"/>
        <w:tabs>
          <w:tab w:val="right" w:leader="dot" w:pos="8296"/>
        </w:tabs>
        <w:rPr>
          <w:rFonts w:cs="Arial"/>
        </w:rPr>
      </w:pPr>
      <w:r>
        <w:rPr>
          <w:rFonts w:hint="eastAsia"/>
        </w:rPr>
        <w:t>七、</w:t>
      </w:r>
      <w:r>
        <w:t>“</w:t>
      </w:r>
      <w:r>
        <w:rPr>
          <w:rFonts w:hint="eastAsia"/>
        </w:rPr>
        <w:t>三公”经费财政拨款支出决算情况说明14</w:t>
      </w:r>
    </w:p>
    <w:p>
      <w:pPr>
        <w:pStyle w:val="21"/>
        <w:tabs>
          <w:tab w:val="right" w:leader="dot" w:pos="8296"/>
        </w:tabs>
        <w:rPr>
          <w:rFonts w:cs="Arial"/>
        </w:rPr>
      </w:pPr>
      <w:r>
        <w:rPr>
          <w:rFonts w:hint="eastAsia"/>
        </w:rPr>
        <w:t>八、政府性基金预算支出决算情况说明</w:t>
      </w:r>
      <w:r>
        <w:t>………</w:t>
      </w:r>
      <w:r>
        <w:rPr>
          <w:rFonts w:hint="eastAsia"/>
        </w:rPr>
        <w:t>16</w:t>
      </w:r>
    </w:p>
    <w:p>
      <w:pPr>
        <w:pStyle w:val="21"/>
        <w:tabs>
          <w:tab w:val="right" w:leader="dot" w:pos="8296"/>
        </w:tabs>
      </w:pPr>
      <w:r>
        <w:rPr>
          <w:rFonts w:hint="eastAsia"/>
        </w:rPr>
        <w:t>九、</w:t>
      </w:r>
      <w:r>
        <w:t>国</w:t>
      </w:r>
      <w:r>
        <w:rPr>
          <w:rFonts w:hint="eastAsia"/>
        </w:rPr>
        <w:t>有资本经营预算支出决算情况说明</w:t>
      </w:r>
      <w:r>
        <w:t>……</w:t>
      </w:r>
      <w:r>
        <w:rPr>
          <w:rFonts w:hint="eastAsia"/>
        </w:rPr>
        <w:t>16</w:t>
      </w:r>
    </w:p>
    <w:p>
      <w:pPr>
        <w:ind w:firstLineChars="400" w:firstLine="1280"/>
        <w:rPr>
          <w:rFonts w:cs="Arial"/>
        </w:rPr>
      </w:pPr>
      <w:r>
        <w:rPr>
          <w:rStyle w:val="23"/>
          <w:rFonts w:ascii="宋体" w:eastAsia="宋体" w:hint="eastAsia"/>
          <w:color w:val="000000"/>
          <w:u w:val="none"/>
        </w:rPr>
        <w:t>十、</w:t>
      </w:r>
      <w:r>
        <w:rPr>
          <w:rFonts w:hint="eastAsia"/>
        </w:rPr>
        <w:t>其他重要事项的情况说明</w:t>
      </w:r>
      <w:r>
        <w:tab/>
        <w:t>…………………</w:t>
      </w:r>
      <w:r>
        <w:rPr>
          <w:rFonts w:hint="eastAsia"/>
        </w:rPr>
        <w:t>16</w:t>
      </w:r>
    </w:p>
    <w:p>
      <w:pPr>
        <w:pStyle w:val="20"/>
        <w:tabs>
          <w:tab w:val="right" w:leader="dot" w:pos="8296"/>
        </w:tabs>
        <w:spacing w:before="0"/>
        <w:jc w:val="left"/>
        <w:rPr>
          <w:rFonts w:cs="Arial"/>
        </w:rPr>
      </w:pPr>
      <w:r>
        <w:rPr>
          <w:rFonts w:ascii="仿宋" w:eastAsia="仿宋" w:cs="Times New Roman" w:hint="eastAsia"/>
          <w:color w:val="000000"/>
          <w:kern w:val="2"/>
          <w:sz w:val="32"/>
          <w:szCs w:val="32"/>
          <w:lang w:val="en-US" w:eastAsia="zh-CN" w:bidi="ar-SA"/>
        </w:rPr>
        <w:t>第三部分</w:t>
      </w:r>
      <w:r>
        <w:rPr>
          <w:rFonts w:cs="Times New Roman" w:hint="eastAsia"/>
          <w:color w:val="000000"/>
          <w:kern w:val="2"/>
          <w:sz w:val="32"/>
          <w:szCs w:val="32"/>
          <w:lang w:val="en-US" w:eastAsia="zh-CN" w:bidi="ar-SA"/>
        </w:rPr>
        <w:t xml:space="preserve"> </w:t>
      </w:r>
      <w:r>
        <w:rPr>
          <w:rFonts w:ascii="仿宋" w:eastAsia="仿宋" w:cs="Times New Roman" w:hint="eastAsia"/>
          <w:color w:val="000000"/>
          <w:kern w:val="2"/>
          <w:sz w:val="32"/>
          <w:szCs w:val="32"/>
          <w:lang w:val="en-US" w:eastAsia="zh-CN" w:bidi="ar-SA"/>
        </w:rPr>
        <w:t>名词解释</w:t>
      </w:r>
      <w:r>
        <w:t>…………………………………………</w:t>
      </w:r>
      <w:r>
        <w:rPr>
          <w:rFonts w:hint="eastAsia"/>
        </w:rPr>
        <w:t>28</w:t>
      </w:r>
    </w:p>
    <w:p>
      <w:pPr>
        <w:jc w:val="left"/>
      </w:pPr>
      <w:r>
        <w:rPr>
          <w:rFonts w:hint="eastAsia"/>
        </w:rPr>
        <w:t>第四部分</w:t>
      </w:r>
      <w:r>
        <w:rPr>
          <w:rFonts w:hint="eastAsia"/>
          <w:lang w:val="en-US" w:eastAsia="zh-CN"/>
        </w:rPr>
        <w:t xml:space="preserve"> </w:t>
      </w:r>
      <w:r>
        <w:rPr>
          <w:rFonts w:hint="eastAsia"/>
        </w:rPr>
        <w:t>附件</w:t>
      </w:r>
      <w:r>
        <w:rPr>
          <w:rFonts w:hint="eastAsia"/>
          <w:lang w:val="en-US" w:eastAsia="zh-CN"/>
        </w:rPr>
        <w:t>:</w:t>
      </w:r>
      <w:r>
        <w:rPr>
          <w:rFonts w:ascii="仿宋" w:eastAsia="仿宋" w:cs="仿宋" w:hint="eastAsia"/>
          <w:kern w:val="0"/>
          <w:sz w:val="32"/>
          <w:szCs w:val="32"/>
        </w:rPr>
        <w:t>茂县水务局2019年部门</w:t>
      </w:r>
      <w:r>
        <w:rPr>
          <w:rFonts w:ascii="仿宋" w:eastAsia="仿宋" w:cs="仿宋" w:hint="eastAsia"/>
          <w:kern w:val="0"/>
          <w:sz w:val="32"/>
          <w:szCs w:val="32"/>
          <w:lang w:val="zh-CN"/>
        </w:rPr>
        <w:t>整体支出绩效评价报告</w:t>
      </w:r>
      <w:r>
        <w:t>……………………………………………………</w:t>
      </w:r>
      <w:r>
        <w:rPr>
          <w:rFonts w:hint="eastAsia"/>
        </w:rPr>
        <w:t>31</w:t>
      </w:r>
    </w:p>
    <w:p>
      <w:pPr>
        <w:pStyle w:val="20"/>
        <w:tabs>
          <w:tab w:val="right" w:leader="dot" w:pos="8296"/>
        </w:tabs>
        <w:spacing w:before="0"/>
        <w:jc w:val="left"/>
        <w:rPr>
          <w:rFonts w:ascii="仿宋" w:eastAsia="仿宋" w:cs="Times New Roman" w:hint="eastAsia"/>
          <w:color w:val="000000"/>
          <w:kern w:val="2"/>
          <w:sz w:val="32"/>
          <w:szCs w:val="32"/>
          <w:lang w:val="en-US" w:eastAsia="zh-CN" w:bidi="ar-SA"/>
        </w:rPr>
      </w:pPr>
      <w:r>
        <w:rPr>
          <w:rFonts w:ascii="仿宋" w:eastAsia="仿宋" w:cs="Times New Roman" w:hint="eastAsia"/>
          <w:color w:val="000000"/>
          <w:kern w:val="2"/>
          <w:sz w:val="32"/>
          <w:szCs w:val="32"/>
          <w:lang w:val="en-US" w:eastAsia="zh-CN" w:bidi="ar-SA"/>
        </w:rPr>
        <w:t>第五部分附表</w:t>
      </w:r>
    </w:p>
    <w:p>
      <w:pPr>
        <w:pStyle w:val="21"/>
        <w:tabs>
          <w:tab w:val="right" w:leader="dot" w:pos="8296"/>
        </w:tabs>
        <w:rPr>
          <w:rFonts w:cs="Arial"/>
        </w:rPr>
      </w:pPr>
      <w:r>
        <w:rPr>
          <w:rFonts w:hint="eastAsia"/>
        </w:rPr>
        <w:t>一、收入支出决算总表</w:t>
      </w:r>
    </w:p>
    <w:p>
      <w:pPr>
        <w:pStyle w:val="21"/>
        <w:tabs>
          <w:tab w:val="right" w:leader="dot" w:pos="8296"/>
        </w:tabs>
        <w:rPr>
          <w:rFonts w:cs="Arial"/>
        </w:rPr>
      </w:pPr>
      <w:r>
        <w:rPr>
          <w:rFonts w:hint="eastAsia"/>
        </w:rPr>
        <w:t>二、收入决算表</w:t>
      </w:r>
    </w:p>
    <w:p>
      <w:pPr>
        <w:pStyle w:val="21"/>
        <w:tabs>
          <w:tab w:val="right" w:leader="dot" w:pos="8296"/>
        </w:tabs>
        <w:rPr>
          <w:rFonts w:cs="Arial"/>
        </w:rPr>
      </w:pPr>
      <w:r>
        <w:rPr>
          <w:rFonts w:hint="eastAsia"/>
        </w:rPr>
        <w:t>三、支出决算表</w:t>
      </w:r>
    </w:p>
    <w:p>
      <w:pPr>
        <w:pStyle w:val="21"/>
        <w:tabs>
          <w:tab w:val="right" w:leader="dot" w:pos="8296"/>
        </w:tabs>
        <w:rPr>
          <w:rFonts w:cs="Arial"/>
        </w:rPr>
      </w:pPr>
      <w:r>
        <w:rPr>
          <w:rFonts w:hint="eastAsia"/>
        </w:rPr>
        <w:t>四、财政拨款收入支出决算总表</w:t>
      </w:r>
    </w:p>
    <w:p>
      <w:pPr>
        <w:pStyle w:val="21"/>
        <w:tabs>
          <w:tab w:val="right" w:leader="dot" w:pos="8296"/>
        </w:tabs>
      </w:pPr>
      <w:r>
        <w:rPr>
          <w:rFonts w:hint="eastAsia"/>
        </w:rPr>
        <w:t>五、财政拨款支出决算明细表</w:t>
      </w:r>
    </w:p>
    <w:p>
      <w:pPr>
        <w:pStyle w:val="21"/>
        <w:tabs>
          <w:tab w:val="right" w:leader="dot" w:pos="8296"/>
        </w:tabs>
        <w:rPr>
          <w:rFonts w:cs="Arial"/>
        </w:rPr>
      </w:pPr>
      <w:r>
        <w:rPr>
          <w:rFonts w:hint="eastAsia"/>
        </w:rPr>
        <w:t>六、一般公共预算财政拨款支出决算表</w:t>
      </w:r>
    </w:p>
    <w:p>
      <w:pPr>
        <w:pStyle w:val="21"/>
        <w:tabs>
          <w:tab w:val="right" w:leader="dot" w:pos="8296"/>
        </w:tabs>
        <w:rPr>
          <w:rFonts w:cs="Arial"/>
        </w:rPr>
      </w:pPr>
      <w:r>
        <w:rPr>
          <w:rFonts w:hint="eastAsia"/>
        </w:rPr>
        <w:t>七、一般公共预算财政拨款支出决算明细表</w:t>
      </w:r>
    </w:p>
    <w:p>
      <w:pPr>
        <w:pStyle w:val="21"/>
        <w:tabs>
          <w:tab w:val="right" w:leader="dot" w:pos="8296"/>
        </w:tabs>
        <w:rPr>
          <w:rFonts w:cs="Arial"/>
        </w:rPr>
      </w:pPr>
      <w:r>
        <w:rPr>
          <w:rFonts w:hint="eastAsia"/>
        </w:rPr>
        <w:t>八、一般公共预算财政拨款基本支出决算表</w:t>
      </w:r>
    </w:p>
    <w:p>
      <w:pPr>
        <w:pStyle w:val="21"/>
        <w:tabs>
          <w:tab w:val="right" w:leader="dot" w:pos="8296"/>
        </w:tabs>
        <w:rPr>
          <w:rFonts w:cs="Arial"/>
        </w:rPr>
      </w:pPr>
      <w:r>
        <w:rPr>
          <w:rFonts w:hint="eastAsia"/>
        </w:rPr>
        <w:t>九、一般公共预算财政拨款项目支出决算表</w:t>
      </w:r>
    </w:p>
    <w:p>
      <w:pPr>
        <w:pStyle w:val="21"/>
        <w:tabs>
          <w:tab w:val="right" w:leader="dot" w:pos="8296"/>
        </w:tabs>
        <w:rPr>
          <w:rFonts w:cs="Arial"/>
        </w:rPr>
      </w:pPr>
      <w:r>
        <w:rPr>
          <w:rFonts w:hint="eastAsia"/>
        </w:rPr>
        <w:t>十、一般公共预算财政拨款“三公”经费支出决算表</w:t>
      </w:r>
    </w:p>
    <w:p>
      <w:pPr>
        <w:pStyle w:val="21"/>
        <w:tabs>
          <w:tab w:val="right" w:leader="dot" w:pos="8296"/>
        </w:tabs>
        <w:rPr>
          <w:rFonts w:cs="Arial"/>
        </w:rPr>
      </w:pPr>
      <w:r>
        <w:rPr>
          <w:rFonts w:hint="eastAsia"/>
        </w:rPr>
        <w:t>十一、政府性基金预算财政拨款收入支出决算表</w:t>
      </w:r>
    </w:p>
    <w:p>
      <w:pPr>
        <w:pStyle w:val="21"/>
        <w:tabs>
          <w:tab w:val="right" w:leader="dot" w:pos="8296"/>
        </w:tabs>
        <w:rPr>
          <w:rFonts w:cs="Arial"/>
        </w:rPr>
      </w:pPr>
      <w:r>
        <w:rPr>
          <w:rFonts w:hint="eastAsia"/>
        </w:rPr>
        <w:t>十二、政府性基金预算财政拨款“三公”经费支出决算表</w:t>
      </w:r>
    </w:p>
    <w:p>
      <w:pPr>
        <w:pStyle w:val="21"/>
        <w:tabs>
          <w:tab w:val="right" w:leader="dot" w:pos="8296"/>
        </w:tabs>
        <w:rPr>
          <w:rFonts w:cs="Arial"/>
        </w:rPr>
      </w:pPr>
      <w:r>
        <w:rPr>
          <w:rFonts w:hint="eastAsia"/>
        </w:rPr>
        <w:t>十三、国有资本经营预算支出决算表</w:t>
      </w:r>
      <w:bookmarkStart w:id="12" w:name="_Toc15396599"/>
      <w:bookmarkStart w:id="13" w:name="_Toc15377196"/>
      <w:r>
        <w:br w:type="page"/>
      </w:r>
    </w:p>
    <w:p>
      <w:pPr>
        <w:pStyle w:val="1"/>
        <w:spacing w:before="0" w:after="0" w:line="576" w:lineRule="exact"/>
        <w:jc w:val="center"/>
        <w:rPr>
          <w:rStyle w:val="1Char"/>
          <w:rFonts w:ascii="黑体" w:eastAsia="黑体"/>
          <w:b w:val="0"/>
          <w:bCs w:val="0"/>
        </w:rPr>
      </w:pPr>
      <w:r>
        <w:rPr>
          <w:rFonts w:ascii="黑体" w:eastAsia="黑体" w:hint="eastAsia"/>
          <w:b w:val="0"/>
        </w:rPr>
        <w:t>第一部分</w:t>
      </w:r>
      <w:r>
        <w:rPr>
          <w:rStyle w:val="1Char"/>
          <w:rFonts w:ascii="黑体" w:eastAsia="黑体" w:hint="eastAsia"/>
          <w:b w:val="0"/>
          <w:bCs w:val="0"/>
        </w:rPr>
        <w:t>部门概况</w:t>
      </w:r>
      <w:bookmarkEnd w:id="12"/>
      <w:bookmarkEnd w:id="13"/>
    </w:p>
    <w:p/>
    <w:p>
      <w:pPr>
        <w:pStyle w:val="2"/>
        <w:spacing w:before="0" w:after="0" w:line="576" w:lineRule="exact"/>
        <w:rPr>
          <w:rStyle w:val="2Char"/>
          <w:rFonts w:ascii="黑体" w:eastAsia="黑体"/>
          <w:b w:val="0"/>
          <w:bCs w:val="0"/>
        </w:rPr>
      </w:pPr>
      <w:bookmarkStart w:id="14" w:name="_Toc15396600"/>
      <w:bookmarkStart w:id="15" w:name="_Toc15377197"/>
      <w:r>
        <w:rPr>
          <w:rFonts w:hint="eastAsia"/>
          <w:b w:val="0"/>
        </w:rPr>
        <w:t>一、</w:t>
      </w:r>
      <w:r>
        <w:rPr>
          <w:rFonts w:hint="eastAsia"/>
        </w:rPr>
        <w:t>基</w:t>
      </w:r>
      <w:r>
        <w:rPr>
          <w:rStyle w:val="2Char"/>
          <w:rFonts w:ascii="黑体" w:eastAsia="黑体" w:hint="eastAsia"/>
          <w:b w:val="0"/>
          <w:bCs w:val="0"/>
        </w:rPr>
        <w:t>本职能及主要工作</w:t>
      </w:r>
      <w:bookmarkEnd w:id="14"/>
      <w:bookmarkEnd w:id="15"/>
    </w:p>
    <w:p>
      <w:pPr>
        <w:rPr>
          <w:rFonts w:ascii="楷体" w:eastAsia="楷体"/>
          <w:b/>
          <w:kern w:val="0"/>
        </w:rPr>
      </w:pPr>
      <w:r>
        <w:rPr>
          <w:rFonts w:ascii="楷体" w:eastAsia="楷体" w:hint="eastAsia"/>
          <w:b/>
          <w:kern w:val="0"/>
        </w:rPr>
        <w:t>（一）部门主要职责</w:t>
      </w:r>
    </w:p>
    <w:p>
      <w:pPr>
        <w:rPr>
          <w:rFonts w:ascii="仿宋_GB2312" w:eastAsia="仿宋_GB2312"/>
        </w:rPr>
      </w:pPr>
      <w:bookmarkStart w:id="16" w:name="_Toc15377199"/>
      <w:bookmarkStart w:id="17" w:name="_Toc15378446"/>
      <w:r>
        <w:rPr>
          <w:rFonts w:ascii="仿宋_GB2312" w:eastAsia="仿宋_GB2312" w:hint="eastAsia"/>
        </w:rPr>
        <w:t>1.贯彻执行国家、省、州有关水利工作的方针、政策和法律、法规，研究拟订配套适合县情的实施办法和规范性文件，并监督实施;负责保障水资源的合理开发利用，组织编制全县重要江河的流域综合规划、防洪规划等重大水利规划;拟订全县水利发展目标、发展战略以及编制中长期规划和年度计划，拟订水利工程建设有关制度并组织实施。</w:t>
      </w:r>
    </w:p>
    <w:p>
      <w:pPr>
        <w:rPr>
          <w:rFonts w:ascii="仿宋_GB2312" w:eastAsia="仿宋_GB2312"/>
          <w:kern w:val="0"/>
        </w:rPr>
      </w:pPr>
      <w:r>
        <w:rPr>
          <w:rFonts w:ascii="仿宋_GB2312" w:eastAsia="仿宋_GB2312" w:hint="eastAsia"/>
        </w:rPr>
        <w:t>2.统一管理全县水资源，负责生活、生产经营和生态环境用水的统筹兼顾和保障。拟订全县和跨县水中长期供求规划、水量分配方案、计划用水、节约用水规划，推动节水型社会建设工作。组织实施取水许可、水资源论证、防洪论证</w:t>
      </w:r>
      <w:r>
        <w:rPr>
          <w:rFonts w:ascii="仿宋_GB2312" w:eastAsia="仿宋_GB2312" w:hint="eastAsia"/>
          <w:kern w:val="0"/>
        </w:rPr>
        <w:t>和水土保持论证制度。按规划发布全县水资源公报。</w:t>
      </w:r>
    </w:p>
    <w:p>
      <w:pPr>
        <w:rPr>
          <w:rFonts w:ascii="仿宋_GB2312" w:eastAsia="仿宋_GB2312"/>
          <w:kern w:val="0"/>
        </w:rPr>
      </w:pPr>
      <w:r>
        <w:rPr>
          <w:rFonts w:ascii="仿宋_GB2312" w:eastAsia="仿宋_GB2312" w:hint="eastAsia"/>
          <w:kern w:val="0"/>
        </w:rPr>
        <w:t>3.组织编制洪水干早灾害防治规划，承担水情、旱情监测预警，组织编制防洪抗旱应急水量调度方案，编制防御洪水抗早调度方案。</w:t>
      </w:r>
    </w:p>
    <w:p>
      <w:pPr>
        <w:rPr>
          <w:rFonts w:ascii="仿宋_GB2312" w:eastAsia="仿宋_GB2312"/>
          <w:kern w:val="0"/>
        </w:rPr>
      </w:pPr>
      <w:r>
        <w:rPr>
          <w:rFonts w:ascii="仿宋_GB2312" w:eastAsia="仿宋_GB2312" w:hint="eastAsia"/>
          <w:kern w:val="0"/>
        </w:rPr>
        <w:t>4.按照管理权限编制、审查全县水利基本建设项目建议书和可行性研究报告;初审、转报水利基本建设项目初步设计。负责水利设施的管理与保护，负责全县重要江河、湖泊、水库、滩涂的治理和开发，管理和负责水利工程建设与运行管理，组织实施具有控制性或跨县重要水利工程建设与运行管理，负责河道采砂的统一监督管理工作。负责全县农村饮水安全的建设与管理工作。</w:t>
      </w:r>
    </w:p>
    <w:p>
      <w:pPr>
        <w:rPr>
          <w:rFonts w:ascii="仿宋_GB2312" w:eastAsia="仿宋_GB2312"/>
          <w:kern w:val="0"/>
        </w:rPr>
      </w:pPr>
      <w:r>
        <w:rPr>
          <w:rFonts w:ascii="仿宋_GB2312" w:eastAsia="仿宋_GB2312" w:hint="eastAsia"/>
          <w:kern w:val="0"/>
        </w:rPr>
        <w:t>5.负责防治水土流失。拟订水土保持规划并监督实施，组织实施全县水土流失的综合防治、监测预报，按照管理权限负责建设项目水土保持方案的审批、监督实施及水土保持设施的验收工作，承担重点水土保持建设项目的实施。</w:t>
      </w:r>
    </w:p>
    <w:p>
      <w:pPr>
        <w:rPr>
          <w:rFonts w:ascii="仿宋_GB2312" w:eastAsia="仿宋_GB2312"/>
          <w:kern w:val="0"/>
        </w:rPr>
      </w:pPr>
      <w:r>
        <w:rPr>
          <w:rFonts w:ascii="仿宋_GB2312" w:eastAsia="仿宋_GB2312" w:hint="eastAsia"/>
          <w:kern w:val="0"/>
        </w:rPr>
        <w:t>6.负责重大涉水违法事件的查处和协调跨县或部门间水事纠纷，承担水政监察和水行政执法。负责水利建设工程项目的招标投标活动的监督执法。依法负责水利行业安全生产工作，组织、承担水库大坝、水电站大坝等水利工程的安全监管，组织实施水利工程建设的监督和定额管理。承担水利统计工作。</w:t>
      </w:r>
    </w:p>
    <w:p>
      <w:pPr>
        <w:rPr>
          <w:rFonts w:ascii="仿宋_GB2312" w:eastAsia="仿宋_GB2312"/>
          <w:kern w:val="0"/>
        </w:rPr>
      </w:pPr>
      <w:r>
        <w:rPr>
          <w:rFonts w:ascii="仿宋_GB2312" w:eastAsia="仿宋_GB2312" w:hint="eastAsia"/>
          <w:kern w:val="0"/>
        </w:rPr>
        <w:t>7.拟订水利行业经济调节措施;负责编制全县水利建设项目资金计划，对水利资金进行管理、监督和内部审计。研究提出有关水利方面价格、税收、信贷、财务等经济调节建议。单位国有资产保值增值的监督和管理。</w:t>
      </w:r>
    </w:p>
    <w:p>
      <w:pPr>
        <w:rPr>
          <w:rFonts w:ascii="仿宋_GB2312" w:eastAsia="仿宋_GB2312"/>
          <w:kern w:val="0"/>
        </w:rPr>
      </w:pPr>
      <w:r>
        <w:rPr>
          <w:rFonts w:ascii="仿宋_GB2312" w:eastAsia="仿宋_GB2312" w:hint="eastAsia"/>
          <w:kern w:val="0"/>
        </w:rPr>
        <w:t>8.负责全县水利方面的科技与外事工作，组织本县重大水利行业科学研究的技术推广。监督实施水利行业技术质量标准和规程、规范，承办水利行业对外经济、技术合作与交流等涉外事务。</w:t>
      </w:r>
    </w:p>
    <w:p>
      <w:pPr>
        <w:rPr>
          <w:rFonts w:ascii="仿宋_GB2312" w:eastAsia="仿宋_GB2312"/>
          <w:kern w:val="0"/>
        </w:rPr>
      </w:pPr>
      <w:r>
        <w:rPr>
          <w:rFonts w:ascii="仿宋_GB2312" w:eastAsia="仿宋_GB2312" w:hint="eastAsia"/>
          <w:kern w:val="0"/>
        </w:rPr>
        <w:t>9.完成县委和县政府交办的其他任务。</w:t>
      </w:r>
    </w:p>
    <w:p>
      <w:pPr>
        <w:rPr>
          <w:rFonts w:ascii="仿宋_GB2312" w:eastAsia="仿宋_GB2312"/>
          <w:kern w:val="0"/>
        </w:rPr>
      </w:pPr>
      <w:r>
        <w:rPr>
          <w:rFonts w:ascii="仿宋_GB2312" w:eastAsia="仿宋_GB2312" w:hint="eastAsia"/>
          <w:kern w:val="0"/>
        </w:rPr>
        <w:t>10.职能转变</w:t>
      </w:r>
    </w:p>
    <w:p>
      <w:pPr>
        <w:rPr>
          <w:rFonts w:ascii="仿宋_GB2312" w:eastAsia="仿宋_GB2312"/>
          <w:kern w:val="0"/>
        </w:rPr>
      </w:pPr>
      <w:r>
        <w:rPr>
          <w:rFonts w:ascii="仿宋_GB2312" w:eastAsia="仿宋_GB2312" w:hint="eastAsia"/>
          <w:kern w:val="0"/>
        </w:rPr>
        <w:t>（1）将水资源调查和确权登记管理职责划入县自然资源局。</w:t>
      </w:r>
    </w:p>
    <w:p>
      <w:pPr>
        <w:rPr>
          <w:rFonts w:ascii="仿宋_GB2312" w:eastAsia="仿宋_GB2312"/>
          <w:kern w:val="0"/>
        </w:rPr>
      </w:pPr>
      <w:r>
        <w:rPr>
          <w:rFonts w:ascii="仿宋_GB2312" w:eastAsia="仿宋_GB2312" w:hint="eastAsia"/>
          <w:kern w:val="0"/>
        </w:rPr>
        <w:t>（2）将编制水功能区划、排污口设置管理、流域水环境保护职责划入阿坝州茂县生态环境局。</w:t>
      </w:r>
    </w:p>
    <w:p>
      <w:pPr>
        <w:rPr>
          <w:rFonts w:ascii="仿宋_GB2312" w:eastAsia="仿宋_GB2312"/>
          <w:kern w:val="0"/>
        </w:rPr>
      </w:pPr>
      <w:r>
        <w:rPr>
          <w:rFonts w:ascii="仿宋_GB2312" w:eastAsia="仿宋_GB2312" w:hint="eastAsia"/>
          <w:kern w:val="0"/>
        </w:rPr>
        <w:t>（3）将农田水利建设项目管理职责划入县科学技术和农业畜牧局。</w:t>
      </w:r>
    </w:p>
    <w:p>
      <w:pPr>
        <w:pStyle w:val="15"/>
        <w:spacing w:beforeLines="0" w:before="93"/>
        <w:rPr>
          <w:rFonts w:ascii="楷体" w:eastAsia="楷体"/>
          <w:b/>
        </w:rPr>
      </w:pPr>
      <w:r>
        <w:rPr>
          <w:rFonts w:ascii="楷体" w:eastAsia="楷体" w:hint="eastAsia"/>
          <w:b/>
        </w:rPr>
        <w:t>（二）</w:t>
      </w:r>
      <w:r>
        <w:rPr>
          <w:rFonts w:ascii="楷体" w:eastAsia="楷体"/>
          <w:b/>
        </w:rPr>
        <w:t>201</w:t>
      </w:r>
      <w:r>
        <w:rPr>
          <w:rFonts w:ascii="楷体" w:eastAsia="楷体" w:hint="eastAsia"/>
          <w:b/>
        </w:rPr>
        <w:t>9年重点工作完成情况</w:t>
      </w:r>
      <w:bookmarkEnd w:id="16"/>
      <w:bookmarkEnd w:id="17"/>
    </w:p>
    <w:p>
      <w:pPr>
        <w:rPr>
          <w:rFonts w:ascii="仿宋_GB2312" w:eastAsia="仿宋_GB2312"/>
          <w:kern w:val="0"/>
        </w:rPr>
      </w:pPr>
      <w:r>
        <w:rPr>
          <w:rFonts w:ascii="仿宋_GB2312" w:eastAsia="仿宋_GB2312" w:hint="eastAsia"/>
          <w:kern w:val="0"/>
        </w:rPr>
        <w:t>2019年，我局在县委县政府的坚强领导下，以项目推动脱贫攻坚为主线，以全面推行河（湖）长制，以水生态环境治理为支撑，以发展民生水利为根本，以保障农村饮水安全和防灾减灾为目标，坚定不移抓执行、全力以赴抓推进，各项工作取得了不错的成效。</w:t>
      </w:r>
    </w:p>
    <w:p>
      <w:pPr>
        <w:rPr>
          <w:rFonts w:ascii="仿宋_GB2312" w:eastAsia="仿宋_GB2312"/>
          <w:kern w:val="0"/>
        </w:rPr>
      </w:pPr>
      <w:r>
        <w:rPr>
          <w:rFonts w:ascii="仿宋_GB2312" w:eastAsia="仿宋_GB2312" w:hint="eastAsia"/>
          <w:b/>
          <w:kern w:val="0"/>
        </w:rPr>
        <w:t>1、脱贫攻坚工作开展情况；</w:t>
      </w:r>
      <w:r>
        <w:rPr>
          <w:rFonts w:ascii="仿宋_GB2312" w:eastAsia="仿宋_GB2312" w:hint="eastAsia"/>
          <w:kern w:val="0"/>
        </w:rPr>
        <w:t>抓基础工程，促脱贫攻坚落实。</w:t>
      </w:r>
      <w:r>
        <w:rPr>
          <w:rFonts w:ascii="仿宋_GB2312" w:eastAsia="仿宋_GB2312" w:hint="eastAsia"/>
          <w:b/>
          <w:kern w:val="0"/>
        </w:rPr>
        <w:t>一是</w:t>
      </w:r>
      <w:r>
        <w:rPr>
          <w:rFonts w:ascii="仿宋_GB2312" w:eastAsia="仿宋_GB2312" w:hint="eastAsia"/>
          <w:kern w:val="0"/>
        </w:rPr>
        <w:t>完成2019年农村饮水安全巩固提升改造工程。主要通过改造配套供水工程、水质净化和管网延伸改造，配套消毒设备等方式，解决全县7个乡镇10个村5000余人饮水安全的提升改造问题，确保脱贫人口“户户有安全水”。工程总投资456万元，目前已完成项目的完工验收工作。</w:t>
      </w:r>
      <w:r>
        <w:rPr>
          <w:rFonts w:ascii="仿宋_GB2312" w:eastAsia="仿宋_GB2312" w:hint="eastAsia"/>
          <w:b/>
          <w:kern w:val="0"/>
        </w:rPr>
        <w:t>二是</w:t>
      </w:r>
      <w:r>
        <w:rPr>
          <w:rFonts w:ascii="仿宋_GB2312" w:eastAsia="仿宋_GB2312" w:hint="eastAsia"/>
          <w:kern w:val="0"/>
        </w:rPr>
        <w:t>实施2019年财政涉农统筹整合资金项目。项目总投资1150.99万元，包含了农田灌溉、安全饮水提升工程、新建防洪沟和新建堤防工程等，为我县经济发展提供坚强的水利保障。</w:t>
      </w:r>
      <w:r>
        <w:rPr>
          <w:rFonts w:ascii="仿宋_GB2312" w:eastAsia="仿宋_GB2312" w:hint="eastAsia"/>
          <w:b/>
          <w:kern w:val="0"/>
        </w:rPr>
        <w:t>三是</w:t>
      </w:r>
      <w:r>
        <w:rPr>
          <w:rFonts w:ascii="仿宋_GB2312" w:eastAsia="仿宋_GB2312" w:hint="eastAsia"/>
          <w:kern w:val="0"/>
        </w:rPr>
        <w:t>结合“两联一进”工作，把“两不愁三保障”各项措施落实到村、到户、到人，努力打赢脱贫攻坚战。</w:t>
      </w:r>
    </w:p>
    <w:p>
      <w:pPr>
        <w:rPr>
          <w:rFonts w:ascii="仿宋_GB2312" w:eastAsia="仿宋_GB2312"/>
          <w:kern w:val="0"/>
        </w:rPr>
      </w:pPr>
      <w:r>
        <w:rPr>
          <w:rFonts w:ascii="仿宋_GB2312" w:eastAsia="仿宋_GB2312" w:hint="eastAsia"/>
          <w:b/>
          <w:kern w:val="0"/>
        </w:rPr>
        <w:t>2、河湖长制工作推进情况；</w:t>
      </w:r>
      <w:r>
        <w:rPr>
          <w:rFonts w:ascii="仿宋_GB2312" w:eastAsia="仿宋_GB2312" w:hint="eastAsia"/>
          <w:kern w:val="0"/>
        </w:rPr>
        <w:t>建立完善河湖长体系，严格实行县总河长负责制，坚持高位推动河长制工作，并将湖长制工作纳入河长制工作体制机制；开展河道“清四乱”点位核查、整改工作。积极开展“清四乱”新增点位现场核查、整改工作，特制定下发了整改方案。坚持节水优先，强化水资源管理，严格水资源行政审批，加强用水管理，规范用水行为。重拳出击，严格规范河道沿线。</w:t>
      </w:r>
    </w:p>
    <w:p>
      <w:pPr>
        <w:pStyle w:val="31"/>
        <w:spacing w:line="576" w:lineRule="exact"/>
        <w:rPr>
          <w:rFonts w:ascii="仿宋_GB2312" w:eastAsia="仿宋_GB2312" w:cs="Times New Roman"/>
          <w:kern w:val="0"/>
        </w:rPr>
      </w:pPr>
      <w:r>
        <w:rPr>
          <w:rFonts w:ascii="仿宋_GB2312" w:eastAsia="仿宋_GB2312" w:hint="eastAsia"/>
          <w:b/>
          <w:kern w:val="0"/>
        </w:rPr>
        <w:t>3、重点项目开展情况；一</w:t>
      </w:r>
      <w:r>
        <w:rPr>
          <w:rFonts w:ascii="仿宋_GB2312" w:eastAsia="仿宋_GB2312" w:cs="Times New Roman" w:hint="eastAsia"/>
          <w:b/>
          <w:kern w:val="0"/>
        </w:rPr>
        <w:t>是</w:t>
      </w:r>
      <w:r>
        <w:rPr>
          <w:rFonts w:ascii="仿宋_GB2312" w:eastAsia="仿宋_GB2312" w:cs="Times New Roman" w:hint="eastAsia"/>
          <w:kern w:val="0"/>
        </w:rPr>
        <w:t>是茂县2019年农村安全饮水巩固提升改造项目。提升改造茂县7个乡镇10个村5000余人的安全饮水能力。项目总投资456万元。目前已完成项目的完工验收工作。</w:t>
      </w:r>
      <w:r>
        <w:rPr>
          <w:rFonts w:ascii="仿宋_GB2312" w:eastAsia="仿宋_GB2312" w:cs="Times New Roman" w:hint="eastAsia"/>
          <w:b/>
          <w:kern w:val="0"/>
        </w:rPr>
        <w:t>二是</w:t>
      </w:r>
      <w:r>
        <w:rPr>
          <w:rFonts w:ascii="仿宋_GB2312" w:eastAsia="仿宋_GB2312" w:cs="Times New Roman" w:hint="eastAsia"/>
          <w:kern w:val="0"/>
        </w:rPr>
        <w:t>凤南土水利和凤南土渠系配套项目工程。工程包括新建取水枢纽，铺设灌区24条输水干管总长111.575km，99条支管总长54.638km，100个蓄水池。通过低压管道输水发展3.234万亩的管道灌溉面积。总投资4789.90万元（已到位中央资金3632万元）。截止目前已完成项目验收工作。</w:t>
      </w:r>
      <w:r>
        <w:rPr>
          <w:rFonts w:ascii="仿宋_GB2312" w:eastAsia="仿宋_GB2312" w:cs="Times New Roman" w:hint="eastAsia"/>
          <w:b/>
          <w:kern w:val="0"/>
        </w:rPr>
        <w:t>三是</w:t>
      </w:r>
      <w:r>
        <w:rPr>
          <w:rFonts w:ascii="仿宋_GB2312" w:eastAsia="仿宋_GB2312" w:cs="Times New Roman" w:hint="eastAsia"/>
          <w:kern w:val="0"/>
        </w:rPr>
        <w:t>茂县大河坝—甘青沿线生态堤防工程。该项总投资1738万元，新建堤防总长481.47米，新建钢结构玻璃栈道319.92米，新建游步道及下坡栈道共计11处，种植景观植物等。目前已完成合同工程量并于2019年12月17日完成了项目验收工作。</w:t>
      </w:r>
      <w:r>
        <w:rPr>
          <w:rFonts w:ascii="仿宋_GB2312" w:eastAsia="仿宋_GB2312" w:cs="Times New Roman" w:hint="eastAsia"/>
          <w:b/>
          <w:kern w:val="0"/>
        </w:rPr>
        <w:t>四是</w:t>
      </w:r>
      <w:r>
        <w:rPr>
          <w:rFonts w:ascii="仿宋_GB2312" w:eastAsia="仿宋_GB2312" w:cs="Times New Roman" w:hint="eastAsia"/>
          <w:kern w:val="0"/>
        </w:rPr>
        <w:t>茂县2019年山洪灾害防治项目非工程措施建设项目。项目总投资185万元，目前已完成项目的完工验收工作。</w:t>
      </w:r>
      <w:r>
        <w:rPr>
          <w:rFonts w:ascii="仿宋_GB2312" w:eastAsia="仿宋_GB2312" w:cs="Times New Roman" w:hint="eastAsia"/>
          <w:b/>
          <w:kern w:val="0"/>
        </w:rPr>
        <w:t>五是</w:t>
      </w:r>
      <w:r>
        <w:rPr>
          <w:rFonts w:ascii="仿宋_GB2312" w:eastAsia="仿宋_GB2312" w:cs="Times New Roman" w:hint="eastAsia"/>
          <w:kern w:val="0"/>
        </w:rPr>
        <w:t>中央水利发展资金项目。总投资115万元，山洪灾害监测和河湖管理保护项目已完成，农村饮水工程维修养护资金已整合。</w:t>
      </w:r>
    </w:p>
    <w:p>
      <w:pPr>
        <w:pStyle w:val="31"/>
        <w:spacing w:line="576" w:lineRule="exact"/>
        <w:rPr>
          <w:rFonts w:ascii="仿宋_GB2312" w:eastAsia="仿宋_GB2312" w:cs="Times New Roman"/>
          <w:kern w:val="0"/>
        </w:rPr>
      </w:pPr>
      <w:r>
        <w:rPr>
          <w:rFonts w:ascii="仿宋_GB2312" w:eastAsia="仿宋_GB2312" w:hint="eastAsia"/>
          <w:b/>
          <w:kern w:val="0"/>
        </w:rPr>
        <w:t>4、防汛减灾工作开展情况；</w:t>
      </w:r>
      <w:r>
        <w:rPr>
          <w:rFonts w:ascii="仿宋_GB2312" w:eastAsia="仿宋_GB2312" w:hint="eastAsia"/>
          <w:kern w:val="0"/>
        </w:rPr>
        <w:t>认真贯彻上级防汛减灾工作部署和要求，严格落实汛</w:t>
      </w:r>
      <w:r>
        <w:rPr>
          <w:rFonts w:ascii="仿宋_GB2312" w:eastAsia="仿宋_GB2312" w:cs="Times New Roman" w:hint="eastAsia"/>
          <w:kern w:val="0"/>
        </w:rPr>
        <w:t>期24小时值班制，密切关注当前天气变化，加密监测频次，及时报告灾情信息，做到实事求是，及时准确地按程序上报灾情。落实水利专项资金，主要用于地灾防治、物资储备、河道疏浚、应急修复、水情雨情监测等防汛减灾工作。加强道路抢通保通，及时投入抢险机具1405台次、运输设备35班次400余人开展抢险工作；努力恢复群众生活秩序。</w:t>
      </w:r>
    </w:p>
    <w:p>
      <w:pPr>
        <w:pStyle w:val="2"/>
        <w:spacing w:before="0" w:after="0" w:line="576" w:lineRule="exact"/>
        <w:rPr>
          <w:rStyle w:val="2Char"/>
          <w:rFonts w:ascii="黑体" w:eastAsia="黑体"/>
          <w:b w:val="0"/>
          <w:bCs w:val="0"/>
        </w:rPr>
      </w:pPr>
      <w:bookmarkStart w:id="18" w:name="_Toc15377200"/>
      <w:bookmarkStart w:id="19" w:name="_Toc15396601"/>
      <w:r>
        <w:rPr>
          <w:rFonts w:ascii="黑体" w:eastAsia="黑体" w:hint="eastAsia"/>
          <w:b w:val="0"/>
        </w:rPr>
        <w:t>二、机</w:t>
      </w:r>
      <w:r>
        <w:rPr>
          <w:rStyle w:val="2Char"/>
          <w:rFonts w:ascii="黑体" w:eastAsia="黑体" w:hint="eastAsia"/>
          <w:b w:val="0"/>
          <w:bCs w:val="0"/>
        </w:rPr>
        <w:t>构设置</w:t>
      </w:r>
      <w:bookmarkEnd w:id="18"/>
      <w:bookmarkEnd w:id="19"/>
    </w:p>
    <w:p>
      <w:pPr>
        <w:rPr>
          <w:rFonts w:ascii="仿宋_GB2312" w:eastAsia="仿宋_GB2312"/>
          <w:kern w:val="0"/>
        </w:rPr>
      </w:pPr>
      <w:r>
        <w:rPr>
          <w:rFonts w:ascii="仿宋_GB2312" w:eastAsia="仿宋_GB2312" w:hint="eastAsia"/>
          <w:kern w:val="0"/>
        </w:rPr>
        <w:t>茂县水务局属一级预算单位，</w:t>
      </w:r>
      <w:r>
        <w:rPr>
          <w:rFonts w:ascii="仿宋_GB2312" w:eastAsia="仿宋_GB2312" w:cs="宋体" w:hint="eastAsia"/>
          <w:kern w:val="0"/>
        </w:rPr>
        <w:t>内设机构2个。</w:t>
      </w:r>
      <w:r>
        <w:rPr>
          <w:rFonts w:ascii="仿宋_GB2312" w:eastAsia="仿宋_GB2312" w:hint="eastAsia"/>
          <w:kern w:val="0"/>
        </w:rPr>
        <w:t>其中行政单位1个，其他事业单位1个。</w:t>
      </w:r>
    </w:p>
    <w:p>
      <w:pPr>
        <w:pStyle w:val="15"/>
        <w:spacing w:beforeLines="0" w:before="93"/>
        <w:rPr>
          <w:sz w:val="32"/>
        </w:rPr>
      </w:pPr>
      <w:r>
        <w:rPr>
          <w:rFonts w:hint="eastAsia"/>
          <w:sz w:val="32"/>
        </w:rPr>
        <w:t>纳入茂县水务局2019年度部门决算编制范围的包括：</w:t>
      </w:r>
    </w:p>
    <w:p>
      <w:pPr>
        <w:pStyle w:val="15"/>
        <w:spacing w:beforeLines="0" w:before="93"/>
        <w:rPr>
          <w:sz w:val="32"/>
        </w:rPr>
      </w:pPr>
      <w:r>
        <w:rPr>
          <w:rFonts w:hint="eastAsia"/>
          <w:sz w:val="32"/>
        </w:rPr>
        <w:t>1.茂县水务局</w:t>
      </w:r>
      <w:bookmarkStart w:id="20" w:name="_Toc15377203"/>
      <w:bookmarkStart w:id="21" w:name="_Toc15377434"/>
      <w:bookmarkStart w:id="22" w:name="_Toc15306277"/>
      <w:bookmarkStart w:id="23" w:name="_Toc15378450"/>
    </w:p>
    <w:p>
      <w:pPr>
        <w:pStyle w:val="15"/>
        <w:spacing w:beforeLines="0" w:before="93"/>
        <w:rPr>
          <w:sz w:val="32"/>
        </w:rPr>
      </w:pPr>
      <w:r>
        <w:rPr>
          <w:rFonts w:hint="eastAsia"/>
          <w:sz w:val="32"/>
        </w:rPr>
        <w:t>2.</w:t>
      </w:r>
      <w:bookmarkEnd w:id="20"/>
      <w:bookmarkEnd w:id="21"/>
      <w:bookmarkEnd w:id="22"/>
      <w:bookmarkEnd w:id="23"/>
      <w:r>
        <w:rPr>
          <w:rFonts w:hint="eastAsia"/>
          <w:sz w:val="32"/>
        </w:rPr>
        <w:t>茂县水务服务中心</w:t>
        <w:br w:type="page"/>
      </w:r>
    </w:p>
    <w:p>
      <w:pPr>
        <w:pStyle w:val="1"/>
        <w:spacing w:before="0" w:after="0" w:line="576" w:lineRule="exact"/>
        <w:rPr>
          <w:rStyle w:val="1Char"/>
          <w:rFonts w:ascii="黑体" w:eastAsia="黑体"/>
          <w:b w:val="0"/>
          <w:bCs w:val="0"/>
        </w:rPr>
      </w:pPr>
      <w:bookmarkStart w:id="24" w:name="_Toc15396602"/>
      <w:bookmarkStart w:id="25" w:name="_Toc15377204"/>
      <w:r>
        <w:rPr>
          <w:rFonts w:ascii="黑体" w:eastAsia="黑体" w:hint="eastAsia"/>
          <w:b w:val="0"/>
        </w:rPr>
        <w:t>第二部分</w:t>
      </w:r>
      <w:r>
        <w:rPr>
          <w:rStyle w:val="1Char"/>
          <w:rFonts w:ascii="黑体" w:eastAsia="黑体" w:hint="eastAsia"/>
          <w:b w:val="0"/>
          <w:bCs w:val="0"/>
        </w:rPr>
        <w:t>2019年度部门决算情况说明</w:t>
      </w:r>
      <w:bookmarkEnd w:id="24"/>
      <w:bookmarkEnd w:id="25"/>
    </w:p>
    <w:p>
      <w:pPr>
        <w:rPr>
          <w:rStyle w:val="2Char"/>
          <w:rFonts w:ascii="黑体" w:eastAsia="黑体"/>
        </w:rPr>
      </w:pPr>
    </w:p>
    <w:p>
      <w:pPr>
        <w:pStyle w:val="28"/>
        <w:rPr>
          <w:rStyle w:val="2Char"/>
          <w:rFonts w:ascii="黑体" w:eastAsia="黑体"/>
          <w:b w:val="0"/>
        </w:rPr>
      </w:pPr>
      <w:bookmarkStart w:id="26" w:name="_Toc15377205"/>
      <w:bookmarkStart w:id="27" w:name="_Toc15396603"/>
      <w:r>
        <w:rPr>
          <w:rStyle w:val="2Char"/>
          <w:rFonts w:ascii="黑体" w:eastAsia="黑体" w:hint="eastAsia"/>
          <w:b w:val="0"/>
        </w:rPr>
        <w:t>一、收入支出决算总体情况说明</w:t>
      </w:r>
      <w:bookmarkEnd w:id="26"/>
      <w:bookmarkEnd w:id="27"/>
    </w:p>
    <w:p>
      <w:pPr>
        <w:rPr>
          <w:rFonts w:ascii="仿宋_GB2312" w:eastAsia="仿宋_GB2312"/>
        </w:rPr>
      </w:pPr>
      <w:r>
        <w:rPr>
          <w:rFonts w:ascii="仿宋_GB2312" w:eastAsia="仿宋_GB2312" w:hint="eastAsia"/>
        </w:rPr>
        <w:t>2019年度收、支总计10989.19万元。与2018年相比，收、支总计各增加1719.62万元，增长16%。主要变动原因是人员、日常经费支出增加、项目支出增加。</w:t>
      </w:r>
    </w:p>
    <w:p>
      <w:pPr>
        <w:rPr>
          <w:rFonts w:ascii="仿宋_GB2312" w:eastAsia="仿宋_GB2312"/>
        </w:rPr>
      </w:pPr>
      <w:r>
        <w:rPr>
          <w:rFonts w:ascii="仿宋_GB2312" w:eastAsia="仿宋_GB2312" w:hint="eastAsia"/>
        </w:rPr>
        <w:t>图1：收、支决算总计变动情况图（单位：万元）</w:t>
      </w:r>
    </w:p>
    <w:p>
      <w:r>
        <w:rPr>
          <w:rFonts w:hint="eastAsia"/>
        </w:rPr>
        <w:drawing>
          <wp:anchor distT="0" distB="0" distL="114300" distR="114300" simplePos="0" relativeHeight="24" behindDoc="0" locked="0" layoutInCell="1" hidden="0" allowOverlap="1">
            <wp:simplePos x="0" y="0"/>
            <wp:positionH relativeFrom="column">
              <wp:posOffset>409575</wp:posOffset>
            </wp:positionH>
            <wp:positionV relativeFrom="paragraph">
              <wp:posOffset>73660</wp:posOffset>
            </wp:positionV>
            <wp:extent cx="4600574" cy="2419350"/>
            <wp:effectExtent l="0" t="0" r="0" b="0"/>
            <wp:wrapNone/>
            <wp:docPr id="7" name="图表 2"/>
            <wp:cNvGraphicFramePr>
              <a:graphicFrameLocks noChangeAspect="0"/>
            </wp:cNvGraphicFramePr>
            <a:graphic>
              <a:graphicData uri="http://schemas.openxmlformats.org/drawingml/2006/chart">
                <c:chart xmlns:c="http://schemas.openxmlformats.org/drawingml/2006/chart" r:id="rId6"/>
              </a:graphicData>
            </a:graphic>
          </wp:anchor>
        </w:drawing>
      </w:r>
    </w:p>
    <w:p/>
    <w:p/>
    <w:p/>
    <w:p/>
    <w:p/>
    <w:p/>
    <w:p>
      <w:pPr>
        <w:pStyle w:val="28"/>
        <w:rPr>
          <w:rStyle w:val="2Char"/>
          <w:rFonts w:ascii="黑体" w:eastAsia="黑体"/>
          <w:b w:val="0"/>
        </w:rPr>
      </w:pPr>
      <w:bookmarkStart w:id="28" w:name="_Toc15396604"/>
      <w:bookmarkStart w:id="29" w:name="_Toc15377206"/>
      <w:r>
        <w:rPr>
          <w:rStyle w:val="2Char"/>
          <w:rFonts w:ascii="黑体" w:eastAsia="黑体" w:hint="eastAsia"/>
          <w:b w:val="0"/>
        </w:rPr>
        <w:t>二、收入决算情况说明</w:t>
      </w:r>
      <w:bookmarkEnd w:id="28"/>
      <w:bookmarkEnd w:id="29"/>
    </w:p>
    <w:p>
      <w:pPr>
        <w:rPr>
          <w:rFonts w:ascii="仿宋_GB2312" w:eastAsia="仿宋_GB2312"/>
        </w:rPr>
      </w:pPr>
      <w:r>
        <w:rPr>
          <w:rFonts w:ascii="仿宋_GB2312" w:eastAsia="仿宋_GB2312" w:hint="eastAsia"/>
        </w:rPr>
        <w:t>2019年本年收入合计7298.69万元，其中：一般公共预算财政拨款收入3887.77万元，占53%；政府性基金预算财政拨款收入3410.92万元，占47%；</w:t>
      </w:r>
      <w:r>
        <w:rPr>
          <w:rFonts w:ascii="仿宋_GB2312" w:eastAsia="仿宋_GB2312" w:hint="eastAsia"/>
          <w:color w:val="000000"/>
        </w:rPr>
        <w:t>上级补助收入0</w:t>
      </w:r>
      <w:r>
        <w:rPr>
          <w:rFonts w:ascii="仿宋_GB2312" w:eastAsia="仿宋_GB2312" w:hint="eastAsia"/>
        </w:rPr>
        <w:t>万元；事业收入0万元；经营收入0万元；附属单位上缴收入0万元；其他收入0万元。</w:t>
      </w:r>
    </w:p>
    <w:p>
      <w:pPr>
        <w:rPr>
          <w:rFonts w:ascii="仿宋_GB2312" w:eastAsia="仿宋_GB2312"/>
        </w:rPr>
      </w:pPr>
      <w:r>
        <w:rPr>
          <w:rFonts w:ascii="仿宋_GB2312" w:eastAsia="仿宋_GB2312" w:hint="eastAsia"/>
        </w:rPr>
        <w:t>图2：收入决算结构图（单位：万元）</w:t>
      </w:r>
    </w:p>
    <w:p/>
    <w:p>
      <w:r>
        <w:drawing>
          <wp:anchor distT="0" distB="0" distL="114300" distR="114300" simplePos="0" relativeHeight="20" behindDoc="0" locked="0" layoutInCell="1" hidden="0" allowOverlap="1">
            <wp:simplePos x="0" y="0"/>
            <wp:positionH relativeFrom="column">
              <wp:posOffset>1076325</wp:posOffset>
            </wp:positionH>
            <wp:positionV relativeFrom="paragraph">
              <wp:posOffset>224155</wp:posOffset>
            </wp:positionV>
            <wp:extent cx="3076575" cy="2314575"/>
            <wp:effectExtent l="0" t="0" r="0" b="0"/>
            <wp:wrapNone/>
            <wp:docPr id="8" name="图表 1"/>
            <wp:cNvGraphicFramePr>
              <a:graphicFrameLocks noChangeAspect="0"/>
            </wp:cNvGraphicFramePr>
            <a:graphic>
              <a:graphicData uri="http://schemas.openxmlformats.org/drawingml/2006/chart">
                <c:chart xmlns:c="http://schemas.openxmlformats.org/drawingml/2006/chart" r:id="rId7"/>
              </a:graphicData>
            </a:graphic>
          </wp:anchor>
        </w:drawing>
      </w:r>
    </w:p>
    <w:p>
      <w:pPr>
        <w:pStyle w:val="28"/>
      </w:pPr>
      <w:bookmarkStart w:id="30" w:name="_Toc15396605"/>
      <w:bookmarkStart w:id="31" w:name="_Toc15377207"/>
    </w:p>
    <w:p/>
    <w:p>
      <w:pPr>
        <w:pStyle w:val="28"/>
        <w:rPr>
          <w:rStyle w:val="2Char"/>
          <w:rFonts w:ascii="黑体" w:eastAsia="黑体"/>
        </w:rPr>
      </w:pPr>
    </w:p>
    <w:p>
      <w:pPr>
        <w:pStyle w:val="28"/>
        <w:rPr>
          <w:rStyle w:val="2Char"/>
          <w:rFonts w:ascii="黑体" w:eastAsia="黑体"/>
        </w:rPr>
      </w:pPr>
    </w:p>
    <w:p>
      <w:pPr>
        <w:pStyle w:val="28"/>
        <w:rPr>
          <w:rStyle w:val="2Char"/>
          <w:rFonts w:ascii="黑体" w:eastAsia="黑体"/>
        </w:rPr>
      </w:pPr>
    </w:p>
    <w:p>
      <w:pPr>
        <w:pStyle w:val="28"/>
        <w:rPr>
          <w:rStyle w:val="2Char"/>
          <w:rFonts w:ascii="黑体" w:eastAsia="黑体"/>
        </w:rPr>
      </w:pPr>
    </w:p>
    <w:p>
      <w:pPr>
        <w:pStyle w:val="28"/>
        <w:rPr>
          <w:rStyle w:val="2Char"/>
          <w:rFonts w:ascii="黑体" w:eastAsia="黑体"/>
          <w:b w:val="0"/>
        </w:rPr>
      </w:pPr>
      <w:r>
        <w:rPr>
          <w:rStyle w:val="2Char"/>
          <w:rFonts w:ascii="黑体" w:eastAsia="黑体" w:hint="eastAsia"/>
          <w:b w:val="0"/>
        </w:rPr>
        <w:t>三、支出决算情况说明</w:t>
      </w:r>
      <w:bookmarkEnd w:id="30"/>
      <w:bookmarkEnd w:id="31"/>
    </w:p>
    <w:p>
      <w:pPr>
        <w:rPr>
          <w:rFonts w:ascii="仿宋_GB2312" w:eastAsia="仿宋_GB2312"/>
        </w:rPr>
      </w:pPr>
      <w:r>
        <w:rPr>
          <w:rFonts w:ascii="仿宋_GB2312" w:eastAsia="仿宋_GB2312" w:hint="eastAsia"/>
        </w:rPr>
        <w:t>2019年本年支出合计7825.22万元，其中：基本支出438.7万元，占6%；项目支出7386.53万元，占94%；上缴上级支出0万元；经营支出0万元；对附属单位补助支出0万元。</w:t>
      </w:r>
    </w:p>
    <w:p>
      <w:pPr>
        <w:rPr>
          <w:rFonts w:ascii="仿宋_GB2312" w:eastAsia="仿宋_GB2312"/>
        </w:rPr>
      </w:pPr>
      <w:r>
        <w:rPr>
          <w:rFonts w:ascii="仿宋_GB2312" w:eastAsia="仿宋_GB2312" w:hint="eastAsia"/>
        </w:rPr>
        <w:t>图3：支出决算结构图（单位：万元）</w:t>
      </w:r>
    </w:p>
    <w:p>
      <w:r>
        <w:rPr>
          <w:rFonts w:hint="eastAsia"/>
        </w:rPr>
        <w:drawing>
          <wp:anchor distT="0" distB="0" distL="114300" distR="114300" simplePos="0" relativeHeight="28" behindDoc="0" locked="0" layoutInCell="1" hidden="0" allowOverlap="1">
            <wp:simplePos x="0" y="0"/>
            <wp:positionH relativeFrom="column">
              <wp:posOffset>504825</wp:posOffset>
            </wp:positionH>
            <wp:positionV relativeFrom="paragraph">
              <wp:posOffset>117475</wp:posOffset>
            </wp:positionV>
            <wp:extent cx="3314700" cy="2362200"/>
            <wp:effectExtent l="0" t="0" r="0" b="0"/>
            <wp:wrapNone/>
            <wp:docPr id="9" name="图表 3"/>
            <wp:cNvGraphicFramePr>
              <a:graphicFrameLocks noChangeAspect="0"/>
            </wp:cNvGraphicFramePr>
            <a:graphic>
              <a:graphicData uri="http://schemas.openxmlformats.org/drawingml/2006/chart">
                <c:chart xmlns:c="http://schemas.openxmlformats.org/drawingml/2006/chart" r:id="rId8"/>
              </a:graphicData>
            </a:graphic>
          </wp:anchor>
        </w:drawing>
      </w:r>
    </w:p>
    <w:p/>
    <w:p/>
    <w:p/>
    <w:p/>
    <w:p/>
    <w:p/>
    <w:p/>
    <w:p>
      <w:pPr>
        <w:rPr>
          <w:rStyle w:val="2Char"/>
          <w:rFonts w:ascii="黑体" w:eastAsia="黑体"/>
          <w:b w:val="0"/>
        </w:rPr>
      </w:pPr>
      <w:bookmarkStart w:id="32" w:name="_Toc15377208"/>
      <w:bookmarkStart w:id="33" w:name="_Toc15396606"/>
      <w:r>
        <w:rPr>
          <w:rStyle w:val="2Char"/>
          <w:rFonts w:ascii="黑体" w:eastAsia="黑体" w:hint="eastAsia"/>
          <w:b w:val="0"/>
        </w:rPr>
        <w:t>四、财政拨款收入支出决算总体情况说明</w:t>
      </w:r>
      <w:bookmarkEnd w:id="32"/>
      <w:bookmarkEnd w:id="33"/>
    </w:p>
    <w:p>
      <w:pPr>
        <w:rPr>
          <w:rFonts w:ascii="仿宋_GB2312" w:eastAsia="仿宋_GB2312"/>
        </w:rPr>
      </w:pPr>
      <w:r>
        <w:rPr>
          <w:rFonts w:ascii="仿宋_GB2312" w:eastAsia="仿宋_GB2312" w:hint="eastAsia"/>
        </w:rPr>
        <w:t>2019年财政拨款收、支总计10989.19万元。与2018年相比，财政拨款收、支总计各增加/减少1719.62万元，增长/下降16%。主要变动原因是人员、日常经费支出增加、项目支出增加。</w:t>
      </w:r>
    </w:p>
    <w:p>
      <w:pPr>
        <w:rPr>
          <w:rFonts w:ascii="仿宋_GB2312" w:eastAsia="仿宋_GB2312"/>
        </w:rPr>
      </w:pPr>
      <w:r>
        <w:rPr>
          <w:rFonts w:ascii="仿宋_GB2312" w:eastAsia="仿宋_GB2312" w:hint="eastAsia"/>
        </w:rPr>
        <w:t>图4：财政拨款收、支决算总计变动情况（单位：万元）</w:t>
      </w:r>
    </w:p>
    <w:p>
      <w:r>
        <w:drawing>
          <wp:anchor distT="0" distB="0" distL="114300" distR="114300" simplePos="0" relativeHeight="30" behindDoc="0" locked="0" layoutInCell="1" hidden="0" allowOverlap="1">
            <wp:simplePos x="0" y="0"/>
            <wp:positionH relativeFrom="column">
              <wp:posOffset>409575</wp:posOffset>
            </wp:positionH>
            <wp:positionV relativeFrom="paragraph">
              <wp:posOffset>195580</wp:posOffset>
            </wp:positionV>
            <wp:extent cx="3476625" cy="2628900"/>
            <wp:effectExtent l="0" t="0" r="0" b="0"/>
            <wp:wrapNone/>
            <wp:docPr id="10" name="图表 4"/>
            <wp:cNvGraphicFramePr>
              <a:graphicFrameLocks noChangeAspect="0"/>
            </wp:cNvGraphicFramePr>
            <a:graphic>
              <a:graphicData uri="http://schemas.openxmlformats.org/drawingml/2006/chart">
                <c:chart xmlns:c="http://schemas.openxmlformats.org/drawingml/2006/chart" r:id="rId9"/>
              </a:graphicData>
            </a:graphic>
          </wp:anchor>
        </w:drawing>
      </w:r>
    </w:p>
    <w:p>
      <w:pPr>
        <w:ind w:firstLineChars="0" w:firstLine="0"/>
      </w:pPr>
      <w:bookmarkStart w:id="34" w:name="_Toc15396607"/>
      <w:bookmarkStart w:id="35" w:name="_Toc15377209"/>
    </w:p>
    <w:p/>
    <w:p/>
    <w:p/>
    <w:p/>
    <w:p/>
    <w:p>
      <w:pPr>
        <w:ind w:firstLineChars="0" w:firstLine="0"/>
      </w:pPr>
    </w:p>
    <w:p>
      <w:pPr>
        <w:rPr>
          <w:rStyle w:val="2Char"/>
          <w:rFonts w:ascii="黑体" w:eastAsia="黑体"/>
          <w:b w:val="0"/>
        </w:rPr>
      </w:pPr>
      <w:r>
        <w:rPr>
          <w:rStyle w:val="2Char"/>
          <w:rFonts w:ascii="黑体" w:eastAsia="黑体" w:hint="eastAsia"/>
          <w:b w:val="0"/>
        </w:rPr>
        <w:t>五、一般公共预算财政拨款支出决算情况说明</w:t>
      </w:r>
      <w:bookmarkEnd w:id="34"/>
      <w:bookmarkEnd w:id="35"/>
    </w:p>
    <w:p>
      <w:pPr>
        <w:rPr>
          <w:rFonts w:ascii="楷体" w:eastAsia="楷体"/>
          <w:b/>
        </w:rPr>
      </w:pPr>
      <w:bookmarkStart w:id="36" w:name="_Toc15377210"/>
      <w:r>
        <w:rPr>
          <w:rFonts w:ascii="楷体" w:eastAsia="楷体" w:hint="eastAsia"/>
          <w:b/>
        </w:rPr>
        <w:t>（一）一般公共预算财政拨款支出决算总体情况</w:t>
      </w:r>
      <w:bookmarkEnd w:id="36"/>
    </w:p>
    <w:p>
      <w:pPr>
        <w:rPr>
          <w:rFonts w:ascii="仿宋_GB2312" w:eastAsia="仿宋_GB2312"/>
        </w:rPr>
      </w:pPr>
      <w:r>
        <w:rPr>
          <w:rFonts w:ascii="仿宋_GB2312" w:eastAsia="仿宋_GB2312" w:hint="eastAsia"/>
        </w:rPr>
        <w:t>2019年一般公共预算财政拨款支出6945.31万元，占本年支出合计的89%。与2018年相比，一般公共预算财政拨款增加1926.18万元，增长28%。主要变动原因是人员、日常经费支出增加、项目支出增加。</w:t>
      </w:r>
    </w:p>
    <w:p>
      <w:pPr>
        <w:rPr>
          <w:rFonts w:ascii="仿宋_GB2312" w:eastAsia="仿宋_GB2312"/>
        </w:rPr>
      </w:pPr>
      <w:r>
        <w:rPr>
          <w:rFonts w:ascii="仿宋_GB2312" w:eastAsia="仿宋_GB2312" w:hint="eastAsia"/>
        </w:rPr>
        <w:drawing>
          <wp:anchor distT="0" distB="0" distL="114300" distR="114300" simplePos="0" relativeHeight="32" behindDoc="0" locked="0" layoutInCell="1" hidden="0" allowOverlap="1">
            <wp:simplePos x="0" y="0"/>
            <wp:positionH relativeFrom="column">
              <wp:posOffset>1114425</wp:posOffset>
            </wp:positionH>
            <wp:positionV relativeFrom="paragraph">
              <wp:posOffset>389890</wp:posOffset>
            </wp:positionV>
            <wp:extent cx="3476625" cy="1895475"/>
            <wp:effectExtent l="0" t="0" r="0" b="0"/>
            <wp:wrapNone/>
            <wp:docPr id="11" name="图表 5"/>
            <wp:cNvGraphicFramePr>
              <a:graphicFrameLocks noChangeAspect="0"/>
            </wp:cNvGraphicFramePr>
            <a:graphic>
              <a:graphicData uri="http://schemas.openxmlformats.org/drawingml/2006/chart">
                <c:chart xmlns:c="http://schemas.openxmlformats.org/drawingml/2006/chart" r:id="rId10"/>
              </a:graphicData>
            </a:graphic>
          </wp:anchor>
        </w:drawing>
      </w:r>
      <w:r>
        <w:rPr>
          <w:rFonts w:ascii="仿宋_GB2312" w:eastAsia="仿宋_GB2312" w:hint="eastAsia"/>
        </w:rPr>
        <w:t>图5：一般公共预算财政拨款支出决算变动情况（单位：万元）</w:t>
      </w:r>
    </w:p>
    <w:p/>
    <w:p>
      <w:pPr>
        <w:rPr>
          <w:rFonts w:ascii="楷体" w:eastAsia="楷体"/>
          <w:b/>
        </w:rPr>
      </w:pPr>
      <w:bookmarkStart w:id="37" w:name="_Toc15377211"/>
      <w:r>
        <w:rPr>
          <w:rFonts w:ascii="楷体" w:eastAsia="楷体" w:hint="eastAsia"/>
          <w:b/>
        </w:rPr>
        <w:t>（二）一般公共预算财政拨款支出决算结构情况</w:t>
      </w:r>
      <w:bookmarkEnd w:id="37"/>
    </w:p>
    <w:p>
      <w:pPr>
        <w:rPr>
          <w:rFonts w:ascii="仿宋_GB2312" w:eastAsia="仿宋_GB2312"/>
        </w:rPr>
      </w:pPr>
      <w:r>
        <w:rPr>
          <w:rFonts w:ascii="仿宋_GB2312" w:eastAsia="仿宋_GB2312" w:hint="eastAsia"/>
        </w:rPr>
        <w:t>2019年一般公共预算财政拨款支出6945.31万元，主要用于以下方面:社会保障和就业支出157.7万元，占2%；卫生健康支出23.47万元，占0.4%；农林水支出6732.81万元，占97%；住房保障支出31.33万元，占0.6%；</w:t>
      </w:r>
    </w:p>
    <w:p>
      <w:r>
        <w:rPr>
          <w:rFonts w:ascii="仿宋_GB2312" w:eastAsia="仿宋_GB2312" w:hint="eastAsia"/>
        </w:rPr>
        <w:drawing>
          <wp:anchor distT="0" distB="0" distL="114300" distR="114300" simplePos="0" relativeHeight="34" behindDoc="0" locked="0" layoutInCell="1" hidden="0" allowOverlap="1">
            <wp:simplePos x="0" y="0"/>
            <wp:positionH relativeFrom="column">
              <wp:posOffset>542925</wp:posOffset>
            </wp:positionH>
            <wp:positionV relativeFrom="paragraph">
              <wp:posOffset>528955</wp:posOffset>
            </wp:positionV>
            <wp:extent cx="3429000" cy="2619374"/>
            <wp:effectExtent l="0" t="0" r="0" b="0"/>
            <wp:wrapNone/>
            <wp:docPr id="12" name="图表 6"/>
            <wp:cNvGraphicFramePr>
              <a:graphicFrameLocks noChangeAspect="0"/>
            </wp:cNvGraphicFramePr>
            <a:graphic>
              <a:graphicData uri="http://schemas.openxmlformats.org/drawingml/2006/chart">
                <c:chart xmlns:c="http://schemas.openxmlformats.org/drawingml/2006/chart" r:id="rId11"/>
              </a:graphicData>
            </a:graphic>
          </wp:anchor>
        </w:drawing>
      </w:r>
      <w:r>
        <w:rPr>
          <w:rFonts w:ascii="仿宋_GB2312" w:eastAsia="仿宋_GB2312" w:hint="eastAsia"/>
        </w:rPr>
        <w:t>图6：一般公共预算财政拨款支出决算结构（单位：万元）</w:t>
      </w:r>
    </w:p>
    <w:p/>
    <w:p/>
    <w:p/>
    <w:p/>
    <w:p/>
    <w:p/>
    <w:p>
      <w:pPr>
        <w:ind w:firstLineChars="0" w:firstLine="0"/>
      </w:pPr>
    </w:p>
    <w:p>
      <w:pPr>
        <w:rPr>
          <w:rFonts w:ascii="楷体" w:eastAsia="楷体"/>
          <w:b/>
        </w:rPr>
      </w:pPr>
      <w:bookmarkStart w:id="38" w:name="_Toc15377212"/>
      <w:r>
        <w:rPr>
          <w:rFonts w:ascii="楷体" w:eastAsia="楷体" w:hint="eastAsia"/>
          <w:b/>
        </w:rPr>
        <w:t>（三）一般公共预算财政拨款支出决算具体情况</w:t>
      </w:r>
      <w:bookmarkEnd w:id="38"/>
    </w:p>
    <w:p>
      <w:pPr>
        <w:rPr>
          <w:rFonts w:ascii="仿宋_GB2312" w:eastAsia="仿宋_GB2312"/>
        </w:rPr>
      </w:pPr>
      <w:bookmarkStart w:id="39" w:name="_Toc15378460"/>
      <w:bookmarkStart w:id="40" w:name="_Toc15377213"/>
      <w:bookmarkStart w:id="41" w:name="_Toc15377444"/>
      <w:r>
        <w:rPr>
          <w:rFonts w:ascii="仿宋_GB2312" w:eastAsia="仿宋_GB2312" w:hint="eastAsia"/>
        </w:rPr>
        <w:t>2019年一般公共预算支出决算数为6945.31。其中：</w:t>
      </w:r>
      <w:bookmarkEnd w:id="39"/>
      <w:bookmarkEnd w:id="40"/>
      <w:bookmarkEnd w:id="41"/>
    </w:p>
    <w:p>
      <w:pPr>
        <w:rPr>
          <w:rFonts w:ascii="仿宋_GB2312" w:eastAsia="仿宋_GB2312"/>
        </w:rPr>
      </w:pPr>
      <w:r>
        <w:rPr>
          <w:rFonts w:ascii="仿宋_GB2312" w:eastAsia="仿宋_GB2312" w:hint="eastAsia"/>
        </w:rPr>
        <w:t>1.社会保障和就业支出（208）行政事业单位离退休（05）机关事业单位基本养老保险缴费支出（05）:支出决算为31.85万元，完成预算100%，决算数与预算数持平。</w:t>
      </w:r>
    </w:p>
    <w:p>
      <w:pPr>
        <w:rPr>
          <w:rFonts w:ascii="仿宋_GB2312" w:eastAsia="仿宋_GB2312"/>
        </w:rPr>
      </w:pPr>
      <w:r>
        <w:rPr>
          <w:rFonts w:ascii="仿宋_GB2312" w:eastAsia="仿宋_GB2312" w:hint="eastAsia"/>
        </w:rPr>
        <w:t>2.社会保障和就业支出（208）行政事业单位离退休（05）机关事业单位职业年金缴费支出（06）:支出决算为14.92万元，完成预算100%，决算数与预算数持平。</w:t>
      </w:r>
    </w:p>
    <w:p>
      <w:pPr>
        <w:rPr>
          <w:rFonts w:ascii="仿宋_GB2312" w:eastAsia="仿宋_GB2312"/>
        </w:rPr>
      </w:pPr>
      <w:r>
        <w:rPr>
          <w:rFonts w:ascii="仿宋_GB2312" w:eastAsia="仿宋_GB2312" w:hint="eastAsia"/>
        </w:rPr>
        <w:t>3.社会保障和就业支出（208）其他社会保障和就业支出（99）其他社会保障和就业支出（01）:支出决算为110.93万元，完成预算100%，决算数与预算数持平。</w:t>
      </w:r>
    </w:p>
    <w:p>
      <w:pPr>
        <w:rPr>
          <w:rFonts w:ascii="仿宋_GB2312" w:eastAsia="仿宋_GB2312"/>
        </w:rPr>
      </w:pPr>
      <w:r>
        <w:rPr>
          <w:rFonts w:ascii="仿宋_GB2312" w:eastAsia="仿宋_GB2312" w:hint="eastAsia"/>
        </w:rPr>
        <w:t>4.医疗卫生与计划生育支出（210）行政事业单位医疗（11）行政单位医疗（01）:支出决算为5.81万元，完成预算100%，决算数与预算数持平。</w:t>
      </w:r>
    </w:p>
    <w:p>
      <w:pPr>
        <w:rPr>
          <w:rFonts w:ascii="仿宋_GB2312" w:eastAsia="仿宋_GB2312"/>
        </w:rPr>
      </w:pPr>
      <w:r>
        <w:rPr>
          <w:rFonts w:ascii="仿宋_GB2312" w:eastAsia="仿宋_GB2312" w:hint="eastAsia"/>
        </w:rPr>
        <w:t>5.医疗卫生与计划生育支出（210）行政事业单位医疗（11）事业单位医疗（02）:支出决算为17.66万元，完成预算100%，决算数与预算数持平。</w:t>
      </w:r>
    </w:p>
    <w:p>
      <w:pPr>
        <w:rPr>
          <w:rFonts w:ascii="仿宋_GB2312" w:eastAsia="仿宋_GB2312"/>
        </w:rPr>
      </w:pPr>
      <w:r>
        <w:rPr>
          <w:rFonts w:ascii="仿宋_GB2312" w:eastAsia="仿宋_GB2312" w:hint="eastAsia"/>
        </w:rPr>
        <w:t>6.农林水支出（213）水利（03）行政运行（01）:支出决算为133.78万元，完成预算100%，决算数与预算数持平。</w:t>
      </w:r>
    </w:p>
    <w:p>
      <w:pPr>
        <w:rPr>
          <w:rFonts w:ascii="仿宋_GB2312" w:eastAsia="仿宋_GB2312"/>
        </w:rPr>
      </w:pPr>
      <w:r>
        <w:rPr>
          <w:rFonts w:ascii="仿宋_GB2312" w:eastAsia="仿宋_GB2312" w:hint="eastAsia"/>
        </w:rPr>
        <w:t>7.农林水支出（213）水利（03）水利工程建设（05）:支出决算为89.67万元，完成预算100%，决算数与预算数持平。</w:t>
      </w:r>
    </w:p>
    <w:p>
      <w:pPr>
        <w:rPr>
          <w:rFonts w:ascii="仿宋_GB2312" w:eastAsia="仿宋_GB2312"/>
        </w:rPr>
      </w:pPr>
      <w:r>
        <w:rPr>
          <w:rFonts w:ascii="仿宋_GB2312" w:eastAsia="仿宋_GB2312" w:hint="eastAsia"/>
        </w:rPr>
        <w:t>8.农林水支出（213）水利（03）防汛（14）:支出决算为270.74万元，完成预算100%，决算数与预算数持平。</w:t>
      </w:r>
    </w:p>
    <w:p>
      <w:pPr>
        <w:rPr>
          <w:rFonts w:ascii="仿宋_GB2312" w:eastAsia="仿宋_GB2312"/>
        </w:rPr>
      </w:pPr>
      <w:r>
        <w:rPr>
          <w:rFonts w:ascii="仿宋_GB2312" w:eastAsia="仿宋_GB2312" w:hint="eastAsia"/>
        </w:rPr>
        <w:t>9.农林水支出（213）水利（03）其他水利支出（99）:支出决算为3676.02万元，完成预算100%，决算数与预算数持平。</w:t>
      </w:r>
    </w:p>
    <w:p>
      <w:pPr>
        <w:rPr>
          <w:rFonts w:ascii="仿宋_GB2312" w:eastAsia="仿宋_GB2312"/>
        </w:rPr>
      </w:pPr>
      <w:r>
        <w:rPr>
          <w:rFonts w:ascii="仿宋_GB2312" w:eastAsia="仿宋_GB2312" w:hint="eastAsia"/>
        </w:rPr>
        <w:t>10.农林水支出（213）扶贫（05）农村基础设施建设（04）:支出决算为1065.14万元，完成预算100%，决算数与预算数持平。</w:t>
      </w:r>
    </w:p>
    <w:p>
      <w:pPr>
        <w:rPr>
          <w:rFonts w:ascii="仿宋_GB2312" w:eastAsia="仿宋_GB2312"/>
        </w:rPr>
      </w:pPr>
      <w:r>
        <w:rPr>
          <w:rFonts w:ascii="仿宋_GB2312" w:eastAsia="仿宋_GB2312" w:hint="eastAsia"/>
        </w:rPr>
        <w:t>11.农林水支出（213）扶贫（05）其他扶贫支出（99）:支出决算为1490.46万元，完成预算100%，决算数与预算数持平。</w:t>
      </w:r>
    </w:p>
    <w:p>
      <w:pPr>
        <w:rPr>
          <w:rFonts w:ascii="仿宋_GB2312" w:eastAsia="仿宋_GB2312"/>
        </w:rPr>
      </w:pPr>
      <w:r>
        <w:rPr>
          <w:rFonts w:ascii="仿宋_GB2312" w:eastAsia="仿宋_GB2312" w:hint="eastAsia"/>
        </w:rPr>
        <w:t>12.农林水支出（213）其他农林水支出（99）其他农林水支出（99）:支出决算为7万元，完成预算100%，决算数与预算数持平。</w:t>
      </w:r>
    </w:p>
    <w:p>
      <w:pPr>
        <w:rPr>
          <w:rFonts w:ascii="仿宋_GB2312" w:eastAsia="仿宋_GB2312"/>
        </w:rPr>
      </w:pPr>
      <w:r>
        <w:rPr>
          <w:rFonts w:ascii="仿宋_GB2312" w:eastAsia="仿宋_GB2312" w:hint="eastAsia"/>
        </w:rPr>
        <w:t>13.住房保障支出（221）住房改革支出（02）住房公积金（01）:支出决算为31.33万元，完成预算100%，决算数与预算数持平。</w:t>
      </w:r>
    </w:p>
    <w:p>
      <w:pPr>
        <w:rPr>
          <w:rStyle w:val="2Char"/>
        </w:rPr>
      </w:pPr>
      <w:bookmarkStart w:id="42" w:name="_Toc15396608"/>
      <w:bookmarkStart w:id="43" w:name="_Toc15377214"/>
      <w:r>
        <w:rPr>
          <w:rStyle w:val="2Char"/>
          <w:rFonts w:ascii="黑体" w:eastAsia="黑体" w:hint="eastAsia"/>
          <w:b w:val="0"/>
        </w:rPr>
        <w:t>六、一般公共预算财政拨款基本支出决算情况说明</w:t>
      </w:r>
      <w:bookmarkEnd w:id="42"/>
      <w:bookmarkEnd w:id="43"/>
      <w:r>
        <w:rPr>
          <w:rStyle w:val="2Char"/>
          <w:rFonts w:ascii="黑体" w:eastAsia="黑体"/>
          <w:b w:val="0"/>
        </w:rPr>
        <w:tab/>
      </w:r>
    </w:p>
    <w:p>
      <w:pPr>
        <w:rPr>
          <w:rFonts w:ascii="仿宋_GB2312" w:eastAsia="仿宋_GB2312"/>
        </w:rPr>
      </w:pPr>
      <w:r>
        <w:rPr>
          <w:rFonts w:ascii="仿宋_GB2312" w:eastAsia="仿宋_GB2312" w:hint="eastAsia"/>
        </w:rPr>
        <w:t>2019年一般公共预算财政拨款基本支出438.7万元，其中：</w:t>
      </w:r>
    </w:p>
    <w:p>
      <w:pPr>
        <w:rPr>
          <w:rFonts w:ascii="仿宋_GB2312" w:eastAsia="仿宋_GB2312"/>
        </w:rPr>
      </w:pPr>
      <w:r>
        <w:rPr>
          <w:rFonts w:ascii="仿宋_GB2312" w:eastAsia="仿宋_GB2312" w:hint="eastAsia"/>
        </w:rPr>
        <w:t>人员经费411.64万元，主要包括：基本工资、津贴补贴、奖金、绩效工资、机关事业单位基本养老保险缴费、职业年金缴费、其他社会保障缴费、其他工资福利支出、抚恤金、生活补助、医疗费补助、奖励金、住房公积金。</w:t>
        <w:br/>
        <w:t>　　日常公用经费27.05万元，主要包括：办公费、水费、电费、邮电费、差旅费、培训费、公务接待费、公务用车运行维护费。</w:t>
      </w:r>
    </w:p>
    <w:p>
      <w:pPr>
        <w:rPr>
          <w:rStyle w:val="2Char"/>
          <w:rFonts w:ascii="黑体" w:eastAsia="黑体"/>
          <w:b w:val="0"/>
        </w:rPr>
      </w:pPr>
      <w:bookmarkStart w:id="44" w:name="_Toc15396609"/>
      <w:bookmarkStart w:id="45" w:name="_Toc15377215"/>
      <w:r>
        <w:rPr>
          <w:rStyle w:val="2Char"/>
          <w:rFonts w:ascii="黑体" w:eastAsia="黑体" w:hint="eastAsia"/>
          <w:b w:val="0"/>
        </w:rPr>
        <w:t>七、“三公”经费财政拨款支出决算情况说明</w:t>
      </w:r>
      <w:bookmarkEnd w:id="44"/>
      <w:bookmarkEnd w:id="45"/>
    </w:p>
    <w:p>
      <w:pPr>
        <w:rPr>
          <w:rFonts w:ascii="楷体" w:eastAsia="楷体"/>
          <w:b/>
        </w:rPr>
      </w:pPr>
      <w:bookmarkStart w:id="46" w:name="_Toc15377216"/>
      <w:r>
        <w:rPr>
          <w:rFonts w:ascii="楷体" w:eastAsia="楷体" w:hint="eastAsia"/>
          <w:b/>
        </w:rPr>
        <w:t>（一）“三公”经费财政拨款支出决算总体情况说明</w:t>
      </w:r>
      <w:bookmarkEnd w:id="46"/>
    </w:p>
    <w:p>
      <w:pPr>
        <w:rPr>
          <w:rFonts w:ascii="仿宋_GB2312" w:eastAsia="仿宋_GB2312"/>
        </w:rPr>
      </w:pPr>
      <w:r>
        <w:rPr>
          <w:rFonts w:ascii="仿宋_GB2312" w:eastAsia="仿宋_GB2312" w:hint="eastAsia"/>
        </w:rPr>
        <w:t>2019年“三公”经费财政拨款支出决算为9.3万元，完成预算100%，与预算数持平。</w:t>
      </w:r>
    </w:p>
    <w:p>
      <w:pPr>
        <w:rPr>
          <w:rFonts w:ascii="楷体" w:eastAsia="楷体"/>
          <w:b/>
        </w:rPr>
      </w:pPr>
      <w:bookmarkStart w:id="47" w:name="_Toc15377217"/>
      <w:r>
        <w:rPr>
          <w:rFonts w:ascii="楷体" w:eastAsia="楷体" w:hint="eastAsia"/>
          <w:b/>
        </w:rPr>
        <w:t>（二）“三公”经费财政拨款支出决算具体情况说明</w:t>
      </w:r>
      <w:bookmarkEnd w:id="47"/>
    </w:p>
    <w:p>
      <w:pPr>
        <w:rPr>
          <w:rFonts w:ascii="仿宋_GB2312" w:eastAsia="仿宋_GB2312"/>
        </w:rPr>
      </w:pPr>
      <w:r>
        <w:rPr>
          <w:rFonts w:ascii="仿宋_GB2312" w:eastAsia="仿宋_GB2312" w:hint="eastAsia"/>
        </w:rPr>
        <w:t>2019年“三公”经费财政拨款支出决算中，因公出国（境）费支出决算0万元；公务用车购置及运行维护费支出决算8.76万元，占94%；公务接待费支出决算0.54万元，占6%。具体情况如下：</w:t>
      </w:r>
    </w:p>
    <w:p>
      <w:pPr>
        <w:rPr>
          <w:rFonts w:ascii="仿宋_GB2312" w:eastAsia="仿宋_GB2312"/>
        </w:rPr>
      </w:pPr>
      <w:r>
        <w:rPr>
          <w:rFonts w:ascii="仿宋_GB2312" w:eastAsia="仿宋_GB2312" w:hint="eastAsia"/>
        </w:rPr>
        <w:t>图7：“三公”经费财政拨款支出结构（单位：万元）</w:t>
      </w:r>
    </w:p>
    <w:p>
      <w:pPr>
        <w:rPr>
          <w:rFonts w:ascii="仿宋_GB2312" w:eastAsia="仿宋_GB2312"/>
        </w:rPr>
      </w:pPr>
      <w:r>
        <w:rPr>
          <w:rFonts w:ascii="仿宋_GB2312" w:eastAsia="仿宋_GB2312" w:hint="eastAsia"/>
        </w:rPr>
        <w:drawing>
          <wp:anchor distT="0" distB="0" distL="114300" distR="114300" simplePos="0" relativeHeight="36" behindDoc="0" locked="0" layoutInCell="1" hidden="0" allowOverlap="1">
            <wp:simplePos x="0" y="0"/>
            <wp:positionH relativeFrom="column">
              <wp:posOffset>638175</wp:posOffset>
            </wp:positionH>
            <wp:positionV relativeFrom="paragraph">
              <wp:posOffset>155575</wp:posOffset>
            </wp:positionV>
            <wp:extent cx="4114800" cy="2305050"/>
            <wp:effectExtent l="0" t="0" r="0" b="0"/>
            <wp:wrapNone/>
            <wp:docPr id="13" name="图表 7"/>
            <wp:cNvGraphicFramePr>
              <a:graphicFrameLocks noChangeAspect="0"/>
            </wp:cNvGraphicFramePr>
            <a:graphic>
              <a:graphicData uri="http://schemas.openxmlformats.org/drawingml/2006/chart">
                <c:chart xmlns:c="http://schemas.openxmlformats.org/drawingml/2006/chart" r:id="rId12"/>
              </a:graphicData>
            </a:graphic>
          </wp:anchor>
        </w:drawing>
      </w:r>
    </w:p>
    <w:p/>
    <w:p/>
    <w:p/>
    <w:p/>
    <w:p/>
    <w:p/>
    <w:p>
      <w:pPr>
        <w:rPr>
          <w:rFonts w:ascii="仿宋_GB2312" w:eastAsia="仿宋_GB2312"/>
          <w:b/>
        </w:rPr>
      </w:pPr>
      <w:r>
        <w:rPr>
          <w:rFonts w:ascii="仿宋_GB2312" w:eastAsia="仿宋_GB2312" w:hint="eastAsia"/>
          <w:b/>
        </w:rPr>
        <w:t>1.因公出国（境）经费支出</w:t>
      </w:r>
      <w:r>
        <w:rPr>
          <w:rFonts w:ascii="仿宋_GB2312" w:eastAsia="仿宋_GB2312" w:hint="eastAsia"/>
        </w:rPr>
        <w:t>0万元</w:t>
      </w:r>
      <w:r>
        <w:rPr>
          <w:rStyle w:val="22"/>
          <w:rFonts w:ascii="仿宋_GB2312" w:eastAsia="仿宋_GB2312" w:hint="eastAsia"/>
          <w:b w:val="0"/>
          <w:bCs/>
        </w:rPr>
        <w:t>。</w:t>
      </w:r>
      <w:r>
        <w:rPr>
          <w:rFonts w:ascii="仿宋_GB2312" w:eastAsia="仿宋_GB2312" w:hint="eastAsia"/>
        </w:rPr>
        <w:t>全年安排因公出国（境）团组0次，出国（境）0人。因公出国（境）支出决算比2018年0万元。</w:t>
      </w:r>
    </w:p>
    <w:p>
      <w:pPr>
        <w:rPr>
          <w:rFonts w:ascii="仿宋_GB2312" w:eastAsia="仿宋_GB2312"/>
          <w:b/>
        </w:rPr>
      </w:pPr>
      <w:r>
        <w:rPr>
          <w:rFonts w:ascii="仿宋_GB2312" w:eastAsia="仿宋_GB2312" w:hint="eastAsia"/>
          <w:b/>
        </w:rPr>
        <w:t>2.公务用车购置及运行维护费支出</w:t>
      </w:r>
      <w:r>
        <w:rPr>
          <w:rFonts w:ascii="仿宋_GB2312" w:eastAsia="仿宋_GB2312" w:hint="eastAsia"/>
        </w:rPr>
        <w:t>8.76万元,</w:t>
      </w:r>
      <w:r>
        <w:rPr>
          <w:rStyle w:val="22"/>
          <w:rFonts w:ascii="仿宋_GB2312" w:eastAsia="仿宋_GB2312" w:hint="eastAsia"/>
          <w:b w:val="0"/>
          <w:bCs/>
        </w:rPr>
        <w:t>完成预算100%。</w:t>
      </w:r>
      <w:r>
        <w:rPr>
          <w:rFonts w:ascii="仿宋_GB2312" w:eastAsia="仿宋_GB2312" w:hint="eastAsia"/>
        </w:rPr>
        <w:t>公务用车购置及运行维护费支出决算与2018年持平。</w:t>
      </w:r>
    </w:p>
    <w:p>
      <w:pPr>
        <w:rPr>
          <w:rFonts w:ascii="仿宋_GB2312" w:eastAsia="仿宋_GB2312"/>
        </w:rPr>
      </w:pPr>
      <w:r>
        <w:rPr>
          <w:rFonts w:ascii="仿宋_GB2312" w:eastAsia="仿宋_GB2312" w:hint="eastAsia"/>
        </w:rPr>
        <w:t>其中：</w:t>
      </w:r>
      <w:r>
        <w:rPr>
          <w:rFonts w:ascii="仿宋_GB2312" w:eastAsia="仿宋_GB2312" w:hint="eastAsia"/>
          <w:b/>
        </w:rPr>
        <w:t>公务用车购置支出</w:t>
      </w:r>
      <w:r>
        <w:rPr>
          <w:rFonts w:ascii="仿宋_GB2312" w:eastAsia="仿宋_GB2312" w:hint="eastAsia"/>
        </w:rPr>
        <w:t>0万元。全年按规定更新购置公务用车0辆，金额0元。截至2019年12月底，单位共有公务用车4辆，其中：主要领导干部用车0辆、机要通信用车0辆、应急保障用车0辆、执法执勤用车0辆。</w:t>
      </w:r>
    </w:p>
    <w:p>
      <w:pPr>
        <w:rPr>
          <w:rFonts w:ascii="仿宋_GB2312" w:eastAsia="仿宋_GB2312"/>
        </w:rPr>
      </w:pPr>
      <w:r>
        <w:rPr>
          <w:rFonts w:ascii="仿宋_GB2312" w:eastAsia="仿宋_GB2312" w:hint="eastAsia"/>
          <w:b/>
        </w:rPr>
        <w:t>公务用车运行维护费支出</w:t>
      </w:r>
      <w:r>
        <w:rPr>
          <w:rFonts w:ascii="仿宋_GB2312" w:eastAsia="仿宋_GB2312" w:hint="eastAsia"/>
        </w:rPr>
        <w:t>8.76万元。主要用于开展水利建设扶贫工作，以及农田灌溉、安全饮水提升工程、新建排水沟和新建堤防工程水利项目开展所需的公务用车燃料费、维修费、过路过桥费、保险费等支出。</w:t>
      </w:r>
    </w:p>
    <w:p>
      <w:pPr>
        <w:rPr>
          <w:rFonts w:ascii="仿宋_GB2312" w:eastAsia="仿宋_GB2312"/>
        </w:rPr>
      </w:pPr>
      <w:r>
        <w:rPr>
          <w:rFonts w:ascii="仿宋_GB2312" w:eastAsia="仿宋_GB2312" w:hint="eastAsia"/>
          <w:b/>
        </w:rPr>
        <w:t>3.公务接待费支出</w:t>
      </w:r>
      <w:r>
        <w:rPr>
          <w:rFonts w:ascii="仿宋_GB2312" w:eastAsia="仿宋_GB2312" w:hint="eastAsia"/>
        </w:rPr>
        <w:t>0.54万元，</w:t>
      </w:r>
      <w:r>
        <w:rPr>
          <w:rStyle w:val="22"/>
          <w:rFonts w:ascii="仿宋_GB2312" w:eastAsia="仿宋_GB2312" w:hint="eastAsia"/>
          <w:b w:val="0"/>
          <w:bCs/>
        </w:rPr>
        <w:t>完成预算100%。</w:t>
      </w:r>
      <w:r>
        <w:rPr>
          <w:rFonts w:ascii="仿宋_GB2312" w:eastAsia="仿宋_GB2312" w:hint="eastAsia"/>
        </w:rPr>
        <w:t>公务接待费支出决算与2018年持平。</w:t>
      </w:r>
    </w:p>
    <w:p>
      <w:pPr>
        <w:rPr>
          <w:rFonts w:ascii="仿宋_GB2312" w:eastAsia="仿宋_GB2312"/>
        </w:rPr>
      </w:pPr>
      <w:r>
        <w:rPr>
          <w:rFonts w:ascii="仿宋_GB2312" w:eastAsia="仿宋_GB2312" w:hint="eastAsia"/>
          <w:b/>
        </w:rPr>
        <w:t>国内公务接待支出</w:t>
      </w:r>
      <w:r>
        <w:rPr>
          <w:rFonts w:ascii="仿宋_GB2312" w:eastAsia="仿宋_GB2312" w:hint="eastAsia"/>
        </w:rPr>
        <w:t>0万元，主要用于执行公务、开展业务活动开支的交通费、住宿费、用餐费等。国内公务接待6批次，60人次（不包括陪同人员），共计支出0.54万元，具体内容包括：用于各省州县级人员以及其他对口部门到我单位开展检查等相关工作等。</w:t>
      </w:r>
    </w:p>
    <w:p>
      <w:pPr>
        <w:rPr>
          <w:rFonts w:ascii="仿宋_GB2312" w:eastAsia="仿宋_GB2312"/>
        </w:rPr>
      </w:pPr>
      <w:r>
        <w:rPr>
          <w:rFonts w:ascii="仿宋_GB2312" w:eastAsia="仿宋_GB2312" w:hint="eastAsia"/>
          <w:b/>
        </w:rPr>
        <w:t>外事接待支出</w:t>
      </w:r>
      <w:r>
        <w:rPr>
          <w:rFonts w:ascii="仿宋_GB2312" w:eastAsia="仿宋_GB2312" w:hint="eastAsia"/>
        </w:rPr>
        <w:t>0万元，外事接待0批次，0人，共计支出0万元。</w:t>
      </w:r>
      <w:bookmarkStart w:id="48" w:name="_Toc15377218"/>
      <w:bookmarkStart w:id="49" w:name="_Toc15396610"/>
    </w:p>
    <w:p>
      <w:pPr>
        <w:rPr>
          <w:rStyle w:val="2Char"/>
          <w:rFonts w:ascii="黑体" w:eastAsia="黑体"/>
        </w:rPr>
      </w:pPr>
      <w:r>
        <w:rPr>
          <w:rStyle w:val="2Char"/>
          <w:rFonts w:ascii="黑体" w:eastAsia="黑体" w:hint="eastAsia"/>
          <w:b w:val="0"/>
        </w:rPr>
        <w:t>八、政府性基金预算支出决算情况说明</w:t>
      </w:r>
      <w:bookmarkEnd w:id="48"/>
      <w:bookmarkEnd w:id="49"/>
    </w:p>
    <w:p>
      <w:pPr>
        <w:rPr>
          <w:rFonts w:ascii="仿宋_GB2312" w:eastAsia="仿宋_GB2312"/>
        </w:rPr>
      </w:pPr>
      <w:r>
        <w:rPr>
          <w:rFonts w:ascii="仿宋_GB2312" w:eastAsia="仿宋_GB2312" w:hint="eastAsia"/>
        </w:rPr>
        <w:t>2019年政府性基金预算拨款支出879.9万元。</w:t>
      </w:r>
    </w:p>
    <w:p>
      <w:pPr>
        <w:rPr>
          <w:rStyle w:val="2Char"/>
          <w:rFonts w:ascii="黑体" w:eastAsia="黑体"/>
          <w:b w:val="0"/>
        </w:rPr>
      </w:pPr>
      <w:bookmarkStart w:id="50" w:name="_Toc15377219"/>
      <w:bookmarkStart w:id="51" w:name="_Toc15396611"/>
      <w:r>
        <w:rPr>
          <w:rStyle w:val="2Char"/>
          <w:rFonts w:ascii="黑体" w:eastAsia="黑体" w:hint="eastAsia"/>
          <w:b w:val="0"/>
        </w:rPr>
        <w:t>九、国有资本经营预算支出决算情况说明</w:t>
      </w:r>
      <w:bookmarkEnd w:id="50"/>
      <w:bookmarkEnd w:id="51"/>
    </w:p>
    <w:p>
      <w:pPr>
        <w:rPr>
          <w:rFonts w:ascii="仿宋_GB2312" w:eastAsia="仿宋_GB2312"/>
        </w:rPr>
      </w:pPr>
      <w:r>
        <w:rPr>
          <w:rFonts w:ascii="仿宋_GB2312" w:eastAsia="仿宋_GB2312" w:hint="eastAsia"/>
        </w:rPr>
        <w:t>2019年国有资本经营预算拨款支出0万元。</w:t>
      </w:r>
    </w:p>
    <w:p>
      <w:pPr>
        <w:rPr>
          <w:rStyle w:val="2Char"/>
          <w:rFonts w:ascii="黑体" w:eastAsia="黑体"/>
        </w:rPr>
      </w:pPr>
      <w:bookmarkStart w:id="52" w:name="_Toc15396612"/>
      <w:bookmarkStart w:id="53" w:name="_Toc15377221"/>
      <w:r>
        <w:rPr>
          <w:rStyle w:val="2Char"/>
          <w:rFonts w:ascii="黑体" w:eastAsia="黑体" w:hint="eastAsia"/>
          <w:b w:val="0"/>
        </w:rPr>
        <w:t>十、其他重要事项的情况说明</w:t>
      </w:r>
      <w:bookmarkEnd w:id="52"/>
      <w:bookmarkEnd w:id="53"/>
    </w:p>
    <w:p>
      <w:pPr>
        <w:rPr>
          <w:rFonts w:ascii="楷体" w:eastAsia="楷体"/>
          <w:b/>
        </w:rPr>
      </w:pPr>
      <w:bookmarkStart w:id="54" w:name="_Toc15377222"/>
      <w:r>
        <w:rPr>
          <w:rFonts w:ascii="楷体" w:eastAsia="楷体" w:hint="eastAsia"/>
          <w:b/>
        </w:rPr>
        <w:t>（一）机关运行经费支出情况</w:t>
      </w:r>
      <w:bookmarkEnd w:id="54"/>
    </w:p>
    <w:p>
      <w:pPr>
        <w:rPr>
          <w:rFonts w:ascii="仿宋_GB2312" w:eastAsia="仿宋_GB2312"/>
          <w:color w:val="000000"/>
        </w:rPr>
      </w:pPr>
      <w:r>
        <w:rPr>
          <w:rFonts w:ascii="仿宋_GB2312" w:eastAsia="仿宋_GB2312" w:hint="eastAsia"/>
        </w:rPr>
        <w:t>2019年，茂县水务局机关运行经费支出0万元。</w:t>
      </w:r>
    </w:p>
    <w:p>
      <w:pPr>
        <w:rPr>
          <w:rFonts w:ascii="楷体" w:eastAsia="楷体"/>
          <w:b/>
        </w:rPr>
      </w:pPr>
      <w:bookmarkStart w:id="55" w:name="_Toc15377223"/>
      <w:r>
        <w:rPr>
          <w:rFonts w:ascii="楷体" w:eastAsia="楷体" w:hint="eastAsia"/>
          <w:b/>
        </w:rPr>
        <w:t>（二）政府采购支出情况</w:t>
      </w:r>
      <w:bookmarkEnd w:id="55"/>
    </w:p>
    <w:p>
      <w:pPr>
        <w:rPr>
          <w:rFonts w:ascii="仿宋_GB2312" w:eastAsia="仿宋_GB2312"/>
        </w:rPr>
      </w:pPr>
      <w:r>
        <w:rPr>
          <w:rFonts w:ascii="仿宋_GB2312" w:eastAsia="仿宋_GB2312" w:hint="eastAsia"/>
        </w:rPr>
        <w:t>2019年，茂县水务局政府采购支出总额0元，其中：政府采购货物支出0万元、政府采购工程支出0万元、政府采购服务支出0万元。</w:t>
      </w:r>
    </w:p>
    <w:p>
      <w:pPr>
        <w:rPr>
          <w:rFonts w:ascii="楷体" w:eastAsia="楷体"/>
          <w:b/>
        </w:rPr>
      </w:pPr>
      <w:bookmarkStart w:id="56" w:name="_Toc15377224"/>
      <w:r>
        <w:rPr>
          <w:rFonts w:ascii="楷体" w:eastAsia="楷体" w:hint="eastAsia"/>
          <w:b/>
        </w:rPr>
        <w:t>（三）国有资产占有使用情况</w:t>
      </w:r>
      <w:bookmarkEnd w:id="56"/>
    </w:p>
    <w:p>
      <w:pPr>
        <w:rPr>
          <w:rFonts w:ascii="仿宋_GB2312" w:eastAsia="仿宋_GB2312"/>
          <w:b/>
          <w:color w:val="FF0000"/>
        </w:rPr>
      </w:pPr>
      <w:r>
        <w:rPr>
          <w:rFonts w:ascii="仿宋_GB2312" w:eastAsia="仿宋_GB2312" w:hint="eastAsia"/>
        </w:rPr>
        <w:t>截至2019年12月31日，茂县水务局共有车辆4辆，其中：主要领导干部用车0辆、机要通信用车0辆、应急保障用车0辆、其他用车4辆，</w:t>
      </w:r>
      <w:r>
        <w:rPr>
          <w:rFonts w:ascii="仿宋_GB2312" w:eastAsia="仿宋_GB2312" w:hint="eastAsia"/>
          <w:color w:val="000000"/>
        </w:rPr>
        <w:t>单价50万元以上通用设备,0台，单价100</w:t>
      </w:r>
      <w:r>
        <w:rPr>
          <w:rFonts w:ascii="仿宋_GB2312" w:eastAsia="仿宋_GB2312" w:hint="eastAsia"/>
        </w:rPr>
        <w:t>万元以上专用设备0台（套）。</w:t>
      </w:r>
    </w:p>
    <w:p>
      <w:pPr>
        <w:tabs>
          <w:tab w:val="right" w:pos="8306"/>
        </w:tabs>
        <w:rPr>
          <w:rFonts w:ascii="楷体" w:eastAsia="楷体"/>
          <w:b/>
        </w:rPr>
      </w:pPr>
      <w:r>
        <w:rPr>
          <w:rFonts w:ascii="楷体" w:eastAsia="楷体" w:hint="eastAsia"/>
          <w:b/>
        </w:rPr>
        <w:t>（四）预算绩效管理情况</w:t>
      </w:r>
      <w:r>
        <w:rPr>
          <w:rFonts w:ascii="楷体" w:eastAsia="楷体"/>
          <w:b/>
        </w:rPr>
        <w:tab/>
      </w:r>
    </w:p>
    <w:p>
      <w:pPr>
        <w:spacing w:line="580" w:lineRule="exact"/>
        <w:rPr>
          <w:rFonts w:ascii="仿宋_GB2312" w:eastAsia="仿宋_GB2312" w:cs="仿宋_GB2312"/>
        </w:rPr>
      </w:pPr>
      <w:r>
        <w:rPr>
          <w:rFonts w:ascii="仿宋_GB2312" w:eastAsia="仿宋_GB2312" w:cs="仿宋_GB2312" w:hint="eastAsia"/>
        </w:rPr>
        <w:t>根据预算绩效管理要求，组织对5项目2018年暴雨洪涝应急项目、县城提防段工程建设项目、渭永供水工程、农田水利维修养护项目、</w:t>
      </w:r>
      <w:r>
        <w:t>大河坝一甘青沿线生态堤防工程</w:t>
      </w:r>
      <w:r>
        <w:rPr>
          <w:rFonts w:ascii="仿宋_GB2312" w:eastAsia="仿宋_GB2312" w:cs="仿宋_GB2312" w:hint="eastAsia"/>
        </w:rPr>
        <w:t>开展了绩效评估，对5个项目编制了绩效目标，预算执行过程中，选取5个项目开展绩效监控，年终执行完毕后，对5个项目开展了绩效目标完成情况自评。</w:t>
      </w:r>
    </w:p>
    <w:p>
      <w:pPr>
        <w:rPr>
          <w:rFonts w:ascii="仿宋_GB2312" w:eastAsia="仿宋_GB2312" w:cs="仿宋_GB2312"/>
        </w:rPr>
      </w:pPr>
      <w:r>
        <w:rPr>
          <w:rFonts w:ascii="仿宋_GB2312" w:eastAsia="仿宋_GB2312" w:cs="仿宋_GB2312" w:hint="eastAsia"/>
        </w:rPr>
        <w:t>本部门按要求对2019年部门整体支出开展绩效自评，从评价情况来看，2019年我局部门整体支出绩效评价自查自评结果良好，全年基本支出保证了部门的正常运行和日常工作的正常开展，项目支出保障了重点工作的开展，绩效目标得到较好实现，绩效管理水平不断提高，绩效指标体系逐级渐丰富和完善。</w:t>
      </w:r>
    </w:p>
    <w:p>
      <w:pPr>
        <w:spacing w:line="580" w:lineRule="exact"/>
        <w:ind w:firstLineChars="199" w:firstLine="637"/>
        <w:rPr>
          <w:rFonts w:ascii="楷体_GB2312" w:eastAsia="楷体_GB2312" w:cs="楷体_GB2312"/>
          <w:b/>
        </w:rPr>
      </w:pPr>
      <w:r>
        <w:rPr>
          <w:rFonts w:ascii="楷体_GB2312" w:eastAsia="楷体_GB2312" w:cs="楷体_GB2312" w:hint="eastAsia"/>
          <w:b/>
        </w:rPr>
        <w:t>1.项目绩效目标完成情况</w:t>
      </w:r>
    </w:p>
    <w:p>
      <w:pPr>
        <w:spacing w:line="580" w:lineRule="exact"/>
        <w:ind w:firstLineChars="199" w:firstLine="637"/>
        <w:rPr>
          <w:rFonts w:ascii="仿宋_GB2312" w:eastAsia="仿宋_GB2312" w:cs="仿宋_GB2312"/>
        </w:rPr>
      </w:pPr>
      <w:r>
        <w:rPr>
          <w:rFonts w:ascii="仿宋_GB2312" w:eastAsia="仿宋_GB2312" w:cs="仿宋_GB2312" w:hint="eastAsia"/>
        </w:rPr>
        <w:t>本部门在2019年度部门决算中反映2018年暴雨洪涝应急项目、茂县县城提防段水利工程建设项目、渭永供水工程、农田水利维修养护、</w:t>
      </w:r>
      <w:r>
        <w:t>大河坝一甘青沿线生态堤防工程</w:t>
      </w:r>
      <w:r>
        <w:rPr>
          <w:rFonts w:ascii="仿宋_GB2312" w:eastAsia="仿宋_GB2312" w:cs="仿宋_GB2312" w:hint="eastAsia"/>
        </w:rPr>
        <w:t>等5个项目绩效目标实际完成情况。</w:t>
      </w:r>
    </w:p>
    <w:p>
      <w:pPr>
        <w:rPr>
          <w:rFonts w:ascii="仿宋_GB2312" w:eastAsia="仿宋_GB2312" w:cs="仿宋_GB2312"/>
        </w:rPr>
      </w:pPr>
      <w:r>
        <w:rPr>
          <w:rFonts w:ascii="仿宋_GB2312" w:eastAsia="仿宋_GB2312" w:cs="仿宋_GB2312" w:hint="eastAsia"/>
        </w:rPr>
        <w:t>（1）2018年暴雨洪涝应急项目绩效目标完成情况综述。项目预算数200万元，执行数为121.76万元，完成预算的68.88%。通过项目实施，解决</w:t>
      </w:r>
      <w:r>
        <w:rPr>
          <w:rFonts w:ascii="仿宋_GB2312" w:eastAsia="仿宋_GB2312" w:cs="仿宋_GB2312"/>
        </w:rPr>
        <w:t>光明镇，</w:t>
      </w:r>
      <w:r>
        <w:rPr>
          <w:rFonts w:ascii="仿宋_GB2312" w:eastAsia="仿宋_GB2312" w:cs="仿宋_GB2312" w:hint="eastAsia"/>
        </w:rPr>
        <w:t>7个村人畜饮水问题，</w:t>
      </w:r>
      <w:r>
        <w:rPr>
          <w:rFonts w:ascii="仿宋_GB2312" w:eastAsia="仿宋_GB2312" w:cs="仿宋_GB2312"/>
        </w:rPr>
        <w:t>本次工程对各</w:t>
      </w:r>
      <w:r>
        <w:rPr>
          <w:rFonts w:ascii="仿宋_GB2312" w:eastAsia="仿宋_GB2312" w:cs="仿宋_GB2312" w:hint="eastAsia"/>
        </w:rPr>
        <w:t>村</w:t>
      </w:r>
      <w:r>
        <w:rPr>
          <w:rFonts w:ascii="仿宋_GB2312" w:eastAsia="仿宋_GB2312" w:cs="仿宋_GB2312"/>
        </w:rPr>
        <w:t>被洪水冲毁的输水管道及蓄水池进行修复重建，工程总受益人口1567户6760人</w:t>
      </w:r>
      <w:r>
        <w:rPr>
          <w:rFonts w:ascii="仿宋_GB2312" w:eastAsia="仿宋_GB2312" w:cs="仿宋_GB2312" w:hint="eastAsia"/>
        </w:rPr>
        <w:t>；解决</w:t>
      </w:r>
      <w:r>
        <w:rPr>
          <w:rFonts w:ascii="仿宋_GB2312" w:eastAsia="仿宋_GB2312" w:cs="仿宋_GB2312"/>
        </w:rPr>
        <w:t>富顺镇槽木村，被洪水冲毁的输水管道及蓄水池进行修复重建，受益人口164户650人</w:t>
      </w:r>
      <w:r>
        <w:rPr>
          <w:rFonts w:ascii="仿宋_GB2312" w:eastAsia="仿宋_GB2312" w:cs="仿宋_GB2312" w:hint="eastAsia"/>
        </w:rPr>
        <w:t>;解决</w:t>
      </w:r>
      <w:r>
        <w:rPr>
          <w:rFonts w:ascii="仿宋_GB2312" w:eastAsia="仿宋_GB2312" w:cs="仿宋_GB2312"/>
        </w:rPr>
        <w:t>土门镇三元桥堤防建设</w:t>
      </w:r>
      <w:r>
        <w:rPr>
          <w:rFonts w:ascii="仿宋_GB2312" w:eastAsia="仿宋_GB2312" w:cs="仿宋_GB2312" w:hint="eastAsia"/>
        </w:rPr>
        <w:t>，</w:t>
      </w:r>
      <w:r>
        <w:rPr>
          <w:rFonts w:ascii="仿宋_GB2312" w:eastAsia="仿宋_GB2312" w:cs="仿宋_GB2312"/>
        </w:rPr>
        <w:t>主要是对土门河三元桥上游河段两岸进行防洪治理，保护两岸耕地、交通设施以及保护国家级文物三元桥的防洪安全。</w:t>
      </w:r>
      <w:r>
        <w:rPr>
          <w:rFonts w:ascii="仿宋_GB2312" w:eastAsia="仿宋_GB2312" w:cs="仿宋_GB2312" w:hint="eastAsia"/>
        </w:rPr>
        <w:t>下一步改进措施：制定后期维护管理制度，争取后期维护资金。</w:t>
      </w:r>
    </w:p>
    <w:p>
      <w:pPr>
        <w:rPr>
          <w:rFonts w:ascii="仿宋_GB2312" w:eastAsia="仿宋_GB2312" w:cs="仿宋_GB2312"/>
        </w:rPr>
      </w:pPr>
      <w:r>
        <w:rPr>
          <w:rFonts w:ascii="仿宋_GB2312" w:eastAsia="仿宋_GB2312" w:cs="仿宋_GB2312" w:hint="eastAsia"/>
        </w:rPr>
        <w:t>（2）茂县县城提防工程建设项目绩效目标完成情况综述。项目全年预算数1997万元，执行数为1636.7万元，完成预算的81.96%。项目位于茂县县城踏水墩大桥至茂汶大桥之间，项目主要建设内容包括:左岸自上游至下游依次为维修清水平台段、新建护岸段，改造加固护岸段;右岸自上游至下游依次为新建护岸段，改造加固护岸段，新建护岸段;工程共设计堤轴线长3523.61m,其中左岸1606.61m,右岸1917m，维修清水平台总计881.61m，新建护岸总计1761.35m，加高加固护岸880.65m。下一步改进措施：制定后期维护管理制度，争取后期维护资金。</w:t>
      </w:r>
    </w:p>
    <w:p>
      <w:pPr>
        <w:rPr>
          <w:rFonts w:ascii="仿宋_GB2312" w:eastAsia="仿宋_GB2312" w:cs="仿宋_GB2312"/>
        </w:rPr>
      </w:pPr>
      <w:r>
        <w:rPr>
          <w:rFonts w:ascii="仿宋_GB2312" w:eastAsia="仿宋_GB2312" w:cs="仿宋_GB2312" w:hint="eastAsia"/>
        </w:rPr>
        <w:t>（3）渭永供水工程项目绩效目标完成情况综述。项目全年预算数321万元，执行数为302.34万元，完成预算的94.19%。通过项目实施</w:t>
      </w:r>
      <w:r>
        <w:rPr>
          <w:rFonts w:ascii="仿宋_GB2312" w:eastAsia="仿宋_GB2312" w:cs="仿宋_GB2312"/>
        </w:rPr>
        <w:t>将彻底改变现状，有力的提升农业生产效益，为脱贫攻坚奠定坚实的基础。在细口村</w:t>
      </w:r>
      <w:r>
        <w:rPr>
          <w:rFonts w:ascii="仿宋_GB2312" w:eastAsia="仿宋_GB2312" w:cs="仿宋_GB2312" w:hint="eastAsia"/>
        </w:rPr>
        <w:t>二、</w:t>
      </w:r>
      <w:r>
        <w:rPr>
          <w:rFonts w:ascii="仿宋_GB2312" w:eastAsia="仿宋_GB2312" w:cs="仿宋_GB2312"/>
        </w:rPr>
        <w:t>三组新建3.</w:t>
      </w:r>
      <w:r>
        <w:rPr>
          <w:rFonts w:ascii="仿宋_GB2312" w:eastAsia="仿宋_GB2312" w:cs="仿宋_GB2312" w:hint="eastAsia"/>
        </w:rPr>
        <w:t>02km</w:t>
      </w:r>
      <w:r>
        <w:rPr>
          <w:rFonts w:ascii="仿宋_GB2312" w:eastAsia="仿宋_GB2312" w:cs="仿宋_GB2312"/>
        </w:rPr>
        <w:t>的输水干管，在水源处采用引泉池取水后，进入预沉池，水源经</w:t>
      </w:r>
      <w:r>
        <w:rPr>
          <w:rFonts w:ascii="仿宋_GB2312" w:eastAsia="仿宋_GB2312" w:cs="仿宋_GB2312" w:hint="eastAsia"/>
        </w:rPr>
        <w:t>沉淀</w:t>
      </w:r>
      <w:r>
        <w:rPr>
          <w:rFonts w:ascii="仿宋_GB2312" w:eastAsia="仿宋_GB2312" w:cs="仿宋_GB2312"/>
        </w:rPr>
        <w:t>后进入慢滤池，后接输水管道，输水主管沿山溪沟侧坡脚及细口村道路内侧布置，在K2+800桩号处截止。</w:t>
      </w:r>
      <w:r>
        <w:rPr>
          <w:rFonts w:ascii="仿宋_GB2312" w:eastAsia="仿宋_GB2312" w:cs="仿宋_GB2312" w:hint="eastAsia"/>
        </w:rPr>
        <w:t>此项目建成后为</w:t>
      </w:r>
      <w:r>
        <w:rPr>
          <w:rFonts w:ascii="仿宋_GB2312" w:eastAsia="仿宋_GB2312" w:cs="仿宋_GB2312"/>
        </w:rPr>
        <w:t>细口村</w:t>
      </w:r>
      <w:r>
        <w:rPr>
          <w:rFonts w:ascii="仿宋_GB2312" w:eastAsia="仿宋_GB2312" w:cs="仿宋_GB2312" w:hint="eastAsia"/>
        </w:rPr>
        <w:t>二、</w:t>
      </w:r>
      <w:r>
        <w:rPr>
          <w:rFonts w:ascii="仿宋_GB2312" w:eastAsia="仿宋_GB2312" w:cs="仿宋_GB2312"/>
        </w:rPr>
        <w:t>三组</w:t>
      </w:r>
      <w:r>
        <w:rPr>
          <w:rFonts w:ascii="仿宋_GB2312" w:eastAsia="仿宋_GB2312" w:cs="仿宋_GB2312" w:hint="eastAsia"/>
        </w:rPr>
        <w:t>人畜饮水灌溉打下坚实的基础。下一步改进措施：制定后期维护管理制度，争取后期维护资金。</w:t>
      </w:r>
    </w:p>
    <w:p>
      <w:pPr>
        <w:ind w:firstLineChars="0" w:firstLine="640"/>
        <w:rPr>
          <w:rFonts w:ascii="仿宋_GB2312" w:eastAsia="仿宋_GB2312" w:cs="仿宋_GB2312"/>
        </w:rPr>
      </w:pPr>
      <w:r>
        <w:rPr>
          <w:rFonts w:ascii="仿宋_GB2312" w:eastAsia="仿宋_GB2312" w:cs="仿宋_GB2312" w:hint="eastAsia"/>
        </w:rPr>
        <w:t>（4）农田水利维修养护资金项目绩效目标完成情况综述。项目全年预算数301万元，执行数为200.64万元，完成预算的66.67%。通过项目实施，提升了村民用水保证率，为脱贫致富奠定坚实的基础。</w:t>
      </w:r>
      <w:r>
        <w:rPr>
          <w:rFonts w:ascii="仿宋_GB2312" w:eastAsia="仿宋_GB2312" w:cs="仿宋_GB2312"/>
        </w:rPr>
        <w:t>实施范围凤仪镇静州村、茶山村、甘青村、南庄村，雅都镇赤不</w:t>
      </w:r>
      <w:r>
        <w:rPr>
          <w:rFonts w:ascii="仿宋_GB2312" w:eastAsia="仿宋_GB2312" w:cs="仿宋_GB2312" w:hint="eastAsia"/>
        </w:rPr>
        <w:t>寨村，</w:t>
      </w:r>
      <w:r>
        <w:rPr>
          <w:rFonts w:ascii="仿宋_GB2312" w:eastAsia="仿宋_GB2312" w:cs="仿宋_GB2312"/>
        </w:rPr>
        <w:t>土门乡新村、洋坪村，太平乡胡尔村、普安村，南新镇凤毛村、文镇村，回龙乡沙坝村、白布村、渭门乡椒园村、窄溪村，共计7乡(镇)15村。维修养护目标任务项目维修养护12处小型农田水利工程及1处堤防工程，恢复改善灌面6620亩。其中:维修养护堤防80m，维修泵站3座、取水池3座，养护渠道0.4Km,维修养护输水管道42.1Km</w:t>
      </w:r>
      <w:r>
        <w:rPr>
          <w:rFonts w:ascii="仿宋_GB2312" w:eastAsia="仿宋_GB2312" w:cs="仿宋_GB2312" w:hint="eastAsia"/>
        </w:rPr>
        <w:t>。下一步改进措施：制定安全饮水运行管理办法，争取后期维护资金。</w:t>
      </w:r>
    </w:p>
    <w:p>
      <w:pPr>
        <w:ind w:firstLineChars="0" w:firstLine="640"/>
        <w:rPr>
          <w:rFonts w:ascii="仿宋_GB2312" w:eastAsia="仿宋_GB2312" w:cs="仿宋_GB2312"/>
        </w:rPr>
      </w:pPr>
      <w:r>
        <w:rPr>
          <w:rFonts w:ascii="仿宋_GB2312" w:eastAsia="仿宋_GB2312" w:cs="仿宋_GB2312" w:hint="eastAsia"/>
        </w:rPr>
        <w:t>（5）</w:t>
      </w:r>
      <w:r>
        <w:rPr>
          <w:rFonts w:ascii="仿宋_GB2312" w:eastAsia="仿宋_GB2312" w:cs="仿宋_GB2312"/>
        </w:rPr>
        <w:t>大河坝一甘青沿线生态堤防工程</w:t>
      </w:r>
      <w:r>
        <w:rPr>
          <w:rFonts w:ascii="仿宋_GB2312" w:eastAsia="仿宋_GB2312" w:cs="仿宋_GB2312" w:hint="eastAsia"/>
        </w:rPr>
        <w:t>项目绩效目标完成情况综述。项目全年预算数</w:t>
      </w:r>
      <w:r>
        <w:rPr>
          <w:rFonts w:ascii="仿宋_GB2312" w:eastAsia="仿宋_GB2312" w:cs="仿宋_GB2312"/>
        </w:rPr>
        <w:t>1733</w:t>
      </w:r>
      <w:r>
        <w:rPr>
          <w:rFonts w:ascii="仿宋_GB2312" w:eastAsia="仿宋_GB2312" w:cs="仿宋_GB2312" w:hint="eastAsia"/>
        </w:rPr>
        <w:t>万元，执行数为1476.41万元，完成预算的85.19%。</w:t>
      </w:r>
      <w:r>
        <w:rPr>
          <w:rFonts w:ascii="仿宋_GB2312" w:eastAsia="仿宋_GB2312" w:cs="仿宋_GB2312"/>
        </w:rPr>
        <w:t>建设内容及规模:新建堤防1178.34米，河道疏浚约1220米(其中水厂段新建堤防864.94米，河道疏浚约870米;茂汶大桥左岸上下游新建堤防313.4米，河道疏浚约350米);新建游步道1555平方米，修复栏杆50米，造坡土方714立方米，景观植物等相关配套设施建设。</w:t>
      </w:r>
      <w:r>
        <w:rPr>
          <w:rFonts w:ascii="仿宋_GB2312" w:eastAsia="仿宋_GB2312" w:cs="仿宋_GB2312" w:hint="eastAsia"/>
        </w:rPr>
        <w:t>下一步改进措施：加强维修维护。</w:t>
      </w: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94"/>
        <w:gridCol w:w="2392"/>
      </w:tblGrid>
      <w:tr>
        <w:trPr>
          <w:trHeight w:val="1034"/>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cs="宋体" w:hAnsi="宋体"/>
                <w:sz w:val="36"/>
                <w:szCs w:val="36"/>
              </w:rPr>
            </w:pPr>
            <w:r>
              <w:rPr>
                <w:rFonts w:ascii="宋体" w:cs="宋体" w:hAnsi="宋体" w:hint="eastAsia"/>
                <w:b/>
                <w:bCs/>
                <w:kern w:val="0"/>
                <w:sz w:val="36"/>
                <w:szCs w:val="36"/>
              </w:rPr>
              <w:t>项目绩效目标完成情况表</w:t>
              <w:br/>
            </w:r>
            <w:r>
              <w:rPr>
                <w:rFonts w:ascii="宋体" w:cs="宋体" w:hAnsi="宋体" w:hint="eastAsia"/>
                <w:kern w:val="0"/>
                <w:sz w:val="36"/>
                <w:szCs w:val="36"/>
              </w:rPr>
              <w:t>(2019年度)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宋体" w:hint="eastAsia"/>
                <w:kern w:val="0"/>
                <w:sz w:val="28"/>
                <w:szCs w:val="28"/>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仿宋_GB2312" w:hint="eastAsia"/>
                <w:sz w:val="28"/>
                <w:szCs w:val="28"/>
              </w:rPr>
              <w:t>2018年暴雨洪涝应急项目</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宋体" w:hint="eastAsia"/>
                <w:kern w:val="0"/>
                <w:sz w:val="28"/>
                <w:szCs w:val="28"/>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宋体" w:hint="eastAsia"/>
                <w:sz w:val="28"/>
                <w:szCs w:val="28"/>
              </w:rPr>
              <w:t>茂县水务局</w:t>
            </w:r>
          </w:p>
        </w:tc>
      </w:tr>
      <w:tr>
        <w:trPr>
          <w:trHeight w:val="1110"/>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ind w:firstLineChars="0" w:firstLine="0"/>
              <w:textAlignment w:val="center"/>
              <w:rPr>
                <w:rFonts w:ascii="仿宋_GB2312" w:eastAsia="仿宋_GB2312" w:cs="宋体"/>
                <w:sz w:val="28"/>
                <w:szCs w:val="28"/>
              </w:rPr>
            </w:pPr>
            <w:r>
              <w:rPr>
                <w:rFonts w:ascii="仿宋_GB2312" w:eastAsia="仿宋_GB2312" w:cs="宋体" w:hint="eastAsia"/>
                <w:kern w:val="0"/>
                <w:sz w:val="28"/>
                <w:szCs w:val="28"/>
              </w:rPr>
              <w:t>预算执行情况</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宋体" w:hint="eastAsia"/>
                <w:kern w:val="0"/>
                <w:sz w:val="28"/>
                <w:szCs w:val="28"/>
              </w:rPr>
              <w:t>预算数: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宋体" w:hint="eastAsia"/>
                <w:sz w:val="28"/>
                <w:szCs w:val="28"/>
              </w:rPr>
              <w:t>200万元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宋体" w:hint="eastAsia"/>
                <w:kern w:val="0"/>
                <w:sz w:val="28"/>
                <w:szCs w:val="28"/>
              </w:rPr>
              <w:t>执行数: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仿宋_GB2312" w:hint="eastAsia"/>
                <w:sz w:val="28"/>
                <w:szCs w:val="28"/>
              </w:rPr>
              <w:t>121.76万元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宋体" w:hint="eastAsia"/>
                <w:kern w:val="0"/>
                <w:sz w:val="28"/>
                <w:szCs w:val="28"/>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宋体" w:hint="eastAsia"/>
                <w:sz w:val="28"/>
                <w:szCs w:val="28"/>
              </w:rPr>
              <w:t>200万元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宋体" w:hint="eastAsia"/>
                <w:kern w:val="0"/>
                <w:sz w:val="28"/>
                <w:szCs w:val="28"/>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仿宋_GB2312" w:hint="eastAsia"/>
                <w:sz w:val="28"/>
                <w:szCs w:val="28"/>
              </w:rPr>
              <w:t>121.76万元</w:t>
            </w:r>
          </w:p>
        </w:tc>
      </w:tr>
      <w:tr>
        <w:trPr>
          <w:trHeight w:val="1205"/>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宋体" w:hint="eastAsia"/>
                <w:kern w:val="0"/>
                <w:sz w:val="28"/>
                <w:szCs w:val="28"/>
                <w:lang w:eastAsia="zh-CN"/>
              </w:rPr>
              <w:t>其他</w:t>
            </w:r>
            <w:r>
              <w:rPr>
                <w:rFonts w:ascii="仿宋_GB2312" w:eastAsia="仿宋_GB2312" w:cs="宋体" w:hint="eastAsia"/>
                <w:kern w:val="0"/>
                <w:sz w:val="28"/>
                <w:szCs w:val="28"/>
              </w:rPr>
              <w:t>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宋体" w:hint="eastAsia"/>
                <w:sz w:val="28"/>
                <w:szCs w:val="28"/>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宋体" w:hint="eastAsia"/>
                <w:kern w:val="0"/>
                <w:sz w:val="28"/>
                <w:szCs w:val="28"/>
                <w:lang w:eastAsia="zh-CN"/>
              </w:rPr>
              <w:t>其他</w:t>
            </w:r>
            <w:r>
              <w:rPr>
                <w:rFonts w:ascii="仿宋_GB2312" w:eastAsia="仿宋_GB2312" w:cs="宋体" w:hint="eastAsia"/>
                <w:kern w:val="0"/>
                <w:sz w:val="28"/>
                <w:szCs w:val="28"/>
              </w:rPr>
              <w:t>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rPr>
                <w:rFonts w:ascii="仿宋_GB2312" w:eastAsia="仿宋_GB2312" w:cs="宋体"/>
                <w:sz w:val="28"/>
                <w:szCs w:val="28"/>
              </w:rPr>
            </w:pPr>
            <w:r>
              <w:rPr>
                <w:rFonts w:ascii="仿宋_GB2312" w:eastAsia="仿宋_GB2312" w:cs="宋体" w:hint="eastAsia"/>
                <w:sz w:val="28"/>
                <w:szCs w:val="28"/>
              </w:rPr>
              <w:t>0</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宋体" w:hint="eastAsia"/>
                <w:kern w:val="0"/>
                <w:sz w:val="28"/>
                <w:szCs w:val="28"/>
              </w:rPr>
              <w:t>年目标完成情况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宋体" w:hint="eastAsia"/>
                <w:kern w:val="0"/>
                <w:sz w:val="28"/>
                <w:szCs w:val="28"/>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宋体" w:hint="eastAsia"/>
                <w:kern w:val="0"/>
                <w:sz w:val="28"/>
                <w:szCs w:val="28"/>
              </w:rPr>
              <w:t>实际完成目标</w:t>
            </w:r>
          </w:p>
        </w:tc>
      </w:tr>
      <w:tr>
        <w:trPr>
          <w:trHeight w:val="2536"/>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仿宋_GB2312" w:hint="eastAsia"/>
                <w:sz w:val="28"/>
                <w:szCs w:val="28"/>
              </w:rPr>
              <w:t>解决光明镇、富顺镇，人畜饮水问题和土门镇三元桥防洪安全问题。</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仿宋_GB2312" w:hint="eastAsia"/>
                <w:sz w:val="28"/>
                <w:szCs w:val="28"/>
              </w:rPr>
              <w:t>解决光明镇、富顺镇，人畜饮水问题和土门镇三元桥防洪安全问题。</w:t>
            </w:r>
          </w:p>
        </w:tc>
      </w:tr>
      <w:tr>
        <w:trPr>
          <w:trHeight w:val="1042"/>
        </w:trPr>
        <w:tc>
          <w:tcPr>
            <w:tcW w:w="390"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pPr>
              <w:widowControl/>
              <w:ind w:firstLineChars="0" w:firstLine="0"/>
              <w:textAlignment w:val="center"/>
              <w:rPr>
                <w:rFonts w:ascii="仿宋_GB2312" w:eastAsia="仿宋_GB2312" w:cs="宋体"/>
                <w:sz w:val="28"/>
                <w:szCs w:val="28"/>
              </w:rPr>
            </w:pPr>
            <w:r>
              <w:rPr>
                <w:rFonts w:ascii="仿宋_GB2312" w:eastAsia="仿宋_GB2312" w:cs="宋体" w:hint="eastAsia"/>
                <w:sz w:val="28"/>
                <w:szCs w:val="28"/>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ind w:firstLineChars="0" w:firstLine="0"/>
              <w:textAlignment w:val="center"/>
              <w:rPr>
                <w:rFonts w:ascii="仿宋_GB2312" w:eastAsia="仿宋_GB2312" w:cs="宋体"/>
                <w:sz w:val="28"/>
                <w:szCs w:val="28"/>
              </w:rPr>
            </w:pPr>
            <w:r>
              <w:rPr>
                <w:rFonts w:ascii="仿宋_GB2312" w:eastAsia="仿宋_GB2312" w:cs="宋体" w:hint="eastAsia"/>
                <w:kern w:val="0"/>
                <w:sz w:val="28"/>
                <w:szCs w:val="28"/>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ind w:firstLineChars="0" w:firstLine="0"/>
              <w:textAlignment w:val="center"/>
              <w:rPr>
                <w:rFonts w:ascii="仿宋_GB2312" w:eastAsia="仿宋_GB2312" w:cs="宋体"/>
                <w:sz w:val="28"/>
                <w:szCs w:val="28"/>
              </w:rPr>
            </w:pPr>
            <w:r>
              <w:rPr>
                <w:rFonts w:ascii="仿宋_GB2312" w:eastAsia="仿宋_GB2312" w:cs="宋体" w:hint="eastAsia"/>
                <w:kern w:val="0"/>
                <w:sz w:val="28"/>
                <w:szCs w:val="28"/>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ind w:firstLineChars="0" w:firstLine="0"/>
              <w:jc w:val="center"/>
              <w:textAlignment w:val="center"/>
              <w:rPr>
                <w:rFonts w:ascii="仿宋_GB2312" w:eastAsia="仿宋_GB2312" w:cs="宋体"/>
                <w:sz w:val="28"/>
                <w:szCs w:val="28"/>
              </w:rPr>
            </w:pPr>
            <w:r>
              <w:rPr>
                <w:rFonts w:ascii="仿宋_GB2312" w:eastAsia="仿宋_GB2312" w:cs="宋体" w:hint="eastAsia"/>
                <w:kern w:val="0"/>
                <w:sz w:val="28"/>
                <w:szCs w:val="28"/>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宋体" w:hint="eastAsia"/>
                <w:kern w:val="0"/>
                <w:sz w:val="28"/>
                <w:szCs w:val="28"/>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宋体" w:hint="eastAsia"/>
                <w:kern w:val="0"/>
                <w:sz w:val="28"/>
                <w:szCs w:val="28"/>
              </w:rPr>
              <w:t>实际完成指标值(包含数字及文字描述)</w:t>
            </w:r>
          </w:p>
        </w:tc>
      </w:tr>
      <w:tr>
        <w:trPr>
          <w:trHeight w:val="953"/>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ind w:firstLineChars="0" w:firstLine="0"/>
              <w:jc w:val="center"/>
              <w:textAlignment w:val="center"/>
              <w:rPr>
                <w:rFonts w:ascii="仿宋_GB2312" w:eastAsia="仿宋_GB2312" w:cs="宋体"/>
                <w:sz w:val="28"/>
                <w:szCs w:val="28"/>
              </w:rPr>
            </w:pPr>
            <w:r>
              <w:rPr>
                <w:rFonts w:ascii="仿宋_GB2312" w:eastAsia="仿宋_GB2312" w:cs="宋体" w:hint="eastAsia"/>
                <w:kern w:val="0"/>
                <w:sz w:val="28"/>
                <w:szCs w:val="28"/>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ind w:firstLineChars="0" w:firstLine="0"/>
              <w:jc w:val="center"/>
              <w:textAlignment w:val="center"/>
              <w:rPr>
                <w:rFonts w:ascii="仿宋_GB2312" w:eastAsia="仿宋_GB2312" w:cs="宋体"/>
                <w:sz w:val="28"/>
                <w:szCs w:val="28"/>
              </w:rPr>
            </w:pPr>
            <w:r>
              <w:rPr>
                <w:rFonts w:ascii="仿宋_GB2312" w:eastAsia="仿宋_GB2312" w:cs="仿宋_GB2312" w:hint="eastAsia"/>
                <w:sz w:val="28"/>
                <w:szCs w:val="28"/>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ind w:firstLineChars="0" w:firstLine="0"/>
              <w:jc w:val="center"/>
              <w:textAlignment w:val="center"/>
              <w:rPr>
                <w:rFonts w:ascii="仿宋_GB2312" w:eastAsia="仿宋_GB2312" w:cs="宋体"/>
                <w:sz w:val="28"/>
                <w:szCs w:val="28"/>
              </w:rPr>
            </w:pPr>
            <w:r>
              <w:rPr>
                <w:rFonts w:ascii="仿宋_GB2312" w:eastAsia="仿宋_GB2312" w:cs="仿宋_GB2312" w:hint="eastAsia"/>
                <w:sz w:val="28"/>
                <w:szCs w:val="28"/>
              </w:rPr>
              <w:t>建设质量</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ind w:firstLineChars="0" w:firstLine="0"/>
              <w:jc w:val="center"/>
              <w:textAlignment w:val="center"/>
              <w:rPr>
                <w:rFonts w:ascii="仿宋_GB2312" w:eastAsia="仿宋_GB2312" w:cs="宋体"/>
                <w:sz w:val="28"/>
                <w:szCs w:val="28"/>
              </w:rPr>
            </w:pPr>
            <w:r>
              <w:rPr>
                <w:rFonts w:ascii="仿宋_GB2312" w:eastAsia="仿宋_GB2312" w:cs="仿宋_GB2312" w:hint="eastAsia"/>
                <w:sz w:val="28"/>
                <w:szCs w:val="28"/>
              </w:rPr>
              <w:t>质量合格</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ind w:firstLineChars="0" w:firstLine="0"/>
              <w:jc w:val="center"/>
              <w:textAlignment w:val="center"/>
              <w:rPr>
                <w:rFonts w:ascii="仿宋_GB2312" w:eastAsia="仿宋_GB2312" w:cs="宋体"/>
                <w:sz w:val="28"/>
                <w:szCs w:val="28"/>
              </w:rPr>
            </w:pPr>
            <w:r>
              <w:rPr>
                <w:rFonts w:ascii="仿宋_GB2312" w:eastAsia="仿宋_GB2312" w:cs="仿宋_GB2312" w:hint="eastAsia"/>
                <w:sz w:val="28"/>
                <w:szCs w:val="28"/>
              </w:rPr>
              <w:t>验收合格</w:t>
            </w:r>
          </w:p>
        </w:tc>
      </w:tr>
      <w:tr>
        <w:trPr>
          <w:trHeight w:val="1297"/>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ind w:firstLineChars="0" w:firstLine="0"/>
              <w:jc w:val="center"/>
              <w:textAlignment w:val="center"/>
              <w:rPr>
                <w:rFonts w:ascii="仿宋_GB2312" w:eastAsia="仿宋_GB2312" w:cs="宋体"/>
                <w:sz w:val="28"/>
                <w:szCs w:val="28"/>
              </w:rPr>
            </w:pPr>
            <w:r>
              <w:rPr>
                <w:rFonts w:ascii="仿宋_GB2312" w:eastAsia="仿宋_GB2312" w:cs="宋体" w:hint="eastAsia"/>
                <w:kern w:val="0"/>
                <w:sz w:val="28"/>
                <w:szCs w:val="28"/>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ind w:firstLineChars="0" w:firstLine="0"/>
              <w:jc w:val="center"/>
              <w:textAlignment w:val="center"/>
              <w:rPr>
                <w:rFonts w:ascii="仿宋_GB2312" w:eastAsia="仿宋_GB2312" w:cs="宋体"/>
                <w:sz w:val="28"/>
                <w:szCs w:val="28"/>
              </w:rPr>
            </w:pPr>
            <w:r>
              <w:rPr>
                <w:rFonts w:ascii="仿宋_GB2312" w:eastAsia="仿宋_GB2312" w:cs="仿宋_GB2312" w:hint="eastAsia"/>
                <w:sz w:val="28"/>
                <w:szCs w:val="28"/>
              </w:rPr>
              <w:t>成本指标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ind w:firstLineChars="0" w:firstLine="0"/>
              <w:jc w:val="center"/>
              <w:textAlignment w:val="center"/>
              <w:rPr>
                <w:rFonts w:ascii="仿宋_GB2312" w:eastAsia="仿宋_GB2312" w:cs="宋体"/>
                <w:sz w:val="28"/>
                <w:szCs w:val="28"/>
              </w:rPr>
            </w:pPr>
            <w:r>
              <w:rPr>
                <w:rFonts w:ascii="仿宋_GB2312" w:eastAsia="仿宋_GB2312" w:cs="仿宋_GB2312" w:hint="eastAsia"/>
                <w:sz w:val="28"/>
                <w:szCs w:val="28"/>
              </w:rPr>
              <w:t>资金需求</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仿宋_GB2312" w:hint="eastAsia"/>
                <w:sz w:val="28"/>
                <w:szCs w:val="28"/>
              </w:rPr>
              <w:t>121.76万元</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ind w:firstLineChars="0" w:firstLine="0"/>
              <w:jc w:val="center"/>
              <w:textAlignment w:val="center"/>
              <w:rPr>
                <w:rFonts w:ascii="仿宋_GB2312" w:eastAsia="仿宋_GB2312" w:cs="宋体"/>
                <w:sz w:val="28"/>
                <w:szCs w:val="28"/>
              </w:rPr>
            </w:pPr>
            <w:r>
              <w:rPr>
                <w:rFonts w:ascii="仿宋_GB2312" w:eastAsia="仿宋_GB2312" w:cs="仿宋_GB2312" w:hint="eastAsia"/>
                <w:sz w:val="28"/>
                <w:szCs w:val="28"/>
              </w:rPr>
              <w:t>剩余资金退回财政</w:t>
            </w:r>
          </w:p>
        </w:tc>
      </w:tr>
      <w:tr>
        <w:trPr>
          <w:trHeight w:val="1042"/>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宋体" w:hint="eastAsia"/>
                <w:kern w:val="0"/>
                <w:sz w:val="28"/>
                <w:szCs w:val="28"/>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仿宋_GB2312" w:hint="eastAsia"/>
                <w:sz w:val="28"/>
                <w:szCs w:val="28"/>
              </w:rPr>
              <w:t>社会效益</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仿宋_GB2312" w:hint="eastAsia"/>
                <w:sz w:val="28"/>
                <w:szCs w:val="28"/>
              </w:rPr>
              <w:t>项目成效</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ind w:firstLineChars="0" w:firstLine="0"/>
              <w:textAlignment w:val="center"/>
              <w:rPr>
                <w:rFonts w:ascii="仿宋_GB2312" w:eastAsia="仿宋_GB2312" w:cs="宋体"/>
                <w:sz w:val="28"/>
                <w:szCs w:val="28"/>
              </w:rPr>
            </w:pPr>
            <w:r>
              <w:rPr>
                <w:rFonts w:ascii="仿宋_GB2312" w:eastAsia="仿宋_GB2312" w:cs="仿宋_GB2312" w:hint="eastAsia"/>
                <w:sz w:val="28"/>
                <w:szCs w:val="28"/>
              </w:rPr>
              <w:t>改善群众生产生活条件</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ind w:firstLineChars="0" w:firstLine="0"/>
              <w:textAlignment w:val="center"/>
              <w:rPr>
                <w:rFonts w:ascii="仿宋_GB2312" w:eastAsia="仿宋_GB2312" w:cs="宋体"/>
                <w:sz w:val="28"/>
                <w:szCs w:val="28"/>
              </w:rPr>
            </w:pPr>
            <w:r>
              <w:rPr>
                <w:rFonts w:ascii="仿宋_GB2312" w:eastAsia="仿宋_GB2312" w:cs="仿宋_GB2312" w:hint="eastAsia"/>
                <w:sz w:val="28"/>
                <w:szCs w:val="28"/>
              </w:rPr>
              <w:t>改善提升了群众生产生活条件</w:t>
            </w:r>
          </w:p>
        </w:tc>
      </w:tr>
      <w:tr>
        <w:trPr>
          <w:trHeight w:val="1050"/>
        </w:trPr>
        <w:tc>
          <w:tcPr>
            <w:tcW w:w="390" w:type="dxa"/>
            <w:vMerge/>
            <w:tcBorders>
              <w:left w:val="single" w:sz="4" w:space="0" w:color="000000"/>
              <w:bottom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宋体" w:hint="eastAsia"/>
                <w:kern w:val="0"/>
                <w:sz w:val="28"/>
                <w:szCs w:val="28"/>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ind w:firstLineChars="0" w:firstLine="0"/>
              <w:textAlignment w:val="center"/>
              <w:rPr>
                <w:rFonts w:ascii="仿宋_GB2312" w:eastAsia="仿宋_GB2312" w:cs="宋体"/>
                <w:sz w:val="28"/>
                <w:szCs w:val="28"/>
              </w:rPr>
            </w:pPr>
            <w:r>
              <w:rPr>
                <w:rFonts w:ascii="仿宋_GB2312" w:eastAsia="仿宋_GB2312" w:cs="仿宋_GB2312" w:hint="eastAsia"/>
                <w:sz w:val="28"/>
                <w:szCs w:val="28"/>
              </w:rPr>
              <w:t>满意度指标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仿宋_GB2312" w:hint="eastAsia"/>
                <w:sz w:val="28"/>
                <w:szCs w:val="28"/>
              </w:rPr>
              <w:t>群众满意度</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仿宋_GB2312" w:hint="eastAsia"/>
                <w:sz w:val="28"/>
                <w:szCs w:val="28"/>
              </w:rPr>
              <w:t>大于90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仿宋_GB2312" w:hint="eastAsia"/>
                <w:sz w:val="28"/>
                <w:szCs w:val="28"/>
              </w:rPr>
              <w:t>使用单位满意度达到98%</w:t>
            </w:r>
          </w:p>
        </w:tc>
      </w:tr>
    </w:tbl>
    <w:p>
      <w:pPr>
        <w:ind w:firstLineChars="0" w:firstLine="0"/>
        <w:rPr>
          <w:rFonts w:ascii="仿宋_GB2312" w:eastAsia="仿宋_GB2312"/>
        </w:rPr>
      </w:pP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94"/>
        <w:gridCol w:w="2392"/>
      </w:tblGrid>
      <w:tr>
        <w:trPr>
          <w:trHeight w:val="1034"/>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cs="宋体" w:hAnsi="宋体"/>
                <w:sz w:val="36"/>
                <w:szCs w:val="36"/>
              </w:rPr>
            </w:pPr>
            <w:r>
              <w:rPr>
                <w:rFonts w:ascii="宋体" w:cs="宋体" w:hAnsi="宋体" w:hint="eastAsia"/>
                <w:b/>
                <w:bCs/>
                <w:kern w:val="0"/>
                <w:sz w:val="36"/>
                <w:szCs w:val="36"/>
              </w:rPr>
              <w:t>项目绩效目标完成情况表</w:t>
              <w:br/>
            </w:r>
            <w:r>
              <w:rPr>
                <w:rFonts w:ascii="宋体" w:cs="宋体" w:hAnsi="宋体" w:hint="eastAsia"/>
                <w:kern w:val="0"/>
                <w:sz w:val="36"/>
                <w:szCs w:val="36"/>
              </w:rPr>
              <w:t>(2019年度)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宋体" w:hint="eastAsia"/>
                <w:kern w:val="0"/>
                <w:sz w:val="28"/>
                <w:szCs w:val="28"/>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仿宋_GB2312" w:hint="eastAsia"/>
                <w:sz w:val="28"/>
                <w:szCs w:val="28"/>
              </w:rPr>
              <w:t>茂县县城提防工程建设项目</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宋体" w:hint="eastAsia"/>
                <w:kern w:val="0"/>
                <w:sz w:val="28"/>
                <w:szCs w:val="28"/>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宋体" w:hint="eastAsia"/>
                <w:sz w:val="28"/>
                <w:szCs w:val="28"/>
              </w:rPr>
              <w:t>茂县水务局</w:t>
            </w:r>
          </w:p>
        </w:tc>
      </w:tr>
      <w:tr>
        <w:trPr>
          <w:trHeight w:val="1110"/>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ind w:firstLineChars="0" w:firstLine="0"/>
              <w:textAlignment w:val="center"/>
              <w:rPr>
                <w:rFonts w:ascii="仿宋_GB2312" w:eastAsia="仿宋_GB2312" w:cs="宋体"/>
                <w:sz w:val="28"/>
                <w:szCs w:val="28"/>
              </w:rPr>
            </w:pPr>
            <w:r>
              <w:rPr>
                <w:rFonts w:ascii="仿宋_GB2312" w:eastAsia="仿宋_GB2312" w:cs="宋体" w:hint="eastAsia"/>
                <w:kern w:val="0"/>
                <w:sz w:val="28"/>
                <w:szCs w:val="28"/>
              </w:rPr>
              <w:t>算执行情况</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宋体" w:hint="eastAsia"/>
                <w:kern w:val="0"/>
                <w:sz w:val="28"/>
                <w:szCs w:val="28"/>
              </w:rPr>
              <w:t>预算数: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宋体" w:hint="eastAsia"/>
                <w:sz w:val="28"/>
                <w:szCs w:val="28"/>
              </w:rPr>
              <w:t>1997万元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宋体" w:hint="eastAsia"/>
                <w:kern w:val="0"/>
                <w:sz w:val="28"/>
                <w:szCs w:val="28"/>
              </w:rPr>
              <w:t>执行数: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仿宋_GB2312" w:hint="eastAsia"/>
                <w:sz w:val="28"/>
                <w:szCs w:val="28"/>
              </w:rPr>
              <w:t>1636.7万元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宋体" w:hint="eastAsia"/>
                <w:kern w:val="0"/>
                <w:sz w:val="28"/>
                <w:szCs w:val="28"/>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宋体" w:hint="eastAsia"/>
                <w:sz w:val="28"/>
                <w:szCs w:val="28"/>
              </w:rPr>
              <w:t>1997万元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宋体" w:hint="eastAsia"/>
                <w:kern w:val="0"/>
                <w:sz w:val="28"/>
                <w:szCs w:val="28"/>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仿宋_GB2312" w:hint="eastAsia"/>
                <w:sz w:val="28"/>
                <w:szCs w:val="28"/>
              </w:rPr>
              <w:t>1636.7万元</w:t>
            </w:r>
          </w:p>
        </w:tc>
      </w:tr>
      <w:tr>
        <w:trPr>
          <w:trHeight w:val="1205"/>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宋体" w:hint="eastAsia"/>
                <w:kern w:val="0"/>
                <w:sz w:val="28"/>
                <w:szCs w:val="28"/>
                <w:lang w:eastAsia="zh-CN"/>
              </w:rPr>
              <w:t>其他</w:t>
            </w:r>
            <w:r>
              <w:rPr>
                <w:rFonts w:ascii="仿宋_GB2312" w:eastAsia="仿宋_GB2312" w:cs="宋体" w:hint="eastAsia"/>
                <w:kern w:val="0"/>
                <w:sz w:val="28"/>
                <w:szCs w:val="28"/>
              </w:rPr>
              <w:t>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宋体" w:hint="eastAsia"/>
                <w:sz w:val="28"/>
                <w:szCs w:val="28"/>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宋体" w:hint="eastAsia"/>
                <w:kern w:val="0"/>
                <w:sz w:val="28"/>
                <w:szCs w:val="28"/>
                <w:lang w:eastAsia="zh-CN"/>
              </w:rPr>
              <w:t>其他</w:t>
            </w:r>
            <w:r>
              <w:rPr>
                <w:rFonts w:ascii="仿宋_GB2312" w:eastAsia="仿宋_GB2312" w:cs="宋体" w:hint="eastAsia"/>
                <w:kern w:val="0"/>
                <w:sz w:val="28"/>
                <w:szCs w:val="28"/>
              </w:rPr>
              <w:t>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rPr>
                <w:rFonts w:ascii="仿宋_GB2312" w:eastAsia="仿宋_GB2312" w:cs="宋体"/>
                <w:sz w:val="28"/>
                <w:szCs w:val="28"/>
              </w:rPr>
            </w:pPr>
            <w:r>
              <w:rPr>
                <w:rFonts w:ascii="仿宋_GB2312" w:eastAsia="仿宋_GB2312" w:cs="宋体" w:hint="eastAsia"/>
                <w:sz w:val="28"/>
                <w:szCs w:val="28"/>
              </w:rPr>
              <w:t>0</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宋体" w:hint="eastAsia"/>
                <w:kern w:val="0"/>
                <w:sz w:val="28"/>
                <w:szCs w:val="28"/>
              </w:rPr>
              <w:t>年目标完成情况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宋体" w:hint="eastAsia"/>
                <w:kern w:val="0"/>
                <w:sz w:val="28"/>
                <w:szCs w:val="28"/>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宋体" w:hint="eastAsia"/>
                <w:kern w:val="0"/>
                <w:sz w:val="28"/>
                <w:szCs w:val="28"/>
              </w:rPr>
              <w:t>实际完成目标</w:t>
            </w:r>
          </w:p>
        </w:tc>
      </w:tr>
      <w:tr>
        <w:trPr>
          <w:trHeight w:val="2536"/>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ind w:firstLineChars="0" w:firstLine="0"/>
              <w:textAlignment w:val="center"/>
              <w:rPr>
                <w:rFonts w:ascii="仿宋_GB2312" w:eastAsia="仿宋_GB2312" w:cs="宋体"/>
                <w:sz w:val="28"/>
                <w:szCs w:val="28"/>
              </w:rPr>
            </w:pPr>
            <w:r>
              <w:rPr>
                <w:rFonts w:ascii="仿宋_GB2312" w:eastAsia="仿宋_GB2312" w:cs="仿宋_GB2312" w:hint="eastAsia"/>
              </w:rPr>
              <w:t>共设计堤轴线长3523.61m,其中左岸1606.61m,右岸1917m，维修清水平台总计881.61m，新建护岸总计1761.35m，加高加固护岸880.65m</w:t>
            </w:r>
            <w:r>
              <w:rPr>
                <w:rFonts w:ascii="仿宋_GB2312" w:eastAsia="仿宋_GB2312" w:cs="仿宋_GB2312" w:hint="eastAsia"/>
                <w:sz w:val="28"/>
                <w:szCs w:val="28"/>
              </w:rPr>
              <w:t>。</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ind w:firstLineChars="0" w:firstLine="0"/>
              <w:textAlignment w:val="center"/>
              <w:rPr>
                <w:rFonts w:ascii="仿宋_GB2312" w:eastAsia="仿宋_GB2312" w:cs="宋体"/>
                <w:sz w:val="28"/>
                <w:szCs w:val="28"/>
              </w:rPr>
            </w:pPr>
            <w:r>
              <w:rPr>
                <w:rFonts w:ascii="仿宋_GB2312" w:eastAsia="仿宋_GB2312" w:cs="仿宋_GB2312" w:hint="eastAsia"/>
              </w:rPr>
              <w:t>共设计堤轴线长3523.61m,其中左岸1606.61m,右岸1917m，维修清水平台总计881.61m，新建护岸总计1761.35m，加高加固护岸880.65m。</w:t>
            </w:r>
          </w:p>
        </w:tc>
      </w:tr>
      <w:tr>
        <w:trPr>
          <w:trHeight w:val="1042"/>
        </w:trPr>
        <w:tc>
          <w:tcPr>
            <w:tcW w:w="390"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pPr>
              <w:widowControl/>
              <w:ind w:firstLineChars="0" w:firstLine="0"/>
              <w:textAlignment w:val="center"/>
              <w:rPr>
                <w:rFonts w:ascii="仿宋_GB2312" w:eastAsia="仿宋_GB2312" w:cs="宋体"/>
                <w:sz w:val="28"/>
                <w:szCs w:val="28"/>
              </w:rPr>
            </w:pPr>
            <w:r>
              <w:rPr>
                <w:rFonts w:ascii="仿宋_GB2312" w:eastAsia="仿宋_GB2312" w:cs="宋体" w:hint="eastAsia"/>
                <w:sz w:val="28"/>
                <w:szCs w:val="28"/>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ind w:firstLineChars="0" w:firstLine="0"/>
              <w:textAlignment w:val="center"/>
              <w:rPr>
                <w:rFonts w:ascii="仿宋_GB2312" w:eastAsia="仿宋_GB2312" w:cs="宋体"/>
                <w:sz w:val="28"/>
                <w:szCs w:val="28"/>
              </w:rPr>
            </w:pPr>
            <w:r>
              <w:rPr>
                <w:rFonts w:ascii="仿宋_GB2312" w:eastAsia="仿宋_GB2312" w:cs="宋体" w:hint="eastAsia"/>
                <w:kern w:val="0"/>
                <w:sz w:val="28"/>
                <w:szCs w:val="28"/>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ind w:firstLineChars="0" w:firstLine="0"/>
              <w:textAlignment w:val="center"/>
              <w:rPr>
                <w:rFonts w:ascii="仿宋_GB2312" w:eastAsia="仿宋_GB2312" w:cs="宋体"/>
                <w:sz w:val="28"/>
                <w:szCs w:val="28"/>
              </w:rPr>
            </w:pPr>
            <w:r>
              <w:rPr>
                <w:rFonts w:ascii="仿宋_GB2312" w:eastAsia="仿宋_GB2312" w:cs="宋体" w:hint="eastAsia"/>
                <w:kern w:val="0"/>
                <w:sz w:val="28"/>
                <w:szCs w:val="28"/>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宋体" w:hint="eastAsia"/>
                <w:kern w:val="0"/>
                <w:sz w:val="28"/>
                <w:szCs w:val="28"/>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宋体" w:hint="eastAsia"/>
                <w:kern w:val="0"/>
                <w:sz w:val="28"/>
                <w:szCs w:val="28"/>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宋体" w:hint="eastAsia"/>
                <w:kern w:val="0"/>
                <w:sz w:val="28"/>
                <w:szCs w:val="28"/>
              </w:rPr>
              <w:t>实际完成指标值(包含数字及文字描述)</w:t>
            </w:r>
          </w:p>
        </w:tc>
      </w:tr>
      <w:tr>
        <w:trPr>
          <w:trHeight w:val="953"/>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ind w:firstLineChars="0" w:firstLine="0"/>
              <w:jc w:val="center"/>
              <w:textAlignment w:val="center"/>
              <w:rPr>
                <w:rFonts w:ascii="仿宋_GB2312" w:eastAsia="仿宋_GB2312" w:cs="宋体"/>
                <w:sz w:val="28"/>
                <w:szCs w:val="28"/>
              </w:rPr>
            </w:pPr>
            <w:r>
              <w:rPr>
                <w:rFonts w:ascii="仿宋_GB2312" w:eastAsia="仿宋_GB2312" w:cs="宋体" w:hint="eastAsia"/>
                <w:kern w:val="0"/>
                <w:sz w:val="28"/>
                <w:szCs w:val="28"/>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ind w:firstLineChars="0" w:firstLine="0"/>
              <w:jc w:val="center"/>
              <w:textAlignment w:val="center"/>
              <w:rPr>
                <w:rFonts w:ascii="仿宋_GB2312" w:eastAsia="仿宋_GB2312" w:cs="宋体"/>
                <w:sz w:val="28"/>
                <w:szCs w:val="28"/>
              </w:rPr>
            </w:pPr>
            <w:r>
              <w:rPr>
                <w:rFonts w:ascii="仿宋_GB2312" w:eastAsia="仿宋_GB2312" w:cs="仿宋_GB2312" w:hint="eastAsia"/>
                <w:sz w:val="28"/>
                <w:szCs w:val="28"/>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ind w:firstLineChars="0" w:firstLine="0"/>
              <w:jc w:val="center"/>
              <w:textAlignment w:val="center"/>
              <w:rPr>
                <w:rFonts w:ascii="仿宋_GB2312" w:eastAsia="仿宋_GB2312" w:cs="宋体"/>
                <w:sz w:val="28"/>
                <w:szCs w:val="28"/>
              </w:rPr>
            </w:pPr>
            <w:r>
              <w:rPr>
                <w:rFonts w:ascii="仿宋_GB2312" w:eastAsia="仿宋_GB2312" w:cs="仿宋_GB2312" w:hint="eastAsia"/>
                <w:sz w:val="28"/>
                <w:szCs w:val="28"/>
              </w:rPr>
              <w:t>建设质量</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ind w:firstLineChars="0" w:firstLine="0"/>
              <w:jc w:val="center"/>
              <w:textAlignment w:val="center"/>
              <w:rPr>
                <w:rFonts w:ascii="仿宋_GB2312" w:eastAsia="仿宋_GB2312" w:cs="宋体"/>
                <w:sz w:val="28"/>
                <w:szCs w:val="28"/>
              </w:rPr>
            </w:pPr>
            <w:r>
              <w:rPr>
                <w:rFonts w:ascii="仿宋_GB2312" w:eastAsia="仿宋_GB2312" w:cs="仿宋_GB2312" w:hint="eastAsia"/>
                <w:sz w:val="28"/>
                <w:szCs w:val="28"/>
              </w:rPr>
              <w:t>质量合格</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ind w:firstLineChars="0" w:firstLine="0"/>
              <w:jc w:val="center"/>
              <w:textAlignment w:val="center"/>
              <w:rPr>
                <w:rFonts w:ascii="仿宋_GB2312" w:eastAsia="仿宋_GB2312" w:cs="宋体"/>
                <w:sz w:val="28"/>
                <w:szCs w:val="28"/>
              </w:rPr>
            </w:pPr>
            <w:r>
              <w:rPr>
                <w:rFonts w:ascii="仿宋_GB2312" w:eastAsia="仿宋_GB2312" w:cs="仿宋_GB2312" w:hint="eastAsia"/>
                <w:sz w:val="28"/>
                <w:szCs w:val="28"/>
              </w:rPr>
              <w:t>验收合格</w:t>
            </w:r>
          </w:p>
        </w:tc>
      </w:tr>
      <w:tr>
        <w:trPr>
          <w:trHeight w:val="1297"/>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ind w:firstLineChars="0" w:firstLine="0"/>
              <w:jc w:val="center"/>
              <w:textAlignment w:val="center"/>
              <w:rPr>
                <w:rFonts w:ascii="仿宋_GB2312" w:eastAsia="仿宋_GB2312" w:cs="宋体"/>
                <w:sz w:val="28"/>
                <w:szCs w:val="28"/>
              </w:rPr>
            </w:pPr>
            <w:r>
              <w:rPr>
                <w:rFonts w:ascii="仿宋_GB2312" w:eastAsia="仿宋_GB2312" w:cs="宋体" w:hint="eastAsia"/>
                <w:kern w:val="0"/>
                <w:sz w:val="28"/>
                <w:szCs w:val="28"/>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ind w:firstLineChars="0" w:firstLine="0"/>
              <w:jc w:val="center"/>
              <w:textAlignment w:val="center"/>
              <w:rPr>
                <w:rFonts w:ascii="仿宋_GB2312" w:eastAsia="仿宋_GB2312" w:cs="宋体"/>
                <w:sz w:val="28"/>
                <w:szCs w:val="28"/>
              </w:rPr>
            </w:pPr>
            <w:r>
              <w:rPr>
                <w:rFonts w:ascii="仿宋_GB2312" w:eastAsia="仿宋_GB2312" w:cs="仿宋_GB2312" w:hint="eastAsia"/>
                <w:sz w:val="28"/>
                <w:szCs w:val="28"/>
              </w:rPr>
              <w:t>成本指标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ind w:firstLineChars="0" w:firstLine="0"/>
              <w:jc w:val="center"/>
              <w:textAlignment w:val="center"/>
              <w:rPr>
                <w:rFonts w:ascii="仿宋_GB2312" w:eastAsia="仿宋_GB2312" w:cs="宋体"/>
                <w:sz w:val="28"/>
                <w:szCs w:val="28"/>
              </w:rPr>
            </w:pPr>
            <w:r>
              <w:rPr>
                <w:rFonts w:ascii="仿宋_GB2312" w:eastAsia="仿宋_GB2312" w:cs="仿宋_GB2312" w:hint="eastAsia"/>
                <w:sz w:val="28"/>
                <w:szCs w:val="28"/>
              </w:rPr>
              <w:t>资金需求</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仿宋_GB2312" w:hint="eastAsia"/>
                <w:sz w:val="28"/>
                <w:szCs w:val="28"/>
              </w:rPr>
              <w:t>1636.7万元</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ind w:firstLineChars="0" w:firstLine="0"/>
              <w:jc w:val="center"/>
              <w:textAlignment w:val="center"/>
              <w:rPr>
                <w:rFonts w:ascii="仿宋_GB2312" w:eastAsia="仿宋_GB2312" w:cs="宋体"/>
                <w:sz w:val="28"/>
                <w:szCs w:val="28"/>
              </w:rPr>
            </w:pPr>
            <w:r>
              <w:rPr>
                <w:rFonts w:ascii="仿宋_GB2312" w:eastAsia="仿宋_GB2312" w:cs="仿宋_GB2312" w:hint="eastAsia"/>
                <w:sz w:val="28"/>
                <w:szCs w:val="28"/>
              </w:rPr>
              <w:t>剩余资金退回财政</w:t>
            </w:r>
          </w:p>
        </w:tc>
      </w:tr>
      <w:tr>
        <w:trPr>
          <w:trHeight w:val="1042"/>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宋体" w:hint="eastAsia"/>
                <w:kern w:val="0"/>
                <w:sz w:val="28"/>
                <w:szCs w:val="28"/>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仿宋_GB2312" w:hint="eastAsia"/>
                <w:sz w:val="28"/>
                <w:szCs w:val="28"/>
              </w:rPr>
              <w:t>社会效益</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仿宋_GB2312" w:hint="eastAsia"/>
                <w:sz w:val="28"/>
                <w:szCs w:val="28"/>
              </w:rPr>
              <w:t>项目成效</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ind w:firstLineChars="0" w:firstLine="0"/>
              <w:textAlignment w:val="center"/>
              <w:rPr>
                <w:rFonts w:ascii="仿宋_GB2312" w:eastAsia="仿宋_GB2312" w:cs="宋体"/>
                <w:sz w:val="28"/>
                <w:szCs w:val="28"/>
              </w:rPr>
            </w:pPr>
            <w:r>
              <w:rPr>
                <w:rFonts w:ascii="仿宋_GB2312" w:eastAsia="仿宋_GB2312" w:cs="仿宋_GB2312" w:hint="eastAsia"/>
                <w:sz w:val="28"/>
                <w:szCs w:val="28"/>
              </w:rPr>
              <w:t>改善提升了茂县县城人民生活环境</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ind w:firstLineChars="0" w:firstLine="0"/>
              <w:textAlignment w:val="center"/>
              <w:rPr>
                <w:rFonts w:ascii="仿宋_GB2312" w:eastAsia="仿宋_GB2312" w:cs="宋体"/>
                <w:sz w:val="28"/>
                <w:szCs w:val="28"/>
              </w:rPr>
            </w:pPr>
            <w:r>
              <w:rPr>
                <w:rFonts w:ascii="仿宋_GB2312" w:eastAsia="仿宋_GB2312" w:cs="仿宋_GB2312" w:hint="eastAsia"/>
                <w:sz w:val="28"/>
                <w:szCs w:val="28"/>
              </w:rPr>
              <w:t>改善提升了茂县县城人民生活环境</w:t>
            </w:r>
          </w:p>
        </w:tc>
      </w:tr>
      <w:tr>
        <w:trPr>
          <w:trHeight w:val="1050"/>
        </w:trPr>
        <w:tc>
          <w:tcPr>
            <w:tcW w:w="390" w:type="dxa"/>
            <w:vMerge/>
            <w:tcBorders>
              <w:left w:val="single" w:sz="4" w:space="0" w:color="000000"/>
              <w:bottom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宋体" w:hint="eastAsia"/>
                <w:kern w:val="0"/>
                <w:sz w:val="28"/>
                <w:szCs w:val="28"/>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ind w:firstLineChars="0" w:firstLine="0"/>
              <w:textAlignment w:val="center"/>
              <w:rPr>
                <w:rFonts w:ascii="仿宋_GB2312" w:eastAsia="仿宋_GB2312" w:cs="宋体"/>
                <w:sz w:val="28"/>
                <w:szCs w:val="28"/>
              </w:rPr>
            </w:pPr>
            <w:r>
              <w:rPr>
                <w:rFonts w:ascii="仿宋_GB2312" w:eastAsia="仿宋_GB2312" w:cs="仿宋_GB2312" w:hint="eastAsia"/>
                <w:sz w:val="28"/>
                <w:szCs w:val="28"/>
              </w:rPr>
              <w:t>满意度指标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仿宋_GB2312" w:hint="eastAsia"/>
                <w:sz w:val="28"/>
                <w:szCs w:val="28"/>
              </w:rPr>
              <w:t>群众满意度</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仿宋_GB2312" w:hint="eastAsia"/>
                <w:sz w:val="28"/>
                <w:szCs w:val="28"/>
              </w:rPr>
              <w:t>大于90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仿宋_GB2312" w:hint="eastAsia"/>
                <w:sz w:val="28"/>
                <w:szCs w:val="28"/>
              </w:rPr>
              <w:t>使用单位满意度达到98%</w:t>
            </w:r>
          </w:p>
        </w:tc>
      </w:tr>
    </w:tbl>
    <w:p>
      <w:pPr>
        <w:rPr>
          <w:rFonts w:ascii="仿宋_GB2312" w:eastAsia="仿宋_GB2312"/>
        </w:rPr>
      </w:pP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94"/>
        <w:gridCol w:w="2392"/>
      </w:tblGrid>
      <w:tr>
        <w:trPr>
          <w:trHeight w:val="1034"/>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cs="宋体" w:hAnsi="宋体"/>
                <w:sz w:val="36"/>
                <w:szCs w:val="36"/>
              </w:rPr>
            </w:pPr>
            <w:r>
              <w:rPr>
                <w:rFonts w:ascii="宋体" w:cs="宋体" w:hAnsi="宋体" w:hint="eastAsia"/>
                <w:b/>
                <w:bCs/>
                <w:kern w:val="0"/>
                <w:sz w:val="36"/>
                <w:szCs w:val="36"/>
              </w:rPr>
              <w:t>项目绩效目标完成情况表</w:t>
              <w:br/>
            </w:r>
            <w:r>
              <w:rPr>
                <w:rFonts w:ascii="宋体" w:cs="宋体" w:hAnsi="宋体" w:hint="eastAsia"/>
                <w:kern w:val="0"/>
                <w:sz w:val="36"/>
                <w:szCs w:val="36"/>
              </w:rPr>
              <w:t>(2019年度)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宋体" w:hint="eastAsia"/>
                <w:kern w:val="0"/>
                <w:sz w:val="28"/>
                <w:szCs w:val="28"/>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仿宋_GB2312" w:hint="eastAsia"/>
              </w:rPr>
              <w:t>渭永供水工程项目</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宋体" w:hint="eastAsia"/>
                <w:kern w:val="0"/>
                <w:sz w:val="28"/>
                <w:szCs w:val="28"/>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宋体" w:hint="eastAsia"/>
                <w:sz w:val="28"/>
                <w:szCs w:val="28"/>
              </w:rPr>
              <w:t>茂县水务局</w:t>
            </w:r>
          </w:p>
        </w:tc>
      </w:tr>
      <w:tr>
        <w:trPr>
          <w:trHeight w:val="1110"/>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ind w:firstLineChars="0" w:firstLine="0"/>
              <w:textAlignment w:val="center"/>
              <w:rPr>
                <w:rFonts w:ascii="仿宋_GB2312" w:eastAsia="仿宋_GB2312" w:cs="宋体"/>
                <w:sz w:val="28"/>
                <w:szCs w:val="28"/>
              </w:rPr>
            </w:pPr>
            <w:r>
              <w:rPr>
                <w:rFonts w:ascii="仿宋_GB2312" w:eastAsia="仿宋_GB2312" w:cs="宋体" w:hint="eastAsia"/>
                <w:kern w:val="0"/>
                <w:sz w:val="28"/>
                <w:szCs w:val="28"/>
              </w:rPr>
              <w:t>算执行情况</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宋体" w:hint="eastAsia"/>
                <w:kern w:val="0"/>
                <w:sz w:val="28"/>
                <w:szCs w:val="28"/>
              </w:rPr>
              <w:t>预算数: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宋体" w:hint="eastAsia"/>
                <w:sz w:val="28"/>
                <w:szCs w:val="28"/>
              </w:rPr>
              <w:t>321万元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宋体" w:hint="eastAsia"/>
                <w:kern w:val="0"/>
                <w:sz w:val="28"/>
                <w:szCs w:val="28"/>
              </w:rPr>
              <w:t>执行数: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仿宋_GB2312" w:hint="eastAsia"/>
                <w:sz w:val="28"/>
                <w:szCs w:val="28"/>
              </w:rPr>
              <w:t>302.34万元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宋体" w:hint="eastAsia"/>
                <w:kern w:val="0"/>
                <w:sz w:val="28"/>
                <w:szCs w:val="28"/>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宋体" w:hint="eastAsia"/>
                <w:sz w:val="28"/>
                <w:szCs w:val="28"/>
              </w:rPr>
              <w:t>321万元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宋体" w:hint="eastAsia"/>
                <w:kern w:val="0"/>
                <w:sz w:val="28"/>
                <w:szCs w:val="28"/>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仿宋_GB2312" w:hint="eastAsia"/>
                <w:sz w:val="28"/>
                <w:szCs w:val="28"/>
              </w:rPr>
              <w:t>302.34万元</w:t>
            </w:r>
          </w:p>
        </w:tc>
      </w:tr>
      <w:tr>
        <w:trPr>
          <w:trHeight w:val="1205"/>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宋体" w:hint="eastAsia"/>
                <w:kern w:val="0"/>
                <w:sz w:val="28"/>
                <w:szCs w:val="28"/>
                <w:lang w:eastAsia="zh-CN"/>
              </w:rPr>
              <w:t>其他</w:t>
            </w:r>
            <w:r>
              <w:rPr>
                <w:rFonts w:ascii="仿宋_GB2312" w:eastAsia="仿宋_GB2312" w:cs="宋体" w:hint="eastAsia"/>
                <w:kern w:val="0"/>
                <w:sz w:val="28"/>
                <w:szCs w:val="28"/>
              </w:rPr>
              <w:t>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宋体" w:hint="eastAsia"/>
                <w:sz w:val="28"/>
                <w:szCs w:val="28"/>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宋体" w:hint="eastAsia"/>
                <w:kern w:val="0"/>
                <w:sz w:val="28"/>
                <w:szCs w:val="28"/>
                <w:lang w:eastAsia="zh-CN"/>
              </w:rPr>
              <w:t>其他</w:t>
            </w:r>
            <w:r>
              <w:rPr>
                <w:rFonts w:ascii="仿宋_GB2312" w:eastAsia="仿宋_GB2312" w:cs="宋体" w:hint="eastAsia"/>
                <w:kern w:val="0"/>
                <w:sz w:val="28"/>
                <w:szCs w:val="28"/>
              </w:rPr>
              <w:t>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rPr>
                <w:rFonts w:ascii="仿宋_GB2312" w:eastAsia="仿宋_GB2312" w:cs="宋体"/>
                <w:sz w:val="28"/>
                <w:szCs w:val="28"/>
              </w:rPr>
            </w:pPr>
            <w:r>
              <w:rPr>
                <w:rFonts w:ascii="仿宋_GB2312" w:eastAsia="仿宋_GB2312" w:cs="宋体" w:hint="eastAsia"/>
                <w:sz w:val="28"/>
                <w:szCs w:val="28"/>
              </w:rPr>
              <w:t>0</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宋体" w:hint="eastAsia"/>
                <w:kern w:val="0"/>
                <w:sz w:val="28"/>
                <w:szCs w:val="28"/>
              </w:rPr>
              <w:t>年目标完成情况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宋体" w:hint="eastAsia"/>
                <w:kern w:val="0"/>
                <w:sz w:val="28"/>
                <w:szCs w:val="28"/>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宋体" w:hint="eastAsia"/>
                <w:kern w:val="0"/>
                <w:sz w:val="28"/>
                <w:szCs w:val="28"/>
              </w:rPr>
              <w:t>实际完成目标</w:t>
            </w:r>
          </w:p>
        </w:tc>
      </w:tr>
      <w:tr>
        <w:trPr>
          <w:trHeight w:val="2536"/>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ind w:firstLineChars="0" w:firstLine="0"/>
              <w:textAlignment w:val="center"/>
              <w:rPr>
                <w:rFonts w:ascii="仿宋_GB2312" w:eastAsia="仿宋_GB2312" w:cs="宋体"/>
                <w:sz w:val="28"/>
                <w:szCs w:val="28"/>
              </w:rPr>
            </w:pPr>
            <w:r>
              <w:rPr>
                <w:rFonts w:ascii="仿宋_GB2312" w:eastAsia="仿宋_GB2312" w:cs="仿宋_GB2312"/>
              </w:rPr>
              <w:t>细口村</w:t>
            </w:r>
            <w:r>
              <w:rPr>
                <w:rFonts w:ascii="仿宋_GB2312" w:eastAsia="仿宋_GB2312" w:cs="仿宋_GB2312" w:hint="eastAsia"/>
              </w:rPr>
              <w:t>二、</w:t>
            </w:r>
            <w:r>
              <w:rPr>
                <w:rFonts w:ascii="仿宋_GB2312" w:eastAsia="仿宋_GB2312" w:cs="仿宋_GB2312"/>
              </w:rPr>
              <w:t>三组新建3.</w:t>
            </w:r>
            <w:r>
              <w:rPr>
                <w:rFonts w:ascii="仿宋_GB2312" w:eastAsia="仿宋_GB2312" w:cs="仿宋_GB2312" w:hint="eastAsia"/>
              </w:rPr>
              <w:t>02km</w:t>
            </w:r>
            <w:r>
              <w:rPr>
                <w:rFonts w:ascii="仿宋_GB2312" w:eastAsia="仿宋_GB2312" w:cs="仿宋_GB2312"/>
              </w:rPr>
              <w:t>的输水干管</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ind w:firstLineChars="0" w:firstLine="0"/>
              <w:textAlignment w:val="center"/>
              <w:rPr>
                <w:rFonts w:ascii="仿宋_GB2312" w:eastAsia="仿宋_GB2312" w:cs="宋体"/>
                <w:sz w:val="28"/>
                <w:szCs w:val="28"/>
              </w:rPr>
            </w:pPr>
            <w:r>
              <w:rPr>
                <w:rFonts w:ascii="仿宋_GB2312" w:eastAsia="仿宋_GB2312" w:cs="仿宋_GB2312"/>
              </w:rPr>
              <w:t>细口村</w:t>
            </w:r>
            <w:r>
              <w:rPr>
                <w:rFonts w:ascii="仿宋_GB2312" w:eastAsia="仿宋_GB2312" w:cs="仿宋_GB2312" w:hint="eastAsia"/>
              </w:rPr>
              <w:t>二、</w:t>
            </w:r>
            <w:r>
              <w:rPr>
                <w:rFonts w:ascii="仿宋_GB2312" w:eastAsia="仿宋_GB2312" w:cs="仿宋_GB2312"/>
              </w:rPr>
              <w:t>三组新建3.</w:t>
            </w:r>
            <w:r>
              <w:rPr>
                <w:rFonts w:ascii="仿宋_GB2312" w:eastAsia="仿宋_GB2312" w:cs="仿宋_GB2312" w:hint="eastAsia"/>
              </w:rPr>
              <w:t>02km</w:t>
            </w:r>
            <w:r>
              <w:rPr>
                <w:rFonts w:ascii="仿宋_GB2312" w:eastAsia="仿宋_GB2312" w:cs="仿宋_GB2312"/>
              </w:rPr>
              <w:t>的输水干管</w:t>
            </w:r>
          </w:p>
        </w:tc>
      </w:tr>
      <w:tr>
        <w:trPr>
          <w:trHeight w:val="1042"/>
        </w:trPr>
        <w:tc>
          <w:tcPr>
            <w:tcW w:w="390"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pPr>
              <w:widowControl/>
              <w:ind w:firstLineChars="0" w:firstLine="0"/>
              <w:textAlignment w:val="center"/>
              <w:rPr>
                <w:rFonts w:ascii="仿宋_GB2312" w:eastAsia="仿宋_GB2312" w:cs="宋体"/>
                <w:sz w:val="28"/>
                <w:szCs w:val="28"/>
              </w:rPr>
            </w:pPr>
            <w:r>
              <w:rPr>
                <w:rFonts w:ascii="仿宋_GB2312" w:eastAsia="仿宋_GB2312" w:cs="宋体" w:hint="eastAsia"/>
                <w:sz w:val="28"/>
                <w:szCs w:val="28"/>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宋体" w:hint="eastAsia"/>
                <w:kern w:val="0"/>
                <w:sz w:val="28"/>
                <w:szCs w:val="28"/>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宋体" w:hint="eastAsia"/>
                <w:kern w:val="0"/>
                <w:sz w:val="28"/>
                <w:szCs w:val="28"/>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宋体" w:hint="eastAsia"/>
                <w:kern w:val="0"/>
                <w:sz w:val="28"/>
                <w:szCs w:val="28"/>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宋体" w:hint="eastAsia"/>
                <w:kern w:val="0"/>
                <w:sz w:val="28"/>
                <w:szCs w:val="28"/>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宋体" w:hint="eastAsia"/>
                <w:kern w:val="0"/>
                <w:sz w:val="28"/>
                <w:szCs w:val="28"/>
              </w:rPr>
              <w:t>实际完成指标值(包含数字及文字描述)</w:t>
            </w:r>
          </w:p>
        </w:tc>
      </w:tr>
      <w:tr>
        <w:trPr>
          <w:trHeight w:val="953"/>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ind w:firstLineChars="0" w:firstLine="0"/>
              <w:jc w:val="center"/>
              <w:textAlignment w:val="center"/>
              <w:rPr>
                <w:rFonts w:ascii="仿宋_GB2312" w:eastAsia="仿宋_GB2312" w:cs="宋体"/>
                <w:sz w:val="28"/>
                <w:szCs w:val="28"/>
              </w:rPr>
            </w:pPr>
            <w:r>
              <w:rPr>
                <w:rFonts w:ascii="仿宋_GB2312" w:eastAsia="仿宋_GB2312" w:cs="宋体" w:hint="eastAsia"/>
                <w:kern w:val="0"/>
                <w:sz w:val="28"/>
                <w:szCs w:val="28"/>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ind w:firstLineChars="0" w:firstLine="0"/>
              <w:jc w:val="center"/>
              <w:textAlignment w:val="center"/>
              <w:rPr>
                <w:rFonts w:ascii="仿宋_GB2312" w:eastAsia="仿宋_GB2312" w:cs="宋体"/>
                <w:sz w:val="28"/>
                <w:szCs w:val="28"/>
              </w:rPr>
            </w:pPr>
            <w:r>
              <w:rPr>
                <w:rFonts w:ascii="仿宋_GB2312" w:eastAsia="仿宋_GB2312" w:cs="仿宋_GB2312" w:hint="eastAsia"/>
                <w:sz w:val="28"/>
                <w:szCs w:val="28"/>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ind w:firstLineChars="0" w:firstLine="0"/>
              <w:jc w:val="center"/>
              <w:textAlignment w:val="center"/>
              <w:rPr>
                <w:rFonts w:ascii="仿宋_GB2312" w:eastAsia="仿宋_GB2312" w:cs="宋体"/>
                <w:sz w:val="28"/>
                <w:szCs w:val="28"/>
              </w:rPr>
            </w:pPr>
            <w:r>
              <w:rPr>
                <w:rFonts w:ascii="仿宋_GB2312" w:eastAsia="仿宋_GB2312" w:cs="仿宋_GB2312" w:hint="eastAsia"/>
                <w:sz w:val="28"/>
                <w:szCs w:val="28"/>
              </w:rPr>
              <w:t>建设质量</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ind w:firstLineChars="0" w:firstLine="0"/>
              <w:jc w:val="center"/>
              <w:textAlignment w:val="center"/>
              <w:rPr>
                <w:rFonts w:ascii="仿宋_GB2312" w:eastAsia="仿宋_GB2312" w:cs="宋体"/>
                <w:sz w:val="28"/>
                <w:szCs w:val="28"/>
              </w:rPr>
            </w:pPr>
            <w:r>
              <w:rPr>
                <w:rFonts w:ascii="仿宋_GB2312" w:eastAsia="仿宋_GB2312" w:cs="仿宋_GB2312" w:hint="eastAsia"/>
                <w:sz w:val="28"/>
                <w:szCs w:val="28"/>
              </w:rPr>
              <w:t>质量合格</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ind w:firstLineChars="0" w:firstLine="0"/>
              <w:jc w:val="center"/>
              <w:textAlignment w:val="center"/>
              <w:rPr>
                <w:rFonts w:ascii="仿宋_GB2312" w:eastAsia="仿宋_GB2312" w:cs="宋体"/>
                <w:sz w:val="28"/>
                <w:szCs w:val="28"/>
              </w:rPr>
            </w:pPr>
            <w:r>
              <w:rPr>
                <w:rFonts w:ascii="仿宋_GB2312" w:eastAsia="仿宋_GB2312" w:cs="仿宋_GB2312" w:hint="eastAsia"/>
                <w:sz w:val="28"/>
                <w:szCs w:val="28"/>
              </w:rPr>
              <w:t>验收合格</w:t>
            </w:r>
          </w:p>
        </w:tc>
      </w:tr>
      <w:tr>
        <w:trPr>
          <w:trHeight w:val="1297"/>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ind w:firstLineChars="0" w:firstLine="0"/>
              <w:jc w:val="center"/>
              <w:textAlignment w:val="center"/>
              <w:rPr>
                <w:rFonts w:ascii="仿宋_GB2312" w:eastAsia="仿宋_GB2312" w:cs="宋体"/>
                <w:sz w:val="28"/>
                <w:szCs w:val="28"/>
              </w:rPr>
            </w:pPr>
            <w:r>
              <w:rPr>
                <w:rFonts w:ascii="仿宋_GB2312" w:eastAsia="仿宋_GB2312" w:cs="宋体" w:hint="eastAsia"/>
                <w:kern w:val="0"/>
                <w:sz w:val="28"/>
                <w:szCs w:val="28"/>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ind w:firstLineChars="0" w:firstLine="0"/>
              <w:jc w:val="center"/>
              <w:textAlignment w:val="center"/>
              <w:rPr>
                <w:rFonts w:ascii="仿宋_GB2312" w:eastAsia="仿宋_GB2312" w:cs="宋体"/>
                <w:sz w:val="28"/>
                <w:szCs w:val="28"/>
              </w:rPr>
            </w:pPr>
            <w:r>
              <w:rPr>
                <w:rFonts w:ascii="仿宋_GB2312" w:eastAsia="仿宋_GB2312" w:cs="仿宋_GB2312" w:hint="eastAsia"/>
                <w:sz w:val="28"/>
                <w:szCs w:val="28"/>
              </w:rPr>
              <w:t>成本指标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ind w:firstLineChars="0" w:firstLine="0"/>
              <w:jc w:val="center"/>
              <w:textAlignment w:val="center"/>
              <w:rPr>
                <w:rFonts w:ascii="仿宋_GB2312" w:eastAsia="仿宋_GB2312" w:cs="宋体"/>
                <w:sz w:val="28"/>
                <w:szCs w:val="28"/>
              </w:rPr>
            </w:pPr>
            <w:r>
              <w:rPr>
                <w:rFonts w:ascii="仿宋_GB2312" w:eastAsia="仿宋_GB2312" w:cs="仿宋_GB2312" w:hint="eastAsia"/>
                <w:sz w:val="28"/>
                <w:szCs w:val="28"/>
              </w:rPr>
              <w:t>资金需求</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仿宋_GB2312" w:hint="eastAsia"/>
                <w:sz w:val="28"/>
                <w:szCs w:val="28"/>
              </w:rPr>
              <w:t>302.34万元</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ind w:firstLineChars="0" w:firstLine="0"/>
              <w:jc w:val="center"/>
              <w:textAlignment w:val="center"/>
              <w:rPr>
                <w:rFonts w:ascii="仿宋_GB2312" w:eastAsia="仿宋_GB2312" w:cs="宋体"/>
                <w:sz w:val="28"/>
                <w:szCs w:val="28"/>
              </w:rPr>
            </w:pPr>
            <w:r>
              <w:rPr>
                <w:rFonts w:ascii="仿宋_GB2312" w:eastAsia="仿宋_GB2312" w:cs="仿宋_GB2312" w:hint="eastAsia"/>
                <w:sz w:val="28"/>
                <w:szCs w:val="28"/>
              </w:rPr>
              <w:t>剩余资金退回财政</w:t>
            </w:r>
          </w:p>
        </w:tc>
      </w:tr>
      <w:tr>
        <w:trPr>
          <w:trHeight w:val="1042"/>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宋体" w:hint="eastAsia"/>
                <w:kern w:val="0"/>
                <w:sz w:val="28"/>
                <w:szCs w:val="28"/>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仿宋_GB2312" w:hint="eastAsia"/>
                <w:sz w:val="28"/>
                <w:szCs w:val="28"/>
              </w:rPr>
              <w:t>社会效益</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仿宋_GB2312" w:hint="eastAsia"/>
                <w:sz w:val="28"/>
                <w:szCs w:val="28"/>
              </w:rPr>
              <w:t>项目成效</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仿宋_GB2312" w:hint="eastAsia"/>
                <w:sz w:val="28"/>
                <w:szCs w:val="28"/>
              </w:rPr>
              <w:t>改善群众生产生活条件</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仿宋_GB2312" w:hint="eastAsia"/>
                <w:sz w:val="28"/>
                <w:szCs w:val="28"/>
              </w:rPr>
              <w:t>改善提升了群众生产生活条件</w:t>
            </w:r>
          </w:p>
        </w:tc>
      </w:tr>
      <w:tr>
        <w:trPr>
          <w:trHeight w:val="1050"/>
        </w:trPr>
        <w:tc>
          <w:tcPr>
            <w:tcW w:w="390" w:type="dxa"/>
            <w:vMerge/>
            <w:tcBorders>
              <w:left w:val="single" w:sz="4" w:space="0" w:color="000000"/>
              <w:bottom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宋体" w:hint="eastAsia"/>
                <w:kern w:val="0"/>
                <w:sz w:val="28"/>
                <w:szCs w:val="28"/>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ind w:firstLineChars="0" w:firstLine="0"/>
              <w:textAlignment w:val="center"/>
              <w:rPr>
                <w:rFonts w:ascii="仿宋_GB2312" w:eastAsia="仿宋_GB2312" w:cs="宋体"/>
                <w:sz w:val="28"/>
                <w:szCs w:val="28"/>
              </w:rPr>
            </w:pPr>
            <w:r>
              <w:rPr>
                <w:rFonts w:ascii="仿宋_GB2312" w:eastAsia="仿宋_GB2312" w:cs="仿宋_GB2312" w:hint="eastAsia"/>
                <w:sz w:val="28"/>
                <w:szCs w:val="28"/>
              </w:rPr>
              <w:t>满意度指标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仿宋_GB2312" w:hint="eastAsia"/>
                <w:sz w:val="28"/>
                <w:szCs w:val="28"/>
              </w:rPr>
              <w:t>群众满意度</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仿宋_GB2312" w:hint="eastAsia"/>
                <w:sz w:val="28"/>
                <w:szCs w:val="28"/>
              </w:rPr>
              <w:t>大于90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仿宋_GB2312" w:hint="eastAsia"/>
                <w:sz w:val="28"/>
                <w:szCs w:val="28"/>
              </w:rPr>
              <w:t>使用单位满意度达到98%</w:t>
            </w:r>
          </w:p>
        </w:tc>
      </w:tr>
    </w:tbl>
    <w:p>
      <w:pPr>
        <w:rPr>
          <w:rFonts w:ascii="仿宋_GB2312" w:eastAsia="仿宋_GB2312"/>
        </w:rPr>
      </w:pP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94"/>
        <w:gridCol w:w="2392"/>
      </w:tblGrid>
      <w:tr>
        <w:trPr>
          <w:trHeight w:val="1034"/>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cs="宋体" w:hAnsi="宋体"/>
                <w:sz w:val="36"/>
                <w:szCs w:val="36"/>
              </w:rPr>
            </w:pPr>
            <w:r>
              <w:rPr>
                <w:rFonts w:ascii="宋体" w:cs="宋体" w:hAnsi="宋体" w:hint="eastAsia"/>
                <w:b/>
                <w:bCs/>
                <w:kern w:val="0"/>
                <w:sz w:val="36"/>
                <w:szCs w:val="36"/>
              </w:rPr>
              <w:t>项目绩效目标完成情况表</w:t>
              <w:br/>
            </w:r>
            <w:r>
              <w:rPr>
                <w:rFonts w:ascii="宋体" w:cs="宋体" w:hAnsi="宋体" w:hint="eastAsia"/>
                <w:kern w:val="0"/>
                <w:sz w:val="36"/>
                <w:szCs w:val="36"/>
              </w:rPr>
              <w:t>(2019年度)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宋体" w:hint="eastAsia"/>
                <w:kern w:val="0"/>
                <w:sz w:val="28"/>
                <w:szCs w:val="28"/>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仿宋_GB2312" w:hint="eastAsia"/>
              </w:rPr>
              <w:t>农田水利维修养护资金项目</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宋体" w:hint="eastAsia"/>
                <w:kern w:val="0"/>
                <w:sz w:val="28"/>
                <w:szCs w:val="28"/>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宋体" w:hint="eastAsia"/>
                <w:sz w:val="28"/>
                <w:szCs w:val="28"/>
              </w:rPr>
              <w:t>茂县水务局</w:t>
            </w:r>
          </w:p>
        </w:tc>
      </w:tr>
      <w:tr>
        <w:trPr>
          <w:trHeight w:val="1110"/>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ind w:firstLineChars="0" w:firstLine="0"/>
              <w:textAlignment w:val="center"/>
              <w:rPr>
                <w:rFonts w:ascii="仿宋_GB2312" w:eastAsia="仿宋_GB2312" w:cs="宋体"/>
                <w:sz w:val="28"/>
                <w:szCs w:val="28"/>
              </w:rPr>
            </w:pPr>
            <w:r>
              <w:rPr>
                <w:rFonts w:ascii="仿宋_GB2312" w:eastAsia="仿宋_GB2312" w:cs="宋体" w:hint="eastAsia"/>
                <w:kern w:val="0"/>
                <w:sz w:val="28"/>
                <w:szCs w:val="28"/>
              </w:rPr>
              <w:t>算执行情况</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宋体" w:hint="eastAsia"/>
                <w:kern w:val="0"/>
                <w:sz w:val="28"/>
                <w:szCs w:val="28"/>
              </w:rPr>
              <w:t>预算数: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宋体" w:hint="eastAsia"/>
                <w:sz w:val="28"/>
                <w:szCs w:val="28"/>
              </w:rPr>
              <w:t>301万元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宋体" w:hint="eastAsia"/>
                <w:kern w:val="0"/>
                <w:sz w:val="28"/>
                <w:szCs w:val="28"/>
              </w:rPr>
              <w:t>执行数: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仿宋_GB2312" w:hint="eastAsia"/>
                <w:sz w:val="28"/>
                <w:szCs w:val="28"/>
              </w:rPr>
              <w:t>200.64万元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宋体" w:hint="eastAsia"/>
                <w:kern w:val="0"/>
                <w:sz w:val="28"/>
                <w:szCs w:val="28"/>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宋体" w:hint="eastAsia"/>
                <w:sz w:val="28"/>
                <w:szCs w:val="28"/>
              </w:rPr>
              <w:t>301万元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宋体" w:hint="eastAsia"/>
                <w:kern w:val="0"/>
                <w:sz w:val="28"/>
                <w:szCs w:val="28"/>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仿宋_GB2312" w:hint="eastAsia"/>
                <w:sz w:val="28"/>
                <w:szCs w:val="28"/>
              </w:rPr>
              <w:t>200.64万元</w:t>
            </w:r>
          </w:p>
        </w:tc>
      </w:tr>
      <w:tr>
        <w:trPr>
          <w:trHeight w:val="1205"/>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宋体" w:hint="eastAsia"/>
                <w:kern w:val="0"/>
                <w:sz w:val="28"/>
                <w:szCs w:val="28"/>
                <w:lang w:eastAsia="zh-CN"/>
              </w:rPr>
              <w:t>其他</w:t>
            </w:r>
            <w:r>
              <w:rPr>
                <w:rFonts w:ascii="仿宋_GB2312" w:eastAsia="仿宋_GB2312" w:cs="宋体" w:hint="eastAsia"/>
                <w:kern w:val="0"/>
                <w:sz w:val="28"/>
                <w:szCs w:val="28"/>
              </w:rPr>
              <w:t>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宋体" w:hint="eastAsia"/>
                <w:sz w:val="28"/>
                <w:szCs w:val="28"/>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宋体" w:hint="eastAsia"/>
                <w:kern w:val="0"/>
                <w:sz w:val="28"/>
                <w:szCs w:val="28"/>
                <w:lang w:eastAsia="zh-CN"/>
              </w:rPr>
              <w:t>其他</w:t>
            </w:r>
            <w:r>
              <w:rPr>
                <w:rFonts w:ascii="仿宋_GB2312" w:eastAsia="仿宋_GB2312" w:cs="宋体" w:hint="eastAsia"/>
                <w:kern w:val="0"/>
                <w:sz w:val="28"/>
                <w:szCs w:val="28"/>
              </w:rPr>
              <w:t>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rPr>
                <w:rFonts w:ascii="仿宋_GB2312" w:eastAsia="仿宋_GB2312" w:cs="宋体"/>
                <w:sz w:val="28"/>
                <w:szCs w:val="28"/>
              </w:rPr>
            </w:pPr>
            <w:r>
              <w:rPr>
                <w:rFonts w:ascii="仿宋_GB2312" w:eastAsia="仿宋_GB2312" w:cs="宋体" w:hint="eastAsia"/>
                <w:sz w:val="28"/>
                <w:szCs w:val="28"/>
              </w:rPr>
              <w:t>0</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宋体" w:hint="eastAsia"/>
                <w:kern w:val="0"/>
                <w:sz w:val="28"/>
                <w:szCs w:val="28"/>
              </w:rPr>
              <w:t>年目标完成情况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宋体" w:hint="eastAsia"/>
                <w:kern w:val="0"/>
                <w:sz w:val="28"/>
                <w:szCs w:val="28"/>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宋体" w:hint="eastAsia"/>
                <w:kern w:val="0"/>
                <w:sz w:val="28"/>
                <w:szCs w:val="28"/>
              </w:rPr>
              <w:t>实际完成目标</w:t>
            </w:r>
          </w:p>
        </w:tc>
      </w:tr>
      <w:tr>
        <w:trPr>
          <w:trHeight w:val="2536"/>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ind w:firstLineChars="0" w:firstLine="0"/>
              <w:textAlignment w:val="center"/>
              <w:rPr>
                <w:rFonts w:ascii="仿宋_GB2312" w:eastAsia="仿宋_GB2312" w:cs="宋体"/>
                <w:sz w:val="28"/>
                <w:szCs w:val="28"/>
              </w:rPr>
            </w:pPr>
            <w:r>
              <w:rPr>
                <w:rFonts w:ascii="仿宋_GB2312" w:eastAsia="仿宋_GB2312" w:cs="仿宋_GB2312"/>
              </w:rPr>
              <w:t>维修养护堤防80m，维修泵站3座、取水池3座，养护渠道0.4Km,维修养护输水管道42.1Km</w:t>
            </w:r>
            <w:r>
              <w:rPr>
                <w:rFonts w:ascii="仿宋_GB2312" w:eastAsia="仿宋_GB2312" w:cs="仿宋_GB2312" w:hint="eastAsia"/>
              </w:rPr>
              <w:t>。</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ind w:firstLineChars="0" w:firstLine="0"/>
              <w:textAlignment w:val="center"/>
              <w:rPr>
                <w:rFonts w:ascii="仿宋_GB2312" w:eastAsia="仿宋_GB2312" w:cs="宋体"/>
                <w:sz w:val="28"/>
                <w:szCs w:val="28"/>
              </w:rPr>
            </w:pPr>
            <w:r>
              <w:rPr>
                <w:rFonts w:ascii="仿宋_GB2312" w:eastAsia="仿宋_GB2312" w:cs="仿宋_GB2312"/>
              </w:rPr>
              <w:t>维修养护堤防80m，维修泵站3座、取水池3座，养护渠道0.4Km,维修养护输水管道42.1Km</w:t>
            </w:r>
            <w:r>
              <w:rPr>
                <w:rFonts w:ascii="仿宋_GB2312" w:eastAsia="仿宋_GB2312" w:cs="仿宋_GB2312" w:hint="eastAsia"/>
              </w:rPr>
              <w:t>。</w:t>
            </w:r>
          </w:p>
        </w:tc>
      </w:tr>
      <w:tr>
        <w:trPr>
          <w:trHeight w:val="1042"/>
        </w:trPr>
        <w:tc>
          <w:tcPr>
            <w:tcW w:w="390"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pPr>
              <w:widowControl/>
              <w:ind w:firstLineChars="0" w:firstLine="0"/>
              <w:textAlignment w:val="center"/>
              <w:rPr>
                <w:rFonts w:ascii="仿宋_GB2312" w:eastAsia="仿宋_GB2312" w:cs="宋体"/>
                <w:sz w:val="28"/>
                <w:szCs w:val="28"/>
              </w:rPr>
            </w:pPr>
            <w:r>
              <w:rPr>
                <w:rFonts w:ascii="仿宋_GB2312" w:eastAsia="仿宋_GB2312" w:cs="宋体" w:hint="eastAsia"/>
                <w:sz w:val="28"/>
                <w:szCs w:val="28"/>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宋体" w:hint="eastAsia"/>
                <w:kern w:val="0"/>
                <w:sz w:val="28"/>
                <w:szCs w:val="28"/>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宋体" w:hint="eastAsia"/>
                <w:kern w:val="0"/>
                <w:sz w:val="28"/>
                <w:szCs w:val="28"/>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宋体" w:hint="eastAsia"/>
                <w:kern w:val="0"/>
                <w:sz w:val="28"/>
                <w:szCs w:val="28"/>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宋体" w:hint="eastAsia"/>
                <w:kern w:val="0"/>
                <w:sz w:val="28"/>
                <w:szCs w:val="28"/>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宋体" w:hint="eastAsia"/>
                <w:kern w:val="0"/>
                <w:sz w:val="28"/>
                <w:szCs w:val="28"/>
              </w:rPr>
              <w:t>实际完成指标值(包含数字及文字描述)</w:t>
            </w:r>
          </w:p>
        </w:tc>
      </w:tr>
      <w:tr>
        <w:trPr>
          <w:trHeight w:val="953"/>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ind w:firstLineChars="0" w:firstLine="0"/>
              <w:jc w:val="center"/>
              <w:textAlignment w:val="center"/>
              <w:rPr>
                <w:rFonts w:ascii="仿宋_GB2312" w:eastAsia="仿宋_GB2312" w:cs="宋体"/>
                <w:sz w:val="28"/>
                <w:szCs w:val="28"/>
              </w:rPr>
            </w:pPr>
            <w:r>
              <w:rPr>
                <w:rFonts w:ascii="仿宋_GB2312" w:eastAsia="仿宋_GB2312" w:cs="宋体" w:hint="eastAsia"/>
                <w:kern w:val="0"/>
                <w:sz w:val="28"/>
                <w:szCs w:val="28"/>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ind w:firstLineChars="0" w:firstLine="0"/>
              <w:jc w:val="center"/>
              <w:textAlignment w:val="center"/>
              <w:rPr>
                <w:rFonts w:ascii="仿宋_GB2312" w:eastAsia="仿宋_GB2312" w:cs="宋体"/>
                <w:sz w:val="28"/>
                <w:szCs w:val="28"/>
              </w:rPr>
            </w:pPr>
            <w:r>
              <w:rPr>
                <w:rFonts w:ascii="仿宋_GB2312" w:eastAsia="仿宋_GB2312" w:cs="仿宋_GB2312" w:hint="eastAsia"/>
                <w:sz w:val="28"/>
                <w:szCs w:val="28"/>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ind w:firstLineChars="0" w:firstLine="0"/>
              <w:jc w:val="center"/>
              <w:textAlignment w:val="center"/>
              <w:rPr>
                <w:rFonts w:ascii="仿宋_GB2312" w:eastAsia="仿宋_GB2312" w:cs="宋体"/>
                <w:sz w:val="28"/>
                <w:szCs w:val="28"/>
              </w:rPr>
            </w:pPr>
            <w:r>
              <w:rPr>
                <w:rFonts w:ascii="仿宋_GB2312" w:eastAsia="仿宋_GB2312" w:cs="仿宋_GB2312" w:hint="eastAsia"/>
                <w:sz w:val="28"/>
                <w:szCs w:val="28"/>
              </w:rPr>
              <w:t>建设质量</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ind w:firstLineChars="0" w:firstLine="0"/>
              <w:jc w:val="center"/>
              <w:textAlignment w:val="center"/>
              <w:rPr>
                <w:rFonts w:ascii="仿宋_GB2312" w:eastAsia="仿宋_GB2312" w:cs="宋体"/>
                <w:sz w:val="28"/>
                <w:szCs w:val="28"/>
              </w:rPr>
            </w:pPr>
            <w:r>
              <w:rPr>
                <w:rFonts w:ascii="仿宋_GB2312" w:eastAsia="仿宋_GB2312" w:cs="仿宋_GB2312" w:hint="eastAsia"/>
                <w:sz w:val="28"/>
                <w:szCs w:val="28"/>
              </w:rPr>
              <w:t>质量合格</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ind w:firstLineChars="0" w:firstLine="0"/>
              <w:jc w:val="center"/>
              <w:textAlignment w:val="center"/>
              <w:rPr>
                <w:rFonts w:ascii="仿宋_GB2312" w:eastAsia="仿宋_GB2312" w:cs="宋体"/>
                <w:sz w:val="28"/>
                <w:szCs w:val="28"/>
              </w:rPr>
            </w:pPr>
            <w:r>
              <w:rPr>
                <w:rFonts w:ascii="仿宋_GB2312" w:eastAsia="仿宋_GB2312" w:cs="仿宋_GB2312" w:hint="eastAsia"/>
                <w:sz w:val="28"/>
                <w:szCs w:val="28"/>
              </w:rPr>
              <w:t>验收合格</w:t>
            </w:r>
          </w:p>
        </w:tc>
      </w:tr>
      <w:tr>
        <w:trPr>
          <w:trHeight w:val="1297"/>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ind w:firstLineChars="0" w:firstLine="0"/>
              <w:jc w:val="center"/>
              <w:textAlignment w:val="center"/>
              <w:rPr>
                <w:rFonts w:ascii="仿宋_GB2312" w:eastAsia="仿宋_GB2312" w:cs="宋体"/>
                <w:sz w:val="28"/>
                <w:szCs w:val="28"/>
              </w:rPr>
            </w:pPr>
            <w:r>
              <w:rPr>
                <w:rFonts w:ascii="仿宋_GB2312" w:eastAsia="仿宋_GB2312" w:cs="宋体" w:hint="eastAsia"/>
                <w:kern w:val="0"/>
                <w:sz w:val="28"/>
                <w:szCs w:val="28"/>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ind w:firstLineChars="0" w:firstLine="0"/>
              <w:jc w:val="center"/>
              <w:textAlignment w:val="center"/>
              <w:rPr>
                <w:rFonts w:ascii="仿宋_GB2312" w:eastAsia="仿宋_GB2312" w:cs="宋体"/>
                <w:sz w:val="28"/>
                <w:szCs w:val="28"/>
              </w:rPr>
            </w:pPr>
            <w:r>
              <w:rPr>
                <w:rFonts w:ascii="仿宋_GB2312" w:eastAsia="仿宋_GB2312" w:cs="仿宋_GB2312" w:hint="eastAsia"/>
                <w:sz w:val="28"/>
                <w:szCs w:val="28"/>
              </w:rPr>
              <w:t>成本指标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ind w:firstLineChars="0" w:firstLine="0"/>
              <w:jc w:val="center"/>
              <w:textAlignment w:val="center"/>
              <w:rPr>
                <w:rFonts w:ascii="仿宋_GB2312" w:eastAsia="仿宋_GB2312" w:cs="宋体"/>
                <w:sz w:val="28"/>
                <w:szCs w:val="28"/>
              </w:rPr>
            </w:pPr>
            <w:r>
              <w:rPr>
                <w:rFonts w:ascii="仿宋_GB2312" w:eastAsia="仿宋_GB2312" w:cs="仿宋_GB2312" w:hint="eastAsia"/>
                <w:sz w:val="28"/>
                <w:szCs w:val="28"/>
              </w:rPr>
              <w:t>资金需求</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仿宋_GB2312" w:hint="eastAsia"/>
                <w:sz w:val="28"/>
                <w:szCs w:val="28"/>
              </w:rPr>
              <w:t>200.64万元</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ind w:firstLineChars="0" w:firstLine="0"/>
              <w:jc w:val="center"/>
              <w:textAlignment w:val="center"/>
              <w:rPr>
                <w:rFonts w:ascii="仿宋_GB2312" w:eastAsia="仿宋_GB2312" w:cs="宋体"/>
                <w:sz w:val="28"/>
                <w:szCs w:val="28"/>
              </w:rPr>
            </w:pPr>
            <w:r>
              <w:rPr>
                <w:rFonts w:ascii="仿宋_GB2312" w:eastAsia="仿宋_GB2312" w:cs="仿宋_GB2312" w:hint="eastAsia"/>
                <w:sz w:val="28"/>
                <w:szCs w:val="28"/>
              </w:rPr>
              <w:t>剩余资金退回财政</w:t>
            </w:r>
          </w:p>
        </w:tc>
      </w:tr>
      <w:tr>
        <w:trPr>
          <w:trHeight w:val="1042"/>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宋体" w:hint="eastAsia"/>
                <w:kern w:val="0"/>
                <w:sz w:val="28"/>
                <w:szCs w:val="28"/>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仿宋_GB2312" w:hint="eastAsia"/>
                <w:sz w:val="28"/>
                <w:szCs w:val="28"/>
              </w:rPr>
              <w:t>社会效益</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仿宋_GB2312" w:hint="eastAsia"/>
                <w:sz w:val="28"/>
                <w:szCs w:val="28"/>
              </w:rPr>
              <w:t>项目成效</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仿宋_GB2312" w:hint="eastAsia"/>
                <w:sz w:val="28"/>
                <w:szCs w:val="28"/>
              </w:rPr>
              <w:t>改善群众生产生活条件</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仿宋_GB2312" w:hint="eastAsia"/>
                <w:sz w:val="28"/>
                <w:szCs w:val="28"/>
              </w:rPr>
              <w:t>改善提升了群众生产生活条件</w:t>
            </w:r>
          </w:p>
        </w:tc>
      </w:tr>
      <w:tr>
        <w:trPr>
          <w:trHeight w:val="1050"/>
        </w:trPr>
        <w:tc>
          <w:tcPr>
            <w:tcW w:w="390" w:type="dxa"/>
            <w:vMerge/>
            <w:tcBorders>
              <w:left w:val="single" w:sz="4" w:space="0" w:color="000000"/>
              <w:bottom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宋体" w:hint="eastAsia"/>
                <w:kern w:val="0"/>
                <w:sz w:val="28"/>
                <w:szCs w:val="28"/>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ind w:firstLineChars="0" w:firstLine="0"/>
              <w:textAlignment w:val="center"/>
              <w:rPr>
                <w:rFonts w:ascii="仿宋_GB2312" w:eastAsia="仿宋_GB2312" w:cs="宋体"/>
                <w:sz w:val="28"/>
                <w:szCs w:val="28"/>
              </w:rPr>
            </w:pPr>
            <w:r>
              <w:rPr>
                <w:rFonts w:ascii="仿宋_GB2312" w:eastAsia="仿宋_GB2312" w:cs="仿宋_GB2312" w:hint="eastAsia"/>
                <w:sz w:val="28"/>
                <w:szCs w:val="28"/>
              </w:rPr>
              <w:t>满意度指标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仿宋_GB2312" w:hint="eastAsia"/>
                <w:sz w:val="28"/>
                <w:szCs w:val="28"/>
              </w:rPr>
              <w:t>群众满意度</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仿宋_GB2312" w:hint="eastAsia"/>
                <w:sz w:val="28"/>
                <w:szCs w:val="28"/>
              </w:rPr>
              <w:t>大于90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仿宋_GB2312" w:hint="eastAsia"/>
                <w:sz w:val="28"/>
                <w:szCs w:val="28"/>
              </w:rPr>
              <w:t>使用单位满意度达到98%</w:t>
            </w:r>
          </w:p>
        </w:tc>
      </w:tr>
    </w:tbl>
    <w:p>
      <w:pPr>
        <w:rPr>
          <w:rFonts w:ascii="仿宋_GB2312" w:eastAsia="仿宋_GB2312"/>
        </w:rPr>
      </w:pP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94"/>
        <w:gridCol w:w="2392"/>
      </w:tblGrid>
      <w:tr>
        <w:trPr>
          <w:trHeight w:val="1034"/>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cs="宋体" w:hAnsi="宋体"/>
                <w:sz w:val="36"/>
                <w:szCs w:val="36"/>
              </w:rPr>
            </w:pPr>
            <w:r>
              <w:rPr>
                <w:rFonts w:ascii="宋体" w:cs="宋体" w:hAnsi="宋体" w:hint="eastAsia"/>
                <w:b/>
                <w:bCs/>
                <w:kern w:val="0"/>
                <w:sz w:val="36"/>
                <w:szCs w:val="36"/>
              </w:rPr>
              <w:t>项目绩效目标完成情况表</w:t>
              <w:br/>
            </w:r>
            <w:r>
              <w:rPr>
                <w:rFonts w:ascii="宋体" w:cs="宋体" w:hAnsi="宋体" w:hint="eastAsia"/>
                <w:kern w:val="0"/>
                <w:sz w:val="36"/>
                <w:szCs w:val="36"/>
              </w:rPr>
              <w:t>(2019年度)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宋体" w:hint="eastAsia"/>
                <w:kern w:val="0"/>
                <w:sz w:val="28"/>
                <w:szCs w:val="28"/>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仿宋_GB2312"/>
              </w:rPr>
              <w:t>大河坝一甘青沿线生态堤防工程</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宋体" w:hint="eastAsia"/>
                <w:kern w:val="0"/>
                <w:sz w:val="28"/>
                <w:szCs w:val="28"/>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宋体" w:hint="eastAsia"/>
                <w:sz w:val="28"/>
                <w:szCs w:val="28"/>
              </w:rPr>
              <w:t>茂县水务局</w:t>
            </w:r>
          </w:p>
        </w:tc>
      </w:tr>
      <w:tr>
        <w:trPr>
          <w:trHeight w:val="1110"/>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ind w:firstLineChars="0" w:firstLine="0"/>
              <w:textAlignment w:val="center"/>
              <w:rPr>
                <w:rFonts w:ascii="仿宋_GB2312" w:eastAsia="仿宋_GB2312" w:cs="宋体"/>
                <w:sz w:val="28"/>
                <w:szCs w:val="28"/>
              </w:rPr>
            </w:pPr>
            <w:r>
              <w:rPr>
                <w:rFonts w:ascii="仿宋_GB2312" w:eastAsia="仿宋_GB2312" w:cs="宋体" w:hint="eastAsia"/>
                <w:kern w:val="0"/>
                <w:sz w:val="28"/>
                <w:szCs w:val="28"/>
              </w:rPr>
              <w:t>预算执行情况</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宋体" w:hint="eastAsia"/>
                <w:kern w:val="0"/>
                <w:sz w:val="28"/>
                <w:szCs w:val="28"/>
              </w:rPr>
              <w:t>预算数: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宋体" w:hint="eastAsia"/>
                <w:sz w:val="28"/>
                <w:szCs w:val="28"/>
              </w:rPr>
              <w:t>1733万元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宋体" w:hint="eastAsia"/>
                <w:kern w:val="0"/>
                <w:sz w:val="28"/>
                <w:szCs w:val="28"/>
              </w:rPr>
              <w:t>执行数: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仿宋_GB2312" w:hint="eastAsia"/>
                <w:sz w:val="28"/>
                <w:szCs w:val="28"/>
              </w:rPr>
              <w:t>1476.41万元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宋体" w:hint="eastAsia"/>
                <w:kern w:val="0"/>
                <w:sz w:val="28"/>
                <w:szCs w:val="28"/>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宋体" w:hint="eastAsia"/>
                <w:sz w:val="28"/>
                <w:szCs w:val="28"/>
              </w:rPr>
              <w:t>1733万元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宋体" w:hint="eastAsia"/>
                <w:kern w:val="0"/>
                <w:sz w:val="28"/>
                <w:szCs w:val="28"/>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仿宋_GB2312" w:hint="eastAsia"/>
                <w:sz w:val="28"/>
                <w:szCs w:val="28"/>
              </w:rPr>
              <w:t>1476.41万元</w:t>
            </w:r>
          </w:p>
        </w:tc>
      </w:tr>
      <w:tr>
        <w:trPr>
          <w:trHeight w:val="1205"/>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宋体" w:hint="eastAsia"/>
                <w:kern w:val="0"/>
                <w:sz w:val="28"/>
                <w:szCs w:val="28"/>
                <w:lang w:eastAsia="zh-CN"/>
              </w:rPr>
              <w:t>其他</w:t>
            </w:r>
            <w:r>
              <w:rPr>
                <w:rFonts w:ascii="仿宋_GB2312" w:eastAsia="仿宋_GB2312" w:cs="宋体" w:hint="eastAsia"/>
                <w:kern w:val="0"/>
                <w:sz w:val="28"/>
                <w:szCs w:val="28"/>
              </w:rPr>
              <w:t>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宋体" w:hint="eastAsia"/>
                <w:sz w:val="28"/>
                <w:szCs w:val="28"/>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宋体" w:hint="eastAsia"/>
                <w:kern w:val="0"/>
                <w:sz w:val="28"/>
                <w:szCs w:val="28"/>
                <w:lang w:eastAsia="zh-CN"/>
              </w:rPr>
              <w:t>其他</w:t>
            </w:r>
            <w:r>
              <w:rPr>
                <w:rFonts w:ascii="仿宋_GB2312" w:eastAsia="仿宋_GB2312" w:cs="宋体" w:hint="eastAsia"/>
                <w:kern w:val="0"/>
                <w:sz w:val="28"/>
                <w:szCs w:val="28"/>
              </w:rPr>
              <w:t>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rPr>
                <w:rFonts w:ascii="仿宋_GB2312" w:eastAsia="仿宋_GB2312" w:cs="宋体"/>
                <w:sz w:val="28"/>
                <w:szCs w:val="28"/>
              </w:rPr>
            </w:pPr>
            <w:r>
              <w:rPr>
                <w:rFonts w:ascii="仿宋_GB2312" w:eastAsia="仿宋_GB2312" w:cs="宋体" w:hint="eastAsia"/>
                <w:sz w:val="28"/>
                <w:szCs w:val="28"/>
              </w:rPr>
              <w:t>0</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宋体" w:hint="eastAsia"/>
                <w:kern w:val="0"/>
                <w:sz w:val="28"/>
                <w:szCs w:val="28"/>
              </w:rPr>
              <w:t>年目标完成情况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宋体" w:hint="eastAsia"/>
                <w:kern w:val="0"/>
                <w:sz w:val="28"/>
                <w:szCs w:val="28"/>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宋体" w:hint="eastAsia"/>
                <w:kern w:val="0"/>
                <w:sz w:val="28"/>
                <w:szCs w:val="28"/>
              </w:rPr>
              <w:t>实际完成目标</w:t>
            </w:r>
          </w:p>
        </w:tc>
      </w:tr>
      <w:tr>
        <w:trPr>
          <w:trHeight w:val="2536"/>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ind w:firstLineChars="0" w:firstLine="0"/>
              <w:textAlignment w:val="center"/>
              <w:rPr>
                <w:rFonts w:ascii="仿宋_GB2312" w:eastAsia="仿宋_GB2312" w:cs="宋体"/>
                <w:sz w:val="28"/>
                <w:szCs w:val="28"/>
              </w:rPr>
            </w:pPr>
            <w:r>
              <w:rPr>
                <w:rFonts w:ascii="仿宋_GB2312" w:eastAsia="仿宋_GB2312" w:cs="仿宋_GB2312"/>
              </w:rPr>
              <w:t>新建堤防1178.34米，河道疏浚约1220米</w:t>
            </w:r>
            <w:r>
              <w:rPr>
                <w:rFonts w:ascii="仿宋_GB2312" w:eastAsia="仿宋_GB2312" w:cs="仿宋_GB2312" w:hint="eastAsia"/>
              </w:rPr>
              <w:t>，</w:t>
            </w:r>
            <w:r>
              <w:rPr>
                <w:rFonts w:ascii="仿宋_GB2312" w:eastAsia="仿宋_GB2312" w:cs="仿宋_GB2312"/>
              </w:rPr>
              <w:t>新建游步道1555平方米，修复栏杆50米，造坡土方714立方米，景观植物等相关配套设施建设。</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ind w:firstLineChars="0" w:firstLine="0"/>
              <w:textAlignment w:val="center"/>
              <w:rPr>
                <w:rFonts w:ascii="仿宋_GB2312" w:eastAsia="仿宋_GB2312" w:cs="宋体"/>
                <w:sz w:val="28"/>
                <w:szCs w:val="28"/>
              </w:rPr>
            </w:pPr>
            <w:r>
              <w:rPr>
                <w:rFonts w:ascii="仿宋_GB2312" w:eastAsia="仿宋_GB2312" w:cs="仿宋_GB2312"/>
              </w:rPr>
              <w:t>新建堤防1178.34米，河道疏浚约1220米</w:t>
            </w:r>
            <w:r>
              <w:rPr>
                <w:rFonts w:ascii="仿宋_GB2312" w:eastAsia="仿宋_GB2312" w:cs="仿宋_GB2312" w:hint="eastAsia"/>
              </w:rPr>
              <w:t>，</w:t>
            </w:r>
            <w:r>
              <w:rPr>
                <w:rFonts w:ascii="仿宋_GB2312" w:eastAsia="仿宋_GB2312" w:cs="仿宋_GB2312"/>
              </w:rPr>
              <w:t>新建游步道1555平方米，修复栏杆50米，造坡土方714立方米，景观植物等相关配套设施建设。</w:t>
            </w:r>
          </w:p>
        </w:tc>
      </w:tr>
      <w:tr>
        <w:trPr>
          <w:trHeight w:val="1042"/>
        </w:trPr>
        <w:tc>
          <w:tcPr>
            <w:tcW w:w="390"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pPr>
              <w:widowControl/>
              <w:ind w:firstLineChars="0" w:firstLine="0"/>
              <w:textAlignment w:val="center"/>
              <w:rPr>
                <w:rFonts w:ascii="仿宋_GB2312" w:eastAsia="仿宋_GB2312" w:cs="宋体"/>
                <w:sz w:val="28"/>
                <w:szCs w:val="28"/>
              </w:rPr>
            </w:pPr>
            <w:r>
              <w:rPr>
                <w:rFonts w:ascii="仿宋_GB2312" w:eastAsia="仿宋_GB2312" w:cs="宋体" w:hint="eastAsia"/>
                <w:sz w:val="28"/>
                <w:szCs w:val="28"/>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ind w:firstLineChars="0" w:firstLine="0"/>
              <w:textAlignment w:val="center"/>
              <w:rPr>
                <w:rFonts w:ascii="仿宋_GB2312" w:eastAsia="仿宋_GB2312" w:cs="宋体"/>
                <w:sz w:val="28"/>
                <w:szCs w:val="28"/>
              </w:rPr>
            </w:pPr>
            <w:r>
              <w:rPr>
                <w:rFonts w:ascii="仿宋_GB2312" w:eastAsia="仿宋_GB2312" w:cs="宋体" w:hint="eastAsia"/>
                <w:kern w:val="0"/>
                <w:sz w:val="28"/>
                <w:szCs w:val="28"/>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ind w:firstLineChars="0" w:firstLine="0"/>
              <w:textAlignment w:val="center"/>
              <w:rPr>
                <w:rFonts w:ascii="仿宋_GB2312" w:eastAsia="仿宋_GB2312" w:cs="宋体"/>
                <w:sz w:val="28"/>
                <w:szCs w:val="28"/>
              </w:rPr>
            </w:pPr>
            <w:r>
              <w:rPr>
                <w:rFonts w:ascii="仿宋_GB2312" w:eastAsia="仿宋_GB2312" w:cs="宋体" w:hint="eastAsia"/>
                <w:kern w:val="0"/>
                <w:sz w:val="28"/>
                <w:szCs w:val="28"/>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ind w:firstLineChars="0" w:firstLine="0"/>
              <w:textAlignment w:val="center"/>
              <w:rPr>
                <w:rFonts w:ascii="仿宋_GB2312" w:eastAsia="仿宋_GB2312" w:cs="宋体"/>
                <w:sz w:val="28"/>
                <w:szCs w:val="28"/>
              </w:rPr>
            </w:pPr>
            <w:r>
              <w:rPr>
                <w:rFonts w:ascii="仿宋_GB2312" w:eastAsia="仿宋_GB2312" w:cs="宋体" w:hint="eastAsia"/>
                <w:kern w:val="0"/>
                <w:sz w:val="28"/>
                <w:szCs w:val="28"/>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ind w:firstLineChars="0" w:firstLine="0"/>
              <w:textAlignment w:val="center"/>
              <w:rPr>
                <w:rFonts w:ascii="仿宋_GB2312" w:eastAsia="仿宋_GB2312" w:cs="宋体"/>
                <w:sz w:val="28"/>
                <w:szCs w:val="28"/>
              </w:rPr>
            </w:pPr>
            <w:r>
              <w:rPr>
                <w:rFonts w:ascii="仿宋_GB2312" w:eastAsia="仿宋_GB2312" w:cs="宋体" w:hint="eastAsia"/>
                <w:kern w:val="0"/>
                <w:sz w:val="28"/>
                <w:szCs w:val="28"/>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ind w:firstLineChars="0" w:firstLine="0"/>
              <w:textAlignment w:val="center"/>
              <w:rPr>
                <w:rFonts w:ascii="仿宋_GB2312" w:eastAsia="仿宋_GB2312" w:cs="宋体"/>
                <w:sz w:val="28"/>
                <w:szCs w:val="28"/>
              </w:rPr>
            </w:pPr>
            <w:r>
              <w:rPr>
                <w:rFonts w:ascii="仿宋_GB2312" w:eastAsia="仿宋_GB2312" w:cs="宋体" w:hint="eastAsia"/>
                <w:kern w:val="0"/>
                <w:sz w:val="28"/>
                <w:szCs w:val="28"/>
              </w:rPr>
              <w:t>实际完成指标值(包含数字及文字描述)</w:t>
            </w:r>
          </w:p>
        </w:tc>
      </w:tr>
      <w:tr>
        <w:trPr>
          <w:trHeight w:val="953"/>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ind w:firstLineChars="0" w:firstLine="0"/>
              <w:jc w:val="center"/>
              <w:textAlignment w:val="center"/>
              <w:rPr>
                <w:rFonts w:ascii="仿宋_GB2312" w:eastAsia="仿宋_GB2312" w:cs="宋体"/>
                <w:sz w:val="28"/>
                <w:szCs w:val="28"/>
              </w:rPr>
            </w:pPr>
            <w:r>
              <w:rPr>
                <w:rFonts w:ascii="仿宋_GB2312" w:eastAsia="仿宋_GB2312" w:cs="宋体" w:hint="eastAsia"/>
                <w:kern w:val="0"/>
                <w:sz w:val="28"/>
                <w:szCs w:val="28"/>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ind w:firstLineChars="0" w:firstLine="0"/>
              <w:jc w:val="center"/>
              <w:textAlignment w:val="center"/>
              <w:rPr>
                <w:rFonts w:ascii="仿宋_GB2312" w:eastAsia="仿宋_GB2312" w:cs="宋体"/>
                <w:sz w:val="28"/>
                <w:szCs w:val="28"/>
              </w:rPr>
            </w:pPr>
            <w:r>
              <w:rPr>
                <w:rFonts w:ascii="仿宋_GB2312" w:eastAsia="仿宋_GB2312" w:cs="仿宋_GB2312" w:hint="eastAsia"/>
                <w:sz w:val="28"/>
                <w:szCs w:val="28"/>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ind w:firstLineChars="0" w:firstLine="0"/>
              <w:jc w:val="center"/>
              <w:textAlignment w:val="center"/>
              <w:rPr>
                <w:rFonts w:ascii="仿宋_GB2312" w:eastAsia="仿宋_GB2312" w:cs="宋体"/>
                <w:sz w:val="28"/>
                <w:szCs w:val="28"/>
              </w:rPr>
            </w:pPr>
            <w:r>
              <w:rPr>
                <w:rFonts w:ascii="仿宋_GB2312" w:eastAsia="仿宋_GB2312" w:cs="仿宋_GB2312" w:hint="eastAsia"/>
                <w:sz w:val="28"/>
                <w:szCs w:val="28"/>
              </w:rPr>
              <w:t>建设质量</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ind w:firstLineChars="0" w:firstLine="0"/>
              <w:jc w:val="center"/>
              <w:textAlignment w:val="center"/>
              <w:rPr>
                <w:rFonts w:ascii="仿宋_GB2312" w:eastAsia="仿宋_GB2312" w:cs="宋体"/>
                <w:sz w:val="28"/>
                <w:szCs w:val="28"/>
              </w:rPr>
            </w:pPr>
            <w:r>
              <w:rPr>
                <w:rFonts w:ascii="仿宋_GB2312" w:eastAsia="仿宋_GB2312" w:cs="仿宋_GB2312" w:hint="eastAsia"/>
                <w:sz w:val="28"/>
                <w:szCs w:val="28"/>
              </w:rPr>
              <w:t>质量合格</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ind w:firstLineChars="0" w:firstLine="0"/>
              <w:jc w:val="center"/>
              <w:textAlignment w:val="center"/>
              <w:rPr>
                <w:rFonts w:ascii="仿宋_GB2312" w:eastAsia="仿宋_GB2312" w:cs="宋体"/>
                <w:sz w:val="28"/>
                <w:szCs w:val="28"/>
              </w:rPr>
            </w:pPr>
            <w:r>
              <w:rPr>
                <w:rFonts w:ascii="仿宋_GB2312" w:eastAsia="仿宋_GB2312" w:cs="仿宋_GB2312" w:hint="eastAsia"/>
                <w:sz w:val="28"/>
                <w:szCs w:val="28"/>
              </w:rPr>
              <w:t>验收合格</w:t>
            </w:r>
          </w:p>
        </w:tc>
      </w:tr>
      <w:tr>
        <w:trPr>
          <w:trHeight w:val="1297"/>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ind w:firstLineChars="0" w:firstLine="0"/>
              <w:jc w:val="center"/>
              <w:textAlignment w:val="center"/>
              <w:rPr>
                <w:rFonts w:ascii="仿宋_GB2312" w:eastAsia="仿宋_GB2312" w:cs="宋体"/>
                <w:sz w:val="28"/>
                <w:szCs w:val="28"/>
              </w:rPr>
            </w:pPr>
            <w:r>
              <w:rPr>
                <w:rFonts w:ascii="仿宋_GB2312" w:eastAsia="仿宋_GB2312" w:cs="宋体" w:hint="eastAsia"/>
                <w:kern w:val="0"/>
                <w:sz w:val="28"/>
                <w:szCs w:val="28"/>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ind w:firstLineChars="0" w:firstLine="0"/>
              <w:jc w:val="center"/>
              <w:textAlignment w:val="center"/>
              <w:rPr>
                <w:rFonts w:ascii="仿宋_GB2312" w:eastAsia="仿宋_GB2312" w:cs="宋体"/>
                <w:sz w:val="28"/>
                <w:szCs w:val="28"/>
              </w:rPr>
            </w:pPr>
            <w:r>
              <w:rPr>
                <w:rFonts w:ascii="仿宋_GB2312" w:eastAsia="仿宋_GB2312" w:cs="仿宋_GB2312" w:hint="eastAsia"/>
                <w:sz w:val="28"/>
                <w:szCs w:val="28"/>
              </w:rPr>
              <w:t>成本指标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ind w:firstLineChars="0" w:firstLine="0"/>
              <w:jc w:val="center"/>
              <w:textAlignment w:val="center"/>
              <w:rPr>
                <w:rFonts w:ascii="仿宋_GB2312" w:eastAsia="仿宋_GB2312" w:cs="宋体"/>
                <w:sz w:val="28"/>
                <w:szCs w:val="28"/>
              </w:rPr>
            </w:pPr>
            <w:r>
              <w:rPr>
                <w:rFonts w:ascii="仿宋_GB2312" w:eastAsia="仿宋_GB2312" w:cs="仿宋_GB2312" w:hint="eastAsia"/>
                <w:sz w:val="28"/>
                <w:szCs w:val="28"/>
              </w:rPr>
              <w:t>资金需求</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仿宋_GB2312" w:hint="eastAsia"/>
                <w:sz w:val="28"/>
                <w:szCs w:val="28"/>
              </w:rPr>
              <w:t>1476.41万元</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ind w:firstLineChars="0" w:firstLine="0"/>
              <w:jc w:val="center"/>
              <w:textAlignment w:val="center"/>
              <w:rPr>
                <w:rFonts w:ascii="仿宋_GB2312" w:eastAsia="仿宋_GB2312" w:cs="宋体"/>
                <w:sz w:val="28"/>
                <w:szCs w:val="28"/>
              </w:rPr>
            </w:pPr>
            <w:r>
              <w:rPr>
                <w:rFonts w:ascii="仿宋_GB2312" w:eastAsia="仿宋_GB2312" w:cs="仿宋_GB2312" w:hint="eastAsia"/>
                <w:sz w:val="28"/>
                <w:szCs w:val="28"/>
              </w:rPr>
              <w:t>剩余资金退回财政</w:t>
            </w:r>
          </w:p>
        </w:tc>
      </w:tr>
      <w:tr>
        <w:trPr>
          <w:trHeight w:val="1042"/>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textAlignment w:val="center"/>
              <w:rPr>
                <w:rFonts w:ascii="仿宋_GB2312" w:eastAsia="仿宋_GB2312" w:cs="宋体"/>
                <w:sz w:val="28"/>
                <w:szCs w:val="28"/>
              </w:rPr>
            </w:pPr>
            <w:r>
              <w:rPr>
                <w:rFonts w:ascii="仿宋_GB2312" w:eastAsia="仿宋_GB2312" w:cs="宋体" w:hint="eastAsia"/>
                <w:kern w:val="0"/>
                <w:sz w:val="28"/>
                <w:szCs w:val="28"/>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ind w:firstLineChars="0" w:firstLine="0"/>
              <w:textAlignment w:val="center"/>
              <w:rPr>
                <w:rFonts w:ascii="仿宋_GB2312" w:eastAsia="仿宋_GB2312" w:cs="宋体"/>
                <w:sz w:val="28"/>
                <w:szCs w:val="28"/>
              </w:rPr>
            </w:pPr>
            <w:r>
              <w:rPr>
                <w:rFonts w:ascii="仿宋_GB2312" w:eastAsia="仿宋_GB2312" w:cs="仿宋_GB2312" w:hint="eastAsia"/>
                <w:sz w:val="28"/>
                <w:szCs w:val="28"/>
              </w:rPr>
              <w:t>社会效益</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textAlignment w:val="center"/>
              <w:rPr>
                <w:rFonts w:ascii="仿宋_GB2312" w:eastAsia="仿宋_GB2312" w:cs="宋体"/>
                <w:sz w:val="28"/>
                <w:szCs w:val="28"/>
              </w:rPr>
            </w:pPr>
            <w:r>
              <w:rPr>
                <w:rFonts w:ascii="仿宋_GB2312" w:eastAsia="仿宋_GB2312" w:cs="仿宋_GB2312" w:hint="eastAsia"/>
                <w:sz w:val="28"/>
                <w:szCs w:val="28"/>
              </w:rPr>
              <w:t>项目成效</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ind w:firstLineChars="0" w:firstLine="0"/>
              <w:textAlignment w:val="center"/>
              <w:rPr>
                <w:rFonts w:ascii="仿宋_GB2312" w:eastAsia="仿宋_GB2312" w:cs="宋体"/>
                <w:sz w:val="28"/>
                <w:szCs w:val="28"/>
              </w:rPr>
            </w:pPr>
            <w:r>
              <w:rPr>
                <w:rFonts w:ascii="仿宋_GB2312" w:eastAsia="仿宋_GB2312" w:cs="仿宋_GB2312" w:hint="eastAsia"/>
                <w:sz w:val="28"/>
                <w:szCs w:val="28"/>
              </w:rPr>
              <w:t>改善提升了茂县县城人民人居环境</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ind w:firstLineChars="0" w:firstLine="0"/>
              <w:textAlignment w:val="center"/>
              <w:rPr>
                <w:rFonts w:ascii="仿宋_GB2312" w:eastAsia="仿宋_GB2312" w:cs="宋体"/>
                <w:sz w:val="28"/>
                <w:szCs w:val="28"/>
              </w:rPr>
            </w:pPr>
            <w:r>
              <w:rPr>
                <w:rFonts w:ascii="仿宋_GB2312" w:eastAsia="仿宋_GB2312" w:cs="仿宋_GB2312" w:hint="eastAsia"/>
                <w:sz w:val="28"/>
                <w:szCs w:val="28"/>
              </w:rPr>
              <w:t>改善提升了茂县县城人民人居环境</w:t>
            </w:r>
          </w:p>
        </w:tc>
      </w:tr>
      <w:tr>
        <w:trPr>
          <w:trHeight w:val="1050"/>
        </w:trPr>
        <w:tc>
          <w:tcPr>
            <w:tcW w:w="390" w:type="dxa"/>
            <w:vMerge/>
            <w:tcBorders>
              <w:left w:val="single" w:sz="4" w:space="0" w:color="000000"/>
              <w:bottom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宋体" w:hint="eastAsia"/>
                <w:kern w:val="0"/>
                <w:sz w:val="28"/>
                <w:szCs w:val="28"/>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ind w:firstLineChars="0" w:firstLine="0"/>
              <w:textAlignment w:val="center"/>
              <w:rPr>
                <w:rFonts w:ascii="仿宋_GB2312" w:eastAsia="仿宋_GB2312" w:cs="宋体"/>
                <w:sz w:val="28"/>
                <w:szCs w:val="28"/>
              </w:rPr>
            </w:pPr>
            <w:r>
              <w:rPr>
                <w:rFonts w:ascii="仿宋_GB2312" w:eastAsia="仿宋_GB2312" w:cs="仿宋_GB2312" w:hint="eastAsia"/>
                <w:sz w:val="28"/>
                <w:szCs w:val="28"/>
              </w:rPr>
              <w:t>满意度指标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仿宋_GB2312" w:hint="eastAsia"/>
                <w:sz w:val="28"/>
                <w:szCs w:val="28"/>
              </w:rPr>
              <w:t>群众满意度</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仿宋_GB2312" w:hint="eastAsia"/>
                <w:sz w:val="28"/>
                <w:szCs w:val="28"/>
              </w:rPr>
              <w:t>大于90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宋体"/>
                <w:sz w:val="28"/>
                <w:szCs w:val="28"/>
              </w:rPr>
            </w:pPr>
            <w:r>
              <w:rPr>
                <w:rFonts w:ascii="仿宋_GB2312" w:eastAsia="仿宋_GB2312" w:cs="仿宋_GB2312" w:hint="eastAsia"/>
                <w:sz w:val="28"/>
                <w:szCs w:val="28"/>
              </w:rPr>
              <w:t>使用单位满意度达到98%</w:t>
            </w:r>
          </w:p>
        </w:tc>
      </w:tr>
    </w:tbl>
    <w:p>
      <w:pPr>
        <w:rPr>
          <w:rFonts w:ascii="楷体" w:eastAsia="楷体" w:cs="仿宋_GB2312"/>
          <w:b/>
        </w:rPr>
      </w:pPr>
      <w:r>
        <w:rPr>
          <w:rFonts w:ascii="楷体" w:eastAsia="楷体" w:hint="eastAsia"/>
          <w:b/>
        </w:rPr>
        <w:t>2.部门绩效评价结果。</w:t>
      </w:r>
    </w:p>
    <w:p>
      <w:pPr>
        <w:rPr>
          <w:rFonts w:ascii="仿宋_GB2312" w:eastAsia="仿宋_GB2312"/>
        </w:rPr>
      </w:pPr>
      <w:r>
        <w:rPr>
          <w:rFonts w:ascii="仿宋_GB2312" w:eastAsia="仿宋_GB2312" w:hint="eastAsia"/>
        </w:rPr>
        <w:t>本部门按要求对2019年部门整体支出绩效评价情况开展自评，《茂县水务局部门2019年部门整体支出绩效评价报告》见附件（附件）。</w:t>
        <w:br w:type="page"/>
      </w:r>
    </w:p>
    <w:p>
      <w:pPr>
        <w:ind w:firstLineChars="145" w:firstLine="638"/>
        <w:jc w:val="center"/>
        <w:rPr>
          <w:rFonts w:ascii="黑体" w:eastAsia="黑体"/>
          <w:bCs/>
          <w:kern w:val="44"/>
          <w:sz w:val="44"/>
          <w:szCs w:val="44"/>
        </w:rPr>
      </w:pPr>
      <w:bookmarkStart w:id="57" w:name="_Toc15377225"/>
      <w:bookmarkStart w:id="58" w:name="_Toc15396613"/>
      <w:r>
        <w:rPr>
          <w:rStyle w:val="1Char"/>
          <w:rFonts w:ascii="黑体" w:eastAsia="黑体" w:hint="eastAsia"/>
          <w:b w:val="0"/>
        </w:rPr>
        <w:t>第三部分名词解释</w:t>
      </w:r>
      <w:bookmarkEnd w:id="57"/>
      <w:bookmarkEnd w:id="58"/>
    </w:p>
    <w:p>
      <w:pPr>
        <w:pStyle w:val="27"/>
        <w:spacing w:line="576" w:lineRule="exact"/>
        <w:ind w:firstLineChars="200" w:firstLine="640"/>
        <w:rPr>
          <w:rFonts w:ascii="仿宋_GB2312" w:eastAsia="仿宋_GB2312" w:cs="Times New Roman"/>
          <w:kern w:val="2"/>
          <w:sz w:val="32"/>
          <w:szCs w:val="32"/>
        </w:rPr>
      </w:pPr>
      <w:r>
        <w:rPr>
          <w:rFonts w:ascii="仿宋_GB2312" w:eastAsia="仿宋_GB2312" w:cs="Times New Roman" w:hint="eastAsia"/>
          <w:kern w:val="2"/>
          <w:sz w:val="32"/>
          <w:szCs w:val="32"/>
        </w:rPr>
        <w:t>1.财政拨款收入：指单位从同级财政部门取得的财政预算资金。</w:t>
      </w:r>
    </w:p>
    <w:p>
      <w:pPr>
        <w:pStyle w:val="27"/>
        <w:spacing w:line="576" w:lineRule="exact"/>
        <w:ind w:firstLineChars="200" w:firstLine="640"/>
        <w:rPr>
          <w:rFonts w:ascii="仿宋_GB2312" w:eastAsia="仿宋_GB2312" w:cs="Times New Roman"/>
          <w:kern w:val="2"/>
          <w:sz w:val="32"/>
          <w:szCs w:val="32"/>
        </w:rPr>
      </w:pPr>
      <w:r>
        <w:rPr>
          <w:rFonts w:ascii="仿宋_GB2312" w:eastAsia="仿宋_GB2312" w:cs="Times New Roman" w:hint="eastAsia"/>
          <w:kern w:val="2"/>
          <w:sz w:val="32"/>
          <w:szCs w:val="32"/>
        </w:rPr>
        <w:t>2.</w:t>
      </w:r>
      <w:r>
        <w:rPr>
          <w:rFonts w:ascii="仿宋_GB2312" w:eastAsia="仿宋_GB2312" w:cs="Times New Roman"/>
          <w:kern w:val="2"/>
          <w:sz w:val="32"/>
          <w:szCs w:val="32"/>
        </w:rPr>
        <w:t xml:space="preserve"> </w:t>
      </w:r>
      <w:r>
        <w:rPr>
          <w:rFonts w:ascii="仿宋_GB2312" w:eastAsia="仿宋_GB2312" w:cs="Times New Roman" w:hint="eastAsia"/>
          <w:kern w:val="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27"/>
        <w:spacing w:line="576" w:lineRule="exact"/>
        <w:ind w:firstLineChars="200" w:firstLine="640"/>
        <w:rPr>
          <w:rFonts w:ascii="仿宋_GB2312" w:eastAsia="仿宋_GB2312" w:cs="Times New Roman"/>
          <w:kern w:val="2"/>
          <w:sz w:val="32"/>
          <w:szCs w:val="32"/>
        </w:rPr>
      </w:pPr>
      <w:r>
        <w:rPr>
          <w:rFonts w:ascii="仿宋_GB2312" w:eastAsia="仿宋_GB2312" w:cs="Times New Roman" w:hint="eastAsia"/>
          <w:kern w:val="2"/>
          <w:sz w:val="32"/>
          <w:szCs w:val="32"/>
        </w:rPr>
        <w:t>3.年初结转和结余：指以前年度尚未完成、结转到本年按有关规定继续使用的资金。</w:t>
      </w:r>
    </w:p>
    <w:p>
      <w:pPr>
        <w:pStyle w:val="27"/>
        <w:spacing w:line="576" w:lineRule="exact"/>
        <w:ind w:firstLineChars="200" w:firstLine="640"/>
        <w:rPr>
          <w:rFonts w:ascii="仿宋_GB2312" w:eastAsia="仿宋_GB2312" w:cs="Times New Roman"/>
          <w:kern w:val="2"/>
          <w:sz w:val="32"/>
          <w:szCs w:val="32"/>
        </w:rPr>
      </w:pPr>
      <w:r>
        <w:rPr>
          <w:rFonts w:ascii="仿宋_GB2312" w:eastAsia="仿宋_GB2312" w:cs="Times New Roman" w:hint="eastAsia"/>
          <w:kern w:val="2"/>
          <w:sz w:val="32"/>
          <w:szCs w:val="32"/>
        </w:rPr>
        <w:t>4.结余分配：指事业单位按照事业单位会计制度的规定从非财政补助结余中分配的事业基金和职工福利基金等。</w:t>
      </w:r>
    </w:p>
    <w:p>
      <w:pPr>
        <w:pStyle w:val="27"/>
        <w:spacing w:line="576" w:lineRule="exact"/>
        <w:ind w:firstLineChars="200" w:firstLine="640"/>
        <w:rPr>
          <w:rFonts w:ascii="仿宋_GB2312" w:eastAsia="仿宋_GB2312" w:cs="Times New Roman"/>
          <w:kern w:val="2"/>
          <w:sz w:val="32"/>
          <w:szCs w:val="32"/>
        </w:rPr>
      </w:pPr>
      <w:r>
        <w:rPr>
          <w:rFonts w:ascii="仿宋_GB2312" w:eastAsia="仿宋_GB2312" w:cs="Times New Roman" w:hint="eastAsia"/>
          <w:kern w:val="2"/>
          <w:sz w:val="32"/>
          <w:szCs w:val="32"/>
        </w:rPr>
        <w:t>5.年末结转和结余：指单位按有关规定结转到下年或以后年度继续使用的资金。</w:t>
      </w:r>
    </w:p>
    <w:p>
      <w:pPr>
        <w:rPr>
          <w:rFonts w:ascii="仿宋_GB2312" w:eastAsia="仿宋_GB2312"/>
        </w:rPr>
      </w:pPr>
      <w:r>
        <w:rPr>
          <w:rFonts w:ascii="仿宋_GB2312" w:eastAsia="仿宋_GB2312" w:hint="eastAsia"/>
        </w:rPr>
        <w:t xml:space="preserve">6. 社会保障和就业支出（208）行政事业单位离退休（05）机关事业单位基本养老保险缴费支出（05）:指反映机关事业单位实施养老保险制度由单位缴纳的基本养老保险支出。 </w:t>
      </w:r>
    </w:p>
    <w:p>
      <w:pPr>
        <w:rPr>
          <w:rFonts w:ascii="仿宋_GB2312" w:eastAsia="仿宋_GB2312"/>
        </w:rPr>
      </w:pPr>
      <w:r>
        <w:rPr>
          <w:rFonts w:ascii="仿宋_GB2312" w:eastAsia="仿宋_GB2312" w:hint="eastAsia"/>
        </w:rPr>
        <w:t>7. 社会保障和就业支出（208）行政事业单位离退休（05）机关事业单位职业年金缴费支出（06）:指反映机关事业单位实施养老保险制度由单位实际缴纳的职业年金支出。</w:t>
      </w:r>
    </w:p>
    <w:p>
      <w:pPr>
        <w:rPr>
          <w:rFonts w:ascii="仿宋_GB2312" w:eastAsia="仿宋_GB2312"/>
        </w:rPr>
      </w:pPr>
      <w:r>
        <w:rPr>
          <w:rFonts w:ascii="仿宋_GB2312" w:eastAsia="仿宋_GB2312" w:hint="eastAsia"/>
        </w:rPr>
        <w:t>8. 社会保障和就业支出（208）其他社会保障和就业支出（99）其他社会保障和就业支出（01）: 指反映其他用于社会保障和就业方面的支出。</w:t>
      </w:r>
    </w:p>
    <w:p>
      <w:pPr>
        <w:rPr>
          <w:rFonts w:ascii="仿宋_GB2312" w:eastAsia="仿宋_GB2312"/>
        </w:rPr>
      </w:pPr>
      <w:r>
        <w:rPr>
          <w:rFonts w:ascii="仿宋_GB2312" w:eastAsia="仿宋_GB2312" w:hint="eastAsia"/>
        </w:rPr>
        <w:t xml:space="preserve">9. 医疗卫生与计划生育支出（210）行政事业单位医疗（11）行政单位医疗（01）:指反映财政部门集中安排的公费医疗经费，按国家规定享受离休人员待遇人员的医疗经费。 </w:t>
      </w:r>
    </w:p>
    <w:p>
      <w:pPr>
        <w:rPr>
          <w:rFonts w:ascii="仿宋_GB2312" w:eastAsia="仿宋_GB2312"/>
        </w:rPr>
      </w:pPr>
      <w:r>
        <w:rPr>
          <w:rFonts w:ascii="仿宋_GB2312" w:eastAsia="仿宋_GB2312" w:hint="eastAsia"/>
        </w:rPr>
        <w:t>10.医疗卫生与计划生育支出（210）行政事业单位医疗（11）事业单位医疗（02）: 指反映财政部门集中安排的事业单位基本医疗保险缴费经费。</w:t>
      </w:r>
    </w:p>
    <w:p>
      <w:pPr>
        <w:rPr>
          <w:rFonts w:ascii="仿宋_GB2312" w:eastAsia="仿宋_GB2312"/>
        </w:rPr>
      </w:pPr>
      <w:r>
        <w:rPr>
          <w:rFonts w:ascii="仿宋_GB2312" w:eastAsia="仿宋_GB2312" w:hint="eastAsia"/>
        </w:rPr>
        <w:t xml:space="preserve">11. 农林水支出（213）水利（03）行政运行（01）:指反映其他用于水利方面的支出。 </w:t>
      </w:r>
    </w:p>
    <w:p>
      <w:pPr>
        <w:rPr>
          <w:rFonts w:ascii="仿宋_GB2312" w:eastAsia="仿宋_GB2312"/>
        </w:rPr>
      </w:pPr>
      <w:r>
        <w:rPr>
          <w:rFonts w:ascii="仿宋_GB2312" w:eastAsia="仿宋_GB2312" w:hint="eastAsia"/>
        </w:rPr>
        <w:t xml:space="preserve">12. 农林水支出（213）水利（03）水利工程建设（05）:指反映用基本农田、水利设施、人畜饮水、生态环境保护等生产生活条件改善方面的支出。 </w:t>
      </w:r>
    </w:p>
    <w:p>
      <w:pPr>
        <w:rPr>
          <w:rFonts w:ascii="仿宋_GB2312" w:eastAsia="仿宋_GB2312"/>
        </w:rPr>
      </w:pPr>
      <w:r>
        <w:rPr>
          <w:rFonts w:ascii="仿宋_GB2312" w:eastAsia="仿宋_GB2312" w:hint="eastAsia"/>
        </w:rPr>
        <w:t>13.农林水支出（213）水利（03）防汛（14）: 是指反映用于防汛方面的支出。</w:t>
      </w:r>
    </w:p>
    <w:p>
      <w:pPr>
        <w:rPr>
          <w:rFonts w:ascii="仿宋_GB2312" w:eastAsia="仿宋_GB2312"/>
        </w:rPr>
      </w:pPr>
      <w:r>
        <w:rPr>
          <w:rFonts w:ascii="仿宋_GB2312" w:eastAsia="仿宋_GB2312" w:hint="eastAsia"/>
        </w:rPr>
        <w:t>14. 农林水支出（213）水利（03）其他水利支出（99）:指反映除化解债务支出以外其他用于农林水支出。</w:t>
      </w:r>
    </w:p>
    <w:p>
      <w:pPr>
        <w:rPr>
          <w:rFonts w:ascii="仿宋_GB2312" w:eastAsia="仿宋_GB2312"/>
        </w:rPr>
      </w:pPr>
      <w:r>
        <w:rPr>
          <w:rFonts w:ascii="仿宋_GB2312" w:eastAsia="仿宋_GB2312" w:hint="eastAsia"/>
        </w:rPr>
        <w:t>15. 农林水支出（213）扶贫（05）农村基础设施建设（04）: 指反映用于扶贫方面的支出。</w:t>
      </w:r>
    </w:p>
    <w:p>
      <w:pPr>
        <w:rPr>
          <w:rFonts w:ascii="仿宋_GB2312" w:eastAsia="仿宋_GB2312"/>
        </w:rPr>
      </w:pPr>
      <w:r>
        <w:rPr>
          <w:rFonts w:ascii="仿宋_GB2312" w:eastAsia="仿宋_GB2312" w:hint="eastAsia"/>
        </w:rPr>
        <w:t>16.农林水支出（213）其他农林水支出（99）其他农林水支出（99）: 指反映用于其他水利方面的支出。</w:t>
      </w:r>
    </w:p>
    <w:p>
      <w:pPr>
        <w:rPr>
          <w:rFonts w:ascii="仿宋_GB2312" w:eastAsia="仿宋_GB2312"/>
        </w:rPr>
      </w:pPr>
      <w:r>
        <w:rPr>
          <w:rFonts w:ascii="仿宋_GB2312" w:eastAsia="仿宋_GB2312" w:hint="eastAsia"/>
        </w:rPr>
        <w:t>17.住房保障支出（类）住房改革支出（款）住房公积金（项）: 指反映事业单位按人力资源和社会保障部、财政部规定的基本工资和津贴补贴以及规定比例为职工缴纳的住房公积金。</w:t>
      </w:r>
    </w:p>
    <w:p>
      <w:pPr>
        <w:rPr>
          <w:rFonts w:ascii="仿宋_GB2312" w:eastAsia="仿宋_GB2312"/>
        </w:rPr>
      </w:pPr>
      <w:r>
        <w:rPr>
          <w:rFonts w:ascii="仿宋_GB2312" w:eastAsia="仿宋_GB2312" w:hint="eastAsia"/>
        </w:rPr>
        <w:t>18.基本支出：指为保障机构正常运转、完成日常工作任务而发生的人员支出和公用支出。</w:t>
      </w:r>
    </w:p>
    <w:p>
      <w:pPr>
        <w:rPr>
          <w:rFonts w:ascii="仿宋_GB2312" w:eastAsia="仿宋_GB2312"/>
        </w:rPr>
      </w:pPr>
      <w:r>
        <w:rPr>
          <w:rFonts w:ascii="仿宋_GB2312" w:eastAsia="仿宋_GB2312" w:hint="eastAsia"/>
        </w:rPr>
        <w:t>19.项目支出：指在基本支出之外为完成特定行政任务和事业发展目标所发生的支出。</w:t>
      </w:r>
    </w:p>
    <w:p>
      <w:pPr>
        <w:rPr>
          <w:rFonts w:ascii="仿宋_GB2312" w:eastAsia="仿宋_GB2312"/>
        </w:rPr>
      </w:pPr>
      <w:r>
        <w:rPr>
          <w:rFonts w:ascii="仿宋_GB2312" w:eastAsia="仿宋_GB2312" w:hint="eastAsia"/>
        </w:rPr>
        <w:t>20.经营支出：指事业单位在专业业务活动及其辅助活动之外开展非独立核算经营活动发生的支出。</w:t>
      </w:r>
    </w:p>
    <w:p>
      <w:pPr>
        <w:pStyle w:val="27"/>
        <w:spacing w:line="576" w:lineRule="exact"/>
        <w:ind w:firstLineChars="200" w:firstLine="640"/>
        <w:rPr>
          <w:rFonts w:ascii="仿宋_GB2312" w:eastAsia="仿宋_GB2312" w:cs="Times New Roman"/>
          <w:kern w:val="2"/>
          <w:sz w:val="32"/>
          <w:szCs w:val="32"/>
        </w:rPr>
      </w:pPr>
      <w:r>
        <w:rPr>
          <w:rFonts w:ascii="仿宋_GB2312" w:eastAsia="仿宋_GB2312" w:cs="Times New Roman" w:hint="eastAsia"/>
          <w:kern w:val="2"/>
          <w:sz w:val="32"/>
          <w:szCs w:val="32"/>
        </w:rPr>
        <w:t>21.“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7"/>
        <w:spacing w:line="576" w:lineRule="exact"/>
        <w:ind w:firstLineChars="200" w:firstLine="640"/>
        <w:rPr>
          <w:rFonts w:ascii="仿宋_GB2312" w:eastAsia="仿宋_GB2312" w:cs="Times New Roman"/>
          <w:kern w:val="2"/>
          <w:sz w:val="32"/>
          <w:szCs w:val="32"/>
        </w:rPr>
      </w:pPr>
      <w:r>
        <w:rPr>
          <w:rFonts w:ascii="仿宋_GB2312" w:eastAsia="仿宋_GB2312" w:cs="Times New Roman" w:hint="eastAsia"/>
          <w:kern w:val="2"/>
          <w:sz w:val="32"/>
          <w:szCs w:val="32"/>
        </w:rPr>
        <w:t>22.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bookmarkStart w:id="59" w:name="_Toc15396614"/>
      <w:bookmarkStart w:id="60" w:name="_Toc15377226"/>
    </w:p>
    <w:p>
      <w:pPr>
        <w:ind w:firstLineChars="144" w:firstLine="634"/>
        <w:jc w:val="center"/>
        <w:rPr>
          <w:rStyle w:val="1Char"/>
          <w:rFonts w:ascii="黑体" w:eastAsia="黑体"/>
          <w:b w:val="0"/>
        </w:rPr>
      </w:pPr>
      <w:r>
        <w:rPr>
          <w:rStyle w:val="1Char"/>
          <w:rFonts w:ascii="黑体" w:eastAsia="黑体" w:hint="eastAsia"/>
          <w:b w:val="0"/>
        </w:rPr>
        <w:t>第四部分附件</w:t>
      </w:r>
      <w:bookmarkEnd w:id="59"/>
    </w:p>
    <w:p>
      <w:pPr>
        <w:rPr>
          <w:rFonts w:ascii="方正小标宋简体" w:eastAsia="方正小标宋简体" w:cs="方正小标宋简体"/>
        </w:rPr>
      </w:pPr>
      <w:r>
        <w:rPr>
          <w:rFonts w:hint="eastAsia"/>
        </w:rPr>
        <w:t>附件</w:t>
      </w:r>
    </w:p>
    <w:p/>
    <w:p>
      <w:pPr>
        <w:jc w:val="center"/>
        <w:rPr>
          <w:rFonts w:ascii="黑体" w:eastAsia="黑体"/>
          <w:kern w:val="0"/>
          <w:sz w:val="44"/>
          <w:szCs w:val="44"/>
        </w:rPr>
      </w:pPr>
      <w:r>
        <w:rPr>
          <w:rFonts w:ascii="黑体" w:eastAsia="黑体" w:hint="eastAsia"/>
          <w:kern w:val="0"/>
          <w:sz w:val="44"/>
          <w:szCs w:val="44"/>
        </w:rPr>
        <w:t>茂县水务局</w:t>
      </w:r>
      <w:r>
        <w:rPr>
          <w:rFonts w:ascii="黑体" w:eastAsia="黑体"/>
          <w:kern w:val="0"/>
          <w:sz w:val="44"/>
          <w:szCs w:val="44"/>
        </w:rPr>
        <w:t>2019年</w:t>
      </w:r>
    </w:p>
    <w:p>
      <w:pPr>
        <w:jc w:val="center"/>
        <w:rPr>
          <w:rFonts w:ascii="黑体" w:eastAsia="黑体"/>
          <w:kern w:val="0"/>
          <w:sz w:val="44"/>
          <w:szCs w:val="44"/>
          <w:lang w:val="zh-CN"/>
        </w:rPr>
      </w:pPr>
      <w:r>
        <w:rPr>
          <w:rFonts w:ascii="黑体" w:eastAsia="黑体"/>
          <w:kern w:val="0"/>
          <w:sz w:val="44"/>
          <w:szCs w:val="44"/>
        </w:rPr>
        <w:t>部门</w:t>
      </w:r>
      <w:r>
        <w:rPr>
          <w:rFonts w:ascii="黑体" w:eastAsia="黑体" w:hint="eastAsia"/>
          <w:kern w:val="0"/>
          <w:sz w:val="44"/>
          <w:szCs w:val="44"/>
          <w:lang w:val="zh-CN"/>
        </w:rPr>
        <w:t>整体支出绩效评价报告</w:t>
      </w:r>
    </w:p>
    <w:p>
      <w:pPr>
        <w:rPr>
          <w:kern w:val="0"/>
          <w:shd w:val="clear" w:color="auto" w:fill="FFFFFF"/>
        </w:rPr>
      </w:pPr>
    </w:p>
    <w:p>
      <w:pPr>
        <w:rPr>
          <w:rFonts w:ascii="黑体" w:eastAsia="黑体"/>
          <w:kern w:val="0"/>
          <w:shd w:val="clear" w:color="auto" w:fill="FFFFFF"/>
          <w:lang w:val="zh-CN"/>
        </w:rPr>
      </w:pPr>
      <w:r>
        <w:rPr>
          <w:rFonts w:ascii="黑体" w:eastAsia="黑体" w:hint="eastAsia"/>
          <w:kern w:val="0"/>
          <w:shd w:val="clear" w:color="auto" w:fill="FFFFFF"/>
        </w:rPr>
        <w:t>一、</w:t>
      </w:r>
      <w:r>
        <w:rPr>
          <w:rFonts w:ascii="黑体" w:eastAsia="黑体" w:hint="eastAsia"/>
          <w:kern w:val="0"/>
          <w:shd w:val="clear" w:color="auto" w:fill="FFFFFF"/>
          <w:lang w:val="zh-CN"/>
        </w:rPr>
        <w:t>部门（单位）概况</w:t>
      </w:r>
    </w:p>
    <w:p>
      <w:pPr>
        <w:rPr>
          <w:rFonts w:ascii="楷体" w:eastAsia="楷体"/>
          <w:b/>
          <w:kern w:val="0"/>
          <w:shd w:val="clear" w:color="auto" w:fill="FFFFFF"/>
          <w:lang w:val="zh-CN"/>
        </w:rPr>
      </w:pPr>
      <w:r>
        <w:rPr>
          <w:rFonts w:ascii="楷体" w:eastAsia="楷体" w:hint="eastAsia"/>
          <w:b/>
          <w:kern w:val="0"/>
          <w:shd w:val="clear" w:color="auto" w:fill="FFFFFF"/>
          <w:lang w:val="zh-CN"/>
        </w:rPr>
        <w:t>（一）机构组成</w:t>
      </w:r>
    </w:p>
    <w:p>
      <w:pPr>
        <w:rPr>
          <w:rFonts w:ascii="楷体" w:eastAsia="楷体"/>
          <w:b/>
          <w:kern w:val="0"/>
          <w:shd w:val="clear" w:color="auto" w:fill="FFFFFF"/>
          <w:lang w:val="zh-CN"/>
        </w:rPr>
      </w:pPr>
      <w:r>
        <w:rPr>
          <w:rFonts w:ascii="仿宋_GB2312" w:eastAsia="仿宋_GB2312" w:cs="宋体" w:hint="eastAsia"/>
          <w:kern w:val="0"/>
        </w:rPr>
        <w:t>我单位下设2个内设机构：办公室、业务股。</w:t>
      </w:r>
    </w:p>
    <w:p>
      <w:pPr>
        <w:rPr>
          <w:rFonts w:ascii="楷体" w:eastAsia="楷体"/>
          <w:b/>
          <w:kern w:val="0"/>
          <w:shd w:val="clear" w:color="auto" w:fill="FFFFFF"/>
          <w:lang w:val="zh-CN"/>
        </w:rPr>
      </w:pPr>
      <w:r>
        <w:rPr>
          <w:rFonts w:ascii="楷体" w:eastAsia="楷体" w:hint="eastAsia"/>
          <w:b/>
          <w:kern w:val="0"/>
          <w:shd w:val="clear" w:color="auto" w:fill="FFFFFF"/>
          <w:lang w:val="zh-CN"/>
        </w:rPr>
        <w:t>（二）机构职能</w:t>
      </w:r>
    </w:p>
    <w:p>
      <w:pPr>
        <w:rPr>
          <w:rFonts w:ascii="仿宋_GB2312" w:eastAsia="仿宋_GB2312" w:cs="宋体"/>
          <w:kern w:val="0"/>
        </w:rPr>
      </w:pPr>
      <w:r>
        <w:rPr>
          <w:rFonts w:ascii="仿宋_GB2312" w:eastAsia="仿宋_GB2312" w:cs="宋体" w:hint="eastAsia"/>
          <w:kern w:val="0"/>
        </w:rPr>
        <w:t>贯彻执行国家有关水务产业工作方针、政策和法律、法规,拟订全县水务发展规划并组织实施;负责管理全县水资源(含地表水、地下水)。组织制定全县水资源总体规划、流域规划和专业规划;拟定全县中长期和年度供水计划、水量分配方案和旱情紧急情况下水量调度预案;负责全县水务基本建设项目前期工作。上报基建项目建议书和可行性研究报告;负责组织全县水务基本建设;对水务基本建设工程实施行业监督管理;组织管理具有控制性的水利工程,组织负责水库、大坝的安全监管;负责全县农田水利基本建设;负责全县防汛抗旱、村镇供水、农村水利工程管理工作;编制水土保持规划并组织实施;负责水土流失的预防监督和综合防治工作。</w:t>
      </w:r>
    </w:p>
    <w:p>
      <w:pPr>
        <w:rPr>
          <w:rFonts w:ascii="楷体" w:eastAsia="楷体"/>
          <w:b/>
          <w:kern w:val="0"/>
          <w:shd w:val="clear" w:color="auto" w:fill="FFFFFF"/>
          <w:lang w:val="zh-CN"/>
        </w:rPr>
      </w:pPr>
      <w:r>
        <w:rPr>
          <w:rFonts w:ascii="楷体" w:eastAsia="楷体" w:hint="eastAsia"/>
          <w:b/>
          <w:kern w:val="0"/>
          <w:shd w:val="clear" w:color="auto" w:fill="FFFFFF"/>
          <w:lang w:val="zh-CN"/>
        </w:rPr>
        <w:t>（三）人员概况</w:t>
      </w:r>
    </w:p>
    <w:p>
      <w:pPr>
        <w:rPr>
          <w:rFonts w:cs="仿宋_GB2312"/>
        </w:rPr>
      </w:pPr>
      <w:r>
        <w:rPr>
          <w:rFonts w:ascii="仿宋_GB2312" w:eastAsia="仿宋_GB2312" w:cs="仿宋_GB2312" w:hint="eastAsia"/>
        </w:rPr>
        <w:t>2019年事业总编制26名。在职人员总数24人，其中：公务员5人，行政工勤1人，事业人员17人，事业工勤人员1人。</w:t>
      </w:r>
    </w:p>
    <w:p>
      <w:pPr>
        <w:rPr>
          <w:rFonts w:ascii="黑体" w:eastAsia="黑体"/>
          <w:kern w:val="0"/>
          <w:shd w:val="clear" w:color="auto" w:fill="FFFFFF"/>
        </w:rPr>
      </w:pPr>
      <w:r>
        <w:rPr>
          <w:rFonts w:ascii="黑体" w:eastAsia="黑体" w:hint="eastAsia"/>
          <w:kern w:val="0"/>
          <w:shd w:val="clear" w:color="auto" w:fill="FFFFFF"/>
        </w:rPr>
        <w:t>二、部门财政资金收支情况</w:t>
      </w:r>
    </w:p>
    <w:p>
      <w:pPr>
        <w:rPr>
          <w:rFonts w:ascii="楷体" w:eastAsia="楷体"/>
          <w:b/>
          <w:kern w:val="0"/>
          <w:shd w:val="clear" w:color="auto" w:fill="FFFFFF"/>
          <w:lang w:val="zh-CN"/>
        </w:rPr>
      </w:pPr>
      <w:r>
        <w:rPr>
          <w:rFonts w:ascii="楷体" w:eastAsia="楷体" w:hint="eastAsia"/>
          <w:b/>
          <w:kern w:val="0"/>
          <w:shd w:val="clear" w:color="auto" w:fill="FFFFFF"/>
          <w:lang w:val="zh-CN"/>
        </w:rPr>
        <w:t>（一）部门财政资金收入情况</w:t>
      </w:r>
    </w:p>
    <w:p>
      <w:pPr>
        <w:rPr>
          <w:rFonts w:ascii="仿宋_GB2312" w:eastAsia="仿宋_GB2312" w:cs="仿宋_GB2312"/>
        </w:rPr>
      </w:pPr>
      <w:r>
        <w:rPr>
          <w:rFonts w:ascii="仿宋_GB2312" w:eastAsia="仿宋_GB2312" w:cs="仿宋_GB2312" w:hint="eastAsia"/>
        </w:rPr>
        <w:t>2019年本部门财政拨款收入总计10989.19万元，其中：财政拨款收入7298.69万元。上年结转3690.49万元。</w:t>
      </w:r>
    </w:p>
    <w:p>
      <w:pPr>
        <w:rPr>
          <w:rFonts w:ascii="楷体" w:eastAsia="楷体"/>
          <w:b/>
          <w:kern w:val="0"/>
          <w:shd w:val="clear" w:color="auto" w:fill="FFFFFF"/>
          <w:lang w:val="zh-CN"/>
        </w:rPr>
      </w:pPr>
      <w:r>
        <w:rPr>
          <w:rFonts w:ascii="楷体" w:eastAsia="楷体" w:hint="eastAsia"/>
          <w:b/>
          <w:kern w:val="0"/>
          <w:shd w:val="clear" w:color="auto" w:fill="FFFFFF"/>
          <w:lang w:val="zh-CN"/>
        </w:rPr>
        <w:t>（二）部门财政资金支出情况</w:t>
      </w:r>
    </w:p>
    <w:p>
      <w:pPr>
        <w:rPr>
          <w:rFonts w:ascii="楷体" w:eastAsia="楷体"/>
          <w:b/>
          <w:kern w:val="0"/>
          <w:shd w:val="clear" w:color="auto" w:fill="FFFFFF"/>
          <w:lang w:val="zh-CN"/>
        </w:rPr>
      </w:pPr>
      <w:r>
        <w:rPr>
          <w:rFonts w:ascii="仿宋_GB2312" w:eastAsia="仿宋_GB2312" w:cs="仿宋_GB2312" w:hint="eastAsia"/>
        </w:rPr>
        <w:t>2019年本部门财政拨款支出总计7825.22万元，其中：社会保障和就业支出157.7万元，卫生健康支出23.47万元，城乡社区支出879.91万元，农林水支出6732.82万元，住房保障支出31.33万元。年末结转结余3163.96万元。</w:t>
      </w:r>
    </w:p>
    <w:p>
      <w:pPr>
        <w:rPr>
          <w:rFonts w:ascii="黑体" w:eastAsia="黑体"/>
          <w:kern w:val="0"/>
          <w:shd w:val="clear" w:color="auto" w:fill="FFFFFF"/>
        </w:rPr>
      </w:pPr>
      <w:r>
        <w:rPr>
          <w:rFonts w:ascii="黑体" w:eastAsia="黑体" w:hint="eastAsia"/>
          <w:kern w:val="0"/>
          <w:shd w:val="clear" w:color="auto" w:fill="FFFFFF"/>
        </w:rPr>
        <w:t>三、部门整体预算绩效管理情况</w:t>
      </w:r>
    </w:p>
    <w:p>
      <w:pPr>
        <w:rPr>
          <w:rFonts w:ascii="楷体" w:eastAsia="楷体"/>
          <w:b/>
          <w:kern w:val="0"/>
          <w:shd w:val="clear" w:color="auto" w:fill="FFFFFF"/>
          <w:lang w:val="zh-CN"/>
        </w:rPr>
      </w:pPr>
      <w:r>
        <w:rPr>
          <w:rFonts w:ascii="楷体" w:eastAsia="楷体" w:hint="eastAsia"/>
          <w:b/>
          <w:kern w:val="0"/>
          <w:shd w:val="clear" w:color="auto" w:fill="FFFFFF"/>
          <w:lang w:val="zh-CN"/>
        </w:rPr>
        <w:t>（一）部门预算管理</w:t>
      </w:r>
    </w:p>
    <w:p>
      <w:pPr>
        <w:rPr>
          <w:rFonts w:ascii="仿宋_GB2312" w:eastAsia="仿宋_GB2312" w:cs="仿宋_GB2312"/>
        </w:rPr>
      </w:pPr>
      <w:r>
        <w:rPr>
          <w:rFonts w:ascii="仿宋_GB2312" w:eastAsia="仿宋_GB2312" w:cs="仿宋_GB2312" w:hint="eastAsia"/>
        </w:rPr>
        <w:t>我局认真学习贯彻党的十九大</w:t>
      </w:r>
      <w:bookmarkStart w:id="61" w:name="_GoBack"/>
      <w:bookmarkEnd w:id="61"/>
      <w:r>
        <w:rPr>
          <w:rFonts w:ascii="仿宋_GB2312" w:eastAsia="仿宋_GB2312" w:cs="仿宋_GB2312" w:hint="eastAsia"/>
        </w:rPr>
        <w:t>精神，以习近平新时代中国特色社会主义</w:t>
      </w:r>
      <w:r>
        <w:rPr>
          <w:rFonts w:ascii="仿宋_GB2312" w:eastAsia="仿宋_GB2312" w:cs="仿宋_GB2312" w:hint="eastAsia"/>
          <w:lang w:eastAsia="zh-CN"/>
        </w:rPr>
        <w:t>思想</w:t>
      </w:r>
      <w:r>
        <w:rPr>
          <w:rFonts w:ascii="仿宋_GB2312" w:eastAsia="仿宋_GB2312" w:cs="仿宋_GB2312" w:hint="eastAsia"/>
        </w:rPr>
        <w:t>为指导，自觉践行新发展理念，根据职能职责积极谋划，确定目标任务，积极发挥公共财政职能作用，推动落实稳增长、促改革、调结构、惠民生、防风险各项工作。</w:t>
      </w:r>
      <w:r>
        <w:rPr>
          <w:rFonts w:ascii="仿宋_GB2312" w:eastAsia="仿宋_GB2312" w:cs="仿宋_GB2312" w:hint="eastAsia"/>
          <w:b/>
        </w:rPr>
        <w:t>一是</w:t>
      </w:r>
      <w:r>
        <w:rPr>
          <w:rFonts w:ascii="仿宋_GB2312" w:eastAsia="仿宋_GB2312" w:cs="仿宋_GB2312" w:hint="eastAsia"/>
        </w:rPr>
        <w:t>按照2019年部门预算编审要求，根据我局职能职责，结合中长期规划和年度工作计划，明确了年度主要工作任务及年度内履职所要达到的总体产出和效果，认真填报了我局整体支出绩效目标。</w:t>
      </w:r>
      <w:r>
        <w:rPr>
          <w:rFonts w:ascii="仿宋_GB2312" w:eastAsia="仿宋_GB2312" w:cs="仿宋_GB2312" w:hint="eastAsia"/>
          <w:b/>
        </w:rPr>
        <w:t>二是</w:t>
      </w:r>
      <w:r>
        <w:rPr>
          <w:rFonts w:ascii="仿宋_GB2312" w:eastAsia="仿宋_GB2312" w:cs="仿宋_GB2312" w:hint="eastAsia"/>
        </w:rPr>
        <w:t>按照《四川省省级预算绩效运行监控管理暂行办法》要求，认真组织开展所属单位的绩效监控工作，对项目进度、预算执行、各项效益的阶段完成情况进行监控，进一步明确项目完成目标可能性及时间。</w:t>
      </w:r>
    </w:p>
    <w:p>
      <w:pPr>
        <w:rPr>
          <w:rFonts w:ascii="楷体" w:eastAsia="楷体"/>
          <w:b/>
          <w:kern w:val="0"/>
          <w:shd w:val="clear" w:color="auto" w:fill="FFFFFF"/>
          <w:lang w:val="zh-CN"/>
        </w:rPr>
      </w:pPr>
      <w:r>
        <w:rPr>
          <w:rFonts w:ascii="楷体" w:eastAsia="楷体" w:hint="eastAsia"/>
          <w:b/>
          <w:kern w:val="0"/>
          <w:shd w:val="clear" w:color="auto" w:fill="FFFFFF"/>
          <w:lang w:val="zh-CN"/>
        </w:rPr>
        <w:t>（二）结果应用情况</w:t>
      </w:r>
    </w:p>
    <w:p>
      <w:pPr>
        <w:rPr>
          <w:rFonts w:ascii="仿宋_GB2312" w:eastAsia="仿宋_GB2312"/>
        </w:rPr>
      </w:pPr>
      <w:r>
        <w:rPr>
          <w:rFonts w:ascii="仿宋_GB2312" w:eastAsia="仿宋_GB2312" w:cs="仿宋_GB2312" w:hint="eastAsia"/>
        </w:rPr>
        <w:t>我局对部门预算绩效管理工作开展情况认真进行了自查自评，绩效评价自查开展覆盖重点支出，将评价结果作为预算安排的重要依据，参照项目年度预算执行情况、“三年滚动规划”执行情况统筹项目支出需求，保障重点支出，不断强化绩效理念，推动我局部门整体绩效管理水平不断提升。</w:t>
      </w:r>
    </w:p>
    <w:p>
      <w:pPr>
        <w:rPr>
          <w:rFonts w:ascii="黑体" w:eastAsia="黑体"/>
          <w:kern w:val="0"/>
          <w:shd w:val="clear" w:color="auto" w:fill="FFFFFF"/>
        </w:rPr>
      </w:pPr>
      <w:r>
        <w:rPr>
          <w:rFonts w:ascii="黑体" w:eastAsia="黑体" w:hint="eastAsia"/>
          <w:kern w:val="0"/>
          <w:shd w:val="clear" w:color="auto" w:fill="FFFFFF"/>
        </w:rPr>
        <w:t>四、评价结论及建议</w:t>
      </w:r>
    </w:p>
    <w:p>
      <w:pPr>
        <w:rPr>
          <w:rFonts w:ascii="楷体" w:eastAsia="楷体"/>
          <w:b/>
          <w:kern w:val="0"/>
          <w:shd w:val="clear" w:color="auto" w:fill="FFFFFF"/>
          <w:lang w:val="zh-CN"/>
        </w:rPr>
      </w:pPr>
      <w:r>
        <w:rPr>
          <w:rFonts w:ascii="楷体" w:eastAsia="楷体" w:hint="eastAsia"/>
          <w:b/>
          <w:kern w:val="0"/>
          <w:shd w:val="clear" w:color="auto" w:fill="FFFFFF"/>
          <w:lang w:val="zh-CN"/>
        </w:rPr>
        <w:t>（一）评价结论</w:t>
      </w:r>
    </w:p>
    <w:p>
      <w:pPr>
        <w:rPr>
          <w:rFonts w:ascii="仿宋_GB2312" w:eastAsia="仿宋_GB2312" w:cs="仿宋_GB2312"/>
          <w:b/>
          <w:bCs/>
        </w:rPr>
      </w:pPr>
      <w:r>
        <w:rPr>
          <w:rStyle w:val="2Char"/>
          <w:rFonts w:ascii="仿宋_GB2312" w:eastAsia="仿宋_GB2312" w:cs="仿宋_GB2312" w:hint="eastAsia"/>
          <w:b w:val="0"/>
        </w:rPr>
        <w:t>2019年我局部门整体支出绩效评价自查自评结果良好，全年基本支出保证了部门的正常运行和日常工作的正常开展，项目支出保障了重点工作的开展，达到预期绩效目标。</w:t>
      </w:r>
    </w:p>
    <w:p>
      <w:pPr>
        <w:rPr>
          <w:rFonts w:ascii="楷体" w:eastAsia="楷体"/>
          <w:b/>
          <w:kern w:val="0"/>
          <w:shd w:val="clear" w:color="auto" w:fill="FFFFFF"/>
          <w:lang w:val="zh-CN"/>
        </w:rPr>
      </w:pPr>
      <w:r>
        <w:rPr>
          <w:rFonts w:ascii="楷体" w:eastAsia="楷体" w:hint="eastAsia"/>
          <w:b/>
          <w:kern w:val="0"/>
          <w:shd w:val="clear" w:color="auto" w:fill="FFFFFF"/>
          <w:lang w:val="zh-CN"/>
        </w:rPr>
        <w:t>（二）存在问题</w:t>
      </w:r>
    </w:p>
    <w:p>
      <w:pPr>
        <w:rPr>
          <w:rFonts w:ascii="仿宋_GB2312" w:eastAsia="仿宋_GB2312"/>
          <w:shd w:val="clear" w:color="auto" w:fill="FFFFFF"/>
        </w:rPr>
      </w:pPr>
      <w:r>
        <w:rPr>
          <w:rFonts w:ascii="仿宋_GB2312" w:eastAsia="仿宋_GB2312" w:cs="仿宋_GB2312" w:hint="eastAsia"/>
        </w:rPr>
        <w:t>绩效目标设定有待更科学更合理。</w:t>
      </w:r>
    </w:p>
    <w:p>
      <w:pPr>
        <w:rPr>
          <w:rFonts w:ascii="楷体" w:eastAsia="楷体"/>
          <w:b/>
          <w:kern w:val="0"/>
          <w:shd w:val="clear" w:color="auto" w:fill="FFFFFF"/>
          <w:lang w:val="zh-CN"/>
        </w:rPr>
      </w:pPr>
      <w:r>
        <w:rPr>
          <w:rFonts w:ascii="楷体" w:eastAsia="楷体" w:hint="eastAsia"/>
          <w:b/>
          <w:kern w:val="0"/>
          <w:shd w:val="clear" w:color="auto" w:fill="FFFFFF"/>
          <w:lang w:val="zh-CN"/>
        </w:rPr>
        <w:t>（三）改进建议</w:t>
      </w:r>
    </w:p>
    <w:p>
      <w:pPr>
        <w:rPr>
          <w:rFonts w:ascii="仿宋_GB2312" w:eastAsia="仿宋_GB2312" w:cs="仿宋_GB2312"/>
          <w:kern w:val="0"/>
          <w:shd w:val="clear" w:color="auto" w:fill="FFFFFF"/>
          <w:lang w:val="zh-CN"/>
        </w:rPr>
      </w:pPr>
      <w:r>
        <w:rPr>
          <w:rFonts w:ascii="仿宋_GB2312" w:eastAsia="仿宋_GB2312" w:cs="仿宋_GB2312" w:hint="eastAsia"/>
        </w:rPr>
        <w:t>针对存在的问题，我们将进一步科学设定绩效目标，加强预算执行管理。</w:t>
      </w:r>
      <w:r>
        <w:rPr>
          <w:rFonts w:ascii="仿宋_GB2312" w:eastAsia="仿宋_GB2312" w:cs="仿宋_GB2312" w:hint="eastAsia"/>
          <w:b/>
        </w:rPr>
        <w:t>一是</w:t>
      </w:r>
      <w:r>
        <w:rPr>
          <w:rFonts w:ascii="仿宋_GB2312" w:eastAsia="仿宋_GB2312" w:cs="仿宋_GB2312" w:hint="eastAsia"/>
        </w:rPr>
        <w:t>改进部门收支预算，夯实预算基础工作，提高预算编制质量；</w:t>
      </w:r>
      <w:r>
        <w:rPr>
          <w:rFonts w:ascii="仿宋_GB2312" w:eastAsia="仿宋_GB2312" w:cs="仿宋_GB2312" w:hint="eastAsia"/>
          <w:b/>
        </w:rPr>
        <w:t>二是</w:t>
      </w:r>
      <w:r>
        <w:rPr>
          <w:rFonts w:ascii="仿宋_GB2312" w:eastAsia="仿宋_GB2312" w:cs="仿宋_GB2312" w:hint="eastAsia"/>
        </w:rPr>
        <w:t>认真研究政策，加强项目绩效审核，力求科学合理；</w:t>
      </w:r>
      <w:r>
        <w:rPr>
          <w:rFonts w:ascii="仿宋_GB2312" w:eastAsia="仿宋_GB2312" w:cs="仿宋_GB2312" w:hint="eastAsia"/>
          <w:b/>
        </w:rPr>
        <w:t>三是</w:t>
      </w:r>
      <w:r>
        <w:rPr>
          <w:rFonts w:ascii="仿宋_GB2312" w:eastAsia="仿宋_GB2312" w:cs="仿宋_GB2312" w:hint="eastAsia"/>
        </w:rPr>
        <w:t>认真研究重点项目的执行，提早规划，提前实施，确保项目顺利实施，提高财政资金的使用效益；四是</w:t>
      </w:r>
      <w:r>
        <w:rPr>
          <w:rFonts w:ascii="仿宋_GB2312" w:eastAsia="仿宋_GB2312" w:cs="仿宋_GB2312" w:hint="eastAsia"/>
          <w:kern w:val="0"/>
          <w:shd w:val="clear" w:color="auto" w:fill="FFFFFF"/>
          <w:lang w:val="zh-CN"/>
        </w:rPr>
        <w:t>不断建立健全内部管理制度，梳理内部管理流程，单位整体支出管理情况得到提升。</w:t>
      </w:r>
    </w:p>
    <w:p>
      <w:pPr>
        <w:rPr>
          <w:rFonts w:ascii="楷体" w:eastAsia="楷体"/>
          <w:b/>
          <w:kern w:val="0"/>
          <w:shd w:val="clear" w:color="auto" w:fill="FFFFFF"/>
          <w:lang w:val="zh-CN"/>
        </w:rPr>
      </w:pPr>
    </w:p>
    <w:p>
      <w:pPr>
        <w:rPr>
          <w:rFonts w:ascii="楷体" w:eastAsia="楷体"/>
          <w:b/>
        </w:rPr>
      </w:pPr>
    </w:p>
    <w:p/>
    <w:p/>
    <w:p/>
    <w:p/>
    <w:p/>
    <w:p/>
    <w:p/>
    <w:p/>
    <w:p/>
    <w:p/>
    <w:p/>
    <w:p/>
    <w:p/>
    <w:p/>
    <w:p/>
    <w:p/>
    <w:p>
      <w:pPr>
        <w:ind w:firstLineChars="0" w:firstLine="0"/>
        <w:rPr>
          <w:rStyle w:val="1Char"/>
          <w:rFonts w:ascii="黑体" w:eastAsia="黑体"/>
          <w:b w:val="0"/>
        </w:rPr>
      </w:pPr>
    </w:p>
    <w:p>
      <w:pPr>
        <w:jc w:val="center"/>
        <w:rPr>
          <w:rStyle w:val="1Char"/>
          <w:rFonts w:ascii="黑体" w:eastAsia="黑体"/>
          <w:b w:val="0"/>
        </w:rPr>
      </w:pPr>
      <w:bookmarkStart w:id="62" w:name="_Toc15396618"/>
      <w:r>
        <w:rPr>
          <w:rStyle w:val="1Char"/>
          <w:rFonts w:ascii="黑体" w:eastAsia="黑体" w:hint="eastAsia"/>
          <w:b w:val="0"/>
        </w:rPr>
        <w:t>第五部分附表</w:t>
      </w:r>
      <w:bookmarkEnd w:id="60"/>
      <w:bookmarkEnd w:id="62"/>
    </w:p>
    <w:p/>
    <w:p>
      <w:pPr>
        <w:pStyle w:val="2"/>
        <w:spacing w:before="0" w:after="0" w:line="576" w:lineRule="exact"/>
        <w:rPr>
          <w:rStyle w:val="2Char"/>
          <w:rFonts w:ascii="仿宋" w:eastAsia="仿宋"/>
          <w:b w:val="0"/>
          <w:bCs w:val="0"/>
        </w:rPr>
      </w:pPr>
      <w:bookmarkStart w:id="63" w:name="_Toc15396619"/>
      <w:r>
        <w:rPr>
          <w:rStyle w:val="2Char"/>
          <w:rFonts w:ascii="仿宋" w:eastAsia="仿宋" w:hint="eastAsia"/>
          <w:b w:val="0"/>
          <w:bCs w:val="0"/>
        </w:rPr>
        <w:t>一、收入支出决算总表</w:t>
      </w:r>
      <w:bookmarkEnd w:id="63"/>
    </w:p>
    <w:p>
      <w:pPr>
        <w:pStyle w:val="2"/>
        <w:spacing w:before="0" w:after="0" w:line="576" w:lineRule="exact"/>
        <w:rPr>
          <w:rStyle w:val="2Char"/>
          <w:rFonts w:ascii="仿宋" w:eastAsia="仿宋"/>
          <w:b w:val="0"/>
          <w:bCs w:val="0"/>
        </w:rPr>
      </w:pPr>
      <w:bookmarkStart w:id="64" w:name="_Toc15396620"/>
      <w:r>
        <w:rPr>
          <w:rStyle w:val="2Char"/>
          <w:rFonts w:ascii="仿宋" w:eastAsia="仿宋" w:hint="eastAsia"/>
          <w:b w:val="0"/>
          <w:bCs w:val="0"/>
        </w:rPr>
        <w:t>二、收入决算表</w:t>
      </w:r>
      <w:bookmarkEnd w:id="64"/>
    </w:p>
    <w:p>
      <w:pPr>
        <w:pStyle w:val="2"/>
        <w:spacing w:before="0" w:after="0" w:line="576" w:lineRule="exact"/>
        <w:rPr>
          <w:rStyle w:val="2Char"/>
          <w:rFonts w:ascii="仿宋" w:eastAsia="仿宋"/>
          <w:b w:val="0"/>
          <w:bCs w:val="0"/>
        </w:rPr>
      </w:pPr>
      <w:bookmarkStart w:id="65" w:name="_Toc15396621"/>
      <w:r>
        <w:rPr>
          <w:rStyle w:val="2Char"/>
          <w:rFonts w:ascii="仿宋" w:eastAsia="仿宋" w:hint="eastAsia"/>
          <w:b w:val="0"/>
          <w:bCs w:val="0"/>
        </w:rPr>
        <w:t>三、支出决算表</w:t>
      </w:r>
      <w:bookmarkEnd w:id="65"/>
    </w:p>
    <w:p>
      <w:pPr>
        <w:pStyle w:val="2"/>
        <w:spacing w:before="0" w:after="0" w:line="576" w:lineRule="exact"/>
        <w:rPr>
          <w:rStyle w:val="2Char"/>
          <w:rFonts w:ascii="仿宋" w:eastAsia="仿宋"/>
          <w:b w:val="0"/>
          <w:bCs w:val="0"/>
        </w:rPr>
      </w:pPr>
      <w:bookmarkStart w:id="66" w:name="_Toc15396622"/>
      <w:r>
        <w:rPr>
          <w:rStyle w:val="2Char"/>
          <w:rFonts w:ascii="仿宋" w:eastAsia="仿宋" w:hint="eastAsia"/>
          <w:b w:val="0"/>
          <w:bCs w:val="0"/>
        </w:rPr>
        <w:t>四、财政拨款收入支出决算总表</w:t>
      </w:r>
      <w:bookmarkEnd w:id="66"/>
    </w:p>
    <w:p>
      <w:pPr>
        <w:pStyle w:val="2"/>
        <w:spacing w:before="0" w:after="0" w:line="576" w:lineRule="exact"/>
        <w:rPr>
          <w:rStyle w:val="2Char"/>
          <w:rFonts w:ascii="仿宋" w:eastAsia="仿宋"/>
          <w:b w:val="0"/>
          <w:bCs w:val="0"/>
        </w:rPr>
      </w:pPr>
      <w:bookmarkStart w:id="67" w:name="_Toc15396623"/>
      <w:r>
        <w:rPr>
          <w:rStyle w:val="2Char"/>
          <w:rFonts w:ascii="仿宋" w:eastAsia="仿宋" w:hint="eastAsia"/>
          <w:b w:val="0"/>
          <w:bCs w:val="0"/>
        </w:rPr>
        <w:t>五、财政拨款支出决算明细表</w:t>
      </w:r>
      <w:bookmarkStart w:id="68" w:name="_Toc15396624"/>
      <w:bookmarkEnd w:id="67"/>
    </w:p>
    <w:p>
      <w:pPr>
        <w:pStyle w:val="2"/>
        <w:spacing w:before="0" w:after="0" w:line="576" w:lineRule="exact"/>
        <w:rPr>
          <w:rStyle w:val="2Char"/>
          <w:rFonts w:ascii="仿宋" w:eastAsia="仿宋"/>
          <w:b w:val="0"/>
          <w:bCs w:val="0"/>
        </w:rPr>
      </w:pPr>
      <w:r>
        <w:rPr>
          <w:rStyle w:val="2Char"/>
          <w:rFonts w:ascii="仿宋" w:eastAsia="仿宋" w:hint="eastAsia"/>
          <w:b w:val="0"/>
          <w:bCs w:val="0"/>
        </w:rPr>
        <w:t>六、一般公共预算财政拨款支出决算表</w:t>
      </w:r>
      <w:bookmarkEnd w:id="68"/>
    </w:p>
    <w:p>
      <w:pPr>
        <w:pStyle w:val="2"/>
        <w:spacing w:before="0" w:after="0" w:line="576" w:lineRule="exact"/>
        <w:rPr>
          <w:rStyle w:val="2Char"/>
          <w:rFonts w:ascii="仿宋" w:eastAsia="仿宋"/>
          <w:b w:val="0"/>
          <w:bCs w:val="0"/>
        </w:rPr>
      </w:pPr>
      <w:bookmarkStart w:id="69" w:name="_Toc15396625"/>
      <w:r>
        <w:rPr>
          <w:rStyle w:val="2Char"/>
          <w:rFonts w:ascii="仿宋" w:eastAsia="仿宋" w:hint="eastAsia"/>
          <w:b w:val="0"/>
          <w:bCs w:val="0"/>
        </w:rPr>
        <w:t>七、一般公共预算财政拨款支出决算明细表</w:t>
      </w:r>
      <w:bookmarkEnd w:id="69"/>
    </w:p>
    <w:p>
      <w:pPr>
        <w:pStyle w:val="2"/>
        <w:spacing w:before="0" w:after="0" w:line="576" w:lineRule="exact"/>
        <w:rPr>
          <w:rStyle w:val="2Char"/>
          <w:rFonts w:ascii="仿宋" w:eastAsia="仿宋"/>
          <w:b w:val="0"/>
          <w:bCs w:val="0"/>
        </w:rPr>
      </w:pPr>
      <w:bookmarkStart w:id="70" w:name="_Toc15396626"/>
      <w:r>
        <w:rPr>
          <w:rStyle w:val="2Char"/>
          <w:rFonts w:ascii="仿宋" w:eastAsia="仿宋" w:hint="eastAsia"/>
          <w:b w:val="0"/>
          <w:bCs w:val="0"/>
        </w:rPr>
        <w:t>八、一般公共预算财政拨款基本支出决算表</w:t>
      </w:r>
      <w:bookmarkEnd w:id="70"/>
    </w:p>
    <w:p>
      <w:pPr>
        <w:pStyle w:val="2"/>
        <w:spacing w:before="0" w:after="0" w:line="576" w:lineRule="exact"/>
        <w:rPr>
          <w:rStyle w:val="2Char"/>
          <w:rFonts w:ascii="仿宋" w:eastAsia="仿宋"/>
          <w:b w:val="0"/>
          <w:bCs w:val="0"/>
        </w:rPr>
      </w:pPr>
      <w:bookmarkStart w:id="71" w:name="_Toc15396627"/>
      <w:r>
        <w:rPr>
          <w:rStyle w:val="2Char"/>
          <w:rFonts w:ascii="仿宋" w:eastAsia="仿宋" w:hint="eastAsia"/>
          <w:b w:val="0"/>
          <w:bCs w:val="0"/>
        </w:rPr>
        <w:t>九、一般公共预算财政拨款项目支出决算表</w:t>
      </w:r>
      <w:bookmarkEnd w:id="71"/>
    </w:p>
    <w:p>
      <w:pPr>
        <w:pStyle w:val="2"/>
        <w:spacing w:before="0" w:after="0" w:line="576" w:lineRule="exact"/>
        <w:rPr>
          <w:rStyle w:val="2Char"/>
          <w:rFonts w:ascii="仿宋" w:eastAsia="仿宋"/>
          <w:b w:val="0"/>
          <w:bCs w:val="0"/>
        </w:rPr>
      </w:pPr>
      <w:bookmarkStart w:id="72" w:name="_Toc15396628"/>
      <w:r>
        <w:rPr>
          <w:rStyle w:val="2Char"/>
          <w:rFonts w:ascii="仿宋" w:eastAsia="仿宋" w:hint="eastAsia"/>
          <w:b w:val="0"/>
          <w:bCs w:val="0"/>
        </w:rPr>
        <w:t>十、一般公共预算财政拨款“三公”经费支出决算表</w:t>
      </w:r>
      <w:bookmarkEnd w:id="72"/>
    </w:p>
    <w:p>
      <w:pPr>
        <w:pStyle w:val="2"/>
        <w:spacing w:before="0" w:after="0" w:line="576" w:lineRule="exact"/>
        <w:rPr>
          <w:rStyle w:val="2Char"/>
          <w:rFonts w:ascii="仿宋" w:eastAsia="仿宋"/>
          <w:b w:val="0"/>
          <w:bCs w:val="0"/>
        </w:rPr>
      </w:pPr>
      <w:bookmarkStart w:id="73" w:name="_Toc15396629"/>
      <w:r>
        <w:rPr>
          <w:rStyle w:val="2Char"/>
          <w:rFonts w:ascii="仿宋" w:eastAsia="仿宋" w:hint="eastAsia"/>
          <w:b w:val="0"/>
          <w:bCs w:val="0"/>
        </w:rPr>
        <w:t>十一、政府性基金预算财政拨款收入支出决算表</w:t>
      </w:r>
      <w:bookmarkEnd w:id="73"/>
    </w:p>
    <w:p>
      <w:pPr>
        <w:pStyle w:val="2"/>
        <w:spacing w:before="0" w:after="0" w:line="576" w:lineRule="exact"/>
        <w:rPr>
          <w:rStyle w:val="2Char"/>
          <w:rFonts w:ascii="仿宋" w:eastAsia="仿宋"/>
          <w:b w:val="0"/>
          <w:bCs w:val="0"/>
        </w:rPr>
      </w:pPr>
      <w:bookmarkStart w:id="74" w:name="_Toc15396630"/>
      <w:r>
        <w:rPr>
          <w:rStyle w:val="2Char"/>
          <w:rFonts w:ascii="仿宋" w:eastAsia="仿宋" w:hint="eastAsia"/>
          <w:b w:val="0"/>
          <w:bCs w:val="0"/>
        </w:rPr>
        <w:t>十二、政府性基金预算财政拨款“三公”经费支出决算表</w:t>
      </w:r>
      <w:bookmarkEnd w:id="74"/>
    </w:p>
    <w:p>
      <w:pPr>
        <w:pStyle w:val="2"/>
        <w:spacing w:before="0" w:after="0" w:line="576" w:lineRule="exact"/>
        <w:rPr>
          <w:color w:val="000000"/>
        </w:rPr>
      </w:pPr>
      <w:bookmarkStart w:id="75" w:name="_Toc15396631"/>
      <w:r>
        <w:rPr>
          <w:rStyle w:val="2Char"/>
          <w:rFonts w:ascii="仿宋" w:eastAsia="仿宋" w:hint="eastAsia"/>
          <w:b w:val="0"/>
          <w:bCs w:val="0"/>
        </w:rPr>
        <w:t>十三、国有资本经营预算支出决算表</w:t>
      </w:r>
      <w:bookmarkEnd w:id="75"/>
    </w:p>
    <w:sectPr>
      <w:headerReference w:type="default" r:id="rId2"/>
      <w:headerReference w:type="first" r:id="rId3"/>
      <w:footerReference w:type="default" r:id="rId4"/>
      <w:footerReference w:type="first" r:id="rId5"/>
      <w:pgSz w:w="11906" w:h="16838"/>
      <w:pgMar w:top="1440" w:right="1800" w:bottom="1440" w:left="1800" w:header="851" w:footer="992" w:gutter="0"/>
      <w:pgNumType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panose1 w:val="03000509000000000000"/>
    <w:charset w:val="86"/>
    <w:family w:val="script"/>
    <w:pitch w:val="variable"/>
    <w:sig w:usb0="00000001" w:usb1="080E0000" w:usb2="00000000" w:usb3="00000000" w:csb0="00040000" w:csb1="00000000"/>
  </w:font>
  <w:font w:name="仿宋_GB2312">
    <w:panose1 w:val="02010609030101010101"/>
    <w:charset w:val="86"/>
    <w:family w:val="modern"/>
    <w:pitch w:val="variable"/>
    <w:sig w:usb0="00000001" w:usb1="080E0000" w:usb2="00000000" w:usb3="00000000" w:csb0="00040000" w:csb1="00000000"/>
  </w:font>
  <w:font w:name="黑体">
    <w:panose1 w:val="02010609060101010101"/>
    <w:charset w:val="86"/>
    <w:family w:val="auto"/>
    <w:pitch w:val="variable"/>
    <w:sig w:usb0="800002BF" w:usb1="38CF7CFA" w:usb2="00000016" w:usb3="00000000" w:csb0="00040001" w:csb1="00000000"/>
  </w:font>
  <w:font w:name="仿宋">
    <w:panose1 w:val="02010609060101010101"/>
    <w:charset w:val="86"/>
    <w:family w:val="modern"/>
    <w:pitch w:val="variable"/>
    <w:sig w:usb0="800002BF" w:usb1="38CF7CFA" w:usb2="00000016" w:usb3="00000000" w:csb0="00040001" w:csb1="00000000"/>
  </w:font>
  <w:font w:name="Times New Roman">
    <w:panose1 w:val="02020603050405020304"/>
    <w:charset w:val="00"/>
    <w:family w:val="roman"/>
    <w:pitch w:val="variable"/>
    <w:sig w:usb0="20007A87" w:usb1="80000000" w:usb2="00000008" w:usb3="00000000" w:csb0="000001FF" w:csb1="00000000"/>
  </w:font>
  <w:font w:name="Arial">
    <w:altName w:val="DejaVu Sans"/>
    <w:panose1 w:val="020B0604020202020204"/>
    <w:charset w:val="01"/>
    <w:family w:val="swiss"/>
    <w:pitch w:val="variable"/>
    <w:sig w:usb0="E0002AFF" w:usb1="C0007843" w:usb2="00000009" w:usb3="00000000" w:csb0="400001FF" w:csb1="FFFF0000"/>
  </w:font>
  <w:font w:name="宋体">
    <w:panose1 w:val="02010600030101010101"/>
    <w:charset w:val="86"/>
    <w:family w:val="auto"/>
    <w:pitch w:val="variable"/>
    <w:sig w:usb0="00000003" w:usb1="288F0000" w:usb2="00000006" w:usb3="00000000" w:csb0="00040001" w:csb1="00000000"/>
  </w:font>
  <w:font w:name="楷体">
    <w:panose1 w:val="02010609060101010101"/>
    <w:charset w:val="86"/>
    <w:family w:val="modern"/>
    <w:pitch w:val="variable"/>
    <w:sig w:usb0="800002BF" w:usb1="38CF7CFA" w:usb2="00000016" w:usb3="00000000" w:csb0="00040001" w:csb1="00000000"/>
  </w:font>
  <w:font w:name="楷体_GB2312">
    <w:altName w:val="楷体"/>
    <w:panose1 w:val="02010609030101010101"/>
    <w:charset w:val="86"/>
    <w:family w:val="modern"/>
    <w:pitch w:val="variable"/>
    <w:sig w:usb0="00000000" w:usb1="00000000" w:usb2="00000010" w:usb3="00000000" w:csb0="00040000" w:csb1="00000000"/>
  </w:font>
  <w:font w:name="Cambria">
    <w:altName w:val="DejaVu Sans"/>
    <w:panose1 w:val="02040503050406030204"/>
    <w:charset w:val="00"/>
    <w:family w:val="roman"/>
    <w:pitch w:val="variable"/>
    <w:sig w:usb0="E00002FF" w:usb1="400004FF" w:usb2="00000000" w:usb3="00000000" w:csb0="2000019F" w:csb1="00000000"/>
  </w:font>
  <w:font w:name="Calibri">
    <w:altName w:val="Times New Roman"/>
    <w:panose1 w:val="020F0502020204030204"/>
    <w:charset w:val="00"/>
    <w:family w:val="swiss"/>
    <w:pitch w:val="variable"/>
    <w:sig w:usb0="E00002FF" w:usb1="4000ACFF" w:usb2="00000001" w:usb3="00000000" w:csb0="2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8"/>
      <w:tabs>
        <w:tab w:val="center" w:pos="4153"/>
        <w:tab w:val="right" w:pos="8306"/>
      </w:tabs>
    </w:pPr>
    <w:r>
      <mc:AlternateContent>
        <mc:Choice Requires="wps">
          <w:drawing>
            <wp:anchor distT="0" distB="0" distL="114298" distR="114298" simplePos="0" relativeHeight="22" behindDoc="0" locked="0" layoutInCell="1" hidden="0" allowOverlap="1">
              <wp:simplePos x="0" y="0"/>
              <wp:positionH relativeFrom="margin">
                <wp:align>center</wp:align>
              </wp:positionH>
              <wp:positionV relativeFrom="paragraph">
                <wp:posOffset>0</wp:posOffset>
              </wp:positionV>
              <wp:extent cx="406400" cy="731520"/>
              <wp:effectExtent l="0" t="0" r="0" b="0"/>
              <wp:wrapNone/>
              <wp:docPr id="1" name="_x0000_s2049"/>
              <wp:cNvGraphicFramePr>
                <a:graphicFrameLocks noChangeAspect="0"/>
              </wp:cNvGraphicFramePr>
              <a:graphic>
                <a:graphicData uri="http://schemas.microsoft.com/office/word/2010/wordprocessingShape">
                  <wps:wsp>
                    <wps:cNvSpPr/>
                    <wps:spPr>
                      <a:xfrm rot="0">
                        <a:off x="0" y="0"/>
                        <a:ext cx="406400" cy="731520"/>
                      </a:xfrm>
                      <a:prstGeom prst="rect"/>
                      <a:noFill/>
                      <a:ln w="9525" cmpd="sng" cap="flat">
                        <a:noFill/>
                        <a:prstDash val="solid"/>
                        <a:miter/>
                      </a:ln>
                    </wps:spPr>
                    <wps:txbx id="2">
                      <w:txbxContent>
                        <w:sdt>
                          <w:sdtPr>
                            <w:id w:val="-189105651"/>
                          </w:sdtPr>
                          <w:sdtContent>
                            <w:p>
                              <w:pPr>
                                <w:pStyle w:val="18"/>
                                <w:tabs>
                                  <w:tab w:val="center" w:pos="4153"/>
                                  <w:tab w:val="right" w:pos="8306"/>
                                </w:tabs>
                              </w:pPr>
                              <w:r>
                                <w:fldChar w:fldCharType="begin"/>
                              </w:r>
                              <w:r>
                                <w:instrText>PAGE   \* MERGEFORMAT</w:instrText>
                              </w:r>
                              <w:r>
                                <w:fldChar w:fldCharType="separate"/>
                              </w:r>
                              <w:r>
                                <w:rPr>
                                  <w:lang w:val="zh-CN"/>
                                </w:rPr>
                                <w:t>31</w:t>
                              </w:r>
                              <w:r>
                                <w:rPr>
                                  <w:lang w:val="zh-CN"/>
                                </w:rPr>
                                <w:fldChar w:fldCharType="end"/>
                              </w:r>
                            </w:p>
                          </w:sdtContent>
                        </w:sdt>
                        <w:p/>
                      </w:txbxContent>
                    </wps:txbx>
                    <wps:bodyPr vert="horz" wrap="none" lIns="0" tIns="0" rIns="0" bIns="0" anchor="t" anchorCtr="0" upright="1">
                      <a:spAutoFit/>
                    </wps:bodyPr>
                  </wps:wsp>
                </a:graphicData>
              </a:graphic>
            </wp:anchor>
          </w:drawing>
        </mc:Choice>
        <mc:Fallback>
          <w:pict>
            <v:shape type="#_x0000_t202" id="_x0000_s2049 3" o:spid="_x0000_s3" filled="f" stroked="f" style="position:absolute;margin-left:0.0pt;margin-top:0.0pt;width:32.000008pt;height:57.600006pt;z-index:22;mso-position-horizontal:center;mso-position-horizontal-relative:margin;mso-position-vertical:absolute;mso-wrap-distance-left:8.999863pt;mso-wrap-distance-right:8.999863pt;mso-wrap-style:none;">
              <v:stroke color="#000000"/>
              <v:textbox id="855" inset="0mm,0mm,0mm,0mm" o:insetmode="custom" style="layout-flow:horizontal;v-text-anchor:top;mso-fit-shape-to-text:t;">
                <w:txbxContent>
                  <w:sdt>
                    <w:sdtPr>
                      <w:id w:val="-189105651"/>
                    </w:sdtPr>
                    <w:sdtContent>
                      <w:p>
                        <w:pPr>
                          <w:pStyle w:val="18"/>
                          <w:tabs>
                            <w:tab w:val="center" w:pos="4153"/>
                            <w:tab w:val="right" w:pos="8306"/>
                          </w:tabs>
                        </w:pPr>
                        <w:r>
                          <w:fldChar w:fldCharType="begin"/>
                        </w:r>
                        <w:r>
                          <w:instrText>PAGE   \* MERGEFORMAT</w:instrText>
                        </w:r>
                        <w:r>
                          <w:fldChar w:fldCharType="separate"/>
                        </w:r>
                        <w:r>
                          <w:rPr>
                            <w:lang w:val="zh-CN"/>
                          </w:rPr>
                          <w:t>31</w:t>
                        </w:r>
                        <w:r>
                          <w:rPr>
                            <w:lang w:val="zh-CN"/>
                          </w:rPr>
                          <w:fldChar w:fldCharType="end"/>
                        </w:r>
                      </w:p>
                    </w:sdtContent>
                  </w:sdt>
                  <w:p/>
                </w:txbxContent>
              </v:textbox>
            </v:shape>
          </w:pict>
        </mc:Fallback>
      </mc:AlternateContent>
    </w:r>
  </w:p>
  <w:p>
    <w:pPr>
      <w:pStyle w:val="18"/>
      <w:tabs>
        <w:tab w:val="center" w:pos="4153"/>
        <w:tab w:val="right" w:pos="8306"/>
      </w:tabs>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8"/>
      <w:tabs>
        <w:tab w:val="center" w:pos="4153"/>
        <w:tab w:val="right" w:pos="8306"/>
      </w:tabs>
    </w:pPr>
    <w:r>
      <mc:AlternateContent>
        <mc:Choice Requires="wps">
          <w:drawing>
            <wp:anchor distT="0" distB="0" distL="114298" distR="114298" simplePos="0" relativeHeight="26" behindDoc="0" locked="0" layoutInCell="1" hidden="0" allowOverlap="1">
              <wp:simplePos x="0" y="0"/>
              <wp:positionH relativeFrom="margin">
                <wp:align>center</wp:align>
              </wp:positionH>
              <wp:positionV relativeFrom="paragraph">
                <wp:posOffset>0</wp:posOffset>
              </wp:positionV>
              <wp:extent cx="285750" cy="365760"/>
              <wp:effectExtent l="0" t="0" r="0" b="0"/>
              <wp:wrapNone/>
              <wp:docPr id="4" name="_x0000_s2050"/>
              <wp:cNvGraphicFramePr>
                <a:graphicFrameLocks noChangeAspect="0"/>
              </wp:cNvGraphicFramePr>
              <a:graphic>
                <a:graphicData uri="http://schemas.microsoft.com/office/word/2010/wordprocessingShape">
                  <wps:wsp>
                    <wps:cNvSpPr/>
                    <wps:spPr>
                      <a:xfrm rot="0">
                        <a:off x="0" y="0"/>
                        <a:ext cx="285750" cy="365760"/>
                      </a:xfrm>
                      <a:prstGeom prst="rect"/>
                      <a:noFill/>
                      <a:ln w="9525" cmpd="sng" cap="flat">
                        <a:noFill/>
                        <a:prstDash val="solid"/>
                        <a:miter/>
                      </a:ln>
                    </wps:spPr>
                    <wps:txbx id="5">
                      <w:txbxContent>
                        <w:p>
                          <w:pPr>
                            <w:pStyle w:val="18"/>
                            <w:tabs>
                              <w:tab w:val="center" w:pos="4153"/>
                              <w:tab w:val="right" w:pos="8306"/>
                            </w:tabs>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1">
                      <a:spAutoFit/>
                    </wps:bodyPr>
                  </wps:wsp>
                </a:graphicData>
              </a:graphic>
            </wp:anchor>
          </w:drawing>
        </mc:Choice>
        <mc:Fallback>
          <w:pict>
            <v:shape type="#_x0000_t202" id="_x0000_s2050 6" o:spid="_x0000_s6" filled="f" stroked="f" style="position:absolute;margin-left:0.0pt;margin-top:0.0pt;width:22.5pt;height:28.800037pt;z-index:26;mso-position-horizontal:center;mso-position-horizontal-relative:margin;mso-position-vertical:absolute;mso-wrap-distance-left:8.999863pt;mso-wrap-distance-right:8.999863pt;mso-wrap-style:none;">
              <v:stroke color="#000000"/>
              <v:textbox id="856" inset="0mm,0mm,0mm,0mm" o:insetmode="custom" style="layout-flow:horizontal;v-text-anchor:top;mso-fit-shape-to-text:t;">
                <w:txbxContent>
                  <w:p>
                    <w:pPr>
                      <w:pStyle w:val="18"/>
                      <w:tabs>
                        <w:tab w:val="center" w:pos="4153"/>
                        <w:tab w:val="right" w:pos="8306"/>
                      </w:tabs>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9"/>
      <w:pBdr>
        <w:bottom w:val="none" w:sz="0" w:space="0" w:color="auto"/>
      </w:pBdr>
      <w:tabs>
        <w:tab w:val="center" w:pos="4153"/>
        <w:tab w:val="right" w:pos="8306"/>
      </w:tabs>
    </w:pPr>
  </w:p>
</w:hdr>
</file>

<file path=word/header2.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9"/>
      <w:pBdr>
        <w:bottom w:val="none" w:sz="0" w:space="0" w:color="auto"/>
      </w:pBdr>
      <w:tabs>
        <w:tab w:val="center" w:pos="4153"/>
        <w:tab w:val="right" w:pos="8306"/>
      </w:tabs>
    </w:pPr>
  </w:p>
  <w:p>
    <w:pPr>
      <w:pStyle w:val="19"/>
      <w:pBdr>
        <w:bottom w:val="none" w:sz="0" w:space="0" w:color="auto"/>
      </w:pBdr>
      <w:tabs>
        <w:tab w:val="center" w:pos="4153"/>
        <w:tab w:val="right" w:pos="8306"/>
      </w:tabs>
    </w:pPr>
  </w:p>
</w:hd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1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2"/>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spacing w:line="576" w:lineRule="exact"/>
      <w:ind w:firstLineChars="200" w:firstLine="200"/>
    </w:pPr>
    <w:rPr>
      <w:rFonts w:ascii="仿宋" w:eastAsia="仿宋" w:cs="Times New Roman"/>
      <w:color w:val="000000"/>
      <w:kern w:val="2"/>
      <w:sz w:val="32"/>
      <w:szCs w:val="32"/>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仿宋" w:eastAsia="仿宋" w:cs="Times New Roman"/>
      <w:b/>
      <w:bCs/>
      <w:color w:val="000000"/>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eastAsia="宋体" w:cs="Times New Roman" w:hAnsi="Cambria"/>
      <w:b/>
      <w:bCs/>
    </w:rPr>
  </w:style>
  <w:style w:type="character" w:customStyle="1" w:styleId="2Char">
    <w:name w:val="heading 2 Char"/>
    <w:basedOn w:val="10"/>
    <w:link w:val="2"/>
    <w:rPr>
      <w:rFonts w:ascii="Cambria" w:eastAsia="宋体" w:cs="Times New Roman" w:hAnsi="Cambria"/>
      <w:b/>
      <w:bCs/>
      <w:color w:val="000000"/>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rPr>
  </w:style>
  <w:style w:type="character" w:default="1" w:styleId="10">
    <w:name w:val="Default Paragraph Font"/>
  </w:style>
  <w:style w:type="paragraph" w:styleId="15">
    <w:name w:val="Body Text"/>
    <w:basedOn w:val="0"/>
    <w:pPr>
      <w:spacing w:beforeLines="30" w:before="30"/>
    </w:pPr>
    <w:rPr>
      <w:rFonts w:ascii="仿宋_GB2312" w:eastAsia="仿宋_GB2312"/>
      <w:kern w:val="0"/>
      <w:sz w:val="30"/>
    </w:rPr>
  </w:style>
  <w:style w:type="paragraph" w:styleId="16">
    <w:name w:val="toc 3"/>
    <w:basedOn w:val="0"/>
    <w:next w:val="0"/>
    <w:pPr>
      <w:tabs>
        <w:tab w:val="right" w:leader="dot" w:pos="8296"/>
      </w:tabs>
      <w:ind w:leftChars="400" w:left="400"/>
    </w:pPr>
  </w:style>
  <w:style w:type="paragraph" w:styleId="17">
    <w:name w:val="Balloon Text"/>
    <w:basedOn w:val="0"/>
    <w:rPr>
      <w:sz w:val="18"/>
      <w:szCs w:val="18"/>
    </w:rPr>
  </w:style>
  <w:style w:type="paragraph" w:styleId="18">
    <w:name w:val="footer"/>
    <w:basedOn w:val="0"/>
    <w:pPr>
      <w:tabs>
        <w:tab w:val="center" w:pos="4153"/>
        <w:tab w:val="right" w:pos="8306"/>
      </w:tabs>
      <w:snapToGrid w:val="0"/>
    </w:pPr>
    <w:rPr>
      <w:rFonts w:ascii="Calibri" w:hAnsi="Calibri"/>
      <w:kern w:val="0"/>
      <w:sz w:val="18"/>
      <w:szCs w:val="18"/>
    </w:rPr>
  </w:style>
  <w:style w:type="paragraph" w:styleId="19">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20">
    <w:name w:val="toc 1"/>
    <w:basedOn w:val="0"/>
    <w:next w:val="0"/>
    <w:pPr>
      <w:tabs>
        <w:tab w:val="right" w:leader="dot" w:pos="8296"/>
      </w:tabs>
      <w:spacing w:before="93"/>
      <w:jc w:val="center"/>
    </w:pPr>
    <w:rPr>
      <w:sz w:val="28"/>
      <w:szCs w:val="28"/>
    </w:rPr>
  </w:style>
  <w:style w:type="paragraph" w:styleId="21">
    <w:name w:val="toc 2"/>
    <w:basedOn w:val="0"/>
    <w:next w:val="0"/>
    <w:pPr>
      <w:tabs>
        <w:tab w:val="right" w:leader="dot" w:pos="8296"/>
      </w:tabs>
      <w:ind w:leftChars="200" w:left="200"/>
    </w:pPr>
  </w:style>
  <w:style w:type="character" w:styleId="22">
    <w:name w:val="Strong"/>
    <w:basedOn w:val="10"/>
    <w:rPr>
      <w:b/>
    </w:rPr>
  </w:style>
  <w:style w:type="character" w:styleId="23">
    <w:name w:val="Hyperlink"/>
    <w:basedOn w:val="10"/>
    <w:rPr>
      <w:color w:val="0000FF"/>
      <w:u w:val="single"/>
    </w:rPr>
  </w:style>
  <w:style w:type="character" w:customStyle="1" w:styleId="24">
    <w:name w:val="Header Char"/>
    <w:basedOn w:val="10"/>
    <w:rPr>
      <w:rFonts w:ascii="Times New Roman" w:hAnsi="Times New Roman"/>
      <w:sz w:val="18"/>
      <w:szCs w:val="18"/>
    </w:rPr>
  </w:style>
  <w:style w:type="character" w:customStyle="1" w:styleId="25">
    <w:name w:val="Footer Char"/>
    <w:basedOn w:val="10"/>
    <w:rPr>
      <w:rFonts w:ascii="Times New Roman" w:hAnsi="Times New Roman"/>
      <w:sz w:val="18"/>
      <w:szCs w:val="18"/>
    </w:rPr>
  </w:style>
  <w:style w:type="character" w:customStyle="1" w:styleId="26">
    <w:name w:val="Body Text Char"/>
    <w:basedOn w:val="10"/>
    <w:rPr>
      <w:rFonts w:ascii="Times New Roman" w:hAnsi="Times New Roman"/>
      <w:szCs w:val="24"/>
    </w:rPr>
  </w:style>
  <w:style w:type="paragraph" w:customStyle="1" w:styleId="27">
    <w:name w:val="Default"/>
    <w:pPr>
      <w:widowControl w:val="0"/>
      <w:autoSpaceDE w:val="0"/>
      <w:autoSpaceDN w:val="0"/>
      <w:adjustRightInd w:val="0"/>
    </w:pPr>
    <w:rPr>
      <w:rFonts w:ascii="仿宋" w:eastAsia="仿宋" w:cs="仿宋"/>
      <w:color w:val="000000"/>
      <w:sz w:val="24"/>
      <w:szCs w:val="24"/>
      <w:lang w:val="en-US" w:eastAsia="zh-CN" w:bidi="ar-SA"/>
    </w:rPr>
  </w:style>
  <w:style w:type="paragraph" w:styleId="28">
    <w:name w:val="List Paragraph"/>
    <w:basedOn w:val="0"/>
  </w:style>
  <w:style w:type="paragraph" w:customStyle="1" w:styleId="29">
    <w:name w:val="TOC 标题1"/>
    <w:basedOn w:val="1"/>
    <w:next w:val="0"/>
    <w:pPr>
      <w:keepNext/>
      <w:keepLines/>
      <w:widowControl/>
      <w:spacing w:before="480" w:after="0" w:line="276" w:lineRule="auto"/>
      <w:outlineLvl w:val="9"/>
    </w:pPr>
    <w:rPr>
      <w:rFonts w:ascii="Cambria" w:eastAsia="宋体" w:cs="Times New Roman" w:hAnsi="Cambria"/>
      <w:color w:val="366091"/>
      <w:kern w:val="0"/>
      <w:sz w:val="28"/>
      <w:szCs w:val="28"/>
    </w:rPr>
  </w:style>
  <w:style w:type="paragraph" w:customStyle="1" w:styleId="30">
    <w:name w:val="TOC 标题2"/>
    <w:basedOn w:val="1"/>
    <w:next w:val="0"/>
    <w:pPr>
      <w:keepNext/>
      <w:keepLines/>
      <w:widowControl/>
      <w:spacing w:before="480" w:after="0" w:line="276" w:lineRule="auto"/>
      <w:outlineLvl w:val="9"/>
    </w:pPr>
    <w:rPr>
      <w:rFonts w:ascii="Cambria" w:eastAsia="宋体" w:cs="Times New Roman" w:hAnsi="Cambria"/>
      <w:color w:val="366091"/>
      <w:kern w:val="0"/>
      <w:sz w:val="28"/>
      <w:szCs w:val="28"/>
    </w:rPr>
  </w:style>
  <w:style w:type="paragraph" w:customStyle="1" w:styleId="31">
    <w:name w:val="文档正文"/>
    <w:basedOn w:val="0"/>
    <w:pPr>
      <w:spacing w:line="480" w:lineRule="atLeast"/>
      <w:textAlignment w:val="baseline"/>
    </w:pPr>
    <w:rPr>
      <w:rFonts w:ascii="Calibri" w:cs="Arial" w:hAnsi="Calibri"/>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chart" Target="charts/chart1.xml"/><Relationship Id="rId7" Type="http://schemas.openxmlformats.org/officeDocument/2006/relationships/chart" Target="charts/chart2.xml"/><Relationship Id="rId8" Type="http://schemas.openxmlformats.org/officeDocument/2006/relationships/chart" Target="charts/chart3.xml"/><Relationship Id="rId9" Type="http://schemas.openxmlformats.org/officeDocument/2006/relationships/chart" Target="charts/chart4.xml"/><Relationship Id="rId10" Type="http://schemas.openxmlformats.org/officeDocument/2006/relationships/chart" Target="charts/chart5.xml"/><Relationship Id="rId11" Type="http://schemas.openxmlformats.org/officeDocument/2006/relationships/chart" Target="charts/chart6.xml"/><Relationship Id="rId12" Type="http://schemas.openxmlformats.org/officeDocument/2006/relationships/chart" Target="charts/chart7.xml"/><Relationship Id="rId13" Type="http://schemas.openxmlformats.org/officeDocument/2006/relationships/styles" Target="styles.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char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chart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Times New Roman"/>
                <a:ea typeface="宋体"/>
                <a:cs typeface="Lucida Sans"/>
              </a:defRPr>
            </a:pPr>
            <a:r>
              <a:rPr lang="zh-CN"/>
              <a:t>收、支决算总计</a:t>
            </a:r>
          </a:p>
        </c:rich>
      </c:tx>
      <c:layout>
        <c:manualLayout>
          <c:xMode val="edge"/>
          <c:yMode val="edge"/>
          <c:x val="0.38976216"/>
          <c:y val="0.0"/>
        </c:manualLayout>
      </c:layout>
      <c:overlay val="0"/>
      <c:spPr>
        <a:ln>
          <a:noFill/>
        </a:ln>
      </c:spPr>
    </c:title>
    <c:autoTitleDeleted val="1"/>
    <c:plotArea>
      <c:layout>
        <c:manualLayout>
          <c:layoutTarget val="inner"/>
          <c:xMode val="edge"/>
          <c:yMode val="edge"/>
          <c:x val="0.17657329"/>
          <c:y val="0.118682"/>
          <c:w val="0.74249864"/>
          <c:h val="0.68306154"/>
        </c:manualLayout>
      </c:layout>
      <c:barChart>
        <c:barDir val="col"/>
        <c:grouping val="stacked"/>
        <c:varyColors val="0"/>
        <c:ser>
          <c:idx val="0"/>
          <c:order val="0"/>
          <c:tx>
            <c:strRef>
              <c:f>'Sheet1'!$B$1</c:f>
              <c:strCache>
                <c:ptCount val="1"/>
                <c:pt idx="0">
                  <c:v>系列 1</c:v>
                </c:pt>
              </c:strCache>
            </c:strRef>
          </c:tx>
          <c:spPr>
            <a:solidFill>
              <a:srgbClr val="4F81BD"/>
            </a:solidFill>
          </c:spPr>
          <c:invertIfNegative val="0"/>
          <c:dLbls>
            <c:txPr>
              <a:bodyPr/>
              <a:lstStyle/>
              <a:p>
                <a:pPr>
                  <a:defRPr sz="1000" b="0" i="0" u="none" strike="noStrike" baseline="0">
                    <a:solidFill>
                      <a:srgbClr val="000000"/>
                    </a:solidFill>
                    <a:latin typeface="Times New Roman"/>
                    <a:ea typeface="宋体"/>
                    <a:cs typeface="Lucida Sans"/>
                  </a:defRPr>
                </a:pPr>
                <a:endParaRPr lang="zh-CN"/>
              </a:p>
            </c:txPr>
            <c:numFmt formatCode="General" sourceLinked="1"/>
            <c:showLegendKey val="0"/>
            <c:showVal val="0"/>
            <c:showCatName val="0"/>
            <c:showSerName val="0"/>
            <c:showPercent val="0"/>
            <c:showBubbleSize val="0"/>
            <c:showLeaderLines val="0"/>
          </c:dLbls>
          <c:cat>
            <c:strRef>
              <c:f>'Sheet1'!$A$2:$A$3</c:f>
              <c:strCache>
                <c:ptCount val="2"/>
                <c:pt idx="0">
                  <c:v>2018年</c:v>
                </c:pt>
                <c:pt idx="1">
                  <c:v>2019年</c:v>
                </c:pt>
              </c:strCache>
            </c:strRef>
          </c:cat>
          <c:val>
            <c:numRef>
              <c:f>'Sheet1'!$B$2:$B$3</c:f>
              <c:numCache>
                <c:formatCode>General</c:formatCode>
                <c:ptCount val="2"/>
                <c:pt idx="0">
                  <c:v>9269.57</c:v>
                </c:pt>
                <c:pt idx="1">
                  <c:v>10989.19</c:v>
                </c:pt>
              </c:numCache>
            </c:numRef>
          </c:val>
        </c:ser>
        <c:overlap val="100"/>
        <c:gapWidth val="150"/>
        <c:axId val="0"/>
        <c:axId val="1"/>
      </c:barChart>
      <c:catAx>
        <c:axId val="0"/>
        <c:scaling>
          <c:orientation val="minMax"/>
        </c:scaling>
        <c:delete val="0"/>
        <c:axPos val="b"/>
        <c:numFmt formatCode="General" sourceLinked="1"/>
        <c:majorTickMark val="out"/>
        <c:minorTickMark val="none"/>
        <c:tickLblPos val="nextTo"/>
        <c:txPr>
          <a:bodyPr/>
          <a:lstStyle/>
          <a:p>
            <a:pPr>
              <a:defRPr sz="1000" b="0" i="0" u="none" strike="noStrike" baseline="0">
                <a:solidFill>
                  <a:srgbClr val="000000"/>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numFmt formatCode="General" sourceLinked="1"/>
        <c:majorTickMark val="out"/>
        <c:minorTickMark val="none"/>
        <c:tickLblPos val="nextTo"/>
        <c:txPr>
          <a:bodyPr/>
          <a:lstStyle/>
          <a:p>
            <a:pPr>
              <a:defRPr sz="1000" b="0" i="0" u="none" strike="noStrike" baseline="0">
                <a:solidFill>
                  <a:srgbClr val="000000"/>
                </a:solidFill>
                <a:latin typeface="Times New Roman"/>
                <a:ea typeface="宋体"/>
                <a:cs typeface="Lucida Sans"/>
              </a:defRPr>
            </a:pPr>
            <a:endParaRPr lang="zh-CN"/>
          </a:p>
        </c:txPr>
        <c:crossesAt val="1.0"/>
        <c:crossBetween val="between"/>
        <c:crossAx val="0"/>
      </c:valAx>
      <c:spPr>
        <a:solidFill>
          <a:srgbClr val="FFFFFF"/>
        </a:solidFill>
      </c:spPr>
    </c:plotArea>
    <c:plotVisOnly val="1"/>
    <c:dispBlanksAs val="gap"/>
    <c:showDLblsOverMax val="0"/>
  </c:chart>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Times New Roman"/>
                <a:ea typeface="宋体"/>
                <a:cs typeface="Lucida Sans"/>
              </a:defRPr>
            </a:pPr>
            <a:r>
              <a:rPr lang="zh-CN"/>
              <a:t>本年收入</a:t>
            </a:r>
          </a:p>
        </c:rich>
      </c:tx>
      <c:layout>
        <c:manualLayout>
          <c:xMode val="edge"/>
          <c:yMode val="edge"/>
          <c:x val="0.40870643"/>
          <c:y val="0.043895748"/>
        </c:manualLayout>
      </c:layout>
      <c:overlay val="0"/>
      <c:spPr>
        <a:ln>
          <a:noFill/>
        </a:ln>
      </c:spPr>
    </c:title>
    <c:autoTitleDeleted val="1"/>
    <c:plotArea>
      <c:layout/>
      <c:pieChart>
        <c:varyColors val="1"/>
        <c:ser>
          <c:idx val="0"/>
          <c:order val="0"/>
          <c:tx>
            <c:strRef>
              <c:f>'Sheet1 (2)'!$B$1</c:f>
              <c:strCache>
                <c:ptCount val="1"/>
                <c:pt idx="0">
                  <c:v>销售额</c:v>
                </c:pt>
              </c:strCache>
            </c:strRef>
          </c:tx>
          <c:spPr>
            <a:solidFill>
              <a:srgbClr val="4F81BD"/>
            </a:solidFill>
          </c:spPr>
          <c:dPt>
            <c:idx val="0"/>
            <c:bubble3D val="0"/>
            <c:spPr>
              <a:solidFill>
                <a:srgbClr val="4F81BD"/>
              </a:solidFill>
            </c:spPr>
          </c:dPt>
          <c:dPt>
            <c:idx val="1"/>
            <c:bubble3D val="0"/>
            <c:spPr>
              <a:solidFill>
                <a:srgbClr val="C0504D"/>
              </a:solidFill>
            </c:spPr>
          </c:dPt>
          <c:dLbls>
            <c:txPr>
              <a:bodyPr/>
              <a:lstStyle/>
              <a:p>
                <a:pPr>
                  <a:defRPr sz="1000" b="0" i="0" u="none" strike="noStrike" baseline="0">
                    <a:solidFill>
                      <a:srgbClr val="000000"/>
                    </a:solidFill>
                    <a:latin typeface="Times New Roman"/>
                    <a:ea typeface="宋体"/>
                    <a:cs typeface="Lucida Sans"/>
                  </a:defRPr>
                </a:pPr>
                <a:endParaRPr lang="zh-CN"/>
              </a:p>
            </c:txPr>
            <c:numFmt formatCode="General" sourceLinked="1"/>
            <c:showLegendKey val="0"/>
            <c:showVal val="0"/>
            <c:showCatName val="0"/>
            <c:showSerName val="0"/>
            <c:showPercent val="0"/>
            <c:showBubbleSize val="0"/>
            <c:showLeaderLines val="0"/>
          </c:dLbls>
          <c:cat>
            <c:strRef>
              <c:f>'Sheet1 (2)'!$A$2:$A$3</c:f>
              <c:strCache>
                <c:ptCount val="2"/>
                <c:pt idx="0">
                  <c:v>一般公共预算财政拨款收入</c:v>
                </c:pt>
                <c:pt idx="1">
                  <c:v>政府性基金预算财政拨款收入</c:v>
                </c:pt>
              </c:strCache>
            </c:strRef>
          </c:cat>
          <c:val>
            <c:numRef>
              <c:f>'Sheet1 (2)'!$B$2:$B$3</c:f>
              <c:numCache>
                <c:formatCode>General</c:formatCode>
                <c:ptCount val="2"/>
                <c:pt idx="0">
                  <c:v>3887.77</c:v>
                </c:pt>
                <c:pt idx="1">
                  <c:v>3410.92</c:v>
                </c:pt>
              </c:numCache>
            </c:numRef>
          </c:val>
        </c:ser>
        <c:firstSliceAng val="0"/>
      </c:pieChart>
      <c:spPr>
        <a:noFill/>
      </c:spPr>
    </c:plotArea>
    <c:legend>
      <c:legendPos val="r"/>
      <c:layout/>
      <c:overlay val="0"/>
      <c:spPr>
        <a:noFill/>
        <a:ln>
          <a:noFill/>
        </a:ln>
      </c:spPr>
      <c:txPr>
        <a:bodyPr/>
        <a:lstStyle/>
        <a:p>
          <a:pPr>
            <a:defRPr sz="1000" b="0" i="0" u="none" strike="noStrike" baseline="0">
              <a:solidFill>
                <a:srgbClr val="000000"/>
              </a:solidFill>
              <a:latin typeface="Times New Roman"/>
              <a:ea typeface="宋体"/>
              <a:cs typeface="Lucida Sans"/>
            </a:defRPr>
          </a:pPr>
          <a:endParaRPr lang="zh-CN"/>
        </a:p>
      </c:txPr>
    </c:legend>
    <c:plotVisOnly val="1"/>
    <c:dispBlanksAs val="zero"/>
    <c:showDLblsOverMax val="0"/>
  </c:chart>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tx>
            <c:strRef>
              <c:f>'Sheet1 (3)'!$B$1</c:f>
              <c:strCache>
                <c:ptCount val="1"/>
                <c:pt idx="0">
                  <c:v>本年支出</c:v>
                </c:pt>
              </c:strCache>
            </c:strRef>
          </c:tx>
          <c:spPr>
            <a:solidFill>
              <a:srgbClr val="4F81BD"/>
            </a:solidFill>
          </c:spPr>
          <c:dPt>
            <c:idx val="0"/>
            <c:bubble3D val="0"/>
            <c:spPr>
              <a:solidFill>
                <a:srgbClr val="4F81BD"/>
              </a:solidFill>
            </c:spPr>
          </c:dPt>
          <c:dPt>
            <c:idx val="1"/>
            <c:bubble3D val="0"/>
            <c:spPr>
              <a:solidFill>
                <a:srgbClr val="C0504D"/>
              </a:solidFill>
            </c:spPr>
          </c:dPt>
          <c:dLbls>
            <c:txPr>
              <a:bodyPr/>
              <a:lstStyle/>
              <a:p>
                <a:pPr>
                  <a:defRPr sz="1000" b="0" i="0" u="none" strike="noStrike" baseline="0">
                    <a:solidFill>
                      <a:srgbClr val="000000"/>
                    </a:solidFill>
                    <a:latin typeface="Times New Roman"/>
                    <a:ea typeface="宋体"/>
                    <a:cs typeface="Lucida Sans"/>
                  </a:defRPr>
                </a:pPr>
                <a:endParaRPr lang="zh-CN"/>
              </a:p>
            </c:txPr>
            <c:numFmt formatCode="General" sourceLinked="1"/>
            <c:showLegendKey val="0"/>
            <c:showVal val="0"/>
            <c:showCatName val="0"/>
            <c:showSerName val="0"/>
            <c:showPercent val="0"/>
            <c:showBubbleSize val="0"/>
            <c:showLeaderLines val="0"/>
          </c:dLbls>
          <c:cat>
            <c:strRef>
              <c:f>'Sheet1 (3)'!$A$2:$A$3</c:f>
              <c:strCache>
                <c:ptCount val="2"/>
                <c:pt idx="0">
                  <c:v>基本支出</c:v>
                </c:pt>
                <c:pt idx="1">
                  <c:v>项目支出</c:v>
                </c:pt>
              </c:strCache>
            </c:strRef>
          </c:cat>
          <c:val>
            <c:numRef>
              <c:f>'Sheet1 (3)'!$B$2:$B$3</c:f>
              <c:numCache>
                <c:formatCode>General</c:formatCode>
                <c:ptCount val="2"/>
                <c:pt idx="0">
                  <c:v>438.7</c:v>
                </c:pt>
                <c:pt idx="1">
                  <c:v>7386.53</c:v>
                </c:pt>
              </c:numCache>
            </c:numRef>
          </c:val>
        </c:ser>
        <c:firstSliceAng val="0"/>
      </c:pieChart>
      <c:spPr>
        <a:noFill/>
      </c:spPr>
    </c:plotArea>
    <c:legend>
      <c:legendPos val="r"/>
      <c:layout/>
      <c:overlay val="0"/>
      <c:spPr>
        <a:noFill/>
        <a:ln>
          <a:noFill/>
        </a:ln>
      </c:spPr>
      <c:txPr>
        <a:bodyPr/>
        <a:lstStyle/>
        <a:p>
          <a:pPr>
            <a:defRPr sz="1000" b="0" i="0" u="none" strike="noStrike" baseline="0">
              <a:solidFill>
                <a:srgbClr val="000000"/>
              </a:solidFill>
              <a:latin typeface="Times New Roman"/>
              <a:ea typeface="宋体"/>
              <a:cs typeface="Lucida Sans"/>
            </a:defRPr>
          </a:pPr>
          <a:endParaRPr lang="zh-CN"/>
        </a:p>
      </c:txPr>
    </c:legend>
    <c:plotVisOnly val="1"/>
    <c:dispBlanksAs val="zero"/>
    <c:showDLblsOverMax val="0"/>
  </c:chart>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Times New Roman"/>
                <a:ea typeface="宋体"/>
                <a:cs typeface="Lucida Sans"/>
              </a:defRPr>
            </a:pPr>
            <a:r>
              <a:rPr lang="zh-CN"/>
              <a:t>财政拨款收入支出总体情况</a:t>
            </a:r>
          </a:p>
        </c:rich>
      </c:tx>
      <c:layout/>
      <c:overlay val="0"/>
      <c:spPr>
        <a:ln>
          <a:noFill/>
        </a:ln>
      </c:spPr>
    </c:title>
    <c:autoTitleDeleted val="1"/>
    <c:plotArea>
      <c:layout>
        <c:manualLayout>
          <c:layoutTarget val="inner"/>
          <c:xMode val="edge"/>
          <c:yMode val="edge"/>
          <c:x val="0.17728348"/>
          <c:y val="0.15728594"/>
          <c:w val="0.51935875"/>
          <c:h val="0.68306154"/>
        </c:manualLayout>
      </c:layout>
      <c:barChart>
        <c:barDir val="col"/>
        <c:grouping val="stacked"/>
        <c:varyColors val="0"/>
        <c:ser>
          <c:idx val="0"/>
          <c:order val="0"/>
          <c:tx>
            <c:strRef>
              <c:f>'Sheet1 (4)'!$B$1</c:f>
              <c:strCache>
                <c:ptCount val="1"/>
                <c:pt idx="0">
                  <c:v>财政拨款收入支出总体情况</c:v>
                </c:pt>
              </c:strCache>
            </c:strRef>
          </c:tx>
          <c:spPr>
            <a:solidFill>
              <a:srgbClr val="4F81BD"/>
            </a:solidFill>
          </c:spPr>
          <c:invertIfNegative val="0"/>
          <c:dLbls>
            <c:txPr>
              <a:bodyPr/>
              <a:lstStyle/>
              <a:p>
                <a:pPr>
                  <a:defRPr sz="1000" b="0" i="0" u="none" strike="noStrike" baseline="0">
                    <a:solidFill>
                      <a:srgbClr val="000000"/>
                    </a:solidFill>
                    <a:latin typeface="Times New Roman"/>
                    <a:ea typeface="宋体"/>
                    <a:cs typeface="Lucida Sans"/>
                  </a:defRPr>
                </a:pPr>
                <a:endParaRPr lang="zh-CN"/>
              </a:p>
            </c:txPr>
            <c:numFmt formatCode="General" sourceLinked="1"/>
            <c:showLegendKey val="0"/>
            <c:showVal val="0"/>
            <c:showCatName val="0"/>
            <c:showSerName val="0"/>
            <c:showPercent val="0"/>
            <c:showBubbleSize val="0"/>
            <c:showLeaderLines val="0"/>
          </c:dLbls>
          <c:cat>
            <c:strRef>
              <c:f>'Sheet1 (4)'!$A$2:$A$3</c:f>
              <c:strCache>
                <c:ptCount val="2"/>
                <c:pt idx="0">
                  <c:v>2018年</c:v>
                </c:pt>
                <c:pt idx="1">
                  <c:v>2019年</c:v>
                </c:pt>
              </c:strCache>
            </c:strRef>
          </c:cat>
          <c:val>
            <c:numRef>
              <c:f>'Sheet1 (4)'!$B$2:$B$3</c:f>
              <c:numCache>
                <c:formatCode>General</c:formatCode>
                <c:ptCount val="2"/>
                <c:pt idx="0">
                  <c:v>9269.57</c:v>
                </c:pt>
                <c:pt idx="1">
                  <c:v>10989.19</c:v>
                </c:pt>
              </c:numCache>
            </c:numRef>
          </c:val>
        </c:ser>
        <c:overlap val="100"/>
        <c:gapWidth val="150"/>
        <c:axId val="0"/>
        <c:axId val="1"/>
      </c:barChart>
      <c:catAx>
        <c:axId val="0"/>
        <c:scaling>
          <c:orientation val="minMax"/>
        </c:scaling>
        <c:delete val="0"/>
        <c:axPos val="b"/>
        <c:numFmt formatCode="General" sourceLinked="1"/>
        <c:majorTickMark val="out"/>
        <c:minorTickMark val="none"/>
        <c:tickLblPos val="nextTo"/>
        <c:txPr>
          <a:bodyPr/>
          <a:lstStyle/>
          <a:p>
            <a:pPr>
              <a:defRPr sz="1000" b="0" i="0" u="none" strike="noStrike" baseline="0">
                <a:solidFill>
                  <a:srgbClr val="000000"/>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numFmt formatCode="General" sourceLinked="1"/>
        <c:majorTickMark val="out"/>
        <c:minorTickMark val="none"/>
        <c:tickLblPos val="nextTo"/>
        <c:txPr>
          <a:bodyPr/>
          <a:lstStyle/>
          <a:p>
            <a:pPr>
              <a:defRPr sz="1000" b="0" i="0" u="none" strike="noStrike" baseline="0">
                <a:solidFill>
                  <a:srgbClr val="000000"/>
                </a:solidFill>
                <a:latin typeface="Times New Roman"/>
                <a:ea typeface="宋体"/>
                <a:cs typeface="Lucida Sans"/>
              </a:defRPr>
            </a:pPr>
            <a:endParaRPr lang="zh-CN"/>
          </a:p>
        </c:txPr>
        <c:crossesAt val="1.0"/>
        <c:crossBetween val="between"/>
        <c:crossAx val="0"/>
      </c:valAx>
      <c:spPr>
        <a:solidFill>
          <a:srgbClr val="FFFFFF"/>
        </a:solidFill>
      </c:spPr>
    </c:plotArea>
    <c:plotVisOnly val="1"/>
    <c:dispBlanksAs val="gap"/>
    <c:showDLblsOverMax val="0"/>
  </c:chart>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Times New Roman"/>
                <a:ea typeface="宋体"/>
                <a:cs typeface="Lucida Sans"/>
              </a:defRPr>
            </a:pPr>
            <a:r>
              <a:rPr lang="zh-CN"/>
              <a:t>一般公共预算财政拨款支出</a:t>
            </a:r>
          </a:p>
        </c:rich>
      </c:tx>
      <c:layout/>
      <c:overlay val="0"/>
      <c:spPr>
        <a:ln>
          <a:noFill/>
        </a:ln>
      </c:spPr>
    </c:title>
    <c:autoTitleDeleted val="1"/>
    <c:plotArea>
      <c:layout/>
      <c:barChart>
        <c:barDir val="col"/>
        <c:grouping val="stacked"/>
        <c:varyColors val="0"/>
        <c:ser>
          <c:idx val="0"/>
          <c:order val="0"/>
          <c:tx>
            <c:strRef>
              <c:f>'Sheet1 (5)'!$B$1</c:f>
              <c:strCache>
                <c:ptCount val="1"/>
                <c:pt idx="0">
                  <c:v>系列 1</c:v>
                </c:pt>
              </c:strCache>
            </c:strRef>
          </c:tx>
          <c:spPr>
            <a:solidFill>
              <a:srgbClr val="4F81BD"/>
            </a:solidFill>
          </c:spPr>
          <c:invertIfNegative val="0"/>
          <c:dLbls>
            <c:txPr>
              <a:bodyPr/>
              <a:lstStyle/>
              <a:p>
                <a:pPr>
                  <a:defRPr sz="1000" b="0" i="0" u="none" strike="noStrike" baseline="0">
                    <a:solidFill>
                      <a:srgbClr val="000000"/>
                    </a:solidFill>
                    <a:latin typeface="Times New Roman"/>
                    <a:ea typeface="宋体"/>
                    <a:cs typeface="Lucida Sans"/>
                  </a:defRPr>
                </a:pPr>
                <a:endParaRPr lang="zh-CN"/>
              </a:p>
            </c:txPr>
            <c:numFmt formatCode="General" sourceLinked="1"/>
            <c:showLegendKey val="0"/>
            <c:showVal val="0"/>
            <c:showCatName val="0"/>
            <c:showSerName val="0"/>
            <c:showPercent val="0"/>
            <c:showBubbleSize val="0"/>
            <c:showLeaderLines val="0"/>
          </c:dLbls>
          <c:cat>
            <c:strRef>
              <c:f>'Sheet1 (5)'!$A$2:$A$3</c:f>
              <c:strCache>
                <c:ptCount val="2"/>
                <c:pt idx="0">
                  <c:v>2018年</c:v>
                </c:pt>
                <c:pt idx="1">
                  <c:v>2019年</c:v>
                </c:pt>
              </c:strCache>
            </c:strRef>
          </c:cat>
          <c:val>
            <c:numRef>
              <c:f>'Sheet1 (5)'!$B$2:$B$3</c:f>
              <c:numCache>
                <c:formatCode>General</c:formatCode>
                <c:ptCount val="2"/>
                <c:pt idx="0">
                  <c:v>5019.13</c:v>
                </c:pt>
                <c:pt idx="1">
                  <c:v>6945.31</c:v>
                </c:pt>
              </c:numCache>
            </c:numRef>
          </c:val>
        </c:ser>
        <c:overlap val="100"/>
        <c:gapWidth val="150"/>
        <c:axId val="0"/>
        <c:axId val="1"/>
      </c:barChart>
      <c:catAx>
        <c:axId val="0"/>
        <c:scaling>
          <c:orientation val="minMax"/>
        </c:scaling>
        <c:delete val="0"/>
        <c:axPos val="b"/>
        <c:numFmt formatCode="General" sourceLinked="1"/>
        <c:majorTickMark val="out"/>
        <c:minorTickMark val="none"/>
        <c:tickLblPos val="nextTo"/>
        <c:txPr>
          <a:bodyPr/>
          <a:lstStyle/>
          <a:p>
            <a:pPr>
              <a:defRPr sz="1000" b="0" i="0" u="none" strike="noStrike" baseline="0">
                <a:solidFill>
                  <a:srgbClr val="000000"/>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numFmt formatCode="General" sourceLinked="1"/>
        <c:majorTickMark val="out"/>
        <c:minorTickMark val="none"/>
        <c:tickLblPos val="nextTo"/>
        <c:txPr>
          <a:bodyPr/>
          <a:lstStyle/>
          <a:p>
            <a:pPr>
              <a:defRPr sz="1000" b="0" i="0" u="none" strike="noStrike" baseline="0">
                <a:solidFill>
                  <a:srgbClr val="000000"/>
                </a:solidFill>
                <a:latin typeface="Times New Roman"/>
                <a:ea typeface="宋体"/>
                <a:cs typeface="Lucida Sans"/>
              </a:defRPr>
            </a:pPr>
            <a:endParaRPr lang="zh-CN"/>
          </a:p>
        </c:txPr>
        <c:crossesAt val="1.0"/>
        <c:crossBetween val="between"/>
        <c:crossAx val="0"/>
      </c:valAx>
      <c:spPr>
        <a:solidFill>
          <a:srgbClr val="FFFFFF"/>
        </a:solidFill>
      </c:spPr>
    </c:plotArea>
    <c:plotVisOnly val="1"/>
    <c:dispBlanksAs val="gap"/>
    <c:showDLblsOverMax val="0"/>
  </c:chart>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Times New Roman"/>
                <a:ea typeface="宋体"/>
                <a:cs typeface="Lucida Sans"/>
              </a:defRPr>
            </a:pPr>
            <a:r>
              <a:rPr lang="zh-CN"/>
              <a:t>一般公共预算财政拨款支出</a:t>
            </a:r>
          </a:p>
        </c:rich>
      </c:tx>
      <c:layout>
        <c:manualLayout>
          <c:xMode val="edge"/>
          <c:yMode val="edge"/>
          <c:x val="0.22515315"/>
          <c:y val="0.08246056"/>
        </c:manualLayout>
      </c:layout>
      <c:overlay val="0"/>
      <c:spPr>
        <a:ln>
          <a:noFill/>
        </a:ln>
      </c:spPr>
    </c:title>
    <c:autoTitleDeleted val="1"/>
    <c:plotArea>
      <c:layout>
        <c:manualLayout>
          <c:layoutTarget val="inner"/>
          <c:xMode val="edge"/>
          <c:yMode val="edge"/>
          <c:x val="0.19527023"/>
          <c:y val="0.22456141"/>
          <c:w val="0.5329078"/>
          <c:h val="0.7754386"/>
        </c:manualLayout>
      </c:layout>
      <c:pieChart>
        <c:varyColors val="1"/>
        <c:ser>
          <c:idx val="0"/>
          <c:order val="0"/>
          <c:tx>
            <c:strRef>
              <c:f>'Sheet1 (6)'!$B$1</c:f>
              <c:strCache>
                <c:ptCount val="1"/>
                <c:pt idx="0">
                  <c:v>一般公共预算财政拨款支出</c:v>
                </c:pt>
              </c:strCache>
            </c:strRef>
          </c:tx>
          <c:spPr>
            <a:solidFill>
              <a:srgbClr val="4F81BD"/>
            </a:solidFill>
          </c:spPr>
          <c:dPt>
            <c:idx val="0"/>
            <c:bubble3D val="0"/>
            <c:spPr>
              <a:solidFill>
                <a:srgbClr val="4F81BD"/>
              </a:solidFill>
            </c:spPr>
          </c:dPt>
          <c:dPt>
            <c:idx val="1"/>
            <c:bubble3D val="0"/>
            <c:spPr>
              <a:solidFill>
                <a:srgbClr val="C0504D"/>
              </a:solidFill>
            </c:spPr>
          </c:dPt>
          <c:dPt>
            <c:idx val="2"/>
            <c:bubble3D val="0"/>
            <c:spPr>
              <a:solidFill>
                <a:srgbClr val="9BBB59"/>
              </a:solidFill>
            </c:spPr>
          </c:dPt>
          <c:dPt>
            <c:idx val="3"/>
            <c:bubble3D val="0"/>
            <c:spPr>
              <a:solidFill>
                <a:srgbClr val="8064A2"/>
              </a:solidFill>
            </c:spPr>
          </c:dPt>
          <c:dLbls>
            <c:txPr>
              <a:bodyPr/>
              <a:lstStyle/>
              <a:p>
                <a:pPr>
                  <a:defRPr sz="1000" b="0" i="0" u="none" strike="noStrike" baseline="0">
                    <a:solidFill>
                      <a:srgbClr val="000000"/>
                    </a:solidFill>
                    <a:latin typeface="Times New Roman"/>
                    <a:ea typeface="宋体"/>
                    <a:cs typeface="Lucida Sans"/>
                  </a:defRPr>
                </a:pPr>
                <a:endParaRPr lang="zh-CN"/>
              </a:p>
            </c:txPr>
            <c:numFmt formatCode="General" sourceLinked="1"/>
            <c:showLegendKey val="0"/>
            <c:showVal val="0"/>
            <c:showCatName val="0"/>
            <c:showSerName val="0"/>
            <c:showPercent val="0"/>
            <c:showBubbleSize val="0"/>
            <c:showLeaderLines val="0"/>
          </c:dLbls>
          <c:cat>
            <c:strRef>
              <c:f>'Sheet1 (6)'!$A$2:$A$5</c:f>
              <c:strCache>
                <c:ptCount val="4"/>
                <c:pt idx="0">
                  <c:v>社会保障和就业支出</c:v>
                </c:pt>
                <c:pt idx="1">
                  <c:v>卫生健康支出</c:v>
                </c:pt>
                <c:pt idx="2">
                  <c:v>农林水支出</c:v>
                </c:pt>
                <c:pt idx="3">
                  <c:v>住房保障支出</c:v>
                </c:pt>
              </c:strCache>
            </c:strRef>
          </c:cat>
          <c:val>
            <c:numRef>
              <c:f>'Sheet1 (6)'!$B$2:$B$5</c:f>
              <c:numCache>
                <c:formatCode>General</c:formatCode>
                <c:ptCount val="4"/>
                <c:pt idx="0">
                  <c:v>157.7</c:v>
                </c:pt>
                <c:pt idx="1">
                  <c:v>23.47</c:v>
                </c:pt>
                <c:pt idx="2">
                  <c:v>6732.81</c:v>
                </c:pt>
                <c:pt idx="3">
                  <c:v>31.33</c:v>
                </c:pt>
              </c:numCache>
            </c:numRef>
          </c:val>
        </c:ser>
        <c:firstSliceAng val="0"/>
      </c:pieChart>
      <c:spPr>
        <a:noFill/>
      </c:spPr>
    </c:plotArea>
    <c:legend>
      <c:legendPos val="r"/>
      <c:layout>
        <c:manualLayout>
          <c:xMode val="edge"/>
          <c:yMode val="edge"/>
          <c:x val="0.7617461"/>
          <c:y val="0.41758156"/>
          <c:w val="0.2212326"/>
          <c:h val="0.3192225"/>
        </c:manualLayout>
      </c:layout>
      <c:overlay val="0"/>
      <c:spPr>
        <a:noFill/>
        <a:ln>
          <a:noFill/>
        </a:ln>
      </c:spPr>
      <c:txPr>
        <a:bodyPr/>
        <a:lstStyle/>
        <a:p>
          <a:pPr>
            <a:defRPr sz="1000" b="0" i="0" u="none" strike="noStrike" baseline="0">
              <a:solidFill>
                <a:srgbClr val="000000"/>
              </a:solidFill>
              <a:latin typeface="Times New Roman"/>
              <a:ea typeface="宋体"/>
              <a:cs typeface="Lucida Sans"/>
            </a:defRPr>
          </a:pPr>
          <a:endParaRPr lang="zh-CN"/>
        </a:p>
      </c:txPr>
    </c:legend>
    <c:plotVisOnly val="1"/>
    <c:dispBlanksAs val="zero"/>
    <c:showDLblsOverMax val="0"/>
  </c:chart>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Times New Roman"/>
                <a:ea typeface="宋体"/>
                <a:cs typeface="Lucida Sans"/>
              </a:defRPr>
            </a:pPr>
            <a:r>
              <a:rPr lang="zh-CN"/>
              <a:t>三公经费</a:t>
            </a:r>
          </a:p>
        </c:rich>
      </c:tx>
      <c:layout/>
      <c:overlay val="0"/>
      <c:spPr>
        <a:ln>
          <a:noFill/>
        </a:ln>
      </c:spPr>
    </c:title>
    <c:autoTitleDeleted val="1"/>
    <c:plotArea>
      <c:layout/>
      <c:pieChart>
        <c:varyColors val="1"/>
        <c:ser>
          <c:idx val="0"/>
          <c:order val="0"/>
          <c:tx>
            <c:strRef>
              <c:f>'Sheet1 (7)'!$B$1</c:f>
              <c:strCache>
                <c:ptCount val="1"/>
                <c:pt idx="0">
                  <c:v>三公经费</c:v>
                </c:pt>
              </c:strCache>
            </c:strRef>
          </c:tx>
          <c:spPr>
            <a:solidFill>
              <a:srgbClr val="4F81BD"/>
            </a:solidFill>
          </c:spPr>
          <c:dPt>
            <c:idx val="0"/>
            <c:bubble3D val="0"/>
            <c:spPr>
              <a:solidFill>
                <a:srgbClr val="4F81BD"/>
              </a:solidFill>
            </c:spPr>
          </c:dPt>
          <c:dPt>
            <c:idx val="1"/>
            <c:bubble3D val="0"/>
            <c:spPr>
              <a:solidFill>
                <a:srgbClr val="C0504D"/>
              </a:solidFill>
            </c:spPr>
          </c:dPt>
          <c:dPt>
            <c:idx val="2"/>
            <c:bubble3D val="0"/>
            <c:spPr>
              <a:solidFill>
                <a:srgbClr val="9BBB59"/>
              </a:solidFill>
            </c:spPr>
          </c:dPt>
          <c:dLbls>
            <c:txPr>
              <a:bodyPr/>
              <a:lstStyle/>
              <a:p>
                <a:pPr>
                  <a:defRPr sz="1000" b="0" i="0" u="none" strike="noStrike" baseline="0">
                    <a:solidFill>
                      <a:srgbClr val="000000"/>
                    </a:solidFill>
                    <a:latin typeface="Times New Roman"/>
                    <a:ea typeface="宋体"/>
                    <a:cs typeface="Lucida Sans"/>
                  </a:defRPr>
                </a:pPr>
                <a:endParaRPr lang="zh-CN"/>
              </a:p>
            </c:txPr>
            <c:numFmt formatCode="General" sourceLinked="1"/>
            <c:showLegendKey val="0"/>
            <c:showVal val="0"/>
            <c:showCatName val="0"/>
            <c:showSerName val="0"/>
            <c:showPercent val="0"/>
            <c:showBubbleSize val="0"/>
            <c:showLeaderLines val="0"/>
          </c:dLbls>
          <c:cat>
            <c:strRef>
              <c:f>'Sheet1 (7)'!$A$2:$A$4</c:f>
              <c:strCache>
                <c:ptCount val="3"/>
                <c:pt idx="0">
                  <c:v>因公出国经费</c:v>
                </c:pt>
                <c:pt idx="1">
                  <c:v>公务用车购置及运行维护费</c:v>
                </c:pt>
                <c:pt idx="2">
                  <c:v>公务接待费</c:v>
                </c:pt>
              </c:strCache>
            </c:strRef>
          </c:cat>
          <c:val>
            <c:numRef>
              <c:f>'Sheet1 (7)'!$B$2:$B$4</c:f>
              <c:numCache>
                <c:formatCode>General</c:formatCode>
                <c:ptCount val="3"/>
                <c:pt idx="0">
                  <c:v>0.0</c:v>
                </c:pt>
                <c:pt idx="1">
                  <c:v>8.76</c:v>
                </c:pt>
                <c:pt idx="2">
                  <c:v>0.54</c:v>
                </c:pt>
              </c:numCache>
            </c:numRef>
          </c:val>
        </c:ser>
        <c:firstSliceAng val="0"/>
      </c:pieChart>
      <c:spPr>
        <a:noFill/>
      </c:spPr>
    </c:plotArea>
    <c:legend>
      <c:legendPos val="r"/>
      <c:layout/>
      <c:overlay val="0"/>
      <c:spPr>
        <a:noFill/>
        <a:ln>
          <a:noFill/>
        </a:ln>
      </c:spPr>
      <c:txPr>
        <a:bodyPr/>
        <a:lstStyle/>
        <a:p>
          <a:pPr>
            <a:defRPr sz="1000" b="0" i="0" u="none" strike="noStrike" baseline="0">
              <a:solidFill>
                <a:srgbClr val="000000"/>
              </a:solidFill>
              <a:latin typeface="Times New Roman"/>
              <a:ea typeface="宋体"/>
              <a:cs typeface="Lucida Sans"/>
            </a:defRPr>
          </a:pPr>
          <a:endParaRPr lang="zh-CN"/>
        </a:p>
      </c:txPr>
    </c:legend>
    <c:plotVisOnly val="1"/>
    <c:dispBlanksAs val="gap"/>
    <c:showDLblsOverMax val="0"/>
  </c:chart>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1</TotalTime>
  <Application>Yozo_Office27021597764231179</Application>
  <Pages>35</Pages>
  <Words>11733</Words>
  <Characters>13059</Characters>
  <Lines>1046</Lines>
  <Paragraphs>446</Paragraphs>
  <CharactersWithSpaces>13096</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四川省***</dc:title>
  <dc:creator>曹颖</dc:creator>
  <cp:lastModifiedBy>user</cp:lastModifiedBy>
  <cp:revision>190</cp:revision>
  <cp:lastPrinted>2020-09-24T03:24:00Z</cp:lastPrinted>
  <dcterms:created xsi:type="dcterms:W3CDTF">2020-09-21T09:11:00Z</dcterms:created>
  <dcterms:modified xsi:type="dcterms:W3CDTF">2022-12-20T08:50:33Z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2052-11.1.0.10314</vt:lpwstr>
  </property>
</Properties>
</file>