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jc w:val="center"/>
        <w:outlineLvl w:val="0"/>
        <w:rPr>
          <w:rFonts w:ascii="方正小标宋简体" w:eastAsia="方正小标宋简体"/>
          <w:color w:val="000000"/>
          <w:sz w:val="72"/>
          <w:szCs w:val="72"/>
        </w:rPr>
      </w:pPr>
      <w:bookmarkStart w:id="0" w:name="_Toc15306267"/>
    </w:p>
    <w:p>
      <w:pPr>
        <w:spacing w:line="576" w:lineRule="exact"/>
        <w:jc w:val="center"/>
        <w:outlineLvl w:val="0"/>
        <w:rPr>
          <w:rFonts w:ascii="方正小标宋简体" w:eastAsia="方正小标宋简体"/>
          <w:color w:val="000000"/>
          <w:sz w:val="72"/>
          <w:szCs w:val="72"/>
        </w:rPr>
      </w:pPr>
    </w:p>
    <w:p>
      <w:pPr>
        <w:spacing w:line="576" w:lineRule="exact"/>
        <w:jc w:val="center"/>
        <w:outlineLvl w:val="0"/>
        <w:rPr>
          <w:rFonts w:ascii="方正小标宋简体" w:eastAsia="方正小标宋简体"/>
          <w:color w:val="000000"/>
          <w:sz w:val="72"/>
          <w:szCs w:val="72"/>
        </w:rPr>
      </w:pPr>
    </w:p>
    <w:p>
      <w:pPr>
        <w:spacing w:line="576" w:lineRule="exact"/>
        <w:jc w:val="center"/>
        <w:rPr>
          <w:rFonts w:ascii="方正小标宋简体" w:eastAsia="方正小标宋简体"/>
          <w:sz w:val="52"/>
          <w:szCs w:val="52"/>
        </w:rPr>
      </w:pPr>
      <w:bookmarkStart w:id="1" w:name="_Toc15378441"/>
      <w:bookmarkStart w:id="2" w:name="_Toc15396475"/>
      <w:bookmarkStart w:id="3" w:name="_Toc15377193"/>
      <w:bookmarkStart w:id="4" w:name="_Toc15377425"/>
      <w:bookmarkStart w:id="5" w:name="_Toc15396597"/>
      <w:r>
        <w:rPr>
          <w:rFonts w:ascii="方正小标宋简体" w:eastAsia="方正小标宋简体" w:hint="eastAsia"/>
          <w:sz w:val="52"/>
          <w:szCs w:val="52"/>
        </w:rPr>
        <w:t>2020年度</w:t>
      </w:r>
      <w:bookmarkEnd w:id="1"/>
      <w:bookmarkEnd w:id="2"/>
      <w:bookmarkEnd w:id="3"/>
      <w:bookmarkEnd w:id="4"/>
      <w:bookmarkEnd w:id="5"/>
    </w:p>
    <w:p>
      <w:pPr>
        <w:spacing w:line="576" w:lineRule="exact"/>
        <w:jc w:val="center"/>
        <w:rPr>
          <w:rFonts w:ascii="方正小标宋简体" w:eastAsia="方正小标宋简体"/>
          <w:sz w:val="52"/>
          <w:szCs w:val="52"/>
        </w:rPr>
      </w:pPr>
      <w:bookmarkStart w:id="6" w:name="_Toc15377426"/>
      <w:bookmarkStart w:id="7" w:name="_Toc15377194"/>
      <w:bookmarkStart w:id="8" w:name="_Toc15396598"/>
      <w:bookmarkStart w:id="9" w:name="_Toc15378442"/>
      <w:bookmarkStart w:id="10" w:name="_Toc15396476"/>
      <w:r>
        <w:rPr>
          <w:rFonts w:ascii="方正小标宋简体" w:eastAsia="方正小标宋简体" w:hint="eastAsia"/>
          <w:sz w:val="52"/>
          <w:szCs w:val="52"/>
        </w:rPr>
        <w:t>四川省茂县</w:t>
      </w:r>
      <w:bookmarkStart w:id="11" w:name="_Toc15306268"/>
      <w:bookmarkEnd w:id="0"/>
      <w:r>
        <w:rPr>
          <w:rFonts w:ascii="方正小标宋简体" w:eastAsia="方正小标宋简体" w:hint="eastAsia"/>
          <w:sz w:val="52"/>
          <w:szCs w:val="52"/>
        </w:rPr>
        <w:t>水务局部门决算</w:t>
      </w:r>
      <w:bookmarkEnd w:id="6"/>
      <w:bookmarkEnd w:id="7"/>
      <w:bookmarkEnd w:id="8"/>
      <w:bookmarkEnd w:id="9"/>
      <w:bookmarkEnd w:id="10"/>
      <w:bookmarkEnd w:id="11"/>
    </w:p>
    <w:p>
      <w:pPr>
        <w:spacing w:line="576" w:lineRule="exact"/>
        <w:jc w:val="center"/>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autoSpaceDE w:val="0"/>
        <w:autoSpaceDN w:val="0"/>
        <w:adjustRightInd w:val="0"/>
        <w:spacing w:line="576" w:lineRule="exact"/>
        <w:ind w:leftChars="200" w:left="420"/>
        <w:jc w:val="left"/>
        <w:rPr>
          <w:rFonts w:ascii="宋体" w:cs="仿宋_GB2312"/>
          <w:sz w:val="32"/>
          <w:szCs w:val="32"/>
        </w:rPr>
      </w:pPr>
      <w:r>
        <w:rPr>
          <w:rFonts w:ascii="宋体" w:cs="仿宋_GB2312" w:hint="eastAsia"/>
          <w:sz w:val="32"/>
          <w:szCs w:val="32"/>
        </w:rPr>
        <w:t>保密审查情况：</w:t>
      </w:r>
    </w:p>
    <w:p>
      <w:pPr>
        <w:autoSpaceDE w:val="0"/>
        <w:autoSpaceDN w:val="0"/>
        <w:adjustRightInd w:val="0"/>
        <w:spacing w:line="576" w:lineRule="exact"/>
        <w:ind w:leftChars="200" w:left="420"/>
        <w:jc w:val="left"/>
        <w:rPr>
          <w:rFonts w:ascii="宋体"/>
          <w:sz w:val="32"/>
          <w:szCs w:val="32"/>
        </w:rPr>
      </w:pPr>
      <w:r>
        <w:rPr>
          <w:rFonts w:ascii="宋体" w:cs="仿宋_GB2312" w:hint="eastAsia"/>
          <w:sz w:val="32"/>
          <w:szCs w:val="32"/>
        </w:rPr>
        <w:t>部门主要负责人审签情况：</w:t>
      </w:r>
      <w:r>
        <w:rPr>
          <w:rFonts w:ascii="宋体"/>
          <w:sz w:val="32"/>
          <w:szCs w:val="32"/>
        </w:rPr>
        <w:t xml:space="preserve"> </w:t>
      </w:r>
    </w:p>
    <w:p>
      <w:pPr>
        <w:widowControl/>
        <w:spacing w:line="576" w:lineRule="exact"/>
        <w:jc w:val="center"/>
        <w:rPr>
          <w:rFonts w:ascii="方正小标宋简体" w:eastAsia="方正小标宋简体"/>
          <w:color w:val="000000"/>
          <w:sz w:val="36"/>
          <w:szCs w:val="36"/>
        </w:rPr>
      </w:pPr>
    </w:p>
    <w:p>
      <w:pPr>
        <w:widowControl/>
        <w:spacing w:line="560" w:lineRule="exact"/>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t>目录</w:t>
      </w:r>
    </w:p>
    <w:p>
      <w:pPr>
        <w:pStyle w:val="24"/>
        <w:spacing w:line="560" w:lineRule="exact"/>
        <w:jc w:val="center"/>
        <w:rPr>
          <w:b w:val="0"/>
          <w:bCs w:val="0"/>
          <w:sz w:val="24"/>
          <w:szCs w:val="24"/>
        </w:rPr>
      </w:pPr>
      <w:r>
        <w:rPr>
          <w:rFonts w:hint="eastAsia"/>
          <w:b w:val="0"/>
          <w:bCs w:val="0"/>
          <w:sz w:val="24"/>
          <w:szCs w:val="24"/>
        </w:rPr>
        <w:t>公开时间：2021年9月27日</w:t>
      </w:r>
    </w:p>
    <w:p>
      <w:pPr>
        <w:pStyle w:val="24"/>
        <w:tabs>
          <w:tab w:val="right" w:leader="dot" w:pos="8296"/>
        </w:tabs>
        <w:spacing w:line="400" w:lineRule="exact"/>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第一部分部门概况</w:t>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27"/>
        <w:tabs>
          <w:tab w:val="right" w:leader="dot" w:pos="8296"/>
        </w:tabs>
        <w:spacing w:line="400" w:lineRule="exact"/>
        <w:rPr>
          <w:rFonts w:ascii="仿宋" w:eastAsia="仿宋"/>
        </w:rPr>
      </w:pPr>
      <w:r>
        <w:rPr>
          <w:rFonts w:ascii="仿宋" w:eastAsia="仿宋"/>
        </w:rPr>
        <w:t>一、基本职能及主要工作</w:t>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18"/>
        <w:tabs>
          <w:tab w:val="right" w:leader="dot" w:pos="8296"/>
        </w:tabs>
        <w:spacing w:line="400" w:lineRule="exact"/>
        <w:rPr>
          <w:rFonts w:ascii="仿宋" w:eastAsia="仿宋"/>
          <w:i w:val="0"/>
          <w:iCs w:val="0"/>
          <w:caps w:val="0"/>
          <w:smallCaps/>
        </w:rPr>
      </w:pPr>
      <w:r>
        <w:rPr>
          <w:rFonts w:ascii="仿宋" w:eastAsia="仿宋"/>
          <w:i w:val="0"/>
          <w:iCs w:val="0"/>
          <w:caps w:val="0"/>
          <w:smallCaps/>
        </w:rPr>
        <w:t>（一）主要职能</w:t>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8"/>
        <w:tabs>
          <w:tab w:val="right" w:leader="dot" w:pos="8296"/>
        </w:tabs>
        <w:spacing w:line="400" w:lineRule="exact"/>
        <w:rPr>
          <w:rFonts w:ascii="仿宋" w:eastAsia="仿宋"/>
          <w:i w:val="0"/>
          <w:iCs w:val="0"/>
          <w:caps w:val="0"/>
          <w:smallCaps/>
        </w:rPr>
      </w:pPr>
      <w:r>
        <w:rPr>
          <w:rFonts w:ascii="仿宋" w:eastAsia="仿宋"/>
          <w:i w:val="0"/>
          <w:iCs w:val="0"/>
          <w:caps w:val="0"/>
          <w:smallCaps/>
        </w:rPr>
        <w:t>（二）2020年重点工作完成情况</w:t>
        <w:tab/>
      </w:r>
      <w:r>
        <w:rPr>
          <w:rFonts w:ascii="仿宋" w:eastAsia="仿宋" w:hint="eastAsia"/>
          <w:i w:val="0"/>
          <w:iCs w:val="0"/>
          <w:caps w:val="0"/>
          <w:smallCaps/>
        </w:rPr>
        <w:t>5</w:t>
      </w:r>
    </w:p>
    <w:p>
      <w:pPr>
        <w:pStyle w:val="27"/>
        <w:tabs>
          <w:tab w:val="right" w:leader="dot" w:pos="8296"/>
        </w:tabs>
        <w:spacing w:line="400" w:lineRule="exact"/>
        <w:rPr>
          <w:rFonts w:ascii="仿宋" w:eastAsia="仿宋"/>
        </w:rPr>
      </w:pPr>
      <w:r>
        <w:rPr>
          <w:rFonts w:ascii="仿宋" w:eastAsia="仿宋"/>
        </w:rPr>
        <w:t>二、机构设置</w:t>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8</w:t>
      </w:r>
      <w:r>
        <w:rPr>
          <w:rFonts w:ascii="仿宋" w:eastAsia="仿宋"/>
        </w:rPr>
        <w:fldChar w:fldCharType="end"/>
      </w:r>
    </w:p>
    <w:p>
      <w:pPr>
        <w:pStyle w:val="24"/>
        <w:tabs>
          <w:tab w:val="right" w:leader="dot" w:pos="8296"/>
        </w:tabs>
        <w:spacing w:line="400" w:lineRule="exact"/>
        <w:rPr>
          <w:rFonts w:ascii="仿宋" w:eastAsia="仿宋"/>
          <w:b w:val="0"/>
          <w:bCs w:val="0"/>
          <w:caps w:val="0"/>
          <w:smallCaps/>
        </w:rPr>
      </w:pPr>
      <w:r>
        <w:rPr>
          <w:rFonts w:ascii="仿宋" w:eastAsia="仿宋"/>
          <w:b w:val="0"/>
          <w:bCs w:val="0"/>
          <w:caps w:val="0"/>
          <w:smallCaps/>
        </w:rPr>
        <w:t>第二部分2020年度部门决算情况说明</w:t>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9</w:t>
      </w:r>
      <w:r>
        <w:rPr>
          <w:rFonts w:ascii="仿宋" w:eastAsia="仿宋"/>
          <w:b w:val="0"/>
          <w:bCs w:val="0"/>
          <w:caps w:val="0"/>
          <w:smallCaps/>
        </w:rPr>
        <w:fldChar w:fldCharType="end"/>
      </w:r>
    </w:p>
    <w:p>
      <w:pPr>
        <w:pStyle w:val="27"/>
        <w:tabs>
          <w:tab w:val="left" w:pos="840"/>
          <w:tab w:val="right" w:leader="dot" w:pos="8296"/>
        </w:tabs>
        <w:spacing w:line="400" w:lineRule="exact"/>
        <w:rPr>
          <w:rFonts w:ascii="仿宋" w:eastAsia="仿宋"/>
        </w:rPr>
      </w:pPr>
      <w:r>
        <w:rPr>
          <w:rFonts w:ascii="仿宋" w:eastAsia="仿宋"/>
        </w:rPr>
        <w:t>一、</w:t>
        <w:tab/>
        <w:t>收入支出决算总体情况说明</w:t>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9</w:t>
      </w:r>
      <w:r>
        <w:rPr>
          <w:rFonts w:ascii="仿宋" w:eastAsia="仿宋"/>
        </w:rPr>
        <w:fldChar w:fldCharType="end"/>
      </w:r>
    </w:p>
    <w:p>
      <w:pPr>
        <w:pStyle w:val="27"/>
        <w:tabs>
          <w:tab w:val="left" w:pos="840"/>
          <w:tab w:val="right" w:leader="dot" w:pos="8296"/>
        </w:tabs>
        <w:spacing w:line="400" w:lineRule="exact"/>
        <w:rPr>
          <w:rFonts w:ascii="仿宋" w:eastAsia="仿宋"/>
        </w:rPr>
      </w:pPr>
      <w:r>
        <w:rPr>
          <w:rFonts w:ascii="仿宋" w:eastAsia="仿宋"/>
        </w:rPr>
        <w:t>二、</w:t>
        <w:tab/>
        <w:t>收入决算情况说明</w:t>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9</w:t>
      </w:r>
      <w:r>
        <w:rPr>
          <w:rFonts w:ascii="仿宋" w:eastAsia="仿宋"/>
        </w:rPr>
        <w:fldChar w:fldCharType="end"/>
      </w:r>
    </w:p>
    <w:p>
      <w:pPr>
        <w:pStyle w:val="27"/>
        <w:tabs>
          <w:tab w:val="left" w:pos="840"/>
          <w:tab w:val="right" w:leader="dot" w:pos="8296"/>
        </w:tabs>
        <w:spacing w:line="400" w:lineRule="exact"/>
        <w:rPr>
          <w:rFonts w:ascii="仿宋" w:eastAsia="仿宋"/>
        </w:rPr>
      </w:pPr>
      <w:r>
        <w:rPr>
          <w:rFonts w:ascii="仿宋" w:eastAsia="仿宋"/>
        </w:rPr>
        <w:t>三、</w:t>
        <w:tab/>
        <w:t>支出决算情况说明</w:t>
        <w:tab/>
      </w:r>
      <w:r>
        <w:rPr>
          <w:rFonts w:ascii="仿宋" w:eastAsia="仿宋"/>
        </w:rPr>
        <w:fldChar w:fldCharType="begin"/>
      </w:r>
      <w:r>
        <w:rPr>
          <w:rFonts w:ascii="仿宋" w:eastAsia="仿宋"/>
        </w:rPr>
        <w:instrText xml:space="preserve"> PAGEREF _Toc79163862 \h </w:instrText>
      </w:r>
      <w:r>
        <w:rPr>
          <w:rFonts w:ascii="仿宋" w:eastAsia="仿宋"/>
        </w:rPr>
        <w:fldChar w:fldCharType="separate"/>
      </w:r>
      <w:r>
        <w:rPr>
          <w:rFonts w:ascii="仿宋" w:eastAsia="仿宋"/>
        </w:rPr>
        <w:t>10</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四、财政拨款收入支出决算总体情况说明</w:t>
        <w:tab/>
      </w:r>
      <w:r>
        <w:rPr>
          <w:rFonts w:ascii="仿宋" w:eastAsia="仿宋"/>
        </w:rPr>
        <w:fldChar w:fldCharType="begin"/>
      </w:r>
      <w:r>
        <w:rPr>
          <w:rFonts w:ascii="仿宋" w:eastAsia="仿宋"/>
        </w:rPr>
        <w:instrText xml:space="preserve"> PAGEREF _Toc79163863 \h </w:instrText>
      </w:r>
      <w:r>
        <w:rPr>
          <w:rFonts w:ascii="仿宋" w:eastAsia="仿宋"/>
        </w:rPr>
        <w:fldChar w:fldCharType="separate"/>
      </w:r>
      <w:r>
        <w:rPr>
          <w:rFonts w:ascii="仿宋" w:eastAsia="仿宋"/>
        </w:rPr>
        <w:t>10</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五、一般公共预算财政拨款支出决算情况说明</w:t>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10</w:t>
      </w:r>
      <w:r>
        <w:rPr>
          <w:rFonts w:ascii="仿宋" w:eastAsia="仿宋"/>
        </w:rPr>
        <w:fldChar w:fldCharType="end"/>
      </w:r>
    </w:p>
    <w:p>
      <w:pPr>
        <w:pStyle w:val="18"/>
        <w:tabs>
          <w:tab w:val="right" w:leader="dot" w:pos="8296"/>
        </w:tabs>
        <w:spacing w:line="400" w:lineRule="exact"/>
        <w:rPr>
          <w:rFonts w:ascii="仿宋" w:eastAsia="仿宋"/>
          <w:i w:val="0"/>
          <w:iCs w:val="0"/>
          <w:caps w:val="0"/>
          <w:smallCaps/>
        </w:rPr>
      </w:pPr>
      <w:r>
        <w:rPr>
          <w:rFonts w:ascii="仿宋" w:eastAsia="仿宋"/>
          <w:i w:val="0"/>
          <w:iCs w:val="0"/>
          <w:caps w:val="0"/>
          <w:smallCaps/>
        </w:rPr>
        <w:t>（一）一般公共预算财政拨款支出决算总体情况</w:t>
        <w:tab/>
      </w:r>
      <w:r>
        <w:rPr>
          <w:rFonts w:ascii="仿宋" w:eastAsia="仿宋"/>
          <w:i w:val="0"/>
          <w:iCs w:val="0"/>
          <w:caps w:val="0"/>
          <w:smallCaps/>
        </w:rPr>
        <w:fldChar w:fldCharType="begin"/>
      </w:r>
      <w:r>
        <w:rPr>
          <w:rFonts w:ascii="仿宋" w:eastAsia="仿宋"/>
          <w:i w:val="0"/>
          <w:iCs w:val="0"/>
          <w:caps w:val="0"/>
          <w:smallCaps/>
        </w:rPr>
        <w:instrText xml:space="preserve"> PAGEREF _Toc79163865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18"/>
        <w:tabs>
          <w:tab w:val="right" w:leader="dot" w:pos="8296"/>
        </w:tabs>
        <w:spacing w:line="400" w:lineRule="exact"/>
        <w:rPr>
          <w:rFonts w:ascii="仿宋" w:eastAsia="仿宋"/>
          <w:i w:val="0"/>
          <w:iCs w:val="0"/>
          <w:caps w:val="0"/>
          <w:smallCaps/>
        </w:rPr>
      </w:pPr>
      <w:r>
        <w:rPr>
          <w:rFonts w:ascii="仿宋" w:eastAsia="仿宋"/>
          <w:i w:val="0"/>
          <w:iCs w:val="0"/>
          <w:caps w:val="0"/>
          <w:smallCaps/>
        </w:rPr>
        <w:t>（二）一般公共预算财政拨款支出决算结构情况</w:t>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18"/>
        <w:tabs>
          <w:tab w:val="right" w:leader="dot" w:pos="8296"/>
        </w:tabs>
        <w:spacing w:line="400" w:lineRule="exact"/>
        <w:rPr>
          <w:rFonts w:ascii="仿宋" w:eastAsia="仿宋"/>
          <w:i w:val="0"/>
          <w:iCs w:val="0"/>
          <w:caps w:val="0"/>
          <w:smallCaps/>
        </w:rPr>
      </w:pPr>
      <w:r>
        <w:rPr>
          <w:rFonts w:ascii="仿宋" w:eastAsia="仿宋"/>
          <w:i w:val="0"/>
          <w:iCs w:val="0"/>
          <w:caps w:val="0"/>
          <w:smallCaps/>
        </w:rPr>
        <w:t>（三）一般公共预算财政拨款支出决算具体情况</w:t>
        <w:tab/>
      </w:r>
      <w:r>
        <w:rPr>
          <w:rFonts w:ascii="仿宋" w:eastAsia="仿宋"/>
          <w:i w:val="0"/>
          <w:iCs w:val="0"/>
          <w:caps w:val="0"/>
          <w:smallCaps/>
        </w:rPr>
        <w:fldChar w:fldCharType="begin"/>
      </w:r>
      <w:r>
        <w:rPr>
          <w:rFonts w:ascii="仿宋" w:eastAsia="仿宋"/>
          <w:i w:val="0"/>
          <w:iCs w:val="0"/>
          <w:caps w:val="0"/>
          <w:smallCaps/>
        </w:rPr>
        <w:instrText xml:space="preserve"> PAGEREF _Toc79163867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27"/>
        <w:tabs>
          <w:tab w:val="right" w:leader="dot" w:pos="8296"/>
        </w:tabs>
        <w:spacing w:line="400" w:lineRule="exact"/>
        <w:rPr>
          <w:rFonts w:ascii="仿宋" w:eastAsia="仿宋"/>
        </w:rPr>
      </w:pPr>
      <w:r>
        <w:rPr>
          <w:rFonts w:ascii="仿宋" w:eastAsia="仿宋"/>
        </w:rPr>
        <w:t>六、一般公共预算财政拨款基本支出决算情况说明</w:t>
        <w:tab/>
      </w:r>
      <w:r>
        <w:rPr>
          <w:rFonts w:ascii="仿宋" w:eastAsia="仿宋"/>
        </w:rPr>
        <w:fldChar w:fldCharType="begin"/>
      </w:r>
      <w:r>
        <w:rPr>
          <w:rFonts w:ascii="仿宋" w:eastAsia="仿宋"/>
        </w:rPr>
        <w:instrText xml:space="preserve"> PAGEREF _Toc79163868 \h </w:instrText>
      </w:r>
      <w:r>
        <w:rPr>
          <w:rFonts w:ascii="仿宋" w:eastAsia="仿宋"/>
        </w:rPr>
        <w:fldChar w:fldCharType="separate"/>
      </w:r>
      <w:r>
        <w:rPr>
          <w:rFonts w:ascii="仿宋" w:eastAsia="仿宋"/>
        </w:rPr>
        <w:t>13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七、“三公”经费财政拨款支出决算情况说明</w:t>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13</w:t>
      </w:r>
      <w:r>
        <w:rPr>
          <w:rFonts w:ascii="仿宋" w:eastAsia="仿宋"/>
        </w:rPr>
        <w:fldChar w:fldCharType="end"/>
      </w:r>
    </w:p>
    <w:p>
      <w:pPr>
        <w:pStyle w:val="18"/>
        <w:tabs>
          <w:tab w:val="right" w:leader="dot" w:pos="8296"/>
        </w:tabs>
        <w:spacing w:line="400" w:lineRule="exact"/>
        <w:rPr>
          <w:rFonts w:ascii="仿宋" w:eastAsia="仿宋"/>
          <w:i w:val="0"/>
          <w:iCs w:val="0"/>
          <w:caps w:val="0"/>
          <w:smallCaps/>
        </w:rPr>
      </w:pPr>
      <w:r>
        <w:rPr>
          <w:rFonts w:ascii="仿宋" w:eastAsia="仿宋"/>
          <w:i w:val="0"/>
          <w:iCs w:val="0"/>
          <w:caps w:val="0"/>
          <w:smallCaps/>
        </w:rPr>
        <w:t>（一）“三公”经费财政拨款支出决算总体情况说明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13</w:t>
      </w:r>
      <w:r>
        <w:rPr>
          <w:rFonts w:ascii="仿宋" w:eastAsia="仿宋"/>
          <w:i w:val="0"/>
          <w:iCs w:val="0"/>
          <w:caps w:val="0"/>
          <w:smallCaps/>
        </w:rPr>
        <w:fldChar w:fldCharType="end"/>
      </w:r>
    </w:p>
    <w:p>
      <w:pPr>
        <w:pStyle w:val="18"/>
        <w:tabs>
          <w:tab w:val="right" w:leader="dot" w:pos="8296"/>
        </w:tabs>
        <w:spacing w:line="400" w:lineRule="exact"/>
        <w:rPr>
          <w:rFonts w:ascii="仿宋" w:eastAsia="仿宋"/>
          <w:i w:val="0"/>
          <w:iCs w:val="0"/>
          <w:caps w:val="0"/>
          <w:smallCaps/>
        </w:rPr>
      </w:pPr>
      <w:r>
        <w:rPr>
          <w:rFonts w:ascii="仿宋" w:eastAsia="仿宋"/>
          <w:i w:val="0"/>
          <w:iCs w:val="0"/>
          <w:caps w:val="0"/>
          <w:smallCaps/>
        </w:rPr>
        <w:t>（二）“三公”经费财政拨款支出决算具体情况说明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13</w:t>
      </w:r>
      <w:r>
        <w:rPr>
          <w:rFonts w:ascii="仿宋" w:eastAsia="仿宋"/>
          <w:i w:val="0"/>
          <w:iCs w:val="0"/>
          <w:caps w:val="0"/>
          <w:smallCaps/>
        </w:rPr>
        <w:fldChar w:fldCharType="end"/>
      </w:r>
    </w:p>
    <w:p>
      <w:pPr>
        <w:pStyle w:val="27"/>
        <w:tabs>
          <w:tab w:val="right" w:leader="dot" w:pos="8296"/>
        </w:tabs>
        <w:spacing w:line="400" w:lineRule="exact"/>
        <w:rPr>
          <w:rFonts w:ascii="仿宋" w:eastAsia="仿宋"/>
        </w:rPr>
      </w:pPr>
      <w:r>
        <w:rPr>
          <w:rFonts w:ascii="仿宋" w:eastAsia="仿宋"/>
        </w:rPr>
        <w:t>八、政府性基金预算支出决算情况说明</w:t>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15</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九、国有资本经营预算支出决算情况说明</w:t>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15</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十、其他重要事项的情况说明</w:t>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15</w:t>
      </w:r>
      <w:r>
        <w:rPr>
          <w:rFonts w:ascii="仿宋" w:eastAsia="仿宋"/>
        </w:rPr>
        <w:fldChar w:fldCharType="end"/>
      </w:r>
    </w:p>
    <w:p>
      <w:pPr>
        <w:pStyle w:val="18"/>
        <w:tabs>
          <w:tab w:val="right" w:leader="dot" w:pos="8296"/>
        </w:tabs>
        <w:spacing w:line="400" w:lineRule="exact"/>
        <w:rPr>
          <w:rFonts w:ascii="仿宋" w:eastAsia="仿宋"/>
          <w:i w:val="0"/>
          <w:iCs w:val="0"/>
          <w:caps w:val="0"/>
          <w:smallCaps/>
        </w:rPr>
      </w:pPr>
      <w:r>
        <w:rPr>
          <w:rFonts w:ascii="仿宋" w:eastAsia="仿宋"/>
          <w:i w:val="0"/>
          <w:iCs w:val="0"/>
          <w:caps w:val="0"/>
          <w:smallCaps/>
        </w:rPr>
        <w:t>（一）机关运行经费支出情况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15</w:t>
      </w:r>
      <w:r>
        <w:rPr>
          <w:rFonts w:ascii="仿宋" w:eastAsia="仿宋"/>
          <w:i w:val="0"/>
          <w:iCs w:val="0"/>
          <w:caps w:val="0"/>
          <w:smallCaps/>
        </w:rPr>
        <w:fldChar w:fldCharType="end"/>
      </w:r>
    </w:p>
    <w:p>
      <w:pPr>
        <w:pStyle w:val="18"/>
        <w:tabs>
          <w:tab w:val="right" w:leader="dot" w:pos="8296"/>
        </w:tabs>
        <w:spacing w:line="400" w:lineRule="exact"/>
        <w:rPr>
          <w:rFonts w:ascii="仿宋" w:eastAsia="仿宋"/>
          <w:i w:val="0"/>
          <w:iCs w:val="0"/>
          <w:caps w:val="0"/>
          <w:smallCaps/>
        </w:rPr>
      </w:pPr>
      <w:r>
        <w:rPr>
          <w:rFonts w:ascii="仿宋" w:eastAsia="仿宋"/>
          <w:i w:val="0"/>
          <w:iCs w:val="0"/>
          <w:caps w:val="0"/>
          <w:smallCaps/>
        </w:rPr>
        <w:t>（二）政府采购支出情况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15</w:t>
      </w:r>
      <w:r>
        <w:rPr>
          <w:rFonts w:ascii="仿宋" w:eastAsia="仿宋"/>
          <w:i w:val="0"/>
          <w:iCs w:val="0"/>
          <w:caps w:val="0"/>
          <w:smallCaps/>
        </w:rPr>
        <w:fldChar w:fldCharType="end"/>
      </w:r>
    </w:p>
    <w:p>
      <w:pPr>
        <w:pStyle w:val="18"/>
        <w:tabs>
          <w:tab w:val="right" w:leader="dot" w:pos="8296"/>
        </w:tabs>
        <w:spacing w:line="400" w:lineRule="exact"/>
        <w:rPr>
          <w:rFonts w:ascii="仿宋" w:eastAsia="仿宋"/>
          <w:i w:val="0"/>
          <w:iCs w:val="0"/>
          <w:caps w:val="0"/>
          <w:smallCaps/>
        </w:rPr>
      </w:pPr>
      <w:r>
        <w:rPr>
          <w:rFonts w:ascii="仿宋" w:eastAsia="仿宋"/>
          <w:i w:val="0"/>
          <w:iCs w:val="0"/>
          <w:caps w:val="0"/>
          <w:smallCaps/>
        </w:rPr>
        <w:t>（三）国有资产占有使用情况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15</w:t>
      </w:r>
      <w:r>
        <w:rPr>
          <w:rFonts w:ascii="仿宋" w:eastAsia="仿宋"/>
          <w:i w:val="0"/>
          <w:iCs w:val="0"/>
          <w:caps w:val="0"/>
          <w:smallCaps/>
        </w:rPr>
        <w:fldChar w:fldCharType="end"/>
      </w:r>
    </w:p>
    <w:p>
      <w:pPr>
        <w:pStyle w:val="18"/>
        <w:tabs>
          <w:tab w:val="right" w:leader="dot" w:pos="8296"/>
        </w:tabs>
        <w:spacing w:line="400" w:lineRule="exact"/>
        <w:rPr>
          <w:rFonts w:ascii="仿宋" w:eastAsia="仿宋"/>
          <w:i w:val="0"/>
          <w:iCs w:val="0"/>
          <w:caps w:val="0"/>
          <w:smallCaps/>
        </w:rPr>
      </w:pPr>
      <w:r>
        <w:rPr>
          <w:rFonts w:ascii="仿宋" w:eastAsia="仿宋"/>
          <w:i w:val="0"/>
          <w:iCs w:val="0"/>
          <w:caps w:val="0"/>
          <w:smallCaps/>
        </w:rPr>
        <w:t>（四）预算绩效管理情况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16</w:t>
      </w:r>
      <w:r>
        <w:rPr>
          <w:rFonts w:ascii="仿宋" w:eastAsia="仿宋"/>
          <w:i w:val="0"/>
          <w:iCs w:val="0"/>
          <w:caps w:val="0"/>
          <w:smallCaps/>
        </w:rPr>
        <w:fldChar w:fldCharType="end"/>
      </w:r>
    </w:p>
    <w:p>
      <w:pPr>
        <w:pStyle w:val="24"/>
        <w:tabs>
          <w:tab w:val="right" w:leader="dot" w:pos="8296"/>
        </w:tabs>
        <w:spacing w:line="400" w:lineRule="exact"/>
        <w:rPr>
          <w:rFonts w:ascii="仿宋" w:eastAsia="仿宋"/>
          <w:b w:val="0"/>
          <w:bCs w:val="0"/>
          <w:caps w:val="0"/>
          <w:smallCaps/>
        </w:rPr>
      </w:pPr>
      <w:r>
        <w:rPr>
          <w:rFonts w:ascii="仿宋" w:eastAsia="仿宋"/>
          <w:b w:val="0"/>
          <w:bCs w:val="0"/>
          <w:caps w:val="0"/>
          <w:smallCaps/>
        </w:rPr>
        <w:t>第三部分名词解释</w:t>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27</w:t>
      </w:r>
      <w:r>
        <w:rPr>
          <w:rFonts w:ascii="仿宋" w:eastAsia="仿宋"/>
          <w:b w:val="0"/>
          <w:bCs w:val="0"/>
          <w:caps w:val="0"/>
          <w:smallCaps/>
        </w:rPr>
        <w:fldChar w:fldCharType="end"/>
      </w:r>
    </w:p>
    <w:p>
      <w:pPr>
        <w:pStyle w:val="24"/>
        <w:tabs>
          <w:tab w:val="right" w:leader="dot" w:pos="8296"/>
        </w:tabs>
        <w:spacing w:line="400" w:lineRule="exact"/>
        <w:rPr>
          <w:rFonts w:ascii="仿宋" w:eastAsia="仿宋"/>
          <w:b w:val="0"/>
          <w:bCs w:val="0"/>
          <w:caps w:val="0"/>
          <w:smallCaps/>
        </w:rPr>
      </w:pPr>
      <w:r>
        <w:rPr>
          <w:rFonts w:ascii="仿宋" w:eastAsia="仿宋"/>
          <w:b w:val="0"/>
          <w:bCs w:val="0"/>
          <w:caps w:val="0"/>
          <w:smallCaps/>
        </w:rPr>
        <w:t>第四部分附件</w:t>
        <w:tab/>
      </w:r>
      <w:r>
        <w:rPr>
          <w:rFonts w:ascii="仿宋" w:eastAsia="仿宋"/>
          <w:b w:val="0"/>
          <w:bCs w:val="0"/>
          <w:caps w:val="0"/>
          <w:smallCaps/>
        </w:rPr>
        <w:fldChar w:fldCharType="begin"/>
      </w:r>
      <w:r>
        <w:rPr>
          <w:rFonts w:ascii="仿宋" w:eastAsia="仿宋"/>
          <w:b w:val="0"/>
          <w:bCs w:val="0"/>
          <w:caps w:val="0"/>
          <w:smallCaps/>
        </w:rPr>
        <w:instrText xml:space="preserve"> PAGEREF _Toc79163880 \h </w:instrText>
      </w:r>
      <w:r>
        <w:rPr>
          <w:rFonts w:ascii="仿宋" w:eastAsia="仿宋"/>
          <w:b w:val="0"/>
          <w:bCs w:val="0"/>
          <w:caps w:val="0"/>
          <w:smallCaps/>
        </w:rPr>
        <w:fldChar w:fldCharType="separate"/>
      </w:r>
      <w:r>
        <w:rPr>
          <w:rFonts w:ascii="仿宋" w:eastAsia="仿宋"/>
          <w:b w:val="0"/>
          <w:bCs w:val="0"/>
          <w:caps w:val="0"/>
          <w:smallCaps/>
        </w:rPr>
        <w:t>30</w:t>
      </w:r>
      <w:r>
        <w:rPr>
          <w:rFonts w:ascii="仿宋" w:eastAsia="仿宋"/>
          <w:b w:val="0"/>
          <w:bCs w:val="0"/>
          <w:caps w:val="0"/>
          <w:smallCaps/>
        </w:rPr>
        <w:fldChar w:fldCharType="end"/>
      </w:r>
    </w:p>
    <w:p>
      <w:pPr>
        <w:pStyle w:val="24"/>
        <w:tabs>
          <w:tab w:val="right" w:leader="dot" w:pos="8296"/>
        </w:tabs>
        <w:spacing w:line="400" w:lineRule="exact"/>
        <w:rPr>
          <w:rFonts w:ascii="仿宋" w:eastAsia="仿宋"/>
          <w:b w:val="0"/>
          <w:bCs w:val="0"/>
          <w:caps w:val="0"/>
          <w:smallCaps/>
        </w:rPr>
      </w:pPr>
      <w:r>
        <w:rPr>
          <w:rFonts w:ascii="仿宋" w:eastAsia="仿宋"/>
          <w:b w:val="0"/>
          <w:bCs w:val="0"/>
          <w:caps w:val="0"/>
          <w:smallCaps/>
        </w:rPr>
        <w:t>附件1</w:t>
        <w:tab/>
      </w:r>
      <w:r>
        <w:rPr>
          <w:rFonts w:ascii="仿宋" w:eastAsia="仿宋"/>
          <w:b w:val="0"/>
          <w:bCs w:val="0"/>
          <w:caps w:val="0"/>
          <w:smallCaps/>
        </w:rPr>
        <w:fldChar w:fldCharType="begin"/>
      </w:r>
      <w:r>
        <w:rPr>
          <w:rFonts w:ascii="仿宋" w:eastAsia="仿宋"/>
          <w:b w:val="0"/>
          <w:bCs w:val="0"/>
          <w:caps w:val="0"/>
          <w:smallCaps/>
        </w:rPr>
        <w:instrText xml:space="preserve"> PAGEREF _Toc79163881 \h </w:instrText>
      </w:r>
      <w:r>
        <w:rPr>
          <w:rFonts w:ascii="仿宋" w:eastAsia="仿宋"/>
          <w:b w:val="0"/>
          <w:bCs w:val="0"/>
          <w:caps w:val="0"/>
          <w:smallCaps/>
        </w:rPr>
        <w:fldChar w:fldCharType="separate"/>
      </w:r>
      <w:r>
        <w:rPr>
          <w:rFonts w:ascii="仿宋" w:eastAsia="仿宋"/>
          <w:b w:val="0"/>
          <w:bCs w:val="0"/>
          <w:caps w:val="0"/>
          <w:smallCaps/>
        </w:rPr>
        <w:t>30</w:t>
      </w:r>
      <w:r>
        <w:rPr>
          <w:rFonts w:ascii="仿宋" w:eastAsia="仿宋"/>
          <w:b w:val="0"/>
          <w:bCs w:val="0"/>
          <w:caps w:val="0"/>
          <w:smallCaps/>
        </w:rPr>
        <w:fldChar w:fldCharType="end"/>
      </w:r>
    </w:p>
    <w:p>
      <w:pPr>
        <w:pStyle w:val="24"/>
        <w:tabs>
          <w:tab w:val="right" w:leader="dot" w:pos="8296"/>
        </w:tabs>
        <w:spacing w:line="400" w:lineRule="exact"/>
        <w:rPr>
          <w:rFonts w:ascii="仿宋" w:eastAsia="仿宋"/>
          <w:b w:val="0"/>
          <w:bCs w:val="0"/>
          <w:caps w:val="0"/>
          <w:smallCaps/>
        </w:rPr>
      </w:pPr>
      <w:r>
        <w:rPr>
          <w:rFonts w:ascii="仿宋" w:eastAsia="仿宋" w:hint="eastAsia"/>
          <w:b w:val="0"/>
          <w:bCs w:val="0"/>
          <w:caps w:val="0"/>
          <w:smallCaps/>
        </w:rPr>
        <w:t>茂县水务局</w:t>
      </w:r>
      <w:r>
        <w:rPr>
          <w:rFonts w:ascii="仿宋" w:eastAsia="仿宋"/>
          <w:b w:val="0"/>
          <w:bCs w:val="0"/>
          <w:caps w:val="0"/>
          <w:smallCaps/>
        </w:rPr>
        <w:t>部门2020年部门整体支出绩效评价报告</w:t>
        <w:tab/>
      </w:r>
      <w:r>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Pr>
          <w:rFonts w:ascii="仿宋" w:eastAsia="仿宋"/>
          <w:b w:val="0"/>
          <w:bCs w:val="0"/>
          <w:caps w:val="0"/>
          <w:smallCaps/>
        </w:rPr>
        <w:fldChar w:fldCharType="separate"/>
      </w:r>
      <w:r>
        <w:rPr>
          <w:rFonts w:ascii="仿宋" w:eastAsia="仿宋"/>
          <w:b w:val="0"/>
          <w:bCs w:val="0"/>
          <w:caps w:val="0"/>
          <w:smallCaps/>
        </w:rPr>
        <w:t>30</w:t>
      </w:r>
      <w:r>
        <w:rPr>
          <w:rFonts w:ascii="仿宋" w:eastAsia="仿宋"/>
          <w:b w:val="0"/>
          <w:bCs w:val="0"/>
          <w:caps w:val="0"/>
          <w:smallCaps/>
        </w:rPr>
        <w:fldChar w:fldCharType="end"/>
      </w:r>
    </w:p>
    <w:p>
      <w:pPr>
        <w:pStyle w:val="24"/>
        <w:tabs>
          <w:tab w:val="right" w:leader="dot" w:pos="8296"/>
        </w:tabs>
        <w:spacing w:line="400" w:lineRule="exact"/>
        <w:rPr>
          <w:rFonts w:ascii="仿宋" w:eastAsia="仿宋"/>
          <w:b w:val="0"/>
          <w:bCs w:val="0"/>
          <w:caps w:val="0"/>
          <w:smallCaps/>
        </w:rPr>
      </w:pPr>
      <w:r>
        <w:rPr>
          <w:rFonts w:ascii="仿宋" w:eastAsia="仿宋"/>
          <w:b w:val="0"/>
          <w:bCs w:val="0"/>
          <w:caps w:val="0"/>
          <w:smallCaps/>
        </w:rPr>
        <w:t>附件2</w:t>
        <w:tab/>
      </w:r>
      <w:r>
        <w:rPr>
          <w:rFonts w:ascii="仿宋" w:eastAsia="仿宋"/>
          <w:b w:val="0"/>
          <w:bCs w:val="0"/>
          <w:caps w:val="0"/>
          <w:smallCaps/>
        </w:rPr>
        <w:fldChar w:fldCharType="begin"/>
      </w:r>
      <w:r>
        <w:rPr>
          <w:rFonts w:ascii="仿宋" w:eastAsia="仿宋"/>
          <w:b w:val="0"/>
          <w:bCs w:val="0"/>
          <w:caps w:val="0"/>
          <w:smallCaps/>
        </w:rPr>
        <w:instrText xml:space="preserve"> PAGEREF _Toc79163883 \h </w:instrText>
      </w:r>
      <w:r>
        <w:rPr>
          <w:rFonts w:ascii="仿宋" w:eastAsia="仿宋"/>
          <w:b w:val="0"/>
          <w:bCs w:val="0"/>
          <w:caps w:val="0"/>
          <w:smallCaps/>
        </w:rPr>
        <w:fldChar w:fldCharType="separate"/>
      </w:r>
      <w:r>
        <w:rPr>
          <w:rFonts w:ascii="仿宋" w:eastAsia="仿宋"/>
          <w:b w:val="0"/>
          <w:bCs w:val="0"/>
          <w:caps w:val="0"/>
          <w:smallCaps/>
        </w:rPr>
        <w:t>33</w:t>
      </w:r>
      <w:r>
        <w:rPr>
          <w:rFonts w:ascii="仿宋" w:eastAsia="仿宋"/>
          <w:b w:val="0"/>
          <w:bCs w:val="0"/>
          <w:caps w:val="0"/>
          <w:smallCaps/>
        </w:rPr>
        <w:fldChar w:fldCharType="end"/>
      </w:r>
    </w:p>
    <w:p>
      <w:pPr>
        <w:pStyle w:val="24"/>
        <w:tabs>
          <w:tab w:val="right" w:leader="dot" w:pos="8296"/>
        </w:tabs>
        <w:spacing w:line="400" w:lineRule="exact"/>
        <w:rPr>
          <w:rFonts w:ascii="仿宋" w:eastAsia="仿宋"/>
          <w:b w:val="0"/>
          <w:bCs w:val="0"/>
          <w:caps w:val="0"/>
          <w:smallCaps/>
        </w:rPr>
      </w:pPr>
      <w:r>
        <w:rPr>
          <w:rFonts w:ascii="仿宋" w:eastAsia="仿宋"/>
          <w:b w:val="0"/>
          <w:bCs w:val="0"/>
          <w:caps w:val="0"/>
          <w:smallCaps/>
        </w:rPr>
        <w:t>项目2020年绩效评价报告</w:t>
        <w:tab/>
      </w:r>
      <w:r>
        <w:rPr>
          <w:rFonts w:ascii="仿宋" w:eastAsia="仿宋"/>
          <w:b w:val="0"/>
          <w:bCs w:val="0"/>
          <w:caps w:val="0"/>
          <w:smallCaps/>
        </w:rPr>
        <w:fldChar w:fldCharType="begin"/>
      </w:r>
      <w:r>
        <w:rPr>
          <w:rFonts w:ascii="仿宋" w:eastAsia="仿宋"/>
          <w:b w:val="0"/>
          <w:bCs w:val="0"/>
          <w:caps w:val="0"/>
          <w:smallCaps/>
        </w:rPr>
        <w:instrText xml:space="preserve"> PAGEREF _Toc79163884 \h </w:instrText>
      </w:r>
      <w:r>
        <w:rPr>
          <w:rFonts w:ascii="仿宋" w:eastAsia="仿宋"/>
          <w:b w:val="0"/>
          <w:bCs w:val="0"/>
          <w:caps w:val="0"/>
          <w:smallCaps/>
        </w:rPr>
        <w:fldChar w:fldCharType="separate"/>
      </w:r>
      <w:r>
        <w:rPr>
          <w:rFonts w:ascii="仿宋" w:eastAsia="仿宋"/>
          <w:b w:val="0"/>
          <w:bCs w:val="0"/>
          <w:caps w:val="0"/>
          <w:smallCaps/>
        </w:rPr>
        <w:t>33</w:t>
      </w:r>
      <w:r>
        <w:rPr>
          <w:rFonts w:ascii="仿宋" w:eastAsia="仿宋"/>
          <w:b w:val="0"/>
          <w:bCs w:val="0"/>
          <w:caps w:val="0"/>
          <w:smallCaps/>
        </w:rPr>
        <w:fldChar w:fldCharType="end"/>
      </w:r>
    </w:p>
    <w:p>
      <w:pPr>
        <w:pStyle w:val="24"/>
        <w:tabs>
          <w:tab w:val="right" w:leader="dot" w:pos="8296"/>
        </w:tabs>
        <w:spacing w:line="400" w:lineRule="exact"/>
        <w:rPr>
          <w:rFonts w:ascii="仿宋" w:eastAsia="仿宋"/>
          <w:b w:val="0"/>
          <w:bCs w:val="0"/>
          <w:caps w:val="0"/>
          <w:smallCaps/>
        </w:rPr>
      </w:pPr>
      <w:r>
        <w:rPr>
          <w:rFonts w:ascii="仿宋" w:eastAsia="仿宋"/>
          <w:b w:val="0"/>
          <w:bCs w:val="0"/>
          <w:caps w:val="0"/>
          <w:smallCaps/>
        </w:rPr>
        <w:t>第五部分附表</w:t>
        <w:tab/>
      </w:r>
      <w:r>
        <w:rPr>
          <w:rFonts w:ascii="仿宋" w:eastAsia="仿宋"/>
          <w:b w:val="0"/>
          <w:bCs w:val="0"/>
          <w:caps w:val="0"/>
          <w:smallCaps/>
        </w:rPr>
        <w:fldChar w:fldCharType="begin"/>
      </w:r>
      <w:r>
        <w:rPr>
          <w:rFonts w:ascii="仿宋" w:eastAsia="仿宋"/>
          <w:b w:val="0"/>
          <w:bCs w:val="0"/>
          <w:caps w:val="0"/>
          <w:smallCaps/>
        </w:rPr>
        <w:instrText xml:space="preserve"> PAGEREF _Toc79163885 \h </w:instrText>
      </w:r>
      <w:r>
        <w:rPr>
          <w:rFonts w:ascii="仿宋" w:eastAsia="仿宋"/>
          <w:b w:val="0"/>
          <w:bCs w:val="0"/>
          <w:caps w:val="0"/>
          <w:smallCaps/>
        </w:rPr>
        <w:fldChar w:fldCharType="separate"/>
      </w:r>
      <w:r>
        <w:rPr>
          <w:rFonts w:ascii="仿宋" w:eastAsia="仿宋"/>
          <w:b w:val="0"/>
          <w:bCs w:val="0"/>
          <w:caps w:val="0"/>
          <w:smallCaps/>
        </w:rPr>
        <w:t>53</w:t>
      </w:r>
      <w:r>
        <w:rPr>
          <w:rFonts w:ascii="仿宋" w:eastAsia="仿宋"/>
          <w:b w:val="0"/>
          <w:bCs w:val="0"/>
          <w:caps w:val="0"/>
          <w:smallCaps/>
        </w:rPr>
        <w:fldChar w:fldCharType="end"/>
      </w:r>
    </w:p>
    <w:p>
      <w:pPr>
        <w:pStyle w:val="27"/>
        <w:tabs>
          <w:tab w:val="right" w:leader="dot" w:pos="8296"/>
        </w:tabs>
        <w:spacing w:line="400" w:lineRule="exact"/>
        <w:rPr>
          <w:rFonts w:ascii="仿宋" w:eastAsia="仿宋"/>
        </w:rPr>
      </w:pPr>
      <w:r>
        <w:rPr>
          <w:rFonts w:ascii="仿宋" w:eastAsia="仿宋"/>
        </w:rPr>
        <w:t>一、收入支出决算总表</w:t>
        <w:tab/>
      </w:r>
      <w:r>
        <w:rPr>
          <w:rFonts w:ascii="仿宋" w:eastAsia="仿宋"/>
        </w:rPr>
        <w:fldChar w:fldCharType="begin"/>
      </w:r>
      <w:r>
        <w:rPr>
          <w:rFonts w:ascii="仿宋" w:eastAsia="仿宋"/>
        </w:rPr>
        <w:instrText xml:space="preserve"> PAGEREF _Toc79163886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二、收入决算表</w:t>
        <w:tab/>
      </w:r>
      <w:r>
        <w:rPr>
          <w:rFonts w:ascii="仿宋" w:eastAsia="仿宋"/>
        </w:rPr>
        <w:fldChar w:fldCharType="begin"/>
      </w:r>
      <w:r>
        <w:rPr>
          <w:rFonts w:ascii="仿宋" w:eastAsia="仿宋"/>
        </w:rPr>
        <w:instrText xml:space="preserve"> PAGEREF _Toc79163887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三、支出决算表</w:t>
        <w:tab/>
      </w:r>
      <w:r>
        <w:rPr>
          <w:rFonts w:ascii="仿宋" w:eastAsia="仿宋"/>
        </w:rPr>
        <w:fldChar w:fldCharType="begin"/>
      </w:r>
      <w:r>
        <w:rPr>
          <w:rFonts w:ascii="仿宋" w:eastAsia="仿宋"/>
        </w:rPr>
        <w:instrText xml:space="preserve"> PAGEREF _Toc79163888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四、财政拨款收入支出决算总表</w:t>
        <w:tab/>
      </w:r>
      <w:r>
        <w:rPr>
          <w:rFonts w:ascii="仿宋" w:eastAsia="仿宋"/>
        </w:rPr>
        <w:fldChar w:fldCharType="begin"/>
      </w:r>
      <w:r>
        <w:rPr>
          <w:rFonts w:ascii="仿宋" w:eastAsia="仿宋"/>
        </w:rPr>
        <w:instrText xml:space="preserve"> PAGEREF _Toc79163889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五、财政拨款支出决算明细表</w:t>
        <w:tab/>
      </w:r>
      <w:r>
        <w:rPr>
          <w:rFonts w:ascii="仿宋" w:eastAsia="仿宋"/>
        </w:rPr>
        <w:fldChar w:fldCharType="begin"/>
      </w:r>
      <w:r>
        <w:rPr>
          <w:rFonts w:ascii="仿宋" w:eastAsia="仿宋"/>
        </w:rPr>
        <w:instrText xml:space="preserve"> PAGEREF _Toc79163890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六、一般公共预算财政拨款支出决算表</w:t>
        <w:tab/>
      </w:r>
      <w:r>
        <w:rPr>
          <w:rFonts w:ascii="仿宋" w:eastAsia="仿宋"/>
        </w:rPr>
        <w:fldChar w:fldCharType="begin"/>
      </w:r>
      <w:r>
        <w:rPr>
          <w:rFonts w:ascii="仿宋" w:eastAsia="仿宋"/>
        </w:rPr>
        <w:instrText xml:space="preserve"> PAGEREF _Toc79163891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七、一般公共预算财政拨款支出决算明细表</w:t>
        <w:tab/>
      </w:r>
      <w:r>
        <w:rPr>
          <w:rFonts w:ascii="仿宋" w:eastAsia="仿宋"/>
        </w:rPr>
        <w:fldChar w:fldCharType="begin"/>
      </w:r>
      <w:r>
        <w:rPr>
          <w:rFonts w:ascii="仿宋" w:eastAsia="仿宋"/>
        </w:rPr>
        <w:instrText xml:space="preserve"> PAGEREF _Toc79163892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八、一般公共预算财政拨款基本支出决算表</w:t>
        <w:tab/>
      </w:r>
      <w:r>
        <w:rPr>
          <w:rFonts w:ascii="仿宋" w:eastAsia="仿宋"/>
        </w:rPr>
        <w:fldChar w:fldCharType="begin"/>
      </w:r>
      <w:r>
        <w:rPr>
          <w:rFonts w:ascii="仿宋" w:eastAsia="仿宋"/>
        </w:rPr>
        <w:instrText xml:space="preserve"> PAGEREF _Toc79163893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九、一般公共预算财政拨款项目支出决算表</w:t>
        <w:tab/>
      </w:r>
      <w:r>
        <w:rPr>
          <w:rFonts w:ascii="仿宋" w:eastAsia="仿宋"/>
        </w:rPr>
        <w:fldChar w:fldCharType="begin"/>
      </w:r>
      <w:r>
        <w:rPr>
          <w:rFonts w:ascii="仿宋" w:eastAsia="仿宋"/>
        </w:rPr>
        <w:instrText xml:space="preserve"> PAGEREF _Toc79163894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十、一般公共预算财政拨款“三公”经费支出决算表</w:t>
        <w:tab/>
      </w:r>
      <w:r>
        <w:rPr>
          <w:rFonts w:ascii="仿宋" w:eastAsia="仿宋"/>
        </w:rPr>
        <w:fldChar w:fldCharType="begin"/>
      </w:r>
      <w:r>
        <w:rPr>
          <w:rFonts w:ascii="仿宋" w:eastAsia="仿宋"/>
        </w:rPr>
        <w:instrText xml:space="preserve"> PAGEREF _Toc79163895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十一、政府性基金预算财政拨款收入支出决算表</w:t>
        <w:tab/>
      </w:r>
      <w:r>
        <w:rPr>
          <w:rFonts w:ascii="仿宋" w:eastAsia="仿宋"/>
        </w:rPr>
        <w:fldChar w:fldCharType="begin"/>
      </w:r>
      <w:r>
        <w:rPr>
          <w:rFonts w:ascii="仿宋" w:eastAsia="仿宋"/>
        </w:rPr>
        <w:instrText xml:space="preserve"> PAGEREF _Toc79163896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十二、政府性基金预算财政拨款“三公”经费支出决算表</w:t>
        <w:tab/>
      </w:r>
      <w:r>
        <w:rPr>
          <w:rFonts w:ascii="仿宋" w:eastAsia="仿宋"/>
        </w:rPr>
        <w:fldChar w:fldCharType="begin"/>
      </w:r>
      <w:r>
        <w:rPr>
          <w:rFonts w:ascii="仿宋" w:eastAsia="仿宋"/>
        </w:rPr>
        <w:instrText xml:space="preserve"> PAGEREF _Toc79163897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十三、国有资本经营预算财政拨款支出决算表</w:t>
        <w:tab/>
      </w:r>
      <w:r>
        <w:rPr>
          <w:rFonts w:ascii="仿宋" w:eastAsia="仿宋"/>
        </w:rPr>
        <w:fldChar w:fldCharType="begin"/>
      </w:r>
      <w:r>
        <w:rPr>
          <w:rFonts w:ascii="仿宋" w:eastAsia="仿宋"/>
        </w:rPr>
        <w:instrText xml:space="preserve"> PAGEREF _Toc79163898 \h </w:instrText>
      </w:r>
      <w:r>
        <w:rPr>
          <w:rFonts w:ascii="仿宋" w:eastAsia="仿宋"/>
        </w:rPr>
        <w:fldChar w:fldCharType="separate"/>
      </w:r>
      <w:r>
        <w:rPr>
          <w:rFonts w:ascii="仿宋" w:eastAsia="仿宋"/>
        </w:rPr>
        <w:t>53</w:t>
      </w:r>
      <w:r>
        <w:rPr>
          <w:rFonts w:ascii="仿宋" w:eastAsia="仿宋"/>
        </w:rPr>
        <w:fldChar w:fldCharType="end"/>
      </w:r>
    </w:p>
    <w:p>
      <w:pPr>
        <w:pStyle w:val="27"/>
        <w:tabs>
          <w:tab w:val="right" w:leader="dot" w:pos="8296"/>
        </w:tabs>
        <w:spacing w:line="400" w:lineRule="exact"/>
        <w:rPr>
          <w:rFonts w:ascii="仿宋" w:eastAsia="仿宋"/>
        </w:rPr>
      </w:pPr>
      <w:r>
        <w:rPr>
          <w:rFonts w:ascii="仿宋" w:eastAsia="仿宋"/>
        </w:rPr>
        <w:t>十四、国有资本经营预算财政拨款支出决算表</w:t>
        <w:tab/>
      </w:r>
      <w:r>
        <w:rPr>
          <w:rFonts w:ascii="仿宋" w:eastAsia="仿宋"/>
        </w:rPr>
        <w:fldChar w:fldCharType="begin"/>
      </w:r>
      <w:r>
        <w:rPr>
          <w:rFonts w:ascii="仿宋" w:eastAsia="仿宋"/>
        </w:rPr>
        <w:instrText xml:space="preserve"> PAGEREF _Toc79163899 \h </w:instrText>
      </w:r>
      <w:r>
        <w:rPr>
          <w:rFonts w:ascii="仿宋" w:eastAsia="仿宋"/>
        </w:rPr>
        <w:fldChar w:fldCharType="separate"/>
      </w:r>
      <w:r>
        <w:rPr>
          <w:rFonts w:ascii="仿宋" w:eastAsia="仿宋"/>
        </w:rPr>
        <w:t>53</w:t>
      </w:r>
      <w:r>
        <w:rPr>
          <w:rFonts w:ascii="仿宋" w:eastAsia="仿宋"/>
        </w:rPr>
        <w:fldChar w:fldCharType="end"/>
      </w:r>
    </w:p>
    <w:p>
      <w:pPr>
        <w:spacing w:line="400" w:lineRule="exact"/>
      </w:pPr>
      <w:r>
        <w:rPr>
          <w:rFonts w:ascii="仿宋" w:eastAsia="仿宋"/>
          <w:caps w:val="0"/>
          <w:smallCaps/>
          <w:sz w:val="20"/>
          <w:szCs w:val="20"/>
        </w:rPr>
        <w:fldChar w:fldCharType="end"/>
      </w:r>
      <w:bookmarkStart w:id="12" w:name="_Toc15377196"/>
      <w:bookmarkStart w:id="13" w:name="_Toc15396599"/>
      <w:r>
        <w:rPr>
          <w:rFonts w:ascii="仿宋" w:eastAsia="仿宋"/>
          <w:b/>
          <w:sz w:val="24"/>
        </w:rPr>
        <w:br w:type="page"/>
      </w:r>
    </w:p>
    <w:p>
      <w:pPr>
        <w:pStyle w:val="1"/>
        <w:spacing w:before="0" w:after="0" w:line="576" w:lineRule="exact"/>
        <w:jc w:val="center"/>
        <w:rPr>
          <w:rFonts w:ascii="黑体" w:eastAsia="黑体"/>
          <w:bCs w:val="0"/>
        </w:rPr>
      </w:pPr>
      <w:bookmarkStart w:id="14" w:name="_Toc79163851"/>
      <w:bookmarkStart w:id="15" w:name="_Toc79163601"/>
      <w:r>
        <w:rPr>
          <w:rFonts w:ascii="黑体" w:eastAsia="黑体" w:hint="eastAsia"/>
          <w:b w:val="0"/>
        </w:rPr>
        <w:t xml:space="preserve">第一部分 </w:t>
      </w:r>
      <w:r>
        <w:rPr>
          <w:rStyle w:val="1Char"/>
          <w:rFonts w:ascii="黑体" w:eastAsia="黑体" w:hint="eastAsia"/>
          <w:b w:val="0"/>
          <w:bCs w:val="0"/>
        </w:rPr>
        <w:t>部门概况</w:t>
      </w:r>
      <w:bookmarkEnd w:id="12"/>
      <w:bookmarkEnd w:id="13"/>
      <w:bookmarkEnd w:id="14"/>
      <w:bookmarkEnd w:id="15"/>
    </w:p>
    <w:p>
      <w:pPr>
        <w:pStyle w:val="2"/>
        <w:spacing w:before="0" w:after="0" w:line="576" w:lineRule="exact"/>
        <w:ind w:firstLineChars="200" w:firstLine="640"/>
        <w:rPr>
          <w:rStyle w:val="2Char"/>
          <w:rFonts w:ascii="黑体" w:eastAsia="黑体"/>
          <w:b w:val="0"/>
          <w:bCs w:val="0"/>
        </w:rPr>
      </w:pPr>
      <w:bookmarkStart w:id="16" w:name="_Toc15396600"/>
      <w:bookmarkStart w:id="17" w:name="_Toc79163602"/>
      <w:bookmarkStart w:id="18" w:name="_Toc15377197"/>
      <w:bookmarkStart w:id="19" w:name="_Toc79163852"/>
      <w:r>
        <w:rPr>
          <w:rFonts w:ascii="黑体" w:eastAsia="黑体" w:hint="eastAsia"/>
          <w:b w:val="0"/>
          <w:color w:val="000000"/>
        </w:rPr>
        <w:t>一、基</w:t>
      </w:r>
      <w:r>
        <w:rPr>
          <w:rStyle w:val="2Char"/>
          <w:rFonts w:ascii="黑体" w:eastAsia="黑体" w:hint="eastAsia"/>
          <w:b w:val="0"/>
          <w:bCs w:val="0"/>
        </w:rPr>
        <w:t>本职能及主要工作</w:t>
      </w:r>
      <w:bookmarkEnd w:id="16"/>
      <w:bookmarkEnd w:id="17"/>
      <w:bookmarkEnd w:id="18"/>
      <w:bookmarkEnd w:id="19"/>
    </w:p>
    <w:p>
      <w:pPr>
        <w:pStyle w:val="16"/>
        <w:adjustRightInd w:val="0"/>
        <w:snapToGrid w:val="0"/>
        <w:spacing w:beforeLines="0" w:before="93" w:line="576" w:lineRule="exact"/>
        <w:ind w:firstLineChars="200" w:firstLine="640"/>
        <w:outlineLvl w:val="2"/>
        <w:rPr>
          <w:rFonts w:ascii="楷体_GB2312" w:eastAsia="楷体_GB2312"/>
          <w:b/>
          <w:bCs/>
          <w:color w:val="000000"/>
          <w:sz w:val="32"/>
          <w:szCs w:val="32"/>
        </w:rPr>
      </w:pPr>
      <w:bookmarkStart w:id="20" w:name="_Toc79163603"/>
      <w:bookmarkStart w:id="21" w:name="_Toc79163853"/>
      <w:bookmarkStart w:id="22" w:name="_Toc15378445"/>
      <w:bookmarkStart w:id="23" w:name="_Toc15377198"/>
      <w:r>
        <w:rPr>
          <w:rFonts w:ascii="楷体_GB2312" w:eastAsia="楷体_GB2312" w:hint="eastAsia"/>
          <w:b/>
          <w:bCs/>
          <w:color w:val="000000"/>
          <w:sz w:val="32"/>
          <w:szCs w:val="32"/>
        </w:rPr>
        <w:t>（一）主要职能</w:t>
      </w:r>
      <w:bookmarkEnd w:id="20"/>
      <w:bookmarkEnd w:id="21"/>
    </w:p>
    <w:p>
      <w:pPr>
        <w:spacing w:line="576" w:lineRule="exact"/>
        <w:ind w:firstLineChars="200" w:firstLine="640"/>
        <w:rPr>
          <w:rFonts w:ascii="仿宋_GB2312" w:eastAsia="仿宋_GB2312"/>
          <w:sz w:val="32"/>
          <w:szCs w:val="32"/>
        </w:rPr>
      </w:pPr>
      <w:bookmarkStart w:id="24" w:name="_Toc15377199"/>
      <w:bookmarkStart w:id="25" w:name="_Toc15378446"/>
      <w:bookmarkStart w:id="26" w:name="_Toc79163854"/>
      <w:bookmarkStart w:id="27" w:name="_Toc79163604"/>
      <w:bookmarkEnd w:id="22"/>
      <w:bookmarkEnd w:id="23"/>
      <w:r>
        <w:rPr>
          <w:rFonts w:ascii="仿宋_GB2312" w:eastAsia="仿宋_GB2312" w:hint="eastAsia"/>
          <w:sz w:val="32"/>
          <w:szCs w:val="32"/>
        </w:rPr>
        <w:t>1.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pPr>
        <w:spacing w:line="576" w:lineRule="exact"/>
        <w:ind w:firstLineChars="200" w:firstLine="640"/>
        <w:rPr>
          <w:rFonts w:ascii="仿宋_GB2312" w:eastAsia="仿宋_GB2312"/>
          <w:kern w:val="0"/>
          <w:sz w:val="32"/>
          <w:szCs w:val="32"/>
        </w:rPr>
      </w:pPr>
      <w:r>
        <w:rPr>
          <w:rFonts w:ascii="仿宋_GB2312" w:eastAsia="仿宋_GB2312" w:hint="eastAsia"/>
          <w:sz w:val="32"/>
          <w:szCs w:val="32"/>
        </w:rPr>
        <w:t>2.统一管理全县水资源，负责生活、生产经营和生态环境用水的统筹兼顾和保障。拟订全县和跨县水中长期供求规划、水量分配方案、计划用水、节约用水规划，推动节水型社会建设工作。组织实施取水许可、水资源论证、防洪论证</w:t>
      </w:r>
      <w:r>
        <w:rPr>
          <w:rFonts w:ascii="仿宋_GB2312" w:eastAsia="仿宋_GB2312" w:hint="eastAsia"/>
          <w:kern w:val="0"/>
          <w:sz w:val="32"/>
          <w:szCs w:val="32"/>
        </w:rPr>
        <w:t>和水土保持论证制度。按规划发布全县水资源公报。</w:t>
      </w:r>
    </w:p>
    <w:p>
      <w:pPr>
        <w:spacing w:line="576" w:lineRule="exact"/>
        <w:ind w:firstLineChars="200" w:firstLine="640"/>
        <w:rPr>
          <w:rFonts w:ascii="仿宋_GB2312" w:eastAsia="仿宋_GB2312"/>
          <w:kern w:val="0"/>
          <w:sz w:val="32"/>
          <w:szCs w:val="32"/>
        </w:rPr>
      </w:pPr>
      <w:r>
        <w:rPr>
          <w:rFonts w:ascii="仿宋_GB2312" w:eastAsia="仿宋_GB2312" w:hint="eastAsia"/>
          <w:kern w:val="0"/>
          <w:sz w:val="32"/>
          <w:szCs w:val="32"/>
        </w:rPr>
        <w:t>3.组织编制洪水干早灾害防治规划，承担水情、旱情监测预警，组织编制防洪抗旱应急水量调度方案，编制防御洪水抗早调度方案。</w:t>
      </w:r>
    </w:p>
    <w:p>
      <w:pPr>
        <w:spacing w:line="576" w:lineRule="exact"/>
        <w:ind w:firstLineChars="200" w:firstLine="640"/>
        <w:rPr>
          <w:rFonts w:ascii="仿宋_GB2312" w:eastAsia="仿宋_GB2312"/>
          <w:kern w:val="0"/>
          <w:sz w:val="32"/>
          <w:szCs w:val="32"/>
        </w:rPr>
      </w:pPr>
      <w:r>
        <w:rPr>
          <w:rFonts w:ascii="仿宋_GB2312" w:eastAsia="仿宋_GB2312" w:hint="eastAsia"/>
          <w:kern w:val="0"/>
          <w:sz w:val="32"/>
          <w:szCs w:val="32"/>
        </w:rPr>
        <w:t>4.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pPr>
        <w:spacing w:line="576" w:lineRule="exact"/>
        <w:ind w:firstLineChars="200" w:firstLine="640"/>
        <w:rPr>
          <w:rFonts w:ascii="仿宋_GB2312" w:eastAsia="仿宋_GB2312"/>
          <w:kern w:val="0"/>
          <w:sz w:val="32"/>
          <w:szCs w:val="32"/>
        </w:rPr>
      </w:pPr>
      <w:r>
        <w:rPr>
          <w:rFonts w:ascii="仿宋_GB2312" w:eastAsia="仿宋_GB2312" w:hint="eastAsia"/>
          <w:kern w:val="0"/>
          <w:sz w:val="32"/>
          <w:szCs w:val="32"/>
        </w:rPr>
        <w:t>5.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pPr>
        <w:spacing w:line="576" w:lineRule="exact"/>
        <w:ind w:firstLineChars="200" w:firstLine="640"/>
        <w:rPr>
          <w:rFonts w:ascii="仿宋_GB2312" w:eastAsia="仿宋_GB2312"/>
          <w:kern w:val="0"/>
          <w:sz w:val="32"/>
          <w:szCs w:val="32"/>
        </w:rPr>
      </w:pPr>
      <w:r>
        <w:rPr>
          <w:rFonts w:ascii="仿宋_GB2312" w:eastAsia="仿宋_GB2312" w:hint="eastAsia"/>
          <w:kern w:val="0"/>
          <w:sz w:val="32"/>
          <w:szCs w:val="32"/>
        </w:rPr>
        <w:t>6.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pPr>
        <w:spacing w:line="576" w:lineRule="exact"/>
        <w:ind w:firstLineChars="200" w:firstLine="640"/>
        <w:rPr>
          <w:rFonts w:ascii="仿宋_GB2312" w:eastAsia="仿宋_GB2312"/>
          <w:kern w:val="0"/>
          <w:sz w:val="32"/>
          <w:szCs w:val="32"/>
        </w:rPr>
      </w:pPr>
      <w:r>
        <w:rPr>
          <w:rFonts w:ascii="仿宋_GB2312" w:eastAsia="仿宋_GB2312" w:hint="eastAsia"/>
          <w:kern w:val="0"/>
          <w:sz w:val="32"/>
          <w:szCs w:val="32"/>
        </w:rPr>
        <w:t>7.拟订水利行业经济调节措施;负责编制全县水利建设项目资金计划，对水利资金进行管理、监督和内部审计。研究提出有关水利方面价格、税收、信贷、财务等经济调节建议。单位国有资产保值增值的监督和管理。</w:t>
      </w:r>
    </w:p>
    <w:p>
      <w:pPr>
        <w:spacing w:line="576" w:lineRule="exact"/>
        <w:ind w:firstLineChars="200" w:firstLine="640"/>
        <w:rPr>
          <w:rFonts w:ascii="仿宋_GB2312" w:eastAsia="仿宋_GB2312"/>
          <w:kern w:val="0"/>
          <w:sz w:val="32"/>
          <w:szCs w:val="32"/>
        </w:rPr>
      </w:pPr>
      <w:r>
        <w:rPr>
          <w:rFonts w:ascii="仿宋_GB2312" w:eastAsia="仿宋_GB2312" w:hint="eastAsia"/>
          <w:kern w:val="0"/>
          <w:sz w:val="32"/>
          <w:szCs w:val="32"/>
        </w:rPr>
        <w:t>8.负责全县水利方面的科技与外事工作，组织本县重大水利行业科学研究的技术推广。监督实施水利行业技术质量标准和规程、规范，承办水利行业对外经济、技术合作与交流等涉外事务。</w:t>
      </w:r>
    </w:p>
    <w:p>
      <w:pPr>
        <w:spacing w:line="576" w:lineRule="exact"/>
        <w:ind w:firstLineChars="200" w:firstLine="640"/>
        <w:rPr>
          <w:rFonts w:ascii="仿宋_GB2312" w:eastAsia="仿宋_GB2312"/>
          <w:kern w:val="0"/>
          <w:sz w:val="32"/>
          <w:szCs w:val="32"/>
        </w:rPr>
      </w:pPr>
      <w:r>
        <w:rPr>
          <w:rFonts w:ascii="仿宋_GB2312" w:eastAsia="仿宋_GB2312" w:hint="eastAsia"/>
          <w:kern w:val="0"/>
          <w:sz w:val="32"/>
          <w:szCs w:val="32"/>
        </w:rPr>
        <w:t>9.完成县委和县政府交办的其他任务。</w:t>
      </w:r>
    </w:p>
    <w:p>
      <w:pPr>
        <w:pStyle w:val="16"/>
        <w:adjustRightInd w:val="0"/>
        <w:snapToGrid w:val="0"/>
        <w:spacing w:beforeLines="0" w:before="93" w:line="576" w:lineRule="exact"/>
        <w:ind w:firstLineChars="200" w:firstLine="640"/>
        <w:outlineLvl w:val="2"/>
        <w:rPr>
          <w:rFonts w:ascii="楷体_GB2312" w:eastAsia="楷体_GB2312"/>
          <w:b/>
          <w:bCs/>
          <w:color w:val="000000"/>
          <w:sz w:val="32"/>
          <w:szCs w:val="32"/>
        </w:rPr>
      </w:pPr>
      <w:r>
        <w:rPr>
          <w:rFonts w:ascii="楷体_GB2312" w:eastAsia="楷体_GB2312" w:hint="eastAsia"/>
          <w:b/>
          <w:bCs/>
          <w:color w:val="000000"/>
          <w:sz w:val="32"/>
          <w:szCs w:val="32"/>
        </w:rPr>
        <w:t>（二）2020年重点工作完成情况</w:t>
      </w:r>
      <w:bookmarkEnd w:id="24"/>
      <w:bookmarkEnd w:id="25"/>
      <w:bookmarkEnd w:id="26"/>
      <w:bookmarkEnd w:id="27"/>
    </w:p>
    <w:p>
      <w:pPr>
        <w:spacing w:line="576" w:lineRule="exact"/>
        <w:ind w:firstLineChars="200" w:firstLine="640"/>
        <w:rPr>
          <w:rFonts w:ascii="仿宋_GB2312" w:eastAsia="仿宋_GB2312"/>
          <w:sz w:val="32"/>
          <w:szCs w:val="32"/>
        </w:rPr>
      </w:pPr>
      <w:r>
        <w:rPr>
          <w:rFonts w:ascii="仿宋_GB2312" w:eastAsia="仿宋_GB2312" w:hint="eastAsia"/>
          <w:sz w:val="32"/>
          <w:szCs w:val="32"/>
        </w:rPr>
        <w:t>2020年，我局坚持以习近平新时代中国特色社会主义思想为指导，紧扣中央、省、州、县委、县政府的重大决策部署，坚定走生态优先、绿色发展之路，为推进全县高质量发展提供有力的水利支撑，各项工作取得了不错的成效。</w:t>
      </w:r>
    </w:p>
    <w:p>
      <w:pPr>
        <w:spacing w:line="576" w:lineRule="exact"/>
        <w:ind w:firstLineChars="200" w:firstLine="640"/>
        <w:rPr>
          <w:rFonts w:ascii="仿宋_GB2312" w:eastAsia="仿宋_GB2312"/>
          <w:b/>
          <w:sz w:val="32"/>
          <w:szCs w:val="32"/>
        </w:rPr>
      </w:pPr>
      <w:r>
        <w:rPr>
          <w:rFonts w:ascii="仿宋_GB2312" w:eastAsia="仿宋_GB2312" w:hint="eastAsia"/>
          <w:b/>
          <w:sz w:val="32"/>
          <w:szCs w:val="32"/>
        </w:rPr>
        <w:t>1</w:t>
      </w:r>
      <w:r>
        <w:rPr>
          <w:rFonts w:ascii="仿宋_GB2312" w:eastAsia="仿宋_GB2312" w:hint="eastAsia"/>
          <w:b/>
          <w:sz w:val="32"/>
          <w:szCs w:val="32"/>
          <w:lang w:val="en-US" w:eastAsia="zh-CN"/>
        </w:rPr>
        <w:t>.</w:t>
      </w:r>
      <w:r>
        <w:rPr>
          <w:rFonts w:ascii="仿宋_GB2312" w:eastAsia="仿宋_GB2312" w:hint="eastAsia"/>
          <w:b/>
          <w:sz w:val="32"/>
          <w:szCs w:val="32"/>
        </w:rPr>
        <w:t>重点项目建设</w:t>
      </w:r>
    </w:p>
    <w:p>
      <w:pPr>
        <w:spacing w:line="576" w:lineRule="exact"/>
        <w:ind w:firstLineChars="150" w:firstLine="480"/>
        <w:rPr>
          <w:rFonts w:ascii="仿宋_GB2312" w:eastAsia="仿宋_GB2312"/>
          <w:sz w:val="32"/>
          <w:szCs w:val="32"/>
        </w:rPr>
      </w:pPr>
      <w:r>
        <w:rPr>
          <w:rFonts w:ascii="仿宋_GB2312" w:eastAsia="仿宋_GB2312" w:hint="eastAsia"/>
          <w:bCs/>
          <w:sz w:val="32"/>
          <w:szCs w:val="32"/>
        </w:rPr>
        <w:t>（1）岷江茂县段堤防工程项目。</w:t>
      </w:r>
      <w:r>
        <w:rPr>
          <w:rFonts w:ascii="仿宋_GB2312" w:eastAsia="仿宋_GB2312" w:hint="eastAsia"/>
          <w:sz w:val="32"/>
          <w:szCs w:val="32"/>
        </w:rPr>
        <w:t>总投资2009万元，建设内容整治茂县城区凤仪镇岷江左岸，工程河道治理总长2.18km。治理河段内左岸新建及加固堤防总长2335.00m。2021年5月全面完成。</w:t>
      </w:r>
    </w:p>
    <w:p>
      <w:pPr>
        <w:spacing w:line="576" w:lineRule="exact"/>
        <w:ind w:firstLineChars="150" w:firstLine="480"/>
        <w:rPr>
          <w:rFonts w:ascii="仿宋_GB2312" w:eastAsia="仿宋_GB2312"/>
          <w:sz w:val="32"/>
          <w:szCs w:val="32"/>
        </w:rPr>
      </w:pPr>
      <w:r>
        <w:rPr>
          <w:rFonts w:ascii="仿宋_GB2312" w:eastAsia="仿宋_GB2312" w:hint="eastAsia"/>
          <w:bCs/>
          <w:sz w:val="32"/>
          <w:szCs w:val="32"/>
        </w:rPr>
        <w:t>（2）茂县叠溪镇杨柳村防洪治理工程（8.20灾后重建项目）。</w:t>
      </w:r>
      <w:r>
        <w:rPr>
          <w:rFonts w:ascii="仿宋_GB2312" w:eastAsia="仿宋_GB2312" w:hint="eastAsia"/>
          <w:sz w:val="32"/>
          <w:szCs w:val="32"/>
        </w:rPr>
        <w:t>项目总投资500万元，整治河段总长531米，恢复重建堤防总长506.76米。</w:t>
      </w:r>
    </w:p>
    <w:p>
      <w:pPr>
        <w:spacing w:line="576" w:lineRule="exact"/>
        <w:ind w:firstLineChars="150" w:firstLine="480"/>
        <w:rPr>
          <w:rFonts w:ascii="仿宋_GB2312" w:eastAsia="仿宋_GB2312"/>
          <w:sz w:val="32"/>
          <w:szCs w:val="32"/>
        </w:rPr>
      </w:pPr>
      <w:r>
        <w:rPr>
          <w:rFonts w:ascii="仿宋_GB2312" w:eastAsia="仿宋_GB2312" w:hint="eastAsia"/>
          <w:bCs/>
          <w:sz w:val="32"/>
          <w:szCs w:val="32"/>
        </w:rPr>
        <w:t>（3）8.20暴雨灾害安全饮水恢复建设项目（8.20灾后重建项目）。</w:t>
      </w:r>
      <w:r>
        <w:rPr>
          <w:rFonts w:ascii="仿宋_GB2312" w:eastAsia="仿宋_GB2312" w:hint="eastAsia"/>
          <w:sz w:val="32"/>
          <w:szCs w:val="32"/>
        </w:rPr>
        <w:t>投资755万元，建设内容为解决4镇8个村13600人的饮水问题。</w:t>
      </w:r>
    </w:p>
    <w:p>
      <w:pPr>
        <w:spacing w:line="576" w:lineRule="exact"/>
        <w:ind w:firstLineChars="150" w:firstLine="480"/>
        <w:rPr>
          <w:rFonts w:ascii="仿宋_GB2312" w:eastAsia="仿宋_GB2312"/>
          <w:sz w:val="32"/>
          <w:szCs w:val="32"/>
        </w:rPr>
      </w:pPr>
      <w:r>
        <w:rPr>
          <w:rFonts w:ascii="仿宋_GB2312" w:eastAsia="仿宋_GB2312" w:hint="eastAsia"/>
          <w:bCs/>
          <w:sz w:val="32"/>
          <w:szCs w:val="32"/>
        </w:rPr>
        <w:t>（4）茂县2020年饮水安全工程维修养护项目。</w:t>
      </w:r>
      <w:r>
        <w:rPr>
          <w:rFonts w:ascii="仿宋_GB2312" w:eastAsia="仿宋_GB2312" w:hint="eastAsia"/>
          <w:sz w:val="32"/>
          <w:szCs w:val="32"/>
        </w:rPr>
        <w:t>项目总投资200万元，对6个镇12个行政村10000人饮水进行改善和提升改造。</w:t>
      </w:r>
    </w:p>
    <w:p>
      <w:pPr>
        <w:spacing w:line="576" w:lineRule="exact"/>
        <w:ind w:firstLineChars="200" w:firstLine="640"/>
        <w:rPr>
          <w:rFonts w:ascii="仿宋_GB2312" w:eastAsia="仿宋_GB2312"/>
          <w:b/>
          <w:sz w:val="32"/>
          <w:szCs w:val="32"/>
        </w:rPr>
      </w:pPr>
      <w:r>
        <w:rPr>
          <w:rFonts w:ascii="仿宋_GB2312" w:eastAsia="仿宋_GB2312" w:hint="eastAsia"/>
          <w:b/>
          <w:sz w:val="32"/>
          <w:szCs w:val="32"/>
        </w:rPr>
        <w:t>2</w:t>
      </w:r>
      <w:r>
        <w:rPr>
          <w:rFonts w:ascii="仿宋_GB2312" w:eastAsia="仿宋_GB2312" w:hint="eastAsia"/>
          <w:b/>
          <w:sz w:val="32"/>
          <w:szCs w:val="32"/>
          <w:lang w:val="en-US" w:eastAsia="zh-CN"/>
        </w:rPr>
        <w:t>.</w:t>
      </w:r>
      <w:r>
        <w:rPr>
          <w:rFonts w:ascii="仿宋_GB2312" w:eastAsia="仿宋_GB2312" w:hint="eastAsia"/>
          <w:b/>
          <w:sz w:val="32"/>
          <w:szCs w:val="32"/>
        </w:rPr>
        <w:t>脱贫攻坚、保障民生工作</w:t>
      </w:r>
    </w:p>
    <w:p>
      <w:pPr>
        <w:spacing w:line="576" w:lineRule="exact"/>
        <w:ind w:firstLineChars="150" w:firstLine="480"/>
        <w:rPr>
          <w:rFonts w:ascii="仿宋_GB2312" w:eastAsia="仿宋_GB2312"/>
          <w:sz w:val="32"/>
          <w:szCs w:val="32"/>
        </w:rPr>
      </w:pPr>
      <w:r>
        <w:rPr>
          <w:rFonts w:ascii="仿宋_GB2312" w:eastAsia="仿宋_GB2312" w:hint="eastAsia"/>
          <w:bCs/>
          <w:sz w:val="32"/>
          <w:szCs w:val="32"/>
        </w:rPr>
        <w:t>（1）抓基础工程，促脱贫攻坚落实。一是实施14个专项水利扶贫项目推进情况。</w:t>
      </w:r>
      <w:r>
        <w:rPr>
          <w:rFonts w:ascii="仿宋_GB2312" w:eastAsia="仿宋_GB2312" w:hint="eastAsia"/>
          <w:sz w:val="32"/>
          <w:szCs w:val="32"/>
        </w:rPr>
        <w:t>①农村安全饮水巩固提升和饮水安全工程维修养护项目，投资405万元，已全面完成。②农村安全饮水巩固提升项目，投入资金205万元,该项目现纳入茂县“8.20”暴雨灾害安全饮水恢复工程中实施，已全面完工。③防洪安保工程安排资金1335.53万元。其中山洪灾害防治项目运行维护（15万元）已完工;群测群防体系建设（10万元）;防洪治理工程项目（945.9万元)纳入财政涉农整合资金项目第一批项目中实施。④中小河流治理项目(364.63万元)纳入财政涉农整合资金项目第一批项目中实施。</w:t>
      </w:r>
      <w:r>
        <w:rPr>
          <w:rFonts w:ascii="仿宋_GB2312" w:eastAsia="仿宋_GB2312" w:hint="eastAsia"/>
          <w:bCs/>
          <w:sz w:val="32"/>
          <w:szCs w:val="32"/>
        </w:rPr>
        <w:t>二是实施茂县2020年统筹整合财政涉农资金使用安排脱贫攻坚项目（1-4批）。</w:t>
      </w:r>
      <w:r>
        <w:rPr>
          <w:rFonts w:ascii="仿宋_GB2312" w:eastAsia="仿宋_GB2312" w:hint="eastAsia"/>
          <w:sz w:val="32"/>
          <w:szCs w:val="32"/>
        </w:rPr>
        <w:t>包含了安全饮水提升工程、新建堤防工程等，总投资3484.52万元，涉及75个项目点。年末项目全面完工。</w:t>
      </w:r>
    </w:p>
    <w:p>
      <w:pPr>
        <w:spacing w:line="576" w:lineRule="exact"/>
        <w:ind w:firstLineChars="150" w:firstLine="480"/>
        <w:rPr>
          <w:rFonts w:ascii="仿宋_GB2312" w:eastAsia="仿宋_GB2312"/>
          <w:sz w:val="32"/>
          <w:szCs w:val="32"/>
        </w:rPr>
      </w:pPr>
      <w:r>
        <w:rPr>
          <w:rFonts w:ascii="仿宋_GB2312" w:eastAsia="仿宋_GB2312" w:hint="eastAsia"/>
          <w:bCs/>
          <w:sz w:val="32"/>
          <w:szCs w:val="32"/>
        </w:rPr>
        <w:t>（2）抓精准排查，巩固脱贫攻坚成效，改善群众生活质量。</w:t>
      </w:r>
      <w:r>
        <w:rPr>
          <w:rFonts w:ascii="仿宋_GB2312" w:eastAsia="仿宋_GB2312" w:hint="eastAsia"/>
          <w:sz w:val="32"/>
          <w:szCs w:val="32"/>
        </w:rPr>
        <w:t>按照“有安全饮用水”相关指标要求，按照“农村饮水安全评价准则四项指标”指标要求，排查核实全县11个镇贫困人口饮水达标。</w:t>
      </w:r>
    </w:p>
    <w:p>
      <w:pPr>
        <w:spacing w:line="576" w:lineRule="exact"/>
        <w:ind w:firstLineChars="200" w:firstLine="640"/>
        <w:rPr>
          <w:rFonts w:ascii="仿宋_GB2312" w:eastAsia="仿宋_GB2312"/>
          <w:b/>
          <w:sz w:val="32"/>
          <w:szCs w:val="32"/>
        </w:rPr>
      </w:pPr>
      <w:r>
        <w:rPr>
          <w:rFonts w:ascii="仿宋_GB2312" w:eastAsia="仿宋_GB2312" w:hint="eastAsia"/>
          <w:b/>
          <w:sz w:val="32"/>
          <w:szCs w:val="32"/>
        </w:rPr>
        <w:t>3</w:t>
      </w:r>
      <w:r>
        <w:rPr>
          <w:rFonts w:ascii="仿宋_GB2312" w:eastAsia="仿宋_GB2312" w:hint="eastAsia"/>
          <w:b/>
          <w:sz w:val="32"/>
          <w:szCs w:val="32"/>
          <w:lang w:val="en-US" w:eastAsia="zh-CN"/>
        </w:rPr>
        <w:t>.</w:t>
      </w:r>
      <w:r>
        <w:rPr>
          <w:rFonts w:ascii="仿宋_GB2312" w:eastAsia="仿宋_GB2312" w:hint="eastAsia"/>
          <w:b/>
          <w:sz w:val="32"/>
          <w:szCs w:val="32"/>
        </w:rPr>
        <w:t>生态环保工作情况</w:t>
      </w:r>
    </w:p>
    <w:p>
      <w:pPr>
        <w:spacing w:line="576" w:lineRule="exact"/>
        <w:ind w:firstLineChars="150" w:firstLine="480"/>
        <w:rPr>
          <w:rFonts w:ascii="仿宋_GB2312" w:eastAsia="仿宋_GB2312"/>
          <w:bCs/>
          <w:sz w:val="32"/>
          <w:szCs w:val="32"/>
        </w:rPr>
      </w:pPr>
      <w:r>
        <w:rPr>
          <w:rFonts w:ascii="仿宋_GB2312" w:eastAsia="仿宋_GB2312" w:hint="eastAsia"/>
          <w:bCs/>
          <w:sz w:val="32"/>
          <w:szCs w:val="32"/>
        </w:rPr>
        <w:t>（1）河湖长制工作推进情况。</w:t>
      </w:r>
      <w:r>
        <w:rPr>
          <w:rFonts w:ascii="仿宋_GB2312" w:eastAsia="仿宋_GB2312" w:hint="eastAsia"/>
          <w:sz w:val="32"/>
          <w:szCs w:val="32"/>
        </w:rPr>
        <w:t>坚持高位推动，建立完善河湖长体系。严格实行县总河长负责制，压实压紧工作责任，并将湖长制工作纳入河长制工作体制机制。县级财政落实县级河（湖）长制专项经费285.5万元，保障了“河长制”办公室日常工作、l9条河流的河湖管理范围划定、“一河（湖）一策(2021-2025年)”方案编制等工作。</w:t>
      </w:r>
    </w:p>
    <w:p>
      <w:pPr>
        <w:spacing w:line="576" w:lineRule="exact"/>
        <w:ind w:firstLineChars="150" w:firstLine="480"/>
        <w:rPr>
          <w:rFonts w:ascii="仿宋_GB2312" w:eastAsia="仿宋_GB2312"/>
          <w:bCs/>
          <w:sz w:val="32"/>
          <w:szCs w:val="32"/>
        </w:rPr>
      </w:pPr>
      <w:r>
        <w:rPr>
          <w:rFonts w:ascii="仿宋_GB2312" w:eastAsia="仿宋_GB2312" w:hint="eastAsia"/>
          <w:bCs/>
          <w:sz w:val="32"/>
          <w:szCs w:val="32"/>
        </w:rPr>
        <w:t>（2）水资源管理和水行政工作开展情况。严格用水总量控制，不断推进节水型社会建设。认真开展小水电清理及取水口核查工作。</w:t>
      </w:r>
      <w:r>
        <w:rPr>
          <w:rFonts w:ascii="仿宋_GB2312" w:eastAsia="仿宋_GB2312" w:hint="eastAsia"/>
          <w:sz w:val="32"/>
          <w:szCs w:val="32"/>
        </w:rPr>
        <w:t>一是根据省、州相关文件和全省长江经济带小水电清理整改工作电视电话会议的有关要求，协同各部门积极开展小水电清理整改工作。我县共有57座小水电站全部纳入整改类，截至目前57座小水电站已完成了取水许可手续办理。二是积极开展取水用水整改工作。截止目前我县有21家工业企业纳入取水工程（设施）核查登记整改工作，其中：已完成整改12家，正在进行取水工程验收4家，已完成水资源评审5家。</w:t>
      </w:r>
    </w:p>
    <w:p>
      <w:pPr>
        <w:spacing w:line="576" w:lineRule="exact"/>
        <w:ind w:firstLineChars="200" w:firstLine="640"/>
        <w:rPr>
          <w:rFonts w:ascii="仿宋_GB2312" w:eastAsia="仿宋_GB2312" w:cs="Arial"/>
          <w:sz w:val="32"/>
          <w:szCs w:val="32"/>
        </w:rPr>
      </w:pPr>
      <w:r>
        <w:rPr>
          <w:rFonts w:ascii="仿宋_GB2312" w:eastAsia="仿宋_GB2312" w:hint="eastAsia"/>
          <w:bCs/>
          <w:sz w:val="32"/>
          <w:szCs w:val="32"/>
        </w:rPr>
        <w:t>（3）从严监管砂石开采。</w:t>
      </w:r>
      <w:r>
        <w:rPr>
          <w:rFonts w:ascii="仿宋_GB2312" w:eastAsia="仿宋_GB2312" w:hint="eastAsia"/>
          <w:sz w:val="32"/>
          <w:szCs w:val="32"/>
        </w:rPr>
        <w:t>一是规范建立砂石加工厂11处，并安装完成智能信息化监控、地磅对砂场进行动态监测，及时将砂石运输车辆方量及数据上传水务监控平台，随时掌握砂场运行情况。二是规范砂石运输行为，对砂场运输车辆规范有序停放，运输砂石的车辆必须遮盖篷布和采取其它密闭方式后方可出厂，同时严禁超载和未覆盖出厂，建立了砂石运输车辆出入厂登记台账制度。</w:t>
      </w:r>
    </w:p>
    <w:p>
      <w:pPr>
        <w:pStyle w:val="2"/>
        <w:spacing w:before="0" w:after="0" w:line="576" w:lineRule="exact"/>
        <w:ind w:firstLineChars="200" w:firstLine="640"/>
        <w:rPr>
          <w:rStyle w:val="2Char"/>
          <w:b w:val="0"/>
          <w:bCs w:val="0"/>
        </w:rPr>
      </w:pPr>
      <w:bookmarkStart w:id="28" w:name="_Toc79163855"/>
      <w:bookmarkStart w:id="29" w:name="_Toc15377200"/>
      <w:bookmarkStart w:id="30" w:name="_Toc15396601"/>
      <w:bookmarkStart w:id="31" w:name="_Toc79163605"/>
      <w:r>
        <w:rPr>
          <w:rFonts w:ascii="黑体" w:eastAsia="黑体" w:hint="eastAsia"/>
          <w:b w:val="0"/>
          <w:color w:val="000000"/>
        </w:rPr>
        <w:t>二、机</w:t>
      </w:r>
      <w:r>
        <w:rPr>
          <w:rStyle w:val="2Char"/>
          <w:rFonts w:ascii="黑体" w:eastAsia="黑体" w:hint="eastAsia"/>
          <w:b w:val="0"/>
          <w:bCs w:val="0"/>
        </w:rPr>
        <w:t>构设置</w:t>
      </w:r>
      <w:bookmarkEnd w:id="28"/>
      <w:bookmarkEnd w:id="29"/>
      <w:bookmarkEnd w:id="30"/>
      <w:bookmarkEnd w:id="31"/>
    </w:p>
    <w:p>
      <w:pPr>
        <w:spacing w:line="576" w:lineRule="exact"/>
        <w:ind w:firstLineChars="200" w:firstLine="640"/>
        <w:rPr>
          <w:rFonts w:ascii="仿宋_GB2312" w:eastAsia="仿宋_GB2312"/>
          <w:sz w:val="32"/>
          <w:szCs w:val="32"/>
        </w:rPr>
      </w:pPr>
      <w:r>
        <w:rPr>
          <w:rFonts w:ascii="仿宋_GB2312" w:eastAsia="仿宋_GB2312" w:hint="eastAsia"/>
          <w:sz w:val="32"/>
          <w:szCs w:val="32"/>
        </w:rPr>
        <w:t>茂县水务局属一级预算单位，内设机构2个。其中行政单位1个，其他事业单位1个。</w:t>
      </w:r>
    </w:p>
    <w:p>
      <w:pPr>
        <w:pStyle w:val="16"/>
        <w:spacing w:beforeLines="0" w:before="93" w:line="576" w:lineRule="exact"/>
        <w:ind w:firstLineChars="200" w:firstLine="640"/>
        <w:rPr>
          <w:kern w:val="2"/>
          <w:sz w:val="32"/>
          <w:szCs w:val="32"/>
        </w:rPr>
      </w:pPr>
      <w:r>
        <w:rPr>
          <w:rFonts w:hint="eastAsia"/>
          <w:kern w:val="2"/>
          <w:sz w:val="32"/>
          <w:szCs w:val="32"/>
        </w:rPr>
        <w:t>纳入茂县水务局2020年度部门决算编制范围的包括：</w:t>
      </w:r>
    </w:p>
    <w:p>
      <w:pPr>
        <w:pStyle w:val="16"/>
        <w:spacing w:beforeLines="0" w:before="93" w:line="576" w:lineRule="exact"/>
        <w:ind w:firstLineChars="200" w:firstLine="640"/>
        <w:rPr>
          <w:kern w:val="2"/>
          <w:sz w:val="32"/>
          <w:szCs w:val="32"/>
        </w:rPr>
      </w:pPr>
      <w:r>
        <w:rPr>
          <w:rFonts w:hint="eastAsia"/>
          <w:kern w:val="2"/>
          <w:sz w:val="32"/>
          <w:szCs w:val="32"/>
        </w:rPr>
        <w:t>1.茂县水务局</w:t>
      </w:r>
      <w:bookmarkStart w:id="32" w:name="_Toc15377434"/>
      <w:bookmarkStart w:id="33" w:name="_Toc15378450"/>
      <w:bookmarkStart w:id="34" w:name="_Toc15377203"/>
      <w:bookmarkStart w:id="35" w:name="_Toc15306277"/>
    </w:p>
    <w:p>
      <w:pPr>
        <w:pStyle w:val="16"/>
        <w:spacing w:beforeLines="0" w:before="93" w:line="576" w:lineRule="exact"/>
        <w:ind w:firstLineChars="200" w:firstLine="640"/>
        <w:rPr>
          <w:sz w:val="32"/>
        </w:rPr>
      </w:pPr>
      <w:r>
        <w:rPr>
          <w:rFonts w:hint="eastAsia"/>
          <w:kern w:val="2"/>
          <w:sz w:val="32"/>
          <w:szCs w:val="32"/>
        </w:rPr>
        <w:t>2.</w:t>
      </w:r>
      <w:bookmarkEnd w:id="32"/>
      <w:bookmarkEnd w:id="33"/>
      <w:bookmarkEnd w:id="34"/>
      <w:bookmarkEnd w:id="35"/>
      <w:r>
        <w:rPr>
          <w:rFonts w:hint="eastAsia"/>
          <w:kern w:val="2"/>
          <w:sz w:val="32"/>
          <w:szCs w:val="32"/>
        </w:rPr>
        <w:t>茂县水务服务中心</w:t>
        <w:br w:type="page"/>
      </w:r>
    </w:p>
    <w:p>
      <w:pPr>
        <w:pStyle w:val="1"/>
        <w:spacing w:before="0" w:after="0" w:line="576" w:lineRule="exact"/>
        <w:jc w:val="center"/>
        <w:rPr>
          <w:rStyle w:val="1Char"/>
          <w:rFonts w:ascii="黑体" w:eastAsia="黑体"/>
          <w:b w:val="0"/>
          <w:bCs w:val="0"/>
        </w:rPr>
      </w:pPr>
      <w:bookmarkStart w:id="36" w:name="_Toc15377204"/>
      <w:bookmarkStart w:id="37" w:name="_Toc15396602"/>
      <w:bookmarkStart w:id="38" w:name="_Toc79163859"/>
      <w:bookmarkStart w:id="39" w:name="_Toc79163609"/>
      <w:r>
        <w:rPr>
          <w:rFonts w:ascii="黑体" w:eastAsia="黑体" w:hint="eastAsia"/>
          <w:b w:val="0"/>
          <w:color w:val="000000"/>
        </w:rPr>
        <w:t xml:space="preserve">第二部分 </w:t>
      </w:r>
      <w:r>
        <w:rPr>
          <w:rStyle w:val="1Char"/>
          <w:rFonts w:ascii="黑体" w:eastAsia="黑体"/>
          <w:b w:val="0"/>
          <w:bCs w:val="0"/>
        </w:rPr>
        <w:t>2020</w:t>
      </w:r>
      <w:r>
        <w:rPr>
          <w:rStyle w:val="1Char"/>
          <w:rFonts w:ascii="黑体" w:eastAsia="黑体" w:hint="eastAsia"/>
          <w:b w:val="0"/>
          <w:bCs w:val="0"/>
        </w:rPr>
        <w:t>年度部门决算情况说明</w:t>
      </w:r>
      <w:bookmarkEnd w:id="36"/>
      <w:bookmarkEnd w:id="37"/>
      <w:bookmarkEnd w:id="38"/>
      <w:bookmarkEnd w:id="39"/>
    </w:p>
    <w:p>
      <w:pPr>
        <w:spacing w:line="576" w:lineRule="exact"/>
        <w:ind w:firstLineChars="200" w:firstLine="420"/>
      </w:pPr>
    </w:p>
    <w:p>
      <w:pPr>
        <w:pStyle w:val="36"/>
        <w:numPr>
          <w:ilvl w:val="0"/>
          <w:numId w:val="1"/>
        </w:numPr>
        <w:spacing w:line="576" w:lineRule="exact"/>
        <w:ind w:left="0" w:firstLineChars="0" w:firstLine="640"/>
        <w:outlineLvl w:val="1"/>
        <w:rPr>
          <w:rStyle w:val="2Char"/>
          <w:rFonts w:ascii="黑体" w:eastAsia="黑体"/>
          <w:b w:val="0"/>
        </w:rPr>
      </w:pPr>
      <w:bookmarkStart w:id="40" w:name="_Toc15396603"/>
      <w:bookmarkStart w:id="41" w:name="_Toc15377205"/>
      <w:bookmarkStart w:id="42" w:name="_Toc79163610"/>
      <w:bookmarkStart w:id="43" w:name="_Toc79163860"/>
      <w:r>
        <w:rPr>
          <w:rFonts w:ascii="黑体" w:eastAsia="黑体" w:hint="eastAsia"/>
          <w:color w:val="000000"/>
          <w:sz w:val="32"/>
          <w:szCs w:val="32"/>
        </w:rPr>
        <w:t>收</w:t>
      </w:r>
      <w:r>
        <w:rPr>
          <w:rStyle w:val="2Char"/>
          <w:rFonts w:ascii="黑体" w:eastAsia="黑体" w:hint="eastAsia"/>
          <w:b w:val="0"/>
        </w:rPr>
        <w:t>入支出决算总体情况说明</w:t>
      </w:r>
      <w:bookmarkEnd w:id="40"/>
      <w:bookmarkEnd w:id="41"/>
      <w:bookmarkEnd w:id="42"/>
      <w:bookmarkEnd w:id="43"/>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2020年度收、支总计11465.58万元。与2019年相比，收、支总计各增加476.39万元，增长4.15%。主要变动原因是人员经费、日常公用经费支出、项目支出增加。</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图1：收、支决算总计变动情况图</w:t>
      </w:r>
    </w:p>
    <w:p>
      <w:pPr>
        <w:spacing w:line="576" w:lineRule="exact"/>
      </w:pPr>
      <w:r>
        <w:rPr>
          <w:rFonts w:hint="eastAsia"/>
        </w:rPr>
        <w:drawing>
          <wp:anchor distT="0" distB="0" distL="114300" distR="114300" simplePos="0" relativeHeight="18" behindDoc="0" locked="0" layoutInCell="1" hidden="0" allowOverlap="1">
            <wp:simplePos x="0" y="0"/>
            <wp:positionH relativeFrom="column">
              <wp:posOffset>409575</wp:posOffset>
            </wp:positionH>
            <wp:positionV relativeFrom="paragraph">
              <wp:posOffset>78105</wp:posOffset>
            </wp:positionV>
            <wp:extent cx="3819525" cy="1990725"/>
            <wp:effectExtent l="0" t="0" r="0" b="0"/>
            <wp:wrapNone/>
            <wp:docPr id="1" name="图表 2"/>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576" w:lineRule="exact"/>
      </w:pPr>
    </w:p>
    <w:p>
      <w:pPr>
        <w:spacing w:line="576" w:lineRule="exact"/>
      </w:pPr>
    </w:p>
    <w:p>
      <w:pPr>
        <w:spacing w:line="576" w:lineRule="exact"/>
      </w:pPr>
    </w:p>
    <w:p>
      <w:pPr>
        <w:spacing w:line="576" w:lineRule="exact"/>
      </w:pPr>
    </w:p>
    <w:p>
      <w:pPr>
        <w:spacing w:line="576" w:lineRule="exact"/>
        <w:rPr>
          <w:rFonts w:ascii="黑体" w:eastAsia="黑体"/>
          <w:bCs/>
        </w:rPr>
      </w:pPr>
    </w:p>
    <w:p>
      <w:pPr>
        <w:pStyle w:val="36"/>
        <w:numPr>
          <w:ilvl w:val="0"/>
          <w:numId w:val="1"/>
        </w:numPr>
        <w:spacing w:line="576" w:lineRule="exact"/>
        <w:ind w:left="0" w:firstLineChars="0" w:firstLine="640"/>
        <w:outlineLvl w:val="1"/>
        <w:rPr>
          <w:rStyle w:val="2Char"/>
          <w:rFonts w:ascii="黑体" w:eastAsia="黑体"/>
          <w:b w:val="0"/>
        </w:rPr>
      </w:pPr>
      <w:bookmarkStart w:id="44" w:name="_Toc79163611"/>
      <w:bookmarkStart w:id="45" w:name="_Toc15396604"/>
      <w:bookmarkStart w:id="46" w:name="_Toc79163861"/>
      <w:bookmarkStart w:id="47" w:name="_Toc15377206"/>
      <w:r>
        <w:rPr>
          <w:rFonts w:ascii="黑体" w:eastAsia="黑体" w:hint="eastAsia"/>
          <w:color w:val="000000"/>
          <w:sz w:val="32"/>
          <w:szCs w:val="32"/>
        </w:rPr>
        <w:t>收</w:t>
      </w:r>
      <w:r>
        <w:rPr>
          <w:rStyle w:val="2Char"/>
          <w:rFonts w:ascii="黑体" w:eastAsia="黑体" w:hint="eastAsia"/>
          <w:b w:val="0"/>
        </w:rPr>
        <w:t>入决算情况说明</w:t>
      </w:r>
      <w:bookmarkEnd w:id="44"/>
      <w:bookmarkEnd w:id="45"/>
      <w:bookmarkEnd w:id="46"/>
      <w:bookmarkEnd w:id="47"/>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2020年本年收入合计7358.92万元，其中：一般公共预算财政拨款收入6813.85万元，占92.59%；政府性基金预算财政拨款收入545.07万元，占7.41%；上级补助收入0万元；事业收入0万元；经营收入0万元；附属单位上缴收入0万元；其他收入0万元。</w:t>
      </w:r>
    </w:p>
    <w:p>
      <w:pPr>
        <w:spacing w:line="576" w:lineRule="exact"/>
        <w:ind w:firstLineChars="200" w:firstLine="640"/>
        <w:rPr>
          <w:rStyle w:val="2Char"/>
          <w:rFonts w:ascii="仿宋_GB2312" w:eastAsia="仿宋_GB2312"/>
          <w:b w:val="0"/>
          <w:bCs w:val="0"/>
          <w:color w:val="000000"/>
        </w:rPr>
      </w:pPr>
      <w:r>
        <w:rPr>
          <w:rFonts w:ascii="仿宋_GB2312" w:eastAsia="仿宋_GB2312" w:hint="eastAsia"/>
          <w:color w:val="000000"/>
          <w:sz w:val="32"/>
          <w:szCs w:val="32"/>
        </w:rPr>
        <w:t>图2：收入决算结构图</w:t>
      </w:r>
    </w:p>
    <w:p>
      <w:pPr>
        <w:pStyle w:val="40"/>
        <w:rPr>
          <w:rStyle w:val="2Char"/>
          <w:rFonts w:ascii="黑体" w:eastAsia="黑体"/>
        </w:rPr>
      </w:pPr>
      <w:r>
        <w:rPr>
          <w:rFonts w:ascii="黑体" w:eastAsia="黑体"/>
          <w:b/>
          <w:bCs/>
        </w:rPr>
        <w:drawing>
          <wp:anchor distT="0" distB="0" distL="114300" distR="114300" simplePos="0" relativeHeight="20" behindDoc="0" locked="0" layoutInCell="1" hidden="0" allowOverlap="1">
            <wp:simplePos x="0" y="0"/>
            <wp:positionH relativeFrom="column">
              <wp:posOffset>504825</wp:posOffset>
            </wp:positionH>
            <wp:positionV relativeFrom="paragraph">
              <wp:posOffset>38100</wp:posOffset>
            </wp:positionV>
            <wp:extent cx="2809875" cy="1562100"/>
            <wp:effectExtent l="0" t="0" r="0" b="0"/>
            <wp:wrapNone/>
            <wp:docPr id="2" name="图表 1"/>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40"/>
        <w:rPr>
          <w:rStyle w:val="2Char"/>
          <w:rFonts w:ascii="黑体" w:eastAsia="黑体"/>
        </w:rPr>
      </w:pPr>
    </w:p>
    <w:p>
      <w:pPr>
        <w:spacing w:line="576" w:lineRule="exact"/>
        <w:rPr>
          <w:rFonts w:ascii="仿宋_GB2312" w:eastAsia="仿宋_GB2312"/>
          <w:color w:val="FF0000"/>
          <w:sz w:val="32"/>
          <w:szCs w:val="32"/>
        </w:rPr>
      </w:pPr>
    </w:p>
    <w:p>
      <w:pPr>
        <w:spacing w:line="576" w:lineRule="exact"/>
        <w:rPr>
          <w:rFonts w:ascii="仿宋_GB2312" w:eastAsia="仿宋_GB2312"/>
          <w:color w:val="FF0000"/>
          <w:sz w:val="32"/>
          <w:szCs w:val="32"/>
        </w:rPr>
      </w:pPr>
    </w:p>
    <w:p>
      <w:pPr>
        <w:pStyle w:val="36"/>
        <w:numPr>
          <w:ilvl w:val="0"/>
          <w:numId w:val="1"/>
        </w:numPr>
        <w:spacing w:line="576" w:lineRule="exact"/>
        <w:ind w:left="0" w:firstLineChars="0" w:firstLine="640"/>
        <w:outlineLvl w:val="1"/>
        <w:rPr>
          <w:rStyle w:val="2Char"/>
          <w:rFonts w:ascii="黑体" w:eastAsia="黑体"/>
          <w:b w:val="0"/>
        </w:rPr>
      </w:pPr>
      <w:bookmarkStart w:id="48" w:name="_Toc79163612"/>
      <w:bookmarkStart w:id="49" w:name="_Toc15396605"/>
      <w:bookmarkStart w:id="50" w:name="_Toc79163862"/>
      <w:bookmarkStart w:id="51" w:name="_Toc15377207"/>
      <w:r>
        <w:rPr>
          <w:rFonts w:ascii="黑体" w:eastAsia="黑体" w:hint="eastAsia"/>
          <w:color w:val="000000"/>
          <w:sz w:val="32"/>
          <w:szCs w:val="32"/>
        </w:rPr>
        <w:t>支</w:t>
      </w:r>
      <w:r>
        <w:rPr>
          <w:rStyle w:val="2Char"/>
          <w:rFonts w:ascii="黑体" w:eastAsia="黑体" w:hint="eastAsia"/>
          <w:b w:val="0"/>
        </w:rPr>
        <w:t>出决算情况说明</w:t>
      </w:r>
      <w:bookmarkEnd w:id="48"/>
      <w:bookmarkEnd w:id="49"/>
      <w:bookmarkEnd w:id="50"/>
      <w:bookmarkEnd w:id="51"/>
    </w:p>
    <w:p>
      <w:pPr>
        <w:spacing w:line="576" w:lineRule="exact"/>
        <w:ind w:firstLineChars="200" w:firstLine="640"/>
        <w:rPr>
          <w:rFonts w:ascii="仿宋_GB2312" w:eastAsia="仿宋_GB2312"/>
          <w:sz w:val="32"/>
          <w:szCs w:val="32"/>
        </w:rPr>
      </w:pPr>
      <w:r>
        <w:rPr>
          <w:rFonts w:ascii="仿宋_GB2312" w:eastAsia="仿宋_GB2312" w:hint="eastAsia"/>
          <w:sz w:val="32"/>
          <w:szCs w:val="32"/>
        </w:rPr>
        <w:t>2020年本年支出合计5302.96万元，其中：基本支出466.49万元，占8.79%；项目支出4836.47万元，占91.21%；上缴上级支出0万元；经营支出0万元；对附属单位补助支出0万元。</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图3：支出决算结构图</w:t>
      </w:r>
    </w:p>
    <w:p>
      <w:pPr>
        <w:spacing w:line="576" w:lineRule="exact"/>
      </w:pPr>
      <w:r>
        <w:rPr>
          <w:rFonts w:hint="eastAsia"/>
        </w:rPr>
        <w:drawing>
          <wp:anchor distT="0" distB="0" distL="114300" distR="114300" simplePos="0" relativeHeight="22" behindDoc="0" locked="0" layoutInCell="1" hidden="0" allowOverlap="1">
            <wp:simplePos x="0" y="0"/>
            <wp:positionH relativeFrom="column">
              <wp:posOffset>504825</wp:posOffset>
            </wp:positionH>
            <wp:positionV relativeFrom="paragraph">
              <wp:posOffset>120015</wp:posOffset>
            </wp:positionV>
            <wp:extent cx="3009900" cy="1762125"/>
            <wp:effectExtent l="0" t="0" r="0" b="0"/>
            <wp:wrapNone/>
            <wp:docPr id="3" name="图表 3"/>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576" w:lineRule="exact"/>
      </w:pPr>
    </w:p>
    <w:p>
      <w:pPr>
        <w:spacing w:line="576" w:lineRule="exact"/>
      </w:pPr>
    </w:p>
    <w:p>
      <w:pPr>
        <w:spacing w:line="576" w:lineRule="exact"/>
      </w:pPr>
    </w:p>
    <w:p>
      <w:pPr>
        <w:spacing w:line="576" w:lineRule="exact"/>
        <w:rPr>
          <w:rFonts w:ascii="仿宋_GB2312" w:eastAsia="仿宋_GB2312"/>
          <w:color w:val="FF0000"/>
          <w:sz w:val="32"/>
          <w:szCs w:val="32"/>
        </w:rPr>
      </w:pPr>
    </w:p>
    <w:p>
      <w:pPr>
        <w:spacing w:line="576" w:lineRule="exact"/>
        <w:ind w:firstLineChars="200" w:firstLine="640"/>
        <w:outlineLvl w:val="1"/>
        <w:rPr>
          <w:rStyle w:val="2Char"/>
          <w:rFonts w:ascii="黑体" w:eastAsia="黑体"/>
          <w:b w:val="0"/>
        </w:rPr>
      </w:pPr>
      <w:bookmarkStart w:id="52" w:name="_Toc79163613"/>
      <w:bookmarkStart w:id="53" w:name="_Toc15396606"/>
      <w:bookmarkStart w:id="54" w:name="_Toc15377208"/>
      <w:bookmarkStart w:id="55" w:name="_Toc79163863"/>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52"/>
      <w:bookmarkEnd w:id="53"/>
      <w:bookmarkEnd w:id="54"/>
      <w:bookmarkEnd w:id="55"/>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2020年度收、支总计11465.58万元。与2019年相比，收、支总计各增加476.39万元，增长4.15%。主要变动原因是人员经费、日常公用经费支出增加、项目支出增加。</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图4：财政拨款收、支决算总计变动情况</w:t>
      </w:r>
    </w:p>
    <w:p>
      <w:pPr>
        <w:spacing w:line="576" w:lineRule="exact"/>
      </w:pPr>
      <w:r>
        <w:rPr>
          <w:rFonts w:hint="eastAsia"/>
        </w:rPr>
        <w:drawing>
          <wp:anchor distT="0" distB="0" distL="114300" distR="114300" simplePos="0" relativeHeight="24" behindDoc="0" locked="0" layoutInCell="1" hidden="0" allowOverlap="1">
            <wp:simplePos x="0" y="0"/>
            <wp:positionH relativeFrom="column">
              <wp:posOffset>409575</wp:posOffset>
            </wp:positionH>
            <wp:positionV relativeFrom="paragraph">
              <wp:posOffset>72389</wp:posOffset>
            </wp:positionV>
            <wp:extent cx="3514725" cy="2057400"/>
            <wp:effectExtent l="0" t="0" r="0" b="0"/>
            <wp:wrapNone/>
            <wp:docPr id="4" name="图表 2"/>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576" w:lineRule="exact"/>
      </w:pPr>
    </w:p>
    <w:p>
      <w:pPr>
        <w:spacing w:line="576" w:lineRule="exact"/>
      </w:pPr>
    </w:p>
    <w:p>
      <w:pPr>
        <w:spacing w:line="576" w:lineRule="exact"/>
      </w:pPr>
    </w:p>
    <w:p>
      <w:pPr>
        <w:spacing w:line="576" w:lineRule="exact"/>
      </w:pPr>
    </w:p>
    <w:p>
      <w:pPr>
        <w:spacing w:line="576" w:lineRule="exact"/>
        <w:outlineLvl w:val="1"/>
      </w:pPr>
      <w:bookmarkStart w:id="56" w:name="_Toc79163614"/>
      <w:bookmarkStart w:id="57" w:name="_Toc15396607"/>
      <w:bookmarkStart w:id="58" w:name="_Toc15377209"/>
      <w:bookmarkStart w:id="59" w:name="_Toc79163864"/>
    </w:p>
    <w:p>
      <w:pPr>
        <w:spacing w:line="576" w:lineRule="exact"/>
        <w:ind w:firstLineChars="200" w:firstLine="640"/>
        <w:outlineLvl w:val="1"/>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6"/>
      <w:bookmarkEnd w:id="57"/>
      <w:bookmarkEnd w:id="58"/>
      <w:bookmarkEnd w:id="59"/>
    </w:p>
    <w:p>
      <w:pPr>
        <w:spacing w:line="576" w:lineRule="exact"/>
        <w:ind w:firstLineChars="200" w:firstLine="640"/>
        <w:outlineLvl w:val="2"/>
        <w:rPr>
          <w:rFonts w:ascii="楷体_GB2312" w:eastAsia="楷体_GB2312"/>
          <w:b/>
          <w:color w:val="000000"/>
          <w:sz w:val="32"/>
          <w:szCs w:val="32"/>
        </w:rPr>
      </w:pPr>
      <w:bookmarkStart w:id="60" w:name="_Toc79163615"/>
      <w:bookmarkStart w:id="61" w:name="_Toc15377210"/>
      <w:bookmarkStart w:id="62" w:name="_Toc79163865"/>
      <w:r>
        <w:rPr>
          <w:rFonts w:ascii="楷体_GB2312" w:eastAsia="楷体_GB2312" w:hint="eastAsia"/>
          <w:b/>
          <w:color w:val="000000"/>
          <w:sz w:val="32"/>
          <w:szCs w:val="32"/>
        </w:rPr>
        <w:t>（一）一般公共预算财政拨款支出决算总体情况</w:t>
      </w:r>
      <w:bookmarkEnd w:id="60"/>
      <w:bookmarkEnd w:id="61"/>
      <w:bookmarkEnd w:id="62"/>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2020年一般公共预算财政拨款支出3641.50万元，占本年支出合计的68.67%。与2019年相比，一般公共预算财政拨款减少3303.81万元，下降90.73%。主要变动原因是项目支出减少。</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图5：一般公共预算财政拨款支出决算变动情况</w:t>
      </w:r>
    </w:p>
    <w:p>
      <w:pPr>
        <w:spacing w:line="576" w:lineRule="exact"/>
        <w:ind w:firstLineChars="200"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26" behindDoc="0" locked="0" layoutInCell="1" hidden="0" allowOverlap="1">
            <wp:simplePos x="0" y="0"/>
            <wp:positionH relativeFrom="column">
              <wp:posOffset>447675</wp:posOffset>
            </wp:positionH>
            <wp:positionV relativeFrom="paragraph">
              <wp:posOffset>94615</wp:posOffset>
            </wp:positionV>
            <wp:extent cx="3429000" cy="1743075"/>
            <wp:effectExtent l="0" t="0" r="0" b="0"/>
            <wp:wrapNone/>
            <wp:docPr id="5" name="图表 5"/>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outlineLvl w:val="2"/>
        <w:rPr>
          <w:rFonts w:ascii="楷体_GB2312" w:eastAsia="楷体_GB2312"/>
          <w:b/>
          <w:color w:val="000000"/>
          <w:sz w:val="32"/>
          <w:szCs w:val="32"/>
        </w:rPr>
      </w:pPr>
      <w:bookmarkStart w:id="63" w:name="_Toc15377211"/>
      <w:bookmarkStart w:id="64" w:name="_Toc79163616"/>
      <w:bookmarkStart w:id="65" w:name="_Toc79163866"/>
      <w:r>
        <w:rPr>
          <w:rFonts w:ascii="楷体_GB2312" w:eastAsia="楷体_GB2312" w:hint="eastAsia"/>
          <w:b/>
          <w:color w:val="000000"/>
          <w:sz w:val="32"/>
          <w:szCs w:val="32"/>
        </w:rPr>
        <w:t>（二）一般公共预算财政拨款支出决算结构情况</w:t>
      </w:r>
      <w:bookmarkEnd w:id="63"/>
      <w:bookmarkEnd w:id="64"/>
      <w:bookmarkEnd w:id="65"/>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2020年一般公共预算财政拨款支出3641.50万元，主要用于以下方面:社会保障和就业支出46.36万元，占1.27%；卫生健康支出25.52万元，占0.7%；农林水支出3535.06万元，占97.08%；住房保障支出34.56万元，占0.95%。</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图6：一般公共预算财政拨款支出决算结构</w:t>
      </w:r>
    </w:p>
    <w:p>
      <w:pPr>
        <w:spacing w:line="576" w:lineRule="exact"/>
        <w:ind w:firstLineChars="200"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28" behindDoc="0" locked="0" layoutInCell="1" hidden="0" allowOverlap="1">
            <wp:simplePos x="0" y="0"/>
            <wp:positionH relativeFrom="column">
              <wp:posOffset>514350</wp:posOffset>
            </wp:positionH>
            <wp:positionV relativeFrom="paragraph">
              <wp:posOffset>158115</wp:posOffset>
            </wp:positionV>
            <wp:extent cx="3524250" cy="1971675"/>
            <wp:effectExtent l="0" t="0" r="0" b="0"/>
            <wp:wrapNone/>
            <wp:docPr id="6" name="图表 6"/>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rPr>
          <w:rFonts w:ascii="仿宋" w:eastAsia="仿宋"/>
          <w:color w:val="000000"/>
          <w:sz w:val="32"/>
          <w:szCs w:val="32"/>
        </w:rPr>
      </w:pPr>
    </w:p>
    <w:p>
      <w:pPr>
        <w:spacing w:line="576" w:lineRule="exact"/>
        <w:ind w:firstLineChars="200" w:firstLine="640"/>
        <w:outlineLvl w:val="2"/>
        <w:rPr>
          <w:rFonts w:ascii="楷体_GB2312" w:eastAsia="楷体_GB2312"/>
          <w:b/>
          <w:color w:val="000000"/>
          <w:sz w:val="32"/>
          <w:szCs w:val="32"/>
        </w:rPr>
      </w:pPr>
      <w:bookmarkStart w:id="66" w:name="_Toc79163617"/>
      <w:bookmarkStart w:id="67" w:name="_Toc15377212"/>
      <w:bookmarkStart w:id="68" w:name="_Toc79163867"/>
      <w:r>
        <w:rPr>
          <w:rFonts w:ascii="楷体_GB2312" w:eastAsia="楷体_GB2312" w:hint="eastAsia"/>
          <w:b/>
          <w:color w:val="000000"/>
          <w:sz w:val="32"/>
          <w:szCs w:val="32"/>
        </w:rPr>
        <w:t>（三）一般公共预算财政拨款支出决算具体情况</w:t>
      </w:r>
      <w:bookmarkEnd w:id="66"/>
      <w:bookmarkEnd w:id="67"/>
      <w:bookmarkEnd w:id="68"/>
    </w:p>
    <w:p>
      <w:pPr>
        <w:spacing w:line="576" w:lineRule="exact"/>
        <w:ind w:firstLineChars="200" w:firstLine="640"/>
        <w:rPr>
          <w:rFonts w:ascii="仿宋_GB2312" w:eastAsia="仿宋_GB2312"/>
          <w:bCs/>
          <w:sz w:val="32"/>
          <w:szCs w:val="32"/>
        </w:rPr>
      </w:pPr>
      <w:bookmarkStart w:id="69" w:name="_Toc15377213"/>
      <w:bookmarkStart w:id="70" w:name="_Toc15378460"/>
      <w:bookmarkStart w:id="71" w:name="_Toc15377444"/>
      <w:r>
        <w:rPr>
          <w:rFonts w:ascii="仿宋_GB2312" w:eastAsia="仿宋_GB2312" w:hint="eastAsia"/>
          <w:bCs/>
          <w:sz w:val="32"/>
          <w:szCs w:val="32"/>
        </w:rPr>
        <w:t>2020年一般公共预算支出决算数为3641.50万元，完成预算100%。其中：</w:t>
      </w:r>
      <w:bookmarkEnd w:id="69"/>
      <w:bookmarkEnd w:id="70"/>
      <w:bookmarkEnd w:id="71"/>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1.社会保障和就业支出（208）行政事业单位离退休（05）机关事业单位基本养老保险缴费支出（05）:支出决算为30.97万元，完成预算100%。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2.社会保障和就业支出（208）行政事业单位离退休（05）机关事业单位职业年金缴费支出（06）:支出决算为15.38万元，完成预算100%。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3.医疗卫生与计划生育支出（210）行政事业单位医疗（11）行政单位医疗（01）:支出决算为7.88万元，完成预算100%。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4.医疗卫生与计划生育支出（210）行政事业单位医疗（11）事业单位医疗（02）:支出决算为17.64万元，完成预算100%。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5.农林水支出（213）农业农村（01）其他农业农村支出（99）:支出决算为180万元，完成预算100%。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6.农林水支出（213）水利（03）行政运行（01）:支出决算为111.49万元，完成预算100%。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7.农林水支出（213）水利（03）一般行政管理事务（02）:支出决算为25.38万元，完成预算100%。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8.农林水支出（213）水利（03）防汛（14）:支出决算为192.32万元，完成预算100%。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9.农林水支出（213）水利（03）其他水利支出（99）:支出决算为940.02万元，完成预算100%。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10.农林水支出（213）扶贫（05）农村基础设施建设（04）:支出决算为713.2万元，完成预算100%。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11.农林水支出（213）其他农林水支出（99）其他农林水支出（99）:支出决算为7.27万元，完成预算100%。</w:t>
      </w:r>
    </w:p>
    <w:p>
      <w:pPr>
        <w:spacing w:line="576" w:lineRule="exact"/>
        <w:ind w:firstLineChars="200" w:firstLine="640"/>
        <w:rPr>
          <w:rStyle w:val="30"/>
          <w:rFonts w:ascii="仿宋_GB2312" w:eastAsia="仿宋_GB2312"/>
          <w:b w:val="0"/>
          <w:color w:val="000000"/>
          <w:sz w:val="32"/>
          <w:szCs w:val="32"/>
        </w:rPr>
      </w:pPr>
      <w:r>
        <w:rPr>
          <w:rFonts w:ascii="仿宋_GB2312" w:eastAsia="仿宋_GB2312" w:hint="eastAsia"/>
          <w:color w:val="000000"/>
          <w:sz w:val="32"/>
          <w:szCs w:val="32"/>
        </w:rPr>
        <w:t>12.住房保障支出（221）住房改革支出（02）住房公积金（01）:支出决算为33.04万元，完成预算100%。</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13.住房保障支出（221）住房改革支出（02）购房补贴（03）:支出决算为1.52万元，完成预算100%。</w:t>
      </w:r>
    </w:p>
    <w:p>
      <w:pPr>
        <w:tabs>
          <w:tab w:val="right" w:pos="8306"/>
        </w:tabs>
        <w:spacing w:line="576" w:lineRule="exact"/>
        <w:ind w:firstLineChars="200" w:firstLine="640"/>
        <w:outlineLvl w:val="1"/>
        <w:rPr>
          <w:rStyle w:val="2Char"/>
        </w:rPr>
      </w:pPr>
      <w:bookmarkStart w:id="72" w:name="_Toc15396608"/>
      <w:bookmarkStart w:id="73" w:name="_Toc15377214"/>
      <w:bookmarkStart w:id="74" w:name="_Toc79163618"/>
      <w:bookmarkStart w:id="75" w:name="_Toc7916386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72"/>
      <w:bookmarkEnd w:id="73"/>
      <w:bookmarkEnd w:id="74"/>
      <w:bookmarkEnd w:id="75"/>
      <w:r>
        <w:rPr>
          <w:rStyle w:val="2Char"/>
          <w:rFonts w:ascii="黑体" w:eastAsia="黑体"/>
          <w:b w:val="0"/>
        </w:rPr>
        <w:tab/>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2020年一般公共预算财政拨款基本支出466.49万元，其中：人员经费447.29万元，主要包括：基本工资、津贴补贴、奖金、绩效工资、机关事业单位基本养老保险缴费、职业年金缴费、其他社会保障缴费、抚恤金、生活补助、医疗费补助、奖励金、住房公积金支出等。</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日常公用经费19.20万元，主要包括：办公费、邮电费、差旅费、培训费、公务接待费、公务用车运行维护费支出等。</w:t>
      </w:r>
    </w:p>
    <w:p>
      <w:pPr>
        <w:spacing w:line="576" w:lineRule="exact"/>
        <w:ind w:firstLineChars="200" w:firstLine="640"/>
        <w:outlineLvl w:val="1"/>
        <w:rPr>
          <w:rStyle w:val="2Char"/>
          <w:rFonts w:ascii="黑体" w:eastAsia="黑体"/>
          <w:b w:val="0"/>
        </w:rPr>
      </w:pPr>
      <w:bookmarkStart w:id="76" w:name="_Toc15396609"/>
      <w:bookmarkStart w:id="77" w:name="_Toc15377215"/>
      <w:bookmarkStart w:id="78" w:name="_Toc79163619"/>
      <w:bookmarkStart w:id="79" w:name="_Toc7916386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6"/>
      <w:bookmarkEnd w:id="77"/>
      <w:bookmarkEnd w:id="78"/>
      <w:bookmarkEnd w:id="79"/>
    </w:p>
    <w:p>
      <w:pPr>
        <w:spacing w:line="576" w:lineRule="exact"/>
        <w:ind w:firstLineChars="200" w:firstLine="640"/>
        <w:outlineLvl w:val="2"/>
        <w:rPr>
          <w:rFonts w:ascii="楷体_GB2312" w:eastAsia="楷体_GB2312"/>
          <w:b/>
          <w:color w:val="000000"/>
          <w:sz w:val="32"/>
          <w:szCs w:val="32"/>
        </w:rPr>
      </w:pPr>
      <w:bookmarkStart w:id="80" w:name="_Toc15377216"/>
      <w:bookmarkStart w:id="81" w:name="_Toc79163620"/>
      <w:bookmarkStart w:id="82" w:name="_Toc79163870"/>
      <w:r>
        <w:rPr>
          <w:rFonts w:ascii="楷体_GB2312" w:eastAsia="楷体_GB2312" w:hint="eastAsia"/>
          <w:b/>
          <w:color w:val="000000"/>
          <w:sz w:val="32"/>
          <w:szCs w:val="32"/>
        </w:rPr>
        <w:t>（一）“三公”经费财政拨款支出决算总体情况说明</w:t>
      </w:r>
      <w:bookmarkEnd w:id="80"/>
      <w:bookmarkEnd w:id="81"/>
      <w:bookmarkEnd w:id="82"/>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2020年“三公”经费财政拨款支出决算为14.27万元，完成预算100%，决算数与预算数持平。</w:t>
      </w:r>
    </w:p>
    <w:p>
      <w:pPr>
        <w:spacing w:line="576" w:lineRule="exact"/>
        <w:ind w:firstLineChars="200" w:firstLine="640"/>
        <w:outlineLvl w:val="2"/>
        <w:rPr>
          <w:rFonts w:ascii="楷体_GB2312" w:eastAsia="楷体_GB2312"/>
          <w:b/>
          <w:color w:val="000000"/>
          <w:sz w:val="32"/>
          <w:szCs w:val="32"/>
        </w:rPr>
      </w:pPr>
      <w:bookmarkStart w:id="83" w:name="_Toc15377217"/>
      <w:bookmarkStart w:id="84" w:name="_Toc79163621"/>
      <w:bookmarkStart w:id="85" w:name="_Toc79163871"/>
      <w:r>
        <w:rPr>
          <w:rFonts w:ascii="楷体_GB2312" w:eastAsia="楷体_GB2312" w:hint="eastAsia"/>
          <w:b/>
          <w:color w:val="000000"/>
          <w:sz w:val="32"/>
          <w:szCs w:val="32"/>
        </w:rPr>
        <w:t>（二）“三公”经费财政拨款支出决算具体情况说明</w:t>
      </w:r>
      <w:bookmarkEnd w:id="83"/>
      <w:bookmarkEnd w:id="84"/>
      <w:bookmarkEnd w:id="85"/>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2020年“三公”经费财政拨款支出决算中，因公出国（境）费支出决算0万元%；公务用车购置及运行维护费支出决算14.05万元，占98.46%；公务接待费支出决算0.22万元，占1.54%。具体情况如下：</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图7：“三公”经费财政拨款支出结构</w:t>
      </w:r>
    </w:p>
    <w:p>
      <w:pPr>
        <w:spacing w:line="576" w:lineRule="exact"/>
        <w:ind w:firstLineChars="200" w:firstLine="420"/>
        <w:rPr>
          <w:rFonts w:ascii="仿宋" w:eastAsia="仿宋"/>
          <w:color w:val="000000"/>
          <w:sz w:val="32"/>
          <w:szCs w:val="32"/>
        </w:rPr>
      </w:pPr>
      <w:r>
        <w:rPr>
          <w:rFonts w:ascii="仿宋_GB2312" w:eastAsia="仿宋_GB2312" w:hint="eastAsia"/>
        </w:rPr>
        <w:drawing>
          <wp:anchor distT="0" distB="0" distL="114300" distR="114300" simplePos="0" relativeHeight="30" behindDoc="0" locked="0" layoutInCell="1" hidden="0" allowOverlap="1">
            <wp:simplePos x="0" y="0"/>
            <wp:positionH relativeFrom="column">
              <wp:posOffset>533400</wp:posOffset>
            </wp:positionH>
            <wp:positionV relativeFrom="paragraph">
              <wp:posOffset>43815</wp:posOffset>
            </wp:positionV>
            <wp:extent cx="3248025" cy="1771650"/>
            <wp:effectExtent l="0" t="0" r="0" b="0"/>
            <wp:wrapNone/>
            <wp:docPr id="7" name="图表 7"/>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rPr>
          <w:rFonts w:ascii="仿宋" w:eastAsia="仿宋"/>
          <w:color w:val="000000"/>
          <w:sz w:val="32"/>
          <w:szCs w:val="32"/>
        </w:rPr>
      </w:pPr>
    </w:p>
    <w:p>
      <w:pPr>
        <w:spacing w:line="576" w:lineRule="exact"/>
        <w:ind w:firstLineChars="200" w:firstLine="640"/>
        <w:rPr>
          <w:rFonts w:ascii="仿宋_GB2312" w:eastAsia="仿宋_GB2312"/>
          <w:b/>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30"/>
          <w:rFonts w:ascii="仿宋_GB2312" w:eastAsia="仿宋_GB2312"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全年安排因公出国（境）团组0次，出国（境）0人。因公出国（境）支出决算比2019年增加/减少0万元，增长/下降0%。</w:t>
      </w:r>
    </w:p>
    <w:p>
      <w:pPr>
        <w:spacing w:line="576" w:lineRule="exact"/>
        <w:ind w:firstLineChars="200" w:firstLine="640"/>
        <w:rPr>
          <w:rFonts w:ascii="仿宋_GB2312" w:eastAsia="仿宋_GB2312"/>
          <w:b/>
          <w:color w:val="000000"/>
          <w:sz w:val="32"/>
          <w:szCs w:val="32"/>
        </w:rPr>
      </w:pPr>
      <w:r>
        <w:rPr>
          <w:rFonts w:ascii="仿宋_GB2312" w:eastAsia="仿宋_GB2312" w:hint="eastAsia"/>
          <w:b/>
          <w:color w:val="000000"/>
          <w:sz w:val="32"/>
          <w:szCs w:val="32"/>
        </w:rPr>
        <w:t>2.公务用车购置及运行维护费支出</w:t>
      </w:r>
      <w:r>
        <w:rPr>
          <w:rFonts w:ascii="仿宋_GB2312" w:eastAsia="仿宋_GB2312" w:hint="eastAsia"/>
          <w:color w:val="000000"/>
          <w:sz w:val="32"/>
          <w:szCs w:val="32"/>
        </w:rPr>
        <w:t>14.05万元,</w:t>
      </w:r>
      <w:r>
        <w:rPr>
          <w:rStyle w:val="30"/>
          <w:rFonts w:ascii="仿宋_GB2312" w:eastAsia="仿宋_GB2312" w:hint="eastAsia"/>
          <w:b w:val="0"/>
          <w:bCs/>
          <w:color w:val="000000"/>
          <w:sz w:val="32"/>
          <w:szCs w:val="32"/>
        </w:rPr>
        <w:t>完成预算100%。</w:t>
      </w:r>
      <w:r>
        <w:rPr>
          <w:rFonts w:ascii="仿宋_GB2312" w:eastAsia="仿宋_GB2312" w:hint="eastAsia"/>
          <w:color w:val="000000"/>
          <w:sz w:val="32"/>
          <w:szCs w:val="32"/>
        </w:rPr>
        <w:t>公务用车购置及运行维护费支出决算比2019年增加5.29万元，增长37.65%。主要原因是单位建设项目较多下乡使用车辆频繁，使用车辆费用相应增加。</w:t>
      </w:r>
    </w:p>
    <w:p>
      <w:pPr>
        <w:spacing w:line="576"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0万元。全年按规定更新购置公务用车0辆，其中：轿车0辆、金额0万元，越野车0辆、金额0万元，载客汽车0辆、金额0万元。截至2020年12月底，单位共有公务用车4辆，其中：轿车0辆、越野车4辆、载客汽车0辆。</w:t>
      </w:r>
    </w:p>
    <w:p>
      <w:pPr>
        <w:spacing w:line="576"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14.05万元。主要用于开展水利建设扶贫工作，安全饮水提升工程、新建排水沟和新建堤防工程水利项目开展所需的公务用车燃料费、维修费、过路过桥费、保险费等支出。</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3.公务接待费支出</w:t>
      </w:r>
      <w:r>
        <w:rPr>
          <w:rFonts w:ascii="仿宋_GB2312" w:eastAsia="仿宋_GB2312" w:hint="eastAsia"/>
          <w:color w:val="000000"/>
          <w:sz w:val="32"/>
          <w:szCs w:val="32"/>
        </w:rPr>
        <w:t>0.22万元，</w:t>
      </w:r>
      <w:r>
        <w:rPr>
          <w:rStyle w:val="30"/>
          <w:rFonts w:ascii="仿宋_GB2312" w:eastAsia="仿宋_GB2312" w:hint="eastAsia"/>
          <w:b w:val="0"/>
          <w:bCs/>
          <w:color w:val="000000"/>
          <w:sz w:val="32"/>
          <w:szCs w:val="32"/>
        </w:rPr>
        <w:t>完成预算100%。</w:t>
      </w:r>
      <w:r>
        <w:rPr>
          <w:rFonts w:ascii="仿宋_GB2312" w:eastAsia="仿宋_GB2312" w:hint="eastAsia"/>
          <w:color w:val="000000"/>
          <w:sz w:val="32"/>
          <w:szCs w:val="32"/>
        </w:rPr>
        <w:t>公务接待费支出决算比2019年减少0.32万元，下降145%。主要原因是公务接待减少。</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国内公务接待支出</w:t>
      </w:r>
      <w:r>
        <w:rPr>
          <w:rFonts w:ascii="仿宋_GB2312" w:eastAsia="仿宋_GB2312" w:hint="eastAsia"/>
          <w:color w:val="000000"/>
          <w:sz w:val="32"/>
          <w:szCs w:val="32"/>
        </w:rPr>
        <w:t>0.22万元，主要用于执行公务、开展业务活动开支用餐费。国内公务接待2批次，23人次（不包括陪同人员），共计支出0.22万元，具体内容包括：上级部门到我单位开展工作用餐费。</w:t>
      </w:r>
    </w:p>
    <w:p>
      <w:pPr>
        <w:spacing w:line="57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外事接待支出</w:t>
      </w:r>
      <w:r>
        <w:rPr>
          <w:rFonts w:ascii="仿宋_GB2312" w:eastAsia="仿宋_GB2312" w:hint="eastAsia"/>
          <w:color w:val="000000"/>
          <w:sz w:val="32"/>
          <w:szCs w:val="32"/>
        </w:rPr>
        <w:t>0万元，外事接待0批次，0人，共计支出0万元。</w:t>
      </w:r>
    </w:p>
    <w:p>
      <w:pPr>
        <w:spacing w:line="576" w:lineRule="exact"/>
        <w:ind w:firstLineChars="200" w:firstLine="640"/>
        <w:outlineLvl w:val="1"/>
        <w:rPr>
          <w:rStyle w:val="2Char"/>
          <w:rFonts w:ascii="黑体" w:eastAsia="黑体"/>
        </w:rPr>
      </w:pPr>
      <w:bookmarkStart w:id="86" w:name="_Toc15377218"/>
      <w:bookmarkStart w:id="87" w:name="_Toc15396610"/>
      <w:bookmarkStart w:id="88" w:name="_Toc79163872"/>
      <w:bookmarkStart w:id="89" w:name="_Toc7916362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6"/>
      <w:bookmarkEnd w:id="87"/>
      <w:bookmarkEnd w:id="88"/>
      <w:bookmarkEnd w:id="89"/>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年政府性基金预算拨款支出1661.44万元。</w:t>
      </w:r>
    </w:p>
    <w:p>
      <w:pPr>
        <w:numPr>
          <w:ilvl w:val="0"/>
          <w:numId w:val="2"/>
        </w:numPr>
        <w:spacing w:line="576" w:lineRule="exact"/>
        <w:ind w:left="0" w:firstLineChars="200" w:firstLine="640"/>
        <w:outlineLvl w:val="1"/>
        <w:rPr>
          <w:rStyle w:val="2Char"/>
          <w:rFonts w:ascii="黑体" w:eastAsia="黑体"/>
          <w:b w:val="0"/>
        </w:rPr>
      </w:pPr>
      <w:bookmarkStart w:id="90" w:name="_Toc15377219"/>
      <w:bookmarkStart w:id="91" w:name="_Toc15396611"/>
      <w:bookmarkStart w:id="92" w:name="_Toc79163623"/>
      <w:bookmarkStart w:id="93" w:name="_Toc79163873"/>
      <w:r>
        <w:rPr>
          <w:rStyle w:val="2Char"/>
          <w:rFonts w:ascii="黑体" w:eastAsia="黑体" w:hint="eastAsia"/>
          <w:b w:val="0"/>
        </w:rPr>
        <w:t>国有资本经营预算支出决算情况说明</w:t>
      </w:r>
      <w:bookmarkEnd w:id="90"/>
      <w:bookmarkEnd w:id="91"/>
      <w:bookmarkEnd w:id="92"/>
      <w:bookmarkEnd w:id="93"/>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年国有资本经营预算拨款支出0万元。</w:t>
      </w:r>
    </w:p>
    <w:p>
      <w:pPr>
        <w:spacing w:line="576" w:lineRule="exact"/>
        <w:ind w:firstLineChars="200" w:firstLine="640"/>
        <w:outlineLvl w:val="1"/>
        <w:rPr>
          <w:rStyle w:val="2Char"/>
          <w:rFonts w:ascii="黑体" w:eastAsia="黑体"/>
        </w:rPr>
      </w:pPr>
      <w:bookmarkStart w:id="94" w:name="_Toc15396612"/>
      <w:bookmarkStart w:id="95" w:name="_Toc15377221"/>
      <w:bookmarkStart w:id="96" w:name="_Toc79163624"/>
      <w:bookmarkStart w:id="97" w:name="_Toc79163874"/>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4"/>
      <w:bookmarkEnd w:id="95"/>
      <w:bookmarkEnd w:id="96"/>
      <w:bookmarkEnd w:id="97"/>
    </w:p>
    <w:p>
      <w:pPr>
        <w:spacing w:line="576" w:lineRule="exact"/>
        <w:ind w:firstLineChars="200" w:firstLine="640"/>
        <w:outlineLvl w:val="2"/>
        <w:rPr>
          <w:rFonts w:ascii="楷体_GB2312" w:eastAsia="楷体_GB2312"/>
          <w:color w:val="000000"/>
          <w:sz w:val="32"/>
          <w:szCs w:val="32"/>
        </w:rPr>
      </w:pPr>
      <w:bookmarkStart w:id="98" w:name="_Toc15377222"/>
      <w:bookmarkStart w:id="99" w:name="_Toc79163625"/>
      <w:bookmarkStart w:id="100" w:name="_Toc79163875"/>
      <w:r>
        <w:rPr>
          <w:rFonts w:ascii="楷体_GB2312" w:eastAsia="楷体_GB2312" w:hint="eastAsia"/>
          <w:b/>
          <w:color w:val="000000"/>
          <w:sz w:val="32"/>
          <w:szCs w:val="32"/>
        </w:rPr>
        <w:t>（一）机关运行经费支出情况</w:t>
      </w:r>
      <w:bookmarkEnd w:id="98"/>
      <w:bookmarkEnd w:id="99"/>
      <w:bookmarkEnd w:id="100"/>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年，茂县水务局机关运行经费支出10.52万元，比</w:t>
      </w:r>
      <w:r>
        <w:rPr>
          <w:rFonts w:ascii="仿宋_GB2312" w:eastAsia="仿宋_GB2312"/>
          <w:color w:val="000000"/>
          <w:sz w:val="32"/>
          <w:szCs w:val="32"/>
        </w:rPr>
        <w:t>2019</w:t>
      </w:r>
      <w:r>
        <w:rPr>
          <w:rFonts w:ascii="仿宋_GB2312" w:eastAsia="仿宋_GB2312" w:hint="eastAsia"/>
          <w:color w:val="000000"/>
          <w:sz w:val="32"/>
          <w:szCs w:val="32"/>
        </w:rPr>
        <w:t>年增加4.68万元，增长44.49</w:t>
      </w:r>
      <w:r>
        <w:rPr>
          <w:rFonts w:ascii="仿宋_GB2312" w:eastAsia="仿宋_GB2312"/>
          <w:color w:val="000000"/>
          <w:sz w:val="32"/>
          <w:szCs w:val="32"/>
        </w:rPr>
        <w:t>%</w:t>
      </w:r>
      <w:r>
        <w:rPr>
          <w:rFonts w:ascii="仿宋_GB2312" w:eastAsia="仿宋_GB2312" w:hint="eastAsia"/>
          <w:color w:val="000000"/>
          <w:sz w:val="32"/>
          <w:szCs w:val="32"/>
        </w:rPr>
        <w:t>。主要原因是公务用车运行维护费增加。</w:t>
      </w:r>
    </w:p>
    <w:p>
      <w:pPr>
        <w:autoSpaceDE w:val="0"/>
        <w:autoSpaceDN w:val="0"/>
        <w:adjustRightInd w:val="0"/>
        <w:spacing w:line="576" w:lineRule="exact"/>
        <w:ind w:firstLineChars="200" w:firstLine="640"/>
        <w:outlineLvl w:val="2"/>
        <w:rPr>
          <w:rFonts w:ascii="楷体_GB2312" w:eastAsia="楷体_GB2312"/>
          <w:b/>
          <w:color w:val="000000"/>
          <w:sz w:val="32"/>
          <w:szCs w:val="32"/>
        </w:rPr>
      </w:pPr>
      <w:bookmarkStart w:id="101" w:name="_Toc79163876"/>
      <w:bookmarkStart w:id="102" w:name="_Toc79163626"/>
      <w:bookmarkStart w:id="103" w:name="_Toc15377223"/>
      <w:r>
        <w:rPr>
          <w:rFonts w:ascii="楷体_GB2312" w:eastAsia="楷体_GB2312" w:hint="eastAsia"/>
          <w:b/>
          <w:color w:val="000000"/>
          <w:sz w:val="32"/>
          <w:szCs w:val="32"/>
        </w:rPr>
        <w:t>（二）政府采购支出情况</w:t>
      </w:r>
      <w:bookmarkEnd w:id="101"/>
      <w:bookmarkEnd w:id="102"/>
      <w:bookmarkEnd w:id="103"/>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年，茂县水务局政府采购支出总额0万元，其中：政府采购货物支出0万元、政府采购工程支出0万元、政府采购服务支出0万元。授予中小企业合同金额0万元，其中：授予小微企业合同金额0万元。</w:t>
      </w:r>
    </w:p>
    <w:p>
      <w:pPr>
        <w:autoSpaceDE w:val="0"/>
        <w:autoSpaceDN w:val="0"/>
        <w:adjustRightInd w:val="0"/>
        <w:spacing w:line="576" w:lineRule="exact"/>
        <w:ind w:firstLineChars="200" w:firstLine="640"/>
        <w:outlineLvl w:val="2"/>
        <w:rPr>
          <w:rFonts w:ascii="楷体_GB2312" w:eastAsia="楷体_GB2312"/>
          <w:b/>
          <w:color w:val="000000"/>
          <w:sz w:val="32"/>
          <w:szCs w:val="32"/>
        </w:rPr>
      </w:pPr>
      <w:bookmarkStart w:id="104" w:name="_Toc15377224"/>
      <w:bookmarkStart w:id="105" w:name="_Toc79163877"/>
      <w:bookmarkStart w:id="106" w:name="_Toc79163627"/>
      <w:r>
        <w:rPr>
          <w:rFonts w:ascii="楷体_GB2312" w:eastAsia="楷体_GB2312" w:hint="eastAsia"/>
          <w:b/>
          <w:color w:val="000000"/>
          <w:sz w:val="32"/>
          <w:szCs w:val="32"/>
        </w:rPr>
        <w:t>（三）国有资产占有使用情况</w:t>
      </w:r>
      <w:bookmarkEnd w:id="104"/>
      <w:bookmarkEnd w:id="105"/>
      <w:bookmarkEnd w:id="106"/>
    </w:p>
    <w:p>
      <w:pPr>
        <w:autoSpaceDE w:val="0"/>
        <w:autoSpaceDN w:val="0"/>
        <w:adjustRightInd w:val="0"/>
        <w:spacing w:line="576" w:lineRule="exact"/>
        <w:ind w:firstLineChars="200" w:firstLine="640"/>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日，茂县水务局共有车辆4辆，其中：主要领导干部用车0辆、机要通信用车0辆、应急保障用车4辆、其他用车0辆，单价</w:t>
      </w:r>
      <w:r>
        <w:rPr>
          <w:rFonts w:ascii="仿宋_GB2312" w:eastAsia="仿宋_GB2312"/>
          <w:color w:val="000000"/>
          <w:sz w:val="32"/>
          <w:szCs w:val="32"/>
        </w:rPr>
        <w:t>50</w:t>
      </w:r>
      <w:r>
        <w:rPr>
          <w:rFonts w:ascii="仿宋_GB2312" w:eastAsia="仿宋_GB2312" w:hint="eastAsia"/>
          <w:color w:val="000000"/>
          <w:sz w:val="32"/>
          <w:szCs w:val="32"/>
        </w:rPr>
        <w:t>万元以上通用设备,0台（套），单价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pPr>
        <w:autoSpaceDE w:val="0"/>
        <w:autoSpaceDN w:val="0"/>
        <w:adjustRightInd w:val="0"/>
        <w:spacing w:line="576" w:lineRule="exact"/>
        <w:ind w:firstLineChars="200" w:firstLine="640"/>
        <w:outlineLvl w:val="2"/>
        <w:rPr>
          <w:rFonts w:ascii="楷体_GB2312" w:eastAsia="楷体_GB2312"/>
          <w:b/>
          <w:color w:val="000000"/>
          <w:sz w:val="32"/>
          <w:szCs w:val="32"/>
        </w:rPr>
      </w:pPr>
      <w:bookmarkStart w:id="107" w:name="_Toc79163628"/>
      <w:bookmarkStart w:id="108" w:name="_Toc79163878"/>
      <w:r>
        <w:rPr>
          <w:rFonts w:ascii="楷体_GB2312" w:eastAsia="楷体_GB2312" w:hint="eastAsia"/>
          <w:b/>
          <w:color w:val="000000"/>
          <w:sz w:val="32"/>
          <w:szCs w:val="32"/>
        </w:rPr>
        <w:t>（四）预算绩效管理情况</w:t>
      </w:r>
      <w:bookmarkEnd w:id="107"/>
      <w:bookmarkEnd w:id="108"/>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单位在年初预算编制阶段，组织2020年中央和省财政水利发展资金水利工程维修养护项目、2020年四川省藏区专项第一批中央预算内基建投资岷江茂县段堤防项目、省财政脱贫攻坚资金支持藏区脱贫攻坚项目、对岷江县城规划区域内河道环境卫生整治项目、河（湖）长制专项工作经费项目开展了预算事前绩效评估，对5个项目编制了绩效目标，预算执行过程中，选取5个项目开展绩效监控，年终执行完毕后，对5个项目开展了绩效目标完成情况自评。</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2020</w:t>
      </w:r>
      <w:r>
        <w:rPr>
          <w:rFonts w:ascii="仿宋_GB2312" w:eastAsia="仿宋_GB2312" w:cs="仿宋_GB2312" w:hint="eastAsia"/>
          <w:sz w:val="32"/>
          <w:szCs w:val="32"/>
        </w:rPr>
        <w:t>年部门整体支出开展绩效自评，从评价情况来看2020年我局部门整体支出绩效评价自查自评结果良好，全年基本支出保证了部门的正常运行和日常工作的正常开展，项目支出保障了重点工作的开展，绩效目标得到较好实现，绩效管理水平不断提高，绩效指标体系逐级渐丰富和完善。</w:t>
      </w:r>
    </w:p>
    <w:p>
      <w:pPr>
        <w:spacing w:line="576" w:lineRule="exact"/>
        <w:ind w:firstLineChars="200" w:firstLine="640"/>
        <w:rPr>
          <w:rFonts w:ascii="楷体_GB2312" w:eastAsia="楷体_GB2312" w:cs="楷体_GB2312"/>
          <w:b/>
          <w:sz w:val="32"/>
          <w:szCs w:val="32"/>
        </w:rPr>
      </w:pPr>
      <w:r>
        <w:rPr>
          <w:rFonts w:ascii="楷体_GB2312" w:eastAsia="楷体_GB2312" w:cs="楷体_GB2312"/>
          <w:b/>
          <w:sz w:val="32"/>
          <w:szCs w:val="32"/>
        </w:rPr>
        <w:t>1.</w:t>
      </w:r>
      <w:r>
        <w:rPr>
          <w:rFonts w:ascii="楷体_GB2312" w:eastAsia="楷体_GB2312" w:cs="楷体_GB2312" w:hint="eastAsia"/>
          <w:b/>
          <w:sz w:val="32"/>
          <w:szCs w:val="32"/>
        </w:rPr>
        <w:t>项目绩效目标完成情况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本部门在</w:t>
      </w:r>
      <w:r>
        <w:rPr>
          <w:rFonts w:ascii="仿宋_GB2312" w:eastAsia="仿宋_GB2312" w:cs="仿宋_GB2312"/>
          <w:sz w:val="32"/>
          <w:szCs w:val="32"/>
        </w:rPr>
        <w:t>2020</w:t>
      </w:r>
      <w:r>
        <w:rPr>
          <w:rFonts w:ascii="仿宋_GB2312" w:eastAsia="仿宋_GB2312" w:cs="仿宋_GB2312" w:hint="eastAsia"/>
          <w:sz w:val="32"/>
          <w:szCs w:val="32"/>
        </w:rPr>
        <w:t>年度部门决算中反映2020中央和省财政水利发展资金水利工程维修养护项目、2020四川省藏区专项第一批中央预算内基建投资岷江茂县段堤防项目、省财政脱贫攻坚资金支持藏区脱贫攻坚项目、对岷江县城规划区域内河道环境卫生整治项目、河（湖）长制专项工作经费项目等5个项目绩效目标实际完成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1</w:t>
      </w:r>
      <w:r>
        <w:rPr>
          <w:rFonts w:ascii="仿宋_GB2312" w:eastAsia="仿宋_GB2312" w:cs="仿宋_GB2312" w:hint="eastAsia"/>
          <w:sz w:val="32"/>
          <w:szCs w:val="32"/>
        </w:rPr>
        <w:t>）2020中央和省财政水利发展资金水利工程维修养护项目绩效目标完成情况综述。项目全年预算数200万元，执行数为133.15万元，完成预算的66.58</w:t>
      </w:r>
      <w:r>
        <w:rPr>
          <w:rFonts w:ascii="仿宋_GB2312" w:eastAsia="仿宋_GB2312" w:cs="仿宋_GB2312"/>
          <w:sz w:val="32"/>
          <w:szCs w:val="32"/>
        </w:rPr>
        <w:t>%</w:t>
      </w:r>
      <w:r>
        <w:rPr>
          <w:rFonts w:ascii="仿宋_GB2312" w:eastAsia="仿宋_GB2312" w:cs="仿宋_GB2312" w:hint="eastAsia"/>
          <w:sz w:val="32"/>
          <w:szCs w:val="32"/>
        </w:rPr>
        <w:t>。通过项目实施，恢复茂县6个镇12个项目点农村饮水安全工程的取水、净水、输水和蓄水的功能，为项目区的村民提供日常清洁安全的生活用水，解决村民用水难的问题，改善村民生产生活条件，使当地农民生活水平进一步提高。发现的主要问题：后期管理维护困难。下一步改进措施：制定后期维护管理制度，争取后期维护资金。</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）2020四川省藏区专项第一批中央预算内基建投资岷江茂县段堤防项目绩效目标完成情况综述。项目全年预算数1607万元，执行数为1063.35万元，完成预算的66.17</w:t>
      </w:r>
      <w:r>
        <w:rPr>
          <w:rFonts w:ascii="仿宋_GB2312" w:eastAsia="仿宋_GB2312" w:cs="仿宋_GB2312"/>
          <w:sz w:val="32"/>
          <w:szCs w:val="32"/>
        </w:rPr>
        <w:t>%</w:t>
      </w:r>
      <w:r>
        <w:rPr>
          <w:rFonts w:ascii="仿宋_GB2312" w:eastAsia="仿宋_GB2312" w:cs="仿宋_GB2312" w:hint="eastAsia"/>
          <w:sz w:val="32"/>
          <w:szCs w:val="32"/>
        </w:rPr>
        <w:t>。通过项目实施，岷江左岸加固和新建防洪堤2335米，上起南店坡大桥，下至G213国道新桥桥轴线左岸下游377米处，其中上段加固段长1958米，下段新建堤防377米，形成封闭防洪保护圈。保护区面积3.5平方千米，保护人口335人，房屋1.3万平米，经果林13亩，蔬菜种植基地2亩。发现的主要问题：后期管理维护困难。下一步改进措施：制定后期维护管理制度，争取后期维护资金。</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3</w:t>
      </w:r>
      <w:r>
        <w:rPr>
          <w:rFonts w:ascii="仿宋_GB2312" w:eastAsia="仿宋_GB2312" w:cs="仿宋_GB2312" w:hint="eastAsia"/>
          <w:sz w:val="32"/>
          <w:szCs w:val="32"/>
        </w:rPr>
        <w:t>）省财政脱贫攻坚资金支持藏区脱贫攻坚项目绩效目标完成情况综述。项目全年预算数1000万元，执行数为779.79万元，完成预算的77.98</w:t>
      </w:r>
      <w:r>
        <w:rPr>
          <w:rFonts w:ascii="仿宋_GB2312" w:eastAsia="仿宋_GB2312" w:cs="仿宋_GB2312"/>
          <w:sz w:val="32"/>
          <w:szCs w:val="32"/>
        </w:rPr>
        <w:t>%</w:t>
      </w:r>
      <w:r>
        <w:rPr>
          <w:rFonts w:ascii="仿宋_GB2312" w:eastAsia="仿宋_GB2312" w:cs="仿宋_GB2312" w:hint="eastAsia"/>
          <w:sz w:val="32"/>
          <w:szCs w:val="32"/>
        </w:rPr>
        <w:t>。通过项目实施，改善了全县19个贫困村626户建档立卡贫困人口农田灌溉和饮水安全条件，同时可新增管护就业岗位34个，预计项目达产年效益新增产值969万元，其中建档立卡户增收137.6万元。积极推进了农业发展和农村产业结构调整，拓宽农民增收渠道，提高了农民生活水平质量。发现的主要问题：后期管理维护困难。下一步改进措施：制定后期维护管理制度，争取后期维护资金。</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（4）岷江县城规划区域内河道环境卫生整治项目绩效目标完成情况综述。项目全年预算数</w:t>
      </w:r>
      <w:r>
        <w:rPr>
          <w:rFonts w:ascii="仿宋_GB2312" w:eastAsia="仿宋_GB2312" w:cs="仿宋_GB2312"/>
          <w:sz w:val="32"/>
          <w:szCs w:val="32"/>
        </w:rPr>
        <w:t>57.7692</w:t>
      </w:r>
      <w:r>
        <w:rPr>
          <w:rFonts w:ascii="仿宋_GB2312" w:eastAsia="仿宋_GB2312" w:cs="仿宋_GB2312" w:hint="eastAsia"/>
          <w:sz w:val="32"/>
          <w:szCs w:val="32"/>
        </w:rPr>
        <w:t>万元，执行数为54.6212万元，完成预算的94.55</w:t>
      </w:r>
      <w:r>
        <w:rPr>
          <w:rFonts w:ascii="仿宋_GB2312" w:eastAsia="仿宋_GB2312" w:cs="仿宋_GB2312"/>
          <w:sz w:val="32"/>
          <w:szCs w:val="32"/>
        </w:rPr>
        <w:t>%</w:t>
      </w:r>
      <w:r>
        <w:rPr>
          <w:rFonts w:ascii="仿宋_GB2312" w:eastAsia="仿宋_GB2312" w:cs="仿宋_GB2312" w:hint="eastAsia"/>
          <w:sz w:val="32"/>
          <w:szCs w:val="32"/>
        </w:rPr>
        <w:t>。通过项目实施，有效整治了县城内静州大桥沟、水巷子防洪沟、龙洞沟、南店村青沙沟、水西村大沟、坪头村药沟、岷江河道、河边县城规划区内六条河沟环境卫生，切实改善县城民居生活环境，保证泄洪通道畅通。发现的主要问题：河道环境卫生长期保持清洁较难。下一步改进措施：加强向人民群众宣传保护河道环境卫生，制定环境卫生管护制度，争取长期环境维护资金。</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（5）河（湖）长制专项工作经费项目绩效目标完成情况综述。项目全年预算数</w:t>
      </w:r>
      <w:r>
        <w:rPr>
          <w:rFonts w:ascii="仿宋_GB2312" w:eastAsia="仿宋_GB2312" w:cs="仿宋_GB2312"/>
          <w:sz w:val="32"/>
          <w:szCs w:val="32"/>
        </w:rPr>
        <w:t>259.5</w:t>
      </w:r>
      <w:r>
        <w:rPr>
          <w:rFonts w:ascii="仿宋_GB2312" w:eastAsia="仿宋_GB2312" w:cs="仿宋_GB2312" w:hint="eastAsia"/>
          <w:sz w:val="32"/>
          <w:szCs w:val="32"/>
        </w:rPr>
        <w:t>万元，执行数为</w:t>
      </w:r>
      <w:r>
        <w:rPr>
          <w:rFonts w:ascii="仿宋_GB2312" w:eastAsia="仿宋_GB2312" w:cs="仿宋_GB2312"/>
          <w:sz w:val="32"/>
          <w:szCs w:val="32"/>
        </w:rPr>
        <w:t>192</w:t>
      </w:r>
      <w:r>
        <w:rPr>
          <w:rFonts w:ascii="仿宋_GB2312" w:eastAsia="仿宋_GB2312" w:cs="仿宋_GB2312" w:hint="eastAsia"/>
          <w:sz w:val="32"/>
          <w:szCs w:val="32"/>
        </w:rPr>
        <w:t>.</w:t>
      </w:r>
      <w:r>
        <w:rPr>
          <w:rFonts w:ascii="仿宋_GB2312" w:eastAsia="仿宋_GB2312" w:cs="仿宋_GB2312"/>
          <w:sz w:val="32"/>
          <w:szCs w:val="32"/>
        </w:rPr>
        <w:t>32</w:t>
      </w:r>
      <w:r>
        <w:rPr>
          <w:rFonts w:ascii="仿宋_GB2312" w:eastAsia="仿宋_GB2312" w:cs="仿宋_GB2312" w:hint="eastAsia"/>
          <w:sz w:val="32"/>
          <w:szCs w:val="32"/>
        </w:rPr>
        <w:t>万元，完成预算的74.11</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color w:val="000000"/>
          <w:sz w:val="32"/>
          <w:szCs w:val="32"/>
          <w:shd w:val="clear" w:color="auto" w:fill="FFFFFF"/>
        </w:rPr>
        <w:t>保障“河长制”办公室日常工作和河</w:t>
      </w:r>
      <w:r>
        <w:rPr>
          <w:rFonts w:ascii="仿宋_GB2312" w:eastAsia="仿宋_GB2312" w:cs="仿宋_GB2312" w:hint="eastAsia"/>
          <w:bCs/>
          <w:sz w:val="32"/>
          <w:szCs w:val="32"/>
        </w:rPr>
        <w:t>（湖）长制公示牌安装更新维修、l9条河流的河湖管理范围划定、“一河（湖）一策(2021-2025年)”方案编制等工作。</w:t>
      </w:r>
      <w:r>
        <w:rPr>
          <w:rFonts w:ascii="仿宋_GB2312" w:eastAsia="仿宋_GB2312" w:cs="仿宋_GB2312" w:hint="eastAsia"/>
          <w:color w:val="000000"/>
          <w:sz w:val="32"/>
          <w:szCs w:val="32"/>
        </w:rPr>
        <w:t>全县共出动1203余人次，排查大小河流支沟100余条，排查出问题22个，完成整改22个。处理河长制办公室日常巡查发现河岸堆有垃圾等问题6处，通过</w:t>
      </w:r>
      <w:r>
        <w:rPr>
          <w:rFonts w:ascii="仿宋_GB2312" w:eastAsia="仿宋_GB2312" w:cs="仿宋_GB2312" w:hint="eastAsia"/>
          <w:color w:val="000000"/>
          <w:sz w:val="32"/>
          <w:szCs w:val="32"/>
          <w:lang w:val="zh-CN"/>
        </w:rPr>
        <w:t>河流岸线“四乱”问题集中排查整治，全县农村水环境得到明显改善。</w:t>
      </w:r>
      <w:r>
        <w:rPr>
          <w:rFonts w:ascii="仿宋_GB2312" w:eastAsia="仿宋_GB2312" w:cs="仿宋_GB2312" w:hint="eastAsia"/>
          <w:sz w:val="32"/>
          <w:szCs w:val="32"/>
        </w:rPr>
        <w:t>发现的主要问题：自然灾害频发，对水质造成潜在负面影响。下一步改进措施：持续加强水生态修复，全面落实水土保持方案制度。</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28"/>
                <w:szCs w:val="28"/>
              </w:rPr>
              <w:t>2020中央和省财政水利发展资金水利工程维修养护项目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4"/>
              </w:rPr>
            </w:pPr>
            <w:r>
              <w:rPr>
                <w:rFonts w:ascii="仿宋_GB2312" w:eastAsia="仿宋_GB2312" w:cs="仿宋_GB2312" w:hint="eastAsia"/>
                <w:sz w:val="24"/>
              </w:rPr>
              <w:t>茂县水务局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8"/>
                <w:szCs w:val="28"/>
              </w:rPr>
            </w:pPr>
            <w:r>
              <w:rPr>
                <w:rFonts w:ascii="仿宋_GB2312" w:eastAsia="仿宋_GB2312" w:cs="仿宋_GB2312" w:hint="eastAsia"/>
                <w:sz w:val="28"/>
                <w:szCs w:val="28"/>
              </w:rPr>
              <w:t>200万元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28"/>
                <w:szCs w:val="28"/>
              </w:rPr>
              <w:t>133.15万元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28"/>
                <w:szCs w:val="28"/>
              </w:rPr>
              <w:t>200万元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28"/>
                <w:szCs w:val="28"/>
              </w:rPr>
              <w:t>133.15万元</w:t>
            </w:r>
          </w:p>
        </w:tc>
      </w:tr>
      <w:tr>
        <w:trPr>
          <w:trHeight w:val="2500"/>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exact"/>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28"/>
                <w:szCs w:val="28"/>
              </w:rPr>
              <w:t>恢复茂县6个镇12个项目点农村饮水安全工程的取水、净水、输水和蓄水的功能</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28"/>
                <w:szCs w:val="28"/>
              </w:rPr>
              <w:t>恢复茂县6个镇12个项目点农村饮水安全工程的取水、净水、输水和蓄水的功能</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建设质量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质量合格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验收合格</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资金需求</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133.15</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剩余资金退回财政</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项目成效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改善群众生产生活条件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改善提升了群众生产生活条件</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大于90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使用单位满意度达到95%</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28"/>
                <w:szCs w:val="28"/>
              </w:rPr>
              <w:t>2020四川省藏区专项第一批中央预算内基建投资岷江茂县段堤防项目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4"/>
              </w:rPr>
            </w:pPr>
            <w:r>
              <w:rPr>
                <w:rFonts w:ascii="仿宋_GB2312" w:eastAsia="仿宋_GB2312" w:cs="仿宋_GB2312" w:hint="eastAsia"/>
                <w:sz w:val="24"/>
              </w:rPr>
              <w:t>茂县水务局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8"/>
                <w:szCs w:val="28"/>
              </w:rPr>
            </w:pPr>
            <w:r>
              <w:rPr>
                <w:rFonts w:ascii="仿宋_GB2312" w:eastAsia="仿宋_GB2312" w:cs="仿宋_GB2312" w:hint="eastAsia"/>
                <w:sz w:val="28"/>
                <w:szCs w:val="28"/>
              </w:rPr>
              <w:t>1607万元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1063.35</w:t>
            </w:r>
            <w:r>
              <w:rPr>
                <w:rFonts w:ascii="仿宋_GB2312" w:eastAsia="仿宋_GB2312" w:cs="仿宋_GB2312" w:hint="eastAsia"/>
                <w:sz w:val="28"/>
                <w:szCs w:val="28"/>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8"/>
                <w:szCs w:val="28"/>
              </w:rPr>
            </w:pPr>
            <w:r>
              <w:rPr>
                <w:rFonts w:ascii="仿宋_GB2312" w:eastAsia="仿宋_GB2312" w:cs="仿宋_GB2312" w:hint="eastAsia"/>
                <w:sz w:val="28"/>
                <w:szCs w:val="28"/>
              </w:rPr>
              <w:t>1607万元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1063.35</w:t>
            </w:r>
            <w:r>
              <w:rPr>
                <w:rFonts w:ascii="仿宋_GB2312" w:eastAsia="仿宋_GB2312" w:cs="仿宋_GB2312" w:hint="eastAsia"/>
                <w:sz w:val="28"/>
                <w:szCs w:val="28"/>
              </w:rPr>
              <w:t>万元</w:t>
            </w:r>
          </w:p>
        </w:tc>
      </w:tr>
      <w:tr>
        <w:trPr>
          <w:trHeight w:val="2558"/>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exact"/>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28"/>
                <w:szCs w:val="28"/>
              </w:rPr>
              <w:t>预期目标</w:t>
            </w:r>
            <w:r>
              <w:rPr>
                <w:rFonts w:ascii="仿宋_GB2312" w:eastAsia="仿宋_GB2312" w:cs="仿宋_GB2312" w:hint="eastAsia"/>
                <w:sz w:val="32"/>
                <w:szCs w:val="32"/>
              </w:rPr>
              <w:t>岷江左岸加固和新建防洪堤2335米，上起南店坡大桥，下至G213国道新桥桥轴线左岸下游377米处，其中上段加固段长1958米，下段新建堤防377米，形成封闭防洪保护圈。保护区面积3.5平方千米，保护人口335人，房屋1.3万平米，经果林13亩，蔬菜种植基地2亩</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实际完成目标岷江左岸加固和新建防洪堤2335米，上起南店坡大桥，下至G213国道新桥桥轴线左岸下游377米处，其中上段加固段长1958米，下段新建堤防377米，形成封闭防洪保护圈。保护区面积3.5平方千米，保护人口335人，房屋1.3万平米，经果林13亩，蔬菜种植基地2亩</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建设质量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质量合格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验收合格</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资金需求</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32"/>
                <w:szCs w:val="32"/>
              </w:rPr>
              <w:t>1063.35</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剩余资金退回财政</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项目成效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改善群众生产生活条件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改善提升了群众生产生活条件</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大于90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使用单位满意度达到95%</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省财政脱贫攻坚资金支持藏区脱贫攻坚项目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4"/>
              </w:rPr>
            </w:pPr>
            <w:r>
              <w:rPr>
                <w:rFonts w:ascii="仿宋_GB2312" w:eastAsia="仿宋_GB2312" w:cs="仿宋_GB2312" w:hint="eastAsia"/>
                <w:sz w:val="24"/>
              </w:rPr>
              <w:t>茂县水务局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8"/>
                <w:szCs w:val="28"/>
              </w:rPr>
            </w:pPr>
            <w:r>
              <w:rPr>
                <w:rFonts w:ascii="仿宋_GB2312" w:eastAsia="仿宋_GB2312" w:cs="仿宋_GB2312" w:hint="eastAsia"/>
                <w:sz w:val="28"/>
                <w:szCs w:val="28"/>
              </w:rPr>
              <w:t>1000万元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779.79</w:t>
            </w:r>
            <w:r>
              <w:rPr>
                <w:rFonts w:ascii="仿宋_GB2312" w:eastAsia="仿宋_GB2312" w:cs="仿宋_GB2312" w:hint="eastAsia"/>
                <w:sz w:val="28"/>
                <w:szCs w:val="28"/>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8"/>
                <w:szCs w:val="28"/>
              </w:rPr>
            </w:pPr>
            <w:r>
              <w:rPr>
                <w:rFonts w:ascii="仿宋_GB2312" w:eastAsia="仿宋_GB2312" w:cs="仿宋_GB2312" w:hint="eastAsia"/>
                <w:sz w:val="28"/>
                <w:szCs w:val="28"/>
              </w:rPr>
              <w:t>1000万元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779.79</w:t>
            </w:r>
            <w:r>
              <w:rPr>
                <w:rFonts w:ascii="仿宋_GB2312" w:eastAsia="仿宋_GB2312" w:cs="仿宋_GB2312" w:hint="eastAsia"/>
                <w:sz w:val="28"/>
                <w:szCs w:val="28"/>
              </w:rPr>
              <w:t>万元</w:t>
            </w:r>
          </w:p>
        </w:tc>
      </w:tr>
      <w:tr>
        <w:trPr>
          <w:trHeight w:val="2140"/>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exact"/>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全县19个贫困村626户建档立卡贫困人口农田灌溉和饮水安全条件，同时可新增管护就业岗位34个，预计项目达产年效益新增产值969万元，其中建档立卡户增收137.6万元</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全县19个贫困村626户建档立卡贫困人口农田灌溉和饮水安全条件，同时可新增管护就业岗位34个，预计项目达产年效益新增产值969万元，其中建档立卡户增收137.6万元</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建设质量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质量合格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验收合格</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资金需求</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32"/>
                <w:szCs w:val="32"/>
              </w:rPr>
              <w:t>779.79</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剩余资金退回财政</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项目成效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改善群众生产生活条件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改善提升了群众生产生活条件</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大于90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使用单位满意度达到95%</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岷江县城规划区域内河道环境卫生整治项目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4"/>
              </w:rPr>
            </w:pPr>
            <w:r>
              <w:rPr>
                <w:rFonts w:ascii="仿宋_GB2312" w:eastAsia="仿宋_GB2312" w:cs="仿宋_GB2312" w:hint="eastAsia"/>
                <w:sz w:val="24"/>
              </w:rPr>
              <w:t>茂县水务局</w:t>
            </w:r>
          </w:p>
        </w:tc>
      </w:tr>
      <w:tr>
        <w:trPr>
          <w:trHeight w:val="1109"/>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8"/>
                <w:szCs w:val="28"/>
              </w:rPr>
            </w:pPr>
            <w:r>
              <w:rPr>
                <w:rFonts w:ascii="仿宋_GB2312" w:eastAsia="仿宋_GB2312" w:cs="仿宋_GB2312"/>
                <w:sz w:val="32"/>
                <w:szCs w:val="32"/>
              </w:rPr>
              <w:t>57.7692</w:t>
            </w:r>
            <w:r>
              <w:rPr>
                <w:rFonts w:ascii="仿宋_GB2312" w:eastAsia="仿宋_GB2312" w:cs="仿宋_GB2312" w:hint="eastAsia"/>
                <w:sz w:val="28"/>
                <w:szCs w:val="28"/>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54.6212</w:t>
            </w:r>
            <w:r>
              <w:rPr>
                <w:rFonts w:ascii="仿宋_GB2312" w:eastAsia="仿宋_GB2312" w:cs="仿宋_GB2312" w:hint="eastAsia"/>
                <w:sz w:val="28"/>
                <w:szCs w:val="28"/>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sz w:val="32"/>
                <w:szCs w:val="32"/>
              </w:rPr>
              <w:t>57.7692</w:t>
            </w:r>
            <w:r>
              <w:rPr>
                <w:rFonts w:ascii="仿宋_GB2312" w:eastAsia="仿宋_GB2312" w:cs="仿宋_GB2312" w:hint="eastAsia"/>
                <w:sz w:val="32"/>
                <w:szCs w:val="32"/>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54.6212</w:t>
            </w:r>
            <w:r>
              <w:rPr>
                <w:rFonts w:ascii="仿宋_GB2312" w:eastAsia="仿宋_GB2312" w:cs="仿宋_GB2312" w:hint="eastAsia"/>
                <w:sz w:val="28"/>
                <w:szCs w:val="28"/>
              </w:rPr>
              <w:t>万元</w:t>
            </w:r>
          </w:p>
        </w:tc>
      </w:tr>
      <w:tr>
        <w:trPr>
          <w:trHeight w:val="1583"/>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exact"/>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有效整治了县城内静州大桥沟、水巷子防洪沟、龙洞沟、南店村青沙沟、水西村大沟、坪头村药沟、岷江河道、河边县城规划区内六条河沟环境卫生，切实改善县城民居生活环境，保证泄洪通道畅通</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有效整治了县城内静州大桥沟、水巷子防洪沟、龙洞沟、南店村青沙沟、水西村大沟、坪头村药沟、岷江河道、河边县城规划区内六条河沟环境卫生，切实改善县城民居生活环境，保证泄洪通道畅通</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建设质量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质量合格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验收合格</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资金需求</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32"/>
                <w:szCs w:val="32"/>
              </w:rPr>
              <w:t>54.6212</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剩余资金退回财政</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项目成效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改善群众生产生活条件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改善提升了群众生产生活条件</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大于90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使用单位满意度达到95%</w:t>
            </w:r>
          </w:p>
        </w:tc>
      </w:tr>
    </w:tbl>
    <w:p>
      <w:pPr>
        <w:spacing w:line="576" w:lineRule="exact"/>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sz w:val="32"/>
                <w:szCs w:val="32"/>
              </w:rPr>
              <w:t>河（湖）长制专项工作经费项目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4"/>
              </w:rPr>
            </w:pPr>
            <w:r>
              <w:rPr>
                <w:rFonts w:ascii="仿宋_GB2312" w:eastAsia="仿宋_GB2312" w:cs="仿宋_GB2312" w:hint="eastAsia"/>
                <w:sz w:val="24"/>
              </w:rPr>
              <w:t>茂县水务局</w:t>
            </w:r>
          </w:p>
        </w:tc>
      </w:tr>
      <w:tr>
        <w:trPr>
          <w:trHeight w:val="684"/>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仿宋_GB2312" w:eastAsia="仿宋_GB2312" w:cs="仿宋_GB2312"/>
                <w:sz w:val="28"/>
                <w:szCs w:val="28"/>
              </w:rPr>
            </w:pPr>
            <w:r>
              <w:rPr>
                <w:rFonts w:ascii="仿宋_GB2312" w:eastAsia="仿宋_GB2312" w:cs="仿宋_GB2312"/>
                <w:sz w:val="32"/>
                <w:szCs w:val="32"/>
              </w:rPr>
              <w:t>259.5</w:t>
            </w:r>
            <w:r>
              <w:rPr>
                <w:rFonts w:ascii="仿宋_GB2312" w:eastAsia="仿宋_GB2312" w:cs="仿宋_GB2312" w:hint="eastAsia"/>
                <w:sz w:val="28"/>
                <w:szCs w:val="28"/>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sz w:val="32"/>
                <w:szCs w:val="32"/>
              </w:rPr>
              <w:t>192</w:t>
            </w:r>
            <w:r>
              <w:rPr>
                <w:rFonts w:ascii="仿宋_GB2312" w:eastAsia="仿宋_GB2312" w:cs="仿宋_GB2312" w:hint="eastAsia"/>
                <w:sz w:val="32"/>
                <w:szCs w:val="32"/>
              </w:rPr>
              <w:t>.</w:t>
            </w:r>
            <w:r>
              <w:rPr>
                <w:rFonts w:ascii="仿宋_GB2312" w:eastAsia="仿宋_GB2312" w:cs="仿宋_GB2312"/>
                <w:sz w:val="32"/>
                <w:szCs w:val="32"/>
              </w:rPr>
              <w:t>32</w:t>
            </w:r>
            <w:r>
              <w:rPr>
                <w:rFonts w:ascii="仿宋_GB2312" w:eastAsia="仿宋_GB2312" w:cs="仿宋_GB2312" w:hint="eastAsia"/>
                <w:sz w:val="28"/>
                <w:szCs w:val="28"/>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sz w:val="32"/>
                <w:szCs w:val="32"/>
              </w:rPr>
              <w:t>259.5</w:t>
            </w:r>
            <w:r>
              <w:rPr>
                <w:rFonts w:ascii="宋体" w:cs="宋体" w:hint="eastAsia"/>
                <w:color w:val="000000"/>
                <w:sz w:val="28"/>
                <w:szCs w:val="28"/>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sz w:val="32"/>
                <w:szCs w:val="32"/>
              </w:rPr>
              <w:t>192</w:t>
            </w:r>
            <w:r>
              <w:rPr>
                <w:rFonts w:ascii="仿宋_GB2312" w:eastAsia="仿宋_GB2312" w:cs="仿宋_GB2312" w:hint="eastAsia"/>
                <w:sz w:val="32"/>
                <w:szCs w:val="32"/>
              </w:rPr>
              <w:t>.</w:t>
            </w:r>
            <w:r>
              <w:rPr>
                <w:rFonts w:ascii="仿宋_GB2312" w:eastAsia="仿宋_GB2312" w:cs="仿宋_GB2312"/>
                <w:sz w:val="32"/>
                <w:szCs w:val="32"/>
              </w:rPr>
              <w:t>32</w:t>
            </w:r>
            <w:r>
              <w:rPr>
                <w:rFonts w:ascii="仿宋_GB2312" w:eastAsia="仿宋_GB2312" w:cs="仿宋_GB2312" w:hint="eastAsia"/>
                <w:sz w:val="28"/>
                <w:szCs w:val="28"/>
              </w:rPr>
              <w:t>万元</w:t>
            </w:r>
          </w:p>
        </w:tc>
      </w:tr>
      <w:tr>
        <w:trPr>
          <w:trHeight w:val="957"/>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exact"/>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color w:val="000000"/>
                <w:sz w:val="32"/>
                <w:szCs w:val="32"/>
                <w:shd w:val="clear" w:color="auto" w:fill="FFFFFF"/>
              </w:rPr>
              <w:t>保障“河长制”办公室日常工作和河</w:t>
            </w:r>
            <w:r>
              <w:rPr>
                <w:rFonts w:ascii="仿宋_GB2312" w:eastAsia="仿宋_GB2312" w:cs="仿宋_GB2312" w:hint="eastAsia"/>
                <w:bCs/>
                <w:sz w:val="32"/>
                <w:szCs w:val="32"/>
              </w:rPr>
              <w:t>（湖）长制公示牌安装更新维修、l9条河流的河湖管理范围划定、“一河（湖）一策(2021-2025年)”方案编制等工作。</w:t>
            </w:r>
            <w:r>
              <w:rPr>
                <w:rFonts w:ascii="仿宋_GB2312" w:eastAsia="仿宋_GB2312" w:cs="仿宋_GB2312" w:hint="eastAsia"/>
                <w:color w:val="000000"/>
                <w:sz w:val="32"/>
                <w:szCs w:val="32"/>
              </w:rPr>
              <w:t>全县共出动1203余人次，排查大小河流支沟100余条，排查出问题22个，完成整改22个</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8"/>
                <w:szCs w:val="28"/>
              </w:rPr>
            </w:pPr>
            <w:r>
              <w:rPr>
                <w:rFonts w:ascii="仿宋_GB2312" w:eastAsia="仿宋_GB2312" w:cs="仿宋_GB2312" w:hint="eastAsia"/>
                <w:color w:val="000000"/>
                <w:sz w:val="32"/>
                <w:szCs w:val="32"/>
                <w:shd w:val="clear" w:color="auto" w:fill="FFFFFF"/>
              </w:rPr>
              <w:t>保障“河长制”办公室日常工作和河</w:t>
            </w:r>
            <w:r>
              <w:rPr>
                <w:rFonts w:ascii="仿宋_GB2312" w:eastAsia="仿宋_GB2312" w:cs="仿宋_GB2312" w:hint="eastAsia"/>
                <w:bCs/>
                <w:sz w:val="32"/>
                <w:szCs w:val="32"/>
              </w:rPr>
              <w:t>（湖）长制公示牌安装更新维修、l9条河流的河湖管理范围划定、“一河（湖）一策(2021-2025年)”方案编制等工作。</w:t>
            </w:r>
            <w:r>
              <w:rPr>
                <w:rFonts w:ascii="仿宋_GB2312" w:eastAsia="仿宋_GB2312" w:cs="仿宋_GB2312" w:hint="eastAsia"/>
                <w:color w:val="000000"/>
                <w:sz w:val="32"/>
                <w:szCs w:val="32"/>
              </w:rPr>
              <w:t>全县共出动1203余人次，排查大小河流支沟100余条，排查出问题22个，完成整改22个</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建设质量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质量合格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验收合格</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资金需求</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sz w:val="32"/>
                <w:szCs w:val="32"/>
              </w:rPr>
              <w:t>192</w:t>
            </w:r>
            <w:r>
              <w:rPr>
                <w:rFonts w:ascii="仿宋_GB2312" w:eastAsia="仿宋_GB2312" w:cs="仿宋_GB2312" w:hint="eastAsia"/>
                <w:sz w:val="32"/>
                <w:szCs w:val="32"/>
              </w:rPr>
              <w:t>.</w:t>
            </w:r>
            <w:r>
              <w:rPr>
                <w:rFonts w:ascii="仿宋_GB2312" w:eastAsia="仿宋_GB2312" w:cs="仿宋_GB2312"/>
                <w:sz w:val="32"/>
                <w:szCs w:val="32"/>
              </w:rPr>
              <w:t>32</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剩余资金退回财政</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项目成效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改善群众生产生活条件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改善提升了群众生产生活条件</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大于90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仿宋_GB2312" w:eastAsia="仿宋_GB2312" w:cs="仿宋_GB2312" w:hint="eastAsia"/>
                <w:sz w:val="28"/>
                <w:szCs w:val="28"/>
              </w:rPr>
              <w:t>使用单位满意度达到95%</w:t>
            </w:r>
          </w:p>
        </w:tc>
      </w:tr>
    </w:tbl>
    <w:p>
      <w:pPr>
        <w:spacing w:line="576" w:lineRule="exact"/>
        <w:ind w:firstLineChars="200" w:firstLine="640"/>
        <w:rPr>
          <w:rFonts w:ascii="仿宋_GB2312" w:eastAsia="仿宋_GB2312" w:cs="仿宋_GB2312"/>
          <w:b/>
          <w:sz w:val="32"/>
          <w:szCs w:val="32"/>
        </w:rPr>
      </w:pPr>
      <w:r>
        <w:rPr>
          <w:rFonts w:ascii="楷体_GB2312" w:eastAsia="楷体_GB2312" w:cs="楷体_GB2312"/>
          <w:b/>
          <w:sz w:val="32"/>
          <w:szCs w:val="32"/>
        </w:rPr>
        <w:t>2.</w:t>
      </w:r>
      <w:r>
        <w:rPr>
          <w:rFonts w:ascii="楷体_GB2312" w:eastAsia="楷体_GB2312" w:cs="楷体_GB2312" w:hint="eastAsia"/>
          <w:b/>
          <w:sz w:val="32"/>
          <w:szCs w:val="32"/>
        </w:rPr>
        <w:t>部门绩效评价结果。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2020</w:t>
      </w:r>
      <w:r>
        <w:rPr>
          <w:rFonts w:ascii="仿宋_GB2312" w:eastAsia="仿宋_GB2312" w:cs="仿宋_GB2312" w:hint="eastAsia"/>
          <w:sz w:val="32"/>
          <w:szCs w:val="32"/>
        </w:rPr>
        <w:t>年部门整体支出绩效评价情况开展自评，《茂县水务局部门</w:t>
      </w:r>
      <w:r>
        <w:rPr>
          <w:rFonts w:ascii="仿宋_GB2312" w:eastAsia="仿宋_GB2312" w:cs="仿宋_GB2312"/>
          <w:sz w:val="32"/>
          <w:szCs w:val="32"/>
        </w:rPr>
        <w:t>2020</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自行组织对2020中央和省财政水利发展资金水利工程维修养护项目、2020四川省藏区专项第一批中央预算内基建投资岷江茂县段堤防项目、省财政脱贫攻坚资金支持藏区脱贫攻坚项目、对岷江县城规划区域内河道环境卫生整治项目、河（湖）长制专项工作经费5个项目。《2020中央和省财政水利发展资金水利工程维修养护项目</w:t>
      </w:r>
      <w:r>
        <w:rPr>
          <w:rFonts w:ascii="仿宋_GB2312" w:eastAsia="仿宋_GB2312" w:cs="仿宋_GB2312"/>
          <w:sz w:val="32"/>
          <w:szCs w:val="32"/>
        </w:rPr>
        <w:t>2020</w:t>
      </w:r>
      <w:r>
        <w:rPr>
          <w:rFonts w:ascii="仿宋_GB2312" w:eastAsia="仿宋_GB2312" w:cs="仿宋_GB2312" w:hint="eastAsia"/>
          <w:sz w:val="32"/>
          <w:szCs w:val="32"/>
        </w:rPr>
        <w:t>年绩效评价报告》、《2020四川省藏区专项第一批中央预算内基建投资岷江茂县段堤防项目</w:t>
      </w:r>
      <w:r>
        <w:rPr>
          <w:rFonts w:ascii="仿宋_GB2312" w:eastAsia="仿宋_GB2312" w:cs="仿宋_GB2312"/>
          <w:sz w:val="32"/>
          <w:szCs w:val="32"/>
        </w:rPr>
        <w:t>2020</w:t>
      </w:r>
      <w:r>
        <w:rPr>
          <w:rFonts w:ascii="仿宋_GB2312" w:eastAsia="仿宋_GB2312" w:cs="仿宋_GB2312" w:hint="eastAsia"/>
          <w:sz w:val="32"/>
          <w:szCs w:val="32"/>
        </w:rPr>
        <w:t>年绩效评价报告》、《省财政脱贫攻坚资金支持藏区脱贫攻坚项目</w:t>
      </w:r>
      <w:r>
        <w:rPr>
          <w:rFonts w:ascii="仿宋_GB2312" w:eastAsia="仿宋_GB2312" w:cs="仿宋_GB2312"/>
          <w:sz w:val="32"/>
          <w:szCs w:val="32"/>
        </w:rPr>
        <w:t>2020</w:t>
      </w:r>
      <w:r>
        <w:rPr>
          <w:rFonts w:ascii="仿宋_GB2312" w:eastAsia="仿宋_GB2312" w:cs="仿宋_GB2312" w:hint="eastAsia"/>
          <w:sz w:val="32"/>
          <w:szCs w:val="32"/>
        </w:rPr>
        <w:t>年绩效评价报告》、《对岷江县城规划区域内河道环境卫生整治项目</w:t>
      </w:r>
      <w:r>
        <w:rPr>
          <w:rFonts w:ascii="仿宋_GB2312" w:eastAsia="仿宋_GB2312" w:cs="仿宋_GB2312"/>
          <w:sz w:val="32"/>
          <w:szCs w:val="32"/>
        </w:rPr>
        <w:t>2020</w:t>
      </w:r>
      <w:r>
        <w:rPr>
          <w:rFonts w:ascii="仿宋_GB2312" w:eastAsia="仿宋_GB2312" w:cs="仿宋_GB2312" w:hint="eastAsia"/>
          <w:sz w:val="32"/>
          <w:szCs w:val="32"/>
        </w:rPr>
        <w:t>年绩效评价报告》、《河（湖）长制专项工作经费项目</w:t>
      </w:r>
      <w:r>
        <w:rPr>
          <w:rFonts w:ascii="仿宋_GB2312" w:eastAsia="仿宋_GB2312" w:cs="仿宋_GB2312"/>
          <w:sz w:val="32"/>
          <w:szCs w:val="32"/>
        </w:rPr>
        <w:t>2020</w:t>
      </w:r>
      <w:r>
        <w:rPr>
          <w:rFonts w:ascii="仿宋_GB2312" w:eastAsia="仿宋_GB2312" w:cs="仿宋_GB2312" w:hint="eastAsia"/>
          <w:sz w:val="32"/>
          <w:szCs w:val="32"/>
        </w:rPr>
        <w:t>年绩效评价报告》见附件（附件</w:t>
      </w:r>
      <w:r>
        <w:rPr>
          <w:rFonts w:ascii="仿宋_GB2312" w:eastAsia="仿宋_GB2312" w:cs="仿宋_GB2312"/>
          <w:sz w:val="32"/>
          <w:szCs w:val="32"/>
        </w:rPr>
        <w:t>2</w:t>
      </w:r>
      <w:r>
        <w:rPr>
          <w:rFonts w:ascii="仿宋_GB2312" w:eastAsia="仿宋_GB2312" w:cs="仿宋_GB2312" w:hint="eastAsia"/>
          <w:sz w:val="32"/>
          <w:szCs w:val="32"/>
        </w:rPr>
        <w:t>）。</w:t>
      </w:r>
      <w:bookmarkStart w:id="109" w:name="_Toc15396613"/>
      <w:bookmarkStart w:id="110" w:name="_Toc15377225"/>
      <w:bookmarkStart w:id="111" w:name="_Toc79163629"/>
      <w:bookmarkStart w:id="112" w:name="_Toc79163879"/>
    </w:p>
    <w:p>
      <w:pPr>
        <w:spacing w:line="576" w:lineRule="exact"/>
        <w:ind w:firstLineChars="200" w:firstLine="640"/>
        <w:rPr>
          <w:rFonts w:ascii="仿宋_GB2312" w:eastAsia="仿宋_GB2312" w:cs="仿宋_GB2312"/>
          <w:sz w:val="32"/>
          <w:szCs w:val="32"/>
        </w:rPr>
      </w:pPr>
    </w:p>
    <w:p>
      <w:pPr>
        <w:spacing w:line="576" w:lineRule="exact"/>
        <w:ind w:firstLineChars="200" w:firstLine="640"/>
        <w:rPr>
          <w:rFonts w:ascii="仿宋_GB2312" w:eastAsia="仿宋_GB2312" w:cs="仿宋_GB2312"/>
          <w:sz w:val="32"/>
          <w:szCs w:val="32"/>
        </w:rPr>
      </w:pPr>
    </w:p>
    <w:p>
      <w:pPr>
        <w:spacing w:line="576" w:lineRule="exact"/>
        <w:ind w:firstLineChars="200" w:firstLine="640"/>
        <w:rPr>
          <w:rFonts w:ascii="仿宋_GB2312" w:eastAsia="仿宋_GB2312" w:cs="仿宋_GB2312"/>
          <w:sz w:val="32"/>
          <w:szCs w:val="32"/>
        </w:rPr>
      </w:pPr>
    </w:p>
    <w:p>
      <w:pPr>
        <w:spacing w:line="576" w:lineRule="exact"/>
        <w:ind w:firstLineChars="200" w:firstLine="640"/>
        <w:rPr>
          <w:rFonts w:ascii="仿宋_GB2312" w:eastAsia="仿宋_GB2312" w:cs="仿宋_GB2312"/>
          <w:sz w:val="32"/>
          <w:szCs w:val="32"/>
        </w:rPr>
      </w:pPr>
    </w:p>
    <w:p>
      <w:pPr>
        <w:spacing w:line="576" w:lineRule="exact"/>
        <w:ind w:firstLineChars="200" w:firstLine="640"/>
        <w:rPr>
          <w:rFonts w:ascii="仿宋_GB2312" w:eastAsia="仿宋_GB2312" w:cs="仿宋_GB2312"/>
          <w:sz w:val="32"/>
          <w:szCs w:val="32"/>
        </w:rPr>
      </w:pPr>
    </w:p>
    <w:p>
      <w:pPr>
        <w:spacing w:line="576" w:lineRule="exact"/>
        <w:ind w:firstLineChars="200" w:firstLine="640"/>
        <w:rPr>
          <w:rFonts w:ascii="仿宋_GB2312" w:eastAsia="仿宋_GB2312" w:cs="仿宋_GB2312"/>
          <w:sz w:val="32"/>
          <w:szCs w:val="32"/>
        </w:rPr>
      </w:pPr>
    </w:p>
    <w:p>
      <w:pPr>
        <w:spacing w:line="576" w:lineRule="exact"/>
        <w:ind w:firstLineChars="200" w:firstLine="640"/>
        <w:rPr>
          <w:rFonts w:ascii="仿宋_GB2312" w:eastAsia="仿宋_GB2312" w:cs="仿宋_GB2312"/>
          <w:sz w:val="32"/>
          <w:szCs w:val="32"/>
        </w:rPr>
      </w:pPr>
    </w:p>
    <w:p>
      <w:pPr>
        <w:spacing w:line="576" w:lineRule="exact"/>
        <w:ind w:firstLineChars="200" w:firstLine="640"/>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ind w:firstLineChars="200" w:firstLine="880"/>
        <w:jc w:val="center"/>
        <w:rPr>
          <w:rStyle w:val="1Char"/>
          <w:rFonts w:ascii="黑体" w:eastAsia="黑体"/>
          <w:b w:val="0"/>
        </w:rPr>
      </w:pPr>
      <w:r>
        <w:rPr>
          <w:rFonts w:ascii="黑体" w:eastAsia="黑体" w:hint="eastAsia"/>
          <w:color w:val="000000"/>
          <w:sz w:val="44"/>
          <w:szCs w:val="44"/>
        </w:rPr>
        <w:t>名</w:t>
      </w:r>
      <w:r>
        <w:rPr>
          <w:rStyle w:val="1Char"/>
          <w:rFonts w:ascii="黑体" w:eastAsia="黑体" w:hint="eastAsia"/>
          <w:b w:val="0"/>
        </w:rPr>
        <w:t>词解释</w:t>
      </w:r>
      <w:bookmarkEnd w:id="109"/>
      <w:bookmarkEnd w:id="110"/>
      <w:bookmarkEnd w:id="111"/>
      <w:bookmarkEnd w:id="112"/>
    </w:p>
    <w:p>
      <w:pPr>
        <w:spacing w:line="576" w:lineRule="exact"/>
        <w:jc w:val="left"/>
        <w:rPr>
          <w:rFonts w:ascii="宋体"/>
          <w:b/>
          <w:color w:val="000000"/>
          <w:sz w:val="44"/>
          <w:szCs w:val="44"/>
        </w:rPr>
      </w:pPr>
    </w:p>
    <w:p>
      <w:pPr>
        <w:pStyle w:val="35"/>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5"/>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5"/>
        <w:spacing w:line="576"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5"/>
        <w:spacing w:line="576"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pPr>
        <w:pStyle w:val="35"/>
        <w:spacing w:line="576"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p>
    <w:p>
      <w:pPr>
        <w:pStyle w:val="35"/>
        <w:spacing w:line="576"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pPr>
        <w:pStyle w:val="35"/>
        <w:spacing w:line="576"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pPr>
        <w:pStyle w:val="35"/>
        <w:spacing w:line="576"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color w:val="000000"/>
          <w:kern w:val="0"/>
          <w:sz w:val="32"/>
          <w:szCs w:val="32"/>
        </w:rPr>
        <w:t>9.</w:t>
      </w:r>
      <w:r>
        <w:rPr>
          <w:rFonts w:ascii="仿宋_GB2312" w:eastAsia="仿宋_GB2312" w:cs="仿宋" w:hint="eastAsia"/>
          <w:color w:val="000000"/>
          <w:kern w:val="0"/>
          <w:sz w:val="32"/>
          <w:szCs w:val="32"/>
        </w:rPr>
        <w:t>社会保障和就业支出（208）行政事业单位离退休（05）机关事业单位基本养老保险缴费支出（05）:指反映机关事业单位实施养老保险制度由单位缴纳的基本养老保险支出。</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10.社会保障和就业支出（208）行政事业单位离退休（05）机关事业单位职业年金缴费支出（06）:指反映机关事业单位实施养老保险制度由单位实际缴纳的职业年金支出。</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11.医疗卫生与计划生育支出（210）行政事业单位医疗（11）行政单位医疗（01）:指反映财政部门集中安排的公费医疗经费，按国家规定享受离休人员待遇人员的医疗经费。</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12.医疗卫生与计划生育支出（210）行政事业单位医疗（11）事业单位医疗（02）:指反映财政部门集中安排的事业单位基本医疗保险缴费经费。</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13.农林水支出（213）农业农村（01）其他农业农村支出（99）:指反映其他用于农业方面的支出。</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14.农林水支出（213）水利（03）行政运行（01）:指反映其他用于水利方面的支出。</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15.农林水支出（213）水利（03）一般行政管理事务（02）:指反映行政单位未单独设置顶级科目的其他项目支出。</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16.农林水支出（213）水利（03）防汛（14）:是指反映用于防汛方面的支出。</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17.农林水支出（213）水利（03）其他水利支出（99）:指反映除化解债务支出以外其他用于农林水支出。</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18.农林水支出（213）扶贫（05）农村基础设施建设（04）:指反映用于扶贫方面的支出。</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19.农林水支出（213）其他农林水支出（99）其他农林水支出（99）:指反映用于其他水利方面的支出。</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20.住房保障支出（221）住房改革支出（02）住房公积金（01）:指反映事业单位按人力资源和社会保障部、财政部规定的基本工资和津贴补贴以及规定比例为职工缴纳的住房公积金。</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21.住房保障支出（221）住房改革支出（02）购房补贴（03）:</w:t>
      </w:r>
      <w:r>
        <w:rPr>
          <w:rFonts w:ascii="仿宋_GB2312" w:eastAsia="仿宋_GB2312" w:hint="eastAsia"/>
          <w:color w:val="000000"/>
          <w:sz w:val="32"/>
          <w:szCs w:val="32"/>
        </w:rPr>
        <w:t>指</w:t>
      </w:r>
      <w:r>
        <w:rPr>
          <w:rFonts w:ascii="仿宋_GB2312" w:eastAsia="仿宋_GB2312" w:cs="仿宋" w:hint="eastAsia"/>
          <w:color w:val="000000"/>
          <w:kern w:val="0"/>
          <w:sz w:val="32"/>
          <w:szCs w:val="32"/>
        </w:rPr>
        <w:t>按房改政策规定，行政事业单位向符合条件职工、离退休人员发放的用于购买住房的补贴。</w:t>
      </w:r>
    </w:p>
    <w:p>
      <w:pPr>
        <w:spacing w:line="576" w:lineRule="exact"/>
        <w:ind w:firstLineChars="200" w:firstLine="640"/>
        <w:rPr>
          <w:rFonts w:ascii="仿宋_GB2312" w:eastAsia="仿宋_GB2312" w:cs="仿宋"/>
          <w:color w:val="000000"/>
          <w:kern w:val="0"/>
          <w:sz w:val="32"/>
          <w:szCs w:val="32"/>
        </w:rPr>
      </w:pPr>
      <w:r>
        <w:rPr>
          <w:rFonts w:ascii="仿宋_GB2312" w:eastAsia="仿宋_GB2312" w:hint="eastAsia"/>
          <w:color w:val="000000"/>
          <w:sz w:val="32"/>
          <w:szCs w:val="32"/>
        </w:rPr>
        <w:t>22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3</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pPr>
        <w:pStyle w:val="35"/>
        <w:spacing w:line="576" w:lineRule="exact"/>
        <w:ind w:firstLineChars="200" w:firstLine="640"/>
        <w:rPr>
          <w:rFonts w:ascii="仿宋_GB2312" w:eastAsia="仿宋_GB2312"/>
          <w:sz w:val="32"/>
          <w:szCs w:val="32"/>
        </w:rPr>
      </w:pPr>
      <w:r>
        <w:rPr>
          <w:rFonts w:ascii="仿宋_GB2312" w:eastAsia="仿宋_GB2312" w:hint="eastAsia"/>
          <w:sz w:val="32"/>
          <w:szCs w:val="32"/>
        </w:rPr>
        <w:t>25</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76" w:lineRule="exact"/>
        <w:ind w:firstLineChars="200" w:firstLine="640"/>
        <w:jc w:val="center"/>
        <w:rPr>
          <w:rStyle w:val="1Char"/>
          <w:rFonts w:ascii="仿宋_GB2312" w:eastAsia="仿宋_GB2312" w:cs="仿宋"/>
          <w:b w:val="0"/>
          <w:bCs w:val="0"/>
          <w:kern w:val="0"/>
          <w:sz w:val="32"/>
          <w:szCs w:val="32"/>
        </w:rPr>
      </w:pPr>
      <w:r>
        <w:rPr>
          <w:rFonts w:ascii="仿宋_GB2312" w:eastAsia="仿宋_GB2312" w:hint="eastAsia"/>
          <w:sz w:val="32"/>
          <w:szCs w:val="32"/>
        </w:rPr>
        <w:t>26</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13" w:name="_Toc15377226"/>
      <w:r>
        <w:rPr>
          <w:rFonts w:ascii="宋体" w:hAnsi="宋体"/>
          <w:b/>
          <w:sz w:val="44"/>
          <w:szCs w:val="44"/>
        </w:rPr>
        <w:br w:type="page"/>
      </w:r>
      <w:bookmarkStart w:id="114" w:name="_Toc79163630"/>
      <w:bookmarkStart w:id="115" w:name="_Toc79163880"/>
      <w:bookmarkStart w:id="116" w:name="_Toc15396614"/>
      <w:r>
        <w:rPr>
          <w:rFonts w:ascii="黑体" w:eastAsia="黑体" w:hint="eastAsia"/>
          <w:sz w:val="44"/>
          <w:szCs w:val="44"/>
        </w:rPr>
        <w:t>第</w:t>
      </w:r>
      <w:r>
        <w:rPr>
          <w:rStyle w:val="1Char"/>
          <w:rFonts w:ascii="黑体" w:eastAsia="黑体" w:hint="eastAsia"/>
          <w:b w:val="0"/>
        </w:rPr>
        <w:t>四部分 附件</w:t>
      </w:r>
      <w:bookmarkEnd w:id="114"/>
      <w:bookmarkEnd w:id="115"/>
      <w:bookmarkEnd w:id="116"/>
    </w:p>
    <w:p>
      <w:pPr>
        <w:spacing w:line="576" w:lineRule="exact"/>
        <w:jc w:val="left"/>
        <w:outlineLvl w:val="0"/>
        <w:rPr>
          <w:rFonts w:ascii="方正小标宋简体" w:eastAsia="方正小标宋简体" w:cs="方正小标宋简体"/>
          <w:sz w:val="32"/>
          <w:szCs w:val="32"/>
        </w:rPr>
      </w:pPr>
      <w:bookmarkStart w:id="117" w:name="_Toc79163881"/>
      <w:bookmarkStart w:id="118" w:name="_Toc79163631"/>
      <w:r>
        <w:rPr>
          <w:rFonts w:ascii="黑体" w:eastAsia="黑体" w:cs="黑体" w:hint="eastAsia"/>
          <w:sz w:val="32"/>
          <w:szCs w:val="32"/>
        </w:rPr>
        <w:t>附件</w:t>
      </w:r>
      <w:r>
        <w:rPr>
          <w:rFonts w:ascii="黑体" w:eastAsia="黑体" w:cs="黑体"/>
          <w:sz w:val="32"/>
          <w:szCs w:val="32"/>
        </w:rPr>
        <w:t>1</w:t>
      </w:r>
      <w:bookmarkEnd w:id="117"/>
      <w:bookmarkEnd w:id="118"/>
    </w:p>
    <w:p>
      <w:pPr>
        <w:spacing w:line="576" w:lineRule="exact"/>
        <w:jc w:val="center"/>
        <w:outlineLvl w:val="0"/>
        <w:rPr>
          <w:rFonts w:ascii="方正小标宋简体" w:eastAsia="方正小标宋简体" w:cs="黑体"/>
          <w:sz w:val="44"/>
          <w:szCs w:val="44"/>
        </w:rPr>
      </w:pPr>
      <w:bookmarkStart w:id="119" w:name="_Toc79163882"/>
      <w:bookmarkStart w:id="120" w:name="_Toc79163632"/>
      <w:r>
        <w:rPr>
          <w:rFonts w:ascii="方正小标宋简体" w:eastAsia="方正小标宋简体" w:cs="黑体" w:hint="eastAsia"/>
          <w:sz w:val="44"/>
          <w:szCs w:val="44"/>
        </w:rPr>
        <w:t>茂县水务局</w:t>
      </w:r>
      <w:r>
        <w:rPr>
          <w:rFonts w:ascii="方正小标宋简体" w:eastAsia="方正小标宋简体" w:cs="黑体"/>
          <w:sz w:val="44"/>
          <w:szCs w:val="44"/>
        </w:rPr>
        <w:t>2020</w:t>
      </w:r>
      <w:r>
        <w:rPr>
          <w:rFonts w:ascii="方正小标宋简体" w:eastAsia="方正小标宋简体" w:cs="黑体" w:hint="eastAsia"/>
          <w:sz w:val="44"/>
          <w:szCs w:val="44"/>
        </w:rPr>
        <w:t>年</w:t>
      </w:r>
    </w:p>
    <w:p>
      <w:pPr>
        <w:spacing w:line="576" w:lineRule="exact"/>
        <w:jc w:val="center"/>
        <w:outlineLvl w:val="0"/>
        <w:rPr>
          <w:rFonts w:ascii="方正小标宋简体" w:eastAsia="方正小标宋简体" w:cs="黑体"/>
          <w:sz w:val="44"/>
          <w:szCs w:val="44"/>
        </w:rPr>
      </w:pPr>
      <w:r>
        <w:rPr>
          <w:rFonts w:ascii="方正小标宋简体" w:eastAsia="方正小标宋简体" w:cs="黑体" w:hint="eastAsia"/>
          <w:sz w:val="44"/>
          <w:szCs w:val="44"/>
        </w:rPr>
        <w:t>部门整体支出绩效评价报告</w:t>
      </w:r>
      <w:bookmarkEnd w:id="119"/>
      <w:bookmarkEnd w:id="120"/>
    </w:p>
    <w:p>
      <w:pPr>
        <w:widowControl/>
        <w:adjustRightInd w:val="0"/>
        <w:snapToGrid w:val="0"/>
        <w:spacing w:line="576" w:lineRule="exact"/>
        <w:ind w:firstLineChars="200" w:firstLine="480"/>
        <w:contextualSpacing/>
        <w:jc w:val="left"/>
        <w:rPr>
          <w:rFonts w:ascii="黑体" w:eastAsia="黑体" w:cs="宋体"/>
          <w:color w:val="000000"/>
          <w:kern w:val="0"/>
          <w:sz w:val="24"/>
          <w:szCs w:val="32"/>
          <w:shd w:val="clear" w:color="auto" w:fill="FFFFFF"/>
        </w:rPr>
      </w:pPr>
    </w:p>
    <w:p>
      <w:pPr>
        <w:widowControl/>
        <w:adjustRightInd w:val="0"/>
        <w:snapToGrid w:val="0"/>
        <w:spacing w:line="576"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单位概况</w:t>
      </w:r>
    </w:p>
    <w:p>
      <w:pPr>
        <w:spacing w:line="576" w:lineRule="exact"/>
        <w:ind w:firstLine="643"/>
        <w:rPr>
          <w:rFonts w:ascii="楷体_GB2312" w:eastAsia="楷体_GB2312"/>
          <w:b/>
          <w:kern w:val="0"/>
          <w:sz w:val="32"/>
          <w:szCs w:val="32"/>
          <w:shd w:val="clear" w:color="auto" w:fill="FFFFFF"/>
          <w:lang w:val="zh-CN"/>
        </w:rPr>
      </w:pPr>
      <w:r>
        <w:rPr>
          <w:rFonts w:ascii="楷体_GB2312" w:eastAsia="楷体_GB2312" w:hint="eastAsia"/>
          <w:b/>
          <w:kern w:val="0"/>
          <w:sz w:val="32"/>
          <w:szCs w:val="32"/>
          <w:shd w:val="clear" w:color="auto" w:fill="FFFFFF"/>
          <w:lang w:val="zh-CN"/>
        </w:rPr>
        <w:t>（一）机构组成</w:t>
      </w:r>
    </w:p>
    <w:p>
      <w:pPr>
        <w:spacing w:line="576" w:lineRule="exact"/>
        <w:ind w:firstLineChars="200" w:firstLine="640"/>
        <w:rPr>
          <w:rFonts w:ascii="楷体" w:eastAsia="楷体"/>
          <w:b/>
          <w:kern w:val="0"/>
          <w:sz w:val="32"/>
          <w:szCs w:val="32"/>
          <w:shd w:val="clear" w:color="auto" w:fill="FFFFFF"/>
          <w:lang w:val="zh-CN"/>
        </w:rPr>
      </w:pPr>
      <w:r>
        <w:rPr>
          <w:rFonts w:ascii="仿宋_GB2312" w:eastAsia="仿宋_GB2312" w:cs="宋体" w:hint="eastAsia"/>
          <w:kern w:val="0"/>
          <w:sz w:val="32"/>
          <w:szCs w:val="32"/>
        </w:rPr>
        <w:t>我单位下设2个内设机构：办公室、业务股。</w:t>
      </w:r>
    </w:p>
    <w:p>
      <w:pPr>
        <w:spacing w:line="576" w:lineRule="exact"/>
        <w:ind w:firstLine="643"/>
        <w:rPr>
          <w:rFonts w:ascii="楷体_GB2312" w:eastAsia="楷体_GB2312"/>
          <w:b/>
          <w:kern w:val="0"/>
          <w:sz w:val="32"/>
          <w:szCs w:val="32"/>
          <w:shd w:val="clear" w:color="auto" w:fill="FFFFFF"/>
          <w:lang w:val="zh-CN"/>
        </w:rPr>
      </w:pPr>
      <w:r>
        <w:rPr>
          <w:rFonts w:ascii="楷体_GB2312" w:eastAsia="楷体_GB2312" w:hint="eastAsia"/>
          <w:b/>
          <w:kern w:val="0"/>
          <w:sz w:val="32"/>
          <w:szCs w:val="32"/>
          <w:shd w:val="clear" w:color="auto" w:fill="FFFFFF"/>
          <w:lang w:val="zh-CN"/>
        </w:rPr>
        <w:t>（二）机构职能</w:t>
      </w:r>
    </w:p>
    <w:p>
      <w:pPr>
        <w:spacing w:line="576" w:lineRule="exact"/>
        <w:ind w:firstLine="643"/>
        <w:rPr>
          <w:rFonts w:ascii="仿宋_GB2312" w:eastAsia="仿宋_GB2312" w:cs="宋体"/>
          <w:kern w:val="0"/>
          <w:sz w:val="32"/>
          <w:szCs w:val="32"/>
        </w:rPr>
      </w:pPr>
      <w:r>
        <w:rPr>
          <w:rFonts w:ascii="仿宋_GB2312" w:eastAsia="仿宋_GB2312" w:cs="宋体" w:hint="eastAsia"/>
          <w:kern w:val="0"/>
          <w:sz w:val="32"/>
          <w:szCs w:val="32"/>
        </w:rPr>
        <w:t>贯彻执行国家有关水务产业工作方针、政策和法律、法规,拟订全县水务发展规划并组织实施;负责管理全县水资源(含地表水、地下水)。组织制定全县水资源总体规划、流域规划和专业规划;拟定全县中长期和年度供水计划、水量分配方案和旱情紧急情况下水量调度预案;负责全县水务基本建设项目前期工作。上报基建项目建议书和可行性研究报告;负责组织全县水务基本建设;对水务基本建设工程实施行业监督管理;组织管理具有控制性的水利工程,组织负责水库、大坝的安全监管;负责全县农田水利基本建设;负责全县防汛抗旱、村镇供水、农村水利工程管理工作;编制水土保持规划并组织实施;负责水土流失的预防监督和综合防治工作。</w:t>
      </w:r>
    </w:p>
    <w:p>
      <w:pPr>
        <w:spacing w:line="576" w:lineRule="exact"/>
        <w:ind w:firstLine="643"/>
        <w:rPr>
          <w:rFonts w:ascii="楷体_GB2312" w:eastAsia="楷体_GB2312"/>
          <w:b/>
          <w:kern w:val="0"/>
          <w:sz w:val="32"/>
          <w:szCs w:val="32"/>
          <w:shd w:val="clear" w:color="auto" w:fill="FFFFFF"/>
          <w:lang w:val="zh-CN"/>
        </w:rPr>
      </w:pPr>
      <w:r>
        <w:rPr>
          <w:rFonts w:ascii="楷体_GB2312" w:eastAsia="楷体_GB2312" w:hint="eastAsia"/>
          <w:b/>
          <w:kern w:val="0"/>
          <w:sz w:val="32"/>
          <w:szCs w:val="32"/>
          <w:shd w:val="clear" w:color="auto" w:fill="FFFFFF"/>
          <w:lang w:val="zh-CN"/>
        </w:rPr>
        <w:t>（三）人员概况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2020年行政事业总编制26名。在职人员总数25人，其中：公务员5人，行政工勤1人，事业人员18人，事业工勤人员1人。</w:t>
      </w:r>
    </w:p>
    <w:p>
      <w:pPr>
        <w:spacing w:line="576" w:lineRule="exact"/>
        <w:ind w:firstLineChars="200" w:firstLine="640"/>
        <w:rPr>
          <w:rFonts w:ascii="仿宋_GB2312" w:eastAsia="仿宋_GB2312" w:cs="宋体"/>
          <w:kern w:val="0"/>
          <w:sz w:val="32"/>
          <w:szCs w:val="32"/>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（一）部门财政资金收入情况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2020年本部门财政拨款收入总计</w:t>
      </w:r>
      <w:r>
        <w:rPr>
          <w:rFonts w:ascii="仿宋_GB2312" w:eastAsia="仿宋_GB2312" w:cs="仿宋_GB2312"/>
          <w:sz w:val="32"/>
          <w:szCs w:val="32"/>
        </w:rPr>
        <w:t>1146</w:t>
      </w:r>
      <w:r>
        <w:rPr>
          <w:rFonts w:ascii="仿宋_GB2312" w:eastAsia="仿宋_GB2312" w:cs="仿宋_GB2312" w:hint="eastAsia"/>
          <w:sz w:val="32"/>
          <w:szCs w:val="32"/>
        </w:rPr>
        <w:t>.</w:t>
      </w:r>
      <w:r>
        <w:rPr>
          <w:rFonts w:ascii="仿宋_GB2312" w:eastAsia="仿宋_GB2312" w:cs="仿宋_GB2312"/>
          <w:sz w:val="32"/>
          <w:szCs w:val="32"/>
        </w:rPr>
        <w:t>5</w:t>
      </w:r>
      <w:r>
        <w:rPr>
          <w:rFonts w:ascii="仿宋_GB2312" w:eastAsia="仿宋_GB2312" w:cs="仿宋_GB2312" w:hint="eastAsia"/>
          <w:sz w:val="32"/>
          <w:szCs w:val="32"/>
        </w:rPr>
        <w:t>6万元，其中：财政拨款收入</w:t>
      </w:r>
      <w:r>
        <w:rPr>
          <w:rFonts w:ascii="仿宋_GB2312" w:eastAsia="仿宋_GB2312" w:cs="仿宋_GB2312"/>
          <w:sz w:val="32"/>
          <w:szCs w:val="32"/>
        </w:rPr>
        <w:t>7358</w:t>
      </w:r>
      <w:r>
        <w:rPr>
          <w:rFonts w:ascii="仿宋_GB2312" w:eastAsia="仿宋_GB2312" w:cs="仿宋_GB2312" w:hint="eastAsia"/>
          <w:sz w:val="32"/>
          <w:szCs w:val="32"/>
        </w:rPr>
        <w:t>.</w:t>
      </w:r>
      <w:r>
        <w:rPr>
          <w:rFonts w:ascii="仿宋_GB2312" w:eastAsia="仿宋_GB2312" w:cs="仿宋_GB2312"/>
          <w:sz w:val="32"/>
          <w:szCs w:val="32"/>
        </w:rPr>
        <w:t>92</w:t>
      </w:r>
      <w:r>
        <w:rPr>
          <w:rFonts w:ascii="仿宋_GB2312" w:eastAsia="仿宋_GB2312" w:cs="仿宋_GB2312" w:hint="eastAsia"/>
          <w:sz w:val="32"/>
          <w:szCs w:val="32"/>
        </w:rPr>
        <w:t>万元。上年结转</w:t>
      </w:r>
      <w:r>
        <w:rPr>
          <w:rFonts w:ascii="仿宋_GB2312" w:eastAsia="仿宋_GB2312" w:cs="仿宋_GB2312"/>
          <w:sz w:val="32"/>
          <w:szCs w:val="32"/>
        </w:rPr>
        <w:t>4106</w:t>
      </w:r>
      <w:r>
        <w:rPr>
          <w:rFonts w:ascii="仿宋_GB2312" w:eastAsia="仿宋_GB2312" w:cs="仿宋_GB2312" w:hint="eastAsia"/>
          <w:sz w:val="32"/>
          <w:szCs w:val="32"/>
        </w:rPr>
        <w:t>.</w:t>
      </w:r>
      <w:r>
        <w:rPr>
          <w:rFonts w:ascii="仿宋_GB2312" w:eastAsia="仿宋_GB2312" w:cs="仿宋_GB2312"/>
          <w:sz w:val="32"/>
          <w:szCs w:val="32"/>
        </w:rPr>
        <w:t>6</w:t>
      </w:r>
      <w:r>
        <w:rPr>
          <w:rFonts w:ascii="仿宋_GB2312" w:eastAsia="仿宋_GB2312" w:cs="仿宋_GB2312" w:hint="eastAsia"/>
          <w:sz w:val="32"/>
          <w:szCs w:val="32"/>
        </w:rPr>
        <w:t>6万元。</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（二）部门财政资金支出情况</w:t>
      </w:r>
    </w:p>
    <w:p>
      <w:pPr>
        <w:widowControl/>
        <w:adjustRightInd w:val="0"/>
        <w:snapToGrid w:val="0"/>
        <w:spacing w:line="576" w:lineRule="exact"/>
        <w:ind w:firstLineChars="200" w:firstLine="640"/>
        <w:contextualSpacing/>
        <w:jc w:val="left"/>
        <w:rPr>
          <w:rFonts w:ascii="仿宋_GB2312" w:eastAsia="仿宋_GB2312" w:cs="宋体"/>
          <w:b/>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2</w:t>
      </w:r>
      <w:r>
        <w:rPr>
          <w:rFonts w:ascii="仿宋_GB2312" w:eastAsia="仿宋_GB2312" w:cs="仿宋_GB2312" w:hint="eastAsia"/>
          <w:sz w:val="32"/>
          <w:szCs w:val="32"/>
        </w:rPr>
        <w:t>020年本部门财政拨款支出总计5302.95万元，其中：社会保障和就业支出46.36万元，卫生健康支出25.51万元，城乡社区支出14.34万元，农林水支出3535.07万元，住房保障支出34.56万元。其他支出227.81万元；年末结转结余6162.63万元。</w:t>
      </w:r>
    </w:p>
    <w:p>
      <w:pPr>
        <w:widowControl/>
        <w:adjustRightInd w:val="0"/>
        <w:snapToGrid w:val="0"/>
        <w:spacing w:line="576"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（一）部门预算管理</w:t>
      </w:r>
    </w:p>
    <w:p>
      <w:pPr>
        <w:widowControl/>
        <w:adjustRightInd w:val="0"/>
        <w:snapToGrid w:val="0"/>
        <w:spacing w:line="576" w:lineRule="exact"/>
        <w:ind w:firstLineChars="200" w:firstLine="640"/>
        <w:contextualSpacing/>
        <w:jc w:val="left"/>
        <w:rPr>
          <w:rFonts w:ascii="仿宋_GB2312" w:eastAsia="仿宋_GB2312" w:cs="仿宋_GB2312"/>
          <w:sz w:val="32"/>
          <w:szCs w:val="32"/>
        </w:rPr>
      </w:pPr>
      <w:r>
        <w:rPr>
          <w:rFonts w:ascii="仿宋_GB2312" w:eastAsia="仿宋_GB2312" w:cs="仿宋_GB2312" w:hint="eastAsia"/>
          <w:sz w:val="32"/>
          <w:szCs w:val="32"/>
        </w:rPr>
        <w:t>我局认真学习贯彻党的十九大精神，以习近平新时代中国特色社会主义</w:t>
      </w:r>
      <w:r>
        <w:rPr>
          <w:rFonts w:ascii="仿宋_GB2312" w:eastAsia="仿宋_GB2312" w:cs="仿宋_GB2312"/>
          <w:sz w:val="32"/>
          <w:szCs w:val="32"/>
        </w:rPr>
        <w:t>思想</w:t>
      </w:r>
      <w:r>
        <w:rPr>
          <w:rFonts w:ascii="仿宋_GB2312" w:eastAsia="仿宋_GB2312" w:cs="仿宋_GB2312" w:hint="eastAsia"/>
          <w:sz w:val="32"/>
          <w:szCs w:val="32"/>
        </w:rPr>
        <w:t>为指导，自觉践行新发展理念，根据职能职责积极谋划，确定目标任务，积极发挥公共财政职能作用，推动落实稳增长、促改革、调结构、惠民生、防风险各项工作。</w:t>
      </w:r>
      <w:r>
        <w:rPr>
          <w:rFonts w:ascii="仿宋_GB2312" w:eastAsia="仿宋_GB2312" w:cs="仿宋_GB2312" w:hint="eastAsia"/>
          <w:b/>
          <w:sz w:val="32"/>
          <w:szCs w:val="32"/>
        </w:rPr>
        <w:t>一是</w:t>
      </w:r>
      <w:r>
        <w:rPr>
          <w:rFonts w:ascii="仿宋_GB2312" w:eastAsia="仿宋_GB2312" w:cs="仿宋_GB2312" w:hint="eastAsia"/>
          <w:sz w:val="32"/>
          <w:szCs w:val="32"/>
        </w:rPr>
        <w:t>按照2020年部门预算编审要求，根据我局职能职责，结合中长期规划和年度工作计划，明确了年度主要工作任务及年度内履职所要达到的总体产出和效果，认真填报了我局整体支出绩效目标。</w:t>
      </w:r>
      <w:r>
        <w:rPr>
          <w:rFonts w:ascii="仿宋_GB2312" w:eastAsia="仿宋_GB2312" w:cs="仿宋_GB2312" w:hint="eastAsia"/>
          <w:b/>
          <w:sz w:val="32"/>
          <w:szCs w:val="32"/>
        </w:rPr>
        <w:t>二是</w:t>
      </w:r>
      <w:r>
        <w:rPr>
          <w:rFonts w:ascii="仿宋_GB2312" w:eastAsia="仿宋_GB2312" w:cs="仿宋_GB2312" w:hint="eastAsia"/>
          <w:sz w:val="32"/>
          <w:szCs w:val="32"/>
        </w:rPr>
        <w:t>按照《四川省省级预算绩效运行监控管理暂行办法》要求，认真组织开展所属单位的绩效监控工作，对项目进度、预算执行、各项效益的阶段完成情况进行监控，进一步明确项目完成目标可能性及时间。</w:t>
      </w:r>
    </w:p>
    <w:p>
      <w:pPr>
        <w:widowControl/>
        <w:adjustRightInd w:val="0"/>
        <w:snapToGrid w:val="0"/>
        <w:spacing w:line="576"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（二）结果应用情况</w:t>
      </w:r>
    </w:p>
    <w:p>
      <w:pPr>
        <w:widowControl/>
        <w:adjustRightInd w:val="0"/>
        <w:snapToGrid w:val="0"/>
        <w:spacing w:line="576" w:lineRule="exact"/>
        <w:ind w:firstLineChars="200" w:firstLine="640"/>
        <w:contextualSpacing/>
        <w:jc w:val="left"/>
        <w:rPr>
          <w:rFonts w:ascii="仿宋_GB2312" w:eastAsia="仿宋_GB2312" w:cs="仿宋_GB2312"/>
          <w:sz w:val="32"/>
          <w:szCs w:val="32"/>
        </w:rPr>
      </w:pPr>
      <w:r>
        <w:rPr>
          <w:rFonts w:ascii="仿宋_GB2312" w:eastAsia="仿宋_GB2312" w:cs="仿宋_GB2312" w:hint="eastAsia"/>
          <w:sz w:val="32"/>
          <w:szCs w:val="32"/>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不断强化绩效理念，推动我局部门整体绩效管理水平不断提升。</w:t>
      </w:r>
    </w:p>
    <w:p>
      <w:pPr>
        <w:widowControl/>
        <w:adjustRightInd w:val="0"/>
        <w:snapToGrid w:val="0"/>
        <w:spacing w:line="576"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pPr>
        <w:spacing w:line="576" w:lineRule="exact"/>
        <w:ind w:firstLine="643"/>
        <w:rPr>
          <w:rFonts w:ascii="楷体_GB2312" w:eastAsia="楷体_GB2312"/>
          <w:b/>
          <w:kern w:val="0"/>
          <w:sz w:val="32"/>
          <w:szCs w:val="32"/>
          <w:shd w:val="clear" w:color="auto" w:fill="FFFFFF"/>
          <w:lang w:val="zh-CN"/>
        </w:rPr>
      </w:pPr>
      <w:r>
        <w:rPr>
          <w:rFonts w:ascii="楷体_GB2312" w:eastAsia="楷体_GB2312" w:hint="eastAsia"/>
          <w:b/>
          <w:kern w:val="0"/>
          <w:sz w:val="32"/>
          <w:szCs w:val="32"/>
          <w:shd w:val="clear" w:color="auto" w:fill="FFFFFF"/>
          <w:lang w:val="zh-CN"/>
        </w:rPr>
        <w:t>（一）评价结论</w:t>
      </w:r>
    </w:p>
    <w:p>
      <w:pPr>
        <w:widowControl/>
        <w:adjustRightInd w:val="0"/>
        <w:snapToGrid w:val="0"/>
        <w:spacing w:line="576" w:lineRule="exact"/>
        <w:ind w:firstLineChars="200" w:firstLine="640"/>
        <w:contextualSpacing/>
        <w:jc w:val="left"/>
        <w:rPr>
          <w:rFonts w:ascii="仿宋_GB2312" w:eastAsia="仿宋_GB2312" w:cs="仿宋_GB2312"/>
          <w:sz w:val="32"/>
          <w:szCs w:val="32"/>
        </w:rPr>
      </w:pPr>
      <w:r>
        <w:rPr>
          <w:rFonts w:ascii="仿宋_GB2312" w:eastAsia="仿宋_GB2312" w:cs="仿宋_GB2312" w:hint="eastAsia"/>
          <w:sz w:val="32"/>
          <w:szCs w:val="32"/>
        </w:rPr>
        <w:t>2020年我局部门整体支出绩效评价自查自评结果良好，全年基本支出保证了部门的正常运行和日常工作的正常开展，项目支出保障了重点工作的开展，达到预期绩效目标。</w:t>
      </w:r>
    </w:p>
    <w:p>
      <w:pPr>
        <w:spacing w:line="576" w:lineRule="exact"/>
        <w:ind w:firstLine="643"/>
        <w:rPr>
          <w:rFonts w:ascii="楷体_GB2312" w:eastAsia="楷体_GB2312"/>
          <w:b/>
          <w:kern w:val="0"/>
          <w:sz w:val="32"/>
          <w:szCs w:val="32"/>
          <w:shd w:val="clear" w:color="auto" w:fill="FFFFFF"/>
          <w:lang w:val="zh-CN"/>
        </w:rPr>
      </w:pPr>
      <w:r>
        <w:rPr>
          <w:rFonts w:ascii="楷体_GB2312" w:eastAsia="楷体_GB2312" w:hint="eastAsia"/>
          <w:b/>
          <w:kern w:val="0"/>
          <w:sz w:val="32"/>
          <w:szCs w:val="32"/>
          <w:shd w:val="clear" w:color="auto" w:fill="FFFFFF"/>
          <w:lang w:val="zh-CN"/>
        </w:rPr>
        <w:t>（二）存在问题</w:t>
      </w:r>
    </w:p>
    <w:p>
      <w:pPr>
        <w:widowControl/>
        <w:adjustRightInd w:val="0"/>
        <w:snapToGrid w:val="0"/>
        <w:spacing w:line="576" w:lineRule="exact"/>
        <w:ind w:firstLineChars="200" w:firstLine="640"/>
        <w:contextualSpacing/>
        <w:jc w:val="left"/>
        <w:rPr>
          <w:rFonts w:ascii="仿宋_GB2312" w:eastAsia="仿宋_GB2312" w:cs="仿宋_GB2312"/>
          <w:sz w:val="32"/>
          <w:szCs w:val="32"/>
        </w:rPr>
      </w:pPr>
      <w:r>
        <w:rPr>
          <w:rFonts w:ascii="仿宋_GB2312" w:eastAsia="仿宋_GB2312" w:cs="仿宋_GB2312" w:hint="eastAsia"/>
          <w:sz w:val="32"/>
          <w:szCs w:val="32"/>
        </w:rPr>
        <w:t>绩效目标设定有待更科学更合理。</w:t>
      </w:r>
    </w:p>
    <w:p>
      <w:pPr>
        <w:spacing w:line="576" w:lineRule="exact"/>
        <w:ind w:firstLine="643"/>
        <w:rPr>
          <w:rFonts w:ascii="楷体_GB2312" w:eastAsia="楷体_GB2312"/>
          <w:b/>
          <w:kern w:val="0"/>
          <w:sz w:val="32"/>
          <w:szCs w:val="32"/>
          <w:shd w:val="clear" w:color="auto" w:fill="FFFFFF"/>
          <w:lang w:val="zh-CN"/>
        </w:rPr>
      </w:pPr>
      <w:r>
        <w:rPr>
          <w:rFonts w:ascii="楷体_GB2312" w:eastAsia="楷体_GB2312" w:hint="eastAsia"/>
          <w:b/>
          <w:kern w:val="0"/>
          <w:sz w:val="32"/>
          <w:szCs w:val="32"/>
          <w:shd w:val="clear" w:color="auto" w:fill="FFFFFF"/>
          <w:lang w:val="zh-CN"/>
        </w:rPr>
        <w:t>（三）改进建议</w:t>
      </w:r>
    </w:p>
    <w:p>
      <w:pPr>
        <w:widowControl/>
        <w:adjustRightInd w:val="0"/>
        <w:snapToGrid w:val="0"/>
        <w:spacing w:line="576" w:lineRule="exact"/>
        <w:ind w:firstLineChars="200" w:firstLine="640"/>
        <w:contextualSpacing/>
        <w:jc w:val="left"/>
        <w:rPr>
          <w:rFonts w:ascii="仿宋_GB2312" w:eastAsia="仿宋_GB2312" w:cs="仿宋_GB2312"/>
          <w:sz w:val="32"/>
          <w:szCs w:val="32"/>
        </w:rPr>
      </w:pPr>
      <w:r>
        <w:rPr>
          <w:rFonts w:ascii="仿宋_GB2312" w:eastAsia="仿宋_GB2312" w:cs="仿宋_GB2312" w:hint="eastAsia"/>
          <w:sz w:val="32"/>
          <w:szCs w:val="32"/>
        </w:rPr>
        <w:t>针对存在的问题，我们将进一步科学设定绩效目标，加强预算执行管理。</w:t>
      </w:r>
      <w:r>
        <w:rPr>
          <w:rFonts w:ascii="仿宋_GB2312" w:eastAsia="仿宋_GB2312" w:cs="仿宋_GB2312" w:hint="eastAsia"/>
          <w:b/>
          <w:sz w:val="32"/>
          <w:szCs w:val="32"/>
        </w:rPr>
        <w:t>一是</w:t>
      </w:r>
      <w:r>
        <w:rPr>
          <w:rFonts w:ascii="仿宋_GB2312" w:eastAsia="仿宋_GB2312" w:cs="仿宋_GB2312" w:hint="eastAsia"/>
          <w:sz w:val="32"/>
          <w:szCs w:val="32"/>
        </w:rPr>
        <w:t>改进部门收支预算，夯实预算基础工作，提高预算编制质量；</w:t>
      </w:r>
      <w:r>
        <w:rPr>
          <w:rFonts w:ascii="仿宋_GB2312" w:eastAsia="仿宋_GB2312" w:cs="仿宋_GB2312" w:hint="eastAsia"/>
          <w:b/>
          <w:sz w:val="32"/>
          <w:szCs w:val="32"/>
        </w:rPr>
        <w:t>二是</w:t>
      </w:r>
      <w:r>
        <w:rPr>
          <w:rFonts w:ascii="仿宋_GB2312" w:eastAsia="仿宋_GB2312" w:cs="仿宋_GB2312" w:hint="eastAsia"/>
          <w:sz w:val="32"/>
          <w:szCs w:val="32"/>
        </w:rPr>
        <w:t>认真研究政策，加强项目绩效审核，力求科学合理；</w:t>
      </w:r>
      <w:r>
        <w:rPr>
          <w:rFonts w:ascii="仿宋_GB2312" w:eastAsia="仿宋_GB2312" w:cs="仿宋_GB2312" w:hint="eastAsia"/>
          <w:b/>
          <w:sz w:val="32"/>
          <w:szCs w:val="32"/>
        </w:rPr>
        <w:t>三是</w:t>
      </w:r>
      <w:r>
        <w:rPr>
          <w:rFonts w:ascii="仿宋_GB2312" w:eastAsia="仿宋_GB2312" w:cs="仿宋_GB2312" w:hint="eastAsia"/>
          <w:sz w:val="32"/>
          <w:szCs w:val="32"/>
        </w:rPr>
        <w:t>认真研究重点项目的执行，提早规划，提前实施，确保项目顺利实施，提高财政资金的使用效益；</w:t>
      </w:r>
      <w:r>
        <w:rPr>
          <w:rFonts w:ascii="仿宋_GB2312" w:eastAsia="仿宋_GB2312" w:cs="仿宋_GB2312" w:hint="eastAsia"/>
          <w:b/>
          <w:sz w:val="32"/>
          <w:szCs w:val="32"/>
        </w:rPr>
        <w:t>四是</w:t>
      </w:r>
      <w:r>
        <w:rPr>
          <w:rFonts w:ascii="仿宋_GB2312" w:eastAsia="仿宋_GB2312" w:cs="仿宋_GB2312" w:hint="eastAsia"/>
          <w:sz w:val="32"/>
          <w:szCs w:val="32"/>
        </w:rPr>
        <w:t>不断建立健全内部管理制度，梳理内部管理流程，单位整体支出管理情况得到提升。</w:t>
      </w:r>
    </w:p>
    <w:p>
      <w:pPr>
        <w:widowControl/>
        <w:adjustRightInd w:val="0"/>
        <w:snapToGrid w:val="0"/>
        <w:spacing w:line="576" w:lineRule="exact"/>
        <w:ind w:firstLineChars="200" w:firstLine="640"/>
        <w:contextualSpacing/>
        <w:jc w:val="left"/>
        <w:rPr>
          <w:rFonts w:ascii="仿宋_GB2312" w:eastAsia="仿宋_GB2312" w:cs="仿宋_GB2312"/>
          <w:sz w:val="32"/>
          <w:szCs w:val="32"/>
        </w:rPr>
      </w:pPr>
    </w:p>
    <w:p>
      <w:pPr>
        <w:widowControl/>
        <w:adjustRightInd w:val="0"/>
        <w:snapToGrid w:val="0"/>
        <w:spacing w:line="576" w:lineRule="exact"/>
        <w:ind w:firstLineChars="200" w:firstLine="640"/>
        <w:contextualSpacing/>
        <w:jc w:val="left"/>
        <w:rPr>
          <w:rFonts w:ascii="仿宋_GB2312" w:eastAsia="仿宋_GB2312" w:cs="仿宋_GB2312"/>
          <w:sz w:val="32"/>
          <w:szCs w:val="32"/>
        </w:rPr>
      </w:pPr>
    </w:p>
    <w:p>
      <w:pPr>
        <w:widowControl/>
        <w:adjustRightInd w:val="0"/>
        <w:snapToGrid w:val="0"/>
        <w:spacing w:line="576" w:lineRule="exact"/>
        <w:ind w:firstLineChars="200" w:firstLine="640"/>
        <w:contextualSpacing/>
        <w:jc w:val="left"/>
        <w:rPr>
          <w:rFonts w:ascii="仿宋_GB2312" w:eastAsia="仿宋_GB2312" w:cs="仿宋_GB2312"/>
          <w:sz w:val="32"/>
          <w:szCs w:val="32"/>
        </w:rPr>
      </w:pPr>
    </w:p>
    <w:p>
      <w:pPr>
        <w:spacing w:line="576" w:lineRule="exact"/>
        <w:jc w:val="left"/>
        <w:outlineLvl w:val="0"/>
        <w:rPr>
          <w:rFonts w:ascii="黑体" w:eastAsia="黑体" w:cs="黑体"/>
          <w:sz w:val="32"/>
          <w:szCs w:val="32"/>
        </w:rPr>
      </w:pPr>
      <w:bookmarkStart w:id="121" w:name="_Toc79163883"/>
      <w:bookmarkStart w:id="122" w:name="_Toc79163633"/>
      <w:r>
        <w:rPr>
          <w:rFonts w:ascii="黑体" w:eastAsia="黑体" w:cs="黑体" w:hint="eastAsia"/>
          <w:sz w:val="32"/>
          <w:szCs w:val="32"/>
        </w:rPr>
        <w:t>附件</w:t>
      </w:r>
      <w:r>
        <w:rPr>
          <w:rFonts w:ascii="黑体" w:eastAsia="黑体" w:cs="黑体"/>
          <w:sz w:val="32"/>
          <w:szCs w:val="32"/>
        </w:rPr>
        <w:t>2</w:t>
      </w:r>
      <w:bookmarkEnd w:id="121"/>
      <w:bookmarkEnd w:id="122"/>
    </w:p>
    <w:p>
      <w:pPr>
        <w:spacing w:line="576" w:lineRule="exact"/>
        <w:jc w:val="center"/>
        <w:outlineLvl w:val="0"/>
        <w:rPr>
          <w:rFonts w:ascii="方正小标宋简体" w:eastAsia="方正小标宋简体" w:cs="仿宋_GB2312"/>
          <w:sz w:val="44"/>
          <w:szCs w:val="44"/>
        </w:rPr>
      </w:pPr>
      <w:bookmarkStart w:id="123" w:name="_Toc79163884"/>
      <w:bookmarkStart w:id="124" w:name="_Toc79163634"/>
      <w:r>
        <w:rPr>
          <w:rFonts w:ascii="方正小标宋简体" w:eastAsia="方正小标宋简体" w:cs="仿宋_GB2312" w:hint="eastAsia"/>
          <w:sz w:val="44"/>
          <w:szCs w:val="44"/>
        </w:rPr>
        <w:t>2020年中央和省财政水利发展资金</w:t>
      </w:r>
    </w:p>
    <w:p>
      <w:pPr>
        <w:spacing w:line="576" w:lineRule="exact"/>
        <w:jc w:val="center"/>
        <w:outlineLvl w:val="0"/>
        <w:rPr>
          <w:rFonts w:ascii="方正小标宋简体" w:eastAsia="方正小标宋简体" w:cs="黑体"/>
          <w:sz w:val="44"/>
          <w:szCs w:val="44"/>
        </w:rPr>
      </w:pPr>
      <w:r>
        <w:rPr>
          <w:rFonts w:ascii="方正小标宋简体" w:eastAsia="方正小标宋简体" w:cs="仿宋_GB2312" w:hint="eastAsia"/>
          <w:sz w:val="44"/>
          <w:szCs w:val="44"/>
        </w:rPr>
        <w:t>农村安全饮水维修养护</w:t>
      </w:r>
      <w:r>
        <w:rPr>
          <w:rFonts w:ascii="方正小标宋简体" w:eastAsia="方正小标宋简体" w:cs="黑体" w:hint="eastAsia"/>
          <w:sz w:val="44"/>
          <w:szCs w:val="44"/>
        </w:rPr>
        <w:t>项目绩效评价报告</w:t>
      </w:r>
      <w:bookmarkEnd w:id="123"/>
      <w:bookmarkEnd w:id="124"/>
    </w:p>
    <w:p>
      <w:pPr>
        <w:spacing w:line="576" w:lineRule="exact"/>
        <w:rPr>
          <w:rFonts w:ascii="宋体"/>
          <w:sz w:val="32"/>
          <w:szCs w:val="32"/>
          <w:lang w:val="zh-CN"/>
        </w:rPr>
      </w:pPr>
    </w:p>
    <w:p>
      <w:pPr>
        <w:adjustRightInd w:val="0"/>
        <w:snapToGrid w:val="0"/>
        <w:spacing w:line="576"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（一）项目基本情况</w:t>
      </w:r>
    </w:p>
    <w:p>
      <w:pPr>
        <w:adjustRightInd w:val="0"/>
        <w:snapToGrid w:val="0"/>
        <w:spacing w:line="576" w:lineRule="exact"/>
        <w:ind w:firstLineChars="200" w:firstLine="640"/>
        <w:rPr>
          <w:rFonts w:ascii="仿宋_GB2312" w:eastAsia="仿宋_GB2312"/>
          <w:sz w:val="32"/>
          <w:szCs w:val="32"/>
          <w:lang w:val="zh-CN"/>
        </w:rPr>
      </w:pPr>
      <w:r>
        <w:rPr>
          <w:rFonts w:ascii="仿宋_GB2312" w:eastAsia="仿宋_GB2312" w:hint="eastAsia"/>
          <w:sz w:val="32"/>
          <w:szCs w:val="32"/>
          <w:lang w:val="zh-CN"/>
        </w:rPr>
        <w:t>1．项目主管单位在该项目管理中的职能。</w:t>
      </w:r>
      <w:r>
        <w:rPr>
          <w:rFonts w:ascii="仿宋_GB2312" w:eastAsia="仿宋_GB2312" w:cs="宋体" w:hint="eastAsia"/>
          <w:kern w:val="0"/>
          <w:sz w:val="32"/>
          <w:szCs w:val="32"/>
        </w:rPr>
        <w:t>围绕县委、县政府决策部署，水务局负责提出专项资金年度初步分配建议并商财政局，由财政局报县政府审批。水务局负责提供资金分配所需的基础性材料，制定专项资金年度绩效目标，并组织开展专项资金绩效评价。</w:t>
      </w:r>
    </w:p>
    <w:p>
      <w:pPr>
        <w:adjustRightInd w:val="0"/>
        <w:snapToGrid w:val="0"/>
        <w:spacing w:line="576" w:lineRule="exact"/>
        <w:ind w:firstLine="720"/>
        <w:rPr>
          <w:rFonts w:ascii="仿宋_GB2312" w:eastAsia="仿宋_GB2312"/>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．资金安排概况。根据《阿坝州财政局阿坝州水务局关于下达2020年中央和省级水利发展资金预算的通知》下达2020年省级财政水利发展资金225万元，其中200万元用于我县受暴雨损毁的饮水工程维修养护。</w:t>
      </w:r>
    </w:p>
    <w:p>
      <w:pPr>
        <w:adjustRightInd w:val="0"/>
        <w:snapToGrid w:val="0"/>
        <w:spacing w:line="576" w:lineRule="exact"/>
        <w:ind w:firstLine="720"/>
        <w:rPr>
          <w:rFonts w:ascii="仿宋_GB2312" w:eastAsia="仿宋_GB2312"/>
          <w:sz w:val="32"/>
          <w:szCs w:val="32"/>
          <w:lang w:val="zh-CN"/>
        </w:rPr>
      </w:pPr>
      <w:r>
        <w:rPr>
          <w:rFonts w:ascii="仿宋_GB2312" w:eastAsia="仿宋_GB2312"/>
          <w:sz w:val="32"/>
          <w:szCs w:val="32"/>
          <w:lang w:val="zh-CN"/>
        </w:rPr>
        <w:t>3</w:t>
      </w:r>
      <w:r>
        <w:rPr>
          <w:rFonts w:ascii="仿宋_GB2312" w:eastAsia="仿宋_GB2312" w:hint="eastAsia"/>
          <w:sz w:val="32"/>
          <w:szCs w:val="32"/>
          <w:lang w:val="zh-CN"/>
        </w:rPr>
        <w:t>．资金分配的原则及考虑因素。</w:t>
      </w:r>
      <w:r>
        <w:rPr>
          <w:rFonts w:ascii="仿宋_GB2312" w:eastAsia="仿宋_GB2312" w:cs="宋体" w:hint="eastAsia"/>
          <w:kern w:val="0"/>
          <w:sz w:val="32"/>
          <w:szCs w:val="32"/>
        </w:rPr>
        <w:t>2019年12月24日，财政厅、水利厅联合印发《四川省省级农村饮水安全巩固提升专项资金管理暂行办法》（川财建〔2019〕327号）。资金安排遵循“突出重点、兼顾面上、因素分配”原则，按照规划任务、贫困县、建卡贫困饮水不安全人数、管理机制、自然灾害影响等因素进行资金分配，重点支持我省贫困地区农村饮水工程建设。</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（二）项目绩效目标</w:t>
      </w:r>
    </w:p>
    <w:p>
      <w:pPr>
        <w:adjustRightInd w:val="0"/>
        <w:snapToGrid w:val="0"/>
        <w:spacing w:line="576" w:lineRule="exact"/>
        <w:ind w:firstLine="720"/>
        <w:rPr>
          <w:rFonts w:ascii="仿宋_GB2312" w:eastAsia="仿宋_GB2312"/>
          <w:sz w:val="32"/>
          <w:szCs w:val="32"/>
          <w:lang w:val="zh-CN"/>
        </w:rPr>
      </w:pPr>
      <w:r>
        <w:rPr>
          <w:rFonts w:ascii="仿宋_GB2312" w:eastAsia="仿宋_GB2312" w:cs="仿宋_GB2312" w:hint="eastAsia"/>
          <w:sz w:val="32"/>
          <w:szCs w:val="32"/>
        </w:rPr>
        <w:t>恢复茂县6个镇12个项目点农村饮水安全工程的取水、净水、输水和蓄水的功能，为项目区的村民提供日常清洁安全的生活用水，解决村民用水难的问题，改善村民生产生活条件，使当地农民生活水平进一步提高。</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adjustRightInd w:val="0"/>
        <w:snapToGrid w:val="0"/>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在收集项目数据资料、细化评价指标及评价标准的基础</w:t>
      </w:r>
    </w:p>
    <w:p>
      <w:pPr>
        <w:adjustRightInd w:val="0"/>
        <w:snapToGrid w:val="0"/>
        <w:spacing w:line="576" w:lineRule="exact"/>
        <w:rPr>
          <w:rFonts w:ascii="仿宋_GB2312" w:eastAsia="仿宋_GB2312" w:cs="仿宋_GB2312"/>
          <w:sz w:val="32"/>
          <w:szCs w:val="32"/>
        </w:rPr>
      </w:pPr>
      <w:r>
        <w:rPr>
          <w:rFonts w:ascii="仿宋_GB2312" w:eastAsia="仿宋_GB2312" w:cs="仿宋_GB2312" w:hint="eastAsia"/>
          <w:sz w:val="32"/>
          <w:szCs w:val="32"/>
        </w:rPr>
        <w:t>上，深入到部分项目点，实地查看项目审批、实施及运行情</w:t>
      </w:r>
    </w:p>
    <w:p>
      <w:pPr>
        <w:adjustRightInd w:val="0"/>
        <w:snapToGrid w:val="0"/>
        <w:spacing w:line="576" w:lineRule="exact"/>
        <w:rPr>
          <w:rFonts w:ascii="仿宋_GB2312" w:eastAsia="仿宋_GB2312" w:cs="仿宋_GB2312"/>
          <w:sz w:val="32"/>
          <w:szCs w:val="32"/>
        </w:rPr>
      </w:pPr>
      <w:r>
        <w:rPr>
          <w:rFonts w:ascii="仿宋_GB2312" w:eastAsia="仿宋_GB2312" w:cs="仿宋_GB2312" w:hint="eastAsia"/>
          <w:sz w:val="32"/>
          <w:szCs w:val="32"/>
        </w:rPr>
        <w:t>况，通过汇总整理，定量和定性分析形成全县农村饮水安全</w:t>
      </w:r>
    </w:p>
    <w:p>
      <w:pPr>
        <w:adjustRightInd w:val="0"/>
        <w:snapToGrid w:val="0"/>
        <w:spacing w:line="576" w:lineRule="exact"/>
        <w:rPr>
          <w:rFonts w:ascii="仿宋_GB2312" w:eastAsia="仿宋_GB2312" w:cs="仿宋_GB2312"/>
          <w:sz w:val="32"/>
          <w:szCs w:val="32"/>
        </w:rPr>
      </w:pPr>
      <w:r>
        <w:rPr>
          <w:rFonts w:ascii="仿宋_GB2312" w:eastAsia="仿宋_GB2312" w:cs="仿宋_GB2312" w:hint="eastAsia"/>
          <w:sz w:val="32"/>
          <w:szCs w:val="32"/>
        </w:rPr>
        <w:t>专项预算项目绩效自评报告。</w:t>
      </w:r>
    </w:p>
    <w:p>
      <w:pPr>
        <w:adjustRightInd w:val="0"/>
        <w:snapToGrid w:val="0"/>
        <w:spacing w:line="576" w:lineRule="exact"/>
        <w:ind w:firstLine="720"/>
        <w:rPr>
          <w:rFonts w:ascii="黑体" w:eastAsia="黑体"/>
          <w:sz w:val="32"/>
          <w:szCs w:val="32"/>
        </w:rPr>
      </w:pPr>
      <w:r>
        <w:rPr>
          <w:rFonts w:ascii="黑体" w:eastAsia="黑体" w:hint="eastAsia"/>
          <w:sz w:val="32"/>
          <w:szCs w:val="32"/>
        </w:rPr>
        <w:t>二、项目资金申报及使用情况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（一）资金计划、到位及使用情况</w:t>
      </w:r>
    </w:p>
    <w:p>
      <w:pPr>
        <w:adjustRightInd w:val="0"/>
        <w:snapToGrid w:val="0"/>
        <w:spacing w:line="576" w:lineRule="exact"/>
        <w:ind w:firstLine="720"/>
        <w:rPr>
          <w:rFonts w:ascii="仿宋_GB2312" w:eastAsia="仿宋_GB2312"/>
          <w:sz w:val="32"/>
          <w:szCs w:val="32"/>
          <w:lang w:val="zh-CN"/>
        </w:rPr>
      </w:pPr>
      <w:r>
        <w:rPr>
          <w:rFonts w:ascii="楷体_GB2312" w:eastAsia="楷体_GB2312"/>
          <w:sz w:val="32"/>
          <w:szCs w:val="32"/>
          <w:lang w:val="zh-CN"/>
        </w:rPr>
        <w:t>1</w:t>
      </w:r>
      <w:r>
        <w:rPr>
          <w:rFonts w:ascii="楷体_GB2312" w:eastAsia="楷体_GB2312" w:hint="eastAsia"/>
          <w:sz w:val="32"/>
          <w:szCs w:val="32"/>
          <w:lang w:val="zh-CN"/>
        </w:rPr>
        <w:t>．资金到位。</w:t>
      </w:r>
      <w:r>
        <w:rPr>
          <w:rFonts w:ascii="仿宋_GB2312" w:eastAsia="仿宋_GB2312" w:hint="eastAsia"/>
          <w:sz w:val="32"/>
          <w:szCs w:val="32"/>
          <w:lang w:val="zh-CN"/>
        </w:rPr>
        <w:t>根据《阿坝州财政局阿坝州水务局关于下达2020年中央和省级水利发展资金预算的通知》下达2020年省级财政水利发展资金225万元，其中200万元用于我县受暴雨损毁的农村安全饮水工程维修养护，资金到位100%。</w:t>
      </w:r>
    </w:p>
    <w:p>
      <w:pPr>
        <w:autoSpaceDE w:val="0"/>
        <w:autoSpaceDN w:val="0"/>
        <w:adjustRightInd w:val="0"/>
        <w:spacing w:line="576" w:lineRule="exact"/>
        <w:ind w:firstLineChars="200" w:firstLine="640"/>
        <w:rPr>
          <w:rFonts w:ascii="仿宋_GB2312" w:eastAsia="仿宋_GB2312" w:cs="宋体"/>
          <w:kern w:val="0"/>
          <w:sz w:val="32"/>
          <w:szCs w:val="32"/>
        </w:rPr>
      </w:pPr>
      <w:r>
        <w:rPr>
          <w:rFonts w:ascii="楷体_GB2312" w:eastAsia="楷体_GB2312" w:hint="eastAsia"/>
          <w:sz w:val="32"/>
          <w:szCs w:val="32"/>
          <w:lang w:val="zh-CN"/>
        </w:rPr>
        <w:t>2．资金使用。</w:t>
      </w:r>
      <w:r>
        <w:rPr>
          <w:rFonts w:ascii="仿宋_GB2312" w:eastAsia="仿宋_GB2312" w:cs="宋体" w:hint="eastAsia"/>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utoSpaceDE w:val="0"/>
        <w:autoSpaceDN w:val="0"/>
        <w:adjustRightInd w:val="0"/>
        <w:spacing w:line="576" w:lineRule="exact"/>
        <w:ind w:firstLineChars="200" w:firstLine="640"/>
        <w:rPr>
          <w:rFonts w:ascii="仿宋_GB2312" w:eastAsia="仿宋_GB2312" w:cs="FZFSJW--GB1-0"/>
          <w:kern w:val="0"/>
          <w:sz w:val="32"/>
          <w:szCs w:val="32"/>
        </w:rPr>
      </w:pPr>
      <w:r>
        <w:rPr>
          <w:rFonts w:ascii="楷体_GB2312" w:eastAsia="楷体_GB2312" w:hint="eastAsia"/>
          <w:b/>
          <w:sz w:val="32"/>
          <w:szCs w:val="32"/>
          <w:lang w:val="zh-CN"/>
        </w:rPr>
        <w:t>（二）项目财务管理情况</w:t>
      </w:r>
    </w:p>
    <w:p>
      <w:pPr>
        <w:autoSpaceDE w:val="0"/>
        <w:autoSpaceDN w:val="0"/>
        <w:adjustRightInd w:val="0"/>
        <w:spacing w:line="576" w:lineRule="exact"/>
        <w:ind w:firstLineChars="200" w:firstLine="640"/>
        <w:rPr>
          <w:rFonts w:ascii="仿宋_GB2312" w:eastAsia="仿宋_GB2312" w:cs="FZFSJW--GB1-0"/>
          <w:kern w:val="0"/>
          <w:sz w:val="32"/>
          <w:szCs w:val="32"/>
        </w:rPr>
      </w:pPr>
      <w:r>
        <w:rPr>
          <w:rFonts w:ascii="仿宋_GB2312" w:eastAsia="仿宋_GB2312" w:cs="宋体" w:hint="eastAsia"/>
          <w:kern w:val="0"/>
          <w:sz w:val="32"/>
          <w:szCs w:val="32"/>
        </w:rPr>
        <w:t>项目财务管理制度基本健全，严格执行《四川省省级农村饮水安全巩固提升专项资金管理暂行办法》、《事业单位财务会计制度》等制度办法，工程预付款、进度款、尾款等严格按照合同约定、项目实施进度拨付，账务处理及时，会计核算规范。</w:t>
      </w:r>
    </w:p>
    <w:p>
      <w:pPr>
        <w:adjustRightInd w:val="0"/>
        <w:snapToGrid w:val="0"/>
        <w:spacing w:line="576" w:lineRule="exact"/>
        <w:ind w:firstLine="720"/>
        <w:rPr>
          <w:rFonts w:ascii="黑体" w:eastAsia="黑体"/>
          <w:sz w:val="32"/>
          <w:szCs w:val="32"/>
        </w:rPr>
      </w:pPr>
      <w:r>
        <w:rPr>
          <w:rFonts w:ascii="黑体" w:eastAsia="黑体" w:hint="eastAsia"/>
          <w:sz w:val="32"/>
          <w:szCs w:val="32"/>
        </w:rPr>
        <w:t>三、项目实施及管理情况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（一）项目组织架构及实施流程</w:t>
      </w:r>
    </w:p>
    <w:p>
      <w:pPr>
        <w:autoSpaceDE w:val="0"/>
        <w:autoSpaceDN w:val="0"/>
        <w:adjustRightInd w:val="0"/>
        <w:spacing w:line="576" w:lineRule="exact"/>
        <w:ind w:firstLineChars="200" w:firstLine="640"/>
        <w:rPr>
          <w:rFonts w:ascii="仿宋_GB2312" w:eastAsia="仿宋_GB2312" w:cs="FZFSJW--GB1-0"/>
          <w:kern w:val="0"/>
          <w:sz w:val="32"/>
          <w:szCs w:val="32"/>
        </w:rPr>
      </w:pPr>
      <w:r>
        <w:rPr>
          <w:rFonts w:ascii="仿宋_GB2312" w:eastAsia="仿宋_GB2312" w:cs="宋体" w:hint="eastAsia"/>
          <w:kern w:val="0"/>
          <w:sz w:val="32"/>
          <w:szCs w:val="32"/>
        </w:rPr>
        <w:t>严格按照《四川省省级农村饮水安全巩固提升专项资金管理暂行办法》组织实施，镇、村具体负责项目组织实施、建设管理、质量管理和初步验收。水务局负责监督管理、项目验收等。</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（二）项目管理情况</w:t>
      </w:r>
    </w:p>
    <w:p>
      <w:pPr>
        <w:autoSpaceDE w:val="0"/>
        <w:autoSpaceDN w:val="0"/>
        <w:adjustRightInd w:val="0"/>
        <w:spacing w:line="576"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严格遵循相关制度和项目管理规定，项目实施县政府高度重视项目推进工作，建立了主管部门牵头、相关部门联动、参建各方配合的问题协调解决机制。为有效推进项目建设，项目施工方明确工作任务、倒排工期，项目管理单位加大对项目建设监管力度，保障项目安全和质量，为项目的顺利实施打下坚实的基础。对技术难度不大、投资额度低于招投标最低限额规定的供水工程，实行村民自建。涉及政府采购的，按照政府采购相关规定执行。</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（三）项目监管情况</w:t>
      </w:r>
    </w:p>
    <w:p>
      <w:pPr>
        <w:autoSpaceDE w:val="0"/>
        <w:autoSpaceDN w:val="0"/>
        <w:adjustRightInd w:val="0"/>
        <w:spacing w:line="576" w:lineRule="exact"/>
        <w:ind w:firstLineChars="200" w:firstLine="640"/>
        <w:rPr>
          <w:rFonts w:ascii="仿宋_GB2312" w:eastAsia="仿宋_GB2312" w:cs="宋体"/>
          <w:kern w:val="0"/>
          <w:sz w:val="32"/>
          <w:szCs w:val="32"/>
        </w:rPr>
      </w:pPr>
      <w:r>
        <w:rPr>
          <w:rFonts w:ascii="仿宋_GB2312" w:eastAsia="仿宋_GB2312" w:cs="宋体" w:hint="eastAsia"/>
          <w:b/>
          <w:kern w:val="0"/>
          <w:sz w:val="32"/>
          <w:szCs w:val="32"/>
        </w:rPr>
        <w:t>一是</w:t>
      </w:r>
      <w:r>
        <w:rPr>
          <w:rFonts w:ascii="仿宋_GB2312" w:eastAsia="仿宋_GB2312" w:cs="宋体" w:hint="eastAsia"/>
          <w:kern w:val="0"/>
          <w:sz w:val="32"/>
          <w:szCs w:val="32"/>
        </w:rPr>
        <w:t>按照年度建设任务和时间节点安排，加快工程进度，按期完成年度建设任务。对已建和在建农村饮水项目全面开展质量安全排查整治，发现问题，建立台账，限期整改，确保工程质量安全。</w:t>
      </w:r>
      <w:r>
        <w:rPr>
          <w:rFonts w:ascii="仿宋_GB2312" w:eastAsia="仿宋_GB2312" w:cs="宋体" w:hint="eastAsia"/>
          <w:b/>
          <w:kern w:val="0"/>
          <w:sz w:val="32"/>
          <w:szCs w:val="32"/>
        </w:rPr>
        <w:t>二是</w:t>
      </w:r>
      <w:r>
        <w:rPr>
          <w:rFonts w:ascii="仿宋_GB2312" w:eastAsia="仿宋_GB2312" w:cs="宋体" w:hint="eastAsia"/>
          <w:kern w:val="0"/>
          <w:sz w:val="32"/>
          <w:szCs w:val="32"/>
        </w:rPr>
        <w:t>全面落实农村饮水安全管理地方人民政府的主体责任、水行政主管等部门的行业监管责任、供水单位的运行管理责任，制定农村饮水工程运行管理机构、运行管理制度，农村饮水安全保障责任体系基本建立。开展农村饮水安全巩固提升项目明察暗访、巡视及审计等工作，未发现明显问题。</w:t>
      </w:r>
    </w:p>
    <w:p>
      <w:pPr>
        <w:adjustRightInd w:val="0"/>
        <w:snapToGrid w:val="0"/>
        <w:spacing w:line="576" w:lineRule="exact"/>
        <w:ind w:firstLine="72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pPr>
        <w:adjustRightInd w:val="0"/>
        <w:snapToGrid w:val="0"/>
        <w:spacing w:line="576" w:lineRule="exact"/>
        <w:ind w:firstLine="720"/>
        <w:rPr>
          <w:rFonts w:ascii="仿宋_GB2312" w:eastAsia="仿宋_GB2312"/>
          <w:sz w:val="32"/>
          <w:szCs w:val="32"/>
          <w:lang w:val="zh-CN"/>
        </w:rPr>
      </w:pPr>
      <w:r>
        <w:rPr>
          <w:rFonts w:ascii="仿宋_GB2312" w:eastAsia="仿宋_GB2312" w:cs="仿宋_GB2312" w:hint="eastAsia"/>
          <w:sz w:val="32"/>
          <w:szCs w:val="32"/>
        </w:rPr>
        <w:t>恢复茂县6个镇12个项目点农村饮水安全工程的取水、净水、输水和蓄水的功能，为项目区的村民提供日常清洁安全的生活用水，解决村民用水难的问题，改善村民生产生活条件，使当地农民生活水平进一步提高。</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（二）项目效益情况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hint="eastAsia"/>
          <w:sz w:val="32"/>
          <w:szCs w:val="32"/>
        </w:rPr>
        <w:t>通过实施农村饮水安全巩固提升项目，提升了水量、水质、方便程度和供水保证率等指标水平，提高了农户饮水质量。该项目的实施，充分体现了党和国家对农民群众生产生活的关怀，受到了广大群众的欢迎和支持。对部分村的受益群众进行了走访和满意度调查，群众满意度达</w:t>
      </w:r>
      <w:r>
        <w:rPr>
          <w:rFonts w:ascii="仿宋_GB2312" w:eastAsia="仿宋_GB2312" w:cs="仿宋_GB2312"/>
          <w:sz w:val="32"/>
          <w:szCs w:val="32"/>
        </w:rPr>
        <w:t>95%</w:t>
      </w:r>
      <w:r>
        <w:rPr>
          <w:rFonts w:ascii="仿宋_GB2312" w:eastAsia="仿宋_GB2312" w:cs="仿宋_GB2312" w:hint="eastAsia"/>
          <w:sz w:val="32"/>
          <w:szCs w:val="32"/>
        </w:rPr>
        <w:t>及以上。</w:t>
      </w:r>
    </w:p>
    <w:p>
      <w:pPr>
        <w:adjustRightInd w:val="0"/>
        <w:snapToGrid w:val="0"/>
        <w:spacing w:line="576" w:lineRule="exact"/>
        <w:ind w:firstLine="720"/>
        <w:rPr>
          <w:rFonts w:ascii="黑体" w:eastAsia="黑体"/>
          <w:sz w:val="32"/>
          <w:szCs w:val="32"/>
        </w:rPr>
      </w:pPr>
      <w:r>
        <w:rPr>
          <w:rFonts w:ascii="黑体" w:eastAsia="黑体" w:hint="eastAsia"/>
          <w:sz w:val="32"/>
          <w:szCs w:val="32"/>
        </w:rPr>
        <w:t>五、评价结论及建议</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（一）评价结论</w:t>
      </w:r>
    </w:p>
    <w:p>
      <w:pPr>
        <w:autoSpaceDE w:val="0"/>
        <w:autoSpaceDN w:val="0"/>
        <w:adjustRightInd w:val="0"/>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总体来看，项目决策依据充分，资金分配程序明确、科学合理，资金及时到位、使用规范，项目实施管理到位、基本达到预定目标，提升了农村饮水安全水平，受到了群众的普遍支持和赞赏，取得了良好的社会效益。</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（二）存在的问题</w:t>
      </w:r>
    </w:p>
    <w:p>
      <w:pPr>
        <w:autoSpaceDE w:val="0"/>
        <w:autoSpaceDN w:val="0"/>
        <w:adjustRightInd w:val="0"/>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农村饮水安全基础薄弱。农村供水规模化程度不高，工程建设标准整体偏低，不同时期的农村供水工程建设和投入标准不同，受资金、技术等条件限制，规划选址不够合理，制水和消毒设备配套不完善，年久失修，设施老化，处理能力较差，供水保障能力普遍不高。供水水源单一，大多采用河流、小溪供水，骨干水源工程缺乏，水资源调剂能力较弱，季节性缺水和水质等问题突出。后期管理维护较困难。农村人口居住分散，供水工程管网长、扬程高，管理难度大，运行成本高，考虑到农民的承受能力，难以完全按成本收取水费，加之农村居民用水量小，工程盈利能力弱，经营效益差，很难吸引企业和社会资本投入。由于缺乏运行管理经费和专业管理人员，大部分农村供水工程主要依靠村干部或当地村民管理，工程运维困难。</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pPr>
        <w:autoSpaceDE w:val="0"/>
        <w:autoSpaceDN w:val="0"/>
        <w:adjustRightInd w:val="0"/>
        <w:spacing w:line="576" w:lineRule="exact"/>
        <w:ind w:firstLineChars="200" w:firstLine="640"/>
        <w:rPr>
          <w:rFonts w:ascii="仿宋_GB2312" w:eastAsia="仿宋_GB2312" w:cs="FZFSJW--GB1-0"/>
          <w:kern w:val="0"/>
          <w:sz w:val="32"/>
          <w:szCs w:val="32"/>
        </w:rPr>
      </w:pPr>
      <w:r>
        <w:rPr>
          <w:rFonts w:ascii="仿宋_GB2312" w:eastAsia="仿宋_GB2312" w:cs="TimesNewRomanPSMT" w:hint="eastAsia"/>
          <w:kern w:val="0"/>
          <w:sz w:val="32"/>
          <w:szCs w:val="32"/>
        </w:rPr>
        <w:t>1.</w:t>
      </w:r>
      <w:r>
        <w:rPr>
          <w:rFonts w:ascii="仿宋_GB2312" w:eastAsia="仿宋_GB2312" w:cs="宋体" w:hint="eastAsia"/>
          <w:kern w:val="0"/>
          <w:sz w:val="32"/>
          <w:szCs w:val="32"/>
        </w:rPr>
        <w:t>加大农村供水保障项目资金支持力度，实施供水工程规模化建设，有条件的地方推进城乡供水一体化，提升供水水源保障能力，为乡村振兴提供有力支撑。</w:t>
      </w:r>
    </w:p>
    <w:p>
      <w:pPr>
        <w:autoSpaceDE w:val="0"/>
        <w:autoSpaceDN w:val="0"/>
        <w:adjustRightInd w:val="0"/>
        <w:spacing w:line="576" w:lineRule="exact"/>
        <w:ind w:firstLineChars="200" w:firstLine="640"/>
        <w:rPr>
          <w:rFonts w:ascii="仿宋_GB2312" w:eastAsia="仿宋_GB2312" w:cs="FZFSJW--GB1-0"/>
          <w:kern w:val="0"/>
          <w:sz w:val="32"/>
          <w:szCs w:val="32"/>
        </w:rPr>
      </w:pPr>
      <w:r>
        <w:rPr>
          <w:rFonts w:ascii="仿宋_GB2312" w:eastAsia="仿宋_GB2312" w:cs="TimesNewRomanPSMT" w:hint="eastAsia"/>
          <w:kern w:val="0"/>
          <w:sz w:val="32"/>
          <w:szCs w:val="32"/>
        </w:rPr>
        <w:t>2.</w:t>
      </w:r>
      <w:r>
        <w:rPr>
          <w:rFonts w:ascii="仿宋_GB2312" w:eastAsia="仿宋_GB2312" w:cs="宋体" w:hint="eastAsia"/>
          <w:kern w:val="0"/>
          <w:sz w:val="32"/>
          <w:szCs w:val="32"/>
        </w:rPr>
        <w:t>将农村供水维修养护经费纳入地方财政预算，将农村集中供水工程公益事业管理岗位纳入财政补助范围，建立长效管护机制，促进工程良性运行。</w:t>
      </w:r>
    </w:p>
    <w:p>
      <w:pPr>
        <w:adjustRightInd w:val="0"/>
        <w:snapToGrid w:val="0"/>
        <w:spacing w:line="576" w:lineRule="exact"/>
        <w:ind w:firstLine="200"/>
        <w:rPr>
          <w:rFonts w:ascii="仿宋_GB2312" w:eastAsia="仿宋_GB2312"/>
          <w:sz w:val="32"/>
          <w:szCs w:val="32"/>
          <w:lang w:val="zh-CN"/>
        </w:rPr>
      </w:pPr>
    </w:p>
    <w:p>
      <w:pPr>
        <w:adjustRightInd w:val="0"/>
        <w:snapToGrid w:val="0"/>
        <w:spacing w:line="576" w:lineRule="exact"/>
        <w:ind w:firstLineChars="200" w:firstLine="640"/>
        <w:rPr>
          <w:rFonts w:ascii="仿宋_GB2312" w:eastAsia="仿宋_GB2312"/>
          <w:sz w:val="32"/>
          <w:szCs w:val="32"/>
          <w:lang w:val="zh-CN"/>
        </w:rPr>
      </w:pPr>
    </w:p>
    <w:p>
      <w:pPr>
        <w:adjustRightInd w:val="0"/>
        <w:snapToGrid w:val="0"/>
        <w:spacing w:line="576" w:lineRule="exact"/>
        <w:ind w:firstLineChars="200" w:firstLine="640"/>
        <w:rPr>
          <w:rFonts w:ascii="仿宋_GB2312" w:eastAsia="仿宋_GB2312"/>
          <w:sz w:val="32"/>
          <w:szCs w:val="32"/>
          <w:lang w:val="zh-CN"/>
        </w:rPr>
      </w:pPr>
    </w:p>
    <w:p>
      <w:pPr>
        <w:adjustRightInd w:val="0"/>
        <w:snapToGrid w:val="0"/>
        <w:spacing w:line="576" w:lineRule="exact"/>
        <w:ind w:firstLineChars="200" w:firstLine="640"/>
        <w:rPr>
          <w:rFonts w:ascii="仿宋_GB2312" w:eastAsia="仿宋_GB2312"/>
          <w:sz w:val="32"/>
          <w:szCs w:val="32"/>
          <w:lang w:val="zh-CN"/>
        </w:rPr>
      </w:pPr>
    </w:p>
    <w:p>
      <w:pPr>
        <w:adjustRightInd w:val="0"/>
        <w:snapToGrid w:val="0"/>
        <w:spacing w:line="576" w:lineRule="exact"/>
        <w:ind w:firstLineChars="200" w:firstLine="640"/>
        <w:rPr>
          <w:rFonts w:ascii="仿宋_GB2312" w:eastAsia="仿宋_GB2312"/>
          <w:sz w:val="32"/>
          <w:szCs w:val="32"/>
          <w:lang w:val="zh-CN"/>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jc w:val="center"/>
        <w:outlineLvl w:val="0"/>
        <w:rPr>
          <w:rFonts w:ascii="方正小标宋简体" w:eastAsia="方正小标宋简体" w:cs="仿宋_GB2312"/>
          <w:sz w:val="44"/>
          <w:szCs w:val="44"/>
        </w:rPr>
      </w:pPr>
      <w:r>
        <w:rPr>
          <w:rFonts w:ascii="方正小标宋简体" w:eastAsia="方正小标宋简体" w:cs="仿宋_GB2312" w:hint="eastAsia"/>
          <w:sz w:val="44"/>
          <w:szCs w:val="44"/>
        </w:rPr>
        <w:t>2020年中央预算内基建投资</w:t>
      </w:r>
    </w:p>
    <w:p>
      <w:pPr>
        <w:spacing w:line="576" w:lineRule="exact"/>
        <w:jc w:val="center"/>
        <w:outlineLvl w:val="0"/>
        <w:rPr>
          <w:rFonts w:ascii="方正小标宋简体" w:eastAsia="方正小标宋简体" w:cs="黑体"/>
          <w:sz w:val="44"/>
          <w:szCs w:val="44"/>
        </w:rPr>
      </w:pPr>
      <w:r>
        <w:rPr>
          <w:rFonts w:ascii="方正小标宋简体" w:eastAsia="方正小标宋简体" w:cs="仿宋_GB2312" w:hint="eastAsia"/>
          <w:sz w:val="44"/>
          <w:szCs w:val="44"/>
        </w:rPr>
        <w:t>岷江茂县段堤防建设</w:t>
      </w:r>
      <w:r>
        <w:rPr>
          <w:rFonts w:ascii="方正小标宋简体" w:eastAsia="方正小标宋简体" w:cs="黑体" w:hint="eastAsia"/>
          <w:sz w:val="44"/>
          <w:szCs w:val="44"/>
        </w:rPr>
        <w:t>项目绩效评价报告</w:t>
      </w:r>
    </w:p>
    <w:p>
      <w:pPr>
        <w:spacing w:line="576" w:lineRule="exact"/>
        <w:jc w:val="center"/>
        <w:outlineLvl w:val="0"/>
        <w:rPr>
          <w:rFonts w:ascii="方正小标宋简体" w:eastAsia="方正小标宋简体" w:cs="黑体"/>
          <w:sz w:val="44"/>
          <w:szCs w:val="44"/>
        </w:rPr>
      </w:pPr>
    </w:p>
    <w:p>
      <w:pPr>
        <w:adjustRightInd w:val="0"/>
        <w:snapToGrid w:val="0"/>
        <w:spacing w:line="576"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（一）项目基本情况</w:t>
      </w:r>
    </w:p>
    <w:p>
      <w:pPr>
        <w:adjustRightInd w:val="0"/>
        <w:snapToGrid w:val="0"/>
        <w:spacing w:line="576" w:lineRule="exact"/>
        <w:ind w:firstLine="720"/>
        <w:rPr>
          <w:rFonts w:ascii="仿宋_GB2312" w:eastAsia="仿宋_GB2312" w:cs="仿宋_GB2312"/>
          <w:sz w:val="32"/>
          <w:szCs w:val="32"/>
        </w:rPr>
      </w:pPr>
      <w:r>
        <w:rPr>
          <w:rFonts w:ascii="仿宋_GB2312" w:eastAsia="仿宋_GB2312" w:cs="仿宋_GB2312"/>
          <w:sz w:val="32"/>
          <w:szCs w:val="32"/>
        </w:rPr>
        <w:t>茂县位于四川省西北部，幅员面积3903.28</w:t>
      </w:r>
      <w:r>
        <w:rPr>
          <w:rFonts w:ascii="仿宋_GB2312" w:eastAsia="仿宋_GB2312" w:cs="仿宋_GB2312" w:hint="eastAsia"/>
          <w:sz w:val="32"/>
          <w:szCs w:val="32"/>
        </w:rPr>
        <w:t>平方千米</w:t>
      </w:r>
      <w:r>
        <w:rPr>
          <w:rFonts w:ascii="仿宋_GB2312" w:eastAsia="仿宋_GB2312" w:cs="仿宋_GB2312"/>
          <w:sz w:val="32"/>
          <w:szCs w:val="32"/>
        </w:rPr>
        <w:t>，人口11.16万人;主城区目前面积13.75</w:t>
      </w:r>
      <w:r>
        <w:rPr>
          <w:rFonts w:ascii="仿宋_GB2312" w:eastAsia="仿宋_GB2312" w:cs="仿宋_GB2312" w:hint="eastAsia"/>
          <w:sz w:val="32"/>
          <w:szCs w:val="32"/>
        </w:rPr>
        <w:t>平方千米</w:t>
      </w:r>
      <w:r>
        <w:rPr>
          <w:rFonts w:ascii="仿宋_GB2312" w:eastAsia="仿宋_GB2312" w:cs="仿宋_GB2312"/>
          <w:sz w:val="32"/>
          <w:szCs w:val="32"/>
        </w:rPr>
        <w:t>,人口4万人，岷江干流穿城而过，由于岷江城区河段防洪体系不完善，城区部分区域频繁受到洪水威胁，城区发展受到制约。本工程保护区位于岷江茂县城区左岸，堤防总长(2335m)，其中整治加固(1</w:t>
      </w:r>
      <w:r>
        <w:rPr>
          <w:rFonts w:ascii="仿宋_GB2312" w:eastAsia="仿宋_GB2312" w:cs="仿宋_GB2312" w:hint="eastAsia"/>
          <w:sz w:val="32"/>
          <w:szCs w:val="32"/>
        </w:rPr>
        <w:t>958</w:t>
      </w:r>
      <w:r>
        <w:rPr>
          <w:rFonts w:ascii="仿宋_GB2312" w:eastAsia="仿宋_GB2312" w:cs="仿宋_GB2312"/>
          <w:sz w:val="32"/>
          <w:szCs w:val="32"/>
        </w:rPr>
        <w:t>m)，新建堤防(</w:t>
      </w:r>
      <w:r>
        <w:rPr>
          <w:rFonts w:ascii="仿宋_GB2312" w:eastAsia="仿宋_GB2312" w:cs="仿宋_GB2312" w:hint="eastAsia"/>
          <w:sz w:val="32"/>
          <w:szCs w:val="32"/>
        </w:rPr>
        <w:t>377</w:t>
      </w:r>
      <w:r>
        <w:rPr>
          <w:rFonts w:ascii="仿宋_GB2312" w:eastAsia="仿宋_GB2312" w:cs="仿宋_GB2312"/>
          <w:sz w:val="32"/>
          <w:szCs w:val="32"/>
        </w:rPr>
        <w:t>m)，由于已建堤防没有形成防洪封闭圈，近年来河道下切原堤防基础埋深不能满足冲刷深要求，急需整治加固，尾部未建堤防区，急需新建堤防，形成防洪封闭圈，结合改善水环境和建设沿江步道，根据川发改农经[2016]11号文四川省发展和改革委员会、四川省水利厅《关于印</w:t>
      </w:r>
      <w:r>
        <w:rPr>
          <w:rFonts w:ascii="仿宋_GB2312" w:eastAsia="仿宋_GB2312" w:cs="仿宋_GB2312" w:hint="eastAsia"/>
          <w:sz w:val="32"/>
          <w:szCs w:val="32"/>
        </w:rPr>
        <w:t>发流域面积3000平方千米以上中小河流治理实施方案的通知》和《茂县城市总体规划》，建设本工程。</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（二）项目绩效目标</w:t>
      </w:r>
    </w:p>
    <w:p>
      <w:pPr>
        <w:adjustRightInd w:val="0"/>
        <w:snapToGrid w:val="0"/>
        <w:spacing w:line="576" w:lineRule="exact"/>
        <w:ind w:firstLine="720"/>
        <w:rPr>
          <w:rFonts w:ascii="仿宋_GB2312" w:eastAsia="仿宋_GB2312"/>
          <w:sz w:val="32"/>
          <w:szCs w:val="32"/>
          <w:lang w:val="zh-CN"/>
        </w:rPr>
      </w:pPr>
      <w:r>
        <w:rPr>
          <w:rFonts w:ascii="仿宋_GB2312" w:eastAsia="仿宋_GB2312"/>
          <w:sz w:val="32"/>
          <w:szCs w:val="32"/>
          <w:lang w:val="zh-CN"/>
        </w:rPr>
        <w:t>1</w:t>
      </w:r>
      <w:r>
        <w:rPr>
          <w:rFonts w:ascii="仿宋_GB2312" w:eastAsia="仿宋_GB2312" w:hint="eastAsia"/>
          <w:sz w:val="32"/>
          <w:szCs w:val="32"/>
          <w:lang w:val="zh-CN"/>
        </w:rPr>
        <w:t>．项目主要内容。</w:t>
      </w:r>
      <w:r>
        <w:rPr>
          <w:rFonts w:ascii="仿宋_GB2312" w:eastAsia="仿宋_GB2312" w:cs="仿宋_GB2312" w:hint="eastAsia"/>
          <w:sz w:val="32"/>
          <w:szCs w:val="32"/>
        </w:rPr>
        <w:t>建设岷江左岸加固和新建防洪堤2335米，上起南店坡大桥，下至G213国道新桥桥轴线左岸下游377米处，其中上段加固段长1958米，下段新建堤防377米，形成封闭防洪保护圈。</w:t>
      </w:r>
    </w:p>
    <w:p>
      <w:pPr>
        <w:adjustRightInd w:val="0"/>
        <w:snapToGrid w:val="0"/>
        <w:spacing w:line="576" w:lineRule="exact"/>
        <w:ind w:firstLine="720"/>
        <w:rPr>
          <w:rFonts w:ascii="仿宋_GB2312" w:eastAsia="仿宋_GB2312"/>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．项目应实现的具体绩效目标。</w:t>
      </w:r>
      <w:r>
        <w:rPr>
          <w:rFonts w:ascii="仿宋_GB2312" w:eastAsia="仿宋_GB2312" w:cs="仿宋_GB2312" w:hint="eastAsia"/>
          <w:sz w:val="32"/>
          <w:szCs w:val="32"/>
        </w:rPr>
        <w:t>保护区面积3.5平方千米，保护人口335人，房屋1.3万平米，经果林13亩，蔬菜种植基地2亩。</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adjustRightInd w:val="0"/>
        <w:snapToGrid w:val="0"/>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在收集项目数据资料、细化评价指标及评价标准的基础上，深入到项目点，实地查看项目审批、实施及运行情况，通过汇总整理，定量和定性分析形成岷江茂县段河堤建设专项预算项目绩效自评报告。</w:t>
      </w:r>
    </w:p>
    <w:p>
      <w:pPr>
        <w:adjustRightInd w:val="0"/>
        <w:snapToGrid w:val="0"/>
        <w:spacing w:line="576" w:lineRule="exact"/>
        <w:ind w:firstLine="720"/>
        <w:rPr>
          <w:rFonts w:ascii="黑体" w:eastAsia="黑体"/>
          <w:sz w:val="32"/>
          <w:szCs w:val="32"/>
        </w:rPr>
      </w:pPr>
      <w:r>
        <w:rPr>
          <w:rFonts w:ascii="黑体" w:eastAsia="黑体" w:hint="eastAsia"/>
          <w:sz w:val="32"/>
          <w:szCs w:val="32"/>
        </w:rPr>
        <w:t>二、项目资金申报及使用情况</w:t>
      </w:r>
    </w:p>
    <w:p>
      <w:pPr>
        <w:adjustRightInd w:val="0"/>
        <w:snapToGrid w:val="0"/>
        <w:spacing w:line="576" w:lineRule="exact"/>
        <w:ind w:firstLine="720"/>
        <w:rPr>
          <w:rFonts w:ascii="仿宋_GB2312" w:eastAsia="仿宋_GB2312"/>
          <w:sz w:val="32"/>
          <w:szCs w:val="32"/>
          <w:lang w:val="zh-CN"/>
        </w:rPr>
      </w:pPr>
      <w:r>
        <w:rPr>
          <w:rFonts w:ascii="楷体_GB2312" w:eastAsia="楷体_GB2312" w:hint="eastAsia"/>
          <w:b/>
          <w:sz w:val="32"/>
          <w:szCs w:val="32"/>
          <w:lang w:val="zh-CN"/>
        </w:rPr>
        <w:t>（一）资金计划、到位及使用情况</w:t>
      </w:r>
    </w:p>
    <w:p>
      <w:pPr>
        <w:adjustRightInd w:val="0"/>
        <w:snapToGrid w:val="0"/>
        <w:spacing w:line="576" w:lineRule="exact"/>
        <w:ind w:firstLine="720"/>
        <w:rPr>
          <w:rFonts w:ascii="仿宋_GB2312" w:eastAsia="仿宋_GB2312"/>
          <w:sz w:val="32"/>
          <w:szCs w:val="32"/>
          <w:lang w:val="zh-CN"/>
        </w:rPr>
      </w:pPr>
      <w:r>
        <w:rPr>
          <w:rFonts w:ascii="楷体_GB2312" w:eastAsia="楷体_GB2312"/>
          <w:sz w:val="32"/>
          <w:szCs w:val="32"/>
          <w:lang w:val="zh-CN"/>
        </w:rPr>
        <w:t>1</w:t>
      </w:r>
      <w:r>
        <w:rPr>
          <w:rFonts w:ascii="楷体_GB2312" w:eastAsia="楷体_GB2312" w:hint="eastAsia"/>
          <w:sz w:val="32"/>
          <w:szCs w:val="32"/>
          <w:lang w:val="zh-CN"/>
        </w:rPr>
        <w:t>．资金到位。</w:t>
      </w:r>
      <w:r>
        <w:rPr>
          <w:rFonts w:ascii="仿宋_GB2312" w:eastAsia="仿宋_GB2312" w:hint="eastAsia"/>
          <w:sz w:val="32"/>
          <w:szCs w:val="32"/>
          <w:lang w:val="zh-CN"/>
        </w:rPr>
        <w:t>根据《2020年四川省藏区专项第一批中央预算内基建投资预算通知》下达茂县岷江县城段堤防建设资金1607万元，资金到位100%。</w:t>
      </w:r>
    </w:p>
    <w:p>
      <w:pPr>
        <w:autoSpaceDE w:val="0"/>
        <w:autoSpaceDN w:val="0"/>
        <w:adjustRightInd w:val="0"/>
        <w:spacing w:line="576" w:lineRule="exact"/>
        <w:ind w:firstLineChars="200" w:firstLine="640"/>
        <w:rPr>
          <w:rFonts w:ascii="仿宋_GB2312" w:eastAsia="仿宋_GB2312" w:cs="宋体"/>
          <w:kern w:val="0"/>
          <w:sz w:val="32"/>
          <w:szCs w:val="32"/>
        </w:rPr>
      </w:pPr>
      <w:r>
        <w:rPr>
          <w:rFonts w:ascii="楷体_GB2312" w:eastAsia="楷体_GB2312" w:hint="eastAsia"/>
          <w:sz w:val="32"/>
          <w:szCs w:val="32"/>
          <w:lang w:val="zh-CN"/>
        </w:rPr>
        <w:t>2．资金使用。</w:t>
      </w:r>
      <w:r>
        <w:rPr>
          <w:rFonts w:ascii="仿宋_GB2312" w:eastAsia="仿宋_GB2312" w:cs="宋体" w:hint="eastAsia"/>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（二）项目财务管理情况</w:t>
      </w:r>
    </w:p>
    <w:p>
      <w:pPr>
        <w:autoSpaceDE w:val="0"/>
        <w:autoSpaceDN w:val="0"/>
        <w:adjustRightInd w:val="0"/>
        <w:spacing w:line="576" w:lineRule="exact"/>
        <w:ind w:firstLineChars="200" w:firstLine="640"/>
        <w:rPr>
          <w:rFonts w:ascii="仿宋_GB2312" w:eastAsia="仿宋_GB2312" w:cs="FZFSJW--GB1-0"/>
          <w:kern w:val="0"/>
          <w:sz w:val="32"/>
          <w:szCs w:val="32"/>
        </w:rPr>
      </w:pPr>
      <w:r>
        <w:rPr>
          <w:rFonts w:ascii="仿宋_GB2312" w:eastAsia="仿宋_GB2312" w:cs="宋体" w:hint="eastAsia"/>
          <w:kern w:val="0"/>
          <w:sz w:val="32"/>
          <w:szCs w:val="32"/>
        </w:rPr>
        <w:t>项目财务管理制度基本健全，严格执行《行政事业单位财务会计制度》等制度办法，工程预付款、进度款、尾款等严格按照合同约定、项目实施进度拨付，账务处理及时，会计核算规范。</w:t>
      </w:r>
    </w:p>
    <w:p>
      <w:pPr>
        <w:adjustRightInd w:val="0"/>
        <w:snapToGrid w:val="0"/>
        <w:spacing w:line="576" w:lineRule="exact"/>
        <w:ind w:firstLine="720"/>
        <w:rPr>
          <w:rFonts w:ascii="黑体" w:eastAsia="黑体"/>
          <w:sz w:val="32"/>
          <w:szCs w:val="32"/>
        </w:rPr>
      </w:pPr>
      <w:r>
        <w:rPr>
          <w:rFonts w:ascii="黑体" w:eastAsia="黑体" w:hint="eastAsia"/>
          <w:sz w:val="32"/>
          <w:szCs w:val="32"/>
        </w:rPr>
        <w:t>三、项目实施及管理情况</w:t>
      </w:r>
    </w:p>
    <w:p>
      <w:pPr>
        <w:adjustRightInd w:val="0"/>
        <w:snapToGrid w:val="0"/>
        <w:spacing w:line="576" w:lineRule="exact"/>
        <w:ind w:firstLineChars="200" w:firstLine="640"/>
        <w:rPr>
          <w:rFonts w:ascii="仿宋_GB2312" w:eastAsia="仿宋_GB2312"/>
          <w:sz w:val="32"/>
          <w:szCs w:val="32"/>
        </w:rPr>
      </w:pPr>
      <w:r>
        <w:rPr>
          <w:rFonts w:ascii="仿宋_GB2312" w:eastAsia="仿宋_GB2312" w:hint="eastAsia"/>
          <w:sz w:val="32"/>
          <w:szCs w:val="32"/>
        </w:rPr>
        <w:t>根据《河道管理条理》规定，堤防管理技按流域水系统一管理和按行政区划分级管理相结合的管理体制。本次设计的堤防工程为4-5级工程，建设管理由茂县水务服务中心负责，运行管理由茂县水务局负责。本次设计的堤防工程长2335m，设护堤人员3人，承担河堤经常性维修养护及护堤任务。经费由茂县县财政统筹解决。工程管理范围和保护范围据国务院颁发的《河道管理条例》和四川省颁发的《河道管理实施办法》，本工程的保护范围为:堤防或护岸的河道之间的水域、沙洲、滩地、行洪区、堤防、护岸及护堤地、护岸地，无工程的河道为历史最高水位以下的河道范围。</w:t>
      </w:r>
    </w:p>
    <w:p>
      <w:pPr>
        <w:adjustRightInd w:val="0"/>
        <w:snapToGrid w:val="0"/>
        <w:spacing w:line="576" w:lineRule="exact"/>
        <w:ind w:firstLineChars="200" w:firstLine="640"/>
        <w:rPr>
          <w:rFonts w:ascii="仿宋_GB2312" w:eastAsia="仿宋_GB2312"/>
          <w:sz w:val="32"/>
          <w:szCs w:val="32"/>
        </w:rPr>
      </w:pPr>
      <w:r>
        <w:rPr>
          <w:rFonts w:ascii="黑体" w:eastAsia="黑体" w:hint="eastAsia"/>
          <w:sz w:val="32"/>
          <w:szCs w:val="32"/>
        </w:rPr>
        <w:t>四、项目绩效情况</w:t>
      </w:r>
      <w:r>
        <w:rPr>
          <w:rFonts w:ascii="仿宋_GB2312" w:eastAsia="仿宋_GB2312"/>
          <w:sz w:val="32"/>
          <w:szCs w:val="32"/>
          <w:lang w:val="zh-CN"/>
        </w:rPr>
        <w:tab/>
      </w:r>
    </w:p>
    <w:p>
      <w:pPr>
        <w:adjustRightInd w:val="0"/>
        <w:snapToGrid w:val="0"/>
        <w:spacing w:line="576" w:lineRule="exact"/>
        <w:ind w:firstLine="720"/>
        <w:rPr>
          <w:rFonts w:ascii="仿宋_GB2312" w:eastAsia="仿宋_GB2312"/>
          <w:sz w:val="32"/>
          <w:szCs w:val="32"/>
        </w:rPr>
      </w:pPr>
      <w:r>
        <w:rPr>
          <w:rFonts w:ascii="仿宋_GB2312" w:eastAsia="仿宋_GB2312"/>
          <w:sz w:val="32"/>
          <w:szCs w:val="32"/>
        </w:rPr>
        <w:t>根据《防洪标准》和《堤防工程设计规范》的规定，考虑到岷江茂县段堤防工程实际情况及工程区防洪需求，工程</w:t>
      </w:r>
      <w:r>
        <w:rPr>
          <w:rFonts w:ascii="仿宋_GB2312" w:eastAsia="仿宋_GB2312" w:hint="eastAsia"/>
          <w:sz w:val="32"/>
          <w:szCs w:val="32"/>
        </w:rPr>
        <w:t>完成了</w:t>
      </w:r>
      <w:r>
        <w:rPr>
          <w:rFonts w:ascii="仿宋_GB2312" w:eastAsia="仿宋_GB2312"/>
          <w:sz w:val="32"/>
          <w:szCs w:val="32"/>
        </w:rPr>
        <w:t>岷江左岸加固和新建防洪堤2335m，上起南店大桥，下至G213国道新桥桥轴线左岸下游377m处;其中上段加固段长1958m，下段新建堤防377m;整段防洪堤封闭，整个工程形成封闭的防洪体系。保护区面积3.5km2,保护人口335人，房屋1.3万平米，经果林13亩，蔬菜种植基地2亩。</w:t>
      </w:r>
    </w:p>
    <w:p>
      <w:pPr>
        <w:adjustRightInd w:val="0"/>
        <w:snapToGrid w:val="0"/>
        <w:spacing w:line="576" w:lineRule="exact"/>
        <w:ind w:firstLine="720"/>
        <w:rPr>
          <w:rFonts w:ascii="黑体" w:eastAsia="黑体"/>
          <w:sz w:val="32"/>
          <w:szCs w:val="32"/>
        </w:rPr>
      </w:pPr>
      <w:r>
        <w:rPr>
          <w:rFonts w:ascii="黑体" w:eastAsia="黑体" w:hint="eastAsia"/>
          <w:sz w:val="32"/>
          <w:szCs w:val="32"/>
        </w:rPr>
        <w:t>五、评价结论及建议</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（一）评价结论</w:t>
      </w:r>
    </w:p>
    <w:p>
      <w:pPr>
        <w:autoSpaceDE w:val="0"/>
        <w:autoSpaceDN w:val="0"/>
        <w:adjustRightInd w:val="0"/>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项目决策依据充分，资金分配程序明确合理，资金及时到位，使用规范，项目实施管理到位，达到预定目标，受到了群众普遍支持和赞赏，取得了良好的经济效益和社会效益。</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（二）存在的问题</w:t>
      </w:r>
    </w:p>
    <w:p>
      <w:pPr>
        <w:autoSpaceDE w:val="0"/>
        <w:autoSpaceDN w:val="0"/>
        <w:adjustRightInd w:val="0"/>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后期管理维护问题较突出。由于缺乏运行管理经费和专业管理人员，后期因自然灾害损毁等，工程运维困难。</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pPr>
        <w:autoSpaceDE w:val="0"/>
        <w:autoSpaceDN w:val="0"/>
        <w:adjustRightInd w:val="0"/>
        <w:spacing w:line="576" w:lineRule="exact"/>
        <w:ind w:firstLineChars="200" w:firstLine="640"/>
        <w:rPr>
          <w:rFonts w:ascii="仿宋_GB2312" w:eastAsia="仿宋_GB2312" w:cs="FZFSJW--GB1-0"/>
          <w:kern w:val="0"/>
          <w:sz w:val="32"/>
          <w:szCs w:val="32"/>
        </w:rPr>
      </w:pPr>
      <w:r>
        <w:rPr>
          <w:rFonts w:ascii="仿宋_GB2312" w:eastAsia="仿宋_GB2312" w:cs="宋体" w:hint="eastAsia"/>
          <w:kern w:val="0"/>
          <w:sz w:val="32"/>
          <w:szCs w:val="32"/>
        </w:rPr>
        <w:t>加大堤防维修维护项目资金支持力度，县级财政将堤防维修维护经费纳入地方财政预算，建立长效管护机制，促进工程良性运行。</w:t>
      </w: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jc w:val="center"/>
        <w:outlineLvl w:val="0"/>
        <w:rPr>
          <w:rFonts w:ascii="方正小标宋简体" w:eastAsia="方正小标宋简体" w:cs="黑体"/>
          <w:sz w:val="44"/>
          <w:szCs w:val="44"/>
        </w:rPr>
      </w:pPr>
      <w:r>
        <w:rPr>
          <w:rFonts w:ascii="方正小标宋简体" w:eastAsia="方正小标宋简体" w:cs="黑体" w:hint="eastAsia"/>
          <w:sz w:val="44"/>
          <w:szCs w:val="44"/>
        </w:rPr>
        <w:t>省财政脱贫攻坚资金</w:t>
      </w:r>
    </w:p>
    <w:p>
      <w:pPr>
        <w:spacing w:line="576" w:lineRule="exact"/>
        <w:jc w:val="center"/>
        <w:outlineLvl w:val="0"/>
        <w:rPr>
          <w:rFonts w:ascii="方正小标宋简体" w:eastAsia="方正小标宋简体" w:cs="黑体"/>
          <w:sz w:val="44"/>
          <w:szCs w:val="44"/>
        </w:rPr>
      </w:pPr>
      <w:r>
        <w:rPr>
          <w:rFonts w:ascii="方正小标宋简体" w:eastAsia="方正小标宋简体" w:cs="黑体" w:hint="eastAsia"/>
          <w:sz w:val="44"/>
          <w:szCs w:val="44"/>
        </w:rPr>
        <w:t>支持藏区脱贫攻坚项目绩效评价报告</w:t>
      </w:r>
    </w:p>
    <w:p>
      <w:pPr>
        <w:spacing w:line="576" w:lineRule="exact"/>
        <w:jc w:val="center"/>
        <w:outlineLvl w:val="0"/>
        <w:rPr>
          <w:rFonts w:ascii="方正小标宋简体" w:eastAsia="方正小标宋简体" w:cs="黑体"/>
          <w:sz w:val="44"/>
          <w:szCs w:val="44"/>
        </w:rPr>
      </w:pPr>
    </w:p>
    <w:p>
      <w:pPr>
        <w:adjustRightInd w:val="0"/>
        <w:snapToGrid w:val="0"/>
        <w:spacing w:line="576"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（一）项目基本情况</w:t>
      </w:r>
    </w:p>
    <w:p>
      <w:pPr>
        <w:spacing w:line="576" w:lineRule="exact"/>
        <w:ind w:firstLineChars="200" w:firstLine="640"/>
        <w:rPr>
          <w:rFonts w:ascii="仿宋" w:eastAsia="仿宋"/>
          <w:color w:val="000000"/>
          <w:sz w:val="32"/>
          <w:szCs w:val="32"/>
        </w:rPr>
      </w:pPr>
      <w:r>
        <w:rPr>
          <w:rFonts w:ascii="仿宋" w:eastAsia="仿宋" w:hint="eastAsia"/>
          <w:color w:val="000000"/>
          <w:sz w:val="32"/>
          <w:szCs w:val="32"/>
        </w:rPr>
        <w:t>茂县属于国家集中连片特困地区高原藏区深度贫困县，解决农业产业园区农田灌溉和饮水安全问题是贫困人口脱贫奔小康最为密切的先决条件。项目建设内容：1.茂县光明镇安全饮水建设工程(省级财政脱贫攻坚资金33万元)。对中心村、上关村、马蹄村、明足村、和平村、胜利村、刀溪村输水管道</w:t>
      </w:r>
      <w:r>
        <w:rPr>
          <w:rFonts w:ascii="仿宋" w:eastAsia="仿宋"/>
          <w:color w:val="000000"/>
          <w:sz w:val="32"/>
          <w:szCs w:val="32"/>
        </w:rPr>
        <w:t>16800</w:t>
      </w:r>
      <w:r>
        <w:rPr>
          <w:rFonts w:ascii="仿宋" w:eastAsia="仿宋" w:hint="eastAsia"/>
          <w:color w:val="000000"/>
          <w:sz w:val="32"/>
          <w:szCs w:val="32"/>
        </w:rPr>
        <w:t>米进行提升改造，投资29.5万元，采购</w:t>
      </w:r>
      <w:r>
        <w:rPr>
          <w:rFonts w:ascii="仿宋" w:eastAsia="仿宋"/>
          <w:color w:val="000000"/>
          <w:sz w:val="32"/>
          <w:szCs w:val="32"/>
        </w:rPr>
        <w:t>8</w:t>
      </w:r>
      <w:r>
        <w:rPr>
          <w:rFonts w:ascii="仿宋" w:eastAsia="仿宋" w:hint="eastAsia"/>
          <w:color w:val="000000"/>
          <w:sz w:val="32"/>
          <w:szCs w:val="32"/>
        </w:rPr>
        <w:t>立方米成品储水罐</w:t>
      </w:r>
      <w:r>
        <w:rPr>
          <w:rFonts w:ascii="仿宋" w:eastAsia="仿宋"/>
          <w:color w:val="000000"/>
          <w:sz w:val="32"/>
          <w:szCs w:val="32"/>
        </w:rPr>
        <w:t>8</w:t>
      </w:r>
      <w:r>
        <w:rPr>
          <w:rFonts w:ascii="仿宋" w:eastAsia="仿宋" w:hint="eastAsia"/>
          <w:color w:val="000000"/>
          <w:sz w:val="32"/>
          <w:szCs w:val="32"/>
        </w:rPr>
        <w:t>个，投资3.5万元；2.凤南土渠系配套项目（省级财政脱贫攻坚资金514.53万元）。主要用于富顺大水沟灌区和旧蜂王沟灌区输水管道工程，完善灌区各类输水管道建设共计105.75km，计划投资514.53万元。3.茂县渭永供水工程(省级财政脱贫攻坚资金122万元）。完善茂县渭永供水工程输水线路建设，采购及安装输水管道3</w:t>
      </w:r>
      <w:r>
        <w:rPr>
          <w:rFonts w:ascii="仿宋" w:eastAsia="仿宋"/>
          <w:color w:val="000000"/>
          <w:sz w:val="32"/>
          <w:szCs w:val="32"/>
        </w:rPr>
        <w:t>km</w:t>
      </w:r>
      <w:r>
        <w:rPr>
          <w:rFonts w:ascii="仿宋" w:eastAsia="仿宋" w:hint="eastAsia"/>
          <w:color w:val="000000"/>
          <w:sz w:val="32"/>
          <w:szCs w:val="32"/>
        </w:rPr>
        <w:t>，计划投资122万元。4.特色农业产业园区安全饮水项目(省级财政脱贫攻坚资金330.47万元）:对</w:t>
      </w:r>
      <w:r>
        <w:rPr>
          <w:rFonts w:ascii="仿宋" w:eastAsia="仿宋"/>
          <w:color w:val="000000"/>
          <w:sz w:val="32"/>
          <w:szCs w:val="32"/>
        </w:rPr>
        <w:t>1</w:t>
      </w:r>
      <w:r>
        <w:rPr>
          <w:rFonts w:ascii="仿宋" w:eastAsia="仿宋" w:hint="eastAsia"/>
          <w:color w:val="000000"/>
          <w:sz w:val="32"/>
          <w:szCs w:val="32"/>
        </w:rPr>
        <w:t>5个村安全饮水工程进行提升改造，完善各类输水管道199100米，新建各类水池47口，计划投资272.47万元；治理防洪沟渠1处，计划投资58万元。其中：（1）南新镇：对攀川村安全饮水工程进行提升改造，完善各类管道4500米，新建水池1口，计划投资8.52万元。（2）渭门镇：对4个村的安全饮水工程进行提升改造，计划投资95.06万元，其中：</w:t>
      </w:r>
      <w:r>
        <w:rPr>
          <w:rFonts w:ascii="仿宋_GB2312" w:eastAsia="仿宋_GB2312" w:cs="仿宋_GB2312" w:hint="eastAsia"/>
          <w:color w:val="000000"/>
          <w:sz w:val="32"/>
          <w:szCs w:val="32"/>
        </w:rPr>
        <w:t>①</w:t>
      </w:r>
      <w:r>
        <w:rPr>
          <w:rFonts w:ascii="仿宋" w:eastAsia="仿宋" w:hint="eastAsia"/>
          <w:color w:val="000000"/>
          <w:sz w:val="32"/>
          <w:szCs w:val="32"/>
        </w:rPr>
        <w:t>道财村完善各类管道19600m，新建各类水池7口，计划投资29.1万元；</w:t>
      </w:r>
      <w:r>
        <w:rPr>
          <w:rFonts w:ascii="仿宋_GB2312" w:eastAsia="仿宋_GB2312" w:cs="仿宋_GB2312" w:hint="eastAsia"/>
          <w:color w:val="000000"/>
          <w:sz w:val="32"/>
          <w:szCs w:val="32"/>
        </w:rPr>
        <w:t>②</w:t>
      </w:r>
      <w:r>
        <w:rPr>
          <w:rFonts w:ascii="仿宋" w:eastAsia="仿宋" w:hint="eastAsia"/>
          <w:color w:val="000000"/>
          <w:sz w:val="32"/>
          <w:szCs w:val="32"/>
        </w:rPr>
        <w:t>腊普村完善各类管道36000m，计划投资19.7万元；</w:t>
      </w:r>
      <w:r>
        <w:rPr>
          <w:rFonts w:ascii="仿宋_GB2312" w:eastAsia="仿宋_GB2312" w:cs="仿宋_GB2312" w:hint="eastAsia"/>
          <w:color w:val="000000"/>
          <w:sz w:val="32"/>
          <w:szCs w:val="32"/>
        </w:rPr>
        <w:t>③</w:t>
      </w:r>
      <w:r>
        <w:rPr>
          <w:rFonts w:ascii="仿宋" w:eastAsia="仿宋" w:hint="eastAsia"/>
          <w:color w:val="000000"/>
          <w:sz w:val="32"/>
          <w:szCs w:val="32"/>
        </w:rPr>
        <w:t>细口村完善各类管道58500m，新建水池7口，计划投资44.2万元；</w:t>
      </w:r>
      <w:r>
        <w:rPr>
          <w:rFonts w:ascii="仿宋_GB2312" w:eastAsia="仿宋_GB2312" w:cs="仿宋_GB2312" w:hint="eastAsia"/>
          <w:color w:val="000000"/>
          <w:sz w:val="32"/>
          <w:szCs w:val="32"/>
        </w:rPr>
        <w:t>④</w:t>
      </w:r>
      <w:r>
        <w:rPr>
          <w:rFonts w:ascii="仿宋" w:eastAsia="仿宋" w:hint="eastAsia"/>
          <w:color w:val="000000"/>
          <w:sz w:val="32"/>
          <w:szCs w:val="32"/>
        </w:rPr>
        <w:t>德胜村完善各类管道3800m，计划投资2.06万元。（3)沙坝镇：对5个村的安全饮水工程进行提升改造及新建防洪沟渠1处，计划投资101.6万元，其中：</w:t>
      </w:r>
      <w:r>
        <w:rPr>
          <w:rFonts w:ascii="仿宋_GB2312" w:eastAsia="仿宋_GB2312" w:cs="仿宋_GB2312" w:hint="eastAsia"/>
          <w:color w:val="000000"/>
          <w:sz w:val="32"/>
          <w:szCs w:val="32"/>
        </w:rPr>
        <w:t>①</w:t>
      </w:r>
      <w:r>
        <w:rPr>
          <w:rFonts w:ascii="仿宋" w:eastAsia="仿宋" w:hint="eastAsia"/>
          <w:color w:val="000000"/>
          <w:sz w:val="32"/>
          <w:szCs w:val="32"/>
        </w:rPr>
        <w:t>白布村新建防洪沟渠1处，提升改造安全饮水1处，完善管道2000米，新建水池1口，计划投资63万元；</w:t>
      </w:r>
      <w:r>
        <w:rPr>
          <w:rFonts w:ascii="仿宋_GB2312" w:eastAsia="仿宋_GB2312" w:cs="仿宋_GB2312" w:hint="eastAsia"/>
          <w:color w:val="000000"/>
          <w:sz w:val="32"/>
          <w:szCs w:val="32"/>
        </w:rPr>
        <w:t>②</w:t>
      </w:r>
      <w:r>
        <w:rPr>
          <w:rFonts w:ascii="仿宋" w:eastAsia="仿宋" w:hint="eastAsia"/>
          <w:color w:val="000000"/>
          <w:sz w:val="32"/>
          <w:szCs w:val="32"/>
        </w:rPr>
        <w:t>龙坪村完善各类管道7500米，计划投资12万元；</w:t>
      </w:r>
      <w:r>
        <w:rPr>
          <w:rFonts w:ascii="仿宋_GB2312" w:eastAsia="仿宋_GB2312" w:cs="仿宋_GB2312" w:hint="eastAsia"/>
          <w:color w:val="000000"/>
          <w:sz w:val="32"/>
          <w:szCs w:val="32"/>
        </w:rPr>
        <w:t>③</w:t>
      </w:r>
      <w:r>
        <w:rPr>
          <w:rFonts w:ascii="仿宋" w:eastAsia="仿宋" w:hint="eastAsia"/>
          <w:color w:val="000000"/>
          <w:sz w:val="32"/>
          <w:szCs w:val="32"/>
        </w:rPr>
        <w:t>王家山村完善各类管道6700米，计划投资9万元；</w:t>
      </w:r>
      <w:r>
        <w:rPr>
          <w:rFonts w:ascii="仿宋_GB2312" w:eastAsia="仿宋_GB2312" w:cs="仿宋_GB2312" w:hint="eastAsia"/>
          <w:color w:val="000000"/>
          <w:sz w:val="32"/>
          <w:szCs w:val="32"/>
        </w:rPr>
        <w:t>④</w:t>
      </w:r>
      <w:r>
        <w:rPr>
          <w:rFonts w:ascii="仿宋" w:eastAsia="仿宋" w:hint="eastAsia"/>
          <w:color w:val="000000"/>
          <w:sz w:val="32"/>
          <w:szCs w:val="32"/>
        </w:rPr>
        <w:t>黄草坪村完善各类管道3000米，计划投资13.1万元；</w:t>
      </w:r>
      <w:r>
        <w:rPr>
          <w:rFonts w:ascii="仿宋_GB2312" w:eastAsia="仿宋_GB2312" w:cs="仿宋_GB2312" w:hint="eastAsia"/>
          <w:color w:val="000000"/>
          <w:sz w:val="32"/>
          <w:szCs w:val="32"/>
        </w:rPr>
        <w:t>⑤</w:t>
      </w:r>
      <w:r>
        <w:rPr>
          <w:rFonts w:ascii="仿宋" w:eastAsia="仿宋" w:hint="eastAsia"/>
          <w:color w:val="000000"/>
          <w:sz w:val="32"/>
          <w:szCs w:val="32"/>
        </w:rPr>
        <w:t>富布寨村各类管道3000米，计划投资4.5万元。（4）土门镇：对4个村的安全饮水工程进行提升改造，计划投资118.19万元，其中：</w:t>
      </w:r>
      <w:r>
        <w:rPr>
          <w:rFonts w:ascii="仿宋_GB2312" w:eastAsia="仿宋_GB2312" w:cs="仿宋_GB2312" w:hint="eastAsia"/>
          <w:color w:val="000000"/>
          <w:sz w:val="32"/>
          <w:szCs w:val="32"/>
        </w:rPr>
        <w:t>①</w:t>
      </w:r>
      <w:r>
        <w:rPr>
          <w:rFonts w:ascii="仿宋" w:eastAsia="仿宋" w:hint="eastAsia"/>
          <w:color w:val="000000"/>
          <w:sz w:val="32"/>
          <w:szCs w:val="32"/>
        </w:rPr>
        <w:t>联合村完善各类管道管道23700米，新建各类水池21口，计划投资48.89万元；</w:t>
      </w:r>
      <w:r>
        <w:rPr>
          <w:rFonts w:ascii="仿宋_GB2312" w:eastAsia="仿宋_GB2312" w:cs="仿宋_GB2312" w:hint="eastAsia"/>
          <w:color w:val="000000"/>
          <w:sz w:val="32"/>
          <w:szCs w:val="32"/>
        </w:rPr>
        <w:t>②</w:t>
      </w:r>
      <w:r>
        <w:rPr>
          <w:rFonts w:ascii="仿宋" w:eastAsia="仿宋" w:hint="eastAsia"/>
          <w:color w:val="000000"/>
          <w:sz w:val="32"/>
          <w:szCs w:val="32"/>
        </w:rPr>
        <w:t>亚坪村完善各类管道10800米，新建水池3口，计划投资50.24万元；</w:t>
      </w:r>
      <w:r>
        <w:rPr>
          <w:rFonts w:ascii="仿宋_GB2312" w:eastAsia="仿宋_GB2312" w:cs="仿宋_GB2312" w:hint="eastAsia"/>
          <w:color w:val="000000"/>
          <w:sz w:val="32"/>
          <w:szCs w:val="32"/>
        </w:rPr>
        <w:t>③</w:t>
      </w:r>
      <w:r>
        <w:rPr>
          <w:rFonts w:ascii="仿宋" w:eastAsia="仿宋" w:hint="eastAsia"/>
          <w:color w:val="000000"/>
          <w:sz w:val="32"/>
          <w:szCs w:val="32"/>
        </w:rPr>
        <w:t>竹包村完善管道3000米，新建水池1口，计划投资5.2万元；</w:t>
      </w:r>
      <w:r>
        <w:rPr>
          <w:rFonts w:ascii="仿宋_GB2312" w:eastAsia="仿宋_GB2312" w:cs="仿宋_GB2312" w:hint="eastAsia"/>
          <w:color w:val="000000"/>
          <w:sz w:val="32"/>
          <w:szCs w:val="32"/>
        </w:rPr>
        <w:t>④</w:t>
      </w:r>
      <w:r>
        <w:rPr>
          <w:rFonts w:ascii="仿宋" w:eastAsia="仿宋" w:hint="eastAsia"/>
          <w:color w:val="000000"/>
          <w:sz w:val="32"/>
          <w:szCs w:val="32"/>
        </w:rPr>
        <w:t>永和村完善各类管道12000米、新建水池6个，计划投资13.86万元。（5）沟口镇：对深沟村安全饮水工程进行提升改造，完善各类管道5000米，计划投资7.1万元。</w:t>
      </w:r>
    </w:p>
    <w:p>
      <w:pPr>
        <w:spacing w:line="576" w:lineRule="exact"/>
        <w:ind w:firstLine="480"/>
        <w:rPr>
          <w:rFonts w:ascii="楷体_GB2312" w:eastAsia="楷体_GB2312"/>
          <w:b/>
          <w:sz w:val="32"/>
          <w:szCs w:val="32"/>
          <w:lang w:val="zh-CN"/>
        </w:rPr>
      </w:pPr>
      <w:r>
        <w:rPr>
          <w:rFonts w:ascii="楷体_GB2312" w:eastAsia="楷体_GB2312" w:hint="eastAsia"/>
          <w:b/>
          <w:sz w:val="32"/>
          <w:szCs w:val="32"/>
          <w:lang w:val="zh-CN"/>
        </w:rPr>
        <w:t>（二）项目绩效目标</w:t>
      </w:r>
    </w:p>
    <w:p>
      <w:pPr>
        <w:spacing w:line="576" w:lineRule="exact"/>
        <w:ind w:firstLine="480"/>
        <w:rPr>
          <w:rFonts w:ascii="仿宋" w:eastAsia="仿宋"/>
          <w:color w:val="000000"/>
          <w:sz w:val="32"/>
          <w:szCs w:val="32"/>
        </w:rPr>
      </w:pPr>
      <w:r>
        <w:rPr>
          <w:rFonts w:ascii="仿宋" w:eastAsia="仿宋" w:hint="eastAsia"/>
          <w:color w:val="000000"/>
          <w:sz w:val="32"/>
          <w:szCs w:val="32"/>
        </w:rPr>
        <w:t>本工程符合民意，深得民心，让农民从中享受到改革开放的成果、政府公共财政的阳光，感受到整个社会正在向更加公平、和谐方向发展，是社会主义精神文明、物质文明的体现。是能增强党的凝聚力和向心力，密切党群、干群关系，夯实党在农村基层的执政基础，提高了党的执政能力。对于农村民主管理、民主政治建设、农村可持续发展能力起到了很好的促进作用。</w:t>
      </w:r>
    </w:p>
    <w:p>
      <w:pPr>
        <w:adjustRightInd w:val="0"/>
        <w:snapToGrid w:val="0"/>
        <w:spacing w:line="576" w:lineRule="exact"/>
        <w:ind w:firstLine="720"/>
        <w:rPr>
          <w:rFonts w:ascii="黑体" w:eastAsia="黑体"/>
          <w:sz w:val="32"/>
          <w:szCs w:val="32"/>
        </w:rPr>
      </w:pPr>
      <w:r>
        <w:rPr>
          <w:rFonts w:ascii="黑体" w:eastAsia="黑体" w:hint="eastAsia"/>
          <w:sz w:val="32"/>
          <w:szCs w:val="32"/>
        </w:rPr>
        <w:t>二、项目资金申报及使用情况</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（一）资金到位、使用情况</w:t>
      </w:r>
    </w:p>
    <w:p>
      <w:pPr>
        <w:adjustRightInd w:val="0"/>
        <w:snapToGrid w:val="0"/>
        <w:spacing w:line="576" w:lineRule="exact"/>
        <w:ind w:firstLine="720"/>
        <w:rPr>
          <w:rFonts w:ascii="仿宋_GB2312" w:eastAsia="仿宋_GB2312"/>
          <w:sz w:val="32"/>
          <w:szCs w:val="32"/>
          <w:lang w:val="zh-CN"/>
        </w:rPr>
      </w:pPr>
      <w:r>
        <w:rPr>
          <w:rFonts w:ascii="楷体_GB2312" w:eastAsia="楷体_GB2312"/>
          <w:sz w:val="32"/>
          <w:szCs w:val="32"/>
          <w:lang w:val="zh-CN"/>
        </w:rPr>
        <w:t>1</w:t>
      </w:r>
      <w:r>
        <w:rPr>
          <w:rFonts w:ascii="楷体_GB2312" w:eastAsia="楷体_GB2312" w:hint="eastAsia"/>
          <w:sz w:val="32"/>
          <w:szCs w:val="32"/>
          <w:lang w:val="zh-CN"/>
        </w:rPr>
        <w:t>．资金到位。</w:t>
      </w:r>
      <w:r>
        <w:rPr>
          <w:rFonts w:ascii="仿宋_GB2312" w:eastAsia="仿宋_GB2312" w:hint="eastAsia"/>
          <w:sz w:val="32"/>
          <w:szCs w:val="32"/>
          <w:lang w:val="zh-CN"/>
        </w:rPr>
        <w:t>根据《关于下达省财政脱贫攻坚资金支持藏区脱贫攻坚项目资金的通知》茂财农（2020）66号，下达资金1000万元，资金到位100%。</w:t>
      </w:r>
    </w:p>
    <w:p>
      <w:pPr>
        <w:autoSpaceDE w:val="0"/>
        <w:autoSpaceDN w:val="0"/>
        <w:adjustRightInd w:val="0"/>
        <w:spacing w:line="576" w:lineRule="exact"/>
        <w:ind w:firstLineChars="200" w:firstLine="640"/>
        <w:rPr>
          <w:rFonts w:ascii="仿宋_GB2312" w:eastAsia="仿宋_GB2312" w:cs="宋体"/>
          <w:kern w:val="0"/>
          <w:sz w:val="32"/>
          <w:szCs w:val="32"/>
        </w:rPr>
      </w:pPr>
      <w:r>
        <w:rPr>
          <w:rFonts w:ascii="楷体_GB2312" w:eastAsia="楷体_GB2312" w:hint="eastAsia"/>
          <w:sz w:val="32"/>
          <w:szCs w:val="32"/>
          <w:lang w:val="zh-CN"/>
        </w:rPr>
        <w:t>2．资金使用。</w:t>
      </w:r>
      <w:r>
        <w:rPr>
          <w:rFonts w:ascii="仿宋_GB2312" w:eastAsia="仿宋_GB2312" w:cs="宋体" w:hint="eastAsia"/>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（二）项目财务管理情况</w:t>
      </w:r>
    </w:p>
    <w:p>
      <w:pPr>
        <w:autoSpaceDE w:val="0"/>
        <w:autoSpaceDN w:val="0"/>
        <w:adjustRightInd w:val="0"/>
        <w:spacing w:line="576" w:lineRule="exact"/>
        <w:ind w:firstLineChars="200" w:firstLine="640"/>
        <w:rPr>
          <w:rFonts w:ascii="仿宋_GB2312" w:eastAsia="仿宋_GB2312" w:cs="FZFSJW--GB1-0"/>
          <w:kern w:val="0"/>
          <w:sz w:val="32"/>
          <w:szCs w:val="32"/>
        </w:rPr>
      </w:pPr>
      <w:r>
        <w:rPr>
          <w:rFonts w:ascii="仿宋_GB2312" w:eastAsia="仿宋_GB2312" w:cs="宋体" w:hint="eastAsia"/>
          <w:kern w:val="0"/>
          <w:sz w:val="32"/>
          <w:szCs w:val="32"/>
        </w:rPr>
        <w:t>项目财务管理制度基本健全，严格执行《行政事业单位财务会计制度》等制度办法，工程预付款、进度款、尾款等严格按照合同约定、项目实施进度拨付，账务处理及时，会计核算规范。</w:t>
      </w:r>
    </w:p>
    <w:p>
      <w:pPr>
        <w:adjustRightInd w:val="0"/>
        <w:snapToGrid w:val="0"/>
        <w:spacing w:line="576" w:lineRule="exact"/>
        <w:ind w:firstLine="720"/>
        <w:rPr>
          <w:rFonts w:ascii="黑体" w:eastAsia="黑体"/>
          <w:sz w:val="32"/>
          <w:szCs w:val="32"/>
        </w:rPr>
      </w:pPr>
      <w:r>
        <w:rPr>
          <w:rFonts w:ascii="黑体" w:eastAsia="黑体" w:hint="eastAsia"/>
          <w:sz w:val="32"/>
          <w:szCs w:val="32"/>
        </w:rPr>
        <w:t>三、项目实施及管理情况</w:t>
      </w:r>
    </w:p>
    <w:p>
      <w:pPr>
        <w:spacing w:line="576" w:lineRule="exact"/>
        <w:ind w:firstLineChars="177" w:firstLine="566"/>
        <w:rPr>
          <w:rFonts w:ascii="仿宋" w:eastAsia="仿宋"/>
          <w:color w:val="000000"/>
          <w:sz w:val="32"/>
          <w:szCs w:val="32"/>
        </w:rPr>
      </w:pPr>
      <w:r>
        <w:rPr>
          <w:rFonts w:ascii="仿宋" w:eastAsia="仿宋" w:hint="eastAsia"/>
          <w:color w:val="000000"/>
          <w:sz w:val="32"/>
          <w:szCs w:val="32"/>
        </w:rPr>
        <w:t>由县水务局作为技术指导部门，对各项目实施单位进行技术指导。通过镇申报到行业主管部门，再由行业主管部门对申报的项目进行复核，从而确定项目实施单位。</w:t>
      </w:r>
      <w:r>
        <w:rPr>
          <w:rFonts w:ascii="仿宋" w:eastAsia="仿宋" w:hint="eastAsia"/>
          <w:sz w:val="32"/>
          <w:szCs w:val="32"/>
        </w:rPr>
        <w:t>一是“一事一议”建设的项目在工程完工镇、村验收合格后，报请部门验收，待部门验收合格后按照验收合格的工程量进行结算。项目报账经项目所在镇审核同意申请，施工单位凭验收报告、工程建设相关会议纪要、公示材料、图片资料、工程量清单以及由具体建设者开具相关材料的正规发票、镇村真实性承诺函等组成的报账资料到县水务局进行报账；二是公开招投标项目按照合同完成项目建设后按照工程结算和合同约定进行资金拨付；三是管材管件及设备验收合格后支付资金的95%，剩余5%为质保金，待一年质保期满后支付。报账凭到货清单以及验收报告、供货商开具的相关材料的正规发票进行报账，由银行账户直接拨付到供货商账户，报账凭证须由乡村两级自行采购一事一议材料、询价资料、到货清单、验收人员签到表、产品质量合格证、出厂合格证、镇、村两级的领条、厂家开具材料的正规发票、质量检测监督所提供的质量检测报告等组成。</w:t>
      </w:r>
    </w:p>
    <w:p>
      <w:pPr>
        <w:adjustRightInd w:val="0"/>
        <w:snapToGrid w:val="0"/>
        <w:spacing w:line="576" w:lineRule="exact"/>
        <w:ind w:firstLine="72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pPr>
        <w:adjustRightInd w:val="0"/>
        <w:snapToGrid w:val="0"/>
        <w:spacing w:line="576" w:lineRule="exact"/>
        <w:ind w:firstLine="720"/>
        <w:rPr>
          <w:rFonts w:ascii="楷体_GB2312" w:eastAsia="楷体_GB2312"/>
          <w:b/>
          <w:sz w:val="32"/>
          <w:szCs w:val="32"/>
          <w:lang w:val="zh-CN"/>
        </w:rPr>
      </w:pPr>
      <w:r>
        <w:rPr>
          <w:rFonts w:ascii="仿宋" w:eastAsia="仿宋" w:hint="eastAsia"/>
          <w:color w:val="000000"/>
          <w:sz w:val="32"/>
          <w:szCs w:val="32"/>
        </w:rPr>
        <w:t>项目建成后可改善全县19个贫困村626户建档立卡贫困人口农田灌溉和饮水安全条件，同时可新增管护就业岗位34个，预计项目达产年效益新增产值969万元，其中建档立卡户增收137.6万元。</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（二）项目效益情况</w:t>
      </w:r>
    </w:p>
    <w:p>
      <w:pPr>
        <w:spacing w:line="576" w:lineRule="exact"/>
        <w:ind w:firstLineChars="200" w:firstLine="640"/>
        <w:rPr>
          <w:rFonts w:ascii="仿宋" w:eastAsia="仿宋"/>
          <w:color w:val="000000"/>
          <w:sz w:val="32"/>
          <w:szCs w:val="32"/>
        </w:rPr>
      </w:pPr>
      <w:r>
        <w:rPr>
          <w:rFonts w:ascii="仿宋" w:eastAsia="仿宋" w:hint="eastAsia"/>
          <w:color w:val="000000"/>
          <w:sz w:val="32"/>
          <w:szCs w:val="32"/>
        </w:rPr>
        <w:t>促进了农村基础设施建设和经济社会发展，有效的增加了水资源利用率；积极推进农业发展和农村产业结构调整，拓宽农民增收渠道，提高农民生活水平和质量。</w:t>
      </w:r>
    </w:p>
    <w:p>
      <w:pPr>
        <w:adjustRightInd w:val="0"/>
        <w:snapToGrid w:val="0"/>
        <w:spacing w:line="576" w:lineRule="exact"/>
        <w:ind w:firstLine="720"/>
        <w:rPr>
          <w:rFonts w:ascii="黑体" w:eastAsia="黑体"/>
          <w:sz w:val="32"/>
          <w:szCs w:val="32"/>
        </w:rPr>
      </w:pPr>
      <w:r>
        <w:rPr>
          <w:rFonts w:ascii="黑体" w:eastAsia="黑体" w:hint="eastAsia"/>
          <w:sz w:val="32"/>
          <w:szCs w:val="32"/>
        </w:rPr>
        <w:t>五、评价结论及建议</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（一）评价结论</w:t>
      </w:r>
    </w:p>
    <w:p>
      <w:pPr>
        <w:autoSpaceDE w:val="0"/>
        <w:autoSpaceDN w:val="0"/>
        <w:adjustRightInd w:val="0"/>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总体来看，项目决策依据充分，资金分配科学合理，资金及时到位、使用规范，项目实施管理到位、达到预定目标，受到了群众的普遍支持和赞赏，取得了良好的经济效益和社会效益。</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（二）存在的问题</w:t>
      </w:r>
    </w:p>
    <w:p>
      <w:pPr>
        <w:autoSpaceDE w:val="0"/>
        <w:autoSpaceDN w:val="0"/>
        <w:adjustRightInd w:val="0"/>
        <w:spacing w:line="576"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后期管理维护较困难，农村人口居住分散，供水工程管网长，管理难度大，运行成本高，由于缺乏运行管理经费和专业管理人员，大部分农村供水工程主要依靠村干部或当地村民管理，工程运维困难。</w:t>
      </w:r>
    </w:p>
    <w:p>
      <w:pPr>
        <w:adjustRightInd w:val="0"/>
        <w:snapToGrid w:val="0"/>
        <w:spacing w:line="576"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pPr>
        <w:autoSpaceDE w:val="0"/>
        <w:autoSpaceDN w:val="0"/>
        <w:adjustRightInd w:val="0"/>
        <w:spacing w:line="576" w:lineRule="exact"/>
        <w:ind w:firstLineChars="200" w:firstLine="640"/>
        <w:rPr>
          <w:rFonts w:ascii="仿宋_GB2312" w:eastAsia="仿宋_GB2312" w:cs="FZFSJW--GB1-0"/>
          <w:kern w:val="0"/>
          <w:sz w:val="32"/>
          <w:szCs w:val="32"/>
        </w:rPr>
      </w:pPr>
      <w:r>
        <w:rPr>
          <w:rFonts w:ascii="仿宋_GB2312" w:eastAsia="仿宋_GB2312" w:cs="宋体" w:hint="eastAsia"/>
          <w:kern w:val="0"/>
          <w:sz w:val="32"/>
          <w:szCs w:val="32"/>
        </w:rPr>
        <w:t>将维修养护经费纳入地方财政预算，建立长效管护机制，促进工程良性运行。</w:t>
      </w:r>
    </w:p>
    <w:p>
      <w:pPr>
        <w:adjustRightInd w:val="0"/>
        <w:snapToGrid w:val="0"/>
        <w:spacing w:line="576" w:lineRule="exact"/>
        <w:rPr>
          <w:rFonts w:ascii="仿宋_GB2312" w:eastAsia="仿宋_GB2312"/>
          <w:sz w:val="32"/>
          <w:szCs w:val="32"/>
          <w:lang w:val="zh-CN"/>
        </w:rPr>
      </w:pPr>
    </w:p>
    <w:p>
      <w:pPr>
        <w:spacing w:line="576" w:lineRule="exact"/>
        <w:jc w:val="center"/>
        <w:outlineLvl w:val="0"/>
        <w:rPr>
          <w:rFonts w:ascii="方正小标宋简体" w:eastAsia="方正小标宋简体" w:cs="黑体"/>
          <w:sz w:val="44"/>
          <w:szCs w:val="44"/>
        </w:rPr>
      </w:pPr>
    </w:p>
    <w:p>
      <w:pPr>
        <w:spacing w:line="576" w:lineRule="exact"/>
        <w:jc w:val="center"/>
        <w:outlineLvl w:val="0"/>
        <w:rPr>
          <w:rFonts w:ascii="方正小标宋简体" w:eastAsia="方正小标宋简体" w:cs="黑体"/>
          <w:sz w:val="44"/>
          <w:szCs w:val="44"/>
        </w:rPr>
      </w:pPr>
    </w:p>
    <w:p>
      <w:pPr>
        <w:spacing w:line="576" w:lineRule="exact"/>
        <w:jc w:val="center"/>
        <w:outlineLvl w:val="0"/>
        <w:rPr>
          <w:rFonts w:ascii="方正小标宋简体" w:eastAsia="方正小标宋简体" w:cs="黑体"/>
          <w:sz w:val="44"/>
          <w:szCs w:val="44"/>
        </w:rPr>
      </w:pPr>
    </w:p>
    <w:p>
      <w:pPr>
        <w:spacing w:line="576" w:lineRule="exact"/>
        <w:jc w:val="center"/>
        <w:outlineLvl w:val="0"/>
        <w:rPr>
          <w:rFonts w:ascii="方正小标宋简体" w:eastAsia="方正小标宋简体" w:cs="黑体"/>
          <w:sz w:val="44"/>
          <w:szCs w:val="44"/>
        </w:rPr>
      </w:pPr>
    </w:p>
    <w:p>
      <w:pPr>
        <w:spacing w:line="576" w:lineRule="exact"/>
        <w:jc w:val="center"/>
        <w:outlineLvl w:val="0"/>
        <w:rPr>
          <w:rFonts w:ascii="方正小标宋简体" w:eastAsia="方正小标宋简体" w:cs="黑体"/>
          <w:sz w:val="44"/>
          <w:szCs w:val="44"/>
        </w:rPr>
      </w:pPr>
    </w:p>
    <w:p>
      <w:pPr>
        <w:spacing w:line="576" w:lineRule="exact"/>
        <w:jc w:val="center"/>
        <w:outlineLvl w:val="0"/>
        <w:rPr>
          <w:rFonts w:ascii="方正小标宋简体" w:eastAsia="方正小标宋简体" w:cs="黑体"/>
          <w:sz w:val="44"/>
          <w:szCs w:val="44"/>
        </w:rPr>
      </w:pPr>
    </w:p>
    <w:p>
      <w:pPr>
        <w:spacing w:line="576" w:lineRule="exact"/>
        <w:jc w:val="center"/>
        <w:outlineLvl w:val="0"/>
        <w:rPr>
          <w:rFonts w:ascii="方正小标宋简体" w:eastAsia="方正小标宋简体" w:cs="黑体"/>
          <w:sz w:val="44"/>
          <w:szCs w:val="44"/>
        </w:rPr>
      </w:pPr>
    </w:p>
    <w:p>
      <w:pPr>
        <w:spacing w:line="576" w:lineRule="exact"/>
        <w:jc w:val="center"/>
        <w:outlineLvl w:val="0"/>
        <w:rPr>
          <w:rFonts w:ascii="方正小标宋简体" w:eastAsia="方正小标宋简体" w:cs="黑体"/>
          <w:sz w:val="44"/>
          <w:szCs w:val="44"/>
        </w:rPr>
      </w:pPr>
    </w:p>
    <w:p>
      <w:pPr>
        <w:spacing w:line="576" w:lineRule="exact"/>
        <w:jc w:val="center"/>
        <w:outlineLvl w:val="0"/>
        <w:rPr>
          <w:rFonts w:ascii="方正小标宋简体" w:eastAsia="方正小标宋简体" w:cs="黑体"/>
          <w:sz w:val="44"/>
          <w:szCs w:val="44"/>
        </w:rPr>
      </w:pPr>
      <w:r>
        <w:rPr>
          <w:rFonts w:ascii="方正小标宋简体" w:eastAsia="方正小标宋简体" w:cs="黑体" w:hint="eastAsia"/>
          <w:sz w:val="44"/>
          <w:szCs w:val="44"/>
        </w:rPr>
        <w:t>岷江县城规划区域内河道</w:t>
      </w:r>
    </w:p>
    <w:p>
      <w:pPr>
        <w:spacing w:line="576" w:lineRule="exact"/>
        <w:jc w:val="center"/>
        <w:outlineLvl w:val="0"/>
        <w:rPr>
          <w:rFonts w:ascii="方正小标宋简体" w:eastAsia="方正小标宋简体" w:cs="黑体"/>
          <w:sz w:val="44"/>
          <w:szCs w:val="44"/>
        </w:rPr>
      </w:pPr>
      <w:r>
        <w:rPr>
          <w:rFonts w:ascii="方正小标宋简体" w:eastAsia="方正小标宋简体" w:cs="黑体" w:hint="eastAsia"/>
          <w:sz w:val="44"/>
          <w:szCs w:val="44"/>
        </w:rPr>
        <w:t>环境卫生整治项目绩效评价报告</w:t>
      </w:r>
    </w:p>
    <w:p>
      <w:pPr>
        <w:spacing w:line="576" w:lineRule="exact"/>
        <w:ind w:firstLineChars="200" w:firstLine="640"/>
        <w:rPr>
          <w:rFonts w:ascii="宋体"/>
          <w:sz w:val="32"/>
          <w:szCs w:val="32"/>
        </w:rPr>
      </w:pPr>
    </w:p>
    <w:p>
      <w:pPr>
        <w:adjustRightInd w:val="0"/>
        <w:snapToGrid w:val="0"/>
        <w:spacing w:line="576" w:lineRule="exact"/>
        <w:ind w:firstLineChars="200" w:firstLine="64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（一）项目基本情况</w:t>
      </w:r>
    </w:p>
    <w:p>
      <w:pPr>
        <w:spacing w:line="576" w:lineRule="exact"/>
        <w:ind w:firstLineChars="200" w:firstLine="640"/>
        <w:rPr>
          <w:rFonts w:ascii="仿宋_GB2312" w:eastAsia="仿宋_GB2312" w:cs="仿宋_GB2312"/>
          <w:sz w:val="32"/>
          <w:szCs w:val="32"/>
        </w:rPr>
      </w:pPr>
      <w:r>
        <w:rPr>
          <w:rFonts w:ascii="仿宋_GB2312" w:eastAsia="仿宋_GB2312" w:hint="eastAsia"/>
          <w:sz w:val="32"/>
          <w:szCs w:val="32"/>
        </w:rPr>
        <w:t>为加强我县生态文明建设，提高城市品位，促进全域旅游发展,决定开展岷江茂县县城规划区内河道、河边环境卫生整治项目，项目内容为</w:t>
      </w:r>
      <w:r>
        <w:rPr>
          <w:rFonts w:ascii="仿宋_GB2312" w:eastAsia="仿宋_GB2312" w:cs="仿宋_GB2312" w:hint="eastAsia"/>
          <w:sz w:val="32"/>
          <w:szCs w:val="32"/>
        </w:rPr>
        <w:t>县城内静州大桥沟、水巷子防洪沟、龙洞沟、南店村青沙沟、水西村大沟、坪头村药沟、岷江河道、河边县城规划区内六条河沟环境卫生，切实改善县城民居生活环境，保证泄洪通道畅通。</w:t>
      </w:r>
    </w:p>
    <w:p>
      <w:pPr>
        <w:spacing w:line="576" w:lineRule="exact"/>
        <w:ind w:firstLineChars="200" w:firstLine="640"/>
        <w:rPr>
          <w:rFonts w:ascii="仿宋_GB2312" w:eastAsia="仿宋_GB2312" w:cs="仿宋_GB2312"/>
          <w:sz w:val="32"/>
          <w:szCs w:val="32"/>
        </w:rPr>
      </w:pPr>
      <w:r>
        <w:rPr>
          <w:rFonts w:ascii="楷体_GB2312" w:eastAsia="楷体_GB2312" w:hint="eastAsia"/>
          <w:b/>
          <w:sz w:val="32"/>
          <w:szCs w:val="32"/>
          <w:lang w:val="zh-CN"/>
        </w:rPr>
        <w:t>（二）项目绩效目标</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1.沿岸村庄垃圾转运要求：因地制宜配备必要的保洁设施，确保沿途村庄垃圾日产日清。</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2.河道垃圾清理要求：及时清理打捞河道漂浮垃圾，确保河道水面无漂浮垃圾，沿线无积存散落垃圾。</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3.河道沿线公路、游道保洁要求：加强道路的清扫清洗，确保路面干净。</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4.考核考评要求：安排专人巡查，确保河道无漂浮垃圾沿线无成堆裸露垃圾，无群众投诉。</w:t>
      </w:r>
    </w:p>
    <w:p>
      <w:pPr>
        <w:adjustRightInd w:val="0"/>
        <w:snapToGrid w:val="0"/>
        <w:spacing w:line="576" w:lineRule="exact"/>
        <w:ind w:firstLineChars="200" w:firstLine="640"/>
        <w:rPr>
          <w:rFonts w:ascii="黑体" w:eastAsia="黑体"/>
          <w:sz w:val="32"/>
          <w:szCs w:val="32"/>
        </w:rPr>
      </w:pPr>
      <w:r>
        <w:rPr>
          <w:rFonts w:ascii="黑体" w:eastAsia="黑体" w:hint="eastAsia"/>
          <w:sz w:val="32"/>
          <w:szCs w:val="32"/>
        </w:rPr>
        <w:t>二、项目资金申报及使用情况</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（一）资金到、位使用情况</w:t>
      </w:r>
    </w:p>
    <w:p>
      <w:pPr>
        <w:adjustRightInd w:val="0"/>
        <w:snapToGrid w:val="0"/>
        <w:spacing w:line="576" w:lineRule="exact"/>
        <w:ind w:firstLineChars="200" w:firstLine="640"/>
        <w:rPr>
          <w:rFonts w:ascii="仿宋_GB2312" w:eastAsia="仿宋_GB2312"/>
          <w:sz w:val="32"/>
          <w:szCs w:val="32"/>
          <w:lang w:val="zh-CN"/>
        </w:rPr>
      </w:pPr>
      <w:r>
        <w:rPr>
          <w:rFonts w:ascii="楷体_GB2312" w:eastAsia="楷体_GB2312"/>
          <w:sz w:val="32"/>
          <w:szCs w:val="32"/>
          <w:lang w:val="zh-CN"/>
        </w:rPr>
        <w:t>1</w:t>
      </w:r>
      <w:r>
        <w:rPr>
          <w:rFonts w:ascii="楷体_GB2312" w:eastAsia="楷体_GB2312" w:hint="eastAsia"/>
          <w:sz w:val="32"/>
          <w:szCs w:val="32"/>
          <w:lang w:val="zh-CN"/>
        </w:rPr>
        <w:t>．资金到位。</w:t>
      </w:r>
      <w:r>
        <w:rPr>
          <w:rFonts w:ascii="仿宋_GB2312" w:eastAsia="仿宋_GB2312" w:hint="eastAsia"/>
          <w:sz w:val="32"/>
          <w:szCs w:val="32"/>
          <w:lang w:val="zh-CN"/>
        </w:rPr>
        <w:t>根据茂财预金（2020）12069号，安排茂县水务局岷江茂县县城段河道、河边环境卫生整治费用57.7692万元，资金到位100%。</w:t>
      </w:r>
    </w:p>
    <w:p>
      <w:pPr>
        <w:autoSpaceDE w:val="0"/>
        <w:autoSpaceDN w:val="0"/>
        <w:adjustRightInd w:val="0"/>
        <w:spacing w:line="576" w:lineRule="exact"/>
        <w:ind w:firstLineChars="200" w:firstLine="640"/>
        <w:rPr>
          <w:rFonts w:ascii="仿宋_GB2312" w:eastAsia="仿宋_GB2312" w:cs="宋体"/>
          <w:kern w:val="0"/>
          <w:sz w:val="32"/>
          <w:szCs w:val="32"/>
        </w:rPr>
      </w:pPr>
      <w:r>
        <w:rPr>
          <w:rFonts w:ascii="楷体_GB2312" w:eastAsia="楷体_GB2312" w:hint="eastAsia"/>
          <w:sz w:val="32"/>
          <w:szCs w:val="32"/>
          <w:lang w:val="zh-CN"/>
        </w:rPr>
        <w:t>2．资金使用。</w:t>
      </w:r>
      <w:r>
        <w:rPr>
          <w:rFonts w:ascii="仿宋_GB2312" w:eastAsia="仿宋_GB2312" w:cs="宋体" w:hint="eastAsia"/>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（二）项目财务管理情况</w:t>
      </w:r>
    </w:p>
    <w:p>
      <w:pPr>
        <w:autoSpaceDE w:val="0"/>
        <w:autoSpaceDN w:val="0"/>
        <w:adjustRightInd w:val="0"/>
        <w:spacing w:line="576" w:lineRule="exact"/>
        <w:ind w:firstLineChars="200" w:firstLine="640"/>
        <w:rPr>
          <w:rFonts w:ascii="仿宋_GB2312" w:eastAsia="仿宋_GB2312" w:cs="FZFSJW--GB1-0"/>
          <w:kern w:val="0"/>
          <w:sz w:val="32"/>
          <w:szCs w:val="32"/>
        </w:rPr>
      </w:pPr>
      <w:r>
        <w:rPr>
          <w:rFonts w:ascii="仿宋_GB2312" w:eastAsia="仿宋_GB2312" w:cs="宋体" w:hint="eastAsia"/>
          <w:kern w:val="0"/>
          <w:sz w:val="32"/>
          <w:szCs w:val="32"/>
        </w:rPr>
        <w:t>项目财务管理制度基本健全，严格执行《行政事业单位财务会计制度》等制度办法，工程预付款、进度款、尾款等严格按照合同约定、项目实施进度拨付，账务处理及时，会计核算规范。</w:t>
      </w:r>
    </w:p>
    <w:p>
      <w:pPr>
        <w:adjustRightInd w:val="0"/>
        <w:snapToGrid w:val="0"/>
        <w:spacing w:line="576" w:lineRule="exact"/>
        <w:ind w:firstLineChars="200" w:firstLine="640"/>
        <w:rPr>
          <w:rFonts w:ascii="黑体" w:eastAsia="黑体"/>
          <w:sz w:val="32"/>
          <w:szCs w:val="32"/>
        </w:rPr>
      </w:pPr>
      <w:r>
        <w:rPr>
          <w:rFonts w:ascii="黑体" w:eastAsia="黑体" w:hint="eastAsia"/>
          <w:sz w:val="32"/>
          <w:szCs w:val="32"/>
        </w:rPr>
        <w:t>三、项目实施及管理情况</w:t>
      </w:r>
    </w:p>
    <w:p>
      <w:pPr>
        <w:autoSpaceDE w:val="0"/>
        <w:autoSpaceDN w:val="0"/>
        <w:adjustRightInd w:val="0"/>
        <w:spacing w:line="576"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为了完成县城河道、河边环境卫生整治工作目标，制订了实施方案，明确分管领导和专门工作人员，将县城河道、河边环境卫生整治工作纳入了重要日程，领导具体抓、靠前指挥，工作人员具体负责。根据茂县城市环境卫生管理制度的要求，推动了工作纵深开展，进一步改善了城乡环境卫生质量，提升了县城形象。</w:t>
      </w:r>
    </w:p>
    <w:p>
      <w:pPr>
        <w:adjustRightInd w:val="0"/>
        <w:snapToGrid w:val="0"/>
        <w:spacing w:line="576" w:lineRule="exact"/>
        <w:ind w:firstLineChars="200" w:firstLine="64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（一）项目完成情况</w:t>
      </w:r>
    </w:p>
    <w:p>
      <w:pPr>
        <w:adjustRightInd w:val="0"/>
        <w:snapToGrid w:val="0"/>
        <w:spacing w:line="576" w:lineRule="exact"/>
        <w:ind w:firstLineChars="200" w:firstLine="640"/>
        <w:rPr>
          <w:rFonts w:ascii="仿宋_GB2312" w:eastAsia="仿宋_GB2312"/>
          <w:sz w:val="32"/>
          <w:szCs w:val="32"/>
        </w:rPr>
      </w:pPr>
      <w:r>
        <w:rPr>
          <w:rFonts w:ascii="仿宋_GB2312" w:eastAsia="仿宋_GB2312" w:hint="eastAsia"/>
          <w:sz w:val="32"/>
          <w:szCs w:val="32"/>
        </w:rPr>
        <w:t>改善了</w:t>
      </w:r>
      <w:r>
        <w:rPr>
          <w:rFonts w:ascii="仿宋_GB2312" w:eastAsia="仿宋_GB2312" w:cs="仿宋_GB2312" w:hint="eastAsia"/>
          <w:sz w:val="32"/>
          <w:szCs w:val="32"/>
        </w:rPr>
        <w:t>县城内静州大桥沟、水巷子防洪沟、龙洞沟、南店村青沙沟、水西村大沟、坪头村药沟、岷江河道、河边县城规划区内六条河沟环境卫生，切实改善县城民居生活环境，保证泄洪通道畅通。</w:t>
      </w:r>
      <w:r>
        <w:rPr>
          <w:rFonts w:ascii="仿宋_GB2312" w:eastAsia="仿宋_GB2312" w:hint="eastAsia"/>
          <w:sz w:val="32"/>
          <w:szCs w:val="32"/>
        </w:rPr>
        <w:t>切实解决环境“脏、乱、差”问题；切实达到河道无裸露垃圾、无污水溢流、有绿色照明、有良好秩序、有长效机制。</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（二）项目效益情况</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城镇人居环境得到改善，群众的幸福指数提高；生活质量得到提高，群众素质不断提高；城乡差距逐步缩小，城乡一体化发展趋势明显</w:t>
      </w:r>
    </w:p>
    <w:p>
      <w:pPr>
        <w:adjustRightInd w:val="0"/>
        <w:snapToGrid w:val="0"/>
        <w:spacing w:line="576" w:lineRule="exact"/>
        <w:ind w:firstLineChars="200" w:firstLine="640"/>
        <w:rPr>
          <w:rFonts w:ascii="黑体" w:eastAsia="黑体"/>
          <w:sz w:val="32"/>
          <w:szCs w:val="32"/>
        </w:rPr>
      </w:pPr>
      <w:r>
        <w:rPr>
          <w:rFonts w:ascii="黑体" w:eastAsia="黑体" w:hint="eastAsia"/>
          <w:sz w:val="32"/>
          <w:szCs w:val="32"/>
        </w:rPr>
        <w:t>五、评价结论及建议</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（一）评价结论</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通过制定规划、方案和年度绩效评价目标，为河道环境卫生可持续保持打下了基础，要科学管理，严格落实措施是搞好河道环境卫生实施的关键。</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（二）存在的问题</w:t>
      </w:r>
    </w:p>
    <w:p>
      <w:pPr>
        <w:adjustRightInd w:val="0"/>
        <w:snapToGrid w:val="0"/>
        <w:spacing w:line="576" w:lineRule="exact"/>
        <w:ind w:firstLineChars="200" w:firstLine="640"/>
        <w:rPr>
          <w:rFonts w:ascii="楷体_GB2312" w:eastAsia="楷体_GB2312"/>
          <w:b/>
          <w:sz w:val="32"/>
          <w:szCs w:val="32"/>
          <w:lang w:val="zh-CN"/>
        </w:rPr>
      </w:pPr>
      <w:r>
        <w:rPr>
          <w:rFonts w:ascii="仿宋_GB2312" w:eastAsia="仿宋_GB2312" w:hint="eastAsia"/>
          <w:sz w:val="32"/>
          <w:szCs w:val="32"/>
        </w:rPr>
        <w:t>河道上游未进行重点整治，漂浮垃圾难管控；河道入口处较多，拦污设施不完善；沿岸部分村民环保意识不强。</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（三）相关建议</w:t>
      </w:r>
    </w:p>
    <w:p>
      <w:pPr>
        <w:spacing w:line="576" w:lineRule="exact"/>
        <w:ind w:firstLineChars="200" w:firstLine="640"/>
        <w:rPr>
          <w:rFonts w:ascii="仿宋_GB2312" w:eastAsia="仿宋_GB2312"/>
          <w:sz w:val="32"/>
          <w:szCs w:val="32"/>
        </w:rPr>
      </w:pPr>
      <w:r>
        <w:rPr>
          <w:rFonts w:ascii="仿宋_GB2312" w:eastAsia="仿宋_GB2312" w:hint="eastAsia"/>
          <w:b/>
          <w:sz w:val="32"/>
          <w:szCs w:val="32"/>
        </w:rPr>
        <w:t>一是</w:t>
      </w:r>
      <w:r>
        <w:rPr>
          <w:rFonts w:ascii="仿宋_GB2312" w:eastAsia="仿宋_GB2312" w:hint="eastAsia"/>
          <w:sz w:val="32"/>
          <w:szCs w:val="32"/>
        </w:rPr>
        <w:t>进一步加大宣传力度，提高沿线村民环保意识。</w:t>
      </w:r>
      <w:r>
        <w:rPr>
          <w:rFonts w:ascii="仿宋_GB2312" w:eastAsia="仿宋_GB2312" w:hint="eastAsia"/>
          <w:b/>
          <w:sz w:val="32"/>
          <w:szCs w:val="32"/>
        </w:rPr>
        <w:t>二是</w:t>
      </w:r>
      <w:r>
        <w:rPr>
          <w:rFonts w:ascii="仿宋_GB2312" w:eastAsia="仿宋_GB2312" w:hint="eastAsia"/>
          <w:sz w:val="32"/>
          <w:szCs w:val="32"/>
        </w:rPr>
        <w:t>加大经费投入，完善配套设施。</w:t>
      </w:r>
      <w:r>
        <w:rPr>
          <w:rFonts w:ascii="仿宋_GB2312" w:eastAsia="仿宋_GB2312" w:hint="eastAsia"/>
          <w:b/>
          <w:sz w:val="32"/>
          <w:szCs w:val="32"/>
        </w:rPr>
        <w:t>三是</w:t>
      </w:r>
      <w:r>
        <w:rPr>
          <w:rFonts w:ascii="仿宋_GB2312" w:eastAsia="仿宋_GB2312" w:hint="eastAsia"/>
          <w:sz w:val="32"/>
          <w:szCs w:val="32"/>
        </w:rPr>
        <w:t>扩大河道源头村庄覆盖面，重点抓好垃圾治理和污水处理。</w:t>
      </w:r>
    </w:p>
    <w:p>
      <w:pPr>
        <w:spacing w:line="576" w:lineRule="exact"/>
        <w:ind w:firstLineChars="200" w:firstLine="640"/>
        <w:rPr>
          <w:rFonts w:ascii="仿宋_GB2312" w:eastAsia="仿宋_GB2312"/>
          <w:sz w:val="32"/>
          <w:szCs w:val="32"/>
        </w:rPr>
      </w:pPr>
    </w:p>
    <w:p>
      <w:pPr>
        <w:spacing w:line="576" w:lineRule="exact"/>
        <w:ind w:firstLineChars="200" w:firstLine="640"/>
        <w:rPr>
          <w:rFonts w:ascii="仿宋_GB2312" w:eastAsia="仿宋_GB2312"/>
          <w:sz w:val="32"/>
          <w:szCs w:val="32"/>
        </w:rPr>
      </w:pPr>
    </w:p>
    <w:p>
      <w:pPr>
        <w:spacing w:line="576" w:lineRule="exact"/>
        <w:ind w:firstLineChars="200" w:firstLine="640"/>
        <w:rPr>
          <w:rFonts w:ascii="仿宋_GB2312" w:eastAsia="仿宋_GB2312"/>
          <w:sz w:val="32"/>
          <w:szCs w:val="32"/>
        </w:rPr>
      </w:pPr>
    </w:p>
    <w:p>
      <w:pPr>
        <w:spacing w:line="576" w:lineRule="exact"/>
        <w:ind w:firstLineChars="200" w:firstLine="640"/>
        <w:rPr>
          <w:rFonts w:ascii="仿宋_GB2312" w:eastAsia="仿宋_GB2312"/>
          <w:sz w:val="32"/>
          <w:szCs w:val="32"/>
        </w:rPr>
      </w:pPr>
    </w:p>
    <w:p>
      <w:pPr>
        <w:spacing w:line="576" w:lineRule="exact"/>
        <w:ind w:firstLineChars="200" w:firstLine="640"/>
        <w:rPr>
          <w:rFonts w:ascii="仿宋_GB2312" w:eastAsia="仿宋_GB2312"/>
          <w:sz w:val="32"/>
          <w:szCs w:val="32"/>
        </w:rPr>
      </w:pPr>
    </w:p>
    <w:p>
      <w:pPr>
        <w:spacing w:line="576" w:lineRule="exact"/>
        <w:outlineLvl w:val="0"/>
        <w:rPr>
          <w:rStyle w:val="1Char"/>
          <w:rFonts w:ascii="仿宋_GB2312" w:eastAsia="仿宋_GB2312"/>
          <w:b w:val="0"/>
          <w:bCs w:val="0"/>
          <w:kern w:val="2"/>
          <w:sz w:val="32"/>
          <w:szCs w:val="32"/>
        </w:rPr>
      </w:pPr>
    </w:p>
    <w:p>
      <w:pPr>
        <w:spacing w:line="576" w:lineRule="exact"/>
        <w:jc w:val="center"/>
        <w:outlineLvl w:val="0"/>
        <w:rPr>
          <w:rFonts w:ascii="方正小标宋简体" w:eastAsia="方正小标宋简体" w:cs="黑体"/>
          <w:sz w:val="44"/>
          <w:szCs w:val="44"/>
        </w:rPr>
      </w:pPr>
      <w:r>
        <w:rPr>
          <w:rFonts w:ascii="方正小标宋简体" w:eastAsia="方正小标宋简体" w:cs="黑体" w:hint="eastAsia"/>
          <w:sz w:val="44"/>
          <w:szCs w:val="44"/>
        </w:rPr>
        <w:t>河（湖）长制专项工作经费</w:t>
      </w:r>
    </w:p>
    <w:p>
      <w:pPr>
        <w:spacing w:line="576" w:lineRule="exact"/>
        <w:jc w:val="center"/>
        <w:outlineLvl w:val="0"/>
        <w:rPr>
          <w:rFonts w:ascii="方正小标宋简体" w:eastAsia="方正小标宋简体" w:cs="黑体"/>
          <w:sz w:val="44"/>
          <w:szCs w:val="44"/>
        </w:rPr>
      </w:pPr>
      <w:r>
        <w:rPr>
          <w:rFonts w:ascii="方正小标宋简体" w:eastAsia="方正小标宋简体" w:cs="黑体" w:hint="eastAsia"/>
          <w:sz w:val="44"/>
          <w:szCs w:val="44"/>
        </w:rPr>
        <w:t>项目绩效评价报告</w:t>
      </w:r>
    </w:p>
    <w:p>
      <w:pPr>
        <w:spacing w:line="576" w:lineRule="exact"/>
        <w:ind w:firstLineChars="200" w:firstLine="640"/>
        <w:rPr>
          <w:rFonts w:ascii="宋体"/>
          <w:sz w:val="32"/>
          <w:szCs w:val="32"/>
          <w:lang w:val="zh-CN"/>
        </w:rPr>
      </w:pPr>
    </w:p>
    <w:p>
      <w:pPr>
        <w:adjustRightInd w:val="0"/>
        <w:snapToGrid w:val="0"/>
        <w:spacing w:line="576" w:lineRule="exact"/>
        <w:ind w:firstLineChars="200" w:firstLine="64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（一）项目基本情况</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茂县河湖长制办公室设在县水务局，具体承担全县河湖长制组织协调、调度督导、检查考核工作。主要用于河长办工作经费，包括河湖长制总河长会议、河长会议、河长巡河督导、各项工作调研检查及日常办公用品开支。</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（二）项目绩效目标</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全面推行河长制，进一步加强部门协作，上下联动、水陆共治，进一步强化组织保障、加大资金投入、严格监督考核，强化河道管理保护，实现“水清、岸绿、河畅、景美”总目标。</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通过资料收集、现场评价和非现场评价，得出有关问题和建议，出具客观、公正、科学的绩效评价报告。</w:t>
      </w:r>
    </w:p>
    <w:p>
      <w:pPr>
        <w:adjustRightInd w:val="0"/>
        <w:snapToGrid w:val="0"/>
        <w:spacing w:line="576" w:lineRule="exact"/>
        <w:ind w:firstLineChars="200" w:firstLine="640"/>
        <w:rPr>
          <w:rFonts w:ascii="黑体" w:eastAsia="黑体"/>
          <w:sz w:val="32"/>
          <w:szCs w:val="32"/>
        </w:rPr>
      </w:pPr>
      <w:r>
        <w:rPr>
          <w:rFonts w:ascii="黑体" w:eastAsia="黑体" w:hint="eastAsia"/>
          <w:sz w:val="32"/>
          <w:szCs w:val="32"/>
        </w:rPr>
        <w:t>二、项目资金申报及使用情况</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（一）资金到位、使用情况</w:t>
      </w:r>
    </w:p>
    <w:p>
      <w:pPr>
        <w:adjustRightInd w:val="0"/>
        <w:snapToGrid w:val="0"/>
        <w:spacing w:line="576" w:lineRule="exact"/>
        <w:ind w:firstLineChars="200" w:firstLine="640"/>
        <w:rPr>
          <w:rFonts w:ascii="仿宋_GB2312" w:eastAsia="仿宋_GB2312"/>
          <w:sz w:val="32"/>
          <w:szCs w:val="32"/>
          <w:lang w:val="zh-CN"/>
        </w:rPr>
      </w:pPr>
      <w:r>
        <w:rPr>
          <w:rFonts w:ascii="楷体_GB2312" w:eastAsia="楷体_GB2312"/>
          <w:sz w:val="32"/>
          <w:szCs w:val="32"/>
          <w:lang w:val="zh-CN"/>
        </w:rPr>
        <w:t>1</w:t>
      </w:r>
      <w:r>
        <w:rPr>
          <w:rFonts w:ascii="楷体_GB2312" w:eastAsia="楷体_GB2312" w:hint="eastAsia"/>
          <w:sz w:val="32"/>
          <w:szCs w:val="32"/>
          <w:lang w:val="zh-CN"/>
        </w:rPr>
        <w:t>．资金到位。</w:t>
      </w:r>
      <w:r>
        <w:rPr>
          <w:rFonts w:ascii="仿宋_GB2312" w:eastAsia="仿宋_GB2312" w:hint="eastAsia"/>
          <w:sz w:val="32"/>
          <w:szCs w:val="32"/>
          <w:lang w:val="zh-CN"/>
        </w:rPr>
        <w:t>根据茂财预（2020）45号，安排茂县水局河湖长制专项工作经费</w:t>
      </w:r>
      <w:r>
        <w:rPr>
          <w:rFonts w:ascii="仿宋_GB2312" w:eastAsia="仿宋_GB2312" w:cs="仿宋_GB2312"/>
          <w:sz w:val="32"/>
          <w:szCs w:val="32"/>
        </w:rPr>
        <w:t>259.5</w:t>
      </w:r>
      <w:r>
        <w:rPr>
          <w:rFonts w:ascii="仿宋_GB2312" w:eastAsia="仿宋_GB2312" w:hint="eastAsia"/>
          <w:sz w:val="32"/>
          <w:szCs w:val="32"/>
          <w:lang w:val="zh-CN"/>
        </w:rPr>
        <w:t>万元，资金到位100%。</w:t>
      </w:r>
    </w:p>
    <w:p>
      <w:pPr>
        <w:autoSpaceDE w:val="0"/>
        <w:autoSpaceDN w:val="0"/>
        <w:adjustRightInd w:val="0"/>
        <w:spacing w:line="576" w:lineRule="exact"/>
        <w:ind w:firstLineChars="200" w:firstLine="640"/>
        <w:rPr>
          <w:rFonts w:ascii="仿宋_GB2312" w:eastAsia="仿宋_GB2312" w:cs="宋体"/>
          <w:kern w:val="0"/>
          <w:sz w:val="32"/>
          <w:szCs w:val="32"/>
        </w:rPr>
      </w:pPr>
      <w:r>
        <w:rPr>
          <w:rFonts w:ascii="楷体_GB2312" w:eastAsia="楷体_GB2312" w:hint="eastAsia"/>
          <w:sz w:val="32"/>
          <w:szCs w:val="32"/>
          <w:lang w:val="zh-CN"/>
        </w:rPr>
        <w:t>2．资金使用。</w:t>
      </w:r>
      <w:r>
        <w:rPr>
          <w:rFonts w:ascii="仿宋_GB2312" w:eastAsia="仿宋_GB2312" w:cs="宋体" w:hint="eastAsia"/>
          <w:kern w:val="0"/>
          <w:sz w:val="32"/>
          <w:szCs w:val="32"/>
        </w:rPr>
        <w:t>资金在县财政部门监督下由水务局统一使用和管理，实行项目专账管理，资金拨付、管理、使用及核算严格执行相关规定制度。财政局与水务局对项目建设和资金使用开展了日常监督管理，及时发现问题并整改，充分发挥了资金使用效益。</w:t>
      </w:r>
    </w:p>
    <w:p>
      <w:pPr>
        <w:adjustRightInd w:val="0"/>
        <w:snapToGrid w:val="0"/>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（二）项目财务管理情况</w:t>
      </w:r>
    </w:p>
    <w:p>
      <w:pPr>
        <w:autoSpaceDE w:val="0"/>
        <w:autoSpaceDN w:val="0"/>
        <w:adjustRightInd w:val="0"/>
        <w:spacing w:line="576" w:lineRule="exact"/>
        <w:ind w:firstLineChars="200" w:firstLine="640"/>
        <w:rPr>
          <w:rFonts w:ascii="仿宋_GB2312" w:eastAsia="仿宋_GB2312" w:cs="FZFSJW--GB1-0"/>
          <w:kern w:val="0"/>
          <w:sz w:val="32"/>
          <w:szCs w:val="32"/>
        </w:rPr>
      </w:pPr>
      <w:r>
        <w:rPr>
          <w:rFonts w:ascii="仿宋_GB2312" w:eastAsia="仿宋_GB2312" w:cs="宋体" w:hint="eastAsia"/>
          <w:kern w:val="0"/>
          <w:sz w:val="32"/>
          <w:szCs w:val="32"/>
        </w:rPr>
        <w:t>项目财务管理制度基本健全，严格执行《行政事业单位财务会计制度》等制度办法，工程预付款、进度款、尾款等严格按照合同约定、项目实施进度拨付，账务处理及时，会计核算规范。</w:t>
      </w:r>
    </w:p>
    <w:p>
      <w:pPr>
        <w:adjustRightInd w:val="0"/>
        <w:snapToGrid w:val="0"/>
        <w:spacing w:line="576" w:lineRule="exact"/>
        <w:ind w:firstLineChars="200" w:firstLine="640"/>
        <w:rPr>
          <w:rFonts w:ascii="黑体" w:eastAsia="黑体"/>
          <w:sz w:val="32"/>
          <w:szCs w:val="32"/>
        </w:rPr>
      </w:pPr>
      <w:r>
        <w:rPr>
          <w:rFonts w:ascii="黑体" w:eastAsia="黑体" w:hint="eastAsia"/>
          <w:sz w:val="32"/>
          <w:szCs w:val="32"/>
        </w:rPr>
        <w:t>三、项目实施及管理情况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通过项目实施，</w:t>
      </w:r>
      <w:r>
        <w:rPr>
          <w:rFonts w:ascii="仿宋_GB2312" w:eastAsia="仿宋_GB2312" w:cs="仿宋_GB2312" w:hint="eastAsia"/>
          <w:color w:val="000000"/>
          <w:sz w:val="32"/>
          <w:szCs w:val="32"/>
          <w:shd w:val="clear" w:color="auto" w:fill="FFFFFF"/>
        </w:rPr>
        <w:t>保障“河长制”办公室日常工作和河</w:t>
      </w:r>
      <w:r>
        <w:rPr>
          <w:rFonts w:ascii="仿宋_GB2312" w:eastAsia="仿宋_GB2312" w:cs="仿宋_GB2312" w:hint="eastAsia"/>
          <w:bCs/>
          <w:sz w:val="32"/>
          <w:szCs w:val="32"/>
        </w:rPr>
        <w:t>（湖）长制公示牌安装更新维修、l9条河流的河湖管理范围划定、“一河（湖）一策(2021-2025年)”方案编制等工作。</w:t>
      </w:r>
      <w:r>
        <w:rPr>
          <w:rFonts w:ascii="仿宋_GB2312" w:eastAsia="仿宋_GB2312" w:cs="仿宋_GB2312" w:hint="eastAsia"/>
          <w:color w:val="000000"/>
          <w:sz w:val="32"/>
          <w:szCs w:val="32"/>
        </w:rPr>
        <w:t>全县共出动1203余人次，排查大小河流支沟100余条，排查出问题22个，完成整改22个。处理河长制办公室日常巡查发现河岸堆有垃圾等问题6处，通过</w:t>
      </w:r>
      <w:r>
        <w:rPr>
          <w:rFonts w:ascii="仿宋_GB2312" w:eastAsia="仿宋_GB2312" w:cs="仿宋_GB2312" w:hint="eastAsia"/>
          <w:color w:val="000000"/>
          <w:sz w:val="32"/>
          <w:szCs w:val="32"/>
          <w:lang w:val="zh-CN"/>
        </w:rPr>
        <w:t>河流岸线“四乱”问题集中排查整治，全县农村水环境得到明显改善。</w:t>
      </w:r>
    </w:p>
    <w:p>
      <w:pPr>
        <w:adjustRightInd w:val="0"/>
        <w:snapToGrid w:val="0"/>
        <w:spacing w:line="576" w:lineRule="exact"/>
        <w:ind w:firstLineChars="200" w:firstLine="64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1.社会效益指标分析：社会各界参与河湖保护积极性是否提高指标达到提高。</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2.生态效益指标分析：水环境是否改善指标达到改善。</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3.可持续影响指标分析：河湖保护意识是否提高指标达到预期目标明显提高。</w:t>
      </w:r>
    </w:p>
    <w:p>
      <w:pPr>
        <w:spacing w:line="576" w:lineRule="exact"/>
        <w:ind w:firstLineChars="200" w:firstLine="640"/>
        <w:rPr>
          <w:rFonts w:ascii="黑体" w:eastAsia="黑体" w:cs="仿宋_GB2312"/>
          <w:color w:val="000000"/>
          <w:sz w:val="32"/>
          <w:szCs w:val="32"/>
        </w:rPr>
      </w:pPr>
      <w:r>
        <w:rPr>
          <w:rFonts w:ascii="黑体" w:eastAsia="黑体" w:cs="仿宋_GB2312" w:hint="eastAsia"/>
          <w:color w:val="000000"/>
          <w:sz w:val="32"/>
          <w:szCs w:val="32"/>
        </w:rPr>
        <w:t>五、评价结论及建议</w:t>
      </w:r>
    </w:p>
    <w:p>
      <w:pPr>
        <w:spacing w:line="576" w:lineRule="exact"/>
        <w:ind w:firstLineChars="200" w:firstLine="640"/>
        <w:rPr>
          <w:rFonts w:ascii="楷体_GB2312" w:eastAsia="楷体_GB2312" w:cs="仿宋_GB2312"/>
          <w:b/>
          <w:color w:val="000000"/>
          <w:sz w:val="32"/>
          <w:szCs w:val="32"/>
        </w:rPr>
      </w:pPr>
      <w:r>
        <w:rPr>
          <w:rFonts w:ascii="楷体_GB2312" w:eastAsia="楷体_GB2312" w:cs="仿宋_GB2312" w:hint="eastAsia"/>
          <w:b/>
          <w:color w:val="000000"/>
          <w:sz w:val="32"/>
          <w:szCs w:val="32"/>
        </w:rPr>
        <w:t>（一）评价结论</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河长制以打造“水清 岸绿 河畅 景美”为目标，实施河长制以来，每条河流湖泊都有河长湖长，全社会河流保护意识明显提高，对社会可持续发展产生良好影响。</w:t>
      </w:r>
    </w:p>
    <w:p>
      <w:pPr>
        <w:spacing w:line="576" w:lineRule="exact"/>
        <w:ind w:firstLineChars="200" w:firstLine="640"/>
        <w:rPr>
          <w:rFonts w:ascii="楷体_GB2312" w:eastAsia="楷体_GB2312" w:cs="仿宋_GB2312"/>
          <w:b/>
          <w:color w:val="000000"/>
          <w:sz w:val="32"/>
          <w:szCs w:val="32"/>
        </w:rPr>
      </w:pPr>
      <w:r>
        <w:rPr>
          <w:rFonts w:ascii="楷体_GB2312" w:eastAsia="楷体_GB2312" w:cs="仿宋_GB2312" w:hint="eastAsia"/>
          <w:b/>
          <w:color w:val="000000"/>
          <w:sz w:val="32"/>
          <w:szCs w:val="32"/>
        </w:rPr>
        <w:t>（二）存在的问题</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b/>
          <w:color w:val="000000"/>
          <w:sz w:val="32"/>
          <w:szCs w:val="32"/>
        </w:rPr>
        <w:t>一是</w:t>
      </w:r>
      <w:r>
        <w:rPr>
          <w:rFonts w:ascii="仿宋_GB2312" w:eastAsia="仿宋_GB2312" w:cs="仿宋_GB2312" w:hint="eastAsia"/>
          <w:color w:val="000000"/>
          <w:sz w:val="32"/>
          <w:szCs w:val="32"/>
        </w:rPr>
        <w:t>河道治理资金投入多，实施难度大。通过历年来的项目实施，解决一些河道问题。但由于河多、线长、面广，且加之洪水毁坏、人为破坏等因素，河道治理任务还相当艰巨，受制于地方财力，没能全面、系统的进行整治。</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b/>
          <w:color w:val="000000"/>
          <w:sz w:val="32"/>
          <w:szCs w:val="32"/>
        </w:rPr>
        <w:t>二是</w:t>
      </w:r>
      <w:r>
        <w:rPr>
          <w:rFonts w:ascii="仿宋_GB2312" w:eastAsia="仿宋_GB2312" w:cs="仿宋_GB2312" w:hint="eastAsia"/>
          <w:color w:val="000000"/>
          <w:sz w:val="32"/>
          <w:szCs w:val="32"/>
        </w:rPr>
        <w:t>镇群众素质良莠不齐，群众参与度不够。随着河长制工作的开展，民众的珍惜水、节约水、保护水意识不断加强，但也还有部分群众生态保护意识不强，不能自主、自觉把自己的日常生活同河长制充分联系起来，偷倒垃圾、偷排污水等现象还偶有发生。对发生在身边但又不关乎自身直接利益的水事违法行为不予制止、不予监督举报。</w:t>
      </w:r>
    </w:p>
    <w:p>
      <w:pPr>
        <w:spacing w:line="576" w:lineRule="exact"/>
        <w:ind w:firstLineChars="200" w:firstLine="640"/>
        <w:rPr>
          <w:rFonts w:ascii="楷体_GB2312" w:eastAsia="楷体_GB2312" w:cs="仿宋_GB2312"/>
          <w:b/>
          <w:color w:val="000000"/>
          <w:sz w:val="32"/>
          <w:szCs w:val="32"/>
        </w:rPr>
      </w:pPr>
      <w:r>
        <w:rPr>
          <w:rFonts w:ascii="楷体_GB2312" w:eastAsia="楷体_GB2312" w:cs="仿宋_GB2312" w:hint="eastAsia"/>
          <w:b/>
          <w:color w:val="000000"/>
          <w:sz w:val="32"/>
          <w:szCs w:val="32"/>
        </w:rPr>
        <w:t>（三）相关建议</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加大日常宣传，进一步引导群众参与生态环境保护，自觉进行水资源、水环境、水域岸线保护的监督、监管。同时加大对污染、破坏水资源案件的宣传报道，以案说法，增加群众节约水、保护水、珍惜水的意识。</w:t>
      </w:r>
    </w:p>
    <w:p>
      <w:pPr>
        <w:spacing w:line="576" w:lineRule="exact"/>
        <w:ind w:firstLineChars="200" w:firstLine="640"/>
        <w:rPr>
          <w:rFonts w:ascii="仿宋_GB2312" w:eastAsia="仿宋_GB2312" w:cs="仿宋_GB2312"/>
          <w:color w:val="000000"/>
          <w:sz w:val="32"/>
          <w:szCs w:val="32"/>
        </w:rPr>
      </w:pPr>
    </w:p>
    <w:p>
      <w:pPr>
        <w:spacing w:line="576" w:lineRule="exact"/>
        <w:ind w:firstLineChars="200" w:firstLine="640"/>
        <w:rPr>
          <w:rFonts w:ascii="仿宋_GB2312" w:eastAsia="仿宋_GB2312" w:cs="仿宋_GB2312"/>
          <w:color w:val="000000"/>
          <w:sz w:val="32"/>
          <w:szCs w:val="32"/>
        </w:rPr>
      </w:pPr>
    </w:p>
    <w:p>
      <w:pPr>
        <w:spacing w:line="576" w:lineRule="exact"/>
        <w:ind w:firstLineChars="200" w:firstLine="640"/>
        <w:rPr>
          <w:rFonts w:ascii="仿宋_GB2312" w:eastAsia="仿宋_GB2312" w:cs="仿宋_GB2312"/>
          <w:color w:val="000000"/>
          <w:sz w:val="32"/>
          <w:szCs w:val="32"/>
        </w:rPr>
      </w:pPr>
    </w:p>
    <w:p>
      <w:pPr>
        <w:spacing w:line="576" w:lineRule="exact"/>
        <w:ind w:firstLineChars="200" w:firstLine="640"/>
        <w:rPr>
          <w:rFonts w:ascii="仿宋_GB2312" w:eastAsia="仿宋_GB2312" w:cs="仿宋_GB2312"/>
          <w:color w:val="000000"/>
          <w:sz w:val="32"/>
          <w:szCs w:val="32"/>
        </w:rPr>
      </w:pPr>
    </w:p>
    <w:p>
      <w:pPr>
        <w:spacing w:line="576" w:lineRule="exact"/>
        <w:ind w:firstLineChars="200" w:firstLine="640"/>
        <w:rPr>
          <w:rFonts w:ascii="仿宋_GB2312" w:eastAsia="仿宋_GB2312" w:cs="仿宋_GB2312"/>
          <w:color w:val="000000"/>
          <w:sz w:val="32"/>
          <w:szCs w:val="32"/>
        </w:rPr>
      </w:pPr>
    </w:p>
    <w:p>
      <w:pPr>
        <w:adjustRightInd w:val="0"/>
        <w:snapToGrid w:val="0"/>
        <w:spacing w:line="576" w:lineRule="exact"/>
        <w:rPr>
          <w:rStyle w:val="1Char"/>
          <w:rFonts w:ascii="仿宋_GB2312" w:eastAsia="仿宋_GB2312"/>
          <w:b w:val="0"/>
          <w:bCs w:val="0"/>
          <w:kern w:val="2"/>
          <w:sz w:val="32"/>
          <w:szCs w:val="32"/>
          <w:lang w:val="zh-CN"/>
        </w:rPr>
      </w:pPr>
    </w:p>
    <w:p>
      <w:pPr>
        <w:spacing w:line="576" w:lineRule="exact"/>
        <w:jc w:val="center"/>
        <w:outlineLvl w:val="0"/>
        <w:rPr>
          <w:rStyle w:val="1Char"/>
          <w:rFonts w:ascii="黑体" w:eastAsia="黑体"/>
          <w:b w:val="0"/>
        </w:rPr>
      </w:pPr>
      <w:bookmarkStart w:id="125" w:name="_Toc79163635"/>
      <w:bookmarkStart w:id="126" w:name="_Toc15396618"/>
      <w:bookmarkStart w:id="127" w:name="_Toc79163885"/>
      <w:r>
        <w:rPr>
          <w:rFonts w:ascii="黑体" w:eastAsia="黑体" w:hint="eastAsia"/>
          <w:color w:val="000000"/>
          <w:sz w:val="44"/>
          <w:szCs w:val="44"/>
        </w:rPr>
        <w:t>第</w:t>
      </w:r>
      <w:r>
        <w:rPr>
          <w:rStyle w:val="1Char"/>
          <w:rFonts w:ascii="黑体" w:eastAsia="黑体" w:hint="eastAsia"/>
          <w:b w:val="0"/>
        </w:rPr>
        <w:t>五部分附表</w:t>
      </w:r>
      <w:bookmarkEnd w:id="113"/>
      <w:bookmarkEnd w:id="125"/>
      <w:bookmarkEnd w:id="126"/>
      <w:bookmarkEnd w:id="127"/>
    </w:p>
    <w:p>
      <w:pPr>
        <w:pStyle w:val="2"/>
        <w:spacing w:line="576" w:lineRule="exact"/>
        <w:rPr>
          <w:rFonts w:ascii="仿宋" w:eastAsia="仿宋"/>
          <w:color w:val="000000"/>
        </w:rPr>
      </w:pPr>
      <w:bookmarkStart w:id="128" w:name="_Toc79163886"/>
      <w:bookmarkStart w:id="129" w:name="_Toc79163636"/>
      <w:bookmarkStart w:id="130" w:name="_Toc15396619"/>
      <w:r>
        <w:rPr>
          <w:rFonts w:ascii="仿宋" w:eastAsia="仿宋" w:hint="eastAsia"/>
          <w:b w:val="0"/>
          <w:color w:val="000000"/>
        </w:rPr>
        <w:t>一、收</w:t>
      </w:r>
      <w:r>
        <w:rPr>
          <w:rStyle w:val="2Char"/>
          <w:rFonts w:ascii="仿宋" w:eastAsia="仿宋" w:hint="eastAsia"/>
          <w:b w:val="0"/>
          <w:bCs w:val="0"/>
        </w:rPr>
        <w:t>入支出决算总表</w:t>
      </w:r>
      <w:bookmarkEnd w:id="128"/>
      <w:bookmarkEnd w:id="129"/>
      <w:bookmarkEnd w:id="130"/>
    </w:p>
    <w:p>
      <w:pPr>
        <w:pStyle w:val="2"/>
        <w:spacing w:line="576" w:lineRule="exact"/>
        <w:rPr>
          <w:rFonts w:ascii="仿宋" w:eastAsia="仿宋"/>
          <w:color w:val="000000"/>
        </w:rPr>
      </w:pPr>
      <w:bookmarkStart w:id="131" w:name="_Toc79163887"/>
      <w:bookmarkStart w:id="132" w:name="_Toc79163637"/>
      <w:bookmarkStart w:id="133" w:name="_Toc15396620"/>
      <w:r>
        <w:rPr>
          <w:rFonts w:ascii="仿宋" w:eastAsia="仿宋" w:hint="eastAsia"/>
          <w:b w:val="0"/>
          <w:color w:val="000000"/>
        </w:rPr>
        <w:t>二、收</w:t>
      </w:r>
      <w:r>
        <w:rPr>
          <w:rStyle w:val="2Char"/>
          <w:rFonts w:ascii="仿宋" w:eastAsia="仿宋" w:hint="eastAsia"/>
          <w:b w:val="0"/>
          <w:bCs w:val="0"/>
        </w:rPr>
        <w:t>入决算表</w:t>
      </w:r>
      <w:bookmarkEnd w:id="131"/>
      <w:bookmarkEnd w:id="132"/>
      <w:bookmarkEnd w:id="133"/>
    </w:p>
    <w:p>
      <w:pPr>
        <w:pStyle w:val="2"/>
        <w:spacing w:line="576" w:lineRule="exact"/>
        <w:rPr>
          <w:rFonts w:ascii="仿宋" w:eastAsia="仿宋"/>
          <w:color w:val="000000"/>
        </w:rPr>
      </w:pPr>
      <w:bookmarkStart w:id="134" w:name="_Toc79163888"/>
      <w:bookmarkStart w:id="135" w:name="_Toc79163638"/>
      <w:bookmarkStart w:id="136"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134"/>
      <w:bookmarkEnd w:id="135"/>
      <w:bookmarkEnd w:id="136"/>
    </w:p>
    <w:p>
      <w:pPr>
        <w:pStyle w:val="2"/>
        <w:spacing w:line="576" w:lineRule="exact"/>
        <w:rPr>
          <w:rFonts w:ascii="仿宋" w:eastAsia="仿宋"/>
          <w:b w:val="0"/>
          <w:color w:val="000000"/>
        </w:rPr>
      </w:pPr>
      <w:bookmarkStart w:id="137" w:name="_Toc15396622"/>
      <w:bookmarkStart w:id="138" w:name="_Toc79163889"/>
      <w:bookmarkStart w:id="139" w:name="_Toc79163639"/>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137"/>
      <w:bookmarkEnd w:id="138"/>
      <w:bookmarkEnd w:id="139"/>
    </w:p>
    <w:p>
      <w:pPr>
        <w:pStyle w:val="2"/>
        <w:spacing w:line="576" w:lineRule="exact"/>
        <w:rPr>
          <w:rStyle w:val="2Char"/>
          <w:rFonts w:ascii="仿宋" w:eastAsia="仿宋"/>
          <w:b w:val="0"/>
          <w:bCs w:val="0"/>
        </w:rPr>
      </w:pPr>
      <w:bookmarkStart w:id="140" w:name="_Toc15396623"/>
      <w:bookmarkStart w:id="141" w:name="_Toc79163640"/>
      <w:bookmarkStart w:id="142" w:name="_Toc79163890"/>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143" w:name="_Toc15396624"/>
      <w:bookmarkEnd w:id="140"/>
      <w:bookmarkEnd w:id="141"/>
      <w:bookmarkEnd w:id="142"/>
    </w:p>
    <w:p>
      <w:pPr>
        <w:pStyle w:val="2"/>
        <w:spacing w:line="576" w:lineRule="exact"/>
        <w:rPr>
          <w:rFonts w:ascii="仿宋" w:eastAsia="仿宋"/>
          <w:color w:val="000000"/>
        </w:rPr>
      </w:pPr>
      <w:bookmarkStart w:id="144" w:name="_Toc79163641"/>
      <w:bookmarkStart w:id="145" w:name="_Toc79163891"/>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143"/>
      <w:bookmarkEnd w:id="144"/>
      <w:bookmarkEnd w:id="145"/>
    </w:p>
    <w:p>
      <w:pPr>
        <w:pStyle w:val="2"/>
        <w:spacing w:line="576" w:lineRule="exact"/>
        <w:rPr>
          <w:rFonts w:ascii="仿宋" w:eastAsia="仿宋"/>
          <w:color w:val="000000"/>
        </w:rPr>
      </w:pPr>
      <w:bookmarkStart w:id="146" w:name="_Toc79163892"/>
      <w:bookmarkStart w:id="147" w:name="_Toc79163642"/>
      <w:bookmarkStart w:id="148"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146"/>
      <w:bookmarkEnd w:id="147"/>
      <w:bookmarkEnd w:id="148"/>
    </w:p>
    <w:p>
      <w:pPr>
        <w:pStyle w:val="2"/>
        <w:spacing w:line="576" w:lineRule="exact"/>
        <w:rPr>
          <w:rFonts w:ascii="仿宋" w:eastAsia="仿宋"/>
          <w:color w:val="000000"/>
        </w:rPr>
      </w:pPr>
      <w:bookmarkStart w:id="149" w:name="_Toc15396626"/>
      <w:bookmarkStart w:id="150" w:name="_Toc79163643"/>
      <w:bookmarkStart w:id="151" w:name="_Toc79163893"/>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149"/>
      <w:bookmarkEnd w:id="150"/>
      <w:bookmarkEnd w:id="151"/>
    </w:p>
    <w:p>
      <w:pPr>
        <w:pStyle w:val="2"/>
        <w:spacing w:line="576" w:lineRule="exact"/>
        <w:rPr>
          <w:rFonts w:ascii="仿宋" w:eastAsia="仿宋"/>
          <w:color w:val="000000"/>
        </w:rPr>
      </w:pPr>
      <w:bookmarkStart w:id="152" w:name="_Toc15396627"/>
      <w:bookmarkStart w:id="153" w:name="_Toc79163644"/>
      <w:bookmarkStart w:id="154" w:name="_Toc79163894"/>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152"/>
      <w:bookmarkEnd w:id="153"/>
      <w:bookmarkEnd w:id="154"/>
    </w:p>
    <w:p>
      <w:pPr>
        <w:pStyle w:val="2"/>
        <w:spacing w:line="576" w:lineRule="exact"/>
        <w:rPr>
          <w:rFonts w:ascii="仿宋" w:eastAsia="仿宋"/>
          <w:color w:val="000000"/>
        </w:rPr>
      </w:pPr>
      <w:bookmarkStart w:id="155" w:name="_Toc15396628"/>
      <w:bookmarkStart w:id="156" w:name="_Toc79163645"/>
      <w:bookmarkStart w:id="157" w:name="_Toc79163895"/>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155"/>
      <w:bookmarkEnd w:id="156"/>
      <w:bookmarkEnd w:id="157"/>
    </w:p>
    <w:p>
      <w:pPr>
        <w:pStyle w:val="2"/>
        <w:spacing w:line="576" w:lineRule="exact"/>
        <w:rPr>
          <w:rFonts w:ascii="仿宋" w:eastAsia="仿宋"/>
          <w:color w:val="000000"/>
        </w:rPr>
      </w:pPr>
      <w:bookmarkStart w:id="158" w:name="_Toc15396629"/>
      <w:bookmarkStart w:id="159" w:name="_Toc79163646"/>
      <w:bookmarkStart w:id="160" w:name="_Toc79163896"/>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158"/>
      <w:bookmarkEnd w:id="159"/>
      <w:bookmarkEnd w:id="160"/>
    </w:p>
    <w:p>
      <w:pPr>
        <w:pStyle w:val="2"/>
        <w:spacing w:line="576" w:lineRule="exact"/>
        <w:rPr>
          <w:rFonts w:ascii="仿宋" w:eastAsia="仿宋"/>
          <w:color w:val="000000"/>
        </w:rPr>
      </w:pPr>
      <w:bookmarkStart w:id="161" w:name="_Toc15396630"/>
      <w:bookmarkStart w:id="162" w:name="_Toc79163647"/>
      <w:bookmarkStart w:id="163" w:name="_Toc79163897"/>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161"/>
      <w:bookmarkEnd w:id="162"/>
      <w:bookmarkEnd w:id="163"/>
    </w:p>
    <w:p>
      <w:pPr>
        <w:pStyle w:val="2"/>
        <w:spacing w:line="576" w:lineRule="exact"/>
        <w:rPr>
          <w:rStyle w:val="2Char"/>
          <w:rFonts w:ascii="仿宋" w:eastAsia="仿宋"/>
          <w:b w:val="0"/>
          <w:bCs w:val="0"/>
        </w:rPr>
      </w:pPr>
      <w:bookmarkStart w:id="164" w:name="_Toc15396631"/>
      <w:bookmarkStart w:id="165" w:name="_Toc79163648"/>
      <w:bookmarkStart w:id="166" w:name="_Toc79163898"/>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有资本经营预算财政拨款支出决算表</w:t>
      </w:r>
      <w:bookmarkEnd w:id="164"/>
      <w:bookmarkEnd w:id="165"/>
      <w:bookmarkEnd w:id="166"/>
    </w:p>
    <w:p>
      <w:pPr>
        <w:pStyle w:val="2"/>
        <w:spacing w:line="576" w:lineRule="exact"/>
        <w:rPr>
          <w:rStyle w:val="2Char"/>
          <w:rFonts w:ascii="仿宋" w:eastAsia="仿宋"/>
          <w:b w:val="0"/>
          <w:bCs w:val="0"/>
        </w:rPr>
      </w:pPr>
      <w:bookmarkStart w:id="167" w:name="_Toc79163649"/>
      <w:bookmarkStart w:id="168" w:name="_Toc79163899"/>
      <w:r>
        <w:rPr>
          <w:rStyle w:val="2Char"/>
          <w:rFonts w:ascii="仿宋" w:eastAsia="仿宋" w:hint="eastAsia"/>
          <w:b w:val="0"/>
          <w:bCs w:val="0"/>
        </w:rPr>
        <w:t>十四、国有资本经营预算财政拨款支出决算表</w:t>
      </w:r>
      <w:bookmarkEnd w:id="167"/>
      <w:bookmarkEnd w:id="168"/>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楷体">
    <w:panose1 w:val="02010609060101010101"/>
    <w:charset w:val="86"/>
    <w:family w:val="modern"/>
    <w:pitch w:val="variable"/>
    <w:sig w:usb0="800002BF" w:usb1="38CF7CFA" w:usb2="00000016" w:usb3="00000000" w:csb0="00040001" w:csb1="00000000"/>
  </w:font>
  <w:font w:name="FZFSJW--GB1-0">
    <w:altName w:val="宋体"/>
    <w:panose1 w:val="00000000000000000000"/>
    <w:charset w:val="86"/>
    <w:family w:val="auto"/>
    <w:pitch w:val="variable"/>
    <w:sig w:usb0="00000000" w:usb1="00000000" w:usb2="00000010" w:usb3="00000000" w:csb0="00040000" w:csb1="00000000"/>
  </w:font>
  <w:font w:name="TimesNewRomanPSMT">
    <w:altName w:val="Times New Roman"/>
    <w:panose1 w:val="00000000000000000000"/>
    <w:charset w:val="86"/>
    <w:family w:val="auto"/>
    <w:pitch w:val="variable"/>
    <w:sig w:usb0="00000000" w:usb1="00000000" w:usb2="00000010" w:usb3="00000000" w:csb0="00040000" w:csb1="00000000"/>
  </w:font>
  <w:font w:name="Times New Roman">
    <w:panose1 w:val="02020603050405020304"/>
    <w:charset w:val="00"/>
    <w:family w:val="roman"/>
    <w:pitch w:val="variable"/>
    <w:sig w:usb0="20007A87" w:usb1="80000000" w:usb2="00000008" w:usb3="00000000" w:csb0="000001FF" w:csb1="00000000"/>
  </w:font>
  <w:font w:name="Cambria">
    <w:altName w:val="DejaVu Sans"/>
    <w:panose1 w:val="02040503050406030204"/>
    <w:charset w:val="00"/>
    <w:family w:val="roman"/>
    <w:pitch w:val="variable"/>
    <w:sig w:usb0="E00002FF" w:usb1="400004FF" w:usb2="00000000" w:usb3="00000000" w:csb0="2000019F" w:csb1="00000000"/>
  </w:font>
  <w:font w:name="等线">
    <w:altName w:val="宋体"/>
    <w:panose1 w:val="00000000000000000000"/>
    <w:charset w:val="86"/>
    <w:family w:val="auto"/>
    <w:pitch w:val="variable"/>
    <w:sig w:usb0="00000000" w:usb1="00000000" w:usb2="00000016" w:usb3="00000000" w:csb0="0004000F" w:csb1="00000000"/>
  </w:font>
  <w:font w:name="Calibri">
    <w:altName w:val="Times New Roman"/>
    <w:panose1 w:val="020F0502020204030204"/>
    <w:charset w:val="00"/>
    <w:family w:val="swiss"/>
    <w:pitch w:val="variable"/>
    <w:sig w:usb0="E10002FF" w:usb1="4000ACFF" w:usb2="00000009" w:usb3="00000000" w:csb0="2000019F" w:csb1="00000000"/>
  </w:font>
  <w:font w:name="等线 Light">
    <w:altName w:val="宋体"/>
    <w:panose1 w:val="00000000000000000000"/>
    <w:charset w:val="86"/>
    <w:family w:val="auto"/>
    <w:pitch w:val="variable"/>
    <w:sig w:usb0="00000000" w:usb1="00000000"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jc w:val="center"/>
    </w:pPr>
    <w:r>
      <w:fldChar w:fldCharType="begin"/>
    </w:r>
    <w:r>
      <w:instrText>PAGE   \* MERGEFORMAT</w:instrText>
    </w:r>
    <w:r>
      <w:fldChar w:fldCharType="separate"/>
    </w:r>
    <w:r>
      <w:rPr>
        <w:lang w:val="zh-CN"/>
      </w:rPr>
      <w:t>3</w:t>
    </w:r>
    <w:r>
      <w:rPr>
        <w:lang w:val="zh-CN"/>
      </w:rPr>
      <w:fldChar w:fldCharType="end"/>
    </w:r>
  </w:p>
  <w:p>
    <w:pPr>
      <w:pStyle w:val="22"/>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7"/>
    <w:basedOn w:val="0"/>
    <w:next w:val="0"/>
    <w:pPr>
      <w:ind w:left="1260"/>
      <w:jc w:val="left"/>
    </w:pPr>
    <w:rPr>
      <w:rFonts w:ascii="等线" w:eastAsia="等线"/>
      <w:sz w:val="18"/>
      <w:szCs w:val="18"/>
    </w:rPr>
  </w:style>
  <w:style w:type="paragraph" w:styleId="16">
    <w:name w:val="Body Text"/>
    <w:basedOn w:val="0"/>
    <w:pPr>
      <w:spacing w:beforeLines="30" w:before="30"/>
    </w:pPr>
    <w:rPr>
      <w:rFonts w:ascii="仿宋_GB2312" w:eastAsia="仿宋_GB2312"/>
      <w:kern w:val="0"/>
      <w:sz w:val="24"/>
      <w:szCs w:val="20"/>
    </w:rPr>
  </w:style>
  <w:style w:type="paragraph" w:styleId="17">
    <w:name w:val="toc 5"/>
    <w:basedOn w:val="0"/>
    <w:next w:val="0"/>
    <w:pPr>
      <w:ind w:left="840"/>
      <w:jc w:val="left"/>
    </w:pPr>
    <w:rPr>
      <w:rFonts w:ascii="等线" w:eastAsia="等线"/>
      <w:sz w:val="18"/>
      <w:szCs w:val="18"/>
    </w:rPr>
  </w:style>
  <w:style w:type="paragraph" w:styleId="18">
    <w:name w:val="toc 3"/>
    <w:basedOn w:val="0"/>
    <w:next w:val="0"/>
    <w:pPr>
      <w:ind w:left="420"/>
      <w:jc w:val="left"/>
    </w:pPr>
    <w:rPr>
      <w:rFonts w:ascii="等线" w:eastAsia="等线"/>
      <w:i/>
      <w:iCs/>
      <w:sz w:val="20"/>
      <w:szCs w:val="20"/>
    </w:rPr>
  </w:style>
  <w:style w:type="paragraph" w:styleId="19">
    <w:name w:val="toc 8"/>
    <w:basedOn w:val="0"/>
    <w:next w:val="0"/>
    <w:pPr>
      <w:ind w:left="1470"/>
      <w:jc w:val="left"/>
    </w:pPr>
    <w:rPr>
      <w:rFonts w:ascii="等线" w:eastAsia="等线"/>
      <w:sz w:val="18"/>
      <w:szCs w:val="18"/>
    </w:rPr>
  </w:style>
  <w:style w:type="paragraph" w:styleId="20">
    <w:name w:val="Body Text Indent 2"/>
    <w:basedOn w:val="0"/>
    <w:pPr>
      <w:spacing w:after="120" w:line="480" w:lineRule="auto"/>
      <w:ind w:leftChars="200" w:left="200"/>
    </w:pPr>
  </w:style>
  <w:style w:type="paragraph" w:styleId="21">
    <w:name w:val="Balloon Text"/>
    <w:basedOn w:val="0"/>
    <w:rPr>
      <w:sz w:val="18"/>
      <w:szCs w:val="18"/>
    </w:rPr>
  </w:style>
  <w:style w:type="paragraph" w:styleId="22">
    <w:name w:val="footer"/>
    <w:basedOn w:val="0"/>
    <w:pPr>
      <w:tabs>
        <w:tab w:val="center" w:pos="4153"/>
        <w:tab w:val="right" w:pos="8306"/>
      </w:tabs>
      <w:snapToGrid w:val="0"/>
      <w:jc w:val="left"/>
    </w:pPr>
    <w:rPr>
      <w:rFonts w:ascii="Calibri" w:hAnsi="Calibri"/>
      <w:kern w:val="0"/>
      <w:sz w:val="18"/>
      <w:szCs w:val="20"/>
    </w:rPr>
  </w:style>
  <w:style w:type="paragraph" w:styleId="23">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4">
    <w:name w:val="toc 1"/>
    <w:basedOn w:val="0"/>
    <w:next w:val="0"/>
    <w:pPr>
      <w:spacing w:before="120" w:after="120"/>
      <w:jc w:val="left"/>
    </w:pPr>
    <w:rPr>
      <w:rFonts w:ascii="等线" w:eastAsia="等线"/>
      <w:b/>
      <w:bCs/>
      <w:caps/>
      <w:smallCaps w:val="0"/>
      <w:sz w:val="20"/>
      <w:szCs w:val="20"/>
    </w:rPr>
  </w:style>
  <w:style w:type="paragraph" w:styleId="25">
    <w:name w:val="toc 4"/>
    <w:basedOn w:val="0"/>
    <w:next w:val="0"/>
    <w:pPr>
      <w:ind w:left="630"/>
      <w:jc w:val="left"/>
    </w:pPr>
    <w:rPr>
      <w:rFonts w:ascii="等线" w:eastAsia="等线"/>
      <w:sz w:val="18"/>
      <w:szCs w:val="18"/>
    </w:rPr>
  </w:style>
  <w:style w:type="paragraph" w:styleId="26">
    <w:name w:val="toc 6"/>
    <w:basedOn w:val="0"/>
    <w:next w:val="0"/>
    <w:pPr>
      <w:ind w:left="1050"/>
      <w:jc w:val="left"/>
    </w:pPr>
    <w:rPr>
      <w:rFonts w:ascii="等线" w:eastAsia="等线"/>
      <w:sz w:val="18"/>
      <w:szCs w:val="18"/>
    </w:rPr>
  </w:style>
  <w:style w:type="paragraph" w:styleId="27">
    <w:name w:val="toc 2"/>
    <w:basedOn w:val="0"/>
    <w:next w:val="0"/>
    <w:pPr>
      <w:ind w:left="210"/>
      <w:jc w:val="left"/>
    </w:pPr>
    <w:rPr>
      <w:rFonts w:ascii="等线" w:eastAsia="等线"/>
      <w:caps w:val="0"/>
      <w:smallCaps/>
      <w:sz w:val="20"/>
      <w:szCs w:val="20"/>
    </w:rPr>
  </w:style>
  <w:style w:type="paragraph" w:styleId="28">
    <w:name w:val="toc 9"/>
    <w:basedOn w:val="0"/>
    <w:next w:val="0"/>
    <w:pPr>
      <w:ind w:left="1680"/>
      <w:jc w:val="left"/>
    </w:pPr>
    <w:rPr>
      <w:rFonts w:ascii="等线" w:eastAsia="等线"/>
      <w:sz w:val="18"/>
      <w:szCs w:val="18"/>
    </w:rPr>
  </w:style>
  <w:style w:type="paragraph" w:styleId="29">
    <w:name w:val="Normal (Web)"/>
    <w:basedOn w:val="0"/>
    <w:pPr>
      <w:widowControl/>
      <w:spacing w:before="100" w:beforeAutospacing="1" w:after="100" w:afterAutospacing="1"/>
      <w:jc w:val="left"/>
    </w:pPr>
    <w:rPr>
      <w:rFonts w:ascii="宋体" w:cs="宋体"/>
      <w:kern w:val="0"/>
      <w:sz w:val="24"/>
    </w:rPr>
  </w:style>
  <w:style w:type="character" w:styleId="30">
    <w:name w:val="Strong"/>
    <w:basedOn w:val="10"/>
    <w:rPr>
      <w:rFonts w:cs="Times New Roman"/>
      <w:b/>
    </w:rPr>
  </w:style>
  <w:style w:type="character" w:styleId="31">
    <w:name w:val="Hyperlink"/>
    <w:basedOn w:val="10"/>
    <w:rPr>
      <w:rFonts w:cs="Times New Roman"/>
      <w:color w:val="0000FF"/>
      <w:u w:val="single"/>
    </w:rPr>
  </w:style>
  <w:style w:type="character" w:customStyle="1" w:styleId="32">
    <w:name w:val="Body Text Char"/>
    <w:basedOn w:val="10"/>
    <w:rPr>
      <w:rFonts w:ascii="Times New Roman" w:cs="Times New Roman" w:hAnsi="Times New Roman"/>
      <w:sz w:val="24"/>
      <w:szCs w:val="24"/>
    </w:rPr>
  </w:style>
  <w:style w:type="character" w:customStyle="1" w:styleId="33">
    <w:name w:val="Footer Char"/>
    <w:basedOn w:val="10"/>
    <w:rPr>
      <w:rFonts w:ascii="Times New Roman" w:cs="Times New Roman" w:hAnsi="Times New Roman"/>
      <w:sz w:val="18"/>
      <w:szCs w:val="18"/>
    </w:rPr>
  </w:style>
  <w:style w:type="character" w:customStyle="1" w:styleId="34">
    <w:name w:val="Header Char"/>
    <w:basedOn w:val="10"/>
    <w:rPr>
      <w:rFonts w:ascii="Times New Roman" w:cs="Times New Roman" w:hAnsi="Times New Roman"/>
      <w:sz w:val="18"/>
      <w:szCs w:val="18"/>
    </w:rPr>
  </w:style>
  <w:style w:type="paragraph" w:customStyle="1" w:styleId="35">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6">
    <w:name w:val="列表段落1"/>
    <w:basedOn w:val="0"/>
    <w:pPr>
      <w:ind w:firstLineChars="200" w:firstLine="200"/>
    </w:pPr>
  </w:style>
  <w:style w:type="paragraph" w:customStyle="1" w:styleId="37">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styleId="40">
    <w:name w:val="List Paragraph"/>
    <w:basedOn w:val="0"/>
    <w:pPr>
      <w:spacing w:line="576" w:lineRule="exact"/>
      <w:ind w:firstLineChars="200" w:firstLine="200"/>
      <w:jc w:val="left"/>
    </w:pPr>
    <w:rPr>
      <w:rFonts w:ascii="仿宋" w:eastAsia="仿宋"/>
      <w:color w:val="000000"/>
      <w:sz w:val="32"/>
      <w:szCs w:val="3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收、支决算总计</a:t>
            </a:r>
          </a:p>
        </c:rich>
      </c:tx>
      <c:layout>
        <c:manualLayout>
          <c:xMode val="edge"/>
          <c:yMode val="edge"/>
          <c:x val="0.38976216"/>
          <c:y val="0.0"/>
        </c:manualLayout>
      </c:layout>
      <c:overlay val="0"/>
      <c:spPr>
        <a:ln>
          <a:noFill/>
        </a:ln>
      </c:spPr>
    </c:title>
    <c:autoTitleDeleted val="1"/>
    <c:plotArea>
      <c:layout>
        <c:manualLayout>
          <c:layoutTarget val="inner"/>
          <c:xMode val="edge"/>
          <c:yMode val="edge"/>
          <c:x val="0.17657329"/>
          <c:y val="0.118682"/>
          <c:w val="0.74249864"/>
          <c:h val="0.68306154"/>
        </c:manualLayout>
      </c:layout>
      <c:barChart>
        <c:barDir val="col"/>
        <c:grouping val="stacked"/>
        <c:varyColors val="0"/>
        <c:ser>
          <c:idx val="0"/>
          <c:order val="0"/>
          <c:tx>
            <c:strRef>
              <c:f>'Sheet1'!$B$1</c:f>
              <c:strCache>
                <c:ptCount val="1"/>
                <c:pt idx="0">
                  <c:v>系列 1</c:v>
                </c:pt>
              </c:strCache>
            </c:strRef>
          </c:tx>
          <c:spPr>
            <a:solidFill>
              <a:srgbClr val="4472C4"/>
            </a:solidFill>
          </c:spPr>
          <c:invertIfNegative val="0"/>
          <c:dLbls>
            <c:showLegendKey val="0"/>
            <c:showVal val="0"/>
            <c:showCatName val="0"/>
            <c:showSerName val="0"/>
            <c:showPercent val="0"/>
            <c:showBubbleSize val="0"/>
            <c:showLeaderLines val="0"/>
          </c:dLbls>
          <c:cat>
            <c:strRef>
              <c:f>'Sheet1'!$A$2:$A$3</c:f>
              <c:strCache>
                <c:ptCount val="2"/>
                <c:pt idx="0">
                  <c:v>2019年</c:v>
                </c:pt>
                <c:pt idx="1">
                  <c:v>2020年</c:v>
                </c:pt>
              </c:strCache>
            </c:strRef>
          </c:cat>
          <c:val>
            <c:numRef>
              <c:f>'Sheet1'!$B$2:$B$3</c:f>
              <c:numCache>
                <c:formatCode>General</c:formatCode>
                <c:ptCount val="2"/>
                <c:pt idx="0">
                  <c:v>10989.19</c:v>
                </c:pt>
                <c:pt idx="1">
                  <c:v>11465.58</c:v>
                </c:pt>
              </c:numCache>
            </c:numRef>
          </c:val>
        </c:ser>
        <c:overlap val="100"/>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本年收入</a:t>
            </a:r>
          </a:p>
        </c:rich>
      </c:tx>
      <c:layout>
        <c:manualLayout>
          <c:xMode val="edge"/>
          <c:yMode val="edge"/>
          <c:x val="0.40870643"/>
          <c:y val="0.043895748"/>
        </c:manualLayout>
      </c:layout>
      <c:overlay val="0"/>
      <c:spPr>
        <a:ln>
          <a:noFill/>
        </a:ln>
      </c:spPr>
    </c:title>
    <c:autoTitleDeleted val="1"/>
    <c:plotArea>
      <c:layout>
        <c:manualLayout>
          <c:layoutTarget val="inner"/>
          <c:xMode val="edge"/>
          <c:yMode val="edge"/>
          <c:x val="0.07202329"/>
          <c:y val="0.14461224"/>
          <c:w val="0.4007998"/>
          <c:h val="0.75493115"/>
        </c:manualLayout>
      </c:layout>
      <c:pieChart>
        <c:varyColors val="1"/>
        <c:ser>
          <c:idx val="0"/>
          <c:order val="0"/>
          <c:tx>
            <c:strRef>
              <c:f>'Sheet1 (2)'!$B$1</c:f>
              <c:strCache>
                <c:ptCount val="1"/>
                <c:pt idx="0">
                  <c:v>销售额</c:v>
                </c:pt>
              </c:strCache>
            </c:strRef>
          </c:tx>
          <c:spPr>
            <a:solidFill>
              <a:srgbClr val="4F81BD"/>
            </a:solidFill>
          </c:spPr>
          <c:dPt>
            <c:idx val="0"/>
            <c:bubble3D val="0"/>
            <c:spPr>
              <a:solidFill>
                <a:srgbClr val="4F81BD"/>
              </a:solidFill>
            </c:spPr>
          </c:dPt>
          <c:dPt>
            <c:idx val="1"/>
            <c:bubble3D val="0"/>
            <c:spPr>
              <a:solidFill>
                <a:srgbClr val="C0504D"/>
              </a:solidFill>
            </c:spPr>
          </c:dPt>
          <c:dLbls>
            <c:showLegendKey val="0"/>
            <c:showVal val="0"/>
            <c:showCatName val="0"/>
            <c:showSerName val="0"/>
            <c:showPercent val="0"/>
            <c:showBubbleSize val="0"/>
            <c:showLeaderLines val="0"/>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6813.85</c:v>
                </c:pt>
                <c:pt idx="1">
                  <c:v>545.07</c:v>
                </c:pt>
              </c:numCache>
            </c:numRef>
          </c:val>
        </c:ser>
        <c:firstSliceAng val="0"/>
      </c:pieChart>
      <c:spPr>
        <a:noFill/>
      </c:spPr>
    </c:plotArea>
    <c:legend>
      <c:legendPos val="r"/>
      <c:layout>
        <c:manualLayout>
          <c:xMode val="edge"/>
          <c:yMode val="edge"/>
          <c:x val="0.6418157"/>
          <c:y val="0.14221911"/>
          <c:w val="0.3290934"/>
          <c:h val="0.6775249"/>
        </c:manualLayout>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(3)'!$B$1</c:f>
              <c:strCache>
                <c:ptCount val="1"/>
                <c:pt idx="0">
                  <c:v>本年支出</c:v>
                </c:pt>
              </c:strCache>
            </c:strRef>
          </c:tx>
          <c:spPr>
            <a:solidFill>
              <a:srgbClr val="4F81BD"/>
            </a:solidFill>
          </c:spPr>
          <c:dPt>
            <c:idx val="0"/>
            <c:bubble3D val="0"/>
            <c:spPr>
              <a:solidFill>
                <a:srgbClr val="4F81BD"/>
              </a:solidFill>
            </c:spPr>
          </c:dPt>
          <c:dPt>
            <c:idx val="1"/>
            <c:bubble3D val="0"/>
            <c:spPr>
              <a:solidFill>
                <a:srgbClr val="C0504D"/>
              </a:solidFill>
            </c:spPr>
          </c:dPt>
          <c:dLbls>
            <c:showLegendKey val="0"/>
            <c:showVal val="0"/>
            <c:showCatName val="0"/>
            <c:showSerName val="0"/>
            <c:showPercent val="0"/>
            <c:showBubbleSize val="0"/>
            <c:showLeaderLines val="0"/>
          </c:dLbls>
          <c:cat>
            <c:strRef>
              <c:f>'Sheet1 (3)'!$A$2:$A$3</c:f>
              <c:strCache>
                <c:ptCount val="2"/>
                <c:pt idx="0">
                  <c:v>基本支出</c:v>
                </c:pt>
                <c:pt idx="1">
                  <c:v>项目支出</c:v>
                </c:pt>
              </c:strCache>
            </c:strRef>
          </c:cat>
          <c:val>
            <c:numRef>
              <c:f>'Sheet1 (3)'!$B$2:$B$3</c:f>
              <c:numCache>
                <c:formatCode>General</c:formatCode>
                <c:ptCount val="2"/>
                <c:pt idx="0">
                  <c:v>466.49</c:v>
                </c:pt>
                <c:pt idx="1">
                  <c:v>4836.45</c:v>
                </c:pt>
              </c:numCache>
            </c:numRef>
          </c:val>
        </c:ser>
        <c:firstSliceAng val="0"/>
      </c:pieChart>
      <c:spPr>
        <a:noFill/>
      </c:spPr>
    </c:plotArea>
    <c:legend>
      <c:legendPos val="r"/>
      <c:layout>
        <c:manualLayout>
          <c:xMode val="edge"/>
          <c:yMode val="edge"/>
          <c:x val="0.74876887"/>
          <c:y val="0.37677327"/>
          <c:w val="0.2276323"/>
          <c:h val="0.3450766"/>
        </c:manualLayout>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收、支决算总计</a:t>
            </a:r>
          </a:p>
        </c:rich>
      </c:tx>
      <c:layout>
        <c:manualLayout>
          <c:xMode val="edge"/>
          <c:yMode val="edge"/>
          <c:x val="0.38976216"/>
          <c:y val="0.0"/>
        </c:manualLayout>
      </c:layout>
      <c:overlay val="0"/>
      <c:spPr>
        <a:ln>
          <a:noFill/>
        </a:ln>
      </c:spPr>
    </c:title>
    <c:autoTitleDeleted val="1"/>
    <c:plotArea>
      <c:layout>
        <c:manualLayout>
          <c:layoutTarget val="inner"/>
          <c:xMode val="edge"/>
          <c:yMode val="edge"/>
          <c:x val="0.17657329"/>
          <c:y val="0.118682"/>
          <c:w val="0.74249864"/>
          <c:h val="0.68306154"/>
        </c:manualLayout>
      </c:layout>
      <c:barChart>
        <c:barDir val="col"/>
        <c:grouping val="stacked"/>
        <c:varyColors val="0"/>
        <c:ser>
          <c:idx val="0"/>
          <c:order val="0"/>
          <c:tx>
            <c:strRef>
              <c:f>'Sheet1 (4)'!$B$1</c:f>
              <c:strCache>
                <c:ptCount val="1"/>
                <c:pt idx="0">
                  <c:v>系列 1</c:v>
                </c:pt>
              </c:strCache>
            </c:strRef>
          </c:tx>
          <c:spPr>
            <a:solidFill>
              <a:srgbClr val="4472C4"/>
            </a:solidFill>
          </c:spPr>
          <c:invertIfNegative val="0"/>
          <c:dLbls>
            <c:showLegendKey val="0"/>
            <c:showVal val="0"/>
            <c:showCatName val="0"/>
            <c:showSerName val="0"/>
            <c:showPercent val="0"/>
            <c:showBubbleSize val="0"/>
            <c:showLeaderLines val="0"/>
          </c:dLbls>
          <c:cat>
            <c:strRef>
              <c:f>'Sheet1 (4)'!$A$2:$A$3</c:f>
              <c:strCache>
                <c:ptCount val="2"/>
                <c:pt idx="0">
                  <c:v>2019年</c:v>
                </c:pt>
                <c:pt idx="1">
                  <c:v>2020年</c:v>
                </c:pt>
              </c:strCache>
            </c:strRef>
          </c:cat>
          <c:val>
            <c:numRef>
              <c:f>'Sheet1 (4)'!$B$2:$B$3</c:f>
              <c:numCache>
                <c:formatCode>General</c:formatCode>
                <c:ptCount val="2"/>
                <c:pt idx="0">
                  <c:v>10989.19</c:v>
                </c:pt>
                <c:pt idx="1">
                  <c:v>11465.58</c:v>
                </c:pt>
              </c:numCache>
            </c:numRef>
          </c:val>
        </c:ser>
        <c:overlap val="100"/>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一般公共预算财政拨款支出</a:t>
            </a:r>
          </a:p>
        </c:rich>
      </c:tx>
      <c:layout/>
      <c:overlay val="0"/>
      <c:spPr>
        <a:ln>
          <a:noFill/>
        </a:ln>
      </c:spPr>
    </c:title>
    <c:autoTitleDeleted val="1"/>
    <c:plotArea>
      <c:layout>
        <c:manualLayout>
          <c:layoutTarget val="inner"/>
          <c:xMode val="edge"/>
          <c:yMode val="edge"/>
          <c:x val="0.17253368"/>
          <c:y val="0.27760482"/>
          <c:w val="0.7969531"/>
          <c:h val="0.52595204"/>
        </c:manualLayout>
      </c:layout>
      <c:barChart>
        <c:barDir val="col"/>
        <c:grouping val="stacked"/>
        <c:varyColors val="0"/>
        <c:ser>
          <c:idx val="0"/>
          <c:order val="0"/>
          <c:tx>
            <c:strRef>
              <c:f>'Sheet1 (5)'!$B$1</c:f>
              <c:strCache>
                <c:ptCount val="1"/>
                <c:pt idx="0">
                  <c:v>系列 1</c:v>
                </c:pt>
              </c:strCache>
            </c:strRef>
          </c:tx>
          <c:spPr>
            <a:solidFill>
              <a:srgbClr val="4472C4"/>
            </a:solidFill>
          </c:spPr>
          <c:invertIfNegative val="0"/>
          <c:dLbls>
            <c:showLegendKey val="0"/>
            <c:showVal val="0"/>
            <c:showCatName val="0"/>
            <c:showSerName val="0"/>
            <c:showPercent val="0"/>
            <c:showBubbleSize val="0"/>
            <c:showLeaderLines val="0"/>
          </c:dLbls>
          <c:cat>
            <c:strRef>
              <c:f>'Sheet1 (5)'!$A$2:$A$3</c:f>
              <c:strCache>
                <c:ptCount val="2"/>
                <c:pt idx="0">
                  <c:v>2019年</c:v>
                </c:pt>
                <c:pt idx="1">
                  <c:v>2020年</c:v>
                </c:pt>
              </c:strCache>
            </c:strRef>
          </c:cat>
          <c:val>
            <c:numRef>
              <c:f>'Sheet1 (5)'!$B$2:$B$3</c:f>
              <c:numCache>
                <c:formatCode>General</c:formatCode>
                <c:ptCount val="2"/>
                <c:pt idx="0">
                  <c:v>6945.31</c:v>
                </c:pt>
                <c:pt idx="1">
                  <c:v>3641.5</c:v>
                </c:pt>
              </c:numCache>
            </c:numRef>
          </c:val>
        </c:ser>
        <c:overlap val="100"/>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一般公共预算财政拨款支出</a:t>
            </a:r>
          </a:p>
        </c:rich>
      </c:tx>
      <c:layout>
        <c:manualLayout>
          <c:xMode val="edge"/>
          <c:yMode val="edge"/>
          <c:x val="0.20865154"/>
          <c:y val="0.044724904"/>
        </c:manualLayout>
      </c:layout>
      <c:overlay val="0"/>
      <c:spPr>
        <a:ln>
          <a:noFill/>
        </a:ln>
      </c:spPr>
    </c:title>
    <c:autoTitleDeleted val="1"/>
    <c:plotArea>
      <c:layout>
        <c:manualLayout>
          <c:layoutTarget val="inner"/>
          <c:xMode val="edge"/>
          <c:yMode val="edge"/>
          <c:x val="0.19527023"/>
          <c:y val="0.22456141"/>
          <c:w val="0.5329078"/>
          <c:h val="0.7754386"/>
        </c:manualLayout>
      </c:layout>
      <c:pieChart>
        <c:varyColors val="1"/>
        <c:ser>
          <c:idx val="0"/>
          <c:order val="0"/>
          <c:tx>
            <c:strRef>
              <c:f>'Sheet1 (6)'!$B$1</c:f>
              <c:strCache>
                <c:ptCount val="1"/>
                <c:pt idx="0">
                  <c:v>一般公共预算财政拨款支出</c:v>
                </c:pt>
              </c:strCache>
            </c:strRef>
          </c:tx>
          <c:spPr>
            <a:solidFill>
              <a:srgbClr val="4F81B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showLegendKey val="0"/>
            <c:showVal val="0"/>
            <c:showCatName val="0"/>
            <c:showSerName val="0"/>
            <c:showPercent val="0"/>
            <c:showBubbleSize val="0"/>
            <c:showLeaderLines val="0"/>
          </c:dLbls>
          <c:cat>
            <c:strRef>
              <c:f>'Sheet1 (6)'!$A$2:$A$5</c:f>
              <c:strCache>
                <c:ptCount val="4"/>
                <c:pt idx="0">
                  <c:v>社会保障和就业支出</c:v>
                </c:pt>
                <c:pt idx="1">
                  <c:v>卫生健康支出</c:v>
                </c:pt>
                <c:pt idx="2">
                  <c:v>农林水支出</c:v>
                </c:pt>
                <c:pt idx="3">
                  <c:v>住房保障支出</c:v>
                </c:pt>
              </c:strCache>
            </c:strRef>
          </c:cat>
          <c:val>
            <c:numRef>
              <c:f>'Sheet1 (6)'!$B$2:$B$5</c:f>
              <c:numCache>
                <c:formatCode>General</c:formatCode>
                <c:ptCount val="4"/>
                <c:pt idx="0">
                  <c:v>46.36</c:v>
                </c:pt>
                <c:pt idx="1">
                  <c:v>25.52</c:v>
                </c:pt>
                <c:pt idx="2">
                  <c:v>3535.06</c:v>
                </c:pt>
                <c:pt idx="3">
                  <c:v>34.56</c:v>
                </c:pt>
              </c:numCache>
            </c:numRef>
          </c:val>
        </c:ser>
        <c:firstSliceAng val="0"/>
      </c:pieChart>
      <c:spPr>
        <a:noFill/>
      </c:spPr>
    </c:plotArea>
    <c:legend>
      <c:legendPos val="r"/>
      <c:layout>
        <c:manualLayout>
          <c:xMode val="edge"/>
          <c:yMode val="edge"/>
          <c:x val="0.7254424"/>
          <c:y val="0.16980241"/>
          <c:w val="0.24103454"/>
          <c:h val="0.79008865"/>
        </c:manualLayout>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三公经费</a:t>
            </a:r>
          </a:p>
        </c:rich>
      </c:tx>
      <c:layout/>
      <c:overlay val="0"/>
      <c:spPr>
        <a:ln>
          <a:noFill/>
        </a:ln>
      </c:spPr>
    </c:title>
    <c:autoTitleDeleted val="1"/>
    <c:plotArea>
      <c:layout>
        <c:manualLayout>
          <c:layoutTarget val="inner"/>
          <c:xMode val="edge"/>
          <c:yMode val="edge"/>
          <c:x val="0.112764046"/>
          <c:y val="0.20864652"/>
          <c:w val="0.43037024"/>
          <c:h val="0.7273069"/>
        </c:manualLayout>
      </c:layout>
      <c:pieChart>
        <c:varyColors val="1"/>
        <c:ser>
          <c:idx val="0"/>
          <c:order val="0"/>
          <c:tx>
            <c:strRef>
              <c:f>'Sheet1 (7)'!$B$1</c:f>
              <c:strCache>
                <c:ptCount val="1"/>
                <c:pt idx="0">
                  <c:v>三公经费</c:v>
                </c:pt>
              </c:strCache>
            </c:strRef>
          </c:tx>
          <c:spPr>
            <a:solidFill>
              <a:srgbClr val="4F81B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howLegendKey val="0"/>
            <c:showVal val="0"/>
            <c:showCatName val="0"/>
            <c:showSerName val="0"/>
            <c:showPercent val="0"/>
            <c:showBubbleSize val="0"/>
            <c:showLeaderLines val="0"/>
          </c:dLbls>
          <c:cat>
            <c:strRef>
              <c:f>'Sheet1 (7)'!$A$2:$A$4</c:f>
              <c:strCache>
                <c:ptCount val="3"/>
                <c:pt idx="0">
                  <c:v>因公出国经费</c:v>
                </c:pt>
                <c:pt idx="1">
                  <c:v>公务用车购置及运行维护费</c:v>
                </c:pt>
                <c:pt idx="2">
                  <c:v>公务接待费</c:v>
                </c:pt>
              </c:strCache>
            </c:strRef>
          </c:cat>
          <c:val>
            <c:numRef>
              <c:f>'Sheet1 (7)'!$B$2:$B$4</c:f>
              <c:numCache>
                <c:formatCode>General</c:formatCode>
                <c:ptCount val="3"/>
                <c:pt idx="0">
                  <c:v>0.0</c:v>
                </c:pt>
                <c:pt idx="1">
                  <c:v>14.05</c:v>
                </c:pt>
                <c:pt idx="2">
                  <c:v>0.22</c:v>
                </c:pt>
              </c:numCache>
            </c:numRef>
          </c:val>
        </c:ser>
        <c:firstSliceAng val="0"/>
      </c:pieChart>
      <c:spPr>
        <a:noFill/>
      </c:spPr>
    </c:plotArea>
    <c:legend>
      <c:legendPos val="r"/>
      <c:layout>
        <c:manualLayout>
          <c:xMode val="edge"/>
          <c:yMode val="edge"/>
          <c:x val="0.5859498"/>
          <c:y val="0.27010548"/>
          <c:w val="0.4076039"/>
          <c:h val="0.6345691"/>
        </c:manualLayout>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930</TotalTime>
  <Application>Yozo_Office27021597764231179</Application>
  <Pages>1</Pages>
  <Words>15</Words>
  <Characters>18</Characters>
  <Lines>2</Lines>
  <Paragraphs>1</Paragraphs>
  <CharactersWithSpaces>18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505</cp:revision>
  <cp:lastPrinted>2021-09-24T07:09:00Z</cp:lastPrinted>
  <dcterms:created xsi:type="dcterms:W3CDTF">2021-08-06T09:38:00Z</dcterms:created>
  <dcterms:modified xsi:type="dcterms:W3CDTF">2023-11-07T09:08:41Z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2052-11.8.2.8875</vt:lpwstr>
  </property>
</Properties>
</file>