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茂县水务局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spacing w:line="576" w:lineRule="exact"/>
        <w:ind w:firstLine="640"/>
        <w:rPr>
          <w:rFonts w:ascii="黑体" w:hAnsi="黑体" w:eastAsia="黑体"/>
          <w:sz w:val="32"/>
          <w:szCs w:val="32"/>
        </w:rPr>
      </w:pPr>
      <w:r>
        <w:rPr>
          <w:rFonts w:hint="eastAsia" w:ascii="黑体" w:hAnsi="黑体" w:eastAsia="黑体"/>
          <w:sz w:val="32"/>
          <w:szCs w:val="32"/>
        </w:rPr>
        <w:t>一、基本职能及主要工作</w:t>
      </w:r>
    </w:p>
    <w:p>
      <w:pPr>
        <w:spacing w:line="576" w:lineRule="exact"/>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3.组织编制洪水干早灾害防治规划，承担水情、旱情监测预警，组织编制防洪抗旱应急水量调度方案，编制防御洪水抗早调度方案。</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8.负责全县水利方面的科技与外事工作，组织本县重大水利行业科学研究的技术推广。监督实施水利行业技术质量标准和规程、规范，承办水利行业对外经济、技术合作与交流等涉外事务。</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9.完成县委和县政府交办的其他任务。</w:t>
      </w:r>
    </w:p>
    <w:p>
      <w:pPr>
        <w:spacing w:line="576" w:lineRule="exact"/>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cs="Arial"/>
          <w:sz w:val="32"/>
          <w:szCs w:val="32"/>
        </w:rPr>
        <w:t>立足夯实基础、着力推进项目建设。</w:t>
      </w:r>
      <w:r>
        <w:rPr>
          <w:rFonts w:hint="eastAsia" w:ascii="仿宋_GB2312" w:eastAsia="仿宋_GB2312" w:cs="Arial"/>
          <w:b/>
          <w:bCs/>
          <w:color w:val="000000"/>
          <w:sz w:val="32"/>
          <w:szCs w:val="32"/>
        </w:rPr>
        <w:t>一是</w:t>
      </w:r>
      <w:r>
        <w:rPr>
          <w:rFonts w:hint="eastAsia" w:ascii="仿宋_GB2312" w:eastAsia="仿宋_GB2312" w:cs="Arial"/>
          <w:color w:val="000000"/>
          <w:sz w:val="32"/>
          <w:szCs w:val="32"/>
        </w:rPr>
        <w:t>继续推进茂县赤沙较中型灌区工程前期工作。</w:t>
      </w:r>
      <w:r>
        <w:rPr>
          <w:rFonts w:hint="eastAsia" w:ascii="仿宋_GB2312" w:eastAsia="仿宋_GB2312" w:cs="Arial"/>
          <w:b/>
          <w:bCs/>
          <w:color w:val="000000"/>
          <w:sz w:val="32"/>
          <w:szCs w:val="32"/>
        </w:rPr>
        <w:t>二是</w:t>
      </w:r>
      <w:r>
        <w:rPr>
          <w:rFonts w:hint="eastAsia" w:ascii="仿宋_GB2312" w:eastAsia="仿宋_GB2312" w:cs="Arial"/>
          <w:color w:val="000000"/>
          <w:sz w:val="32"/>
          <w:szCs w:val="32"/>
        </w:rPr>
        <w:t>完成岷江茂县段（壳壳寨）堤防项目建设（总投资2000万元）。</w:t>
      </w:r>
      <w:r>
        <w:rPr>
          <w:rFonts w:hint="eastAsia" w:ascii="仿宋_GB2312" w:eastAsia="仿宋_GB2312" w:cs="Arial"/>
          <w:b/>
          <w:bCs/>
          <w:color w:val="000000"/>
          <w:sz w:val="32"/>
          <w:szCs w:val="32"/>
        </w:rPr>
        <w:t>三是</w:t>
      </w:r>
      <w:r>
        <w:rPr>
          <w:rFonts w:hint="eastAsia" w:ascii="仿宋_GB2312" w:eastAsia="仿宋_GB2312" w:cs="Arial"/>
          <w:color w:val="000000"/>
          <w:sz w:val="32"/>
          <w:szCs w:val="32"/>
        </w:rPr>
        <w:t>完成茂县土门河土门镇东兴段防洪治理工程（总投资2930万元）。</w:t>
      </w:r>
      <w:r>
        <w:rPr>
          <w:rFonts w:hint="eastAsia" w:ascii="仿宋_GB2312" w:eastAsia="仿宋_GB2312" w:cs="Arial"/>
          <w:b/>
          <w:bCs/>
          <w:color w:val="000000"/>
          <w:sz w:val="32"/>
          <w:szCs w:val="32"/>
        </w:rPr>
        <w:t>四是</w:t>
      </w:r>
      <w:r>
        <w:rPr>
          <w:rFonts w:hint="eastAsia" w:ascii="仿宋_GB2312" w:eastAsia="仿宋_GB2312" w:cs="Arial"/>
          <w:color w:val="000000"/>
          <w:sz w:val="32"/>
          <w:szCs w:val="32"/>
        </w:rPr>
        <w:t>投资200万元对现有农村供水工程进行巩固提升及维修养护。</w:t>
      </w:r>
      <w:r>
        <w:rPr>
          <w:rFonts w:hint="eastAsia" w:ascii="仿宋_GB2312" w:eastAsia="仿宋_GB2312" w:cs="Arial"/>
          <w:b/>
          <w:bCs/>
          <w:color w:val="000000"/>
          <w:sz w:val="32"/>
          <w:szCs w:val="32"/>
        </w:rPr>
        <w:t>五是</w:t>
      </w:r>
      <w:r>
        <w:rPr>
          <w:rFonts w:hint="eastAsia" w:ascii="仿宋_GB2312" w:eastAsia="仿宋_GB2312" w:cs="Arial"/>
          <w:color w:val="000000"/>
          <w:sz w:val="32"/>
          <w:szCs w:val="32"/>
        </w:rPr>
        <w:t>继续开展总投资4000万元的4个岷江段茂县凤仪镇生态综合治理项目、岷江茂县沟口镇段生态综合治理项目、壳壳寨山洪沟综合治理项目和宗渠沟山洪沟综合治理项目前期工作，积极完善储备水利项目，结合我县实际情况和相关规划，积极向上级主管部门汇报，主动争取资金落地，为项目顺利实施打下坚实的基础。</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黑体" w:hAnsi="黑体" w:eastAsia="黑体" w:cs="Arial"/>
          <w:color w:val="000000"/>
          <w:sz w:val="32"/>
          <w:szCs w:val="32"/>
        </w:rPr>
        <w:t>二、</w:t>
      </w:r>
      <w:r>
        <w:rPr>
          <w:rFonts w:hint="eastAsia" w:ascii="黑体" w:hAnsi="黑体" w:eastAsia="黑体"/>
          <w:sz w:val="32"/>
          <w:szCs w:val="32"/>
        </w:rPr>
        <w:t>部门预算单位构成</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茂县水务局属一级预算单位，下属二级预算单位0个，其中：参照公务员法管理的事业单位0个，其他事业单位0个。</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黑体" w:hAnsi="黑体" w:eastAsia="黑体"/>
          <w:sz w:val="32"/>
          <w:szCs w:val="32"/>
        </w:rPr>
        <w:t>三、收支预算情况说明</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ascii="仿宋_GB2312" w:eastAsia="仿宋_GB2312"/>
          <w:sz w:val="32"/>
          <w:szCs w:val="32"/>
        </w:rPr>
        <w:t>按照综合预算的原则，</w:t>
      </w:r>
      <w:r>
        <w:rPr>
          <w:rFonts w:hint="eastAsia" w:ascii="仿宋_GB2312" w:eastAsia="仿宋_GB2312"/>
          <w:sz w:val="32"/>
          <w:szCs w:val="32"/>
        </w:rPr>
        <w:t>茂县水务局</w:t>
      </w:r>
      <w:r>
        <w:rPr>
          <w:rFonts w:ascii="仿宋_GB2312" w:eastAsia="仿宋_GB2312"/>
          <w:sz w:val="32"/>
          <w:szCs w:val="32"/>
        </w:rPr>
        <w:t>所有收入和支出均纳入部门预算管理。收入包括：一般公共预算拨款收入3201623.36元；支出包括：社会保障和就业支出444160.08元，</w:t>
      </w:r>
      <w:r>
        <w:rPr>
          <w:rFonts w:hint="eastAsia" w:ascii="仿宋_GB2312" w:eastAsia="仿宋_GB2312"/>
          <w:sz w:val="32"/>
          <w:szCs w:val="32"/>
        </w:rPr>
        <w:t>卫生健康</w:t>
      </w:r>
      <w:r>
        <w:rPr>
          <w:rFonts w:ascii="仿宋_GB2312" w:eastAsia="仿宋_GB2312"/>
          <w:sz w:val="32"/>
          <w:szCs w:val="32"/>
        </w:rPr>
        <w:t>支出212237.86元，</w:t>
      </w:r>
      <w:r>
        <w:rPr>
          <w:rFonts w:hint="eastAsia" w:ascii="仿宋_GB2312" w:eastAsia="仿宋_GB2312"/>
          <w:sz w:val="32"/>
          <w:szCs w:val="32"/>
        </w:rPr>
        <w:t>农林水支出</w:t>
      </w:r>
      <w:r>
        <w:rPr>
          <w:rFonts w:ascii="仿宋_GB2312" w:eastAsia="仿宋_GB2312"/>
          <w:sz w:val="32"/>
          <w:szCs w:val="32"/>
        </w:rPr>
        <w:t>2227633.42</w:t>
      </w:r>
      <w:r>
        <w:rPr>
          <w:rFonts w:hint="eastAsia" w:ascii="仿宋_GB2312" w:eastAsia="仿宋_GB2312"/>
          <w:sz w:val="32"/>
          <w:szCs w:val="32"/>
        </w:rPr>
        <w:t>元，</w:t>
      </w:r>
      <w:r>
        <w:rPr>
          <w:rFonts w:ascii="仿宋_GB2312" w:eastAsia="仿宋_GB2312"/>
          <w:sz w:val="32"/>
          <w:szCs w:val="32"/>
        </w:rPr>
        <w:t>住房保障支出317592元。</w:t>
      </w:r>
      <w:r>
        <w:rPr>
          <w:rFonts w:hint="eastAsia" w:ascii="仿宋_GB2312" w:eastAsia="仿宋_GB2312"/>
          <w:sz w:val="32"/>
          <w:szCs w:val="32"/>
        </w:rPr>
        <w:t>茂县水务局</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年收支总预算3201623.36元,比20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rPr>
        <w:t>36176.36</w:t>
      </w:r>
      <w:r>
        <w:rPr>
          <w:rFonts w:ascii="仿宋_GB2312" w:eastAsia="仿宋_GB2312"/>
          <w:sz w:val="32"/>
          <w:szCs w:val="32"/>
        </w:rPr>
        <w:t>元，主要原因:</w:t>
      </w:r>
      <w:r>
        <w:rPr>
          <w:rFonts w:hint="eastAsia" w:ascii="仿宋_GB2312" w:eastAsia="仿宋_GB2312"/>
          <w:sz w:val="32"/>
          <w:szCs w:val="32"/>
        </w:rPr>
        <w:t>人员经费增加</w:t>
      </w:r>
      <w:r>
        <w:rPr>
          <w:rFonts w:ascii="仿宋_GB2312" w:eastAsia="仿宋_GB2312"/>
          <w:sz w:val="32"/>
          <w:szCs w:val="32"/>
        </w:rPr>
        <w:t>。</w:t>
      </w:r>
    </w:p>
    <w:p>
      <w:pPr>
        <w:pBdr>
          <w:bottom w:val="single" w:color="FFFFFF" w:sz="4" w:space="31"/>
        </w:pBdr>
        <w:tabs>
          <w:tab w:val="left" w:pos="6117"/>
        </w:tabs>
        <w:spacing w:line="576" w:lineRule="exact"/>
        <w:ind w:firstLine="642" w:firstLineChars="200"/>
        <w:textAlignment w:val="baseline"/>
        <w:rPr>
          <w:rFonts w:ascii="仿宋_GB2312" w:eastAsia="仿宋_GB2312" w:cs="Arial"/>
          <w:color w:val="000000"/>
          <w:sz w:val="32"/>
          <w:szCs w:val="32"/>
        </w:rPr>
      </w:pPr>
      <w:r>
        <w:rPr>
          <w:rFonts w:hint="eastAsia" w:ascii="楷体_GB2312" w:hAnsi="楷体" w:eastAsia="楷体_GB2312"/>
          <w:b/>
          <w:sz w:val="32"/>
          <w:szCs w:val="32"/>
        </w:rPr>
        <w:t>（一）收入预算情况</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2022</w:t>
      </w:r>
      <w:r>
        <w:rPr>
          <w:rFonts w:ascii="仿宋_GB2312" w:eastAsia="仿宋_GB2312"/>
          <w:sz w:val="32"/>
          <w:szCs w:val="32"/>
        </w:rPr>
        <w:t>年收入预算3201623.36元；一般公共预算拨款收入3201623.36元，占</w:t>
      </w:r>
      <w:r>
        <w:rPr>
          <w:rFonts w:hint="eastAsia" w:ascii="仿宋_GB2312" w:eastAsia="仿宋_GB2312"/>
          <w:sz w:val="32"/>
          <w:szCs w:val="32"/>
        </w:rPr>
        <w:t>100</w:t>
      </w:r>
      <w:r>
        <w:rPr>
          <w:rFonts w:ascii="仿宋_GB2312" w:eastAsia="仿宋_GB2312"/>
          <w:sz w:val="32"/>
          <w:szCs w:val="32"/>
        </w:rPr>
        <w:t>%。</w:t>
      </w:r>
    </w:p>
    <w:p>
      <w:pPr>
        <w:pBdr>
          <w:bottom w:val="single" w:color="FFFFFF" w:sz="4" w:space="31"/>
        </w:pBdr>
        <w:tabs>
          <w:tab w:val="left" w:pos="6117"/>
        </w:tabs>
        <w:spacing w:line="576" w:lineRule="exact"/>
        <w:ind w:firstLine="642" w:firstLineChars="200"/>
        <w:textAlignment w:val="baseline"/>
        <w:rPr>
          <w:rFonts w:ascii="仿宋_GB2312" w:eastAsia="仿宋_GB2312" w:cs="Arial"/>
          <w:color w:val="000000"/>
          <w:sz w:val="32"/>
          <w:szCs w:val="32"/>
        </w:rPr>
      </w:pPr>
      <w:r>
        <w:rPr>
          <w:rFonts w:hint="eastAsia" w:ascii="楷体_GB2312" w:hAnsi="楷体" w:eastAsia="楷体_GB2312" w:cs="仿宋_GB2312"/>
          <w:b/>
          <w:sz w:val="32"/>
          <w:szCs w:val="32"/>
          <w:lang w:eastAsia="zh-CN"/>
        </w:rPr>
        <w:t>（二）</w:t>
      </w:r>
      <w:bookmarkStart w:id="0" w:name="_GoBack"/>
      <w:bookmarkEnd w:id="0"/>
      <w:r>
        <w:rPr>
          <w:rFonts w:hint="eastAsia" w:ascii="楷体_GB2312" w:hAnsi="楷体" w:eastAsia="楷体_GB2312" w:cs="仿宋_GB2312"/>
          <w:b/>
          <w:sz w:val="32"/>
          <w:szCs w:val="32"/>
        </w:rPr>
        <w:t>支出预算情况</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年支出预算3201623.36元，其中：基本支出3193223.36元，占</w:t>
      </w:r>
      <w:r>
        <w:rPr>
          <w:rFonts w:hint="eastAsia" w:ascii="仿宋_GB2312" w:eastAsia="仿宋_GB2312"/>
          <w:sz w:val="32"/>
          <w:szCs w:val="32"/>
        </w:rPr>
        <w:t>99.74</w:t>
      </w:r>
      <w:r>
        <w:rPr>
          <w:rFonts w:ascii="仿宋_GB2312" w:eastAsia="仿宋_GB2312"/>
          <w:sz w:val="32"/>
          <w:szCs w:val="32"/>
        </w:rPr>
        <w:t>%，项目支出8400元，占</w:t>
      </w:r>
      <w:r>
        <w:rPr>
          <w:rFonts w:hint="eastAsia" w:ascii="仿宋_GB2312" w:eastAsia="仿宋_GB2312"/>
          <w:sz w:val="32"/>
          <w:szCs w:val="32"/>
        </w:rPr>
        <w:t>0.26</w:t>
      </w:r>
      <w:r>
        <w:rPr>
          <w:rFonts w:ascii="仿宋_GB2312" w:eastAsia="仿宋_GB2312"/>
          <w:sz w:val="32"/>
          <w:szCs w:val="32"/>
        </w:rPr>
        <w:t>%。</w:t>
      </w:r>
      <w:r>
        <w:rPr>
          <w:rFonts w:hint="eastAsia" w:ascii="仿宋_GB2312" w:eastAsia="仿宋_GB2312" w:cs="Arial"/>
          <w:color w:val="000000"/>
          <w:sz w:val="32"/>
          <w:szCs w:val="32"/>
        </w:rPr>
        <w:t xml:space="preserve">                       </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hint="eastAsia" w:ascii="黑体" w:hAnsi="黑体" w:eastAsia="黑体"/>
          <w:sz w:val="32"/>
          <w:szCs w:val="32"/>
        </w:rPr>
        <w:t>四、财政拨款收支预算情况说明</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年财政拨款收支总预算3201623.36元,比20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rPr>
        <w:t>36176.36</w:t>
      </w:r>
      <w:r>
        <w:rPr>
          <w:rFonts w:ascii="仿宋_GB2312" w:eastAsia="仿宋_GB2312"/>
          <w:sz w:val="32"/>
          <w:szCs w:val="32"/>
        </w:rPr>
        <w:t>元，主要原因:</w:t>
      </w:r>
      <w:r>
        <w:rPr>
          <w:rFonts w:hint="eastAsia" w:ascii="仿宋_GB2312" w:eastAsia="仿宋_GB2312"/>
          <w:sz w:val="32"/>
          <w:szCs w:val="32"/>
        </w:rPr>
        <w:t>人员经费增加</w:t>
      </w:r>
      <w:r>
        <w:rPr>
          <w:rFonts w:ascii="仿宋_GB2312" w:eastAsia="仿宋_GB2312"/>
          <w:sz w:val="32"/>
          <w:szCs w:val="32"/>
        </w:rPr>
        <w:t>。</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ascii="仿宋_GB2312" w:eastAsia="仿宋_GB2312"/>
          <w:sz w:val="32"/>
          <w:szCs w:val="32"/>
        </w:rPr>
        <w:t>收入包括：本年一般公共预算拨款收入3201623.36元</w:t>
      </w:r>
      <w:r>
        <w:rPr>
          <w:rFonts w:hint="eastAsia" w:ascii="仿宋_GB2312" w:eastAsia="仿宋_GB2312"/>
          <w:sz w:val="32"/>
          <w:szCs w:val="32"/>
        </w:rPr>
        <w:t>。</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ascii="仿宋_GB2312" w:eastAsia="仿宋_GB2312"/>
          <w:sz w:val="32"/>
          <w:szCs w:val="32"/>
        </w:rPr>
        <w:t>支出包括：社会保障和就业支出444160.08元，</w:t>
      </w:r>
      <w:r>
        <w:rPr>
          <w:rFonts w:hint="eastAsia" w:ascii="仿宋_GB2312" w:eastAsia="仿宋_GB2312"/>
          <w:sz w:val="32"/>
          <w:szCs w:val="32"/>
        </w:rPr>
        <w:t>卫生健康</w:t>
      </w:r>
      <w:r>
        <w:rPr>
          <w:rFonts w:ascii="仿宋_GB2312" w:eastAsia="仿宋_GB2312"/>
          <w:sz w:val="32"/>
          <w:szCs w:val="32"/>
        </w:rPr>
        <w:t>支出212237.86元，</w:t>
      </w:r>
      <w:r>
        <w:rPr>
          <w:rFonts w:hint="eastAsia" w:ascii="仿宋_GB2312" w:eastAsia="仿宋_GB2312"/>
          <w:sz w:val="32"/>
          <w:szCs w:val="32"/>
        </w:rPr>
        <w:t>农林水支出</w:t>
      </w:r>
      <w:r>
        <w:rPr>
          <w:rFonts w:ascii="仿宋_GB2312" w:eastAsia="仿宋_GB2312"/>
          <w:sz w:val="32"/>
          <w:szCs w:val="32"/>
        </w:rPr>
        <w:t>2227633.42</w:t>
      </w:r>
      <w:r>
        <w:rPr>
          <w:rFonts w:hint="eastAsia" w:ascii="仿宋_GB2312" w:eastAsia="仿宋_GB2312"/>
          <w:sz w:val="32"/>
          <w:szCs w:val="32"/>
        </w:rPr>
        <w:t>元，</w:t>
      </w:r>
      <w:r>
        <w:rPr>
          <w:rFonts w:ascii="仿宋_GB2312" w:eastAsia="仿宋_GB2312"/>
          <w:sz w:val="32"/>
          <w:szCs w:val="32"/>
        </w:rPr>
        <w:t>住房保障支出317592元。</w:t>
      </w:r>
    </w:p>
    <w:p>
      <w:pPr>
        <w:pBdr>
          <w:bottom w:val="single" w:color="FFFFFF" w:sz="4" w:space="31"/>
        </w:pBdr>
        <w:tabs>
          <w:tab w:val="left" w:pos="6117"/>
        </w:tabs>
        <w:spacing w:line="576"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五、一般公共预算当年拨款情况说明</w:t>
      </w:r>
    </w:p>
    <w:p>
      <w:pPr>
        <w:pBdr>
          <w:bottom w:val="single" w:color="FFFFFF" w:sz="4" w:space="31"/>
        </w:pBdr>
        <w:tabs>
          <w:tab w:val="left" w:pos="6117"/>
        </w:tabs>
        <w:spacing w:line="576" w:lineRule="exact"/>
        <w:ind w:firstLine="642" w:firstLineChars="200"/>
        <w:textAlignment w:val="baseline"/>
        <w:rPr>
          <w:rFonts w:hint="eastAsia" w:ascii="仿宋_GB2312" w:eastAsia="仿宋_GB2312" w:cs="Arial"/>
          <w:color w:val="000000"/>
          <w:sz w:val="32"/>
          <w:szCs w:val="32"/>
        </w:rPr>
      </w:pPr>
      <w:r>
        <w:rPr>
          <w:rFonts w:hint="eastAsia" w:ascii="楷体_GB2312" w:hAnsi="楷体" w:eastAsia="楷体_GB2312" w:cs="仿宋_GB2312"/>
          <w:b/>
          <w:sz w:val="32"/>
          <w:szCs w:val="32"/>
        </w:rPr>
        <w:t>（一）一般公共预算当年拨款规模变化情况</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年一般公共预算当年拨款3201623.36元,比20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rPr>
        <w:t>36176.36</w:t>
      </w:r>
      <w:r>
        <w:rPr>
          <w:rFonts w:ascii="仿宋_GB2312" w:eastAsia="仿宋_GB2312"/>
          <w:sz w:val="32"/>
          <w:szCs w:val="32"/>
        </w:rPr>
        <w:t>元，主要原因:</w:t>
      </w:r>
      <w:r>
        <w:rPr>
          <w:rFonts w:hint="eastAsia" w:ascii="仿宋_GB2312" w:eastAsia="仿宋_GB2312"/>
          <w:sz w:val="32"/>
          <w:szCs w:val="32"/>
        </w:rPr>
        <w:t>人员经费增加</w:t>
      </w:r>
      <w:r>
        <w:rPr>
          <w:rFonts w:ascii="仿宋_GB2312" w:eastAsia="仿宋_GB2312"/>
          <w:sz w:val="32"/>
          <w:szCs w:val="32"/>
        </w:rPr>
        <w:t>。</w:t>
      </w:r>
    </w:p>
    <w:p>
      <w:pPr>
        <w:pBdr>
          <w:bottom w:val="single" w:color="FFFFFF" w:sz="4" w:space="31"/>
        </w:pBdr>
        <w:tabs>
          <w:tab w:val="left" w:pos="6117"/>
        </w:tabs>
        <w:spacing w:line="576" w:lineRule="exact"/>
        <w:ind w:firstLine="642" w:firstLineChars="200"/>
        <w:textAlignment w:val="baseline"/>
        <w:rPr>
          <w:rFonts w:hint="eastAsia" w:ascii="仿宋_GB2312" w:eastAsia="仿宋_GB2312" w:cs="Arial"/>
          <w:color w:val="000000"/>
          <w:sz w:val="32"/>
          <w:szCs w:val="32"/>
        </w:rPr>
      </w:pPr>
      <w:r>
        <w:rPr>
          <w:rFonts w:hint="eastAsia" w:ascii="楷体_GB2312" w:hAnsi="楷体" w:eastAsia="楷体_GB2312" w:cs="宋体"/>
          <w:b/>
          <w:sz w:val="32"/>
          <w:szCs w:val="32"/>
        </w:rPr>
        <w:t>（二）一般公共预算当年拨款结构情况</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ascii="仿宋_GB2312" w:eastAsia="仿宋_GB2312"/>
          <w:sz w:val="32"/>
          <w:szCs w:val="32"/>
        </w:rPr>
        <w:t>社会保障和就业支出444160.08元，占</w:t>
      </w:r>
      <w:r>
        <w:rPr>
          <w:rFonts w:hint="eastAsia" w:ascii="仿宋_GB2312" w:eastAsia="仿宋_GB2312"/>
          <w:sz w:val="32"/>
          <w:szCs w:val="32"/>
        </w:rPr>
        <w:t>13.87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支出212237.86元，占</w:t>
      </w:r>
      <w:r>
        <w:rPr>
          <w:rFonts w:hint="eastAsia" w:ascii="仿宋_GB2312" w:eastAsia="仿宋_GB2312"/>
          <w:sz w:val="32"/>
          <w:szCs w:val="32"/>
        </w:rPr>
        <w:t>6.63</w:t>
      </w:r>
      <w:r>
        <w:rPr>
          <w:rFonts w:ascii="仿宋_GB2312" w:eastAsia="仿宋_GB2312"/>
          <w:sz w:val="32"/>
          <w:szCs w:val="32"/>
        </w:rPr>
        <w:t>%；</w:t>
      </w:r>
      <w:r>
        <w:rPr>
          <w:rFonts w:hint="eastAsia" w:ascii="仿宋_GB2312" w:eastAsia="仿宋_GB2312"/>
          <w:sz w:val="32"/>
          <w:szCs w:val="32"/>
        </w:rPr>
        <w:t>农林水支出</w:t>
      </w:r>
      <w:r>
        <w:rPr>
          <w:rFonts w:ascii="仿宋_GB2312" w:eastAsia="仿宋_GB2312"/>
          <w:sz w:val="32"/>
          <w:szCs w:val="32"/>
        </w:rPr>
        <w:t>2227633.42</w:t>
      </w:r>
      <w:r>
        <w:rPr>
          <w:rFonts w:hint="eastAsia" w:ascii="仿宋_GB2312" w:eastAsia="仿宋_GB2312"/>
          <w:sz w:val="32"/>
          <w:szCs w:val="32"/>
        </w:rPr>
        <w:t>元，</w:t>
      </w:r>
      <w:r>
        <w:rPr>
          <w:rFonts w:ascii="仿宋_GB2312" w:eastAsia="仿宋_GB2312"/>
          <w:sz w:val="32"/>
          <w:szCs w:val="32"/>
        </w:rPr>
        <w:t>占</w:t>
      </w:r>
      <w:r>
        <w:rPr>
          <w:rFonts w:hint="eastAsia" w:ascii="仿宋_GB2312" w:eastAsia="仿宋_GB2312"/>
          <w:sz w:val="32"/>
          <w:szCs w:val="32"/>
        </w:rPr>
        <w:t>69.58</w:t>
      </w:r>
      <w:r>
        <w:rPr>
          <w:rFonts w:ascii="仿宋_GB2312" w:eastAsia="仿宋_GB2312"/>
          <w:sz w:val="32"/>
          <w:szCs w:val="32"/>
        </w:rPr>
        <w:t>%；住房保障支出317592元</w:t>
      </w:r>
      <w:r>
        <w:rPr>
          <w:rFonts w:hint="eastAsia" w:ascii="仿宋_GB2312" w:eastAsia="仿宋_GB2312"/>
          <w:sz w:val="32"/>
          <w:szCs w:val="32"/>
        </w:rPr>
        <w:t>，</w:t>
      </w:r>
      <w:r>
        <w:rPr>
          <w:rFonts w:ascii="仿宋_GB2312" w:eastAsia="仿宋_GB2312"/>
          <w:sz w:val="32"/>
          <w:szCs w:val="32"/>
        </w:rPr>
        <w:t>占</w:t>
      </w:r>
      <w:r>
        <w:rPr>
          <w:rFonts w:hint="eastAsia" w:ascii="仿宋_GB2312" w:eastAsia="仿宋_GB2312"/>
          <w:sz w:val="32"/>
          <w:szCs w:val="32"/>
        </w:rPr>
        <w:t>9.92</w:t>
      </w:r>
      <w:r>
        <w:rPr>
          <w:rFonts w:ascii="仿宋_GB2312" w:eastAsia="仿宋_GB2312"/>
          <w:sz w:val="32"/>
          <w:szCs w:val="32"/>
        </w:rPr>
        <w:t>%。</w:t>
      </w:r>
    </w:p>
    <w:p>
      <w:pPr>
        <w:pBdr>
          <w:bottom w:val="single" w:color="FFFFFF" w:sz="4" w:space="31"/>
        </w:pBdr>
        <w:tabs>
          <w:tab w:val="left" w:pos="6117"/>
        </w:tabs>
        <w:spacing w:line="576" w:lineRule="exact"/>
        <w:ind w:firstLine="642" w:firstLineChars="200"/>
        <w:textAlignment w:val="baseline"/>
        <w:rPr>
          <w:rFonts w:hint="eastAsia" w:ascii="仿宋_GB2312" w:eastAsia="仿宋_GB2312" w:cs="Arial"/>
          <w:color w:val="000000"/>
          <w:sz w:val="32"/>
          <w:szCs w:val="32"/>
        </w:rPr>
      </w:pPr>
      <w:r>
        <w:rPr>
          <w:rFonts w:hint="eastAsia" w:ascii="楷体_GB2312" w:hAnsi="楷体" w:eastAsia="楷体_GB2312" w:cs="仿宋_GB2312"/>
          <w:b/>
          <w:sz w:val="32"/>
          <w:szCs w:val="32"/>
        </w:rPr>
        <w:t>（三）一般公共预算当年拨款具体使用情况</w:t>
      </w:r>
    </w:p>
    <w:p>
      <w:pPr>
        <w:pBdr>
          <w:bottom w:val="single" w:color="FFFFFF" w:sz="4" w:space="31"/>
        </w:pBdr>
        <w:tabs>
          <w:tab w:val="left" w:pos="6117"/>
        </w:tabs>
        <w:spacing w:line="576" w:lineRule="exact"/>
        <w:ind w:firstLine="640" w:firstLineChars="200"/>
        <w:textAlignment w:val="baseline"/>
        <w:rPr>
          <w:rFonts w:hint="eastAsia" w:ascii="仿宋_GB2312" w:eastAsia="仿宋_GB2312" w:cs="Arial"/>
          <w:color w:val="000000"/>
          <w:sz w:val="32"/>
          <w:szCs w:val="32"/>
        </w:rPr>
      </w:pPr>
      <w:r>
        <w:rPr>
          <w:rFonts w:hint="eastAsia" w:ascii="仿宋_GB2312" w:eastAsia="仿宋_GB2312"/>
          <w:sz w:val="32"/>
          <w:szCs w:val="32"/>
        </w:rPr>
        <w:t>1.</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年预算数296106.75元，主要用于单位缴纳基本养老保险费。</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2.</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年预算数为148053.33元，主要用于单位缴纳职业年金。</w:t>
      </w:r>
    </w:p>
    <w:p>
      <w:pPr>
        <w:spacing w:line="576" w:lineRule="exact"/>
        <w:ind w:firstLine="640" w:firstLineChars="200"/>
        <w:rPr>
          <w:rFonts w:hint="eastAsia" w:ascii="仿宋_GB2312" w:eastAsia="仿宋_GB2312"/>
          <w:sz w:val="32"/>
          <w:szCs w:val="32"/>
        </w:rPr>
      </w:pPr>
    </w:p>
    <w:p>
      <w:pPr>
        <w:spacing w:line="576" w:lineRule="exact"/>
        <w:ind w:firstLine="640" w:firstLineChars="200"/>
        <w:rPr>
          <w:rFonts w:ascii="仿宋_GB2312" w:eastAsia="仿宋_GB2312"/>
          <w:sz w:val="32"/>
          <w:szCs w:val="32"/>
        </w:rPr>
      </w:pPr>
      <w:r>
        <w:rPr>
          <w:rFonts w:hint="eastAsia" w:ascii="仿宋_GB2312" w:eastAsia="仿宋_GB2312"/>
          <w:sz w:val="32"/>
          <w:szCs w:val="32"/>
        </w:rPr>
        <w:t>3.卫生健康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）行政单位医疗（</w:t>
      </w:r>
      <w:r>
        <w:rPr>
          <w:rFonts w:hint="eastAsia" w:ascii="仿宋_GB2312" w:eastAsia="仿宋_GB2312"/>
          <w:sz w:val="32"/>
          <w:szCs w:val="32"/>
        </w:rPr>
        <w:t>11</w:t>
      </w:r>
      <w:r>
        <w:rPr>
          <w:rFonts w:ascii="仿宋_GB2312" w:eastAsia="仿宋_GB2312"/>
          <w:sz w:val="32"/>
          <w:szCs w:val="32"/>
        </w:rPr>
        <w:t>）行政事业单位医疗（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年预算数为52706.62元，主要用于行政单位缴纳基本医疗保险。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年预算数为159531.24元，主要用于事业单位缴纳基本医疗保险。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5.农林水支出（213）水利（03）行政运行（01）</w:t>
      </w:r>
      <w:r>
        <w:rPr>
          <w:rFonts w:ascii="仿宋_GB2312" w:eastAsia="仿宋_GB2312"/>
          <w:sz w:val="32"/>
          <w:szCs w:val="32"/>
        </w:rPr>
        <w:t>预算数为581986.11元，主要用于</w:t>
      </w:r>
      <w:r>
        <w:rPr>
          <w:rFonts w:hint="eastAsia" w:ascii="仿宋_GB2312" w:eastAsia="仿宋_GB2312"/>
          <w:sz w:val="32"/>
          <w:szCs w:val="32"/>
        </w:rPr>
        <w:t>行政单位</w:t>
      </w:r>
      <w:r>
        <w:rPr>
          <w:rFonts w:ascii="仿宋_GB2312" w:eastAsia="仿宋_GB2312"/>
          <w:sz w:val="32"/>
          <w:szCs w:val="32"/>
        </w:rPr>
        <w:t>人员经费和日常公用经费等基本支出。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6.农林水支出（213）水利（03）其他水利支出（99）</w:t>
      </w:r>
      <w:r>
        <w:rPr>
          <w:rFonts w:ascii="仿宋_GB2312" w:eastAsia="仿宋_GB2312"/>
          <w:sz w:val="32"/>
          <w:szCs w:val="32"/>
        </w:rPr>
        <w:t>预算数为1637247.31元，主要用于</w:t>
      </w:r>
      <w:r>
        <w:rPr>
          <w:rFonts w:hint="eastAsia" w:ascii="仿宋_GB2312" w:eastAsia="仿宋_GB2312"/>
          <w:sz w:val="32"/>
          <w:szCs w:val="32"/>
        </w:rPr>
        <w:t>事业单位</w:t>
      </w:r>
      <w:r>
        <w:rPr>
          <w:rFonts w:ascii="仿宋_GB2312" w:eastAsia="仿宋_GB2312"/>
          <w:sz w:val="32"/>
          <w:szCs w:val="32"/>
        </w:rPr>
        <w:t>人员经费和日常公用经费等基本支出。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7.农林水支出（213）扶贫（05）其他巩固脱贫衔接乡村振兴支出（99）</w:t>
      </w:r>
      <w:r>
        <w:rPr>
          <w:rFonts w:ascii="仿宋_GB2312" w:eastAsia="仿宋_GB2312"/>
          <w:sz w:val="32"/>
          <w:szCs w:val="32"/>
        </w:rPr>
        <w:t>预算数为8400元，</w:t>
      </w:r>
      <w:r>
        <w:rPr>
          <w:rFonts w:hint="eastAsia" w:ascii="仿宋_GB2312" w:eastAsia="仿宋_GB2312"/>
          <w:sz w:val="32"/>
          <w:szCs w:val="32"/>
        </w:rPr>
        <w:t>驻村干部临时岗位和乡镇工作补贴</w:t>
      </w:r>
      <w:r>
        <w:rPr>
          <w:rFonts w:ascii="仿宋_GB2312" w:eastAsia="仿宋_GB2312"/>
          <w:sz w:val="32"/>
          <w:szCs w:val="32"/>
        </w:rPr>
        <w:t>。</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）预算数为317592元，主要用于单位为职工缴纳住房公积金。</w:t>
      </w:r>
    </w:p>
    <w:p>
      <w:pPr>
        <w:spacing w:line="576"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576" w:lineRule="exact"/>
        <w:ind w:firstLine="640" w:firstLineChars="200"/>
        <w:rPr>
          <w:rFonts w:cs="仿宋_GB2312"/>
          <w:kern w:val="2"/>
          <w:sz w:val="32"/>
          <w:szCs w:val="32"/>
        </w:rPr>
      </w:pPr>
      <w:r>
        <w:rPr>
          <w:rFonts w:hint="eastAsia" w:cs="仿宋_GB2312"/>
          <w:kern w:val="2"/>
          <w:sz w:val="32"/>
          <w:szCs w:val="32"/>
        </w:rPr>
        <w:t>2022年一般公共预算基本支出</w:t>
      </w:r>
      <w:r>
        <w:rPr>
          <w:rFonts w:cs="仿宋_GB2312"/>
          <w:kern w:val="2"/>
          <w:sz w:val="32"/>
          <w:szCs w:val="32"/>
        </w:rPr>
        <w:t>3193223.36</w:t>
      </w:r>
      <w:r>
        <w:rPr>
          <w:rFonts w:hint="eastAsia" w:cs="仿宋_GB2312"/>
          <w:kern w:val="2"/>
          <w:sz w:val="32"/>
          <w:szCs w:val="32"/>
        </w:rPr>
        <w:t>元，其中：人员经费</w:t>
      </w:r>
      <w:r>
        <w:rPr>
          <w:rFonts w:cs="仿宋_GB2312"/>
          <w:kern w:val="2"/>
          <w:sz w:val="32"/>
          <w:szCs w:val="32"/>
        </w:rPr>
        <w:t>2972973.36</w:t>
      </w:r>
      <w:r>
        <w:rPr>
          <w:rFonts w:hint="eastAsia" w:cs="仿宋_GB2312"/>
          <w:kern w:val="2"/>
          <w:sz w:val="32"/>
          <w:szCs w:val="32"/>
        </w:rPr>
        <w:t>元，主要包括：基本工资、津贴补贴、奖金、其他社会保障缴费、绩效工资、机关事业单位基本养老保险缴费、职业年金缴费、奖励金、住房公积金支出。</w:t>
      </w:r>
    </w:p>
    <w:p>
      <w:pPr>
        <w:pStyle w:val="7"/>
        <w:spacing w:before="0" w:line="576" w:lineRule="exact"/>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rPr>
        <w:t>220250</w:t>
      </w:r>
      <w:r>
        <w:rPr>
          <w:rFonts w:hint="eastAsia" w:cs="仿宋_GB2312"/>
          <w:kern w:val="2"/>
          <w:sz w:val="32"/>
          <w:szCs w:val="32"/>
        </w:rPr>
        <w:t>元，主要包括：办公费、差旅费、培训费、公务接待费、公务用车运行维护费支出。</w:t>
      </w:r>
    </w:p>
    <w:p>
      <w:pPr>
        <w:spacing w:line="576"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576" w:lineRule="exact"/>
        <w:ind w:firstLine="640" w:firstLineChars="200"/>
        <w:rPr>
          <w:rFonts w:cs="仿宋_GB2312"/>
          <w:kern w:val="2"/>
          <w:sz w:val="32"/>
          <w:szCs w:val="32"/>
        </w:rPr>
      </w:pPr>
      <w:r>
        <w:rPr>
          <w:rFonts w:hint="eastAsia" w:cs="仿宋_GB2312"/>
          <w:kern w:val="2"/>
          <w:sz w:val="32"/>
          <w:szCs w:val="32"/>
        </w:rPr>
        <w:t>2022年“三公”经费财政拨款预算数</w:t>
      </w:r>
      <w:r>
        <w:rPr>
          <w:rFonts w:cs="仿宋_GB2312"/>
          <w:kern w:val="2"/>
          <w:sz w:val="32"/>
          <w:szCs w:val="32"/>
        </w:rPr>
        <w:t>44000</w:t>
      </w:r>
      <w:r>
        <w:rPr>
          <w:rFonts w:hint="eastAsia" w:cs="仿宋_GB2312"/>
          <w:kern w:val="2"/>
          <w:sz w:val="32"/>
          <w:szCs w:val="32"/>
        </w:rPr>
        <w:t>元，其中：因</w:t>
      </w:r>
      <w:r>
        <w:rPr>
          <w:sz w:val="32"/>
          <w:szCs w:val="32"/>
        </w:rPr>
        <w:t>无因公出国（境）经费</w:t>
      </w:r>
      <w:r>
        <w:rPr>
          <w:rFonts w:hint="eastAsia"/>
          <w:sz w:val="32"/>
          <w:szCs w:val="32"/>
        </w:rPr>
        <w:t>0元</w:t>
      </w:r>
      <w:r>
        <w:rPr>
          <w:sz w:val="32"/>
          <w:szCs w:val="32"/>
        </w:rPr>
        <w:t>，</w:t>
      </w:r>
      <w:r>
        <w:rPr>
          <w:rFonts w:hint="eastAsia" w:cs="仿宋_GB2312"/>
          <w:kern w:val="2"/>
          <w:sz w:val="32"/>
          <w:szCs w:val="32"/>
        </w:rPr>
        <w:t>公务接待费</w:t>
      </w:r>
      <w:r>
        <w:rPr>
          <w:rFonts w:cs="仿宋_GB2312"/>
          <w:kern w:val="2"/>
          <w:sz w:val="32"/>
          <w:szCs w:val="32"/>
        </w:rPr>
        <w:t>4000</w:t>
      </w:r>
      <w:r>
        <w:rPr>
          <w:rFonts w:hint="eastAsia" w:cs="仿宋_GB2312"/>
          <w:kern w:val="2"/>
          <w:sz w:val="32"/>
          <w:szCs w:val="32"/>
        </w:rPr>
        <w:t>元，公务用车购置及运行维护费4</w:t>
      </w:r>
      <w:r>
        <w:rPr>
          <w:rFonts w:hint="eastAsia"/>
          <w:sz w:val="32"/>
          <w:szCs w:val="32"/>
        </w:rPr>
        <w:t>0000</w:t>
      </w:r>
      <w:r>
        <w:rPr>
          <w:rFonts w:hint="eastAsia" w:cs="仿宋_GB2312"/>
          <w:kern w:val="2"/>
          <w:sz w:val="32"/>
          <w:szCs w:val="32"/>
        </w:rPr>
        <w:t>元。</w:t>
      </w:r>
    </w:p>
    <w:p>
      <w:pPr>
        <w:spacing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7"/>
        <w:spacing w:before="0" w:line="576" w:lineRule="exact"/>
        <w:ind w:firstLine="640" w:firstLineChars="200"/>
        <w:rPr>
          <w:rFonts w:hint="eastAsia" w:hAnsi="ˎ̥" w:cs="宋体"/>
          <w:sz w:val="32"/>
          <w:szCs w:val="32"/>
        </w:rPr>
      </w:pPr>
      <w:r>
        <w:rPr>
          <w:rFonts w:hint="eastAsia" w:cs="仿宋_GB2312"/>
          <w:kern w:val="2"/>
          <w:sz w:val="32"/>
          <w:szCs w:val="32"/>
        </w:rPr>
        <w:t>（二）</w:t>
      </w:r>
      <w:r>
        <w:rPr>
          <w:rFonts w:hint="eastAsia" w:cs="仿宋_GB2312"/>
          <w:color w:val="000000"/>
          <w:kern w:val="2"/>
          <w:sz w:val="32"/>
          <w:szCs w:val="32"/>
        </w:rPr>
        <w:t>2022年公务接待经费</w:t>
      </w:r>
      <w:r>
        <w:rPr>
          <w:rFonts w:cs="仿宋_GB2312"/>
          <w:kern w:val="2"/>
          <w:sz w:val="32"/>
          <w:szCs w:val="32"/>
        </w:rPr>
        <w:t>4000</w:t>
      </w:r>
      <w:r>
        <w:rPr>
          <w:rFonts w:hint="eastAsia" w:cs="仿宋_GB2312"/>
          <w:color w:val="000000"/>
          <w:kern w:val="2"/>
          <w:sz w:val="32"/>
          <w:szCs w:val="32"/>
        </w:rPr>
        <w:t>元。与2021年预算经费</w:t>
      </w:r>
      <w:r>
        <w:rPr>
          <w:rFonts w:hint="eastAsia" w:hAnsi="ˎ̥" w:cs="宋体"/>
          <w:sz w:val="32"/>
          <w:szCs w:val="32"/>
        </w:rPr>
        <w:t>持平。</w:t>
      </w:r>
    </w:p>
    <w:p>
      <w:pPr>
        <w:pStyle w:val="7"/>
        <w:spacing w:before="0" w:line="576" w:lineRule="exact"/>
        <w:ind w:firstLine="640" w:firstLineChars="200"/>
        <w:rPr>
          <w:rFonts w:hint="eastAsia" w:hAnsi="ˎ̥" w:cs="宋体"/>
          <w:sz w:val="32"/>
          <w:szCs w:val="32"/>
        </w:rPr>
      </w:pPr>
      <w:r>
        <w:rPr>
          <w:rFonts w:hint="eastAsia" w:cs="仿宋_GB2312"/>
          <w:color w:val="000000"/>
          <w:kern w:val="2"/>
          <w:sz w:val="32"/>
          <w:szCs w:val="32"/>
        </w:rPr>
        <w:t>（三）2022年公务用车购置及运行维护费</w:t>
      </w:r>
      <w:r>
        <w:rPr>
          <w:rFonts w:hint="eastAsia" w:cs="仿宋_GB2312"/>
          <w:kern w:val="2"/>
          <w:sz w:val="32"/>
          <w:szCs w:val="32"/>
        </w:rPr>
        <w:t>4</w:t>
      </w:r>
      <w:r>
        <w:rPr>
          <w:rFonts w:hint="eastAsia"/>
          <w:sz w:val="32"/>
          <w:szCs w:val="32"/>
        </w:rPr>
        <w:t>0000</w:t>
      </w:r>
      <w:r>
        <w:rPr>
          <w:rFonts w:hint="eastAsia" w:cs="仿宋_GB2312"/>
          <w:color w:val="000000"/>
          <w:kern w:val="2"/>
          <w:sz w:val="32"/>
          <w:szCs w:val="32"/>
        </w:rPr>
        <w:t>元。与2021年预算经费</w:t>
      </w:r>
      <w:r>
        <w:rPr>
          <w:rFonts w:hint="eastAsia" w:hAnsi="ˎ̥" w:cs="宋体"/>
          <w:sz w:val="32"/>
          <w:szCs w:val="32"/>
        </w:rPr>
        <w:t>持平。</w:t>
      </w:r>
    </w:p>
    <w:p>
      <w:pPr>
        <w:pStyle w:val="7"/>
        <w:spacing w:before="0" w:line="576"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576" w:lineRule="exact"/>
        <w:ind w:firstLine="640" w:firstLineChars="200"/>
        <w:rPr>
          <w:sz w:val="32"/>
          <w:szCs w:val="32"/>
        </w:rPr>
      </w:pPr>
      <w:r>
        <w:rPr>
          <w:sz w:val="32"/>
          <w:szCs w:val="32"/>
        </w:rPr>
        <w:t>20</w:t>
      </w:r>
      <w:r>
        <w:rPr>
          <w:rFonts w:hint="eastAsia"/>
          <w:sz w:val="32"/>
          <w:szCs w:val="32"/>
        </w:rPr>
        <w:t>22</w:t>
      </w:r>
      <w:r>
        <w:rPr>
          <w:sz w:val="32"/>
          <w:szCs w:val="32"/>
        </w:rPr>
        <w:t>年无政府性基金预算拨款安排的支出。</w:t>
      </w:r>
    </w:p>
    <w:p>
      <w:pPr>
        <w:pStyle w:val="7"/>
        <w:spacing w:before="0" w:line="576" w:lineRule="exact"/>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76"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年机关运行经费财政拨款预算为220250元，</w:t>
      </w:r>
      <w:r>
        <w:rPr>
          <w:rFonts w:hint="eastAsia" w:ascii="仿宋_GB2312" w:eastAsia="仿宋_GB2312"/>
          <w:sz w:val="32"/>
          <w:szCs w:val="32"/>
        </w:rPr>
        <w:t>与2021年</w:t>
      </w:r>
      <w:r>
        <w:rPr>
          <w:rFonts w:ascii="仿宋_GB2312" w:eastAsia="仿宋_GB2312"/>
          <w:sz w:val="32"/>
          <w:szCs w:val="32"/>
        </w:rPr>
        <w:t>机关运行经费财政拨款预算</w:t>
      </w:r>
      <w:r>
        <w:rPr>
          <w:rFonts w:hint="eastAsia" w:ascii="仿宋_GB2312" w:eastAsia="仿宋_GB2312"/>
          <w:sz w:val="32"/>
          <w:szCs w:val="32"/>
        </w:rPr>
        <w:t>持平。</w:t>
      </w:r>
    </w:p>
    <w:p>
      <w:pPr>
        <w:pStyle w:val="7"/>
        <w:spacing w:before="0" w:line="576" w:lineRule="exact"/>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2022年无安排政府采购预算。</w:t>
      </w:r>
    </w:p>
    <w:p>
      <w:pPr>
        <w:pStyle w:val="7"/>
        <w:spacing w:before="0" w:line="576" w:lineRule="exact"/>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76" w:lineRule="exact"/>
        <w:ind w:firstLine="640" w:firstLineChars="200"/>
        <w:rPr>
          <w:sz w:val="32"/>
          <w:szCs w:val="32"/>
        </w:rPr>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1541024</w:t>
      </w:r>
      <w:r>
        <w:rPr>
          <w:rFonts w:ascii="仿宋_GB2312" w:eastAsia="仿宋_GB2312"/>
          <w:sz w:val="32"/>
          <w:szCs w:val="32"/>
        </w:rPr>
        <w:t>元，其中：</w:t>
      </w:r>
      <w:r>
        <w:rPr>
          <w:rFonts w:hint="eastAsia" w:ascii="仿宋_GB2312" w:eastAsia="仿宋_GB2312"/>
          <w:sz w:val="32"/>
          <w:szCs w:val="32"/>
        </w:rPr>
        <w:t>土地2075.97</w:t>
      </w:r>
      <w:r>
        <w:rPr>
          <w:rFonts w:ascii="仿宋_GB2312" w:eastAsia="仿宋_GB2312"/>
          <w:sz w:val="32"/>
          <w:szCs w:val="32"/>
        </w:rPr>
        <w:t>平方米，价值</w:t>
      </w:r>
      <w:r>
        <w:rPr>
          <w:rFonts w:hint="eastAsia" w:ascii="仿宋_GB2312" w:eastAsia="仿宋_GB2312"/>
          <w:sz w:val="32"/>
          <w:szCs w:val="32"/>
        </w:rPr>
        <w:t>186724.8</w:t>
      </w:r>
      <w:r>
        <w:rPr>
          <w:rFonts w:ascii="仿宋_GB2312" w:eastAsia="仿宋_GB2312"/>
          <w:sz w:val="32"/>
          <w:szCs w:val="32"/>
        </w:rPr>
        <w:t>元；公务用车</w:t>
      </w:r>
      <w:r>
        <w:rPr>
          <w:rFonts w:hint="eastAsia" w:ascii="仿宋_GB2312" w:eastAsia="仿宋_GB2312"/>
          <w:sz w:val="32"/>
          <w:szCs w:val="32"/>
        </w:rPr>
        <w:t>4</w:t>
      </w:r>
      <w:r>
        <w:rPr>
          <w:rFonts w:ascii="仿宋_GB2312" w:eastAsia="仿宋_GB2312"/>
          <w:sz w:val="32"/>
          <w:szCs w:val="32"/>
        </w:rPr>
        <w:t>辆，价值</w:t>
      </w:r>
      <w:r>
        <w:rPr>
          <w:rFonts w:hint="eastAsia" w:ascii="仿宋_GB2312" w:eastAsia="仿宋_GB2312"/>
          <w:sz w:val="32"/>
          <w:szCs w:val="32"/>
        </w:rPr>
        <w:t>833264</w:t>
      </w:r>
      <w:r>
        <w:rPr>
          <w:rFonts w:ascii="仿宋_GB2312" w:eastAsia="仿宋_GB2312"/>
          <w:sz w:val="32"/>
          <w:szCs w:val="32"/>
        </w:rPr>
        <w:t>元；其他固定资产</w:t>
      </w:r>
      <w:r>
        <w:rPr>
          <w:rFonts w:hint="eastAsia" w:ascii="仿宋_GB2312" w:eastAsia="仿宋_GB2312"/>
          <w:sz w:val="32"/>
          <w:szCs w:val="32"/>
        </w:rPr>
        <w:t>521035.2</w:t>
      </w:r>
      <w:r>
        <w:rPr>
          <w:rFonts w:ascii="仿宋_GB2312" w:eastAsia="仿宋_GB2312"/>
          <w:sz w:val="32"/>
          <w:szCs w:val="32"/>
        </w:rPr>
        <w:t>元。</w:t>
      </w:r>
    </w:p>
    <w:p>
      <w:pPr>
        <w:spacing w:line="576" w:lineRule="exact"/>
        <w:ind w:firstLine="642" w:firstLineChars="200"/>
        <w:rPr>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2022年项目支出均按要求实行绩效目标管理，涉及项目1个，一般公共预算当年拨款8400元。</w:t>
      </w:r>
    </w:p>
    <w:p>
      <w:pPr>
        <w:pStyle w:val="7"/>
        <w:spacing w:before="0" w:line="576" w:lineRule="exact"/>
        <w:ind w:firstLine="640" w:firstLineChars="200"/>
        <w:rPr>
          <w:rFonts w:cs="仿宋_GB2312"/>
          <w:kern w:val="2"/>
          <w:sz w:val="32"/>
          <w:szCs w:val="32"/>
        </w:rPr>
      </w:pPr>
      <w:r>
        <w:rPr>
          <w:rFonts w:hint="eastAsia" w:ascii="黑体" w:hAnsi="黑体" w:eastAsia="黑体"/>
          <w:sz w:val="32"/>
          <w:szCs w:val="32"/>
        </w:rPr>
        <w:t>十、名称解释</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Arial">
    <w:altName w:val="Times New Roman"/>
    <w:panose1 w:val="020B0604020202020204"/>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01473"/>
    <w:rsid w:val="0000309C"/>
    <w:rsid w:val="0001098F"/>
    <w:rsid w:val="000175E9"/>
    <w:rsid w:val="000208DD"/>
    <w:rsid w:val="00030503"/>
    <w:rsid w:val="00043C03"/>
    <w:rsid w:val="000451C2"/>
    <w:rsid w:val="0006464F"/>
    <w:rsid w:val="000C0283"/>
    <w:rsid w:val="001634E3"/>
    <w:rsid w:val="001910FF"/>
    <w:rsid w:val="001A2141"/>
    <w:rsid w:val="001B1BFD"/>
    <w:rsid w:val="001B51A1"/>
    <w:rsid w:val="001E2A14"/>
    <w:rsid w:val="001F4737"/>
    <w:rsid w:val="00207EB8"/>
    <w:rsid w:val="00242435"/>
    <w:rsid w:val="00246992"/>
    <w:rsid w:val="00264166"/>
    <w:rsid w:val="00266277"/>
    <w:rsid w:val="00270F67"/>
    <w:rsid w:val="00293D38"/>
    <w:rsid w:val="002A1583"/>
    <w:rsid w:val="002C0406"/>
    <w:rsid w:val="002C297D"/>
    <w:rsid w:val="002C3871"/>
    <w:rsid w:val="003000EB"/>
    <w:rsid w:val="0030031F"/>
    <w:rsid w:val="00311C21"/>
    <w:rsid w:val="00346F74"/>
    <w:rsid w:val="00395DF4"/>
    <w:rsid w:val="003C153C"/>
    <w:rsid w:val="003E4C1C"/>
    <w:rsid w:val="003E63C4"/>
    <w:rsid w:val="003F4303"/>
    <w:rsid w:val="004013F7"/>
    <w:rsid w:val="004204C6"/>
    <w:rsid w:val="004379C5"/>
    <w:rsid w:val="004636D1"/>
    <w:rsid w:val="00476B63"/>
    <w:rsid w:val="004A6CF2"/>
    <w:rsid w:val="00513305"/>
    <w:rsid w:val="0054124B"/>
    <w:rsid w:val="00562585"/>
    <w:rsid w:val="005B541B"/>
    <w:rsid w:val="005B5A45"/>
    <w:rsid w:val="005D61EB"/>
    <w:rsid w:val="00612592"/>
    <w:rsid w:val="0062375E"/>
    <w:rsid w:val="00666A0C"/>
    <w:rsid w:val="006C172D"/>
    <w:rsid w:val="00762E3F"/>
    <w:rsid w:val="00782FE9"/>
    <w:rsid w:val="007B125A"/>
    <w:rsid w:val="007D0CBC"/>
    <w:rsid w:val="007D7576"/>
    <w:rsid w:val="007E5EFC"/>
    <w:rsid w:val="007F6E64"/>
    <w:rsid w:val="00803F7A"/>
    <w:rsid w:val="008432E3"/>
    <w:rsid w:val="00887775"/>
    <w:rsid w:val="00887BD6"/>
    <w:rsid w:val="008B260A"/>
    <w:rsid w:val="008E0BAF"/>
    <w:rsid w:val="00913BB1"/>
    <w:rsid w:val="00923A98"/>
    <w:rsid w:val="00936443"/>
    <w:rsid w:val="009464AD"/>
    <w:rsid w:val="00954ECA"/>
    <w:rsid w:val="00985052"/>
    <w:rsid w:val="00987E7A"/>
    <w:rsid w:val="009955F8"/>
    <w:rsid w:val="009D1253"/>
    <w:rsid w:val="009E5279"/>
    <w:rsid w:val="00A17955"/>
    <w:rsid w:val="00A40946"/>
    <w:rsid w:val="00A45F5D"/>
    <w:rsid w:val="00A67344"/>
    <w:rsid w:val="00A71389"/>
    <w:rsid w:val="00A93AEE"/>
    <w:rsid w:val="00AB09B6"/>
    <w:rsid w:val="00AB4C2F"/>
    <w:rsid w:val="00AC10ED"/>
    <w:rsid w:val="00AD0470"/>
    <w:rsid w:val="00B25E4E"/>
    <w:rsid w:val="00B341DE"/>
    <w:rsid w:val="00BA755F"/>
    <w:rsid w:val="00BB6C3A"/>
    <w:rsid w:val="00BE1C53"/>
    <w:rsid w:val="00BF1A05"/>
    <w:rsid w:val="00C37AB1"/>
    <w:rsid w:val="00C43679"/>
    <w:rsid w:val="00C60494"/>
    <w:rsid w:val="00CA624B"/>
    <w:rsid w:val="00CD5722"/>
    <w:rsid w:val="00CF304B"/>
    <w:rsid w:val="00D15F99"/>
    <w:rsid w:val="00D264D1"/>
    <w:rsid w:val="00D317B2"/>
    <w:rsid w:val="00D553AD"/>
    <w:rsid w:val="00D60853"/>
    <w:rsid w:val="00DB29FD"/>
    <w:rsid w:val="00DB592E"/>
    <w:rsid w:val="00DC2954"/>
    <w:rsid w:val="00DF7B2D"/>
    <w:rsid w:val="00E26DF5"/>
    <w:rsid w:val="00E9465F"/>
    <w:rsid w:val="00E95453"/>
    <w:rsid w:val="00E969F6"/>
    <w:rsid w:val="00F37448"/>
    <w:rsid w:val="00F40EE7"/>
    <w:rsid w:val="00F47B38"/>
    <w:rsid w:val="00F71EDC"/>
    <w:rsid w:val="00F749FC"/>
    <w:rsid w:val="00F803D6"/>
    <w:rsid w:val="00FA663A"/>
    <w:rsid w:val="00FC6793"/>
    <w:rsid w:val="00FD5088"/>
    <w:rsid w:val="00FE34EC"/>
    <w:rsid w:val="00FF74F7"/>
    <w:rsid w:val="07674A16"/>
    <w:rsid w:val="13197D31"/>
    <w:rsid w:val="164003A4"/>
    <w:rsid w:val="16C5583A"/>
    <w:rsid w:val="177904B8"/>
    <w:rsid w:val="1B0406D7"/>
    <w:rsid w:val="20361CB8"/>
    <w:rsid w:val="29566940"/>
    <w:rsid w:val="32BF7DF5"/>
    <w:rsid w:val="48EB0A3F"/>
    <w:rsid w:val="61693C9D"/>
    <w:rsid w:val="64CC0F4B"/>
    <w:rsid w:val="7AE4629A"/>
    <w:rsid w:val="7EE32C29"/>
    <w:rsid w:val="F59F56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 w:type="character" w:customStyle="1" w:styleId="8">
    <w:name w:val="NormalCharacter"/>
    <w:link w:val="9"/>
    <w:qFormat/>
    <w:uiPriority w:val="0"/>
    <w:rPr>
      <w:rFonts w:eastAsia="Times New Roman"/>
      <w:sz w:val="36"/>
    </w:rPr>
  </w:style>
  <w:style w:type="paragraph" w:customStyle="1" w:styleId="9">
    <w:name w:val="UserStyle_0"/>
    <w:basedOn w:val="1"/>
    <w:next w:val="1"/>
    <w:link w:val="8"/>
    <w:qFormat/>
    <w:uiPriority w:val="0"/>
    <w:pPr>
      <w:widowControl/>
      <w:ind w:firstLine="420" w:firstLineChars="200"/>
      <w:textAlignment w:val="baseline"/>
    </w:pPr>
    <w:rPr>
      <w:rFonts w:eastAsia="Times New Roman" w:asciiTheme="minorHAnsi" w:hAnsiTheme="minorHAnsi" w:cstheme="minorBidi"/>
      <w:kern w:val="0"/>
      <w:sz w:val="36"/>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651</Words>
  <Characters>3715</Characters>
  <Lines>30</Lines>
  <Paragraphs>8</Paragraphs>
  <TotalTime>134</TotalTime>
  <ScaleCrop>false</ScaleCrop>
  <LinksUpToDate>false</LinksUpToDate>
  <CharactersWithSpaces>4358</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2022-03-16T15:27:00Z</cp:lastPrinted>
  <dcterms:modified xsi:type="dcterms:W3CDTF">2023-09-26T10:31:24Z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4C5400AF2180AFC87C42126559DEC89B</vt:lpwstr>
  </property>
</Properties>
</file>