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96475"/>
      <w:bookmarkStart w:id="2" w:name="_Toc15396597"/>
      <w:bookmarkStart w:id="3" w:name="_Toc15377425"/>
      <w:bookmarkStart w:id="4" w:name="_Toc15377193"/>
      <w:bookmarkStart w:id="5" w:name="_Toc15306267"/>
    </w:p>
    <w:p w14:paraId="7D73BD19">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5597C79E">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609AE7C3">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14:paraId="604D137F">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color w:val="000000" w:themeColor="text1"/>
          <w:sz w:val="44"/>
          <w:szCs w:val="44"/>
          <w14:textFill>
            <w14:solidFill>
              <w14:schemeClr w14:val="tx1"/>
            </w14:solidFill>
          </w14:textFill>
        </w:rPr>
      </w:pPr>
      <w:bookmarkStart w:id="6" w:name="_Toc15378442"/>
      <w:bookmarkStart w:id="7" w:name="_Toc15396476"/>
      <w:bookmarkStart w:id="8" w:name="_Toc15377194"/>
      <w:bookmarkStart w:id="9" w:name="_Toc15396598"/>
      <w:bookmarkStart w:id="10" w:name="_Toc15377426"/>
      <w:bookmarkStart w:id="11" w:name="_Toc15306268"/>
      <w:r>
        <w:rPr>
          <w:rFonts w:hint="eastAsia" w:ascii="黑体" w:hAnsi="黑体" w:eastAsia="黑体" w:cs="黑体"/>
          <w:b w:val="0"/>
          <w:bCs/>
          <w:color w:val="000000" w:themeColor="text1"/>
          <w:sz w:val="44"/>
          <w:szCs w:val="44"/>
          <w14:textFill>
            <w14:solidFill>
              <w14:schemeClr w14:val="tx1"/>
            </w14:solidFill>
          </w14:textFill>
        </w:rPr>
        <w:t>茂县水务局（本级）</w:t>
      </w:r>
    </w:p>
    <w:p w14:paraId="6DBC95DC">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ascii="黑体" w:hAnsi="黑体" w:eastAsia="黑体" w:cs="黑体"/>
          <w:b w:val="0"/>
          <w:bCs/>
          <w:color w:val="000000" w:themeColor="text1"/>
          <w:sz w:val="44"/>
          <w:szCs w:val="44"/>
          <w:lang w:val="en-US" w:eastAsia="zh-CN"/>
          <w14:textFill>
            <w14:solidFill>
              <w14:schemeClr w14:val="tx1"/>
            </w14:solidFill>
          </w14:textFill>
        </w:rPr>
      </w:pPr>
      <w:r>
        <w:rPr>
          <w:rFonts w:ascii="黑体" w:hAnsi="黑体" w:eastAsia="黑体" w:cs="黑体"/>
          <w:color w:val="000000"/>
          <w:sz w:val="44"/>
          <w:u w:color="auto"/>
        </w:rPr>
        <w:t>单位决算</w:t>
      </w:r>
      <w:bookmarkEnd w:id="6"/>
      <w:bookmarkEnd w:id="7"/>
      <w:bookmarkEnd w:id="8"/>
      <w:bookmarkEnd w:id="9"/>
      <w:bookmarkEnd w:id="10"/>
      <w:bookmarkEnd w:id="11"/>
      <w:r>
        <w:rPr>
          <w:rFonts w:hint="eastAsia" w:ascii="黑体" w:hAnsi="黑体" w:eastAsia="黑体" w:cs="黑体"/>
          <w:color w:val="000000"/>
          <w:sz w:val="44"/>
          <w:u w:color="auto"/>
          <w:lang w:val="en-US" w:eastAsia="zh-CN"/>
        </w:rPr>
        <w:t>公开编制说明</w:t>
      </w:r>
    </w:p>
    <w:p w14:paraId="0E2C97A9">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14:paraId="49203D4D">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372F6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567BA5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1EF486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C39B0B7">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185CA32">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49EB3F66">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bookmarkStart w:id="93" w:name="_GoBack"/>
      <w:bookmarkEnd w:id="93"/>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1D314EC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7C5159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44CBCE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C1D8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67FA2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0B0EA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F1114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81F584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3984A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DAFCA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A4664B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E3B3E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168567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2FF81B7">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9016"/>
      <w:bookmarkStart w:id="14" w:name="_Toc111208495"/>
    </w:p>
    <w:p w14:paraId="4038EF76">
      <w:pPr>
        <w:pStyle w:val="2"/>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6" w:lineRule="exact"/>
        <w:ind w:left="0" w:leftChars="0" w:firstLine="880" w:firstLineChars="200"/>
        <w:jc w:val="center"/>
        <w:textAlignment w:val="auto"/>
        <w:rPr>
          <w:rFonts w:hint="eastAsia"/>
        </w:rPr>
      </w:pPr>
      <w:r>
        <w:rPr>
          <w:rStyle w:val="34"/>
          <w:rFonts w:hint="eastAsia" w:ascii="黑体" w:hAnsi="黑体" w:eastAsia="黑体" w:cs="黑体"/>
          <w:b w:val="0"/>
          <w:bCs w:val="0"/>
        </w:rPr>
        <w:t>单位</w:t>
      </w:r>
      <w:r>
        <w:rPr>
          <w:rStyle w:val="34"/>
          <w:rFonts w:ascii="黑体" w:hAnsi="黑体" w:eastAsia="黑体" w:cs="黑体"/>
          <w:b w:val="0"/>
          <w:bCs w:val="0"/>
          <w:u w:color="auto"/>
        </w:rPr>
        <w:t>概况</w:t>
      </w:r>
      <w:bookmarkEnd w:id="12"/>
      <w:bookmarkEnd w:id="13"/>
      <w:bookmarkEnd w:id="14"/>
    </w:p>
    <w:p w14:paraId="3036C6A8">
      <w:pPr>
        <w:pStyle w:val="3"/>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黑体" w:hAnsi="黑体" w:eastAsia="黑体" w:cs="黑体"/>
          <w:b w:val="0"/>
          <w:bCs/>
          <w:color w:val="000000"/>
          <w:sz w:val="32"/>
          <w:szCs w:val="32"/>
        </w:rPr>
      </w:pPr>
      <w:bookmarkStart w:id="15" w:name="_Toc15377197"/>
      <w:bookmarkStart w:id="16" w:name="_Toc113981010"/>
      <w:bookmarkStart w:id="17" w:name="_Toc111208496"/>
      <w:bookmarkStart w:id="18" w:name="_Toc28564"/>
      <w:bookmarkStart w:id="19" w:name="_Toc15377204"/>
    </w:p>
    <w:p w14:paraId="24C03C62">
      <w:pPr>
        <w:pStyle w:val="3"/>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sz w:val="32"/>
          <w:szCs w:val="32"/>
          <w:lang w:val="en-US" w:eastAsia="zh-CN"/>
        </w:rPr>
        <w:t>主要职责</w:t>
      </w:r>
    </w:p>
    <w:bookmarkEnd w:id="20"/>
    <w:bookmarkEnd w:id="21"/>
    <w:p w14:paraId="2F4B168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3.组织编制洪水干旱灾害防治规划，承担水情、旱情监测预警，组织编制防洪抗旱应急水量调度方案，编制防御洪水抗旱调度方案。</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8.负责全县水利方面的科技与外事工作，组织本县重大水利行业科学研究的技术推广。监督实施水利行业技术质量标准和规程、规范，承办水利行业对外经济、技术合作与交流等涉外事务。</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9.完成县委、县政府交办的其他任务。</w:t>
      </w:r>
    </w:p>
    <w:p w14:paraId="2CF1E803">
      <w:pPr>
        <w:pStyle w:val="3"/>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720" w:firstLineChars="200"/>
        <w:textAlignment w:val="auto"/>
        <w:rPr>
          <w:rFonts w:hint="eastAsia" w:ascii="黑体" w:hAnsi="黑体" w:eastAsia="黑体" w:cs="黑体"/>
          <w:b w:val="0"/>
          <w:bCs/>
          <w:color w:val="000000"/>
        </w:rPr>
      </w:pPr>
      <w:bookmarkStart w:id="22" w:name="_Toc22056"/>
      <w:bookmarkStart w:id="23" w:name="_Toc111208497"/>
      <w:bookmarkStart w:id="24" w:name="_Toc15377200"/>
      <w:bookmarkStart w:id="25" w:name="_Toc113981011"/>
      <w:r>
        <w:rPr>
          <w:rFonts w:hint="eastAsia" w:ascii="黑体" w:hAnsi="黑体" w:eastAsia="黑体" w:cs="黑体"/>
          <w:b w:val="0"/>
          <w:bCs/>
          <w:color w:val="000000"/>
        </w:rPr>
        <w:t>二、机构设置</w:t>
      </w:r>
      <w:bookmarkEnd w:id="22"/>
      <w:bookmarkEnd w:id="23"/>
      <w:bookmarkEnd w:id="24"/>
      <w:bookmarkEnd w:id="25"/>
    </w:p>
    <w:p w14:paraId="35A282C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茂县水务局属一级预算单位</w:t>
      </w:r>
      <w:r>
        <w:rPr>
          <w:rFonts w:hint="eastAsia" w:ascii="仿宋" w:hAnsi="仿宋" w:eastAsia="仿宋" w:cs="仿宋"/>
          <w:color w:val="000000"/>
          <w:sz w:val="32"/>
          <w:szCs w:val="32"/>
          <w:lang w:eastAsia="zh-CN"/>
        </w:rPr>
        <w:t>。</w:t>
      </w: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2"/>
        <w:keepNext w:val="0"/>
        <w:keepLines w:val="0"/>
        <w:pageBreakBefore w:val="0"/>
        <w:widowControl w:val="0"/>
        <w:kinsoku/>
        <w:wordWrap/>
        <w:overflowPunct/>
        <w:topLinePunct w:val="0"/>
        <w:autoSpaceDE/>
        <w:autoSpaceDN/>
        <w:bidi w:val="0"/>
        <w:adjustRightInd/>
        <w:snapToGrid/>
        <w:spacing w:beforeAutospacing="0" w:afterAutospacing="0"/>
        <w:jc w:val="center"/>
        <w:textAlignment w:val="auto"/>
        <w:rPr>
          <w:rFonts w:hint="eastAsia" w:ascii="黑体" w:hAnsi="黑体" w:eastAsia="黑体" w:cs="黑体"/>
          <w:b w:val="0"/>
          <w:bCs w:val="0"/>
          <w:sz w:val="36"/>
          <w:szCs w:val="36"/>
        </w:rPr>
      </w:pPr>
      <w:bookmarkStart w:id="26" w:name="_Toc9058"/>
      <w:bookmarkStart w:id="27" w:name="_Toc111208498"/>
      <w:r>
        <w:rPr>
          <w:rFonts w:hint="eastAsia" w:ascii="黑体" w:hAnsi="黑体" w:eastAsia="黑体" w:cs="黑体"/>
          <w:b w:val="0"/>
          <w:bCs w:val="0"/>
          <w:sz w:val="36"/>
          <w:szCs w:val="36"/>
        </w:rPr>
        <w:t xml:space="preserve">第二部分 </w:t>
      </w:r>
      <w:r>
        <w:rPr>
          <w:rFonts w:hint="eastAsia" w:ascii="黑体" w:hAnsi="黑体" w:eastAsia="黑体" w:cs="黑体"/>
          <w:sz w:val="36"/>
          <w:szCs w:val="36"/>
          <w:u w:color="auto"/>
        </w:rPr>
        <w:t>2024年度</w:t>
      </w:r>
      <w:r>
        <w:rPr>
          <w:rFonts w:hint="eastAsia" w:ascii="黑体" w:hAnsi="黑体" w:eastAsia="黑体" w:cs="黑体"/>
          <w:b w:val="0"/>
          <w:bCs w:val="0"/>
          <w:sz w:val="36"/>
          <w:szCs w:val="36"/>
          <w:lang w:val="en-US" w:eastAsia="zh-CN"/>
        </w:rPr>
        <w:t>单位</w:t>
      </w:r>
      <w:r>
        <w:rPr>
          <w:rFonts w:hint="eastAsia" w:ascii="黑体" w:hAnsi="黑体" w:eastAsia="黑体" w:cs="黑体"/>
          <w:b w:val="0"/>
          <w:bCs w:val="0"/>
          <w:sz w:val="36"/>
          <w:szCs w:val="36"/>
        </w:rPr>
        <w:t>决算情况说明</w:t>
      </w:r>
      <w:bookmarkEnd w:id="19"/>
      <w:bookmarkEnd w:id="26"/>
      <w:bookmarkEnd w:id="27"/>
    </w:p>
    <w:p w14:paraId="778F85CC">
      <w:pPr>
        <w:pStyle w:val="3"/>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黑体" w:hAnsi="黑体" w:eastAsia="黑体" w:cs="黑体"/>
          <w:b w:val="0"/>
          <w:bCs/>
          <w:color w:val="000000"/>
          <w:sz w:val="32"/>
          <w:szCs w:val="32"/>
        </w:rPr>
      </w:pPr>
      <w:bookmarkStart w:id="28" w:name="_Toc15377205"/>
      <w:bookmarkStart w:id="29" w:name="_Toc111208499"/>
      <w:bookmarkStart w:id="30" w:name="_Toc19710"/>
      <w:r>
        <w:rPr>
          <w:rFonts w:hint="eastAsia" w:ascii="黑体" w:hAnsi="黑体" w:eastAsia="黑体" w:cs="黑体"/>
          <w:b w:val="0"/>
          <w:bCs/>
          <w:color w:val="000000"/>
          <w:sz w:val="32"/>
          <w:szCs w:val="32"/>
        </w:rPr>
        <w:t>一、收入支出决算总体情况说</w:t>
      </w:r>
      <w:bookmarkEnd w:id="28"/>
      <w:r>
        <w:rPr>
          <w:rFonts w:hint="eastAsia" w:ascii="黑体" w:hAnsi="黑体" w:eastAsia="黑体" w:cs="黑体"/>
          <w:b w:val="0"/>
          <w:bCs/>
          <w:color w:val="000000"/>
          <w:sz w:val="32"/>
          <w:szCs w:val="32"/>
        </w:rPr>
        <w:t>明</w:t>
      </w:r>
      <w:bookmarkEnd w:id="29"/>
      <w:bookmarkEnd w:id="30"/>
    </w:p>
    <w:p w14:paraId="1B46268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ascii="仿宋" w:hAnsi="仿宋" w:eastAsia="仿宋" w:cs="仿宋"/>
          <w:color w:val="000000"/>
          <w:sz w:val="32"/>
          <w:u w:color="auto"/>
        </w:rPr>
        <w:t>年度收入、支出总计均为2,605.59</w:t>
      </w:r>
      <w:r>
        <w:rPr>
          <w:rFonts w:hint="eastAsia" w:ascii="仿宋" w:hAnsi="仿宋" w:eastAsia="仿宋" w:cs="仿宋"/>
          <w:color w:val="000000"/>
          <w:sz w:val="32"/>
          <w:szCs w:val="32"/>
        </w:rPr>
        <w:t>万元。与</w:t>
      </w:r>
      <w:r>
        <w:rPr>
          <w:rFonts w:ascii="仿宋" w:hAnsi="仿宋" w:eastAsia="仿宋" w:cs="仿宋"/>
          <w:color w:val="000000"/>
          <w:sz w:val="32"/>
          <w:u w:color="auto"/>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相比，收入、支出总计各</w:t>
      </w:r>
      <w:r>
        <w:rPr>
          <w:rFonts w:ascii="仿宋" w:hAnsi="仿宋" w:eastAsia="仿宋" w:cs="仿宋"/>
          <w:color w:val="000000"/>
          <w:sz w:val="32"/>
          <w:u w:color="auto"/>
        </w:rPr>
        <w:t>减少842.31万元，下降24.4%</w:t>
      </w:r>
      <w:r>
        <w:rPr>
          <w:rFonts w:hint="eastAsia" w:ascii="仿宋" w:hAnsi="仿宋" w:eastAsia="仿宋" w:cs="仿宋"/>
          <w:color w:val="000000"/>
          <w:sz w:val="32"/>
          <w:szCs w:val="32"/>
        </w:rPr>
        <w:t>。</w:t>
      </w:r>
      <w:r>
        <w:rPr>
          <w:rFonts w:ascii="仿宋" w:hAnsi="仿宋" w:eastAsia="仿宋" w:cs="仿宋"/>
          <w:color w:val="000000"/>
          <w:sz w:val="32"/>
          <w:u w:color="auto"/>
        </w:rPr>
        <w:t>主要变动原因是</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项目</w:t>
      </w:r>
      <w:r>
        <w:rPr>
          <w:rFonts w:hint="eastAsia" w:ascii="仿宋" w:hAnsi="仿宋" w:eastAsia="仿宋" w:cs="仿宋"/>
          <w:color w:val="000000"/>
          <w:sz w:val="32"/>
          <w:u w:color="auto"/>
          <w:lang w:val="en-US" w:eastAsia="zh-CN"/>
        </w:rPr>
        <w:t>资金</w:t>
      </w:r>
      <w:r>
        <w:rPr>
          <w:rFonts w:ascii="仿宋" w:hAnsi="仿宋" w:eastAsia="仿宋" w:cs="仿宋"/>
          <w:color w:val="000000"/>
          <w:sz w:val="32"/>
          <w:u w:color="auto"/>
        </w:rPr>
        <w:t xml:space="preserve">减少。 </w:t>
      </w:r>
    </w:p>
    <w:p w14:paraId="61134D0D">
      <w:pPr>
        <w:pStyle w:val="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3757930" cy="2224405"/>
            <wp:effectExtent l="4445" t="4445" r="9525" b="1905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B3D363">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Cs w:val="0"/>
          <w:color w:val="000000"/>
        </w:rPr>
      </w:pPr>
      <w:bookmarkStart w:id="31" w:name="_Toc111208500"/>
      <w:bookmarkStart w:id="32" w:name="_Toc8125"/>
      <w:bookmarkStart w:id="33" w:name="_Toc15377206"/>
      <w:r>
        <w:rPr>
          <w:rFonts w:hint="eastAsia" w:ascii="黑体" w:hAnsi="黑体" w:eastAsia="黑体" w:cs="黑体"/>
          <w:b w:val="0"/>
          <w:bCs/>
          <w:color w:val="000000"/>
        </w:rPr>
        <w:t>二、收入决算情况说明</w:t>
      </w:r>
      <w:bookmarkEnd w:id="31"/>
      <w:bookmarkEnd w:id="32"/>
      <w:bookmarkEnd w:id="33"/>
    </w:p>
    <w:p w14:paraId="7DAB409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2,605.59万元</w:t>
      </w:r>
      <w:r>
        <w:rPr>
          <w:rFonts w:hint="eastAsia" w:ascii="仿宋" w:hAnsi="仿宋" w:eastAsia="仿宋" w:cs="仿宋"/>
          <w:color w:val="000000"/>
          <w:sz w:val="32"/>
          <w:szCs w:val="32"/>
          <w:lang w:val="en-US" w:eastAsia="zh-CN"/>
        </w:rPr>
        <w:t>，其中:一般公共预算财政拨款收入2,241.11万元，占86%；政府性基金预算财政拨款收入364.48万元，占14%</w:t>
      </w:r>
      <w:r>
        <w:rPr>
          <w:rFonts w:hint="eastAsia" w:ascii="仿宋" w:hAnsi="仿宋" w:eastAsia="仿宋" w:cs="仿宋"/>
          <w:color w:val="000000"/>
          <w:sz w:val="32"/>
          <w:szCs w:val="32"/>
        </w:rPr>
        <w:t>。</w:t>
      </w:r>
    </w:p>
    <w:p w14:paraId="6E48941D">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724275" cy="1897380"/>
            <wp:effectExtent l="4445" t="5080" r="5080" b="2159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96F3EB">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34" w:name="_Toc28283"/>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14:paraId="1753835D">
      <w:pPr>
        <w:pStyle w:val="5"/>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2,605.59万元</w:t>
      </w:r>
      <w:r>
        <w:rPr>
          <w:rFonts w:hint="eastAsia" w:ascii="仿宋" w:hAnsi="仿宋" w:eastAsia="仿宋" w:cs="仿宋"/>
          <w:color w:val="000000"/>
          <w:sz w:val="32"/>
          <w:szCs w:val="32"/>
          <w:lang w:val="en-US" w:eastAsia="zh-CN"/>
        </w:rPr>
        <w:t>，其中:基本支出136.73万元，占5.3%；项目支出2,468.87万元，占94.8%</w:t>
      </w:r>
      <w:r>
        <w:rPr>
          <w:rFonts w:hint="eastAsia" w:ascii="仿宋" w:hAnsi="仿宋" w:eastAsia="仿宋" w:cs="仿宋"/>
          <w:color w:val="000000"/>
          <w:sz w:val="32"/>
          <w:szCs w:val="32"/>
        </w:rPr>
        <w:t>。</w:t>
      </w:r>
    </w:p>
    <w:p w14:paraId="77E40098">
      <w:pPr>
        <w:jc w:val="center"/>
        <w:rPr>
          <w:rFonts w:hint="eastAsia" w:ascii="仿宋" w:hAnsi="仿宋" w:eastAsia="仿宋" w:cs="仿宋"/>
          <w:color w:val="00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279775" cy="1995170"/>
            <wp:effectExtent l="4445" t="4445" r="11430" b="1968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29694F">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37" w:name="_Toc15377208"/>
      <w:bookmarkStart w:id="38" w:name="_Toc111208502"/>
      <w:bookmarkStart w:id="39" w:name="_Toc19521"/>
      <w:r>
        <w:rPr>
          <w:rFonts w:hint="eastAsia" w:ascii="黑体" w:hAnsi="黑体" w:eastAsia="黑体" w:cs="黑体"/>
          <w:b w:val="0"/>
          <w:bCs/>
          <w:color w:val="000000"/>
        </w:rPr>
        <w:t>四、财政拨款收入支出决算总体情况说明</w:t>
      </w:r>
      <w:bookmarkEnd w:id="37"/>
      <w:bookmarkEnd w:id="38"/>
      <w:bookmarkEnd w:id="39"/>
    </w:p>
    <w:p w14:paraId="66D8173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总计均为</w:t>
      </w:r>
      <w:r>
        <w:rPr>
          <w:rFonts w:ascii="仿宋" w:hAnsi="仿宋" w:eastAsia="仿宋" w:cs="仿宋"/>
          <w:color w:val="000000"/>
          <w:sz w:val="32"/>
          <w:u w:color="auto"/>
        </w:rPr>
        <w:t>2,605.59万元。与2023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总计各</w:t>
      </w:r>
      <w:r>
        <w:rPr>
          <w:rFonts w:ascii="仿宋" w:hAnsi="仿宋" w:eastAsia="仿宋" w:cs="仿宋"/>
          <w:color w:val="000000"/>
          <w:sz w:val="32"/>
          <w:u w:color="auto"/>
        </w:rPr>
        <w:t>减少842.31万元，下降24.4%。主要变动原因是</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项目</w:t>
      </w:r>
      <w:r>
        <w:rPr>
          <w:rFonts w:hint="eastAsia" w:ascii="仿宋" w:hAnsi="仿宋" w:eastAsia="仿宋" w:cs="仿宋"/>
          <w:color w:val="000000"/>
          <w:sz w:val="32"/>
          <w:u w:color="auto"/>
          <w:lang w:val="en-US" w:eastAsia="zh-CN"/>
        </w:rPr>
        <w:t>资金</w:t>
      </w:r>
      <w:r>
        <w:rPr>
          <w:rFonts w:ascii="仿宋" w:hAnsi="仿宋" w:eastAsia="仿宋" w:cs="仿宋"/>
          <w:color w:val="000000"/>
          <w:sz w:val="32"/>
          <w:u w:color="auto"/>
        </w:rPr>
        <w:t>减少。</w:t>
      </w:r>
    </w:p>
    <w:p w14:paraId="304F310C">
      <w:pPr>
        <w:pStyle w:val="5"/>
        <w:ind w:left="0" w:leftChars="0" w:firstLine="0" w:firstLineChars="0"/>
        <w:jc w:val="center"/>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3577590" cy="2056130"/>
            <wp:effectExtent l="4445" t="4445" r="18415" b="1587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4987CA">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2,241.11万元，占本年支出合计的86%。与2023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减少765.71万元，下降25.5%。主要变动原因是</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项目</w:t>
      </w:r>
      <w:r>
        <w:rPr>
          <w:rFonts w:hint="eastAsia" w:ascii="仿宋" w:hAnsi="仿宋" w:eastAsia="仿宋" w:cs="仿宋"/>
          <w:color w:val="000000"/>
          <w:sz w:val="32"/>
          <w:u w:color="auto"/>
          <w:lang w:val="en-US" w:eastAsia="zh-CN"/>
        </w:rPr>
        <w:t>资金</w:t>
      </w:r>
      <w:r>
        <w:rPr>
          <w:rFonts w:ascii="仿宋" w:hAnsi="仿宋" w:eastAsia="仿宋" w:cs="仿宋"/>
          <w:color w:val="000000"/>
          <w:sz w:val="32"/>
          <w:u w:color="auto"/>
        </w:rPr>
        <w:t xml:space="preserve">减少。。 </w:t>
      </w:r>
    </w:p>
    <w:p w14:paraId="1392859B">
      <w:pPr>
        <w:pStyle w:val="5"/>
        <w:ind w:firstLine="0"/>
        <w:jc w:val="center"/>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2849245" cy="1838960"/>
            <wp:effectExtent l="4445" t="4445" r="22860" b="234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2,241.11万元，主要用于以下方面: 社会保障和就业支出23.58万元，占1%；卫生健康支出8.97万元，占0.4%；节能环保支出267.07万元，占11.9%；农林水支出1,931.11万元，占86.2%；住房保障支出10.38万元，占0.5%。</w:t>
      </w:r>
    </w:p>
    <w:p w14:paraId="68BC5887">
      <w:pPr>
        <w:pStyle w:val="5"/>
        <w:jc w:val="center"/>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2686685" cy="1610360"/>
            <wp:effectExtent l="4445" t="4445" r="13970"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678BDA">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7213"/>
      <w:bookmarkStart w:id="47" w:name="_Toc15378460"/>
      <w:bookmarkStart w:id="48" w:name="_Toc15377444"/>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2,241.11万元，完成预算100%。其中：</w:t>
      </w:r>
      <w:bookmarkEnd w:id="46"/>
      <w:bookmarkEnd w:id="47"/>
      <w:bookmarkEnd w:id="48"/>
    </w:p>
    <w:p w14:paraId="7AED4EF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w:t>
      </w:r>
      <w:r>
        <w:rPr>
          <w:rFonts w:hint="eastAsia" w:ascii="仿宋" w:hAnsi="仿宋" w:eastAsia="仿宋" w:cs="仿宋"/>
          <w:color w:val="000000"/>
          <w:sz w:val="32"/>
          <w:szCs w:val="32"/>
          <w:lang w:val="en-US" w:eastAsia="zh-CN"/>
        </w:rPr>
        <w:t>208</w:t>
      </w:r>
      <w:r>
        <w:rPr>
          <w:rFonts w:hint="eastAsia" w:ascii="仿宋" w:hAnsi="仿宋" w:eastAsia="仿宋" w:cs="仿宋"/>
          <w:color w:val="000000"/>
          <w:sz w:val="32"/>
          <w:szCs w:val="32"/>
        </w:rPr>
        <w:t>）行政事业单位养老支出（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）机关事业单位基本养老保险缴费支出（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）:支出决算8.69万元，完成预算100%。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2.社会保障和就业支出（</w:t>
      </w:r>
      <w:r>
        <w:rPr>
          <w:rFonts w:hint="eastAsia" w:ascii="仿宋" w:hAnsi="仿宋" w:eastAsia="仿宋" w:cs="仿宋"/>
          <w:color w:val="000000"/>
          <w:sz w:val="32"/>
          <w:szCs w:val="32"/>
          <w:lang w:val="en-US" w:eastAsia="zh-CN"/>
        </w:rPr>
        <w:t>208</w:t>
      </w:r>
      <w:r>
        <w:rPr>
          <w:rFonts w:hint="eastAsia" w:ascii="仿宋" w:hAnsi="仿宋" w:eastAsia="仿宋" w:cs="仿宋"/>
          <w:color w:val="000000"/>
          <w:sz w:val="32"/>
          <w:szCs w:val="32"/>
        </w:rPr>
        <w:t>）行政事业单位养老支出（</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）机关事业单位职业年金缴费支出（</w:t>
      </w:r>
      <w:r>
        <w:rPr>
          <w:rFonts w:hint="eastAsia" w:ascii="仿宋" w:hAnsi="仿宋" w:eastAsia="仿宋" w:cs="仿宋"/>
          <w:color w:val="000000"/>
          <w:sz w:val="32"/>
          <w:szCs w:val="32"/>
          <w:lang w:val="en-US" w:eastAsia="zh-CN"/>
        </w:rPr>
        <w:t>06</w:t>
      </w:r>
      <w:r>
        <w:rPr>
          <w:rFonts w:hint="eastAsia" w:ascii="仿宋" w:hAnsi="仿宋" w:eastAsia="仿宋" w:cs="仿宋"/>
          <w:color w:val="000000"/>
          <w:sz w:val="32"/>
          <w:szCs w:val="32"/>
        </w:rPr>
        <w:t>）:支出决算4.35万元，完成预算100%。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3.社会保障和就业支出（</w:t>
      </w:r>
      <w:r>
        <w:rPr>
          <w:rFonts w:hint="eastAsia" w:ascii="仿宋" w:hAnsi="仿宋" w:eastAsia="仿宋" w:cs="仿宋"/>
          <w:color w:val="000000"/>
          <w:sz w:val="32"/>
          <w:szCs w:val="32"/>
          <w:lang w:val="en-US" w:eastAsia="zh-CN"/>
        </w:rPr>
        <w:t>208</w:t>
      </w:r>
      <w:r>
        <w:rPr>
          <w:rFonts w:hint="eastAsia" w:ascii="仿宋" w:hAnsi="仿宋" w:eastAsia="仿宋" w:cs="仿宋"/>
          <w:color w:val="000000"/>
          <w:sz w:val="32"/>
          <w:szCs w:val="32"/>
        </w:rPr>
        <w:t>）就业补助（</w:t>
      </w:r>
      <w:r>
        <w:rPr>
          <w:rFonts w:hint="eastAsia" w:ascii="仿宋" w:hAnsi="仿宋" w:eastAsia="仿宋" w:cs="仿宋"/>
          <w:color w:val="000000"/>
          <w:sz w:val="32"/>
          <w:szCs w:val="32"/>
          <w:lang w:val="en-US" w:eastAsia="zh-CN"/>
        </w:rPr>
        <w:t>07</w:t>
      </w:r>
      <w:r>
        <w:rPr>
          <w:rFonts w:hint="eastAsia" w:ascii="仿宋" w:hAnsi="仿宋" w:eastAsia="仿宋" w:cs="仿宋"/>
          <w:color w:val="000000"/>
          <w:sz w:val="32"/>
          <w:szCs w:val="32"/>
        </w:rPr>
        <w:t>）公益性岗位补贴（</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）:支出决算10.54万元，完成预算100%。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4.卫生健康支出（</w:t>
      </w:r>
      <w:r>
        <w:rPr>
          <w:rFonts w:hint="eastAsia" w:ascii="仿宋" w:hAnsi="仿宋" w:eastAsia="仿宋" w:cs="仿宋"/>
          <w:color w:val="000000"/>
          <w:sz w:val="32"/>
          <w:szCs w:val="32"/>
          <w:lang w:val="en-US" w:eastAsia="zh-CN"/>
        </w:rPr>
        <w:t>210</w:t>
      </w:r>
      <w:r>
        <w:rPr>
          <w:rFonts w:hint="eastAsia" w:ascii="仿宋" w:hAnsi="仿宋" w:eastAsia="仿宋" w:cs="仿宋"/>
          <w:color w:val="000000"/>
          <w:sz w:val="32"/>
          <w:szCs w:val="32"/>
        </w:rPr>
        <w:t>）行政事业单位医疗（</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）行政单位医疗（</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）:支出决算8.97万元，完成预算100%。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5.节能环保支出（</w:t>
      </w:r>
      <w:r>
        <w:rPr>
          <w:rFonts w:hint="eastAsia" w:ascii="仿宋" w:hAnsi="仿宋" w:eastAsia="仿宋" w:cs="仿宋"/>
          <w:color w:val="000000"/>
          <w:sz w:val="32"/>
          <w:szCs w:val="32"/>
          <w:lang w:val="en-US" w:eastAsia="zh-CN"/>
        </w:rPr>
        <w:t>211</w:t>
      </w:r>
      <w:r>
        <w:rPr>
          <w:rFonts w:hint="eastAsia" w:ascii="仿宋" w:hAnsi="仿宋" w:eastAsia="仿宋" w:cs="仿宋"/>
          <w:color w:val="000000"/>
          <w:sz w:val="32"/>
          <w:szCs w:val="32"/>
        </w:rPr>
        <w:t>）自然生态保护（</w:t>
      </w:r>
      <w:r>
        <w:rPr>
          <w:rFonts w:hint="eastAsia" w:ascii="仿宋" w:hAnsi="仿宋" w:eastAsia="仿宋" w:cs="仿宋"/>
          <w:color w:val="000000"/>
          <w:sz w:val="32"/>
          <w:szCs w:val="32"/>
          <w:lang w:val="en-US" w:eastAsia="zh-CN"/>
        </w:rPr>
        <w:t>04</w:t>
      </w:r>
      <w:r>
        <w:rPr>
          <w:rFonts w:hint="eastAsia" w:ascii="仿宋" w:hAnsi="仿宋" w:eastAsia="仿宋" w:cs="仿宋"/>
          <w:color w:val="000000"/>
          <w:sz w:val="32"/>
          <w:szCs w:val="32"/>
        </w:rPr>
        <w:t>）生态保护（</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）:支出决算267.07万元，完成预算100%。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6.农林水支出（</w:t>
      </w:r>
      <w:r>
        <w:rPr>
          <w:rFonts w:hint="eastAsia" w:ascii="仿宋" w:hAnsi="仿宋" w:eastAsia="仿宋" w:cs="仿宋"/>
          <w:color w:val="000000"/>
          <w:sz w:val="32"/>
          <w:szCs w:val="32"/>
          <w:lang w:val="en-US" w:eastAsia="zh-CN"/>
        </w:rPr>
        <w:t>213</w:t>
      </w:r>
      <w:r>
        <w:rPr>
          <w:rFonts w:hint="eastAsia" w:ascii="仿宋" w:hAnsi="仿宋" w:eastAsia="仿宋" w:cs="仿宋"/>
          <w:color w:val="000000"/>
          <w:sz w:val="32"/>
          <w:szCs w:val="32"/>
        </w:rPr>
        <w:t>）水利（</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）行政运行（</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）:支出决算104.34万元，完成预算100%。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7.农林水支出（</w:t>
      </w:r>
      <w:r>
        <w:rPr>
          <w:rFonts w:hint="eastAsia" w:ascii="仿宋" w:hAnsi="仿宋" w:eastAsia="仿宋" w:cs="仿宋"/>
          <w:color w:val="000000"/>
          <w:sz w:val="32"/>
          <w:szCs w:val="32"/>
          <w:lang w:val="en-US" w:eastAsia="zh-CN"/>
        </w:rPr>
        <w:t>213</w:t>
      </w:r>
      <w:r>
        <w:rPr>
          <w:rFonts w:hint="eastAsia" w:ascii="仿宋" w:hAnsi="仿宋" w:eastAsia="仿宋" w:cs="仿宋"/>
          <w:color w:val="000000"/>
          <w:sz w:val="32"/>
          <w:szCs w:val="32"/>
        </w:rPr>
        <w:t>）水利（</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）大中型水库移民后期扶持专项支出（</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）:支出决算38.79万元，完成预算100%。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8.农林水支出（</w:t>
      </w:r>
      <w:r>
        <w:rPr>
          <w:rFonts w:hint="eastAsia" w:ascii="仿宋" w:hAnsi="仿宋" w:eastAsia="仿宋" w:cs="仿宋"/>
          <w:color w:val="000000"/>
          <w:sz w:val="32"/>
          <w:szCs w:val="32"/>
          <w:lang w:val="en-US" w:eastAsia="zh-CN"/>
        </w:rPr>
        <w:t>213</w:t>
      </w:r>
      <w:r>
        <w:rPr>
          <w:rFonts w:hint="eastAsia" w:ascii="仿宋" w:hAnsi="仿宋" w:eastAsia="仿宋" w:cs="仿宋"/>
          <w:color w:val="000000"/>
          <w:sz w:val="32"/>
          <w:szCs w:val="32"/>
        </w:rPr>
        <w:t>）水利（</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）其他水利支出（</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rPr>
        <w:t>）:支出决算1,374.48万元，完成预算100%。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9.农林水支出（</w:t>
      </w:r>
      <w:r>
        <w:rPr>
          <w:rFonts w:hint="eastAsia" w:ascii="仿宋" w:hAnsi="仿宋" w:eastAsia="仿宋" w:cs="仿宋"/>
          <w:color w:val="000000"/>
          <w:sz w:val="32"/>
          <w:szCs w:val="32"/>
          <w:lang w:val="en-US" w:eastAsia="zh-CN"/>
        </w:rPr>
        <w:t>213</w:t>
      </w:r>
      <w:r>
        <w:rPr>
          <w:rFonts w:hint="eastAsia" w:ascii="仿宋" w:hAnsi="仿宋" w:eastAsia="仿宋" w:cs="仿宋"/>
          <w:color w:val="000000"/>
          <w:sz w:val="32"/>
          <w:szCs w:val="32"/>
        </w:rPr>
        <w:t>）巩固脱贫攻坚成果衔接乡村振兴（</w:t>
      </w:r>
      <w:r>
        <w:rPr>
          <w:rFonts w:hint="eastAsia" w:ascii="仿宋" w:hAnsi="仿宋" w:eastAsia="仿宋" w:cs="仿宋"/>
          <w:color w:val="000000"/>
          <w:sz w:val="32"/>
          <w:szCs w:val="32"/>
          <w:lang w:val="en-US" w:eastAsia="zh-CN"/>
        </w:rPr>
        <w:t>05</w:t>
      </w:r>
      <w:r>
        <w:rPr>
          <w:rFonts w:hint="eastAsia" w:ascii="仿宋" w:hAnsi="仿宋" w:eastAsia="仿宋" w:cs="仿宋"/>
          <w:color w:val="000000"/>
          <w:sz w:val="32"/>
          <w:szCs w:val="32"/>
        </w:rPr>
        <w:t>）其他巩固脱贫攻坚成果衔接乡村振兴支出（</w:t>
      </w:r>
      <w:r>
        <w:rPr>
          <w:rFonts w:hint="eastAsia" w:ascii="仿宋" w:hAnsi="仿宋" w:eastAsia="仿宋" w:cs="仿宋"/>
          <w:color w:val="000000"/>
          <w:sz w:val="32"/>
          <w:szCs w:val="32"/>
          <w:lang w:val="en-US" w:eastAsia="zh-CN"/>
        </w:rPr>
        <w:t>99</w:t>
      </w:r>
      <w:r>
        <w:rPr>
          <w:rFonts w:hint="eastAsia" w:ascii="仿宋" w:hAnsi="仿宋" w:eastAsia="仿宋" w:cs="仿宋"/>
          <w:color w:val="000000"/>
          <w:sz w:val="32"/>
          <w:szCs w:val="32"/>
        </w:rPr>
        <w:t>）:支出决算413.51万元，完成预算100%。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10.住房保障支出（</w:t>
      </w:r>
      <w:r>
        <w:rPr>
          <w:rFonts w:hint="eastAsia" w:ascii="仿宋" w:hAnsi="仿宋" w:eastAsia="仿宋" w:cs="仿宋"/>
          <w:color w:val="000000"/>
          <w:sz w:val="32"/>
          <w:szCs w:val="32"/>
          <w:lang w:val="en-US" w:eastAsia="zh-CN"/>
        </w:rPr>
        <w:t>221</w:t>
      </w:r>
      <w:r>
        <w:rPr>
          <w:rFonts w:hint="eastAsia" w:ascii="仿宋" w:hAnsi="仿宋" w:eastAsia="仿宋" w:cs="仿宋"/>
          <w:color w:val="000000"/>
          <w:sz w:val="32"/>
          <w:szCs w:val="32"/>
        </w:rPr>
        <w:t>）住房改革支出（</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）住房公积金（</w:t>
      </w:r>
      <w:r>
        <w:rPr>
          <w:rFonts w:hint="eastAsia" w:ascii="仿宋" w:hAnsi="仿宋" w:eastAsia="仿宋" w:cs="仿宋"/>
          <w:color w:val="000000"/>
          <w:sz w:val="32"/>
          <w:szCs w:val="32"/>
          <w:lang w:val="en-US" w:eastAsia="zh-CN"/>
        </w:rPr>
        <w:t>01</w:t>
      </w:r>
      <w:r>
        <w:rPr>
          <w:rFonts w:hint="eastAsia" w:ascii="仿宋" w:hAnsi="仿宋" w:eastAsia="仿宋" w:cs="仿宋"/>
          <w:color w:val="000000"/>
          <w:sz w:val="32"/>
          <w:szCs w:val="32"/>
        </w:rPr>
        <w:t>）:支出决算7.96万元，完成预算100%。</w:t>
      </w:r>
      <w:r>
        <w:rPr>
          <w:rFonts w:hint="eastAsia" w:ascii="仿宋" w:hAnsi="仿宋" w:eastAsia="仿宋" w:cs="仿宋"/>
          <w:color w:val="000000"/>
          <w:sz w:val="32"/>
          <w:szCs w:val="32"/>
          <w:lang w:val="en-US"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11.住房保障支出（</w:t>
      </w:r>
      <w:r>
        <w:rPr>
          <w:rFonts w:hint="eastAsia" w:ascii="仿宋" w:hAnsi="仿宋" w:eastAsia="仿宋" w:cs="仿宋"/>
          <w:color w:val="000000"/>
          <w:sz w:val="32"/>
          <w:szCs w:val="32"/>
          <w:lang w:val="en-US" w:eastAsia="zh-CN"/>
        </w:rPr>
        <w:t>221</w:t>
      </w:r>
      <w:r>
        <w:rPr>
          <w:rFonts w:hint="eastAsia" w:ascii="仿宋" w:hAnsi="仿宋" w:eastAsia="仿宋" w:cs="仿宋"/>
          <w:color w:val="000000"/>
          <w:sz w:val="32"/>
          <w:szCs w:val="32"/>
        </w:rPr>
        <w:t>）住房改革支出（</w:t>
      </w:r>
      <w:r>
        <w:rPr>
          <w:rFonts w:hint="eastAsia" w:ascii="仿宋" w:hAnsi="仿宋" w:eastAsia="仿宋" w:cs="仿宋"/>
          <w:color w:val="000000"/>
          <w:sz w:val="32"/>
          <w:szCs w:val="32"/>
          <w:lang w:val="en-US" w:eastAsia="zh-CN"/>
        </w:rPr>
        <w:t>02</w:t>
      </w:r>
      <w:r>
        <w:rPr>
          <w:rFonts w:hint="eastAsia" w:ascii="仿宋" w:hAnsi="仿宋" w:eastAsia="仿宋" w:cs="仿宋"/>
          <w:color w:val="000000"/>
          <w:sz w:val="32"/>
          <w:szCs w:val="32"/>
        </w:rPr>
        <w:t>）购房补贴（</w:t>
      </w:r>
      <w:r>
        <w:rPr>
          <w:rFonts w:hint="eastAsia" w:ascii="仿宋" w:hAnsi="仿宋" w:eastAsia="仿宋" w:cs="仿宋"/>
          <w:color w:val="000000"/>
          <w:sz w:val="32"/>
          <w:szCs w:val="32"/>
          <w:lang w:val="en-US" w:eastAsia="zh-CN"/>
        </w:rPr>
        <w:t>03</w:t>
      </w:r>
      <w:r>
        <w:rPr>
          <w:rFonts w:hint="eastAsia" w:ascii="仿宋" w:hAnsi="仿宋" w:eastAsia="仿宋" w:cs="仿宋"/>
          <w:color w:val="000000"/>
          <w:sz w:val="32"/>
          <w:szCs w:val="32"/>
        </w:rPr>
        <w:t>）:支出决算2.42万元，完成预算100%。</w:t>
      </w:r>
      <w:r>
        <w:rPr>
          <w:rFonts w:hint="eastAsia" w:ascii="仿宋" w:hAnsi="仿宋" w:eastAsia="仿宋" w:cs="仿宋"/>
          <w:color w:val="000000"/>
          <w:sz w:val="32"/>
          <w:szCs w:val="32"/>
          <w:lang w:val="en-US" w:eastAsia="zh-CN"/>
        </w:rPr>
        <w:t>决算数与预算数持平。</w:t>
      </w:r>
    </w:p>
    <w:p w14:paraId="5F1461C4">
      <w:pPr>
        <w:pStyle w:val="3"/>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黑体" w:hAnsi="黑体" w:eastAsia="黑体" w:cs="黑体"/>
          <w:b w:val="0"/>
          <w:color w:val="000000"/>
          <w:sz w:val="32"/>
          <w:szCs w:val="32"/>
        </w:rPr>
      </w:pPr>
      <w:bookmarkStart w:id="49" w:name="_Toc15377214"/>
      <w:bookmarkStart w:id="50" w:name="_Toc31578"/>
      <w:bookmarkStart w:id="51" w:name="_Toc111208504"/>
      <w:r>
        <w:rPr>
          <w:rFonts w:hint="eastAsia" w:ascii="黑体" w:hAnsi="黑体" w:eastAsia="黑体" w:cs="黑体"/>
          <w:b w:val="0"/>
          <w:bCs/>
          <w:color w:val="000000"/>
          <w:sz w:val="32"/>
          <w:szCs w:val="32"/>
        </w:rPr>
        <w:t>六、一般公共预算财政拨款基本支出决算情况说</w:t>
      </w:r>
      <w:bookmarkEnd w:id="49"/>
      <w:r>
        <w:rPr>
          <w:rFonts w:hint="eastAsia" w:ascii="黑体" w:hAnsi="黑体" w:eastAsia="黑体" w:cs="黑体"/>
          <w:b w:val="0"/>
          <w:bCs/>
          <w:color w:val="000000"/>
          <w:sz w:val="32"/>
          <w:szCs w:val="32"/>
        </w:rPr>
        <w:t>明</w:t>
      </w:r>
      <w:bookmarkEnd w:id="50"/>
      <w:bookmarkEnd w:id="51"/>
    </w:p>
    <w:p w14:paraId="5A9F538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136.73万元，其中：</w:t>
      </w:r>
    </w:p>
    <w:p w14:paraId="116EF1F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128.5</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万元，主要包括：基本工资28.15万元、津贴补贴27.72万元、奖金31.53万元、机关事业单位基本养老保险缴费8.69万元、职业年金缴费4.35万元、职工基本医疗保险缴费8.97万元、其他社会保障缴费5</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万元、住房公积金7.96万元、医疗费1.67万元、生活补助4.45万元。</w:t>
      </w:r>
    </w:p>
    <w:p w14:paraId="39B6CA0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8.23万元，主要包括：办公费2</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万元、电费0.23万元、差旅费2</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万元、公务用车运行维护费4</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w:t>
      </w:r>
    </w:p>
    <w:p w14:paraId="151B178E">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52" w:name="_Toc15377215"/>
      <w:bookmarkStart w:id="53" w:name="_Toc6614"/>
      <w:bookmarkStart w:id="54" w:name="_Toc111208505"/>
      <w:r>
        <w:rPr>
          <w:rFonts w:hint="eastAsia" w:ascii="黑体" w:hAnsi="黑体" w:eastAsia="黑体" w:cs="黑体"/>
          <w:b w:val="0"/>
          <w:bCs/>
          <w:color w:val="000000"/>
        </w:rPr>
        <w:t>七、“三公”经费财政拨款支出决算情况说明</w:t>
      </w:r>
      <w:bookmarkEnd w:id="52"/>
      <w:bookmarkEnd w:id="53"/>
      <w:bookmarkEnd w:id="54"/>
    </w:p>
    <w:p w14:paraId="613FE38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12.28万元，完成预算100%，较上年度减少0.9</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万元，下降6.9%。</w:t>
      </w:r>
      <w:bookmarkStart w:id="56" w:name="_Toc15377217"/>
      <w:r>
        <w:rPr>
          <w:rFonts w:hint="eastAsia" w:ascii="仿宋" w:hAnsi="仿宋" w:eastAsia="仿宋" w:cs="仿宋"/>
          <w:color w:val="000000"/>
          <w:sz w:val="32"/>
          <w:u w:color="auto"/>
          <w:lang w:val="en-US" w:eastAsia="zh-CN"/>
        </w:rPr>
        <w:t>减少的原因是：公务用车费用减少。</w:t>
      </w:r>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12.28万元，因公出国（境）费支出决算0万元，占0%；公务用车购置及运行维护费支出决算12.28万元，占100%；公务接待费支出决算0万元，占0%。具体情况如下：</w:t>
      </w:r>
    </w:p>
    <w:p w14:paraId="35A33F8D">
      <w:pPr>
        <w:pStyle w:val="5"/>
        <w:jc w:val="center"/>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2767330" cy="1435735"/>
            <wp:effectExtent l="5080" t="4445" r="8890" b="762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D76A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ascii="仿宋" w:hAnsi="仿宋" w:eastAsia="仿宋" w:cs="仿宋"/>
          <w:color w:val="000000"/>
          <w:sz w:val="32"/>
          <w:u w:color="auto"/>
        </w:rPr>
        <w:t xml:space="preserve">万元,完成预算100%。全年安排因公出国（境）团组0次，出国（境）0人。因公出国（境）支出决算比2023年增加0万元，增长0%。 </w:t>
      </w:r>
    </w:p>
    <w:p w14:paraId="327BF985">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12.28</w:t>
      </w:r>
      <w:r>
        <w:rPr>
          <w:rFonts w:ascii="仿宋" w:hAnsi="仿宋" w:eastAsia="仿宋" w:cs="仿宋"/>
          <w:color w:val="000000"/>
          <w:sz w:val="32"/>
          <w:u w:color="auto"/>
        </w:rPr>
        <w:t>万元,完成预算100%。公务用车购置及运行维护费支出决算比2023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减少0.85</w:t>
      </w:r>
      <w:r>
        <w:rPr>
          <w:rFonts w:ascii="仿宋" w:hAnsi="仿宋" w:eastAsia="仿宋" w:cs="仿宋"/>
          <w:color w:val="000000"/>
          <w:sz w:val="32"/>
          <w:u w:color="auto"/>
        </w:rPr>
        <w:t xml:space="preserve">万元，下降6.4%。 </w:t>
      </w:r>
    </w:p>
    <w:p w14:paraId="7D2B639A">
      <w:pPr>
        <w:spacing w:line="600"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其中：</w:t>
      </w:r>
      <w:r>
        <w:rPr>
          <w:rFonts w:hint="eastAsia" w:ascii="仿宋" w:hAnsi="仿宋" w:eastAsia="仿宋" w:cs="仿宋"/>
          <w:b/>
          <w:bCs/>
          <w:color w:val="000000"/>
          <w:sz w:val="32"/>
          <w:szCs w:val="32"/>
          <w:highlight w:val="none"/>
        </w:rPr>
        <w:t>公务用车购置支出</w:t>
      </w:r>
      <w:r>
        <w:rPr>
          <w:rFonts w:hint="eastAsia" w:ascii="仿宋" w:hAnsi="仿宋" w:eastAsia="仿宋" w:cs="仿宋"/>
          <w:color w:val="000000"/>
          <w:sz w:val="32"/>
          <w:szCs w:val="32"/>
          <w:highlight w:val="none"/>
        </w:rPr>
        <w:t>0</w:t>
      </w:r>
      <w:r>
        <w:rPr>
          <w:rFonts w:ascii="仿宋" w:hAnsi="仿宋" w:eastAsia="仿宋" w:cs="仿宋"/>
          <w:color w:val="000000"/>
          <w:sz w:val="32"/>
          <w:highlight w:val="none"/>
          <w:u w:color="auto"/>
        </w:rPr>
        <w:t>万元。全年按规定更新购置公务用车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万元。截至</w:t>
      </w:r>
      <w:r>
        <w:rPr>
          <w:rFonts w:ascii="仿宋" w:hAnsi="仿宋" w:eastAsia="仿宋" w:cs="仿宋"/>
          <w:color w:val="000000"/>
          <w:sz w:val="32"/>
          <w:highlight w:val="none"/>
          <w:u w:color="auto"/>
        </w:rPr>
        <w:t>2024年12月</w:t>
      </w:r>
      <w:r>
        <w:rPr>
          <w:rFonts w:hint="eastAsia" w:ascii="仿宋" w:hAnsi="仿宋" w:eastAsia="仿宋" w:cs="仿宋"/>
          <w:color w:val="000000"/>
          <w:sz w:val="32"/>
          <w:szCs w:val="32"/>
          <w:highlight w:val="none"/>
          <w:lang w:val="en-US" w:eastAsia="zh-CN"/>
        </w:rPr>
        <w:t>31日</w:t>
      </w:r>
      <w:r>
        <w:rPr>
          <w:rFonts w:hint="eastAsia" w:ascii="仿宋" w:hAnsi="仿宋" w:eastAsia="仿宋" w:cs="仿宋"/>
          <w:color w:val="000000"/>
          <w:sz w:val="32"/>
          <w:szCs w:val="32"/>
          <w:highlight w:val="none"/>
        </w:rPr>
        <w:t>，单位共有公务用车</w:t>
      </w:r>
      <w:r>
        <w:rPr>
          <w:rFonts w:ascii="仿宋" w:hAnsi="仿宋" w:eastAsia="仿宋" w:cs="仿宋"/>
          <w:color w:val="000000"/>
          <w:sz w:val="32"/>
          <w:highlight w:val="none"/>
          <w:u w:color="auto"/>
        </w:rPr>
        <w:t>2辆，其中：轿车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w:t>
      </w:r>
      <w:r>
        <w:rPr>
          <w:rFonts w:hint="eastAsia" w:ascii="仿宋" w:hAnsi="仿宋" w:eastAsia="仿宋" w:cs="仿宋"/>
          <w:color w:val="000000"/>
          <w:sz w:val="32"/>
          <w:szCs w:val="32"/>
          <w:highlight w:val="none"/>
          <w:lang w:val="en-US" w:eastAsia="zh-CN"/>
        </w:rPr>
        <w:t>。</w:t>
      </w:r>
    </w:p>
    <w:p w14:paraId="2ED6A1A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12.28</w:t>
      </w:r>
      <w:r>
        <w:rPr>
          <w:rFonts w:ascii="仿宋" w:hAnsi="仿宋" w:eastAsia="仿宋" w:cs="仿宋"/>
          <w:color w:val="000000"/>
          <w:sz w:val="32"/>
          <w:u w:color="auto"/>
        </w:rPr>
        <w:t xml:space="preserve">万元。 </w:t>
      </w:r>
    </w:p>
    <w:p w14:paraId="2C1431EB">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w:t>
      </w:r>
      <w:r>
        <w:rPr>
          <w:rFonts w:ascii="仿宋" w:hAnsi="仿宋" w:eastAsia="仿宋" w:cs="仿宋"/>
          <w:color w:val="000000"/>
          <w:sz w:val="32"/>
          <w:u w:color="auto"/>
        </w:rPr>
        <w:t>万元，完成预算0%。公务接待费支出决算比2023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减少0.06</w:t>
      </w:r>
      <w:r>
        <w:rPr>
          <w:rFonts w:ascii="仿宋" w:hAnsi="仿宋" w:eastAsia="仿宋" w:cs="仿宋"/>
          <w:color w:val="000000"/>
          <w:sz w:val="32"/>
          <w:u w:color="auto"/>
        </w:rPr>
        <w:t>万元，下降100%</w:t>
      </w:r>
      <w:bookmarkStart w:id="57" w:name="_Toc15377218"/>
      <w:r>
        <w:rPr>
          <w:rFonts w:hint="eastAsia" w:ascii="仿宋" w:hAnsi="仿宋" w:eastAsia="仿宋" w:cs="仿宋"/>
          <w:color w:val="000000"/>
          <w:sz w:val="32"/>
          <w:szCs w:val="32"/>
        </w:rPr>
        <w:t xml:space="preserve">。 </w:t>
      </w:r>
    </w:p>
    <w:p w14:paraId="7F3EE578">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万元，主要用于执行公务、开展业务活动开支的交通费、住宿费、用餐费等。国内公务接待0批次，0人次（不包括陪同人员），共计支出0万元。</w:t>
      </w:r>
    </w:p>
    <w:p w14:paraId="662C5F0F">
      <w:pPr>
        <w:pStyle w:val="5"/>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万元，外事接待0批次，0人次（不包括陪同人员），共计支出0万元。</w:t>
      </w:r>
    </w:p>
    <w:p w14:paraId="5DA11626">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政府性基金预算拨款支出</w:t>
      </w:r>
      <w:r>
        <w:rPr>
          <w:rFonts w:ascii="仿宋" w:hAnsi="仿宋" w:eastAsia="仿宋" w:cs="仿宋"/>
          <w:color w:val="000000"/>
          <w:sz w:val="32"/>
          <w:u w:color="auto"/>
        </w:rPr>
        <w:t>364.48万元</w:t>
      </w:r>
      <w:bookmarkStart w:id="60" w:name="_Toc15377219"/>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14%</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ascii="仿宋" w:hAnsi="仿宋" w:eastAsia="仿宋" w:cs="仿宋"/>
          <w:color w:val="000000"/>
          <w:sz w:val="32"/>
          <w:szCs w:val="32"/>
        </w:rPr>
        <w:t>减少76</w:t>
      </w:r>
      <w:r>
        <w:rPr>
          <w:rFonts w:hint="eastAsia" w:ascii="仿宋" w:hAnsi="仿宋" w:eastAsia="仿宋" w:cs="仿宋"/>
          <w:color w:val="000000"/>
          <w:sz w:val="32"/>
          <w:szCs w:val="32"/>
          <w:lang w:val="en-US" w:eastAsia="zh-CN"/>
        </w:rPr>
        <w:t>.60万元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下降17.4%。</w:t>
      </w:r>
      <w:r>
        <w:rPr>
          <w:rFonts w:ascii="仿宋" w:hAnsi="仿宋" w:eastAsia="仿宋" w:cs="仿宋"/>
          <w:color w:val="000000"/>
          <w:sz w:val="32"/>
          <w:u w:color="auto"/>
        </w:rPr>
        <w:t>主要变动原因是</w:t>
      </w:r>
      <w:r>
        <w:rPr>
          <w:rFonts w:hint="eastAsia" w:ascii="仿宋" w:hAnsi="仿宋" w:eastAsia="仿宋" w:cs="仿宋"/>
          <w:color w:val="000000"/>
          <w:sz w:val="32"/>
          <w:u w:color="auto"/>
          <w:lang w:eastAsia="zh-CN"/>
        </w:rPr>
        <w:t>：</w:t>
      </w:r>
      <w:r>
        <w:rPr>
          <w:rFonts w:hint="eastAsia" w:ascii="仿宋" w:hAnsi="仿宋" w:eastAsia="仿宋" w:cs="仿宋"/>
          <w:color w:val="000000"/>
          <w:sz w:val="32"/>
          <w:u w:color="auto"/>
          <w:lang w:val="en-US" w:eastAsia="zh-CN"/>
        </w:rPr>
        <w:t>项目建设资金减少</w:t>
      </w:r>
      <w:r>
        <w:rPr>
          <w:rFonts w:ascii="仿宋" w:hAnsi="仿宋" w:eastAsia="仿宋" w:cs="仿宋"/>
          <w:color w:val="000000"/>
          <w:sz w:val="32"/>
          <w:u w:color="auto"/>
        </w:rPr>
        <w:t xml:space="preserve">。 </w:t>
      </w:r>
    </w:p>
    <w:p w14:paraId="79E1D034">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19F0375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r>
        <w:rPr>
          <w:rFonts w:hint="eastAsia" w:ascii="仿宋" w:hAnsi="仿宋" w:eastAsia="仿宋" w:cs="仿宋"/>
          <w:color w:val="000000"/>
          <w:sz w:val="32"/>
          <w:szCs w:val="32"/>
        </w:rPr>
        <w:t>。</w:t>
      </w:r>
      <w:r>
        <w:rPr>
          <w:rFonts w:ascii="仿宋" w:hAnsi="仿宋" w:eastAsia="仿宋" w:cs="仿宋"/>
          <w:color w:val="000000"/>
          <w:sz w:val="32"/>
          <w:u w:color="auto"/>
        </w:rPr>
        <w:t xml:space="preserve"> </w:t>
      </w:r>
    </w:p>
    <w:p w14:paraId="76FD0E14">
      <w:pPr>
        <w:pStyle w:val="3"/>
        <w:keepNext w:val="0"/>
        <w:keepLines w:val="0"/>
        <w:pageBreakBefore w:val="0"/>
        <w:widowControl w:val="0"/>
        <w:kinsoku/>
        <w:wordWrap/>
        <w:overflowPunct/>
        <w:topLinePunct w:val="0"/>
        <w:autoSpaceDE/>
        <w:autoSpaceDN/>
        <w:bidi w:val="0"/>
        <w:adjustRightInd/>
        <w:snapToGrid/>
        <w:spacing w:beforeAutospacing="0" w:afterAutospacing="0"/>
        <w:ind w:firstLine="720" w:firstLineChars="200"/>
        <w:textAlignment w:val="auto"/>
        <w:rPr>
          <w:rFonts w:hint="eastAsia" w:ascii="黑体" w:hAnsi="黑体" w:eastAsia="黑体" w:cs="黑体"/>
          <w:b w:val="0"/>
          <w:bCs/>
          <w:color w:val="000000"/>
        </w:rPr>
      </w:pPr>
      <w:bookmarkStart w:id="63" w:name="_Toc15377221"/>
      <w:bookmarkStart w:id="64" w:name="_Toc18455"/>
      <w:bookmarkStart w:id="65" w:name="_Toc111208508"/>
      <w:r>
        <w:rPr>
          <w:rFonts w:hint="eastAsia" w:ascii="黑体" w:hAnsi="黑体" w:eastAsia="黑体" w:cs="黑体"/>
          <w:b w:val="0"/>
          <w:bCs/>
          <w:color w:val="000000"/>
        </w:rPr>
        <w:t>十、其他重要事项的情况说明</w:t>
      </w:r>
      <w:bookmarkEnd w:id="63"/>
      <w:bookmarkEnd w:id="64"/>
      <w:bookmarkEnd w:id="65"/>
    </w:p>
    <w:p w14:paraId="019CBB2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 xml:space="preserve">茂县水务局（本级）机关运行经费支出8.23万元，比2023年减少0.06万元，下降0.7%。 </w:t>
      </w:r>
    </w:p>
    <w:p w14:paraId="66094D57">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茂县水务局（本级）政府采购支出总额754.24万元，其中：政府采购货物支出544.24万元、政府采购工程支出0万元、政府采购服务支出210万元。授予中小企业合同金额754.24万元，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100%,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754.24万元，占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100%。</w:t>
      </w:r>
    </w:p>
    <w:p w14:paraId="12B7C937">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17A0ED7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2024年12月31日，茂县水务局（本级）共有车辆2辆，其中：主要领导干部用车0辆、机要通信用车0辆、应急保障用车0辆、其他用车2辆。单价100万元以上专用设备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u w:color="auto"/>
        </w:rPr>
        <w:t>台（套）。</w:t>
      </w:r>
    </w:p>
    <w:p w14:paraId="4EF5086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08A9B81F">
      <w:pPr>
        <w:keepNext w:val="0"/>
        <w:keepLines w:val="0"/>
        <w:pageBreakBefore w:val="0"/>
        <w:widowControl w:val="0"/>
        <w:kinsoku/>
        <w:wordWrap/>
        <w:overflowPunct/>
        <w:topLinePunct w:val="0"/>
        <w:autoSpaceDE/>
        <w:autoSpaceDN/>
        <w:bidi w:val="0"/>
        <w:adjustRightInd/>
        <w:snapToGrid w:val="0"/>
        <w:spacing w:line="576" w:lineRule="exact"/>
        <w:ind w:right="0" w:firstLine="640" w:firstLineChars="200"/>
        <w:jc w:val="left"/>
        <w:textAlignment w:val="auto"/>
        <w:rPr>
          <w:rFonts w:hint="eastAsia" w:ascii="仿宋_GB2312" w:cs="Times New Roman"/>
          <w:color w:val="auto"/>
          <w:sz w:val="32"/>
          <w:szCs w:val="32"/>
          <w:highlight w:val="none"/>
          <w:lang w:val="en-US" w:eastAsia="zh-CN"/>
        </w:rPr>
      </w:pPr>
      <w:r>
        <w:rPr>
          <w:rFonts w:hint="eastAsia" w:ascii="仿宋_GB2312" w:hAnsi="Times New Roman" w:eastAsia="仿宋_GB2312" w:cs="Times New Roman"/>
          <w:color w:val="000000"/>
          <w:sz w:val="32"/>
          <w:szCs w:val="32"/>
          <w:lang w:val="en-US" w:eastAsia="zh-CN"/>
        </w:rPr>
        <w:t>根据预算绩效管理要求，本单位在2024年度预算编制阶段，组织对</w:t>
      </w:r>
      <w:r>
        <w:rPr>
          <w:rFonts w:hint="eastAsia" w:ascii="仿宋_GB2312" w:hAnsi="仿宋_GB2312" w:eastAsia="仿宋_GB2312" w:cs="仿宋_GB2312"/>
          <w:b w:val="0"/>
          <w:bCs w:val="0"/>
          <w:color w:val="000000"/>
          <w:sz w:val="32"/>
          <w:szCs w:val="32"/>
          <w:lang w:eastAsia="zh-CN"/>
        </w:rPr>
        <w:t>2024年度省级水利发展资金（2024年农村安全饮水维修养护项目）、2024年度</w:t>
      </w:r>
      <w:r>
        <w:rPr>
          <w:rFonts w:hint="eastAsia" w:ascii="仿宋_GB2312" w:hAnsi="仿宋_GB2312" w:eastAsia="仿宋_GB2312" w:cs="仿宋_GB2312"/>
          <w:b w:val="0"/>
          <w:bCs w:val="0"/>
          <w:color w:val="000000"/>
          <w:sz w:val="32"/>
          <w:szCs w:val="32"/>
          <w:lang w:val="en-US" w:eastAsia="zh-CN"/>
        </w:rPr>
        <w:t>中央</w:t>
      </w:r>
      <w:r>
        <w:rPr>
          <w:rFonts w:hint="eastAsia" w:ascii="仿宋_GB2312" w:hAnsi="仿宋_GB2312" w:eastAsia="仿宋_GB2312" w:cs="仿宋_GB2312"/>
          <w:b w:val="0"/>
          <w:bCs w:val="0"/>
          <w:color w:val="000000"/>
          <w:sz w:val="32"/>
          <w:szCs w:val="32"/>
          <w:lang w:eastAsia="zh-CN"/>
        </w:rPr>
        <w:t>水利发展资金（山洪灾害防治非工程措施）、2024年度中央水利发展资金（2024年农业水价综合改革项目）、</w:t>
      </w:r>
      <w:r>
        <w:rPr>
          <w:rFonts w:hint="eastAsia" w:ascii="仿宋_GB2312" w:hAnsi="仿宋_GB2312" w:eastAsia="仿宋_GB2312" w:cs="仿宋_GB2312"/>
          <w:sz w:val="32"/>
          <w:szCs w:val="32"/>
          <w:lang w:val="en-US" w:eastAsia="zh-CN"/>
        </w:rPr>
        <w:t>2024年统筹整合使用财政涉农项目农村安全饮水提升改造项目</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sz w:val="32"/>
          <w:szCs w:val="32"/>
          <w:lang w:val="en-US" w:eastAsia="zh-CN"/>
        </w:rPr>
        <w:t>茂县山洪灾害危险区责任人履职补助</w:t>
      </w:r>
      <w:r>
        <w:rPr>
          <w:rFonts w:hint="eastAsia" w:ascii="仿宋_GB2312" w:hAnsi="Times New Roman" w:eastAsia="仿宋_GB2312" w:cs="Times New Roman"/>
          <w:color w:val="000000"/>
          <w:sz w:val="32"/>
          <w:szCs w:val="32"/>
          <w:lang w:val="en-US" w:eastAsia="zh-CN"/>
        </w:rPr>
        <w:t>等</w:t>
      </w:r>
      <w:r>
        <w:rPr>
          <w:rFonts w:hint="eastAsia" w:ascii="仿宋_GB2312" w:cs="Times New Roman"/>
          <w:color w:val="000000"/>
          <w:sz w:val="32"/>
          <w:szCs w:val="32"/>
          <w:lang w:val="en-US" w:eastAsia="zh-CN"/>
        </w:rPr>
        <w:t>5</w:t>
      </w:r>
      <w:r>
        <w:rPr>
          <w:rFonts w:hint="eastAsia" w:ascii="仿宋_GB2312" w:hAnsi="Times New Roman" w:eastAsia="仿宋_GB2312" w:cs="Times New Roman"/>
          <w:color w:val="000000"/>
          <w:sz w:val="32"/>
          <w:szCs w:val="32"/>
          <w:lang w:val="en-US" w:eastAsia="zh-CN"/>
        </w:rPr>
        <w:t>个项目开展了预算事前绩效评估，对</w:t>
      </w:r>
      <w:r>
        <w:rPr>
          <w:rFonts w:hint="eastAsia" w:ascii="仿宋_GB2312" w:cs="Times New Roman"/>
          <w:color w:val="000000"/>
          <w:sz w:val="32"/>
          <w:szCs w:val="32"/>
          <w:lang w:val="en-US" w:eastAsia="zh-CN"/>
        </w:rPr>
        <w:t>5</w:t>
      </w:r>
      <w:r>
        <w:rPr>
          <w:rFonts w:hint="eastAsia" w:ascii="仿宋_GB2312" w:hAnsi="Times New Roman" w:eastAsia="仿宋_GB2312" w:cs="Times New Roman"/>
          <w:color w:val="000000"/>
          <w:sz w:val="32"/>
          <w:szCs w:val="32"/>
          <w:lang w:val="en-US" w:eastAsia="zh-CN"/>
        </w:rPr>
        <w:t>个项目编制了绩效目标，预算执行过程中，选取</w:t>
      </w:r>
      <w:r>
        <w:rPr>
          <w:rFonts w:hint="eastAsia" w:ascii="仿宋_GB2312" w:cs="Times New Roman"/>
          <w:color w:val="000000"/>
          <w:sz w:val="32"/>
          <w:szCs w:val="32"/>
          <w:lang w:val="en-US" w:eastAsia="zh-CN"/>
        </w:rPr>
        <w:t>5</w:t>
      </w:r>
      <w:r>
        <w:rPr>
          <w:rFonts w:hint="eastAsia" w:ascii="仿宋_GB2312" w:hAnsi="Times New Roman" w:eastAsia="仿宋_GB2312" w:cs="Times New Roman"/>
          <w:color w:val="000000"/>
          <w:sz w:val="32"/>
          <w:szCs w:val="32"/>
          <w:lang w:val="en-US" w:eastAsia="zh-CN"/>
        </w:rPr>
        <w:t>个项目开展绩效监控，</w:t>
      </w:r>
      <w:r>
        <w:rPr>
          <w:rFonts w:hint="eastAsia" w:ascii="仿宋_GB2312" w:hAnsi="Times New Roman" w:eastAsia="仿宋_GB2312" w:cs="Times New Roman"/>
          <w:color w:val="auto"/>
          <w:sz w:val="32"/>
          <w:szCs w:val="32"/>
          <w:highlight w:val="none"/>
          <w:lang w:eastAsia="zh-CN"/>
        </w:rPr>
        <w:t>组织对</w:t>
      </w:r>
      <w:r>
        <w:rPr>
          <w:rFonts w:hint="eastAsia" w:ascii="仿宋_GB2312" w:cs="Times New Roman"/>
          <w:color w:val="auto"/>
          <w:sz w:val="32"/>
          <w:szCs w:val="32"/>
          <w:highlight w:val="none"/>
          <w:lang w:val="en-US" w:eastAsia="zh-CN"/>
        </w:rPr>
        <w:t>5</w:t>
      </w:r>
      <w:r>
        <w:rPr>
          <w:rFonts w:hint="eastAsia" w:ascii="仿宋_GB2312" w:hAnsi="Times New Roman" w:eastAsia="仿宋_GB2312" w:cs="Times New Roman"/>
          <w:color w:val="auto"/>
          <w:sz w:val="32"/>
          <w:szCs w:val="32"/>
          <w:highlight w:val="none"/>
          <w:lang w:val="en-US" w:eastAsia="zh-CN"/>
        </w:rPr>
        <w:t>个项目开展绩效自评</w:t>
      </w:r>
      <w:r>
        <w:rPr>
          <w:rFonts w:hint="eastAsia" w:ascii="仿宋_GB2312" w:cs="Times New Roman"/>
          <w:color w:val="auto"/>
          <w:sz w:val="32"/>
          <w:szCs w:val="32"/>
          <w:highlight w:val="none"/>
          <w:lang w:val="en-US" w:eastAsia="zh-CN"/>
        </w:rPr>
        <w:t>。</w:t>
      </w:r>
    </w:p>
    <w:p w14:paraId="4CD24062">
      <w:pPr>
        <w:keepNext w:val="0"/>
        <w:keepLines w:val="0"/>
        <w:pageBreakBefore w:val="0"/>
        <w:widowControl w:val="0"/>
        <w:kinsoku/>
        <w:wordWrap/>
        <w:overflowPunct/>
        <w:topLinePunct w:val="0"/>
        <w:autoSpaceDE/>
        <w:autoSpaceDN/>
        <w:bidi w:val="0"/>
        <w:adjustRightInd/>
        <w:snapToGrid w:val="0"/>
        <w:spacing w:line="576" w:lineRule="exact"/>
        <w:ind w:right="0" w:firstLine="643" w:firstLineChars="200"/>
        <w:jc w:val="left"/>
        <w:textAlignment w:val="auto"/>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b/>
          <w:bCs/>
          <w:color w:val="auto"/>
          <w:sz w:val="32"/>
          <w:szCs w:val="32"/>
          <w:highlight w:val="none"/>
          <w:lang w:val="en-US" w:eastAsia="zh-CN"/>
        </w:rPr>
        <w:t>绩效自评表详见第四部分附件</w:t>
      </w:r>
    </w:p>
    <w:p w14:paraId="7F33C512"/>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2"/>
        <w:jc w:val="center"/>
        <w:rPr>
          <w:rFonts w:hint="eastAsia" w:ascii="黑体" w:hAnsi="黑体" w:eastAsia="黑体" w:cs="黑体"/>
          <w:b w:val="0"/>
          <w:bCs w:val="0"/>
        </w:rPr>
      </w:pPr>
      <w:bookmarkStart w:id="69" w:name="_Toc18122"/>
      <w:bookmarkStart w:id="70" w:name="_Toc15377225"/>
      <w:bookmarkStart w:id="71" w:name="_Toc111208509"/>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11.社会保障和就业支出（类）就业补助（款）公益性岗位补贴（项）:反映财政对符合条件的就业困难人员在公益性岗位就业给予的岗位补贴支出。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节能环保支出（类）自然生态保护（款）生态保护（项）:反映用于生态功能区、生态示范区、生态省（市、县）管理及能力建设、日常管护、宣教、试点示范等支出，生态修复支出，资源开发生态监管支出，生态护林员的劳务报酬等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14.农林水支出（类）水利（款）行政运行（项）:反映行政单位（包括实行公务员管理的事业单位）的基本支出。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农林水支出（类）水利（款）大中型水库移民后期扶持专项支出（项）:反映中央财政划转大中型水库移民后期扶持基金的支出，包括对销售电量加价部分征收的增值税返还以及用于解决水库移民遗留问题的定额补助。</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16.农林水支出（类）水利（款）其他水利支出（项）:反映除上述项目以外其他用于水利方面的支出。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17.农林水支出（类）巩固脱贫攻坚成果衔接乡村振兴（款）其他巩固脱贫攻坚成果衔接乡村振兴支出（项）:反映除上述项目以外其他用于扶贫方面的支出。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18.住房保障支出（类）住房改革支出（款）住房公积金（项）:反映行政事业单位按人力资源和社会保障部、财政部规定的基本工资和津贴补贴以及规定比例为职工缴纳的住房公积金。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19.住房保障支出（类）住房改革支出（款）购房补贴（项）:反映按房改政策规定，行政事业单位向符合条件职工（含离退休人员）、军队（含武警）向转役复员离退休人员发放的用于购买住房的补贴。</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21</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22</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23</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24</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25</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5882754F">
      <w:pPr>
        <w:widowControl/>
        <w:jc w:val="left"/>
        <w:rPr>
          <w:rFonts w:hint="eastAsia" w:ascii="黑体" w:hAnsi="黑体" w:eastAsia="黑体" w:cs="黑体"/>
          <w:b w:val="0"/>
          <w:bCs w:val="0"/>
        </w:rPr>
      </w:pPr>
      <w:r>
        <w:rPr>
          <w:rStyle w:val="34"/>
          <w:rFonts w:hint="eastAsia" w:ascii="思源黑体 CN Normal" w:hAnsi="思源黑体 CN Normal" w:eastAsia="思源黑体 CN Normal" w:cs="思源黑体 CN Normal"/>
        </w:rPr>
        <w:br w:type="page"/>
      </w:r>
      <w:bookmarkStart w:id="72" w:name="_Toc111208510"/>
      <w:bookmarkStart w:id="73" w:name="_Toc25539"/>
    </w:p>
    <w:p w14:paraId="0D712539">
      <w:pPr>
        <w:pStyle w:val="2"/>
        <w:numPr>
          <w:ilvl w:val="0"/>
          <w:numId w:val="2"/>
        </w:numPr>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附件</w:t>
      </w:r>
      <w:bookmarkEnd w:id="72"/>
      <w:bookmarkEnd w:id="73"/>
      <w:bookmarkStart w:id="74" w:name="_Toc21200"/>
      <w:bookmarkStart w:id="75" w:name="_Toc111208512"/>
      <w:bookmarkStart w:id="76" w:name="_Toc79163885"/>
      <w:bookmarkStart w:id="77" w:name="_Toc79163635"/>
    </w:p>
    <w:p w14:paraId="1E6CFB6B">
      <w:pPr>
        <w:pStyle w:val="7"/>
        <w:jc w:val="center"/>
        <w:rPr>
          <w:rFonts w:hint="eastAsia"/>
          <w:sz w:val="30"/>
          <w:szCs w:val="30"/>
        </w:rPr>
      </w:pPr>
      <w:bookmarkStart w:id="78" w:name="_Toc24411"/>
      <w:bookmarkStart w:id="79" w:name="_Toc13911"/>
      <w:r>
        <w:rPr>
          <w:rFonts w:hint="eastAsia" w:hAnsi="Times New Roman"/>
          <w:sz w:val="30"/>
          <w:szCs w:val="30"/>
        </w:rPr>
        <w:t>单位预算项目支出绩效自评表（202</w:t>
      </w:r>
      <w:r>
        <w:rPr>
          <w:rFonts w:hint="eastAsia"/>
          <w:sz w:val="30"/>
          <w:szCs w:val="30"/>
          <w:lang w:val="en-US" w:eastAsia="zh-CN"/>
        </w:rPr>
        <w:t>4</w:t>
      </w:r>
      <w:r>
        <w:rPr>
          <w:rFonts w:hint="eastAsia" w:hAnsi="Times New Roman"/>
          <w:sz w:val="30"/>
          <w:szCs w:val="30"/>
        </w:rPr>
        <w:t>年度）</w:t>
      </w:r>
      <w:bookmarkEnd w:id="78"/>
      <w:bookmarkEnd w:id="79"/>
    </w:p>
    <w:tbl>
      <w:tblPr>
        <w:tblStyle w:val="21"/>
        <w:tblW w:w="80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1117"/>
        <w:gridCol w:w="1148"/>
        <w:gridCol w:w="1370"/>
        <w:gridCol w:w="506"/>
        <w:gridCol w:w="516"/>
        <w:gridCol w:w="336"/>
        <w:gridCol w:w="636"/>
        <w:gridCol w:w="496"/>
        <w:gridCol w:w="446"/>
        <w:gridCol w:w="972"/>
      </w:tblGrid>
      <w:tr w14:paraId="46B6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31656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4828A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AD48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A7153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51322324T000009950130-大中型水库移民后期扶持中央资金项目</w:t>
            </w:r>
          </w:p>
        </w:tc>
      </w:tr>
      <w:tr w14:paraId="6BF87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E762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6BE737">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530C5CE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实施单位</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F219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2137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2DF4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BF71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8ED04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AD65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3742D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B9455">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3EDEB">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45D49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实施后，可提升村基础设施建设，改善群众生产生活条件，促进农业产业的发展，增强农业产业园区标准化建设，加速村经济快速发展，解决制约我村经济发展的主要因素，其经济效益和社会效益都将十分显著，是一项利村、利民、利社会的系统工程、民心工程、德政工程。</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B914BB">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已按照目标完成任务</w:t>
            </w:r>
          </w:p>
        </w:tc>
      </w:tr>
      <w:tr w14:paraId="51DA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0243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1FE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E12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479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AE51F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C7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C04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411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FD5F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4F77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D5D0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D18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CC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9EC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318.42</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6572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318.42</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EBE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2B5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7A7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15E4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481F9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856C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31C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C49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436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318.42</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8D7C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318.42</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A05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33E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C6E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0F8AC">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3DE41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91F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FE7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D94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E15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5B03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946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A19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8F9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2F993">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F64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EF18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57D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03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E04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B448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306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6B2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7C0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A3610">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5756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F3C8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643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F85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1AD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7DB9E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97CC">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E3B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F66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FF570">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526BA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6F41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21B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953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CCB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B58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FC6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E44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91E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E7A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B70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13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056F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896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4F79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E267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A32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安全饮水及功能提升项目（个）</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E3D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81F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85B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5D3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31C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92E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C773C">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2D43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1FED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672A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CD1F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559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移民美丽家园建设项目（个）</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896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0D5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A1D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61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C01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B73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1AE6">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0D94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C991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3102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7228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909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后期扶持受益移民人口（人）</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609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693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677</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FE9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DC6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677</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2FC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9FA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9CE5">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27D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6527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15B2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94E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B98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F66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69A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D0E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F7F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66C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FE7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672C">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0E0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E021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806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3A3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70C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已建工程项目良性运行比例（%）</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D77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B7F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8D3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E5B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74F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46D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37D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48DE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4F44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25D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FEB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208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人民群满意度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4FD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D1C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270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3E0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3F4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DA6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8985">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33EA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1D22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82B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45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7D3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项目投资不超预算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BD7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8FE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06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521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010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FEB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A6B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7FFD6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D5C89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F8D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6455">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EB1C">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2465D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A3A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EBE63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7713F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25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2D44B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4754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416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37340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0355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4F10C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06180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C724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4D056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51322324T000011256972-农村饮水工程维修养护</w:t>
            </w:r>
          </w:p>
        </w:tc>
      </w:tr>
      <w:tr w14:paraId="4106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35CA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22234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0EC724F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B84A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5EAC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2B558">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8D43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616DA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B3302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4AB78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B3168">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1D7C0">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AF0A5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我县农村居民的饮用水质量得到较大改善，农村居民生活水平和生活质量得到提高；不但解决了当地群众生活饮用水，改善了项目区群众的生存环境,通过安全饮水项目建设，我县农村人口饮水安全工作已得到全面解决。</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910AB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5744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E4A5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40D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B38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747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03BB6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16A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9FB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0E8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615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1D2B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757C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99E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EE1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96D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160.23</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2E5A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160.23</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E6A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005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704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AEEF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6CDF1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C5E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FC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C65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2F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160.23</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513E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160.23</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E7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523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73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49838">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46D06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2C76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23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1C8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A42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7DD9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E7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7C1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D2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EF6C3">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3B3C5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0316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65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ABD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7E1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C247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BE9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78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038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A8891">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790E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D0B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0FC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2B4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95D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80D4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DC3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D73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F6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BB115">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E5EC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96B9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36C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5AB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71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197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7F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D8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DDD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98D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78A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862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2FADA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FE8B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AAFE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21F6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9C6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解决供水人口</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6EB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8F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5.2</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C1C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6B6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22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89D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5DC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7FE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F4C7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3005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4FB5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249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维修养护农村供水工程</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58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58B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1DD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处</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4A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997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0AA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3AF4">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A847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D62A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9B7B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B05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B1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EB8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938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769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8FE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4C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CD0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CC4D">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5BDD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8248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B7F9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8D0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EF3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12月前任务完成率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A17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E4B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81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D1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1CB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4AC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82B4">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50B4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78A0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5091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5B7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可持续发展指标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90A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项目建成后可持续使用</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B99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971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CC5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7A7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954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312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808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2C6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A95B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F8D8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2DC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D72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解决存在水质问题</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306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定性</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199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5A0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0A6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A95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C33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2A1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4C353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E1D7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0F4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5A6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8B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219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08E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EB4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19A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500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0CA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ACF6">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0549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631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BF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110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2B6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项目不超预算投资</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B64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16B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215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51D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150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215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76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A01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B40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46E1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A1823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D0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9BB0">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6BB6">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1280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A5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928FC6">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4BEC2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656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0BA16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088A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EC5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2FF5C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2C833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C2180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69DD4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B559A">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42A63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51322324T000011257287-农业水价综合改革项目</w:t>
            </w:r>
          </w:p>
        </w:tc>
      </w:tr>
      <w:tr w14:paraId="73258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B1CF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0348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1D73B66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B52B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6DF4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E8617">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979BA">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79E1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511EC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08AD3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37D21">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A89BE">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C516D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建立健全农业水权制度、建立健全农业水价形成机制、建立精准补贴和节水奖励机制、完善工程配套设施设备、加强农业用水需求管理等。</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BDD47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501D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D97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D8F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42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41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A0D1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0A6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13C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9C3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139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05211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7C6A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6DB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403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71E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33.63</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D82C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33.63</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B45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587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908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1399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71764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2729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278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F9B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008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33.63</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EF8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33.63</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45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BA0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535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B12CD">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4CD1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F1D9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5D7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F5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DDC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85D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258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93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51B9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260DB">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E0A3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322A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E88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D2A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9AF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D57EA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255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964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75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4EC8D">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34193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E7A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96D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A88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47D0">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ADEFF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2190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3D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5CC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3EA2D">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A6A7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4910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E89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F0C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143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498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6D8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1ED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4BE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131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DDE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0E6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228E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26FD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6CC8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0D84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443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精准补贴用水主体</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9D9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8E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552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B71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26E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F1D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BF9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001F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2F7A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4C82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E2F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8C1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涉及管理的灌溉面积</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9E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EA6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1.2</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F8C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万亩</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415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1.2</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D6B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490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9C7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80B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C3FF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D2CE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974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827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78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F6E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5C6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D87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6DE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58B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321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A54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4F3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E09C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35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67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12月前任务完成率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F45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088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DE4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D73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2D2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25A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685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057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F0E6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AA36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63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可持续发展指标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EEA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项目建成后可持续使用</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46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7F4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3C3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E48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E07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E67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A04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511D6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FDB9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19B9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15A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0CB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提高节水能力</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E6E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定性</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12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E6B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952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A0B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901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49A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0155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633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F7C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71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231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3D0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7B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A2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E5C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7A7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952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D08C">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4398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44CC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A24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CE2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999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项目不超预算投资</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7C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D28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110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1D7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697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110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540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449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830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7A80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23B2C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374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77A4">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A846">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3504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F77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F32C4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08E83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28B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9FA87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1A135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15C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08589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03054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2D8BD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4BBD1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0106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355EBB">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51322324T000011258254-山洪灾害防治设施维修养护项目</w:t>
            </w:r>
          </w:p>
        </w:tc>
      </w:tr>
      <w:tr w14:paraId="1ADB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4E057">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6D825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0B0CA69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819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09878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C22F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C451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33903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7654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52818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B3EF7">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C7900">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AF526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全县26处山洪灾害防治设施、防汛会议系统、8处视频站点的维修养护，确保监测设施、会议系统的正常运转，有效避免和减少山洪灾害造成的人员伤亡和财产损失</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209B3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43943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89AA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E18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EC0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605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0D5B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DC7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845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E1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3B3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1E6F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DC80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05A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A4F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564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27.88</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F8E5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27.88</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3F0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EF6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7B5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097C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430E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F28D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6CA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49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5B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27.88</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D6161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27.88</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620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746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277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08E07">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32948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C6AD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4C9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E7F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D21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9F5E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EE6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140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FC1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D08A1">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C1F9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A8D3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C6B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0BC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19D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4325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8A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73D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011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39C3B">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48075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EAE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25F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17E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8ED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46483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491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B87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DB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5E5C1">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7C32B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6289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A5A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9A4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1F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E54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7F6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2E2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735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B9D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45F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9B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5E86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3016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C3F9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067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AFA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监测26个站点、会议系统及8处视频站</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502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46A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120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EDC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处</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636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120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B8E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708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D18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10A9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965B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20E8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152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52E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D2F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B5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B26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EC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0F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6E6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F340">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032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B5C9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4C54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279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7F9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10月前任务完成率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81E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3BA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CCC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4FF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3FB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A1D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74E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09967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E7BB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A337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F90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社会效益指标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BCE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山洪危险区责任人抽查在岗率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16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D0F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D50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921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2E0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93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EC1B">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AB7C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EAEA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B724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3D4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83E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治理影响可持续性时限</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304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12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1E3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4ED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610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DC6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1FB3">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220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543A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2F0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2AD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D8D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412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402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4D2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2B6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565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E0A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446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50E4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05BC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847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385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30E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项目投资不超预算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84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481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28</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98A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BEB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28</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8D0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BB7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5FE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E65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D7AA1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643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F9C1">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0D75">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4DB2E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B6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34AEB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0385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093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0F29E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2D58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4D1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5D1E6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68F08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2E2B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090D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A0B8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A81B2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51322324T000011716508-2024年度大中型水库移民后期扶持项目</w:t>
            </w:r>
          </w:p>
        </w:tc>
      </w:tr>
      <w:tr w14:paraId="411B0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F6E2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8D71F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471F4B7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33000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0914C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0473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637B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8B1FC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6B57C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6A4FC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51968">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1ADD3">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9BC08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农村安全饮水及功能提升，安装净化消毒一体化设备9套</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BCE6A6">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597C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E9A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04A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57C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9F6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9BB6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5F1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B27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E86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E94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25948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6170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552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0F5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A84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38.79</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7D6E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38.79</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C1E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740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54E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3AF5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3C1D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ECDE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766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58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433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38.79</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646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38.79</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BC8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CD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C1F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2BC49">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4983C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AEDF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773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A2F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C3C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9DEBA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6AA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FF4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A8F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2D2C6">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1B64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76DE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927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3B0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112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92B41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F6E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4D4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1F1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48BCF">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4F21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6BAE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27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2BBC">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554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43B1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C11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DED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B2C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DD42D">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554E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177D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3F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35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3AB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74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1EF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3C8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B0E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6C6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48C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3AA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7DB6E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18E2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F6E3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83AC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A0B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安全饮水及功能提升项目</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D3D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23F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8F0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8E1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5D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A3F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CA30">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D921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68FB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4CED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7BE3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DF5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后期扶持受益移民人口</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F05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66C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677</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45D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13D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677</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36F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5B2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3FE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05C1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42EF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EAC1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2898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BBA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8D4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660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93A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D58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C4B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596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D9D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786D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79D4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380D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54BC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B0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完工项目验收率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B04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A1C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EBA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C0A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0C4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11A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156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A233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B2D6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F501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BD9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EB0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截止当年低，项目资金完成率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222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3FA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80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EDB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480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80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773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99F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3DD6">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5C54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5BB3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6E4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600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723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已建工程项目良性运行比例</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F10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D7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810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C25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E53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CA3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E9E5">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E71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6189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54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686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服务对象满意度指标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02C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移民对后期扶持政策实施满意度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9B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664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A92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0D2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6A7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D28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DFFB">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7226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5C393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24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6236">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E42D">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3D81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0F4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7D40C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0A8C6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D52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3228D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7CAED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D49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46016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2A5D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64C3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0612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93F9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E3DD0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51322324T000011756268-山洪灾害危险区监测补助项目</w:t>
            </w:r>
          </w:p>
        </w:tc>
      </w:tr>
      <w:tr w14:paraId="4E8C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6102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16C4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1C71781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B7F5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1539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E2C5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6008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6965A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C9F7A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0620C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CA4D">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1D654">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FD2016">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完成县域山洪灾害危险区监测责任人补贴及时发放，确保汛期安全度汛</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D4438">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46CA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DDCD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9F9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F70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61D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9DCD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737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C0C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2AF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6E7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7DEAF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2038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E4B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859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672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635B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F02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F1B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D46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3C20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1B173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0C7E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F4B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96A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C1D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5E68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F63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C7D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073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919C2">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B9B8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7E9C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817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5DC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B5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A59E1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647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34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E98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5F8A4">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AE4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8DEB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EBE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617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9D6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C1AB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709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7DE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274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14614">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403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08FA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1BC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069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E6D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0A173">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938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7B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C1D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4FAC0">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F6C1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306D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99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55D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83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DC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E11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46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23F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65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026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FFB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100CA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FE43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5A0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C211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7D8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山洪危险区监测人数</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788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70E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151</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01D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CF2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151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75E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847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8DE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78A5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EC07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E21C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992B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8D6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年补助金额</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505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8D1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6600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D9D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元/人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3DC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6600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BBC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049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BF2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0148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CB15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0600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D5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B46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F48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4B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2E0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A8F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351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4B2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BCA6">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4059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B845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B952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361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7B9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汛期内工作完成率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E0C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B84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123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8AF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A14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EDC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11A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4E48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681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2E3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852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社会效益指标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5CE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确保汛期内安全度汛</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01B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定性</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AC6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优良</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DE9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4E9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优良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3F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216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995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CFD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AC24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24E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274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9D0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EC9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9DE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52F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D55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2C0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F06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4C6B">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2E5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1D43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86E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647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139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投资不超预算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66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118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FF8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8E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C58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5A2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72D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DF2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0502B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769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B2CD">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803F">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5961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66F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65977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通过总体上看，项目决策依据充分，总体目标清晰，完成了2024年目标任务，绩效目标基本实现</w:t>
            </w:r>
          </w:p>
        </w:tc>
      </w:tr>
      <w:tr w14:paraId="14C5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A1E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DF2356">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677D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F68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8D3D9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1DA91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FBEE5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42E5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FE1B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6B9848">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51322324T000011825412-2024年财政衔接推进乡村振兴补助资金项目（2024年农村安全饮水提升改造项目）</w:t>
            </w:r>
          </w:p>
        </w:tc>
      </w:tr>
      <w:tr w14:paraId="308E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B950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66AA8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32A4D22A">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9E8D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5A1BC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5E30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7B388">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42B8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A9EFF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656A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48A6C">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3FD33">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96946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沟口村：32管道1200m，水井及配套设施；德胜村：维修改造提灌站设施设备；永宁村：30m3水池1口，50管道5000m，32管道4000m，25管道3000m；苏家坪村：蓄水池50m35个、20m32个，50管道4500m，32管道3000m，25管道5000m；霭紫关村：10m3水池2口、50m3水池1口，50水管5000m；耕读百吉村：20m3水池3个，32管道3200m，50管道2200m；小河坝村：打水井1口，购置消毒设备1套；神溪村：50m3水池1口，110管道300m；马蹄村：20m3水池1口，75管道2000m，50管道2000m；唱斗村：横井一口；新洋村：140Ф钢管60m。通过实施安全饮水改造提升建设项目，农户安全饮水得到整体提升，改善群众生产生活条件，促进农业产业的发展，增强农业产业园区标准化建设，加速村经济快速发展，是解决制约村经济发展的主要因素，其经济效益和社会效益都将十分显著，是一项利村、利民、利社会的系统工程、民心工程、德政工程。</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92AE9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66A6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B045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B46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EBA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C4D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53BE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BEB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157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28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AB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74BB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8864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534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9CC4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A3C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320.86</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A53D5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320.86</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7E8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E87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703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F05A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707CC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FE12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8E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BE8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D8F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320.86</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B69A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320.86</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497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3F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A15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F47C2">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3549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9503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754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BA8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193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5488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BCB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438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01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8632A">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491E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912A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9C1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276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EE0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124D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0BF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862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7930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80C15">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EF4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E250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C0F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45D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BCE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7882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C8E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ACF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B49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F8806">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6D6E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7214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ABA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492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00D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A95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88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3F9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6ED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88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76D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C94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4907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93D0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3BB7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F76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166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实施村个数</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9FB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14B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9A8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BEA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CF2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E5C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FB40">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1B29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9FC2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1DB4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F51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A60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A69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4C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7A2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CE6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098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0C7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19B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6F6AA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E8A4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9DBE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25E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7D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项目完成及时率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2A2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568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3C6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221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57F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ACB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ABB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D560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58BA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A340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FB0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经济效益指标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6F5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预计保障群众增收</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D0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5B0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40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C59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4C5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40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773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8BD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F4B5">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E11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1E68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8355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5C4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81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项目可持续使用年限</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C13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1A7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DAD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954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3D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79C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D033">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5BD0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B197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98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7E2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54E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C57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D86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6CA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C8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EB3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C57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A5E3">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5FF7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7CB3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332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D3C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553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不超计划投资</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4A7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4D2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386</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18F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09B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386</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2B5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669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1701">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E046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970A6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A2C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6516">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F14F">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641E5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CB0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5C10A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2545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F7A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8164B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2079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2D1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90245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7F8F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0CB85E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0DE7E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1F6F2">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766718">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51322324T000011825685-2024年财政衔接推进乡村振兴补助资金项目（公益性岗位补贴项目）</w:t>
            </w:r>
          </w:p>
        </w:tc>
      </w:tr>
      <w:tr w14:paraId="6DA1A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FE4D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A5871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2ED69D6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3DF5E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2897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76DF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B758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C3A80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DF43F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5E32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8D765">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53F89">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446B3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山洪灾害危险区责任人履职补助资金54万元，主要用于全县151处山洪灾害危险区的监测工作。项目建设中有效带动当地群众参与山洪灾害危险区项目建设，获得务工收入，有效避免和减少山洪灾害造成的人员伤亡和财产损失，加强山洪灾害危险区的风险隐患排查，进一步提升我县防御能力。</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5713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644C4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4E37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CCE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679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3D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55A5C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8BC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A07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77B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D96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6B082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6C9B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D57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78D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FBC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54.00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B46D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54.00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1EE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6A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A5C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AC01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1FA59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D243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BB8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4A2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F5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54.00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F7B5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54.00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141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CCB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3B3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B7E94">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4BA5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8B4C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192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5B1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C8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0314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F93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741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A13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BED3A">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A5C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99010">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AF1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A7B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DFE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AEC4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0FE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FD4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835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09CDE">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27F0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B38D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7B5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2320">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58D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FD7D6">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8950">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E0E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7E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EC25B">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5EEF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FC8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9EE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A0F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31B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B49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204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A99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498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5A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C56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71C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429AD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7953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02FD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C6A5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D0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补助标准</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5EF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660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AE6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元/人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AC5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845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A88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DCE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5CF7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ED41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5BF0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E3C08">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7AA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山洪危险区监测个数</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B3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B68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151</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213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D9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151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D36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2F83">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460B">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A5D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AB8F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3C6A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F08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655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3B7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394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073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3BA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5B0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225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BB9A">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0D24A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9F2A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A35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D50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64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项目完成及时率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5BE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5EC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369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D80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24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93B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027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163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E77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77F5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DB7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经济效益指标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F20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带动群众增收</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250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BBD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7E8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元/人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01D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3600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E93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DF1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6CD4">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EAD9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98FE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AF64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B5C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可持续发展指标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082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保障人民群众居住环境安全</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476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定性</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366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优良</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745A">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81D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优良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843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D5C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62A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4846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2460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79A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5E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D46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ED5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834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02B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782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7B4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FEE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488E">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073A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EB34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4C9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C7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340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投资不超预算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0F6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E21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54</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564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67B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54</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E04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C77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D276">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84F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BD7F6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433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4AEC">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180D">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1DA7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B3E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97B387">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通过总体上看，项目决策依据充分，总体目标清晰，完成了2024年目标任务，绩效目标基本实现</w:t>
            </w:r>
          </w:p>
        </w:tc>
      </w:tr>
      <w:tr w14:paraId="0328C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A00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02D79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667B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769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A58FD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iCs/>
                <w:color w:val="000000"/>
                <w:sz w:val="12"/>
                <w:szCs w:val="12"/>
                <w:u w:val="none"/>
              </w:rPr>
            </w:pPr>
            <w:r>
              <w:rPr>
                <w:rFonts w:hint="eastAsia" w:ascii="微软雅黑" w:hAnsi="微软雅黑" w:eastAsia="微软雅黑" w:cs="微软雅黑"/>
                <w:i/>
                <w:iCs/>
                <w:color w:val="000000"/>
                <w:kern w:val="0"/>
                <w:sz w:val="12"/>
                <w:szCs w:val="12"/>
                <w:u w:val="none"/>
                <w:lang w:val="en-US" w:eastAsia="zh-CN" w:bidi="ar"/>
              </w:rPr>
              <w:t>无</w:t>
            </w:r>
          </w:p>
        </w:tc>
      </w:tr>
      <w:tr w14:paraId="6B081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5B792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宋体" w:eastAsia="黑体" w:cs="黑体"/>
                <w:b/>
                <w:bCs/>
                <w:i w:val="0"/>
                <w:iCs w:val="0"/>
                <w:color w:val="000000"/>
                <w:sz w:val="12"/>
                <w:szCs w:val="12"/>
                <w:u w:val="none"/>
              </w:rPr>
            </w:pPr>
            <w:r>
              <w:rPr>
                <w:rFonts w:hint="eastAsia" w:ascii="黑体" w:hAnsi="宋体" w:eastAsia="黑体" w:cs="黑体"/>
                <w:b/>
                <w:bCs/>
                <w:i w:val="0"/>
                <w:iCs w:val="0"/>
                <w:color w:val="000000"/>
                <w:kern w:val="0"/>
                <w:sz w:val="12"/>
                <w:szCs w:val="12"/>
                <w:u w:val="none"/>
                <w:lang w:val="en-US" w:eastAsia="zh-CN" w:bidi="ar"/>
              </w:rPr>
              <w:t>部门预算项目支出绩效自评表（2024年度）</w:t>
            </w:r>
          </w:p>
        </w:tc>
      </w:tr>
      <w:tr w14:paraId="5A5A1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965E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项目名称</w:t>
            </w:r>
          </w:p>
        </w:tc>
        <w:tc>
          <w:tcPr>
            <w:tcW w:w="64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80486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51322324T000012038156-2024年第二季度水库移民项目</w:t>
            </w:r>
          </w:p>
        </w:tc>
      </w:tr>
      <w:tr w14:paraId="5A861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7E74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主管部门</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78E9B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w:t>
            </w:r>
          </w:p>
        </w:tc>
        <w:tc>
          <w:tcPr>
            <w:tcW w:w="636" w:type="dxa"/>
            <w:tcBorders>
              <w:top w:val="nil"/>
              <w:left w:val="nil"/>
              <w:bottom w:val="nil"/>
              <w:right w:val="nil"/>
            </w:tcBorders>
            <w:shd w:val="clear" w:color="auto" w:fill="auto"/>
            <w:vAlign w:val="center"/>
          </w:tcPr>
          <w:p w14:paraId="35366F03">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 xml:space="preserve">实施单位 </w:t>
            </w:r>
          </w:p>
        </w:tc>
        <w:tc>
          <w:tcPr>
            <w:tcW w:w="19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45EF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茂县水务局（行政）</w:t>
            </w:r>
          </w:p>
        </w:tc>
      </w:tr>
      <w:tr w14:paraId="67450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03FD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项目基本情况</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24B8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1.项目年度目标完成情况</w:t>
            </w: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D94B1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项目年度目标</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41688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年度目标完成情况</w:t>
            </w:r>
          </w:p>
        </w:tc>
      </w:tr>
      <w:tr w14:paraId="5EDB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FAB3F">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DDF79">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38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792E5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安装农村安全饮水及功能提升，有效改善农村饮水水质</w:t>
            </w:r>
          </w:p>
        </w:tc>
        <w:tc>
          <w:tcPr>
            <w:tcW w:w="2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A215FF">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val="0"/>
                <w:iCs w:val="0"/>
                <w:color w:val="000000"/>
                <w:sz w:val="12"/>
                <w:szCs w:val="12"/>
                <w:u w:val="none"/>
              </w:rPr>
            </w:pPr>
            <w:r>
              <w:rPr>
                <w:rFonts w:hint="eastAsia" w:ascii="黑体" w:hAnsi="黑体" w:eastAsia="黑体" w:cs="黑体"/>
                <w:i w:val="0"/>
                <w:iCs w:val="0"/>
                <w:color w:val="000000"/>
                <w:kern w:val="0"/>
                <w:sz w:val="12"/>
                <w:szCs w:val="12"/>
                <w:u w:val="none"/>
                <w:lang w:val="en-US" w:eastAsia="zh-CN" w:bidi="ar"/>
              </w:rPr>
              <w:t>已按照目标完成任务</w:t>
            </w:r>
          </w:p>
        </w:tc>
      </w:tr>
      <w:tr w14:paraId="78656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07C7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预算执行情况（10分）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A50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88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年初预算</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DF1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调整后预算数</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A479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预算执行数</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A09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BCA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4FD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6B6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原因</w:t>
            </w:r>
          </w:p>
        </w:tc>
      </w:tr>
      <w:tr w14:paraId="5BB0B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68B9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CF8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008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26A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27.27</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BCBD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27.27</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AAD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E6D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66E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85DEE">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黑体" w:hAnsi="黑体" w:eastAsia="黑体" w:cs="黑体"/>
                <w:i/>
                <w:iCs/>
                <w:color w:val="000000"/>
                <w:sz w:val="12"/>
                <w:szCs w:val="12"/>
                <w:u w:val="none"/>
              </w:rPr>
            </w:pPr>
            <w:r>
              <w:rPr>
                <w:rFonts w:hint="eastAsia" w:ascii="黑体" w:hAnsi="黑体" w:eastAsia="黑体" w:cs="黑体"/>
                <w:i/>
                <w:iCs/>
                <w:color w:val="000000"/>
                <w:kern w:val="0"/>
                <w:sz w:val="12"/>
                <w:szCs w:val="12"/>
                <w:u w:val="none"/>
                <w:lang w:val="en-US" w:eastAsia="zh-CN" w:bidi="ar"/>
              </w:rPr>
              <w:t xml:space="preserve"> </w:t>
            </w:r>
          </w:p>
        </w:tc>
      </w:tr>
      <w:tr w14:paraId="3428F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FD3C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334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EB1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CAF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27.27</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503C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27.27</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D12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26B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C18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01B3B">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1A71C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93B8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6D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78F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B6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64C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4B3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98E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F0C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1E2A4">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30614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C417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EC9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B93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B78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D0DF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CEF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85A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DB6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587DD">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52CE7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C122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49D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1FF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3AC8">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1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2401D">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F45D">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67F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DBA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C1B56">
            <w:pPr>
              <w:keepNext w:val="0"/>
              <w:keepLines w:val="0"/>
              <w:pageBreakBefore w:val="0"/>
              <w:kinsoku/>
              <w:wordWrap/>
              <w:overflowPunct/>
              <w:topLinePunct w:val="0"/>
              <w:autoSpaceDE/>
              <w:autoSpaceDN/>
              <w:bidi w:val="0"/>
              <w:adjustRightInd/>
              <w:snapToGrid/>
              <w:spacing w:line="180" w:lineRule="exact"/>
              <w:rPr>
                <w:rFonts w:hint="eastAsia" w:ascii="黑体" w:hAnsi="黑体" w:eastAsia="黑体" w:cs="黑体"/>
                <w:i/>
                <w:iCs/>
                <w:color w:val="000000"/>
                <w:sz w:val="12"/>
                <w:szCs w:val="12"/>
                <w:u w:val="none"/>
              </w:rPr>
            </w:pPr>
          </w:p>
        </w:tc>
      </w:tr>
      <w:tr w14:paraId="09FBD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3416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绩效指标（90分）</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A71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8FD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二级指标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5E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三级指标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057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指标性质</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5B2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指标值</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0C8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度量单位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DFC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9A7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权重</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77C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得分</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BB1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未完成原因分析</w:t>
            </w:r>
          </w:p>
        </w:tc>
      </w:tr>
      <w:tr w14:paraId="5F778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CDDF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40C9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产出指标</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7C8F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数量指标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D4D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净化消毒一体化设备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818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DDB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08B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套</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46B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883E">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9E4B">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E475">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F02A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D162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71A1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2C64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FD7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涉及村个数</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D0B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E9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2245">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个</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580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5D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066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BBC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3EA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3602E">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6F67D">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2F2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质量指标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FF3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验收合格率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A54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19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355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57E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9F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2E5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18FF">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1A641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3A9F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93249">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F1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时效指标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134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项目按时完工率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8F7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C7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A75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59E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FAE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40A2">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3854">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135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639C7">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E37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9C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可持续影响指标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F7A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保障农村供水水质</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201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定性</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CEC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优良</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9FC5">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9C9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优良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6B2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D5AC">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9759">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20B6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778AF">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437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2FB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满意度指标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B58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受益群众满意度</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61C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CE0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992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DA4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95</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731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D826">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3A52">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F8D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ADDB1">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D87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1AF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经济成本指标</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7CA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投资不超预算</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CF4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936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27.27</w:t>
            </w:r>
          </w:p>
        </w:tc>
        <w:tc>
          <w:tcPr>
            <w:tcW w:w="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19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万元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2E1">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27.27</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4FA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1B54">
            <w:pPr>
              <w:keepNext w:val="0"/>
              <w:keepLines w:val="0"/>
              <w:pageBreakBefore w:val="0"/>
              <w:kinsoku/>
              <w:wordWrap/>
              <w:overflowPunct/>
              <w:topLinePunct w:val="0"/>
              <w:autoSpaceDE/>
              <w:autoSpaceDN/>
              <w:bidi w:val="0"/>
              <w:adjustRightInd/>
              <w:snapToGrid/>
              <w:spacing w:line="180" w:lineRule="exact"/>
              <w:jc w:val="center"/>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AB47">
            <w:pPr>
              <w:keepNext w:val="0"/>
              <w:keepLines w:val="0"/>
              <w:pageBreakBefore w:val="0"/>
              <w:kinsoku/>
              <w:wordWrap/>
              <w:overflowPunct/>
              <w:topLinePunct w:val="0"/>
              <w:autoSpaceDE/>
              <w:autoSpaceDN/>
              <w:bidi w:val="0"/>
              <w:adjustRightInd/>
              <w:snapToGrid/>
              <w:spacing w:line="180" w:lineRule="exact"/>
              <w:jc w:val="center"/>
              <w:rPr>
                <w:rFonts w:hint="eastAsia" w:ascii="微软雅黑" w:hAnsi="微软雅黑" w:eastAsia="微软雅黑" w:cs="微软雅黑"/>
                <w:i/>
                <w:iCs/>
                <w:color w:val="000000"/>
                <w:sz w:val="12"/>
                <w:szCs w:val="12"/>
                <w:u w:val="none"/>
              </w:rPr>
            </w:pPr>
          </w:p>
        </w:tc>
      </w:tr>
      <w:tr w14:paraId="36D08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C9118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10D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100</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27B5">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EE7F">
            <w:pPr>
              <w:keepNext w:val="0"/>
              <w:keepLines w:val="0"/>
              <w:pageBreakBefore w:val="0"/>
              <w:kinsoku/>
              <w:wordWrap/>
              <w:overflowPunct/>
              <w:topLinePunct w:val="0"/>
              <w:autoSpaceDE/>
              <w:autoSpaceDN/>
              <w:bidi w:val="0"/>
              <w:adjustRightInd/>
              <w:snapToGrid/>
              <w:spacing w:line="180" w:lineRule="exact"/>
              <w:rPr>
                <w:rFonts w:hint="eastAsia" w:ascii="宋体" w:hAnsi="宋体" w:eastAsia="宋体" w:cs="宋体"/>
                <w:i w:val="0"/>
                <w:iCs w:val="0"/>
                <w:color w:val="000000"/>
                <w:sz w:val="12"/>
                <w:szCs w:val="12"/>
                <w:u w:val="none"/>
              </w:rPr>
            </w:pPr>
          </w:p>
        </w:tc>
      </w:tr>
      <w:tr w14:paraId="05FE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7FF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评价结论</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685F16">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通过总体上看，项目决策依据充分，总体目标清晰，完成了2024年目标任务，通过项目实施，让农村基础设施到了进一步的改善，绩效目标基本实现</w:t>
            </w:r>
          </w:p>
        </w:tc>
      </w:tr>
      <w:tr w14:paraId="41D6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915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存在问题</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67F33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无</w:t>
            </w:r>
          </w:p>
        </w:tc>
      </w:tr>
      <w:tr w14:paraId="28B6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FA4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改进措施</w:t>
            </w:r>
          </w:p>
        </w:tc>
        <w:tc>
          <w:tcPr>
            <w:tcW w:w="75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4848F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无</w:t>
            </w:r>
          </w:p>
        </w:tc>
      </w:tr>
    </w:tbl>
    <w:p w14:paraId="48F86C14">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4AD9E68E">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7800018D">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51D7AC27">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0F7B93CA">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64280C02">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3846583C">
      <w:pPr>
        <w:suppressAutoHyphens/>
        <w:bidi w:val="0"/>
        <w:spacing w:line="600" w:lineRule="exact"/>
        <w:jc w:val="center"/>
        <w:outlineLvl w:val="0"/>
        <w:rPr>
          <w:rStyle w:val="39"/>
          <w:rFonts w:hint="eastAsia" w:ascii="仿宋_GB2312" w:hAnsi="仿宋_GB2312" w:eastAsia="仿宋_GB2312" w:cs="仿宋_GB2312"/>
          <w:b w:val="0"/>
          <w:color w:val="auto"/>
          <w:sz w:val="18"/>
          <w:szCs w:val="18"/>
          <w:highlight w:val="none"/>
        </w:rPr>
      </w:pPr>
    </w:p>
    <w:p w14:paraId="3C17750C">
      <w:pPr>
        <w:suppressAutoHyphens/>
        <w:bidi w:val="0"/>
        <w:spacing w:line="600" w:lineRule="exact"/>
        <w:jc w:val="both"/>
        <w:outlineLvl w:val="0"/>
        <w:rPr>
          <w:rStyle w:val="39"/>
          <w:rFonts w:hint="eastAsia" w:ascii="黑体" w:hAnsi="黑体" w:eastAsia="黑体"/>
          <w:b w:val="0"/>
          <w:color w:val="auto"/>
          <w:highlight w:val="none"/>
        </w:rPr>
      </w:pPr>
    </w:p>
    <w:p w14:paraId="1F22B6C2">
      <w:pPr>
        <w:suppressAutoHyphens/>
        <w:bidi w:val="0"/>
        <w:spacing w:line="600" w:lineRule="exact"/>
        <w:jc w:val="both"/>
        <w:outlineLvl w:val="0"/>
        <w:rPr>
          <w:rStyle w:val="39"/>
          <w:rFonts w:hint="eastAsia" w:ascii="黑体" w:hAnsi="黑体" w:eastAsia="黑体"/>
          <w:b w:val="0"/>
          <w:color w:val="auto"/>
          <w:highlight w:val="none"/>
        </w:rPr>
      </w:pPr>
    </w:p>
    <w:p w14:paraId="3660DC96">
      <w:pPr>
        <w:suppressAutoHyphens/>
        <w:bidi w:val="0"/>
        <w:spacing w:line="600" w:lineRule="exact"/>
        <w:jc w:val="center"/>
        <w:outlineLvl w:val="0"/>
        <w:rPr>
          <w:rStyle w:val="39"/>
          <w:rFonts w:hint="eastAsia" w:ascii="黑体" w:hAnsi="黑体" w:eastAsia="黑体"/>
          <w:b w:val="0"/>
          <w:color w:val="auto"/>
          <w:highlight w:val="none"/>
        </w:rPr>
      </w:pP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9"/>
          <w:rFonts w:hint="eastAsia" w:ascii="黑体" w:hAnsi="黑体" w:eastAsia="黑体"/>
          <w:b w:val="0"/>
          <w:color w:val="auto"/>
          <w:highlight w:val="none"/>
        </w:rPr>
        <w:t>第五部分 附表</w:t>
      </w:r>
      <w:bookmarkEnd w:id="74"/>
      <w:bookmarkEnd w:id="75"/>
      <w:bookmarkEnd w:id="76"/>
      <w:bookmarkEnd w:id="77"/>
    </w:p>
    <w:p w14:paraId="39407B2D">
      <w:pPr>
        <w:pStyle w:val="3"/>
        <w:ind w:firstLine="640" w:firstLineChars="200"/>
        <w:rPr>
          <w:rFonts w:hint="eastAsia" w:ascii="仿宋" w:hAnsi="仿宋" w:eastAsia="仿宋" w:cs="仿宋"/>
          <w:b w:val="0"/>
          <w:bCs/>
          <w:color w:val="000000"/>
          <w:sz w:val="32"/>
          <w:szCs w:val="32"/>
        </w:rPr>
      </w:pPr>
      <w:bookmarkStart w:id="80" w:name="_Toc16431"/>
      <w:r>
        <w:rPr>
          <w:rFonts w:hint="eastAsia" w:ascii="仿宋" w:hAnsi="仿宋" w:eastAsia="仿宋" w:cs="仿宋"/>
          <w:b w:val="0"/>
          <w:bCs/>
          <w:color w:val="000000"/>
          <w:sz w:val="32"/>
          <w:szCs w:val="32"/>
        </w:rPr>
        <w:t>一、收入支出决算总表</w:t>
      </w:r>
      <w:bookmarkEnd w:id="80"/>
    </w:p>
    <w:p w14:paraId="2B7DC4AC">
      <w:pPr>
        <w:pStyle w:val="3"/>
        <w:ind w:firstLine="640" w:firstLineChars="200"/>
        <w:rPr>
          <w:rFonts w:hint="eastAsia" w:ascii="仿宋" w:hAnsi="仿宋" w:eastAsia="仿宋" w:cs="仿宋"/>
          <w:b w:val="0"/>
          <w:bCs/>
          <w:color w:val="000000"/>
          <w:sz w:val="32"/>
          <w:szCs w:val="32"/>
        </w:rPr>
      </w:pPr>
      <w:bookmarkStart w:id="81" w:name="_Toc25389"/>
      <w:r>
        <w:rPr>
          <w:rFonts w:hint="eastAsia" w:ascii="仿宋" w:hAnsi="仿宋" w:eastAsia="仿宋" w:cs="仿宋"/>
          <w:b w:val="0"/>
          <w:bCs/>
          <w:color w:val="000000"/>
          <w:sz w:val="32"/>
          <w:szCs w:val="32"/>
        </w:rPr>
        <w:t>二、收入决算表</w:t>
      </w:r>
      <w:bookmarkEnd w:id="81"/>
    </w:p>
    <w:p w14:paraId="7858E927">
      <w:pPr>
        <w:pStyle w:val="3"/>
        <w:ind w:firstLine="640" w:firstLineChars="200"/>
        <w:rPr>
          <w:rFonts w:hint="eastAsia" w:ascii="仿宋" w:hAnsi="仿宋" w:eastAsia="仿宋" w:cs="仿宋"/>
          <w:b w:val="0"/>
          <w:bCs/>
          <w:color w:val="000000"/>
          <w:sz w:val="32"/>
          <w:szCs w:val="32"/>
        </w:rPr>
      </w:pPr>
      <w:bookmarkStart w:id="82" w:name="_Toc10450"/>
      <w:r>
        <w:rPr>
          <w:rFonts w:hint="eastAsia" w:ascii="仿宋" w:hAnsi="仿宋" w:eastAsia="仿宋" w:cs="仿宋"/>
          <w:b w:val="0"/>
          <w:bCs/>
          <w:color w:val="000000"/>
          <w:sz w:val="32"/>
          <w:szCs w:val="32"/>
        </w:rPr>
        <w:t>三、支出决算表</w:t>
      </w:r>
      <w:bookmarkEnd w:id="82"/>
    </w:p>
    <w:p w14:paraId="31EC7FA5">
      <w:pPr>
        <w:pStyle w:val="3"/>
        <w:ind w:firstLine="640" w:firstLineChars="200"/>
        <w:rPr>
          <w:rFonts w:hint="eastAsia" w:ascii="仿宋" w:hAnsi="仿宋" w:eastAsia="仿宋" w:cs="仿宋"/>
          <w:b w:val="0"/>
          <w:bCs/>
          <w:color w:val="000000"/>
          <w:sz w:val="32"/>
          <w:szCs w:val="32"/>
        </w:rPr>
      </w:pPr>
      <w:bookmarkStart w:id="83" w:name="_Toc15415"/>
      <w:r>
        <w:rPr>
          <w:rFonts w:hint="eastAsia" w:ascii="仿宋" w:hAnsi="仿宋" w:eastAsia="仿宋" w:cs="仿宋"/>
          <w:b w:val="0"/>
          <w:bCs/>
          <w:color w:val="000000"/>
          <w:sz w:val="32"/>
          <w:szCs w:val="32"/>
        </w:rPr>
        <w:t>四、财政拨款收入支出决算总表</w:t>
      </w:r>
      <w:bookmarkEnd w:id="83"/>
    </w:p>
    <w:p w14:paraId="4A2F30BB">
      <w:pPr>
        <w:pStyle w:val="3"/>
        <w:ind w:firstLine="640" w:firstLineChars="200"/>
        <w:rPr>
          <w:rFonts w:hint="eastAsia" w:ascii="仿宋" w:hAnsi="仿宋" w:eastAsia="仿宋" w:cs="仿宋"/>
          <w:b w:val="0"/>
          <w:bCs/>
          <w:color w:val="000000"/>
          <w:sz w:val="32"/>
          <w:szCs w:val="32"/>
        </w:rPr>
      </w:pPr>
      <w:bookmarkStart w:id="84" w:name="_Toc17530"/>
      <w:r>
        <w:rPr>
          <w:rFonts w:hint="eastAsia" w:ascii="仿宋" w:hAnsi="仿宋" w:eastAsia="仿宋" w:cs="仿宋"/>
          <w:b w:val="0"/>
          <w:bCs/>
          <w:color w:val="000000"/>
          <w:sz w:val="32"/>
          <w:szCs w:val="32"/>
        </w:rPr>
        <w:t>五、财政拨款支出决算明细表</w:t>
      </w:r>
      <w:bookmarkEnd w:id="84"/>
    </w:p>
    <w:p w14:paraId="712C880D">
      <w:pPr>
        <w:pStyle w:val="3"/>
        <w:ind w:firstLine="640" w:firstLineChars="200"/>
        <w:rPr>
          <w:rFonts w:hint="eastAsia" w:ascii="仿宋" w:hAnsi="仿宋" w:eastAsia="仿宋" w:cs="仿宋"/>
          <w:b w:val="0"/>
          <w:bCs/>
          <w:color w:val="000000"/>
          <w:sz w:val="32"/>
          <w:szCs w:val="32"/>
        </w:rPr>
      </w:pPr>
      <w:bookmarkStart w:id="85" w:name="_Toc22032"/>
      <w:r>
        <w:rPr>
          <w:rFonts w:hint="eastAsia" w:ascii="仿宋" w:hAnsi="仿宋" w:eastAsia="仿宋" w:cs="仿宋"/>
          <w:b w:val="0"/>
          <w:bCs/>
          <w:color w:val="000000"/>
          <w:sz w:val="32"/>
          <w:szCs w:val="32"/>
        </w:rPr>
        <w:t>六、一般公共预算财政拨款支出决算表</w:t>
      </w:r>
      <w:bookmarkEnd w:id="85"/>
    </w:p>
    <w:p w14:paraId="51429EF5">
      <w:pPr>
        <w:pStyle w:val="3"/>
        <w:ind w:firstLine="640" w:firstLineChars="200"/>
        <w:rPr>
          <w:rFonts w:hint="eastAsia" w:ascii="仿宋" w:hAnsi="仿宋" w:eastAsia="仿宋" w:cs="仿宋"/>
          <w:b w:val="0"/>
          <w:bCs/>
          <w:color w:val="000000"/>
          <w:sz w:val="32"/>
          <w:szCs w:val="32"/>
        </w:rPr>
      </w:pPr>
      <w:bookmarkStart w:id="86" w:name="_Toc3364"/>
      <w:r>
        <w:rPr>
          <w:rFonts w:hint="eastAsia" w:ascii="仿宋" w:hAnsi="仿宋" w:eastAsia="仿宋" w:cs="仿宋"/>
          <w:b w:val="0"/>
          <w:bCs/>
          <w:color w:val="000000"/>
          <w:sz w:val="32"/>
          <w:szCs w:val="32"/>
        </w:rPr>
        <w:t>七、一般公共预算财政拨款支出决算明细表</w:t>
      </w:r>
      <w:bookmarkEnd w:id="86"/>
    </w:p>
    <w:p w14:paraId="672B9B4D">
      <w:pPr>
        <w:pStyle w:val="3"/>
        <w:ind w:firstLine="640" w:firstLineChars="200"/>
        <w:rPr>
          <w:rFonts w:hint="eastAsia" w:ascii="仿宋" w:hAnsi="仿宋" w:eastAsia="仿宋" w:cs="仿宋"/>
          <w:b w:val="0"/>
          <w:bCs/>
          <w:color w:val="000000"/>
          <w:sz w:val="32"/>
          <w:szCs w:val="32"/>
        </w:rPr>
      </w:pPr>
      <w:bookmarkStart w:id="87" w:name="_Toc9110"/>
      <w:r>
        <w:rPr>
          <w:rFonts w:hint="eastAsia" w:ascii="仿宋" w:hAnsi="仿宋" w:eastAsia="仿宋" w:cs="仿宋"/>
          <w:b w:val="0"/>
          <w:bCs/>
          <w:color w:val="000000"/>
          <w:sz w:val="32"/>
          <w:szCs w:val="32"/>
        </w:rPr>
        <w:t>八、一般公共预算财政拨款基本支出决算表</w:t>
      </w:r>
      <w:bookmarkEnd w:id="87"/>
    </w:p>
    <w:p w14:paraId="2002A273">
      <w:pPr>
        <w:pStyle w:val="3"/>
        <w:ind w:firstLine="640" w:firstLineChars="200"/>
        <w:rPr>
          <w:rFonts w:hint="eastAsia" w:ascii="仿宋" w:hAnsi="仿宋" w:eastAsia="仿宋" w:cs="仿宋"/>
          <w:b w:val="0"/>
          <w:bCs/>
          <w:color w:val="000000"/>
          <w:sz w:val="32"/>
          <w:szCs w:val="32"/>
        </w:rPr>
      </w:pPr>
      <w:bookmarkStart w:id="88" w:name="_Toc28582"/>
      <w:r>
        <w:rPr>
          <w:rFonts w:hint="eastAsia" w:ascii="仿宋" w:hAnsi="仿宋" w:eastAsia="仿宋" w:cs="仿宋"/>
          <w:b w:val="0"/>
          <w:bCs/>
          <w:color w:val="000000"/>
          <w:sz w:val="32"/>
          <w:szCs w:val="32"/>
        </w:rPr>
        <w:t>九、一般公共预算财政拨款项目支出决算表</w:t>
      </w:r>
      <w:bookmarkEnd w:id="88"/>
    </w:p>
    <w:p w14:paraId="0A36D281">
      <w:pPr>
        <w:pStyle w:val="3"/>
        <w:ind w:firstLine="640" w:firstLineChars="200"/>
        <w:rPr>
          <w:rFonts w:hint="eastAsia" w:ascii="仿宋" w:hAnsi="仿宋" w:eastAsia="仿宋" w:cs="仿宋"/>
          <w:b w:val="0"/>
          <w:bCs/>
          <w:color w:val="000000"/>
          <w:sz w:val="32"/>
          <w:szCs w:val="32"/>
        </w:rPr>
      </w:pPr>
      <w:bookmarkStart w:id="89" w:name="_Toc22001"/>
      <w:r>
        <w:rPr>
          <w:rFonts w:hint="eastAsia" w:ascii="仿宋" w:hAnsi="仿宋" w:eastAsia="仿宋" w:cs="仿宋"/>
          <w:b w:val="0"/>
          <w:bCs/>
          <w:color w:val="000000"/>
          <w:sz w:val="32"/>
          <w:szCs w:val="32"/>
        </w:rPr>
        <w:t>十、政府性基金预算财政拨款收入支出决算表</w:t>
      </w:r>
      <w:bookmarkEnd w:id="89"/>
    </w:p>
    <w:p w14:paraId="0BD12BAB">
      <w:pPr>
        <w:pStyle w:val="3"/>
        <w:ind w:firstLine="640" w:firstLineChars="200"/>
        <w:rPr>
          <w:rFonts w:hint="eastAsia" w:ascii="仿宋" w:hAnsi="仿宋" w:eastAsia="仿宋" w:cs="仿宋"/>
          <w:b w:val="0"/>
          <w:bCs/>
          <w:color w:val="000000"/>
          <w:sz w:val="32"/>
          <w:szCs w:val="32"/>
        </w:rPr>
      </w:pPr>
      <w:bookmarkStart w:id="90" w:name="_Toc6538"/>
      <w:r>
        <w:rPr>
          <w:rFonts w:hint="eastAsia" w:ascii="仿宋" w:hAnsi="仿宋" w:eastAsia="仿宋" w:cs="仿宋"/>
          <w:b w:val="0"/>
          <w:bCs/>
          <w:color w:val="000000"/>
          <w:sz w:val="32"/>
          <w:szCs w:val="32"/>
        </w:rPr>
        <w:t>十一、国有资本经营预算财政拨款收入支出决算表</w:t>
      </w:r>
      <w:bookmarkEnd w:id="90"/>
    </w:p>
    <w:p w14:paraId="124CF2DF">
      <w:pPr>
        <w:pStyle w:val="3"/>
        <w:ind w:firstLine="640" w:firstLineChars="200"/>
        <w:rPr>
          <w:rFonts w:hint="eastAsia" w:ascii="仿宋" w:hAnsi="仿宋" w:eastAsia="仿宋" w:cs="仿宋"/>
          <w:b w:val="0"/>
          <w:bCs/>
          <w:color w:val="000000"/>
          <w:sz w:val="32"/>
          <w:szCs w:val="32"/>
        </w:rPr>
      </w:pPr>
      <w:bookmarkStart w:id="91" w:name="_Toc10625"/>
      <w:r>
        <w:rPr>
          <w:rFonts w:hint="eastAsia" w:ascii="仿宋" w:hAnsi="仿宋" w:eastAsia="仿宋" w:cs="仿宋"/>
          <w:b w:val="0"/>
          <w:bCs/>
          <w:color w:val="000000"/>
          <w:sz w:val="32"/>
          <w:szCs w:val="32"/>
        </w:rPr>
        <w:t>十二、国有资本经营预算财政拨款支出决算表</w:t>
      </w:r>
      <w:bookmarkEnd w:id="91"/>
    </w:p>
    <w:p w14:paraId="39A925A5">
      <w:pPr>
        <w:pStyle w:val="3"/>
        <w:ind w:firstLine="640" w:firstLineChars="200"/>
        <w:rPr>
          <w:rFonts w:hint="eastAsia" w:ascii="仿宋" w:hAnsi="仿宋" w:eastAsia="仿宋" w:cs="仿宋"/>
          <w:b w:val="0"/>
          <w:bCs/>
          <w:color w:val="000000"/>
          <w:sz w:val="32"/>
          <w:szCs w:val="32"/>
        </w:rPr>
      </w:pPr>
      <w:bookmarkStart w:id="92" w:name="_Toc28356"/>
      <w:r>
        <w:rPr>
          <w:rFonts w:hint="eastAsia" w:ascii="仿宋" w:hAnsi="仿宋" w:eastAsia="仿宋" w:cs="仿宋"/>
          <w:b w:val="0"/>
          <w:bCs/>
          <w:color w:val="000000"/>
          <w:sz w:val="32"/>
          <w:szCs w:val="32"/>
        </w:rPr>
        <w:t>十三、财政拨款“三公”经费支出决算表</w:t>
      </w:r>
      <w:bookmarkEnd w:id="92"/>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F67122-29B2-4721-B6A3-ABF7A22F1C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2DF99DD-34C3-4B7A-91ED-012A719C148D}"/>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E418EB2E-5501-4D1B-9822-A126DC39FF85}"/>
  </w:font>
  <w:font w:name="Cambria">
    <w:panose1 w:val="02040503050406030204"/>
    <w:charset w:val="00"/>
    <w:family w:val="roman"/>
    <w:pitch w:val="default"/>
    <w:sig w:usb0="E00006FF" w:usb1="420024FF" w:usb2="02000000" w:usb3="00000000" w:csb0="2000019F" w:csb1="00000000"/>
  </w:font>
  <w:font w:name="思源黑体 CN Normal">
    <w:altName w:val="黑体"/>
    <w:panose1 w:val="020B0400000000000000"/>
    <w:charset w:val="86"/>
    <w:family w:val="auto"/>
    <w:pitch w:val="default"/>
    <w:sig w:usb0="00000000" w:usb1="00000000" w:usb2="00000016" w:usb3="00000000" w:csb0="60060107" w:csb1="00000000"/>
    <w:embedRegular r:id="rId4" w:fontKey="{570E2ACB-6B2B-4B15-B532-E702F0B9948C}"/>
  </w:font>
  <w:font w:name="方正小标宋简体">
    <w:panose1 w:val="03000509000000000000"/>
    <w:charset w:val="86"/>
    <w:family w:val="auto"/>
    <w:pitch w:val="default"/>
    <w:sig w:usb0="00000001" w:usb1="080E0000" w:usb2="00000000" w:usb3="00000000" w:csb0="00040000" w:csb1="00000000"/>
    <w:embedRegular r:id="rId5" w:fontKey="{BD05194C-750A-4B81-9A19-77FD91067E0A}"/>
  </w:font>
  <w:font w:name="楷体">
    <w:panose1 w:val="02010609060101010101"/>
    <w:charset w:val="86"/>
    <w:family w:val="auto"/>
    <w:pitch w:val="default"/>
    <w:sig w:usb0="800002BF" w:usb1="38CF7CFA" w:usb2="00000016" w:usb3="00000000" w:csb0="00040001" w:csb1="00000000"/>
    <w:embedRegular r:id="rId6" w:fontKey="{C570C049-A011-4BF5-911F-79670E346572}"/>
  </w:font>
  <w:font w:name="微软雅黑">
    <w:panose1 w:val="020B0503020204020204"/>
    <w:charset w:val="86"/>
    <w:family w:val="auto"/>
    <w:pitch w:val="default"/>
    <w:sig w:usb0="80000287" w:usb1="2ACF3C50" w:usb2="00000016" w:usb3="00000000" w:csb0="0004001F" w:csb1="00000000"/>
    <w:embedRegular r:id="rId7" w:fontKey="{6A762B97-C854-402F-A5A3-B7B744B8575E}"/>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B520F"/>
    <w:multiLevelType w:val="singleLevel"/>
    <w:tmpl w:val="D27B520F"/>
    <w:lvl w:ilvl="0" w:tentative="0">
      <w:start w:val="4"/>
      <w:numFmt w:val="chineseCounting"/>
      <w:suff w:val="space"/>
      <w:lvlText w:val="第%1部分"/>
      <w:lvlJc w:val="left"/>
      <w:rPr>
        <w:rFonts w:hint="eastAsia"/>
      </w:rPr>
    </w:lvl>
  </w:abstractNum>
  <w:abstractNum w:abstractNumId="1">
    <w:nsid w:val="189459F0"/>
    <w:multiLevelType w:val="singleLevel"/>
    <w:tmpl w:val="189459F0"/>
    <w:lvl w:ilvl="0" w:tentative="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7B70A9C"/>
    <w:rsid w:val="088F55D5"/>
    <w:rsid w:val="089C4B49"/>
    <w:rsid w:val="09081517"/>
    <w:rsid w:val="091B747D"/>
    <w:rsid w:val="092E626A"/>
    <w:rsid w:val="09A572B6"/>
    <w:rsid w:val="0A19737C"/>
    <w:rsid w:val="0A3C605D"/>
    <w:rsid w:val="0A441619"/>
    <w:rsid w:val="0B7218AA"/>
    <w:rsid w:val="0B99373B"/>
    <w:rsid w:val="0BA37CB5"/>
    <w:rsid w:val="0CB8607E"/>
    <w:rsid w:val="0CC447E0"/>
    <w:rsid w:val="0D0429D6"/>
    <w:rsid w:val="0D093B48"/>
    <w:rsid w:val="0D322E51"/>
    <w:rsid w:val="0D6C338E"/>
    <w:rsid w:val="0D7423C2"/>
    <w:rsid w:val="0DB37F58"/>
    <w:rsid w:val="0DB742A8"/>
    <w:rsid w:val="0E6D2010"/>
    <w:rsid w:val="0EC00B7E"/>
    <w:rsid w:val="0F5E6610"/>
    <w:rsid w:val="0FB52B86"/>
    <w:rsid w:val="0FB57FB7"/>
    <w:rsid w:val="0FDB629D"/>
    <w:rsid w:val="0FFD0B0D"/>
    <w:rsid w:val="103747CF"/>
    <w:rsid w:val="103F4D68"/>
    <w:rsid w:val="10C055FF"/>
    <w:rsid w:val="116A6D7C"/>
    <w:rsid w:val="11761AF6"/>
    <w:rsid w:val="11851C0B"/>
    <w:rsid w:val="11D56DF6"/>
    <w:rsid w:val="11ED6591"/>
    <w:rsid w:val="11F37341"/>
    <w:rsid w:val="11F85D8C"/>
    <w:rsid w:val="13367661"/>
    <w:rsid w:val="136F089E"/>
    <w:rsid w:val="13D81ACD"/>
    <w:rsid w:val="14D728AA"/>
    <w:rsid w:val="15F1786F"/>
    <w:rsid w:val="1665477F"/>
    <w:rsid w:val="16A60B0B"/>
    <w:rsid w:val="16BB723D"/>
    <w:rsid w:val="17283764"/>
    <w:rsid w:val="17BC7656"/>
    <w:rsid w:val="17EA348C"/>
    <w:rsid w:val="1840212F"/>
    <w:rsid w:val="184656CF"/>
    <w:rsid w:val="18A94077"/>
    <w:rsid w:val="193C261A"/>
    <w:rsid w:val="19934117"/>
    <w:rsid w:val="19943114"/>
    <w:rsid w:val="19DE22C0"/>
    <w:rsid w:val="1A24311D"/>
    <w:rsid w:val="1AB026BC"/>
    <w:rsid w:val="1ABB32B6"/>
    <w:rsid w:val="1B7451A7"/>
    <w:rsid w:val="1B787B60"/>
    <w:rsid w:val="1BE81A43"/>
    <w:rsid w:val="1BF70747"/>
    <w:rsid w:val="1C06153F"/>
    <w:rsid w:val="1C986C96"/>
    <w:rsid w:val="1D7371C3"/>
    <w:rsid w:val="1DDC2BB3"/>
    <w:rsid w:val="1E34479D"/>
    <w:rsid w:val="1EF81F78"/>
    <w:rsid w:val="1F620905"/>
    <w:rsid w:val="1FD12B34"/>
    <w:rsid w:val="201A6AB0"/>
    <w:rsid w:val="203B66A0"/>
    <w:rsid w:val="206D278F"/>
    <w:rsid w:val="211A679A"/>
    <w:rsid w:val="21253DA0"/>
    <w:rsid w:val="21A94BCD"/>
    <w:rsid w:val="21E552DE"/>
    <w:rsid w:val="22857975"/>
    <w:rsid w:val="23844B7E"/>
    <w:rsid w:val="23902475"/>
    <w:rsid w:val="23FA0B3C"/>
    <w:rsid w:val="240371BF"/>
    <w:rsid w:val="2435534E"/>
    <w:rsid w:val="244017F7"/>
    <w:rsid w:val="24534F10"/>
    <w:rsid w:val="24DF6C66"/>
    <w:rsid w:val="252D0733"/>
    <w:rsid w:val="253D03DB"/>
    <w:rsid w:val="253F66D1"/>
    <w:rsid w:val="25A20B86"/>
    <w:rsid w:val="25B1070F"/>
    <w:rsid w:val="25BC6564"/>
    <w:rsid w:val="25DD571A"/>
    <w:rsid w:val="262A3B55"/>
    <w:rsid w:val="265C1D1F"/>
    <w:rsid w:val="26A5092E"/>
    <w:rsid w:val="26BB36DB"/>
    <w:rsid w:val="271C31C7"/>
    <w:rsid w:val="271C5A93"/>
    <w:rsid w:val="276F1834"/>
    <w:rsid w:val="27B459F9"/>
    <w:rsid w:val="27C51E91"/>
    <w:rsid w:val="280173B2"/>
    <w:rsid w:val="28513369"/>
    <w:rsid w:val="28BF6D42"/>
    <w:rsid w:val="28C822A0"/>
    <w:rsid w:val="292D4147"/>
    <w:rsid w:val="292E058E"/>
    <w:rsid w:val="295D49CD"/>
    <w:rsid w:val="29FD04D3"/>
    <w:rsid w:val="2A104310"/>
    <w:rsid w:val="2A3A313B"/>
    <w:rsid w:val="2C1E1BB4"/>
    <w:rsid w:val="2C2A7611"/>
    <w:rsid w:val="2CAE1BBE"/>
    <w:rsid w:val="2CCF04B2"/>
    <w:rsid w:val="2DF079DB"/>
    <w:rsid w:val="2E4C04E0"/>
    <w:rsid w:val="2E67588F"/>
    <w:rsid w:val="2EC1626D"/>
    <w:rsid w:val="2F803D16"/>
    <w:rsid w:val="2FF22B1D"/>
    <w:rsid w:val="2FFE27C4"/>
    <w:rsid w:val="30CB71E3"/>
    <w:rsid w:val="30E36C85"/>
    <w:rsid w:val="31810DA9"/>
    <w:rsid w:val="31903F88"/>
    <w:rsid w:val="319F7F4E"/>
    <w:rsid w:val="31B56699"/>
    <w:rsid w:val="31B72CAD"/>
    <w:rsid w:val="32004B5E"/>
    <w:rsid w:val="323A1C2F"/>
    <w:rsid w:val="329448A6"/>
    <w:rsid w:val="32F45598"/>
    <w:rsid w:val="33204932"/>
    <w:rsid w:val="33447C07"/>
    <w:rsid w:val="338C630E"/>
    <w:rsid w:val="345D075E"/>
    <w:rsid w:val="34DF500B"/>
    <w:rsid w:val="35244754"/>
    <w:rsid w:val="361C390A"/>
    <w:rsid w:val="364D41F6"/>
    <w:rsid w:val="36700CAF"/>
    <w:rsid w:val="36FD0156"/>
    <w:rsid w:val="37933F26"/>
    <w:rsid w:val="38207F4E"/>
    <w:rsid w:val="384B5C9F"/>
    <w:rsid w:val="38F04A89"/>
    <w:rsid w:val="38F8371D"/>
    <w:rsid w:val="39226F5F"/>
    <w:rsid w:val="39902098"/>
    <w:rsid w:val="39FD5F33"/>
    <w:rsid w:val="3A3A0F35"/>
    <w:rsid w:val="3A4E1148"/>
    <w:rsid w:val="3AEA64B7"/>
    <w:rsid w:val="3AF15A98"/>
    <w:rsid w:val="3C8D2F9D"/>
    <w:rsid w:val="3CE0510E"/>
    <w:rsid w:val="3CEA0415"/>
    <w:rsid w:val="3D0E3B71"/>
    <w:rsid w:val="3D1927CA"/>
    <w:rsid w:val="3D1E4B3E"/>
    <w:rsid w:val="3D6F2272"/>
    <w:rsid w:val="3D8344ED"/>
    <w:rsid w:val="3E03620E"/>
    <w:rsid w:val="3E343C22"/>
    <w:rsid w:val="3E4164DE"/>
    <w:rsid w:val="3E5B3D40"/>
    <w:rsid w:val="3F512FA9"/>
    <w:rsid w:val="3F7C601F"/>
    <w:rsid w:val="3FAC4683"/>
    <w:rsid w:val="3FEA5DFB"/>
    <w:rsid w:val="40035B02"/>
    <w:rsid w:val="401C35B7"/>
    <w:rsid w:val="40EA7211"/>
    <w:rsid w:val="4119235A"/>
    <w:rsid w:val="41677310"/>
    <w:rsid w:val="422C2C46"/>
    <w:rsid w:val="4251506E"/>
    <w:rsid w:val="42620093"/>
    <w:rsid w:val="42B75819"/>
    <w:rsid w:val="43473EC5"/>
    <w:rsid w:val="43684120"/>
    <w:rsid w:val="444F07DA"/>
    <w:rsid w:val="44601E28"/>
    <w:rsid w:val="46CB53EF"/>
    <w:rsid w:val="472E4611"/>
    <w:rsid w:val="475E72DC"/>
    <w:rsid w:val="47F514AF"/>
    <w:rsid w:val="48182F89"/>
    <w:rsid w:val="4839282C"/>
    <w:rsid w:val="48FD75BD"/>
    <w:rsid w:val="49243056"/>
    <w:rsid w:val="494C4A06"/>
    <w:rsid w:val="4A113668"/>
    <w:rsid w:val="4A277A41"/>
    <w:rsid w:val="4A745623"/>
    <w:rsid w:val="4A92339E"/>
    <w:rsid w:val="4B187071"/>
    <w:rsid w:val="4B2B2DCB"/>
    <w:rsid w:val="4B6A5BC2"/>
    <w:rsid w:val="4B6D2BD3"/>
    <w:rsid w:val="4BAB468D"/>
    <w:rsid w:val="4C655A76"/>
    <w:rsid w:val="4C7555EC"/>
    <w:rsid w:val="4CE729DC"/>
    <w:rsid w:val="4D135D42"/>
    <w:rsid w:val="4D846266"/>
    <w:rsid w:val="4D8D78A2"/>
    <w:rsid w:val="4DF123A8"/>
    <w:rsid w:val="4E290981"/>
    <w:rsid w:val="4E832A53"/>
    <w:rsid w:val="4E9E44C2"/>
    <w:rsid w:val="4EBC1A30"/>
    <w:rsid w:val="4EF52B06"/>
    <w:rsid w:val="4F395B30"/>
    <w:rsid w:val="4F3B530F"/>
    <w:rsid w:val="4F6F7A34"/>
    <w:rsid w:val="4FC96B8B"/>
    <w:rsid w:val="4FD51CD8"/>
    <w:rsid w:val="4FD74194"/>
    <w:rsid w:val="4FDA49F5"/>
    <w:rsid w:val="50AE413E"/>
    <w:rsid w:val="51E1640E"/>
    <w:rsid w:val="51EE42CA"/>
    <w:rsid w:val="52195E38"/>
    <w:rsid w:val="52302EF2"/>
    <w:rsid w:val="526E48F5"/>
    <w:rsid w:val="52AB2578"/>
    <w:rsid w:val="52ED6284"/>
    <w:rsid w:val="5322283B"/>
    <w:rsid w:val="532B0C13"/>
    <w:rsid w:val="53362781"/>
    <w:rsid w:val="533D4F08"/>
    <w:rsid w:val="53B96C98"/>
    <w:rsid w:val="53BA6F17"/>
    <w:rsid w:val="53BE2B80"/>
    <w:rsid w:val="54136CE6"/>
    <w:rsid w:val="541505F1"/>
    <w:rsid w:val="542D2749"/>
    <w:rsid w:val="54992FD0"/>
    <w:rsid w:val="55872E29"/>
    <w:rsid w:val="55923320"/>
    <w:rsid w:val="56A96DCF"/>
    <w:rsid w:val="56D0674C"/>
    <w:rsid w:val="57D23F06"/>
    <w:rsid w:val="587360E8"/>
    <w:rsid w:val="58BA52C3"/>
    <w:rsid w:val="58BC5D23"/>
    <w:rsid w:val="58E34992"/>
    <w:rsid w:val="59177DCC"/>
    <w:rsid w:val="59E040FC"/>
    <w:rsid w:val="59E11CD3"/>
    <w:rsid w:val="5A857BDE"/>
    <w:rsid w:val="5B2A4567"/>
    <w:rsid w:val="5BE202EA"/>
    <w:rsid w:val="5BF6533F"/>
    <w:rsid w:val="5C3F1F3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725134"/>
    <w:rsid w:val="6B4666B6"/>
    <w:rsid w:val="6B772B53"/>
    <w:rsid w:val="6BB306BC"/>
    <w:rsid w:val="6CC85DA9"/>
    <w:rsid w:val="6D2A5F93"/>
    <w:rsid w:val="6D8F2D6B"/>
    <w:rsid w:val="6DB91990"/>
    <w:rsid w:val="6DC31436"/>
    <w:rsid w:val="6E6F4E2B"/>
    <w:rsid w:val="6ECB49CF"/>
    <w:rsid w:val="6ECB5A2B"/>
    <w:rsid w:val="6EF530A1"/>
    <w:rsid w:val="6F3E4099"/>
    <w:rsid w:val="6F4D197C"/>
    <w:rsid w:val="6F806E0F"/>
    <w:rsid w:val="6FAB3ED6"/>
    <w:rsid w:val="70202A42"/>
    <w:rsid w:val="70375FC5"/>
    <w:rsid w:val="70ED3F4C"/>
    <w:rsid w:val="71B27028"/>
    <w:rsid w:val="72227D09"/>
    <w:rsid w:val="72E476B5"/>
    <w:rsid w:val="72F22338"/>
    <w:rsid w:val="73327580"/>
    <w:rsid w:val="733572FD"/>
    <w:rsid w:val="7337685D"/>
    <w:rsid w:val="733E5017"/>
    <w:rsid w:val="73BE3A62"/>
    <w:rsid w:val="74114753"/>
    <w:rsid w:val="746C7E4B"/>
    <w:rsid w:val="750E6C6B"/>
    <w:rsid w:val="755E374E"/>
    <w:rsid w:val="756A088D"/>
    <w:rsid w:val="75884CEA"/>
    <w:rsid w:val="75B310E7"/>
    <w:rsid w:val="75B318F4"/>
    <w:rsid w:val="761A4623"/>
    <w:rsid w:val="76377F56"/>
    <w:rsid w:val="764B35A7"/>
    <w:rsid w:val="769E6A57"/>
    <w:rsid w:val="77661901"/>
    <w:rsid w:val="77B238DE"/>
    <w:rsid w:val="78942624"/>
    <w:rsid w:val="78A4106B"/>
    <w:rsid w:val="790979AA"/>
    <w:rsid w:val="79975481"/>
    <w:rsid w:val="79B4511D"/>
    <w:rsid w:val="79F60BE5"/>
    <w:rsid w:val="7A1B4027"/>
    <w:rsid w:val="7A8E41D1"/>
    <w:rsid w:val="7A965738"/>
    <w:rsid w:val="7ABC1C9C"/>
    <w:rsid w:val="7B022DCE"/>
    <w:rsid w:val="7B272834"/>
    <w:rsid w:val="7B8F71DF"/>
    <w:rsid w:val="7C1568F9"/>
    <w:rsid w:val="7CB2612E"/>
    <w:rsid w:val="7CC25607"/>
    <w:rsid w:val="7D0C3355"/>
    <w:rsid w:val="7DE859ED"/>
    <w:rsid w:val="7E4C610E"/>
    <w:rsid w:val="7E64377F"/>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39"/>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35"/>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link w:val="38"/>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2"/>
    <w:qFormat/>
    <w:uiPriority w:val="99"/>
    <w:pPr>
      <w:spacing w:beforeLines="30"/>
    </w:pPr>
    <w:rPr>
      <w:rFonts w:ascii="仿宋_GB2312" w:eastAsia="仿宋_GB2312"/>
      <w:kern w:val="0"/>
      <w:sz w:val="30"/>
    </w:rPr>
  </w:style>
  <w:style w:type="paragraph" w:styleId="8">
    <w:name w:val="Body Text Indent"/>
    <w:basedOn w:val="1"/>
    <w:qFormat/>
    <w:uiPriority w:val="0"/>
    <w:pPr>
      <w:ind w:firstLine="560"/>
      <w:textAlignment w:val="baseline"/>
    </w:pPr>
    <w:rPr>
      <w:kern w:val="0"/>
      <w:sz w:val="28"/>
    </w:rPr>
  </w:style>
  <w:style w:type="paragraph" w:styleId="9">
    <w:name w:val="toc 3"/>
    <w:basedOn w:val="1"/>
    <w:next w:val="1"/>
    <w:qFormat/>
    <w:uiPriority w:val="0"/>
    <w:pPr>
      <w:tabs>
        <w:tab w:val="right" w:leader="dot" w:pos="8296"/>
      </w:tabs>
      <w:ind w:left="840"/>
    </w:pPr>
    <w:rPr>
      <w:rFonts w:ascii="方正仿宋_GBK" w:eastAsia="方正仿宋_GBK"/>
      <w:sz w:val="32"/>
      <w:szCs w:val="32"/>
    </w:rPr>
  </w:style>
  <w:style w:type="paragraph" w:styleId="10">
    <w:name w:val="Plain Text"/>
    <w:basedOn w:val="1"/>
    <w:qFormat/>
    <w:uiPriority w:val="99"/>
    <w:pPr>
      <w:spacing w:line="240" w:lineRule="auto"/>
      <w:ind w:firstLine="0" w:firstLineChars="0"/>
    </w:pPr>
    <w:rPr>
      <w:rFonts w:ascii="宋体" w:hAnsi="Courier New"/>
      <w:sz w:val="21"/>
      <w:szCs w:val="20"/>
    </w:rPr>
  </w:style>
  <w:style w:type="paragraph" w:styleId="11">
    <w:name w:val="Balloon Text"/>
    <w:basedOn w:val="1"/>
    <w:link w:val="37"/>
    <w:semiHidden/>
    <w:unhideWhenUsed/>
    <w:qFormat/>
    <w:uiPriority w:val="99"/>
    <w:rPr>
      <w:sz w:val="18"/>
      <w:szCs w:val="18"/>
    </w:rPr>
  </w:style>
  <w:style w:type="paragraph" w:styleId="12">
    <w:name w:val="footer"/>
    <w:basedOn w:val="1"/>
    <w:link w:val="30"/>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16"/>
    <w:semiHidden/>
    <w:qFormat/>
    <w:uiPriority w:val="0"/>
    <w:pPr>
      <w:snapToGrid w:val="0"/>
      <w:jc w:val="left"/>
    </w:pPr>
    <w:rPr>
      <w:sz w:val="18"/>
      <w:szCs w:val="18"/>
    </w:rPr>
  </w:style>
  <w:style w:type="paragraph" w:styleId="16">
    <w:name w:val="Body Text First Indent 2"/>
    <w:basedOn w:val="8"/>
    <w:qFormat/>
    <w:uiPriority w:val="0"/>
    <w:pPr>
      <w:adjustRightInd/>
      <w:snapToGrid/>
      <w:spacing w:after="120" w:line="240" w:lineRule="auto"/>
      <w:ind w:left="200" w:leftChars="200" w:firstLine="200" w:firstLineChars="200"/>
      <w:textAlignment w:val="auto"/>
    </w:pPr>
    <w:rPr>
      <w:kern w:val="2"/>
      <w:sz w:val="21"/>
      <w:szCs w:val="24"/>
    </w:rPr>
  </w:style>
  <w:style w:type="paragraph" w:styleId="17">
    <w:name w:val="table of figures"/>
    <w:basedOn w:val="1"/>
    <w:next w:val="1"/>
    <w:autoRedefine/>
    <w:qFormat/>
    <w:uiPriority w:val="0"/>
    <w:pPr>
      <w:ind w:left="200" w:leftChars="200" w:hanging="200" w:hangingChars="200"/>
    </w:pPr>
  </w:style>
  <w:style w:type="paragraph" w:styleId="18">
    <w:name w:val="toc 2"/>
    <w:basedOn w:val="1"/>
    <w:next w:val="1"/>
    <w:autoRedefine/>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unhideWhenUsed/>
    <w:qFormat/>
    <w:uiPriority w:val="99"/>
    <w:pPr>
      <w:widowControl/>
      <w:jc w:val="left"/>
    </w:pPr>
    <w:rPr>
      <w:rFonts w:ascii="宋体" w:hAnsi="宋体" w:cs="宋体"/>
      <w:kern w:val="0"/>
      <w:sz w:val="24"/>
    </w:rPr>
  </w:style>
  <w:style w:type="character" w:styleId="23">
    <w:name w:val="Strong"/>
    <w:basedOn w:val="22"/>
    <w:qFormat/>
    <w:uiPriority w:val="99"/>
    <w:rPr>
      <w:b/>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2"/>
    <w:semiHidden/>
    <w:qFormat/>
    <w:uiPriority w:val="99"/>
    <w:rPr>
      <w:rFonts w:ascii="Times New Roman" w:hAnsi="Times New Roman"/>
      <w:sz w:val="18"/>
      <w:szCs w:val="18"/>
    </w:rPr>
  </w:style>
  <w:style w:type="character" w:customStyle="1" w:styleId="28">
    <w:name w:val="页眉 字符"/>
    <w:link w:val="13"/>
    <w:semiHidden/>
    <w:qFormat/>
    <w:locked/>
    <w:uiPriority w:val="99"/>
    <w:rPr>
      <w:sz w:val="18"/>
    </w:rPr>
  </w:style>
  <w:style w:type="character" w:customStyle="1" w:styleId="29">
    <w:name w:val="Footer Char"/>
    <w:basedOn w:val="22"/>
    <w:autoRedefine/>
    <w:semiHidden/>
    <w:qFormat/>
    <w:uiPriority w:val="99"/>
    <w:rPr>
      <w:rFonts w:ascii="Times New Roman" w:hAnsi="Times New Roman"/>
      <w:sz w:val="18"/>
      <w:szCs w:val="18"/>
    </w:rPr>
  </w:style>
  <w:style w:type="character" w:customStyle="1" w:styleId="30">
    <w:name w:val="页脚 字符"/>
    <w:link w:val="12"/>
    <w:autoRedefine/>
    <w:qFormat/>
    <w:locked/>
    <w:uiPriority w:val="99"/>
    <w:rPr>
      <w:sz w:val="18"/>
    </w:rPr>
  </w:style>
  <w:style w:type="character" w:customStyle="1" w:styleId="31">
    <w:name w:val="Body Text Char"/>
    <w:basedOn w:val="22"/>
    <w:semiHidden/>
    <w:qFormat/>
    <w:uiPriority w:val="99"/>
    <w:rPr>
      <w:rFonts w:ascii="Times New Roman" w:hAnsi="Times New Roman"/>
      <w:szCs w:val="24"/>
    </w:rPr>
  </w:style>
  <w:style w:type="character" w:customStyle="1" w:styleId="32">
    <w:name w:val="正文文本 字符"/>
    <w:link w:val="7"/>
    <w:qFormat/>
    <w:locked/>
    <w:uiPriority w:val="99"/>
    <w:rPr>
      <w:rFonts w:ascii="仿宋_GB2312" w:hAnsi="Times New Roman" w:eastAsia="仿宋_GB2312"/>
      <w:sz w:val="24"/>
    </w:rPr>
  </w:style>
  <w:style w:type="paragraph" w:styleId="33">
    <w:name w:val="List Paragraph"/>
    <w:basedOn w:val="1"/>
    <w:autoRedefine/>
    <w:qFormat/>
    <w:uiPriority w:val="34"/>
    <w:pPr>
      <w:ind w:firstLine="420" w:firstLineChars="200"/>
    </w:pPr>
  </w:style>
  <w:style w:type="character" w:customStyle="1" w:styleId="34">
    <w:name w:val="标题 1 字符"/>
    <w:basedOn w:val="22"/>
    <w:link w:val="2"/>
    <w:qFormat/>
    <w:uiPriority w:val="9"/>
    <w:rPr>
      <w:rFonts w:ascii="Times New Roman" w:hAnsi="Times New Roman"/>
      <w:b/>
      <w:bCs/>
      <w:kern w:val="44"/>
      <w:sz w:val="44"/>
      <w:szCs w:val="44"/>
    </w:rPr>
  </w:style>
  <w:style w:type="character" w:customStyle="1" w:styleId="35">
    <w:name w:val="标题 2 字符"/>
    <w:basedOn w:val="22"/>
    <w:link w:val="3"/>
    <w:qFormat/>
    <w:uiPriority w:val="9"/>
    <w:rPr>
      <w:rFonts w:asciiTheme="majorHAnsi" w:hAnsiTheme="majorHAnsi" w:eastAsiaTheme="majorEastAsia" w:cstheme="majorBidi"/>
      <w:b/>
      <w:bCs/>
      <w:kern w:val="2"/>
      <w:sz w:val="32"/>
      <w:szCs w:val="32"/>
    </w:rPr>
  </w:style>
  <w:style w:type="paragraph" w:customStyle="1" w:styleId="36">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2"/>
    <w:link w:val="11"/>
    <w:autoRedefine/>
    <w:semiHidden/>
    <w:qFormat/>
    <w:uiPriority w:val="99"/>
    <w:rPr>
      <w:rFonts w:ascii="Times New Roman" w:hAnsi="Times New Roman"/>
      <w:kern w:val="2"/>
      <w:sz w:val="18"/>
      <w:szCs w:val="18"/>
    </w:rPr>
  </w:style>
  <w:style w:type="character" w:customStyle="1" w:styleId="38">
    <w:name w:val="标题 3 字符"/>
    <w:basedOn w:val="22"/>
    <w:link w:val="4"/>
    <w:autoRedefine/>
    <w:qFormat/>
    <w:uiPriority w:val="9"/>
    <w:rPr>
      <w:rFonts w:ascii="Times New Roman" w:hAnsi="Times New Roman"/>
      <w:b/>
      <w:bCs/>
      <w:kern w:val="2"/>
      <w:sz w:val="32"/>
      <w:szCs w:val="32"/>
    </w:rPr>
  </w:style>
  <w:style w:type="character" w:customStyle="1" w:styleId="39">
    <w:name w:val="标题 1 Char"/>
    <w:basedOn w:val="22"/>
    <w:link w:val="2"/>
    <w:qFormat/>
    <w:uiPriority w:val="9"/>
    <w:rPr>
      <w:b/>
      <w:bCs/>
      <w:kern w:val="44"/>
      <w:sz w:val="44"/>
      <w:szCs w:val="44"/>
    </w:rPr>
  </w:style>
  <w:style w:type="paragraph" w:customStyle="1" w:styleId="40">
    <w:name w:val="文档正文"/>
    <w:basedOn w:val="1"/>
    <w:next w:val="16"/>
    <w:qFormat/>
    <w:uiPriority w:val="99"/>
    <w:pPr>
      <w:adjustRightInd w:val="0"/>
      <w:spacing w:line="480" w:lineRule="atLeast"/>
      <w:textAlignment w:val="baseline"/>
    </w:pPr>
    <w:rPr>
      <w:rFonts w:hAnsi="Arial"/>
      <w:kern w:val="0"/>
    </w:rPr>
  </w:style>
  <w:style w:type="paragraph" w:customStyle="1" w:styleId="41">
    <w:name w:val="文档正文1"/>
    <w:basedOn w:val="1"/>
    <w:qFormat/>
    <w:uiPriority w:val="99"/>
    <w:pPr>
      <w:adjustRightInd w:val="0"/>
      <w:spacing w:line="480" w:lineRule="atLeast"/>
      <w:textAlignment w:val="baseline"/>
    </w:pPr>
    <w:rPr>
      <w:rFonts w:hAnsi="Arial"/>
      <w:kern w:val="0"/>
    </w:rPr>
  </w:style>
  <w:style w:type="paragraph" w:customStyle="1" w:styleId="42">
    <w:name w:val="3级标题"/>
    <w:basedOn w:val="1"/>
    <w:qFormat/>
    <w:uiPriority w:val="0"/>
    <w:pPr>
      <w:spacing w:line="360" w:lineRule="auto"/>
      <w:outlineLvl w:val="2"/>
    </w:pPr>
    <w:rPr>
      <w:rFonts w:ascii="黑体" w:hAnsi="黑体" w:eastAsia="黑体"/>
      <w:b/>
      <w:bCs/>
      <w:color w:val="000000" w:themeColor="text1"/>
      <w:sz w:val="28"/>
      <w:szCs w:val="28"/>
      <w14:textFill>
        <w14:solidFill>
          <w14:schemeClr w14:val="tx1"/>
        </w14:solidFill>
      </w14:textFill>
    </w:rPr>
  </w:style>
  <w:style w:type="paragraph" w:customStyle="1" w:styleId="43">
    <w:name w:val="文本1"/>
    <w:basedOn w:val="1"/>
    <w:qFormat/>
    <w:uiPriority w:val="0"/>
    <w:pPr>
      <w:adjustRightInd w:val="0"/>
      <w:snapToGrid w:val="0"/>
      <w:spacing w:line="360" w:lineRule="auto"/>
      <w:ind w:firstLine="1040" w:firstLineChars="200"/>
    </w:pPr>
    <w:rPr>
      <w:rFonts w:ascii="Times New Roman" w:hAnsi="Times New Roman" w:eastAsia="宋体" w:cs="宋体"/>
      <w:sz w:val="24"/>
      <w:szCs w:val="24"/>
    </w:rPr>
  </w:style>
  <w:style w:type="paragraph" w:customStyle="1" w:styleId="44">
    <w:name w:val="2级标题"/>
    <w:basedOn w:val="1"/>
    <w:qFormat/>
    <w:uiPriority w:val="0"/>
    <w:pPr>
      <w:spacing w:line="360" w:lineRule="auto"/>
      <w:jc w:val="left"/>
      <w:outlineLvl w:val="1"/>
    </w:pPr>
    <w:rPr>
      <w:rFonts w:ascii="黑体" w:hAnsi="黑体" w:eastAsia="黑体"/>
      <w:b/>
      <w:bCs/>
      <w:color w:val="000000" w:themeColor="text1"/>
      <w:sz w:val="30"/>
      <w:szCs w:val="30"/>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收、支决算总计变动情况图</a:t>
            </a:r>
            <a:endParaRPr lang="en-US" sz="12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{3447.9,2605.59}</c:f>
              <c:numCache>
                <c:formatCode>General</c:formatCode>
                <c:ptCount val="2"/>
                <c:pt idx="0">
                  <c:v>3447.9</c:v>
                </c:pt>
                <c:pt idx="1">
                  <c:v>2605.59</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收入决算结构图</a:t>
            </a:r>
            <a:endParaRPr lang="zh-CN" sz="12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{2241.11,364.48}</c:f>
              <c:numCache>
                <c:formatCode>General</c:formatCode>
                <c:ptCount val="2"/>
                <c:pt idx="0">
                  <c:v>2241.11</c:v>
                </c:pt>
                <c:pt idx="1">
                  <c:v>364.48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支出决算结构图</a:t>
            </a:r>
            <a:endParaRPr lang="zh-CN" sz="12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{136.73,2468.87}</c:f>
              <c:numCache>
                <c:formatCode>General</c:formatCode>
                <c:ptCount val="2"/>
                <c:pt idx="0">
                  <c:v>136.73</c:v>
                </c:pt>
                <c:pt idx="1">
                  <c:v>2468.87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sz="1400"/>
              <a:t>财政拨款收、支决算总计变动情况</a:t>
            </a:r>
            <a:endParaRPr lang="en-US" altLang="zh-CN" sz="1400"/>
          </a:p>
        </c:rich>
      </c:tx>
      <c:layout>
        <c:manualLayout>
          <c:xMode val="edge"/>
          <c:yMode val="edge"/>
          <c:x val="0.109561102953173"/>
          <c:y val="0.00866551126516464"/>
        </c:manualLayout>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{3447.9,2605.59}</c:f>
              <c:numCache>
                <c:formatCode>General</c:formatCode>
                <c:ptCount val="2"/>
                <c:pt idx="0">
                  <c:v>3447.9</c:v>
                </c:pt>
                <c:pt idx="1">
                  <c:v>2605.59</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{3006.82}</c:f>
              <c:numCache>
                <c:formatCode>General</c:formatCode>
                <c:ptCount val="1"/>
                <c:pt idx="0">
                  <c:v>3006.82</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{2241.11}</c:f>
              <c:numCache>
                <c:formatCode>General</c:formatCode>
                <c:ptCount val="1"/>
                <c:pt idx="0">
                  <c:v>2241.11</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400"/>
              <a:t>一般公共预算财政拨款支出</a:t>
            </a:r>
            <a:endParaRPr lang="en-US" sz="14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{"社会保障和就业支出","卫生健康支出","节能环保支出","农林水支出","住房保障支出"}</c:f>
              <c:strCache>
                <c:ptCount val="5"/>
                <c:pt idx="0">
                  <c:v>社会保障和就业支出</c:v>
                </c:pt>
                <c:pt idx="1">
                  <c:v>卫生健康支出</c:v>
                </c:pt>
                <c:pt idx="2">
                  <c:v>节能环保支出</c:v>
                </c:pt>
                <c:pt idx="3">
                  <c:v>农林水支出</c:v>
                </c:pt>
                <c:pt idx="4">
                  <c:v>住房保障支出</c:v>
                </c:pt>
              </c:strCache>
            </c:strRef>
          </c:cat>
          <c:val>
            <c:numRef>
              <c:f>{23.58,8.97,267.07,1931.11,10.38}</c:f>
              <c:numCache>
                <c:formatCode>General</c:formatCode>
                <c:ptCount val="5"/>
                <c:pt idx="0">
                  <c:v>23.58</c:v>
                </c:pt>
                <c:pt idx="1">
                  <c:v>8.97</c:v>
                </c:pt>
                <c:pt idx="2">
                  <c:v>267.07</c:v>
                </c:pt>
                <c:pt idx="3">
                  <c:v>1931.11</c:v>
                </c:pt>
                <c:pt idx="4">
                  <c:v>10.38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{0,12.28,0}</c:f>
              <c:numCache>
                <c:formatCode>General</c:formatCode>
                <c:ptCount val="3"/>
                <c:pt idx="0">
                  <c:v>0</c:v>
                </c:pt>
                <c:pt idx="1">
                  <c:v>12.28</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5857</Words>
  <Characters>6539</Characters>
  <Lines>48</Lines>
  <Paragraphs>13</Paragraphs>
  <TotalTime>5</TotalTime>
  <ScaleCrop>false</ScaleCrop>
  <LinksUpToDate>false</LinksUpToDate>
  <CharactersWithSpaces>6702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WPS_1693969678</cp:lastModifiedBy>
  <cp:lastPrinted>2025-09-11T08:44:00Z</cp:lastPrinted>
  <dcterms:modified xsi:type="dcterms:W3CDTF">2025-09-19T01:57:24Z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5F5EAE46023B41039AB8027ACF0B1765_13</vt:lpwstr>
  </property>
  <property fmtid="{D5CDD505-2E9C-101B-9397-08002B2CF9AE}" pid="4" name="KSOTemplateDocerSaveRecord">
    <vt:lpwstr>eyJoZGlkIjoiZGFlM2I1MDNhMDkyMTFhNmY0Y2QyOGQ1NjFmMTE0M2EiLCJ1c2VySWQiOiIxNTMwMTQ0MjQ5In0=</vt:lpwstr>
  </property>
</Properties>
</file>