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425"/>
      <w:bookmarkStart w:id="2" w:name="_Toc15377193"/>
      <w:bookmarkStart w:id="3" w:name="_Toc15396475"/>
      <w:bookmarkStart w:id="4" w:name="_Toc15396597"/>
      <w:bookmarkStart w:id="5" w:name="_Toc15306267"/>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5597C79E">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14:paraId="102BA02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color w:val="000000" w:themeColor="text1"/>
          <w:sz w:val="44"/>
          <w:szCs w:val="44"/>
          <w14:textFill>
            <w14:solidFill>
              <w14:schemeClr w14:val="tx1"/>
            </w14:solidFill>
          </w14:textFill>
        </w:rPr>
      </w:pPr>
      <w:bookmarkStart w:id="6" w:name="_Toc15396598"/>
      <w:bookmarkStart w:id="7" w:name="_Toc15378442"/>
      <w:bookmarkStart w:id="8" w:name="_Toc15377194"/>
      <w:bookmarkStart w:id="9" w:name="_Toc15377426"/>
      <w:bookmarkStart w:id="10" w:name="_Toc15306268"/>
      <w:bookmarkStart w:id="11" w:name="_Toc15396476"/>
      <w:r>
        <w:rPr>
          <w:rFonts w:hint="eastAsia" w:ascii="黑体" w:hAnsi="黑体" w:eastAsia="黑体" w:cs="黑体"/>
          <w:b w:val="0"/>
          <w:bCs/>
          <w:color w:val="000000" w:themeColor="text1"/>
          <w:sz w:val="44"/>
          <w:szCs w:val="44"/>
          <w14:textFill>
            <w14:solidFill>
              <w14:schemeClr w14:val="tx1"/>
            </w14:solidFill>
          </w14:textFill>
        </w:rPr>
        <w:t>茂县水务服务中心</w:t>
      </w:r>
    </w:p>
    <w:p w14:paraId="6DBC95D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黑体" w:hAnsi="黑体" w:eastAsia="黑体" w:cs="黑体"/>
          <w:b w:val="0"/>
          <w:bCs/>
          <w:color w:val="000000" w:themeColor="text1"/>
          <w:sz w:val="44"/>
          <w:szCs w:val="44"/>
          <w:lang w:val="en-US" w:eastAsia="zh-CN"/>
          <w14:textFill>
            <w14:solidFill>
              <w14:schemeClr w14:val="tx1"/>
            </w14:solidFill>
          </w14:textFill>
        </w:rPr>
      </w:pPr>
      <w:r>
        <w:rPr>
          <w:rFonts w:ascii="黑体" w:hAnsi="黑体" w:eastAsia="黑体" w:cs="黑体"/>
          <w:color w:val="000000"/>
          <w:sz w:val="44"/>
          <w:u w:color="auto"/>
        </w:rPr>
        <w:t>单位决算</w:t>
      </w:r>
      <w:bookmarkEnd w:id="6"/>
      <w:bookmarkEnd w:id="7"/>
      <w:bookmarkEnd w:id="8"/>
      <w:bookmarkEnd w:id="9"/>
      <w:bookmarkEnd w:id="10"/>
      <w:bookmarkEnd w:id="11"/>
      <w:r>
        <w:rPr>
          <w:rFonts w:hint="eastAsia" w:ascii="黑体" w:hAnsi="黑体" w:eastAsia="黑体" w:cs="黑体"/>
          <w:color w:val="000000"/>
          <w:sz w:val="44"/>
          <w:u w:color="auto"/>
          <w:lang w:val="en-US" w:eastAsia="zh-CN"/>
        </w:rPr>
        <w:t>公开编制说明</w:t>
      </w:r>
    </w:p>
    <w:p w14:paraId="0E2C97A9">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w:t>
      </w:r>
      <w:bookmarkStart w:id="87" w:name="_GoBack"/>
      <w:bookmarkEnd w:id="87"/>
      <w:r>
        <w:rPr>
          <w:rFonts w:hint="eastAsia" w:ascii="仿宋" w:hAnsi="仿宋" w:eastAsia="仿宋" w:cs="仿宋"/>
          <w:bCs w:val="0"/>
          <w:color w:val="000000" w:themeColor="text1"/>
          <w:sz w:val="32"/>
          <w:szCs w:val="32"/>
          <w14:textFill>
            <w14:solidFill>
              <w14:schemeClr w14:val="tx1"/>
            </w14:solidFill>
          </w14:textFill>
        </w:rPr>
        <w:t>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10</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185CA32">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14:paraId="521E39E1">
      <w:pPr>
        <w:pStyle w:val="5"/>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14:paraId="24C03C62">
      <w:pPr>
        <w:pStyle w:val="6"/>
        <w:pageBreakBefore w:val="0"/>
        <w:kinsoku/>
        <w:wordWrap/>
        <w:overflowPunct/>
        <w:topLinePunct w:val="0"/>
        <w:autoSpaceDE/>
        <w:autoSpaceDN/>
        <w:bidi w:val="0"/>
        <w:spacing w:after="0"/>
        <w:ind w:firstLine="640" w:firstLineChars="200"/>
        <w:textAlignment w:val="auto"/>
        <w:rPr>
          <w:rFonts w:hint="eastAsia" w:ascii="黑体" w:hAnsi="黑体" w:eastAsia="黑体" w:cs="黑体"/>
          <w:b w:val="0"/>
          <w:bCs/>
          <w:color w:val="000000"/>
          <w:lang w:val="en-US" w:eastAsia="zh-CN"/>
        </w:rPr>
      </w:pPr>
      <w:bookmarkStart w:id="15" w:name="_Toc111208496"/>
      <w:bookmarkStart w:id="16" w:name="_Toc15377197"/>
      <w:bookmarkStart w:id="17" w:name="_Toc28564"/>
      <w:bookmarkStart w:id="18" w:name="_Toc113981010"/>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8445"/>
      <w:bookmarkStart w:id="21" w:name="_Toc15377198"/>
      <w:r>
        <w:rPr>
          <w:rFonts w:hint="eastAsia" w:ascii="黑体" w:hAnsi="黑体" w:eastAsia="黑体" w:cs="黑体"/>
          <w:b w:val="0"/>
          <w:bCs/>
          <w:color w:val="000000"/>
          <w:lang w:val="en-US" w:eastAsia="zh-CN"/>
        </w:rPr>
        <w:t>主要职责</w:t>
      </w:r>
    </w:p>
    <w:bookmarkEnd w:id="20"/>
    <w:bookmarkEnd w:id="21"/>
    <w:p w14:paraId="3AFAE7F9">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bookmarkStart w:id="22" w:name="_Toc113981011"/>
      <w:bookmarkStart w:id="23" w:name="_Toc111208497"/>
      <w:bookmarkStart w:id="24" w:name="_Toc15377200"/>
      <w:bookmarkStart w:id="25" w:name="_Toc22056"/>
      <w:r>
        <w:rPr>
          <w:rFonts w:hint="eastAsia" w:ascii="仿宋_GB2312" w:eastAsia="仿宋_GB2312"/>
          <w:sz w:val="32"/>
          <w:szCs w:val="32"/>
        </w:rPr>
        <w:t>1.</w:t>
      </w:r>
      <w:r>
        <w:rPr>
          <w:rFonts w:hint="eastAsia" w:ascii="仿宋_GB2312" w:eastAsia="仿宋_GB2312" w:cs="宋体"/>
          <w:color w:val="000000"/>
          <w:kern w:val="0"/>
          <w:sz w:val="32"/>
          <w:szCs w:val="32"/>
          <w:shd w:val="clear" w:color="auto" w:fill="FFFFFF"/>
          <w:lang w:val="zh-CN"/>
        </w:rPr>
        <w:t>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14:paraId="6D21AED3">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2.</w:t>
      </w:r>
      <w:r>
        <w:rPr>
          <w:rFonts w:hint="eastAsia" w:ascii="仿宋_GB2312" w:eastAsia="仿宋_GB2312" w:cs="宋体"/>
          <w:color w:val="000000"/>
          <w:kern w:val="0"/>
          <w:sz w:val="32"/>
          <w:szCs w:val="32"/>
          <w:shd w:val="clear" w:color="auto" w:fill="FFFFFF"/>
          <w:lang w:val="zh-CN"/>
        </w:rPr>
        <w:t>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14:paraId="37C97CD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3.</w:t>
      </w:r>
      <w:r>
        <w:rPr>
          <w:rFonts w:hint="eastAsia" w:ascii="仿宋_GB2312" w:eastAsia="仿宋_GB2312" w:cs="宋体"/>
          <w:color w:val="000000"/>
          <w:kern w:val="0"/>
          <w:sz w:val="32"/>
          <w:szCs w:val="32"/>
          <w:shd w:val="clear" w:color="auto" w:fill="FFFFFF"/>
          <w:lang w:val="zh-CN"/>
        </w:rPr>
        <w:t>组织编制洪水干旱灾害防治规划，承担水情、旱情监测预警，组织编制防洪抗旱应急水量调度方案，编制防御洪水抗旱调度方案。</w:t>
      </w:r>
    </w:p>
    <w:p w14:paraId="05C1DFC8">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4.</w:t>
      </w:r>
      <w:r>
        <w:rPr>
          <w:rFonts w:hint="eastAsia" w:ascii="仿宋_GB2312" w:eastAsia="仿宋_GB2312" w:cs="宋体"/>
          <w:color w:val="000000"/>
          <w:kern w:val="0"/>
          <w:sz w:val="32"/>
          <w:szCs w:val="32"/>
          <w:shd w:val="clear" w:color="auto" w:fill="FFFFFF"/>
          <w:lang w:val="zh-CN"/>
        </w:rPr>
        <w:t>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14:paraId="558B41BB">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5.</w:t>
      </w:r>
      <w:r>
        <w:rPr>
          <w:rFonts w:hint="eastAsia" w:ascii="仿宋_GB2312" w:eastAsia="仿宋_GB2312" w:cs="宋体"/>
          <w:color w:val="000000"/>
          <w:kern w:val="0"/>
          <w:sz w:val="32"/>
          <w:szCs w:val="32"/>
          <w:shd w:val="clear" w:color="auto" w:fill="FFFFFF"/>
          <w:lang w:val="zh-CN"/>
        </w:rPr>
        <w:t>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14:paraId="3AE99F66">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6.</w:t>
      </w:r>
      <w:r>
        <w:rPr>
          <w:rFonts w:hint="eastAsia" w:ascii="仿宋_GB2312" w:eastAsia="仿宋_GB2312" w:cs="宋体"/>
          <w:color w:val="000000"/>
          <w:kern w:val="0"/>
          <w:sz w:val="32"/>
          <w:szCs w:val="32"/>
          <w:shd w:val="clear" w:color="auto" w:fill="FFFFFF"/>
          <w:lang w:val="zh-CN"/>
        </w:rPr>
        <w:t>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14:paraId="194E371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7.</w:t>
      </w:r>
      <w:r>
        <w:rPr>
          <w:rFonts w:hint="eastAsia" w:ascii="仿宋_GB2312" w:eastAsia="仿宋_GB2312" w:cs="宋体"/>
          <w:color w:val="000000"/>
          <w:kern w:val="0"/>
          <w:sz w:val="32"/>
          <w:szCs w:val="32"/>
          <w:shd w:val="clear" w:color="auto" w:fill="FFFFFF"/>
          <w:lang w:val="zh-CN"/>
        </w:rPr>
        <w:t>拟订水利行业经济调节措施；负责编制全县水利建设项目资金计划，对水利资金进行管理、监督和内部审计。研究提出有关水利方面价格、税收、信贷、财务等经济调节建议。单位国有资产保值增值的监督和管理。</w:t>
      </w:r>
    </w:p>
    <w:p w14:paraId="61C7F62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8.</w:t>
      </w:r>
      <w:r>
        <w:rPr>
          <w:rFonts w:hint="eastAsia" w:ascii="仿宋_GB2312" w:eastAsia="仿宋_GB2312" w:cs="宋体"/>
          <w:color w:val="000000"/>
          <w:kern w:val="0"/>
          <w:sz w:val="32"/>
          <w:szCs w:val="32"/>
          <w:shd w:val="clear" w:color="auto" w:fill="FFFFFF"/>
          <w:lang w:val="zh-CN"/>
        </w:rPr>
        <w:t>负责全县水利方面的科技与外事工作，组织本县重大水利行业科学研究的技术推广。监督实施水利行业技术质量标准和规程、规范，承办水利行业对外经济、技术合作与交流等涉外事务。</w:t>
      </w:r>
    </w:p>
    <w:p w14:paraId="4FE57346">
      <w:pPr>
        <w:pStyle w:val="10"/>
        <w:pageBreakBefore w:val="0"/>
        <w:kinsoku/>
        <w:wordWrap/>
        <w:overflowPunct/>
        <w:topLinePunct w:val="0"/>
        <w:autoSpaceDE/>
        <w:autoSpaceDN/>
        <w:bidi w:val="0"/>
        <w:adjustRightInd w:val="0"/>
        <w:snapToGrid w:val="0"/>
        <w:spacing w:beforeLines="0" w:line="560" w:lineRule="exact"/>
        <w:ind w:left="0" w:leftChars="0" w:right="0" w:firstLine="640" w:firstLineChars="200"/>
        <w:jc w:val="both"/>
        <w:textAlignment w:val="auto"/>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9.完成县委、县政府交办的其他任务。</w:t>
      </w:r>
    </w:p>
    <w:p w14:paraId="2CF1E803">
      <w:pPr>
        <w:pStyle w:val="6"/>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14:paraId="661DECA3">
      <w:pPr>
        <w:pageBreakBefore w:val="0"/>
        <w:widowControl w:val="0"/>
        <w:kinsoku/>
        <w:wordWrap/>
        <w:overflowPunct/>
        <w:topLinePunct w:val="0"/>
        <w:autoSpaceDE/>
        <w:autoSpaceDN/>
        <w:bidi w:val="0"/>
        <w:adjustRightInd/>
        <w:snapToGrid/>
        <w:spacing w:line="576"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茂县水务服务中心属于茂县水务局下属二级事业单位。</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5"/>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年度收入、支出总计均为416.06</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增加15.62万元，增长3.9%</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增长</w:t>
      </w:r>
      <w:r>
        <w:rPr>
          <w:rFonts w:hint="eastAsia" w:ascii="仿宋" w:hAnsi="仿宋" w:eastAsia="仿宋" w:cs="仿宋"/>
          <w:color w:val="000000"/>
          <w:sz w:val="32"/>
          <w:u w:color="auto"/>
          <w:lang w:val="en-US" w:eastAsia="zh-CN"/>
        </w:rPr>
        <w:t>的</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人员工资保险变动</w:t>
      </w:r>
      <w:r>
        <w:rPr>
          <w:rFonts w:hint="eastAsia" w:ascii="仿宋" w:hAnsi="仿宋" w:eastAsia="仿宋" w:cs="仿宋"/>
          <w:color w:val="000000"/>
          <w:sz w:val="32"/>
          <w:szCs w:val="32"/>
        </w:rPr>
        <w:t>。</w:t>
      </w:r>
      <w:r>
        <w:rPr>
          <w:rFonts w:ascii="仿宋" w:hAnsi="仿宋" w:eastAsia="仿宋" w:cs="仿宋"/>
          <w:color w:val="000000"/>
          <w:sz w:val="32"/>
          <w:u w:color="auto"/>
        </w:rPr>
        <w:t xml:space="preserve"> </w:t>
      </w:r>
    </w:p>
    <w:p w14:paraId="61134D0D">
      <w:pPr>
        <w:pStyle w:val="8"/>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3282315" cy="2096135"/>
            <wp:effectExtent l="4445" t="4445" r="8890" b="1397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D363">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Cs w:val="0"/>
          <w:color w:val="000000"/>
        </w:rPr>
      </w:pPr>
      <w:bookmarkStart w:id="31" w:name="_Toc8125"/>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14:paraId="7DAB409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416.06万元</w:t>
      </w:r>
      <w:r>
        <w:rPr>
          <w:rFonts w:hint="eastAsia" w:ascii="仿宋" w:hAnsi="仿宋" w:eastAsia="仿宋" w:cs="仿宋"/>
          <w:color w:val="000000"/>
          <w:sz w:val="32"/>
          <w:szCs w:val="32"/>
          <w:lang w:val="en-US" w:eastAsia="zh-CN"/>
        </w:rPr>
        <w:t>，其中:一般公共预算财政拨款收入416.06万元，占100%</w:t>
      </w:r>
      <w:r>
        <w:rPr>
          <w:rFonts w:hint="eastAsia" w:ascii="仿宋" w:hAnsi="仿宋" w:eastAsia="仿宋" w:cs="仿宋"/>
          <w:color w:val="000000"/>
          <w:sz w:val="32"/>
          <w:szCs w:val="32"/>
        </w:rPr>
        <w:t>。</w:t>
      </w:r>
    </w:p>
    <w:p w14:paraId="6E48941D">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079750" cy="2077085"/>
            <wp:effectExtent l="5080" t="4445" r="20320"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96F3EB">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34" w:name="_Toc111208501"/>
      <w:bookmarkStart w:id="35" w:name="_Toc28283"/>
      <w:bookmarkStart w:id="36" w:name="_Toc15377207"/>
      <w:r>
        <w:rPr>
          <w:rFonts w:hint="eastAsia" w:ascii="黑体" w:hAnsi="黑体" w:eastAsia="黑体" w:cs="黑体"/>
          <w:b w:val="0"/>
          <w:bCs/>
          <w:color w:val="000000"/>
        </w:rPr>
        <w:t>三、支出决算情况说明</w:t>
      </w:r>
      <w:bookmarkEnd w:id="34"/>
      <w:bookmarkEnd w:id="35"/>
      <w:bookmarkEnd w:id="36"/>
    </w:p>
    <w:p w14:paraId="1753835D">
      <w:pPr>
        <w:pStyle w:val="8"/>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416.06万元</w:t>
      </w:r>
      <w:r>
        <w:rPr>
          <w:rFonts w:hint="eastAsia" w:ascii="仿宋" w:hAnsi="仿宋" w:eastAsia="仿宋" w:cs="仿宋"/>
          <w:color w:val="000000"/>
          <w:sz w:val="32"/>
          <w:szCs w:val="32"/>
          <w:lang w:val="en-US" w:eastAsia="zh-CN"/>
        </w:rPr>
        <w:t>，其中:基本支出416.06万元，占100%</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272790" cy="2243455"/>
            <wp:effectExtent l="4445" t="4445" r="1841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29694F">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37" w:name="_Toc111208502"/>
      <w:bookmarkStart w:id="38" w:name="_Toc19521"/>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14:paraId="66D8173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416.06万元。与2023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增加15.62万元，增长3.9%</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增长</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人员工资保险变动</w:t>
      </w:r>
      <w:r>
        <w:rPr>
          <w:rFonts w:hint="eastAsia" w:ascii="仿宋" w:hAnsi="仿宋" w:eastAsia="仿宋" w:cs="仿宋"/>
          <w:color w:val="000000"/>
          <w:sz w:val="32"/>
          <w:szCs w:val="32"/>
        </w:rPr>
        <w:t>。</w:t>
      </w:r>
    </w:p>
    <w:p w14:paraId="00E9C3F0">
      <w:pPr>
        <w:jc w:val="center"/>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3882390" cy="2242185"/>
            <wp:effectExtent l="4445" t="4445" r="18415" b="2032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987CA">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40" w:name="_Toc15377209"/>
      <w:bookmarkStart w:id="41" w:name="_Toc14368"/>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416.06万元，占本年支出合计的100%。与2023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增加15.62万元，增长3.9%</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增长</w:t>
      </w:r>
      <w:r>
        <w:rPr>
          <w:rFonts w:hint="eastAsia" w:ascii="仿宋" w:hAnsi="仿宋" w:eastAsia="仿宋" w:cs="仿宋"/>
          <w:color w:val="000000"/>
          <w:sz w:val="32"/>
          <w:u w:color="auto"/>
          <w:lang w:val="en-US" w:eastAsia="zh-CN"/>
        </w:rPr>
        <w:t>的</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人员工资保险变动</w:t>
      </w:r>
      <w:r>
        <w:rPr>
          <w:rFonts w:ascii="仿宋" w:hAnsi="仿宋" w:eastAsia="仿宋" w:cs="仿宋"/>
          <w:color w:val="000000"/>
          <w:sz w:val="32"/>
          <w:u w:color="auto"/>
        </w:rPr>
        <w:t xml:space="preserve">。 </w:t>
      </w:r>
    </w:p>
    <w:p w14:paraId="1392859B">
      <w:pPr>
        <w:pStyle w:val="8"/>
        <w:ind w:firstLine="0"/>
        <w:jc w:val="center"/>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3942715" cy="2809240"/>
            <wp:effectExtent l="4445" t="5080" r="1524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416.06万元，主要用于以下方面: 社会保障和就业支出63.08万元，占15.2%；卫生健康支出31.04万元，占7.5%；农林水支出290.56万元，占69.8%；住房保障支出31.37万元，占7.5%。</w:t>
      </w:r>
    </w:p>
    <w:p w14:paraId="68BC5887">
      <w:pPr>
        <w:pStyle w:val="8"/>
        <w:jc w:val="center"/>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3475990" cy="2441575"/>
            <wp:effectExtent l="4445" t="4445" r="5715" b="1143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7444"/>
      <w:bookmarkStart w:id="47" w:name="_Toc15377213"/>
      <w:bookmarkStart w:id="48" w:name="_Toc15378460"/>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416.06万元，完成预算100%。其中：</w:t>
      </w:r>
      <w:bookmarkEnd w:id="46"/>
      <w:bookmarkEnd w:id="47"/>
      <w:bookmarkEnd w:id="48"/>
    </w:p>
    <w:p w14:paraId="7AED4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）行政事业单位养老支出（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）机关事业单位基本养老保险缴费支出（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）:支出决算49.7万元，完成预算100%。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2.社会保障和就业支出（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）行政事业单位养老支出（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）机关事业单位职业年金缴费支出（</w:t>
      </w:r>
      <w:r>
        <w:rPr>
          <w:rFonts w:hint="eastAsia" w:ascii="仿宋" w:hAnsi="仿宋" w:eastAsia="仿宋" w:cs="仿宋"/>
          <w:color w:val="000000"/>
          <w:sz w:val="32"/>
          <w:szCs w:val="32"/>
          <w:lang w:val="en-US" w:eastAsia="zh-CN"/>
        </w:rPr>
        <w:t>06</w:t>
      </w:r>
      <w:r>
        <w:rPr>
          <w:rFonts w:hint="eastAsia" w:ascii="仿宋" w:hAnsi="仿宋" w:eastAsia="仿宋" w:cs="仿宋"/>
          <w:color w:val="000000"/>
          <w:sz w:val="32"/>
          <w:szCs w:val="32"/>
        </w:rPr>
        <w:t>）:支出决算13.38万元，完成预算100%。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3.卫生健康支出（</w:t>
      </w:r>
      <w:r>
        <w:rPr>
          <w:rFonts w:hint="eastAsia" w:ascii="仿宋" w:hAnsi="仿宋" w:eastAsia="仿宋" w:cs="仿宋"/>
          <w:color w:val="000000"/>
          <w:sz w:val="32"/>
          <w:szCs w:val="32"/>
          <w:lang w:val="en-US" w:eastAsia="zh-CN"/>
        </w:rPr>
        <w:t>211</w:t>
      </w:r>
      <w:r>
        <w:rPr>
          <w:rFonts w:hint="eastAsia" w:ascii="仿宋" w:hAnsi="仿宋" w:eastAsia="仿宋" w:cs="仿宋"/>
          <w:color w:val="000000"/>
          <w:sz w:val="32"/>
          <w:szCs w:val="32"/>
        </w:rPr>
        <w:t>）行政事业单位医疗（</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）事业单位医疗（</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）:支出决算31.04万元，完成预算100%。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4.农林水支出（</w:t>
      </w:r>
      <w:r>
        <w:rPr>
          <w:rFonts w:hint="eastAsia" w:ascii="仿宋" w:hAnsi="仿宋" w:eastAsia="仿宋" w:cs="仿宋"/>
          <w:color w:val="000000"/>
          <w:sz w:val="32"/>
          <w:szCs w:val="32"/>
          <w:lang w:val="en-US" w:eastAsia="zh-CN"/>
        </w:rPr>
        <w:t>213</w:t>
      </w:r>
      <w:r>
        <w:rPr>
          <w:rFonts w:hint="eastAsia" w:ascii="仿宋" w:hAnsi="仿宋" w:eastAsia="仿宋" w:cs="仿宋"/>
          <w:color w:val="000000"/>
          <w:sz w:val="32"/>
          <w:szCs w:val="32"/>
        </w:rPr>
        <w:t>）水利（</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）其他水利支出（</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）:支出决算290.56万元，完成预算100%。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5.住房保障支出（</w:t>
      </w:r>
      <w:r>
        <w:rPr>
          <w:rFonts w:hint="eastAsia" w:ascii="仿宋" w:hAnsi="仿宋" w:eastAsia="仿宋" w:cs="仿宋"/>
          <w:color w:val="000000"/>
          <w:sz w:val="32"/>
          <w:szCs w:val="32"/>
          <w:lang w:val="en-US" w:eastAsia="zh-CN"/>
        </w:rPr>
        <w:t>221</w:t>
      </w:r>
      <w:r>
        <w:rPr>
          <w:rFonts w:hint="eastAsia" w:ascii="仿宋" w:hAnsi="仿宋" w:eastAsia="仿宋" w:cs="仿宋"/>
          <w:color w:val="000000"/>
          <w:sz w:val="32"/>
          <w:szCs w:val="32"/>
        </w:rPr>
        <w:t>）住房改革支出（</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）住房公积金（</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）:支出决算31.37万元，完成预算100%。</w:t>
      </w:r>
      <w:r>
        <w:rPr>
          <w:rFonts w:hint="eastAsia" w:ascii="仿宋" w:hAnsi="仿宋" w:eastAsia="仿宋" w:cs="仿宋"/>
          <w:color w:val="000000"/>
          <w:sz w:val="32"/>
          <w:szCs w:val="32"/>
          <w:lang w:val="en-US" w:eastAsia="zh-CN"/>
        </w:rPr>
        <w:t>决算数与预算数持平。</w:t>
      </w:r>
    </w:p>
    <w:p w14:paraId="5F1461C4">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416.06万元，其中：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401.81万元，主要包括：基本工资82.48万元、津贴补贴14.56万元、绩效工资164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万元、机关事业单位基本养老保险缴费49.7</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万元、职业年金缴费13.38万元、职工基本医疗保险缴费31.04万元、其他社会保障缴费2.18万元、住房公积金31.37万元、医疗费4.45万元、生活补助8.64万元。</w:t>
      </w:r>
    </w:p>
    <w:p w14:paraId="39B6CA0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14.25万元，主要包括：办公费5</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万元、邮电费1.2</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万元、差旅费7.9</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万元、公务接待费0.15万元。</w:t>
      </w:r>
    </w:p>
    <w:p w14:paraId="151B178E">
      <w:pPr>
        <w:pStyle w:val="6"/>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52" w:name="_Toc6614"/>
      <w:bookmarkStart w:id="53" w:name="_Toc111208505"/>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14:paraId="613FE387">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0.15万元，完成预算100%，较上年度增加0.15万元，增长100%。</w:t>
      </w:r>
      <w:bookmarkStart w:id="56" w:name="_Toc15377217"/>
      <w:r>
        <w:rPr>
          <w:rFonts w:hint="eastAsia" w:ascii="仿宋" w:hAnsi="仿宋" w:eastAsia="仿宋" w:cs="仿宋"/>
          <w:color w:val="000000"/>
          <w:sz w:val="32"/>
          <w:u w:color="auto"/>
          <w:lang w:val="en-US" w:eastAsia="zh-CN"/>
        </w:rPr>
        <w:t>增长的原因是：本年有公务接待活动。</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0.15万元，因公出国（境）费支出决算0万元，占0%；公务用车购置及运行维护费支出决算0万元，占0%；公务接待费支出决算0.15万元，占100%。具体情况如下：</w:t>
      </w:r>
    </w:p>
    <w:p w14:paraId="35A33F8D">
      <w:pPr>
        <w:pStyle w:val="8"/>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3001645" cy="1872615"/>
            <wp:effectExtent l="4445" t="4445" r="22860" b="88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 xml:space="preserve">万元,完成预算100%。全年安排因公出国（境）团组0次，出国（境）0人。因公出国（境）支出决算比2023年增加0万元，增长0%。 </w:t>
      </w:r>
    </w:p>
    <w:p w14:paraId="327BF98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0</w:t>
      </w:r>
      <w:r>
        <w:rPr>
          <w:rFonts w:ascii="仿宋" w:hAnsi="仿宋" w:eastAsia="仿宋" w:cs="仿宋"/>
          <w:color w:val="000000"/>
          <w:sz w:val="32"/>
          <w:u w:color="auto"/>
        </w:rPr>
        <w:t>万元,完成预算0%。公务用车购置及运行维护费支出决算比2023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w:t>
      </w:r>
      <w:r>
        <w:rPr>
          <w:rFonts w:ascii="仿宋" w:hAnsi="仿宋" w:eastAsia="仿宋" w:cs="仿宋"/>
          <w:color w:val="000000"/>
          <w:sz w:val="32"/>
          <w:u w:color="auto"/>
        </w:rPr>
        <w:t xml:space="preserve">万元，增长0%。 </w:t>
      </w:r>
    </w:p>
    <w:p w14:paraId="7D2B639A">
      <w:p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 w:hAnsi="仿宋" w:eastAsia="仿宋" w:cs="仿宋"/>
          <w:color w:val="000000"/>
          <w:sz w:val="32"/>
          <w:szCs w:val="32"/>
          <w:highlight w:val="none"/>
        </w:rPr>
        <w:t>0</w:t>
      </w:r>
      <w:r>
        <w:rPr>
          <w:rFonts w:ascii="仿宋" w:hAnsi="仿宋" w:eastAsia="仿宋" w:cs="仿宋"/>
          <w:color w:val="000000"/>
          <w:sz w:val="32"/>
          <w:highlight w:val="none"/>
          <w:u w:color="auto"/>
        </w:rPr>
        <w:t>万元。全年按规定更新购置公务用车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万元。截至</w:t>
      </w:r>
      <w:r>
        <w:rPr>
          <w:rFonts w:ascii="仿宋" w:hAnsi="仿宋" w:eastAsia="仿宋" w:cs="仿宋"/>
          <w:color w:val="000000"/>
          <w:sz w:val="32"/>
          <w:highlight w:val="none"/>
          <w:u w:color="auto"/>
        </w:rPr>
        <w:t>2024年12月</w:t>
      </w:r>
      <w:r>
        <w:rPr>
          <w:rFonts w:hint="eastAsia" w:ascii="仿宋" w:hAnsi="仿宋" w:eastAsia="仿宋" w:cs="仿宋"/>
          <w:color w:val="000000"/>
          <w:sz w:val="32"/>
          <w:szCs w:val="32"/>
          <w:highlight w:val="none"/>
          <w:lang w:val="en-US" w:eastAsia="zh-CN"/>
        </w:rPr>
        <w:t>31日</w:t>
      </w:r>
      <w:r>
        <w:rPr>
          <w:rFonts w:hint="eastAsia" w:ascii="仿宋" w:hAnsi="仿宋" w:eastAsia="仿宋" w:cs="仿宋"/>
          <w:color w:val="000000"/>
          <w:sz w:val="32"/>
          <w:szCs w:val="32"/>
          <w:highlight w:val="none"/>
        </w:rPr>
        <w:t>，单位共有公务用车</w:t>
      </w:r>
      <w:r>
        <w:rPr>
          <w:rFonts w:ascii="仿宋" w:hAnsi="仿宋" w:eastAsia="仿宋" w:cs="仿宋"/>
          <w:color w:val="000000"/>
          <w:sz w:val="32"/>
          <w:highlight w:val="none"/>
          <w:u w:color="auto"/>
        </w:rPr>
        <w:t>0辆，其中：轿车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0</w:t>
      </w:r>
      <w:r>
        <w:rPr>
          <w:rFonts w:ascii="仿宋" w:hAnsi="仿宋" w:eastAsia="仿宋" w:cs="仿宋"/>
          <w:color w:val="000000"/>
          <w:sz w:val="32"/>
          <w:u w:color="auto"/>
        </w:rPr>
        <w:t xml:space="preserve">万元。 </w:t>
      </w:r>
    </w:p>
    <w:p w14:paraId="6ACEBA3B">
      <w:pPr>
        <w:numPr>
          <w:ilvl w:val="0"/>
          <w:numId w:val="1"/>
        </w:num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公务接待费支出</w:t>
      </w:r>
      <w:r>
        <w:rPr>
          <w:rFonts w:hint="eastAsia" w:ascii="仿宋" w:hAnsi="仿宋" w:eastAsia="仿宋" w:cs="仿宋"/>
          <w:color w:val="000000"/>
          <w:sz w:val="32"/>
          <w:szCs w:val="32"/>
        </w:rPr>
        <w:t>0.15</w:t>
      </w:r>
      <w:r>
        <w:rPr>
          <w:rFonts w:ascii="仿宋" w:hAnsi="仿宋" w:eastAsia="仿宋" w:cs="仿宋"/>
          <w:color w:val="000000"/>
          <w:sz w:val="32"/>
          <w:u w:color="auto"/>
        </w:rPr>
        <w:t>万元，完成预算100%。公务接待费支出决算比2023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增加0.15</w:t>
      </w:r>
      <w:r>
        <w:rPr>
          <w:rFonts w:ascii="仿宋" w:hAnsi="仿宋" w:eastAsia="仿宋" w:cs="仿宋"/>
          <w:color w:val="000000"/>
          <w:sz w:val="32"/>
          <w:u w:color="auto"/>
        </w:rPr>
        <w:t>万元，增长100%。</w:t>
      </w:r>
      <w:bookmarkStart w:id="57" w:name="_Toc15377218"/>
      <w:r>
        <w:rPr>
          <w:rFonts w:hint="eastAsia" w:ascii="仿宋" w:hAnsi="仿宋" w:eastAsia="仿宋" w:cs="仿宋"/>
          <w:color w:val="000000"/>
          <w:sz w:val="32"/>
          <w:szCs w:val="32"/>
        </w:rPr>
        <w:t>主要原因是2024年发生4批24人次的公务接待。</w:t>
      </w:r>
      <w:r>
        <w:rPr>
          <w:rFonts w:hint="eastAsia" w:ascii="仿宋" w:hAnsi="仿宋" w:eastAsia="仿宋" w:cs="仿宋"/>
          <w:color w:val="000000"/>
          <w:sz w:val="32"/>
          <w:szCs w:val="32"/>
          <w:lang w:val="en-US" w:eastAsia="zh-CN"/>
        </w:rPr>
        <w:t xml:space="preserve"> </w:t>
      </w:r>
    </w:p>
    <w:p w14:paraId="7F3EE578">
      <w:pPr>
        <w:numPr>
          <w:ilvl w:val="0"/>
          <w:numId w:val="0"/>
        </w:numPr>
        <w:spacing w:line="600"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0.15</w:t>
      </w:r>
      <w:r>
        <w:rPr>
          <w:rFonts w:ascii="仿宋" w:hAnsi="仿宋" w:eastAsia="仿宋" w:cs="仿宋"/>
          <w:color w:val="000000"/>
          <w:sz w:val="32"/>
          <w:u w:color="auto"/>
        </w:rPr>
        <w:t>万元，主要用于执行公务、开展业务活动开支的交通费、住宿费、用餐费等。国内公务接待4批次，24人次，共计支出0.15万元。</w:t>
      </w:r>
    </w:p>
    <w:p w14:paraId="662C5F0F">
      <w:pPr>
        <w:pStyle w:val="8"/>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万元，外事接待0批次，0人次（不包括陪同人员），共计支出0万元。</w:t>
      </w:r>
    </w:p>
    <w:p w14:paraId="5DA11626">
      <w:pPr>
        <w:pStyle w:val="6"/>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0万元</w:t>
      </w:r>
      <w:bookmarkStart w:id="60" w:name="_Toc15377219"/>
      <w:r>
        <w:rPr>
          <w:rFonts w:hint="eastAsia" w:ascii="仿宋" w:hAnsi="仿宋" w:eastAsia="仿宋" w:cs="仿宋"/>
          <w:color w:val="000000"/>
          <w:sz w:val="32"/>
          <w:szCs w:val="32"/>
        </w:rPr>
        <w:t>。</w:t>
      </w:r>
      <w:r>
        <w:rPr>
          <w:rFonts w:ascii="仿宋" w:hAnsi="仿宋" w:eastAsia="仿宋" w:cs="仿宋"/>
          <w:color w:val="000000"/>
          <w:sz w:val="32"/>
          <w:u w:color="auto"/>
        </w:rPr>
        <w:t xml:space="preserve"> </w:t>
      </w:r>
    </w:p>
    <w:p w14:paraId="79E1D034">
      <w:pPr>
        <w:pStyle w:val="6"/>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3A5EDB82">
      <w:pPr>
        <w:pageBreakBefore w:val="0"/>
        <w:widowControl w:val="0"/>
        <w:kinsoku/>
        <w:wordWrap/>
        <w:overflowPunct/>
        <w:topLinePunct w:val="0"/>
        <w:autoSpaceDE/>
        <w:autoSpaceDN/>
        <w:bidi w:val="0"/>
        <w:adjustRightInd/>
        <w:snapToGrid/>
        <w:spacing w:line="576" w:lineRule="exact"/>
        <w:ind w:firstLine="640"/>
        <w:textAlignment w:val="auto"/>
        <w:rPr>
          <w:rFonts w:hint="eastAsia"/>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仿宋" w:hAnsi="仿宋" w:eastAsia="仿宋" w:cs="仿宋"/>
          <w:color w:val="000000"/>
          <w:sz w:val="32"/>
          <w:szCs w:val="32"/>
        </w:rPr>
        <w:t>。</w:t>
      </w:r>
      <w:r>
        <w:rPr>
          <w:rFonts w:ascii="仿宋" w:hAnsi="仿宋" w:eastAsia="仿宋" w:cs="仿宋"/>
          <w:color w:val="000000"/>
          <w:sz w:val="32"/>
          <w:u w:color="auto"/>
        </w:rPr>
        <w:t xml:space="preserve"> </w:t>
      </w:r>
    </w:p>
    <w:p w14:paraId="76FD0E14">
      <w:pPr>
        <w:pStyle w:val="6"/>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63" w:name="_Toc18455"/>
      <w:bookmarkStart w:id="64" w:name="_Toc111208508"/>
      <w:bookmarkStart w:id="65" w:name="_Toc15377221"/>
      <w:r>
        <w:rPr>
          <w:rFonts w:hint="eastAsia" w:ascii="黑体" w:hAnsi="黑体" w:eastAsia="黑体" w:cs="黑体"/>
          <w:b w:val="0"/>
          <w:bCs/>
          <w:color w:val="000000"/>
        </w:rPr>
        <w:t>十、其他重要事项的情况说明</w:t>
      </w:r>
      <w:bookmarkEnd w:id="63"/>
      <w:bookmarkEnd w:id="64"/>
      <w:bookmarkEnd w:id="65"/>
    </w:p>
    <w:p w14:paraId="019CBB22">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 xml:space="preserve">茂县水务服务中心机关运行经费支出0万元。 </w:t>
      </w:r>
    </w:p>
    <w:p w14:paraId="66094D57">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茂县水务服务中心政府采购支出总额0万元，其中：政府采购货物支出0万元、政府采购工程支出0万元、政府采购服务支出0万元。授予中小企业合同金额0万元，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0万元，占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4EF50863">
      <w:pPr>
        <w:spacing w:line="600" w:lineRule="exact"/>
        <w:ind w:firstLine="640"/>
        <w:rPr>
          <w:rFonts w:hint="eastAsia" w:ascii="楷体" w:hAnsi="楷体" w:eastAsia="楷体" w:cs="楷体"/>
          <w:b/>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2024年12月31日，茂县水务服务中心共有车辆0辆，其中：主要领导干部用车0辆、机要通信用车0辆、应急保障用车0辆、其他用车0辆。单价100万元以上专用设备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18F029C8">
      <w:pPr>
        <w:pStyle w:val="8"/>
        <w:rPr>
          <w:rFonts w:hint="eastAsia" w:ascii="仿宋" w:hAnsi="仿宋" w:eastAsia="仿宋" w:cs="仿宋"/>
          <w:sz w:val="32"/>
          <w:szCs w:val="32"/>
        </w:rPr>
      </w:pPr>
      <w:r>
        <w:rPr>
          <w:rFonts w:hint="eastAsia" w:ascii="仿宋" w:hAnsi="仿宋" w:eastAsia="仿宋" w:cs="仿宋"/>
          <w:sz w:val="32"/>
          <w:szCs w:val="32"/>
        </w:rPr>
        <w:t xml:space="preserve"> </w:t>
      </w:r>
    </w:p>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5"/>
        <w:jc w:val="center"/>
        <w:rPr>
          <w:rFonts w:hint="eastAsia" w:ascii="黑体" w:hAnsi="黑体" w:eastAsia="黑体" w:cs="黑体"/>
          <w:b w:val="0"/>
          <w:bCs w:val="0"/>
        </w:rPr>
      </w:pPr>
      <w:bookmarkStart w:id="69" w:name="_Toc111208509"/>
      <w:bookmarkStart w:id="70" w:name="_Toc15377225"/>
      <w:bookmarkStart w:id="71" w:name="_Toc18122"/>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12.农林水支出（类）水利（款）其他水利支出（项）:反映除上述项目以外其他用于水利方面的支出。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13.住房保障支出（类）住房改革支出（款）住房公积金（项）:反映行政事业单位按人力资源和社会保障部、财政部规定的基本工资和津贴补贴以及规定比例为职工缴纳的住房公积金。</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14</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15</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16</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17</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18</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19</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14:paraId="06638D99">
      <w:pPr>
        <w:pStyle w:val="5"/>
        <w:jc w:val="center"/>
        <w:rPr>
          <w:rFonts w:hint="eastAsia" w:ascii="黑体" w:hAnsi="黑体" w:eastAsia="黑体" w:cs="黑体"/>
          <w:b w:val="0"/>
          <w:bCs w:val="0"/>
        </w:rPr>
      </w:pPr>
      <w:bookmarkStart w:id="72" w:name="_Toc25539"/>
      <w:bookmarkStart w:id="73" w:name="_Toc111208510"/>
      <w:r>
        <w:rPr>
          <w:rFonts w:hint="eastAsia" w:ascii="黑体" w:hAnsi="黑体" w:eastAsia="黑体" w:cs="黑体"/>
          <w:b w:val="0"/>
          <w:bCs w:val="0"/>
        </w:rPr>
        <w:t>第四部分 附件</w:t>
      </w:r>
      <w:bookmarkEnd w:id="72"/>
      <w:bookmarkEnd w:id="73"/>
    </w:p>
    <w:p w14:paraId="6C0AB0B1">
      <w:pPr>
        <w:pStyle w:val="8"/>
        <w:rPr>
          <w:rFonts w:hint="eastAsia" w:ascii="仿宋" w:hAnsi="仿宋" w:eastAsia="仿宋" w:cs="仿宋"/>
          <w:sz w:val="32"/>
          <w:szCs w:val="32"/>
        </w:rPr>
      </w:pPr>
      <w:r>
        <w:rPr>
          <w:rFonts w:hint="eastAsia" w:ascii="仿宋" w:hAnsi="仿宋" w:eastAsia="仿宋" w:cs="仿宋"/>
          <w:sz w:val="32"/>
          <w:szCs w:val="32"/>
        </w:rPr>
        <w:t xml:space="preserve"> </w:t>
      </w:r>
    </w:p>
    <w:p w14:paraId="39407B2D">
      <w:pPr>
        <w:pStyle w:val="6"/>
        <w:ind w:firstLine="640" w:firstLineChars="200"/>
        <w:rPr>
          <w:rFonts w:hint="eastAsia" w:ascii="仿宋" w:hAnsi="仿宋" w:eastAsia="仿宋" w:cs="仿宋"/>
          <w:b w:val="0"/>
          <w:bCs/>
          <w:color w:val="000000"/>
        </w:rPr>
      </w:pPr>
      <w:bookmarkStart w:id="74" w:name="_Toc16431"/>
      <w:r>
        <w:rPr>
          <w:rFonts w:hint="eastAsia" w:ascii="仿宋" w:hAnsi="仿宋" w:eastAsia="仿宋" w:cs="仿宋"/>
          <w:b w:val="0"/>
          <w:bCs/>
          <w:color w:val="000000"/>
        </w:rPr>
        <w:t>一、收入支出决算总表</w:t>
      </w:r>
      <w:bookmarkEnd w:id="74"/>
    </w:p>
    <w:p w14:paraId="2B7DC4AC">
      <w:pPr>
        <w:pStyle w:val="6"/>
        <w:ind w:firstLine="640" w:firstLineChars="200"/>
        <w:rPr>
          <w:rFonts w:hint="eastAsia" w:ascii="仿宋" w:hAnsi="仿宋" w:eastAsia="仿宋" w:cs="仿宋"/>
          <w:b w:val="0"/>
          <w:bCs/>
          <w:color w:val="000000"/>
        </w:rPr>
      </w:pPr>
      <w:bookmarkStart w:id="75" w:name="_Toc25389"/>
      <w:r>
        <w:rPr>
          <w:rFonts w:hint="eastAsia" w:ascii="仿宋" w:hAnsi="仿宋" w:eastAsia="仿宋" w:cs="仿宋"/>
          <w:b w:val="0"/>
          <w:bCs/>
          <w:color w:val="000000"/>
        </w:rPr>
        <w:t>二、收入决算表</w:t>
      </w:r>
      <w:bookmarkEnd w:id="75"/>
    </w:p>
    <w:p w14:paraId="7858E927">
      <w:pPr>
        <w:pStyle w:val="6"/>
        <w:ind w:firstLine="640" w:firstLineChars="200"/>
        <w:rPr>
          <w:rFonts w:hint="eastAsia" w:ascii="仿宋" w:hAnsi="仿宋" w:eastAsia="仿宋" w:cs="仿宋"/>
          <w:b w:val="0"/>
          <w:bCs/>
          <w:color w:val="000000"/>
        </w:rPr>
      </w:pPr>
      <w:bookmarkStart w:id="76" w:name="_Toc10450"/>
      <w:r>
        <w:rPr>
          <w:rFonts w:hint="eastAsia" w:ascii="仿宋" w:hAnsi="仿宋" w:eastAsia="仿宋" w:cs="仿宋"/>
          <w:b w:val="0"/>
          <w:bCs/>
          <w:color w:val="000000"/>
        </w:rPr>
        <w:t>三、支出决算表</w:t>
      </w:r>
      <w:bookmarkEnd w:id="76"/>
    </w:p>
    <w:p w14:paraId="31EC7FA5">
      <w:pPr>
        <w:pStyle w:val="6"/>
        <w:ind w:firstLine="640" w:firstLineChars="200"/>
        <w:rPr>
          <w:rFonts w:hint="eastAsia" w:ascii="仿宋" w:hAnsi="仿宋" w:eastAsia="仿宋" w:cs="仿宋"/>
          <w:b w:val="0"/>
          <w:bCs/>
          <w:color w:val="000000"/>
        </w:rPr>
      </w:pPr>
      <w:bookmarkStart w:id="77" w:name="_Toc15415"/>
      <w:r>
        <w:rPr>
          <w:rFonts w:hint="eastAsia" w:ascii="仿宋" w:hAnsi="仿宋" w:eastAsia="仿宋" w:cs="仿宋"/>
          <w:b w:val="0"/>
          <w:bCs/>
          <w:color w:val="000000"/>
        </w:rPr>
        <w:t>四、财政拨款收入支出决算总表</w:t>
      </w:r>
      <w:bookmarkEnd w:id="77"/>
    </w:p>
    <w:p w14:paraId="4A2F30BB">
      <w:pPr>
        <w:pStyle w:val="6"/>
        <w:ind w:firstLine="640" w:firstLineChars="200"/>
        <w:rPr>
          <w:rFonts w:hint="eastAsia" w:ascii="仿宋" w:hAnsi="仿宋" w:eastAsia="仿宋" w:cs="仿宋"/>
          <w:b w:val="0"/>
          <w:bCs/>
          <w:color w:val="000000"/>
        </w:rPr>
      </w:pPr>
      <w:bookmarkStart w:id="78" w:name="_Toc17530"/>
      <w:r>
        <w:rPr>
          <w:rFonts w:hint="eastAsia" w:ascii="仿宋" w:hAnsi="仿宋" w:eastAsia="仿宋" w:cs="仿宋"/>
          <w:b w:val="0"/>
          <w:bCs/>
          <w:color w:val="000000"/>
        </w:rPr>
        <w:t>五、财政拨款支出决算明细表</w:t>
      </w:r>
      <w:bookmarkEnd w:id="78"/>
    </w:p>
    <w:p w14:paraId="712C880D">
      <w:pPr>
        <w:pStyle w:val="6"/>
        <w:ind w:firstLine="640" w:firstLineChars="200"/>
        <w:rPr>
          <w:rFonts w:hint="eastAsia" w:ascii="仿宋" w:hAnsi="仿宋" w:eastAsia="仿宋" w:cs="仿宋"/>
          <w:b w:val="0"/>
          <w:bCs/>
          <w:color w:val="000000"/>
        </w:rPr>
      </w:pPr>
      <w:bookmarkStart w:id="79" w:name="_Toc22032"/>
      <w:r>
        <w:rPr>
          <w:rFonts w:hint="eastAsia" w:ascii="仿宋" w:hAnsi="仿宋" w:eastAsia="仿宋" w:cs="仿宋"/>
          <w:b w:val="0"/>
          <w:bCs/>
          <w:color w:val="000000"/>
        </w:rPr>
        <w:t>六、一般公共预算财政拨款支出决算表</w:t>
      </w:r>
      <w:bookmarkEnd w:id="79"/>
    </w:p>
    <w:p w14:paraId="51429EF5">
      <w:pPr>
        <w:pStyle w:val="6"/>
        <w:ind w:firstLine="640" w:firstLineChars="200"/>
        <w:rPr>
          <w:rFonts w:hint="eastAsia" w:ascii="仿宋" w:hAnsi="仿宋" w:eastAsia="仿宋" w:cs="仿宋"/>
          <w:b w:val="0"/>
          <w:bCs/>
          <w:color w:val="000000"/>
        </w:rPr>
      </w:pPr>
      <w:bookmarkStart w:id="80" w:name="_Toc3364"/>
      <w:r>
        <w:rPr>
          <w:rFonts w:hint="eastAsia" w:ascii="仿宋" w:hAnsi="仿宋" w:eastAsia="仿宋" w:cs="仿宋"/>
          <w:b w:val="0"/>
          <w:bCs/>
          <w:color w:val="000000"/>
        </w:rPr>
        <w:t>七、一般公共预算财政拨款支出决算明细表</w:t>
      </w:r>
      <w:bookmarkEnd w:id="80"/>
    </w:p>
    <w:p w14:paraId="672B9B4D">
      <w:pPr>
        <w:pStyle w:val="6"/>
        <w:ind w:firstLine="640" w:firstLineChars="200"/>
        <w:rPr>
          <w:rFonts w:hint="eastAsia" w:ascii="仿宋" w:hAnsi="仿宋" w:eastAsia="仿宋" w:cs="仿宋"/>
          <w:b w:val="0"/>
          <w:bCs/>
          <w:color w:val="000000"/>
        </w:rPr>
      </w:pPr>
      <w:bookmarkStart w:id="81" w:name="_Toc9110"/>
      <w:r>
        <w:rPr>
          <w:rFonts w:hint="eastAsia" w:ascii="仿宋" w:hAnsi="仿宋" w:eastAsia="仿宋" w:cs="仿宋"/>
          <w:b w:val="0"/>
          <w:bCs/>
          <w:color w:val="000000"/>
        </w:rPr>
        <w:t>八、一般公共预算财政拨款基本支出决算表</w:t>
      </w:r>
      <w:bookmarkEnd w:id="81"/>
    </w:p>
    <w:p w14:paraId="2002A273">
      <w:pPr>
        <w:pStyle w:val="6"/>
        <w:ind w:firstLine="640" w:firstLineChars="200"/>
        <w:rPr>
          <w:rFonts w:hint="eastAsia" w:ascii="仿宋" w:hAnsi="仿宋" w:eastAsia="仿宋" w:cs="仿宋"/>
          <w:b w:val="0"/>
          <w:bCs/>
          <w:color w:val="000000"/>
        </w:rPr>
      </w:pPr>
      <w:bookmarkStart w:id="82" w:name="_Toc28582"/>
      <w:r>
        <w:rPr>
          <w:rFonts w:hint="eastAsia" w:ascii="仿宋" w:hAnsi="仿宋" w:eastAsia="仿宋" w:cs="仿宋"/>
          <w:b w:val="0"/>
          <w:bCs/>
          <w:color w:val="000000"/>
        </w:rPr>
        <w:t>九、一般公共预算财政拨款项目支出决算表</w:t>
      </w:r>
      <w:bookmarkEnd w:id="82"/>
    </w:p>
    <w:p w14:paraId="0A36D281">
      <w:pPr>
        <w:pStyle w:val="6"/>
        <w:ind w:firstLine="640" w:firstLineChars="200"/>
        <w:rPr>
          <w:rFonts w:hint="eastAsia" w:ascii="仿宋" w:hAnsi="仿宋" w:eastAsia="仿宋" w:cs="仿宋"/>
          <w:b w:val="0"/>
          <w:bCs/>
          <w:color w:val="000000"/>
        </w:rPr>
      </w:pPr>
      <w:bookmarkStart w:id="83" w:name="_Toc22001"/>
      <w:r>
        <w:rPr>
          <w:rFonts w:hint="eastAsia" w:ascii="仿宋" w:hAnsi="仿宋" w:eastAsia="仿宋" w:cs="仿宋"/>
          <w:b w:val="0"/>
          <w:bCs/>
          <w:color w:val="000000"/>
        </w:rPr>
        <w:t>十、政府性基金预算财政拨款收入支出决算表</w:t>
      </w:r>
      <w:bookmarkEnd w:id="83"/>
    </w:p>
    <w:p w14:paraId="0BD12BAB">
      <w:pPr>
        <w:pStyle w:val="6"/>
        <w:ind w:firstLine="640" w:firstLineChars="200"/>
        <w:rPr>
          <w:rFonts w:hint="eastAsia" w:ascii="仿宋" w:hAnsi="仿宋" w:eastAsia="仿宋" w:cs="仿宋"/>
          <w:b w:val="0"/>
          <w:bCs/>
          <w:color w:val="000000"/>
        </w:rPr>
      </w:pPr>
      <w:bookmarkStart w:id="84" w:name="_Toc6538"/>
      <w:r>
        <w:rPr>
          <w:rFonts w:hint="eastAsia" w:ascii="仿宋" w:hAnsi="仿宋" w:eastAsia="仿宋" w:cs="仿宋"/>
          <w:b w:val="0"/>
          <w:bCs/>
          <w:color w:val="000000"/>
        </w:rPr>
        <w:t>十一、国有资本经营预算财政拨款收入支出决算表</w:t>
      </w:r>
      <w:bookmarkEnd w:id="84"/>
    </w:p>
    <w:p w14:paraId="124CF2DF">
      <w:pPr>
        <w:pStyle w:val="6"/>
        <w:ind w:firstLine="640" w:firstLineChars="200"/>
        <w:rPr>
          <w:rFonts w:hint="eastAsia" w:ascii="仿宋" w:hAnsi="仿宋" w:eastAsia="仿宋" w:cs="仿宋"/>
          <w:b w:val="0"/>
          <w:bCs/>
          <w:color w:val="000000"/>
        </w:rPr>
      </w:pPr>
      <w:bookmarkStart w:id="85" w:name="_Toc10625"/>
      <w:r>
        <w:rPr>
          <w:rFonts w:hint="eastAsia" w:ascii="仿宋" w:hAnsi="仿宋" w:eastAsia="仿宋" w:cs="仿宋"/>
          <w:b w:val="0"/>
          <w:bCs/>
          <w:color w:val="000000"/>
        </w:rPr>
        <w:t>十二、国有资本经营预算财政拨款支出决算表</w:t>
      </w:r>
      <w:bookmarkEnd w:id="85"/>
    </w:p>
    <w:p w14:paraId="39A925A5">
      <w:pPr>
        <w:pStyle w:val="6"/>
        <w:ind w:firstLine="640" w:firstLineChars="200"/>
        <w:rPr>
          <w:rFonts w:hint="eastAsia" w:ascii="仿宋" w:hAnsi="仿宋" w:eastAsia="仿宋" w:cs="仿宋"/>
          <w:b w:val="0"/>
          <w:bCs/>
          <w:color w:val="000000"/>
        </w:rPr>
      </w:pPr>
      <w:bookmarkStart w:id="86" w:name="_Toc28356"/>
      <w:r>
        <w:rPr>
          <w:rFonts w:hint="eastAsia" w:ascii="仿宋" w:hAnsi="仿宋" w:eastAsia="仿宋" w:cs="仿宋"/>
          <w:b w:val="0"/>
          <w:bCs/>
          <w:color w:val="000000"/>
        </w:rPr>
        <w:t>十三、财政拨款“三公”经费支出决算表</w:t>
      </w:r>
      <w:bookmarkEnd w:id="86"/>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14605A-5032-4439-9282-1030C6FC9F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9755B8F2-75A3-48AB-8263-33B1FE090DCB}"/>
  </w:font>
  <w:font w:name="仿宋">
    <w:panose1 w:val="02010609060101010101"/>
    <w:charset w:val="86"/>
    <w:family w:val="modern"/>
    <w:pitch w:val="default"/>
    <w:sig w:usb0="800002BF" w:usb1="38CF7CFA" w:usb2="00000016" w:usb3="00000000" w:csb0="00040001" w:csb1="00000000"/>
    <w:embedRegular r:id="rId3" w:fontKey="{0A89D458-1E9F-456C-A0CF-8F5953DA053F}"/>
  </w:font>
  <w:font w:name="思源黑体 CN Normal">
    <w:altName w:val="黑体"/>
    <w:panose1 w:val="020B0400000000000000"/>
    <w:charset w:val="86"/>
    <w:family w:val="auto"/>
    <w:pitch w:val="default"/>
    <w:sig w:usb0="00000000" w:usb1="00000000" w:usb2="00000016" w:usb3="00000000" w:csb0="60060107" w:csb1="00000000"/>
    <w:embedRegular r:id="rId4" w:fontKey="{3D97DCDC-7AE2-473F-9C95-076028DB89C3}"/>
  </w:font>
  <w:font w:name="方正小标宋简体">
    <w:panose1 w:val="03000509000000000000"/>
    <w:charset w:val="86"/>
    <w:family w:val="auto"/>
    <w:pitch w:val="default"/>
    <w:sig w:usb0="00000001" w:usb1="080E0000" w:usb2="00000000" w:usb3="00000000" w:csb0="00040000" w:csb1="00000000"/>
    <w:embedRegular r:id="rId5" w:fontKey="{AE9EA2D9-1D87-4B6A-9C81-D3D8A09FEE26}"/>
  </w:font>
  <w:font w:name="楷体">
    <w:panose1 w:val="02010609060101010101"/>
    <w:charset w:val="86"/>
    <w:family w:val="auto"/>
    <w:pitch w:val="default"/>
    <w:sig w:usb0="800002BF" w:usb1="38CF7CFA" w:usb2="00000016" w:usb3="00000000" w:csb0="00040001" w:csb1="00000000"/>
    <w:embedRegular r:id="rId6" w:fontKey="{60F6AA33-CE31-4D11-ADAD-1C52260514C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3"/>
      <w:jc w:val="center"/>
    </w:pPr>
  </w:p>
  <w:p w14:paraId="4009213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v:textbox>
            </v:shape>
          </w:pict>
        </mc:Fallback>
      </mc:AlternateContent>
    </w:r>
  </w:p>
  <w:p w14:paraId="6AA3FF4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DBD740"/>
    <w:multiLevelType w:val="singleLevel"/>
    <w:tmpl w:val="29DBD740"/>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27A0A02"/>
    <w:rsid w:val="037A757D"/>
    <w:rsid w:val="03F359AA"/>
    <w:rsid w:val="043A3897"/>
    <w:rsid w:val="045647CC"/>
    <w:rsid w:val="0463543B"/>
    <w:rsid w:val="047F157A"/>
    <w:rsid w:val="048D6B52"/>
    <w:rsid w:val="04A56E6E"/>
    <w:rsid w:val="04D45254"/>
    <w:rsid w:val="04D550AF"/>
    <w:rsid w:val="051A6F96"/>
    <w:rsid w:val="05C25E8C"/>
    <w:rsid w:val="06951176"/>
    <w:rsid w:val="07001BE1"/>
    <w:rsid w:val="07267DE7"/>
    <w:rsid w:val="088F55D5"/>
    <w:rsid w:val="089C4B49"/>
    <w:rsid w:val="09081517"/>
    <w:rsid w:val="091B747D"/>
    <w:rsid w:val="092E626A"/>
    <w:rsid w:val="099E2AC5"/>
    <w:rsid w:val="09A572B6"/>
    <w:rsid w:val="0A19737C"/>
    <w:rsid w:val="0B7218AA"/>
    <w:rsid w:val="0B99373B"/>
    <w:rsid w:val="0BA37CB5"/>
    <w:rsid w:val="0D0429D6"/>
    <w:rsid w:val="0D093B48"/>
    <w:rsid w:val="0D322E51"/>
    <w:rsid w:val="0D6C338E"/>
    <w:rsid w:val="0D9A6E96"/>
    <w:rsid w:val="0DB37F58"/>
    <w:rsid w:val="0DB742A8"/>
    <w:rsid w:val="0E6D2010"/>
    <w:rsid w:val="0EC00B7E"/>
    <w:rsid w:val="0F5E6610"/>
    <w:rsid w:val="0FB52B86"/>
    <w:rsid w:val="0FDB629D"/>
    <w:rsid w:val="0FFD0B0D"/>
    <w:rsid w:val="103747CF"/>
    <w:rsid w:val="103F4D68"/>
    <w:rsid w:val="10C055FF"/>
    <w:rsid w:val="111A6BEA"/>
    <w:rsid w:val="116A6D7C"/>
    <w:rsid w:val="11761AF6"/>
    <w:rsid w:val="11851C0B"/>
    <w:rsid w:val="11D56DF6"/>
    <w:rsid w:val="11ED6591"/>
    <w:rsid w:val="11F85D8C"/>
    <w:rsid w:val="13367661"/>
    <w:rsid w:val="136F089E"/>
    <w:rsid w:val="13D81ACD"/>
    <w:rsid w:val="148B307B"/>
    <w:rsid w:val="14D728AA"/>
    <w:rsid w:val="15F1786F"/>
    <w:rsid w:val="1665477F"/>
    <w:rsid w:val="166F3635"/>
    <w:rsid w:val="16BB723D"/>
    <w:rsid w:val="17283764"/>
    <w:rsid w:val="17BC7656"/>
    <w:rsid w:val="17EA348C"/>
    <w:rsid w:val="1840212F"/>
    <w:rsid w:val="184656CF"/>
    <w:rsid w:val="192F4936"/>
    <w:rsid w:val="193C261A"/>
    <w:rsid w:val="19934117"/>
    <w:rsid w:val="19943114"/>
    <w:rsid w:val="19DE22C0"/>
    <w:rsid w:val="1A3F7692"/>
    <w:rsid w:val="1AB026BC"/>
    <w:rsid w:val="1ABB32B6"/>
    <w:rsid w:val="1AE8166C"/>
    <w:rsid w:val="1B787B60"/>
    <w:rsid w:val="1BF70747"/>
    <w:rsid w:val="1C06153F"/>
    <w:rsid w:val="1C986C96"/>
    <w:rsid w:val="1D7371C3"/>
    <w:rsid w:val="1DDC2BB3"/>
    <w:rsid w:val="1E34479D"/>
    <w:rsid w:val="1EF81F78"/>
    <w:rsid w:val="1F620905"/>
    <w:rsid w:val="1FD12B34"/>
    <w:rsid w:val="201A6AB0"/>
    <w:rsid w:val="202820DF"/>
    <w:rsid w:val="203B66A0"/>
    <w:rsid w:val="206D278F"/>
    <w:rsid w:val="211A679A"/>
    <w:rsid w:val="21253DA0"/>
    <w:rsid w:val="21A94BCD"/>
    <w:rsid w:val="22857975"/>
    <w:rsid w:val="229B128E"/>
    <w:rsid w:val="235D423C"/>
    <w:rsid w:val="23844B7E"/>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71C5A93"/>
    <w:rsid w:val="276F1834"/>
    <w:rsid w:val="27B459F9"/>
    <w:rsid w:val="27C51E91"/>
    <w:rsid w:val="280173B2"/>
    <w:rsid w:val="282F2168"/>
    <w:rsid w:val="28513369"/>
    <w:rsid w:val="28922533"/>
    <w:rsid w:val="28BF6D42"/>
    <w:rsid w:val="28C822A0"/>
    <w:rsid w:val="292E058E"/>
    <w:rsid w:val="29FD04D3"/>
    <w:rsid w:val="2BA708B7"/>
    <w:rsid w:val="2C1E1BB4"/>
    <w:rsid w:val="2CAE1BBE"/>
    <w:rsid w:val="2CCF04B2"/>
    <w:rsid w:val="2D253CB2"/>
    <w:rsid w:val="2DF079DB"/>
    <w:rsid w:val="2E4C04E0"/>
    <w:rsid w:val="2E67588F"/>
    <w:rsid w:val="2E8C3F48"/>
    <w:rsid w:val="2F803D16"/>
    <w:rsid w:val="2FF22B1D"/>
    <w:rsid w:val="30A73497"/>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226F5F"/>
    <w:rsid w:val="39902098"/>
    <w:rsid w:val="39FD5F33"/>
    <w:rsid w:val="3A3A0F35"/>
    <w:rsid w:val="3A4E1148"/>
    <w:rsid w:val="3AF15A98"/>
    <w:rsid w:val="3C74673F"/>
    <w:rsid w:val="3C8D2F9D"/>
    <w:rsid w:val="3CE0510E"/>
    <w:rsid w:val="3D0E3B71"/>
    <w:rsid w:val="3D1927CA"/>
    <w:rsid w:val="3D1E4B3E"/>
    <w:rsid w:val="3D6F2272"/>
    <w:rsid w:val="3D8344ED"/>
    <w:rsid w:val="3DC16794"/>
    <w:rsid w:val="3E03620E"/>
    <w:rsid w:val="3E343C22"/>
    <w:rsid w:val="3F512FA9"/>
    <w:rsid w:val="3F7C601F"/>
    <w:rsid w:val="3FAC4683"/>
    <w:rsid w:val="3FE519A5"/>
    <w:rsid w:val="3FEA5DFB"/>
    <w:rsid w:val="40035B02"/>
    <w:rsid w:val="401C35B7"/>
    <w:rsid w:val="40EA7211"/>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60CB1"/>
    <w:rsid w:val="494C4A06"/>
    <w:rsid w:val="4A113668"/>
    <w:rsid w:val="4A277A41"/>
    <w:rsid w:val="4A4E4EC5"/>
    <w:rsid w:val="4A745623"/>
    <w:rsid w:val="4B187071"/>
    <w:rsid w:val="4B2B2DCB"/>
    <w:rsid w:val="4B6A5BC2"/>
    <w:rsid w:val="4B6D2BD3"/>
    <w:rsid w:val="4C7555EC"/>
    <w:rsid w:val="4D135D42"/>
    <w:rsid w:val="4D846266"/>
    <w:rsid w:val="4D8D78A2"/>
    <w:rsid w:val="4DE65A70"/>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51102E"/>
    <w:rsid w:val="526E48F5"/>
    <w:rsid w:val="52ED6284"/>
    <w:rsid w:val="5322283B"/>
    <w:rsid w:val="532B0C13"/>
    <w:rsid w:val="533D4F08"/>
    <w:rsid w:val="53BA6F17"/>
    <w:rsid w:val="53BE2B80"/>
    <w:rsid w:val="53DD1B8C"/>
    <w:rsid w:val="54136CE6"/>
    <w:rsid w:val="541505F1"/>
    <w:rsid w:val="542061F2"/>
    <w:rsid w:val="542D2749"/>
    <w:rsid w:val="547E308A"/>
    <w:rsid w:val="54992FD0"/>
    <w:rsid w:val="55872E29"/>
    <w:rsid w:val="55923320"/>
    <w:rsid w:val="56D0674C"/>
    <w:rsid w:val="57D23F06"/>
    <w:rsid w:val="58BA52C3"/>
    <w:rsid w:val="58BC5D23"/>
    <w:rsid w:val="59177DCC"/>
    <w:rsid w:val="59E040FC"/>
    <w:rsid w:val="59E11CD3"/>
    <w:rsid w:val="5A5D6FB6"/>
    <w:rsid w:val="5A857BDE"/>
    <w:rsid w:val="5B2A4567"/>
    <w:rsid w:val="5BE202EA"/>
    <w:rsid w:val="5CAD7C22"/>
    <w:rsid w:val="5CE95B0C"/>
    <w:rsid w:val="5CFA7F1D"/>
    <w:rsid w:val="5D577E65"/>
    <w:rsid w:val="5D6F6B2F"/>
    <w:rsid w:val="5E2506F8"/>
    <w:rsid w:val="5E5C4534"/>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10664B"/>
    <w:rsid w:val="69725134"/>
    <w:rsid w:val="6B124BC6"/>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55581F"/>
    <w:rsid w:val="73BE3A62"/>
    <w:rsid w:val="742C11FC"/>
    <w:rsid w:val="746C7E4B"/>
    <w:rsid w:val="750E6C6B"/>
    <w:rsid w:val="755E374E"/>
    <w:rsid w:val="75884CEA"/>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3B1EE5"/>
    <w:rsid w:val="7B8F71DF"/>
    <w:rsid w:val="7C1568F9"/>
    <w:rsid w:val="7CB2612E"/>
    <w:rsid w:val="7CC25607"/>
    <w:rsid w:val="7DB73780"/>
    <w:rsid w:val="7DCF5188"/>
    <w:rsid w:val="7DE859ED"/>
    <w:rsid w:val="7E4C610E"/>
    <w:rsid w:val="7ECA59B1"/>
    <w:rsid w:val="7F09108F"/>
    <w:rsid w:val="7FDC49A0"/>
    <w:rsid w:val="7FFB584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3"/>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autoRedefine/>
    <w:semiHidden/>
    <w:qFormat/>
    <w:uiPriority w:val="99"/>
    <w:rPr>
      <w:rFonts w:ascii="Times New Roman" w:hAnsi="Times New Roman"/>
      <w:kern w:val="2"/>
      <w:sz w:val="18"/>
      <w:szCs w:val="18"/>
    </w:rPr>
  </w:style>
  <w:style w:type="character" w:customStyle="1" w:styleId="36">
    <w:name w:val="标题 3 字符"/>
    <w:basedOn w:val="20"/>
    <w:link w:val="7"/>
    <w:autoRedefine/>
    <w:qFormat/>
    <w:uiPriority w:val="9"/>
    <w:rPr>
      <w:rFonts w:ascii="Times New Roman" w:hAnsi="Times New Roman"/>
      <w:b/>
      <w:bCs/>
      <w:kern w:val="2"/>
      <w:sz w:val="32"/>
      <w:szCs w:val="32"/>
    </w:rPr>
  </w:style>
  <w:style w:type="character" w:customStyle="1" w:styleId="37">
    <w:name w:val="标题 1 Char"/>
    <w:basedOn w:val="20"/>
    <w:link w:val="5"/>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收、支决算总计变动情况图</a:t>
            </a:r>
            <a:endParaRPr lang="en-US" sz="12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{400.43,416.06}</c:f>
              <c:numCache>
                <c:formatCode>General</c:formatCode>
                <c:ptCount val="2"/>
                <c:pt idx="0">
                  <c:v>400.43</c:v>
                </c:pt>
                <c:pt idx="1">
                  <c:v>416.06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manualLayout>
          <c:xMode val="edge"/>
          <c:yMode val="edge"/>
          <c:x val="0.834010446894951"/>
          <c:y val="0.501666161769161"/>
          <c:w val="0.142774230992455"/>
          <c:h val="0.100878521660103"/>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收入决算结构图</a:t>
            </a:r>
            <a:endParaRPr lang="zh-CN" sz="12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{416.06}</c:f>
              <c:numCache>
                <c:formatCode>General</c:formatCode>
                <c:ptCount val="1"/>
                <c:pt idx="0">
                  <c:v>416.06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400"/>
              <a:t>支出决算结构图</a:t>
            </a:r>
            <a:endParaRPr lang="zh-CN" sz="14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{416.06}</c:f>
              <c:numCache>
                <c:formatCode>General</c:formatCode>
                <c:ptCount val="1"/>
                <c:pt idx="0">
                  <c:v>416.06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sz="1400"/>
              <a:t>财政拨款收、支决算总计变动情况</a:t>
            </a:r>
            <a:endParaRPr lang="en-US" altLang="zh-CN" sz="1400"/>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{400.43,416.06}</c:f>
              <c:numCache>
                <c:formatCode>General</c:formatCode>
                <c:ptCount val="2"/>
                <c:pt idx="0">
                  <c:v>400.43</c:v>
                </c:pt>
                <c:pt idx="1">
                  <c:v>416.06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{400.43}</c:f>
              <c:numCache>
                <c:formatCode>General</c:formatCode>
                <c:ptCount val="1"/>
                <c:pt idx="0">
                  <c:v>400.43</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{416.06}</c:f>
              <c:numCache>
                <c:formatCode>General</c:formatCode>
                <c:ptCount val="1"/>
                <c:pt idx="0">
                  <c:v>416.06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一般公共预算财政拨款支出</a:t>
            </a:r>
            <a:endParaRPr lang="en-US" sz="12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{63.08,31.04,290.56,31.37}</c:f>
              <c:numCache>
                <c:formatCode>General</c:formatCode>
                <c:ptCount val="4"/>
                <c:pt idx="0">
                  <c:v>63.08</c:v>
                </c:pt>
                <c:pt idx="1">
                  <c:v>31.04</c:v>
                </c:pt>
                <c:pt idx="2">
                  <c:v>290.56</c:v>
                </c:pt>
                <c:pt idx="3">
                  <c:v>31.37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{0,0,0.15}</c:f>
              <c:numCache>
                <c:formatCode>General</c:formatCode>
                <c:ptCount val="3"/>
                <c:pt idx="0">
                  <c:v>0</c:v>
                </c:pt>
                <c:pt idx="1">
                  <c:v>0</c:v>
                </c:pt>
                <c:pt idx="2">
                  <c:v>0.15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4821</Words>
  <Characters>5249</Characters>
  <Lines>48</Lines>
  <Paragraphs>13</Paragraphs>
  <TotalTime>1</TotalTime>
  <ScaleCrop>false</ScaleCrop>
  <LinksUpToDate>false</LinksUpToDate>
  <CharactersWithSpaces>5335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WPS_1693969678</cp:lastModifiedBy>
  <cp:lastPrinted>2021-09-26T08:39:00Z</cp:lastPrinted>
  <dcterms:modified xsi:type="dcterms:W3CDTF">2025-09-19T02:01:47Z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5F5EAE46023B41039AB8027ACF0B1765_13</vt:lpwstr>
  </property>
  <property fmtid="{D5CDD505-2E9C-101B-9397-08002B2CF9AE}" pid="4" name="KSOTemplateDocerSaveRecord">
    <vt:lpwstr>eyJoZGlkIjoiZGFlM2I1MDNhMDkyMTFhNmY0Y2QyOGQ1NjFmMTE0M2EiLCJ1c2VySWQiOiIxNTMwMTQ0MjQ5In0=</vt:lpwstr>
  </property>
</Properties>
</file>