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91" w:name="_GoBack"/>
      <w:bookmarkEnd w:id="91"/>
      <w:bookmarkStart w:id="0" w:name="_Toc15377425"/>
      <w:bookmarkStart w:id="1" w:name="_Toc15396475"/>
      <w:bookmarkStart w:id="2" w:name="_Toc15377193"/>
      <w:bookmarkStart w:id="3" w:name="_Toc15378441"/>
      <w:bookmarkStart w:id="4" w:name="_Toc15396597"/>
      <w:bookmarkStart w:id="5" w:name="_Toc15306267"/>
    </w:p>
    <w:p>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2023</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194"/>
      <w:bookmarkStart w:id="7" w:name="_Toc15378442"/>
      <w:bookmarkStart w:id="8" w:name="_Toc15396598"/>
      <w:bookmarkStart w:id="9" w:name="_Toc15377426"/>
      <w:bookmarkStart w:id="10" w:name="_Toc15396476"/>
      <w:bookmarkStart w:id="11" w:name="_Toc1530626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四川省阿坝藏族羌族自治州茂县文化体育和旅游局（本级）</w:t>
      </w:r>
      <w:r>
        <w:rPr>
          <w:rFonts w:ascii="方正小标宋简体" w:hAnsi="方正小标宋简体" w:eastAsia="方正小标宋简体" w:cs="方正小标宋简体"/>
          <w:color w:val="000000"/>
          <w:sz w:val="44"/>
          <w:u w:color="auto"/>
        </w:rPr>
        <w:t>单位决算</w:t>
      </w:r>
      <w:bookmarkEnd w:id="6"/>
      <w:bookmarkEnd w:id="7"/>
      <w:bookmarkEnd w:id="8"/>
      <w:bookmarkEnd w:id="9"/>
      <w:bookmarkEnd w:id="10"/>
      <w:bookmarkEnd w:id="11"/>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pPr>
        <w:pStyle w:val="15"/>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_Toc18389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_Toc18389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_Toc21980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_Toc21980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_Toc24661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_Toc24661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5"/>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_Toc8627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2023年度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_Toc8627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_Toc32747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_Toc32747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_Toc28729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_Toc28729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_Toc26785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_Toc26785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_Toc9442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_Toc9442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_Toc15199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_Toc15199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_Toc8988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_Toc8988 \h </w:instrText>
      </w:r>
      <w:r>
        <w:fldChar w:fldCharType="separate"/>
      </w:r>
      <w:r>
        <w:t>10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_Toc888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_Toc888 \h </w:instrText>
      </w:r>
      <w:r>
        <w:fldChar w:fldCharType="separate"/>
      </w:r>
      <w:r>
        <w:t>11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_Toc4124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_Toc4124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_Toc17334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_Toc17334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_Toc13384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_Toc13384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5"/>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_Toc14496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_Toc14496 \h </w:instrText>
      </w:r>
      <w:r>
        <w:fldChar w:fldCharType="separate"/>
      </w:r>
      <w:r>
        <w:t>15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5"/>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_Toc221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_Toc221 \h </w:instrText>
      </w:r>
      <w:r>
        <w:fldChar w:fldCharType="separate"/>
      </w:r>
      <w:r>
        <w:t>19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5"/>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_Toc25102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_Toc25102 \h </w:instrText>
      </w:r>
      <w:r>
        <w:fldChar w:fldCharType="separate"/>
      </w:r>
      <w:r>
        <w:t>54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_Toc9139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_Toc13899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_Toc8794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_Toc13139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_Toc32484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_Toc26350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_Toc15371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_Toc3254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_Toc928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_Toc6480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_Toc2407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_Toc1115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_Toc21957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pPr>
        <w:pStyle w:val="5"/>
        <w:jc w:val="center"/>
        <w:rPr>
          <w:rFonts w:hint="eastAsia" w:ascii="黑体" w:hAnsi="黑体" w:eastAsia="黑体" w:cs="黑体"/>
          <w:b w:val="0"/>
          <w:bCs w:val="0"/>
        </w:rPr>
      </w:pPr>
      <w:bookmarkStart w:id="14" w:name="_Toc18389"/>
      <w:r>
        <w:rPr>
          <w:rFonts w:hint="eastAsia" w:ascii="黑体" w:hAnsi="黑体" w:eastAsia="黑体" w:cs="黑体"/>
          <w:b w:val="0"/>
          <w:bCs w:val="0"/>
        </w:rPr>
        <w:t xml:space="preserve">第一部分 </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pPr>
        <w:pStyle w:val="6"/>
        <w:ind w:firstLine="640" w:firstLineChars="200"/>
        <w:rPr>
          <w:rFonts w:hint="eastAsia" w:ascii="黑体" w:hAnsi="黑体" w:eastAsia="黑体" w:cs="黑体"/>
          <w:b w:val="0"/>
          <w:bCs/>
          <w:color w:val="000000"/>
          <w:lang w:val="en-US" w:eastAsia="zh-CN"/>
        </w:rPr>
      </w:pPr>
      <w:bookmarkStart w:id="15" w:name="_Toc113981010"/>
      <w:bookmarkStart w:id="16" w:name="_Toc15377197"/>
      <w:bookmarkStart w:id="17" w:name="_Toc111208496"/>
      <w:bookmarkStart w:id="18" w:name="_Toc21980"/>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主要职责</w:t>
      </w:r>
      <w:bookmarkEnd w:id="18"/>
    </w:p>
    <w:bookmarkEnd w:id="20"/>
    <w:bookmarkEnd w:id="21"/>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贯彻执行国家、省、州关于文化、体育、旅游、广播电视管理的方针、政策和法律、法规、规章；拟定全县文化、体育、旅游、广播电视规范性文件，并监督实施。拟订我县文化体育和旅游政策措施，负责本部门依法行政工作。</w:t>
      </w:r>
    </w:p>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2.组织推动全县文化体育事业、文化体育产业和旅游业发展，拟订发展规划并组织实施，推进文化体育和旅游体制机制改革，推进文化体育和旅游融合发展。指导重点文化体育旅游企业发展和招商引资工作。</w:t>
      </w:r>
    </w:p>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5.承担公共文化事业发展责任，推进全县公共文化体育服务体系建设和旅游公共服务建设，深入实施文化惠民工程，统筹推进基本公共文化服务标准化、均等化。</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6.推进文化、体育和旅游科技创新，推进文化、体育和旅游行业信息化、标准化建设。</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7.负责非物质文化遗产保护工作，推动非物质文化遗产的保护、传承、普及、弘扬和振兴。</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9.指导全县文化、体育、旅游市场发展，对全县文化、体育、旅游市场依法进行行业监管，推进文化、体育、旅游行业信用体系建设，依法规范文化、体育、旅游市场。</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10.统筹全县文化、文物、体育、旅游市场综合行政执法，组织查处文化、文物、体育、旅游等市场的违法行为，维护市场秩序。</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11.承担文化体育和旅游系统及市场安全生产工作的综合协调与监督管理责任，对文化、体育、旅游园区的安全生产和职业健康工作实施行业监督管理，制定职责范围内的安全生产年度检查计划并组织实施。</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12.监测旅游经济运行，负责旅游信息化建设、旅游统计和行业信息发布。</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13.承担职责范围内的生态环境保护、开发利用风景名胜资源、审批服务便民化等工作责任。</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14.协助编制县内景区总体规划和建设性详细规划并组织实施，按照总体规划对风景名胜区内的新建、扩建和改建项目进行审核，对建设活动进行监督检查。</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15.完成县委、县政府交办的其他任务。</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rPr>
      </w:pPr>
    </w:p>
    <w:p>
      <w:pPr>
        <w:pStyle w:val="6"/>
        <w:ind w:firstLine="640" w:firstLineChars="200"/>
        <w:rPr>
          <w:rFonts w:hint="eastAsia" w:ascii="黑体" w:hAnsi="黑体" w:eastAsia="黑体" w:cs="黑体"/>
          <w:b w:val="0"/>
          <w:bCs/>
          <w:color w:val="000000"/>
        </w:rPr>
      </w:pPr>
      <w:bookmarkStart w:id="22" w:name="_Toc113981011"/>
      <w:bookmarkStart w:id="23" w:name="_Toc15377200"/>
      <w:bookmarkStart w:id="24" w:name="_Toc24661"/>
      <w:bookmarkStart w:id="25" w:name="_Toc111208497"/>
      <w:r>
        <w:rPr>
          <w:rFonts w:hint="eastAsia" w:ascii="黑体" w:hAnsi="黑体" w:eastAsia="黑体" w:cs="黑体"/>
          <w:b w:val="0"/>
          <w:bCs/>
          <w:color w:val="000000"/>
        </w:rPr>
        <w:t>二、机构设置</w:t>
      </w:r>
      <w:bookmarkEnd w:id="22"/>
      <w:bookmarkEnd w:id="23"/>
      <w:bookmarkEnd w:id="24"/>
      <w:bookmarkEnd w:id="25"/>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sz w:val="32"/>
          <w:szCs w:val="32"/>
        </w:rPr>
      </w:pPr>
      <w:r>
        <w:rPr>
          <w:rFonts w:hint="eastAsia" w:ascii="仿宋" w:hAnsi="仿宋" w:eastAsia="仿宋" w:cs="仿宋"/>
          <w:bCs/>
          <w:kern w:val="2"/>
          <w:sz w:val="32"/>
          <w:szCs w:val="32"/>
          <w:lang w:val="en-US" w:eastAsia="zh-CN" w:bidi="ar"/>
        </w:rPr>
        <w:t>本单位本年度纳入本套决算编制范围的独立编制机构数共1个，比上年增加0个；独立核算机构数共1个，比上年增加0个。</w:t>
      </w:r>
    </w:p>
    <w:p>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pPr>
        <w:pStyle w:val="5"/>
        <w:jc w:val="center"/>
        <w:rPr>
          <w:rFonts w:hint="eastAsia" w:ascii="黑体" w:hAnsi="黑体" w:eastAsia="黑体" w:cs="黑体"/>
          <w:b w:val="0"/>
          <w:bCs w:val="0"/>
        </w:rPr>
      </w:pPr>
      <w:bookmarkStart w:id="26" w:name="_Toc8627"/>
      <w:bookmarkStart w:id="27" w:name="_Toc111208498"/>
      <w:r>
        <w:rPr>
          <w:rFonts w:hint="eastAsia" w:ascii="黑体" w:hAnsi="黑体" w:eastAsia="黑体" w:cs="黑体"/>
          <w:b w:val="0"/>
          <w:bCs w:val="0"/>
        </w:rPr>
        <w:t xml:space="preserve">第二部分 </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pPr>
        <w:pStyle w:val="6"/>
        <w:ind w:firstLine="640" w:firstLineChars="200"/>
        <w:rPr>
          <w:rFonts w:hint="eastAsia" w:ascii="黑体" w:hAnsi="黑体" w:eastAsia="黑体" w:cs="黑体"/>
          <w:b w:val="0"/>
          <w:bCs/>
          <w:color w:val="000000"/>
        </w:rPr>
      </w:pPr>
      <w:bookmarkStart w:id="28" w:name="_Toc15377205"/>
      <w:bookmarkStart w:id="29" w:name="_Toc32747"/>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ascii="仿宋" w:hAnsi="仿宋" w:eastAsia="仿宋" w:cs="仿宋"/>
          <w:color w:val="000000"/>
          <w:sz w:val="32"/>
          <w:u w:color="auto"/>
        </w:rPr>
        <w:t>年度收、支总计均为2556.67</w:t>
      </w:r>
      <w:r>
        <w:rPr>
          <w:rFonts w:hint="eastAsia" w:ascii="仿宋" w:hAnsi="仿宋" w:eastAsia="仿宋" w:cs="仿宋"/>
          <w:color w:val="000000"/>
          <w:sz w:val="32"/>
          <w:szCs w:val="32"/>
        </w:rPr>
        <w:t>万元。与</w:t>
      </w:r>
      <w:r>
        <w:rPr>
          <w:rFonts w:ascii="仿宋" w:hAnsi="仿宋" w:eastAsia="仿宋" w:cs="仿宋"/>
          <w:color w:val="000000"/>
          <w:sz w:val="32"/>
          <w:u w:color="auto"/>
        </w:rPr>
        <w:t>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相比，收、支总计各</w:t>
      </w:r>
      <w:r>
        <w:rPr>
          <w:rFonts w:ascii="仿宋" w:hAnsi="仿宋" w:eastAsia="仿宋" w:cs="仿宋"/>
          <w:color w:val="000000"/>
          <w:sz w:val="32"/>
          <w:u w:color="auto"/>
        </w:rPr>
        <w:t>增加817.70万元，增加47.02%。</w:t>
      </w:r>
    </w:p>
    <w:p>
      <w:pPr>
        <w:spacing w:line="600" w:lineRule="exact"/>
        <w:ind w:firstLine="640" w:firstLineChars="200"/>
        <w:rPr>
          <w:rFonts w:hint="eastAsia" w:ascii="仿宋" w:hAnsi="仿宋" w:eastAsia="仿宋" w:cs="仿宋"/>
          <w:color w:val="000000"/>
          <w:sz w:val="28"/>
          <w:szCs w:val="28"/>
        </w:rPr>
      </w:pPr>
      <w:r>
        <w:rPr>
          <w:rFonts w:hint="eastAsia" w:ascii="仿宋" w:hAnsi="仿宋" w:eastAsia="仿宋" w:cs="仿宋"/>
          <w:color w:val="000000"/>
          <w:sz w:val="32"/>
          <w:szCs w:val="32"/>
        </w:rPr>
        <w:t>主要变动原因是人员变动，工资变动，2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3年州庆活动开展，2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2年续建项目在2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3年开支，体育公园建设项目2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2年尚在前期工作阶段，2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 xml:space="preserve">3年支出建设款。 </w:t>
      </w:r>
    </w:p>
    <w:p>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pPr>
        <w:pStyle w:val="6"/>
        <w:ind w:firstLine="640" w:firstLineChars="200"/>
        <w:rPr>
          <w:rFonts w:hint="eastAsia" w:ascii="黑体" w:hAnsi="黑体" w:eastAsia="黑体" w:cs="黑体"/>
          <w:bCs w:val="0"/>
          <w:color w:val="000000"/>
        </w:rPr>
      </w:pPr>
      <w:bookmarkStart w:id="31" w:name="_Toc28729"/>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2556.67万元</w:t>
      </w:r>
      <w:r>
        <w:rPr>
          <w:rFonts w:hint="eastAsia" w:ascii="仿宋" w:hAnsi="仿宋" w:eastAsia="仿宋" w:cs="仿宋"/>
          <w:color w:val="000000"/>
          <w:sz w:val="32"/>
          <w:szCs w:val="32"/>
          <w:lang w:val="en-US" w:eastAsia="zh-CN"/>
        </w:rPr>
        <w:t>，其中:一般公共预算财政拨款收入2556.67万元，占100.00%</w:t>
      </w:r>
      <w:r>
        <w:rPr>
          <w:rFonts w:hint="eastAsia" w:ascii="仿宋" w:hAnsi="仿宋" w:eastAsia="仿宋" w:cs="仿宋"/>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6"/>
        <w:ind w:firstLine="640" w:firstLineChars="200"/>
        <w:rPr>
          <w:rFonts w:hint="eastAsia" w:ascii="黑体" w:hAnsi="黑体" w:eastAsia="黑体" w:cs="黑体"/>
          <w:b w:val="0"/>
          <w:bCs/>
          <w:color w:val="000000"/>
        </w:rPr>
      </w:pPr>
      <w:bookmarkStart w:id="34" w:name="_Toc15377207"/>
      <w:bookmarkStart w:id="35" w:name="_Toc111208501"/>
      <w:bookmarkStart w:id="36" w:name="_Toc26785"/>
      <w:r>
        <w:rPr>
          <w:rFonts w:hint="eastAsia" w:ascii="黑体" w:hAnsi="黑体" w:eastAsia="黑体" w:cs="黑体"/>
          <w:b w:val="0"/>
          <w:bCs/>
          <w:color w:val="000000"/>
        </w:rPr>
        <w:t>三、支出决算情况说明</w:t>
      </w:r>
      <w:bookmarkEnd w:id="34"/>
      <w:bookmarkEnd w:id="35"/>
      <w:bookmarkEnd w:id="36"/>
    </w:p>
    <w:p>
      <w:pPr>
        <w:pStyle w:val="8"/>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2556.67万元</w:t>
      </w:r>
      <w:r>
        <w:rPr>
          <w:rFonts w:hint="eastAsia" w:ascii="仿宋" w:hAnsi="仿宋" w:eastAsia="仿宋" w:cs="仿宋"/>
          <w:color w:val="000000"/>
          <w:sz w:val="32"/>
          <w:szCs w:val="32"/>
          <w:lang w:val="en-US" w:eastAsia="zh-CN"/>
        </w:rPr>
        <w:t>，其中:基本支出731.94万元，占28.63%；项目支出1824.73万元，占71.37%</w:t>
      </w:r>
      <w:r>
        <w:rPr>
          <w:rFonts w:hint="eastAsia" w:ascii="仿宋" w:hAnsi="仿宋" w:eastAsia="仿宋" w:cs="仿宋"/>
          <w:color w:val="000000"/>
          <w:sz w:val="32"/>
          <w:szCs w:val="32"/>
        </w:rPr>
        <w:t>。</w:t>
      </w:r>
    </w:p>
    <w:p>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4445" t="4445" r="1016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6"/>
        <w:ind w:firstLine="640" w:firstLineChars="200"/>
        <w:rPr>
          <w:rFonts w:hint="eastAsia" w:ascii="黑体" w:hAnsi="黑体" w:eastAsia="黑体" w:cs="黑体"/>
          <w:b w:val="0"/>
          <w:bCs/>
          <w:color w:val="000000"/>
        </w:rPr>
      </w:pPr>
      <w:bookmarkStart w:id="37" w:name="_Toc9442"/>
      <w:bookmarkStart w:id="38" w:name="_Toc15377208"/>
      <w:bookmarkStart w:id="39" w:name="_Toc111208502"/>
      <w:r>
        <w:rPr>
          <w:rFonts w:hint="eastAsia" w:ascii="黑体" w:hAnsi="黑体" w:eastAsia="黑体" w:cs="黑体"/>
          <w:b w:val="0"/>
          <w:bCs/>
          <w:color w:val="000000"/>
        </w:rPr>
        <w:t>四、财政拨款收入支出决算总体情况说明</w:t>
      </w:r>
      <w:bookmarkEnd w:id="37"/>
      <w:bookmarkEnd w:id="38"/>
      <w:bookmarkEnd w:id="39"/>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财政拨款收、支总计均为</w:t>
      </w:r>
      <w:r>
        <w:rPr>
          <w:rFonts w:ascii="仿宋" w:hAnsi="仿宋" w:eastAsia="仿宋" w:cs="仿宋"/>
          <w:color w:val="000000"/>
          <w:sz w:val="32"/>
          <w:u w:color="auto"/>
        </w:rPr>
        <w:t>2556.67万元。与2022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相比，财政拨款收、支总计各</w:t>
      </w:r>
      <w:r>
        <w:rPr>
          <w:rFonts w:ascii="仿宋" w:hAnsi="仿宋" w:eastAsia="仿宋" w:cs="仿宋"/>
          <w:color w:val="000000"/>
          <w:sz w:val="32"/>
          <w:u w:color="auto"/>
        </w:rPr>
        <w:t>增加817.70万元，增加47.02%。</w:t>
      </w:r>
    </w:p>
    <w:p>
      <w:pPr>
        <w:pStyle w:val="8"/>
        <w:jc w:val="left"/>
        <w:rPr>
          <w:rFonts w:hint="eastAsia" w:ascii="思源黑体 CN Normal" w:hAnsi="思源黑体 CN Normal" w:eastAsia="思源黑体 CN Normal" w:cs="思源黑体 CN Normal"/>
          <w:color w:val="000000"/>
          <w:sz w:val="32"/>
          <w:szCs w:val="32"/>
        </w:rPr>
      </w:pPr>
      <w:r>
        <w:rPr>
          <w:rFonts w:hint="eastAsia" w:ascii="仿宋" w:hAnsi="仿宋" w:eastAsia="仿宋" w:cs="仿宋"/>
          <w:color w:val="000000"/>
          <w:sz w:val="32"/>
          <w:szCs w:val="32"/>
        </w:rPr>
        <w:t>主要变动原因是人员变动，工资变动，2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3年州庆活动开展，2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2年续建项目在2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3年开支，体育公园建设项目2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2年尚在前期工作阶段，2</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 xml:space="preserve">3年支出建设款。 </w:t>
      </w: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6"/>
        <w:ind w:firstLine="640" w:firstLineChars="200"/>
        <w:rPr>
          <w:rFonts w:hint="eastAsia" w:ascii="黑体" w:hAnsi="黑体" w:eastAsia="黑体" w:cs="黑体"/>
          <w:b w:val="0"/>
          <w:bCs/>
          <w:color w:val="000000"/>
        </w:rPr>
      </w:pPr>
      <w:bookmarkStart w:id="40" w:name="_Toc15377209"/>
      <w:bookmarkStart w:id="41" w:name="_Toc15199"/>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spacing w:line="600" w:lineRule="exact"/>
        <w:ind w:firstLine="642"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2556.67万元，占本年支出合计的100.00%。与2022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增加817.70万元，增加47.02 %。主要变动原因是人员变动，工资变动，2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3年州庆活动开展，2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2年续建项目在2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3年开支，体育公园建设项目2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2年尚在前期工作阶段，2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 xml:space="preserve">3年支出建设款。 </w:t>
      </w:r>
    </w:p>
    <w:p>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2556.67万元，主要用于以下方面: 文化旅游体育与传媒支出1890.89万元，占73.96%；社会保障和就业支出96.10万元，占3.76%；卫生健康支出41.26万元，占1.61%；农林水支出478.34万元，占18.71%；住房保障支出50.08万元，占1.96%。</w:t>
      </w:r>
    </w:p>
    <w:p>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pPr>
        <w:spacing w:line="600" w:lineRule="exact"/>
        <w:ind w:firstLine="640"/>
        <w:rPr>
          <w:rFonts w:hint="eastAsia" w:ascii="仿宋" w:hAnsi="仿宋" w:eastAsia="仿宋" w:cs="仿宋"/>
          <w:color w:val="000000"/>
          <w:sz w:val="32"/>
          <w:szCs w:val="32"/>
        </w:rPr>
      </w:pPr>
      <w:bookmarkStart w:id="46" w:name="_Toc15378460"/>
      <w:bookmarkStart w:id="47" w:name="_Toc15377213"/>
      <w:bookmarkStart w:id="48" w:name="_Toc15377444"/>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2556.67万元，完成预算100%。其中：</w:t>
      </w:r>
      <w:bookmarkEnd w:id="46"/>
      <w:bookmarkEnd w:id="47"/>
      <w:bookmarkEnd w:id="48"/>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1.文化旅游体育与传媒支出（类）文化和旅游（款）行政运行（项）:支出决算544.49万元，完成预算100%。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2.文化旅游体育与传媒支出（类）文化和旅游（款）文化创作与保护（项）:支出决算38.86万元，完成预算100%。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3.文化旅游体育与传媒支出（类）文化和旅游（款）其他文化和旅游支出（项）:支出决算226.37万元，完成预算100%。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4.文化旅游体育与传媒支出（类）其他文化旅游体育与传媒支出（款）其他文化旅游体育与传媒支出（项）:支出决算1081.16万元，完成预算100%。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5.社会保障和就业支出（类）行政事业单位养老支出（款）机关事业单位基本养老保险缴费支出（项）:支出决算64.07万元，完成预算100%。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6.社会保障和就业支出（类）行政事业单位养老支出（款）机关事业单位职业年金缴费支出（项）:支出决算32.03万元，完成预算100%。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7.卫生健康支出（类）行政事业单位医疗（款）行政单位医疗（项）:支出决算41.26万元，完成预算100%。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8.农林水支出（类）巩固脱贫攻坚成果衔接乡村振兴（款）社会发展（项）:支出决算453.99万元，完成预算100%。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9.农林水支出（类）巩固脱贫攻坚成果衔接乡村振兴（款）其他巩固脱贫攻坚成果衔接乡村振兴支出（项）:支出决算24.35万元，完成预算100%。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10.住房保障支出（类）住房改革支出（款）住房公积金（项）:支出决算48.05万元，完成预算100%。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11.住房保障支出（类）住房改革支出（款）购房补贴（项）:支出决算2.03万元，完成预算100%。</w:t>
      </w:r>
    </w:p>
    <w:p>
      <w:pPr>
        <w:pStyle w:val="6"/>
        <w:ind w:firstLine="640" w:firstLineChars="200"/>
        <w:rPr>
          <w:rFonts w:hint="eastAsia" w:ascii="黑体" w:hAnsi="黑体" w:eastAsia="黑体" w:cs="黑体"/>
          <w:b w:val="0"/>
          <w:color w:val="000000"/>
        </w:rPr>
      </w:pPr>
      <w:bookmarkStart w:id="49" w:name="_Toc15377214"/>
      <w:bookmarkStart w:id="50" w:name="_Toc898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731.94万元，其中：</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704.01万元，主要包括：基本工资152.81万元、津贴补贴134.45万元、奖金164.13万元、机关事业单位基本养老保险缴费64.07万元、职业年金缴费32.03万元、职工基本医疗保险缴费41.26万元、其他社会保障缴费21.43万元、住房公积金48.05万元、医疗费6.07万元、抚恤金33.61万元、生活补助5.94万元、医疗费补助0.13万元、奖励金0.02万元。</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27.93万元，主要包括：办公费9.30万元、水费0.50万元、电费2.92万元、邮电费2.19万元、差旅费4.55万元、公务接待费0.43万元、公务用车运行维护费8.03万元。</w:t>
      </w:r>
    </w:p>
    <w:p>
      <w:pPr>
        <w:pStyle w:val="6"/>
        <w:ind w:firstLine="640" w:firstLineChars="200"/>
        <w:rPr>
          <w:rFonts w:hint="eastAsia" w:ascii="黑体" w:hAnsi="黑体" w:eastAsia="黑体" w:cs="黑体"/>
          <w:b w:val="0"/>
          <w:bCs/>
          <w:color w:val="000000"/>
        </w:rPr>
      </w:pPr>
      <w:bookmarkStart w:id="52" w:name="_Toc888"/>
      <w:bookmarkStart w:id="53" w:name="_Toc15377215"/>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spacing w:line="600" w:lineRule="exact"/>
        <w:ind w:firstLine="640"/>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8.47万元，完成预算100.00%，较上年度增加0.63万元，增加0.00%。</w:t>
      </w:r>
      <w:bookmarkStart w:id="56"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8.47万元，因公出国（境）费支出决算0.00万元，占0.00%；公务用车购置及运行维护费支出决算8.03万元，占94.89%；公务接待费支出决算0.43万元，占5.11%。具体情况如下：</w:t>
      </w:r>
    </w:p>
    <w:p>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0.00</w:t>
      </w:r>
      <w:r>
        <w:rPr>
          <w:rFonts w:ascii="仿宋" w:hAnsi="仿宋" w:eastAsia="仿宋" w:cs="仿宋"/>
          <w:color w:val="000000"/>
          <w:sz w:val="32"/>
          <w:u w:color="auto"/>
        </w:rPr>
        <w:t xml:space="preserve">万元,完成预算100%。全年安排因公出国（境）团组0次，出国（境）0人。因公出国（境）支出决算比2022年增加0.00万元，增加0.00 %。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8.03</w:t>
      </w:r>
      <w:r>
        <w:rPr>
          <w:rFonts w:ascii="仿宋" w:hAnsi="仿宋" w:eastAsia="仿宋" w:cs="仿宋"/>
          <w:color w:val="000000"/>
          <w:sz w:val="32"/>
          <w:u w:color="auto"/>
        </w:rPr>
        <w:t>万元,完成预算100.00%。公务用车购置及运行维护费支出决算比2022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增加0.71</w:t>
      </w:r>
      <w:r>
        <w:rPr>
          <w:rFonts w:ascii="仿宋" w:hAnsi="仿宋" w:eastAsia="仿宋" w:cs="仿宋"/>
          <w:color w:val="000000"/>
          <w:sz w:val="32"/>
          <w:u w:color="auto"/>
        </w:rPr>
        <w:t>万元，增加9.71%。主要原因是2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 xml:space="preserve">3年增加州庆，州运会等活动开展，公车费增加。 </w:t>
      </w:r>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 w:hAnsi="仿宋" w:eastAsia="仿宋" w:cs="仿宋"/>
          <w:color w:val="000000"/>
          <w:sz w:val="32"/>
          <w:szCs w:val="32"/>
        </w:rPr>
        <w:t>0.00</w:t>
      </w:r>
      <w:r>
        <w:rPr>
          <w:rFonts w:ascii="仿宋" w:hAnsi="仿宋" w:eastAsia="仿宋" w:cs="仿宋"/>
          <w:color w:val="000000"/>
          <w:sz w:val="32"/>
          <w:u w:color="auto"/>
        </w:rPr>
        <w:t>万元。全年按规定更新购置公务用车0辆，其中：轿车0辆、金额0.00万元，越野车0辆、金额0.00万元，载客汽车0辆、金额0.00万元。截至2023年12月</w:t>
      </w:r>
      <w:r>
        <w:rPr>
          <w:rFonts w:hint="eastAsia" w:ascii="仿宋" w:hAnsi="仿宋" w:eastAsia="仿宋" w:cs="仿宋"/>
          <w:color w:val="000000"/>
          <w:sz w:val="32"/>
          <w:szCs w:val="32"/>
          <w:lang w:val="en-US" w:eastAsia="zh-CN"/>
        </w:rPr>
        <w:t>31日</w:t>
      </w:r>
      <w:r>
        <w:rPr>
          <w:rFonts w:hint="eastAsia" w:ascii="仿宋" w:hAnsi="仿宋" w:eastAsia="仿宋" w:cs="仿宋"/>
          <w:color w:val="000000"/>
          <w:sz w:val="32"/>
          <w:szCs w:val="32"/>
        </w:rPr>
        <w:t>，单位共有公务用车</w:t>
      </w:r>
      <w:r>
        <w:rPr>
          <w:rFonts w:ascii="仿宋" w:hAnsi="仿宋" w:eastAsia="仿宋" w:cs="仿宋"/>
          <w:color w:val="000000"/>
          <w:sz w:val="32"/>
          <w:u w:color="auto"/>
        </w:rPr>
        <w:t>4辆，其中：轿车2辆、越野车1辆、载客汽车1辆</w:t>
      </w:r>
      <w:r>
        <w:rPr>
          <w:rFonts w:hint="eastAsia" w:ascii="仿宋" w:hAnsi="仿宋" w:eastAsia="仿宋" w:cs="仿宋"/>
          <w:color w:val="000000"/>
          <w:sz w:val="32"/>
          <w:szCs w:val="32"/>
          <w:lang w:val="en-US" w:eastAsia="zh-CN"/>
        </w:rPr>
        <w:t>。</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8.03</w:t>
      </w:r>
      <w:r>
        <w:rPr>
          <w:rFonts w:ascii="仿宋" w:hAnsi="仿宋" w:eastAsia="仿宋" w:cs="仿宋"/>
          <w:color w:val="000000"/>
          <w:sz w:val="32"/>
          <w:u w:color="auto"/>
        </w:rPr>
        <w:t>万元。主要用于2</w:t>
      </w:r>
      <w:r>
        <w:rPr>
          <w:rFonts w:hint="eastAsia" w:ascii="仿宋" w:hAnsi="仿宋" w:eastAsia="仿宋" w:cs="仿宋"/>
          <w:color w:val="000000"/>
          <w:sz w:val="32"/>
          <w:u w:color="auto"/>
          <w:lang w:val="en-US" w:eastAsia="zh-CN"/>
        </w:rPr>
        <w:t>02</w:t>
      </w:r>
      <w:r>
        <w:rPr>
          <w:rFonts w:ascii="仿宋" w:hAnsi="仿宋" w:eastAsia="仿宋" w:cs="仿宋"/>
          <w:color w:val="000000"/>
          <w:sz w:val="32"/>
          <w:u w:color="auto"/>
        </w:rPr>
        <w:t xml:space="preserve">3年增加州庆，州运会等活动开展，公车费增加。 </w:t>
      </w:r>
    </w:p>
    <w:p>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0.43</w:t>
      </w:r>
      <w:r>
        <w:rPr>
          <w:rFonts w:ascii="仿宋" w:hAnsi="仿宋" w:eastAsia="仿宋" w:cs="仿宋"/>
          <w:color w:val="000000"/>
          <w:sz w:val="32"/>
          <w:u w:color="auto"/>
        </w:rPr>
        <w:t>万元，完成预算100.00%。公务接待费支出决算比2022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减少0.08</w:t>
      </w:r>
      <w:r>
        <w:rPr>
          <w:rFonts w:ascii="仿宋" w:hAnsi="仿宋" w:eastAsia="仿宋" w:cs="仿宋"/>
          <w:color w:val="000000"/>
          <w:sz w:val="32"/>
          <w:u w:color="auto"/>
        </w:rPr>
        <w:t>万元，增加0.00%。</w:t>
      </w:r>
      <w:bookmarkStart w:id="57" w:name="_Toc15377218"/>
      <w:r>
        <w:rPr>
          <w:rFonts w:hint="eastAsia" w:ascii="仿宋" w:hAnsi="仿宋" w:eastAsia="仿宋" w:cs="仿宋"/>
          <w:color w:val="000000"/>
          <w:sz w:val="32"/>
          <w:szCs w:val="32"/>
        </w:rPr>
        <w:t xml:space="preserve">主要原因是减少接待费用开支，不铺张浪费。 </w:t>
      </w:r>
      <w:r>
        <w:rPr>
          <w:rFonts w:hint="eastAsia" w:ascii="仿宋" w:hAnsi="仿宋" w:eastAsia="仿宋" w:cs="仿宋"/>
          <w:color w:val="000000"/>
          <w:sz w:val="32"/>
          <w:szCs w:val="32"/>
          <w:lang w:val="en-US" w:eastAsia="zh-CN"/>
        </w:rPr>
        <w:t>其中：</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0.43</w:t>
      </w:r>
      <w:r>
        <w:rPr>
          <w:rFonts w:ascii="仿宋" w:hAnsi="仿宋" w:eastAsia="仿宋" w:cs="仿宋"/>
          <w:color w:val="000000"/>
          <w:sz w:val="32"/>
          <w:u w:color="auto"/>
        </w:rPr>
        <w:t>万元，主要用于执行公务。国内公务接待6批次，53人次（不包括陪同人员），共计支出0.43万元。</w:t>
      </w:r>
    </w:p>
    <w:p>
      <w:pPr>
        <w:pStyle w:val="8"/>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0.00</w:t>
      </w:r>
      <w:r>
        <w:rPr>
          <w:rFonts w:ascii="仿宋" w:hAnsi="仿宋" w:eastAsia="仿宋" w:cs="仿宋"/>
          <w:color w:val="000000"/>
          <w:sz w:val="32"/>
          <w:u w:color="auto"/>
        </w:rPr>
        <w:t>万元。外事接待0批次，0人次（不包括陪同人员），共计支出0.00万元。</w:t>
      </w:r>
    </w:p>
    <w:p>
      <w:pPr>
        <w:pStyle w:val="6"/>
        <w:ind w:firstLine="640" w:firstLineChars="200"/>
        <w:rPr>
          <w:rFonts w:hint="eastAsia" w:ascii="黑体" w:hAnsi="黑体" w:eastAsia="黑体" w:cs="黑体"/>
          <w:b w:val="0"/>
          <w:bCs/>
          <w:color w:val="000000"/>
        </w:rPr>
      </w:pPr>
      <w:bookmarkStart w:id="58" w:name="_Toc4124"/>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u w:color="auto"/>
        </w:rPr>
        <w:t>0.00万元。</w:t>
      </w:r>
      <w:bookmarkStart w:id="60" w:name="_Toc15377219"/>
    </w:p>
    <w:p>
      <w:pPr>
        <w:pStyle w:val="6"/>
        <w:ind w:firstLine="640" w:firstLineChars="200"/>
        <w:rPr>
          <w:rFonts w:hint="eastAsia" w:ascii="黑体" w:hAnsi="黑体" w:eastAsia="黑体" w:cs="黑体"/>
          <w:b w:val="0"/>
          <w:bCs/>
          <w:color w:val="000000"/>
        </w:rPr>
      </w:pPr>
      <w:bookmarkStart w:id="61" w:name="_Toc17334"/>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pPr>
        <w:spacing w:line="600" w:lineRule="exact"/>
        <w:ind w:firstLine="640"/>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0.00万元。</w:t>
      </w:r>
    </w:p>
    <w:p>
      <w:pPr>
        <w:pStyle w:val="6"/>
        <w:ind w:firstLine="640" w:firstLineChars="200"/>
        <w:rPr>
          <w:rFonts w:hint="eastAsia" w:ascii="黑体" w:hAnsi="黑体" w:eastAsia="黑体" w:cs="黑体"/>
          <w:b w:val="0"/>
          <w:bCs/>
          <w:color w:val="000000"/>
        </w:rPr>
      </w:pPr>
      <w:bookmarkStart w:id="63" w:name="_Toc13384"/>
      <w:bookmarkStart w:id="64" w:name="_Toc111208508"/>
      <w:bookmarkStart w:id="65" w:name="_Toc15377221"/>
      <w:r>
        <w:rPr>
          <w:rFonts w:hint="eastAsia" w:ascii="黑体" w:hAnsi="黑体" w:eastAsia="黑体" w:cs="黑体"/>
          <w:b w:val="0"/>
          <w:bCs/>
          <w:color w:val="000000"/>
        </w:rPr>
        <w:t>十、其他重要事项的情况说明</w:t>
      </w:r>
      <w:bookmarkEnd w:id="63"/>
      <w:bookmarkEnd w:id="64"/>
      <w:bookmarkEnd w:id="65"/>
    </w:p>
    <w:p>
      <w:pPr>
        <w:spacing w:line="600" w:lineRule="exact"/>
        <w:ind w:firstLine="642"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，机关运行经费支出</w:t>
      </w:r>
      <w:r>
        <w:rPr>
          <w:rFonts w:ascii="仿宋" w:hAnsi="仿宋" w:eastAsia="仿宋" w:cs="仿宋"/>
          <w:color w:val="000000"/>
          <w:sz w:val="32"/>
          <w:u w:color="auto"/>
        </w:rPr>
        <w:t xml:space="preserve">27.93万元，比2022年增加1.09万元，增加3.89 %。主要原因是人员变动，工资变动。 </w:t>
      </w:r>
    </w:p>
    <w:p>
      <w:pPr>
        <w:spacing w:line="600" w:lineRule="exact"/>
        <w:ind w:firstLine="642"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，政府采购支出总额</w:t>
      </w:r>
      <w:r>
        <w:rPr>
          <w:rFonts w:ascii="仿宋" w:hAnsi="仿宋" w:eastAsia="仿宋" w:cs="仿宋"/>
          <w:color w:val="000000"/>
          <w:sz w:val="32"/>
          <w:u w:color="auto"/>
        </w:rPr>
        <w:t>460.75万元，其中：政府采购货物支出85.86万元、政府采购工程支出176.99万元、政府采购服务支出197.90万元。授予中小企业合同金额460.75万元，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100.00%,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460.75万元，占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100.00%。</w:t>
      </w:r>
    </w:p>
    <w:p>
      <w:pPr>
        <w:spacing w:line="600" w:lineRule="exact"/>
        <w:ind w:firstLine="642"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2023年12月31日，共有车辆4辆，其中：主要领导干部用车0辆、机要通信用车0辆、应急保障用车4辆、其他用车0辆。单价100万元以上专用设备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3</w:t>
      </w:r>
      <w:r>
        <w:rPr>
          <w:rFonts w:ascii="仿宋" w:hAnsi="仿宋" w:eastAsia="仿宋" w:cs="仿宋"/>
          <w:color w:val="000000"/>
          <w:sz w:val="32"/>
          <w:u w:color="auto"/>
        </w:rPr>
        <w:t>台（套）。</w:t>
      </w:r>
    </w:p>
    <w:p>
      <w:pPr>
        <w:numPr>
          <w:ilvl w:val="0"/>
          <w:numId w:val="1"/>
        </w:num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预算绩效管理情况</w:t>
      </w:r>
    </w:p>
    <w:p>
      <w:pPr>
        <w:pStyle w:val="2"/>
        <w:numPr>
          <w:ilvl w:val="0"/>
          <w:numId w:val="0"/>
        </w:numPr>
        <w:rPr>
          <w:rFonts w:hint="eastAsia"/>
        </w:rPr>
      </w:pPr>
    </w:p>
    <w:p>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 w:hAnsi="仿宋" w:eastAsia="仿宋" w:cs="仿宋"/>
          <w:sz w:val="32"/>
          <w:szCs w:val="32"/>
        </w:rPr>
        <w:t xml:space="preserve"> </w:t>
      </w: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2023年度</w:t>
      </w:r>
      <w:r>
        <w:rPr>
          <w:rFonts w:hint="eastAsia" w:ascii="仿宋_GB2312" w:hAnsi="Times New Roman" w:eastAsia="仿宋_GB2312" w:cs="Times New Roman"/>
          <w:color w:val="auto"/>
          <w:sz w:val="32"/>
          <w:szCs w:val="32"/>
          <w:highlight w:val="none"/>
          <w:lang w:eastAsia="zh-CN"/>
        </w:rPr>
        <w:t>预算编制阶段，组织对第十六届州运会茂县代表团经费</w:t>
      </w:r>
      <w:r>
        <w:rPr>
          <w:rFonts w:hint="eastAsia" w:ascii="仿宋_GB2312" w:eastAsia="仿宋_GB2312" w:cs="Times New Roman"/>
          <w:color w:val="auto"/>
          <w:sz w:val="32"/>
          <w:szCs w:val="32"/>
          <w:highlight w:val="none"/>
          <w:lang w:eastAsia="zh-CN"/>
        </w:rPr>
        <w:t>、叠溪镇较场村农旅融合名镇名村宣传片拍摄</w:t>
      </w:r>
      <w:r>
        <w:rPr>
          <w:rFonts w:hint="eastAsia" w:ascii="仿宋_GB2312" w:hAnsi="Times New Roman" w:eastAsia="仿宋_GB2312" w:cs="Times New Roman"/>
          <w:color w:val="auto"/>
          <w:sz w:val="32"/>
          <w:szCs w:val="32"/>
          <w:highlight w:val="none"/>
          <w:lang w:eastAsia="zh-CN"/>
        </w:rPr>
        <w:t>等</w:t>
      </w:r>
      <w:r>
        <w:rPr>
          <w:rFonts w:hint="eastAsia" w:ascii="仿宋_GB2312" w:eastAsia="仿宋_GB2312" w:cs="Times New Roman"/>
          <w:color w:val="auto"/>
          <w:sz w:val="32"/>
          <w:szCs w:val="32"/>
          <w:highlight w:val="none"/>
          <w:lang w:val="en-US" w:eastAsia="zh-CN"/>
        </w:rPr>
        <w:t>27</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45</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45</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27</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pPr>
        <w:pStyle w:val="8"/>
        <w:rPr>
          <w:rFonts w:hint="eastAsia" w:ascii="仿宋" w:hAnsi="仿宋" w:eastAsia="仿宋" w:cs="仿宋"/>
          <w:sz w:val="32"/>
          <w:szCs w:val="32"/>
        </w:rPr>
      </w:pP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5"/>
        <w:jc w:val="center"/>
        <w:rPr>
          <w:rFonts w:hint="eastAsia" w:ascii="黑体" w:hAnsi="黑体" w:eastAsia="黑体" w:cs="黑体"/>
          <w:b w:val="0"/>
          <w:bCs w:val="0"/>
        </w:rPr>
      </w:pPr>
      <w:bookmarkStart w:id="69" w:name="_Toc15377225"/>
      <w:bookmarkStart w:id="70" w:name="_Toc14496"/>
      <w:bookmarkStart w:id="71" w:name="_Toc111208509"/>
      <w:r>
        <w:rPr>
          <w:rFonts w:hint="eastAsia" w:ascii="黑体" w:hAnsi="黑体" w:eastAsia="黑体" w:cs="黑体"/>
          <w:b w:val="0"/>
          <w:bCs w:val="0"/>
        </w:rPr>
        <w:t>第三部分 名词解释</w:t>
      </w:r>
      <w:bookmarkEnd w:id="69"/>
      <w:bookmarkEnd w:id="70"/>
      <w:bookmarkEnd w:id="7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9.文化旅游体育与传媒支出（类）文化和旅游（款）行政运行（项）:反映行政单位（包括实行公务员管理的事业单位）的基本支出。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10.文化旅游体育与传媒支出（类）文化和旅游（款）文化创作与保护（项）:反映鼓励文学、艺术创作和优秀传统文化保护方面的支出。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11.文化旅游体育与传媒支出（类）文化和旅游（款）其他文化和旅游支出（项）:反映除上述项目以外其他用于文化和旅游方面的支出。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12.文化旅游体育与传媒支出（类）其他文化旅游体育与传媒支出（款）其他文化旅游体育与传媒支出（项）:反映除上述项目以外其他用于文化旅游体育与传媒方面的支出。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16.农林水支出（类）巩固脱贫攻坚成果衔接乡村振兴（款）社会发展（项）:反映用于农村贫困地区中小学教育、文化、广播、电视、医疗、卫生等方面的项目支出。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17.农林水支出（类）巩固脱贫攻坚成果衔接乡村振兴（款）其他巩固脱贫攻坚成果衔接乡村振兴支出（项）:反映除上述项目以外其他用于扶贫方面的支出。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19.住房保障支出（类）住房改革支出（款）购房补贴（项）:反映按房改政策规定，行政事业单位向符合条件职工（含离退休人员）、军队（含武警）向转役复员离退休人员发放的用于购买住房的补贴。</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ascii="仿宋" w:hAnsi="仿宋" w:eastAsia="仿宋" w:cs="仿宋"/>
          <w:color w:val="000000"/>
          <w:sz w:val="32"/>
          <w:u w:color="auto"/>
        </w:rPr>
        <w:t>.基本支出：指为保障机构正常运转、完成日常工作任务而发生的人员支出和公用支出。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u w:color="auto"/>
        </w:rPr>
        <w:t xml:space="preserve">.项目支出：指在基本支出之外为完成特定行政任务和事业发展目标所发生的支出。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22</w:t>
      </w:r>
      <w:r>
        <w:rPr>
          <w:rFonts w:ascii="仿宋" w:hAnsi="仿宋" w:eastAsia="仿宋" w:cs="仿宋"/>
          <w:color w:val="000000"/>
          <w:sz w:val="32"/>
          <w:u w:color="auto"/>
        </w:rPr>
        <w:t>.经营支出：指事业单位在专业业务活动及其辅助活动之外开展非独立核算经营活动发生的支出。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24</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25</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pPr>
        <w:pStyle w:val="5"/>
        <w:jc w:val="center"/>
        <w:rPr>
          <w:rFonts w:hint="eastAsia" w:ascii="黑体" w:hAnsi="黑体" w:eastAsia="黑体" w:cs="黑体"/>
          <w:b w:val="0"/>
          <w:bCs w:val="0"/>
        </w:rPr>
      </w:pPr>
      <w:bookmarkStart w:id="72" w:name="_Toc111208510"/>
      <w:bookmarkStart w:id="73" w:name="_Toc221"/>
      <w:r>
        <w:rPr>
          <w:rFonts w:hint="eastAsia" w:ascii="黑体" w:hAnsi="黑体" w:eastAsia="黑体" w:cs="黑体"/>
          <w:b w:val="0"/>
          <w:bCs w:val="0"/>
        </w:rPr>
        <w:t>第四部分 附件</w:t>
      </w:r>
      <w:bookmarkEnd w:id="72"/>
      <w:bookmarkEnd w:id="73"/>
    </w:p>
    <w:p>
      <w:pPr>
        <w:pStyle w:val="8"/>
        <w:rPr>
          <w:rFonts w:hint="eastAsia" w:ascii="仿宋" w:hAnsi="仿宋" w:eastAsia="仿宋" w:cs="仿宋"/>
          <w:sz w:val="32"/>
          <w:szCs w:val="32"/>
        </w:rPr>
      </w:pPr>
      <w:r>
        <w:rPr>
          <w:rFonts w:hint="eastAsia" w:ascii="仿宋" w:hAnsi="仿宋" w:eastAsia="仿宋" w:cs="仿宋"/>
          <w:sz w:val="32"/>
          <w:szCs w:val="32"/>
        </w:rPr>
        <w:t xml:space="preserve"> </w:t>
      </w: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806"/>
        <w:gridCol w:w="655"/>
        <w:gridCol w:w="1896"/>
        <w:gridCol w:w="467"/>
        <w:gridCol w:w="521"/>
        <w:gridCol w:w="786"/>
        <w:gridCol w:w="977"/>
        <w:gridCol w:w="501"/>
        <w:gridCol w:w="501"/>
        <w:gridCol w:w="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51322323T000007540305-茂文体旅【2022】8号2022年茂县文化旅游发展资金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文旅开发产业扶持、文旅建设、服务，大数据平台运行、服务器托管、规划编制、景区基础维护、商标延展等</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所有项目全部完成，并支付，完成率100%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按照项目资金管理办法要求执行，专款专用，专项核算，通过询价等购买服务的形式开展，没有列支与项目内容无关的费用。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278.47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278.47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278.47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278.47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文旅开发产业扶持、文旅建设、服务，大数据平台运行、服务器托管、规划编制、景区基础维护、商标延展等8个大项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文旅开发产业扶持、文旅建设、服务，大数据平台运行、服务器托管、规划编制、景区基础维护、商标延展等验收合格率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促进文化传承保护及文旅融合发展带动老百姓增收致富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需要项目资金460万元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完成了预定计划目标，达到预期效果，自评得分100分。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项目负责人：孙山</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658"/>
        <w:gridCol w:w="787"/>
        <w:gridCol w:w="1066"/>
        <w:gridCol w:w="521"/>
        <w:gridCol w:w="579"/>
        <w:gridCol w:w="521"/>
        <w:gridCol w:w="1122"/>
        <w:gridCol w:w="563"/>
        <w:gridCol w:w="477"/>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51322323T000009749726-阿州财教【2023】40号，下达2023年国家非物质文化遗产保护资金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 巩固我县国家级羌文化生态保护区建设，加大对非遗项目的保护传承、宣传展示，举办传统节庆活动制定非遗保护政策规划、修缮维修传习基地等。2.开展瓦尔俄足节活动，通过展示展演等系列方式，对瓦尔俄足节的保护和传承进行宣传推广，让广大群众进一步了解非遗文化。3.国家级传承人进行传承传习。</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完成国家级传承人补助支付；2.开展2024年以“云上凉夏.风韵羌乡”为为题的瓦尔俄足节活动，该项目已验收，正在按程序支付相关费用；3.2023年传统音乐“羌笛演奏与制作技艺”保护服务，项目已完成；4.2023年春季羌文化进校园活动，项目已完成 ；5.赤不苏镇祭山会活动，项目已完成 ；6.2023年叠溪镇转山会活动，项目已完成 ；7. 2023年秋季羌文化进校园3.6万元，项目已完成 ；8.2024年非遗项目文创产品的研发保护服务活动，项目已实施，正在按程序支付；9.文化自然遗产日宣传活动，项目已完成；10.开展2023年基勒俄足节活动，项目已完成 ；11.开展2023年马马灯活动，项目已完成 ；12.开展哟米节活动，项目已完成% ；13.开展非遗巡游活动，项目已完成 ；14.传习所维修维护，项目已完成；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国家非物质文化遗产保护资金，1.开展羌文化生态保护区建设工作（传统节庆宣传展示推广、普及教育等），2.开展瓦尔俄足节活动，3.国家级代表性传承人传承传习活动。通过项目验收，达到目标任务，按照资金支付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羌文化生态保护区建设活动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瓦尔俄足节活动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国家级非物质文化遗产代表性传承人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非遗项目保护传承、宣传展示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提高环境可持续保护发展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群众参与活动满意度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国家级非遗保护资金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羌文化生态保护区政策规划、传习所提升建设项目正在实施，预计年底完成。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本年度国家非物质文化遗产保护补助专项资金的使用成效显著，较好地完成了绩效目标，绩效评价指标自评得分98分。通过资金的支持和管理，各项任务和目标得到有效落实，推动了羌文化生态保护区建设成果。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1.项目实施进度有待提高；2.资金使用效率有待提高，部分项目资金执行进度缓慢。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1.加快项目实施进度；2.加快资金支付进度。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0"/>
        <w:gridCol w:w="722"/>
        <w:gridCol w:w="799"/>
        <w:gridCol w:w="1760"/>
        <w:gridCol w:w="522"/>
        <w:gridCol w:w="1066"/>
        <w:gridCol w:w="522"/>
        <w:gridCol w:w="935"/>
        <w:gridCol w:w="495"/>
        <w:gridCol w:w="413"/>
        <w:gridCol w:w="4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51322323T000009585294-2022年续建项目（文化体育专项）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文化服务体系建设，丰富人民群众文化需求，开展羌文化挖掘、保护、传承和弘扬工作，形成羌族文化系统研究成果。博物馆免费开放，全民健身器材补短板，为人民群众文化体育活动提供场地保障，从而达到以文促旅，以旅彰文，以产业实践文旅重合，以文旅项目促进乡村振兴。</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全部完成，并支付，完成率100%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219.48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219.48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包含公共文化服务体系建设、博物馆免费开放、非物质文化遗产保护等8个项目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人民群众文化体育活动提供场地保障等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产生相关工作及采购费用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2476487.3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按照计划全部完成，达到预期效果，因该项目是通过政府采购及询价的形式购买服务，低价中标，故导致实际金额偏离预算成本。自评得分99分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8"/>
        <w:gridCol w:w="1039"/>
        <w:gridCol w:w="876"/>
        <w:gridCol w:w="1084"/>
        <w:gridCol w:w="539"/>
        <w:gridCol w:w="557"/>
        <w:gridCol w:w="539"/>
        <w:gridCol w:w="1095"/>
        <w:gridCol w:w="516"/>
        <w:gridCol w:w="516"/>
        <w:gridCol w:w="6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51322324T000010673862-叠溪镇厕所维修提升项目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厕所维护提升300平方米。</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厕所维护提升300平方米。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厕所维护提升300平方米。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建成后，可以满足群众需求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15.15万元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9"/>
        <w:gridCol w:w="863"/>
        <w:gridCol w:w="797"/>
        <w:gridCol w:w="1531"/>
        <w:gridCol w:w="511"/>
        <w:gridCol w:w="477"/>
        <w:gridCol w:w="511"/>
        <w:gridCol w:w="1130"/>
        <w:gridCol w:w="547"/>
        <w:gridCol w:w="547"/>
        <w:gridCol w:w="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51322323T000009579956-阿州财教【2023】12号关于下达2023年州级非物质文化遗产项目传承人补助专项资金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州级非物质文化遗产代表性传承人补助，开展非遗项目传承传习活动，提升传承能力和传承活力。每人每年3000元，47人，合计141000元。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我县州级非物质文化遗产代表性传承人47人，补助资金已按时足额发放完成。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2023年47名州级非物质文化遗产代表性传承人完成传承传习工作，通过考核按程序足额发放传承人补助资金。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州级非物质文化遗产项目传承人州级非物质文化遗产项目传承人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开展非遗项目保护传承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开展非遗项目保护传承：授徒、参加文化活动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我县州级非物质文化遗产代表性传承人47人，补助资金已按时足额发放完成。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3"/>
        <w:gridCol w:w="1092"/>
        <w:gridCol w:w="756"/>
        <w:gridCol w:w="1126"/>
        <w:gridCol w:w="555"/>
        <w:gridCol w:w="565"/>
        <w:gridCol w:w="555"/>
        <w:gridCol w:w="994"/>
        <w:gridCol w:w="520"/>
        <w:gridCol w:w="519"/>
        <w:gridCol w:w="7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51322322T000007174024-中国古羌城歌仙坪建设项目质保金（代管资金）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中国古羌城歌仙坪建设项目质保金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中国古羌城歌仙坪建设项目质保金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满足群众日益增长的文化需求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1120"/>
        <w:gridCol w:w="768"/>
        <w:gridCol w:w="942"/>
        <w:gridCol w:w="563"/>
        <w:gridCol w:w="508"/>
        <w:gridCol w:w="563"/>
        <w:gridCol w:w="1135"/>
        <w:gridCol w:w="521"/>
        <w:gridCol w:w="521"/>
        <w:gridCol w:w="7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51322323T000009610385-阿坝州茂县公共服务设施建设项目工程质保金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阿坝州茂县公共服务设施建设项目工程质保金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阿坝州茂县公共服务设施建设项目工程质保金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满足群众文化需求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2"/>
        <w:gridCol w:w="690"/>
        <w:gridCol w:w="665"/>
        <w:gridCol w:w="2386"/>
        <w:gridCol w:w="431"/>
        <w:gridCol w:w="504"/>
        <w:gridCol w:w="431"/>
        <w:gridCol w:w="919"/>
        <w:gridCol w:w="492"/>
        <w:gridCol w:w="408"/>
        <w:gridCol w:w="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51322323T000009144222-阿州财教（2022）68号，2022年中央支持地方公共文化服务体系建设补助资金（一般项目、绩效奖励）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2022年完成文化馆群众文化活动及培训、购买图书、镇文化站更名挂牌；博物馆文物标志标牌制作安装及文保员补助；体育股组队参加2021年百城千乡万村系列活动阿坝州第二十一届“雪山杯”；广电股应急广播；局档案整理。</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按照年初目标任务，已经全部完成，并支付，完成率100%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拟定方案，上报局务会通过。开展了文化活动5场；文化从业人员培训1次；购买图书100本；11个乡镇文化站更名挂牌；城区文物保护标志牌制作三处；文保员补助；“雪山杯”体育活动一次；全县应急广播总基站网络费；文体旅局2011年-2021年档案整理。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群众文化活动及培训、购买图书、镇文化站更名挂牌；博物馆文物标志标牌制作安装及文保员补助；体育股组队参加2021年百城千乡万村系列活动阿坝州第二十一届“雪山杯”；广电股应急广播；局档案整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提升公共文化服务效能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1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群众文化活动及培训、购买图书、镇文化站更名挂牌10.9万元；博物馆文物标志标牌制作安装及文保员补助3.89万元；体育股组队参加2021年百城千乡万村系列活动阿坝州第二十一届“雪山杯”6.6049万元；广电股应急广播0.54万元；局档案整理3.2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其中的文化培训活动是在资金到位之前开展，故预算数偏离实际金额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项目资金到位后，我局严格按照专项资金使用管理办法使用资金，做到资金不挪用、不挤占；按要求发放的资金不拖延。自评得分99分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772"/>
        <w:gridCol w:w="817"/>
        <w:gridCol w:w="1280"/>
        <w:gridCol w:w="601"/>
        <w:gridCol w:w="1132"/>
        <w:gridCol w:w="601"/>
        <w:gridCol w:w="960"/>
        <w:gridCol w:w="499"/>
        <w:gridCol w:w="499"/>
        <w:gridCol w:w="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51322323T000009422376-基础设施建设及文旅项目质保金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九鼎山文镇大峡谷景区旅游基础设施建设项目一期质保金；茂县公共服务设施建设项目监理费质保金；黑虎小河坝村旅游产业项目质保金；“智由天府”平台采购项目质保金。(验收合同,按合同支付质保金)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九鼎山文镇大峡谷景区旅游基础设施建设项目一期质保金；茂县公共服务设施建设项目监理费质保金；黑虎小河坝村旅游产业项目质保金；“智由天府”平台采购项目质保金。(验收合同,按合同支付质保金)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68.29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68.29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基础设施建设及旅游产业项目数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满足群众文化需求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项目质保金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682923.25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811"/>
        <w:gridCol w:w="658"/>
        <w:gridCol w:w="1532"/>
        <w:gridCol w:w="468"/>
        <w:gridCol w:w="600"/>
        <w:gridCol w:w="468"/>
        <w:gridCol w:w="1057"/>
        <w:gridCol w:w="523"/>
        <w:gridCol w:w="446"/>
        <w:gridCol w:w="1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51322322T000006902862-茂县羌文化浸润工程（浙江援建）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茂县图书馆改造提升；羌文化保护发展，各类文旅宣传推介推广，长征国家文化公园茂县段（三元桥）建设等。</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完成图书馆提升改造、羌文化保护发展、文旅宣传推介推广、长征国家文化公园茂县段（三元桥）建设等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图书馆智能化设备采购相关活动开展、服务购买、图书采购；羌文化进校园、非遗传承人2022年度工作经费；茂县文旅宣传片、文旅宣传口号 logo 征集、文化旅游策划设计创作推介；土门战役展陈馆建设、生态停车场建设、串线游步道；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完善阿坝州全域旅游发展布局，增强羌文化生命力和影响力，促进文旅产业发展和经济发展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羌文化传承与保护向学校学生进行羌文化普及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图书馆每月能够带动读书人次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土门战役展陈馆建设预计支付资金2024年9月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完善阿坝州全域旅游发展布局，增强羌文化生命力和影响力，推动文化旅游产业发展及创新性发展，促进“文化+”“旅游+”“文旅+”深度融合，促进社会经济发展。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3"/>
        <w:gridCol w:w="750"/>
        <w:gridCol w:w="874"/>
        <w:gridCol w:w="1771"/>
        <w:gridCol w:w="608"/>
        <w:gridCol w:w="640"/>
        <w:gridCol w:w="608"/>
        <w:gridCol w:w="949"/>
        <w:gridCol w:w="497"/>
        <w:gridCol w:w="497"/>
        <w:gridCol w:w="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51322324T000011156707-阿州财预（2023）30号，2023年四川省民族地区开发资金（2023年文旅发展资金）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2023年底完成瓦尔俄足活动购买服务、2023茂县“春风识李”脆李花赏花期线上推广，云朵音乐购买服务，释比文化宣传片拍摄，渭门十里村环保冲水厕所采购，州庆活动服装道具采购，州庆活动人员生活住宿，州庆社会演职人员生活补助，州庆演职人员保险费等9个文旅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所有项目全部完成，并支付，完成率100%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按照省财政厅、文化厅文件要求执行，专款专用，专项核算，通过政府采购、询价等购买服务的形式开展，没有列支与项目内容无关的费用。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9个文旅项目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2023年四川省民族地区开发资金文旅项目需用成本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促进文化传承保护和文旅融合发展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本着节约不浪费的原则，完成了预定计划目标，达到预期效果，自评得分100分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721"/>
        <w:gridCol w:w="859"/>
        <w:gridCol w:w="1501"/>
        <w:gridCol w:w="572"/>
        <w:gridCol w:w="532"/>
        <w:gridCol w:w="572"/>
        <w:gridCol w:w="977"/>
        <w:gridCol w:w="507"/>
        <w:gridCol w:w="508"/>
        <w:gridCol w:w="9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51322323T000009323610-茂受援办函（2023）1号，2022年羌文化生态保护区文化交流成果展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线上线下双渠道的方式展示十八大以来茂县各行各业变化发展纪实及近年来茂县非物质文化遗产保护建设取得的成果，弘扬中华民族优秀的传统文化，树立民族自信心，自豪感，促进各民族交往交流交融，为实现全面建成社会主义现代化强国的第二个一百年目标而团结奋斗。</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该项目全部完成，完成率100%。展示了十八大以来茂县各行各业变化发展，展现了茂县羌文化核心区厚重的文化底蕴。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根据计划拟定方案，上报局务会通过，以询价的形式购买服务，主要有展台搭建，喷绘展架购买，展示素材制作等。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2022年羌文化生态保护区文化交流成果展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树立民族自信心，自豪感，促进各民族交往交流交融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8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展览一场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政府询价购买服务，低价中标，故导致实际金额偏离预算成本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Style w:val="38"/>
                <w:lang w:val="en-US" w:eastAsia="zh-CN" w:bidi="ar"/>
              </w:rPr>
              <w:t>该项目通过的询价的形式开展，弘扬了中华民族优秀的传统文化，树立了民族自信心，自豪感，促进各民族交往交流交融，自评得分100分。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8"/>
        <w:rPr>
          <w:rFonts w:hint="eastAsia" w:ascii="仿宋" w:hAnsi="仿宋" w:eastAsia="仿宋" w:cs="仿宋"/>
          <w:sz w:val="32"/>
          <w:szCs w:val="32"/>
        </w:rPr>
      </w:pPr>
    </w:p>
    <w:p>
      <w:pPr>
        <w:rPr>
          <w:rStyle w:val="37"/>
          <w:rFonts w:hint="eastAsia" w:ascii="黑体" w:hAnsi="黑体" w:eastAsia="黑体"/>
          <w:b w:val="0"/>
          <w:color w:val="auto"/>
          <w:highlight w:val="none"/>
        </w:rPr>
      </w:pPr>
      <w:bookmarkStart w:id="74" w:name="_Toc79163635"/>
      <w:bookmarkStart w:id="75" w:name="_Toc111208512"/>
      <w:bookmarkStart w:id="76" w:name="_Toc79163885"/>
      <w:r>
        <w:rPr>
          <w:rStyle w:val="37"/>
          <w:rFonts w:hint="eastAsia" w:ascii="黑体" w:hAnsi="黑体" w:eastAsia="黑体"/>
          <w:b w:val="0"/>
          <w:color w:val="auto"/>
          <w:highlight w:val="none"/>
        </w:rPr>
        <w:br w:type="page"/>
      </w: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7"/>
        <w:gridCol w:w="1156"/>
        <w:gridCol w:w="784"/>
        <w:gridCol w:w="903"/>
        <w:gridCol w:w="574"/>
        <w:gridCol w:w="575"/>
        <w:gridCol w:w="574"/>
        <w:gridCol w:w="1033"/>
        <w:gridCol w:w="524"/>
        <w:gridCol w:w="463"/>
        <w:gridCol w:w="7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51322322T000007174000-羌文化原生态示范区建设项目质保金（代管资金）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羌文化原生态示范区建设项目质保金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羌文化原生态示范区建设项目质保金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羌文化保护传承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羌文化保护传承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rPr>
          <w:rStyle w:val="37"/>
          <w:rFonts w:hint="eastAsia" w:ascii="黑体" w:hAnsi="黑体" w:eastAsia="黑体"/>
          <w:b w:val="0"/>
          <w:color w:val="auto"/>
          <w:highlight w:val="none"/>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805"/>
        <w:gridCol w:w="733"/>
        <w:gridCol w:w="1823"/>
        <w:gridCol w:w="517"/>
        <w:gridCol w:w="483"/>
        <w:gridCol w:w="516"/>
        <w:gridCol w:w="1076"/>
        <w:gridCol w:w="535"/>
        <w:gridCol w:w="535"/>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51322324T000009977565-阿州财教【2023】57号2023年省级文化旅游发展专项资金（第二批）预算的通知（省级传承人补助）））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我县有省级文化遗产代表性传承人27人，开展非物质文化遗产保护和传承、培养徒弟、参加节庆活动进行展示展演，参加交流、宣传等，进一步提高非遗项目保护、传承、宣传力度。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我县省级非物质文化遗产代表性传承人27人，补助资金已按时足额发放完成。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2023年27名省级非物质文化遗产代表性传承人完成传承传习工作，通过考核按程序足额发放传承人补助资金。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省级非物质文化遗产代表性传承人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开展非遗保护传承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开展非遗项目保护和传承传习活动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开展非遗项目保护和传承（参加文化活动、宣传展示），扩大非遗文化覆盖面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大力弘扬非物质文化遗产，并得到有效保护和传承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参加各类活动满意度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本年度省级非物质文化代表性传承人27人补助专项资金补助资金，已按时足额发放完成，传承人的传承传习情况总体良好，较好地完成了绩效目标，绩效评价指标自评得分100分。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2"/>
        <w:rPr>
          <w:rFonts w:hint="eastAsia"/>
        </w:rPr>
      </w:pPr>
    </w:p>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697"/>
        <w:gridCol w:w="687"/>
        <w:gridCol w:w="1094"/>
        <w:gridCol w:w="467"/>
        <w:gridCol w:w="616"/>
        <w:gridCol w:w="467"/>
        <w:gridCol w:w="1442"/>
        <w:gridCol w:w="673"/>
        <w:gridCol w:w="672"/>
        <w:gridCol w:w="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51322322T000006566710-阿坝州羌城体育公园项目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1.项目的建设需要大量劳动力，可增加当地老百姓的收入；2.提升城升形象，提高居民生活品质；3.给当地群众提供了全民健身的场地保障。</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儿童活动设施；改建乒乓球场；改建羽毛球场1个81.74平方米；改建多功能运动场地（5个篮球场3040平方米）；改建网球场1个667平方米；改建公共厕所1座；改建室外足球场含跑道共计8145.36平方米；改建室外五人制足球场；新建环形彩色步游道13公里及配套标识标牌、环境绿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增加当地老百姓收入；全民健身场地改建，增加体育设施设备，提升城市形象。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1,026.64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1,026.64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1,026.64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1,026.64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质量达标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施工期间，解决当地就业劳动人数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建成后，可以满足锻炼健身人数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阿坝州羌城体育公园项目，体现了茂县政府对体育事业工作的高度重视，将进一步加强茂县的体育事业的发展水平。项目实施后将为附近当地居民及游客提供休闲、娱乐、运动空间，丰富人们的精神生活。也将促进茂县文化生态旅游产业具有极强的推动作用，并促进当地的社会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5"/>
        <w:gridCol w:w="775"/>
        <w:gridCol w:w="824"/>
        <w:gridCol w:w="1711"/>
        <w:gridCol w:w="474"/>
        <w:gridCol w:w="861"/>
        <w:gridCol w:w="474"/>
        <w:gridCol w:w="992"/>
        <w:gridCol w:w="509"/>
        <w:gridCol w:w="509"/>
        <w:gridCol w:w="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51322323T000009531439-茂受援办【2023】11号茂县“瓦尔俄足”文化元素应用转化项目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通过开展“瓦尔俄足”专题调研及“瓦尔俄足”庆祝活动，形成优秀成果转化库，达到以文促旅，以旅彰文，以产业实践文旅融合，以文旅项目促进乡村振兴。</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项目全部完成，并支付到位。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到位“瓦尔俄足”文化元素转化资金100万元，用于“瓦尔俄足”文化元素视频拍摄，“瓦尔俄足”非遗品牌宣传片拍摄，开展瓦尔俄足庆祝活动，其中视频及宣传片拍摄通过询价的形式购买文化服务，瓦尔俄足活动是通过政府采购的形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开展“瓦尔俄足”专题调研及“瓦尔俄足”庆祝活动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通过活动形成优秀成果转化库，达到以文促旅，以旅彰文，以产业实践文旅融合，以文旅项目促进乡村振兴。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社会对该项目满意度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开展“瓦尔俄足”文化元素应用转化项目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项目资金到位后，我局严格按照专项资金使用管理办法使用资金，做到资金不挪用、不挤占；按要求发放的资金不拖延。自评得分100分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8"/>
        <w:gridCol w:w="1146"/>
        <w:gridCol w:w="779"/>
        <w:gridCol w:w="779"/>
        <w:gridCol w:w="571"/>
        <w:gridCol w:w="574"/>
        <w:gridCol w:w="571"/>
        <w:gridCol w:w="1027"/>
        <w:gridCol w:w="515"/>
        <w:gridCol w:w="454"/>
        <w:gridCol w:w="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51322322T000007173919-羌文化传播和旅游发展项目资金（代管资金）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羌文化传播和旅游发展补助</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7"/>
        <w:gridCol w:w="754"/>
        <w:gridCol w:w="772"/>
        <w:gridCol w:w="1840"/>
        <w:gridCol w:w="492"/>
        <w:gridCol w:w="466"/>
        <w:gridCol w:w="492"/>
        <w:gridCol w:w="951"/>
        <w:gridCol w:w="495"/>
        <w:gridCol w:w="495"/>
        <w:gridCol w:w="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51322323T000009636880-茂受援办函【2023】6号，关于安排2023年茂县交流交往交融子项目资金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加强东西部文化交流协作，促进两地文化互动，提升两地公共文化服务能力，增强人民群众的获得感、幸福感，于2023年开展“山海相连 平茂连心   携手共进”2023年茂县.平湖文化走亲活动。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            该项目已经全部完成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按照计划拟定方案，上报局务会，通过购买文化服务的形式实施。其中2023茂县平湖文化走亲活动节目购买支付：49000元 ，文化走亲活动演员保险支付：3100元，活动演出服务支付： 280000元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于2023年开展“山海相连 平茂连心   携手共进”2023年茂县.平湖文化走亲活动。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加强东西部文化交流协作，促进两地文化互动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群众对走亲活动满意度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2023年开展“山海相连 平茂连心   携手共进”2023年茂县.平湖文化走亲活动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政府询价购买服务，低价中标，故导致实际金额偏离预算成本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该项目已经全部完成，支付金额33.21万元，因该项目是通过询价的形式购买服务，低价中标，故导致实际金额偏离预算成本。自评得分100分。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5"/>
        <w:gridCol w:w="789"/>
        <w:gridCol w:w="922"/>
        <w:gridCol w:w="1524"/>
        <w:gridCol w:w="637"/>
        <w:gridCol w:w="660"/>
        <w:gridCol w:w="637"/>
        <w:gridCol w:w="968"/>
        <w:gridCol w:w="500"/>
        <w:gridCol w:w="500"/>
        <w:gridCol w:w="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51322323T000009609426-茂县2023年文化旅游发展资金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A级景区基础设施维护提升和旅游品牌创建费用；文旅营销、全年文旅节庆、文化活动开展；文化旅游宣传；旅游基础维护；宣传片拍摄；旅游及景区管理；线上平台运营；专项活动开展；全域旅游大数据平台维护费用等。</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233.76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233.76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完成文旅项目10个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文化旅游发展项目质量完成情况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促进文化传承保护和文旅融合发展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项目所需资金800万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1144"/>
        <w:gridCol w:w="779"/>
        <w:gridCol w:w="895"/>
        <w:gridCol w:w="571"/>
        <w:gridCol w:w="573"/>
        <w:gridCol w:w="571"/>
        <w:gridCol w:w="1026"/>
        <w:gridCol w:w="523"/>
        <w:gridCol w:w="523"/>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51322322T000007173977-“6.24”新磨村基础设施建设项目质保金（代管资金）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“6.24”新磨村基础设施建设项目质保金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“6.24”新磨村基础设施建设项目质保金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灾后重建恢复建设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1120"/>
        <w:gridCol w:w="768"/>
        <w:gridCol w:w="942"/>
        <w:gridCol w:w="563"/>
        <w:gridCol w:w="508"/>
        <w:gridCol w:w="563"/>
        <w:gridCol w:w="1135"/>
        <w:gridCol w:w="521"/>
        <w:gridCol w:w="521"/>
        <w:gridCol w:w="7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51322323T000009610367-茂县叠溪镇新磨村旅游基础设施建设项目质保金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茂县叠溪镇新磨村旅游基础设施建设项目质保金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茂县叠溪镇新磨村旅游基础设施建设项目质保金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满足群众文化需求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9"/>
        <w:gridCol w:w="1123"/>
        <w:gridCol w:w="769"/>
        <w:gridCol w:w="882"/>
        <w:gridCol w:w="564"/>
        <w:gridCol w:w="570"/>
        <w:gridCol w:w="564"/>
        <w:gridCol w:w="1013"/>
        <w:gridCol w:w="514"/>
        <w:gridCol w:w="452"/>
        <w:gridCol w:w="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51322322T000007173882-玉环市对口支援文化活动补助（代管资金）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玉环市对口支援文化活动补助</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该资金为项目结余，未使用。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活动开展群众满意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1"/>
        <w:gridCol w:w="1102"/>
        <w:gridCol w:w="760"/>
        <w:gridCol w:w="976"/>
        <w:gridCol w:w="558"/>
        <w:gridCol w:w="567"/>
        <w:gridCol w:w="558"/>
        <w:gridCol w:w="1000"/>
        <w:gridCol w:w="513"/>
        <w:gridCol w:w="450"/>
        <w:gridCol w:w="9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51322322T000007173901-温岭玉环文化展项目资金（代管资金）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温岭玉环文化展展陈布置结余</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提高人民群众文化水平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8"/>
        <w:gridCol w:w="839"/>
        <w:gridCol w:w="823"/>
        <w:gridCol w:w="1232"/>
        <w:gridCol w:w="549"/>
        <w:gridCol w:w="508"/>
        <w:gridCol w:w="549"/>
        <w:gridCol w:w="994"/>
        <w:gridCol w:w="499"/>
        <w:gridCol w:w="499"/>
        <w:gridCol w:w="1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51322323T000009636717-阿州财教【2023】23，阿坝州财政局关于州级文化和旅游发展专项资金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进一步增强羌族音乐生命力，创新符合当今时代的作品，让古老的羌族音乐焕发新生，创作发行适合当代人民喜欢的羌族音乐作品。</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按照计划拟定方案，上报局务会，通过购买文化服务的形式实施，并支付该项目经费29.6万元整。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创作的音乐作品符合当今时代的作品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作品社会普及率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群众对作品满意度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8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2023年创作羌族音乐作品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政府询价购买服务，低价中标，故导致实际金额偏离预算成本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该项目已经全部完成，支付金额29.6万元，因该项目是通过询价的形式购买服务，低价中标，故导致实际金额偏离预算成本。自评得分99分。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0"/>
        <w:gridCol w:w="1078"/>
        <w:gridCol w:w="750"/>
        <w:gridCol w:w="1059"/>
        <w:gridCol w:w="551"/>
        <w:gridCol w:w="563"/>
        <w:gridCol w:w="551"/>
        <w:gridCol w:w="1114"/>
        <w:gridCol w:w="519"/>
        <w:gridCol w:w="518"/>
        <w:gridCol w:w="7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51322324T000010673980-叠溪镇较场村农旅融合名镇名村宣传片拍摄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叠溪镇较场村农旅融合名镇名村宣传片拍摄</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完成宣传片拍摄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通过自主采购，对叠溪镇较场村农旅融合发展对外宣传进行拍摄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宣传片时长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全4k摄制技术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对外宣传提高知名度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当地群众乡村振兴旅游发展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宣传片拍摄成本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完成宣传片拍摄，提高了较场村的知名度。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项目负责人：王有艳</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4"/>
        <w:gridCol w:w="904"/>
        <w:gridCol w:w="674"/>
        <w:gridCol w:w="915"/>
        <w:gridCol w:w="497"/>
        <w:gridCol w:w="536"/>
        <w:gridCol w:w="497"/>
        <w:gridCol w:w="880"/>
        <w:gridCol w:w="503"/>
        <w:gridCol w:w="430"/>
        <w:gridCol w:w="1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51322322T000007174033-大众冰雪节活动费（代管资金）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大众冰雪节活动补助</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已完成大众冰雪季活动比赛，参与人数达300人次。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由于前期疫情，2024年2月24日-25日已开展茂县大众冰雪季活动，资金待支付。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大众冰雪节活动次数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群众参与体育活动积极性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参与活动满意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2024年2月24-25日完成茂县大众冰雪季活动，专款专用，较好的完成绩效目标，带动群众参与冰雪运动。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项目实施进度有待提高，资金进度有待加强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加强项目实施和支付资金进度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tbl>
      <w:tblPr>
        <w:tblStyle w:val="1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1"/>
        <w:gridCol w:w="723"/>
        <w:gridCol w:w="673"/>
        <w:gridCol w:w="861"/>
        <w:gridCol w:w="458"/>
        <w:gridCol w:w="522"/>
        <w:gridCol w:w="458"/>
        <w:gridCol w:w="935"/>
        <w:gridCol w:w="494"/>
        <w:gridCol w:w="494"/>
        <w:gridCol w:w="2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51322323T000009849129-第十六届州运会茂县代表团经费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茂县文化体育和旅游局（行政）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茂县代表团参赛人数128人，派出108名运动员参加阿坝州第十六届州运会，参加9个大项的团体和个人项目比赛。</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完成阿坝州第十六届运动会训练和比赛，获得团体总分第一名，金牌总数数第一名，体育事业贡献奖第二名。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茂县代表团参加十六届州运会人数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参加比赛任务完成率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全民健身活动，竞技体育比赛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已完成参加阿坝州第十六届州运会，较好完成绩效目标，带动群众参与体育活动，提高竞技水平。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财务负责人：雍良贤</w:t>
            </w:r>
          </w:p>
        </w:tc>
      </w:tr>
    </w:tbl>
    <w:p>
      <w:pPr>
        <w:pStyle w:val="3"/>
        <w:rPr>
          <w:rFonts w:hint="eastAsia"/>
        </w:rPr>
      </w:pPr>
    </w:p>
    <w:p>
      <w:pPr>
        <w:pStyle w:val="3"/>
        <w:rPr>
          <w:rFonts w:hint="eastAsia"/>
        </w:rPr>
      </w:pPr>
    </w:p>
    <w:p>
      <w:pPr>
        <w:pStyle w:val="3"/>
        <w:rPr>
          <w:rFonts w:hint="eastAsia"/>
        </w:rPr>
      </w:pPr>
    </w:p>
    <w:p>
      <w:pPr>
        <w:suppressAutoHyphens/>
        <w:bidi w:val="0"/>
        <w:spacing w:line="600" w:lineRule="exact"/>
        <w:jc w:val="center"/>
        <w:outlineLvl w:val="0"/>
        <w:rPr>
          <w:rFonts w:hint="eastAsia" w:ascii="思源黑体 CN Normal" w:hAnsi="思源黑体 CN Normal" w:eastAsia="思源黑体 CN Normal" w:cs="思源黑体 CN Normal"/>
          <w:b w:val="0"/>
          <w:bCs w:val="0"/>
        </w:rPr>
      </w:pPr>
      <w:bookmarkStart w:id="77" w:name="_Toc25102"/>
      <w:r>
        <w:rPr>
          <w:rStyle w:val="37"/>
          <w:rFonts w:hint="eastAsia" w:ascii="黑体" w:hAnsi="黑体" w:eastAsia="黑体"/>
          <w:b w:val="0"/>
          <w:color w:val="auto"/>
          <w:highlight w:val="none"/>
        </w:rPr>
        <w:t>第五部分 附表</w:t>
      </w:r>
      <w:bookmarkEnd w:id="74"/>
      <w:bookmarkEnd w:id="75"/>
      <w:bookmarkEnd w:id="76"/>
      <w:bookmarkEnd w:id="77"/>
    </w:p>
    <w:p>
      <w:pPr>
        <w:pStyle w:val="6"/>
        <w:ind w:firstLine="640" w:firstLineChars="200"/>
        <w:rPr>
          <w:rFonts w:hint="eastAsia" w:ascii="仿宋" w:hAnsi="仿宋" w:eastAsia="仿宋" w:cs="仿宋"/>
          <w:b w:val="0"/>
          <w:bCs/>
          <w:color w:val="000000"/>
        </w:rPr>
      </w:pPr>
      <w:bookmarkStart w:id="78" w:name="_Toc9139"/>
      <w:r>
        <w:rPr>
          <w:rFonts w:hint="eastAsia" w:ascii="仿宋" w:hAnsi="仿宋" w:eastAsia="仿宋" w:cs="仿宋"/>
          <w:b w:val="0"/>
          <w:bCs/>
          <w:color w:val="000000"/>
        </w:rPr>
        <w:t>一、收入支出决算总表</w:t>
      </w:r>
      <w:bookmarkEnd w:id="78"/>
    </w:p>
    <w:p>
      <w:pPr>
        <w:pStyle w:val="6"/>
        <w:ind w:firstLine="640" w:firstLineChars="200"/>
        <w:rPr>
          <w:rFonts w:hint="eastAsia" w:ascii="仿宋" w:hAnsi="仿宋" w:eastAsia="仿宋" w:cs="仿宋"/>
          <w:b w:val="0"/>
          <w:bCs/>
          <w:color w:val="000000"/>
        </w:rPr>
      </w:pPr>
      <w:bookmarkStart w:id="79" w:name="_Toc13899"/>
      <w:r>
        <w:rPr>
          <w:rFonts w:hint="eastAsia" w:ascii="仿宋" w:hAnsi="仿宋" w:eastAsia="仿宋" w:cs="仿宋"/>
          <w:b w:val="0"/>
          <w:bCs/>
          <w:color w:val="000000"/>
        </w:rPr>
        <w:t>二、收入决算表</w:t>
      </w:r>
      <w:bookmarkEnd w:id="79"/>
    </w:p>
    <w:p>
      <w:pPr>
        <w:pStyle w:val="6"/>
        <w:ind w:firstLine="640" w:firstLineChars="200"/>
        <w:rPr>
          <w:rFonts w:hint="eastAsia" w:ascii="仿宋" w:hAnsi="仿宋" w:eastAsia="仿宋" w:cs="仿宋"/>
          <w:b w:val="0"/>
          <w:bCs/>
          <w:color w:val="000000"/>
        </w:rPr>
      </w:pPr>
      <w:bookmarkStart w:id="80" w:name="_Toc8794"/>
      <w:r>
        <w:rPr>
          <w:rFonts w:hint="eastAsia" w:ascii="仿宋" w:hAnsi="仿宋" w:eastAsia="仿宋" w:cs="仿宋"/>
          <w:b w:val="0"/>
          <w:bCs/>
          <w:color w:val="000000"/>
        </w:rPr>
        <w:t>三、支出决算表</w:t>
      </w:r>
      <w:bookmarkEnd w:id="80"/>
    </w:p>
    <w:p>
      <w:pPr>
        <w:pStyle w:val="6"/>
        <w:ind w:firstLine="640" w:firstLineChars="200"/>
        <w:rPr>
          <w:rFonts w:hint="eastAsia" w:ascii="仿宋" w:hAnsi="仿宋" w:eastAsia="仿宋" w:cs="仿宋"/>
          <w:b w:val="0"/>
          <w:bCs/>
          <w:color w:val="000000"/>
        </w:rPr>
      </w:pPr>
      <w:bookmarkStart w:id="81" w:name="_Toc13139"/>
      <w:r>
        <w:rPr>
          <w:rFonts w:hint="eastAsia" w:ascii="仿宋" w:hAnsi="仿宋" w:eastAsia="仿宋" w:cs="仿宋"/>
          <w:b w:val="0"/>
          <w:bCs/>
          <w:color w:val="000000"/>
        </w:rPr>
        <w:t>四、财政拨款收入支出决算总表</w:t>
      </w:r>
      <w:bookmarkEnd w:id="81"/>
    </w:p>
    <w:p>
      <w:pPr>
        <w:pStyle w:val="6"/>
        <w:ind w:firstLine="640" w:firstLineChars="200"/>
        <w:rPr>
          <w:rFonts w:hint="eastAsia" w:ascii="仿宋" w:hAnsi="仿宋" w:eastAsia="仿宋" w:cs="仿宋"/>
          <w:b w:val="0"/>
          <w:bCs/>
          <w:color w:val="000000"/>
        </w:rPr>
      </w:pPr>
      <w:bookmarkStart w:id="82" w:name="_Toc32484"/>
      <w:r>
        <w:rPr>
          <w:rFonts w:hint="eastAsia" w:ascii="仿宋" w:hAnsi="仿宋" w:eastAsia="仿宋" w:cs="仿宋"/>
          <w:b w:val="0"/>
          <w:bCs/>
          <w:color w:val="000000"/>
        </w:rPr>
        <w:t>五、财政拨款支出决算明细表</w:t>
      </w:r>
      <w:bookmarkEnd w:id="82"/>
    </w:p>
    <w:p>
      <w:pPr>
        <w:pStyle w:val="6"/>
        <w:ind w:firstLine="640" w:firstLineChars="200"/>
        <w:rPr>
          <w:rFonts w:hint="eastAsia" w:ascii="仿宋" w:hAnsi="仿宋" w:eastAsia="仿宋" w:cs="仿宋"/>
          <w:b w:val="0"/>
          <w:bCs/>
          <w:color w:val="000000"/>
        </w:rPr>
      </w:pPr>
      <w:bookmarkStart w:id="83" w:name="_Toc26350"/>
      <w:r>
        <w:rPr>
          <w:rFonts w:hint="eastAsia" w:ascii="仿宋" w:hAnsi="仿宋" w:eastAsia="仿宋" w:cs="仿宋"/>
          <w:b w:val="0"/>
          <w:bCs/>
          <w:color w:val="000000"/>
        </w:rPr>
        <w:t>六、一般公共预算财政拨款支出决算表</w:t>
      </w:r>
      <w:bookmarkEnd w:id="83"/>
    </w:p>
    <w:p>
      <w:pPr>
        <w:pStyle w:val="6"/>
        <w:ind w:firstLine="640" w:firstLineChars="200"/>
        <w:rPr>
          <w:rFonts w:hint="eastAsia" w:ascii="仿宋" w:hAnsi="仿宋" w:eastAsia="仿宋" w:cs="仿宋"/>
          <w:b w:val="0"/>
          <w:bCs/>
          <w:color w:val="000000"/>
        </w:rPr>
      </w:pPr>
      <w:bookmarkStart w:id="84" w:name="_Toc15371"/>
      <w:r>
        <w:rPr>
          <w:rFonts w:hint="eastAsia" w:ascii="仿宋" w:hAnsi="仿宋" w:eastAsia="仿宋" w:cs="仿宋"/>
          <w:b w:val="0"/>
          <w:bCs/>
          <w:color w:val="000000"/>
        </w:rPr>
        <w:t>七、一般公共预算财政拨款支出决算明细表</w:t>
      </w:r>
      <w:bookmarkEnd w:id="84"/>
    </w:p>
    <w:p>
      <w:pPr>
        <w:pStyle w:val="6"/>
        <w:ind w:firstLine="640" w:firstLineChars="200"/>
        <w:rPr>
          <w:rFonts w:hint="eastAsia" w:ascii="仿宋" w:hAnsi="仿宋" w:eastAsia="仿宋" w:cs="仿宋"/>
          <w:b w:val="0"/>
          <w:bCs/>
          <w:color w:val="000000"/>
        </w:rPr>
      </w:pPr>
      <w:bookmarkStart w:id="85" w:name="_Toc3254"/>
      <w:r>
        <w:rPr>
          <w:rFonts w:hint="eastAsia" w:ascii="仿宋" w:hAnsi="仿宋" w:eastAsia="仿宋" w:cs="仿宋"/>
          <w:b w:val="0"/>
          <w:bCs/>
          <w:color w:val="000000"/>
        </w:rPr>
        <w:t>八、一般公共预算财政拨款基本支出决算表</w:t>
      </w:r>
      <w:bookmarkEnd w:id="85"/>
    </w:p>
    <w:p>
      <w:pPr>
        <w:pStyle w:val="6"/>
        <w:ind w:firstLine="640" w:firstLineChars="200"/>
        <w:rPr>
          <w:rFonts w:hint="eastAsia" w:ascii="仿宋" w:hAnsi="仿宋" w:eastAsia="仿宋" w:cs="仿宋"/>
          <w:b w:val="0"/>
          <w:bCs/>
          <w:color w:val="000000"/>
        </w:rPr>
      </w:pPr>
      <w:bookmarkStart w:id="86" w:name="_Toc928"/>
      <w:r>
        <w:rPr>
          <w:rFonts w:hint="eastAsia" w:ascii="仿宋" w:hAnsi="仿宋" w:eastAsia="仿宋" w:cs="仿宋"/>
          <w:b w:val="0"/>
          <w:bCs/>
          <w:color w:val="000000"/>
        </w:rPr>
        <w:t>九、一般公共预算财政拨款项目支出决算表</w:t>
      </w:r>
      <w:bookmarkEnd w:id="86"/>
    </w:p>
    <w:p>
      <w:pPr>
        <w:pStyle w:val="6"/>
        <w:ind w:firstLine="640" w:firstLineChars="200"/>
        <w:rPr>
          <w:rFonts w:hint="eastAsia" w:ascii="仿宋" w:hAnsi="仿宋" w:eastAsia="仿宋" w:cs="仿宋"/>
          <w:b w:val="0"/>
          <w:bCs/>
          <w:color w:val="000000"/>
        </w:rPr>
      </w:pPr>
      <w:bookmarkStart w:id="87" w:name="_Toc6480"/>
      <w:r>
        <w:rPr>
          <w:rFonts w:hint="eastAsia" w:ascii="仿宋" w:hAnsi="仿宋" w:eastAsia="仿宋" w:cs="仿宋"/>
          <w:b w:val="0"/>
          <w:bCs/>
          <w:color w:val="000000"/>
        </w:rPr>
        <w:t>十、政府性基金预算财政拨款收入支出决算表</w:t>
      </w:r>
      <w:bookmarkEnd w:id="87"/>
    </w:p>
    <w:p>
      <w:pPr>
        <w:pStyle w:val="6"/>
        <w:ind w:firstLine="640" w:firstLineChars="200"/>
        <w:rPr>
          <w:rFonts w:hint="eastAsia" w:ascii="仿宋" w:hAnsi="仿宋" w:eastAsia="仿宋" w:cs="仿宋"/>
          <w:b w:val="0"/>
          <w:bCs/>
          <w:color w:val="000000"/>
        </w:rPr>
      </w:pPr>
      <w:bookmarkStart w:id="88" w:name="_Toc2407"/>
      <w:r>
        <w:rPr>
          <w:rFonts w:hint="eastAsia" w:ascii="仿宋" w:hAnsi="仿宋" w:eastAsia="仿宋" w:cs="仿宋"/>
          <w:b w:val="0"/>
          <w:bCs/>
          <w:color w:val="000000"/>
        </w:rPr>
        <w:t>十一、国有资本经营预算财政拨款收入支出决算表</w:t>
      </w:r>
      <w:bookmarkEnd w:id="88"/>
    </w:p>
    <w:p>
      <w:pPr>
        <w:pStyle w:val="6"/>
        <w:ind w:firstLine="640" w:firstLineChars="200"/>
        <w:rPr>
          <w:rFonts w:hint="eastAsia" w:ascii="仿宋" w:hAnsi="仿宋" w:eastAsia="仿宋" w:cs="仿宋"/>
          <w:b w:val="0"/>
          <w:bCs/>
          <w:color w:val="000000"/>
        </w:rPr>
      </w:pPr>
      <w:bookmarkStart w:id="89" w:name="_Toc1115"/>
      <w:r>
        <w:rPr>
          <w:rFonts w:hint="eastAsia" w:ascii="仿宋" w:hAnsi="仿宋" w:eastAsia="仿宋" w:cs="仿宋"/>
          <w:b w:val="0"/>
          <w:bCs/>
          <w:color w:val="000000"/>
        </w:rPr>
        <w:t>十二、国有资本经营预算财政拨款支出决算表</w:t>
      </w:r>
      <w:bookmarkEnd w:id="89"/>
    </w:p>
    <w:p>
      <w:pPr>
        <w:pStyle w:val="6"/>
        <w:ind w:firstLine="640" w:firstLineChars="200"/>
        <w:rPr>
          <w:rFonts w:hint="eastAsia" w:ascii="仿宋" w:hAnsi="仿宋" w:eastAsia="仿宋" w:cs="仿宋"/>
          <w:b w:val="0"/>
          <w:bCs/>
          <w:color w:val="000000"/>
        </w:rPr>
      </w:pPr>
      <w:bookmarkStart w:id="90" w:name="_Toc21957"/>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v:textbox>
            </v:shape>
          </w:pict>
        </mc:Fallback>
      </mc:AlternateContent>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03E2F"/>
    <w:multiLevelType w:val="singleLevel"/>
    <w:tmpl w:val="DB103E2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1ZmM0NTk4ZTVmZWQ2NWIxNDgwM2JiMzEyMmYyYzE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5647CC"/>
    <w:rsid w:val="0463543B"/>
    <w:rsid w:val="048D6B52"/>
    <w:rsid w:val="04A56E6E"/>
    <w:rsid w:val="04D45254"/>
    <w:rsid w:val="04D550AF"/>
    <w:rsid w:val="05082BAB"/>
    <w:rsid w:val="051A6F96"/>
    <w:rsid w:val="05903ABD"/>
    <w:rsid w:val="05C25E8C"/>
    <w:rsid w:val="06951176"/>
    <w:rsid w:val="07001BE1"/>
    <w:rsid w:val="07267DE7"/>
    <w:rsid w:val="088F55D5"/>
    <w:rsid w:val="089C4B49"/>
    <w:rsid w:val="09081517"/>
    <w:rsid w:val="091B747D"/>
    <w:rsid w:val="092E626A"/>
    <w:rsid w:val="09A572B6"/>
    <w:rsid w:val="0A19737C"/>
    <w:rsid w:val="0B7218AA"/>
    <w:rsid w:val="0B99373B"/>
    <w:rsid w:val="0BA37CB5"/>
    <w:rsid w:val="0D0429D6"/>
    <w:rsid w:val="0D093B48"/>
    <w:rsid w:val="0D322E51"/>
    <w:rsid w:val="0D6C338E"/>
    <w:rsid w:val="0DB37F58"/>
    <w:rsid w:val="0E6D2010"/>
    <w:rsid w:val="0EC00B7E"/>
    <w:rsid w:val="0F5E6610"/>
    <w:rsid w:val="0FB52B86"/>
    <w:rsid w:val="0FDB629D"/>
    <w:rsid w:val="0FFD0B0D"/>
    <w:rsid w:val="10154762"/>
    <w:rsid w:val="103747CF"/>
    <w:rsid w:val="103F4D68"/>
    <w:rsid w:val="108F4C47"/>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7F319B6"/>
    <w:rsid w:val="1840212F"/>
    <w:rsid w:val="184656CF"/>
    <w:rsid w:val="193C261A"/>
    <w:rsid w:val="19934117"/>
    <w:rsid w:val="19943114"/>
    <w:rsid w:val="19DE22C0"/>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2857975"/>
    <w:rsid w:val="23902475"/>
    <w:rsid w:val="23FA0B3C"/>
    <w:rsid w:val="240371BF"/>
    <w:rsid w:val="2435534E"/>
    <w:rsid w:val="244017F7"/>
    <w:rsid w:val="24534F10"/>
    <w:rsid w:val="24DF6C66"/>
    <w:rsid w:val="253D03DB"/>
    <w:rsid w:val="253F66D1"/>
    <w:rsid w:val="25A20B86"/>
    <w:rsid w:val="25B1070F"/>
    <w:rsid w:val="25DD571A"/>
    <w:rsid w:val="265C1D1F"/>
    <w:rsid w:val="26BB36DB"/>
    <w:rsid w:val="271C5A93"/>
    <w:rsid w:val="276F1834"/>
    <w:rsid w:val="27B459F9"/>
    <w:rsid w:val="27C51E91"/>
    <w:rsid w:val="280173B2"/>
    <w:rsid w:val="28513369"/>
    <w:rsid w:val="28BF6D42"/>
    <w:rsid w:val="28C822A0"/>
    <w:rsid w:val="292E058E"/>
    <w:rsid w:val="29FD04D3"/>
    <w:rsid w:val="2C1E1BB4"/>
    <w:rsid w:val="2CAE1BBE"/>
    <w:rsid w:val="2CCF04B2"/>
    <w:rsid w:val="2D0372BB"/>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C4A06"/>
    <w:rsid w:val="4A113668"/>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BA6F17"/>
    <w:rsid w:val="53BE2B80"/>
    <w:rsid w:val="54136CE6"/>
    <w:rsid w:val="541505F1"/>
    <w:rsid w:val="54992FD0"/>
    <w:rsid w:val="55872E29"/>
    <w:rsid w:val="56D0674C"/>
    <w:rsid w:val="57D23F06"/>
    <w:rsid w:val="58BA52C3"/>
    <w:rsid w:val="58BC5D23"/>
    <w:rsid w:val="59177DCC"/>
    <w:rsid w:val="59E040FC"/>
    <w:rsid w:val="59E11CD3"/>
    <w:rsid w:val="5A857BDE"/>
    <w:rsid w:val="5B2A4567"/>
    <w:rsid w:val="5BE202EA"/>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F14F12"/>
    <w:rsid w:val="630D013F"/>
    <w:rsid w:val="63347FC4"/>
    <w:rsid w:val="63604CB9"/>
    <w:rsid w:val="64A36D0B"/>
    <w:rsid w:val="64C656C1"/>
    <w:rsid w:val="64F77166"/>
    <w:rsid w:val="65201386"/>
    <w:rsid w:val="657F4183"/>
    <w:rsid w:val="658466A7"/>
    <w:rsid w:val="6596487B"/>
    <w:rsid w:val="65DF63C9"/>
    <w:rsid w:val="662A7F2C"/>
    <w:rsid w:val="66627873"/>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61A4623"/>
    <w:rsid w:val="76377F56"/>
    <w:rsid w:val="764B35A7"/>
    <w:rsid w:val="769E6A57"/>
    <w:rsid w:val="779DC185"/>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semiHidden/>
    <w:qFormat/>
    <w:uiPriority w:val="99"/>
    <w:rPr>
      <w:rFonts w:ascii="Times New Roman" w:hAnsi="Times New Roman"/>
      <w:kern w:val="2"/>
      <w:sz w:val="18"/>
      <w:szCs w:val="18"/>
    </w:rPr>
  </w:style>
  <w:style w:type="character" w:customStyle="1" w:styleId="36">
    <w:name w:val="标题 3 字符"/>
    <w:basedOn w:val="20"/>
    <w:link w:val="7"/>
    <w:qFormat/>
    <w:uiPriority w:val="9"/>
    <w:rPr>
      <w:rFonts w:ascii="Times New Roman" w:hAnsi="Times New Roman"/>
      <w:b/>
      <w:bCs/>
      <w:kern w:val="2"/>
      <w:sz w:val="32"/>
      <w:szCs w:val="32"/>
    </w:rPr>
  </w:style>
  <w:style w:type="character" w:customStyle="1" w:styleId="37">
    <w:name w:val="标题 1 Char"/>
    <w:basedOn w:val="20"/>
    <w:link w:val="5"/>
    <w:qFormat/>
    <w:uiPriority w:val="9"/>
    <w:rPr>
      <w:b/>
      <w:bCs/>
      <w:kern w:val="44"/>
      <w:sz w:val="44"/>
      <w:szCs w:val="44"/>
    </w:rPr>
  </w:style>
  <w:style w:type="character" w:customStyle="1" w:styleId="38">
    <w:name w:val="font41"/>
    <w:basedOn w:val="20"/>
    <w:qFormat/>
    <w:uiPriority w:val="0"/>
    <w:rPr>
      <w:rFonts w:hint="eastAsia" w:ascii="微软雅黑" w:hAnsi="微软雅黑" w:eastAsia="微软雅黑" w:cs="微软雅黑"/>
      <w:i/>
      <w:i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{1738.97,2556.67}</c:f>
              <c:numCache>
                <c:formatCode>General</c:formatCode>
                <c:ptCount val="2"/>
                <c:pt idx="0">
                  <c:v>1738.97</c:v>
                </c:pt>
                <c:pt idx="1">
                  <c:v>2556.67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{2556.67}</c:f>
              <c:numCache>
                <c:formatCode>General</c:formatCode>
                <c:ptCount val="1"/>
                <c:pt idx="0">
                  <c:v>2556.67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{731.94,1824.73}</c:f>
              <c:numCache>
                <c:formatCode>General</c:formatCode>
                <c:ptCount val="2"/>
                <c:pt idx="0">
                  <c:v>731.94</c:v>
                </c:pt>
                <c:pt idx="1">
                  <c:v>1824.73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{1738.97,2556.67}</c:f>
              <c:numCache>
                <c:formatCode>General</c:formatCode>
                <c:ptCount val="2"/>
                <c:pt idx="0">
                  <c:v>1738.97</c:v>
                </c:pt>
                <c:pt idx="1">
                  <c:v>2556.67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{1738.97}</c:f>
              <c:numCache>
                <c:formatCode>General</c:formatCode>
                <c:ptCount val="1"/>
                <c:pt idx="0">
                  <c:v>1738.97</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{2556.67}</c:f>
              <c:numCache>
                <c:formatCode>General</c:formatCode>
                <c:ptCount val="1"/>
                <c:pt idx="0">
                  <c:v>2556.67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{"文化旅游体育与传媒支出","社会保障和就业支出","卫生健康支出","农林水支出","住房保障支出"}</c:f>
              <c:strCache>
                <c:ptCount val="5"/>
                <c:pt idx="0">
                  <c:v>文化旅游体育与传媒支出</c:v>
                </c:pt>
                <c:pt idx="1">
                  <c:v>社会保障和就业支出</c:v>
                </c:pt>
                <c:pt idx="2">
                  <c:v>卫生健康支出</c:v>
                </c:pt>
                <c:pt idx="3">
                  <c:v>农林水支出</c:v>
                </c:pt>
                <c:pt idx="4">
                  <c:v>住房保障支出</c:v>
                </c:pt>
              </c:strCache>
            </c:strRef>
          </c:cat>
          <c:val>
            <c:numRef>
              <c:f>{1890.89,96.1,41.26,478.34,50.08}</c:f>
              <c:numCache>
                <c:formatCode>General</c:formatCode>
                <c:ptCount val="5"/>
                <c:pt idx="0">
                  <c:v>1890.89</c:v>
                </c:pt>
                <c:pt idx="1">
                  <c:v>96.1</c:v>
                </c:pt>
                <c:pt idx="2">
                  <c:v>41.26</c:v>
                </c:pt>
                <c:pt idx="3">
                  <c:v>478.34</c:v>
                </c:pt>
                <c:pt idx="4">
                  <c:v>50.08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{0,8.03,0.43}</c:f>
              <c:numCache>
                <c:formatCode>General</c:formatCode>
                <c:ptCount val="3"/>
                <c:pt idx="0">
                  <c:v>0</c:v>
                </c:pt>
                <c:pt idx="1">
                  <c:v>8.03</c:v>
                </c:pt>
                <c:pt idx="2">
                  <c:v>0.43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57</Pages>
  <Words>22805</Words>
  <Characters>26857</Characters>
  <Lines>1</Lines>
  <Paragraphs>1</Paragraphs>
  <TotalTime>33</TotalTime>
  <ScaleCrop>false</ScaleCrop>
  <LinksUpToDate>false</LinksUpToDate>
  <CharactersWithSpaces>27068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2021-09-26T16:39:00Z</cp:lastPrinted>
  <dcterms:modified xsi:type="dcterms:W3CDTF">2026-04-20T10:38:53Z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1299D18951BE410493814C5A7EEFB11E_13</vt:lpwstr>
  </property>
</Properties>
</file>