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思源黑体 CN Normal" w:hAnsi="思源黑体 CN Normal" w:eastAsia="思源黑体 CN Normal" w:cs="思源黑体 CN Normal"/>
          <w:b/>
          <w:color w:val="000000" w:themeColor="text1"/>
          <w:sz w:val="72"/>
          <w:szCs w:val="72"/>
          <w14:textFill>
            <w14:solidFill>
              <w14:schemeClr w14:val="tx1"/>
            </w14:solidFill>
          </w14:textFill>
        </w:rPr>
      </w:pPr>
      <w:bookmarkStart w:id="0" w:name="_Toc15396475"/>
      <w:bookmarkStart w:id="1" w:name="_Toc15377193"/>
      <w:bookmarkStart w:id="2" w:name="_Toc15377425"/>
      <w:bookmarkStart w:id="3" w:name="_Toc15378441"/>
      <w:bookmarkStart w:id="4" w:name="_Toc15396597"/>
      <w:bookmarkStart w:id="5" w:name="_Toc15306267"/>
    </w:p>
    <w:p>
      <w:pPr>
        <w:pStyle w:val="6"/>
        <w:ind w:firstLine="0"/>
        <w:rPr>
          <w:rFonts w:hint="eastAsia" w:ascii="思源黑体 CN Normal" w:hAnsi="思源黑体 CN Normal" w:eastAsia="思源黑体 CN Normal" w:cs="思源黑体 CN Normal"/>
          <w:color w:val="000000" w:themeColor="text1"/>
          <w14:textFill>
            <w14:solidFill>
              <w14:schemeClr w14:val="tx1"/>
            </w14:solidFill>
          </w14:textFill>
        </w:rPr>
      </w:pPr>
    </w:p>
    <w:p>
      <w:pPr>
        <w:jc w:val="cente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2023</w:t>
      </w:r>
      <w:r>
        <w:rPr>
          <w:rFonts w:ascii="方正小标宋简体" w:hAnsi="方正小标宋简体" w:eastAsia="方正小标宋简体" w:cs="方正小标宋简体"/>
          <w:color w:val="000000"/>
          <w:sz w:val="44"/>
          <w:u w:color="auto"/>
        </w:rPr>
        <w:t>年度</w:t>
      </w:r>
      <w:bookmarkEnd w:id="0"/>
      <w:bookmarkEnd w:id="1"/>
      <w:bookmarkEnd w:id="2"/>
      <w:bookmarkEnd w:id="3"/>
      <w:bookmarkEnd w:id="4"/>
    </w:p>
    <w:bookmarkEnd w:id="5"/>
    <w:p>
      <w:pPr>
        <w:jc w:val="center"/>
        <w:rPr>
          <w:rFonts w:hint="eastAsia" w:ascii="思源黑体 CN Normal" w:hAnsi="思源黑体 CN Normal" w:eastAsia="思源黑体 CN Normal" w:cs="思源黑体 CN Normal"/>
          <w:b w:val="0"/>
          <w:bCs/>
          <w:color w:val="000000" w:themeColor="text1"/>
          <w:sz w:val="44"/>
          <w:szCs w:val="44"/>
          <w14:textFill>
            <w14:solidFill>
              <w14:schemeClr w14:val="tx1"/>
            </w14:solidFill>
          </w14:textFill>
        </w:rPr>
      </w:pPr>
      <w:bookmarkStart w:id="6" w:name="_Toc15306268"/>
      <w:bookmarkStart w:id="7" w:name="_Toc15377194"/>
      <w:bookmarkStart w:id="8" w:name="_Toc15377426"/>
      <w:bookmarkStart w:id="9" w:name="_Toc15396598"/>
      <w:bookmarkStart w:id="10" w:name="_Toc15378442"/>
      <w:bookmarkStart w:id="11" w:name="_Toc15396476"/>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四川省阿坝州茂县茂县文化体育和旅游局部门决</w:t>
      </w:r>
      <w:r>
        <w:rPr>
          <w:rFonts w:ascii="方正小标宋简体" w:hAnsi="方正小标宋简体" w:eastAsia="方正小标宋简体" w:cs="方正小标宋简体"/>
          <w:color w:val="000000"/>
          <w:sz w:val="44"/>
          <w:u w:color="auto"/>
        </w:rPr>
        <w:t>算</w:t>
      </w:r>
      <w:bookmarkEnd w:id="6"/>
      <w:bookmarkEnd w:id="7"/>
      <w:bookmarkEnd w:id="8"/>
      <w:bookmarkEnd w:id="9"/>
      <w:bookmarkEnd w:id="10"/>
      <w:bookmarkEnd w:id="11"/>
    </w:p>
    <w:p>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6"/>
        <w:tabs>
          <w:tab w:val="left" w:pos="3600"/>
        </w:tabs>
        <w:rPr>
          <w:rFonts w:hint="eastAsia" w:ascii="思源黑体 CN Normal" w:hAnsi="思源黑体 CN Normal" w:eastAsia="思源黑体 CN Normal" w:cs="思源黑体 CN Normal"/>
          <w:color w:val="000000" w:themeColor="text1"/>
          <w14:textFill>
            <w14:solidFill>
              <w14:schemeClr w14:val="tx1"/>
            </w14:solidFill>
          </w14:textFill>
        </w:rPr>
      </w:pPr>
      <w:r>
        <w:rPr>
          <w:rFonts w:hint="eastAsia" w:ascii="思源黑体 CN Normal" w:hAnsi="思源黑体 CN Normal" w:eastAsia="思源黑体 CN Normal" w:cs="思源黑体 CN Normal"/>
          <w:color w:val="000000" w:themeColor="text1"/>
          <w14:textFill>
            <w14:solidFill>
              <w14:schemeClr w14:val="tx1"/>
            </w14:solidFill>
          </w14:textFill>
        </w:rPr>
        <w:tab/>
      </w:r>
    </w:p>
    <w:p>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14"/>
        <w:jc w:val="both"/>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br w:type="page"/>
      </w:r>
    </w:p>
    <w:p>
      <w:pPr>
        <w:widowControl/>
        <w:jc w:val="center"/>
        <w:rPr>
          <w:rFonts w:hint="eastAsia" w:ascii="思源黑体 CN Normal" w:hAnsi="思源黑体 CN Normal" w:eastAsia="思源黑体 CN Normal" w:cs="思源黑体 CN Normal"/>
          <w:b w:val="0"/>
          <w:bCs w:val="0"/>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b w:val="0"/>
          <w:bCs w:val="0"/>
          <w:color w:val="000000" w:themeColor="text1"/>
          <w:sz w:val="48"/>
          <w:szCs w:val="48"/>
          <w14:textFill>
            <w14:solidFill>
              <w14:schemeClr w14:val="tx1"/>
            </w14:solidFill>
          </w14:textFill>
        </w:rPr>
        <w:t>目录</w:t>
      </w:r>
    </w:p>
    <w:p>
      <w:pPr>
        <w:pStyle w:val="14"/>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公开时间：20</w:t>
      </w:r>
      <w:r>
        <w:rPr>
          <w:rFonts w:hint="eastAsia"/>
          <w:color w:val="000000" w:themeColor="text1"/>
          <w:highlight w:val="none"/>
          <w:lang w:val="en-US" w:eastAsia="zh-CN"/>
          <w14:textFill>
            <w14:solidFill>
              <w14:schemeClr w14:val="tx1"/>
            </w14:solidFill>
          </w14:textFill>
        </w:rPr>
        <w:t>24</w:t>
      </w:r>
      <w:r>
        <w:rPr>
          <w:rFonts w:hint="eastAsia"/>
          <w:color w:val="000000" w:themeColor="text1"/>
          <w:highlight w:val="none"/>
          <w14:textFill>
            <w14:solidFill>
              <w14:schemeClr w14:val="tx1"/>
            </w14:solidFill>
          </w14:textFill>
        </w:rPr>
        <w:t>年</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月</w:t>
      </w:r>
      <w:r>
        <w:rPr>
          <w:rFonts w:hint="eastAsia"/>
          <w:color w:val="000000" w:themeColor="text1"/>
          <w:highlight w:val="none"/>
          <w:lang w:val="en-US" w:eastAsia="zh-CN"/>
          <w14:textFill>
            <w14:solidFill>
              <w14:schemeClr w14:val="tx1"/>
            </w14:solidFill>
          </w14:textFill>
        </w:rPr>
        <w:t xml:space="preserve">25 </w:t>
      </w:r>
      <w:r>
        <w:rPr>
          <w:rFonts w:hint="eastAsia"/>
          <w:color w:val="000000" w:themeColor="text1"/>
          <w:highlight w:val="none"/>
          <w14:textFill>
            <w14:solidFill>
              <w14:schemeClr w14:val="tx1"/>
            </w14:solidFill>
          </w14:textFill>
        </w:rPr>
        <w:t>日</w:t>
      </w:r>
    </w:p>
    <w:p>
      <w:pPr>
        <w:pStyle w:val="14"/>
        <w:tabs>
          <w:tab w:val="right" w:leader="dot" w:pos="8306"/>
          <w:tab w:val="clear" w:pos="8296"/>
        </w:tabs>
      </w:pPr>
      <w:bookmarkStart w:id="12" w:name="_Toc15377196"/>
      <w:r>
        <w:rPr>
          <w:rFonts w:hint="eastAsia" w:ascii="宋体" w:hAnsi="宋体" w:eastAsia="宋体" w:cs="宋体"/>
          <w:smallCaps/>
          <w:color w:val="000000" w:themeColor="text1"/>
          <w:sz w:val="20"/>
          <w:szCs w:val="20"/>
          <w14:textFill>
            <w14:solidFill>
              <w14:schemeClr w14:val="tx1"/>
            </w14:solidFill>
          </w14:textFill>
        </w:rPr>
        <w:fldChar w:fldCharType="begin"/>
      </w:r>
      <w:r>
        <w:rPr>
          <w:rFonts w:hint="eastAsia" w:ascii="宋体" w:hAnsi="宋体" w:eastAsia="宋体" w:cs="宋体"/>
          <w:smallCaps/>
          <w:color w:val="000000" w:themeColor="text1"/>
          <w:sz w:val="20"/>
          <w:szCs w:val="20"/>
          <w14:textFill>
            <w14:solidFill>
              <w14:schemeClr w14:val="tx1"/>
            </w14:solidFill>
          </w14:textFill>
        </w:rPr>
        <w:instrText xml:space="preserve"> TOC \o "1-2" \h \z \u </w:instrText>
      </w:r>
      <w:r>
        <w:rPr>
          <w:rFonts w:hint="eastAsia" w:ascii="宋体" w:hAnsi="宋体" w:eastAsia="宋体" w:cs="宋体"/>
          <w:smallCaps/>
          <w:color w:val="000000" w:themeColor="text1"/>
          <w:sz w:val="20"/>
          <w:szCs w:val="20"/>
          <w14:textFill>
            <w14:solidFill>
              <w14:schemeClr w14:val="tx1"/>
            </w14:solidFill>
          </w14:textFill>
        </w:rPr>
        <w:fldChar w:fldCharType="separate"/>
      </w: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_Toc19061 </w:instrText>
      </w:r>
      <w:r>
        <w:rPr>
          <w:rFonts w:hint="eastAsia" w:ascii="宋体" w:hAnsi="宋体" w:eastAsia="宋体" w:cs="宋体"/>
          <w:smallCaps/>
          <w:szCs w:val="20"/>
        </w:rPr>
        <w:fldChar w:fldCharType="separate"/>
      </w:r>
      <w:r>
        <w:rPr>
          <w:rFonts w:hint="eastAsia" w:ascii="黑体" w:hAnsi="黑体" w:eastAsia="黑体" w:cs="黑体"/>
          <w:bCs w:val="0"/>
        </w:rPr>
        <w:t>第一部分 部门</w:t>
      </w:r>
      <w:r>
        <w:rPr>
          <w:rFonts w:ascii="黑体" w:hAnsi="黑体" w:eastAsia="黑体" w:cs="黑体"/>
          <w:bCs w:val="0"/>
        </w:rPr>
        <w:t>概况</w:t>
      </w:r>
      <w:r>
        <w:tab/>
      </w:r>
      <w:r>
        <w:fldChar w:fldCharType="begin"/>
      </w:r>
      <w:r>
        <w:instrText xml:space="preserve"> PAGEREF _Toc19061 \h </w:instrText>
      </w:r>
      <w:r>
        <w:fldChar w:fldCharType="separate"/>
      </w:r>
      <w:r>
        <w:t>1</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_Toc27849 </w:instrText>
      </w:r>
      <w:r>
        <w:rPr>
          <w:rFonts w:hint="eastAsia" w:ascii="宋体" w:hAnsi="宋体" w:eastAsia="宋体" w:cs="宋体"/>
          <w:smallCaps/>
          <w:szCs w:val="20"/>
        </w:rPr>
        <w:fldChar w:fldCharType="separate"/>
      </w:r>
      <w:r>
        <w:rPr>
          <w:rFonts w:hint="eastAsia" w:ascii="黑体" w:hAnsi="黑体" w:eastAsia="黑体" w:cs="黑体"/>
          <w:bCs/>
        </w:rPr>
        <w:t>一、</w:t>
      </w:r>
      <w:r>
        <w:rPr>
          <w:rFonts w:hint="eastAsia" w:ascii="黑体" w:hAnsi="黑体" w:eastAsia="黑体" w:cs="黑体"/>
          <w:bCs/>
          <w:lang w:val="en-US" w:eastAsia="zh-CN"/>
        </w:rPr>
        <w:t>部门职责</w:t>
      </w:r>
      <w:r>
        <w:tab/>
      </w:r>
      <w:r>
        <w:fldChar w:fldCharType="begin"/>
      </w:r>
      <w:r>
        <w:instrText xml:space="preserve"> PAGEREF _Toc27849 \h </w:instrText>
      </w:r>
      <w:r>
        <w:fldChar w:fldCharType="separate"/>
      </w:r>
      <w:r>
        <w:t>1</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_Toc13108 </w:instrText>
      </w:r>
      <w:r>
        <w:rPr>
          <w:rFonts w:hint="eastAsia" w:ascii="宋体" w:hAnsi="宋体" w:eastAsia="宋体" w:cs="宋体"/>
          <w:smallCaps/>
          <w:szCs w:val="20"/>
        </w:rPr>
        <w:fldChar w:fldCharType="separate"/>
      </w:r>
      <w:r>
        <w:rPr>
          <w:rFonts w:hint="eastAsia" w:ascii="黑体" w:hAnsi="黑体" w:eastAsia="黑体" w:cs="黑体"/>
          <w:bCs/>
        </w:rPr>
        <w:t>二、机构设置</w:t>
      </w:r>
      <w:r>
        <w:tab/>
      </w:r>
      <w:r>
        <w:fldChar w:fldCharType="begin"/>
      </w:r>
      <w:r>
        <w:instrText xml:space="preserve"> PAGEREF _Toc13108 \h </w:instrText>
      </w:r>
      <w:r>
        <w:fldChar w:fldCharType="separate"/>
      </w:r>
      <w:r>
        <w:t>3</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4"/>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_Toc17906 </w:instrText>
      </w:r>
      <w:r>
        <w:rPr>
          <w:rFonts w:hint="eastAsia" w:ascii="宋体" w:hAnsi="宋体" w:eastAsia="宋体" w:cs="宋体"/>
          <w:smallCaps/>
          <w:szCs w:val="20"/>
        </w:rPr>
        <w:fldChar w:fldCharType="separate"/>
      </w:r>
      <w:r>
        <w:rPr>
          <w:rFonts w:hint="eastAsia" w:ascii="黑体" w:hAnsi="黑体" w:eastAsia="黑体" w:cs="黑体"/>
          <w:bCs w:val="0"/>
        </w:rPr>
        <w:t xml:space="preserve">第二部分 </w:t>
      </w:r>
      <w:r>
        <w:rPr>
          <w:rFonts w:ascii="黑体" w:hAnsi="黑体" w:eastAsia="黑体" w:cs="黑体"/>
        </w:rPr>
        <w:t>2023年度</w:t>
      </w:r>
      <w:r>
        <w:rPr>
          <w:rFonts w:hint="eastAsia" w:ascii="黑体" w:hAnsi="黑体" w:eastAsia="黑体" w:cs="黑体"/>
          <w:bCs w:val="0"/>
          <w:lang w:val="en-US" w:eastAsia="zh-CN"/>
        </w:rPr>
        <w:t>部门</w:t>
      </w:r>
      <w:r>
        <w:rPr>
          <w:rFonts w:hint="eastAsia" w:ascii="黑体" w:hAnsi="黑体" w:eastAsia="黑体" w:cs="黑体"/>
          <w:bCs w:val="0"/>
        </w:rPr>
        <w:t>决算情况说明</w:t>
      </w:r>
      <w:r>
        <w:tab/>
      </w:r>
      <w:r>
        <w:fldChar w:fldCharType="begin"/>
      </w:r>
      <w:r>
        <w:instrText xml:space="preserve"> PAGEREF _Toc17906 \h </w:instrText>
      </w:r>
      <w:r>
        <w:fldChar w:fldCharType="separate"/>
      </w:r>
      <w:r>
        <w:t>4</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_Toc20780 </w:instrText>
      </w:r>
      <w:r>
        <w:rPr>
          <w:rFonts w:hint="eastAsia" w:ascii="宋体" w:hAnsi="宋体" w:eastAsia="宋体" w:cs="宋体"/>
          <w:smallCaps/>
          <w:szCs w:val="20"/>
        </w:rPr>
        <w:fldChar w:fldCharType="separate"/>
      </w:r>
      <w:r>
        <w:rPr>
          <w:rFonts w:hint="eastAsia" w:ascii="黑体" w:hAnsi="黑体" w:eastAsia="黑体" w:cs="黑体"/>
          <w:bCs/>
        </w:rPr>
        <w:t>一、收入支出决算总体情况说明</w:t>
      </w:r>
      <w:r>
        <w:tab/>
      </w:r>
      <w:r>
        <w:fldChar w:fldCharType="begin"/>
      </w:r>
      <w:r>
        <w:instrText xml:space="preserve"> PAGEREF _Toc20780 \h </w:instrText>
      </w:r>
      <w:r>
        <w:fldChar w:fldCharType="separate"/>
      </w:r>
      <w:r>
        <w:t>4</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_Toc17617 </w:instrText>
      </w:r>
      <w:r>
        <w:rPr>
          <w:rFonts w:hint="eastAsia" w:ascii="宋体" w:hAnsi="宋体" w:eastAsia="宋体" w:cs="宋体"/>
          <w:smallCaps/>
          <w:szCs w:val="20"/>
        </w:rPr>
        <w:fldChar w:fldCharType="separate"/>
      </w:r>
      <w:r>
        <w:rPr>
          <w:rFonts w:hint="eastAsia" w:ascii="黑体" w:hAnsi="黑体" w:eastAsia="黑体" w:cs="黑体"/>
          <w:bCs/>
        </w:rPr>
        <w:t>二、收入决算情况说明</w:t>
      </w:r>
      <w:r>
        <w:tab/>
      </w:r>
      <w:r>
        <w:fldChar w:fldCharType="begin"/>
      </w:r>
      <w:r>
        <w:instrText xml:space="preserve"> PAGEREF _Toc17617 \h </w:instrText>
      </w:r>
      <w:r>
        <w:fldChar w:fldCharType="separate"/>
      </w:r>
      <w:r>
        <w:t>4</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_Toc19158 </w:instrText>
      </w:r>
      <w:r>
        <w:rPr>
          <w:rFonts w:hint="eastAsia" w:ascii="宋体" w:hAnsi="宋体" w:eastAsia="宋体" w:cs="宋体"/>
          <w:smallCaps/>
          <w:szCs w:val="20"/>
        </w:rPr>
        <w:fldChar w:fldCharType="separate"/>
      </w:r>
      <w:r>
        <w:rPr>
          <w:rFonts w:hint="eastAsia" w:ascii="黑体" w:hAnsi="黑体" w:eastAsia="黑体" w:cs="黑体"/>
          <w:bCs/>
        </w:rPr>
        <w:t>三、支出决算情况说明</w:t>
      </w:r>
      <w:r>
        <w:tab/>
      </w:r>
      <w:r>
        <w:fldChar w:fldCharType="begin"/>
      </w:r>
      <w:r>
        <w:instrText xml:space="preserve"> PAGEREF _Toc19158 \h </w:instrText>
      </w:r>
      <w:r>
        <w:fldChar w:fldCharType="separate"/>
      </w:r>
      <w:r>
        <w:t>5</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_Toc29464 </w:instrText>
      </w:r>
      <w:r>
        <w:rPr>
          <w:rFonts w:hint="eastAsia" w:ascii="宋体" w:hAnsi="宋体" w:eastAsia="宋体" w:cs="宋体"/>
          <w:smallCaps/>
          <w:szCs w:val="20"/>
        </w:rPr>
        <w:fldChar w:fldCharType="separate"/>
      </w:r>
      <w:r>
        <w:rPr>
          <w:rFonts w:hint="eastAsia" w:ascii="黑体" w:hAnsi="黑体" w:eastAsia="黑体" w:cs="黑体"/>
          <w:bCs/>
        </w:rPr>
        <w:t>四、财政拨款收入支出决算总体情况说明</w:t>
      </w:r>
      <w:r>
        <w:tab/>
      </w:r>
      <w:r>
        <w:fldChar w:fldCharType="begin"/>
      </w:r>
      <w:r>
        <w:instrText xml:space="preserve"> PAGEREF _Toc29464 \h </w:instrText>
      </w:r>
      <w:r>
        <w:fldChar w:fldCharType="separate"/>
      </w:r>
      <w:r>
        <w:t>6</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_Toc29650 </w:instrText>
      </w:r>
      <w:r>
        <w:rPr>
          <w:rFonts w:hint="eastAsia" w:ascii="宋体" w:hAnsi="宋体" w:eastAsia="宋体" w:cs="宋体"/>
          <w:smallCaps/>
          <w:szCs w:val="20"/>
        </w:rPr>
        <w:fldChar w:fldCharType="separate"/>
      </w:r>
      <w:r>
        <w:rPr>
          <w:rFonts w:hint="eastAsia" w:ascii="黑体" w:hAnsi="黑体" w:eastAsia="黑体" w:cs="黑体"/>
          <w:bCs/>
        </w:rPr>
        <w:t>五、一般公共预算财政拨款支出决算情况说明</w:t>
      </w:r>
      <w:r>
        <w:tab/>
      </w:r>
      <w:r>
        <w:fldChar w:fldCharType="begin"/>
      </w:r>
      <w:r>
        <w:instrText xml:space="preserve"> PAGEREF _Toc29650 \h </w:instrText>
      </w:r>
      <w:r>
        <w:fldChar w:fldCharType="separate"/>
      </w:r>
      <w:r>
        <w:t>7</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_Toc19407 </w:instrText>
      </w:r>
      <w:r>
        <w:rPr>
          <w:rFonts w:hint="eastAsia" w:ascii="宋体" w:hAnsi="宋体" w:eastAsia="宋体" w:cs="宋体"/>
          <w:smallCaps/>
          <w:szCs w:val="20"/>
        </w:rPr>
        <w:fldChar w:fldCharType="separate"/>
      </w:r>
      <w:r>
        <w:rPr>
          <w:rFonts w:hint="eastAsia" w:ascii="黑体" w:hAnsi="黑体" w:eastAsia="黑体" w:cs="黑体"/>
          <w:bCs/>
        </w:rPr>
        <w:t>六、一般公共预算财政拨款基本支出决算情况说明</w:t>
      </w:r>
      <w:r>
        <w:tab/>
      </w:r>
      <w:r>
        <w:fldChar w:fldCharType="begin"/>
      </w:r>
      <w:r>
        <w:instrText xml:space="preserve"> PAGEREF _Toc19407 \h </w:instrText>
      </w:r>
      <w:r>
        <w:fldChar w:fldCharType="separate"/>
      </w:r>
      <w:r>
        <w:t>11</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_Toc8521 </w:instrText>
      </w:r>
      <w:r>
        <w:rPr>
          <w:rFonts w:hint="eastAsia" w:ascii="宋体" w:hAnsi="宋体" w:eastAsia="宋体" w:cs="宋体"/>
          <w:smallCaps/>
          <w:szCs w:val="20"/>
        </w:rPr>
        <w:fldChar w:fldCharType="separate"/>
      </w:r>
      <w:r>
        <w:rPr>
          <w:rFonts w:hint="eastAsia" w:ascii="黑体" w:hAnsi="黑体" w:eastAsia="黑体" w:cs="黑体"/>
          <w:bCs/>
        </w:rPr>
        <w:t>七、“三公”经费财政拨款支出决算情况说明</w:t>
      </w:r>
      <w:r>
        <w:tab/>
      </w:r>
      <w:r>
        <w:fldChar w:fldCharType="begin"/>
      </w:r>
      <w:r>
        <w:instrText xml:space="preserve"> PAGEREF _Toc8521 \h </w:instrText>
      </w:r>
      <w:r>
        <w:fldChar w:fldCharType="separate"/>
      </w:r>
      <w:r>
        <w:t>11</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_Toc1208 </w:instrText>
      </w:r>
      <w:r>
        <w:rPr>
          <w:rFonts w:hint="eastAsia" w:ascii="宋体" w:hAnsi="宋体" w:eastAsia="宋体" w:cs="宋体"/>
          <w:smallCaps/>
          <w:szCs w:val="20"/>
        </w:rPr>
        <w:fldChar w:fldCharType="separate"/>
      </w:r>
      <w:r>
        <w:rPr>
          <w:rFonts w:hint="eastAsia" w:ascii="黑体" w:hAnsi="黑体" w:eastAsia="黑体" w:cs="黑体"/>
          <w:bCs/>
        </w:rPr>
        <w:t>八、政府性基金预算支出决算情况说明</w:t>
      </w:r>
      <w:r>
        <w:tab/>
      </w:r>
      <w:r>
        <w:fldChar w:fldCharType="begin"/>
      </w:r>
      <w:r>
        <w:instrText xml:space="preserve"> PAGEREF _Toc1208 \h </w:instrText>
      </w:r>
      <w:r>
        <w:fldChar w:fldCharType="separate"/>
      </w:r>
      <w:r>
        <w:t>13</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_Toc31303 </w:instrText>
      </w:r>
      <w:r>
        <w:rPr>
          <w:rFonts w:hint="eastAsia" w:ascii="宋体" w:hAnsi="宋体" w:eastAsia="宋体" w:cs="宋体"/>
          <w:smallCaps/>
          <w:szCs w:val="20"/>
        </w:rPr>
        <w:fldChar w:fldCharType="separate"/>
      </w:r>
      <w:r>
        <w:rPr>
          <w:rFonts w:hint="eastAsia" w:ascii="黑体" w:hAnsi="黑体" w:eastAsia="黑体" w:cs="黑体"/>
          <w:bCs/>
        </w:rPr>
        <w:t>九、国有资本经营预算支出决算情况说明</w:t>
      </w:r>
      <w:r>
        <w:tab/>
      </w:r>
      <w:r>
        <w:fldChar w:fldCharType="begin"/>
      </w:r>
      <w:r>
        <w:instrText xml:space="preserve"> PAGEREF _Toc31303 \h </w:instrText>
      </w:r>
      <w:r>
        <w:fldChar w:fldCharType="separate"/>
      </w:r>
      <w:r>
        <w:t>13</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_Toc6072 </w:instrText>
      </w:r>
      <w:r>
        <w:rPr>
          <w:rFonts w:hint="eastAsia" w:ascii="宋体" w:hAnsi="宋体" w:eastAsia="宋体" w:cs="宋体"/>
          <w:smallCaps/>
          <w:szCs w:val="20"/>
        </w:rPr>
        <w:fldChar w:fldCharType="separate"/>
      </w:r>
      <w:r>
        <w:rPr>
          <w:rFonts w:hint="eastAsia" w:ascii="黑体" w:hAnsi="黑体" w:eastAsia="黑体" w:cs="黑体"/>
          <w:bCs/>
        </w:rPr>
        <w:t>十、其他重要事项的情况说明</w:t>
      </w:r>
      <w:r>
        <w:tab/>
      </w:r>
      <w:r>
        <w:fldChar w:fldCharType="begin"/>
      </w:r>
      <w:r>
        <w:instrText xml:space="preserve"> PAGEREF _Toc6072 \h </w:instrText>
      </w:r>
      <w:r>
        <w:fldChar w:fldCharType="separate"/>
      </w:r>
      <w:r>
        <w:t>13</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4"/>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_Toc27645 </w:instrText>
      </w:r>
      <w:r>
        <w:rPr>
          <w:rFonts w:hint="eastAsia" w:ascii="宋体" w:hAnsi="宋体" w:eastAsia="宋体" w:cs="宋体"/>
          <w:smallCaps/>
          <w:szCs w:val="20"/>
        </w:rPr>
        <w:fldChar w:fldCharType="separate"/>
      </w:r>
      <w:r>
        <w:rPr>
          <w:rFonts w:hint="eastAsia" w:ascii="黑体" w:hAnsi="黑体" w:eastAsia="黑体" w:cs="黑体"/>
          <w:bCs w:val="0"/>
        </w:rPr>
        <w:t>第三部分 名词解释</w:t>
      </w:r>
      <w:r>
        <w:tab/>
      </w:r>
      <w:r>
        <w:fldChar w:fldCharType="begin"/>
      </w:r>
      <w:r>
        <w:instrText xml:space="preserve"> PAGEREF _Toc27645 \h </w:instrText>
      </w:r>
      <w:r>
        <w:fldChar w:fldCharType="separate"/>
      </w:r>
      <w:r>
        <w:t>16</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4"/>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_Toc13459 </w:instrText>
      </w:r>
      <w:r>
        <w:rPr>
          <w:rFonts w:hint="eastAsia" w:ascii="宋体" w:hAnsi="宋体" w:eastAsia="宋体" w:cs="宋体"/>
          <w:smallCaps/>
          <w:szCs w:val="20"/>
        </w:rPr>
        <w:fldChar w:fldCharType="separate"/>
      </w:r>
      <w:r>
        <w:rPr>
          <w:rFonts w:hint="eastAsia" w:ascii="黑体" w:hAnsi="黑体" w:eastAsia="黑体" w:cs="黑体"/>
          <w:bCs w:val="0"/>
        </w:rPr>
        <w:t>第四部分 附件</w:t>
      </w:r>
      <w:r>
        <w:tab/>
      </w:r>
      <w:r>
        <w:fldChar w:fldCharType="begin"/>
      </w:r>
      <w:r>
        <w:instrText xml:space="preserve"> PAGEREF _Toc13459 \h </w:instrText>
      </w:r>
      <w:r>
        <w:fldChar w:fldCharType="separate"/>
      </w:r>
      <w:r>
        <w:t>21</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4"/>
        <w:tabs>
          <w:tab w:val="right" w:leader="dot" w:pos="8306"/>
          <w:tab w:val="clear" w:pos="8296"/>
        </w:tabs>
        <w:rPr>
          <w:rFonts w:hint="eastAsia" w:eastAsia="宋体"/>
          <w:lang w:val="en-US" w:eastAsia="zh-CN"/>
        </w:rPr>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_Toc26898 </w:instrText>
      </w:r>
      <w:r>
        <w:rPr>
          <w:rFonts w:hint="eastAsia" w:ascii="宋体" w:hAnsi="宋体" w:eastAsia="宋体" w:cs="宋体"/>
          <w:smallCaps/>
          <w:szCs w:val="20"/>
        </w:rPr>
        <w:fldChar w:fldCharType="separate"/>
      </w:r>
      <w:r>
        <w:rPr>
          <w:rFonts w:hint="eastAsia" w:ascii="黑体" w:hAnsi="黑体" w:eastAsia="黑体"/>
          <w:highlight w:val="none"/>
        </w:rPr>
        <w:t>第五部分 附表</w:t>
      </w:r>
      <w:r>
        <w:tab/>
      </w:r>
      <w:r>
        <w:rPr>
          <w:rFonts w:hint="eastAsia"/>
          <w:lang w:val="en-US" w:eastAsia="zh-CN"/>
        </w:rPr>
        <w:t>5</w:t>
      </w:r>
      <w:r>
        <w:rPr>
          <w:rFonts w:hint="eastAsia" w:ascii="宋体" w:hAnsi="宋体" w:eastAsia="宋体" w:cs="宋体"/>
          <w:smallCaps/>
          <w:color w:val="000000" w:themeColor="text1"/>
          <w:szCs w:val="20"/>
          <w14:textFill>
            <w14:solidFill>
              <w14:schemeClr w14:val="tx1"/>
            </w14:solidFill>
          </w14:textFill>
        </w:rPr>
        <w:fldChar w:fldCharType="end"/>
      </w:r>
      <w:r>
        <w:rPr>
          <w:rFonts w:hint="eastAsia" w:ascii="宋体" w:hAnsi="宋体" w:eastAsia="宋体" w:cs="宋体"/>
          <w:smallCaps/>
          <w:color w:val="000000" w:themeColor="text1"/>
          <w:szCs w:val="20"/>
          <w:lang w:val="en-US" w:eastAsia="zh-CN"/>
          <w14:textFill>
            <w14:solidFill>
              <w14:schemeClr w14:val="tx1"/>
            </w14:solidFill>
          </w14:textFill>
        </w:rPr>
        <w:t>5</w:t>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_Toc17791 </w:instrText>
      </w:r>
      <w:r>
        <w:rPr>
          <w:rFonts w:hint="eastAsia" w:ascii="宋体" w:hAnsi="宋体" w:eastAsia="宋体" w:cs="宋体"/>
          <w:smallCaps/>
          <w:szCs w:val="20"/>
        </w:rPr>
        <w:fldChar w:fldCharType="separate"/>
      </w:r>
      <w:r>
        <w:rPr>
          <w:rFonts w:hint="eastAsia" w:ascii="仿宋" w:hAnsi="仿宋" w:eastAsia="仿宋" w:cs="仿宋"/>
          <w:bCs/>
        </w:rPr>
        <w:t>一、收入支出决算总表</w:t>
      </w:r>
      <w:r>
        <w:tab/>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_Toc5222 </w:instrText>
      </w:r>
      <w:r>
        <w:rPr>
          <w:rFonts w:hint="eastAsia" w:ascii="宋体" w:hAnsi="宋体" w:eastAsia="宋体" w:cs="宋体"/>
          <w:smallCaps/>
          <w:szCs w:val="20"/>
        </w:rPr>
        <w:fldChar w:fldCharType="separate"/>
      </w:r>
      <w:r>
        <w:rPr>
          <w:rFonts w:hint="eastAsia" w:ascii="仿宋" w:hAnsi="仿宋" w:eastAsia="仿宋" w:cs="仿宋"/>
          <w:bCs/>
        </w:rPr>
        <w:t>二、收入决算表</w:t>
      </w:r>
      <w:r>
        <w:tab/>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_Toc17755 </w:instrText>
      </w:r>
      <w:r>
        <w:rPr>
          <w:rFonts w:hint="eastAsia" w:ascii="宋体" w:hAnsi="宋体" w:eastAsia="宋体" w:cs="宋体"/>
          <w:smallCaps/>
          <w:szCs w:val="20"/>
        </w:rPr>
        <w:fldChar w:fldCharType="separate"/>
      </w:r>
      <w:r>
        <w:rPr>
          <w:rFonts w:hint="eastAsia" w:ascii="仿宋" w:hAnsi="仿宋" w:eastAsia="仿宋" w:cs="仿宋"/>
          <w:bCs/>
        </w:rPr>
        <w:t>三、支出决算表</w:t>
      </w:r>
      <w:r>
        <w:tab/>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_Toc15087 </w:instrText>
      </w:r>
      <w:r>
        <w:rPr>
          <w:rFonts w:hint="eastAsia" w:ascii="宋体" w:hAnsi="宋体" w:eastAsia="宋体" w:cs="宋体"/>
          <w:smallCaps/>
          <w:szCs w:val="20"/>
        </w:rPr>
        <w:fldChar w:fldCharType="separate"/>
      </w:r>
      <w:r>
        <w:rPr>
          <w:rFonts w:hint="eastAsia" w:ascii="仿宋" w:hAnsi="仿宋" w:eastAsia="仿宋" w:cs="仿宋"/>
          <w:bCs/>
        </w:rPr>
        <w:t>四、财政拨款收入支出决算总表</w:t>
      </w:r>
      <w:r>
        <w:tab/>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_Toc23691 </w:instrText>
      </w:r>
      <w:r>
        <w:rPr>
          <w:rFonts w:hint="eastAsia" w:ascii="宋体" w:hAnsi="宋体" w:eastAsia="宋体" w:cs="宋体"/>
          <w:smallCaps/>
          <w:szCs w:val="20"/>
        </w:rPr>
        <w:fldChar w:fldCharType="separate"/>
      </w:r>
      <w:r>
        <w:rPr>
          <w:rFonts w:hint="eastAsia" w:ascii="仿宋" w:hAnsi="仿宋" w:eastAsia="仿宋" w:cs="仿宋"/>
          <w:bCs/>
        </w:rPr>
        <w:t>五、财政拨款支出决算明细表</w:t>
      </w:r>
      <w:r>
        <w:tab/>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_Toc23970 </w:instrText>
      </w:r>
      <w:r>
        <w:rPr>
          <w:rFonts w:hint="eastAsia" w:ascii="宋体" w:hAnsi="宋体" w:eastAsia="宋体" w:cs="宋体"/>
          <w:smallCaps/>
          <w:szCs w:val="20"/>
        </w:rPr>
        <w:fldChar w:fldCharType="separate"/>
      </w:r>
      <w:r>
        <w:rPr>
          <w:rFonts w:hint="eastAsia" w:ascii="仿宋" w:hAnsi="仿宋" w:eastAsia="仿宋" w:cs="仿宋"/>
          <w:bCs/>
        </w:rPr>
        <w:t>六、一般公共预算财政拨款支出决算表</w:t>
      </w:r>
      <w:r>
        <w:tab/>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_Toc8648 </w:instrText>
      </w:r>
      <w:r>
        <w:rPr>
          <w:rFonts w:hint="eastAsia" w:ascii="宋体" w:hAnsi="宋体" w:eastAsia="宋体" w:cs="宋体"/>
          <w:smallCaps/>
          <w:szCs w:val="20"/>
        </w:rPr>
        <w:fldChar w:fldCharType="separate"/>
      </w:r>
      <w:r>
        <w:rPr>
          <w:rFonts w:hint="eastAsia" w:ascii="仿宋" w:hAnsi="仿宋" w:eastAsia="仿宋" w:cs="仿宋"/>
          <w:bCs/>
        </w:rPr>
        <w:t>七、一般公共预算财政拨款支出决算明细表</w:t>
      </w:r>
      <w:r>
        <w:tab/>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_Toc21383 </w:instrText>
      </w:r>
      <w:r>
        <w:rPr>
          <w:rFonts w:hint="eastAsia" w:ascii="宋体" w:hAnsi="宋体" w:eastAsia="宋体" w:cs="宋体"/>
          <w:smallCaps/>
          <w:szCs w:val="20"/>
        </w:rPr>
        <w:fldChar w:fldCharType="separate"/>
      </w:r>
      <w:r>
        <w:rPr>
          <w:rFonts w:hint="eastAsia" w:ascii="仿宋" w:hAnsi="仿宋" w:eastAsia="仿宋" w:cs="仿宋"/>
          <w:bCs/>
        </w:rPr>
        <w:t>八、一般公共预算财政拨款基本支出决算表</w:t>
      </w:r>
      <w:r>
        <w:tab/>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_Toc1640 </w:instrText>
      </w:r>
      <w:r>
        <w:rPr>
          <w:rFonts w:hint="eastAsia" w:ascii="宋体" w:hAnsi="宋体" w:eastAsia="宋体" w:cs="宋体"/>
          <w:smallCaps/>
          <w:szCs w:val="20"/>
        </w:rPr>
        <w:fldChar w:fldCharType="separate"/>
      </w:r>
      <w:r>
        <w:rPr>
          <w:rFonts w:hint="eastAsia" w:ascii="仿宋" w:hAnsi="仿宋" w:eastAsia="仿宋" w:cs="仿宋"/>
          <w:bCs/>
        </w:rPr>
        <w:t>九、一般公共预算财政拨款项目支出决算表</w:t>
      </w:r>
      <w:r>
        <w:tab/>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_Toc3420 </w:instrText>
      </w:r>
      <w:r>
        <w:rPr>
          <w:rFonts w:hint="eastAsia" w:ascii="宋体" w:hAnsi="宋体" w:eastAsia="宋体" w:cs="宋体"/>
          <w:smallCaps/>
          <w:szCs w:val="20"/>
        </w:rPr>
        <w:fldChar w:fldCharType="separate"/>
      </w:r>
      <w:r>
        <w:rPr>
          <w:rFonts w:hint="eastAsia" w:ascii="仿宋" w:hAnsi="仿宋" w:eastAsia="仿宋" w:cs="仿宋"/>
          <w:bCs/>
        </w:rPr>
        <w:t>十、政府性基金预算财政拨款收入支出决算表</w:t>
      </w:r>
      <w:r>
        <w:tab/>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_Toc29160 </w:instrText>
      </w:r>
      <w:r>
        <w:rPr>
          <w:rFonts w:hint="eastAsia" w:ascii="宋体" w:hAnsi="宋体" w:eastAsia="宋体" w:cs="宋体"/>
          <w:smallCaps/>
          <w:szCs w:val="20"/>
        </w:rPr>
        <w:fldChar w:fldCharType="separate"/>
      </w:r>
      <w:r>
        <w:rPr>
          <w:rFonts w:hint="eastAsia" w:ascii="仿宋" w:hAnsi="仿宋" w:eastAsia="仿宋" w:cs="仿宋"/>
          <w:bCs/>
        </w:rPr>
        <w:t>十一、国有资本经营预算财政拨款收入支出决算表</w:t>
      </w:r>
      <w:r>
        <w:tab/>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_Toc3966 </w:instrText>
      </w:r>
      <w:r>
        <w:rPr>
          <w:rFonts w:hint="eastAsia" w:ascii="宋体" w:hAnsi="宋体" w:eastAsia="宋体" w:cs="宋体"/>
          <w:smallCaps/>
          <w:szCs w:val="20"/>
        </w:rPr>
        <w:fldChar w:fldCharType="separate"/>
      </w:r>
      <w:r>
        <w:rPr>
          <w:rFonts w:hint="eastAsia" w:ascii="仿宋" w:hAnsi="仿宋" w:eastAsia="仿宋" w:cs="仿宋"/>
          <w:bCs/>
        </w:rPr>
        <w:t>十二、国有资本经营预算财政拨款支出决算表</w:t>
      </w:r>
      <w:r>
        <w:tab/>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_Toc28349 </w:instrText>
      </w:r>
      <w:r>
        <w:rPr>
          <w:rFonts w:hint="eastAsia" w:ascii="宋体" w:hAnsi="宋体" w:eastAsia="宋体" w:cs="宋体"/>
          <w:smallCaps/>
          <w:szCs w:val="20"/>
        </w:rPr>
        <w:fldChar w:fldCharType="separate"/>
      </w:r>
      <w:r>
        <w:rPr>
          <w:rFonts w:hint="eastAsia" w:ascii="仿宋" w:hAnsi="仿宋" w:eastAsia="仿宋" w:cs="仿宋"/>
          <w:bCs/>
        </w:rPr>
        <w:t>十三、财政拨款“三公”经费支出决算表</w:t>
      </w:r>
      <w:r>
        <w:tab/>
      </w:r>
      <w:r>
        <w:rPr>
          <w:rFonts w:hint="eastAsia" w:ascii="宋体" w:hAnsi="宋体" w:eastAsia="宋体" w:cs="宋体"/>
          <w:smallCaps/>
          <w:color w:val="000000" w:themeColor="text1"/>
          <w:szCs w:val="20"/>
          <w14:textFill>
            <w14:solidFill>
              <w14:schemeClr w14:val="tx1"/>
            </w14:solidFill>
          </w14:textFill>
        </w:rPr>
        <w:fldChar w:fldCharType="end"/>
      </w:r>
    </w:p>
    <w:p>
      <w:pPr>
        <w:pStyle w:val="6"/>
        <w:rPr>
          <w:rFonts w:hint="eastAsia" w:ascii="宋体" w:hAnsi="宋体" w:eastAsia="宋体" w:cs="宋体"/>
        </w:rPr>
      </w:pPr>
      <w:r>
        <w:rPr>
          <w:rFonts w:hint="eastAsia" w:ascii="宋体" w:hAnsi="宋体" w:eastAsia="宋体" w:cs="宋体"/>
          <w:smallCaps/>
          <w:color w:val="000000" w:themeColor="text1"/>
          <w:szCs w:val="20"/>
          <w14:textFill>
            <w14:solidFill>
              <w14:schemeClr w14:val="tx1"/>
            </w14:solidFill>
          </w14:textFill>
        </w:rPr>
        <w:fldChar w:fldCharType="end"/>
      </w:r>
    </w:p>
    <w:p>
      <w:pPr>
        <w:pStyle w:val="3"/>
        <w:jc w:val="center"/>
        <w:rPr>
          <w:rFonts w:hint="eastAsia" w:ascii="黑体" w:hAnsi="黑体" w:eastAsia="黑体" w:cs="黑体"/>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bookmarkStart w:id="13" w:name="_Toc111208495"/>
    </w:p>
    <w:p>
      <w:pPr>
        <w:pStyle w:val="3"/>
        <w:jc w:val="center"/>
        <w:rPr>
          <w:rFonts w:hint="eastAsia" w:ascii="黑体" w:hAnsi="黑体" w:eastAsia="黑体" w:cs="黑体"/>
          <w:b w:val="0"/>
          <w:bCs w:val="0"/>
        </w:rPr>
      </w:pPr>
      <w:bookmarkStart w:id="14" w:name="_Toc19061"/>
      <w:r>
        <w:rPr>
          <w:rFonts w:hint="eastAsia" w:ascii="黑体" w:hAnsi="黑体" w:eastAsia="黑体" w:cs="黑体"/>
          <w:b w:val="0"/>
          <w:bCs w:val="0"/>
        </w:rPr>
        <w:t xml:space="preserve">第一部分 </w:t>
      </w:r>
      <w:r>
        <w:rPr>
          <w:rStyle w:val="33"/>
          <w:rFonts w:hint="eastAsia" w:ascii="黑体" w:hAnsi="黑体" w:eastAsia="黑体" w:cs="黑体"/>
          <w:b w:val="0"/>
          <w:bCs w:val="0"/>
        </w:rPr>
        <w:t>部门</w:t>
      </w:r>
      <w:r>
        <w:rPr>
          <w:rStyle w:val="33"/>
          <w:rFonts w:ascii="黑体" w:hAnsi="黑体" w:eastAsia="黑体" w:cs="黑体"/>
          <w:b w:val="0"/>
          <w:bCs w:val="0"/>
          <w:u w:color="auto"/>
        </w:rPr>
        <w:t>概况</w:t>
      </w:r>
      <w:bookmarkEnd w:id="12"/>
      <w:bookmarkEnd w:id="13"/>
      <w:bookmarkEnd w:id="14"/>
    </w:p>
    <w:p>
      <w:pPr>
        <w:pStyle w:val="4"/>
        <w:ind w:firstLine="640" w:firstLineChars="200"/>
        <w:rPr>
          <w:rFonts w:hint="eastAsia" w:ascii="黑体" w:hAnsi="黑体" w:eastAsia="黑体" w:cs="黑体"/>
          <w:b w:val="0"/>
          <w:bCs/>
          <w:color w:val="000000"/>
          <w:lang w:val="en-US" w:eastAsia="zh-CN"/>
        </w:rPr>
      </w:pPr>
      <w:bookmarkStart w:id="15" w:name="_Toc113981010"/>
      <w:bookmarkStart w:id="16" w:name="_Toc15377197"/>
      <w:bookmarkStart w:id="17" w:name="_Toc111208496"/>
      <w:bookmarkStart w:id="18" w:name="_Toc27849"/>
      <w:bookmarkStart w:id="19" w:name="_Toc15377204"/>
      <w:r>
        <w:rPr>
          <w:rFonts w:hint="eastAsia" w:ascii="黑体" w:hAnsi="黑体" w:eastAsia="黑体" w:cs="黑体"/>
          <w:b w:val="0"/>
          <w:bCs/>
          <w:color w:val="000000"/>
        </w:rPr>
        <w:t>一、</w:t>
      </w:r>
      <w:bookmarkEnd w:id="15"/>
      <w:bookmarkEnd w:id="16"/>
      <w:bookmarkEnd w:id="17"/>
      <w:bookmarkStart w:id="20" w:name="_Toc15378445"/>
      <w:bookmarkStart w:id="21" w:name="_Toc15377198"/>
      <w:r>
        <w:rPr>
          <w:rFonts w:hint="eastAsia" w:ascii="黑体" w:hAnsi="黑体" w:eastAsia="黑体" w:cs="黑体"/>
          <w:b w:val="0"/>
          <w:bCs/>
          <w:color w:val="000000"/>
          <w:lang w:val="en-US" w:eastAsia="zh-CN"/>
        </w:rPr>
        <w:t>部门职责</w:t>
      </w:r>
      <w:bookmarkEnd w:id="18"/>
    </w:p>
    <w:bookmarkEnd w:id="20"/>
    <w:bookmarkEnd w:id="21"/>
    <w:p>
      <w:pPr>
        <w:keepNext w:val="0"/>
        <w:keepLines w:val="0"/>
        <w:widowControl w:val="0"/>
        <w:suppressLineNumbers w:val="0"/>
        <w:shd w:val="clear" w:fill="FFFFFF"/>
        <w:spacing w:before="0" w:beforeAutospacing="0" w:after="0" w:afterAutospacing="0" w:line="560" w:lineRule="exact"/>
        <w:ind w:left="0" w:right="0" w:firstLine="640" w:firstLineChars="200"/>
        <w:jc w:val="left"/>
        <w:rPr>
          <w:rFonts w:hint="eastAsia" w:ascii="仿宋" w:hAnsi="仿宋" w:eastAsia="仿宋" w:cs="仿宋"/>
          <w:kern w:val="2"/>
          <w:sz w:val="32"/>
          <w:szCs w:val="32"/>
          <w:shd w:val="clear" w:fill="FFFFFF"/>
        </w:rPr>
      </w:pPr>
      <w:bookmarkStart w:id="22" w:name="_Toc111208497"/>
      <w:bookmarkStart w:id="23" w:name="_Toc15377200"/>
      <w:bookmarkStart w:id="24" w:name="_Toc113981011"/>
      <w:r>
        <w:rPr>
          <w:rFonts w:hint="eastAsia" w:ascii="仿宋" w:hAnsi="仿宋" w:eastAsia="仿宋" w:cs="仿宋"/>
          <w:kern w:val="2"/>
          <w:sz w:val="32"/>
          <w:szCs w:val="32"/>
          <w:shd w:val="clear" w:fill="FFFFFF"/>
          <w:lang w:val="en-US" w:eastAsia="zh-CN" w:bidi="ar"/>
        </w:rPr>
        <w:t>1.贯彻执行国家、省、州关于文化、体育、旅游、广播电视管理的方针、政策和法律、法规、规章；拟定全县文化、体育、旅游、广播电视规范性文件，并监督实施。拟订我县文化体育和旅游政策措施，负责本部门依法行政工作。</w:t>
      </w:r>
    </w:p>
    <w:p>
      <w:pPr>
        <w:keepNext w:val="0"/>
        <w:keepLines w:val="0"/>
        <w:widowControl w:val="0"/>
        <w:suppressLineNumbers w:val="0"/>
        <w:shd w:val="clear" w:fill="FFFFFF"/>
        <w:spacing w:before="0" w:beforeAutospacing="0" w:after="0" w:afterAutospacing="0" w:line="560" w:lineRule="exact"/>
        <w:ind w:left="0" w:right="0" w:firstLine="640" w:firstLineChars="20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lang w:val="en-US" w:eastAsia="zh-CN" w:bidi="ar"/>
        </w:rPr>
        <w:t>2.组织推动全县文化体育事业、文化体育产业和旅游业发展，拟订发展规划并组织实施，推进文化体育和旅游体制机制改革，推进文化体育和旅游融合发展。指导重点文化体育旅游企业发展和招商引资工作。</w:t>
      </w:r>
    </w:p>
    <w:p>
      <w:pPr>
        <w:keepNext w:val="0"/>
        <w:keepLines w:val="0"/>
        <w:widowControl w:val="0"/>
        <w:suppressLineNumbers w:val="0"/>
        <w:shd w:val="clear" w:fill="FFFFFF"/>
        <w:spacing w:before="0" w:beforeAutospacing="0" w:after="0" w:afterAutospacing="0" w:line="560" w:lineRule="exact"/>
        <w:ind w:left="0" w:right="0" w:firstLine="640" w:firstLineChars="20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lang w:val="en-US" w:eastAsia="zh-CN" w:bidi="ar"/>
        </w:rPr>
        <w:t>3.组织实施全县文化、体育和旅游资源的普查、保护与利用；管理全县重大文化体育和旅游活动，指导全县重点文化体育和旅游设施建设，组织实施全县文化体育和旅游整体形象推广，促进文化、体育、旅游产业市场推广和对外合作交流，制定文化体育和旅游市场开发战略并组织实施，推进全域旅游。</w:t>
      </w:r>
    </w:p>
    <w:p>
      <w:pPr>
        <w:keepNext w:val="0"/>
        <w:keepLines w:val="0"/>
        <w:widowControl w:val="0"/>
        <w:suppressLineNumbers w:val="0"/>
        <w:shd w:val="clear" w:fill="FFFFFF"/>
        <w:spacing w:before="0" w:beforeAutospacing="0" w:after="0" w:afterAutospacing="0" w:line="560" w:lineRule="exact"/>
        <w:ind w:left="0" w:right="0" w:firstLine="640" w:firstLineChars="200"/>
        <w:jc w:val="both"/>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lang w:val="en-US" w:eastAsia="zh-CN" w:bidi="ar"/>
        </w:rPr>
        <w:t>4.指导管理全县群众文化艺术事业，指导协调文化艺术创作与生产；指导、协调全县民间艺术的挖掘和整理；指导图书文献资源和共享工程的建设、开发和利用；管理全县文物事业和博物馆事业，协调全县文物管理、保护、抢救、利用等工作；推动中华优秀传统文化和古羌文化传承发展，承担基层文化建设责任。</w:t>
      </w:r>
    </w:p>
    <w:p>
      <w:pPr>
        <w:keepNext w:val="0"/>
        <w:keepLines w:val="0"/>
        <w:widowControl w:val="0"/>
        <w:suppressLineNumbers w:val="0"/>
        <w:shd w:val="clear" w:fill="FFFFFF"/>
        <w:spacing w:before="0" w:beforeAutospacing="0" w:after="0" w:afterAutospacing="0" w:line="560" w:lineRule="exact"/>
        <w:ind w:left="0" w:right="0" w:firstLine="640" w:firstLineChars="200"/>
        <w:jc w:val="both"/>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lang w:val="en-US" w:eastAsia="zh-CN" w:bidi="ar"/>
        </w:rPr>
        <w:t>5.承担公共文化事业发展责任，推进全县公共文化体育服务体系建设和旅游公共服务建设，深入实施文化惠民工程，统筹推进基本公共文化服务标准化、均等化。</w:t>
      </w:r>
    </w:p>
    <w:p>
      <w:pPr>
        <w:keepNext w:val="0"/>
        <w:keepLines w:val="0"/>
        <w:widowControl w:val="0"/>
        <w:suppressLineNumbers w:val="0"/>
        <w:shd w:val="clear" w:fill="FFFFFF"/>
        <w:spacing w:before="0" w:beforeAutospacing="0" w:after="0" w:afterAutospacing="0" w:line="560" w:lineRule="exact"/>
        <w:ind w:left="0" w:right="0" w:firstLine="640" w:firstLineChars="200"/>
        <w:jc w:val="both"/>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lang w:val="en-US" w:eastAsia="zh-CN" w:bidi="ar"/>
        </w:rPr>
        <w:t>6.推进文化、体育和旅游科技创新，推进文化、体育和旅游行业信息化、标准化建设。</w:t>
      </w:r>
    </w:p>
    <w:p>
      <w:pPr>
        <w:keepNext w:val="0"/>
        <w:keepLines w:val="0"/>
        <w:widowControl w:val="0"/>
        <w:suppressLineNumbers w:val="0"/>
        <w:shd w:val="clear" w:fill="FFFFFF"/>
        <w:spacing w:before="0" w:beforeAutospacing="0" w:after="0" w:afterAutospacing="0" w:line="560" w:lineRule="exact"/>
        <w:ind w:left="0" w:right="0" w:firstLine="640" w:firstLineChars="200"/>
        <w:jc w:val="both"/>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lang w:val="en-US" w:eastAsia="zh-CN" w:bidi="ar"/>
        </w:rPr>
        <w:t>7.负责非物质文化遗产保护工作，推动非物质文化遗产的保护、传承、普及、弘扬和振兴。</w:t>
      </w:r>
    </w:p>
    <w:p>
      <w:pPr>
        <w:keepNext w:val="0"/>
        <w:keepLines w:val="0"/>
        <w:widowControl w:val="0"/>
        <w:suppressLineNumbers w:val="0"/>
        <w:shd w:val="clear" w:fill="FFFFFF"/>
        <w:spacing w:before="0" w:beforeAutospacing="0" w:after="0" w:afterAutospacing="0" w:line="560" w:lineRule="exact"/>
        <w:ind w:left="0" w:right="0" w:firstLine="640" w:firstLineChars="200"/>
        <w:jc w:val="both"/>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lang w:val="en-US" w:eastAsia="zh-CN" w:bidi="ar"/>
        </w:rPr>
        <w:t>8.组织实施全民健身计划，培训社会体育指导员，推进全民健身活动的开展；统筹规划全县竞技体育发展和运动项目布局，指导学校体育和青少年竞技体育的协调发展；输送优秀竞技体育后备人才；按规定使用体育彩票公益金。</w:t>
      </w:r>
    </w:p>
    <w:p>
      <w:pPr>
        <w:keepNext w:val="0"/>
        <w:keepLines w:val="0"/>
        <w:widowControl w:val="0"/>
        <w:suppressLineNumbers w:val="0"/>
        <w:shd w:val="clear" w:fill="FFFFFF"/>
        <w:spacing w:before="0" w:beforeAutospacing="0" w:after="0" w:afterAutospacing="0" w:line="560" w:lineRule="exact"/>
        <w:ind w:left="0" w:right="0" w:firstLine="640" w:firstLineChars="200"/>
        <w:jc w:val="both"/>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lang w:val="en-US" w:eastAsia="zh-CN" w:bidi="ar"/>
        </w:rPr>
        <w:t>9.指导全县文化、体育、旅游市场发展，对全县文化、体育、旅游市场依法进行行业监管，推进文化、体育、旅游行业信用体系建设，依法规范文化、体育、旅游市场。</w:t>
      </w:r>
    </w:p>
    <w:p>
      <w:pPr>
        <w:keepNext w:val="0"/>
        <w:keepLines w:val="0"/>
        <w:widowControl w:val="0"/>
        <w:suppressLineNumbers w:val="0"/>
        <w:shd w:val="clear" w:fill="FFFFFF"/>
        <w:spacing w:before="0" w:beforeAutospacing="0" w:after="0" w:afterAutospacing="0" w:line="560" w:lineRule="exact"/>
        <w:ind w:left="0" w:right="0" w:firstLine="640" w:firstLineChars="200"/>
        <w:jc w:val="both"/>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lang w:val="en-US" w:eastAsia="zh-CN" w:bidi="ar"/>
        </w:rPr>
        <w:t>10.统筹全县文化、文物、体育、旅游市场综合行政执法，组织查处文化、文物、体育、旅游等市场的违法行为，维护市场秩序。</w:t>
      </w:r>
    </w:p>
    <w:p>
      <w:pPr>
        <w:keepNext w:val="0"/>
        <w:keepLines w:val="0"/>
        <w:widowControl w:val="0"/>
        <w:suppressLineNumbers w:val="0"/>
        <w:shd w:val="clear" w:fill="FFFFFF"/>
        <w:spacing w:before="0" w:beforeAutospacing="0" w:after="0" w:afterAutospacing="0" w:line="560" w:lineRule="exact"/>
        <w:ind w:left="0" w:right="0" w:firstLine="640" w:firstLineChars="200"/>
        <w:jc w:val="both"/>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lang w:val="en-US" w:eastAsia="zh-CN" w:bidi="ar"/>
        </w:rPr>
        <w:t>11.承担文化体育和旅游系统及市场安全生产工作的综合协调与监督管理责任，对文化、体育、旅游园区的安全生产和职业健康工作实施行业监督管理，制定职责范围内的安全生产年度检查计划并组织实施。</w:t>
      </w:r>
    </w:p>
    <w:p>
      <w:pPr>
        <w:keepNext w:val="0"/>
        <w:keepLines w:val="0"/>
        <w:widowControl w:val="0"/>
        <w:suppressLineNumbers w:val="0"/>
        <w:shd w:val="clear" w:fill="FFFFFF"/>
        <w:spacing w:before="0" w:beforeAutospacing="0" w:after="0" w:afterAutospacing="0" w:line="560" w:lineRule="exact"/>
        <w:ind w:left="0" w:right="0" w:firstLine="640" w:firstLineChars="200"/>
        <w:jc w:val="both"/>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lang w:val="en-US" w:eastAsia="zh-CN" w:bidi="ar"/>
        </w:rPr>
        <w:t>12.监测旅游经济运行，负责旅游信息化建设、旅游统计和行业信息发布。</w:t>
      </w:r>
    </w:p>
    <w:p>
      <w:pPr>
        <w:keepNext w:val="0"/>
        <w:keepLines w:val="0"/>
        <w:widowControl w:val="0"/>
        <w:suppressLineNumbers w:val="0"/>
        <w:shd w:val="clear" w:fill="FFFFFF"/>
        <w:spacing w:before="0" w:beforeAutospacing="0" w:after="0" w:afterAutospacing="0" w:line="560" w:lineRule="exact"/>
        <w:ind w:left="0" w:right="0" w:firstLine="640" w:firstLineChars="200"/>
        <w:jc w:val="both"/>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lang w:val="en-US" w:eastAsia="zh-CN" w:bidi="ar"/>
        </w:rPr>
        <w:t>13.承担职责范围内的生态环境保护、开发利用风景名胜资源、审批服务便民化等工作责任。</w:t>
      </w:r>
    </w:p>
    <w:p>
      <w:pPr>
        <w:keepNext w:val="0"/>
        <w:keepLines w:val="0"/>
        <w:widowControl w:val="0"/>
        <w:suppressLineNumbers w:val="0"/>
        <w:shd w:val="clear" w:fill="FFFFFF"/>
        <w:spacing w:before="0" w:beforeAutospacing="0" w:after="0" w:afterAutospacing="0" w:line="560" w:lineRule="exact"/>
        <w:ind w:left="0" w:right="0" w:firstLine="640" w:firstLineChars="200"/>
        <w:jc w:val="both"/>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lang w:val="en-US" w:eastAsia="zh-CN" w:bidi="ar"/>
        </w:rPr>
        <w:t>14.协助编制县内景区总体规划和建设性详细规划并组织实施，按照总体规划对风景名胜区内的新建、扩建和改建项目进行审核，对建设活动进行监督检查。</w:t>
      </w:r>
    </w:p>
    <w:p>
      <w:pPr>
        <w:keepNext w:val="0"/>
        <w:keepLines w:val="0"/>
        <w:widowControl w:val="0"/>
        <w:suppressLineNumbers w:val="0"/>
        <w:shd w:val="clear" w:fill="FFFFFF"/>
        <w:spacing w:before="0" w:beforeAutospacing="0" w:after="0" w:afterAutospacing="0" w:line="560" w:lineRule="exact"/>
        <w:ind w:left="0" w:right="0" w:firstLine="640" w:firstLineChars="200"/>
        <w:jc w:val="both"/>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lang w:val="en-US" w:eastAsia="zh-CN" w:bidi="ar"/>
        </w:rPr>
        <w:t>15.完成县委、县政府交办的其他任务。</w:t>
      </w:r>
    </w:p>
    <w:p>
      <w:pPr>
        <w:keepNext w:val="0"/>
        <w:keepLines w:val="0"/>
        <w:widowControl w:val="0"/>
        <w:suppressLineNumbers w:val="0"/>
        <w:shd w:val="clear" w:fill="FFFFFF"/>
        <w:spacing w:before="0" w:beforeAutospacing="0" w:after="0" w:afterAutospacing="0" w:line="560" w:lineRule="exact"/>
        <w:ind w:left="0" w:right="0" w:firstLine="640" w:firstLineChars="200"/>
        <w:jc w:val="both"/>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lang w:val="en-US" w:eastAsia="zh-CN" w:bidi="ar"/>
        </w:rPr>
        <w:t>16.职能转变。统筹推进文化事业、文化产业、体育事业和旅游业融合发展。用好文化创意、科技创新和社会投资等新动能，促进文化体育和旅游与相关产业融合发展。巩固旅游业的战略性支柱产业地位，提升国家文化软实力、国际旅游竞争力。</w:t>
      </w:r>
    </w:p>
    <w:p>
      <w:pPr>
        <w:keepNext w:val="0"/>
        <w:keepLines w:val="0"/>
        <w:widowControl w:val="0"/>
        <w:suppressLineNumbers w:val="0"/>
        <w:shd w:val="clear" w:fill="FFFFFF"/>
        <w:spacing w:before="0" w:beforeAutospacing="0" w:after="0" w:afterAutospacing="0" w:line="560" w:lineRule="exact"/>
        <w:ind w:left="0" w:right="0" w:firstLine="640" w:firstLineChars="20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lang w:val="en-US" w:eastAsia="zh-CN" w:bidi="ar"/>
        </w:rPr>
        <w:t>17.管理县广播电视局。</w:t>
      </w:r>
    </w:p>
    <w:p>
      <w:pPr>
        <w:pStyle w:val="4"/>
        <w:ind w:firstLine="640" w:firstLineChars="200"/>
        <w:rPr>
          <w:rFonts w:hint="eastAsia" w:ascii="黑体" w:hAnsi="黑体" w:eastAsia="黑体" w:cs="黑体"/>
          <w:b w:val="0"/>
          <w:bCs/>
          <w:color w:val="000000"/>
        </w:rPr>
      </w:pPr>
      <w:bookmarkStart w:id="25" w:name="_Toc13108"/>
      <w:r>
        <w:rPr>
          <w:rFonts w:hint="eastAsia" w:ascii="黑体" w:hAnsi="黑体" w:eastAsia="黑体" w:cs="黑体"/>
          <w:b w:val="0"/>
          <w:bCs/>
          <w:color w:val="000000"/>
        </w:rPr>
        <w:t>二、机构设置</w:t>
      </w:r>
      <w:bookmarkEnd w:id="22"/>
      <w:bookmarkEnd w:id="23"/>
      <w:bookmarkEnd w:id="24"/>
      <w:bookmarkEnd w:id="25"/>
      <w:bookmarkStart w:id="26" w:name="_Toc111208498"/>
      <w:bookmarkStart w:id="27" w:name="_Toc17906"/>
    </w:p>
    <w:p>
      <w:pPr>
        <w:pStyle w:val="4"/>
        <w:ind w:firstLine="642" w:firstLineChars="200"/>
        <w:rPr>
          <w:rFonts w:hint="eastAsia" w:ascii="仿宋" w:hAnsi="仿宋" w:eastAsia="仿宋" w:cs="仿宋"/>
          <w:color w:val="auto"/>
          <w:sz w:val="32"/>
          <w:szCs w:val="32"/>
          <w:highlight w:val="none"/>
        </w:rPr>
      </w:pPr>
      <w:r>
        <w:rPr>
          <w:rFonts w:hint="eastAsia" w:ascii="仿宋" w:hAnsi="仿宋" w:eastAsia="仿宋" w:cs="仿宋"/>
          <w:color w:val="auto"/>
          <w:kern w:val="0"/>
          <w:sz w:val="32"/>
          <w:szCs w:val="32"/>
          <w:highlight w:val="none"/>
          <w:lang w:val="en-US" w:eastAsia="zh-CN" w:bidi="ar-SA"/>
        </w:rPr>
        <w:t>茂县文化体育和旅游局下属二级</w:t>
      </w:r>
      <w:r>
        <w:rPr>
          <w:rFonts w:hint="eastAsia" w:ascii="仿宋" w:hAnsi="仿宋" w:eastAsia="仿宋" w:cs="仿宋"/>
          <w:color w:val="auto"/>
          <w:sz w:val="32"/>
          <w:szCs w:val="32"/>
          <w:highlight w:val="none"/>
          <w:lang w:eastAsia="zh-CN"/>
        </w:rPr>
        <w:t>预算</w:t>
      </w:r>
      <w:r>
        <w:rPr>
          <w:rFonts w:hint="eastAsia" w:ascii="仿宋" w:hAnsi="仿宋" w:eastAsia="仿宋" w:cs="仿宋"/>
          <w:color w:val="auto"/>
          <w:sz w:val="32"/>
          <w:szCs w:val="32"/>
          <w:highlight w:val="none"/>
        </w:rPr>
        <w:t>单位</w:t>
      </w: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个，其中行政单位</w:t>
      </w: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rPr>
        <w:t>个，参照公务员法管理的事业单位</w:t>
      </w: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rPr>
        <w:t>个，其他事业单位</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个。</w:t>
      </w:r>
    </w:p>
    <w:p>
      <w:pPr>
        <w:pStyle w:val="4"/>
        <w:ind w:firstLine="642"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纳入</w:t>
      </w:r>
      <w:r>
        <w:rPr>
          <w:rFonts w:hint="eastAsia" w:ascii="仿宋" w:hAnsi="仿宋" w:eastAsia="仿宋" w:cs="仿宋"/>
          <w:sz w:val="32"/>
          <w:szCs w:val="32"/>
        </w:rPr>
        <w:t>茂县文化广播电视体育和旅游局</w:t>
      </w:r>
      <w:r>
        <w:rPr>
          <w:rFonts w:hint="eastAsia" w:ascii="仿宋" w:hAnsi="仿宋" w:eastAsia="仿宋" w:cs="仿宋"/>
          <w:color w:val="auto"/>
          <w:sz w:val="32"/>
          <w:szCs w:val="32"/>
          <w:highlight w:val="none"/>
          <w:lang w:eastAsia="zh-CN"/>
        </w:rPr>
        <w:t>2023</w:t>
      </w:r>
      <w:r>
        <w:rPr>
          <w:rFonts w:hint="eastAsia" w:ascii="仿宋" w:hAnsi="仿宋" w:eastAsia="仿宋" w:cs="仿宋"/>
          <w:color w:val="auto"/>
          <w:sz w:val="32"/>
          <w:szCs w:val="32"/>
          <w:highlight w:val="none"/>
        </w:rPr>
        <w:t>年度部门决算编制范围的二级预算单位包括：</w:t>
      </w:r>
    </w:p>
    <w:p>
      <w:pPr>
        <w:pStyle w:val="2"/>
        <w:numPr>
          <w:ilvl w:val="0"/>
          <w:numId w:val="0"/>
        </w:numPr>
        <w:adjustRightInd w:val="0"/>
        <w:snapToGrid w:val="0"/>
        <w:spacing w:before="93" w:line="600" w:lineRule="exact"/>
        <w:ind w:left="672" w:leftChars="0"/>
        <w:outlineLvl w:val="2"/>
        <w:rPr>
          <w:rFonts w:hint="eastAsia" w:ascii="仿宋" w:hAnsi="仿宋" w:eastAsia="仿宋" w:cs="仿宋"/>
          <w:color w:val="auto"/>
          <w:sz w:val="32"/>
          <w:szCs w:val="32"/>
          <w:highlight w:val="none"/>
          <w:lang w:val="en-US" w:eastAsia="zh-CN"/>
        </w:rPr>
      </w:pPr>
      <w:bookmarkStart w:id="28" w:name="_Toc15306276"/>
      <w:bookmarkStart w:id="29" w:name="_Toc15377433"/>
      <w:bookmarkStart w:id="30" w:name="_Toc15377202"/>
      <w:bookmarkStart w:id="31" w:name="_Toc15378449"/>
      <w:r>
        <w:rPr>
          <w:rFonts w:hint="eastAsia" w:ascii="仿宋" w:hAnsi="仿宋" w:eastAsia="仿宋" w:cs="仿宋"/>
          <w:color w:val="auto"/>
          <w:sz w:val="32"/>
          <w:szCs w:val="32"/>
          <w:highlight w:val="none"/>
          <w:lang w:val="en-US" w:eastAsia="zh-CN"/>
        </w:rPr>
        <w:t>1.</w:t>
      </w:r>
      <w:bookmarkEnd w:id="28"/>
      <w:bookmarkEnd w:id="29"/>
      <w:bookmarkEnd w:id="30"/>
      <w:bookmarkEnd w:id="31"/>
      <w:r>
        <w:rPr>
          <w:rFonts w:hint="eastAsia" w:ascii="仿宋" w:hAnsi="仿宋" w:eastAsia="仿宋" w:cs="仿宋"/>
          <w:sz w:val="32"/>
          <w:szCs w:val="32"/>
        </w:rPr>
        <w:t>茂县文化体育和旅游局</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行政）</w:t>
      </w:r>
    </w:p>
    <w:p>
      <w:pPr>
        <w:widowControl/>
        <w:numPr>
          <w:ilvl w:val="0"/>
          <w:numId w:val="0"/>
        </w:numPr>
        <w:ind w:left="672" w:leftChars="0"/>
        <w:jc w:val="left"/>
        <w:rPr>
          <w:rFonts w:hint="eastAsia" w:ascii="仿宋" w:hAnsi="仿宋" w:eastAsia="仿宋" w:cs="仿宋"/>
          <w:b/>
          <w:bCs/>
          <w:color w:val="000000"/>
          <w:kern w:val="44"/>
          <w:sz w:val="32"/>
          <w:szCs w:val="32"/>
        </w:rPr>
      </w:pPr>
      <w:r>
        <w:rPr>
          <w:rFonts w:hint="eastAsia" w:ascii="仿宋" w:hAnsi="仿宋" w:eastAsia="仿宋" w:cs="仿宋"/>
          <w:color w:val="auto"/>
          <w:sz w:val="32"/>
          <w:szCs w:val="32"/>
          <w:highlight w:val="none"/>
          <w:lang w:val="en-US" w:eastAsia="zh-CN"/>
        </w:rPr>
        <w:t>2.图书馆</w:t>
      </w:r>
    </w:p>
    <w:p>
      <w:pPr>
        <w:widowControl/>
        <w:numPr>
          <w:ilvl w:val="0"/>
          <w:numId w:val="0"/>
        </w:numPr>
        <w:ind w:left="672" w:leftChars="0"/>
        <w:jc w:val="left"/>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3.博物馆</w:t>
      </w:r>
    </w:p>
    <w:p>
      <w:pPr>
        <w:widowControl/>
        <w:numPr>
          <w:ilvl w:val="0"/>
          <w:numId w:val="0"/>
        </w:numPr>
        <w:ind w:left="672" w:leftChars="0"/>
        <w:jc w:val="left"/>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4.文化馆</w:t>
      </w:r>
    </w:p>
    <w:p>
      <w:pPr>
        <w:widowControl/>
        <w:numPr>
          <w:ilvl w:val="0"/>
          <w:numId w:val="0"/>
        </w:numPr>
        <w:ind w:left="672" w:leftChars="0"/>
        <w:jc w:val="left"/>
        <w:rPr>
          <w:rFonts w:hint="eastAsia" w:ascii="黑体" w:hAnsi="黑体" w:eastAsia="黑体" w:cs="黑体"/>
          <w:b w:val="0"/>
          <w:bCs w:val="0"/>
        </w:rPr>
      </w:pPr>
      <w:r>
        <w:rPr>
          <w:rFonts w:hint="eastAsia" w:ascii="仿宋" w:hAnsi="仿宋" w:eastAsia="仿宋" w:cs="仿宋"/>
          <w:color w:val="auto"/>
          <w:sz w:val="32"/>
          <w:szCs w:val="32"/>
          <w:highlight w:val="none"/>
          <w:lang w:val="en-US" w:eastAsia="zh-CN"/>
        </w:rPr>
        <w:t>5.体育管理中心</w:t>
      </w:r>
      <w:r>
        <w:rPr>
          <w:rFonts w:hint="eastAsia" w:ascii="思源黑体 CN Normal" w:hAnsi="思源黑体 CN Normal" w:eastAsia="思源黑体 CN Normal" w:cs="思源黑体 CN Normal"/>
          <w:color w:val="000000"/>
        </w:rPr>
        <w:br w:type="page"/>
      </w:r>
      <w:r>
        <w:rPr>
          <w:rFonts w:hint="eastAsia" w:ascii="黑体" w:hAnsi="黑体" w:eastAsia="黑体" w:cs="黑体"/>
          <w:b w:val="0"/>
          <w:bCs w:val="0"/>
        </w:rPr>
        <w:t xml:space="preserve">第二部分 </w:t>
      </w:r>
      <w:r>
        <w:rPr>
          <w:rFonts w:ascii="黑体" w:hAnsi="黑体" w:eastAsia="黑体" w:cs="黑体"/>
          <w:u w:color="auto"/>
        </w:rPr>
        <w:t>2023年度</w:t>
      </w:r>
      <w:r>
        <w:rPr>
          <w:rFonts w:hint="eastAsia" w:ascii="黑体" w:hAnsi="黑体" w:eastAsia="黑体" w:cs="黑体"/>
          <w:b w:val="0"/>
          <w:bCs w:val="0"/>
          <w:lang w:val="en-US" w:eastAsia="zh-CN"/>
        </w:rPr>
        <w:t>部门</w:t>
      </w:r>
      <w:r>
        <w:rPr>
          <w:rFonts w:hint="eastAsia" w:ascii="黑体" w:hAnsi="黑体" w:eastAsia="黑体" w:cs="黑体"/>
          <w:b w:val="0"/>
          <w:bCs w:val="0"/>
        </w:rPr>
        <w:t>决算情况说明</w:t>
      </w:r>
      <w:bookmarkEnd w:id="19"/>
      <w:bookmarkEnd w:id="26"/>
      <w:bookmarkEnd w:id="27"/>
    </w:p>
    <w:p>
      <w:pPr>
        <w:pStyle w:val="4"/>
        <w:ind w:firstLine="640" w:firstLineChars="200"/>
        <w:rPr>
          <w:rFonts w:hint="eastAsia" w:ascii="黑体" w:hAnsi="黑体" w:eastAsia="黑体" w:cs="黑体"/>
          <w:b w:val="0"/>
          <w:bCs/>
          <w:color w:val="000000"/>
        </w:rPr>
      </w:pPr>
      <w:bookmarkStart w:id="32" w:name="_Toc15377205"/>
      <w:bookmarkStart w:id="33" w:name="_Toc111208499"/>
      <w:bookmarkStart w:id="34" w:name="_Toc20780"/>
      <w:r>
        <w:rPr>
          <w:rFonts w:hint="eastAsia" w:ascii="黑体" w:hAnsi="黑体" w:eastAsia="黑体" w:cs="黑体"/>
          <w:b w:val="0"/>
          <w:bCs/>
          <w:color w:val="000000"/>
        </w:rPr>
        <w:t>一、收入支出决算总体情况说</w:t>
      </w:r>
      <w:bookmarkEnd w:id="32"/>
      <w:r>
        <w:rPr>
          <w:rFonts w:hint="eastAsia" w:ascii="黑体" w:hAnsi="黑体" w:eastAsia="黑体" w:cs="黑体"/>
          <w:b w:val="0"/>
          <w:bCs/>
          <w:color w:val="000000"/>
        </w:rPr>
        <w:t>明</w:t>
      </w:r>
      <w:bookmarkEnd w:id="33"/>
      <w:bookmarkEnd w:id="34"/>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2023</w:t>
      </w:r>
      <w:r>
        <w:rPr>
          <w:rFonts w:ascii="仿宋" w:hAnsi="仿宋" w:eastAsia="仿宋" w:cs="仿宋"/>
          <w:color w:val="000000"/>
          <w:sz w:val="32"/>
          <w:u w:color="auto"/>
        </w:rPr>
        <w:t>年度收、支总计均为4011.55</w:t>
      </w:r>
      <w:r>
        <w:rPr>
          <w:rFonts w:hint="eastAsia" w:ascii="仿宋" w:hAnsi="仿宋" w:eastAsia="仿宋" w:cs="仿宋"/>
          <w:color w:val="000000"/>
          <w:sz w:val="32"/>
          <w:szCs w:val="32"/>
        </w:rPr>
        <w:t>万元。与</w:t>
      </w:r>
      <w:r>
        <w:rPr>
          <w:rFonts w:ascii="仿宋" w:hAnsi="仿宋" w:eastAsia="仿宋" w:cs="仿宋"/>
          <w:color w:val="000000"/>
          <w:sz w:val="32"/>
          <w:u w:color="auto"/>
        </w:rPr>
        <w:t>2022</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相比，收、支总计各</w:t>
      </w:r>
      <w:r>
        <w:rPr>
          <w:rFonts w:ascii="仿宋" w:hAnsi="仿宋" w:eastAsia="仿宋" w:cs="仿宋"/>
          <w:color w:val="000000"/>
          <w:sz w:val="32"/>
          <w:u w:color="auto"/>
        </w:rPr>
        <w:t>增加888.35万元，增加28.44%。</w:t>
      </w:r>
    </w:p>
    <w:p>
      <w:pPr>
        <w:spacing w:line="600" w:lineRule="exact"/>
        <w:ind w:firstLine="640" w:firstLineChars="200"/>
        <w:rPr>
          <w:rFonts w:hint="eastAsia" w:ascii="仿宋" w:hAnsi="仿宋" w:eastAsia="仿宋" w:cs="仿宋"/>
          <w:color w:val="000000"/>
          <w:sz w:val="28"/>
          <w:szCs w:val="28"/>
        </w:rPr>
      </w:pPr>
      <w:r>
        <w:rPr>
          <w:rFonts w:hint="eastAsia" w:ascii="仿宋" w:hAnsi="仿宋" w:eastAsia="仿宋" w:cs="仿宋"/>
          <w:color w:val="000000"/>
          <w:sz w:val="32"/>
          <w:szCs w:val="32"/>
        </w:rPr>
        <w:t xml:space="preserve"> </w:t>
      </w:r>
    </w:p>
    <w:p>
      <w:pPr>
        <w:pStyle w:val="6"/>
        <w:rPr>
          <w:rFonts w:hint="eastAsia" w:ascii="思源黑体 CN Normal" w:hAnsi="思源黑体 CN Normal" w:eastAsia="思源黑体 CN Normal" w:cs="思源黑体 CN Normal"/>
        </w:rPr>
      </w:pPr>
      <w:r>
        <w:rPr>
          <w:rFonts w:hint="eastAsia" w:ascii="思源黑体 CN Normal" w:hAnsi="思源黑体 CN Normal" w:eastAsia="思源黑体 CN Normal" w:cs="思源黑体 CN Normal"/>
        </w:rPr>
        <w:drawing>
          <wp:inline distT="0" distB="0" distL="114300" distR="114300">
            <wp:extent cx="4338955" cy="2423795"/>
            <wp:effectExtent l="5080" t="4445" r="18415" b="10160"/>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jc w:val="center"/>
        <w:rPr>
          <w:rFonts w:hint="eastAsia" w:ascii="仿宋" w:hAnsi="仿宋" w:eastAsia="仿宋" w:cs="仿宋"/>
        </w:rPr>
      </w:pPr>
      <w:r>
        <w:rPr>
          <w:rFonts w:hint="eastAsia" w:ascii="仿宋" w:hAnsi="仿宋" w:eastAsia="仿宋" w:cs="仿宋"/>
          <w:color w:val="000000"/>
          <w:sz w:val="32"/>
          <w:szCs w:val="32"/>
        </w:rPr>
        <w:t>（图1：收、支决算总计变动情况图）</w:t>
      </w:r>
    </w:p>
    <w:p>
      <w:pPr>
        <w:pStyle w:val="4"/>
        <w:ind w:firstLine="640" w:firstLineChars="200"/>
        <w:rPr>
          <w:rFonts w:hint="eastAsia" w:ascii="黑体" w:hAnsi="黑体" w:eastAsia="黑体" w:cs="黑体"/>
          <w:bCs w:val="0"/>
          <w:color w:val="000000"/>
        </w:rPr>
      </w:pPr>
      <w:bookmarkStart w:id="35" w:name="_Toc111208500"/>
      <w:bookmarkStart w:id="36" w:name="_Toc17617"/>
      <w:bookmarkStart w:id="37" w:name="_Toc15377206"/>
      <w:r>
        <w:rPr>
          <w:rFonts w:hint="eastAsia" w:ascii="黑体" w:hAnsi="黑体" w:eastAsia="黑体" w:cs="黑体"/>
          <w:b w:val="0"/>
          <w:bCs/>
          <w:color w:val="000000"/>
        </w:rPr>
        <w:t>二、收入决算情况说明</w:t>
      </w:r>
      <w:bookmarkEnd w:id="35"/>
      <w:bookmarkEnd w:id="36"/>
      <w:bookmarkEnd w:id="37"/>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本年收入合计</w:t>
      </w:r>
      <w:r>
        <w:rPr>
          <w:rFonts w:ascii="仿宋" w:hAnsi="仿宋" w:eastAsia="仿宋" w:cs="仿宋"/>
          <w:color w:val="000000"/>
          <w:sz w:val="32"/>
          <w:u w:color="auto"/>
        </w:rPr>
        <w:t>4011.55万元</w:t>
      </w:r>
      <w:r>
        <w:rPr>
          <w:rFonts w:hint="eastAsia" w:ascii="仿宋" w:hAnsi="仿宋" w:eastAsia="仿宋" w:cs="仿宋"/>
          <w:color w:val="000000"/>
          <w:sz w:val="32"/>
          <w:szCs w:val="32"/>
          <w:lang w:val="en-US" w:eastAsia="zh-CN"/>
        </w:rPr>
        <w:t>，其中:一般公共预算财政拨款收入3984.79万元，占99.33%；政府性基金预算财政拨款收入26.76万元，占0.67%</w:t>
      </w:r>
      <w:r>
        <w:rPr>
          <w:rFonts w:hint="eastAsia" w:ascii="仿宋" w:hAnsi="仿宋" w:eastAsia="仿宋" w:cs="仿宋"/>
          <w:color w:val="000000"/>
          <w:sz w:val="32"/>
          <w:szCs w:val="32"/>
        </w:rPr>
        <w:t>。</w:t>
      </w:r>
    </w:p>
    <w:p>
      <w:pPr>
        <w:pStyle w:val="16"/>
        <w:ind w:left="1060" w:hanging="640"/>
        <w:jc w:val="center"/>
        <w:rPr>
          <w:rFonts w:hint="eastAsia" w:ascii="思源黑体 CN Normal" w:hAnsi="思源黑体 CN Normal" w:eastAsia="思源黑体 CN Normal" w:cs="思源黑体 CN Normal"/>
          <w:color w:val="FF0000"/>
          <w:sz w:val="32"/>
          <w:szCs w:val="32"/>
        </w:rPr>
      </w:pPr>
      <w:r>
        <w:rPr>
          <w:rFonts w:hint="eastAsia" w:ascii="思源黑体 CN Normal" w:hAnsi="思源黑体 CN Normal" w:eastAsia="思源黑体 CN Normal" w:cs="思源黑体 CN Normal"/>
          <w:color w:val="FF0000"/>
          <w:sz w:val="32"/>
          <w:szCs w:val="32"/>
        </w:rPr>
        <w:drawing>
          <wp:inline distT="0" distB="0" distL="114300" distR="114300">
            <wp:extent cx="5332730" cy="3400425"/>
            <wp:effectExtent l="0" t="0" r="1270" b="952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jc w:val="center"/>
        <w:rPr>
          <w:rFonts w:hint="eastAsia" w:ascii="仿宋" w:hAnsi="仿宋" w:eastAsia="仿宋" w:cs="仿宋"/>
        </w:rPr>
      </w:pPr>
      <w:r>
        <w:rPr>
          <w:rFonts w:hint="eastAsia" w:ascii="仿宋" w:hAnsi="仿宋" w:eastAsia="仿宋" w:cs="仿宋"/>
          <w:color w:val="000000"/>
          <w:sz w:val="32"/>
          <w:szCs w:val="32"/>
        </w:rPr>
        <w:t>（图2：收入决算结构图）</w:t>
      </w:r>
    </w:p>
    <w:p>
      <w:pPr>
        <w:pStyle w:val="4"/>
        <w:ind w:firstLine="640" w:firstLineChars="200"/>
        <w:rPr>
          <w:rFonts w:hint="eastAsia" w:ascii="黑体" w:hAnsi="黑体" w:eastAsia="黑体" w:cs="黑体"/>
          <w:b w:val="0"/>
          <w:bCs/>
          <w:color w:val="000000"/>
        </w:rPr>
      </w:pPr>
      <w:bookmarkStart w:id="38" w:name="_Toc111208501"/>
      <w:bookmarkStart w:id="39" w:name="_Toc19158"/>
      <w:bookmarkStart w:id="40" w:name="_Toc15377207"/>
      <w:r>
        <w:rPr>
          <w:rFonts w:hint="eastAsia" w:ascii="黑体" w:hAnsi="黑体" w:eastAsia="黑体" w:cs="黑体"/>
          <w:b w:val="0"/>
          <w:bCs/>
          <w:color w:val="000000"/>
        </w:rPr>
        <w:t>三、支出决算情况说明</w:t>
      </w:r>
      <w:bookmarkEnd w:id="38"/>
      <w:bookmarkEnd w:id="39"/>
      <w:bookmarkEnd w:id="40"/>
    </w:p>
    <w:p>
      <w:pPr>
        <w:pStyle w:val="6"/>
        <w:rPr>
          <w:rFonts w:hint="eastAsia" w:ascii="仿宋" w:hAnsi="仿宋" w:eastAsia="仿宋" w:cs="仿宋"/>
          <w:color w:val="000000"/>
          <w:sz w:val="32"/>
          <w:szCs w:val="32"/>
        </w:rPr>
      </w:pPr>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本年支出合计</w:t>
      </w:r>
      <w:r>
        <w:rPr>
          <w:rFonts w:ascii="仿宋" w:hAnsi="仿宋" w:eastAsia="仿宋" w:cs="仿宋"/>
          <w:color w:val="000000"/>
          <w:sz w:val="32"/>
          <w:u w:color="auto"/>
        </w:rPr>
        <w:t>4011.55万元</w:t>
      </w:r>
      <w:r>
        <w:rPr>
          <w:rFonts w:hint="eastAsia" w:ascii="仿宋" w:hAnsi="仿宋" w:eastAsia="仿宋" w:cs="仿宋"/>
          <w:color w:val="000000"/>
          <w:sz w:val="32"/>
          <w:szCs w:val="32"/>
          <w:lang w:val="en-US" w:eastAsia="zh-CN"/>
        </w:rPr>
        <w:t>，其中:基本支出1826.56万元，占45.53%；项目支出2184.99万元，占54.47%</w:t>
      </w:r>
      <w:r>
        <w:rPr>
          <w:rFonts w:hint="eastAsia" w:ascii="仿宋" w:hAnsi="仿宋" w:eastAsia="仿宋" w:cs="仿宋"/>
          <w:color w:val="000000"/>
          <w:sz w:val="32"/>
          <w:szCs w:val="32"/>
        </w:rPr>
        <w:t>。</w:t>
      </w:r>
    </w:p>
    <w:p>
      <w:pPr>
        <w:jc w:val="center"/>
        <w:rPr>
          <w:rFonts w:hint="eastAsia" w:ascii="思源黑体 CN Normal" w:hAnsi="思源黑体 CN Normal" w:eastAsia="思源黑体 CN Normal" w:cs="思源黑体 CN Normal"/>
          <w:color w:val="FF0000"/>
          <w:sz w:val="32"/>
          <w:szCs w:val="32"/>
        </w:rPr>
      </w:pPr>
      <w:r>
        <w:rPr>
          <w:rFonts w:hint="eastAsia" w:ascii="思源黑体 CN Normal" w:hAnsi="思源黑体 CN Normal" w:eastAsia="思源黑体 CN Normal" w:cs="思源黑体 CN Normal"/>
          <w:color w:val="FF0000"/>
          <w:sz w:val="32"/>
          <w:szCs w:val="32"/>
        </w:rPr>
        <w:drawing>
          <wp:inline distT="0" distB="0" distL="114300" distR="114300">
            <wp:extent cx="5304155" cy="3429000"/>
            <wp:effectExtent l="0" t="0" r="10795"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jc w:val="center"/>
        <w:rPr>
          <w:rFonts w:hint="eastAsia" w:ascii="仿宋" w:hAnsi="仿宋" w:eastAsia="仿宋" w:cs="仿宋"/>
          <w:color w:val="000000"/>
          <w:sz w:val="32"/>
          <w:szCs w:val="32"/>
        </w:rPr>
      </w:pPr>
      <w:r>
        <w:rPr>
          <w:rFonts w:hint="eastAsia" w:ascii="仿宋" w:hAnsi="仿宋" w:eastAsia="仿宋" w:cs="仿宋"/>
          <w:color w:val="000000"/>
          <w:sz w:val="32"/>
          <w:szCs w:val="32"/>
        </w:rPr>
        <w:t>（图3：支出决算结构图）</w:t>
      </w:r>
    </w:p>
    <w:p>
      <w:pPr>
        <w:pStyle w:val="4"/>
        <w:ind w:firstLine="640" w:firstLineChars="200"/>
        <w:rPr>
          <w:rFonts w:hint="eastAsia" w:ascii="黑体" w:hAnsi="黑体" w:eastAsia="黑体" w:cs="黑体"/>
          <w:b w:val="0"/>
          <w:bCs/>
          <w:color w:val="000000"/>
        </w:rPr>
      </w:pPr>
      <w:bookmarkStart w:id="41" w:name="_Toc111208502"/>
      <w:bookmarkStart w:id="42" w:name="_Toc29464"/>
      <w:bookmarkStart w:id="43" w:name="_Toc15377208"/>
      <w:r>
        <w:rPr>
          <w:rFonts w:hint="eastAsia" w:ascii="黑体" w:hAnsi="黑体" w:eastAsia="黑体" w:cs="黑体"/>
          <w:b w:val="0"/>
          <w:bCs/>
          <w:color w:val="000000"/>
        </w:rPr>
        <w:t>四、财政拨款收入支出决算总体情况说明</w:t>
      </w:r>
      <w:bookmarkEnd w:id="41"/>
      <w:bookmarkEnd w:id="42"/>
      <w:bookmarkEnd w:id="43"/>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财政拨款收、支总计均为</w:t>
      </w:r>
      <w:r>
        <w:rPr>
          <w:rFonts w:ascii="仿宋" w:hAnsi="仿宋" w:eastAsia="仿宋" w:cs="仿宋"/>
          <w:color w:val="000000"/>
          <w:sz w:val="32"/>
          <w:u w:color="auto"/>
        </w:rPr>
        <w:t>4011.55万元。与2022</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相比，财政拨款收、支总计各</w:t>
      </w:r>
      <w:r>
        <w:rPr>
          <w:rFonts w:ascii="仿宋" w:hAnsi="仿宋" w:eastAsia="仿宋" w:cs="仿宋"/>
          <w:color w:val="000000"/>
          <w:sz w:val="32"/>
          <w:u w:color="auto"/>
        </w:rPr>
        <w:t>增加888.35万元，增加28.44%。</w:t>
      </w:r>
    </w:p>
    <w:p>
      <w:pPr>
        <w:pStyle w:val="6"/>
        <w:jc w:val="left"/>
        <w:rPr>
          <w:rFonts w:hint="eastAsia" w:ascii="思源黑体 CN Normal" w:hAnsi="思源黑体 CN Normal" w:eastAsia="思源黑体 CN Normal" w:cs="思源黑体 CN Normal"/>
          <w:color w:val="000000"/>
          <w:sz w:val="32"/>
          <w:szCs w:val="32"/>
        </w:rPr>
      </w:pPr>
      <w:r>
        <w:rPr>
          <w:rFonts w:hint="eastAsia" w:ascii="仿宋" w:hAnsi="仿宋" w:eastAsia="仿宋" w:cs="仿宋"/>
          <w:color w:val="000000"/>
          <w:sz w:val="32"/>
          <w:szCs w:val="32"/>
        </w:rPr>
        <w:t xml:space="preserve"> </w:t>
      </w:r>
      <w:r>
        <w:rPr>
          <w:rFonts w:hint="eastAsia" w:ascii="思源黑体 CN Normal" w:hAnsi="思源黑体 CN Normal" w:eastAsia="思源黑体 CN Normal" w:cs="思源黑体 CN Normal"/>
          <w:color w:val="000000"/>
          <w:sz w:val="32"/>
          <w:szCs w:val="32"/>
        </w:rPr>
        <w:drawing>
          <wp:inline distT="0" distB="0" distL="0" distR="0">
            <wp:extent cx="4981575" cy="3171825"/>
            <wp:effectExtent l="0" t="0" r="9525" b="952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jc w:val="center"/>
        <w:rPr>
          <w:rFonts w:hint="eastAsia" w:ascii="仿宋" w:hAnsi="仿宋" w:eastAsia="仿宋" w:cs="仿宋"/>
        </w:rPr>
      </w:pPr>
      <w:r>
        <w:rPr>
          <w:rFonts w:hint="eastAsia" w:ascii="仿宋" w:hAnsi="仿宋" w:eastAsia="仿宋" w:cs="仿宋"/>
          <w:color w:val="000000"/>
          <w:sz w:val="32"/>
          <w:szCs w:val="32"/>
        </w:rPr>
        <w:t>（图4：财政拨款收、支决算总计变动情况）</w:t>
      </w:r>
    </w:p>
    <w:p>
      <w:pPr>
        <w:pStyle w:val="4"/>
        <w:ind w:firstLine="640" w:firstLineChars="200"/>
        <w:rPr>
          <w:rFonts w:hint="eastAsia" w:ascii="黑体" w:hAnsi="黑体" w:eastAsia="黑体" w:cs="黑体"/>
          <w:b w:val="0"/>
          <w:bCs/>
          <w:color w:val="000000"/>
        </w:rPr>
      </w:pPr>
      <w:bookmarkStart w:id="44" w:name="_Toc15377209"/>
      <w:bookmarkStart w:id="45" w:name="_Toc29650"/>
      <w:bookmarkStart w:id="46" w:name="_Toc111208503"/>
      <w:r>
        <w:rPr>
          <w:rFonts w:hint="eastAsia" w:ascii="黑体" w:hAnsi="黑体" w:eastAsia="黑体" w:cs="黑体"/>
          <w:b w:val="0"/>
          <w:bCs/>
          <w:color w:val="000000"/>
        </w:rPr>
        <w:t>五、一般公共预算财政拨款支出决算情况说</w:t>
      </w:r>
      <w:bookmarkEnd w:id="44"/>
      <w:r>
        <w:rPr>
          <w:rFonts w:hint="eastAsia" w:ascii="黑体" w:hAnsi="黑体" w:eastAsia="黑体" w:cs="黑体"/>
          <w:b w:val="0"/>
          <w:bCs/>
          <w:color w:val="000000"/>
        </w:rPr>
        <w:t>明</w:t>
      </w:r>
      <w:bookmarkEnd w:id="45"/>
      <w:bookmarkEnd w:id="46"/>
    </w:p>
    <w:p>
      <w:pPr>
        <w:spacing w:line="600" w:lineRule="exact"/>
        <w:ind w:firstLine="642" w:firstLineChars="200"/>
        <w:outlineLvl w:val="2"/>
        <w:rPr>
          <w:rFonts w:hint="eastAsia" w:ascii="仿宋" w:hAnsi="仿宋" w:eastAsia="仿宋" w:cs="仿宋"/>
          <w:b/>
          <w:color w:val="000000"/>
          <w:sz w:val="32"/>
          <w:szCs w:val="32"/>
        </w:rPr>
      </w:pPr>
      <w:bookmarkStart w:id="47" w:name="_Toc15377210"/>
      <w:r>
        <w:rPr>
          <w:rFonts w:hint="eastAsia" w:ascii="仿宋" w:hAnsi="仿宋" w:eastAsia="仿宋" w:cs="仿宋"/>
          <w:b/>
          <w:color w:val="000000"/>
          <w:sz w:val="32"/>
          <w:szCs w:val="32"/>
        </w:rPr>
        <w:t>（一）一般公共预算财政拨款支出决算总体情况</w:t>
      </w:r>
      <w:bookmarkEnd w:id="47"/>
    </w:p>
    <w:p>
      <w:pPr>
        <w:spacing w:line="600" w:lineRule="exact"/>
        <w:ind w:firstLine="640" w:firstLineChars="200"/>
        <w:rPr>
          <w:rFonts w:hint="eastAsia" w:ascii="思源黑体 CN Normal" w:hAnsi="思源黑体 CN Normal" w:eastAsia="仿宋" w:cs="思源黑体 CN Normal"/>
          <w:b/>
          <w:color w:val="000000"/>
          <w:sz w:val="32"/>
          <w:szCs w:val="32"/>
          <w:lang w:val="en-US" w:eastAsia="zh-CN"/>
        </w:rPr>
      </w:pPr>
      <w:bookmarkStart w:id="48" w:name="_Toc15377211"/>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一般公共预算财政拨款支出</w:t>
      </w:r>
      <w:r>
        <w:rPr>
          <w:rFonts w:ascii="仿宋" w:hAnsi="仿宋" w:eastAsia="仿宋" w:cs="仿宋"/>
          <w:color w:val="000000"/>
          <w:sz w:val="32"/>
          <w:u w:color="auto"/>
        </w:rPr>
        <w:t>3984.79万元，占本年支出合计的99.33%。与2022</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相比，一般公共预算财政拨款</w:t>
      </w:r>
      <w:r>
        <w:rPr>
          <w:rFonts w:ascii="仿宋" w:hAnsi="仿宋" w:eastAsia="仿宋" w:cs="仿宋"/>
          <w:color w:val="000000"/>
          <w:sz w:val="32"/>
          <w:u w:color="auto"/>
        </w:rPr>
        <w:t xml:space="preserve">增加871.45万元，增加27.99 %。 </w:t>
      </w:r>
    </w:p>
    <w:p>
      <w:pPr>
        <w:pStyle w:val="6"/>
        <w:ind w:firstLine="0"/>
        <w:rPr>
          <w:rFonts w:hint="eastAsia" w:ascii="思源黑体 CN Normal" w:hAnsi="思源黑体 CN Normal" w:eastAsia="思源黑体 CN Normal" w:cs="思源黑体 CN Normal"/>
          <w:b/>
          <w:color w:val="000000"/>
          <w:sz w:val="32"/>
          <w:szCs w:val="32"/>
        </w:rPr>
      </w:pPr>
      <w:r>
        <w:rPr>
          <w:rFonts w:hint="eastAsia" w:ascii="思源黑体 CN Normal" w:hAnsi="思源黑体 CN Normal" w:eastAsia="思源黑体 CN Normal" w:cs="思源黑体 CN Normal"/>
          <w:b/>
          <w:color w:val="000000"/>
          <w:sz w:val="32"/>
          <w:szCs w:val="32"/>
        </w:rPr>
        <w:drawing>
          <wp:inline distT="0" distB="0" distL="0" distR="0">
            <wp:extent cx="4905375" cy="3569970"/>
            <wp:effectExtent l="0" t="0" r="9525" b="1143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firstLineChars="200"/>
        <w:rPr>
          <w:rFonts w:hint="eastAsia" w:ascii="思源黑体 CN Normal" w:hAnsi="思源黑体 CN Normal" w:eastAsia="思源黑体 CN Normal" w:cs="思源黑体 CN Normal"/>
          <w:b/>
          <w:color w:val="000000"/>
          <w:sz w:val="32"/>
          <w:szCs w:val="32"/>
        </w:rPr>
      </w:pPr>
      <w:r>
        <w:rPr>
          <w:rFonts w:hint="eastAsia" w:ascii="仿宋" w:hAnsi="仿宋" w:eastAsia="仿宋" w:cs="仿宋"/>
          <w:color w:val="000000"/>
          <w:sz w:val="32"/>
          <w:szCs w:val="32"/>
        </w:rPr>
        <w:t>（图5：一般公共预算财政拨款支出决算变动情况）</w:t>
      </w:r>
    </w:p>
    <w:p>
      <w:pPr>
        <w:spacing w:line="600" w:lineRule="exact"/>
        <w:ind w:firstLine="642" w:firstLineChars="200"/>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（二）一般公共预算财政拨款支出决算结构情况</w:t>
      </w:r>
      <w:bookmarkEnd w:id="48"/>
    </w:p>
    <w:p>
      <w:pPr>
        <w:spacing w:line="60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一般公共预算财政拨款支出</w:t>
      </w:r>
      <w:r>
        <w:rPr>
          <w:rFonts w:ascii="仿宋" w:hAnsi="仿宋" w:eastAsia="仿宋" w:cs="仿宋"/>
          <w:color w:val="000000"/>
          <w:sz w:val="32"/>
          <w:u w:color="auto"/>
        </w:rPr>
        <w:t>3984.79万元，主要用于以下方面: 文化旅游体育与传媒支出3028.83万元，占76.01%；社会保障和就业支出245.22万元，占6.15%；卫生健康支出107.19万元，占2.69%；农林水支出478.34万元，占12.00%；住房保障支出125.21万元，占3.15%。</w:t>
      </w:r>
    </w:p>
    <w:p>
      <w:pPr>
        <w:pStyle w:val="6"/>
        <w:rPr>
          <w:rFonts w:hint="eastAsia" w:ascii="思源黑体 CN Normal" w:hAnsi="思源黑体 CN Normal" w:eastAsia="思源黑体 CN Normal" w:cs="思源黑体 CN Normal"/>
        </w:rPr>
      </w:pPr>
      <w:bookmarkStart w:id="49" w:name="_Toc15377212"/>
      <w:r>
        <w:rPr>
          <w:rFonts w:hint="eastAsia" w:ascii="思源黑体 CN Normal" w:hAnsi="思源黑体 CN Normal" w:eastAsia="思源黑体 CN Normal" w:cs="思源黑体 CN Normal"/>
        </w:rPr>
        <w:drawing>
          <wp:inline distT="0" distB="0" distL="0" distR="0">
            <wp:extent cx="4333240" cy="2886075"/>
            <wp:effectExtent l="4445" t="4445" r="5715" b="508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0" w:firstLineChars="200"/>
        <w:jc w:val="center"/>
        <w:rPr>
          <w:rFonts w:hint="eastAsia" w:ascii="思源黑体 CN Normal" w:hAnsi="思源黑体 CN Normal" w:eastAsia="思源黑体 CN Normal" w:cs="思源黑体 CN Normal"/>
        </w:rPr>
      </w:pPr>
      <w:r>
        <w:rPr>
          <w:rFonts w:hint="eastAsia" w:ascii="仿宋" w:hAnsi="仿宋" w:eastAsia="仿宋" w:cs="仿宋"/>
          <w:color w:val="000000"/>
          <w:sz w:val="32"/>
          <w:szCs w:val="32"/>
        </w:rPr>
        <w:t>（图6：一般公共预算财政拨款支出决算结构）</w:t>
      </w:r>
    </w:p>
    <w:p>
      <w:pPr>
        <w:spacing w:line="600" w:lineRule="exact"/>
        <w:ind w:firstLine="642" w:firstLineChars="200"/>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（三）一般公共预算财政拨款支出决算具体情况</w:t>
      </w:r>
      <w:bookmarkEnd w:id="49"/>
    </w:p>
    <w:p>
      <w:pPr>
        <w:spacing w:line="600" w:lineRule="exact"/>
        <w:ind w:firstLine="640"/>
        <w:rPr>
          <w:rFonts w:hint="eastAsia" w:ascii="仿宋" w:hAnsi="仿宋" w:eastAsia="仿宋" w:cs="仿宋"/>
          <w:color w:val="000000"/>
          <w:sz w:val="32"/>
          <w:szCs w:val="32"/>
        </w:rPr>
      </w:pPr>
      <w:bookmarkStart w:id="50" w:name="_Toc15378460"/>
      <w:bookmarkStart w:id="51" w:name="_Toc15377213"/>
      <w:bookmarkStart w:id="52" w:name="_Toc15377444"/>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一般公共预算支出决算数为</w:t>
      </w:r>
      <w:r>
        <w:rPr>
          <w:rFonts w:ascii="仿宋" w:hAnsi="仿宋" w:eastAsia="仿宋" w:cs="仿宋"/>
          <w:color w:val="000000"/>
          <w:sz w:val="32"/>
          <w:u w:color="auto"/>
        </w:rPr>
        <w:t>3984.79万元，完成预算100%。其中：</w:t>
      </w:r>
      <w:bookmarkEnd w:id="50"/>
      <w:bookmarkEnd w:id="51"/>
      <w:bookmarkEnd w:id="52"/>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1.文化旅游体育与传媒支出（类）文化和旅游（款）行政运行（项）:支出决算544.49万元，完成预算100%。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2.文化旅游体育与传媒支出（类）文化和旅游（款）图书馆（项）:支出决算95.69万元，完成预算100%。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3.文化旅游体育与传媒支出（类）文化和旅游（款）群众文化（项）:支出决算286.31万元，完成预算100%。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4.文化旅游体育与传媒支出（类）文化和旅游（款）文化创作与保护（项）:支出决算38.86万元，完成预算100%。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5.文化旅游体育与传媒支出（类）文化和旅游（款）其他文化和旅游支出（项）:支出决算227.87万元，完成预算100%。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6.文化旅游体育与传媒支出（类）文物（款）博物馆（项）:支出决算354.38万元，完成预算100%。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7.文化旅游体育与传媒支出（类）体育（款）体育场馆（项）:支出决算77.00万元，完成预算100%。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8.文化旅游体育与传媒支出（类）其他文化旅游体育与传媒支出（款）其他文化旅游体育与传媒支出（项）:支出决算1404.24万元，完成预算100%。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9.社会保障和就业支出（类）行政事业单位养老支出（款）机关事业单位基本养老保险缴费支出（项）:支出决算163.48万元，完成预算100%。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10.社会保障和就业支出（类）行政事业单位养老支出（款）机关事业单位职业年金缴费支出（项）:支出决算81.74万元，完成预算100%。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11.卫生健康支出（类）行政事业单位医疗（款）行政单位医疗（项）:支出决算41.26万元，完成预算100%。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12.卫生健康支出（类）行政事业单位医疗（款）事业单位医疗（项）:支出决算65.92万元，完成预算100%。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13.农林水支出（类）巩固脱贫攻坚成果衔接乡村振兴（款）社会发展（项）:支出决算453.99万元，完成预算100%。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14.农林水支出（类）巩固脱贫攻坚成果衔接乡村振兴（款）其他巩固脱贫攻坚成果衔接乡村振兴支出（项）:支出决算24.35万元，完成预算100%。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15.住房保障支出（类）住房改革支出（款）住房公积金（项）:支出决算123.18万元，完成预算100%。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16.住房保障支出（类）住房改革支出（款）购房补贴（项）:支出决算2.03万元，完成预算100%。</w:t>
      </w:r>
    </w:p>
    <w:p>
      <w:pPr>
        <w:pStyle w:val="4"/>
        <w:ind w:firstLine="640" w:firstLineChars="200"/>
        <w:rPr>
          <w:rFonts w:hint="eastAsia" w:ascii="黑体" w:hAnsi="黑体" w:eastAsia="黑体" w:cs="黑体"/>
          <w:b w:val="0"/>
          <w:color w:val="000000"/>
        </w:rPr>
      </w:pPr>
      <w:bookmarkStart w:id="53" w:name="_Toc15377214"/>
      <w:bookmarkStart w:id="54" w:name="_Toc111208504"/>
      <w:bookmarkStart w:id="55" w:name="_Toc19407"/>
      <w:r>
        <w:rPr>
          <w:rFonts w:hint="eastAsia" w:ascii="黑体" w:hAnsi="黑体" w:eastAsia="黑体" w:cs="黑体"/>
          <w:b w:val="0"/>
          <w:bCs/>
          <w:color w:val="000000"/>
        </w:rPr>
        <w:t>六、一般公共预算财政拨款基本支出决算情况说</w:t>
      </w:r>
      <w:bookmarkEnd w:id="53"/>
      <w:r>
        <w:rPr>
          <w:rFonts w:hint="eastAsia" w:ascii="黑体" w:hAnsi="黑体" w:eastAsia="黑体" w:cs="黑体"/>
          <w:b w:val="0"/>
          <w:bCs/>
          <w:color w:val="000000"/>
        </w:rPr>
        <w:t>明</w:t>
      </w:r>
      <w:bookmarkEnd w:id="54"/>
      <w:bookmarkEnd w:id="55"/>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一般公共预算财政拨款基本支出</w:t>
      </w:r>
      <w:r>
        <w:rPr>
          <w:rFonts w:ascii="仿宋" w:hAnsi="仿宋" w:eastAsia="仿宋" w:cs="仿宋"/>
          <w:color w:val="000000"/>
          <w:sz w:val="32"/>
          <w:u w:color="auto"/>
        </w:rPr>
        <w:t>1826.56万元，其中：</w:t>
      </w:r>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人员经费</w:t>
      </w:r>
      <w:r>
        <w:rPr>
          <w:rFonts w:ascii="仿宋" w:hAnsi="仿宋" w:eastAsia="仿宋" w:cs="仿宋"/>
          <w:color w:val="000000"/>
          <w:sz w:val="32"/>
          <w:u w:color="auto"/>
        </w:rPr>
        <w:t>1759.83万元，主要包括：基本工资397.51万元、津贴补贴172.65万元、奖金164.13万元、绩效工资420.87万元、机关事业单位基本养老保险缴费163.48万元、职业年金缴费81.74万元、职工基本医疗保险缴费107.19万元、其他社会保障缴费26.23万元、住房公积金123.18万元、医疗费17.05万元、抚恤金33.61万元、生活补助52.01万元、医疗费补助0.13万元、奖励金0.05万元。</w:t>
      </w:r>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公用经费</w:t>
      </w:r>
      <w:r>
        <w:rPr>
          <w:rFonts w:ascii="仿宋" w:hAnsi="仿宋" w:eastAsia="仿宋" w:cs="仿宋"/>
          <w:color w:val="000000"/>
          <w:sz w:val="32"/>
          <w:u w:color="auto"/>
        </w:rPr>
        <w:t>66.73万元，主要包括：办公费17.44万元、水费2.21万元、电费5.62万元、邮电费5.09万元、差旅费27.32万元、公务接待费1.01万元、公务用车运行维护费8.03万元。</w:t>
      </w:r>
    </w:p>
    <w:p>
      <w:pPr>
        <w:pStyle w:val="4"/>
        <w:ind w:firstLine="640" w:firstLineChars="200"/>
        <w:rPr>
          <w:rFonts w:hint="eastAsia" w:ascii="黑体" w:hAnsi="黑体" w:eastAsia="黑体" w:cs="黑体"/>
          <w:b w:val="0"/>
          <w:bCs/>
          <w:color w:val="000000"/>
        </w:rPr>
      </w:pPr>
      <w:bookmarkStart w:id="56" w:name="_Toc8521"/>
      <w:bookmarkStart w:id="57" w:name="_Toc15377215"/>
      <w:bookmarkStart w:id="58" w:name="_Toc111208505"/>
      <w:r>
        <w:rPr>
          <w:rFonts w:hint="eastAsia" w:ascii="黑体" w:hAnsi="黑体" w:eastAsia="黑体" w:cs="黑体"/>
          <w:b w:val="0"/>
          <w:bCs/>
          <w:color w:val="000000"/>
        </w:rPr>
        <w:t>七、“三公”经费财政拨款支出决算情况说明</w:t>
      </w:r>
      <w:bookmarkEnd w:id="56"/>
      <w:bookmarkEnd w:id="57"/>
      <w:bookmarkEnd w:id="58"/>
    </w:p>
    <w:p>
      <w:pPr>
        <w:spacing w:line="600" w:lineRule="exact"/>
        <w:ind w:firstLine="642" w:firstLineChars="200"/>
        <w:outlineLvl w:val="2"/>
        <w:rPr>
          <w:rFonts w:hint="eastAsia" w:ascii="仿宋" w:hAnsi="仿宋" w:eastAsia="仿宋" w:cs="仿宋"/>
          <w:b/>
          <w:color w:val="000000"/>
          <w:sz w:val="32"/>
          <w:szCs w:val="32"/>
        </w:rPr>
      </w:pPr>
      <w:bookmarkStart w:id="59" w:name="_Toc15377216"/>
      <w:r>
        <w:rPr>
          <w:rFonts w:hint="eastAsia" w:ascii="仿宋" w:hAnsi="仿宋" w:eastAsia="仿宋" w:cs="仿宋"/>
          <w:b/>
          <w:color w:val="000000"/>
          <w:sz w:val="32"/>
          <w:szCs w:val="32"/>
        </w:rPr>
        <w:t>（一）“三公”经费财政拨款支出决算总体情况说明</w:t>
      </w:r>
      <w:bookmarkEnd w:id="59"/>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“三公”经费财政拨款支出决算为</w:t>
      </w:r>
      <w:r>
        <w:rPr>
          <w:rFonts w:ascii="仿宋" w:hAnsi="仿宋" w:eastAsia="仿宋" w:cs="仿宋"/>
          <w:color w:val="000000"/>
          <w:sz w:val="32"/>
          <w:u w:color="auto"/>
        </w:rPr>
        <w:t>9.04万元，完成预算100.00%，较上年度增加0.52万元，增加0.00%。</w:t>
      </w:r>
      <w:bookmarkStart w:id="60" w:name="_Toc15377217"/>
    </w:p>
    <w:p>
      <w:pPr>
        <w:spacing w:line="600" w:lineRule="exact"/>
        <w:ind w:firstLine="642" w:firstLineChars="200"/>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（二）“三公”经费财政拨款支出决算具体情况说明</w:t>
      </w:r>
      <w:bookmarkEnd w:id="60"/>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“三公”经费财政拨款支出</w:t>
      </w:r>
      <w:r>
        <w:rPr>
          <w:rFonts w:ascii="仿宋" w:hAnsi="仿宋" w:eastAsia="仿宋" w:cs="仿宋"/>
          <w:color w:val="000000"/>
          <w:sz w:val="32"/>
          <w:u w:color="auto"/>
        </w:rPr>
        <w:t>9.04万元，因公出国（境）费支出决算0.00万元，占0.00%；公务用车购置及运行维护费支出决算8.03万元，占88.84%；公务接待费支出决算1.01万元，占11.16%。具体情况如下：</w:t>
      </w:r>
    </w:p>
    <w:p>
      <w:pPr>
        <w:pStyle w:val="6"/>
        <w:rPr>
          <w:rFonts w:hint="eastAsia" w:ascii="思源黑体 CN Normal" w:hAnsi="思源黑体 CN Normal" w:eastAsia="思源黑体 CN Normal" w:cs="思源黑体 CN Normal"/>
        </w:rPr>
      </w:pPr>
      <w:r>
        <w:rPr>
          <w:rFonts w:hint="eastAsia" w:ascii="思源黑体 CN Normal" w:hAnsi="思源黑体 CN Normal" w:eastAsia="思源黑体 CN Normal" w:cs="思源黑体 CN Normal"/>
        </w:rPr>
        <w:drawing>
          <wp:inline distT="0" distB="0" distL="0" distR="0">
            <wp:extent cx="4333240" cy="2886075"/>
            <wp:effectExtent l="0" t="0" r="10160" b="952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600" w:lineRule="exact"/>
        <w:ind w:firstLine="640" w:firstLineChars="200"/>
        <w:jc w:val="center"/>
        <w:rPr>
          <w:rFonts w:hint="eastAsia" w:ascii="仿宋" w:hAnsi="仿宋" w:eastAsia="仿宋" w:cs="仿宋"/>
        </w:rPr>
      </w:pPr>
      <w:r>
        <w:rPr>
          <w:rFonts w:hint="eastAsia" w:ascii="仿宋" w:hAnsi="仿宋" w:eastAsia="仿宋" w:cs="仿宋"/>
          <w:color w:val="000000"/>
          <w:sz w:val="32"/>
          <w:szCs w:val="32"/>
        </w:rPr>
        <w:t>（图7：“三公”经费财政拨款支出结构）</w:t>
      </w:r>
    </w:p>
    <w:p>
      <w:pPr>
        <w:spacing w:line="600" w:lineRule="exact"/>
        <w:ind w:firstLine="640"/>
        <w:rPr>
          <w:rFonts w:hint="eastAsia" w:ascii="仿宋" w:hAnsi="仿宋" w:eastAsia="仿宋" w:cs="仿宋"/>
          <w:color w:val="000000"/>
          <w:sz w:val="32"/>
          <w:szCs w:val="32"/>
        </w:rPr>
      </w:pPr>
      <w:r>
        <w:rPr>
          <w:rFonts w:hint="eastAsia" w:ascii="仿宋" w:hAnsi="仿宋" w:eastAsia="仿宋" w:cs="仿宋"/>
          <w:b/>
          <w:bCs/>
          <w:color w:val="000000"/>
          <w:sz w:val="32"/>
          <w:szCs w:val="32"/>
        </w:rPr>
        <w:t>1.因公出国（境）经费支出</w:t>
      </w:r>
      <w:r>
        <w:rPr>
          <w:rFonts w:hint="eastAsia" w:ascii="仿宋" w:hAnsi="仿宋" w:eastAsia="仿宋" w:cs="仿宋"/>
          <w:color w:val="000000"/>
          <w:sz w:val="32"/>
          <w:szCs w:val="32"/>
        </w:rPr>
        <w:t>0.00</w:t>
      </w:r>
      <w:r>
        <w:rPr>
          <w:rFonts w:ascii="仿宋" w:hAnsi="仿宋" w:eastAsia="仿宋" w:cs="仿宋"/>
          <w:color w:val="000000"/>
          <w:sz w:val="32"/>
          <w:u w:color="auto"/>
        </w:rPr>
        <w:t xml:space="preserve">万元,完成预算100%。全年安排因公出国（境）团组0次，出国（境）0人。因公出国（境）支出决算比2022年增加0.00万元，增加0.00 %。 </w:t>
      </w:r>
    </w:p>
    <w:p>
      <w:pPr>
        <w:spacing w:line="600" w:lineRule="exact"/>
        <w:ind w:firstLine="640"/>
        <w:rPr>
          <w:rFonts w:hint="eastAsia" w:ascii="仿宋" w:hAnsi="仿宋" w:eastAsia="仿宋" w:cs="仿宋"/>
          <w:color w:val="000000"/>
          <w:sz w:val="32"/>
          <w:szCs w:val="32"/>
        </w:rPr>
      </w:pPr>
      <w:r>
        <w:rPr>
          <w:rFonts w:hint="eastAsia" w:ascii="仿宋" w:hAnsi="仿宋" w:eastAsia="仿宋" w:cs="仿宋"/>
          <w:b/>
          <w:bCs/>
          <w:color w:val="000000"/>
          <w:sz w:val="32"/>
          <w:szCs w:val="32"/>
        </w:rPr>
        <w:t>2.公务用车购置及运行维护费支出</w:t>
      </w:r>
      <w:r>
        <w:rPr>
          <w:rFonts w:hint="eastAsia" w:ascii="仿宋" w:hAnsi="仿宋" w:eastAsia="仿宋" w:cs="仿宋"/>
          <w:color w:val="000000"/>
          <w:sz w:val="32"/>
          <w:szCs w:val="32"/>
        </w:rPr>
        <w:t>8.03</w:t>
      </w:r>
      <w:r>
        <w:rPr>
          <w:rFonts w:ascii="仿宋" w:hAnsi="仿宋" w:eastAsia="仿宋" w:cs="仿宋"/>
          <w:color w:val="000000"/>
          <w:sz w:val="32"/>
          <w:u w:color="auto"/>
        </w:rPr>
        <w:t>万元,完成预算100.00%。公务用车购置及运行维护费支出决算比2022</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增加0.71</w:t>
      </w:r>
      <w:r>
        <w:rPr>
          <w:rFonts w:ascii="仿宋" w:hAnsi="仿宋" w:eastAsia="仿宋" w:cs="仿宋"/>
          <w:color w:val="000000"/>
          <w:sz w:val="32"/>
          <w:u w:color="auto"/>
        </w:rPr>
        <w:t xml:space="preserve">万元，增加9.71%。 </w:t>
      </w:r>
    </w:p>
    <w:p>
      <w:pPr>
        <w:spacing w:line="60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rPr>
        <w:t>其中：</w:t>
      </w:r>
      <w:r>
        <w:rPr>
          <w:rFonts w:hint="eastAsia" w:ascii="仿宋" w:hAnsi="仿宋" w:eastAsia="仿宋" w:cs="仿宋"/>
          <w:b/>
          <w:bCs/>
          <w:color w:val="000000"/>
          <w:sz w:val="32"/>
          <w:szCs w:val="32"/>
        </w:rPr>
        <w:t>公务用车购置支出</w:t>
      </w:r>
      <w:r>
        <w:rPr>
          <w:rFonts w:hint="eastAsia" w:ascii="仿宋" w:hAnsi="仿宋" w:eastAsia="仿宋" w:cs="仿宋"/>
          <w:color w:val="000000"/>
          <w:sz w:val="32"/>
          <w:szCs w:val="32"/>
        </w:rPr>
        <w:t>0.00</w:t>
      </w:r>
      <w:r>
        <w:rPr>
          <w:rFonts w:ascii="仿宋" w:hAnsi="仿宋" w:eastAsia="仿宋" w:cs="仿宋"/>
          <w:color w:val="000000"/>
          <w:sz w:val="32"/>
          <w:u w:color="auto"/>
        </w:rPr>
        <w:t>万元。全年按规定更新购置公务用车0辆，其中：轿车0辆、金额0.00万元，越野车0辆、金额0.00万元，载客汽车0辆、金额0.00万元。截至2023年12月</w:t>
      </w:r>
      <w:r>
        <w:rPr>
          <w:rFonts w:hint="eastAsia" w:ascii="仿宋" w:hAnsi="仿宋" w:eastAsia="仿宋" w:cs="仿宋"/>
          <w:color w:val="000000"/>
          <w:sz w:val="32"/>
          <w:szCs w:val="32"/>
          <w:lang w:val="en-US" w:eastAsia="zh-CN"/>
        </w:rPr>
        <w:t>31日</w:t>
      </w:r>
      <w:r>
        <w:rPr>
          <w:rFonts w:hint="eastAsia" w:ascii="仿宋" w:hAnsi="仿宋" w:eastAsia="仿宋" w:cs="仿宋"/>
          <w:color w:val="000000"/>
          <w:sz w:val="32"/>
          <w:szCs w:val="32"/>
        </w:rPr>
        <w:t>，单位共有公务用车</w:t>
      </w:r>
      <w:r>
        <w:rPr>
          <w:rFonts w:hint="eastAsia" w:ascii="仿宋" w:hAnsi="仿宋" w:eastAsia="仿宋" w:cs="仿宋"/>
          <w:color w:val="000000"/>
          <w:sz w:val="32"/>
          <w:u w:color="auto"/>
          <w:lang w:val="en-US" w:eastAsia="zh-CN"/>
        </w:rPr>
        <w:t>5</w:t>
      </w:r>
      <w:r>
        <w:rPr>
          <w:rFonts w:ascii="仿宋" w:hAnsi="仿宋" w:eastAsia="仿宋" w:cs="仿宋"/>
          <w:color w:val="000000"/>
          <w:sz w:val="32"/>
          <w:u w:color="auto"/>
        </w:rPr>
        <w:t>辆，其中：轿车2辆、越野车1辆、载客汽车1辆、</w:t>
      </w:r>
      <w:r>
        <w:rPr>
          <w:rFonts w:hint="eastAsia" w:ascii="仿宋" w:hAnsi="仿宋" w:eastAsia="仿宋" w:cs="仿宋"/>
          <w:color w:val="000000"/>
          <w:sz w:val="32"/>
          <w:u w:color="auto"/>
          <w:lang w:eastAsia="zh-CN"/>
        </w:rPr>
        <w:t>其他车型</w:t>
      </w:r>
      <w:r>
        <w:rPr>
          <w:rFonts w:hint="eastAsia" w:ascii="仿宋" w:hAnsi="仿宋" w:eastAsia="仿宋" w:cs="仿宋"/>
          <w:color w:val="000000"/>
          <w:sz w:val="32"/>
          <w:u w:color="auto"/>
          <w:lang w:val="en-US" w:eastAsia="zh-CN"/>
        </w:rPr>
        <w:t>1辆</w:t>
      </w:r>
      <w:r>
        <w:rPr>
          <w:rFonts w:hint="eastAsia" w:ascii="仿宋" w:hAnsi="仿宋" w:eastAsia="仿宋" w:cs="仿宋"/>
          <w:color w:val="000000"/>
          <w:sz w:val="32"/>
          <w:szCs w:val="32"/>
          <w:lang w:val="en-US" w:eastAsia="zh-CN"/>
        </w:rPr>
        <w:t>。</w:t>
      </w:r>
    </w:p>
    <w:p>
      <w:pPr>
        <w:spacing w:line="600" w:lineRule="exact"/>
        <w:ind w:firstLine="640"/>
        <w:rPr>
          <w:rFonts w:hint="eastAsia" w:ascii="仿宋" w:hAnsi="仿宋" w:eastAsia="仿宋" w:cs="仿宋"/>
          <w:color w:val="000000"/>
          <w:sz w:val="32"/>
          <w:szCs w:val="32"/>
        </w:rPr>
      </w:pPr>
      <w:r>
        <w:rPr>
          <w:rFonts w:hint="eastAsia" w:ascii="仿宋" w:hAnsi="仿宋" w:eastAsia="仿宋" w:cs="仿宋"/>
          <w:b/>
          <w:bCs/>
          <w:color w:val="000000"/>
          <w:sz w:val="32"/>
          <w:szCs w:val="32"/>
        </w:rPr>
        <w:t>公务用车运行维护费支出</w:t>
      </w:r>
      <w:r>
        <w:rPr>
          <w:rFonts w:hint="eastAsia" w:ascii="仿宋" w:hAnsi="仿宋" w:eastAsia="仿宋" w:cs="仿宋"/>
          <w:color w:val="000000"/>
          <w:sz w:val="32"/>
          <w:szCs w:val="32"/>
        </w:rPr>
        <w:t>8.03</w:t>
      </w:r>
      <w:r>
        <w:rPr>
          <w:rFonts w:ascii="仿宋" w:hAnsi="仿宋" w:eastAsia="仿宋" w:cs="仿宋"/>
          <w:color w:val="000000"/>
          <w:sz w:val="32"/>
          <w:u w:color="auto"/>
        </w:rPr>
        <w:t xml:space="preserve">万元。 </w:t>
      </w:r>
    </w:p>
    <w:p>
      <w:pPr>
        <w:spacing w:line="600" w:lineRule="exact"/>
        <w:ind w:firstLine="640"/>
        <w:rPr>
          <w:rFonts w:hint="eastAsia" w:ascii="仿宋" w:hAnsi="仿宋" w:eastAsia="仿宋" w:cs="仿宋"/>
          <w:color w:val="000000"/>
          <w:sz w:val="32"/>
          <w:szCs w:val="32"/>
          <w:lang w:val="en-US" w:eastAsia="zh-CN"/>
        </w:rPr>
      </w:pPr>
      <w:r>
        <w:rPr>
          <w:rFonts w:hint="eastAsia" w:ascii="仿宋" w:hAnsi="仿宋" w:eastAsia="仿宋" w:cs="仿宋"/>
          <w:b/>
          <w:bCs/>
          <w:color w:val="000000"/>
          <w:sz w:val="32"/>
          <w:szCs w:val="32"/>
        </w:rPr>
        <w:t>3.公务接待费支出</w:t>
      </w:r>
      <w:r>
        <w:rPr>
          <w:rFonts w:hint="eastAsia" w:ascii="仿宋" w:hAnsi="仿宋" w:eastAsia="仿宋" w:cs="仿宋"/>
          <w:color w:val="000000"/>
          <w:sz w:val="32"/>
          <w:szCs w:val="32"/>
        </w:rPr>
        <w:t>1.01</w:t>
      </w:r>
      <w:r>
        <w:rPr>
          <w:rFonts w:ascii="仿宋" w:hAnsi="仿宋" w:eastAsia="仿宋" w:cs="仿宋"/>
          <w:color w:val="000000"/>
          <w:sz w:val="32"/>
          <w:u w:color="auto"/>
        </w:rPr>
        <w:t>万元，完成预算100.00%。公务接待费支出决算比2022</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减少0.19</w:t>
      </w:r>
      <w:r>
        <w:rPr>
          <w:rFonts w:ascii="仿宋" w:hAnsi="仿宋" w:eastAsia="仿宋" w:cs="仿宋"/>
          <w:color w:val="000000"/>
          <w:sz w:val="32"/>
          <w:u w:color="auto"/>
        </w:rPr>
        <w:t>万元，增加0.00%。</w:t>
      </w:r>
      <w:bookmarkStart w:id="61" w:name="_Toc15377218"/>
      <w:r>
        <w:rPr>
          <w:rFonts w:hint="eastAsia" w:ascii="仿宋" w:hAnsi="仿宋" w:eastAsia="仿宋" w:cs="仿宋"/>
          <w:color w:val="000000"/>
          <w:sz w:val="32"/>
          <w:szCs w:val="32"/>
        </w:rPr>
        <w:t xml:space="preserve"> </w:t>
      </w:r>
      <w:r>
        <w:rPr>
          <w:rFonts w:hint="eastAsia" w:ascii="仿宋" w:hAnsi="仿宋" w:eastAsia="仿宋" w:cs="仿宋"/>
          <w:color w:val="000000"/>
          <w:sz w:val="32"/>
          <w:szCs w:val="32"/>
          <w:lang w:val="en-US" w:eastAsia="zh-CN"/>
        </w:rPr>
        <w:t>其中：</w:t>
      </w:r>
    </w:p>
    <w:p>
      <w:pPr>
        <w:spacing w:line="600" w:lineRule="exact"/>
        <w:ind w:firstLine="640"/>
        <w:rPr>
          <w:rFonts w:hint="eastAsia" w:ascii="仿宋" w:hAnsi="仿宋" w:eastAsia="仿宋" w:cs="仿宋"/>
          <w:color w:val="000000"/>
          <w:sz w:val="32"/>
          <w:szCs w:val="32"/>
        </w:rPr>
      </w:pPr>
      <w:r>
        <w:rPr>
          <w:rFonts w:hint="eastAsia" w:ascii="仿宋" w:hAnsi="仿宋" w:eastAsia="仿宋" w:cs="仿宋"/>
          <w:b/>
          <w:bCs/>
          <w:color w:val="000000"/>
          <w:sz w:val="32"/>
          <w:szCs w:val="32"/>
        </w:rPr>
        <w:t>国内公务接待支出</w:t>
      </w:r>
      <w:r>
        <w:rPr>
          <w:rFonts w:hint="eastAsia" w:ascii="仿宋" w:hAnsi="仿宋" w:eastAsia="仿宋" w:cs="仿宋"/>
          <w:color w:val="000000"/>
          <w:sz w:val="32"/>
          <w:szCs w:val="32"/>
        </w:rPr>
        <w:t>1.01</w:t>
      </w:r>
      <w:r>
        <w:rPr>
          <w:rFonts w:ascii="仿宋" w:hAnsi="仿宋" w:eastAsia="仿宋" w:cs="仿宋"/>
          <w:color w:val="000000"/>
          <w:sz w:val="32"/>
          <w:u w:color="auto"/>
        </w:rPr>
        <w:t>万元，主要用于执行公务、开展业务活动开支的交通费、住宿费、用餐费等。国内公务接待14批次，129人次（不包括陪同人员），共计支出1.01万元，具体内容包括：</w:t>
      </w:r>
      <w:r>
        <w:rPr>
          <w:rFonts w:hint="eastAsia" w:ascii="仿宋" w:hAnsi="仿宋" w:eastAsia="仿宋" w:cs="仿宋"/>
          <w:color w:val="000000"/>
          <w:sz w:val="32"/>
          <w:u w:color="auto"/>
          <w:lang w:val="en-US" w:eastAsia="zh-CN"/>
        </w:rPr>
        <w:t>检查广播电视相关工作接待、接待四川省考古研究院等。</w:t>
      </w:r>
    </w:p>
    <w:p>
      <w:pPr>
        <w:pStyle w:val="6"/>
        <w:rPr>
          <w:rFonts w:hint="eastAsia" w:ascii="仿宋" w:hAnsi="仿宋" w:eastAsia="仿宋" w:cs="仿宋"/>
          <w:color w:val="000000"/>
          <w:sz w:val="32"/>
          <w:szCs w:val="32"/>
        </w:rPr>
      </w:pPr>
      <w:r>
        <w:rPr>
          <w:rFonts w:hint="eastAsia" w:ascii="仿宋" w:hAnsi="仿宋" w:eastAsia="仿宋" w:cs="仿宋"/>
          <w:b/>
          <w:bCs/>
          <w:color w:val="000000"/>
          <w:sz w:val="32"/>
          <w:szCs w:val="32"/>
        </w:rPr>
        <w:t>外事接待支出</w:t>
      </w:r>
      <w:r>
        <w:rPr>
          <w:rFonts w:hint="eastAsia" w:ascii="仿宋" w:hAnsi="仿宋" w:eastAsia="仿宋" w:cs="仿宋"/>
          <w:color w:val="000000"/>
          <w:sz w:val="32"/>
          <w:szCs w:val="32"/>
        </w:rPr>
        <w:t>0.00</w:t>
      </w:r>
      <w:r>
        <w:rPr>
          <w:rFonts w:ascii="仿宋" w:hAnsi="仿宋" w:eastAsia="仿宋" w:cs="仿宋"/>
          <w:color w:val="000000"/>
          <w:sz w:val="32"/>
          <w:u w:color="auto"/>
        </w:rPr>
        <w:t>万元。外事接待0批次，0人次（不包括陪同人员），共计支出0.00万元。</w:t>
      </w:r>
    </w:p>
    <w:p>
      <w:pPr>
        <w:pStyle w:val="4"/>
        <w:ind w:firstLine="640" w:firstLineChars="200"/>
        <w:rPr>
          <w:rFonts w:hint="eastAsia" w:ascii="黑体" w:hAnsi="黑体" w:eastAsia="黑体" w:cs="黑体"/>
          <w:b w:val="0"/>
          <w:bCs/>
          <w:color w:val="000000"/>
        </w:rPr>
      </w:pPr>
      <w:bookmarkStart w:id="62" w:name="_Toc1208"/>
      <w:bookmarkStart w:id="63" w:name="_Toc111208506"/>
      <w:r>
        <w:rPr>
          <w:rFonts w:hint="eastAsia" w:ascii="黑体" w:hAnsi="黑体" w:eastAsia="黑体" w:cs="黑体"/>
          <w:b w:val="0"/>
          <w:bCs/>
          <w:color w:val="000000"/>
        </w:rPr>
        <w:t>八、政府性基金预算支出决算情况说明</w:t>
      </w:r>
      <w:bookmarkEnd w:id="61"/>
      <w:bookmarkEnd w:id="62"/>
      <w:bookmarkEnd w:id="63"/>
    </w:p>
    <w:p>
      <w:pPr>
        <w:spacing w:line="600" w:lineRule="exact"/>
        <w:ind w:firstLine="640"/>
        <w:rPr>
          <w:rFonts w:hint="eastAsia" w:ascii="仿宋" w:hAnsi="仿宋" w:eastAsia="仿宋" w:cs="仿宋"/>
        </w:rPr>
      </w:pPr>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年政府性基金预算拨款支出</w:t>
      </w:r>
      <w:r>
        <w:rPr>
          <w:rFonts w:ascii="仿宋" w:hAnsi="仿宋" w:eastAsia="仿宋" w:cs="仿宋"/>
          <w:color w:val="000000"/>
          <w:sz w:val="32"/>
          <w:u w:color="auto"/>
        </w:rPr>
        <w:t>26.76万元。</w:t>
      </w:r>
      <w:bookmarkStart w:id="64" w:name="_Toc15377219"/>
    </w:p>
    <w:p>
      <w:pPr>
        <w:pStyle w:val="4"/>
        <w:ind w:firstLine="640" w:firstLineChars="200"/>
        <w:rPr>
          <w:rFonts w:hint="eastAsia" w:ascii="黑体" w:hAnsi="黑体" w:eastAsia="黑体" w:cs="黑体"/>
          <w:b w:val="0"/>
          <w:bCs/>
          <w:color w:val="000000"/>
        </w:rPr>
      </w:pPr>
      <w:bookmarkStart w:id="65" w:name="_Toc111208507"/>
      <w:bookmarkStart w:id="66" w:name="_Toc31303"/>
      <w:r>
        <w:rPr>
          <w:rFonts w:hint="eastAsia" w:ascii="黑体" w:hAnsi="黑体" w:eastAsia="黑体" w:cs="黑体"/>
          <w:b w:val="0"/>
          <w:bCs/>
          <w:color w:val="000000"/>
        </w:rPr>
        <w:t>九、国有资本经营预算支出决算情况说明</w:t>
      </w:r>
      <w:bookmarkEnd w:id="64"/>
      <w:bookmarkEnd w:id="65"/>
      <w:bookmarkEnd w:id="66"/>
    </w:p>
    <w:p>
      <w:pPr>
        <w:spacing w:line="600" w:lineRule="exact"/>
        <w:ind w:firstLine="640"/>
        <w:rPr>
          <w:rFonts w:hint="eastAsia"/>
        </w:rPr>
      </w:pPr>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国有资本经营预算拨款支出</w:t>
      </w:r>
      <w:r>
        <w:rPr>
          <w:rFonts w:ascii="仿宋" w:hAnsi="仿宋" w:eastAsia="仿宋" w:cs="仿宋"/>
          <w:color w:val="000000"/>
          <w:sz w:val="32"/>
          <w:u w:color="auto"/>
        </w:rPr>
        <w:t>0.00万元。</w:t>
      </w:r>
    </w:p>
    <w:p>
      <w:pPr>
        <w:pStyle w:val="4"/>
        <w:ind w:firstLine="640" w:firstLineChars="200"/>
        <w:rPr>
          <w:rFonts w:hint="eastAsia" w:ascii="黑体" w:hAnsi="黑体" w:eastAsia="黑体" w:cs="黑体"/>
          <w:b w:val="0"/>
          <w:bCs/>
          <w:color w:val="000000"/>
        </w:rPr>
      </w:pPr>
      <w:bookmarkStart w:id="67" w:name="_Toc111208508"/>
      <w:bookmarkStart w:id="68" w:name="_Toc15377221"/>
      <w:bookmarkStart w:id="69" w:name="_Toc6072"/>
      <w:r>
        <w:rPr>
          <w:rFonts w:hint="eastAsia" w:ascii="黑体" w:hAnsi="黑体" w:eastAsia="黑体" w:cs="黑体"/>
          <w:b w:val="0"/>
          <w:bCs/>
          <w:color w:val="000000"/>
        </w:rPr>
        <w:t>十、其他重要事项的情况说明</w:t>
      </w:r>
      <w:bookmarkEnd w:id="67"/>
      <w:bookmarkEnd w:id="68"/>
      <w:bookmarkEnd w:id="69"/>
    </w:p>
    <w:p>
      <w:pPr>
        <w:spacing w:line="600" w:lineRule="exact"/>
        <w:ind w:firstLine="642" w:firstLineChars="200"/>
        <w:outlineLvl w:val="2"/>
        <w:rPr>
          <w:rFonts w:hint="eastAsia" w:ascii="仿宋" w:hAnsi="仿宋" w:eastAsia="仿宋" w:cs="仿宋"/>
          <w:b/>
          <w:color w:val="000000"/>
          <w:sz w:val="32"/>
          <w:szCs w:val="32"/>
        </w:rPr>
      </w:pPr>
      <w:bookmarkStart w:id="70" w:name="_Toc15377222"/>
      <w:r>
        <w:rPr>
          <w:rFonts w:hint="eastAsia" w:ascii="仿宋" w:hAnsi="仿宋" w:eastAsia="仿宋" w:cs="仿宋"/>
          <w:b/>
          <w:color w:val="000000"/>
          <w:sz w:val="32"/>
          <w:szCs w:val="32"/>
        </w:rPr>
        <w:t>（一）机关运行经费支出情况</w:t>
      </w:r>
      <w:bookmarkEnd w:id="70"/>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，机关运行经费支出</w:t>
      </w:r>
      <w:r>
        <w:rPr>
          <w:rFonts w:ascii="仿宋" w:hAnsi="仿宋" w:eastAsia="仿宋" w:cs="仿宋"/>
          <w:color w:val="000000"/>
          <w:sz w:val="32"/>
          <w:u w:color="auto"/>
        </w:rPr>
        <w:t xml:space="preserve">27.93万元，比2022年增加1.09万元，增加3.89 %。 </w:t>
      </w:r>
    </w:p>
    <w:p>
      <w:pPr>
        <w:spacing w:line="600" w:lineRule="exact"/>
        <w:ind w:firstLine="642" w:firstLineChars="200"/>
        <w:outlineLvl w:val="2"/>
        <w:rPr>
          <w:rFonts w:hint="eastAsia" w:ascii="仿宋" w:hAnsi="仿宋" w:eastAsia="仿宋" w:cs="仿宋"/>
          <w:b/>
          <w:color w:val="000000"/>
          <w:sz w:val="32"/>
          <w:szCs w:val="32"/>
        </w:rPr>
      </w:pPr>
      <w:bookmarkStart w:id="71" w:name="_Toc15377223"/>
      <w:r>
        <w:rPr>
          <w:rFonts w:hint="eastAsia" w:ascii="仿宋" w:hAnsi="仿宋" w:eastAsia="仿宋" w:cs="仿宋"/>
          <w:b/>
          <w:color w:val="000000"/>
          <w:sz w:val="32"/>
          <w:szCs w:val="32"/>
        </w:rPr>
        <w:t>（二）政府采购支出情况</w:t>
      </w:r>
      <w:bookmarkEnd w:id="71"/>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，政府采购支出总额</w:t>
      </w:r>
      <w:r>
        <w:rPr>
          <w:rFonts w:ascii="仿宋" w:hAnsi="仿宋" w:eastAsia="仿宋" w:cs="仿宋"/>
          <w:color w:val="000000"/>
          <w:sz w:val="32"/>
          <w:u w:color="auto"/>
        </w:rPr>
        <w:t>460.75万元，其中：政府采购货物支出85.86万元、政府采购工程支出176.99万元、政府采购服务支出197.90万元。授予中小企业合同金额460.75万元，</w:t>
      </w:r>
      <w:r>
        <w:rPr>
          <w:rFonts w:hint="eastAsia" w:ascii="仿宋" w:hAnsi="仿宋" w:eastAsia="仿宋" w:cs="仿宋"/>
          <w:color w:val="000000"/>
          <w:sz w:val="32"/>
          <w:szCs w:val="32"/>
          <w:lang w:val="en-US" w:eastAsia="zh-CN"/>
        </w:rPr>
        <w:t>占政府采购支出总额的</w:t>
      </w:r>
      <w:r>
        <w:rPr>
          <w:rFonts w:ascii="仿宋" w:hAnsi="仿宋" w:eastAsia="仿宋" w:cs="仿宋"/>
          <w:color w:val="000000"/>
          <w:sz w:val="32"/>
          <w:u w:color="auto"/>
        </w:rPr>
        <w:t>100.00%,</w:t>
      </w:r>
      <w:r>
        <w:rPr>
          <w:rFonts w:hint="eastAsia" w:ascii="仿宋" w:hAnsi="仿宋" w:eastAsia="仿宋" w:cs="仿宋"/>
          <w:color w:val="000000"/>
          <w:sz w:val="32"/>
          <w:szCs w:val="32"/>
        </w:rPr>
        <w:t>其中：授予小微企业合同金额</w:t>
      </w:r>
      <w:r>
        <w:rPr>
          <w:rFonts w:ascii="仿宋" w:hAnsi="仿宋" w:eastAsia="仿宋" w:cs="仿宋"/>
          <w:color w:val="000000"/>
          <w:sz w:val="32"/>
          <w:u w:color="auto"/>
        </w:rPr>
        <w:t>460.75万元，占</w:t>
      </w:r>
      <w:r>
        <w:rPr>
          <w:rFonts w:hint="eastAsia" w:ascii="仿宋" w:hAnsi="仿宋" w:eastAsia="仿宋" w:cs="仿宋"/>
          <w:color w:val="000000"/>
          <w:sz w:val="32"/>
          <w:szCs w:val="32"/>
          <w:lang w:val="en-US" w:eastAsia="zh-CN"/>
        </w:rPr>
        <w:t>政府采购支出总额</w:t>
      </w:r>
      <w:r>
        <w:rPr>
          <w:rFonts w:hint="eastAsia" w:ascii="仿宋" w:hAnsi="仿宋" w:eastAsia="仿宋" w:cs="仿宋"/>
          <w:color w:val="000000"/>
          <w:sz w:val="32"/>
          <w:szCs w:val="32"/>
        </w:rPr>
        <w:t>的</w:t>
      </w:r>
      <w:r>
        <w:rPr>
          <w:rFonts w:ascii="仿宋" w:hAnsi="仿宋" w:eastAsia="仿宋" w:cs="仿宋"/>
          <w:color w:val="000000"/>
          <w:sz w:val="32"/>
          <w:u w:color="auto"/>
        </w:rPr>
        <w:t>100.00%。</w:t>
      </w:r>
    </w:p>
    <w:p>
      <w:pPr>
        <w:spacing w:line="600" w:lineRule="exact"/>
        <w:ind w:firstLine="642" w:firstLineChars="200"/>
        <w:outlineLvl w:val="2"/>
        <w:rPr>
          <w:rFonts w:hint="eastAsia" w:ascii="仿宋" w:hAnsi="仿宋" w:eastAsia="仿宋" w:cs="仿宋"/>
          <w:b/>
          <w:color w:val="000000"/>
          <w:sz w:val="32"/>
          <w:szCs w:val="32"/>
        </w:rPr>
      </w:pPr>
      <w:bookmarkStart w:id="72" w:name="_Toc15377224"/>
      <w:r>
        <w:rPr>
          <w:rFonts w:hint="eastAsia" w:ascii="仿宋" w:hAnsi="仿宋" w:eastAsia="仿宋" w:cs="仿宋"/>
          <w:b/>
          <w:color w:val="000000"/>
          <w:sz w:val="32"/>
          <w:szCs w:val="32"/>
        </w:rPr>
        <w:t>（三）国有资产占有使用情况</w:t>
      </w:r>
      <w:bookmarkEnd w:id="72"/>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截至</w:t>
      </w:r>
      <w:r>
        <w:rPr>
          <w:rFonts w:ascii="仿宋" w:hAnsi="仿宋" w:eastAsia="仿宋" w:cs="仿宋"/>
          <w:color w:val="000000"/>
          <w:sz w:val="32"/>
          <w:u w:color="auto"/>
        </w:rPr>
        <w:t>2023年12月31日，共有车辆5辆，其中：主要领导干部用车0辆、机要通信用车0辆、应急保障用车4辆、其他用车</w:t>
      </w:r>
      <w:r>
        <w:rPr>
          <w:rFonts w:hint="eastAsia" w:ascii="仿宋" w:hAnsi="仿宋" w:eastAsia="仿宋" w:cs="仿宋"/>
          <w:color w:val="000000"/>
          <w:sz w:val="32"/>
          <w:u w:color="auto"/>
          <w:lang w:val="en-US" w:eastAsia="zh-CN"/>
        </w:rPr>
        <w:t>1</w:t>
      </w:r>
      <w:r>
        <w:rPr>
          <w:rFonts w:ascii="仿宋" w:hAnsi="仿宋" w:eastAsia="仿宋" w:cs="仿宋"/>
          <w:color w:val="000000"/>
          <w:sz w:val="32"/>
          <w:u w:color="auto"/>
        </w:rPr>
        <w:t>辆。单价100万元以上专用设备</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不含车辆</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3</w:t>
      </w:r>
      <w:r>
        <w:rPr>
          <w:rFonts w:ascii="仿宋" w:hAnsi="仿宋" w:eastAsia="仿宋" w:cs="仿宋"/>
          <w:color w:val="000000"/>
          <w:sz w:val="32"/>
          <w:u w:color="auto"/>
        </w:rPr>
        <w:t>台（套）。</w:t>
      </w:r>
    </w:p>
    <w:p>
      <w:pPr>
        <w:spacing w:line="600" w:lineRule="exact"/>
        <w:ind w:firstLine="642" w:firstLineChars="200"/>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（四）预算绩效管理情况</w:t>
      </w:r>
    </w:p>
    <w:p>
      <w:pPr>
        <w:spacing w:line="58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 w:hAnsi="仿宋" w:eastAsia="仿宋" w:cs="仿宋"/>
          <w:sz w:val="32"/>
          <w:szCs w:val="32"/>
        </w:rPr>
        <w:t xml:space="preserve"> </w:t>
      </w:r>
      <w:r>
        <w:rPr>
          <w:rFonts w:hint="eastAsia" w:ascii="仿宋_GB2312" w:hAnsi="仿宋_GB2312" w:eastAsia="仿宋_GB2312" w:cs="仿宋_GB2312"/>
          <w:color w:val="auto"/>
          <w:sz w:val="32"/>
          <w:szCs w:val="32"/>
          <w:highlight w:val="none"/>
        </w:rPr>
        <w:t>根据预算绩效管理要求，本部门在</w:t>
      </w:r>
      <w:r>
        <w:rPr>
          <w:rFonts w:hint="eastAsia" w:ascii="仿宋_GB2312" w:hAnsi="仿宋_GB2312" w:eastAsia="仿宋_GB2312" w:cs="仿宋_GB2312"/>
          <w:color w:val="auto"/>
          <w:sz w:val="32"/>
          <w:szCs w:val="32"/>
          <w:highlight w:val="none"/>
          <w:lang w:val="en-US" w:eastAsia="zh-CN"/>
        </w:rPr>
        <w:t>2023年度</w:t>
      </w:r>
      <w:r>
        <w:rPr>
          <w:rFonts w:hint="eastAsia" w:ascii="仿宋_GB2312" w:hAnsi="仿宋_GB2312" w:eastAsia="仿宋_GB2312" w:cs="仿宋_GB2312"/>
          <w:color w:val="auto"/>
          <w:sz w:val="32"/>
          <w:szCs w:val="32"/>
          <w:highlight w:val="none"/>
        </w:rPr>
        <w:t>预算编制阶段，组织对阿坝州羌城体育公园项目</w:t>
      </w:r>
      <w:r>
        <w:rPr>
          <w:rFonts w:hint="eastAsia" w:ascii="仿宋_GB2312" w:hAnsi="仿宋_GB2312" w:eastAsia="仿宋_GB2312" w:cs="仿宋_GB2312"/>
          <w:color w:val="auto"/>
          <w:sz w:val="32"/>
          <w:szCs w:val="32"/>
          <w:highlight w:val="none"/>
          <w:lang w:eastAsia="zh-CN"/>
        </w:rPr>
        <w:t>等</w:t>
      </w:r>
      <w:r>
        <w:rPr>
          <w:rFonts w:hint="eastAsia" w:ascii="仿宋_GB2312" w:hAnsi="仿宋_GB2312" w:eastAsia="仿宋_GB2312" w:cs="仿宋_GB2312"/>
          <w:color w:val="auto"/>
          <w:sz w:val="32"/>
          <w:szCs w:val="32"/>
          <w:highlight w:val="none"/>
          <w:lang w:val="en-US" w:eastAsia="zh-CN"/>
        </w:rPr>
        <w:t>47个项目</w:t>
      </w:r>
      <w:r>
        <w:rPr>
          <w:rFonts w:hint="eastAsia" w:ascii="仿宋_GB2312" w:hAnsi="仿宋_GB2312" w:eastAsia="仿宋_GB2312" w:cs="仿宋_GB2312"/>
          <w:color w:val="auto"/>
          <w:sz w:val="32"/>
          <w:szCs w:val="32"/>
          <w:highlight w:val="none"/>
        </w:rPr>
        <w:t>开展了预算事前绩效评估，对</w:t>
      </w:r>
      <w:r>
        <w:rPr>
          <w:rFonts w:hint="eastAsia" w:ascii="仿宋_GB2312" w:hAnsi="仿宋_GB2312" w:eastAsia="仿宋_GB2312" w:cs="仿宋_GB2312"/>
          <w:color w:val="auto"/>
          <w:sz w:val="32"/>
          <w:szCs w:val="32"/>
          <w:highlight w:val="none"/>
          <w:lang w:val="en-US" w:eastAsia="zh-CN"/>
        </w:rPr>
        <w:t>116</w:t>
      </w:r>
      <w:r>
        <w:rPr>
          <w:rFonts w:hint="eastAsia" w:ascii="仿宋_GB2312" w:hAnsi="仿宋_GB2312" w:eastAsia="仿宋_GB2312" w:cs="仿宋_GB2312"/>
          <w:color w:val="auto"/>
          <w:sz w:val="32"/>
          <w:szCs w:val="32"/>
          <w:highlight w:val="none"/>
        </w:rPr>
        <w:t>个项目编制了绩效目标，预算执行过程中</w:t>
      </w:r>
      <w:r>
        <w:rPr>
          <w:rFonts w:hint="eastAsia" w:ascii="仿宋_GB2312" w:hAnsi="仿宋_GB2312" w:eastAsia="仿宋_GB2312" w:cs="仿宋_GB2312"/>
          <w:color w:val="auto"/>
          <w:sz w:val="32"/>
          <w:szCs w:val="32"/>
          <w:highlight w:val="none"/>
          <w:lang w:eastAsia="zh-CN"/>
        </w:rPr>
        <w:t>对</w:t>
      </w:r>
      <w:r>
        <w:rPr>
          <w:rFonts w:hint="eastAsia" w:ascii="仿宋_GB2312" w:hAnsi="仿宋_GB2312" w:eastAsia="仿宋_GB2312" w:cs="仿宋_GB2312"/>
          <w:color w:val="auto"/>
          <w:sz w:val="32"/>
          <w:szCs w:val="32"/>
          <w:highlight w:val="none"/>
          <w:lang w:val="en-US" w:eastAsia="zh-CN"/>
        </w:rPr>
        <w:t>116</w:t>
      </w:r>
      <w:r>
        <w:rPr>
          <w:rFonts w:hint="eastAsia" w:ascii="仿宋_GB2312" w:hAnsi="仿宋_GB2312" w:eastAsia="仿宋_GB2312" w:cs="仿宋_GB2312"/>
          <w:color w:val="auto"/>
          <w:sz w:val="32"/>
          <w:szCs w:val="32"/>
          <w:highlight w:val="none"/>
        </w:rPr>
        <w:t>个项目开展绩效监控</w:t>
      </w:r>
      <w:r>
        <w:rPr>
          <w:rFonts w:hint="eastAsia" w:ascii="仿宋_GB2312" w:hAnsi="仿宋_GB2312" w:eastAsia="仿宋_GB2312" w:cs="仿宋_GB2312"/>
          <w:color w:val="auto"/>
          <w:sz w:val="32"/>
          <w:szCs w:val="32"/>
          <w:highlight w:val="none"/>
          <w:lang w:eastAsia="zh-CN"/>
        </w:rPr>
        <w:t>。</w:t>
      </w:r>
    </w:p>
    <w:p>
      <w:pPr>
        <w:pStyle w:val="40"/>
        <w:shd w:val="clear" w:color="auto" w:fill="FFFFFF"/>
        <w:spacing w:before="0" w:beforeAutospacing="0" w:after="0" w:afterAutospacing="0" w:line="336" w:lineRule="atLeast"/>
        <w:ind w:firstLine="880"/>
        <w:jc w:val="center"/>
        <w:rPr>
          <w:rFonts w:hint="eastAsia" w:ascii="仿宋" w:hAnsi="仿宋" w:eastAsia="仿宋" w:cs="仿宋"/>
          <w:kern w:val="2"/>
          <w:sz w:val="32"/>
          <w:szCs w:val="32"/>
          <w:lang w:val="en-US" w:eastAsia="zh-CN" w:bidi="ar-SA"/>
        </w:rPr>
      </w:pPr>
      <w:r>
        <w:rPr>
          <w:rFonts w:hint="eastAsia" w:ascii="仿宋_GB2312" w:hAnsi="仿宋_GB2312" w:eastAsia="仿宋_GB2312" w:cs="仿宋_GB2312"/>
          <w:color w:val="auto"/>
          <w:sz w:val="32"/>
          <w:szCs w:val="32"/>
          <w:highlight w:val="none"/>
          <w:lang w:eastAsia="zh-CN"/>
        </w:rPr>
        <w:t>组织</w:t>
      </w:r>
      <w:r>
        <w:rPr>
          <w:rFonts w:hint="eastAsia" w:ascii="仿宋_GB2312" w:hAnsi="仿宋_GB2312" w:eastAsia="仿宋_GB2312" w:cs="仿宋_GB2312"/>
          <w:color w:val="auto"/>
          <w:sz w:val="32"/>
          <w:szCs w:val="32"/>
          <w:highlight w:val="none"/>
        </w:rPr>
        <w:t>对</w:t>
      </w:r>
      <w:r>
        <w:rPr>
          <w:rFonts w:hint="eastAsia" w:ascii="仿宋_GB2312" w:hAnsi="仿宋_GB2312" w:eastAsia="仿宋_GB2312" w:cs="仿宋_GB2312"/>
          <w:color w:val="auto"/>
          <w:sz w:val="32"/>
          <w:szCs w:val="32"/>
          <w:highlight w:val="none"/>
          <w:lang w:val="en-US" w:eastAsia="zh-CN"/>
        </w:rPr>
        <w:t>2023年度一般公共预算、</w:t>
      </w:r>
      <w:r>
        <w:rPr>
          <w:rFonts w:hint="eastAsia" w:ascii="仿宋_GB2312" w:hAnsi="仿宋_GB2312" w:eastAsia="仿宋_GB2312" w:cs="仿宋_GB2312"/>
          <w:color w:val="auto"/>
          <w:sz w:val="32"/>
          <w:szCs w:val="32"/>
          <w:highlight w:val="none"/>
          <w:lang w:eastAsia="zh-CN"/>
        </w:rPr>
        <w:t>政府性基金预算、国有资本经营预算、社会保险基金预算以及资本资产、债券资金等</w:t>
      </w:r>
      <w:r>
        <w:rPr>
          <w:rFonts w:hint="eastAsia" w:ascii="仿宋_GB2312" w:hAnsi="仿宋_GB2312" w:eastAsia="仿宋_GB2312" w:cs="仿宋_GB2312"/>
          <w:color w:val="auto"/>
          <w:sz w:val="32"/>
          <w:szCs w:val="32"/>
          <w:highlight w:val="none"/>
          <w:lang w:val="en-US" w:eastAsia="zh-CN"/>
        </w:rPr>
        <w:t>全面</w:t>
      </w:r>
      <w:r>
        <w:rPr>
          <w:rFonts w:hint="eastAsia" w:ascii="仿宋" w:hAnsi="仿宋" w:eastAsia="仿宋" w:cs="仿宋"/>
          <w:kern w:val="2"/>
          <w:sz w:val="32"/>
          <w:szCs w:val="32"/>
          <w:lang w:val="en-US" w:eastAsia="zh-CN" w:bidi="ar-SA"/>
        </w:rPr>
        <w:t>开展绩效自评，形成茂县文化广播电视体育和旅游局部门整体（含部门预算项目）绩效自评报告，茂县博物馆</w:t>
      </w:r>
    </w:p>
    <w:p>
      <w:pPr>
        <w:pStyle w:val="40"/>
        <w:shd w:val="clear" w:color="auto" w:fill="FFFFFF"/>
        <w:spacing w:before="0" w:beforeAutospacing="0" w:after="0" w:afterAutospacing="0" w:line="336" w:lineRule="atLeast"/>
        <w:jc w:val="both"/>
        <w:rPr>
          <w:rFonts w:hint="eastAsia" w:ascii="仿宋_GB2312" w:hAnsi="仿宋_GB2312" w:eastAsia="仿宋_GB2312" w:cs="仿宋_GB2312"/>
          <w:color w:val="auto"/>
          <w:sz w:val="32"/>
          <w:szCs w:val="32"/>
          <w:highlight w:val="none"/>
          <w:lang w:val="en-US" w:eastAsia="zh-CN"/>
        </w:rPr>
      </w:pPr>
      <w:r>
        <w:rPr>
          <w:rFonts w:hint="eastAsia" w:ascii="仿宋" w:hAnsi="仿宋" w:eastAsia="仿宋" w:cs="仿宋"/>
          <w:kern w:val="2"/>
          <w:sz w:val="32"/>
          <w:szCs w:val="32"/>
          <w:lang w:val="en-US" w:eastAsia="zh-CN" w:bidi="ar-SA"/>
        </w:rPr>
        <w:t>免费开放专项资金绩效自评报告、茂县体育馆免费开放专项资金绩效自评报告</w:t>
      </w:r>
      <w:r>
        <w:rPr>
          <w:rFonts w:hint="eastAsia" w:ascii="仿宋_GB2312" w:hAnsi="仿宋_GB2312" w:eastAsia="仿宋_GB2312" w:cs="仿宋_GB2312"/>
          <w:color w:val="auto"/>
          <w:sz w:val="32"/>
          <w:szCs w:val="32"/>
          <w:highlight w:val="none"/>
          <w:lang w:val="en-US" w:eastAsia="zh-CN"/>
        </w:rPr>
        <w:t>等</w:t>
      </w:r>
      <w:r>
        <w:rPr>
          <w:rFonts w:hint="eastAsia" w:ascii="仿宋_GB2312" w:hAnsi="仿宋_GB2312" w:eastAsia="仿宋_GB2312" w:cs="仿宋_GB2312"/>
          <w:color w:val="auto"/>
          <w:sz w:val="32"/>
          <w:szCs w:val="32"/>
          <w:highlight w:val="none"/>
          <w:lang w:eastAsia="zh-CN"/>
        </w:rPr>
        <w:t>专项预算项目</w:t>
      </w:r>
      <w:r>
        <w:rPr>
          <w:rFonts w:hint="eastAsia" w:ascii="仿宋_GB2312" w:hAnsi="仿宋_GB2312" w:eastAsia="仿宋_GB2312" w:cs="仿宋_GB2312"/>
          <w:color w:val="auto"/>
          <w:sz w:val="32"/>
          <w:szCs w:val="32"/>
          <w:highlight w:val="none"/>
          <w:lang w:val="en-US" w:eastAsia="zh-CN"/>
        </w:rPr>
        <w:t>绩效自评报告。</w:t>
      </w:r>
    </w:p>
    <w:p>
      <w:pPr>
        <w:pStyle w:val="6"/>
        <w:rPr>
          <w:rFonts w:hint="eastAsia" w:ascii="仿宋" w:hAnsi="仿宋" w:eastAsia="仿宋" w:cs="仿宋"/>
          <w:sz w:val="32"/>
          <w:szCs w:val="32"/>
        </w:rPr>
      </w:pPr>
    </w:p>
    <w:p>
      <w:pPr>
        <w:widowControl/>
        <w:jc w:val="left"/>
        <w:rPr>
          <w:rFonts w:hint="eastAsia" w:ascii="思源黑体 CN Normal" w:hAnsi="思源黑体 CN Normal" w:eastAsia="思源黑体 CN Normal" w:cs="思源黑体 CN Normal"/>
          <w:b/>
          <w:color w:val="000000"/>
          <w:sz w:val="32"/>
          <w:szCs w:val="32"/>
        </w:rPr>
      </w:pPr>
      <w:r>
        <w:rPr>
          <w:rFonts w:hint="eastAsia" w:ascii="思源黑体 CN Normal" w:hAnsi="思源黑体 CN Normal" w:eastAsia="思源黑体 CN Normal" w:cs="思源黑体 CN Normal"/>
          <w:b/>
          <w:color w:val="000000"/>
          <w:sz w:val="32"/>
          <w:szCs w:val="32"/>
        </w:rPr>
        <w:br w:type="page"/>
      </w:r>
    </w:p>
    <w:p>
      <w:pPr>
        <w:pStyle w:val="3"/>
        <w:jc w:val="center"/>
        <w:rPr>
          <w:rFonts w:hint="eastAsia" w:ascii="黑体" w:hAnsi="黑体" w:eastAsia="黑体" w:cs="黑体"/>
          <w:b w:val="0"/>
          <w:bCs w:val="0"/>
        </w:rPr>
      </w:pPr>
      <w:bookmarkStart w:id="73" w:name="_Toc27645"/>
      <w:bookmarkStart w:id="74" w:name="_Toc15377225"/>
      <w:bookmarkStart w:id="75" w:name="_Toc111208509"/>
      <w:r>
        <w:rPr>
          <w:rFonts w:hint="eastAsia" w:ascii="黑体" w:hAnsi="黑体" w:eastAsia="黑体" w:cs="黑体"/>
          <w:b w:val="0"/>
          <w:bCs w:val="0"/>
        </w:rPr>
        <w:t>第三部分 名词解释</w:t>
      </w:r>
      <w:bookmarkEnd w:id="73"/>
      <w:bookmarkEnd w:id="74"/>
      <w:bookmarkEnd w:id="75"/>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1.财政拨款收入：指单位从同级财政部门取得的财政预算资金。</w:t>
      </w:r>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2.事业收入：指事业单位开展专业业务活动及辅助活动取得的收入。</w:t>
      </w:r>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3.经营收入：指事业单位在专业业务活动及其辅助活动之外开展非独立核算经营活动取得的收入</w:t>
      </w:r>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4.其他收入：指单位取得的除上述收入以外的各项收入。</w:t>
      </w:r>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5.使用非财政拨款结余（含专用结余）：指事业单位使用以前年度积累的非财政拨款结余弥补当年收支差额的金额。 </w:t>
      </w:r>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6.年初结转和结余：指以前年度尚未完成、结转到本年按有关规定继续使用的资金。 </w:t>
      </w:r>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7.结余分配：指事业单位按照会计制度规定缴纳的所得税、提取的专用结余以及转入非财政拨款结余的金额等。</w:t>
      </w:r>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8.年末结转和结余：指单位按有关规定结转到下年或以后年度继续使用的资金。</w:t>
      </w:r>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9.文化旅游体育与传媒支出（类）文化和旅游（款）行政运行（项）:反映行政单位（包括实行公务员管理的事业单位）的基本支出。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10.文化旅游体育与传媒支出（类）文化和旅游（款）图书馆（项）:反映图书馆的支出。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11.文化旅游体育与传媒支出（类）文化和旅游（款）群众文化（项）:反映群众文化方面的支出，包括基层文化馆（站）、群众艺术馆支出等。</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12.文化旅游体育与传媒支出（类）文化和旅游（款）文化创作与保护（项）:反映鼓励文学、艺术创作和优秀传统文化保护方面的支出。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13.文化旅游体育与传媒支出（类）文化和旅游（款）其他文化和旅游支出（项）:反映除上述项目以外其他用于文化和旅游方面的支出。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14.文化旅游体育与传媒支出（类）文物（款）博物馆（项）:反映文物系统及其他部门所属博物馆、纪念馆（室）的支出。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15.文化旅游体育与传媒支出（类）体育（款）体育场馆（项）:反映体育场馆建设及维护等方面的支出。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16.文化旅游体育与传媒支出（类）其他文化旅游体育与传媒支出（款）其他文化旅游体育与传媒支出（项）:反映除上述项目以外其他用于文化旅游体育与传媒方面的支出。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17.社会保障和就业支出（类）行政事业单位养老支出（款）机关事业单位基本养老保险缴费支出（项）:反映机关事业单位实施养老保险制度由单位缴纳的基本养老保险费支出。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18.社会保障和就业支出（类）行政事业单位养老支出（款）机关事业单位职业年金缴费支出（项）:反映机关事业单位实施养老保险制度由单位实际缴纳的职业年金支出。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19.卫生健康支出（类）行政事业单位医疗（款）行政单位医疗（项）:反映财政部门安排的行政单位（包括实行公务员管理的事业单位，下同）基本医疗保险缴费经费，未参加医疗保险的行政单位的公费医疗经费，按国家规定享受离休人员、红军老战士待遇人员的医疗经费。</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20.卫生健康支出（类）行政事业单位医疗（款）事业单位医疗（项）:反映财政部门安排的事业单位基本医疗保险缴费经费，未参加医疗保险的事业单位的公费医疗经费，按国家规定享受离休人员待遇的医疗经费。</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21.农林水支出（类）巩固脱贫攻坚成果衔接乡村振兴（款）社会发展（项）:反映用于农村贫困地区中小学教育、文化、广播、电视、医疗、卫生等方面的项目支出。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22.农林水支出（类）巩固脱贫攻坚成果衔接乡村振兴（款）其他巩固脱贫攻坚成果衔接乡村振兴支出（项）:反映除上述项目以外其他用于扶贫方面的支出。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23.住房保障支出（类）住房改革支出（款）住房公积金（项）:反映行政事业单位按人力资源和社会保障部、财政部规定的基本工资和津贴补贴以及规定比例为职工缴纳的住房公积金。</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24.住房保障支出（类）住房改革支出（款）购房补贴（项）:反映按房改政策规定，行政事业单位向符合条件职工（含离退休人员）、军队（含武警）向转役复员离退休人员发放的用于购买住房的补贴。</w:t>
      </w:r>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25</w:t>
      </w:r>
      <w:r>
        <w:rPr>
          <w:rFonts w:ascii="仿宋" w:hAnsi="仿宋" w:eastAsia="仿宋" w:cs="仿宋"/>
          <w:color w:val="000000"/>
          <w:sz w:val="32"/>
          <w:u w:color="auto"/>
        </w:rPr>
        <w:t>.基本支出：指为保障机构正常运转、完成日常工作任务而发生的人员支出和公用支出。</w:t>
      </w:r>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26</w:t>
      </w:r>
      <w:r>
        <w:rPr>
          <w:rFonts w:ascii="仿宋" w:hAnsi="仿宋" w:eastAsia="仿宋" w:cs="仿宋"/>
          <w:color w:val="000000"/>
          <w:sz w:val="32"/>
          <w:u w:color="auto"/>
        </w:rPr>
        <w:t xml:space="preserve">.项目支出：指在基本支出之外为完成特定行政任务和事业发展目标所发生的支出。 </w:t>
      </w:r>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27</w:t>
      </w:r>
      <w:r>
        <w:rPr>
          <w:rFonts w:ascii="仿宋" w:hAnsi="仿宋" w:eastAsia="仿宋" w:cs="仿宋"/>
          <w:color w:val="000000"/>
          <w:sz w:val="32"/>
          <w:u w:color="auto"/>
        </w:rPr>
        <w:t>.经营支出：指事业单位在专业业务活动及其辅助活动之外开展非独立核算经营活动发生的支出。</w:t>
      </w:r>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28</w:t>
      </w:r>
      <w:r>
        <w:rPr>
          <w:rFonts w:ascii="仿宋" w:hAnsi="仿宋" w:eastAsia="仿宋" w:cs="仿宋"/>
          <w:color w:val="000000"/>
          <w:sz w:val="32"/>
          <w:u w:color="auto"/>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29</w:t>
      </w:r>
      <w:r>
        <w:rPr>
          <w:rFonts w:ascii="仿宋" w:hAnsi="仿宋" w:eastAsia="仿宋" w:cs="仿宋"/>
          <w:color w:val="000000"/>
          <w:sz w:val="32"/>
          <w:u w:color="auto"/>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hint="eastAsia" w:ascii="仿宋" w:hAnsi="仿宋" w:eastAsia="仿宋" w:cs="仿宋"/>
          <w:sz w:val="32"/>
          <w:szCs w:val="32"/>
        </w:rPr>
      </w:pPr>
      <w:r>
        <w:rPr>
          <w:rFonts w:hint="eastAsia" w:ascii="仿宋" w:hAnsi="仿宋" w:eastAsia="仿宋" w:cs="仿宋"/>
          <w:color w:val="000000"/>
          <w:sz w:val="32"/>
          <w:szCs w:val="32"/>
        </w:rPr>
        <w:t>30</w:t>
      </w:r>
      <w:r>
        <w:rPr>
          <w:rFonts w:ascii="仿宋" w:hAnsi="仿宋" w:eastAsia="仿宋" w:cs="仿宋"/>
          <w:color w:val="000000"/>
          <w:sz w:val="32"/>
          <w:u w:color="auto"/>
        </w:rPr>
        <w:t>.财政应返还额度：为行政事业单位会计核算科目，用于核算实行国库集中支付的行政事业单位应收财政返还的资金额度。</w:t>
      </w:r>
    </w:p>
    <w:p>
      <w:pPr>
        <w:widowControl/>
        <w:jc w:val="left"/>
        <w:rPr>
          <w:rStyle w:val="33"/>
          <w:rFonts w:hint="eastAsia" w:ascii="思源黑体 CN Normal" w:hAnsi="思源黑体 CN Normal" w:eastAsia="思源黑体 CN Normal" w:cs="思源黑体 CN Normal"/>
        </w:rPr>
      </w:pPr>
      <w:r>
        <w:rPr>
          <w:rStyle w:val="33"/>
          <w:rFonts w:hint="eastAsia" w:ascii="思源黑体 CN Normal" w:hAnsi="思源黑体 CN Normal" w:eastAsia="思源黑体 CN Normal" w:cs="思源黑体 CN Normal"/>
        </w:rPr>
        <w:br w:type="page"/>
      </w:r>
    </w:p>
    <w:p>
      <w:pPr>
        <w:pStyle w:val="3"/>
        <w:numPr>
          <w:ilvl w:val="0"/>
          <w:numId w:val="1"/>
        </w:numPr>
        <w:jc w:val="center"/>
        <w:rPr>
          <w:rFonts w:hint="eastAsia" w:ascii="黑体" w:hAnsi="黑体" w:eastAsia="黑体" w:cs="黑体"/>
          <w:b w:val="0"/>
          <w:bCs w:val="0"/>
        </w:rPr>
      </w:pPr>
      <w:bookmarkStart w:id="76" w:name="_Toc111208510"/>
      <w:r>
        <w:rPr>
          <w:rFonts w:hint="eastAsia" w:ascii="黑体" w:hAnsi="黑体" w:eastAsia="黑体" w:cs="黑体"/>
          <w:b w:val="0"/>
          <w:bCs w:val="0"/>
          <w:lang w:val="en-US" w:eastAsia="zh-CN"/>
        </w:rPr>
        <w:t xml:space="preserve"> </w:t>
      </w:r>
      <w:bookmarkStart w:id="77" w:name="_Toc13459"/>
      <w:r>
        <w:rPr>
          <w:rFonts w:hint="eastAsia" w:ascii="黑体" w:hAnsi="黑体" w:eastAsia="黑体" w:cs="黑体"/>
          <w:b w:val="0"/>
          <w:bCs w:val="0"/>
        </w:rPr>
        <w:t>附件</w:t>
      </w:r>
      <w:bookmarkEnd w:id="76"/>
      <w:bookmarkEnd w:id="77"/>
    </w:p>
    <w:p>
      <w:pPr>
        <w:pStyle w:val="2"/>
        <w:rPr>
          <w:rFonts w:hint="eastAsia" w:ascii="黑体" w:hAnsi="黑体" w:eastAsia="黑体" w:cs="黑体"/>
          <w:color w:val="auto"/>
          <w:sz w:val="32"/>
          <w:szCs w:val="32"/>
          <w:highlight w:val="none"/>
          <w:lang w:val="en-US" w:eastAsia="zh-CN"/>
        </w:rPr>
      </w:pPr>
      <w:r>
        <w:rPr>
          <w:rFonts w:hint="eastAsia" w:ascii="黑体" w:hAnsi="黑体" w:eastAsia="黑体" w:cs="黑体"/>
          <w:color w:val="auto"/>
          <w:kern w:val="0"/>
          <w:sz w:val="32"/>
          <w:szCs w:val="32"/>
          <w:highlight w:val="none"/>
          <w:shd w:val="clear" w:color="auto" w:fill="FFFFFF"/>
          <w:lang w:val="zh-CN"/>
        </w:rPr>
        <w:t>附件</w:t>
      </w:r>
      <w:r>
        <w:rPr>
          <w:rFonts w:hint="eastAsia" w:ascii="黑体" w:hAnsi="黑体" w:eastAsia="黑体" w:cs="黑体"/>
          <w:color w:val="auto"/>
          <w:kern w:val="0"/>
          <w:sz w:val="32"/>
          <w:szCs w:val="32"/>
          <w:highlight w:val="none"/>
          <w:shd w:val="clear" w:color="auto" w:fill="FFFFFF"/>
          <w:lang w:val="en-US" w:eastAsia="zh-CN"/>
        </w:rPr>
        <w:t>1</w:t>
      </w:r>
    </w:p>
    <w:p>
      <w:pPr>
        <w:numPr>
          <w:ilvl w:val="0"/>
          <w:numId w:val="0"/>
        </w:numPr>
        <w:rPr>
          <w:rFonts w:hint="eastAsia"/>
        </w:rPr>
      </w:pPr>
    </w:p>
    <w:p>
      <w:pPr>
        <w:numPr>
          <w:ilvl w:val="0"/>
          <w:numId w:val="0"/>
        </w:numPr>
        <w:rPr>
          <w:rFonts w:hint="eastAsia"/>
        </w:rPr>
      </w:pPr>
    </w:p>
    <w:p>
      <w:pPr>
        <w:pStyle w:val="19"/>
        <w:keepNext w:val="0"/>
        <w:keepLines w:val="0"/>
        <w:pageBreakBefore w:val="0"/>
        <w:shd w:val="clear" w:color="auto" w:fill="FFFFFF"/>
        <w:kinsoku/>
        <w:wordWrap/>
        <w:overflowPunct/>
        <w:autoSpaceDE/>
        <w:autoSpaceDN/>
        <w:bidi w:val="0"/>
        <w:spacing w:before="0" w:beforeAutospacing="0" w:after="0" w:afterAutospacing="0" w:line="576" w:lineRule="exact"/>
        <w:ind w:firstLine="480"/>
        <w:jc w:val="center"/>
        <w:textAlignment w:val="auto"/>
        <w:rPr>
          <w:rFonts w:ascii="方正小标宋简体" w:eastAsia="方正小标宋简体"/>
          <w:sz w:val="44"/>
          <w:szCs w:val="44"/>
        </w:rPr>
      </w:pPr>
      <w:r>
        <w:rPr>
          <w:rFonts w:hint="eastAsia" w:ascii="仿宋" w:hAnsi="仿宋" w:eastAsia="仿宋" w:cs="仿宋"/>
          <w:sz w:val="32"/>
          <w:szCs w:val="32"/>
        </w:rPr>
        <w:t xml:space="preserve"> </w:t>
      </w:r>
      <w:r>
        <w:rPr>
          <w:rFonts w:ascii="方正小标宋简体" w:eastAsia="方正小标宋简体"/>
          <w:sz w:val="44"/>
          <w:szCs w:val="44"/>
        </w:rPr>
        <w:t>20</w:t>
      </w:r>
      <w:r>
        <w:rPr>
          <w:rFonts w:hint="eastAsia" w:ascii="方正小标宋简体" w:eastAsia="方正小标宋简体"/>
          <w:sz w:val="44"/>
          <w:szCs w:val="44"/>
        </w:rPr>
        <w:t>2</w:t>
      </w:r>
      <w:r>
        <w:rPr>
          <w:rFonts w:hint="eastAsia" w:ascii="方正小标宋简体" w:eastAsia="方正小标宋简体"/>
          <w:sz w:val="44"/>
          <w:szCs w:val="44"/>
          <w:lang w:val="en-US" w:eastAsia="zh-CN"/>
        </w:rPr>
        <w:t>4</w:t>
      </w:r>
      <w:r>
        <w:rPr>
          <w:rFonts w:hint="eastAsia" w:ascii="方正小标宋简体" w:eastAsia="方正小标宋简体"/>
          <w:sz w:val="44"/>
          <w:szCs w:val="44"/>
        </w:rPr>
        <w:t>年文化体育和旅游局</w:t>
      </w:r>
    </w:p>
    <w:p>
      <w:pPr>
        <w:pStyle w:val="19"/>
        <w:keepNext w:val="0"/>
        <w:keepLines w:val="0"/>
        <w:pageBreakBefore w:val="0"/>
        <w:shd w:val="clear" w:color="auto" w:fill="FFFFFF"/>
        <w:kinsoku/>
        <w:wordWrap/>
        <w:overflowPunct/>
        <w:autoSpaceDE/>
        <w:autoSpaceDN/>
        <w:bidi w:val="0"/>
        <w:spacing w:before="0" w:beforeAutospacing="0" w:after="0" w:afterAutospacing="0" w:line="576" w:lineRule="exact"/>
        <w:ind w:firstLine="480"/>
        <w:jc w:val="center"/>
        <w:textAlignment w:val="auto"/>
        <w:rPr>
          <w:rFonts w:hint="eastAsia" w:ascii="方正小标宋简体" w:eastAsia="方正小标宋简体"/>
          <w:sz w:val="44"/>
          <w:szCs w:val="44"/>
          <w:lang w:eastAsia="zh-CN"/>
        </w:rPr>
      </w:pPr>
      <w:r>
        <w:rPr>
          <w:rFonts w:hint="eastAsia" w:ascii="方正小标宋简体" w:eastAsia="方正小标宋简体"/>
          <w:sz w:val="44"/>
          <w:szCs w:val="44"/>
        </w:rPr>
        <w:t>整体支出绩效报告</w:t>
      </w:r>
    </w:p>
    <w:p>
      <w:pPr>
        <w:pStyle w:val="19"/>
        <w:keepNext w:val="0"/>
        <w:keepLines w:val="0"/>
        <w:pageBreakBefore w:val="0"/>
        <w:shd w:val="clear" w:color="auto" w:fill="FFFFFF"/>
        <w:kinsoku/>
        <w:wordWrap/>
        <w:overflowPunct/>
        <w:autoSpaceDE/>
        <w:autoSpaceDN/>
        <w:bidi w:val="0"/>
        <w:spacing w:before="0" w:beforeAutospacing="0" w:after="0" w:afterAutospacing="0" w:line="576" w:lineRule="exact"/>
        <w:ind w:firstLine="480"/>
        <w:jc w:val="both"/>
        <w:textAlignment w:val="auto"/>
        <w:rPr>
          <w:rFonts w:ascii="仿宋" w:hAnsi="仿宋" w:eastAsia="仿宋"/>
          <w:b/>
          <w:bCs/>
          <w:sz w:val="32"/>
          <w:szCs w:val="32"/>
        </w:rPr>
      </w:pPr>
      <w:r>
        <w:rPr>
          <w:rFonts w:ascii="仿宋" w:hAnsi="仿宋" w:eastAsia="仿宋"/>
          <w:b/>
          <w:bCs/>
          <w:sz w:val="32"/>
          <w:szCs w:val="32"/>
        </w:rPr>
        <w:t>一、部门概况</w:t>
      </w:r>
    </w:p>
    <w:p>
      <w:pPr>
        <w:pStyle w:val="19"/>
        <w:keepNext w:val="0"/>
        <w:keepLines w:val="0"/>
        <w:pageBreakBefore w:val="0"/>
        <w:shd w:val="clear" w:color="auto" w:fill="FFFFFF"/>
        <w:kinsoku/>
        <w:wordWrap/>
        <w:overflowPunct/>
        <w:autoSpaceDE/>
        <w:autoSpaceDN/>
        <w:bidi w:val="0"/>
        <w:spacing w:before="0" w:beforeAutospacing="0" w:after="0" w:afterAutospacing="0" w:line="576" w:lineRule="exact"/>
        <w:ind w:firstLine="480"/>
        <w:jc w:val="both"/>
        <w:textAlignment w:val="auto"/>
        <w:rPr>
          <w:rFonts w:ascii="仿宋" w:hAnsi="仿宋" w:eastAsia="仿宋"/>
          <w:sz w:val="32"/>
          <w:szCs w:val="32"/>
        </w:rPr>
      </w:pPr>
      <w:r>
        <w:rPr>
          <w:rFonts w:ascii="仿宋" w:hAnsi="仿宋" w:eastAsia="仿宋"/>
          <w:sz w:val="32"/>
          <w:szCs w:val="32"/>
        </w:rPr>
        <w:t>（一）部门职能概述</w:t>
      </w:r>
    </w:p>
    <w:p>
      <w:pPr>
        <w:pStyle w:val="19"/>
        <w:keepNext w:val="0"/>
        <w:keepLines w:val="0"/>
        <w:pageBreakBefore w:val="0"/>
        <w:shd w:val="clear" w:color="auto" w:fill="FFFFFF"/>
        <w:kinsoku/>
        <w:wordWrap/>
        <w:overflowPunct/>
        <w:autoSpaceDE/>
        <w:autoSpaceDN/>
        <w:bidi w:val="0"/>
        <w:spacing w:before="0" w:beforeAutospacing="0" w:after="0" w:afterAutospacing="0" w:line="576" w:lineRule="exact"/>
        <w:ind w:firstLine="480"/>
        <w:jc w:val="both"/>
        <w:textAlignment w:val="auto"/>
        <w:rPr>
          <w:rFonts w:ascii="仿宋" w:hAnsi="仿宋" w:eastAsia="仿宋"/>
          <w:sz w:val="32"/>
          <w:szCs w:val="32"/>
        </w:rPr>
      </w:pPr>
      <w:r>
        <w:rPr>
          <w:rFonts w:hint="eastAsia" w:ascii="仿宋" w:hAnsi="仿宋" w:eastAsia="仿宋"/>
          <w:sz w:val="32"/>
          <w:szCs w:val="32"/>
        </w:rPr>
        <w:t>茂县文化体育和旅游局是茂县人民政府的部门，为正科级，列政府序列，加挂县广播电视局牌子。局党组下设机关党委1个、党支部1个（含3个党小组），配备1名党组书记（局长）、2名副局长。</w:t>
      </w:r>
    </w:p>
    <w:p>
      <w:pPr>
        <w:pStyle w:val="19"/>
        <w:keepNext w:val="0"/>
        <w:keepLines w:val="0"/>
        <w:pageBreakBefore w:val="0"/>
        <w:shd w:val="clear" w:color="auto" w:fill="FFFFFF"/>
        <w:kinsoku/>
        <w:wordWrap/>
        <w:overflowPunct/>
        <w:autoSpaceDE/>
        <w:autoSpaceDN/>
        <w:bidi w:val="0"/>
        <w:spacing w:before="0" w:beforeAutospacing="0" w:after="0" w:afterAutospacing="0" w:line="576" w:lineRule="exact"/>
        <w:ind w:firstLine="480"/>
        <w:jc w:val="both"/>
        <w:textAlignment w:val="auto"/>
        <w:rPr>
          <w:rFonts w:ascii="仿宋" w:hAnsi="仿宋" w:eastAsia="仿宋"/>
          <w:sz w:val="32"/>
          <w:szCs w:val="32"/>
        </w:rPr>
      </w:pPr>
      <w:r>
        <w:rPr>
          <w:rFonts w:ascii="仿宋" w:hAnsi="仿宋" w:eastAsia="仿宋"/>
          <w:sz w:val="32"/>
          <w:szCs w:val="32"/>
        </w:rPr>
        <w:t>（二）机构人员情况</w:t>
      </w:r>
    </w:p>
    <w:p>
      <w:pPr>
        <w:pStyle w:val="19"/>
        <w:keepNext w:val="0"/>
        <w:keepLines w:val="0"/>
        <w:pageBreakBefore w:val="0"/>
        <w:shd w:val="clear" w:color="auto" w:fill="FFFFFF"/>
        <w:kinsoku/>
        <w:wordWrap/>
        <w:overflowPunct/>
        <w:autoSpaceDE/>
        <w:autoSpaceDN/>
        <w:bidi w:val="0"/>
        <w:spacing w:before="0" w:beforeAutospacing="0" w:after="0" w:afterAutospacing="0" w:line="576" w:lineRule="exact"/>
        <w:ind w:firstLine="480"/>
        <w:jc w:val="both"/>
        <w:textAlignment w:val="auto"/>
        <w:rPr>
          <w:rFonts w:ascii="仿宋" w:hAnsi="仿宋" w:eastAsia="仿宋"/>
          <w:sz w:val="32"/>
          <w:szCs w:val="32"/>
        </w:rPr>
      </w:pPr>
      <w:r>
        <w:rPr>
          <w:rFonts w:ascii="仿宋" w:hAnsi="仿宋" w:eastAsia="仿宋"/>
          <w:sz w:val="32"/>
          <w:szCs w:val="32"/>
        </w:rPr>
        <w:t>1.机构设置:</w:t>
      </w:r>
      <w:r>
        <w:rPr>
          <w:rFonts w:hint="eastAsia" w:ascii="仿宋" w:hAnsi="仿宋" w:eastAsia="仿宋" w:cs="仿宋"/>
          <w:color w:val="auto"/>
          <w:kern w:val="0"/>
          <w:sz w:val="32"/>
          <w:szCs w:val="32"/>
          <w:highlight w:val="none"/>
          <w:lang w:val="en-US" w:eastAsia="zh-CN" w:bidi="ar-SA"/>
        </w:rPr>
        <w:t>茂县文化体育和旅游局下属二级</w:t>
      </w:r>
      <w:r>
        <w:rPr>
          <w:rFonts w:hint="eastAsia" w:ascii="仿宋" w:hAnsi="仿宋" w:eastAsia="仿宋" w:cs="仿宋"/>
          <w:color w:val="auto"/>
          <w:sz w:val="32"/>
          <w:szCs w:val="32"/>
          <w:highlight w:val="none"/>
          <w:lang w:eastAsia="zh-CN"/>
        </w:rPr>
        <w:t>预算</w:t>
      </w:r>
      <w:r>
        <w:rPr>
          <w:rFonts w:hint="eastAsia" w:ascii="仿宋" w:hAnsi="仿宋" w:eastAsia="仿宋" w:cs="仿宋"/>
          <w:color w:val="auto"/>
          <w:sz w:val="32"/>
          <w:szCs w:val="32"/>
          <w:highlight w:val="none"/>
        </w:rPr>
        <w:t>单位</w:t>
      </w: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个，其中行政单位</w:t>
      </w: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rPr>
        <w:t>个，参照公务员法管理的事业单位</w:t>
      </w: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rPr>
        <w:t>个，其他事业单位</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个。</w:t>
      </w:r>
      <w:bookmarkStart w:id="99" w:name="_GoBack"/>
      <w:bookmarkEnd w:id="99"/>
      <w:r>
        <w:rPr>
          <w:rFonts w:hint="eastAsia" w:ascii="仿宋" w:hAnsi="仿宋" w:eastAsia="仿宋"/>
          <w:sz w:val="32"/>
          <w:szCs w:val="32"/>
        </w:rPr>
        <w:t xml:space="preserve">                                                                                                                                                                                                                                                                                                                                                                                                                                                                                                                                                                                                                                                                                                                                                                                                                                                                                                                                                                                                                                                                                                                                                                                                                                                                                                                                                                                                                                                                                                                                                                                                                                              </w:t>
      </w:r>
    </w:p>
    <w:p>
      <w:pPr>
        <w:pStyle w:val="19"/>
        <w:keepNext w:val="0"/>
        <w:keepLines w:val="0"/>
        <w:pageBreakBefore w:val="0"/>
        <w:shd w:val="clear" w:color="auto" w:fill="FFFFFF"/>
        <w:kinsoku/>
        <w:wordWrap/>
        <w:overflowPunct/>
        <w:autoSpaceDE/>
        <w:autoSpaceDN/>
        <w:bidi w:val="0"/>
        <w:spacing w:before="0" w:beforeAutospacing="0" w:after="0" w:afterAutospacing="0" w:line="576" w:lineRule="exact"/>
        <w:ind w:firstLine="480"/>
        <w:jc w:val="both"/>
        <w:textAlignment w:val="auto"/>
        <w:rPr>
          <w:rFonts w:ascii="仿宋" w:hAnsi="仿宋" w:eastAsia="仿宋"/>
          <w:sz w:val="32"/>
          <w:szCs w:val="32"/>
        </w:rPr>
      </w:pPr>
      <w:r>
        <w:rPr>
          <w:rFonts w:ascii="仿宋" w:hAnsi="仿宋" w:eastAsia="仿宋"/>
          <w:sz w:val="32"/>
          <w:szCs w:val="32"/>
        </w:rPr>
        <w:t>2.人员构成情况:</w:t>
      </w:r>
      <w:r>
        <w:rPr>
          <w:rFonts w:hint="eastAsia" w:ascii="仿宋" w:hAnsi="仿宋" w:eastAsia="仿宋"/>
          <w:sz w:val="32"/>
          <w:szCs w:val="32"/>
        </w:rPr>
        <w:t>在职人员88人，其中：公务员（含参公）26人，事业人员（含工勤）62人。</w:t>
      </w:r>
    </w:p>
    <w:p>
      <w:pPr>
        <w:keepNext w:val="0"/>
        <w:keepLines w:val="0"/>
        <w:pageBreakBefore w:val="0"/>
        <w:pBdr>
          <w:bottom w:val="single" w:color="FFFFFF" w:sz="4" w:space="28"/>
        </w:pBdr>
        <w:kinsoku/>
        <w:wordWrap/>
        <w:overflowPunct/>
        <w:topLinePunct/>
        <w:autoSpaceDE/>
        <w:autoSpaceDN/>
        <w:bidi w:val="0"/>
        <w:spacing w:line="576" w:lineRule="exact"/>
        <w:ind w:firstLine="642" w:firstLineChars="200"/>
        <w:contextualSpacing/>
        <w:textAlignment w:val="auto"/>
        <w:rPr>
          <w:rFonts w:eastAsia="仿宋"/>
          <w:b/>
          <w:sz w:val="32"/>
          <w:szCs w:val="32"/>
        </w:rPr>
      </w:pPr>
      <w:r>
        <w:rPr>
          <w:rFonts w:ascii="仿宋" w:hAnsi="仿宋" w:eastAsia="仿宋"/>
          <w:b/>
          <w:sz w:val="32"/>
          <w:szCs w:val="32"/>
        </w:rPr>
        <w:t>二、</w:t>
      </w:r>
      <w:r>
        <w:rPr>
          <w:rFonts w:hint="eastAsia" w:ascii="仿宋" w:hAnsi="仿宋" w:eastAsia="仿宋"/>
          <w:b/>
          <w:sz w:val="32"/>
          <w:szCs w:val="32"/>
        </w:rPr>
        <w:t>部门财政资金收支情况</w:t>
      </w:r>
      <w:r>
        <w:rPr>
          <w:rFonts w:eastAsia="仿宋"/>
          <w:b/>
          <w:sz w:val="32"/>
          <w:szCs w:val="32"/>
        </w:rPr>
        <w:t> </w:t>
      </w:r>
    </w:p>
    <w:p>
      <w:pPr>
        <w:keepNext w:val="0"/>
        <w:keepLines w:val="0"/>
        <w:pageBreakBefore w:val="0"/>
        <w:pBdr>
          <w:bottom w:val="single" w:color="FFFFFF" w:sz="4" w:space="28"/>
        </w:pBdr>
        <w:kinsoku/>
        <w:wordWrap/>
        <w:overflowPunct/>
        <w:topLinePunct/>
        <w:autoSpaceDE/>
        <w:autoSpaceDN/>
        <w:bidi w:val="0"/>
        <w:spacing w:line="576" w:lineRule="exact"/>
        <w:ind w:firstLine="640" w:firstLineChars="200"/>
        <w:contextualSpacing/>
        <w:textAlignment w:val="auto"/>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（一）部门财政资金收入情况。</w:t>
      </w:r>
    </w:p>
    <w:p>
      <w:pPr>
        <w:keepNext w:val="0"/>
        <w:keepLines w:val="0"/>
        <w:pageBreakBefore w:val="0"/>
        <w:pBdr>
          <w:bottom w:val="single" w:color="FFFFFF" w:sz="4" w:space="28"/>
        </w:pBdr>
        <w:kinsoku/>
        <w:wordWrap/>
        <w:overflowPunct/>
        <w:topLinePunct/>
        <w:autoSpaceDE/>
        <w:autoSpaceDN/>
        <w:bidi w:val="0"/>
        <w:spacing w:line="576" w:lineRule="exact"/>
        <w:ind w:firstLine="640" w:firstLineChars="200"/>
        <w:contextualSpacing/>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000000"/>
          <w:kern w:val="0"/>
          <w:sz w:val="32"/>
          <w:szCs w:val="32"/>
          <w:lang w:val="zh-CN"/>
        </w:rPr>
        <w:t>202</w:t>
      </w:r>
      <w:r>
        <w:rPr>
          <w:rFonts w:hint="eastAsia" w:ascii="仿宋" w:hAnsi="仿宋" w:eastAsia="仿宋" w:cs="仿宋"/>
          <w:color w:val="000000"/>
          <w:kern w:val="0"/>
          <w:sz w:val="32"/>
          <w:szCs w:val="32"/>
          <w:lang w:val="en-US" w:eastAsia="zh-CN"/>
        </w:rPr>
        <w:t>3</w:t>
      </w:r>
      <w:r>
        <w:rPr>
          <w:rFonts w:hint="eastAsia" w:ascii="仿宋" w:hAnsi="仿宋" w:eastAsia="仿宋" w:cs="仿宋"/>
          <w:color w:val="000000"/>
          <w:kern w:val="0"/>
          <w:sz w:val="32"/>
          <w:szCs w:val="32"/>
          <w:lang w:val="zh-CN"/>
        </w:rPr>
        <w:t>年本部门财政拨款收入决算总额</w:t>
      </w:r>
      <w:r>
        <w:rPr>
          <w:rFonts w:hint="eastAsia" w:ascii="仿宋" w:hAnsi="仿宋" w:eastAsia="仿宋" w:cs="仿宋"/>
          <w:color w:val="auto"/>
          <w:kern w:val="0"/>
          <w:sz w:val="32"/>
          <w:szCs w:val="32"/>
          <w:lang w:val="zh-CN" w:eastAsia="zh-CN"/>
        </w:rPr>
        <w:t>为</w:t>
      </w:r>
      <w:r>
        <w:rPr>
          <w:rFonts w:hint="eastAsia" w:ascii="仿宋" w:hAnsi="仿宋" w:eastAsia="仿宋" w:cs="仿宋"/>
          <w:color w:val="auto"/>
          <w:kern w:val="0"/>
          <w:sz w:val="32"/>
          <w:szCs w:val="32"/>
          <w:lang w:val="en-US" w:eastAsia="zh-CN"/>
        </w:rPr>
        <w:t>4011.55</w:t>
      </w:r>
      <w:r>
        <w:rPr>
          <w:rFonts w:hint="eastAsia" w:ascii="仿宋" w:hAnsi="仿宋" w:eastAsia="仿宋" w:cs="仿宋"/>
          <w:color w:val="auto"/>
          <w:kern w:val="0"/>
          <w:sz w:val="32"/>
          <w:szCs w:val="32"/>
          <w:lang w:val="zh-CN"/>
        </w:rPr>
        <w:t>万元，其中：当年财政拨款收入</w:t>
      </w:r>
      <w:r>
        <w:rPr>
          <w:rFonts w:hint="eastAsia" w:ascii="仿宋" w:hAnsi="仿宋" w:eastAsia="仿宋" w:cs="仿宋"/>
          <w:color w:val="auto"/>
          <w:kern w:val="0"/>
          <w:sz w:val="32"/>
          <w:szCs w:val="32"/>
          <w:lang w:val="en-US" w:eastAsia="zh-CN"/>
        </w:rPr>
        <w:t>4011.55</w:t>
      </w:r>
      <w:r>
        <w:rPr>
          <w:rFonts w:hint="eastAsia" w:ascii="仿宋" w:hAnsi="仿宋" w:eastAsia="仿宋" w:cs="仿宋"/>
          <w:color w:val="auto"/>
          <w:kern w:val="0"/>
          <w:sz w:val="32"/>
          <w:szCs w:val="32"/>
          <w:lang w:val="zh-CN"/>
        </w:rPr>
        <w:t>万元，</w:t>
      </w:r>
      <w:r>
        <w:rPr>
          <w:rFonts w:hint="eastAsia" w:ascii="仿宋" w:hAnsi="仿宋" w:eastAsia="仿宋" w:cs="仿宋"/>
          <w:color w:val="000000"/>
          <w:kern w:val="0"/>
          <w:sz w:val="32"/>
          <w:szCs w:val="32"/>
          <w:lang w:val="zh-CN"/>
        </w:rPr>
        <w:t>其中：一般公共预算财政拨</w:t>
      </w:r>
      <w:r>
        <w:rPr>
          <w:rFonts w:hint="eastAsia" w:ascii="仿宋" w:hAnsi="仿宋" w:eastAsia="仿宋" w:cs="仿宋"/>
          <w:color w:val="auto"/>
          <w:kern w:val="0"/>
          <w:sz w:val="32"/>
          <w:szCs w:val="32"/>
          <w:lang w:val="zh-CN"/>
        </w:rPr>
        <w:t>款</w:t>
      </w:r>
      <w:r>
        <w:rPr>
          <w:rFonts w:hint="eastAsia" w:ascii="仿宋" w:hAnsi="仿宋" w:eastAsia="仿宋" w:cs="仿宋"/>
          <w:color w:val="auto"/>
          <w:kern w:val="0"/>
          <w:sz w:val="32"/>
          <w:szCs w:val="32"/>
          <w:lang w:val="en-US" w:eastAsia="zh-CN"/>
        </w:rPr>
        <w:t>收入3984.79万元，政府性基金预算财政拨款收入26.76万元。</w:t>
      </w:r>
    </w:p>
    <w:p>
      <w:pPr>
        <w:keepNext w:val="0"/>
        <w:keepLines w:val="0"/>
        <w:pageBreakBefore w:val="0"/>
        <w:pBdr>
          <w:bottom w:val="single" w:color="FFFFFF" w:sz="4" w:space="28"/>
        </w:pBdr>
        <w:kinsoku/>
        <w:wordWrap/>
        <w:overflowPunct/>
        <w:topLinePunct/>
        <w:autoSpaceDE/>
        <w:autoSpaceDN/>
        <w:bidi w:val="0"/>
        <w:spacing w:line="576" w:lineRule="exact"/>
        <w:ind w:firstLine="640" w:firstLineChars="200"/>
        <w:contextualSpacing/>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000000"/>
          <w:kern w:val="0"/>
          <w:sz w:val="32"/>
          <w:szCs w:val="32"/>
          <w:lang w:val="en-US" w:eastAsia="zh-CN"/>
        </w:rPr>
        <w:t>2023年</w:t>
      </w:r>
      <w:r>
        <w:rPr>
          <w:rFonts w:hint="eastAsia" w:ascii="仿宋" w:hAnsi="仿宋" w:eastAsia="仿宋" w:cs="仿宋"/>
          <w:color w:val="000000"/>
          <w:kern w:val="0"/>
          <w:sz w:val="32"/>
          <w:szCs w:val="32"/>
          <w:lang w:val="zh-CN"/>
        </w:rPr>
        <w:t>本部门年初财政拨款结转结余</w:t>
      </w:r>
      <w:r>
        <w:rPr>
          <w:rFonts w:hint="eastAsia" w:ascii="仿宋" w:hAnsi="仿宋" w:eastAsia="仿宋" w:cs="仿宋"/>
          <w:color w:val="000000"/>
          <w:kern w:val="0"/>
          <w:sz w:val="32"/>
          <w:szCs w:val="32"/>
          <w:lang w:val="en-US" w:eastAsia="zh-CN"/>
        </w:rPr>
        <w:t>财政应返还额度资金</w:t>
      </w:r>
      <w:r>
        <w:rPr>
          <w:rFonts w:hint="eastAsia" w:ascii="仿宋" w:hAnsi="仿宋" w:eastAsia="仿宋" w:cs="仿宋"/>
          <w:color w:val="auto"/>
          <w:kern w:val="0"/>
          <w:sz w:val="32"/>
          <w:szCs w:val="32"/>
          <w:lang w:val="en-US" w:eastAsia="zh-CN"/>
        </w:rPr>
        <w:t>0万元。</w:t>
      </w:r>
    </w:p>
    <w:p>
      <w:pPr>
        <w:keepNext w:val="0"/>
        <w:keepLines w:val="0"/>
        <w:pageBreakBefore w:val="0"/>
        <w:numPr>
          <w:ilvl w:val="0"/>
          <w:numId w:val="2"/>
        </w:numPr>
        <w:pBdr>
          <w:bottom w:val="single" w:color="FFFFFF" w:sz="4" w:space="28"/>
        </w:pBdr>
        <w:kinsoku/>
        <w:wordWrap/>
        <w:overflowPunct/>
        <w:topLinePunct/>
        <w:autoSpaceDE/>
        <w:autoSpaceDN/>
        <w:bidi w:val="0"/>
        <w:spacing w:line="576" w:lineRule="exact"/>
        <w:ind w:firstLine="640" w:firstLineChars="200"/>
        <w:contextualSpacing/>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部门财政资金支出情况。</w:t>
      </w:r>
    </w:p>
    <w:p>
      <w:pPr>
        <w:keepNext w:val="0"/>
        <w:keepLines w:val="0"/>
        <w:pageBreakBefore w:val="0"/>
        <w:numPr>
          <w:ilvl w:val="0"/>
          <w:numId w:val="0"/>
        </w:numPr>
        <w:pBdr>
          <w:bottom w:val="single" w:color="FFFFFF" w:sz="4" w:space="28"/>
        </w:pBdr>
        <w:kinsoku/>
        <w:wordWrap/>
        <w:overflowPunct/>
        <w:topLinePunct/>
        <w:autoSpaceDE/>
        <w:autoSpaceDN/>
        <w:bidi w:val="0"/>
        <w:spacing w:line="576" w:lineRule="exact"/>
        <w:ind w:firstLine="640" w:firstLineChars="200"/>
        <w:contextualSpacing/>
        <w:textAlignment w:val="auto"/>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20</w:t>
      </w:r>
      <w:r>
        <w:rPr>
          <w:rFonts w:hint="eastAsia" w:ascii="仿宋" w:hAnsi="仿宋" w:eastAsia="仿宋" w:cs="仿宋"/>
          <w:color w:val="000000"/>
          <w:kern w:val="0"/>
          <w:sz w:val="32"/>
          <w:szCs w:val="32"/>
          <w:lang w:val="en-US" w:eastAsia="zh-CN"/>
        </w:rPr>
        <w:t>23</w:t>
      </w:r>
      <w:r>
        <w:rPr>
          <w:rFonts w:hint="eastAsia" w:ascii="仿宋" w:hAnsi="仿宋" w:eastAsia="仿宋" w:cs="仿宋"/>
          <w:color w:val="000000"/>
          <w:kern w:val="0"/>
          <w:sz w:val="32"/>
          <w:szCs w:val="32"/>
          <w:lang w:val="zh-CN"/>
        </w:rPr>
        <w:t>年本部门财政拨款支出决算总额</w:t>
      </w:r>
      <w:r>
        <w:rPr>
          <w:rFonts w:hint="eastAsia" w:ascii="仿宋" w:hAnsi="仿宋" w:eastAsia="仿宋" w:cs="仿宋"/>
          <w:color w:val="auto"/>
          <w:kern w:val="0"/>
          <w:sz w:val="32"/>
          <w:szCs w:val="32"/>
          <w:lang w:val="en-US" w:eastAsia="zh-CN"/>
        </w:rPr>
        <w:t>4011.55</w:t>
      </w:r>
      <w:r>
        <w:rPr>
          <w:rFonts w:hint="eastAsia" w:ascii="仿宋" w:hAnsi="仿宋" w:eastAsia="仿宋" w:cs="仿宋"/>
          <w:color w:val="000000"/>
          <w:kern w:val="0"/>
          <w:sz w:val="32"/>
          <w:szCs w:val="32"/>
          <w:lang w:val="zh-CN"/>
        </w:rPr>
        <w:t>万元。其中：当年财政拨款支出</w:t>
      </w:r>
      <w:r>
        <w:rPr>
          <w:rFonts w:hint="eastAsia" w:ascii="仿宋" w:hAnsi="仿宋" w:eastAsia="仿宋" w:cs="仿宋"/>
          <w:color w:val="auto"/>
          <w:kern w:val="0"/>
          <w:sz w:val="32"/>
          <w:szCs w:val="32"/>
          <w:lang w:val="en-US" w:eastAsia="zh-CN"/>
        </w:rPr>
        <w:t>4011.55</w:t>
      </w:r>
      <w:r>
        <w:rPr>
          <w:rFonts w:hint="eastAsia" w:ascii="仿宋" w:hAnsi="仿宋" w:eastAsia="仿宋" w:cs="仿宋"/>
          <w:color w:val="000000"/>
          <w:kern w:val="0"/>
          <w:sz w:val="32"/>
          <w:szCs w:val="32"/>
          <w:lang w:val="zh-CN"/>
        </w:rPr>
        <w:t>万元,其中：一般公共预算财政拨款</w:t>
      </w:r>
      <w:r>
        <w:rPr>
          <w:rFonts w:hint="eastAsia" w:ascii="仿宋" w:hAnsi="仿宋" w:eastAsia="仿宋" w:cs="仿宋"/>
          <w:color w:val="000000"/>
          <w:kern w:val="0"/>
          <w:sz w:val="32"/>
          <w:szCs w:val="32"/>
          <w:lang w:val="en-US" w:eastAsia="zh-CN"/>
        </w:rPr>
        <w:t>收入</w:t>
      </w:r>
      <w:r>
        <w:rPr>
          <w:rFonts w:hint="eastAsia" w:ascii="仿宋" w:hAnsi="仿宋" w:eastAsia="仿宋" w:cs="仿宋"/>
          <w:color w:val="auto"/>
          <w:kern w:val="0"/>
          <w:sz w:val="32"/>
          <w:szCs w:val="32"/>
          <w:lang w:val="en-US" w:eastAsia="zh-CN"/>
        </w:rPr>
        <w:t>3984.79</w:t>
      </w:r>
      <w:r>
        <w:rPr>
          <w:rFonts w:hint="eastAsia" w:ascii="仿宋" w:hAnsi="仿宋" w:eastAsia="仿宋" w:cs="仿宋"/>
          <w:color w:val="000000"/>
          <w:kern w:val="0"/>
          <w:sz w:val="32"/>
          <w:szCs w:val="32"/>
          <w:lang w:val="en-US" w:eastAsia="zh-CN"/>
        </w:rPr>
        <w:t>万元，政府性基金预算财政拨款收入</w:t>
      </w:r>
      <w:r>
        <w:rPr>
          <w:rFonts w:hint="eastAsia" w:ascii="仿宋" w:hAnsi="仿宋" w:eastAsia="仿宋" w:cs="仿宋"/>
          <w:color w:val="auto"/>
          <w:kern w:val="0"/>
          <w:sz w:val="32"/>
          <w:szCs w:val="32"/>
          <w:lang w:val="en-US" w:eastAsia="zh-CN"/>
        </w:rPr>
        <w:t>26.76</w:t>
      </w:r>
      <w:r>
        <w:rPr>
          <w:rFonts w:hint="eastAsia" w:ascii="仿宋" w:hAnsi="仿宋" w:eastAsia="仿宋" w:cs="仿宋"/>
          <w:color w:val="000000"/>
          <w:kern w:val="0"/>
          <w:sz w:val="32"/>
          <w:szCs w:val="32"/>
          <w:lang w:val="en-US" w:eastAsia="zh-CN"/>
        </w:rPr>
        <w:t>万元</w:t>
      </w:r>
      <w:r>
        <w:rPr>
          <w:rFonts w:hint="eastAsia" w:ascii="仿宋" w:hAnsi="仿宋" w:eastAsia="仿宋" w:cs="仿宋"/>
          <w:color w:val="000000"/>
          <w:kern w:val="0"/>
          <w:sz w:val="32"/>
          <w:szCs w:val="32"/>
          <w:lang w:val="zh-CN"/>
        </w:rPr>
        <w:t>。</w:t>
      </w:r>
    </w:p>
    <w:p>
      <w:pPr>
        <w:keepNext w:val="0"/>
        <w:keepLines w:val="0"/>
        <w:pageBreakBefore w:val="0"/>
        <w:numPr>
          <w:ilvl w:val="0"/>
          <w:numId w:val="3"/>
        </w:numPr>
        <w:pBdr>
          <w:bottom w:val="single" w:color="FFFFFF" w:sz="4" w:space="28"/>
        </w:pBdr>
        <w:kinsoku/>
        <w:wordWrap/>
        <w:overflowPunct/>
        <w:topLinePunct/>
        <w:autoSpaceDE/>
        <w:autoSpaceDN/>
        <w:bidi w:val="0"/>
        <w:spacing w:line="576" w:lineRule="exact"/>
        <w:ind w:firstLine="642" w:firstLineChars="200"/>
        <w:contextualSpacing/>
        <w:textAlignment w:val="auto"/>
        <w:rPr>
          <w:rFonts w:hint="eastAsia" w:ascii="仿宋" w:hAnsi="仿宋" w:eastAsia="仿宋" w:cs="仿宋"/>
          <w:b/>
          <w:bCs/>
          <w:color w:val="000000"/>
          <w:kern w:val="0"/>
          <w:sz w:val="32"/>
          <w:szCs w:val="32"/>
          <w:shd w:val="clear" w:color="auto" w:fill="FFFFFF"/>
        </w:rPr>
      </w:pPr>
      <w:r>
        <w:rPr>
          <w:rFonts w:hint="eastAsia" w:ascii="仿宋" w:hAnsi="仿宋" w:eastAsia="仿宋" w:cs="仿宋"/>
          <w:b/>
          <w:bCs/>
          <w:color w:val="000000"/>
          <w:kern w:val="0"/>
          <w:sz w:val="32"/>
          <w:szCs w:val="32"/>
          <w:shd w:val="clear" w:color="auto" w:fill="FFFFFF"/>
        </w:rPr>
        <w:t>部门整体绩效管理情况</w:t>
      </w:r>
    </w:p>
    <w:p>
      <w:pPr>
        <w:keepNext w:val="0"/>
        <w:keepLines w:val="0"/>
        <w:pageBreakBefore w:val="0"/>
        <w:numPr>
          <w:ilvl w:val="0"/>
          <w:numId w:val="0"/>
        </w:numPr>
        <w:pBdr>
          <w:bottom w:val="single" w:color="FFFFFF" w:sz="4" w:space="28"/>
        </w:pBdr>
        <w:kinsoku/>
        <w:wordWrap/>
        <w:overflowPunct/>
        <w:topLinePunct/>
        <w:autoSpaceDE/>
        <w:autoSpaceDN/>
        <w:bidi w:val="0"/>
        <w:spacing w:line="576" w:lineRule="exact"/>
        <w:ind w:firstLine="640" w:firstLineChars="200"/>
        <w:contextualSpacing/>
        <w:textAlignment w:val="auto"/>
        <w:rPr>
          <w:rFonts w:hint="eastAsia" w:ascii="仿宋" w:hAnsi="仿宋" w:eastAsia="仿宋" w:cs="仿宋"/>
          <w:color w:val="000000"/>
          <w:kern w:val="0"/>
          <w:sz w:val="32"/>
          <w:szCs w:val="32"/>
          <w:lang w:val="zh-CN"/>
        </w:rPr>
      </w:pPr>
      <w:r>
        <w:rPr>
          <w:rFonts w:hint="eastAsia" w:ascii="仿宋" w:hAnsi="仿宋" w:eastAsia="仿宋" w:cs="仿宋"/>
          <w:b w:val="0"/>
          <w:bCs w:val="0"/>
          <w:color w:val="000000"/>
          <w:kern w:val="0"/>
          <w:sz w:val="32"/>
          <w:szCs w:val="32"/>
          <w:shd w:val="clear" w:color="auto" w:fill="FFFFFF"/>
          <w:lang w:val="zh-CN"/>
        </w:rPr>
        <w:t>（一）部门决算管理。</w:t>
      </w:r>
    </w:p>
    <w:p>
      <w:pPr>
        <w:keepNext w:val="0"/>
        <w:keepLines w:val="0"/>
        <w:pageBreakBefore w:val="0"/>
        <w:numPr>
          <w:ilvl w:val="0"/>
          <w:numId w:val="0"/>
        </w:numPr>
        <w:pBdr>
          <w:bottom w:val="single" w:color="FFFFFF" w:sz="4" w:space="28"/>
        </w:pBdr>
        <w:kinsoku/>
        <w:wordWrap/>
        <w:overflowPunct/>
        <w:topLinePunct/>
        <w:autoSpaceDE/>
        <w:autoSpaceDN/>
        <w:bidi w:val="0"/>
        <w:spacing w:line="576" w:lineRule="exact"/>
        <w:ind w:firstLine="640" w:firstLineChars="200"/>
        <w:contextualSpacing/>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000000"/>
          <w:kern w:val="0"/>
          <w:sz w:val="32"/>
          <w:szCs w:val="32"/>
          <w:lang w:val="zh-CN"/>
        </w:rPr>
        <w:t>202</w:t>
      </w:r>
      <w:r>
        <w:rPr>
          <w:rFonts w:hint="eastAsia" w:ascii="仿宋" w:hAnsi="仿宋" w:eastAsia="仿宋" w:cs="仿宋"/>
          <w:color w:val="000000"/>
          <w:kern w:val="0"/>
          <w:sz w:val="32"/>
          <w:szCs w:val="32"/>
          <w:lang w:val="en-US" w:eastAsia="zh-CN"/>
        </w:rPr>
        <w:t>3</w:t>
      </w:r>
      <w:r>
        <w:rPr>
          <w:rFonts w:hint="eastAsia" w:ascii="仿宋" w:hAnsi="仿宋" w:eastAsia="仿宋" w:cs="仿宋"/>
          <w:color w:val="000000"/>
          <w:kern w:val="0"/>
          <w:sz w:val="32"/>
          <w:szCs w:val="32"/>
          <w:lang w:val="zh-CN"/>
        </w:rPr>
        <w:t>年茂县文化体育和旅游局</w:t>
      </w:r>
      <w:r>
        <w:rPr>
          <w:rFonts w:hint="eastAsia" w:ascii="仿宋" w:hAnsi="仿宋" w:eastAsia="仿宋" w:cs="仿宋"/>
          <w:color w:val="000000"/>
          <w:kern w:val="0"/>
          <w:sz w:val="32"/>
          <w:szCs w:val="32"/>
          <w:lang w:val="zh-CN" w:eastAsia="zh-CN"/>
        </w:rPr>
        <w:t>决算</w:t>
      </w:r>
      <w:r>
        <w:rPr>
          <w:rFonts w:hint="eastAsia" w:ascii="仿宋" w:hAnsi="仿宋" w:eastAsia="仿宋" w:cs="仿宋"/>
          <w:color w:val="000000"/>
          <w:kern w:val="0"/>
          <w:sz w:val="32"/>
          <w:szCs w:val="32"/>
          <w:lang w:val="zh-CN"/>
        </w:rPr>
        <w:t>收入合计</w:t>
      </w:r>
      <w:r>
        <w:rPr>
          <w:rFonts w:hint="eastAsia" w:ascii="仿宋" w:hAnsi="仿宋" w:eastAsia="仿宋" w:cs="仿宋"/>
          <w:color w:val="auto"/>
          <w:kern w:val="0"/>
          <w:sz w:val="32"/>
          <w:szCs w:val="32"/>
          <w:lang w:val="en-US" w:eastAsia="zh-CN"/>
        </w:rPr>
        <w:t>4011.55</w:t>
      </w:r>
      <w:r>
        <w:rPr>
          <w:rFonts w:hint="eastAsia" w:ascii="仿宋" w:hAnsi="仿宋" w:eastAsia="仿宋" w:cs="仿宋"/>
          <w:color w:val="000000"/>
          <w:kern w:val="0"/>
          <w:sz w:val="32"/>
          <w:szCs w:val="32"/>
          <w:lang w:val="zh-CN"/>
        </w:rPr>
        <w:t>万元，其中：一般公共预算财政拨款</w:t>
      </w:r>
      <w:r>
        <w:rPr>
          <w:rFonts w:hint="eastAsia" w:ascii="仿宋" w:hAnsi="仿宋" w:eastAsia="仿宋" w:cs="仿宋"/>
          <w:color w:val="000000"/>
          <w:kern w:val="0"/>
          <w:sz w:val="32"/>
          <w:szCs w:val="32"/>
          <w:lang w:val="en-US" w:eastAsia="zh-CN"/>
        </w:rPr>
        <w:t>收入</w:t>
      </w:r>
      <w:r>
        <w:rPr>
          <w:rFonts w:hint="eastAsia" w:ascii="仿宋" w:hAnsi="仿宋" w:eastAsia="仿宋" w:cs="仿宋"/>
          <w:color w:val="auto"/>
          <w:kern w:val="0"/>
          <w:sz w:val="32"/>
          <w:szCs w:val="32"/>
          <w:lang w:val="en-US" w:eastAsia="zh-CN"/>
        </w:rPr>
        <w:t>3984.79</w:t>
      </w:r>
      <w:r>
        <w:rPr>
          <w:rFonts w:hint="eastAsia" w:ascii="仿宋" w:hAnsi="仿宋" w:eastAsia="仿宋" w:cs="仿宋"/>
          <w:color w:val="000000"/>
          <w:kern w:val="0"/>
          <w:sz w:val="32"/>
          <w:szCs w:val="32"/>
          <w:lang w:val="en-US" w:eastAsia="zh-CN"/>
        </w:rPr>
        <w:t>万元，政府性基金预算财政拨款收入</w:t>
      </w:r>
      <w:r>
        <w:rPr>
          <w:rFonts w:hint="eastAsia" w:ascii="仿宋" w:hAnsi="仿宋" w:eastAsia="仿宋" w:cs="仿宋"/>
          <w:color w:val="auto"/>
          <w:kern w:val="0"/>
          <w:sz w:val="32"/>
          <w:szCs w:val="32"/>
          <w:lang w:val="en-US" w:eastAsia="zh-CN"/>
        </w:rPr>
        <w:t>26.76</w:t>
      </w:r>
      <w:r>
        <w:rPr>
          <w:rFonts w:hint="eastAsia" w:ascii="仿宋" w:hAnsi="仿宋" w:eastAsia="仿宋" w:cs="仿宋"/>
          <w:color w:val="000000"/>
          <w:kern w:val="0"/>
          <w:sz w:val="32"/>
          <w:szCs w:val="32"/>
          <w:lang w:val="en-US" w:eastAsia="zh-CN"/>
        </w:rPr>
        <w:t>万元。2023年</w:t>
      </w:r>
      <w:r>
        <w:rPr>
          <w:rFonts w:hint="eastAsia" w:ascii="仿宋" w:hAnsi="仿宋" w:eastAsia="仿宋" w:cs="仿宋"/>
          <w:color w:val="000000"/>
          <w:kern w:val="0"/>
          <w:sz w:val="32"/>
          <w:szCs w:val="32"/>
          <w:lang w:val="zh-CN"/>
        </w:rPr>
        <w:t>本部门年初财政拨款结转结余</w:t>
      </w:r>
      <w:r>
        <w:rPr>
          <w:rFonts w:hint="eastAsia" w:ascii="仿宋" w:hAnsi="仿宋" w:eastAsia="仿宋" w:cs="仿宋"/>
          <w:color w:val="000000"/>
          <w:kern w:val="0"/>
          <w:sz w:val="32"/>
          <w:szCs w:val="32"/>
          <w:lang w:val="en-US" w:eastAsia="zh-CN"/>
        </w:rPr>
        <w:t>财政应返还额度</w:t>
      </w:r>
      <w:r>
        <w:rPr>
          <w:rFonts w:hint="eastAsia" w:ascii="仿宋" w:hAnsi="仿宋" w:eastAsia="仿宋" w:cs="仿宋"/>
          <w:color w:val="auto"/>
          <w:kern w:val="0"/>
          <w:sz w:val="32"/>
          <w:szCs w:val="32"/>
          <w:lang w:val="en-US" w:eastAsia="zh-CN"/>
        </w:rPr>
        <w:t>资金0万元。</w:t>
      </w:r>
    </w:p>
    <w:p>
      <w:pPr>
        <w:keepNext w:val="0"/>
        <w:keepLines w:val="0"/>
        <w:pageBreakBefore w:val="0"/>
        <w:numPr>
          <w:ilvl w:val="0"/>
          <w:numId w:val="0"/>
        </w:numPr>
        <w:pBdr>
          <w:bottom w:val="single" w:color="FFFFFF" w:sz="4" w:space="28"/>
        </w:pBdr>
        <w:kinsoku/>
        <w:wordWrap/>
        <w:overflowPunct/>
        <w:topLinePunct/>
        <w:autoSpaceDE/>
        <w:autoSpaceDN/>
        <w:bidi w:val="0"/>
        <w:spacing w:line="576" w:lineRule="exact"/>
        <w:ind w:firstLine="640" w:firstLineChars="200"/>
        <w:contextualSpacing/>
        <w:textAlignment w:val="auto"/>
        <w:rPr>
          <w:rFonts w:hint="eastAsia" w:ascii="仿宋" w:hAnsi="仿宋" w:eastAsia="仿宋" w:cs="仿宋"/>
          <w:color w:val="auto"/>
          <w:kern w:val="0"/>
          <w:sz w:val="32"/>
          <w:szCs w:val="32"/>
          <w:lang w:val="zh-CN"/>
        </w:rPr>
      </w:pPr>
      <w:r>
        <w:rPr>
          <w:rFonts w:hint="eastAsia" w:ascii="仿宋" w:hAnsi="仿宋" w:eastAsia="仿宋" w:cs="仿宋"/>
          <w:color w:val="000000"/>
          <w:kern w:val="0"/>
          <w:sz w:val="32"/>
          <w:szCs w:val="32"/>
          <w:lang w:val="zh-CN"/>
        </w:rPr>
        <w:t>按功能</w:t>
      </w:r>
      <w:r>
        <w:rPr>
          <w:rFonts w:hint="eastAsia" w:ascii="仿宋" w:hAnsi="仿宋" w:eastAsia="仿宋" w:cs="仿宋"/>
          <w:color w:val="auto"/>
          <w:kern w:val="0"/>
          <w:sz w:val="32"/>
          <w:szCs w:val="32"/>
          <w:lang w:val="zh-CN"/>
        </w:rPr>
        <w:t>分类支出情况</w:t>
      </w:r>
      <w:r>
        <w:rPr>
          <w:rFonts w:hint="eastAsia" w:ascii="仿宋" w:hAnsi="仿宋" w:eastAsia="仿宋" w:cs="仿宋"/>
          <w:color w:val="auto"/>
          <w:kern w:val="0"/>
          <w:sz w:val="32"/>
          <w:szCs w:val="32"/>
          <w:lang w:val="en-US" w:eastAsia="zh-CN"/>
        </w:rPr>
        <w:t>,</w:t>
      </w:r>
      <w:r>
        <w:rPr>
          <w:rFonts w:hint="eastAsia" w:ascii="仿宋" w:hAnsi="仿宋" w:eastAsia="仿宋" w:cs="仿宋"/>
          <w:color w:val="auto"/>
          <w:kern w:val="0"/>
          <w:sz w:val="32"/>
          <w:szCs w:val="32"/>
          <w:lang w:val="zh-CN"/>
        </w:rPr>
        <w:t>其中文化旅游体育和传媒支出</w:t>
      </w:r>
      <w:r>
        <w:rPr>
          <w:rFonts w:hint="eastAsia" w:ascii="仿宋" w:hAnsi="仿宋" w:eastAsia="仿宋" w:cs="仿宋"/>
          <w:color w:val="auto"/>
          <w:kern w:val="0"/>
          <w:sz w:val="32"/>
          <w:szCs w:val="32"/>
          <w:lang w:val="en-US" w:eastAsia="zh-CN"/>
        </w:rPr>
        <w:t>3028.8</w:t>
      </w:r>
      <w:r>
        <w:rPr>
          <w:rFonts w:hint="eastAsia" w:ascii="仿宋" w:hAnsi="仿宋" w:eastAsia="仿宋" w:cs="仿宋"/>
          <w:color w:val="auto"/>
          <w:kern w:val="0"/>
          <w:sz w:val="32"/>
          <w:szCs w:val="32"/>
          <w:lang w:val="zh-CN"/>
        </w:rPr>
        <w:t>万元，</w:t>
      </w:r>
      <w:r>
        <w:rPr>
          <w:rFonts w:hint="eastAsia" w:ascii="仿宋" w:hAnsi="仿宋" w:eastAsia="仿宋" w:cs="仿宋"/>
          <w:color w:val="000000"/>
          <w:kern w:val="0"/>
          <w:sz w:val="32"/>
          <w:szCs w:val="32"/>
          <w:lang w:val="zh-CN"/>
        </w:rPr>
        <w:t>社会保障和就业支出</w:t>
      </w:r>
      <w:r>
        <w:rPr>
          <w:rFonts w:hint="eastAsia" w:ascii="仿宋" w:hAnsi="仿宋" w:eastAsia="仿宋" w:cs="仿宋"/>
          <w:color w:val="auto"/>
          <w:kern w:val="0"/>
          <w:sz w:val="32"/>
          <w:szCs w:val="32"/>
          <w:lang w:val="en-US" w:eastAsia="zh-CN"/>
        </w:rPr>
        <w:t>245.23万元，</w:t>
      </w:r>
      <w:r>
        <w:rPr>
          <w:rFonts w:hint="eastAsia" w:ascii="仿宋" w:hAnsi="仿宋" w:eastAsia="仿宋" w:cs="仿宋"/>
          <w:color w:val="auto"/>
          <w:kern w:val="0"/>
          <w:sz w:val="32"/>
          <w:szCs w:val="32"/>
          <w:lang w:val="zh-CN"/>
        </w:rPr>
        <w:t>卫生健康支出：</w:t>
      </w:r>
      <w:r>
        <w:rPr>
          <w:rFonts w:hint="eastAsia" w:ascii="仿宋" w:hAnsi="仿宋" w:eastAsia="仿宋" w:cs="仿宋"/>
          <w:color w:val="auto"/>
          <w:kern w:val="0"/>
          <w:sz w:val="32"/>
          <w:szCs w:val="32"/>
          <w:lang w:val="en-US" w:eastAsia="zh-CN"/>
        </w:rPr>
        <w:t>107.2</w:t>
      </w:r>
      <w:r>
        <w:rPr>
          <w:rFonts w:hint="eastAsia" w:ascii="仿宋" w:hAnsi="仿宋" w:eastAsia="仿宋" w:cs="仿宋"/>
          <w:color w:val="auto"/>
          <w:kern w:val="0"/>
          <w:sz w:val="32"/>
          <w:szCs w:val="32"/>
          <w:lang w:val="zh-CN"/>
        </w:rPr>
        <w:t>万元，住房保障支出</w:t>
      </w:r>
      <w:r>
        <w:rPr>
          <w:rFonts w:hint="eastAsia" w:ascii="仿宋" w:hAnsi="仿宋" w:eastAsia="仿宋" w:cs="仿宋"/>
          <w:color w:val="auto"/>
          <w:kern w:val="0"/>
          <w:sz w:val="32"/>
          <w:szCs w:val="32"/>
          <w:lang w:val="en-US" w:eastAsia="zh-CN"/>
        </w:rPr>
        <w:t>125.21</w:t>
      </w:r>
      <w:r>
        <w:rPr>
          <w:rFonts w:hint="eastAsia" w:ascii="仿宋" w:hAnsi="仿宋" w:eastAsia="仿宋" w:cs="仿宋"/>
          <w:color w:val="auto"/>
          <w:kern w:val="0"/>
          <w:sz w:val="32"/>
          <w:szCs w:val="32"/>
          <w:lang w:val="zh-CN"/>
        </w:rPr>
        <w:t>万元，农林水支出</w:t>
      </w:r>
      <w:r>
        <w:rPr>
          <w:rFonts w:hint="eastAsia" w:ascii="仿宋" w:hAnsi="仿宋" w:eastAsia="仿宋" w:cs="仿宋"/>
          <w:color w:val="auto"/>
          <w:kern w:val="0"/>
          <w:sz w:val="32"/>
          <w:szCs w:val="32"/>
          <w:lang w:val="en-US" w:eastAsia="zh-CN"/>
        </w:rPr>
        <w:t>478.35</w:t>
      </w:r>
      <w:r>
        <w:rPr>
          <w:rFonts w:hint="eastAsia" w:ascii="仿宋" w:hAnsi="仿宋" w:eastAsia="仿宋" w:cs="仿宋"/>
          <w:color w:val="auto"/>
          <w:kern w:val="0"/>
          <w:sz w:val="32"/>
          <w:szCs w:val="32"/>
          <w:lang w:val="zh-CN"/>
        </w:rPr>
        <w:t>万元，其他支出</w:t>
      </w:r>
      <w:r>
        <w:rPr>
          <w:rFonts w:hint="eastAsia" w:ascii="仿宋" w:hAnsi="仿宋" w:eastAsia="仿宋" w:cs="仿宋"/>
          <w:color w:val="auto"/>
          <w:kern w:val="0"/>
          <w:sz w:val="32"/>
          <w:szCs w:val="32"/>
          <w:lang w:val="en-US" w:eastAsia="zh-CN"/>
        </w:rPr>
        <w:t>26.76万元，</w:t>
      </w:r>
      <w:r>
        <w:rPr>
          <w:rFonts w:hint="eastAsia" w:ascii="仿宋" w:hAnsi="仿宋" w:eastAsia="仿宋" w:cs="仿宋"/>
          <w:color w:val="auto"/>
          <w:kern w:val="0"/>
          <w:sz w:val="32"/>
          <w:szCs w:val="32"/>
          <w:lang w:val="zh-CN"/>
        </w:rPr>
        <w:t>完成预算100%。</w:t>
      </w:r>
    </w:p>
    <w:p>
      <w:pPr>
        <w:keepNext w:val="0"/>
        <w:keepLines w:val="0"/>
        <w:pageBreakBefore w:val="0"/>
        <w:numPr>
          <w:ilvl w:val="0"/>
          <w:numId w:val="0"/>
        </w:numPr>
        <w:pBdr>
          <w:bottom w:val="single" w:color="FFFFFF" w:sz="4" w:space="28"/>
        </w:pBdr>
        <w:kinsoku/>
        <w:wordWrap/>
        <w:overflowPunct/>
        <w:topLinePunct/>
        <w:autoSpaceDE/>
        <w:autoSpaceDN/>
        <w:bidi w:val="0"/>
        <w:spacing w:line="576" w:lineRule="exact"/>
        <w:ind w:firstLine="640" w:firstLineChars="200"/>
        <w:contextualSpacing/>
        <w:textAlignment w:val="auto"/>
        <w:rPr>
          <w:rFonts w:hint="eastAsia" w:ascii="仿宋" w:hAnsi="仿宋" w:eastAsia="仿宋" w:cs="仿宋"/>
          <w:color w:val="auto"/>
          <w:kern w:val="0"/>
          <w:sz w:val="32"/>
          <w:szCs w:val="32"/>
          <w:lang w:val="zh-CN"/>
        </w:rPr>
      </w:pPr>
      <w:r>
        <w:rPr>
          <w:rFonts w:hint="eastAsia" w:ascii="仿宋" w:hAnsi="仿宋" w:eastAsia="仿宋" w:cs="仿宋"/>
          <w:color w:val="000000"/>
          <w:kern w:val="0"/>
          <w:sz w:val="32"/>
          <w:szCs w:val="32"/>
          <w:lang w:val="zh-CN"/>
        </w:rPr>
        <w:t>按支出性质分类，基</w:t>
      </w:r>
      <w:r>
        <w:rPr>
          <w:rFonts w:hint="eastAsia" w:ascii="仿宋" w:hAnsi="仿宋" w:eastAsia="仿宋" w:cs="仿宋"/>
          <w:color w:val="auto"/>
          <w:kern w:val="0"/>
          <w:sz w:val="32"/>
          <w:szCs w:val="32"/>
          <w:lang w:val="zh-CN"/>
        </w:rPr>
        <w:t>本支出</w:t>
      </w:r>
      <w:r>
        <w:rPr>
          <w:rFonts w:hint="eastAsia" w:ascii="仿宋" w:hAnsi="仿宋" w:eastAsia="仿宋" w:cs="仿宋"/>
          <w:color w:val="auto"/>
          <w:kern w:val="0"/>
          <w:sz w:val="32"/>
          <w:szCs w:val="32"/>
          <w:lang w:val="en-US" w:eastAsia="zh-CN"/>
        </w:rPr>
        <w:t>1826.55</w:t>
      </w:r>
      <w:r>
        <w:rPr>
          <w:rFonts w:hint="eastAsia" w:ascii="仿宋" w:hAnsi="仿宋" w:eastAsia="仿宋" w:cs="仿宋"/>
          <w:color w:val="auto"/>
          <w:kern w:val="0"/>
          <w:sz w:val="32"/>
          <w:szCs w:val="32"/>
          <w:lang w:val="zh-CN"/>
        </w:rPr>
        <w:t>万元，项目支出</w:t>
      </w:r>
      <w:r>
        <w:rPr>
          <w:rFonts w:hint="eastAsia" w:ascii="仿宋" w:hAnsi="仿宋" w:eastAsia="仿宋" w:cs="仿宋"/>
          <w:color w:val="auto"/>
          <w:kern w:val="0"/>
          <w:sz w:val="32"/>
          <w:szCs w:val="32"/>
          <w:lang w:val="en-US" w:eastAsia="zh-CN"/>
        </w:rPr>
        <w:t>2185</w:t>
      </w:r>
      <w:r>
        <w:rPr>
          <w:rFonts w:hint="eastAsia" w:ascii="仿宋" w:hAnsi="仿宋" w:eastAsia="仿宋" w:cs="仿宋"/>
          <w:color w:val="auto"/>
          <w:kern w:val="0"/>
          <w:sz w:val="32"/>
          <w:szCs w:val="32"/>
          <w:lang w:val="zh-CN"/>
        </w:rPr>
        <w:t>万元。</w:t>
      </w:r>
    </w:p>
    <w:p>
      <w:pPr>
        <w:keepNext w:val="0"/>
        <w:keepLines w:val="0"/>
        <w:pageBreakBefore w:val="0"/>
        <w:numPr>
          <w:ilvl w:val="0"/>
          <w:numId w:val="0"/>
        </w:numPr>
        <w:pBdr>
          <w:bottom w:val="single" w:color="FFFFFF" w:sz="4" w:space="28"/>
        </w:pBdr>
        <w:kinsoku/>
        <w:wordWrap/>
        <w:overflowPunct/>
        <w:topLinePunct/>
        <w:autoSpaceDE/>
        <w:autoSpaceDN/>
        <w:bidi w:val="0"/>
        <w:spacing w:line="576" w:lineRule="exact"/>
        <w:ind w:firstLine="640" w:firstLineChars="200"/>
        <w:contextualSpacing/>
        <w:textAlignment w:val="auto"/>
        <w:rPr>
          <w:rFonts w:hint="eastAsia" w:ascii="仿宋" w:hAnsi="仿宋" w:eastAsia="仿宋" w:cs="仿宋"/>
          <w:color w:val="auto"/>
          <w:kern w:val="0"/>
          <w:sz w:val="32"/>
          <w:szCs w:val="32"/>
          <w:lang w:val="zh-CN"/>
        </w:rPr>
      </w:pPr>
      <w:r>
        <w:rPr>
          <w:rFonts w:hint="eastAsia" w:ascii="仿宋" w:hAnsi="仿宋" w:eastAsia="仿宋" w:cs="仿宋"/>
          <w:color w:val="auto"/>
          <w:kern w:val="0"/>
          <w:sz w:val="32"/>
          <w:szCs w:val="32"/>
          <w:lang w:val="zh-CN"/>
        </w:rPr>
        <w:t>按经济分类支出情况，工资福利支出</w:t>
      </w:r>
      <w:r>
        <w:rPr>
          <w:rFonts w:hint="eastAsia" w:ascii="仿宋" w:hAnsi="仿宋" w:eastAsia="仿宋" w:cs="仿宋"/>
          <w:color w:val="auto"/>
          <w:kern w:val="0"/>
          <w:sz w:val="32"/>
          <w:szCs w:val="32"/>
          <w:lang w:val="en-US" w:eastAsia="zh-CN"/>
        </w:rPr>
        <w:t>1674</w:t>
      </w:r>
      <w:r>
        <w:rPr>
          <w:rFonts w:hint="eastAsia" w:ascii="仿宋" w:hAnsi="仿宋" w:eastAsia="仿宋" w:cs="仿宋"/>
          <w:color w:val="auto"/>
          <w:kern w:val="0"/>
          <w:sz w:val="32"/>
          <w:szCs w:val="32"/>
          <w:lang w:val="zh-CN"/>
        </w:rPr>
        <w:t>万元，商品和服务支出</w:t>
      </w:r>
      <w:r>
        <w:rPr>
          <w:rFonts w:hint="eastAsia" w:ascii="仿宋" w:hAnsi="仿宋" w:eastAsia="仿宋" w:cs="仿宋"/>
          <w:color w:val="auto"/>
          <w:kern w:val="0"/>
          <w:sz w:val="32"/>
          <w:szCs w:val="32"/>
          <w:lang w:val="en-US" w:eastAsia="zh-CN"/>
        </w:rPr>
        <w:t>832.15</w:t>
      </w:r>
      <w:r>
        <w:rPr>
          <w:rFonts w:hint="eastAsia" w:ascii="仿宋" w:hAnsi="仿宋" w:eastAsia="仿宋" w:cs="仿宋"/>
          <w:color w:val="auto"/>
          <w:kern w:val="0"/>
          <w:sz w:val="32"/>
          <w:szCs w:val="32"/>
          <w:lang w:val="zh-CN"/>
        </w:rPr>
        <w:t>万元，对个人和家庭的补助</w:t>
      </w:r>
      <w:r>
        <w:rPr>
          <w:rFonts w:hint="eastAsia" w:ascii="仿宋" w:hAnsi="仿宋" w:eastAsia="仿宋" w:cs="仿宋"/>
          <w:color w:val="auto"/>
          <w:kern w:val="0"/>
          <w:sz w:val="32"/>
          <w:szCs w:val="32"/>
          <w:lang w:val="en-US" w:eastAsia="zh-CN"/>
        </w:rPr>
        <w:t>128.36</w:t>
      </w:r>
      <w:r>
        <w:rPr>
          <w:rFonts w:hint="eastAsia" w:ascii="仿宋" w:hAnsi="仿宋" w:eastAsia="仿宋" w:cs="仿宋"/>
          <w:color w:val="auto"/>
          <w:kern w:val="0"/>
          <w:sz w:val="32"/>
          <w:szCs w:val="32"/>
          <w:lang w:val="zh-CN"/>
        </w:rPr>
        <w:t>万元，资本性支出</w:t>
      </w:r>
      <w:r>
        <w:rPr>
          <w:rFonts w:hint="eastAsia" w:ascii="仿宋" w:hAnsi="仿宋" w:eastAsia="仿宋" w:cs="仿宋"/>
          <w:color w:val="auto"/>
          <w:kern w:val="0"/>
          <w:sz w:val="32"/>
          <w:szCs w:val="32"/>
          <w:lang w:val="en-US" w:eastAsia="zh-CN"/>
        </w:rPr>
        <w:t>1026.64万元，</w:t>
      </w:r>
      <w:r>
        <w:rPr>
          <w:rFonts w:hint="eastAsia" w:ascii="仿宋" w:hAnsi="仿宋" w:eastAsia="仿宋" w:cs="仿宋"/>
          <w:color w:val="auto"/>
          <w:kern w:val="0"/>
          <w:sz w:val="32"/>
          <w:szCs w:val="32"/>
          <w:lang w:val="zh-CN"/>
        </w:rPr>
        <w:t>资本性支出</w:t>
      </w:r>
      <w:r>
        <w:rPr>
          <w:rFonts w:hint="eastAsia" w:ascii="仿宋" w:hAnsi="仿宋" w:eastAsia="仿宋" w:cs="仿宋"/>
          <w:color w:val="auto"/>
          <w:kern w:val="0"/>
          <w:sz w:val="32"/>
          <w:szCs w:val="32"/>
          <w:lang w:val="en-US" w:eastAsia="zh-CN"/>
        </w:rPr>
        <w:t>150.4万元，对企业补助200万元</w:t>
      </w:r>
      <w:r>
        <w:rPr>
          <w:rFonts w:hint="eastAsia" w:ascii="仿宋" w:hAnsi="仿宋" w:eastAsia="仿宋" w:cs="仿宋"/>
          <w:color w:val="auto"/>
          <w:kern w:val="0"/>
          <w:sz w:val="32"/>
          <w:szCs w:val="32"/>
          <w:lang w:val="zh-CN"/>
        </w:rPr>
        <w:t>。</w:t>
      </w:r>
    </w:p>
    <w:p>
      <w:pPr>
        <w:keepNext w:val="0"/>
        <w:keepLines w:val="0"/>
        <w:pageBreakBefore w:val="0"/>
        <w:numPr>
          <w:ilvl w:val="0"/>
          <w:numId w:val="0"/>
        </w:numPr>
        <w:pBdr>
          <w:bottom w:val="single" w:color="FFFFFF" w:sz="4" w:space="28"/>
        </w:pBdr>
        <w:kinsoku/>
        <w:wordWrap/>
        <w:overflowPunct/>
        <w:topLinePunct/>
        <w:autoSpaceDE/>
        <w:autoSpaceDN/>
        <w:bidi w:val="0"/>
        <w:spacing w:line="576" w:lineRule="exact"/>
        <w:ind w:firstLine="640" w:firstLineChars="200"/>
        <w:contextualSpacing/>
        <w:textAlignment w:val="auto"/>
        <w:rPr>
          <w:rFonts w:hint="eastAsia" w:ascii="仿宋" w:hAnsi="仿宋" w:eastAsia="仿宋" w:cs="仿宋"/>
          <w:color w:val="auto"/>
          <w:kern w:val="0"/>
          <w:sz w:val="32"/>
          <w:szCs w:val="32"/>
          <w:lang w:val="zh-CN"/>
        </w:rPr>
      </w:pPr>
      <w:r>
        <w:rPr>
          <w:rFonts w:hint="eastAsia" w:ascii="仿宋" w:hAnsi="仿宋" w:eastAsia="仿宋" w:cs="仿宋"/>
          <w:color w:val="000000"/>
          <w:kern w:val="0"/>
          <w:sz w:val="32"/>
          <w:szCs w:val="32"/>
          <w:lang w:val="zh-CN"/>
        </w:rPr>
        <w:t>202</w:t>
      </w:r>
      <w:r>
        <w:rPr>
          <w:rFonts w:hint="eastAsia" w:ascii="仿宋" w:hAnsi="仿宋" w:eastAsia="仿宋" w:cs="仿宋"/>
          <w:color w:val="000000"/>
          <w:kern w:val="0"/>
          <w:sz w:val="32"/>
          <w:szCs w:val="32"/>
          <w:lang w:val="en-US" w:eastAsia="zh-CN"/>
        </w:rPr>
        <w:t>3</w:t>
      </w:r>
      <w:r>
        <w:rPr>
          <w:rFonts w:hint="eastAsia" w:ascii="仿宋" w:hAnsi="仿宋" w:eastAsia="仿宋" w:cs="仿宋"/>
          <w:color w:val="000000"/>
          <w:kern w:val="0"/>
          <w:sz w:val="32"/>
          <w:szCs w:val="32"/>
          <w:lang w:val="zh-CN"/>
        </w:rPr>
        <w:t>年我单位当年</w:t>
      </w:r>
      <w:r>
        <w:rPr>
          <w:rFonts w:hint="eastAsia" w:ascii="仿宋" w:hAnsi="仿宋" w:eastAsia="仿宋" w:cs="仿宋"/>
          <w:color w:val="auto"/>
          <w:kern w:val="0"/>
          <w:sz w:val="32"/>
          <w:szCs w:val="32"/>
          <w:lang w:val="zh-CN"/>
        </w:rPr>
        <w:t>财政拨款收入决算总额为</w:t>
      </w:r>
      <w:r>
        <w:rPr>
          <w:rFonts w:hint="eastAsia" w:ascii="仿宋" w:hAnsi="仿宋" w:eastAsia="仿宋" w:cs="仿宋"/>
          <w:color w:val="auto"/>
          <w:kern w:val="0"/>
          <w:sz w:val="32"/>
          <w:szCs w:val="32"/>
          <w:lang w:val="en-US" w:eastAsia="zh-CN"/>
        </w:rPr>
        <w:t>4011.55</w:t>
      </w:r>
      <w:r>
        <w:rPr>
          <w:rFonts w:hint="eastAsia" w:ascii="仿宋" w:hAnsi="仿宋" w:eastAsia="仿宋" w:cs="仿宋"/>
          <w:color w:val="auto"/>
          <w:kern w:val="0"/>
          <w:sz w:val="32"/>
          <w:szCs w:val="32"/>
          <w:lang w:val="zh-CN"/>
        </w:rPr>
        <w:t>万元，当年财政拨款支出决算总额</w:t>
      </w:r>
      <w:r>
        <w:rPr>
          <w:rFonts w:hint="eastAsia" w:ascii="仿宋" w:hAnsi="仿宋" w:eastAsia="仿宋" w:cs="仿宋"/>
          <w:color w:val="auto"/>
          <w:kern w:val="0"/>
          <w:sz w:val="32"/>
          <w:szCs w:val="32"/>
          <w:lang w:val="en-US" w:eastAsia="zh-CN"/>
        </w:rPr>
        <w:t>4011.55</w:t>
      </w:r>
      <w:r>
        <w:rPr>
          <w:rFonts w:hint="eastAsia" w:ascii="仿宋" w:hAnsi="仿宋" w:eastAsia="仿宋" w:cs="仿宋"/>
          <w:color w:val="auto"/>
          <w:kern w:val="0"/>
          <w:sz w:val="32"/>
          <w:szCs w:val="32"/>
          <w:lang w:val="zh-CN"/>
        </w:rPr>
        <w:t>万元其中：一般公共预算财政拨款</w:t>
      </w:r>
      <w:r>
        <w:rPr>
          <w:rFonts w:hint="eastAsia" w:ascii="仿宋" w:hAnsi="仿宋" w:eastAsia="仿宋" w:cs="仿宋"/>
          <w:color w:val="auto"/>
          <w:kern w:val="0"/>
          <w:sz w:val="32"/>
          <w:szCs w:val="32"/>
          <w:lang w:val="en-US" w:eastAsia="zh-CN"/>
        </w:rPr>
        <w:t>收入3984.79万元，政府性基金预算财政拨款收入26.76万元。2023年</w:t>
      </w:r>
      <w:r>
        <w:rPr>
          <w:rFonts w:hint="eastAsia" w:ascii="仿宋" w:hAnsi="仿宋" w:eastAsia="仿宋" w:cs="仿宋"/>
          <w:color w:val="auto"/>
          <w:kern w:val="0"/>
          <w:sz w:val="32"/>
          <w:szCs w:val="32"/>
          <w:lang w:val="zh-CN"/>
        </w:rPr>
        <w:t>本部门年初财政拨款结转结余</w:t>
      </w:r>
      <w:r>
        <w:rPr>
          <w:rFonts w:hint="eastAsia" w:ascii="仿宋" w:hAnsi="仿宋" w:eastAsia="仿宋" w:cs="仿宋"/>
          <w:color w:val="auto"/>
          <w:kern w:val="0"/>
          <w:sz w:val="32"/>
          <w:szCs w:val="32"/>
          <w:lang w:val="en-US" w:eastAsia="zh-CN"/>
        </w:rPr>
        <w:t>财政应返还额度资金0万元。共计4011.55</w:t>
      </w:r>
      <w:r>
        <w:rPr>
          <w:rFonts w:hint="eastAsia" w:ascii="仿宋" w:hAnsi="仿宋" w:eastAsia="仿宋" w:cs="仿宋"/>
          <w:color w:val="auto"/>
          <w:kern w:val="0"/>
          <w:sz w:val="32"/>
          <w:szCs w:val="32"/>
          <w:lang w:val="zh-CN"/>
        </w:rPr>
        <w:t>万元，执行进度为100%。</w:t>
      </w:r>
    </w:p>
    <w:p>
      <w:pPr>
        <w:keepNext w:val="0"/>
        <w:keepLines w:val="0"/>
        <w:pageBreakBefore w:val="0"/>
        <w:numPr>
          <w:ilvl w:val="0"/>
          <w:numId w:val="2"/>
        </w:numPr>
        <w:pBdr>
          <w:bottom w:val="single" w:color="FFFFFF" w:sz="4" w:space="28"/>
        </w:pBdr>
        <w:kinsoku/>
        <w:wordWrap/>
        <w:overflowPunct/>
        <w:topLinePunct/>
        <w:autoSpaceDE/>
        <w:autoSpaceDN/>
        <w:bidi w:val="0"/>
        <w:spacing w:line="576" w:lineRule="exact"/>
        <w:ind w:left="0" w:leftChars="0" w:firstLine="640" w:firstLineChars="200"/>
        <w:contextualSpacing/>
        <w:textAlignment w:val="auto"/>
        <w:rPr>
          <w:rFonts w:hint="eastAsia" w:ascii="仿宋_GB2312" w:eastAsia="仿宋_GB2312" w:cs="仿宋_GB2312"/>
          <w:color w:val="000000"/>
          <w:sz w:val="32"/>
          <w:szCs w:val="32"/>
          <w:lang w:bidi="ar-SA"/>
        </w:rPr>
      </w:pPr>
      <w:r>
        <w:rPr>
          <w:rFonts w:hint="eastAsia" w:ascii="仿宋" w:hAnsi="仿宋" w:eastAsia="仿宋" w:cs="仿宋"/>
          <w:b w:val="0"/>
          <w:bCs w:val="0"/>
          <w:color w:val="000000"/>
          <w:kern w:val="0"/>
          <w:sz w:val="32"/>
          <w:szCs w:val="32"/>
          <w:shd w:val="clear" w:color="auto" w:fill="FFFFFF"/>
          <w:lang w:val="zh-CN"/>
        </w:rPr>
        <w:t>结果应用情况。</w:t>
      </w:r>
    </w:p>
    <w:p>
      <w:pPr>
        <w:keepNext w:val="0"/>
        <w:keepLines w:val="0"/>
        <w:pageBreakBefore w:val="0"/>
        <w:numPr>
          <w:ilvl w:val="0"/>
          <w:numId w:val="0"/>
        </w:numPr>
        <w:pBdr>
          <w:bottom w:val="single" w:color="FFFFFF" w:sz="4" w:space="28"/>
        </w:pBdr>
        <w:kinsoku/>
        <w:wordWrap/>
        <w:overflowPunct/>
        <w:topLinePunct/>
        <w:autoSpaceDE/>
        <w:autoSpaceDN/>
        <w:bidi w:val="0"/>
        <w:spacing w:line="576" w:lineRule="exact"/>
        <w:ind w:firstLine="640" w:firstLineChars="200"/>
        <w:contextualSpacing/>
        <w:textAlignment w:val="auto"/>
        <w:rPr>
          <w:rFonts w:hint="eastAsia" w:ascii="仿宋_GB2312" w:eastAsia="仿宋_GB2312" w:cs="仿宋_GB2312"/>
          <w:color w:val="000000"/>
          <w:sz w:val="32"/>
          <w:szCs w:val="32"/>
          <w:lang w:bidi="ar-SA"/>
        </w:rPr>
      </w:pPr>
      <w:r>
        <w:rPr>
          <w:rFonts w:hint="eastAsia" w:ascii="仿宋_GB2312" w:eastAsia="仿宋_GB2312" w:cs="仿宋_GB2312"/>
          <w:color w:val="000000"/>
          <w:sz w:val="32"/>
          <w:szCs w:val="32"/>
          <w:lang w:bidi="ar-SA"/>
        </w:rPr>
        <w:t>我单位对部门预算绩效管理工作开展情况进行了自评。绩效评价自查开展覆盖下属单位及重点支出，将评价结果作为预算安排的重要依据，参照项目年度预算执行情况“三年滚动规划”执行情况统筹项目支出需求，保障重点支出调整支出结构，优化财政资金配置，不断强化绩效理念，推动本部门整体绩效管理水平不断提升。</w:t>
      </w:r>
    </w:p>
    <w:p>
      <w:pPr>
        <w:keepNext w:val="0"/>
        <w:keepLines w:val="0"/>
        <w:pageBreakBefore w:val="0"/>
        <w:pBdr>
          <w:bottom w:val="single" w:color="FFFFFF" w:sz="4" w:space="28"/>
        </w:pBdr>
        <w:kinsoku/>
        <w:wordWrap/>
        <w:overflowPunct/>
        <w:topLinePunct/>
        <w:autoSpaceDE/>
        <w:autoSpaceDN/>
        <w:bidi w:val="0"/>
        <w:spacing w:line="576" w:lineRule="exact"/>
        <w:ind w:firstLine="640" w:firstLineChars="200"/>
        <w:contextualSpacing/>
        <w:textAlignment w:val="auto"/>
        <w:rPr>
          <w:rFonts w:ascii="仿宋" w:hAnsi="仿宋" w:eastAsia="仿宋"/>
          <w:b w:val="0"/>
          <w:bCs/>
          <w:sz w:val="32"/>
          <w:szCs w:val="32"/>
        </w:rPr>
      </w:pPr>
      <w:r>
        <w:rPr>
          <w:rFonts w:hint="eastAsia" w:ascii="仿宋" w:hAnsi="仿宋" w:eastAsia="仿宋"/>
          <w:b w:val="0"/>
          <w:bCs/>
          <w:sz w:val="32"/>
          <w:szCs w:val="32"/>
        </w:rPr>
        <w:t>（</w:t>
      </w:r>
      <w:r>
        <w:rPr>
          <w:rFonts w:hint="eastAsia" w:ascii="仿宋" w:hAnsi="仿宋" w:eastAsia="仿宋"/>
          <w:b w:val="0"/>
          <w:bCs/>
          <w:sz w:val="32"/>
          <w:szCs w:val="32"/>
          <w:lang w:eastAsia="zh-CN"/>
        </w:rPr>
        <w:t>三</w:t>
      </w:r>
      <w:r>
        <w:rPr>
          <w:rFonts w:hint="eastAsia" w:ascii="仿宋" w:hAnsi="仿宋" w:eastAsia="仿宋"/>
          <w:b w:val="0"/>
          <w:bCs/>
          <w:sz w:val="32"/>
          <w:szCs w:val="32"/>
        </w:rPr>
        <w:t>）整体</w:t>
      </w:r>
      <w:r>
        <w:rPr>
          <w:rFonts w:ascii="仿宋" w:hAnsi="仿宋" w:eastAsia="仿宋"/>
          <w:b w:val="0"/>
          <w:bCs/>
          <w:sz w:val="32"/>
          <w:szCs w:val="32"/>
        </w:rPr>
        <w:t>绩效评价工作情况</w:t>
      </w:r>
    </w:p>
    <w:p>
      <w:pPr>
        <w:keepNext w:val="0"/>
        <w:keepLines w:val="0"/>
        <w:pageBreakBefore w:val="0"/>
        <w:pBdr>
          <w:bottom w:val="single" w:color="FFFFFF" w:sz="4" w:space="28"/>
        </w:pBdr>
        <w:kinsoku/>
        <w:wordWrap/>
        <w:overflowPunct/>
        <w:topLinePunct/>
        <w:autoSpaceDE/>
        <w:autoSpaceDN/>
        <w:bidi w:val="0"/>
        <w:spacing w:line="576" w:lineRule="exact"/>
        <w:ind w:firstLine="640" w:firstLineChars="200"/>
        <w:contextualSpacing/>
        <w:textAlignment w:val="auto"/>
        <w:rPr>
          <w:rFonts w:ascii="仿宋" w:hAnsi="仿宋" w:eastAsia="仿宋"/>
          <w:sz w:val="32"/>
          <w:szCs w:val="32"/>
        </w:rPr>
      </w:pPr>
      <w:r>
        <w:rPr>
          <w:rFonts w:hint="eastAsia" w:ascii="仿宋" w:hAnsi="仿宋" w:eastAsia="仿宋"/>
          <w:sz w:val="32"/>
          <w:szCs w:val="32"/>
        </w:rPr>
        <w:t>1.</w:t>
      </w:r>
      <w:r>
        <w:rPr>
          <w:rFonts w:ascii="仿宋" w:hAnsi="仿宋" w:eastAsia="仿宋"/>
          <w:sz w:val="32"/>
          <w:szCs w:val="32"/>
        </w:rPr>
        <w:t>绩效评价目的</w:t>
      </w:r>
    </w:p>
    <w:p>
      <w:pPr>
        <w:keepNext w:val="0"/>
        <w:keepLines w:val="0"/>
        <w:pageBreakBefore w:val="0"/>
        <w:pBdr>
          <w:bottom w:val="single" w:color="FFFFFF" w:sz="4" w:space="28"/>
        </w:pBdr>
        <w:kinsoku/>
        <w:wordWrap/>
        <w:overflowPunct/>
        <w:topLinePunct/>
        <w:autoSpaceDE/>
        <w:autoSpaceDN/>
        <w:bidi w:val="0"/>
        <w:spacing w:line="576" w:lineRule="exact"/>
        <w:ind w:firstLine="640" w:firstLineChars="200"/>
        <w:contextualSpacing/>
        <w:textAlignment w:val="auto"/>
        <w:rPr>
          <w:rFonts w:ascii="仿宋" w:hAnsi="仿宋" w:eastAsia="仿宋"/>
          <w:sz w:val="32"/>
          <w:szCs w:val="32"/>
        </w:rPr>
      </w:pPr>
      <w:r>
        <w:rPr>
          <w:rFonts w:ascii="仿宋" w:hAnsi="仿宋" w:eastAsia="仿宋"/>
          <w:sz w:val="32"/>
          <w:szCs w:val="32"/>
        </w:rPr>
        <w:t>全面分析和综合评价预算资金的使用管理情况，切实提高资金使用效益，强化预算支出的责任和效率提供参考依据。</w:t>
      </w:r>
    </w:p>
    <w:p>
      <w:pPr>
        <w:keepNext w:val="0"/>
        <w:keepLines w:val="0"/>
        <w:pageBreakBefore w:val="0"/>
        <w:pBdr>
          <w:bottom w:val="single" w:color="FFFFFF" w:sz="4" w:space="28"/>
        </w:pBdr>
        <w:kinsoku/>
        <w:wordWrap/>
        <w:overflowPunct/>
        <w:topLinePunct/>
        <w:autoSpaceDE/>
        <w:autoSpaceDN/>
        <w:bidi w:val="0"/>
        <w:spacing w:line="576" w:lineRule="exact"/>
        <w:ind w:firstLine="640" w:firstLineChars="200"/>
        <w:contextualSpacing/>
        <w:textAlignment w:val="auto"/>
        <w:rPr>
          <w:rFonts w:ascii="仿宋" w:hAnsi="仿宋" w:eastAsia="仿宋"/>
          <w:sz w:val="32"/>
          <w:szCs w:val="32"/>
        </w:rPr>
      </w:pPr>
      <w:r>
        <w:rPr>
          <w:rFonts w:hint="eastAsia" w:ascii="仿宋" w:hAnsi="仿宋" w:eastAsia="仿宋"/>
          <w:sz w:val="32"/>
          <w:szCs w:val="32"/>
        </w:rPr>
        <w:t>2.</w:t>
      </w:r>
      <w:r>
        <w:rPr>
          <w:rFonts w:ascii="仿宋" w:hAnsi="仿宋" w:eastAsia="仿宋"/>
          <w:sz w:val="32"/>
          <w:szCs w:val="32"/>
        </w:rPr>
        <w:t>绩效评价工作过程</w:t>
      </w:r>
    </w:p>
    <w:p>
      <w:pPr>
        <w:keepNext w:val="0"/>
        <w:keepLines w:val="0"/>
        <w:pageBreakBefore w:val="0"/>
        <w:pBdr>
          <w:bottom w:val="single" w:color="FFFFFF" w:sz="4" w:space="28"/>
        </w:pBdr>
        <w:kinsoku/>
        <w:wordWrap/>
        <w:overflowPunct/>
        <w:topLinePunct/>
        <w:autoSpaceDE/>
        <w:autoSpaceDN/>
        <w:bidi w:val="0"/>
        <w:spacing w:line="576" w:lineRule="exact"/>
        <w:ind w:firstLine="640" w:firstLineChars="200"/>
        <w:contextualSpacing/>
        <w:textAlignment w:val="auto"/>
        <w:rPr>
          <w:rFonts w:ascii="仿宋" w:hAnsi="仿宋" w:eastAsia="仿宋"/>
          <w:sz w:val="32"/>
          <w:szCs w:val="32"/>
        </w:rPr>
      </w:pPr>
      <w:r>
        <w:rPr>
          <w:rFonts w:ascii="仿宋" w:hAnsi="仿宋" w:eastAsia="仿宋"/>
          <w:sz w:val="32"/>
          <w:szCs w:val="32"/>
        </w:rPr>
        <w:t>按照绩效评价规定要求成立评价小组，组织实施和分析评价，采取座谈等方式听取情况，检查基本支出、项目支出有关账目，收集整理支出相关资料，并根据各部门报送的绩效自评材料进行分析，形成评价结论。</w:t>
      </w:r>
    </w:p>
    <w:p>
      <w:pPr>
        <w:keepNext w:val="0"/>
        <w:keepLines w:val="0"/>
        <w:pageBreakBefore w:val="0"/>
        <w:pBdr>
          <w:bottom w:val="single" w:color="FFFFFF" w:sz="4" w:space="28"/>
        </w:pBdr>
        <w:kinsoku/>
        <w:wordWrap/>
        <w:overflowPunct/>
        <w:topLinePunct/>
        <w:autoSpaceDE/>
        <w:autoSpaceDN/>
        <w:bidi w:val="0"/>
        <w:spacing w:line="576" w:lineRule="exact"/>
        <w:ind w:firstLine="642" w:firstLineChars="200"/>
        <w:contextualSpacing/>
        <w:textAlignment w:val="auto"/>
        <w:rPr>
          <w:rFonts w:ascii="仿宋" w:hAnsi="仿宋" w:eastAsia="仿宋"/>
          <w:b/>
          <w:sz w:val="32"/>
          <w:szCs w:val="32"/>
        </w:rPr>
      </w:pPr>
      <w:r>
        <w:rPr>
          <w:rFonts w:hint="eastAsia" w:ascii="仿宋" w:hAnsi="仿宋" w:eastAsia="仿宋"/>
          <w:b/>
          <w:sz w:val="32"/>
          <w:szCs w:val="32"/>
        </w:rPr>
        <w:t>四</w:t>
      </w:r>
      <w:r>
        <w:rPr>
          <w:rFonts w:ascii="仿宋" w:hAnsi="仿宋" w:eastAsia="仿宋"/>
          <w:b/>
          <w:sz w:val="32"/>
          <w:szCs w:val="32"/>
        </w:rPr>
        <w:t>、</w:t>
      </w:r>
      <w:r>
        <w:rPr>
          <w:rFonts w:hint="eastAsia" w:ascii="仿宋" w:hAnsi="仿宋" w:eastAsia="仿宋"/>
          <w:b/>
          <w:sz w:val="32"/>
          <w:szCs w:val="32"/>
        </w:rPr>
        <w:t>评价结论及建议</w:t>
      </w:r>
    </w:p>
    <w:p>
      <w:pPr>
        <w:keepNext w:val="0"/>
        <w:keepLines w:val="0"/>
        <w:pageBreakBefore w:val="0"/>
        <w:pBdr>
          <w:bottom w:val="single" w:color="FFFFFF" w:sz="4" w:space="28"/>
        </w:pBdr>
        <w:kinsoku/>
        <w:wordWrap/>
        <w:overflowPunct/>
        <w:topLinePunct/>
        <w:autoSpaceDE/>
        <w:autoSpaceDN/>
        <w:bidi w:val="0"/>
        <w:spacing w:line="576" w:lineRule="exact"/>
        <w:ind w:firstLine="642" w:firstLineChars="200"/>
        <w:contextualSpacing/>
        <w:textAlignment w:val="auto"/>
        <w:rPr>
          <w:rFonts w:hint="eastAsia" w:ascii="仿宋" w:hAnsi="仿宋" w:eastAsia="仿宋"/>
          <w:b/>
          <w:sz w:val="32"/>
          <w:szCs w:val="32"/>
        </w:rPr>
      </w:pPr>
      <w:r>
        <w:rPr>
          <w:rFonts w:hint="eastAsia" w:ascii="仿宋" w:hAnsi="仿宋" w:eastAsia="仿宋"/>
          <w:b/>
          <w:sz w:val="32"/>
          <w:szCs w:val="32"/>
        </w:rPr>
        <w:t>（一）评价结论</w:t>
      </w:r>
    </w:p>
    <w:p>
      <w:pPr>
        <w:keepNext w:val="0"/>
        <w:keepLines w:val="0"/>
        <w:pageBreakBefore w:val="0"/>
        <w:pBdr>
          <w:bottom w:val="single" w:color="FFFFFF" w:sz="4" w:space="28"/>
        </w:pBdr>
        <w:kinsoku/>
        <w:wordWrap/>
        <w:overflowPunct/>
        <w:topLinePunct/>
        <w:autoSpaceDE/>
        <w:autoSpaceDN/>
        <w:bidi w:val="0"/>
        <w:spacing w:line="576" w:lineRule="exact"/>
        <w:ind w:firstLine="640" w:firstLineChars="200"/>
        <w:contextualSpacing/>
        <w:textAlignment w:val="auto"/>
      </w:pPr>
      <w:r>
        <w:rPr>
          <w:rFonts w:hint="eastAsia" w:ascii="仿宋_GB2312" w:eastAsia="仿宋_GB2312" w:cs="仿宋_GB2312"/>
          <w:color w:val="000000"/>
          <w:sz w:val="32"/>
          <w:szCs w:val="32"/>
          <w:lang w:bidi="ar-SA"/>
        </w:rPr>
        <w:t>202</w:t>
      </w:r>
      <w:r>
        <w:rPr>
          <w:rFonts w:hint="eastAsia" w:cs="仿宋_GB2312"/>
          <w:color w:val="000000"/>
          <w:sz w:val="32"/>
          <w:szCs w:val="32"/>
          <w:lang w:val="en-US" w:eastAsia="zh-CN" w:bidi="ar-SA"/>
        </w:rPr>
        <w:t>3</w:t>
      </w:r>
      <w:r>
        <w:rPr>
          <w:rFonts w:hint="eastAsia" w:ascii="仿宋_GB2312" w:eastAsia="仿宋_GB2312" w:cs="仿宋_GB2312"/>
          <w:color w:val="000000"/>
          <w:sz w:val="32"/>
          <w:szCs w:val="32"/>
          <w:lang w:bidi="ar-SA"/>
        </w:rPr>
        <w:t xml:space="preserve">年我部门整体支出绩效评价自查自评结果良好，全年基本支出保证了部门的正常运行和日常工作的正常开展，达到预期绩效目标。 </w:t>
      </w:r>
    </w:p>
    <w:p>
      <w:pPr>
        <w:keepNext w:val="0"/>
        <w:keepLines w:val="0"/>
        <w:pageBreakBefore w:val="0"/>
        <w:pBdr>
          <w:bottom w:val="single" w:color="FFFFFF" w:sz="4" w:space="28"/>
        </w:pBdr>
        <w:kinsoku/>
        <w:wordWrap/>
        <w:overflowPunct/>
        <w:topLinePunct/>
        <w:autoSpaceDE/>
        <w:autoSpaceDN/>
        <w:bidi w:val="0"/>
        <w:spacing w:line="576" w:lineRule="exact"/>
        <w:ind w:firstLine="642" w:firstLineChars="200"/>
        <w:contextualSpacing/>
        <w:textAlignment w:val="auto"/>
        <w:rPr>
          <w:rFonts w:ascii="仿宋" w:hAnsi="仿宋" w:eastAsia="仿宋"/>
          <w:b/>
          <w:sz w:val="32"/>
          <w:szCs w:val="32"/>
        </w:rPr>
      </w:pPr>
      <w:r>
        <w:rPr>
          <w:rFonts w:hint="eastAsia" w:ascii="仿宋" w:hAnsi="仿宋" w:eastAsia="仿宋"/>
          <w:b/>
          <w:sz w:val="32"/>
          <w:szCs w:val="32"/>
        </w:rPr>
        <w:t>（二）存在问题</w:t>
      </w:r>
    </w:p>
    <w:p>
      <w:pPr>
        <w:keepNext w:val="0"/>
        <w:keepLines w:val="0"/>
        <w:pageBreakBefore w:val="0"/>
        <w:pBdr>
          <w:bottom w:val="single" w:color="FFFFFF" w:sz="4" w:space="28"/>
        </w:pBdr>
        <w:kinsoku/>
        <w:wordWrap/>
        <w:overflowPunct/>
        <w:topLinePunct/>
        <w:autoSpaceDE/>
        <w:autoSpaceDN/>
        <w:bidi w:val="0"/>
        <w:spacing w:line="576" w:lineRule="exact"/>
        <w:ind w:firstLine="640" w:firstLineChars="200"/>
        <w:contextualSpacing/>
        <w:textAlignment w:val="auto"/>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w:t>
      </w:r>
      <w:r>
        <w:rPr>
          <w:rFonts w:ascii="仿宋" w:hAnsi="仿宋" w:eastAsia="仿宋"/>
          <w:sz w:val="32"/>
          <w:szCs w:val="32"/>
        </w:rPr>
        <w:t>行业管理还比较粗放。</w:t>
      </w:r>
    </w:p>
    <w:p>
      <w:pPr>
        <w:keepNext w:val="0"/>
        <w:keepLines w:val="0"/>
        <w:pageBreakBefore w:val="0"/>
        <w:pBdr>
          <w:bottom w:val="single" w:color="FFFFFF" w:sz="4" w:space="28"/>
        </w:pBdr>
        <w:kinsoku/>
        <w:wordWrap/>
        <w:overflowPunct/>
        <w:topLinePunct/>
        <w:autoSpaceDE/>
        <w:autoSpaceDN/>
        <w:bidi w:val="0"/>
        <w:spacing w:line="576" w:lineRule="exact"/>
        <w:ind w:firstLine="640" w:firstLineChars="200"/>
        <w:contextualSpacing/>
        <w:textAlignment w:val="auto"/>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w:t>
      </w:r>
      <w:r>
        <w:rPr>
          <w:rFonts w:ascii="仿宋" w:hAnsi="仿宋" w:eastAsia="仿宋"/>
          <w:sz w:val="32"/>
          <w:szCs w:val="32"/>
        </w:rPr>
        <w:t>财务制度执行力有待加强，资金使用计划有待细化</w:t>
      </w:r>
    </w:p>
    <w:p>
      <w:pPr>
        <w:keepNext w:val="0"/>
        <w:keepLines w:val="0"/>
        <w:pageBreakBefore w:val="0"/>
        <w:pBdr>
          <w:bottom w:val="single" w:color="FFFFFF" w:sz="4" w:space="28"/>
        </w:pBdr>
        <w:kinsoku/>
        <w:wordWrap/>
        <w:overflowPunct/>
        <w:topLinePunct/>
        <w:autoSpaceDE/>
        <w:autoSpaceDN/>
        <w:bidi w:val="0"/>
        <w:spacing w:line="576" w:lineRule="exact"/>
        <w:ind w:firstLine="640" w:firstLineChars="200"/>
        <w:contextualSpacing/>
        <w:textAlignment w:val="auto"/>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w:t>
      </w:r>
      <w:r>
        <w:rPr>
          <w:rFonts w:ascii="仿宋" w:hAnsi="仿宋" w:eastAsia="仿宋"/>
          <w:sz w:val="32"/>
          <w:szCs w:val="32"/>
        </w:rPr>
        <w:t>财政预算资金到位比较迟缓，各项目经费支付不能及时到位。</w:t>
      </w:r>
    </w:p>
    <w:p>
      <w:pPr>
        <w:keepNext w:val="0"/>
        <w:keepLines w:val="0"/>
        <w:pageBreakBefore w:val="0"/>
        <w:pBdr>
          <w:bottom w:val="single" w:color="FFFFFF" w:sz="4" w:space="28"/>
        </w:pBdr>
        <w:kinsoku/>
        <w:wordWrap/>
        <w:overflowPunct/>
        <w:topLinePunct/>
        <w:autoSpaceDE/>
        <w:autoSpaceDN/>
        <w:bidi w:val="0"/>
        <w:spacing w:line="576" w:lineRule="exact"/>
        <w:ind w:firstLine="640" w:firstLineChars="200"/>
        <w:contextualSpacing/>
        <w:textAlignment w:val="auto"/>
        <w:rPr>
          <w:rFonts w:ascii="仿宋" w:hAnsi="仿宋" w:eastAsia="仿宋"/>
          <w:sz w:val="32"/>
          <w:szCs w:val="32"/>
        </w:rPr>
      </w:pPr>
      <w:r>
        <w:rPr>
          <w:rFonts w:hint="eastAsia" w:ascii="仿宋" w:hAnsi="仿宋" w:eastAsia="仿宋"/>
          <w:sz w:val="32"/>
          <w:szCs w:val="32"/>
        </w:rPr>
        <w:t>（三）</w:t>
      </w:r>
      <w:r>
        <w:rPr>
          <w:rFonts w:ascii="仿宋" w:hAnsi="仿宋" w:eastAsia="仿宋"/>
          <w:sz w:val="32"/>
          <w:szCs w:val="32"/>
        </w:rPr>
        <w:t>改进措施和有关建议</w:t>
      </w:r>
    </w:p>
    <w:p>
      <w:pPr>
        <w:keepNext w:val="0"/>
        <w:keepLines w:val="0"/>
        <w:pageBreakBefore w:val="0"/>
        <w:pBdr>
          <w:bottom w:val="single" w:color="FFFFFF" w:sz="4" w:space="28"/>
        </w:pBdr>
        <w:kinsoku/>
        <w:wordWrap/>
        <w:overflowPunct/>
        <w:topLinePunct/>
        <w:autoSpaceDE/>
        <w:autoSpaceDN/>
        <w:bidi w:val="0"/>
        <w:spacing w:line="576" w:lineRule="exact"/>
        <w:ind w:firstLine="640" w:firstLineChars="200"/>
        <w:contextualSpacing/>
        <w:textAlignment w:val="auto"/>
        <w:rPr>
          <w:rFonts w:ascii="仿宋" w:hAnsi="仿宋" w:eastAsia="仿宋"/>
          <w:sz w:val="32"/>
          <w:szCs w:val="32"/>
        </w:rPr>
      </w:pPr>
      <w:r>
        <w:rPr>
          <w:rFonts w:ascii="仿宋" w:hAnsi="仿宋" w:eastAsia="仿宋"/>
          <w:sz w:val="32"/>
          <w:szCs w:val="32"/>
        </w:rPr>
        <w:t>针对上述存在的问题及整体支出管理工作的需要，拟实施的改进措施如下：</w:t>
      </w:r>
    </w:p>
    <w:p>
      <w:pPr>
        <w:keepNext w:val="0"/>
        <w:keepLines w:val="0"/>
        <w:pageBreakBefore w:val="0"/>
        <w:pBdr>
          <w:bottom w:val="single" w:color="FFFFFF" w:sz="4" w:space="28"/>
        </w:pBdr>
        <w:kinsoku/>
        <w:wordWrap/>
        <w:overflowPunct/>
        <w:topLinePunct/>
        <w:autoSpaceDE/>
        <w:autoSpaceDN/>
        <w:bidi w:val="0"/>
        <w:spacing w:line="576" w:lineRule="exact"/>
        <w:ind w:firstLine="640" w:firstLineChars="200"/>
        <w:contextualSpacing/>
        <w:textAlignment w:val="auto"/>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w:t>
      </w:r>
      <w:r>
        <w:rPr>
          <w:rFonts w:ascii="仿宋" w:hAnsi="仿宋" w:eastAsia="仿宋"/>
          <w:sz w:val="32"/>
          <w:szCs w:val="32"/>
        </w:rPr>
        <w:t>继续从严控制</w:t>
      </w:r>
      <w:r>
        <w:rPr>
          <w:rFonts w:hint="eastAsia" w:ascii="仿宋" w:hAnsi="仿宋" w:eastAsia="仿宋"/>
          <w:sz w:val="32"/>
          <w:szCs w:val="32"/>
        </w:rPr>
        <w:t>“三公”</w:t>
      </w:r>
      <w:r>
        <w:rPr>
          <w:rFonts w:ascii="仿宋" w:hAnsi="仿宋" w:eastAsia="仿宋"/>
          <w:sz w:val="32"/>
          <w:szCs w:val="32"/>
        </w:rPr>
        <w:t>经费、车辆购置及运行费、公务接待费等一般性支出。</w:t>
      </w:r>
    </w:p>
    <w:p>
      <w:pPr>
        <w:keepNext w:val="0"/>
        <w:keepLines w:val="0"/>
        <w:pageBreakBefore w:val="0"/>
        <w:pBdr>
          <w:bottom w:val="single" w:color="FFFFFF" w:sz="4" w:space="28"/>
        </w:pBdr>
        <w:kinsoku/>
        <w:wordWrap/>
        <w:overflowPunct/>
        <w:topLinePunct/>
        <w:autoSpaceDE/>
        <w:autoSpaceDN/>
        <w:bidi w:val="0"/>
        <w:spacing w:line="576" w:lineRule="exact"/>
        <w:ind w:firstLine="640" w:firstLineChars="200"/>
        <w:contextualSpacing/>
        <w:textAlignment w:val="auto"/>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w:t>
      </w:r>
      <w:r>
        <w:rPr>
          <w:rFonts w:ascii="仿宋" w:hAnsi="仿宋" w:eastAsia="仿宋"/>
          <w:sz w:val="32"/>
          <w:szCs w:val="32"/>
        </w:rPr>
        <w:t>加强财务管理，严格财务审核。在费用报账支付时，按照预算规定的费用项目和用途进行资金使用审核、列报支付、财务核算，杜绝超支现象的发生。</w:t>
      </w:r>
    </w:p>
    <w:p>
      <w:pPr>
        <w:keepNext w:val="0"/>
        <w:keepLines w:val="0"/>
        <w:pageBreakBefore w:val="0"/>
        <w:pBdr>
          <w:bottom w:val="single" w:color="FFFFFF" w:sz="4" w:space="28"/>
        </w:pBdr>
        <w:kinsoku/>
        <w:wordWrap/>
        <w:overflowPunct/>
        <w:topLinePunct/>
        <w:autoSpaceDE/>
        <w:autoSpaceDN/>
        <w:bidi w:val="0"/>
        <w:spacing w:line="576" w:lineRule="exact"/>
        <w:ind w:firstLine="640" w:firstLineChars="200"/>
        <w:contextualSpacing/>
        <w:textAlignment w:val="auto"/>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w:t>
      </w:r>
      <w:r>
        <w:rPr>
          <w:rFonts w:ascii="仿宋" w:hAnsi="仿宋" w:eastAsia="仿宋"/>
          <w:sz w:val="32"/>
          <w:szCs w:val="32"/>
        </w:rPr>
        <w:t>加强项目开展进度的跟踪，开展项目绩效评价，确保项目绩效目标的完成。</w:t>
      </w:r>
    </w:p>
    <w:p>
      <w:pPr>
        <w:pStyle w:val="2"/>
        <w:rPr>
          <w:rFonts w:ascii="仿宋" w:hAnsi="仿宋" w:eastAsia="仿宋"/>
          <w:sz w:val="32"/>
          <w:szCs w:val="32"/>
        </w:rPr>
      </w:pPr>
    </w:p>
    <w:p>
      <w:pPr>
        <w:pStyle w:val="2"/>
        <w:rPr>
          <w:rFonts w:ascii="仿宋" w:hAnsi="仿宋" w:eastAsia="仿宋"/>
          <w:sz w:val="32"/>
          <w:szCs w:val="32"/>
        </w:rPr>
      </w:pPr>
    </w:p>
    <w:p>
      <w:pPr>
        <w:pStyle w:val="2"/>
        <w:rPr>
          <w:rFonts w:ascii="仿宋" w:hAnsi="仿宋" w:eastAsia="仿宋"/>
          <w:sz w:val="32"/>
          <w:szCs w:val="32"/>
        </w:rPr>
      </w:pPr>
    </w:p>
    <w:p>
      <w:pPr>
        <w:pStyle w:val="6"/>
        <w:rPr>
          <w:rFonts w:ascii="仿宋" w:hAnsi="仿宋" w:eastAsia="仿宋"/>
          <w:sz w:val="32"/>
          <w:szCs w:val="32"/>
        </w:rPr>
      </w:pPr>
    </w:p>
    <w:tbl>
      <w:tblPr>
        <w:tblStyle w:val="20"/>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3"/>
        <w:gridCol w:w="861"/>
        <w:gridCol w:w="1123"/>
        <w:gridCol w:w="2580"/>
        <w:gridCol w:w="490"/>
        <w:gridCol w:w="916"/>
        <w:gridCol w:w="523"/>
        <w:gridCol w:w="456"/>
        <w:gridCol w:w="9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gridSpan w:val="9"/>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p>
            <w:pPr>
              <w:keepNext w:val="0"/>
              <w:keepLines w:val="0"/>
              <w:widowControl/>
              <w:suppressLineNumbers w:val="0"/>
              <w:jc w:val="center"/>
              <w:textAlignment w:val="center"/>
              <w:rPr>
                <w:rFonts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部门整体支出绩效目标完成情况自评表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gridSpan w:val="9"/>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gridSpan w:val="9"/>
            <w:tcBorders>
              <w:top w:val="nil"/>
              <w:left w:val="nil"/>
              <w:bottom w:val="single" w:color="000000" w:sz="8" w:space="0"/>
              <w:right w:val="nil"/>
            </w:tcBorders>
            <w:shd w:val="clear" w:color="auto" w:fill="auto"/>
            <w:vAlign w:val="center"/>
          </w:tcPr>
          <w:p>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gridSpan w:val="3"/>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部门名称</w:t>
            </w:r>
          </w:p>
        </w:tc>
        <w:tc>
          <w:tcPr>
            <w:tcW w:w="0" w:type="auto"/>
            <w:gridSpan w:val="6"/>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茂县文化广播电视体育和旅游局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年度部门整体支出预算</w:t>
            </w:r>
          </w:p>
        </w:tc>
        <w:tc>
          <w:tcPr>
            <w:tcW w:w="0" w:type="auto"/>
            <w:gridSpan w:val="2"/>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资金总额</w:t>
            </w:r>
          </w:p>
        </w:tc>
        <w:tc>
          <w:tcPr>
            <w:tcW w:w="0" w:type="auto"/>
            <w:gridSpan w:val="2"/>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财政拨款</w:t>
            </w:r>
          </w:p>
        </w:tc>
        <w:tc>
          <w:tcPr>
            <w:tcW w:w="0" w:type="auto"/>
            <w:gridSpan w:val="4"/>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66"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0" w:type="auto"/>
            <w:gridSpan w:val="2"/>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4011.55</w:t>
            </w:r>
          </w:p>
        </w:tc>
        <w:tc>
          <w:tcPr>
            <w:tcW w:w="0" w:type="auto"/>
            <w:gridSpan w:val="2"/>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4011.55</w:t>
            </w:r>
          </w:p>
        </w:tc>
        <w:tc>
          <w:tcPr>
            <w:tcW w:w="0" w:type="auto"/>
            <w:gridSpan w:val="4"/>
            <w:tcBorders>
              <w:top w:val="nil"/>
              <w:left w:val="nil"/>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0" w:type="auto"/>
            <w:tcBorders>
              <w:top w:val="nil"/>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年度总体</w:t>
            </w:r>
          </w:p>
        </w:tc>
        <w:tc>
          <w:tcPr>
            <w:tcW w:w="0" w:type="auto"/>
            <w:gridSpan w:val="8"/>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我局始终坚持以习近平新时代中国特色社会主义思想为指导，认真贯彻落实党的二十大精神及习近平总书记来川视察指示和省、州、县全会精神。以党建工作为统揽，紧紧围绕“羌文化旅游目的地”建设目标，全面推进现代公共文化服务体系建设，着力培育壮大全县文旅产业，大力推广全民健身，强化广播电视阵地建设，全县文化、体育、旅游、广电、文博事业等呈现良好发展态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目标</w:t>
            </w:r>
          </w:p>
        </w:tc>
        <w:tc>
          <w:tcPr>
            <w:tcW w:w="0" w:type="auto"/>
            <w:gridSpan w:val="8"/>
            <w:vMerge w:val="continue"/>
            <w:tcBorders>
              <w:top w:val="nil"/>
              <w:left w:val="nil"/>
              <w:bottom w:val="single" w:color="000000" w:sz="8" w:space="0"/>
              <w:right w:val="single" w:color="000000" w:sz="8" w:space="0"/>
            </w:tcBorders>
            <w:shd w:val="clear" w:color="auto" w:fill="auto"/>
            <w:vAlign w:val="center"/>
          </w:tcPr>
          <w:p>
            <w:pPr>
              <w:jc w:val="left"/>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0" w:type="auto"/>
            <w:tcBorders>
              <w:top w:val="nil"/>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年度主要</w:t>
            </w:r>
          </w:p>
        </w:tc>
        <w:tc>
          <w:tcPr>
            <w:tcW w:w="0" w:type="auto"/>
            <w:gridSpan w:val="2"/>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任务名称</w:t>
            </w:r>
          </w:p>
        </w:tc>
        <w:tc>
          <w:tcPr>
            <w:tcW w:w="0" w:type="auto"/>
            <w:gridSpan w:val="6"/>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主要内容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nil"/>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任务</w:t>
            </w:r>
          </w:p>
        </w:tc>
        <w:tc>
          <w:tcPr>
            <w:tcW w:w="0" w:type="auto"/>
            <w:gridSpan w:val="2"/>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紧围绕县委政府中心工作，立足自身职能职责，对标各项工作目标任务，团结拼搏、真抓实干，持续推动茂县文化、广播电视、体育、文物和旅游等事业发展</w:t>
            </w:r>
          </w:p>
        </w:tc>
        <w:tc>
          <w:tcPr>
            <w:tcW w:w="0" w:type="auto"/>
            <w:gridSpan w:val="6"/>
            <w:vMerge w:val="restart"/>
            <w:tcBorders>
              <w:top w:val="nil"/>
              <w:left w:val="nil"/>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一是不断丰富文化服务；二是继续强文化旅游融合；三是体育成绩再创佳绩；四是持续推进文物保护工作；五是狠抓重大项目实施。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gridSpan w:val="2"/>
            <w:vMerge w:val="continue"/>
            <w:tcBorders>
              <w:top w:val="nil"/>
              <w:left w:val="nil"/>
              <w:bottom w:val="single" w:color="000000" w:sz="8" w:space="0"/>
              <w:right w:val="single" w:color="000000" w:sz="8" w:space="0"/>
            </w:tcBorders>
            <w:shd w:val="clear" w:color="auto" w:fill="auto"/>
            <w:vAlign w:val="center"/>
          </w:tcPr>
          <w:p>
            <w:pPr>
              <w:jc w:val="left"/>
              <w:rPr>
                <w:rFonts w:hint="eastAsia" w:ascii="仿宋" w:hAnsi="仿宋" w:eastAsia="仿宋" w:cs="仿宋"/>
                <w:i w:val="0"/>
                <w:iCs w:val="0"/>
                <w:color w:val="000000"/>
                <w:sz w:val="22"/>
                <w:szCs w:val="22"/>
                <w:u w:val="none"/>
              </w:rPr>
            </w:pPr>
          </w:p>
        </w:tc>
        <w:tc>
          <w:tcPr>
            <w:tcW w:w="0" w:type="auto"/>
            <w:gridSpan w:val="6"/>
            <w:vMerge w:val="continue"/>
            <w:tcBorders>
              <w:top w:val="nil"/>
              <w:left w:val="nil"/>
              <w:bottom w:val="nil"/>
              <w:right w:val="single" w:color="000000" w:sz="8"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年度绩效</w:t>
            </w:r>
          </w:p>
        </w:tc>
        <w:tc>
          <w:tcPr>
            <w:tcW w:w="0" w:type="auto"/>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一级指标</w:t>
            </w:r>
          </w:p>
        </w:tc>
        <w:tc>
          <w:tcPr>
            <w:tcW w:w="0" w:type="auto"/>
            <w:vMerge w:val="restart"/>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二级指标</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三级指标</w:t>
            </w:r>
          </w:p>
        </w:tc>
        <w:tc>
          <w:tcPr>
            <w:tcW w:w="0" w:type="auto"/>
            <w:vMerge w:val="restart"/>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绩效指标</w:t>
            </w:r>
          </w:p>
        </w:tc>
        <w:tc>
          <w:tcPr>
            <w:tcW w:w="0" w:type="auto"/>
            <w:vMerge w:val="restart"/>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绩效指标值</w:t>
            </w:r>
          </w:p>
        </w:tc>
        <w:tc>
          <w:tcPr>
            <w:tcW w:w="0" w:type="auto"/>
            <w:vMerge w:val="restart"/>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绩效度量单位</w:t>
            </w:r>
          </w:p>
        </w:tc>
        <w:tc>
          <w:tcPr>
            <w:tcW w:w="0" w:type="auto"/>
            <w:vMerge w:val="restart"/>
            <w:tcBorders>
              <w:top w:val="single" w:color="000000" w:sz="8"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权重</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实际完成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0" w:type="auto"/>
            <w:vMerge w:val="continue"/>
            <w:tcBorders>
              <w:top w:val="nil"/>
              <w:left w:val="nil"/>
              <w:bottom w:val="single" w:color="000000" w:sz="8" w:space="0"/>
              <w:right w:val="nil"/>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0" w:type="auto"/>
            <w:vMerge w:val="continue"/>
            <w:tcBorders>
              <w:top w:val="single" w:color="000000" w:sz="8" w:space="0"/>
              <w:left w:val="nil"/>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0" w:type="auto"/>
            <w:vMerge w:val="continue"/>
            <w:tcBorders>
              <w:top w:val="single" w:color="000000" w:sz="8" w:space="0"/>
              <w:left w:val="nil"/>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0" w:type="auto"/>
            <w:vMerge w:val="continue"/>
            <w:tcBorders>
              <w:top w:val="single" w:color="000000" w:sz="8" w:space="0"/>
              <w:left w:val="nil"/>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0" w:type="auto"/>
            <w:vMerge w:val="continue"/>
            <w:tcBorders>
              <w:top w:val="single" w:color="000000" w:sz="8" w:space="0"/>
              <w:left w:val="nil"/>
              <w:bottom w:val="single" w:color="000000" w:sz="8" w:space="0"/>
              <w:right w:val="nil"/>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0" w:type="auto"/>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产出指标</w:t>
            </w:r>
          </w:p>
        </w:tc>
        <w:tc>
          <w:tcPr>
            <w:tcW w:w="0" w:type="auto"/>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数量指标</w:t>
            </w:r>
          </w:p>
        </w:tc>
        <w:tc>
          <w:tcPr>
            <w:tcW w:w="0" w:type="auto"/>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完成文化、旅游、体育、广播电视、文物等项目</w:t>
            </w:r>
          </w:p>
        </w:tc>
        <w:tc>
          <w:tcPr>
            <w:tcW w:w="0" w:type="auto"/>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w:t>
            </w:r>
          </w:p>
        </w:tc>
        <w:tc>
          <w:tcPr>
            <w:tcW w:w="0" w:type="auto"/>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31</w:t>
            </w:r>
          </w:p>
        </w:tc>
        <w:tc>
          <w:tcPr>
            <w:tcW w:w="0" w:type="auto"/>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个</w:t>
            </w:r>
          </w:p>
        </w:tc>
        <w:tc>
          <w:tcPr>
            <w:tcW w:w="0" w:type="auto"/>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0" w:type="auto"/>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vAlign w:val="center"/>
          </w:tcPr>
          <w:p>
            <w:pPr>
              <w:jc w:val="left"/>
              <w:rPr>
                <w:rFonts w:hint="eastAsia" w:ascii="仿宋" w:hAnsi="仿宋" w:eastAsia="仿宋" w:cs="仿宋"/>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vAlign w:val="center"/>
          </w:tcPr>
          <w:p>
            <w:pPr>
              <w:jc w:val="center"/>
              <w:rPr>
                <w:rFonts w:hint="default" w:ascii="Arial" w:hAnsi="Arial" w:eastAsia="宋体" w:cs="Arial"/>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质量指标</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一是百花齐放，文化工作丰富多彩；二是高位推进，旅游工作融合发展；三是蓬勃发展，体育工作有声有色</w:t>
            </w:r>
          </w:p>
        </w:tc>
        <w:tc>
          <w:tcPr>
            <w:tcW w:w="0" w:type="auto"/>
            <w:tcBorders>
              <w:top w:val="nil"/>
              <w:left w:val="nil"/>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98</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0" w:type="auto"/>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时效指标</w:t>
            </w:r>
          </w:p>
        </w:tc>
        <w:tc>
          <w:tcPr>
            <w:tcW w:w="0" w:type="auto"/>
            <w:vMerge w:val="restart"/>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完成时限</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w:t>
            </w:r>
          </w:p>
        </w:tc>
        <w:tc>
          <w:tcPr>
            <w:tcW w:w="0" w:type="auto"/>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365</w:t>
            </w:r>
          </w:p>
        </w:tc>
        <w:tc>
          <w:tcPr>
            <w:tcW w:w="0" w:type="auto"/>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天</w:t>
            </w:r>
          </w:p>
        </w:tc>
        <w:tc>
          <w:tcPr>
            <w:tcW w:w="0" w:type="auto"/>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0" w:type="auto"/>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365天内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0" w:type="auto"/>
            <w:vMerge w:val="continue"/>
            <w:tcBorders>
              <w:top w:val="nil"/>
              <w:left w:val="nil"/>
              <w:bottom w:val="single" w:color="000000" w:sz="8" w:space="0"/>
              <w:right w:val="nil"/>
            </w:tcBorders>
            <w:shd w:val="clear" w:color="auto" w:fill="auto"/>
            <w:noWrap/>
            <w:vAlign w:val="center"/>
          </w:tcPr>
          <w:p>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default" w:ascii="Arial" w:hAnsi="Arial" w:eastAsia="宋体" w:cs="Arial"/>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0"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0" w:type="auto"/>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效益指标</w:t>
            </w:r>
          </w:p>
        </w:tc>
        <w:tc>
          <w:tcPr>
            <w:tcW w:w="0" w:type="auto"/>
            <w:vMerge w:val="restart"/>
            <w:tcBorders>
              <w:top w:val="nil"/>
              <w:left w:val="nil"/>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社会效益</w:t>
            </w:r>
          </w:p>
        </w:tc>
        <w:tc>
          <w:tcPr>
            <w:tcW w:w="0" w:type="auto"/>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1完成全年两馆一站、博物馆、体育馆免费开放免费开放工作，丰富人民群众文化需求等；2进一步加强羌文化挖掘、保护、传承和弘扬工作；3推进研学旅游和文化创意产品开发、促进文旅发展等。</w:t>
            </w:r>
          </w:p>
        </w:tc>
        <w:tc>
          <w:tcPr>
            <w:tcW w:w="0" w:type="auto"/>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w:t>
            </w:r>
          </w:p>
        </w:tc>
        <w:tc>
          <w:tcPr>
            <w:tcW w:w="0" w:type="auto"/>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95</w:t>
            </w:r>
          </w:p>
        </w:tc>
        <w:tc>
          <w:tcPr>
            <w:tcW w:w="0" w:type="auto"/>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w:t>
            </w:r>
          </w:p>
        </w:tc>
        <w:tc>
          <w:tcPr>
            <w:tcW w:w="0" w:type="auto"/>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0" w:type="auto"/>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0" w:type="auto"/>
            <w:vMerge w:val="continue"/>
            <w:tcBorders>
              <w:top w:val="nil"/>
              <w:left w:val="nil"/>
              <w:bottom w:val="nil"/>
              <w:right w:val="single" w:color="000000" w:sz="8"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vAlign w:val="center"/>
          </w:tcPr>
          <w:p>
            <w:pPr>
              <w:jc w:val="left"/>
              <w:rPr>
                <w:rFonts w:hint="eastAsia" w:ascii="仿宋" w:hAnsi="仿宋" w:eastAsia="仿宋" w:cs="仿宋"/>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0" w:type="auto"/>
            <w:tcBorders>
              <w:top w:val="single" w:color="000000" w:sz="8" w:space="0"/>
              <w:left w:val="nil"/>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可持续影响指标</w:t>
            </w:r>
          </w:p>
        </w:tc>
        <w:tc>
          <w:tcPr>
            <w:tcW w:w="0" w:type="auto"/>
            <w:tcBorders>
              <w:top w:val="nil"/>
              <w:left w:val="nil"/>
              <w:bottom w:val="nil"/>
              <w:right w:val="single" w:color="000000" w:sz="8"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文化服务不断丰富、文旅融合不断加强、全民健身场地和公共体育场馆进一步完善、文物及羌文化保护进一步强化。达到以文促旅，以旅彰文，以产业实践文旅融合，以旅项目促进乡村振兴。</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nil"/>
              <w:left w:val="nil"/>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98</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0" w:type="auto"/>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成本指标</w:t>
            </w:r>
          </w:p>
        </w:tc>
        <w:tc>
          <w:tcPr>
            <w:tcW w:w="0" w:type="auto"/>
            <w:tcBorders>
              <w:top w:val="single" w:color="000000" w:sz="8" w:space="0"/>
              <w:left w:val="single" w:color="000000" w:sz="8" w:space="0"/>
              <w:bottom w:val="single" w:color="000000" w:sz="8" w:space="0"/>
              <w:right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经济成本指标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完成文化、旅游、体育、广播电视、文物等31个项目</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4011.5</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万</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4011.5万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1"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0" w:type="auto"/>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满意度指标</w:t>
            </w:r>
          </w:p>
        </w:tc>
        <w:tc>
          <w:tcPr>
            <w:tcW w:w="0" w:type="auto"/>
            <w:tcBorders>
              <w:top w:val="nil"/>
              <w:left w:val="single" w:color="000000" w:sz="8" w:space="0"/>
              <w:bottom w:val="single" w:color="000000" w:sz="8" w:space="0"/>
              <w:right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服务对象满意度指标</w:t>
            </w:r>
          </w:p>
        </w:tc>
        <w:tc>
          <w:tcPr>
            <w:tcW w:w="0" w:type="auto"/>
            <w:tcBorders>
              <w:top w:val="nil"/>
              <w:left w:val="single" w:color="000000" w:sz="8" w:space="0"/>
              <w:bottom w:val="single" w:color="000000" w:sz="8"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群众文化、旅游、体育、广播电视、文物等工作满意度</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95</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95</w:t>
            </w:r>
          </w:p>
        </w:tc>
      </w:tr>
    </w:tbl>
    <w:p>
      <w:pPr>
        <w:pStyle w:val="6"/>
        <w:rPr>
          <w:rFonts w:hint="eastAsia" w:ascii="仿宋" w:hAnsi="仿宋" w:eastAsia="仿宋"/>
          <w:sz w:val="32"/>
          <w:szCs w:val="32"/>
        </w:rPr>
      </w:pPr>
    </w:p>
    <w:p>
      <w:pPr>
        <w:pStyle w:val="2"/>
        <w:rPr>
          <w:rFonts w:hint="eastAsia" w:ascii="黑体" w:hAnsi="黑体" w:eastAsia="黑体" w:cs="黑体"/>
          <w:color w:val="auto"/>
          <w:kern w:val="0"/>
          <w:sz w:val="32"/>
          <w:szCs w:val="32"/>
          <w:highlight w:val="none"/>
          <w:shd w:val="clear" w:color="auto" w:fill="FFFFFF"/>
          <w:lang w:val="zh-CN"/>
        </w:rPr>
      </w:pPr>
      <w:bookmarkStart w:id="78" w:name="_Toc79163885"/>
      <w:bookmarkStart w:id="79" w:name="_Toc79163635"/>
      <w:bookmarkStart w:id="80" w:name="_Toc111208512"/>
    </w:p>
    <w:p>
      <w:pPr>
        <w:pStyle w:val="2"/>
        <w:rPr>
          <w:rFonts w:hint="eastAsia" w:ascii="黑体" w:hAnsi="黑体" w:eastAsia="黑体" w:cs="黑体"/>
          <w:color w:val="auto"/>
          <w:kern w:val="0"/>
          <w:sz w:val="32"/>
          <w:szCs w:val="32"/>
          <w:highlight w:val="none"/>
          <w:shd w:val="clear" w:color="auto" w:fill="FFFFFF"/>
          <w:lang w:val="zh-CN"/>
        </w:rPr>
      </w:pPr>
    </w:p>
    <w:p>
      <w:pPr>
        <w:pStyle w:val="2"/>
        <w:rPr>
          <w:rFonts w:hint="eastAsia" w:ascii="黑体" w:hAnsi="黑体" w:eastAsia="黑体" w:cs="黑体"/>
          <w:color w:val="auto"/>
          <w:kern w:val="0"/>
          <w:sz w:val="32"/>
          <w:szCs w:val="32"/>
          <w:highlight w:val="none"/>
          <w:shd w:val="clear" w:color="auto" w:fill="FFFFFF"/>
          <w:lang w:val="zh-CN"/>
        </w:rPr>
      </w:pPr>
    </w:p>
    <w:p>
      <w:pPr>
        <w:pStyle w:val="2"/>
        <w:rPr>
          <w:rFonts w:hint="eastAsia" w:ascii="黑体" w:hAnsi="黑体" w:eastAsia="黑体" w:cs="黑体"/>
          <w:color w:val="auto"/>
          <w:kern w:val="0"/>
          <w:sz w:val="32"/>
          <w:szCs w:val="32"/>
          <w:highlight w:val="none"/>
          <w:shd w:val="clear" w:color="auto" w:fill="FFFFFF"/>
          <w:lang w:val="zh-CN"/>
        </w:rPr>
      </w:pPr>
      <w:r>
        <w:rPr>
          <w:rFonts w:hint="eastAsia" w:ascii="黑体" w:hAnsi="黑体" w:eastAsia="黑体" w:cs="黑体"/>
          <w:color w:val="auto"/>
          <w:kern w:val="0"/>
          <w:sz w:val="32"/>
          <w:szCs w:val="32"/>
          <w:highlight w:val="none"/>
          <w:shd w:val="clear" w:color="auto" w:fill="FFFFFF"/>
          <w:lang w:val="zh-CN"/>
        </w:rPr>
        <w:t>附件</w:t>
      </w:r>
      <w:r>
        <w:rPr>
          <w:rFonts w:hint="eastAsia" w:ascii="黑体" w:hAnsi="黑体" w:eastAsia="黑体" w:cs="黑体"/>
          <w:color w:val="auto"/>
          <w:kern w:val="0"/>
          <w:sz w:val="32"/>
          <w:szCs w:val="32"/>
          <w:highlight w:val="none"/>
          <w:shd w:val="clear" w:color="auto" w:fill="FFFFFF"/>
          <w:lang w:val="en-US" w:eastAsia="zh-CN"/>
        </w:rPr>
        <w:t>2</w:t>
      </w:r>
    </w:p>
    <w:p>
      <w:pPr>
        <w:pStyle w:val="2"/>
        <w:keepNext w:val="0"/>
        <w:keepLines w:val="0"/>
        <w:pageBreakBefore w:val="0"/>
        <w:widowControl w:val="0"/>
        <w:kinsoku/>
        <w:wordWrap/>
        <w:overflowPunct/>
        <w:topLinePunct w:val="0"/>
        <w:autoSpaceDE/>
        <w:autoSpaceDN/>
        <w:bidi w:val="0"/>
        <w:adjustRightInd/>
        <w:snapToGrid/>
        <w:spacing w:line="360" w:lineRule="auto"/>
        <w:ind w:firstLine="1320" w:firstLineChars="300"/>
        <w:textAlignment w:val="auto"/>
        <w:rPr>
          <w:rFonts w:hint="eastAsia" w:ascii="方正小标宋简体" w:hAnsi="Times New Roman" w:eastAsia="方正小标宋简体" w:cs="黑体"/>
          <w:kern w:val="2"/>
          <w:sz w:val="44"/>
          <w:szCs w:val="44"/>
          <w:lang w:val="en-US" w:eastAsia="zh-CN" w:bidi="ar-SA"/>
        </w:rPr>
      </w:pPr>
      <w:r>
        <w:rPr>
          <w:rFonts w:hint="eastAsia" w:ascii="方正小标宋简体" w:hAnsi="Times New Roman" w:eastAsia="方正小标宋简体" w:cs="黑体"/>
          <w:kern w:val="2"/>
          <w:sz w:val="44"/>
          <w:szCs w:val="44"/>
          <w:lang w:val="en-US" w:eastAsia="zh-CN" w:bidi="ar-SA"/>
        </w:rPr>
        <w:t>阿坝州羌城体育公园建设项目</w:t>
      </w:r>
    </w:p>
    <w:p>
      <w:pPr>
        <w:pStyle w:val="2"/>
        <w:keepNext w:val="0"/>
        <w:keepLines w:val="0"/>
        <w:pageBreakBefore w:val="0"/>
        <w:widowControl w:val="0"/>
        <w:kinsoku/>
        <w:wordWrap/>
        <w:overflowPunct/>
        <w:topLinePunct w:val="0"/>
        <w:autoSpaceDE/>
        <w:autoSpaceDN/>
        <w:bidi w:val="0"/>
        <w:adjustRightInd/>
        <w:snapToGrid/>
        <w:spacing w:line="360" w:lineRule="auto"/>
        <w:ind w:firstLine="1760" w:firstLineChars="400"/>
        <w:textAlignment w:val="auto"/>
        <w:rPr>
          <w:rFonts w:hint="eastAsia" w:ascii="方正小标宋简体" w:hAnsi="Times New Roman" w:eastAsia="方正小标宋简体" w:cs="黑体"/>
          <w:kern w:val="2"/>
          <w:sz w:val="44"/>
          <w:szCs w:val="44"/>
          <w:lang w:val="en-US" w:eastAsia="zh-CN" w:bidi="ar-SA"/>
        </w:rPr>
      </w:pPr>
      <w:r>
        <w:rPr>
          <w:rFonts w:hint="eastAsia" w:ascii="方正小标宋简体" w:hAnsi="Times New Roman" w:eastAsia="方正小标宋简体" w:cs="黑体"/>
          <w:kern w:val="2"/>
          <w:sz w:val="44"/>
          <w:szCs w:val="44"/>
          <w:lang w:val="en-US" w:eastAsia="zh-CN" w:bidi="ar-SA"/>
        </w:rPr>
        <w:t>2023年支出绩效自评报告</w:t>
      </w:r>
    </w:p>
    <w:p>
      <w:pPr>
        <w:pStyle w:val="2"/>
        <w:bidi w:val="0"/>
        <w:rPr>
          <w:rFonts w:hint="eastAsia" w:ascii="仿宋" w:hAnsi="仿宋" w:eastAsia="仿宋" w:cs="仿宋"/>
          <w:b/>
          <w:bCs/>
          <w:sz w:val="32"/>
          <w:szCs w:val="32"/>
        </w:rPr>
      </w:pPr>
      <w:r>
        <w:rPr>
          <w:rFonts w:hint="eastAsia" w:ascii="仿宋" w:hAnsi="仿宋" w:eastAsia="仿宋" w:cs="仿宋"/>
          <w:b/>
          <w:bCs/>
          <w:sz w:val="32"/>
          <w:szCs w:val="32"/>
        </w:rPr>
        <w:t>一、项目概况</w:t>
      </w:r>
    </w:p>
    <w:p>
      <w:pPr>
        <w:pageBreakBefore w:val="0"/>
        <w:widowControl/>
        <w:kinsoku/>
        <w:wordWrap/>
        <w:overflowPunct/>
        <w:topLinePunct w:val="0"/>
        <w:bidi w:val="0"/>
        <w:adjustRightInd w:val="0"/>
        <w:snapToGrid w:val="0"/>
        <w:spacing w:line="576" w:lineRule="exact"/>
        <w:ind w:firstLine="640" w:firstLineChars="200"/>
        <w:contextualSpacing/>
        <w:jc w:val="left"/>
        <w:textAlignment w:val="auto"/>
        <w:rPr>
          <w:rFonts w:hint="eastAsia" w:ascii="仿宋_GB2312" w:eastAsia="仿宋_GB2312" w:cs="宋体"/>
          <w:color w:val="000000"/>
          <w:kern w:val="0"/>
          <w:sz w:val="32"/>
          <w:szCs w:val="32"/>
          <w:shd w:val="clear" w:color="auto" w:fill="FFFFFF"/>
          <w:lang w:val="zh-CN" w:eastAsia="zh-CN" w:bidi="ar-SA"/>
        </w:rPr>
      </w:pPr>
      <w:r>
        <w:rPr>
          <w:rFonts w:hint="eastAsia" w:ascii="仿宋_GB2312" w:eastAsia="仿宋_GB2312" w:cs="宋体"/>
          <w:color w:val="000000"/>
          <w:kern w:val="0"/>
          <w:sz w:val="32"/>
          <w:szCs w:val="32"/>
          <w:shd w:val="clear" w:color="auto" w:fill="FFFFFF"/>
          <w:lang w:val="zh-CN" w:eastAsia="zh-CN" w:bidi="ar-SA"/>
        </w:rPr>
        <w:t>（一）项目基本情况</w:t>
      </w:r>
    </w:p>
    <w:p>
      <w:pPr>
        <w:pStyle w:val="2"/>
        <w:spacing w:before="93" w:line="560" w:lineRule="exact"/>
        <w:ind w:firstLine="640" w:firstLineChars="200"/>
        <w:rPr>
          <w:rFonts w:hint="eastAsia"/>
          <w:kern w:val="2"/>
          <w:sz w:val="32"/>
          <w:szCs w:val="32"/>
        </w:rPr>
      </w:pPr>
      <w:r>
        <w:rPr>
          <w:rFonts w:hint="eastAsia"/>
          <w:kern w:val="2"/>
          <w:sz w:val="32"/>
          <w:szCs w:val="32"/>
        </w:rPr>
        <w:t>茂县文化体育和旅游局在</w:t>
      </w:r>
      <w:r>
        <w:rPr>
          <w:rFonts w:hint="eastAsia"/>
          <w:kern w:val="2"/>
          <w:sz w:val="32"/>
          <w:szCs w:val="32"/>
          <w:lang w:eastAsia="zh-CN"/>
        </w:rPr>
        <w:t>阿坝州羌城体育公园建设</w:t>
      </w:r>
      <w:r>
        <w:rPr>
          <w:rFonts w:hint="eastAsia"/>
          <w:kern w:val="2"/>
          <w:sz w:val="32"/>
          <w:szCs w:val="32"/>
        </w:rPr>
        <w:t>项目管理中主要承担</w:t>
      </w:r>
      <w:r>
        <w:rPr>
          <w:rFonts w:hint="eastAsia"/>
          <w:kern w:val="2"/>
          <w:sz w:val="32"/>
          <w:szCs w:val="32"/>
          <w:lang w:eastAsia="zh-CN"/>
        </w:rPr>
        <w:t>阿坝州羌城体育公园建设</w:t>
      </w:r>
      <w:r>
        <w:rPr>
          <w:rFonts w:hint="eastAsia"/>
          <w:kern w:val="2"/>
          <w:sz w:val="32"/>
          <w:szCs w:val="32"/>
        </w:rPr>
        <w:t>专项资金的预算、申请、管理、拨付、监督等职能，对我县</w:t>
      </w:r>
      <w:r>
        <w:rPr>
          <w:rFonts w:hint="eastAsia"/>
          <w:kern w:val="2"/>
          <w:sz w:val="32"/>
          <w:szCs w:val="32"/>
          <w:lang w:eastAsia="zh-CN"/>
        </w:rPr>
        <w:t>羌城体育公园建设</w:t>
      </w:r>
      <w:r>
        <w:rPr>
          <w:rFonts w:hint="eastAsia"/>
          <w:kern w:val="2"/>
          <w:sz w:val="32"/>
          <w:szCs w:val="32"/>
        </w:rPr>
        <w:t>项目资金实行统一管理，专款专用，提高资金使用效益。</w:t>
      </w:r>
    </w:p>
    <w:p>
      <w:pPr>
        <w:pStyle w:val="2"/>
        <w:spacing w:before="93" w:line="560" w:lineRule="exact"/>
        <w:ind w:firstLine="640" w:firstLineChars="200"/>
        <w:rPr>
          <w:rFonts w:hint="eastAsia"/>
          <w:kern w:val="2"/>
          <w:sz w:val="32"/>
          <w:szCs w:val="32"/>
          <w:lang w:val="en-US" w:eastAsia="en-US"/>
        </w:rPr>
      </w:pPr>
      <w:r>
        <w:rPr>
          <w:rFonts w:hint="eastAsia"/>
          <w:kern w:val="2"/>
          <w:sz w:val="32"/>
          <w:szCs w:val="32"/>
        </w:rPr>
        <w:t>根据《四川省财政厅关于</w:t>
      </w:r>
      <w:r>
        <w:rPr>
          <w:rFonts w:hint="eastAsia"/>
          <w:kern w:val="2"/>
          <w:sz w:val="32"/>
          <w:szCs w:val="32"/>
          <w:lang w:eastAsia="zh-CN"/>
        </w:rPr>
        <w:t>转</w:t>
      </w:r>
      <w:r>
        <w:rPr>
          <w:rFonts w:hint="eastAsia"/>
          <w:kern w:val="2"/>
          <w:sz w:val="32"/>
          <w:szCs w:val="32"/>
        </w:rPr>
        <w:t>下达</w:t>
      </w:r>
      <w:r>
        <w:rPr>
          <w:rFonts w:hint="eastAsia"/>
          <w:kern w:val="2"/>
          <w:sz w:val="32"/>
          <w:szCs w:val="32"/>
          <w:lang w:val="en-US" w:eastAsia="en-US"/>
        </w:rPr>
        <w:t>202</w:t>
      </w:r>
      <w:r>
        <w:rPr>
          <w:rFonts w:hint="eastAsia"/>
          <w:kern w:val="2"/>
          <w:sz w:val="32"/>
          <w:szCs w:val="32"/>
          <w:lang w:val="en-US" w:eastAsia="zh-CN"/>
        </w:rPr>
        <w:t>2</w:t>
      </w:r>
      <w:r>
        <w:rPr>
          <w:rFonts w:hint="eastAsia"/>
          <w:kern w:val="2"/>
          <w:sz w:val="32"/>
          <w:szCs w:val="32"/>
        </w:rPr>
        <w:t>年</w:t>
      </w:r>
      <w:r>
        <w:rPr>
          <w:rFonts w:hint="eastAsia"/>
          <w:kern w:val="2"/>
          <w:sz w:val="32"/>
          <w:szCs w:val="32"/>
          <w:lang w:eastAsia="zh-CN"/>
        </w:rPr>
        <w:t>全民健身设施补短板工程中央基建投资</w:t>
      </w:r>
      <w:r>
        <w:rPr>
          <w:rFonts w:hint="eastAsia"/>
          <w:kern w:val="2"/>
          <w:sz w:val="32"/>
          <w:szCs w:val="32"/>
        </w:rPr>
        <w:t>预算的通知》（川财教〔20</w:t>
      </w:r>
      <w:r>
        <w:rPr>
          <w:rFonts w:hint="eastAsia"/>
          <w:kern w:val="2"/>
          <w:sz w:val="32"/>
          <w:szCs w:val="32"/>
          <w:lang w:val="en-US" w:eastAsia="zh-CN"/>
        </w:rPr>
        <w:t>22</w:t>
      </w:r>
      <w:r>
        <w:rPr>
          <w:rFonts w:hint="eastAsia"/>
          <w:kern w:val="2"/>
          <w:sz w:val="32"/>
          <w:szCs w:val="32"/>
        </w:rPr>
        <w:t>〕</w:t>
      </w:r>
      <w:r>
        <w:rPr>
          <w:rFonts w:hint="eastAsia"/>
          <w:kern w:val="2"/>
          <w:sz w:val="32"/>
          <w:szCs w:val="32"/>
          <w:lang w:val="en-US" w:eastAsia="zh-CN"/>
        </w:rPr>
        <w:t>30</w:t>
      </w:r>
      <w:r>
        <w:rPr>
          <w:rFonts w:hint="eastAsia"/>
          <w:kern w:val="2"/>
          <w:sz w:val="32"/>
          <w:szCs w:val="32"/>
        </w:rPr>
        <w:t>号），州</w:t>
      </w:r>
      <w:r>
        <w:rPr>
          <w:rFonts w:hint="eastAsia"/>
          <w:kern w:val="2"/>
          <w:sz w:val="32"/>
          <w:szCs w:val="32"/>
          <w:lang w:eastAsia="zh-CN"/>
        </w:rPr>
        <w:t>财政局</w:t>
      </w:r>
      <w:r>
        <w:rPr>
          <w:rFonts w:hint="eastAsia"/>
          <w:kern w:val="2"/>
          <w:sz w:val="32"/>
          <w:szCs w:val="32"/>
        </w:rPr>
        <w:t>《关于下达</w:t>
      </w:r>
      <w:r>
        <w:rPr>
          <w:rFonts w:hint="eastAsia"/>
          <w:kern w:val="2"/>
          <w:sz w:val="32"/>
          <w:szCs w:val="32"/>
          <w:lang w:val="en-US" w:eastAsia="en-US"/>
        </w:rPr>
        <w:t>202</w:t>
      </w:r>
      <w:r>
        <w:rPr>
          <w:rFonts w:hint="eastAsia"/>
          <w:kern w:val="2"/>
          <w:sz w:val="32"/>
          <w:szCs w:val="32"/>
          <w:lang w:val="en-US" w:eastAsia="zh-CN"/>
        </w:rPr>
        <w:t>2</w:t>
      </w:r>
      <w:r>
        <w:rPr>
          <w:rFonts w:hint="eastAsia"/>
          <w:kern w:val="2"/>
          <w:sz w:val="32"/>
          <w:szCs w:val="32"/>
          <w:lang w:val="en-US" w:eastAsia="en-US"/>
        </w:rPr>
        <w:t>年</w:t>
      </w:r>
      <w:r>
        <w:rPr>
          <w:rFonts w:hint="eastAsia"/>
          <w:kern w:val="2"/>
          <w:sz w:val="32"/>
          <w:szCs w:val="32"/>
          <w:lang w:eastAsia="zh-CN"/>
        </w:rPr>
        <w:t>全民健身设施补短板工程中央基建投资</w:t>
      </w:r>
      <w:r>
        <w:rPr>
          <w:rFonts w:hint="eastAsia"/>
          <w:kern w:val="2"/>
          <w:sz w:val="32"/>
          <w:szCs w:val="32"/>
          <w:lang w:val="en-US" w:eastAsia="en-US"/>
        </w:rPr>
        <w:t>预算的通知</w:t>
      </w:r>
      <w:r>
        <w:rPr>
          <w:rFonts w:hint="eastAsia"/>
          <w:kern w:val="2"/>
          <w:sz w:val="32"/>
          <w:szCs w:val="32"/>
        </w:rPr>
        <w:t>》阿州财</w:t>
      </w:r>
      <w:r>
        <w:rPr>
          <w:rFonts w:hint="eastAsia"/>
          <w:kern w:val="2"/>
          <w:sz w:val="32"/>
          <w:szCs w:val="32"/>
          <w:lang w:eastAsia="zh-CN"/>
        </w:rPr>
        <w:t>建</w:t>
      </w:r>
      <w:r>
        <w:rPr>
          <w:rFonts w:hint="eastAsia"/>
          <w:kern w:val="2"/>
          <w:sz w:val="32"/>
          <w:szCs w:val="32"/>
        </w:rPr>
        <w:t>（</w:t>
      </w:r>
      <w:r>
        <w:rPr>
          <w:rFonts w:hint="eastAsia"/>
          <w:kern w:val="2"/>
          <w:sz w:val="32"/>
          <w:szCs w:val="32"/>
          <w:lang w:val="en-US" w:eastAsia="en-US"/>
        </w:rPr>
        <w:t>202</w:t>
      </w:r>
      <w:r>
        <w:rPr>
          <w:rFonts w:hint="eastAsia"/>
          <w:kern w:val="2"/>
          <w:sz w:val="32"/>
          <w:szCs w:val="32"/>
          <w:lang w:val="en-US" w:eastAsia="zh-CN"/>
        </w:rPr>
        <w:t>2</w:t>
      </w:r>
      <w:r>
        <w:rPr>
          <w:rFonts w:hint="eastAsia"/>
          <w:kern w:val="2"/>
          <w:sz w:val="32"/>
          <w:szCs w:val="32"/>
        </w:rPr>
        <w:t>）</w:t>
      </w:r>
      <w:r>
        <w:rPr>
          <w:rFonts w:hint="eastAsia"/>
          <w:kern w:val="2"/>
          <w:sz w:val="32"/>
          <w:szCs w:val="32"/>
          <w:lang w:val="en-US" w:eastAsia="zh-CN"/>
        </w:rPr>
        <w:t>17</w:t>
      </w:r>
      <w:r>
        <w:rPr>
          <w:rFonts w:hint="eastAsia"/>
          <w:kern w:val="2"/>
          <w:sz w:val="32"/>
          <w:szCs w:val="32"/>
          <w:lang w:val="en-US" w:eastAsia="en-US"/>
        </w:rPr>
        <w:t>号</w:t>
      </w:r>
      <w:r>
        <w:rPr>
          <w:rFonts w:hint="eastAsia"/>
          <w:kern w:val="2"/>
          <w:sz w:val="32"/>
          <w:szCs w:val="32"/>
          <w:lang w:val="en-US" w:eastAsia="zh-CN"/>
        </w:rPr>
        <w:t>，</w:t>
      </w:r>
      <w:r>
        <w:rPr>
          <w:rFonts w:hint="eastAsia"/>
          <w:kern w:val="2"/>
          <w:sz w:val="32"/>
          <w:szCs w:val="32"/>
          <w:lang w:val="en-US" w:eastAsia="en-US"/>
        </w:rPr>
        <w:t>202</w:t>
      </w:r>
      <w:r>
        <w:rPr>
          <w:rFonts w:hint="eastAsia"/>
          <w:kern w:val="2"/>
          <w:sz w:val="32"/>
          <w:szCs w:val="32"/>
          <w:lang w:val="en-US" w:eastAsia="zh-CN"/>
        </w:rPr>
        <w:t>2</w:t>
      </w:r>
      <w:r>
        <w:rPr>
          <w:rFonts w:hint="eastAsia"/>
          <w:kern w:val="2"/>
          <w:sz w:val="32"/>
          <w:szCs w:val="32"/>
          <w:lang w:val="en-US" w:eastAsia="en-US"/>
        </w:rPr>
        <w:t>年</w:t>
      </w:r>
      <w:r>
        <w:rPr>
          <w:rFonts w:hint="eastAsia"/>
          <w:kern w:val="2"/>
          <w:sz w:val="32"/>
          <w:szCs w:val="32"/>
          <w:lang w:eastAsia="zh-CN"/>
        </w:rPr>
        <w:t>阿坝州羌城体育公园建设</w:t>
      </w:r>
      <w:r>
        <w:rPr>
          <w:rFonts w:hint="eastAsia"/>
          <w:kern w:val="2"/>
          <w:sz w:val="32"/>
          <w:szCs w:val="32"/>
        </w:rPr>
        <w:t>项目</w:t>
      </w:r>
      <w:r>
        <w:rPr>
          <w:rFonts w:hint="eastAsia"/>
          <w:kern w:val="2"/>
          <w:sz w:val="32"/>
          <w:szCs w:val="32"/>
          <w:lang w:val="en-US" w:eastAsia="en-US"/>
        </w:rPr>
        <w:t>资金</w:t>
      </w:r>
      <w:r>
        <w:rPr>
          <w:rFonts w:hint="eastAsia"/>
          <w:kern w:val="2"/>
          <w:sz w:val="32"/>
          <w:szCs w:val="32"/>
          <w:lang w:val="en-US" w:eastAsia="zh-CN"/>
        </w:rPr>
        <w:t>中央基建2000</w:t>
      </w:r>
      <w:r>
        <w:rPr>
          <w:rFonts w:hint="eastAsia"/>
          <w:kern w:val="2"/>
          <w:sz w:val="32"/>
          <w:szCs w:val="32"/>
          <w:lang w:val="en-US" w:eastAsia="en-US"/>
        </w:rPr>
        <w:t>万元拨付到位，专项用于</w:t>
      </w:r>
      <w:r>
        <w:rPr>
          <w:rFonts w:hint="eastAsia"/>
          <w:kern w:val="2"/>
          <w:sz w:val="32"/>
          <w:szCs w:val="32"/>
          <w:lang w:eastAsia="zh-CN"/>
        </w:rPr>
        <w:t>阿坝州羌城体育公园建设</w:t>
      </w:r>
      <w:r>
        <w:rPr>
          <w:rFonts w:hint="eastAsia"/>
          <w:kern w:val="2"/>
          <w:sz w:val="32"/>
          <w:szCs w:val="32"/>
          <w:lang w:val="en-US" w:eastAsia="en-US"/>
        </w:rPr>
        <w:t>。</w:t>
      </w:r>
    </w:p>
    <w:p>
      <w:pPr>
        <w:widowControl/>
        <w:adjustRightInd w:val="0"/>
        <w:snapToGrid w:val="0"/>
        <w:spacing w:line="578" w:lineRule="exact"/>
        <w:ind w:firstLine="640" w:firstLineChars="200"/>
        <w:contextualSpacing/>
        <w:jc w:val="left"/>
        <w:rPr>
          <w:rFonts w:hint="eastAsia"/>
          <w:kern w:val="2"/>
          <w:sz w:val="32"/>
          <w:szCs w:val="32"/>
          <w:lang w:val="en-US" w:eastAsia="en-US"/>
        </w:rPr>
      </w:pPr>
      <w:r>
        <w:rPr>
          <w:rFonts w:hint="eastAsia" w:ascii="仿宋_GB2312" w:eastAsia="仿宋_GB2312" w:cs="Times New Roman"/>
          <w:kern w:val="2"/>
          <w:sz w:val="32"/>
          <w:szCs w:val="32"/>
          <w:lang w:val="zh-CN" w:eastAsia="zh-CN" w:bidi="ar-SA"/>
        </w:rPr>
        <w:t>阿坝州羌城体育公园建设项目2022年4月29日下达《关于阿坝州羌城体育公园建设项目可行性研究的报告的批复》（茂发改行审[2022]13号）立项批复。</w:t>
      </w:r>
    </w:p>
    <w:p>
      <w:pPr>
        <w:pStyle w:val="2"/>
        <w:spacing w:before="93" w:line="560" w:lineRule="exact"/>
        <w:ind w:firstLine="640" w:firstLineChars="200"/>
        <w:rPr>
          <w:rFonts w:hint="eastAsia"/>
          <w:kern w:val="2"/>
          <w:sz w:val="32"/>
          <w:szCs w:val="32"/>
          <w:lang w:val="en-US" w:eastAsia="en-US"/>
        </w:rPr>
      </w:pPr>
      <w:r>
        <w:rPr>
          <w:rFonts w:hint="eastAsia"/>
          <w:kern w:val="2"/>
          <w:sz w:val="32"/>
          <w:szCs w:val="32"/>
          <w:lang w:eastAsia="zh-CN"/>
        </w:rPr>
        <w:t>阿坝州羌城体育公园建设项目</w:t>
      </w:r>
      <w:r>
        <w:rPr>
          <w:rFonts w:hint="eastAsia"/>
          <w:kern w:val="2"/>
          <w:sz w:val="32"/>
          <w:szCs w:val="32"/>
          <w:lang w:val="en-US" w:eastAsia="en-US"/>
        </w:rPr>
        <w:t>旨在</w:t>
      </w:r>
      <w:r>
        <w:rPr>
          <w:rFonts w:hint="eastAsia" w:cs="Times New Roman"/>
          <w:kern w:val="2"/>
          <w:sz w:val="32"/>
          <w:szCs w:val="32"/>
          <w:lang w:val="en-US" w:eastAsia="zh-CN" w:bidi="ar-SA"/>
        </w:rPr>
        <w:t>完善体育基础设施建设，满足人民群众健身锻炼需求，增强人民群众身体素质，提高茂县体育事业的发展水平，推动文旅产业发展，促进社会经济发展。</w:t>
      </w:r>
    </w:p>
    <w:p>
      <w:pPr>
        <w:pageBreakBefore w:val="0"/>
        <w:widowControl/>
        <w:kinsoku/>
        <w:wordWrap/>
        <w:overflowPunct/>
        <w:topLinePunct w:val="0"/>
        <w:bidi w:val="0"/>
        <w:adjustRightInd w:val="0"/>
        <w:snapToGrid w:val="0"/>
        <w:spacing w:line="576" w:lineRule="exact"/>
        <w:ind w:firstLine="640" w:firstLineChars="200"/>
        <w:contextualSpacing/>
        <w:jc w:val="left"/>
        <w:textAlignment w:val="auto"/>
        <w:rPr>
          <w:rFonts w:hint="eastAsia" w:ascii="仿宋_GB2312" w:eastAsia="仿宋_GB2312" w:cs="宋体"/>
          <w:color w:val="000000"/>
          <w:kern w:val="0"/>
          <w:sz w:val="32"/>
          <w:szCs w:val="32"/>
          <w:shd w:val="clear" w:color="auto" w:fill="FFFFFF"/>
          <w:lang w:val="zh-CN" w:eastAsia="zh-CN" w:bidi="ar-SA"/>
        </w:rPr>
      </w:pPr>
      <w:r>
        <w:rPr>
          <w:rFonts w:hint="eastAsia" w:ascii="仿宋_GB2312" w:eastAsia="仿宋_GB2312" w:cs="宋体"/>
          <w:color w:val="000000"/>
          <w:kern w:val="0"/>
          <w:sz w:val="32"/>
          <w:szCs w:val="32"/>
          <w:shd w:val="clear" w:color="auto" w:fill="FFFFFF"/>
          <w:lang w:val="zh-CN" w:eastAsia="zh-CN" w:bidi="ar-SA"/>
        </w:rPr>
        <w:t>（二）项目绩效目标</w:t>
      </w:r>
    </w:p>
    <w:p>
      <w:pPr>
        <w:pStyle w:val="2"/>
        <w:spacing w:before="93" w:line="560" w:lineRule="exact"/>
        <w:ind w:firstLine="640" w:firstLineChars="200"/>
        <w:rPr>
          <w:rFonts w:hint="eastAsia" w:cs="Times New Roman"/>
          <w:kern w:val="2"/>
          <w:sz w:val="32"/>
          <w:szCs w:val="32"/>
          <w:lang w:val="en-US" w:eastAsia="zh-CN" w:bidi="ar-SA"/>
        </w:rPr>
      </w:pPr>
      <w:r>
        <w:rPr>
          <w:rFonts w:hint="eastAsia"/>
          <w:kern w:val="2"/>
          <w:sz w:val="32"/>
          <w:szCs w:val="32"/>
        </w:rPr>
        <w:t>1．</w:t>
      </w:r>
      <w:r>
        <w:rPr>
          <w:rFonts w:hint="eastAsia" w:cs="Times New Roman"/>
          <w:kern w:val="2"/>
          <w:sz w:val="32"/>
          <w:szCs w:val="32"/>
          <w:lang w:val="en-US" w:eastAsia="zh-CN" w:bidi="ar-SA"/>
        </w:rPr>
        <w:t>项目主要内容:</w:t>
      </w:r>
      <w:r>
        <w:rPr>
          <w:rFonts w:hint="eastAsia" w:ascii="仿宋_GB2312" w:eastAsia="仿宋_GB2312" w:cs="Times New Roman"/>
          <w:kern w:val="2"/>
          <w:sz w:val="32"/>
          <w:szCs w:val="32"/>
          <w:lang w:val="zh-CN" w:eastAsia="zh-CN" w:bidi="ar-SA"/>
        </w:rPr>
        <w:t>新建滑板运动场1个；新建儿童活动设施；改建乒乓球场；改建羽毛球场1个；改建多功能运动场地（5个篮球场）；改建公共厕所1座；改建室外足球场含跑道；新建滨河两岸环形彩色步游道及配套标识标牌、环境绿化等。</w:t>
      </w:r>
    </w:p>
    <w:p>
      <w:pPr>
        <w:adjustRightInd w:val="0"/>
        <w:snapToGrid w:val="0"/>
        <w:spacing w:line="560" w:lineRule="exact"/>
        <w:ind w:firstLine="720"/>
        <w:rPr>
          <w:rFonts w:hint="eastAsia" w:ascii="仿宋_GB2312" w:eastAsia="仿宋_GB2312" w:cs="Times New Roman"/>
          <w:kern w:val="2"/>
          <w:sz w:val="32"/>
          <w:szCs w:val="32"/>
          <w:lang w:val="en-US" w:eastAsia="zh-CN" w:bidi="ar-SA"/>
        </w:rPr>
      </w:pPr>
      <w:r>
        <w:rPr>
          <w:rFonts w:hint="eastAsia" w:ascii="仿宋_GB2312" w:eastAsia="仿宋_GB2312"/>
          <w:sz w:val="32"/>
          <w:szCs w:val="32"/>
          <w:lang w:val="zh-CN" w:eastAsia="zh-CN"/>
        </w:rPr>
        <w:t>2．项目应实现的具体绩效目标：</w:t>
      </w:r>
      <w:r>
        <w:rPr>
          <w:rFonts w:hint="eastAsia" w:ascii="仿宋_GB2312" w:eastAsia="仿宋_GB2312" w:cs="Times New Roman"/>
          <w:kern w:val="2"/>
          <w:sz w:val="32"/>
          <w:szCs w:val="32"/>
          <w:lang w:val="en-US" w:eastAsia="zh-CN" w:bidi="ar-SA"/>
        </w:rPr>
        <w:t>完善体育基础设施建设，满足人民群众健身锻炼和</w:t>
      </w:r>
      <w:r>
        <w:rPr>
          <w:rFonts w:hint="eastAsia" w:ascii="仿宋_GB2312" w:eastAsia="仿宋_GB2312" w:cs="Times New Roman"/>
          <w:kern w:val="2"/>
          <w:sz w:val="32"/>
          <w:szCs w:val="32"/>
          <w:lang w:val="zh-CN" w:eastAsia="zh-CN" w:bidi="ar-SA"/>
        </w:rPr>
        <w:t>周边居民和游客对休闲活动场地的需求，</w:t>
      </w:r>
      <w:r>
        <w:rPr>
          <w:rFonts w:hint="eastAsia" w:ascii="仿宋_GB2312" w:eastAsia="仿宋_GB2312" w:cs="Times New Roman"/>
          <w:kern w:val="2"/>
          <w:sz w:val="32"/>
          <w:szCs w:val="32"/>
          <w:lang w:val="en-US" w:eastAsia="zh-CN" w:bidi="ar-SA"/>
        </w:rPr>
        <w:t>增强人民群众身体素质，提高茂县体育事业的发展水平，推动文旅产业发展，促进社会经济发展。</w:t>
      </w:r>
      <w:r>
        <w:rPr>
          <w:rFonts w:hint="eastAsia" w:ascii="仿宋_GB2312" w:eastAsia="仿宋_GB2312" w:cs="Times New Roman"/>
          <w:kern w:val="2"/>
          <w:sz w:val="32"/>
          <w:szCs w:val="32"/>
          <w:lang w:val="zh-CN" w:eastAsia="zh-CN" w:bidi="ar-SA"/>
        </w:rPr>
        <w:t>通过开展项目绩效评价工作，全面了解项目年度财政资金预算的执行、管理、使用情况，以及财政资金绩效的产出与效果，探索并科学合理地完善项目绩效评价指标体系。通过开展项目绩效评价工作，促使项目资金使用单位树立绩效管理意识及风险控制意识，总结经验，认识不足；为项目绩效管理提供问题导向，整改纠偏，进一步完善项目管理，保证财政资金管理的规范性、使用的安全性和有效性，提高财政专项资金的使用效益和管理水平。</w:t>
      </w:r>
    </w:p>
    <w:p>
      <w:pPr>
        <w:adjustRightInd w:val="0"/>
        <w:snapToGrid w:val="0"/>
        <w:spacing w:line="560" w:lineRule="exact"/>
        <w:ind w:firstLine="720"/>
        <w:rPr>
          <w:rFonts w:hint="eastAsia" w:ascii="仿宋_GB2312" w:eastAsia="仿宋_GB2312"/>
          <w:sz w:val="32"/>
          <w:szCs w:val="32"/>
        </w:rPr>
      </w:pPr>
      <w:r>
        <w:rPr>
          <w:rFonts w:hint="eastAsia" w:ascii="仿宋_GB2312" w:eastAsia="仿宋_GB2312"/>
          <w:sz w:val="32"/>
          <w:szCs w:val="32"/>
        </w:rPr>
        <w:t>3.该项目的申报内容符合实际，并且申报目标合理可行。</w:t>
      </w:r>
    </w:p>
    <w:p>
      <w:pPr>
        <w:adjustRightInd w:val="0"/>
        <w:snapToGrid w:val="0"/>
        <w:spacing w:line="560" w:lineRule="exact"/>
        <w:ind w:firstLine="720"/>
      </w:pPr>
      <w:r>
        <w:rPr>
          <w:rFonts w:hint="eastAsia" w:ascii="仿宋_GB2312" w:eastAsia="仿宋_GB2312" w:cs="Times New Roman"/>
          <w:sz w:val="32"/>
          <w:szCs w:val="32"/>
          <w:lang w:val="zh-CN" w:eastAsia="zh-CN" w:bidi="ar-SA"/>
        </w:rPr>
        <w:t>一是严格遵守和执行国家现行方针政策和技术标准、规范，力求技术先进、安全适用。二是服从城市规划要求，坚持以人为本的原则。充分利用建筑用地，因地制宜，力争最大利用率。三是适应公园的整体风格、生态保护和体育设施相结合，创造出良好的生态环境。四是立足于国情、县情、注意节能和运行的经济性。</w:t>
      </w:r>
    </w:p>
    <w:p>
      <w:pPr>
        <w:pageBreakBefore w:val="0"/>
        <w:widowControl/>
        <w:kinsoku/>
        <w:wordWrap/>
        <w:overflowPunct/>
        <w:topLinePunct w:val="0"/>
        <w:bidi w:val="0"/>
        <w:adjustRightInd w:val="0"/>
        <w:snapToGrid w:val="0"/>
        <w:spacing w:line="576" w:lineRule="exact"/>
        <w:ind w:firstLine="640" w:firstLineChars="200"/>
        <w:contextualSpacing/>
        <w:jc w:val="left"/>
        <w:textAlignment w:val="auto"/>
        <w:rPr>
          <w:rFonts w:hint="eastAsia" w:ascii="仿宋_GB2312" w:eastAsia="仿宋_GB2312" w:cs="宋体"/>
          <w:color w:val="000000"/>
          <w:kern w:val="0"/>
          <w:sz w:val="32"/>
          <w:szCs w:val="32"/>
          <w:shd w:val="clear" w:color="auto" w:fill="FFFFFF"/>
          <w:lang w:val="zh-CN" w:eastAsia="zh-CN" w:bidi="ar-SA"/>
        </w:rPr>
      </w:pPr>
      <w:r>
        <w:rPr>
          <w:rFonts w:hint="eastAsia" w:ascii="仿宋_GB2312" w:eastAsia="仿宋_GB2312" w:cs="宋体"/>
          <w:color w:val="000000"/>
          <w:kern w:val="0"/>
          <w:sz w:val="32"/>
          <w:szCs w:val="32"/>
          <w:shd w:val="clear" w:color="auto" w:fill="FFFFFF"/>
          <w:lang w:val="zh-CN" w:eastAsia="zh-CN" w:bidi="ar-SA"/>
        </w:rPr>
        <w:t>（三）项目自评步骤及方法</w:t>
      </w:r>
    </w:p>
    <w:p>
      <w:pPr>
        <w:adjustRightInd w:val="0"/>
        <w:snapToGrid w:val="0"/>
        <w:spacing w:line="560" w:lineRule="exact"/>
        <w:ind w:firstLine="720"/>
        <w:rPr>
          <w:rFonts w:hint="eastAsia" w:ascii="仿宋_GB2312" w:eastAsia="仿宋_GB2312"/>
          <w:sz w:val="32"/>
          <w:szCs w:val="32"/>
          <w:lang w:val="zh-CN" w:eastAsia="zh-CN"/>
        </w:rPr>
      </w:pPr>
      <w:r>
        <w:rPr>
          <w:rFonts w:hint="eastAsia" w:ascii="仿宋_GB2312" w:eastAsia="仿宋_GB2312"/>
          <w:sz w:val="32"/>
          <w:szCs w:val="32"/>
          <w:lang w:val="zh-CN" w:eastAsia="zh-CN"/>
        </w:rPr>
        <w:t>根据《茂县财政局关于开展202</w:t>
      </w:r>
      <w:r>
        <w:rPr>
          <w:rFonts w:hint="eastAsia" w:ascii="仿宋_GB2312" w:eastAsia="仿宋_GB2312"/>
          <w:sz w:val="32"/>
          <w:szCs w:val="32"/>
          <w:lang w:val="en-US" w:eastAsia="zh-CN"/>
        </w:rPr>
        <w:t>3</w:t>
      </w:r>
      <w:r>
        <w:rPr>
          <w:rFonts w:hint="eastAsia" w:ascii="仿宋_GB2312" w:eastAsia="仿宋_GB2312"/>
          <w:sz w:val="32"/>
          <w:szCs w:val="32"/>
          <w:lang w:val="zh-CN" w:eastAsia="zh-CN"/>
        </w:rPr>
        <w:t>年财政支出绩效评价工作的通知》文件要求：</w:t>
      </w:r>
    </w:p>
    <w:p>
      <w:pPr>
        <w:adjustRightInd w:val="0"/>
        <w:snapToGrid w:val="0"/>
        <w:spacing w:line="560" w:lineRule="exact"/>
        <w:ind w:firstLine="720"/>
        <w:rPr>
          <w:rFonts w:hint="eastAsia" w:ascii="仿宋_GB2312" w:eastAsia="仿宋_GB2312"/>
          <w:sz w:val="32"/>
          <w:szCs w:val="32"/>
          <w:lang w:val="zh-CN" w:eastAsia="zh-CN"/>
        </w:rPr>
      </w:pPr>
      <w:r>
        <w:rPr>
          <w:rFonts w:hint="eastAsia" w:ascii="仿宋_GB2312" w:eastAsia="仿宋_GB2312"/>
          <w:sz w:val="32"/>
          <w:szCs w:val="32"/>
          <w:lang w:val="zh-CN" w:eastAsia="zh-CN"/>
        </w:rPr>
        <w:t>第一，项目自评是否</w:t>
      </w:r>
      <w:r>
        <w:rPr>
          <w:rFonts w:hint="eastAsia" w:ascii="仿宋_GB2312" w:eastAsia="仿宋_GB2312" w:cs="Times New Roman"/>
          <w:sz w:val="32"/>
          <w:szCs w:val="32"/>
          <w:lang w:val="zh-CN" w:eastAsia="zh-CN" w:bidi="ar-SA"/>
        </w:rPr>
        <w:t>编制建设管理计划、工程进度计划及资金计划、审查施工图纸是否满足设计文件和规范要求。采用国内公开招标确定工程施工方，签订施工合同。审批施工方提交的施工组织设计、施工进度计划、施工方案、施工质量保证体系等技术文件，并检查落实。检查施工方在工程施工合同过程中的技术规范，作好投资、进度、质量和合同管理工作。检查工程所采用由投资方招标确定的供货商提供的主要设备和关键材料是否符合设计图纸和合同所规定的质量标准，并作好其它材料的招标采购工作。作好资金管理，按月作好月底结算工程，报账提款工作，节约投资。根据工程进度情况，审核施工方进度及付款申请，签发工程付款凭证、支付工程款。组织竣工验收。组织工程审计。审查接收施工方及监理公司规整的技术业务资料，建立技术经济档案。</w:t>
      </w:r>
    </w:p>
    <w:p>
      <w:pPr>
        <w:adjustRightInd w:val="0"/>
        <w:snapToGrid w:val="0"/>
        <w:spacing w:line="560" w:lineRule="exact"/>
        <w:ind w:firstLine="720"/>
        <w:rPr>
          <w:rFonts w:hint="eastAsia" w:ascii="仿宋_GB2312" w:eastAsia="仿宋_GB2312"/>
          <w:sz w:val="32"/>
          <w:szCs w:val="32"/>
          <w:lang w:val="zh-CN" w:eastAsia="zh-CN"/>
        </w:rPr>
      </w:pPr>
      <w:r>
        <w:rPr>
          <w:rFonts w:hint="eastAsia" w:ascii="仿宋_GB2312" w:eastAsia="仿宋_GB2312"/>
          <w:sz w:val="32"/>
          <w:szCs w:val="32"/>
          <w:lang w:val="zh-CN" w:eastAsia="zh-CN"/>
        </w:rPr>
        <w:t>第二，整理归档考评工作记录，梳理、分析和汇总评价结果，撰写绩效评价报告。</w:t>
      </w:r>
    </w:p>
    <w:p>
      <w:pPr>
        <w:adjustRightInd w:val="0"/>
        <w:snapToGrid w:val="0"/>
        <w:spacing w:line="560" w:lineRule="exact"/>
        <w:ind w:firstLine="720"/>
        <w:rPr>
          <w:rFonts w:hint="eastAsia" w:ascii="仿宋_GB2312" w:eastAsia="仿宋_GB2312" w:cs="宋体"/>
          <w:color w:val="000000"/>
          <w:kern w:val="0"/>
          <w:sz w:val="32"/>
          <w:szCs w:val="32"/>
          <w:shd w:val="clear" w:color="auto" w:fill="FFFFFF"/>
          <w:lang w:val="zh-CN" w:eastAsia="zh-CN" w:bidi="ar-SA"/>
        </w:rPr>
      </w:pPr>
      <w:r>
        <w:rPr>
          <w:rFonts w:hint="eastAsia" w:ascii="仿宋_GB2312" w:eastAsia="仿宋_GB2312"/>
          <w:sz w:val="32"/>
          <w:szCs w:val="32"/>
          <w:lang w:val="zh-CN" w:eastAsia="zh-CN"/>
        </w:rPr>
        <w:t>第三，向县财政局提交《茂县文化体育和旅游局关于阿坝州羌城体育公园建设项目支出绩效自评报告》。</w:t>
      </w:r>
    </w:p>
    <w:p>
      <w:pPr>
        <w:pStyle w:val="2"/>
        <w:bidi w:val="0"/>
        <w:rPr>
          <w:rFonts w:hint="eastAsia"/>
          <w:b/>
          <w:bCs/>
          <w:sz w:val="32"/>
          <w:szCs w:val="32"/>
        </w:rPr>
      </w:pPr>
      <w:r>
        <w:rPr>
          <w:rFonts w:hint="eastAsia"/>
          <w:b/>
          <w:bCs/>
          <w:sz w:val="32"/>
          <w:szCs w:val="32"/>
        </w:rPr>
        <w:t>二、项目资金申报及使用情况</w:t>
      </w:r>
    </w:p>
    <w:p>
      <w:pPr>
        <w:pageBreakBefore w:val="0"/>
        <w:widowControl/>
        <w:kinsoku/>
        <w:wordWrap/>
        <w:overflowPunct/>
        <w:topLinePunct w:val="0"/>
        <w:bidi w:val="0"/>
        <w:adjustRightInd w:val="0"/>
        <w:snapToGrid w:val="0"/>
        <w:spacing w:line="576" w:lineRule="exact"/>
        <w:ind w:firstLine="642" w:firstLineChars="200"/>
        <w:contextualSpacing/>
        <w:jc w:val="left"/>
        <w:textAlignment w:val="auto"/>
        <w:rPr>
          <w:rStyle w:val="22"/>
          <w:rFonts w:hint="eastAsia" w:ascii="仿宋_GB2312" w:eastAsia="仿宋_GB2312" w:cs="仿宋_GB2312"/>
          <w:sz w:val="32"/>
          <w:szCs w:val="32"/>
          <w:lang w:bidi="ar-SA"/>
        </w:rPr>
      </w:pPr>
      <w:r>
        <w:rPr>
          <w:rStyle w:val="22"/>
          <w:rFonts w:hint="eastAsia" w:ascii="仿宋_GB2312" w:eastAsia="仿宋_GB2312" w:cs="仿宋_GB2312"/>
          <w:sz w:val="32"/>
          <w:szCs w:val="32"/>
          <w:lang w:bidi="ar-SA"/>
        </w:rPr>
        <w:t>（一）项目资金申报及批复情况</w:t>
      </w:r>
    </w:p>
    <w:p>
      <w:pPr>
        <w:pStyle w:val="2"/>
        <w:spacing w:before="93" w:line="560" w:lineRule="exact"/>
        <w:ind w:firstLine="640" w:firstLineChars="200"/>
        <w:rPr>
          <w:rFonts w:hint="eastAsia" w:ascii="仿宋_GB2312" w:eastAsia="仿宋_GB2312" w:cs="Times New Roman"/>
          <w:sz w:val="32"/>
          <w:szCs w:val="32"/>
          <w:lang w:val="en-US" w:eastAsia="zh-CN" w:bidi="ar-SA"/>
        </w:rPr>
      </w:pPr>
      <w:r>
        <w:rPr>
          <w:rFonts w:hint="eastAsia" w:ascii="仿宋_GB2312" w:eastAsia="仿宋_GB2312"/>
          <w:sz w:val="32"/>
          <w:szCs w:val="32"/>
          <w:lang w:val="zh-CN" w:eastAsia="zh-CN"/>
        </w:rPr>
        <w:t>该项目资金申报、批复及预算调整等程序均按相关文件精神实施，符合财务要求。</w:t>
      </w:r>
      <w:r>
        <w:rPr>
          <w:rFonts w:hint="eastAsia" w:ascii="仿宋_GB2312" w:eastAsia="仿宋_GB2312" w:cs="Times New Roman"/>
          <w:sz w:val="32"/>
          <w:szCs w:val="32"/>
          <w:lang w:val="zh-CN" w:eastAsia="zh-CN" w:bidi="ar-SA"/>
        </w:rPr>
        <w:t>批复文件是</w:t>
      </w:r>
      <w:r>
        <w:rPr>
          <w:rFonts w:hint="eastAsia"/>
          <w:kern w:val="2"/>
          <w:sz w:val="32"/>
          <w:szCs w:val="32"/>
        </w:rPr>
        <w:t>《四川省财政厅关于</w:t>
      </w:r>
      <w:r>
        <w:rPr>
          <w:rFonts w:hint="eastAsia"/>
          <w:kern w:val="2"/>
          <w:sz w:val="32"/>
          <w:szCs w:val="32"/>
          <w:lang w:eastAsia="zh-CN"/>
        </w:rPr>
        <w:t>转</w:t>
      </w:r>
      <w:r>
        <w:rPr>
          <w:rFonts w:hint="eastAsia"/>
          <w:kern w:val="2"/>
          <w:sz w:val="32"/>
          <w:szCs w:val="32"/>
        </w:rPr>
        <w:t>下达</w:t>
      </w:r>
      <w:r>
        <w:rPr>
          <w:rFonts w:hint="eastAsia"/>
          <w:kern w:val="2"/>
          <w:sz w:val="32"/>
          <w:szCs w:val="32"/>
          <w:lang w:val="en-US" w:eastAsia="en-US"/>
        </w:rPr>
        <w:t>202</w:t>
      </w:r>
      <w:r>
        <w:rPr>
          <w:rFonts w:hint="eastAsia"/>
          <w:kern w:val="2"/>
          <w:sz w:val="32"/>
          <w:szCs w:val="32"/>
          <w:lang w:val="en-US" w:eastAsia="zh-CN"/>
        </w:rPr>
        <w:t>2</w:t>
      </w:r>
      <w:r>
        <w:rPr>
          <w:rFonts w:hint="eastAsia"/>
          <w:kern w:val="2"/>
          <w:sz w:val="32"/>
          <w:szCs w:val="32"/>
        </w:rPr>
        <w:t>年</w:t>
      </w:r>
      <w:r>
        <w:rPr>
          <w:rFonts w:hint="eastAsia"/>
          <w:kern w:val="2"/>
          <w:sz w:val="32"/>
          <w:szCs w:val="32"/>
          <w:lang w:eastAsia="zh-CN"/>
        </w:rPr>
        <w:t>全民健身设施补短板工程中央基建投资</w:t>
      </w:r>
      <w:r>
        <w:rPr>
          <w:rFonts w:hint="eastAsia"/>
          <w:kern w:val="2"/>
          <w:sz w:val="32"/>
          <w:szCs w:val="32"/>
        </w:rPr>
        <w:t>预算的通知》（川财教〔20</w:t>
      </w:r>
      <w:r>
        <w:rPr>
          <w:rFonts w:hint="eastAsia"/>
          <w:kern w:val="2"/>
          <w:sz w:val="32"/>
          <w:szCs w:val="32"/>
          <w:lang w:val="en-US" w:eastAsia="zh-CN"/>
        </w:rPr>
        <w:t>22</w:t>
      </w:r>
      <w:r>
        <w:rPr>
          <w:rFonts w:hint="eastAsia"/>
          <w:kern w:val="2"/>
          <w:sz w:val="32"/>
          <w:szCs w:val="32"/>
        </w:rPr>
        <w:t>〕</w:t>
      </w:r>
      <w:r>
        <w:rPr>
          <w:rFonts w:hint="eastAsia"/>
          <w:kern w:val="2"/>
          <w:sz w:val="32"/>
          <w:szCs w:val="32"/>
          <w:lang w:val="en-US" w:eastAsia="zh-CN"/>
        </w:rPr>
        <w:t>30</w:t>
      </w:r>
      <w:r>
        <w:rPr>
          <w:rFonts w:hint="eastAsia"/>
          <w:kern w:val="2"/>
          <w:sz w:val="32"/>
          <w:szCs w:val="32"/>
        </w:rPr>
        <w:t>号），州</w:t>
      </w:r>
      <w:r>
        <w:rPr>
          <w:rFonts w:hint="eastAsia"/>
          <w:kern w:val="2"/>
          <w:sz w:val="32"/>
          <w:szCs w:val="32"/>
          <w:lang w:eastAsia="zh-CN"/>
        </w:rPr>
        <w:t>财政局</w:t>
      </w:r>
      <w:r>
        <w:rPr>
          <w:rFonts w:hint="eastAsia"/>
          <w:kern w:val="2"/>
          <w:sz w:val="32"/>
          <w:szCs w:val="32"/>
        </w:rPr>
        <w:t>《关于下达</w:t>
      </w:r>
      <w:r>
        <w:rPr>
          <w:rFonts w:hint="eastAsia"/>
          <w:kern w:val="2"/>
          <w:sz w:val="32"/>
          <w:szCs w:val="32"/>
          <w:lang w:val="en-US" w:eastAsia="en-US"/>
        </w:rPr>
        <w:t>202</w:t>
      </w:r>
      <w:r>
        <w:rPr>
          <w:rFonts w:hint="eastAsia"/>
          <w:kern w:val="2"/>
          <w:sz w:val="32"/>
          <w:szCs w:val="32"/>
          <w:lang w:val="en-US" w:eastAsia="zh-CN"/>
        </w:rPr>
        <w:t>2</w:t>
      </w:r>
      <w:r>
        <w:rPr>
          <w:rFonts w:hint="eastAsia"/>
          <w:kern w:val="2"/>
          <w:sz w:val="32"/>
          <w:szCs w:val="32"/>
          <w:lang w:val="en-US" w:eastAsia="en-US"/>
        </w:rPr>
        <w:t>年</w:t>
      </w:r>
      <w:r>
        <w:rPr>
          <w:rFonts w:hint="eastAsia"/>
          <w:kern w:val="2"/>
          <w:sz w:val="32"/>
          <w:szCs w:val="32"/>
          <w:lang w:eastAsia="zh-CN"/>
        </w:rPr>
        <w:t>全民健身设施补短板工程中央基建投资</w:t>
      </w:r>
      <w:r>
        <w:rPr>
          <w:rFonts w:hint="eastAsia"/>
          <w:kern w:val="2"/>
          <w:sz w:val="32"/>
          <w:szCs w:val="32"/>
          <w:lang w:val="en-US" w:eastAsia="en-US"/>
        </w:rPr>
        <w:t>预算的通知</w:t>
      </w:r>
      <w:r>
        <w:rPr>
          <w:rFonts w:hint="eastAsia"/>
          <w:kern w:val="2"/>
          <w:sz w:val="32"/>
          <w:szCs w:val="32"/>
        </w:rPr>
        <w:t>》阿州财</w:t>
      </w:r>
      <w:r>
        <w:rPr>
          <w:rFonts w:hint="eastAsia"/>
          <w:kern w:val="2"/>
          <w:sz w:val="32"/>
          <w:szCs w:val="32"/>
          <w:lang w:eastAsia="zh-CN"/>
        </w:rPr>
        <w:t>建</w:t>
      </w:r>
      <w:r>
        <w:rPr>
          <w:rFonts w:hint="eastAsia"/>
          <w:kern w:val="2"/>
          <w:sz w:val="32"/>
          <w:szCs w:val="32"/>
        </w:rPr>
        <w:t>（</w:t>
      </w:r>
      <w:r>
        <w:rPr>
          <w:rFonts w:hint="eastAsia"/>
          <w:kern w:val="2"/>
          <w:sz w:val="32"/>
          <w:szCs w:val="32"/>
          <w:lang w:val="en-US" w:eastAsia="en-US"/>
        </w:rPr>
        <w:t>202</w:t>
      </w:r>
      <w:r>
        <w:rPr>
          <w:rFonts w:hint="eastAsia"/>
          <w:kern w:val="2"/>
          <w:sz w:val="32"/>
          <w:szCs w:val="32"/>
          <w:lang w:val="en-US" w:eastAsia="zh-CN"/>
        </w:rPr>
        <w:t>2</w:t>
      </w:r>
      <w:r>
        <w:rPr>
          <w:rFonts w:hint="eastAsia"/>
          <w:kern w:val="2"/>
          <w:sz w:val="32"/>
          <w:szCs w:val="32"/>
        </w:rPr>
        <w:t>）</w:t>
      </w:r>
      <w:r>
        <w:rPr>
          <w:rFonts w:hint="eastAsia"/>
          <w:kern w:val="2"/>
          <w:sz w:val="32"/>
          <w:szCs w:val="32"/>
          <w:lang w:val="en-US" w:eastAsia="zh-CN"/>
        </w:rPr>
        <w:t>17</w:t>
      </w:r>
      <w:r>
        <w:rPr>
          <w:rFonts w:hint="eastAsia"/>
          <w:kern w:val="2"/>
          <w:sz w:val="32"/>
          <w:szCs w:val="32"/>
          <w:lang w:val="en-US" w:eastAsia="en-US"/>
        </w:rPr>
        <w:t>号</w:t>
      </w:r>
      <w:r>
        <w:rPr>
          <w:rFonts w:hint="eastAsia"/>
          <w:kern w:val="2"/>
          <w:sz w:val="32"/>
          <w:szCs w:val="32"/>
          <w:lang w:val="en-US" w:eastAsia="zh-CN"/>
        </w:rPr>
        <w:t>，</w:t>
      </w:r>
      <w:r>
        <w:rPr>
          <w:rFonts w:hint="eastAsia"/>
          <w:kern w:val="2"/>
          <w:sz w:val="32"/>
          <w:szCs w:val="32"/>
          <w:lang w:val="en-US" w:eastAsia="en-US"/>
        </w:rPr>
        <w:t>202</w:t>
      </w:r>
      <w:r>
        <w:rPr>
          <w:rFonts w:hint="eastAsia"/>
          <w:kern w:val="2"/>
          <w:sz w:val="32"/>
          <w:szCs w:val="32"/>
          <w:lang w:val="en-US" w:eastAsia="zh-CN"/>
        </w:rPr>
        <w:t>2</w:t>
      </w:r>
      <w:r>
        <w:rPr>
          <w:rFonts w:hint="eastAsia"/>
          <w:kern w:val="2"/>
          <w:sz w:val="32"/>
          <w:szCs w:val="32"/>
          <w:lang w:val="en-US" w:eastAsia="en-US"/>
        </w:rPr>
        <w:t>年</w:t>
      </w:r>
      <w:r>
        <w:rPr>
          <w:rFonts w:hint="eastAsia"/>
          <w:kern w:val="2"/>
          <w:sz w:val="32"/>
          <w:szCs w:val="32"/>
          <w:lang w:eastAsia="zh-CN"/>
        </w:rPr>
        <w:t>阿坝州羌城体育公园建设</w:t>
      </w:r>
      <w:r>
        <w:rPr>
          <w:rFonts w:hint="eastAsia"/>
          <w:kern w:val="2"/>
          <w:sz w:val="32"/>
          <w:szCs w:val="32"/>
        </w:rPr>
        <w:t>项目</w:t>
      </w:r>
      <w:r>
        <w:rPr>
          <w:rFonts w:hint="eastAsia"/>
          <w:kern w:val="2"/>
          <w:sz w:val="32"/>
          <w:szCs w:val="32"/>
          <w:lang w:val="en-US" w:eastAsia="en-US"/>
        </w:rPr>
        <w:t>资金</w:t>
      </w:r>
      <w:r>
        <w:rPr>
          <w:rFonts w:hint="eastAsia"/>
          <w:kern w:val="2"/>
          <w:sz w:val="32"/>
          <w:szCs w:val="32"/>
          <w:lang w:val="en-US" w:eastAsia="zh-CN"/>
        </w:rPr>
        <w:t>中央基建2000</w:t>
      </w:r>
      <w:r>
        <w:rPr>
          <w:rFonts w:hint="eastAsia"/>
          <w:kern w:val="2"/>
          <w:sz w:val="32"/>
          <w:szCs w:val="32"/>
          <w:lang w:val="en-US" w:eastAsia="en-US"/>
        </w:rPr>
        <w:t>万元，专项用于</w:t>
      </w:r>
      <w:r>
        <w:rPr>
          <w:rFonts w:hint="eastAsia"/>
          <w:kern w:val="2"/>
          <w:sz w:val="32"/>
          <w:szCs w:val="32"/>
          <w:lang w:eastAsia="zh-CN"/>
        </w:rPr>
        <w:t>阿坝州羌城体育公园建设</w:t>
      </w:r>
      <w:r>
        <w:rPr>
          <w:rFonts w:hint="eastAsia"/>
          <w:kern w:val="2"/>
          <w:sz w:val="32"/>
          <w:szCs w:val="32"/>
          <w:lang w:val="en-US" w:eastAsia="en-US"/>
        </w:rPr>
        <w:t>。</w:t>
      </w:r>
    </w:p>
    <w:p>
      <w:pPr>
        <w:adjustRightInd w:val="0"/>
        <w:snapToGrid w:val="0"/>
        <w:spacing w:line="560" w:lineRule="exact"/>
        <w:ind w:firstLine="720"/>
        <w:rPr>
          <w:rFonts w:hint="eastAsia" w:ascii="楷体_GB2312" w:eastAsia="楷体_GB2312"/>
          <w:sz w:val="32"/>
          <w:szCs w:val="32"/>
          <w:lang w:val="zh-CN" w:eastAsia="zh-CN"/>
        </w:rPr>
      </w:pPr>
      <w:r>
        <w:rPr>
          <w:rFonts w:hint="eastAsia" w:ascii="楷体_GB2312" w:eastAsia="楷体_GB2312"/>
          <w:sz w:val="32"/>
          <w:szCs w:val="32"/>
          <w:lang w:val="zh-CN" w:eastAsia="zh-CN"/>
        </w:rPr>
        <w:t>2</w:t>
      </w:r>
      <w:r>
        <w:rPr>
          <w:rFonts w:hint="eastAsia" w:ascii="楷体_GB2312" w:eastAsia="楷体_GB2312"/>
          <w:sz w:val="32"/>
          <w:szCs w:val="32"/>
          <w:lang w:val="en-US" w:eastAsia="zh-CN"/>
        </w:rPr>
        <w:t>.</w:t>
      </w:r>
      <w:r>
        <w:rPr>
          <w:rFonts w:hint="eastAsia" w:ascii="楷体_GB2312" w:eastAsia="楷体_GB2312"/>
          <w:sz w:val="32"/>
          <w:szCs w:val="32"/>
          <w:lang w:val="zh-CN" w:eastAsia="zh-CN"/>
        </w:rPr>
        <w:t>资金到位</w:t>
      </w:r>
    </w:p>
    <w:p>
      <w:pPr>
        <w:adjustRightInd w:val="0"/>
        <w:snapToGrid w:val="0"/>
        <w:spacing w:line="560" w:lineRule="exact"/>
        <w:ind w:firstLine="720"/>
        <w:rPr>
          <w:rFonts w:hint="eastAsia"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2</w:t>
      </w:r>
      <w:r>
        <w:rPr>
          <w:rFonts w:hint="eastAsia" w:ascii="仿宋_GB2312" w:eastAsia="仿宋_GB2312"/>
          <w:sz w:val="32"/>
          <w:szCs w:val="32"/>
        </w:rPr>
        <w:t>年度</w:t>
      </w:r>
      <w:r>
        <w:rPr>
          <w:rFonts w:hint="eastAsia" w:ascii="仿宋_GB2312" w:eastAsia="仿宋_GB2312"/>
          <w:sz w:val="32"/>
          <w:szCs w:val="32"/>
          <w:lang w:eastAsia="zh-CN"/>
        </w:rPr>
        <w:t>阿坝州羌城体育公园建设</w:t>
      </w:r>
      <w:r>
        <w:rPr>
          <w:rFonts w:hint="eastAsia" w:ascii="仿宋_GB2312" w:eastAsia="仿宋_GB2312"/>
          <w:sz w:val="32"/>
          <w:szCs w:val="32"/>
        </w:rPr>
        <w:t>项目中央补助资金</w:t>
      </w:r>
      <w:r>
        <w:rPr>
          <w:rFonts w:hint="eastAsia" w:ascii="仿宋_GB2312" w:eastAsia="仿宋_GB2312"/>
          <w:sz w:val="32"/>
          <w:szCs w:val="32"/>
          <w:lang w:val="en-US" w:eastAsia="zh-CN"/>
        </w:rPr>
        <w:t>2000</w:t>
      </w:r>
      <w:r>
        <w:rPr>
          <w:rFonts w:hint="eastAsia" w:ascii="仿宋_GB2312" w:eastAsia="仿宋_GB2312"/>
          <w:sz w:val="32"/>
          <w:szCs w:val="32"/>
        </w:rPr>
        <w:t>万元均已全额拨付至茂县文化体育和旅游局，资金到位率达100%。</w:t>
      </w:r>
    </w:p>
    <w:p>
      <w:pPr>
        <w:adjustRightInd w:val="0"/>
        <w:snapToGrid w:val="0"/>
        <w:spacing w:line="560" w:lineRule="exact"/>
        <w:ind w:left="0" w:firstLine="640" w:firstLineChars="200"/>
        <w:rPr>
          <w:rFonts w:hint="eastAsia" w:ascii="楷体_GB2312" w:eastAsia="楷体_GB2312" w:cs="Times New Roman"/>
          <w:sz w:val="32"/>
          <w:szCs w:val="32"/>
          <w:lang w:val="zh-CN" w:eastAsia="zh-CN" w:bidi="ar-SA"/>
        </w:rPr>
      </w:pPr>
      <w:r>
        <w:rPr>
          <w:rFonts w:hint="eastAsia" w:ascii="楷体_GB2312" w:eastAsia="楷体_GB2312" w:cs="Times New Roman"/>
          <w:sz w:val="32"/>
          <w:szCs w:val="32"/>
          <w:lang w:val="en-US" w:eastAsia="zh-CN" w:bidi="ar-SA"/>
        </w:rPr>
        <w:t>3.</w:t>
      </w:r>
      <w:r>
        <w:rPr>
          <w:rFonts w:hint="eastAsia" w:ascii="楷体_GB2312" w:eastAsia="楷体_GB2312" w:cs="Times New Roman"/>
          <w:sz w:val="32"/>
          <w:szCs w:val="32"/>
          <w:lang w:val="zh-CN" w:eastAsia="zh-CN" w:bidi="ar-SA"/>
        </w:rPr>
        <w:t>资金使用</w:t>
      </w:r>
    </w:p>
    <w:p>
      <w:pPr>
        <w:adjustRightInd w:val="0"/>
        <w:snapToGrid w:val="0"/>
        <w:spacing w:line="560" w:lineRule="exact"/>
        <w:ind w:left="0" w:firstLine="640" w:firstLineChars="200"/>
        <w:rPr>
          <w:rFonts w:hint="eastAsia" w:ascii="仿宋_GB2312" w:eastAsia="仿宋_GB2312"/>
          <w:sz w:val="32"/>
          <w:szCs w:val="32"/>
        </w:rPr>
      </w:pPr>
      <w:r>
        <w:rPr>
          <w:rFonts w:hint="eastAsia" w:ascii="仿宋_GB2312" w:eastAsia="仿宋_GB2312"/>
          <w:sz w:val="32"/>
          <w:szCs w:val="32"/>
          <w:lang w:val="en-US" w:eastAsia="zh-CN"/>
        </w:rPr>
        <w:t>截止目前共使用</w:t>
      </w:r>
      <w:r>
        <w:rPr>
          <w:rFonts w:hint="eastAsia" w:ascii="仿宋_GB2312" w:eastAsia="仿宋_GB2312"/>
          <w:sz w:val="32"/>
          <w:szCs w:val="32"/>
          <w:lang w:eastAsia="zh-CN"/>
        </w:rPr>
        <w:t>阿坝州羌城体育公园建设</w:t>
      </w:r>
      <w:r>
        <w:rPr>
          <w:rFonts w:hint="eastAsia" w:ascii="仿宋_GB2312" w:eastAsia="仿宋_GB2312"/>
          <w:sz w:val="32"/>
          <w:szCs w:val="32"/>
        </w:rPr>
        <w:t>项目</w:t>
      </w:r>
      <w:r>
        <w:rPr>
          <w:rFonts w:hint="eastAsia" w:ascii="仿宋_GB2312" w:eastAsia="仿宋_GB2312"/>
          <w:sz w:val="32"/>
          <w:szCs w:val="32"/>
          <w:lang w:val="en-US" w:eastAsia="zh-CN"/>
        </w:rPr>
        <w:t>资金1069.75万元，其中：2022年</w:t>
      </w:r>
      <w:r>
        <w:rPr>
          <w:rFonts w:hint="eastAsia" w:ascii="仿宋_GB2312" w:eastAsia="仿宋_GB2312"/>
          <w:sz w:val="32"/>
          <w:szCs w:val="32"/>
        </w:rPr>
        <w:t>使用</w:t>
      </w:r>
      <w:r>
        <w:rPr>
          <w:rFonts w:hint="eastAsia" w:ascii="仿宋_GB2312" w:eastAsia="仿宋_GB2312"/>
          <w:sz w:val="32"/>
          <w:szCs w:val="32"/>
          <w:lang w:eastAsia="zh-CN"/>
        </w:rPr>
        <w:t>资金</w:t>
      </w:r>
      <w:r>
        <w:rPr>
          <w:rFonts w:hint="eastAsia" w:ascii="仿宋_GB2312" w:eastAsia="仿宋_GB2312"/>
          <w:sz w:val="32"/>
          <w:szCs w:val="32"/>
          <w:lang w:val="en-US" w:eastAsia="zh-CN"/>
        </w:rPr>
        <w:t>43.119</w:t>
      </w:r>
      <w:r>
        <w:rPr>
          <w:rFonts w:hint="eastAsia" w:ascii="仿宋_GB2312" w:eastAsia="仿宋_GB2312"/>
          <w:sz w:val="32"/>
          <w:szCs w:val="32"/>
        </w:rPr>
        <w:t>万元，</w:t>
      </w:r>
      <w:r>
        <w:rPr>
          <w:rFonts w:hint="eastAsia" w:ascii="仿宋_GB2312" w:eastAsia="仿宋_GB2312"/>
          <w:sz w:val="32"/>
          <w:szCs w:val="32"/>
          <w:lang w:val="en-US" w:eastAsia="zh-CN"/>
        </w:rPr>
        <w:t>2023年</w:t>
      </w:r>
      <w:r>
        <w:rPr>
          <w:rFonts w:hint="eastAsia" w:ascii="仿宋_GB2312" w:eastAsia="仿宋_GB2312"/>
          <w:sz w:val="32"/>
          <w:szCs w:val="32"/>
        </w:rPr>
        <w:t>使用</w:t>
      </w:r>
      <w:r>
        <w:rPr>
          <w:rFonts w:hint="eastAsia" w:ascii="仿宋_GB2312" w:eastAsia="仿宋_GB2312"/>
          <w:sz w:val="32"/>
          <w:szCs w:val="32"/>
          <w:lang w:eastAsia="zh-CN"/>
        </w:rPr>
        <w:t>资金</w:t>
      </w:r>
      <w:r>
        <w:rPr>
          <w:rFonts w:hint="eastAsia" w:ascii="仿宋_GB2312" w:eastAsia="仿宋_GB2312"/>
          <w:sz w:val="32"/>
          <w:szCs w:val="32"/>
          <w:lang w:val="en-US" w:eastAsia="zh-CN"/>
        </w:rPr>
        <w:t>1026.6万元，</w:t>
      </w:r>
      <w:r>
        <w:rPr>
          <w:rFonts w:hint="eastAsia" w:ascii="仿宋_GB2312" w:eastAsia="仿宋_GB2312"/>
          <w:sz w:val="32"/>
          <w:szCs w:val="32"/>
        </w:rPr>
        <w:t>资金使用率达</w:t>
      </w:r>
      <w:r>
        <w:rPr>
          <w:rFonts w:hint="eastAsia" w:ascii="仿宋_GB2312" w:eastAsia="仿宋_GB2312"/>
          <w:sz w:val="32"/>
          <w:szCs w:val="32"/>
          <w:lang w:val="en-US" w:eastAsia="zh-CN"/>
        </w:rPr>
        <w:t>53</w:t>
      </w:r>
      <w:r>
        <w:rPr>
          <w:rFonts w:hint="eastAsia" w:ascii="仿宋_GB2312" w:eastAsia="仿宋_GB2312"/>
          <w:sz w:val="32"/>
          <w:szCs w:val="32"/>
        </w:rPr>
        <w:t>%。主要用于</w:t>
      </w:r>
      <w:r>
        <w:rPr>
          <w:rFonts w:hint="eastAsia" w:ascii="仿宋_GB2312" w:eastAsia="仿宋_GB2312"/>
          <w:sz w:val="32"/>
          <w:szCs w:val="32"/>
          <w:lang w:eastAsia="zh-CN"/>
        </w:rPr>
        <w:t>工程款、造价咨询费（预算）、</w:t>
      </w:r>
      <w:r>
        <w:rPr>
          <w:rFonts w:hint="eastAsia" w:ascii="仿宋_GB2312" w:eastAsia="仿宋_GB2312" w:cs="Times New Roman"/>
          <w:sz w:val="32"/>
          <w:szCs w:val="32"/>
          <w:lang w:val="zh-CN" w:eastAsia="zh-CN" w:bidi="ar-SA"/>
        </w:rPr>
        <w:t>可研编制费、设计费、图审费、水土保持费、监理费等，</w:t>
      </w:r>
      <w:r>
        <w:rPr>
          <w:rFonts w:hint="eastAsia" w:ascii="仿宋_GB2312" w:eastAsia="仿宋_GB2312"/>
          <w:sz w:val="32"/>
          <w:szCs w:val="32"/>
        </w:rPr>
        <w:t>该项目资金开支范围、标准及支付进度、支付依据均合规合法，资金支付与预算相符。</w:t>
      </w:r>
    </w:p>
    <w:p>
      <w:pPr>
        <w:pageBreakBefore w:val="0"/>
        <w:widowControl/>
        <w:kinsoku/>
        <w:wordWrap/>
        <w:overflowPunct/>
        <w:topLinePunct w:val="0"/>
        <w:bidi w:val="0"/>
        <w:adjustRightInd w:val="0"/>
        <w:snapToGrid w:val="0"/>
        <w:spacing w:line="576" w:lineRule="exact"/>
        <w:ind w:firstLine="642" w:firstLineChars="200"/>
        <w:contextualSpacing/>
        <w:jc w:val="left"/>
        <w:textAlignment w:val="auto"/>
        <w:rPr>
          <w:rStyle w:val="22"/>
          <w:rFonts w:hint="eastAsia" w:ascii="仿宋_GB2312" w:eastAsia="仿宋_GB2312" w:cs="仿宋_GB2312"/>
          <w:sz w:val="32"/>
          <w:szCs w:val="32"/>
          <w:lang w:val="zh-CN" w:eastAsia="zh-CN" w:bidi="ar-SA"/>
        </w:rPr>
      </w:pPr>
      <w:r>
        <w:rPr>
          <w:rStyle w:val="22"/>
          <w:rFonts w:hint="eastAsia" w:ascii="仿宋_GB2312" w:eastAsia="仿宋_GB2312" w:cs="仿宋_GB2312"/>
          <w:sz w:val="32"/>
          <w:szCs w:val="32"/>
          <w:lang w:val="zh-CN" w:eastAsia="zh-CN" w:bidi="ar-SA"/>
        </w:rPr>
        <w:t>（二）项目财务管理情况</w:t>
      </w:r>
    </w:p>
    <w:p>
      <w:pPr>
        <w:adjustRightInd w:val="0"/>
        <w:snapToGrid w:val="0"/>
        <w:spacing w:line="560" w:lineRule="exact"/>
        <w:ind w:firstLine="720"/>
        <w:rPr>
          <w:rFonts w:hint="eastAsia" w:ascii="仿宋_GB2312" w:eastAsia="仿宋_GB2312"/>
          <w:sz w:val="32"/>
          <w:szCs w:val="32"/>
        </w:rPr>
      </w:pPr>
      <w:r>
        <w:rPr>
          <w:rFonts w:hint="eastAsia" w:ascii="仿宋_GB2312" w:eastAsia="仿宋_GB2312"/>
          <w:sz w:val="32"/>
          <w:szCs w:val="32"/>
        </w:rPr>
        <w:t>作为项目实施单位，茂县文化体育和旅游局按照相关财经纪律，建立健全财务管理制度，所有项目资金均按相关文件</w:t>
      </w:r>
      <w:r>
        <w:rPr>
          <w:rFonts w:hint="eastAsia" w:ascii="仿宋_GB2312" w:eastAsia="仿宋_GB2312"/>
          <w:sz w:val="32"/>
          <w:szCs w:val="32"/>
          <w:lang w:eastAsia="zh-CN"/>
        </w:rPr>
        <w:t>精神</w:t>
      </w:r>
      <w:r>
        <w:rPr>
          <w:rFonts w:hint="eastAsia" w:ascii="仿宋_GB2312" w:eastAsia="仿宋_GB2312"/>
          <w:sz w:val="32"/>
          <w:szCs w:val="32"/>
        </w:rPr>
        <w:t>合理、合规、合法运用，账务处理及时，会计核算规范。</w:t>
      </w:r>
    </w:p>
    <w:p>
      <w:pPr>
        <w:pStyle w:val="2"/>
        <w:bidi w:val="0"/>
        <w:rPr>
          <w:rFonts w:hint="eastAsia"/>
          <w:sz w:val="32"/>
          <w:szCs w:val="32"/>
          <w:lang w:val="zh-CN" w:eastAsia="zh-CN"/>
        </w:rPr>
      </w:pPr>
      <w:r>
        <w:rPr>
          <w:rFonts w:hint="eastAsia"/>
          <w:sz w:val="32"/>
          <w:szCs w:val="32"/>
          <w:lang w:val="zh-CN" w:eastAsia="zh-CN"/>
        </w:rPr>
        <w:t>三、项目实施及管理情况</w:t>
      </w:r>
    </w:p>
    <w:p>
      <w:pPr>
        <w:adjustRightInd w:val="0"/>
        <w:snapToGrid w:val="0"/>
        <w:spacing w:line="560" w:lineRule="exact"/>
        <w:ind w:firstLine="720"/>
        <w:rPr>
          <w:rFonts w:hint="eastAsia" w:ascii="楷体_GB2312" w:eastAsia="楷体_GB2312"/>
          <w:b/>
          <w:sz w:val="32"/>
          <w:szCs w:val="32"/>
          <w:lang w:val="zh-CN" w:eastAsia="zh-CN"/>
        </w:rPr>
      </w:pPr>
      <w:r>
        <w:rPr>
          <w:rFonts w:hint="eastAsia" w:ascii="仿宋_GB2312" w:eastAsia="仿宋_GB2312" w:cs="Times New Roman"/>
          <w:sz w:val="32"/>
          <w:szCs w:val="32"/>
          <w:lang w:val="zh-CN" w:eastAsia="zh-CN" w:bidi="ar-SA"/>
        </w:rPr>
        <w:t>本工程总工期为270日。将严格按照建筑工程质量检验评定标准、《建筑质量检查评定细则》招标文件第三卷《技术标准和要求》规定以及国家规范、行业标准的相关规定，确保工程施工质量达到国家现行合格标准。按《阿坝州建设工程现场文明施工管理办法》的规定要求，做到施工现场文明有序，与周围环境协调和谐，创阿坝州文明施工样板工地，树建设文明施工窗口形象。</w:t>
      </w:r>
    </w:p>
    <w:p>
      <w:pPr>
        <w:adjustRightInd w:val="0"/>
        <w:snapToGrid w:val="0"/>
        <w:spacing w:line="560" w:lineRule="exact"/>
        <w:ind w:firstLine="720"/>
        <w:rPr>
          <w:rFonts w:hint="eastAsia" w:ascii="楷体_GB2312" w:eastAsia="楷体_GB2312"/>
          <w:b/>
          <w:sz w:val="32"/>
          <w:szCs w:val="32"/>
          <w:lang w:val="zh-CN" w:eastAsia="zh-CN"/>
        </w:rPr>
      </w:pPr>
      <w:r>
        <w:rPr>
          <w:rFonts w:hint="eastAsia" w:ascii="楷体_GB2312" w:eastAsia="楷体_GB2312"/>
          <w:b/>
          <w:sz w:val="32"/>
          <w:szCs w:val="32"/>
          <w:lang w:val="zh-CN" w:eastAsia="zh-CN"/>
        </w:rPr>
        <w:t>（一）项目组织架构及实施流程</w:t>
      </w:r>
    </w:p>
    <w:p>
      <w:pPr>
        <w:adjustRightInd w:val="0"/>
        <w:snapToGrid w:val="0"/>
        <w:spacing w:line="560" w:lineRule="exact"/>
        <w:ind w:firstLine="720"/>
        <w:rPr>
          <w:rFonts w:hint="eastAsia" w:ascii="仿宋_GB2312" w:eastAsia="仿宋_GB2312" w:cs="Times New Roman"/>
          <w:sz w:val="32"/>
          <w:szCs w:val="32"/>
          <w:lang w:val="zh-CN" w:eastAsia="zh-CN" w:bidi="ar-SA"/>
        </w:rPr>
      </w:pPr>
      <w:r>
        <w:rPr>
          <w:rFonts w:hint="eastAsia" w:ascii="仿宋_GB2312" w:eastAsia="仿宋_GB2312" w:cs="Times New Roman"/>
          <w:sz w:val="32"/>
          <w:szCs w:val="32"/>
          <w:lang w:val="zh-CN" w:eastAsia="zh-CN" w:bidi="ar-SA"/>
        </w:rPr>
        <w:t>本项目由茂县文化体育和旅游局全面负责工程建设的工程质量管理、工程进度、工程投资和资金管理等。</w:t>
      </w:r>
    </w:p>
    <w:p>
      <w:pPr>
        <w:adjustRightInd w:val="0"/>
        <w:snapToGrid w:val="0"/>
        <w:spacing w:line="560" w:lineRule="exact"/>
        <w:ind w:firstLine="720"/>
        <w:rPr>
          <w:rFonts w:hint="eastAsia" w:ascii="楷体_GB2312" w:eastAsia="楷体_GB2312"/>
          <w:b/>
          <w:sz w:val="32"/>
          <w:szCs w:val="32"/>
          <w:lang w:val="zh-CN" w:eastAsia="zh-CN"/>
        </w:rPr>
      </w:pPr>
      <w:r>
        <w:rPr>
          <w:rFonts w:hint="eastAsia" w:ascii="楷体_GB2312" w:eastAsia="楷体_GB2312"/>
          <w:b/>
          <w:sz w:val="32"/>
          <w:szCs w:val="32"/>
          <w:lang w:val="zh-CN" w:eastAsia="zh-CN"/>
        </w:rPr>
        <w:t>（二）项目管理情况</w:t>
      </w:r>
    </w:p>
    <w:p>
      <w:pPr>
        <w:adjustRightInd w:val="0"/>
        <w:snapToGrid w:val="0"/>
        <w:spacing w:line="560" w:lineRule="exact"/>
        <w:ind w:firstLine="720"/>
        <w:rPr>
          <w:rFonts w:hint="eastAsia" w:ascii="仿宋_GB2312" w:eastAsia="仿宋_GB2312"/>
          <w:sz w:val="32"/>
          <w:szCs w:val="32"/>
          <w:lang w:val="zh-CN" w:eastAsia="zh-CN"/>
        </w:rPr>
      </w:pPr>
      <w:r>
        <w:rPr>
          <w:rFonts w:hint="eastAsia" w:ascii="仿宋_GB2312" w:eastAsia="仿宋_GB2312"/>
          <w:sz w:val="32"/>
          <w:szCs w:val="32"/>
          <w:lang w:val="zh-CN" w:eastAsia="zh-CN"/>
        </w:rPr>
        <w:t>县财政局严格执行中央及省、市各级对该项目的相关政策，及时下拨资金至茂县文化体育和旅游局。茂县文化体育和旅游局严格执行相关法律法规及项目管理制度，确保项目资金专款用于</w:t>
      </w:r>
      <w:r>
        <w:rPr>
          <w:rFonts w:hint="eastAsia" w:ascii="仿宋_GB2312" w:eastAsia="仿宋_GB2312"/>
          <w:sz w:val="32"/>
          <w:szCs w:val="32"/>
          <w:lang w:eastAsia="zh-CN"/>
        </w:rPr>
        <w:t>阿坝州羌城体育公园建设</w:t>
      </w:r>
      <w:r>
        <w:rPr>
          <w:rFonts w:hint="eastAsia" w:ascii="仿宋_GB2312" w:eastAsia="仿宋_GB2312"/>
          <w:sz w:val="32"/>
          <w:szCs w:val="32"/>
          <w:lang w:val="zh-CN" w:eastAsia="zh-CN"/>
        </w:rPr>
        <w:t>，杜绝挪用、挤占、滞留专项资金情况。</w:t>
      </w:r>
    </w:p>
    <w:p>
      <w:pPr>
        <w:adjustRightInd w:val="0"/>
        <w:snapToGrid w:val="0"/>
        <w:spacing w:line="560" w:lineRule="exact"/>
        <w:ind w:firstLine="720"/>
        <w:rPr>
          <w:lang w:val="zh-CN" w:eastAsia="zh-CN"/>
        </w:rPr>
      </w:pPr>
      <w:r>
        <w:rPr>
          <w:rFonts w:hint="eastAsia" w:ascii="仿宋_GB2312" w:eastAsia="仿宋_GB2312" w:cs="Times New Roman"/>
          <w:sz w:val="32"/>
          <w:szCs w:val="32"/>
          <w:lang w:val="zh-CN" w:eastAsia="zh-CN" w:bidi="ar-SA"/>
        </w:rPr>
        <w:t>本项目严格按照《中华人民共和国招标投标法》《中华人民共和国合同法》《必须招标的工程项目规定》（中华人民共和国国家发展和改革委员会令第16号）《建设项目实施方案增加招标内容以及核准招标事项暂行规定》（国家计委9号）《四川省国家投资工程建设项目招标投标条例》（2003年第7号公告）。</w:t>
      </w:r>
    </w:p>
    <w:p>
      <w:pPr>
        <w:adjustRightInd w:val="0"/>
        <w:snapToGrid w:val="0"/>
        <w:spacing w:line="560" w:lineRule="exact"/>
        <w:ind w:firstLine="720"/>
        <w:rPr>
          <w:rFonts w:hint="eastAsia" w:ascii="楷体_GB2312" w:eastAsia="楷体_GB2312"/>
          <w:b/>
          <w:sz w:val="32"/>
          <w:szCs w:val="32"/>
          <w:lang w:val="zh-CN" w:eastAsia="zh-CN"/>
        </w:rPr>
      </w:pPr>
      <w:r>
        <w:rPr>
          <w:rFonts w:hint="eastAsia" w:ascii="楷体_GB2312" w:eastAsia="楷体_GB2312"/>
          <w:b/>
          <w:sz w:val="32"/>
          <w:szCs w:val="32"/>
          <w:lang w:val="zh-CN" w:eastAsia="zh-CN"/>
        </w:rPr>
        <w:t>（三）项目监管情况</w:t>
      </w:r>
    </w:p>
    <w:p>
      <w:pPr>
        <w:adjustRightInd w:val="0"/>
        <w:snapToGrid w:val="0"/>
        <w:spacing w:line="560" w:lineRule="exact"/>
        <w:ind w:firstLine="720"/>
        <w:rPr>
          <w:rFonts w:hint="eastAsia" w:ascii="仿宋_GB2312" w:eastAsia="仿宋_GB2312"/>
          <w:sz w:val="32"/>
          <w:szCs w:val="32"/>
          <w:lang w:val="zh-CN" w:eastAsia="zh-CN"/>
        </w:rPr>
      </w:pPr>
      <w:r>
        <w:rPr>
          <w:rFonts w:hint="eastAsia" w:ascii="仿宋_GB2312" w:eastAsia="仿宋_GB2312"/>
          <w:sz w:val="32"/>
          <w:szCs w:val="32"/>
          <w:lang w:val="zh-CN" w:eastAsia="zh-CN"/>
        </w:rPr>
        <w:t>县财政局严格按照资金用途，及时、足额将该项目资金下拨到茂县文化体育和旅游局，州文化体育和旅游局及县财政不定期抽查该项目相关账务资料，确保项目资金专款专用。</w:t>
      </w:r>
    </w:p>
    <w:p>
      <w:pPr>
        <w:adjustRightInd w:val="0"/>
        <w:snapToGrid w:val="0"/>
        <w:spacing w:line="560" w:lineRule="exact"/>
        <w:ind w:firstLine="720"/>
        <w:rPr>
          <w:rFonts w:hint="eastAsia" w:ascii="仿宋_GB2312" w:eastAsia="仿宋_GB2312"/>
          <w:sz w:val="32"/>
          <w:szCs w:val="32"/>
          <w:lang w:val="zh-CN" w:eastAsia="zh-CN"/>
        </w:rPr>
      </w:pPr>
      <w:r>
        <w:rPr>
          <w:rFonts w:hint="eastAsia" w:ascii="黑体" w:eastAsia="黑体"/>
          <w:sz w:val="32"/>
          <w:szCs w:val="32"/>
        </w:rPr>
        <w:t>四、项目绩效情况</w:t>
      </w:r>
      <w:r>
        <w:rPr>
          <w:rFonts w:hint="eastAsia" w:ascii="仿宋_GB2312" w:eastAsia="仿宋_GB2312"/>
          <w:sz w:val="32"/>
          <w:szCs w:val="32"/>
          <w:lang w:val="zh-CN" w:eastAsia="zh-CN"/>
        </w:rPr>
        <w:tab/>
      </w:r>
    </w:p>
    <w:p>
      <w:pPr>
        <w:adjustRightInd w:val="0"/>
        <w:snapToGrid w:val="0"/>
        <w:spacing w:line="560" w:lineRule="exact"/>
        <w:ind w:firstLine="720"/>
        <w:rPr>
          <w:rFonts w:hint="eastAsia" w:ascii="楷体_GB2312" w:eastAsia="楷体_GB2312"/>
          <w:b/>
          <w:sz w:val="32"/>
          <w:szCs w:val="32"/>
          <w:lang w:val="zh-CN" w:eastAsia="zh-CN"/>
        </w:rPr>
      </w:pPr>
      <w:r>
        <w:rPr>
          <w:rFonts w:hint="eastAsia" w:ascii="楷体_GB2312" w:eastAsia="楷体_GB2312"/>
          <w:b/>
          <w:sz w:val="32"/>
          <w:szCs w:val="32"/>
          <w:lang w:val="zh-CN" w:eastAsia="zh-CN"/>
        </w:rPr>
        <w:t>（一）项目完成情况</w:t>
      </w:r>
    </w:p>
    <w:p>
      <w:pPr>
        <w:adjustRightInd w:val="0"/>
        <w:snapToGrid w:val="0"/>
        <w:spacing w:line="560" w:lineRule="exact"/>
        <w:ind w:firstLine="720"/>
        <w:rPr>
          <w:rFonts w:hint="eastAsia" w:ascii="仿宋_GB2312" w:eastAsia="仿宋_GB2312" w:cs="Times New Roman"/>
          <w:sz w:val="32"/>
          <w:szCs w:val="32"/>
          <w:lang w:val="zh-CN" w:eastAsia="zh-CN" w:bidi="ar-SA"/>
        </w:rPr>
      </w:pPr>
      <w:r>
        <w:rPr>
          <w:rFonts w:hint="eastAsia" w:ascii="仿宋_GB2312" w:eastAsia="仿宋_GB2312" w:cs="Times New Roman"/>
          <w:sz w:val="32"/>
          <w:szCs w:val="32"/>
          <w:lang w:val="zh-CN" w:eastAsia="zh-CN" w:bidi="ar-SA"/>
        </w:rPr>
        <w:t>目前，体育场外真石漆完成</w:t>
      </w:r>
      <w:r>
        <w:rPr>
          <w:rFonts w:hint="eastAsia" w:ascii="仿宋_GB2312" w:eastAsia="仿宋_GB2312" w:cs="Times New Roman"/>
          <w:sz w:val="32"/>
          <w:szCs w:val="32"/>
          <w:lang w:val="en-US" w:eastAsia="zh-CN" w:bidi="ar-SA"/>
        </w:rPr>
        <w:t>80</w:t>
      </w:r>
      <w:r>
        <w:rPr>
          <w:rFonts w:hint="eastAsia" w:ascii="仿宋_GB2312" w:eastAsia="仿宋_GB2312" w:cs="Times New Roman"/>
          <w:sz w:val="32"/>
          <w:szCs w:val="32"/>
          <w:lang w:val="zh-CN" w:eastAsia="zh-CN" w:bidi="ar-SA"/>
        </w:rPr>
        <w:t>%，塑胶跑道及足球场草坪拆除完成，体育场排水沟清理完成，滨河路沿河两岸灯带及游步道铺设。</w:t>
      </w:r>
    </w:p>
    <w:p>
      <w:pPr>
        <w:adjustRightInd w:val="0"/>
        <w:snapToGrid w:val="0"/>
        <w:spacing w:line="560" w:lineRule="exact"/>
        <w:ind w:firstLine="720"/>
        <w:rPr>
          <w:rFonts w:hint="eastAsia" w:ascii="楷体_GB2312" w:eastAsia="楷体_GB2312"/>
          <w:b/>
          <w:sz w:val="32"/>
          <w:szCs w:val="32"/>
          <w:lang w:val="zh-CN" w:eastAsia="zh-CN"/>
        </w:rPr>
      </w:pPr>
      <w:r>
        <w:rPr>
          <w:rFonts w:hint="eastAsia" w:ascii="楷体_GB2312" w:eastAsia="楷体_GB2312"/>
          <w:b/>
          <w:sz w:val="32"/>
          <w:szCs w:val="32"/>
          <w:lang w:val="zh-CN" w:eastAsia="zh-CN"/>
        </w:rPr>
        <w:t>（二）项目效益情况</w:t>
      </w:r>
    </w:p>
    <w:p>
      <w:pPr>
        <w:pStyle w:val="19"/>
        <w:shd w:val="clear" w:color="auto" w:fill="FFFFFF"/>
        <w:spacing w:beforeAutospacing="0" w:afterAutospacing="0" w:line="560" w:lineRule="exact"/>
        <w:ind w:firstLine="640" w:firstLineChars="200"/>
        <w:rPr>
          <w:rFonts w:hint="eastAsia" w:ascii="仿宋_GB2312" w:eastAsia="仿宋_GB2312"/>
          <w:kern w:val="2"/>
          <w:sz w:val="32"/>
          <w:szCs w:val="32"/>
          <w:lang w:val="zh-CN" w:eastAsia="zh-CN"/>
        </w:rPr>
      </w:pPr>
      <w:r>
        <w:rPr>
          <w:rFonts w:hint="eastAsia" w:ascii="仿宋_GB2312" w:eastAsia="仿宋_GB2312"/>
          <w:kern w:val="2"/>
          <w:sz w:val="32"/>
          <w:szCs w:val="32"/>
          <w:lang w:val="zh-CN" w:eastAsia="zh-CN"/>
        </w:rPr>
        <w:t>1.经济效益：对项目资金坚持统一管理、突出重点、合理安排、专款专用、注重绩效。</w:t>
      </w:r>
      <w:r>
        <w:rPr>
          <w:rFonts w:hint="eastAsia" w:ascii="仿宋_GB2312" w:eastAsia="仿宋_GB2312" w:cs="Times New Roman"/>
          <w:kern w:val="2"/>
          <w:sz w:val="32"/>
          <w:szCs w:val="32"/>
          <w:lang w:val="zh-CN" w:eastAsia="zh-CN" w:bidi="ar-SA"/>
        </w:rPr>
        <w:t>项目体育设施投资建设时需雇佣本地大量的劳动力，这一收入效应在项目投资建设周期和运营周期中通过劳动力成本体现出来。</w:t>
      </w:r>
    </w:p>
    <w:p>
      <w:pPr>
        <w:pStyle w:val="19"/>
        <w:shd w:val="clear" w:color="auto" w:fill="FFFFFF"/>
        <w:spacing w:beforeAutospacing="0" w:afterAutospacing="0" w:line="560" w:lineRule="exact"/>
        <w:ind w:firstLine="640" w:firstLineChars="200"/>
        <w:rPr>
          <w:rFonts w:hint="eastAsia" w:ascii="仿宋_GB2312" w:eastAsia="仿宋_GB2312"/>
          <w:kern w:val="2"/>
          <w:sz w:val="32"/>
          <w:szCs w:val="32"/>
          <w:highlight w:val="none"/>
          <w:lang w:val="zh-CN" w:eastAsia="zh-CN"/>
        </w:rPr>
      </w:pPr>
      <w:r>
        <w:rPr>
          <w:rFonts w:hint="eastAsia" w:ascii="仿宋_GB2312" w:eastAsia="仿宋_GB2312"/>
          <w:kern w:val="2"/>
          <w:sz w:val="32"/>
          <w:szCs w:val="32"/>
          <w:highlight w:val="none"/>
          <w:lang w:val="zh-CN" w:eastAsia="zh-CN"/>
        </w:rPr>
        <w:t>2.社会效益：从长远来看，为全县人民群众提供文化体育活动</w:t>
      </w:r>
      <w:r>
        <w:rPr>
          <w:rFonts w:hint="eastAsia" w:ascii="仿宋_GB2312" w:eastAsia="仿宋_GB2312" w:cs="Times New Roman"/>
          <w:kern w:val="2"/>
          <w:sz w:val="32"/>
          <w:szCs w:val="32"/>
          <w:highlight w:val="none"/>
          <w:lang w:val="zh-CN" w:eastAsia="zh-CN" w:bidi="ar-SA"/>
        </w:rPr>
        <w:t>场地。</w:t>
      </w:r>
      <w:r>
        <w:rPr>
          <w:rFonts w:hint="eastAsia" w:ascii="仿宋_GB2312" w:eastAsia="仿宋_GB2312"/>
          <w:kern w:val="2"/>
          <w:sz w:val="32"/>
          <w:szCs w:val="32"/>
          <w:highlight w:val="none"/>
          <w:lang w:val="zh-CN" w:eastAsia="zh-CN"/>
        </w:rPr>
        <w:t>不仅可以承接各项赛事、举办各类体育活动，还可以满足广大群众的健身需求和丰富群众的文体生活</w:t>
      </w:r>
      <w:r>
        <w:rPr>
          <w:rFonts w:hint="eastAsia" w:ascii="仿宋_GB2312" w:eastAsia="仿宋_GB2312" w:cs="Times New Roman"/>
          <w:kern w:val="2"/>
          <w:sz w:val="32"/>
          <w:szCs w:val="32"/>
          <w:highlight w:val="none"/>
          <w:lang w:val="zh-CN" w:eastAsia="zh-CN" w:bidi="ar-SA"/>
        </w:rPr>
        <w:t>。同时，项目的建设在一定程度上增大了该区域招商引资的吸引力，通过外商在本地进行投资办厂，为当地居民提供就业岗位而获得收入。</w:t>
      </w:r>
    </w:p>
    <w:p>
      <w:pPr>
        <w:pStyle w:val="19"/>
        <w:shd w:val="clear" w:color="auto" w:fill="FFFFFF"/>
        <w:spacing w:beforeAutospacing="0" w:afterAutospacing="0" w:line="560" w:lineRule="exact"/>
        <w:ind w:firstLine="640" w:firstLineChars="200"/>
        <w:rPr>
          <w:rFonts w:hint="eastAsia" w:ascii="仿宋_GB2312" w:eastAsia="仿宋_GB2312"/>
          <w:kern w:val="2"/>
          <w:sz w:val="32"/>
          <w:szCs w:val="32"/>
          <w:lang w:val="zh-CN" w:eastAsia="zh-CN"/>
        </w:rPr>
      </w:pPr>
      <w:r>
        <w:rPr>
          <w:rFonts w:hint="eastAsia" w:ascii="仿宋_GB2312" w:eastAsia="仿宋_GB2312"/>
          <w:kern w:val="2"/>
          <w:sz w:val="32"/>
          <w:szCs w:val="32"/>
          <w:lang w:val="zh-CN" w:eastAsia="zh-CN"/>
        </w:rPr>
        <w:t>3.生态效益：引导广大群众积极参与到体育锻炼中来，倡导绿色出行、节约能源。</w:t>
      </w:r>
    </w:p>
    <w:p>
      <w:pPr>
        <w:pStyle w:val="19"/>
        <w:shd w:val="clear" w:color="auto" w:fill="FFFFFF"/>
        <w:spacing w:beforeAutospacing="0" w:afterAutospacing="0" w:line="560" w:lineRule="exact"/>
        <w:ind w:firstLine="640" w:firstLineChars="200"/>
        <w:rPr>
          <w:rFonts w:hint="eastAsia" w:ascii="仿宋_GB2312" w:eastAsia="仿宋_GB2312"/>
          <w:kern w:val="2"/>
          <w:sz w:val="32"/>
          <w:szCs w:val="32"/>
          <w:lang w:val="zh-CN" w:eastAsia="zh-CN"/>
        </w:rPr>
      </w:pPr>
      <w:r>
        <w:rPr>
          <w:rFonts w:hint="eastAsia" w:ascii="仿宋_GB2312" w:eastAsia="仿宋_GB2312"/>
          <w:kern w:val="2"/>
          <w:sz w:val="32"/>
          <w:szCs w:val="32"/>
        </w:rPr>
        <w:t>4</w:t>
      </w:r>
      <w:r>
        <w:rPr>
          <w:rFonts w:hint="eastAsia" w:ascii="仿宋_GB2312" w:eastAsia="仿宋_GB2312"/>
          <w:kern w:val="2"/>
          <w:sz w:val="32"/>
          <w:szCs w:val="32"/>
          <w:lang w:val="zh-CN" w:eastAsia="zh-CN"/>
        </w:rPr>
        <w:t>.服务对象满意度：群众满意度达到9</w:t>
      </w:r>
      <w:r>
        <w:rPr>
          <w:rFonts w:hint="eastAsia" w:ascii="仿宋_GB2312" w:eastAsia="仿宋_GB2312"/>
          <w:kern w:val="2"/>
          <w:sz w:val="32"/>
          <w:szCs w:val="32"/>
          <w:lang w:val="en-US" w:eastAsia="zh-CN"/>
        </w:rPr>
        <w:t>8</w:t>
      </w:r>
      <w:r>
        <w:rPr>
          <w:rFonts w:hint="eastAsia" w:ascii="仿宋_GB2312" w:eastAsia="仿宋_GB2312"/>
          <w:kern w:val="2"/>
          <w:sz w:val="32"/>
          <w:szCs w:val="32"/>
          <w:lang w:val="zh-CN" w:eastAsia="zh-CN"/>
        </w:rPr>
        <w:t>%。</w:t>
      </w:r>
    </w:p>
    <w:p>
      <w:pPr>
        <w:adjustRightInd w:val="0"/>
        <w:snapToGrid w:val="0"/>
        <w:spacing w:line="560" w:lineRule="exact"/>
        <w:ind w:firstLine="720"/>
        <w:rPr>
          <w:rFonts w:hint="eastAsia" w:ascii="黑体" w:eastAsia="黑体" w:cs="Times New Roman"/>
          <w:sz w:val="32"/>
          <w:szCs w:val="32"/>
          <w:lang w:bidi="ar-SA"/>
        </w:rPr>
      </w:pPr>
      <w:r>
        <w:rPr>
          <w:rFonts w:hint="eastAsia" w:ascii="黑体" w:eastAsia="黑体" w:cs="Times New Roman"/>
          <w:sz w:val="32"/>
          <w:szCs w:val="32"/>
          <w:lang w:bidi="ar-SA"/>
        </w:rPr>
        <w:t>五、评价结论及建议</w:t>
      </w:r>
    </w:p>
    <w:p>
      <w:pPr>
        <w:adjustRightInd w:val="0"/>
        <w:snapToGrid w:val="0"/>
        <w:spacing w:line="560" w:lineRule="exact"/>
        <w:ind w:firstLine="720"/>
        <w:rPr>
          <w:rFonts w:hint="eastAsia" w:ascii="楷体_GB2312" w:eastAsia="楷体_GB2312" w:cs="Times New Roman"/>
          <w:b/>
          <w:sz w:val="32"/>
          <w:szCs w:val="32"/>
          <w:lang w:val="zh-CN" w:eastAsia="zh-CN" w:bidi="ar-SA"/>
        </w:rPr>
      </w:pPr>
      <w:r>
        <w:rPr>
          <w:rFonts w:hint="eastAsia" w:ascii="楷体_GB2312" w:eastAsia="楷体_GB2312" w:cs="Times New Roman"/>
          <w:b/>
          <w:sz w:val="32"/>
          <w:szCs w:val="32"/>
          <w:lang w:val="zh-CN" w:eastAsia="zh-CN" w:bidi="ar-SA"/>
        </w:rPr>
        <w:t>（一）评价结论</w:t>
      </w:r>
    </w:p>
    <w:p>
      <w:pPr>
        <w:ind w:firstLine="640" w:firstLineChars="200"/>
        <w:rPr>
          <w:rFonts w:hint="eastAsia" w:ascii="仿宋_GB2312" w:eastAsia="仿宋_GB2312" w:cs="Times New Roman"/>
          <w:kern w:val="2"/>
          <w:sz w:val="32"/>
          <w:szCs w:val="32"/>
          <w:highlight w:val="red"/>
          <w:lang w:val="zh-CN" w:eastAsia="zh-CN" w:bidi="ar"/>
        </w:rPr>
      </w:pPr>
      <w:r>
        <w:rPr>
          <w:rFonts w:hint="eastAsia" w:ascii="仿宋_GB2312" w:eastAsia="仿宋_GB2312" w:cs="Times New Roman"/>
          <w:kern w:val="2"/>
          <w:sz w:val="32"/>
          <w:szCs w:val="32"/>
          <w:lang w:val="zh-CN" w:eastAsia="zh-CN" w:bidi="ar"/>
        </w:rPr>
        <w:t>本项目的建设实施将提高和改善居民的体育锻炼设施服务水平和生活品质，促进体育配套设施的完善。</w:t>
      </w:r>
      <w:r>
        <w:rPr>
          <w:rFonts w:hint="eastAsia" w:ascii="仿宋_GB2312" w:eastAsia="仿宋_GB2312" w:cs="Times New Roman"/>
          <w:kern w:val="2"/>
          <w:sz w:val="32"/>
          <w:szCs w:val="32"/>
          <w:highlight w:val="none"/>
          <w:lang w:val="zh-CN" w:eastAsia="zh-CN" w:bidi="ar"/>
        </w:rPr>
        <w:t>项目的建设对所在地区居民生活水平和生活质量的影响是积极的，注重以人为本，综合效益和社会文明的融合，在满足群众体育锻炼的同时，完善城市的功能组合，不仅给市民营造了一个良好的体育锻炼场地，还提高了市民的身体素质和生活质量。</w:t>
      </w:r>
    </w:p>
    <w:p>
      <w:pPr>
        <w:adjustRightInd w:val="0"/>
        <w:snapToGrid w:val="0"/>
        <w:spacing w:line="560" w:lineRule="exact"/>
        <w:ind w:firstLine="720"/>
        <w:rPr>
          <w:rFonts w:hint="eastAsia" w:ascii="楷体_GB2312" w:eastAsia="楷体_GB2312"/>
          <w:b/>
          <w:sz w:val="32"/>
          <w:szCs w:val="32"/>
          <w:lang w:val="zh-CN" w:eastAsia="zh-CN"/>
        </w:rPr>
      </w:pPr>
      <w:r>
        <w:rPr>
          <w:rFonts w:hint="eastAsia" w:ascii="楷体_GB2312" w:eastAsia="楷体_GB2312"/>
          <w:b/>
          <w:sz w:val="32"/>
          <w:szCs w:val="32"/>
          <w:lang w:val="zh-CN" w:eastAsia="zh-CN"/>
        </w:rPr>
        <w:t>（二）存在的问题</w:t>
      </w:r>
    </w:p>
    <w:p>
      <w:pPr>
        <w:pStyle w:val="19"/>
        <w:shd w:val="clear" w:color="auto" w:fill="FFFFFF"/>
        <w:spacing w:beforeAutospacing="0" w:afterAutospacing="0" w:line="560" w:lineRule="exact"/>
        <w:ind w:firstLine="640" w:firstLineChars="200"/>
        <w:rPr>
          <w:rFonts w:hint="eastAsia" w:ascii="仿宋_GB2312" w:eastAsia="仿宋_GB2312" w:cs="Times New Roman"/>
          <w:kern w:val="2"/>
          <w:sz w:val="32"/>
          <w:szCs w:val="32"/>
          <w:highlight w:val="none"/>
          <w:lang w:val="zh-CN" w:eastAsia="zh-CN" w:bidi="ar-SA"/>
        </w:rPr>
      </w:pPr>
      <w:r>
        <w:rPr>
          <w:rFonts w:hint="eastAsia" w:ascii="仿宋_GB2312" w:eastAsia="仿宋_GB2312" w:cs="Times New Roman"/>
          <w:kern w:val="2"/>
          <w:sz w:val="32"/>
          <w:szCs w:val="32"/>
          <w:highlight w:val="none"/>
          <w:lang w:val="zh-CN" w:eastAsia="zh-CN" w:bidi="ar-SA"/>
        </w:rPr>
        <w:t>该项目资金可能存在拨付不及时，从而导致项目推进迟滞。</w:t>
      </w:r>
    </w:p>
    <w:p>
      <w:pPr>
        <w:adjustRightInd w:val="0"/>
        <w:snapToGrid w:val="0"/>
        <w:spacing w:line="560" w:lineRule="exact"/>
        <w:ind w:firstLine="720"/>
        <w:rPr>
          <w:rFonts w:hint="eastAsia" w:ascii="楷体_GB2312" w:eastAsia="楷体_GB2312"/>
          <w:b/>
          <w:sz w:val="32"/>
          <w:szCs w:val="32"/>
          <w:highlight w:val="none"/>
          <w:lang w:val="zh-CN" w:eastAsia="zh-CN"/>
        </w:rPr>
      </w:pPr>
      <w:r>
        <w:rPr>
          <w:rFonts w:hint="eastAsia" w:ascii="楷体_GB2312" w:eastAsia="楷体_GB2312"/>
          <w:b/>
          <w:sz w:val="32"/>
          <w:szCs w:val="32"/>
          <w:highlight w:val="none"/>
          <w:lang w:val="zh-CN" w:eastAsia="zh-CN"/>
        </w:rPr>
        <w:t>（三）相关建议</w:t>
      </w:r>
    </w:p>
    <w:p>
      <w:pPr>
        <w:pStyle w:val="2"/>
        <w:ind w:firstLine="640" w:firstLineChars="200"/>
        <w:rPr>
          <w:rFonts w:hint="eastAsia" w:ascii="仿宋_GB2312" w:eastAsia="仿宋_GB2312" w:cs="Times New Roman"/>
          <w:kern w:val="2"/>
          <w:sz w:val="32"/>
          <w:szCs w:val="32"/>
          <w:highlight w:val="none"/>
          <w:lang w:val="zh-CN" w:eastAsia="zh-CN" w:bidi="ar"/>
        </w:rPr>
      </w:pPr>
      <w:r>
        <w:rPr>
          <w:rFonts w:hint="eastAsia" w:cs="Times New Roman"/>
          <w:kern w:val="2"/>
          <w:sz w:val="32"/>
          <w:szCs w:val="32"/>
          <w:highlight w:val="none"/>
          <w:lang w:val="zh-CN" w:eastAsia="zh-CN" w:bidi="ar"/>
        </w:rPr>
        <w:t>积极向上级争取资金支持，保证体育公园建设的顺利进行。争取获得社会各界的理解和支持。</w:t>
      </w:r>
    </w:p>
    <w:p>
      <w:pPr>
        <w:pStyle w:val="2"/>
        <w:rPr>
          <w:rFonts w:hint="eastAsia" w:ascii="仿宋_GB2312" w:eastAsia="仿宋_GB2312" w:cs="Times New Roman"/>
          <w:kern w:val="2"/>
          <w:sz w:val="32"/>
          <w:szCs w:val="32"/>
          <w:highlight w:val="red"/>
          <w:lang w:val="zh-CN" w:eastAsia="zh-CN" w:bidi="ar"/>
        </w:rPr>
      </w:pPr>
    </w:p>
    <w:p>
      <w:pPr>
        <w:pStyle w:val="2"/>
        <w:rPr>
          <w:rFonts w:hint="eastAsia" w:ascii="仿宋_GB2312" w:eastAsia="仿宋_GB2312" w:cs="Times New Roman"/>
          <w:kern w:val="2"/>
          <w:sz w:val="32"/>
          <w:szCs w:val="32"/>
          <w:lang w:val="zh-CN" w:eastAsia="zh-CN" w:bidi="ar"/>
        </w:rPr>
      </w:pPr>
    </w:p>
    <w:p>
      <w:pPr>
        <w:pStyle w:val="2"/>
        <w:rPr>
          <w:rFonts w:hint="eastAsia" w:ascii="仿宋_GB2312" w:eastAsia="仿宋_GB2312" w:cs="Times New Roman"/>
          <w:kern w:val="2"/>
          <w:sz w:val="32"/>
          <w:szCs w:val="32"/>
          <w:lang w:val="zh-CN" w:eastAsia="zh-CN" w:bidi="ar"/>
        </w:rPr>
      </w:pPr>
    </w:p>
    <w:p>
      <w:pPr>
        <w:pStyle w:val="2"/>
        <w:rPr>
          <w:rFonts w:hint="eastAsia" w:ascii="仿宋_GB2312" w:eastAsia="仿宋_GB2312" w:cs="Times New Roman"/>
          <w:kern w:val="2"/>
          <w:sz w:val="32"/>
          <w:szCs w:val="32"/>
          <w:lang w:val="zh-CN" w:eastAsia="zh-CN" w:bidi="ar"/>
        </w:rPr>
      </w:pPr>
    </w:p>
    <w:p>
      <w:pPr>
        <w:pStyle w:val="2"/>
        <w:rPr>
          <w:rFonts w:hint="eastAsia" w:ascii="仿宋_GB2312" w:eastAsia="仿宋_GB2312" w:cs="Times New Roman"/>
          <w:kern w:val="2"/>
          <w:sz w:val="32"/>
          <w:szCs w:val="32"/>
          <w:lang w:val="zh-CN" w:eastAsia="zh-CN" w:bidi="ar"/>
        </w:rPr>
      </w:pPr>
    </w:p>
    <w:p>
      <w:pPr>
        <w:pStyle w:val="2"/>
        <w:rPr>
          <w:rFonts w:hint="eastAsia" w:ascii="仿宋_GB2312" w:eastAsia="仿宋_GB2312" w:cs="Times New Roman"/>
          <w:kern w:val="2"/>
          <w:sz w:val="32"/>
          <w:szCs w:val="32"/>
          <w:lang w:val="zh-CN" w:eastAsia="zh-CN" w:bidi="ar"/>
        </w:rPr>
      </w:pPr>
    </w:p>
    <w:p>
      <w:pPr>
        <w:pStyle w:val="2"/>
        <w:rPr>
          <w:rFonts w:hint="eastAsia" w:ascii="仿宋_GB2312" w:eastAsia="仿宋_GB2312" w:cs="Times New Roman"/>
          <w:kern w:val="2"/>
          <w:sz w:val="32"/>
          <w:szCs w:val="32"/>
          <w:lang w:val="zh-CN" w:eastAsia="zh-CN" w:bidi="ar"/>
        </w:rPr>
      </w:pPr>
    </w:p>
    <w:p>
      <w:pPr>
        <w:pStyle w:val="2"/>
        <w:rPr>
          <w:rFonts w:hint="eastAsia" w:ascii="仿宋_GB2312" w:eastAsia="仿宋_GB2312" w:cs="Times New Roman"/>
          <w:kern w:val="2"/>
          <w:sz w:val="32"/>
          <w:szCs w:val="32"/>
          <w:lang w:val="zh-CN" w:eastAsia="zh-CN" w:bidi="ar"/>
        </w:rPr>
      </w:pPr>
    </w:p>
    <w:p>
      <w:pPr>
        <w:pStyle w:val="2"/>
        <w:rPr>
          <w:rFonts w:hint="eastAsia" w:ascii="仿宋_GB2312" w:eastAsia="仿宋_GB2312" w:cs="Times New Roman"/>
          <w:kern w:val="2"/>
          <w:sz w:val="32"/>
          <w:szCs w:val="32"/>
          <w:lang w:val="zh-CN" w:eastAsia="zh-CN" w:bidi="ar"/>
        </w:rPr>
      </w:pPr>
    </w:p>
    <w:p>
      <w:pPr>
        <w:pStyle w:val="2"/>
        <w:bidi w:val="0"/>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体育馆免费开放项目</w:t>
      </w:r>
    </w:p>
    <w:p>
      <w:pPr>
        <w:pStyle w:val="2"/>
        <w:bidi w:val="0"/>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202</w:t>
      </w:r>
      <w:r>
        <w:rPr>
          <w:rFonts w:hint="eastAsia" w:ascii="方正小标宋简体" w:hAnsi="方正小标宋简体" w:eastAsia="方正小标宋简体" w:cs="方正小标宋简体"/>
          <w:sz w:val="36"/>
          <w:szCs w:val="36"/>
          <w:lang w:val="en-US" w:eastAsia="zh-CN"/>
        </w:rPr>
        <w:t>3</w:t>
      </w:r>
      <w:r>
        <w:rPr>
          <w:rFonts w:hint="eastAsia" w:ascii="方正小标宋简体" w:hAnsi="方正小标宋简体" w:eastAsia="方正小标宋简体" w:cs="方正小标宋简体"/>
          <w:sz w:val="36"/>
          <w:szCs w:val="36"/>
        </w:rPr>
        <w:t>年支出绩效自评报告</w:t>
      </w:r>
    </w:p>
    <w:p>
      <w:pPr>
        <w:pStyle w:val="2"/>
        <w:bidi w:val="0"/>
        <w:rPr>
          <w:rFonts w:hint="eastAsia"/>
          <w:b/>
          <w:bCs/>
          <w:sz w:val="32"/>
          <w:szCs w:val="32"/>
        </w:rPr>
      </w:pPr>
      <w:bookmarkStart w:id="81" w:name="_Toc29206"/>
      <w:r>
        <w:rPr>
          <w:rFonts w:hint="eastAsia"/>
          <w:b/>
          <w:bCs/>
          <w:sz w:val="32"/>
          <w:szCs w:val="32"/>
        </w:rPr>
        <w:t>一、项目概况</w:t>
      </w:r>
      <w:bookmarkEnd w:id="81"/>
    </w:p>
    <w:p>
      <w:pPr>
        <w:pageBreakBefore w:val="0"/>
        <w:widowControl/>
        <w:kinsoku/>
        <w:wordWrap/>
        <w:overflowPunct/>
        <w:topLinePunct w:val="0"/>
        <w:bidi w:val="0"/>
        <w:adjustRightInd w:val="0"/>
        <w:snapToGrid w:val="0"/>
        <w:spacing w:line="576" w:lineRule="exact"/>
        <w:ind w:firstLine="640" w:firstLineChars="200"/>
        <w:contextualSpacing/>
        <w:jc w:val="left"/>
        <w:textAlignment w:val="auto"/>
        <w:rPr>
          <w:rFonts w:hint="eastAsia" w:ascii="仿宋_GB2312" w:eastAsia="仿宋_GB2312" w:cs="宋体"/>
          <w:color w:val="000000"/>
          <w:kern w:val="0"/>
          <w:sz w:val="32"/>
          <w:szCs w:val="32"/>
          <w:shd w:val="clear" w:color="auto" w:fill="FFFFFF"/>
          <w:lang w:val="zh-CN" w:eastAsia="zh-CN" w:bidi="ar-SA"/>
        </w:rPr>
      </w:pPr>
      <w:r>
        <w:rPr>
          <w:rFonts w:hint="eastAsia" w:ascii="仿宋_GB2312" w:eastAsia="仿宋_GB2312" w:cs="宋体"/>
          <w:color w:val="000000"/>
          <w:kern w:val="0"/>
          <w:sz w:val="32"/>
          <w:szCs w:val="32"/>
          <w:shd w:val="clear" w:color="auto" w:fill="FFFFFF"/>
          <w:lang w:val="zh-CN" w:eastAsia="zh-CN" w:bidi="ar-SA"/>
        </w:rPr>
        <w:t>（一）项目基本情况</w:t>
      </w:r>
    </w:p>
    <w:p>
      <w:pPr>
        <w:pStyle w:val="2"/>
        <w:spacing w:before="93" w:line="560" w:lineRule="exact"/>
        <w:ind w:firstLine="640" w:firstLineChars="200"/>
        <w:rPr>
          <w:rFonts w:hint="eastAsia"/>
          <w:kern w:val="2"/>
          <w:sz w:val="32"/>
          <w:szCs w:val="32"/>
        </w:rPr>
      </w:pPr>
      <w:r>
        <w:rPr>
          <w:rFonts w:hint="eastAsia"/>
          <w:kern w:val="2"/>
          <w:sz w:val="32"/>
          <w:szCs w:val="32"/>
        </w:rPr>
        <w:t>茂县文化体育和旅游局在大型体育场馆免费开放项目管理中主要承担大型体育场馆免费开放专项资金的预算、申请、管理、拨付、监督等职能，对我县体育场馆免费开放资金实行统一管理，专款专用，提高资金使用效益。</w:t>
      </w:r>
    </w:p>
    <w:p>
      <w:pPr>
        <w:pStyle w:val="2"/>
        <w:spacing w:before="93" w:line="560" w:lineRule="exact"/>
        <w:ind w:firstLine="640" w:firstLineChars="200"/>
        <w:rPr>
          <w:rFonts w:hint="eastAsia"/>
          <w:kern w:val="2"/>
          <w:sz w:val="32"/>
          <w:szCs w:val="32"/>
          <w:lang w:val="en-US" w:eastAsia="en-US"/>
        </w:rPr>
      </w:pPr>
      <w:r>
        <w:rPr>
          <w:rFonts w:hint="eastAsia"/>
          <w:kern w:val="2"/>
          <w:sz w:val="32"/>
          <w:szCs w:val="32"/>
        </w:rPr>
        <w:t>根据州文化体育和旅游局《关于下达</w:t>
      </w:r>
      <w:r>
        <w:rPr>
          <w:rFonts w:hint="eastAsia"/>
          <w:kern w:val="2"/>
          <w:sz w:val="32"/>
          <w:szCs w:val="32"/>
          <w:lang w:val="en-US" w:eastAsia="zh-CN"/>
        </w:rPr>
        <w:t>2023</w:t>
      </w:r>
      <w:r>
        <w:rPr>
          <w:rFonts w:hint="eastAsia"/>
          <w:kern w:val="2"/>
          <w:sz w:val="32"/>
          <w:szCs w:val="32"/>
          <w:lang w:val="en-US" w:eastAsia="en-US"/>
        </w:rPr>
        <w:t>年公共体育场馆向社会免费或低收费开放中央和省级补助资金预算的通知</w:t>
      </w:r>
      <w:r>
        <w:rPr>
          <w:rFonts w:hint="eastAsia"/>
          <w:kern w:val="2"/>
          <w:sz w:val="32"/>
          <w:szCs w:val="32"/>
        </w:rPr>
        <w:t>》阿州财教（</w:t>
      </w:r>
      <w:r>
        <w:rPr>
          <w:rFonts w:hint="eastAsia"/>
          <w:kern w:val="2"/>
          <w:sz w:val="32"/>
          <w:szCs w:val="32"/>
          <w:lang w:val="en-US" w:eastAsia="en-US"/>
        </w:rPr>
        <w:t>202</w:t>
      </w:r>
      <w:r>
        <w:rPr>
          <w:rFonts w:hint="eastAsia"/>
          <w:kern w:val="2"/>
          <w:sz w:val="32"/>
          <w:szCs w:val="32"/>
          <w:lang w:val="en-US" w:eastAsia="zh-CN"/>
        </w:rPr>
        <w:t>3</w:t>
      </w:r>
      <w:r>
        <w:rPr>
          <w:rFonts w:hint="eastAsia"/>
          <w:kern w:val="2"/>
          <w:sz w:val="32"/>
          <w:szCs w:val="32"/>
        </w:rPr>
        <w:t>）</w:t>
      </w:r>
      <w:r>
        <w:rPr>
          <w:rFonts w:hint="eastAsia"/>
          <w:kern w:val="2"/>
          <w:sz w:val="32"/>
          <w:szCs w:val="32"/>
          <w:lang w:val="en-US" w:eastAsia="zh-CN"/>
        </w:rPr>
        <w:t>38</w:t>
      </w:r>
      <w:r>
        <w:rPr>
          <w:rFonts w:hint="eastAsia"/>
          <w:kern w:val="2"/>
          <w:sz w:val="32"/>
          <w:szCs w:val="32"/>
          <w:lang w:val="en-US" w:eastAsia="en-US"/>
        </w:rPr>
        <w:t>号，茂县</w:t>
      </w:r>
      <w:r>
        <w:rPr>
          <w:rFonts w:hint="eastAsia"/>
          <w:kern w:val="2"/>
          <w:sz w:val="32"/>
          <w:szCs w:val="32"/>
          <w:lang w:val="en-US" w:eastAsia="zh-CN"/>
        </w:rPr>
        <w:t>财政局《关于下达2023年部门预算的通知》</w:t>
      </w:r>
      <w:r>
        <w:rPr>
          <w:rFonts w:hint="eastAsia"/>
          <w:kern w:val="2"/>
          <w:sz w:val="32"/>
          <w:szCs w:val="32"/>
          <w:lang w:val="en-US" w:eastAsia="en-US"/>
        </w:rPr>
        <w:t>，202</w:t>
      </w:r>
      <w:r>
        <w:rPr>
          <w:rFonts w:hint="eastAsia"/>
          <w:kern w:val="2"/>
          <w:sz w:val="32"/>
          <w:szCs w:val="32"/>
          <w:lang w:val="en-US" w:eastAsia="zh-CN"/>
        </w:rPr>
        <w:t>3</w:t>
      </w:r>
      <w:r>
        <w:rPr>
          <w:rFonts w:hint="eastAsia"/>
          <w:kern w:val="2"/>
          <w:sz w:val="32"/>
          <w:szCs w:val="32"/>
          <w:lang w:val="en-US" w:eastAsia="en-US"/>
        </w:rPr>
        <w:t>年茂县公共体育场馆向社会免费或低收费开放补助资金</w:t>
      </w:r>
      <w:r>
        <w:rPr>
          <w:rFonts w:hint="eastAsia"/>
          <w:kern w:val="2"/>
          <w:sz w:val="32"/>
          <w:szCs w:val="32"/>
          <w:lang w:val="en-US" w:eastAsia="zh-CN"/>
        </w:rPr>
        <w:t>77</w:t>
      </w:r>
      <w:r>
        <w:rPr>
          <w:rFonts w:hint="eastAsia"/>
          <w:kern w:val="2"/>
          <w:sz w:val="32"/>
          <w:szCs w:val="32"/>
          <w:lang w:val="en-US" w:eastAsia="en-US"/>
        </w:rPr>
        <w:t>万元（其中中央资金</w:t>
      </w:r>
      <w:r>
        <w:rPr>
          <w:rFonts w:hint="eastAsia"/>
          <w:kern w:val="2"/>
          <w:sz w:val="32"/>
          <w:szCs w:val="32"/>
          <w:lang w:val="en-US" w:eastAsia="zh-CN"/>
        </w:rPr>
        <w:t>50</w:t>
      </w:r>
      <w:r>
        <w:rPr>
          <w:rFonts w:hint="eastAsia"/>
          <w:kern w:val="2"/>
          <w:sz w:val="32"/>
          <w:szCs w:val="32"/>
          <w:lang w:val="en-US" w:eastAsia="en-US"/>
        </w:rPr>
        <w:t>万元，省级资金1</w:t>
      </w:r>
      <w:r>
        <w:rPr>
          <w:rFonts w:hint="eastAsia"/>
          <w:kern w:val="2"/>
          <w:sz w:val="32"/>
          <w:szCs w:val="32"/>
          <w:lang w:val="en-US" w:eastAsia="zh-CN"/>
        </w:rPr>
        <w:t>7</w:t>
      </w:r>
      <w:r>
        <w:rPr>
          <w:rFonts w:hint="eastAsia"/>
          <w:kern w:val="2"/>
          <w:sz w:val="32"/>
          <w:szCs w:val="32"/>
          <w:lang w:val="en-US" w:eastAsia="en-US"/>
        </w:rPr>
        <w:t>万元，县级配套资金</w:t>
      </w:r>
      <w:r>
        <w:rPr>
          <w:rFonts w:hint="eastAsia"/>
          <w:kern w:val="2"/>
          <w:sz w:val="32"/>
          <w:szCs w:val="32"/>
          <w:lang w:val="en-US" w:eastAsia="zh-CN"/>
        </w:rPr>
        <w:t>10</w:t>
      </w:r>
      <w:r>
        <w:rPr>
          <w:rFonts w:hint="eastAsia"/>
          <w:kern w:val="2"/>
          <w:sz w:val="32"/>
          <w:szCs w:val="32"/>
          <w:lang w:val="en-US" w:eastAsia="en-US"/>
        </w:rPr>
        <w:t>万元）拨付到位，专项用于体育馆免费开放。</w:t>
      </w:r>
    </w:p>
    <w:p>
      <w:pPr>
        <w:pStyle w:val="2"/>
        <w:spacing w:before="93" w:line="560" w:lineRule="exact"/>
        <w:ind w:firstLine="640" w:firstLineChars="200"/>
        <w:rPr>
          <w:rFonts w:hint="eastAsia"/>
          <w:kern w:val="2"/>
          <w:sz w:val="32"/>
          <w:szCs w:val="32"/>
          <w:lang w:val="en-US" w:eastAsia="en-US"/>
        </w:rPr>
      </w:pPr>
      <w:r>
        <w:rPr>
          <w:rFonts w:hint="eastAsia"/>
          <w:kern w:val="2"/>
          <w:sz w:val="32"/>
          <w:szCs w:val="32"/>
          <w:lang w:val="en-US" w:eastAsia="en-US"/>
        </w:rPr>
        <w:t>大型体育场馆免费开放项目专项资金旨在保证我县体育馆正常对群众开放并举行各项赛事，满足人民群众观看赛事、锻炼身体等各项需求，资金全部用于体育馆日常维护。</w:t>
      </w:r>
    </w:p>
    <w:p>
      <w:pPr>
        <w:pStyle w:val="2"/>
        <w:spacing w:before="93" w:line="560" w:lineRule="exact"/>
        <w:ind w:firstLine="640" w:firstLineChars="200"/>
        <w:rPr>
          <w:kern w:val="2"/>
          <w:sz w:val="32"/>
          <w:szCs w:val="32"/>
          <w:lang w:val="en-US" w:eastAsia="en-US"/>
        </w:rPr>
      </w:pPr>
      <w:r>
        <w:rPr>
          <w:rFonts w:hint="eastAsia"/>
          <w:kern w:val="2"/>
          <w:sz w:val="32"/>
          <w:szCs w:val="32"/>
          <w:lang w:val="en-US" w:eastAsia="en-US"/>
        </w:rPr>
        <w:t>大型体育场馆免费开放项目资金分配按照据实效分配原则，重点考虑民生工程的因素。</w:t>
      </w:r>
    </w:p>
    <w:p>
      <w:pPr>
        <w:pStyle w:val="2"/>
        <w:spacing w:before="93" w:line="560" w:lineRule="exact"/>
        <w:ind w:firstLine="640" w:firstLineChars="200"/>
        <w:rPr>
          <w:rFonts w:hint="eastAsia" w:ascii="仿宋_GB2312" w:eastAsia="仿宋_GB2312" w:cs="宋体"/>
          <w:color w:val="000000"/>
          <w:kern w:val="0"/>
          <w:sz w:val="32"/>
          <w:szCs w:val="32"/>
          <w:shd w:val="clear" w:color="auto" w:fill="FFFFFF"/>
          <w:lang w:val="zh-CN" w:eastAsia="zh-CN" w:bidi="ar-SA"/>
        </w:rPr>
      </w:pPr>
      <w:r>
        <w:rPr>
          <w:rFonts w:hint="eastAsia"/>
          <w:kern w:val="2"/>
          <w:sz w:val="32"/>
          <w:szCs w:val="32"/>
          <w:lang w:val="en-US" w:eastAsia="zh-CN"/>
        </w:rPr>
        <w:t>体育场馆免费开放</w:t>
      </w:r>
      <w:r>
        <w:rPr>
          <w:rFonts w:hint="eastAsia"/>
          <w:kern w:val="2"/>
          <w:sz w:val="32"/>
          <w:szCs w:val="32"/>
          <w:lang w:val="en-US" w:eastAsia="en-US"/>
        </w:rPr>
        <w:t>补助资金补助范围为：已向社会免费、低收费开放的体育部门所属大型体育场馆，即观众座位数20000个（含20000个）以上的体育场、座位数3000个（含3000个）以上的体育馆、座位数1500个（含1500个）以上的游泳馆（跳水馆）。</w:t>
      </w:r>
    </w:p>
    <w:p>
      <w:pPr>
        <w:pageBreakBefore w:val="0"/>
        <w:widowControl/>
        <w:kinsoku/>
        <w:wordWrap/>
        <w:overflowPunct/>
        <w:topLinePunct w:val="0"/>
        <w:bidi w:val="0"/>
        <w:adjustRightInd w:val="0"/>
        <w:snapToGrid w:val="0"/>
        <w:spacing w:line="576" w:lineRule="exact"/>
        <w:ind w:firstLine="640" w:firstLineChars="200"/>
        <w:contextualSpacing/>
        <w:jc w:val="left"/>
        <w:textAlignment w:val="auto"/>
        <w:rPr>
          <w:rFonts w:hint="eastAsia" w:ascii="仿宋_GB2312" w:eastAsia="仿宋_GB2312" w:cs="宋体"/>
          <w:color w:val="000000"/>
          <w:kern w:val="0"/>
          <w:sz w:val="32"/>
          <w:szCs w:val="32"/>
          <w:shd w:val="clear" w:color="auto" w:fill="FFFFFF"/>
          <w:lang w:val="zh-CN" w:eastAsia="zh-CN" w:bidi="ar-SA"/>
        </w:rPr>
      </w:pPr>
      <w:r>
        <w:rPr>
          <w:rFonts w:hint="eastAsia" w:ascii="仿宋_GB2312" w:eastAsia="仿宋_GB2312" w:cs="宋体"/>
          <w:color w:val="000000"/>
          <w:kern w:val="0"/>
          <w:sz w:val="32"/>
          <w:szCs w:val="32"/>
          <w:shd w:val="clear" w:color="auto" w:fill="FFFFFF"/>
          <w:lang w:val="zh-CN" w:eastAsia="zh-CN" w:bidi="ar-SA"/>
        </w:rPr>
        <w:t>（二）项目绩效目标</w:t>
      </w:r>
    </w:p>
    <w:p>
      <w:pPr>
        <w:pStyle w:val="2"/>
        <w:spacing w:before="93" w:line="560" w:lineRule="exact"/>
        <w:ind w:firstLine="640" w:firstLineChars="200"/>
        <w:rPr>
          <w:rFonts w:hint="eastAsia"/>
          <w:kern w:val="2"/>
          <w:sz w:val="32"/>
          <w:szCs w:val="32"/>
        </w:rPr>
      </w:pPr>
      <w:r>
        <w:rPr>
          <w:rFonts w:hint="eastAsia"/>
          <w:kern w:val="2"/>
          <w:sz w:val="32"/>
          <w:szCs w:val="32"/>
        </w:rPr>
        <w:t>1．项目主要内容</w:t>
      </w:r>
      <w:r>
        <w:rPr>
          <w:rFonts w:hint="eastAsia"/>
          <w:kern w:val="2"/>
          <w:sz w:val="32"/>
          <w:szCs w:val="32"/>
          <w:lang w:val="en-US" w:eastAsia="en-US"/>
        </w:rPr>
        <w:t>:</w:t>
      </w:r>
      <w:r>
        <w:rPr>
          <w:rFonts w:hint="eastAsia"/>
          <w:kern w:val="2"/>
          <w:sz w:val="32"/>
          <w:szCs w:val="32"/>
        </w:rPr>
        <w:t>用于体育场馆免费或低收费开展基本公共体育服务项目所需支出，包括体育场馆日常维护、能源费用、公益性体育活动举办、设施设备更新、运营环境改善等。</w:t>
      </w:r>
    </w:p>
    <w:p>
      <w:pPr>
        <w:adjustRightInd w:val="0"/>
        <w:snapToGrid w:val="0"/>
        <w:spacing w:line="560" w:lineRule="exact"/>
        <w:ind w:firstLine="720"/>
        <w:rPr>
          <w:rFonts w:hint="eastAsia" w:ascii="仿宋_GB2312" w:eastAsia="仿宋_GB2312"/>
          <w:sz w:val="32"/>
          <w:szCs w:val="32"/>
        </w:rPr>
      </w:pPr>
      <w:r>
        <w:rPr>
          <w:rFonts w:hint="eastAsia" w:ascii="仿宋_GB2312" w:eastAsia="仿宋_GB2312"/>
          <w:sz w:val="32"/>
          <w:szCs w:val="32"/>
          <w:lang w:val="zh-CN" w:eastAsia="zh-CN"/>
        </w:rPr>
        <w:t>2．项目应实现的具体绩效目标，大型体育场馆免费开放项目主要用于体育馆的日常维修维护，保证体育馆全年能够正常对群众开放顺利举办各项赛事，</w:t>
      </w:r>
      <w:r>
        <w:rPr>
          <w:rFonts w:hint="eastAsia" w:ascii="仿宋_GB2312" w:eastAsia="仿宋_GB2312"/>
          <w:sz w:val="32"/>
          <w:szCs w:val="32"/>
        </w:rPr>
        <w:t>满足人民群众观看赛事、锻炼身体等各项需求。</w:t>
      </w:r>
    </w:p>
    <w:p>
      <w:pPr>
        <w:adjustRightInd w:val="0"/>
        <w:snapToGrid w:val="0"/>
        <w:spacing w:line="560" w:lineRule="exact"/>
        <w:ind w:firstLine="720"/>
        <w:rPr>
          <w:rFonts w:hint="eastAsia" w:ascii="仿宋_GB2312" w:eastAsia="仿宋_GB2312"/>
          <w:sz w:val="32"/>
          <w:szCs w:val="32"/>
        </w:rPr>
      </w:pPr>
      <w:r>
        <w:rPr>
          <w:rFonts w:hint="eastAsia" w:ascii="仿宋_GB2312" w:eastAsia="仿宋_GB2312"/>
          <w:sz w:val="32"/>
          <w:szCs w:val="32"/>
        </w:rPr>
        <w:t>3.该项目的申报内容符合实际，并且申报目标合理可行。</w:t>
      </w:r>
    </w:p>
    <w:p>
      <w:pPr>
        <w:pageBreakBefore w:val="0"/>
        <w:widowControl/>
        <w:kinsoku/>
        <w:wordWrap/>
        <w:overflowPunct/>
        <w:topLinePunct w:val="0"/>
        <w:bidi w:val="0"/>
        <w:adjustRightInd w:val="0"/>
        <w:snapToGrid w:val="0"/>
        <w:spacing w:line="576" w:lineRule="exact"/>
        <w:ind w:firstLine="640" w:firstLineChars="200"/>
        <w:contextualSpacing/>
        <w:jc w:val="left"/>
        <w:textAlignment w:val="auto"/>
        <w:rPr>
          <w:rFonts w:hint="eastAsia" w:ascii="仿宋_GB2312" w:eastAsia="仿宋_GB2312" w:cs="宋体"/>
          <w:color w:val="000000"/>
          <w:kern w:val="0"/>
          <w:sz w:val="32"/>
          <w:szCs w:val="32"/>
          <w:shd w:val="clear" w:color="auto" w:fill="FFFFFF"/>
          <w:lang w:val="zh-CN" w:eastAsia="zh-CN" w:bidi="ar-SA"/>
        </w:rPr>
      </w:pPr>
      <w:r>
        <w:rPr>
          <w:rFonts w:hint="eastAsia" w:ascii="仿宋_GB2312" w:eastAsia="仿宋_GB2312" w:cs="宋体"/>
          <w:color w:val="000000"/>
          <w:kern w:val="0"/>
          <w:sz w:val="32"/>
          <w:szCs w:val="32"/>
          <w:shd w:val="clear" w:color="auto" w:fill="FFFFFF"/>
          <w:lang w:val="zh-CN" w:eastAsia="zh-CN" w:bidi="ar-SA"/>
        </w:rPr>
        <w:t>（三）项目自评步骤及方法</w:t>
      </w:r>
    </w:p>
    <w:p>
      <w:pPr>
        <w:adjustRightInd w:val="0"/>
        <w:snapToGrid w:val="0"/>
        <w:spacing w:line="560" w:lineRule="exact"/>
        <w:ind w:firstLine="720"/>
        <w:rPr>
          <w:rFonts w:hint="eastAsia" w:ascii="仿宋_GB2312" w:eastAsia="仿宋_GB2312"/>
          <w:sz w:val="32"/>
          <w:szCs w:val="32"/>
          <w:lang w:val="zh-CN" w:eastAsia="zh-CN"/>
        </w:rPr>
      </w:pPr>
      <w:r>
        <w:rPr>
          <w:rFonts w:hint="eastAsia" w:ascii="仿宋_GB2312" w:eastAsia="仿宋_GB2312"/>
          <w:sz w:val="32"/>
          <w:szCs w:val="32"/>
          <w:lang w:val="zh-CN" w:eastAsia="zh-CN"/>
        </w:rPr>
        <w:t>根据《茂县财政局关于开展20</w:t>
      </w:r>
      <w:r>
        <w:rPr>
          <w:rFonts w:hint="eastAsia" w:ascii="仿宋_GB2312" w:eastAsia="仿宋_GB2312"/>
          <w:sz w:val="32"/>
          <w:szCs w:val="32"/>
          <w:lang w:val="en-US" w:eastAsia="zh-CN"/>
        </w:rPr>
        <w:t>23</w:t>
      </w:r>
      <w:r>
        <w:rPr>
          <w:rFonts w:hint="eastAsia" w:ascii="仿宋_GB2312" w:eastAsia="仿宋_GB2312"/>
          <w:sz w:val="32"/>
          <w:szCs w:val="32"/>
          <w:lang w:val="zh-CN" w:eastAsia="zh-CN"/>
        </w:rPr>
        <w:t>年财政支出绩效评价工作的通知》文件要求：</w:t>
      </w:r>
    </w:p>
    <w:p>
      <w:pPr>
        <w:adjustRightInd w:val="0"/>
        <w:snapToGrid w:val="0"/>
        <w:spacing w:line="560" w:lineRule="exact"/>
        <w:ind w:firstLine="720"/>
        <w:rPr>
          <w:rFonts w:hint="eastAsia" w:ascii="仿宋_GB2312" w:eastAsia="仿宋_GB2312"/>
          <w:sz w:val="32"/>
          <w:szCs w:val="32"/>
          <w:lang w:val="zh-CN" w:eastAsia="zh-CN"/>
        </w:rPr>
      </w:pPr>
      <w:r>
        <w:rPr>
          <w:rFonts w:hint="eastAsia" w:ascii="仿宋_GB2312" w:eastAsia="仿宋_GB2312"/>
          <w:sz w:val="32"/>
          <w:szCs w:val="32"/>
          <w:lang w:val="zh-CN" w:eastAsia="zh-CN"/>
        </w:rPr>
        <w:t>第一，我局严格按照《四川省财政支出绩效评价操作规程》开展重点评价工作，通过对其进行分析、汇总，并基与《大型体育场馆免费低收费开放补助资金管理办法》，以现场评价为主、非现场评价为辅，定量分析和定性分析相结合的评价方法对该项目进行绩效考评。一是翻阅台账资料，对该项目专项资金拨付、使用情况进行检查；二是通过实地考察，检查体育馆现场和附属设施运行维护情况；三是进行群众满意度调查，向群众了解体育馆的开放情况。</w:t>
      </w:r>
    </w:p>
    <w:p>
      <w:pPr>
        <w:adjustRightInd w:val="0"/>
        <w:snapToGrid w:val="0"/>
        <w:spacing w:line="560" w:lineRule="exact"/>
        <w:ind w:firstLine="720"/>
        <w:rPr>
          <w:rFonts w:hint="eastAsia" w:ascii="仿宋_GB2312" w:eastAsia="仿宋_GB2312"/>
          <w:sz w:val="32"/>
          <w:szCs w:val="32"/>
          <w:lang w:val="zh-CN" w:eastAsia="zh-CN"/>
        </w:rPr>
      </w:pPr>
      <w:r>
        <w:rPr>
          <w:rFonts w:hint="eastAsia" w:ascii="仿宋_GB2312" w:eastAsia="仿宋_GB2312"/>
          <w:sz w:val="32"/>
          <w:szCs w:val="32"/>
          <w:lang w:val="zh-CN" w:eastAsia="zh-CN"/>
        </w:rPr>
        <w:t>第二，整理归档考评工作记录，梳理、分析和汇总评价结果，撰写绩效评价报告。</w:t>
      </w:r>
    </w:p>
    <w:p>
      <w:pPr>
        <w:adjustRightInd w:val="0"/>
        <w:snapToGrid w:val="0"/>
        <w:spacing w:line="560" w:lineRule="exact"/>
        <w:ind w:firstLine="720"/>
        <w:rPr>
          <w:rFonts w:hint="eastAsia" w:ascii="仿宋_GB2312" w:eastAsia="仿宋_GB2312" w:cs="宋体"/>
          <w:color w:val="000000"/>
          <w:kern w:val="0"/>
          <w:sz w:val="32"/>
          <w:szCs w:val="32"/>
          <w:shd w:val="clear" w:color="auto" w:fill="FFFFFF"/>
          <w:lang w:val="zh-CN" w:eastAsia="zh-CN" w:bidi="ar-SA"/>
        </w:rPr>
      </w:pPr>
      <w:r>
        <w:rPr>
          <w:rFonts w:hint="eastAsia" w:ascii="仿宋_GB2312" w:eastAsia="仿宋_GB2312"/>
          <w:sz w:val="32"/>
          <w:szCs w:val="32"/>
          <w:lang w:val="zh-CN" w:eastAsia="zh-CN"/>
        </w:rPr>
        <w:t>第三，向县财政局提交《茂县文化体育和旅游局关于体育场馆免费开放项目支出绩效自评报告》。</w:t>
      </w:r>
    </w:p>
    <w:p>
      <w:pPr>
        <w:pStyle w:val="2"/>
        <w:bidi w:val="0"/>
        <w:rPr>
          <w:rFonts w:hint="eastAsia" w:ascii="仿宋" w:hAnsi="仿宋" w:eastAsia="仿宋" w:cs="仿宋"/>
          <w:b/>
          <w:bCs/>
          <w:sz w:val="32"/>
          <w:szCs w:val="32"/>
        </w:rPr>
      </w:pPr>
      <w:bookmarkStart w:id="82" w:name="_Toc12572"/>
      <w:r>
        <w:rPr>
          <w:rFonts w:hint="eastAsia" w:ascii="仿宋" w:hAnsi="仿宋" w:eastAsia="仿宋" w:cs="仿宋"/>
          <w:b/>
          <w:bCs/>
          <w:sz w:val="32"/>
          <w:szCs w:val="32"/>
        </w:rPr>
        <w:t>二、项目资金申报及使用情况</w:t>
      </w:r>
      <w:bookmarkEnd w:id="82"/>
    </w:p>
    <w:p>
      <w:pPr>
        <w:pageBreakBefore w:val="0"/>
        <w:widowControl/>
        <w:kinsoku/>
        <w:wordWrap/>
        <w:overflowPunct/>
        <w:topLinePunct w:val="0"/>
        <w:bidi w:val="0"/>
        <w:adjustRightInd w:val="0"/>
        <w:snapToGrid w:val="0"/>
        <w:spacing w:line="576" w:lineRule="exact"/>
        <w:ind w:firstLine="642" w:firstLineChars="200"/>
        <w:contextualSpacing/>
        <w:jc w:val="left"/>
        <w:textAlignment w:val="auto"/>
        <w:rPr>
          <w:rStyle w:val="22"/>
          <w:rFonts w:hint="eastAsia" w:ascii="仿宋_GB2312" w:eastAsia="仿宋_GB2312" w:cs="仿宋_GB2312"/>
          <w:sz w:val="32"/>
          <w:szCs w:val="32"/>
          <w:lang w:bidi="ar-SA"/>
        </w:rPr>
      </w:pPr>
      <w:r>
        <w:rPr>
          <w:rStyle w:val="22"/>
          <w:rFonts w:hint="eastAsia" w:ascii="仿宋_GB2312" w:eastAsia="仿宋_GB2312" w:cs="仿宋_GB2312"/>
          <w:sz w:val="32"/>
          <w:szCs w:val="32"/>
          <w:lang w:bidi="ar-SA"/>
        </w:rPr>
        <w:t>（一）项目资金申报及批复情况</w:t>
      </w:r>
    </w:p>
    <w:p>
      <w:pPr>
        <w:adjustRightInd w:val="0"/>
        <w:snapToGrid w:val="0"/>
        <w:spacing w:line="560" w:lineRule="exact"/>
        <w:ind w:firstLine="720"/>
        <w:rPr>
          <w:rFonts w:hint="eastAsia" w:ascii="仿宋_GB2312" w:eastAsia="仿宋_GB2312" w:cs="Times New Roman"/>
          <w:sz w:val="32"/>
          <w:szCs w:val="32"/>
          <w:lang w:val="zh-CN" w:eastAsia="zh-CN" w:bidi="ar-SA"/>
        </w:rPr>
      </w:pPr>
      <w:r>
        <w:rPr>
          <w:rFonts w:hint="eastAsia" w:ascii="仿宋_GB2312" w:eastAsia="仿宋_GB2312" w:cs="Times New Roman"/>
          <w:sz w:val="32"/>
          <w:szCs w:val="32"/>
          <w:lang w:val="zh-CN" w:eastAsia="zh-CN" w:bidi="ar-SA"/>
        </w:rPr>
        <w:t>该项目资金申报、批复及预算调整等程序均按相关文件精神实施，符合财务要求。批复文件是</w:t>
      </w:r>
      <w:r>
        <w:rPr>
          <w:rFonts w:hint="eastAsia" w:ascii="仿宋_GB2312" w:eastAsia="仿宋_GB2312" w:cs="Times New Roman"/>
          <w:sz w:val="32"/>
          <w:szCs w:val="32"/>
          <w:lang w:val="en-US" w:eastAsia="zh-CN" w:bidi="ar-SA"/>
        </w:rPr>
        <w:t>《关于下达2023</w:t>
      </w:r>
      <w:r>
        <w:rPr>
          <w:rFonts w:hint="eastAsia" w:ascii="仿宋_GB2312" w:eastAsia="仿宋_GB2312" w:cs="Times New Roman"/>
          <w:sz w:val="32"/>
          <w:szCs w:val="32"/>
          <w:lang w:val="en-US" w:eastAsia="en-US" w:bidi="ar-SA"/>
        </w:rPr>
        <w:t>年公共体育场馆向社会免费或低收费开放中央和省级补助资金预算的通知</w:t>
      </w:r>
      <w:r>
        <w:rPr>
          <w:rFonts w:hint="eastAsia" w:ascii="仿宋_GB2312" w:eastAsia="仿宋_GB2312" w:cs="Times New Roman"/>
          <w:sz w:val="32"/>
          <w:szCs w:val="32"/>
          <w:lang w:val="zh-CN" w:eastAsia="zh-CN" w:bidi="ar-SA"/>
        </w:rPr>
        <w:t>》阿州财教（</w:t>
      </w:r>
      <w:r>
        <w:rPr>
          <w:rFonts w:hint="eastAsia" w:ascii="仿宋_GB2312" w:eastAsia="仿宋_GB2312" w:cs="Times New Roman"/>
          <w:sz w:val="32"/>
          <w:szCs w:val="32"/>
          <w:lang w:val="en-US" w:eastAsia="en-US" w:bidi="ar-SA"/>
        </w:rPr>
        <w:t>202</w:t>
      </w:r>
      <w:r>
        <w:rPr>
          <w:rFonts w:hint="eastAsia" w:ascii="仿宋_GB2312" w:eastAsia="仿宋_GB2312" w:cs="Times New Roman"/>
          <w:sz w:val="32"/>
          <w:szCs w:val="32"/>
          <w:lang w:val="en-US" w:eastAsia="zh-CN" w:bidi="ar-SA"/>
        </w:rPr>
        <w:t>3</w:t>
      </w:r>
      <w:r>
        <w:rPr>
          <w:rFonts w:hint="eastAsia" w:ascii="仿宋_GB2312" w:eastAsia="仿宋_GB2312" w:cs="Times New Roman"/>
          <w:sz w:val="32"/>
          <w:szCs w:val="32"/>
          <w:lang w:val="zh-CN" w:eastAsia="zh-CN" w:bidi="ar-SA"/>
        </w:rPr>
        <w:t>）</w:t>
      </w:r>
      <w:r>
        <w:rPr>
          <w:rFonts w:hint="eastAsia" w:ascii="仿宋_GB2312" w:eastAsia="仿宋_GB2312" w:cs="Times New Roman"/>
          <w:sz w:val="32"/>
          <w:szCs w:val="32"/>
          <w:lang w:val="en-US" w:eastAsia="zh-CN" w:bidi="ar-SA"/>
        </w:rPr>
        <w:t>38</w:t>
      </w:r>
      <w:r>
        <w:rPr>
          <w:rFonts w:hint="eastAsia" w:ascii="仿宋_GB2312" w:eastAsia="仿宋_GB2312" w:cs="Times New Roman"/>
          <w:sz w:val="32"/>
          <w:szCs w:val="32"/>
          <w:lang w:val="en-US" w:eastAsia="en-US" w:bidi="ar-SA"/>
        </w:rPr>
        <w:t>号</w:t>
      </w:r>
      <w:r>
        <w:rPr>
          <w:rFonts w:hint="eastAsia" w:ascii="仿宋_GB2312" w:eastAsia="仿宋_GB2312" w:cs="Times New Roman"/>
          <w:sz w:val="32"/>
          <w:szCs w:val="32"/>
          <w:lang w:val="zh-CN" w:eastAsia="zh-CN" w:bidi="ar-SA"/>
        </w:rPr>
        <w:t>，该文件下达我县20</w:t>
      </w:r>
      <w:r>
        <w:rPr>
          <w:rFonts w:hint="eastAsia" w:ascii="仿宋_GB2312" w:eastAsia="仿宋_GB2312" w:cs="Times New Roman"/>
          <w:sz w:val="32"/>
          <w:szCs w:val="32"/>
          <w:lang w:val="en-US" w:eastAsia="zh-CN" w:bidi="ar-SA"/>
        </w:rPr>
        <w:t>23</w:t>
      </w:r>
      <w:r>
        <w:rPr>
          <w:rFonts w:hint="eastAsia" w:ascii="仿宋_GB2312" w:eastAsia="仿宋_GB2312" w:cs="Times New Roman"/>
          <w:sz w:val="32"/>
          <w:szCs w:val="32"/>
          <w:lang w:val="zh-CN" w:eastAsia="zh-CN" w:bidi="ar-SA"/>
        </w:rPr>
        <w:t>年公共体育场馆向社会免费或低收费开放中央补助资金</w:t>
      </w:r>
      <w:r>
        <w:rPr>
          <w:rFonts w:hint="eastAsia" w:ascii="仿宋_GB2312" w:eastAsia="仿宋_GB2312" w:cs="Times New Roman"/>
          <w:sz w:val="32"/>
          <w:szCs w:val="32"/>
          <w:lang w:val="en-US" w:eastAsia="zh-CN" w:bidi="ar-SA"/>
        </w:rPr>
        <w:t>50</w:t>
      </w:r>
      <w:r>
        <w:rPr>
          <w:rFonts w:hint="eastAsia" w:ascii="仿宋_GB2312" w:eastAsia="仿宋_GB2312" w:cs="Times New Roman"/>
          <w:sz w:val="32"/>
          <w:szCs w:val="32"/>
          <w:lang w:val="zh-CN" w:eastAsia="zh-CN" w:bidi="ar-SA"/>
        </w:rPr>
        <w:t>万元、省级补助资金</w:t>
      </w:r>
      <w:r>
        <w:rPr>
          <w:rFonts w:hint="eastAsia" w:ascii="仿宋_GB2312" w:eastAsia="仿宋_GB2312" w:cs="Times New Roman"/>
          <w:sz w:val="32"/>
          <w:szCs w:val="32"/>
          <w:lang w:val="en-US" w:eastAsia="zh-CN" w:bidi="ar-SA"/>
        </w:rPr>
        <w:t>17</w:t>
      </w:r>
      <w:r>
        <w:rPr>
          <w:rFonts w:hint="eastAsia" w:ascii="仿宋_GB2312" w:eastAsia="仿宋_GB2312" w:cs="Times New Roman"/>
          <w:sz w:val="32"/>
          <w:szCs w:val="32"/>
          <w:lang w:val="zh-CN" w:eastAsia="zh-CN" w:bidi="ar-SA"/>
        </w:rPr>
        <w:t>万元。</w:t>
      </w:r>
      <w:r>
        <w:rPr>
          <w:rFonts w:hint="eastAsia" w:ascii="仿宋_GB2312" w:eastAsia="仿宋_GB2312" w:cs="Times New Roman"/>
          <w:sz w:val="32"/>
          <w:szCs w:val="32"/>
          <w:lang w:val="en-US" w:eastAsia="en-US" w:bidi="ar-SA"/>
        </w:rPr>
        <w:t>茂县</w:t>
      </w:r>
      <w:r>
        <w:rPr>
          <w:rFonts w:hint="eastAsia" w:ascii="仿宋_GB2312" w:eastAsia="仿宋_GB2312" w:cs="Times New Roman"/>
          <w:sz w:val="32"/>
          <w:szCs w:val="32"/>
          <w:lang w:val="en-US" w:eastAsia="zh-CN" w:bidi="ar-SA"/>
        </w:rPr>
        <w:t>财政局《关于批复下达2023年部门预算的通知》</w:t>
      </w:r>
      <w:r>
        <w:rPr>
          <w:rFonts w:hint="eastAsia" w:ascii="仿宋_GB2312" w:eastAsia="仿宋_GB2312" w:cs="Times New Roman"/>
          <w:sz w:val="32"/>
          <w:szCs w:val="32"/>
          <w:lang w:val="zh-CN" w:eastAsia="zh-CN" w:bidi="ar-SA"/>
        </w:rPr>
        <w:t>，下达我县202</w:t>
      </w:r>
      <w:r>
        <w:rPr>
          <w:rFonts w:hint="eastAsia" w:ascii="仿宋_GB2312" w:eastAsia="仿宋_GB2312" w:cs="Times New Roman"/>
          <w:sz w:val="32"/>
          <w:szCs w:val="32"/>
          <w:lang w:val="en-US" w:eastAsia="zh-CN" w:bidi="ar-SA"/>
        </w:rPr>
        <w:t>3</w:t>
      </w:r>
      <w:r>
        <w:rPr>
          <w:rFonts w:hint="eastAsia" w:ascii="仿宋_GB2312" w:eastAsia="仿宋_GB2312" w:cs="Times New Roman"/>
          <w:sz w:val="32"/>
          <w:szCs w:val="32"/>
          <w:lang w:val="zh-CN" w:eastAsia="zh-CN" w:bidi="ar-SA"/>
        </w:rPr>
        <w:t>年公共体育场馆向社会免费或低收费开放县级配套补助资金1</w:t>
      </w:r>
      <w:r>
        <w:rPr>
          <w:rFonts w:hint="eastAsia" w:ascii="仿宋_GB2312" w:eastAsia="仿宋_GB2312" w:cs="Times New Roman"/>
          <w:sz w:val="32"/>
          <w:szCs w:val="32"/>
          <w:lang w:val="en-US" w:eastAsia="zh-CN" w:bidi="ar-SA"/>
        </w:rPr>
        <w:t>0</w:t>
      </w:r>
      <w:r>
        <w:rPr>
          <w:rFonts w:hint="eastAsia" w:ascii="仿宋_GB2312" w:eastAsia="仿宋_GB2312" w:cs="Times New Roman"/>
          <w:sz w:val="32"/>
          <w:szCs w:val="32"/>
          <w:lang w:val="zh-CN" w:eastAsia="zh-CN" w:bidi="ar-SA"/>
        </w:rPr>
        <w:t>万元。</w:t>
      </w:r>
    </w:p>
    <w:p>
      <w:pPr>
        <w:pageBreakBefore w:val="0"/>
        <w:widowControl/>
        <w:kinsoku/>
        <w:wordWrap/>
        <w:overflowPunct/>
        <w:topLinePunct w:val="0"/>
        <w:bidi w:val="0"/>
        <w:adjustRightInd w:val="0"/>
        <w:snapToGrid w:val="0"/>
        <w:spacing w:line="576" w:lineRule="exact"/>
        <w:ind w:firstLine="642" w:firstLineChars="200"/>
        <w:contextualSpacing/>
        <w:jc w:val="left"/>
        <w:textAlignment w:val="auto"/>
        <w:rPr>
          <w:rStyle w:val="22"/>
          <w:rFonts w:hint="eastAsia" w:ascii="仿宋_GB2312" w:eastAsia="仿宋_GB2312" w:cs="仿宋_GB2312"/>
          <w:sz w:val="32"/>
          <w:szCs w:val="32"/>
          <w:lang w:bidi="ar-SA"/>
        </w:rPr>
      </w:pPr>
      <w:r>
        <w:rPr>
          <w:rStyle w:val="22"/>
          <w:rFonts w:hint="eastAsia" w:ascii="仿宋_GB2312" w:eastAsia="仿宋_GB2312" w:cs="仿宋_GB2312"/>
          <w:sz w:val="32"/>
          <w:szCs w:val="32"/>
          <w:lang w:bidi="ar-SA"/>
        </w:rPr>
        <w:t>（二）资金计划、到位及使用情况</w:t>
      </w:r>
    </w:p>
    <w:p>
      <w:pPr>
        <w:adjustRightInd w:val="0"/>
        <w:snapToGrid w:val="0"/>
        <w:spacing w:line="560" w:lineRule="exact"/>
        <w:ind w:firstLine="720"/>
        <w:rPr>
          <w:rFonts w:hint="eastAsia" w:ascii="楷体_GB2312" w:eastAsia="楷体_GB2312"/>
          <w:sz w:val="32"/>
          <w:szCs w:val="32"/>
          <w:lang w:val="zh-CN" w:eastAsia="zh-CN"/>
        </w:rPr>
      </w:pPr>
      <w:r>
        <w:rPr>
          <w:rFonts w:hint="eastAsia" w:ascii="楷体_GB2312" w:eastAsia="楷体_GB2312"/>
          <w:sz w:val="32"/>
          <w:szCs w:val="32"/>
          <w:lang w:val="zh-CN" w:eastAsia="zh-CN"/>
        </w:rPr>
        <w:t>1</w:t>
      </w:r>
      <w:r>
        <w:rPr>
          <w:rFonts w:hint="eastAsia" w:ascii="楷体_GB2312" w:eastAsia="楷体_GB2312"/>
          <w:sz w:val="32"/>
          <w:szCs w:val="32"/>
          <w:lang w:val="en-US" w:eastAsia="zh-CN"/>
        </w:rPr>
        <w:t>.</w:t>
      </w:r>
      <w:r>
        <w:rPr>
          <w:rFonts w:hint="eastAsia" w:ascii="楷体_GB2312" w:eastAsia="楷体_GB2312"/>
          <w:sz w:val="32"/>
          <w:szCs w:val="32"/>
          <w:lang w:val="zh-CN" w:eastAsia="zh-CN"/>
        </w:rPr>
        <w:t>资金计划</w:t>
      </w:r>
    </w:p>
    <w:p>
      <w:pPr>
        <w:adjustRightInd w:val="0"/>
        <w:snapToGrid w:val="0"/>
        <w:spacing w:line="560" w:lineRule="exact"/>
        <w:ind w:firstLine="720"/>
        <w:rPr>
          <w:rFonts w:hint="eastAsia" w:ascii="仿宋_GB2312" w:eastAsia="仿宋_GB2312" w:cs="Times New Roman"/>
          <w:sz w:val="32"/>
          <w:szCs w:val="32"/>
          <w:lang w:val="en-US" w:eastAsia="zh-CN" w:bidi="ar-SA"/>
        </w:rPr>
      </w:pPr>
      <w:r>
        <w:rPr>
          <w:rFonts w:hint="eastAsia" w:ascii="仿宋_GB2312" w:eastAsia="仿宋_GB2312" w:cs="Times New Roman"/>
          <w:sz w:val="32"/>
          <w:szCs w:val="32"/>
          <w:lang w:val="en-US" w:eastAsia="zh-CN" w:bidi="ar-SA"/>
        </w:rPr>
        <w:t>按照</w:t>
      </w:r>
      <w:r>
        <w:rPr>
          <w:rFonts w:hint="eastAsia" w:ascii="仿宋_GB2312" w:eastAsia="仿宋_GB2312" w:cs="Times New Roman"/>
          <w:sz w:val="32"/>
          <w:szCs w:val="32"/>
          <w:lang w:val="zh-CN" w:eastAsia="zh-CN" w:bidi="ar-SA"/>
        </w:rPr>
        <w:t>阿州财教（</w:t>
      </w:r>
      <w:r>
        <w:rPr>
          <w:rFonts w:hint="eastAsia" w:ascii="仿宋_GB2312" w:eastAsia="仿宋_GB2312" w:cs="Times New Roman"/>
          <w:sz w:val="32"/>
          <w:szCs w:val="32"/>
          <w:lang w:val="en-US" w:eastAsia="en-US" w:bidi="ar-SA"/>
        </w:rPr>
        <w:t>202</w:t>
      </w:r>
      <w:r>
        <w:rPr>
          <w:rFonts w:hint="eastAsia" w:ascii="仿宋_GB2312" w:eastAsia="仿宋_GB2312" w:cs="Times New Roman"/>
          <w:sz w:val="32"/>
          <w:szCs w:val="32"/>
          <w:lang w:val="en-US" w:eastAsia="zh-CN" w:bidi="ar-SA"/>
        </w:rPr>
        <w:t>3</w:t>
      </w:r>
      <w:r>
        <w:rPr>
          <w:rFonts w:hint="eastAsia" w:ascii="仿宋_GB2312" w:eastAsia="仿宋_GB2312" w:cs="Times New Roman"/>
          <w:sz w:val="32"/>
          <w:szCs w:val="32"/>
          <w:lang w:val="zh-CN" w:eastAsia="zh-CN" w:bidi="ar-SA"/>
        </w:rPr>
        <w:t>）</w:t>
      </w:r>
      <w:r>
        <w:rPr>
          <w:rFonts w:hint="eastAsia" w:ascii="仿宋_GB2312" w:eastAsia="仿宋_GB2312" w:cs="Times New Roman"/>
          <w:sz w:val="32"/>
          <w:szCs w:val="32"/>
          <w:lang w:val="en-US" w:eastAsia="zh-CN" w:bidi="ar-SA"/>
        </w:rPr>
        <w:t>38</w:t>
      </w:r>
      <w:r>
        <w:rPr>
          <w:rFonts w:hint="eastAsia" w:ascii="仿宋_GB2312" w:eastAsia="仿宋_GB2312" w:cs="Times New Roman"/>
          <w:sz w:val="32"/>
          <w:szCs w:val="32"/>
          <w:lang w:val="en-US" w:eastAsia="en-US" w:bidi="ar-SA"/>
        </w:rPr>
        <w:t>号</w:t>
      </w:r>
      <w:r>
        <w:rPr>
          <w:rFonts w:hint="eastAsia" w:ascii="仿宋_GB2312" w:eastAsia="仿宋_GB2312" w:cs="Times New Roman"/>
          <w:sz w:val="32"/>
          <w:szCs w:val="32"/>
          <w:lang w:val="en-US" w:eastAsia="zh-CN" w:bidi="ar-SA"/>
        </w:rPr>
        <w:t>文件下达我县2023年度公共体育场馆向社会免费或低收费开放补助资金76万元，其中：中央补助资金50万元、省级补助资金17万元。茂县财政局《关于批复下达2023年部门预算的通知》，县级配套10万元。</w:t>
      </w:r>
    </w:p>
    <w:p>
      <w:pPr>
        <w:adjustRightInd w:val="0"/>
        <w:snapToGrid w:val="0"/>
        <w:spacing w:line="560" w:lineRule="exact"/>
        <w:ind w:firstLine="720"/>
        <w:rPr>
          <w:rFonts w:hint="eastAsia" w:ascii="楷体_GB2312" w:eastAsia="楷体_GB2312"/>
          <w:sz w:val="32"/>
          <w:szCs w:val="32"/>
          <w:lang w:val="zh-CN" w:eastAsia="zh-CN"/>
        </w:rPr>
      </w:pPr>
      <w:r>
        <w:rPr>
          <w:rFonts w:hint="eastAsia" w:ascii="楷体_GB2312" w:eastAsia="楷体_GB2312"/>
          <w:sz w:val="32"/>
          <w:szCs w:val="32"/>
          <w:lang w:val="zh-CN" w:eastAsia="zh-CN"/>
        </w:rPr>
        <w:t>2</w:t>
      </w:r>
      <w:r>
        <w:rPr>
          <w:rFonts w:hint="eastAsia" w:ascii="楷体_GB2312" w:eastAsia="楷体_GB2312"/>
          <w:sz w:val="32"/>
          <w:szCs w:val="32"/>
          <w:lang w:val="en-US" w:eastAsia="zh-CN"/>
        </w:rPr>
        <w:t>.</w:t>
      </w:r>
      <w:r>
        <w:rPr>
          <w:rFonts w:hint="eastAsia" w:ascii="楷体_GB2312" w:eastAsia="楷体_GB2312"/>
          <w:sz w:val="32"/>
          <w:szCs w:val="32"/>
          <w:lang w:val="zh-CN" w:eastAsia="zh-CN"/>
        </w:rPr>
        <w:t>资金到位</w:t>
      </w:r>
    </w:p>
    <w:p>
      <w:pPr>
        <w:adjustRightInd w:val="0"/>
        <w:snapToGrid w:val="0"/>
        <w:spacing w:line="560" w:lineRule="exact"/>
        <w:ind w:firstLine="720"/>
        <w:rPr>
          <w:rFonts w:hint="eastAsia"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年度大型体育场馆免费开放项目中央和省级补助及县级配套资金</w:t>
      </w:r>
      <w:r>
        <w:rPr>
          <w:rFonts w:hint="eastAsia" w:ascii="仿宋_GB2312" w:eastAsia="仿宋_GB2312"/>
          <w:sz w:val="32"/>
          <w:szCs w:val="32"/>
          <w:lang w:val="en-US" w:eastAsia="zh-CN"/>
        </w:rPr>
        <w:t>77</w:t>
      </w:r>
      <w:r>
        <w:rPr>
          <w:rFonts w:hint="eastAsia" w:ascii="仿宋_GB2312" w:eastAsia="仿宋_GB2312"/>
          <w:sz w:val="32"/>
          <w:szCs w:val="32"/>
        </w:rPr>
        <w:t>万元均已全额拨付至茂县县文化体育和旅游局，资金到位率达100%。</w:t>
      </w:r>
    </w:p>
    <w:p>
      <w:pPr>
        <w:adjustRightInd w:val="0"/>
        <w:snapToGrid w:val="0"/>
        <w:spacing w:line="560" w:lineRule="exact"/>
        <w:ind w:left="0" w:firstLine="640" w:firstLineChars="200"/>
        <w:rPr>
          <w:rFonts w:hint="eastAsia" w:ascii="楷体_GB2312" w:eastAsia="楷体_GB2312" w:cs="Times New Roman"/>
          <w:sz w:val="32"/>
          <w:szCs w:val="32"/>
          <w:lang w:val="zh-CN" w:eastAsia="zh-CN" w:bidi="ar-SA"/>
        </w:rPr>
      </w:pPr>
      <w:r>
        <w:rPr>
          <w:rFonts w:hint="eastAsia" w:ascii="楷体_GB2312" w:eastAsia="楷体_GB2312" w:cs="Times New Roman"/>
          <w:sz w:val="32"/>
          <w:szCs w:val="32"/>
          <w:lang w:val="en-US" w:eastAsia="zh-CN" w:bidi="ar-SA"/>
        </w:rPr>
        <w:t>3.</w:t>
      </w:r>
      <w:r>
        <w:rPr>
          <w:rFonts w:hint="eastAsia" w:ascii="楷体_GB2312" w:eastAsia="楷体_GB2312" w:cs="Times New Roman"/>
          <w:sz w:val="32"/>
          <w:szCs w:val="32"/>
          <w:lang w:val="zh-CN" w:eastAsia="zh-CN" w:bidi="ar-SA"/>
        </w:rPr>
        <w:t>资金使用</w:t>
      </w:r>
    </w:p>
    <w:p>
      <w:pPr>
        <w:adjustRightInd w:val="0"/>
        <w:snapToGrid w:val="0"/>
        <w:spacing w:line="560" w:lineRule="exact"/>
        <w:ind w:left="0" w:firstLine="640" w:firstLineChars="200"/>
        <w:rPr>
          <w:rFonts w:hint="eastAsia" w:ascii="仿宋_GB2312" w:eastAsia="仿宋_GB2312"/>
          <w:sz w:val="32"/>
          <w:szCs w:val="32"/>
        </w:rPr>
      </w:pPr>
      <w:r>
        <w:rPr>
          <w:rFonts w:hint="eastAsia" w:ascii="仿宋_GB2312" w:eastAsia="仿宋_GB2312"/>
          <w:sz w:val="32"/>
          <w:szCs w:val="32"/>
        </w:rPr>
        <w:t>截至目前，大型体育场馆免费开放项目资金已使用</w:t>
      </w:r>
      <w:r>
        <w:rPr>
          <w:rFonts w:hint="eastAsia" w:ascii="仿宋_GB2312" w:eastAsia="仿宋_GB2312"/>
          <w:sz w:val="32"/>
          <w:szCs w:val="32"/>
          <w:lang w:val="en-US" w:eastAsia="zh-CN"/>
        </w:rPr>
        <w:t>77</w:t>
      </w:r>
      <w:r>
        <w:rPr>
          <w:rFonts w:hint="eastAsia" w:ascii="仿宋_GB2312" w:eastAsia="仿宋_GB2312"/>
          <w:sz w:val="32"/>
          <w:szCs w:val="32"/>
        </w:rPr>
        <w:t>万元，资金使用率达100%。主要用于设施设备维护、相关设备更新、日常保安和保洁人员工资、社会保障缴费、体育馆开展公益性体育活动经费等，该项目资金开支范围、标准及支付进度、支付依据均合规合法，资金支付与预算相符。</w:t>
      </w:r>
    </w:p>
    <w:p>
      <w:pPr>
        <w:pageBreakBefore w:val="0"/>
        <w:widowControl/>
        <w:kinsoku/>
        <w:wordWrap/>
        <w:overflowPunct/>
        <w:topLinePunct w:val="0"/>
        <w:bidi w:val="0"/>
        <w:adjustRightInd w:val="0"/>
        <w:snapToGrid w:val="0"/>
        <w:spacing w:line="576" w:lineRule="exact"/>
        <w:ind w:firstLine="642" w:firstLineChars="200"/>
        <w:contextualSpacing/>
        <w:jc w:val="left"/>
        <w:textAlignment w:val="auto"/>
        <w:rPr>
          <w:rStyle w:val="22"/>
          <w:rFonts w:hint="eastAsia" w:ascii="仿宋_GB2312" w:eastAsia="仿宋_GB2312" w:cs="仿宋_GB2312"/>
          <w:sz w:val="32"/>
          <w:szCs w:val="32"/>
          <w:lang w:val="zh-CN" w:eastAsia="zh-CN" w:bidi="ar-SA"/>
        </w:rPr>
      </w:pPr>
      <w:r>
        <w:rPr>
          <w:rStyle w:val="22"/>
          <w:rFonts w:hint="eastAsia" w:ascii="仿宋_GB2312" w:eastAsia="仿宋_GB2312" w:cs="仿宋_GB2312"/>
          <w:sz w:val="32"/>
          <w:szCs w:val="32"/>
          <w:lang w:val="zh-CN" w:eastAsia="zh-CN" w:bidi="ar-SA"/>
        </w:rPr>
        <w:t>（三）项目财务管理情况</w:t>
      </w:r>
    </w:p>
    <w:p>
      <w:pPr>
        <w:adjustRightInd w:val="0"/>
        <w:snapToGrid w:val="0"/>
        <w:spacing w:line="560" w:lineRule="exact"/>
        <w:ind w:firstLine="720"/>
        <w:rPr>
          <w:rFonts w:hint="eastAsia" w:ascii="仿宋_GB2312" w:eastAsia="仿宋_GB2312"/>
          <w:sz w:val="32"/>
          <w:szCs w:val="32"/>
        </w:rPr>
      </w:pPr>
      <w:bookmarkStart w:id="83" w:name="_Toc32649"/>
      <w:r>
        <w:rPr>
          <w:rFonts w:hint="eastAsia" w:ascii="仿宋_GB2312" w:eastAsia="仿宋_GB2312"/>
          <w:sz w:val="32"/>
          <w:szCs w:val="32"/>
        </w:rPr>
        <w:t>作为项目实施单位，茂县文化体育和旅游局按照相关财经纪律，建立健全财务管理制度，所有项目资金均按相关文件精神合理、合规、合法运用，账务处理及时，会计核算规范。</w:t>
      </w:r>
    </w:p>
    <w:p>
      <w:pPr>
        <w:pStyle w:val="2"/>
        <w:bidi w:val="0"/>
        <w:rPr>
          <w:rFonts w:hint="eastAsia" w:ascii="仿宋" w:hAnsi="仿宋" w:eastAsia="仿宋" w:cs="仿宋"/>
          <w:b/>
          <w:bCs/>
          <w:sz w:val="32"/>
          <w:szCs w:val="32"/>
          <w:lang w:val="zh-CN" w:eastAsia="zh-CN"/>
        </w:rPr>
      </w:pPr>
      <w:r>
        <w:rPr>
          <w:rFonts w:hint="eastAsia" w:ascii="仿宋" w:hAnsi="仿宋" w:eastAsia="仿宋" w:cs="仿宋"/>
          <w:b/>
          <w:bCs/>
          <w:sz w:val="32"/>
          <w:szCs w:val="32"/>
          <w:lang w:val="zh-CN" w:eastAsia="zh-CN"/>
        </w:rPr>
        <w:t>三、项目实施及管理情况</w:t>
      </w:r>
      <w:bookmarkEnd w:id="83"/>
    </w:p>
    <w:p>
      <w:pPr>
        <w:adjustRightInd w:val="0"/>
        <w:snapToGrid w:val="0"/>
        <w:spacing w:line="560" w:lineRule="exact"/>
        <w:ind w:firstLine="720"/>
        <w:rPr>
          <w:rFonts w:hint="eastAsia" w:ascii="楷体_GB2312" w:eastAsia="楷体_GB2312"/>
          <w:b/>
          <w:sz w:val="32"/>
          <w:szCs w:val="32"/>
          <w:lang w:val="zh-CN" w:eastAsia="zh-CN"/>
        </w:rPr>
      </w:pPr>
      <w:bookmarkStart w:id="84" w:name="_Toc29753"/>
      <w:r>
        <w:rPr>
          <w:rFonts w:hint="eastAsia" w:ascii="楷体_GB2312" w:eastAsia="楷体_GB2312"/>
          <w:b/>
          <w:sz w:val="32"/>
          <w:szCs w:val="32"/>
          <w:lang w:val="zh-CN" w:eastAsia="zh-CN"/>
        </w:rPr>
        <w:t>（一）项目组织架构及实施流程</w:t>
      </w:r>
    </w:p>
    <w:p>
      <w:pPr>
        <w:adjustRightInd w:val="0"/>
        <w:snapToGrid w:val="0"/>
        <w:spacing w:line="560" w:lineRule="exact"/>
        <w:ind w:firstLine="720"/>
        <w:rPr>
          <w:rFonts w:hint="eastAsia" w:ascii="仿宋_GB2312" w:eastAsia="仿宋_GB2312"/>
          <w:sz w:val="32"/>
          <w:szCs w:val="32"/>
          <w:lang w:val="zh-CN" w:eastAsia="zh-CN"/>
        </w:rPr>
      </w:pPr>
      <w:r>
        <w:rPr>
          <w:rFonts w:hint="eastAsia" w:ascii="仿宋_GB2312" w:eastAsia="仿宋_GB2312"/>
          <w:sz w:val="32"/>
          <w:szCs w:val="32"/>
          <w:lang w:val="zh-CN" w:eastAsia="zh-CN"/>
        </w:rPr>
        <w:t>茂县体育馆由茂县文化体育和旅游局的体育馆管理中心负责管理维护运行，严格按照相关规定对体育馆进行对外免费开放。</w:t>
      </w:r>
    </w:p>
    <w:p>
      <w:pPr>
        <w:adjustRightInd w:val="0"/>
        <w:snapToGrid w:val="0"/>
        <w:spacing w:line="560" w:lineRule="exact"/>
        <w:ind w:firstLine="720"/>
        <w:rPr>
          <w:rFonts w:hint="eastAsia" w:ascii="楷体_GB2312" w:eastAsia="楷体_GB2312"/>
          <w:b/>
          <w:sz w:val="32"/>
          <w:szCs w:val="32"/>
          <w:lang w:val="zh-CN" w:eastAsia="zh-CN"/>
        </w:rPr>
      </w:pPr>
      <w:r>
        <w:rPr>
          <w:rFonts w:hint="eastAsia" w:ascii="楷体_GB2312" w:eastAsia="楷体_GB2312"/>
          <w:b/>
          <w:sz w:val="32"/>
          <w:szCs w:val="32"/>
          <w:lang w:val="zh-CN" w:eastAsia="zh-CN"/>
        </w:rPr>
        <w:t>（二）项目管理情况</w:t>
      </w:r>
    </w:p>
    <w:p>
      <w:pPr>
        <w:adjustRightInd w:val="0"/>
        <w:snapToGrid w:val="0"/>
        <w:spacing w:line="560" w:lineRule="exact"/>
        <w:ind w:firstLine="720"/>
        <w:rPr>
          <w:rFonts w:hint="eastAsia" w:ascii="仿宋_GB2312" w:eastAsia="仿宋_GB2312"/>
          <w:sz w:val="32"/>
          <w:szCs w:val="32"/>
          <w:lang w:val="zh-CN" w:eastAsia="zh-CN"/>
        </w:rPr>
      </w:pPr>
      <w:r>
        <w:rPr>
          <w:rFonts w:hint="eastAsia" w:ascii="仿宋_GB2312" w:eastAsia="仿宋_GB2312"/>
          <w:sz w:val="32"/>
          <w:szCs w:val="32"/>
          <w:lang w:val="zh-CN" w:eastAsia="zh-CN"/>
        </w:rPr>
        <w:t>县财政局严格执行中央及省、市各级对大型体育场馆免费开放项目的相关政策，及时下拨资金至茂县文化体育和旅游局。茂县文化体育和旅游局严格执行相关法律法规及项目管理制度，确保项目资金专款用于体育馆免费开放，杜绝挪用、挤占、滞留专项资金情况。</w:t>
      </w:r>
    </w:p>
    <w:p>
      <w:pPr>
        <w:adjustRightInd w:val="0"/>
        <w:snapToGrid w:val="0"/>
        <w:spacing w:line="560" w:lineRule="exact"/>
        <w:ind w:firstLine="720"/>
        <w:rPr>
          <w:rFonts w:hint="eastAsia" w:ascii="楷体_GB2312" w:eastAsia="楷体_GB2312"/>
          <w:b/>
          <w:sz w:val="32"/>
          <w:szCs w:val="32"/>
          <w:lang w:val="zh-CN" w:eastAsia="zh-CN"/>
        </w:rPr>
      </w:pPr>
      <w:r>
        <w:rPr>
          <w:rFonts w:hint="eastAsia" w:ascii="楷体_GB2312" w:eastAsia="楷体_GB2312"/>
          <w:b/>
          <w:sz w:val="32"/>
          <w:szCs w:val="32"/>
          <w:lang w:val="zh-CN" w:eastAsia="zh-CN"/>
        </w:rPr>
        <w:t>（三）项目监管情况</w:t>
      </w:r>
    </w:p>
    <w:p>
      <w:pPr>
        <w:adjustRightInd w:val="0"/>
        <w:snapToGrid w:val="0"/>
        <w:spacing w:line="560" w:lineRule="exact"/>
        <w:ind w:firstLine="720"/>
        <w:rPr>
          <w:rFonts w:hint="eastAsia" w:ascii="仿宋_GB2312" w:eastAsia="仿宋_GB2312"/>
          <w:sz w:val="32"/>
          <w:szCs w:val="32"/>
          <w:lang w:val="zh-CN" w:eastAsia="zh-CN"/>
        </w:rPr>
      </w:pPr>
      <w:r>
        <w:rPr>
          <w:rFonts w:hint="eastAsia" w:ascii="仿宋_GB2312" w:eastAsia="仿宋_GB2312"/>
          <w:sz w:val="32"/>
          <w:szCs w:val="32"/>
          <w:lang w:val="zh-CN" w:eastAsia="zh-CN"/>
        </w:rPr>
        <w:t>县财政局严格按照资金用途，及时、足额将体育馆免费开放项目资金下拨到茂县文化体育和旅游局，州文化体育和旅游局及县财政不定期抽查体育馆免费开放资金相关账务资料，确保项目资金专款用于体育场馆向群众免费开放。茂县文化体育和旅游局督促茂县体育馆管理中心定期做好体育馆的日常运行维护和对外免费开放工作。</w:t>
      </w:r>
    </w:p>
    <w:bookmarkEnd w:id="84"/>
    <w:p>
      <w:pPr>
        <w:adjustRightInd w:val="0"/>
        <w:snapToGrid w:val="0"/>
        <w:spacing w:line="560" w:lineRule="exact"/>
        <w:ind w:firstLine="720"/>
        <w:rPr>
          <w:rFonts w:hint="eastAsia" w:ascii="仿宋_GB2312" w:eastAsia="仿宋_GB2312"/>
          <w:sz w:val="32"/>
          <w:szCs w:val="32"/>
          <w:lang w:val="zh-CN" w:eastAsia="zh-CN"/>
        </w:rPr>
      </w:pPr>
      <w:r>
        <w:rPr>
          <w:rFonts w:hint="eastAsia" w:ascii="黑体" w:eastAsia="黑体"/>
          <w:sz w:val="32"/>
          <w:szCs w:val="32"/>
        </w:rPr>
        <w:t>四、项目绩效情况</w:t>
      </w:r>
      <w:r>
        <w:rPr>
          <w:rFonts w:hint="eastAsia" w:ascii="仿宋_GB2312" w:eastAsia="仿宋_GB2312"/>
          <w:sz w:val="32"/>
          <w:szCs w:val="32"/>
          <w:lang w:val="zh-CN" w:eastAsia="zh-CN"/>
        </w:rPr>
        <w:tab/>
      </w:r>
    </w:p>
    <w:p>
      <w:pPr>
        <w:adjustRightInd w:val="0"/>
        <w:snapToGrid w:val="0"/>
        <w:spacing w:line="560" w:lineRule="exact"/>
        <w:ind w:firstLine="720"/>
        <w:rPr>
          <w:rFonts w:hint="eastAsia" w:ascii="楷体_GB2312" w:eastAsia="楷体_GB2312"/>
          <w:b/>
          <w:sz w:val="32"/>
          <w:szCs w:val="32"/>
          <w:lang w:val="zh-CN" w:eastAsia="zh-CN"/>
        </w:rPr>
      </w:pPr>
      <w:r>
        <w:rPr>
          <w:rFonts w:hint="eastAsia" w:ascii="楷体_GB2312" w:eastAsia="楷体_GB2312"/>
          <w:b/>
          <w:sz w:val="32"/>
          <w:szCs w:val="32"/>
          <w:lang w:val="zh-CN" w:eastAsia="zh-CN"/>
        </w:rPr>
        <w:t>（一）项目完成情况</w:t>
      </w:r>
    </w:p>
    <w:p>
      <w:pPr>
        <w:pStyle w:val="19"/>
        <w:shd w:val="clear" w:color="auto" w:fill="FFFFFF"/>
        <w:spacing w:beforeAutospacing="0" w:afterAutospacing="0" w:line="560" w:lineRule="exact"/>
        <w:ind w:firstLine="640" w:firstLineChars="200"/>
        <w:rPr>
          <w:rFonts w:hint="eastAsia" w:ascii="仿宋_GB2312" w:eastAsia="仿宋_GB2312"/>
          <w:kern w:val="2"/>
          <w:sz w:val="32"/>
          <w:szCs w:val="32"/>
          <w:lang w:val="zh-CN" w:eastAsia="zh-CN"/>
        </w:rPr>
      </w:pPr>
      <w:r>
        <w:rPr>
          <w:rFonts w:hint="eastAsia" w:ascii="仿宋_GB2312" w:eastAsia="仿宋_GB2312"/>
          <w:kern w:val="2"/>
          <w:sz w:val="32"/>
          <w:szCs w:val="32"/>
          <w:lang w:val="zh-CN" w:eastAsia="zh-CN"/>
        </w:rPr>
        <w:t>1.</w:t>
      </w:r>
      <w:r>
        <w:rPr>
          <w:rFonts w:hint="eastAsia" w:ascii="仿宋_GB2312" w:eastAsia="仿宋_GB2312"/>
          <w:kern w:val="2"/>
          <w:sz w:val="32"/>
          <w:szCs w:val="32"/>
        </w:rPr>
        <w:t>202</w:t>
      </w:r>
      <w:r>
        <w:rPr>
          <w:rFonts w:hint="eastAsia" w:ascii="仿宋_GB2312" w:eastAsia="仿宋_GB2312"/>
          <w:kern w:val="2"/>
          <w:sz w:val="32"/>
          <w:szCs w:val="32"/>
          <w:lang w:val="en-US" w:eastAsia="zh-CN"/>
        </w:rPr>
        <w:t>3</w:t>
      </w:r>
      <w:r>
        <w:rPr>
          <w:rFonts w:hint="eastAsia" w:ascii="仿宋_GB2312" w:eastAsia="仿宋_GB2312"/>
          <w:kern w:val="2"/>
          <w:sz w:val="32"/>
          <w:szCs w:val="32"/>
          <w:lang w:val="zh-CN" w:eastAsia="zh-CN"/>
        </w:rPr>
        <w:t>年，茂县体育馆除疫情原因闭馆外其余时间每周7天均白天全天免费开放，开放范围为田径场、篮球场、</w:t>
      </w:r>
      <w:r>
        <w:rPr>
          <w:rFonts w:hint="eastAsia" w:ascii="仿宋_GB2312" w:eastAsia="仿宋_GB2312"/>
          <w:kern w:val="2"/>
          <w:sz w:val="32"/>
          <w:szCs w:val="32"/>
        </w:rPr>
        <w:t>5人制足球场、</w:t>
      </w:r>
      <w:r>
        <w:rPr>
          <w:rFonts w:hint="eastAsia" w:ascii="仿宋_GB2312" w:eastAsia="仿宋_GB2312"/>
          <w:kern w:val="2"/>
          <w:sz w:val="32"/>
          <w:szCs w:val="32"/>
          <w:lang w:val="zh-CN" w:eastAsia="zh-CN"/>
        </w:rPr>
        <w:t>乒乓球场、羽毛球场、棋类活动室、健身房。</w:t>
      </w:r>
    </w:p>
    <w:p>
      <w:pPr>
        <w:pStyle w:val="19"/>
        <w:shd w:val="clear" w:color="auto" w:fill="FFFFFF"/>
        <w:spacing w:beforeAutospacing="0" w:afterAutospacing="0" w:line="560" w:lineRule="exact"/>
        <w:ind w:firstLine="640" w:firstLineChars="200"/>
        <w:rPr>
          <w:rFonts w:hint="eastAsia" w:ascii="仿宋_GB2312" w:eastAsia="仿宋_GB2312"/>
          <w:kern w:val="2"/>
          <w:sz w:val="32"/>
          <w:szCs w:val="32"/>
          <w:lang w:val="zh-CN" w:eastAsia="zh-CN"/>
        </w:rPr>
      </w:pPr>
      <w:r>
        <w:rPr>
          <w:rFonts w:hint="eastAsia" w:ascii="仿宋_GB2312" w:eastAsia="仿宋_GB2312"/>
          <w:kern w:val="2"/>
          <w:sz w:val="32"/>
          <w:szCs w:val="32"/>
          <w:lang w:val="zh-CN" w:eastAsia="zh-CN"/>
        </w:rPr>
        <w:t>2.茂县体育馆20</w:t>
      </w:r>
      <w:r>
        <w:rPr>
          <w:rFonts w:hint="eastAsia" w:ascii="仿宋_GB2312" w:eastAsia="仿宋_GB2312"/>
          <w:kern w:val="2"/>
          <w:sz w:val="32"/>
          <w:szCs w:val="32"/>
        </w:rPr>
        <w:t>2</w:t>
      </w:r>
      <w:r>
        <w:rPr>
          <w:rFonts w:hint="eastAsia" w:ascii="仿宋_GB2312" w:eastAsia="仿宋_GB2312"/>
          <w:kern w:val="2"/>
          <w:sz w:val="32"/>
          <w:szCs w:val="32"/>
          <w:lang w:val="en-US" w:eastAsia="zh-CN"/>
        </w:rPr>
        <w:t>3</w:t>
      </w:r>
      <w:r>
        <w:rPr>
          <w:rFonts w:hint="eastAsia" w:ascii="仿宋_GB2312" w:eastAsia="仿宋_GB2312"/>
          <w:kern w:val="2"/>
          <w:sz w:val="32"/>
          <w:szCs w:val="32"/>
          <w:lang w:val="zh-CN" w:eastAsia="zh-CN"/>
        </w:rPr>
        <w:t>年免费开放</w:t>
      </w:r>
      <w:r>
        <w:rPr>
          <w:rFonts w:hint="eastAsia" w:ascii="仿宋_GB2312" w:eastAsia="仿宋_GB2312"/>
          <w:color w:val="000000"/>
          <w:kern w:val="2"/>
          <w:sz w:val="32"/>
          <w:szCs w:val="32"/>
          <w:lang w:val="zh-CN" w:eastAsia="zh-CN"/>
        </w:rPr>
        <w:t>达</w:t>
      </w:r>
      <w:r>
        <w:rPr>
          <w:rFonts w:hint="eastAsia" w:ascii="仿宋_GB2312" w:eastAsia="仿宋_GB2312"/>
          <w:color w:val="000000"/>
          <w:kern w:val="2"/>
          <w:sz w:val="32"/>
          <w:szCs w:val="32"/>
          <w:lang w:val="en-US" w:eastAsia="zh-CN"/>
        </w:rPr>
        <w:t>80000</w:t>
      </w:r>
      <w:r>
        <w:rPr>
          <w:rFonts w:hint="eastAsia" w:ascii="仿宋_GB2312" w:eastAsia="仿宋_GB2312"/>
          <w:color w:val="000000"/>
          <w:kern w:val="2"/>
          <w:sz w:val="32"/>
          <w:szCs w:val="32"/>
          <w:lang w:val="zh-CN" w:eastAsia="zh-CN"/>
        </w:rPr>
        <w:t>人次，每天在体育馆及周边进行田径、篮球、乒乓球、羽毛球、棋牌活动、力量训练的群众至少在</w:t>
      </w:r>
      <w:r>
        <w:rPr>
          <w:rFonts w:hint="eastAsia" w:ascii="仿宋_GB2312" w:eastAsia="仿宋_GB2312"/>
          <w:color w:val="000000"/>
          <w:kern w:val="2"/>
          <w:sz w:val="32"/>
          <w:szCs w:val="32"/>
          <w:lang w:val="en-US" w:eastAsia="zh-CN"/>
        </w:rPr>
        <w:t>200</w:t>
      </w:r>
      <w:r>
        <w:rPr>
          <w:rFonts w:hint="eastAsia" w:ascii="仿宋_GB2312" w:eastAsia="仿宋_GB2312"/>
          <w:kern w:val="2"/>
          <w:sz w:val="32"/>
          <w:szCs w:val="32"/>
          <w:lang w:val="zh-CN" w:eastAsia="zh-CN"/>
        </w:rPr>
        <w:t>人次以上，免费为锻炼群众提供场地服务。</w:t>
      </w:r>
    </w:p>
    <w:p>
      <w:pPr>
        <w:pStyle w:val="19"/>
        <w:shd w:val="clear" w:color="auto" w:fill="FFFFFF"/>
        <w:spacing w:beforeAutospacing="0" w:afterAutospacing="0" w:line="560" w:lineRule="exact"/>
        <w:ind w:firstLine="640" w:firstLineChars="200"/>
        <w:rPr>
          <w:rFonts w:hint="eastAsia" w:ascii="仿宋_GB2312" w:eastAsia="仿宋_GB2312"/>
          <w:kern w:val="2"/>
          <w:sz w:val="32"/>
          <w:szCs w:val="32"/>
          <w:lang w:val="zh-CN" w:eastAsia="zh-CN"/>
        </w:rPr>
      </w:pPr>
      <w:r>
        <w:rPr>
          <w:rFonts w:hint="eastAsia" w:ascii="仿宋_GB2312" w:eastAsia="仿宋_GB2312"/>
          <w:kern w:val="2"/>
          <w:sz w:val="32"/>
          <w:szCs w:val="32"/>
          <w:lang w:val="zh-CN" w:eastAsia="zh-CN"/>
        </w:rPr>
        <w:t>3.通过以大型体育赛事承办和全民健身活动的开展为抓手，积极引进国、省级体育赛事，努力创办自主品牌赛事，开展了群众喜闻乐见、丰富多彩的竞赛、表演、健身等活动，使体育馆成为我县开展健身指导、体育培训、体育组织、体质监测等服务的重要场所，进一步推进了全县体育事业发展，促进群众文体活动深入持久开展。</w:t>
      </w:r>
    </w:p>
    <w:p>
      <w:pPr>
        <w:adjustRightInd w:val="0"/>
        <w:snapToGrid w:val="0"/>
        <w:spacing w:line="560" w:lineRule="exact"/>
        <w:ind w:firstLine="720"/>
        <w:rPr>
          <w:rFonts w:hint="eastAsia" w:ascii="楷体_GB2312" w:eastAsia="楷体_GB2312"/>
          <w:b/>
          <w:sz w:val="32"/>
          <w:szCs w:val="32"/>
          <w:lang w:val="zh-CN" w:eastAsia="zh-CN"/>
        </w:rPr>
      </w:pPr>
      <w:r>
        <w:rPr>
          <w:rFonts w:hint="eastAsia" w:ascii="楷体_GB2312" w:eastAsia="楷体_GB2312"/>
          <w:b/>
          <w:sz w:val="32"/>
          <w:szCs w:val="32"/>
          <w:lang w:val="zh-CN" w:eastAsia="zh-CN"/>
        </w:rPr>
        <w:t>（二）项目效益情况</w:t>
      </w:r>
    </w:p>
    <w:p>
      <w:pPr>
        <w:pStyle w:val="19"/>
        <w:shd w:val="clear" w:color="auto" w:fill="FFFFFF"/>
        <w:spacing w:beforeAutospacing="0" w:afterAutospacing="0" w:line="560" w:lineRule="exact"/>
        <w:ind w:firstLine="640" w:firstLineChars="200"/>
        <w:rPr>
          <w:rFonts w:hint="eastAsia" w:ascii="仿宋_GB2312" w:eastAsia="仿宋_GB2312"/>
          <w:kern w:val="2"/>
          <w:sz w:val="32"/>
          <w:szCs w:val="32"/>
          <w:lang w:val="zh-CN" w:eastAsia="zh-CN"/>
        </w:rPr>
      </w:pPr>
      <w:r>
        <w:rPr>
          <w:rFonts w:hint="eastAsia" w:ascii="仿宋_GB2312" w:eastAsia="仿宋_GB2312"/>
          <w:kern w:val="2"/>
          <w:sz w:val="32"/>
          <w:szCs w:val="32"/>
          <w:lang w:val="zh-CN" w:eastAsia="zh-CN"/>
        </w:rPr>
        <w:t>1.经济效益：对项目资金坚持统一管理、突出重点、合理安排、专款专用、注重绩效。</w:t>
      </w:r>
    </w:p>
    <w:p>
      <w:pPr>
        <w:pStyle w:val="19"/>
        <w:shd w:val="clear" w:color="auto" w:fill="FFFFFF"/>
        <w:spacing w:beforeAutospacing="0" w:afterAutospacing="0" w:line="560" w:lineRule="exact"/>
        <w:ind w:firstLine="640" w:firstLineChars="200"/>
        <w:rPr>
          <w:rFonts w:hint="eastAsia" w:ascii="仿宋_GB2312" w:eastAsia="仿宋_GB2312"/>
          <w:kern w:val="2"/>
          <w:sz w:val="32"/>
          <w:szCs w:val="32"/>
          <w:highlight w:val="none"/>
          <w:lang w:val="zh-CN" w:eastAsia="zh-CN"/>
        </w:rPr>
      </w:pPr>
      <w:r>
        <w:rPr>
          <w:rFonts w:hint="eastAsia" w:ascii="仿宋_GB2312" w:eastAsia="仿宋_GB2312"/>
          <w:kern w:val="2"/>
          <w:sz w:val="32"/>
          <w:szCs w:val="32"/>
          <w:highlight w:val="none"/>
          <w:lang w:val="zh-CN" w:eastAsia="zh-CN"/>
        </w:rPr>
        <w:t>2.社会效益：从长远来看，承接各项赛事、举办各类体育活动，满足了广大群众的健身需求，而且丰富了群众的文体生活，为全县人民群众提供文化体育活动场地。</w:t>
      </w:r>
    </w:p>
    <w:p>
      <w:pPr>
        <w:pStyle w:val="19"/>
        <w:shd w:val="clear" w:color="auto" w:fill="FFFFFF"/>
        <w:spacing w:beforeAutospacing="0" w:afterAutospacing="0" w:line="560" w:lineRule="exact"/>
        <w:ind w:firstLine="640" w:firstLineChars="200"/>
        <w:rPr>
          <w:rFonts w:hint="eastAsia" w:ascii="仿宋_GB2312" w:eastAsia="仿宋_GB2312"/>
          <w:kern w:val="2"/>
          <w:sz w:val="32"/>
          <w:szCs w:val="32"/>
          <w:lang w:val="zh-CN" w:eastAsia="zh-CN"/>
        </w:rPr>
      </w:pPr>
      <w:r>
        <w:rPr>
          <w:rFonts w:hint="eastAsia" w:ascii="仿宋_GB2312" w:eastAsia="仿宋_GB2312"/>
          <w:kern w:val="2"/>
          <w:sz w:val="32"/>
          <w:szCs w:val="32"/>
          <w:lang w:val="zh-CN" w:eastAsia="zh-CN"/>
        </w:rPr>
        <w:t>3.生态效益：引导广大群众积极参与到体育锻炼中来，倡导绿色出行、节约能源。</w:t>
      </w:r>
    </w:p>
    <w:p>
      <w:pPr>
        <w:pStyle w:val="19"/>
        <w:shd w:val="clear" w:color="auto" w:fill="FFFFFF"/>
        <w:spacing w:beforeAutospacing="0" w:afterAutospacing="0" w:line="560" w:lineRule="exact"/>
        <w:ind w:firstLine="640" w:firstLineChars="200"/>
        <w:rPr>
          <w:rFonts w:hint="eastAsia" w:ascii="仿宋_GB2312" w:eastAsia="仿宋_GB2312"/>
          <w:kern w:val="2"/>
          <w:sz w:val="32"/>
          <w:szCs w:val="32"/>
          <w:lang w:val="zh-CN" w:eastAsia="zh-CN"/>
        </w:rPr>
      </w:pPr>
      <w:r>
        <w:rPr>
          <w:rFonts w:hint="eastAsia" w:ascii="仿宋_GB2312" w:eastAsia="仿宋_GB2312"/>
          <w:kern w:val="2"/>
          <w:sz w:val="32"/>
          <w:szCs w:val="32"/>
        </w:rPr>
        <w:t>4</w:t>
      </w:r>
      <w:r>
        <w:rPr>
          <w:rFonts w:hint="eastAsia" w:ascii="仿宋_GB2312" w:eastAsia="仿宋_GB2312"/>
          <w:kern w:val="2"/>
          <w:sz w:val="32"/>
          <w:szCs w:val="32"/>
          <w:lang w:val="zh-CN" w:eastAsia="zh-CN"/>
        </w:rPr>
        <w:t>.服务对象满意度：群众满意度达到9</w:t>
      </w:r>
      <w:r>
        <w:rPr>
          <w:rFonts w:hint="eastAsia" w:ascii="仿宋_GB2312" w:eastAsia="仿宋_GB2312"/>
          <w:kern w:val="2"/>
          <w:sz w:val="32"/>
          <w:szCs w:val="32"/>
          <w:lang w:val="en-US" w:eastAsia="zh-CN"/>
        </w:rPr>
        <w:t>8</w:t>
      </w:r>
      <w:r>
        <w:rPr>
          <w:rFonts w:hint="eastAsia" w:ascii="仿宋_GB2312" w:eastAsia="仿宋_GB2312"/>
          <w:kern w:val="2"/>
          <w:sz w:val="32"/>
          <w:szCs w:val="32"/>
          <w:lang w:val="zh-CN" w:eastAsia="zh-CN"/>
        </w:rPr>
        <w:t>%。</w:t>
      </w:r>
    </w:p>
    <w:p>
      <w:pPr>
        <w:adjustRightInd w:val="0"/>
        <w:snapToGrid w:val="0"/>
        <w:spacing w:line="560" w:lineRule="exact"/>
        <w:ind w:firstLine="720"/>
        <w:rPr>
          <w:rFonts w:hint="eastAsia" w:ascii="黑体" w:eastAsia="黑体" w:cs="Times New Roman"/>
          <w:sz w:val="32"/>
          <w:szCs w:val="32"/>
          <w:lang w:bidi="ar-SA"/>
        </w:rPr>
      </w:pPr>
      <w:r>
        <w:rPr>
          <w:rFonts w:hint="eastAsia" w:ascii="黑体" w:eastAsia="黑体" w:cs="Times New Roman"/>
          <w:sz w:val="32"/>
          <w:szCs w:val="32"/>
          <w:lang w:bidi="ar-SA"/>
        </w:rPr>
        <w:t>五、评价结论及建议</w:t>
      </w:r>
    </w:p>
    <w:p>
      <w:pPr>
        <w:adjustRightInd w:val="0"/>
        <w:snapToGrid w:val="0"/>
        <w:spacing w:line="560" w:lineRule="exact"/>
        <w:ind w:firstLine="720"/>
        <w:rPr>
          <w:rFonts w:hint="eastAsia" w:ascii="楷体_GB2312" w:eastAsia="楷体_GB2312" w:cs="Times New Roman"/>
          <w:b/>
          <w:sz w:val="32"/>
          <w:szCs w:val="32"/>
          <w:lang w:val="zh-CN" w:eastAsia="zh-CN" w:bidi="ar-SA"/>
        </w:rPr>
      </w:pPr>
      <w:r>
        <w:rPr>
          <w:rFonts w:hint="eastAsia" w:ascii="楷体_GB2312" w:eastAsia="楷体_GB2312" w:cs="Times New Roman"/>
          <w:b/>
          <w:sz w:val="32"/>
          <w:szCs w:val="32"/>
          <w:lang w:val="zh-CN" w:eastAsia="zh-CN" w:bidi="ar-SA"/>
        </w:rPr>
        <w:t>（一）评价结论</w:t>
      </w:r>
    </w:p>
    <w:p>
      <w:pPr>
        <w:pStyle w:val="19"/>
        <w:shd w:val="clear" w:color="auto" w:fill="FFFFFF"/>
        <w:spacing w:beforeAutospacing="0" w:afterAutospacing="0" w:line="560" w:lineRule="exact"/>
        <w:ind w:firstLine="640" w:firstLineChars="200"/>
        <w:rPr>
          <w:rFonts w:hint="eastAsia" w:ascii="仿宋_GB2312" w:eastAsia="仿宋_GB2312"/>
          <w:kern w:val="2"/>
          <w:sz w:val="32"/>
          <w:szCs w:val="32"/>
          <w:lang w:val="zh-CN" w:eastAsia="zh-CN"/>
        </w:rPr>
      </w:pPr>
      <w:r>
        <w:rPr>
          <w:rFonts w:hint="eastAsia" w:ascii="仿宋_GB2312" w:eastAsia="仿宋_GB2312"/>
          <w:kern w:val="2"/>
          <w:sz w:val="32"/>
          <w:szCs w:val="32"/>
          <w:lang w:val="zh-CN" w:eastAsia="zh-CN"/>
        </w:rPr>
        <w:t>茂县文化体育和旅游局20</w:t>
      </w:r>
      <w:r>
        <w:rPr>
          <w:rFonts w:hint="eastAsia" w:ascii="仿宋_GB2312" w:eastAsia="仿宋_GB2312"/>
          <w:kern w:val="2"/>
          <w:sz w:val="32"/>
          <w:szCs w:val="32"/>
        </w:rPr>
        <w:t>2</w:t>
      </w:r>
      <w:r>
        <w:rPr>
          <w:rFonts w:hint="eastAsia" w:ascii="仿宋_GB2312" w:eastAsia="仿宋_GB2312"/>
          <w:kern w:val="2"/>
          <w:sz w:val="32"/>
          <w:szCs w:val="32"/>
          <w:lang w:val="en-US" w:eastAsia="zh-CN"/>
        </w:rPr>
        <w:t>3</w:t>
      </w:r>
      <w:r>
        <w:rPr>
          <w:rFonts w:hint="eastAsia" w:ascii="仿宋_GB2312" w:eastAsia="仿宋_GB2312"/>
          <w:kern w:val="2"/>
          <w:sz w:val="32"/>
          <w:szCs w:val="32"/>
          <w:lang w:val="zh-CN" w:eastAsia="zh-CN"/>
        </w:rPr>
        <w:t>年度大型体育场馆免费开放项目资金全部用于我县体育馆的运行维修维护，确保体育馆能够正常对群众开放并举办各项赛事，满足我县群众观看赛事、锻炼身体等各项需求。该项目绩效目标、预期效益、计划实施进度明确，决策依据充分；资金切块合理、管理严格，未出现编报虚假预算以套取专项资金，挤占、截留、挪用专项资金，因管理不善而造成国家资产损失和浪费，违反国家财经纪律等行为；产生了较好的社会效益，运行维护效果好，受益群体满意度高。</w:t>
      </w:r>
    </w:p>
    <w:p>
      <w:pPr>
        <w:adjustRightInd w:val="0"/>
        <w:snapToGrid w:val="0"/>
        <w:spacing w:line="560" w:lineRule="exact"/>
        <w:ind w:firstLine="720"/>
        <w:rPr>
          <w:rFonts w:hint="eastAsia" w:ascii="楷体_GB2312" w:eastAsia="楷体_GB2312"/>
          <w:b/>
          <w:sz w:val="32"/>
          <w:szCs w:val="32"/>
          <w:lang w:val="zh-CN" w:eastAsia="zh-CN"/>
        </w:rPr>
      </w:pPr>
      <w:r>
        <w:rPr>
          <w:rFonts w:hint="eastAsia" w:ascii="楷体_GB2312" w:eastAsia="楷体_GB2312"/>
          <w:b/>
          <w:sz w:val="32"/>
          <w:szCs w:val="32"/>
          <w:lang w:val="zh-CN" w:eastAsia="zh-CN"/>
        </w:rPr>
        <w:t>（二）存在的问题</w:t>
      </w:r>
    </w:p>
    <w:p>
      <w:pPr>
        <w:pStyle w:val="19"/>
        <w:shd w:val="clear" w:color="auto" w:fill="FFFFFF"/>
        <w:spacing w:beforeAutospacing="0" w:afterAutospacing="0" w:line="560" w:lineRule="exact"/>
        <w:ind w:firstLine="640" w:firstLineChars="200"/>
        <w:rPr>
          <w:rFonts w:hint="eastAsia" w:ascii="仿宋_GB2312" w:eastAsia="仿宋_GB2312"/>
          <w:kern w:val="2"/>
          <w:sz w:val="32"/>
          <w:szCs w:val="32"/>
          <w:lang w:val="zh-CN" w:eastAsia="zh-CN"/>
        </w:rPr>
      </w:pPr>
      <w:r>
        <w:rPr>
          <w:rFonts w:hint="eastAsia" w:ascii="仿宋_GB2312" w:eastAsia="仿宋_GB2312"/>
          <w:kern w:val="2"/>
          <w:sz w:val="32"/>
          <w:szCs w:val="32"/>
          <w:lang w:val="zh-CN" w:eastAsia="zh-CN"/>
        </w:rPr>
        <w:t>1.体育设施虽越加完善，但广大群众体育健身意识不够强，参与体育锻炼人数不够多，覆盖范围不够广。</w:t>
      </w:r>
    </w:p>
    <w:p>
      <w:pPr>
        <w:adjustRightInd w:val="0"/>
        <w:snapToGrid w:val="0"/>
        <w:spacing w:line="560" w:lineRule="exact"/>
        <w:ind w:firstLine="720"/>
        <w:rPr>
          <w:rFonts w:hint="eastAsia" w:ascii="楷体_GB2312" w:eastAsia="楷体_GB2312"/>
          <w:b/>
          <w:sz w:val="32"/>
          <w:szCs w:val="32"/>
          <w:lang w:val="zh-CN" w:eastAsia="zh-CN"/>
        </w:rPr>
      </w:pPr>
      <w:r>
        <w:rPr>
          <w:rFonts w:hint="eastAsia" w:ascii="楷体_GB2312" w:eastAsia="楷体_GB2312"/>
          <w:b/>
          <w:sz w:val="32"/>
          <w:szCs w:val="32"/>
          <w:lang w:val="zh-CN" w:eastAsia="zh-CN"/>
        </w:rPr>
        <w:t>（三）相关建议</w:t>
      </w:r>
    </w:p>
    <w:p>
      <w:pPr>
        <w:pStyle w:val="19"/>
        <w:shd w:val="clear" w:color="auto" w:fill="FFFFFF"/>
        <w:spacing w:beforeAutospacing="0" w:afterAutospacing="0" w:line="560" w:lineRule="exact"/>
        <w:ind w:firstLine="640" w:firstLineChars="200"/>
        <w:rPr>
          <w:rFonts w:hint="eastAsia" w:ascii="仿宋_GB2312" w:eastAsia="仿宋_GB2312"/>
          <w:kern w:val="2"/>
          <w:sz w:val="32"/>
          <w:szCs w:val="32"/>
          <w:lang w:val="zh-CN" w:eastAsia="zh-CN"/>
        </w:rPr>
      </w:pPr>
      <w:r>
        <w:rPr>
          <w:rFonts w:hint="eastAsia" w:ascii="仿宋_GB2312" w:eastAsia="仿宋_GB2312"/>
          <w:kern w:val="2"/>
          <w:sz w:val="32"/>
          <w:szCs w:val="32"/>
          <w:lang w:val="zh-CN" w:eastAsia="zh-CN"/>
        </w:rPr>
        <w:t>1.加大体育健身的宣传力度，引导带动广大群众积极参与健身运动，提高广大群众的体育健身意识。</w:t>
      </w:r>
    </w:p>
    <w:p>
      <w:pPr>
        <w:pStyle w:val="19"/>
        <w:shd w:val="clear" w:color="auto" w:fill="FFFFFF"/>
        <w:spacing w:beforeAutospacing="0" w:afterAutospacing="0" w:line="560" w:lineRule="exact"/>
        <w:ind w:firstLine="640" w:firstLineChars="200"/>
        <w:rPr>
          <w:rFonts w:hint="eastAsia" w:ascii="仿宋_GB2312" w:eastAsia="仿宋_GB2312"/>
          <w:kern w:val="2"/>
          <w:sz w:val="32"/>
          <w:szCs w:val="32"/>
          <w:highlight w:val="none"/>
          <w:lang w:val="zh-CN" w:eastAsia="zh-CN"/>
        </w:rPr>
      </w:pPr>
      <w:r>
        <w:rPr>
          <w:rFonts w:hint="eastAsia" w:ascii="仿宋_GB2312" w:eastAsia="仿宋_GB2312"/>
          <w:kern w:val="2"/>
          <w:sz w:val="32"/>
          <w:szCs w:val="32"/>
          <w:highlight w:val="none"/>
        </w:rPr>
        <w:t>2</w:t>
      </w:r>
      <w:r>
        <w:rPr>
          <w:rFonts w:hint="eastAsia" w:ascii="仿宋_GB2312" w:eastAsia="仿宋_GB2312"/>
          <w:kern w:val="2"/>
          <w:sz w:val="32"/>
          <w:szCs w:val="32"/>
          <w:highlight w:val="none"/>
          <w:lang w:val="zh-CN" w:eastAsia="zh-CN"/>
        </w:rPr>
        <w:t>.积极向上级争取政策资金支持，进一步加大山区体育设施和场馆建设投入力度。引进高水平赛事，吸引专业队训练，全面打造茂县体育品牌。</w:t>
      </w:r>
    </w:p>
    <w:p>
      <w:pPr>
        <w:pageBreakBefore w:val="0"/>
        <w:kinsoku/>
        <w:wordWrap/>
        <w:overflowPunct/>
        <w:topLinePunct w:val="0"/>
        <w:autoSpaceDE/>
        <w:bidi w:val="0"/>
        <w:spacing w:line="576" w:lineRule="exact"/>
        <w:ind w:left="49" w:firstLine="640" w:firstLineChars="200"/>
        <w:rPr>
          <w:rFonts w:hint="eastAsia" w:ascii="仿宋_GB2312" w:hAnsi="Arial" w:eastAsia="仿宋_GB2312" w:cs="Arial"/>
          <w:color w:val="333333"/>
          <w:kern w:val="0"/>
          <w:sz w:val="32"/>
          <w:szCs w:val="32"/>
          <w:lang w:val="en-US" w:eastAsia="zh-CN" w:bidi="ar-SA"/>
        </w:rPr>
      </w:pPr>
    </w:p>
    <w:p>
      <w:pPr>
        <w:pageBreakBefore w:val="0"/>
        <w:kinsoku/>
        <w:wordWrap/>
        <w:overflowPunct/>
        <w:topLinePunct w:val="0"/>
        <w:autoSpaceDE/>
        <w:bidi w:val="0"/>
        <w:spacing w:line="576" w:lineRule="exact"/>
        <w:ind w:left="49" w:firstLine="640" w:firstLineChars="200"/>
        <w:rPr>
          <w:rFonts w:hint="eastAsia" w:ascii="仿宋_GB2312" w:hAnsi="Arial" w:eastAsia="仿宋_GB2312" w:cs="Arial"/>
          <w:color w:val="333333"/>
          <w:kern w:val="0"/>
          <w:sz w:val="32"/>
          <w:szCs w:val="32"/>
          <w:lang w:val="en-US" w:eastAsia="zh-CN" w:bidi="ar-SA"/>
        </w:rPr>
      </w:pPr>
    </w:p>
    <w:p>
      <w:pPr>
        <w:pStyle w:val="40"/>
        <w:shd w:val="clear" w:color="auto" w:fill="FFFFFF"/>
        <w:spacing w:before="0" w:beforeAutospacing="0" w:after="0" w:afterAutospacing="0" w:line="336" w:lineRule="atLeast"/>
        <w:ind w:firstLine="880"/>
        <w:jc w:val="center"/>
        <w:rPr>
          <w:rStyle w:val="22"/>
          <w:rFonts w:cs="Arial"/>
          <w:sz w:val="44"/>
          <w:szCs w:val="44"/>
        </w:rPr>
      </w:pPr>
    </w:p>
    <w:p>
      <w:pPr>
        <w:pStyle w:val="40"/>
        <w:shd w:val="clear" w:color="auto" w:fill="FFFFFF"/>
        <w:spacing w:before="0" w:beforeAutospacing="0" w:after="0" w:afterAutospacing="0" w:line="336" w:lineRule="atLeast"/>
        <w:ind w:firstLine="880"/>
        <w:jc w:val="center"/>
        <w:rPr>
          <w:rStyle w:val="22"/>
          <w:rFonts w:cs="Arial"/>
          <w:sz w:val="44"/>
          <w:szCs w:val="44"/>
        </w:rPr>
      </w:pPr>
    </w:p>
    <w:p>
      <w:pPr>
        <w:pStyle w:val="40"/>
        <w:shd w:val="clear" w:color="auto" w:fill="FFFFFF"/>
        <w:spacing w:before="0" w:beforeAutospacing="0" w:after="0" w:afterAutospacing="0" w:line="336" w:lineRule="atLeast"/>
        <w:ind w:firstLine="880"/>
        <w:jc w:val="center"/>
        <w:rPr>
          <w:rStyle w:val="22"/>
          <w:rFonts w:cs="Arial"/>
          <w:sz w:val="44"/>
          <w:szCs w:val="44"/>
        </w:rPr>
      </w:pPr>
    </w:p>
    <w:p>
      <w:pPr>
        <w:pStyle w:val="40"/>
        <w:shd w:val="clear" w:color="auto" w:fill="FFFFFF"/>
        <w:spacing w:before="0" w:beforeAutospacing="0" w:after="0" w:afterAutospacing="0" w:line="336" w:lineRule="atLeast"/>
        <w:ind w:firstLine="880"/>
        <w:jc w:val="center"/>
        <w:rPr>
          <w:rStyle w:val="22"/>
          <w:rFonts w:cs="Arial"/>
          <w:sz w:val="44"/>
          <w:szCs w:val="44"/>
        </w:rPr>
      </w:pPr>
    </w:p>
    <w:p>
      <w:pPr>
        <w:pStyle w:val="40"/>
        <w:shd w:val="clear" w:color="auto" w:fill="FFFFFF"/>
        <w:spacing w:before="0" w:beforeAutospacing="0" w:after="0" w:afterAutospacing="0" w:line="336" w:lineRule="atLeast"/>
        <w:ind w:firstLine="880"/>
        <w:jc w:val="center"/>
        <w:rPr>
          <w:rStyle w:val="22"/>
          <w:rFonts w:cs="Arial"/>
          <w:sz w:val="44"/>
          <w:szCs w:val="44"/>
        </w:rPr>
      </w:pPr>
    </w:p>
    <w:p>
      <w:pPr>
        <w:pStyle w:val="40"/>
        <w:shd w:val="clear" w:color="auto" w:fill="FFFFFF"/>
        <w:spacing w:before="0" w:beforeAutospacing="0" w:after="0" w:afterAutospacing="0" w:line="336" w:lineRule="atLeast"/>
        <w:ind w:firstLine="880"/>
        <w:jc w:val="center"/>
        <w:rPr>
          <w:rStyle w:val="22"/>
          <w:rFonts w:cs="Arial"/>
          <w:sz w:val="44"/>
          <w:szCs w:val="44"/>
        </w:rPr>
      </w:pPr>
    </w:p>
    <w:p>
      <w:pPr>
        <w:pStyle w:val="40"/>
        <w:shd w:val="clear" w:color="auto" w:fill="FFFFFF"/>
        <w:spacing w:before="0" w:beforeAutospacing="0" w:after="0" w:afterAutospacing="0" w:line="336" w:lineRule="atLeast"/>
        <w:ind w:firstLine="880"/>
        <w:jc w:val="center"/>
        <w:rPr>
          <w:rStyle w:val="22"/>
          <w:rFonts w:cs="Arial"/>
          <w:sz w:val="44"/>
          <w:szCs w:val="44"/>
        </w:rPr>
      </w:pPr>
    </w:p>
    <w:p>
      <w:pPr>
        <w:pStyle w:val="40"/>
        <w:shd w:val="clear" w:color="auto" w:fill="FFFFFF"/>
        <w:spacing w:before="0" w:beforeAutospacing="0" w:after="0" w:afterAutospacing="0" w:line="336" w:lineRule="atLeast"/>
        <w:ind w:firstLine="880"/>
        <w:jc w:val="center"/>
        <w:rPr>
          <w:rStyle w:val="22"/>
          <w:rFonts w:cs="Arial"/>
          <w:sz w:val="44"/>
          <w:szCs w:val="44"/>
        </w:rPr>
      </w:pPr>
    </w:p>
    <w:p>
      <w:pPr>
        <w:pStyle w:val="40"/>
        <w:shd w:val="clear" w:color="auto" w:fill="FFFFFF"/>
        <w:spacing w:before="0" w:beforeAutospacing="0" w:after="0" w:afterAutospacing="0" w:line="336" w:lineRule="atLeast"/>
        <w:ind w:firstLine="880"/>
        <w:jc w:val="center"/>
        <w:rPr>
          <w:rStyle w:val="22"/>
          <w:rFonts w:cs="Arial"/>
          <w:sz w:val="44"/>
          <w:szCs w:val="44"/>
        </w:rPr>
      </w:pPr>
    </w:p>
    <w:p>
      <w:pPr>
        <w:pStyle w:val="40"/>
        <w:shd w:val="clear" w:color="auto" w:fill="FFFFFF"/>
        <w:spacing w:before="0" w:beforeAutospacing="0" w:after="0" w:afterAutospacing="0" w:line="336" w:lineRule="atLeast"/>
        <w:ind w:firstLine="880"/>
        <w:jc w:val="center"/>
        <w:rPr>
          <w:rStyle w:val="22"/>
          <w:rFonts w:cs="Arial"/>
          <w:sz w:val="44"/>
          <w:szCs w:val="44"/>
        </w:rPr>
      </w:pPr>
    </w:p>
    <w:p>
      <w:pPr>
        <w:pStyle w:val="40"/>
        <w:shd w:val="clear" w:color="auto" w:fill="FFFFFF"/>
        <w:spacing w:before="0" w:beforeAutospacing="0" w:after="0" w:afterAutospacing="0" w:line="336" w:lineRule="atLeast"/>
        <w:ind w:firstLine="880"/>
        <w:jc w:val="center"/>
        <w:rPr>
          <w:rStyle w:val="22"/>
          <w:rFonts w:cs="Arial"/>
          <w:sz w:val="44"/>
          <w:szCs w:val="44"/>
        </w:rPr>
      </w:pPr>
    </w:p>
    <w:p>
      <w:pPr>
        <w:pStyle w:val="40"/>
        <w:shd w:val="clear" w:color="auto" w:fill="FFFFFF"/>
        <w:spacing w:before="0" w:beforeAutospacing="0" w:after="0" w:afterAutospacing="0" w:line="336" w:lineRule="atLeast"/>
        <w:ind w:firstLine="880"/>
        <w:jc w:val="center"/>
        <w:rPr>
          <w:rStyle w:val="22"/>
          <w:rFonts w:cs="Arial"/>
          <w:sz w:val="44"/>
          <w:szCs w:val="44"/>
        </w:rPr>
      </w:pPr>
    </w:p>
    <w:p>
      <w:pPr>
        <w:pStyle w:val="40"/>
        <w:shd w:val="clear" w:color="auto" w:fill="FFFFFF"/>
        <w:spacing w:before="0" w:beforeAutospacing="0" w:after="0" w:afterAutospacing="0" w:line="336" w:lineRule="atLeast"/>
        <w:ind w:firstLine="880"/>
        <w:jc w:val="center"/>
        <w:rPr>
          <w:rStyle w:val="22"/>
          <w:rFonts w:cs="Arial"/>
          <w:sz w:val="44"/>
          <w:szCs w:val="44"/>
        </w:rPr>
      </w:pPr>
    </w:p>
    <w:p>
      <w:pPr>
        <w:pStyle w:val="40"/>
        <w:shd w:val="clear" w:color="auto" w:fill="FFFFFF"/>
        <w:spacing w:before="0" w:beforeAutospacing="0" w:after="0" w:afterAutospacing="0" w:line="336" w:lineRule="atLeast"/>
        <w:ind w:firstLine="880"/>
        <w:jc w:val="center"/>
        <w:rPr>
          <w:rStyle w:val="22"/>
          <w:rFonts w:cs="Arial"/>
          <w:sz w:val="44"/>
          <w:szCs w:val="44"/>
        </w:rPr>
      </w:pPr>
    </w:p>
    <w:p>
      <w:pPr>
        <w:pStyle w:val="40"/>
        <w:shd w:val="clear" w:color="auto" w:fill="FFFFFF"/>
        <w:spacing w:before="0" w:beforeAutospacing="0" w:after="0" w:afterAutospacing="0" w:line="336" w:lineRule="atLeast"/>
        <w:ind w:firstLine="880"/>
        <w:jc w:val="center"/>
        <w:rPr>
          <w:rStyle w:val="22"/>
          <w:rFonts w:cs="Arial"/>
          <w:sz w:val="44"/>
          <w:szCs w:val="44"/>
        </w:rPr>
      </w:pPr>
    </w:p>
    <w:p>
      <w:pPr>
        <w:pStyle w:val="40"/>
        <w:shd w:val="clear" w:color="auto" w:fill="FFFFFF"/>
        <w:spacing w:before="0" w:beforeAutospacing="0" w:after="0" w:afterAutospacing="0" w:line="336" w:lineRule="atLeast"/>
        <w:ind w:firstLine="880"/>
        <w:jc w:val="center"/>
        <w:rPr>
          <w:rStyle w:val="22"/>
          <w:rFonts w:cs="Arial"/>
          <w:sz w:val="44"/>
          <w:szCs w:val="44"/>
        </w:rPr>
      </w:pPr>
    </w:p>
    <w:p>
      <w:pPr>
        <w:pStyle w:val="40"/>
        <w:shd w:val="clear" w:color="auto" w:fill="FFFFFF"/>
        <w:spacing w:before="0" w:beforeAutospacing="0" w:after="0" w:afterAutospacing="0" w:line="336" w:lineRule="atLeast"/>
        <w:ind w:firstLine="880"/>
        <w:jc w:val="center"/>
        <w:rPr>
          <w:rStyle w:val="22"/>
          <w:rFonts w:cs="Arial"/>
          <w:sz w:val="44"/>
          <w:szCs w:val="44"/>
        </w:rPr>
      </w:pPr>
    </w:p>
    <w:p>
      <w:pPr>
        <w:pStyle w:val="2"/>
        <w:bidi w:val="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博物馆</w:t>
      </w:r>
      <w:r>
        <w:rPr>
          <w:rFonts w:hint="eastAsia" w:ascii="方正小标宋简体" w:hAnsi="方正小标宋简体" w:eastAsia="方正小标宋简体" w:cs="方正小标宋简体"/>
          <w:sz w:val="44"/>
          <w:szCs w:val="44"/>
        </w:rPr>
        <w:t>免费开放项目</w:t>
      </w:r>
    </w:p>
    <w:p>
      <w:pPr>
        <w:pStyle w:val="2"/>
        <w:bidi w:val="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3</w:t>
      </w:r>
      <w:r>
        <w:rPr>
          <w:rFonts w:hint="eastAsia" w:ascii="方正小标宋简体" w:hAnsi="方正小标宋简体" w:eastAsia="方正小标宋简体" w:cs="方正小标宋简体"/>
          <w:sz w:val="44"/>
          <w:szCs w:val="44"/>
        </w:rPr>
        <w:t>年支出绩效自评报告</w:t>
      </w:r>
    </w:p>
    <w:p>
      <w:pPr>
        <w:pStyle w:val="2"/>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一、项目概况</w:t>
      </w:r>
    </w:p>
    <w:p>
      <w:pPr>
        <w:pageBreakBefore w:val="0"/>
        <w:widowControl/>
        <w:kinsoku/>
        <w:wordWrap/>
        <w:overflowPunct/>
        <w:topLinePunct w:val="0"/>
        <w:bidi w:val="0"/>
        <w:adjustRightInd w:val="0"/>
        <w:snapToGrid w:val="0"/>
        <w:spacing w:line="576" w:lineRule="exact"/>
        <w:ind w:firstLine="640" w:firstLineChars="200"/>
        <w:contextualSpacing/>
        <w:jc w:val="left"/>
        <w:textAlignment w:val="auto"/>
        <w:rPr>
          <w:rFonts w:hint="eastAsia" w:ascii="仿宋_GB2312" w:eastAsia="仿宋_GB2312" w:cs="宋体"/>
          <w:color w:val="000000"/>
          <w:kern w:val="0"/>
          <w:sz w:val="32"/>
          <w:szCs w:val="32"/>
          <w:shd w:val="clear" w:color="auto" w:fill="FFFFFF"/>
          <w:lang w:val="zh-CN" w:eastAsia="zh-CN" w:bidi="ar-SA"/>
        </w:rPr>
      </w:pPr>
      <w:r>
        <w:rPr>
          <w:rFonts w:hint="eastAsia" w:ascii="仿宋_GB2312" w:eastAsia="仿宋_GB2312" w:cs="宋体"/>
          <w:color w:val="000000"/>
          <w:kern w:val="0"/>
          <w:sz w:val="32"/>
          <w:szCs w:val="32"/>
          <w:shd w:val="clear" w:color="auto" w:fill="FFFFFF"/>
          <w:lang w:val="zh-CN" w:eastAsia="zh-CN" w:bidi="ar-SA"/>
        </w:rPr>
        <w:t>（一）项目基本情况</w:t>
      </w:r>
    </w:p>
    <w:p>
      <w:pPr>
        <w:pStyle w:val="2"/>
        <w:spacing w:before="93" w:line="560" w:lineRule="exact"/>
        <w:ind w:firstLine="640" w:firstLineChars="200"/>
        <w:rPr>
          <w:rFonts w:hint="eastAsia"/>
          <w:kern w:val="2"/>
          <w:sz w:val="32"/>
          <w:szCs w:val="32"/>
        </w:rPr>
      </w:pPr>
      <w:r>
        <w:rPr>
          <w:rFonts w:hint="eastAsia"/>
          <w:kern w:val="2"/>
          <w:sz w:val="32"/>
          <w:szCs w:val="32"/>
        </w:rPr>
        <w:t>茂县文化体育和旅游局在</w:t>
      </w:r>
      <w:r>
        <w:rPr>
          <w:rFonts w:hint="eastAsia"/>
          <w:kern w:val="2"/>
          <w:sz w:val="32"/>
          <w:szCs w:val="32"/>
          <w:lang w:eastAsia="zh-CN"/>
        </w:rPr>
        <w:t>博物馆</w:t>
      </w:r>
      <w:r>
        <w:rPr>
          <w:rFonts w:hint="eastAsia"/>
          <w:kern w:val="2"/>
          <w:sz w:val="32"/>
          <w:szCs w:val="32"/>
        </w:rPr>
        <w:t>免费开放项目管理中主要承担</w:t>
      </w:r>
      <w:r>
        <w:rPr>
          <w:rFonts w:hint="eastAsia"/>
          <w:kern w:val="2"/>
          <w:sz w:val="32"/>
          <w:szCs w:val="32"/>
          <w:lang w:eastAsia="zh-CN"/>
        </w:rPr>
        <w:t>博物</w:t>
      </w:r>
      <w:r>
        <w:rPr>
          <w:rFonts w:hint="eastAsia"/>
          <w:kern w:val="2"/>
          <w:sz w:val="32"/>
          <w:szCs w:val="32"/>
        </w:rPr>
        <w:t>馆免费开放专项资金的预算、申请、管理、拨付、监督等职能，对我县</w:t>
      </w:r>
      <w:r>
        <w:rPr>
          <w:rFonts w:hint="eastAsia"/>
          <w:kern w:val="2"/>
          <w:sz w:val="32"/>
          <w:szCs w:val="32"/>
          <w:lang w:eastAsia="zh-CN"/>
        </w:rPr>
        <w:t>博物</w:t>
      </w:r>
      <w:r>
        <w:rPr>
          <w:rFonts w:hint="eastAsia"/>
          <w:kern w:val="2"/>
          <w:sz w:val="32"/>
          <w:szCs w:val="32"/>
        </w:rPr>
        <w:t>馆免费开放资金实行统一管理，专款专用，提高资金使用效益。</w:t>
      </w:r>
    </w:p>
    <w:p>
      <w:pPr>
        <w:pStyle w:val="2"/>
        <w:spacing w:before="93" w:line="560" w:lineRule="exact"/>
        <w:ind w:firstLine="640" w:firstLineChars="200"/>
        <w:rPr>
          <w:rFonts w:hint="eastAsia"/>
          <w:kern w:val="2"/>
          <w:sz w:val="32"/>
          <w:szCs w:val="32"/>
          <w:lang w:val="en-US" w:eastAsia="en-US"/>
        </w:rPr>
      </w:pPr>
      <w:r>
        <w:rPr>
          <w:rFonts w:hint="eastAsia"/>
          <w:kern w:val="2"/>
          <w:sz w:val="32"/>
          <w:szCs w:val="32"/>
        </w:rPr>
        <w:t>根据《四川省财政厅</w:t>
      </w:r>
      <w:r>
        <w:rPr>
          <w:rFonts w:hint="eastAsia"/>
          <w:kern w:val="2"/>
          <w:sz w:val="32"/>
          <w:szCs w:val="32"/>
          <w:lang w:val="en-US" w:eastAsia="zh-CN"/>
        </w:rPr>
        <w:t xml:space="preserve"> </w:t>
      </w:r>
      <w:r>
        <w:rPr>
          <w:rFonts w:hint="eastAsia"/>
          <w:kern w:val="2"/>
          <w:sz w:val="32"/>
          <w:szCs w:val="32"/>
        </w:rPr>
        <w:t>省</w:t>
      </w:r>
      <w:r>
        <w:rPr>
          <w:rFonts w:hint="eastAsia"/>
          <w:kern w:val="2"/>
          <w:sz w:val="32"/>
          <w:szCs w:val="32"/>
          <w:lang w:eastAsia="zh-CN"/>
        </w:rPr>
        <w:t>文物局</w:t>
      </w:r>
      <w:r>
        <w:rPr>
          <w:rFonts w:hint="eastAsia"/>
          <w:kern w:val="2"/>
          <w:sz w:val="32"/>
          <w:szCs w:val="32"/>
        </w:rPr>
        <w:t>关于下达</w:t>
      </w:r>
      <w:r>
        <w:rPr>
          <w:rFonts w:hint="eastAsia"/>
          <w:kern w:val="2"/>
          <w:sz w:val="32"/>
          <w:szCs w:val="32"/>
          <w:lang w:val="en-US" w:eastAsia="en-US"/>
        </w:rPr>
        <w:t>202</w:t>
      </w:r>
      <w:r>
        <w:rPr>
          <w:rFonts w:hint="eastAsia"/>
          <w:kern w:val="2"/>
          <w:sz w:val="32"/>
          <w:szCs w:val="32"/>
          <w:lang w:val="en-US" w:eastAsia="zh-CN"/>
        </w:rPr>
        <w:t>3</w:t>
      </w:r>
      <w:r>
        <w:rPr>
          <w:rFonts w:hint="eastAsia"/>
          <w:kern w:val="2"/>
          <w:sz w:val="32"/>
          <w:szCs w:val="32"/>
        </w:rPr>
        <w:t>年</w:t>
      </w:r>
      <w:r>
        <w:rPr>
          <w:rFonts w:hint="eastAsia"/>
          <w:kern w:val="2"/>
          <w:sz w:val="32"/>
          <w:szCs w:val="32"/>
          <w:lang w:eastAsia="zh-CN"/>
        </w:rPr>
        <w:t>博物</w:t>
      </w:r>
      <w:r>
        <w:rPr>
          <w:rFonts w:hint="eastAsia"/>
          <w:kern w:val="2"/>
          <w:sz w:val="32"/>
          <w:szCs w:val="32"/>
        </w:rPr>
        <w:t>馆</w:t>
      </w:r>
      <w:r>
        <w:rPr>
          <w:rFonts w:hint="eastAsia"/>
          <w:kern w:val="2"/>
          <w:sz w:val="32"/>
          <w:szCs w:val="32"/>
          <w:lang w:eastAsia="zh-CN"/>
        </w:rPr>
        <w:t>纪念馆</w:t>
      </w:r>
      <w:r>
        <w:rPr>
          <w:rFonts w:hint="eastAsia"/>
          <w:kern w:val="2"/>
          <w:sz w:val="32"/>
          <w:szCs w:val="32"/>
        </w:rPr>
        <w:t>免费开放中央补助资金预算的通知》（川财教〔20</w:t>
      </w:r>
      <w:r>
        <w:rPr>
          <w:rFonts w:hint="eastAsia"/>
          <w:kern w:val="2"/>
          <w:sz w:val="32"/>
          <w:szCs w:val="32"/>
          <w:lang w:val="en-US" w:eastAsia="zh-CN"/>
        </w:rPr>
        <w:t>23</w:t>
      </w:r>
      <w:r>
        <w:rPr>
          <w:rFonts w:hint="eastAsia"/>
          <w:kern w:val="2"/>
          <w:sz w:val="32"/>
          <w:szCs w:val="32"/>
        </w:rPr>
        <w:t>〕</w:t>
      </w:r>
      <w:r>
        <w:rPr>
          <w:rFonts w:hint="eastAsia"/>
          <w:kern w:val="2"/>
          <w:sz w:val="32"/>
          <w:szCs w:val="32"/>
          <w:lang w:val="en-US" w:eastAsia="zh-CN"/>
        </w:rPr>
        <w:t>55</w:t>
      </w:r>
      <w:r>
        <w:rPr>
          <w:rFonts w:hint="eastAsia"/>
          <w:kern w:val="2"/>
          <w:sz w:val="32"/>
          <w:szCs w:val="32"/>
        </w:rPr>
        <w:t>号），州文化体育和旅游局《关于下达</w:t>
      </w:r>
      <w:r>
        <w:rPr>
          <w:rFonts w:hint="eastAsia"/>
          <w:kern w:val="2"/>
          <w:sz w:val="32"/>
          <w:szCs w:val="32"/>
          <w:lang w:val="en-US" w:eastAsia="en-US"/>
        </w:rPr>
        <w:t>202</w:t>
      </w:r>
      <w:r>
        <w:rPr>
          <w:rFonts w:hint="eastAsia"/>
          <w:kern w:val="2"/>
          <w:sz w:val="32"/>
          <w:szCs w:val="32"/>
          <w:lang w:val="en-US" w:eastAsia="zh-CN"/>
        </w:rPr>
        <w:t>3</w:t>
      </w:r>
      <w:r>
        <w:rPr>
          <w:rFonts w:hint="eastAsia"/>
          <w:kern w:val="2"/>
          <w:sz w:val="32"/>
          <w:szCs w:val="32"/>
          <w:lang w:val="en-US" w:eastAsia="en-US"/>
        </w:rPr>
        <w:t>年</w:t>
      </w:r>
      <w:r>
        <w:rPr>
          <w:rFonts w:hint="eastAsia"/>
          <w:kern w:val="2"/>
          <w:sz w:val="32"/>
          <w:szCs w:val="32"/>
          <w:lang w:eastAsia="zh-CN"/>
        </w:rPr>
        <w:t>博物</w:t>
      </w:r>
      <w:r>
        <w:rPr>
          <w:rFonts w:hint="eastAsia"/>
          <w:kern w:val="2"/>
          <w:sz w:val="32"/>
          <w:szCs w:val="32"/>
        </w:rPr>
        <w:t>馆</w:t>
      </w:r>
      <w:r>
        <w:rPr>
          <w:rFonts w:hint="eastAsia"/>
          <w:kern w:val="2"/>
          <w:sz w:val="32"/>
          <w:szCs w:val="32"/>
          <w:lang w:eastAsia="zh-CN"/>
        </w:rPr>
        <w:t>纪念馆</w:t>
      </w:r>
      <w:r>
        <w:rPr>
          <w:rFonts w:hint="eastAsia"/>
          <w:kern w:val="2"/>
          <w:sz w:val="32"/>
          <w:szCs w:val="32"/>
        </w:rPr>
        <w:t>免费开放中央</w:t>
      </w:r>
      <w:r>
        <w:rPr>
          <w:rFonts w:hint="eastAsia"/>
          <w:kern w:val="2"/>
          <w:sz w:val="32"/>
          <w:szCs w:val="32"/>
          <w:lang w:val="en-US" w:eastAsia="en-US"/>
        </w:rPr>
        <w:t>补助资金预算的通知</w:t>
      </w:r>
      <w:r>
        <w:rPr>
          <w:rFonts w:hint="eastAsia"/>
          <w:kern w:val="2"/>
          <w:sz w:val="32"/>
          <w:szCs w:val="32"/>
        </w:rPr>
        <w:t>》阿州财教（</w:t>
      </w:r>
      <w:r>
        <w:rPr>
          <w:rFonts w:hint="eastAsia"/>
          <w:kern w:val="2"/>
          <w:sz w:val="32"/>
          <w:szCs w:val="32"/>
          <w:lang w:val="en-US" w:eastAsia="en-US"/>
        </w:rPr>
        <w:t>202</w:t>
      </w:r>
      <w:r>
        <w:rPr>
          <w:rFonts w:hint="eastAsia"/>
          <w:kern w:val="2"/>
          <w:sz w:val="32"/>
          <w:szCs w:val="32"/>
          <w:lang w:val="en-US" w:eastAsia="zh-CN"/>
        </w:rPr>
        <w:t>3</w:t>
      </w:r>
      <w:r>
        <w:rPr>
          <w:rFonts w:hint="eastAsia"/>
          <w:kern w:val="2"/>
          <w:sz w:val="32"/>
          <w:szCs w:val="32"/>
        </w:rPr>
        <w:t>）</w:t>
      </w:r>
      <w:r>
        <w:rPr>
          <w:rFonts w:hint="eastAsia"/>
          <w:kern w:val="2"/>
          <w:sz w:val="32"/>
          <w:szCs w:val="32"/>
          <w:lang w:val="en-US" w:eastAsia="zh-CN"/>
        </w:rPr>
        <w:t>30</w:t>
      </w:r>
      <w:r>
        <w:rPr>
          <w:rFonts w:hint="eastAsia"/>
          <w:kern w:val="2"/>
          <w:sz w:val="32"/>
          <w:szCs w:val="32"/>
          <w:lang w:val="en-US" w:eastAsia="en-US"/>
        </w:rPr>
        <w:t>号，202</w:t>
      </w:r>
      <w:r>
        <w:rPr>
          <w:rFonts w:hint="eastAsia"/>
          <w:kern w:val="2"/>
          <w:sz w:val="32"/>
          <w:szCs w:val="32"/>
          <w:lang w:val="en-US" w:eastAsia="zh-CN"/>
        </w:rPr>
        <w:t>3</w:t>
      </w:r>
      <w:r>
        <w:rPr>
          <w:rFonts w:hint="eastAsia"/>
          <w:kern w:val="2"/>
          <w:sz w:val="32"/>
          <w:szCs w:val="32"/>
          <w:lang w:val="en-US" w:eastAsia="en-US"/>
        </w:rPr>
        <w:t>年茂县</w:t>
      </w:r>
      <w:r>
        <w:rPr>
          <w:rFonts w:hint="eastAsia"/>
          <w:kern w:val="2"/>
          <w:sz w:val="32"/>
          <w:szCs w:val="32"/>
          <w:lang w:val="en-US" w:eastAsia="zh-CN"/>
        </w:rPr>
        <w:t>博物</w:t>
      </w:r>
      <w:r>
        <w:rPr>
          <w:rFonts w:hint="eastAsia"/>
          <w:kern w:val="2"/>
          <w:sz w:val="32"/>
          <w:szCs w:val="32"/>
          <w:lang w:val="en-US" w:eastAsia="en-US"/>
        </w:rPr>
        <w:t>馆向</w:t>
      </w:r>
      <w:r>
        <w:rPr>
          <w:rFonts w:hint="eastAsia"/>
          <w:kern w:val="2"/>
          <w:sz w:val="32"/>
          <w:szCs w:val="32"/>
          <w:lang w:val="en-US" w:eastAsia="zh-CN"/>
        </w:rPr>
        <w:t>免费开放专项</w:t>
      </w:r>
      <w:r>
        <w:rPr>
          <w:rFonts w:hint="eastAsia"/>
          <w:kern w:val="2"/>
          <w:sz w:val="32"/>
          <w:szCs w:val="32"/>
          <w:lang w:val="en-US" w:eastAsia="en-US"/>
        </w:rPr>
        <w:t>补助资金</w:t>
      </w:r>
      <w:r>
        <w:rPr>
          <w:rFonts w:hint="eastAsia"/>
          <w:kern w:val="2"/>
          <w:sz w:val="32"/>
          <w:szCs w:val="32"/>
          <w:lang w:val="en-US" w:eastAsia="zh-CN"/>
        </w:rPr>
        <w:t>160</w:t>
      </w:r>
      <w:r>
        <w:rPr>
          <w:rFonts w:hint="eastAsia"/>
          <w:kern w:val="2"/>
          <w:sz w:val="32"/>
          <w:szCs w:val="32"/>
          <w:lang w:val="en-US" w:eastAsia="en-US"/>
        </w:rPr>
        <w:t>万元</w:t>
      </w:r>
      <w:r>
        <w:rPr>
          <w:rFonts w:hint="eastAsia"/>
          <w:kern w:val="2"/>
          <w:sz w:val="32"/>
          <w:szCs w:val="32"/>
          <w:lang w:val="en-US" w:eastAsia="zh-CN"/>
        </w:rPr>
        <w:t>，其中</w:t>
      </w:r>
      <w:r>
        <w:rPr>
          <w:rFonts w:hint="eastAsia"/>
          <w:kern w:val="2"/>
          <w:sz w:val="32"/>
          <w:szCs w:val="32"/>
          <w:lang w:val="en-US" w:eastAsia="en-US"/>
        </w:rPr>
        <w:t>中央资金</w:t>
      </w:r>
      <w:r>
        <w:rPr>
          <w:rFonts w:hint="eastAsia"/>
          <w:kern w:val="2"/>
          <w:sz w:val="32"/>
          <w:szCs w:val="32"/>
          <w:lang w:val="en-US" w:eastAsia="zh-CN"/>
        </w:rPr>
        <w:t>150万，省级资金10万元。</w:t>
      </w:r>
      <w:r>
        <w:rPr>
          <w:rFonts w:hint="eastAsia"/>
          <w:kern w:val="2"/>
          <w:sz w:val="32"/>
          <w:szCs w:val="32"/>
          <w:lang w:val="en-US" w:eastAsia="en-US"/>
        </w:rPr>
        <w:t>拨付</w:t>
      </w:r>
      <w:r>
        <w:rPr>
          <w:rFonts w:hint="eastAsia"/>
          <w:kern w:val="2"/>
          <w:sz w:val="32"/>
          <w:szCs w:val="32"/>
          <w:lang w:val="en-US" w:eastAsia="zh-CN"/>
        </w:rPr>
        <w:t>已</w:t>
      </w:r>
      <w:r>
        <w:rPr>
          <w:rFonts w:hint="eastAsia"/>
          <w:kern w:val="2"/>
          <w:sz w:val="32"/>
          <w:szCs w:val="32"/>
          <w:lang w:val="en-US" w:eastAsia="en-US"/>
        </w:rPr>
        <w:t>到位，专项用于</w:t>
      </w:r>
      <w:r>
        <w:rPr>
          <w:rFonts w:hint="eastAsia"/>
          <w:kern w:val="2"/>
          <w:sz w:val="32"/>
          <w:szCs w:val="32"/>
          <w:lang w:val="en-US" w:eastAsia="zh-CN"/>
        </w:rPr>
        <w:t>博物</w:t>
      </w:r>
      <w:r>
        <w:rPr>
          <w:rFonts w:hint="eastAsia"/>
          <w:kern w:val="2"/>
          <w:sz w:val="32"/>
          <w:szCs w:val="32"/>
          <w:lang w:val="en-US" w:eastAsia="en-US"/>
        </w:rPr>
        <w:t>馆免费开放。</w:t>
      </w:r>
    </w:p>
    <w:p>
      <w:pPr>
        <w:pStyle w:val="2"/>
        <w:spacing w:before="93" w:line="560" w:lineRule="exact"/>
        <w:ind w:firstLine="640" w:firstLineChars="200"/>
        <w:rPr>
          <w:kern w:val="2"/>
          <w:sz w:val="32"/>
          <w:szCs w:val="32"/>
          <w:lang w:val="en-US" w:eastAsia="en-US"/>
        </w:rPr>
      </w:pPr>
      <w:r>
        <w:rPr>
          <w:rFonts w:hint="eastAsia"/>
          <w:kern w:val="2"/>
          <w:sz w:val="32"/>
          <w:szCs w:val="32"/>
          <w:lang w:val="en-US" w:eastAsia="zh-CN"/>
        </w:rPr>
        <w:t>博物</w:t>
      </w:r>
      <w:r>
        <w:rPr>
          <w:rFonts w:hint="eastAsia"/>
          <w:kern w:val="2"/>
          <w:sz w:val="32"/>
          <w:szCs w:val="32"/>
          <w:lang w:val="en-US" w:eastAsia="en-US"/>
        </w:rPr>
        <w:t>馆免费开放项目专项资金旨在保证我县</w:t>
      </w:r>
      <w:r>
        <w:rPr>
          <w:rFonts w:hint="eastAsia"/>
          <w:kern w:val="2"/>
          <w:sz w:val="32"/>
          <w:szCs w:val="32"/>
          <w:lang w:val="en-US" w:eastAsia="zh-CN"/>
        </w:rPr>
        <w:t>博物</w:t>
      </w:r>
      <w:r>
        <w:rPr>
          <w:rFonts w:hint="eastAsia"/>
          <w:kern w:val="2"/>
          <w:sz w:val="32"/>
          <w:szCs w:val="32"/>
          <w:lang w:val="en-US" w:eastAsia="en-US"/>
        </w:rPr>
        <w:t>馆对群众正常开放并举行各项</w:t>
      </w:r>
      <w:r>
        <w:rPr>
          <w:rFonts w:hint="eastAsia"/>
          <w:kern w:val="2"/>
          <w:sz w:val="32"/>
          <w:szCs w:val="32"/>
          <w:lang w:val="en-US" w:eastAsia="zh-CN"/>
        </w:rPr>
        <w:t>展览宣传</w:t>
      </w:r>
      <w:r>
        <w:rPr>
          <w:rFonts w:hint="eastAsia"/>
          <w:kern w:val="2"/>
          <w:sz w:val="32"/>
          <w:szCs w:val="32"/>
          <w:lang w:val="en-US" w:eastAsia="en-US"/>
        </w:rPr>
        <w:t>，</w:t>
      </w:r>
      <w:r>
        <w:rPr>
          <w:rFonts w:hint="eastAsia" w:ascii="仿宋_GB2312" w:eastAsia="仿宋_GB2312" w:cs="Times New Roman"/>
          <w:kern w:val="2"/>
          <w:sz w:val="32"/>
          <w:szCs w:val="32"/>
          <w:lang w:val="en-US" w:eastAsia="zh-CN" w:bidi="ar-SA"/>
        </w:rPr>
        <w:t>保障开放区域文物安全和免费开放正常运行</w:t>
      </w:r>
      <w:r>
        <w:rPr>
          <w:rFonts w:hint="eastAsia" w:cs="Times New Roman"/>
          <w:kern w:val="2"/>
          <w:sz w:val="32"/>
          <w:szCs w:val="32"/>
          <w:lang w:val="en-US" w:eastAsia="zh-CN" w:bidi="ar-SA"/>
        </w:rPr>
        <w:t>。</w:t>
      </w:r>
      <w:r>
        <w:rPr>
          <w:rFonts w:hint="eastAsia" w:ascii="仿宋_GB2312" w:eastAsia="仿宋_GB2312" w:cs="Times New Roman"/>
          <w:kern w:val="2"/>
          <w:sz w:val="32"/>
          <w:szCs w:val="32"/>
          <w:lang w:val="en-US" w:eastAsia="zh-CN" w:bidi="ar-SA"/>
        </w:rPr>
        <w:t>发挥博物馆社会宣传教育的功能，不断提升博物馆服务水平。</w:t>
      </w:r>
      <w:r>
        <w:rPr>
          <w:rFonts w:hint="eastAsia"/>
          <w:kern w:val="2"/>
          <w:sz w:val="32"/>
          <w:szCs w:val="32"/>
          <w:lang w:val="en-US" w:eastAsia="zh-CN"/>
        </w:rPr>
        <w:t>博物</w:t>
      </w:r>
      <w:r>
        <w:rPr>
          <w:rFonts w:hint="eastAsia"/>
          <w:kern w:val="2"/>
          <w:sz w:val="32"/>
          <w:szCs w:val="32"/>
          <w:lang w:val="en-US" w:eastAsia="en-US"/>
        </w:rPr>
        <w:t>馆免费开放项目资金分配按照据实效分配原则，重点考虑民生工程的因素。</w:t>
      </w:r>
    </w:p>
    <w:p>
      <w:pPr>
        <w:pageBreakBefore w:val="0"/>
        <w:widowControl/>
        <w:kinsoku/>
        <w:wordWrap/>
        <w:overflowPunct/>
        <w:topLinePunct w:val="0"/>
        <w:bidi w:val="0"/>
        <w:adjustRightInd w:val="0"/>
        <w:snapToGrid w:val="0"/>
        <w:spacing w:line="576" w:lineRule="exact"/>
        <w:ind w:firstLine="640" w:firstLineChars="200"/>
        <w:contextualSpacing/>
        <w:jc w:val="left"/>
        <w:textAlignment w:val="auto"/>
        <w:rPr>
          <w:rFonts w:hint="eastAsia" w:ascii="仿宋_GB2312" w:eastAsia="仿宋_GB2312" w:cs="宋体"/>
          <w:color w:val="000000"/>
          <w:kern w:val="0"/>
          <w:sz w:val="32"/>
          <w:szCs w:val="32"/>
          <w:shd w:val="clear" w:color="auto" w:fill="FFFFFF"/>
          <w:lang w:val="zh-CN" w:eastAsia="zh-CN" w:bidi="ar-SA"/>
        </w:rPr>
      </w:pPr>
      <w:r>
        <w:rPr>
          <w:rFonts w:hint="eastAsia" w:ascii="仿宋_GB2312" w:eastAsia="仿宋_GB2312" w:cs="宋体"/>
          <w:color w:val="000000"/>
          <w:kern w:val="0"/>
          <w:sz w:val="32"/>
          <w:szCs w:val="32"/>
          <w:shd w:val="clear" w:color="auto" w:fill="FFFFFF"/>
          <w:lang w:val="zh-CN" w:eastAsia="zh-CN" w:bidi="ar-SA"/>
        </w:rPr>
        <w:t>（二）项目绩效目标</w:t>
      </w:r>
    </w:p>
    <w:p>
      <w:pPr>
        <w:pStyle w:val="2"/>
        <w:spacing w:before="93" w:line="560" w:lineRule="exact"/>
        <w:ind w:firstLine="640" w:firstLineChars="200"/>
        <w:rPr>
          <w:rFonts w:hint="eastAsia"/>
          <w:kern w:val="2"/>
          <w:sz w:val="32"/>
          <w:szCs w:val="32"/>
        </w:rPr>
      </w:pPr>
      <w:r>
        <w:rPr>
          <w:rFonts w:hint="eastAsia"/>
          <w:kern w:val="2"/>
          <w:sz w:val="32"/>
          <w:szCs w:val="32"/>
        </w:rPr>
        <w:t>1．项目主要内容</w:t>
      </w:r>
      <w:r>
        <w:rPr>
          <w:rFonts w:hint="eastAsia"/>
          <w:kern w:val="2"/>
          <w:sz w:val="32"/>
          <w:szCs w:val="32"/>
          <w:lang w:val="en-US" w:eastAsia="en-US"/>
        </w:rPr>
        <w:t>:</w:t>
      </w:r>
      <w:r>
        <w:rPr>
          <w:rFonts w:hint="eastAsia"/>
          <w:kern w:val="2"/>
          <w:sz w:val="32"/>
          <w:szCs w:val="32"/>
        </w:rPr>
        <w:t>用于</w:t>
      </w:r>
      <w:r>
        <w:rPr>
          <w:rFonts w:hint="eastAsia"/>
          <w:kern w:val="2"/>
          <w:sz w:val="32"/>
          <w:szCs w:val="32"/>
          <w:lang w:eastAsia="zh-CN"/>
        </w:rPr>
        <w:t>博物</w:t>
      </w:r>
      <w:r>
        <w:rPr>
          <w:rFonts w:hint="eastAsia"/>
          <w:kern w:val="2"/>
          <w:sz w:val="32"/>
          <w:szCs w:val="32"/>
        </w:rPr>
        <w:t>馆免费</w:t>
      </w:r>
      <w:r>
        <w:rPr>
          <w:rFonts w:hint="eastAsia"/>
          <w:kern w:val="2"/>
          <w:sz w:val="32"/>
          <w:szCs w:val="32"/>
          <w:lang w:eastAsia="zh-CN"/>
        </w:rPr>
        <w:t>开发</w:t>
      </w:r>
      <w:r>
        <w:rPr>
          <w:rFonts w:hint="eastAsia"/>
          <w:kern w:val="2"/>
          <w:sz w:val="32"/>
          <w:szCs w:val="32"/>
        </w:rPr>
        <w:t>项目所需支出，包括</w:t>
      </w:r>
      <w:r>
        <w:rPr>
          <w:rFonts w:hint="eastAsia"/>
          <w:kern w:val="2"/>
          <w:sz w:val="32"/>
          <w:szCs w:val="32"/>
          <w:lang w:eastAsia="zh-CN"/>
        </w:rPr>
        <w:t>博物</w:t>
      </w:r>
      <w:r>
        <w:rPr>
          <w:rFonts w:hint="eastAsia"/>
          <w:kern w:val="2"/>
          <w:sz w:val="32"/>
          <w:szCs w:val="32"/>
        </w:rPr>
        <w:t>馆日常维护、能源费用、公益性活动举办、设施设备更新、运营环境改善等。</w:t>
      </w:r>
    </w:p>
    <w:p>
      <w:pPr>
        <w:spacing w:line="360" w:lineRule="auto"/>
        <w:ind w:firstLine="640" w:firstLineChars="200"/>
        <w:rPr>
          <w:rFonts w:hint="eastAsia" w:ascii="仿宋_GB2312" w:eastAsia="仿宋_GB2312"/>
          <w:sz w:val="32"/>
          <w:szCs w:val="32"/>
        </w:rPr>
      </w:pPr>
      <w:r>
        <w:rPr>
          <w:rFonts w:hint="eastAsia" w:ascii="仿宋_GB2312" w:eastAsia="仿宋_GB2312"/>
          <w:sz w:val="32"/>
          <w:szCs w:val="32"/>
          <w:lang w:val="zh-CN" w:eastAsia="zh-CN"/>
        </w:rPr>
        <w:t>2．项目应实现的具体绩效目标，博物馆免费开放项目主要用于博物馆的日常维修维护，保证博物馆全年能够正常对群众开放顺利举办宣传展览活动，</w:t>
      </w:r>
      <w:r>
        <w:rPr>
          <w:rFonts w:hint="eastAsia" w:ascii="仿宋_GB2312" w:eastAsia="仿宋_GB2312"/>
          <w:sz w:val="32"/>
          <w:szCs w:val="32"/>
        </w:rPr>
        <w:t>在进一步落实免费开放政策，完善基础设施，开展业务培训，提高服务质量，发挥博物馆的社会功能，加强未成年人思想道德建设等方面，取得了良好的社会效益。</w:t>
      </w:r>
    </w:p>
    <w:p>
      <w:pPr>
        <w:adjustRightInd w:val="0"/>
        <w:snapToGrid w:val="0"/>
        <w:spacing w:line="560" w:lineRule="exact"/>
        <w:ind w:firstLine="720"/>
        <w:rPr>
          <w:rFonts w:hint="eastAsia" w:ascii="仿宋_GB2312" w:eastAsia="仿宋_GB2312"/>
          <w:sz w:val="32"/>
          <w:szCs w:val="32"/>
        </w:rPr>
      </w:pPr>
      <w:r>
        <w:rPr>
          <w:rFonts w:hint="eastAsia" w:ascii="仿宋_GB2312" w:eastAsia="仿宋_GB2312"/>
          <w:sz w:val="32"/>
          <w:szCs w:val="32"/>
        </w:rPr>
        <w:t>3.该项目的申报内容符合实际，并且申报目标合理可行。</w:t>
      </w:r>
    </w:p>
    <w:p>
      <w:pPr>
        <w:pageBreakBefore w:val="0"/>
        <w:widowControl/>
        <w:kinsoku/>
        <w:wordWrap/>
        <w:overflowPunct/>
        <w:topLinePunct w:val="0"/>
        <w:bidi w:val="0"/>
        <w:adjustRightInd w:val="0"/>
        <w:snapToGrid w:val="0"/>
        <w:spacing w:line="576" w:lineRule="exact"/>
        <w:ind w:firstLine="640" w:firstLineChars="200"/>
        <w:contextualSpacing/>
        <w:jc w:val="left"/>
        <w:textAlignment w:val="auto"/>
        <w:rPr>
          <w:rFonts w:hint="eastAsia" w:ascii="仿宋_GB2312" w:eastAsia="仿宋_GB2312" w:cs="宋体"/>
          <w:color w:val="000000"/>
          <w:kern w:val="0"/>
          <w:sz w:val="32"/>
          <w:szCs w:val="32"/>
          <w:shd w:val="clear" w:color="auto" w:fill="FFFFFF"/>
          <w:lang w:val="zh-CN" w:eastAsia="zh-CN" w:bidi="ar-SA"/>
        </w:rPr>
      </w:pPr>
      <w:r>
        <w:rPr>
          <w:rFonts w:hint="eastAsia" w:ascii="仿宋_GB2312" w:eastAsia="仿宋_GB2312" w:cs="宋体"/>
          <w:color w:val="000000"/>
          <w:kern w:val="0"/>
          <w:sz w:val="32"/>
          <w:szCs w:val="32"/>
          <w:shd w:val="clear" w:color="auto" w:fill="FFFFFF"/>
          <w:lang w:val="zh-CN" w:eastAsia="zh-CN" w:bidi="ar-SA"/>
        </w:rPr>
        <w:t>（三）项目自评步骤及方法</w:t>
      </w:r>
    </w:p>
    <w:p>
      <w:pPr>
        <w:adjustRightInd w:val="0"/>
        <w:snapToGrid w:val="0"/>
        <w:spacing w:line="560" w:lineRule="exact"/>
        <w:ind w:firstLine="720"/>
        <w:rPr>
          <w:rFonts w:hint="eastAsia" w:ascii="仿宋_GB2312" w:eastAsia="仿宋_GB2312"/>
          <w:sz w:val="32"/>
          <w:szCs w:val="32"/>
          <w:lang w:val="zh-CN" w:eastAsia="zh-CN"/>
        </w:rPr>
      </w:pPr>
      <w:r>
        <w:rPr>
          <w:rFonts w:hint="eastAsia" w:ascii="仿宋_GB2312" w:eastAsia="仿宋_GB2312"/>
          <w:sz w:val="32"/>
          <w:szCs w:val="32"/>
          <w:lang w:val="zh-CN" w:eastAsia="zh-CN"/>
        </w:rPr>
        <w:t>根据《茂县财政局关于开展202</w:t>
      </w:r>
      <w:r>
        <w:rPr>
          <w:rFonts w:hint="eastAsia" w:ascii="仿宋_GB2312" w:eastAsia="仿宋_GB2312"/>
          <w:sz w:val="32"/>
          <w:szCs w:val="32"/>
          <w:lang w:val="en-US" w:eastAsia="zh-CN"/>
        </w:rPr>
        <w:t>3</w:t>
      </w:r>
      <w:r>
        <w:rPr>
          <w:rFonts w:hint="eastAsia" w:ascii="仿宋_GB2312" w:eastAsia="仿宋_GB2312"/>
          <w:sz w:val="32"/>
          <w:szCs w:val="32"/>
          <w:lang w:val="zh-CN" w:eastAsia="zh-CN"/>
        </w:rPr>
        <w:t>年财政支出绩效评价工作的通知》文件要求：</w:t>
      </w:r>
    </w:p>
    <w:p>
      <w:pPr>
        <w:adjustRightInd w:val="0"/>
        <w:snapToGrid w:val="0"/>
        <w:spacing w:line="560" w:lineRule="exact"/>
        <w:ind w:firstLine="720"/>
        <w:rPr>
          <w:rFonts w:hint="eastAsia" w:ascii="仿宋_GB2312" w:eastAsia="仿宋_GB2312" w:cs="Times New Roman"/>
          <w:sz w:val="32"/>
          <w:szCs w:val="32"/>
          <w:lang w:val="zh-CN" w:eastAsia="zh-CN" w:bidi="ar-SA"/>
        </w:rPr>
      </w:pPr>
      <w:r>
        <w:rPr>
          <w:rFonts w:hint="eastAsia" w:ascii="仿宋_GB2312" w:eastAsia="仿宋_GB2312"/>
          <w:sz w:val="32"/>
          <w:szCs w:val="32"/>
          <w:lang w:val="zh-CN" w:eastAsia="zh-CN"/>
        </w:rPr>
        <w:t>第一，</w:t>
      </w:r>
      <w:r>
        <w:rPr>
          <w:rFonts w:hint="eastAsia" w:ascii="仿宋_GB2312" w:eastAsia="仿宋_GB2312" w:cs="Times New Roman"/>
          <w:sz w:val="32"/>
          <w:szCs w:val="32"/>
          <w:lang w:val="zh-CN" w:eastAsia="zh-CN" w:bidi="ar-SA"/>
        </w:rPr>
        <w:t>我局严格按照《四川省财政支出绩效评价操作规程》开展重点评价工作，通过对其进行分析、汇总，并基与《博物馆免费低收费开放补助资金管理办法》，以现场评价为主、非现场评价为辅，定量分析和定性分析相结合的评价方法对该项目进行绩效考评。一是翻阅台账资料，对该项目专项资金拨付、使用情况进行检查；二是通过实地考察，检查博物馆现场和附属设施运行维护情况；三是进行群众满意度调查，向群众了解博物馆的开放情况。</w:t>
      </w:r>
    </w:p>
    <w:p>
      <w:pPr>
        <w:adjustRightInd w:val="0"/>
        <w:snapToGrid w:val="0"/>
        <w:spacing w:line="560" w:lineRule="exact"/>
        <w:ind w:firstLine="720"/>
        <w:rPr>
          <w:rFonts w:hint="eastAsia" w:ascii="仿宋_GB2312" w:eastAsia="仿宋_GB2312" w:cs="Times New Roman"/>
          <w:sz w:val="32"/>
          <w:szCs w:val="32"/>
          <w:lang w:val="zh-CN" w:eastAsia="zh-CN" w:bidi="ar-SA"/>
        </w:rPr>
      </w:pPr>
      <w:r>
        <w:rPr>
          <w:rFonts w:hint="eastAsia" w:ascii="仿宋_GB2312" w:eastAsia="仿宋_GB2312" w:cs="Times New Roman"/>
          <w:sz w:val="32"/>
          <w:szCs w:val="32"/>
          <w:lang w:val="zh-CN" w:eastAsia="zh-CN" w:bidi="ar-SA"/>
        </w:rPr>
        <w:t>第二，整理归档考评工作记录，梳理、分析和汇总评价结果，撰写绩效评价报告。</w:t>
      </w:r>
    </w:p>
    <w:p>
      <w:pPr>
        <w:adjustRightInd w:val="0"/>
        <w:snapToGrid w:val="0"/>
        <w:spacing w:line="560" w:lineRule="exact"/>
        <w:ind w:firstLine="720"/>
        <w:rPr>
          <w:rFonts w:hint="eastAsia" w:ascii="仿宋_GB2312" w:eastAsia="仿宋_GB2312" w:cs="宋体"/>
          <w:color w:val="000000"/>
          <w:kern w:val="0"/>
          <w:sz w:val="32"/>
          <w:szCs w:val="32"/>
          <w:shd w:val="clear" w:color="auto" w:fill="FFFFFF"/>
          <w:lang w:val="zh-CN" w:eastAsia="zh-CN" w:bidi="ar-SA"/>
        </w:rPr>
      </w:pPr>
      <w:r>
        <w:rPr>
          <w:rFonts w:hint="eastAsia" w:ascii="仿宋_GB2312" w:eastAsia="仿宋_GB2312"/>
          <w:sz w:val="32"/>
          <w:szCs w:val="32"/>
          <w:lang w:val="zh-CN" w:eastAsia="zh-CN"/>
        </w:rPr>
        <w:t>第三，向县财政局提交《茂县文化体育和旅游局关于博物馆免费开放项目支出绩效自评报告》。</w:t>
      </w:r>
    </w:p>
    <w:p>
      <w:pPr>
        <w:pStyle w:val="2"/>
        <w:bidi w:val="0"/>
        <w:ind w:firstLine="963" w:firstLineChars="300"/>
        <w:rPr>
          <w:rFonts w:hint="eastAsia" w:ascii="仿宋" w:hAnsi="仿宋" w:eastAsia="仿宋" w:cs="仿宋"/>
          <w:b/>
          <w:bCs/>
          <w:sz w:val="32"/>
          <w:szCs w:val="32"/>
        </w:rPr>
      </w:pPr>
      <w:r>
        <w:rPr>
          <w:rFonts w:hint="eastAsia" w:ascii="仿宋" w:hAnsi="仿宋" w:eastAsia="仿宋" w:cs="仿宋"/>
          <w:b/>
          <w:bCs/>
          <w:sz w:val="32"/>
          <w:szCs w:val="32"/>
        </w:rPr>
        <w:t>二、项目资金申报及使用情况</w:t>
      </w:r>
    </w:p>
    <w:p>
      <w:pPr>
        <w:pageBreakBefore w:val="0"/>
        <w:widowControl/>
        <w:kinsoku/>
        <w:wordWrap/>
        <w:overflowPunct/>
        <w:topLinePunct w:val="0"/>
        <w:bidi w:val="0"/>
        <w:adjustRightInd w:val="0"/>
        <w:snapToGrid w:val="0"/>
        <w:spacing w:line="576" w:lineRule="exact"/>
        <w:ind w:firstLine="642" w:firstLineChars="200"/>
        <w:contextualSpacing/>
        <w:jc w:val="left"/>
        <w:textAlignment w:val="auto"/>
        <w:rPr>
          <w:rStyle w:val="22"/>
          <w:rFonts w:hint="eastAsia" w:ascii="仿宋_GB2312" w:eastAsia="仿宋_GB2312" w:cs="仿宋_GB2312"/>
          <w:sz w:val="32"/>
          <w:szCs w:val="32"/>
          <w:lang w:bidi="ar-SA"/>
        </w:rPr>
      </w:pPr>
      <w:r>
        <w:rPr>
          <w:rStyle w:val="22"/>
          <w:rFonts w:hint="eastAsia" w:ascii="仿宋_GB2312" w:eastAsia="仿宋_GB2312" w:cs="仿宋_GB2312"/>
          <w:sz w:val="32"/>
          <w:szCs w:val="32"/>
          <w:lang w:bidi="ar-SA"/>
        </w:rPr>
        <w:t>（一）项目资金申报及批复情况</w:t>
      </w:r>
    </w:p>
    <w:p>
      <w:pPr>
        <w:adjustRightInd w:val="0"/>
        <w:snapToGrid w:val="0"/>
        <w:spacing w:line="560" w:lineRule="exact"/>
        <w:ind w:firstLine="720"/>
        <w:rPr>
          <w:rFonts w:hint="eastAsia" w:ascii="仿宋_GB2312" w:eastAsia="仿宋_GB2312" w:cs="Times New Roman"/>
          <w:sz w:val="32"/>
          <w:szCs w:val="32"/>
          <w:lang w:val="zh-CN" w:eastAsia="zh-CN" w:bidi="ar-SA"/>
        </w:rPr>
      </w:pPr>
      <w:r>
        <w:rPr>
          <w:rFonts w:hint="eastAsia" w:ascii="仿宋_GB2312" w:eastAsia="仿宋_GB2312"/>
          <w:sz w:val="32"/>
          <w:szCs w:val="32"/>
          <w:lang w:val="zh-CN" w:eastAsia="zh-CN"/>
        </w:rPr>
        <w:t>该项目资金申报、批复及预算调整等程序均按相关文件精神实施，符合财务要求</w:t>
      </w:r>
      <w:r>
        <w:rPr>
          <w:rFonts w:hint="eastAsia" w:ascii="仿宋_GB2312" w:eastAsia="仿宋_GB2312" w:cs="Times New Roman"/>
          <w:sz w:val="32"/>
          <w:szCs w:val="32"/>
          <w:lang w:val="zh-CN" w:eastAsia="zh-CN" w:bidi="ar-SA"/>
        </w:rPr>
        <w:t>。批复文件是《四川省财政厅</w:t>
      </w:r>
      <w:r>
        <w:rPr>
          <w:rFonts w:hint="eastAsia" w:ascii="仿宋_GB2312" w:eastAsia="仿宋_GB2312" w:cs="Times New Roman"/>
          <w:sz w:val="32"/>
          <w:szCs w:val="32"/>
          <w:lang w:val="en-US" w:eastAsia="zh-CN" w:bidi="ar-SA"/>
        </w:rPr>
        <w:t xml:space="preserve"> </w:t>
      </w:r>
      <w:r>
        <w:rPr>
          <w:rFonts w:hint="eastAsia" w:ascii="仿宋_GB2312" w:eastAsia="仿宋_GB2312" w:cs="Times New Roman"/>
          <w:sz w:val="32"/>
          <w:szCs w:val="32"/>
          <w:lang w:val="zh-CN" w:eastAsia="zh-CN" w:bidi="ar-SA"/>
        </w:rPr>
        <w:t>省文物局关</w:t>
      </w:r>
      <w:r>
        <w:rPr>
          <w:rFonts w:hint="eastAsia" w:ascii="仿宋_GB2312" w:eastAsia="仿宋_GB2312" w:cs="Times New Roman"/>
          <w:sz w:val="32"/>
          <w:szCs w:val="32"/>
          <w:lang w:val="en-US" w:eastAsia="zh-CN" w:bidi="ar-SA"/>
        </w:rPr>
        <w:t>于下达2023年博</w:t>
      </w:r>
      <w:r>
        <w:rPr>
          <w:rFonts w:hint="eastAsia" w:ascii="仿宋_GB2312" w:eastAsia="仿宋_GB2312" w:cs="Times New Roman"/>
          <w:sz w:val="32"/>
          <w:szCs w:val="32"/>
          <w:lang w:val="zh-CN" w:eastAsia="zh-CN" w:bidi="ar-SA"/>
        </w:rPr>
        <w:t>物馆纪念馆免费开放中央补助资金预算的通知》（川财教〔20</w:t>
      </w:r>
      <w:r>
        <w:rPr>
          <w:rFonts w:hint="eastAsia" w:ascii="仿宋_GB2312" w:eastAsia="仿宋_GB2312" w:cs="Times New Roman"/>
          <w:sz w:val="32"/>
          <w:szCs w:val="32"/>
          <w:lang w:val="en-US" w:eastAsia="zh-CN" w:bidi="ar-SA"/>
        </w:rPr>
        <w:t>22</w:t>
      </w:r>
      <w:r>
        <w:rPr>
          <w:rFonts w:hint="eastAsia" w:ascii="仿宋_GB2312" w:eastAsia="仿宋_GB2312" w:cs="Times New Roman"/>
          <w:sz w:val="32"/>
          <w:szCs w:val="32"/>
          <w:lang w:val="zh-CN" w:eastAsia="zh-CN" w:bidi="ar-SA"/>
        </w:rPr>
        <w:t>〕</w:t>
      </w:r>
      <w:r>
        <w:rPr>
          <w:rFonts w:hint="eastAsia" w:ascii="仿宋_GB2312" w:eastAsia="仿宋_GB2312" w:cs="Times New Roman"/>
          <w:sz w:val="32"/>
          <w:szCs w:val="32"/>
          <w:lang w:val="en-US" w:eastAsia="zh-CN" w:bidi="ar-SA"/>
        </w:rPr>
        <w:t>55</w:t>
      </w:r>
      <w:r>
        <w:rPr>
          <w:rFonts w:hint="eastAsia" w:ascii="仿宋_GB2312" w:eastAsia="仿宋_GB2312" w:cs="Times New Roman"/>
          <w:sz w:val="32"/>
          <w:szCs w:val="32"/>
          <w:lang w:val="zh-CN" w:eastAsia="zh-CN" w:bidi="ar-SA"/>
        </w:rPr>
        <w:t>号），州文化体育和旅游局《关于下达</w:t>
      </w:r>
      <w:r>
        <w:rPr>
          <w:rFonts w:hint="eastAsia" w:ascii="仿宋_GB2312" w:eastAsia="仿宋_GB2312" w:cs="Times New Roman"/>
          <w:sz w:val="32"/>
          <w:szCs w:val="32"/>
          <w:lang w:val="en-US" w:eastAsia="zh-CN" w:bidi="ar-SA"/>
        </w:rPr>
        <w:t>2023年</w:t>
      </w:r>
      <w:r>
        <w:rPr>
          <w:rFonts w:hint="eastAsia" w:ascii="仿宋_GB2312" w:eastAsia="仿宋_GB2312" w:cs="Times New Roman"/>
          <w:sz w:val="32"/>
          <w:szCs w:val="32"/>
          <w:lang w:val="zh-CN" w:eastAsia="zh-CN" w:bidi="ar-SA"/>
        </w:rPr>
        <w:t>博物馆纪念馆免费开放中央</w:t>
      </w:r>
      <w:r>
        <w:rPr>
          <w:rFonts w:hint="eastAsia" w:ascii="仿宋_GB2312" w:eastAsia="仿宋_GB2312" w:cs="Times New Roman"/>
          <w:sz w:val="32"/>
          <w:szCs w:val="32"/>
          <w:lang w:val="en-US" w:eastAsia="zh-CN" w:bidi="ar-SA"/>
        </w:rPr>
        <w:t>补助资金预算的通知</w:t>
      </w:r>
      <w:r>
        <w:rPr>
          <w:rFonts w:hint="eastAsia" w:ascii="仿宋_GB2312" w:eastAsia="仿宋_GB2312" w:cs="Times New Roman"/>
          <w:sz w:val="32"/>
          <w:szCs w:val="32"/>
          <w:lang w:val="zh-CN" w:eastAsia="zh-CN" w:bidi="ar-SA"/>
        </w:rPr>
        <w:t>》阿州财教（</w:t>
      </w:r>
      <w:r>
        <w:rPr>
          <w:rFonts w:hint="eastAsia" w:ascii="仿宋_GB2312" w:eastAsia="仿宋_GB2312" w:cs="Times New Roman"/>
          <w:sz w:val="32"/>
          <w:szCs w:val="32"/>
          <w:lang w:val="en-US" w:eastAsia="zh-CN" w:bidi="ar-SA"/>
        </w:rPr>
        <w:t>2023</w:t>
      </w:r>
      <w:r>
        <w:rPr>
          <w:rFonts w:hint="eastAsia" w:ascii="仿宋_GB2312" w:eastAsia="仿宋_GB2312" w:cs="Times New Roman"/>
          <w:sz w:val="32"/>
          <w:szCs w:val="32"/>
          <w:lang w:val="zh-CN" w:eastAsia="zh-CN" w:bidi="ar-SA"/>
        </w:rPr>
        <w:t>）</w:t>
      </w:r>
      <w:r>
        <w:rPr>
          <w:rFonts w:hint="eastAsia" w:ascii="仿宋_GB2312" w:eastAsia="仿宋_GB2312" w:cs="Times New Roman"/>
          <w:sz w:val="32"/>
          <w:szCs w:val="32"/>
          <w:lang w:val="en-US" w:eastAsia="zh-CN" w:bidi="ar-SA"/>
        </w:rPr>
        <w:t>30号，2022年茂县博物馆向免费开放专项补助资金160万元。</w:t>
      </w:r>
    </w:p>
    <w:p>
      <w:pPr>
        <w:pageBreakBefore w:val="0"/>
        <w:widowControl/>
        <w:kinsoku/>
        <w:wordWrap/>
        <w:overflowPunct/>
        <w:topLinePunct w:val="0"/>
        <w:bidi w:val="0"/>
        <w:adjustRightInd w:val="0"/>
        <w:snapToGrid w:val="0"/>
        <w:spacing w:line="576" w:lineRule="exact"/>
        <w:ind w:firstLine="642" w:firstLineChars="200"/>
        <w:contextualSpacing/>
        <w:jc w:val="left"/>
        <w:textAlignment w:val="auto"/>
        <w:rPr>
          <w:rStyle w:val="22"/>
          <w:rFonts w:hint="eastAsia" w:ascii="仿宋_GB2312" w:eastAsia="仿宋_GB2312" w:cs="仿宋_GB2312"/>
          <w:sz w:val="32"/>
          <w:szCs w:val="32"/>
          <w:lang w:bidi="ar-SA"/>
        </w:rPr>
      </w:pPr>
      <w:r>
        <w:rPr>
          <w:rStyle w:val="22"/>
          <w:rFonts w:hint="eastAsia" w:ascii="仿宋_GB2312" w:eastAsia="仿宋_GB2312" w:cs="仿宋_GB2312"/>
          <w:sz w:val="32"/>
          <w:szCs w:val="32"/>
          <w:lang w:bidi="ar-SA"/>
        </w:rPr>
        <w:t>（二）资金计划、到位及使用情况</w:t>
      </w:r>
    </w:p>
    <w:p>
      <w:pPr>
        <w:adjustRightInd w:val="0"/>
        <w:snapToGrid w:val="0"/>
        <w:spacing w:line="560" w:lineRule="exact"/>
        <w:ind w:firstLine="720"/>
        <w:rPr>
          <w:rFonts w:hint="eastAsia" w:ascii="楷体_GB2312" w:eastAsia="楷体_GB2312"/>
          <w:sz w:val="32"/>
          <w:szCs w:val="32"/>
          <w:lang w:val="zh-CN" w:eastAsia="zh-CN"/>
        </w:rPr>
      </w:pPr>
      <w:r>
        <w:rPr>
          <w:rFonts w:hint="eastAsia" w:ascii="楷体_GB2312" w:eastAsia="楷体_GB2312"/>
          <w:sz w:val="32"/>
          <w:szCs w:val="32"/>
          <w:lang w:val="zh-CN" w:eastAsia="zh-CN"/>
        </w:rPr>
        <w:t>1</w:t>
      </w:r>
      <w:r>
        <w:rPr>
          <w:rFonts w:hint="eastAsia" w:ascii="楷体_GB2312" w:eastAsia="楷体_GB2312"/>
          <w:sz w:val="32"/>
          <w:szCs w:val="32"/>
          <w:lang w:val="en-US" w:eastAsia="zh-CN"/>
        </w:rPr>
        <w:t>.</w:t>
      </w:r>
      <w:r>
        <w:rPr>
          <w:rFonts w:hint="eastAsia" w:ascii="楷体_GB2312" w:eastAsia="楷体_GB2312"/>
          <w:sz w:val="32"/>
          <w:szCs w:val="32"/>
          <w:lang w:val="zh-CN" w:eastAsia="zh-CN"/>
        </w:rPr>
        <w:t>资金计划</w:t>
      </w:r>
    </w:p>
    <w:p>
      <w:pPr>
        <w:adjustRightInd w:val="0"/>
        <w:snapToGrid w:val="0"/>
        <w:spacing w:line="560" w:lineRule="exact"/>
        <w:ind w:firstLine="720"/>
        <w:rPr>
          <w:rFonts w:hint="eastAsia" w:ascii="仿宋_GB2312" w:eastAsia="仿宋_GB2312" w:cs="Times New Roman"/>
          <w:sz w:val="32"/>
          <w:szCs w:val="32"/>
          <w:lang w:val="en-US" w:eastAsia="zh-CN" w:bidi="ar-SA"/>
        </w:rPr>
      </w:pPr>
      <w:r>
        <w:rPr>
          <w:rFonts w:hint="eastAsia" w:ascii="仿宋_GB2312" w:eastAsia="仿宋_GB2312" w:cs="Times New Roman"/>
          <w:sz w:val="32"/>
          <w:szCs w:val="32"/>
          <w:lang w:val="en-US" w:eastAsia="zh-CN" w:bidi="ar-SA"/>
        </w:rPr>
        <w:t>按照</w:t>
      </w:r>
      <w:r>
        <w:rPr>
          <w:rFonts w:hint="eastAsia" w:ascii="仿宋_GB2312" w:eastAsia="仿宋_GB2312" w:cs="Times New Roman"/>
          <w:sz w:val="32"/>
          <w:szCs w:val="32"/>
          <w:lang w:val="zh-CN" w:eastAsia="zh-CN" w:bidi="ar-SA"/>
        </w:rPr>
        <w:t>川财教〔20</w:t>
      </w:r>
      <w:r>
        <w:rPr>
          <w:rFonts w:hint="eastAsia" w:ascii="仿宋_GB2312" w:eastAsia="仿宋_GB2312" w:cs="Times New Roman"/>
          <w:sz w:val="32"/>
          <w:szCs w:val="32"/>
          <w:lang w:val="en-US" w:eastAsia="zh-CN" w:bidi="ar-SA"/>
        </w:rPr>
        <w:t>23</w:t>
      </w:r>
      <w:r>
        <w:rPr>
          <w:rFonts w:hint="eastAsia" w:ascii="仿宋_GB2312" w:eastAsia="仿宋_GB2312" w:cs="Times New Roman"/>
          <w:sz w:val="32"/>
          <w:szCs w:val="32"/>
          <w:lang w:val="zh-CN" w:eastAsia="zh-CN" w:bidi="ar-SA"/>
        </w:rPr>
        <w:t>〕</w:t>
      </w:r>
      <w:r>
        <w:rPr>
          <w:rFonts w:hint="eastAsia" w:ascii="仿宋_GB2312" w:eastAsia="仿宋_GB2312" w:cs="Times New Roman"/>
          <w:sz w:val="32"/>
          <w:szCs w:val="32"/>
          <w:lang w:val="en-US" w:eastAsia="zh-CN" w:bidi="ar-SA"/>
        </w:rPr>
        <w:t>30</w:t>
      </w:r>
      <w:r>
        <w:rPr>
          <w:rFonts w:hint="eastAsia" w:ascii="仿宋_GB2312" w:eastAsia="仿宋_GB2312" w:cs="Times New Roman"/>
          <w:sz w:val="32"/>
          <w:szCs w:val="32"/>
          <w:lang w:val="zh-CN" w:eastAsia="zh-CN" w:bidi="ar-SA"/>
        </w:rPr>
        <w:t>号</w:t>
      </w:r>
      <w:r>
        <w:rPr>
          <w:rFonts w:hint="eastAsia" w:ascii="仿宋_GB2312" w:eastAsia="仿宋_GB2312" w:cs="Times New Roman"/>
          <w:sz w:val="32"/>
          <w:szCs w:val="32"/>
          <w:lang w:val="en-US" w:eastAsia="zh-CN" w:bidi="ar-SA"/>
        </w:rPr>
        <w:t>文件下达我县</w:t>
      </w:r>
      <w:r>
        <w:rPr>
          <w:rFonts w:hint="eastAsia" w:ascii="仿宋_GB2312" w:eastAsia="仿宋_GB2312" w:cs="Times New Roman"/>
          <w:sz w:val="32"/>
          <w:szCs w:val="32"/>
          <w:lang w:val="en-US" w:eastAsia="en-US" w:bidi="ar-SA"/>
        </w:rPr>
        <w:t>20</w:t>
      </w:r>
      <w:r>
        <w:rPr>
          <w:rFonts w:hint="eastAsia" w:ascii="仿宋_GB2312" w:eastAsia="仿宋_GB2312" w:cs="Times New Roman"/>
          <w:sz w:val="32"/>
          <w:szCs w:val="32"/>
          <w:lang w:val="en-US" w:eastAsia="zh-CN" w:bidi="ar-SA"/>
        </w:rPr>
        <w:t>23</w:t>
      </w:r>
      <w:r>
        <w:rPr>
          <w:rFonts w:hint="eastAsia" w:ascii="仿宋_GB2312" w:eastAsia="仿宋_GB2312" w:cs="Times New Roman"/>
          <w:sz w:val="32"/>
          <w:szCs w:val="32"/>
          <w:lang w:val="en-US" w:eastAsia="en-US" w:bidi="ar-SA"/>
        </w:rPr>
        <w:t>年</w:t>
      </w:r>
      <w:r>
        <w:rPr>
          <w:rFonts w:hint="eastAsia" w:ascii="仿宋_GB2312" w:eastAsia="仿宋_GB2312" w:cs="Times New Roman"/>
          <w:sz w:val="32"/>
          <w:szCs w:val="32"/>
          <w:lang w:val="zh-CN" w:eastAsia="zh-CN" w:bidi="ar-SA"/>
        </w:rPr>
        <w:t>博物馆纪念馆免费开放中央</w:t>
      </w:r>
      <w:r>
        <w:rPr>
          <w:rFonts w:hint="eastAsia" w:ascii="仿宋_GB2312" w:eastAsia="仿宋_GB2312" w:cs="Times New Roman"/>
          <w:sz w:val="32"/>
          <w:szCs w:val="32"/>
          <w:lang w:val="en-US" w:eastAsia="en-US" w:bidi="ar-SA"/>
        </w:rPr>
        <w:t>补助</w:t>
      </w:r>
      <w:r>
        <w:rPr>
          <w:rFonts w:hint="eastAsia" w:ascii="仿宋_GB2312" w:eastAsia="仿宋_GB2312" w:cs="Times New Roman"/>
          <w:sz w:val="32"/>
          <w:szCs w:val="32"/>
          <w:lang w:val="en-US" w:eastAsia="zh-CN" w:bidi="ar-SA"/>
        </w:rPr>
        <w:t>160万元。</w:t>
      </w:r>
    </w:p>
    <w:p>
      <w:pPr>
        <w:adjustRightInd w:val="0"/>
        <w:snapToGrid w:val="0"/>
        <w:spacing w:line="560" w:lineRule="exact"/>
        <w:ind w:firstLine="720"/>
        <w:rPr>
          <w:rFonts w:hint="eastAsia" w:ascii="楷体_GB2312" w:eastAsia="楷体_GB2312"/>
          <w:sz w:val="32"/>
          <w:szCs w:val="32"/>
          <w:lang w:val="zh-CN" w:eastAsia="zh-CN"/>
        </w:rPr>
      </w:pPr>
      <w:r>
        <w:rPr>
          <w:rFonts w:hint="eastAsia" w:ascii="楷体_GB2312" w:eastAsia="楷体_GB2312"/>
          <w:sz w:val="32"/>
          <w:szCs w:val="32"/>
          <w:lang w:val="zh-CN" w:eastAsia="zh-CN"/>
        </w:rPr>
        <w:t>2</w:t>
      </w:r>
      <w:r>
        <w:rPr>
          <w:rFonts w:hint="eastAsia" w:ascii="楷体_GB2312" w:eastAsia="楷体_GB2312"/>
          <w:sz w:val="32"/>
          <w:szCs w:val="32"/>
          <w:lang w:val="en-US" w:eastAsia="zh-CN"/>
        </w:rPr>
        <w:t>.</w:t>
      </w:r>
      <w:r>
        <w:rPr>
          <w:rFonts w:hint="eastAsia" w:ascii="楷体_GB2312" w:eastAsia="楷体_GB2312"/>
          <w:sz w:val="32"/>
          <w:szCs w:val="32"/>
          <w:lang w:val="zh-CN" w:eastAsia="zh-CN"/>
        </w:rPr>
        <w:t>资金到位</w:t>
      </w:r>
    </w:p>
    <w:p>
      <w:pPr>
        <w:adjustRightInd w:val="0"/>
        <w:snapToGrid w:val="0"/>
        <w:spacing w:line="560" w:lineRule="exact"/>
        <w:ind w:firstLine="720"/>
        <w:rPr>
          <w:rFonts w:hint="eastAsia"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年度</w:t>
      </w:r>
      <w:r>
        <w:rPr>
          <w:rFonts w:hint="eastAsia" w:ascii="仿宋_GB2312" w:eastAsia="仿宋_GB2312"/>
          <w:sz w:val="32"/>
          <w:szCs w:val="32"/>
          <w:lang w:eastAsia="zh-CN"/>
        </w:rPr>
        <w:t>博物</w:t>
      </w:r>
      <w:r>
        <w:rPr>
          <w:rFonts w:hint="eastAsia" w:ascii="仿宋_GB2312" w:eastAsia="仿宋_GB2312"/>
          <w:sz w:val="32"/>
          <w:szCs w:val="32"/>
        </w:rPr>
        <w:t>馆免费开放项目补助资金</w:t>
      </w:r>
      <w:r>
        <w:rPr>
          <w:rFonts w:hint="eastAsia" w:ascii="仿宋_GB2312" w:eastAsia="仿宋_GB2312"/>
          <w:sz w:val="32"/>
          <w:szCs w:val="32"/>
          <w:lang w:val="en-US" w:eastAsia="zh-CN"/>
        </w:rPr>
        <w:t>160</w:t>
      </w:r>
      <w:r>
        <w:rPr>
          <w:rFonts w:hint="eastAsia" w:ascii="仿宋_GB2312" w:eastAsia="仿宋_GB2312"/>
          <w:sz w:val="32"/>
          <w:szCs w:val="32"/>
        </w:rPr>
        <w:t>万元均已全额拨付至茂县县文化体育和旅游局，资金到位率达100%。</w:t>
      </w:r>
    </w:p>
    <w:p>
      <w:pPr>
        <w:adjustRightInd w:val="0"/>
        <w:snapToGrid w:val="0"/>
        <w:spacing w:line="560" w:lineRule="exact"/>
        <w:ind w:left="0" w:firstLine="640" w:firstLineChars="200"/>
        <w:rPr>
          <w:rFonts w:hint="eastAsia" w:ascii="楷体_GB2312" w:eastAsia="楷体_GB2312" w:cs="Times New Roman"/>
          <w:sz w:val="32"/>
          <w:szCs w:val="32"/>
          <w:lang w:val="zh-CN" w:eastAsia="zh-CN" w:bidi="ar-SA"/>
        </w:rPr>
      </w:pPr>
      <w:r>
        <w:rPr>
          <w:rFonts w:hint="eastAsia" w:ascii="楷体_GB2312" w:eastAsia="楷体_GB2312" w:cs="Times New Roman"/>
          <w:sz w:val="32"/>
          <w:szCs w:val="32"/>
          <w:lang w:val="en-US" w:eastAsia="zh-CN" w:bidi="ar-SA"/>
        </w:rPr>
        <w:t>3.</w:t>
      </w:r>
      <w:r>
        <w:rPr>
          <w:rFonts w:hint="eastAsia" w:ascii="楷体_GB2312" w:eastAsia="楷体_GB2312" w:cs="Times New Roman"/>
          <w:sz w:val="32"/>
          <w:szCs w:val="32"/>
          <w:lang w:val="zh-CN" w:eastAsia="zh-CN" w:bidi="ar-SA"/>
        </w:rPr>
        <w:t>资金使用</w:t>
      </w:r>
    </w:p>
    <w:p>
      <w:pPr>
        <w:adjustRightInd w:val="0"/>
        <w:snapToGrid w:val="0"/>
        <w:spacing w:line="560" w:lineRule="exact"/>
        <w:ind w:firstLine="720"/>
        <w:rPr>
          <w:rFonts w:hint="eastAsia" w:ascii="仿宋_GB2312" w:eastAsia="仿宋_GB2312" w:cs="Times New Roman"/>
          <w:sz w:val="32"/>
          <w:szCs w:val="32"/>
          <w:lang w:bidi="ar-SA"/>
        </w:rPr>
      </w:pPr>
      <w:r>
        <w:rPr>
          <w:rFonts w:hint="eastAsia" w:ascii="仿宋_GB2312" w:eastAsia="仿宋_GB2312" w:cs="Times New Roman"/>
          <w:sz w:val="32"/>
          <w:szCs w:val="32"/>
          <w:lang w:bidi="ar-SA"/>
        </w:rPr>
        <w:t>截至目前，</w:t>
      </w:r>
      <w:r>
        <w:rPr>
          <w:rFonts w:hint="eastAsia" w:ascii="仿宋_GB2312" w:eastAsia="仿宋_GB2312" w:cs="Times New Roman"/>
          <w:sz w:val="32"/>
          <w:szCs w:val="32"/>
          <w:lang w:eastAsia="zh-CN" w:bidi="ar-SA"/>
        </w:rPr>
        <w:t>博物</w:t>
      </w:r>
      <w:r>
        <w:rPr>
          <w:rFonts w:hint="eastAsia" w:ascii="仿宋_GB2312" w:eastAsia="仿宋_GB2312" w:cs="Times New Roman"/>
          <w:sz w:val="32"/>
          <w:szCs w:val="32"/>
          <w:lang w:bidi="ar-SA"/>
        </w:rPr>
        <w:t>馆免费开放项目资金已使用</w:t>
      </w:r>
      <w:r>
        <w:rPr>
          <w:rFonts w:hint="eastAsia" w:ascii="仿宋_GB2312" w:eastAsia="仿宋_GB2312" w:cs="Times New Roman"/>
          <w:sz w:val="32"/>
          <w:szCs w:val="32"/>
          <w:lang w:val="en-US" w:eastAsia="zh-CN" w:bidi="ar-SA"/>
        </w:rPr>
        <w:t>160</w:t>
      </w:r>
      <w:r>
        <w:rPr>
          <w:rFonts w:hint="eastAsia" w:ascii="仿宋_GB2312" w:eastAsia="仿宋_GB2312" w:cs="Times New Roman"/>
          <w:sz w:val="32"/>
          <w:szCs w:val="32"/>
          <w:lang w:bidi="ar-SA"/>
        </w:rPr>
        <w:t>万元，资金使用率达100%。主要用于设施设备维护</w:t>
      </w:r>
      <w:r>
        <w:rPr>
          <w:rFonts w:hint="eastAsia" w:ascii="仿宋_GB2312" w:eastAsia="仿宋_GB2312" w:cs="Times New Roman"/>
          <w:sz w:val="32"/>
          <w:szCs w:val="32"/>
          <w:lang w:eastAsia="zh-CN" w:bidi="ar-SA"/>
        </w:rPr>
        <w:t>维修</w:t>
      </w:r>
      <w:r>
        <w:rPr>
          <w:rFonts w:hint="eastAsia" w:ascii="仿宋_GB2312" w:eastAsia="仿宋_GB2312" w:cs="Times New Roman"/>
          <w:sz w:val="32"/>
          <w:szCs w:val="32"/>
          <w:lang w:bidi="ar-SA"/>
        </w:rPr>
        <w:t>、</w:t>
      </w:r>
      <w:r>
        <w:rPr>
          <w:rFonts w:hint="eastAsia" w:ascii="仿宋_GB2312" w:eastAsia="仿宋_GB2312" w:cs="Times New Roman"/>
          <w:sz w:val="32"/>
          <w:szCs w:val="32"/>
          <w:lang w:eastAsia="zh-CN" w:bidi="ar-SA"/>
        </w:rPr>
        <w:t>绿化、</w:t>
      </w:r>
      <w:r>
        <w:rPr>
          <w:rFonts w:hint="eastAsia" w:ascii="仿宋_GB2312" w:eastAsia="仿宋_GB2312" w:cs="Times New Roman"/>
          <w:sz w:val="32"/>
          <w:szCs w:val="32"/>
          <w:lang w:bidi="ar-SA"/>
        </w:rPr>
        <w:t>相关设备更新、日常保安和保洁人员工资、</w:t>
      </w:r>
      <w:r>
        <w:rPr>
          <w:rFonts w:hint="eastAsia" w:ascii="仿宋_GB2312" w:eastAsia="仿宋_GB2312" w:cs="Times New Roman"/>
          <w:sz w:val="32"/>
          <w:szCs w:val="32"/>
          <w:lang w:eastAsia="zh-CN" w:bidi="ar-SA"/>
        </w:rPr>
        <w:t>博物</w:t>
      </w:r>
      <w:r>
        <w:rPr>
          <w:rFonts w:hint="eastAsia" w:ascii="仿宋_GB2312" w:eastAsia="仿宋_GB2312" w:cs="Times New Roman"/>
          <w:sz w:val="32"/>
          <w:szCs w:val="32"/>
          <w:lang w:bidi="ar-SA"/>
        </w:rPr>
        <w:t>馆开展公益性活动经费等，该项目资金开支范围、标准及支付进度、支付依据均合规合法，资金支付与预算相符。</w:t>
      </w:r>
    </w:p>
    <w:p>
      <w:pPr>
        <w:pageBreakBefore w:val="0"/>
        <w:widowControl/>
        <w:kinsoku/>
        <w:wordWrap/>
        <w:overflowPunct/>
        <w:topLinePunct w:val="0"/>
        <w:bidi w:val="0"/>
        <w:adjustRightInd w:val="0"/>
        <w:snapToGrid w:val="0"/>
        <w:spacing w:line="576" w:lineRule="exact"/>
        <w:ind w:firstLine="642" w:firstLineChars="200"/>
        <w:contextualSpacing/>
        <w:jc w:val="left"/>
        <w:textAlignment w:val="auto"/>
        <w:rPr>
          <w:rStyle w:val="22"/>
          <w:rFonts w:hint="eastAsia" w:ascii="仿宋_GB2312" w:eastAsia="仿宋_GB2312" w:cs="仿宋_GB2312"/>
          <w:sz w:val="32"/>
          <w:szCs w:val="32"/>
          <w:lang w:val="zh-CN" w:eastAsia="zh-CN" w:bidi="ar-SA"/>
        </w:rPr>
      </w:pPr>
      <w:r>
        <w:rPr>
          <w:rStyle w:val="22"/>
          <w:rFonts w:hint="eastAsia" w:ascii="仿宋_GB2312" w:eastAsia="仿宋_GB2312" w:cs="仿宋_GB2312"/>
          <w:sz w:val="32"/>
          <w:szCs w:val="32"/>
          <w:lang w:val="zh-CN" w:eastAsia="zh-CN" w:bidi="ar-SA"/>
        </w:rPr>
        <w:t>（三）项目财务管理情况</w:t>
      </w:r>
    </w:p>
    <w:p>
      <w:pPr>
        <w:adjustRightInd w:val="0"/>
        <w:snapToGrid w:val="0"/>
        <w:spacing w:line="560" w:lineRule="exact"/>
        <w:ind w:firstLine="720"/>
        <w:rPr>
          <w:rFonts w:hint="eastAsia" w:ascii="仿宋_GB2312" w:eastAsia="仿宋_GB2312"/>
          <w:sz w:val="32"/>
          <w:szCs w:val="32"/>
        </w:rPr>
      </w:pPr>
      <w:r>
        <w:rPr>
          <w:rFonts w:hint="eastAsia" w:ascii="仿宋_GB2312" w:eastAsia="仿宋_GB2312"/>
          <w:sz w:val="32"/>
          <w:szCs w:val="32"/>
        </w:rPr>
        <w:t>作为项目实施单位，茂县文化体育和旅游局按照相关财经纪律，建立健全财务管理制度，所有项目资金均按相关文件精神合理、合规、合法运用，账务处理及时，会计核算规范。</w:t>
      </w:r>
    </w:p>
    <w:p>
      <w:pPr>
        <w:pStyle w:val="2"/>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仿宋" w:hAnsi="仿宋" w:eastAsia="仿宋" w:cs="仿宋"/>
          <w:b/>
          <w:bCs/>
          <w:sz w:val="32"/>
          <w:szCs w:val="32"/>
          <w:lang w:val="zh-CN" w:eastAsia="zh-CN"/>
        </w:rPr>
      </w:pPr>
      <w:r>
        <w:rPr>
          <w:rFonts w:hint="eastAsia" w:ascii="仿宋" w:hAnsi="仿宋" w:eastAsia="仿宋" w:cs="仿宋"/>
          <w:b/>
          <w:bCs/>
          <w:sz w:val="32"/>
          <w:szCs w:val="32"/>
          <w:lang w:val="zh-CN" w:eastAsia="zh-CN"/>
        </w:rPr>
        <w:t>三、项目实施及管理情况</w:t>
      </w:r>
    </w:p>
    <w:p>
      <w:pPr>
        <w:adjustRightInd w:val="0"/>
        <w:snapToGrid w:val="0"/>
        <w:spacing w:line="560" w:lineRule="exact"/>
        <w:ind w:firstLine="720"/>
        <w:rPr>
          <w:rFonts w:hint="eastAsia" w:ascii="楷体_GB2312" w:eastAsia="楷体_GB2312"/>
          <w:b/>
          <w:sz w:val="32"/>
          <w:szCs w:val="32"/>
          <w:lang w:val="zh-CN" w:eastAsia="zh-CN"/>
        </w:rPr>
      </w:pPr>
      <w:r>
        <w:rPr>
          <w:rFonts w:hint="eastAsia" w:ascii="楷体_GB2312" w:eastAsia="楷体_GB2312"/>
          <w:b/>
          <w:sz w:val="32"/>
          <w:szCs w:val="32"/>
          <w:lang w:val="zh-CN" w:eastAsia="zh-CN"/>
        </w:rPr>
        <w:t>（一）项目组织架构及实施流程</w:t>
      </w:r>
    </w:p>
    <w:p>
      <w:pPr>
        <w:adjustRightInd w:val="0"/>
        <w:snapToGrid w:val="0"/>
        <w:spacing w:line="560" w:lineRule="exact"/>
        <w:ind w:firstLine="720"/>
        <w:rPr>
          <w:rFonts w:hint="eastAsia" w:ascii="仿宋_GB2312" w:eastAsia="仿宋_GB2312"/>
          <w:sz w:val="32"/>
          <w:szCs w:val="32"/>
          <w:lang w:val="zh-CN" w:eastAsia="zh-CN"/>
        </w:rPr>
      </w:pPr>
      <w:r>
        <w:rPr>
          <w:rFonts w:hint="eastAsia" w:ascii="仿宋_GB2312" w:eastAsia="仿宋_GB2312"/>
          <w:sz w:val="32"/>
          <w:szCs w:val="32"/>
          <w:lang w:val="zh-CN" w:eastAsia="zh-CN"/>
        </w:rPr>
        <w:t>茂县博物馆由茂县文化体育和旅游局负责管理维护运行，严格按照相关规定对博物馆进行对外免费开放。</w:t>
      </w:r>
    </w:p>
    <w:p>
      <w:pPr>
        <w:adjustRightInd w:val="0"/>
        <w:snapToGrid w:val="0"/>
        <w:spacing w:line="560" w:lineRule="exact"/>
        <w:ind w:firstLine="720"/>
        <w:rPr>
          <w:rFonts w:hint="eastAsia" w:ascii="楷体_GB2312" w:eastAsia="楷体_GB2312"/>
          <w:b/>
          <w:sz w:val="32"/>
          <w:szCs w:val="32"/>
          <w:lang w:val="zh-CN" w:eastAsia="zh-CN"/>
        </w:rPr>
      </w:pPr>
      <w:r>
        <w:rPr>
          <w:rFonts w:hint="eastAsia" w:ascii="楷体_GB2312" w:eastAsia="楷体_GB2312"/>
          <w:b/>
          <w:sz w:val="32"/>
          <w:szCs w:val="32"/>
          <w:lang w:val="zh-CN" w:eastAsia="zh-CN"/>
        </w:rPr>
        <w:t>（二）项目管理情况</w:t>
      </w:r>
    </w:p>
    <w:p>
      <w:pPr>
        <w:adjustRightInd w:val="0"/>
        <w:snapToGrid w:val="0"/>
        <w:spacing w:line="560" w:lineRule="exact"/>
        <w:ind w:firstLine="720"/>
        <w:rPr>
          <w:rFonts w:hint="eastAsia" w:ascii="仿宋_GB2312" w:eastAsia="仿宋_GB2312"/>
          <w:sz w:val="32"/>
          <w:szCs w:val="32"/>
          <w:lang w:val="zh-CN" w:eastAsia="zh-CN"/>
        </w:rPr>
      </w:pPr>
      <w:r>
        <w:rPr>
          <w:rFonts w:hint="eastAsia" w:ascii="仿宋_GB2312" w:eastAsia="仿宋_GB2312"/>
          <w:sz w:val="32"/>
          <w:szCs w:val="32"/>
          <w:lang w:val="zh-CN" w:eastAsia="zh-CN"/>
        </w:rPr>
        <w:t>县财政局严格执行中央及省、市各级对博物馆免费开放项目的相关政策，及时下拨资金至茂县文化体育和旅游局。茂县文化体育和旅游局严格执行相关法律法规及项目管理制度，确保项目资金专款用于博物馆免费开放，杜绝挪用、挤占、滞留专项资金情况。</w:t>
      </w:r>
    </w:p>
    <w:p>
      <w:pPr>
        <w:adjustRightInd w:val="0"/>
        <w:snapToGrid w:val="0"/>
        <w:spacing w:line="560" w:lineRule="exact"/>
        <w:ind w:firstLine="720"/>
        <w:rPr>
          <w:rFonts w:hint="eastAsia" w:ascii="楷体_GB2312" w:eastAsia="楷体_GB2312"/>
          <w:b/>
          <w:sz w:val="32"/>
          <w:szCs w:val="32"/>
          <w:lang w:val="zh-CN" w:eastAsia="zh-CN"/>
        </w:rPr>
      </w:pPr>
      <w:r>
        <w:rPr>
          <w:rFonts w:hint="eastAsia" w:ascii="楷体_GB2312" w:eastAsia="楷体_GB2312"/>
          <w:b/>
          <w:sz w:val="32"/>
          <w:szCs w:val="32"/>
          <w:lang w:val="zh-CN" w:eastAsia="zh-CN"/>
        </w:rPr>
        <w:t>（三）项目监管情况</w:t>
      </w:r>
    </w:p>
    <w:p>
      <w:pPr>
        <w:adjustRightInd w:val="0"/>
        <w:snapToGrid w:val="0"/>
        <w:spacing w:line="560" w:lineRule="exact"/>
        <w:ind w:firstLine="720"/>
        <w:rPr>
          <w:rFonts w:hint="eastAsia" w:ascii="仿宋_GB2312" w:eastAsia="仿宋_GB2312"/>
          <w:sz w:val="32"/>
          <w:szCs w:val="32"/>
          <w:lang w:val="zh-CN" w:eastAsia="zh-CN"/>
        </w:rPr>
      </w:pPr>
      <w:r>
        <w:rPr>
          <w:rFonts w:hint="eastAsia" w:ascii="仿宋_GB2312" w:eastAsia="仿宋_GB2312"/>
          <w:sz w:val="32"/>
          <w:szCs w:val="32"/>
          <w:lang w:val="zh-CN" w:eastAsia="zh-CN"/>
        </w:rPr>
        <w:t>县财政局严格按照资金用途，及时、足额将博物馆免费开放项目资金下拨到茂县文化体育和旅游局，州文化体育和旅游局及县财政不定期抽查博物馆免费开放资金相关账务资料，确保项目资金专款用于博物馆向群众免费开放。茂县文化体育和旅游局督促茂县博物馆定期做好博物馆的日常运行维护和对外免费开放工作。</w:t>
      </w:r>
    </w:p>
    <w:p>
      <w:pPr>
        <w:adjustRightInd w:val="0"/>
        <w:snapToGrid w:val="0"/>
        <w:spacing w:line="560" w:lineRule="exact"/>
        <w:ind w:firstLine="720"/>
        <w:rPr>
          <w:rFonts w:hint="eastAsia" w:ascii="仿宋_GB2312" w:eastAsia="仿宋_GB2312"/>
          <w:sz w:val="32"/>
          <w:szCs w:val="32"/>
          <w:lang w:val="zh-CN" w:eastAsia="zh-CN"/>
        </w:rPr>
      </w:pPr>
      <w:r>
        <w:rPr>
          <w:rFonts w:hint="eastAsia" w:ascii="黑体" w:eastAsia="黑体"/>
          <w:sz w:val="32"/>
          <w:szCs w:val="32"/>
        </w:rPr>
        <w:t>四、项目绩效情况</w:t>
      </w:r>
      <w:r>
        <w:rPr>
          <w:rFonts w:hint="eastAsia" w:ascii="仿宋_GB2312" w:eastAsia="仿宋_GB2312"/>
          <w:sz w:val="32"/>
          <w:szCs w:val="32"/>
          <w:lang w:val="zh-CN" w:eastAsia="zh-CN"/>
        </w:rPr>
        <w:tab/>
      </w:r>
    </w:p>
    <w:p>
      <w:pPr>
        <w:adjustRightInd w:val="0"/>
        <w:snapToGrid w:val="0"/>
        <w:spacing w:line="560" w:lineRule="exact"/>
        <w:ind w:firstLine="720"/>
        <w:rPr>
          <w:rFonts w:hint="eastAsia" w:ascii="楷体_GB2312" w:eastAsia="楷体_GB2312"/>
          <w:b/>
          <w:sz w:val="32"/>
          <w:szCs w:val="32"/>
          <w:lang w:val="zh-CN" w:eastAsia="zh-CN"/>
        </w:rPr>
      </w:pPr>
      <w:r>
        <w:rPr>
          <w:rFonts w:hint="eastAsia" w:ascii="楷体_GB2312" w:eastAsia="楷体_GB2312"/>
          <w:b/>
          <w:sz w:val="32"/>
          <w:szCs w:val="32"/>
          <w:lang w:val="zh-CN" w:eastAsia="zh-CN"/>
        </w:rPr>
        <w:t>（一）项目完成情况</w:t>
      </w:r>
    </w:p>
    <w:p>
      <w:pPr>
        <w:spacing w:line="360" w:lineRule="auto"/>
        <w:ind w:firstLine="640" w:firstLineChars="200"/>
        <w:rPr>
          <w:rFonts w:hint="eastAsia" w:ascii="仿宋_GB2312" w:eastAsia="仿宋_GB2312" w:cs="Times New Roman"/>
          <w:kern w:val="2"/>
          <w:sz w:val="32"/>
          <w:szCs w:val="32"/>
          <w:lang w:val="en-US" w:eastAsia="zh-CN" w:bidi="ar-SA"/>
        </w:rPr>
      </w:pPr>
      <w:r>
        <w:rPr>
          <w:rFonts w:hint="eastAsia" w:ascii="仿宋_GB2312" w:eastAsia="仿宋_GB2312"/>
          <w:sz w:val="32"/>
          <w:szCs w:val="32"/>
          <w:lang w:val="en-US" w:eastAsia="zh-CN"/>
        </w:rPr>
        <w:t>2023</w:t>
      </w:r>
      <w:r>
        <w:rPr>
          <w:rFonts w:hint="eastAsia" w:ascii="仿宋_GB2312" w:eastAsia="仿宋_GB2312"/>
          <w:sz w:val="32"/>
          <w:szCs w:val="32"/>
        </w:rPr>
        <w:t>年，茂县羌族博物馆在上级主管部门的领导下认真贯彻执行“保护为主，抢救第一，合理利用，加强管理”的文物工作方针，发挥博物馆的社会功能，在进一步落实免费开放政策，完善基础设施，开展业务培训，提高服务质量，加强未成年人思想道德建设等方面，锐意进取，取得了良好的社会效益。</w:t>
      </w:r>
      <w:r>
        <w:rPr>
          <w:rFonts w:hint="eastAsia" w:ascii="仿宋_GB2312" w:eastAsia="仿宋_GB2312"/>
          <w:sz w:val="32"/>
          <w:szCs w:val="32"/>
          <w:lang w:val="en-US" w:eastAsia="zh-CN"/>
        </w:rPr>
        <w:t>全年</w:t>
      </w:r>
      <w:r>
        <w:rPr>
          <w:rFonts w:hint="eastAsia" w:ascii="仿宋_GB2312" w:eastAsia="仿宋_GB2312"/>
          <w:sz w:val="32"/>
          <w:szCs w:val="32"/>
        </w:rPr>
        <w:t>博物馆共</w:t>
      </w:r>
      <w:r>
        <w:rPr>
          <w:rFonts w:hint="eastAsia" w:ascii="仿宋_GB2312" w:eastAsia="仿宋_GB2312"/>
          <w:sz w:val="32"/>
          <w:szCs w:val="32"/>
          <w:lang w:eastAsia="zh-CN"/>
        </w:rPr>
        <w:t>免费</w:t>
      </w:r>
      <w:r>
        <w:rPr>
          <w:rFonts w:hint="eastAsia" w:ascii="仿宋_GB2312" w:eastAsia="仿宋_GB2312"/>
          <w:sz w:val="32"/>
          <w:szCs w:val="32"/>
        </w:rPr>
        <w:t>开放</w:t>
      </w:r>
      <w:r>
        <w:rPr>
          <w:rFonts w:hint="eastAsia" w:ascii="仿宋_GB2312" w:eastAsia="仿宋_GB2312"/>
          <w:sz w:val="32"/>
          <w:szCs w:val="32"/>
          <w:lang w:val="en-US" w:eastAsia="zh-CN"/>
        </w:rPr>
        <w:t>316</w:t>
      </w:r>
      <w:r>
        <w:rPr>
          <w:rFonts w:hint="eastAsia" w:ascii="仿宋_GB2312" w:eastAsia="仿宋_GB2312"/>
          <w:sz w:val="32"/>
          <w:szCs w:val="32"/>
        </w:rPr>
        <w:t>日，接待了包括大中小学生、军人、专家学者、过往游客以及政府接待性参观等在内</w:t>
      </w:r>
      <w:r>
        <w:rPr>
          <w:rFonts w:hint="eastAsia" w:ascii="仿宋_GB2312" w:eastAsia="仿宋_GB2312"/>
          <w:color w:val="000000"/>
          <w:sz w:val="32"/>
          <w:szCs w:val="32"/>
          <w:lang w:val="en-US" w:eastAsia="zh-CN"/>
        </w:rPr>
        <w:t>11.8</w:t>
      </w:r>
      <w:r>
        <w:rPr>
          <w:rFonts w:hint="eastAsia" w:ascii="仿宋_GB2312" w:eastAsia="仿宋_GB2312"/>
          <w:color w:val="000000"/>
          <w:sz w:val="32"/>
          <w:szCs w:val="32"/>
        </w:rPr>
        <w:t>万余人次</w:t>
      </w:r>
      <w:r>
        <w:rPr>
          <w:rFonts w:hint="eastAsia" w:ascii="仿宋_GB2312" w:eastAsia="仿宋_GB2312"/>
          <w:bCs/>
          <w:color w:val="000000"/>
          <w:sz w:val="32"/>
          <w:szCs w:val="32"/>
        </w:rPr>
        <w:t>，其中青少年</w:t>
      </w:r>
      <w:r>
        <w:rPr>
          <w:rFonts w:hint="eastAsia" w:ascii="仿宋_GB2312" w:eastAsia="仿宋_GB2312"/>
          <w:bCs/>
          <w:color w:val="000000"/>
          <w:sz w:val="32"/>
          <w:szCs w:val="32"/>
          <w:lang w:val="en-US" w:eastAsia="zh-CN"/>
        </w:rPr>
        <w:t>36000</w:t>
      </w:r>
      <w:r>
        <w:rPr>
          <w:rFonts w:hint="eastAsia" w:ascii="仿宋_GB2312" w:eastAsia="仿宋_GB2312"/>
          <w:bCs/>
          <w:color w:val="000000"/>
          <w:sz w:val="32"/>
          <w:szCs w:val="32"/>
        </w:rPr>
        <w:t>万余人次，并完成</w:t>
      </w:r>
      <w:r>
        <w:rPr>
          <w:rFonts w:hint="eastAsia" w:ascii="仿宋_GB2312" w:eastAsia="仿宋_GB2312"/>
          <w:bCs/>
          <w:color w:val="000000"/>
          <w:sz w:val="32"/>
          <w:szCs w:val="32"/>
          <w:lang w:val="en-US" w:eastAsia="zh-CN"/>
        </w:rPr>
        <w:t>300</w:t>
      </w:r>
      <w:r>
        <w:rPr>
          <w:rFonts w:hint="eastAsia" w:ascii="仿宋_GB2312" w:eastAsia="仿宋_GB2312"/>
          <w:bCs/>
          <w:color w:val="000000"/>
          <w:sz w:val="32"/>
          <w:szCs w:val="32"/>
        </w:rPr>
        <w:t>余次义务讲解</w:t>
      </w:r>
      <w:r>
        <w:rPr>
          <w:rFonts w:hint="eastAsia" w:ascii="仿宋_GB2312" w:eastAsia="仿宋_GB2312"/>
          <w:bCs/>
          <w:color w:val="000000"/>
          <w:sz w:val="32"/>
          <w:szCs w:val="32"/>
          <w:lang w:eastAsia="zh-CN"/>
        </w:rPr>
        <w:t>。</w:t>
      </w:r>
      <w:r>
        <w:rPr>
          <w:rFonts w:hint="eastAsia" w:ascii="仿宋_GB2312" w:eastAsia="仿宋_GB2312"/>
          <w:bCs/>
          <w:sz w:val="32"/>
          <w:szCs w:val="32"/>
          <w:lang w:eastAsia="zh-CN"/>
        </w:rPr>
        <w:t>其次，积极开展</w:t>
      </w:r>
      <w:r>
        <w:rPr>
          <w:rFonts w:hint="eastAsia" w:ascii="仿宋_GB2312" w:eastAsia="仿宋_GB2312"/>
          <w:bCs/>
          <w:sz w:val="32"/>
          <w:szCs w:val="32"/>
          <w:lang w:val="en-US" w:eastAsia="zh-CN"/>
        </w:rPr>
        <w:t>5.18国际博物馆日、文化遗产日主题展览</w:t>
      </w:r>
      <w:r>
        <w:rPr>
          <w:rFonts w:hint="eastAsia" w:ascii="仿宋_GB2312" w:eastAsia="仿宋_GB2312"/>
          <w:sz w:val="32"/>
          <w:lang w:eastAsia="zh-CN"/>
        </w:rPr>
        <w:t>。组织工作人员</w:t>
      </w:r>
      <w:r>
        <w:rPr>
          <w:rFonts w:hint="eastAsia" w:ascii="仿宋_GB2312" w:eastAsia="仿宋_GB2312" w:cs="Times New Roman"/>
          <w:kern w:val="2"/>
          <w:sz w:val="32"/>
          <w:szCs w:val="32"/>
          <w:lang w:val="en-US" w:eastAsia="zh-CN" w:bidi="ar-SA"/>
        </w:rPr>
        <w:t>按时对各级文物保护单位进行安全巡查，发现问题及时处理，馆藏文物无损、无盗、无火灾等事故发生。</w:t>
      </w:r>
    </w:p>
    <w:p>
      <w:pPr>
        <w:adjustRightInd w:val="0"/>
        <w:snapToGrid w:val="0"/>
        <w:spacing w:line="560" w:lineRule="exact"/>
        <w:ind w:firstLine="720"/>
        <w:rPr>
          <w:rFonts w:hint="eastAsia" w:ascii="楷体_GB2312" w:eastAsia="楷体_GB2312"/>
          <w:b/>
          <w:sz w:val="32"/>
          <w:szCs w:val="32"/>
          <w:lang w:val="zh-CN" w:eastAsia="zh-CN"/>
        </w:rPr>
      </w:pPr>
      <w:r>
        <w:rPr>
          <w:rFonts w:hint="eastAsia" w:ascii="楷体_GB2312" w:eastAsia="楷体_GB2312"/>
          <w:b/>
          <w:sz w:val="32"/>
          <w:szCs w:val="32"/>
          <w:lang w:val="zh-CN" w:eastAsia="zh-CN"/>
        </w:rPr>
        <w:t>（二）项目效益情况</w:t>
      </w:r>
    </w:p>
    <w:p>
      <w:pPr>
        <w:pStyle w:val="19"/>
        <w:shd w:val="clear" w:color="auto" w:fill="FFFFFF"/>
        <w:spacing w:beforeAutospacing="0" w:afterAutospacing="0" w:line="560" w:lineRule="exact"/>
        <w:ind w:firstLine="640" w:firstLineChars="200"/>
        <w:rPr>
          <w:lang w:val="zh-CN" w:eastAsia="zh-CN"/>
        </w:rPr>
      </w:pPr>
      <w:r>
        <w:rPr>
          <w:rFonts w:hint="eastAsia" w:ascii="仿宋_GB2312" w:eastAsia="仿宋_GB2312"/>
          <w:kern w:val="2"/>
          <w:sz w:val="32"/>
          <w:szCs w:val="32"/>
          <w:lang w:val="zh-CN" w:eastAsia="zh-CN"/>
        </w:rPr>
        <w:t>经济效益：对项目资金坚持统一管理、突出重点、合理安排、专款专用、注重绩效。</w:t>
      </w:r>
    </w:p>
    <w:p>
      <w:pPr>
        <w:pStyle w:val="19"/>
        <w:shd w:val="clear" w:color="auto" w:fill="FFFFFF"/>
        <w:spacing w:beforeAutospacing="0" w:afterAutospacing="0" w:line="560" w:lineRule="exact"/>
        <w:ind w:firstLine="640" w:firstLineChars="200"/>
        <w:rPr>
          <w:rFonts w:hint="eastAsia" w:ascii="仿宋_GB2312" w:eastAsia="仿宋_GB2312"/>
          <w:kern w:val="2"/>
          <w:sz w:val="32"/>
          <w:szCs w:val="32"/>
          <w:lang w:val="zh-CN" w:eastAsia="zh-CN"/>
        </w:rPr>
      </w:pPr>
      <w:r>
        <w:rPr>
          <w:rFonts w:hint="eastAsia" w:ascii="仿宋_GB2312" w:eastAsia="仿宋_GB2312"/>
          <w:kern w:val="2"/>
          <w:sz w:val="32"/>
          <w:szCs w:val="32"/>
          <w:lang w:val="zh-CN" w:eastAsia="zh-CN"/>
        </w:rPr>
        <w:t>社会效益：达到全年免费开放时间及人次，完成全年免开任务，为全县人民群众提供文化活动场地。</w:t>
      </w:r>
    </w:p>
    <w:p>
      <w:pPr>
        <w:pStyle w:val="19"/>
        <w:shd w:val="clear" w:color="auto" w:fill="FFFFFF"/>
        <w:spacing w:beforeAutospacing="0" w:afterAutospacing="0" w:line="560" w:lineRule="exact"/>
        <w:ind w:firstLine="640" w:firstLineChars="200"/>
        <w:rPr>
          <w:rFonts w:hint="eastAsia" w:ascii="仿宋_GB2312" w:eastAsia="仿宋_GB2312"/>
          <w:kern w:val="2"/>
          <w:sz w:val="32"/>
          <w:szCs w:val="32"/>
          <w:lang w:val="zh-CN" w:eastAsia="zh-CN"/>
        </w:rPr>
      </w:pPr>
      <w:r>
        <w:rPr>
          <w:rFonts w:hint="eastAsia" w:ascii="仿宋_GB2312" w:eastAsia="仿宋_GB2312"/>
          <w:kern w:val="2"/>
          <w:sz w:val="32"/>
          <w:szCs w:val="32"/>
          <w:lang w:val="zh-CN" w:eastAsia="zh-CN"/>
        </w:rPr>
        <w:t>服务对象满意度：群众满意度达到9</w:t>
      </w:r>
      <w:r>
        <w:rPr>
          <w:rFonts w:hint="eastAsia" w:ascii="仿宋_GB2312" w:eastAsia="仿宋_GB2312"/>
          <w:kern w:val="2"/>
          <w:sz w:val="32"/>
          <w:szCs w:val="32"/>
        </w:rPr>
        <w:t>8</w:t>
      </w:r>
      <w:r>
        <w:rPr>
          <w:rFonts w:hint="eastAsia" w:ascii="仿宋_GB2312" w:eastAsia="仿宋_GB2312"/>
          <w:kern w:val="2"/>
          <w:sz w:val="32"/>
          <w:szCs w:val="32"/>
          <w:lang w:val="zh-CN" w:eastAsia="zh-CN"/>
        </w:rPr>
        <w:t>%。</w:t>
      </w:r>
    </w:p>
    <w:p>
      <w:pPr>
        <w:adjustRightInd w:val="0"/>
        <w:snapToGrid w:val="0"/>
        <w:spacing w:line="560" w:lineRule="exact"/>
        <w:ind w:firstLine="720"/>
        <w:rPr>
          <w:rFonts w:hint="eastAsia" w:ascii="黑体" w:eastAsia="黑体" w:cs="Times New Roman"/>
          <w:sz w:val="32"/>
          <w:szCs w:val="32"/>
          <w:lang w:bidi="ar-SA"/>
        </w:rPr>
      </w:pPr>
      <w:r>
        <w:rPr>
          <w:rFonts w:hint="eastAsia" w:ascii="黑体" w:eastAsia="黑体" w:cs="Times New Roman"/>
          <w:sz w:val="32"/>
          <w:szCs w:val="32"/>
          <w:lang w:bidi="ar-SA"/>
        </w:rPr>
        <w:t>五、评价结论及建议</w:t>
      </w:r>
    </w:p>
    <w:p>
      <w:pPr>
        <w:adjustRightInd w:val="0"/>
        <w:snapToGrid w:val="0"/>
        <w:spacing w:line="560" w:lineRule="exact"/>
        <w:ind w:firstLine="720"/>
        <w:rPr>
          <w:rFonts w:hint="eastAsia" w:ascii="楷体_GB2312" w:eastAsia="楷体_GB2312" w:cs="Times New Roman"/>
          <w:b/>
          <w:sz w:val="32"/>
          <w:szCs w:val="32"/>
          <w:lang w:val="zh-CN" w:eastAsia="zh-CN" w:bidi="ar-SA"/>
        </w:rPr>
      </w:pPr>
      <w:r>
        <w:rPr>
          <w:rFonts w:hint="eastAsia" w:ascii="楷体_GB2312" w:eastAsia="楷体_GB2312" w:cs="Times New Roman"/>
          <w:b/>
          <w:sz w:val="32"/>
          <w:szCs w:val="32"/>
          <w:lang w:val="zh-CN" w:eastAsia="zh-CN" w:bidi="ar-SA"/>
        </w:rPr>
        <w:t>（一）评价结论</w:t>
      </w:r>
    </w:p>
    <w:p>
      <w:pPr>
        <w:pStyle w:val="19"/>
        <w:shd w:val="clear" w:color="auto" w:fill="FFFFFF"/>
        <w:spacing w:beforeAutospacing="0" w:afterAutospacing="0" w:line="560" w:lineRule="exact"/>
        <w:ind w:firstLine="640" w:firstLineChars="200"/>
        <w:rPr>
          <w:rFonts w:hint="eastAsia" w:ascii="仿宋_GB2312" w:eastAsia="仿宋_GB2312"/>
          <w:kern w:val="2"/>
          <w:sz w:val="32"/>
          <w:szCs w:val="32"/>
          <w:lang w:val="zh-CN" w:eastAsia="zh-CN"/>
        </w:rPr>
      </w:pPr>
      <w:r>
        <w:rPr>
          <w:rFonts w:hint="eastAsia" w:ascii="仿宋_GB2312" w:eastAsia="仿宋_GB2312"/>
          <w:kern w:val="2"/>
          <w:sz w:val="32"/>
          <w:szCs w:val="32"/>
          <w:lang w:val="zh-CN" w:eastAsia="zh-CN"/>
        </w:rPr>
        <w:t>茂县文化体育和旅游局20</w:t>
      </w:r>
      <w:r>
        <w:rPr>
          <w:rFonts w:hint="eastAsia" w:ascii="仿宋_GB2312" w:eastAsia="仿宋_GB2312"/>
          <w:kern w:val="2"/>
          <w:sz w:val="32"/>
          <w:szCs w:val="32"/>
        </w:rPr>
        <w:t>2</w:t>
      </w:r>
      <w:r>
        <w:rPr>
          <w:rFonts w:hint="eastAsia" w:ascii="仿宋_GB2312" w:eastAsia="仿宋_GB2312"/>
          <w:kern w:val="2"/>
          <w:sz w:val="32"/>
          <w:szCs w:val="32"/>
          <w:lang w:val="en-US" w:eastAsia="zh-CN"/>
        </w:rPr>
        <w:t>3</w:t>
      </w:r>
      <w:r>
        <w:rPr>
          <w:rFonts w:hint="eastAsia" w:ascii="仿宋_GB2312" w:eastAsia="仿宋_GB2312"/>
          <w:kern w:val="2"/>
          <w:sz w:val="32"/>
          <w:szCs w:val="32"/>
          <w:lang w:val="zh-CN" w:eastAsia="zh-CN"/>
        </w:rPr>
        <w:t>年度博物馆免费开放项目资金全部用于我县博物馆的运行维修维护，确保博物馆能够正常对群众开放并举办各种展览，满足我县群众文化活动等各项需求。该项目绩效目标、预期效益、计划实施进度明确，决策依据充分；资金切块合理、管理严格，未出现编报虚假预算以套取专项资金，挤占、截留、挪用专项资金，因管理不善而造成国家资产损失和浪费，违反国家财经纪律等行为；产生了较好的社会效益，运行维护效果好，受益群体满意度高。</w:t>
      </w:r>
    </w:p>
    <w:p>
      <w:pPr>
        <w:adjustRightInd w:val="0"/>
        <w:snapToGrid w:val="0"/>
        <w:spacing w:line="560" w:lineRule="exact"/>
        <w:ind w:firstLine="720"/>
        <w:rPr>
          <w:rFonts w:hint="eastAsia" w:ascii="楷体_GB2312" w:eastAsia="楷体_GB2312"/>
          <w:b/>
          <w:sz w:val="32"/>
          <w:szCs w:val="32"/>
          <w:lang w:val="zh-CN" w:eastAsia="zh-CN"/>
        </w:rPr>
      </w:pPr>
      <w:r>
        <w:rPr>
          <w:rFonts w:hint="eastAsia" w:ascii="楷体_GB2312" w:eastAsia="楷体_GB2312"/>
          <w:b/>
          <w:sz w:val="32"/>
          <w:szCs w:val="32"/>
          <w:lang w:val="zh-CN" w:eastAsia="zh-CN"/>
        </w:rPr>
        <w:t>（二）存在的问题</w:t>
      </w:r>
    </w:p>
    <w:p>
      <w:pPr>
        <w:adjustRightInd w:val="0"/>
        <w:snapToGrid w:val="0"/>
        <w:spacing w:line="560" w:lineRule="exact"/>
        <w:ind w:firstLine="640" w:firstLineChars="200"/>
        <w:rPr>
          <w:rFonts w:hint="eastAsia" w:ascii="仿宋_GB2312" w:eastAsia="仿宋_GB2312"/>
          <w:sz w:val="32"/>
          <w:szCs w:val="32"/>
          <w:lang w:val="zh-CN" w:eastAsia="zh-CN"/>
        </w:rPr>
      </w:pPr>
      <w:r>
        <w:rPr>
          <w:rFonts w:hint="eastAsia" w:ascii="仿宋_GB2312" w:eastAsia="仿宋_GB2312"/>
          <w:sz w:val="32"/>
          <w:szCs w:val="32"/>
          <w:lang w:val="zh-CN" w:eastAsia="zh-CN"/>
        </w:rPr>
        <w:t>我县农村人口多，属于山区地貌，专项项目开展的面宽量大，中央、省级安排的资金有限，县财力比较困难，使项目开展在很大程度上受到约束，与广大群众迫切需求的文化生活还存在着很大差距。</w:t>
      </w:r>
      <w:r>
        <w:rPr>
          <w:rFonts w:hint="eastAsia" w:ascii="仿宋_GB2312" w:eastAsia="仿宋_GB2312"/>
          <w:sz w:val="32"/>
          <w:szCs w:val="32"/>
          <w:lang w:val="zh-CN" w:eastAsia="zh-CN"/>
        </w:rPr>
        <w:tab/>
      </w:r>
    </w:p>
    <w:p>
      <w:pPr>
        <w:adjustRightInd w:val="0"/>
        <w:snapToGrid w:val="0"/>
        <w:spacing w:line="560" w:lineRule="exact"/>
        <w:ind w:firstLine="720"/>
        <w:rPr>
          <w:rFonts w:hint="eastAsia" w:ascii="楷体_GB2312" w:eastAsia="楷体_GB2312"/>
          <w:b/>
          <w:sz w:val="32"/>
          <w:szCs w:val="32"/>
          <w:lang w:val="zh-CN" w:eastAsia="zh-CN"/>
        </w:rPr>
      </w:pPr>
      <w:r>
        <w:rPr>
          <w:rFonts w:hint="eastAsia" w:ascii="楷体_GB2312" w:eastAsia="楷体_GB2312"/>
          <w:b/>
          <w:sz w:val="32"/>
          <w:szCs w:val="32"/>
          <w:lang w:val="zh-CN" w:eastAsia="zh-CN"/>
        </w:rPr>
        <w:t>（三）相关建议</w:t>
      </w:r>
    </w:p>
    <w:p>
      <w:pPr>
        <w:adjustRightInd w:val="0"/>
        <w:snapToGrid w:val="0"/>
        <w:spacing w:line="560" w:lineRule="exact"/>
        <w:ind w:firstLine="640" w:firstLineChars="200"/>
        <w:rPr>
          <w:rFonts w:hint="eastAsia" w:ascii="仿宋_GB2312" w:eastAsia="仿宋_GB2312" w:cs="Times New Roman"/>
          <w:sz w:val="32"/>
          <w:szCs w:val="32"/>
          <w:lang w:val="zh-CN" w:eastAsia="zh-CN" w:bidi="ar-SA"/>
        </w:rPr>
      </w:pPr>
      <w:r>
        <w:rPr>
          <w:rFonts w:hint="eastAsia" w:ascii="仿宋_GB2312" w:eastAsia="仿宋_GB2312" w:cs="Times New Roman"/>
          <w:sz w:val="32"/>
          <w:szCs w:val="32"/>
          <w:lang w:val="en-US" w:eastAsia="zh-CN" w:bidi="ar-SA"/>
        </w:rPr>
        <w:t>加强馆际交流，逐步开展更多专题性临展，引进并培养更多具有文博、考古、文物修复、文献古籍等学科背景的专业技术人才，建立对专业人才的激励机制。</w:t>
      </w:r>
    </w:p>
    <w:p>
      <w:pPr>
        <w:pStyle w:val="40"/>
        <w:shd w:val="clear" w:color="auto" w:fill="FFFFFF"/>
        <w:spacing w:before="0" w:beforeAutospacing="0" w:after="0" w:afterAutospacing="0" w:line="336" w:lineRule="atLeast"/>
        <w:ind w:firstLine="640"/>
        <w:rPr>
          <w:rFonts w:ascii="仿宋" w:hAnsi="仿宋" w:eastAsia="仿宋"/>
          <w:sz w:val="32"/>
          <w:szCs w:val="32"/>
        </w:rPr>
      </w:pPr>
    </w:p>
    <w:p>
      <w:pPr>
        <w:pStyle w:val="40"/>
        <w:shd w:val="clear" w:color="auto" w:fill="FFFFFF"/>
        <w:spacing w:before="0" w:beforeAutospacing="0" w:after="0" w:afterAutospacing="0" w:line="336" w:lineRule="atLeast"/>
        <w:ind w:firstLine="640"/>
        <w:rPr>
          <w:rFonts w:ascii="仿宋" w:hAnsi="仿宋" w:eastAsia="仿宋"/>
          <w:sz w:val="32"/>
          <w:szCs w:val="32"/>
        </w:rPr>
      </w:pPr>
    </w:p>
    <w:p>
      <w:pPr>
        <w:pStyle w:val="40"/>
        <w:shd w:val="clear" w:color="auto" w:fill="FFFFFF"/>
        <w:spacing w:before="0" w:beforeAutospacing="0" w:after="0" w:afterAutospacing="0" w:line="336" w:lineRule="atLeast"/>
        <w:ind w:firstLine="640"/>
        <w:rPr>
          <w:rFonts w:ascii="仿宋" w:hAnsi="仿宋" w:eastAsia="仿宋"/>
          <w:sz w:val="32"/>
          <w:szCs w:val="32"/>
        </w:rPr>
      </w:pPr>
    </w:p>
    <w:p>
      <w:pPr>
        <w:pStyle w:val="40"/>
        <w:shd w:val="clear" w:color="auto" w:fill="FFFFFF"/>
        <w:spacing w:before="0" w:beforeAutospacing="0" w:after="0" w:afterAutospacing="0" w:line="336" w:lineRule="atLeast"/>
        <w:ind w:firstLine="640"/>
        <w:rPr>
          <w:rFonts w:ascii="仿宋" w:hAnsi="仿宋" w:eastAsia="仿宋"/>
          <w:sz w:val="32"/>
          <w:szCs w:val="32"/>
        </w:rPr>
      </w:pPr>
    </w:p>
    <w:p>
      <w:pPr>
        <w:pStyle w:val="40"/>
        <w:shd w:val="clear" w:color="auto" w:fill="FFFFFF"/>
        <w:spacing w:before="0" w:beforeAutospacing="0" w:after="0" w:afterAutospacing="0" w:line="336" w:lineRule="atLeast"/>
        <w:ind w:firstLine="640"/>
        <w:rPr>
          <w:rFonts w:ascii="仿宋" w:hAnsi="仿宋" w:eastAsia="仿宋"/>
          <w:sz w:val="32"/>
          <w:szCs w:val="32"/>
        </w:rPr>
      </w:pPr>
    </w:p>
    <w:p>
      <w:pPr>
        <w:pStyle w:val="40"/>
        <w:shd w:val="clear" w:color="auto" w:fill="FFFFFF"/>
        <w:spacing w:before="0" w:beforeAutospacing="0" w:after="0" w:afterAutospacing="0" w:line="336" w:lineRule="atLeast"/>
        <w:ind w:firstLine="640"/>
        <w:rPr>
          <w:rFonts w:ascii="仿宋" w:hAnsi="仿宋" w:eastAsia="仿宋"/>
          <w:sz w:val="32"/>
          <w:szCs w:val="32"/>
        </w:rPr>
      </w:pPr>
    </w:p>
    <w:p>
      <w:pPr>
        <w:pStyle w:val="40"/>
        <w:shd w:val="clear" w:color="auto" w:fill="FFFFFF"/>
        <w:spacing w:before="0" w:beforeAutospacing="0" w:after="0" w:afterAutospacing="0" w:line="336" w:lineRule="atLeast"/>
        <w:ind w:firstLine="640"/>
        <w:rPr>
          <w:rFonts w:ascii="仿宋" w:hAnsi="仿宋" w:eastAsia="仿宋"/>
          <w:sz w:val="32"/>
          <w:szCs w:val="32"/>
        </w:rPr>
      </w:pPr>
    </w:p>
    <w:p>
      <w:pPr>
        <w:pStyle w:val="40"/>
        <w:shd w:val="clear" w:color="auto" w:fill="FFFFFF"/>
        <w:spacing w:before="0" w:beforeAutospacing="0" w:after="0" w:afterAutospacing="0" w:line="336" w:lineRule="atLeast"/>
        <w:ind w:firstLine="640"/>
        <w:rPr>
          <w:rFonts w:ascii="仿宋" w:hAnsi="仿宋" w:eastAsia="仿宋"/>
          <w:sz w:val="32"/>
          <w:szCs w:val="32"/>
        </w:rPr>
      </w:pPr>
    </w:p>
    <w:p>
      <w:pPr>
        <w:pStyle w:val="40"/>
        <w:shd w:val="clear" w:color="auto" w:fill="FFFFFF"/>
        <w:spacing w:before="0" w:beforeAutospacing="0" w:after="0" w:afterAutospacing="0" w:line="336" w:lineRule="atLeast"/>
        <w:ind w:firstLine="640"/>
        <w:rPr>
          <w:rFonts w:ascii="仿宋" w:hAnsi="仿宋" w:eastAsia="仿宋"/>
          <w:sz w:val="32"/>
          <w:szCs w:val="32"/>
        </w:rPr>
      </w:pPr>
    </w:p>
    <w:p>
      <w:pPr>
        <w:pStyle w:val="2"/>
        <w:bidi w:val="0"/>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国家非物质文化遗产保护项目</w:t>
      </w:r>
    </w:p>
    <w:p>
      <w:pPr>
        <w:pStyle w:val="2"/>
        <w:bidi w:val="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3</w:t>
      </w:r>
      <w:r>
        <w:rPr>
          <w:rFonts w:hint="eastAsia" w:ascii="方正小标宋简体" w:hAnsi="方正小标宋简体" w:eastAsia="方正小标宋简体" w:cs="方正小标宋简体"/>
          <w:sz w:val="44"/>
          <w:szCs w:val="44"/>
        </w:rPr>
        <w:t>年支出绩效自评报告</w:t>
      </w:r>
    </w:p>
    <w:p>
      <w:pPr>
        <w:pStyle w:val="2"/>
        <w:bidi w:val="0"/>
        <w:rPr>
          <w:rFonts w:hint="eastAsia" w:ascii="仿宋" w:hAnsi="仿宋" w:eastAsia="仿宋" w:cs="仿宋"/>
          <w:b/>
          <w:bCs/>
          <w:sz w:val="32"/>
          <w:szCs w:val="32"/>
        </w:rPr>
      </w:pPr>
      <w:r>
        <w:rPr>
          <w:rFonts w:hint="eastAsia" w:ascii="仿宋" w:hAnsi="仿宋" w:eastAsia="仿宋" w:cs="仿宋"/>
          <w:b/>
          <w:bCs/>
          <w:sz w:val="32"/>
          <w:szCs w:val="32"/>
        </w:rPr>
        <w:t>一、项目概况</w:t>
      </w:r>
    </w:p>
    <w:p>
      <w:pPr>
        <w:pageBreakBefore w:val="0"/>
        <w:widowControl/>
        <w:kinsoku/>
        <w:wordWrap/>
        <w:overflowPunct/>
        <w:topLinePunct w:val="0"/>
        <w:bidi w:val="0"/>
        <w:adjustRightInd w:val="0"/>
        <w:snapToGrid w:val="0"/>
        <w:spacing w:line="576" w:lineRule="exact"/>
        <w:ind w:firstLine="640" w:firstLineChars="200"/>
        <w:contextualSpacing/>
        <w:jc w:val="left"/>
        <w:textAlignment w:val="auto"/>
        <w:rPr>
          <w:rFonts w:hint="eastAsia" w:ascii="仿宋_GB2312" w:eastAsia="仿宋_GB2312" w:cs="宋体"/>
          <w:color w:val="000000"/>
          <w:kern w:val="0"/>
          <w:sz w:val="32"/>
          <w:szCs w:val="32"/>
          <w:shd w:val="clear" w:color="auto" w:fill="FFFFFF"/>
          <w:lang w:val="zh-CN" w:eastAsia="zh-CN" w:bidi="ar-SA"/>
        </w:rPr>
      </w:pPr>
      <w:r>
        <w:rPr>
          <w:rFonts w:hint="eastAsia" w:ascii="仿宋_GB2312" w:eastAsia="仿宋_GB2312" w:cs="宋体"/>
          <w:color w:val="000000"/>
          <w:kern w:val="0"/>
          <w:sz w:val="32"/>
          <w:szCs w:val="32"/>
          <w:shd w:val="clear" w:color="auto" w:fill="FFFFFF"/>
          <w:lang w:val="zh-CN" w:eastAsia="zh-CN" w:bidi="ar-SA"/>
        </w:rPr>
        <w:t>（一）项目基本情况</w:t>
      </w:r>
    </w:p>
    <w:p>
      <w:pPr>
        <w:pStyle w:val="2"/>
        <w:spacing w:before="93" w:line="560" w:lineRule="exact"/>
        <w:ind w:firstLine="640" w:firstLineChars="200"/>
        <w:rPr>
          <w:rFonts w:hint="eastAsia" w:cs="Times New Roman"/>
          <w:kern w:val="2"/>
          <w:sz w:val="32"/>
          <w:szCs w:val="32"/>
          <w:lang w:eastAsia="zh-CN" w:bidi="ar-SA"/>
        </w:rPr>
      </w:pPr>
      <w:r>
        <w:rPr>
          <w:rFonts w:hint="eastAsia" w:cs="Times New Roman"/>
          <w:kern w:val="2"/>
          <w:sz w:val="32"/>
          <w:szCs w:val="32"/>
          <w:lang w:eastAsia="zh-CN" w:bidi="ar-SA"/>
        </w:rPr>
        <w:t>茂县文化体育和旅游局在国家非物质文化遗产保护项目管理中主要承担国家非物质文化遗产保护专项资金的预算、申请、管理、拨付、监督等职能，对我县国家非物质文化遗产保护专项资金实行统一管理，专款专用，提高资金使用效益。</w:t>
      </w:r>
    </w:p>
    <w:p>
      <w:pPr>
        <w:pStyle w:val="2"/>
        <w:spacing w:before="93" w:line="560" w:lineRule="exact"/>
        <w:ind w:firstLine="640" w:firstLineChars="200"/>
        <w:rPr>
          <w:rFonts w:hint="eastAsia" w:cs="Times New Roman"/>
          <w:kern w:val="2"/>
          <w:sz w:val="32"/>
          <w:szCs w:val="32"/>
          <w:lang w:val="en-US" w:eastAsia="zh-CN" w:bidi="ar-SA"/>
        </w:rPr>
      </w:pPr>
      <w:r>
        <w:rPr>
          <w:rFonts w:hint="eastAsia" w:cs="Times New Roman"/>
          <w:kern w:val="2"/>
          <w:sz w:val="32"/>
          <w:szCs w:val="32"/>
          <w:lang w:eastAsia="zh-CN" w:bidi="ar-SA"/>
        </w:rPr>
        <w:t>根据《四川省财政厅</w:t>
      </w:r>
      <w:r>
        <w:rPr>
          <w:rFonts w:hint="eastAsia" w:cs="Times New Roman"/>
          <w:kern w:val="2"/>
          <w:sz w:val="32"/>
          <w:szCs w:val="32"/>
          <w:lang w:val="en-US" w:eastAsia="zh-CN" w:bidi="ar-SA"/>
        </w:rPr>
        <w:t xml:space="preserve"> </w:t>
      </w:r>
      <w:r>
        <w:rPr>
          <w:rFonts w:hint="eastAsia" w:cs="Times New Roman"/>
          <w:kern w:val="2"/>
          <w:sz w:val="32"/>
          <w:szCs w:val="32"/>
          <w:lang w:eastAsia="zh-CN" w:bidi="ar-SA"/>
        </w:rPr>
        <w:t>省文化和旅游厅关于下达</w:t>
      </w:r>
      <w:r>
        <w:rPr>
          <w:rFonts w:hint="eastAsia" w:cs="Times New Roman"/>
          <w:kern w:val="2"/>
          <w:sz w:val="32"/>
          <w:szCs w:val="32"/>
          <w:lang w:val="en-US" w:eastAsia="zh-CN" w:bidi="ar-SA"/>
        </w:rPr>
        <w:t>2023</w:t>
      </w:r>
      <w:r>
        <w:rPr>
          <w:rFonts w:hint="eastAsia" w:cs="Times New Roman"/>
          <w:kern w:val="2"/>
          <w:sz w:val="32"/>
          <w:szCs w:val="32"/>
          <w:lang w:eastAsia="zh-CN" w:bidi="ar-SA"/>
        </w:rPr>
        <w:t>国家非物质文化遗产保护资金预算的通知》（川财教〔20</w:t>
      </w:r>
      <w:r>
        <w:rPr>
          <w:rFonts w:hint="eastAsia" w:cs="Times New Roman"/>
          <w:kern w:val="2"/>
          <w:sz w:val="32"/>
          <w:szCs w:val="32"/>
          <w:lang w:val="en-US" w:eastAsia="zh-CN" w:bidi="ar-SA"/>
        </w:rPr>
        <w:t>23</w:t>
      </w:r>
      <w:r>
        <w:rPr>
          <w:rFonts w:hint="eastAsia" w:cs="Times New Roman"/>
          <w:kern w:val="2"/>
          <w:sz w:val="32"/>
          <w:szCs w:val="32"/>
          <w:lang w:eastAsia="zh-CN" w:bidi="ar-SA"/>
        </w:rPr>
        <w:t>〕</w:t>
      </w:r>
      <w:r>
        <w:rPr>
          <w:rFonts w:hint="eastAsia" w:cs="Times New Roman"/>
          <w:kern w:val="2"/>
          <w:sz w:val="32"/>
          <w:szCs w:val="32"/>
          <w:lang w:val="en-US" w:eastAsia="zh-CN" w:bidi="ar-SA"/>
        </w:rPr>
        <w:t>56</w:t>
      </w:r>
      <w:r>
        <w:rPr>
          <w:rFonts w:hint="eastAsia" w:cs="Times New Roman"/>
          <w:kern w:val="2"/>
          <w:sz w:val="32"/>
          <w:szCs w:val="32"/>
          <w:lang w:eastAsia="zh-CN" w:bidi="ar-SA"/>
        </w:rPr>
        <w:t>号），州文化体育和旅游局《关于下达</w:t>
      </w:r>
      <w:r>
        <w:rPr>
          <w:rFonts w:hint="eastAsia" w:cs="Times New Roman"/>
          <w:kern w:val="2"/>
          <w:sz w:val="32"/>
          <w:szCs w:val="32"/>
          <w:lang w:val="en-US" w:eastAsia="zh-CN" w:bidi="ar-SA"/>
        </w:rPr>
        <w:t>2023年国</w:t>
      </w:r>
      <w:r>
        <w:rPr>
          <w:rFonts w:hint="eastAsia" w:cs="Times New Roman"/>
          <w:kern w:val="2"/>
          <w:sz w:val="32"/>
          <w:szCs w:val="32"/>
          <w:lang w:eastAsia="zh-CN" w:bidi="ar-SA"/>
        </w:rPr>
        <w:t>家非物质文化遗产保护资金预算</w:t>
      </w:r>
      <w:r>
        <w:rPr>
          <w:rFonts w:hint="eastAsia" w:cs="Times New Roman"/>
          <w:kern w:val="2"/>
          <w:sz w:val="32"/>
          <w:szCs w:val="32"/>
          <w:lang w:val="en-US" w:eastAsia="zh-CN" w:bidi="ar-SA"/>
        </w:rPr>
        <w:t>的通知</w:t>
      </w:r>
      <w:r>
        <w:rPr>
          <w:rFonts w:hint="eastAsia" w:cs="Times New Roman"/>
          <w:kern w:val="2"/>
          <w:sz w:val="32"/>
          <w:szCs w:val="32"/>
          <w:lang w:eastAsia="zh-CN" w:bidi="ar-SA"/>
        </w:rPr>
        <w:t>》阿州财教（</w:t>
      </w:r>
      <w:r>
        <w:rPr>
          <w:rFonts w:hint="eastAsia" w:cs="Times New Roman"/>
          <w:kern w:val="2"/>
          <w:sz w:val="32"/>
          <w:szCs w:val="32"/>
          <w:lang w:val="en-US" w:eastAsia="zh-CN" w:bidi="ar-SA"/>
        </w:rPr>
        <w:t>2023</w:t>
      </w:r>
      <w:r>
        <w:rPr>
          <w:rFonts w:hint="eastAsia" w:cs="Times New Roman"/>
          <w:kern w:val="2"/>
          <w:sz w:val="32"/>
          <w:szCs w:val="32"/>
          <w:lang w:eastAsia="zh-CN" w:bidi="ar-SA"/>
        </w:rPr>
        <w:t>）</w:t>
      </w:r>
      <w:r>
        <w:rPr>
          <w:rFonts w:hint="eastAsia" w:cs="Times New Roman"/>
          <w:kern w:val="2"/>
          <w:sz w:val="32"/>
          <w:szCs w:val="32"/>
          <w:lang w:val="en-US" w:eastAsia="zh-CN" w:bidi="ar-SA"/>
        </w:rPr>
        <w:t>40号，2023年茂县国</w:t>
      </w:r>
      <w:r>
        <w:rPr>
          <w:rFonts w:hint="eastAsia" w:cs="Times New Roman"/>
          <w:kern w:val="2"/>
          <w:sz w:val="32"/>
          <w:szCs w:val="32"/>
          <w:lang w:eastAsia="zh-CN" w:bidi="ar-SA"/>
        </w:rPr>
        <w:t>家非物质文化遗产保护资金</w:t>
      </w:r>
      <w:r>
        <w:rPr>
          <w:rFonts w:hint="eastAsia" w:cs="Times New Roman"/>
          <w:kern w:val="2"/>
          <w:sz w:val="32"/>
          <w:szCs w:val="32"/>
          <w:lang w:val="en-US" w:eastAsia="zh-CN" w:bidi="ar-SA"/>
        </w:rPr>
        <w:t>129万元，拨付到位，专项用于国</w:t>
      </w:r>
      <w:r>
        <w:rPr>
          <w:rFonts w:hint="eastAsia" w:cs="Times New Roman"/>
          <w:kern w:val="2"/>
          <w:sz w:val="32"/>
          <w:szCs w:val="32"/>
          <w:lang w:eastAsia="zh-CN" w:bidi="ar-SA"/>
        </w:rPr>
        <w:t>家非物质文化遗产保护</w:t>
      </w:r>
      <w:r>
        <w:rPr>
          <w:rFonts w:hint="eastAsia" w:cs="Times New Roman"/>
          <w:kern w:val="2"/>
          <w:sz w:val="32"/>
          <w:szCs w:val="32"/>
          <w:lang w:val="en-US" w:eastAsia="zh-CN" w:bidi="ar-SA"/>
        </w:rPr>
        <w:t>。</w:t>
      </w:r>
    </w:p>
    <w:p>
      <w:pPr>
        <w:pStyle w:val="2"/>
        <w:spacing w:before="93" w:line="560" w:lineRule="exact"/>
        <w:ind w:firstLine="640" w:firstLineChars="200"/>
        <w:rPr>
          <w:rFonts w:hint="eastAsia" w:cs="Times New Roman"/>
          <w:kern w:val="2"/>
          <w:sz w:val="32"/>
          <w:szCs w:val="32"/>
          <w:lang w:val="en-US" w:eastAsia="zh-CN" w:bidi="ar-SA"/>
        </w:rPr>
      </w:pPr>
      <w:r>
        <w:rPr>
          <w:rFonts w:hint="eastAsia" w:cs="Times New Roman"/>
          <w:kern w:val="2"/>
          <w:sz w:val="32"/>
          <w:szCs w:val="32"/>
          <w:lang w:val="en-US" w:eastAsia="zh-CN" w:bidi="ar-SA"/>
        </w:rPr>
        <w:t>2023年茂县国家非物质文化遗产保护资金129万元（国家级代表性传承人补助经费6万元、羌年瓦尔俄足节44万元、羌文化生态保护区补助经费79万元），实际支出24.76万元，执行率达20﹪，结余104.24万元2023年继续用于开展非遗羌文化专项保护活动。</w:t>
      </w:r>
    </w:p>
    <w:p>
      <w:pPr>
        <w:pStyle w:val="2"/>
        <w:spacing w:before="93" w:line="560" w:lineRule="exact"/>
        <w:ind w:firstLine="640" w:firstLineChars="200"/>
        <w:rPr>
          <w:rFonts w:hint="eastAsia" w:cs="Times New Roman"/>
          <w:kern w:val="2"/>
          <w:sz w:val="32"/>
          <w:szCs w:val="32"/>
          <w:lang w:val="en-US" w:eastAsia="zh-CN" w:bidi="ar-SA"/>
        </w:rPr>
      </w:pPr>
      <w:r>
        <w:rPr>
          <w:rFonts w:hint="eastAsia" w:cs="Times New Roman"/>
          <w:kern w:val="2"/>
          <w:sz w:val="32"/>
          <w:szCs w:val="32"/>
          <w:lang w:val="en-US" w:eastAsia="zh-CN" w:bidi="ar-SA"/>
        </w:rPr>
        <w:t>国家非物质文化遗产保护资金资金分配按照据实效分配原则，重点考虑民生工程的因素。</w:t>
      </w:r>
    </w:p>
    <w:p>
      <w:pPr>
        <w:pageBreakBefore w:val="0"/>
        <w:widowControl/>
        <w:kinsoku/>
        <w:wordWrap/>
        <w:overflowPunct/>
        <w:topLinePunct w:val="0"/>
        <w:bidi w:val="0"/>
        <w:adjustRightInd w:val="0"/>
        <w:snapToGrid w:val="0"/>
        <w:spacing w:line="576" w:lineRule="exact"/>
        <w:ind w:firstLine="640" w:firstLineChars="200"/>
        <w:contextualSpacing/>
        <w:jc w:val="left"/>
        <w:textAlignment w:val="auto"/>
        <w:rPr>
          <w:rFonts w:hint="eastAsia" w:ascii="仿宋_GB2312" w:eastAsia="仿宋_GB2312" w:cs="宋体"/>
          <w:color w:val="000000"/>
          <w:kern w:val="0"/>
          <w:sz w:val="32"/>
          <w:szCs w:val="32"/>
          <w:shd w:val="clear" w:color="auto" w:fill="FFFFFF"/>
          <w:lang w:val="zh-CN" w:eastAsia="zh-CN" w:bidi="ar-SA"/>
        </w:rPr>
      </w:pPr>
      <w:r>
        <w:rPr>
          <w:rFonts w:hint="eastAsia" w:ascii="仿宋_GB2312" w:eastAsia="仿宋_GB2312" w:cs="宋体"/>
          <w:color w:val="000000"/>
          <w:kern w:val="0"/>
          <w:sz w:val="32"/>
          <w:szCs w:val="32"/>
          <w:shd w:val="clear" w:color="auto" w:fill="FFFFFF"/>
          <w:lang w:val="zh-CN" w:eastAsia="zh-CN" w:bidi="ar-SA"/>
        </w:rPr>
        <w:t>（二）项目绩效目标</w:t>
      </w:r>
    </w:p>
    <w:p>
      <w:pPr>
        <w:pStyle w:val="2"/>
        <w:spacing w:before="93" w:line="560" w:lineRule="exact"/>
        <w:ind w:firstLine="640" w:firstLineChars="200"/>
        <w:rPr>
          <w:rFonts w:hint="eastAsia"/>
          <w:kern w:val="2"/>
          <w:sz w:val="32"/>
          <w:szCs w:val="32"/>
        </w:rPr>
      </w:pPr>
      <w:r>
        <w:rPr>
          <w:rFonts w:hint="eastAsia"/>
          <w:kern w:val="2"/>
          <w:sz w:val="32"/>
          <w:szCs w:val="32"/>
        </w:rPr>
        <w:t>1．项目主要内容</w:t>
      </w:r>
      <w:r>
        <w:rPr>
          <w:rFonts w:hint="eastAsia" w:ascii="仿宋_GB2312" w:eastAsia="仿宋_GB2312" w:cs="Times New Roman"/>
          <w:kern w:val="2"/>
          <w:sz w:val="32"/>
          <w:szCs w:val="32"/>
          <w:lang w:val="en-US" w:eastAsia="zh-CN" w:bidi="ar-SA"/>
        </w:rPr>
        <w:t>:整体性宣传保护积极开展活动，让非遗“活”起来，非遗活动的开展不仅提升了非遗项目的影响力和知名度，更是增进了非遗传承人之间的交流和沟通。</w:t>
      </w:r>
    </w:p>
    <w:p>
      <w:pPr>
        <w:adjustRightInd w:val="0"/>
        <w:snapToGrid w:val="0"/>
        <w:spacing w:line="560" w:lineRule="exact"/>
        <w:ind w:firstLine="720"/>
        <w:rPr>
          <w:rFonts w:hint="eastAsia"/>
        </w:rPr>
      </w:pPr>
      <w:r>
        <w:rPr>
          <w:rFonts w:hint="eastAsia" w:ascii="仿宋_GB2312" w:eastAsia="仿宋_GB2312"/>
          <w:sz w:val="32"/>
          <w:szCs w:val="32"/>
          <w:lang w:val="zh-CN" w:eastAsia="zh-CN"/>
        </w:rPr>
        <w:t>2．</w:t>
      </w:r>
      <w:r>
        <w:rPr>
          <w:rFonts w:hint="eastAsia" w:ascii="仿宋_GB2312" w:eastAsia="仿宋_GB2312" w:cs="Times New Roman"/>
          <w:kern w:val="2"/>
          <w:sz w:val="32"/>
          <w:szCs w:val="32"/>
          <w:lang w:val="zh-CN" w:eastAsia="zh-CN" w:bidi="ar-SA"/>
        </w:rPr>
        <w:t>项目应实现的具体绩效目标：该项目主要用于</w:t>
      </w:r>
      <w:r>
        <w:rPr>
          <w:rFonts w:hint="eastAsia" w:ascii="仿宋_GB2312" w:eastAsia="仿宋_GB2312" w:cs="Times New Roman"/>
          <w:kern w:val="2"/>
          <w:sz w:val="32"/>
          <w:szCs w:val="32"/>
          <w:lang w:val="en-US" w:eastAsia="zh-CN" w:bidi="ar-SA"/>
        </w:rPr>
        <w:t>国家级传承人补助发放，非物质文化遗产保护羌年活动开展，非遗传习所维护维修，羌文化进校园工作开展，日常非遗保护活动及培训等。</w:t>
      </w:r>
    </w:p>
    <w:p>
      <w:pPr>
        <w:adjustRightInd w:val="0"/>
        <w:snapToGrid w:val="0"/>
        <w:spacing w:line="560" w:lineRule="exact"/>
        <w:ind w:firstLine="720"/>
        <w:rPr>
          <w:rFonts w:hint="eastAsia" w:ascii="仿宋_GB2312" w:eastAsia="仿宋_GB2312"/>
          <w:sz w:val="32"/>
          <w:szCs w:val="32"/>
        </w:rPr>
      </w:pPr>
      <w:r>
        <w:rPr>
          <w:rFonts w:hint="eastAsia" w:ascii="仿宋_GB2312" w:eastAsia="仿宋_GB2312"/>
          <w:sz w:val="32"/>
          <w:szCs w:val="32"/>
        </w:rPr>
        <w:t>3.该项目的申报内容符合实际，并且申报目标合理可行。</w:t>
      </w:r>
    </w:p>
    <w:p>
      <w:pPr>
        <w:pageBreakBefore w:val="0"/>
        <w:widowControl/>
        <w:kinsoku/>
        <w:wordWrap/>
        <w:overflowPunct/>
        <w:topLinePunct w:val="0"/>
        <w:bidi w:val="0"/>
        <w:adjustRightInd w:val="0"/>
        <w:snapToGrid w:val="0"/>
        <w:spacing w:line="576" w:lineRule="exact"/>
        <w:ind w:firstLine="640" w:firstLineChars="200"/>
        <w:contextualSpacing/>
        <w:jc w:val="left"/>
        <w:textAlignment w:val="auto"/>
        <w:rPr>
          <w:rFonts w:hint="eastAsia" w:ascii="仿宋_GB2312" w:eastAsia="仿宋_GB2312" w:cs="宋体"/>
          <w:color w:val="000000"/>
          <w:kern w:val="0"/>
          <w:sz w:val="32"/>
          <w:szCs w:val="32"/>
          <w:shd w:val="clear" w:color="auto" w:fill="FFFFFF"/>
          <w:lang w:val="zh-CN" w:eastAsia="zh-CN" w:bidi="ar-SA"/>
        </w:rPr>
      </w:pPr>
      <w:r>
        <w:rPr>
          <w:rFonts w:hint="eastAsia" w:ascii="仿宋_GB2312" w:eastAsia="仿宋_GB2312" w:cs="宋体"/>
          <w:color w:val="000000"/>
          <w:kern w:val="0"/>
          <w:sz w:val="32"/>
          <w:szCs w:val="32"/>
          <w:shd w:val="clear" w:color="auto" w:fill="FFFFFF"/>
          <w:lang w:val="zh-CN" w:eastAsia="zh-CN" w:bidi="ar-SA"/>
        </w:rPr>
        <w:t>（三）项目自评步骤及方法</w:t>
      </w:r>
    </w:p>
    <w:p>
      <w:pPr>
        <w:adjustRightInd w:val="0"/>
        <w:snapToGrid w:val="0"/>
        <w:spacing w:line="560" w:lineRule="exact"/>
        <w:ind w:firstLine="720"/>
        <w:rPr>
          <w:rFonts w:hint="eastAsia" w:ascii="仿宋_GB2312" w:eastAsia="仿宋_GB2312"/>
          <w:sz w:val="32"/>
          <w:szCs w:val="32"/>
          <w:lang w:val="zh-CN" w:eastAsia="zh-CN"/>
        </w:rPr>
      </w:pPr>
      <w:r>
        <w:rPr>
          <w:rFonts w:hint="eastAsia" w:ascii="仿宋_GB2312" w:eastAsia="仿宋_GB2312"/>
          <w:sz w:val="32"/>
          <w:szCs w:val="32"/>
          <w:lang w:val="zh-CN" w:eastAsia="zh-CN"/>
        </w:rPr>
        <w:t>根据《茂县财政局关于开展202</w:t>
      </w:r>
      <w:r>
        <w:rPr>
          <w:rFonts w:hint="eastAsia" w:ascii="仿宋_GB2312" w:eastAsia="仿宋_GB2312"/>
          <w:sz w:val="32"/>
          <w:szCs w:val="32"/>
          <w:lang w:val="en-US" w:eastAsia="zh-CN"/>
        </w:rPr>
        <w:t>2</w:t>
      </w:r>
      <w:r>
        <w:rPr>
          <w:rFonts w:hint="eastAsia" w:ascii="仿宋_GB2312" w:eastAsia="仿宋_GB2312"/>
          <w:sz w:val="32"/>
          <w:szCs w:val="32"/>
          <w:lang w:val="zh-CN" w:eastAsia="zh-CN"/>
        </w:rPr>
        <w:t>年财政支出绩效评价工作的通知》文件要求：</w:t>
      </w:r>
    </w:p>
    <w:p>
      <w:pPr>
        <w:adjustRightInd w:val="0"/>
        <w:snapToGrid w:val="0"/>
        <w:spacing w:line="560" w:lineRule="exact"/>
        <w:ind w:firstLine="720"/>
        <w:rPr>
          <w:rFonts w:hint="eastAsia" w:ascii="仿宋_GB2312" w:eastAsia="仿宋_GB2312"/>
          <w:sz w:val="32"/>
          <w:szCs w:val="32"/>
          <w:lang w:val="zh-CN" w:eastAsia="zh-CN"/>
        </w:rPr>
      </w:pPr>
      <w:r>
        <w:rPr>
          <w:rFonts w:hint="eastAsia" w:ascii="仿宋_GB2312" w:eastAsia="仿宋_GB2312"/>
          <w:sz w:val="32"/>
          <w:szCs w:val="32"/>
          <w:lang w:val="zh-CN" w:eastAsia="zh-CN"/>
        </w:rPr>
        <w:t>第一，我局严格按照《四川省财政支出绩效评价操作规程》开展重点评价工作，通过对其进行分析、汇总，并基与《国际非物质文化遗产保护项目资金管理办法》，以现场评价为主、非现场评价为辅，定量分析和定性分析相结合的评价方法对该项目进行绩效考评。一是翻阅台账资料，对该项目专项资金拨付、使用情况进行检查；二是通过实地考察，检查非遗传承保护情况；三是进行群众满意度调查，向群众了解非遗保护的情况。</w:t>
      </w:r>
    </w:p>
    <w:p>
      <w:pPr>
        <w:adjustRightInd w:val="0"/>
        <w:snapToGrid w:val="0"/>
        <w:spacing w:line="560" w:lineRule="exact"/>
        <w:ind w:firstLine="720"/>
        <w:rPr>
          <w:rFonts w:hint="eastAsia" w:ascii="仿宋_GB2312" w:eastAsia="仿宋_GB2312"/>
          <w:sz w:val="32"/>
          <w:szCs w:val="32"/>
          <w:lang w:val="zh-CN" w:eastAsia="zh-CN"/>
        </w:rPr>
      </w:pPr>
      <w:r>
        <w:rPr>
          <w:rFonts w:hint="eastAsia" w:ascii="仿宋_GB2312" w:eastAsia="仿宋_GB2312"/>
          <w:sz w:val="32"/>
          <w:szCs w:val="32"/>
          <w:lang w:val="zh-CN" w:eastAsia="zh-CN"/>
        </w:rPr>
        <w:t>第二，整理归档考评工作记录，梳理、分析和汇总评价结果，撰写绩效评价报告。</w:t>
      </w:r>
    </w:p>
    <w:p>
      <w:pPr>
        <w:adjustRightInd w:val="0"/>
        <w:snapToGrid w:val="0"/>
        <w:spacing w:line="560" w:lineRule="exact"/>
        <w:ind w:firstLine="720"/>
        <w:rPr>
          <w:rFonts w:hint="eastAsia" w:ascii="仿宋_GB2312" w:eastAsia="仿宋_GB2312" w:cs="宋体"/>
          <w:color w:val="000000"/>
          <w:kern w:val="0"/>
          <w:sz w:val="32"/>
          <w:szCs w:val="32"/>
          <w:shd w:val="clear" w:color="auto" w:fill="FFFFFF"/>
          <w:lang w:val="zh-CN" w:eastAsia="zh-CN" w:bidi="ar-SA"/>
        </w:rPr>
      </w:pPr>
      <w:r>
        <w:rPr>
          <w:rFonts w:hint="eastAsia" w:ascii="仿宋_GB2312" w:eastAsia="仿宋_GB2312"/>
          <w:sz w:val="32"/>
          <w:szCs w:val="32"/>
          <w:lang w:val="zh-CN" w:eastAsia="zh-CN"/>
        </w:rPr>
        <w:t>第三，向县财政局提交《茂县文化体育和旅游局关于国家非物质文化遗产保护项目支出绩效自评报告》。</w:t>
      </w:r>
    </w:p>
    <w:p>
      <w:pPr>
        <w:pStyle w:val="2"/>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二、项目资金申报及使用情况</w:t>
      </w:r>
    </w:p>
    <w:p>
      <w:pPr>
        <w:pageBreakBefore w:val="0"/>
        <w:widowControl/>
        <w:kinsoku/>
        <w:wordWrap/>
        <w:overflowPunct/>
        <w:topLinePunct w:val="0"/>
        <w:bidi w:val="0"/>
        <w:adjustRightInd w:val="0"/>
        <w:snapToGrid w:val="0"/>
        <w:spacing w:line="576" w:lineRule="exact"/>
        <w:ind w:firstLine="642" w:firstLineChars="200"/>
        <w:contextualSpacing/>
        <w:jc w:val="left"/>
        <w:textAlignment w:val="auto"/>
        <w:rPr>
          <w:rStyle w:val="22"/>
          <w:rFonts w:hint="eastAsia" w:ascii="仿宋_GB2312" w:eastAsia="仿宋_GB2312" w:cs="仿宋_GB2312"/>
          <w:sz w:val="32"/>
          <w:szCs w:val="32"/>
          <w:lang w:bidi="ar-SA"/>
        </w:rPr>
      </w:pPr>
      <w:r>
        <w:rPr>
          <w:rStyle w:val="22"/>
          <w:rFonts w:hint="eastAsia" w:ascii="仿宋_GB2312" w:eastAsia="仿宋_GB2312" w:cs="仿宋_GB2312"/>
          <w:sz w:val="32"/>
          <w:szCs w:val="32"/>
          <w:lang w:bidi="ar-SA"/>
        </w:rPr>
        <w:t>（一）项目资金申报及批复情况</w:t>
      </w:r>
    </w:p>
    <w:p>
      <w:pPr>
        <w:adjustRightInd w:val="0"/>
        <w:snapToGrid w:val="0"/>
        <w:spacing w:line="560" w:lineRule="exact"/>
        <w:ind w:firstLine="720"/>
        <w:rPr>
          <w:rFonts w:hint="eastAsia" w:ascii="仿宋_GB2312" w:eastAsia="仿宋_GB2312" w:cs="Times New Roman"/>
          <w:sz w:val="32"/>
          <w:szCs w:val="32"/>
          <w:lang w:val="zh-CN" w:eastAsia="zh-CN" w:bidi="ar-SA"/>
        </w:rPr>
      </w:pPr>
      <w:r>
        <w:rPr>
          <w:rFonts w:hint="eastAsia" w:ascii="仿宋_GB2312" w:eastAsia="仿宋_GB2312"/>
          <w:sz w:val="32"/>
          <w:szCs w:val="32"/>
          <w:lang w:val="zh-CN" w:eastAsia="zh-CN"/>
        </w:rPr>
        <w:t>该项目资金申报、批复及预算调整等程序均按相关文件精神实施，符合财务要求。</w:t>
      </w:r>
      <w:r>
        <w:rPr>
          <w:rFonts w:hint="eastAsia" w:ascii="仿宋_GB2312" w:eastAsia="仿宋_GB2312" w:cs="Times New Roman"/>
          <w:sz w:val="32"/>
          <w:szCs w:val="32"/>
          <w:lang w:val="zh-CN" w:eastAsia="zh-CN" w:bidi="ar-SA"/>
        </w:rPr>
        <w:t>批复文件是《四川省财政厅</w:t>
      </w:r>
      <w:r>
        <w:rPr>
          <w:rFonts w:hint="eastAsia" w:ascii="仿宋_GB2312" w:eastAsia="仿宋_GB2312" w:cs="Times New Roman"/>
          <w:sz w:val="32"/>
          <w:szCs w:val="32"/>
          <w:lang w:val="en-US" w:eastAsia="zh-CN" w:bidi="ar-SA"/>
        </w:rPr>
        <w:t xml:space="preserve"> </w:t>
      </w:r>
      <w:r>
        <w:rPr>
          <w:rFonts w:hint="eastAsia" w:ascii="仿宋_GB2312" w:eastAsia="仿宋_GB2312" w:cs="Times New Roman"/>
          <w:sz w:val="32"/>
          <w:szCs w:val="32"/>
          <w:lang w:val="zh-CN" w:eastAsia="zh-CN" w:bidi="ar-SA"/>
        </w:rPr>
        <w:t>省文化和旅游厅关于下达</w:t>
      </w:r>
      <w:r>
        <w:rPr>
          <w:rFonts w:hint="eastAsia" w:ascii="仿宋_GB2312" w:eastAsia="仿宋_GB2312" w:cs="Times New Roman"/>
          <w:sz w:val="32"/>
          <w:szCs w:val="32"/>
          <w:lang w:val="en-US" w:eastAsia="zh-CN" w:bidi="ar-SA"/>
        </w:rPr>
        <w:t>2023</w:t>
      </w:r>
      <w:r>
        <w:rPr>
          <w:rFonts w:hint="eastAsia" w:ascii="仿宋_GB2312" w:eastAsia="仿宋_GB2312" w:cs="Times New Roman"/>
          <w:sz w:val="32"/>
          <w:szCs w:val="32"/>
          <w:lang w:val="zh-CN" w:eastAsia="zh-CN" w:bidi="ar-SA"/>
        </w:rPr>
        <w:t>国家非物质文化遗产保护资金预算的通知》（川财教〔20</w:t>
      </w:r>
      <w:r>
        <w:rPr>
          <w:rFonts w:hint="eastAsia" w:ascii="仿宋_GB2312" w:eastAsia="仿宋_GB2312" w:cs="Times New Roman"/>
          <w:sz w:val="32"/>
          <w:szCs w:val="32"/>
          <w:lang w:val="en-US" w:eastAsia="zh-CN" w:bidi="ar-SA"/>
        </w:rPr>
        <w:t>23</w:t>
      </w:r>
      <w:r>
        <w:rPr>
          <w:rFonts w:hint="eastAsia" w:ascii="仿宋_GB2312" w:eastAsia="仿宋_GB2312" w:cs="Times New Roman"/>
          <w:sz w:val="32"/>
          <w:szCs w:val="32"/>
          <w:lang w:val="zh-CN" w:eastAsia="zh-CN" w:bidi="ar-SA"/>
        </w:rPr>
        <w:t>〕</w:t>
      </w:r>
      <w:r>
        <w:rPr>
          <w:rFonts w:hint="eastAsia" w:ascii="仿宋_GB2312" w:eastAsia="仿宋_GB2312" w:cs="Times New Roman"/>
          <w:sz w:val="32"/>
          <w:szCs w:val="32"/>
          <w:lang w:val="en-US" w:eastAsia="zh-CN" w:bidi="ar-SA"/>
        </w:rPr>
        <w:t>56</w:t>
      </w:r>
      <w:r>
        <w:rPr>
          <w:rFonts w:hint="eastAsia" w:ascii="仿宋_GB2312" w:eastAsia="仿宋_GB2312" w:cs="Times New Roman"/>
          <w:sz w:val="32"/>
          <w:szCs w:val="32"/>
          <w:lang w:val="zh-CN" w:eastAsia="zh-CN" w:bidi="ar-SA"/>
        </w:rPr>
        <w:t>号），州文化体育和旅游局《关于下达</w:t>
      </w:r>
      <w:r>
        <w:rPr>
          <w:rFonts w:hint="eastAsia" w:ascii="仿宋_GB2312" w:eastAsia="仿宋_GB2312" w:cs="Times New Roman"/>
          <w:sz w:val="32"/>
          <w:szCs w:val="32"/>
          <w:lang w:val="en-US" w:eastAsia="zh-CN" w:bidi="ar-SA"/>
        </w:rPr>
        <w:t>2022年国</w:t>
      </w:r>
      <w:r>
        <w:rPr>
          <w:rFonts w:hint="eastAsia" w:ascii="仿宋_GB2312" w:eastAsia="仿宋_GB2312" w:cs="Times New Roman"/>
          <w:sz w:val="32"/>
          <w:szCs w:val="32"/>
          <w:lang w:val="zh-CN" w:eastAsia="zh-CN" w:bidi="ar-SA"/>
        </w:rPr>
        <w:t>家非物质文化遗产保护资金预算</w:t>
      </w:r>
      <w:r>
        <w:rPr>
          <w:rFonts w:hint="eastAsia" w:ascii="仿宋_GB2312" w:eastAsia="仿宋_GB2312" w:cs="Times New Roman"/>
          <w:sz w:val="32"/>
          <w:szCs w:val="32"/>
          <w:lang w:val="en-US" w:eastAsia="zh-CN" w:bidi="ar-SA"/>
        </w:rPr>
        <w:t>的通知</w:t>
      </w:r>
      <w:r>
        <w:rPr>
          <w:rFonts w:hint="eastAsia" w:ascii="仿宋_GB2312" w:eastAsia="仿宋_GB2312" w:cs="Times New Roman"/>
          <w:sz w:val="32"/>
          <w:szCs w:val="32"/>
          <w:lang w:val="zh-CN" w:eastAsia="zh-CN" w:bidi="ar-SA"/>
        </w:rPr>
        <w:t>》阿州财教（</w:t>
      </w:r>
      <w:r>
        <w:rPr>
          <w:rFonts w:hint="eastAsia" w:ascii="仿宋_GB2312" w:eastAsia="仿宋_GB2312" w:cs="Times New Roman"/>
          <w:sz w:val="32"/>
          <w:szCs w:val="32"/>
          <w:lang w:val="en-US" w:eastAsia="zh-CN" w:bidi="ar-SA"/>
        </w:rPr>
        <w:t>2023</w:t>
      </w:r>
      <w:r>
        <w:rPr>
          <w:rFonts w:hint="eastAsia" w:ascii="仿宋_GB2312" w:eastAsia="仿宋_GB2312" w:cs="Times New Roman"/>
          <w:sz w:val="32"/>
          <w:szCs w:val="32"/>
          <w:lang w:val="zh-CN" w:eastAsia="zh-CN" w:bidi="ar-SA"/>
        </w:rPr>
        <w:t>）</w:t>
      </w:r>
      <w:r>
        <w:rPr>
          <w:rFonts w:hint="eastAsia" w:ascii="仿宋_GB2312" w:eastAsia="仿宋_GB2312" w:cs="Times New Roman"/>
          <w:sz w:val="32"/>
          <w:szCs w:val="32"/>
          <w:lang w:val="en-US" w:eastAsia="zh-CN" w:bidi="ar-SA"/>
        </w:rPr>
        <w:t>40号，2023年茂县国</w:t>
      </w:r>
      <w:r>
        <w:rPr>
          <w:rFonts w:hint="eastAsia" w:ascii="仿宋_GB2312" w:eastAsia="仿宋_GB2312" w:cs="Times New Roman"/>
          <w:sz w:val="32"/>
          <w:szCs w:val="32"/>
          <w:lang w:val="zh-CN" w:eastAsia="zh-CN" w:bidi="ar-SA"/>
        </w:rPr>
        <w:t>家非物质文化遗产保护资金</w:t>
      </w:r>
      <w:r>
        <w:rPr>
          <w:rFonts w:hint="eastAsia" w:ascii="仿宋_GB2312" w:eastAsia="仿宋_GB2312" w:cs="Times New Roman"/>
          <w:sz w:val="32"/>
          <w:szCs w:val="32"/>
          <w:lang w:val="en-US" w:eastAsia="zh-CN" w:bidi="ar-SA"/>
        </w:rPr>
        <w:t>129万元</w:t>
      </w:r>
      <w:r>
        <w:rPr>
          <w:rFonts w:hint="eastAsia" w:ascii="仿宋_GB2312" w:eastAsia="仿宋_GB2312" w:cs="Times New Roman"/>
          <w:sz w:val="32"/>
          <w:szCs w:val="32"/>
          <w:lang w:val="zh-CN" w:eastAsia="zh-CN" w:bidi="ar-SA"/>
        </w:rPr>
        <w:t>。</w:t>
      </w:r>
    </w:p>
    <w:p>
      <w:pPr>
        <w:pageBreakBefore w:val="0"/>
        <w:widowControl/>
        <w:kinsoku/>
        <w:wordWrap/>
        <w:overflowPunct/>
        <w:topLinePunct w:val="0"/>
        <w:bidi w:val="0"/>
        <w:adjustRightInd w:val="0"/>
        <w:snapToGrid w:val="0"/>
        <w:spacing w:line="576" w:lineRule="exact"/>
        <w:ind w:firstLine="642" w:firstLineChars="200"/>
        <w:contextualSpacing/>
        <w:jc w:val="left"/>
        <w:textAlignment w:val="auto"/>
        <w:rPr>
          <w:rStyle w:val="22"/>
          <w:rFonts w:hint="eastAsia" w:ascii="仿宋_GB2312" w:eastAsia="仿宋_GB2312" w:cs="仿宋_GB2312"/>
          <w:sz w:val="32"/>
          <w:szCs w:val="32"/>
          <w:lang w:bidi="ar-SA"/>
        </w:rPr>
      </w:pPr>
      <w:r>
        <w:rPr>
          <w:rStyle w:val="22"/>
          <w:rFonts w:hint="eastAsia" w:ascii="仿宋_GB2312" w:eastAsia="仿宋_GB2312" w:cs="仿宋_GB2312"/>
          <w:sz w:val="32"/>
          <w:szCs w:val="32"/>
          <w:lang w:bidi="ar-SA"/>
        </w:rPr>
        <w:t>（二）资金计划、到位及使用情况</w:t>
      </w:r>
    </w:p>
    <w:p>
      <w:pPr>
        <w:adjustRightInd w:val="0"/>
        <w:snapToGrid w:val="0"/>
        <w:spacing w:line="560" w:lineRule="exact"/>
        <w:ind w:firstLine="720"/>
        <w:rPr>
          <w:rFonts w:hint="eastAsia" w:ascii="楷体_GB2312" w:eastAsia="楷体_GB2312"/>
          <w:sz w:val="32"/>
          <w:szCs w:val="32"/>
          <w:lang w:val="zh-CN" w:eastAsia="zh-CN"/>
        </w:rPr>
      </w:pPr>
      <w:r>
        <w:rPr>
          <w:rFonts w:hint="eastAsia" w:ascii="楷体_GB2312" w:eastAsia="楷体_GB2312"/>
          <w:sz w:val="32"/>
          <w:szCs w:val="32"/>
          <w:lang w:val="zh-CN" w:eastAsia="zh-CN"/>
        </w:rPr>
        <w:t>1</w:t>
      </w:r>
      <w:r>
        <w:rPr>
          <w:rFonts w:hint="eastAsia" w:ascii="楷体_GB2312" w:eastAsia="楷体_GB2312"/>
          <w:sz w:val="32"/>
          <w:szCs w:val="32"/>
          <w:lang w:val="en-US" w:eastAsia="zh-CN"/>
        </w:rPr>
        <w:t>.</w:t>
      </w:r>
      <w:r>
        <w:rPr>
          <w:rFonts w:hint="eastAsia" w:ascii="楷体_GB2312" w:eastAsia="楷体_GB2312"/>
          <w:sz w:val="32"/>
          <w:szCs w:val="32"/>
          <w:lang w:val="zh-CN" w:eastAsia="zh-CN"/>
        </w:rPr>
        <w:t>资金计划</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eastAsia="仿宋_GB2312" w:cs="Times New Roman"/>
          <w:sz w:val="32"/>
          <w:szCs w:val="32"/>
          <w:lang w:val="en-US" w:eastAsia="zh-CN" w:bidi="ar-SA"/>
        </w:rPr>
      </w:pPr>
      <w:r>
        <w:rPr>
          <w:rFonts w:hint="eastAsia" w:ascii="仿宋_GB2312" w:eastAsia="仿宋_GB2312" w:cs="Times New Roman"/>
          <w:sz w:val="32"/>
          <w:szCs w:val="32"/>
          <w:lang w:val="en-US" w:eastAsia="zh-CN" w:bidi="ar-SA"/>
        </w:rPr>
        <w:t>按照</w:t>
      </w:r>
      <w:r>
        <w:rPr>
          <w:rFonts w:hint="eastAsia" w:ascii="仿宋_GB2312" w:eastAsia="仿宋_GB2312" w:cs="Times New Roman"/>
          <w:sz w:val="32"/>
          <w:szCs w:val="32"/>
          <w:lang w:val="zh-CN" w:eastAsia="zh-CN" w:bidi="ar-SA"/>
        </w:rPr>
        <w:t>《四川省财政厅</w:t>
      </w:r>
      <w:r>
        <w:rPr>
          <w:rFonts w:hint="eastAsia" w:ascii="仿宋_GB2312" w:eastAsia="仿宋_GB2312" w:cs="Times New Roman"/>
          <w:sz w:val="32"/>
          <w:szCs w:val="32"/>
          <w:lang w:val="en-US" w:eastAsia="zh-CN" w:bidi="ar-SA"/>
        </w:rPr>
        <w:t xml:space="preserve"> </w:t>
      </w:r>
      <w:r>
        <w:rPr>
          <w:rFonts w:hint="eastAsia" w:ascii="仿宋_GB2312" w:eastAsia="仿宋_GB2312" w:cs="Times New Roman"/>
          <w:sz w:val="32"/>
          <w:szCs w:val="32"/>
          <w:lang w:val="zh-CN" w:eastAsia="zh-CN" w:bidi="ar-SA"/>
        </w:rPr>
        <w:t>省文化和旅游厅关于下达</w:t>
      </w:r>
      <w:r>
        <w:rPr>
          <w:rFonts w:hint="eastAsia" w:ascii="仿宋_GB2312" w:eastAsia="仿宋_GB2312" w:cs="Times New Roman"/>
          <w:sz w:val="32"/>
          <w:szCs w:val="32"/>
          <w:lang w:val="en-US" w:eastAsia="zh-CN" w:bidi="ar-SA"/>
        </w:rPr>
        <w:t>2023</w:t>
      </w:r>
      <w:r>
        <w:rPr>
          <w:rFonts w:hint="eastAsia" w:ascii="仿宋_GB2312" w:eastAsia="仿宋_GB2312" w:cs="Times New Roman"/>
          <w:sz w:val="32"/>
          <w:szCs w:val="32"/>
          <w:lang w:val="zh-CN" w:eastAsia="zh-CN" w:bidi="ar-SA"/>
        </w:rPr>
        <w:t>国家非物质文化遗产保护资金预算的通知》（川财教〔20</w:t>
      </w:r>
      <w:r>
        <w:rPr>
          <w:rFonts w:hint="eastAsia" w:ascii="仿宋_GB2312" w:eastAsia="仿宋_GB2312" w:cs="Times New Roman"/>
          <w:sz w:val="32"/>
          <w:szCs w:val="32"/>
          <w:lang w:val="en-US" w:eastAsia="zh-CN" w:bidi="ar-SA"/>
        </w:rPr>
        <w:t>23</w:t>
      </w:r>
      <w:r>
        <w:rPr>
          <w:rFonts w:hint="eastAsia" w:ascii="仿宋_GB2312" w:eastAsia="仿宋_GB2312" w:cs="Times New Roman"/>
          <w:sz w:val="32"/>
          <w:szCs w:val="32"/>
          <w:lang w:val="zh-CN" w:eastAsia="zh-CN" w:bidi="ar-SA"/>
        </w:rPr>
        <w:t>〕</w:t>
      </w:r>
      <w:r>
        <w:rPr>
          <w:rFonts w:hint="eastAsia" w:ascii="仿宋_GB2312" w:eastAsia="仿宋_GB2312" w:cs="Times New Roman"/>
          <w:sz w:val="32"/>
          <w:szCs w:val="32"/>
          <w:lang w:val="en-US" w:eastAsia="zh-CN" w:bidi="ar-SA"/>
        </w:rPr>
        <w:t>56</w:t>
      </w:r>
      <w:r>
        <w:rPr>
          <w:rFonts w:hint="eastAsia" w:ascii="仿宋_GB2312" w:eastAsia="仿宋_GB2312" w:cs="Times New Roman"/>
          <w:sz w:val="32"/>
          <w:szCs w:val="32"/>
          <w:lang w:val="zh-CN" w:eastAsia="zh-CN" w:bidi="ar-SA"/>
        </w:rPr>
        <w:t>号），州文化体育和旅游局《关于下达</w:t>
      </w:r>
      <w:r>
        <w:rPr>
          <w:rFonts w:hint="eastAsia" w:ascii="仿宋_GB2312" w:eastAsia="仿宋_GB2312" w:cs="Times New Roman"/>
          <w:sz w:val="32"/>
          <w:szCs w:val="32"/>
          <w:lang w:val="en-US" w:eastAsia="zh-CN" w:bidi="ar-SA"/>
        </w:rPr>
        <w:t>2023年国</w:t>
      </w:r>
      <w:r>
        <w:rPr>
          <w:rFonts w:hint="eastAsia" w:ascii="仿宋_GB2312" w:eastAsia="仿宋_GB2312" w:cs="Times New Roman"/>
          <w:sz w:val="32"/>
          <w:szCs w:val="32"/>
          <w:lang w:val="zh-CN" w:eastAsia="zh-CN" w:bidi="ar-SA"/>
        </w:rPr>
        <w:t>家非物质文化遗产保护资金预算</w:t>
      </w:r>
      <w:r>
        <w:rPr>
          <w:rFonts w:hint="eastAsia" w:ascii="仿宋_GB2312" w:eastAsia="仿宋_GB2312" w:cs="Times New Roman"/>
          <w:sz w:val="32"/>
          <w:szCs w:val="32"/>
          <w:lang w:val="en-US" w:eastAsia="zh-CN" w:bidi="ar-SA"/>
        </w:rPr>
        <w:t>的通知</w:t>
      </w:r>
      <w:r>
        <w:rPr>
          <w:rFonts w:hint="eastAsia" w:ascii="仿宋_GB2312" w:eastAsia="仿宋_GB2312" w:cs="Times New Roman"/>
          <w:sz w:val="32"/>
          <w:szCs w:val="32"/>
          <w:lang w:val="zh-CN" w:eastAsia="zh-CN" w:bidi="ar-SA"/>
        </w:rPr>
        <w:t>》阿州财教（</w:t>
      </w:r>
      <w:r>
        <w:rPr>
          <w:rFonts w:hint="eastAsia" w:ascii="仿宋_GB2312" w:eastAsia="仿宋_GB2312" w:cs="Times New Roman"/>
          <w:sz w:val="32"/>
          <w:szCs w:val="32"/>
          <w:lang w:val="en-US" w:eastAsia="zh-CN" w:bidi="ar-SA"/>
        </w:rPr>
        <w:t>2023</w:t>
      </w:r>
      <w:r>
        <w:rPr>
          <w:rFonts w:hint="eastAsia" w:ascii="仿宋_GB2312" w:eastAsia="仿宋_GB2312" w:cs="Times New Roman"/>
          <w:sz w:val="32"/>
          <w:szCs w:val="32"/>
          <w:lang w:val="zh-CN" w:eastAsia="zh-CN" w:bidi="ar-SA"/>
        </w:rPr>
        <w:t>）</w:t>
      </w:r>
      <w:r>
        <w:rPr>
          <w:rFonts w:hint="eastAsia" w:ascii="仿宋_GB2312" w:eastAsia="仿宋_GB2312" w:cs="Times New Roman"/>
          <w:sz w:val="32"/>
          <w:szCs w:val="32"/>
          <w:lang w:val="en-US" w:eastAsia="zh-CN" w:bidi="ar-SA"/>
        </w:rPr>
        <w:t>40号文件下达我县2023年度国</w:t>
      </w:r>
      <w:r>
        <w:rPr>
          <w:rFonts w:hint="eastAsia" w:ascii="仿宋_GB2312" w:eastAsia="仿宋_GB2312" w:cs="Times New Roman"/>
          <w:sz w:val="32"/>
          <w:szCs w:val="32"/>
          <w:lang w:val="zh-CN" w:eastAsia="zh-CN" w:bidi="ar-SA"/>
        </w:rPr>
        <w:t>家非物质文化遗产保护</w:t>
      </w:r>
      <w:r>
        <w:rPr>
          <w:rFonts w:hint="eastAsia" w:ascii="仿宋_GB2312" w:eastAsia="仿宋_GB2312" w:cs="Times New Roman"/>
          <w:sz w:val="32"/>
          <w:szCs w:val="32"/>
          <w:lang w:val="en-US" w:eastAsia="zh-CN" w:bidi="ar-SA"/>
        </w:rPr>
        <w:t>资金129万元，均为中央补助资金</w:t>
      </w:r>
      <w:r>
        <w:rPr>
          <w:rFonts w:hint="eastAsia" w:ascii="仿宋_GB2312" w:eastAsia="仿宋_GB2312" w:cs="Times New Roman"/>
          <w:sz w:val="32"/>
          <w:szCs w:val="32"/>
          <w:lang w:val="zh-CN" w:eastAsia="zh-CN" w:bidi="ar-SA"/>
        </w:rPr>
        <w:t>。</w:t>
      </w:r>
    </w:p>
    <w:p>
      <w:pPr>
        <w:adjustRightInd w:val="0"/>
        <w:snapToGrid w:val="0"/>
        <w:spacing w:line="560" w:lineRule="exact"/>
        <w:ind w:firstLine="720"/>
        <w:rPr>
          <w:rFonts w:hint="eastAsia" w:ascii="楷体_GB2312" w:eastAsia="楷体_GB2312"/>
          <w:sz w:val="32"/>
          <w:szCs w:val="32"/>
          <w:lang w:val="zh-CN" w:eastAsia="zh-CN"/>
        </w:rPr>
      </w:pPr>
      <w:r>
        <w:rPr>
          <w:rFonts w:hint="eastAsia" w:ascii="楷体_GB2312" w:eastAsia="楷体_GB2312"/>
          <w:sz w:val="32"/>
          <w:szCs w:val="32"/>
          <w:lang w:val="zh-CN" w:eastAsia="zh-CN"/>
        </w:rPr>
        <w:t>2</w:t>
      </w:r>
      <w:r>
        <w:rPr>
          <w:rFonts w:hint="eastAsia" w:ascii="楷体_GB2312" w:eastAsia="楷体_GB2312"/>
          <w:sz w:val="32"/>
          <w:szCs w:val="32"/>
          <w:lang w:val="en-US" w:eastAsia="zh-CN"/>
        </w:rPr>
        <w:t>.</w:t>
      </w:r>
      <w:r>
        <w:rPr>
          <w:rFonts w:hint="eastAsia" w:ascii="楷体_GB2312" w:eastAsia="楷体_GB2312"/>
          <w:sz w:val="32"/>
          <w:szCs w:val="32"/>
          <w:lang w:val="zh-CN" w:eastAsia="zh-CN"/>
        </w:rPr>
        <w:t>资金到位</w:t>
      </w:r>
    </w:p>
    <w:p>
      <w:pPr>
        <w:adjustRightInd w:val="0"/>
        <w:snapToGrid w:val="0"/>
        <w:spacing w:line="560" w:lineRule="exact"/>
        <w:ind w:firstLine="720"/>
        <w:rPr>
          <w:rFonts w:hint="eastAsia"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w:t>
      </w:r>
      <w:r>
        <w:rPr>
          <w:rFonts w:hint="eastAsia" w:ascii="仿宋_GB2312" w:eastAsia="仿宋_GB2312" w:cs="Times New Roman"/>
          <w:sz w:val="32"/>
          <w:szCs w:val="32"/>
          <w:lang w:val="en-US" w:eastAsia="zh-CN" w:bidi="ar-SA"/>
        </w:rPr>
        <w:t>国</w:t>
      </w:r>
      <w:r>
        <w:rPr>
          <w:rFonts w:hint="eastAsia" w:ascii="仿宋_GB2312" w:eastAsia="仿宋_GB2312" w:cs="Times New Roman"/>
          <w:sz w:val="32"/>
          <w:szCs w:val="32"/>
          <w:lang w:val="zh-CN" w:eastAsia="zh-CN" w:bidi="ar-SA"/>
        </w:rPr>
        <w:t>家非物质文化遗产保护</w:t>
      </w:r>
      <w:r>
        <w:rPr>
          <w:rFonts w:hint="eastAsia" w:ascii="仿宋_GB2312" w:eastAsia="仿宋_GB2312" w:cs="Times New Roman"/>
          <w:sz w:val="32"/>
          <w:szCs w:val="32"/>
          <w:lang w:val="en-US" w:eastAsia="zh-CN" w:bidi="ar-SA"/>
        </w:rPr>
        <w:t>资金129</w:t>
      </w:r>
      <w:r>
        <w:rPr>
          <w:rFonts w:hint="eastAsia" w:ascii="仿宋_GB2312" w:eastAsia="仿宋_GB2312"/>
          <w:sz w:val="32"/>
          <w:szCs w:val="32"/>
        </w:rPr>
        <w:t>万元均已全额拨付至茂县县文化体育和旅游局，资金到位率达100%。</w:t>
      </w:r>
    </w:p>
    <w:p>
      <w:pPr>
        <w:adjustRightInd w:val="0"/>
        <w:snapToGrid w:val="0"/>
        <w:spacing w:line="560" w:lineRule="exact"/>
        <w:ind w:left="0" w:firstLine="640" w:firstLineChars="200"/>
        <w:rPr>
          <w:rFonts w:hint="eastAsia" w:ascii="楷体_GB2312" w:eastAsia="楷体_GB2312" w:cs="Times New Roman"/>
          <w:sz w:val="32"/>
          <w:szCs w:val="32"/>
          <w:lang w:val="zh-CN" w:eastAsia="zh-CN" w:bidi="ar-SA"/>
        </w:rPr>
      </w:pPr>
      <w:r>
        <w:rPr>
          <w:rFonts w:hint="eastAsia" w:ascii="楷体_GB2312" w:eastAsia="楷体_GB2312" w:cs="Times New Roman"/>
          <w:sz w:val="32"/>
          <w:szCs w:val="32"/>
          <w:lang w:val="en-US" w:eastAsia="zh-CN" w:bidi="ar-SA"/>
        </w:rPr>
        <w:t>3.</w:t>
      </w:r>
      <w:r>
        <w:rPr>
          <w:rFonts w:hint="eastAsia" w:ascii="楷体_GB2312" w:eastAsia="楷体_GB2312" w:cs="Times New Roman"/>
          <w:sz w:val="32"/>
          <w:szCs w:val="32"/>
          <w:lang w:val="zh-CN" w:eastAsia="zh-CN" w:bidi="ar-SA"/>
        </w:rPr>
        <w:t>资金使用</w:t>
      </w:r>
    </w:p>
    <w:p>
      <w:pPr>
        <w:adjustRightInd w:val="0"/>
        <w:snapToGrid w:val="0"/>
        <w:spacing w:line="560" w:lineRule="exact"/>
        <w:ind w:left="0" w:firstLine="640" w:firstLineChars="200"/>
        <w:rPr>
          <w:rFonts w:hint="eastAsia" w:ascii="仿宋_GB2312" w:eastAsia="仿宋_GB2312"/>
          <w:sz w:val="32"/>
          <w:szCs w:val="32"/>
          <w:highlight w:val="none"/>
        </w:rPr>
      </w:pPr>
      <w:r>
        <w:rPr>
          <w:rFonts w:hint="eastAsia" w:ascii="仿宋_GB2312" w:eastAsia="仿宋_GB2312"/>
          <w:sz w:val="32"/>
          <w:szCs w:val="32"/>
        </w:rPr>
        <w:t>截至目前，</w:t>
      </w:r>
      <w:r>
        <w:rPr>
          <w:rFonts w:hint="eastAsia" w:ascii="仿宋_GB2312" w:eastAsia="仿宋_GB2312" w:cs="Times New Roman"/>
          <w:sz w:val="32"/>
          <w:szCs w:val="32"/>
          <w:lang w:val="en-US" w:eastAsia="zh-CN" w:bidi="ar-SA"/>
        </w:rPr>
        <w:t>国</w:t>
      </w:r>
      <w:r>
        <w:rPr>
          <w:rFonts w:hint="eastAsia" w:ascii="仿宋_GB2312" w:eastAsia="仿宋_GB2312" w:cs="Times New Roman"/>
          <w:sz w:val="32"/>
          <w:szCs w:val="32"/>
          <w:lang w:val="zh-CN" w:eastAsia="zh-CN" w:bidi="ar-SA"/>
        </w:rPr>
        <w:t>家非物质文化遗产保护项目</w:t>
      </w:r>
      <w:r>
        <w:rPr>
          <w:rFonts w:hint="eastAsia" w:ascii="仿宋_GB2312" w:eastAsia="仿宋_GB2312"/>
          <w:sz w:val="32"/>
          <w:szCs w:val="32"/>
        </w:rPr>
        <w:t>资金已使用</w:t>
      </w:r>
      <w:r>
        <w:rPr>
          <w:rFonts w:hint="eastAsia" w:ascii="仿宋_GB2312" w:eastAsia="仿宋_GB2312"/>
          <w:sz w:val="32"/>
          <w:szCs w:val="32"/>
          <w:lang w:val="en-US" w:eastAsia="zh-CN"/>
        </w:rPr>
        <w:t>129</w:t>
      </w:r>
      <w:r>
        <w:rPr>
          <w:rFonts w:hint="eastAsia" w:ascii="仿宋_GB2312" w:eastAsia="仿宋_GB2312"/>
          <w:sz w:val="32"/>
          <w:szCs w:val="32"/>
        </w:rPr>
        <w:t>万元，资金使用率达</w:t>
      </w:r>
      <w:r>
        <w:rPr>
          <w:rFonts w:hint="eastAsia" w:ascii="仿宋_GB2312" w:eastAsia="仿宋_GB2312"/>
          <w:sz w:val="32"/>
          <w:szCs w:val="32"/>
          <w:lang w:val="en-US" w:eastAsia="zh-CN"/>
        </w:rPr>
        <w:t>20</w:t>
      </w:r>
      <w:r>
        <w:rPr>
          <w:rFonts w:hint="eastAsia" w:ascii="仿宋_GB2312" w:eastAsia="仿宋_GB2312"/>
          <w:sz w:val="32"/>
          <w:szCs w:val="32"/>
        </w:rPr>
        <w:t>%。</w:t>
      </w:r>
      <w:r>
        <w:rPr>
          <w:rFonts w:hint="eastAsia" w:ascii="仿宋_GB2312" w:eastAsia="仿宋_GB2312"/>
          <w:sz w:val="32"/>
          <w:szCs w:val="32"/>
          <w:highlight w:val="none"/>
        </w:rPr>
        <w:t>主要用于</w:t>
      </w:r>
      <w:r>
        <w:rPr>
          <w:rFonts w:hint="eastAsia" w:ascii="仿宋" w:eastAsia="仿宋"/>
          <w:sz w:val="32"/>
          <w:szCs w:val="32"/>
          <w:highlight w:val="none"/>
          <w:lang w:val="en-US" w:eastAsia="zh-CN"/>
        </w:rPr>
        <w:t>羌文化进校园</w:t>
      </w:r>
      <w:r>
        <w:rPr>
          <w:rFonts w:hint="eastAsia" w:ascii="仿宋_GB2312" w:eastAsia="仿宋_GB2312"/>
          <w:sz w:val="32"/>
          <w:szCs w:val="32"/>
          <w:highlight w:val="none"/>
        </w:rPr>
        <w:t>、</w:t>
      </w:r>
      <w:r>
        <w:rPr>
          <w:rFonts w:hint="eastAsia" w:ascii="仿宋_GB2312" w:eastAsia="仿宋_GB2312"/>
          <w:sz w:val="32"/>
          <w:szCs w:val="32"/>
          <w:highlight w:val="none"/>
          <w:lang w:eastAsia="zh-CN"/>
        </w:rPr>
        <w:t>国家传承人补助、非遗文化保护展示、</w:t>
      </w:r>
      <w:r>
        <w:rPr>
          <w:rFonts w:hint="eastAsia" w:ascii="仿宋" w:eastAsia="仿宋"/>
          <w:sz w:val="32"/>
          <w:szCs w:val="32"/>
          <w:highlight w:val="none"/>
          <w:lang w:eastAsia="zh-CN"/>
        </w:rPr>
        <w:t>培训传承、传统节庆、宣传</w:t>
      </w:r>
      <w:r>
        <w:rPr>
          <w:rFonts w:hint="eastAsia" w:ascii="仿宋_GB2312" w:eastAsia="仿宋_GB2312"/>
          <w:sz w:val="32"/>
          <w:szCs w:val="32"/>
          <w:highlight w:val="none"/>
        </w:rPr>
        <w:t>等，</w:t>
      </w:r>
      <w:r>
        <w:rPr>
          <w:rFonts w:hint="eastAsia" w:ascii="仿宋" w:eastAsia="仿宋"/>
          <w:sz w:val="32"/>
          <w:szCs w:val="32"/>
          <w:highlight w:val="none"/>
          <w:lang w:val="en-US" w:eastAsia="zh-CN"/>
        </w:rPr>
        <w:t>结余资金用于羌年、瓦尔俄足节、非遗活动展演、</w:t>
      </w:r>
      <w:r>
        <w:rPr>
          <w:rFonts w:hint="eastAsia" w:ascii="仿宋" w:eastAsia="仿宋"/>
          <w:sz w:val="32"/>
          <w:szCs w:val="32"/>
          <w:highlight w:val="none"/>
          <w:lang w:eastAsia="zh-CN"/>
        </w:rPr>
        <w:t>培训传承、宣传</w:t>
      </w:r>
      <w:r>
        <w:rPr>
          <w:rFonts w:hint="eastAsia" w:ascii="仿宋" w:eastAsia="仿宋"/>
          <w:sz w:val="32"/>
          <w:szCs w:val="32"/>
          <w:highlight w:val="none"/>
          <w:lang w:val="en-US" w:eastAsia="zh-CN"/>
        </w:rPr>
        <w:t>等</w:t>
      </w:r>
      <w:r>
        <w:rPr>
          <w:rFonts w:hint="eastAsia" w:ascii="仿宋" w:eastAsia="仿宋"/>
          <w:sz w:val="32"/>
          <w:szCs w:val="32"/>
          <w:highlight w:val="none"/>
          <w:lang w:eastAsia="zh-CN"/>
        </w:rPr>
        <w:t>。</w:t>
      </w:r>
      <w:r>
        <w:rPr>
          <w:rFonts w:hint="eastAsia" w:ascii="仿宋_GB2312" w:eastAsia="仿宋_GB2312"/>
          <w:sz w:val="32"/>
          <w:szCs w:val="32"/>
          <w:highlight w:val="none"/>
        </w:rPr>
        <w:t>该项目资金开支范围、标准及支付进度、支付依据均合规合法，资金支付与预算相符。</w:t>
      </w:r>
    </w:p>
    <w:p>
      <w:pPr>
        <w:pageBreakBefore w:val="0"/>
        <w:widowControl/>
        <w:kinsoku/>
        <w:wordWrap/>
        <w:overflowPunct/>
        <w:topLinePunct w:val="0"/>
        <w:bidi w:val="0"/>
        <w:adjustRightInd w:val="0"/>
        <w:snapToGrid w:val="0"/>
        <w:spacing w:line="576" w:lineRule="exact"/>
        <w:ind w:firstLine="642" w:firstLineChars="200"/>
        <w:contextualSpacing/>
        <w:jc w:val="left"/>
        <w:textAlignment w:val="auto"/>
        <w:rPr>
          <w:rStyle w:val="22"/>
          <w:rFonts w:hint="eastAsia" w:ascii="仿宋_GB2312" w:eastAsia="仿宋_GB2312" w:cs="仿宋_GB2312"/>
          <w:sz w:val="32"/>
          <w:szCs w:val="32"/>
          <w:lang w:val="zh-CN" w:eastAsia="zh-CN" w:bidi="ar-SA"/>
        </w:rPr>
      </w:pPr>
      <w:r>
        <w:rPr>
          <w:rStyle w:val="22"/>
          <w:rFonts w:hint="eastAsia" w:ascii="仿宋_GB2312" w:eastAsia="仿宋_GB2312" w:cs="仿宋_GB2312"/>
          <w:sz w:val="32"/>
          <w:szCs w:val="32"/>
          <w:lang w:val="zh-CN" w:eastAsia="zh-CN" w:bidi="ar-SA"/>
        </w:rPr>
        <w:t>（三）项目财务管理情况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eastAsia="仿宋_GB2312"/>
          <w:sz w:val="32"/>
          <w:szCs w:val="32"/>
        </w:rPr>
      </w:pPr>
      <w:r>
        <w:rPr>
          <w:rFonts w:hint="eastAsia" w:ascii="仿宋_GB2312" w:eastAsia="仿宋_GB2312"/>
          <w:sz w:val="32"/>
          <w:szCs w:val="32"/>
        </w:rPr>
        <w:t>作为项目实施单位，茂县文化体育和旅游局按照相关财</w:t>
      </w:r>
      <w:r>
        <w:rPr>
          <w:rFonts w:hint="eastAsia" w:ascii="仿宋_GB2312" w:eastAsia="仿宋_GB2312" w:cs="Times New Roman"/>
          <w:sz w:val="32"/>
          <w:szCs w:val="32"/>
          <w:lang w:bidi="ar-SA"/>
        </w:rPr>
        <w:t>经纪律，建立健全财务管理制度，所有项目资金均按相关文件精神合理、合规、合法运用，账务处理及时，会计核算规范</w:t>
      </w:r>
      <w:r>
        <w:rPr>
          <w:rFonts w:hint="eastAsia" w:ascii="仿宋_GB2312" w:eastAsia="仿宋_GB2312" w:cs="Times New Roman"/>
          <w:sz w:val="32"/>
          <w:szCs w:val="32"/>
          <w:lang w:val="zh-CN" w:eastAsia="zh-CN" w:bidi="ar-SA"/>
        </w:rPr>
        <w:t>，做到专款专用</w:t>
      </w:r>
      <w:r>
        <w:rPr>
          <w:rFonts w:hint="eastAsia" w:ascii="仿宋_GB2312" w:eastAsia="仿宋_GB2312" w:cs="Times New Roman"/>
          <w:sz w:val="32"/>
          <w:szCs w:val="32"/>
          <w:lang w:bidi="ar-SA"/>
        </w:rPr>
        <w:t>。</w:t>
      </w:r>
      <w:r>
        <w:rPr>
          <w:rFonts w:hint="eastAsia" w:ascii="仿宋_GB2312" w:eastAsia="仿宋_GB2312" w:cs="Times New Roman"/>
          <w:sz w:val="32"/>
          <w:szCs w:val="32"/>
          <w:lang w:val="zh-CN" w:eastAsia="zh-CN" w:bidi="ar-SA"/>
        </w:rPr>
        <w:t>资金开支做到有计划、有监管、有成效，杜绝出现挪用、挤占等情况，保证实际支出与规定用途一致。</w:t>
      </w:r>
    </w:p>
    <w:p>
      <w:pPr>
        <w:pStyle w:val="2"/>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仿宋" w:hAnsi="仿宋" w:eastAsia="仿宋" w:cs="仿宋"/>
          <w:b/>
          <w:bCs/>
          <w:sz w:val="32"/>
          <w:szCs w:val="32"/>
          <w:lang w:val="zh-CN" w:eastAsia="zh-CN"/>
        </w:rPr>
      </w:pPr>
      <w:r>
        <w:rPr>
          <w:rFonts w:hint="eastAsia" w:ascii="仿宋" w:hAnsi="仿宋" w:eastAsia="仿宋" w:cs="仿宋"/>
          <w:b/>
          <w:bCs/>
          <w:sz w:val="32"/>
          <w:szCs w:val="32"/>
          <w:lang w:val="zh-CN" w:eastAsia="zh-CN"/>
        </w:rPr>
        <w:t>三、项目实施及管理情况</w:t>
      </w:r>
    </w:p>
    <w:p>
      <w:pPr>
        <w:adjustRightInd w:val="0"/>
        <w:snapToGrid w:val="0"/>
        <w:spacing w:line="560" w:lineRule="exact"/>
        <w:ind w:firstLine="720"/>
        <w:rPr>
          <w:rFonts w:hint="eastAsia" w:ascii="楷体_GB2312" w:eastAsia="楷体_GB2312"/>
          <w:b/>
          <w:sz w:val="32"/>
          <w:szCs w:val="32"/>
          <w:lang w:val="zh-CN" w:eastAsia="zh-CN"/>
        </w:rPr>
      </w:pPr>
      <w:r>
        <w:rPr>
          <w:rFonts w:hint="eastAsia" w:ascii="楷体_GB2312" w:eastAsia="楷体_GB2312"/>
          <w:b/>
          <w:sz w:val="32"/>
          <w:szCs w:val="32"/>
          <w:lang w:val="zh-CN" w:eastAsia="zh-CN"/>
        </w:rPr>
        <w:t>（一）项目组织架构及实施流程</w:t>
      </w:r>
    </w:p>
    <w:p>
      <w:pPr>
        <w:adjustRightInd w:val="0"/>
        <w:snapToGrid w:val="0"/>
        <w:spacing w:line="560" w:lineRule="exact"/>
        <w:ind w:firstLine="720"/>
        <w:rPr>
          <w:rFonts w:hint="eastAsia" w:ascii="仿宋_GB2312" w:eastAsia="仿宋_GB2312"/>
          <w:sz w:val="32"/>
          <w:szCs w:val="32"/>
          <w:lang w:val="zh-CN" w:eastAsia="zh-CN"/>
        </w:rPr>
      </w:pPr>
      <w:r>
        <w:rPr>
          <w:rFonts w:hint="eastAsia" w:ascii="仿宋_GB2312" w:eastAsia="仿宋_GB2312"/>
          <w:sz w:val="32"/>
          <w:szCs w:val="32"/>
          <w:lang w:val="zh-CN" w:eastAsia="zh-CN"/>
        </w:rPr>
        <w:t>茂县文化体育和旅游局严格按照相关规定展开非物质文化遗产保护工作。</w:t>
      </w:r>
      <w:r>
        <w:rPr>
          <w:rFonts w:hint="eastAsia" w:ascii="仿宋_GB2312" w:eastAsia="仿宋_GB2312" w:cs="Times New Roman"/>
          <w:sz w:val="32"/>
          <w:szCs w:val="32"/>
          <w:lang w:val="en-US" w:eastAsia="zh-CN" w:bidi="ar-SA"/>
        </w:rPr>
        <w:t>本单位所有专项项目均按照上级文化主管部门的项目管理办法规定的程序进行管理和实施；相应的项目资金，均按照法律法规、省市财政部门以及上级文化和旅游部门的制定的专项资金管理办法之要求、程序严格管理和使用。根据《中华人民共和国非物质文化遗产法》、《</w:t>
      </w:r>
      <w:r>
        <w:rPr>
          <w:rFonts w:hint="eastAsia" w:ascii="仿宋_GB2312" w:eastAsia="仿宋_GB2312" w:cs="Times New Roman"/>
          <w:sz w:val="32"/>
          <w:szCs w:val="32"/>
          <w:lang w:val="zh-CN" w:eastAsia="zh-CN" w:bidi="ar-SA"/>
        </w:rPr>
        <w:t>国家非物质文化遗产保护资金</w:t>
      </w:r>
      <w:r>
        <w:rPr>
          <w:rFonts w:hint="eastAsia" w:ascii="仿宋_GB2312" w:eastAsia="仿宋_GB2312" w:cs="Times New Roman"/>
          <w:sz w:val="32"/>
          <w:szCs w:val="32"/>
          <w:lang w:val="en-US" w:eastAsia="zh-CN" w:bidi="ar-SA"/>
        </w:rPr>
        <w:t>管理办法》的相关规定，在实施过程中，我局严格执行专项资金管理制度，资金支出规范、合规，进度和使用范围与申报计划相符，无挪用、挤占现象。</w:t>
      </w:r>
    </w:p>
    <w:p>
      <w:pPr>
        <w:adjustRightInd w:val="0"/>
        <w:snapToGrid w:val="0"/>
        <w:spacing w:line="560" w:lineRule="exact"/>
        <w:ind w:firstLine="720"/>
        <w:rPr>
          <w:rFonts w:hint="eastAsia" w:ascii="楷体_GB2312" w:eastAsia="楷体_GB2312"/>
          <w:b/>
          <w:sz w:val="32"/>
          <w:szCs w:val="32"/>
          <w:lang w:val="zh-CN" w:eastAsia="zh-CN"/>
        </w:rPr>
      </w:pPr>
      <w:r>
        <w:rPr>
          <w:rFonts w:hint="eastAsia" w:ascii="楷体_GB2312" w:eastAsia="楷体_GB2312"/>
          <w:b/>
          <w:sz w:val="32"/>
          <w:szCs w:val="32"/>
          <w:lang w:val="zh-CN" w:eastAsia="zh-CN"/>
        </w:rPr>
        <w:t>（二）项目管理情况</w:t>
      </w:r>
    </w:p>
    <w:p>
      <w:pPr>
        <w:adjustRightInd w:val="0"/>
        <w:snapToGrid w:val="0"/>
        <w:spacing w:line="560" w:lineRule="exact"/>
        <w:ind w:firstLine="720"/>
        <w:rPr>
          <w:rFonts w:hint="eastAsia" w:ascii="仿宋_GB2312" w:eastAsia="仿宋_GB2312"/>
          <w:sz w:val="32"/>
          <w:szCs w:val="32"/>
          <w:lang w:val="zh-CN" w:eastAsia="zh-CN"/>
        </w:rPr>
      </w:pPr>
      <w:r>
        <w:rPr>
          <w:rFonts w:hint="eastAsia" w:ascii="仿宋_GB2312" w:eastAsia="仿宋_GB2312"/>
          <w:sz w:val="32"/>
          <w:szCs w:val="32"/>
          <w:lang w:val="zh-CN" w:eastAsia="zh-CN"/>
        </w:rPr>
        <w:t>县财政局严格执行中央及省、市各级对国家非物质文化遗产保护项目的相关政策，及时下拨资金至茂县文化体育和旅游局。茂县文化体育和旅游局严格执行相关法律法规及项目管理制度，确保项目资金专款专用，杜绝挪用、挤占、滞留专项资金情况。</w:t>
      </w:r>
    </w:p>
    <w:p>
      <w:pPr>
        <w:adjustRightInd w:val="0"/>
        <w:snapToGrid w:val="0"/>
        <w:spacing w:line="560" w:lineRule="exact"/>
        <w:ind w:firstLine="720"/>
        <w:rPr>
          <w:rFonts w:hint="eastAsia" w:ascii="楷体_GB2312" w:eastAsia="楷体_GB2312"/>
          <w:b/>
          <w:sz w:val="32"/>
          <w:szCs w:val="32"/>
          <w:lang w:val="zh-CN" w:eastAsia="zh-CN"/>
        </w:rPr>
      </w:pPr>
      <w:r>
        <w:rPr>
          <w:rFonts w:hint="eastAsia" w:ascii="楷体_GB2312" w:eastAsia="楷体_GB2312"/>
          <w:b/>
          <w:sz w:val="32"/>
          <w:szCs w:val="32"/>
          <w:lang w:val="zh-CN" w:eastAsia="zh-CN"/>
        </w:rPr>
        <w:t>（三）项目监管情况</w:t>
      </w:r>
    </w:p>
    <w:p>
      <w:pPr>
        <w:adjustRightInd w:val="0"/>
        <w:snapToGrid w:val="0"/>
        <w:spacing w:line="560" w:lineRule="exact"/>
        <w:ind w:firstLine="720"/>
        <w:rPr>
          <w:rFonts w:hint="eastAsia" w:ascii="仿宋_GB2312" w:eastAsia="仿宋_GB2312"/>
          <w:sz w:val="32"/>
          <w:szCs w:val="32"/>
          <w:lang w:val="zh-CN" w:eastAsia="zh-CN"/>
        </w:rPr>
      </w:pPr>
      <w:r>
        <w:rPr>
          <w:rFonts w:hint="eastAsia" w:ascii="仿宋_GB2312" w:eastAsia="仿宋_GB2312"/>
          <w:sz w:val="32"/>
          <w:szCs w:val="32"/>
          <w:lang w:val="zh-CN" w:eastAsia="zh-CN"/>
        </w:rPr>
        <w:t>县财政局严格按照资金用途，及时、足额将该项目资金下拨到茂县文化体育和旅游局，州文化体育和旅游局及县财政不定期抽查该项目资金相关账务资料，确保项目资金专款专用。茂县文化体育和旅游局坚持做好非遗传承保护工作。</w:t>
      </w:r>
    </w:p>
    <w:p>
      <w:pPr>
        <w:adjustRightInd w:val="0"/>
        <w:snapToGrid w:val="0"/>
        <w:spacing w:line="560" w:lineRule="exact"/>
        <w:ind w:firstLine="720"/>
        <w:rPr>
          <w:rFonts w:hint="eastAsia" w:ascii="仿宋_GB2312" w:eastAsia="仿宋_GB2312"/>
          <w:sz w:val="32"/>
          <w:szCs w:val="32"/>
          <w:lang w:val="zh-CN" w:eastAsia="zh-CN"/>
        </w:rPr>
      </w:pPr>
      <w:r>
        <w:rPr>
          <w:rFonts w:hint="eastAsia" w:ascii="黑体" w:eastAsia="黑体"/>
          <w:sz w:val="32"/>
          <w:szCs w:val="32"/>
        </w:rPr>
        <w:t>四、项目绩效情况</w:t>
      </w:r>
      <w:r>
        <w:rPr>
          <w:rFonts w:hint="eastAsia" w:ascii="仿宋_GB2312" w:eastAsia="仿宋_GB2312"/>
          <w:sz w:val="32"/>
          <w:szCs w:val="32"/>
          <w:lang w:val="zh-CN" w:eastAsia="zh-CN"/>
        </w:rPr>
        <w:tab/>
      </w:r>
    </w:p>
    <w:p>
      <w:pPr>
        <w:adjustRightInd w:val="0"/>
        <w:snapToGrid w:val="0"/>
        <w:spacing w:line="560" w:lineRule="exact"/>
        <w:ind w:firstLine="720"/>
        <w:rPr>
          <w:rFonts w:hint="eastAsia" w:ascii="楷体_GB2312" w:eastAsia="楷体_GB2312"/>
          <w:b/>
          <w:sz w:val="32"/>
          <w:szCs w:val="32"/>
          <w:highlight w:val="none"/>
          <w:lang w:val="zh-CN" w:eastAsia="zh-CN"/>
        </w:rPr>
      </w:pPr>
      <w:r>
        <w:rPr>
          <w:rFonts w:hint="eastAsia" w:ascii="楷体_GB2312" w:eastAsia="楷体_GB2312"/>
          <w:b/>
          <w:sz w:val="32"/>
          <w:szCs w:val="32"/>
          <w:highlight w:val="none"/>
          <w:lang w:val="zh-CN" w:eastAsia="zh-CN"/>
        </w:rPr>
        <w:t>（一）项目完成情况</w:t>
      </w:r>
    </w:p>
    <w:p>
      <w:pPr>
        <w:adjustRightInd w:val="0"/>
        <w:snapToGrid w:val="0"/>
        <w:spacing w:line="560" w:lineRule="exact"/>
        <w:ind w:firstLine="720"/>
        <w:rPr>
          <w:rFonts w:hint="eastAsia" w:ascii="仿宋" w:eastAsia="仿宋"/>
          <w:color w:val="auto"/>
          <w:sz w:val="32"/>
          <w:szCs w:val="32"/>
          <w:highlight w:val="none"/>
          <w:lang w:eastAsia="zh-CN"/>
        </w:rPr>
      </w:pPr>
      <w:r>
        <w:rPr>
          <w:rFonts w:hint="eastAsia" w:ascii="仿宋" w:eastAsia="仿宋"/>
          <w:sz w:val="32"/>
          <w:szCs w:val="32"/>
          <w:highlight w:val="none"/>
          <w:lang w:val="en-US" w:eastAsia="zh-CN"/>
        </w:rPr>
        <w:t>2023年</w:t>
      </w:r>
      <w:r>
        <w:rPr>
          <w:rFonts w:hint="eastAsia" w:ascii="仿宋" w:eastAsia="仿宋"/>
          <w:sz w:val="32"/>
          <w:szCs w:val="32"/>
          <w:highlight w:val="none"/>
        </w:rPr>
        <w:t>开展集体</w:t>
      </w:r>
      <w:r>
        <w:rPr>
          <w:rFonts w:hint="eastAsia" w:ascii="仿宋" w:eastAsia="仿宋"/>
          <w:sz w:val="32"/>
          <w:szCs w:val="32"/>
          <w:highlight w:val="none"/>
          <w:lang w:eastAsia="zh-CN"/>
        </w:rPr>
        <w:t>展示展演</w:t>
      </w:r>
      <w:r>
        <w:rPr>
          <w:rFonts w:hint="eastAsia" w:ascii="仿宋" w:eastAsia="仿宋"/>
          <w:sz w:val="32"/>
          <w:szCs w:val="32"/>
          <w:highlight w:val="none"/>
        </w:rPr>
        <w:t>传习活动</w:t>
      </w:r>
      <w:r>
        <w:rPr>
          <w:rFonts w:hint="eastAsia" w:ascii="仿宋" w:eastAsia="仿宋"/>
          <w:sz w:val="32"/>
          <w:szCs w:val="32"/>
          <w:highlight w:val="none"/>
          <w:lang w:val="en-US" w:eastAsia="zh-CN"/>
        </w:rPr>
        <w:t>6</w:t>
      </w:r>
      <w:r>
        <w:rPr>
          <w:rFonts w:hint="eastAsia" w:ascii="仿宋" w:eastAsia="仿宋"/>
          <w:sz w:val="32"/>
          <w:szCs w:val="32"/>
          <w:highlight w:val="none"/>
        </w:rPr>
        <w:t>次。开展茂县</w:t>
      </w:r>
      <w:r>
        <w:rPr>
          <w:rFonts w:hint="eastAsia" w:ascii="仿宋" w:eastAsia="仿宋"/>
          <w:sz w:val="32"/>
          <w:szCs w:val="32"/>
          <w:highlight w:val="none"/>
          <w:lang w:eastAsia="zh-CN"/>
        </w:rPr>
        <w:t>传统节庆松坪沟转山会、神树节、祭山会、羌年、文化和自然遗产宣传等展示展演</w:t>
      </w:r>
      <w:r>
        <w:rPr>
          <w:rFonts w:hint="eastAsia" w:ascii="仿宋" w:eastAsia="仿宋"/>
          <w:sz w:val="32"/>
          <w:szCs w:val="32"/>
          <w:highlight w:val="none"/>
        </w:rPr>
        <w:t>活动。</w:t>
      </w:r>
      <w:r>
        <w:rPr>
          <w:rFonts w:hint="eastAsia" w:ascii="仿宋" w:eastAsia="仿宋"/>
          <w:color w:val="auto"/>
          <w:sz w:val="32"/>
          <w:szCs w:val="32"/>
          <w:highlight w:val="none"/>
        </w:rPr>
        <w:t>参加集体传习培训指导人数全年达到</w:t>
      </w:r>
      <w:r>
        <w:rPr>
          <w:rFonts w:hint="eastAsia" w:ascii="仿宋" w:eastAsia="仿宋"/>
          <w:color w:val="auto"/>
          <w:sz w:val="32"/>
          <w:szCs w:val="32"/>
          <w:highlight w:val="none"/>
          <w:lang w:val="en-US" w:eastAsia="zh-CN"/>
        </w:rPr>
        <w:t>2000</w:t>
      </w:r>
      <w:r>
        <w:rPr>
          <w:rFonts w:hint="eastAsia" w:ascii="仿宋" w:eastAsia="仿宋"/>
          <w:color w:val="auto"/>
          <w:sz w:val="32"/>
          <w:szCs w:val="32"/>
          <w:highlight w:val="none"/>
        </w:rPr>
        <w:t>人</w:t>
      </w:r>
      <w:r>
        <w:rPr>
          <w:rFonts w:hint="eastAsia" w:ascii="仿宋" w:eastAsia="仿宋"/>
          <w:color w:val="auto"/>
          <w:sz w:val="32"/>
          <w:szCs w:val="32"/>
          <w:highlight w:val="none"/>
          <w:lang w:eastAsia="zh-CN"/>
        </w:rPr>
        <w:t>次</w:t>
      </w:r>
      <w:r>
        <w:rPr>
          <w:rFonts w:hint="eastAsia" w:ascii="仿宋" w:eastAsia="仿宋"/>
          <w:color w:val="auto"/>
          <w:sz w:val="32"/>
          <w:szCs w:val="32"/>
          <w:highlight w:val="none"/>
        </w:rPr>
        <w:t>。</w:t>
      </w:r>
      <w:r>
        <w:rPr>
          <w:rFonts w:hint="eastAsia" w:ascii="仿宋" w:eastAsia="仿宋"/>
          <w:color w:val="auto"/>
          <w:sz w:val="32"/>
          <w:szCs w:val="32"/>
          <w:highlight w:val="none"/>
          <w:lang w:eastAsia="zh-CN"/>
        </w:rPr>
        <w:t>举办了羌笛演奏与制作技艺传承保护培训服务、羌语言文字传承保护培训服务、羌绣技艺传承保护培训服务、羌文化进校园活动。</w:t>
      </w:r>
    </w:p>
    <w:p>
      <w:pPr>
        <w:adjustRightInd w:val="0"/>
        <w:snapToGrid w:val="0"/>
        <w:spacing w:line="560" w:lineRule="exact"/>
        <w:ind w:firstLine="720"/>
        <w:rPr>
          <w:rFonts w:hint="eastAsia" w:ascii="楷体_GB2312" w:eastAsia="楷体_GB2312"/>
          <w:b/>
          <w:sz w:val="32"/>
          <w:szCs w:val="32"/>
          <w:lang w:val="zh-CN" w:eastAsia="zh-CN"/>
        </w:rPr>
      </w:pPr>
      <w:r>
        <w:rPr>
          <w:rFonts w:hint="eastAsia" w:ascii="楷体_GB2312" w:eastAsia="楷体_GB2312"/>
          <w:b/>
          <w:sz w:val="32"/>
          <w:szCs w:val="32"/>
          <w:lang w:val="zh-CN" w:eastAsia="zh-CN"/>
        </w:rPr>
        <w:t>（二）项目效益情况</w:t>
      </w:r>
    </w:p>
    <w:p>
      <w:pPr>
        <w:pStyle w:val="19"/>
        <w:shd w:val="clear" w:color="auto" w:fill="FFFFFF"/>
        <w:spacing w:beforeAutospacing="0" w:afterAutospacing="0" w:line="560" w:lineRule="exact"/>
        <w:ind w:firstLine="640" w:firstLineChars="200"/>
        <w:rPr>
          <w:rFonts w:hint="eastAsia" w:ascii="仿宋_GB2312" w:eastAsia="仿宋_GB2312"/>
          <w:kern w:val="2"/>
          <w:sz w:val="32"/>
          <w:szCs w:val="32"/>
          <w:lang w:val="zh-CN" w:eastAsia="zh-CN"/>
        </w:rPr>
      </w:pPr>
      <w:r>
        <w:rPr>
          <w:rFonts w:hint="eastAsia" w:ascii="仿宋_GB2312" w:eastAsia="仿宋_GB2312"/>
          <w:kern w:val="2"/>
          <w:sz w:val="32"/>
          <w:szCs w:val="32"/>
          <w:lang w:val="zh-CN" w:eastAsia="zh-CN"/>
        </w:rPr>
        <w:t>1.经济效益：对项目资金坚持统一管理、突出重点、合理安排、专款专用、注重绩效。</w:t>
      </w:r>
      <w:r>
        <w:rPr>
          <w:rFonts w:hint="eastAsia" w:ascii="仿宋" w:eastAsia="仿宋"/>
          <w:b/>
          <w:bCs/>
          <w:sz w:val="32"/>
          <w:szCs w:val="32"/>
        </w:rPr>
        <w:t>一是</w:t>
      </w:r>
      <w:r>
        <w:rPr>
          <w:rFonts w:hint="eastAsia" w:ascii="仿宋" w:eastAsia="仿宋"/>
          <w:sz w:val="32"/>
          <w:szCs w:val="32"/>
        </w:rPr>
        <w:t>通过传统节庆传习活动的开展，带动当地旅游业发展增长率达到80%。</w:t>
      </w:r>
      <w:r>
        <w:rPr>
          <w:rFonts w:hint="eastAsia" w:ascii="仿宋" w:eastAsia="仿宋"/>
          <w:b/>
          <w:bCs/>
          <w:sz w:val="32"/>
          <w:szCs w:val="32"/>
        </w:rPr>
        <w:t>二是</w:t>
      </w:r>
      <w:r>
        <w:rPr>
          <w:rFonts w:hint="eastAsia" w:ascii="仿宋" w:eastAsia="仿宋"/>
          <w:sz w:val="32"/>
          <w:szCs w:val="32"/>
        </w:rPr>
        <w:t>通过传统节庆传习活动开展非遗相关产品种类增长率增长率达到82%。完成年度指标值。</w:t>
      </w:r>
    </w:p>
    <w:p>
      <w:pPr>
        <w:pStyle w:val="19"/>
        <w:shd w:val="clear" w:color="auto" w:fill="FFFFFF"/>
        <w:spacing w:beforeAutospacing="0" w:afterAutospacing="0" w:line="560" w:lineRule="exact"/>
        <w:ind w:firstLine="640" w:firstLineChars="200"/>
        <w:rPr>
          <w:rFonts w:hint="eastAsia" w:ascii="仿宋_GB2312" w:eastAsia="仿宋_GB2312" w:cs="Times New Roman"/>
          <w:kern w:val="2"/>
          <w:sz w:val="32"/>
          <w:szCs w:val="32"/>
          <w:lang w:val="zh-CN" w:eastAsia="zh-CN" w:bidi="ar-SA"/>
        </w:rPr>
      </w:pPr>
      <w:r>
        <w:rPr>
          <w:rFonts w:hint="eastAsia" w:ascii="仿宋_GB2312" w:eastAsia="仿宋_GB2312"/>
          <w:kern w:val="2"/>
          <w:sz w:val="32"/>
          <w:szCs w:val="32"/>
          <w:lang w:val="zh-CN" w:eastAsia="zh-CN"/>
        </w:rPr>
        <w:t>2.</w:t>
      </w:r>
      <w:r>
        <w:rPr>
          <w:rFonts w:hint="eastAsia" w:ascii="仿宋_GB2312" w:eastAsia="仿宋_GB2312" w:cs="Times New Roman"/>
          <w:kern w:val="2"/>
          <w:sz w:val="32"/>
          <w:szCs w:val="32"/>
          <w:lang w:val="zh-CN" w:eastAsia="zh-CN" w:bidi="ar-SA"/>
        </w:rPr>
        <w:t>社会效益：我县</w:t>
      </w:r>
      <w:r>
        <w:rPr>
          <w:rFonts w:hint="eastAsia" w:ascii="仿宋_GB2312" w:eastAsia="仿宋_GB2312" w:cs="Times New Roman"/>
          <w:kern w:val="2"/>
          <w:sz w:val="32"/>
          <w:szCs w:val="32"/>
          <w:lang w:val="en-US" w:eastAsia="zh-CN" w:bidi="ar-SA"/>
        </w:rPr>
        <w:t>有羌年、羌绣、羌笛、瓦尔俄足节国</w:t>
      </w:r>
      <w:r>
        <w:rPr>
          <w:rFonts w:hint="eastAsia" w:ascii="仿宋_GB2312" w:eastAsia="仿宋_GB2312" w:cs="Times New Roman"/>
          <w:kern w:val="2"/>
          <w:sz w:val="32"/>
          <w:szCs w:val="32"/>
          <w:lang w:val="zh-CN" w:eastAsia="zh-CN" w:bidi="ar-SA"/>
        </w:rPr>
        <w:t>级非遗</w:t>
      </w:r>
      <w:r>
        <w:rPr>
          <w:rFonts w:hint="eastAsia" w:ascii="仿宋_GB2312" w:eastAsia="仿宋_GB2312" w:cs="Times New Roman"/>
          <w:kern w:val="2"/>
          <w:sz w:val="32"/>
          <w:szCs w:val="32"/>
          <w:lang w:val="en-US" w:eastAsia="zh-CN" w:bidi="ar-SA"/>
        </w:rPr>
        <w:t>代表性传承人4人，常年在古羌城、非遗传习中心开展非遗活态展演</w:t>
      </w:r>
      <w:r>
        <w:rPr>
          <w:rFonts w:hint="eastAsia" w:ascii="仿宋_GB2312" w:eastAsia="仿宋_GB2312" w:cs="Times New Roman"/>
          <w:kern w:val="2"/>
          <w:sz w:val="32"/>
          <w:szCs w:val="32"/>
          <w:lang w:val="zh-CN" w:eastAsia="zh-CN" w:bidi="ar-SA"/>
        </w:rPr>
        <w:t>,让</w:t>
      </w:r>
      <w:r>
        <w:rPr>
          <w:rFonts w:hint="eastAsia" w:ascii="仿宋_GB2312" w:eastAsia="仿宋_GB2312" w:cs="Times New Roman"/>
          <w:kern w:val="2"/>
          <w:sz w:val="32"/>
          <w:szCs w:val="32"/>
          <w:lang w:val="en-US" w:eastAsia="zh-CN" w:bidi="ar-SA"/>
        </w:rPr>
        <w:t>游客</w:t>
      </w:r>
      <w:r>
        <w:rPr>
          <w:rFonts w:hint="eastAsia" w:ascii="仿宋_GB2312" w:eastAsia="仿宋_GB2312" w:cs="Times New Roman"/>
          <w:kern w:val="2"/>
          <w:sz w:val="32"/>
          <w:szCs w:val="32"/>
          <w:lang w:val="zh-CN" w:eastAsia="zh-CN" w:bidi="ar-SA"/>
        </w:rPr>
        <w:t>在感知、体验中了解本地区、本民族的历史文化,提升了民族自豪感和自信心,激发爱国爱家乡热情,培养对传统民间文化的兴趣,主动学习、传承、弘扬,成为具有传统文化根基的人。</w:t>
      </w:r>
    </w:p>
    <w:p>
      <w:pPr>
        <w:pStyle w:val="19"/>
        <w:shd w:val="clear" w:color="auto" w:fill="FFFFFF"/>
        <w:spacing w:beforeAutospacing="0" w:afterAutospacing="0" w:line="560" w:lineRule="exact"/>
        <w:ind w:firstLine="640" w:firstLineChars="200"/>
        <w:rPr>
          <w:rFonts w:hint="eastAsia" w:ascii="仿宋_GB2312" w:eastAsia="仿宋_GB2312" w:cs="Times New Roman"/>
          <w:kern w:val="2"/>
          <w:sz w:val="32"/>
          <w:szCs w:val="32"/>
          <w:lang w:val="zh-CN" w:eastAsia="zh-CN" w:bidi="ar-SA"/>
        </w:rPr>
      </w:pPr>
      <w:r>
        <w:rPr>
          <w:rFonts w:hint="eastAsia" w:ascii="仿宋_GB2312" w:eastAsia="仿宋_GB2312" w:cs="Times New Roman"/>
          <w:kern w:val="2"/>
          <w:sz w:val="32"/>
          <w:szCs w:val="32"/>
          <w:lang w:val="zh-CN" w:eastAsia="zh-CN" w:bidi="ar-SA"/>
        </w:rPr>
        <w:t>3.生态效益：结合当地良好的生态资源,通过“</w:t>
      </w:r>
      <w:r>
        <w:rPr>
          <w:rFonts w:hint="eastAsia" w:ascii="仿宋_GB2312" w:eastAsia="仿宋_GB2312" w:cs="Times New Roman"/>
          <w:kern w:val="2"/>
          <w:sz w:val="32"/>
          <w:szCs w:val="32"/>
          <w:lang w:val="en-US" w:eastAsia="zh-CN" w:bidi="ar-SA"/>
        </w:rPr>
        <w:t>羌年、神树节、转山会、非遗宣传日</w:t>
      </w:r>
      <w:r>
        <w:rPr>
          <w:rFonts w:hint="eastAsia" w:ascii="仿宋_GB2312" w:eastAsia="仿宋_GB2312" w:cs="Times New Roman"/>
          <w:kern w:val="2"/>
          <w:sz w:val="32"/>
          <w:szCs w:val="32"/>
          <w:lang w:val="zh-CN" w:eastAsia="zh-CN" w:bidi="ar-SA"/>
        </w:rPr>
        <w:t>”</w:t>
      </w:r>
      <w:r>
        <w:rPr>
          <w:rFonts w:hint="eastAsia" w:ascii="仿宋_GB2312" w:eastAsia="仿宋_GB2312" w:cs="Times New Roman"/>
          <w:kern w:val="2"/>
          <w:sz w:val="32"/>
          <w:szCs w:val="32"/>
          <w:lang w:val="en-US" w:eastAsia="zh-CN" w:bidi="ar-SA"/>
        </w:rPr>
        <w:t>等传统节庆活动</w:t>
      </w:r>
      <w:r>
        <w:rPr>
          <w:rFonts w:hint="eastAsia" w:ascii="仿宋_GB2312" w:eastAsia="仿宋_GB2312" w:cs="Times New Roman"/>
          <w:kern w:val="2"/>
          <w:sz w:val="32"/>
          <w:szCs w:val="32"/>
          <w:lang w:val="zh-CN" w:eastAsia="zh-CN" w:bidi="ar-SA"/>
        </w:rPr>
        <w:t>的宣传,对我县自然风景区起到了很好的宣传推广和保护作用,提升了地方旅游资源开发。</w:t>
      </w:r>
    </w:p>
    <w:p>
      <w:pPr>
        <w:pStyle w:val="19"/>
        <w:shd w:val="clear" w:color="auto" w:fill="FFFFFF"/>
        <w:spacing w:beforeAutospacing="0" w:afterAutospacing="0" w:line="560" w:lineRule="exact"/>
        <w:ind w:firstLine="640" w:firstLineChars="200"/>
        <w:rPr>
          <w:rFonts w:hint="eastAsia" w:ascii="仿宋_GB2312" w:eastAsia="仿宋_GB2312"/>
          <w:kern w:val="2"/>
          <w:sz w:val="32"/>
          <w:szCs w:val="32"/>
          <w:lang w:val="zh-CN" w:eastAsia="zh-CN"/>
        </w:rPr>
      </w:pPr>
      <w:r>
        <w:rPr>
          <w:rFonts w:hint="eastAsia" w:ascii="仿宋_GB2312" w:eastAsia="仿宋_GB2312"/>
          <w:kern w:val="2"/>
          <w:sz w:val="32"/>
          <w:szCs w:val="32"/>
        </w:rPr>
        <w:t>4</w:t>
      </w:r>
      <w:r>
        <w:rPr>
          <w:rFonts w:hint="eastAsia" w:ascii="仿宋_GB2312" w:eastAsia="仿宋_GB2312"/>
          <w:kern w:val="2"/>
          <w:sz w:val="32"/>
          <w:szCs w:val="32"/>
          <w:lang w:val="zh-CN" w:eastAsia="zh-CN"/>
        </w:rPr>
        <w:t>.服务对象满意度</w:t>
      </w:r>
      <w:r>
        <w:rPr>
          <w:rFonts w:hint="eastAsia" w:ascii="仿宋_GB2312" w:eastAsia="仿宋_GB2312" w:cs="Times New Roman"/>
          <w:kern w:val="2"/>
          <w:sz w:val="32"/>
          <w:szCs w:val="32"/>
          <w:lang w:val="zh-CN" w:eastAsia="zh-CN" w:bidi="ar-SA"/>
        </w:rPr>
        <w:t>：全面保障了我县传统非物质文化的传承和保护。一是非遗展示展演活动现场观众满意度9</w:t>
      </w:r>
      <w:r>
        <w:rPr>
          <w:rFonts w:hint="eastAsia" w:ascii="仿宋_GB2312" w:eastAsia="仿宋_GB2312" w:cs="Times New Roman"/>
          <w:kern w:val="2"/>
          <w:sz w:val="32"/>
          <w:szCs w:val="32"/>
          <w:lang w:val="en-US" w:eastAsia="zh-CN" w:bidi="ar-SA"/>
        </w:rPr>
        <w:t>5</w:t>
      </w:r>
      <w:r>
        <w:rPr>
          <w:rFonts w:hint="eastAsia" w:ascii="仿宋_GB2312" w:eastAsia="仿宋_GB2312" w:cs="Times New Roman"/>
          <w:kern w:val="2"/>
          <w:sz w:val="32"/>
          <w:szCs w:val="32"/>
          <w:lang w:val="zh-CN" w:eastAsia="zh-CN" w:bidi="ar-SA"/>
        </w:rPr>
        <w:t>%;二是参加传承培训人员的满意度达到9</w:t>
      </w:r>
      <w:r>
        <w:rPr>
          <w:rFonts w:hint="eastAsia" w:ascii="仿宋_GB2312" w:eastAsia="仿宋_GB2312" w:cs="Times New Roman"/>
          <w:kern w:val="2"/>
          <w:sz w:val="32"/>
          <w:szCs w:val="32"/>
          <w:lang w:val="en-US" w:eastAsia="zh-CN" w:bidi="ar-SA"/>
        </w:rPr>
        <w:t>8</w:t>
      </w:r>
      <w:r>
        <w:rPr>
          <w:rFonts w:hint="eastAsia" w:ascii="仿宋_GB2312" w:eastAsia="仿宋_GB2312" w:cs="Times New Roman"/>
          <w:kern w:val="2"/>
          <w:sz w:val="32"/>
          <w:szCs w:val="32"/>
          <w:lang w:val="zh-CN" w:eastAsia="zh-CN" w:bidi="ar-SA"/>
        </w:rPr>
        <w:t>%。三是基层群众对该非遗工作满意度达到95%。完成年度指标值</w:t>
      </w:r>
      <w:r>
        <w:rPr>
          <w:rFonts w:hint="eastAsia" w:ascii="仿宋" w:eastAsia="仿宋"/>
          <w:sz w:val="32"/>
          <w:szCs w:val="32"/>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黑体" w:eastAsia="黑体" w:cs="Times New Roman"/>
          <w:sz w:val="32"/>
          <w:szCs w:val="32"/>
          <w:highlight w:val="none"/>
          <w:lang w:bidi="ar-SA"/>
        </w:rPr>
      </w:pPr>
      <w:r>
        <w:rPr>
          <w:rFonts w:hint="eastAsia" w:ascii="仿宋_GB2312" w:eastAsia="仿宋_GB2312" w:cs="Times New Roman"/>
          <w:kern w:val="2"/>
          <w:sz w:val="32"/>
          <w:szCs w:val="32"/>
          <w:lang w:val="en-US" w:eastAsia="zh-CN" w:bidi="ar"/>
        </w:rPr>
        <w:t>5.</w:t>
      </w:r>
      <w:r>
        <w:rPr>
          <w:rFonts w:hint="eastAsia" w:ascii="仿宋_GB2312" w:eastAsia="仿宋_GB2312" w:cs="Times New Roman"/>
          <w:kern w:val="2"/>
          <w:sz w:val="32"/>
          <w:szCs w:val="32"/>
          <w:lang w:val="zh-CN" w:eastAsia="zh-CN" w:bidi="ar"/>
        </w:rPr>
        <w:t>可持续影响：</w:t>
      </w:r>
      <w:r>
        <w:rPr>
          <w:rFonts w:hint="eastAsia" w:ascii="仿宋_GB2312" w:eastAsia="仿宋_GB2312" w:cs="Times New Roman"/>
          <w:kern w:val="2"/>
          <w:sz w:val="32"/>
          <w:szCs w:val="32"/>
          <w:highlight w:val="none"/>
          <w:lang w:val="zh-CN" w:eastAsia="zh-CN" w:bidi="ar"/>
        </w:rPr>
        <w:t>一年一度的</w:t>
      </w:r>
      <w:r>
        <w:rPr>
          <w:rFonts w:hint="eastAsia" w:ascii="仿宋_GB2312" w:eastAsia="仿宋_GB2312" w:cs="Times New Roman"/>
          <w:kern w:val="2"/>
          <w:sz w:val="32"/>
          <w:szCs w:val="32"/>
          <w:highlight w:val="none"/>
          <w:lang w:val="en-US" w:eastAsia="zh-CN" w:bidi="ar"/>
        </w:rPr>
        <w:t>羌年、转山会</w:t>
      </w:r>
      <w:r>
        <w:rPr>
          <w:rFonts w:hint="eastAsia" w:ascii="仿宋_GB2312" w:eastAsia="仿宋_GB2312" w:cs="Times New Roman"/>
          <w:kern w:val="2"/>
          <w:sz w:val="32"/>
          <w:szCs w:val="32"/>
          <w:highlight w:val="none"/>
          <w:lang w:val="zh-CN" w:eastAsia="zh-CN" w:bidi="ar"/>
        </w:rPr>
        <w:t>等非物质文化展示展演活动,对民族文化的保护传习起着不可抹去的作用。羌文化进校园和羌笛演奏及制作技艺、羌语言文字保护、羌语周报等培养了年轻一代对传统民间文化的兴趣,能够主动学习、传承、弘扬,成为具有传统文化根基的人,激发了年轻一代爱国爱家乡的热情。</w:t>
      </w:r>
    </w:p>
    <w:p>
      <w:pPr>
        <w:adjustRightInd w:val="0"/>
        <w:snapToGrid w:val="0"/>
        <w:spacing w:line="560" w:lineRule="exact"/>
        <w:ind w:firstLine="720"/>
        <w:rPr>
          <w:rFonts w:hint="eastAsia" w:ascii="黑体" w:eastAsia="黑体" w:cs="Times New Roman"/>
          <w:sz w:val="32"/>
          <w:szCs w:val="32"/>
          <w:lang w:bidi="ar-SA"/>
        </w:rPr>
      </w:pPr>
      <w:r>
        <w:rPr>
          <w:rFonts w:hint="eastAsia" w:ascii="黑体" w:eastAsia="黑体" w:cs="Times New Roman"/>
          <w:sz w:val="32"/>
          <w:szCs w:val="32"/>
          <w:lang w:bidi="ar-SA"/>
        </w:rPr>
        <w:t>五、评价结论及建议</w:t>
      </w:r>
    </w:p>
    <w:p>
      <w:pPr>
        <w:adjustRightInd w:val="0"/>
        <w:snapToGrid w:val="0"/>
        <w:spacing w:line="560" w:lineRule="exact"/>
        <w:ind w:firstLine="720"/>
        <w:rPr>
          <w:rFonts w:hint="eastAsia" w:ascii="楷体_GB2312" w:eastAsia="楷体_GB2312" w:cs="Times New Roman"/>
          <w:b/>
          <w:sz w:val="32"/>
          <w:szCs w:val="32"/>
          <w:lang w:val="zh-CN" w:eastAsia="zh-CN" w:bidi="ar-SA"/>
        </w:rPr>
      </w:pPr>
      <w:r>
        <w:rPr>
          <w:rFonts w:hint="eastAsia" w:ascii="楷体_GB2312" w:eastAsia="楷体_GB2312" w:cs="Times New Roman"/>
          <w:b/>
          <w:sz w:val="32"/>
          <w:szCs w:val="32"/>
          <w:lang w:val="zh-CN" w:eastAsia="zh-CN" w:bidi="ar-SA"/>
        </w:rPr>
        <w:t>（一）评价结论</w:t>
      </w:r>
    </w:p>
    <w:p>
      <w:pPr>
        <w:pStyle w:val="19"/>
        <w:shd w:val="clear" w:color="auto" w:fill="FFFFFF"/>
        <w:spacing w:beforeAutospacing="0" w:afterAutospacing="0" w:line="560" w:lineRule="exact"/>
        <w:ind w:firstLine="640" w:firstLineChars="200"/>
        <w:rPr>
          <w:rFonts w:hint="eastAsia" w:ascii="仿宋_GB2312" w:eastAsia="仿宋_GB2312" w:cs="Times New Roman"/>
          <w:kern w:val="2"/>
          <w:sz w:val="32"/>
          <w:szCs w:val="32"/>
          <w:lang w:val="zh-CN" w:eastAsia="zh-CN" w:bidi="ar"/>
        </w:rPr>
      </w:pPr>
      <w:r>
        <w:rPr>
          <w:rFonts w:hint="eastAsia" w:ascii="仿宋_GB2312" w:eastAsia="仿宋_GB2312"/>
          <w:kern w:val="2"/>
          <w:sz w:val="32"/>
          <w:szCs w:val="32"/>
          <w:lang w:val="zh-CN" w:eastAsia="zh-CN"/>
        </w:rPr>
        <w:t>茂</w:t>
      </w:r>
      <w:r>
        <w:rPr>
          <w:rFonts w:hint="eastAsia" w:ascii="仿宋_GB2312" w:eastAsia="仿宋_GB2312" w:cs="Times New Roman"/>
          <w:kern w:val="2"/>
          <w:sz w:val="32"/>
          <w:szCs w:val="32"/>
          <w:lang w:val="zh-CN" w:eastAsia="zh-CN" w:bidi="ar"/>
        </w:rPr>
        <w:t>县文化体育和旅游局202</w:t>
      </w:r>
      <w:r>
        <w:rPr>
          <w:rFonts w:hint="eastAsia" w:ascii="仿宋_GB2312" w:eastAsia="仿宋_GB2312" w:cs="Times New Roman"/>
          <w:kern w:val="2"/>
          <w:sz w:val="32"/>
          <w:szCs w:val="32"/>
          <w:lang w:val="en-US" w:eastAsia="zh-CN" w:bidi="ar"/>
        </w:rPr>
        <w:t>3</w:t>
      </w:r>
      <w:r>
        <w:rPr>
          <w:rFonts w:hint="eastAsia" w:ascii="仿宋_GB2312" w:eastAsia="仿宋_GB2312" w:cs="Times New Roman"/>
          <w:kern w:val="2"/>
          <w:sz w:val="32"/>
          <w:szCs w:val="32"/>
          <w:lang w:val="zh-CN" w:eastAsia="zh-CN" w:bidi="ar"/>
        </w:rPr>
        <w:t>年国家非物质文化遗产保护项目资金全部用于我县在非物质文化遗产保护传承上，推动非物质文化遗产的保护、传承、普及、弘扬和振兴。该项目绩效目标、预期效益、计划实施进度明确，决策依据充分；资金切块合理、管理严格，未出现编报虚假预算以套取专项资金，挤占、截留、挪用专项资金，因管理不善而造成国家资产损失和浪费，违反国家财经纪律等行为；产生了较好的社会效益，运行维护效果好，受益群体满意度高。</w:t>
      </w:r>
    </w:p>
    <w:p>
      <w:pPr>
        <w:adjustRightInd w:val="0"/>
        <w:snapToGrid w:val="0"/>
        <w:spacing w:line="560" w:lineRule="exact"/>
        <w:ind w:firstLine="720"/>
        <w:rPr>
          <w:rFonts w:hint="eastAsia" w:ascii="楷体_GB2312" w:eastAsia="楷体_GB2312"/>
          <w:b/>
          <w:sz w:val="32"/>
          <w:szCs w:val="32"/>
          <w:lang w:val="zh-CN" w:eastAsia="zh-CN"/>
        </w:rPr>
      </w:pPr>
      <w:r>
        <w:rPr>
          <w:rFonts w:hint="eastAsia" w:ascii="楷体_GB2312" w:eastAsia="楷体_GB2312"/>
          <w:b/>
          <w:sz w:val="32"/>
          <w:szCs w:val="32"/>
          <w:lang w:val="zh-CN" w:eastAsia="zh-CN"/>
        </w:rPr>
        <w:t>（二）存在的问题</w:t>
      </w:r>
    </w:p>
    <w:p>
      <w:pPr>
        <w:adjustRightInd w:val="0"/>
        <w:snapToGrid w:val="0"/>
        <w:spacing w:line="560" w:lineRule="exact"/>
        <w:ind w:firstLine="720"/>
        <w:rPr>
          <w:rFonts w:hint="eastAsia" w:ascii="仿宋_GB2312" w:eastAsia="仿宋_GB2312" w:cs="Times New Roman"/>
          <w:kern w:val="2"/>
          <w:sz w:val="32"/>
          <w:szCs w:val="32"/>
          <w:lang w:val="zh-CN" w:eastAsia="zh-CN" w:bidi="ar"/>
        </w:rPr>
      </w:pPr>
      <w:r>
        <w:rPr>
          <w:rFonts w:hint="eastAsia" w:ascii="仿宋_GB2312" w:eastAsia="仿宋_GB2312" w:cs="Times New Roman"/>
          <w:kern w:val="2"/>
          <w:sz w:val="32"/>
          <w:szCs w:val="32"/>
          <w:lang w:val="zh-CN" w:eastAsia="zh-CN" w:bidi="ar"/>
        </w:rPr>
        <w:t>项目资金执行</w:t>
      </w:r>
      <w:r>
        <w:rPr>
          <w:rFonts w:hint="eastAsia" w:ascii="仿宋_GB2312" w:eastAsia="仿宋_GB2312" w:cs="Times New Roman"/>
          <w:kern w:val="2"/>
          <w:sz w:val="32"/>
          <w:szCs w:val="32"/>
          <w:lang w:val="en-US" w:eastAsia="zh-CN" w:bidi="ar"/>
        </w:rPr>
        <w:t>24.76</w:t>
      </w:r>
      <w:r>
        <w:rPr>
          <w:rFonts w:hint="eastAsia" w:ascii="仿宋_GB2312" w:eastAsia="仿宋_GB2312" w:cs="Times New Roman"/>
          <w:kern w:val="2"/>
          <w:sz w:val="32"/>
          <w:szCs w:val="32"/>
          <w:lang w:val="zh-CN" w:eastAsia="zh-CN" w:bidi="ar"/>
        </w:rPr>
        <w:t>万元，执行率为</w:t>
      </w:r>
      <w:r>
        <w:rPr>
          <w:rFonts w:hint="eastAsia" w:ascii="仿宋_GB2312" w:eastAsia="仿宋_GB2312" w:cs="Times New Roman"/>
          <w:kern w:val="2"/>
          <w:sz w:val="32"/>
          <w:szCs w:val="32"/>
          <w:lang w:val="en-US" w:eastAsia="zh-CN" w:bidi="ar"/>
        </w:rPr>
        <w:t>20</w:t>
      </w:r>
      <w:r>
        <w:rPr>
          <w:rFonts w:hint="eastAsia" w:ascii="仿宋_GB2312" w:eastAsia="仿宋_GB2312" w:cs="Times New Roman"/>
          <w:kern w:val="2"/>
          <w:sz w:val="32"/>
          <w:szCs w:val="32"/>
          <w:lang w:val="zh-CN" w:eastAsia="zh-CN" w:bidi="ar"/>
        </w:rPr>
        <w:t>%，其主要原因传统节庆展演活动，时间固定，具有不可更改性，资金支付进度慢。</w:t>
      </w:r>
    </w:p>
    <w:p>
      <w:pPr>
        <w:adjustRightInd w:val="0"/>
        <w:snapToGrid w:val="0"/>
        <w:spacing w:line="560" w:lineRule="exact"/>
        <w:ind w:firstLine="720"/>
        <w:rPr>
          <w:rFonts w:hint="eastAsia" w:ascii="楷体_GB2312" w:eastAsia="楷体_GB2312"/>
          <w:b/>
          <w:sz w:val="32"/>
          <w:szCs w:val="32"/>
          <w:lang w:val="zh-CN" w:eastAsia="zh-CN"/>
        </w:rPr>
      </w:pPr>
      <w:r>
        <w:rPr>
          <w:rFonts w:hint="eastAsia" w:ascii="楷体_GB2312" w:eastAsia="楷体_GB2312"/>
          <w:b/>
          <w:sz w:val="32"/>
          <w:szCs w:val="32"/>
          <w:lang w:val="zh-CN" w:eastAsia="zh-CN"/>
        </w:rPr>
        <w:t>（三）相关建议</w:t>
      </w:r>
    </w:p>
    <w:p>
      <w:pPr>
        <w:adjustRightInd w:val="0"/>
        <w:snapToGrid w:val="0"/>
        <w:spacing w:line="560" w:lineRule="exact"/>
        <w:ind w:firstLine="720"/>
        <w:rPr>
          <w:rFonts w:hint="eastAsia" w:ascii="仿宋_GB2312" w:eastAsia="仿宋_GB2312" w:cs="Times New Roman"/>
          <w:kern w:val="2"/>
          <w:sz w:val="32"/>
          <w:szCs w:val="32"/>
          <w:lang w:val="en-US" w:eastAsia="en-US" w:bidi="ar"/>
        </w:rPr>
      </w:pPr>
      <w:r>
        <w:rPr>
          <w:rFonts w:hint="eastAsia" w:ascii="仿宋_GB2312" w:eastAsia="仿宋_GB2312" w:cs="Times New Roman"/>
          <w:kern w:val="2"/>
          <w:sz w:val="32"/>
          <w:szCs w:val="32"/>
          <w:lang w:val="en-US" w:eastAsia="en-US" w:bidi="ar"/>
        </w:rPr>
        <w:t>适当提高专项资金补助，保障传承人传承活动。</w:t>
      </w:r>
    </w:p>
    <w:p>
      <w:pPr>
        <w:pStyle w:val="2"/>
        <w:rPr>
          <w:rFonts w:hint="eastAsia" w:ascii="仿宋_GB2312" w:eastAsia="仿宋_GB2312" w:cs="Times New Roman"/>
          <w:kern w:val="2"/>
          <w:sz w:val="32"/>
          <w:szCs w:val="32"/>
          <w:lang w:val="en-US" w:eastAsia="en-US" w:bidi="ar"/>
        </w:rPr>
      </w:pPr>
    </w:p>
    <w:p>
      <w:pPr>
        <w:pStyle w:val="2"/>
        <w:rPr>
          <w:rFonts w:hint="eastAsia" w:ascii="仿宋_GB2312" w:eastAsia="仿宋_GB2312" w:cs="Times New Roman"/>
          <w:kern w:val="2"/>
          <w:sz w:val="32"/>
          <w:szCs w:val="32"/>
          <w:lang w:val="en-US" w:eastAsia="en-US" w:bidi="ar"/>
        </w:rPr>
      </w:pPr>
    </w:p>
    <w:p>
      <w:pPr>
        <w:pStyle w:val="2"/>
        <w:rPr>
          <w:rFonts w:hint="eastAsia" w:ascii="仿宋_GB2312" w:eastAsia="仿宋_GB2312" w:cs="Times New Roman"/>
          <w:kern w:val="2"/>
          <w:sz w:val="32"/>
          <w:szCs w:val="32"/>
          <w:lang w:val="en-US" w:eastAsia="en-US" w:bidi="ar"/>
        </w:rPr>
      </w:pPr>
    </w:p>
    <w:p>
      <w:pPr>
        <w:pStyle w:val="2"/>
        <w:rPr>
          <w:rFonts w:hint="eastAsia" w:ascii="仿宋_GB2312" w:eastAsia="仿宋_GB2312" w:cs="Times New Roman"/>
          <w:kern w:val="2"/>
          <w:sz w:val="32"/>
          <w:szCs w:val="32"/>
          <w:lang w:val="en-US" w:eastAsia="en-US" w:bidi="ar"/>
        </w:rPr>
      </w:pPr>
    </w:p>
    <w:p>
      <w:pPr>
        <w:pStyle w:val="2"/>
        <w:rPr>
          <w:rFonts w:hint="eastAsia" w:ascii="仿宋_GB2312" w:eastAsia="仿宋_GB2312" w:cs="Times New Roman"/>
          <w:kern w:val="2"/>
          <w:sz w:val="32"/>
          <w:szCs w:val="32"/>
          <w:lang w:val="en-US" w:eastAsia="en-US" w:bidi="ar"/>
        </w:rPr>
      </w:pPr>
    </w:p>
    <w:p>
      <w:pPr>
        <w:pStyle w:val="2"/>
        <w:rPr>
          <w:rFonts w:hint="eastAsia" w:ascii="仿宋_GB2312" w:eastAsia="仿宋_GB2312" w:cs="Times New Roman"/>
          <w:kern w:val="2"/>
          <w:sz w:val="32"/>
          <w:szCs w:val="32"/>
          <w:lang w:val="en-US" w:eastAsia="en-US" w:bidi="ar"/>
        </w:rPr>
      </w:pPr>
    </w:p>
    <w:p>
      <w:pPr>
        <w:pStyle w:val="2"/>
        <w:rPr>
          <w:rFonts w:hint="eastAsia" w:ascii="仿宋_GB2312" w:eastAsia="仿宋_GB2312" w:cs="Times New Roman"/>
          <w:kern w:val="2"/>
          <w:sz w:val="32"/>
          <w:szCs w:val="32"/>
          <w:lang w:val="en-US" w:eastAsia="en-US" w:bidi="ar"/>
        </w:rPr>
      </w:pPr>
    </w:p>
    <w:p>
      <w:pPr>
        <w:pStyle w:val="2"/>
        <w:rPr>
          <w:rFonts w:hint="eastAsia" w:ascii="仿宋_GB2312" w:eastAsia="仿宋_GB2312" w:cs="Times New Roman"/>
          <w:kern w:val="2"/>
          <w:sz w:val="32"/>
          <w:szCs w:val="32"/>
          <w:lang w:val="en-US" w:eastAsia="en-US" w:bidi="ar"/>
        </w:rPr>
      </w:pPr>
    </w:p>
    <w:p>
      <w:pPr>
        <w:pStyle w:val="2"/>
        <w:rPr>
          <w:rFonts w:hint="eastAsia" w:ascii="仿宋_GB2312" w:eastAsia="仿宋_GB2312" w:cs="Times New Roman"/>
          <w:kern w:val="2"/>
          <w:sz w:val="32"/>
          <w:szCs w:val="32"/>
          <w:lang w:val="en-US" w:eastAsia="en-US" w:bidi="ar"/>
        </w:rPr>
      </w:pPr>
    </w:p>
    <w:p>
      <w:pPr>
        <w:pStyle w:val="2"/>
        <w:rPr>
          <w:rFonts w:hint="eastAsia"/>
        </w:rPr>
      </w:pPr>
    </w:p>
    <w:p>
      <w:pPr>
        <w:pStyle w:val="2"/>
        <w:rPr>
          <w:rFonts w:hint="eastAsia"/>
        </w:rPr>
      </w:pPr>
    </w:p>
    <w:bookmarkEnd w:id="78"/>
    <w:bookmarkEnd w:id="79"/>
    <w:bookmarkEnd w:id="80"/>
    <w:p>
      <w:pPr>
        <w:numPr>
          <w:ilvl w:val="0"/>
          <w:numId w:val="0"/>
        </w:numPr>
        <w:suppressAutoHyphens/>
        <w:bidi w:val="0"/>
        <w:spacing w:line="600" w:lineRule="exact"/>
        <w:ind w:leftChars="0"/>
        <w:jc w:val="center"/>
        <w:outlineLvl w:val="0"/>
        <w:rPr>
          <w:rFonts w:hint="eastAsia" w:ascii="仿宋" w:hAnsi="仿宋" w:eastAsia="仿宋" w:cs="仿宋"/>
          <w:b w:val="0"/>
          <w:bCs/>
          <w:color w:val="000000"/>
        </w:rPr>
      </w:pPr>
      <w:bookmarkStart w:id="85" w:name="_Toc26898"/>
      <w:bookmarkStart w:id="86" w:name="_Toc17791"/>
      <w:r>
        <w:rPr>
          <w:rStyle w:val="38"/>
          <w:rFonts w:hint="eastAsia" w:ascii="黑体" w:hAnsi="黑体" w:eastAsia="黑体"/>
          <w:b w:val="0"/>
          <w:color w:val="auto"/>
          <w:highlight w:val="none"/>
          <w:lang w:val="en-US" w:eastAsia="zh-CN"/>
        </w:rPr>
        <w:t xml:space="preserve">第五部分 </w:t>
      </w:r>
      <w:r>
        <w:rPr>
          <w:rStyle w:val="38"/>
          <w:rFonts w:hint="eastAsia" w:ascii="黑体" w:hAnsi="黑体" w:eastAsia="黑体"/>
          <w:b w:val="0"/>
          <w:color w:val="auto"/>
          <w:highlight w:val="none"/>
        </w:rPr>
        <w:t>附表</w:t>
      </w:r>
      <w:bookmarkEnd w:id="85"/>
    </w:p>
    <w:p>
      <w:pPr>
        <w:pStyle w:val="4"/>
        <w:ind w:firstLine="640" w:firstLineChars="200"/>
        <w:rPr>
          <w:rFonts w:hint="eastAsia" w:ascii="仿宋" w:hAnsi="仿宋" w:eastAsia="仿宋" w:cs="仿宋"/>
          <w:b w:val="0"/>
          <w:bCs/>
          <w:color w:val="000000"/>
        </w:rPr>
      </w:pPr>
      <w:r>
        <w:rPr>
          <w:rFonts w:hint="eastAsia" w:ascii="仿宋" w:hAnsi="仿宋" w:eastAsia="仿宋" w:cs="仿宋"/>
          <w:b w:val="0"/>
          <w:bCs/>
          <w:color w:val="000000"/>
        </w:rPr>
        <w:t>一</w:t>
      </w:r>
      <w:r>
        <w:rPr>
          <w:rFonts w:hint="eastAsia" w:ascii="仿宋" w:hAnsi="仿宋" w:eastAsia="仿宋" w:cs="仿宋"/>
          <w:b w:val="0"/>
          <w:bCs/>
          <w:color w:val="000000"/>
          <w:lang w:val="en-US" w:eastAsia="zh-CN"/>
        </w:rPr>
        <w:t>、收入支出决算总表</w:t>
      </w:r>
      <w:bookmarkEnd w:id="86"/>
    </w:p>
    <w:p>
      <w:pPr>
        <w:pStyle w:val="4"/>
        <w:ind w:firstLine="640" w:firstLineChars="200"/>
        <w:rPr>
          <w:rFonts w:hint="eastAsia" w:ascii="仿宋" w:hAnsi="仿宋" w:eastAsia="仿宋" w:cs="仿宋"/>
          <w:b w:val="0"/>
          <w:bCs/>
          <w:color w:val="000000"/>
        </w:rPr>
      </w:pPr>
      <w:bookmarkStart w:id="87" w:name="_Toc5222"/>
      <w:r>
        <w:rPr>
          <w:rFonts w:hint="eastAsia" w:ascii="仿宋" w:hAnsi="仿宋" w:eastAsia="仿宋" w:cs="仿宋"/>
          <w:b w:val="0"/>
          <w:bCs/>
          <w:color w:val="000000"/>
        </w:rPr>
        <w:t>二、收入决算表</w:t>
      </w:r>
      <w:bookmarkEnd w:id="87"/>
    </w:p>
    <w:p>
      <w:pPr>
        <w:pStyle w:val="4"/>
        <w:ind w:firstLine="640" w:firstLineChars="200"/>
        <w:rPr>
          <w:rFonts w:hint="eastAsia" w:ascii="仿宋" w:hAnsi="仿宋" w:eastAsia="仿宋" w:cs="仿宋"/>
          <w:b w:val="0"/>
          <w:bCs/>
          <w:color w:val="000000"/>
        </w:rPr>
      </w:pPr>
      <w:bookmarkStart w:id="88" w:name="_Toc17755"/>
      <w:r>
        <w:rPr>
          <w:rFonts w:hint="eastAsia" w:ascii="仿宋" w:hAnsi="仿宋" w:eastAsia="仿宋" w:cs="仿宋"/>
          <w:b w:val="0"/>
          <w:bCs/>
          <w:color w:val="000000"/>
        </w:rPr>
        <w:t>三、支出决算表</w:t>
      </w:r>
      <w:bookmarkEnd w:id="88"/>
    </w:p>
    <w:p>
      <w:pPr>
        <w:pStyle w:val="4"/>
        <w:ind w:firstLine="640" w:firstLineChars="200"/>
        <w:rPr>
          <w:rFonts w:hint="eastAsia" w:ascii="仿宋" w:hAnsi="仿宋" w:eastAsia="仿宋" w:cs="仿宋"/>
          <w:b w:val="0"/>
          <w:bCs/>
          <w:color w:val="000000"/>
        </w:rPr>
      </w:pPr>
      <w:bookmarkStart w:id="89" w:name="_Toc15087"/>
      <w:r>
        <w:rPr>
          <w:rFonts w:hint="eastAsia" w:ascii="仿宋" w:hAnsi="仿宋" w:eastAsia="仿宋" w:cs="仿宋"/>
          <w:b w:val="0"/>
          <w:bCs/>
          <w:color w:val="000000"/>
        </w:rPr>
        <w:t>四、财政拨款收入支出决算总表</w:t>
      </w:r>
      <w:bookmarkEnd w:id="89"/>
    </w:p>
    <w:p>
      <w:pPr>
        <w:pStyle w:val="4"/>
        <w:ind w:firstLine="640" w:firstLineChars="200"/>
        <w:rPr>
          <w:rFonts w:hint="eastAsia" w:ascii="仿宋" w:hAnsi="仿宋" w:eastAsia="仿宋" w:cs="仿宋"/>
          <w:b w:val="0"/>
          <w:bCs/>
          <w:color w:val="000000"/>
        </w:rPr>
      </w:pPr>
      <w:bookmarkStart w:id="90" w:name="_Toc23691"/>
      <w:r>
        <w:rPr>
          <w:rFonts w:hint="eastAsia" w:ascii="仿宋" w:hAnsi="仿宋" w:eastAsia="仿宋" w:cs="仿宋"/>
          <w:b w:val="0"/>
          <w:bCs/>
          <w:color w:val="000000"/>
        </w:rPr>
        <w:t>五、财政拨款支出决算明细表</w:t>
      </w:r>
      <w:bookmarkEnd w:id="90"/>
    </w:p>
    <w:p>
      <w:pPr>
        <w:pStyle w:val="4"/>
        <w:ind w:firstLine="640" w:firstLineChars="200"/>
        <w:rPr>
          <w:rFonts w:hint="eastAsia" w:ascii="仿宋" w:hAnsi="仿宋" w:eastAsia="仿宋" w:cs="仿宋"/>
          <w:b w:val="0"/>
          <w:bCs/>
          <w:color w:val="000000"/>
        </w:rPr>
      </w:pPr>
      <w:bookmarkStart w:id="91" w:name="_Toc23970"/>
      <w:r>
        <w:rPr>
          <w:rFonts w:hint="eastAsia" w:ascii="仿宋" w:hAnsi="仿宋" w:eastAsia="仿宋" w:cs="仿宋"/>
          <w:b w:val="0"/>
          <w:bCs/>
          <w:color w:val="000000"/>
        </w:rPr>
        <w:t>六、一般公共预算财政拨款支出决算表</w:t>
      </w:r>
      <w:bookmarkEnd w:id="91"/>
    </w:p>
    <w:p>
      <w:pPr>
        <w:pStyle w:val="4"/>
        <w:ind w:firstLine="640" w:firstLineChars="200"/>
        <w:rPr>
          <w:rFonts w:hint="eastAsia" w:ascii="仿宋" w:hAnsi="仿宋" w:eastAsia="仿宋" w:cs="仿宋"/>
          <w:b w:val="0"/>
          <w:bCs/>
          <w:color w:val="000000"/>
        </w:rPr>
      </w:pPr>
      <w:bookmarkStart w:id="92" w:name="_Toc8648"/>
      <w:r>
        <w:rPr>
          <w:rFonts w:hint="eastAsia" w:ascii="仿宋" w:hAnsi="仿宋" w:eastAsia="仿宋" w:cs="仿宋"/>
          <w:b w:val="0"/>
          <w:bCs/>
          <w:color w:val="000000"/>
        </w:rPr>
        <w:t>七、一般公共预算财政拨款支出决算明细表</w:t>
      </w:r>
      <w:bookmarkEnd w:id="92"/>
    </w:p>
    <w:p>
      <w:pPr>
        <w:pStyle w:val="4"/>
        <w:ind w:firstLine="640" w:firstLineChars="200"/>
        <w:rPr>
          <w:rFonts w:hint="eastAsia" w:ascii="仿宋" w:hAnsi="仿宋" w:eastAsia="仿宋" w:cs="仿宋"/>
          <w:b w:val="0"/>
          <w:bCs/>
          <w:color w:val="000000"/>
        </w:rPr>
      </w:pPr>
      <w:bookmarkStart w:id="93" w:name="_Toc21383"/>
      <w:r>
        <w:rPr>
          <w:rFonts w:hint="eastAsia" w:ascii="仿宋" w:hAnsi="仿宋" w:eastAsia="仿宋" w:cs="仿宋"/>
          <w:b w:val="0"/>
          <w:bCs/>
          <w:color w:val="000000"/>
        </w:rPr>
        <w:t>八、一般公共预算财政拨款基本支出决算表</w:t>
      </w:r>
      <w:bookmarkEnd w:id="93"/>
    </w:p>
    <w:p>
      <w:pPr>
        <w:pStyle w:val="4"/>
        <w:ind w:firstLine="640" w:firstLineChars="200"/>
        <w:rPr>
          <w:rFonts w:hint="eastAsia" w:ascii="仿宋" w:hAnsi="仿宋" w:eastAsia="仿宋" w:cs="仿宋"/>
          <w:b w:val="0"/>
          <w:bCs/>
          <w:color w:val="000000"/>
        </w:rPr>
      </w:pPr>
      <w:bookmarkStart w:id="94" w:name="_Toc1640"/>
      <w:r>
        <w:rPr>
          <w:rFonts w:hint="eastAsia" w:ascii="仿宋" w:hAnsi="仿宋" w:eastAsia="仿宋" w:cs="仿宋"/>
          <w:b w:val="0"/>
          <w:bCs/>
          <w:color w:val="000000"/>
        </w:rPr>
        <w:t>九、一般公共预算财政拨款项目支出决算表</w:t>
      </w:r>
      <w:bookmarkEnd w:id="94"/>
    </w:p>
    <w:p>
      <w:pPr>
        <w:pStyle w:val="4"/>
        <w:ind w:firstLine="640" w:firstLineChars="200"/>
        <w:rPr>
          <w:rFonts w:hint="eastAsia" w:ascii="仿宋" w:hAnsi="仿宋" w:eastAsia="仿宋" w:cs="仿宋"/>
          <w:b w:val="0"/>
          <w:bCs/>
          <w:color w:val="000000"/>
        </w:rPr>
      </w:pPr>
      <w:bookmarkStart w:id="95" w:name="_Toc3420"/>
      <w:r>
        <w:rPr>
          <w:rFonts w:hint="eastAsia" w:ascii="仿宋" w:hAnsi="仿宋" w:eastAsia="仿宋" w:cs="仿宋"/>
          <w:b w:val="0"/>
          <w:bCs/>
          <w:color w:val="000000"/>
        </w:rPr>
        <w:t>十、政府性基金预算财政拨款收入支出决算表</w:t>
      </w:r>
      <w:bookmarkEnd w:id="95"/>
    </w:p>
    <w:p>
      <w:pPr>
        <w:pStyle w:val="4"/>
        <w:ind w:firstLine="640" w:firstLineChars="200"/>
        <w:rPr>
          <w:rFonts w:hint="eastAsia" w:ascii="仿宋" w:hAnsi="仿宋" w:eastAsia="仿宋" w:cs="仿宋"/>
          <w:b w:val="0"/>
          <w:bCs/>
          <w:color w:val="000000"/>
        </w:rPr>
      </w:pPr>
      <w:bookmarkStart w:id="96" w:name="_Toc29160"/>
      <w:r>
        <w:rPr>
          <w:rFonts w:hint="eastAsia" w:ascii="仿宋" w:hAnsi="仿宋" w:eastAsia="仿宋" w:cs="仿宋"/>
          <w:b w:val="0"/>
          <w:bCs/>
          <w:color w:val="000000"/>
        </w:rPr>
        <w:t>十一、国有资本经营预算财政拨款收入支出决算表</w:t>
      </w:r>
      <w:bookmarkEnd w:id="96"/>
    </w:p>
    <w:p>
      <w:pPr>
        <w:pStyle w:val="4"/>
        <w:ind w:firstLine="640" w:firstLineChars="200"/>
        <w:rPr>
          <w:rFonts w:hint="eastAsia" w:ascii="仿宋" w:hAnsi="仿宋" w:eastAsia="仿宋" w:cs="仿宋"/>
          <w:b w:val="0"/>
          <w:bCs/>
          <w:color w:val="000000"/>
        </w:rPr>
      </w:pPr>
      <w:bookmarkStart w:id="97" w:name="_Toc3966"/>
      <w:r>
        <w:rPr>
          <w:rFonts w:hint="eastAsia" w:ascii="仿宋" w:hAnsi="仿宋" w:eastAsia="仿宋" w:cs="仿宋"/>
          <w:b w:val="0"/>
          <w:bCs/>
          <w:color w:val="000000"/>
        </w:rPr>
        <w:t>十二、国有资本经营预算财政拨款支出决算表</w:t>
      </w:r>
      <w:bookmarkEnd w:id="97"/>
    </w:p>
    <w:p>
      <w:pPr>
        <w:pStyle w:val="4"/>
        <w:ind w:firstLine="640" w:firstLineChars="200"/>
        <w:rPr>
          <w:rFonts w:hint="eastAsia" w:ascii="仿宋" w:hAnsi="仿宋" w:eastAsia="仿宋" w:cs="仿宋"/>
          <w:b w:val="0"/>
          <w:bCs/>
          <w:color w:val="000000"/>
        </w:rPr>
      </w:pPr>
      <w:bookmarkStart w:id="98" w:name="_Toc28349"/>
      <w:r>
        <w:rPr>
          <w:rFonts w:hint="eastAsia" w:ascii="仿宋" w:hAnsi="仿宋" w:eastAsia="仿宋" w:cs="仿宋"/>
          <w:b w:val="0"/>
          <w:bCs/>
          <w:color w:val="000000"/>
        </w:rPr>
        <w:t>十三、财政拨款“三公”经费支出决算表</w:t>
      </w:r>
      <w:bookmarkEnd w:id="98"/>
    </w:p>
    <w:sectPr>
      <w:footerReference r:id="rId6" w:type="first"/>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思源黑体 CN Normal">
    <w:altName w:val="黑体"/>
    <w:panose1 w:val="020B0400000000000000"/>
    <w:charset w:val="86"/>
    <w:family w:val="auto"/>
    <w:pitch w:val="default"/>
    <w:sig w:usb0="00000000" w:usb1="00000000" w:usb2="00000016" w:usb3="00000000" w:csb0="60060107"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4856"/>
                          </w:sdtPr>
                          <w:sdtContent>
                            <w:p>
                              <w:pPr>
                                <w:pStyle w:val="12"/>
                                <w:jc w:val="center"/>
                              </w:pPr>
                              <w:r>
                                <w:fldChar w:fldCharType="begin"/>
                              </w:r>
                              <w:r>
                                <w:instrText xml:space="preserve">PAGE   \* MERGEFORMAT</w:instrText>
                              </w:r>
                              <w:r>
                                <w:fldChar w:fldCharType="separate"/>
                              </w:r>
                              <w:r>
                                <w:rPr>
                                  <w:lang w:val="zh-CN"/>
                                </w:rPr>
                                <w:t>4</w:t>
                              </w:r>
                              <w:r>
                                <w:fldChar w:fldCharType="end"/>
                              </w:r>
                            </w:p>
                          </w:sdtContent>
                        </w:sdt>
                        <w:p>
                          <w:pPr>
                            <w:pStyle w:val="1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l7XO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x5e1zjECAABhBAAADgAAAAAAAAABACAAAAA1&#10;AQAAZHJzL2Uyb0RvYy54bWxQSwUGAAAAAAYABgBZAQAA2AUAAAAA&#10;">
              <v:fill on="f" focussize="0,0"/>
              <v:stroke on="f" weight="0.5pt"/>
              <v:imagedata o:title=""/>
              <o:lock v:ext="edit" aspectratio="f"/>
              <v:textbox inset="0mm,0mm,0mm,0mm" style="mso-fit-shape-to-text:t;">
                <w:txbxContent>
                  <w:sdt>
                    <w:sdtPr>
                      <w:id w:val="147464856"/>
                    </w:sdtPr>
                    <w:sdtContent>
                      <w:p>
                        <w:pPr>
                          <w:pStyle w:val="12"/>
                          <w:jc w:val="center"/>
                        </w:pPr>
                        <w:r>
                          <w:fldChar w:fldCharType="begin"/>
                        </w:r>
                        <w:r>
                          <w:instrText xml:space="preserve">PAGE   \* MERGEFORMAT</w:instrText>
                        </w:r>
                        <w:r>
                          <w:fldChar w:fldCharType="separate"/>
                        </w:r>
                        <w:r>
                          <w:rPr>
                            <w:lang w:val="zh-CN"/>
                          </w:rPr>
                          <w:t>4</w:t>
                        </w:r>
                        <w:r>
                          <w:fldChar w:fldCharType="end"/>
                        </w:r>
                      </w:p>
                    </w:sdtContent>
                  </w:sdt>
                  <w:p>
                    <w:pPr>
                      <w:pStyle w:val="15"/>
                    </w:pPr>
                  </w:p>
                </w:txbxContent>
              </v:textbox>
            </v:shape>
          </w:pict>
        </mc:Fallback>
      </mc:AlternateContent>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ClSD0MgIAAGEEAAAOAAAAZHJz&#10;L2Uyb0RvYy54bWytVM2O0zAQviPxDpbvNGkRq27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U6KZQsFP37+dfvw6/fxKrqM8rfUzRD1YxIXurenQNMO5x2Fk3VVOxS/4EPgh&#10;7vEirugC4fHSdDKd5nBx+IYN8LPH69b58E4YRaJRUIfqJVHZYeNDHzqExGzarBspUwWlJm1Br16/&#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AKVIPQyAgAAYQQAAA4AAAAAAAAAAQAgAAAA&#10;NQEAAGRycy9lMm9Eb2MueG1sUEsFBgAAAAAGAAYAWQEAANk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16BE78"/>
    <w:multiLevelType w:val="singleLevel"/>
    <w:tmpl w:val="8A16BE78"/>
    <w:lvl w:ilvl="0" w:tentative="0">
      <w:start w:val="3"/>
      <w:numFmt w:val="chineseCounting"/>
      <w:suff w:val="nothing"/>
      <w:lvlText w:val="%1、"/>
      <w:lvlJc w:val="left"/>
      <w:rPr>
        <w:rFonts w:hint="eastAsia"/>
      </w:rPr>
    </w:lvl>
  </w:abstractNum>
  <w:abstractNum w:abstractNumId="1">
    <w:nsid w:val="D0E170D0"/>
    <w:multiLevelType w:val="singleLevel"/>
    <w:tmpl w:val="D0E170D0"/>
    <w:lvl w:ilvl="0" w:tentative="0">
      <w:start w:val="2"/>
      <w:numFmt w:val="chineseCounting"/>
      <w:suff w:val="nothing"/>
      <w:lvlText w:val="（%1）"/>
      <w:lvlJc w:val="left"/>
      <w:rPr>
        <w:rFonts w:hint="eastAsia"/>
      </w:rPr>
    </w:lvl>
  </w:abstractNum>
  <w:abstractNum w:abstractNumId="2">
    <w:nsid w:val="F38808A9"/>
    <w:multiLevelType w:val="singleLevel"/>
    <w:tmpl w:val="F38808A9"/>
    <w:lvl w:ilvl="0" w:tentative="0">
      <w:start w:val="4"/>
      <w:numFmt w:val="chineseCounting"/>
      <w:suff w:val="space"/>
      <w:lvlText w:val="第%1部分"/>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Y1ZmM0NTk4ZTVmZWQ2NWIxNDgwM2JiMzEyMmYyYzEifQ=="/>
  </w:docVars>
  <w:rsids>
    <w:rsidRoot w:val="00F1361C"/>
    <w:rsid w:val="000000BC"/>
    <w:rsid w:val="00000665"/>
    <w:rsid w:val="00000B38"/>
    <w:rsid w:val="000015A2"/>
    <w:rsid w:val="00002628"/>
    <w:rsid w:val="00003E5B"/>
    <w:rsid w:val="00004806"/>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1D"/>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1CB"/>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7A8"/>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11B"/>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1128"/>
    <w:rsid w:val="0015213E"/>
    <w:rsid w:val="001544D9"/>
    <w:rsid w:val="00156D25"/>
    <w:rsid w:val="00156D5D"/>
    <w:rsid w:val="00157BAB"/>
    <w:rsid w:val="0016151A"/>
    <w:rsid w:val="00163B54"/>
    <w:rsid w:val="00163F03"/>
    <w:rsid w:val="001654D1"/>
    <w:rsid w:val="00166A14"/>
    <w:rsid w:val="00166F25"/>
    <w:rsid w:val="0016730C"/>
    <w:rsid w:val="00167FD7"/>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41F1"/>
    <w:rsid w:val="001A5CF3"/>
    <w:rsid w:val="001A63BB"/>
    <w:rsid w:val="001B1840"/>
    <w:rsid w:val="001B1FA9"/>
    <w:rsid w:val="001B2FB3"/>
    <w:rsid w:val="001B5F65"/>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6926"/>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40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3BD"/>
    <w:rsid w:val="00280496"/>
    <w:rsid w:val="00283D63"/>
    <w:rsid w:val="00283E91"/>
    <w:rsid w:val="002856F9"/>
    <w:rsid w:val="002866CA"/>
    <w:rsid w:val="00286C21"/>
    <w:rsid w:val="002875BF"/>
    <w:rsid w:val="0029076F"/>
    <w:rsid w:val="0029094E"/>
    <w:rsid w:val="00291DC2"/>
    <w:rsid w:val="00292626"/>
    <w:rsid w:val="00292E6B"/>
    <w:rsid w:val="00295495"/>
    <w:rsid w:val="002A0D55"/>
    <w:rsid w:val="002A0E88"/>
    <w:rsid w:val="002A1940"/>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2AF1"/>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4D51"/>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3877"/>
    <w:rsid w:val="00385025"/>
    <w:rsid w:val="00386455"/>
    <w:rsid w:val="00390D36"/>
    <w:rsid w:val="00390F3B"/>
    <w:rsid w:val="0039111A"/>
    <w:rsid w:val="003936B4"/>
    <w:rsid w:val="00393AFD"/>
    <w:rsid w:val="00396E9F"/>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1F2"/>
    <w:rsid w:val="0045723A"/>
    <w:rsid w:val="00460A67"/>
    <w:rsid w:val="00461A98"/>
    <w:rsid w:val="00462B33"/>
    <w:rsid w:val="0046346E"/>
    <w:rsid w:val="004700E2"/>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173A"/>
    <w:rsid w:val="00512FDA"/>
    <w:rsid w:val="00513ED7"/>
    <w:rsid w:val="0051467D"/>
    <w:rsid w:val="00520DA0"/>
    <w:rsid w:val="005225FC"/>
    <w:rsid w:val="00524AC4"/>
    <w:rsid w:val="0052729E"/>
    <w:rsid w:val="0052733D"/>
    <w:rsid w:val="00530E19"/>
    <w:rsid w:val="00530F71"/>
    <w:rsid w:val="005322EB"/>
    <w:rsid w:val="0053459C"/>
    <w:rsid w:val="00550726"/>
    <w:rsid w:val="00550F95"/>
    <w:rsid w:val="0055106D"/>
    <w:rsid w:val="005559A4"/>
    <w:rsid w:val="0056304B"/>
    <w:rsid w:val="005651E3"/>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B76E6"/>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0717"/>
    <w:rsid w:val="00622830"/>
    <w:rsid w:val="006256DB"/>
    <w:rsid w:val="00630AEF"/>
    <w:rsid w:val="00630BB3"/>
    <w:rsid w:val="006325F8"/>
    <w:rsid w:val="00633AE4"/>
    <w:rsid w:val="006348B1"/>
    <w:rsid w:val="00634C9A"/>
    <w:rsid w:val="00635FC7"/>
    <w:rsid w:val="00636040"/>
    <w:rsid w:val="00642529"/>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2E2F"/>
    <w:rsid w:val="006B471C"/>
    <w:rsid w:val="006B4C59"/>
    <w:rsid w:val="006B533E"/>
    <w:rsid w:val="006C04D7"/>
    <w:rsid w:val="006C1937"/>
    <w:rsid w:val="006C397F"/>
    <w:rsid w:val="006C6427"/>
    <w:rsid w:val="006C76DB"/>
    <w:rsid w:val="006D1F0B"/>
    <w:rsid w:val="006D42C6"/>
    <w:rsid w:val="006E0081"/>
    <w:rsid w:val="006E0706"/>
    <w:rsid w:val="006E3700"/>
    <w:rsid w:val="006E6C66"/>
    <w:rsid w:val="006F020C"/>
    <w:rsid w:val="006F3DF7"/>
    <w:rsid w:val="006F7849"/>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0D5E"/>
    <w:rsid w:val="0076182A"/>
    <w:rsid w:val="00763BC1"/>
    <w:rsid w:val="0076499D"/>
    <w:rsid w:val="007656DB"/>
    <w:rsid w:val="007676D8"/>
    <w:rsid w:val="00767A7D"/>
    <w:rsid w:val="00767B7E"/>
    <w:rsid w:val="00767BE6"/>
    <w:rsid w:val="00775A39"/>
    <w:rsid w:val="00776900"/>
    <w:rsid w:val="007770C3"/>
    <w:rsid w:val="00780AAA"/>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008"/>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77427"/>
    <w:rsid w:val="0088122F"/>
    <w:rsid w:val="00885AF4"/>
    <w:rsid w:val="00886435"/>
    <w:rsid w:val="008875FA"/>
    <w:rsid w:val="00887A58"/>
    <w:rsid w:val="008918AA"/>
    <w:rsid w:val="008918C9"/>
    <w:rsid w:val="008920D1"/>
    <w:rsid w:val="008939CD"/>
    <w:rsid w:val="00893E7C"/>
    <w:rsid w:val="00895862"/>
    <w:rsid w:val="00896814"/>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2C7B"/>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07E24"/>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4CE0"/>
    <w:rsid w:val="00A55073"/>
    <w:rsid w:val="00A55447"/>
    <w:rsid w:val="00A55ED8"/>
    <w:rsid w:val="00A56DF2"/>
    <w:rsid w:val="00A56E1B"/>
    <w:rsid w:val="00A57F63"/>
    <w:rsid w:val="00A61738"/>
    <w:rsid w:val="00A62ECF"/>
    <w:rsid w:val="00A63814"/>
    <w:rsid w:val="00A64138"/>
    <w:rsid w:val="00A64421"/>
    <w:rsid w:val="00A659FC"/>
    <w:rsid w:val="00A65DE6"/>
    <w:rsid w:val="00A66D73"/>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C6A20"/>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286"/>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1BBE"/>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777"/>
    <w:rsid w:val="00BA0AED"/>
    <w:rsid w:val="00BA22CD"/>
    <w:rsid w:val="00BA3028"/>
    <w:rsid w:val="00BA3356"/>
    <w:rsid w:val="00BA49E7"/>
    <w:rsid w:val="00BA5298"/>
    <w:rsid w:val="00BB1990"/>
    <w:rsid w:val="00BB2D7E"/>
    <w:rsid w:val="00BB4C52"/>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6CE"/>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033"/>
    <w:rsid w:val="00C77575"/>
    <w:rsid w:val="00C77955"/>
    <w:rsid w:val="00C77D11"/>
    <w:rsid w:val="00C80BE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769DB"/>
    <w:rsid w:val="00D8058B"/>
    <w:rsid w:val="00D811F1"/>
    <w:rsid w:val="00D81CF0"/>
    <w:rsid w:val="00D86259"/>
    <w:rsid w:val="00D87885"/>
    <w:rsid w:val="00D9128F"/>
    <w:rsid w:val="00D938FB"/>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6D81"/>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A5E4F"/>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3D8"/>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5DB"/>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2F3CEB"/>
    <w:rsid w:val="01B354EA"/>
    <w:rsid w:val="01CF32DE"/>
    <w:rsid w:val="01D74DB7"/>
    <w:rsid w:val="01D86637"/>
    <w:rsid w:val="01F04616"/>
    <w:rsid w:val="01FA01CD"/>
    <w:rsid w:val="037A757D"/>
    <w:rsid w:val="03EF0C27"/>
    <w:rsid w:val="03F359AA"/>
    <w:rsid w:val="045647CC"/>
    <w:rsid w:val="0463543B"/>
    <w:rsid w:val="048D6B52"/>
    <w:rsid w:val="04A56E6E"/>
    <w:rsid w:val="04D45254"/>
    <w:rsid w:val="04D550AF"/>
    <w:rsid w:val="051A6F96"/>
    <w:rsid w:val="05C25E8C"/>
    <w:rsid w:val="06951176"/>
    <w:rsid w:val="07001BE1"/>
    <w:rsid w:val="07267DE7"/>
    <w:rsid w:val="088F55D5"/>
    <w:rsid w:val="089C4B49"/>
    <w:rsid w:val="09081517"/>
    <w:rsid w:val="091B747D"/>
    <w:rsid w:val="092E626A"/>
    <w:rsid w:val="095C7B4D"/>
    <w:rsid w:val="09A572B6"/>
    <w:rsid w:val="09D136E8"/>
    <w:rsid w:val="0A19737C"/>
    <w:rsid w:val="0B281722"/>
    <w:rsid w:val="0B7218AA"/>
    <w:rsid w:val="0B99373B"/>
    <w:rsid w:val="0BA37CB5"/>
    <w:rsid w:val="0D0429D6"/>
    <w:rsid w:val="0D093B48"/>
    <w:rsid w:val="0D322E51"/>
    <w:rsid w:val="0D6C338E"/>
    <w:rsid w:val="0DB37F58"/>
    <w:rsid w:val="0E6D2010"/>
    <w:rsid w:val="0EC00B7E"/>
    <w:rsid w:val="0F5E6610"/>
    <w:rsid w:val="0FB52B86"/>
    <w:rsid w:val="0FDB629D"/>
    <w:rsid w:val="0FFD0B0D"/>
    <w:rsid w:val="103747CF"/>
    <w:rsid w:val="103F4D68"/>
    <w:rsid w:val="10C055FF"/>
    <w:rsid w:val="116A6D7C"/>
    <w:rsid w:val="11761AF6"/>
    <w:rsid w:val="11851C0B"/>
    <w:rsid w:val="11D56DF6"/>
    <w:rsid w:val="11ED6591"/>
    <w:rsid w:val="11F85D8C"/>
    <w:rsid w:val="13367661"/>
    <w:rsid w:val="136F089E"/>
    <w:rsid w:val="13D81ACD"/>
    <w:rsid w:val="14D728AA"/>
    <w:rsid w:val="15F1786F"/>
    <w:rsid w:val="1665477F"/>
    <w:rsid w:val="16BB723D"/>
    <w:rsid w:val="17283764"/>
    <w:rsid w:val="17974712"/>
    <w:rsid w:val="17BB0C22"/>
    <w:rsid w:val="17BC7656"/>
    <w:rsid w:val="17E04C0B"/>
    <w:rsid w:val="17EA348C"/>
    <w:rsid w:val="1840212F"/>
    <w:rsid w:val="184656CF"/>
    <w:rsid w:val="19057D6C"/>
    <w:rsid w:val="193C261A"/>
    <w:rsid w:val="19934117"/>
    <w:rsid w:val="19943114"/>
    <w:rsid w:val="19DE22C0"/>
    <w:rsid w:val="1A2E5016"/>
    <w:rsid w:val="1AB026BC"/>
    <w:rsid w:val="1ABB32B6"/>
    <w:rsid w:val="1B787B60"/>
    <w:rsid w:val="1BF70747"/>
    <w:rsid w:val="1C06153F"/>
    <w:rsid w:val="1C986C96"/>
    <w:rsid w:val="1D2804F2"/>
    <w:rsid w:val="1D7371C3"/>
    <w:rsid w:val="1D7D14DD"/>
    <w:rsid w:val="1DDC2BB3"/>
    <w:rsid w:val="1E34479D"/>
    <w:rsid w:val="1EF81F78"/>
    <w:rsid w:val="1F620905"/>
    <w:rsid w:val="1FD12B34"/>
    <w:rsid w:val="201A6AB0"/>
    <w:rsid w:val="203B66A0"/>
    <w:rsid w:val="206D278F"/>
    <w:rsid w:val="211A679A"/>
    <w:rsid w:val="21253DA0"/>
    <w:rsid w:val="21B06830"/>
    <w:rsid w:val="22857975"/>
    <w:rsid w:val="23902475"/>
    <w:rsid w:val="23FA0B3C"/>
    <w:rsid w:val="240371BF"/>
    <w:rsid w:val="2435534E"/>
    <w:rsid w:val="244017F7"/>
    <w:rsid w:val="24534F10"/>
    <w:rsid w:val="24767E54"/>
    <w:rsid w:val="249E2D4F"/>
    <w:rsid w:val="24DF6C66"/>
    <w:rsid w:val="253D03DB"/>
    <w:rsid w:val="253F66D1"/>
    <w:rsid w:val="25A20B86"/>
    <w:rsid w:val="25B1070F"/>
    <w:rsid w:val="25DD571A"/>
    <w:rsid w:val="265C1D1F"/>
    <w:rsid w:val="26BB36DB"/>
    <w:rsid w:val="271C5A93"/>
    <w:rsid w:val="27672CB7"/>
    <w:rsid w:val="276F1834"/>
    <w:rsid w:val="27940B05"/>
    <w:rsid w:val="27B459F9"/>
    <w:rsid w:val="27C51E91"/>
    <w:rsid w:val="280173B2"/>
    <w:rsid w:val="28513369"/>
    <w:rsid w:val="28BF6D42"/>
    <w:rsid w:val="28C822A0"/>
    <w:rsid w:val="292E058E"/>
    <w:rsid w:val="297E7D49"/>
    <w:rsid w:val="29FD04D3"/>
    <w:rsid w:val="2BB50098"/>
    <w:rsid w:val="2C0E47C8"/>
    <w:rsid w:val="2C1E1BB4"/>
    <w:rsid w:val="2C2271B0"/>
    <w:rsid w:val="2C2F3AD7"/>
    <w:rsid w:val="2CAE1BBE"/>
    <w:rsid w:val="2CCF04B2"/>
    <w:rsid w:val="2DF079DB"/>
    <w:rsid w:val="2E4C04E0"/>
    <w:rsid w:val="2E67588F"/>
    <w:rsid w:val="2F803D16"/>
    <w:rsid w:val="2FA27B23"/>
    <w:rsid w:val="2FF22B1D"/>
    <w:rsid w:val="30B547E7"/>
    <w:rsid w:val="30CB71E3"/>
    <w:rsid w:val="30E36C85"/>
    <w:rsid w:val="31810DA9"/>
    <w:rsid w:val="31903F88"/>
    <w:rsid w:val="319F7F4E"/>
    <w:rsid w:val="31B72CAD"/>
    <w:rsid w:val="32004B5E"/>
    <w:rsid w:val="323A1C2F"/>
    <w:rsid w:val="329448A6"/>
    <w:rsid w:val="32F45598"/>
    <w:rsid w:val="33204932"/>
    <w:rsid w:val="33447C07"/>
    <w:rsid w:val="345D075E"/>
    <w:rsid w:val="351F5BD4"/>
    <w:rsid w:val="35244754"/>
    <w:rsid w:val="361C390A"/>
    <w:rsid w:val="364D41F6"/>
    <w:rsid w:val="36943285"/>
    <w:rsid w:val="36995DCD"/>
    <w:rsid w:val="36FD0156"/>
    <w:rsid w:val="38207F4E"/>
    <w:rsid w:val="38E46C58"/>
    <w:rsid w:val="38F8371D"/>
    <w:rsid w:val="39226F5F"/>
    <w:rsid w:val="39902098"/>
    <w:rsid w:val="39FD5F33"/>
    <w:rsid w:val="3A3A0F35"/>
    <w:rsid w:val="3A4E1148"/>
    <w:rsid w:val="3AF15A98"/>
    <w:rsid w:val="3B7B7D80"/>
    <w:rsid w:val="3C8D2F9D"/>
    <w:rsid w:val="3CE0510E"/>
    <w:rsid w:val="3D0E3B71"/>
    <w:rsid w:val="3D1927CA"/>
    <w:rsid w:val="3D1E4B3E"/>
    <w:rsid w:val="3D6F2272"/>
    <w:rsid w:val="3D8344ED"/>
    <w:rsid w:val="3E03620E"/>
    <w:rsid w:val="3E343C22"/>
    <w:rsid w:val="3E7F313D"/>
    <w:rsid w:val="3F512FA9"/>
    <w:rsid w:val="3F7C601F"/>
    <w:rsid w:val="3F842066"/>
    <w:rsid w:val="3FAC4683"/>
    <w:rsid w:val="3FEA5DFB"/>
    <w:rsid w:val="3FF51B86"/>
    <w:rsid w:val="40035B02"/>
    <w:rsid w:val="401C35B7"/>
    <w:rsid w:val="4119235A"/>
    <w:rsid w:val="411C7786"/>
    <w:rsid w:val="41677310"/>
    <w:rsid w:val="422C2C46"/>
    <w:rsid w:val="4251506E"/>
    <w:rsid w:val="42B75819"/>
    <w:rsid w:val="43684120"/>
    <w:rsid w:val="444F07DA"/>
    <w:rsid w:val="44601E28"/>
    <w:rsid w:val="44947A47"/>
    <w:rsid w:val="472E4611"/>
    <w:rsid w:val="475E72DC"/>
    <w:rsid w:val="47C57487"/>
    <w:rsid w:val="47F514AF"/>
    <w:rsid w:val="4839282C"/>
    <w:rsid w:val="48FD75BD"/>
    <w:rsid w:val="49243056"/>
    <w:rsid w:val="494C4A06"/>
    <w:rsid w:val="4A113668"/>
    <w:rsid w:val="4A745623"/>
    <w:rsid w:val="4B187071"/>
    <w:rsid w:val="4B2B2DCB"/>
    <w:rsid w:val="4B6A5BC2"/>
    <w:rsid w:val="4B6D2BD3"/>
    <w:rsid w:val="4BE5538A"/>
    <w:rsid w:val="4BEE672D"/>
    <w:rsid w:val="4C7555EC"/>
    <w:rsid w:val="4D135D42"/>
    <w:rsid w:val="4D3E55F3"/>
    <w:rsid w:val="4D846266"/>
    <w:rsid w:val="4D8D78A2"/>
    <w:rsid w:val="4DF123A8"/>
    <w:rsid w:val="4E290981"/>
    <w:rsid w:val="4E832A53"/>
    <w:rsid w:val="4E9E44C2"/>
    <w:rsid w:val="4EBC1A30"/>
    <w:rsid w:val="4F395B30"/>
    <w:rsid w:val="4F3B530F"/>
    <w:rsid w:val="4F6F7A34"/>
    <w:rsid w:val="4FD74194"/>
    <w:rsid w:val="4FDA49F5"/>
    <w:rsid w:val="505C1689"/>
    <w:rsid w:val="50AE413E"/>
    <w:rsid w:val="51E1640E"/>
    <w:rsid w:val="51EE42CA"/>
    <w:rsid w:val="52195E38"/>
    <w:rsid w:val="52302EF2"/>
    <w:rsid w:val="526E48F5"/>
    <w:rsid w:val="5282470E"/>
    <w:rsid w:val="52ED6284"/>
    <w:rsid w:val="5322283B"/>
    <w:rsid w:val="532B0C13"/>
    <w:rsid w:val="53BA6F17"/>
    <w:rsid w:val="53BE2B80"/>
    <w:rsid w:val="54136CE6"/>
    <w:rsid w:val="541505F1"/>
    <w:rsid w:val="54992FD0"/>
    <w:rsid w:val="55872E29"/>
    <w:rsid w:val="56D0674C"/>
    <w:rsid w:val="57506426"/>
    <w:rsid w:val="57D23F06"/>
    <w:rsid w:val="58BA52C3"/>
    <w:rsid w:val="58BC5D23"/>
    <w:rsid w:val="59177DCC"/>
    <w:rsid w:val="59E040FC"/>
    <w:rsid w:val="59E11CD3"/>
    <w:rsid w:val="5A857BDE"/>
    <w:rsid w:val="5B2A4567"/>
    <w:rsid w:val="5BE202EA"/>
    <w:rsid w:val="5CE95B0C"/>
    <w:rsid w:val="5CFA7F1D"/>
    <w:rsid w:val="5D577E65"/>
    <w:rsid w:val="5D6F6B2F"/>
    <w:rsid w:val="5E2506F8"/>
    <w:rsid w:val="5E5E7F75"/>
    <w:rsid w:val="5EA316D6"/>
    <w:rsid w:val="5EAB325C"/>
    <w:rsid w:val="5ECE1AC8"/>
    <w:rsid w:val="5EF556B7"/>
    <w:rsid w:val="5F3A07D2"/>
    <w:rsid w:val="5F593A88"/>
    <w:rsid w:val="5F8426C2"/>
    <w:rsid w:val="5FE356D0"/>
    <w:rsid w:val="5FF901AE"/>
    <w:rsid w:val="60651EAC"/>
    <w:rsid w:val="60BB3927"/>
    <w:rsid w:val="6200749A"/>
    <w:rsid w:val="620F0B35"/>
    <w:rsid w:val="6240022D"/>
    <w:rsid w:val="62A42EE2"/>
    <w:rsid w:val="62F14F12"/>
    <w:rsid w:val="630D013F"/>
    <w:rsid w:val="63347FC4"/>
    <w:rsid w:val="63604CB9"/>
    <w:rsid w:val="64A36D0B"/>
    <w:rsid w:val="64C656C1"/>
    <w:rsid w:val="64E57B6C"/>
    <w:rsid w:val="64F77166"/>
    <w:rsid w:val="65201386"/>
    <w:rsid w:val="654F48D1"/>
    <w:rsid w:val="657F4183"/>
    <w:rsid w:val="658466A7"/>
    <w:rsid w:val="6596487B"/>
    <w:rsid w:val="65DF63C9"/>
    <w:rsid w:val="662A7F2C"/>
    <w:rsid w:val="66627873"/>
    <w:rsid w:val="66D65FFA"/>
    <w:rsid w:val="67401BF6"/>
    <w:rsid w:val="67C24194"/>
    <w:rsid w:val="67EB36EB"/>
    <w:rsid w:val="68DA2DB6"/>
    <w:rsid w:val="69725134"/>
    <w:rsid w:val="6B4666B6"/>
    <w:rsid w:val="6BB306BC"/>
    <w:rsid w:val="6CC85DA9"/>
    <w:rsid w:val="6CE87F8C"/>
    <w:rsid w:val="6D2A5F93"/>
    <w:rsid w:val="6D4A7EB2"/>
    <w:rsid w:val="6D8F2D6B"/>
    <w:rsid w:val="6DB91990"/>
    <w:rsid w:val="6DC31436"/>
    <w:rsid w:val="6E6F4E2B"/>
    <w:rsid w:val="6ECB49CF"/>
    <w:rsid w:val="6ECB5A2B"/>
    <w:rsid w:val="6F806E0F"/>
    <w:rsid w:val="70202A42"/>
    <w:rsid w:val="70ED3F4C"/>
    <w:rsid w:val="72227D09"/>
    <w:rsid w:val="72E476B5"/>
    <w:rsid w:val="72F22338"/>
    <w:rsid w:val="73327580"/>
    <w:rsid w:val="733572FD"/>
    <w:rsid w:val="733F2B3D"/>
    <w:rsid w:val="73BE3A62"/>
    <w:rsid w:val="74424C35"/>
    <w:rsid w:val="746C7E4B"/>
    <w:rsid w:val="750E6C6B"/>
    <w:rsid w:val="755E374E"/>
    <w:rsid w:val="75884CEA"/>
    <w:rsid w:val="75B310E7"/>
    <w:rsid w:val="75B318F4"/>
    <w:rsid w:val="761A4623"/>
    <w:rsid w:val="76377F56"/>
    <w:rsid w:val="764B35A7"/>
    <w:rsid w:val="769E6A57"/>
    <w:rsid w:val="77B238DE"/>
    <w:rsid w:val="78A4106B"/>
    <w:rsid w:val="79975481"/>
    <w:rsid w:val="79B4511D"/>
    <w:rsid w:val="79F60BE5"/>
    <w:rsid w:val="7A1B4027"/>
    <w:rsid w:val="7A965738"/>
    <w:rsid w:val="7ABC1C9C"/>
    <w:rsid w:val="7B022DCE"/>
    <w:rsid w:val="7B272834"/>
    <w:rsid w:val="7B8F71DF"/>
    <w:rsid w:val="7C1568F9"/>
    <w:rsid w:val="7CB2612E"/>
    <w:rsid w:val="7CC25607"/>
    <w:rsid w:val="7CCD2078"/>
    <w:rsid w:val="7DE859ED"/>
    <w:rsid w:val="7E4C610E"/>
    <w:rsid w:val="7ECA59B1"/>
    <w:rsid w:val="7F09108F"/>
    <w:rsid w:val="7F8C1D1C"/>
    <w:rsid w:val="7FDC49A0"/>
    <w:rsid w:val="7FE85E6D"/>
    <w:rsid w:val="BAF78AF6"/>
    <w:rsid w:val="DF2A4A69"/>
    <w:rsid w:val="E3A374B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nhideWhenUsed="0" w:uiPriority="0"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7"/>
    <w:unhideWhenUsed/>
    <w:qFormat/>
    <w:uiPriority w:val="9"/>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31"/>
    <w:qFormat/>
    <w:uiPriority w:val="99"/>
    <w:pPr>
      <w:spacing w:beforeLines="30"/>
    </w:pPr>
    <w:rPr>
      <w:rFonts w:ascii="仿宋_GB2312" w:eastAsia="仿宋_GB2312"/>
      <w:kern w:val="0"/>
      <w:sz w:val="30"/>
    </w:rPr>
  </w:style>
  <w:style w:type="paragraph" w:styleId="6">
    <w:name w:val="Normal Indent"/>
    <w:basedOn w:val="1"/>
    <w:unhideWhenUsed/>
    <w:qFormat/>
    <w:uiPriority w:val="99"/>
    <w:pPr>
      <w:ind w:firstLine="680"/>
    </w:pPr>
  </w:style>
  <w:style w:type="paragraph" w:styleId="7">
    <w:name w:val="annotation text"/>
    <w:basedOn w:val="1"/>
    <w:semiHidden/>
    <w:unhideWhenUsed/>
    <w:qFormat/>
    <w:uiPriority w:val="99"/>
    <w:pPr>
      <w:jc w:val="left"/>
    </w:pPr>
  </w:style>
  <w:style w:type="paragraph" w:styleId="8">
    <w:name w:val="Body Text Indent"/>
    <w:basedOn w:val="1"/>
    <w:next w:val="9"/>
    <w:qFormat/>
    <w:uiPriority w:val="0"/>
    <w:pPr>
      <w:spacing w:after="120"/>
      <w:ind w:leftChars="200"/>
    </w:pPr>
    <w:rPr>
      <w:rFonts w:ascii="仿宋_GB2312"/>
      <w:szCs w:val="32"/>
    </w:rPr>
  </w:style>
  <w:style w:type="paragraph" w:styleId="9">
    <w:name w:val="Body Text First Indent 2"/>
    <w:basedOn w:val="8"/>
    <w:unhideWhenUsed/>
    <w:qFormat/>
    <w:uiPriority w:val="99"/>
    <w:pPr>
      <w:ind w:firstLine="420" w:firstLineChars="200"/>
    </w:pPr>
  </w:style>
  <w:style w:type="paragraph" w:styleId="10">
    <w:name w:val="toc 3"/>
    <w:basedOn w:val="1"/>
    <w:next w:val="1"/>
    <w:unhideWhenUsed/>
    <w:qFormat/>
    <w:uiPriority w:val="39"/>
    <w:pPr>
      <w:tabs>
        <w:tab w:val="right" w:leader="dot" w:pos="8296"/>
      </w:tabs>
      <w:ind w:left="840" w:leftChars="400"/>
    </w:pPr>
  </w:style>
  <w:style w:type="paragraph" w:styleId="11">
    <w:name w:val="Balloon Text"/>
    <w:basedOn w:val="1"/>
    <w:link w:val="36"/>
    <w:semiHidden/>
    <w:unhideWhenUsed/>
    <w:qFormat/>
    <w:uiPriority w:val="99"/>
    <w:rPr>
      <w:sz w:val="18"/>
      <w:szCs w:val="18"/>
    </w:rPr>
  </w:style>
  <w:style w:type="paragraph" w:styleId="12">
    <w:name w:val="footer"/>
    <w:basedOn w:val="1"/>
    <w:link w:val="29"/>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footnote text"/>
    <w:basedOn w:val="1"/>
    <w:next w:val="9"/>
    <w:semiHidden/>
    <w:qFormat/>
    <w:uiPriority w:val="0"/>
    <w:pPr>
      <w:snapToGrid w:val="0"/>
      <w:jc w:val="left"/>
    </w:pPr>
    <w:rPr>
      <w:sz w:val="18"/>
      <w:szCs w:val="18"/>
    </w:rPr>
  </w:style>
  <w:style w:type="paragraph" w:styleId="16">
    <w:name w:val="table of figures"/>
    <w:basedOn w:val="1"/>
    <w:next w:val="1"/>
    <w:qFormat/>
    <w:uiPriority w:val="0"/>
    <w:pPr>
      <w:ind w:left="200" w:leftChars="200" w:hanging="200" w:hangingChars="200"/>
    </w:pPr>
  </w:style>
  <w:style w:type="paragraph" w:styleId="17">
    <w:name w:val="toc 2"/>
    <w:basedOn w:val="1"/>
    <w:next w:val="1"/>
    <w:unhideWhenUsed/>
    <w:qFormat/>
    <w:uiPriority w:val="39"/>
    <w:pPr>
      <w:tabs>
        <w:tab w:val="right" w:leader="dot" w:pos="8296"/>
      </w:tabs>
      <w:ind w:left="420" w:leftChars="200"/>
    </w:pPr>
  </w:style>
  <w:style w:type="paragraph" w:styleId="18">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9">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styleId="22">
    <w:name w:val="Strong"/>
    <w:basedOn w:val="21"/>
    <w:qFormat/>
    <w:uiPriority w:val="99"/>
    <w:rPr>
      <w:b/>
    </w:rPr>
  </w:style>
  <w:style w:type="character" w:styleId="23">
    <w:name w:val="Hyperlink"/>
    <w:basedOn w:val="21"/>
    <w:unhideWhenUsed/>
    <w:qFormat/>
    <w:uiPriority w:val="99"/>
    <w:rPr>
      <w:color w:val="0000FF" w:themeColor="hyperlink"/>
      <w:u w:val="single"/>
      <w14:textFill>
        <w14:solidFill>
          <w14:schemeClr w14:val="hlink"/>
        </w14:solidFill>
      </w14:textFill>
    </w:rPr>
  </w:style>
  <w:style w:type="character" w:styleId="24">
    <w:name w:val="annotation reference"/>
    <w:basedOn w:val="21"/>
    <w:semiHidden/>
    <w:unhideWhenUsed/>
    <w:qFormat/>
    <w:uiPriority w:val="99"/>
    <w:rPr>
      <w:sz w:val="21"/>
      <w:szCs w:val="21"/>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6">
    <w:name w:val="Header Char"/>
    <w:basedOn w:val="21"/>
    <w:semiHidden/>
    <w:qFormat/>
    <w:uiPriority w:val="99"/>
    <w:rPr>
      <w:rFonts w:ascii="Times New Roman" w:hAnsi="Times New Roman"/>
      <w:sz w:val="18"/>
      <w:szCs w:val="18"/>
    </w:rPr>
  </w:style>
  <w:style w:type="character" w:customStyle="1" w:styleId="27">
    <w:name w:val="页眉 字符"/>
    <w:link w:val="13"/>
    <w:semiHidden/>
    <w:qFormat/>
    <w:locked/>
    <w:uiPriority w:val="99"/>
    <w:rPr>
      <w:sz w:val="18"/>
    </w:rPr>
  </w:style>
  <w:style w:type="character" w:customStyle="1" w:styleId="28">
    <w:name w:val="Footer Char"/>
    <w:basedOn w:val="21"/>
    <w:semiHidden/>
    <w:qFormat/>
    <w:uiPriority w:val="99"/>
    <w:rPr>
      <w:rFonts w:ascii="Times New Roman" w:hAnsi="Times New Roman"/>
      <w:sz w:val="18"/>
      <w:szCs w:val="18"/>
    </w:rPr>
  </w:style>
  <w:style w:type="character" w:customStyle="1" w:styleId="29">
    <w:name w:val="页脚 字符"/>
    <w:link w:val="12"/>
    <w:qFormat/>
    <w:locked/>
    <w:uiPriority w:val="99"/>
    <w:rPr>
      <w:sz w:val="18"/>
    </w:rPr>
  </w:style>
  <w:style w:type="character" w:customStyle="1" w:styleId="30">
    <w:name w:val="Body Text Char"/>
    <w:basedOn w:val="21"/>
    <w:semiHidden/>
    <w:qFormat/>
    <w:uiPriority w:val="99"/>
    <w:rPr>
      <w:rFonts w:ascii="Times New Roman" w:hAnsi="Times New Roman"/>
      <w:szCs w:val="24"/>
    </w:rPr>
  </w:style>
  <w:style w:type="character" w:customStyle="1" w:styleId="31">
    <w:name w:val="正文文本 字符"/>
    <w:link w:val="2"/>
    <w:qFormat/>
    <w:locked/>
    <w:uiPriority w:val="99"/>
    <w:rPr>
      <w:rFonts w:ascii="仿宋_GB2312" w:hAnsi="Times New Roman" w:eastAsia="仿宋_GB2312"/>
      <w:sz w:val="24"/>
    </w:rPr>
  </w:style>
  <w:style w:type="paragraph" w:styleId="32">
    <w:name w:val="List Paragraph"/>
    <w:basedOn w:val="1"/>
    <w:qFormat/>
    <w:uiPriority w:val="34"/>
    <w:pPr>
      <w:ind w:firstLine="420" w:firstLineChars="200"/>
    </w:pPr>
  </w:style>
  <w:style w:type="character" w:customStyle="1" w:styleId="33">
    <w:name w:val="标题 1 字符"/>
    <w:basedOn w:val="21"/>
    <w:link w:val="3"/>
    <w:qFormat/>
    <w:uiPriority w:val="9"/>
    <w:rPr>
      <w:rFonts w:ascii="Times New Roman" w:hAnsi="Times New Roman"/>
      <w:b/>
      <w:bCs/>
      <w:kern w:val="44"/>
      <w:sz w:val="44"/>
      <w:szCs w:val="44"/>
    </w:rPr>
  </w:style>
  <w:style w:type="character" w:customStyle="1" w:styleId="34">
    <w:name w:val="标题 2 字符"/>
    <w:basedOn w:val="21"/>
    <w:link w:val="4"/>
    <w:qFormat/>
    <w:uiPriority w:val="9"/>
    <w:rPr>
      <w:rFonts w:asciiTheme="majorHAnsi" w:hAnsiTheme="majorHAnsi" w:eastAsiaTheme="majorEastAsia" w:cstheme="majorBidi"/>
      <w:b/>
      <w:bCs/>
      <w:kern w:val="2"/>
      <w:sz w:val="32"/>
      <w:szCs w:val="32"/>
    </w:rPr>
  </w:style>
  <w:style w:type="paragraph" w:customStyle="1" w:styleId="35">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6">
    <w:name w:val="批注框文本 字符"/>
    <w:basedOn w:val="21"/>
    <w:link w:val="11"/>
    <w:semiHidden/>
    <w:qFormat/>
    <w:uiPriority w:val="99"/>
    <w:rPr>
      <w:rFonts w:ascii="Times New Roman" w:hAnsi="Times New Roman"/>
      <w:kern w:val="2"/>
      <w:sz w:val="18"/>
      <w:szCs w:val="18"/>
    </w:rPr>
  </w:style>
  <w:style w:type="character" w:customStyle="1" w:styleId="37">
    <w:name w:val="标题 3 字符"/>
    <w:basedOn w:val="21"/>
    <w:link w:val="5"/>
    <w:qFormat/>
    <w:uiPriority w:val="9"/>
    <w:rPr>
      <w:rFonts w:ascii="Times New Roman" w:hAnsi="Times New Roman"/>
      <w:b/>
      <w:bCs/>
      <w:kern w:val="2"/>
      <w:sz w:val="32"/>
      <w:szCs w:val="32"/>
    </w:rPr>
  </w:style>
  <w:style w:type="character" w:customStyle="1" w:styleId="38">
    <w:name w:val="标题 1 Char"/>
    <w:basedOn w:val="21"/>
    <w:link w:val="3"/>
    <w:qFormat/>
    <w:uiPriority w:val="9"/>
    <w:rPr>
      <w:b/>
      <w:bCs/>
      <w:kern w:val="44"/>
      <w:sz w:val="44"/>
      <w:szCs w:val="44"/>
    </w:rPr>
  </w:style>
  <w:style w:type="paragraph" w:customStyle="1" w:styleId="39">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paragraph" w:customStyle="1" w:styleId="40">
    <w:name w:val="17"/>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收、支决算总计变动情况图</a:t>
            </a:r>
            <a:endParaRPr lang="en-US" sz="1100"/>
          </a:p>
        </c:rich>
      </c:tx>
      <c:layout/>
      <c:overlay val="0"/>
    </c:title>
    <c:autoTitleDeleted val="0"/>
    <c:plotArea>
      <c:layout>
        <c:manualLayout>
          <c:layoutTarget val="inner"/>
          <c:xMode val="edge"/>
          <c:yMode val="edge"/>
          <c:x val="0.0559816218099468"/>
          <c:y val="0.247865112907836"/>
          <c:w val="0.800713012477719"/>
          <c:h val="0.654027777777778"/>
        </c:manualLayout>
      </c:layout>
      <c:barChart>
        <c:barDir val="col"/>
        <c:grouping val="clustered"/>
        <c:varyColors val="0"/>
        <c:ser>
          <c:idx val="1"/>
          <c:order val="0"/>
          <c:tx>
            <c:strRef>
              <c:f>收支总计</c:f>
              <c:strCache>
                <c:ptCount val="1"/>
                <c:pt idx="0">
                  <c:v>收支总计</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{"2022","2023"}</c:f>
              <c:strCache>
                <c:ptCount val="2"/>
                <c:pt idx="0">
                  <c:v>2022</c:v>
                </c:pt>
                <c:pt idx="1">
                  <c:v>2023</c:v>
                </c:pt>
              </c:strCache>
            </c:strRef>
          </c:cat>
          <c:val>
            <c:numRef>
              <c:f>{3123.2,4011.55}</c:f>
              <c:numCache>
                <c:formatCode>General</c:formatCode>
                <c:ptCount val="2"/>
                <c:pt idx="0">
                  <c:v>3123.2</c:v>
                </c:pt>
                <c:pt idx="1">
                  <c:v>4011.55</c:v>
                </c:pt>
              </c:numCache>
            </c:numRef>
          </c:val>
        </c:ser>
        <c:dLbls>
          <c:showLegendKey val="0"/>
          <c:showVal val="1"/>
          <c:showCatName val="0"/>
          <c:showSerName val="0"/>
          <c:showPercent val="0"/>
          <c:showBubbleSize val="0"/>
        </c:dLbls>
        <c:gapWidth val="41"/>
        <c:axId val="261387392"/>
        <c:axId val="261388928"/>
      </c:barChart>
      <c:catAx>
        <c:axId val="261387392"/>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261388928"/>
        <c:crosses val="autoZero"/>
        <c:auto val="1"/>
        <c:lblAlgn val="ctr"/>
        <c:lblOffset val="100"/>
        <c:noMultiLvlLbl val="0"/>
      </c:catAx>
      <c:valAx>
        <c:axId val="261388928"/>
        <c:scaling>
          <c:orientation val="minMax"/>
        </c:scaling>
        <c:delete val="1"/>
        <c:axPos val="l"/>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138739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收入决算结构图</a:t>
            </a:r>
            <a:endParaRPr lang="en-US" sz="1100"/>
          </a:p>
        </c:rich>
      </c:tx>
      <c:layout/>
      <c:overlay val="0"/>
    </c:title>
    <c:autoTitleDeleted val="0"/>
    <c:plotArea>
      <c:layout/>
      <c:pieChart>
        <c:varyColors val="1"/>
        <c:ser>
          <c:idx val="1"/>
          <c:order val="0"/>
          <c:explosion val="0"/>
          <c:dPt>
            <c:idx val="0"/>
            <c:bubble3D val="0"/>
          </c:dPt>
          <c:dPt>
            <c:idx val="1"/>
            <c:bubble3D val="0"/>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c:f>
              <c:strCache>
                <c:ptCount val="2"/>
                <c:pt idx="0">
                  <c:v>一般公共预算财政拨款收入</c:v>
                </c:pt>
                <c:pt idx="1">
                  <c:v>政府性基金预算财政拨款收入</c:v>
                </c:pt>
              </c:strCache>
            </c:strRef>
          </c:cat>
          <c:val>
            <c:numRef>
              <c:f>{3984.79,26.76}</c:f>
              <c:numCache>
                <c:formatCode>General</c:formatCode>
                <c:ptCount val="2"/>
                <c:pt idx="0">
                  <c:v>3984.79</c:v>
                </c:pt>
                <c:pt idx="1">
                  <c:v>26.76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支出决算结构图</a:t>
            </a:r>
            <a:endParaRPr lang="en-US" sz="1100"/>
          </a:p>
        </c:rich>
      </c:tx>
      <c:layout/>
      <c:overlay val="0"/>
    </c:title>
    <c:autoTitleDeleted val="0"/>
    <c:plotArea>
      <c:layout/>
      <c:pieChart>
        <c:varyColors val="1"/>
        <c:ser>
          <c:idx val="1"/>
          <c:order val="0"/>
          <c:explosion val="0"/>
          <c:dPt>
            <c:idx val="0"/>
            <c:bubble3D val="0"/>
          </c:dPt>
          <c:dPt>
            <c:idx val="1"/>
            <c:bubble3D val="0"/>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{"基本支出","项目支出"}</c:f>
              <c:strCache>
                <c:ptCount val="2"/>
                <c:pt idx="0">
                  <c:v>基本支出</c:v>
                </c:pt>
                <c:pt idx="1">
                  <c:v>项目支出</c:v>
                </c:pt>
              </c:strCache>
            </c:strRef>
          </c:cat>
          <c:val>
            <c:numRef>
              <c:f>{1826.56,2184.99}</c:f>
              <c:numCache>
                <c:formatCode>General</c:formatCode>
                <c:ptCount val="2"/>
                <c:pt idx="0">
                  <c:v>1826.56</c:v>
                </c:pt>
                <c:pt idx="1">
                  <c:v>2184.99</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2"/>
                </a:solidFill>
                <a:latin typeface="+mn-lt"/>
                <a:ea typeface="+mn-ea"/>
                <a:cs typeface="+mn-cs"/>
              </a:defRPr>
            </a:pPr>
            <a:r>
              <a:rPr lang="en-US" altLang="zh-CN"/>
              <a:t>财政拨款收、支决算总计变动情况</a:t>
            </a:r>
            <a:endParaRPr lang="en-US" altLang="zh-CN"/>
          </a:p>
        </c:rich>
      </c:tx>
      <c:layout/>
      <c:overlay val="0"/>
      <c:spPr>
        <a:noFill/>
        <a:ln>
          <a:noFill/>
        </a:ln>
        <a:effectLst/>
      </c:spPr>
    </c:title>
    <c:autoTitleDeleted val="0"/>
    <c:plotArea>
      <c:layout/>
      <c:barChart>
        <c:barDir val="col"/>
        <c:grouping val="clustered"/>
        <c:varyColors val="0"/>
        <c:ser>
          <c:idx val="1"/>
          <c:order val="0"/>
          <c:tx>
            <c:strRef>
              <c:f>收支总计</c:f>
              <c:strCache>
                <c:ptCount val="1"/>
                <c:pt idx="0">
                  <c:v>收支总计</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{"2022","2023"}</c:f>
              <c:strCache>
                <c:ptCount val="2"/>
                <c:pt idx="0">
                  <c:v>2022</c:v>
                </c:pt>
                <c:pt idx="1">
                  <c:v>2023</c:v>
                </c:pt>
              </c:strCache>
            </c:strRef>
          </c:cat>
          <c:val>
            <c:numRef>
              <c:f>{3123.2,4011.55}</c:f>
              <c:numCache>
                <c:formatCode>General</c:formatCode>
                <c:ptCount val="2"/>
                <c:pt idx="0">
                  <c:v>3123.2</c:v>
                </c:pt>
                <c:pt idx="1">
                  <c:v>4011.55</c:v>
                </c:pt>
              </c:numCache>
            </c:numRef>
          </c:val>
        </c:ser>
        <c:dLbls>
          <c:showLegendKey val="0"/>
          <c:showVal val="1"/>
          <c:showCatName val="0"/>
          <c:showSerName val="0"/>
          <c:showPercent val="0"/>
          <c:showBubbleSize val="0"/>
        </c:dLbls>
        <c:gapWidth val="100"/>
        <c:overlap val="-24"/>
        <c:axId val="263359104"/>
        <c:axId val="263373184"/>
      </c:barChart>
      <c:catAx>
        <c:axId val="263359104"/>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73184"/>
        <c:crosses val="autoZero"/>
        <c:auto val="1"/>
        <c:lblAlgn val="ctr"/>
        <c:lblOffset val="100"/>
        <c:noMultiLvlLbl val="0"/>
      </c:catAx>
      <c:valAx>
        <c:axId val="263373184"/>
        <c:scaling>
          <c:orientation val="minMax"/>
        </c:scaling>
        <c:delete val="0"/>
        <c:axPos val="l"/>
        <c:majorGridlines>
          <c:spPr>
            <a:ln w="9525" cap="flat" cmpd="sng" algn="ctr">
              <a:solidFill>
                <a:schemeClr val="tx2">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5910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chart>
  <c:spPr>
    <a:solidFill>
      <a:schemeClr val="bg1"/>
    </a:solidFill>
    <a:ln w="9525" cap="flat" cmpd="sng" algn="ctr">
      <a:solidFill>
        <a:schemeClr val="tx2">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1">
                    <a:lumMod val="65000"/>
                    <a:lumOff val="35000"/>
                  </a:schemeClr>
                </a:solidFill>
                <a:latin typeface="+mn-lt"/>
                <a:ea typeface="+mn-ea"/>
                <a:cs typeface="+mn-cs"/>
              </a:defRPr>
            </a:pPr>
            <a:r>
              <a:rPr lang="zh-CN" altLang="en-US" sz="1200"/>
              <a:t>一般公共预算财政拨款支出</a:t>
            </a:r>
            <a:endParaRPr lang="zh-CN" altLang="en-US" sz="1200"/>
          </a:p>
        </c:rich>
      </c:tx>
      <c:layout/>
      <c:overlay val="0"/>
      <c:spPr>
        <a:noFill/>
        <a:ln>
          <a:noFill/>
        </a:ln>
        <a:effectLst/>
      </c:spPr>
    </c:title>
    <c:autoTitleDeleted val="0"/>
    <c:plotArea>
      <c:layout>
        <c:manualLayout>
          <c:layoutTarget val="inner"/>
          <c:xMode val="edge"/>
          <c:yMode val="edge"/>
          <c:x val="0.0736333103993069"/>
          <c:y val="0.199582873033408"/>
          <c:w val="0.767623678108199"/>
          <c:h val="0.708506514060342"/>
        </c:manualLayout>
      </c:layout>
      <c:barChart>
        <c:barDir val="col"/>
        <c:grouping val="clustered"/>
        <c:varyColors val="0"/>
        <c:ser>
          <c:idx val="1"/>
          <c:order val="0"/>
          <c:tx>
            <c:strRef>
              <c:f>2022</c:f>
              <c:strCache>
                <c:ptCount val="1"/>
                <c:pt idx="0">
                  <c:v>2022</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{3113.33}</c:f>
              <c:numCache>
                <c:formatCode>General</c:formatCode>
                <c:ptCount val="1"/>
                <c:pt idx="0">
                  <c:v>3113.33</c:v>
                </c:pt>
              </c:numCache>
            </c:numRef>
          </c:val>
        </c:ser>
        <c:ser>
          <c:idx val="2"/>
          <c:order val="1"/>
          <c:tx>
            <c:strRef>
              <c:f>2023</c:f>
              <c:strCache>
                <c:ptCount val="1"/>
                <c:pt idx="0">
                  <c:v>2023</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{3984.79}</c:f>
              <c:numCache>
                <c:formatCode>General</c:formatCode>
                <c:ptCount val="1"/>
                <c:pt idx="0">
                  <c:v>3984.79</c:v>
                </c:pt>
              </c:numCache>
            </c:numRef>
          </c:val>
        </c:ser>
        <c:dLbls>
          <c:showLegendKey val="0"/>
          <c:showVal val="1"/>
          <c:showCatName val="0"/>
          <c:showSerName val="0"/>
          <c:showPercent val="0"/>
          <c:showBubbleSize val="0"/>
        </c:dLbls>
        <c:gapWidth val="100"/>
        <c:overlap val="-24"/>
        <c:axId val="263440640"/>
        <c:axId val="263135232"/>
      </c:barChart>
      <c:catAx>
        <c:axId val="263440640"/>
        <c:scaling>
          <c:orientation val="minMax"/>
        </c:scaling>
        <c:delete val="1"/>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3135232"/>
        <c:crosses val="autoZero"/>
        <c:auto val="1"/>
        <c:lblAlgn val="ctr"/>
        <c:lblOffset val="100"/>
        <c:noMultiLvlLbl val="0"/>
      </c:catAx>
      <c:valAx>
        <c:axId val="263135232"/>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344064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一般公共预算财政拨款支出</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{"文化旅游体育与传媒支出","社会保障和就业支出","卫生健康支出","农林水支出","住房保障支出"}</c:f>
              <c:strCache>
                <c:ptCount val="5"/>
                <c:pt idx="0">
                  <c:v>文化旅游体育与传媒支出</c:v>
                </c:pt>
                <c:pt idx="1">
                  <c:v>社会保障和就业支出</c:v>
                </c:pt>
                <c:pt idx="2">
                  <c:v>卫生健康支出</c:v>
                </c:pt>
                <c:pt idx="3">
                  <c:v>农林水支出</c:v>
                </c:pt>
                <c:pt idx="4">
                  <c:v>住房保障支出</c:v>
                </c:pt>
              </c:strCache>
            </c:strRef>
          </c:cat>
          <c:val>
            <c:numRef>
              <c:f>{3028.83,245.22,107.19,478.34,125.21}</c:f>
              <c:numCache>
                <c:formatCode>General</c:formatCode>
                <c:ptCount val="5"/>
                <c:pt idx="0">
                  <c:v>3028.83</c:v>
                </c:pt>
                <c:pt idx="1">
                  <c:v>245.22</c:v>
                </c:pt>
                <c:pt idx="2">
                  <c:v>107.19</c:v>
                </c:pt>
                <c:pt idx="3">
                  <c:v>478.34</c:v>
                </c:pt>
                <c:pt idx="4">
                  <c:v>125.21</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三公经费</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{0,8.03,1.01}</c:f>
              <c:numCache>
                <c:formatCode>General</c:formatCode>
                <c:ptCount val="3"/>
                <c:pt idx="0">
                  <c:v>0</c:v>
                </c:pt>
                <c:pt idx="1">
                  <c:v>8.03</c:v>
                </c:pt>
                <c:pt idx="2">
                  <c:v>1.01</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4FC5A5-8DE4-4565-B639-6D345C1D7E6D}">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56</Pages>
  <Words>21460</Words>
  <Characters>22935</Characters>
  <Lines>1</Lines>
  <Paragraphs>1</Paragraphs>
  <TotalTime>1</TotalTime>
  <ScaleCrop>false</ScaleCrop>
  <LinksUpToDate>false</LinksUpToDate>
  <CharactersWithSpaces>24711</CharactersWithSpaces>
  <Application>WPS Office_11.8.2.1131_F1E327BC-269C-435d-A152-05C5408002CA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2023-08-18T15:28:00Z</dcterms:created>
  <dc:creator>pjf</dc:creator>
  <cp:lastModifiedBy>user</cp:lastModifiedBy>
  <cp:lastPrinted>2024-09-27T18:47:00Z</cp:lastPrinted>
  <dcterms:modified xsi:type="dcterms:W3CDTF">2024-09-29T09:56:02Z</dcterms:modified>
  <dc:title>四川省决算编制说明</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2052-11.8.2.1131</vt:lpwstr>
  </property>
  <property fmtid="{D5CDD505-2E9C-101B-9397-08002B2CF9AE}" pid="3" name="ICV">
    <vt:lpwstr>5B3A667AE5FC42DCBAAB465B260636E5_13</vt:lpwstr>
  </property>
</Properties>
</file>