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0"/>
      </w:pPr>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hint="eastAsia" w:ascii="方正小标宋简体" w:eastAsia="方正小标宋简体" w:cs="方正小标宋简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卫生健康局</w:t>
      </w:r>
    </w:p>
    <w:p>
      <w:pPr>
        <w:jc w:val="center"/>
        <w:rPr>
          <w:rFonts w:hint="eastAsia" w:ascii="黑体" w:hAnsi="黑体" w:eastAsia="黑体"/>
          <w:sz w:val="44"/>
          <w:szCs w:val="44"/>
          <w:lang w:val="en-US" w:eastAsia="zh-CN"/>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r>
        <w:rPr>
          <w:rFonts w:hint="eastAsia" w:ascii="黑体" w:hAnsi="黑体" w:eastAsia="黑体"/>
          <w:sz w:val="44"/>
          <w:szCs w:val="44"/>
          <w:lang w:val="en-US" w:eastAsia="zh-CN"/>
        </w:rPr>
        <w:t>(汇总）</w:t>
      </w:r>
    </w:p>
    <w:p>
      <w:pPr>
        <w:jc w:val="center"/>
        <w:rPr>
          <w:rFonts w:hint="eastAsia" w:ascii="黑体" w:hAnsi="黑体" w:eastAsia="黑体"/>
          <w:sz w:val="44"/>
          <w:szCs w:val="44"/>
        </w:rPr>
      </w:pPr>
    </w:p>
    <w:p>
      <w:pPr>
        <w:ind w:firstLine="1760" w:firstLineChars="400"/>
        <w:rPr>
          <w:rFonts w:ascii="黑体" w:eastAsia="黑体"/>
          <w:sz w:val="44"/>
          <w:szCs w:val="44"/>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pPr>
        <w:rPr>
          <w:rFonts w:hint="eastAsia" w:ascii="黑体" w:eastAsia="黑体"/>
          <w:sz w:val="52"/>
          <w:szCs w:val="52"/>
        </w:rPr>
      </w:pPr>
    </w:p>
    <w:p>
      <w:pPr>
        <w:rPr>
          <w:rFonts w:hint="eastAsia" w:ascii="黑体" w:eastAsia="黑体"/>
          <w:sz w:val="52"/>
          <w:szCs w:val="52"/>
        </w:rPr>
      </w:pPr>
    </w:p>
    <w:p>
      <w:pPr>
        <w:ind w:firstLine="4160" w:firstLineChars="800"/>
        <w:rPr>
          <w:rFonts w:hint="eastAsia" w:ascii="黑体" w:hAnsi="黑体" w:eastAsia="黑体" w:cs="黑体"/>
          <w:sz w:val="52"/>
          <w:szCs w:val="52"/>
        </w:rPr>
      </w:pPr>
      <w:r>
        <w:rPr>
          <w:rFonts w:hint="eastAsia" w:ascii="黑体" w:hAnsi="黑体" w:eastAsia="黑体" w:cs="黑体"/>
          <w:sz w:val="52"/>
          <w:szCs w:val="52"/>
        </w:rPr>
        <w:t>目</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录</w:t>
      </w:r>
    </w:p>
    <w:p>
      <w:pPr>
        <w:ind w:firstLine="3080" w:firstLineChars="700"/>
        <w:rPr>
          <w:rFonts w:ascii="黑体" w:eastAsia="黑体"/>
          <w:sz w:val="44"/>
          <w:szCs w:val="44"/>
        </w:rPr>
      </w:pPr>
    </w:p>
    <w:p>
      <w:pPr>
        <w:pStyle w:val="11"/>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rPr>
          <w:rFonts w:ascii="??" w:hAnsi="??" w:cs="宋体"/>
          <w:kern w:val="0"/>
          <w:sz w:val="12"/>
          <w:szCs w:val="12"/>
        </w:rPr>
      </w:pPr>
    </w:p>
    <w:p>
      <w:pPr>
        <w:rPr>
          <w:rFonts w:ascii="??" w:hAnsi="??" w:cs="宋体"/>
          <w:kern w:val="0"/>
          <w:sz w:val="12"/>
          <w:szCs w:val="12"/>
        </w:rPr>
      </w:pPr>
    </w:p>
    <w:p>
      <w:pPr>
        <w:pStyle w:val="6"/>
        <w:ind w:left="0" w:leftChars="0" w:firstLine="0" w:firstLineChars="0"/>
      </w:pPr>
    </w:p>
    <w:p>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（一）部门职能简介</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1.</w:t>
      </w:r>
      <w:r>
        <w:rPr>
          <w:rFonts w:hint="eastAsia" w:ascii="仿宋_GB2312" w:eastAsia="仿宋_GB2312"/>
          <w:b w:val="0"/>
          <w:bCs w:val="0"/>
          <w:sz w:val="32"/>
          <w:szCs w:val="32"/>
        </w:rPr>
        <w:t>贯彻落实卫生健康、中羌医药发展的政策。统筹规划全县卫生健康、中羌医服务资源配置。拟订中羌医药中长期发展规划，并纳入卫生健康事业发展总体规划和战略目标。制定并组织实施推进卫生健康基本公共服务均等化、普惠化、便捷化和公共资源向基层延伸等政策措施。</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2.牵头推进全县深化医药卫生体制改革。</w:t>
      </w:r>
      <w:r>
        <w:rPr>
          <w:rFonts w:hint="eastAsia" w:ascii="仿宋_GB2312" w:eastAsia="仿宋_GB2312"/>
          <w:b w:val="0"/>
          <w:bCs w:val="0"/>
          <w:sz w:val="32"/>
          <w:szCs w:val="32"/>
        </w:rPr>
        <w:t>研究提出深化改革重大政策、措施的建议。牵头负责全县分级诊疗、现代医院管理、全民医保、药品供应保障、综合监管5项基本医疗卫生制度建设。贯彻落实推动卫生健康公共服务提供主体多元化、提供方式多样化的各项政策措施。负责建立公益性导向的绩效考核和评价运行机制，推进和谐医患关系建设，提出医疗服务价格政策的建议。</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3.负责拟订落实全县疾病预防控制规划、免疫规划以及严重危害人民健康的艾滋病等重大传染病、地方病等公共卫生问题的干预措施。</w:t>
      </w:r>
      <w:r>
        <w:rPr>
          <w:rFonts w:hint="eastAsia" w:ascii="仿宋_GB2312" w:eastAsia="仿宋_GB2312"/>
          <w:b w:val="0"/>
          <w:bCs w:val="0"/>
          <w:sz w:val="32"/>
          <w:szCs w:val="32"/>
        </w:rPr>
        <w:t>负责全县卫生应急工作，负责全县突发公共卫生事件预防控制和各类突发公共事件的医疗卫生救援，报告传染病疫情信息、突发公共卫生事件应急处置信息。</w:t>
      </w:r>
      <w:r>
        <w:rPr>
          <w:rFonts w:hint="eastAsia" w:ascii="仿宋_GB2312" w:eastAsia="仿宋_GB2312"/>
          <w:b w:val="0"/>
          <w:bCs w:val="0"/>
          <w:sz w:val="32"/>
          <w:szCs w:val="32"/>
          <w:lang w:val="en-US" w:eastAsia="zh-CN"/>
        </w:rPr>
        <w:t xml:space="preserve">                               </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4.贯彻落实国家和省、州应对人口老龄化政策措施。负责推进老</w:t>
      </w:r>
      <w:r>
        <w:rPr>
          <w:rFonts w:hint="eastAsia" w:ascii="仿宋_GB2312" w:eastAsia="仿宋_GB2312"/>
          <w:b w:val="0"/>
          <w:bCs w:val="0"/>
          <w:sz w:val="32"/>
          <w:szCs w:val="32"/>
        </w:rPr>
        <w:t>年健康服务体系建设和医养结合工作。承担县老龄工作委员会日常工作。</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5.贯彻落实国家药物政策和国家基本药物制度。</w:t>
      </w:r>
      <w:r>
        <w:rPr>
          <w:rFonts w:hint="eastAsia" w:ascii="仿宋_GB2312" w:eastAsia="仿宋_GB2312"/>
          <w:b w:val="0"/>
          <w:bCs w:val="0"/>
          <w:sz w:val="32"/>
          <w:szCs w:val="32"/>
        </w:rPr>
        <w:t>开展药械使用监测、临床综合评价和短缺药品预警，组织执行国家药典和国家基本药物目录，监管全县基本药物采购、配送、使用政策的实施。负责药品和医疗器械集中采购管理及实施。按照国家、省、州相关要求会同有关部门制定、实施食品安全风险监测计划。依法开展食品安全企业标准备案。</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6.负责职责范围内的职业卫生、放射卫生、环境卫生、学校卫生、公共场所卫生、饮用水卫生等公共卫生的监督管理。</w:t>
      </w:r>
      <w:r>
        <w:rPr>
          <w:rFonts w:hint="eastAsia" w:ascii="仿宋_GB2312" w:eastAsia="仿宋_GB2312"/>
          <w:b w:val="0"/>
          <w:bCs w:val="0"/>
          <w:sz w:val="32"/>
          <w:szCs w:val="32"/>
        </w:rPr>
        <w:t>负责传染病防治监督，健全卫生健康综合监管体系。</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7.监督实施全县医疗机构、医疗服务行业管理办法，建立医疗服务评价和监督管理体系。</w:t>
      </w:r>
      <w:r>
        <w:rPr>
          <w:rFonts w:hint="eastAsia" w:ascii="仿宋_GB2312" w:eastAsia="仿宋_GB2312"/>
          <w:b w:val="0"/>
          <w:bCs w:val="0"/>
          <w:sz w:val="32"/>
          <w:szCs w:val="32"/>
        </w:rPr>
        <w:t>会同有关部门实施卫生健康专业技术人员资格标准。制定并组织实施医疗服务规范、标准和卫生健康专业技术人员执业规则、服务规范。负责医疗机构、人员和行为的日常监管。</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8.负责全县计划生育管理和服务工作。</w:t>
      </w:r>
      <w:r>
        <w:rPr>
          <w:rFonts w:hint="eastAsia" w:ascii="仿宋_GB2312" w:eastAsia="仿宋_GB2312"/>
          <w:b w:val="0"/>
          <w:bCs w:val="0"/>
          <w:sz w:val="32"/>
          <w:szCs w:val="32"/>
        </w:rPr>
        <w:t>开展人口监测预警，研究提出人口与家庭发展相关政策建议。</w:t>
      </w:r>
    </w:p>
    <w:p>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9.负责全县卫生健康工作。</w:t>
      </w:r>
      <w:r>
        <w:rPr>
          <w:rFonts w:hint="eastAsia" w:ascii="仿宋_GB2312" w:eastAsia="仿宋_GB2312"/>
          <w:b w:val="0"/>
          <w:bCs w:val="0"/>
          <w:sz w:val="32"/>
          <w:szCs w:val="32"/>
        </w:rPr>
        <w:t>负责基层医疗卫生、妇幼健康服务体系和基层卫生队伍建设。推进卫生健康科技创新发展。</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10.贯彻落实干部医疗保健政策措施，负责县级保健对象的医疗保健工作。</w:t>
      </w:r>
      <w:r>
        <w:rPr>
          <w:rFonts w:hint="eastAsia" w:ascii="仿宋_GB2312" w:eastAsia="仿宋_GB2312"/>
          <w:b w:val="0"/>
          <w:bCs w:val="0"/>
          <w:sz w:val="32"/>
          <w:szCs w:val="32"/>
        </w:rPr>
        <w:t>负责县级部门有关干部医疗服务工作。</w:t>
      </w:r>
      <w:r>
        <w:rPr>
          <w:rFonts w:hint="eastAsia" w:ascii="仿宋_GB2312" w:eastAsia="仿宋_GB2312"/>
          <w:b w:val="0"/>
          <w:bCs w:val="0"/>
          <w:sz w:val="32"/>
          <w:szCs w:val="32"/>
          <w:lang w:val="en-US" w:eastAsia="zh-CN"/>
        </w:rPr>
        <w:t>负责重要会议与重大活动的医疗卫生保障工作。</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11.管理县医学会、县计生协会及羌医药分会，并指导业务工作。</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12.依法依规履行卫生健康行业安全生产监管职责。负责职责范围内的生态环境保护、审批服务便民化等工作。负责全县职业病防治工作。负责本系统内公共机构节能工作。</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13.完成县委、县政府交办的其他任务。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1.全力保障高原病防治研究基地建成投用。统筹做好工程验收、设备调试、信息系统部署、团队组建和制度流程建设等工作，确保基地于2026年7月如期高质量投入运营。</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2.推动紧密型医共体实现从“形似”到“实质”的转变。重点在人事、财务、药品、信息等关键要素统一管理上取得突破，确保“五大共享中心”高效规范运行，让群众和成员单位切实共享改革红利。</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3.强化人才与科技战略支撑。制定实施重点领域紧缺人才引进计划。深化与华西医院等优质资源的帮扶合作，建立“派出去、请进来、留下来”的长效机制。推动至少2项中羌医院内制剂完成备案并投入临床使用。</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4.加快推进县域内信息化建设。启动县域全民健康信息平台建设，初步实现县级公立医疗机构数据互联互通。推动县人民医院、县中医医院电子病历应用水平分级评价达到4级。</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5.深化“一老一小”健康服务供给。持续增加普惠托育服务供给，推动婴幼儿照护服务高质量发展。深化医养结合，支持医疗机构拓展养老、康复服务，推动服务向社区、家庭延伸。</w:t>
      </w:r>
    </w:p>
    <w:p>
      <w:pPr>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6.持续深化卫健领域治理效能。巩固拓展专项整治成果，推动专项工作常态化、长效化。完善覆盖药品、耗材、设备、服务全流程的廉洁风险防控制度，深化“清廉卫健”建设。筑牢安全生产防线，严格落实责任清单，聚焦消防、生物、医疗质量安全等重点领域，加强隐患排查与应急演练。狠抓行风建设，加强医保基金监管。提升公共卫生服务效能，持续推进健康茂县行动，巩固重大疾病防控成果，提升妇幼健康服务水平，做实基本公卫服务，扩大“石榴籽”健康保障行动覆盖面。</w:t>
      </w:r>
    </w:p>
    <w:p>
      <w:pPr>
        <w:pStyle w:val="6"/>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textAlignment w:val="auto"/>
        <w:rPr>
          <w:rFonts w:hint="eastAsia" w:ascii="黑体" w:eastAsia="黑体"/>
          <w:b w:val="0"/>
          <w:bCs w:val="0"/>
          <w:sz w:val="32"/>
          <w:szCs w:val="32"/>
        </w:rPr>
      </w:pPr>
      <w:r>
        <w:rPr>
          <w:rFonts w:hint="eastAsia" w:ascii="黑体" w:eastAsia="黑体"/>
          <w:b w:val="0"/>
          <w:bCs w:val="0"/>
          <w:sz w:val="32"/>
          <w:szCs w:val="32"/>
          <w:lang w:val="en-US" w:eastAsia="zh-CN"/>
        </w:rPr>
        <w:t>二、</w:t>
      </w:r>
      <w:r>
        <w:rPr>
          <w:rFonts w:hint="eastAsia" w:ascii="黑体" w:eastAsia="黑体"/>
          <w:b w:val="0"/>
          <w:bCs w:val="0"/>
          <w:sz w:val="32"/>
          <w:szCs w:val="32"/>
        </w:rPr>
        <w:t>部门预算单位构成</w:t>
      </w:r>
    </w:p>
    <w:p>
      <w:pPr>
        <w:pStyle w:val="6"/>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茂县卫生健康局属一级预算单位，下属二级预算单位16个，其中：</w:t>
      </w:r>
      <w:r>
        <w:rPr>
          <w:rFonts w:hint="eastAsia" w:ascii="仿宋_GB2312" w:eastAsia="仿宋_GB2312"/>
          <w:sz w:val="32"/>
          <w:szCs w:val="32"/>
        </w:rPr>
        <w:t>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b w:val="0"/>
          <w:bCs w:val="0"/>
          <w:sz w:val="32"/>
          <w:szCs w:val="32"/>
          <w:lang w:val="en-US" w:eastAsia="zh-CN"/>
        </w:rPr>
        <w:t>其他事业单位16个。其他事业单位分别是：茂县医学会、茂县卫生进修校、茂县卫生事务综合服务中心、茂县人民医院、茂县中医院、茂县赤不苏镇卫生院、茂县沙坝镇卫生院、茂县黑虎镇卫生院、茂县洼底镇卫生院、茂县叠溪镇卫生院、茂县南新镇卫生院、茂县渭门镇卫生院、茂县沟口镇卫生院、茂县富顺镇卫生院、茂县土门镇卫生院、茂县凤仪镇社区服务中心、茂县医药卫生体制改革办公室。</w:t>
      </w:r>
      <w:bookmarkStart w:id="0" w:name="_GoBack"/>
      <w:bookmarkEnd w:id="0"/>
    </w:p>
    <w:p>
      <w:pPr>
        <w:pStyle w:val="6"/>
        <w:keepNext w:val="0"/>
        <w:keepLines w:val="0"/>
        <w:pageBreakBefore w:val="0"/>
        <w:widowControl w:val="0"/>
        <w:numPr>
          <w:ilvl w:val="0"/>
          <w:numId w:val="1"/>
        </w:numPr>
        <w:pBdr>
          <w:bottom w:val="single" w:color="FFFFFF" w:sz="4" w:space="29"/>
        </w:pBdr>
        <w:tabs>
          <w:tab w:val="left" w:pos="1440"/>
        </w:tabs>
        <w:kinsoku/>
        <w:wordWrap/>
        <w:overflowPunct/>
        <w:topLinePunct w:val="0"/>
        <w:autoSpaceDE/>
        <w:autoSpaceDN/>
        <w:bidi w:val="0"/>
        <w:adjustRightInd/>
        <w:snapToGrid/>
        <w:spacing w:line="560" w:lineRule="exact"/>
        <w:ind w:left="0" w:leftChars="0"/>
        <w:textAlignment w:val="auto"/>
        <w:rPr>
          <w:rFonts w:hint="eastAsia" w:ascii="黑体" w:eastAsia="黑体"/>
          <w:b w:val="0"/>
          <w:bCs w:val="0"/>
          <w:sz w:val="32"/>
          <w:szCs w:val="32"/>
          <w:lang w:val="en-US" w:eastAsia="zh-CN"/>
        </w:rPr>
      </w:pPr>
      <w:r>
        <w:rPr>
          <w:rFonts w:hint="eastAsia" w:ascii="黑体" w:eastAsia="黑体"/>
          <w:b w:val="0"/>
          <w:bCs w:val="0"/>
          <w:sz w:val="32"/>
          <w:szCs w:val="32"/>
          <w:lang w:val="en-US" w:eastAsia="zh-CN"/>
        </w:rPr>
        <w:t>收支预算情况说明</w:t>
      </w:r>
    </w:p>
    <w:p>
      <w:pPr>
        <w:pStyle w:val="6"/>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按照综合预算的原则，茂县卫生健康局所有收入和支出均纳入部门预算管理。收入包括：一般公共预算拨款收入101805221.62元，事业收入97126405.72元，上年结转政府性基金预算拨款收入9966.51元；支出包括：社会保障和就业支出15078354.05元，卫生健康支出174066829.29元，住房保障支出9786444.00元，其他支出9966.51元。茂县卫生健康局2026年收支总预算198941593.85元,较2025年收支预算总数增加9923836.24元，主要原因是: 人员增加。</w:t>
      </w:r>
    </w:p>
    <w:p>
      <w:pPr>
        <w:keepNext w:val="0"/>
        <w:keepLines w:val="0"/>
        <w:pageBreakBefore w:val="0"/>
        <w:widowControl w:val="0"/>
        <w:numPr>
          <w:ilvl w:val="0"/>
          <w:numId w:val="2"/>
        </w:numPr>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default" w:ascii="仿宋_GB2312" w:eastAsia="仿宋_GB2312"/>
          <w:b/>
          <w:bCs w:val="0"/>
          <w:sz w:val="32"/>
          <w:szCs w:val="32"/>
          <w:lang w:val="en-US" w:eastAsia="zh-CN"/>
        </w:rPr>
      </w:pPr>
      <w:r>
        <w:rPr>
          <w:rFonts w:hint="eastAsia" w:ascii="楷体_GB2312" w:eastAsia="楷体_GB2312"/>
          <w:b/>
          <w:bCs w:val="0"/>
          <w:color w:val="auto"/>
          <w:sz w:val="32"/>
          <w:szCs w:val="32"/>
        </w:rPr>
        <w:t>收入预算情况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2026年收入预算198941593.85元；一般公共预算拨款收入101805221.62元，占51.17%；事业收入97126405.72元，占48.82%；上年结转政府性基金预算拨款收入9966.51元，占0.01%。</w:t>
      </w:r>
    </w:p>
    <w:p>
      <w:pPr>
        <w:keepNext w:val="0"/>
        <w:keepLines w:val="0"/>
        <w:pageBreakBefore w:val="0"/>
        <w:widowControl w:val="0"/>
        <w:numPr>
          <w:ilvl w:val="0"/>
          <w:numId w:val="2"/>
        </w:numPr>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楷体_GB2312" w:eastAsia="楷体_GB2312" w:cs="楷体_GB2312"/>
          <w:b/>
          <w:bCs w:val="0"/>
          <w:color w:val="auto"/>
          <w:sz w:val="32"/>
          <w:szCs w:val="32"/>
        </w:rPr>
      </w:pPr>
      <w:r>
        <w:rPr>
          <w:rFonts w:hint="eastAsia" w:ascii="楷体_GB2312" w:eastAsia="楷体_GB2312" w:cs="仿宋_GB2312"/>
          <w:b/>
          <w:bCs w:val="0"/>
          <w:color w:val="auto"/>
          <w:sz w:val="32"/>
          <w:szCs w:val="32"/>
        </w:rPr>
        <w:t>支出预算情况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b w:val="0"/>
          <w:bCs w:val="0"/>
          <w:sz w:val="32"/>
          <w:szCs w:val="32"/>
          <w:lang w:val="en-US" w:eastAsia="zh-CN"/>
        </w:rPr>
        <w:t>2026年支出预算198941593.85元，其中：基本支出99805126.62元，占50.17%，项目支出99136467.23元，占</w:t>
      </w:r>
      <w:r>
        <w:rPr>
          <w:rFonts w:hint="eastAsia" w:ascii="仿宋_GB2312" w:eastAsia="仿宋_GB2312"/>
          <w:color w:val="auto"/>
          <w:sz w:val="32"/>
          <w:szCs w:val="32"/>
          <w:lang w:val="en-US" w:eastAsia="zh-CN"/>
        </w:rPr>
        <w:t>49.83</w:t>
      </w:r>
      <w:r>
        <w:rPr>
          <w:rFonts w:ascii="仿宋_GB2312" w:eastAsia="仿宋_GB2312"/>
          <w:color w:val="auto"/>
          <w:sz w:val="32"/>
          <w:szCs w:val="32"/>
          <w:lang w:val="en-US" w:eastAsia="zh-CN"/>
        </w:rPr>
        <w:t>%。</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s="黑体"/>
          <w:sz w:val="32"/>
          <w:szCs w:val="32"/>
          <w:lang w:eastAsia="zh-CN"/>
        </w:rPr>
      </w:pPr>
      <w:r>
        <w:rPr>
          <w:rFonts w:hint="eastAsia" w:ascii="黑体" w:eastAsia="黑体" w:cs="黑体"/>
          <w:sz w:val="32"/>
          <w:szCs w:val="32"/>
          <w:lang w:val="en-US" w:eastAsia="zh-CN"/>
        </w:rPr>
        <w:t>四、财政拨款收支预算情况说明</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cs="Times New Roman"/>
          <w:color w:val="auto"/>
          <w:sz w:val="32"/>
          <w:szCs w:val="32"/>
          <w:lang w:val="en-US" w:eastAsia="zh-CN"/>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ascii="仿宋_GB2312" w:eastAsia="仿宋_GB2312"/>
          <w:color w:val="auto"/>
          <w:sz w:val="32"/>
          <w:szCs w:val="32"/>
        </w:rPr>
        <w:t>年财政拨款收支总预算</w:t>
      </w:r>
      <w:r>
        <w:rPr>
          <w:rFonts w:hint="eastAsia" w:ascii="仿宋_GB2312" w:eastAsia="仿宋_GB2312"/>
          <w:color w:val="auto"/>
          <w:sz w:val="32"/>
          <w:szCs w:val="32"/>
          <w:lang w:val="en-US" w:eastAsia="zh-CN"/>
        </w:rPr>
        <w:t>101815188.13</w:t>
      </w:r>
      <w:r>
        <w:rPr>
          <w:rFonts w:ascii="仿宋_GB2312" w:eastAsia="仿宋_GB2312"/>
          <w:color w:val="auto"/>
          <w:sz w:val="32"/>
          <w:szCs w:val="32"/>
        </w:rPr>
        <w:t>元,</w:t>
      </w:r>
      <w:r>
        <w:rPr>
          <w:rFonts w:hint="eastAsia" w:ascii="仿宋_GB2312" w:eastAsia="仿宋_GB2312"/>
          <w:color w:val="auto"/>
          <w:sz w:val="32"/>
          <w:szCs w:val="32"/>
          <w:lang w:eastAsia="zh-CN"/>
        </w:rPr>
        <w:t>较202</w:t>
      </w:r>
      <w:r>
        <w:rPr>
          <w:rFonts w:hint="eastAsia" w:ascii="仿宋_GB2312" w:eastAsia="仿宋_GB2312"/>
          <w:color w:val="auto"/>
          <w:sz w:val="32"/>
          <w:szCs w:val="32"/>
          <w:lang w:val="en-US" w:eastAsia="zh-CN"/>
        </w:rPr>
        <w:t>5</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6450735.98</w:t>
      </w:r>
      <w:r>
        <w:rPr>
          <w:rFonts w:ascii="仿宋_GB2312" w:eastAsia="仿宋_GB2312"/>
          <w:color w:val="auto"/>
          <w:sz w:val="32"/>
          <w:szCs w:val="32"/>
        </w:rPr>
        <w:t>元，主要原因</w:t>
      </w:r>
      <w:r>
        <w:rPr>
          <w:rFonts w:hint="eastAsia" w:ascii="仿宋_GB2312" w:eastAsia="仿宋_GB2312"/>
          <w:color w:val="auto"/>
          <w:sz w:val="32"/>
          <w:szCs w:val="32"/>
          <w:lang w:eastAsia="zh-CN"/>
        </w:rPr>
        <w:t>是</w:t>
      </w:r>
      <w:r>
        <w:rPr>
          <w:rFonts w:ascii="仿宋_GB2312" w:eastAsia="仿宋_GB2312"/>
          <w:color w:val="auto"/>
          <w:sz w:val="32"/>
          <w:szCs w:val="32"/>
        </w:rPr>
        <w:t>:</w:t>
      </w:r>
      <w:r>
        <w:rPr>
          <w:rFonts w:hint="eastAsia" w:ascii="仿宋_GB2312" w:eastAsia="仿宋_GB2312"/>
          <w:color w:val="auto"/>
          <w:sz w:val="32"/>
          <w:szCs w:val="32"/>
          <w:lang w:val="en-US" w:eastAsia="zh-CN"/>
        </w:rPr>
        <w:t>人员增加。</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lang w:val="en-US" w:eastAsia="zh-CN"/>
        </w:rPr>
      </w:pPr>
      <w:r>
        <w:rPr>
          <w:rFonts w:ascii="仿宋_GB2312" w:eastAsia="仿宋_GB2312"/>
          <w:color w:val="auto"/>
          <w:sz w:val="32"/>
          <w:szCs w:val="32"/>
        </w:rPr>
        <w:t>收入包括：本年一般公共预算拨款收入</w:t>
      </w:r>
      <w:r>
        <w:rPr>
          <w:rFonts w:hint="eastAsia" w:ascii="仿宋_GB2312" w:eastAsia="仿宋_GB2312"/>
          <w:color w:val="auto"/>
          <w:sz w:val="32"/>
          <w:szCs w:val="32"/>
          <w:lang w:val="en-US" w:eastAsia="zh-CN"/>
        </w:rPr>
        <w:t>101805221.62元，上年结转政府性基金预算拨款收入9966.51元。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textAlignment w:val="auto"/>
        <w:rPr>
          <w:rFonts w:hint="eastAsia" w:ascii="仿宋_GB2312" w:eastAsia="仿宋_GB2312"/>
          <w:color w:val="auto"/>
          <w:sz w:val="32"/>
          <w:szCs w:val="32"/>
          <w:lang w:eastAsia="zh-CN"/>
        </w:rPr>
      </w:pPr>
      <w:r>
        <w:rPr>
          <w:rFonts w:ascii="仿宋_GB2312" w:eastAsia="仿宋_GB2312"/>
          <w:color w:val="auto"/>
          <w:sz w:val="32"/>
          <w:szCs w:val="32"/>
        </w:rPr>
        <w:t>支出包括：社会保障和就业支出</w:t>
      </w:r>
      <w:r>
        <w:rPr>
          <w:rFonts w:hint="eastAsia" w:ascii="仿宋_GB2312" w:eastAsia="仿宋_GB2312"/>
          <w:color w:val="auto"/>
          <w:sz w:val="32"/>
          <w:szCs w:val="32"/>
          <w:lang w:val="en-US" w:eastAsia="zh-CN"/>
        </w:rPr>
        <w:t>15078354.05</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76940423.57</w:t>
      </w:r>
      <w:r>
        <w:rPr>
          <w:rFonts w:ascii="仿宋_GB2312" w:eastAsia="仿宋_GB2312"/>
          <w:color w:val="auto"/>
          <w:sz w:val="32"/>
          <w:szCs w:val="32"/>
        </w:rPr>
        <w:t>元，住房保障支出</w:t>
      </w:r>
      <w:r>
        <w:rPr>
          <w:rFonts w:hint="eastAsia" w:ascii="仿宋_GB2312" w:eastAsia="仿宋_GB2312"/>
          <w:color w:val="auto"/>
          <w:sz w:val="32"/>
          <w:szCs w:val="32"/>
          <w:lang w:val="en-US" w:eastAsia="zh-CN"/>
        </w:rPr>
        <w:t>9786444.00</w:t>
      </w:r>
      <w:r>
        <w:rPr>
          <w:rFonts w:ascii="仿宋_GB2312" w:eastAsia="仿宋_GB2312"/>
          <w:color w:val="auto"/>
          <w:sz w:val="32"/>
          <w:szCs w:val="32"/>
        </w:rPr>
        <w:t>元</w:t>
      </w:r>
      <w:r>
        <w:rPr>
          <w:rFonts w:hint="eastAsia" w:ascii="仿宋_GB2312" w:eastAsia="仿宋_GB2312"/>
          <w:color w:val="auto"/>
          <w:sz w:val="32"/>
          <w:szCs w:val="32"/>
          <w:lang w:eastAsia="zh-CN"/>
        </w:rPr>
        <w:t>，其他支出9966.51元。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eastAsia="楷体_GB2312" w:cs="仿宋_GB2312"/>
          <w:b/>
          <w:color w:val="auto"/>
          <w:kern w:val="2"/>
          <w:sz w:val="32"/>
          <w:szCs w:val="32"/>
        </w:rPr>
      </w:pPr>
      <w:r>
        <w:rPr>
          <w:rFonts w:hint="eastAsia" w:ascii="黑体" w:eastAsia="黑体"/>
          <w:color w:val="auto"/>
          <w:sz w:val="32"/>
          <w:szCs w:val="32"/>
          <w:lang w:eastAsia="zh-CN"/>
        </w:rPr>
        <w:t>五、</w:t>
      </w:r>
      <w:r>
        <w:rPr>
          <w:rFonts w:hint="eastAsia" w:ascii="黑体" w:eastAsia="黑体"/>
          <w:color w:val="auto"/>
          <w:sz w:val="32"/>
          <w:szCs w:val="32"/>
        </w:rPr>
        <w:t>一般公共预算当年拨款情况说明</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楷体_GB2312" w:eastAsia="楷体_GB2312" w:cs="仿宋_GB2312"/>
          <w:b/>
          <w:bCs w:val="0"/>
          <w:color w:val="auto"/>
          <w:kern w:val="2"/>
          <w:sz w:val="32"/>
          <w:szCs w:val="32"/>
        </w:rPr>
      </w:pPr>
      <w:r>
        <w:rPr>
          <w:rFonts w:hint="eastAsia" w:ascii="楷体_GB2312" w:eastAsia="楷体_GB2312" w:cs="仿宋_GB2312"/>
          <w:b/>
          <w:bCs w:val="0"/>
          <w:color w:val="auto"/>
          <w:kern w:val="2"/>
          <w:sz w:val="32"/>
          <w:szCs w:val="32"/>
        </w:rPr>
        <w:t>（一）一般公共预算当年拨款规模变化情况</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 w:eastAsia="仿宋" w:cs="仿宋"/>
          <w:color w:val="auto"/>
          <w:sz w:val="32"/>
          <w:szCs w:val="32"/>
          <w:lang w:val="en-US" w:eastAsia="zh-CN"/>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ascii="仿宋_GB2312" w:eastAsia="仿宋_GB2312"/>
          <w:color w:val="auto"/>
          <w:sz w:val="32"/>
          <w:szCs w:val="32"/>
        </w:rPr>
        <w:t>年一般公共预算当年拨款</w:t>
      </w:r>
      <w:r>
        <w:rPr>
          <w:rFonts w:hint="eastAsia" w:ascii="仿宋_GB2312" w:eastAsia="仿宋_GB2312"/>
          <w:color w:val="auto"/>
          <w:sz w:val="32"/>
          <w:szCs w:val="32"/>
          <w:lang w:val="en-US" w:eastAsia="zh-CN"/>
        </w:rPr>
        <w:t>101805221.62</w:t>
      </w:r>
      <w:r>
        <w:rPr>
          <w:rFonts w:ascii="仿宋_GB2312" w:eastAsia="仿宋_GB2312"/>
          <w:color w:val="auto"/>
          <w:sz w:val="32"/>
          <w:szCs w:val="32"/>
        </w:rPr>
        <w:t>元,</w:t>
      </w:r>
      <w:r>
        <w:rPr>
          <w:rFonts w:hint="eastAsia" w:ascii="仿宋_GB2312" w:eastAsia="仿宋_GB2312"/>
          <w:color w:val="auto"/>
          <w:sz w:val="32"/>
          <w:szCs w:val="32"/>
          <w:lang w:eastAsia="zh-CN"/>
        </w:rPr>
        <w:t>较202</w:t>
      </w:r>
      <w:r>
        <w:rPr>
          <w:rFonts w:hint="eastAsia" w:ascii="仿宋_GB2312" w:eastAsia="仿宋_GB2312"/>
          <w:color w:val="auto"/>
          <w:sz w:val="32"/>
          <w:szCs w:val="32"/>
          <w:lang w:val="en-US" w:eastAsia="zh-CN"/>
        </w:rPr>
        <w:t>5</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6440769.47</w:t>
      </w:r>
      <w:r>
        <w:rPr>
          <w:rFonts w:ascii="仿宋_GB2312" w:eastAsia="仿宋_GB2312"/>
          <w:color w:val="auto"/>
          <w:sz w:val="32"/>
          <w:szCs w:val="32"/>
        </w:rPr>
        <w:t>元，主要原因</w:t>
      </w:r>
      <w:r>
        <w:rPr>
          <w:rFonts w:hint="eastAsia" w:ascii="仿宋_GB2312" w:eastAsia="仿宋_GB2312"/>
          <w:color w:val="auto"/>
          <w:sz w:val="32"/>
          <w:szCs w:val="32"/>
          <w:lang w:eastAsia="zh-CN"/>
        </w:rPr>
        <w:t>是：</w:t>
      </w:r>
      <w:r>
        <w:rPr>
          <w:rFonts w:hint="eastAsia" w:ascii="仿宋_GB2312" w:eastAsia="仿宋_GB2312"/>
          <w:color w:val="auto"/>
          <w:sz w:val="32"/>
          <w:szCs w:val="32"/>
          <w:lang w:val="en-US" w:eastAsia="zh-CN"/>
        </w:rPr>
        <w:t>人员增加。</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楷体_GB2312" w:eastAsia="楷体_GB2312" w:cs="宋体"/>
          <w:b/>
          <w:color w:val="auto"/>
          <w:sz w:val="32"/>
          <w:szCs w:val="32"/>
        </w:rPr>
      </w:pPr>
      <w:r>
        <w:rPr>
          <w:rFonts w:hint="eastAsia" w:ascii="楷体_GB2312" w:eastAsia="楷体_GB2312" w:cs="宋体"/>
          <w:b/>
          <w:color w:val="auto"/>
          <w:sz w:val="32"/>
          <w:szCs w:val="32"/>
          <w:lang w:eastAsia="zh-CN"/>
        </w:rPr>
        <w:t>（二）</w:t>
      </w:r>
      <w:r>
        <w:rPr>
          <w:rFonts w:hint="eastAsia" w:ascii="楷体_GB2312" w:eastAsia="楷体_GB2312" w:cs="宋体"/>
          <w:b/>
          <w:color w:val="auto"/>
          <w:sz w:val="32"/>
          <w:szCs w:val="32"/>
        </w:rPr>
        <w:t>一般公共预算当年拨款结构情况</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社会保障和就业支出</w:t>
      </w:r>
      <w:r>
        <w:rPr>
          <w:rFonts w:hint="eastAsia" w:ascii="仿宋_GB2312" w:eastAsia="仿宋_GB2312"/>
          <w:color w:val="auto"/>
          <w:sz w:val="32"/>
          <w:szCs w:val="32"/>
          <w:lang w:val="en-US" w:eastAsia="zh-CN"/>
        </w:rPr>
        <w:t>15078354.05</w:t>
      </w:r>
      <w:r>
        <w:rPr>
          <w:rFonts w:hint="eastAsia" w:ascii="仿宋_GB2312" w:eastAsia="仿宋_GB2312"/>
          <w:color w:val="auto"/>
          <w:sz w:val="32"/>
          <w:szCs w:val="32"/>
          <w:lang w:eastAsia="zh-CN"/>
        </w:rPr>
        <w:t>元，占</w:t>
      </w:r>
      <w:r>
        <w:rPr>
          <w:rFonts w:hint="eastAsia" w:ascii="仿宋_GB2312" w:eastAsia="仿宋_GB2312"/>
          <w:color w:val="auto"/>
          <w:sz w:val="32"/>
          <w:szCs w:val="32"/>
          <w:lang w:val="en-US" w:eastAsia="zh-CN"/>
        </w:rPr>
        <w:t>14.81</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76940423.57元，</w:t>
      </w:r>
      <w:r>
        <w:rPr>
          <w:rFonts w:hint="eastAsia" w:ascii="仿宋_GB2312" w:eastAsia="仿宋_GB2312"/>
          <w:color w:val="auto"/>
          <w:sz w:val="32"/>
          <w:szCs w:val="32"/>
          <w:lang w:eastAsia="zh-CN"/>
        </w:rPr>
        <w:t>占</w:t>
      </w:r>
      <w:r>
        <w:rPr>
          <w:rFonts w:hint="eastAsia" w:ascii="仿宋_GB2312" w:eastAsia="仿宋_GB2312"/>
          <w:color w:val="auto"/>
          <w:sz w:val="32"/>
          <w:szCs w:val="32"/>
          <w:lang w:val="en-US" w:eastAsia="zh-CN"/>
        </w:rPr>
        <w:t>75.58</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住房保障支出9786444.00</w:t>
      </w:r>
      <w:r>
        <w:rPr>
          <w:rFonts w:hint="eastAsia" w:ascii="仿宋_GB2312" w:eastAsia="仿宋_GB2312"/>
          <w:color w:val="auto"/>
          <w:sz w:val="32"/>
          <w:szCs w:val="32"/>
          <w:lang w:eastAsia="zh-CN"/>
        </w:rPr>
        <w:t>元，占</w:t>
      </w:r>
      <w:r>
        <w:rPr>
          <w:rFonts w:hint="eastAsia" w:ascii="仿宋_GB2312" w:eastAsia="仿宋_GB2312"/>
          <w:color w:val="auto"/>
          <w:sz w:val="32"/>
          <w:szCs w:val="32"/>
          <w:lang w:val="en-US" w:eastAsia="zh-CN"/>
        </w:rPr>
        <w:t>9.61</w:t>
      </w:r>
      <w:r>
        <w:rPr>
          <w:rFonts w:hint="eastAsia" w:ascii="仿宋_GB2312" w:eastAsia="仿宋_GB2312"/>
          <w:color w:val="auto"/>
          <w:sz w:val="32"/>
          <w:szCs w:val="32"/>
          <w:lang w:eastAsia="zh-CN"/>
        </w:rPr>
        <w:t>%。</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社会保障和就业支出：社会保障和就业支出（</w:t>
      </w:r>
      <w:r>
        <w:rPr>
          <w:rFonts w:hint="eastAsia" w:ascii="仿宋_GB2312" w:eastAsia="仿宋_GB2312"/>
          <w:color w:val="auto"/>
          <w:sz w:val="32"/>
          <w:szCs w:val="32"/>
          <w:lang w:val="en-US" w:eastAsia="zh-CN"/>
        </w:rPr>
        <w:t>208）</w:t>
      </w:r>
      <w:r>
        <w:rPr>
          <w:rFonts w:hint="eastAsia" w:ascii="仿宋_GB2312" w:eastAsia="仿宋_GB2312"/>
          <w:color w:val="auto"/>
          <w:sz w:val="32"/>
          <w:szCs w:val="32"/>
          <w:lang w:eastAsia="zh-CN"/>
        </w:rPr>
        <w:t>行政事业单位养老支出（</w:t>
      </w:r>
      <w:r>
        <w:rPr>
          <w:rFonts w:hint="eastAsia" w:ascii="仿宋_GB2312" w:eastAsia="仿宋_GB2312"/>
          <w:color w:val="auto"/>
          <w:sz w:val="32"/>
          <w:szCs w:val="32"/>
          <w:lang w:val="en-US" w:eastAsia="zh-CN"/>
        </w:rPr>
        <w:t>05）</w:t>
      </w:r>
      <w:r>
        <w:rPr>
          <w:rFonts w:hint="eastAsia" w:ascii="仿宋_GB2312" w:eastAsia="仿宋_GB2312"/>
          <w:color w:val="auto"/>
          <w:sz w:val="32"/>
          <w:szCs w:val="32"/>
          <w:lang w:eastAsia="zh-CN"/>
        </w:rPr>
        <w:t>机关事业单位基本养老保险缴费支出（05）202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10056317.78</w:t>
      </w:r>
      <w:r>
        <w:rPr>
          <w:rFonts w:hint="eastAsia" w:ascii="仿宋_GB2312" w:eastAsia="仿宋_GB2312"/>
          <w:color w:val="auto"/>
          <w:sz w:val="32"/>
          <w:szCs w:val="32"/>
          <w:lang w:eastAsia="zh-CN"/>
        </w:rPr>
        <w:t>元，主要用于：单位缴纳基本养老保险费。</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lang w:eastAsia="zh-CN"/>
        </w:rPr>
        <w:t>社会保障和就业支出：社会保障和就业支出（</w:t>
      </w:r>
      <w:r>
        <w:rPr>
          <w:rFonts w:hint="eastAsia" w:ascii="仿宋_GB2312" w:eastAsia="仿宋_GB2312"/>
          <w:color w:val="auto"/>
          <w:sz w:val="32"/>
          <w:szCs w:val="32"/>
          <w:lang w:val="en-US" w:eastAsia="zh-CN"/>
        </w:rPr>
        <w:t>208）</w:t>
      </w:r>
      <w:r>
        <w:rPr>
          <w:rFonts w:hint="eastAsia" w:ascii="仿宋_GB2312" w:eastAsia="仿宋_GB2312"/>
          <w:color w:val="auto"/>
          <w:sz w:val="32"/>
          <w:szCs w:val="32"/>
          <w:lang w:eastAsia="zh-CN"/>
        </w:rPr>
        <w:t>行政事业单位养老支出（</w:t>
      </w:r>
      <w:r>
        <w:rPr>
          <w:rFonts w:hint="eastAsia" w:ascii="仿宋_GB2312" w:eastAsia="仿宋_GB2312"/>
          <w:color w:val="auto"/>
          <w:sz w:val="32"/>
          <w:szCs w:val="32"/>
          <w:lang w:val="en-US" w:eastAsia="zh-CN"/>
        </w:rPr>
        <w:t>05）</w:t>
      </w:r>
      <w:r>
        <w:rPr>
          <w:rFonts w:hint="eastAsia" w:ascii="仿宋_GB2312" w:eastAsia="仿宋_GB2312"/>
          <w:color w:val="auto"/>
          <w:sz w:val="32"/>
          <w:szCs w:val="32"/>
          <w:lang w:eastAsia="zh-CN"/>
        </w:rPr>
        <w:t>机关事业单位职业年金缴费支出（</w:t>
      </w:r>
      <w:r>
        <w:rPr>
          <w:rFonts w:hint="eastAsia" w:ascii="仿宋_GB2312" w:eastAsia="仿宋_GB2312"/>
          <w:color w:val="auto"/>
          <w:sz w:val="32"/>
          <w:szCs w:val="32"/>
          <w:lang w:val="en-US" w:eastAsia="zh-CN"/>
        </w:rPr>
        <w:t>06）</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5022036.27</w:t>
      </w:r>
      <w:r>
        <w:rPr>
          <w:rFonts w:hint="eastAsia" w:ascii="仿宋_GB2312" w:eastAsia="仿宋_GB2312"/>
          <w:color w:val="auto"/>
          <w:sz w:val="32"/>
          <w:szCs w:val="32"/>
          <w:lang w:eastAsia="zh-CN"/>
        </w:rPr>
        <w:t>元，主要用于：单位缴纳职业年金。</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卫生健康支出：卫生健康支出（</w:t>
      </w:r>
      <w:r>
        <w:rPr>
          <w:rFonts w:hint="eastAsia" w:ascii="仿宋_GB2312" w:eastAsia="仿宋_GB2312"/>
          <w:color w:val="auto"/>
          <w:sz w:val="32"/>
          <w:szCs w:val="32"/>
          <w:lang w:val="en-US" w:eastAsia="zh-CN"/>
        </w:rPr>
        <w:t>210）</w:t>
      </w:r>
      <w:r>
        <w:rPr>
          <w:rFonts w:hint="eastAsia" w:ascii="仿宋_GB2312" w:eastAsia="仿宋_GB2312"/>
          <w:color w:val="auto"/>
          <w:sz w:val="32"/>
          <w:szCs w:val="32"/>
          <w:lang w:eastAsia="zh-CN"/>
        </w:rPr>
        <w:t>行政事业单位医疗（</w:t>
      </w:r>
      <w:r>
        <w:rPr>
          <w:rFonts w:hint="eastAsia" w:ascii="仿宋_GB2312" w:eastAsia="仿宋_GB2312"/>
          <w:color w:val="auto"/>
          <w:sz w:val="32"/>
          <w:szCs w:val="32"/>
          <w:lang w:val="en-US" w:eastAsia="zh-CN"/>
        </w:rPr>
        <w:t>11）</w:t>
      </w: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01</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185614.23</w:t>
      </w:r>
      <w:r>
        <w:rPr>
          <w:rFonts w:hint="eastAsia" w:ascii="仿宋_GB2312" w:eastAsia="仿宋_GB2312"/>
          <w:color w:val="auto"/>
          <w:sz w:val="32"/>
          <w:szCs w:val="32"/>
          <w:lang w:eastAsia="zh-CN"/>
        </w:rPr>
        <w:t>元，主要用于：行政单位缴纳基本医疗保险。</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lang w:eastAsia="zh-CN"/>
        </w:rPr>
        <w:t>卫生健康支出：卫生健康支出（</w:t>
      </w:r>
      <w:r>
        <w:rPr>
          <w:rFonts w:hint="eastAsia" w:ascii="仿宋_GB2312" w:eastAsia="仿宋_GB2312"/>
          <w:color w:val="auto"/>
          <w:sz w:val="32"/>
          <w:szCs w:val="32"/>
          <w:lang w:val="en-US" w:eastAsia="zh-CN"/>
        </w:rPr>
        <w:t>210）</w:t>
      </w:r>
      <w:r>
        <w:rPr>
          <w:rFonts w:hint="eastAsia" w:ascii="仿宋_GB2312" w:eastAsia="仿宋_GB2312"/>
          <w:color w:val="auto"/>
          <w:sz w:val="32"/>
          <w:szCs w:val="32"/>
          <w:lang w:eastAsia="zh-CN"/>
        </w:rPr>
        <w:t>行政事业单位医疗（</w:t>
      </w:r>
      <w:r>
        <w:rPr>
          <w:rFonts w:hint="eastAsia" w:ascii="仿宋_GB2312" w:eastAsia="仿宋_GB2312"/>
          <w:color w:val="auto"/>
          <w:sz w:val="32"/>
          <w:szCs w:val="32"/>
          <w:lang w:val="en-US" w:eastAsia="zh-CN"/>
        </w:rPr>
        <w:t>11）</w:t>
      </w:r>
      <w:r>
        <w:rPr>
          <w:rFonts w:hint="eastAsia" w:ascii="仿宋_GB2312" w:eastAsia="仿宋_GB2312"/>
          <w:color w:val="auto"/>
          <w:sz w:val="32"/>
          <w:szCs w:val="32"/>
          <w:lang w:eastAsia="zh-CN"/>
        </w:rPr>
        <w:t>事业单位医疗（02）202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6434578.86</w:t>
      </w:r>
      <w:r>
        <w:rPr>
          <w:rFonts w:hint="eastAsia" w:ascii="仿宋_GB2312" w:eastAsia="仿宋_GB2312"/>
          <w:color w:val="auto"/>
          <w:sz w:val="32"/>
          <w:szCs w:val="32"/>
          <w:lang w:eastAsia="zh-CN"/>
        </w:rPr>
        <w:t>元，主要用于：事业单位缴纳基本医疗保险。</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卫生健康支出：卫生健康支出（</w:t>
      </w:r>
      <w:r>
        <w:rPr>
          <w:rFonts w:hint="eastAsia" w:ascii="仿宋_GB2312" w:eastAsia="仿宋_GB2312"/>
          <w:color w:val="auto"/>
          <w:sz w:val="32"/>
          <w:szCs w:val="32"/>
          <w:lang w:val="en-US" w:eastAsia="zh-CN"/>
        </w:rPr>
        <w:t>210）卫生健康管理事务（01）</w:t>
      </w:r>
      <w:r>
        <w:rPr>
          <w:rFonts w:hint="eastAsia" w:ascii="仿宋_GB2312" w:eastAsia="仿宋_GB2312"/>
          <w:color w:val="auto"/>
          <w:sz w:val="32"/>
          <w:szCs w:val="32"/>
          <w:lang w:eastAsia="zh-CN"/>
        </w:rPr>
        <w:t>行政运行（01）202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1958228.99</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210）卫生健康管理事务（01）</w:t>
      </w:r>
      <w:r>
        <w:rPr>
          <w:rFonts w:hint="eastAsia" w:ascii="仿宋_GB2312" w:eastAsia="仿宋_GB2312"/>
          <w:color w:val="auto"/>
          <w:sz w:val="32"/>
          <w:szCs w:val="32"/>
          <w:lang w:eastAsia="zh-CN"/>
        </w:rPr>
        <w:t>其他卫生健康管理事务支出（99）202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1109018.77</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7、</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210）公立医院（02）</w:t>
      </w:r>
      <w:r>
        <w:rPr>
          <w:rFonts w:hint="eastAsia" w:ascii="仿宋_GB2312" w:eastAsia="仿宋_GB2312"/>
          <w:color w:val="auto"/>
          <w:sz w:val="32"/>
          <w:szCs w:val="32"/>
          <w:lang w:eastAsia="zh-CN"/>
        </w:rPr>
        <w:t>综合医院（01）202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28689054.99</w:t>
      </w:r>
      <w:r>
        <w:rPr>
          <w:rFonts w:hint="eastAsia" w:ascii="仿宋_GB2312" w:eastAsia="仿宋_GB2312"/>
          <w:color w:val="auto"/>
          <w:sz w:val="32"/>
          <w:szCs w:val="32"/>
          <w:lang w:eastAsia="zh-CN"/>
        </w:rPr>
        <w:t xml:space="preserve">元 </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 xml:space="preserve">8、  </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210）公立医院（02）</w:t>
      </w:r>
      <w:r>
        <w:rPr>
          <w:rFonts w:hint="eastAsia" w:ascii="仿宋_GB2312" w:eastAsia="仿宋_GB2312"/>
          <w:color w:val="auto"/>
          <w:sz w:val="32"/>
          <w:szCs w:val="32"/>
          <w:lang w:eastAsia="zh-CN"/>
        </w:rPr>
        <w:t>中医（民族）医院（02）202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10965081.39</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210）基层医疗卫生机构（03）</w:t>
      </w:r>
      <w:r>
        <w:rPr>
          <w:rFonts w:hint="eastAsia" w:ascii="仿宋_GB2312" w:eastAsia="仿宋_GB2312"/>
          <w:color w:val="auto"/>
          <w:sz w:val="32"/>
          <w:szCs w:val="32"/>
          <w:lang w:eastAsia="zh-CN"/>
        </w:rPr>
        <w:t>其他基层医疗卫生机构支出（99）202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634380.00</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210）公共卫生（04)</w:t>
      </w:r>
      <w:r>
        <w:rPr>
          <w:rFonts w:hint="eastAsia" w:ascii="仿宋_GB2312" w:eastAsia="仿宋_GB2312"/>
          <w:color w:val="auto"/>
          <w:sz w:val="32"/>
          <w:szCs w:val="32"/>
          <w:lang w:eastAsia="zh-CN"/>
        </w:rPr>
        <w:t>基本公共卫生服务（08）202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552438.81</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11、</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w:t>
      </w:r>
      <w:r>
        <w:rPr>
          <w:rFonts w:hint="eastAsia" w:ascii="仿宋_GB2312" w:eastAsia="仿宋_GB2312"/>
          <w:color w:val="auto"/>
          <w:sz w:val="32"/>
          <w:szCs w:val="32"/>
          <w:lang w:eastAsia="zh-CN"/>
        </w:rPr>
        <w:t>其他卫生健康支出</w:t>
      </w:r>
      <w:r>
        <w:rPr>
          <w:rFonts w:hint="eastAsia" w:ascii="仿宋_GB2312" w:eastAsia="仿宋_GB2312"/>
          <w:color w:val="auto"/>
          <w:sz w:val="32"/>
          <w:szCs w:val="32"/>
          <w:lang w:val="en-US" w:eastAsia="zh-CN"/>
        </w:rPr>
        <w:t>(99)</w:t>
      </w:r>
      <w:r>
        <w:rPr>
          <w:rFonts w:hint="eastAsia" w:ascii="仿宋_GB2312" w:eastAsia="仿宋_GB2312"/>
          <w:color w:val="auto"/>
          <w:sz w:val="32"/>
          <w:szCs w:val="32"/>
          <w:lang w:eastAsia="zh-CN"/>
        </w:rPr>
        <w:t>其他卫生健康支出（</w:t>
      </w:r>
      <w:r>
        <w:rPr>
          <w:rFonts w:hint="eastAsia" w:ascii="仿宋_GB2312" w:eastAsia="仿宋_GB2312"/>
          <w:color w:val="auto"/>
          <w:sz w:val="32"/>
          <w:szCs w:val="32"/>
          <w:lang w:val="en-US" w:eastAsia="zh-CN"/>
        </w:rPr>
        <w:t>99)</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592000.00</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12、</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210)基层医疗卫生机构（03）</w:t>
      </w:r>
      <w:r>
        <w:rPr>
          <w:rFonts w:hint="eastAsia" w:ascii="仿宋_GB2312" w:eastAsia="仿宋_GB2312"/>
          <w:color w:val="auto"/>
          <w:sz w:val="32"/>
          <w:szCs w:val="32"/>
          <w:lang w:eastAsia="zh-CN"/>
        </w:rPr>
        <w:t>乡镇卫生院（02</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19291242.09</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13、</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210)基层医疗卫生机构（03)</w:t>
      </w:r>
      <w:r>
        <w:rPr>
          <w:rFonts w:hint="eastAsia" w:ascii="仿宋_GB2312" w:eastAsia="仿宋_GB2312"/>
          <w:color w:val="auto"/>
          <w:sz w:val="32"/>
          <w:szCs w:val="32"/>
          <w:lang w:eastAsia="zh-CN"/>
        </w:rPr>
        <w:t>城市社区卫生机构（01</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6490085.44</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14、</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lang w:val="en-US" w:eastAsia="zh-CN"/>
        </w:rPr>
        <w:t>210）计划生育事务(07)</w:t>
      </w:r>
      <w:r>
        <w:rPr>
          <w:rFonts w:hint="eastAsia" w:ascii="仿宋_GB2312" w:eastAsia="仿宋_GB2312"/>
          <w:color w:val="auto"/>
          <w:sz w:val="32"/>
          <w:szCs w:val="32"/>
          <w:lang w:eastAsia="zh-CN"/>
        </w:rPr>
        <w:t>其他计划生育事务支出（</w:t>
      </w:r>
      <w:r>
        <w:rPr>
          <w:rFonts w:hint="eastAsia" w:ascii="仿宋_GB2312" w:eastAsia="仿宋_GB2312"/>
          <w:color w:val="auto"/>
          <w:sz w:val="32"/>
          <w:szCs w:val="32"/>
          <w:lang w:val="en-US" w:eastAsia="zh-CN"/>
        </w:rPr>
        <w:t>17)</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38700.00</w:t>
      </w:r>
      <w:r>
        <w:rPr>
          <w:rFonts w:hint="eastAsia" w:ascii="仿宋_GB2312" w:eastAsia="仿宋_GB2312"/>
          <w:color w:val="auto"/>
          <w:sz w:val="32"/>
          <w:szCs w:val="32"/>
          <w:lang w:eastAsia="zh-CN"/>
        </w:rPr>
        <w:t>元，主要用于：医疗卫生机构202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年的人员经费和日常公用经费等基本支出及项目支出。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lang w:eastAsia="zh-CN"/>
        </w:rPr>
        <w:t>住房保障支出：住房保障支出</w:t>
      </w:r>
      <w:r>
        <w:rPr>
          <w:rFonts w:hint="eastAsia" w:ascii="仿宋_GB2312" w:eastAsia="仿宋_GB2312"/>
          <w:color w:val="auto"/>
          <w:sz w:val="32"/>
          <w:szCs w:val="32"/>
          <w:lang w:val="en-US" w:eastAsia="zh-CN"/>
        </w:rPr>
        <w:t>(221)</w:t>
      </w:r>
      <w:r>
        <w:rPr>
          <w:rFonts w:hint="eastAsia" w:ascii="仿宋_GB2312" w:eastAsia="仿宋_GB2312"/>
          <w:color w:val="auto"/>
          <w:sz w:val="32"/>
          <w:szCs w:val="32"/>
          <w:lang w:eastAsia="zh-CN"/>
        </w:rPr>
        <w:t>住房改革支出</w:t>
      </w:r>
      <w:r>
        <w:rPr>
          <w:rFonts w:hint="eastAsia" w:ascii="仿宋_GB2312" w:eastAsia="仿宋_GB2312"/>
          <w:color w:val="auto"/>
          <w:sz w:val="32"/>
          <w:szCs w:val="32"/>
          <w:lang w:val="en-US" w:eastAsia="zh-CN"/>
        </w:rPr>
        <w:t>(02)</w:t>
      </w:r>
      <w:r>
        <w:rPr>
          <w:rFonts w:hint="eastAsia" w:ascii="仿宋_GB2312" w:eastAsia="仿宋_GB2312"/>
          <w:color w:val="auto"/>
          <w:sz w:val="32"/>
          <w:szCs w:val="32"/>
          <w:lang w:eastAsia="zh-CN"/>
        </w:rPr>
        <w:t>住房公积金（01</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9786444.00</w:t>
      </w:r>
      <w:r>
        <w:rPr>
          <w:rFonts w:hint="eastAsia" w:ascii="仿宋_GB2312" w:eastAsia="仿宋_GB2312"/>
          <w:color w:val="auto"/>
          <w:sz w:val="32"/>
          <w:szCs w:val="32"/>
          <w:lang w:eastAsia="zh-CN"/>
        </w:rPr>
        <w:t>元，主要用于：单位为职工缴纳住房公积金。</w:t>
      </w:r>
    </w:p>
    <w:p>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olor w:val="auto"/>
          <w:sz w:val="32"/>
          <w:szCs w:val="32"/>
        </w:rPr>
      </w:pPr>
      <w:r>
        <w:rPr>
          <w:rFonts w:hint="eastAsia" w:ascii="黑体" w:eastAsia="黑体"/>
          <w:color w:val="auto"/>
          <w:sz w:val="32"/>
          <w:szCs w:val="32"/>
        </w:rPr>
        <w:t>一般公共预算基本支出情况说明</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2026年一般公共预算基本支出99805126.62元，其中：人员经费98656556.42元，主要包括：基本工资、津贴补贴、奖金、其他社会保障缴费、绩效工资、机关事业单位基本养老保险缴费、职业年金缴费、其他工资福利支出、奖励金、住房公积金、其他对个人和家庭的补助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公用经费1148570.20元，主要包括：办公费、印刷费、邮电费、差旅费、维修（护）费、培训费、劳务费、其他商品和服务支出。</w:t>
      </w:r>
    </w:p>
    <w:p>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sz w:val="32"/>
          <w:szCs w:val="32"/>
        </w:rPr>
      </w:pPr>
      <w:r>
        <w:rPr>
          <w:rFonts w:hint="eastAsia" w:ascii="黑体" w:eastAsia="黑体"/>
          <w:sz w:val="32"/>
          <w:szCs w:val="32"/>
        </w:rPr>
        <w:t>“三公”经费财政拨款预算安排情况说明</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2026年“三公”经费财政拨款预算数43210.00元，其中：因公出国（境）经费0元，公务接待费3210.00元，公务用车购置及运行维护费40000.00元，其中：无公务用车购置费，公务用车运行维护费40000.00元。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（一）2026年无因公出国（境）经费。</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（二）2026年公务接待经费3210.00元。较2025年预算经费减少310.00元，下降8.81%，主要原因是：节约开支。</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（三）2026年公务用车购置及运行维护费40000.00元。较2025年预算经费无变化。其中：无公务用车购置费,公务用车运行维护费40000.00元,较2025年预算经费无变化。</w:t>
      </w:r>
    </w:p>
    <w:p>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sz w:val="32"/>
          <w:szCs w:val="32"/>
        </w:rPr>
      </w:pP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2026年政府性基金预算拨款安排的支出9966.51元。</w:t>
      </w:r>
    </w:p>
    <w:p>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sz w:val="32"/>
          <w:szCs w:val="32"/>
        </w:rPr>
      </w:pPr>
      <w:r>
        <w:rPr>
          <w:rFonts w:hint="eastAsia" w:ascii="黑体" w:eastAsia="黑体"/>
          <w:sz w:val="32"/>
          <w:szCs w:val="32"/>
        </w:rPr>
        <w:t>其他重要事项的情况说明</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ascii="楷体_GB2312" w:eastAsia="楷体_GB2312"/>
          <w:b/>
          <w:sz w:val="32"/>
          <w:szCs w:val="32"/>
        </w:rPr>
      </w:pPr>
      <w:r>
        <w:rPr>
          <w:rFonts w:hint="eastAsia" w:ascii="楷体_GB2312" w:eastAsia="楷体_GB2312" w:cs="仿宋_GB2312"/>
          <w:b/>
          <w:sz w:val="32"/>
          <w:szCs w:val="32"/>
        </w:rPr>
        <w:t>（一）机关运行经费</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2026年机关运行经费财政拨款预算为1148570.20元，比2025年预算增加71598.70元，增长6.65%。主要原因是：人员增加。</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仿宋_GB2312" w:eastAsia="仿宋_GB2312"/>
          <w:color w:val="auto"/>
          <w:sz w:val="32"/>
          <w:szCs w:val="32"/>
          <w:lang w:val="en-US" w:eastAsia="zh-CN"/>
        </w:rPr>
      </w:pPr>
      <w:r>
        <w:rPr>
          <w:rFonts w:hint="eastAsia" w:ascii="楷体_GB2312" w:eastAsia="楷体_GB2312" w:cs="仿宋_GB2312"/>
          <w:b/>
          <w:sz w:val="32"/>
          <w:szCs w:val="32"/>
        </w:rPr>
        <w:t>（</w:t>
      </w:r>
      <w:r>
        <w:rPr>
          <w:rFonts w:hint="eastAsia" w:ascii="楷体_GB2312" w:eastAsia="楷体_GB2312" w:cs="仿宋_GB2312"/>
          <w:b/>
          <w:sz w:val="32"/>
          <w:szCs w:val="32"/>
          <w:lang w:eastAsia="zh-CN"/>
        </w:rPr>
        <w:t>二</w:t>
      </w:r>
      <w:r>
        <w:rPr>
          <w:rFonts w:hint="eastAsia" w:ascii="楷体_GB2312" w:eastAsia="楷体_GB2312" w:cs="仿宋_GB2312"/>
          <w:b/>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color w:val="auto"/>
          <w:sz w:val="32"/>
          <w:szCs w:val="32"/>
          <w:lang w:val="en-US" w:eastAsia="zh-CN"/>
        </w:rPr>
        <w:t>2026年茂县卫健局未安排政府采购预算。</w:t>
      </w:r>
    </w:p>
    <w:p>
      <w:pPr>
        <w:keepNext w:val="0"/>
        <w:keepLines w:val="0"/>
        <w:pageBreakBefore w:val="0"/>
        <w:widowControl w:val="0"/>
        <w:numPr>
          <w:ilvl w:val="0"/>
          <w:numId w:val="2"/>
        </w:numPr>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rPr>
        <w:t>国有资产占有使用情况</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截至2025年12月31日，我单位固定资产总额460246794.23元，其中：房屋73767.04平方米，价值315669607.25元；公务用车41辆（局机关和各医疗卫生机构),价值8309337.42元；其他固定资产192388951.66元。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仿宋_GB2312" w:eastAsia="仿宋_GB2312"/>
          <w:color w:val="auto"/>
          <w:sz w:val="32"/>
          <w:szCs w:val="32"/>
          <w:lang w:val="en-US" w:eastAsia="zh-CN"/>
        </w:rPr>
      </w:pPr>
      <w:r>
        <w:rPr>
          <w:rFonts w:hint="eastAsia" w:ascii="楷体_GB2312" w:eastAsia="楷体_GB2312" w:cs="仿宋_GB2312"/>
          <w:b/>
          <w:sz w:val="32"/>
          <w:szCs w:val="32"/>
          <w:lang w:eastAsia="zh-CN"/>
        </w:rPr>
        <w:t>（四）</w:t>
      </w: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color w:val="auto"/>
          <w:sz w:val="32"/>
          <w:szCs w:val="32"/>
          <w:lang w:val="en-US" w:eastAsia="zh-CN"/>
        </w:rPr>
        <w:t>2026年项目支出均按要求实行绩效目标管理，涉及项目7个，一般公共预算当年拨款2000095.00元。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黑体" w:eastAsia="黑体" w:cs="黑体"/>
          <w:sz w:val="32"/>
          <w:szCs w:val="32"/>
        </w:rPr>
        <w:t xml:space="preserve">十、名称解释 </w:t>
      </w:r>
      <w:r>
        <w:rPr>
          <w:rFonts w:hint="eastAsia" w:ascii="黑体" w:eastAsia="黑体" w:cs="黑体"/>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sz w:val="32"/>
          <w:szCs w:val="32"/>
          <w:lang w:val="en-US" w:eastAsia="zh-CN"/>
        </w:rPr>
        <w:t>（一）财政拨款收入</w:t>
      </w:r>
      <w:r>
        <w:rPr>
          <w:rFonts w:hint="eastAsia" w:ascii="仿宋_GB2312" w:eastAsia="仿宋_GB2312"/>
          <w:color w:val="auto"/>
          <w:sz w:val="32"/>
          <w:szCs w:val="32"/>
          <w:lang w:val="en-US" w:eastAsia="zh-CN"/>
        </w:rPr>
        <w:t>：指由财政拨款形成的部门收入。按现行管理制度，部门预算中反映的财政拨款仅包括一般公共预算拨款和政府性基金预算拨款。</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（二）事业收入：</w:t>
      </w:r>
      <w:r>
        <w:rPr>
          <w:rFonts w:hint="eastAsia" w:ascii="仿宋_GB2312" w:eastAsia="仿宋_GB2312"/>
          <w:color w:val="auto"/>
          <w:sz w:val="32"/>
          <w:szCs w:val="32"/>
          <w:lang w:val="en-US" w:eastAsia="zh-CN"/>
        </w:rPr>
        <w:t>指所属事业单位开展专业业务活动及辅助活动所取得的收入。</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（三）事业单位经营收入：</w:t>
      </w:r>
      <w:r>
        <w:rPr>
          <w:rFonts w:hint="eastAsia" w:ascii="仿宋_GB2312" w:eastAsia="仿宋_GB2312"/>
          <w:color w:val="auto"/>
          <w:sz w:val="32"/>
          <w:szCs w:val="32"/>
          <w:lang w:val="en-US" w:eastAsia="zh-CN"/>
        </w:rPr>
        <w:t>指所属事业单位在专业业务活动及其辅助活动之外开展非独立核算经营活动取得的收入。</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（四）其他收入：</w:t>
      </w:r>
      <w:r>
        <w:rPr>
          <w:rFonts w:hint="eastAsia" w:ascii="仿宋_GB2312" w:eastAsia="仿宋_GB2312"/>
          <w:color w:val="auto"/>
          <w:sz w:val="32"/>
          <w:szCs w:val="32"/>
          <w:lang w:val="en-US" w:eastAsia="zh-CN"/>
        </w:rPr>
        <w:t>指除上述“财政拨款收入”、“事业收入”、“事业单位经营收入”等以外的收入，主要是所属行政事业单位按规定动用的售房收入、存款利息收入等。</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　（五）用事业基金弥补收支差额：</w:t>
      </w:r>
      <w:r>
        <w:rPr>
          <w:rFonts w:hint="eastAsia" w:ascii="仿宋_GB2312" w:eastAsia="仿宋_GB2312"/>
          <w:color w:val="auto"/>
          <w:sz w:val="32"/>
          <w:szCs w:val="32"/>
          <w:lang w:val="en-US" w:eastAsia="zh-CN"/>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　（六）上年结转：</w:t>
      </w:r>
      <w:r>
        <w:rPr>
          <w:rFonts w:hint="eastAsia" w:ascii="仿宋_GB2312" w:eastAsia="仿宋_GB2312"/>
          <w:color w:val="auto"/>
          <w:sz w:val="32"/>
          <w:szCs w:val="32"/>
          <w:lang w:val="en-US"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2" w:firstLineChars="200"/>
        <w:textAlignment w:val="auto"/>
        <w:rPr>
          <w:rFonts w:hint="eastAsia" w:ascii="仿宋_GB2312" w:eastAsia="仿宋_GB2312"/>
          <w:color w:val="auto"/>
          <w:sz w:val="32"/>
          <w:szCs w:val="32"/>
          <w:lang w:val="en-US" w:eastAsia="zh-CN"/>
        </w:rPr>
      </w:pPr>
      <w:r>
        <w:rPr>
          <w:rFonts w:hint="eastAsia" w:ascii="楷体_GB2312" w:eastAsia="楷体_GB2312" w:cs="仿宋_GB2312"/>
          <w:b/>
          <w:sz w:val="32"/>
          <w:szCs w:val="32"/>
          <w:lang w:val="en-US" w:eastAsia="zh-CN"/>
        </w:rPr>
        <w:t>（七）基本支出：</w:t>
      </w:r>
      <w:r>
        <w:rPr>
          <w:rFonts w:hint="eastAsia" w:ascii="仿宋_GB2312" w:eastAsia="仿宋_GB2312"/>
          <w:color w:val="auto"/>
          <w:sz w:val="32"/>
          <w:szCs w:val="32"/>
          <w:lang w:val="en-US" w:eastAsia="zh-CN"/>
        </w:rPr>
        <w:t>指为保证机构正常运转，完成日常工作任务而发生的人员支出和公用支出。</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（八）项目支出：</w:t>
      </w:r>
      <w:r>
        <w:rPr>
          <w:rFonts w:hint="eastAsia" w:ascii="仿宋_GB2312" w:eastAsia="仿宋_GB2312"/>
          <w:color w:val="auto"/>
          <w:sz w:val="32"/>
          <w:szCs w:val="32"/>
          <w:lang w:val="en-US" w:eastAsia="zh-CN"/>
        </w:rPr>
        <w:t>指在基本支出之外为完成特定行政任务和事业发展目标所发生的支出。</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w:t>
      </w:r>
      <w:r>
        <w:rPr>
          <w:rFonts w:hint="eastAsia" w:ascii="楷体_GB2312" w:eastAsia="楷体_GB2312" w:cs="仿宋_GB2312"/>
          <w:b/>
          <w:sz w:val="32"/>
          <w:szCs w:val="32"/>
          <w:lang w:val="en-US" w:eastAsia="zh-CN"/>
        </w:rPr>
        <w:t>　（九）“三公”经费：</w:t>
      </w:r>
      <w:r>
        <w:rPr>
          <w:rFonts w:hint="eastAsia" w:ascii="仿宋_GB2312" w:eastAsia="仿宋_GB2312"/>
          <w:color w:val="auto"/>
          <w:sz w:val="32"/>
          <w:szCs w:val="32"/>
          <w:lang w:val="en-US"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茂县卫生健康局</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2026年4月03日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8"/>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F19C7"/>
    <w:multiLevelType w:val="singleLevel"/>
    <w:tmpl w:val="A55F19C7"/>
    <w:lvl w:ilvl="0" w:tentative="0">
      <w:start w:val="6"/>
      <w:numFmt w:val="chineseCounting"/>
      <w:suff w:val="nothing"/>
      <w:lvlText w:val="%1、"/>
      <w:lvlJc w:val="left"/>
      <w:pPr>
        <w:ind w:left="0" w:firstLine="0"/>
      </w:pPr>
      <w:rPr>
        <w:rFonts w:hint="eastAsia"/>
      </w:rPr>
    </w:lvl>
  </w:abstractNum>
  <w:abstractNum w:abstractNumId="1">
    <w:nsid w:val="FEB59044"/>
    <w:multiLevelType w:val="singleLevel"/>
    <w:tmpl w:val="FEB59044"/>
    <w:lvl w:ilvl="0" w:tentative="0">
      <w:start w:val="3"/>
      <w:numFmt w:val="chineseCounting"/>
      <w:suff w:val="nothing"/>
      <w:lvlText w:val="%1、"/>
      <w:lvlJc w:val="left"/>
      <w:rPr>
        <w:rFonts w:hint="eastAsia"/>
      </w:rPr>
    </w:lvl>
  </w:abstractNum>
  <w:abstractNum w:abstractNumId="2">
    <w:nsid w:val="7BA2A43E"/>
    <w:multiLevelType w:val="singleLevel"/>
    <w:tmpl w:val="7BA2A43E"/>
    <w:lvl w:ilvl="0" w:tentative="0">
      <w:start w:val="1"/>
      <w:numFmt w:val="chineseCounting"/>
      <w:suff w:val="nothing"/>
      <w:lvlText w:val="（%1）"/>
      <w:lvlJc w:val="left"/>
      <w:pPr>
        <w:ind w:left="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JjNDRhOWM2N2RmZTgwZTEyZWM5NjY2NDE4NWU4YmQifQ=="/>
  </w:docVars>
  <w:rsids>
    <w:rsidRoot w:val="00000000"/>
    <w:rsid w:val="00245594"/>
    <w:rsid w:val="042D106A"/>
    <w:rsid w:val="04936845"/>
    <w:rsid w:val="04EB6EA8"/>
    <w:rsid w:val="05D9297D"/>
    <w:rsid w:val="079254DA"/>
    <w:rsid w:val="07BD3A9C"/>
    <w:rsid w:val="07C75183"/>
    <w:rsid w:val="0825634E"/>
    <w:rsid w:val="087846CF"/>
    <w:rsid w:val="08A0490D"/>
    <w:rsid w:val="093B7CC8"/>
    <w:rsid w:val="0A570314"/>
    <w:rsid w:val="0B3A5C6C"/>
    <w:rsid w:val="0BD53BE7"/>
    <w:rsid w:val="0C547201"/>
    <w:rsid w:val="0D314E4D"/>
    <w:rsid w:val="0E851662"/>
    <w:rsid w:val="0F2A1F95"/>
    <w:rsid w:val="0FCD3553"/>
    <w:rsid w:val="109127D2"/>
    <w:rsid w:val="10B71B0D"/>
    <w:rsid w:val="11B175BA"/>
    <w:rsid w:val="11B87D58"/>
    <w:rsid w:val="123553DF"/>
    <w:rsid w:val="12E74E6B"/>
    <w:rsid w:val="15466EC7"/>
    <w:rsid w:val="15744470"/>
    <w:rsid w:val="16CE6CE0"/>
    <w:rsid w:val="17E54A02"/>
    <w:rsid w:val="18027B12"/>
    <w:rsid w:val="18095344"/>
    <w:rsid w:val="18424241"/>
    <w:rsid w:val="1917583F"/>
    <w:rsid w:val="1A9F0940"/>
    <w:rsid w:val="1AC15A62"/>
    <w:rsid w:val="1C393576"/>
    <w:rsid w:val="1C4E77C9"/>
    <w:rsid w:val="1C675363"/>
    <w:rsid w:val="1CC21806"/>
    <w:rsid w:val="1D8A6DA9"/>
    <w:rsid w:val="1E342CA1"/>
    <w:rsid w:val="2197751D"/>
    <w:rsid w:val="22600256"/>
    <w:rsid w:val="231E70E0"/>
    <w:rsid w:val="255B2F57"/>
    <w:rsid w:val="258424AE"/>
    <w:rsid w:val="25B701A8"/>
    <w:rsid w:val="25ED0053"/>
    <w:rsid w:val="26B80661"/>
    <w:rsid w:val="26FC209F"/>
    <w:rsid w:val="27D854D6"/>
    <w:rsid w:val="27DB3EDB"/>
    <w:rsid w:val="29291D18"/>
    <w:rsid w:val="2A27165A"/>
    <w:rsid w:val="2A4915D0"/>
    <w:rsid w:val="2A8E3487"/>
    <w:rsid w:val="2B842AF5"/>
    <w:rsid w:val="2C9A4365"/>
    <w:rsid w:val="2DB87198"/>
    <w:rsid w:val="2DDB4C35"/>
    <w:rsid w:val="2DFE0923"/>
    <w:rsid w:val="2E0559E6"/>
    <w:rsid w:val="2F936EB4"/>
    <w:rsid w:val="2F9B0B20"/>
    <w:rsid w:val="328170F5"/>
    <w:rsid w:val="342D5D4C"/>
    <w:rsid w:val="3450353F"/>
    <w:rsid w:val="34545741"/>
    <w:rsid w:val="346A6D13"/>
    <w:rsid w:val="34931DC5"/>
    <w:rsid w:val="363C648D"/>
    <w:rsid w:val="36E67CE5"/>
    <w:rsid w:val="37A60062"/>
    <w:rsid w:val="3A0A029D"/>
    <w:rsid w:val="3B4E4C98"/>
    <w:rsid w:val="3BCC369A"/>
    <w:rsid w:val="3C4B11D8"/>
    <w:rsid w:val="3D335DE1"/>
    <w:rsid w:val="3D6264D8"/>
    <w:rsid w:val="3D6267D9"/>
    <w:rsid w:val="3D684D8C"/>
    <w:rsid w:val="3E2B1325"/>
    <w:rsid w:val="3E2C6DE7"/>
    <w:rsid w:val="409F15FF"/>
    <w:rsid w:val="415E375B"/>
    <w:rsid w:val="41865F2C"/>
    <w:rsid w:val="43394480"/>
    <w:rsid w:val="442A726D"/>
    <w:rsid w:val="4438023C"/>
    <w:rsid w:val="44A1408B"/>
    <w:rsid w:val="45112376"/>
    <w:rsid w:val="456F4C88"/>
    <w:rsid w:val="45D71D2E"/>
    <w:rsid w:val="479223B1"/>
    <w:rsid w:val="479F062A"/>
    <w:rsid w:val="4DF55447"/>
    <w:rsid w:val="4E2B0E69"/>
    <w:rsid w:val="4E6323B1"/>
    <w:rsid w:val="4EDE3E37"/>
    <w:rsid w:val="4EE2777A"/>
    <w:rsid w:val="4F644633"/>
    <w:rsid w:val="4F730D1A"/>
    <w:rsid w:val="4F8149AD"/>
    <w:rsid w:val="50E83041"/>
    <w:rsid w:val="51AF590D"/>
    <w:rsid w:val="52043EAB"/>
    <w:rsid w:val="5268268C"/>
    <w:rsid w:val="530C3017"/>
    <w:rsid w:val="53F02939"/>
    <w:rsid w:val="54E54919"/>
    <w:rsid w:val="58E04A8C"/>
    <w:rsid w:val="59DF76D7"/>
    <w:rsid w:val="59EF71EF"/>
    <w:rsid w:val="5B1C4013"/>
    <w:rsid w:val="5BB0510C"/>
    <w:rsid w:val="5BE37B82"/>
    <w:rsid w:val="5C7D6D34"/>
    <w:rsid w:val="5E59557E"/>
    <w:rsid w:val="5EBC21A5"/>
    <w:rsid w:val="5EE17A4E"/>
    <w:rsid w:val="605424A1"/>
    <w:rsid w:val="63604CB9"/>
    <w:rsid w:val="64112780"/>
    <w:rsid w:val="653451AA"/>
    <w:rsid w:val="66012783"/>
    <w:rsid w:val="663754B0"/>
    <w:rsid w:val="66B71094"/>
    <w:rsid w:val="685272C6"/>
    <w:rsid w:val="697B45FB"/>
    <w:rsid w:val="6A3E66A2"/>
    <w:rsid w:val="6ABE009D"/>
    <w:rsid w:val="6B7C465A"/>
    <w:rsid w:val="6CFA617E"/>
    <w:rsid w:val="6D2B6338"/>
    <w:rsid w:val="6DE14137"/>
    <w:rsid w:val="6E1F40EF"/>
    <w:rsid w:val="6EB34837"/>
    <w:rsid w:val="6F1572A0"/>
    <w:rsid w:val="71EA3A6E"/>
    <w:rsid w:val="72AD3CED"/>
    <w:rsid w:val="72D75477"/>
    <w:rsid w:val="76516E0F"/>
    <w:rsid w:val="76FA1255"/>
    <w:rsid w:val="77925931"/>
    <w:rsid w:val="77D81AF2"/>
    <w:rsid w:val="77FA1CF6"/>
    <w:rsid w:val="789B0816"/>
    <w:rsid w:val="789B25C4"/>
    <w:rsid w:val="799040F2"/>
    <w:rsid w:val="79B25E17"/>
    <w:rsid w:val="79D0629D"/>
    <w:rsid w:val="7A3EF36D"/>
    <w:rsid w:val="7BA45C33"/>
    <w:rsid w:val="7BE129E3"/>
    <w:rsid w:val="7C2B4EBC"/>
    <w:rsid w:val="7C907F65"/>
    <w:rsid w:val="7D382AD7"/>
    <w:rsid w:val="7E327526"/>
    <w:rsid w:val="7E61439E"/>
    <w:rsid w:val="BF6F4985"/>
    <w:rsid w:val="BFDF80CF"/>
    <w:rsid w:val="FDBFDD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rPr>
      <w:rFonts w:ascii="Times New Roman" w:hAnsi="Times New Roman" w:eastAsia="宋体" w:cs="Times New Roman"/>
    </w:rPr>
  </w:style>
  <w:style w:type="paragraph" w:styleId="6">
    <w:name w:val="Body Text First Indent 2"/>
    <w:basedOn w:val="5"/>
    <w:next w:val="1"/>
    <w:qFormat/>
    <w:uiPriority w:val="0"/>
    <w:pPr>
      <w:ind w:firstLine="200" w:firstLine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5339</Words>
  <Characters>6169</Characters>
  <Lines>280</Lines>
  <Paragraphs>81</Paragraphs>
  <TotalTime>12</TotalTime>
  <ScaleCrop>false</ScaleCrop>
  <LinksUpToDate>false</LinksUpToDate>
  <CharactersWithSpaces>6287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2025-03-20T23:49:00Z</cp:lastPrinted>
  <dcterms:modified xsi:type="dcterms:W3CDTF">2026-03-30T17:09:13Z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2E762485B75C40F480935485A5C70349</vt:lpwstr>
  </property>
  <property fmtid="{D5CDD505-2E9C-101B-9397-08002B2CF9AE}" pid="4" name="KSOTemplateDocerSaveRecord">
    <vt:lpwstr>eyJoZGlkIjoiMWJjNDRhOWM2N2RmZTgwZTEyZWM5NjY2NDE4NWU4YmQiLCJ1c2VySWQiOiI1NTQ5NjE3NjUifQ==</vt:lpwstr>
  </property>
</Properties>
</file>