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272338"/>
    <w:p w14:paraId="515A9326"/>
    <w:p w14:paraId="7A534245">
      <w:pPr>
        <w:ind w:firstLine="1050" w:firstLineChars="500"/>
      </w:pPr>
    </w:p>
    <w:p w14:paraId="494011A9">
      <w:pPr>
        <w:ind w:firstLine="1050" w:firstLineChars="500"/>
      </w:pPr>
    </w:p>
    <w:p w14:paraId="0C57E009">
      <w:pPr>
        <w:ind w:firstLine="1760" w:firstLineChars="400"/>
        <w:rPr>
          <w:rFonts w:ascii="黑体" w:hAnsi="黑体" w:eastAsia="黑体"/>
          <w:sz w:val="44"/>
          <w:szCs w:val="44"/>
        </w:rPr>
      </w:pPr>
    </w:p>
    <w:p w14:paraId="64E0DC09">
      <w:pPr>
        <w:ind w:firstLine="1760" w:firstLineChars="400"/>
        <w:rPr>
          <w:rFonts w:ascii="黑体" w:hAnsi="黑体" w:eastAsia="黑体"/>
          <w:sz w:val="44"/>
          <w:szCs w:val="44"/>
        </w:rPr>
      </w:pPr>
    </w:p>
    <w:p w14:paraId="0434CF7E">
      <w:pPr>
        <w:ind w:firstLine="1760" w:firstLineChars="400"/>
        <w:rPr>
          <w:rFonts w:ascii="黑体" w:hAnsi="黑体" w:eastAsia="黑体"/>
          <w:sz w:val="44"/>
          <w:szCs w:val="44"/>
        </w:rPr>
      </w:pPr>
    </w:p>
    <w:p w14:paraId="60D49C6F">
      <w:pPr>
        <w:jc w:val="center"/>
        <w:rPr>
          <w:rFonts w:hint="eastAsia" w:ascii="黑体" w:hAnsi="黑体" w:eastAsia="黑体"/>
          <w:sz w:val="44"/>
          <w:szCs w:val="44"/>
        </w:rPr>
      </w:pPr>
      <w:r>
        <w:rPr>
          <w:rFonts w:hint="eastAsia" w:ascii="黑体" w:hAnsi="黑体" w:eastAsia="黑体"/>
          <w:sz w:val="44"/>
          <w:szCs w:val="44"/>
        </w:rPr>
        <w:t>202</w:t>
      </w:r>
      <w:r>
        <w:rPr>
          <w:rFonts w:hint="eastAsia" w:ascii="黑体" w:hAnsi="黑体" w:eastAsia="黑体"/>
          <w:sz w:val="44"/>
          <w:szCs w:val="44"/>
          <w:lang w:val="en-US" w:eastAsia="zh-CN"/>
        </w:rPr>
        <w:t>6</w:t>
      </w:r>
      <w:r>
        <w:rPr>
          <w:rFonts w:hint="eastAsia" w:ascii="黑体" w:hAnsi="黑体" w:eastAsia="黑体"/>
          <w:sz w:val="44"/>
          <w:szCs w:val="44"/>
        </w:rPr>
        <w:t>年部门预算</w:t>
      </w:r>
    </w:p>
    <w:p w14:paraId="21E7E0EC">
      <w:pPr>
        <w:jc w:val="center"/>
        <w:rPr>
          <w:rFonts w:hint="eastAsia" w:ascii="黑体" w:hAnsi="黑体" w:eastAsia="黑体"/>
          <w:sz w:val="44"/>
          <w:szCs w:val="44"/>
          <w:lang w:eastAsia="zh-CN"/>
        </w:rPr>
      </w:pPr>
      <w:r>
        <w:rPr>
          <w:rFonts w:hint="eastAsia" w:ascii="黑体" w:hAnsi="黑体" w:eastAsia="黑体"/>
          <w:sz w:val="44"/>
          <w:szCs w:val="44"/>
        </w:rPr>
        <w:t>茂县</w:t>
      </w:r>
      <w:r>
        <w:rPr>
          <w:rFonts w:hint="eastAsia" w:ascii="黑体" w:hAnsi="黑体" w:eastAsia="黑体"/>
          <w:sz w:val="44"/>
          <w:szCs w:val="44"/>
          <w:lang w:eastAsia="zh-CN"/>
        </w:rPr>
        <w:t>卫生事务综合服务中心</w:t>
      </w:r>
    </w:p>
    <w:p w14:paraId="4F738C76">
      <w:pPr>
        <w:ind w:firstLine="1760" w:firstLineChars="400"/>
        <w:rPr>
          <w:rFonts w:ascii="黑体" w:hAnsi="黑体" w:eastAsia="黑体"/>
          <w:sz w:val="44"/>
          <w:szCs w:val="44"/>
        </w:rPr>
      </w:pPr>
    </w:p>
    <w:p w14:paraId="509F1FF7">
      <w:pPr>
        <w:ind w:firstLine="1760" w:firstLineChars="400"/>
        <w:rPr>
          <w:rFonts w:ascii="黑体" w:hAnsi="黑体" w:eastAsia="黑体"/>
          <w:sz w:val="44"/>
          <w:szCs w:val="44"/>
        </w:rPr>
      </w:pPr>
    </w:p>
    <w:p w14:paraId="65E82C4F">
      <w:pPr>
        <w:ind w:firstLine="1760" w:firstLineChars="400"/>
        <w:rPr>
          <w:rFonts w:ascii="黑体" w:hAnsi="黑体" w:eastAsia="黑体"/>
          <w:sz w:val="44"/>
          <w:szCs w:val="44"/>
        </w:rPr>
      </w:pPr>
    </w:p>
    <w:p w14:paraId="4AB6CF17">
      <w:pPr>
        <w:ind w:firstLine="1760" w:firstLineChars="400"/>
        <w:rPr>
          <w:rFonts w:ascii="黑体" w:hAnsi="黑体" w:eastAsia="黑体"/>
          <w:sz w:val="44"/>
          <w:szCs w:val="44"/>
        </w:rPr>
      </w:pPr>
    </w:p>
    <w:p w14:paraId="529E3835">
      <w:pPr>
        <w:ind w:firstLine="1760" w:firstLineChars="400"/>
        <w:rPr>
          <w:rFonts w:ascii="黑体" w:hAnsi="黑体" w:eastAsia="黑体"/>
          <w:sz w:val="44"/>
          <w:szCs w:val="44"/>
        </w:rPr>
      </w:pPr>
    </w:p>
    <w:p w14:paraId="0A572827">
      <w:pPr>
        <w:ind w:firstLine="1760" w:firstLineChars="400"/>
        <w:rPr>
          <w:rFonts w:ascii="黑体" w:hAnsi="黑体" w:eastAsia="黑体"/>
          <w:sz w:val="44"/>
          <w:szCs w:val="44"/>
        </w:rPr>
      </w:pPr>
    </w:p>
    <w:p w14:paraId="38B9431D">
      <w:pPr>
        <w:ind w:firstLine="1760" w:firstLineChars="400"/>
        <w:rPr>
          <w:rFonts w:ascii="黑体" w:hAnsi="黑体" w:eastAsia="黑体"/>
          <w:sz w:val="44"/>
          <w:szCs w:val="44"/>
        </w:rPr>
      </w:pPr>
    </w:p>
    <w:p w14:paraId="2DF63EB4">
      <w:pPr>
        <w:ind w:firstLine="1760" w:firstLineChars="400"/>
        <w:rPr>
          <w:rFonts w:ascii="黑体" w:hAnsi="黑体" w:eastAsia="黑体"/>
          <w:sz w:val="44"/>
          <w:szCs w:val="44"/>
        </w:rPr>
      </w:pPr>
    </w:p>
    <w:p w14:paraId="11109BA6">
      <w:pPr>
        <w:ind w:firstLine="1760" w:firstLineChars="400"/>
        <w:rPr>
          <w:rFonts w:ascii="黑体" w:hAnsi="黑体" w:eastAsia="黑体"/>
          <w:sz w:val="44"/>
          <w:szCs w:val="44"/>
        </w:rPr>
      </w:pPr>
    </w:p>
    <w:p w14:paraId="54324E34">
      <w:pPr>
        <w:ind w:firstLine="1760" w:firstLineChars="400"/>
        <w:rPr>
          <w:rFonts w:ascii="黑体" w:hAnsi="黑体" w:eastAsia="黑体"/>
          <w:sz w:val="44"/>
          <w:szCs w:val="44"/>
        </w:rPr>
      </w:pPr>
    </w:p>
    <w:p w14:paraId="6AAB1B87">
      <w:pPr>
        <w:ind w:firstLine="1760" w:firstLineChars="400"/>
        <w:rPr>
          <w:rFonts w:ascii="黑体" w:hAnsi="黑体" w:eastAsia="黑体"/>
          <w:sz w:val="44"/>
          <w:szCs w:val="44"/>
        </w:rPr>
      </w:pPr>
    </w:p>
    <w:p w14:paraId="185D9EF8">
      <w:pPr>
        <w:rPr>
          <w:rFonts w:ascii="黑体" w:hAnsi="黑体" w:eastAsia="黑体"/>
          <w:sz w:val="44"/>
          <w:szCs w:val="44"/>
        </w:rPr>
      </w:pPr>
    </w:p>
    <w:p w14:paraId="02B16907">
      <w:pPr>
        <w:ind w:firstLine="2880" w:firstLineChars="800"/>
        <w:jc w:val="both"/>
        <w:rPr>
          <w:rFonts w:hint="default" w:ascii="黑体" w:hAnsi="黑体" w:eastAsia="黑体"/>
          <w:sz w:val="36"/>
          <w:szCs w:val="36"/>
          <w:lang w:val="en-US" w:eastAsia="zh-CN"/>
        </w:rPr>
      </w:pPr>
      <w:r>
        <w:rPr>
          <w:rFonts w:hint="eastAsia" w:ascii="黑体" w:hAnsi="黑体" w:eastAsia="黑体"/>
          <w:sz w:val="36"/>
          <w:szCs w:val="36"/>
          <w:lang w:val="en-US" w:eastAsia="zh-CN"/>
        </w:rPr>
        <w:t>2026年4月3日</w:t>
      </w:r>
    </w:p>
    <w:p w14:paraId="2B23D516">
      <w:pPr>
        <w:ind w:firstLine="3120" w:firstLineChars="600"/>
        <w:rPr>
          <w:rFonts w:hint="eastAsia" w:ascii="黑体" w:hAnsi="黑体" w:eastAsia="黑体"/>
          <w:sz w:val="52"/>
          <w:szCs w:val="52"/>
        </w:rPr>
      </w:pPr>
    </w:p>
    <w:p w14:paraId="03221569">
      <w:pPr>
        <w:pStyle w:val="8"/>
        <w:rPr>
          <w:rFonts w:hint="eastAsia" w:ascii="黑体" w:hAnsi="黑体" w:eastAsia="黑体"/>
          <w:sz w:val="52"/>
          <w:szCs w:val="52"/>
        </w:rPr>
      </w:pPr>
    </w:p>
    <w:p w14:paraId="76041DEC">
      <w:pPr>
        <w:rPr>
          <w:rFonts w:hint="eastAsia"/>
        </w:rPr>
      </w:pPr>
    </w:p>
    <w:p w14:paraId="0A04EA10">
      <w:pPr>
        <w:ind w:firstLine="3120" w:firstLineChars="600"/>
        <w:rPr>
          <w:rFonts w:ascii="黑体" w:hAnsi="黑体" w:eastAsia="黑体"/>
          <w:sz w:val="52"/>
          <w:szCs w:val="52"/>
        </w:rPr>
      </w:pPr>
      <w:r>
        <w:rPr>
          <w:rFonts w:hint="eastAsia" w:ascii="黑体" w:hAnsi="黑体" w:eastAsia="黑体"/>
          <w:sz w:val="52"/>
          <w:szCs w:val="52"/>
        </w:rPr>
        <w:t>目录</w:t>
      </w:r>
    </w:p>
    <w:p w14:paraId="6D3EEEE6">
      <w:pPr>
        <w:ind w:firstLine="3080" w:firstLineChars="700"/>
        <w:rPr>
          <w:rFonts w:ascii="黑体" w:hAnsi="黑体" w:eastAsia="黑体"/>
          <w:sz w:val="44"/>
          <w:szCs w:val="44"/>
        </w:rPr>
      </w:pPr>
    </w:p>
    <w:p w14:paraId="1A79A2AF">
      <w:pPr>
        <w:pStyle w:val="9"/>
        <w:ind w:firstLine="0" w:firstLineChars="0"/>
        <w:rPr>
          <w:rFonts w:ascii="黑体" w:hAnsi="黑体" w:eastAsia="黑体"/>
          <w:sz w:val="32"/>
          <w:szCs w:val="32"/>
        </w:rPr>
      </w:pPr>
      <w:r>
        <w:rPr>
          <w:rFonts w:hint="eastAsia" w:ascii="黑体" w:hAnsi="黑体" w:eastAsia="黑体"/>
          <w:sz w:val="32"/>
          <w:szCs w:val="32"/>
        </w:rPr>
        <w:t>一、基本职能及主要工作</w:t>
      </w:r>
    </w:p>
    <w:p w14:paraId="2D227FDB">
      <w:pPr>
        <w:rPr>
          <w:rFonts w:ascii="楷体_GB2312" w:hAnsi="楷体" w:eastAsia="楷体_GB2312"/>
          <w:sz w:val="32"/>
          <w:szCs w:val="32"/>
        </w:rPr>
      </w:pPr>
      <w:r>
        <w:rPr>
          <w:rFonts w:hint="eastAsia" w:ascii="楷体_GB2312" w:hAnsi="楷体" w:eastAsia="楷体_GB2312"/>
          <w:sz w:val="32"/>
          <w:szCs w:val="32"/>
        </w:rPr>
        <w:t>（一）部门职能简介</w:t>
      </w:r>
    </w:p>
    <w:p w14:paraId="5DEAD82B">
      <w:pPr>
        <w:rPr>
          <w:rFonts w:ascii="楷体_GB2312" w:hAnsi="楷体" w:eastAsia="楷体_GB2312"/>
          <w:sz w:val="32"/>
          <w:szCs w:val="32"/>
        </w:rPr>
      </w:pPr>
      <w:r>
        <w:rPr>
          <w:rFonts w:hint="eastAsia" w:ascii="楷体_GB2312" w:hAnsi="楷体" w:eastAsia="楷体_GB2312"/>
          <w:sz w:val="32"/>
          <w:szCs w:val="32"/>
        </w:rPr>
        <w:t>（二）202</w:t>
      </w:r>
      <w:r>
        <w:rPr>
          <w:rFonts w:hint="eastAsia" w:ascii="楷体_GB2312" w:hAnsi="楷体" w:eastAsia="楷体_GB2312"/>
          <w:sz w:val="32"/>
          <w:szCs w:val="32"/>
          <w:lang w:val="en-US" w:eastAsia="zh-CN"/>
        </w:rPr>
        <w:t>6</w:t>
      </w:r>
      <w:r>
        <w:rPr>
          <w:rFonts w:hint="eastAsia" w:ascii="楷体_GB2312" w:hAnsi="楷体" w:eastAsia="楷体_GB2312"/>
          <w:sz w:val="32"/>
          <w:szCs w:val="32"/>
        </w:rPr>
        <w:t>年重点工作</w:t>
      </w:r>
    </w:p>
    <w:p w14:paraId="0D6605AE">
      <w:pPr>
        <w:rPr>
          <w:rFonts w:ascii="黑体" w:hAnsi="黑体" w:eastAsia="黑体"/>
          <w:sz w:val="32"/>
          <w:szCs w:val="32"/>
        </w:rPr>
      </w:pPr>
      <w:r>
        <w:rPr>
          <w:rFonts w:hint="eastAsia" w:ascii="黑体" w:hAnsi="黑体" w:eastAsia="黑体"/>
          <w:sz w:val="32"/>
          <w:szCs w:val="32"/>
        </w:rPr>
        <w:t>二、部门预算单位构成</w:t>
      </w:r>
    </w:p>
    <w:p w14:paraId="650798AA">
      <w:pPr>
        <w:rPr>
          <w:rFonts w:ascii="黑体" w:hAnsi="黑体" w:eastAsia="黑体"/>
          <w:sz w:val="32"/>
          <w:szCs w:val="32"/>
        </w:rPr>
      </w:pPr>
      <w:r>
        <w:rPr>
          <w:rFonts w:hint="eastAsia" w:ascii="黑体" w:hAnsi="黑体" w:eastAsia="黑体"/>
          <w:sz w:val="32"/>
          <w:szCs w:val="32"/>
        </w:rPr>
        <w:t>三、收支预算情况说明</w:t>
      </w:r>
    </w:p>
    <w:p w14:paraId="3E66D14A">
      <w:pPr>
        <w:rPr>
          <w:rFonts w:ascii="楷体_GB2312" w:hAnsi="楷体" w:eastAsia="楷体_GB2312"/>
          <w:sz w:val="32"/>
          <w:szCs w:val="32"/>
        </w:rPr>
      </w:pPr>
      <w:r>
        <w:rPr>
          <w:rFonts w:hint="eastAsia" w:ascii="楷体_GB2312" w:hAnsi="楷体" w:eastAsia="楷体_GB2312"/>
          <w:sz w:val="32"/>
          <w:szCs w:val="32"/>
        </w:rPr>
        <w:t>（一）收入预算情况</w:t>
      </w:r>
    </w:p>
    <w:p w14:paraId="6A5EA17E">
      <w:pPr>
        <w:rPr>
          <w:rFonts w:ascii="楷体_GB2312" w:hAnsi="楷体" w:eastAsia="楷体_GB2312"/>
          <w:sz w:val="32"/>
          <w:szCs w:val="32"/>
        </w:rPr>
      </w:pPr>
      <w:r>
        <w:rPr>
          <w:rFonts w:hint="eastAsia" w:ascii="楷体_GB2312" w:hAnsi="楷体" w:eastAsia="楷体_GB2312"/>
          <w:sz w:val="32"/>
          <w:szCs w:val="32"/>
        </w:rPr>
        <w:t>（二）支出预算情况</w:t>
      </w:r>
    </w:p>
    <w:p w14:paraId="7C5B2D8F">
      <w:pPr>
        <w:rPr>
          <w:rFonts w:ascii="黑体" w:hAnsi="黑体" w:eastAsia="黑体"/>
          <w:sz w:val="32"/>
          <w:szCs w:val="32"/>
        </w:rPr>
      </w:pPr>
      <w:r>
        <w:rPr>
          <w:rFonts w:hint="eastAsia" w:ascii="黑体" w:hAnsi="黑体" w:eastAsia="黑体"/>
          <w:sz w:val="32"/>
          <w:szCs w:val="32"/>
        </w:rPr>
        <w:t>四、财政拨款收支预算情况说明</w:t>
      </w:r>
    </w:p>
    <w:p w14:paraId="245581AC">
      <w:pPr>
        <w:rPr>
          <w:rFonts w:ascii="黑体" w:hAnsi="黑体" w:eastAsia="黑体"/>
          <w:sz w:val="32"/>
          <w:szCs w:val="32"/>
        </w:rPr>
      </w:pPr>
      <w:r>
        <w:rPr>
          <w:rFonts w:hint="eastAsia" w:ascii="黑体" w:hAnsi="黑体" w:eastAsia="黑体"/>
          <w:sz w:val="32"/>
          <w:szCs w:val="32"/>
        </w:rPr>
        <w:t>五、一般公共预算当年拨款情况说明</w:t>
      </w:r>
    </w:p>
    <w:p w14:paraId="0C0BCD16">
      <w:pPr>
        <w:rPr>
          <w:rFonts w:ascii="黑体" w:hAnsi="黑体" w:eastAsia="黑体"/>
          <w:sz w:val="32"/>
          <w:szCs w:val="32"/>
        </w:rPr>
      </w:pPr>
      <w:r>
        <w:rPr>
          <w:rFonts w:hint="eastAsia" w:ascii="楷体_GB2312" w:hAnsi="楷体" w:eastAsia="楷体_GB2312"/>
          <w:sz w:val="32"/>
          <w:szCs w:val="32"/>
        </w:rPr>
        <w:t>（一）一般公共预算当年拨款规模变化情况</w:t>
      </w:r>
      <w:r>
        <w:rPr>
          <w:rFonts w:hint="eastAsia" w:ascii="楷体_GB2312" w:hAnsi="楷体" w:eastAsia="楷体_GB2312"/>
          <w:sz w:val="32"/>
          <w:szCs w:val="32"/>
        </w:rPr>
        <w:br w:type="textWrapping"/>
      </w:r>
      <w:r>
        <w:rPr>
          <w:rFonts w:hint="eastAsia" w:ascii="楷体_GB2312" w:hAnsi="楷体" w:eastAsia="楷体_GB2312"/>
          <w:sz w:val="32"/>
          <w:szCs w:val="32"/>
        </w:rPr>
        <w:t>（二）一般公共预算当年拨款结构情况</w:t>
      </w:r>
      <w:r>
        <w:rPr>
          <w:rFonts w:hint="eastAsia" w:ascii="楷体_GB2312" w:hAnsi="楷体" w:eastAsia="楷体_GB2312"/>
          <w:sz w:val="32"/>
          <w:szCs w:val="32"/>
        </w:rPr>
        <w:br w:type="textWrapping"/>
      </w:r>
      <w:r>
        <w:rPr>
          <w:rFonts w:hint="eastAsia" w:ascii="楷体_GB2312" w:hAnsi="楷体" w:eastAsia="楷体_GB2312"/>
          <w:sz w:val="32"/>
          <w:szCs w:val="32"/>
        </w:rPr>
        <w:t>（三）一般公共预算当年拨款具体使用情况</w:t>
      </w:r>
      <w:r>
        <w:rPr>
          <w:rFonts w:hint="eastAsia" w:ascii="楷体_GB2312" w:hAnsi="楷体" w:eastAsia="楷体_GB2312"/>
          <w:sz w:val="32"/>
          <w:szCs w:val="32"/>
        </w:rPr>
        <w:br w:type="textWrapping"/>
      </w:r>
      <w:r>
        <w:rPr>
          <w:rFonts w:hint="eastAsia" w:ascii="黑体" w:hAnsi="黑体" w:eastAsia="黑体"/>
          <w:sz w:val="32"/>
          <w:szCs w:val="32"/>
        </w:rPr>
        <w:t>六、一般公共预算基本支出情况说明</w:t>
      </w:r>
      <w:r>
        <w:rPr>
          <w:rFonts w:ascii="黑体" w:hAnsi="黑体" w:eastAsia="黑体"/>
          <w:sz w:val="32"/>
          <w:szCs w:val="32"/>
        </w:rPr>
        <w:br w:type="textWrapping"/>
      </w:r>
      <w:r>
        <w:rPr>
          <w:rFonts w:hint="eastAsia" w:ascii="黑体" w:hAnsi="黑体" w:eastAsia="黑体"/>
          <w:sz w:val="32"/>
          <w:szCs w:val="32"/>
        </w:rPr>
        <w:t>七、“三公”经费财政拨款预算安排情况说明</w:t>
      </w:r>
      <w:r>
        <w:rPr>
          <w:rFonts w:ascii="黑体" w:hAnsi="黑体" w:eastAsia="黑体"/>
          <w:sz w:val="32"/>
          <w:szCs w:val="32"/>
        </w:rPr>
        <w:br w:type="textWrapping"/>
      </w:r>
      <w:r>
        <w:rPr>
          <w:rFonts w:hint="eastAsia" w:ascii="黑体" w:hAnsi="黑体" w:eastAsia="黑体"/>
          <w:sz w:val="32"/>
          <w:szCs w:val="32"/>
        </w:rPr>
        <w:t>八、政府性基金预算支出情况说明</w:t>
      </w:r>
      <w:r>
        <w:rPr>
          <w:rFonts w:ascii="黑体" w:hAnsi="黑体" w:eastAsia="黑体"/>
          <w:sz w:val="32"/>
          <w:szCs w:val="32"/>
        </w:rPr>
        <w:br w:type="textWrapping"/>
      </w:r>
      <w:r>
        <w:rPr>
          <w:rFonts w:hint="eastAsia" w:ascii="黑体" w:hAnsi="黑体" w:eastAsia="黑体"/>
          <w:sz w:val="32"/>
          <w:szCs w:val="32"/>
        </w:rPr>
        <w:t>九、其他重要事项的情况说明</w:t>
      </w:r>
      <w:r>
        <w:rPr>
          <w:rFonts w:ascii="黑体" w:hAnsi="黑体" w:eastAsia="黑体"/>
          <w:sz w:val="32"/>
          <w:szCs w:val="32"/>
        </w:rPr>
        <w:br w:type="textWrapping"/>
      </w:r>
      <w:r>
        <w:rPr>
          <w:rFonts w:hint="eastAsia" w:ascii="黑体" w:hAnsi="黑体" w:eastAsia="黑体"/>
          <w:sz w:val="32"/>
          <w:szCs w:val="32"/>
        </w:rPr>
        <w:t>十、名称解释</w:t>
      </w:r>
    </w:p>
    <w:p w14:paraId="12A0FF14">
      <w:pPr>
        <w:rPr>
          <w:rFonts w:ascii="黑体" w:hAnsi="黑体" w:eastAsia="黑体"/>
          <w:sz w:val="32"/>
          <w:szCs w:val="32"/>
        </w:rPr>
      </w:pPr>
    </w:p>
    <w:p w14:paraId="066F5333">
      <w:pPr>
        <w:pStyle w:val="9"/>
        <w:ind w:left="0" w:leftChars="0" w:firstLine="0" w:firstLineChars="0"/>
        <w:rPr>
          <w:rFonts w:hint="eastAsia" w:ascii="黑体" w:hAnsi="黑体" w:eastAsia="黑体"/>
          <w:sz w:val="32"/>
          <w:szCs w:val="32"/>
        </w:rPr>
      </w:pPr>
    </w:p>
    <w:p w14:paraId="7CBD7509">
      <w:pPr>
        <w:pStyle w:val="9"/>
        <w:ind w:left="0" w:leftChars="0" w:firstLine="0" w:firstLineChars="0"/>
        <w:rPr>
          <w:rFonts w:hint="eastAsia" w:ascii="黑体" w:hAnsi="黑体" w:eastAsia="黑体"/>
          <w:sz w:val="32"/>
          <w:szCs w:val="32"/>
        </w:rPr>
      </w:pPr>
    </w:p>
    <w:p w14:paraId="78FD350B">
      <w:pPr>
        <w:pStyle w:val="9"/>
        <w:ind w:firstLine="640"/>
        <w:rPr>
          <w:rFonts w:ascii="黑体" w:hAnsi="黑体" w:eastAsia="黑体"/>
          <w:sz w:val="32"/>
          <w:szCs w:val="32"/>
        </w:rPr>
      </w:pPr>
      <w:r>
        <w:rPr>
          <w:rFonts w:hint="eastAsia" w:ascii="黑体" w:hAnsi="黑体" w:eastAsia="黑体"/>
          <w:sz w:val="32"/>
          <w:szCs w:val="32"/>
        </w:rPr>
        <w:t>一、基本职能及主要工作</w:t>
      </w:r>
    </w:p>
    <w:p w14:paraId="49180DD5">
      <w:pPr>
        <w:ind w:firstLine="643" w:firstLineChars="200"/>
        <w:rPr>
          <w:rFonts w:ascii="楷体_GB2312" w:hAnsi="楷体" w:eastAsia="楷体_GB2312"/>
          <w:b/>
          <w:sz w:val="32"/>
          <w:szCs w:val="32"/>
        </w:rPr>
      </w:pPr>
      <w:r>
        <w:rPr>
          <w:rFonts w:hint="eastAsia" w:ascii="楷体_GB2312" w:hAnsi="楷体" w:eastAsia="楷体_GB2312"/>
          <w:b/>
          <w:sz w:val="32"/>
          <w:szCs w:val="32"/>
        </w:rPr>
        <w:t>（一）部门职能简介</w:t>
      </w:r>
    </w:p>
    <w:p w14:paraId="39649F10">
      <w:pPr>
        <w:spacing w:line="560" w:lineRule="exact"/>
        <w:ind w:firstLine="640" w:firstLineChars="200"/>
        <w:rPr>
          <w:rFonts w:hint="eastAsia" w:ascii="仿宋_GB2312" w:eastAsia="仿宋_GB2312" w:cs="Times New Roman"/>
          <w:sz w:val="32"/>
          <w:szCs w:val="32"/>
        </w:rPr>
      </w:pPr>
      <w:r>
        <w:rPr>
          <w:rFonts w:hint="eastAsia" w:ascii="仿宋_GB2312" w:eastAsia="仿宋_GB2312" w:cs="Times New Roman"/>
          <w:sz w:val="32"/>
          <w:szCs w:val="32"/>
        </w:rPr>
        <w:t>贯彻落实国家基本公共卫生政策；负责开展家庭医生签约服务工作；负责卫生领域的乡村振兴工作；完成局交办的其他工作。</w:t>
      </w:r>
    </w:p>
    <w:p w14:paraId="295DA08B">
      <w:pPr>
        <w:ind w:firstLine="643" w:firstLineChars="200"/>
        <w:rPr>
          <w:rFonts w:ascii="楷体_GB2312" w:hAnsi="楷体" w:eastAsia="楷体_GB2312"/>
          <w:b/>
          <w:sz w:val="32"/>
          <w:szCs w:val="32"/>
        </w:rPr>
      </w:pPr>
      <w:r>
        <w:rPr>
          <w:rFonts w:hint="eastAsia" w:ascii="楷体_GB2312" w:hAnsi="楷体" w:eastAsia="楷体_GB2312"/>
          <w:b/>
          <w:sz w:val="32"/>
          <w:szCs w:val="32"/>
        </w:rPr>
        <w:t>（二）202</w:t>
      </w:r>
      <w:r>
        <w:rPr>
          <w:rFonts w:hint="eastAsia" w:ascii="楷体_GB2312" w:hAnsi="楷体" w:eastAsia="楷体_GB2312"/>
          <w:b/>
          <w:sz w:val="32"/>
          <w:szCs w:val="32"/>
          <w:lang w:val="en-US" w:eastAsia="zh-CN"/>
        </w:rPr>
        <w:t>6</w:t>
      </w:r>
      <w:r>
        <w:rPr>
          <w:rFonts w:hint="eastAsia" w:ascii="楷体_GB2312" w:hAnsi="楷体" w:eastAsia="楷体_GB2312"/>
          <w:b/>
          <w:sz w:val="32"/>
          <w:szCs w:val="32"/>
        </w:rPr>
        <w:t>年重点工作</w:t>
      </w:r>
    </w:p>
    <w:p w14:paraId="57A6F312">
      <w:pPr>
        <w:spacing w:line="560" w:lineRule="exact"/>
        <w:ind w:firstLine="640" w:firstLineChars="200"/>
        <w:rPr>
          <w:rFonts w:hint="eastAsia" w:ascii="仿宋_GB2312" w:eastAsia="仿宋_GB2312" w:cs="Times New Roman"/>
          <w:sz w:val="32"/>
          <w:szCs w:val="32"/>
          <w:lang w:eastAsia="zh-CN"/>
        </w:rPr>
      </w:pPr>
      <w:r>
        <w:rPr>
          <w:rFonts w:hint="eastAsia" w:ascii="仿宋_GB2312" w:eastAsia="仿宋_GB2312" w:cs="Times New Roman"/>
          <w:sz w:val="32"/>
          <w:szCs w:val="32"/>
          <w:lang w:val="en-US" w:eastAsia="zh-CN"/>
        </w:rPr>
        <w:t>1.促进基本公共卫生服务提质增效。</w:t>
      </w:r>
      <w:r>
        <w:rPr>
          <w:rFonts w:hint="eastAsia" w:ascii="仿宋_GB2312" w:eastAsia="仿宋_GB2312" w:cs="Times New Roman"/>
          <w:sz w:val="32"/>
          <w:szCs w:val="32"/>
          <w:lang w:eastAsia="zh-CN"/>
        </w:rPr>
        <w:t>全面完成民生实事任务，持续为常住城乡居民免费提供12项国家基本公共卫生服务。</w:t>
      </w:r>
    </w:p>
    <w:p w14:paraId="24B07023">
      <w:pPr>
        <w:spacing w:line="560" w:lineRule="exact"/>
        <w:ind w:firstLine="640" w:firstLineChars="200"/>
        <w:rPr>
          <w:rFonts w:hint="eastAsia" w:ascii="仿宋_GB2312" w:eastAsia="仿宋_GB2312" w:cs="Times New Roman"/>
          <w:sz w:val="32"/>
          <w:szCs w:val="32"/>
          <w:lang w:eastAsia="zh-CN"/>
        </w:rPr>
      </w:pPr>
      <w:r>
        <w:rPr>
          <w:rFonts w:hint="eastAsia" w:ascii="仿宋_GB2312" w:eastAsia="仿宋_GB2312" w:cs="Times New Roman"/>
          <w:sz w:val="32"/>
          <w:szCs w:val="32"/>
          <w:lang w:val="en-US" w:eastAsia="zh-CN"/>
        </w:rPr>
        <w:t>2.改进家庭医生签约服务不实不优问题，切实加强城镇居民签约服务。</w:t>
      </w:r>
      <w:r>
        <w:rPr>
          <w:rFonts w:hint="eastAsia" w:ascii="仿宋_GB2312" w:eastAsia="仿宋_GB2312" w:cs="Times New Roman"/>
          <w:sz w:val="32"/>
          <w:szCs w:val="32"/>
          <w:lang w:eastAsia="zh-CN"/>
        </w:rPr>
        <w:t>以高血压、糖尿病“两病”患者和老年人、孕产妇、儿童为重点，根据不同人群签约服务需求，加强家庭医生签约服务宣传。</w:t>
      </w:r>
    </w:p>
    <w:p w14:paraId="11698110">
      <w:pPr>
        <w:pStyle w:val="3"/>
        <w:keepNext w:val="0"/>
        <w:keepLines w:val="0"/>
        <w:pageBreakBefore w:val="0"/>
        <w:widowControl w:val="0"/>
        <w:pBdr>
          <w:bottom w:val="single" w:color="FFFFFF" w:sz="4" w:space="29"/>
        </w:pBdr>
        <w:tabs>
          <w:tab w:val="left" w:pos="1440"/>
        </w:tabs>
        <w:kinsoku/>
        <w:wordWrap/>
        <w:overflowPunct/>
        <w:topLinePunct w:val="0"/>
        <w:autoSpaceDE/>
        <w:autoSpaceDN/>
        <w:bidi w:val="0"/>
        <w:adjustRightInd/>
        <w:snapToGrid/>
        <w:spacing w:line="560" w:lineRule="exact"/>
        <w:ind w:left="0" w:leftChars="0"/>
        <w:textAlignment w:val="auto"/>
        <w:rPr>
          <w:rFonts w:hint="eastAsia" w:ascii="黑体" w:hAnsi="黑体" w:eastAsia="黑体"/>
          <w:sz w:val="32"/>
          <w:szCs w:val="32"/>
        </w:rPr>
      </w:pPr>
      <w:r>
        <w:rPr>
          <w:rFonts w:hint="default" w:ascii="黑体" w:hAnsi="黑体" w:eastAsia="黑体" w:cs="Times New Roman"/>
          <w:kern w:val="2"/>
          <w:sz w:val="32"/>
          <w:szCs w:val="32"/>
          <w:lang w:val="en-US" w:eastAsia="zh-CN" w:bidi="ar-SA"/>
        </w:rPr>
        <w:t>二、</w:t>
      </w:r>
      <w:r>
        <w:rPr>
          <w:rFonts w:hint="eastAsia" w:ascii="黑体" w:hAnsi="黑体" w:eastAsia="黑体"/>
          <w:sz w:val="32"/>
          <w:szCs w:val="32"/>
        </w:rPr>
        <w:t>部门预算单位构成</w:t>
      </w:r>
    </w:p>
    <w:p w14:paraId="02764993">
      <w:pPr>
        <w:pStyle w:val="3"/>
        <w:keepNext w:val="0"/>
        <w:keepLines w:val="0"/>
        <w:pageBreakBefore w:val="0"/>
        <w:widowControl w:val="0"/>
        <w:pBdr>
          <w:bottom w:val="single" w:color="FFFFFF" w:sz="4" w:space="29"/>
        </w:pBdr>
        <w:tabs>
          <w:tab w:val="left" w:pos="1440"/>
        </w:tabs>
        <w:kinsoku/>
        <w:wordWrap/>
        <w:overflowPunct/>
        <w:topLinePunct w:val="0"/>
        <w:autoSpaceDE/>
        <w:autoSpaceDN/>
        <w:bidi w:val="0"/>
        <w:adjustRightInd/>
        <w:snapToGrid/>
        <w:spacing w:line="560" w:lineRule="exact"/>
        <w:ind w:left="0" w:leftChars="0"/>
        <w:textAlignment w:val="auto"/>
        <w:rPr>
          <w:rFonts w:hint="eastAsia" w:ascii="仿宋_GB2312" w:eastAsia="仿宋_GB2312"/>
          <w:b w:val="0"/>
          <w:bCs/>
          <w:sz w:val="32"/>
          <w:szCs w:val="32"/>
        </w:rPr>
      </w:pPr>
      <w:r>
        <w:rPr>
          <w:rFonts w:hint="eastAsia" w:ascii="仿宋_GB2312" w:hAnsi="Calibri" w:eastAsia="仿宋_GB2312" w:cs="Times New Roman"/>
          <w:kern w:val="2"/>
          <w:sz w:val="32"/>
          <w:szCs w:val="32"/>
          <w:lang w:val="en-US" w:eastAsia="zh-CN" w:bidi="ar-SA"/>
        </w:rPr>
        <w:t>茂县卫生事务综合服务中心属</w:t>
      </w:r>
      <w:r>
        <w:rPr>
          <w:rFonts w:hint="eastAsia" w:ascii="仿宋_GB2312" w:eastAsia="仿宋_GB2312" w:cs="Times New Roman"/>
          <w:kern w:val="2"/>
          <w:sz w:val="32"/>
          <w:szCs w:val="32"/>
          <w:lang w:val="en-US" w:eastAsia="zh-CN" w:bidi="ar-SA"/>
        </w:rPr>
        <w:t>二级预算单位，</w:t>
      </w:r>
      <w:r>
        <w:rPr>
          <w:rFonts w:hint="eastAsia" w:ascii="仿宋_GB2312" w:eastAsia="仿宋_GB2312"/>
          <w:b w:val="0"/>
          <w:bCs/>
          <w:sz w:val="32"/>
          <w:szCs w:val="32"/>
        </w:rPr>
        <w:t>其中：参照公务员法管理的事业单位</w:t>
      </w:r>
      <w:r>
        <w:rPr>
          <w:rFonts w:hint="eastAsia" w:ascii="仿宋_GB2312" w:eastAsia="仿宋_GB2312"/>
          <w:b w:val="0"/>
          <w:bCs/>
          <w:sz w:val="32"/>
          <w:szCs w:val="32"/>
          <w:lang w:val="en-US" w:eastAsia="zh-CN"/>
        </w:rPr>
        <w:t>0</w:t>
      </w:r>
      <w:r>
        <w:rPr>
          <w:rFonts w:hint="eastAsia" w:ascii="仿宋_GB2312" w:eastAsia="仿宋_GB2312"/>
          <w:b w:val="0"/>
          <w:bCs/>
          <w:sz w:val="32"/>
          <w:szCs w:val="32"/>
        </w:rPr>
        <w:t>个，其他事业单位</w:t>
      </w:r>
      <w:r>
        <w:rPr>
          <w:rFonts w:hint="eastAsia" w:ascii="仿宋_GB2312" w:eastAsia="仿宋_GB2312"/>
          <w:b w:val="0"/>
          <w:bCs/>
          <w:sz w:val="32"/>
          <w:szCs w:val="32"/>
          <w:lang w:val="en-US" w:eastAsia="zh-CN"/>
        </w:rPr>
        <w:t>0</w:t>
      </w:r>
      <w:r>
        <w:rPr>
          <w:rFonts w:hint="eastAsia" w:ascii="仿宋_GB2312" w:eastAsia="仿宋_GB2312"/>
          <w:b w:val="0"/>
          <w:bCs/>
          <w:sz w:val="32"/>
          <w:szCs w:val="32"/>
        </w:rPr>
        <w:t>个。</w:t>
      </w:r>
    </w:p>
    <w:p w14:paraId="532592CF">
      <w:pPr>
        <w:pStyle w:val="3"/>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olor w:val="000000" w:themeColor="text1"/>
          <w:sz w:val="32"/>
          <w:szCs w:val="32"/>
          <w14:textFill>
            <w14:solidFill>
              <w14:schemeClr w14:val="tx1"/>
            </w14:solidFill>
          </w14:textFill>
        </w:rPr>
      </w:pPr>
      <w:r>
        <w:rPr>
          <w:rFonts w:hint="eastAsia" w:ascii="黑体" w:hAnsi="黑体" w:eastAsia="黑体"/>
          <w:color w:val="000000" w:themeColor="text1"/>
          <w:sz w:val="32"/>
          <w:szCs w:val="32"/>
          <w:lang w:eastAsia="zh-CN"/>
          <w14:textFill>
            <w14:solidFill>
              <w14:schemeClr w14:val="tx1"/>
            </w14:solidFill>
          </w14:textFill>
        </w:rPr>
        <w:t>三、</w:t>
      </w:r>
      <w:r>
        <w:rPr>
          <w:rFonts w:hint="eastAsia" w:ascii="黑体" w:hAnsi="黑体" w:eastAsia="黑体"/>
          <w:color w:val="000000" w:themeColor="text1"/>
          <w:sz w:val="32"/>
          <w:szCs w:val="32"/>
          <w14:textFill>
            <w14:solidFill>
              <w14:schemeClr w14:val="tx1"/>
            </w14:solidFill>
          </w14:textFill>
        </w:rPr>
        <w:t>收支预算情况说明</w:t>
      </w:r>
    </w:p>
    <w:p w14:paraId="3593C99D">
      <w:pPr>
        <w:keepNext w:val="0"/>
        <w:keepLines w:val="0"/>
        <w:pageBreakBefore w:val="0"/>
        <w:widowControl w:val="0"/>
        <w:pBdr>
          <w:bottom w:val="single" w:color="FFFFFF" w:sz="4" w:space="29"/>
        </w:pBdr>
        <w:tabs>
          <w:tab w:val="left" w:pos="1440"/>
        </w:tabs>
        <w:kinsoku/>
        <w:wordWrap/>
        <w:overflowPunct/>
        <w:topLinePunct w:val="0"/>
        <w:autoSpaceDE/>
        <w:autoSpaceDN/>
        <w:bidi w:val="0"/>
        <w:adjustRightInd/>
        <w:snapToGrid/>
        <w:spacing w:line="560" w:lineRule="exact"/>
        <w:ind w:left="0" w:firstLine="640" w:firstLineChars="200"/>
        <w:textAlignment w:val="auto"/>
        <w:rPr>
          <w:rFonts w:hint="eastAsia" w:ascii="仿宋_GB2312" w:hAnsi="Calibri" w:eastAsia="仿宋_GB2312" w:cs="Times New Roman"/>
          <w:kern w:val="2"/>
          <w:sz w:val="32"/>
          <w:szCs w:val="32"/>
          <w:lang w:val="en-US" w:eastAsia="zh-CN" w:bidi="ar-SA"/>
        </w:rPr>
      </w:pPr>
      <w:r>
        <w:rPr>
          <w:rFonts w:hint="eastAsia" w:ascii="仿宋_GB2312" w:hAnsi="Calibri" w:eastAsia="仿宋_GB2312" w:cs="Times New Roman"/>
          <w:kern w:val="2"/>
          <w:sz w:val="32"/>
          <w:szCs w:val="32"/>
          <w:lang w:val="en-US" w:eastAsia="zh-CN" w:bidi="ar-SA"/>
        </w:rPr>
        <w:t>按照综合预算的原则，</w:t>
      </w:r>
      <w:r>
        <w:rPr>
          <w:rFonts w:hint="eastAsia" w:ascii="仿宋_GB2312" w:eastAsia="仿宋_GB2312" w:cs="Times New Roman"/>
          <w:kern w:val="2"/>
          <w:sz w:val="32"/>
          <w:szCs w:val="32"/>
          <w:lang w:val="en-US" w:eastAsia="zh-CN" w:bidi="ar-SA"/>
        </w:rPr>
        <w:t>茂县卫生事务综合服务中心</w:t>
      </w:r>
      <w:r>
        <w:rPr>
          <w:rFonts w:hint="eastAsia" w:ascii="仿宋_GB2312" w:hAnsi="Calibri" w:eastAsia="仿宋_GB2312" w:cs="Times New Roman"/>
          <w:kern w:val="2"/>
          <w:sz w:val="32"/>
          <w:szCs w:val="32"/>
          <w:lang w:val="en-US" w:eastAsia="zh-CN" w:bidi="ar-SA"/>
        </w:rPr>
        <w:t>所有收入和支出均纳入部门预算管理。收入包括：一般公共预算拨款收入177136.88元；支出包括：社会保障和就业支出26890.04元，卫生健康支出136746.84元，住房保障支出13500.00元，</w:t>
      </w:r>
      <w:r>
        <w:rPr>
          <w:rFonts w:hint="eastAsia" w:ascii="仿宋_GB2312" w:eastAsia="仿宋_GB2312" w:cs="Times New Roman"/>
          <w:kern w:val="2"/>
          <w:sz w:val="32"/>
          <w:szCs w:val="32"/>
          <w:lang w:val="en-US" w:eastAsia="zh-CN" w:bidi="ar-SA"/>
        </w:rPr>
        <w:t>茂县卫生事务综合服务中心</w:t>
      </w:r>
      <w:r>
        <w:rPr>
          <w:rFonts w:hint="eastAsia" w:ascii="仿宋_GB2312" w:hAnsi="Calibri" w:eastAsia="仿宋_GB2312" w:cs="Times New Roman"/>
          <w:kern w:val="2"/>
          <w:sz w:val="32"/>
          <w:szCs w:val="32"/>
          <w:lang w:val="en-US" w:eastAsia="zh-CN" w:bidi="ar-SA"/>
        </w:rPr>
        <w:t>2026年收支总预算177136.88元,较2025年收支预算总数减少165586.15元，主要原因</w:t>
      </w:r>
      <w:r>
        <w:rPr>
          <w:rFonts w:hint="eastAsia" w:ascii="仿宋_GB2312" w:eastAsia="仿宋_GB2312" w:cs="Times New Roman"/>
          <w:kern w:val="2"/>
          <w:sz w:val="32"/>
          <w:szCs w:val="32"/>
          <w:lang w:val="en-US" w:eastAsia="zh-CN" w:bidi="ar-SA"/>
        </w:rPr>
        <w:t>是</w:t>
      </w:r>
      <w:r>
        <w:rPr>
          <w:rFonts w:hint="eastAsia" w:ascii="仿宋_GB2312" w:hAnsi="Calibri" w:eastAsia="仿宋_GB2312" w:cs="Times New Roman"/>
          <w:kern w:val="2"/>
          <w:sz w:val="32"/>
          <w:szCs w:val="32"/>
          <w:lang w:val="en-US" w:eastAsia="zh-CN" w:bidi="ar-SA"/>
        </w:rPr>
        <w:t>:人员调出。</w:t>
      </w:r>
    </w:p>
    <w:p w14:paraId="14C70AF2">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60" w:lineRule="exact"/>
        <w:ind w:left="0" w:leftChars="0" w:firstLine="643" w:firstLineChars="200"/>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kern w:val="2"/>
          <w:sz w:val="32"/>
          <w:szCs w:val="32"/>
          <w:lang w:val="en-US" w:eastAsia="zh-CN" w:bidi="ar-SA"/>
        </w:rPr>
        <w:t>（一）</w:t>
      </w:r>
      <w:r>
        <w:rPr>
          <w:rFonts w:hint="eastAsia" w:ascii="楷体_GB2312" w:hAnsi="楷体" w:eastAsia="楷体_GB2312"/>
          <w:b/>
          <w:sz w:val="32"/>
          <w:szCs w:val="32"/>
        </w:rPr>
        <w:t>收入预算情况</w:t>
      </w:r>
    </w:p>
    <w:p w14:paraId="469256D9">
      <w:pPr>
        <w:keepNext w:val="0"/>
        <w:keepLines w:val="0"/>
        <w:pageBreakBefore w:val="0"/>
        <w:widowControl w:val="0"/>
        <w:pBdr>
          <w:bottom w:val="single" w:color="FFFFFF" w:sz="4" w:space="29"/>
        </w:pBdr>
        <w:tabs>
          <w:tab w:val="left" w:pos="1440"/>
        </w:tabs>
        <w:kinsoku/>
        <w:wordWrap/>
        <w:overflowPunct/>
        <w:topLinePunct w:val="0"/>
        <w:autoSpaceDE/>
        <w:autoSpaceDN/>
        <w:bidi w:val="0"/>
        <w:adjustRightInd/>
        <w:snapToGrid/>
        <w:spacing w:line="560" w:lineRule="exact"/>
        <w:ind w:left="0" w:firstLine="640" w:firstLineChars="200"/>
        <w:textAlignment w:val="auto"/>
        <w:rPr>
          <w:rFonts w:hint="eastAsia" w:ascii="仿宋_GB2312" w:hAnsi="Calibri" w:eastAsia="仿宋_GB2312" w:cs="Times New Roman"/>
          <w:kern w:val="2"/>
          <w:sz w:val="32"/>
          <w:szCs w:val="32"/>
          <w:lang w:val="en-US" w:eastAsia="zh-CN" w:bidi="ar-SA"/>
        </w:rPr>
      </w:pPr>
      <w:r>
        <w:rPr>
          <w:rFonts w:hint="eastAsia" w:ascii="仿宋_GB2312" w:hAnsi="Calibri" w:eastAsia="仿宋_GB2312" w:cs="Times New Roman"/>
          <w:kern w:val="2"/>
          <w:sz w:val="32"/>
          <w:szCs w:val="32"/>
          <w:lang w:val="en-US" w:eastAsia="zh-CN" w:bidi="ar-SA"/>
        </w:rPr>
        <w:t>2026年收入预算177136.88元；一般公共预算拨款收入  177136.88元，占100%。</w:t>
      </w:r>
    </w:p>
    <w:p w14:paraId="711B9840">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60" w:lineRule="exact"/>
        <w:ind w:left="0" w:leftChars="0" w:firstLine="643" w:firstLineChars="200"/>
        <w:textAlignment w:val="auto"/>
        <w:rPr>
          <w:rFonts w:hint="eastAsia" w:ascii="楷体_GB2312" w:hAnsi="楷体_GB2312" w:eastAsia="楷体_GB2312" w:cs="楷体_GB2312"/>
          <w:b/>
          <w:bCs/>
          <w:kern w:val="2"/>
          <w:sz w:val="32"/>
          <w:szCs w:val="32"/>
          <w:lang w:val="en-US" w:eastAsia="zh-CN" w:bidi="ar-SA"/>
        </w:rPr>
      </w:pPr>
      <w:r>
        <w:rPr>
          <w:rFonts w:hint="eastAsia" w:ascii="楷体_GB2312" w:hAnsi="楷体_GB2312" w:eastAsia="楷体_GB2312" w:cs="楷体_GB2312"/>
          <w:b/>
          <w:bCs/>
          <w:kern w:val="2"/>
          <w:sz w:val="32"/>
          <w:szCs w:val="32"/>
          <w:lang w:val="en-US" w:eastAsia="zh-CN" w:bidi="ar-SA"/>
        </w:rPr>
        <w:t>（二）支出预算情况</w:t>
      </w:r>
    </w:p>
    <w:p w14:paraId="39D76DEE">
      <w:pPr>
        <w:keepNext w:val="0"/>
        <w:keepLines w:val="0"/>
        <w:pageBreakBefore w:val="0"/>
        <w:widowControl w:val="0"/>
        <w:pBdr>
          <w:bottom w:val="single" w:color="FFFFFF" w:sz="4" w:space="29"/>
        </w:pBdr>
        <w:tabs>
          <w:tab w:val="left" w:pos="1440"/>
        </w:tabs>
        <w:kinsoku/>
        <w:wordWrap/>
        <w:overflowPunct/>
        <w:topLinePunct w:val="0"/>
        <w:autoSpaceDE/>
        <w:autoSpaceDN/>
        <w:bidi w:val="0"/>
        <w:adjustRightInd/>
        <w:snapToGrid/>
        <w:spacing w:line="560" w:lineRule="exact"/>
        <w:ind w:left="0" w:firstLine="640" w:firstLineChars="200"/>
        <w:textAlignment w:val="auto"/>
        <w:rPr>
          <w:rFonts w:hint="eastAsia" w:ascii="仿宋_GB2312" w:hAnsi="Calibri" w:eastAsia="仿宋_GB2312" w:cs="Times New Roman"/>
          <w:kern w:val="2"/>
          <w:sz w:val="32"/>
          <w:szCs w:val="32"/>
          <w:lang w:val="en-US" w:eastAsia="zh-CN" w:bidi="ar-SA"/>
        </w:rPr>
      </w:pPr>
      <w:r>
        <w:rPr>
          <w:rFonts w:hint="eastAsia" w:ascii="仿宋_GB2312" w:hAnsi="Calibri" w:eastAsia="仿宋_GB2312" w:cs="Times New Roman"/>
          <w:kern w:val="2"/>
          <w:sz w:val="32"/>
          <w:szCs w:val="32"/>
          <w:lang w:val="en-US" w:eastAsia="zh-CN" w:bidi="ar-SA"/>
        </w:rPr>
        <w:t>2026年支出预算177136.88元，其中:基本支出177136.88元，占100%；项目支出0.00元</w:t>
      </w:r>
      <w:r>
        <w:rPr>
          <w:rFonts w:hint="eastAsia" w:ascii="仿宋_GB2312" w:eastAsia="仿宋_GB2312" w:cs="Times New Roman"/>
          <w:kern w:val="2"/>
          <w:sz w:val="32"/>
          <w:szCs w:val="32"/>
          <w:lang w:val="en-US" w:eastAsia="zh-CN" w:bidi="ar-SA"/>
        </w:rPr>
        <w:t>，占0%。</w:t>
      </w:r>
    </w:p>
    <w:p w14:paraId="080C0497">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60" w:lineRule="exact"/>
        <w:ind w:firstLine="640" w:firstLineChars="200"/>
        <w:jc w:val="left"/>
        <w:textAlignment w:val="auto"/>
        <w:rPr>
          <w:rFonts w:hint="eastAsia" w:ascii="黑体" w:eastAsia="黑体"/>
          <w:sz w:val="32"/>
          <w:szCs w:val="32"/>
        </w:rPr>
      </w:pPr>
      <w:r>
        <w:rPr>
          <w:rFonts w:hint="eastAsia" w:ascii="黑体" w:eastAsia="黑体" w:cs="Times New Roman"/>
          <w:kern w:val="2"/>
          <w:sz w:val="32"/>
          <w:szCs w:val="32"/>
          <w:lang w:val="en-US" w:eastAsia="zh-CN" w:bidi="ar-SA"/>
        </w:rPr>
        <w:t>四</w:t>
      </w:r>
      <w:r>
        <w:rPr>
          <w:rFonts w:hint="default" w:ascii="黑体" w:hAnsi="Calibri" w:eastAsia="黑体" w:cs="Times New Roman"/>
          <w:kern w:val="2"/>
          <w:sz w:val="32"/>
          <w:szCs w:val="32"/>
          <w:lang w:val="en-US" w:eastAsia="zh-CN" w:bidi="ar-SA"/>
        </w:rPr>
        <w:t>、</w:t>
      </w:r>
      <w:r>
        <w:rPr>
          <w:rFonts w:hint="eastAsia" w:ascii="黑体" w:hAnsi="黑体" w:eastAsia="黑体"/>
          <w:sz w:val="32"/>
          <w:szCs w:val="32"/>
        </w:rPr>
        <w:t>财政拨款收支预算情况说明</w:t>
      </w:r>
    </w:p>
    <w:p w14:paraId="1BD26C16">
      <w:pPr>
        <w:keepNext w:val="0"/>
        <w:keepLines w:val="0"/>
        <w:pageBreakBefore w:val="0"/>
        <w:widowControl w:val="0"/>
        <w:pBdr>
          <w:bottom w:val="single" w:color="FFFFFF" w:sz="4" w:space="29"/>
        </w:pBdr>
        <w:tabs>
          <w:tab w:val="left" w:pos="1440"/>
        </w:tabs>
        <w:kinsoku/>
        <w:wordWrap/>
        <w:overflowPunct/>
        <w:topLinePunct w:val="0"/>
        <w:autoSpaceDE/>
        <w:autoSpaceDN/>
        <w:bidi w:val="0"/>
        <w:adjustRightInd/>
        <w:snapToGrid/>
        <w:spacing w:line="560" w:lineRule="exact"/>
        <w:ind w:left="0" w:firstLine="640" w:firstLineChars="200"/>
        <w:textAlignment w:val="auto"/>
        <w:rPr>
          <w:rFonts w:hint="eastAsia" w:ascii="仿宋_GB2312" w:hAnsi="Calibri" w:eastAsia="仿宋_GB2312" w:cs="Times New Roman"/>
          <w:kern w:val="2"/>
          <w:sz w:val="32"/>
          <w:szCs w:val="32"/>
          <w:lang w:val="en-US" w:eastAsia="zh-CN" w:bidi="ar-SA"/>
        </w:rPr>
      </w:pPr>
      <w:r>
        <w:rPr>
          <w:rFonts w:hint="eastAsia" w:ascii="仿宋_GB2312" w:hAnsi="Calibri" w:eastAsia="仿宋_GB2312" w:cs="Times New Roman"/>
          <w:kern w:val="2"/>
          <w:sz w:val="32"/>
          <w:szCs w:val="32"/>
          <w:lang w:val="en-US" w:eastAsia="zh-CN" w:bidi="ar-SA"/>
        </w:rPr>
        <w:t>2026年财政拨款收支总预算177136.88元，较2025年财政拨款收支总预算减少165586.15元，主要原因</w:t>
      </w:r>
      <w:r>
        <w:rPr>
          <w:rFonts w:hint="eastAsia" w:ascii="仿宋_GB2312" w:eastAsia="仿宋_GB2312" w:cs="Times New Roman"/>
          <w:kern w:val="2"/>
          <w:sz w:val="32"/>
          <w:szCs w:val="32"/>
          <w:lang w:val="en-US" w:eastAsia="zh-CN" w:bidi="ar-SA"/>
        </w:rPr>
        <w:t>是</w:t>
      </w:r>
      <w:r>
        <w:rPr>
          <w:rFonts w:hint="eastAsia" w:ascii="仿宋_GB2312" w:hAnsi="Calibri" w:eastAsia="仿宋_GB2312" w:cs="Times New Roman"/>
          <w:kern w:val="2"/>
          <w:sz w:val="32"/>
          <w:szCs w:val="32"/>
          <w:lang w:val="en-US" w:eastAsia="zh-CN" w:bidi="ar-SA"/>
        </w:rPr>
        <w:t>:人员</w:t>
      </w:r>
      <w:r>
        <w:rPr>
          <w:rFonts w:hint="eastAsia" w:ascii="仿宋_GB2312" w:eastAsia="仿宋_GB2312" w:cs="Times New Roman"/>
          <w:kern w:val="2"/>
          <w:sz w:val="32"/>
          <w:szCs w:val="32"/>
          <w:lang w:val="en-US" w:eastAsia="zh-CN" w:bidi="ar-SA"/>
        </w:rPr>
        <w:t>调出</w:t>
      </w:r>
      <w:r>
        <w:rPr>
          <w:rFonts w:hint="eastAsia" w:ascii="仿宋_GB2312" w:hAnsi="Calibri" w:eastAsia="仿宋_GB2312" w:cs="Times New Roman"/>
          <w:kern w:val="2"/>
          <w:sz w:val="32"/>
          <w:szCs w:val="32"/>
          <w:lang w:val="en-US" w:eastAsia="zh-CN" w:bidi="ar-SA"/>
        </w:rPr>
        <w:t>。</w:t>
      </w:r>
    </w:p>
    <w:p w14:paraId="2E4B440D">
      <w:pPr>
        <w:keepNext w:val="0"/>
        <w:keepLines w:val="0"/>
        <w:pageBreakBefore w:val="0"/>
        <w:widowControl w:val="0"/>
        <w:pBdr>
          <w:bottom w:val="single" w:color="FFFFFF" w:sz="4" w:space="29"/>
        </w:pBdr>
        <w:tabs>
          <w:tab w:val="left" w:pos="1440"/>
        </w:tabs>
        <w:kinsoku/>
        <w:wordWrap/>
        <w:overflowPunct/>
        <w:topLinePunct w:val="0"/>
        <w:autoSpaceDE/>
        <w:autoSpaceDN/>
        <w:bidi w:val="0"/>
        <w:adjustRightInd/>
        <w:snapToGrid/>
        <w:spacing w:line="560" w:lineRule="exact"/>
        <w:ind w:left="0" w:firstLine="640" w:firstLineChars="200"/>
        <w:textAlignment w:val="auto"/>
        <w:rPr>
          <w:rFonts w:hint="eastAsia" w:ascii="仿宋_GB2312" w:hAnsi="Calibri" w:eastAsia="仿宋_GB2312" w:cs="Times New Roman"/>
          <w:kern w:val="2"/>
          <w:sz w:val="32"/>
          <w:szCs w:val="32"/>
          <w:lang w:val="en-US" w:eastAsia="zh-CN" w:bidi="ar-SA"/>
        </w:rPr>
      </w:pPr>
      <w:r>
        <w:rPr>
          <w:rFonts w:hint="eastAsia" w:ascii="仿宋_GB2312" w:hAnsi="Calibri" w:eastAsia="仿宋_GB2312" w:cs="Times New Roman"/>
          <w:kern w:val="2"/>
          <w:sz w:val="32"/>
          <w:szCs w:val="32"/>
          <w:lang w:val="en-US" w:eastAsia="zh-CN" w:bidi="ar-SA"/>
        </w:rPr>
        <w:t>收入包括：本年一般公共预算拨款收入177136.88元。</w:t>
      </w:r>
    </w:p>
    <w:p w14:paraId="300707B3">
      <w:pPr>
        <w:keepNext w:val="0"/>
        <w:keepLines w:val="0"/>
        <w:pageBreakBefore w:val="0"/>
        <w:widowControl w:val="0"/>
        <w:pBdr>
          <w:bottom w:val="single" w:color="FFFFFF" w:sz="4" w:space="29"/>
        </w:pBdr>
        <w:tabs>
          <w:tab w:val="left" w:pos="1440"/>
        </w:tabs>
        <w:kinsoku/>
        <w:wordWrap/>
        <w:overflowPunct/>
        <w:topLinePunct w:val="0"/>
        <w:autoSpaceDE/>
        <w:autoSpaceDN/>
        <w:bidi w:val="0"/>
        <w:adjustRightInd/>
        <w:snapToGrid/>
        <w:spacing w:line="560" w:lineRule="exact"/>
        <w:ind w:left="0" w:firstLine="640" w:firstLineChars="200"/>
        <w:textAlignment w:val="auto"/>
        <w:rPr>
          <w:rFonts w:hint="eastAsia" w:ascii="仿宋_GB2312" w:hAnsi="Calibri" w:eastAsia="仿宋_GB2312" w:cs="Times New Roman"/>
          <w:kern w:val="2"/>
          <w:sz w:val="32"/>
          <w:szCs w:val="32"/>
          <w:lang w:val="en-US" w:eastAsia="zh-CN" w:bidi="ar-SA"/>
        </w:rPr>
      </w:pPr>
      <w:r>
        <w:rPr>
          <w:rFonts w:hint="eastAsia" w:ascii="仿宋_GB2312" w:hAnsi="Calibri" w:eastAsia="仿宋_GB2312" w:cs="Times New Roman"/>
          <w:kern w:val="2"/>
          <w:sz w:val="32"/>
          <w:szCs w:val="32"/>
          <w:lang w:val="en-US" w:eastAsia="zh-CN" w:bidi="ar-SA"/>
        </w:rPr>
        <w:t>支出包括：社会保障和就业支出26890.04元，卫生健康支出136746.84元，住房保障支出13500.00元。</w:t>
      </w:r>
    </w:p>
    <w:p w14:paraId="1DAAFE51">
      <w:pPr>
        <w:keepNext w:val="0"/>
        <w:keepLines w:val="0"/>
        <w:pageBreakBefore w:val="0"/>
        <w:widowControl w:val="0"/>
        <w:numPr>
          <w:ilvl w:val="0"/>
          <w:numId w:val="1"/>
        </w:numPr>
        <w:pBdr>
          <w:bottom w:val="single" w:color="FFFFFF" w:sz="4" w:space="29"/>
        </w:pBdr>
        <w:tabs>
          <w:tab w:val="left" w:pos="1440"/>
        </w:tabs>
        <w:kinsoku/>
        <w:wordWrap/>
        <w:overflowPunct/>
        <w:topLinePunct w:val="0"/>
        <w:autoSpaceDE/>
        <w:autoSpaceDN/>
        <w:bidi w:val="0"/>
        <w:adjustRightInd/>
        <w:snapToGrid/>
        <w:spacing w:line="560" w:lineRule="exact"/>
        <w:ind w:left="-220" w:leftChars="0" w:firstLine="640" w:firstLineChars="0"/>
        <w:textAlignment w:val="auto"/>
        <w:rPr>
          <w:rFonts w:hint="eastAsia" w:ascii="黑体" w:hAnsi="黑体" w:eastAsia="黑体"/>
          <w:color w:val="000000" w:themeColor="text1"/>
          <w:sz w:val="32"/>
          <w:szCs w:val="32"/>
          <w14:textFill>
            <w14:solidFill>
              <w14:schemeClr w14:val="tx1"/>
            </w14:solidFill>
          </w14:textFill>
        </w:rPr>
      </w:pPr>
      <w:r>
        <w:rPr>
          <w:rFonts w:hint="eastAsia" w:ascii="黑体" w:hAnsi="黑体" w:eastAsia="黑体"/>
          <w:color w:val="000000" w:themeColor="text1"/>
          <w:sz w:val="32"/>
          <w:szCs w:val="32"/>
          <w14:textFill>
            <w14:solidFill>
              <w14:schemeClr w14:val="tx1"/>
            </w14:solidFill>
          </w14:textFill>
        </w:rPr>
        <w:t>一般公共预算当年拨款情况说明</w:t>
      </w:r>
    </w:p>
    <w:p w14:paraId="4807B99E">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60" w:lineRule="exact"/>
        <w:ind w:firstLine="643" w:firstLineChars="200"/>
        <w:textAlignment w:val="auto"/>
        <w:rPr>
          <w:rFonts w:hint="eastAsia" w:ascii="楷体_GB2312" w:hAnsi="楷体" w:eastAsia="楷体_GB2312"/>
          <w:b/>
          <w:sz w:val="32"/>
          <w:szCs w:val="32"/>
          <w:lang w:eastAsia="zh-CN"/>
        </w:rPr>
      </w:pPr>
      <w:r>
        <w:rPr>
          <w:rFonts w:hint="eastAsia" w:ascii="楷体_GB2312" w:hAnsi="楷体" w:eastAsia="楷体_GB2312"/>
          <w:b/>
          <w:sz w:val="32"/>
          <w:szCs w:val="32"/>
          <w:lang w:val="en-US" w:eastAsia="zh-CN"/>
        </w:rPr>
        <w:t>（一）</w:t>
      </w:r>
      <w:r>
        <w:rPr>
          <w:rFonts w:hint="eastAsia" w:ascii="楷体_GB2312" w:hAnsi="楷体" w:eastAsia="楷体_GB2312"/>
          <w:b/>
          <w:sz w:val="32"/>
          <w:szCs w:val="32"/>
        </w:rPr>
        <w:t>一般公共预算当年拨款规模变化情况</w:t>
      </w:r>
    </w:p>
    <w:p w14:paraId="7D69DCA7">
      <w:pPr>
        <w:keepNext w:val="0"/>
        <w:keepLines w:val="0"/>
        <w:pageBreakBefore w:val="0"/>
        <w:widowControl w:val="0"/>
        <w:pBdr>
          <w:bottom w:val="single" w:color="FFFFFF" w:sz="4" w:space="29"/>
        </w:pBdr>
        <w:tabs>
          <w:tab w:val="left" w:pos="1440"/>
        </w:tabs>
        <w:kinsoku/>
        <w:wordWrap/>
        <w:overflowPunct/>
        <w:topLinePunct w:val="0"/>
        <w:autoSpaceDE/>
        <w:autoSpaceDN/>
        <w:bidi w:val="0"/>
        <w:adjustRightInd/>
        <w:snapToGrid/>
        <w:spacing w:line="560" w:lineRule="exact"/>
        <w:ind w:left="0" w:firstLine="640" w:firstLineChars="200"/>
        <w:textAlignment w:val="auto"/>
        <w:rPr>
          <w:rFonts w:hint="eastAsia" w:ascii="仿宋_GB2312" w:hAnsi="Calibri" w:eastAsia="仿宋_GB2312" w:cs="Times New Roman"/>
          <w:kern w:val="2"/>
          <w:sz w:val="32"/>
          <w:szCs w:val="32"/>
          <w:lang w:val="en-US" w:eastAsia="zh-CN" w:bidi="ar-SA"/>
        </w:rPr>
      </w:pPr>
      <w:r>
        <w:rPr>
          <w:rFonts w:hint="eastAsia" w:ascii="仿宋_GB2312" w:hAnsi="Calibri" w:eastAsia="仿宋_GB2312" w:cs="Times New Roman"/>
          <w:kern w:val="2"/>
          <w:sz w:val="32"/>
          <w:szCs w:val="32"/>
          <w:lang w:val="en-US" w:eastAsia="zh-CN" w:bidi="ar-SA"/>
        </w:rPr>
        <w:t>2026年一般公共预算当年拨款177136.88元,较2025年预算数减少165586.15元，主要原因</w:t>
      </w:r>
      <w:r>
        <w:rPr>
          <w:rFonts w:hint="eastAsia" w:ascii="仿宋_GB2312" w:eastAsia="仿宋_GB2312" w:cs="Times New Roman"/>
          <w:kern w:val="2"/>
          <w:sz w:val="32"/>
          <w:szCs w:val="32"/>
          <w:lang w:val="en-US" w:eastAsia="zh-CN" w:bidi="ar-SA"/>
        </w:rPr>
        <w:t>是</w:t>
      </w:r>
      <w:r>
        <w:rPr>
          <w:rFonts w:hint="eastAsia" w:ascii="仿宋_GB2312" w:hAnsi="Calibri" w:eastAsia="仿宋_GB2312" w:cs="Times New Roman"/>
          <w:kern w:val="2"/>
          <w:sz w:val="32"/>
          <w:szCs w:val="32"/>
          <w:lang w:val="en-US" w:eastAsia="zh-CN" w:bidi="ar-SA"/>
        </w:rPr>
        <w:t>:人员调出。</w:t>
      </w:r>
    </w:p>
    <w:p w14:paraId="785671CF">
      <w:pPr>
        <w:keepNext w:val="0"/>
        <w:keepLines w:val="0"/>
        <w:pageBreakBefore w:val="0"/>
        <w:widowControl w:val="0"/>
        <w:pBdr>
          <w:bottom w:val="single" w:color="FFFFFF" w:sz="4" w:space="29"/>
        </w:pBdr>
        <w:tabs>
          <w:tab w:val="left" w:pos="1440"/>
        </w:tabs>
        <w:kinsoku/>
        <w:wordWrap/>
        <w:overflowPunct/>
        <w:topLinePunct w:val="0"/>
        <w:autoSpaceDE/>
        <w:autoSpaceDN/>
        <w:bidi w:val="0"/>
        <w:adjustRightInd/>
        <w:snapToGrid/>
        <w:spacing w:line="560" w:lineRule="exact"/>
        <w:ind w:left="0" w:firstLine="643" w:firstLineChars="200"/>
        <w:textAlignment w:val="auto"/>
        <w:rPr>
          <w:rFonts w:hint="eastAsia" w:ascii="楷体_GB2312" w:hAnsi="楷体" w:eastAsia="楷体_GB2312"/>
          <w:b/>
          <w:sz w:val="32"/>
          <w:szCs w:val="32"/>
          <w:lang w:val="en-US" w:eastAsia="zh-CN"/>
        </w:rPr>
      </w:pPr>
      <w:r>
        <w:rPr>
          <w:rFonts w:hint="eastAsia" w:ascii="楷体_GB2312" w:hAnsi="楷体" w:eastAsia="楷体_GB2312"/>
          <w:b/>
          <w:sz w:val="32"/>
          <w:szCs w:val="32"/>
          <w:lang w:val="en-US" w:eastAsia="zh-CN"/>
        </w:rPr>
        <w:t>（二）一般公共预算当年拨款结构情况</w:t>
      </w:r>
    </w:p>
    <w:p w14:paraId="6A943715">
      <w:pPr>
        <w:keepNext w:val="0"/>
        <w:keepLines w:val="0"/>
        <w:pageBreakBefore w:val="0"/>
        <w:widowControl w:val="0"/>
        <w:pBdr>
          <w:bottom w:val="single" w:color="FFFFFF" w:sz="4" w:space="29"/>
        </w:pBdr>
        <w:tabs>
          <w:tab w:val="left" w:pos="1440"/>
        </w:tabs>
        <w:kinsoku/>
        <w:wordWrap/>
        <w:overflowPunct/>
        <w:topLinePunct w:val="0"/>
        <w:autoSpaceDE/>
        <w:autoSpaceDN/>
        <w:bidi w:val="0"/>
        <w:adjustRightInd/>
        <w:snapToGrid/>
        <w:spacing w:line="560" w:lineRule="exact"/>
        <w:ind w:left="0" w:firstLine="640" w:firstLineChars="200"/>
        <w:textAlignment w:val="auto"/>
        <w:rPr>
          <w:rFonts w:hint="eastAsia" w:ascii="仿宋_GB2312" w:hAnsi="Calibri" w:eastAsia="仿宋_GB2312" w:cs="Times New Roman"/>
          <w:kern w:val="2"/>
          <w:sz w:val="32"/>
          <w:szCs w:val="32"/>
          <w:lang w:val="en-US" w:eastAsia="zh-CN" w:bidi="ar-SA"/>
        </w:rPr>
      </w:pPr>
      <w:r>
        <w:rPr>
          <w:rFonts w:hint="eastAsia" w:ascii="仿宋_GB2312" w:hAnsi="Calibri" w:eastAsia="仿宋_GB2312" w:cs="Times New Roman"/>
          <w:kern w:val="2"/>
          <w:sz w:val="32"/>
          <w:szCs w:val="32"/>
          <w:lang w:val="en-US" w:eastAsia="zh-CN" w:bidi="ar-SA"/>
        </w:rPr>
        <w:t>社会保障和就业支出26890.04元，占15.18 %；卫生健康支出136746.84元，占77.20%；住房保障支出13500.00元，占7.62%。</w:t>
      </w:r>
    </w:p>
    <w:p w14:paraId="403A7A2E">
      <w:pPr>
        <w:ind w:firstLine="643" w:firstLineChars="200"/>
        <w:rPr>
          <w:rFonts w:hint="eastAsia" w:ascii="楷体_GB2312" w:hAnsi="楷体" w:eastAsia="楷体_GB2312"/>
          <w:b/>
          <w:sz w:val="32"/>
          <w:szCs w:val="32"/>
          <w:lang w:val="en-US" w:eastAsia="zh-CN"/>
        </w:rPr>
      </w:pPr>
      <w:r>
        <w:rPr>
          <w:rFonts w:hint="eastAsia" w:ascii="楷体_GB2312" w:hAnsi="楷体" w:eastAsia="楷体_GB2312"/>
          <w:b/>
          <w:sz w:val="32"/>
          <w:szCs w:val="32"/>
          <w:lang w:val="en-US" w:eastAsia="zh-CN"/>
        </w:rPr>
        <w:t>（三）一般公共预算当年拨款具体使用情况</w:t>
      </w:r>
    </w:p>
    <w:p w14:paraId="4119E496">
      <w:pPr>
        <w:spacing w:line="560" w:lineRule="exact"/>
        <w:ind w:firstLine="640" w:firstLineChars="200"/>
        <w:rPr>
          <w:rFonts w:hint="eastAsia" w:ascii="仿宋_GB2312" w:eastAsia="仿宋_GB2312" w:cs="Times New Roman"/>
          <w:sz w:val="32"/>
          <w:szCs w:val="32"/>
          <w:lang w:val="en-US" w:eastAsia="zh-CN"/>
        </w:rPr>
      </w:pPr>
      <w:r>
        <w:rPr>
          <w:rFonts w:hint="eastAsia" w:ascii="仿宋_GB2312" w:eastAsia="仿宋_GB2312" w:cs="Times New Roman"/>
          <w:sz w:val="32"/>
          <w:szCs w:val="32"/>
          <w:lang w:val="en-US" w:eastAsia="zh-CN"/>
        </w:rPr>
        <w:t>1.社会保障和就业支出（208）行政事业单位养老支出（05）机关事业单位基本养老保险缴费支出（05）2026年预算数为17926.69元，主要用于：单位缴纳基本养老保险费。</w:t>
      </w:r>
    </w:p>
    <w:p w14:paraId="587DF8BE">
      <w:pPr>
        <w:spacing w:line="560" w:lineRule="exact"/>
        <w:ind w:firstLine="640" w:firstLineChars="200"/>
        <w:rPr>
          <w:rFonts w:hint="eastAsia" w:ascii="仿宋_GB2312" w:eastAsia="仿宋_GB2312" w:cs="Times New Roman"/>
          <w:sz w:val="32"/>
          <w:szCs w:val="32"/>
          <w:lang w:val="en-US" w:eastAsia="zh-CN"/>
        </w:rPr>
      </w:pPr>
      <w:r>
        <w:rPr>
          <w:rFonts w:hint="eastAsia" w:ascii="仿宋_GB2312" w:eastAsia="仿宋_GB2312" w:cs="Times New Roman"/>
          <w:sz w:val="32"/>
          <w:szCs w:val="32"/>
          <w:lang w:val="en-US" w:eastAsia="zh-CN"/>
        </w:rPr>
        <w:t>2.社会保障和就业支出（208）行政事业单位养老支出（05）机关事业单位职业年金缴费支出（06）2026年预算数为 8963.35元，主要用于：单位缴纳职业年金。</w:t>
      </w:r>
    </w:p>
    <w:p w14:paraId="7A785046">
      <w:pPr>
        <w:spacing w:line="560" w:lineRule="exact"/>
        <w:ind w:firstLine="640" w:firstLineChars="200"/>
        <w:rPr>
          <w:rFonts w:hint="eastAsia" w:ascii="仿宋_GB2312" w:eastAsia="仿宋_GB2312" w:cs="Times New Roman"/>
          <w:sz w:val="32"/>
          <w:szCs w:val="32"/>
          <w:lang w:val="en-US" w:eastAsia="zh-CN"/>
        </w:rPr>
      </w:pPr>
      <w:r>
        <w:rPr>
          <w:rFonts w:hint="eastAsia" w:ascii="仿宋_GB2312" w:eastAsia="仿宋_GB2312" w:cs="Times New Roman"/>
          <w:sz w:val="32"/>
          <w:szCs w:val="32"/>
          <w:lang w:val="en-US" w:eastAsia="zh-CN"/>
        </w:rPr>
        <w:t>3.卫生健康支出（210）行政事业单位医疗（11）行政单位医疗（02）2026年预算数为10706.97元，主要用于：行政单位缴纳基本医疗保险。</w:t>
      </w:r>
    </w:p>
    <w:p w14:paraId="4D6FF729">
      <w:pPr>
        <w:spacing w:line="560" w:lineRule="exact"/>
        <w:ind w:firstLine="640" w:firstLineChars="200"/>
        <w:rPr>
          <w:rFonts w:hint="eastAsia" w:ascii="仿宋_GB2312" w:eastAsia="仿宋_GB2312" w:cs="Times New Roman"/>
          <w:sz w:val="32"/>
          <w:szCs w:val="32"/>
          <w:lang w:val="en-US" w:eastAsia="zh-CN"/>
        </w:rPr>
      </w:pPr>
      <w:r>
        <w:rPr>
          <w:rFonts w:hint="eastAsia" w:ascii="仿宋_GB2312" w:eastAsia="仿宋_GB2312" w:cs="Times New Roman"/>
          <w:sz w:val="32"/>
          <w:szCs w:val="32"/>
          <w:lang w:val="en-US" w:eastAsia="zh-CN"/>
        </w:rPr>
        <w:t>4.卫生健康支出（210）卫生健康管理事务（01）行政运行（99）2026年预算数为126039.87元，主要用于：医疗卫生机构2026年的人员经费和日常公用经费等基本支出。</w:t>
      </w:r>
    </w:p>
    <w:p w14:paraId="30E41FAD">
      <w:pPr>
        <w:spacing w:line="560" w:lineRule="exact"/>
        <w:ind w:firstLine="640" w:firstLineChars="200"/>
        <w:rPr>
          <w:rFonts w:hint="eastAsia" w:ascii="仿宋_GB2312" w:eastAsia="仿宋_GB2312" w:cs="Times New Roman"/>
          <w:sz w:val="32"/>
          <w:szCs w:val="32"/>
          <w:lang w:val="en-US" w:eastAsia="zh-CN"/>
        </w:rPr>
      </w:pPr>
      <w:r>
        <w:rPr>
          <w:rFonts w:hint="eastAsia" w:ascii="仿宋_GB2312" w:eastAsia="仿宋_GB2312" w:cs="Times New Roman"/>
          <w:sz w:val="32"/>
          <w:szCs w:val="32"/>
          <w:lang w:val="en-US" w:eastAsia="zh-CN"/>
        </w:rPr>
        <w:t>5.住房保障支出（221）住房改革支出（02）住房公积金（01）2026年预算数为13500.00元，主要用于：单位为职工缴纳住房公积金。</w:t>
      </w:r>
    </w:p>
    <w:p w14:paraId="1E33875F">
      <w:pPr>
        <w:pStyle w:val="9"/>
        <w:keepNext w:val="0"/>
        <w:keepLines w:val="0"/>
        <w:pageBreakBefore w:val="0"/>
        <w:widowControl w:val="0"/>
        <w:pBdr>
          <w:bottom w:val="single" w:color="FFFFFF" w:sz="4" w:space="29"/>
        </w:pBdr>
        <w:tabs>
          <w:tab w:val="left" w:pos="1440"/>
        </w:tabs>
        <w:kinsoku/>
        <w:wordWrap/>
        <w:overflowPunct/>
        <w:topLinePunct w:val="0"/>
        <w:autoSpaceDE/>
        <w:autoSpaceDN/>
        <w:bidi w:val="0"/>
        <w:adjustRightInd/>
        <w:snapToGrid/>
        <w:spacing w:line="560" w:lineRule="exact"/>
        <w:ind w:left="0" w:firstLine="640" w:firstLineChars="200"/>
        <w:textAlignment w:val="auto"/>
        <w:rPr>
          <w:rFonts w:hint="eastAsia" w:ascii="黑体" w:hAnsi="黑体" w:eastAsia="黑体"/>
          <w:sz w:val="32"/>
          <w:szCs w:val="32"/>
        </w:rPr>
      </w:pPr>
      <w:r>
        <w:rPr>
          <w:rFonts w:hint="eastAsia" w:ascii="黑体" w:hAnsi="黑体" w:eastAsia="黑体"/>
          <w:sz w:val="32"/>
          <w:szCs w:val="32"/>
        </w:rPr>
        <w:t>六、一般公共预算基本支出情况说明</w:t>
      </w:r>
    </w:p>
    <w:p w14:paraId="66EE3928">
      <w:pPr>
        <w:pStyle w:val="9"/>
        <w:keepNext w:val="0"/>
        <w:keepLines w:val="0"/>
        <w:pageBreakBefore w:val="0"/>
        <w:widowControl w:val="0"/>
        <w:pBdr>
          <w:bottom w:val="single" w:color="FFFFFF" w:sz="4" w:space="29"/>
        </w:pBdr>
        <w:tabs>
          <w:tab w:val="left" w:pos="1440"/>
        </w:tabs>
        <w:kinsoku/>
        <w:wordWrap/>
        <w:overflowPunct/>
        <w:topLinePunct w:val="0"/>
        <w:autoSpaceDE/>
        <w:autoSpaceDN/>
        <w:bidi w:val="0"/>
        <w:adjustRightInd/>
        <w:snapToGrid/>
        <w:spacing w:line="560" w:lineRule="exact"/>
        <w:ind w:left="0" w:firstLine="640" w:firstLineChars="200"/>
        <w:textAlignment w:val="auto"/>
        <w:rPr>
          <w:rFonts w:hint="eastAsia" w:ascii="仿宋_GB2312" w:eastAsia="仿宋_GB2312" w:cs="Times New Roman"/>
          <w:sz w:val="32"/>
          <w:szCs w:val="32"/>
          <w:lang w:val="en-US" w:eastAsia="zh-CN"/>
        </w:rPr>
      </w:pPr>
      <w:r>
        <w:rPr>
          <w:rFonts w:hint="eastAsia" w:ascii="仿宋_GB2312" w:eastAsia="仿宋_GB2312" w:cs="Times New Roman"/>
          <w:sz w:val="32"/>
          <w:szCs w:val="32"/>
          <w:lang w:val="en-US" w:eastAsia="zh-CN"/>
        </w:rPr>
        <w:t>2026年一般公共预算基本支出177136.88元，其中：人员经费165287.41元，主要包括：基本工资、津贴补贴、奖金、机关事业单位基本养老保险缴费、职业年金缴费、  职工基本医疗保险缴费、  其他社会保障缴费、住房公积金、医疗费、奖励金。</w:t>
      </w:r>
    </w:p>
    <w:p w14:paraId="71813807">
      <w:pPr>
        <w:pStyle w:val="9"/>
        <w:keepNext w:val="0"/>
        <w:keepLines w:val="0"/>
        <w:pageBreakBefore w:val="0"/>
        <w:widowControl w:val="0"/>
        <w:pBdr>
          <w:bottom w:val="single" w:color="FFFFFF" w:sz="4" w:space="29"/>
        </w:pBdr>
        <w:tabs>
          <w:tab w:val="left" w:pos="1440"/>
        </w:tabs>
        <w:kinsoku/>
        <w:wordWrap/>
        <w:overflowPunct/>
        <w:topLinePunct w:val="0"/>
        <w:autoSpaceDE/>
        <w:autoSpaceDN/>
        <w:bidi w:val="0"/>
        <w:adjustRightInd/>
        <w:snapToGrid/>
        <w:spacing w:line="560" w:lineRule="exact"/>
        <w:ind w:left="0" w:firstLine="640" w:firstLineChars="200"/>
        <w:textAlignment w:val="auto"/>
        <w:rPr>
          <w:rFonts w:hint="eastAsia" w:ascii="仿宋_GB2312" w:eastAsia="仿宋_GB2312" w:cs="Times New Roman"/>
          <w:sz w:val="32"/>
          <w:szCs w:val="32"/>
          <w:lang w:val="en-US" w:eastAsia="zh-CN"/>
        </w:rPr>
      </w:pPr>
      <w:r>
        <w:rPr>
          <w:rFonts w:hint="eastAsia" w:ascii="仿宋_GB2312" w:eastAsia="仿宋_GB2312" w:cs="Times New Roman"/>
          <w:sz w:val="32"/>
          <w:szCs w:val="32"/>
          <w:lang w:val="en-US" w:eastAsia="zh-CN"/>
        </w:rPr>
        <w:t>公用经费11849.47元，主要包括：办公费、差旅费、福利费、公务接待费、其他商品和服务支出。</w:t>
      </w:r>
    </w:p>
    <w:p w14:paraId="732DB885">
      <w:pPr>
        <w:pStyle w:val="9"/>
        <w:keepNext w:val="0"/>
        <w:keepLines w:val="0"/>
        <w:pageBreakBefore w:val="0"/>
        <w:widowControl w:val="0"/>
        <w:numPr>
          <w:numId w:val="0"/>
        </w:numPr>
        <w:pBdr>
          <w:bottom w:val="single" w:color="FFFFFF" w:sz="4" w:space="29"/>
        </w:pBdr>
        <w:tabs>
          <w:tab w:val="left" w:pos="1440"/>
        </w:tabs>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sz w:val="32"/>
          <w:szCs w:val="32"/>
        </w:rPr>
      </w:pPr>
      <w:r>
        <w:rPr>
          <w:rFonts w:hint="eastAsia" w:ascii="黑体" w:hAnsi="黑体" w:eastAsia="黑体"/>
          <w:sz w:val="32"/>
          <w:szCs w:val="32"/>
          <w:lang w:eastAsia="zh-CN"/>
        </w:rPr>
        <w:t>七、</w:t>
      </w:r>
      <w:r>
        <w:rPr>
          <w:rFonts w:hint="eastAsia" w:ascii="黑体" w:hAnsi="黑体" w:eastAsia="黑体"/>
          <w:sz w:val="32"/>
          <w:szCs w:val="32"/>
        </w:rPr>
        <w:t>“三公”经费财政拨款预算安排情况说明</w:t>
      </w:r>
    </w:p>
    <w:p w14:paraId="7218A2EE">
      <w:pPr>
        <w:pStyle w:val="9"/>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Times New Roman"/>
          <w:sz w:val="32"/>
          <w:szCs w:val="32"/>
          <w:lang w:val="en-US" w:eastAsia="zh-CN"/>
        </w:rPr>
      </w:pPr>
      <w:r>
        <w:rPr>
          <w:rFonts w:hint="eastAsia" w:ascii="仿宋_GB2312" w:eastAsia="仿宋_GB2312" w:cs="Times New Roman"/>
          <w:sz w:val="32"/>
          <w:szCs w:val="32"/>
          <w:lang w:val="en-US" w:eastAsia="zh-CN"/>
        </w:rPr>
        <w:t>2026年“三公”经费财政拨款预算数210.00元，其中：因公出国（境）经费0元，公务接待费210.00元，公务用车购置及运行维护费0元。</w:t>
      </w:r>
    </w:p>
    <w:p w14:paraId="410F9C1E">
      <w:pPr>
        <w:pStyle w:val="9"/>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Times New Roman"/>
          <w:sz w:val="32"/>
          <w:szCs w:val="32"/>
          <w:lang w:val="en-US" w:eastAsia="zh-CN"/>
        </w:rPr>
      </w:pPr>
      <w:r>
        <w:rPr>
          <w:rFonts w:hint="eastAsia" w:ascii="仿宋_GB2312" w:eastAsia="仿宋_GB2312" w:cs="Times New Roman"/>
          <w:sz w:val="32"/>
          <w:szCs w:val="32"/>
          <w:lang w:val="en-US" w:eastAsia="zh-CN"/>
        </w:rPr>
        <w:t>（一）2026年无因公出国（境）经费。</w:t>
      </w:r>
    </w:p>
    <w:p w14:paraId="3B8772CD">
      <w:pPr>
        <w:pStyle w:val="9"/>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Times New Roman"/>
          <w:sz w:val="32"/>
          <w:szCs w:val="32"/>
          <w:lang w:val="en-US" w:eastAsia="zh-CN"/>
        </w:rPr>
      </w:pPr>
      <w:r>
        <w:rPr>
          <w:rFonts w:hint="eastAsia" w:ascii="仿宋_GB2312" w:eastAsia="仿宋_GB2312" w:cs="Times New Roman"/>
          <w:sz w:val="32"/>
          <w:szCs w:val="32"/>
          <w:lang w:val="en-US" w:eastAsia="zh-CN"/>
        </w:rPr>
        <w:t>（二）2026年公务接待经费210.00元，较2025年预算经费减少270.00元，下降56.25%，主要原因是：人员调出。</w:t>
      </w:r>
      <w:r>
        <w:rPr>
          <w:rFonts w:hint="eastAsia" w:ascii="仿宋_GB2312" w:eastAsia="仿宋_GB2312" w:cs="Times New Roman"/>
          <w:sz w:val="32"/>
          <w:szCs w:val="32"/>
          <w:lang w:val="en-US" w:eastAsia="zh-CN"/>
        </w:rPr>
        <w:br w:type="textWrapping"/>
      </w:r>
      <w:r>
        <w:rPr>
          <w:rFonts w:hint="eastAsia" w:ascii="仿宋_GB2312" w:eastAsia="仿宋_GB2312" w:cs="Times New Roman"/>
          <w:sz w:val="32"/>
          <w:szCs w:val="32"/>
          <w:lang w:val="en-US" w:eastAsia="zh-CN"/>
        </w:rPr>
        <w:t>　　（三）2026年无公务用车购置及运行维护费。</w:t>
      </w:r>
    </w:p>
    <w:p w14:paraId="7B0CD84E">
      <w:pPr>
        <w:pStyle w:val="9"/>
        <w:keepNext w:val="0"/>
        <w:keepLines w:val="0"/>
        <w:pageBreakBefore w:val="0"/>
        <w:widowControl w:val="0"/>
        <w:pBdr>
          <w:bottom w:val="single" w:color="FFFFFF" w:sz="4" w:space="29"/>
        </w:pBdr>
        <w:tabs>
          <w:tab w:val="left" w:pos="1440"/>
        </w:tabs>
        <w:kinsoku/>
        <w:wordWrap/>
        <w:overflowPunct/>
        <w:topLinePunct w:val="0"/>
        <w:autoSpaceDE/>
        <w:autoSpaceDN/>
        <w:bidi w:val="0"/>
        <w:adjustRightInd/>
        <w:snapToGrid/>
        <w:spacing w:line="560" w:lineRule="exact"/>
        <w:ind w:left="0" w:firstLine="640" w:firstLineChars="200"/>
        <w:textAlignment w:val="auto"/>
        <w:rPr>
          <w:rFonts w:hint="eastAsia" w:ascii="黑体" w:hAnsi="黑体" w:eastAsia="黑体"/>
          <w:sz w:val="32"/>
          <w:szCs w:val="32"/>
        </w:rPr>
      </w:pPr>
      <w:r>
        <w:rPr>
          <w:rFonts w:hint="eastAsia" w:ascii="黑体" w:hAnsi="黑体" w:eastAsia="黑体"/>
          <w:sz w:val="32"/>
          <w:szCs w:val="32"/>
        </w:rPr>
        <w:t>八、政府性基金</w:t>
      </w:r>
      <w:r>
        <w:rPr>
          <w:rFonts w:hint="eastAsia" w:ascii="黑体" w:hAnsi="黑体" w:eastAsia="黑体" w:cs="仿宋_GB2312"/>
          <w:sz w:val="32"/>
          <w:szCs w:val="32"/>
        </w:rPr>
        <w:t>预算</w:t>
      </w:r>
      <w:r>
        <w:rPr>
          <w:rFonts w:hint="eastAsia" w:ascii="黑体" w:hAnsi="黑体" w:eastAsia="黑体"/>
          <w:sz w:val="32"/>
          <w:szCs w:val="32"/>
        </w:rPr>
        <w:t>支出情况说明</w:t>
      </w:r>
    </w:p>
    <w:p w14:paraId="58637D1C">
      <w:pPr>
        <w:pStyle w:val="9"/>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Times New Roman"/>
          <w:sz w:val="32"/>
          <w:szCs w:val="32"/>
          <w:lang w:val="en-US" w:eastAsia="zh-CN"/>
        </w:rPr>
      </w:pPr>
      <w:r>
        <w:rPr>
          <w:rFonts w:hint="eastAsia" w:ascii="仿宋_GB2312" w:eastAsia="仿宋_GB2312" w:cs="Times New Roman"/>
          <w:sz w:val="32"/>
          <w:szCs w:val="32"/>
          <w:lang w:val="en-US" w:eastAsia="zh-CN"/>
        </w:rPr>
        <w:t>2026年无政府性基金预算拨款安排的支出。</w:t>
      </w:r>
    </w:p>
    <w:p w14:paraId="1468B67F">
      <w:pPr>
        <w:pStyle w:val="9"/>
        <w:keepNext w:val="0"/>
        <w:keepLines w:val="0"/>
        <w:pageBreakBefore w:val="0"/>
        <w:widowControl w:val="0"/>
        <w:pBdr>
          <w:bottom w:val="single" w:color="FFFFFF" w:sz="4" w:space="29"/>
        </w:pBdr>
        <w:tabs>
          <w:tab w:val="left" w:pos="1440"/>
        </w:tabs>
        <w:kinsoku/>
        <w:wordWrap/>
        <w:overflowPunct/>
        <w:topLinePunct w:val="0"/>
        <w:autoSpaceDE/>
        <w:autoSpaceDN/>
        <w:bidi w:val="0"/>
        <w:adjustRightInd/>
        <w:snapToGrid/>
        <w:spacing w:line="560" w:lineRule="exact"/>
        <w:ind w:left="0" w:firstLine="640" w:firstLineChars="200"/>
        <w:textAlignment w:val="auto"/>
        <w:rPr>
          <w:rFonts w:hint="eastAsia" w:ascii="黑体" w:hAnsi="黑体" w:eastAsia="黑体"/>
          <w:sz w:val="32"/>
          <w:szCs w:val="32"/>
        </w:rPr>
      </w:pPr>
      <w:r>
        <w:rPr>
          <w:rFonts w:hint="eastAsia" w:ascii="黑体" w:hAnsi="黑体" w:eastAsia="黑体"/>
          <w:sz w:val="32"/>
          <w:szCs w:val="32"/>
        </w:rPr>
        <w:t>九、其他重要事项的情况说明</w:t>
      </w:r>
    </w:p>
    <w:p w14:paraId="04882CC5">
      <w:pPr>
        <w:pStyle w:val="9"/>
        <w:keepNext w:val="0"/>
        <w:keepLines w:val="0"/>
        <w:pageBreakBefore w:val="0"/>
        <w:widowControl w:val="0"/>
        <w:pBdr>
          <w:bottom w:val="single" w:color="FFFFFF" w:sz="4" w:space="29"/>
        </w:pBdr>
        <w:tabs>
          <w:tab w:val="left" w:pos="1440"/>
        </w:tabs>
        <w:kinsoku/>
        <w:wordWrap/>
        <w:overflowPunct/>
        <w:topLinePunct w:val="0"/>
        <w:autoSpaceDE/>
        <w:autoSpaceDN/>
        <w:bidi w:val="0"/>
        <w:adjustRightInd/>
        <w:snapToGrid/>
        <w:spacing w:line="560" w:lineRule="exact"/>
        <w:ind w:left="0" w:firstLine="643" w:firstLineChars="200"/>
        <w:textAlignment w:val="auto"/>
        <w:rPr>
          <w:rFonts w:hint="eastAsia" w:ascii="楷体_GB2312" w:hAnsi="楷体" w:eastAsia="楷体_GB2312" w:cs="仿宋_GB2312"/>
          <w:b/>
          <w:sz w:val="32"/>
          <w:szCs w:val="32"/>
        </w:rPr>
      </w:pPr>
      <w:r>
        <w:rPr>
          <w:rFonts w:hint="eastAsia" w:ascii="楷体_GB2312" w:hAnsi="楷体" w:eastAsia="楷体_GB2312" w:cs="仿宋_GB2312"/>
          <w:b/>
          <w:sz w:val="32"/>
          <w:szCs w:val="32"/>
        </w:rPr>
        <w:t>（一）机关运行经费</w:t>
      </w:r>
    </w:p>
    <w:p w14:paraId="60E8FBC9">
      <w:pPr>
        <w:pStyle w:val="9"/>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Times New Roman"/>
          <w:sz w:val="32"/>
          <w:szCs w:val="32"/>
          <w:lang w:val="en-US" w:eastAsia="zh-CN"/>
        </w:rPr>
      </w:pPr>
      <w:r>
        <w:rPr>
          <w:rFonts w:hint="eastAsia" w:ascii="仿宋_GB2312" w:eastAsia="仿宋_GB2312" w:cs="Times New Roman"/>
          <w:sz w:val="32"/>
          <w:szCs w:val="32"/>
          <w:lang w:val="en-US" w:eastAsia="zh-CN"/>
        </w:rPr>
        <w:t>2026年机关运行经费财政拨款预算数为11849.47元，较2025年预算减少12767.99元，下降51.87%。主要原因是:人员调出。</w:t>
      </w:r>
    </w:p>
    <w:p w14:paraId="5618F19E">
      <w:pPr>
        <w:pStyle w:val="9"/>
        <w:keepNext w:val="0"/>
        <w:keepLines w:val="0"/>
        <w:pageBreakBefore w:val="0"/>
        <w:widowControl w:val="0"/>
        <w:pBdr>
          <w:bottom w:val="single" w:color="FFFFFF" w:sz="4" w:space="29"/>
        </w:pBdr>
        <w:tabs>
          <w:tab w:val="left" w:pos="1440"/>
        </w:tabs>
        <w:kinsoku/>
        <w:wordWrap/>
        <w:overflowPunct/>
        <w:topLinePunct w:val="0"/>
        <w:autoSpaceDE/>
        <w:autoSpaceDN/>
        <w:bidi w:val="0"/>
        <w:adjustRightInd/>
        <w:snapToGrid/>
        <w:spacing w:line="560" w:lineRule="exact"/>
        <w:ind w:left="0" w:firstLine="643" w:firstLineChars="200"/>
        <w:textAlignment w:val="auto"/>
        <w:rPr>
          <w:rFonts w:hint="eastAsia" w:ascii="仿宋_GB2312" w:eastAsia="仿宋_GB2312" w:cs="Times New Roman"/>
          <w:sz w:val="32"/>
          <w:szCs w:val="32"/>
          <w:lang w:val="en-US" w:eastAsia="zh-CN"/>
        </w:rPr>
      </w:pPr>
      <w:r>
        <w:rPr>
          <w:rFonts w:hint="eastAsia" w:ascii="楷体_GB2312" w:hAnsi="楷体" w:eastAsia="楷体_GB2312" w:cs="仿宋_GB2312"/>
          <w:b/>
          <w:kern w:val="2"/>
          <w:sz w:val="32"/>
          <w:szCs w:val="32"/>
          <w:lang w:val="en-US" w:eastAsia="zh-CN" w:bidi="ar-SA"/>
        </w:rPr>
        <w:t>（二）</w:t>
      </w:r>
      <w:r>
        <w:rPr>
          <w:rFonts w:hint="eastAsia" w:ascii="楷体_GB2312" w:hAnsi="楷体" w:eastAsia="楷体_GB2312" w:cs="仿宋_GB2312"/>
          <w:b/>
          <w:kern w:val="2"/>
          <w:sz w:val="32"/>
          <w:szCs w:val="32"/>
        </w:rPr>
        <w:t>政府采购情况</w:t>
      </w:r>
      <w:r>
        <w:rPr>
          <w:rFonts w:hint="eastAsia" w:ascii="楷体_GB2312" w:eastAsia="楷体_GB2312" w:cs="仿宋_GB2312"/>
          <w:b/>
          <w:kern w:val="2"/>
          <w:sz w:val="32"/>
          <w:szCs w:val="32"/>
        </w:rPr>
        <w:br w:type="textWrapping"/>
      </w:r>
      <w:r>
        <w:rPr>
          <w:rFonts w:hint="eastAsia" w:cs="仿宋_GB2312"/>
          <w:kern w:val="2"/>
          <w:sz w:val="32"/>
          <w:szCs w:val="32"/>
        </w:rPr>
        <w:t>　</w:t>
      </w:r>
      <w:r>
        <w:rPr>
          <w:rFonts w:hint="eastAsia" w:ascii="仿宋_GB2312" w:eastAsia="仿宋_GB2312" w:cs="Times New Roman"/>
          <w:sz w:val="32"/>
          <w:szCs w:val="32"/>
          <w:lang w:val="en-US" w:eastAsia="zh-CN"/>
        </w:rPr>
        <w:t>　2026年茂县卫生事务综合服务中心未安排政府采购预算。</w:t>
      </w:r>
    </w:p>
    <w:p w14:paraId="63529DFF">
      <w:pPr>
        <w:pStyle w:val="9"/>
        <w:keepNext w:val="0"/>
        <w:keepLines w:val="0"/>
        <w:pageBreakBefore w:val="0"/>
        <w:widowControl w:val="0"/>
        <w:pBdr>
          <w:bottom w:val="single" w:color="FFFFFF" w:sz="4" w:space="29"/>
        </w:pBdr>
        <w:tabs>
          <w:tab w:val="left" w:pos="1440"/>
        </w:tabs>
        <w:kinsoku/>
        <w:wordWrap/>
        <w:overflowPunct/>
        <w:topLinePunct w:val="0"/>
        <w:autoSpaceDE/>
        <w:autoSpaceDN/>
        <w:bidi w:val="0"/>
        <w:adjustRightInd/>
        <w:snapToGrid/>
        <w:spacing w:line="560" w:lineRule="exact"/>
        <w:ind w:left="0" w:firstLine="643" w:firstLineChars="200"/>
        <w:textAlignment w:val="auto"/>
        <w:rPr>
          <w:rFonts w:hint="eastAsia" w:ascii="楷体_GB2312" w:hAnsi="楷体" w:eastAsia="楷体_GB2312" w:cs="仿宋_GB2312"/>
          <w:b/>
          <w:kern w:val="2"/>
          <w:sz w:val="32"/>
          <w:szCs w:val="32"/>
          <w:lang w:val="en-US" w:eastAsia="zh-CN" w:bidi="ar-SA"/>
        </w:rPr>
      </w:pPr>
      <w:r>
        <w:rPr>
          <w:rFonts w:hint="eastAsia" w:ascii="楷体_GB2312" w:hAnsi="楷体" w:eastAsia="楷体_GB2312" w:cs="仿宋_GB2312"/>
          <w:b/>
          <w:kern w:val="2"/>
          <w:sz w:val="32"/>
          <w:szCs w:val="32"/>
          <w:lang w:val="en-US" w:eastAsia="zh-CN" w:bidi="ar-SA"/>
        </w:rPr>
        <w:t>（三）国有资产占有使用情况</w:t>
      </w:r>
    </w:p>
    <w:p w14:paraId="0BA44E4F">
      <w:pPr>
        <w:keepNext w:val="0"/>
        <w:keepLines w:val="0"/>
        <w:pageBreakBefore w:val="0"/>
        <w:widowControl w:val="0"/>
        <w:pBdr>
          <w:bottom w:val="single" w:color="FFFFFF" w:sz="4" w:space="29"/>
        </w:pBdr>
        <w:tabs>
          <w:tab w:val="left" w:pos="1440"/>
        </w:tabs>
        <w:kinsoku/>
        <w:wordWrap/>
        <w:overflowPunct/>
        <w:topLinePunct w:val="0"/>
        <w:autoSpaceDE/>
        <w:autoSpaceDN/>
        <w:bidi w:val="0"/>
        <w:adjustRightInd/>
        <w:snapToGrid/>
        <w:spacing w:line="560" w:lineRule="exact"/>
        <w:ind w:left="0" w:firstLine="640" w:firstLineChars="200"/>
        <w:textAlignment w:val="auto"/>
        <w:rPr>
          <w:rFonts w:hint="eastAsia" w:ascii="仿宋_GB2312" w:hAnsi="Calibri" w:eastAsia="仿宋_GB2312" w:cs="Times New Roman"/>
          <w:kern w:val="2"/>
          <w:sz w:val="32"/>
          <w:szCs w:val="32"/>
          <w:lang w:val="en-US" w:eastAsia="zh-CN" w:bidi="ar-SA"/>
        </w:rPr>
      </w:pPr>
      <w:r>
        <w:rPr>
          <w:rFonts w:hint="eastAsia" w:ascii="仿宋_GB2312" w:hAnsi="Calibri" w:eastAsia="仿宋_GB2312" w:cs="Times New Roman"/>
          <w:kern w:val="2"/>
          <w:sz w:val="32"/>
          <w:szCs w:val="32"/>
          <w:lang w:val="en-US" w:eastAsia="zh-CN" w:bidi="ar-SA"/>
        </w:rPr>
        <w:t>截</w:t>
      </w:r>
      <w:r>
        <w:rPr>
          <w:rFonts w:hint="eastAsia" w:ascii="仿宋_GB2312" w:eastAsia="仿宋_GB2312" w:cs="Times New Roman"/>
          <w:kern w:val="2"/>
          <w:sz w:val="32"/>
          <w:szCs w:val="32"/>
          <w:lang w:val="en-US" w:eastAsia="zh-CN" w:bidi="ar-SA"/>
        </w:rPr>
        <w:t>至</w:t>
      </w:r>
      <w:bookmarkStart w:id="0" w:name="_GoBack"/>
      <w:bookmarkEnd w:id="0"/>
      <w:r>
        <w:rPr>
          <w:rFonts w:hint="eastAsia" w:ascii="仿宋_GB2312" w:hAnsi="Calibri" w:eastAsia="仿宋_GB2312" w:cs="Times New Roman"/>
          <w:kern w:val="2"/>
          <w:sz w:val="32"/>
          <w:szCs w:val="32"/>
          <w:lang w:val="en-US" w:eastAsia="zh-CN" w:bidi="ar-SA"/>
        </w:rPr>
        <w:t>2025年12月31日，我单位固定资产总额875557.84元，其中：其中：公务用车3辆，价值588467.84元；其他固定资产287090.00元。</w:t>
      </w:r>
    </w:p>
    <w:p w14:paraId="21AECF64">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60" w:lineRule="exact"/>
        <w:ind w:firstLine="643" w:firstLineChars="200"/>
        <w:textAlignment w:val="auto"/>
        <w:rPr>
          <w:rFonts w:hint="eastAsia" w:ascii="仿宋_GB2312" w:hAnsi="Calibri" w:eastAsia="仿宋_GB2312" w:cs="Times New Roman"/>
          <w:kern w:val="2"/>
          <w:sz w:val="32"/>
          <w:szCs w:val="32"/>
          <w:lang w:val="en-US" w:eastAsia="zh-CN" w:bidi="ar-SA"/>
        </w:rPr>
      </w:pPr>
      <w:r>
        <w:rPr>
          <w:rFonts w:hint="eastAsia" w:ascii="楷体_GB2312" w:hAnsi="楷体" w:eastAsia="楷体_GB2312" w:cs="仿宋_GB2312"/>
          <w:b/>
          <w:sz w:val="32"/>
          <w:szCs w:val="32"/>
        </w:rPr>
        <w:t>（四）绩效目标设置情况</w:t>
      </w:r>
      <w:r>
        <w:rPr>
          <w:rFonts w:hint="eastAsia" w:ascii="楷体_GB2312" w:eastAsia="楷体_GB2312" w:cs="仿宋_GB2312"/>
          <w:b/>
          <w:sz w:val="32"/>
          <w:szCs w:val="32"/>
        </w:rPr>
        <w:br w:type="textWrapping"/>
      </w:r>
      <w:r>
        <w:rPr>
          <w:rFonts w:hint="eastAsia" w:cs="仿宋_GB2312"/>
          <w:sz w:val="32"/>
          <w:szCs w:val="32"/>
        </w:rPr>
        <w:t>　　</w:t>
      </w:r>
      <w:r>
        <w:rPr>
          <w:rFonts w:hint="eastAsia" w:ascii="仿宋_GB2312" w:hAnsi="Calibri" w:eastAsia="仿宋_GB2312" w:cs="Times New Roman"/>
          <w:kern w:val="2"/>
          <w:sz w:val="32"/>
          <w:szCs w:val="32"/>
          <w:lang w:val="en-US" w:eastAsia="zh-CN" w:bidi="ar-SA"/>
        </w:rPr>
        <w:t>2026年无项目支出预算。</w:t>
      </w:r>
    </w:p>
    <w:p w14:paraId="27076553">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60" w:lineRule="exact"/>
        <w:ind w:firstLine="640" w:firstLineChars="200"/>
        <w:textAlignment w:val="auto"/>
        <w:rPr>
          <w:rFonts w:hint="eastAsia" w:ascii="仿宋_GB2312" w:hAnsi="Calibri" w:eastAsia="仿宋_GB2312" w:cs="Times New Roman"/>
          <w:kern w:val="2"/>
          <w:sz w:val="32"/>
          <w:szCs w:val="32"/>
          <w:lang w:val="en-US" w:eastAsia="zh-CN" w:bidi="ar-SA"/>
        </w:rPr>
      </w:pPr>
      <w:r>
        <w:rPr>
          <w:rFonts w:hint="eastAsia" w:ascii="黑体" w:hAnsi="黑体" w:eastAsia="黑体"/>
          <w:sz w:val="32"/>
          <w:szCs w:val="32"/>
        </w:rPr>
        <w:t xml:space="preserve">十、名称解释 </w:t>
      </w:r>
      <w:r>
        <w:rPr>
          <w:rFonts w:hint="eastAsia" w:cs="仿宋_GB2312"/>
          <w:sz w:val="32"/>
          <w:szCs w:val="32"/>
        </w:rPr>
        <w:br w:type="textWrapping"/>
      </w:r>
      <w:r>
        <w:rPr>
          <w:rFonts w:hint="eastAsia" w:ascii="楷体_GB2312" w:hAnsi="楷体" w:eastAsia="楷体_GB2312" w:cs="仿宋_GB2312"/>
          <w:kern w:val="2"/>
          <w:sz w:val="32"/>
          <w:szCs w:val="32"/>
        </w:rPr>
        <w:t>　　</w:t>
      </w:r>
      <w:r>
        <w:rPr>
          <w:rFonts w:hint="eastAsia" w:ascii="楷体_GB2312" w:hAnsi="楷体" w:eastAsia="楷体_GB2312"/>
          <w:b/>
          <w:bCs/>
          <w:sz w:val="32"/>
          <w:szCs w:val="32"/>
          <w:lang w:val="en-US" w:eastAsia="zh-CN"/>
        </w:rPr>
        <w:t>（一）财政拨款收入：</w:t>
      </w:r>
      <w:r>
        <w:rPr>
          <w:rFonts w:hint="eastAsia" w:ascii="仿宋_GB2312" w:hAnsi="Calibri" w:eastAsia="仿宋_GB2312" w:cs="Times New Roman"/>
          <w:kern w:val="2"/>
          <w:sz w:val="32"/>
          <w:szCs w:val="32"/>
          <w:lang w:val="en-US" w:eastAsia="zh-CN" w:bidi="ar-SA"/>
        </w:rPr>
        <w:t>指由财政拨款形成的部门收入。按现行管理制度，部门预算中反映的财政拨款仅包括一般公共预算拨款和政府性基金预算拨款。</w:t>
      </w:r>
      <w:r>
        <w:rPr>
          <w:rFonts w:hint="eastAsia" w:ascii="仿宋_GB2312" w:hAnsi="Calibri" w:eastAsia="仿宋_GB2312" w:cs="Times New Roman"/>
          <w:kern w:val="2"/>
          <w:sz w:val="32"/>
          <w:szCs w:val="32"/>
          <w:lang w:val="en-US" w:eastAsia="zh-CN" w:bidi="ar-SA"/>
        </w:rPr>
        <w:br w:type="textWrapping"/>
      </w:r>
      <w:r>
        <w:rPr>
          <w:rFonts w:hint="eastAsia" w:ascii="楷体_GB2312" w:hAnsi="楷体" w:eastAsia="楷体_GB2312"/>
          <w:sz w:val="32"/>
          <w:szCs w:val="32"/>
          <w:lang w:val="en-US" w:eastAsia="zh-CN"/>
        </w:rPr>
        <w:t>　　</w:t>
      </w:r>
      <w:r>
        <w:rPr>
          <w:rFonts w:hint="eastAsia" w:ascii="楷体_GB2312" w:hAnsi="楷体" w:eastAsia="楷体_GB2312"/>
          <w:b/>
          <w:bCs/>
          <w:sz w:val="32"/>
          <w:szCs w:val="32"/>
          <w:lang w:val="en-US" w:eastAsia="zh-CN"/>
        </w:rPr>
        <w:t>（二）事业收入：</w:t>
      </w:r>
      <w:r>
        <w:rPr>
          <w:rFonts w:hint="eastAsia" w:ascii="仿宋_GB2312" w:hAnsi="Calibri" w:eastAsia="仿宋_GB2312" w:cs="Times New Roman"/>
          <w:kern w:val="2"/>
          <w:sz w:val="32"/>
          <w:szCs w:val="32"/>
          <w:lang w:val="en-US" w:eastAsia="zh-CN" w:bidi="ar-SA"/>
        </w:rPr>
        <w:t>指所属事业单位开展专业业务活动及辅助活动所取得的收入。</w:t>
      </w:r>
      <w:r>
        <w:rPr>
          <w:rFonts w:hint="eastAsia" w:ascii="仿宋_GB2312" w:hAnsi="Calibri" w:eastAsia="仿宋_GB2312" w:cs="Times New Roman"/>
          <w:kern w:val="2"/>
          <w:sz w:val="32"/>
          <w:szCs w:val="32"/>
          <w:lang w:val="en-US" w:eastAsia="zh-CN" w:bidi="ar-SA"/>
        </w:rPr>
        <w:br w:type="textWrapping"/>
      </w:r>
      <w:r>
        <w:rPr>
          <w:rFonts w:hint="eastAsia" w:ascii="楷体_GB2312" w:hAnsi="楷体" w:eastAsia="楷体_GB2312"/>
          <w:sz w:val="32"/>
          <w:szCs w:val="32"/>
          <w:lang w:val="en-US" w:eastAsia="zh-CN"/>
        </w:rPr>
        <w:t>　　</w:t>
      </w:r>
      <w:r>
        <w:rPr>
          <w:rFonts w:hint="eastAsia" w:ascii="楷体_GB2312" w:hAnsi="楷体" w:eastAsia="楷体_GB2312"/>
          <w:b/>
          <w:bCs/>
          <w:sz w:val="32"/>
          <w:szCs w:val="32"/>
          <w:lang w:val="en-US" w:eastAsia="zh-CN"/>
        </w:rPr>
        <w:t>（三）事业单位经营收入：</w:t>
      </w:r>
      <w:r>
        <w:rPr>
          <w:rFonts w:hint="eastAsia" w:ascii="仿宋_GB2312" w:hAnsi="Calibri" w:eastAsia="仿宋_GB2312" w:cs="Times New Roman"/>
          <w:kern w:val="2"/>
          <w:sz w:val="32"/>
          <w:szCs w:val="32"/>
          <w:lang w:val="en-US" w:eastAsia="zh-CN" w:bidi="ar-SA"/>
        </w:rPr>
        <w:t>指所属事业单位在专业业务活动及其辅助活动之外开展非独立核算经营活动取得的收入。</w:t>
      </w:r>
      <w:r>
        <w:rPr>
          <w:rFonts w:hint="eastAsia" w:ascii="仿宋_GB2312" w:hAnsi="Calibri" w:eastAsia="仿宋_GB2312" w:cs="Times New Roman"/>
          <w:kern w:val="2"/>
          <w:sz w:val="32"/>
          <w:szCs w:val="32"/>
          <w:lang w:val="en-US" w:eastAsia="zh-CN" w:bidi="ar-SA"/>
        </w:rPr>
        <w:br w:type="textWrapping"/>
      </w:r>
      <w:r>
        <w:rPr>
          <w:rFonts w:hint="eastAsia" w:ascii="楷体_GB2312" w:hAnsi="楷体" w:eastAsia="楷体_GB2312"/>
          <w:sz w:val="32"/>
          <w:szCs w:val="32"/>
          <w:lang w:val="en-US" w:eastAsia="zh-CN"/>
        </w:rPr>
        <w:t>　　</w:t>
      </w:r>
      <w:r>
        <w:rPr>
          <w:rFonts w:hint="eastAsia" w:ascii="楷体_GB2312" w:hAnsi="楷体" w:eastAsia="楷体_GB2312"/>
          <w:b/>
          <w:bCs/>
          <w:sz w:val="32"/>
          <w:szCs w:val="32"/>
          <w:lang w:val="en-US" w:eastAsia="zh-CN"/>
        </w:rPr>
        <w:t>（四）其他收入：</w:t>
      </w:r>
      <w:r>
        <w:rPr>
          <w:rFonts w:hint="eastAsia" w:ascii="仿宋_GB2312" w:hAnsi="Calibri" w:eastAsia="仿宋_GB2312" w:cs="Times New Roman"/>
          <w:kern w:val="2"/>
          <w:sz w:val="32"/>
          <w:szCs w:val="32"/>
          <w:lang w:val="en-US" w:eastAsia="zh-CN" w:bidi="ar-SA"/>
        </w:rPr>
        <w:t>指除上述“财政拨款收入”、“事业收入”、“事业单位经营收入”等以外的收入，主要是所属行政事业单位按规定动用的售房收入、存款利息收入等。</w:t>
      </w:r>
      <w:r>
        <w:rPr>
          <w:rFonts w:hint="eastAsia" w:ascii="仿宋_GB2312" w:hAnsi="Calibri" w:eastAsia="仿宋_GB2312" w:cs="Times New Roman"/>
          <w:kern w:val="2"/>
          <w:sz w:val="32"/>
          <w:szCs w:val="32"/>
          <w:lang w:val="en-US" w:eastAsia="zh-CN" w:bidi="ar-SA"/>
        </w:rPr>
        <w:br w:type="textWrapping"/>
      </w:r>
      <w:r>
        <w:rPr>
          <w:rFonts w:hint="eastAsia" w:ascii="楷体_GB2312" w:hAnsi="楷体" w:eastAsia="楷体_GB2312"/>
          <w:sz w:val="32"/>
          <w:szCs w:val="32"/>
          <w:lang w:val="en-US" w:eastAsia="zh-CN"/>
        </w:rPr>
        <w:t>　　</w:t>
      </w:r>
      <w:r>
        <w:rPr>
          <w:rFonts w:hint="eastAsia" w:ascii="楷体_GB2312" w:hAnsi="楷体" w:eastAsia="楷体_GB2312"/>
          <w:b/>
          <w:bCs/>
          <w:sz w:val="32"/>
          <w:szCs w:val="32"/>
          <w:lang w:val="en-US" w:eastAsia="zh-CN"/>
        </w:rPr>
        <w:t>（五）用事业基金弥补收支差额：</w:t>
      </w:r>
      <w:r>
        <w:rPr>
          <w:rFonts w:hint="eastAsia" w:ascii="仿宋_GB2312" w:hAnsi="Calibri" w:eastAsia="仿宋_GB2312" w:cs="Times New Roman"/>
          <w:kern w:val="2"/>
          <w:sz w:val="32"/>
          <w:szCs w:val="32"/>
          <w:lang w:val="en-US" w:eastAsia="zh-CN" w:bidi="ar-SA"/>
        </w:rPr>
        <w:t>指所属事业单位在预计用当年的“财政拨款收入”、“事业收入”、“事业单位经营收入”、“其他收入”不足以安排当年支出的情况下，使用以前年度积累的事业基金弥补本年度收支缺口的资金。</w:t>
      </w:r>
      <w:r>
        <w:rPr>
          <w:rFonts w:hint="eastAsia" w:ascii="仿宋_GB2312" w:hAnsi="Calibri" w:eastAsia="仿宋_GB2312" w:cs="Times New Roman"/>
          <w:kern w:val="2"/>
          <w:sz w:val="32"/>
          <w:szCs w:val="32"/>
          <w:lang w:val="en-US" w:eastAsia="zh-CN" w:bidi="ar-SA"/>
        </w:rPr>
        <w:br w:type="textWrapping"/>
      </w:r>
      <w:r>
        <w:rPr>
          <w:rFonts w:hint="eastAsia" w:ascii="楷体_GB2312" w:hAnsi="楷体" w:eastAsia="楷体_GB2312"/>
          <w:sz w:val="32"/>
          <w:szCs w:val="32"/>
          <w:lang w:val="en-US" w:eastAsia="zh-CN"/>
        </w:rPr>
        <w:t>　　</w:t>
      </w:r>
      <w:r>
        <w:rPr>
          <w:rFonts w:hint="eastAsia" w:ascii="楷体_GB2312" w:hAnsi="楷体" w:eastAsia="楷体_GB2312"/>
          <w:b/>
          <w:bCs/>
          <w:sz w:val="32"/>
          <w:szCs w:val="32"/>
          <w:lang w:val="en-US" w:eastAsia="zh-CN"/>
        </w:rPr>
        <w:t>（六）上年结转：</w:t>
      </w:r>
      <w:r>
        <w:rPr>
          <w:rFonts w:hint="eastAsia" w:ascii="仿宋_GB2312" w:hAnsi="Calibri" w:eastAsia="仿宋_GB2312" w:cs="Times New Roman"/>
          <w:kern w:val="2"/>
          <w:sz w:val="32"/>
          <w:szCs w:val="32"/>
          <w:lang w:val="en-US" w:eastAsia="zh-CN" w:bidi="ar-SA"/>
        </w:rPr>
        <w:t>指所属行政事业单位以前年度尚未完成、结转至本年按原规定用途继续使用的资金和以前年度已完成项目剩余资金经批准用于新用途使用的资金。</w:t>
      </w:r>
    </w:p>
    <w:p w14:paraId="4CB25AF4">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60" w:lineRule="exact"/>
        <w:ind w:firstLine="643" w:firstLineChars="200"/>
        <w:textAlignment w:val="auto"/>
        <w:rPr>
          <w:rFonts w:hint="eastAsia" w:ascii="仿宋_GB2312" w:hAnsi="Calibri" w:eastAsia="仿宋_GB2312" w:cs="Times New Roman"/>
          <w:kern w:val="2"/>
          <w:sz w:val="32"/>
          <w:szCs w:val="32"/>
          <w:lang w:val="en-US" w:eastAsia="zh-CN" w:bidi="ar-SA"/>
        </w:rPr>
      </w:pPr>
      <w:r>
        <w:rPr>
          <w:rFonts w:hint="eastAsia" w:ascii="楷体_GB2312" w:hAnsi="楷体" w:eastAsia="楷体_GB2312"/>
          <w:b/>
          <w:bCs/>
          <w:sz w:val="32"/>
          <w:szCs w:val="32"/>
          <w:lang w:val="en-US" w:eastAsia="zh-CN"/>
        </w:rPr>
        <w:t>（七）基本支出：</w:t>
      </w:r>
      <w:r>
        <w:rPr>
          <w:rFonts w:hint="eastAsia" w:ascii="仿宋_GB2312" w:hAnsi="Calibri" w:eastAsia="仿宋_GB2312" w:cs="Times New Roman"/>
          <w:kern w:val="2"/>
          <w:sz w:val="32"/>
          <w:szCs w:val="32"/>
          <w:lang w:val="en-US" w:eastAsia="zh-CN" w:bidi="ar-SA"/>
        </w:rPr>
        <w:t>指为保证机构正常运转，完成日常工作任务而发生的人员支出和公用支出。</w:t>
      </w:r>
      <w:r>
        <w:rPr>
          <w:rFonts w:hint="eastAsia" w:ascii="仿宋_GB2312" w:hAnsi="Calibri" w:eastAsia="仿宋_GB2312" w:cs="Times New Roman"/>
          <w:kern w:val="2"/>
          <w:sz w:val="32"/>
          <w:szCs w:val="32"/>
          <w:lang w:val="en-US" w:eastAsia="zh-CN" w:bidi="ar-SA"/>
        </w:rPr>
        <w:br w:type="textWrapping"/>
      </w:r>
      <w:r>
        <w:rPr>
          <w:rFonts w:hint="eastAsia" w:ascii="楷体_GB2312" w:hAnsi="楷体" w:eastAsia="楷体_GB2312"/>
          <w:sz w:val="32"/>
          <w:szCs w:val="32"/>
          <w:lang w:val="en-US" w:eastAsia="zh-CN"/>
        </w:rPr>
        <w:t>　　</w:t>
      </w:r>
      <w:r>
        <w:rPr>
          <w:rFonts w:hint="eastAsia" w:ascii="楷体_GB2312" w:hAnsi="楷体" w:eastAsia="楷体_GB2312"/>
          <w:b/>
          <w:bCs/>
          <w:sz w:val="32"/>
          <w:szCs w:val="32"/>
          <w:lang w:val="en-US" w:eastAsia="zh-CN"/>
        </w:rPr>
        <w:t>（八）项目支出：</w:t>
      </w:r>
      <w:r>
        <w:rPr>
          <w:rFonts w:hint="eastAsia" w:ascii="仿宋_GB2312" w:hAnsi="Calibri" w:eastAsia="仿宋_GB2312" w:cs="Times New Roman"/>
          <w:kern w:val="2"/>
          <w:sz w:val="32"/>
          <w:szCs w:val="32"/>
          <w:lang w:val="en-US" w:eastAsia="zh-CN" w:bidi="ar-SA"/>
        </w:rPr>
        <w:t>指在基本支出之外为完成特定行政任务和事业发展目标所发生的支出。</w:t>
      </w:r>
      <w:r>
        <w:rPr>
          <w:rFonts w:hint="eastAsia" w:ascii="仿宋_GB2312" w:hAnsi="Calibri" w:eastAsia="仿宋_GB2312" w:cs="Times New Roman"/>
          <w:kern w:val="2"/>
          <w:sz w:val="32"/>
          <w:szCs w:val="32"/>
          <w:lang w:val="en-US" w:eastAsia="zh-CN" w:bidi="ar-SA"/>
        </w:rPr>
        <w:br w:type="textWrapping"/>
      </w:r>
      <w:r>
        <w:rPr>
          <w:rFonts w:hint="eastAsia" w:ascii="楷体_GB2312" w:hAnsi="楷体" w:eastAsia="楷体_GB2312"/>
          <w:sz w:val="32"/>
          <w:szCs w:val="32"/>
          <w:lang w:val="en-US" w:eastAsia="zh-CN"/>
        </w:rPr>
        <w:t>　　</w:t>
      </w:r>
      <w:r>
        <w:rPr>
          <w:rFonts w:hint="eastAsia" w:ascii="楷体_GB2312" w:hAnsi="楷体" w:eastAsia="楷体_GB2312"/>
          <w:b/>
          <w:bCs/>
          <w:sz w:val="32"/>
          <w:szCs w:val="32"/>
          <w:lang w:val="en-US" w:eastAsia="zh-CN"/>
        </w:rPr>
        <w:t>（九）“三公”经费：</w:t>
      </w:r>
      <w:r>
        <w:rPr>
          <w:rFonts w:hint="eastAsia" w:ascii="仿宋_GB2312" w:hAnsi="Calibri" w:eastAsia="仿宋_GB2312" w:cs="Times New Roman"/>
          <w:kern w:val="2"/>
          <w:sz w:val="32"/>
          <w:szCs w:val="32"/>
          <w:lang w:val="en-US" w:eastAsia="zh-CN" w:bidi="ar-SA"/>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14:paraId="3E92C707">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60" w:lineRule="exact"/>
        <w:ind w:firstLine="640" w:firstLineChars="200"/>
        <w:textAlignment w:val="auto"/>
        <w:rPr>
          <w:rFonts w:hint="eastAsia" w:ascii="仿宋_GB2312" w:hAnsi="Calibri" w:eastAsia="仿宋_GB2312" w:cs="Times New Roman"/>
          <w:kern w:val="2"/>
          <w:sz w:val="32"/>
          <w:szCs w:val="32"/>
          <w:lang w:val="en-US" w:eastAsia="zh-CN" w:bidi="ar-SA"/>
        </w:rPr>
      </w:pPr>
      <w:r>
        <w:rPr>
          <w:rFonts w:hint="eastAsia" w:ascii="楷体_GB2312" w:hAnsi="楷体" w:eastAsia="楷体_GB2312"/>
          <w:sz w:val="32"/>
          <w:szCs w:val="32"/>
          <w:lang w:val="en-US" w:eastAsia="zh-CN"/>
        </w:rPr>
        <w:t xml:space="preserve">                     </w:t>
      </w:r>
      <w:r>
        <w:rPr>
          <w:rFonts w:hint="eastAsia" w:ascii="仿宋_GB2312" w:hAnsi="Calibri" w:eastAsia="仿宋_GB2312" w:cs="Times New Roman"/>
          <w:kern w:val="2"/>
          <w:sz w:val="32"/>
          <w:szCs w:val="32"/>
          <w:lang w:val="en-US" w:eastAsia="zh-CN" w:bidi="ar-SA"/>
        </w:rPr>
        <w:t xml:space="preserve">  茂县卫生综合服务中心</w:t>
      </w:r>
    </w:p>
    <w:p w14:paraId="6314CEA1">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60" w:lineRule="exact"/>
        <w:ind w:firstLine="640" w:firstLineChars="200"/>
        <w:textAlignment w:val="auto"/>
        <w:rPr>
          <w:rFonts w:hint="default" w:ascii="仿宋_GB2312" w:hAnsi="Calibri" w:eastAsia="仿宋_GB2312" w:cs="Times New Roman"/>
          <w:kern w:val="2"/>
          <w:sz w:val="32"/>
          <w:szCs w:val="32"/>
          <w:lang w:val="en-US" w:eastAsia="zh-CN" w:bidi="ar-SA"/>
        </w:rPr>
      </w:pPr>
      <w:r>
        <w:rPr>
          <w:rFonts w:hint="eastAsia" w:ascii="仿宋_GB2312" w:hAnsi="Calibri" w:eastAsia="仿宋_GB2312" w:cs="Times New Roman"/>
          <w:kern w:val="2"/>
          <w:sz w:val="32"/>
          <w:szCs w:val="32"/>
          <w:lang w:val="en-US" w:eastAsia="zh-CN" w:bidi="ar-SA"/>
        </w:rPr>
        <w:t xml:space="preserve">                           2026年4月3日</w:t>
      </w:r>
    </w:p>
    <w:p w14:paraId="1AD49EEE">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60" w:lineRule="exact"/>
        <w:ind w:firstLine="640" w:firstLineChars="200"/>
        <w:textAlignment w:val="auto"/>
        <w:rPr>
          <w:rFonts w:hint="eastAsia" w:ascii="仿宋_GB2312" w:hAnsi="Calibri" w:eastAsia="仿宋_GB2312" w:cs="Times New Roman"/>
          <w:kern w:val="2"/>
          <w:sz w:val="32"/>
          <w:szCs w:val="32"/>
          <w:lang w:val="en-US" w:eastAsia="zh-CN" w:bidi="ar-SA"/>
        </w:rPr>
      </w:pP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auto"/>
    <w:pitch w:val="default"/>
    <w:sig w:usb0="E0002EFF" w:usb1="C000785B" w:usb2="00000009" w:usb3="00000000" w:csb0="400001FF" w:csb1="FFFF0000"/>
  </w:font>
  <w:font w:name="宋体">
    <w:panose1 w:val="02010600030101010101"/>
    <w:charset w:val="7A"/>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Wingdings 3"/>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Wingdings 3">
    <w:panose1 w:val="05040102010807070707"/>
    <w:charset w:val="00"/>
    <w:family w:val="auto"/>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E2961D">
    <w:pPr>
      <w:pStyle w:val="5"/>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BFBF713"/>
    <w:multiLevelType w:val="singleLevel"/>
    <w:tmpl w:val="DBFBF713"/>
    <w:lvl w:ilvl="0" w:tentative="0">
      <w:start w:val="5"/>
      <w:numFmt w:val="chineseCounting"/>
      <w:suff w:val="nothing"/>
      <w:lvlText w:val="%1、"/>
      <w:lvlJc w:val="left"/>
      <w:pPr>
        <w:ind w:left="-22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AE4629A"/>
    <w:rsid w:val="000451C2"/>
    <w:rsid w:val="00053256"/>
    <w:rsid w:val="0006464F"/>
    <w:rsid w:val="000C0283"/>
    <w:rsid w:val="001119C2"/>
    <w:rsid w:val="001634E3"/>
    <w:rsid w:val="001910FF"/>
    <w:rsid w:val="001948E0"/>
    <w:rsid w:val="001B1BFD"/>
    <w:rsid w:val="00242435"/>
    <w:rsid w:val="00246992"/>
    <w:rsid w:val="00270F67"/>
    <w:rsid w:val="0030031F"/>
    <w:rsid w:val="00346F74"/>
    <w:rsid w:val="00404935"/>
    <w:rsid w:val="004204C6"/>
    <w:rsid w:val="004379C5"/>
    <w:rsid w:val="00476B63"/>
    <w:rsid w:val="0054124B"/>
    <w:rsid w:val="005B541B"/>
    <w:rsid w:val="00692F74"/>
    <w:rsid w:val="007F6E64"/>
    <w:rsid w:val="00803F7A"/>
    <w:rsid w:val="00887775"/>
    <w:rsid w:val="00913BB1"/>
    <w:rsid w:val="00923A98"/>
    <w:rsid w:val="00985052"/>
    <w:rsid w:val="00A40946"/>
    <w:rsid w:val="00A6122E"/>
    <w:rsid w:val="00A71389"/>
    <w:rsid w:val="00AB4C2F"/>
    <w:rsid w:val="00AD0470"/>
    <w:rsid w:val="00BB6C3A"/>
    <w:rsid w:val="00BE1C53"/>
    <w:rsid w:val="00C37AB1"/>
    <w:rsid w:val="00C43679"/>
    <w:rsid w:val="00CC02D9"/>
    <w:rsid w:val="00D019EC"/>
    <w:rsid w:val="00D264D1"/>
    <w:rsid w:val="00DB29FD"/>
    <w:rsid w:val="00E26DF5"/>
    <w:rsid w:val="00EA3F33"/>
    <w:rsid w:val="00F40EE7"/>
    <w:rsid w:val="00F717C3"/>
    <w:rsid w:val="00F749FC"/>
    <w:rsid w:val="00FA2AAC"/>
    <w:rsid w:val="00FA663A"/>
    <w:rsid w:val="00FE34EC"/>
    <w:rsid w:val="02FE03D7"/>
    <w:rsid w:val="0374413D"/>
    <w:rsid w:val="04332F7D"/>
    <w:rsid w:val="05260382"/>
    <w:rsid w:val="06FB4838"/>
    <w:rsid w:val="07674A16"/>
    <w:rsid w:val="077D5784"/>
    <w:rsid w:val="09727371"/>
    <w:rsid w:val="0ED43145"/>
    <w:rsid w:val="10AC492F"/>
    <w:rsid w:val="11DA205E"/>
    <w:rsid w:val="11ED2AAD"/>
    <w:rsid w:val="13086650"/>
    <w:rsid w:val="13197D31"/>
    <w:rsid w:val="15F1161D"/>
    <w:rsid w:val="161B0A6D"/>
    <w:rsid w:val="164003A4"/>
    <w:rsid w:val="16C5583A"/>
    <w:rsid w:val="177904B8"/>
    <w:rsid w:val="17CE4803"/>
    <w:rsid w:val="18883AF9"/>
    <w:rsid w:val="1B0406D7"/>
    <w:rsid w:val="1B9D4375"/>
    <w:rsid w:val="1E5B7FD1"/>
    <w:rsid w:val="1F777037"/>
    <w:rsid w:val="1F910CB5"/>
    <w:rsid w:val="20340A84"/>
    <w:rsid w:val="20361CB8"/>
    <w:rsid w:val="20832A98"/>
    <w:rsid w:val="21225361"/>
    <w:rsid w:val="219C66CF"/>
    <w:rsid w:val="21FB4133"/>
    <w:rsid w:val="2271206B"/>
    <w:rsid w:val="23B21932"/>
    <w:rsid w:val="256B552A"/>
    <w:rsid w:val="2636483C"/>
    <w:rsid w:val="275A34C6"/>
    <w:rsid w:val="27A14592"/>
    <w:rsid w:val="29566940"/>
    <w:rsid w:val="2AF83194"/>
    <w:rsid w:val="2B6C478C"/>
    <w:rsid w:val="2F05640D"/>
    <w:rsid w:val="32BA1699"/>
    <w:rsid w:val="32BF7DF5"/>
    <w:rsid w:val="359F244F"/>
    <w:rsid w:val="35F76384"/>
    <w:rsid w:val="3641335F"/>
    <w:rsid w:val="37885A5B"/>
    <w:rsid w:val="37EE6503"/>
    <w:rsid w:val="38B642D4"/>
    <w:rsid w:val="38EFE237"/>
    <w:rsid w:val="3A8F1281"/>
    <w:rsid w:val="3B9C7F12"/>
    <w:rsid w:val="3BDE3CD5"/>
    <w:rsid w:val="40047BD8"/>
    <w:rsid w:val="41691F8F"/>
    <w:rsid w:val="448B4867"/>
    <w:rsid w:val="45194D73"/>
    <w:rsid w:val="48EB0A3F"/>
    <w:rsid w:val="49BB1E3A"/>
    <w:rsid w:val="51F16034"/>
    <w:rsid w:val="560F497F"/>
    <w:rsid w:val="58156E12"/>
    <w:rsid w:val="5A141447"/>
    <w:rsid w:val="5E892804"/>
    <w:rsid w:val="5E9D546B"/>
    <w:rsid w:val="5EA81E0F"/>
    <w:rsid w:val="5FC30F01"/>
    <w:rsid w:val="61693C9D"/>
    <w:rsid w:val="63650DBE"/>
    <w:rsid w:val="64CC0F4B"/>
    <w:rsid w:val="6674191E"/>
    <w:rsid w:val="673E3563"/>
    <w:rsid w:val="67E96994"/>
    <w:rsid w:val="6891032A"/>
    <w:rsid w:val="68F23CD8"/>
    <w:rsid w:val="69654611"/>
    <w:rsid w:val="6C4B52AE"/>
    <w:rsid w:val="6C580609"/>
    <w:rsid w:val="6C5E5AB6"/>
    <w:rsid w:val="6E441B6B"/>
    <w:rsid w:val="6F094B4B"/>
    <w:rsid w:val="6F1352D6"/>
    <w:rsid w:val="71E60A7F"/>
    <w:rsid w:val="72D71001"/>
    <w:rsid w:val="7436465A"/>
    <w:rsid w:val="758D4034"/>
    <w:rsid w:val="75A31161"/>
    <w:rsid w:val="766C59F7"/>
    <w:rsid w:val="77E10A4D"/>
    <w:rsid w:val="77F54124"/>
    <w:rsid w:val="7A3E76AA"/>
    <w:rsid w:val="7AE4629A"/>
    <w:rsid w:val="7BF546E1"/>
    <w:rsid w:val="7BFBB057"/>
    <w:rsid w:val="7C1F72F8"/>
    <w:rsid w:val="7EE32C2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next w:val="3"/>
    <w:qFormat/>
    <w:uiPriority w:val="0"/>
    <w:pPr>
      <w:spacing w:after="120"/>
      <w:ind w:left="200" w:leftChars="200"/>
    </w:pPr>
    <w:rPr>
      <w:rFonts w:ascii="Times New Roman" w:hAnsi="Times New Roman" w:eastAsia="宋体" w:cs="Times New Roman"/>
    </w:rPr>
  </w:style>
  <w:style w:type="paragraph" w:styleId="3">
    <w:name w:val="Body Text First Indent 2"/>
    <w:basedOn w:val="2"/>
    <w:next w:val="1"/>
    <w:qFormat/>
    <w:uiPriority w:val="0"/>
    <w:pPr>
      <w:ind w:firstLine="200" w:firstLineChars="200"/>
    </w:pPr>
    <w:rPr>
      <w:rFonts w:ascii="Times New Roman" w:hAnsi="Times New Roman" w:eastAsia="宋体" w:cs="Times New Roman"/>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customStyle="1" w:styleId="8">
    <w:name w:val="正文2"/>
    <w:basedOn w:val="1"/>
    <w:next w:val="1"/>
    <w:autoRedefine/>
    <w:qFormat/>
    <w:uiPriority w:val="0"/>
  </w:style>
  <w:style w:type="paragraph" w:styleId="9">
    <w:name w:val="List Paragraph"/>
    <w:basedOn w:val="1"/>
    <w:qFormat/>
    <w:uiPriority w:val="99"/>
    <w:pPr>
      <w:ind w:firstLine="420" w:firstLineChars="200"/>
    </w:pPr>
  </w:style>
  <w:style w:type="paragraph" w:customStyle="1" w:styleId="10">
    <w:name w:val="正文文本1"/>
    <w:basedOn w:val="1"/>
    <w:qFormat/>
    <w:uiPriority w:val="99"/>
    <w:pPr>
      <w:spacing w:before="93"/>
    </w:pPr>
    <w:rPr>
      <w:rFonts w:ascii="仿宋_GB2312" w:hAnsi="仿宋_GB2312" w:eastAsia="仿宋_GB2312"/>
      <w:kern w:val="0"/>
      <w:sz w:val="30"/>
      <w:szCs w:val="20"/>
    </w:rPr>
  </w:style>
  <w:style w:type="paragraph" w:customStyle="1" w:styleId="11">
    <w:name w:val="No Spacing"/>
    <w:autoRedefine/>
    <w:qFormat/>
    <w:uiPriority w:val="0"/>
    <w:pPr>
      <w:ind w:firstLine="200" w:firstLineChars="200"/>
    </w:pPr>
    <w:rPr>
      <w:rFonts w:ascii="Times New Roman" w:hAnsi="Times New Roman" w:eastAsia="仿宋_GB2312" w:cs="Times New Roman"/>
      <w:sz w:val="30"/>
      <w:szCs w:val="2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2520</Words>
  <Characters>2928</Characters>
  <Lines>23</Lines>
  <Paragraphs>6</Paragraphs>
  <TotalTime>5</TotalTime>
  <ScaleCrop>false</ScaleCrop>
  <LinksUpToDate>false</LinksUpToDate>
  <CharactersWithSpaces>2960</CharactersWithSpaces>
  <Application>WPS Office_12.1.2.24722_F1E327BC-269C-435d-A152-05C5408002CA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2022-01-13T08:31:00Z</dcterms:created>
  <dc:creator>疯丫头。。</dc:creator>
  <cp:lastModifiedBy>kylin</cp:lastModifiedBy>
  <cp:lastPrinted>2026-03-27T02:44:00Z</cp:lastPrinted>
  <dcterms:modified xsi:type="dcterms:W3CDTF">2026-03-30T16:18:02Z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2052-12.1.2.24722</vt:lpwstr>
  </property>
  <property fmtid="{D5CDD505-2E9C-101B-9397-08002B2CF9AE}" pid="3" name="KSOTemplateDocerSaveRecord">
    <vt:lpwstr>eyJoZGlkIjoiMWJjNDRhOWM2N2RmZTgwZTEyZWM5NjY2NDE4NWU4YmQiLCJ1c2VySWQiOiI1NTQ5NjE3NjUifQ==</vt:lpwstr>
  </property>
  <property fmtid="{D5CDD505-2E9C-101B-9397-08002B2CF9AE}" pid="4" name="ICV">
    <vt:lpwstr>0301D3162C2D436EAC24E33B48D9E7D5_13</vt:lpwstr>
  </property>
</Properties>
</file>