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u w:val="dash"/>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b/>
          <w:bCs/>
          <w:color w:val="000000"/>
          <w:sz w:val="44"/>
          <w:szCs w:val="44"/>
        </w:rPr>
      </w:pPr>
      <w:bookmarkStart w:id="1" w:name="_Toc15377193"/>
      <w:bookmarkStart w:id="2" w:name="_Toc15396475"/>
      <w:bookmarkStart w:id="3" w:name="_Toc15377425"/>
      <w:bookmarkStart w:id="4" w:name="_Toc15378441"/>
      <w:bookmarkStart w:id="5" w:name="_Toc15396597"/>
      <w:r>
        <w:rPr>
          <w:rFonts w:ascii="黑体" w:hAnsi="黑体" w:eastAsia="黑体"/>
          <w:b/>
          <w:bCs/>
          <w:color w:val="000000"/>
          <w:sz w:val="44"/>
          <w:szCs w:val="44"/>
        </w:rPr>
        <w:t>201</w:t>
      </w:r>
      <w:r>
        <w:rPr>
          <w:rFonts w:hint="eastAsia" w:ascii="黑体" w:hAnsi="黑体" w:eastAsia="黑体"/>
          <w:b/>
          <w:bCs/>
          <w:color w:val="000000"/>
          <w:sz w:val="44"/>
          <w:szCs w:val="44"/>
        </w:rPr>
        <w:t>9</w:t>
      </w:r>
      <w:r>
        <w:rPr>
          <w:rFonts w:hint="eastAsia" w:ascii="方正小标宋简体" w:hAnsi="宋体" w:eastAsia="方正小标宋简体"/>
          <w:b/>
          <w:bCs/>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b/>
          <w:bCs/>
          <w:color w:val="000000"/>
          <w:sz w:val="44"/>
          <w:szCs w:val="44"/>
        </w:rPr>
      </w:pPr>
      <w:bookmarkStart w:id="6" w:name="_Toc15378442"/>
      <w:bookmarkStart w:id="7" w:name="_Toc15396598"/>
      <w:bookmarkStart w:id="8" w:name="_Toc15377194"/>
      <w:bookmarkStart w:id="9" w:name="_Toc15396476"/>
      <w:bookmarkStart w:id="10" w:name="_Toc15377426"/>
      <w:r>
        <w:rPr>
          <w:rFonts w:hint="eastAsia" w:ascii="方正小标宋简体" w:hAnsi="宋体" w:eastAsia="方正小标宋简体"/>
          <w:b/>
          <w:bCs/>
          <w:color w:val="000000"/>
          <w:sz w:val="44"/>
          <w:szCs w:val="44"/>
        </w:rPr>
        <w:t>四川省阿坝州</w:t>
      </w:r>
      <w:bookmarkEnd w:id="0"/>
      <w:bookmarkStart w:id="11" w:name="_Toc15306268"/>
      <w:r>
        <w:rPr>
          <w:rFonts w:hint="eastAsia" w:ascii="方正小标宋简体" w:hAnsi="宋体" w:eastAsia="方正小标宋简体"/>
          <w:b/>
          <w:bCs/>
          <w:color w:val="000000"/>
          <w:sz w:val="44"/>
          <w:szCs w:val="44"/>
          <w:lang w:val="en-US" w:eastAsia="zh-CN"/>
        </w:rPr>
        <w:t>茂县应急管理局</w:t>
      </w:r>
      <w:r>
        <w:rPr>
          <w:rFonts w:hint="eastAsia" w:ascii="方正小标宋简体" w:hAnsi="宋体" w:eastAsia="方正小标宋简体"/>
          <w:b/>
          <w:bCs/>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keepNext w:val="0"/>
        <w:keepLines w:val="0"/>
        <w:pageBreakBefore w:val="0"/>
        <w:widowControl/>
        <w:kinsoku/>
        <w:wordWrap/>
        <w:overflowPunct/>
        <w:topLinePunct w:val="0"/>
        <w:autoSpaceDE/>
        <w:autoSpaceDN/>
        <w:bidi w:val="0"/>
        <w:spacing w:line="590" w:lineRule="exact"/>
        <w:jc w:val="center"/>
        <w:textAlignment w:val="auto"/>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keepNext w:val="0"/>
        <w:keepLines w:val="0"/>
        <w:pageBreakBefore w:val="0"/>
        <w:widowControl/>
        <w:kinsoku/>
        <w:wordWrap/>
        <w:overflowPunct/>
        <w:topLinePunct w:val="0"/>
        <w:autoSpaceDE/>
        <w:autoSpaceDN/>
        <w:bidi w:val="0"/>
        <w:spacing w:line="590" w:lineRule="exact"/>
        <w:jc w:val="center"/>
        <w:textAlignment w:val="auto"/>
        <w:rPr>
          <w:rFonts w:ascii="黑体" w:hAnsi="黑体" w:eastAsia="黑体" w:cstheme="minorBidi"/>
          <w:sz w:val="28"/>
          <w:szCs w:val="28"/>
        </w:rPr>
      </w:pPr>
    </w:p>
    <w:p>
      <w:pPr>
        <w:keepNext w:val="0"/>
        <w:keepLines w:val="0"/>
        <w:pageBreakBefore w:val="0"/>
        <w:kinsoku/>
        <w:wordWrap/>
        <w:overflowPunct/>
        <w:topLinePunct w:val="0"/>
        <w:autoSpaceDE/>
        <w:autoSpaceDN/>
        <w:bidi w:val="0"/>
        <w:spacing w:line="590" w:lineRule="exact"/>
        <w:textAlignment w:val="auto"/>
        <w:rPr>
          <w:rFonts w:hint="eastAsia" w:ascii="仿宋_GB2312" w:hAnsi="仿宋_GB2312" w:eastAsia="仿宋_GB2312" w:cs="仿宋_GB2312"/>
          <w:sz w:val="32"/>
          <w:szCs w:val="32"/>
        </w:rPr>
      </w:pPr>
    </w:p>
    <w:p>
      <w:pPr>
        <w:pStyle w:val="10"/>
        <w:keepNext w:val="0"/>
        <w:keepLines w:val="0"/>
        <w:pageBreakBefore w:val="0"/>
        <w:kinsoku/>
        <w:wordWrap/>
        <w:overflowPunct/>
        <w:topLinePunct w:val="0"/>
        <w:autoSpaceDE/>
        <w:autoSpaceDN/>
        <w:bidi w:val="0"/>
        <w:adjustRightInd w:val="0"/>
        <w:snapToGrid w:val="0"/>
        <w:spacing w:before="0"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第一部分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部门概况</w:t>
      </w:r>
      <w:r>
        <w:rPr>
          <w:rFonts w:hint="eastAsia" w:ascii="仿宋_GB2312" w:hAnsi="仿宋_GB2312" w:eastAsia="仿宋_GB2312" w:cs="仿宋_GB2312"/>
          <w:sz w:val="32"/>
          <w:szCs w:val="32"/>
          <w:lang w:val="en-US" w:eastAsia="zh-CN"/>
        </w:rPr>
        <w:t xml:space="preserve"> ------------------------------ </w:t>
      </w:r>
      <w:r>
        <w:rPr>
          <w:rFonts w:hint="eastAsia" w:ascii="仿宋_GB2312" w:hAnsi="仿宋_GB2312" w:eastAsia="仿宋_GB2312" w:cs="仿宋_GB2312"/>
          <w:sz w:val="32"/>
          <w:szCs w:val="32"/>
          <w:u w:val="none"/>
          <w:lang w:val="en-US" w:eastAsia="zh-CN"/>
        </w:rPr>
        <w:t>4</w:t>
      </w:r>
    </w:p>
    <w:p>
      <w:pPr>
        <w:pStyle w:val="10"/>
        <w:keepNext w:val="0"/>
        <w:keepLines w:val="0"/>
        <w:pageBreakBefore w:val="0"/>
        <w:kinsoku/>
        <w:wordWrap/>
        <w:overflowPunct/>
        <w:topLinePunct w:val="0"/>
        <w:autoSpaceDE/>
        <w:autoSpaceDN/>
        <w:bidi w:val="0"/>
        <w:adjustRightInd w:val="0"/>
        <w:snapToGrid w:val="0"/>
        <w:spacing w:before="0" w:line="590" w:lineRule="exact"/>
        <w:ind w:firstLine="320" w:firstLineChars="1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none"/>
          <w:lang w:val="en-US" w:eastAsia="zh-CN"/>
        </w:rPr>
        <w:t>4</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none"/>
          <w:lang w:val="en-US" w:eastAsia="zh-CN"/>
        </w:rPr>
        <w:t>6</w:t>
      </w:r>
    </w:p>
    <w:p>
      <w:pPr>
        <w:pStyle w:val="10"/>
        <w:keepNext w:val="0"/>
        <w:keepLines w:val="0"/>
        <w:pageBreakBefore w:val="0"/>
        <w:kinsoku/>
        <w:wordWrap/>
        <w:overflowPunct/>
        <w:topLinePunct w:val="0"/>
        <w:autoSpaceDE/>
        <w:autoSpaceDN/>
        <w:bidi w:val="0"/>
        <w:adjustRightInd w:val="0"/>
        <w:snapToGrid w:val="0"/>
        <w:spacing w:before="0"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 xml:space="preserve"> 2019年</w:t>
      </w:r>
      <w:r>
        <w:rPr>
          <w:rFonts w:hint="eastAsia" w:ascii="仿宋_GB2312" w:hAnsi="仿宋_GB2312" w:eastAsia="仿宋_GB2312" w:cs="仿宋_GB2312"/>
          <w:sz w:val="32"/>
          <w:szCs w:val="32"/>
        </w:rPr>
        <w:t>度部门决算情况说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none"/>
          <w:lang w:val="en-US" w:eastAsia="zh-CN"/>
        </w:rPr>
        <w:t>8</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none"/>
          <w:lang w:val="en-US" w:eastAsia="zh-CN"/>
        </w:rPr>
        <w:t>8</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none"/>
          <w:lang w:val="en-US" w:eastAsia="zh-CN"/>
        </w:rPr>
        <w:t>8</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none"/>
          <w:lang w:val="en-US" w:eastAsia="zh-CN"/>
        </w:rPr>
        <w:t>9</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lang w:val="en-US" w:eastAsia="zh-CN"/>
        </w:rPr>
        <w:t>---------- 9</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lang w:val="en-US" w:eastAsia="zh-CN"/>
        </w:rPr>
        <w:t>------ 10</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lang w:val="en-US" w:eastAsia="zh-CN"/>
        </w:rPr>
        <w:t>-- 13</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lang w:val="en-US" w:eastAsia="zh-CN"/>
        </w:rPr>
        <w:t>------- 13</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lang w:val="en-US" w:eastAsia="zh-CN"/>
        </w:rPr>
        <w:t>------------ 15</w:t>
      </w:r>
    </w:p>
    <w:p>
      <w:pPr>
        <w:pStyle w:val="11"/>
        <w:keepNext w:val="0"/>
        <w:keepLines w:val="0"/>
        <w:pageBreakBefore w:val="0"/>
        <w:kinsoku/>
        <w:wordWrap/>
        <w:overflowPunct/>
        <w:topLinePunct w:val="0"/>
        <w:autoSpaceDE/>
        <w:autoSpaceDN/>
        <w:bidi w:val="0"/>
        <w:adjustRightInd w:val="0"/>
        <w:snapToGrid w:val="0"/>
        <w:spacing w:line="590" w:lineRule="exact"/>
        <w:ind w:leftChars="0"/>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lang w:val="en-US" w:eastAsia="zh-CN"/>
        </w:rPr>
        <w:t>---------- 15</w:t>
      </w:r>
    </w:p>
    <w:p>
      <w:pPr>
        <w:keepNext w:val="0"/>
        <w:keepLines w:val="0"/>
        <w:pageBreakBefore w:val="0"/>
        <w:kinsoku/>
        <w:wordWrap/>
        <w:overflowPunct/>
        <w:topLinePunct w:val="0"/>
        <w:autoSpaceDE/>
        <w:autoSpaceDN/>
        <w:bidi w:val="0"/>
        <w:adjustRightInd w:val="0"/>
        <w:snapToGrid w:val="0"/>
        <w:spacing w:line="590" w:lineRule="exact"/>
        <w:ind w:firstLine="320" w:firstLineChars="100"/>
        <w:jc w:val="left"/>
        <w:textAlignment w:val="auto"/>
        <w:rPr>
          <w:rFonts w:hint="default" w:ascii="仿宋_GB2312" w:hAnsi="仿宋_GB2312" w:eastAsia="仿宋_GB2312" w:cs="仿宋_GB2312"/>
          <w:sz w:val="32"/>
          <w:szCs w:val="32"/>
          <w:lang w:val="en-US" w:eastAsia="zh-CN"/>
        </w:rPr>
      </w:pPr>
      <w:r>
        <w:rPr>
          <w:rStyle w:val="15"/>
          <w:rFonts w:hint="eastAsia" w:ascii="仿宋_GB2312" w:hAnsi="仿宋_GB2312" w:eastAsia="仿宋_GB2312" w:cs="仿宋_GB2312"/>
          <w:color w:val="000000" w:themeColor="text1"/>
          <w:sz w:val="32"/>
          <w:szCs w:val="32"/>
          <w:u w:val="none"/>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lang w:val="en-US" w:eastAsia="zh-CN"/>
        </w:rPr>
        <w:t>--------------------- 15</w:t>
      </w:r>
    </w:p>
    <w:p>
      <w:pPr>
        <w:pStyle w:val="10"/>
        <w:keepNext w:val="0"/>
        <w:keepLines w:val="0"/>
        <w:pageBreakBefore w:val="0"/>
        <w:kinsoku/>
        <w:wordWrap/>
        <w:overflowPunct/>
        <w:topLinePunct w:val="0"/>
        <w:autoSpaceDE/>
        <w:autoSpaceDN/>
        <w:bidi w:val="0"/>
        <w:adjustRightInd w:val="0"/>
        <w:snapToGrid w:val="0"/>
        <w:spacing w:before="0"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第三部分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名词解释</w:t>
      </w:r>
      <w:r>
        <w:rPr>
          <w:rFonts w:hint="eastAsia" w:ascii="仿宋_GB2312" w:hAnsi="仿宋_GB2312" w:eastAsia="仿宋_GB2312" w:cs="仿宋_GB2312"/>
          <w:sz w:val="32"/>
          <w:szCs w:val="32"/>
          <w:lang w:val="en-US" w:eastAsia="zh-CN"/>
        </w:rPr>
        <w:t>-------------------------------- 21</w:t>
      </w:r>
    </w:p>
    <w:p>
      <w:pPr>
        <w:pStyle w:val="10"/>
        <w:keepNext w:val="0"/>
        <w:keepLines w:val="0"/>
        <w:pageBreakBefore w:val="0"/>
        <w:kinsoku/>
        <w:wordWrap/>
        <w:overflowPunct/>
        <w:topLinePunct w:val="0"/>
        <w:autoSpaceDE/>
        <w:autoSpaceDN/>
        <w:bidi w:val="0"/>
        <w:adjustRightInd w:val="0"/>
        <w:snapToGrid w:val="0"/>
        <w:spacing w:before="0"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第四部分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------------------------------------ 24</w:t>
      </w:r>
    </w:p>
    <w:p>
      <w:pPr>
        <w:pStyle w:val="11"/>
        <w:keepNext w:val="0"/>
        <w:keepLines w:val="0"/>
        <w:pageBreakBefore w:val="0"/>
        <w:kinsoku/>
        <w:wordWrap/>
        <w:overflowPunct/>
        <w:topLinePunct w:val="0"/>
        <w:autoSpaceDE/>
        <w:autoSpaceDN/>
        <w:bidi w:val="0"/>
        <w:adjustRightInd w:val="0"/>
        <w:snapToGrid w:val="0"/>
        <w:spacing w:line="590" w:lineRule="exact"/>
        <w:ind w:left="0" w:leftChars="0" w:firstLine="0" w:firstLineChars="0"/>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lang w:val="en-US" w:eastAsia="zh-CN"/>
        </w:rPr>
        <w:t>茂县应急管理局2019年部门整体支出绩效评价报告---- 24</w:t>
      </w:r>
    </w:p>
    <w:p>
      <w:pPr>
        <w:pStyle w:val="10"/>
        <w:keepNext w:val="0"/>
        <w:keepLines w:val="0"/>
        <w:pageBreakBefore w:val="0"/>
        <w:kinsoku/>
        <w:wordWrap/>
        <w:overflowPunct/>
        <w:topLinePunct w:val="0"/>
        <w:autoSpaceDE/>
        <w:autoSpaceDN/>
        <w:bidi w:val="0"/>
        <w:adjustRightInd w:val="0"/>
        <w:snapToGrid w:val="0"/>
        <w:spacing w:before="0" w:line="590" w:lineRule="exact"/>
        <w:jc w:val="left"/>
        <w:textAlignment w:val="auto"/>
        <w:rPr>
          <w:rFonts w:hint="default" w:ascii="仿宋_GB2312" w:hAnsi="仿宋_GB2312" w:eastAsia="仿宋_GB2312" w:cs="仿宋_GB2312"/>
          <w:sz w:val="32"/>
          <w:szCs w:val="32"/>
          <w:u w:val="dash"/>
          <w:lang w:val="en-US" w:eastAsia="zh-CN"/>
        </w:rPr>
      </w:pPr>
      <w:r>
        <w:rPr>
          <w:rFonts w:hint="eastAsia" w:ascii="仿宋_GB2312" w:hAnsi="仿宋_GB2312" w:eastAsia="仿宋_GB2312" w:cs="仿宋_GB2312"/>
          <w:sz w:val="32"/>
          <w:szCs w:val="32"/>
        </w:rPr>
        <w:t>第五部分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附表</w:t>
      </w:r>
      <w:r>
        <w:rPr>
          <w:rFonts w:hint="eastAsia" w:ascii="仿宋_GB2312" w:hAnsi="仿宋_GB2312" w:eastAsia="仿宋_GB2312" w:cs="仿宋_GB2312"/>
          <w:sz w:val="32"/>
          <w:szCs w:val="32"/>
          <w:lang w:val="en-US" w:eastAsia="zh-CN"/>
        </w:rPr>
        <w:t>------------------------------------ 27</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lang w:val="en-US" w:eastAsia="zh-CN"/>
        </w:rPr>
        <w:t>-------------------------- 27</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lang w:val="en-US" w:eastAsia="zh-CN"/>
        </w:rPr>
        <w:t>--------------------------------- 27</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lang w:val="en-US" w:eastAsia="zh-CN"/>
        </w:rPr>
        <w:t>-------------------------------- 27</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四、财政拨款收入支出决算表</w:t>
      </w:r>
      <w:r>
        <w:rPr>
          <w:rFonts w:hint="eastAsia" w:ascii="仿宋_GB2312" w:hAnsi="仿宋_GB2312" w:eastAsia="仿宋_GB2312" w:cs="仿宋_GB2312"/>
          <w:sz w:val="32"/>
          <w:szCs w:val="32"/>
          <w:lang w:val="en-US" w:eastAsia="zh-CN"/>
        </w:rPr>
        <w:t>-------------------- 27</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lang w:val="en-US"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lang w:val="en-US" w:eastAsia="zh-CN"/>
        </w:rPr>
        <w:t>------------ 27</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lang w:val="en-US" w:eastAsia="zh-CN"/>
        </w:rPr>
        <w:t>-------- 27</w:t>
      </w:r>
    </w:p>
    <w:p>
      <w:pPr>
        <w:pStyle w:val="11"/>
        <w:keepNext w:val="0"/>
        <w:keepLines w:val="0"/>
        <w:pageBreakBefore w:val="0"/>
        <w:kinsoku/>
        <w:wordWrap/>
        <w:overflowPunct/>
        <w:topLinePunct w:val="0"/>
        <w:autoSpaceDE/>
        <w:autoSpaceDN/>
        <w:bidi w:val="0"/>
        <w:adjustRightInd w:val="0"/>
        <w:snapToGrid w:val="0"/>
        <w:spacing w:line="59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lang w:val="en-US" w:eastAsia="zh-CN"/>
        </w:rPr>
        <w:t>------ 27</w:t>
      </w:r>
    </w:p>
    <w:p>
      <w:pPr>
        <w:pStyle w:val="2"/>
        <w:jc w:val="center"/>
        <w:rPr>
          <w:rFonts w:hint="eastAsia" w:ascii="黑体" w:hAnsi="黑体" w:eastAsia="黑体"/>
          <w:b w:val="0"/>
        </w:rPr>
      </w:pPr>
      <w:bookmarkStart w:id="12" w:name="_Toc15396599"/>
      <w:bookmarkStart w:id="13" w:name="_Toc15377196"/>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cente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pStyle w:val="2"/>
        <w:jc w:val="center"/>
        <w:rPr>
          <w:rFonts w:hint="eastAsia" w:ascii="黑体" w:hAnsi="黑体" w:eastAsia="黑体"/>
          <w:b w:val="0"/>
        </w:rPr>
      </w:pPr>
    </w:p>
    <w:p>
      <w:pPr>
        <w:pStyle w:val="2"/>
        <w:jc w:val="both"/>
        <w:rPr>
          <w:rFonts w:hint="eastAsia" w:ascii="黑体" w:hAnsi="黑体" w:eastAsia="黑体"/>
          <w:b w:val="0"/>
        </w:rPr>
      </w:pPr>
    </w:p>
    <w:p>
      <w:pPr>
        <w:rPr>
          <w:rFonts w:hint="eastAsia"/>
        </w:rPr>
      </w:pP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ind w:firstLine="640" w:firstLineChars="200"/>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bookmarkStart w:id="16" w:name="_Toc15377198"/>
      <w:bookmarkStart w:id="17" w:name="_Toc15378445"/>
      <w:r>
        <w:rPr>
          <w:rFonts w:hint="eastAsia" w:ascii="楷体" w:hAnsi="楷体" w:eastAsia="楷体" w:cs="楷体"/>
          <w:b/>
          <w:bCs w:val="0"/>
          <w:color w:val="000000"/>
          <w:sz w:val="32"/>
          <w:szCs w:val="32"/>
        </w:rPr>
        <w:t>（一）主要职能</w:t>
      </w:r>
    </w:p>
    <w:p>
      <w:pPr>
        <w:spacing w:line="576" w:lineRule="exact"/>
        <w:ind w:firstLine="960" w:firstLineChars="300"/>
        <w:jc w:val="both"/>
        <w:rPr>
          <w:rFonts w:eastAsia="楷体_GB2312"/>
          <w:b/>
          <w:sz w:val="32"/>
          <w:szCs w:val="32"/>
        </w:rPr>
      </w:pPr>
      <w:r>
        <w:rPr>
          <w:rFonts w:hint="eastAsia" w:eastAsia="仿宋_GB2312"/>
          <w:sz w:val="32"/>
          <w:szCs w:val="32"/>
        </w:rPr>
        <w:t>县应急局</w:t>
      </w:r>
      <w:r>
        <w:rPr>
          <w:rFonts w:hint="eastAsia" w:eastAsia="仿宋_GB2312"/>
          <w:sz w:val="32"/>
          <w:szCs w:val="32"/>
          <w:lang w:eastAsia="zh-CN"/>
        </w:rPr>
        <w:t>基本职能是</w:t>
      </w:r>
      <w:r>
        <w:rPr>
          <w:rFonts w:hint="eastAsia" w:eastAsia="仿宋_GB2312"/>
          <w:sz w:val="32"/>
          <w:szCs w:val="32"/>
        </w:rPr>
        <w:t>贯彻落实党中央关于应急工作的方针政策和省委、州委、县委的决策部署，在履行职责过程中坚持和加强党对应急工作的集中统一领导。</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1.负</w:t>
      </w:r>
      <w:r>
        <w:rPr>
          <w:rFonts w:hint="eastAsia" w:eastAsia="仿宋_GB2312"/>
          <w:sz w:val="32"/>
          <w:szCs w:val="32"/>
        </w:rPr>
        <w:t>责应急管理工作，组织和指导各乡（镇）、县级各部门（单位）应对安全生产类、自然灾害类等突发事件和综合防灾减灾救灾工作。负责安全生产综合监督管理和工矿商贸行业安全生产监督管理工作。</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2.</w:t>
      </w:r>
      <w:r>
        <w:rPr>
          <w:rFonts w:hint="eastAsia" w:eastAsia="仿宋_GB2312"/>
          <w:sz w:val="32"/>
          <w:szCs w:val="32"/>
        </w:rPr>
        <w:t>拟订应急管理、安全生产等有关规范性文件，组织编制应急体系建设、安全生产和综合防灾减灾规划。</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3.</w:t>
      </w:r>
      <w:r>
        <w:rPr>
          <w:rFonts w:hint="eastAsia" w:eastAsia="仿宋_GB2312"/>
          <w:sz w:val="32"/>
          <w:szCs w:val="32"/>
        </w:rPr>
        <w:t>负责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4.</w:t>
      </w:r>
      <w:r>
        <w:rPr>
          <w:rFonts w:hint="eastAsia" w:eastAsia="仿宋_GB2312"/>
          <w:sz w:val="32"/>
          <w:szCs w:val="32"/>
        </w:rPr>
        <w:t>牵头建立统一的应急管理信息系统，负责信息传输渠道的规划和布局，建立监测预警和灾情报告制度，健全自然灾害信息资源获取和共享机制，依法统一发布灾情。</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5.</w:t>
      </w:r>
      <w:r>
        <w:rPr>
          <w:rFonts w:hint="eastAsia" w:eastAsia="仿宋_GB2312"/>
          <w:sz w:val="32"/>
          <w:szCs w:val="32"/>
        </w:rPr>
        <w:t>负责组织、协调安全生产类、自然灾害类等突发事件应急救援，承担全县应对一般及以上灾害指挥部工作，综合研判突发事件发展态势并提出应对建议，负责组织一般及以上灾害应急处置工作。</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6.</w:t>
      </w:r>
      <w:r>
        <w:rPr>
          <w:rFonts w:hint="eastAsia" w:eastAsia="仿宋_GB2312"/>
          <w:sz w:val="32"/>
          <w:szCs w:val="32"/>
        </w:rPr>
        <w:t>统一协调指挥各类应急专业队伍，建立应急协调联动机制，推进指挥平台对接。提请衔接解放军和武警部队参与应急救援工作。</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7.</w:t>
      </w:r>
      <w:r>
        <w:rPr>
          <w:rFonts w:hint="eastAsia" w:eastAsia="仿宋_GB2312"/>
          <w:sz w:val="32"/>
          <w:szCs w:val="32"/>
        </w:rPr>
        <w:t>按照国家、省、州相关政策和规定负责消防、森林和草原火灾扑救、抗洪抢险、地震和地质灾害救援、生产安全事故救援等专业应急救援力量建设，依法依规统筹县域内应急救援力量和应急保障能力建设。</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8.</w:t>
      </w:r>
      <w:r>
        <w:rPr>
          <w:rFonts w:hint="eastAsia" w:eastAsia="仿宋_GB2312"/>
          <w:sz w:val="32"/>
          <w:szCs w:val="32"/>
        </w:rPr>
        <w:t>按照国家、省、州相关政策和县委、</w:t>
      </w:r>
      <w:r>
        <w:rPr>
          <w:rFonts w:hint="eastAsia" w:eastAsia="仿宋_GB2312"/>
          <w:sz w:val="32"/>
          <w:szCs w:val="32"/>
          <w:lang w:eastAsia="zh-CN"/>
        </w:rPr>
        <w:t>县政府</w:t>
      </w:r>
      <w:r>
        <w:rPr>
          <w:rFonts w:hint="eastAsia" w:eastAsia="仿宋_GB2312"/>
          <w:sz w:val="32"/>
          <w:szCs w:val="32"/>
        </w:rPr>
        <w:t>相关规定负责消防工作，负责消防监督、火灾预防、火灾扑救等工作。</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9.</w:t>
      </w:r>
      <w:r>
        <w:rPr>
          <w:rFonts w:hint="eastAsia" w:eastAsia="仿宋_GB2312"/>
          <w:sz w:val="32"/>
          <w:szCs w:val="32"/>
        </w:rPr>
        <w:t>负责自然灾害综合监测预警工作，承担自然灾害综合风险评估工作，协调森林和草原火灾、水旱灾害、地震和地质灾害等防治工作。</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10.</w:t>
      </w:r>
      <w:r>
        <w:rPr>
          <w:rFonts w:hint="eastAsia" w:eastAsia="仿宋_GB2312"/>
          <w:sz w:val="32"/>
          <w:szCs w:val="32"/>
        </w:rPr>
        <w:t>负责组织、协调灾害救助工作，组织灾情核查、损失评估、救灾捐赠工作，管理、分配中央、省、州下拨及县级救灾款物并监督使用。</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11.</w:t>
      </w:r>
      <w:r>
        <w:rPr>
          <w:rFonts w:hint="eastAsia" w:eastAsia="仿宋_GB2312"/>
          <w:sz w:val="32"/>
          <w:szCs w:val="32"/>
        </w:rPr>
        <w:t>依法承担</w:t>
      </w:r>
      <w:r>
        <w:rPr>
          <w:rFonts w:hint="eastAsia" w:eastAsia="仿宋_GB2312"/>
          <w:sz w:val="32"/>
          <w:szCs w:val="32"/>
          <w:lang w:eastAsia="zh-CN"/>
        </w:rPr>
        <w:t>县政府</w:t>
      </w:r>
      <w:r>
        <w:rPr>
          <w:rFonts w:hint="eastAsia" w:eastAsia="仿宋_GB2312"/>
          <w:sz w:val="32"/>
          <w:szCs w:val="32"/>
        </w:rPr>
        <w:t>安全生产综合监督管理责任，负责协调、监督检查县直有关部门和各乡（镇）人民政府安全生产工作，组织开展安全生产巡查、督查、考核工作。</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12.</w:t>
      </w:r>
      <w:r>
        <w:rPr>
          <w:rFonts w:hint="eastAsia" w:eastAsia="仿宋_GB2312"/>
          <w:sz w:val="32"/>
          <w:szCs w:val="32"/>
        </w:rPr>
        <w:t>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13.</w:t>
      </w:r>
      <w:r>
        <w:rPr>
          <w:rFonts w:hint="eastAsia" w:eastAsia="仿宋_GB2312"/>
          <w:sz w:val="32"/>
          <w:szCs w:val="32"/>
        </w:rPr>
        <w:t>承担非煤矿山、危险化学品、非药品类易制毒化学品和烟花爆竹等生产经营单位安全生产准入管理责任。</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14.</w:t>
      </w:r>
      <w:r>
        <w:rPr>
          <w:rFonts w:hint="eastAsia" w:eastAsia="仿宋_GB2312"/>
          <w:sz w:val="32"/>
          <w:szCs w:val="32"/>
        </w:rPr>
        <w:t>负责生产安全事故调查处理，监督事故查处和责任追究落实情况。组织开展自然灾害类突发事件的调查评估工作。</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15.</w:t>
      </w:r>
      <w:r>
        <w:rPr>
          <w:rFonts w:hint="eastAsia" w:eastAsia="仿宋_GB2312"/>
          <w:sz w:val="32"/>
          <w:szCs w:val="32"/>
        </w:rPr>
        <w:t>开展应急管理和安全生产方面的交流与合作，组织参与安全生产类、自然灾害类等突发事件的跨区域救援工作。</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16.</w:t>
      </w:r>
      <w:r>
        <w:rPr>
          <w:rFonts w:hint="eastAsia" w:eastAsia="仿宋_GB2312"/>
          <w:sz w:val="32"/>
          <w:szCs w:val="32"/>
        </w:rPr>
        <w:t>拟订应急物资储备和应急救援装备规划并组织实施，会同县发改局等部门建立健全应急物资信息平台和调拨制度，在救灾时统一调度。</w:t>
      </w:r>
    </w:p>
    <w:p>
      <w:pPr>
        <w:adjustRightInd w:val="0"/>
        <w:snapToGrid w:val="0"/>
        <w:spacing w:line="576" w:lineRule="exact"/>
        <w:ind w:firstLine="640" w:firstLineChars="200"/>
        <w:jc w:val="both"/>
        <w:rPr>
          <w:rFonts w:eastAsia="仿宋_GB2312"/>
          <w:sz w:val="32"/>
          <w:szCs w:val="32"/>
        </w:rPr>
      </w:pPr>
      <w:r>
        <w:rPr>
          <w:rFonts w:hint="eastAsia" w:eastAsia="仿宋_GB2312"/>
          <w:sz w:val="32"/>
          <w:szCs w:val="32"/>
          <w:lang w:eastAsia="zh-CN"/>
        </w:rPr>
        <w:t>17.</w:t>
      </w:r>
      <w:r>
        <w:rPr>
          <w:rFonts w:hint="eastAsia" w:eastAsia="仿宋_GB2312"/>
          <w:sz w:val="32"/>
          <w:szCs w:val="32"/>
        </w:rPr>
        <w:t>负责应急管理、安全生产宣传教育和培训工作。承担应急管理、安全生产的科学技术推广应用和信息化建设工作。负责</w:t>
      </w:r>
      <w:r>
        <w:rPr>
          <w:rFonts w:hint="eastAsia" w:eastAsia="仿宋_GB2312" w:cs="仿宋_GB2312"/>
          <w:sz w:val="32"/>
          <w:szCs w:val="32"/>
        </w:rPr>
        <w:t>应急管理、安全生产和防灾减灾救灾新闻宣传报道、舆情应对、文化建设工作，承担公众知识普及工作，承担安全生产类、自然灾害类突发事件应急救援社会动员工作。</w:t>
      </w:r>
    </w:p>
    <w:p>
      <w:pPr>
        <w:adjustRightInd w:val="0"/>
        <w:snapToGrid w:val="0"/>
        <w:spacing w:line="576" w:lineRule="exact"/>
        <w:ind w:firstLine="640" w:firstLineChars="200"/>
        <w:jc w:val="both"/>
        <w:rPr>
          <w:rFonts w:eastAsia="仿宋_GB2312"/>
          <w:sz w:val="32"/>
          <w:szCs w:val="32"/>
        </w:rPr>
      </w:pPr>
      <w:r>
        <w:rPr>
          <w:rFonts w:hint="eastAsia" w:ascii="仿宋_GB2312" w:eastAsia="仿宋_GB2312"/>
          <w:sz w:val="32"/>
        </w:rPr>
        <w:t>1</w:t>
      </w:r>
      <w:r>
        <w:rPr>
          <w:rFonts w:hint="eastAsia" w:ascii="仿宋_GB2312" w:eastAsia="仿宋_GB2312"/>
          <w:sz w:val="32"/>
          <w:lang w:eastAsia="zh-CN"/>
        </w:rPr>
        <w:t>8.</w:t>
      </w:r>
      <w:r>
        <w:rPr>
          <w:rFonts w:hint="eastAsia" w:ascii="仿宋_GB2312" w:eastAsia="仿宋_GB2312"/>
          <w:sz w:val="32"/>
        </w:rPr>
        <w:t>承办县政府交办的其他事项。</w:t>
      </w:r>
    </w:p>
    <w:bookmarkEnd w:id="16"/>
    <w:bookmarkEnd w:id="17"/>
    <w:p>
      <w:pPr>
        <w:pStyle w:val="5"/>
        <w:adjustRightInd w:val="0"/>
        <w:snapToGrid w:val="0"/>
        <w:spacing w:before="93" w:line="600" w:lineRule="exact"/>
        <w:ind w:firstLine="675" w:firstLineChars="210"/>
        <w:outlineLvl w:val="2"/>
        <w:rPr>
          <w:rFonts w:hint="eastAsia" w:ascii="楷体" w:hAnsi="楷体" w:eastAsia="楷体" w:cs="楷体"/>
          <w:b/>
          <w:bCs w:val="0"/>
          <w:color w:val="000000"/>
          <w:sz w:val="32"/>
          <w:szCs w:val="32"/>
        </w:rPr>
      </w:pPr>
      <w:bookmarkStart w:id="18" w:name="_Toc15378446"/>
      <w:bookmarkStart w:id="19" w:name="_Toc15377199"/>
      <w:r>
        <w:rPr>
          <w:rFonts w:hint="eastAsia" w:ascii="楷体" w:hAnsi="楷体" w:eastAsia="楷体" w:cs="楷体"/>
          <w:b/>
          <w:bCs w:val="0"/>
          <w:color w:val="000000"/>
          <w:sz w:val="32"/>
          <w:szCs w:val="32"/>
        </w:rPr>
        <w:t>（二）2019年重点工作完成情况</w:t>
      </w:r>
      <w:bookmarkEnd w:id="18"/>
      <w:bookmarkEnd w:id="19"/>
    </w:p>
    <w:p>
      <w:pPr>
        <w:keepNext w:val="0"/>
        <w:keepLines w:val="0"/>
        <w:pageBreakBefore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楷体" w:hAnsi="楷体" w:eastAsia="楷体" w:cs="楷体"/>
          <w:b/>
          <w:bCs w:val="0"/>
          <w:color w:val="000000"/>
          <w:sz w:val="32"/>
          <w:szCs w:val="32"/>
        </w:rPr>
      </w:pPr>
      <w:r>
        <w:rPr>
          <w:rFonts w:hint="eastAsia" w:eastAsia="仿宋_GB2312"/>
          <w:sz w:val="32"/>
          <w:szCs w:val="32"/>
        </w:rPr>
        <w:t>完善</w:t>
      </w:r>
      <w:r>
        <w:rPr>
          <w:rFonts w:hint="eastAsia" w:eastAsia="仿宋_GB2312"/>
          <w:sz w:val="32"/>
          <w:szCs w:val="32"/>
          <w:lang w:val="en-US" w:eastAsia="zh-CN"/>
        </w:rPr>
        <w:t>了</w:t>
      </w:r>
      <w:r>
        <w:rPr>
          <w:rFonts w:hint="eastAsia" w:eastAsia="仿宋_GB2312"/>
          <w:sz w:val="32"/>
          <w:szCs w:val="32"/>
        </w:rPr>
        <w:t>安全生产责任制，</w:t>
      </w:r>
      <w:r>
        <w:rPr>
          <w:rFonts w:hint="eastAsia" w:eastAsia="仿宋_GB2312"/>
          <w:sz w:val="32"/>
          <w:szCs w:val="32"/>
          <w:lang w:val="en-US" w:eastAsia="zh-CN"/>
        </w:rPr>
        <w:t>落实乡镇、部门安全生产责任，</w:t>
      </w:r>
      <w:r>
        <w:rPr>
          <w:rFonts w:hint="eastAsia" w:ascii="仿宋_GB2312" w:eastAsia="仿宋_GB2312"/>
          <w:sz w:val="32"/>
          <w:szCs w:val="32"/>
          <w:lang w:val="en-US" w:eastAsia="zh-CN"/>
        </w:rPr>
        <w:t>全面</w:t>
      </w:r>
      <w:r>
        <w:rPr>
          <w:rFonts w:hint="eastAsia" w:ascii="仿宋_GB2312" w:eastAsia="仿宋_GB2312"/>
          <w:sz w:val="32"/>
          <w:szCs w:val="32"/>
        </w:rPr>
        <w:t>落实</w:t>
      </w:r>
      <w:r>
        <w:rPr>
          <w:rFonts w:hint="eastAsia" w:ascii="仿宋_GB2312" w:eastAsia="仿宋_GB2312"/>
          <w:sz w:val="32"/>
          <w:szCs w:val="32"/>
          <w:lang w:val="en-US" w:eastAsia="zh-CN"/>
        </w:rPr>
        <w:t>企业</w:t>
      </w:r>
      <w:r>
        <w:rPr>
          <w:rFonts w:hint="eastAsia" w:ascii="仿宋_GB2312" w:eastAsia="仿宋_GB2312"/>
          <w:sz w:val="32"/>
          <w:szCs w:val="32"/>
        </w:rPr>
        <w:t>安全生产</w:t>
      </w:r>
      <w:r>
        <w:rPr>
          <w:rFonts w:hint="eastAsia" w:ascii="仿宋_GB2312" w:eastAsia="仿宋_GB2312"/>
          <w:sz w:val="32"/>
          <w:szCs w:val="32"/>
          <w:lang w:val="en-US" w:eastAsia="zh-CN"/>
        </w:rPr>
        <w:t>主体</w:t>
      </w:r>
      <w:r>
        <w:rPr>
          <w:rFonts w:hint="eastAsia" w:ascii="仿宋_GB2312" w:eastAsia="仿宋_GB2312"/>
          <w:sz w:val="32"/>
          <w:szCs w:val="32"/>
        </w:rPr>
        <w:t>责任，提升</w:t>
      </w:r>
      <w:r>
        <w:rPr>
          <w:rFonts w:hint="eastAsia" w:ascii="仿宋_GB2312" w:eastAsia="仿宋_GB2312"/>
          <w:sz w:val="32"/>
          <w:szCs w:val="32"/>
          <w:lang w:val="en-US" w:eastAsia="zh-CN"/>
        </w:rPr>
        <w:t>了全县</w:t>
      </w:r>
      <w:r>
        <w:rPr>
          <w:rFonts w:hint="eastAsia" w:ascii="仿宋_GB2312" w:eastAsia="仿宋_GB2312"/>
          <w:sz w:val="32"/>
          <w:szCs w:val="32"/>
        </w:rPr>
        <w:t>安全生产监管和应急救援能力，加大</w:t>
      </w:r>
      <w:r>
        <w:rPr>
          <w:rFonts w:hint="eastAsia" w:ascii="仿宋_GB2312" w:eastAsia="仿宋_GB2312"/>
          <w:sz w:val="32"/>
          <w:szCs w:val="32"/>
          <w:lang w:val="en-US" w:eastAsia="zh-CN"/>
        </w:rPr>
        <w:t>行业</w:t>
      </w:r>
      <w:r>
        <w:rPr>
          <w:rFonts w:hint="eastAsia" w:ascii="仿宋_GB2312" w:eastAsia="仿宋_GB2312"/>
          <w:sz w:val="32"/>
          <w:szCs w:val="32"/>
        </w:rPr>
        <w:t>安全生产专项整治力度，</w:t>
      </w:r>
      <w:r>
        <w:rPr>
          <w:rFonts w:hint="eastAsia" w:ascii="仿宋_GB2312" w:eastAsia="仿宋_GB2312"/>
          <w:sz w:val="32"/>
          <w:szCs w:val="32"/>
          <w:lang w:val="en-US" w:eastAsia="zh-CN"/>
        </w:rPr>
        <w:t>完善了</w:t>
      </w:r>
      <w:r>
        <w:rPr>
          <w:rFonts w:hint="eastAsia" w:ascii="仿宋_GB2312" w:eastAsia="仿宋_GB2312"/>
          <w:sz w:val="32"/>
          <w:szCs w:val="32"/>
        </w:rPr>
        <w:t>安全生产和应急管理信息化建设，</w:t>
      </w:r>
      <w:r>
        <w:rPr>
          <w:rFonts w:hint="eastAsia" w:ascii="仿宋_GB2312" w:eastAsia="仿宋_GB2312"/>
          <w:sz w:val="32"/>
          <w:szCs w:val="32"/>
          <w:lang w:val="en-US" w:eastAsia="zh-CN"/>
        </w:rPr>
        <w:t>加强了</w:t>
      </w:r>
      <w:r>
        <w:rPr>
          <w:rFonts w:hint="eastAsia" w:ascii="仿宋_GB2312" w:eastAsia="仿宋_GB2312"/>
          <w:sz w:val="32"/>
          <w:szCs w:val="32"/>
        </w:rPr>
        <w:t>隐患排查治理</w:t>
      </w:r>
      <w:r>
        <w:rPr>
          <w:rFonts w:hint="eastAsia" w:ascii="仿宋_GB2312" w:eastAsia="仿宋_GB2312"/>
          <w:sz w:val="32"/>
          <w:szCs w:val="32"/>
          <w:lang w:val="en-US" w:eastAsia="zh-CN"/>
        </w:rPr>
        <w:t>的力度</w:t>
      </w:r>
      <w:r>
        <w:rPr>
          <w:rFonts w:hint="eastAsia" w:ascii="仿宋_GB2312" w:eastAsia="仿宋_GB2312"/>
          <w:sz w:val="32"/>
          <w:szCs w:val="32"/>
        </w:rPr>
        <w:t>，强化安全监管执法</w:t>
      </w:r>
      <w:r>
        <w:rPr>
          <w:rFonts w:hint="eastAsia" w:ascii="仿宋_GB2312" w:eastAsia="仿宋_GB2312"/>
          <w:sz w:val="32"/>
          <w:szCs w:val="32"/>
          <w:lang w:eastAsia="zh-CN"/>
        </w:rPr>
        <w:t>，</w:t>
      </w:r>
      <w:r>
        <w:rPr>
          <w:rFonts w:hint="eastAsia" w:eastAsia="仿宋_GB2312"/>
          <w:sz w:val="32"/>
          <w:szCs w:val="32"/>
        </w:rPr>
        <w:t>树立安全发展理念</w:t>
      </w:r>
      <w:r>
        <w:rPr>
          <w:rFonts w:hint="eastAsia" w:eastAsia="仿宋_GB2312"/>
          <w:sz w:val="32"/>
          <w:szCs w:val="32"/>
          <w:lang w:eastAsia="zh-CN"/>
        </w:rPr>
        <w:t>，</w:t>
      </w:r>
      <w:r>
        <w:rPr>
          <w:rFonts w:hint="eastAsia" w:eastAsia="仿宋_GB2312"/>
          <w:sz w:val="32"/>
          <w:szCs w:val="32"/>
        </w:rPr>
        <w:t>坚持以人为本，</w:t>
      </w:r>
      <w:r>
        <w:rPr>
          <w:rFonts w:hint="eastAsia" w:eastAsia="仿宋_GB2312"/>
          <w:sz w:val="32"/>
          <w:szCs w:val="32"/>
          <w:lang w:val="en-US" w:eastAsia="zh-CN"/>
        </w:rPr>
        <w:t>生命至上，</w:t>
      </w:r>
      <w:r>
        <w:rPr>
          <w:rFonts w:hint="eastAsia" w:eastAsia="仿宋_GB2312"/>
          <w:sz w:val="32"/>
          <w:szCs w:val="32"/>
        </w:rPr>
        <w:t>安全第一</w:t>
      </w:r>
      <w:r>
        <w:rPr>
          <w:rFonts w:hint="eastAsia" w:ascii="仿宋_GB2312" w:eastAsia="仿宋_GB2312"/>
          <w:sz w:val="32"/>
          <w:szCs w:val="32"/>
        </w:rPr>
        <w:t>。</w:t>
      </w:r>
      <w:r>
        <w:rPr>
          <w:rFonts w:hint="eastAsia" w:eastAsia="仿宋_GB2312"/>
          <w:sz w:val="32"/>
          <w:szCs w:val="32"/>
        </w:rPr>
        <w:t>加强、优化、统筹应急能力建设，构建统一领导、权责一致、权威高效的应急能力体系</w:t>
      </w:r>
      <w:r>
        <w:rPr>
          <w:rFonts w:hint="eastAsia" w:eastAsia="仿宋_GB2312"/>
          <w:sz w:val="32"/>
          <w:szCs w:val="32"/>
          <w:lang w:eastAsia="zh-CN"/>
        </w:rPr>
        <w:t>；</w:t>
      </w:r>
      <w:r>
        <w:rPr>
          <w:rFonts w:hint="eastAsia" w:eastAsia="仿宋_GB2312"/>
          <w:sz w:val="32"/>
          <w:szCs w:val="32"/>
          <w:lang w:val="en-US" w:eastAsia="zh-CN"/>
        </w:rPr>
        <w:t>坚持</w:t>
      </w:r>
      <w:r>
        <w:rPr>
          <w:rFonts w:hint="eastAsia" w:eastAsia="仿宋_GB2312"/>
          <w:sz w:val="32"/>
          <w:szCs w:val="32"/>
        </w:rPr>
        <w:t>以防为主、防抗救结合，从减少灾害损失向减轻灾害风险转变，提高全县应急管理水平和防灾减灾救灾能力，加强应急预案演练，</w:t>
      </w:r>
      <w:r>
        <w:rPr>
          <w:rFonts w:hint="eastAsia" w:ascii="仿宋_GB2312" w:eastAsia="仿宋_GB2312"/>
          <w:sz w:val="32"/>
          <w:szCs w:val="32"/>
        </w:rPr>
        <w:t>加大宣传教育培训</w:t>
      </w:r>
      <w:r>
        <w:rPr>
          <w:rFonts w:hint="eastAsia" w:ascii="仿宋_GB2312" w:eastAsia="仿宋_GB2312"/>
          <w:sz w:val="32"/>
          <w:szCs w:val="32"/>
          <w:lang w:eastAsia="zh-CN"/>
        </w:rPr>
        <w:t>，</w:t>
      </w:r>
      <w:r>
        <w:rPr>
          <w:rFonts w:hint="eastAsia" w:eastAsia="仿宋_GB2312"/>
          <w:sz w:val="32"/>
          <w:szCs w:val="32"/>
        </w:rPr>
        <w:t>增强全民防灾减灾意识，提升</w:t>
      </w:r>
      <w:r>
        <w:rPr>
          <w:rFonts w:hint="eastAsia" w:eastAsia="仿宋_GB2312"/>
          <w:sz w:val="32"/>
          <w:szCs w:val="32"/>
          <w:lang w:val="en-US" w:eastAsia="zh-CN"/>
        </w:rPr>
        <w:t>全民</w:t>
      </w:r>
      <w:r>
        <w:rPr>
          <w:rFonts w:hint="eastAsia" w:eastAsia="仿宋_GB2312"/>
          <w:sz w:val="32"/>
          <w:szCs w:val="32"/>
        </w:rPr>
        <w:t>自救互救技能。</w:t>
      </w:r>
    </w:p>
    <w:p>
      <w:pPr>
        <w:pStyle w:val="3"/>
        <w:ind w:firstLine="640" w:firstLineChars="200"/>
        <w:rPr>
          <w:rStyle w:val="25"/>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0"/>
      <w:bookmarkEnd w:id="21"/>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640" w:firstLineChars="200"/>
        <w:textAlignment w:val="auto"/>
        <w:rPr>
          <w:rFonts w:hint="eastAsia" w:hAnsi="黑体"/>
          <w:sz w:val="32"/>
          <w:szCs w:val="32"/>
          <w:lang w:eastAsia="zh-CN"/>
        </w:rPr>
      </w:pPr>
      <w:r>
        <w:rPr>
          <w:rFonts w:hint="eastAsia" w:hAnsi="黑体"/>
          <w:sz w:val="32"/>
          <w:szCs w:val="32"/>
        </w:rPr>
        <w:t>茂县</w:t>
      </w:r>
      <w:r>
        <w:rPr>
          <w:rFonts w:hint="eastAsia" w:hAnsi="黑体"/>
          <w:sz w:val="32"/>
          <w:szCs w:val="32"/>
          <w:lang w:val="en-US" w:eastAsia="zh-CN"/>
        </w:rPr>
        <w:t>应急管</w:t>
      </w:r>
      <w:r>
        <w:rPr>
          <w:rFonts w:hint="eastAsia" w:hAnsi="黑体"/>
          <w:sz w:val="32"/>
          <w:szCs w:val="32"/>
        </w:rPr>
        <w:t>理局</w:t>
      </w:r>
      <w:r>
        <w:rPr>
          <w:rFonts w:hint="eastAsia"/>
          <w:color w:val="000000"/>
          <w:sz w:val="32"/>
          <w:szCs w:val="32"/>
        </w:rPr>
        <w:t>下属二级单位</w:t>
      </w:r>
      <w:r>
        <w:rPr>
          <w:rFonts w:hint="eastAsia"/>
          <w:color w:val="000000"/>
          <w:sz w:val="32"/>
          <w:szCs w:val="32"/>
          <w:lang w:val="en-US" w:eastAsia="zh-CN"/>
        </w:rPr>
        <w:t>0</w:t>
      </w:r>
      <w:r>
        <w:rPr>
          <w:rFonts w:hint="eastAsia"/>
          <w:color w:val="000000"/>
          <w:sz w:val="32"/>
          <w:szCs w:val="32"/>
        </w:rPr>
        <w:t>个，其中行政单位</w:t>
      </w:r>
      <w:r>
        <w:rPr>
          <w:rFonts w:hint="eastAsia"/>
          <w:color w:val="000000"/>
          <w:sz w:val="32"/>
          <w:szCs w:val="32"/>
          <w:lang w:val="en-US" w:eastAsia="zh-CN"/>
        </w:rPr>
        <w:t>1</w:t>
      </w:r>
      <w:r>
        <w:rPr>
          <w:rFonts w:hint="eastAsia"/>
          <w:color w:val="000000"/>
          <w:sz w:val="32"/>
          <w:szCs w:val="32"/>
        </w:rPr>
        <w:t>个，参照公务员法管理的事业单位</w:t>
      </w:r>
      <w:r>
        <w:rPr>
          <w:rFonts w:hint="eastAsia"/>
          <w:color w:val="000000"/>
          <w:sz w:val="32"/>
          <w:szCs w:val="32"/>
          <w:lang w:val="en-US" w:eastAsia="zh-CN"/>
        </w:rPr>
        <w:t>0</w:t>
      </w:r>
      <w:r>
        <w:rPr>
          <w:rFonts w:hint="eastAsia"/>
          <w:color w:val="000000"/>
          <w:sz w:val="32"/>
          <w:szCs w:val="32"/>
        </w:rPr>
        <w:t>个，其他事业单位</w:t>
      </w:r>
      <w:r>
        <w:rPr>
          <w:rFonts w:hint="eastAsia"/>
          <w:color w:val="000000"/>
          <w:sz w:val="32"/>
          <w:szCs w:val="32"/>
          <w:lang w:val="en-US" w:eastAsia="zh-CN"/>
        </w:rPr>
        <w:t>0</w:t>
      </w:r>
      <w:r>
        <w:rPr>
          <w:rFonts w:hint="eastAsia"/>
          <w:color w:val="000000"/>
          <w:sz w:val="32"/>
          <w:szCs w:val="32"/>
        </w:rPr>
        <w:t>个。</w:t>
      </w:r>
      <w:r>
        <w:rPr>
          <w:rFonts w:hint="eastAsia" w:hAnsi="黑体"/>
          <w:sz w:val="32"/>
          <w:szCs w:val="32"/>
        </w:rPr>
        <w:t>茂县</w:t>
      </w:r>
      <w:r>
        <w:rPr>
          <w:rFonts w:hint="eastAsia" w:hAnsi="黑体"/>
          <w:sz w:val="32"/>
          <w:szCs w:val="32"/>
          <w:lang w:val="en-US" w:eastAsia="zh-CN"/>
        </w:rPr>
        <w:t>应急管理局行政</w:t>
      </w:r>
      <w:r>
        <w:rPr>
          <w:rFonts w:hint="eastAsia" w:hAnsi="黑体"/>
          <w:sz w:val="32"/>
          <w:szCs w:val="32"/>
        </w:rPr>
        <w:t>编制</w:t>
      </w:r>
      <w:r>
        <w:rPr>
          <w:rFonts w:hint="eastAsia" w:hAnsi="黑体"/>
          <w:sz w:val="32"/>
          <w:szCs w:val="32"/>
          <w:lang w:val="en-US" w:eastAsia="zh-CN"/>
        </w:rPr>
        <w:t>9</w:t>
      </w:r>
      <w:r>
        <w:rPr>
          <w:rFonts w:hint="eastAsia" w:hAnsi="黑体"/>
          <w:sz w:val="32"/>
          <w:szCs w:val="32"/>
        </w:rPr>
        <w:t>名，</w:t>
      </w:r>
      <w:r>
        <w:rPr>
          <w:rFonts w:hint="eastAsia" w:hAnsi="黑体"/>
          <w:sz w:val="32"/>
          <w:szCs w:val="32"/>
          <w:lang w:eastAsia="zh-CN"/>
        </w:rPr>
        <w:t>参照公务员管理</w:t>
      </w:r>
      <w:r>
        <w:rPr>
          <w:rFonts w:hint="eastAsia" w:hAnsi="黑体"/>
          <w:sz w:val="32"/>
          <w:szCs w:val="32"/>
        </w:rPr>
        <w:t>事业编制10人</w:t>
      </w:r>
      <w:r>
        <w:rPr>
          <w:rFonts w:hint="eastAsia"/>
          <w:color w:val="000000"/>
          <w:sz w:val="32"/>
          <w:szCs w:val="32"/>
        </w:rPr>
        <w:t>。</w:t>
      </w:r>
      <w:r>
        <w:rPr>
          <w:rFonts w:hint="eastAsia"/>
          <w:color w:val="000000"/>
          <w:sz w:val="32"/>
          <w:szCs w:val="32"/>
          <w:lang w:eastAsia="zh-CN"/>
        </w:rPr>
        <w:t>年末实有人数</w:t>
      </w:r>
      <w:r>
        <w:rPr>
          <w:rFonts w:hint="eastAsia"/>
          <w:color w:val="000000"/>
          <w:sz w:val="32"/>
          <w:szCs w:val="32"/>
          <w:lang w:val="en-US" w:eastAsia="zh-CN"/>
        </w:rPr>
        <w:t>17人，其中公务员编制10 人，</w:t>
      </w:r>
      <w:r>
        <w:rPr>
          <w:rFonts w:hint="eastAsia" w:hAnsi="黑体"/>
          <w:sz w:val="32"/>
          <w:szCs w:val="32"/>
          <w:lang w:eastAsia="zh-CN"/>
        </w:rPr>
        <w:t>参照公务员管理</w:t>
      </w:r>
      <w:r>
        <w:rPr>
          <w:rFonts w:hint="eastAsia" w:hAnsi="黑体"/>
          <w:sz w:val="32"/>
          <w:szCs w:val="32"/>
        </w:rPr>
        <w:t>事业编制</w:t>
      </w:r>
      <w:r>
        <w:rPr>
          <w:rFonts w:hint="eastAsia" w:hAnsi="黑体"/>
          <w:sz w:val="32"/>
          <w:szCs w:val="32"/>
          <w:lang w:val="en-US" w:eastAsia="zh-CN"/>
        </w:rPr>
        <w:t>7</w:t>
      </w:r>
      <w:r>
        <w:rPr>
          <w:rFonts w:hint="eastAsia" w:hAnsi="黑体"/>
          <w:sz w:val="32"/>
          <w:szCs w:val="32"/>
        </w:rPr>
        <w:t>人</w:t>
      </w:r>
      <w:r>
        <w:rPr>
          <w:rFonts w:hint="eastAsia" w:hAnsi="黑体"/>
          <w:sz w:val="32"/>
          <w:szCs w:val="32"/>
          <w:lang w:eastAsia="zh-CN"/>
        </w:rPr>
        <w:t>。</w:t>
      </w:r>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320" w:firstLineChars="100"/>
        <w:textAlignment w:val="auto"/>
        <w:rPr>
          <w:rFonts w:hint="eastAsia" w:hAnsi="黑体"/>
          <w:sz w:val="32"/>
          <w:szCs w:val="32"/>
          <w:lang w:eastAsia="zh-CN"/>
        </w:rPr>
      </w:pPr>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320" w:firstLineChars="100"/>
        <w:textAlignment w:val="auto"/>
        <w:rPr>
          <w:rFonts w:hint="eastAsia" w:hAnsi="黑体"/>
          <w:sz w:val="32"/>
          <w:szCs w:val="32"/>
          <w:lang w:eastAsia="zh-CN"/>
        </w:rPr>
      </w:pPr>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320" w:firstLineChars="100"/>
        <w:textAlignment w:val="auto"/>
        <w:rPr>
          <w:rFonts w:hint="eastAsia" w:hAnsi="黑体"/>
          <w:sz w:val="32"/>
          <w:szCs w:val="32"/>
          <w:lang w:eastAsia="zh-CN"/>
        </w:rPr>
      </w:pPr>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320" w:firstLineChars="100"/>
        <w:textAlignment w:val="auto"/>
        <w:rPr>
          <w:rFonts w:hint="eastAsia" w:hAnsi="黑体"/>
          <w:sz w:val="32"/>
          <w:szCs w:val="32"/>
          <w:lang w:eastAsia="zh-CN"/>
        </w:rPr>
      </w:pPr>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320" w:firstLineChars="100"/>
        <w:textAlignment w:val="auto"/>
        <w:rPr>
          <w:rFonts w:hint="eastAsia" w:hAnsi="黑体"/>
          <w:sz w:val="32"/>
          <w:szCs w:val="32"/>
          <w:lang w:eastAsia="zh-CN"/>
        </w:rPr>
      </w:pPr>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320" w:firstLineChars="100"/>
        <w:textAlignment w:val="auto"/>
        <w:rPr>
          <w:rFonts w:hint="eastAsia" w:hAnsi="黑体"/>
          <w:sz w:val="32"/>
          <w:szCs w:val="32"/>
          <w:lang w:eastAsia="zh-CN"/>
        </w:rPr>
      </w:pPr>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320" w:firstLineChars="100"/>
        <w:textAlignment w:val="auto"/>
        <w:rPr>
          <w:rFonts w:hint="eastAsia" w:hAnsi="黑体"/>
          <w:sz w:val="32"/>
          <w:szCs w:val="32"/>
          <w:lang w:eastAsia="zh-CN"/>
        </w:rPr>
      </w:pPr>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320" w:firstLineChars="100"/>
        <w:textAlignment w:val="auto"/>
        <w:rPr>
          <w:rFonts w:hint="eastAsia" w:hAnsi="黑体"/>
          <w:sz w:val="32"/>
          <w:szCs w:val="32"/>
          <w:lang w:eastAsia="zh-CN"/>
        </w:rPr>
      </w:pPr>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320" w:firstLineChars="100"/>
        <w:textAlignment w:val="auto"/>
        <w:rPr>
          <w:rFonts w:hint="eastAsia" w:hAnsi="黑体"/>
          <w:sz w:val="32"/>
          <w:szCs w:val="32"/>
          <w:lang w:eastAsia="zh-CN"/>
        </w:rPr>
      </w:pPr>
    </w:p>
    <w:p>
      <w:pPr>
        <w:pStyle w:val="2"/>
        <w:ind w:right="440"/>
        <w:jc w:val="right"/>
        <w:rPr>
          <w:rStyle w:val="24"/>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2"/>
      <w:bookmarkEnd w:id="23"/>
    </w:p>
    <w:p/>
    <w:p>
      <w:pPr>
        <w:pStyle w:val="23"/>
        <w:numPr>
          <w:ilvl w:val="0"/>
          <w:numId w:val="1"/>
        </w:numPr>
        <w:spacing w:line="600" w:lineRule="exact"/>
        <w:ind w:firstLineChars="0"/>
        <w:outlineLvl w:val="1"/>
        <w:rPr>
          <w:rStyle w:val="25"/>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仿宋" w:hAnsi="仿宋" w:eastAsia="仿宋"/>
          <w:color w:val="000000" w:themeColor="text1"/>
          <w:sz w:val="32"/>
          <w:szCs w:val="32"/>
          <w:lang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val="en-US" w:eastAsia="zh-CN"/>
        </w:rPr>
        <w:t>入1092.18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支出630.45元，年末结转结余461.73万元</w:t>
      </w:r>
      <w:r>
        <w:rPr>
          <w:rFonts w:hint="eastAsia" w:ascii="仿宋" w:hAnsi="仿宋" w:eastAsia="仿宋"/>
          <w:color w:val="000000"/>
          <w:sz w:val="32"/>
          <w:szCs w:val="32"/>
        </w:rPr>
        <w:t>。与2018年相比，收</w:t>
      </w:r>
      <w:r>
        <w:rPr>
          <w:rFonts w:hint="eastAsia" w:ascii="仿宋" w:hAnsi="仿宋" w:eastAsia="仿宋"/>
          <w:color w:val="000000"/>
          <w:sz w:val="32"/>
          <w:szCs w:val="32"/>
          <w:lang w:val="en-US" w:eastAsia="zh-CN"/>
        </w:rPr>
        <w:t>入增加640.4万元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收入</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139.5</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支总计增加</w:t>
      </w:r>
      <w:r>
        <w:rPr>
          <w:rFonts w:hint="eastAsia" w:ascii="仿宋" w:hAnsi="仿宋" w:eastAsia="仿宋"/>
          <w:color w:val="000000"/>
          <w:sz w:val="32"/>
          <w:szCs w:val="32"/>
          <w:lang w:val="en-US" w:eastAsia="zh-CN"/>
        </w:rPr>
        <w:t>178.67</w:t>
      </w:r>
      <w:r>
        <w:rPr>
          <w:rFonts w:hint="eastAsia" w:ascii="仿宋" w:hAnsi="仿宋" w:eastAsia="仿宋"/>
          <w:color w:val="000000"/>
          <w:sz w:val="32"/>
          <w:szCs w:val="32"/>
        </w:rPr>
        <w:t>万元，</w:t>
      </w:r>
      <w:r>
        <w:rPr>
          <w:rFonts w:ascii="仿宋_GB2312" w:eastAsia="仿宋_GB2312"/>
          <w:color w:val="FFC000"/>
          <w:sz w:val="32"/>
          <w:szCs w:val="32"/>
          <w:lang w:eastAsia="zh-CN"/>
        </w:rPr>
        <w:t>。</w:t>
      </w:r>
      <w:r>
        <w:rPr>
          <w:rFonts w:hint="eastAsia" w:ascii="仿宋" w:hAnsi="仿宋" w:eastAsia="仿宋"/>
          <w:color w:val="000000"/>
          <w:sz w:val="32"/>
          <w:szCs w:val="32"/>
          <w:lang w:val="en-US" w:eastAsia="zh-CN"/>
        </w:rPr>
        <w:t>支出增长39.5</w:t>
      </w:r>
      <w:r>
        <w:rPr>
          <w:rFonts w:ascii="仿宋" w:hAnsi="仿宋" w:eastAsia="仿宋"/>
          <w:color w:val="000000"/>
          <w:sz w:val="32"/>
          <w:szCs w:val="32"/>
        </w:rPr>
        <w:t>%</w:t>
      </w:r>
      <w:r>
        <w:rPr>
          <w:rFonts w:hint="eastAsia" w:ascii="仿宋" w:hAnsi="仿宋" w:eastAsia="仿宋"/>
          <w:color w:val="000000" w:themeColor="text1"/>
          <w:sz w:val="32"/>
          <w:szCs w:val="32"/>
          <w:lang w:eastAsia="zh-CN"/>
        </w:rPr>
        <w:drawing>
          <wp:anchor distT="0" distB="0" distL="114300" distR="114300" simplePos="0" relativeHeight="251658240" behindDoc="0" locked="0" layoutInCell="1" allowOverlap="1">
            <wp:simplePos x="0" y="0"/>
            <wp:positionH relativeFrom="column">
              <wp:posOffset>241300</wp:posOffset>
            </wp:positionH>
            <wp:positionV relativeFrom="paragraph">
              <wp:posOffset>107950</wp:posOffset>
            </wp:positionV>
            <wp:extent cx="5080000" cy="3175000"/>
            <wp:effectExtent l="4445" t="4445" r="20955" b="2095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lang w:eastAsia="zh-CN"/>
        </w:rPr>
        <w:t>。</w:t>
      </w:r>
    </w:p>
    <w:p>
      <w:pPr>
        <w:keepNext w:val="0"/>
        <w:keepLines w:val="0"/>
        <w:pageBreakBefore w:val="0"/>
        <w:kinsoku/>
        <w:wordWrap/>
        <w:overflowPunct/>
        <w:topLinePunct w:val="0"/>
        <w:autoSpaceDE/>
        <w:autoSpaceDN/>
        <w:bidi w:val="0"/>
        <w:spacing w:line="576" w:lineRule="exact"/>
        <w:jc w:val="both"/>
        <w:textAlignment w:val="auto"/>
        <w:rPr>
          <w:rFonts w:hint="eastAsia" w:ascii="仿宋" w:hAnsi="仿宋" w:eastAsia="仿宋"/>
          <w:color w:val="000000" w:themeColor="text1"/>
          <w:sz w:val="32"/>
          <w:szCs w:val="32"/>
          <w:lang w:eastAsia="zh-CN"/>
        </w:rPr>
      </w:pPr>
      <w:r>
        <w:rPr>
          <w:rFonts w:hint="eastAsia" w:ascii="仿宋" w:hAnsi="仿宋" w:eastAsia="仿宋"/>
          <w:color w:val="000000"/>
          <w:sz w:val="32"/>
          <w:szCs w:val="32"/>
        </w:rPr>
        <w:t>主要变动原因是</w:t>
      </w:r>
      <w:r>
        <w:rPr>
          <w:rFonts w:hint="eastAsia" w:ascii="仿宋_GB2312" w:eastAsia="仿宋_GB2312"/>
          <w:color w:val="000000" w:themeColor="text1"/>
          <w:sz w:val="32"/>
          <w:szCs w:val="32"/>
          <w:lang w:val="en-US" w:eastAsia="zh-CN"/>
        </w:rPr>
        <w:t>应急抢险和安全监管的项目收入支出增加。</w:t>
      </w:r>
    </w:p>
    <w:p>
      <w:pPr>
        <w:pStyle w:val="23"/>
        <w:numPr>
          <w:ilvl w:val="0"/>
          <w:numId w:val="1"/>
        </w:numPr>
        <w:spacing w:line="600" w:lineRule="exact"/>
        <w:ind w:firstLineChars="0"/>
        <w:outlineLvl w:val="1"/>
        <w:rPr>
          <w:rStyle w:val="25"/>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themeColor="text1"/>
          <w:sz w:val="32"/>
          <w:szCs w:val="32"/>
          <w:lang w:val="en-US" w:eastAsia="zh-CN"/>
        </w:rPr>
        <w:t>1092.18</w:t>
      </w:r>
      <w:r>
        <w:rPr>
          <w:rFonts w:hint="eastAsia" w:ascii="仿宋" w:hAnsi="仿宋" w:eastAsia="仿宋"/>
          <w:color w:val="000000"/>
          <w:sz w:val="32"/>
          <w:szCs w:val="32"/>
        </w:rPr>
        <w:t>万元，其中：一般公共预算财政拨款收入</w:t>
      </w:r>
      <w:r>
        <w:rPr>
          <w:rFonts w:hint="eastAsia" w:ascii="仿宋" w:hAnsi="仿宋" w:eastAsia="仿宋"/>
          <w:color w:val="000000" w:themeColor="text1"/>
          <w:sz w:val="32"/>
          <w:szCs w:val="32"/>
          <w:lang w:val="en-US" w:eastAsia="zh-CN"/>
        </w:rPr>
        <w:t>1092.18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w:t>
      </w:r>
      <w:r>
        <w:rPr>
          <w:rFonts w:hint="eastAsia" w:ascii="仿宋" w:hAnsi="仿宋" w:eastAsia="仿宋"/>
          <w:color w:val="000000" w:themeColor="text1"/>
          <w:sz w:val="32"/>
          <w:szCs w:val="32"/>
          <w:lang w:eastAsia="zh-CN"/>
        </w:rPr>
        <w:drawing>
          <wp:anchor distT="0" distB="0" distL="114300" distR="114300" simplePos="0" relativeHeight="251660288" behindDoc="0" locked="0" layoutInCell="1" allowOverlap="1">
            <wp:simplePos x="0" y="0"/>
            <wp:positionH relativeFrom="column">
              <wp:posOffset>131445</wp:posOffset>
            </wp:positionH>
            <wp:positionV relativeFrom="page">
              <wp:posOffset>1540510</wp:posOffset>
            </wp:positionV>
            <wp:extent cx="5080000" cy="2592705"/>
            <wp:effectExtent l="4445" t="4445" r="20955" b="1270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3"/>
        <w:numPr>
          <w:ilvl w:val="0"/>
          <w:numId w:val="0"/>
        </w:numPr>
        <w:spacing w:line="600" w:lineRule="exact"/>
        <w:ind w:left="640" w:leftChars="0"/>
        <w:outlineLvl w:val="1"/>
        <w:rPr>
          <w:rStyle w:val="25"/>
          <w:rFonts w:ascii="黑体" w:hAnsi="黑体" w:eastAsia="黑体"/>
          <w:b w:val="0"/>
        </w:rPr>
      </w:pPr>
      <w:bookmarkStart w:id="28" w:name="_Toc15396605"/>
      <w:bookmarkStart w:id="29" w:name="_Toc15377207"/>
      <w:r>
        <w:rPr>
          <w:rFonts w:hint="eastAsia" w:ascii="黑体" w:hAnsi="黑体" w:eastAsia="黑体"/>
          <w:color w:val="000000"/>
          <w:sz w:val="32"/>
          <w:szCs w:val="32"/>
          <w:lang w:val="en-US" w:eastAsia="zh-CN"/>
        </w:rPr>
        <w:t>三、</w:t>
      </w:r>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spacing w:line="600" w:lineRule="exact"/>
        <w:ind w:firstLine="640" w:firstLineChars="200"/>
        <w:outlineLvl w:val="1"/>
        <w:rPr>
          <w:rFonts w:hint="eastAsia" w:ascii="黑体" w:hAnsi="黑体" w:eastAsia="黑体"/>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630.45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393.16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themeColor="text1"/>
          <w:sz w:val="32"/>
          <w:szCs w:val="32"/>
          <w:lang w:val="en-US" w:eastAsia="zh-CN"/>
        </w:rPr>
        <w:t>237.29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27.6</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Start w:id="30" w:name="_Toc15396606"/>
      <w:bookmarkStart w:id="31" w:name="_Toc15377208"/>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spacing w:line="600" w:lineRule="exact"/>
        <w:rPr>
          <w:rFonts w:ascii="仿宋" w:hAnsi="仿宋" w:eastAsia="仿宋"/>
          <w:color w:val="000000"/>
          <w:sz w:val="32"/>
          <w:szCs w:val="32"/>
        </w:rPr>
      </w:pPr>
      <w:r>
        <w:rPr>
          <w:rFonts w:hint="eastAsia" w:ascii="仿宋_GB2312" w:eastAsia="仿宋_GB2312"/>
          <w:color w:val="FF0000"/>
          <w:sz w:val="32"/>
          <w:szCs w:val="32"/>
          <w:lang w:eastAsia="zh-CN"/>
        </w:rPr>
        <w:drawing>
          <wp:anchor distT="0" distB="0" distL="114300" distR="114300" simplePos="0" relativeHeight="251661312" behindDoc="0" locked="0" layoutInCell="1" allowOverlap="1">
            <wp:simplePos x="0" y="0"/>
            <wp:positionH relativeFrom="column">
              <wp:posOffset>83185</wp:posOffset>
            </wp:positionH>
            <wp:positionV relativeFrom="page">
              <wp:posOffset>6690360</wp:posOffset>
            </wp:positionV>
            <wp:extent cx="5080000" cy="2667635"/>
            <wp:effectExtent l="4445" t="4445" r="20955"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rPr>
          <w:rFonts w:hint="eastAsia"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val="en-US" w:eastAsia="zh-CN"/>
        </w:rPr>
        <w:t>入1092.18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支出630.45元，年末结转结余461.73万元</w:t>
      </w:r>
      <w:r>
        <w:rPr>
          <w:rFonts w:hint="eastAsia" w:ascii="仿宋" w:hAnsi="仿宋" w:eastAsia="仿宋"/>
          <w:color w:val="000000"/>
          <w:sz w:val="32"/>
          <w:szCs w:val="32"/>
        </w:rPr>
        <w:t>。与2018年相比，收</w:t>
      </w:r>
      <w:r>
        <w:rPr>
          <w:rFonts w:hint="eastAsia" w:ascii="仿宋" w:hAnsi="仿宋" w:eastAsia="仿宋"/>
          <w:color w:val="000000"/>
          <w:sz w:val="32"/>
          <w:szCs w:val="32"/>
          <w:lang w:val="en-US" w:eastAsia="zh-CN"/>
        </w:rPr>
        <w:t>入增加640.4万元，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139.5</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主要变动原因是</w:t>
      </w:r>
      <w:r>
        <w:rPr>
          <w:rFonts w:hint="eastAsia" w:ascii="仿宋_GB2312" w:eastAsia="仿宋_GB2312"/>
          <w:color w:val="000000" w:themeColor="text1"/>
          <w:sz w:val="32"/>
          <w:szCs w:val="32"/>
          <w:lang w:val="en-US" w:eastAsia="zh-CN"/>
        </w:rPr>
        <w:t>应急抢险和安全监管的项目支出增加。</w:t>
      </w:r>
      <w:r>
        <w:rPr>
          <w:rFonts w:hint="eastAsia" w:ascii="仿宋" w:hAnsi="仿宋" w:eastAsia="仿宋"/>
          <w:color w:val="000000"/>
          <w:sz w:val="32"/>
          <w:szCs w:val="32"/>
        </w:rPr>
        <w:t>支总计增加</w:t>
      </w:r>
      <w:r>
        <w:rPr>
          <w:rFonts w:hint="eastAsia" w:ascii="仿宋" w:hAnsi="仿宋" w:eastAsia="仿宋"/>
          <w:color w:val="000000"/>
          <w:sz w:val="32"/>
          <w:szCs w:val="32"/>
          <w:lang w:val="en-US" w:eastAsia="zh-CN"/>
        </w:rPr>
        <w:t>178.67</w:t>
      </w:r>
      <w:r>
        <w:rPr>
          <w:rFonts w:hint="eastAsia" w:ascii="仿宋" w:hAnsi="仿宋" w:eastAsia="仿宋"/>
          <w:color w:val="000000"/>
          <w:sz w:val="32"/>
          <w:szCs w:val="32"/>
        </w:rPr>
        <w:t>万元，</w:t>
      </w:r>
      <w:r>
        <w:rPr>
          <w:rFonts w:ascii="仿宋_GB2312" w:eastAsia="仿宋_GB2312"/>
          <w:color w:val="FFC000"/>
          <w:sz w:val="32"/>
          <w:szCs w:val="32"/>
          <w:lang w:eastAsia="zh-CN"/>
        </w:rPr>
        <w:t>。</w:t>
      </w:r>
      <w:r>
        <w:rPr>
          <w:rFonts w:hint="eastAsia" w:ascii="仿宋" w:hAnsi="仿宋" w:eastAsia="仿宋"/>
          <w:color w:val="000000"/>
          <w:sz w:val="32"/>
          <w:szCs w:val="32"/>
          <w:lang w:val="en-US" w:eastAsia="zh-CN"/>
        </w:rPr>
        <w:t>支出增长39.5</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项目支出增加。</w:t>
      </w:r>
      <w:r>
        <w:rPr>
          <w:rFonts w:hint="eastAsia" w:ascii="仿宋" w:hAnsi="仿宋" w:eastAsia="仿宋"/>
          <w:color w:val="000000" w:themeColor="text1"/>
          <w:sz w:val="32"/>
          <w:szCs w:val="32"/>
          <w:lang w:eastAsia="zh-CN"/>
        </w:rPr>
        <w:drawing>
          <wp:anchor distT="0" distB="0" distL="114300" distR="114300" simplePos="0" relativeHeight="251662336" behindDoc="0" locked="0" layoutInCell="1" allowOverlap="1">
            <wp:simplePos x="0" y="0"/>
            <wp:positionH relativeFrom="column">
              <wp:posOffset>79375</wp:posOffset>
            </wp:positionH>
            <wp:positionV relativeFrom="page">
              <wp:posOffset>2914015</wp:posOffset>
            </wp:positionV>
            <wp:extent cx="5080000" cy="2922270"/>
            <wp:effectExtent l="4445" t="4445" r="20955" b="698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5"/>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hint="eastAsia" w:ascii="楷体_GB2312" w:hAnsi="楷体_GB2312" w:eastAsia="楷体_GB2312" w:cs="楷体_GB2312"/>
          <w:b/>
          <w:color w:val="000000"/>
          <w:sz w:val="32"/>
          <w:szCs w:val="32"/>
        </w:rPr>
      </w:pPr>
      <w:bookmarkStart w:id="34" w:name="_Toc15377210"/>
      <w:r>
        <w:rPr>
          <w:rFonts w:hint="eastAsia" w:ascii="楷体_GB2312" w:hAnsi="楷体_GB2312" w:eastAsia="楷体_GB2312" w:cs="楷体_GB2312"/>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630.45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258.67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69.6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eastAsia="仿宋_GB2312"/>
          <w:color w:val="000000" w:themeColor="text1"/>
          <w:sz w:val="32"/>
          <w:szCs w:val="32"/>
          <w:lang w:val="en-US" w:eastAsia="zh-CN"/>
        </w:rPr>
        <w:t>应急抢险和安全监管的项目支出增加。</w:t>
      </w:r>
    </w:p>
    <w:p>
      <w:pPr>
        <w:spacing w:line="600" w:lineRule="exact"/>
        <w:rPr>
          <w:rFonts w:hint="eastAsia" w:ascii="楷体_GB2312" w:hAnsi="楷体_GB2312" w:eastAsia="楷体_GB2312" w:cs="楷体_GB2312"/>
          <w:b/>
          <w:color w:val="000000"/>
          <w:sz w:val="32"/>
          <w:szCs w:val="32"/>
        </w:rPr>
      </w:pPr>
      <w:r>
        <w:rPr>
          <w:rFonts w:hint="eastAsia" w:ascii="楷体_GB2312" w:hAnsi="楷体_GB2312" w:eastAsia="楷体_GB2312" w:cs="楷体_GB2312"/>
          <w:color w:val="000000" w:themeColor="text1"/>
          <w:sz w:val="32"/>
          <w:szCs w:val="32"/>
          <w:lang w:eastAsia="zh-CN"/>
        </w:rPr>
        <w:drawing>
          <wp:anchor distT="0" distB="0" distL="114300" distR="114300" simplePos="0" relativeHeight="251667456" behindDoc="0" locked="0" layoutInCell="1" allowOverlap="1">
            <wp:simplePos x="0" y="0"/>
            <wp:positionH relativeFrom="column">
              <wp:posOffset>375285</wp:posOffset>
            </wp:positionH>
            <wp:positionV relativeFrom="page">
              <wp:posOffset>512445</wp:posOffset>
            </wp:positionV>
            <wp:extent cx="5080000" cy="2720975"/>
            <wp:effectExtent l="4445" t="4445" r="20955" b="1778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楷体_GB2312" w:hAnsi="楷体_GB2312" w:eastAsia="楷体_GB2312" w:cs="楷体_GB2312"/>
          <w:color w:val="000000" w:themeColor="text1"/>
          <w:sz w:val="32"/>
          <w:szCs w:val="32"/>
          <w:lang w:val="en-US" w:eastAsia="zh-CN"/>
        </w:rPr>
        <w:t xml:space="preserve">   </w:t>
      </w:r>
      <w:r>
        <w:rPr>
          <w:rFonts w:hint="eastAsia" w:ascii="楷体_GB2312" w:hAnsi="楷体_GB2312" w:eastAsia="楷体_GB2312" w:cs="楷体_GB2312"/>
          <w:b/>
          <w:color w:val="000000"/>
          <w:sz w:val="32"/>
          <w:szCs w:val="32"/>
        </w:rPr>
        <w:t>（二）一般公共预算财政拨款支出决算结构情况</w:t>
      </w:r>
      <w:bookmarkEnd w:id="35"/>
    </w:p>
    <w:p>
      <w:pPr>
        <w:spacing w:line="600" w:lineRule="exact"/>
        <w:ind w:firstLine="64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630.45</w:t>
      </w:r>
      <w:r>
        <w:rPr>
          <w:rFonts w:hint="eastAsia" w:ascii="仿宋" w:hAnsi="仿宋" w:eastAsia="仿宋"/>
          <w:color w:val="000000" w:themeColor="text1"/>
          <w:sz w:val="32"/>
          <w:szCs w:val="32"/>
        </w:rPr>
        <w:t>万元，主要用于以下方面</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lang w:val="en-US" w:eastAsia="zh-CN"/>
        </w:rPr>
        <w:t>灾害防治及应急管理</w:t>
      </w:r>
      <w:r>
        <w:rPr>
          <w:rFonts w:hint="eastAsia" w:ascii="仿宋" w:hAnsi="仿宋" w:eastAsia="仿宋"/>
          <w:b w:val="0"/>
          <w:bCs w:val="0"/>
          <w:color w:val="000000" w:themeColor="text1"/>
          <w:sz w:val="32"/>
          <w:szCs w:val="32"/>
        </w:rPr>
        <w:t>（类）支出</w:t>
      </w:r>
      <w:r>
        <w:rPr>
          <w:rFonts w:hint="eastAsia" w:ascii="仿宋" w:hAnsi="仿宋" w:eastAsia="仿宋"/>
          <w:b w:val="0"/>
          <w:bCs w:val="0"/>
          <w:color w:val="000000" w:themeColor="text1"/>
          <w:sz w:val="32"/>
          <w:szCs w:val="32"/>
          <w:lang w:val="en-US" w:eastAsia="zh-CN"/>
        </w:rPr>
        <w:t>534.28</w:t>
      </w:r>
      <w:r>
        <w:rPr>
          <w:rFonts w:hint="eastAsia" w:ascii="仿宋" w:hAnsi="仿宋" w:eastAsia="仿宋"/>
          <w:b w:val="0"/>
          <w:bCs w:val="0"/>
          <w:color w:val="000000" w:themeColor="text1"/>
          <w:sz w:val="32"/>
          <w:szCs w:val="32"/>
        </w:rPr>
        <w:t>万元，占</w:t>
      </w:r>
      <w:r>
        <w:rPr>
          <w:rFonts w:hint="eastAsia" w:ascii="仿宋" w:hAnsi="仿宋" w:eastAsia="仿宋"/>
          <w:b w:val="0"/>
          <w:bCs w:val="0"/>
          <w:color w:val="000000" w:themeColor="text1"/>
          <w:sz w:val="32"/>
          <w:szCs w:val="32"/>
          <w:lang w:val="en-US" w:eastAsia="zh-CN"/>
        </w:rPr>
        <w:t>84.8</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；社会保障和就业（类）支出</w:t>
      </w:r>
      <w:r>
        <w:rPr>
          <w:rFonts w:hint="eastAsia" w:ascii="仿宋" w:hAnsi="仿宋" w:eastAsia="仿宋"/>
          <w:b w:val="0"/>
          <w:bCs w:val="0"/>
          <w:color w:val="000000" w:themeColor="text1"/>
          <w:sz w:val="32"/>
          <w:szCs w:val="32"/>
          <w:lang w:val="en-US" w:eastAsia="zh-CN"/>
        </w:rPr>
        <w:t>45.92</w:t>
      </w:r>
      <w:r>
        <w:rPr>
          <w:rFonts w:hint="eastAsia" w:ascii="仿宋" w:hAnsi="仿宋" w:eastAsia="仿宋"/>
          <w:b w:val="0"/>
          <w:bCs w:val="0"/>
          <w:color w:val="000000" w:themeColor="text1"/>
          <w:sz w:val="32"/>
          <w:szCs w:val="32"/>
        </w:rPr>
        <w:t>万元，占</w:t>
      </w:r>
      <w:r>
        <w:rPr>
          <w:rFonts w:hint="eastAsia" w:ascii="仿宋" w:hAnsi="仿宋" w:eastAsia="仿宋"/>
          <w:b w:val="0"/>
          <w:bCs w:val="0"/>
          <w:color w:val="000000" w:themeColor="text1"/>
          <w:sz w:val="32"/>
          <w:szCs w:val="32"/>
          <w:lang w:val="en-US" w:eastAsia="zh-CN"/>
        </w:rPr>
        <w:t>7.28</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；卫生健康支出</w:t>
      </w:r>
      <w:r>
        <w:rPr>
          <w:rFonts w:hint="eastAsia" w:ascii="仿宋" w:hAnsi="仿宋" w:eastAsia="仿宋"/>
          <w:b w:val="0"/>
          <w:bCs w:val="0"/>
          <w:color w:val="000000" w:themeColor="text1"/>
          <w:sz w:val="32"/>
          <w:szCs w:val="32"/>
          <w:lang w:val="en-US" w:eastAsia="zh-CN"/>
        </w:rPr>
        <w:t>19.96</w:t>
      </w:r>
      <w:r>
        <w:rPr>
          <w:rFonts w:hint="eastAsia" w:ascii="仿宋" w:hAnsi="仿宋" w:eastAsia="仿宋"/>
          <w:b w:val="0"/>
          <w:bCs w:val="0"/>
          <w:color w:val="000000" w:themeColor="text1"/>
          <w:sz w:val="32"/>
          <w:szCs w:val="32"/>
        </w:rPr>
        <w:t>万元，占</w:t>
      </w:r>
      <w:r>
        <w:rPr>
          <w:rFonts w:hint="eastAsia" w:ascii="仿宋" w:hAnsi="仿宋" w:eastAsia="仿宋"/>
          <w:b w:val="0"/>
          <w:bCs w:val="0"/>
          <w:color w:val="000000" w:themeColor="text1"/>
          <w:sz w:val="32"/>
          <w:szCs w:val="32"/>
          <w:lang w:val="en-US" w:eastAsia="zh-CN"/>
        </w:rPr>
        <w:t>3.17</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w:t>
      </w:r>
      <w:r>
        <w:rPr>
          <w:rFonts w:hint="eastAsia" w:ascii="仿宋" w:hAnsi="仿宋" w:eastAsia="仿宋"/>
          <w:color w:val="000000" w:themeColor="text1"/>
          <w:sz w:val="32"/>
          <w:szCs w:val="32"/>
          <w:lang w:val="en-US" w:eastAsia="zh-CN"/>
        </w:rPr>
        <w:t>29.23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4.59</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r>
        <w:rPr>
          <w:rFonts w:hint="eastAsia" w:ascii="仿宋" w:hAnsi="仿宋" w:eastAsia="仿宋"/>
          <w:color w:val="000000" w:themeColor="text1"/>
          <w:sz w:val="32"/>
          <w:szCs w:val="32"/>
          <w:lang w:val="en-US" w:eastAsia="zh-CN"/>
        </w:rPr>
        <w:t>其他扶贫支出0.18万余，占0.02</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lang w:eastAsia="zh-CN"/>
        </w:rPr>
        <w:t>；</w:t>
      </w:r>
      <w:r>
        <w:rPr>
          <w:rFonts w:hint="eastAsia" w:ascii="仿宋" w:hAnsi="仿宋" w:eastAsia="仿宋"/>
          <w:b w:val="0"/>
          <w:bCs w:val="0"/>
          <w:color w:val="000000" w:themeColor="text1"/>
          <w:sz w:val="32"/>
          <w:szCs w:val="32"/>
          <w:lang w:val="en-US" w:eastAsia="zh-CN"/>
        </w:rPr>
        <w:t>其他支出0.89万元，占0.14</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8480" behindDoc="0" locked="0" layoutInCell="1" allowOverlap="1">
            <wp:simplePos x="0" y="0"/>
            <wp:positionH relativeFrom="column">
              <wp:posOffset>71755</wp:posOffset>
            </wp:positionH>
            <wp:positionV relativeFrom="page">
              <wp:posOffset>6139815</wp:posOffset>
            </wp:positionV>
            <wp:extent cx="5195570" cy="3248025"/>
            <wp:effectExtent l="4445" t="4445" r="19685" b="508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hint="eastAsia" w:ascii="仿宋" w:hAnsi="仿宋" w:eastAsia="仿宋"/>
          <w:b/>
          <w:color w:val="000000"/>
          <w:sz w:val="32"/>
          <w:szCs w:val="32"/>
        </w:rPr>
      </w:pPr>
      <w:bookmarkStart w:id="36" w:name="_Toc15377212"/>
    </w:p>
    <w:p>
      <w:pPr>
        <w:spacing w:line="600" w:lineRule="exact"/>
        <w:ind w:firstLine="643" w:firstLineChars="200"/>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（三）一般公共预算财政拨款支出决算具体情况</w:t>
      </w:r>
      <w:bookmarkEnd w:id="36"/>
    </w:p>
    <w:p>
      <w:pPr>
        <w:spacing w:line="600" w:lineRule="exact"/>
        <w:ind w:firstLine="640" w:firstLineChars="200"/>
        <w:outlineLvl w:val="2"/>
        <w:rPr>
          <w:rStyle w:val="14"/>
          <w:rFonts w:hint="eastAsia" w:ascii="仿宋" w:hAnsi="仿宋" w:eastAsia="仿宋"/>
          <w:bCs/>
          <w:color w:val="000000"/>
          <w:sz w:val="32"/>
          <w:szCs w:val="32"/>
        </w:rPr>
      </w:pPr>
      <w:bookmarkStart w:id="37" w:name="_Toc15377213"/>
      <w:bookmarkStart w:id="38" w:name="_Toc15378460"/>
      <w:bookmarkStart w:id="39" w:name="_Toc15377444"/>
      <w:r>
        <w:rPr>
          <w:rFonts w:hint="eastAsia" w:ascii="仿宋" w:hAnsi="仿宋" w:eastAsia="仿宋"/>
          <w:b w:val="0"/>
          <w:bCs/>
          <w:color w:val="000000" w:themeColor="text1"/>
          <w:sz w:val="32"/>
          <w:szCs w:val="32"/>
        </w:rPr>
        <w:t>2019年般公共预算支出决算数为</w:t>
      </w:r>
      <w:r>
        <w:rPr>
          <w:rFonts w:hint="eastAsia" w:ascii="仿宋" w:hAnsi="仿宋" w:eastAsia="仿宋"/>
          <w:b w:val="0"/>
          <w:bCs/>
          <w:color w:val="000000" w:themeColor="text1"/>
          <w:sz w:val="32"/>
          <w:szCs w:val="32"/>
          <w:lang w:val="en-US" w:eastAsia="zh-CN"/>
        </w:rPr>
        <w:t>630.45</w:t>
      </w:r>
      <w:r>
        <w:rPr>
          <w:rFonts w:hint="eastAsia"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完成</w:t>
      </w:r>
      <w:r>
        <w:rPr>
          <w:rStyle w:val="14"/>
          <w:rFonts w:hint="eastAsia" w:ascii="仿宋" w:hAnsi="仿宋" w:eastAsia="仿宋"/>
          <w:b w:val="0"/>
          <w:bCs/>
          <w:color w:val="000000"/>
          <w:sz w:val="32"/>
          <w:szCs w:val="32"/>
        </w:rPr>
        <w:t>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。其中：</w:t>
      </w:r>
      <w:bookmarkEnd w:id="37"/>
      <w:bookmarkEnd w:id="38"/>
      <w:bookmarkEnd w:id="39"/>
    </w:p>
    <w:p>
      <w:pPr>
        <w:numPr>
          <w:ilvl w:val="0"/>
          <w:numId w:val="0"/>
        </w:numPr>
        <w:spacing w:line="600" w:lineRule="exact"/>
        <w:ind w:firstLine="640" w:firstLineChars="200"/>
        <w:rPr>
          <w:rStyle w:val="14"/>
          <w:rFonts w:hint="eastAsia" w:ascii="仿宋" w:hAnsi="仿宋" w:eastAsia="仿宋"/>
          <w:b w:val="0"/>
          <w:bCs/>
          <w:color w:val="000000"/>
          <w:sz w:val="32"/>
          <w:szCs w:val="32"/>
        </w:rPr>
      </w:pPr>
      <w:r>
        <w:rPr>
          <w:rFonts w:hint="eastAsia" w:ascii="仿宋_GB2312" w:eastAsia="仿宋_GB2312"/>
          <w:sz w:val="32"/>
          <w:szCs w:val="32"/>
          <w:lang w:val="en-US" w:eastAsia="zh-CN"/>
        </w:rPr>
        <w:t>1.</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01)行政运行（01）支出决算</w:t>
      </w:r>
      <w:r>
        <w:rPr>
          <w:rFonts w:ascii="仿宋_GB2312" w:eastAsia="仿宋_GB2312"/>
          <w:sz w:val="32"/>
          <w:szCs w:val="32"/>
          <w:lang w:eastAsia="zh-CN"/>
        </w:rPr>
        <w:t>数为</w:t>
      </w:r>
      <w:r>
        <w:rPr>
          <w:rFonts w:hint="eastAsia" w:ascii="仿宋_GB2312" w:eastAsia="仿宋_GB2312"/>
          <w:sz w:val="32"/>
          <w:szCs w:val="32"/>
          <w:lang w:val="en-US" w:eastAsia="zh-CN"/>
        </w:rPr>
        <w:t>298.05万</w:t>
      </w:r>
      <w:r>
        <w:rPr>
          <w:rFonts w:ascii="仿宋_GB2312" w:eastAsia="仿宋_GB2312"/>
          <w:sz w:val="32"/>
          <w:szCs w:val="32"/>
          <w:lang w:eastAsia="zh-CN"/>
        </w:rPr>
        <w:t>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numPr>
          <w:ilvl w:val="0"/>
          <w:numId w:val="0"/>
        </w:numPr>
        <w:spacing w:line="600" w:lineRule="exact"/>
        <w:ind w:firstLine="640" w:firstLineChars="200"/>
        <w:rPr>
          <w:rStyle w:val="14"/>
          <w:rFonts w:hint="eastAsia" w:ascii="仿宋" w:hAnsi="仿宋" w:eastAsia="仿宋"/>
          <w:b w:val="0"/>
          <w:bCs/>
          <w:color w:val="000000"/>
          <w:sz w:val="32"/>
          <w:szCs w:val="32"/>
        </w:rPr>
      </w:pPr>
      <w:r>
        <w:rPr>
          <w:rFonts w:hint="eastAsia" w:ascii="仿宋_GB2312" w:eastAsia="仿宋_GB2312"/>
          <w:sz w:val="32"/>
          <w:szCs w:val="32"/>
          <w:lang w:val="en-US" w:eastAsia="zh-CN"/>
        </w:rPr>
        <w:t>2.</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01)安全监管（06）支出决算</w:t>
      </w:r>
      <w:r>
        <w:rPr>
          <w:rFonts w:ascii="仿宋_GB2312" w:eastAsia="仿宋_GB2312"/>
          <w:sz w:val="32"/>
          <w:szCs w:val="32"/>
          <w:lang w:eastAsia="zh-CN"/>
        </w:rPr>
        <w:t>数为</w:t>
      </w:r>
      <w:r>
        <w:rPr>
          <w:rFonts w:hint="eastAsia" w:ascii="仿宋_GB2312" w:eastAsia="仿宋_GB2312"/>
          <w:sz w:val="32"/>
          <w:szCs w:val="32"/>
          <w:lang w:val="en-US" w:eastAsia="zh-CN"/>
        </w:rPr>
        <w:t>236.22万</w:t>
      </w:r>
      <w:r>
        <w:rPr>
          <w:rFonts w:ascii="仿宋_GB2312" w:eastAsia="仿宋_GB2312"/>
          <w:sz w:val="32"/>
          <w:szCs w:val="32"/>
          <w:lang w:eastAsia="zh-CN"/>
        </w:rPr>
        <w:t>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numPr>
          <w:ilvl w:val="0"/>
          <w:numId w:val="0"/>
        </w:num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val="en-US" w:eastAsia="zh-CN"/>
        </w:rPr>
        <w:t>支出决算</w:t>
      </w:r>
      <w:r>
        <w:rPr>
          <w:rFonts w:ascii="仿宋_GB2312" w:eastAsia="仿宋_GB2312"/>
          <w:sz w:val="32"/>
          <w:szCs w:val="32"/>
          <w:lang w:eastAsia="zh-CN"/>
        </w:rPr>
        <w:t>数为</w:t>
      </w:r>
      <w:r>
        <w:rPr>
          <w:rFonts w:hint="eastAsia" w:ascii="仿宋_GB2312" w:eastAsia="仿宋_GB2312"/>
          <w:sz w:val="32"/>
          <w:szCs w:val="32"/>
          <w:lang w:val="en-US" w:eastAsia="zh-CN"/>
        </w:rPr>
        <w:t>31.42万</w:t>
      </w:r>
      <w:r>
        <w:rPr>
          <w:rFonts w:ascii="仿宋_GB2312" w:eastAsia="仿宋_GB2312"/>
          <w:sz w:val="32"/>
          <w:szCs w:val="32"/>
          <w:lang w:eastAsia="zh-CN"/>
        </w:rPr>
        <w:t>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4.</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w:t>
      </w:r>
      <w:r>
        <w:rPr>
          <w:rFonts w:hint="eastAsia" w:ascii="仿宋_GB2312" w:eastAsia="仿宋_GB2312"/>
          <w:sz w:val="32"/>
          <w:szCs w:val="32"/>
          <w:lang w:val="en-US" w:eastAsia="zh-CN"/>
        </w:rPr>
        <w:t>06</w:t>
      </w:r>
      <w:r>
        <w:rPr>
          <w:rFonts w:ascii="仿宋_GB2312" w:eastAsia="仿宋_GB2312"/>
          <w:sz w:val="32"/>
          <w:szCs w:val="32"/>
          <w:lang w:eastAsia="zh-CN"/>
        </w:rPr>
        <w:t>）</w:t>
      </w:r>
      <w:r>
        <w:rPr>
          <w:rFonts w:hint="eastAsia" w:ascii="仿宋_GB2312" w:eastAsia="仿宋_GB2312"/>
          <w:sz w:val="32"/>
          <w:szCs w:val="32"/>
          <w:lang w:val="en-US" w:eastAsia="zh-CN"/>
        </w:rPr>
        <w:t>支出决算</w:t>
      </w:r>
      <w:r>
        <w:rPr>
          <w:rFonts w:ascii="仿宋_GB2312" w:eastAsia="仿宋_GB2312"/>
          <w:sz w:val="32"/>
          <w:szCs w:val="32"/>
          <w:lang w:eastAsia="zh-CN"/>
        </w:rPr>
        <w:t>数为</w:t>
      </w:r>
      <w:r>
        <w:rPr>
          <w:rFonts w:hint="eastAsia" w:ascii="仿宋_GB2312" w:eastAsia="仿宋_GB2312"/>
          <w:sz w:val="32"/>
          <w:szCs w:val="32"/>
          <w:lang w:val="en-US" w:eastAsia="zh-CN"/>
        </w:rPr>
        <w:t>14.5万</w:t>
      </w:r>
      <w:r>
        <w:rPr>
          <w:rFonts w:ascii="仿宋_GB2312" w:eastAsia="仿宋_GB2312"/>
          <w:sz w:val="32"/>
          <w:szCs w:val="32"/>
          <w:lang w:eastAsia="zh-CN"/>
        </w:rPr>
        <w:t>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_GB2312" w:eastAsia="仿宋_GB2312"/>
          <w:sz w:val="32"/>
          <w:szCs w:val="32"/>
          <w:lang w:val="en-US" w:eastAsia="zh-CN"/>
        </w:rPr>
        <w:t>支出决算</w:t>
      </w:r>
      <w:r>
        <w:rPr>
          <w:rFonts w:ascii="仿宋_GB2312" w:eastAsia="仿宋_GB2312"/>
          <w:sz w:val="32"/>
          <w:szCs w:val="32"/>
          <w:lang w:eastAsia="zh-CN"/>
        </w:rPr>
        <w:t>数为</w:t>
      </w:r>
      <w:r>
        <w:rPr>
          <w:rFonts w:hint="eastAsia" w:ascii="仿宋_GB2312" w:eastAsia="仿宋_GB2312"/>
          <w:sz w:val="32"/>
          <w:szCs w:val="32"/>
          <w:lang w:val="en-US" w:eastAsia="zh-CN"/>
        </w:rPr>
        <w:t>19.96万</w:t>
      </w:r>
      <w:r>
        <w:rPr>
          <w:rFonts w:ascii="仿宋_GB2312" w:eastAsia="仿宋_GB2312"/>
          <w:sz w:val="32"/>
          <w:szCs w:val="32"/>
          <w:lang w:eastAsia="zh-CN"/>
        </w:rPr>
        <w:t>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6.</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_GB2312" w:eastAsia="仿宋_GB2312"/>
          <w:sz w:val="32"/>
          <w:szCs w:val="32"/>
          <w:lang w:val="en-US" w:eastAsia="zh-CN"/>
        </w:rPr>
        <w:t>支出决算</w:t>
      </w:r>
      <w:r>
        <w:rPr>
          <w:rFonts w:ascii="仿宋_GB2312" w:eastAsia="仿宋_GB2312"/>
          <w:sz w:val="32"/>
          <w:szCs w:val="32"/>
          <w:lang w:eastAsia="zh-CN"/>
        </w:rPr>
        <w:t>数为</w:t>
      </w:r>
      <w:r>
        <w:rPr>
          <w:rFonts w:hint="eastAsia" w:ascii="仿宋_GB2312" w:eastAsia="仿宋_GB2312"/>
          <w:sz w:val="32"/>
          <w:szCs w:val="32"/>
          <w:lang w:val="en-US" w:eastAsia="zh-CN"/>
        </w:rPr>
        <w:t>29.23万</w:t>
      </w:r>
      <w:r>
        <w:rPr>
          <w:rFonts w:ascii="仿宋_GB2312" w:eastAsia="仿宋_GB2312"/>
          <w:sz w:val="32"/>
          <w:szCs w:val="32"/>
          <w:lang w:eastAsia="zh-CN"/>
        </w:rPr>
        <w:t>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Style w:val="14"/>
          <w:rFonts w:hint="eastAsia" w:ascii="仿宋" w:hAnsi="仿宋" w:eastAsia="仿宋"/>
          <w:b w:val="0"/>
          <w:bCs/>
          <w:color w:val="000000"/>
          <w:sz w:val="32"/>
          <w:szCs w:val="32"/>
          <w:lang w:eastAsia="zh-CN"/>
        </w:rPr>
      </w:pPr>
      <w:r>
        <w:rPr>
          <w:rFonts w:hint="eastAsia" w:ascii="仿宋_GB2312" w:eastAsia="仿宋_GB2312"/>
          <w:sz w:val="32"/>
          <w:szCs w:val="32"/>
          <w:lang w:val="en-US" w:eastAsia="zh-CN"/>
        </w:rPr>
        <w:t>7.农林水</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213</w:t>
      </w:r>
      <w:r>
        <w:rPr>
          <w:rFonts w:ascii="仿宋_GB2312" w:eastAsia="仿宋_GB2312"/>
          <w:sz w:val="32"/>
          <w:szCs w:val="32"/>
          <w:lang w:eastAsia="zh-CN"/>
        </w:rPr>
        <w:t>）</w:t>
      </w:r>
      <w:r>
        <w:rPr>
          <w:rFonts w:hint="eastAsia" w:ascii="仿宋_GB2312" w:eastAsia="仿宋_GB2312"/>
          <w:sz w:val="32"/>
          <w:szCs w:val="32"/>
          <w:lang w:val="en-US" w:eastAsia="zh-CN"/>
        </w:rPr>
        <w:t>扶贫支出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val="en-US" w:eastAsia="zh-CN"/>
        </w:rPr>
        <w:t>其他扶贫</w:t>
      </w:r>
      <w:r>
        <w:rPr>
          <w:rFonts w:ascii="仿宋_GB2312" w:eastAsia="仿宋_GB2312"/>
          <w:sz w:val="32"/>
          <w:szCs w:val="32"/>
          <w:lang w:eastAsia="zh-CN"/>
        </w:rPr>
        <w:t>（</w:t>
      </w:r>
      <w:r>
        <w:rPr>
          <w:rFonts w:hint="eastAsia" w:ascii="仿宋_GB2312" w:eastAsia="仿宋_GB2312"/>
          <w:sz w:val="32"/>
          <w:szCs w:val="32"/>
          <w:lang w:val="en-US" w:eastAsia="zh-CN"/>
        </w:rPr>
        <w:t>99</w:t>
      </w:r>
      <w:r>
        <w:rPr>
          <w:rFonts w:ascii="仿宋_GB2312" w:eastAsia="仿宋_GB2312"/>
          <w:sz w:val="32"/>
          <w:szCs w:val="32"/>
          <w:lang w:eastAsia="zh-CN"/>
        </w:rPr>
        <w:t>）</w:t>
      </w:r>
      <w:r>
        <w:rPr>
          <w:rFonts w:hint="eastAsia" w:ascii="仿宋_GB2312" w:eastAsia="仿宋_GB2312"/>
          <w:sz w:val="32"/>
          <w:szCs w:val="32"/>
          <w:lang w:val="en-US" w:eastAsia="zh-CN"/>
        </w:rPr>
        <w:t>支出决算</w:t>
      </w:r>
      <w:r>
        <w:rPr>
          <w:rFonts w:ascii="仿宋_GB2312" w:eastAsia="仿宋_GB2312"/>
          <w:sz w:val="32"/>
          <w:szCs w:val="32"/>
          <w:lang w:eastAsia="zh-CN"/>
        </w:rPr>
        <w:t>数为</w:t>
      </w:r>
      <w:r>
        <w:rPr>
          <w:rFonts w:hint="eastAsia" w:ascii="仿宋_GB2312" w:eastAsia="仿宋_GB2312"/>
          <w:sz w:val="32"/>
          <w:szCs w:val="32"/>
          <w:lang w:val="en-US" w:eastAsia="zh-CN"/>
        </w:rPr>
        <w:t>0.18万</w:t>
      </w:r>
      <w:r>
        <w:rPr>
          <w:rFonts w:ascii="仿宋_GB2312" w:eastAsia="仿宋_GB2312"/>
          <w:sz w:val="32"/>
          <w:szCs w:val="32"/>
          <w:lang w:eastAsia="zh-CN"/>
        </w:rPr>
        <w:t>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r>
        <w:rPr>
          <w:rStyle w:val="14"/>
          <w:rFonts w:hint="eastAsia" w:ascii="仿宋" w:hAnsi="仿宋" w:eastAsia="仿宋"/>
          <w:b w:val="0"/>
          <w:bCs/>
          <w:color w:val="000000"/>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Style w:val="14"/>
          <w:rFonts w:hint="eastAsia" w:ascii="仿宋" w:hAnsi="仿宋" w:eastAsia="仿宋"/>
          <w:b w:val="0"/>
          <w:bCs/>
          <w:color w:val="000000"/>
          <w:sz w:val="32"/>
          <w:szCs w:val="32"/>
          <w:lang w:eastAsia="zh-CN"/>
        </w:rPr>
      </w:pPr>
      <w:r>
        <w:rPr>
          <w:rStyle w:val="14"/>
          <w:rFonts w:hint="eastAsia" w:ascii="仿宋" w:hAnsi="仿宋" w:eastAsia="仿宋"/>
          <w:b w:val="0"/>
          <w:bCs/>
          <w:color w:val="000000"/>
          <w:sz w:val="32"/>
          <w:szCs w:val="32"/>
          <w:lang w:val="en-US" w:eastAsia="zh-CN"/>
        </w:rPr>
        <w:t>8.其他支出（229）其他支出（99）其他支出（01）</w:t>
      </w:r>
      <w:r>
        <w:rPr>
          <w:rFonts w:hint="eastAsia" w:ascii="仿宋_GB2312" w:eastAsia="仿宋_GB2312"/>
          <w:sz w:val="32"/>
          <w:szCs w:val="32"/>
          <w:lang w:val="en-US" w:eastAsia="zh-CN"/>
        </w:rPr>
        <w:t>决算</w:t>
      </w:r>
      <w:r>
        <w:rPr>
          <w:rFonts w:ascii="仿宋_GB2312" w:eastAsia="仿宋_GB2312"/>
          <w:sz w:val="32"/>
          <w:szCs w:val="32"/>
          <w:lang w:eastAsia="zh-CN"/>
        </w:rPr>
        <w:t>数为</w:t>
      </w:r>
      <w:r>
        <w:rPr>
          <w:rFonts w:hint="eastAsia" w:ascii="仿宋_GB2312" w:eastAsia="仿宋_GB2312"/>
          <w:sz w:val="32"/>
          <w:szCs w:val="32"/>
          <w:lang w:val="en-US" w:eastAsia="zh-CN"/>
        </w:rPr>
        <w:t>0.89万</w:t>
      </w:r>
      <w:r>
        <w:rPr>
          <w:rFonts w:ascii="仿宋_GB2312" w:eastAsia="仿宋_GB2312"/>
          <w:sz w:val="32"/>
          <w:szCs w:val="32"/>
          <w:lang w:eastAsia="zh-CN"/>
        </w:rPr>
        <w:t>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r>
        <w:rPr>
          <w:rStyle w:val="14"/>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5"/>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393.16</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345.41</w:t>
      </w:r>
      <w:r>
        <w:rPr>
          <w:rFonts w:hint="eastAsia" w:ascii="仿宋" w:hAnsi="仿宋" w:eastAsia="仿宋"/>
          <w:color w:val="000000"/>
          <w:sz w:val="32"/>
          <w:szCs w:val="32"/>
        </w:rPr>
        <w:t>万元，主要包括：基本工资、津贴补贴、奖金、机关事业单位基本养老保险缴费、职业年金缴费、其他社会保障缴费、其他工资福利支出、医疗费补助、奖励金、住房公积金。</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47.75</w:t>
      </w:r>
      <w:r>
        <w:rPr>
          <w:rFonts w:hint="eastAsia" w:ascii="仿宋" w:hAnsi="仿宋" w:eastAsia="仿宋"/>
          <w:color w:val="000000"/>
          <w:sz w:val="32"/>
          <w:szCs w:val="32"/>
        </w:rPr>
        <w:t>万元，主要包括：办公费、印刷费、邮电费、差旅费、培训费、公务接待费、公务用车运行维护费。</w:t>
      </w:r>
    </w:p>
    <w:p>
      <w:pPr>
        <w:spacing w:line="600" w:lineRule="exact"/>
        <w:ind w:firstLine="640"/>
        <w:outlineLvl w:val="1"/>
        <w:rPr>
          <w:rStyle w:val="25"/>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spacing w:line="600" w:lineRule="exact"/>
        <w:ind w:firstLine="640"/>
        <w:outlineLvl w:val="2"/>
        <w:rPr>
          <w:rFonts w:hint="eastAsia"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8.57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hint="eastAsia" w:ascii="楷体_GB2312" w:hAnsi="楷体_GB2312" w:eastAsia="楷体_GB2312" w:cs="楷体_GB2312"/>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7.92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92.4</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7.6</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lang w:eastAsia="zh-CN"/>
        </w:rPr>
        <w:drawing>
          <wp:anchor distT="0" distB="0" distL="114300" distR="114300" simplePos="0" relativeHeight="251669504" behindDoc="0" locked="0" layoutInCell="1" allowOverlap="1">
            <wp:simplePos x="0" y="0"/>
            <wp:positionH relativeFrom="column">
              <wp:posOffset>167005</wp:posOffset>
            </wp:positionH>
            <wp:positionV relativeFrom="page">
              <wp:posOffset>1123950</wp:posOffset>
            </wp:positionV>
            <wp:extent cx="5080000" cy="2998470"/>
            <wp:effectExtent l="4445" t="4445" r="20955" b="698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7.92</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92.4</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2.93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下降的</w:t>
      </w:r>
      <w:r>
        <w:rPr>
          <w:rFonts w:hint="eastAsia" w:ascii="仿宋_GB2312" w:eastAsia="仿宋_GB2312"/>
          <w:color w:val="000000"/>
          <w:sz w:val="32"/>
          <w:szCs w:val="32"/>
        </w:rPr>
        <w:t>主要原因</w:t>
      </w:r>
      <w:r>
        <w:rPr>
          <w:rFonts w:hint="eastAsia" w:ascii="仿宋_GB2312" w:eastAsia="仿宋_GB2312"/>
          <w:color w:val="000000"/>
          <w:sz w:val="32"/>
          <w:szCs w:val="32"/>
          <w:lang w:val="en-US" w:eastAsia="zh-CN"/>
        </w:rPr>
        <w:t>是公务用车运行维护费中车辆在2018年维修后，2019年未进行维修。</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7.92</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安全生产日常监管检查，应急抢险救援、应急检查</w:t>
      </w:r>
      <w:r>
        <w:rPr>
          <w:rFonts w:hint="eastAsia" w:ascii="仿宋_GB2312" w:eastAsia="仿宋_GB2312"/>
          <w:color w:val="000000"/>
          <w:sz w:val="32"/>
          <w:szCs w:val="32"/>
        </w:rPr>
        <w:t>等所需的公务用车燃料费、维修费、过路过桥费、保险费等支出。</w:t>
      </w:r>
    </w:p>
    <w:p>
      <w:pPr>
        <w:numPr>
          <w:ilvl w:val="0"/>
          <w:numId w:val="0"/>
        </w:num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0.65</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0.26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单位严格按照省委“八项”规定，厉行节约。</w:t>
      </w:r>
    </w:p>
    <w:p>
      <w:pPr>
        <w:numPr>
          <w:ilvl w:val="0"/>
          <w:numId w:val="0"/>
        </w:num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lang w:val="en-US" w:eastAsia="zh-CN"/>
        </w:rPr>
        <w:t>4.</w:t>
      </w:r>
      <w:r>
        <w:rPr>
          <w:rFonts w:hint="eastAsia" w:ascii="仿宋" w:hAnsi="仿宋" w:eastAsia="仿宋"/>
          <w:b/>
          <w:color w:val="000000"/>
          <w:sz w:val="32"/>
          <w:szCs w:val="32"/>
        </w:rPr>
        <w:t>国内公务接待支出</w:t>
      </w:r>
      <w:r>
        <w:rPr>
          <w:rFonts w:hint="eastAsia" w:ascii="仿宋" w:hAnsi="仿宋" w:eastAsia="仿宋"/>
          <w:b/>
          <w:color w:val="000000"/>
          <w:sz w:val="32"/>
          <w:szCs w:val="32"/>
          <w:lang w:val="en-US" w:eastAsia="zh-CN"/>
        </w:rPr>
        <w:t>0.65</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上级检查公务接待支出</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92</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0.65</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省州安全生产日常监管检查和应急检查公务接待支出。</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bookmarkStart w:id="46" w:name="_Toc15377218"/>
      <w:bookmarkStart w:id="47" w:name="_Toc15396610"/>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48" w:name="_Toc15377219"/>
      <w:bookmarkStart w:id="49" w:name="_Toc15396611"/>
      <w:r>
        <w:rPr>
          <w:rStyle w:val="25"/>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0"/>
      <w:bookmarkEnd w:id="51"/>
    </w:p>
    <w:p>
      <w:pPr>
        <w:spacing w:line="600" w:lineRule="exact"/>
        <w:ind w:firstLine="643" w:firstLineChars="200"/>
        <w:outlineLvl w:val="2"/>
        <w:rPr>
          <w:rFonts w:hint="eastAsia" w:ascii="楷体_GB2312" w:hAnsi="楷体_GB2312" w:eastAsia="楷体_GB2312" w:cs="楷体_GB2312"/>
          <w:color w:val="000000"/>
          <w:sz w:val="32"/>
          <w:szCs w:val="32"/>
        </w:rPr>
      </w:pPr>
      <w:bookmarkStart w:id="52" w:name="_Toc15377222"/>
      <w:r>
        <w:rPr>
          <w:rFonts w:hint="eastAsia" w:ascii="楷体_GB2312" w:hAnsi="楷体_GB2312" w:eastAsia="楷体_GB2312" w:cs="楷体_GB2312"/>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应急管理局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47.75</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4.25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8.2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sz w:val="32"/>
          <w:szCs w:val="32"/>
          <w:lang w:val="en-US" w:eastAsia="zh-CN"/>
        </w:rPr>
        <w:t>是公务用车辆在2018年维修后，2019年未进行维修，运行维护费比2018年下降，公务接待费厉行节约，比2018年下降。</w:t>
      </w:r>
    </w:p>
    <w:p>
      <w:pPr>
        <w:autoSpaceDE w:val="0"/>
        <w:autoSpaceDN w:val="0"/>
        <w:adjustRightInd w:val="0"/>
        <w:spacing w:line="600" w:lineRule="exact"/>
        <w:ind w:firstLine="643" w:firstLineChars="200"/>
        <w:jc w:val="left"/>
        <w:outlineLvl w:val="2"/>
        <w:rPr>
          <w:rFonts w:hint="eastAsia" w:ascii="楷体_GB2312" w:hAnsi="楷体_GB2312" w:eastAsia="楷体_GB2312" w:cs="楷体_GB2312"/>
          <w:b/>
          <w:color w:val="000000"/>
          <w:sz w:val="32"/>
          <w:szCs w:val="32"/>
        </w:rPr>
      </w:pPr>
      <w:bookmarkStart w:id="53" w:name="_Toc15377223"/>
      <w:r>
        <w:rPr>
          <w:rFonts w:hint="eastAsia" w:ascii="楷体_GB2312" w:hAnsi="楷体_GB2312" w:eastAsia="楷体_GB2312" w:cs="楷体_GB2312"/>
          <w:b/>
          <w:color w:val="000000"/>
          <w:sz w:val="32"/>
          <w:szCs w:val="32"/>
        </w:rPr>
        <w:t>（二）政府采购支出情况</w:t>
      </w:r>
      <w:bookmarkEnd w:id="53"/>
    </w:p>
    <w:p>
      <w:pPr>
        <w:spacing w:line="600" w:lineRule="exact"/>
        <w:ind w:firstLine="640" w:firstLineChars="200"/>
        <w:rPr>
          <w:rFonts w:hint="eastAsia" w:ascii="仿宋" w:hAnsi="仿宋" w:eastAsia="仿宋_GB2312"/>
          <w:b/>
          <w:color w:val="FF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应急管理局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hint="eastAsia" w:ascii="楷体_GB2312" w:hAnsi="楷体_GB2312" w:eastAsia="楷体_GB2312" w:cs="楷体_GB2312"/>
          <w:b/>
          <w:color w:val="000000"/>
          <w:sz w:val="32"/>
          <w:szCs w:val="32"/>
        </w:rPr>
      </w:pPr>
      <w:bookmarkStart w:id="54" w:name="_Toc15377224"/>
      <w:r>
        <w:rPr>
          <w:rFonts w:hint="eastAsia" w:ascii="楷体_GB2312" w:hAnsi="楷体_GB2312" w:eastAsia="楷体_GB2312" w:cs="楷体_GB2312"/>
          <w:b/>
          <w:color w:val="000000"/>
          <w:sz w:val="32"/>
          <w:szCs w:val="32"/>
        </w:rPr>
        <w:t>（三）</w:t>
      </w:r>
      <w:bookmarkStart w:id="73" w:name="_GoBack"/>
      <w:r>
        <w:rPr>
          <w:rFonts w:hint="eastAsia" w:ascii="楷体_GB2312" w:hAnsi="楷体_GB2312" w:eastAsia="楷体_GB2312" w:cs="楷体_GB2312"/>
          <w:b/>
          <w:color w:val="000000"/>
          <w:sz w:val="32"/>
          <w:szCs w:val="32"/>
        </w:rPr>
        <w:t>国有资</w:t>
      </w:r>
      <w:bookmarkEnd w:id="73"/>
      <w:r>
        <w:rPr>
          <w:rFonts w:hint="eastAsia" w:ascii="楷体_GB2312" w:hAnsi="楷体_GB2312" w:eastAsia="楷体_GB2312" w:cs="楷体_GB2312"/>
          <w:b/>
          <w:color w:val="000000"/>
          <w:sz w:val="32"/>
          <w:szCs w:val="32"/>
        </w:rPr>
        <w:t>产占有使用情况</w:t>
      </w:r>
      <w:bookmarkEnd w:id="54"/>
    </w:p>
    <w:p>
      <w:pPr>
        <w:autoSpaceDE w:val="0"/>
        <w:autoSpaceDN w:val="0"/>
        <w:adjustRightInd w:val="0"/>
        <w:spacing w:line="600" w:lineRule="exact"/>
        <w:ind w:firstLine="640" w:firstLineChars="200"/>
        <w:jc w:val="left"/>
        <w:rPr>
          <w:rFonts w:hint="eastAsia" w:ascii="仿宋" w:hAns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应急管理局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车辆1</w:t>
      </w:r>
      <w:r>
        <w:rPr>
          <w:rFonts w:hint="eastAsia" w:ascii="仿宋_GB2312" w:eastAsia="仿宋_GB2312"/>
          <w:color w:val="000000" w:themeColor="text1"/>
          <w:sz w:val="32"/>
          <w:szCs w:val="32"/>
        </w:rPr>
        <w:t>台，单价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w:t>
      </w:r>
      <w:r>
        <w:rPr>
          <w:rFonts w:hint="eastAsia" w:ascii="仿宋_GB2312" w:hAnsi="仿宋_GB2312" w:eastAsia="仿宋_GB2312" w:cs="仿宋_GB2312"/>
          <w:sz w:val="32"/>
          <w:szCs w:val="32"/>
          <w:lang w:val="en-US" w:eastAsia="zh-CN"/>
        </w:rPr>
        <w:t>3个</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其他扶贫支出、安全监管、其他安全监管</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局部门整体支出绩效评价自查良好，全年基本支出保证了部门的正常运作和日常工作的正常开展，项目支出保障了重点工作的开展，绩效目标得到了较好的实现，绩效管理水平不断提高，绩效指标体系逐渐丰富和完善</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个项目支出绩效评价，从评价情况来</w:t>
      </w:r>
      <w:r>
        <w:rPr>
          <w:rFonts w:hint="eastAsia" w:ascii="仿宋_GB2312" w:hAnsi="仿宋_GB2312" w:eastAsia="仿宋_GB2312" w:cs="仿宋_GB2312"/>
          <w:sz w:val="32"/>
          <w:szCs w:val="32"/>
          <w:lang w:val="en-US" w:eastAsia="zh-CN"/>
        </w:rPr>
        <w:t>看3个项目都较好的完成了预期目标。</w:t>
      </w:r>
    </w:p>
    <w:p>
      <w:pPr>
        <w:numPr>
          <w:ilvl w:val="0"/>
          <w:numId w:val="0"/>
        </w:numPr>
        <w:spacing w:line="58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项目绩效目标完成情况</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其他扶贫支出、安全监管、其他安全监管”3</w:t>
      </w:r>
      <w:r>
        <w:rPr>
          <w:rFonts w:hint="eastAsia" w:ascii="仿宋_GB2312" w:hAnsi="仿宋_GB2312" w:eastAsia="仿宋_GB2312" w:cs="仿宋_GB2312"/>
          <w:sz w:val="32"/>
          <w:szCs w:val="32"/>
        </w:rPr>
        <w:t>个项目绩效目标实际完成情况。</w:t>
      </w:r>
      <w:r>
        <w:rPr>
          <w:rFonts w:hint="eastAsia" w:ascii="仿宋_GB2312" w:hAnsi="仿宋_GB2312" w:eastAsia="仿宋_GB2312" w:cs="仿宋_GB2312"/>
          <w:sz w:val="32"/>
          <w:szCs w:val="32"/>
          <w:lang w:val="en-US" w:eastAsia="zh-CN"/>
        </w:rPr>
        <w:t xml:space="preserve"> </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其他扶贫</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0.18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0.18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安全监管</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236.22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236.22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保障了</w:t>
      </w:r>
      <w:r>
        <w:rPr>
          <w:rFonts w:hint="eastAsia" w:ascii="仿宋_GB2312" w:hAnsi="仿宋_GB2312" w:eastAsia="仿宋_GB2312" w:cs="仿宋_GB2312"/>
          <w:color w:val="000000"/>
          <w:sz w:val="32"/>
          <w:szCs w:val="32"/>
          <w:lang w:val="en-US" w:eastAsia="zh-CN"/>
        </w:rPr>
        <w:t>安全生监控平台全年正常运行，确保了安全生产第三方采购服务费用的支付。</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其他安全监管</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0.87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0.87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加强安全生产宣传培训工作。</w:t>
      </w:r>
    </w:p>
    <w:p>
      <w:pPr>
        <w:spacing w:line="580" w:lineRule="exact"/>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其他扶贫支出</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1858"/>
              </w:tabs>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ab/>
            </w:r>
            <w:r>
              <w:rPr>
                <w:rFonts w:hint="eastAsia" w:ascii="宋体" w:hAnsi="宋体" w:cs="宋体"/>
                <w:color w:val="000000"/>
                <w:sz w:val="24"/>
                <w:lang w:val="en-US" w:eastAsia="zh-CN"/>
              </w:rPr>
              <w:t>茂县应急管理局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0.18万元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0.18万元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第一书记开展驻村工作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第一书记开展驻村工作</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预计发放第一书记乡镇补助0.18万元。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发放第一书记乡镇补助0.18万元。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保障扶贫工作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顺利开展驻村各项扶贫工作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仿宋_GB2312" w:cs="宋体"/>
                <w:color w:val="000000"/>
                <w:sz w:val="24"/>
                <w:lang w:val="en-US" w:eastAsia="zh-CN"/>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90%</w:t>
            </w:r>
          </w:p>
        </w:tc>
      </w:tr>
    </w:tbl>
    <w:p>
      <w:pPr>
        <w:spacing w:line="580" w:lineRule="exact"/>
        <w:ind w:left="63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960" w:firstLineChars="400"/>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安全监管支出</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1858"/>
              </w:tabs>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ab/>
            </w:r>
            <w:r>
              <w:rPr>
                <w:rFonts w:hint="eastAsia" w:ascii="宋体" w:hAnsi="宋体" w:cs="宋体"/>
                <w:color w:val="000000"/>
                <w:sz w:val="24"/>
                <w:lang w:val="en-US" w:eastAsia="zh-CN"/>
              </w:rPr>
              <w:t>茂县应急管理局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236.22万元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236.22万元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预计完成安全生监控平台运行维护费和安全生产第三方采购服务费用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支付安全生监控平台运行维护费和安全生产第三方采购服务费用236.22万元</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预计完成236.22万元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支付236.22万元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安全生产监管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加大安全生产监管工作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仿宋_GB2312" w:cs="宋体"/>
                <w:color w:val="000000"/>
                <w:sz w:val="24"/>
                <w:lang w:val="en-US" w:eastAsia="zh-CN"/>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90%</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960" w:firstLineChars="400"/>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其他安全监管支出</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1858"/>
              </w:tabs>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ab/>
            </w:r>
            <w:r>
              <w:rPr>
                <w:rFonts w:hint="eastAsia" w:ascii="宋体" w:hAnsi="宋体" w:cs="宋体"/>
                <w:color w:val="000000"/>
                <w:sz w:val="24"/>
                <w:lang w:val="en-US" w:eastAsia="zh-CN"/>
              </w:rPr>
              <w:t>茂县应急管理局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0.87万元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0.87万元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加强安全生产宣传培训工作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安全生产宣传培训工作有所加强</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预计完成0.87万元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cs="宋体"/>
                <w:color w:val="000000"/>
                <w:sz w:val="24"/>
                <w:lang w:val="en-US"/>
              </w:rPr>
            </w:pPr>
            <w:r>
              <w:rPr>
                <w:rFonts w:hint="eastAsia" w:ascii="宋体" w:hAnsi="宋体" w:cs="宋体"/>
                <w:color w:val="000000"/>
                <w:sz w:val="24"/>
                <w:lang w:val="en-US" w:eastAsia="zh-CN"/>
              </w:rPr>
              <w:t>支付0.87万元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安全生产宣传培训</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加强了安全生产宣传培训工作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仿宋_GB2312" w:cs="宋体"/>
                <w:color w:val="000000"/>
                <w:sz w:val="24"/>
                <w:lang w:val="en-US" w:eastAsia="zh-CN"/>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&gt;</w:t>
            </w:r>
            <w:r>
              <w:rPr>
                <w:rFonts w:hint="eastAsia" w:ascii="宋体" w:hAnsi="宋体" w:eastAsia="仿宋_GB2312" w:cs="宋体"/>
                <w:color w:val="000000"/>
                <w:sz w:val="24"/>
                <w:lang w:val="en-US" w:eastAsia="zh-CN"/>
              </w:rPr>
              <w:t>90%</w:t>
            </w:r>
          </w:p>
        </w:tc>
      </w:tr>
    </w:tbl>
    <w:p>
      <w:pPr>
        <w:spacing w:line="580" w:lineRule="exact"/>
        <w:rPr>
          <w:rFonts w:ascii="仿宋_GB2312" w:hAnsi="仿宋_GB2312" w:eastAsia="仿宋_GB2312" w:cs="仿宋_GB2312"/>
          <w:sz w:val="32"/>
          <w:szCs w:val="32"/>
        </w:rPr>
      </w:pPr>
    </w:p>
    <w:p>
      <w:pPr>
        <w:spacing w:line="580" w:lineRule="exact"/>
        <w:ind w:left="63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val="en-US" w:eastAsia="zh-CN"/>
        </w:rPr>
        <w:t>茂县应急管理局</w:t>
      </w:r>
      <w:r>
        <w:rPr>
          <w:rFonts w:hint="eastAsia" w:ascii="仿宋_GB2312" w:hAnsi="仿宋_GB2312" w:eastAsia="仿宋_GB2312" w:cs="仿宋_GB2312"/>
          <w:sz w:val="32"/>
          <w:szCs w:val="32"/>
        </w:rPr>
        <w:t>部门2019年部门整体支出绩效评价报告》见附件（附件1）。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lang w:val="en-US" w:eastAsia="zh-CN"/>
        </w:rPr>
        <w:t>其他扶贫支</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安全监管</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其他安全监管</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开展了绩效评价。</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numPr>
          <w:ilvl w:val="0"/>
          <w:numId w:val="0"/>
        </w:numPr>
        <w:spacing w:line="600" w:lineRule="exact"/>
        <w:ind w:firstLine="640" w:firstLineChars="200"/>
        <w:rPr>
          <w:rStyle w:val="14"/>
          <w:rFonts w:hint="eastAsia" w:ascii="仿宋" w:hAnsi="仿宋" w:eastAsia="仿宋"/>
          <w:b w:val="0"/>
          <w:bCs/>
          <w:color w:val="000000"/>
          <w:sz w:val="32"/>
          <w:szCs w:val="32"/>
        </w:rPr>
      </w:pPr>
      <w:r>
        <w:rPr>
          <w:rFonts w:ascii="仿宋_GB2312" w:eastAsia="仿宋_GB2312"/>
          <w:color w:val="000000"/>
          <w:sz w:val="32"/>
          <w:szCs w:val="32"/>
        </w:rPr>
        <w:t>9.</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01)行政运行：指应急管理事务行政运行支出</w:t>
      </w:r>
      <w:r>
        <w:rPr>
          <w:rStyle w:val="14"/>
          <w:rFonts w:hint="eastAsia" w:ascii="仿宋" w:hAnsi="仿宋" w:eastAsia="仿宋"/>
          <w:b w:val="0"/>
          <w:bCs/>
          <w:color w:val="000000"/>
          <w:sz w:val="32"/>
          <w:szCs w:val="32"/>
        </w:rPr>
        <w:t>。</w:t>
      </w:r>
    </w:p>
    <w:p>
      <w:pPr>
        <w:numPr>
          <w:ilvl w:val="0"/>
          <w:numId w:val="0"/>
        </w:numPr>
        <w:spacing w:line="600" w:lineRule="exact"/>
        <w:ind w:firstLine="640" w:firstLineChars="200"/>
        <w:rPr>
          <w:rStyle w:val="14"/>
          <w:rFonts w:hint="eastAsia" w:ascii="仿宋" w:hAnsi="仿宋" w:eastAsia="仿宋"/>
          <w:b w:val="0"/>
          <w:bCs/>
          <w:color w:val="000000"/>
          <w:sz w:val="32"/>
          <w:szCs w:val="32"/>
        </w:rPr>
      </w:pPr>
      <w:r>
        <w:rPr>
          <w:rFonts w:hint="eastAsia" w:ascii="仿宋_GB2312" w:eastAsia="仿宋_GB2312"/>
          <w:sz w:val="32"/>
          <w:szCs w:val="32"/>
          <w:lang w:val="en-US" w:eastAsia="zh-CN"/>
        </w:rPr>
        <w:t>10.</w:t>
      </w:r>
      <w:r>
        <w:rPr>
          <w:rFonts w:hint="eastAsia" w:ascii="仿宋_GB2312" w:eastAsia="仿宋_GB2312"/>
          <w:sz w:val="32"/>
          <w:szCs w:val="32"/>
          <w:lang w:eastAsia="zh-CN"/>
        </w:rPr>
        <w:t>灾害防治及应急管理（</w:t>
      </w:r>
      <w:r>
        <w:rPr>
          <w:rFonts w:hint="eastAsia" w:ascii="仿宋_GB2312" w:eastAsia="仿宋_GB2312"/>
          <w:sz w:val="32"/>
          <w:szCs w:val="32"/>
          <w:lang w:val="en-US" w:eastAsia="zh-CN"/>
        </w:rPr>
        <w:t>224</w:t>
      </w:r>
      <w:r>
        <w:rPr>
          <w:rFonts w:hint="eastAsia" w:ascii="仿宋_GB2312" w:eastAsia="仿宋_GB2312"/>
          <w:sz w:val="32"/>
          <w:szCs w:val="32"/>
          <w:lang w:eastAsia="zh-CN"/>
        </w:rPr>
        <w:t>）应急管理事务（</w:t>
      </w:r>
      <w:r>
        <w:rPr>
          <w:rFonts w:hint="eastAsia" w:ascii="仿宋_GB2312" w:eastAsia="仿宋_GB2312"/>
          <w:sz w:val="32"/>
          <w:szCs w:val="32"/>
          <w:lang w:val="en-US" w:eastAsia="zh-CN"/>
        </w:rPr>
        <w:t>01)安全监管（06）：指应急管理事务安全监管支出</w:t>
      </w:r>
      <w:r>
        <w:rPr>
          <w:rStyle w:val="14"/>
          <w:rFonts w:hint="eastAsia" w:ascii="仿宋" w:hAnsi="仿宋" w:eastAsia="仿宋"/>
          <w:b w:val="0"/>
          <w:bCs/>
          <w:color w:val="000000"/>
          <w:sz w:val="32"/>
          <w:szCs w:val="32"/>
        </w:rPr>
        <w:t>。</w:t>
      </w:r>
    </w:p>
    <w:p>
      <w:pPr>
        <w:numPr>
          <w:ilvl w:val="0"/>
          <w:numId w:val="0"/>
        </w:num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11.</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eastAsia="zh-CN"/>
        </w:rPr>
        <w:t>：</w:t>
      </w:r>
      <w:r>
        <w:rPr>
          <w:rFonts w:hint="eastAsia" w:ascii="仿宋_GB2312" w:eastAsia="仿宋_GB2312"/>
          <w:sz w:val="32"/>
          <w:szCs w:val="32"/>
          <w:lang w:val="en-US" w:eastAsia="zh-CN"/>
        </w:rPr>
        <w:t>指</w:t>
      </w:r>
      <w:r>
        <w:rPr>
          <w:rFonts w:ascii="仿宋_GB2312" w:eastAsia="仿宋_GB2312"/>
          <w:sz w:val="32"/>
          <w:szCs w:val="32"/>
          <w:lang w:eastAsia="zh-CN"/>
        </w:rPr>
        <w:t>机关事业单位基本养老保险缴费</w:t>
      </w:r>
      <w:r>
        <w:rPr>
          <w:rFonts w:hint="eastAsia" w:ascii="仿宋_GB2312" w:eastAsia="仿宋_GB2312"/>
          <w:sz w:val="32"/>
          <w:szCs w:val="32"/>
          <w:lang w:val="en-US" w:eastAsia="zh-CN"/>
        </w:rPr>
        <w:t>支出</w:t>
      </w:r>
      <w:r>
        <w:rPr>
          <w:rStyle w:val="14"/>
          <w:rFonts w:hint="eastAsia" w:ascii="仿宋" w:hAnsi="仿宋" w:eastAsia="仿宋"/>
          <w:b w:val="0"/>
          <w:bCs/>
          <w:color w:val="000000"/>
          <w:sz w:val="32"/>
          <w:szCs w:val="32"/>
        </w:rPr>
        <w:t>。</w:t>
      </w:r>
    </w:p>
    <w:p>
      <w:pPr>
        <w:numPr>
          <w:ilvl w:val="0"/>
          <w:numId w:val="0"/>
        </w:num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w:t>
      </w:r>
      <w:r>
        <w:rPr>
          <w:rFonts w:hint="eastAsia" w:ascii="仿宋_GB2312" w:eastAsia="仿宋_GB2312"/>
          <w:sz w:val="32"/>
          <w:szCs w:val="32"/>
          <w:lang w:val="en-US" w:eastAsia="zh-CN"/>
        </w:rPr>
        <w:t>06</w:t>
      </w:r>
      <w:r>
        <w:rPr>
          <w:rFonts w:ascii="仿宋_GB2312" w:eastAsia="仿宋_GB2312"/>
          <w:sz w:val="32"/>
          <w:szCs w:val="32"/>
          <w:lang w:eastAsia="zh-CN"/>
        </w:rPr>
        <w:t>）</w:t>
      </w:r>
      <w:r>
        <w:rPr>
          <w:rFonts w:hint="eastAsia" w:ascii="仿宋_GB2312" w:eastAsia="仿宋_GB2312"/>
          <w:sz w:val="32"/>
          <w:szCs w:val="32"/>
          <w:lang w:val="en-US" w:eastAsia="zh-CN"/>
        </w:rPr>
        <w:t>:指</w:t>
      </w:r>
      <w:r>
        <w:rPr>
          <w:rFonts w:ascii="仿宋_GB2312" w:eastAsia="仿宋_GB2312"/>
          <w:sz w:val="32"/>
          <w:szCs w:val="32"/>
          <w:lang w:eastAsia="zh-CN"/>
        </w:rPr>
        <w:t>机关事业单位</w:t>
      </w:r>
      <w:r>
        <w:rPr>
          <w:rFonts w:hint="eastAsia" w:ascii="仿宋_GB2312" w:eastAsia="仿宋_GB2312"/>
          <w:sz w:val="32"/>
          <w:szCs w:val="32"/>
          <w:lang w:val="en-US" w:eastAsia="zh-CN"/>
        </w:rPr>
        <w:t>职业年金</w:t>
      </w:r>
      <w:r>
        <w:rPr>
          <w:rFonts w:ascii="仿宋_GB2312" w:eastAsia="仿宋_GB2312"/>
          <w:sz w:val="32"/>
          <w:szCs w:val="32"/>
          <w:lang w:eastAsia="zh-CN"/>
        </w:rPr>
        <w:t>缴费</w:t>
      </w:r>
      <w:r>
        <w:rPr>
          <w:rFonts w:hint="eastAsia" w:ascii="仿宋_GB2312" w:eastAsia="仿宋_GB2312"/>
          <w:sz w:val="32"/>
          <w:szCs w:val="32"/>
          <w:lang w:val="en-US" w:eastAsia="zh-CN"/>
        </w:rPr>
        <w:t>支出</w:t>
      </w:r>
      <w:r>
        <w:rPr>
          <w:rStyle w:val="14"/>
          <w:rFonts w:hint="eastAsia" w:ascii="仿宋" w:hAnsi="仿宋" w:eastAsia="仿宋"/>
          <w:b w:val="0"/>
          <w:bCs/>
          <w:color w:val="000000"/>
          <w:sz w:val="32"/>
          <w:szCs w:val="32"/>
        </w:rPr>
        <w:t>。</w:t>
      </w:r>
    </w:p>
    <w:p>
      <w:pPr>
        <w:numPr>
          <w:ilvl w:val="0"/>
          <w:numId w:val="0"/>
        </w:num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13.</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_GB2312" w:eastAsia="仿宋_GB2312"/>
          <w:sz w:val="32"/>
          <w:szCs w:val="32"/>
          <w:lang w:eastAsia="zh-CN"/>
        </w:rPr>
        <w:t>：</w:t>
      </w:r>
      <w:r>
        <w:rPr>
          <w:rFonts w:hint="eastAsia" w:ascii="仿宋_GB2312" w:eastAsia="仿宋_GB2312"/>
          <w:sz w:val="32"/>
          <w:szCs w:val="32"/>
          <w:lang w:val="en-US" w:eastAsia="zh-CN"/>
        </w:rPr>
        <w:t>指</w:t>
      </w:r>
      <w:r>
        <w:rPr>
          <w:rFonts w:ascii="仿宋_GB2312" w:eastAsia="仿宋_GB2312"/>
          <w:sz w:val="32"/>
          <w:szCs w:val="32"/>
          <w:lang w:eastAsia="zh-CN"/>
        </w:rPr>
        <w:t>机关事业单位</w:t>
      </w:r>
      <w:r>
        <w:rPr>
          <w:rFonts w:hint="eastAsia" w:ascii="仿宋_GB2312" w:eastAsia="仿宋_GB2312"/>
          <w:sz w:val="32"/>
          <w:szCs w:val="32"/>
          <w:lang w:val="en-US" w:eastAsia="zh-CN"/>
        </w:rPr>
        <w:t>医疗保险</w:t>
      </w:r>
      <w:r>
        <w:rPr>
          <w:rFonts w:ascii="仿宋_GB2312" w:eastAsia="仿宋_GB2312"/>
          <w:sz w:val="32"/>
          <w:szCs w:val="32"/>
          <w:lang w:eastAsia="zh-CN"/>
        </w:rPr>
        <w:t>缴费</w:t>
      </w:r>
      <w:r>
        <w:rPr>
          <w:rFonts w:hint="eastAsia" w:ascii="仿宋_GB2312" w:eastAsia="仿宋_GB2312"/>
          <w:sz w:val="32"/>
          <w:szCs w:val="32"/>
          <w:lang w:val="en-US" w:eastAsia="zh-CN"/>
        </w:rPr>
        <w:t>支出</w:t>
      </w:r>
      <w:r>
        <w:rPr>
          <w:rStyle w:val="14"/>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spacing w:line="576" w:lineRule="exact"/>
        <w:ind w:firstLine="640" w:firstLineChars="200"/>
        <w:textAlignment w:val="auto"/>
        <w:rPr>
          <w:rStyle w:val="14"/>
          <w:rFonts w:hint="eastAsia" w:ascii="仿宋" w:hAnsi="仿宋" w:eastAsia="仿宋"/>
          <w:b w:val="0"/>
          <w:bCs/>
          <w:color w:val="000000"/>
          <w:sz w:val="32"/>
          <w:szCs w:val="32"/>
        </w:rPr>
      </w:pPr>
      <w:r>
        <w:rPr>
          <w:rFonts w:hint="eastAsia" w:ascii="仿宋_GB2312" w:eastAsia="仿宋_GB2312"/>
          <w:sz w:val="32"/>
          <w:szCs w:val="32"/>
          <w:lang w:val="en-US" w:eastAsia="zh-CN"/>
        </w:rPr>
        <w:t>14.</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w:t>
      </w:r>
      <w:r>
        <w:rPr>
          <w:rFonts w:hint="eastAsia" w:ascii="仿宋_GB2312" w:eastAsia="仿宋_GB2312"/>
          <w:sz w:val="32"/>
          <w:szCs w:val="32"/>
          <w:lang w:val="en-US" w:eastAsia="zh-CN"/>
        </w:rPr>
        <w:t>指</w:t>
      </w:r>
      <w:r>
        <w:rPr>
          <w:rFonts w:ascii="仿宋_GB2312" w:eastAsia="仿宋_GB2312"/>
          <w:sz w:val="32"/>
          <w:szCs w:val="32"/>
          <w:lang w:eastAsia="zh-CN"/>
        </w:rPr>
        <w:t>机关事业单位</w:t>
      </w:r>
      <w:r>
        <w:rPr>
          <w:rFonts w:hint="eastAsia" w:ascii="仿宋_GB2312" w:eastAsia="仿宋_GB2312"/>
          <w:sz w:val="32"/>
          <w:szCs w:val="32"/>
          <w:lang w:val="en-US" w:eastAsia="zh-CN"/>
        </w:rPr>
        <w:t>住房公积金</w:t>
      </w:r>
      <w:r>
        <w:rPr>
          <w:rFonts w:ascii="仿宋_GB2312" w:eastAsia="仿宋_GB2312"/>
          <w:sz w:val="32"/>
          <w:szCs w:val="32"/>
          <w:lang w:eastAsia="zh-CN"/>
        </w:rPr>
        <w:t>缴费</w:t>
      </w:r>
      <w:r>
        <w:rPr>
          <w:rFonts w:hint="eastAsia" w:ascii="仿宋_GB2312" w:eastAsia="仿宋_GB2312"/>
          <w:sz w:val="32"/>
          <w:szCs w:val="32"/>
          <w:lang w:val="en-US" w:eastAsia="zh-CN"/>
        </w:rPr>
        <w:t>支出</w:t>
      </w:r>
      <w:r>
        <w:rPr>
          <w:rStyle w:val="14"/>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spacing w:line="576" w:lineRule="exact"/>
        <w:ind w:firstLine="640" w:firstLineChars="200"/>
        <w:textAlignment w:val="auto"/>
        <w:rPr>
          <w:rStyle w:val="14"/>
          <w:rFonts w:hint="eastAsia" w:ascii="仿宋" w:hAnsi="仿宋" w:eastAsia="仿宋"/>
          <w:b w:val="0"/>
          <w:bCs/>
          <w:color w:val="000000"/>
          <w:sz w:val="32"/>
          <w:szCs w:val="32"/>
        </w:rPr>
      </w:pPr>
      <w:r>
        <w:rPr>
          <w:rFonts w:hint="eastAsia" w:ascii="仿宋_GB2312" w:eastAsia="仿宋_GB2312"/>
          <w:sz w:val="32"/>
          <w:szCs w:val="32"/>
          <w:lang w:val="en-US" w:eastAsia="zh-CN"/>
        </w:rPr>
        <w:t>15.农林水</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213</w:t>
      </w:r>
      <w:r>
        <w:rPr>
          <w:rFonts w:ascii="仿宋_GB2312" w:eastAsia="仿宋_GB2312"/>
          <w:sz w:val="32"/>
          <w:szCs w:val="32"/>
          <w:lang w:eastAsia="zh-CN"/>
        </w:rPr>
        <w:t>）</w:t>
      </w:r>
      <w:r>
        <w:rPr>
          <w:rFonts w:hint="eastAsia" w:ascii="仿宋_GB2312" w:eastAsia="仿宋_GB2312"/>
          <w:sz w:val="32"/>
          <w:szCs w:val="32"/>
          <w:lang w:val="en-US" w:eastAsia="zh-CN"/>
        </w:rPr>
        <w:t>扶贫支出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val="en-US" w:eastAsia="zh-CN"/>
        </w:rPr>
        <w:t>其他扶贫</w:t>
      </w:r>
      <w:r>
        <w:rPr>
          <w:rFonts w:ascii="仿宋_GB2312" w:eastAsia="仿宋_GB2312"/>
          <w:sz w:val="32"/>
          <w:szCs w:val="32"/>
          <w:lang w:eastAsia="zh-CN"/>
        </w:rPr>
        <w:t>（</w:t>
      </w:r>
      <w:r>
        <w:rPr>
          <w:rFonts w:hint="eastAsia" w:ascii="仿宋_GB2312" w:eastAsia="仿宋_GB2312"/>
          <w:sz w:val="32"/>
          <w:szCs w:val="32"/>
          <w:lang w:val="en-US" w:eastAsia="zh-CN"/>
        </w:rPr>
        <w:t>99</w:t>
      </w:r>
      <w:r>
        <w:rPr>
          <w:rFonts w:ascii="仿宋_GB2312" w:eastAsia="仿宋_GB2312"/>
          <w:sz w:val="32"/>
          <w:szCs w:val="32"/>
          <w:lang w:eastAsia="zh-CN"/>
        </w:rPr>
        <w:t>）</w:t>
      </w:r>
      <w:r>
        <w:rPr>
          <w:rFonts w:hint="eastAsia" w:ascii="仿宋_GB2312" w:eastAsia="仿宋_GB2312"/>
          <w:sz w:val="32"/>
          <w:szCs w:val="32"/>
          <w:lang w:eastAsia="zh-CN"/>
        </w:rPr>
        <w:t>：</w:t>
      </w:r>
      <w:r>
        <w:rPr>
          <w:rFonts w:hint="eastAsia" w:ascii="仿宋_GB2312" w:eastAsia="仿宋_GB2312"/>
          <w:sz w:val="32"/>
          <w:szCs w:val="32"/>
          <w:lang w:val="en-US" w:eastAsia="zh-CN"/>
        </w:rPr>
        <w:t>指扶贫支出</w:t>
      </w:r>
      <w:r>
        <w:rPr>
          <w:rStyle w:val="14"/>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spacing w:line="576" w:lineRule="exact"/>
        <w:ind w:firstLine="640" w:firstLineChars="200"/>
        <w:textAlignment w:val="auto"/>
        <w:rPr>
          <w:rStyle w:val="14"/>
          <w:rFonts w:hint="eastAsia" w:ascii="仿宋" w:hAnsi="仿宋" w:eastAsia="仿宋"/>
          <w:b w:val="0"/>
          <w:bCs/>
          <w:color w:val="000000"/>
          <w:sz w:val="32"/>
          <w:szCs w:val="32"/>
          <w:lang w:eastAsia="zh-CN"/>
        </w:rPr>
      </w:pPr>
      <w:r>
        <w:rPr>
          <w:rStyle w:val="14"/>
          <w:rFonts w:hint="eastAsia" w:ascii="仿宋" w:hAnsi="仿宋" w:eastAsia="仿宋"/>
          <w:b w:val="0"/>
          <w:bCs/>
          <w:color w:val="000000"/>
          <w:sz w:val="32"/>
          <w:szCs w:val="32"/>
          <w:lang w:val="en-US" w:eastAsia="zh-CN"/>
        </w:rPr>
        <w:t>16.其他支出（229）其他支出（99）其他支出（01）：指其他支出</w:t>
      </w:r>
      <w:r>
        <w:rPr>
          <w:rStyle w:val="14"/>
          <w:rFonts w:hint="eastAsia" w:ascii="仿宋" w:hAnsi="仿宋" w:eastAsia="仿宋"/>
          <w:b w:val="0"/>
          <w:bCs/>
          <w:color w:val="000000"/>
          <w:sz w:val="32"/>
          <w:szCs w:val="32"/>
          <w:lang w:eastAsia="zh-CN"/>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rPr>
        <w:t>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rPr>
        <w:t>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rPr>
        <w:t>9.</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bookmarkStart w:id="57" w:name="_Toc15396614"/>
      <w:bookmarkStart w:id="58"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四部分 附件</w:t>
      </w:r>
      <w:bookmarkEnd w:id="57"/>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茂县应急管理局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spacing w:line="600" w:lineRule="exact"/>
        <w:jc w:val="center"/>
        <w:rPr>
          <w:rFonts w:hint="eastAsia" w:ascii="方正小标宋简体" w:hAnsi="宋体" w:eastAsia="方正小标宋简体"/>
          <w:color w:val="000000"/>
          <w:kern w:val="0"/>
          <w:sz w:val="40"/>
          <w:szCs w:val="44"/>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hAnsi="黑体"/>
          <w:sz w:val="32"/>
          <w:szCs w:val="32"/>
        </w:rPr>
        <w:t>茂县</w:t>
      </w:r>
      <w:r>
        <w:rPr>
          <w:rFonts w:hint="eastAsia" w:hAnsi="黑体"/>
          <w:sz w:val="32"/>
          <w:szCs w:val="32"/>
          <w:lang w:val="en-US" w:eastAsia="zh-CN"/>
        </w:rPr>
        <w:t>应急管</w:t>
      </w:r>
      <w:r>
        <w:rPr>
          <w:rFonts w:hint="eastAsia" w:hAnsi="黑体"/>
          <w:sz w:val="32"/>
          <w:szCs w:val="32"/>
        </w:rPr>
        <w:t>理局</w:t>
      </w:r>
      <w:r>
        <w:rPr>
          <w:rFonts w:hint="eastAsia"/>
          <w:color w:val="000000"/>
          <w:sz w:val="32"/>
          <w:szCs w:val="32"/>
        </w:rPr>
        <w:t>下属二级单位</w:t>
      </w:r>
      <w:r>
        <w:rPr>
          <w:rFonts w:hint="eastAsia"/>
          <w:color w:val="000000"/>
          <w:sz w:val="32"/>
          <w:szCs w:val="32"/>
          <w:lang w:val="en-US" w:eastAsia="zh-CN"/>
        </w:rPr>
        <w:t>0</w:t>
      </w:r>
      <w:r>
        <w:rPr>
          <w:rFonts w:hint="eastAsia"/>
          <w:color w:val="000000"/>
          <w:sz w:val="32"/>
          <w:szCs w:val="32"/>
        </w:rPr>
        <w:t>个，其中行政单位</w:t>
      </w:r>
      <w:r>
        <w:rPr>
          <w:rFonts w:hint="eastAsia"/>
          <w:color w:val="000000"/>
          <w:sz w:val="32"/>
          <w:szCs w:val="32"/>
          <w:lang w:val="en-US" w:eastAsia="zh-CN"/>
        </w:rPr>
        <w:t>1</w:t>
      </w:r>
      <w:r>
        <w:rPr>
          <w:rFonts w:hint="eastAsia"/>
          <w:color w:val="000000"/>
          <w:sz w:val="32"/>
          <w:szCs w:val="32"/>
        </w:rPr>
        <w:t>个，参照公务员法管理的事业单位</w:t>
      </w:r>
      <w:r>
        <w:rPr>
          <w:rFonts w:hint="eastAsia"/>
          <w:color w:val="000000"/>
          <w:sz w:val="32"/>
          <w:szCs w:val="32"/>
          <w:lang w:val="en-US" w:eastAsia="zh-CN"/>
        </w:rPr>
        <w:t>0</w:t>
      </w:r>
      <w:r>
        <w:rPr>
          <w:rFonts w:hint="eastAsia"/>
          <w:color w:val="000000"/>
          <w:sz w:val="32"/>
          <w:szCs w:val="32"/>
        </w:rPr>
        <w:t>个，其他事业单位</w:t>
      </w:r>
      <w:r>
        <w:rPr>
          <w:rFonts w:hint="eastAsia"/>
          <w:color w:val="000000"/>
          <w:sz w:val="32"/>
          <w:szCs w:val="32"/>
          <w:lang w:val="en-US" w:eastAsia="zh-CN"/>
        </w:rPr>
        <w:t>0</w:t>
      </w:r>
      <w:r>
        <w:rPr>
          <w:rFonts w:hint="eastAsia"/>
          <w:color w:val="000000"/>
          <w:sz w:val="32"/>
          <w:szCs w:val="32"/>
        </w:rPr>
        <w:t>个。</w:t>
      </w:r>
    </w:p>
    <w:p>
      <w:pPr>
        <w:widowControl/>
        <w:numPr>
          <w:ilvl w:val="0"/>
          <w:numId w:val="4"/>
        </w:numPr>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机构职能</w:t>
      </w:r>
    </w:p>
    <w:p>
      <w:pPr>
        <w:widowControl/>
        <w:numPr>
          <w:ilvl w:val="0"/>
          <w:numId w:val="0"/>
        </w:numPr>
        <w:adjustRightInd w:val="0"/>
        <w:snapToGrid w:val="0"/>
        <w:spacing w:line="580" w:lineRule="exact"/>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    承担全县安全生产综合监管、应急抢险救援、应急保障职能职责，负责安全生产综合目标管理和考核工作。承担县政府安全生产委员会和应急委的具体工作。</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（三）人员概况</w:t>
      </w:r>
    </w:p>
    <w:p>
      <w:pPr>
        <w:pStyle w:val="5"/>
        <w:keepNext w:val="0"/>
        <w:keepLines w:val="0"/>
        <w:pageBreakBefore w:val="0"/>
        <w:widowControl w:val="0"/>
        <w:kinsoku/>
        <w:wordWrap/>
        <w:overflowPunct/>
        <w:autoSpaceDE/>
        <w:autoSpaceDN/>
        <w:bidi w:val="0"/>
        <w:adjustRightInd w:val="0"/>
        <w:snapToGrid w:val="0"/>
        <w:spacing w:after="0" w:afterAutospacing="0" w:line="576" w:lineRule="exact"/>
        <w:ind w:right="0" w:rightChars="0"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hAnsi="黑体"/>
          <w:sz w:val="32"/>
          <w:szCs w:val="32"/>
        </w:rPr>
        <w:t>茂县</w:t>
      </w:r>
      <w:r>
        <w:rPr>
          <w:rFonts w:hint="eastAsia" w:hAnsi="黑体"/>
          <w:sz w:val="32"/>
          <w:szCs w:val="32"/>
          <w:lang w:val="en-US" w:eastAsia="zh-CN"/>
        </w:rPr>
        <w:t>应急管理局行政</w:t>
      </w:r>
      <w:r>
        <w:rPr>
          <w:rFonts w:hint="eastAsia" w:hAnsi="黑体"/>
          <w:sz w:val="32"/>
          <w:szCs w:val="32"/>
        </w:rPr>
        <w:t>编制</w:t>
      </w:r>
      <w:r>
        <w:rPr>
          <w:rFonts w:hint="eastAsia" w:hAnsi="黑体"/>
          <w:sz w:val="32"/>
          <w:szCs w:val="32"/>
          <w:lang w:val="en-US" w:eastAsia="zh-CN"/>
        </w:rPr>
        <w:t>9</w:t>
      </w:r>
      <w:r>
        <w:rPr>
          <w:rFonts w:hint="eastAsia" w:hAnsi="黑体"/>
          <w:sz w:val="32"/>
          <w:szCs w:val="32"/>
        </w:rPr>
        <w:t>名，</w:t>
      </w:r>
      <w:r>
        <w:rPr>
          <w:rFonts w:hint="eastAsia" w:hAnsi="黑体"/>
          <w:sz w:val="32"/>
          <w:szCs w:val="32"/>
          <w:lang w:eastAsia="zh-CN"/>
        </w:rPr>
        <w:t>参照公务员管理</w:t>
      </w:r>
      <w:r>
        <w:rPr>
          <w:rFonts w:hint="eastAsia" w:hAnsi="黑体"/>
          <w:sz w:val="32"/>
          <w:szCs w:val="32"/>
        </w:rPr>
        <w:t>事业编制10人</w:t>
      </w:r>
      <w:r>
        <w:rPr>
          <w:rFonts w:hint="eastAsia"/>
          <w:color w:val="000000"/>
          <w:sz w:val="32"/>
          <w:szCs w:val="32"/>
        </w:rPr>
        <w:t>。</w:t>
      </w:r>
      <w:r>
        <w:rPr>
          <w:rFonts w:hint="eastAsia"/>
          <w:color w:val="000000"/>
          <w:sz w:val="32"/>
          <w:szCs w:val="32"/>
          <w:lang w:eastAsia="zh-CN"/>
        </w:rPr>
        <w:t>年末实有人数</w:t>
      </w:r>
      <w:r>
        <w:rPr>
          <w:rFonts w:hint="eastAsia"/>
          <w:color w:val="000000"/>
          <w:sz w:val="32"/>
          <w:szCs w:val="32"/>
          <w:lang w:val="en-US" w:eastAsia="zh-CN"/>
        </w:rPr>
        <w:t>17人，其中公务员编制10 人，</w:t>
      </w:r>
      <w:r>
        <w:rPr>
          <w:rFonts w:hint="eastAsia" w:hAnsi="黑体"/>
          <w:sz w:val="32"/>
          <w:szCs w:val="32"/>
          <w:lang w:eastAsia="zh-CN"/>
        </w:rPr>
        <w:t>参照公务员管理</w:t>
      </w:r>
      <w:r>
        <w:rPr>
          <w:rFonts w:hint="eastAsia" w:hAnsi="黑体"/>
          <w:sz w:val="32"/>
          <w:szCs w:val="32"/>
        </w:rPr>
        <w:t>事业编制</w:t>
      </w:r>
      <w:r>
        <w:rPr>
          <w:rFonts w:hint="eastAsia" w:hAnsi="黑体"/>
          <w:sz w:val="32"/>
          <w:szCs w:val="32"/>
          <w:lang w:val="en-US" w:eastAsia="zh-CN"/>
        </w:rPr>
        <w:t>7</w:t>
      </w:r>
      <w:r>
        <w:rPr>
          <w:rFonts w:hint="eastAsia" w:hAnsi="黑体"/>
          <w:sz w:val="32"/>
          <w:szCs w:val="32"/>
        </w:rPr>
        <w:t>人</w:t>
      </w:r>
      <w:r>
        <w:rPr>
          <w:rFonts w:hint="eastAsia" w:hAnsi="黑体"/>
          <w:sz w:val="32"/>
          <w:szCs w:val="32"/>
          <w:lang w:eastAsia="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rPr>
      </w:pPr>
      <w:r>
        <w:rPr>
          <w:rFonts w:ascii="仿宋" w:hAnsi="仿宋" w:eastAsia="仿宋"/>
          <w:color w:val="000000"/>
          <w:sz w:val="32"/>
          <w:szCs w:val="32"/>
        </w:rPr>
        <w:t>201</w:t>
      </w:r>
      <w:r>
        <w:rPr>
          <w:rFonts w:hint="eastAsia" w:ascii="仿宋" w:hAnsi="仿宋" w:eastAsia="仿宋"/>
          <w:color w:val="000000"/>
          <w:sz w:val="32"/>
          <w:szCs w:val="32"/>
        </w:rPr>
        <w:t>9</w:t>
      </w:r>
      <w:r>
        <w:rPr>
          <w:rFonts w:hint="eastAsia" w:ascii="仿宋" w:hAnsi="仿宋" w:eastAsia="仿宋"/>
          <w:color w:val="000000"/>
          <w:sz w:val="32"/>
          <w:szCs w:val="32"/>
          <w:lang w:val="en-US" w:eastAsia="zh-CN"/>
        </w:rPr>
        <w:t>单位财政资金收入共计</w:t>
      </w:r>
      <w:r>
        <w:rPr>
          <w:rFonts w:hint="eastAsia" w:ascii="仿宋" w:hAnsi="仿宋" w:eastAsia="仿宋"/>
          <w:color w:val="000000" w:themeColor="text1"/>
          <w:sz w:val="32"/>
          <w:szCs w:val="32"/>
          <w:lang w:val="en-US" w:eastAsia="zh-CN"/>
        </w:rPr>
        <w:t>1092.18</w:t>
      </w:r>
      <w:r>
        <w:rPr>
          <w:rFonts w:hint="eastAsia" w:ascii="仿宋" w:hAnsi="仿宋" w:eastAsia="仿宋"/>
          <w:color w:val="000000"/>
          <w:sz w:val="32"/>
          <w:szCs w:val="32"/>
        </w:rPr>
        <w:t>万元，其中</w:t>
      </w:r>
      <w:r>
        <w:rPr>
          <w:rFonts w:hint="eastAsia" w:ascii="仿宋" w:hAnsi="仿宋" w:eastAsia="仿宋"/>
          <w:color w:val="000000"/>
          <w:sz w:val="32"/>
          <w:szCs w:val="32"/>
          <w:lang w:val="en-US" w:eastAsia="zh-CN"/>
        </w:rPr>
        <w:t>上一年度财政拨款结转61.21万元，本年度财政拨款1030.97万元，无其他收入。</w:t>
      </w:r>
    </w:p>
    <w:p>
      <w:pPr>
        <w:widowControl/>
        <w:numPr>
          <w:ilvl w:val="0"/>
          <w:numId w:val="0"/>
        </w:numPr>
        <w:adjustRightInd w:val="0"/>
        <w:snapToGrid w:val="0"/>
        <w:spacing w:line="580" w:lineRule="exact"/>
        <w:ind w:leftChars="200" w:firstLine="321" w:firstLineChars="1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w:t>
      </w:r>
      <w:r>
        <w:rPr>
          <w:rFonts w:hint="eastAsia" w:ascii="楷体_GB2312" w:hAnsi="楷体_GB2312" w:eastAsia="楷体_GB2312" w:cs="楷体_GB2312"/>
          <w:b/>
          <w:bCs/>
          <w:color w:val="000000"/>
          <w:kern w:val="0"/>
          <w:sz w:val="32"/>
          <w:szCs w:val="32"/>
          <w:shd w:val="clear" w:color="auto" w:fill="FFFFFF"/>
          <w:lang w:val="en-US" w:eastAsia="zh-CN"/>
        </w:rPr>
        <w:t>二</w:t>
      </w:r>
      <w:r>
        <w:rPr>
          <w:rFonts w:hint="eastAsia" w:ascii="楷体_GB2312" w:hAnsi="楷体_GB2312" w:eastAsia="楷体_GB2312" w:cs="楷体_GB2312"/>
          <w:b/>
          <w:bCs/>
          <w:color w:val="000000"/>
          <w:kern w:val="0"/>
          <w:sz w:val="32"/>
          <w:szCs w:val="32"/>
          <w:shd w:val="clear" w:color="auto" w:fill="FFFFFF"/>
          <w:lang w:val="zh-CN"/>
        </w:rPr>
        <w:t>）部门财政资金支出情况</w:t>
      </w:r>
    </w:p>
    <w:p>
      <w:pPr>
        <w:widowControl/>
        <w:numPr>
          <w:ilvl w:val="0"/>
          <w:numId w:val="0"/>
        </w:numPr>
        <w:adjustRightInd w:val="0"/>
        <w:snapToGrid w:val="0"/>
        <w:spacing w:line="580" w:lineRule="exact"/>
        <w:ind w:leftChars="200" w:firstLine="320" w:firstLineChars="100"/>
        <w:contextualSpacing/>
        <w:jc w:val="left"/>
        <w:rPr>
          <w:rFonts w:hint="eastAsia" w:ascii="仿宋" w:hAnsi="仿宋" w:eastAsia="仿宋"/>
          <w:b w:val="0"/>
          <w:bCs/>
          <w:color w:val="000000" w:themeColor="text1"/>
          <w:sz w:val="32"/>
          <w:szCs w:val="32"/>
          <w:lang w:val="en-US" w:eastAsia="zh-CN"/>
        </w:rPr>
      </w:pPr>
      <w:r>
        <w:rPr>
          <w:rFonts w:hint="eastAsia" w:ascii="仿宋" w:hAnsi="仿宋" w:eastAsia="仿宋"/>
          <w:b w:val="0"/>
          <w:bCs/>
          <w:color w:val="000000" w:themeColor="text1"/>
          <w:sz w:val="32"/>
          <w:szCs w:val="32"/>
        </w:rPr>
        <w:t>2019年</w:t>
      </w:r>
      <w:r>
        <w:rPr>
          <w:rFonts w:hint="eastAsia" w:ascii="仿宋" w:hAnsi="仿宋" w:eastAsia="仿宋"/>
          <w:b w:val="0"/>
          <w:bCs/>
          <w:color w:val="000000" w:themeColor="text1"/>
          <w:sz w:val="32"/>
          <w:szCs w:val="32"/>
          <w:lang w:val="en-US" w:eastAsia="zh-CN"/>
        </w:rPr>
        <w:t>财政拨款</w:t>
      </w:r>
      <w:r>
        <w:rPr>
          <w:rFonts w:hint="eastAsia" w:ascii="仿宋" w:hAnsi="仿宋" w:eastAsia="仿宋"/>
          <w:b w:val="0"/>
          <w:bCs/>
          <w:color w:val="000000" w:themeColor="text1"/>
          <w:sz w:val="32"/>
          <w:szCs w:val="32"/>
        </w:rPr>
        <w:t>支出决算数为</w:t>
      </w:r>
      <w:r>
        <w:rPr>
          <w:rFonts w:hint="eastAsia" w:ascii="仿宋" w:hAnsi="仿宋" w:eastAsia="仿宋"/>
          <w:b w:val="0"/>
          <w:bCs/>
          <w:color w:val="000000" w:themeColor="text1"/>
          <w:sz w:val="32"/>
          <w:szCs w:val="32"/>
          <w:lang w:val="en-US" w:eastAsia="zh-CN"/>
        </w:rPr>
        <w:t>630.45万元。</w:t>
      </w:r>
    </w:p>
    <w:p>
      <w:pPr>
        <w:widowControl/>
        <w:numPr>
          <w:ilvl w:val="0"/>
          <w:numId w:val="4"/>
        </w:numPr>
        <w:adjustRightInd w:val="0"/>
        <w:snapToGrid w:val="0"/>
        <w:spacing w:line="580" w:lineRule="exact"/>
        <w:ind w:left="0" w:leftChars="0" w:firstLine="643" w:firstLineChars="200"/>
        <w:contextualSpacing/>
        <w:jc w:val="left"/>
        <w:rPr>
          <w:rFonts w:hint="eastAsia" w:ascii="楷体_GB2312" w:hAnsi="楷体_GB2312" w:eastAsia="楷体_GB2312" w:cs="楷体_GB2312"/>
          <w:b/>
          <w:bCs w:val="0"/>
          <w:color w:val="000000" w:themeColor="text1"/>
          <w:sz w:val="32"/>
          <w:szCs w:val="32"/>
          <w:lang w:val="en-US" w:eastAsia="zh-CN"/>
        </w:rPr>
      </w:pPr>
      <w:r>
        <w:rPr>
          <w:rFonts w:hint="eastAsia" w:ascii="楷体_GB2312" w:hAnsi="楷体_GB2312" w:eastAsia="楷体_GB2312" w:cs="楷体_GB2312"/>
          <w:b/>
          <w:bCs w:val="0"/>
          <w:color w:val="000000" w:themeColor="text1"/>
          <w:sz w:val="32"/>
          <w:szCs w:val="32"/>
          <w:lang w:val="en-US" w:eastAsia="zh-CN"/>
        </w:rPr>
        <w:t>部门财政资金收支结转情况</w:t>
      </w:r>
    </w:p>
    <w:p>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b w:val="0"/>
          <w:bCs/>
          <w:color w:val="000000" w:themeColor="text1"/>
          <w:sz w:val="32"/>
          <w:szCs w:val="32"/>
          <w:lang w:val="en-US" w:eastAsia="zh-CN"/>
        </w:rPr>
        <w:t xml:space="preserve">  2019年末结转和结余资金461.73万元。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（一）部门预算管理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9"/>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lang w:eastAsia="zh-CN"/>
        </w:rPr>
        <w:t>我局</w:t>
      </w:r>
      <w:r>
        <w:rPr>
          <w:rFonts w:hint="eastAsia" w:ascii="仿宋_GB2312" w:hAnsi="仿宋_GB2312" w:eastAsia="仿宋_GB2312" w:cs="仿宋_GB2312"/>
          <w:b w:val="0"/>
          <w:bCs/>
          <w:color w:val="000000"/>
          <w:sz w:val="32"/>
          <w:szCs w:val="32"/>
        </w:rPr>
        <w:t>严格按照县财政部门预算编制通知和有关文件要求，结合本单位实际项目安排批准情况填制收支总表及支出项目录入表。单位预算编制工作完成后按“二上二下”的编制程序提交县财政支出管理股室进行审核后下达批复。</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一是</w:t>
      </w: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局</w:t>
      </w:r>
      <w:r>
        <w:rPr>
          <w:rFonts w:hint="eastAsia" w:ascii="仿宋_GB2312" w:hAnsi="仿宋_GB2312" w:eastAsia="仿宋_GB2312" w:cs="仿宋_GB2312"/>
          <w:color w:val="000000"/>
          <w:sz w:val="32"/>
          <w:szCs w:val="32"/>
        </w:rPr>
        <w:t>高度重视内部控制制度建设工作，切实加强对内部控制制度建设的组织领导，切实强化内部控制制度的建设工作。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二是</w:t>
      </w: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局</w:t>
      </w:r>
      <w:r>
        <w:rPr>
          <w:rFonts w:hint="eastAsia" w:ascii="仿宋_GB2312" w:hAnsi="仿宋_GB2312" w:eastAsia="仿宋_GB2312" w:cs="仿宋_GB2312"/>
          <w:color w:val="000000"/>
          <w:sz w:val="32"/>
          <w:szCs w:val="32"/>
        </w:rPr>
        <w:t>严格按照相关部门的要求保质保量完成年度预决算公开工作。</w:t>
      </w:r>
    </w:p>
    <w:p>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outlineLvl w:val="9"/>
        <w:rPr>
          <w:rFonts w:hint="eastAsia" w:ascii="楷体" w:hAnsi="楷体" w:eastAsia="楷体" w:cs="楷体"/>
          <w:b/>
          <w:bCs/>
          <w:color w:val="000000"/>
          <w:sz w:val="32"/>
          <w:szCs w:val="32"/>
          <w:lang w:eastAsia="zh-CN"/>
        </w:rPr>
      </w:pPr>
      <w:r>
        <w:rPr>
          <w:rFonts w:hint="eastAsia" w:ascii="楷体" w:hAnsi="楷体" w:eastAsia="楷体" w:cs="楷体"/>
          <w:b/>
          <w:bCs/>
          <w:color w:val="000000"/>
          <w:sz w:val="32"/>
          <w:szCs w:val="32"/>
          <w:lang w:eastAsia="zh-CN"/>
        </w:rPr>
        <w:t>（二）专项预算管理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9"/>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我局对部门预算绩效管理工作开展情况认真进行了自查自评。绩效评价自查覆盖重点支出，将评价结果作为预算安排的重要依据，参照项目年度预算执行情况、“三年滚动规划”执行情况统筹项目支出需求，不断强化绩效理念，推动我局部门整体绩效管理水平不断提升。</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三、</w:t>
      </w:r>
      <w:r>
        <w:rPr>
          <w:rFonts w:hint="eastAsia" w:ascii="黑体" w:hAnsi="黑体" w:eastAsia="黑体" w:cs="黑体"/>
          <w:color w:val="000000"/>
          <w:sz w:val="32"/>
          <w:szCs w:val="32"/>
        </w:rPr>
        <w:t>评价结论及建议</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outlineLvl w:val="9"/>
        <w:rPr>
          <w:rFonts w:hint="eastAsia" w:ascii="楷体" w:hAnsi="楷体" w:eastAsia="楷体" w:cs="楷体"/>
          <w:b/>
          <w:color w:val="000000"/>
          <w:sz w:val="32"/>
          <w:szCs w:val="32"/>
        </w:rPr>
      </w:pPr>
      <w:r>
        <w:rPr>
          <w:rFonts w:hint="eastAsia" w:ascii="楷体" w:hAnsi="楷体" w:eastAsia="楷体" w:cs="楷体"/>
          <w:b/>
          <w:color w:val="000000"/>
          <w:sz w:val="32"/>
          <w:szCs w:val="32"/>
        </w:rPr>
        <w:t>（一）评价结论</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default" w:ascii="仿宋_GB2312" w:hAnsi="仿宋_GB2312" w:eastAsia="仿宋_GB2312" w:cs="仿宋_GB2312"/>
          <w:b/>
          <w:color w:val="000000"/>
          <w:sz w:val="32"/>
          <w:szCs w:val="32"/>
          <w:lang w:val="en-US" w:eastAsia="zh-CN"/>
        </w:rPr>
      </w:pPr>
      <w:r>
        <w:rPr>
          <w:rFonts w:hint="eastAsia" w:ascii="仿宋_GB2312" w:hAnsi="仿宋_GB2312" w:eastAsia="仿宋_GB2312" w:cs="仿宋_GB2312"/>
          <w:color w:val="000000"/>
          <w:sz w:val="32"/>
          <w:szCs w:val="32"/>
        </w:rPr>
        <w:t>对照《县级部门整体支出绩效评价指标体系表》中各项具体指标认真开展自评工作</w:t>
      </w:r>
      <w:r>
        <w:rPr>
          <w:rFonts w:hint="eastAsia" w:ascii="仿宋_GB2312" w:hAnsi="仿宋_GB2312" w:eastAsia="仿宋_GB2312" w:cs="仿宋_GB2312"/>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outlineLvl w:val="9"/>
        <w:rPr>
          <w:rFonts w:hint="eastAsia" w:ascii="楷体" w:hAnsi="楷体" w:eastAsia="楷体" w:cs="楷体"/>
          <w:b/>
          <w:color w:val="000000"/>
          <w:sz w:val="32"/>
          <w:szCs w:val="32"/>
        </w:rPr>
      </w:pPr>
      <w:r>
        <w:rPr>
          <w:rFonts w:hint="eastAsia" w:ascii="楷体" w:hAnsi="楷体" w:eastAsia="楷体" w:cs="楷体"/>
          <w:b/>
          <w:color w:val="000000"/>
          <w:sz w:val="32"/>
          <w:szCs w:val="32"/>
          <w:lang w:eastAsia="zh-CN"/>
        </w:rPr>
        <w:t>（二）</w:t>
      </w:r>
      <w:r>
        <w:rPr>
          <w:rFonts w:hint="eastAsia" w:ascii="楷体" w:hAnsi="楷体" w:eastAsia="楷体" w:cs="楷体"/>
          <w:b/>
          <w:color w:val="000000"/>
          <w:sz w:val="32"/>
          <w:szCs w:val="32"/>
        </w:rPr>
        <w:t>存在的问题</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outlineLvl w:val="9"/>
        <w:rPr>
          <w:rFonts w:hint="default" w:ascii="楷体" w:hAnsi="楷体" w:eastAsia="楷体" w:cs="楷体"/>
          <w:b/>
          <w:color w:val="000000"/>
          <w:sz w:val="32"/>
          <w:szCs w:val="32"/>
          <w:lang w:val="en-US" w:eastAsia="zh-CN"/>
        </w:rPr>
      </w:pPr>
      <w:r>
        <w:rPr>
          <w:rFonts w:hint="eastAsia" w:ascii="楷体" w:hAnsi="楷体" w:eastAsia="楷体" w:cs="楷体"/>
          <w:b/>
          <w:color w:val="000000"/>
          <w:sz w:val="32"/>
          <w:szCs w:val="32"/>
          <w:lang w:val="en-US" w:eastAsia="zh-CN"/>
        </w:rPr>
        <w:t xml:space="preserve"> </w:t>
      </w:r>
      <w:r>
        <w:rPr>
          <w:rFonts w:hint="eastAsia" w:ascii="仿宋_GB2312" w:hAnsi="仿宋_GB2312" w:eastAsia="仿宋_GB2312" w:cs="仿宋_GB2312"/>
          <w:b w:val="0"/>
          <w:bCs/>
          <w:color w:val="000000"/>
          <w:sz w:val="32"/>
          <w:szCs w:val="32"/>
          <w:lang w:val="en-US" w:eastAsia="zh-CN"/>
        </w:rPr>
        <w:t>绩效目标设定有待更科学合理。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outlineLvl w:val="9"/>
        <w:rPr>
          <w:rFonts w:hint="eastAsia" w:ascii="楷体" w:hAnsi="楷体" w:eastAsia="楷体" w:cs="楷体"/>
          <w:b/>
          <w:color w:val="000000"/>
          <w:sz w:val="32"/>
          <w:szCs w:val="32"/>
        </w:rPr>
      </w:pPr>
      <w:r>
        <w:rPr>
          <w:rFonts w:hint="eastAsia" w:ascii="楷体" w:hAnsi="楷体" w:eastAsia="楷体" w:cs="楷体"/>
          <w:b/>
          <w:color w:val="000000"/>
          <w:sz w:val="32"/>
          <w:szCs w:val="32"/>
          <w:lang w:eastAsia="zh-CN"/>
        </w:rPr>
        <w:t>（二）</w:t>
      </w:r>
      <w:r>
        <w:rPr>
          <w:rFonts w:hint="eastAsia" w:ascii="楷体" w:hAnsi="楷体" w:eastAsia="楷体" w:cs="楷体"/>
          <w:b/>
          <w:color w:val="000000"/>
          <w:sz w:val="32"/>
          <w:szCs w:val="32"/>
        </w:rPr>
        <w:t>改进建议</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针对存在的问题，我们将进一步科学设定绩效目标。一是认真研究政策，加强项目目标审核，力求科学合理；二是 认真研究项目的执行，确保项目顺利实施，提高财政资金的使用效益。</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部门绩效目标制定、目标实现、预算编制准确、支出控制、预算动态调整、执行进度、预算完成情况和违规记录等情况。</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bookmarkStart w:id="59"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8"/>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3"/>
    </w:p>
    <w:p>
      <w:pPr>
        <w:pStyle w:val="3"/>
        <w:rPr>
          <w:rStyle w:val="25"/>
          <w:rFonts w:ascii="仿宋" w:hAnsi="仿宋" w:eastAsia="仿宋"/>
          <w:b w:val="0"/>
          <w:bCs w:val="0"/>
        </w:rPr>
      </w:pPr>
      <w:bookmarkStart w:id="64"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8AEE68"/>
    <w:multiLevelType w:val="singleLevel"/>
    <w:tmpl w:val="928AEE68"/>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1CF5"/>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0EA2"/>
    <w:rsid w:val="00FA23E8"/>
    <w:rsid w:val="00FD3CC1"/>
    <w:rsid w:val="00FF1E02"/>
    <w:rsid w:val="00FF30B4"/>
    <w:rsid w:val="011A6BCF"/>
    <w:rsid w:val="013842D9"/>
    <w:rsid w:val="01A54B86"/>
    <w:rsid w:val="026829AA"/>
    <w:rsid w:val="026F1B6B"/>
    <w:rsid w:val="03F728AF"/>
    <w:rsid w:val="04D27490"/>
    <w:rsid w:val="05374B3B"/>
    <w:rsid w:val="061F433F"/>
    <w:rsid w:val="06ED257E"/>
    <w:rsid w:val="0769015E"/>
    <w:rsid w:val="081E6011"/>
    <w:rsid w:val="092457DD"/>
    <w:rsid w:val="098D4F81"/>
    <w:rsid w:val="0A8F2A5D"/>
    <w:rsid w:val="0BE969B1"/>
    <w:rsid w:val="0F160460"/>
    <w:rsid w:val="10C055FF"/>
    <w:rsid w:val="11664B6D"/>
    <w:rsid w:val="117F74CB"/>
    <w:rsid w:val="11B04A9D"/>
    <w:rsid w:val="127D5963"/>
    <w:rsid w:val="12AB5689"/>
    <w:rsid w:val="1373219F"/>
    <w:rsid w:val="13D46C00"/>
    <w:rsid w:val="13E12CCB"/>
    <w:rsid w:val="15454E96"/>
    <w:rsid w:val="16B947E1"/>
    <w:rsid w:val="16BB723D"/>
    <w:rsid w:val="17B46A08"/>
    <w:rsid w:val="17CE7546"/>
    <w:rsid w:val="18AE2A14"/>
    <w:rsid w:val="19B217FC"/>
    <w:rsid w:val="1B4C66FA"/>
    <w:rsid w:val="1C290C8A"/>
    <w:rsid w:val="1D0C780C"/>
    <w:rsid w:val="1D122DAC"/>
    <w:rsid w:val="1E5D5546"/>
    <w:rsid w:val="1FD952AB"/>
    <w:rsid w:val="202D7196"/>
    <w:rsid w:val="20FF60A6"/>
    <w:rsid w:val="2129244F"/>
    <w:rsid w:val="231A735A"/>
    <w:rsid w:val="240371BF"/>
    <w:rsid w:val="24640E19"/>
    <w:rsid w:val="24B14D99"/>
    <w:rsid w:val="24DD7069"/>
    <w:rsid w:val="24F77DDF"/>
    <w:rsid w:val="250744C5"/>
    <w:rsid w:val="25F20F66"/>
    <w:rsid w:val="265B4B4B"/>
    <w:rsid w:val="29BD778D"/>
    <w:rsid w:val="29FD04D3"/>
    <w:rsid w:val="2A542B65"/>
    <w:rsid w:val="2AB53E8B"/>
    <w:rsid w:val="2ACC0F66"/>
    <w:rsid w:val="2AFD43A0"/>
    <w:rsid w:val="2B736DC0"/>
    <w:rsid w:val="2B87288D"/>
    <w:rsid w:val="2BB64A34"/>
    <w:rsid w:val="2C0D1A68"/>
    <w:rsid w:val="2C822797"/>
    <w:rsid w:val="2DE73B70"/>
    <w:rsid w:val="2F4E276F"/>
    <w:rsid w:val="2FC567C3"/>
    <w:rsid w:val="2FC766DA"/>
    <w:rsid w:val="2FE022A7"/>
    <w:rsid w:val="30AD31DF"/>
    <w:rsid w:val="30E641BF"/>
    <w:rsid w:val="319F7F4E"/>
    <w:rsid w:val="31C74C9D"/>
    <w:rsid w:val="326D762F"/>
    <w:rsid w:val="32CE2EBE"/>
    <w:rsid w:val="32D13C17"/>
    <w:rsid w:val="32E336D0"/>
    <w:rsid w:val="335F1A8C"/>
    <w:rsid w:val="34EC5718"/>
    <w:rsid w:val="35944F72"/>
    <w:rsid w:val="35BE04EA"/>
    <w:rsid w:val="35FF0D0F"/>
    <w:rsid w:val="36001325"/>
    <w:rsid w:val="36236508"/>
    <w:rsid w:val="36C4646C"/>
    <w:rsid w:val="38EE6B0C"/>
    <w:rsid w:val="3A6653BF"/>
    <w:rsid w:val="3B2B5F71"/>
    <w:rsid w:val="3B8C4E86"/>
    <w:rsid w:val="3C0C3DD8"/>
    <w:rsid w:val="3C2D74CB"/>
    <w:rsid w:val="3DCF42C1"/>
    <w:rsid w:val="3E2D4939"/>
    <w:rsid w:val="3E3B5EB4"/>
    <w:rsid w:val="3E681CA4"/>
    <w:rsid w:val="4001316D"/>
    <w:rsid w:val="418A785D"/>
    <w:rsid w:val="419F18C0"/>
    <w:rsid w:val="437C17F8"/>
    <w:rsid w:val="438B6804"/>
    <w:rsid w:val="43B64315"/>
    <w:rsid w:val="44F8796A"/>
    <w:rsid w:val="45181393"/>
    <w:rsid w:val="458032B0"/>
    <w:rsid w:val="46BD74B6"/>
    <w:rsid w:val="470261CE"/>
    <w:rsid w:val="48CE0D03"/>
    <w:rsid w:val="48EE516A"/>
    <w:rsid w:val="48FA73FF"/>
    <w:rsid w:val="49033703"/>
    <w:rsid w:val="4AEB4922"/>
    <w:rsid w:val="4B4D02C3"/>
    <w:rsid w:val="4C04262A"/>
    <w:rsid w:val="4C41391F"/>
    <w:rsid w:val="4ECE2238"/>
    <w:rsid w:val="50FE6828"/>
    <w:rsid w:val="51FC330F"/>
    <w:rsid w:val="52583705"/>
    <w:rsid w:val="52A62468"/>
    <w:rsid w:val="5521494B"/>
    <w:rsid w:val="55961C34"/>
    <w:rsid w:val="579944AA"/>
    <w:rsid w:val="57C04287"/>
    <w:rsid w:val="58605DEE"/>
    <w:rsid w:val="58A64D31"/>
    <w:rsid w:val="597E4422"/>
    <w:rsid w:val="5A371C72"/>
    <w:rsid w:val="5AFB1236"/>
    <w:rsid w:val="5B061AD7"/>
    <w:rsid w:val="5BB630A0"/>
    <w:rsid w:val="5C1D43C4"/>
    <w:rsid w:val="5C4545BD"/>
    <w:rsid w:val="5CE00947"/>
    <w:rsid w:val="5D002FFD"/>
    <w:rsid w:val="5F0A149C"/>
    <w:rsid w:val="604A111E"/>
    <w:rsid w:val="622D527D"/>
    <w:rsid w:val="623E284A"/>
    <w:rsid w:val="629545B3"/>
    <w:rsid w:val="634C3B3B"/>
    <w:rsid w:val="63945177"/>
    <w:rsid w:val="650A15C0"/>
    <w:rsid w:val="657008E4"/>
    <w:rsid w:val="66480352"/>
    <w:rsid w:val="68A010D2"/>
    <w:rsid w:val="68F21911"/>
    <w:rsid w:val="69CD7183"/>
    <w:rsid w:val="6A5374A3"/>
    <w:rsid w:val="6A8421A7"/>
    <w:rsid w:val="6B284AE5"/>
    <w:rsid w:val="6B4510D8"/>
    <w:rsid w:val="6F3237D5"/>
    <w:rsid w:val="6F7B78E3"/>
    <w:rsid w:val="6FEB5B88"/>
    <w:rsid w:val="70254BB8"/>
    <w:rsid w:val="72734D90"/>
    <w:rsid w:val="72D839E7"/>
    <w:rsid w:val="73B2581D"/>
    <w:rsid w:val="742E24A1"/>
    <w:rsid w:val="74D85BB8"/>
    <w:rsid w:val="76CB391B"/>
    <w:rsid w:val="78407E7D"/>
    <w:rsid w:val="786F1E2E"/>
    <w:rsid w:val="798100F1"/>
    <w:rsid w:val="7CD0517C"/>
    <w:rsid w:val="7CD403F5"/>
    <w:rsid w:val="7D110AB8"/>
    <w:rsid w:val="7EC0241B"/>
    <w:rsid w:val="7FE1528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solidFill>
                  <a:schemeClr val="tx1">
                    <a:lumMod val="65000"/>
                    <a:lumOff val="35000"/>
                  </a:schemeClr>
                </a:solidFill>
                <a:uFillTx/>
              </a:rPr>
              <a:t>图</a:t>
            </a:r>
            <a:r>
              <a:rPr lang="en-US" altLang="zh-CN" b="1">
                <a:solidFill>
                  <a:schemeClr val="tx1">
                    <a:lumMod val="65000"/>
                    <a:lumOff val="35000"/>
                  </a:schemeClr>
                </a:solidFill>
                <a:uFillTx/>
              </a:rPr>
              <a:t>1</a:t>
            </a:r>
            <a:r>
              <a:rPr altLang="en-US" b="1">
                <a:solidFill>
                  <a:schemeClr val="tx1">
                    <a:lumMod val="65000"/>
                    <a:lumOff val="35000"/>
                  </a:schemeClr>
                </a:solidFill>
                <a:uFillTx/>
              </a:rPr>
              <a:t>：</a:t>
            </a:r>
            <a:r>
              <a:rPr b="1">
                <a:solidFill>
                  <a:schemeClr val="tx1">
                    <a:lumMod val="65000"/>
                    <a:lumOff val="35000"/>
                  </a:schemeClr>
                </a:solidFill>
                <a:uFillTx/>
              </a:rPr>
              <a:t>收、支决算总计变动情况图</a:t>
            </a:r>
            <a:endParaRPr b="1">
              <a:solidFill>
                <a:schemeClr val="tx1">
                  <a:lumMod val="65000"/>
                  <a:lumOff val="35000"/>
                </a:schemeClr>
              </a:solidFill>
              <a:uFillTx/>
            </a:endParaRPr>
          </a:p>
        </c:rich>
      </c:tx>
      <c:layout>
        <c:manualLayout>
          <c:xMode val="edge"/>
          <c:yMode val="edge"/>
          <c:x val="0.012375"/>
          <c:y val="0.006"/>
        </c:manualLayout>
      </c:layout>
      <c:overlay val="0"/>
      <c:spPr>
        <a:noFill/>
        <a:ln>
          <a:noFill/>
        </a:ln>
        <a:effectLst/>
      </c:spPr>
    </c:title>
    <c:autoTitleDeleted val="0"/>
    <c:plotArea>
      <c:layout>
        <c:manualLayout>
          <c:layoutTarget val="inner"/>
          <c:xMode val="edge"/>
          <c:yMode val="edge"/>
          <c:x val="0.08095"/>
          <c:y val="0.218205175261516"/>
          <c:w val="0.89155"/>
          <c:h val="0.552248118920903"/>
        </c:manualLayout>
      </c:layout>
      <c:barChart>
        <c:barDir val="col"/>
        <c:grouping val="clustered"/>
        <c:varyColors val="0"/>
        <c:ser>
          <c:idx val="0"/>
          <c:order val="0"/>
          <c:tx>
            <c:strRef>
              <c:f>Sheet1!$B$1</c:f>
              <c:strCache>
                <c:ptCount val="1"/>
                <c:pt idx="0">
                  <c:v>2018</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451.78</c:v>
                </c:pt>
                <c:pt idx="1">
                  <c:v>371.78</c:v>
                </c:pt>
              </c:numCache>
            </c:numRef>
          </c:val>
        </c:ser>
        <c:ser>
          <c:idx val="1"/>
          <c:order val="1"/>
          <c:tx>
            <c:strRef>
              <c:f>Sheet1!$C$1</c:f>
              <c:strCache>
                <c:ptCount val="1"/>
                <c:pt idx="0">
                  <c:v>2019</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1092.18</c:v>
                </c:pt>
                <c:pt idx="1">
                  <c:v>630.45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25764718"/>
        <c:axId val="526876552"/>
      </c:barChart>
      <c:catAx>
        <c:axId val="925764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526876552"/>
        <c:crosses val="autoZero"/>
        <c:auto val="1"/>
        <c:lblAlgn val="ctr"/>
        <c:lblOffset val="100"/>
        <c:noMultiLvlLbl val="0"/>
      </c:catAx>
      <c:valAx>
        <c:axId val="526876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764718"/>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delete val="1"/>
      </c:legendEntry>
      <c:layout>
        <c:manualLayout>
          <c:xMode val="edge"/>
          <c:yMode val="edge"/>
          <c:x val="0.539375"/>
          <c:y val="0.88805285373463"/>
          <c:w val="0.425"/>
          <c:h val="0.0899247568361167"/>
        </c:manualLayout>
      </c:layout>
      <c:overlay val="0"/>
      <c:spPr>
        <a:noFill/>
        <a:ln>
          <a:noFill/>
        </a:ln>
        <a:effectLst/>
      </c:spPr>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600" b="1">
                <a:solidFill>
                  <a:schemeClr val="tx1">
                    <a:lumMod val="65000"/>
                    <a:lumOff val="35000"/>
                  </a:schemeClr>
                </a:solidFill>
                <a:uFillTx/>
              </a:rPr>
              <a:t>图</a:t>
            </a:r>
            <a:r>
              <a:rPr lang="en-US" altLang="zh-CN" sz="1600" b="1">
                <a:solidFill>
                  <a:schemeClr val="tx1">
                    <a:lumMod val="65000"/>
                    <a:lumOff val="35000"/>
                  </a:schemeClr>
                </a:solidFill>
                <a:uFillTx/>
              </a:rPr>
              <a:t>2</a:t>
            </a:r>
            <a:r>
              <a:rPr altLang="en-US" sz="1600" b="1">
                <a:solidFill>
                  <a:schemeClr val="tx1">
                    <a:lumMod val="65000"/>
                    <a:lumOff val="35000"/>
                  </a:schemeClr>
                </a:solidFill>
                <a:uFillTx/>
              </a:rPr>
              <a:t>：</a:t>
            </a:r>
            <a:r>
              <a:rPr altLang="en-US" b="1">
                <a:solidFill>
                  <a:schemeClr val="tx1">
                    <a:lumMod val="65000"/>
                    <a:lumOff val="35000"/>
                  </a:schemeClr>
                </a:solidFill>
                <a:uFillTx/>
              </a:rPr>
              <a:t>收入</a:t>
            </a:r>
            <a:r>
              <a:rPr altLang="en-US" sz="1600" b="1">
                <a:solidFill>
                  <a:schemeClr val="tx1">
                    <a:lumMod val="65000"/>
                    <a:lumOff val="35000"/>
                  </a:schemeClr>
                </a:solidFill>
                <a:uFillTx/>
              </a:rPr>
              <a:t>决算结构图</a:t>
            </a:r>
            <a:endParaRPr altLang="en-US" sz="1600" b="1">
              <a:solidFill>
                <a:schemeClr val="tx1">
                  <a:lumMod val="65000"/>
                  <a:lumOff val="35000"/>
                </a:schemeClr>
              </a:solidFill>
              <a:uFillTx/>
            </a:endParaRPr>
          </a:p>
        </c:rich>
      </c:tx>
      <c:layout>
        <c:manualLayout>
          <c:xMode val="edge"/>
          <c:yMode val="edge"/>
          <c:x val="0.007125"/>
          <c:y val="0.00734753857457752"/>
        </c:manualLayout>
      </c:layout>
      <c:overlay val="0"/>
      <c:spPr>
        <a:noFill/>
        <a:ln>
          <a:noFill/>
        </a:ln>
        <a:effectLst/>
      </c:spPr>
    </c:title>
    <c:autoTitleDeleted val="0"/>
    <c:plotArea>
      <c:layout>
        <c:manualLayout>
          <c:layoutTarget val="inner"/>
          <c:xMode val="edge"/>
          <c:yMode val="edge"/>
          <c:x val="0.1909375"/>
          <c:y val="0.234166666666667"/>
          <c:w val="0.570625"/>
          <c:h val="0.760833333333333"/>
        </c:manualLayout>
      </c:layout>
      <c:pieChart>
        <c:varyColors val="1"/>
        <c:ser>
          <c:idx val="0"/>
          <c:order val="0"/>
          <c:tx>
            <c:strRef>
              <c:f>Sheet1!$B$1</c:f>
              <c:strCache>
                <c:ptCount val="1"/>
                <c:pt idx="0">
                  <c:v>收入</c:v>
                </c:pt>
              </c:strCache>
            </c:strRef>
          </c:tx>
          <c:spPr/>
          <c:explosion val="0"/>
          <c:dPt>
            <c:idx val="0"/>
            <c:bubble3D val="0"/>
            <c:spPr>
              <a:solidFill>
                <a:srgbClr val="92D050"/>
              </a:solidFill>
              <a:ln w="19050">
                <a:solidFill>
                  <a:schemeClr val="lt1"/>
                </a:solidFill>
              </a:ln>
              <a:effectLst/>
            </c:spPr>
          </c:dPt>
          <c:dLbls>
            <c:delete val="1"/>
          </c:dLbls>
          <c:cat>
            <c:strRef>
              <c:f>Sheet1!$A$2</c:f>
              <c:strCache>
                <c:ptCount val="1"/>
                <c:pt idx="0">
                  <c:v>2019年</c:v>
                </c:pt>
              </c:strCache>
            </c:strRef>
          </c:cat>
          <c:val>
            <c:numRef>
              <c:f>Sheet1!$B$2</c:f>
              <c:numCache>
                <c:formatCode>General</c:formatCode>
                <c:ptCount val="1"/>
                <c:pt idx="0">
                  <c:v>1092.18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729"/>
          <c:y val="0.88381544346163"/>
        </c:manualLayout>
      </c:layout>
      <c:overlay val="0"/>
      <c:spPr>
        <a:noFill/>
        <a:ln>
          <a:noFill/>
        </a:ln>
        <a:effectLst/>
      </c:spPr>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图3：支出决算结构图</a:t>
            </a:r>
            <a:endParaRPr b="1"/>
          </a:p>
        </c:rich>
      </c:tx>
      <c:layout>
        <c:manualLayout>
          <c:xMode val="edge"/>
          <c:yMode val="edge"/>
          <c:x val="0.021375"/>
          <c:y val="0.0161868624623046"/>
        </c:manualLayout>
      </c:layout>
      <c:overlay val="0"/>
      <c:spPr>
        <a:noFill/>
        <a:ln>
          <a:noFill/>
        </a:ln>
        <a:effectLst/>
      </c:spPr>
    </c:title>
    <c:autoTitleDeleted val="0"/>
    <c:plotArea>
      <c:layout>
        <c:manualLayout>
          <c:layoutTarget val="inner"/>
          <c:xMode val="edge"/>
          <c:yMode val="edge"/>
          <c:x val="0.3503125"/>
          <c:y val="0.0947997014182632"/>
          <c:w val="0.323125"/>
          <c:h val="0.64319482458323"/>
        </c:manualLayout>
      </c:layout>
      <c:pieChart>
        <c:varyColors val="1"/>
        <c:ser>
          <c:idx val="0"/>
          <c:order val="0"/>
          <c:tx>
            <c:strRef>
              <c:f>Sheet1!$B$1</c:f>
              <c:strCache>
                <c:ptCount val="1"/>
                <c:pt idx="0">
                  <c:v>图3：支出决算结构图</c:v>
                </c:pt>
              </c:strCache>
            </c:strRef>
          </c:tx>
          <c:spPr/>
          <c:explosion val="0"/>
          <c:dPt>
            <c:idx val="0"/>
            <c:bubble3D val="0"/>
            <c:explosion val="13"/>
            <c:spPr>
              <a:solidFill>
                <a:srgbClr val="FFC000"/>
              </a:solidFill>
              <a:ln w="19050">
                <a:solidFill>
                  <a:schemeClr val="lt1"/>
                </a:solidFill>
              </a:ln>
              <a:effectLst/>
            </c:spPr>
          </c:dPt>
          <c:dPt>
            <c:idx val="1"/>
            <c:bubble3D val="0"/>
            <c:spPr>
              <a:solidFill>
                <a:srgbClr val="7030A0"/>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393.15</c:v>
                </c:pt>
                <c:pt idx="1">
                  <c:v>237.3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603375"/>
          <c:y val="0.812180381218038"/>
          <c:w val="0.385"/>
          <c:h val="0.12505811250581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solidFill>
                  <a:schemeClr val="tx1">
                    <a:lumMod val="65000"/>
                    <a:lumOff val="35000"/>
                  </a:schemeClr>
                </a:solidFill>
                <a:uFillTx/>
              </a:rPr>
              <a:t>图</a:t>
            </a:r>
            <a:r>
              <a:rPr lang="en-US" altLang="zh-CN" b="1">
                <a:solidFill>
                  <a:schemeClr val="tx1">
                    <a:lumMod val="65000"/>
                    <a:lumOff val="35000"/>
                  </a:schemeClr>
                </a:solidFill>
                <a:uFillTx/>
              </a:rPr>
              <a:t>4</a:t>
            </a:r>
            <a:r>
              <a:rPr altLang="en-US" b="1">
                <a:solidFill>
                  <a:schemeClr val="tx1">
                    <a:lumMod val="65000"/>
                    <a:lumOff val="35000"/>
                  </a:schemeClr>
                </a:solidFill>
                <a:uFillTx/>
              </a:rPr>
              <a:t>：</a:t>
            </a:r>
            <a:r>
              <a:rPr b="1">
                <a:solidFill>
                  <a:schemeClr val="tx1">
                    <a:lumMod val="65000"/>
                    <a:lumOff val="35000"/>
                  </a:schemeClr>
                </a:solidFill>
                <a:uFillTx/>
              </a:rPr>
              <a:t>收、支决算总计变动情况图</a:t>
            </a:r>
            <a:endParaRPr b="1">
              <a:solidFill>
                <a:schemeClr val="tx1">
                  <a:lumMod val="65000"/>
                  <a:lumOff val="35000"/>
                </a:schemeClr>
              </a:solidFill>
              <a:uFillTx/>
            </a:endParaRPr>
          </a:p>
        </c:rich>
      </c:tx>
      <c:layout>
        <c:manualLayout>
          <c:xMode val="edge"/>
          <c:yMode val="edge"/>
          <c:x val="0.00375"/>
          <c:y val="0.00651890482398957"/>
        </c:manualLayout>
      </c:layout>
      <c:overlay val="0"/>
      <c:spPr>
        <a:noFill/>
        <a:ln>
          <a:noFill/>
        </a:ln>
        <a:effectLst/>
      </c:spPr>
    </c:title>
    <c:autoTitleDeleted val="0"/>
    <c:plotArea>
      <c:layout>
        <c:manualLayout>
          <c:layoutTarget val="inner"/>
          <c:xMode val="edge"/>
          <c:yMode val="edge"/>
          <c:x val="0.06995"/>
          <c:y val="0.172750977835724"/>
          <c:w val="0.9063"/>
          <c:h val="0.523946110386788"/>
        </c:manualLayout>
      </c:layout>
      <c:barChart>
        <c:barDir val="col"/>
        <c:grouping val="clustered"/>
        <c:varyColors val="0"/>
        <c:ser>
          <c:idx val="0"/>
          <c:order val="0"/>
          <c:tx>
            <c:strRef>
              <c:f>Sheet1!$B$1</c:f>
              <c:strCache>
                <c:ptCount val="1"/>
                <c:pt idx="0">
                  <c:v>2018</c:v>
                </c:pt>
              </c:strCache>
            </c:strRef>
          </c:tx>
          <c:spPr>
            <a:gradFill>
              <a:gsLst>
                <a:gs pos="0">
                  <a:srgbClr val="14CD68"/>
                </a:gs>
                <a:gs pos="100000">
                  <a:srgbClr val="0B6E38"/>
                </a:gs>
              </a:gsLst>
              <a:lin scaled="0"/>
            </a:gradFill>
            <a:ln>
              <a:noFill/>
            </a:ln>
            <a:effectLst/>
          </c:spPr>
          <c:invertIfNegative val="0"/>
          <c:dPt>
            <c:idx val="0"/>
            <c:invertIfNegative val="0"/>
            <c:bubble3D val="0"/>
          </c:dPt>
          <c:dLbls>
            <c:delete val="1"/>
          </c:dLbls>
          <c:cat>
            <c:strRef>
              <c:f>Sheet1!$A$2:$A$3</c:f>
              <c:strCache>
                <c:ptCount val="2"/>
                <c:pt idx="0">
                  <c:v>收入</c:v>
                </c:pt>
                <c:pt idx="1">
                  <c:v>支出</c:v>
                </c:pt>
              </c:strCache>
            </c:strRef>
          </c:cat>
          <c:val>
            <c:numRef>
              <c:f>Sheet1!$B$2:$B$3</c:f>
              <c:numCache>
                <c:formatCode>General</c:formatCode>
                <c:ptCount val="2"/>
                <c:pt idx="0">
                  <c:v>451.78</c:v>
                </c:pt>
                <c:pt idx="1">
                  <c:v>371.78</c:v>
                </c:pt>
              </c:numCache>
            </c:numRef>
          </c:val>
        </c:ser>
        <c:ser>
          <c:idx val="1"/>
          <c:order val="1"/>
          <c:tx>
            <c:strRef>
              <c:f>Sheet1!$C$1</c:f>
              <c:strCache>
                <c:ptCount val="1"/>
                <c:pt idx="0">
                  <c:v>2019</c:v>
                </c:pt>
              </c:strCache>
            </c:strRef>
          </c:tx>
          <c:spPr>
            <a:solidFill>
              <a:srgbClr val="00B0F0"/>
            </a:solidFill>
            <a:ln>
              <a:noFill/>
            </a:ln>
            <a:effectLst/>
          </c:spPr>
          <c:invertIfNegative val="0"/>
          <c:dPt>
            <c:idx val="0"/>
            <c:invertIfNegative val="0"/>
            <c:bubble3D val="0"/>
            <c:spPr>
              <a:solidFill>
                <a:srgbClr val="00B0F0"/>
              </a:solidFill>
              <a:ln>
                <a:solidFill>
                  <a:srgbClr val="00B0F0"/>
                </a:solidFill>
              </a:ln>
              <a:effectLst/>
            </c:spPr>
          </c:dPt>
          <c:dLbls>
            <c:delete val="1"/>
          </c:dLbls>
          <c:cat>
            <c:strRef>
              <c:f>Sheet1!$A$2:$A$3</c:f>
              <c:strCache>
                <c:ptCount val="2"/>
                <c:pt idx="0">
                  <c:v>收入</c:v>
                </c:pt>
                <c:pt idx="1">
                  <c:v>支出</c:v>
                </c:pt>
              </c:strCache>
            </c:strRef>
          </c:cat>
          <c:val>
            <c:numRef>
              <c:f>Sheet1!$C$2:$C$3</c:f>
              <c:numCache>
                <c:formatCode>General</c:formatCode>
                <c:ptCount val="2"/>
                <c:pt idx="0">
                  <c:v>1092.18</c:v>
                </c:pt>
                <c:pt idx="1">
                  <c:v>630.45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25764718"/>
        <c:axId val="526876552"/>
      </c:barChart>
      <c:catAx>
        <c:axId val="925764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526876552"/>
        <c:crosses val="autoZero"/>
        <c:auto val="1"/>
        <c:lblAlgn val="ctr"/>
        <c:lblOffset val="100"/>
        <c:noMultiLvlLbl val="0"/>
      </c:catAx>
      <c:valAx>
        <c:axId val="526876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764718"/>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delete val="1"/>
      </c:legendEntry>
      <c:layout>
        <c:manualLayout>
          <c:xMode val="edge"/>
          <c:yMode val="edge"/>
          <c:x val="0.344125"/>
          <c:y val="0.83528900478053"/>
          <c:w val="0.602125"/>
          <c:h val="0.0749674054758801"/>
        </c:manualLayout>
      </c:layout>
      <c:overlay val="0"/>
      <c:spPr>
        <a:noFill/>
        <a:ln>
          <a:noFill/>
        </a:ln>
        <a:effectLst/>
      </c:spPr>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solidFill>
                  <a:schemeClr val="tx1">
                    <a:lumMod val="65000"/>
                    <a:lumOff val="35000"/>
                  </a:schemeClr>
                </a:solidFill>
                <a:uFillTx/>
              </a:rPr>
              <a:t>图</a:t>
            </a:r>
            <a:r>
              <a:rPr lang="en-US" altLang="zh-CN" b="1">
                <a:solidFill>
                  <a:schemeClr val="tx1">
                    <a:lumMod val="65000"/>
                    <a:lumOff val="35000"/>
                  </a:schemeClr>
                </a:solidFill>
                <a:uFillTx/>
              </a:rPr>
              <a:t>5</a:t>
            </a:r>
            <a:r>
              <a:rPr altLang="en-US" b="1">
                <a:solidFill>
                  <a:schemeClr val="tx1">
                    <a:lumMod val="65000"/>
                    <a:lumOff val="35000"/>
                  </a:schemeClr>
                </a:solidFill>
                <a:uFillTx/>
              </a:rPr>
              <a:t>：一般公共预算财政拨款支出决算变动情况</a:t>
            </a:r>
            <a:endParaRPr b="1">
              <a:solidFill>
                <a:schemeClr val="tx1">
                  <a:lumMod val="65000"/>
                  <a:lumOff val="35000"/>
                </a:schemeClr>
              </a:solidFill>
              <a:uFillTx/>
            </a:endParaRPr>
          </a:p>
        </c:rich>
      </c:tx>
      <c:layout>
        <c:manualLayout>
          <c:xMode val="edge"/>
          <c:yMode val="edge"/>
          <c:x val="0.00875"/>
          <c:y val="0.00644883920894239"/>
        </c:manualLayout>
      </c:layout>
      <c:overlay val="0"/>
      <c:spPr>
        <a:noFill/>
        <a:ln>
          <a:noFill/>
        </a:ln>
        <a:effectLst/>
      </c:spPr>
    </c:title>
    <c:autoTitleDeleted val="0"/>
    <c:plotArea>
      <c:layout>
        <c:manualLayout>
          <c:layoutTarget val="inner"/>
          <c:xMode val="edge"/>
          <c:yMode val="edge"/>
          <c:x val="0.085825"/>
          <c:y val="0.181563593932322"/>
          <c:w val="0.910425"/>
          <c:h val="0.597946324387398"/>
        </c:manualLayout>
      </c:layout>
      <c:barChart>
        <c:barDir val="col"/>
        <c:grouping val="clustered"/>
        <c:varyColors val="0"/>
        <c:ser>
          <c:idx val="0"/>
          <c:order val="0"/>
          <c:tx>
            <c:strRef>
              <c:f>Sheet1!$B$1</c:f>
              <c:strCache>
                <c:ptCount val="1"/>
                <c:pt idx="0">
                  <c:v>2018</c:v>
                </c:pt>
              </c:strCache>
            </c:strRef>
          </c:tx>
          <c:spPr>
            <a:solidFill>
              <a:srgbClr val="0070C0"/>
            </a:solidFill>
            <a:ln>
              <a:noFill/>
            </a:ln>
            <a:effectLst/>
          </c:spPr>
          <c:invertIfNegative val="0"/>
          <c:dPt>
            <c:idx val="0"/>
            <c:invertIfNegative val="0"/>
            <c:bubble3D val="0"/>
          </c:dPt>
          <c:dLbls>
            <c:delete val="1"/>
          </c:dLbls>
          <c:cat>
            <c:strRef>
              <c:f>Sheet1!$A$2</c:f>
              <c:strCache>
                <c:ptCount val="1"/>
                <c:pt idx="0">
                  <c:v>支出</c:v>
                </c:pt>
              </c:strCache>
            </c:strRef>
          </c:cat>
          <c:val>
            <c:numRef>
              <c:f>Sheet1!$B$2</c:f>
              <c:numCache>
                <c:formatCode>General</c:formatCode>
                <c:ptCount val="1"/>
                <c:pt idx="0">
                  <c:v>371.78</c:v>
                </c:pt>
              </c:numCache>
            </c:numRef>
          </c:val>
        </c:ser>
        <c:ser>
          <c:idx val="1"/>
          <c:order val="1"/>
          <c:tx>
            <c:strRef>
              <c:f>Sheet1!$C$1</c:f>
              <c:strCache>
                <c:ptCount val="1"/>
                <c:pt idx="0">
                  <c:v>2019</c:v>
                </c:pt>
              </c:strCache>
            </c:strRef>
          </c:tx>
          <c:spPr>
            <a:gradFill>
              <a:gsLst>
                <a:gs pos="0">
                  <a:srgbClr val="14CD68"/>
                </a:gs>
                <a:gs pos="100000">
                  <a:srgbClr val="035C7D"/>
                </a:gs>
              </a:gsLst>
              <a:lin scaled="0"/>
            </a:gradFill>
            <a:ln>
              <a:noFill/>
            </a:ln>
            <a:effectLst/>
          </c:spPr>
          <c:invertIfNegative val="0"/>
          <c:dPt>
            <c:idx val="0"/>
            <c:invertIfNegative val="0"/>
            <c:bubble3D val="0"/>
            <c:spPr>
              <a:gradFill>
                <a:gsLst>
                  <a:gs pos="0">
                    <a:srgbClr val="14CD68"/>
                  </a:gs>
                  <a:gs pos="100000">
                    <a:srgbClr val="035C7D"/>
                  </a:gs>
                </a:gsLst>
                <a:lin scaled="0"/>
              </a:gradFill>
              <a:ln>
                <a:solidFill>
                  <a:srgbClr val="00B0F0"/>
                </a:solidFill>
              </a:ln>
              <a:effectLst/>
            </c:spPr>
          </c:dPt>
          <c:dLbls>
            <c:delete val="1"/>
          </c:dLbls>
          <c:cat>
            <c:strRef>
              <c:f>Sheet1!$A$2</c:f>
              <c:strCache>
                <c:ptCount val="1"/>
                <c:pt idx="0">
                  <c:v>支出</c:v>
                </c:pt>
              </c:strCache>
            </c:strRef>
          </c:cat>
          <c:val>
            <c:numRef>
              <c:f>Sheet1!$C$2</c:f>
              <c:numCache>
                <c:formatCode>General</c:formatCode>
                <c:ptCount val="1"/>
                <c:pt idx="0">
                  <c:v>630.45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25764718"/>
        <c:axId val="526876552"/>
      </c:barChart>
      <c:catAx>
        <c:axId val="925764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526876552"/>
        <c:crosses val="autoZero"/>
        <c:auto val="1"/>
        <c:lblAlgn val="ctr"/>
        <c:lblOffset val="100"/>
        <c:noMultiLvlLbl val="0"/>
      </c:catAx>
      <c:valAx>
        <c:axId val="526876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764718"/>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delete val="1"/>
      </c:legendEntry>
      <c:layout>
        <c:manualLayout>
          <c:xMode val="edge"/>
          <c:yMode val="edge"/>
          <c:x val="0.717"/>
          <c:y val="0.85942785136755"/>
        </c:manualLayout>
      </c:layout>
      <c:overlay val="0"/>
      <c:spPr>
        <a:noFill/>
        <a:ln>
          <a:noFill/>
        </a:ln>
        <a:effectLst/>
      </c:spPr>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40" b="0" i="0" u="none" strike="noStrike" kern="1200" cap="none" spc="0" normalizeH="0" baseline="0">
                <a:solidFill>
                  <a:schemeClr val="tx1">
                    <a:lumMod val="65000"/>
                    <a:lumOff val="35000"/>
                  </a:schemeClr>
                </a:solidFill>
                <a:uFill>
                  <a:solidFill>
                    <a:schemeClr val="tx1"/>
                  </a:solidFill>
                </a:uFill>
                <a:latin typeface="+mn-lt"/>
                <a:ea typeface="+mn-ea"/>
                <a:cs typeface="+mn-cs"/>
              </a:defRPr>
            </a:pPr>
            <a:r>
              <a:rPr sz="1440" b="1" u="none" strike="noStrike" cap="none" normalizeH="0">
                <a:solidFill>
                  <a:schemeClr val="tx1">
                    <a:lumMod val="65000"/>
                    <a:lumOff val="35000"/>
                  </a:schemeClr>
                </a:solidFill>
                <a:uFill>
                  <a:solidFill>
                    <a:schemeClr val="tx1"/>
                  </a:solidFill>
                </a:uFill>
              </a:rPr>
              <a:t>图6：一般公共预算财政拨款支出决算结构</a:t>
            </a:r>
            <a:endParaRPr sz="1440" b="1" u="none" strike="noStrike" cap="none" normalizeH="0">
              <a:solidFill>
                <a:schemeClr val="tx1">
                  <a:lumMod val="65000"/>
                  <a:lumOff val="35000"/>
                </a:schemeClr>
              </a:solidFill>
              <a:uFill>
                <a:solidFill>
                  <a:schemeClr val="tx1"/>
                </a:solidFill>
              </a:uFill>
            </a:endParaRPr>
          </a:p>
        </c:rich>
      </c:tx>
      <c:layout>
        <c:manualLayout>
          <c:xMode val="edge"/>
          <c:yMode val="edge"/>
          <c:x val="0.010625"/>
          <c:y val="0.0132013201320132"/>
        </c:manualLayout>
      </c:layout>
      <c:overlay val="0"/>
      <c:spPr>
        <a:noFill/>
        <a:ln>
          <a:noFill/>
        </a:ln>
        <a:effectLst/>
      </c:spPr>
    </c:title>
    <c:autoTitleDeleted val="0"/>
    <c:plotArea>
      <c:layout>
        <c:manualLayout>
          <c:layoutTarget val="inner"/>
          <c:xMode val="edge"/>
          <c:yMode val="edge"/>
          <c:x val="0.392935712539721"/>
          <c:y val="0.108203530633437"/>
          <c:w val="0.401368858469812"/>
          <c:h val="0.682035306334372"/>
        </c:manualLayout>
      </c:layout>
      <c:doughnutChart>
        <c:varyColors val="1"/>
        <c:ser>
          <c:idx val="0"/>
          <c:order val="0"/>
          <c:tx>
            <c:strRef>
              <c:f>Sheet1!$B$1</c:f>
              <c:strCache>
                <c:ptCount val="1"/>
                <c:pt idx="0">
                  <c:v>图6：一般公共预算财政拨款支出决算结构</c:v>
                </c:pt>
              </c:strCache>
            </c:strRef>
          </c:tx>
          <c:spPr/>
          <c:explosion val="0"/>
          <c:dPt>
            <c:idx val="0"/>
            <c:bubble3D val="0"/>
            <c:spPr>
              <a:solidFill>
                <a:srgbClr val="00B050"/>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灾害防治及应急管理</c:v>
                </c:pt>
                <c:pt idx="1">
                  <c:v>社会保障和就业</c:v>
                </c:pt>
                <c:pt idx="2">
                  <c:v>卫生健康</c:v>
                </c:pt>
                <c:pt idx="3">
                  <c:v>住房保障</c:v>
                </c:pt>
                <c:pt idx="4">
                  <c:v>其他扶贫支出</c:v>
                </c:pt>
                <c:pt idx="5">
                  <c:v>其他支出</c:v>
                </c:pt>
              </c:strCache>
            </c:strRef>
          </c:cat>
          <c:val>
            <c:numRef>
              <c:f>Sheet1!$B$2:$B$7</c:f>
              <c:numCache>
                <c:formatCode>General</c:formatCode>
                <c:ptCount val="6"/>
                <c:pt idx="0">
                  <c:v>534.28</c:v>
                </c:pt>
                <c:pt idx="1">
                  <c:v>45.92</c:v>
                </c:pt>
                <c:pt idx="2">
                  <c:v>19.96</c:v>
                </c:pt>
                <c:pt idx="3">
                  <c:v>29.23</c:v>
                </c:pt>
                <c:pt idx="4">
                  <c:v>0.18</c:v>
                </c:pt>
                <c:pt idx="5">
                  <c:v>0.89</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egendEntry>
        <c:idx val="0"/>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egendEntry>
        <c:idx val="1"/>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egendEntry>
        <c:idx val="2"/>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egendEntry>
        <c:idx val="3"/>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egendEntry>
        <c:idx val="4"/>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egendEntry>
        <c:idx val="5"/>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Entry>
      <c:layout>
        <c:manualLayout>
          <c:xMode val="edge"/>
          <c:yMode val="edge"/>
          <c:x val="0.0466878513810804"/>
          <c:y val="0.800207684319834"/>
          <c:w val="0.863725250549988"/>
          <c:h val="0.193561786085151"/>
        </c:manualLayout>
      </c:layout>
      <c:overlay val="0"/>
      <c:spPr>
        <a:noFill/>
        <a:ln>
          <a:noFill/>
        </a:ln>
        <a:effectLst/>
      </c:spPr>
      <c:txPr>
        <a:bodyPr rot="0" spcFirstLastPara="0" vertOverflow="ellipsis" vert="horz" wrap="square" anchor="ctr" anchorCtr="1"/>
        <a:lstStyle/>
        <a:p>
          <a:pPr>
            <a:defRPr lang="zh-CN" sz="1200" b="1" i="0" u="none" strike="noStrike" kern="1200" cap="none" spc="0" normalizeH="0" baseline="0">
              <a:solidFill>
                <a:schemeClr val="tx1">
                  <a:lumMod val="65000"/>
                  <a:lumOff val="35000"/>
                </a:schemeClr>
              </a:solidFill>
              <a:uFill>
                <a:solidFill>
                  <a:schemeClr val="tx1"/>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200" u="none" strike="noStrike" kern="1200" cap="none" spc="0" normalizeH="0">
          <a:solidFill>
            <a:schemeClr val="tx1">
              <a:lumMod val="65000"/>
              <a:lumOff val="35000"/>
            </a:schemeClr>
          </a:solidFill>
          <a:uFill>
            <a:solidFill>
              <a:schemeClr val="tx1"/>
            </a:solidFill>
          </a:uFill>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图7：“三公”经费财政拨款支出结构</a:t>
            </a:r>
            <a:endParaRPr b="1"/>
          </a:p>
        </c:rich>
      </c:tx>
      <c:layout>
        <c:manualLayout>
          <c:xMode val="edge"/>
          <c:yMode val="edge"/>
          <c:x val="0.01725"/>
          <c:y val="0.00635324015247776"/>
        </c:manualLayout>
      </c:layout>
      <c:overlay val="0"/>
      <c:spPr>
        <a:noFill/>
        <a:ln>
          <a:noFill/>
        </a:ln>
        <a:effectLst/>
      </c:spPr>
    </c:title>
    <c:autoTitleDeleted val="0"/>
    <c:plotArea>
      <c:layout>
        <c:manualLayout>
          <c:layoutTarget val="inner"/>
          <c:xMode val="edge"/>
          <c:yMode val="edge"/>
          <c:x val="0.3116875"/>
          <c:y val="0.16131119258141"/>
          <c:w val="0.376625"/>
          <c:h val="0.649773560491697"/>
        </c:manualLayout>
      </c:layout>
      <c:pieChart>
        <c:varyColors val="1"/>
        <c:ser>
          <c:idx val="0"/>
          <c:order val="0"/>
          <c:tx>
            <c:strRef>
              <c:f>Sheet1!$B$1</c:f>
              <c:strCache>
                <c:ptCount val="1"/>
                <c:pt idx="0">
                  <c:v>图7：“三公”经费财政拨款支出结构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公务用车购置及运行维护费</c:v>
                </c:pt>
                <c:pt idx="1">
                  <c:v>公务接待费</c:v>
                </c:pt>
              </c:strCache>
            </c:strRef>
          </c:cat>
          <c:val>
            <c:numRef>
              <c:f>Sheet1!$B$2:$B$3</c:f>
              <c:numCache>
                <c:formatCode>General</c:formatCode>
                <c:ptCount val="2"/>
                <c:pt idx="0">
                  <c:v>7.92</c:v>
                </c:pt>
                <c:pt idx="1">
                  <c:v>0.65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22275"/>
          <c:y val="0.809339314845024"/>
          <c:w val="0.766625"/>
          <c:h val="0.164763458401305"/>
        </c:manualLayout>
      </c:layout>
      <c:overlay val="0"/>
      <c:spPr>
        <a:noFill/>
        <a:ln>
          <a:noFill/>
        </a:ln>
        <a:effectLst/>
      </c:spPr>
      <c:txPr>
        <a:bodyPr rot="0" spcFirstLastPara="0" vertOverflow="ellipsis" vert="horz" wrap="square" anchor="ctr" anchorCtr="1"/>
        <a:lstStyle/>
        <a:p>
          <a:pPr>
            <a:defRPr lang="zh-CN" sz="1400" b="1"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7</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袁永前</cp:lastModifiedBy>
  <cp:lastPrinted>2020-09-24T03:49:00Z</cp:lastPrinted>
  <dcterms:modified xsi:type="dcterms:W3CDTF">2020-09-28T08:40:37Z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