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8441"/>
      <w:bookmarkStart w:id="1" w:name="_Toc15396475"/>
      <w:bookmarkStart w:id="2" w:name="_Toc15377193"/>
      <w:bookmarkStart w:id="3" w:name="_Toc15377425"/>
      <w:bookmarkStart w:id="4" w:name="_Toc15396597"/>
      <w:bookmarkStart w:id="5" w:name="_Toc15306267"/>
    </w:p>
    <w:p>
      <w:pPr>
        <w:pStyle w:val="15"/>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bookmarkEnd w:id="3"/>
      <w:bookmarkEnd w:id="4"/>
    </w:p>
    <w:p>
      <w:pPr>
        <w:jc w:val="center"/>
        <w:rPr>
          <w:rFonts w:ascii="宋体" w:eastAsia="宋体"/>
          <w:b/>
          <w:sz w:val="72"/>
          <w:szCs w:val="72"/>
        </w:rPr>
      </w:pPr>
      <w:bookmarkStart w:id="6" w:name="_Toc15396476"/>
      <w:bookmarkStart w:id="7" w:name="_Toc15377426"/>
      <w:bookmarkStart w:id="8" w:name="_Toc15396598"/>
      <w:bookmarkStart w:id="9" w:name="_Toc15377194"/>
      <w:bookmarkStart w:id="10" w:name="_Toc15378442"/>
      <w:bookmarkStart w:id="11" w:name="_Toc15306268"/>
      <w:bookmarkEnd w:id="5"/>
      <w:r>
        <w:rPr>
          <w:rFonts w:ascii="宋体" w:eastAsia="宋体"/>
          <w:b/>
          <w:sz w:val="72"/>
          <w:szCs w:val="72"/>
        </w:rPr>
        <w:t>四川省阿坝州茂县应急管理局</w:t>
      </w:r>
      <w:r>
        <w:rPr>
          <w:rFonts w:ascii="宋体" w:eastAsia="宋体" w:hint="eastAsia"/>
          <w:b/>
          <w:sz w:val="72"/>
          <w:szCs w:val="72"/>
        </w:rPr>
        <w:t>部门决算</w:t>
      </w:r>
      <w:bookmarkEnd w:id="6"/>
      <w:bookmarkEnd w:id="7"/>
      <w:bookmarkEnd w:id="8"/>
      <w:bookmarkEnd w:id="9"/>
      <w:bookmarkEnd w:id="10"/>
      <w:bookmarkEnd w:id="11"/>
      <w:r>
        <w:rPr>
          <w:rFonts w:ascii="宋体" w:eastAsia="宋体" w:hint="eastAsia"/>
          <w:b/>
          <w:sz w:val="72"/>
          <w:szCs w:val="72"/>
        </w:rPr>
        <w:t>编制说明</w:t>
      </w:r>
    </w:p>
    <w:p>
      <w:pPr>
        <w:pStyle w:val="15"/>
      </w:pPr>
    </w:p>
    <w:p>
      <w:pPr>
        <w:pStyle w:val="15"/>
      </w:pPr>
    </w:p>
    <w:p>
      <w:pPr>
        <w:pStyle w:val="15"/>
        <w:ind w:firstLineChars="723" w:firstLine="3181"/>
        <w:rPr>
          <w:sz w:val="44"/>
          <w:szCs w:val="44"/>
        </w:rPr>
      </w:pPr>
      <w:r>
        <w:rPr>
          <w:rFonts w:hint="eastAsia"/>
          <w:sz w:val="44"/>
          <w:szCs w:val="44"/>
        </w:rPr>
        <w:t>（事业）</w:t>
      </w:r>
    </w:p>
    <w:p>
      <w:pPr>
        <w:pStyle w:val="15"/>
        <w:rPr>
          <w:sz w:val="32"/>
          <w:szCs w:val="32"/>
        </w:rPr>
      </w:pPr>
    </w:p>
    <w:p>
      <w:pPr>
        <w:pStyle w:val="15"/>
      </w:pPr>
    </w:p>
    <w:p>
      <w:pPr>
        <w:pStyle w:val="15"/>
      </w:pPr>
    </w:p>
    <w:p>
      <w:pPr>
        <w:pStyle w:val="15"/>
      </w:pPr>
    </w:p>
    <w:p>
      <w:pPr>
        <w:pStyle w:val="15"/>
      </w:pPr>
    </w:p>
    <w:p>
      <w:pPr>
        <w:pStyle w:val="15"/>
      </w:pPr>
    </w:p>
    <w:p>
      <w:pPr>
        <w:pStyle w:val="15"/>
        <w:tabs>
          <w:tab w:val="left" w:pos="3600"/>
        </w:tabs>
      </w:pPr>
      <w:r>
        <w:tab/>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黑体" w:eastAsia="黑体" w:hint="eastAsia"/>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2" w:name="_Toc15377196"/>
    </w:p>
    <w:p>
      <w:pPr>
        <w:pStyle w:val="15"/>
      </w:pPr>
    </w:p>
    <w:p>
      <w:pPr>
        <w:pStyle w:val="22"/>
        <w:tabs>
          <w:tab w:val="right" w:leader="dot" w:pos="8296"/>
        </w:tabs>
        <w:rPr>
          <w:rFonts w:ascii="仿宋_GB2312" w:eastAsia="仿宋_GB2312" w:cs="Arial" w:hint="eastAsia"/>
          <w:sz w:val="32"/>
          <w:szCs w:val="32"/>
        </w:rPr>
      </w:pPr>
      <w:r>
        <w:rPr>
          <w:rFonts w:hint="eastAsia"/>
          <w:sz w:val="24"/>
          <w:szCs w:val="24"/>
        </w:rPr>
        <w:t>公开时间：2022年9 月2</w:t>
      </w:r>
      <w:r>
        <w:rPr>
          <w:rFonts w:hint="eastAsia"/>
          <w:sz w:val="24"/>
          <w:szCs w:val="24"/>
          <w:lang w:val="en-US" w:eastAsia="zh-CN"/>
        </w:rPr>
        <w:t>7</w:t>
      </w:r>
      <w:r>
        <w:rPr>
          <w:rFonts w:hint="eastAsia"/>
          <w:sz w:val="24"/>
          <w:szCs w:val="24"/>
        </w:rPr>
        <w:t>日</w:t>
      </w: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p>
    <w:p>
      <w:pPr>
        <w:pStyle w:val="24"/>
        <w:tabs>
          <w:tab w:val="right" w:leader="dot" w:pos="8296"/>
        </w:tabs>
        <w:rPr>
          <w:rFonts w:ascii="仿宋_GB2312" w:eastAsia="仿宋_GB2312" w:cs="Arial" w:hint="eastAsia"/>
          <w:sz w:val="32"/>
          <w:szCs w:val="32"/>
        </w:rPr>
      </w:pPr>
      <w:r>
        <w:fldChar w:fldCharType="begin"/>
      </w:r>
      <w:r>
        <w:instrText xml:space="preserve"> HYPERLINK \l "_Toc113981010" </w:instrText>
      </w:r>
      <w:r>
        <w:fldChar w:fldCharType="separate"/>
      </w:r>
      <w:r>
        <w:rPr>
          <w:rFonts w:ascii="仿宋_GB2312" w:eastAsia="仿宋_GB2312" w:hint="eastAsia"/>
          <w:sz w:val="32"/>
          <w:szCs w:val="32"/>
        </w:rPr>
        <w:t>一、基本职能及主要工作</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_Toc113981010 \h </w:instrText>
      </w:r>
      <w:r>
        <w:rPr>
          <w:rFonts w:ascii="仿宋_GB2312" w:eastAsia="仿宋_GB2312" w:hint="eastAsia"/>
          <w:sz w:val="32"/>
          <w:szCs w:val="32"/>
        </w:rPr>
        <w:fldChar w:fldCharType="separate"/>
      </w:r>
      <w:r>
        <w:rPr>
          <w:rFonts w:ascii="仿宋_GB2312" w:eastAsia="仿宋_GB2312" w:hint="eastAsia"/>
          <w:sz w:val="32"/>
          <w:szCs w:val="32"/>
        </w:rPr>
        <w:t>3</w:t>
      </w:r>
      <w:r>
        <w:rPr>
          <w:rFonts w:ascii="仿宋_GB2312" w:eastAsia="仿宋_GB2312" w:hint="eastAsia"/>
          <w:sz w:val="32"/>
          <w:szCs w:val="32"/>
        </w:rPr>
        <w:fldChar w:fldCharType="end"/>
      </w:r>
      <w:r>
        <w:rPr>
          <w:rFonts w:ascii="仿宋_GB2312" w:eastAsia="仿宋_GB2312" w:hint="eastAsia"/>
          <w:sz w:val="32"/>
          <w:szCs w:val="32"/>
        </w:rP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"_Toc113981011" </w:instrText>
      </w:r>
      <w:r>
        <w:fldChar w:fldCharType="separate"/>
      </w:r>
      <w:r>
        <w:rPr>
          <w:rFonts w:ascii="仿宋_GB2312" w:eastAsia="仿宋_GB2312" w:hint="eastAsia"/>
          <w:sz w:val="32"/>
          <w:szCs w:val="32"/>
        </w:rPr>
        <w:t>二、机构设置</w:t>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_Toc113981011 \h </w:instrText>
      </w:r>
      <w:r>
        <w:rPr>
          <w:rFonts w:ascii="仿宋_GB2312" w:eastAsia="仿宋_GB2312" w:hint="eastAsia"/>
          <w:sz w:val="32"/>
          <w:szCs w:val="32"/>
        </w:rPr>
        <w:fldChar w:fldCharType="separate"/>
      </w:r>
      <w:r>
        <w:rPr>
          <w:rFonts w:ascii="仿宋_GB2312" w:eastAsia="仿宋_GB2312" w:hint="eastAsia"/>
          <w:sz w:val="32"/>
          <w:szCs w:val="32"/>
        </w:rPr>
        <w:t>4</w:t>
      </w:r>
      <w:r>
        <w:rPr>
          <w:rFonts w:ascii="仿宋_GB2312" w:eastAsia="仿宋_GB2312" w:hint="eastAsia"/>
          <w:sz w:val="32"/>
          <w:szCs w:val="32"/>
        </w:rPr>
        <w:fldChar w:fldCharType="end"/>
      </w:r>
      <w:r>
        <w:rPr>
          <w:rFonts w:ascii="仿宋_GB2312" w:eastAsia="仿宋_GB2312" w:hint="eastAsia"/>
          <w:sz w:val="32"/>
          <w:szCs w:val="32"/>
        </w:rPr>
        <w:fldChar w:fldCharType="end"/>
      </w:r>
    </w:p>
    <w:p>
      <w:pPr>
        <w:pStyle w:val="22"/>
        <w:tabs>
          <w:tab w:val="right" w:leader="dot" w:pos="8296"/>
        </w:tabs>
        <w:rPr>
          <w:rFonts w:ascii="Calibri" w:eastAsia="宋体" w:cs="Arial" w:hAnsi="Calibri"/>
          <w:sz w:val="21"/>
          <w:szCs w:val="22"/>
        </w:rPr>
      </w:pPr>
      <w:r>
        <w:fldChar w:fldCharType="begin"/>
      </w:r>
      <w:r>
        <w:instrText xml:space="preserve"> HYPERLINK \l "_Toc113981012" </w:instrText>
      </w:r>
      <w:r>
        <w:fldChar w:fldCharType="separate"/>
      </w:r>
      <w:r>
        <w:rPr>
          <w:rFonts w:ascii="黑体" w:eastAsia="黑体" w:cs="黑体" w:hint="eastAsia"/>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5</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"_Toc113981013" </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5</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"_Toc113981014" </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5</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"_Toc113981015" </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6</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"_Toc113981016" </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"_Toc113981017" </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8</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"_Toc113981018" </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11</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"_Toc113981019" </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11</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"_Toc113981020" </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12</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"_Toc113981021" </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"_Toc113981022" </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 xml:space="preserve"> HYPERLINK \l "_Toc113981023" </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22"/>
        <w:tabs>
          <w:tab w:val="right" w:leader="dot" w:pos="8296"/>
        </w:tabs>
        <w:rPr>
          <w:rFonts w:ascii="Calibri" w:cs="Arial" w:hAnsi="Calibri"/>
          <w:sz w:val="21"/>
          <w:szCs w:val="22"/>
        </w:rPr>
      </w:pPr>
      <w:r>
        <w:fldChar w:fldCharType="begin"/>
      </w:r>
      <w:r>
        <w:instrText xml:space="preserve"> HYPERLINK \l "_Toc113981024" </w:instrText>
      </w:r>
      <w:r>
        <w:fldChar w:fldCharType="separate"/>
      </w:r>
      <w:r>
        <w:rPr>
          <w:rFonts w:ascii="黑体" w:eastAsia="黑体" w:cs="黑体"/>
        </w:rPr>
        <w:t>第四部分 附件</w:t>
      </w:r>
      <w:r>
        <w:tab/>
      </w:r>
      <w:r>
        <w:rPr>
          <w:rFonts w:hint="eastAsia"/>
        </w:rPr>
        <w:t>1</w:t>
      </w:r>
      <w:r>
        <w:rPr>
          <w:rFonts w:hint="eastAsia"/>
        </w:rPr>
        <w:fldChar w:fldCharType="end"/>
      </w:r>
      <w:r>
        <w:rPr>
          <w:rFonts w:hint="eastAsia"/>
        </w:rPr>
        <w:t>7</w:t>
      </w:r>
    </w:p>
    <w:p>
      <w:pPr>
        <w:pStyle w:val="22"/>
        <w:tabs>
          <w:tab w:val="right" w:leader="dot" w:pos="8296"/>
        </w:tabs>
        <w:rPr>
          <w:rFonts w:ascii="Calibri" w:cs="Arial" w:hAnsi="Calibri"/>
          <w:sz w:val="21"/>
          <w:szCs w:val="22"/>
        </w:rPr>
      </w:pPr>
      <w:r>
        <w:fldChar w:fldCharType="begin"/>
      </w:r>
      <w:r>
        <w:instrText xml:space="preserve"> HYPERLINK \l "_Toc113981025" </w:instrText>
      </w:r>
      <w:r>
        <w:fldChar w:fldCharType="separate"/>
      </w:r>
      <w:r>
        <w:rPr>
          <w:rFonts w:ascii="黑体" w:eastAsia="黑体" w:cs="黑体"/>
        </w:rPr>
        <w:t>第五部分 附表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"_Toc113981026" </w:instrText>
      </w:r>
      <w:r>
        <w:fldChar w:fldCharType="separate"/>
      </w:r>
      <w:r>
        <w:rPr>
          <w:rFonts w:ascii="黑体" w:eastAsia="黑体"/>
        </w:rPr>
        <w:t>一、收入支出决算总表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"_Toc113981027" </w:instrText>
      </w:r>
      <w:r>
        <w:fldChar w:fldCharType="separate"/>
      </w:r>
      <w:r>
        <w:rPr>
          <w:rFonts w:ascii="黑体" w:eastAsia="黑体"/>
        </w:rPr>
        <w:t>二、收入决算表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"_Toc113981028" </w:instrText>
      </w:r>
      <w:r>
        <w:fldChar w:fldCharType="separate"/>
      </w:r>
      <w:r>
        <w:rPr>
          <w:rFonts w:ascii="黑体" w:eastAsia="黑体"/>
        </w:rPr>
        <w:t>三、支出决算表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"_Toc113981029" </w:instrText>
      </w:r>
      <w:r>
        <w:fldChar w:fldCharType="separate"/>
      </w:r>
      <w:r>
        <w:rPr>
          <w:rFonts w:ascii="黑体" w:eastAsia="黑体"/>
        </w:rPr>
        <w:t>四、财政拨款收入支出决算总表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"_Toc113981030" </w:instrText>
      </w:r>
      <w:r>
        <w:fldChar w:fldCharType="separate"/>
      </w:r>
      <w:r>
        <w:rPr>
          <w:rFonts w:ascii="黑体" w:eastAsia="黑体"/>
        </w:rPr>
        <w:t>五、财政拨款支出决算明细表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"_Toc113981031" </w:instrText>
      </w:r>
      <w:r>
        <w:fldChar w:fldCharType="separate"/>
      </w:r>
      <w:r>
        <w:rPr>
          <w:rFonts w:ascii="黑体" w:eastAsia="黑体"/>
        </w:rPr>
        <w:t>六、一般公共预算财政拨款支出决算表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"_Toc113981032" </w:instrText>
      </w:r>
      <w:r>
        <w:fldChar w:fldCharType="separate"/>
      </w:r>
      <w:r>
        <w:rPr>
          <w:rFonts w:ascii="黑体" w:eastAsia="黑体"/>
        </w:rPr>
        <w:t>七、一般公共预算财政拨款支出决算明细表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"_Toc113981033" </w:instrText>
      </w:r>
      <w:r>
        <w:fldChar w:fldCharType="separate"/>
      </w:r>
      <w:r>
        <w:rPr>
          <w:rFonts w:ascii="黑体" w:eastAsia="黑体"/>
        </w:rPr>
        <w:t>八、一般公共预算财政拨款基本支出决算表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"_Toc113981034" </w:instrText>
      </w:r>
      <w:r>
        <w:fldChar w:fldCharType="separate"/>
      </w:r>
      <w:r>
        <w:rPr>
          <w:rFonts w:ascii="黑体" w:eastAsia="黑体"/>
        </w:rPr>
        <w:t>九、一般公共预算财政拨款项目支出决算表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"_Toc113981035" </w:instrText>
      </w:r>
      <w:r>
        <w:fldChar w:fldCharType="separate"/>
      </w:r>
      <w:r>
        <w:rPr>
          <w:rFonts w:ascii="黑体" w:eastAsia="黑体"/>
        </w:rPr>
        <w:t>十、一般公共预算财政拨款“三公”经费支出决算表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"_Toc113981036" </w:instrText>
      </w:r>
      <w:r>
        <w:fldChar w:fldCharType="separate"/>
      </w:r>
      <w:r>
        <w:rPr>
          <w:rFonts w:ascii="黑体" w:eastAsia="黑体"/>
        </w:rPr>
        <w:t>十一、政府性基金预算财政拨款收入支出决算表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"_Toc113981037" </w:instrText>
      </w:r>
      <w:r>
        <w:fldChar w:fldCharType="separate"/>
      </w:r>
      <w:r>
        <w:rPr>
          <w:rFonts w:ascii="黑体" w:eastAsia="黑体"/>
        </w:rPr>
        <w:t>十二、政府性基金预算财政拨款“三公”经费支出决算表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"_Toc113981038" </w:instrText>
      </w:r>
      <w:r>
        <w:fldChar w:fldCharType="separate"/>
      </w:r>
      <w:r>
        <w:rPr>
          <w:rFonts w:ascii="黑体" w:eastAsia="黑体"/>
        </w:rPr>
        <w:t>十三、国有资本经营预算财政拨款收入支出决算表</w:t>
      </w:r>
      <w:r>
        <w:tab/>
      </w:r>
      <w:r>
        <w:rPr>
          <w:rFonts w:hint="eastAsia"/>
        </w:rPr>
        <w:t>2</w:t>
      </w:r>
      <w:r>
        <w:rPr>
          <w:rFonts w:hint="eastAsia"/>
        </w:rPr>
        <w:fldChar w:fldCharType="end"/>
      </w:r>
      <w:r>
        <w:rPr>
          <w:rFonts w:hint="eastAsia"/>
        </w:rPr>
        <w:t>0</w:t>
      </w:r>
    </w:p>
    <w:p>
      <w:pPr>
        <w:pStyle w:val="24"/>
        <w:tabs>
          <w:tab w:val="right" w:leader="dot" w:pos="8296"/>
        </w:tabs>
        <w:rPr>
          <w:rFonts w:ascii="Calibri" w:cs="Arial" w:hAnsi="Calibri"/>
          <w:szCs w:val="22"/>
        </w:rPr>
      </w:pPr>
      <w:r>
        <w:fldChar w:fldCharType="begin"/>
      </w:r>
      <w:r>
        <w:instrText xml:space="preserve"> HYPERLINK \l "_Toc113981039" </w:instrText>
      </w:r>
      <w:r>
        <w:fldChar w:fldCharType="separate"/>
      </w:r>
      <w:r>
        <w:rPr>
          <w:rFonts w:ascii="黑体" w:eastAsia="黑体"/>
        </w:rPr>
        <w:t>十四、国有资本经营预算财政拨款支出决算表</w:t>
      </w:r>
      <w:r>
        <w:tab/>
      </w:r>
      <w:r>
        <w:rPr>
          <w:rFonts w:hint="eastAsia"/>
        </w:rPr>
        <w:t>2</w:t>
      </w:r>
      <w:r>
        <w:rPr>
          <w:rFonts w:hint="eastAsia"/>
        </w:rPr>
        <w:fldChar w:fldCharType="end"/>
      </w:r>
      <w:r>
        <w:rPr>
          <w:rFonts w:hint="eastAsia"/>
        </w:rPr>
        <w:t>0</w:t>
      </w:r>
    </w:p>
    <w:p>
      <w:pPr>
        <w:pStyle w:val="15"/>
      </w:pPr>
      <w:r>
        <w:rPr>
          <w:caps w:val="0"/>
          <w:smallCaps/>
          <w:szCs w:val="20"/>
        </w:rPr>
        <w:fldChar w:fldCharType="end"/>
      </w:r>
    </w:p>
    <w:p>
      <w:pPr>
        <w:pStyle w:val="1"/>
        <w:jc w:val="center"/>
        <w:rPr>
          <w:rFonts w:ascii="黑体" w:eastAsia="黑体" w:cs="黑体"/>
          <w:b w:val="0"/>
          <w:bCs w:val="0"/>
        </w:rPr>
      </w:pPr>
      <w:bookmarkStart w:id="13" w:name="_Toc113981009"/>
      <w:bookmarkStart w:id="14" w:name="_Toc111208495"/>
      <w:r>
        <w:rPr>
          <w:rFonts w:ascii="黑体" w:eastAsia="黑体" w:cs="黑体" w:hint="eastAsia"/>
        </w:rPr>
        <w:t xml:space="preserve">第一部分 </w:t>
      </w:r>
      <w:r>
        <w:rPr>
          <w:rStyle w:val="1Char"/>
          <w:rFonts w:ascii="黑体" w:eastAsia="黑体" w:cs="黑体" w:hint="eastAsia"/>
          <w:b/>
          <w:bCs w:val="0"/>
        </w:rPr>
        <w:t>部门概况</w:t>
      </w:r>
      <w:bookmarkEnd w:id="12"/>
      <w:bookmarkEnd w:id="13"/>
      <w:bookmarkEnd w:id="14"/>
    </w:p>
    <w:p>
      <w:pPr>
        <w:pStyle w:val="2"/>
        <w:ind w:firstLineChars="200" w:firstLine="640"/>
        <w:rPr>
          <w:rFonts w:ascii="黑体" w:eastAsia="黑体" w:cs="Times New Roman"/>
          <w:bCs w:val="0"/>
          <w:color w:val="000000"/>
        </w:rPr>
      </w:pPr>
      <w:bookmarkStart w:id="15" w:name="_Toc111208496"/>
      <w:bookmarkStart w:id="16" w:name="_Toc15377197"/>
      <w:bookmarkStart w:id="17" w:name="_Toc113981010"/>
      <w:r>
        <w:rPr>
          <w:rFonts w:ascii="黑体" w:eastAsia="黑体" w:cs="Times New Roman" w:hint="eastAsia"/>
          <w:bCs w:val="0"/>
          <w:color w:val="000000"/>
        </w:rPr>
        <w:t>一、基本职能及主要工作</w:t>
      </w:r>
      <w:bookmarkStart w:id="18" w:name="_Toc15378445"/>
      <w:bookmarkStart w:id="19" w:name="_Toc15377198"/>
      <w:bookmarkEnd w:id="15"/>
      <w:bookmarkEnd w:id="16"/>
      <w:bookmarkEnd w:id="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（一）主要职能</w:t>
      </w:r>
      <w:bookmarkEnd w:id="18"/>
      <w:bookmarkEnd w:id="19"/>
    </w:p>
    <w:p>
      <w:pPr>
        <w:ind w:firstLineChars="200" w:firstLine="640"/>
        <w:rPr>
          <w:rFonts w:ascii="仿宋" w:eastAsia="仿宋"/>
          <w:color w:val="000000"/>
          <w:sz w:val="32"/>
          <w:szCs w:val="32"/>
        </w:rPr>
      </w:pPr>
      <w:bookmarkStart w:id="20" w:name="_GoBack"/>
      <w:bookmarkEnd w:id="20"/>
      <w:r>
        <w:rPr>
          <w:rFonts w:ascii="仿宋" w:eastAsia="仿宋" w:hint="eastAsia"/>
          <w:color w:val="000000"/>
          <w:sz w:val="32"/>
          <w:szCs w:val="32"/>
        </w:rPr>
        <w:t>1.</w:t>
      </w:r>
      <w:r>
        <w:rPr>
          <w:rFonts w:ascii="仿宋" w:eastAsia="仿宋"/>
          <w:color w:val="000000"/>
          <w:sz w:val="32"/>
          <w:szCs w:val="32"/>
        </w:rPr>
        <w:t>负责全县减灾协调工作，负责自然灾害综合风险与减灾能力调查评估工作。</w:t>
      </w:r>
    </w:p>
    <w:p>
      <w:pPr>
        <w:ind w:firstLineChars="200" w:firstLine="640"/>
        <w:rPr>
          <w:rFonts w:ascii="仿宋" w:eastAsia="仿宋"/>
          <w:color w:val="000000"/>
          <w:sz w:val="32"/>
          <w:szCs w:val="32"/>
        </w:rPr>
      </w:pPr>
      <w:r>
        <w:rPr>
          <w:rFonts w:ascii="仿宋" w:eastAsia="仿宋"/>
          <w:color w:val="000000"/>
          <w:sz w:val="32"/>
          <w:szCs w:val="32"/>
        </w:rPr>
        <w:t>2.统筹应急预案体系建设，负责各类应急预案衔接协调，负责预案演练的组织实施和指导工作。</w:t>
      </w:r>
    </w:p>
    <w:p>
      <w:pPr>
        <w:ind w:firstLineChars="200" w:firstLine="640"/>
        <w:rPr>
          <w:rFonts w:ascii="仿宋" w:eastAsia="仿宋"/>
          <w:color w:val="000000"/>
          <w:sz w:val="32"/>
          <w:szCs w:val="32"/>
        </w:rPr>
      </w:pPr>
      <w:r>
        <w:rPr>
          <w:rFonts w:ascii="仿宋" w:eastAsia="仿宋"/>
          <w:color w:val="000000"/>
          <w:sz w:val="32"/>
          <w:szCs w:val="32"/>
        </w:rPr>
        <w:t>3.负责协调有关部门开展森林和草原火灾、水旱、地震、地质灾害防治，重要江河湖泊和重要水工程实施防御洪水、抗御旱灾调度以及应急水量调度工作。</w:t>
      </w:r>
    </w:p>
    <w:p>
      <w:pPr>
        <w:ind w:firstLineChars="200" w:firstLine="640"/>
      </w:pPr>
      <w:r>
        <w:rPr>
          <w:rFonts w:ascii="仿宋" w:eastAsia="仿宋"/>
          <w:color w:val="000000"/>
          <w:sz w:val="32"/>
          <w:szCs w:val="32"/>
        </w:rPr>
        <w:t>4.负责协调应急管理、安全生产重大科学技术推广工作。</w:t>
      </w:r>
    </w:p>
    <w:p>
      <w:pPr>
        <w:spacing w:line="600" w:lineRule="exact"/>
        <w:ind w:firstLineChars="200" w:firstLine="640"/>
        <w:outlineLvl w:val="2"/>
        <w:rPr>
          <w:rFonts w:ascii="仿宋" w:eastAsia="仿宋"/>
          <w:color w:val="000000"/>
          <w:sz w:val="32"/>
          <w:szCs w:val="32"/>
        </w:rPr>
      </w:pPr>
      <w:bookmarkStart w:id="21" w:name="_Toc15378446"/>
      <w:bookmarkStart w:id="22" w:name="_Toc15377199"/>
      <w:r>
        <w:rPr>
          <w:rFonts w:ascii="仿宋" w:eastAsia="仿宋" w:hint="eastAsia"/>
          <w:b/>
          <w:color w:val="000000"/>
          <w:sz w:val="32"/>
          <w:szCs w:val="32"/>
        </w:rPr>
        <w:t>（二）</w:t>
      </w:r>
      <w:r>
        <w:rPr>
          <w:rFonts w:ascii="仿宋" w:eastAsia="仿宋"/>
          <w:b/>
          <w:color w:val="000000"/>
          <w:sz w:val="32"/>
          <w:szCs w:val="32"/>
        </w:rPr>
        <w:t>2021</w:t>
      </w:r>
      <w:r>
        <w:rPr>
          <w:rFonts w:ascii="仿宋" w:eastAsia="仿宋" w:hint="eastAsia"/>
          <w:b/>
          <w:color w:val="000000"/>
          <w:sz w:val="32"/>
          <w:szCs w:val="32"/>
        </w:rPr>
        <w:t>重点工作完成情况</w:t>
      </w:r>
      <w:bookmarkStart w:id="23" w:name="_Toc15377200"/>
      <w:bookmarkEnd w:id="21"/>
      <w:bookmarkEnd w:id="22"/>
    </w:p>
    <w:p>
      <w:pPr>
        <w:rPr>
          <w:rFonts w:ascii="仿宋" w:eastAsia="仿宋"/>
          <w:color w:val="000000"/>
          <w:sz w:val="32"/>
          <w:szCs w:val="32"/>
        </w:rPr>
      </w:pPr>
      <w:r>
        <w:rPr>
          <w:rFonts w:ascii="仿宋" w:eastAsia="仿宋"/>
          <w:color w:val="000000"/>
          <w:sz w:val="32"/>
          <w:szCs w:val="32"/>
        </w:rPr>
        <w:tab/>
        <w:t>完善了安全生产和应急管理信息化建设，提升了全县安全生产监管和应急救援能力。加强、优化、统筹应急能力建设，构建统一领导、权责一致、权威高效的应急能力体系；加强应急预案演练，坚持以防为主、防抗救结合，从减少灾害损失向减轻灾害风险转变，提高全县应急管理水平和防灾减灾救灾能力。</w:t>
      </w:r>
    </w:p>
    <w:p>
      <w:pPr>
        <w:pStyle w:val="2"/>
        <w:ind w:firstLineChars="200" w:firstLine="640"/>
        <w:rPr>
          <w:rFonts w:ascii="仿宋" w:eastAsia="仿宋"/>
          <w:color w:val="000000"/>
        </w:rPr>
      </w:pPr>
      <w:bookmarkStart w:id="24" w:name="_Toc111208497"/>
      <w:bookmarkStart w:id="25" w:name="_Toc113981011"/>
      <w:r>
        <w:rPr>
          <w:rFonts w:ascii="黑体" w:eastAsia="黑体" w:cs="Times New Roman" w:hint="eastAsia"/>
          <w:bCs w:val="0"/>
          <w:color w:val="000000"/>
        </w:rPr>
        <w:t>二、机构设置</w:t>
      </w:r>
      <w:bookmarkEnd w:id="23"/>
      <w:bookmarkEnd w:id="24"/>
      <w:bookmarkEnd w:id="25"/>
    </w:p>
    <w:p>
      <w:pPr>
        <w:rPr>
          <w:rFonts w:ascii="仿宋" w:eastAsia="仿宋"/>
          <w:color w:val="000000"/>
          <w:sz w:val="32"/>
          <w:szCs w:val="32"/>
        </w:rPr>
      </w:pPr>
      <w:r>
        <w:rPr>
          <w:rFonts w:ascii="仿宋" w:eastAsia="仿宋"/>
          <w:color w:val="000000"/>
          <w:sz w:val="32"/>
          <w:szCs w:val="32"/>
        </w:rPr>
        <w:tab/>
        <w:t>2021茂县应急管服务中心编制9名。在职人员9人，其中：事业人员8人，事业工勤人员1人。为财政全额拨款单位。</w:t>
      </w:r>
    </w:p>
    <w:p>
      <w:pPr>
        <w:widowControl/>
        <w:jc w:val="left"/>
        <w:rPr>
          <w:rFonts w:ascii="仿宋_GB2312" w:eastAsia="仿宋_GB2312"/>
          <w:b/>
          <w:bCs/>
          <w:color w:val="000000"/>
          <w:kern w:val="44"/>
          <w:sz w:val="44"/>
          <w:szCs w:val="44"/>
        </w:rPr>
      </w:pPr>
      <w:bookmarkStart w:id="26" w:name="_Toc15377204"/>
      <w:r>
        <w:rPr>
          <w:rFonts w:ascii="仿宋_GB2312" w:eastAsia="仿宋_GB2312"/>
          <w:color w:val="000000"/>
        </w:rPr>
        <w:br w:type="page"/>
      </w:r>
    </w:p>
    <w:p>
      <w:pPr>
        <w:pStyle w:val="1"/>
        <w:jc w:val="center"/>
        <w:rPr>
          <w:rFonts w:ascii="黑体" w:eastAsia="黑体" w:cs="黑体"/>
        </w:rPr>
      </w:pPr>
      <w:bookmarkStart w:id="27" w:name="_Toc113981012"/>
      <w:bookmarkStart w:id="28" w:name="_Toc111208498"/>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bookmarkEnd w:id="26"/>
      <w:bookmarkEnd w:id="27"/>
      <w:bookmarkEnd w:id="28"/>
    </w:p>
    <w:p>
      <w:pPr>
        <w:pStyle w:val="2"/>
        <w:ind w:firstLineChars="200" w:firstLine="640"/>
        <w:rPr>
          <w:rFonts w:ascii="黑体" w:eastAsia="黑体" w:cs="Times New Roman"/>
          <w:bCs w:val="0"/>
          <w:color w:val="000000"/>
        </w:rPr>
      </w:pPr>
      <w:bookmarkStart w:id="29" w:name="_Toc15377205"/>
      <w:bookmarkStart w:id="30" w:name="_Toc113981013"/>
      <w:bookmarkStart w:id="31" w:name="_Toc111208499"/>
      <w:r>
        <w:rPr>
          <w:rFonts w:ascii="黑体" w:eastAsia="黑体" w:cs="Times New Roman" w:hint="eastAsia"/>
          <w:bCs w:val="0"/>
          <w:color w:val="000000"/>
        </w:rPr>
        <w:t>一、收入支出决算总体情况说</w:t>
      </w:r>
      <w:bookmarkEnd w:id="29"/>
      <w:r>
        <w:rPr>
          <w:rFonts w:ascii="黑体" w:eastAsia="黑体" w:cs="Times New Roman" w:hint="eastAsia"/>
          <w:bCs w:val="0"/>
          <w:color w:val="000000"/>
        </w:rPr>
        <w:t>明</w:t>
      </w:r>
      <w:bookmarkEnd w:id="30"/>
      <w:bookmarkEnd w:id="31"/>
    </w:p>
    <w:p>
      <w:pPr>
        <w:spacing w:line="600" w:lineRule="exact"/>
        <w:ind w:firstLineChars="200" w:firstLine="640"/>
        <w:rPr>
          <w:rFonts w:ascii="仿宋_GB2312" w:eastAsia="仿宋" w:hAnsi="仿宋_GB2312"/>
          <w:color w:val="00B0F0"/>
          <w:sz w:val="32"/>
          <w:szCs w:val="32"/>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114.99</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Pr>
          <w:rFonts w:ascii="仿宋" w:eastAsia="仿宋"/>
          <w:color w:val="000000"/>
          <w:sz w:val="32"/>
          <w:szCs w:val="32"/>
        </w:rPr>
        <w:t>增加74.47</w:t>
      </w:r>
      <w:r>
        <w:rPr>
          <w:rFonts w:ascii="仿宋" w:eastAsia="仿宋" w:hint="eastAsia"/>
          <w:color w:val="000000"/>
          <w:sz w:val="32"/>
          <w:szCs w:val="32"/>
        </w:rPr>
        <w:t>万元，</w:t>
      </w:r>
      <w:r>
        <w:rPr>
          <w:rFonts w:ascii="仿宋" w:eastAsia="仿宋"/>
          <w:color w:val="000000"/>
          <w:sz w:val="32"/>
          <w:szCs w:val="32"/>
        </w:rPr>
        <w:t>增加183.82</w:t>
      </w:r>
      <w:r>
        <w:rPr>
          <w:rFonts w:ascii="仿宋" w:eastAsia="仿宋" w:hint="eastAsia"/>
          <w:color w:val="000000"/>
          <w:sz w:val="32"/>
          <w:szCs w:val="32"/>
        </w:rPr>
        <w:t xml:space="preserve"> %。主要变动原因是本年度调入3人。</w:t>
      </w:r>
    </w:p>
    <w:p>
      <w:pPr>
        <w:spacing w:line="600" w:lineRule="exact"/>
        <w:ind w:firstLineChars="200" w:firstLine="640"/>
        <w:rPr>
          <w:rFonts w:ascii="仿宋_GB2312" w:eastAsia="仿宋_GB2312"/>
          <w:color w:val="000000"/>
          <w:sz w:val="28"/>
          <w:szCs w:val="28"/>
        </w:rPr>
      </w:pPr>
      <w:r>
        <w:rPr>
          <w:rFonts w:ascii="仿宋" w:eastAsia="仿宋" w:hint="eastAsia"/>
          <w:color w:val="000000"/>
          <w:sz w:val="32"/>
          <w:szCs w:val="32"/>
        </w:rPr>
        <w:t>（图1：收、支决算总计变动情况图）</w:t>
      </w:r>
    </w:p>
    <w:p>
      <w:pPr>
        <w:spacing w:line="600" w:lineRule="exact"/>
        <w:ind w:firstLineChars="200" w:firstLine="560"/>
        <w:jc w:val="center"/>
        <w:rPr>
          <w:rFonts w:ascii="仿宋_GB2312" w:eastAsia="仿宋_GB2312"/>
          <w:color w:val="000000"/>
          <w:sz w:val="28"/>
          <w:szCs w:val="28"/>
        </w:rPr>
      </w:pP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2" w:name="_Toc113981014"/>
      <w:bookmarkStart w:id="33" w:name="_Toc15377206"/>
      <w:bookmarkStart w:id="34" w:name="_Toc111208500"/>
      <w:r>
        <w:rPr>
          <w:rFonts w:ascii="黑体" w:eastAsia="黑体" w:cs="Times New Roman" w:hint="eastAsia"/>
          <w:bCs w:val="0"/>
          <w:color w:val="000000"/>
        </w:rPr>
        <w:t>二、收入决算情况说明</w:t>
      </w:r>
      <w:bookmarkEnd w:id="32"/>
      <w:bookmarkEnd w:id="33"/>
      <w:bookmarkEnd w:id="34"/>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本年收入合计114.99万元，其中：一般公共预算财政拨款收入114.99万元，占100%；政府性基金预算财政拨款收入0万元；国有资本经营预算财政拨款收入0万元；上级补助收入0万元；事业收入0万元；经营收入0万元，占0；附属单位上缴收入0万元；其他收入0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5" w:name="_Toc15377207"/>
      <w:bookmarkStart w:id="36" w:name="_Toc111208501"/>
      <w:bookmarkStart w:id="37" w:name="_Toc113981015"/>
      <w:r>
        <w:rPr>
          <w:rFonts w:ascii="黑体" w:eastAsia="黑体" w:cs="Times New Roman" w:hint="eastAsia"/>
          <w:bCs w:val="0"/>
          <w:color w:val="000000"/>
        </w:rPr>
        <w:t>三、支出决算情况说明</w:t>
      </w:r>
      <w:bookmarkEnd w:id="35"/>
      <w:bookmarkEnd w:id="36"/>
      <w:bookmarkEnd w:id="37"/>
    </w:p>
    <w:p>
      <w:pPr>
        <w:pStyle w:val="15"/>
        <w:rPr>
          <w:rFonts w:ascii="仿宋" w:eastAsia="仿宋"/>
          <w:color w:val="000000"/>
          <w:sz w:val="32"/>
          <w:szCs w:val="32"/>
        </w:rPr>
      </w:pPr>
      <w:r>
        <w:rPr>
          <w:rFonts w:ascii="仿宋" w:eastAsia="仿宋" w:hint="eastAsia"/>
          <w:color w:val="000000"/>
          <w:sz w:val="32"/>
          <w:szCs w:val="32"/>
        </w:rPr>
        <w:t>2021</w:t>
      </w:r>
      <w:r>
        <w:rPr>
          <w:rFonts w:ascii="仿宋" w:eastAsia="仿宋"/>
          <w:color w:val="000000"/>
          <w:sz w:val="32"/>
          <w:szCs w:val="32"/>
        </w:rPr>
        <w:t>年本年支出合计</w:t>
      </w:r>
      <w:r>
        <w:rPr>
          <w:rFonts w:ascii="仿宋" w:eastAsia="仿宋" w:hint="eastAsia"/>
          <w:color w:val="000000"/>
          <w:sz w:val="32"/>
          <w:szCs w:val="32"/>
        </w:rPr>
        <w:t>114.99</w:t>
      </w:r>
      <w:r>
        <w:rPr>
          <w:rFonts w:ascii="仿宋" w:eastAsia="仿宋"/>
          <w:color w:val="000000"/>
          <w:sz w:val="32"/>
          <w:szCs w:val="32"/>
        </w:rPr>
        <w:t>万元，其中：基本支出</w:t>
      </w:r>
      <w:r>
        <w:rPr>
          <w:rFonts w:ascii="仿宋" w:eastAsia="仿宋" w:hint="eastAsia"/>
          <w:color w:val="000000"/>
          <w:sz w:val="32"/>
          <w:szCs w:val="32"/>
        </w:rPr>
        <w:t>114.99</w:t>
      </w:r>
      <w:r>
        <w:rPr>
          <w:rFonts w:ascii="仿宋" w:eastAsia="仿宋"/>
          <w:color w:val="000000"/>
          <w:sz w:val="32"/>
          <w:szCs w:val="32"/>
        </w:rPr>
        <w:t>万元，占</w:t>
      </w:r>
      <w:r>
        <w:rPr>
          <w:rFonts w:ascii="仿宋" w:eastAsia="仿宋" w:hint="eastAsia"/>
          <w:color w:val="000000"/>
          <w:sz w:val="32"/>
          <w:szCs w:val="32"/>
        </w:rPr>
        <w:t>100</w:t>
      </w:r>
      <w:r>
        <w:rPr>
          <w:rFonts w:ascii="仿宋" w:eastAsia="仿宋"/>
          <w:color w:val="000000"/>
          <w:sz w:val="32"/>
          <w:szCs w:val="32"/>
        </w:rPr>
        <w:t>%；项目支出</w:t>
      </w:r>
      <w:r>
        <w:rPr>
          <w:rFonts w:ascii="仿宋" w:eastAsia="仿宋" w:hint="eastAsia"/>
          <w:color w:val="000000"/>
          <w:sz w:val="32"/>
          <w:szCs w:val="32"/>
        </w:rPr>
        <w:t>0</w:t>
      </w:r>
      <w:r>
        <w:rPr>
          <w:rFonts w:ascii="仿宋" w:eastAsia="仿宋"/>
          <w:color w:val="000000"/>
          <w:sz w:val="32"/>
          <w:szCs w:val="32"/>
        </w:rPr>
        <w:t>万元；上缴上级支出</w:t>
      </w:r>
      <w:r>
        <w:rPr>
          <w:rFonts w:ascii="仿宋" w:eastAsia="仿宋" w:hint="eastAsia"/>
          <w:color w:val="000000"/>
          <w:sz w:val="32"/>
          <w:szCs w:val="32"/>
        </w:rPr>
        <w:t>0</w:t>
      </w:r>
      <w:r>
        <w:rPr>
          <w:rFonts w:ascii="仿宋" w:eastAsia="仿宋"/>
          <w:color w:val="000000"/>
          <w:sz w:val="32"/>
          <w:szCs w:val="32"/>
        </w:rPr>
        <w:t>万元；经营支出</w:t>
      </w:r>
      <w:r>
        <w:rPr>
          <w:rFonts w:ascii="仿宋" w:eastAsia="仿宋" w:hint="eastAsia"/>
          <w:color w:val="000000"/>
          <w:sz w:val="32"/>
          <w:szCs w:val="32"/>
        </w:rPr>
        <w:t>0</w:t>
      </w:r>
      <w:r>
        <w:rPr>
          <w:rFonts w:ascii="仿宋" w:eastAsia="仿宋"/>
          <w:color w:val="000000"/>
          <w:sz w:val="32"/>
          <w:szCs w:val="32"/>
        </w:rPr>
        <w:t>万元；对附属单位补助支出</w:t>
      </w:r>
      <w:r>
        <w:rPr>
          <w:rFonts w:ascii="仿宋" w:eastAsia="仿宋" w:hint="eastAsia"/>
          <w:color w:val="000000"/>
          <w:sz w:val="32"/>
          <w:szCs w:val="32"/>
        </w:rPr>
        <w:t>0</w:t>
      </w:r>
      <w:r>
        <w:rPr>
          <w:rFonts w:ascii="仿宋" w:eastAsia="仿宋"/>
          <w:color w:val="000000"/>
          <w:sz w:val="32"/>
          <w:szCs w:val="32"/>
        </w:rPr>
        <w:t>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ind w:firstLineChars="200" w:firstLine="640"/>
        <w:rPr>
          <w:rFonts w:ascii="黑体" w:eastAsia="黑体" w:cs="Times New Roman"/>
          <w:bCs w:val="0"/>
          <w:color w:val="000000"/>
        </w:rPr>
      </w:pPr>
      <w:bookmarkStart w:id="38" w:name="_Toc111208502"/>
      <w:bookmarkStart w:id="39" w:name="_Toc113981016"/>
      <w:bookmarkStart w:id="40" w:name="_Toc15377208"/>
      <w:r>
        <w:rPr>
          <w:rFonts w:ascii="黑体" w:eastAsia="黑体" w:cs="Times New Roman" w:hint="eastAsia"/>
          <w:bCs w:val="0"/>
          <w:color w:val="000000"/>
        </w:rPr>
        <w:t>四、财政拨款收入支出决算总体情况说明</w:t>
      </w:r>
      <w:bookmarkEnd w:id="38"/>
      <w:bookmarkEnd w:id="39"/>
      <w:bookmarkEnd w:id="40"/>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2021年财政拨款收、支总计114.99万元。与2020年相比，财政拨款收、支总计各增加74.47万元，增加183.82 %。主要变动原因是本年度调入3人。</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5"/>
        <w:ind w:firstLine="0"/>
      </w:pPr>
    </w:p>
    <w:p>
      <w:pPr>
        <w:pStyle w:val="15"/>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5"/>
        <w:jc w:val="center"/>
      </w:pPr>
    </w:p>
    <w:p>
      <w:pPr>
        <w:pStyle w:val="2"/>
        <w:ind w:firstLineChars="200" w:firstLine="640"/>
        <w:rPr>
          <w:rFonts w:ascii="黑体" w:eastAsia="黑体" w:cs="Times New Roman"/>
          <w:bCs w:val="0"/>
          <w:color w:val="000000"/>
        </w:rPr>
      </w:pPr>
      <w:bookmarkStart w:id="41" w:name="_Toc15377209"/>
      <w:bookmarkStart w:id="42" w:name="_Toc113981017"/>
      <w:bookmarkStart w:id="43" w:name="_Toc111208503"/>
      <w:r>
        <w:rPr>
          <w:rFonts w:ascii="黑体" w:eastAsia="黑体" w:cs="Times New Roman" w:hint="eastAsia"/>
          <w:bCs w:val="0"/>
          <w:color w:val="000000"/>
        </w:rPr>
        <w:t>五、一般公共预算财政拨款支出决算情况说</w:t>
      </w:r>
      <w:bookmarkEnd w:id="41"/>
      <w:r>
        <w:rPr>
          <w:rFonts w:ascii="黑体" w:eastAsia="黑体" w:cs="Times New Roman" w:hint="eastAsia"/>
          <w:bCs w:val="0"/>
          <w:color w:val="000000"/>
        </w:rPr>
        <w:t>明</w:t>
      </w:r>
      <w:bookmarkEnd w:id="42"/>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pacing w:line="600" w:lineRule="exact"/>
        <w:ind w:firstLineChars="200" w:firstLine="640"/>
        <w:rPr>
          <w:rFonts w:ascii="仿宋_GB2312" w:eastAsia="仿宋" w:hAnsi="仿宋_GB2312"/>
          <w:color w:val="000000"/>
          <w:sz w:val="32"/>
          <w:szCs w:val="32"/>
        </w:rPr>
      </w:pPr>
      <w:bookmarkStart w:id="45" w:name="_Toc15377211"/>
      <w:r>
        <w:rPr>
          <w:rFonts w:ascii="仿宋" w:eastAsia="仿宋" w:hint="eastAsia"/>
          <w:color w:val="000000"/>
          <w:sz w:val="32"/>
          <w:szCs w:val="32"/>
        </w:rPr>
        <w:t>2021年一般公共预算财政拨款支出114.99万元，占本年支出合计的100%。与2020相比，一般公共预算财政拨款增加74.47万元，增加183.82 %。主要变动原因是本年度调入3人。</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5"/>
        <w:ind w:firstLine="0"/>
        <w:rPr>
          <w:rFonts w:ascii="仿宋_GB2312" w:eastAsia="仿宋_GB2312"/>
          <w:b/>
          <w:color w:val="000000"/>
          <w:sz w:val="32"/>
          <w:szCs w:val="32"/>
        </w:rPr>
      </w:pP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4"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5"/>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5"/>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2021年一般公共预算财政拨款支出114.99万元，主要用于以下方面:社会保障和就业支出4.37万元，占3.8%；卫生健康支出1.88万元，占1.63%；住房保障支出6.31万元，占5.49%；灾害防治及应急管理支出102.43万元，占89.08%。</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6"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6"/>
    </w:p>
    <w:p>
      <w:pPr>
        <w:spacing w:line="600" w:lineRule="exact"/>
        <w:ind w:firstLine="640"/>
        <w:rPr>
          <w:rFonts w:ascii="仿宋" w:eastAsia="仿宋"/>
          <w:color w:val="000000"/>
          <w:sz w:val="32"/>
          <w:szCs w:val="32"/>
        </w:rPr>
      </w:pPr>
      <w:bookmarkStart w:id="47" w:name="_Toc15378460"/>
      <w:bookmarkStart w:id="48" w:name="_Toc15377213"/>
      <w:bookmarkStart w:id="49" w:name="_Toc15377444"/>
      <w:r>
        <w:rPr>
          <w:rFonts w:ascii="仿宋" w:eastAsia="仿宋" w:hint="eastAsia"/>
          <w:color w:val="000000"/>
          <w:sz w:val="32"/>
          <w:szCs w:val="32"/>
        </w:rPr>
        <w:t>2021年一般公共预算支出决算数为114.99万</w:t>
      </w:r>
      <w:r>
        <w:rPr>
          <w:rFonts w:ascii="仿宋" w:eastAsia="仿宋" w:hint="eastAsia"/>
          <w:color w:val="000000"/>
          <w:sz w:val="32"/>
          <w:szCs w:val="32"/>
          <w:lang w:val="en-US" w:eastAsia="zh-CN"/>
        </w:rPr>
        <w:t>元</w:t>
      </w:r>
      <w:r>
        <w:rPr>
          <w:rFonts w:ascii="仿宋" w:eastAsia="仿宋" w:hint="eastAsia"/>
          <w:color w:val="000000"/>
          <w:sz w:val="32"/>
          <w:szCs w:val="32"/>
        </w:rPr>
        <w:t>，完成预算100%。其中：</w:t>
      </w:r>
      <w:bookmarkEnd w:id="47"/>
      <w:bookmarkEnd w:id="48"/>
      <w:bookmarkEnd w:id="49"/>
    </w:p>
    <w:p>
      <w:pPr>
        <w:spacing w:line="600" w:lineRule="exact"/>
        <w:ind w:firstLine="640"/>
        <w:rPr>
          <w:rFonts w:ascii="仿宋" w:eastAsia="仿宋"/>
          <w:color w:val="000000"/>
          <w:sz w:val="32"/>
          <w:szCs w:val="32"/>
        </w:rPr>
      </w:pPr>
      <w:r>
        <w:rPr>
          <w:rFonts w:ascii="仿宋" w:eastAsia="仿宋" w:hint="eastAsia"/>
          <w:color w:val="000000"/>
          <w:sz w:val="32"/>
          <w:szCs w:val="32"/>
        </w:rPr>
        <w:t>1.社会保障和就业支出（208）行政事业单位养老支出（20805）机关事业单位基本养老保险缴费支出（2080505）支出决算2.88万元，完成预算100%。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2.社会保障和就业支出（208）行政事业单位养老支出（20805）机关事业单位职业年金缴费支出（2080506）支出决算1.49万元，完成预算100%。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3.卫生健康支出（210）行政事业单位医疗（21011）事业单位医疗（2101102）支出决算1.88万元，完成预算100%。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4.住房保障支出（221）住房改革支出（22102）住房公积金（2210201）支出决算6.31万元，完成预算100%。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5.灾害防治及应急管理支出（224）应急管理事务（22401）事业运行（2240150）支出决算102.43万元，完成预算100%。</w:t>
      </w:r>
    </w:p>
    <w:p>
      <w:pPr>
        <w:pStyle w:val="2"/>
        <w:ind w:firstLineChars="200" w:firstLine="640"/>
        <w:rPr>
          <w:rFonts w:ascii="黑体" w:eastAsia="黑体" w:cs="Times New Roman"/>
          <w:b w:val="0"/>
          <w:color w:val="000000"/>
        </w:rPr>
      </w:pPr>
      <w:bookmarkStart w:id="50" w:name="_Toc15377214"/>
      <w:bookmarkStart w:id="51" w:name="_Toc113981018"/>
      <w:bookmarkStart w:id="52" w:name="_Toc111208504"/>
      <w:r>
        <w:rPr>
          <w:rFonts w:ascii="黑体" w:eastAsia="黑体" w:cs="Times New Roman" w:hint="eastAsia"/>
          <w:bCs w:val="0"/>
          <w:color w:val="000000"/>
        </w:rPr>
        <w:t>六、一般公共预算财政拨款基本支出决算情况说</w:t>
      </w:r>
      <w:bookmarkEnd w:id="50"/>
      <w:r>
        <w:rPr>
          <w:rFonts w:ascii="黑体" w:eastAsia="黑体" w:cs="Times New Roman" w:hint="eastAsia"/>
          <w:bCs w:val="0"/>
          <w:color w:val="000000"/>
        </w:rPr>
        <w:t>明</w:t>
      </w:r>
      <w:bookmarkEnd w:id="51"/>
      <w:bookmarkEnd w:id="52"/>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2021年一般公共预算财政拨款基本支出114.99万元，其中：</w:t>
      </w:r>
    </w:p>
    <w:p>
      <w:pPr>
        <w:spacing w:line="600" w:lineRule="exact"/>
        <w:ind w:firstLine="640"/>
        <w:rPr>
          <w:rFonts w:ascii="仿宋" w:eastAsia="仿宋"/>
          <w:color w:val="000000"/>
          <w:sz w:val="32"/>
          <w:szCs w:val="32"/>
        </w:rPr>
      </w:pPr>
      <w:r>
        <w:rPr>
          <w:rFonts w:ascii="仿宋" w:eastAsia="仿宋" w:hint="eastAsia"/>
          <w:color w:val="000000"/>
          <w:sz w:val="32"/>
          <w:szCs w:val="32"/>
        </w:rPr>
        <w:t>人员经费102.02万元，主要包括：基本工资26.66万元、津贴补贴6.61万元、绩效工资55.25万元、机关事业单位基本养老保险缴费2.88万元、职业年金缴费1.49万元、职工基本医疗保险缴费1.88万元、其他社会保障缴费0.30万元、住房公积金6.31万元、医疗费0.64万元。</w:t>
      </w:r>
    </w:p>
    <w:p>
      <w:pPr>
        <w:spacing w:line="600" w:lineRule="exact"/>
        <w:ind w:firstLine="640"/>
        <w:rPr>
          <w:rFonts w:ascii="仿宋" w:eastAsia="仿宋"/>
          <w:color w:val="000000"/>
          <w:sz w:val="32"/>
          <w:szCs w:val="32"/>
        </w:rPr>
      </w:pPr>
      <w:r>
        <w:rPr>
          <w:rFonts w:ascii="仿宋" w:eastAsia="仿宋" w:hint="eastAsia"/>
          <w:color w:val="000000"/>
          <w:sz w:val="32"/>
          <w:szCs w:val="32"/>
        </w:rPr>
        <w:t>公用经费12.97万元，主要包括：办公费9.14万元、差旅费3.83万元。</w:t>
      </w:r>
    </w:p>
    <w:p>
      <w:pPr>
        <w:pStyle w:val="2"/>
        <w:ind w:firstLineChars="200" w:firstLine="640"/>
        <w:rPr>
          <w:rFonts w:ascii="黑体" w:eastAsia="黑体" w:cs="Times New Roman"/>
          <w:bCs w:val="0"/>
          <w:color w:val="000000"/>
        </w:rPr>
      </w:pPr>
      <w:bookmarkStart w:id="53" w:name="_Toc113981019"/>
      <w:bookmarkStart w:id="54" w:name="_Toc15377215"/>
      <w:bookmarkStart w:id="55" w:name="_Toc111208505"/>
      <w:r>
        <w:rPr>
          <w:rFonts w:ascii="黑体" w:eastAsia="黑体" w:cs="Times New Roman" w:hint="eastAsia"/>
          <w:bCs w:val="0"/>
          <w:color w:val="000000"/>
        </w:rPr>
        <w:t>七、“三公”经费财政拨款支出决算情况说明</w:t>
      </w:r>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6"/>
      <w:r>
        <w:rPr>
          <w:rFonts w:ascii="仿宋" w:eastAsia="仿宋" w:hint="eastAsia"/>
          <w:b/>
          <w:color w:val="000000"/>
          <w:sz w:val="32"/>
          <w:szCs w:val="32"/>
        </w:rPr>
        <w:t>（一）“三公”经费财政拨款支出决算总体情况说明</w:t>
      </w:r>
      <w:bookmarkEnd w:id="56"/>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2021年“三公”经费财政拨款支出决算为0万元，完成预算0%。</w:t>
      </w:r>
      <w:bookmarkStart w:id="57"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7"/>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2021年“三公”经费财政拨款支出0万，因公出国（境）费支出决算0万元；公务用车购置及运行维护费支出决算0万元；公务接待费支出决算0万元。具体情况如下：</w:t>
      </w:r>
    </w:p>
    <w:p>
      <w:pPr>
        <w:spacing w:line="600" w:lineRule="exact"/>
        <w:ind w:firstLineChars="200" w:firstLine="640"/>
        <w:rPr>
          <w:rFonts w:ascii="仿宋" w:eastAsia="仿宋"/>
          <w:color w:val="000000"/>
          <w:sz w:val="32"/>
          <w:szCs w:val="32"/>
        </w:rPr>
      </w:pPr>
    </w:p>
    <w:p>
      <w:pPr>
        <w:pStyle w:val="15"/>
        <w:ind w:firstLine="0"/>
        <w:rPr>
          <w:rFonts w:ascii="仿宋_GB2312" w:eastAsia="仿宋_GB2312"/>
          <w:color w:val="000000"/>
          <w:sz w:val="32"/>
          <w:szCs w:val="32"/>
        </w:rPr>
      </w:pP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1.因公出国（境）经费支出0万元。全年安排因公出国（境）团组0次，出国（境）0人。 </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2.公务用车购置及运行维护费支出0万元。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其中：公务用车购置支出0万元。全年按规定更新购置公务用车0辆，其中：轿车0辆、金额0万元，越野车0辆、金额0万元，载客汽车0辆、金额0万元。截至</w:t>
      </w:r>
      <w:r>
        <w:rPr>
          <w:rFonts w:ascii="仿宋" w:eastAsia="仿宋"/>
          <w:color w:val="000000"/>
          <w:sz w:val="32"/>
          <w:szCs w:val="32"/>
        </w:rPr>
        <w:t>20</w:t>
      </w:r>
      <w:r>
        <w:rPr>
          <w:rFonts w:ascii="仿宋" w:eastAsia="仿宋" w:hint="eastAsia"/>
          <w:color w:val="000000"/>
          <w:sz w:val="32"/>
          <w:szCs w:val="32"/>
        </w:rPr>
        <w:t>21年</w:t>
      </w:r>
      <w:r>
        <w:rPr>
          <w:rFonts w:ascii="仿宋" w:eastAsia="仿宋"/>
          <w:color w:val="000000"/>
          <w:sz w:val="32"/>
          <w:szCs w:val="32"/>
        </w:rPr>
        <w:t>12</w:t>
      </w:r>
      <w:r>
        <w:rPr>
          <w:rFonts w:ascii="仿宋" w:eastAsia="仿宋" w:hint="eastAsia"/>
          <w:color w:val="000000"/>
          <w:sz w:val="32"/>
          <w:szCs w:val="32"/>
        </w:rPr>
        <w:t>月底，单位共有公务用车0辆，其中：轿车0辆、越野车0辆、载客汽车0辆。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3.公务接待费支出0万元</w:t>
      </w:r>
      <w:bookmarkStart w:id="58" w:name="_Toc15377218"/>
      <w:r>
        <w:rPr>
          <w:rFonts w:ascii="仿宋" w:eastAsia="仿宋" w:hint="eastAsia"/>
          <w:color w:val="000000"/>
          <w:sz w:val="32"/>
          <w:szCs w:val="32"/>
        </w:rPr>
        <w:t xml:space="preserve">。 </w:t>
      </w:r>
    </w:p>
    <w:p>
      <w:pPr>
        <w:pStyle w:val="15"/>
        <w:rPr>
          <w:rFonts w:ascii="仿宋" w:eastAsia="仿宋"/>
          <w:color w:val="000000"/>
          <w:sz w:val="32"/>
          <w:szCs w:val="32"/>
        </w:rPr>
      </w:pPr>
      <w:r>
        <w:rPr>
          <w:rFonts w:ascii="仿宋" w:eastAsia="仿宋" w:hint="eastAsia"/>
          <w:color w:val="000000"/>
          <w:sz w:val="32"/>
          <w:szCs w:val="32"/>
        </w:rPr>
        <w:t>国内公务接待支出0万元。</w:t>
      </w:r>
    </w:p>
    <w:p>
      <w:pPr>
        <w:pStyle w:val="2"/>
        <w:ind w:firstLineChars="200" w:firstLine="640"/>
        <w:rPr>
          <w:rFonts w:ascii="黑体" w:eastAsia="黑体" w:cs="Times New Roman"/>
          <w:bCs w:val="0"/>
          <w:color w:val="000000"/>
        </w:rPr>
      </w:pPr>
      <w:bookmarkStart w:id="59" w:name="_Toc111208506"/>
      <w:bookmarkStart w:id="60" w:name="_Toc113981020"/>
      <w:r>
        <w:rPr>
          <w:rFonts w:ascii="黑体" w:eastAsia="黑体" w:cs="Times New Roman" w:hint="eastAsia"/>
          <w:bCs w:val="0"/>
          <w:color w:val="000000"/>
        </w:rPr>
        <w:t>八、政府性基金预算支出决算情况说明</w:t>
      </w:r>
      <w:bookmarkEnd w:id="58"/>
      <w:bookmarkEnd w:id="59"/>
      <w:bookmarkEnd w:id="60"/>
    </w:p>
    <w:p>
      <w:pPr>
        <w:spacing w:line="600" w:lineRule="exact"/>
        <w:ind w:firstLine="640"/>
        <w:rPr>
          <w:rFonts w:ascii="仿宋" w:eastAsia="仿宋"/>
        </w:rPr>
      </w:pPr>
      <w:r>
        <w:rPr>
          <w:rFonts w:ascii="仿宋" w:eastAsia="仿宋" w:hint="eastAsia"/>
          <w:color w:val="000000"/>
          <w:sz w:val="32"/>
          <w:szCs w:val="32"/>
        </w:rPr>
        <w:t>2021年政府性基金预算拨款支出0万元。</w:t>
      </w:r>
      <w:bookmarkStart w:id="61" w:name="_Toc15377219"/>
    </w:p>
    <w:p>
      <w:pPr>
        <w:pStyle w:val="2"/>
        <w:ind w:firstLineChars="200" w:firstLine="640"/>
        <w:rPr>
          <w:rFonts w:ascii="黑体" w:eastAsia="黑体" w:cs="Times New Roman"/>
          <w:bCs w:val="0"/>
          <w:color w:val="000000"/>
        </w:rPr>
      </w:pPr>
      <w:bookmarkStart w:id="62" w:name="_Toc113981021"/>
      <w:bookmarkStart w:id="63" w:name="_Toc111208507"/>
      <w:r>
        <w:rPr>
          <w:rFonts w:ascii="黑体" w:eastAsia="黑体" w:cs="Times New Roman" w:hint="eastAsia"/>
          <w:bCs w:val="0"/>
          <w:color w:val="000000"/>
        </w:rPr>
        <w:t>九、国有资本经营预算支出决算情况说明</w:t>
      </w:r>
      <w:bookmarkEnd w:id="61"/>
      <w:bookmarkEnd w:id="62"/>
      <w:bookmarkEnd w:id="63"/>
    </w:p>
    <w:p>
      <w:pPr>
        <w:spacing w:line="600" w:lineRule="exact"/>
        <w:ind w:firstLine="640"/>
        <w:rPr>
          <w:rFonts w:ascii="仿宋" w:eastAsia="仿宋"/>
        </w:rPr>
      </w:pPr>
      <w:r>
        <w:rPr>
          <w:rFonts w:ascii="仿宋" w:eastAsia="仿宋" w:hint="eastAsia"/>
          <w:color w:val="000000"/>
          <w:sz w:val="32"/>
          <w:szCs w:val="32"/>
        </w:rPr>
        <w:t>2021年国有资本经营预算拨款支出0万元。</w:t>
      </w:r>
    </w:p>
    <w:p>
      <w:pPr>
        <w:pStyle w:val="2"/>
        <w:ind w:firstLineChars="200" w:firstLine="640"/>
        <w:rPr>
          <w:rFonts w:ascii="黑体" w:eastAsia="黑体" w:cs="Times New Roman"/>
          <w:bCs w:val="0"/>
          <w:color w:val="000000"/>
        </w:rPr>
      </w:pPr>
      <w:bookmarkStart w:id="64" w:name="_Toc111208508"/>
      <w:bookmarkStart w:id="65" w:name="_Toc113981022"/>
      <w:bookmarkStart w:id="66" w:name="_Toc15377221"/>
      <w:r>
        <w:rPr>
          <w:rFonts w:ascii="黑体" w:eastAsia="黑体" w:cs="Times New Roman" w:hint="eastAsia"/>
          <w:bCs w:val="0"/>
          <w:color w:val="000000"/>
        </w:rPr>
        <w:t>十、其他重要事项的情况说明</w:t>
      </w:r>
      <w:bookmarkEnd w:id="64"/>
      <w:bookmarkEnd w:id="65"/>
      <w:bookmarkEnd w:id="66"/>
    </w:p>
    <w:p>
      <w:pPr>
        <w:spacing w:line="600" w:lineRule="exact"/>
        <w:ind w:firstLineChars="200" w:firstLine="640"/>
        <w:outlineLvl w:val="2"/>
        <w:rPr>
          <w:rFonts w:ascii="仿宋" w:eastAsia="仿宋"/>
          <w:b/>
          <w:color w:val="000000"/>
          <w:sz w:val="32"/>
          <w:szCs w:val="32"/>
        </w:rPr>
      </w:pPr>
      <w:bookmarkStart w:id="67" w:name="_Toc15377222"/>
      <w:r>
        <w:rPr>
          <w:rFonts w:ascii="仿宋" w:eastAsia="仿宋" w:hint="eastAsia"/>
          <w:b/>
          <w:color w:val="000000"/>
          <w:sz w:val="32"/>
          <w:szCs w:val="32"/>
        </w:rPr>
        <w:t>（一）机关运行经费支出情况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2021年，机关运行经费支出0万元，比2020年增加0万元。 </w:t>
      </w:r>
    </w:p>
    <w:p>
      <w:pPr>
        <w:spacing w:line="600" w:lineRule="exact"/>
        <w:ind w:firstLineChars="200" w:firstLine="640"/>
        <w:outlineLvl w:val="2"/>
        <w:rPr>
          <w:rFonts w:ascii="仿宋" w:eastAsia="仿宋"/>
          <w:b/>
          <w:color w:val="000000"/>
          <w:sz w:val="32"/>
          <w:szCs w:val="32"/>
        </w:rPr>
      </w:pPr>
      <w:bookmarkStart w:id="68" w:name="_Toc15377223"/>
      <w:r>
        <w:rPr>
          <w:rFonts w:ascii="仿宋" w:eastAsia="仿宋" w:hint="eastAsia"/>
          <w:b/>
          <w:color w:val="000000"/>
          <w:sz w:val="32"/>
          <w:szCs w:val="32"/>
        </w:rPr>
        <w:t>（二）政府采购支出情况</w:t>
      </w:r>
      <w:bookmarkEnd w:id="68"/>
      <w:r>
        <w:rPr>
          <w:rFonts w:ascii="仿宋" w:eastAsia="仿宋" w:hint="eastAsia"/>
          <w:b/>
          <w:color w:val="000000"/>
          <w:sz w:val="32"/>
          <w:szCs w:val="32"/>
        </w:rPr>
        <w:t>(机构运行信息表)</w:t>
      </w:r>
    </w:p>
    <w:p>
      <w:pPr>
        <w:spacing w:line="600" w:lineRule="exact"/>
        <w:ind w:firstLine="640"/>
        <w:rPr>
          <w:rFonts w:ascii="仿宋_GB2312" w:eastAsia="仿宋_GB2312"/>
          <w:color w:val="000000"/>
          <w:sz w:val="32"/>
          <w:szCs w:val="32"/>
        </w:rPr>
      </w:pPr>
      <w:r>
        <w:rPr>
          <w:rFonts w:ascii="仿宋" w:eastAsia="仿宋" w:hint="eastAsia"/>
          <w:color w:val="000000"/>
          <w:sz w:val="32"/>
          <w:szCs w:val="32"/>
        </w:rPr>
        <w:t>2021年，政府采购支出总额0万元，其中：政府采购货物支出0万元、政府采购工程支出0万元、政府采购服务支出0万元。授予中小企业合同金额0万元，其中：授予小微企业合同金额0万元。</w:t>
      </w:r>
    </w:p>
    <w:p>
      <w:pPr>
        <w:spacing w:line="600" w:lineRule="exact"/>
        <w:ind w:firstLineChars="200" w:firstLine="640"/>
        <w:outlineLvl w:val="2"/>
        <w:rPr>
          <w:rFonts w:ascii="仿宋" w:eastAsia="仿宋"/>
          <w:b/>
          <w:color w:val="000000"/>
          <w:sz w:val="32"/>
          <w:szCs w:val="32"/>
        </w:rPr>
      </w:pPr>
      <w:bookmarkStart w:id="69" w:name="_Toc15377224"/>
      <w:r>
        <w:rPr>
          <w:rFonts w:ascii="仿宋" w:eastAsia="仿宋" w:hint="eastAsia"/>
          <w:b/>
          <w:color w:val="000000"/>
          <w:sz w:val="32"/>
          <w:szCs w:val="32"/>
        </w:rPr>
        <w:t>（三）国有资产占有使用情况</w:t>
      </w:r>
      <w:bookmarkEnd w:id="69"/>
    </w:p>
    <w:p>
      <w:pPr>
        <w:spacing w:line="600" w:lineRule="exact"/>
        <w:ind w:firstLine="640"/>
        <w:rPr>
          <w:rFonts w:ascii="仿宋" w:eastAsia="仿宋"/>
          <w:color w:val="000000"/>
          <w:sz w:val="32"/>
          <w:szCs w:val="32"/>
        </w:rPr>
      </w:pPr>
      <w:r>
        <w:rPr>
          <w:rFonts w:ascii="仿宋" w:eastAsia="仿宋" w:hint="eastAsia"/>
          <w:color w:val="000000"/>
          <w:sz w:val="32"/>
          <w:szCs w:val="32"/>
        </w:rPr>
        <w:t>截至2021年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日，共有车辆0辆，其中：主要领导干部用车0辆、机要通信用车0辆、应急保障用车0辆、其他用车0辆。单价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pStyle w:val="34"/>
        <w:autoSpaceDE w:val="0"/>
        <w:autoSpaceDN w:val="0"/>
        <w:adjustRightInd w:val="0"/>
        <w:spacing w:line="600" w:lineRule="exact"/>
        <w:ind w:firstLineChars="200" w:firstLine="640"/>
        <w:jc w:val="left"/>
        <w:outlineLvl w:val="2"/>
        <w:rPr>
          <w:rFonts w:ascii="楷体_GB2312" w:eastAsia="楷体_GB2312" w:cs="楷体_GB2312"/>
          <w:b/>
          <w:color w:val="000000"/>
          <w:szCs w:val="32"/>
        </w:rPr>
      </w:pPr>
      <w:r>
        <w:rPr>
          <w:rFonts w:ascii="楷体_GB2312" w:eastAsia="楷体_GB2312" w:cs="楷体_GB2312" w:hint="eastAsia"/>
          <w:b/>
          <w:color w:val="000000"/>
          <w:szCs w:val="32"/>
        </w:rPr>
        <w:t>（四）预算绩效管理情况</w:t>
      </w:r>
    </w:p>
    <w:p>
      <w:pPr>
        <w:pStyle w:val="34"/>
        <w:spacing w:line="580" w:lineRule="exact"/>
        <w:ind w:firstLineChars="200" w:firstLine="640"/>
        <w:rPr>
          <w:rFonts w:ascii="仿宋_GB2312" w:cs="仿宋_GB2312"/>
          <w:szCs w:val="32"/>
        </w:rPr>
      </w:pPr>
      <w:r>
        <w:rPr>
          <w:rFonts w:ascii="仿宋_GB2312" w:cs="仿宋_GB2312" w:hint="eastAsia"/>
          <w:szCs w:val="32"/>
        </w:rPr>
        <w:t>本部门按要求对202</w:t>
      </w:r>
      <w:r>
        <w:rPr>
          <w:rFonts w:ascii="仿宋_GB2312" w:cs="仿宋_GB2312"/>
          <w:szCs w:val="32"/>
        </w:rPr>
        <w:t>1</w:t>
      </w:r>
      <w:r>
        <w:rPr>
          <w:rFonts w:ascii="仿宋_GB2312" w:cs="仿宋_GB2312" w:hint="eastAsia"/>
          <w:szCs w:val="32"/>
        </w:rPr>
        <w:t>年部门整体支出开展绩效自评，从评价情况来看，我局部门整体支出绩效评价自查良好，全年基本支出保证了部门的正常运作和日常工作的正常开展，绩效目标得到了较好的实现，绩效管理水平不断提高，绩效指标体系逐渐丰富和完善。</w:t>
      </w:r>
    </w:p>
    <w:p>
      <w:pPr>
        <w:pStyle w:val="34"/>
        <w:spacing w:line="580" w:lineRule="exact"/>
        <w:ind w:firstLineChars="200" w:firstLine="640"/>
        <w:rPr>
          <w:rFonts w:ascii="仿宋_GB2312"/>
          <w:b/>
          <w:color w:val="000000"/>
          <w:szCs w:val="32"/>
        </w:rPr>
      </w:pPr>
    </w:p>
    <w:p>
      <w:pPr>
        <w:pStyle w:val="34"/>
        <w:spacing w:line="590" w:lineRule="exact"/>
        <w:outlineLvl w:val="0"/>
        <w:rPr>
          <w:rFonts w:ascii="仿宋_GB2312" w:cs="仿宋_GB2312"/>
          <w:color w:val="000000"/>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70" w:name="_Toc15377225"/>
      <w:bookmarkStart w:id="71" w:name="_Toc113981023"/>
      <w:bookmarkStart w:id="72" w:name="_Toc111208509"/>
      <w:r>
        <w:rPr>
          <w:rFonts w:ascii="黑体" w:eastAsia="黑体" w:cs="黑体" w:hint="eastAsia"/>
        </w:rPr>
        <w:t>第三部分 名词解释</w:t>
      </w:r>
      <w:bookmarkEnd w:id="70"/>
      <w:bookmarkEnd w:id="71"/>
      <w:bookmarkEnd w:id="72"/>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ascii="仿宋" w:eastAsia="仿宋" w:hint="eastAsia"/>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10.社会保障和就业支出（208）行政事业单位养老支出（20805）机关事业单位职业年金缴费支出（2080506）：反映机关事业单位实施养老保险制度由单位实际缴纳的职业年金支出。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11.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ascii="仿宋" w:eastAsia="仿宋"/>
          <w:color w:val="000000"/>
          <w:sz w:val="32"/>
          <w:szCs w:val="32"/>
        </w:rPr>
      </w:pPr>
      <w:r>
        <w:rPr>
          <w:rFonts w:ascii="仿宋" w:eastAsia="仿宋" w:hint="eastAsia"/>
          <w:color w:val="000000"/>
          <w:sz w:val="32"/>
          <w:szCs w:val="32"/>
        </w:rPr>
        <w:tab/>
        <w:t>12.住房保障支出（221）住房改革支出（22102）住房公积金（2210201）：反映行政事业单位按人力资源和社会保障部、财政部规定的基本工资和津贴补贴以及规定比例为职工缴纳的住房公积金。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ascii="仿宋" w:eastAsia="仿宋" w:hint="eastAsia"/>
          <w:color w:val="000000"/>
          <w:sz w:val="32"/>
          <w:szCs w:val="32"/>
        </w:rPr>
        <w:tab/>
        <w:t>13.灾害防治及应急管理支出（224）应急管理事务（22401）事业运行（2240150）：反映事业单位的基本支出，不包括行政单位（包括实行公务员管理的事业单位）后勤服务中心、医务室等附属事业单位。</w:t>
      </w:r>
    </w:p>
    <w:p>
      <w:pPr>
        <w:spacing w:line="600" w:lineRule="exact"/>
        <w:ind w:firstLine="640"/>
        <w:rPr>
          <w:rFonts w:ascii="仿宋" w:eastAsia="仿宋"/>
          <w:color w:val="000000"/>
          <w:sz w:val="32"/>
          <w:szCs w:val="32"/>
        </w:rPr>
      </w:pPr>
      <w:r>
        <w:rPr>
          <w:rFonts w:ascii="仿宋" w:eastAsia="仿宋" w:hint="eastAsia"/>
          <w:color w:val="000000"/>
          <w:sz w:val="32"/>
          <w:szCs w:val="32"/>
        </w:rPr>
        <w:t>14.基本支出：指为保障机构正常运转、完成日常工作任务而发生的人员支出和公用支出。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15.经营支出：指事业单位在专业业务活动及其辅助活动之外开展非独立核算经营活动发生的支出。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18.财政应返还额度：为行政事业单位会计核算科目，用于核算实行国库集中支付的行政事业单位应收财政返还的资金额度。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jc w:val="center"/>
        <w:rPr>
          <w:rFonts w:ascii="黑体" w:eastAsia="黑体" w:cs="黑体"/>
        </w:rPr>
      </w:pPr>
      <w:bookmarkStart w:id="73" w:name="_Toc111208510"/>
      <w:bookmarkStart w:id="74" w:name="_Toc113981024"/>
      <w:r>
        <w:rPr>
          <w:rFonts w:ascii="黑体" w:eastAsia="黑体" w:cs="黑体" w:hint="eastAsia"/>
        </w:rPr>
        <w:t>第四部分 附件</w:t>
      </w:r>
      <w:bookmarkEnd w:id="73"/>
      <w:bookmarkEnd w:id="74"/>
    </w:p>
    <w:p>
      <w:pPr>
        <w:pStyle w:val="54"/>
        <w:spacing w:line="600" w:lineRule="exact"/>
        <w:jc w:val="center"/>
        <w:outlineLvl w:val="0"/>
        <w:rPr>
          <w:rFonts w:ascii="黑体" w:eastAsia="黑体"/>
          <w:color w:val="000000"/>
          <w:sz w:val="44"/>
          <w:szCs w:val="44"/>
        </w:rPr>
      </w:pPr>
      <w:bookmarkStart w:id="75" w:name="_Toc79163878"/>
      <w:bookmarkStart w:id="76" w:name="_Toc79163628"/>
    </w:p>
    <w:p>
      <w:pPr>
        <w:pStyle w:val="54"/>
        <w:spacing w:line="600" w:lineRule="exact"/>
        <w:outlineLvl w:val="0"/>
        <w:rPr>
          <w:rFonts w:ascii="黑体" w:eastAsia="黑体"/>
          <w:color w:val="000000"/>
          <w:sz w:val="44"/>
          <w:szCs w:val="44"/>
        </w:rPr>
      </w:pPr>
    </w:p>
    <w:p>
      <w:pPr>
        <w:pStyle w:val="54"/>
        <w:spacing w:line="600" w:lineRule="exact"/>
        <w:jc w:val="center"/>
        <w:outlineLvl w:val="0"/>
        <w:rPr>
          <w:rStyle w:val="2Char"/>
          <w:rFonts w:ascii="黑体" w:eastAsia="黑体"/>
          <w:b w:val="0"/>
        </w:rPr>
      </w:pPr>
      <w:r>
        <w:rPr>
          <w:rFonts w:ascii="黑体" w:eastAsia="黑体" w:hint="eastAsia"/>
          <w:color w:val="000000"/>
          <w:sz w:val="44"/>
          <w:szCs w:val="44"/>
        </w:rPr>
        <w:t>第</w:t>
      </w:r>
      <w:r>
        <w:rPr>
          <w:rStyle w:val="2Char"/>
          <w:rFonts w:ascii="黑体" w:eastAsia="黑体" w:hint="eastAsia"/>
          <w:b w:val="0"/>
        </w:rPr>
        <w:t>四部分 附件</w:t>
      </w:r>
    </w:p>
    <w:p>
      <w:pPr>
        <w:pStyle w:val="54"/>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pPr>
        <w:pStyle w:val="54"/>
        <w:spacing w:line="580" w:lineRule="exact"/>
        <w:jc w:val="center"/>
        <w:rPr>
          <w:rFonts w:ascii="方正小标宋简体" w:eastAsia="方正小标宋简体" w:cs="方正小标宋简体"/>
          <w:sz w:val="44"/>
          <w:szCs w:val="44"/>
        </w:rPr>
      </w:pPr>
    </w:p>
    <w:p>
      <w:pPr>
        <w:pStyle w:val="54"/>
        <w:spacing w:line="600" w:lineRule="exact"/>
        <w:jc w:val="center"/>
        <w:rPr>
          <w:rFonts w:ascii="方正小标宋简体" w:eastAsia="方正小标宋简体"/>
          <w:color w:val="000000"/>
          <w:kern w:val="0"/>
          <w:sz w:val="40"/>
          <w:szCs w:val="44"/>
          <w:lang w:val="zh-CN"/>
        </w:rPr>
      </w:pPr>
      <w:r>
        <w:rPr>
          <w:rFonts w:ascii="方正小标宋简体" w:eastAsia="方正小标宋简体" w:hint="eastAsia"/>
          <w:color w:val="000000"/>
          <w:kern w:val="0"/>
          <w:sz w:val="40"/>
          <w:szCs w:val="44"/>
        </w:rPr>
        <w:t>茂县</w:t>
      </w:r>
      <w:r>
        <w:rPr>
          <w:rFonts w:ascii="方正小标宋简体" w:eastAsia="方正小标宋简体"/>
          <w:color w:val="000000"/>
          <w:kern w:val="0"/>
          <w:sz w:val="40"/>
          <w:szCs w:val="44"/>
        </w:rPr>
        <w:t>20</w:t>
      </w:r>
      <w:r>
        <w:rPr>
          <w:rFonts w:ascii="方正小标宋简体" w:eastAsia="方正小标宋简体" w:hint="eastAsia"/>
          <w:color w:val="000000"/>
          <w:kern w:val="0"/>
          <w:sz w:val="40"/>
          <w:szCs w:val="44"/>
        </w:rPr>
        <w:t>2</w:t>
      </w:r>
      <w:r>
        <w:rPr>
          <w:rFonts w:ascii="方正小标宋简体" w:eastAsia="方正小标宋简体"/>
          <w:color w:val="000000"/>
          <w:kern w:val="0"/>
          <w:sz w:val="40"/>
          <w:szCs w:val="44"/>
        </w:rPr>
        <w:t>1年部门</w:t>
      </w:r>
      <w:r>
        <w:rPr>
          <w:rFonts w:ascii="方正小标宋简体" w:eastAsia="方正小标宋简体" w:hint="eastAsia"/>
          <w:color w:val="000000"/>
          <w:kern w:val="0"/>
          <w:sz w:val="40"/>
          <w:szCs w:val="44"/>
          <w:lang w:val="zh-CN"/>
        </w:rPr>
        <w:t>整体支出绩效评价报告</w:t>
      </w:r>
    </w:p>
    <w:p>
      <w:pPr>
        <w:pStyle w:val="54"/>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pStyle w:val="54"/>
        <w:widowControl/>
        <w:adjustRightInd w:val="0"/>
        <w:snapToGrid w:val="0"/>
        <w:spacing w:line="59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（一）机构组成</w:t>
      </w:r>
    </w:p>
    <w:p>
      <w:pPr>
        <w:pStyle w:val="60"/>
        <w:adjustRightInd w:val="0"/>
        <w:snapToGrid w:val="0"/>
        <w:spacing w:beforeLines="0" w:before="93" w:line="590" w:lineRule="exact"/>
        <w:ind w:firstLineChars="200" w:firstLine="640"/>
        <w:rPr>
          <w:rFonts w:cs="宋体"/>
          <w:color w:val="000000"/>
          <w:sz w:val="32"/>
          <w:szCs w:val="32"/>
          <w:shd w:val="clear" w:color="auto" w:fill="FFFFFF"/>
        </w:rPr>
      </w:pPr>
      <w:r>
        <w:rPr>
          <w:rFonts w:hint="eastAsia"/>
          <w:sz w:val="32"/>
          <w:szCs w:val="32"/>
        </w:rPr>
        <w:t>茂县</w:t>
      </w:r>
      <w:r>
        <w:rPr>
          <w:rFonts w:hint="eastAsia"/>
          <w:sz w:val="32"/>
          <w:szCs w:val="32"/>
          <w:lang w:val="en-US"/>
        </w:rPr>
        <w:t>应急服务中心</w:t>
      </w:r>
      <w:r>
        <w:rPr>
          <w:rFonts w:hint="eastAsia"/>
          <w:color w:val="000000"/>
          <w:sz w:val="32"/>
          <w:szCs w:val="32"/>
        </w:rPr>
        <w:t>下属二级单位</w:t>
      </w:r>
      <w:r>
        <w:rPr>
          <w:rFonts w:hint="eastAsia"/>
          <w:color w:val="000000"/>
          <w:sz w:val="32"/>
          <w:szCs w:val="32"/>
          <w:lang w:val="en-US"/>
        </w:rPr>
        <w:t>0</w:t>
      </w:r>
      <w:r>
        <w:rPr>
          <w:rFonts w:hint="eastAsia"/>
          <w:color w:val="000000"/>
          <w:sz w:val="32"/>
          <w:szCs w:val="32"/>
        </w:rPr>
        <w:t>个，其中行政单位</w:t>
      </w:r>
      <w:r>
        <w:rPr>
          <w:rFonts w:hint="eastAsia"/>
          <w:color w:val="000000"/>
          <w:sz w:val="32"/>
          <w:szCs w:val="32"/>
          <w:lang w:val="en-US"/>
        </w:rPr>
        <w:t>0</w:t>
      </w:r>
      <w:r>
        <w:rPr>
          <w:rFonts w:hint="eastAsia"/>
          <w:color w:val="000000"/>
          <w:sz w:val="32"/>
          <w:szCs w:val="32"/>
        </w:rPr>
        <w:t>个，参照公务员法管理的事业单位</w:t>
      </w:r>
      <w:r>
        <w:rPr>
          <w:rFonts w:hint="eastAsia"/>
          <w:color w:val="000000"/>
          <w:sz w:val="32"/>
          <w:szCs w:val="32"/>
          <w:lang w:val="en-US"/>
        </w:rPr>
        <w:t>0</w:t>
      </w:r>
      <w:r>
        <w:rPr>
          <w:rFonts w:hint="eastAsia"/>
          <w:color w:val="000000"/>
          <w:sz w:val="32"/>
          <w:szCs w:val="32"/>
        </w:rPr>
        <w:t>个，其他事业单位</w:t>
      </w:r>
      <w:r>
        <w:rPr>
          <w:rFonts w:hint="eastAsia"/>
          <w:color w:val="000000"/>
          <w:sz w:val="32"/>
          <w:szCs w:val="32"/>
          <w:lang w:val="en-US"/>
        </w:rPr>
        <w:t>1</w:t>
      </w:r>
      <w:r>
        <w:rPr>
          <w:rFonts w:hint="eastAsia"/>
          <w:color w:val="000000"/>
          <w:sz w:val="32"/>
          <w:szCs w:val="32"/>
        </w:rPr>
        <w:t>个。</w:t>
      </w:r>
    </w:p>
    <w:p>
      <w:pPr>
        <w:pStyle w:val="54"/>
        <w:widowControl/>
        <w:numPr>
          <w:ilvl w:val="0"/>
          <w:numId w:val="1"/>
        </w:numPr>
        <w:adjustRightInd w:val="0"/>
        <w:snapToGrid w:val="0"/>
        <w:spacing w:line="590" w:lineRule="exact"/>
        <w:ind w:left="0" w:firstLineChars="200" w:firstLine="640"/>
        <w:contextualSpacing/>
        <w:jc w:val="left"/>
        <w:rPr>
          <w:rFonts w:eastAsia="仿宋_GB2312"/>
          <w:sz w:val="32"/>
          <w:szCs w:val="32"/>
        </w:rPr>
      </w:pPr>
      <w:r>
        <w:rPr>
          <w:rFonts w:ascii="楷体" w:eastAsia="楷体" w:cs="楷体" w:hint="eastAsia"/>
          <w:b/>
          <w:bCs/>
          <w:color w:val="000000"/>
          <w:kern w:val="0"/>
          <w:sz w:val="32"/>
          <w:szCs w:val="32"/>
          <w:shd w:val="clear" w:color="auto" w:fill="FFFFFF"/>
          <w:lang w:val="zh-CN"/>
        </w:rPr>
        <w:t>机构职能</w:t>
      </w:r>
    </w:p>
    <w:p>
      <w:pPr>
        <w:pStyle w:val="54"/>
        <w:widowControl/>
        <w:adjustRightInd w:val="0"/>
        <w:snapToGrid w:val="0"/>
        <w:spacing w:line="590" w:lineRule="exact"/>
        <w:ind w:leftChars="200" w:left="420"/>
        <w:contextualSpacing/>
        <w:jc w:val="left"/>
        <w:rPr>
          <w:rFonts w:eastAsia="仿宋_GB2312"/>
          <w:sz w:val="32"/>
          <w:szCs w:val="32"/>
        </w:rPr>
      </w:pPr>
      <w:r>
        <w:rPr>
          <w:rFonts w:ascii="仿宋_GB2312" w:eastAsia="仿宋_GB2312" w:cs="宋体" w:hint="eastAsia"/>
          <w:color w:val="000000"/>
          <w:kern w:val="0"/>
          <w:sz w:val="32"/>
          <w:szCs w:val="32"/>
          <w:shd w:val="clear" w:color="auto" w:fill="FFFFFF"/>
        </w:rPr>
        <w:t xml:space="preserve"> </w:t>
      </w:r>
      <w:r>
        <w:rPr>
          <w:rFonts w:eastAsia="仿宋_GB2312" w:hint="eastAsia"/>
          <w:sz w:val="32"/>
          <w:szCs w:val="32"/>
        </w:rPr>
        <w:t>1.负责全县减灾协调工作，负责自然灾害综合风险与减灾能力调查评估工作。</w:t>
      </w:r>
    </w:p>
    <w:p>
      <w:pPr>
        <w:pStyle w:val="54"/>
        <w:adjustRightInd w:val="0"/>
        <w:snapToGrid w:val="0"/>
        <w:spacing w:line="576" w:lineRule="exact"/>
        <w:ind w:firstLineChars="200" w:firstLine="640"/>
        <w:rPr>
          <w:rFonts w:eastAsia="仿宋_GB2312"/>
          <w:sz w:val="32"/>
          <w:szCs w:val="32"/>
        </w:rPr>
      </w:pPr>
      <w:r>
        <w:rPr>
          <w:rFonts w:eastAsia="仿宋_GB2312" w:hint="eastAsia"/>
          <w:sz w:val="32"/>
          <w:szCs w:val="32"/>
        </w:rPr>
        <w:t>2.统筹应急预案体系建设，负责各类应急预案衔接协调，负责预案演练的组织实施和指导工作。</w:t>
      </w:r>
    </w:p>
    <w:p>
      <w:pPr>
        <w:pStyle w:val="54"/>
        <w:adjustRightInd w:val="0"/>
        <w:snapToGrid w:val="0"/>
        <w:spacing w:line="576" w:lineRule="exact"/>
        <w:ind w:firstLineChars="200" w:firstLine="640"/>
        <w:rPr>
          <w:rFonts w:eastAsia="仿宋_GB2312"/>
          <w:sz w:val="32"/>
          <w:szCs w:val="32"/>
        </w:rPr>
      </w:pPr>
      <w:r>
        <w:rPr>
          <w:rFonts w:eastAsia="仿宋_GB2312" w:hint="eastAsia"/>
          <w:sz w:val="32"/>
          <w:szCs w:val="32"/>
        </w:rPr>
        <w:t>3.负责协调有关部门开展森林和草原火灾、水旱、地震、地质灾害防治，重要江河湖泊和重要水工程实施防御洪水、抗御旱灾调度以及应急水量调度工作。</w:t>
      </w:r>
    </w:p>
    <w:p>
      <w:pPr>
        <w:pStyle w:val="60"/>
        <w:adjustRightInd w:val="0"/>
        <w:snapToGrid w:val="0"/>
        <w:spacing w:beforeLines="0" w:before="30" w:line="576" w:lineRule="exact"/>
        <w:ind w:firstLineChars="200" w:firstLine="640"/>
        <w:outlineLvl w:val="2"/>
        <w:rPr>
          <w:sz w:val="32"/>
          <w:lang w:val="en-US"/>
        </w:rPr>
      </w:pPr>
      <w:r>
        <w:rPr>
          <w:rFonts w:hint="eastAsia"/>
          <w:sz w:val="32"/>
          <w:szCs w:val="32"/>
          <w:lang w:val="en-US"/>
        </w:rPr>
        <w:t>4.负责协调应急管理、安全生产重大科学技术推广工作。</w:t>
      </w:r>
    </w:p>
    <w:p>
      <w:pPr>
        <w:pStyle w:val="54"/>
        <w:widowControl/>
        <w:tabs>
          <w:tab w:val="left" w:pos="3523"/>
        </w:tabs>
        <w:adjustRightInd w:val="0"/>
        <w:snapToGrid w:val="0"/>
        <w:spacing w:line="59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（三）人员概况</w:t>
        <w:tab/>
      </w:r>
    </w:p>
    <w:p>
      <w:pPr>
        <w:pStyle w:val="60"/>
        <w:adjustRightInd w:val="0"/>
        <w:snapToGrid w:val="0"/>
        <w:spacing w:beforeLines="0" w:before="30" w:line="576" w:lineRule="exact"/>
        <w:ind w:firstLineChars="208" w:firstLine="666"/>
        <w:rPr>
          <w:rFonts w:cs="宋体"/>
          <w:color w:val="000000"/>
          <w:sz w:val="32"/>
          <w:szCs w:val="32"/>
          <w:shd w:val="clear" w:color="auto" w:fill="FFFFFF"/>
          <w:lang w:val="en-US"/>
        </w:rPr>
      </w:pPr>
      <w:r>
        <w:rPr>
          <w:rFonts w:cs="仿宋_GB2312" w:hint="eastAsia"/>
          <w:sz w:val="32"/>
          <w:szCs w:val="32"/>
          <w:lang w:val="en-US"/>
        </w:rPr>
        <w:t>2021</w:t>
      </w:r>
      <w:r>
        <w:rPr>
          <w:rFonts w:cs="仿宋_GB2312" w:hint="eastAsia"/>
          <w:sz w:val="32"/>
          <w:szCs w:val="32"/>
        </w:rPr>
        <w:t>茂县应急管</w:t>
      </w:r>
      <w:r>
        <w:rPr>
          <w:rFonts w:cs="仿宋_GB2312" w:hint="eastAsia"/>
          <w:sz w:val="32"/>
          <w:szCs w:val="32"/>
          <w:lang w:val="en-US"/>
        </w:rPr>
        <w:t>服务中心</w:t>
      </w:r>
      <w:r>
        <w:rPr>
          <w:rFonts w:cs="仿宋_GB2312" w:hint="eastAsia"/>
          <w:sz w:val="32"/>
          <w:szCs w:val="32"/>
        </w:rPr>
        <w:t>编制</w:t>
      </w:r>
      <w:r>
        <w:rPr>
          <w:rFonts w:cs="仿宋_GB2312" w:hint="eastAsia"/>
          <w:sz w:val="32"/>
          <w:szCs w:val="32"/>
          <w:lang w:val="en-US"/>
        </w:rPr>
        <w:t>9</w:t>
      </w:r>
      <w:r>
        <w:rPr>
          <w:rFonts w:cs="仿宋_GB2312" w:hint="eastAsia"/>
          <w:sz w:val="32"/>
          <w:szCs w:val="32"/>
        </w:rPr>
        <w:t>名。在职人员</w:t>
      </w:r>
      <w:r>
        <w:rPr>
          <w:rFonts w:cs="仿宋_GB2312" w:hint="eastAsia"/>
          <w:sz w:val="32"/>
          <w:szCs w:val="32"/>
          <w:lang w:val="en-US"/>
        </w:rPr>
        <w:t>9</w:t>
      </w:r>
      <w:r>
        <w:rPr>
          <w:rFonts w:cs="仿宋_GB2312" w:hint="eastAsia"/>
          <w:sz w:val="32"/>
          <w:szCs w:val="32"/>
        </w:rPr>
        <w:t>人，其中：事业人员</w:t>
      </w:r>
      <w:r>
        <w:rPr>
          <w:rFonts w:cs="仿宋_GB2312" w:hint="eastAsia"/>
          <w:sz w:val="32"/>
          <w:szCs w:val="32"/>
          <w:lang w:val="en-US"/>
        </w:rPr>
        <w:t>8</w:t>
      </w:r>
      <w:r>
        <w:rPr>
          <w:rFonts w:cs="仿宋_GB2312" w:hint="eastAsia"/>
          <w:sz w:val="32"/>
          <w:szCs w:val="32"/>
        </w:rPr>
        <w:t>人，事业工勤人员1人。为财政全额拨款单位。</w:t>
      </w:r>
    </w:p>
    <w:p>
      <w:pPr>
        <w:pStyle w:val="54"/>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pStyle w:val="54"/>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（一）部门财政资金收入情况</w:t>
      </w:r>
    </w:p>
    <w:p>
      <w:pPr>
        <w:pStyle w:val="54"/>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仿宋" w:eastAsia="仿宋"/>
          <w:color w:val="000000"/>
          <w:sz w:val="32"/>
          <w:szCs w:val="32"/>
        </w:rPr>
        <w:t>20</w:t>
      </w:r>
      <w:r>
        <w:rPr>
          <w:rFonts w:ascii="仿宋" w:eastAsia="仿宋" w:hint="eastAsia"/>
          <w:color w:val="000000"/>
          <w:sz w:val="32"/>
          <w:szCs w:val="32"/>
        </w:rPr>
        <w:t>2</w:t>
      </w:r>
      <w:r>
        <w:rPr>
          <w:rFonts w:ascii="仿宋" w:eastAsia="仿宋"/>
          <w:color w:val="000000"/>
          <w:sz w:val="32"/>
          <w:szCs w:val="32"/>
        </w:rPr>
        <w:t>1</w:t>
      </w:r>
      <w:r>
        <w:rPr>
          <w:rFonts w:ascii="仿宋" w:eastAsia="仿宋" w:hint="eastAsia"/>
          <w:color w:val="000000"/>
          <w:sz w:val="32"/>
          <w:szCs w:val="32"/>
        </w:rPr>
        <w:t>单位财政资金收入共计</w:t>
      </w:r>
      <w:r>
        <w:rPr>
          <w:rFonts w:ascii="仿宋" w:eastAsia="仿宋"/>
          <w:color w:val="000000"/>
          <w:sz w:val="32"/>
          <w:szCs w:val="32"/>
        </w:rPr>
        <w:t>114.99</w:t>
      </w:r>
      <w:r>
        <w:rPr>
          <w:rFonts w:ascii="仿宋" w:eastAsia="仿宋" w:hint="eastAsia"/>
          <w:color w:val="000000"/>
          <w:sz w:val="32"/>
          <w:szCs w:val="32"/>
        </w:rPr>
        <w:t>万元，其中上一年度财政拨款结转0万元，本年度财政拨款</w:t>
      </w:r>
      <w:r>
        <w:rPr>
          <w:rFonts w:ascii="仿宋" w:eastAsia="仿宋"/>
          <w:color w:val="000000"/>
          <w:sz w:val="32"/>
          <w:szCs w:val="32"/>
        </w:rPr>
        <w:t>114.99</w:t>
      </w:r>
      <w:r>
        <w:rPr>
          <w:rFonts w:ascii="仿宋" w:eastAsia="仿宋" w:hint="eastAsia"/>
          <w:color w:val="000000"/>
          <w:sz w:val="32"/>
          <w:szCs w:val="32"/>
        </w:rPr>
        <w:t>万元，无其他收入。</w:t>
      </w:r>
    </w:p>
    <w:p>
      <w:pPr>
        <w:pStyle w:val="54"/>
        <w:widowControl/>
        <w:adjustRightInd w:val="0"/>
        <w:snapToGrid w:val="0"/>
        <w:spacing w:line="580" w:lineRule="exact"/>
        <w:ind w:leftChars="200" w:left="420" w:firstLineChars="100" w:firstLine="32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w:t>
      </w:r>
      <w:r>
        <w:rPr>
          <w:rFonts w:ascii="楷体_GB2312" w:eastAsia="楷体_GB2312" w:cs="楷体_GB2312" w:hint="eastAsia"/>
          <w:b/>
          <w:bCs/>
          <w:color w:val="000000"/>
          <w:kern w:val="0"/>
          <w:sz w:val="32"/>
          <w:szCs w:val="32"/>
          <w:shd w:val="clear" w:color="auto" w:fill="FFFFFF"/>
        </w:rPr>
        <w:t>二</w:t>
      </w:r>
      <w:r>
        <w:rPr>
          <w:rFonts w:ascii="楷体_GB2312" w:eastAsia="楷体_GB2312" w:cs="楷体_GB2312" w:hint="eastAsia"/>
          <w:b/>
          <w:bCs/>
          <w:color w:val="000000"/>
          <w:kern w:val="0"/>
          <w:sz w:val="32"/>
          <w:szCs w:val="32"/>
          <w:shd w:val="clear" w:color="auto" w:fill="FFFFFF"/>
          <w:lang w:val="zh-CN"/>
        </w:rPr>
        <w:t>）部门财政资金支出情况</w:t>
      </w:r>
    </w:p>
    <w:p>
      <w:pPr>
        <w:pStyle w:val="54"/>
        <w:widowControl/>
        <w:adjustRightInd w:val="0"/>
        <w:snapToGrid w:val="0"/>
        <w:spacing w:line="580" w:lineRule="exact"/>
        <w:ind w:leftChars="200" w:left="420" w:firstLineChars="100" w:firstLine="320"/>
        <w:contextualSpacing/>
        <w:jc w:val="left"/>
        <w:rPr>
          <w:rFonts w:ascii="仿宋" w:eastAsia="仿宋"/>
          <w:bCs/>
          <w:color w:val="000000"/>
          <w:sz w:val="32"/>
          <w:szCs w:val="32"/>
        </w:rPr>
      </w:pPr>
      <w:r>
        <w:rPr>
          <w:rFonts w:ascii="仿宋" w:eastAsia="仿宋" w:hint="eastAsia"/>
          <w:bCs/>
          <w:color w:val="000000"/>
          <w:sz w:val="32"/>
          <w:szCs w:val="32"/>
        </w:rPr>
        <w:t>202</w:t>
      </w:r>
      <w:r>
        <w:rPr>
          <w:rFonts w:ascii="仿宋" w:eastAsia="仿宋"/>
          <w:bCs/>
          <w:color w:val="000000"/>
          <w:sz w:val="32"/>
          <w:szCs w:val="32"/>
        </w:rPr>
        <w:t>1</w:t>
      </w:r>
      <w:r>
        <w:rPr>
          <w:rFonts w:ascii="仿宋" w:eastAsia="仿宋" w:hint="eastAsia"/>
          <w:bCs/>
          <w:color w:val="000000"/>
          <w:sz w:val="32"/>
          <w:szCs w:val="32"/>
        </w:rPr>
        <w:t>年财政拨款支出决算数为</w:t>
      </w:r>
      <w:r>
        <w:rPr>
          <w:rFonts w:ascii="仿宋" w:eastAsia="仿宋"/>
          <w:color w:val="000000"/>
          <w:sz w:val="32"/>
          <w:szCs w:val="32"/>
        </w:rPr>
        <w:t>114.99</w:t>
      </w:r>
      <w:r>
        <w:rPr>
          <w:rFonts w:ascii="仿宋" w:eastAsia="仿宋" w:hint="eastAsia"/>
          <w:bCs/>
          <w:color w:val="000000"/>
          <w:sz w:val="32"/>
          <w:szCs w:val="32"/>
        </w:rPr>
        <w:t>万元</w:t>
      </w:r>
      <w:r>
        <w:rPr>
          <w:rFonts w:ascii="仿宋" w:eastAsia="仿宋"/>
          <w:bCs/>
          <w:color w:val="000000"/>
          <w:sz w:val="32"/>
          <w:szCs w:val="32"/>
        </w:rPr>
        <w:t>。</w:t>
      </w:r>
    </w:p>
    <w:p>
      <w:pPr>
        <w:pStyle w:val="54"/>
        <w:widowControl/>
        <w:numPr>
          <w:ilvl w:val="0"/>
          <w:numId w:val="1"/>
        </w:numPr>
        <w:adjustRightInd w:val="0"/>
        <w:snapToGrid w:val="0"/>
        <w:spacing w:line="580" w:lineRule="exact"/>
        <w:ind w:left="0" w:firstLineChars="200" w:firstLine="640"/>
        <w:contextualSpacing/>
        <w:jc w:val="left"/>
        <w:rPr>
          <w:rFonts w:ascii="楷体_GB2312" w:eastAsia="楷体_GB2312" w:cs="楷体_GB2312"/>
          <w:b/>
          <w:color w:val="000000"/>
          <w:sz w:val="32"/>
          <w:szCs w:val="32"/>
        </w:rPr>
      </w:pPr>
      <w:r>
        <w:rPr>
          <w:rFonts w:ascii="楷体_GB2312" w:eastAsia="楷体_GB2312" w:cs="楷体_GB2312" w:hint="eastAsia"/>
          <w:b/>
          <w:color w:val="000000"/>
          <w:sz w:val="32"/>
          <w:szCs w:val="32"/>
        </w:rPr>
        <w:t>部门财政资金收支结转情况</w:t>
      </w:r>
    </w:p>
    <w:p>
      <w:pPr>
        <w:pStyle w:val="54"/>
        <w:widowControl/>
        <w:adjustRightInd w:val="0"/>
        <w:snapToGrid w:val="0"/>
        <w:spacing w:line="580" w:lineRule="exact"/>
        <w:ind w:leftChars="200" w:left="420"/>
        <w:contextualSpacing/>
        <w:jc w:val="left"/>
        <w:rPr>
          <w:rFonts w:ascii="仿宋_GB2312" w:eastAsia="仿宋_GB2312" w:cs="宋体"/>
          <w:color w:val="000000"/>
          <w:kern w:val="0"/>
          <w:sz w:val="32"/>
          <w:szCs w:val="32"/>
          <w:shd w:val="clear" w:color="auto" w:fill="FFFFFF"/>
          <w:lang w:val="zh-CN"/>
        </w:rPr>
      </w:pPr>
      <w:r>
        <w:rPr>
          <w:rFonts w:ascii="仿宋" w:eastAsia="仿宋" w:hint="eastAsia"/>
          <w:bCs/>
          <w:color w:val="000000"/>
          <w:sz w:val="32"/>
          <w:szCs w:val="32"/>
        </w:rPr>
        <w:t xml:space="preserve">  202</w:t>
      </w:r>
      <w:r>
        <w:rPr>
          <w:rFonts w:ascii="仿宋" w:eastAsia="仿宋"/>
          <w:bCs/>
          <w:color w:val="000000"/>
          <w:sz w:val="32"/>
          <w:szCs w:val="32"/>
        </w:rPr>
        <w:t>1</w:t>
      </w:r>
      <w:r>
        <w:rPr>
          <w:rFonts w:ascii="仿宋" w:eastAsia="仿宋" w:hint="eastAsia"/>
          <w:bCs/>
          <w:color w:val="000000"/>
          <w:sz w:val="32"/>
          <w:szCs w:val="32"/>
        </w:rPr>
        <w:t>年末结转和结余资金</w:t>
      </w:r>
      <w:r>
        <w:rPr>
          <w:rFonts w:ascii="仿宋" w:eastAsia="仿宋"/>
          <w:bCs/>
          <w:color w:val="000000"/>
          <w:sz w:val="32"/>
          <w:szCs w:val="32"/>
        </w:rPr>
        <w:t>0</w:t>
      </w:r>
      <w:r>
        <w:rPr>
          <w:rFonts w:ascii="仿宋" w:eastAsia="仿宋" w:hint="eastAsia"/>
          <w:bCs/>
          <w:color w:val="000000"/>
          <w:sz w:val="32"/>
          <w:szCs w:val="32"/>
        </w:rPr>
        <w:t>万元。</w:t>
      </w:r>
    </w:p>
    <w:p>
      <w:pPr>
        <w:pStyle w:val="54"/>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pStyle w:val="54"/>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（一）部门预算</w:t>
      </w:r>
    </w:p>
    <w:p>
      <w:pPr>
        <w:pStyle w:val="54"/>
        <w:widowControl/>
        <w:adjustRightInd w:val="0"/>
        <w:snapToGrid w:val="0"/>
        <w:spacing w:line="580"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1.我单位严格按照《政府会计制度》等相关财务制度执行单位支出及设置会计账簿，会计凭证、财务会计报告，加强票据审批报销管理，规范会计核算和账务处理。</w:t>
      </w:r>
    </w:p>
    <w:p>
      <w:pPr>
        <w:pStyle w:val="54"/>
        <w:widowControl/>
        <w:adjustRightInd w:val="0"/>
        <w:snapToGrid w:val="0"/>
        <w:spacing w:line="580" w:lineRule="exact"/>
        <w:ind w:firstLineChars="100" w:firstLine="320"/>
        <w:contextualSpacing/>
        <w:jc w:val="left"/>
        <w:rPr>
          <w:rFonts w:ascii="仿宋_GB2312" w:eastAsia="仿宋_GB2312" w:cs="仿宋_GB2312"/>
          <w:sz w:val="32"/>
          <w:szCs w:val="32"/>
        </w:rPr>
      </w:pPr>
      <w:r>
        <w:rPr>
          <w:rFonts w:ascii="仿宋_GB2312" w:eastAsia="仿宋_GB2312" w:cs="仿宋_GB2312" w:hint="eastAsia"/>
          <w:sz w:val="32"/>
          <w:szCs w:val="32"/>
        </w:rPr>
        <w:t xml:space="preserve"> 2.我单位按照县财政局相关股室的要求按时报表、对账，完成本单位财务管理、决算组织、编报、审核工作。</w:t>
      </w:r>
    </w:p>
    <w:p>
      <w:pPr>
        <w:pStyle w:val="54"/>
        <w:widowControl/>
        <w:adjustRightInd w:val="0"/>
        <w:snapToGrid w:val="0"/>
        <w:spacing w:line="580" w:lineRule="exact"/>
        <w:ind w:firstLineChars="100" w:firstLine="320"/>
        <w:contextualSpacing/>
        <w:jc w:val="left"/>
        <w:rPr>
          <w:rFonts w:ascii="仿宋_GB2312" w:eastAsia="仿宋_GB2312" w:cs="仿宋_GB2312"/>
          <w:sz w:val="32"/>
          <w:szCs w:val="32"/>
        </w:rPr>
      </w:pPr>
      <w:r>
        <w:rPr>
          <w:rFonts w:ascii="仿宋_GB2312" w:eastAsia="仿宋_GB2312" w:cs="仿宋_GB2312" w:hint="eastAsia"/>
          <w:sz w:val="32"/>
          <w:szCs w:val="32"/>
        </w:rPr>
        <w:t xml:space="preserve"> 3.按要求在规定的时间内，对本单位的预算和决算进行了公开。</w:t>
      </w:r>
    </w:p>
    <w:p>
      <w:pPr>
        <w:pStyle w:val="54"/>
        <w:widowControl/>
        <w:adjustRightInd w:val="0"/>
        <w:snapToGrid w:val="0"/>
        <w:spacing w:line="580"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4.我单位建立了严格的财务管理制度、由会计专人负责决算报表录制、编报、审核工作。</w:t>
      </w:r>
    </w:p>
    <w:p>
      <w:pPr>
        <w:pStyle w:val="54"/>
        <w:numPr>
          <w:ilvl w:val="0"/>
          <w:numId w:val="2"/>
        </w:numPr>
        <w:spacing w:line="570" w:lineRule="exact"/>
        <w:ind w:left="0" w:firstLineChars="200" w:firstLine="640"/>
        <w:rPr>
          <w:rFonts w:ascii="楷体" w:eastAsia="楷体" w:cs="楷体"/>
          <w:b/>
          <w:color w:val="000000"/>
          <w:sz w:val="32"/>
          <w:szCs w:val="32"/>
        </w:rPr>
      </w:pPr>
      <w:r>
        <w:rPr>
          <w:rFonts w:ascii="楷体" w:eastAsia="楷体" w:cs="楷体" w:hint="eastAsia"/>
          <w:b/>
          <w:sz w:val="32"/>
          <w:szCs w:val="32"/>
        </w:rPr>
        <w:t>结果应用情况</w:t>
      </w:r>
    </w:p>
    <w:p>
      <w:pPr>
        <w:pStyle w:val="54"/>
        <w:spacing w:line="570" w:lineRule="exact"/>
        <w:ind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单位财政拨款支出主要用于保障单位部门机构正常运转、完成日常工作任务以及承担本单位事业发展相关工作。 基本支出，是用于保障事业单位等机构正常运转的日常支出，包括基本工资、津贴补贴、绩效工资、机关事业单位基本养老保险缴费、职业年金缴费、其他社会保障缴费、抚恤金、生活补助、医疗费补助、奖励金、住房公积金支出等日常公用经费。</w:t>
      </w:r>
    </w:p>
    <w:p>
      <w:pPr>
        <w:pStyle w:val="54"/>
        <w:spacing w:line="570" w:lineRule="exact"/>
        <w:ind w:firstLineChars="200" w:firstLine="640"/>
        <w:rPr>
          <w:rFonts w:ascii="黑体" w:eastAsia="黑体" w:cs="黑体"/>
          <w:color w:val="000000"/>
          <w:sz w:val="32"/>
          <w:szCs w:val="32"/>
        </w:rPr>
      </w:pPr>
      <w:r>
        <w:rPr>
          <w:rFonts w:ascii="黑体" w:eastAsia="黑体" w:cs="黑体" w:hint="eastAsia"/>
          <w:color w:val="000000"/>
          <w:sz w:val="32"/>
          <w:szCs w:val="32"/>
        </w:rPr>
        <w:t>四、评价结论及建议</w:t>
      </w:r>
    </w:p>
    <w:p>
      <w:pPr>
        <w:pStyle w:val="54"/>
        <w:spacing w:line="570" w:lineRule="exact"/>
        <w:ind w:firstLineChars="200" w:firstLine="640"/>
        <w:rPr>
          <w:rFonts w:ascii="楷体" w:eastAsia="楷体" w:cs="楷体"/>
          <w:b/>
          <w:bCs/>
          <w:sz w:val="32"/>
          <w:szCs w:val="32"/>
        </w:rPr>
      </w:pPr>
      <w:bookmarkEnd w:id="75"/>
      <w:bookmarkEnd w:id="76"/>
      <w:r>
        <w:rPr>
          <w:rFonts w:ascii="楷体" w:eastAsia="楷体" w:cs="楷体" w:hint="eastAsia"/>
          <w:b/>
          <w:bCs/>
          <w:sz w:val="32"/>
          <w:szCs w:val="32"/>
        </w:rPr>
        <w:t>（一）评价结论</w:t>
      </w:r>
    </w:p>
    <w:p>
      <w:pPr>
        <w:pStyle w:val="54"/>
        <w:spacing w:line="57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我单位按照预算法按时完成预决算编制。在执行过程中有计划进行资金申报使用，完善资金管理及内部控制制度，确保资金安全，做到账款、账账、账实相符。</w:t>
      </w:r>
    </w:p>
    <w:p>
      <w:pPr>
        <w:pStyle w:val="54"/>
        <w:spacing w:line="570" w:lineRule="exact"/>
        <w:ind w:firstLineChars="100" w:firstLine="320"/>
        <w:rPr>
          <w:rFonts w:ascii="仿宋_GB2312" w:eastAsia="仿宋_GB2312" w:cs="仿宋_GB2312"/>
          <w:sz w:val="32"/>
          <w:szCs w:val="32"/>
        </w:rPr>
      </w:pPr>
      <w:r>
        <w:rPr>
          <w:rFonts w:ascii="楷体" w:eastAsia="楷体" w:cs="楷体" w:hint="eastAsia"/>
          <w:b/>
          <w:bCs/>
          <w:sz w:val="32"/>
          <w:szCs w:val="32"/>
        </w:rPr>
        <w:t>（二）存在问题</w:t>
      </w:r>
    </w:p>
    <w:p>
      <w:pPr>
        <w:pStyle w:val="54"/>
        <w:spacing w:line="57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pPr>
        <w:pStyle w:val="54"/>
        <w:spacing w:line="570" w:lineRule="exact"/>
        <w:rPr>
          <w:rFonts w:ascii="仿宋_GB2312" w:eastAsia="仿宋_GB2312" w:cs="仿宋_GB2312"/>
          <w:sz w:val="32"/>
          <w:szCs w:val="32"/>
        </w:rPr>
      </w:pPr>
      <w:r>
        <w:rPr>
          <w:rFonts w:ascii="楷体" w:eastAsia="楷体" w:cs="楷体" w:hint="eastAsia"/>
          <w:b/>
          <w:bCs/>
          <w:sz w:val="32"/>
          <w:szCs w:val="32"/>
        </w:rPr>
        <w:t xml:space="preserve">  （三）改进建议</w:t>
      </w:r>
    </w:p>
    <w:p>
      <w:pPr>
        <w:pStyle w:val="54"/>
        <w:spacing w:line="57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无</w:t>
      </w:r>
    </w:p>
    <w:p>
      <w:pPr>
        <w:pStyle w:val="1"/>
        <w:jc w:val="center"/>
        <w:rPr>
          <w:rFonts w:ascii="黑体" w:eastAsia="黑体" w:cs="黑体"/>
        </w:rPr>
      </w:pPr>
      <w:bookmarkStart w:id="77" w:name="_Toc79163635"/>
      <w:bookmarkStart w:id="78" w:name="_Toc111208512"/>
      <w:bookmarkStart w:id="79" w:name="_Toc113981025"/>
      <w:bookmarkStart w:id="80" w:name="_Toc79163885"/>
      <w:r>
        <w:rPr>
          <w:rFonts w:ascii="黑体" w:eastAsia="黑体" w:cs="黑体" w:hint="eastAsia"/>
        </w:rPr>
        <w:t>第五部分 附表</w:t>
      </w:r>
      <w:bookmarkEnd w:id="77"/>
      <w:bookmarkEnd w:id="78"/>
      <w:bookmarkEnd w:id="79"/>
      <w:bookmarkEnd w:id="80"/>
    </w:p>
    <w:p>
      <w:pPr>
        <w:pStyle w:val="2"/>
        <w:ind w:firstLineChars="200" w:firstLine="640"/>
        <w:rPr>
          <w:rFonts w:ascii="黑体" w:eastAsia="黑体" w:cs="Times New Roman"/>
          <w:bCs w:val="0"/>
          <w:color w:val="000000"/>
        </w:rPr>
      </w:pPr>
      <w:bookmarkStart w:id="81" w:name="_Toc79163636"/>
      <w:bookmarkStart w:id="82" w:name="_Toc111208513"/>
      <w:bookmarkStart w:id="83" w:name="_Toc113981026"/>
      <w:bookmarkStart w:id="84" w:name="_Toc79163886"/>
      <w:r>
        <w:rPr>
          <w:rFonts w:ascii="黑体" w:eastAsia="黑体" w:cs="Times New Roman" w:hint="eastAsia"/>
          <w:bCs w:val="0"/>
          <w:color w:val="000000"/>
        </w:rPr>
        <w:t>一、收入支出决算总表</w:t>
      </w:r>
      <w:bookmarkEnd w:id="81"/>
      <w:bookmarkEnd w:id="82"/>
      <w:bookmarkEnd w:id="83"/>
      <w:bookmarkEnd w:id="84"/>
    </w:p>
    <w:p>
      <w:pPr>
        <w:pStyle w:val="2"/>
        <w:ind w:firstLineChars="200" w:firstLine="640"/>
        <w:rPr>
          <w:rFonts w:ascii="黑体" w:eastAsia="黑体" w:cs="Times New Roman"/>
          <w:bCs w:val="0"/>
          <w:color w:val="000000"/>
        </w:rPr>
      </w:pPr>
      <w:bookmarkStart w:id="85" w:name="_Toc79163637"/>
      <w:bookmarkStart w:id="86" w:name="_Toc79163887"/>
      <w:bookmarkStart w:id="87" w:name="_Toc113981027"/>
      <w:bookmarkStart w:id="88" w:name="_Toc111208514"/>
      <w:r>
        <w:rPr>
          <w:rFonts w:ascii="黑体" w:eastAsia="黑体" w:cs="Times New Roman" w:hint="eastAsia"/>
          <w:bCs w:val="0"/>
          <w:color w:val="000000"/>
        </w:rPr>
        <w:t>二、收入决算表</w:t>
      </w:r>
      <w:bookmarkEnd w:id="85"/>
      <w:bookmarkEnd w:id="86"/>
      <w:bookmarkEnd w:id="87"/>
      <w:bookmarkEnd w:id="88"/>
    </w:p>
    <w:p>
      <w:pPr>
        <w:pStyle w:val="2"/>
        <w:ind w:firstLineChars="200" w:firstLine="640"/>
        <w:rPr>
          <w:rFonts w:ascii="黑体" w:eastAsia="黑体" w:cs="Times New Roman"/>
          <w:b w:val="0"/>
          <w:color w:val="000000"/>
        </w:rPr>
      </w:pPr>
      <w:bookmarkStart w:id="89" w:name="_Toc111208515"/>
      <w:bookmarkStart w:id="90" w:name="_Toc79163638"/>
      <w:bookmarkStart w:id="91" w:name="_Toc79163888"/>
      <w:bookmarkStart w:id="92" w:name="_Toc113981028"/>
      <w:r>
        <w:rPr>
          <w:rFonts w:ascii="黑体" w:eastAsia="黑体" w:cs="Times New Roman" w:hint="eastAsia"/>
          <w:bCs w:val="0"/>
          <w:color w:val="000000"/>
        </w:rPr>
        <w:t>三、支出决算表</w:t>
      </w:r>
      <w:bookmarkEnd w:id="89"/>
      <w:bookmarkEnd w:id="90"/>
      <w:bookmarkEnd w:id="91"/>
      <w:bookmarkEnd w:id="92"/>
    </w:p>
    <w:p>
      <w:pPr>
        <w:pStyle w:val="2"/>
        <w:ind w:firstLineChars="200" w:firstLine="640"/>
        <w:rPr>
          <w:rFonts w:ascii="黑体" w:eastAsia="黑体" w:cs="Times New Roman"/>
          <w:bCs w:val="0"/>
          <w:color w:val="000000"/>
        </w:rPr>
      </w:pPr>
      <w:bookmarkStart w:id="93" w:name="_Toc79163639"/>
      <w:bookmarkStart w:id="94" w:name="_Toc79163889"/>
      <w:bookmarkStart w:id="95" w:name="_Toc111208516"/>
      <w:bookmarkStart w:id="96" w:name="_Toc113981029"/>
      <w:r>
        <w:rPr>
          <w:rFonts w:ascii="黑体" w:eastAsia="黑体" w:cs="Times New Roman" w:hint="eastAsia"/>
          <w:bCs w:val="0"/>
          <w:color w:val="000000"/>
        </w:rPr>
        <w:t>四、财政拨款收入支出决算总表</w:t>
      </w:r>
      <w:bookmarkEnd w:id="93"/>
      <w:bookmarkEnd w:id="94"/>
      <w:bookmarkEnd w:id="95"/>
      <w:bookmarkEnd w:id="96"/>
    </w:p>
    <w:p>
      <w:pPr>
        <w:pStyle w:val="2"/>
        <w:ind w:firstLineChars="200" w:firstLine="640"/>
        <w:rPr>
          <w:rFonts w:ascii="黑体" w:eastAsia="黑体" w:cs="Times New Roman"/>
          <w:bCs w:val="0"/>
          <w:color w:val="000000"/>
        </w:rPr>
      </w:pPr>
      <w:bookmarkStart w:id="97" w:name="_Toc113981030"/>
      <w:bookmarkStart w:id="98" w:name="_Toc111208517"/>
      <w:bookmarkStart w:id="99" w:name="_Toc79163890"/>
      <w:bookmarkStart w:id="100" w:name="_Toc79163640"/>
      <w:r>
        <w:rPr>
          <w:rFonts w:ascii="黑体" w:eastAsia="黑体" w:cs="Times New Roman" w:hint="eastAsia"/>
          <w:bCs w:val="0"/>
          <w:color w:val="000000"/>
        </w:rPr>
        <w:t>五、财政拨款支出决算明细表</w:t>
      </w:r>
      <w:bookmarkEnd w:id="97"/>
      <w:bookmarkEnd w:id="98"/>
      <w:bookmarkEnd w:id="99"/>
      <w:bookmarkEnd w:id="100"/>
    </w:p>
    <w:p>
      <w:pPr>
        <w:pStyle w:val="2"/>
        <w:ind w:firstLineChars="200" w:firstLine="640"/>
        <w:rPr>
          <w:rFonts w:ascii="黑体" w:eastAsia="黑体" w:cs="Times New Roman"/>
          <w:bCs w:val="0"/>
          <w:color w:val="000000"/>
        </w:rPr>
      </w:pPr>
      <w:bookmarkStart w:id="101" w:name="_Toc79163641"/>
      <w:bookmarkStart w:id="102" w:name="_Toc79163891"/>
      <w:bookmarkStart w:id="103" w:name="_Toc111208518"/>
      <w:bookmarkStart w:id="104" w:name="_Toc113981031"/>
      <w:r>
        <w:rPr>
          <w:rFonts w:ascii="黑体" w:eastAsia="黑体" w:cs="Times New Roman" w:hint="eastAsia"/>
          <w:bCs w:val="0"/>
          <w:color w:val="000000"/>
        </w:rPr>
        <w:t>六、一般公共预算财政拨款支出决算表</w:t>
      </w:r>
      <w:bookmarkEnd w:id="101"/>
      <w:bookmarkEnd w:id="102"/>
      <w:bookmarkEnd w:id="103"/>
      <w:bookmarkEnd w:id="104"/>
    </w:p>
    <w:p>
      <w:pPr>
        <w:pStyle w:val="2"/>
        <w:ind w:firstLineChars="200" w:firstLine="640"/>
        <w:rPr>
          <w:rFonts w:ascii="黑体" w:eastAsia="黑体" w:cs="Times New Roman"/>
          <w:bCs w:val="0"/>
          <w:color w:val="000000"/>
        </w:rPr>
      </w:pPr>
      <w:bookmarkStart w:id="105" w:name="_Toc79163642"/>
      <w:bookmarkStart w:id="106" w:name="_Toc113981032"/>
      <w:bookmarkStart w:id="107" w:name="_Toc111208519"/>
      <w:bookmarkStart w:id="108" w:name="_Toc79163892"/>
      <w:r>
        <w:rPr>
          <w:rFonts w:ascii="黑体" w:eastAsia="黑体" w:cs="Times New Roman" w:hint="eastAsia"/>
          <w:bCs w:val="0"/>
          <w:color w:val="000000"/>
        </w:rPr>
        <w:t>七、一般公共预算财政拨款支出决算明细表</w:t>
      </w:r>
      <w:bookmarkEnd w:id="105"/>
      <w:bookmarkEnd w:id="106"/>
      <w:bookmarkEnd w:id="107"/>
      <w:bookmarkEnd w:id="108"/>
    </w:p>
    <w:p>
      <w:pPr>
        <w:pStyle w:val="2"/>
        <w:ind w:firstLineChars="200" w:firstLine="640"/>
        <w:rPr>
          <w:rFonts w:ascii="黑体" w:eastAsia="黑体" w:cs="Times New Roman"/>
          <w:bCs w:val="0"/>
          <w:color w:val="000000"/>
        </w:rPr>
      </w:pPr>
      <w:bookmarkStart w:id="109" w:name="_Toc111208520"/>
      <w:bookmarkStart w:id="110" w:name="_Toc79163643"/>
      <w:bookmarkStart w:id="111" w:name="_Toc79163893"/>
      <w:bookmarkStart w:id="112" w:name="_Toc113981033"/>
      <w:r>
        <w:rPr>
          <w:rFonts w:ascii="黑体" w:eastAsia="黑体" w:cs="Times New Roman" w:hint="eastAsia"/>
          <w:bCs w:val="0"/>
          <w:color w:val="000000"/>
        </w:rPr>
        <w:t>八、一般公共预算财政拨款基本支出决算表</w:t>
      </w:r>
      <w:bookmarkEnd w:id="109"/>
      <w:bookmarkEnd w:id="110"/>
      <w:bookmarkEnd w:id="111"/>
      <w:bookmarkEnd w:id="112"/>
    </w:p>
    <w:p>
      <w:pPr>
        <w:pStyle w:val="2"/>
        <w:ind w:firstLineChars="200" w:firstLine="640"/>
        <w:rPr>
          <w:rFonts w:ascii="黑体" w:eastAsia="黑体" w:cs="Times New Roman"/>
          <w:bCs w:val="0"/>
          <w:color w:val="000000"/>
        </w:rPr>
      </w:pPr>
      <w:bookmarkStart w:id="113" w:name="_Toc113981034"/>
      <w:bookmarkStart w:id="114" w:name="_Toc79163644"/>
      <w:bookmarkStart w:id="115" w:name="_Toc79163894"/>
      <w:bookmarkStart w:id="116" w:name="_Toc111208521"/>
      <w:r>
        <w:rPr>
          <w:rFonts w:ascii="黑体" w:eastAsia="黑体" w:cs="Times New Roman" w:hint="eastAsia"/>
          <w:bCs w:val="0"/>
          <w:color w:val="000000"/>
        </w:rPr>
        <w:t>九、一般公共预算财政拨款项目支出决算表</w:t>
      </w:r>
      <w:bookmarkEnd w:id="113"/>
      <w:bookmarkEnd w:id="114"/>
      <w:bookmarkEnd w:id="115"/>
      <w:bookmarkEnd w:id="116"/>
    </w:p>
    <w:p>
      <w:pPr>
        <w:pStyle w:val="2"/>
        <w:ind w:firstLineChars="200" w:firstLine="640"/>
        <w:rPr>
          <w:rFonts w:ascii="黑体" w:eastAsia="黑体" w:cs="Times New Roman"/>
          <w:bCs w:val="0"/>
          <w:color w:val="000000"/>
        </w:rPr>
      </w:pPr>
      <w:bookmarkStart w:id="117" w:name="_Toc113981035"/>
      <w:bookmarkStart w:id="118" w:name="_Toc79163895"/>
      <w:bookmarkStart w:id="119" w:name="_Toc79163645"/>
      <w:bookmarkStart w:id="120" w:name="_Toc111208522"/>
      <w:r>
        <w:rPr>
          <w:rFonts w:ascii="黑体" w:eastAsia="黑体" w:cs="Times New Roman" w:hint="eastAsia"/>
          <w:bCs w:val="0"/>
          <w:color w:val="000000"/>
        </w:rPr>
        <w:t>十、一般公共预算财政拨款“三公”经费支出决算表</w:t>
      </w:r>
      <w:bookmarkEnd w:id="117"/>
      <w:bookmarkEnd w:id="118"/>
      <w:bookmarkEnd w:id="119"/>
      <w:bookmarkEnd w:id="120"/>
    </w:p>
    <w:p>
      <w:pPr>
        <w:pStyle w:val="2"/>
        <w:ind w:firstLineChars="200" w:firstLine="640"/>
        <w:rPr>
          <w:rFonts w:ascii="黑体" w:eastAsia="黑体" w:cs="Times New Roman"/>
          <w:bCs w:val="0"/>
          <w:color w:val="000000"/>
        </w:rPr>
      </w:pPr>
      <w:bookmarkStart w:id="121" w:name="_Toc79163646"/>
      <w:bookmarkStart w:id="122" w:name="_Toc113981036"/>
      <w:bookmarkStart w:id="123" w:name="_Toc79163896"/>
      <w:bookmarkStart w:id="124" w:name="_Toc111208523"/>
      <w:r>
        <w:rPr>
          <w:rFonts w:ascii="黑体" w:eastAsia="黑体" w:cs="Times New Roman" w:hint="eastAsia"/>
          <w:bCs w:val="0"/>
          <w:color w:val="000000"/>
        </w:rPr>
        <w:t>十一、政府性基金预算财政拨款收入支出决算表</w:t>
      </w:r>
      <w:bookmarkEnd w:id="121"/>
      <w:bookmarkEnd w:id="122"/>
      <w:bookmarkEnd w:id="123"/>
      <w:bookmarkEnd w:id="124"/>
    </w:p>
    <w:p>
      <w:pPr>
        <w:pStyle w:val="2"/>
        <w:ind w:firstLineChars="200" w:firstLine="640"/>
        <w:rPr>
          <w:rFonts w:ascii="黑体" w:eastAsia="黑体" w:cs="Times New Roman"/>
          <w:bCs w:val="0"/>
          <w:color w:val="000000"/>
        </w:rPr>
      </w:pPr>
      <w:bookmarkStart w:id="125" w:name="_Toc79163897"/>
      <w:bookmarkStart w:id="126" w:name="_Toc111208524"/>
      <w:bookmarkStart w:id="127" w:name="_Toc113981037"/>
      <w:bookmarkStart w:id="128" w:name="_Toc79163647"/>
      <w:r>
        <w:rPr>
          <w:rFonts w:ascii="黑体" w:eastAsia="黑体" w:cs="Times New Roman" w:hint="eastAsia"/>
          <w:bCs w:val="0"/>
          <w:color w:val="000000"/>
        </w:rPr>
        <w:t>十二、政府性基金预算财政拨款“三公”经费支出决算表</w:t>
      </w:r>
      <w:bookmarkEnd w:id="125"/>
      <w:bookmarkEnd w:id="126"/>
      <w:bookmarkEnd w:id="127"/>
      <w:bookmarkEnd w:id="128"/>
    </w:p>
    <w:p>
      <w:pPr>
        <w:pStyle w:val="2"/>
        <w:ind w:firstLineChars="200" w:firstLine="640"/>
        <w:rPr>
          <w:rFonts w:ascii="黑体" w:eastAsia="黑体" w:cs="Times New Roman"/>
          <w:bCs w:val="0"/>
          <w:color w:val="000000"/>
        </w:rPr>
      </w:pPr>
      <w:bookmarkStart w:id="129" w:name="_Toc79163648"/>
      <w:bookmarkStart w:id="130" w:name="_Toc79163898"/>
      <w:bookmarkStart w:id="131" w:name="_Toc111208525"/>
      <w:bookmarkStart w:id="132" w:name="_Toc113981038"/>
      <w:r>
        <w:rPr>
          <w:rFonts w:ascii="黑体" w:eastAsia="黑体" w:cs="Times New Roman" w:hint="eastAsia"/>
          <w:bCs w:val="0"/>
          <w:color w:val="000000"/>
        </w:rPr>
        <w:t>十三、</w:t>
      </w:r>
      <w:bookmarkEnd w:id="129"/>
      <w:bookmarkEnd w:id="130"/>
      <w:r>
        <w:rPr>
          <w:rFonts w:ascii="黑体" w:eastAsia="黑体" w:cs="Times New Roman" w:hint="eastAsia"/>
          <w:bCs w:val="0"/>
          <w:color w:val="000000"/>
        </w:rPr>
        <w:t>国有资本经营预算财政拨款收入支出决算表</w:t>
      </w:r>
      <w:bookmarkEnd w:id="131"/>
      <w:bookmarkEnd w:id="132"/>
    </w:p>
    <w:p>
      <w:pPr>
        <w:pStyle w:val="2"/>
        <w:ind w:firstLineChars="200" w:firstLine="640"/>
        <w:rPr>
          <w:rFonts w:ascii="黑体" w:eastAsia="黑体" w:cs="Times New Roman"/>
          <w:b w:val="0"/>
          <w:color w:val="000000"/>
        </w:rPr>
      </w:pPr>
      <w:bookmarkStart w:id="133" w:name="_Toc111208526"/>
      <w:bookmarkStart w:id="134" w:name="_Toc113981039"/>
      <w:r>
        <w:rPr>
          <w:rFonts w:ascii="黑体" w:eastAsia="黑体" w:cs="Times New Roman" w:hint="eastAsia"/>
          <w:bCs w:val="0"/>
          <w:color w:val="000000"/>
        </w:rPr>
        <w:t>十四、国有资本经营预算财政拨款支出决算表</w:t>
      </w:r>
      <w:bookmarkEnd w:id="133"/>
      <w:bookmarkEnd w:id="134"/>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 w:name="Times New Roman">
    <w:panose1 w:val="02020603050405020304"/>
    <w:charset w:val="00"/>
    <w:family w:val="roman"/>
    <w:pitch w:val="variable"/>
    <w:sig w:usb0="20007A87" w:usb1="80000000" w:usb2="00000008" w:usb3="00000000" w:csb0="000001FF"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6FF" w:usb1="420024FF" w:usb2="02000000" w:usb3="00000000" w:csb0="2000019F" w:csb1="00000000"/>
  </w:font>
  <w:font w:name="??">
    <w:altName w:val="DejaVu Sans"/>
    <w:panose1 w:val="00000000000000000000"/>
    <w:charset w:val="00"/>
    <w:family w:val="auto"/>
    <w:pitch w:val="variable"/>
    <w:sig w:usb0="00000000" w:usb1="00000000" w:usb2="00000000" w:usb3="00000000" w:csb0="00000000" w:csb1="00000000"/>
  </w:font>
  <w:font w:name="等线">
    <w:altName w:val="宋体"/>
    <w:panose1 w:val="02010600030101010101"/>
    <w:charset w:val="86"/>
    <w:family w:val="auto"/>
    <w:pitch w:val="variable"/>
    <w:sig w:usb0="A00002BF" w:usb1="38CF7CFA" w:usb2="00000016" w:usb3="00000000" w:csb0="0004000F" w:csb1="00000000"/>
  </w:font>
  <w:font w:name="等线 Light">
    <w:altName w:val="宋体"/>
    <w:panose1 w:val="020106000301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080528502"/>
    </w:sdtPr>
    <w:sdtContent>
      <w:p>
        <w:pPr>
          <w:pStyle w:val="20"/>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53208E"/>
    <w:multiLevelType w:val="singleLevel"/>
    <w:tmpl w:val="0053208E"/>
    <w:lvl w:ilvl="0">
      <w:start w:val="2"/>
      <w:numFmt w:val="chineseCounting"/>
      <w:lvlRestart w:val="0"/>
      <w:suff w:val="nothing"/>
      <w:lvlText w:val="（%1）"/>
      <w:lvlJc w:val="left"/>
      <w:pPr>
        <w:ind w:left="0" w:hanging="0"/>
      </w:pPr>
      <w:rPr>
        <w:rFonts w:hint="eastAsia"/>
      </w:rPr>
    </w:lvl>
  </w:abstractNum>
  <w:abstractNum w:abstractNumId="1">
    <w:nsid w:val="CF092B84"/>
    <w:multiLevelType w:val="singleLevel"/>
    <w:tmpl w:val="CF092B84"/>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ZTYxMzZkODczZmJkODIzZGI3MmY1ODk4MWVkZDA1Mz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character" w:styleId="27">
    <w:name w:val="annotation reference"/>
    <w:basedOn w:val="10"/>
    <w:rPr>
      <w:sz w:val="21"/>
      <w:szCs w:val="21"/>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 w:type="paragraph" w:customStyle="1" w:styleId="34">
    <w:name w:val="Normal6c118dae"/>
    <w:next w:val="2"/>
    <w:pPr>
      <w:widowControl w:val="0"/>
      <w:jc w:val="both"/>
    </w:pPr>
    <w:rPr>
      <w:rFonts w:ascii="Times New Roman" w:eastAsia="仿宋_GB2312" w:cs="Times New Roman" w:hAnsi="Times New Roman"/>
      <w:kern w:val="2"/>
      <w:sz w:val="32"/>
      <w:szCs w:val="24"/>
      <w:lang w:val="en-US" w:eastAsia="zh-CN" w:bidi="ar-SA"/>
    </w:rPr>
  </w:style>
  <w:style w:type="paragraph" w:customStyle="1" w:styleId="35">
    <w:name w:val="heading 183a068ec"/>
    <w:basedOn w:val="34"/>
    <w:next w:val="1"/>
    <w:pPr>
      <w:keepNext/>
      <w:keepLines/>
      <w:widowControl w:val="0"/>
      <w:spacing w:before="340" w:after="330" w:line="578" w:lineRule="auto"/>
      <w:outlineLvl w:val="0"/>
    </w:pPr>
    <w:rPr>
      <w:b/>
      <w:bCs/>
      <w:kern w:val="44"/>
      <w:sz w:val="44"/>
    </w:rPr>
  </w:style>
  <w:style w:type="paragraph" w:customStyle="1" w:styleId="36">
    <w:name w:val="heading 24"/>
    <w:basedOn w:val="34"/>
    <w:next w:val="1"/>
    <w:pPr>
      <w:keepNext/>
      <w:keepLines/>
      <w:widowControl w:val="0"/>
      <w:spacing w:before="260" w:after="260" w:line="415" w:lineRule="auto"/>
      <w:outlineLvl w:val="1"/>
    </w:pPr>
    <w:rPr>
      <w:rFonts w:eastAsia="黑体"/>
      <w:b/>
    </w:rPr>
  </w:style>
  <w:style w:type="paragraph" w:customStyle="1" w:styleId="37">
    <w:name w:val="heading 35"/>
    <w:basedOn w:val="34"/>
    <w:next w:val="1"/>
    <w:pPr>
      <w:keepNext/>
      <w:keepLines/>
      <w:widowControl w:val="0"/>
      <w:spacing w:before="260" w:after="260" w:line="415" w:lineRule="auto"/>
      <w:outlineLvl w:val="2"/>
    </w:pPr>
    <w:rPr>
      <w:b/>
    </w:rPr>
  </w:style>
  <w:style w:type="character" w:customStyle="1" w:styleId="38">
    <w:name w:val="Default Paragraph Font13"/>
  </w:style>
  <w:style w:type="paragraph" w:customStyle="1" w:styleId="39">
    <w:name w:val="Title75ae2d69"/>
    <w:basedOn w:val="34"/>
    <w:next w:val="1"/>
    <w:pPr>
      <w:widowControl/>
      <w:spacing w:before="240" w:after="60"/>
      <w:ind w:firstLineChars="200" w:firstLine="200"/>
      <w:jc w:val="center"/>
      <w:outlineLvl w:val="0"/>
    </w:pPr>
    <w:rPr>
      <w:rFonts w:ascii="Cambria" w:eastAsia="宋体" w:hAnsi="Cambria"/>
      <w:b/>
      <w:bCs/>
      <w:kern w:val="28"/>
      <w:szCs w:val="32"/>
      <w:lang w:bidi="en-US"/>
    </w:rPr>
  </w:style>
  <w:style w:type="paragraph" w:customStyle="1" w:styleId="40">
    <w:name w:val="Document Map6"/>
    <w:basedOn w:val="34"/>
    <w:rPr>
      <w:rFonts w:ascii="宋体" w:eastAsia="宋体"/>
      <w:sz w:val="18"/>
      <w:szCs w:val="18"/>
    </w:rPr>
  </w:style>
  <w:style w:type="paragraph" w:customStyle="1" w:styleId="41">
    <w:name w:val="Body Text7"/>
    <w:basedOn w:val="34"/>
    <w:pPr>
      <w:spacing w:beforeLines="30" w:before="30"/>
    </w:pPr>
    <w:rPr>
      <w:rFonts w:ascii="仿宋_GB2312"/>
      <w:kern w:val="0"/>
      <w:sz w:val="24"/>
      <w:szCs w:val="20"/>
      <w:lang w:val="zh-CN"/>
    </w:rPr>
  </w:style>
  <w:style w:type="paragraph" w:customStyle="1" w:styleId="42">
    <w:name w:val="Balloon Text8"/>
    <w:basedOn w:val="34"/>
    <w:rPr>
      <w:sz w:val="18"/>
      <w:szCs w:val="18"/>
    </w:rPr>
  </w:style>
  <w:style w:type="paragraph" w:customStyle="1" w:styleId="43">
    <w:name w:val="footer9"/>
    <w:basedOn w:val="34"/>
    <w:pPr>
      <w:tabs>
        <w:tab w:val="center" w:pos="4153"/>
        <w:tab w:val="right" w:pos="8306"/>
      </w:tabs>
      <w:snapToGrid w:val="0"/>
      <w:jc w:val="left"/>
    </w:pPr>
    <w:rPr>
      <w:rFonts w:eastAsia="宋体"/>
      <w:sz w:val="18"/>
      <w:szCs w:val="18"/>
    </w:rPr>
  </w:style>
  <w:style w:type="paragraph" w:customStyle="1" w:styleId="44">
    <w:name w:val="headerc1456fcb"/>
    <w:basedOn w:val="34"/>
    <w:pPr>
      <w:pBdr>
        <w:bottom w:val="single" w:sz="6" w:space="1" w:color="auto"/>
      </w:pBdr>
      <w:tabs>
        <w:tab w:val="center" w:pos="4153"/>
        <w:tab w:val="right" w:pos="8306"/>
      </w:tabs>
      <w:snapToGrid w:val="0"/>
      <w:jc w:val="center"/>
    </w:pPr>
    <w:rPr>
      <w:rFonts w:eastAsia="宋体"/>
      <w:sz w:val="18"/>
      <w:szCs w:val="18"/>
    </w:rPr>
  </w:style>
  <w:style w:type="paragraph" w:customStyle="1" w:styleId="45">
    <w:name w:val="Normal (Web)11"/>
    <w:basedOn w:val="34"/>
    <w:pPr>
      <w:spacing w:before="100" w:beforeAutospacing="1" w:after="100" w:afterAutospacing="1"/>
      <w:jc w:val="left"/>
    </w:pPr>
    <w:rPr>
      <w:kern w:val="0"/>
      <w:sz w:val="24"/>
    </w:rPr>
  </w:style>
  <w:style w:type="character" w:customStyle="1" w:styleId="46">
    <w:name w:val="page number14"/>
    <w:basedOn w:val="38"/>
  </w:style>
  <w:style w:type="paragraph" w:customStyle="1" w:styleId="47">
    <w:name w:val="四号正文15"/>
    <w:basedOn w:val="34"/>
    <w:pPr>
      <w:spacing w:line="360" w:lineRule="auto"/>
    </w:pPr>
    <w:rPr>
      <w:rFonts w:ascii="??" w:eastAsia="宋体" w:cs="宋体" w:hAnsi="??"/>
      <w:color w:val="000000"/>
      <w:kern w:val="0"/>
      <w:sz w:val="28"/>
      <w:szCs w:val="21"/>
    </w:rPr>
  </w:style>
  <w:style w:type="paragraph" w:customStyle="1" w:styleId="48">
    <w:name w:val="a16"/>
    <w:basedOn w:val="34"/>
    <w:pPr>
      <w:widowControl/>
      <w:spacing w:before="100" w:beforeAutospacing="1" w:after="100" w:afterAutospacing="1"/>
      <w:jc w:val="left"/>
    </w:pPr>
    <w:rPr>
      <w:rFonts w:ascii="宋体" w:eastAsia="宋体" w:cs="宋体"/>
      <w:kern w:val="0"/>
      <w:sz w:val="24"/>
    </w:rPr>
  </w:style>
  <w:style w:type="character" w:customStyle="1" w:styleId="49">
    <w:name w:val="font3117"/>
    <w:basedOn w:val="38"/>
    <w:rPr>
      <w:rFonts w:ascii="宋体" w:eastAsia="宋体" w:cs="宋体"/>
      <w:color w:val="000000"/>
      <w:sz w:val="24"/>
      <w:szCs w:val="24"/>
      <w:u w:val="none"/>
    </w:rPr>
  </w:style>
  <w:style w:type="character" w:customStyle="1" w:styleId="50">
    <w:name w:val="font11218"/>
    <w:basedOn w:val="38"/>
    <w:rPr>
      <w:rFonts w:ascii="宋体" w:eastAsia="宋体" w:cs="宋体"/>
      <w:color w:val="000000"/>
      <w:sz w:val="32"/>
      <w:szCs w:val="32"/>
      <w:u w:val="none"/>
    </w:rPr>
  </w:style>
  <w:style w:type="character" w:customStyle="1" w:styleId="51">
    <w:name w:val="font12119"/>
    <w:basedOn w:val="38"/>
    <w:rPr>
      <w:rFonts w:ascii="宋体" w:eastAsia="宋体" w:cs="宋体"/>
      <w:color w:val="000000"/>
      <w:sz w:val="20"/>
      <w:szCs w:val="20"/>
      <w:u w:val="none"/>
    </w:rPr>
  </w:style>
  <w:style w:type="character" w:customStyle="1" w:styleId="52">
    <w:name w:val="font131b26ec398"/>
    <w:basedOn w:val="38"/>
    <w:rPr>
      <w:rFonts w:ascii="Calibri" w:cs="Calibri" w:hAnsi="Calibri"/>
      <w:color w:val="000000"/>
      <w:sz w:val="21"/>
      <w:szCs w:val="21"/>
      <w:u w:val="none"/>
    </w:rPr>
  </w:style>
  <w:style w:type="character" w:customStyle="1" w:styleId="53">
    <w:name w:val="font9121"/>
    <w:basedOn w:val="38"/>
    <w:rPr>
      <w:rFonts w:ascii="仿宋" w:eastAsia="仿宋" w:cs="仿宋"/>
      <w:color w:val="000000"/>
      <w:sz w:val="21"/>
      <w:szCs w:val="21"/>
      <w:u w:val="none"/>
    </w:rPr>
  </w:style>
  <w:style w:type="paragraph" w:customStyle="1" w:styleId="54">
    <w:name w:val="Normal71194d1e"/>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heading 1dce36f67"/>
    <w:basedOn w:val="54"/>
    <w:next w:val="1"/>
    <w:pPr>
      <w:keepNext/>
      <w:keepLines/>
      <w:widowControl w:val="0"/>
      <w:spacing w:before="340" w:after="330" w:line="578" w:lineRule="auto"/>
      <w:outlineLvl w:val="0"/>
    </w:pPr>
    <w:rPr>
      <w:b/>
      <w:bCs/>
      <w:kern w:val="44"/>
      <w:sz w:val="44"/>
      <w:szCs w:val="44"/>
    </w:rPr>
  </w:style>
  <w:style w:type="paragraph" w:customStyle="1" w:styleId="56">
    <w:name w:val="heading 2ce08e873"/>
    <w:basedOn w:val="54"/>
    <w:next w:val="1"/>
    <w:pPr>
      <w:keepNext/>
      <w:keepLines/>
      <w:widowControl w:val="0"/>
      <w:spacing w:before="260" w:after="260" w:line="415" w:lineRule="auto"/>
      <w:outlineLvl w:val="1"/>
    </w:pPr>
    <w:rPr>
      <w:rFonts w:ascii="Cambria" w:hAnsi="Cambria"/>
      <w:b/>
      <w:bCs/>
      <w:sz w:val="32"/>
      <w:szCs w:val="32"/>
    </w:rPr>
  </w:style>
  <w:style w:type="paragraph" w:customStyle="1" w:styleId="57">
    <w:name w:val="heading 37348c01c"/>
    <w:basedOn w:val="54"/>
    <w:next w:val="1"/>
    <w:pPr>
      <w:keepNext/>
      <w:keepLines/>
      <w:widowControl w:val="0"/>
      <w:spacing w:before="260" w:after="260" w:line="415" w:lineRule="auto"/>
      <w:outlineLvl w:val="2"/>
    </w:pPr>
    <w:rPr>
      <w:b/>
      <w:bCs/>
      <w:sz w:val="32"/>
      <w:szCs w:val="32"/>
    </w:rPr>
  </w:style>
  <w:style w:type="character" w:customStyle="1" w:styleId="58">
    <w:name w:val="Default Paragraph Font2e1bc964"/>
  </w:style>
  <w:style w:type="paragraph" w:customStyle="1" w:styleId="59">
    <w:name w:val="toc 7945c88bf"/>
    <w:basedOn w:val="54"/>
    <w:next w:val="1"/>
    <w:pPr>
      <w:ind w:left="1260"/>
      <w:jc w:val="left"/>
    </w:pPr>
    <w:rPr>
      <w:rFonts w:ascii="等线" w:eastAsia="等线"/>
      <w:sz w:val="18"/>
      <w:szCs w:val="18"/>
    </w:rPr>
  </w:style>
  <w:style w:type="paragraph" w:customStyle="1" w:styleId="60">
    <w:name w:val="Body Text4e3f4192"/>
    <w:basedOn w:val="54"/>
    <w:pPr>
      <w:spacing w:beforeLines="30" w:before="30"/>
    </w:pPr>
    <w:rPr>
      <w:rFonts w:ascii="仿宋_GB2312" w:eastAsia="仿宋_GB2312"/>
      <w:kern w:val="0"/>
      <w:sz w:val="24"/>
      <w:szCs w:val="20"/>
      <w:lang w:val="zh-CN"/>
    </w:rPr>
  </w:style>
  <w:style w:type="paragraph" w:customStyle="1" w:styleId="61">
    <w:name w:val="toc 50eab547d"/>
    <w:basedOn w:val="54"/>
    <w:next w:val="1"/>
    <w:pPr>
      <w:ind w:left="840"/>
      <w:jc w:val="left"/>
    </w:pPr>
    <w:rPr>
      <w:rFonts w:ascii="等线" w:eastAsia="等线"/>
      <w:sz w:val="18"/>
      <w:szCs w:val="18"/>
    </w:rPr>
  </w:style>
  <w:style w:type="paragraph" w:customStyle="1" w:styleId="62">
    <w:name w:val="toc 3b620b260"/>
    <w:basedOn w:val="54"/>
    <w:next w:val="1"/>
    <w:pPr>
      <w:ind w:left="420"/>
      <w:jc w:val="left"/>
    </w:pPr>
    <w:rPr>
      <w:rFonts w:ascii="等线" w:eastAsia="等线"/>
      <w:i/>
      <w:iCs/>
      <w:sz w:val="20"/>
      <w:szCs w:val="20"/>
    </w:rPr>
  </w:style>
  <w:style w:type="paragraph" w:customStyle="1" w:styleId="63">
    <w:name w:val="toc 8fa5dc2ee"/>
    <w:basedOn w:val="54"/>
    <w:next w:val="1"/>
    <w:pPr>
      <w:ind w:left="1470"/>
      <w:jc w:val="left"/>
    </w:pPr>
    <w:rPr>
      <w:rFonts w:ascii="等线" w:eastAsia="等线"/>
      <w:sz w:val="18"/>
      <w:szCs w:val="18"/>
    </w:rPr>
  </w:style>
  <w:style w:type="paragraph" w:customStyle="1" w:styleId="64">
    <w:name w:val="Balloon Text5368d5e1"/>
    <w:basedOn w:val="54"/>
    <w:rPr>
      <w:sz w:val="18"/>
      <w:szCs w:val="18"/>
    </w:rPr>
  </w:style>
  <w:style w:type="paragraph" w:customStyle="1" w:styleId="65">
    <w:name w:val="footer02cd1715"/>
    <w:basedOn w:val="54"/>
    <w:pPr>
      <w:tabs>
        <w:tab w:val="center" w:pos="4153"/>
        <w:tab w:val="right" w:pos="8306"/>
      </w:tabs>
      <w:snapToGrid w:val="0"/>
      <w:jc w:val="left"/>
    </w:pPr>
    <w:rPr>
      <w:rFonts w:ascii="Calibri" w:hAnsi="Calibri"/>
      <w:kern w:val="0"/>
      <w:sz w:val="18"/>
      <w:szCs w:val="20"/>
      <w:lang w:val="zh-CN"/>
    </w:rPr>
  </w:style>
  <w:style w:type="paragraph" w:customStyle="1" w:styleId="66">
    <w:name w:val="header32595805"/>
    <w:basedOn w:val="54"/>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customStyle="1" w:styleId="67">
    <w:name w:val="toc 11d7f2a37"/>
    <w:basedOn w:val="54"/>
    <w:next w:val="1"/>
    <w:pPr>
      <w:spacing w:before="120" w:after="120"/>
      <w:jc w:val="left"/>
    </w:pPr>
    <w:rPr>
      <w:rFonts w:ascii="等线" w:eastAsia="等线"/>
      <w:b/>
      <w:bCs/>
      <w:caps/>
      <w:smallCaps w:val="0"/>
      <w:sz w:val="20"/>
      <w:szCs w:val="20"/>
    </w:rPr>
  </w:style>
  <w:style w:type="paragraph" w:customStyle="1" w:styleId="68">
    <w:name w:val="toc 4145599f9"/>
    <w:basedOn w:val="54"/>
    <w:next w:val="1"/>
    <w:pPr>
      <w:ind w:left="630"/>
      <w:jc w:val="left"/>
    </w:pPr>
    <w:rPr>
      <w:rFonts w:ascii="等线" w:eastAsia="等线"/>
      <w:sz w:val="18"/>
      <w:szCs w:val="18"/>
    </w:rPr>
  </w:style>
  <w:style w:type="paragraph" w:customStyle="1" w:styleId="69">
    <w:name w:val="toc 663541c22"/>
    <w:basedOn w:val="54"/>
    <w:next w:val="1"/>
    <w:pPr>
      <w:ind w:left="1050"/>
      <w:jc w:val="left"/>
    </w:pPr>
    <w:rPr>
      <w:rFonts w:ascii="等线" w:eastAsia="等线"/>
      <w:sz w:val="18"/>
      <w:szCs w:val="18"/>
    </w:rPr>
  </w:style>
  <w:style w:type="paragraph" w:customStyle="1" w:styleId="70">
    <w:name w:val="toc 2d536d2f3"/>
    <w:basedOn w:val="54"/>
    <w:next w:val="1"/>
    <w:pPr>
      <w:ind w:left="210"/>
      <w:jc w:val="left"/>
    </w:pPr>
    <w:rPr>
      <w:rFonts w:ascii="等线" w:eastAsia="等线"/>
      <w:caps w:val="0"/>
      <w:smallCaps/>
      <w:sz w:val="20"/>
      <w:szCs w:val="20"/>
    </w:rPr>
  </w:style>
  <w:style w:type="paragraph" w:customStyle="1" w:styleId="71">
    <w:name w:val="toc 900a1be6e"/>
    <w:basedOn w:val="54"/>
    <w:next w:val="1"/>
    <w:pPr>
      <w:ind w:left="1680"/>
      <w:jc w:val="left"/>
    </w:pPr>
    <w:rPr>
      <w:rFonts w:ascii="等线" w:eastAsia="等线"/>
      <w:sz w:val="18"/>
      <w:szCs w:val="18"/>
    </w:rPr>
  </w:style>
  <w:style w:type="paragraph" w:customStyle="1" w:styleId="72">
    <w:name w:val="Normal (Web)1b608213"/>
    <w:basedOn w:val="54"/>
    <w:pPr>
      <w:spacing w:before="100" w:beforeAutospacing="1" w:after="100" w:afterAutospacing="1"/>
      <w:jc w:val="left"/>
    </w:pPr>
    <w:rPr>
      <w:rFonts w:eastAsia="仿宋_GB2312"/>
      <w:kern w:val="0"/>
      <w:sz w:val="24"/>
    </w:rPr>
  </w:style>
  <w:style w:type="paragraph" w:customStyle="1" w:styleId="73">
    <w:name w:val="Body Text First Indent 2d190986d"/>
    <w:basedOn w:val="54"/>
    <w:next w:val="1"/>
    <w:pPr>
      <w:ind w:firstLineChars="200" w:firstLine="200"/>
    </w:pPr>
    <w:rPr>
      <w:rFonts w:ascii="Calibri" w:cs="Arial" w:hAnsi="Calibri"/>
      <w:sz w:val="32"/>
      <w:szCs w:val="22"/>
    </w:rPr>
  </w:style>
  <w:style w:type="character" w:customStyle="1" w:styleId="74">
    <w:name w:val="Strong22"/>
    <w:basedOn w:val="58"/>
    <w:rPr>
      <w:rFonts w:cs="Times New Roman"/>
      <w:b/>
    </w:rPr>
  </w:style>
  <w:style w:type="character" w:customStyle="1" w:styleId="75">
    <w:name w:val="Hyperlink23"/>
    <w:basedOn w:val="58"/>
    <w:rPr>
      <w:rFonts w:cs="Times New Roman"/>
      <w:color w:val="0000FF"/>
      <w:u w:val="single"/>
    </w:rPr>
  </w:style>
  <w:style w:type="character" w:customStyle="1" w:styleId="76">
    <w:name w:val="Body Text Char26"/>
    <w:basedOn w:val="58"/>
    <w:rPr>
      <w:rFonts w:ascii="Times New Roman" w:cs="Times New Roman" w:hAnsi="Times New Roman"/>
      <w:sz w:val="24"/>
      <w:szCs w:val="24"/>
    </w:rPr>
  </w:style>
  <w:style w:type="character" w:customStyle="1" w:styleId="77">
    <w:name w:val="Footer Char27"/>
    <w:basedOn w:val="58"/>
    <w:rPr>
      <w:rFonts w:ascii="Times New Roman" w:cs="Times New Roman" w:hAnsi="Times New Roman"/>
      <w:sz w:val="18"/>
      <w:szCs w:val="18"/>
    </w:rPr>
  </w:style>
  <w:style w:type="character" w:customStyle="1" w:styleId="78">
    <w:name w:val="Header Char28"/>
    <w:basedOn w:val="58"/>
    <w:rPr>
      <w:rFonts w:ascii="Times New Roman" w:cs="Times New Roman" w:hAnsi="Times New Roman"/>
      <w:sz w:val="18"/>
      <w:szCs w:val="18"/>
    </w:rPr>
  </w:style>
  <w:style w:type="paragraph" w:customStyle="1" w:styleId="79">
    <w:name w:val="Default29"/>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80">
    <w:name w:val="列表段落1f7a3668f"/>
    <w:basedOn w:val="54"/>
    <w:pPr>
      <w:ind w:firstLineChars="200" w:firstLine="200"/>
    </w:pPr>
  </w:style>
  <w:style w:type="paragraph" w:customStyle="1" w:styleId="81">
    <w:name w:val="TOC 标题131"/>
    <w:basedOn w:val="55"/>
    <w:next w:val="1"/>
    <w:pPr>
      <w:keepNext/>
      <w:keepLines/>
      <w:widowControl/>
      <w:spacing w:before="480" w:after="0" w:line="276" w:lineRule="auto"/>
      <w:jc w:val="left"/>
      <w:outlineLvl w:val="9"/>
    </w:pPr>
    <w:rPr>
      <w:rFonts w:ascii="Cambria" w:hAnsi="Cambria"/>
      <w:color w:val="365F91"/>
      <w:kern w:val="0"/>
      <w:sz w:val="28"/>
      <w:szCs w:val="28"/>
    </w:rPr>
  </w:style>
  <w:style w:type="paragraph" w:customStyle="1" w:styleId="82">
    <w:name w:val="TOC Heading132"/>
    <w:basedOn w:val="55"/>
    <w:next w:val="1"/>
    <w:pPr>
      <w:keepNext/>
      <w:keepLines/>
      <w:widowControl/>
      <w:spacing w:before="480" w:after="0" w:line="276" w:lineRule="auto"/>
      <w:jc w:val="left"/>
      <w:outlineLvl w:val="9"/>
    </w:pPr>
    <w:rPr>
      <w:rFonts w:ascii="Cambria" w:hAnsi="Cambria"/>
      <w:color w:val="365F91"/>
      <w:kern w:val="0"/>
      <w:sz w:val="28"/>
      <w:szCs w:val="28"/>
    </w:rPr>
  </w:style>
  <w:style w:type="paragraph" w:customStyle="1" w:styleId="83">
    <w:name w:val="TOC Heading33"/>
    <w:basedOn w:val="55"/>
    <w:next w:val="1"/>
    <w:pPr>
      <w:keepNext/>
      <w:keepLines/>
      <w:widowControl/>
      <w:spacing w:before="240" w:after="0" w:line="259" w:lineRule="auto"/>
      <w:jc w:val="left"/>
      <w:outlineLvl w:val="9"/>
    </w:pPr>
    <w:rPr>
      <w:rFonts w:ascii="等线 Light" w:eastAsia="等线 Light"/>
      <w:b w:val="0"/>
      <w:bCs w:val="0"/>
      <w:color w:val="2F5597"/>
      <w:kern w:val="0"/>
      <w:sz w:val="32"/>
      <w:szCs w:val="32"/>
    </w:rPr>
  </w:style>
  <w:style w:type="paragraph" w:customStyle="1" w:styleId="84">
    <w:name w:val="四号正文34"/>
    <w:basedOn w:val="54"/>
    <w:pPr>
      <w:spacing w:line="360" w:lineRule="auto"/>
    </w:pPr>
    <w:rPr>
      <w:rFonts w:ascii="??" w:cs="宋体" w:hAnsi="??"/>
      <w:color w:val="000000"/>
      <w:kern w:val="0"/>
      <w:sz w:val="28"/>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40.51</c:v>
                </c:pt>
                <c:pt idx="1">
                  <c:v>114.99</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40.51</c:v>
                </c:pt>
                <c:pt idx="1">
                  <c:v>114.99</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1149868.3</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1149868.3</c:v>
                </c:pt>
                <c:pt idx="1">
                  <c:v>0.0</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40.51</c:v>
                </c:pt>
                <c:pt idx="1">
                  <c:v>114.99</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40.51</c:v>
                </c:pt>
                <c:pt idx="1">
                  <c:v>114.99</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40.51</c:v>
                </c:pt>
              </c:numCache>
            </c:numRef>
          </c:val>
        </c:ser>
        <c:ser>
          <c:idx val="2"/>
          <c:order val="1"/>
          <c:tx>
            <c:v>2021</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114.99</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4"/>
              <c:pt idx="0">
                <c:v>社会保障和就业支出</c:v>
              </c:pt>
              <c:pt idx="1">
                <c:v>卫生健康支出</c:v>
              </c:pt>
              <c:pt idx="2">
                <c:v>住房保障支出</c:v>
              </c:pt>
              <c:pt idx="3">
                <c:v>灾害防治及应急管理支出</c:v>
              </c:pt>
            </c:strLit>
          </c:cat>
          <c:val>
            <c:numRef>
              <c:f/>
              <c:numCache>
                <c:formatCode>General</c:formatCode>
                <c:ptCount val="4"/>
                <c:pt idx="0">
                  <c:v>4.37</c:v>
                </c:pt>
                <c:pt idx="1">
                  <c:v>1.88</c:v>
                </c:pt>
                <c:pt idx="2">
                  <c:v>6.31</c:v>
                </c:pt>
                <c:pt idx="3">
                  <c:v>102.43</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TotalTime>
  <Application>Yozo_Office27021597764231179</Application>
  <Pages>20</Pages>
  <Words>5407</Words>
  <Characters>5912</Characters>
  <Lines>346</Lines>
  <Paragraphs>174</Paragraphs>
  <CharactersWithSpaces>5983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304</cp:revision>
  <cp:lastPrinted>2022-09-27T09:34:53Z</cp:lastPrinted>
  <dcterms:created xsi:type="dcterms:W3CDTF">2022-08-17T01:31:00Z</dcterms:created>
  <dcterms:modified xsi:type="dcterms:W3CDTF">2022-09-29T03:08:44Z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B93CA6F4BEAD4F359769D1203595D585</vt:lpwstr>
  </property>
</Properties>
</file>