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51662738"/>
      <w:bookmarkStart w:id="3" w:name="_Toc15396597"/>
      <w:bookmarkStart w:id="4" w:name="_Toc4716"/>
      <w:bookmarkStart w:id="5" w:name="_Toc15377425"/>
      <w:bookmarkStart w:id="6" w:name="_Toc15377193"/>
      <w:bookmarkStart w:id="7" w:name="_Toc15396475"/>
      <w:bookmarkStart w:id="8" w:name="_Toc51662550"/>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End w:id="7"/>
      <w:bookmarkEnd w:id="8"/>
    </w:p>
    <w:p>
      <w:pPr>
        <w:adjustRightInd w:val="0"/>
        <w:snapToGrid w:val="0"/>
        <w:spacing w:line="360" w:lineRule="auto"/>
        <w:jc w:val="center"/>
        <w:outlineLvl w:val="0"/>
        <w:rPr>
          <w:rFonts w:ascii="方正小标宋简体" w:hAnsi="宋体" w:eastAsia="方正小标宋简体"/>
          <w:color w:val="000000"/>
          <w:sz w:val="72"/>
          <w:szCs w:val="72"/>
        </w:rPr>
      </w:pPr>
      <w:bookmarkStart w:id="9" w:name="_Toc15378442"/>
      <w:bookmarkStart w:id="10" w:name="_Toc15396598"/>
      <w:bookmarkStart w:id="11" w:name="_Toc20929"/>
      <w:bookmarkStart w:id="12" w:name="_Toc51662739"/>
      <w:bookmarkStart w:id="13" w:name="_Toc15377426"/>
      <w:bookmarkStart w:id="14" w:name="_Toc15396476"/>
      <w:bookmarkStart w:id="15" w:name="_Toc51662551"/>
      <w:bookmarkStart w:id="16" w:name="_Toc15377194"/>
      <w:r>
        <w:rPr>
          <w:rFonts w:hint="eastAsia" w:ascii="方正小标宋简体" w:hAnsi="宋体" w:eastAsia="方正小标宋简体"/>
          <w:color w:val="000000"/>
          <w:sz w:val="72"/>
          <w:szCs w:val="72"/>
        </w:rPr>
        <w:t>四川省阿坝州</w:t>
      </w:r>
      <w:bookmarkEnd w:id="0"/>
      <w:bookmarkStart w:id="17" w:name="_Toc15306268"/>
      <w:r>
        <w:rPr>
          <w:rFonts w:hint="eastAsia" w:ascii="方正小标宋简体" w:hAnsi="宋体" w:eastAsia="方正小标宋简体"/>
          <w:color w:val="000000"/>
          <w:sz w:val="72"/>
          <w:szCs w:val="72"/>
        </w:rPr>
        <w:t>茂县市场监督管理局部门决算</w:t>
      </w:r>
      <w:bookmarkEnd w:id="9"/>
      <w:bookmarkEnd w:id="10"/>
      <w:bookmarkEnd w:id="11"/>
      <w:bookmarkEnd w:id="12"/>
      <w:bookmarkEnd w:id="13"/>
      <w:bookmarkEnd w:id="14"/>
      <w:bookmarkEnd w:id="15"/>
      <w:bookmarkEnd w:id="16"/>
      <w:bookmarkEnd w:id="17"/>
    </w:p>
    <w:p>
      <w:pPr>
        <w:adjustRightInd w:val="0"/>
        <w:snapToGrid w:val="0"/>
        <w:spacing w:line="360" w:lineRule="auto"/>
        <w:jc w:val="center"/>
        <w:outlineLvl w:val="0"/>
        <w:rPr>
          <w:rFonts w:ascii="方正小标宋简体" w:hAnsi="宋体" w:eastAsia="方正小标宋简体"/>
          <w:color w:val="000000"/>
          <w:sz w:val="52"/>
          <w:szCs w:val="52"/>
        </w:rPr>
      </w:pPr>
      <w:r>
        <w:rPr>
          <w:rFonts w:hint="eastAsia" w:ascii="方正小标宋简体" w:hAnsi="宋体" w:eastAsia="方正小标宋简体"/>
          <w:color w:val="000000"/>
          <w:sz w:val="52"/>
          <w:szCs w:val="52"/>
        </w:rPr>
        <w:t xml:space="preserve"> </w:t>
      </w: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 xml:space="preserve">保密审查情况： </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 xml:space="preserve">部门主要负责人审签情况： </w:t>
      </w:r>
    </w:p>
    <w:p>
      <w:pPr>
        <w:widowControl/>
        <w:jc w:val="center"/>
        <w:rPr>
          <w:rFonts w:ascii="方正小标宋简体" w:hAnsi="宋体" w:eastAsia="方正小标宋简体"/>
          <w:sz w:val="36"/>
          <w:szCs w:val="36"/>
        </w:rPr>
      </w:pPr>
    </w:p>
    <w:p>
      <w:pPr>
        <w:jc w:val="center"/>
      </w:pPr>
      <w:r>
        <w:rPr>
          <w:rFonts w:ascii="方正小标宋简体" w:hAnsi="宋体" w:eastAsia="方正小标宋简体"/>
          <w:sz w:val="36"/>
          <w:szCs w:val="36"/>
        </w:rPr>
        <w:br w:type="page"/>
      </w:r>
    </w:p>
    <w:p>
      <w:pPr>
        <w:adjustRightInd w:val="0"/>
        <w:snapToGrid w:val="0"/>
        <w:spacing w:line="360" w:lineRule="auto"/>
        <w:jc w:val="center"/>
        <w:outlineLvl w:val="0"/>
        <w:rPr>
          <w:rFonts w:ascii="方正小标宋简体" w:hAnsi="方正小标宋简体" w:eastAsia="方正小标宋简体"/>
          <w:color w:val="000000"/>
          <w:sz w:val="44"/>
          <w:szCs w:val="44"/>
        </w:rPr>
      </w:pPr>
      <w:bookmarkStart w:id="18" w:name="_Toc18470"/>
      <w:bookmarkStart w:id="19" w:name="_Toc15377196"/>
      <w:r>
        <w:rPr>
          <w:rFonts w:hint="eastAsia" w:ascii="方正小标宋简体" w:hAnsi="方正小标宋简体" w:eastAsia="方正小标宋简体"/>
          <w:color w:val="000000"/>
          <w:sz w:val="44"/>
          <w:szCs w:val="44"/>
        </w:rPr>
        <w:t>目录</w:t>
      </w:r>
      <w:bookmarkEnd w:id="18"/>
      <w:r>
        <w:rPr>
          <w:rFonts w:ascii="方正小标宋简体" w:hAnsi="方正小标宋简体" w:eastAsia="方正小标宋简体"/>
          <w:color w:val="000000"/>
          <w:sz w:val="44"/>
          <w:szCs w:val="44"/>
        </w:rPr>
        <w:t xml:space="preserve"> </w:t>
      </w:r>
    </w:p>
    <w:p>
      <w:pPr>
        <w:widowControl/>
        <w:spacing w:line="440" w:lineRule="exact"/>
        <w:jc w:val="center"/>
        <w:rPr>
          <w:rFonts w:ascii="仿宋_GB2312" w:hAnsi="仿宋_GB2312" w:eastAsia="仿宋_GB2312" w:cs="仿宋_GB2312"/>
          <w:color w:val="000000"/>
          <w:sz w:val="32"/>
          <w:szCs w:val="32"/>
        </w:rPr>
      </w:pPr>
      <w:r>
        <w:rPr>
          <w:rFonts w:hint="eastAsia" w:ascii="仿宋_GB2312" w:hAnsi="黑体" w:eastAsia="仿宋_GB2312"/>
          <w:color w:val="000000"/>
          <w:sz w:val="28"/>
          <w:szCs w:val="28"/>
        </w:rPr>
        <w:t>公开时间：2020年9月24日</w:t>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TOC \o "1-2" \h \z \u </w:instrText>
      </w:r>
      <w:r>
        <w:rPr>
          <w:rFonts w:hint="eastAsia" w:ascii="仿宋_GB2312" w:hAnsi="仿宋_GB2312" w:eastAsia="仿宋_GB2312" w:cs="仿宋_GB2312"/>
          <w:color w:val="000000"/>
          <w:sz w:val="32"/>
          <w:szCs w:val="32"/>
        </w:rPr>
        <w:fldChar w:fldCharType="separate"/>
      </w:r>
    </w:p>
    <w:p>
      <w:pPr>
        <w:pStyle w:val="13"/>
        <w:tabs>
          <w:tab w:val="right" w:leader="dot" w:pos="8306"/>
          <w:tab w:val="clear" w:pos="8296"/>
        </w:tabs>
        <w:rPr>
          <w:rFonts w:ascii="仿宋_GB2312" w:hAnsi="仿宋_GB2312" w:eastAsia="仿宋_GB2312" w:cs="仿宋_GB2312"/>
          <w:sz w:val="32"/>
          <w:szCs w:val="32"/>
        </w:rPr>
      </w:pPr>
      <w:r>
        <w:fldChar w:fldCharType="begin"/>
      </w:r>
      <w:r>
        <w:instrText xml:space="preserve"> HYPERLINK \l "_Toc3124" </w:instrText>
      </w:r>
      <w:r>
        <w:fldChar w:fldCharType="separate"/>
      </w:r>
      <w:r>
        <w:rPr>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_Toc3124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"_Toc15619" </w:instrText>
      </w:r>
      <w:r>
        <w:fldChar w:fldCharType="separate"/>
      </w:r>
      <w:r>
        <w:rPr>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_Toc15619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"_Toc15315" </w:instrText>
      </w:r>
      <w:r>
        <w:fldChar w:fldCharType="separate"/>
      </w:r>
      <w:r>
        <w:rPr>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_Toc15315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3"/>
        <w:tabs>
          <w:tab w:val="right" w:leader="dot" w:pos="8306"/>
          <w:tab w:val="clear" w:pos="8296"/>
        </w:tabs>
        <w:rPr>
          <w:rFonts w:ascii="仿宋_GB2312" w:hAnsi="仿宋_GB2312" w:eastAsia="仿宋_GB2312" w:cs="仿宋_GB2312"/>
          <w:sz w:val="32"/>
          <w:szCs w:val="32"/>
        </w:rPr>
      </w:pPr>
      <w:r>
        <w:fldChar w:fldCharType="begin"/>
      </w:r>
      <w:r>
        <w:instrText xml:space="preserve"> HYPERLINK \l "_Toc2385" </w:instrText>
      </w:r>
      <w:r>
        <w:fldChar w:fldCharType="separate"/>
      </w:r>
      <w:r>
        <w:rPr>
          <w:rFonts w:hint="eastAsia" w:ascii="仿宋_GB2312" w:hAnsi="仿宋_GB2312" w:eastAsia="仿宋_GB2312" w:cs="仿宋_GB2312"/>
          <w:sz w:val="32"/>
          <w:szCs w:val="32"/>
        </w:rPr>
        <w:t>第二部分 2019年度部门决算情况说明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_Toc2385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"_Toc19724" </w:instrText>
      </w:r>
      <w:r>
        <w:fldChar w:fldCharType="separate"/>
      </w:r>
      <w:r>
        <w:rPr>
          <w:rFonts w:hint="eastAsia" w:ascii="仿宋_GB2312" w:hAnsi="仿宋_GB2312" w:eastAsia="仿宋_GB2312" w:cs="仿宋_GB2312"/>
          <w:sz w:val="32"/>
          <w:szCs w:val="32"/>
        </w:rPr>
        <w:t>一、收入支出决算总体情况说明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_Toc19724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"_Toc10429" </w:instrText>
      </w:r>
      <w:r>
        <w:fldChar w:fldCharType="separate"/>
      </w:r>
      <w:r>
        <w:rPr>
          <w:rFonts w:hint="eastAsia" w:ascii="仿宋_GB2312" w:hAnsi="仿宋_GB2312" w:eastAsia="仿宋_GB2312" w:cs="仿宋_GB2312"/>
          <w:sz w:val="32"/>
          <w:szCs w:val="32"/>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_Toc10429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"_Toc18541" </w:instrText>
      </w:r>
      <w:r>
        <w:fldChar w:fldCharType="separate"/>
      </w:r>
      <w:r>
        <w:rPr>
          <w:rFonts w:hint="eastAsia" w:ascii="仿宋_GB2312" w:hAnsi="仿宋_GB2312" w:eastAsia="仿宋_GB2312" w:cs="仿宋_GB2312"/>
          <w:sz w:val="32"/>
          <w:szCs w:val="32"/>
        </w:rPr>
        <w:t>三、支出决算情况说明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_Toc18541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"_Toc27465" </w:instrText>
      </w:r>
      <w:r>
        <w:fldChar w:fldCharType="separate"/>
      </w: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_Toc27465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"_Toc15546" </w:instrText>
      </w:r>
      <w:r>
        <w:fldChar w:fldCharType="separate"/>
      </w: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_Toc15546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"_Toc1926" </w:instrText>
      </w:r>
      <w:r>
        <w:fldChar w:fldCharType="separate"/>
      </w: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_Toc1926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"_Toc22917" </w:instrText>
      </w:r>
      <w:r>
        <w:fldChar w:fldCharType="separate"/>
      </w:r>
      <w:r>
        <w:rPr>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_Toc22917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"_Toc7300" </w:instrText>
      </w:r>
      <w:r>
        <w:fldChar w:fldCharType="separate"/>
      </w: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_Toc7300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"_Toc27011" </w:instrText>
      </w:r>
      <w:r>
        <w:fldChar w:fldCharType="separate"/>
      </w:r>
      <w:r>
        <w:rPr>
          <w:rFonts w:hint="eastAsia" w:ascii="仿宋_GB2312" w:hAnsi="仿宋_GB2312" w:eastAsia="仿宋_GB2312" w:cs="仿宋_GB2312"/>
          <w:sz w:val="32"/>
          <w:szCs w:val="32"/>
        </w:rPr>
        <w:t>九、国有资本经营预算支出决算情况说明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_Toc27011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"_Toc15805" </w:instrText>
      </w:r>
      <w:r>
        <w:fldChar w:fldCharType="separate"/>
      </w:r>
      <w:r>
        <w:rPr>
          <w:rFonts w:hint="eastAsia" w:ascii="仿宋_GB2312" w:hAnsi="仿宋_GB2312" w:eastAsia="仿宋_GB2312" w:cs="仿宋_GB2312"/>
          <w:sz w:val="32"/>
          <w:szCs w:val="32"/>
        </w:rPr>
        <w:t>十、其他重要事项的情况说明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_Toc15805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3"/>
        <w:tabs>
          <w:tab w:val="right" w:leader="dot" w:pos="8306"/>
          <w:tab w:val="clear" w:pos="8296"/>
        </w:tabs>
        <w:rPr>
          <w:rFonts w:ascii="仿宋_GB2312" w:hAnsi="仿宋_GB2312" w:eastAsia="仿宋_GB2312" w:cs="仿宋_GB2312"/>
          <w:sz w:val="32"/>
          <w:szCs w:val="32"/>
        </w:rPr>
      </w:pPr>
      <w:r>
        <w:fldChar w:fldCharType="begin"/>
      </w:r>
      <w:r>
        <w:instrText xml:space="preserve"> HYPERLINK \l "_Toc11220" </w:instrText>
      </w:r>
      <w:r>
        <w:fldChar w:fldCharType="separate"/>
      </w: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_Toc11220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22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3"/>
        <w:tabs>
          <w:tab w:val="right" w:leader="dot" w:pos="8306"/>
          <w:tab w:val="clear" w:pos="8296"/>
        </w:tabs>
        <w:rPr>
          <w:rFonts w:ascii="仿宋_GB2312" w:hAnsi="仿宋_GB2312" w:eastAsia="仿宋_GB2312" w:cs="仿宋_GB2312"/>
          <w:sz w:val="32"/>
          <w:szCs w:val="32"/>
        </w:rPr>
      </w:pPr>
      <w:r>
        <w:fldChar w:fldCharType="begin"/>
      </w:r>
      <w:r>
        <w:instrText xml:space="preserve"> HYPERLINK \l "_Toc19084" </w:instrText>
      </w:r>
      <w:r>
        <w:fldChar w:fldCharType="separate"/>
      </w: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_Toc19084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3"/>
        <w:tabs>
          <w:tab w:val="right" w:leader="dot" w:pos="8306"/>
          <w:tab w:val="clear" w:pos="8296"/>
        </w:tabs>
        <w:ind w:firstLine="560" w:firstLineChars="200"/>
        <w:jc w:val="both"/>
        <w:rPr>
          <w:rFonts w:ascii="仿宋_GB2312" w:hAnsi="仿宋_GB2312" w:eastAsia="仿宋_GB2312" w:cs="仿宋_GB2312"/>
          <w:sz w:val="32"/>
          <w:szCs w:val="32"/>
        </w:rPr>
      </w:pPr>
      <w:r>
        <w:fldChar w:fldCharType="begin"/>
      </w:r>
      <w:r>
        <w:instrText xml:space="preserve"> HYPERLINK \l "_Toc26647" </w:instrText>
      </w:r>
      <w:r>
        <w:fldChar w:fldCharType="separate"/>
      </w:r>
      <w:r>
        <w:rPr>
          <w:rFonts w:hint="eastAsia" w:ascii="仿宋_GB2312" w:hAnsi="仿宋_GB2312" w:eastAsia="仿宋_GB2312" w:cs="仿宋_GB2312"/>
          <w:sz w:val="32"/>
          <w:szCs w:val="32"/>
        </w:rPr>
        <w:t>附件1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茂县市场监督管理局2019年部门</w:t>
      </w:r>
      <w:r>
        <w:rPr>
          <w:rFonts w:hint="eastAsia" w:ascii="仿宋_GB2312" w:hAnsi="仿宋_GB2312" w:eastAsia="仿宋_GB2312" w:cs="仿宋_GB2312"/>
          <w:sz w:val="32"/>
          <w:szCs w:val="32"/>
          <w:lang w:val="zh-CN"/>
        </w:rPr>
        <w:t>整体支出绩效评价报告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_Toc26647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ind w:firstLine="210" w:firstLineChars="100"/>
        <w:jc w:val="both"/>
        <w:rPr>
          <w:rFonts w:hint="eastAsia" w:ascii="仿宋_GB2312" w:hAnsi="仿宋_GB2312" w:eastAsia="仿宋_GB2312" w:cs="仿宋_GB2312"/>
          <w:sz w:val="32"/>
          <w:szCs w:val="32"/>
        </w:rPr>
      </w:pPr>
      <w:r>
        <w:fldChar w:fldCharType="begin"/>
      </w:r>
      <w:r>
        <w:instrText xml:space="preserve"> HYPERLINK \l "_Toc2550" </w:instrText>
      </w:r>
      <w:r>
        <w:fldChar w:fldCharType="separate"/>
      </w:r>
      <w:r>
        <w:rPr>
          <w:rFonts w:hint="eastAsia" w:ascii="仿宋_GB2312" w:hAnsi="仿宋_GB2312" w:eastAsia="仿宋_GB2312" w:cs="仿宋_GB2312"/>
          <w:kern w:val="2"/>
          <w:sz w:val="32"/>
          <w:szCs w:val="32"/>
          <w:lang w:val="zh-CN" w:eastAsia="zh-CN" w:bidi="ar-SA"/>
        </w:rPr>
        <w:t>附件2：</w:t>
      </w:r>
      <w:r>
        <w:rPr>
          <w:rFonts w:hint="eastAsia" w:ascii="仿宋_GB2312" w:hAnsi="仿宋_GB2312" w:eastAsia="仿宋_GB2312" w:cs="仿宋_GB2312"/>
          <w:kern w:val="2"/>
          <w:sz w:val="32"/>
          <w:szCs w:val="32"/>
          <w:lang w:val="en-US" w:eastAsia="zh-CN" w:bidi="ar-SA"/>
        </w:rPr>
        <w:t>“2019年药品不良应、药品综合监管及药品化妆品抽检项目”</w:t>
      </w:r>
      <w:r>
        <w:rPr>
          <w:rFonts w:hint="eastAsia" w:ascii="仿宋_GB2312" w:hAnsi="仿宋_GB2312" w:eastAsia="仿宋_GB2312" w:cs="仿宋_GB2312"/>
          <w:kern w:val="2"/>
          <w:sz w:val="32"/>
          <w:szCs w:val="32"/>
          <w:lang w:val="zh-CN" w:eastAsia="zh-CN" w:bidi="ar-SA"/>
        </w:rPr>
        <w:t>绩效评价报告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_Toc2550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29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spacing w:line="594"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附件3</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zh-CN" w:eastAsia="zh-CN" w:bidi="ar-SA"/>
        </w:rPr>
        <w:t>“2019年食品、流通、餐饮安全监管及抽检项目”绩效评价报告</w:t>
      </w:r>
      <w:r>
        <w:rPr>
          <w:rFonts w:hint="eastAsia" w:ascii="仿宋_GB2312" w:hAnsi="仿宋_GB2312" w:eastAsia="仿宋_GB2312" w:cs="仿宋_GB2312"/>
          <w:kern w:val="2"/>
          <w:sz w:val="32"/>
          <w:szCs w:val="32"/>
          <w:lang w:val="en-US" w:eastAsia="zh-CN" w:bidi="ar-SA"/>
        </w:rPr>
        <w:t>..................................33</w:t>
      </w:r>
    </w:p>
    <w:p>
      <w:pPr>
        <w:spacing w:line="594"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附件4：</w:t>
      </w:r>
      <w:r>
        <w:rPr>
          <w:rFonts w:hint="eastAsia" w:ascii="仿宋_GB2312" w:hAnsi="仿宋_GB2312" w:eastAsia="仿宋_GB2312" w:cs="仿宋_GB2312"/>
          <w:sz w:val="32"/>
          <w:szCs w:val="32"/>
          <w:lang w:val="zh-CN" w:eastAsia="zh-CN"/>
        </w:rPr>
        <w:t>“2019年市场秩序维护与监管、质量与安全、民营经营健康发展项目及应急处置项目”绩效评价报告</w:t>
      </w:r>
      <w:r>
        <w:rPr>
          <w:rFonts w:hint="eastAsia" w:ascii="仿宋_GB2312" w:hAnsi="仿宋_GB2312" w:eastAsia="仿宋_GB2312" w:cs="仿宋_GB2312"/>
          <w:sz w:val="32"/>
          <w:szCs w:val="32"/>
          <w:lang w:val="en-US" w:eastAsia="zh-CN"/>
        </w:rPr>
        <w:t>..37</w:t>
      </w:r>
    </w:p>
    <w:p>
      <w:pPr>
        <w:pStyle w:val="13"/>
        <w:tabs>
          <w:tab w:val="right" w:leader="dot" w:pos="8306"/>
          <w:tab w:val="clear" w:pos="8296"/>
        </w:tabs>
        <w:rPr>
          <w:rFonts w:ascii="仿宋_GB2312" w:hAnsi="仿宋_GB2312" w:eastAsia="仿宋_GB2312" w:cs="仿宋_GB2312"/>
          <w:sz w:val="32"/>
          <w:szCs w:val="32"/>
        </w:rPr>
      </w:pPr>
      <w:r>
        <w:fldChar w:fldCharType="begin"/>
      </w:r>
      <w:r>
        <w:instrText xml:space="preserve"> HYPERLINK \l "_Toc3403" </w:instrText>
      </w:r>
      <w:r>
        <w:fldChar w:fldCharType="separate"/>
      </w: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_Toc3403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"_Toc5524" </w:instrText>
      </w:r>
      <w:r>
        <w:fldChar w:fldCharType="separate"/>
      </w:r>
      <w:r>
        <w:rPr>
          <w:rFonts w:hint="eastAsia" w:ascii="仿宋_GB2312" w:hAnsi="仿宋_GB2312" w:eastAsia="仿宋_GB2312" w:cs="仿宋_GB2312"/>
          <w:sz w:val="32"/>
          <w:szCs w:val="32"/>
        </w:rPr>
        <w:t>一、收入支出决算总表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_Toc5524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"_Toc28752" </w:instrText>
      </w:r>
      <w:r>
        <w:fldChar w:fldCharType="separate"/>
      </w:r>
      <w:r>
        <w:rPr>
          <w:rFonts w:hint="eastAsia" w:ascii="仿宋_GB2312" w:hAnsi="仿宋_GB2312" w:eastAsia="仿宋_GB2312" w:cs="仿宋_GB2312"/>
          <w:sz w:val="32"/>
          <w:szCs w:val="32"/>
        </w:rPr>
        <w:t>二、收入决算表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_Toc28752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"_Toc17922" </w:instrText>
      </w:r>
      <w:r>
        <w:fldChar w:fldCharType="separate"/>
      </w:r>
      <w:r>
        <w:rPr>
          <w:rFonts w:hint="eastAsia" w:ascii="仿宋_GB2312" w:hAnsi="仿宋_GB2312" w:eastAsia="仿宋_GB2312" w:cs="仿宋_GB2312"/>
          <w:sz w:val="32"/>
          <w:szCs w:val="32"/>
        </w:rPr>
        <w:t>三、支出决算表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_Toc17922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"_Toc4393" </w:instrText>
      </w:r>
      <w:r>
        <w:fldChar w:fldCharType="separate"/>
      </w:r>
      <w:r>
        <w:rPr>
          <w:rFonts w:hint="eastAsia" w:ascii="仿宋_GB2312" w:hAnsi="仿宋_GB2312" w:eastAsia="仿宋_GB2312" w:cs="仿宋_GB2312"/>
          <w:sz w:val="32"/>
          <w:szCs w:val="32"/>
        </w:rPr>
        <w:t>四、财政拨款收入支出决算总表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_Toc4393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"_Toc4399" </w:instrText>
      </w:r>
      <w:r>
        <w:fldChar w:fldCharType="separate"/>
      </w:r>
      <w:r>
        <w:rPr>
          <w:rFonts w:hint="eastAsia" w:ascii="仿宋_GB2312" w:hAnsi="仿宋_GB2312" w:eastAsia="仿宋_GB2312" w:cs="仿宋_GB2312"/>
          <w:sz w:val="32"/>
          <w:szCs w:val="32"/>
        </w:rPr>
        <w:t>五、财政拨款支出决算明细表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_Toc4399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"_Toc23064" </w:instrText>
      </w:r>
      <w:r>
        <w:fldChar w:fldCharType="separate"/>
      </w:r>
      <w:r>
        <w:rPr>
          <w:rFonts w:hint="eastAsia" w:ascii="仿宋_GB2312" w:hAnsi="仿宋_GB2312" w:eastAsia="仿宋_GB2312" w:cs="仿宋_GB2312"/>
          <w:sz w:val="32"/>
          <w:szCs w:val="32"/>
        </w:rPr>
        <w:t>六、一般公共预算财政拨款支出决算表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_Toc23064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"_Toc7199" </w:instrText>
      </w:r>
      <w:r>
        <w:fldChar w:fldCharType="separate"/>
      </w:r>
      <w:r>
        <w:rPr>
          <w:rFonts w:hint="eastAsia" w:ascii="仿宋_GB2312" w:hAnsi="仿宋_GB2312" w:eastAsia="仿宋_GB2312" w:cs="仿宋_GB2312"/>
          <w:sz w:val="32"/>
          <w:szCs w:val="32"/>
        </w:rPr>
        <w:t>七、一般公共预算财政拨款支出决算明细表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_Toc7199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"_Toc22710" </w:instrText>
      </w:r>
      <w:r>
        <w:fldChar w:fldCharType="separate"/>
      </w:r>
      <w:r>
        <w:rPr>
          <w:rFonts w:hint="eastAsia" w:ascii="仿宋_GB2312" w:hAnsi="仿宋_GB2312" w:eastAsia="仿宋_GB2312" w:cs="仿宋_GB2312"/>
          <w:sz w:val="32"/>
          <w:szCs w:val="32"/>
        </w:rPr>
        <w:t>八、一般公共预算财政拨款基本支出决算表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_Toc22710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"_Toc20509" </w:instrText>
      </w:r>
      <w:r>
        <w:fldChar w:fldCharType="separate"/>
      </w:r>
      <w:r>
        <w:rPr>
          <w:rFonts w:hint="eastAsia" w:ascii="仿宋_GB2312" w:hAnsi="仿宋_GB2312" w:eastAsia="仿宋_GB2312" w:cs="仿宋_GB2312"/>
          <w:sz w:val="32"/>
          <w:szCs w:val="32"/>
        </w:rPr>
        <w:t>九、一般公共预算财政拨款项目支出决算表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_Toc20509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"_Toc719" </w:instrText>
      </w:r>
      <w:r>
        <w:fldChar w:fldCharType="separate"/>
      </w:r>
      <w:r>
        <w:rPr>
          <w:rFonts w:hint="eastAsia" w:ascii="仿宋_GB2312" w:hAnsi="仿宋_GB2312" w:eastAsia="仿宋_GB2312" w:cs="仿宋_GB2312"/>
          <w:sz w:val="32"/>
          <w:szCs w:val="32"/>
        </w:rPr>
        <w:t>十、一般公共预算财政拨款“三公”经费支出决算表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_Toc719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"_Toc32434" </w:instrText>
      </w:r>
      <w:r>
        <w:fldChar w:fldCharType="separate"/>
      </w:r>
      <w:r>
        <w:rPr>
          <w:rFonts w:hint="eastAsia" w:ascii="仿宋_GB2312" w:hAnsi="仿宋_GB2312" w:eastAsia="仿宋_GB2312" w:cs="仿宋_GB2312"/>
          <w:sz w:val="32"/>
          <w:szCs w:val="32"/>
        </w:rPr>
        <w:t>十一、政府性基金预算财政拨款收入支出决算表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_Toc32434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"_Toc29457" </w:instrText>
      </w:r>
      <w:r>
        <w:fldChar w:fldCharType="separate"/>
      </w:r>
      <w:r>
        <w:rPr>
          <w:rFonts w:hint="eastAsia" w:ascii="仿宋_GB2312" w:hAnsi="仿宋_GB2312" w:eastAsia="仿宋_GB2312" w:cs="仿宋_GB2312"/>
          <w:sz w:val="32"/>
          <w:szCs w:val="32"/>
        </w:rPr>
        <w:t>十二、政府性基金预算财政拨款“三公”经费支出决算表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_Toc29457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6"/>
        <w:tabs>
          <w:tab w:val="right" w:leader="dot" w:pos="8306"/>
          <w:tab w:val="clear" w:pos="8296"/>
        </w:tabs>
        <w:rPr>
          <w:rFonts w:ascii="仿宋_GB2312" w:hAnsi="仿宋_GB2312" w:eastAsia="仿宋_GB2312" w:cs="仿宋_GB2312"/>
          <w:sz w:val="32"/>
          <w:szCs w:val="32"/>
        </w:rPr>
      </w:pPr>
      <w:r>
        <w:fldChar w:fldCharType="begin"/>
      </w:r>
      <w:r>
        <w:instrText xml:space="preserve"> HYPERLINK \l "_Toc12815" </w:instrText>
      </w:r>
      <w:r>
        <w:fldChar w:fldCharType="separate"/>
      </w:r>
      <w:r>
        <w:rPr>
          <w:rFonts w:hint="eastAsia" w:ascii="仿宋_GB2312" w:hAnsi="仿宋_GB2312" w:eastAsia="仿宋_GB2312" w:cs="仿宋_GB2312"/>
          <w:sz w:val="32"/>
          <w:szCs w:val="32"/>
        </w:rPr>
        <w:t>十三、国有资本经营预算支出决算表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_Toc12815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widowControl/>
        <w:spacing w:line="440" w:lineRule="exact"/>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fldChar w:fldCharType="end"/>
      </w:r>
    </w:p>
    <w:p>
      <w:bookmarkStart w:id="20" w:name="_Toc51662740"/>
      <w:bookmarkStart w:id="21" w:name="_Toc51662552"/>
      <w:bookmarkStart w:id="22" w:name="_Toc3124"/>
    </w:p>
    <w:p/>
    <w:p>
      <w:pPr>
        <w:pStyle w:val="2"/>
        <w:spacing w:before="0" w:after="0" w:line="594" w:lineRule="exact"/>
        <w:jc w:val="center"/>
        <w:rPr>
          <w:rFonts w:ascii="方正小标宋简体" w:hAnsi="方正小标宋简体" w:eastAsia="方正小标宋简体" w:cs="方正小标宋简体"/>
          <w:bCs w:val="0"/>
        </w:rPr>
      </w:pPr>
      <w:r>
        <w:rPr>
          <w:rFonts w:hint="eastAsia" w:ascii="方正小标宋简体" w:hAnsi="方正小标宋简体" w:eastAsia="方正小标宋简体" w:cs="方正小标宋简体"/>
          <w:bCs w:val="0"/>
        </w:rPr>
        <w:t>第一部分 部门概况</w:t>
      </w:r>
      <w:bookmarkEnd w:id="19"/>
      <w:bookmarkEnd w:id="20"/>
      <w:bookmarkEnd w:id="21"/>
      <w:bookmarkEnd w:id="22"/>
    </w:p>
    <w:p>
      <w:pPr>
        <w:pStyle w:val="3"/>
        <w:spacing w:before="0" w:after="0" w:line="594" w:lineRule="exact"/>
        <w:ind w:firstLine="642" w:firstLineChars="200"/>
        <w:rPr>
          <w:rFonts w:ascii="黑体" w:hAnsi="黑体" w:eastAsia="黑体" w:cs="黑体"/>
          <w:bCs w:val="0"/>
        </w:rPr>
      </w:pPr>
      <w:bookmarkStart w:id="23" w:name="_Toc15619"/>
      <w:bookmarkStart w:id="24" w:name="_Toc51662741"/>
      <w:bookmarkStart w:id="25" w:name="_Toc15377197"/>
      <w:bookmarkStart w:id="26" w:name="_Toc51662553"/>
      <w:r>
        <w:rPr>
          <w:rFonts w:hint="eastAsia" w:ascii="黑体" w:hAnsi="黑体" w:eastAsia="黑体" w:cs="黑体"/>
          <w:bCs w:val="0"/>
          <w:color w:val="000000"/>
        </w:rPr>
        <w:t>一、基</w:t>
      </w:r>
      <w:r>
        <w:rPr>
          <w:rFonts w:hint="eastAsia" w:ascii="黑体" w:hAnsi="黑体" w:eastAsia="黑体" w:cs="黑体"/>
          <w:bCs w:val="0"/>
        </w:rPr>
        <w:t>本职能及主要工作</w:t>
      </w:r>
      <w:bookmarkEnd w:id="23"/>
      <w:bookmarkEnd w:id="24"/>
      <w:bookmarkEnd w:id="25"/>
      <w:bookmarkEnd w:id="26"/>
      <w:bookmarkStart w:id="27" w:name="_Toc51662742"/>
      <w:bookmarkStart w:id="28" w:name="_Toc51662554"/>
      <w:bookmarkStart w:id="29" w:name="_Toc15378445"/>
      <w:bookmarkStart w:id="30" w:name="_Toc15377198"/>
    </w:p>
    <w:bookmarkEnd w:id="27"/>
    <w:bookmarkEnd w:id="28"/>
    <w:bookmarkEnd w:id="29"/>
    <w:bookmarkEnd w:id="30"/>
    <w:p>
      <w:pPr>
        <w:spacing w:line="594" w:lineRule="exact"/>
        <w:ind w:firstLine="420" w:firstLineChars="200"/>
      </w:pPr>
      <w:r>
        <w:rPr>
          <w:rFonts w:hint="eastAsia"/>
        </w:rPr>
        <w:t xml:space="preserve">  </w:t>
      </w:r>
      <w:r>
        <w:rPr>
          <w:rFonts w:ascii="楷体_GB2312" w:hAnsi="楷体_GB2312" w:eastAsia="楷体_GB2312" w:cs="楷体_GB2312"/>
          <w:b/>
          <w:bCs/>
          <w:sz w:val="32"/>
          <w:szCs w:val="32"/>
        </w:rPr>
        <w:t>（一）</w:t>
      </w:r>
      <w:r>
        <w:rPr>
          <w:rFonts w:hint="eastAsia" w:ascii="楷体_GB2312" w:hAnsi="楷体_GB2312" w:eastAsia="楷体_GB2312" w:cs="楷体_GB2312"/>
          <w:b/>
          <w:bCs/>
          <w:sz w:val="32"/>
          <w:szCs w:val="32"/>
        </w:rPr>
        <w:t>部门</w:t>
      </w:r>
      <w:r>
        <w:rPr>
          <w:rFonts w:ascii="楷体_GB2312" w:hAnsi="楷体_GB2312" w:eastAsia="楷体_GB2312" w:cs="楷体_GB2312"/>
          <w:b/>
          <w:bCs/>
          <w:sz w:val="32"/>
          <w:szCs w:val="32"/>
        </w:rPr>
        <w:t>职能简介</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1.负责全县市场综合监督管理工作。</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2.负责全县反垄断统一执法。</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3.负责监督管理全县市场秩序。</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4.负责全县宏观质量管理。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5.负责全县产品质量安全监督管理。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6.负责全县特种设备安全监督管理。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7.负责全县食品安全监督管理综合协调。</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8.负责全县食品安全监督管理。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9.负责全县药品、医疗器械和化妆品安全的方针政策和法律法规。</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10.负责监督全县药品、医疗器械和化妆品标准执行和分类管理。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11.负责全县药品、医疗器械和化妆品质量管理。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12.负责全县药品、医疗器械和化妆品监督管理。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13.负责全县药品、医疗器械和化妆品风险管理，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14.依法依授权贯彻执行执业药师相关管理制度。</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15.负责统一管理全县计量工作。</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16.负责统一管理全县标准化工作。</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17.负责统一管理全县认证认可工作。</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18.负责市场监督管理科技和信息化建设。</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19.负责促进全县民营经济发展。</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20.负责查处违反市场监督管理各类法律、法规、规章的行为。</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21.负责监督规范全县检验检测市场。</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22.负责全县市场主体统一登记注册。</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23.负责职责范围内的安全生产和职业健康、生态环境保护、应急联动、审批服务便民化等工作。</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24.完成县委、县政府交办的其他任务。</w:t>
      </w:r>
    </w:p>
    <w:p>
      <w:pPr>
        <w:spacing w:line="594" w:lineRule="exact"/>
        <w:ind w:firstLine="642" w:firstLineChars="200"/>
        <w:rPr>
          <w:rFonts w:ascii="楷体_GB2312" w:hAnsi="楷体_GB2312" w:eastAsia="楷体_GB2312" w:cs="楷体_GB2312"/>
          <w:b/>
          <w:bCs/>
          <w:sz w:val="32"/>
          <w:szCs w:val="32"/>
        </w:rPr>
      </w:pPr>
      <w:bookmarkStart w:id="31" w:name="_Toc15378446"/>
      <w:bookmarkStart w:id="32" w:name="_Toc15377199"/>
      <w:r>
        <w:rPr>
          <w:rFonts w:hint="eastAsia" w:ascii="楷体_GB2312" w:hAnsi="楷体_GB2312" w:eastAsia="楷体_GB2312" w:cs="楷体_GB2312"/>
          <w:b/>
          <w:bCs/>
          <w:sz w:val="32"/>
          <w:szCs w:val="32"/>
        </w:rPr>
        <w:t>（二）</w:t>
      </w:r>
      <w:r>
        <w:rPr>
          <w:rFonts w:ascii="楷体_GB2312" w:hAnsi="楷体_GB2312" w:eastAsia="楷体_GB2312" w:cs="楷体_GB2312"/>
          <w:b/>
          <w:bCs/>
          <w:sz w:val="32"/>
          <w:szCs w:val="32"/>
        </w:rPr>
        <w:t>201</w:t>
      </w:r>
      <w:r>
        <w:rPr>
          <w:rFonts w:hint="eastAsia" w:ascii="楷体_GB2312" w:hAnsi="楷体_GB2312" w:eastAsia="楷体_GB2312" w:cs="楷体_GB2312"/>
          <w:b/>
          <w:bCs/>
          <w:sz w:val="32"/>
          <w:szCs w:val="32"/>
        </w:rPr>
        <w:t>9年重点工作完成情况</w:t>
      </w:r>
      <w:bookmarkEnd w:id="31"/>
      <w:bookmarkEnd w:id="32"/>
    </w:p>
    <w:p>
      <w:pPr>
        <w:spacing w:line="594" w:lineRule="exact"/>
        <w:ind w:firstLine="640" w:firstLineChars="200"/>
        <w:outlineLvl w:val="1"/>
        <w:rPr>
          <w:rFonts w:ascii="仿宋_GB2312" w:hAnsi="楷体" w:eastAsia="仿宋_GB2312"/>
          <w:bCs/>
          <w:color w:val="000000"/>
          <w:sz w:val="32"/>
          <w:szCs w:val="32"/>
        </w:rPr>
      </w:pPr>
      <w:bookmarkStart w:id="33" w:name="_Toc51662743"/>
      <w:bookmarkStart w:id="34" w:name="_Toc51662555"/>
      <w:bookmarkStart w:id="35" w:name="_Toc13560"/>
      <w:r>
        <w:rPr>
          <w:rFonts w:hint="eastAsia" w:ascii="仿宋_GB2312" w:hAnsi="楷体" w:eastAsia="仿宋_GB2312"/>
          <w:bCs/>
          <w:color w:val="000000"/>
          <w:sz w:val="32"/>
          <w:szCs w:val="32"/>
        </w:rPr>
        <w:t>1.做好了市场准入和行政许可工作。</w:t>
      </w:r>
      <w:bookmarkEnd w:id="33"/>
      <w:bookmarkEnd w:id="34"/>
      <w:bookmarkEnd w:id="35"/>
    </w:p>
    <w:p>
      <w:pPr>
        <w:spacing w:line="594" w:lineRule="exact"/>
        <w:ind w:firstLine="640" w:firstLineChars="200"/>
        <w:outlineLvl w:val="1"/>
        <w:rPr>
          <w:rFonts w:ascii="仿宋_GB2312" w:hAnsi="楷体" w:eastAsia="仿宋_GB2312"/>
          <w:bCs/>
          <w:color w:val="000000"/>
          <w:sz w:val="32"/>
          <w:szCs w:val="32"/>
        </w:rPr>
      </w:pPr>
      <w:bookmarkStart w:id="36" w:name="_Toc51662744"/>
      <w:bookmarkStart w:id="37" w:name="_Toc51662556"/>
      <w:bookmarkStart w:id="38" w:name="_Toc28903"/>
      <w:r>
        <w:rPr>
          <w:rFonts w:hint="eastAsia" w:ascii="仿宋_GB2312" w:hAnsi="楷体" w:eastAsia="仿宋_GB2312"/>
          <w:bCs/>
          <w:color w:val="000000"/>
          <w:sz w:val="32"/>
          <w:szCs w:val="32"/>
        </w:rPr>
        <w:t>2.加大了各类市场的监管力度。严厉打击虚假宣传及诱导消费行为，切实保护消费者合法权益。</w:t>
      </w:r>
      <w:bookmarkEnd w:id="36"/>
      <w:bookmarkEnd w:id="37"/>
      <w:bookmarkEnd w:id="38"/>
    </w:p>
    <w:p>
      <w:pPr>
        <w:spacing w:line="594" w:lineRule="exact"/>
        <w:ind w:firstLine="640" w:firstLineChars="200"/>
        <w:outlineLvl w:val="1"/>
        <w:rPr>
          <w:rFonts w:ascii="仿宋_GB2312" w:hAnsi="楷体" w:eastAsia="仿宋_GB2312"/>
          <w:bCs/>
          <w:color w:val="000000"/>
          <w:sz w:val="32"/>
          <w:szCs w:val="32"/>
        </w:rPr>
      </w:pPr>
      <w:bookmarkStart w:id="39" w:name="_Toc51662557"/>
      <w:bookmarkStart w:id="40" w:name="_Toc28341"/>
      <w:bookmarkStart w:id="41" w:name="_Toc51662745"/>
      <w:r>
        <w:rPr>
          <w:rFonts w:hint="eastAsia" w:ascii="仿宋_GB2312" w:hAnsi="楷体" w:eastAsia="仿宋_GB2312"/>
          <w:bCs/>
          <w:color w:val="000000"/>
          <w:sz w:val="32"/>
          <w:szCs w:val="32"/>
        </w:rPr>
        <w:t>3.切实做好了旅游市场监管工作。</w:t>
      </w:r>
      <w:bookmarkEnd w:id="39"/>
      <w:bookmarkEnd w:id="40"/>
      <w:bookmarkEnd w:id="41"/>
    </w:p>
    <w:p>
      <w:pPr>
        <w:spacing w:line="594" w:lineRule="exact"/>
        <w:ind w:firstLine="640" w:firstLineChars="200"/>
        <w:outlineLvl w:val="1"/>
        <w:rPr>
          <w:rFonts w:ascii="仿宋_GB2312" w:hAnsi="楷体" w:eastAsia="仿宋_GB2312"/>
          <w:bCs/>
          <w:color w:val="000000"/>
          <w:sz w:val="32"/>
          <w:szCs w:val="32"/>
        </w:rPr>
      </w:pPr>
      <w:bookmarkStart w:id="42" w:name="_Toc17256"/>
      <w:bookmarkStart w:id="43" w:name="_Toc51662746"/>
      <w:bookmarkStart w:id="44" w:name="_Toc51662558"/>
      <w:r>
        <w:rPr>
          <w:rFonts w:hint="eastAsia" w:ascii="仿宋_GB2312" w:hAnsi="楷体" w:eastAsia="仿宋_GB2312"/>
          <w:bCs/>
          <w:color w:val="000000"/>
          <w:sz w:val="32"/>
          <w:szCs w:val="32"/>
        </w:rPr>
        <w:t>4.加强了食品药品安全监管工作。</w:t>
      </w:r>
      <w:bookmarkEnd w:id="42"/>
      <w:bookmarkEnd w:id="43"/>
      <w:bookmarkEnd w:id="44"/>
    </w:p>
    <w:p>
      <w:pPr>
        <w:spacing w:line="594" w:lineRule="exact"/>
        <w:ind w:firstLine="640" w:firstLineChars="200"/>
        <w:outlineLvl w:val="1"/>
        <w:rPr>
          <w:rFonts w:ascii="仿宋_GB2312" w:hAnsi="楷体" w:eastAsia="仿宋_GB2312"/>
          <w:bCs/>
          <w:color w:val="000000"/>
          <w:sz w:val="32"/>
          <w:szCs w:val="32"/>
        </w:rPr>
      </w:pPr>
      <w:bookmarkStart w:id="45" w:name="_Toc51662747"/>
      <w:bookmarkStart w:id="46" w:name="_Toc51662559"/>
      <w:bookmarkStart w:id="47" w:name="_Toc29228"/>
      <w:r>
        <w:rPr>
          <w:rFonts w:hint="eastAsia" w:ascii="仿宋_GB2312" w:hAnsi="楷体" w:eastAsia="仿宋_GB2312"/>
          <w:bCs/>
          <w:color w:val="000000"/>
          <w:sz w:val="32"/>
          <w:szCs w:val="32"/>
        </w:rPr>
        <w:t>5.加强了餐饮服务环节食品安全监管工作。</w:t>
      </w:r>
      <w:bookmarkEnd w:id="45"/>
      <w:bookmarkEnd w:id="46"/>
      <w:bookmarkEnd w:id="47"/>
    </w:p>
    <w:p>
      <w:pPr>
        <w:spacing w:line="594" w:lineRule="exact"/>
        <w:ind w:firstLine="640" w:firstLineChars="200"/>
        <w:outlineLvl w:val="1"/>
        <w:rPr>
          <w:rFonts w:ascii="仿宋_GB2312" w:hAnsi="楷体" w:eastAsia="仿宋_GB2312"/>
          <w:bCs/>
          <w:color w:val="000000"/>
          <w:sz w:val="32"/>
          <w:szCs w:val="32"/>
        </w:rPr>
      </w:pPr>
      <w:bookmarkStart w:id="48" w:name="_Toc51662748"/>
      <w:bookmarkStart w:id="49" w:name="_Toc22971"/>
      <w:bookmarkStart w:id="50" w:name="_Toc51662560"/>
      <w:r>
        <w:rPr>
          <w:rFonts w:hint="eastAsia" w:ascii="仿宋_GB2312" w:hAnsi="楷体" w:eastAsia="仿宋_GB2312"/>
          <w:bCs/>
          <w:color w:val="000000"/>
          <w:sz w:val="32"/>
          <w:szCs w:val="32"/>
        </w:rPr>
        <w:t>6.加强了质量计量监督检查管理。</w:t>
      </w:r>
      <w:bookmarkEnd w:id="48"/>
      <w:bookmarkEnd w:id="49"/>
      <w:bookmarkEnd w:id="50"/>
    </w:p>
    <w:p>
      <w:pPr>
        <w:spacing w:line="594" w:lineRule="exact"/>
        <w:ind w:firstLine="640" w:firstLineChars="200"/>
        <w:outlineLvl w:val="1"/>
        <w:rPr>
          <w:rFonts w:ascii="仿宋_GB2312" w:hAnsi="楷体" w:eastAsia="仿宋_GB2312"/>
          <w:bCs/>
          <w:color w:val="000000"/>
          <w:sz w:val="32"/>
          <w:szCs w:val="32"/>
        </w:rPr>
      </w:pPr>
      <w:bookmarkStart w:id="51" w:name="_Toc51662749"/>
      <w:bookmarkStart w:id="52" w:name="_Toc51662561"/>
      <w:bookmarkStart w:id="53" w:name="_Toc6185"/>
      <w:r>
        <w:rPr>
          <w:rFonts w:hint="eastAsia" w:ascii="仿宋_GB2312" w:hAnsi="楷体" w:eastAsia="仿宋_GB2312"/>
          <w:bCs/>
          <w:color w:val="000000"/>
          <w:sz w:val="32"/>
          <w:szCs w:val="32"/>
        </w:rPr>
        <w:t>7.加强了特种设备安全监管工作。</w:t>
      </w:r>
      <w:bookmarkEnd w:id="51"/>
      <w:bookmarkEnd w:id="52"/>
      <w:bookmarkEnd w:id="53"/>
    </w:p>
    <w:p>
      <w:pPr>
        <w:spacing w:line="594" w:lineRule="exact"/>
        <w:ind w:firstLine="640" w:firstLineChars="200"/>
        <w:outlineLvl w:val="1"/>
        <w:rPr>
          <w:rFonts w:ascii="仿宋_GB2312" w:hAnsi="楷体" w:eastAsia="仿宋_GB2312"/>
          <w:bCs/>
          <w:color w:val="000000"/>
          <w:sz w:val="32"/>
          <w:szCs w:val="32"/>
        </w:rPr>
      </w:pPr>
      <w:bookmarkStart w:id="54" w:name="_Toc19325"/>
      <w:bookmarkStart w:id="55" w:name="_Toc51662750"/>
      <w:bookmarkStart w:id="56" w:name="_Toc51662562"/>
      <w:r>
        <w:rPr>
          <w:rFonts w:hint="eastAsia" w:ascii="仿宋_GB2312" w:hAnsi="楷体" w:eastAsia="仿宋_GB2312"/>
          <w:bCs/>
          <w:color w:val="000000"/>
          <w:sz w:val="32"/>
          <w:szCs w:val="32"/>
        </w:rPr>
        <w:t>8.做好了放心舒心城市创建工作。</w:t>
      </w:r>
      <w:bookmarkEnd w:id="54"/>
      <w:bookmarkEnd w:id="55"/>
      <w:bookmarkEnd w:id="56"/>
    </w:p>
    <w:p>
      <w:pPr>
        <w:pStyle w:val="3"/>
        <w:spacing w:before="0" w:after="0" w:line="594" w:lineRule="exact"/>
        <w:ind w:firstLine="642" w:firstLineChars="200"/>
        <w:rPr>
          <w:rStyle w:val="24"/>
          <w:b/>
          <w:bCs w:val="0"/>
        </w:rPr>
      </w:pPr>
      <w:bookmarkStart w:id="57" w:name="_Toc51662751"/>
      <w:bookmarkStart w:id="58" w:name="_Toc51662563"/>
      <w:bookmarkStart w:id="59" w:name="_Toc15377200"/>
      <w:bookmarkStart w:id="60" w:name="_Toc15315"/>
      <w:r>
        <w:rPr>
          <w:rFonts w:hint="eastAsia" w:ascii="黑体" w:eastAsia="黑体"/>
          <w:bCs w:val="0"/>
          <w:color w:val="000000"/>
        </w:rPr>
        <w:t>二、</w:t>
      </w:r>
      <w:r>
        <w:rPr>
          <w:rFonts w:hint="eastAsia" w:ascii="黑体" w:hAnsi="黑体" w:eastAsia="黑体"/>
          <w:bCs w:val="0"/>
          <w:color w:val="000000"/>
        </w:rPr>
        <w:t>机</w:t>
      </w:r>
      <w:r>
        <w:rPr>
          <w:rStyle w:val="24"/>
          <w:rFonts w:hint="eastAsia" w:ascii="黑体" w:hAnsi="黑体" w:eastAsia="黑体"/>
          <w:b/>
          <w:bCs w:val="0"/>
        </w:rPr>
        <w:t>构设置</w:t>
      </w:r>
      <w:bookmarkEnd w:id="57"/>
      <w:bookmarkEnd w:id="58"/>
      <w:bookmarkEnd w:id="59"/>
      <w:bookmarkEnd w:id="60"/>
    </w:p>
    <w:p>
      <w:pPr>
        <w:spacing w:line="594" w:lineRule="exact"/>
        <w:ind w:firstLine="640" w:firstLineChars="200"/>
        <w:rPr>
          <w:rFonts w:ascii="仿宋_GB2312" w:eastAsia="仿宋_GB2312"/>
          <w:sz w:val="32"/>
          <w:szCs w:val="32"/>
        </w:rPr>
      </w:pPr>
      <w:r>
        <w:rPr>
          <w:rFonts w:hint="eastAsia" w:ascii="仿宋_GB2312" w:eastAsia="仿宋_GB2312"/>
          <w:sz w:val="32"/>
          <w:szCs w:val="32"/>
        </w:rPr>
        <w:t>县市场监督管理局属一级预算单位，下属二级预算单位  0个。</w:t>
      </w:r>
    </w:p>
    <w:p>
      <w:pPr>
        <w:pStyle w:val="2"/>
        <w:spacing w:before="0" w:after="0" w:line="594" w:lineRule="exact"/>
        <w:ind w:right="440"/>
        <w:jc w:val="right"/>
        <w:rPr>
          <w:rFonts w:ascii="黑体" w:hAnsi="黑体" w:eastAsia="黑体"/>
          <w:b w:val="0"/>
          <w:color w:val="000000"/>
        </w:rPr>
      </w:pPr>
      <w:bookmarkStart w:id="61" w:name="_Toc2385"/>
      <w:bookmarkStart w:id="62" w:name="_Toc51662564"/>
      <w:bookmarkStart w:id="63" w:name="_Toc51662752"/>
      <w:bookmarkStart w:id="64" w:name="_Toc15377204"/>
    </w:p>
    <w:p>
      <w:pPr>
        <w:pStyle w:val="2"/>
        <w:spacing w:before="0" w:after="0" w:line="594" w:lineRule="exact"/>
        <w:ind w:right="440"/>
        <w:jc w:val="right"/>
        <w:rPr>
          <w:rStyle w:val="23"/>
          <w:rFonts w:ascii="方正小标宋简体" w:hAnsi="方正小标宋简体" w:eastAsia="方正小标宋简体" w:cs="方正小标宋简体"/>
          <w:b/>
          <w:bCs w:val="0"/>
        </w:rPr>
      </w:pPr>
      <w:r>
        <w:rPr>
          <w:rFonts w:hint="eastAsia" w:ascii="方正小标宋简体" w:hAnsi="方正小标宋简体" w:eastAsia="方正小标宋简体" w:cs="方正小标宋简体"/>
          <w:bCs w:val="0"/>
          <w:color w:val="000000"/>
        </w:rPr>
        <w:t xml:space="preserve">第二部分 </w:t>
      </w:r>
      <w:r>
        <w:rPr>
          <w:rStyle w:val="23"/>
          <w:rFonts w:hint="eastAsia" w:ascii="方正小标宋简体" w:hAnsi="方正小标宋简体" w:eastAsia="方正小标宋简体" w:cs="方正小标宋简体"/>
          <w:b/>
          <w:bCs w:val="0"/>
        </w:rPr>
        <w:t>2019年度部门决算情况说明</w:t>
      </w:r>
      <w:bookmarkEnd w:id="61"/>
      <w:bookmarkEnd w:id="62"/>
      <w:bookmarkEnd w:id="63"/>
      <w:bookmarkEnd w:id="64"/>
    </w:p>
    <w:p>
      <w:pPr>
        <w:pStyle w:val="3"/>
        <w:spacing w:before="0" w:after="0" w:line="594" w:lineRule="exact"/>
        <w:ind w:firstLine="472" w:firstLineChars="147"/>
        <w:rPr>
          <w:rFonts w:ascii="黑体" w:hAnsi="黑体" w:eastAsia="黑体" w:cs="黑体"/>
        </w:rPr>
      </w:pPr>
      <w:bookmarkStart w:id="65" w:name="_Toc15377205"/>
      <w:bookmarkStart w:id="66" w:name="_Toc19724"/>
      <w:bookmarkStart w:id="67" w:name="_Toc51662565"/>
      <w:bookmarkStart w:id="68" w:name="_Toc51662753"/>
      <w:r>
        <w:rPr>
          <w:rFonts w:hint="eastAsia" w:ascii="黑体" w:hAnsi="黑体" w:eastAsia="黑体" w:cs="黑体"/>
          <w:color w:val="000000"/>
        </w:rPr>
        <w:t>一、收</w:t>
      </w:r>
      <w:r>
        <w:rPr>
          <w:rFonts w:hint="eastAsia" w:ascii="黑体" w:hAnsi="黑体" w:eastAsia="黑体" w:cs="黑体"/>
        </w:rPr>
        <w:t>入支出决算总体情况说明</w:t>
      </w:r>
      <w:bookmarkEnd w:id="65"/>
      <w:bookmarkEnd w:id="66"/>
      <w:bookmarkEnd w:id="67"/>
      <w:bookmarkEnd w:id="68"/>
    </w:p>
    <w:p>
      <w:pPr>
        <w:spacing w:line="594" w:lineRule="exact"/>
        <w:ind w:firstLine="480" w:firstLineChars="150"/>
        <w:outlineLvl w:val="1"/>
        <w:rPr>
          <w:rFonts w:ascii="仿宋_GB2312" w:hAnsi="楷体" w:eastAsia="仿宋_GB2312"/>
          <w:color w:val="000000"/>
          <w:sz w:val="32"/>
          <w:szCs w:val="32"/>
        </w:rPr>
      </w:pPr>
      <w:bookmarkStart w:id="69" w:name="_Toc9771"/>
      <w:bookmarkStart w:id="70" w:name="_Toc51662566"/>
      <w:bookmarkStart w:id="71" w:name="_Toc51662754"/>
      <w:r>
        <w:rPr>
          <w:rFonts w:hint="eastAsia" w:ascii="仿宋_GB2312" w:hAnsi="楷体" w:eastAsia="仿宋_GB2312"/>
          <w:color w:val="000000"/>
          <w:sz w:val="32"/>
          <w:szCs w:val="32"/>
        </w:rPr>
        <w:t>2019年本年收入合计</w:t>
      </w:r>
      <w:r>
        <w:rPr>
          <w:rFonts w:hint="eastAsia" w:ascii="仿宋_GB2312" w:hAnsi="楷体" w:eastAsia="仿宋_GB2312"/>
          <w:color w:val="000000"/>
          <w:sz w:val="32"/>
          <w:szCs w:val="32"/>
          <w:lang w:val="en-US" w:eastAsia="zh-CN"/>
        </w:rPr>
        <w:t>1166.78</w:t>
      </w:r>
      <w:r>
        <w:rPr>
          <w:rFonts w:hint="eastAsia" w:ascii="仿宋_GB2312" w:hAnsi="楷体" w:eastAsia="仿宋_GB2312"/>
          <w:color w:val="000000"/>
          <w:sz w:val="32"/>
          <w:szCs w:val="32"/>
        </w:rPr>
        <w:t>万元，与2018年相比上升</w:t>
      </w:r>
      <w:r>
        <w:rPr>
          <w:rFonts w:hint="eastAsia" w:ascii="仿宋_GB2312" w:hAnsi="楷体" w:eastAsia="仿宋_GB2312"/>
          <w:color w:val="000000"/>
          <w:sz w:val="32"/>
          <w:szCs w:val="32"/>
          <w:lang w:val="en-US" w:eastAsia="zh-CN"/>
        </w:rPr>
        <w:t>59.53</w:t>
      </w:r>
      <w:r>
        <w:rPr>
          <w:rFonts w:hint="eastAsia" w:ascii="仿宋_GB2312" w:hAnsi="楷体" w:eastAsia="仿宋_GB2312"/>
          <w:color w:val="000000"/>
          <w:sz w:val="32"/>
          <w:szCs w:val="32"/>
        </w:rPr>
        <w:t>万元，主要原因是专项执法检查经费增加投入。</w:t>
      </w:r>
      <w:bookmarkEnd w:id="69"/>
      <w:bookmarkEnd w:id="70"/>
      <w:bookmarkEnd w:id="71"/>
    </w:p>
    <w:p>
      <w:pPr>
        <w:pStyle w:val="34"/>
        <w:spacing w:line="594" w:lineRule="exact"/>
        <w:ind w:left="1360" w:firstLine="0" w:firstLineChars="0"/>
        <w:outlineLvl w:val="1"/>
        <w:rPr>
          <w:rFonts w:ascii="仿宋_GB2312" w:hAnsi="楷体" w:eastAsia="仿宋_GB2312"/>
          <w:color w:val="000000"/>
          <w:sz w:val="32"/>
          <w:szCs w:val="32"/>
        </w:rPr>
      </w:pPr>
      <w:r>
        <w:rPr>
          <w:rFonts w:hint="eastAsia" w:ascii="仿宋" w:hAnsi="仿宋" w:eastAsia="仿宋"/>
          <w:color w:val="000000" w:themeColor="text1"/>
          <w:sz w:val="32"/>
          <w:szCs w:val="32"/>
        </w:rPr>
        <w:drawing>
          <wp:anchor distT="0" distB="0" distL="114300" distR="114300" simplePos="0" relativeHeight="251659264" behindDoc="1" locked="0" layoutInCell="1" allowOverlap="1">
            <wp:simplePos x="0" y="0"/>
            <wp:positionH relativeFrom="column">
              <wp:posOffset>537210</wp:posOffset>
            </wp:positionH>
            <wp:positionV relativeFrom="paragraph">
              <wp:posOffset>33655</wp:posOffset>
            </wp:positionV>
            <wp:extent cx="4243705" cy="2344420"/>
            <wp:effectExtent l="4445" t="4445" r="19050" b="51435"/>
            <wp:wrapTight wrapText="bothSides">
              <wp:wrapPolygon>
                <wp:start x="-23" y="-41"/>
                <wp:lineTo x="-23" y="21547"/>
                <wp:lineTo x="21503" y="21547"/>
                <wp:lineTo x="21503" y="-41"/>
                <wp:lineTo x="-23" y="-41"/>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594" w:lineRule="exact"/>
        <w:ind w:firstLine="640" w:firstLineChars="200"/>
        <w:rPr>
          <w:rFonts w:ascii="仿宋" w:hAnsi="仿宋" w:eastAsia="仿宋"/>
          <w:color w:val="000000" w:themeColor="text1"/>
          <w:sz w:val="32"/>
          <w:szCs w:val="32"/>
        </w:rPr>
      </w:pPr>
    </w:p>
    <w:p>
      <w:pPr>
        <w:spacing w:line="594" w:lineRule="exact"/>
        <w:ind w:firstLine="640" w:firstLineChars="200"/>
        <w:rPr>
          <w:rFonts w:ascii="仿宋" w:hAnsi="仿宋" w:eastAsia="仿宋"/>
          <w:color w:val="000000" w:themeColor="text1"/>
          <w:sz w:val="32"/>
          <w:szCs w:val="32"/>
        </w:rPr>
      </w:pPr>
    </w:p>
    <w:p>
      <w:pPr>
        <w:spacing w:line="594" w:lineRule="exact"/>
        <w:ind w:firstLine="640" w:firstLineChars="200"/>
        <w:rPr>
          <w:rFonts w:ascii="仿宋" w:hAnsi="仿宋" w:eastAsia="仿宋"/>
          <w:color w:val="000000" w:themeColor="text1"/>
          <w:sz w:val="32"/>
          <w:szCs w:val="32"/>
        </w:rPr>
      </w:pPr>
    </w:p>
    <w:p>
      <w:pPr>
        <w:spacing w:line="594" w:lineRule="exact"/>
        <w:ind w:firstLine="640" w:firstLineChars="200"/>
        <w:rPr>
          <w:rFonts w:ascii="仿宋" w:hAnsi="仿宋" w:eastAsia="仿宋"/>
          <w:color w:val="000000" w:themeColor="text1"/>
          <w:sz w:val="32"/>
          <w:szCs w:val="32"/>
        </w:rPr>
      </w:pPr>
    </w:p>
    <w:p>
      <w:pPr>
        <w:spacing w:line="594" w:lineRule="exact"/>
        <w:ind w:firstLine="640" w:firstLineChars="200"/>
        <w:rPr>
          <w:rFonts w:ascii="仿宋" w:hAnsi="仿宋" w:eastAsia="仿宋"/>
          <w:color w:val="000000" w:themeColor="text1"/>
          <w:sz w:val="32"/>
          <w:szCs w:val="32"/>
        </w:rPr>
      </w:pPr>
    </w:p>
    <w:p>
      <w:pPr>
        <w:spacing w:line="594" w:lineRule="exact"/>
        <w:ind w:firstLine="640" w:firstLineChars="200"/>
        <w:outlineLvl w:val="1"/>
        <w:rPr>
          <w:rFonts w:ascii="仿宋_GB2312" w:hAnsi="楷体" w:eastAsia="仿宋_GB2312"/>
          <w:color w:val="000000"/>
          <w:sz w:val="32"/>
          <w:szCs w:val="32"/>
        </w:rPr>
      </w:pPr>
      <w:bookmarkStart w:id="72" w:name="_Toc29710"/>
      <w:bookmarkStart w:id="73" w:name="_Toc51662755"/>
      <w:bookmarkStart w:id="74" w:name="_Toc51662567"/>
      <w:r>
        <w:rPr>
          <w:rFonts w:hint="eastAsia" w:ascii="仿宋_GB2312" w:hAnsi="楷体" w:eastAsia="仿宋_GB2312"/>
          <w:color w:val="000000"/>
          <w:sz w:val="32"/>
          <w:szCs w:val="32"/>
        </w:rPr>
        <w:t>2019年本年支出合计</w:t>
      </w:r>
      <w:r>
        <w:rPr>
          <w:rFonts w:hint="eastAsia" w:ascii="仿宋_GB2312" w:hAnsi="楷体" w:eastAsia="仿宋_GB2312"/>
          <w:color w:val="000000"/>
          <w:sz w:val="32"/>
          <w:szCs w:val="32"/>
          <w:lang w:val="en-US" w:eastAsia="zh-CN"/>
        </w:rPr>
        <w:t>1166.78</w:t>
      </w:r>
      <w:r>
        <w:rPr>
          <w:rFonts w:hint="eastAsia" w:ascii="仿宋_GB2312" w:hAnsi="楷体" w:eastAsia="仿宋_GB2312"/>
          <w:color w:val="000000"/>
          <w:sz w:val="32"/>
          <w:szCs w:val="32"/>
        </w:rPr>
        <w:t>万元，与2018年相比上升</w:t>
      </w:r>
      <w:r>
        <w:rPr>
          <w:rFonts w:hint="eastAsia" w:ascii="仿宋_GB2312" w:hAnsi="楷体" w:eastAsia="仿宋_GB2312"/>
          <w:color w:val="000000"/>
          <w:sz w:val="32"/>
          <w:szCs w:val="32"/>
          <w:lang w:val="en-US" w:eastAsia="zh-CN"/>
        </w:rPr>
        <w:t>59.53</w:t>
      </w:r>
      <w:r>
        <w:rPr>
          <w:rFonts w:hint="eastAsia" w:ascii="仿宋_GB2312" w:hAnsi="楷体" w:eastAsia="仿宋_GB2312"/>
          <w:color w:val="000000"/>
          <w:sz w:val="32"/>
          <w:szCs w:val="32"/>
        </w:rPr>
        <w:t>万元，主要原因：一是人员工资增加，二是抽检和知识产权支出纳入预算。</w:t>
      </w:r>
      <w:bookmarkEnd w:id="72"/>
      <w:bookmarkEnd w:id="73"/>
      <w:bookmarkEnd w:id="74"/>
    </w:p>
    <w:p>
      <w:pPr>
        <w:spacing w:line="594"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60288" behindDoc="1" locked="0" layoutInCell="1" allowOverlap="1">
            <wp:simplePos x="0" y="0"/>
            <wp:positionH relativeFrom="column">
              <wp:posOffset>491490</wp:posOffset>
            </wp:positionH>
            <wp:positionV relativeFrom="paragraph">
              <wp:posOffset>40005</wp:posOffset>
            </wp:positionV>
            <wp:extent cx="4243705" cy="2639695"/>
            <wp:effectExtent l="4445" t="4445" r="19050" b="22860"/>
            <wp:wrapTight wrapText="bothSides">
              <wp:wrapPolygon>
                <wp:start x="-23" y="-36"/>
                <wp:lineTo x="-23" y="21475"/>
                <wp:lineTo x="21503" y="21475"/>
                <wp:lineTo x="21503" y="-36"/>
                <wp:lineTo x="-23" y="-36"/>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594" w:lineRule="exact"/>
        <w:ind w:firstLine="640" w:firstLineChars="200"/>
        <w:jc w:val="left"/>
        <w:rPr>
          <w:rFonts w:ascii="仿宋_GB2312" w:eastAsia="仿宋_GB2312"/>
          <w:color w:val="000000"/>
          <w:sz w:val="32"/>
          <w:szCs w:val="32"/>
        </w:rPr>
      </w:pPr>
    </w:p>
    <w:p>
      <w:pPr>
        <w:spacing w:line="594" w:lineRule="exact"/>
        <w:ind w:firstLine="640" w:firstLineChars="200"/>
        <w:jc w:val="left"/>
        <w:rPr>
          <w:rFonts w:ascii="仿宋_GB2312" w:eastAsia="仿宋_GB2312"/>
          <w:color w:val="000000"/>
          <w:sz w:val="32"/>
          <w:szCs w:val="32"/>
        </w:rPr>
      </w:pPr>
    </w:p>
    <w:p>
      <w:pPr>
        <w:spacing w:line="594" w:lineRule="exact"/>
        <w:ind w:firstLine="640" w:firstLineChars="200"/>
        <w:jc w:val="left"/>
        <w:rPr>
          <w:rFonts w:ascii="仿宋_GB2312" w:eastAsia="仿宋_GB2312"/>
          <w:color w:val="000000"/>
          <w:sz w:val="32"/>
          <w:szCs w:val="32"/>
        </w:rPr>
      </w:pPr>
    </w:p>
    <w:p>
      <w:pPr>
        <w:spacing w:line="594" w:lineRule="exact"/>
        <w:ind w:firstLine="640" w:firstLineChars="200"/>
        <w:jc w:val="left"/>
        <w:rPr>
          <w:rFonts w:ascii="仿宋_GB2312" w:eastAsia="仿宋_GB2312"/>
          <w:color w:val="000000"/>
          <w:sz w:val="32"/>
          <w:szCs w:val="32"/>
        </w:rPr>
      </w:pPr>
    </w:p>
    <w:p>
      <w:pPr>
        <w:spacing w:line="594" w:lineRule="exact"/>
        <w:ind w:firstLine="640" w:firstLineChars="200"/>
        <w:jc w:val="left"/>
        <w:rPr>
          <w:rFonts w:ascii="仿宋_GB2312" w:eastAsia="仿宋_GB2312"/>
          <w:color w:val="000000"/>
          <w:sz w:val="32"/>
          <w:szCs w:val="32"/>
        </w:rPr>
      </w:pPr>
    </w:p>
    <w:p>
      <w:pPr>
        <w:pStyle w:val="3"/>
        <w:spacing w:before="0" w:after="0" w:line="594" w:lineRule="exact"/>
        <w:ind w:firstLine="629" w:firstLineChars="196"/>
        <w:rPr>
          <w:rFonts w:ascii="黑体" w:hAnsi="黑体" w:eastAsia="黑体" w:cs="黑体"/>
        </w:rPr>
      </w:pPr>
      <w:bookmarkStart w:id="75" w:name="_Toc15377206"/>
      <w:bookmarkStart w:id="76" w:name="_Toc51662568"/>
      <w:bookmarkStart w:id="77" w:name="_Toc10429"/>
      <w:bookmarkStart w:id="78" w:name="_Toc51662756"/>
      <w:r>
        <w:rPr>
          <w:rFonts w:hint="eastAsia" w:ascii="黑体" w:hAnsi="黑体" w:eastAsia="黑体" w:cs="黑体"/>
          <w:color w:val="000000"/>
        </w:rPr>
        <w:t>二、收</w:t>
      </w:r>
      <w:r>
        <w:rPr>
          <w:rFonts w:hint="eastAsia" w:ascii="黑体" w:hAnsi="黑体" w:eastAsia="黑体" w:cs="黑体"/>
        </w:rPr>
        <w:t>入决算情况说明</w:t>
      </w:r>
      <w:bookmarkEnd w:id="75"/>
      <w:bookmarkEnd w:id="76"/>
      <w:bookmarkEnd w:id="77"/>
      <w:bookmarkEnd w:id="78"/>
    </w:p>
    <w:p>
      <w:pPr>
        <w:spacing w:line="594" w:lineRule="exact"/>
        <w:ind w:firstLine="640" w:firstLineChars="200"/>
        <w:outlineLvl w:val="1"/>
        <w:rPr>
          <w:rFonts w:ascii="仿宋_GB2312" w:hAnsi="楷体" w:eastAsia="仿宋_GB2312"/>
          <w:color w:val="000000"/>
          <w:sz w:val="32"/>
          <w:szCs w:val="32"/>
        </w:rPr>
      </w:pPr>
      <w:bookmarkStart w:id="79" w:name="_Toc22428"/>
      <w:bookmarkStart w:id="80" w:name="_Toc51662757"/>
      <w:bookmarkStart w:id="81" w:name="_Toc51662569"/>
      <w:r>
        <w:rPr>
          <w:rFonts w:hint="eastAsia" w:ascii="仿宋_GB2312" w:hAnsi="楷体" w:eastAsia="仿宋_GB2312"/>
          <w:color w:val="000000"/>
          <w:sz w:val="32"/>
          <w:szCs w:val="32"/>
        </w:rPr>
        <w:t>2019年本年收入合计1126.32万元，其中：一般公共预算财政拨款收入1126.32万元，占100%；政府性基金预算财政拨款收入0万元，占0%；国有资本经营预算财政拨款收入0万元，占0%；事业收入0万元，占0%；经营收入0万元，占0%；附属单位上缴收入0万元，占0%；其他收入0万元，占0%。</w:t>
      </w:r>
      <w:bookmarkEnd w:id="79"/>
      <w:bookmarkEnd w:id="80"/>
      <w:bookmarkEnd w:id="81"/>
    </w:p>
    <w:p>
      <w:pPr>
        <w:spacing w:line="594"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1312" behindDoc="1" locked="0" layoutInCell="1" allowOverlap="1">
            <wp:simplePos x="0" y="0"/>
            <wp:positionH relativeFrom="column">
              <wp:posOffset>156845</wp:posOffset>
            </wp:positionH>
            <wp:positionV relativeFrom="paragraph">
              <wp:posOffset>195580</wp:posOffset>
            </wp:positionV>
            <wp:extent cx="4686300" cy="2761615"/>
            <wp:effectExtent l="4445" t="5080" r="71755" b="71755"/>
            <wp:wrapTight wrapText="bothSides">
              <wp:wrapPolygon>
                <wp:start x="-20" y="-40"/>
                <wp:lineTo x="-20" y="21416"/>
                <wp:lineTo x="21580" y="21416"/>
                <wp:lineTo x="21580" y="-40"/>
                <wp:lineTo x="-20" y="-40"/>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594" w:lineRule="exact"/>
        <w:ind w:firstLine="640" w:firstLineChars="200"/>
        <w:rPr>
          <w:rFonts w:ascii="仿宋_GB2312" w:eastAsia="仿宋_GB2312"/>
          <w:color w:val="FF0000"/>
          <w:sz w:val="32"/>
          <w:szCs w:val="32"/>
        </w:rPr>
      </w:pPr>
    </w:p>
    <w:p>
      <w:pPr>
        <w:spacing w:line="594" w:lineRule="exact"/>
        <w:ind w:firstLine="640" w:firstLineChars="200"/>
        <w:rPr>
          <w:rFonts w:ascii="仿宋_GB2312" w:eastAsia="仿宋_GB2312"/>
          <w:color w:val="FF0000"/>
          <w:sz w:val="32"/>
          <w:szCs w:val="32"/>
        </w:rPr>
      </w:pPr>
    </w:p>
    <w:p>
      <w:pPr>
        <w:spacing w:line="594" w:lineRule="exact"/>
        <w:ind w:firstLine="640" w:firstLineChars="200"/>
        <w:rPr>
          <w:rFonts w:ascii="仿宋_GB2312" w:eastAsia="仿宋_GB2312"/>
          <w:color w:val="FF0000"/>
          <w:sz w:val="32"/>
          <w:szCs w:val="32"/>
        </w:rPr>
      </w:pPr>
    </w:p>
    <w:p>
      <w:pPr>
        <w:spacing w:line="594" w:lineRule="exact"/>
        <w:ind w:firstLine="640" w:firstLineChars="200"/>
        <w:rPr>
          <w:rFonts w:ascii="仿宋_GB2312" w:eastAsia="仿宋_GB2312"/>
          <w:color w:val="FF0000"/>
          <w:sz w:val="32"/>
          <w:szCs w:val="32"/>
        </w:rPr>
      </w:pPr>
    </w:p>
    <w:p>
      <w:pPr>
        <w:spacing w:line="594" w:lineRule="exact"/>
        <w:ind w:firstLine="640" w:firstLineChars="200"/>
        <w:rPr>
          <w:rFonts w:ascii="仿宋_GB2312" w:eastAsia="仿宋_GB2312"/>
          <w:color w:val="FF0000"/>
          <w:sz w:val="32"/>
          <w:szCs w:val="32"/>
        </w:rPr>
      </w:pPr>
    </w:p>
    <w:p>
      <w:pPr>
        <w:spacing w:line="594" w:lineRule="exact"/>
        <w:ind w:firstLine="640" w:firstLineChars="200"/>
        <w:rPr>
          <w:rFonts w:ascii="仿宋_GB2312" w:eastAsia="仿宋_GB2312"/>
          <w:color w:val="FF0000"/>
          <w:sz w:val="32"/>
          <w:szCs w:val="32"/>
        </w:rPr>
      </w:pPr>
    </w:p>
    <w:p>
      <w:pPr>
        <w:spacing w:line="594" w:lineRule="exact"/>
        <w:ind w:firstLine="640" w:firstLineChars="200"/>
        <w:rPr>
          <w:rFonts w:ascii="仿宋_GB2312" w:eastAsia="仿宋_GB2312"/>
          <w:color w:val="FF0000"/>
          <w:sz w:val="32"/>
          <w:szCs w:val="32"/>
        </w:rPr>
      </w:pPr>
    </w:p>
    <w:p>
      <w:pPr>
        <w:pStyle w:val="3"/>
        <w:spacing w:before="0" w:after="0" w:line="594" w:lineRule="exact"/>
        <w:ind w:firstLine="469" w:firstLineChars="146"/>
        <w:rPr>
          <w:color w:val="000000"/>
        </w:rPr>
      </w:pPr>
      <w:bookmarkStart w:id="82" w:name="_Toc15377207"/>
      <w:bookmarkStart w:id="83" w:name="_Toc51662758"/>
      <w:bookmarkStart w:id="84" w:name="_Toc51662570"/>
    </w:p>
    <w:p>
      <w:pPr>
        <w:pStyle w:val="3"/>
        <w:spacing w:before="0" w:after="0" w:line="594" w:lineRule="exact"/>
        <w:ind w:firstLine="469" w:firstLineChars="146"/>
        <w:rPr>
          <w:rFonts w:ascii="黑体" w:hAnsi="黑体" w:eastAsia="黑体" w:cs="黑体"/>
          <w:color w:val="000000"/>
        </w:rPr>
      </w:pPr>
      <w:bookmarkStart w:id="85" w:name="_Toc18541"/>
      <w:r>
        <w:rPr>
          <w:rFonts w:hint="eastAsia" w:ascii="黑体" w:hAnsi="黑体" w:eastAsia="黑体" w:cs="黑体"/>
          <w:color w:val="000000"/>
        </w:rPr>
        <w:t>三、支</w:t>
      </w:r>
      <w:r>
        <w:rPr>
          <w:rFonts w:hint="eastAsia" w:ascii="黑体" w:hAnsi="黑体" w:eastAsia="黑体" w:cs="黑体"/>
        </w:rPr>
        <w:t>出决算情况说明</w:t>
      </w:r>
      <w:bookmarkEnd w:id="82"/>
      <w:bookmarkEnd w:id="83"/>
      <w:bookmarkEnd w:id="84"/>
      <w:bookmarkEnd w:id="85"/>
      <w:bookmarkStart w:id="86" w:name="_Toc51662759"/>
      <w:bookmarkStart w:id="87" w:name="_Toc51662571"/>
    </w:p>
    <w:p>
      <w:pPr>
        <w:spacing w:line="594" w:lineRule="exact"/>
        <w:ind w:firstLine="640" w:firstLineChars="200"/>
        <w:outlineLvl w:val="1"/>
        <w:rPr>
          <w:rFonts w:ascii="仿宋_GB2312" w:hAnsi="楷体" w:eastAsia="仿宋_GB2312"/>
          <w:color w:val="000000"/>
          <w:sz w:val="32"/>
          <w:szCs w:val="32"/>
        </w:rPr>
      </w:pPr>
      <w:bookmarkStart w:id="88" w:name="_Toc4383"/>
      <w:r>
        <w:rPr>
          <w:rFonts w:ascii="仿宋_GB2312" w:hAnsi="楷体" w:eastAsia="仿宋_GB2312"/>
          <w:color w:val="000000"/>
          <w:sz w:val="32"/>
          <w:szCs w:val="32"/>
        </w:rPr>
        <w:t>201</w:t>
      </w:r>
      <w:r>
        <w:rPr>
          <w:rFonts w:hint="eastAsia" w:ascii="仿宋_GB2312" w:hAnsi="楷体" w:eastAsia="仿宋_GB2312"/>
          <w:color w:val="000000"/>
          <w:sz w:val="32"/>
          <w:szCs w:val="32"/>
        </w:rPr>
        <w:t>9年本年支出合计1068.01万元，其中：基本支出980.77万元，占91.83</w:t>
      </w:r>
      <w:r>
        <w:rPr>
          <w:rFonts w:ascii="仿宋_GB2312" w:hAnsi="楷体" w:eastAsia="仿宋_GB2312"/>
          <w:color w:val="000000"/>
          <w:sz w:val="32"/>
          <w:szCs w:val="32"/>
        </w:rPr>
        <w:t>%</w:t>
      </w:r>
      <w:r>
        <w:rPr>
          <w:rFonts w:hint="eastAsia" w:ascii="仿宋_GB2312" w:hAnsi="楷体" w:eastAsia="仿宋_GB2312"/>
          <w:color w:val="000000"/>
          <w:sz w:val="32"/>
          <w:szCs w:val="32"/>
        </w:rPr>
        <w:t>；项目支出87.23万元，占8.17</w:t>
      </w:r>
      <w:r>
        <w:rPr>
          <w:rFonts w:ascii="仿宋_GB2312" w:hAnsi="楷体" w:eastAsia="仿宋_GB2312"/>
          <w:color w:val="000000"/>
          <w:sz w:val="32"/>
          <w:szCs w:val="32"/>
        </w:rPr>
        <w:t>%</w:t>
      </w:r>
      <w:r>
        <w:rPr>
          <w:rFonts w:hint="eastAsia" w:ascii="仿宋_GB2312" w:hAnsi="楷体" w:eastAsia="仿宋_GB2312"/>
          <w:color w:val="000000"/>
          <w:sz w:val="32"/>
          <w:szCs w:val="32"/>
        </w:rPr>
        <w:t>；上缴上级支出</w:t>
      </w:r>
      <w:r>
        <w:rPr>
          <w:rFonts w:ascii="仿宋_GB2312" w:hAnsi="楷体" w:eastAsia="仿宋_GB2312"/>
          <w:color w:val="000000"/>
          <w:sz w:val="32"/>
          <w:szCs w:val="32"/>
        </w:rPr>
        <w:t>0</w:t>
      </w:r>
      <w:r>
        <w:rPr>
          <w:rFonts w:hint="eastAsia" w:ascii="仿宋_GB2312" w:hAnsi="楷体" w:eastAsia="仿宋_GB2312"/>
          <w:color w:val="000000"/>
          <w:sz w:val="32"/>
          <w:szCs w:val="32"/>
        </w:rPr>
        <w:t>万元，占</w:t>
      </w:r>
      <w:r>
        <w:rPr>
          <w:rFonts w:ascii="仿宋_GB2312" w:hAnsi="楷体" w:eastAsia="仿宋_GB2312"/>
          <w:color w:val="000000"/>
          <w:sz w:val="32"/>
          <w:szCs w:val="32"/>
        </w:rPr>
        <w:t>0%</w:t>
      </w:r>
      <w:r>
        <w:rPr>
          <w:rFonts w:hint="eastAsia" w:ascii="仿宋_GB2312" w:hAnsi="楷体" w:eastAsia="仿宋_GB2312"/>
          <w:color w:val="000000"/>
          <w:sz w:val="32"/>
          <w:szCs w:val="32"/>
        </w:rPr>
        <w:t>；经营支出</w:t>
      </w:r>
      <w:r>
        <w:rPr>
          <w:rFonts w:ascii="仿宋_GB2312" w:hAnsi="楷体" w:eastAsia="仿宋_GB2312"/>
          <w:color w:val="000000"/>
          <w:sz w:val="32"/>
          <w:szCs w:val="32"/>
        </w:rPr>
        <w:t>0</w:t>
      </w:r>
      <w:r>
        <w:rPr>
          <w:rFonts w:hint="eastAsia" w:ascii="仿宋_GB2312" w:hAnsi="楷体" w:eastAsia="仿宋_GB2312"/>
          <w:color w:val="000000"/>
          <w:sz w:val="32"/>
          <w:szCs w:val="32"/>
        </w:rPr>
        <w:t>万元，占</w:t>
      </w:r>
      <w:r>
        <w:rPr>
          <w:rFonts w:ascii="仿宋_GB2312" w:hAnsi="楷体" w:eastAsia="仿宋_GB2312"/>
          <w:color w:val="000000"/>
          <w:sz w:val="32"/>
          <w:szCs w:val="32"/>
        </w:rPr>
        <w:t>0%</w:t>
      </w:r>
      <w:r>
        <w:rPr>
          <w:rFonts w:hint="eastAsia" w:ascii="仿宋_GB2312" w:hAnsi="楷体" w:eastAsia="仿宋_GB2312"/>
          <w:color w:val="000000"/>
          <w:sz w:val="32"/>
          <w:szCs w:val="32"/>
        </w:rPr>
        <w:t>；对附属单位补助支出</w:t>
      </w:r>
      <w:r>
        <w:rPr>
          <w:rFonts w:ascii="仿宋_GB2312" w:hAnsi="楷体" w:eastAsia="仿宋_GB2312"/>
          <w:color w:val="000000"/>
          <w:sz w:val="32"/>
          <w:szCs w:val="32"/>
        </w:rPr>
        <w:t>0</w:t>
      </w:r>
      <w:r>
        <w:rPr>
          <w:rFonts w:hint="eastAsia" w:ascii="仿宋_GB2312" w:hAnsi="楷体" w:eastAsia="仿宋_GB2312"/>
          <w:color w:val="000000"/>
          <w:sz w:val="32"/>
          <w:szCs w:val="32"/>
        </w:rPr>
        <w:t>万元，占</w:t>
      </w:r>
      <w:r>
        <w:rPr>
          <w:rFonts w:ascii="仿宋_GB2312" w:hAnsi="楷体" w:eastAsia="仿宋_GB2312"/>
          <w:color w:val="000000"/>
          <w:sz w:val="32"/>
          <w:szCs w:val="32"/>
        </w:rPr>
        <w:t>0%</w:t>
      </w:r>
      <w:r>
        <w:rPr>
          <w:rFonts w:hint="eastAsia" w:ascii="仿宋_GB2312" w:hAnsi="楷体" w:eastAsia="仿宋_GB2312"/>
          <w:color w:val="000000"/>
          <w:sz w:val="32"/>
          <w:szCs w:val="32"/>
        </w:rPr>
        <w:t>。</w:t>
      </w:r>
      <w:bookmarkEnd w:id="86"/>
      <w:bookmarkEnd w:id="87"/>
      <w:bookmarkEnd w:id="88"/>
    </w:p>
    <w:p>
      <w:pPr>
        <w:spacing w:line="594" w:lineRule="exact"/>
        <w:rPr>
          <w:rFonts w:ascii="仿宋" w:hAnsi="仿宋" w:eastAsia="仿宋"/>
          <w:color w:val="000000"/>
          <w:sz w:val="32"/>
          <w:szCs w:val="32"/>
        </w:rPr>
      </w:pPr>
      <w:r>
        <w:rPr>
          <w:rFonts w:hint="eastAsia" w:ascii="仿宋_GB2312" w:eastAsia="仿宋_GB2312"/>
          <w:color w:val="FF0000"/>
          <w:sz w:val="32"/>
          <w:szCs w:val="32"/>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203200</wp:posOffset>
            </wp:positionV>
            <wp:extent cx="4705985" cy="2513965"/>
            <wp:effectExtent l="4445" t="5080" r="71120" b="71755"/>
            <wp:wrapTight wrapText="bothSides">
              <wp:wrapPolygon>
                <wp:start x="-20" y="-44"/>
                <wp:lineTo x="-20" y="21398"/>
                <wp:lineTo x="21577" y="21398"/>
                <wp:lineTo x="21577" y="-44"/>
                <wp:lineTo x="-20" y="-44"/>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594" w:lineRule="exact"/>
        <w:ind w:firstLine="640" w:firstLineChars="200"/>
        <w:rPr>
          <w:rFonts w:ascii="仿宋" w:hAnsi="仿宋" w:eastAsia="仿宋"/>
          <w:color w:val="000000" w:themeColor="text1"/>
          <w:sz w:val="32"/>
          <w:szCs w:val="32"/>
        </w:rPr>
      </w:pPr>
    </w:p>
    <w:p>
      <w:pPr>
        <w:spacing w:line="594" w:lineRule="exact"/>
        <w:ind w:firstLine="640" w:firstLineChars="200"/>
        <w:rPr>
          <w:rFonts w:ascii="仿宋" w:hAnsi="仿宋" w:eastAsia="仿宋"/>
          <w:color w:val="000000" w:themeColor="text1"/>
          <w:sz w:val="32"/>
          <w:szCs w:val="32"/>
        </w:rPr>
      </w:pPr>
    </w:p>
    <w:p>
      <w:pPr>
        <w:spacing w:line="594" w:lineRule="exact"/>
        <w:ind w:firstLine="640" w:firstLineChars="200"/>
        <w:rPr>
          <w:rFonts w:ascii="仿宋" w:hAnsi="仿宋" w:eastAsia="仿宋"/>
          <w:color w:val="000000" w:themeColor="text1"/>
          <w:sz w:val="32"/>
          <w:szCs w:val="32"/>
        </w:rPr>
      </w:pPr>
    </w:p>
    <w:p>
      <w:pPr>
        <w:spacing w:line="594" w:lineRule="exact"/>
        <w:ind w:firstLine="640" w:firstLineChars="200"/>
        <w:rPr>
          <w:rFonts w:ascii="仿宋" w:hAnsi="仿宋" w:eastAsia="仿宋"/>
          <w:color w:val="000000" w:themeColor="text1"/>
          <w:sz w:val="32"/>
          <w:szCs w:val="32"/>
        </w:rPr>
      </w:pPr>
    </w:p>
    <w:p>
      <w:pPr>
        <w:spacing w:line="594" w:lineRule="exact"/>
        <w:ind w:firstLine="640" w:firstLineChars="200"/>
        <w:rPr>
          <w:rFonts w:ascii="仿宋" w:hAnsi="仿宋" w:eastAsia="仿宋"/>
          <w:color w:val="000000" w:themeColor="text1"/>
          <w:sz w:val="32"/>
          <w:szCs w:val="32"/>
        </w:rPr>
      </w:pPr>
    </w:p>
    <w:p>
      <w:pPr>
        <w:spacing w:line="594" w:lineRule="exact"/>
        <w:ind w:firstLine="640" w:firstLineChars="200"/>
        <w:rPr>
          <w:rFonts w:ascii="仿宋" w:hAnsi="仿宋" w:eastAsia="仿宋"/>
          <w:color w:val="000000" w:themeColor="text1"/>
          <w:sz w:val="32"/>
          <w:szCs w:val="32"/>
        </w:rPr>
      </w:pPr>
    </w:p>
    <w:p>
      <w:pPr>
        <w:spacing w:line="594" w:lineRule="exact"/>
        <w:ind w:firstLine="640" w:firstLineChars="200"/>
        <w:rPr>
          <w:rFonts w:ascii="仿宋_GB2312" w:eastAsia="仿宋_GB2312"/>
          <w:color w:val="FF0000"/>
          <w:sz w:val="32"/>
          <w:szCs w:val="32"/>
        </w:rPr>
      </w:pPr>
    </w:p>
    <w:p>
      <w:pPr>
        <w:pStyle w:val="3"/>
        <w:spacing w:before="0" w:after="0" w:line="594" w:lineRule="exact"/>
        <w:ind w:firstLine="629" w:firstLineChars="196"/>
        <w:rPr>
          <w:color w:val="000000"/>
        </w:rPr>
      </w:pPr>
      <w:bookmarkStart w:id="89" w:name="_Toc27465"/>
      <w:bookmarkStart w:id="90" w:name="_Toc51662760"/>
      <w:bookmarkStart w:id="91" w:name="_Toc51662572"/>
      <w:bookmarkStart w:id="92" w:name="_Toc15377208"/>
    </w:p>
    <w:p>
      <w:pPr>
        <w:pStyle w:val="3"/>
        <w:spacing w:before="0" w:after="0" w:line="594" w:lineRule="exact"/>
        <w:ind w:firstLine="629" w:firstLineChars="196"/>
        <w:rPr>
          <w:rFonts w:ascii="黑体" w:hAnsi="黑体" w:eastAsia="黑体" w:cs="黑体"/>
        </w:rPr>
      </w:pPr>
      <w:r>
        <w:rPr>
          <w:rFonts w:hint="eastAsia" w:ascii="黑体" w:hAnsi="黑体" w:eastAsia="黑体" w:cs="黑体"/>
          <w:color w:val="000000"/>
        </w:rPr>
        <w:t>四、财</w:t>
      </w:r>
      <w:r>
        <w:rPr>
          <w:rFonts w:hint="eastAsia" w:ascii="黑体" w:hAnsi="黑体" w:eastAsia="黑体" w:cs="黑体"/>
        </w:rPr>
        <w:t>政拨款收入支出决算总体情况说明</w:t>
      </w:r>
      <w:bookmarkEnd w:id="89"/>
      <w:bookmarkEnd w:id="90"/>
      <w:bookmarkEnd w:id="91"/>
      <w:bookmarkEnd w:id="92"/>
    </w:p>
    <w:p>
      <w:pPr>
        <w:spacing w:line="594" w:lineRule="exact"/>
        <w:ind w:firstLine="480" w:firstLineChars="150"/>
        <w:outlineLvl w:val="1"/>
        <w:rPr>
          <w:rFonts w:ascii="仿宋_GB2312" w:hAnsi="楷体" w:eastAsia="仿宋_GB2312"/>
          <w:color w:val="000000"/>
          <w:sz w:val="32"/>
          <w:szCs w:val="32"/>
        </w:rPr>
      </w:pPr>
      <w:bookmarkStart w:id="93" w:name="_Toc51662761"/>
      <w:bookmarkStart w:id="94" w:name="_Toc51662573"/>
      <w:bookmarkStart w:id="95" w:name="_Toc28414"/>
      <w:r>
        <w:rPr>
          <w:rFonts w:hint="eastAsia" w:ascii="仿宋_GB2312" w:hAnsi="楷体" w:eastAsia="仿宋_GB2312"/>
          <w:color w:val="000000"/>
          <w:sz w:val="32"/>
          <w:szCs w:val="32"/>
        </w:rPr>
        <w:t>2019年财政拨款收入合计</w:t>
      </w:r>
      <w:r>
        <w:rPr>
          <w:rFonts w:hint="eastAsia" w:ascii="仿宋_GB2312" w:hAnsi="楷体" w:eastAsia="仿宋_GB2312"/>
          <w:color w:val="000000"/>
          <w:sz w:val="32"/>
          <w:szCs w:val="32"/>
          <w:lang w:val="en-US" w:eastAsia="zh-CN"/>
        </w:rPr>
        <w:t>1166.78</w:t>
      </w:r>
      <w:r>
        <w:rPr>
          <w:rFonts w:hint="eastAsia" w:ascii="仿宋_GB2312" w:hAnsi="楷体" w:eastAsia="仿宋_GB2312"/>
          <w:color w:val="000000"/>
          <w:sz w:val="32"/>
          <w:szCs w:val="32"/>
        </w:rPr>
        <w:t>万元，与2018年相比上升</w:t>
      </w:r>
      <w:r>
        <w:rPr>
          <w:rFonts w:hint="eastAsia" w:ascii="仿宋_GB2312" w:hAnsi="楷体" w:eastAsia="仿宋_GB2312"/>
          <w:color w:val="000000"/>
          <w:sz w:val="32"/>
          <w:szCs w:val="32"/>
          <w:lang w:val="en-US" w:eastAsia="zh-CN"/>
        </w:rPr>
        <w:t>59.53</w:t>
      </w:r>
      <w:r>
        <w:rPr>
          <w:rFonts w:hint="eastAsia" w:ascii="仿宋_GB2312" w:hAnsi="楷体" w:eastAsia="仿宋_GB2312"/>
          <w:color w:val="000000"/>
          <w:sz w:val="32"/>
          <w:szCs w:val="32"/>
        </w:rPr>
        <w:t>万元，主要原因是专项执法检查经费增加投入。</w:t>
      </w:r>
      <w:bookmarkEnd w:id="93"/>
      <w:bookmarkEnd w:id="94"/>
      <w:bookmarkEnd w:id="95"/>
    </w:p>
    <w:p>
      <w:pPr>
        <w:pStyle w:val="34"/>
        <w:spacing w:line="594" w:lineRule="exact"/>
        <w:ind w:left="1360" w:firstLine="0" w:firstLineChars="0"/>
        <w:outlineLvl w:val="1"/>
        <w:rPr>
          <w:rFonts w:ascii="仿宋_GB2312" w:hAnsi="楷体" w:eastAsia="仿宋_GB2312"/>
          <w:color w:val="000000"/>
          <w:sz w:val="32"/>
          <w:szCs w:val="32"/>
        </w:rPr>
      </w:pPr>
      <w:r>
        <w:rPr>
          <w:rFonts w:hint="eastAsia" w:ascii="仿宋" w:hAnsi="仿宋" w:eastAsia="仿宋"/>
          <w:color w:val="000000" w:themeColor="text1"/>
          <w:sz w:val="32"/>
          <w:szCs w:val="32"/>
        </w:rPr>
        <w:drawing>
          <wp:anchor distT="0" distB="0" distL="114300" distR="114300" simplePos="0" relativeHeight="251663360" behindDoc="1" locked="0" layoutInCell="1" allowOverlap="1">
            <wp:simplePos x="0" y="0"/>
            <wp:positionH relativeFrom="column">
              <wp:posOffset>246380</wp:posOffset>
            </wp:positionH>
            <wp:positionV relativeFrom="paragraph">
              <wp:posOffset>111760</wp:posOffset>
            </wp:positionV>
            <wp:extent cx="4613275" cy="3352800"/>
            <wp:effectExtent l="4445" t="5080" r="11430" b="13970"/>
            <wp:wrapTight wrapText="bothSides">
              <wp:wrapPolygon>
                <wp:start x="-21" y="-33"/>
                <wp:lineTo x="-21" y="21567"/>
                <wp:lineTo x="21564" y="21567"/>
                <wp:lineTo x="21564" y="-33"/>
                <wp:lineTo x="-21" y="-33"/>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594" w:lineRule="exact"/>
        <w:ind w:firstLine="640" w:firstLineChars="200"/>
        <w:rPr>
          <w:rFonts w:ascii="仿宋" w:hAnsi="仿宋" w:eastAsia="仿宋"/>
          <w:color w:val="000000" w:themeColor="text1"/>
          <w:sz w:val="32"/>
          <w:szCs w:val="32"/>
        </w:rPr>
      </w:pPr>
    </w:p>
    <w:p>
      <w:pPr>
        <w:spacing w:line="594" w:lineRule="exact"/>
        <w:ind w:firstLine="640" w:firstLineChars="200"/>
        <w:rPr>
          <w:rFonts w:ascii="仿宋" w:hAnsi="仿宋" w:eastAsia="仿宋"/>
          <w:color w:val="000000" w:themeColor="text1"/>
          <w:sz w:val="32"/>
          <w:szCs w:val="32"/>
        </w:rPr>
      </w:pPr>
    </w:p>
    <w:p>
      <w:pPr>
        <w:spacing w:line="594" w:lineRule="exact"/>
        <w:ind w:firstLine="640" w:firstLineChars="200"/>
        <w:rPr>
          <w:rFonts w:ascii="仿宋" w:hAnsi="仿宋" w:eastAsia="仿宋"/>
          <w:color w:val="000000" w:themeColor="text1"/>
          <w:sz w:val="32"/>
          <w:szCs w:val="32"/>
        </w:rPr>
      </w:pPr>
    </w:p>
    <w:p>
      <w:pPr>
        <w:spacing w:line="594" w:lineRule="exact"/>
        <w:ind w:firstLine="640" w:firstLineChars="200"/>
        <w:rPr>
          <w:rFonts w:ascii="仿宋" w:hAnsi="仿宋" w:eastAsia="仿宋"/>
          <w:color w:val="000000" w:themeColor="text1"/>
          <w:sz w:val="32"/>
          <w:szCs w:val="32"/>
        </w:rPr>
      </w:pPr>
    </w:p>
    <w:p>
      <w:pPr>
        <w:spacing w:line="594" w:lineRule="exact"/>
        <w:ind w:firstLine="640" w:firstLineChars="200"/>
        <w:rPr>
          <w:rFonts w:ascii="仿宋" w:hAnsi="仿宋" w:eastAsia="仿宋"/>
          <w:color w:val="000000" w:themeColor="text1"/>
          <w:sz w:val="32"/>
          <w:szCs w:val="32"/>
        </w:rPr>
      </w:pPr>
    </w:p>
    <w:p>
      <w:pPr>
        <w:spacing w:line="594" w:lineRule="exact"/>
        <w:ind w:firstLine="640" w:firstLineChars="200"/>
        <w:rPr>
          <w:rFonts w:ascii="仿宋" w:hAnsi="仿宋" w:eastAsia="仿宋"/>
          <w:color w:val="000000" w:themeColor="text1"/>
          <w:sz w:val="32"/>
          <w:szCs w:val="32"/>
        </w:rPr>
      </w:pPr>
    </w:p>
    <w:p>
      <w:pPr>
        <w:spacing w:line="594" w:lineRule="exact"/>
        <w:ind w:firstLine="640" w:firstLineChars="200"/>
        <w:rPr>
          <w:rFonts w:ascii="仿宋" w:hAnsi="仿宋" w:eastAsia="仿宋"/>
          <w:color w:val="000000" w:themeColor="text1"/>
          <w:sz w:val="32"/>
          <w:szCs w:val="32"/>
        </w:rPr>
      </w:pPr>
    </w:p>
    <w:p>
      <w:pPr>
        <w:spacing w:line="594" w:lineRule="exact"/>
        <w:ind w:firstLine="640" w:firstLineChars="200"/>
        <w:rPr>
          <w:rFonts w:ascii="仿宋" w:hAnsi="仿宋" w:eastAsia="仿宋"/>
          <w:color w:val="000000" w:themeColor="text1"/>
          <w:sz w:val="32"/>
          <w:szCs w:val="32"/>
        </w:rPr>
      </w:pPr>
    </w:p>
    <w:p>
      <w:pPr>
        <w:spacing w:line="594" w:lineRule="exact"/>
        <w:ind w:firstLine="640" w:firstLineChars="200"/>
        <w:rPr>
          <w:rFonts w:ascii="仿宋" w:hAnsi="仿宋" w:eastAsia="仿宋"/>
          <w:color w:val="000000" w:themeColor="text1"/>
          <w:sz w:val="32"/>
          <w:szCs w:val="32"/>
        </w:rPr>
      </w:pPr>
    </w:p>
    <w:p>
      <w:pPr>
        <w:spacing w:line="594" w:lineRule="exact"/>
        <w:ind w:firstLine="640" w:firstLineChars="200"/>
        <w:rPr>
          <w:rFonts w:ascii="仿宋" w:hAnsi="仿宋" w:eastAsia="仿宋"/>
          <w:color w:val="000000" w:themeColor="text1"/>
          <w:sz w:val="32"/>
          <w:szCs w:val="32"/>
        </w:rPr>
      </w:pPr>
    </w:p>
    <w:p>
      <w:pPr>
        <w:spacing w:line="594" w:lineRule="exact"/>
        <w:ind w:firstLine="640" w:firstLineChars="200"/>
        <w:outlineLvl w:val="1"/>
        <w:rPr>
          <w:rFonts w:ascii="仿宋_GB2312" w:hAnsi="楷体" w:eastAsia="仿宋_GB2312"/>
          <w:color w:val="000000"/>
          <w:sz w:val="32"/>
          <w:szCs w:val="32"/>
        </w:rPr>
      </w:pPr>
      <w:bookmarkStart w:id="96" w:name="_Toc24693"/>
      <w:bookmarkStart w:id="97" w:name="_Toc51662762"/>
      <w:bookmarkStart w:id="98" w:name="_Toc51662574"/>
      <w:r>
        <w:rPr>
          <w:rFonts w:hint="eastAsia" w:ascii="仿宋_GB2312" w:hAnsi="楷体" w:eastAsia="仿宋_GB2312"/>
          <w:color w:val="000000"/>
          <w:sz w:val="32"/>
          <w:szCs w:val="32"/>
        </w:rPr>
        <w:t>2019年财政拨款支出合计</w:t>
      </w:r>
      <w:r>
        <w:rPr>
          <w:rFonts w:hint="eastAsia" w:ascii="仿宋_GB2312" w:hAnsi="楷体" w:eastAsia="仿宋_GB2312"/>
          <w:color w:val="000000"/>
          <w:sz w:val="32"/>
          <w:szCs w:val="32"/>
          <w:lang w:val="en-US" w:eastAsia="zh-CN"/>
        </w:rPr>
        <w:t>1166.78</w:t>
      </w:r>
      <w:r>
        <w:rPr>
          <w:rFonts w:hint="eastAsia" w:ascii="仿宋_GB2312" w:hAnsi="楷体" w:eastAsia="仿宋_GB2312"/>
          <w:color w:val="000000"/>
          <w:sz w:val="32"/>
          <w:szCs w:val="32"/>
        </w:rPr>
        <w:t>万元，与2018年相比上升</w:t>
      </w:r>
      <w:r>
        <w:rPr>
          <w:rFonts w:hint="eastAsia" w:ascii="仿宋_GB2312" w:hAnsi="楷体" w:eastAsia="仿宋_GB2312"/>
          <w:color w:val="000000"/>
          <w:sz w:val="32"/>
          <w:szCs w:val="32"/>
          <w:lang w:val="en-US" w:eastAsia="zh-CN"/>
        </w:rPr>
        <w:t>59.53</w:t>
      </w:r>
      <w:r>
        <w:rPr>
          <w:rFonts w:hint="eastAsia" w:ascii="仿宋_GB2312" w:hAnsi="楷体" w:eastAsia="仿宋_GB2312"/>
          <w:color w:val="000000"/>
          <w:sz w:val="32"/>
          <w:szCs w:val="32"/>
        </w:rPr>
        <w:t>万元，主要原因：一是人员工资增加，二是抽检和知识产权支出纳入预算。</w:t>
      </w:r>
      <w:bookmarkEnd w:id="96"/>
      <w:bookmarkEnd w:id="97"/>
      <w:bookmarkEnd w:id="98"/>
    </w:p>
    <w:p>
      <w:pPr>
        <w:spacing w:line="594" w:lineRule="exact"/>
        <w:ind w:firstLine="640"/>
        <w:rPr>
          <w:rFonts w:ascii="仿宋" w:hAnsi="仿宋" w:eastAsia="仿宋"/>
          <w:b/>
          <w:color w:val="00B050"/>
          <w:sz w:val="32"/>
          <w:szCs w:val="32"/>
        </w:rPr>
      </w:pPr>
      <w:r>
        <w:rPr>
          <w:rFonts w:hint="eastAsia" w:ascii="仿宋" w:hAnsi="仿宋" w:eastAsia="仿宋"/>
          <w:color w:val="000000" w:themeColor="text1"/>
          <w:sz w:val="32"/>
          <w:szCs w:val="32"/>
        </w:rPr>
        <w:drawing>
          <wp:anchor distT="0" distB="0" distL="114300" distR="114300" simplePos="0" relativeHeight="251664384" behindDoc="1" locked="0" layoutInCell="1" allowOverlap="1">
            <wp:simplePos x="0" y="0"/>
            <wp:positionH relativeFrom="column">
              <wp:posOffset>624205</wp:posOffset>
            </wp:positionH>
            <wp:positionV relativeFrom="paragraph">
              <wp:posOffset>55245</wp:posOffset>
            </wp:positionV>
            <wp:extent cx="4157980" cy="2544445"/>
            <wp:effectExtent l="4445" t="4445" r="47625" b="60960"/>
            <wp:wrapTight wrapText="bothSides">
              <wp:wrapPolygon>
                <wp:start x="-23" y="-38"/>
                <wp:lineTo x="-23" y="21471"/>
                <wp:lineTo x="21551" y="21471"/>
                <wp:lineTo x="21551" y="-38"/>
                <wp:lineTo x="-23" y="-38"/>
              </wp:wrapPolygon>
            </wp:wrapTight>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594" w:lineRule="exact"/>
        <w:ind w:firstLine="640"/>
        <w:rPr>
          <w:rFonts w:ascii="仿宋" w:hAnsi="仿宋" w:eastAsia="仿宋"/>
          <w:b/>
          <w:color w:val="00B050"/>
          <w:sz w:val="32"/>
          <w:szCs w:val="32"/>
        </w:rPr>
      </w:pPr>
    </w:p>
    <w:p>
      <w:pPr>
        <w:spacing w:line="594" w:lineRule="exact"/>
        <w:ind w:firstLine="640"/>
        <w:rPr>
          <w:rFonts w:ascii="仿宋" w:hAnsi="仿宋" w:eastAsia="仿宋"/>
          <w:b/>
          <w:color w:val="00B050"/>
          <w:sz w:val="32"/>
          <w:szCs w:val="32"/>
        </w:rPr>
      </w:pPr>
    </w:p>
    <w:p>
      <w:pPr>
        <w:spacing w:line="594" w:lineRule="exact"/>
        <w:ind w:firstLine="640"/>
        <w:rPr>
          <w:rFonts w:ascii="仿宋" w:hAnsi="仿宋" w:eastAsia="仿宋"/>
          <w:b/>
          <w:color w:val="00B050"/>
          <w:sz w:val="32"/>
          <w:szCs w:val="32"/>
        </w:rPr>
      </w:pPr>
    </w:p>
    <w:p>
      <w:pPr>
        <w:spacing w:line="594" w:lineRule="exact"/>
        <w:ind w:firstLine="640"/>
        <w:rPr>
          <w:rFonts w:ascii="仿宋" w:hAnsi="仿宋" w:eastAsia="仿宋"/>
          <w:b/>
          <w:color w:val="00B050"/>
          <w:sz w:val="32"/>
          <w:szCs w:val="32"/>
        </w:rPr>
      </w:pPr>
    </w:p>
    <w:p>
      <w:pPr>
        <w:spacing w:line="594" w:lineRule="exact"/>
        <w:ind w:firstLine="640"/>
        <w:rPr>
          <w:rFonts w:ascii="仿宋" w:hAnsi="仿宋" w:eastAsia="仿宋"/>
          <w:b/>
          <w:color w:val="00B050"/>
          <w:sz w:val="32"/>
          <w:szCs w:val="32"/>
        </w:rPr>
      </w:pPr>
    </w:p>
    <w:p>
      <w:pPr>
        <w:spacing w:line="594" w:lineRule="exact"/>
        <w:ind w:firstLine="640"/>
        <w:rPr>
          <w:rFonts w:ascii="仿宋" w:hAnsi="仿宋" w:eastAsia="仿宋"/>
          <w:b/>
          <w:color w:val="00B050"/>
          <w:sz w:val="32"/>
          <w:szCs w:val="32"/>
        </w:rPr>
      </w:pPr>
    </w:p>
    <w:p>
      <w:pPr>
        <w:pStyle w:val="3"/>
        <w:spacing w:before="0" w:after="0" w:line="594" w:lineRule="exact"/>
        <w:ind w:firstLine="629" w:firstLineChars="196"/>
        <w:rPr>
          <w:rFonts w:ascii="黑体" w:hAnsi="黑体" w:eastAsia="黑体" w:cs="黑体"/>
        </w:rPr>
      </w:pPr>
      <w:bookmarkStart w:id="99" w:name="_Toc51662575"/>
      <w:bookmarkStart w:id="100" w:name="_Toc51662763"/>
      <w:bookmarkStart w:id="101" w:name="_Toc15546"/>
      <w:bookmarkStart w:id="102" w:name="_Toc15377209"/>
      <w:r>
        <w:rPr>
          <w:rFonts w:hint="eastAsia" w:ascii="黑体" w:hAnsi="黑体" w:eastAsia="黑体" w:cs="黑体"/>
          <w:color w:val="000000"/>
        </w:rPr>
        <w:t>五、一</w:t>
      </w:r>
      <w:r>
        <w:rPr>
          <w:rFonts w:hint="eastAsia" w:ascii="黑体" w:hAnsi="黑体" w:eastAsia="黑体" w:cs="黑体"/>
        </w:rPr>
        <w:t>般公共预算财政拨款支出决算情况说明</w:t>
      </w:r>
      <w:bookmarkEnd w:id="99"/>
      <w:bookmarkEnd w:id="100"/>
      <w:bookmarkEnd w:id="101"/>
      <w:bookmarkEnd w:id="102"/>
    </w:p>
    <w:p>
      <w:pPr>
        <w:spacing w:line="594" w:lineRule="exact"/>
        <w:ind w:firstLine="642" w:firstLineChars="200"/>
        <w:outlineLvl w:val="2"/>
        <w:rPr>
          <w:rFonts w:ascii="楷体_GB2312" w:hAnsi="楷体_GB2312" w:eastAsia="楷体_GB2312" w:cs="楷体_GB2312"/>
          <w:b/>
          <w:color w:val="000000"/>
          <w:sz w:val="32"/>
          <w:szCs w:val="32"/>
        </w:rPr>
      </w:pPr>
      <w:bookmarkStart w:id="103" w:name="_Toc51662576"/>
      <w:bookmarkStart w:id="104" w:name="_Toc51662764"/>
      <w:bookmarkStart w:id="105" w:name="_Toc15377210"/>
      <w:r>
        <w:rPr>
          <w:rFonts w:hint="eastAsia" w:ascii="楷体_GB2312" w:hAnsi="楷体_GB2312" w:eastAsia="楷体_GB2312" w:cs="楷体_GB2312"/>
          <w:b/>
          <w:color w:val="000000"/>
          <w:sz w:val="32"/>
          <w:szCs w:val="32"/>
        </w:rPr>
        <w:t>（一）一般公共预算财政拨款支出决算总体情况</w:t>
      </w:r>
      <w:bookmarkEnd w:id="103"/>
      <w:bookmarkEnd w:id="104"/>
      <w:bookmarkEnd w:id="105"/>
    </w:p>
    <w:p>
      <w:pPr>
        <w:spacing w:line="594" w:lineRule="exact"/>
        <w:ind w:firstLine="640" w:firstLineChars="200"/>
        <w:outlineLvl w:val="1"/>
        <w:rPr>
          <w:rFonts w:ascii="仿宋_GB2312" w:hAnsi="楷体" w:eastAsia="仿宋_GB2312"/>
          <w:color w:val="000000"/>
          <w:sz w:val="32"/>
          <w:szCs w:val="32"/>
        </w:rPr>
      </w:pPr>
      <w:bookmarkStart w:id="106" w:name="_Toc25241"/>
      <w:bookmarkStart w:id="107" w:name="_Toc51662765"/>
      <w:bookmarkStart w:id="108" w:name="_Toc51662577"/>
      <w:r>
        <w:rPr>
          <w:rFonts w:ascii="仿宋" w:hAnsi="仿宋" w:eastAsia="仿宋"/>
          <w:color w:val="000000"/>
          <w:sz w:val="32"/>
          <w:szCs w:val="32"/>
        </w:rPr>
        <w:t>201</w:t>
      </w:r>
      <w:r>
        <w:rPr>
          <w:rFonts w:hint="eastAsia" w:ascii="仿宋" w:hAnsi="仿宋" w:eastAsia="仿宋"/>
          <w:color w:val="000000"/>
          <w:sz w:val="32"/>
          <w:szCs w:val="32"/>
        </w:rPr>
        <w:t>9年一般公共预算财政拨款支出1068.01万元，占本年支出合计的100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8年相比，一般公共预算财政拨款增加25.03万元，增长2.34</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_GB2312" w:hAnsi="楷体" w:eastAsia="仿宋_GB2312"/>
          <w:color w:val="000000"/>
          <w:sz w:val="32"/>
          <w:szCs w:val="32"/>
        </w:rPr>
        <w:t>一是人员工资增加，二是抽检和知识产权支出纳入预算。</w:t>
      </w:r>
      <w:bookmarkEnd w:id="106"/>
      <w:bookmarkEnd w:id="107"/>
      <w:bookmarkEnd w:id="108"/>
    </w:p>
    <w:p>
      <w:pPr>
        <w:spacing w:line="594"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65408" behindDoc="1" locked="0" layoutInCell="1" allowOverlap="1">
            <wp:simplePos x="0" y="0"/>
            <wp:positionH relativeFrom="column">
              <wp:posOffset>584200</wp:posOffset>
            </wp:positionH>
            <wp:positionV relativeFrom="paragraph">
              <wp:posOffset>140970</wp:posOffset>
            </wp:positionV>
            <wp:extent cx="4386580" cy="2325370"/>
            <wp:effectExtent l="5080" t="5080" r="8890" b="50800"/>
            <wp:wrapTight wrapText="bothSides">
              <wp:wrapPolygon>
                <wp:start x="-25" y="-47"/>
                <wp:lineTo x="-25" y="21541"/>
                <wp:lineTo x="21550" y="21541"/>
                <wp:lineTo x="21550" y="-47"/>
                <wp:lineTo x="-25" y="-47"/>
              </wp:wrapPolygon>
            </wp:wrapTight>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594" w:lineRule="exact"/>
        <w:ind w:firstLine="640" w:firstLineChars="200"/>
        <w:rPr>
          <w:rFonts w:ascii="仿宋" w:hAnsi="仿宋" w:eastAsia="仿宋"/>
          <w:color w:val="000000" w:themeColor="text1"/>
          <w:sz w:val="32"/>
          <w:szCs w:val="32"/>
        </w:rPr>
      </w:pPr>
    </w:p>
    <w:p>
      <w:pPr>
        <w:spacing w:line="594" w:lineRule="exact"/>
        <w:ind w:firstLine="640" w:firstLineChars="200"/>
        <w:rPr>
          <w:rFonts w:ascii="仿宋" w:hAnsi="仿宋" w:eastAsia="仿宋"/>
          <w:color w:val="000000" w:themeColor="text1"/>
          <w:sz w:val="32"/>
          <w:szCs w:val="32"/>
        </w:rPr>
      </w:pPr>
    </w:p>
    <w:p>
      <w:pPr>
        <w:spacing w:line="594" w:lineRule="exact"/>
        <w:ind w:firstLine="642" w:firstLineChars="200"/>
        <w:outlineLvl w:val="2"/>
        <w:rPr>
          <w:rFonts w:ascii="仿宋" w:hAnsi="仿宋" w:eastAsia="仿宋"/>
          <w:b/>
          <w:color w:val="000000"/>
          <w:sz w:val="32"/>
          <w:szCs w:val="32"/>
        </w:rPr>
      </w:pPr>
      <w:bookmarkStart w:id="109" w:name="_Toc15377211"/>
      <w:bookmarkStart w:id="110" w:name="_Toc51662578"/>
      <w:bookmarkStart w:id="111" w:name="_Toc51662766"/>
    </w:p>
    <w:p>
      <w:pPr>
        <w:spacing w:line="594" w:lineRule="exact"/>
        <w:ind w:firstLine="642" w:firstLineChars="200"/>
        <w:outlineLvl w:val="2"/>
        <w:rPr>
          <w:rFonts w:ascii="仿宋" w:hAnsi="仿宋" w:eastAsia="仿宋"/>
          <w:b/>
          <w:color w:val="000000"/>
          <w:sz w:val="32"/>
          <w:szCs w:val="32"/>
        </w:rPr>
      </w:pPr>
    </w:p>
    <w:p>
      <w:pPr>
        <w:spacing w:line="594" w:lineRule="exact"/>
        <w:ind w:firstLine="642" w:firstLineChars="200"/>
        <w:outlineLvl w:val="2"/>
        <w:rPr>
          <w:rFonts w:ascii="仿宋" w:hAnsi="仿宋" w:eastAsia="仿宋"/>
          <w:b/>
          <w:color w:val="000000"/>
          <w:sz w:val="32"/>
          <w:szCs w:val="32"/>
        </w:rPr>
      </w:pPr>
    </w:p>
    <w:p>
      <w:pPr>
        <w:spacing w:line="594" w:lineRule="exact"/>
        <w:ind w:firstLine="642" w:firstLineChars="200"/>
        <w:outlineLvl w:val="2"/>
        <w:rPr>
          <w:rFonts w:ascii="仿宋" w:hAnsi="仿宋" w:eastAsia="仿宋"/>
          <w:b/>
          <w:color w:val="000000"/>
          <w:sz w:val="32"/>
          <w:szCs w:val="32"/>
        </w:rPr>
      </w:pPr>
    </w:p>
    <w:p>
      <w:pPr>
        <w:spacing w:line="594" w:lineRule="exact"/>
        <w:ind w:firstLine="642" w:firstLineChars="200"/>
        <w:outlineLvl w:val="2"/>
        <w:rPr>
          <w:rFonts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（二）一般公共预算财政拨款支出决算结构情况</w:t>
      </w:r>
      <w:bookmarkEnd w:id="109"/>
      <w:bookmarkEnd w:id="110"/>
      <w:bookmarkEnd w:id="111"/>
    </w:p>
    <w:p>
      <w:pPr>
        <w:spacing w:line="594" w:lineRule="exact"/>
        <w:ind w:firstLine="640" w:firstLineChars="200"/>
        <w:outlineLvl w:val="1"/>
        <w:rPr>
          <w:rFonts w:ascii="仿宋_GB2312" w:hAnsi="楷体" w:eastAsia="仿宋_GB2312"/>
          <w:color w:val="000000"/>
          <w:sz w:val="32"/>
          <w:szCs w:val="32"/>
        </w:rPr>
      </w:pPr>
      <w:bookmarkStart w:id="112" w:name="_Toc51662767"/>
      <w:bookmarkStart w:id="113" w:name="_Toc51662579"/>
      <w:bookmarkStart w:id="114" w:name="_Toc6883"/>
      <w:r>
        <w:rPr>
          <w:rFonts w:ascii="仿宋_GB2312" w:hAnsi="楷体" w:eastAsia="仿宋_GB2312"/>
          <w:color w:val="000000"/>
          <w:sz w:val="32"/>
          <w:szCs w:val="32"/>
        </w:rPr>
        <w:t>201</w:t>
      </w:r>
      <w:r>
        <w:rPr>
          <w:rFonts w:hint="eastAsia" w:ascii="仿宋_GB2312" w:hAnsi="楷体" w:eastAsia="仿宋_GB2312"/>
          <w:color w:val="000000"/>
          <w:sz w:val="32"/>
          <w:szCs w:val="32"/>
        </w:rPr>
        <w:t>9年一般公共预算财政拨款支出1068.01万元，主要用于以下方面</w:t>
      </w:r>
      <w:r>
        <w:rPr>
          <w:rFonts w:ascii="仿宋_GB2312" w:hAnsi="楷体" w:eastAsia="仿宋_GB2312"/>
          <w:color w:val="000000"/>
          <w:sz w:val="32"/>
          <w:szCs w:val="32"/>
        </w:rPr>
        <w:t>:</w:t>
      </w:r>
      <w:r>
        <w:rPr>
          <w:rFonts w:hint="eastAsia" w:ascii="仿宋_GB2312" w:hAnsi="楷体" w:eastAsia="仿宋_GB2312"/>
          <w:color w:val="000000"/>
          <w:sz w:val="32"/>
          <w:szCs w:val="32"/>
        </w:rPr>
        <w:t>一般公共服务支出820.74万元，占76.85</w:t>
      </w:r>
      <w:r>
        <w:rPr>
          <w:rFonts w:ascii="仿宋_GB2312" w:hAnsi="楷体" w:eastAsia="仿宋_GB2312"/>
          <w:color w:val="000000"/>
          <w:sz w:val="32"/>
          <w:szCs w:val="32"/>
        </w:rPr>
        <w:t>%</w:t>
      </w:r>
      <w:r>
        <w:rPr>
          <w:rFonts w:hint="eastAsia" w:ascii="仿宋_GB2312" w:hAnsi="楷体" w:eastAsia="仿宋_GB2312"/>
          <w:color w:val="000000"/>
          <w:sz w:val="32"/>
          <w:szCs w:val="32"/>
        </w:rPr>
        <w:t>；社会保障和就业支出109.96万元，占10.3</w:t>
      </w:r>
      <w:r>
        <w:rPr>
          <w:rFonts w:ascii="仿宋_GB2312" w:hAnsi="楷体" w:eastAsia="仿宋_GB2312"/>
          <w:color w:val="000000"/>
          <w:sz w:val="32"/>
          <w:szCs w:val="32"/>
        </w:rPr>
        <w:t>%</w:t>
      </w:r>
      <w:r>
        <w:rPr>
          <w:rFonts w:hint="eastAsia" w:ascii="仿宋_GB2312" w:hAnsi="楷体" w:eastAsia="仿宋_GB2312"/>
          <w:color w:val="000000"/>
          <w:sz w:val="32"/>
          <w:szCs w:val="32"/>
        </w:rPr>
        <w:t>；卫生健康支出64.61万元，占6.05</w:t>
      </w:r>
      <w:r>
        <w:rPr>
          <w:rFonts w:ascii="仿宋_GB2312" w:hAnsi="楷体" w:eastAsia="仿宋_GB2312"/>
          <w:color w:val="000000"/>
          <w:sz w:val="32"/>
          <w:szCs w:val="32"/>
        </w:rPr>
        <w:t>%</w:t>
      </w:r>
      <w:r>
        <w:rPr>
          <w:rFonts w:hint="eastAsia" w:ascii="仿宋_GB2312" w:hAnsi="楷体" w:eastAsia="仿宋_GB2312"/>
          <w:color w:val="000000"/>
          <w:sz w:val="32"/>
          <w:szCs w:val="32"/>
        </w:rPr>
        <w:t>；农林水支出1.58万元，占0.15%，住房保障支出71.12万元，占</w:t>
      </w:r>
      <w:r>
        <w:rPr>
          <w:rFonts w:ascii="仿宋_GB2312" w:hAnsi="楷体" w:eastAsia="仿宋_GB2312"/>
          <w:color w:val="000000"/>
          <w:sz w:val="32"/>
          <w:szCs w:val="32"/>
        </w:rPr>
        <w:t>6.</w:t>
      </w:r>
      <w:r>
        <w:rPr>
          <w:rFonts w:hint="eastAsia" w:ascii="仿宋_GB2312" w:hAnsi="楷体" w:eastAsia="仿宋_GB2312"/>
          <w:color w:val="000000"/>
          <w:sz w:val="32"/>
          <w:szCs w:val="32"/>
        </w:rPr>
        <w:t>65</w:t>
      </w:r>
      <w:r>
        <w:rPr>
          <w:rFonts w:ascii="仿宋_GB2312" w:hAnsi="楷体" w:eastAsia="仿宋_GB2312"/>
          <w:color w:val="000000"/>
          <w:sz w:val="32"/>
          <w:szCs w:val="32"/>
        </w:rPr>
        <w:t>%</w:t>
      </w:r>
      <w:r>
        <w:rPr>
          <w:rFonts w:hint="eastAsia" w:ascii="仿宋_GB2312" w:hAnsi="楷体" w:eastAsia="仿宋_GB2312"/>
          <w:color w:val="000000"/>
          <w:sz w:val="32"/>
          <w:szCs w:val="32"/>
        </w:rPr>
        <w:t>。</w:t>
      </w:r>
      <w:bookmarkEnd w:id="112"/>
      <w:bookmarkEnd w:id="113"/>
      <w:bookmarkEnd w:id="114"/>
      <w:r>
        <w:rPr>
          <w:rFonts w:hint="eastAsia" w:ascii="仿宋_GB2312" w:hAnsi="楷体" w:eastAsia="仿宋_GB2312"/>
          <w:color w:val="000000"/>
          <w:sz w:val="32"/>
          <w:szCs w:val="32"/>
        </w:rPr>
        <w:t>　</w:t>
      </w:r>
    </w:p>
    <w:p>
      <w:pPr>
        <w:spacing w:line="594" w:lineRule="exact"/>
        <w:ind w:firstLine="640"/>
        <w:rPr>
          <w:rFonts w:ascii="仿宋" w:hAnsi="仿宋" w:eastAsia="仿宋"/>
          <w:color w:val="000000" w:themeColor="text1"/>
          <w:sz w:val="32"/>
          <w:szCs w:val="32"/>
        </w:rPr>
      </w:pPr>
      <w:r>
        <w:rPr>
          <w:rFonts w:hint="eastAsia" w:ascii="仿宋_GB2312" w:eastAsia="仿宋_GB2312"/>
          <w:color w:val="FF0000"/>
          <w:sz w:val="32"/>
          <w:szCs w:val="32"/>
        </w:rPr>
        <w:drawing>
          <wp:anchor distT="0" distB="0" distL="114300" distR="114300" simplePos="0" relativeHeight="251666432" behindDoc="1" locked="0" layoutInCell="1" allowOverlap="1">
            <wp:simplePos x="0" y="0"/>
            <wp:positionH relativeFrom="column">
              <wp:posOffset>138430</wp:posOffset>
            </wp:positionH>
            <wp:positionV relativeFrom="paragraph">
              <wp:posOffset>86360</wp:posOffset>
            </wp:positionV>
            <wp:extent cx="4886325" cy="3161030"/>
            <wp:effectExtent l="4445" t="4445" r="5080" b="15875"/>
            <wp:wrapTight wrapText="bothSides">
              <wp:wrapPolygon>
                <wp:start x="-20" y="-30"/>
                <wp:lineTo x="-20" y="21448"/>
                <wp:lineTo x="21538" y="21448"/>
                <wp:lineTo x="21538" y="-30"/>
                <wp:lineTo x="-20" y="-30"/>
              </wp:wrapPolygon>
            </wp:wrapTight>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594" w:lineRule="exact"/>
        <w:ind w:firstLine="640" w:firstLineChars="200"/>
        <w:rPr>
          <w:rFonts w:ascii="仿宋" w:hAnsi="仿宋" w:eastAsia="仿宋"/>
          <w:color w:val="000000"/>
          <w:sz w:val="32"/>
          <w:szCs w:val="32"/>
        </w:rPr>
      </w:pPr>
    </w:p>
    <w:p>
      <w:pPr>
        <w:spacing w:line="594" w:lineRule="exact"/>
        <w:ind w:firstLine="640" w:firstLineChars="200"/>
        <w:rPr>
          <w:rFonts w:ascii="仿宋" w:hAnsi="仿宋" w:eastAsia="仿宋"/>
          <w:color w:val="000000"/>
          <w:sz w:val="32"/>
          <w:szCs w:val="32"/>
        </w:rPr>
      </w:pPr>
    </w:p>
    <w:p>
      <w:pPr>
        <w:spacing w:line="594" w:lineRule="exact"/>
        <w:ind w:firstLine="640" w:firstLineChars="200"/>
        <w:rPr>
          <w:rFonts w:ascii="仿宋" w:hAnsi="仿宋" w:eastAsia="仿宋"/>
          <w:color w:val="000000"/>
          <w:sz w:val="32"/>
          <w:szCs w:val="32"/>
        </w:rPr>
      </w:pPr>
    </w:p>
    <w:p>
      <w:pPr>
        <w:spacing w:line="594" w:lineRule="exact"/>
        <w:ind w:firstLine="640" w:firstLineChars="200"/>
        <w:rPr>
          <w:rFonts w:ascii="仿宋" w:hAnsi="仿宋" w:eastAsia="仿宋"/>
          <w:color w:val="000000"/>
          <w:sz w:val="32"/>
          <w:szCs w:val="32"/>
        </w:rPr>
      </w:pPr>
    </w:p>
    <w:p>
      <w:pPr>
        <w:spacing w:line="594" w:lineRule="exact"/>
        <w:ind w:firstLine="640" w:firstLineChars="200"/>
        <w:rPr>
          <w:rFonts w:ascii="仿宋" w:hAnsi="仿宋" w:eastAsia="仿宋"/>
          <w:color w:val="000000"/>
          <w:sz w:val="32"/>
          <w:szCs w:val="32"/>
        </w:rPr>
      </w:pPr>
    </w:p>
    <w:p>
      <w:pPr>
        <w:spacing w:line="594" w:lineRule="exact"/>
        <w:ind w:firstLine="640" w:firstLineChars="200"/>
        <w:rPr>
          <w:rFonts w:ascii="仿宋" w:hAnsi="仿宋" w:eastAsia="仿宋"/>
          <w:color w:val="000000"/>
          <w:sz w:val="32"/>
          <w:szCs w:val="32"/>
        </w:rPr>
      </w:pPr>
    </w:p>
    <w:p>
      <w:pPr>
        <w:spacing w:line="594" w:lineRule="exact"/>
        <w:ind w:firstLine="640" w:firstLineChars="200"/>
        <w:rPr>
          <w:rFonts w:ascii="仿宋" w:hAnsi="仿宋" w:eastAsia="仿宋"/>
          <w:color w:val="000000"/>
          <w:sz w:val="32"/>
          <w:szCs w:val="32"/>
        </w:rPr>
      </w:pPr>
    </w:p>
    <w:p>
      <w:pPr>
        <w:spacing w:line="594" w:lineRule="exact"/>
        <w:ind w:firstLine="642" w:firstLineChars="200"/>
        <w:outlineLvl w:val="2"/>
        <w:rPr>
          <w:rFonts w:ascii="仿宋" w:hAnsi="仿宋" w:eastAsia="仿宋"/>
          <w:b/>
          <w:color w:val="000000"/>
          <w:sz w:val="32"/>
          <w:szCs w:val="32"/>
        </w:rPr>
      </w:pPr>
      <w:bookmarkStart w:id="115" w:name="_Toc51662768"/>
      <w:bookmarkStart w:id="116" w:name="_Toc15377212"/>
      <w:bookmarkStart w:id="117" w:name="_Toc51662580"/>
    </w:p>
    <w:p>
      <w:pPr>
        <w:spacing w:line="594" w:lineRule="exact"/>
        <w:ind w:firstLine="642" w:firstLineChars="200"/>
        <w:outlineLvl w:val="2"/>
        <w:rPr>
          <w:rFonts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（三）一般公共预算财政拨款支出决算具体情况</w:t>
      </w:r>
      <w:bookmarkEnd w:id="115"/>
      <w:bookmarkEnd w:id="116"/>
      <w:bookmarkEnd w:id="117"/>
    </w:p>
    <w:p>
      <w:pPr>
        <w:spacing w:line="594" w:lineRule="exact"/>
        <w:ind w:firstLine="640" w:firstLineChars="200"/>
        <w:outlineLvl w:val="1"/>
        <w:rPr>
          <w:rFonts w:ascii="仿宋_GB2312" w:hAnsi="楷体" w:eastAsia="仿宋_GB2312"/>
          <w:color w:val="000000"/>
          <w:sz w:val="32"/>
          <w:szCs w:val="32"/>
        </w:rPr>
      </w:pPr>
      <w:bookmarkStart w:id="118" w:name="_Toc9856"/>
      <w:bookmarkStart w:id="119" w:name="_Toc15377444"/>
      <w:bookmarkStart w:id="120" w:name="_Toc15377213"/>
      <w:bookmarkStart w:id="121" w:name="_Toc15378460"/>
      <w:bookmarkStart w:id="122" w:name="_Toc51662769"/>
      <w:bookmarkStart w:id="123" w:name="_Toc51662581"/>
      <w:r>
        <w:rPr>
          <w:rFonts w:ascii="仿宋_GB2312" w:hAnsi="楷体" w:eastAsia="仿宋_GB2312"/>
          <w:color w:val="000000"/>
          <w:sz w:val="32"/>
          <w:szCs w:val="32"/>
        </w:rPr>
        <w:t>201</w:t>
      </w:r>
      <w:r>
        <w:rPr>
          <w:rFonts w:hint="eastAsia" w:ascii="仿宋_GB2312" w:hAnsi="楷体" w:eastAsia="仿宋_GB2312"/>
          <w:color w:val="000000"/>
          <w:sz w:val="32"/>
          <w:szCs w:val="32"/>
        </w:rPr>
        <w:t>9年般公共预算支出决算数为1068.01万元，完成预算91.53</w:t>
      </w:r>
      <w:r>
        <w:rPr>
          <w:rFonts w:ascii="仿宋_GB2312" w:hAnsi="楷体" w:eastAsia="仿宋_GB2312"/>
          <w:color w:val="000000"/>
          <w:sz w:val="32"/>
          <w:szCs w:val="32"/>
        </w:rPr>
        <w:t>%</w:t>
      </w:r>
      <w:r>
        <w:rPr>
          <w:rFonts w:hint="eastAsia" w:ascii="仿宋_GB2312" w:hAnsi="楷体" w:eastAsia="仿宋_GB2312"/>
          <w:color w:val="000000"/>
          <w:sz w:val="32"/>
          <w:szCs w:val="32"/>
        </w:rPr>
        <w:t>。其中：</w:t>
      </w:r>
      <w:bookmarkEnd w:id="118"/>
      <w:bookmarkEnd w:id="119"/>
      <w:bookmarkEnd w:id="120"/>
      <w:bookmarkEnd w:id="121"/>
      <w:bookmarkEnd w:id="122"/>
      <w:bookmarkEnd w:id="123"/>
    </w:p>
    <w:p>
      <w:pPr>
        <w:spacing w:line="594" w:lineRule="exact"/>
        <w:ind w:firstLine="640" w:firstLineChars="200"/>
        <w:outlineLvl w:val="1"/>
        <w:rPr>
          <w:rFonts w:ascii="仿宋_GB2312" w:hAnsi="楷体" w:eastAsia="仿宋_GB2312"/>
          <w:color w:val="000000"/>
          <w:sz w:val="32"/>
          <w:szCs w:val="32"/>
        </w:rPr>
      </w:pPr>
      <w:bookmarkStart w:id="124" w:name="_Toc51662770"/>
      <w:bookmarkStart w:id="125" w:name="_Toc51662582"/>
      <w:bookmarkStart w:id="126" w:name="_Toc4007"/>
      <w:r>
        <w:rPr>
          <w:rFonts w:ascii="仿宋_GB2312" w:hAnsi="楷体" w:eastAsia="仿宋_GB2312"/>
          <w:color w:val="000000"/>
          <w:sz w:val="32"/>
          <w:szCs w:val="32"/>
        </w:rPr>
        <w:t>1.</w:t>
      </w:r>
      <w:r>
        <w:rPr>
          <w:rFonts w:hint="eastAsia" w:ascii="仿宋_GB2312" w:hAnsi="楷体" w:eastAsia="仿宋_GB2312"/>
          <w:color w:val="000000"/>
          <w:sz w:val="32"/>
          <w:szCs w:val="32"/>
        </w:rPr>
        <w:t>一般公共服务（类）市场监督管理事务（款）行政运行（项）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支出决算为736.48万元，完成预算99.76</w:t>
      </w:r>
      <w:r>
        <w:rPr>
          <w:rFonts w:ascii="仿宋_GB2312" w:hAnsi="楷体" w:eastAsia="仿宋_GB2312"/>
          <w:color w:val="000000"/>
          <w:sz w:val="32"/>
          <w:szCs w:val="32"/>
        </w:rPr>
        <w:t>%</w:t>
      </w:r>
      <w:r>
        <w:rPr>
          <w:rFonts w:hint="eastAsia" w:ascii="仿宋_GB2312" w:hAnsi="楷体" w:eastAsia="仿宋_GB2312"/>
          <w:color w:val="000000"/>
          <w:sz w:val="32"/>
          <w:szCs w:val="32"/>
        </w:rPr>
        <w:t>，决算数小于预算数的主要原因是年底决算时有部份资金支付未完成，于次年初完成。</w:t>
      </w:r>
      <w:bookmarkEnd w:id="124"/>
      <w:bookmarkEnd w:id="125"/>
      <w:bookmarkEnd w:id="126"/>
    </w:p>
    <w:p>
      <w:pPr>
        <w:spacing w:line="594" w:lineRule="exact"/>
        <w:ind w:firstLine="640" w:firstLineChars="200"/>
        <w:outlineLvl w:val="1"/>
        <w:rPr>
          <w:rFonts w:ascii="仿宋_GB2312" w:hAnsi="楷体" w:eastAsia="仿宋_GB2312"/>
          <w:color w:val="000000"/>
          <w:sz w:val="32"/>
          <w:szCs w:val="32"/>
        </w:rPr>
      </w:pPr>
      <w:bookmarkStart w:id="127" w:name="_Toc51662583"/>
      <w:bookmarkStart w:id="128" w:name="_Toc51662771"/>
      <w:bookmarkStart w:id="129" w:name="_Toc29674"/>
      <w:r>
        <w:rPr>
          <w:rFonts w:ascii="仿宋_GB2312" w:hAnsi="楷体" w:eastAsia="仿宋_GB2312"/>
          <w:color w:val="000000"/>
          <w:sz w:val="32"/>
          <w:szCs w:val="32"/>
        </w:rPr>
        <w:t xml:space="preserve">2. </w:t>
      </w:r>
      <w:r>
        <w:rPr>
          <w:rFonts w:hint="eastAsia" w:ascii="仿宋_GB2312" w:hAnsi="楷体" w:eastAsia="仿宋_GB2312"/>
          <w:color w:val="000000"/>
          <w:sz w:val="32"/>
          <w:szCs w:val="32"/>
        </w:rPr>
        <w:t>一般公共服务（类）市场监督管理事务（款）一般行政管理事务（项）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支出决算为33.70万元，完成预算82.82</w:t>
      </w:r>
      <w:r>
        <w:rPr>
          <w:rFonts w:ascii="仿宋_GB2312" w:hAnsi="楷体" w:eastAsia="仿宋_GB2312"/>
          <w:color w:val="000000"/>
          <w:sz w:val="32"/>
          <w:szCs w:val="32"/>
        </w:rPr>
        <w:t>%</w:t>
      </w:r>
      <w:r>
        <w:rPr>
          <w:rFonts w:hint="eastAsia" w:ascii="仿宋_GB2312" w:hAnsi="楷体" w:eastAsia="仿宋_GB2312"/>
          <w:color w:val="000000"/>
          <w:sz w:val="32"/>
          <w:szCs w:val="32"/>
        </w:rPr>
        <w:t>，决算数小于预算数的主要原因是部份工作需于</w:t>
      </w:r>
      <w:r>
        <w:rPr>
          <w:rFonts w:ascii="仿宋_GB2312" w:hAnsi="楷体" w:eastAsia="仿宋_GB2312"/>
          <w:color w:val="000000"/>
          <w:sz w:val="32"/>
          <w:szCs w:val="32"/>
        </w:rPr>
        <w:t>20</w:t>
      </w:r>
      <w:r>
        <w:rPr>
          <w:rFonts w:hint="eastAsia" w:ascii="仿宋_GB2312" w:hAnsi="楷体" w:eastAsia="仿宋_GB2312"/>
          <w:color w:val="000000"/>
          <w:sz w:val="32"/>
          <w:szCs w:val="32"/>
        </w:rPr>
        <w:t>20年完成。</w:t>
      </w:r>
      <w:bookmarkEnd w:id="127"/>
      <w:bookmarkEnd w:id="128"/>
      <w:bookmarkEnd w:id="129"/>
    </w:p>
    <w:p>
      <w:pPr>
        <w:spacing w:line="594" w:lineRule="exact"/>
        <w:ind w:firstLine="640" w:firstLineChars="200"/>
        <w:outlineLvl w:val="1"/>
        <w:rPr>
          <w:rFonts w:ascii="仿宋_GB2312" w:hAnsi="楷体" w:eastAsia="仿宋_GB2312"/>
          <w:color w:val="000000"/>
          <w:sz w:val="32"/>
          <w:szCs w:val="32"/>
        </w:rPr>
      </w:pPr>
      <w:bookmarkStart w:id="130" w:name="_Toc51662584"/>
      <w:bookmarkStart w:id="131" w:name="_Toc51662772"/>
      <w:bookmarkStart w:id="132" w:name="_Toc23784"/>
      <w:r>
        <w:rPr>
          <w:rFonts w:hint="eastAsia" w:ascii="仿宋_GB2312" w:hAnsi="楷体" w:eastAsia="仿宋_GB2312"/>
          <w:color w:val="000000"/>
          <w:sz w:val="32"/>
          <w:szCs w:val="32"/>
        </w:rPr>
        <w:t>3.一般公共服务（类）市场监督管理事务（款）市场监督管理专项（项）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支出决算为12.14万元，完成预算39.16</w:t>
      </w:r>
      <w:r>
        <w:rPr>
          <w:rFonts w:ascii="仿宋_GB2312" w:hAnsi="楷体" w:eastAsia="仿宋_GB2312"/>
          <w:color w:val="000000"/>
          <w:sz w:val="32"/>
          <w:szCs w:val="32"/>
        </w:rPr>
        <w:t>%</w:t>
      </w:r>
      <w:r>
        <w:rPr>
          <w:rFonts w:hint="eastAsia" w:ascii="仿宋_GB2312" w:hAnsi="楷体" w:eastAsia="仿宋_GB2312"/>
          <w:color w:val="000000"/>
          <w:sz w:val="32"/>
          <w:szCs w:val="32"/>
        </w:rPr>
        <w:t>，决算数小于预算数的主要原因是部份工作需于</w:t>
      </w:r>
      <w:r>
        <w:rPr>
          <w:rFonts w:ascii="仿宋_GB2312" w:hAnsi="楷体" w:eastAsia="仿宋_GB2312"/>
          <w:color w:val="000000"/>
          <w:sz w:val="32"/>
          <w:szCs w:val="32"/>
        </w:rPr>
        <w:t>20</w:t>
      </w:r>
      <w:r>
        <w:rPr>
          <w:rFonts w:hint="eastAsia" w:ascii="仿宋_GB2312" w:hAnsi="楷体" w:eastAsia="仿宋_GB2312"/>
          <w:color w:val="000000"/>
          <w:sz w:val="32"/>
          <w:szCs w:val="32"/>
        </w:rPr>
        <w:t>20年完成。</w:t>
      </w:r>
      <w:bookmarkEnd w:id="130"/>
      <w:bookmarkEnd w:id="131"/>
      <w:bookmarkEnd w:id="132"/>
    </w:p>
    <w:p>
      <w:pPr>
        <w:spacing w:line="594" w:lineRule="exact"/>
        <w:ind w:firstLine="640" w:firstLineChars="200"/>
        <w:outlineLvl w:val="1"/>
        <w:rPr>
          <w:rFonts w:ascii="仿宋_GB2312" w:hAnsi="楷体" w:eastAsia="仿宋_GB2312"/>
          <w:color w:val="000000"/>
          <w:sz w:val="32"/>
          <w:szCs w:val="32"/>
        </w:rPr>
      </w:pPr>
      <w:bookmarkStart w:id="133" w:name="_Toc51662585"/>
      <w:bookmarkStart w:id="134" w:name="_Toc51662773"/>
      <w:bookmarkStart w:id="135" w:name="_Toc16842"/>
      <w:r>
        <w:rPr>
          <w:rFonts w:hint="eastAsia" w:ascii="仿宋_GB2312" w:hAnsi="楷体" w:eastAsia="仿宋_GB2312"/>
          <w:color w:val="000000"/>
          <w:sz w:val="32"/>
          <w:szCs w:val="32"/>
        </w:rPr>
        <w:t>4. 一般公共服务（类）市场监督管理事务（款）市场监管执法（项）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支出决算为11.51万元，完成预算24.97</w:t>
      </w:r>
      <w:r>
        <w:rPr>
          <w:rFonts w:ascii="仿宋_GB2312" w:hAnsi="楷体" w:eastAsia="仿宋_GB2312"/>
          <w:color w:val="000000"/>
          <w:sz w:val="32"/>
          <w:szCs w:val="32"/>
        </w:rPr>
        <w:t>%</w:t>
      </w:r>
      <w:r>
        <w:rPr>
          <w:rFonts w:hint="eastAsia" w:ascii="仿宋_GB2312" w:hAnsi="楷体" w:eastAsia="仿宋_GB2312"/>
          <w:color w:val="000000"/>
          <w:sz w:val="32"/>
          <w:szCs w:val="32"/>
        </w:rPr>
        <w:t>，决算数小于预算数的主要原因是部份工作需于</w:t>
      </w:r>
      <w:r>
        <w:rPr>
          <w:rFonts w:ascii="仿宋_GB2312" w:hAnsi="楷体" w:eastAsia="仿宋_GB2312"/>
          <w:color w:val="000000"/>
          <w:sz w:val="32"/>
          <w:szCs w:val="32"/>
        </w:rPr>
        <w:t>20</w:t>
      </w:r>
      <w:r>
        <w:rPr>
          <w:rFonts w:hint="eastAsia" w:ascii="仿宋_GB2312" w:hAnsi="楷体" w:eastAsia="仿宋_GB2312"/>
          <w:color w:val="000000"/>
          <w:sz w:val="32"/>
          <w:szCs w:val="32"/>
        </w:rPr>
        <w:t>20年完成。</w:t>
      </w:r>
      <w:bookmarkEnd w:id="133"/>
      <w:bookmarkEnd w:id="134"/>
      <w:bookmarkEnd w:id="135"/>
    </w:p>
    <w:p>
      <w:pPr>
        <w:spacing w:line="594" w:lineRule="exact"/>
        <w:ind w:firstLine="640" w:firstLineChars="200"/>
        <w:outlineLvl w:val="1"/>
        <w:rPr>
          <w:rFonts w:ascii="仿宋_GB2312" w:hAnsi="楷体" w:eastAsia="仿宋_GB2312"/>
          <w:color w:val="000000"/>
          <w:sz w:val="32"/>
          <w:szCs w:val="32"/>
        </w:rPr>
      </w:pPr>
      <w:bookmarkStart w:id="136" w:name="_Toc51662586"/>
      <w:bookmarkStart w:id="137" w:name="_Toc51662774"/>
      <w:bookmarkStart w:id="138" w:name="_Toc20480"/>
      <w:r>
        <w:rPr>
          <w:rFonts w:hint="eastAsia" w:ascii="仿宋_GB2312" w:hAnsi="楷体" w:eastAsia="仿宋_GB2312"/>
          <w:color w:val="000000"/>
          <w:sz w:val="32"/>
          <w:szCs w:val="32"/>
        </w:rPr>
        <w:t>5.一般公共服务（类）市场监督管理事务（款）药品事务（项）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支出决算为6.41万元，完成预算29.48</w:t>
      </w:r>
      <w:r>
        <w:rPr>
          <w:rFonts w:ascii="仿宋_GB2312" w:hAnsi="楷体" w:eastAsia="仿宋_GB2312"/>
          <w:color w:val="000000"/>
          <w:sz w:val="32"/>
          <w:szCs w:val="32"/>
        </w:rPr>
        <w:t>%</w:t>
      </w:r>
      <w:r>
        <w:rPr>
          <w:rFonts w:hint="eastAsia" w:ascii="仿宋_GB2312" w:hAnsi="楷体" w:eastAsia="仿宋_GB2312"/>
          <w:color w:val="000000"/>
          <w:sz w:val="32"/>
          <w:szCs w:val="32"/>
        </w:rPr>
        <w:t>，决算数小于预算数的主要原因是部份工作需于</w:t>
      </w:r>
      <w:r>
        <w:rPr>
          <w:rFonts w:ascii="仿宋_GB2312" w:hAnsi="楷体" w:eastAsia="仿宋_GB2312"/>
          <w:color w:val="000000"/>
          <w:sz w:val="32"/>
          <w:szCs w:val="32"/>
        </w:rPr>
        <w:t>20</w:t>
      </w:r>
      <w:r>
        <w:rPr>
          <w:rFonts w:hint="eastAsia" w:ascii="仿宋_GB2312" w:hAnsi="楷体" w:eastAsia="仿宋_GB2312"/>
          <w:color w:val="000000"/>
          <w:sz w:val="32"/>
          <w:szCs w:val="32"/>
        </w:rPr>
        <w:t>20年完成。</w:t>
      </w:r>
      <w:bookmarkEnd w:id="136"/>
      <w:bookmarkEnd w:id="137"/>
      <w:bookmarkEnd w:id="138"/>
    </w:p>
    <w:p>
      <w:pPr>
        <w:spacing w:line="594" w:lineRule="exact"/>
        <w:ind w:firstLine="640" w:firstLineChars="200"/>
        <w:outlineLvl w:val="1"/>
        <w:rPr>
          <w:rFonts w:ascii="仿宋_GB2312" w:hAnsi="楷体" w:eastAsia="仿宋_GB2312"/>
          <w:color w:val="000000"/>
          <w:sz w:val="32"/>
          <w:szCs w:val="32"/>
        </w:rPr>
      </w:pPr>
      <w:bookmarkStart w:id="139" w:name="_Toc22910"/>
      <w:bookmarkStart w:id="140" w:name="_Toc51662775"/>
      <w:bookmarkStart w:id="141" w:name="_Toc51662587"/>
      <w:r>
        <w:rPr>
          <w:rFonts w:hint="eastAsia" w:ascii="仿宋_GB2312" w:hAnsi="楷体" w:eastAsia="仿宋_GB2312"/>
          <w:color w:val="000000"/>
          <w:sz w:val="32"/>
          <w:szCs w:val="32"/>
        </w:rPr>
        <w:t>6. 一般公共服务（类）市场监督管理事务（款）事业运行（项）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支出决算为12.05万元，完成预算77.74</w:t>
      </w:r>
      <w:r>
        <w:rPr>
          <w:rFonts w:ascii="仿宋_GB2312" w:hAnsi="楷体" w:eastAsia="仿宋_GB2312"/>
          <w:color w:val="000000"/>
          <w:sz w:val="32"/>
          <w:szCs w:val="32"/>
        </w:rPr>
        <w:t>%</w:t>
      </w:r>
      <w:r>
        <w:rPr>
          <w:rFonts w:hint="eastAsia" w:ascii="仿宋_GB2312" w:hAnsi="楷体" w:eastAsia="仿宋_GB2312"/>
          <w:color w:val="000000"/>
          <w:sz w:val="32"/>
          <w:szCs w:val="32"/>
        </w:rPr>
        <w:t>，决算数小于预算数的主要原因是年底决算时有部份资金支付未完成，于次年初完成。</w:t>
      </w:r>
      <w:bookmarkEnd w:id="139"/>
      <w:bookmarkEnd w:id="140"/>
      <w:bookmarkEnd w:id="141"/>
    </w:p>
    <w:p>
      <w:pPr>
        <w:spacing w:line="594" w:lineRule="exact"/>
        <w:ind w:firstLine="640" w:firstLineChars="200"/>
        <w:outlineLvl w:val="1"/>
        <w:rPr>
          <w:rFonts w:ascii="仿宋_GB2312" w:hAnsi="楷体" w:eastAsia="仿宋_GB2312"/>
          <w:color w:val="000000"/>
          <w:sz w:val="32"/>
          <w:szCs w:val="32"/>
        </w:rPr>
      </w:pPr>
      <w:bookmarkStart w:id="142" w:name="_Toc8341"/>
      <w:bookmarkStart w:id="143" w:name="_Toc51662588"/>
      <w:bookmarkStart w:id="144" w:name="_Toc51662776"/>
      <w:r>
        <w:rPr>
          <w:rFonts w:hint="eastAsia" w:ascii="仿宋_GB2312" w:hAnsi="楷体" w:eastAsia="仿宋_GB2312"/>
          <w:color w:val="000000"/>
          <w:sz w:val="32"/>
          <w:szCs w:val="32"/>
        </w:rPr>
        <w:t>7. 一般公共服务（类）市场监督管理事务（款）其他市场监督管理事务（项）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支出决算为8.45万元，完成预算32.54</w:t>
      </w:r>
      <w:r>
        <w:rPr>
          <w:rFonts w:ascii="仿宋_GB2312" w:hAnsi="楷体" w:eastAsia="仿宋_GB2312"/>
          <w:color w:val="000000"/>
          <w:sz w:val="32"/>
          <w:szCs w:val="32"/>
        </w:rPr>
        <w:t>%</w:t>
      </w:r>
      <w:r>
        <w:rPr>
          <w:rFonts w:hint="eastAsia" w:ascii="仿宋_GB2312" w:hAnsi="楷体" w:eastAsia="仿宋_GB2312"/>
          <w:color w:val="000000"/>
          <w:sz w:val="32"/>
          <w:szCs w:val="32"/>
        </w:rPr>
        <w:t>，决算数小于预算数的主要原因是部份工作需于</w:t>
      </w:r>
      <w:r>
        <w:rPr>
          <w:rFonts w:ascii="仿宋_GB2312" w:hAnsi="楷体" w:eastAsia="仿宋_GB2312"/>
          <w:color w:val="000000"/>
          <w:sz w:val="32"/>
          <w:szCs w:val="32"/>
        </w:rPr>
        <w:t>20</w:t>
      </w:r>
      <w:r>
        <w:rPr>
          <w:rFonts w:hint="eastAsia" w:ascii="仿宋_GB2312" w:hAnsi="楷体" w:eastAsia="仿宋_GB2312"/>
          <w:color w:val="000000"/>
          <w:sz w:val="32"/>
          <w:szCs w:val="32"/>
        </w:rPr>
        <w:t>20年完成。</w:t>
      </w:r>
      <w:bookmarkEnd w:id="142"/>
      <w:bookmarkEnd w:id="143"/>
      <w:bookmarkEnd w:id="144"/>
    </w:p>
    <w:p>
      <w:pPr>
        <w:spacing w:line="594" w:lineRule="exact"/>
        <w:ind w:firstLine="640" w:firstLineChars="200"/>
        <w:outlineLvl w:val="1"/>
        <w:rPr>
          <w:rFonts w:ascii="仿宋_GB2312" w:hAnsi="楷体" w:eastAsia="仿宋_GB2312"/>
          <w:color w:val="000000"/>
          <w:sz w:val="32"/>
          <w:szCs w:val="32"/>
        </w:rPr>
      </w:pPr>
      <w:bookmarkStart w:id="145" w:name="_Toc24776"/>
      <w:bookmarkStart w:id="146" w:name="_Toc51662777"/>
      <w:bookmarkStart w:id="147" w:name="_Toc51662589"/>
      <w:r>
        <w:rPr>
          <w:rFonts w:hint="eastAsia" w:ascii="仿宋_GB2312" w:hAnsi="楷体" w:eastAsia="仿宋_GB2312"/>
          <w:color w:val="000000"/>
          <w:sz w:val="32"/>
          <w:szCs w:val="32"/>
        </w:rPr>
        <w:t>8</w:t>
      </w:r>
      <w:r>
        <w:rPr>
          <w:rFonts w:ascii="仿宋_GB2312" w:hAnsi="楷体" w:eastAsia="仿宋_GB2312"/>
          <w:color w:val="000000"/>
          <w:sz w:val="32"/>
          <w:szCs w:val="32"/>
        </w:rPr>
        <w:t>.</w:t>
      </w:r>
      <w:r>
        <w:rPr>
          <w:rFonts w:hint="eastAsia" w:ascii="仿宋_GB2312" w:hAnsi="楷体" w:eastAsia="仿宋_GB2312"/>
          <w:color w:val="000000"/>
          <w:sz w:val="32"/>
          <w:szCs w:val="32"/>
        </w:rPr>
        <w:t>社会保障和就业（类）行政事业单位离退休（款）机关事业单位基本养老保险缴费支出（项）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支出决算为75.37万元，完成预算</w:t>
      </w:r>
      <w:r>
        <w:rPr>
          <w:rFonts w:ascii="仿宋_GB2312" w:hAnsi="楷体" w:eastAsia="仿宋_GB2312"/>
          <w:color w:val="000000"/>
          <w:sz w:val="32"/>
          <w:szCs w:val="32"/>
        </w:rPr>
        <w:t>100%</w:t>
      </w:r>
      <w:r>
        <w:rPr>
          <w:rFonts w:hint="eastAsia" w:ascii="仿宋_GB2312" w:hAnsi="楷体" w:eastAsia="仿宋_GB2312"/>
          <w:color w:val="000000"/>
          <w:sz w:val="32"/>
          <w:szCs w:val="32"/>
        </w:rPr>
        <w:t>。</w:t>
      </w:r>
      <w:bookmarkEnd w:id="145"/>
      <w:bookmarkEnd w:id="146"/>
      <w:bookmarkEnd w:id="147"/>
    </w:p>
    <w:p>
      <w:pPr>
        <w:spacing w:line="594" w:lineRule="exact"/>
        <w:ind w:firstLine="640" w:firstLineChars="200"/>
        <w:outlineLvl w:val="1"/>
        <w:rPr>
          <w:rFonts w:ascii="仿宋_GB2312" w:hAnsi="楷体" w:eastAsia="仿宋_GB2312"/>
          <w:color w:val="000000"/>
          <w:sz w:val="32"/>
          <w:szCs w:val="32"/>
        </w:rPr>
      </w:pPr>
      <w:bookmarkStart w:id="148" w:name="_Toc24373"/>
      <w:bookmarkStart w:id="149" w:name="_Toc51662590"/>
      <w:bookmarkStart w:id="150" w:name="_Toc51662778"/>
      <w:r>
        <w:rPr>
          <w:rFonts w:hint="eastAsia" w:ascii="仿宋_GB2312" w:hAnsi="楷体" w:eastAsia="仿宋_GB2312"/>
          <w:color w:val="000000"/>
          <w:sz w:val="32"/>
          <w:szCs w:val="32"/>
        </w:rPr>
        <w:t>9</w:t>
      </w:r>
      <w:r>
        <w:rPr>
          <w:rFonts w:ascii="仿宋_GB2312" w:hAnsi="楷体" w:eastAsia="仿宋_GB2312"/>
          <w:color w:val="000000"/>
          <w:sz w:val="32"/>
          <w:szCs w:val="32"/>
        </w:rPr>
        <w:t>.</w:t>
      </w:r>
      <w:r>
        <w:rPr>
          <w:rFonts w:hint="eastAsia" w:ascii="仿宋_GB2312" w:hAnsi="楷体" w:eastAsia="仿宋_GB2312"/>
          <w:color w:val="000000"/>
          <w:sz w:val="32"/>
          <w:szCs w:val="32"/>
        </w:rPr>
        <w:t>社会保障和就业（类）行政事业单位离退休（款）机关事业单位职业年金缴费出（项）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支出决算为34.59万元，完成预算</w:t>
      </w:r>
      <w:r>
        <w:rPr>
          <w:rFonts w:ascii="仿宋_GB2312" w:hAnsi="楷体" w:eastAsia="仿宋_GB2312"/>
          <w:color w:val="000000"/>
          <w:sz w:val="32"/>
          <w:szCs w:val="32"/>
        </w:rPr>
        <w:t>100%</w:t>
      </w:r>
      <w:r>
        <w:rPr>
          <w:rFonts w:hint="eastAsia" w:ascii="仿宋_GB2312" w:hAnsi="楷体" w:eastAsia="仿宋_GB2312"/>
          <w:color w:val="000000"/>
          <w:sz w:val="32"/>
          <w:szCs w:val="32"/>
        </w:rPr>
        <w:t>。</w:t>
      </w:r>
      <w:bookmarkEnd w:id="148"/>
      <w:bookmarkEnd w:id="149"/>
      <w:bookmarkEnd w:id="150"/>
    </w:p>
    <w:p>
      <w:pPr>
        <w:spacing w:line="594" w:lineRule="exact"/>
        <w:ind w:firstLine="640" w:firstLineChars="200"/>
        <w:outlineLvl w:val="1"/>
        <w:rPr>
          <w:rFonts w:ascii="仿宋_GB2312" w:hAnsi="楷体" w:eastAsia="仿宋_GB2312"/>
          <w:color w:val="000000"/>
          <w:sz w:val="32"/>
          <w:szCs w:val="32"/>
        </w:rPr>
      </w:pPr>
      <w:bookmarkStart w:id="151" w:name="_Toc51662591"/>
      <w:bookmarkStart w:id="152" w:name="_Toc26769"/>
      <w:bookmarkStart w:id="153" w:name="_Toc51662779"/>
      <w:r>
        <w:rPr>
          <w:rFonts w:hint="eastAsia" w:ascii="仿宋_GB2312" w:hAnsi="楷体" w:eastAsia="仿宋_GB2312"/>
          <w:color w:val="000000"/>
          <w:sz w:val="32"/>
          <w:szCs w:val="32"/>
        </w:rPr>
        <w:t>10</w:t>
      </w:r>
      <w:r>
        <w:rPr>
          <w:rFonts w:ascii="仿宋_GB2312" w:hAnsi="楷体" w:eastAsia="仿宋_GB2312"/>
          <w:color w:val="000000"/>
          <w:sz w:val="32"/>
          <w:szCs w:val="32"/>
        </w:rPr>
        <w:t>.</w:t>
      </w:r>
      <w:r>
        <w:rPr>
          <w:rFonts w:hint="eastAsia" w:ascii="仿宋_GB2312" w:hAnsi="楷体" w:eastAsia="仿宋_GB2312"/>
          <w:color w:val="000000"/>
          <w:sz w:val="32"/>
          <w:szCs w:val="32"/>
        </w:rPr>
        <w:t>卫生健康（类）公共卫生（款）重大公共卫生专项（项）</w:t>
      </w:r>
      <w:r>
        <w:rPr>
          <w:rFonts w:ascii="仿宋_GB2312" w:hAnsi="楷体" w:eastAsia="仿宋_GB2312"/>
          <w:color w:val="000000"/>
          <w:sz w:val="32"/>
          <w:szCs w:val="32"/>
        </w:rPr>
        <w:t>:</w:t>
      </w:r>
      <w:r>
        <w:rPr>
          <w:rFonts w:hint="eastAsia" w:ascii="仿宋_GB2312" w:hAnsi="楷体" w:eastAsia="仿宋_GB2312"/>
          <w:color w:val="000000"/>
          <w:sz w:val="32"/>
          <w:szCs w:val="32"/>
        </w:rPr>
        <w:t>支出决算为13.44万元，完成预算100</w:t>
      </w:r>
      <w:r>
        <w:rPr>
          <w:rFonts w:ascii="仿宋_GB2312" w:hAnsi="楷体" w:eastAsia="仿宋_GB2312"/>
          <w:color w:val="000000"/>
          <w:sz w:val="32"/>
          <w:szCs w:val="32"/>
        </w:rPr>
        <w:t>%</w:t>
      </w:r>
      <w:r>
        <w:rPr>
          <w:rFonts w:hint="eastAsia" w:ascii="仿宋_GB2312" w:hAnsi="楷体" w:eastAsia="仿宋_GB2312"/>
          <w:color w:val="000000"/>
          <w:sz w:val="32"/>
          <w:szCs w:val="32"/>
        </w:rPr>
        <w:t>，。</w:t>
      </w:r>
      <w:bookmarkEnd w:id="151"/>
      <w:bookmarkEnd w:id="152"/>
      <w:bookmarkEnd w:id="153"/>
    </w:p>
    <w:p>
      <w:pPr>
        <w:spacing w:line="594" w:lineRule="exact"/>
        <w:ind w:firstLine="640" w:firstLineChars="200"/>
        <w:outlineLvl w:val="1"/>
        <w:rPr>
          <w:rFonts w:ascii="仿宋_GB2312" w:hAnsi="楷体" w:eastAsia="仿宋_GB2312"/>
          <w:color w:val="000000"/>
          <w:sz w:val="32"/>
          <w:szCs w:val="32"/>
        </w:rPr>
      </w:pPr>
      <w:bookmarkStart w:id="154" w:name="_Toc51662780"/>
      <w:bookmarkStart w:id="155" w:name="_Toc14725"/>
      <w:bookmarkStart w:id="156" w:name="_Toc51662592"/>
      <w:r>
        <w:rPr>
          <w:rFonts w:hint="eastAsia" w:ascii="仿宋_GB2312" w:hAnsi="楷体" w:eastAsia="仿宋_GB2312"/>
          <w:color w:val="000000"/>
          <w:sz w:val="32"/>
          <w:szCs w:val="32"/>
        </w:rPr>
        <w:t>11</w:t>
      </w:r>
      <w:r>
        <w:rPr>
          <w:rFonts w:ascii="仿宋_GB2312" w:hAnsi="楷体" w:eastAsia="仿宋_GB2312"/>
          <w:color w:val="000000"/>
          <w:sz w:val="32"/>
          <w:szCs w:val="32"/>
        </w:rPr>
        <w:t>.</w:t>
      </w:r>
      <w:r>
        <w:rPr>
          <w:rFonts w:hint="eastAsia" w:ascii="仿宋_GB2312" w:hAnsi="楷体" w:eastAsia="仿宋_GB2312"/>
          <w:color w:val="000000"/>
          <w:sz w:val="32"/>
          <w:szCs w:val="32"/>
        </w:rPr>
        <w:t>卫生健康（类）行政事业单位医疗（款）行政单位医疗（项）：支出决算为49.78万元，完成预算</w:t>
      </w:r>
      <w:r>
        <w:rPr>
          <w:rFonts w:ascii="仿宋_GB2312" w:hAnsi="楷体" w:eastAsia="仿宋_GB2312"/>
          <w:color w:val="000000"/>
          <w:sz w:val="32"/>
          <w:szCs w:val="32"/>
        </w:rPr>
        <w:t>100%</w:t>
      </w:r>
      <w:r>
        <w:rPr>
          <w:rFonts w:hint="eastAsia" w:ascii="仿宋_GB2312" w:hAnsi="楷体" w:eastAsia="仿宋_GB2312"/>
          <w:color w:val="000000"/>
          <w:sz w:val="32"/>
          <w:szCs w:val="32"/>
        </w:rPr>
        <w:t>。</w:t>
      </w:r>
      <w:bookmarkEnd w:id="154"/>
      <w:bookmarkEnd w:id="155"/>
      <w:bookmarkEnd w:id="156"/>
    </w:p>
    <w:p>
      <w:pPr>
        <w:spacing w:line="594" w:lineRule="exact"/>
        <w:ind w:firstLine="640" w:firstLineChars="200"/>
        <w:outlineLvl w:val="1"/>
        <w:rPr>
          <w:rFonts w:ascii="仿宋_GB2312" w:hAnsi="楷体" w:eastAsia="仿宋_GB2312"/>
          <w:color w:val="000000"/>
          <w:sz w:val="32"/>
          <w:szCs w:val="32"/>
        </w:rPr>
      </w:pPr>
      <w:bookmarkStart w:id="157" w:name="_Toc20156"/>
      <w:bookmarkStart w:id="158" w:name="_Toc51662781"/>
      <w:bookmarkStart w:id="159" w:name="_Toc51662593"/>
      <w:r>
        <w:rPr>
          <w:rFonts w:ascii="仿宋_GB2312" w:hAnsi="楷体" w:eastAsia="仿宋_GB2312"/>
          <w:color w:val="000000"/>
          <w:sz w:val="32"/>
          <w:szCs w:val="32"/>
        </w:rPr>
        <w:t>1</w:t>
      </w:r>
      <w:r>
        <w:rPr>
          <w:rFonts w:hint="eastAsia" w:ascii="仿宋_GB2312" w:hAnsi="楷体" w:eastAsia="仿宋_GB2312"/>
          <w:color w:val="000000"/>
          <w:sz w:val="32"/>
          <w:szCs w:val="32"/>
        </w:rPr>
        <w:t>2</w:t>
      </w:r>
      <w:r>
        <w:rPr>
          <w:rFonts w:ascii="仿宋_GB2312" w:hAnsi="楷体" w:eastAsia="仿宋_GB2312"/>
          <w:color w:val="000000"/>
          <w:sz w:val="32"/>
          <w:szCs w:val="32"/>
        </w:rPr>
        <w:t>.</w:t>
      </w:r>
      <w:r>
        <w:rPr>
          <w:rFonts w:hint="eastAsia" w:ascii="仿宋_GB2312" w:hAnsi="楷体" w:eastAsia="仿宋_GB2312"/>
          <w:color w:val="000000"/>
          <w:sz w:val="32"/>
          <w:szCs w:val="32"/>
        </w:rPr>
        <w:t>卫生健康（类）行政事业单位医疗（款）事业单位医疗（项）：支出决算为1.39万元，完成预算</w:t>
      </w:r>
      <w:r>
        <w:rPr>
          <w:rFonts w:ascii="仿宋_GB2312" w:hAnsi="楷体" w:eastAsia="仿宋_GB2312"/>
          <w:color w:val="000000"/>
          <w:sz w:val="32"/>
          <w:szCs w:val="32"/>
        </w:rPr>
        <w:t>100%</w:t>
      </w:r>
      <w:r>
        <w:rPr>
          <w:rFonts w:hint="eastAsia" w:ascii="仿宋_GB2312" w:hAnsi="楷体" w:eastAsia="仿宋_GB2312"/>
          <w:color w:val="000000"/>
          <w:sz w:val="32"/>
          <w:szCs w:val="32"/>
        </w:rPr>
        <w:t>。</w:t>
      </w:r>
      <w:bookmarkEnd w:id="157"/>
      <w:bookmarkEnd w:id="158"/>
      <w:bookmarkEnd w:id="159"/>
    </w:p>
    <w:p>
      <w:pPr>
        <w:spacing w:line="594" w:lineRule="exact"/>
        <w:ind w:firstLine="640" w:firstLineChars="200"/>
        <w:outlineLvl w:val="1"/>
        <w:rPr>
          <w:rFonts w:ascii="仿宋_GB2312" w:hAnsi="楷体" w:eastAsia="仿宋_GB2312"/>
          <w:color w:val="000000"/>
          <w:sz w:val="32"/>
          <w:szCs w:val="32"/>
        </w:rPr>
      </w:pPr>
      <w:bookmarkStart w:id="160" w:name="_Toc18770"/>
      <w:bookmarkStart w:id="161" w:name="_Toc51662594"/>
      <w:bookmarkStart w:id="162" w:name="_Toc51662782"/>
      <w:r>
        <w:rPr>
          <w:rFonts w:hint="eastAsia" w:ascii="仿宋_GB2312" w:hAnsi="楷体" w:eastAsia="仿宋_GB2312"/>
          <w:color w:val="000000"/>
          <w:sz w:val="32"/>
          <w:szCs w:val="32"/>
        </w:rPr>
        <w:t>13.农林水（类）扶贫（款）其他扶贫支出（项）：支出决算为1.58万元，完成预算100%。</w:t>
      </w:r>
      <w:bookmarkEnd w:id="160"/>
      <w:bookmarkEnd w:id="161"/>
      <w:bookmarkEnd w:id="162"/>
    </w:p>
    <w:p>
      <w:pPr>
        <w:spacing w:line="594" w:lineRule="exact"/>
        <w:ind w:firstLine="640" w:firstLineChars="200"/>
        <w:outlineLvl w:val="1"/>
        <w:rPr>
          <w:rFonts w:ascii="仿宋_GB2312" w:hAnsi="楷体" w:eastAsia="仿宋_GB2312"/>
          <w:color w:val="000000"/>
          <w:sz w:val="32"/>
          <w:szCs w:val="32"/>
        </w:rPr>
      </w:pPr>
      <w:bookmarkStart w:id="163" w:name="_Toc51662783"/>
      <w:bookmarkStart w:id="164" w:name="_Toc51662595"/>
      <w:bookmarkStart w:id="165" w:name="_Toc29583"/>
      <w:r>
        <w:rPr>
          <w:rFonts w:hint="eastAsia" w:ascii="仿宋_GB2312" w:hAnsi="楷体" w:eastAsia="仿宋_GB2312"/>
          <w:color w:val="000000"/>
          <w:sz w:val="32"/>
          <w:szCs w:val="32"/>
        </w:rPr>
        <w:t>14.住房保障支出（类）住房改革支出（款）住房公积金（项）：支出决算为70.10万元，完成预算</w:t>
      </w:r>
      <w:r>
        <w:rPr>
          <w:rFonts w:ascii="仿宋_GB2312" w:hAnsi="楷体" w:eastAsia="仿宋_GB2312"/>
          <w:color w:val="000000"/>
          <w:sz w:val="32"/>
          <w:szCs w:val="32"/>
        </w:rPr>
        <w:t>100%</w:t>
      </w:r>
      <w:r>
        <w:rPr>
          <w:rFonts w:hint="eastAsia" w:ascii="仿宋_GB2312" w:hAnsi="楷体" w:eastAsia="仿宋_GB2312"/>
          <w:color w:val="000000"/>
          <w:sz w:val="32"/>
          <w:szCs w:val="32"/>
        </w:rPr>
        <w:t>。</w:t>
      </w:r>
      <w:bookmarkEnd w:id="163"/>
      <w:bookmarkEnd w:id="164"/>
      <w:bookmarkEnd w:id="165"/>
    </w:p>
    <w:p>
      <w:pPr>
        <w:spacing w:line="594" w:lineRule="exact"/>
        <w:ind w:firstLine="640" w:firstLineChars="200"/>
        <w:outlineLvl w:val="1"/>
        <w:rPr>
          <w:rFonts w:ascii="仿宋_GB2312" w:hAnsi="楷体" w:eastAsia="仿宋_GB2312"/>
          <w:color w:val="000000"/>
          <w:sz w:val="32"/>
          <w:szCs w:val="32"/>
        </w:rPr>
      </w:pPr>
      <w:bookmarkStart w:id="166" w:name="_Toc51662596"/>
      <w:bookmarkStart w:id="167" w:name="_Toc3271"/>
      <w:bookmarkStart w:id="168" w:name="_Toc51662784"/>
      <w:r>
        <w:rPr>
          <w:rFonts w:hint="eastAsia" w:ascii="仿宋_GB2312" w:hAnsi="楷体" w:eastAsia="仿宋_GB2312"/>
          <w:color w:val="000000"/>
          <w:sz w:val="32"/>
          <w:szCs w:val="32"/>
        </w:rPr>
        <w:t>15. 住房保障支出（类）住房改革支出（款）购房补贴（项）：支出决算为1.02万元，完成预算</w:t>
      </w:r>
      <w:r>
        <w:rPr>
          <w:rFonts w:ascii="仿宋_GB2312" w:hAnsi="楷体" w:eastAsia="仿宋_GB2312"/>
          <w:color w:val="000000"/>
          <w:sz w:val="32"/>
          <w:szCs w:val="32"/>
        </w:rPr>
        <w:t>100%</w:t>
      </w:r>
      <w:r>
        <w:rPr>
          <w:rFonts w:hint="eastAsia" w:ascii="仿宋_GB2312" w:hAnsi="楷体" w:eastAsia="仿宋_GB2312"/>
          <w:color w:val="000000"/>
          <w:sz w:val="32"/>
          <w:szCs w:val="32"/>
        </w:rPr>
        <w:t>。</w:t>
      </w:r>
      <w:bookmarkEnd w:id="166"/>
      <w:bookmarkEnd w:id="167"/>
      <w:bookmarkEnd w:id="168"/>
    </w:p>
    <w:p>
      <w:pPr>
        <w:pStyle w:val="3"/>
        <w:spacing w:before="0" w:after="0" w:line="594" w:lineRule="exact"/>
        <w:ind w:firstLine="629" w:firstLineChars="196"/>
        <w:rPr>
          <w:rFonts w:ascii="黑体" w:hAnsi="黑体" w:eastAsia="黑体" w:cs="黑体"/>
        </w:rPr>
      </w:pPr>
      <w:bookmarkStart w:id="169" w:name="_Toc1926"/>
      <w:bookmarkStart w:id="170" w:name="_Toc15377214"/>
      <w:bookmarkStart w:id="171" w:name="_Toc51662785"/>
      <w:bookmarkStart w:id="172" w:name="_Toc51662597"/>
      <w:r>
        <w:rPr>
          <w:rFonts w:hint="eastAsia" w:ascii="黑体" w:hAnsi="黑体" w:eastAsia="黑体" w:cs="黑体"/>
          <w:color w:val="000000"/>
        </w:rPr>
        <w:t>六、一</w:t>
      </w:r>
      <w:r>
        <w:rPr>
          <w:rFonts w:hint="eastAsia" w:ascii="黑体" w:hAnsi="黑体" w:eastAsia="黑体" w:cs="黑体"/>
        </w:rPr>
        <w:t>般公共预算财政拨款基本支出决算情况说明</w:t>
      </w:r>
      <w:bookmarkEnd w:id="169"/>
      <w:bookmarkEnd w:id="170"/>
      <w:bookmarkEnd w:id="171"/>
      <w:bookmarkEnd w:id="172"/>
      <w:r>
        <w:rPr>
          <w:rFonts w:hint="eastAsia" w:ascii="黑体" w:hAnsi="黑体" w:eastAsia="黑体" w:cs="黑体"/>
        </w:rPr>
        <w:tab/>
      </w:r>
    </w:p>
    <w:p>
      <w:pPr>
        <w:spacing w:line="594"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2019年一般公共预算财政拨款基本支出980.78万元，其中：</w:t>
      </w:r>
    </w:p>
    <w:p>
      <w:pPr>
        <w:spacing w:line="594"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862.75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日常公用经费118.03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3"/>
        <w:spacing w:before="0" w:after="0" w:line="594" w:lineRule="exact"/>
        <w:ind w:firstLine="790" w:firstLineChars="246"/>
        <w:rPr>
          <w:rFonts w:ascii="黑体" w:hAnsi="黑体" w:eastAsia="黑体" w:cs="黑体"/>
        </w:rPr>
      </w:pPr>
      <w:bookmarkStart w:id="173" w:name="_Toc15377215"/>
      <w:bookmarkStart w:id="174" w:name="_Toc22917"/>
      <w:bookmarkStart w:id="175" w:name="_Toc51662786"/>
      <w:bookmarkStart w:id="176" w:name="_Toc51662598"/>
      <w:r>
        <w:rPr>
          <w:rFonts w:hint="eastAsia" w:ascii="黑体" w:hAnsi="黑体" w:eastAsia="黑体" w:cs="黑体"/>
          <w:color w:val="000000"/>
        </w:rPr>
        <w:t>七、</w:t>
      </w:r>
      <w:r>
        <w:rPr>
          <w:rFonts w:hint="eastAsia" w:ascii="黑体" w:hAnsi="黑体" w:eastAsia="黑体" w:cs="黑体"/>
        </w:rPr>
        <w:t>“三公”经费财政拨款支出决算情况说明</w:t>
      </w:r>
      <w:bookmarkEnd w:id="173"/>
      <w:bookmarkEnd w:id="174"/>
      <w:bookmarkEnd w:id="175"/>
      <w:bookmarkEnd w:id="176"/>
    </w:p>
    <w:p>
      <w:pPr>
        <w:spacing w:line="594" w:lineRule="exact"/>
        <w:ind w:firstLine="640"/>
        <w:outlineLvl w:val="2"/>
        <w:rPr>
          <w:rFonts w:ascii="仿宋" w:hAnsi="仿宋" w:eastAsia="仿宋"/>
          <w:b/>
          <w:color w:val="000000"/>
          <w:sz w:val="32"/>
          <w:szCs w:val="32"/>
        </w:rPr>
      </w:pPr>
      <w:bookmarkStart w:id="177" w:name="_Toc15377216"/>
      <w:bookmarkStart w:id="178" w:name="_Toc51662787"/>
      <w:bookmarkStart w:id="179" w:name="_Toc51662599"/>
      <w:r>
        <w:rPr>
          <w:rFonts w:hint="eastAsia" w:ascii="楷体_GB2312" w:hAnsi="楷体_GB2312" w:eastAsia="楷体_GB2312" w:cs="楷体_GB2312"/>
          <w:b/>
          <w:color w:val="000000"/>
          <w:sz w:val="32"/>
          <w:szCs w:val="32"/>
        </w:rPr>
        <w:t>（一）“三公”经费财政拨款支出决算总体情况说明</w:t>
      </w:r>
      <w:bookmarkEnd w:id="177"/>
      <w:bookmarkEnd w:id="178"/>
      <w:bookmarkEnd w:id="179"/>
    </w:p>
    <w:p>
      <w:pPr>
        <w:spacing w:line="594" w:lineRule="exact"/>
        <w:ind w:firstLine="645"/>
        <w:rPr>
          <w:rFonts w:ascii="仿宋_GB2312" w:hAnsi="楷体" w:eastAsia="仿宋_GB2312"/>
          <w:color w:val="000000"/>
          <w:sz w:val="32"/>
          <w:szCs w:val="32"/>
        </w:rPr>
      </w:pPr>
      <w:r>
        <w:rPr>
          <w:rFonts w:ascii="仿宋_GB2312" w:hAnsi="楷体" w:eastAsia="仿宋_GB2312"/>
          <w:color w:val="000000"/>
          <w:sz w:val="32"/>
          <w:szCs w:val="32"/>
        </w:rPr>
        <w:t>201</w:t>
      </w:r>
      <w:r>
        <w:rPr>
          <w:rFonts w:hint="eastAsia" w:ascii="仿宋_GB2312" w:hAnsi="楷体" w:eastAsia="仿宋_GB2312"/>
          <w:color w:val="000000"/>
          <w:sz w:val="32"/>
          <w:szCs w:val="32"/>
        </w:rPr>
        <w:t>9年“三公”经费财政拨款支出决算为29.33万元，完成预算</w:t>
      </w:r>
      <w:r>
        <w:rPr>
          <w:rFonts w:ascii="仿宋_GB2312" w:hAnsi="楷体" w:eastAsia="仿宋_GB2312"/>
          <w:color w:val="000000"/>
          <w:sz w:val="32"/>
          <w:szCs w:val="32"/>
        </w:rPr>
        <w:t>100%</w:t>
      </w:r>
      <w:r>
        <w:rPr>
          <w:rFonts w:hint="eastAsia" w:ascii="仿宋_GB2312" w:hAnsi="楷体" w:eastAsia="仿宋_GB2312"/>
          <w:color w:val="000000"/>
          <w:sz w:val="32"/>
          <w:szCs w:val="32"/>
        </w:rPr>
        <w:t>。</w:t>
      </w:r>
    </w:p>
    <w:p>
      <w:pPr>
        <w:spacing w:line="594" w:lineRule="exact"/>
        <w:ind w:firstLine="640"/>
        <w:outlineLvl w:val="2"/>
        <w:rPr>
          <w:rFonts w:ascii="仿宋" w:hAnsi="仿宋" w:eastAsia="仿宋"/>
          <w:b/>
          <w:color w:val="000000"/>
          <w:sz w:val="32"/>
          <w:szCs w:val="32"/>
        </w:rPr>
      </w:pPr>
      <w:bookmarkStart w:id="180" w:name="_Toc51662600"/>
      <w:bookmarkStart w:id="181" w:name="_Toc51662788"/>
      <w:bookmarkStart w:id="182" w:name="_Toc15377217"/>
      <w:r>
        <w:rPr>
          <w:rFonts w:hint="eastAsia" w:ascii="楷体_GB2312" w:hAnsi="楷体_GB2312" w:eastAsia="楷体_GB2312" w:cs="楷体_GB2312"/>
          <w:b/>
          <w:color w:val="000000"/>
          <w:sz w:val="32"/>
          <w:szCs w:val="32"/>
        </w:rPr>
        <w:t>（二）“三公”经费财政拨款支出决算具体情况说明</w:t>
      </w:r>
      <w:bookmarkEnd w:id="180"/>
      <w:bookmarkEnd w:id="181"/>
      <w:bookmarkEnd w:id="182"/>
    </w:p>
    <w:p>
      <w:pPr>
        <w:spacing w:line="594" w:lineRule="exact"/>
        <w:ind w:firstLine="645"/>
        <w:rPr>
          <w:rFonts w:ascii="仿宋_GB2312" w:hAnsi="楷体" w:eastAsia="仿宋_GB2312"/>
          <w:color w:val="000000"/>
          <w:sz w:val="32"/>
          <w:szCs w:val="32"/>
        </w:rPr>
      </w:pPr>
      <w:r>
        <w:rPr>
          <w:rFonts w:hint="eastAsia" w:ascii="仿宋" w:hAnsi="仿宋" w:eastAsia="仿宋"/>
          <w:color w:val="000000"/>
          <w:sz w:val="32"/>
          <w:szCs w:val="32"/>
        </w:rPr>
        <w:t>2019</w:t>
      </w:r>
      <w:r>
        <w:rPr>
          <w:rFonts w:hint="eastAsia" w:ascii="仿宋_GB2312" w:hAnsi="楷体" w:eastAsia="仿宋_GB2312"/>
          <w:color w:val="000000"/>
          <w:sz w:val="32"/>
          <w:szCs w:val="32"/>
        </w:rPr>
        <w:t>年“三公”经费财政拨款支出决算中，因公出国（境）费支出决算</w:t>
      </w:r>
      <w:r>
        <w:rPr>
          <w:rFonts w:ascii="仿宋_GB2312" w:hAnsi="楷体" w:eastAsia="仿宋_GB2312"/>
          <w:color w:val="000000"/>
          <w:sz w:val="32"/>
          <w:szCs w:val="32"/>
        </w:rPr>
        <w:t>0</w:t>
      </w:r>
      <w:r>
        <w:rPr>
          <w:rFonts w:hint="eastAsia" w:ascii="仿宋_GB2312" w:hAnsi="楷体" w:eastAsia="仿宋_GB2312"/>
          <w:color w:val="000000"/>
          <w:sz w:val="32"/>
          <w:szCs w:val="32"/>
        </w:rPr>
        <w:t>万元，占</w:t>
      </w:r>
      <w:r>
        <w:rPr>
          <w:rFonts w:ascii="仿宋_GB2312" w:hAnsi="楷体" w:eastAsia="仿宋_GB2312"/>
          <w:color w:val="000000"/>
          <w:sz w:val="32"/>
          <w:szCs w:val="32"/>
        </w:rPr>
        <w:t>0%</w:t>
      </w:r>
      <w:r>
        <w:rPr>
          <w:rFonts w:hint="eastAsia" w:ascii="仿宋_GB2312" w:hAnsi="楷体" w:eastAsia="仿宋_GB2312"/>
          <w:color w:val="000000"/>
          <w:sz w:val="32"/>
          <w:szCs w:val="32"/>
        </w:rPr>
        <w:t>；公务用车购置及运行维护费支出决24.8万元，占84.58</w:t>
      </w:r>
      <w:r>
        <w:rPr>
          <w:rFonts w:ascii="仿宋_GB2312" w:hAnsi="楷体" w:eastAsia="仿宋_GB2312"/>
          <w:color w:val="000000"/>
          <w:sz w:val="32"/>
          <w:szCs w:val="32"/>
        </w:rPr>
        <w:t>%</w:t>
      </w:r>
      <w:r>
        <w:rPr>
          <w:rFonts w:hint="eastAsia" w:ascii="仿宋_GB2312" w:hAnsi="楷体" w:eastAsia="仿宋_GB2312"/>
          <w:color w:val="000000"/>
          <w:sz w:val="32"/>
          <w:szCs w:val="32"/>
        </w:rPr>
        <w:t>；公务接待费支出决算4.53万元，占15.42</w:t>
      </w:r>
      <w:r>
        <w:rPr>
          <w:rFonts w:ascii="仿宋_GB2312" w:hAnsi="楷体" w:eastAsia="仿宋_GB2312"/>
          <w:color w:val="000000"/>
          <w:sz w:val="32"/>
          <w:szCs w:val="32"/>
        </w:rPr>
        <w:t>%</w:t>
      </w:r>
      <w:r>
        <w:rPr>
          <w:rFonts w:hint="eastAsia" w:ascii="仿宋_GB2312" w:hAnsi="楷体" w:eastAsia="仿宋_GB2312"/>
          <w:color w:val="000000"/>
          <w:sz w:val="32"/>
          <w:szCs w:val="32"/>
        </w:rPr>
        <w:t>。具体情况如下：</w:t>
      </w:r>
    </w:p>
    <w:p>
      <w:pPr>
        <w:spacing w:line="594" w:lineRule="exact"/>
        <w:ind w:firstLine="640"/>
        <w:rPr>
          <w:rFonts w:ascii="仿宋" w:hAnsi="仿宋" w:eastAsia="仿宋"/>
          <w:color w:val="000000"/>
          <w:sz w:val="32"/>
          <w:szCs w:val="32"/>
        </w:rPr>
      </w:pPr>
      <w:r>
        <w:rPr>
          <w:rFonts w:hint="eastAsia" w:ascii="仿宋_GB2312" w:eastAsia="仿宋_GB2312"/>
          <w:color w:val="FF0000"/>
          <w:sz w:val="32"/>
          <w:szCs w:val="32"/>
        </w:rPr>
        <w:drawing>
          <wp:anchor distT="0" distB="0" distL="114300" distR="114300" simplePos="0" relativeHeight="251667456" behindDoc="1" locked="0" layoutInCell="1" allowOverlap="1">
            <wp:simplePos x="0" y="0"/>
            <wp:positionH relativeFrom="column">
              <wp:posOffset>481965</wp:posOffset>
            </wp:positionH>
            <wp:positionV relativeFrom="paragraph">
              <wp:posOffset>43815</wp:posOffset>
            </wp:positionV>
            <wp:extent cx="4115435" cy="2210435"/>
            <wp:effectExtent l="4445" t="4445" r="71120" b="71120"/>
            <wp:wrapTight wrapText="bothSides">
              <wp:wrapPolygon>
                <wp:start x="-23" y="-43"/>
                <wp:lineTo x="-23" y="21550"/>
                <wp:lineTo x="21573" y="21550"/>
                <wp:lineTo x="21573" y="-43"/>
                <wp:lineTo x="-23" y="-43"/>
              </wp:wrapPolygon>
            </wp:wrapTight>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594" w:lineRule="exact"/>
        <w:ind w:firstLine="640"/>
        <w:rPr>
          <w:rFonts w:ascii="仿宋" w:hAnsi="仿宋" w:eastAsia="仿宋"/>
          <w:color w:val="000000"/>
          <w:sz w:val="32"/>
          <w:szCs w:val="32"/>
        </w:rPr>
      </w:pPr>
    </w:p>
    <w:p>
      <w:pPr>
        <w:spacing w:line="594" w:lineRule="exact"/>
        <w:ind w:firstLine="640"/>
        <w:rPr>
          <w:rFonts w:ascii="仿宋" w:hAnsi="仿宋" w:eastAsia="仿宋"/>
          <w:color w:val="000000"/>
          <w:sz w:val="32"/>
          <w:szCs w:val="32"/>
        </w:rPr>
      </w:pPr>
    </w:p>
    <w:p>
      <w:pPr>
        <w:spacing w:line="594" w:lineRule="exact"/>
        <w:ind w:firstLine="640"/>
        <w:rPr>
          <w:rFonts w:ascii="仿宋" w:hAnsi="仿宋" w:eastAsia="仿宋"/>
          <w:color w:val="000000"/>
          <w:sz w:val="32"/>
          <w:szCs w:val="32"/>
        </w:rPr>
      </w:pPr>
    </w:p>
    <w:p>
      <w:pPr>
        <w:spacing w:line="594" w:lineRule="exact"/>
        <w:ind w:firstLine="640"/>
        <w:rPr>
          <w:rFonts w:ascii="仿宋" w:hAnsi="仿宋" w:eastAsia="仿宋"/>
          <w:color w:val="000000"/>
          <w:sz w:val="32"/>
          <w:szCs w:val="32"/>
        </w:rPr>
      </w:pPr>
    </w:p>
    <w:p>
      <w:pPr>
        <w:spacing w:line="594" w:lineRule="exact"/>
        <w:ind w:firstLine="640"/>
        <w:rPr>
          <w:rFonts w:ascii="仿宋" w:hAnsi="仿宋" w:eastAsia="仿宋"/>
          <w:color w:val="000000"/>
          <w:sz w:val="32"/>
          <w:szCs w:val="32"/>
        </w:rPr>
      </w:pPr>
    </w:p>
    <w:p>
      <w:pPr>
        <w:spacing w:line="594" w:lineRule="exact"/>
        <w:ind w:firstLine="640"/>
        <w:rPr>
          <w:rFonts w:ascii="仿宋" w:hAnsi="仿宋" w:eastAsia="仿宋"/>
          <w:color w:val="000000"/>
          <w:sz w:val="32"/>
          <w:szCs w:val="32"/>
        </w:rPr>
      </w:pPr>
    </w:p>
    <w:p>
      <w:pPr>
        <w:spacing w:line="594" w:lineRule="exact"/>
        <w:ind w:firstLine="640" w:firstLineChars="200"/>
        <w:rPr>
          <w:rFonts w:ascii="仿宋_GB2312" w:hAnsi="楷体" w:eastAsia="仿宋_GB2312"/>
          <w:color w:val="000000"/>
          <w:sz w:val="32"/>
          <w:szCs w:val="32"/>
        </w:rPr>
      </w:pPr>
      <w:bookmarkStart w:id="183" w:name="_Toc15377218"/>
      <w:r>
        <w:rPr>
          <w:rFonts w:ascii="仿宋_GB2312" w:hAnsi="楷体" w:eastAsia="仿宋_GB2312"/>
          <w:color w:val="000000"/>
          <w:sz w:val="32"/>
          <w:szCs w:val="32"/>
        </w:rPr>
        <w:t>1.</w:t>
      </w:r>
      <w:r>
        <w:rPr>
          <w:rFonts w:hint="eastAsia" w:ascii="仿宋_GB2312" w:hAnsi="楷体" w:eastAsia="仿宋_GB2312"/>
          <w:color w:val="000000"/>
          <w:sz w:val="32"/>
          <w:szCs w:val="32"/>
        </w:rPr>
        <w:t>因公出国（境）经费支出</w:t>
      </w:r>
      <w:r>
        <w:rPr>
          <w:rFonts w:ascii="仿宋_GB2312" w:hAnsi="楷体" w:eastAsia="仿宋_GB2312"/>
          <w:color w:val="000000"/>
          <w:sz w:val="32"/>
          <w:szCs w:val="32"/>
        </w:rPr>
        <w:t>0</w:t>
      </w:r>
      <w:r>
        <w:rPr>
          <w:rFonts w:hint="eastAsia" w:ascii="仿宋_GB2312" w:hAnsi="楷体" w:eastAsia="仿宋_GB2312"/>
          <w:color w:val="000000"/>
          <w:sz w:val="32"/>
          <w:szCs w:val="32"/>
        </w:rPr>
        <w:t>万元，完成预算</w:t>
      </w:r>
      <w:r>
        <w:rPr>
          <w:rFonts w:ascii="仿宋_GB2312" w:hAnsi="楷体" w:eastAsia="仿宋_GB2312"/>
          <w:color w:val="000000"/>
          <w:sz w:val="32"/>
          <w:szCs w:val="32"/>
        </w:rPr>
        <w:t>0%</w:t>
      </w:r>
      <w:r>
        <w:rPr>
          <w:rFonts w:hint="eastAsia" w:ascii="仿宋_GB2312" w:hAnsi="楷体" w:eastAsia="仿宋_GB2312"/>
          <w:color w:val="000000"/>
          <w:sz w:val="32"/>
          <w:szCs w:val="32"/>
        </w:rPr>
        <w:t>。全年安排因公出国（境）团组</w:t>
      </w:r>
      <w:r>
        <w:rPr>
          <w:rFonts w:ascii="仿宋_GB2312" w:hAnsi="楷体" w:eastAsia="仿宋_GB2312"/>
          <w:color w:val="000000"/>
          <w:sz w:val="32"/>
          <w:szCs w:val="32"/>
        </w:rPr>
        <w:t>0</w:t>
      </w:r>
      <w:r>
        <w:rPr>
          <w:rFonts w:hint="eastAsia" w:ascii="仿宋_GB2312" w:hAnsi="楷体" w:eastAsia="仿宋_GB2312"/>
          <w:color w:val="000000"/>
          <w:sz w:val="32"/>
          <w:szCs w:val="32"/>
        </w:rPr>
        <w:t>次，出国（境）</w:t>
      </w:r>
      <w:r>
        <w:rPr>
          <w:rFonts w:ascii="仿宋_GB2312" w:hAnsi="楷体" w:eastAsia="仿宋_GB2312"/>
          <w:color w:val="000000"/>
          <w:sz w:val="32"/>
          <w:szCs w:val="32"/>
        </w:rPr>
        <w:t>0</w:t>
      </w:r>
      <w:r>
        <w:rPr>
          <w:rFonts w:hint="eastAsia" w:ascii="仿宋_GB2312" w:hAnsi="楷体" w:eastAsia="仿宋_GB2312"/>
          <w:color w:val="000000"/>
          <w:sz w:val="32"/>
          <w:szCs w:val="32"/>
        </w:rPr>
        <w:t>人。</w:t>
      </w:r>
    </w:p>
    <w:p>
      <w:pPr>
        <w:spacing w:line="594" w:lineRule="exact"/>
        <w:ind w:firstLine="640" w:firstLineChars="200"/>
        <w:rPr>
          <w:rFonts w:ascii="仿宋_GB2312" w:hAnsi="楷体" w:eastAsia="仿宋_GB2312"/>
          <w:color w:val="000000"/>
          <w:sz w:val="32"/>
          <w:szCs w:val="32"/>
        </w:rPr>
      </w:pPr>
      <w:r>
        <w:rPr>
          <w:rFonts w:ascii="仿宋_GB2312" w:hAnsi="楷体" w:eastAsia="仿宋_GB2312"/>
          <w:color w:val="000000"/>
          <w:sz w:val="32"/>
          <w:szCs w:val="32"/>
        </w:rPr>
        <w:t>2.</w:t>
      </w:r>
      <w:r>
        <w:rPr>
          <w:rFonts w:hint="eastAsia" w:ascii="仿宋_GB2312" w:hAnsi="楷体" w:eastAsia="仿宋_GB2312"/>
          <w:color w:val="000000"/>
          <w:sz w:val="32"/>
          <w:szCs w:val="32"/>
        </w:rPr>
        <w:t>公务用车购置及运行维护费支出24.8万元</w:t>
      </w:r>
      <w:r>
        <w:rPr>
          <w:rFonts w:ascii="仿宋_GB2312" w:hAnsi="楷体" w:eastAsia="仿宋_GB2312"/>
          <w:color w:val="000000"/>
          <w:sz w:val="32"/>
          <w:szCs w:val="32"/>
        </w:rPr>
        <w:t>,</w:t>
      </w:r>
      <w:r>
        <w:rPr>
          <w:rFonts w:hint="eastAsia" w:ascii="仿宋_GB2312" w:hAnsi="楷体" w:eastAsia="仿宋_GB2312"/>
          <w:color w:val="000000"/>
          <w:sz w:val="32"/>
          <w:szCs w:val="32"/>
        </w:rPr>
        <w:t>完成预算</w:t>
      </w:r>
      <w:r>
        <w:rPr>
          <w:rFonts w:ascii="仿宋_GB2312" w:hAnsi="楷体" w:eastAsia="仿宋_GB2312"/>
          <w:color w:val="000000"/>
          <w:sz w:val="32"/>
          <w:szCs w:val="32"/>
        </w:rPr>
        <w:t>100%</w:t>
      </w:r>
      <w:r>
        <w:rPr>
          <w:rFonts w:hint="eastAsia" w:ascii="仿宋_GB2312" w:hAnsi="楷体" w:eastAsia="仿宋_GB2312"/>
          <w:color w:val="000000"/>
          <w:sz w:val="32"/>
          <w:szCs w:val="32"/>
        </w:rPr>
        <w:t>。公务用车购置及运行维护费支出决算比</w:t>
      </w:r>
      <w:r>
        <w:rPr>
          <w:rFonts w:ascii="仿宋_GB2312" w:hAnsi="楷体" w:eastAsia="仿宋_GB2312"/>
          <w:color w:val="000000"/>
          <w:sz w:val="32"/>
          <w:szCs w:val="32"/>
        </w:rPr>
        <w:t>201</w:t>
      </w:r>
      <w:r>
        <w:rPr>
          <w:rFonts w:hint="eastAsia" w:ascii="仿宋_GB2312" w:hAnsi="楷体" w:eastAsia="仿宋_GB2312"/>
          <w:color w:val="000000"/>
          <w:sz w:val="32"/>
          <w:szCs w:val="32"/>
        </w:rPr>
        <w:t>8年减少77.69万元，增长75.80</w:t>
      </w:r>
      <w:r>
        <w:rPr>
          <w:rFonts w:ascii="仿宋_GB2312" w:hAnsi="楷体" w:eastAsia="仿宋_GB2312"/>
          <w:color w:val="000000"/>
          <w:sz w:val="32"/>
          <w:szCs w:val="32"/>
        </w:rPr>
        <w:t>%</w:t>
      </w:r>
      <w:r>
        <w:rPr>
          <w:rFonts w:hint="eastAsia" w:ascii="仿宋_GB2312" w:hAnsi="楷体" w:eastAsia="仿宋_GB2312"/>
          <w:color w:val="000000"/>
          <w:sz w:val="32"/>
          <w:szCs w:val="32"/>
        </w:rPr>
        <w:t>。主要原因是：2019年无公务用车购置支出。</w:t>
      </w:r>
    </w:p>
    <w:p>
      <w:pPr>
        <w:spacing w:line="594"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其中：公务用车购置支出0万元。全年按规定更新购置公务用车</w:t>
      </w:r>
      <w:r>
        <w:rPr>
          <w:rFonts w:ascii="仿宋_GB2312" w:hAnsi="楷体" w:eastAsia="仿宋_GB2312"/>
          <w:color w:val="000000"/>
          <w:sz w:val="32"/>
          <w:szCs w:val="32"/>
        </w:rPr>
        <w:t>0</w:t>
      </w:r>
      <w:r>
        <w:rPr>
          <w:rFonts w:hint="eastAsia" w:ascii="仿宋_GB2312" w:hAnsi="楷体" w:eastAsia="仿宋_GB2312"/>
          <w:color w:val="000000"/>
          <w:sz w:val="32"/>
          <w:szCs w:val="32"/>
        </w:rPr>
        <w:t>辆，其中：轿车</w:t>
      </w:r>
      <w:r>
        <w:rPr>
          <w:rFonts w:ascii="仿宋_GB2312" w:hAnsi="楷体" w:eastAsia="仿宋_GB2312"/>
          <w:color w:val="000000"/>
          <w:sz w:val="32"/>
          <w:szCs w:val="32"/>
        </w:rPr>
        <w:t>0</w:t>
      </w:r>
      <w:r>
        <w:rPr>
          <w:rFonts w:hint="eastAsia" w:ascii="仿宋_GB2312" w:hAnsi="楷体" w:eastAsia="仿宋_GB2312"/>
          <w:color w:val="000000"/>
          <w:sz w:val="32"/>
          <w:szCs w:val="32"/>
        </w:rPr>
        <w:t>辆、金额</w:t>
      </w:r>
      <w:r>
        <w:rPr>
          <w:rFonts w:ascii="仿宋_GB2312" w:hAnsi="楷体" w:eastAsia="仿宋_GB2312"/>
          <w:color w:val="000000"/>
          <w:sz w:val="32"/>
          <w:szCs w:val="32"/>
        </w:rPr>
        <w:t>0</w:t>
      </w:r>
      <w:r>
        <w:rPr>
          <w:rFonts w:hint="eastAsia" w:ascii="仿宋_GB2312" w:hAnsi="楷体" w:eastAsia="仿宋_GB2312"/>
          <w:color w:val="000000"/>
          <w:sz w:val="32"/>
          <w:szCs w:val="32"/>
        </w:rPr>
        <w:t>万元，越野车</w:t>
      </w:r>
      <w:r>
        <w:rPr>
          <w:rFonts w:ascii="仿宋_GB2312" w:hAnsi="楷体" w:eastAsia="仿宋_GB2312"/>
          <w:color w:val="000000"/>
          <w:sz w:val="32"/>
          <w:szCs w:val="32"/>
        </w:rPr>
        <w:t>0</w:t>
      </w:r>
      <w:r>
        <w:rPr>
          <w:rFonts w:hint="eastAsia" w:ascii="仿宋_GB2312" w:hAnsi="楷体" w:eastAsia="仿宋_GB2312"/>
          <w:color w:val="000000"/>
          <w:sz w:val="32"/>
          <w:szCs w:val="32"/>
        </w:rPr>
        <w:t>辆、金额</w:t>
      </w:r>
      <w:r>
        <w:rPr>
          <w:rFonts w:ascii="仿宋_GB2312" w:hAnsi="楷体" w:eastAsia="仿宋_GB2312"/>
          <w:color w:val="000000"/>
          <w:sz w:val="32"/>
          <w:szCs w:val="32"/>
        </w:rPr>
        <w:t>0</w:t>
      </w:r>
      <w:r>
        <w:rPr>
          <w:rFonts w:hint="eastAsia" w:ascii="仿宋_GB2312" w:hAnsi="楷体" w:eastAsia="仿宋_GB2312"/>
          <w:color w:val="000000"/>
          <w:sz w:val="32"/>
          <w:szCs w:val="32"/>
        </w:rPr>
        <w:t>万元，载客汽车0辆、金额0万元。单位共有公务用车</w:t>
      </w:r>
      <w:r>
        <w:rPr>
          <w:rFonts w:ascii="仿宋_GB2312" w:hAnsi="楷体" w:eastAsia="仿宋_GB2312"/>
          <w:color w:val="000000"/>
          <w:sz w:val="32"/>
          <w:szCs w:val="32"/>
        </w:rPr>
        <w:t>0</w:t>
      </w:r>
      <w:r>
        <w:rPr>
          <w:rFonts w:hint="eastAsia" w:ascii="仿宋_GB2312" w:hAnsi="楷体" w:eastAsia="仿宋_GB2312"/>
          <w:color w:val="000000"/>
          <w:sz w:val="32"/>
          <w:szCs w:val="32"/>
        </w:rPr>
        <w:t>辆，执法执勤</w:t>
      </w:r>
      <w:r>
        <w:rPr>
          <w:rFonts w:ascii="仿宋_GB2312" w:hAnsi="楷体" w:eastAsia="仿宋_GB2312"/>
          <w:color w:val="000000"/>
          <w:sz w:val="32"/>
          <w:szCs w:val="32"/>
        </w:rPr>
        <w:t>7</w:t>
      </w:r>
      <w:r>
        <w:rPr>
          <w:rFonts w:hint="eastAsia" w:ascii="仿宋_GB2312" w:hAnsi="楷体" w:eastAsia="仿宋_GB2312"/>
          <w:color w:val="000000"/>
          <w:sz w:val="32"/>
          <w:szCs w:val="32"/>
        </w:rPr>
        <w:t>辆，其他用车</w:t>
      </w:r>
      <w:r>
        <w:rPr>
          <w:rFonts w:ascii="仿宋_GB2312" w:hAnsi="楷体" w:eastAsia="仿宋_GB2312"/>
          <w:color w:val="000000"/>
          <w:sz w:val="32"/>
          <w:szCs w:val="32"/>
        </w:rPr>
        <w:t>5</w:t>
      </w:r>
      <w:r>
        <w:rPr>
          <w:rFonts w:hint="eastAsia" w:ascii="仿宋_GB2312" w:hAnsi="楷体" w:eastAsia="仿宋_GB2312"/>
          <w:color w:val="000000"/>
          <w:sz w:val="32"/>
          <w:szCs w:val="32"/>
        </w:rPr>
        <w:t>辆，其中：轿车</w:t>
      </w:r>
      <w:r>
        <w:rPr>
          <w:rFonts w:ascii="仿宋_GB2312" w:hAnsi="楷体" w:eastAsia="仿宋_GB2312"/>
          <w:color w:val="000000"/>
          <w:sz w:val="32"/>
          <w:szCs w:val="32"/>
        </w:rPr>
        <w:t>1</w:t>
      </w:r>
      <w:r>
        <w:rPr>
          <w:rFonts w:hint="eastAsia" w:ascii="仿宋_GB2312" w:hAnsi="楷体" w:eastAsia="仿宋_GB2312"/>
          <w:color w:val="000000"/>
          <w:sz w:val="32"/>
          <w:szCs w:val="32"/>
        </w:rPr>
        <w:t>辆、越野车</w:t>
      </w:r>
      <w:r>
        <w:rPr>
          <w:rFonts w:ascii="仿宋_GB2312" w:hAnsi="楷体" w:eastAsia="仿宋_GB2312"/>
          <w:color w:val="000000"/>
          <w:sz w:val="32"/>
          <w:szCs w:val="32"/>
        </w:rPr>
        <w:t>5</w:t>
      </w:r>
      <w:r>
        <w:rPr>
          <w:rFonts w:hint="eastAsia" w:ascii="仿宋_GB2312" w:hAnsi="楷体" w:eastAsia="仿宋_GB2312"/>
          <w:color w:val="000000"/>
          <w:sz w:val="32"/>
          <w:szCs w:val="32"/>
        </w:rPr>
        <w:t>辆、小型载客汽车</w:t>
      </w:r>
      <w:r>
        <w:rPr>
          <w:rFonts w:ascii="仿宋_GB2312" w:hAnsi="楷体" w:eastAsia="仿宋_GB2312"/>
          <w:color w:val="000000"/>
          <w:sz w:val="32"/>
          <w:szCs w:val="32"/>
        </w:rPr>
        <w:t>1</w:t>
      </w:r>
      <w:r>
        <w:rPr>
          <w:rFonts w:hint="eastAsia" w:ascii="仿宋_GB2312" w:hAnsi="楷体" w:eastAsia="仿宋_GB2312"/>
          <w:color w:val="000000"/>
          <w:sz w:val="32"/>
          <w:szCs w:val="32"/>
        </w:rPr>
        <w:t>辆，其他</w:t>
      </w:r>
      <w:r>
        <w:rPr>
          <w:rFonts w:ascii="仿宋_GB2312" w:hAnsi="楷体" w:eastAsia="仿宋_GB2312"/>
          <w:color w:val="000000"/>
          <w:sz w:val="32"/>
          <w:szCs w:val="32"/>
        </w:rPr>
        <w:t>5</w:t>
      </w:r>
      <w:r>
        <w:rPr>
          <w:rFonts w:hint="eastAsia" w:ascii="仿宋_GB2312" w:hAnsi="楷体" w:eastAsia="仿宋_GB2312"/>
          <w:color w:val="000000"/>
          <w:sz w:val="32"/>
          <w:szCs w:val="32"/>
        </w:rPr>
        <w:t>辆。</w:t>
      </w:r>
    </w:p>
    <w:p>
      <w:pPr>
        <w:spacing w:line="594"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公务用车运行维护费支出24.8万元。主要用于食品药品执法、质量特种设备执法、工商职能执法等所需的公务用车燃料费、维修费、过路过桥费、保险费等支出。</w:t>
      </w:r>
    </w:p>
    <w:p>
      <w:pPr>
        <w:spacing w:line="594" w:lineRule="exact"/>
        <w:ind w:firstLine="640" w:firstLineChars="200"/>
        <w:rPr>
          <w:rFonts w:ascii="仿宋_GB2312" w:hAnsi="楷体" w:eastAsia="仿宋_GB2312"/>
          <w:color w:val="000000"/>
          <w:sz w:val="32"/>
          <w:szCs w:val="32"/>
        </w:rPr>
      </w:pPr>
      <w:r>
        <w:rPr>
          <w:rFonts w:ascii="仿宋_GB2312" w:hAnsi="楷体" w:eastAsia="仿宋_GB2312"/>
          <w:color w:val="000000"/>
          <w:sz w:val="32"/>
          <w:szCs w:val="32"/>
        </w:rPr>
        <w:t>3.</w:t>
      </w:r>
      <w:r>
        <w:rPr>
          <w:rFonts w:hint="eastAsia" w:ascii="仿宋_GB2312" w:hAnsi="楷体" w:eastAsia="仿宋_GB2312"/>
          <w:color w:val="000000"/>
          <w:sz w:val="32"/>
          <w:szCs w:val="32"/>
        </w:rPr>
        <w:t>公务接待费支出4.53万元，完成预算</w:t>
      </w:r>
      <w:r>
        <w:rPr>
          <w:rFonts w:ascii="仿宋_GB2312" w:hAnsi="楷体" w:eastAsia="仿宋_GB2312"/>
          <w:color w:val="000000"/>
          <w:sz w:val="32"/>
          <w:szCs w:val="32"/>
        </w:rPr>
        <w:t>100%</w:t>
      </w:r>
      <w:r>
        <w:rPr>
          <w:rFonts w:hint="eastAsia" w:ascii="仿宋_GB2312" w:hAnsi="楷体" w:eastAsia="仿宋_GB2312"/>
          <w:color w:val="000000"/>
          <w:sz w:val="32"/>
          <w:szCs w:val="32"/>
        </w:rPr>
        <w:t>。公务接待费支出决算比</w:t>
      </w:r>
      <w:r>
        <w:rPr>
          <w:rFonts w:ascii="仿宋_GB2312" w:hAnsi="楷体" w:eastAsia="仿宋_GB2312"/>
          <w:color w:val="000000"/>
          <w:sz w:val="32"/>
          <w:szCs w:val="32"/>
        </w:rPr>
        <w:t>201</w:t>
      </w:r>
      <w:r>
        <w:rPr>
          <w:rFonts w:hint="eastAsia" w:ascii="仿宋_GB2312" w:hAnsi="楷体" w:eastAsia="仿宋_GB2312"/>
          <w:color w:val="000000"/>
          <w:sz w:val="32"/>
          <w:szCs w:val="32"/>
        </w:rPr>
        <w:t>8年增加0.38万元，增长9.18</w:t>
      </w:r>
      <w:r>
        <w:rPr>
          <w:rFonts w:ascii="仿宋_GB2312" w:hAnsi="楷体" w:eastAsia="仿宋_GB2312"/>
          <w:color w:val="000000"/>
          <w:sz w:val="32"/>
          <w:szCs w:val="32"/>
        </w:rPr>
        <w:t>%</w:t>
      </w:r>
      <w:r>
        <w:rPr>
          <w:rFonts w:hint="eastAsia" w:ascii="仿宋_GB2312" w:hAnsi="楷体" w:eastAsia="仿宋_GB2312"/>
          <w:color w:val="000000"/>
          <w:sz w:val="32"/>
          <w:szCs w:val="32"/>
        </w:rPr>
        <w:t>。主要原因是接待省、州专项检查、节假日及日常检查人数增多。</w:t>
      </w:r>
    </w:p>
    <w:p>
      <w:pPr>
        <w:spacing w:line="594"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主要用于执行公务、开展业务活动开支的交通费、住宿费、用餐费等。国内公务接待120批次，750人次（不包括陪同人员），共计支出</w:t>
      </w:r>
      <w:r>
        <w:rPr>
          <w:rFonts w:ascii="仿宋_GB2312" w:hAnsi="楷体" w:eastAsia="仿宋_GB2312"/>
          <w:color w:val="000000"/>
          <w:sz w:val="32"/>
          <w:szCs w:val="32"/>
        </w:rPr>
        <w:t>4.</w:t>
      </w:r>
      <w:r>
        <w:rPr>
          <w:rFonts w:hint="eastAsia" w:ascii="仿宋_GB2312" w:hAnsi="楷体" w:eastAsia="仿宋_GB2312"/>
          <w:color w:val="000000"/>
          <w:sz w:val="32"/>
          <w:szCs w:val="32"/>
        </w:rPr>
        <w:t>52万元，具体内容包括：创建文件城市指导、州工商旅游市场检查、计量所开展质量强县检查、执法办案交流学习、省、州红盾春蕾行动</w:t>
      </w:r>
      <w:r>
        <w:rPr>
          <w:rFonts w:ascii="仿宋_GB2312" w:hAnsi="楷体" w:eastAsia="仿宋_GB2312"/>
          <w:color w:val="000000"/>
          <w:sz w:val="32"/>
          <w:szCs w:val="32"/>
        </w:rPr>
        <w:t>201</w:t>
      </w:r>
      <w:r>
        <w:rPr>
          <w:rFonts w:hint="eastAsia" w:ascii="仿宋_GB2312" w:hAnsi="楷体" w:eastAsia="仿宋_GB2312"/>
          <w:color w:val="000000"/>
          <w:sz w:val="32"/>
          <w:szCs w:val="32"/>
        </w:rPr>
        <w:t>9年督查、元旦春节节前检查督查、食品药品市场检查、特种设备检查、医疗器械抽检等。</w:t>
      </w:r>
    </w:p>
    <w:p>
      <w:pPr>
        <w:spacing w:line="594"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外事接待支出</w:t>
      </w:r>
      <w:r>
        <w:rPr>
          <w:rFonts w:ascii="仿宋_GB2312" w:hAnsi="楷体" w:eastAsia="仿宋_GB2312"/>
          <w:color w:val="000000"/>
          <w:sz w:val="32"/>
          <w:szCs w:val="32"/>
        </w:rPr>
        <w:t>0</w:t>
      </w:r>
      <w:r>
        <w:rPr>
          <w:rFonts w:hint="eastAsia" w:ascii="仿宋_GB2312" w:hAnsi="楷体" w:eastAsia="仿宋_GB2312"/>
          <w:color w:val="000000"/>
          <w:sz w:val="32"/>
          <w:szCs w:val="32"/>
        </w:rPr>
        <w:t>万元。</w:t>
      </w:r>
    </w:p>
    <w:p>
      <w:pPr>
        <w:spacing w:line="594"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其他国内公务接待支出</w:t>
      </w:r>
      <w:r>
        <w:rPr>
          <w:rFonts w:ascii="仿宋_GB2312" w:hAnsi="楷体" w:eastAsia="仿宋_GB2312"/>
          <w:color w:val="000000"/>
          <w:sz w:val="32"/>
          <w:szCs w:val="32"/>
        </w:rPr>
        <w:t>0</w:t>
      </w:r>
      <w:r>
        <w:rPr>
          <w:rFonts w:hint="eastAsia" w:ascii="仿宋_GB2312" w:hAnsi="楷体" w:eastAsia="仿宋_GB2312"/>
          <w:color w:val="000000"/>
          <w:sz w:val="32"/>
          <w:szCs w:val="32"/>
        </w:rPr>
        <w:t>万元。</w:t>
      </w:r>
    </w:p>
    <w:p>
      <w:pPr>
        <w:pStyle w:val="3"/>
        <w:spacing w:before="0" w:after="0" w:line="594" w:lineRule="exact"/>
        <w:ind w:firstLine="629" w:firstLineChars="196"/>
        <w:rPr>
          <w:rFonts w:ascii="黑体" w:hAnsi="黑体" w:eastAsia="黑体" w:cs="黑体"/>
        </w:rPr>
      </w:pPr>
      <w:bookmarkStart w:id="184" w:name="_Toc51662789"/>
      <w:bookmarkStart w:id="185" w:name="_Toc51662601"/>
      <w:bookmarkStart w:id="186" w:name="_Toc7300"/>
      <w:r>
        <w:rPr>
          <w:rFonts w:hint="eastAsia" w:ascii="黑体" w:hAnsi="黑体" w:eastAsia="黑体" w:cs="黑体"/>
          <w:color w:val="000000"/>
        </w:rPr>
        <w:t>八、</w:t>
      </w:r>
      <w:r>
        <w:rPr>
          <w:rFonts w:hint="eastAsia" w:ascii="黑体" w:hAnsi="黑体" w:eastAsia="黑体" w:cs="黑体"/>
        </w:rPr>
        <w:t>政府性基金预算支出决算情况说明</w:t>
      </w:r>
      <w:bookmarkEnd w:id="183"/>
      <w:bookmarkEnd w:id="184"/>
      <w:bookmarkEnd w:id="185"/>
      <w:bookmarkEnd w:id="186"/>
    </w:p>
    <w:p>
      <w:pPr>
        <w:spacing w:line="594" w:lineRule="exact"/>
        <w:ind w:firstLine="645"/>
        <w:rPr>
          <w:rFonts w:ascii="仿宋_GB2312" w:hAnsi="楷体" w:eastAsia="仿宋_GB2312"/>
          <w:color w:val="000000"/>
          <w:sz w:val="32"/>
          <w:szCs w:val="32"/>
        </w:rPr>
      </w:pPr>
      <w:r>
        <w:rPr>
          <w:rFonts w:ascii="仿宋_GB2312" w:hAnsi="楷体" w:eastAsia="仿宋_GB2312"/>
          <w:color w:val="000000"/>
          <w:sz w:val="32"/>
          <w:szCs w:val="32"/>
        </w:rPr>
        <w:t>201</w:t>
      </w:r>
      <w:r>
        <w:rPr>
          <w:rFonts w:hint="eastAsia" w:ascii="仿宋_GB2312" w:hAnsi="楷体" w:eastAsia="仿宋_GB2312"/>
          <w:color w:val="000000"/>
          <w:sz w:val="32"/>
          <w:szCs w:val="32"/>
        </w:rPr>
        <w:t>9年无政府性基金预算拨款支出。</w:t>
      </w:r>
    </w:p>
    <w:p>
      <w:pPr>
        <w:pStyle w:val="3"/>
        <w:spacing w:before="0" w:after="0" w:line="594" w:lineRule="exact"/>
        <w:ind w:firstLine="629" w:firstLineChars="196"/>
        <w:rPr>
          <w:rFonts w:ascii="黑体" w:hAnsi="黑体" w:eastAsia="黑体" w:cs="黑体"/>
          <w:bCs w:val="0"/>
        </w:rPr>
      </w:pPr>
      <w:bookmarkStart w:id="187" w:name="_Toc15377219"/>
      <w:bookmarkStart w:id="188" w:name="_Toc51662790"/>
      <w:bookmarkStart w:id="189" w:name="_Toc51662602"/>
      <w:bookmarkStart w:id="190" w:name="_Toc27011"/>
      <w:r>
        <w:rPr>
          <w:rFonts w:hint="eastAsia" w:ascii="黑体" w:hAnsi="黑体" w:eastAsia="黑体" w:cs="黑体"/>
          <w:bCs w:val="0"/>
        </w:rPr>
        <w:t>九、国有资本经营预算支出决算情况说明</w:t>
      </w:r>
      <w:bookmarkEnd w:id="187"/>
      <w:bookmarkEnd w:id="188"/>
      <w:bookmarkEnd w:id="189"/>
      <w:bookmarkEnd w:id="190"/>
    </w:p>
    <w:p>
      <w:pPr>
        <w:pStyle w:val="34"/>
        <w:spacing w:line="594" w:lineRule="exact"/>
        <w:ind w:left="420" w:leftChars="200" w:firstLine="320" w:firstLineChars="100"/>
        <w:rPr>
          <w:rFonts w:ascii="仿宋_GB2312" w:hAnsi="楷体" w:eastAsia="仿宋_GB2312"/>
          <w:color w:val="000000"/>
          <w:sz w:val="32"/>
          <w:szCs w:val="32"/>
        </w:rPr>
      </w:pPr>
      <w:r>
        <w:rPr>
          <w:rFonts w:ascii="仿宋_GB2312" w:hAnsi="楷体" w:eastAsia="仿宋_GB2312"/>
          <w:color w:val="000000"/>
          <w:sz w:val="32"/>
          <w:szCs w:val="32"/>
        </w:rPr>
        <w:t>201</w:t>
      </w:r>
      <w:r>
        <w:rPr>
          <w:rFonts w:hint="eastAsia" w:ascii="仿宋_GB2312" w:hAnsi="楷体" w:eastAsia="仿宋_GB2312"/>
          <w:color w:val="000000"/>
          <w:sz w:val="32"/>
          <w:szCs w:val="32"/>
        </w:rPr>
        <w:t>9年无国有资本经营预算拨款支出。</w:t>
      </w:r>
    </w:p>
    <w:p>
      <w:pPr>
        <w:pStyle w:val="3"/>
        <w:spacing w:before="0" w:after="0" w:line="594" w:lineRule="exact"/>
        <w:ind w:firstLine="629" w:firstLineChars="196"/>
        <w:rPr>
          <w:rFonts w:ascii="黑体" w:hAnsi="黑体" w:eastAsia="黑体" w:cs="黑体"/>
        </w:rPr>
      </w:pPr>
      <w:bookmarkStart w:id="191" w:name="_Toc51662791"/>
      <w:bookmarkStart w:id="192" w:name="_Toc15377221"/>
      <w:bookmarkStart w:id="193" w:name="_Toc51662603"/>
      <w:bookmarkStart w:id="194" w:name="_Toc15805"/>
      <w:r>
        <w:rPr>
          <w:rFonts w:hint="eastAsia" w:ascii="黑体" w:hAnsi="黑体" w:eastAsia="黑体" w:cs="黑体"/>
          <w:color w:val="000000"/>
        </w:rPr>
        <w:t>十</w:t>
      </w:r>
      <w:r>
        <w:rPr>
          <w:rFonts w:hint="eastAsia" w:ascii="黑体" w:hAnsi="黑体" w:eastAsia="黑体" w:cs="黑体"/>
        </w:rPr>
        <w:t>、其他重要事项的情况说明</w:t>
      </w:r>
      <w:bookmarkEnd w:id="191"/>
      <w:bookmarkEnd w:id="192"/>
      <w:bookmarkEnd w:id="193"/>
      <w:bookmarkEnd w:id="194"/>
    </w:p>
    <w:p>
      <w:pPr>
        <w:spacing w:line="594" w:lineRule="exact"/>
        <w:ind w:firstLine="642" w:firstLineChars="200"/>
        <w:outlineLvl w:val="2"/>
        <w:rPr>
          <w:rFonts w:ascii="楷体_GB2312" w:hAnsi="楷体_GB2312" w:eastAsia="楷体_GB2312" w:cs="楷体_GB2312"/>
          <w:color w:val="000000"/>
          <w:sz w:val="32"/>
          <w:szCs w:val="32"/>
        </w:rPr>
      </w:pPr>
      <w:bookmarkStart w:id="195" w:name="_Toc51662604"/>
      <w:bookmarkStart w:id="196" w:name="_Toc51662792"/>
      <w:bookmarkStart w:id="197" w:name="_Toc15377222"/>
      <w:r>
        <w:rPr>
          <w:rFonts w:hint="eastAsia" w:ascii="楷体_GB2312" w:hAnsi="楷体_GB2312" w:eastAsia="楷体_GB2312" w:cs="楷体_GB2312"/>
          <w:b/>
          <w:color w:val="000000"/>
          <w:sz w:val="32"/>
          <w:szCs w:val="32"/>
        </w:rPr>
        <w:t>（一）机关运行经费支出情况</w:t>
      </w:r>
      <w:bookmarkEnd w:id="195"/>
      <w:bookmarkEnd w:id="196"/>
      <w:bookmarkEnd w:id="197"/>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2019年，市场监督管理机关运行经费支出117.19万元，比2018年增加60.58万元，增长108.57%。主要原因是抽检和知识产权支出纳入预算</w:t>
      </w:r>
    </w:p>
    <w:p>
      <w:pPr>
        <w:autoSpaceDE w:val="0"/>
        <w:autoSpaceDN w:val="0"/>
        <w:adjustRightInd w:val="0"/>
        <w:spacing w:line="594" w:lineRule="exact"/>
        <w:ind w:firstLine="642" w:firstLineChars="200"/>
        <w:jc w:val="left"/>
        <w:outlineLvl w:val="2"/>
        <w:rPr>
          <w:rFonts w:ascii="楷体_GB2312" w:hAnsi="楷体_GB2312" w:eastAsia="楷体_GB2312" w:cs="楷体_GB2312"/>
          <w:b/>
          <w:color w:val="000000"/>
          <w:sz w:val="32"/>
          <w:szCs w:val="32"/>
        </w:rPr>
      </w:pPr>
      <w:bookmarkStart w:id="198" w:name="_Toc51662793"/>
      <w:bookmarkStart w:id="199" w:name="_Toc15377223"/>
      <w:bookmarkStart w:id="200" w:name="_Toc51662605"/>
      <w:r>
        <w:rPr>
          <w:rFonts w:hint="eastAsia" w:ascii="楷体_GB2312" w:hAnsi="楷体_GB2312" w:eastAsia="楷体_GB2312" w:cs="楷体_GB2312"/>
          <w:b/>
          <w:color w:val="000000"/>
          <w:sz w:val="32"/>
          <w:szCs w:val="32"/>
        </w:rPr>
        <w:t>（二）政府采购支出情况</w:t>
      </w:r>
      <w:bookmarkEnd w:id="198"/>
      <w:bookmarkEnd w:id="199"/>
      <w:bookmarkEnd w:id="200"/>
    </w:p>
    <w:p>
      <w:pPr>
        <w:spacing w:line="594"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市场监督管理局政府采购支出总额8.17万元，其中：政府采购货物支出8.17万元、政府采购工程支出0万元、政府采购服务支出0万元。主要用于电脑采同购。授予中小企业合同金额8.17万元，占政府采购支出总额的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 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594" w:lineRule="exact"/>
        <w:ind w:firstLine="642" w:firstLineChars="200"/>
        <w:jc w:val="left"/>
        <w:outlineLvl w:val="2"/>
        <w:rPr>
          <w:rFonts w:ascii="楷体_GB2312" w:hAnsi="楷体_GB2312" w:eastAsia="楷体_GB2312" w:cs="楷体_GB2312"/>
          <w:b/>
          <w:color w:val="000000"/>
          <w:sz w:val="32"/>
          <w:szCs w:val="32"/>
        </w:rPr>
      </w:pPr>
      <w:bookmarkStart w:id="201" w:name="_Toc15377224"/>
      <w:bookmarkStart w:id="202" w:name="_Toc51662794"/>
      <w:bookmarkStart w:id="203" w:name="_Toc51662606"/>
      <w:r>
        <w:rPr>
          <w:rFonts w:hint="eastAsia" w:ascii="楷体_GB2312" w:hAnsi="楷体_GB2312" w:eastAsia="楷体_GB2312" w:cs="楷体_GB2312"/>
          <w:b/>
          <w:color w:val="000000"/>
          <w:sz w:val="32"/>
          <w:szCs w:val="32"/>
        </w:rPr>
        <w:t>（三）国有资产占有使用情况</w:t>
      </w:r>
      <w:bookmarkEnd w:id="201"/>
      <w:bookmarkEnd w:id="202"/>
      <w:bookmarkEnd w:id="203"/>
    </w:p>
    <w:p>
      <w:pPr>
        <w:autoSpaceDE w:val="0"/>
        <w:autoSpaceDN w:val="0"/>
        <w:adjustRightInd w:val="0"/>
        <w:spacing w:line="594"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日，我局共有车辆12辆，其中：主要领导干部用车0辆、机要通信用车0辆、应急保障用车0辆、执法执勤车辆7，其他用车5辆。</w:t>
      </w:r>
      <w:r>
        <w:rPr>
          <w:rFonts w:hint="eastAsia" w:ascii="仿宋_GB2312" w:eastAsia="仿宋_GB2312"/>
          <w:color w:val="000000" w:themeColor="text1"/>
          <w:sz w:val="32"/>
          <w:szCs w:val="32"/>
        </w:rPr>
        <w:t>其他用车主要是用于市场监督检查的电瓶车。单价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万元以上通用设备1台，单价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w:t>
      </w:r>
    </w:p>
    <w:p>
      <w:pPr>
        <w:autoSpaceDE w:val="0"/>
        <w:autoSpaceDN w:val="0"/>
        <w:adjustRightInd w:val="0"/>
        <w:spacing w:line="594" w:lineRule="exact"/>
        <w:ind w:firstLine="642" w:firstLineChars="200"/>
        <w:jc w:val="left"/>
        <w:outlineLvl w:val="2"/>
        <w:rPr>
          <w:rFonts w:ascii="楷体_GB2312" w:hAnsi="楷体_GB2312" w:eastAsia="楷体_GB2312" w:cs="楷体_GB2312"/>
          <w:b/>
          <w:color w:val="000000"/>
          <w:sz w:val="32"/>
          <w:szCs w:val="32"/>
        </w:rPr>
      </w:pPr>
      <w:bookmarkStart w:id="204" w:name="_Toc51662607"/>
      <w:bookmarkStart w:id="205" w:name="_Toc51662795"/>
      <w:r>
        <w:rPr>
          <w:rFonts w:hint="eastAsia" w:ascii="楷体_GB2312" w:hAnsi="楷体_GB2312" w:eastAsia="楷体_GB2312" w:cs="楷体_GB2312"/>
          <w:b/>
          <w:color w:val="000000"/>
          <w:sz w:val="32"/>
          <w:szCs w:val="32"/>
        </w:rPr>
        <w:t>（四）预算绩效管理情况</w:t>
      </w:r>
      <w:bookmarkEnd w:id="204"/>
      <w:bookmarkEnd w:id="205"/>
    </w:p>
    <w:p>
      <w:pPr>
        <w:spacing w:line="594" w:lineRule="exact"/>
        <w:ind w:firstLine="640" w:firstLineChars="200"/>
        <w:outlineLvl w:val="1"/>
        <w:rPr>
          <w:rFonts w:ascii="仿宋_GB2312" w:hAnsi="仿宋_GB2312" w:eastAsia="仿宋_GB2312" w:cs="仿宋_GB2312"/>
          <w:bCs/>
          <w:sz w:val="32"/>
          <w:szCs w:val="32"/>
        </w:rPr>
      </w:pPr>
      <w:bookmarkStart w:id="206" w:name="_Toc51662608"/>
      <w:bookmarkStart w:id="207" w:name="_Toc51662796"/>
      <w:bookmarkStart w:id="208" w:name="_Toc22491"/>
      <w:r>
        <w:rPr>
          <w:rFonts w:hint="eastAsia" w:ascii="仿宋_GB2312" w:hAnsi="仿宋_GB2312" w:eastAsia="仿宋_GB2312" w:cs="仿宋_GB2312"/>
          <w:bCs/>
          <w:sz w:val="32"/>
          <w:szCs w:val="32"/>
        </w:rPr>
        <w:t>预算绩效管理工作开展情况</w:t>
      </w:r>
      <w:bookmarkEnd w:id="206"/>
      <w:bookmarkEnd w:id="207"/>
      <w:bookmarkEnd w:id="208"/>
    </w:p>
    <w:p>
      <w:pPr>
        <w:spacing w:line="594"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根据预算绩效管理要求，市场监管局在年初预算编制阶段，组织对3项目开展了预算事前绩效评估，对3个项目编制了绩效目标，预算执行过程中，选取3个项目开展绩效监控，年终执行完毕后，对3个项目开展了绩效目标完成情况梳理填报。</w:t>
      </w:r>
    </w:p>
    <w:p>
      <w:pPr>
        <w:spacing w:line="594"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我局按要求对</w:t>
      </w:r>
      <w:r>
        <w:rPr>
          <w:rFonts w:ascii="仿宋_GB2312" w:hAnsi="楷体" w:eastAsia="仿宋_GB2312"/>
          <w:color w:val="000000"/>
          <w:sz w:val="32"/>
          <w:szCs w:val="32"/>
        </w:rPr>
        <w:t>201</w:t>
      </w:r>
      <w:r>
        <w:rPr>
          <w:rFonts w:hint="eastAsia" w:ascii="仿宋_GB2312" w:hAnsi="楷体" w:eastAsia="仿宋_GB2312"/>
          <w:color w:val="000000"/>
          <w:sz w:val="32"/>
          <w:szCs w:val="32"/>
        </w:rPr>
        <w:t>9年部门整体支出开展绩效自评，从评价情况来整体运行情况良好，全年的基本支出保证了部门的正常运转和日常工作。本部门还自行组织了3个项目绩效评价，从评价情况来看项经费保障了重点工作开展，绩效目标得到了较好的实现，绩效管理水平不断提高。</w:t>
      </w:r>
    </w:p>
    <w:p>
      <w:pPr>
        <w:spacing w:line="594" w:lineRule="exact"/>
        <w:ind w:firstLine="640" w:firstLineChars="200"/>
        <w:rPr>
          <w:rFonts w:ascii="仿宋_GB2312" w:hAnsi="楷体" w:eastAsia="仿宋_GB2312"/>
          <w:color w:val="000000"/>
          <w:sz w:val="32"/>
          <w:szCs w:val="32"/>
        </w:rPr>
      </w:pPr>
      <w:r>
        <w:rPr>
          <w:rFonts w:hint="eastAsia" w:ascii="仿宋_GB2312" w:hAnsi="仿宋_GB2312" w:eastAsia="仿宋_GB2312" w:cs="仿宋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w:t>
      </w:r>
      <w:r>
        <w:rPr>
          <w:rFonts w:hint="eastAsia" w:ascii="仿宋_GB2312" w:hAnsi="楷体" w:eastAsia="仿宋_GB2312"/>
          <w:color w:val="000000"/>
          <w:sz w:val="32"/>
          <w:szCs w:val="32"/>
        </w:rPr>
        <w:t>本部门在</w:t>
      </w:r>
      <w:r>
        <w:rPr>
          <w:rFonts w:ascii="仿宋_GB2312" w:hAnsi="楷体" w:eastAsia="仿宋_GB2312"/>
          <w:color w:val="000000"/>
          <w:sz w:val="32"/>
          <w:szCs w:val="32"/>
        </w:rPr>
        <w:t>201</w:t>
      </w:r>
      <w:r>
        <w:rPr>
          <w:rFonts w:hint="eastAsia" w:ascii="仿宋_GB2312" w:hAnsi="楷体" w:eastAsia="仿宋_GB2312"/>
          <w:color w:val="000000"/>
          <w:sz w:val="32"/>
          <w:szCs w:val="32"/>
        </w:rPr>
        <w:t>9年度部门决算中反映“</w:t>
      </w:r>
      <w:r>
        <w:rPr>
          <w:rFonts w:ascii="仿宋_GB2312" w:hAnsi="楷体" w:eastAsia="仿宋_GB2312"/>
          <w:color w:val="000000"/>
          <w:sz w:val="32"/>
          <w:szCs w:val="32"/>
        </w:rPr>
        <w:t>201</w:t>
      </w:r>
      <w:r>
        <w:rPr>
          <w:rFonts w:hint="eastAsia" w:ascii="仿宋_GB2312" w:hAnsi="楷体" w:eastAsia="仿宋_GB2312"/>
          <w:color w:val="000000"/>
          <w:sz w:val="32"/>
          <w:szCs w:val="32"/>
        </w:rPr>
        <w:t>9年药品不良应、药品综合监管及药品化妆品抽检项目”、“</w:t>
      </w:r>
      <w:r>
        <w:rPr>
          <w:rFonts w:ascii="仿宋_GB2312" w:hAnsi="楷体" w:eastAsia="仿宋_GB2312"/>
          <w:color w:val="000000"/>
          <w:sz w:val="32"/>
          <w:szCs w:val="32"/>
        </w:rPr>
        <w:t xml:space="preserve"> 201</w:t>
      </w:r>
      <w:r>
        <w:rPr>
          <w:rFonts w:hint="eastAsia" w:ascii="仿宋_GB2312" w:hAnsi="楷体" w:eastAsia="仿宋_GB2312"/>
          <w:color w:val="000000"/>
          <w:sz w:val="32"/>
          <w:szCs w:val="32"/>
        </w:rPr>
        <w:t>9年食品、流通、餐饮安全监管”、“2</w:t>
      </w:r>
      <w:r>
        <w:rPr>
          <w:rFonts w:ascii="仿宋_GB2312" w:hAnsi="楷体" w:eastAsia="仿宋_GB2312"/>
          <w:color w:val="000000"/>
          <w:sz w:val="32"/>
          <w:szCs w:val="32"/>
        </w:rPr>
        <w:t>01</w:t>
      </w:r>
      <w:r>
        <w:rPr>
          <w:rFonts w:hint="eastAsia" w:ascii="仿宋_GB2312" w:hAnsi="楷体" w:eastAsia="仿宋_GB2312"/>
          <w:color w:val="000000"/>
          <w:sz w:val="32"/>
          <w:szCs w:val="32"/>
        </w:rPr>
        <w:t>9年市场秩序维护与监管、质量与安全、民营经营健康发展项及应急处置项目”  等3个项目绩效目标实际完成情况。</w:t>
      </w:r>
    </w:p>
    <w:p>
      <w:pPr>
        <w:spacing w:line="594"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w:t>
      </w:r>
      <w:r>
        <w:rPr>
          <w:rFonts w:ascii="仿宋_GB2312" w:hAnsi="楷体" w:eastAsia="仿宋_GB2312"/>
          <w:color w:val="000000"/>
          <w:sz w:val="32"/>
          <w:szCs w:val="32"/>
        </w:rPr>
        <w:t>1</w:t>
      </w:r>
      <w:r>
        <w:rPr>
          <w:rFonts w:hint="eastAsia" w:ascii="仿宋_GB2312" w:hAnsi="楷体" w:eastAsia="仿宋_GB2312"/>
          <w:color w:val="000000"/>
          <w:sz w:val="32"/>
          <w:szCs w:val="32"/>
        </w:rPr>
        <w:t>）</w:t>
      </w:r>
      <w:r>
        <w:rPr>
          <w:rFonts w:ascii="仿宋_GB2312" w:hAnsi="楷体" w:eastAsia="仿宋_GB2312"/>
          <w:color w:val="000000"/>
          <w:sz w:val="32"/>
          <w:szCs w:val="32"/>
        </w:rPr>
        <w:t>201</w:t>
      </w:r>
      <w:r>
        <w:rPr>
          <w:rFonts w:hint="eastAsia" w:ascii="仿宋_GB2312" w:hAnsi="楷体" w:eastAsia="仿宋_GB2312"/>
          <w:color w:val="000000"/>
          <w:sz w:val="32"/>
          <w:szCs w:val="32"/>
        </w:rPr>
        <w:t>9年药品不良应、药品综合监管及药品化妆品抽检项目绩效目标完成情况综述（含2019年中央19万元，省级0.38万元）。项目全年预算数19.38万元，执行数为4.59万元，完成预算的23.68</w:t>
      </w:r>
      <w:r>
        <w:rPr>
          <w:rFonts w:ascii="仿宋_GB2312" w:hAnsi="楷体" w:eastAsia="仿宋_GB2312"/>
          <w:color w:val="000000"/>
          <w:sz w:val="32"/>
          <w:szCs w:val="32"/>
        </w:rPr>
        <w:t>%</w:t>
      </w:r>
      <w:r>
        <w:rPr>
          <w:rFonts w:hint="eastAsia" w:ascii="仿宋_GB2312" w:hAnsi="楷体" w:eastAsia="仿宋_GB2312"/>
          <w:color w:val="000000"/>
          <w:sz w:val="32"/>
          <w:szCs w:val="32"/>
        </w:rPr>
        <w:t>。通过项目实施，进一步规范了经营使用秩序，进一步加大药品安全知识普及力度，提升监管水平。发现的主要问题：资金支付进度慢。下一步改进措施：</w:t>
      </w:r>
      <w:r>
        <w:rPr>
          <w:rFonts w:ascii="仿宋_GB2312" w:hAnsi="楷体" w:eastAsia="仿宋_GB2312"/>
          <w:color w:val="000000"/>
          <w:sz w:val="32"/>
          <w:szCs w:val="32"/>
        </w:rPr>
        <w:t>20</w:t>
      </w:r>
      <w:r>
        <w:rPr>
          <w:rFonts w:hint="eastAsia" w:ascii="仿宋_GB2312" w:hAnsi="楷体" w:eastAsia="仿宋_GB2312"/>
          <w:color w:val="000000"/>
          <w:sz w:val="32"/>
          <w:szCs w:val="32"/>
        </w:rPr>
        <w:t>20年加快资金使用进度</w:t>
      </w:r>
    </w:p>
    <w:p>
      <w:pPr>
        <w:spacing w:line="594"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（2</w:t>
      </w:r>
      <w:r>
        <w:rPr>
          <w:rFonts w:ascii="仿宋_GB2312" w:hAnsi="楷体" w:eastAsia="仿宋_GB2312"/>
          <w:color w:val="000000"/>
          <w:sz w:val="32"/>
          <w:szCs w:val="32"/>
        </w:rPr>
        <w:t>）201</w:t>
      </w:r>
      <w:r>
        <w:rPr>
          <w:rFonts w:hint="eastAsia" w:ascii="仿宋_GB2312" w:hAnsi="楷体" w:eastAsia="仿宋_GB2312"/>
          <w:color w:val="000000"/>
          <w:sz w:val="32"/>
          <w:szCs w:val="32"/>
        </w:rPr>
        <w:t>9年食品、流通、餐饮安全监管及抽检项目绩效目标完成情况综述（含中央12.37万元，省级6.6万元）。项目全年预算数18.97万元，执行数为8.45万元，完成预算的44.54</w:t>
      </w:r>
      <w:r>
        <w:rPr>
          <w:rFonts w:ascii="仿宋_GB2312" w:hAnsi="楷体" w:eastAsia="仿宋_GB2312"/>
          <w:color w:val="000000"/>
          <w:sz w:val="32"/>
          <w:szCs w:val="32"/>
        </w:rPr>
        <w:t>%</w:t>
      </w:r>
      <w:r>
        <w:rPr>
          <w:rFonts w:hint="eastAsia" w:ascii="仿宋_GB2312" w:hAnsi="楷体" w:eastAsia="仿宋_GB2312"/>
          <w:color w:val="000000"/>
          <w:sz w:val="32"/>
          <w:szCs w:val="32"/>
        </w:rPr>
        <w:t>。通过项目实施，提升食品监管、抽样水平及宣传力度，推动了全县食品安全、重大活动安全工作开展，保证我县食品监管的水平和食品安全。发现的主要问题：资金支付进度慢。下一步改进措施：</w:t>
      </w:r>
      <w:r>
        <w:rPr>
          <w:rFonts w:ascii="仿宋_GB2312" w:hAnsi="楷体" w:eastAsia="仿宋_GB2312"/>
          <w:color w:val="000000"/>
          <w:sz w:val="32"/>
          <w:szCs w:val="32"/>
        </w:rPr>
        <w:t>2019</w:t>
      </w:r>
      <w:r>
        <w:rPr>
          <w:rFonts w:hint="eastAsia" w:ascii="仿宋_GB2312" w:hAnsi="楷体" w:eastAsia="仿宋_GB2312"/>
          <w:color w:val="000000"/>
          <w:sz w:val="32"/>
          <w:szCs w:val="32"/>
        </w:rPr>
        <w:t>年加快资金使用进度</w:t>
      </w:r>
    </w:p>
    <w:p>
      <w:pPr>
        <w:spacing w:line="594"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（3）</w:t>
      </w:r>
      <w:r>
        <w:rPr>
          <w:rFonts w:ascii="仿宋_GB2312" w:hAnsi="楷体" w:eastAsia="仿宋_GB2312"/>
          <w:color w:val="000000"/>
          <w:sz w:val="32"/>
          <w:szCs w:val="32"/>
        </w:rPr>
        <w:t>201</w:t>
      </w:r>
      <w:r>
        <w:rPr>
          <w:rFonts w:hint="eastAsia" w:ascii="仿宋_GB2312" w:hAnsi="楷体" w:eastAsia="仿宋_GB2312"/>
          <w:color w:val="000000"/>
          <w:sz w:val="32"/>
          <w:szCs w:val="32"/>
        </w:rPr>
        <w:t>9年市场秩序维护与监管、质量与安全及民营经营健康发展项目绩效目标完成情况综述。项目全年预算数69万元，执行数为15.55万元，完成预算的20.46</w:t>
      </w:r>
      <w:r>
        <w:rPr>
          <w:rFonts w:ascii="仿宋_GB2312" w:hAnsi="楷体" w:eastAsia="仿宋_GB2312"/>
          <w:color w:val="000000"/>
          <w:sz w:val="32"/>
          <w:szCs w:val="32"/>
        </w:rPr>
        <w:t>%</w:t>
      </w:r>
      <w:r>
        <w:rPr>
          <w:rFonts w:hint="eastAsia" w:ascii="仿宋_GB2312" w:hAnsi="楷体" w:eastAsia="仿宋_GB2312"/>
          <w:color w:val="000000"/>
          <w:sz w:val="32"/>
          <w:szCs w:val="32"/>
        </w:rPr>
        <w:t>。通过项目实施，1、加强了民营企业合法权益保护，促进民营经济健康发展；2、提升了质量安全保障能力、推动市场主体及商事制度改革等工作，有效防范系统性风险及推进供给侧结构性改革；3、打击了不正当竞争行为，强化了价格监管和收费行为治理，创造放心舒心消费环境；4、提高了在抗击自然灾害中我局维护市场稳定及监管能力的水平。发现的主要问题：资金支付进度慢。下一步改进措施：</w:t>
      </w:r>
      <w:r>
        <w:rPr>
          <w:rFonts w:ascii="仿宋_GB2312" w:hAnsi="楷体" w:eastAsia="仿宋_GB2312"/>
          <w:color w:val="000000"/>
          <w:sz w:val="32"/>
          <w:szCs w:val="32"/>
        </w:rPr>
        <w:t>20</w:t>
      </w:r>
      <w:r>
        <w:rPr>
          <w:rFonts w:hint="eastAsia" w:ascii="仿宋_GB2312" w:hAnsi="楷体" w:eastAsia="仿宋_GB2312"/>
          <w:color w:val="000000"/>
          <w:sz w:val="32"/>
          <w:szCs w:val="32"/>
        </w:rPr>
        <w:t>20年加快资金使用进度</w:t>
      </w:r>
    </w:p>
    <w:p>
      <w:pPr>
        <w:spacing w:line="594" w:lineRule="exact"/>
        <w:ind w:firstLine="640" w:firstLineChars="200"/>
        <w:rPr>
          <w:rFonts w:ascii="仿宋_GB2312" w:hAnsi="楷体" w:eastAsia="仿宋_GB2312"/>
          <w:color w:val="000000"/>
          <w:sz w:val="32"/>
          <w:szCs w:val="32"/>
        </w:rPr>
      </w:pPr>
    </w:p>
    <w:tbl>
      <w:tblPr>
        <w:tblStyle w:val="18"/>
        <w:tblpPr w:leftFromText="180" w:rightFromText="180" w:vertAnchor="text" w:horzAnchor="page" w:tblpXSpec="center" w:tblpY="423"/>
        <w:tblOverlap w:val="never"/>
        <w:tblW w:w="9796" w:type="dxa"/>
        <w:jc w:val="center"/>
        <w:tblLayout w:type="fixed"/>
        <w:tblCellMar>
          <w:top w:w="0" w:type="dxa"/>
          <w:left w:w="0" w:type="dxa"/>
          <w:bottom w:w="0" w:type="dxa"/>
          <w:right w:w="0" w:type="dxa"/>
        </w:tblCellMar>
      </w:tblPr>
      <w:tblGrid>
        <w:gridCol w:w="390"/>
        <w:gridCol w:w="192"/>
        <w:gridCol w:w="567"/>
        <w:gridCol w:w="709"/>
        <w:gridCol w:w="924"/>
        <w:gridCol w:w="1486"/>
        <w:gridCol w:w="283"/>
        <w:gridCol w:w="1985"/>
        <w:gridCol w:w="1032"/>
        <w:gridCol w:w="2228"/>
      </w:tblGrid>
      <w:tr>
        <w:tblPrEx>
          <w:tblCellMar>
            <w:top w:w="0" w:type="dxa"/>
            <w:left w:w="0" w:type="dxa"/>
            <w:bottom w:w="0" w:type="dxa"/>
            <w:right w:w="0" w:type="dxa"/>
          </w:tblCellMar>
        </w:tblPrEx>
        <w:trPr>
          <w:trHeight w:val="1034" w:hRule="atLeast"/>
          <w:jc w:val="center"/>
        </w:trPr>
        <w:tc>
          <w:tcPr>
            <w:tcW w:w="9796" w:type="dxa"/>
            <w:gridSpan w:val="10"/>
            <w:tcBorders>
              <w:top w:val="nil"/>
              <w:left w:val="nil"/>
              <w:bottom w:val="nil"/>
              <w:right w:val="nil"/>
            </w:tcBorders>
            <w:tcMar>
              <w:top w:w="15" w:type="dxa"/>
              <w:left w:w="15" w:type="dxa"/>
              <w:right w:w="15" w:type="dxa"/>
            </w:tcMar>
            <w:vAlign w:val="center"/>
          </w:tcPr>
          <w:p>
            <w:pPr>
              <w:widowControl/>
              <w:spacing w:line="594" w:lineRule="exact"/>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项目名称</w:t>
            </w:r>
          </w:p>
        </w:tc>
        <w:tc>
          <w:tcPr>
            <w:tcW w:w="7014"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color w:val="444444"/>
                <w:sz w:val="16"/>
                <w:szCs w:val="16"/>
              </w:rPr>
              <w:t>201</w:t>
            </w:r>
            <w:r>
              <w:rPr>
                <w:rFonts w:hint="eastAsia"/>
                <w:color w:val="444444"/>
                <w:sz w:val="16"/>
                <w:szCs w:val="16"/>
              </w:rPr>
              <w:t>9年药品不良应、药品综合监管及药品化妆品抽检项目</w:t>
            </w:r>
          </w:p>
        </w:tc>
      </w:tr>
      <w:tr>
        <w:tblPrEx>
          <w:tblCellMar>
            <w:top w:w="0" w:type="dxa"/>
            <w:left w:w="0" w:type="dxa"/>
            <w:bottom w:w="0" w:type="dxa"/>
            <w:right w:w="0" w:type="dxa"/>
          </w:tblCellMar>
        </w:tblPrEx>
        <w:trPr>
          <w:trHeight w:val="276" w:hRule="atLeast"/>
          <w:jc w:val="center"/>
        </w:trPr>
        <w:tc>
          <w:tcPr>
            <w:tcW w:w="278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预算单位</w:t>
            </w:r>
          </w:p>
        </w:tc>
        <w:tc>
          <w:tcPr>
            <w:tcW w:w="7014"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茂县市场监督管理局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预算执行情况(万元)</w:t>
            </w: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预算数:</w:t>
            </w:r>
          </w:p>
        </w:tc>
        <w:tc>
          <w:tcPr>
            <w:tcW w:w="176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19.38</w:t>
            </w:r>
          </w:p>
        </w:tc>
        <w:tc>
          <w:tcPr>
            <w:tcW w:w="30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执行数:</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4.59</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其中-财政拨款:</w:t>
            </w:r>
          </w:p>
        </w:tc>
        <w:tc>
          <w:tcPr>
            <w:tcW w:w="176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19.38</w:t>
            </w:r>
          </w:p>
        </w:tc>
        <w:tc>
          <w:tcPr>
            <w:tcW w:w="30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其中-财政拨款:</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4.59</w:t>
            </w:r>
          </w:p>
        </w:tc>
      </w:tr>
      <w:tr>
        <w:tblPrEx>
          <w:tblCellMar>
            <w:top w:w="0" w:type="dxa"/>
            <w:left w:w="0" w:type="dxa"/>
            <w:bottom w:w="0" w:type="dxa"/>
            <w:right w:w="0" w:type="dxa"/>
          </w:tblCellMar>
        </w:tblPrEx>
        <w:trPr>
          <w:trHeight w:val="83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其它资金:</w:t>
            </w:r>
          </w:p>
        </w:tc>
        <w:tc>
          <w:tcPr>
            <w:tcW w:w="176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30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其它资金:</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年度目标完成情况</w:t>
            </w:r>
          </w:p>
        </w:tc>
        <w:tc>
          <w:tcPr>
            <w:tcW w:w="4161"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预期目标</w:t>
            </w:r>
          </w:p>
        </w:tc>
        <w:tc>
          <w:tcPr>
            <w:tcW w:w="524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实际完成目标</w:t>
            </w:r>
          </w:p>
        </w:tc>
      </w:tr>
      <w:tr>
        <w:tblPrEx>
          <w:tblCellMar>
            <w:top w:w="0" w:type="dxa"/>
            <w:left w:w="0" w:type="dxa"/>
            <w:bottom w:w="0" w:type="dxa"/>
            <w:right w:w="0" w:type="dxa"/>
          </w:tblCellMar>
        </w:tblPrEx>
        <w:trPr>
          <w:trHeight w:val="98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4161"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进一步规范经营使用秩序，进一步加大药品安全知识普及力度，提升监管水平</w:t>
            </w:r>
          </w:p>
        </w:tc>
        <w:tc>
          <w:tcPr>
            <w:tcW w:w="524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进一步规范了经营使用秩序，进一步加大药品安全知识普及力度，提升监管水平</w:t>
            </w:r>
          </w:p>
        </w:tc>
      </w:tr>
      <w:tr>
        <w:tblPrEx>
          <w:tblCellMar>
            <w:top w:w="0" w:type="dxa"/>
            <w:left w:w="0" w:type="dxa"/>
            <w:bottom w:w="0" w:type="dxa"/>
            <w:right w:w="0" w:type="dxa"/>
          </w:tblCellMar>
        </w:tblPrEx>
        <w:trPr>
          <w:trHeight w:val="709"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绩效指标完成情况</w:t>
            </w:r>
          </w:p>
        </w:tc>
        <w:tc>
          <w:tcPr>
            <w:tcW w:w="7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一级指标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二级指标</w:t>
            </w:r>
          </w:p>
        </w:tc>
        <w:tc>
          <w:tcPr>
            <w:tcW w:w="269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三级指标</w:t>
            </w:r>
          </w:p>
        </w:tc>
        <w:tc>
          <w:tcPr>
            <w:tcW w:w="30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预期指标值(包含数字及文字描述)</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7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数量指标</w:t>
            </w:r>
          </w:p>
        </w:tc>
        <w:tc>
          <w:tcPr>
            <w:tcW w:w="269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 xml:space="preserve">1.完成新版GSP认证。 2.风险信息收集。3.药品不良反应。4.抽检药品。5.医疗器械抽检、化妆品抽检。6.药品、医疗器械类案。  </w:t>
            </w:r>
          </w:p>
          <w:p>
            <w:pPr>
              <w:widowControl/>
              <w:jc w:val="center"/>
              <w:textAlignment w:val="center"/>
              <w:rPr>
                <w:color w:val="444444"/>
                <w:sz w:val="16"/>
                <w:szCs w:val="16"/>
              </w:rPr>
            </w:pPr>
          </w:p>
        </w:tc>
        <w:tc>
          <w:tcPr>
            <w:tcW w:w="30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 xml:space="preserve">1.完成新版GSP认证10家以上。 2.风险信息收集150家以上。3.药品不良反应30例以上。4.抽检药品30批次以上。5.医疗器械抽检1批次以上、化妆品抽检8批次以一。6.药品、医疗器械类案件1件以上。  </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1.完成新版GSP认证13家。 2.风险信息收集221家。3.药品不良反应48例。4.抽检药品50批次。5.医疗器械抽检3批次、化妆品抽检11批次。6.药品、医疗器械类案件2件。</w:t>
            </w:r>
          </w:p>
        </w:tc>
      </w:tr>
      <w:tr>
        <w:tblPrEx>
          <w:tblCellMar>
            <w:top w:w="0" w:type="dxa"/>
            <w:left w:w="0" w:type="dxa"/>
            <w:bottom w:w="0" w:type="dxa"/>
            <w:right w:w="0" w:type="dxa"/>
          </w:tblCellMar>
        </w:tblPrEx>
        <w:trPr>
          <w:trHeight w:val="1154"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7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质量指标</w:t>
            </w:r>
          </w:p>
        </w:tc>
        <w:tc>
          <w:tcPr>
            <w:tcW w:w="269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1.企业通过认证。2.风险信息健全。3.药品不良反应报告完成。4.完成抽检工作和案件查处。</w:t>
            </w:r>
          </w:p>
        </w:tc>
        <w:tc>
          <w:tcPr>
            <w:tcW w:w="30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1.13家企业通过认证。2.风险信息健全。3.药品不良反应报告完成。4.完成抽检工作和案件查处。</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1.13家企业通知认证。2.健全风险信息。3.完成了不良反应报告。4完成了抽检查工作及2个案件办理。</w:t>
            </w:r>
          </w:p>
        </w:tc>
      </w:tr>
      <w:tr>
        <w:tblPrEx>
          <w:tblCellMar>
            <w:top w:w="0" w:type="dxa"/>
            <w:left w:w="0" w:type="dxa"/>
            <w:bottom w:w="0" w:type="dxa"/>
            <w:right w:w="0" w:type="dxa"/>
          </w:tblCellMar>
        </w:tblPrEx>
        <w:trPr>
          <w:trHeight w:val="405"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7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时效指标</w:t>
            </w:r>
          </w:p>
        </w:tc>
        <w:tc>
          <w:tcPr>
            <w:tcW w:w="269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2019年</w:t>
            </w:r>
          </w:p>
        </w:tc>
        <w:tc>
          <w:tcPr>
            <w:tcW w:w="30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2019年</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2019年全面完成</w:t>
            </w:r>
          </w:p>
        </w:tc>
      </w:tr>
      <w:tr>
        <w:tblPrEx>
          <w:tblCellMar>
            <w:top w:w="0" w:type="dxa"/>
            <w:left w:w="0" w:type="dxa"/>
            <w:bottom w:w="0" w:type="dxa"/>
            <w:right w:w="0" w:type="dxa"/>
          </w:tblCellMar>
        </w:tblPrEx>
        <w:trPr>
          <w:trHeight w:val="1158"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7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成本指标</w:t>
            </w:r>
          </w:p>
        </w:tc>
        <w:tc>
          <w:tcPr>
            <w:tcW w:w="269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执法监管成本不高于100每人每天，食品抽检成本不高于1500元每样，单项宣传成本每年不高于10万</w:t>
            </w:r>
          </w:p>
        </w:tc>
        <w:tc>
          <w:tcPr>
            <w:tcW w:w="30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监管成本&lt;100元/天，抽检成不&lt;1500元/样，宣传成本&lt;10万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执法监管成本小于100每人每天，食品抽检成本小于1500元每样，单项宣传成本每年底于10万</w:t>
            </w:r>
          </w:p>
        </w:tc>
      </w:tr>
      <w:tr>
        <w:tblPrEx>
          <w:tblCellMar>
            <w:top w:w="0" w:type="dxa"/>
            <w:left w:w="0" w:type="dxa"/>
            <w:bottom w:w="0" w:type="dxa"/>
            <w:right w:w="0" w:type="dxa"/>
          </w:tblCellMar>
        </w:tblPrEx>
        <w:trPr>
          <w:trHeight w:val="55"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7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效益指标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经济效益指标</w:t>
            </w:r>
          </w:p>
        </w:tc>
        <w:tc>
          <w:tcPr>
            <w:tcW w:w="269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促进市场健康有序发展</w:t>
            </w:r>
          </w:p>
        </w:tc>
        <w:tc>
          <w:tcPr>
            <w:tcW w:w="30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促进市场健康有序发展</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促进市场健康有序发展</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7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效益指标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可持续影响指标</w:t>
            </w:r>
          </w:p>
        </w:tc>
        <w:tc>
          <w:tcPr>
            <w:tcW w:w="269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通过项目的实施，促进药品、化妆品监管工作可持续发展。</w:t>
            </w:r>
          </w:p>
        </w:tc>
        <w:tc>
          <w:tcPr>
            <w:tcW w:w="30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促进药品、化妆品监管工作可持续发展</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促进了药品、化妆品监管工作可持续发展</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7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满意度指标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服务对象</w:t>
            </w:r>
          </w:p>
          <w:p>
            <w:pPr>
              <w:widowControl/>
              <w:jc w:val="center"/>
              <w:textAlignment w:val="center"/>
              <w:rPr>
                <w:color w:val="444444"/>
                <w:sz w:val="16"/>
                <w:szCs w:val="16"/>
              </w:rPr>
            </w:pPr>
            <w:r>
              <w:rPr>
                <w:rFonts w:hint="eastAsia"/>
                <w:color w:val="444444"/>
                <w:sz w:val="16"/>
                <w:szCs w:val="16"/>
              </w:rPr>
              <w:t>满意度指标</w:t>
            </w:r>
          </w:p>
        </w:tc>
        <w:tc>
          <w:tcPr>
            <w:tcW w:w="269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消费者满意度测评不低于90%</w:t>
            </w:r>
          </w:p>
        </w:tc>
        <w:tc>
          <w:tcPr>
            <w:tcW w:w="30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达到90%以上</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达到90%以上</w:t>
            </w:r>
          </w:p>
        </w:tc>
      </w:tr>
      <w:tr>
        <w:tblPrEx>
          <w:tblCellMar>
            <w:top w:w="0" w:type="dxa"/>
            <w:left w:w="0" w:type="dxa"/>
            <w:bottom w:w="0" w:type="dxa"/>
            <w:right w:w="0" w:type="dxa"/>
          </w:tblCellMar>
        </w:tblPrEx>
        <w:trPr>
          <w:trHeight w:val="1034" w:hRule="atLeast"/>
          <w:jc w:val="center"/>
        </w:trPr>
        <w:tc>
          <w:tcPr>
            <w:tcW w:w="9796" w:type="dxa"/>
            <w:gridSpan w:val="10"/>
            <w:tcBorders>
              <w:top w:val="nil"/>
              <w:left w:val="nil"/>
              <w:bottom w:val="nil"/>
              <w:right w:val="nil"/>
            </w:tcBorders>
            <w:tcMar>
              <w:top w:w="15" w:type="dxa"/>
              <w:left w:w="15" w:type="dxa"/>
              <w:right w:w="15" w:type="dxa"/>
            </w:tcMar>
            <w:vAlign w:val="center"/>
          </w:tcPr>
          <w:p>
            <w:pPr>
              <w:widowControl/>
              <w:spacing w:line="594" w:lineRule="exact"/>
              <w:jc w:val="center"/>
              <w:textAlignment w:val="center"/>
              <w:rPr>
                <w:rFonts w:hint="eastAsia"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spacing w:line="594" w:lineRule="exact"/>
              <w:jc w:val="center"/>
              <w:textAlignment w:val="center"/>
              <w:rPr>
                <w:rFonts w:ascii="宋体" w:hAnsi="宋体" w:cs="宋体"/>
                <w:color w:val="000000"/>
                <w:sz w:val="36"/>
                <w:szCs w:val="36"/>
              </w:rPr>
            </w:pP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项目名称</w:t>
            </w:r>
          </w:p>
        </w:tc>
        <w:tc>
          <w:tcPr>
            <w:tcW w:w="7014"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color w:val="444444"/>
                <w:sz w:val="16"/>
                <w:szCs w:val="16"/>
              </w:rPr>
              <w:t>201</w:t>
            </w:r>
            <w:r>
              <w:rPr>
                <w:rFonts w:hint="eastAsia"/>
                <w:color w:val="444444"/>
                <w:sz w:val="16"/>
                <w:szCs w:val="16"/>
              </w:rPr>
              <w:t>9年食品、流通、餐饮安全监管</w:t>
            </w:r>
          </w:p>
        </w:tc>
      </w:tr>
      <w:tr>
        <w:tblPrEx>
          <w:tblCellMar>
            <w:top w:w="0" w:type="dxa"/>
            <w:left w:w="0" w:type="dxa"/>
            <w:bottom w:w="0" w:type="dxa"/>
            <w:right w:w="0" w:type="dxa"/>
          </w:tblCellMar>
        </w:tblPrEx>
        <w:trPr>
          <w:trHeight w:val="276" w:hRule="atLeast"/>
          <w:jc w:val="center"/>
        </w:trPr>
        <w:tc>
          <w:tcPr>
            <w:tcW w:w="278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预算单位</w:t>
            </w:r>
          </w:p>
        </w:tc>
        <w:tc>
          <w:tcPr>
            <w:tcW w:w="7014"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茂县市场监督管理局</w:t>
            </w:r>
          </w:p>
        </w:tc>
      </w:tr>
      <w:tr>
        <w:tblPrEx>
          <w:tblCellMar>
            <w:top w:w="0" w:type="dxa"/>
            <w:left w:w="0" w:type="dxa"/>
            <w:bottom w:w="0" w:type="dxa"/>
            <w:right w:w="0" w:type="dxa"/>
          </w:tblCellMar>
        </w:tblPrEx>
        <w:trPr>
          <w:trHeight w:val="276" w:hRule="atLeast"/>
          <w:jc w:val="center"/>
        </w:trPr>
        <w:tc>
          <w:tcPr>
            <w:tcW w:w="582"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预算执行情况(万元)</w:t>
            </w: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预算数:</w:t>
            </w:r>
          </w:p>
        </w:tc>
        <w:tc>
          <w:tcPr>
            <w:tcW w:w="14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18.97</w:t>
            </w:r>
          </w:p>
        </w:tc>
        <w:tc>
          <w:tcPr>
            <w:tcW w:w="33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执行数:</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8.45</w:t>
            </w:r>
          </w:p>
        </w:tc>
      </w:tr>
      <w:tr>
        <w:tblPrEx>
          <w:tblCellMar>
            <w:top w:w="0" w:type="dxa"/>
            <w:left w:w="0" w:type="dxa"/>
            <w:bottom w:w="0" w:type="dxa"/>
            <w:right w:w="0" w:type="dxa"/>
          </w:tblCellMar>
        </w:tblPrEx>
        <w:trPr>
          <w:trHeight w:val="276" w:hRule="atLeast"/>
          <w:jc w:val="center"/>
        </w:trPr>
        <w:tc>
          <w:tcPr>
            <w:tcW w:w="582"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其中-财政拨款:</w:t>
            </w:r>
          </w:p>
        </w:tc>
        <w:tc>
          <w:tcPr>
            <w:tcW w:w="14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18.97</w:t>
            </w:r>
          </w:p>
        </w:tc>
        <w:tc>
          <w:tcPr>
            <w:tcW w:w="33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其中-财政拨款:</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8.45</w:t>
            </w:r>
          </w:p>
        </w:tc>
      </w:tr>
      <w:tr>
        <w:tblPrEx>
          <w:tblCellMar>
            <w:top w:w="0" w:type="dxa"/>
            <w:left w:w="0" w:type="dxa"/>
            <w:bottom w:w="0" w:type="dxa"/>
            <w:right w:w="0" w:type="dxa"/>
          </w:tblCellMar>
        </w:tblPrEx>
        <w:trPr>
          <w:trHeight w:val="691" w:hRule="atLeast"/>
          <w:jc w:val="center"/>
        </w:trPr>
        <w:tc>
          <w:tcPr>
            <w:tcW w:w="582"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其它资金:</w:t>
            </w:r>
          </w:p>
        </w:tc>
        <w:tc>
          <w:tcPr>
            <w:tcW w:w="14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33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其它资金:</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r>
      <w:tr>
        <w:tblPrEx>
          <w:tblCellMar>
            <w:top w:w="0" w:type="dxa"/>
            <w:left w:w="0" w:type="dxa"/>
            <w:bottom w:w="0" w:type="dxa"/>
            <w:right w:w="0" w:type="dxa"/>
          </w:tblCellMar>
        </w:tblPrEx>
        <w:trPr>
          <w:trHeight w:val="276" w:hRule="atLeast"/>
          <w:jc w:val="center"/>
        </w:trPr>
        <w:tc>
          <w:tcPr>
            <w:tcW w:w="582"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年度目标完成情况</w:t>
            </w:r>
          </w:p>
        </w:tc>
        <w:tc>
          <w:tcPr>
            <w:tcW w:w="3686"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预期目标</w:t>
            </w:r>
          </w:p>
        </w:tc>
        <w:tc>
          <w:tcPr>
            <w:tcW w:w="5528"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实际完成目标</w:t>
            </w:r>
          </w:p>
        </w:tc>
      </w:tr>
      <w:tr>
        <w:tblPrEx>
          <w:tblCellMar>
            <w:top w:w="0" w:type="dxa"/>
            <w:left w:w="0" w:type="dxa"/>
            <w:bottom w:w="0" w:type="dxa"/>
            <w:right w:w="0" w:type="dxa"/>
          </w:tblCellMar>
        </w:tblPrEx>
        <w:trPr>
          <w:trHeight w:val="1159" w:hRule="atLeast"/>
          <w:jc w:val="center"/>
        </w:trPr>
        <w:tc>
          <w:tcPr>
            <w:tcW w:w="582"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3686"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提升食品监管及宣传力度，推动全县食品安全、重大活动安全工作开展，保证我县食品监管的水平和食品安全</w:t>
            </w:r>
          </w:p>
        </w:tc>
        <w:tc>
          <w:tcPr>
            <w:tcW w:w="5528"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提升了食品监管及宣传力度，推动了全县食品安全、重大活动安全工作开展，保证了我县食品监管的水平和食品安全</w:t>
            </w:r>
          </w:p>
        </w:tc>
      </w:tr>
      <w:tr>
        <w:tblPrEx>
          <w:tblCellMar>
            <w:top w:w="0" w:type="dxa"/>
            <w:left w:w="0" w:type="dxa"/>
            <w:bottom w:w="0" w:type="dxa"/>
            <w:right w:w="0" w:type="dxa"/>
          </w:tblCellMar>
        </w:tblPrEx>
        <w:trPr>
          <w:trHeight w:val="1042" w:hRule="atLeast"/>
          <w:jc w:val="center"/>
        </w:trPr>
        <w:tc>
          <w:tcPr>
            <w:tcW w:w="582" w:type="dxa"/>
            <w:gridSpan w:val="2"/>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绩效指标完成情况</w:t>
            </w: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一级指标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二级指标</w:t>
            </w:r>
          </w:p>
        </w:tc>
        <w:tc>
          <w:tcPr>
            <w:tcW w:w="24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三级指标</w:t>
            </w:r>
          </w:p>
        </w:tc>
        <w:tc>
          <w:tcPr>
            <w:tcW w:w="226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预期指标值(包含数字及文字描述)</w:t>
            </w:r>
          </w:p>
        </w:tc>
        <w:tc>
          <w:tcPr>
            <w:tcW w:w="3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实际完成指标值(包含数字及文字描述)</w:t>
            </w:r>
          </w:p>
        </w:tc>
      </w:tr>
      <w:tr>
        <w:tblPrEx>
          <w:tblCellMar>
            <w:top w:w="0" w:type="dxa"/>
            <w:left w:w="0" w:type="dxa"/>
            <w:bottom w:w="0" w:type="dxa"/>
            <w:right w:w="0" w:type="dxa"/>
          </w:tblCellMar>
        </w:tblPrEx>
        <w:trPr>
          <w:trHeight w:val="953" w:hRule="atLeast"/>
          <w:jc w:val="center"/>
        </w:trPr>
        <w:tc>
          <w:tcPr>
            <w:tcW w:w="582" w:type="dxa"/>
            <w:gridSpan w:val="2"/>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数量指标</w:t>
            </w:r>
          </w:p>
        </w:tc>
        <w:tc>
          <w:tcPr>
            <w:tcW w:w="24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1.完成新办食品药品经营许可及换证。2.与食品经营户签订食品安全责任书。3.开展校园及周边“五毛食品”专项整治。4.开展相关宣传活动。</w:t>
            </w:r>
          </w:p>
        </w:tc>
        <w:tc>
          <w:tcPr>
            <w:tcW w:w="226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1.食品生产和流通监管:新办食品经营许可大于50户，换证大于50户；2.与食品经营户签订了2019年食品安全责任书500份；3.积极开展了校园及周边“五毛食品”专项整治工作，制作“五毛食品”宣传海报。</w:t>
            </w:r>
          </w:p>
        </w:tc>
        <w:tc>
          <w:tcPr>
            <w:tcW w:w="3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1.食品生产和流通监管:新办食品经营许可61户，换证68；2.与食品经营户签订了2019年食品安全责任书共568份；3.积极开展了校园及周边“五毛食品”专项整治工作，制作“五毛食品”宣传海报100份，分别在16个乡镇，15个学校张贴了“五毛食品”海报。</w:t>
            </w:r>
          </w:p>
        </w:tc>
      </w:tr>
      <w:tr>
        <w:tblPrEx>
          <w:tblCellMar>
            <w:top w:w="0" w:type="dxa"/>
            <w:left w:w="0" w:type="dxa"/>
            <w:bottom w:w="0" w:type="dxa"/>
            <w:right w:w="0" w:type="dxa"/>
          </w:tblCellMar>
        </w:tblPrEx>
        <w:trPr>
          <w:trHeight w:val="1154" w:hRule="atLeast"/>
          <w:jc w:val="center"/>
        </w:trPr>
        <w:tc>
          <w:tcPr>
            <w:tcW w:w="582" w:type="dxa"/>
            <w:gridSpan w:val="2"/>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质量指标</w:t>
            </w:r>
          </w:p>
        </w:tc>
        <w:tc>
          <w:tcPr>
            <w:tcW w:w="24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1.做好新办及食品经营许可证换证工作。2.签订食品安全责任书。3.开展学校食堂及节假日专项检查。</w:t>
            </w:r>
          </w:p>
        </w:tc>
        <w:tc>
          <w:tcPr>
            <w:tcW w:w="226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1.做好新办及食品经营许可证换证工作。2.签订食品安全责任书。3.开展学校食堂及节假日专项检查。</w:t>
            </w:r>
          </w:p>
        </w:tc>
        <w:tc>
          <w:tcPr>
            <w:tcW w:w="3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1.做好了新办及食品经营许可证换证工作。2签订了食品安全责任书。3.开展学校食堂及节假日专项检查、开展了至少1次宣传活动、完成省州下达抽检查任务及自行抽检工作。</w:t>
            </w:r>
          </w:p>
        </w:tc>
      </w:tr>
      <w:tr>
        <w:tblPrEx>
          <w:tblCellMar>
            <w:top w:w="0" w:type="dxa"/>
            <w:left w:w="0" w:type="dxa"/>
            <w:bottom w:w="0" w:type="dxa"/>
            <w:right w:w="0" w:type="dxa"/>
          </w:tblCellMar>
        </w:tblPrEx>
        <w:trPr>
          <w:trHeight w:val="508" w:hRule="atLeast"/>
          <w:jc w:val="center"/>
        </w:trPr>
        <w:tc>
          <w:tcPr>
            <w:tcW w:w="582" w:type="dxa"/>
            <w:gridSpan w:val="2"/>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时效指标</w:t>
            </w:r>
          </w:p>
        </w:tc>
        <w:tc>
          <w:tcPr>
            <w:tcW w:w="24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2019年</w:t>
            </w:r>
          </w:p>
        </w:tc>
        <w:tc>
          <w:tcPr>
            <w:tcW w:w="226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2019年</w:t>
            </w:r>
          </w:p>
        </w:tc>
        <w:tc>
          <w:tcPr>
            <w:tcW w:w="3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2019年全面完成</w:t>
            </w:r>
          </w:p>
        </w:tc>
      </w:tr>
      <w:tr>
        <w:tblPrEx>
          <w:tblCellMar>
            <w:top w:w="0" w:type="dxa"/>
            <w:left w:w="0" w:type="dxa"/>
            <w:bottom w:w="0" w:type="dxa"/>
            <w:right w:w="0" w:type="dxa"/>
          </w:tblCellMar>
        </w:tblPrEx>
        <w:trPr>
          <w:trHeight w:val="1042" w:hRule="atLeast"/>
          <w:jc w:val="center"/>
        </w:trPr>
        <w:tc>
          <w:tcPr>
            <w:tcW w:w="582" w:type="dxa"/>
            <w:gridSpan w:val="2"/>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项目完成指标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成本指标</w:t>
            </w:r>
          </w:p>
        </w:tc>
        <w:tc>
          <w:tcPr>
            <w:tcW w:w="24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3"/>
                <w:szCs w:val="13"/>
              </w:rPr>
            </w:pPr>
            <w:r>
              <w:rPr>
                <w:rFonts w:hint="eastAsia"/>
                <w:color w:val="444444"/>
                <w:sz w:val="13"/>
                <w:szCs w:val="13"/>
              </w:rPr>
              <w:t>执法监管成本不高于100每人每天，食品抽检成本不高于1500元每样，单项宣传成本每年不高于10万</w:t>
            </w:r>
          </w:p>
        </w:tc>
        <w:tc>
          <w:tcPr>
            <w:tcW w:w="226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3"/>
                <w:szCs w:val="13"/>
              </w:rPr>
            </w:pPr>
            <w:r>
              <w:rPr>
                <w:rFonts w:hint="eastAsia"/>
                <w:color w:val="444444"/>
                <w:sz w:val="13"/>
                <w:szCs w:val="13"/>
              </w:rPr>
              <w:t>监管成本&lt;100元/天，抽检成不&lt;1500元/样，宣传成本&lt;10万</w:t>
            </w:r>
          </w:p>
        </w:tc>
        <w:tc>
          <w:tcPr>
            <w:tcW w:w="3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3"/>
                <w:szCs w:val="13"/>
              </w:rPr>
            </w:pPr>
            <w:r>
              <w:rPr>
                <w:rFonts w:hint="eastAsia"/>
                <w:color w:val="444444"/>
                <w:sz w:val="13"/>
                <w:szCs w:val="13"/>
              </w:rPr>
              <w:t>执法监管成本小于100每人每天，食品抽检成本小于1500元每样，单项宣传成本每年底于10万</w:t>
            </w:r>
          </w:p>
        </w:tc>
      </w:tr>
      <w:tr>
        <w:tblPrEx>
          <w:tblCellMar>
            <w:top w:w="0" w:type="dxa"/>
            <w:left w:w="0" w:type="dxa"/>
            <w:bottom w:w="0" w:type="dxa"/>
            <w:right w:w="0" w:type="dxa"/>
          </w:tblCellMar>
        </w:tblPrEx>
        <w:trPr>
          <w:trHeight w:val="55" w:hRule="atLeast"/>
          <w:jc w:val="center"/>
        </w:trPr>
        <w:tc>
          <w:tcPr>
            <w:tcW w:w="582" w:type="dxa"/>
            <w:gridSpan w:val="2"/>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效益指标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经济效益指标</w:t>
            </w:r>
          </w:p>
        </w:tc>
        <w:tc>
          <w:tcPr>
            <w:tcW w:w="24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促进市场健康有序发展</w:t>
            </w:r>
          </w:p>
        </w:tc>
        <w:tc>
          <w:tcPr>
            <w:tcW w:w="226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促进市场健康有序发展</w:t>
            </w:r>
          </w:p>
        </w:tc>
        <w:tc>
          <w:tcPr>
            <w:tcW w:w="3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促进市场健康有序发展</w:t>
            </w:r>
          </w:p>
        </w:tc>
      </w:tr>
      <w:tr>
        <w:tblPrEx>
          <w:tblCellMar>
            <w:top w:w="0" w:type="dxa"/>
            <w:left w:w="0" w:type="dxa"/>
            <w:bottom w:w="0" w:type="dxa"/>
            <w:right w:w="0" w:type="dxa"/>
          </w:tblCellMar>
        </w:tblPrEx>
        <w:trPr>
          <w:trHeight w:val="487" w:hRule="atLeast"/>
          <w:jc w:val="center"/>
        </w:trPr>
        <w:tc>
          <w:tcPr>
            <w:tcW w:w="582" w:type="dxa"/>
            <w:gridSpan w:val="2"/>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效益指标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可持续影响指标</w:t>
            </w:r>
          </w:p>
        </w:tc>
        <w:tc>
          <w:tcPr>
            <w:tcW w:w="24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消费者满意度测评</w:t>
            </w:r>
          </w:p>
        </w:tc>
        <w:tc>
          <w:tcPr>
            <w:tcW w:w="226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消费者满意度测评不低于90%</w:t>
            </w:r>
          </w:p>
        </w:tc>
        <w:tc>
          <w:tcPr>
            <w:tcW w:w="3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达到90%以上</w:t>
            </w:r>
          </w:p>
        </w:tc>
      </w:tr>
      <w:tr>
        <w:tblPrEx>
          <w:tblCellMar>
            <w:top w:w="0" w:type="dxa"/>
            <w:left w:w="0" w:type="dxa"/>
            <w:bottom w:w="0" w:type="dxa"/>
            <w:right w:w="0" w:type="dxa"/>
          </w:tblCellMar>
        </w:tblPrEx>
        <w:trPr>
          <w:trHeight w:val="695" w:hRule="atLeast"/>
          <w:jc w:val="center"/>
        </w:trPr>
        <w:tc>
          <w:tcPr>
            <w:tcW w:w="582" w:type="dxa"/>
            <w:gridSpan w:val="2"/>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满意度指标</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服务对象</w:t>
            </w:r>
          </w:p>
          <w:p>
            <w:pPr>
              <w:widowControl/>
              <w:jc w:val="center"/>
              <w:textAlignment w:val="center"/>
              <w:rPr>
                <w:color w:val="444444"/>
                <w:sz w:val="16"/>
                <w:szCs w:val="16"/>
              </w:rPr>
            </w:pPr>
            <w:r>
              <w:rPr>
                <w:rFonts w:hint="eastAsia"/>
                <w:color w:val="444444"/>
                <w:sz w:val="16"/>
                <w:szCs w:val="16"/>
              </w:rPr>
              <w:t>满意度指标</w:t>
            </w:r>
          </w:p>
        </w:tc>
        <w:tc>
          <w:tcPr>
            <w:tcW w:w="24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消费者满意度测评不低于90%</w:t>
            </w:r>
          </w:p>
        </w:tc>
        <w:tc>
          <w:tcPr>
            <w:tcW w:w="226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达到90%以上</w:t>
            </w:r>
          </w:p>
        </w:tc>
        <w:tc>
          <w:tcPr>
            <w:tcW w:w="32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达到90%以上</w:t>
            </w:r>
          </w:p>
        </w:tc>
      </w:tr>
    </w:tbl>
    <w:p>
      <w:pPr>
        <w:spacing w:line="594" w:lineRule="exact"/>
        <w:rPr>
          <w:rFonts w:ascii="仿宋_GB2312" w:hAnsi="仿宋_GB2312" w:eastAsia="仿宋_GB2312" w:cs="仿宋_GB2312"/>
          <w:sz w:val="32"/>
          <w:szCs w:val="32"/>
        </w:rPr>
      </w:pPr>
    </w:p>
    <w:tbl>
      <w:tblPr>
        <w:tblStyle w:val="18"/>
        <w:tblpPr w:leftFromText="180" w:rightFromText="180" w:vertAnchor="text" w:horzAnchor="page" w:tblpXSpec="center" w:tblpY="423"/>
        <w:tblOverlap w:val="never"/>
        <w:tblW w:w="9796" w:type="dxa"/>
        <w:jc w:val="center"/>
        <w:tblLayout w:type="fixed"/>
        <w:tblCellMar>
          <w:top w:w="0" w:type="dxa"/>
          <w:left w:w="0" w:type="dxa"/>
          <w:bottom w:w="0" w:type="dxa"/>
          <w:right w:w="0" w:type="dxa"/>
        </w:tblCellMar>
      </w:tblPr>
      <w:tblGrid>
        <w:gridCol w:w="390"/>
        <w:gridCol w:w="1367"/>
        <w:gridCol w:w="1025"/>
        <w:gridCol w:w="1911"/>
        <w:gridCol w:w="1559"/>
        <w:gridCol w:w="1316"/>
        <w:gridCol w:w="2228"/>
      </w:tblGrid>
      <w:tr>
        <w:tblPrEx>
          <w:tblCellMar>
            <w:top w:w="0" w:type="dxa"/>
            <w:left w:w="0" w:type="dxa"/>
            <w:bottom w:w="0" w:type="dxa"/>
            <w:right w:w="0" w:type="dxa"/>
          </w:tblCellMar>
        </w:tblPrEx>
        <w:trPr>
          <w:trHeight w:val="1034" w:hRule="atLeast"/>
          <w:jc w:val="center"/>
        </w:trPr>
        <w:tc>
          <w:tcPr>
            <w:tcW w:w="9796" w:type="dxa"/>
            <w:gridSpan w:val="7"/>
            <w:tcBorders>
              <w:top w:val="nil"/>
              <w:left w:val="nil"/>
              <w:bottom w:val="nil"/>
              <w:right w:val="nil"/>
            </w:tcBorders>
            <w:tcMar>
              <w:top w:w="15" w:type="dxa"/>
              <w:left w:w="15" w:type="dxa"/>
              <w:right w:w="15" w:type="dxa"/>
            </w:tcMar>
            <w:vAlign w:val="center"/>
          </w:tcPr>
          <w:p>
            <w:pPr>
              <w:widowControl/>
              <w:spacing w:line="594" w:lineRule="exact"/>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项目名称</w:t>
            </w:r>
          </w:p>
        </w:tc>
        <w:tc>
          <w:tcPr>
            <w:tcW w:w="701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color w:val="444444"/>
                <w:sz w:val="16"/>
                <w:szCs w:val="16"/>
              </w:rPr>
              <w:t>201</w:t>
            </w:r>
            <w:r>
              <w:rPr>
                <w:rFonts w:hint="eastAsia"/>
                <w:color w:val="444444"/>
                <w:sz w:val="16"/>
                <w:szCs w:val="16"/>
              </w:rPr>
              <w:t>9年市场秩序维护与监管、质量与安全、民营经营健康发展项目及应急处置项目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预算单位</w:t>
            </w:r>
          </w:p>
        </w:tc>
        <w:tc>
          <w:tcPr>
            <w:tcW w:w="701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茂县市场监督管理局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预算数:</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76</w:t>
            </w:r>
          </w:p>
        </w:tc>
        <w:tc>
          <w:tcPr>
            <w:tcW w:w="2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执行数:</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15.55</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其中-财政拨款:</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76</w:t>
            </w:r>
          </w:p>
        </w:tc>
        <w:tc>
          <w:tcPr>
            <w:tcW w:w="2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其中-财政拨款:</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15.55</w:t>
            </w:r>
          </w:p>
        </w:tc>
      </w:tr>
      <w:tr>
        <w:tblPrEx>
          <w:tblCellMar>
            <w:top w:w="0" w:type="dxa"/>
            <w:left w:w="0" w:type="dxa"/>
            <w:bottom w:w="0" w:type="dxa"/>
            <w:right w:w="0" w:type="dxa"/>
          </w:tblCellMar>
        </w:tblPrEx>
        <w:trPr>
          <w:trHeight w:val="33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其它资金:</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2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其它资金:</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年度目标完成情况</w:t>
            </w:r>
          </w:p>
        </w:tc>
        <w:tc>
          <w:tcPr>
            <w:tcW w:w="430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预期目标</w:t>
            </w:r>
          </w:p>
        </w:tc>
        <w:tc>
          <w:tcPr>
            <w:tcW w:w="510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430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1、加强民营企业合法权益保护，促进民营经济健康发展；2、提升质量安全保障能力、推动市场主体及商事制度改革等工作，有效防范系统性风险及推进供给侧结构性改革；3、打击不正当竞争行为，强化了价格监管和收费行为治理，创造放心舒心消费环境。4、提高在抗击自然灾害中我局维护市场稳定及监管能力的水平</w:t>
            </w:r>
          </w:p>
        </w:tc>
        <w:tc>
          <w:tcPr>
            <w:tcW w:w="510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1、加强了民营企业合法权益保护，促进民营经济健康发展；2、提升了质量安全保障能力、推动市场主体及商事制度改革等工作，有效防范系统性风险及推进供给侧结构性改革；3、打击了不正当竞争行为，强化了价格监管和收费行为治理，创造放心舒心消费环境。4、提高了在抗击自然灾害中我局维护市场稳定及监管能力的水平</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二级指标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三级指标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预期指标值(包含数字及文字描述)</w:t>
            </w:r>
          </w:p>
        </w:tc>
        <w:tc>
          <w:tcPr>
            <w:tcW w:w="35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实际完成指标值(包含数字及文字描述)</w:t>
            </w:r>
          </w:p>
        </w:tc>
      </w:tr>
      <w:tr>
        <w:tblPrEx>
          <w:tblCellMar>
            <w:top w:w="0" w:type="dxa"/>
            <w:left w:w="0" w:type="dxa"/>
            <w:bottom w:w="0" w:type="dxa"/>
            <w:right w:w="0" w:type="dxa"/>
          </w:tblCellMar>
        </w:tblPrEx>
        <w:trPr>
          <w:trHeight w:val="210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数量指标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444444"/>
                <w:sz w:val="16"/>
                <w:szCs w:val="16"/>
              </w:rPr>
            </w:pPr>
            <w:r>
              <w:rPr>
                <w:rFonts w:hint="eastAsia"/>
                <w:color w:val="444444"/>
                <w:sz w:val="16"/>
                <w:szCs w:val="16"/>
              </w:rPr>
              <w:t>1..完成年报工作。2.完成特种设备检查。3.开展计量宣传工作。4.开展春蕾行动。4.开展消费者维权。5.开展案件查处。</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1..开展年报工作数大于1000户。2.开展特种设备检查3.开展计量宣传工作。3.开展春蕾行动，全年检查1500户以上。4.开展消费者维权。5.开展案件查处，年案件50件以上。</w:t>
            </w:r>
          </w:p>
        </w:tc>
        <w:tc>
          <w:tcPr>
            <w:tcW w:w="35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444444"/>
                <w:sz w:val="16"/>
                <w:szCs w:val="16"/>
              </w:rPr>
            </w:pPr>
            <w:r>
              <w:rPr>
                <w:rFonts w:hint="eastAsia"/>
                <w:color w:val="444444"/>
                <w:sz w:val="13"/>
                <w:szCs w:val="13"/>
              </w:rPr>
              <w:t>a.年报工作：企业应报1222.实报1219，年报率99.75%；农专应报338，实报337，年报率99.7%；个体应报4133，实报4115，年报率99.56%。b. 特种设备工作：对县辖区内53家电梯使用单位共计188台电梯进行了检查；对我县辖区内共5家充装企业，车用加气站两家开展了专项检查及2次日常巡查；组织我县这5家气体充装企业到汶川参加充装培训一次。c.计量工作：“视频标准创造全球舞台”主题，印制并张贴“标准日”宣传海报6张，向群众发放宣传标准化宣传资料300余份；茂县境内13家加油站开展了专项检查；d.春蕾行动:立案查处案件27件，罚没金额8.59万元,其中大要案件（罚没金额1万元至10万元的案件）2件；受理投诉举报20起。本次检查共出动执法人员800人/次，检查经营户2000户/次，其中包括大型超市5家，集贸市场6个，旅游景区3个，保健品经营店36家，下达监督意见书14份，下达《特种设备安全监察指令书》5份。e.消费维权：受理投诉举报共90余件，投诉举报回复率达 100%，挽回经济损失14余万元整，诉转案3件。f.案件查处：查处违法案件65件,罚没款28.45万元。其中工商案件32件，罚没款13.25万元；食品案件21件,罚没款6.07万元；餐饮案件4起，罚没金额1.68万元；药品、医疗器械类案件2件,处罚款0.66；质监类案件6</w:t>
            </w:r>
            <w:r>
              <w:rPr>
                <w:rFonts w:hint="eastAsia"/>
                <w:color w:val="444444"/>
                <w:sz w:val="16"/>
                <w:szCs w:val="16"/>
              </w:rPr>
              <w:t>件，罚没金额6.79万元。</w:t>
            </w:r>
          </w:p>
        </w:tc>
      </w:tr>
      <w:tr>
        <w:tblPrEx>
          <w:tblCellMar>
            <w:top w:w="0" w:type="dxa"/>
            <w:left w:w="0" w:type="dxa"/>
            <w:bottom w:w="0" w:type="dxa"/>
            <w:right w:w="0" w:type="dxa"/>
          </w:tblCellMar>
        </w:tblPrEx>
        <w:trPr>
          <w:trHeight w:val="1154"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质量指标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color w:val="444444"/>
                <w:sz w:val="16"/>
                <w:szCs w:val="16"/>
              </w:rPr>
              <w:t>开展年报工作、特种设备及计量工作、红盾春蕾工作、抽检工作及案件查处工作。</w:t>
            </w:r>
          </w:p>
          <w:p>
            <w:pPr>
              <w:widowControl/>
              <w:jc w:val="center"/>
              <w:textAlignment w:val="center"/>
              <w:rPr>
                <w:color w:val="444444"/>
                <w:sz w:val="16"/>
                <w:szCs w:val="16"/>
              </w:rPr>
            </w:pP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color w:val="444444"/>
                <w:sz w:val="16"/>
                <w:szCs w:val="16"/>
              </w:rPr>
              <w:t>开</w:t>
            </w:r>
            <w:r>
              <w:rPr>
                <w:rFonts w:hint="eastAsia"/>
                <w:color w:val="444444"/>
                <w:sz w:val="16"/>
                <w:szCs w:val="16"/>
              </w:rPr>
              <w:t>展了</w:t>
            </w:r>
            <w:r>
              <w:rPr>
                <w:color w:val="444444"/>
                <w:sz w:val="16"/>
                <w:szCs w:val="16"/>
              </w:rPr>
              <w:t>年报工作、特种设备及计量工作、红盾春蕾工作、抽检工作及案件查处工作。</w:t>
            </w:r>
          </w:p>
          <w:p>
            <w:pPr>
              <w:widowControl/>
              <w:jc w:val="center"/>
              <w:textAlignment w:val="center"/>
              <w:rPr>
                <w:color w:val="444444"/>
                <w:sz w:val="16"/>
                <w:szCs w:val="16"/>
              </w:rPr>
            </w:pPr>
          </w:p>
        </w:tc>
        <w:tc>
          <w:tcPr>
            <w:tcW w:w="35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color w:val="444444"/>
                <w:sz w:val="16"/>
                <w:szCs w:val="16"/>
              </w:rPr>
              <w:t>开展</w:t>
            </w:r>
            <w:r>
              <w:rPr>
                <w:rFonts w:hint="eastAsia"/>
                <w:color w:val="444444"/>
                <w:sz w:val="16"/>
                <w:szCs w:val="16"/>
              </w:rPr>
              <w:t>了</w:t>
            </w:r>
            <w:r>
              <w:rPr>
                <w:color w:val="444444"/>
                <w:sz w:val="16"/>
                <w:szCs w:val="16"/>
              </w:rPr>
              <w:t>年报工作、特种设备及计量工作、红盾春蕾工作、抽检工作及案件查处工作。</w:t>
            </w:r>
          </w:p>
          <w:p>
            <w:pPr>
              <w:widowControl/>
              <w:jc w:val="center"/>
              <w:textAlignment w:val="center"/>
              <w:rPr>
                <w:color w:val="444444"/>
                <w:sz w:val="16"/>
                <w:szCs w:val="16"/>
              </w:rPr>
            </w:pPr>
          </w:p>
        </w:tc>
      </w:tr>
      <w:tr>
        <w:tblPrEx>
          <w:tblCellMar>
            <w:top w:w="0" w:type="dxa"/>
            <w:left w:w="0" w:type="dxa"/>
            <w:bottom w:w="0" w:type="dxa"/>
            <w:right w:w="0" w:type="dxa"/>
          </w:tblCellMar>
        </w:tblPrEx>
        <w:trPr>
          <w:trHeight w:val="405"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时效指标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2019年</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2019年</w:t>
            </w:r>
          </w:p>
        </w:tc>
        <w:tc>
          <w:tcPr>
            <w:tcW w:w="35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2019年全面完成</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成本指标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320" w:firstLineChars="200"/>
              <w:textAlignment w:val="center"/>
              <w:rPr>
                <w:color w:val="444444"/>
                <w:sz w:val="16"/>
                <w:szCs w:val="16"/>
              </w:rPr>
            </w:pPr>
            <w:r>
              <w:rPr>
                <w:rFonts w:hint="eastAsia"/>
                <w:color w:val="444444"/>
                <w:sz w:val="16"/>
                <w:szCs w:val="16"/>
              </w:rPr>
              <w:t>执法监管成本</w:t>
            </w:r>
            <w:r>
              <w:rPr>
                <w:color w:val="444444"/>
                <w:sz w:val="16"/>
                <w:szCs w:val="16"/>
              </w:rPr>
              <w:t>≤</w:t>
            </w:r>
            <w:r>
              <w:rPr>
                <w:rFonts w:hint="eastAsia"/>
                <w:color w:val="444444"/>
                <w:sz w:val="16"/>
                <w:szCs w:val="16"/>
              </w:rPr>
              <w:t>100元/人.天；食品抽检成本</w:t>
            </w:r>
            <w:r>
              <w:rPr>
                <w:color w:val="444444"/>
                <w:sz w:val="16"/>
                <w:szCs w:val="16"/>
              </w:rPr>
              <w:t>≤</w:t>
            </w:r>
            <w:r>
              <w:rPr>
                <w:rFonts w:hint="eastAsia"/>
                <w:color w:val="444444"/>
                <w:sz w:val="16"/>
                <w:szCs w:val="16"/>
              </w:rPr>
              <w:t>1500元/样；宣传成本</w:t>
            </w:r>
            <w:r>
              <w:rPr>
                <w:color w:val="444444"/>
                <w:sz w:val="16"/>
                <w:szCs w:val="16"/>
              </w:rPr>
              <w:t>≤</w:t>
            </w:r>
            <w:r>
              <w:rPr>
                <w:rFonts w:hint="eastAsia"/>
                <w:color w:val="444444"/>
                <w:sz w:val="16"/>
                <w:szCs w:val="16"/>
              </w:rPr>
              <w:t>10万元/年。</w:t>
            </w:r>
          </w:p>
          <w:p>
            <w:pPr>
              <w:widowControl/>
              <w:jc w:val="center"/>
              <w:textAlignment w:val="center"/>
              <w:rPr>
                <w:color w:val="444444"/>
                <w:sz w:val="16"/>
                <w:szCs w:val="16"/>
              </w:rPr>
            </w:pP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320" w:firstLineChars="200"/>
              <w:textAlignment w:val="center"/>
              <w:rPr>
                <w:color w:val="444444"/>
                <w:sz w:val="16"/>
                <w:szCs w:val="16"/>
              </w:rPr>
            </w:pPr>
            <w:r>
              <w:rPr>
                <w:rFonts w:hint="eastAsia"/>
                <w:color w:val="444444"/>
                <w:sz w:val="16"/>
                <w:szCs w:val="16"/>
              </w:rPr>
              <w:t>执法监管成本</w:t>
            </w:r>
            <w:r>
              <w:rPr>
                <w:color w:val="444444"/>
                <w:sz w:val="16"/>
                <w:szCs w:val="16"/>
              </w:rPr>
              <w:t>≤</w:t>
            </w:r>
            <w:r>
              <w:rPr>
                <w:rFonts w:hint="eastAsia"/>
                <w:color w:val="444444"/>
                <w:sz w:val="16"/>
                <w:szCs w:val="16"/>
              </w:rPr>
              <w:t>100元/人.天；食品抽检成本</w:t>
            </w:r>
            <w:r>
              <w:rPr>
                <w:color w:val="444444"/>
                <w:sz w:val="16"/>
                <w:szCs w:val="16"/>
              </w:rPr>
              <w:t>≤</w:t>
            </w:r>
            <w:r>
              <w:rPr>
                <w:rFonts w:hint="eastAsia"/>
                <w:color w:val="444444"/>
                <w:sz w:val="16"/>
                <w:szCs w:val="16"/>
              </w:rPr>
              <w:t>1500元/样；宣传成本</w:t>
            </w:r>
            <w:r>
              <w:rPr>
                <w:color w:val="444444"/>
                <w:sz w:val="16"/>
                <w:szCs w:val="16"/>
              </w:rPr>
              <w:t>≤</w:t>
            </w:r>
            <w:r>
              <w:rPr>
                <w:rFonts w:hint="eastAsia"/>
                <w:color w:val="444444"/>
                <w:sz w:val="16"/>
                <w:szCs w:val="16"/>
              </w:rPr>
              <w:t>10万元/年。</w:t>
            </w:r>
          </w:p>
          <w:p>
            <w:pPr>
              <w:widowControl/>
              <w:jc w:val="center"/>
              <w:textAlignment w:val="center"/>
              <w:rPr>
                <w:color w:val="444444"/>
                <w:sz w:val="16"/>
                <w:szCs w:val="16"/>
              </w:rPr>
            </w:pPr>
          </w:p>
        </w:tc>
        <w:tc>
          <w:tcPr>
            <w:tcW w:w="35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320" w:firstLineChars="200"/>
              <w:textAlignment w:val="center"/>
              <w:rPr>
                <w:color w:val="444444"/>
                <w:sz w:val="16"/>
                <w:szCs w:val="16"/>
              </w:rPr>
            </w:pPr>
            <w:r>
              <w:rPr>
                <w:rFonts w:hint="eastAsia"/>
                <w:color w:val="444444"/>
                <w:sz w:val="16"/>
                <w:szCs w:val="16"/>
              </w:rPr>
              <w:t>执法监管成本</w:t>
            </w:r>
            <w:r>
              <w:rPr>
                <w:color w:val="444444"/>
                <w:sz w:val="16"/>
                <w:szCs w:val="16"/>
              </w:rPr>
              <w:t>≤</w:t>
            </w:r>
            <w:r>
              <w:rPr>
                <w:rFonts w:hint="eastAsia"/>
                <w:color w:val="444444"/>
                <w:sz w:val="16"/>
                <w:szCs w:val="16"/>
              </w:rPr>
              <w:t>100元/人.天；食品抽检成本</w:t>
            </w:r>
            <w:r>
              <w:rPr>
                <w:color w:val="444444"/>
                <w:sz w:val="16"/>
                <w:szCs w:val="16"/>
              </w:rPr>
              <w:t>≤</w:t>
            </w:r>
            <w:r>
              <w:rPr>
                <w:rFonts w:hint="eastAsia"/>
                <w:color w:val="444444"/>
                <w:sz w:val="16"/>
                <w:szCs w:val="16"/>
              </w:rPr>
              <w:t>1500元/样；宣传成本</w:t>
            </w:r>
            <w:r>
              <w:rPr>
                <w:color w:val="444444"/>
                <w:sz w:val="16"/>
                <w:szCs w:val="16"/>
              </w:rPr>
              <w:t>≤</w:t>
            </w:r>
            <w:r>
              <w:rPr>
                <w:rFonts w:hint="eastAsia"/>
                <w:color w:val="444444"/>
                <w:sz w:val="16"/>
                <w:szCs w:val="16"/>
              </w:rPr>
              <w:t>10万元/年。</w:t>
            </w:r>
          </w:p>
          <w:p>
            <w:pPr>
              <w:widowControl/>
              <w:jc w:val="center"/>
              <w:textAlignment w:val="center"/>
              <w:rPr>
                <w:color w:val="444444"/>
                <w:sz w:val="16"/>
                <w:szCs w:val="16"/>
              </w:rPr>
            </w:pPr>
          </w:p>
        </w:tc>
      </w:tr>
      <w:tr>
        <w:tblPrEx>
          <w:tblCellMar>
            <w:top w:w="0" w:type="dxa"/>
            <w:left w:w="0" w:type="dxa"/>
            <w:bottom w:w="0" w:type="dxa"/>
            <w:right w:w="0" w:type="dxa"/>
          </w:tblCellMar>
        </w:tblPrEx>
        <w:trPr>
          <w:trHeight w:val="55"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经济效益指标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促进市场健康有序发展</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促进市场健康有序发展</w:t>
            </w:r>
          </w:p>
        </w:tc>
        <w:tc>
          <w:tcPr>
            <w:tcW w:w="35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促进市场健康有序发展</w:t>
            </w:r>
          </w:p>
        </w:tc>
      </w:tr>
      <w:tr>
        <w:tblPrEx>
          <w:tblCellMar>
            <w:top w:w="0" w:type="dxa"/>
            <w:left w:w="0" w:type="dxa"/>
            <w:bottom w:w="0" w:type="dxa"/>
            <w:right w:w="0" w:type="dxa"/>
          </w:tblCellMar>
        </w:tblPrEx>
        <w:trPr>
          <w:trHeight w:val="72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可持续影响指标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消费者满意度测评</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消费者满意度测评不低于90%</w:t>
            </w:r>
          </w:p>
        </w:tc>
        <w:tc>
          <w:tcPr>
            <w:tcW w:w="35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达到90%以上</w:t>
            </w:r>
          </w:p>
        </w:tc>
      </w:tr>
      <w:tr>
        <w:tblPrEx>
          <w:tblCellMar>
            <w:top w:w="0" w:type="dxa"/>
            <w:left w:w="0" w:type="dxa"/>
            <w:bottom w:w="0" w:type="dxa"/>
            <w:right w:w="0" w:type="dxa"/>
          </w:tblCellMar>
        </w:tblPrEx>
        <w:trPr>
          <w:trHeight w:val="819"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服务对象</w:t>
            </w:r>
          </w:p>
          <w:p>
            <w:pPr>
              <w:widowControl/>
              <w:jc w:val="center"/>
              <w:textAlignment w:val="center"/>
              <w:rPr>
                <w:color w:val="444444"/>
                <w:sz w:val="16"/>
                <w:szCs w:val="16"/>
              </w:rPr>
            </w:pPr>
            <w:r>
              <w:rPr>
                <w:rFonts w:hint="eastAsia"/>
                <w:color w:val="444444"/>
                <w:sz w:val="16"/>
                <w:szCs w:val="16"/>
              </w:rPr>
              <w:t>满意度指标</w:t>
            </w:r>
          </w:p>
        </w:tc>
        <w:tc>
          <w:tcPr>
            <w:tcW w:w="19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消费者满意度测评不低于90%</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达到90%以上</w:t>
            </w:r>
          </w:p>
        </w:tc>
        <w:tc>
          <w:tcPr>
            <w:tcW w:w="35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444444"/>
                <w:sz w:val="16"/>
                <w:szCs w:val="16"/>
              </w:rPr>
            </w:pPr>
            <w:r>
              <w:rPr>
                <w:rFonts w:hint="eastAsia"/>
                <w:color w:val="444444"/>
                <w:sz w:val="16"/>
                <w:szCs w:val="16"/>
              </w:rPr>
              <w:t>达到90%以上</w:t>
            </w:r>
          </w:p>
        </w:tc>
      </w:tr>
    </w:tbl>
    <w:p>
      <w:pPr>
        <w:spacing w:line="594" w:lineRule="exact"/>
        <w:ind w:left="630"/>
        <w:rPr>
          <w:rFonts w:ascii="仿宋_GB2312" w:hAnsi="仿宋_GB2312" w:eastAsia="仿宋_GB2312" w:cs="仿宋_GB2312"/>
          <w:sz w:val="32"/>
          <w:szCs w:val="32"/>
        </w:rPr>
      </w:pPr>
      <w:r>
        <w:rPr>
          <w:rFonts w:hint="eastAsia" w:ascii="仿宋_GB2312" w:hAnsi="仿宋_GB2312" w:eastAsia="仿宋_GB2312" w:cs="仿宋_GB2312"/>
          <w:sz w:val="32"/>
          <w:szCs w:val="32"/>
        </w:rPr>
        <w:t>2.部门绩效评价结果</w:t>
      </w:r>
    </w:p>
    <w:p>
      <w:pPr>
        <w:spacing w:line="594"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本部门按要求对2019年部门整体支出绩效评价情况开展自评，《茂县市场监督管理局2019年部门整体支出绩效评价报告》见附件（附件1）。</w:t>
      </w:r>
    </w:p>
    <w:p>
      <w:pPr>
        <w:spacing w:line="594"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9年药品不良应、药品综合监管及药品化妆品抽检项目”、“</w:t>
      </w:r>
      <w:r>
        <w:rPr>
          <w:rFonts w:ascii="仿宋_GB2312" w:hAnsi="仿宋_GB2312" w:eastAsia="仿宋_GB2312" w:cs="仿宋_GB2312"/>
          <w:sz w:val="32"/>
          <w:szCs w:val="32"/>
        </w:rPr>
        <w:t xml:space="preserve"> 201</w:t>
      </w:r>
      <w:r>
        <w:rPr>
          <w:rFonts w:hint="eastAsia" w:ascii="仿宋_GB2312" w:hAnsi="仿宋_GB2312" w:eastAsia="仿宋_GB2312" w:cs="仿宋_GB2312"/>
          <w:sz w:val="32"/>
          <w:szCs w:val="32"/>
        </w:rPr>
        <w:t>9年食品、流通、餐饮安全监管及抽检项目”、“2</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9年市场秩序维护与监管、质量与安全、民营经营健康发展项及应急处置项目”开展了绩效评价，《“</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9年药品不良应、药品综合监管及药品化妆品抽检项目”、“</w:t>
      </w:r>
      <w:r>
        <w:rPr>
          <w:rFonts w:ascii="仿宋_GB2312" w:hAnsi="仿宋_GB2312" w:eastAsia="仿宋_GB2312" w:cs="仿宋_GB2312"/>
          <w:sz w:val="32"/>
          <w:szCs w:val="32"/>
        </w:rPr>
        <w:t xml:space="preserve"> 201</w:t>
      </w:r>
      <w:r>
        <w:rPr>
          <w:rFonts w:hint="eastAsia" w:ascii="仿宋_GB2312" w:hAnsi="仿宋_GB2312" w:eastAsia="仿宋_GB2312" w:cs="仿宋_GB2312"/>
          <w:sz w:val="32"/>
          <w:szCs w:val="32"/>
        </w:rPr>
        <w:t>9年食品、流通、餐饮安全监管及抽检项目”、“2</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9年市场秩序维护与监管、质量与安全、民营经营健康发展项及应急处置项目” 2019年绩效评价报告》见附件（附件2）。</w:t>
      </w:r>
    </w:p>
    <w:p>
      <w:pPr>
        <w:widowControl/>
        <w:spacing w:line="594" w:lineRule="exact"/>
        <w:jc w:val="left"/>
        <w:rPr>
          <w:rFonts w:ascii="仿宋_GB2312" w:eastAsia="仿宋_GB2312"/>
          <w:b/>
          <w:color w:val="000000"/>
          <w:sz w:val="32"/>
          <w:szCs w:val="32"/>
        </w:rPr>
      </w:pPr>
      <w:r>
        <w:rPr>
          <w:rFonts w:ascii="仿宋_GB2312" w:eastAsia="仿宋_GB2312"/>
          <w:b/>
          <w:color w:val="000000"/>
          <w:sz w:val="32"/>
          <w:szCs w:val="32"/>
        </w:rPr>
        <w:br w:type="page"/>
      </w:r>
    </w:p>
    <w:p>
      <w:pPr>
        <w:pStyle w:val="2"/>
        <w:spacing w:before="0" w:after="0" w:line="594" w:lineRule="exact"/>
        <w:ind w:firstLine="2831" w:firstLineChars="641"/>
        <w:rPr>
          <w:rFonts w:ascii="方正小标宋简体" w:hAnsi="方正小标宋简体" w:eastAsia="方正小标宋简体" w:cs="方正小标宋简体"/>
        </w:rPr>
      </w:pPr>
      <w:bookmarkStart w:id="209" w:name="_Toc11220"/>
      <w:bookmarkStart w:id="210" w:name="_Toc51662609"/>
      <w:bookmarkStart w:id="211" w:name="_Toc51662797"/>
      <w:bookmarkStart w:id="212" w:name="_Toc15377225"/>
      <w:r>
        <w:rPr>
          <w:rFonts w:hint="eastAsia" w:ascii="方正小标宋简体" w:hAnsi="方正小标宋简体" w:eastAsia="方正小标宋简体" w:cs="方正小标宋简体"/>
          <w:color w:val="000000"/>
        </w:rPr>
        <w:t>第三部分 名</w:t>
      </w:r>
      <w:r>
        <w:rPr>
          <w:rFonts w:hint="eastAsia" w:ascii="方正小标宋简体" w:hAnsi="方正小标宋简体" w:eastAsia="方正小标宋简体" w:cs="方正小标宋简体"/>
        </w:rPr>
        <w:t>词解释</w:t>
      </w:r>
      <w:bookmarkEnd w:id="209"/>
      <w:bookmarkEnd w:id="210"/>
      <w:bookmarkEnd w:id="211"/>
      <w:bookmarkEnd w:id="212"/>
    </w:p>
    <w:p>
      <w:pPr>
        <w:pStyle w:val="33"/>
        <w:spacing w:line="594"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3"/>
        <w:spacing w:line="594"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3"/>
        <w:spacing w:line="594"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3"/>
        <w:spacing w:line="594"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33"/>
        <w:spacing w:line="594"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33"/>
        <w:spacing w:line="594"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3"/>
        <w:spacing w:line="594"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3"/>
        <w:spacing w:line="594"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94" w:lineRule="exact"/>
        <w:ind w:firstLine="640" w:firstLineChars="200"/>
        <w:outlineLvl w:val="1"/>
        <w:rPr>
          <w:rFonts w:ascii="仿宋_GB2312" w:hAnsi="楷体" w:eastAsia="仿宋_GB2312"/>
          <w:color w:val="000000"/>
          <w:sz w:val="32"/>
          <w:szCs w:val="32"/>
        </w:rPr>
      </w:pPr>
      <w:bookmarkStart w:id="213" w:name="_Toc51662798"/>
      <w:bookmarkStart w:id="214" w:name="_Toc21729"/>
      <w:bookmarkStart w:id="215" w:name="_Toc51662610"/>
      <w:r>
        <w:rPr>
          <w:rFonts w:hint="eastAsia" w:ascii="仿宋_GB2312" w:eastAsia="仿宋_GB2312"/>
          <w:color w:val="000000"/>
          <w:sz w:val="32"/>
          <w:szCs w:val="32"/>
        </w:rPr>
        <w:t>10</w:t>
      </w:r>
      <w:r>
        <w:rPr>
          <w:rFonts w:ascii="仿宋_GB2312" w:hAnsi="楷体" w:eastAsia="仿宋_GB2312"/>
          <w:color w:val="000000"/>
          <w:sz w:val="32"/>
          <w:szCs w:val="32"/>
        </w:rPr>
        <w:t>.</w:t>
      </w:r>
      <w:r>
        <w:rPr>
          <w:rFonts w:hint="eastAsia" w:ascii="仿宋_GB2312" w:hAnsi="楷体" w:eastAsia="仿宋_GB2312"/>
          <w:color w:val="000000"/>
          <w:sz w:val="32"/>
          <w:szCs w:val="32"/>
        </w:rPr>
        <w:t>一般公共服务（类）市场监督管理事务（款）行政运行（项）</w:t>
      </w:r>
      <w:r>
        <w:rPr>
          <w:rFonts w:ascii="仿宋_GB2312" w:hAnsi="楷体" w:eastAsia="仿宋_GB2312"/>
          <w:color w:val="000000"/>
          <w:sz w:val="32"/>
          <w:szCs w:val="32"/>
        </w:rPr>
        <w:t>:</w:t>
      </w:r>
      <w:r>
        <w:rPr>
          <w:rFonts w:hint="eastAsia" w:ascii="仿宋_GB2312" w:hAnsi="楷体" w:eastAsia="仿宋_GB2312"/>
          <w:color w:val="000000"/>
          <w:sz w:val="32"/>
          <w:szCs w:val="32"/>
        </w:rPr>
        <w:t>指市场监督管理事务中行政运行支出。</w:t>
      </w:r>
      <w:bookmarkEnd w:id="213"/>
      <w:bookmarkEnd w:id="214"/>
      <w:bookmarkEnd w:id="215"/>
    </w:p>
    <w:p>
      <w:pPr>
        <w:spacing w:line="594" w:lineRule="exact"/>
        <w:ind w:firstLine="640" w:firstLineChars="200"/>
        <w:outlineLvl w:val="1"/>
        <w:rPr>
          <w:rFonts w:ascii="仿宋_GB2312" w:hAnsi="楷体" w:eastAsia="仿宋_GB2312"/>
          <w:color w:val="000000"/>
          <w:sz w:val="32"/>
          <w:szCs w:val="32"/>
        </w:rPr>
      </w:pPr>
      <w:bookmarkStart w:id="216" w:name="_Toc1790"/>
      <w:bookmarkStart w:id="217" w:name="_Toc51662799"/>
      <w:bookmarkStart w:id="218" w:name="_Toc51662611"/>
      <w:r>
        <w:rPr>
          <w:rFonts w:hint="eastAsia" w:ascii="仿宋_GB2312" w:hAnsi="楷体" w:eastAsia="仿宋_GB2312"/>
          <w:color w:val="000000"/>
          <w:sz w:val="32"/>
          <w:szCs w:val="32"/>
        </w:rPr>
        <w:t>11</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一般公共服务（类）市场监督管理事务（款）一般行政管理事务（项）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指市场监督管理事务一般行政管理事务。</w:t>
      </w:r>
      <w:bookmarkEnd w:id="216"/>
      <w:bookmarkEnd w:id="217"/>
      <w:bookmarkEnd w:id="218"/>
    </w:p>
    <w:p>
      <w:pPr>
        <w:spacing w:line="594" w:lineRule="exact"/>
        <w:ind w:firstLine="640" w:firstLineChars="200"/>
        <w:outlineLvl w:val="1"/>
        <w:rPr>
          <w:rFonts w:ascii="仿宋_GB2312" w:hAnsi="楷体" w:eastAsia="仿宋_GB2312"/>
          <w:color w:val="000000"/>
          <w:sz w:val="32"/>
          <w:szCs w:val="32"/>
        </w:rPr>
      </w:pPr>
      <w:bookmarkStart w:id="219" w:name="_Toc21578"/>
      <w:bookmarkStart w:id="220" w:name="_Toc51662800"/>
      <w:bookmarkStart w:id="221" w:name="_Toc51662612"/>
      <w:r>
        <w:rPr>
          <w:rFonts w:hint="eastAsia" w:ascii="仿宋_GB2312" w:hAnsi="楷体" w:eastAsia="仿宋_GB2312"/>
          <w:color w:val="000000"/>
          <w:sz w:val="32"/>
          <w:szCs w:val="32"/>
        </w:rPr>
        <w:t>12.一般公共服务（类）市场监督管理事务（款）市场监督管理专项（项）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指市场监督管理中专项检查支出。</w:t>
      </w:r>
      <w:bookmarkEnd w:id="219"/>
      <w:bookmarkEnd w:id="220"/>
      <w:bookmarkEnd w:id="221"/>
    </w:p>
    <w:p>
      <w:pPr>
        <w:spacing w:line="594" w:lineRule="exact"/>
        <w:ind w:firstLine="640" w:firstLineChars="200"/>
        <w:outlineLvl w:val="1"/>
        <w:rPr>
          <w:rFonts w:ascii="仿宋_GB2312" w:hAnsi="楷体" w:eastAsia="仿宋_GB2312"/>
          <w:color w:val="000000"/>
          <w:sz w:val="32"/>
          <w:szCs w:val="32"/>
        </w:rPr>
      </w:pPr>
      <w:bookmarkStart w:id="222" w:name="_Toc16172"/>
      <w:bookmarkStart w:id="223" w:name="_Toc51662801"/>
      <w:bookmarkStart w:id="224" w:name="_Toc51662613"/>
      <w:r>
        <w:rPr>
          <w:rFonts w:hint="eastAsia" w:ascii="仿宋_GB2312" w:hAnsi="楷体" w:eastAsia="仿宋_GB2312"/>
          <w:color w:val="000000"/>
          <w:sz w:val="32"/>
          <w:szCs w:val="32"/>
        </w:rPr>
        <w:t>13. 一般公共服务（类）市场监督管理事务（款）市场监管执法（项）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指市场监督管理中执法监管支出。</w:t>
      </w:r>
      <w:bookmarkEnd w:id="222"/>
      <w:bookmarkEnd w:id="223"/>
      <w:bookmarkEnd w:id="224"/>
    </w:p>
    <w:p>
      <w:pPr>
        <w:spacing w:line="594" w:lineRule="exact"/>
        <w:ind w:firstLine="640" w:firstLineChars="200"/>
        <w:outlineLvl w:val="1"/>
        <w:rPr>
          <w:rFonts w:ascii="仿宋_GB2312" w:hAnsi="楷体" w:eastAsia="仿宋_GB2312"/>
          <w:color w:val="000000"/>
          <w:sz w:val="32"/>
          <w:szCs w:val="32"/>
        </w:rPr>
      </w:pPr>
      <w:bookmarkStart w:id="225" w:name="_Toc51662802"/>
      <w:bookmarkStart w:id="226" w:name="_Toc51662614"/>
      <w:bookmarkStart w:id="227" w:name="_Toc19750"/>
      <w:r>
        <w:rPr>
          <w:rFonts w:hint="eastAsia" w:ascii="仿宋_GB2312" w:hAnsi="楷体" w:eastAsia="仿宋_GB2312"/>
          <w:color w:val="000000"/>
          <w:sz w:val="32"/>
          <w:szCs w:val="32"/>
        </w:rPr>
        <w:t>14.一般公共服务（类）市场监督管理事务（款）药品事务（项）</w:t>
      </w:r>
      <w:r>
        <w:rPr>
          <w:rFonts w:ascii="仿宋_GB2312" w:hAnsi="楷体" w:eastAsia="仿宋_GB2312"/>
          <w:color w:val="000000"/>
          <w:sz w:val="32"/>
          <w:szCs w:val="32"/>
        </w:rPr>
        <w:t>:</w:t>
      </w:r>
      <w:r>
        <w:rPr>
          <w:rFonts w:hint="eastAsia" w:ascii="仿宋_GB2312" w:hAnsi="楷体" w:eastAsia="仿宋_GB2312"/>
          <w:color w:val="000000"/>
          <w:sz w:val="32"/>
          <w:szCs w:val="32"/>
        </w:rPr>
        <w:t>市场监督管理中药品及不良反应、执法检督支出。</w:t>
      </w:r>
      <w:bookmarkEnd w:id="225"/>
      <w:bookmarkEnd w:id="226"/>
      <w:bookmarkEnd w:id="227"/>
    </w:p>
    <w:p>
      <w:pPr>
        <w:spacing w:line="594" w:lineRule="exact"/>
        <w:ind w:firstLine="640" w:firstLineChars="200"/>
        <w:outlineLvl w:val="1"/>
        <w:rPr>
          <w:rFonts w:ascii="仿宋_GB2312" w:hAnsi="楷体" w:eastAsia="仿宋_GB2312"/>
          <w:color w:val="000000"/>
          <w:sz w:val="32"/>
          <w:szCs w:val="32"/>
        </w:rPr>
      </w:pPr>
      <w:bookmarkStart w:id="228" w:name="_Toc51662615"/>
      <w:bookmarkStart w:id="229" w:name="_Toc8836"/>
      <w:bookmarkStart w:id="230" w:name="_Toc51662803"/>
      <w:r>
        <w:rPr>
          <w:rFonts w:hint="eastAsia" w:ascii="仿宋_GB2312" w:hAnsi="楷体" w:eastAsia="仿宋_GB2312"/>
          <w:color w:val="000000"/>
          <w:sz w:val="32"/>
          <w:szCs w:val="32"/>
        </w:rPr>
        <w:t>15. 一般公共服务（类）市场监督管理事务（款）事业运行（项）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市场监督管理中事业支出。</w:t>
      </w:r>
      <w:bookmarkEnd w:id="228"/>
      <w:bookmarkEnd w:id="229"/>
      <w:bookmarkEnd w:id="230"/>
    </w:p>
    <w:p>
      <w:pPr>
        <w:spacing w:line="594" w:lineRule="exact"/>
        <w:ind w:firstLine="640" w:firstLineChars="200"/>
        <w:outlineLvl w:val="1"/>
        <w:rPr>
          <w:rFonts w:ascii="仿宋_GB2312" w:hAnsi="楷体" w:eastAsia="仿宋_GB2312"/>
          <w:color w:val="000000"/>
          <w:sz w:val="32"/>
          <w:szCs w:val="32"/>
        </w:rPr>
      </w:pPr>
      <w:bookmarkStart w:id="231" w:name="_Toc51662804"/>
      <w:bookmarkStart w:id="232" w:name="_Toc8948"/>
      <w:bookmarkStart w:id="233" w:name="_Toc51662616"/>
      <w:r>
        <w:rPr>
          <w:rFonts w:hint="eastAsia" w:ascii="仿宋_GB2312" w:hAnsi="楷体" w:eastAsia="仿宋_GB2312"/>
          <w:color w:val="000000"/>
          <w:sz w:val="32"/>
          <w:szCs w:val="32"/>
        </w:rPr>
        <w:t>16. 一般公共服务（类）市场监督管理事务（款）其他市场监督管理事务（项）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市场管理管理避其他支出，如抽检、餐饮、流通监管支出。</w:t>
      </w:r>
      <w:bookmarkEnd w:id="231"/>
      <w:bookmarkEnd w:id="232"/>
      <w:bookmarkEnd w:id="233"/>
    </w:p>
    <w:p>
      <w:pPr>
        <w:spacing w:line="594" w:lineRule="exact"/>
        <w:ind w:firstLine="640" w:firstLineChars="200"/>
        <w:outlineLvl w:val="1"/>
        <w:rPr>
          <w:rFonts w:ascii="仿宋_GB2312" w:hAnsi="楷体" w:eastAsia="仿宋_GB2312"/>
          <w:color w:val="000000"/>
          <w:sz w:val="32"/>
          <w:szCs w:val="32"/>
        </w:rPr>
      </w:pPr>
      <w:bookmarkStart w:id="234" w:name="_Toc25784"/>
      <w:bookmarkStart w:id="235" w:name="_Toc51662617"/>
      <w:bookmarkStart w:id="236" w:name="_Toc51662805"/>
      <w:r>
        <w:rPr>
          <w:rFonts w:hint="eastAsia" w:ascii="仿宋_GB2312" w:hAnsi="楷体" w:eastAsia="仿宋_GB2312"/>
          <w:color w:val="000000"/>
          <w:sz w:val="32"/>
          <w:szCs w:val="32"/>
        </w:rPr>
        <w:t>17</w:t>
      </w:r>
      <w:r>
        <w:rPr>
          <w:rFonts w:ascii="仿宋_GB2312" w:hAnsi="楷体" w:eastAsia="仿宋_GB2312"/>
          <w:color w:val="000000"/>
          <w:sz w:val="32"/>
          <w:szCs w:val="32"/>
        </w:rPr>
        <w:t>.</w:t>
      </w:r>
      <w:r>
        <w:rPr>
          <w:rFonts w:hint="eastAsia" w:ascii="仿宋_GB2312" w:hAnsi="楷体" w:eastAsia="仿宋_GB2312"/>
          <w:color w:val="000000"/>
          <w:sz w:val="32"/>
          <w:szCs w:val="32"/>
        </w:rPr>
        <w:t>社会保障和就业（类）行政事业单位离退休（款）机关事业单位基本养老保险缴费支出（项）</w:t>
      </w:r>
      <w:r>
        <w:rPr>
          <w:rFonts w:ascii="仿宋_GB2312" w:hAnsi="楷体" w:eastAsia="仿宋_GB2312"/>
          <w:color w:val="000000"/>
          <w:sz w:val="32"/>
          <w:szCs w:val="32"/>
        </w:rPr>
        <w:t xml:space="preserve">: </w:t>
      </w:r>
      <w:r>
        <w:rPr>
          <w:rFonts w:hint="eastAsia" w:ascii="仿宋_GB2312" w:hAnsi="楷体" w:eastAsia="仿宋_GB2312"/>
          <w:color w:val="000000"/>
          <w:sz w:val="32"/>
          <w:szCs w:val="32"/>
        </w:rPr>
        <w:t>指机关中基本养老保险支出。</w:t>
      </w:r>
      <w:bookmarkEnd w:id="234"/>
      <w:bookmarkEnd w:id="235"/>
      <w:bookmarkEnd w:id="236"/>
    </w:p>
    <w:p>
      <w:pPr>
        <w:spacing w:line="594" w:lineRule="exact"/>
        <w:ind w:firstLine="640" w:firstLineChars="200"/>
        <w:outlineLvl w:val="1"/>
        <w:rPr>
          <w:rFonts w:ascii="仿宋_GB2312" w:hAnsi="楷体" w:eastAsia="仿宋_GB2312"/>
          <w:color w:val="000000"/>
          <w:sz w:val="32"/>
          <w:szCs w:val="32"/>
        </w:rPr>
      </w:pPr>
      <w:bookmarkStart w:id="237" w:name="_Toc51662806"/>
      <w:bookmarkStart w:id="238" w:name="_Toc51662618"/>
      <w:bookmarkStart w:id="239" w:name="_Toc18465"/>
      <w:r>
        <w:rPr>
          <w:rFonts w:hint="eastAsia" w:ascii="仿宋_GB2312" w:hAnsi="楷体" w:eastAsia="仿宋_GB2312"/>
          <w:color w:val="000000"/>
          <w:sz w:val="32"/>
          <w:szCs w:val="32"/>
        </w:rPr>
        <w:t>18</w:t>
      </w:r>
      <w:r>
        <w:rPr>
          <w:rFonts w:ascii="仿宋_GB2312" w:hAnsi="楷体" w:eastAsia="仿宋_GB2312"/>
          <w:color w:val="000000"/>
          <w:sz w:val="32"/>
          <w:szCs w:val="32"/>
        </w:rPr>
        <w:t>.</w:t>
      </w:r>
      <w:r>
        <w:rPr>
          <w:rFonts w:hint="eastAsia" w:ascii="仿宋_GB2312" w:hAnsi="楷体" w:eastAsia="仿宋_GB2312"/>
          <w:color w:val="000000"/>
          <w:sz w:val="32"/>
          <w:szCs w:val="32"/>
        </w:rPr>
        <w:t>社会保障和就业（类）行政事业单位离退休（款）机关事业单位职业年金缴费出（项）</w:t>
      </w:r>
      <w:r>
        <w:rPr>
          <w:rFonts w:ascii="仿宋_GB2312" w:hAnsi="楷体" w:eastAsia="仿宋_GB2312"/>
          <w:color w:val="000000"/>
          <w:sz w:val="32"/>
          <w:szCs w:val="32"/>
        </w:rPr>
        <w:t>:</w:t>
      </w:r>
      <w:r>
        <w:rPr>
          <w:rFonts w:hint="eastAsia" w:ascii="仿宋_GB2312" w:hAnsi="楷体" w:eastAsia="仿宋_GB2312"/>
          <w:color w:val="000000"/>
          <w:sz w:val="32"/>
          <w:szCs w:val="32"/>
        </w:rPr>
        <w:t>指职业年金支出。</w:t>
      </w:r>
      <w:bookmarkEnd w:id="237"/>
      <w:bookmarkEnd w:id="238"/>
      <w:bookmarkEnd w:id="239"/>
    </w:p>
    <w:p>
      <w:pPr>
        <w:spacing w:line="594" w:lineRule="exact"/>
        <w:ind w:firstLine="640" w:firstLineChars="200"/>
        <w:outlineLvl w:val="1"/>
        <w:rPr>
          <w:rFonts w:ascii="仿宋_GB2312" w:hAnsi="楷体" w:eastAsia="仿宋_GB2312"/>
          <w:color w:val="000000"/>
          <w:sz w:val="32"/>
          <w:szCs w:val="32"/>
        </w:rPr>
      </w:pPr>
      <w:bookmarkStart w:id="240" w:name="_Toc51662619"/>
      <w:bookmarkStart w:id="241" w:name="_Toc3577"/>
      <w:bookmarkStart w:id="242" w:name="_Toc51662807"/>
      <w:r>
        <w:rPr>
          <w:rFonts w:hint="eastAsia" w:ascii="仿宋_GB2312" w:hAnsi="楷体" w:eastAsia="仿宋_GB2312"/>
          <w:color w:val="000000"/>
          <w:sz w:val="32"/>
          <w:szCs w:val="32"/>
        </w:rPr>
        <w:t>19</w:t>
      </w:r>
      <w:r>
        <w:rPr>
          <w:rFonts w:ascii="仿宋_GB2312" w:hAnsi="楷体" w:eastAsia="仿宋_GB2312"/>
          <w:color w:val="000000"/>
          <w:sz w:val="32"/>
          <w:szCs w:val="32"/>
        </w:rPr>
        <w:t>.</w:t>
      </w:r>
      <w:r>
        <w:rPr>
          <w:rFonts w:hint="eastAsia" w:ascii="仿宋_GB2312" w:hAnsi="楷体" w:eastAsia="仿宋_GB2312"/>
          <w:color w:val="000000"/>
          <w:sz w:val="32"/>
          <w:szCs w:val="32"/>
        </w:rPr>
        <w:t>卫生健康（类）公共卫生（款）重大公共卫生专项（项）</w:t>
      </w:r>
      <w:r>
        <w:rPr>
          <w:rFonts w:ascii="仿宋_GB2312" w:hAnsi="楷体" w:eastAsia="仿宋_GB2312"/>
          <w:color w:val="000000"/>
          <w:sz w:val="32"/>
          <w:szCs w:val="32"/>
        </w:rPr>
        <w:t>:</w:t>
      </w:r>
      <w:r>
        <w:rPr>
          <w:rFonts w:hint="eastAsia" w:ascii="仿宋_GB2312" w:hAnsi="楷体" w:eastAsia="仿宋_GB2312"/>
          <w:color w:val="000000"/>
          <w:sz w:val="32"/>
          <w:szCs w:val="32"/>
        </w:rPr>
        <w:t>指重大公共卫生支出及基层能力建设。</w:t>
      </w:r>
      <w:bookmarkEnd w:id="240"/>
      <w:bookmarkEnd w:id="241"/>
      <w:bookmarkEnd w:id="242"/>
    </w:p>
    <w:p>
      <w:pPr>
        <w:spacing w:line="594" w:lineRule="exact"/>
        <w:ind w:firstLine="640" w:firstLineChars="200"/>
        <w:outlineLvl w:val="1"/>
        <w:rPr>
          <w:rFonts w:ascii="仿宋_GB2312" w:hAnsi="楷体" w:eastAsia="仿宋_GB2312"/>
          <w:color w:val="000000"/>
          <w:sz w:val="32"/>
          <w:szCs w:val="32"/>
        </w:rPr>
      </w:pPr>
      <w:bookmarkStart w:id="243" w:name="_Toc51662808"/>
      <w:bookmarkStart w:id="244" w:name="_Toc51662620"/>
      <w:bookmarkStart w:id="245" w:name="_Toc28074"/>
      <w:r>
        <w:rPr>
          <w:rFonts w:hint="eastAsia" w:ascii="仿宋_GB2312" w:hAnsi="楷体" w:eastAsia="仿宋_GB2312"/>
          <w:color w:val="000000"/>
          <w:sz w:val="32"/>
          <w:szCs w:val="32"/>
        </w:rPr>
        <w:t>20</w:t>
      </w:r>
      <w:r>
        <w:rPr>
          <w:rFonts w:ascii="仿宋_GB2312" w:hAnsi="楷体" w:eastAsia="仿宋_GB2312"/>
          <w:color w:val="000000"/>
          <w:sz w:val="32"/>
          <w:szCs w:val="32"/>
        </w:rPr>
        <w:t>.</w:t>
      </w:r>
      <w:r>
        <w:rPr>
          <w:rFonts w:hint="eastAsia" w:ascii="仿宋_GB2312" w:hAnsi="楷体" w:eastAsia="仿宋_GB2312"/>
          <w:color w:val="000000"/>
          <w:sz w:val="32"/>
          <w:szCs w:val="32"/>
        </w:rPr>
        <w:t>卫生健康（类）行政事业单位医疗（款）行政单位医疗（项）：指行政人员医疗保险支出。</w:t>
      </w:r>
      <w:bookmarkEnd w:id="243"/>
      <w:bookmarkEnd w:id="244"/>
      <w:bookmarkEnd w:id="245"/>
    </w:p>
    <w:p>
      <w:pPr>
        <w:spacing w:line="594" w:lineRule="exact"/>
        <w:ind w:firstLine="640" w:firstLineChars="200"/>
        <w:outlineLvl w:val="1"/>
        <w:rPr>
          <w:rFonts w:ascii="仿宋_GB2312" w:hAnsi="楷体" w:eastAsia="仿宋_GB2312"/>
          <w:color w:val="000000"/>
          <w:sz w:val="32"/>
          <w:szCs w:val="32"/>
        </w:rPr>
      </w:pPr>
      <w:bookmarkStart w:id="246" w:name="_Toc30359"/>
      <w:bookmarkStart w:id="247" w:name="_Toc51662809"/>
      <w:bookmarkStart w:id="248" w:name="_Toc51662621"/>
      <w:r>
        <w:rPr>
          <w:rFonts w:hint="eastAsia" w:ascii="仿宋_GB2312" w:hAnsi="楷体" w:eastAsia="仿宋_GB2312"/>
          <w:color w:val="000000"/>
          <w:sz w:val="32"/>
          <w:szCs w:val="32"/>
        </w:rPr>
        <w:t>21</w:t>
      </w:r>
      <w:r>
        <w:rPr>
          <w:rFonts w:ascii="仿宋_GB2312" w:hAnsi="楷体" w:eastAsia="仿宋_GB2312"/>
          <w:color w:val="000000"/>
          <w:sz w:val="32"/>
          <w:szCs w:val="32"/>
        </w:rPr>
        <w:t>.</w:t>
      </w:r>
      <w:r>
        <w:rPr>
          <w:rFonts w:hint="eastAsia" w:ascii="仿宋_GB2312" w:hAnsi="楷体" w:eastAsia="仿宋_GB2312"/>
          <w:color w:val="000000"/>
          <w:sz w:val="32"/>
          <w:szCs w:val="32"/>
        </w:rPr>
        <w:t>卫生健康（类）行政事业单位医疗（款）事业单位医疗（项）：指事业人员医疗保险支出。</w:t>
      </w:r>
      <w:bookmarkEnd w:id="246"/>
      <w:bookmarkEnd w:id="247"/>
      <w:bookmarkEnd w:id="248"/>
    </w:p>
    <w:p>
      <w:pPr>
        <w:spacing w:line="594" w:lineRule="exact"/>
        <w:ind w:firstLine="640" w:firstLineChars="200"/>
        <w:outlineLvl w:val="1"/>
        <w:rPr>
          <w:rFonts w:ascii="仿宋_GB2312" w:hAnsi="楷体" w:eastAsia="仿宋_GB2312"/>
          <w:color w:val="000000"/>
          <w:sz w:val="32"/>
          <w:szCs w:val="32"/>
        </w:rPr>
      </w:pPr>
      <w:bookmarkStart w:id="249" w:name="_Toc51662622"/>
      <w:bookmarkStart w:id="250" w:name="_Toc28869"/>
      <w:bookmarkStart w:id="251" w:name="_Toc51662810"/>
      <w:r>
        <w:rPr>
          <w:rFonts w:hint="eastAsia" w:ascii="仿宋_GB2312" w:hAnsi="楷体" w:eastAsia="仿宋_GB2312"/>
          <w:color w:val="000000"/>
          <w:sz w:val="32"/>
          <w:szCs w:val="32"/>
        </w:rPr>
        <w:t>22.农林水（类）扶贫（款）其他扶贫支出（项）：指第一书记经费支出。</w:t>
      </w:r>
      <w:bookmarkEnd w:id="249"/>
      <w:bookmarkEnd w:id="250"/>
      <w:bookmarkEnd w:id="251"/>
    </w:p>
    <w:p>
      <w:pPr>
        <w:spacing w:line="594" w:lineRule="exact"/>
        <w:ind w:firstLine="640" w:firstLineChars="200"/>
        <w:outlineLvl w:val="1"/>
        <w:rPr>
          <w:rFonts w:ascii="仿宋_GB2312" w:hAnsi="楷体" w:eastAsia="仿宋_GB2312"/>
          <w:color w:val="000000"/>
          <w:sz w:val="32"/>
          <w:szCs w:val="32"/>
        </w:rPr>
      </w:pPr>
      <w:bookmarkStart w:id="252" w:name="_Toc51662623"/>
      <w:bookmarkStart w:id="253" w:name="_Toc51662811"/>
      <w:bookmarkStart w:id="254" w:name="_Toc23692"/>
      <w:r>
        <w:rPr>
          <w:rFonts w:hint="eastAsia" w:ascii="仿宋_GB2312" w:hAnsi="楷体" w:eastAsia="仿宋_GB2312"/>
          <w:color w:val="000000"/>
          <w:sz w:val="32"/>
          <w:szCs w:val="32"/>
        </w:rPr>
        <w:t>14.住房保障支出（类）住房改革支出（款）住房公积金（项）：指住房公积金支出。</w:t>
      </w:r>
      <w:bookmarkEnd w:id="252"/>
      <w:bookmarkEnd w:id="253"/>
      <w:bookmarkEnd w:id="254"/>
    </w:p>
    <w:p>
      <w:pPr>
        <w:spacing w:line="594" w:lineRule="exact"/>
        <w:ind w:firstLine="640" w:firstLineChars="200"/>
        <w:outlineLvl w:val="1"/>
        <w:rPr>
          <w:rFonts w:ascii="仿宋_GB2312" w:hAnsi="楷体" w:eastAsia="仿宋_GB2312"/>
          <w:color w:val="000000"/>
          <w:sz w:val="32"/>
          <w:szCs w:val="32"/>
        </w:rPr>
      </w:pPr>
      <w:bookmarkStart w:id="255" w:name="_Toc32431"/>
      <w:bookmarkStart w:id="256" w:name="_Toc51662624"/>
      <w:bookmarkStart w:id="257" w:name="_Toc51662812"/>
      <w:r>
        <w:rPr>
          <w:rFonts w:hint="eastAsia" w:ascii="仿宋_GB2312" w:hAnsi="楷体" w:eastAsia="仿宋_GB2312"/>
          <w:color w:val="000000"/>
          <w:sz w:val="32"/>
          <w:szCs w:val="32"/>
        </w:rPr>
        <w:t>15. 住房保障支出（类）住房改革支出（款）购房补贴（项）：指退休人员购房补贴。</w:t>
      </w:r>
      <w:bookmarkEnd w:id="255"/>
      <w:bookmarkEnd w:id="256"/>
      <w:bookmarkEnd w:id="257"/>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18</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3"/>
        <w:spacing w:line="594"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spacing w:line="594" w:lineRule="exact"/>
        <w:ind w:firstLine="640" w:firstLineChars="200"/>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
        <w:spacing w:before="0" w:after="0" w:line="594" w:lineRule="exact"/>
        <w:ind w:firstLine="2831" w:firstLineChars="641"/>
      </w:pPr>
      <w:bookmarkStart w:id="258" w:name="_Toc15377226"/>
      <w:r>
        <w:rPr>
          <w:rFonts w:ascii="宋体"/>
          <w:color w:val="000000"/>
        </w:rPr>
        <w:br w:type="page"/>
      </w:r>
      <w:bookmarkStart w:id="259" w:name="_Toc19084"/>
      <w:bookmarkStart w:id="260" w:name="_Toc51662813"/>
      <w:bookmarkStart w:id="261" w:name="_Toc51662625"/>
      <w:r>
        <w:rPr>
          <w:rFonts w:hint="eastAsia" w:ascii="方正小标宋简体" w:hAnsi="方正小标宋简体" w:eastAsia="方正小标宋简体" w:cs="方正小标宋简体"/>
        </w:rPr>
        <w:t>第四部分 附件</w:t>
      </w:r>
      <w:bookmarkEnd w:id="259"/>
      <w:bookmarkEnd w:id="260"/>
      <w:bookmarkEnd w:id="261"/>
    </w:p>
    <w:p>
      <w:pPr>
        <w:pStyle w:val="3"/>
        <w:spacing w:before="0" w:after="0" w:line="594" w:lineRule="exact"/>
        <w:rPr>
          <w:rFonts w:ascii="仿宋_GB2312" w:hAnsi="仿宋_GB2312" w:eastAsia="仿宋_GB2312" w:cs="仿宋_GB2312"/>
        </w:rPr>
      </w:pPr>
      <w:bookmarkStart w:id="262" w:name="_Toc51662814"/>
      <w:bookmarkStart w:id="263" w:name="_Toc51662626"/>
      <w:bookmarkStart w:id="264" w:name="_Toc26647"/>
      <w:r>
        <w:rPr>
          <w:rFonts w:hint="eastAsia" w:ascii="仿宋_GB2312" w:hAnsi="仿宋_GB2312" w:eastAsia="仿宋_GB2312" w:cs="仿宋_GB2312"/>
        </w:rPr>
        <w:t>附件1</w:t>
      </w:r>
      <w:bookmarkEnd w:id="262"/>
      <w:bookmarkEnd w:id="263"/>
      <w:bookmarkEnd w:id="264"/>
    </w:p>
    <w:p>
      <w:pPr>
        <w:spacing w:line="594" w:lineRule="exact"/>
        <w:jc w:val="center"/>
        <w:rPr>
          <w:rFonts w:ascii="方正小标宋简体" w:hAnsi="宋体" w:eastAsia="方正小标宋简体"/>
          <w:color w:val="000000"/>
          <w:kern w:val="0"/>
          <w:sz w:val="40"/>
          <w:szCs w:val="44"/>
        </w:rPr>
      </w:pPr>
      <w:r>
        <w:rPr>
          <w:rFonts w:hint="eastAsia" w:ascii="方正小标宋简体" w:hAnsi="宋体" w:eastAsia="方正小标宋简体"/>
          <w:color w:val="000000"/>
          <w:kern w:val="0"/>
          <w:sz w:val="40"/>
          <w:szCs w:val="44"/>
        </w:rPr>
        <w:t>茂县市场监督管理局</w:t>
      </w:r>
    </w:p>
    <w:p>
      <w:pPr>
        <w:spacing w:line="594" w:lineRule="exact"/>
        <w:jc w:val="center"/>
        <w:rPr>
          <w:rFonts w:ascii="方正小标宋简体" w:hAnsi="宋体" w:eastAsia="方正小标宋简体"/>
          <w:color w:val="000000"/>
          <w:kern w:val="0"/>
          <w:sz w:val="40"/>
          <w:szCs w:val="44"/>
          <w:lang w:val="zh-CN"/>
        </w:rPr>
      </w:pP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94" w:lineRule="exact"/>
        <w:ind w:firstLine="640" w:firstLineChars="200"/>
        <w:contextualSpacing/>
        <w:jc w:val="left"/>
        <w:rPr>
          <w:rFonts w:ascii="黑体" w:hAnsi="宋体" w:eastAsia="黑体" w:cs="宋体"/>
          <w:color w:val="000000"/>
          <w:kern w:val="0"/>
          <w:sz w:val="24"/>
          <w:szCs w:val="32"/>
          <w:shd w:val="clear" w:color="auto" w:fill="FFFFFF"/>
        </w:rPr>
      </w:pPr>
      <w:r>
        <w:rPr>
          <w:rFonts w:hint="eastAsia" w:ascii="仿宋_GB2312" w:hAnsi="宋体" w:eastAsia="仿宋_GB2312"/>
          <w:sz w:val="32"/>
          <w:szCs w:val="32"/>
          <w:shd w:val="clear" w:color="auto" w:fill="FFFFFF"/>
        </w:rPr>
        <w:t xml:space="preserve"> </w:t>
      </w:r>
    </w:p>
    <w:p>
      <w:pPr>
        <w:adjustRightInd w:val="0"/>
        <w:snapToGrid w:val="0"/>
        <w:spacing w:line="594" w:lineRule="exact"/>
        <w:ind w:firstLine="720"/>
        <w:rPr>
          <w:rFonts w:ascii="黑体" w:hAnsi="宋体" w:eastAsia="黑体"/>
          <w:b/>
          <w:bCs/>
          <w:sz w:val="32"/>
          <w:szCs w:val="32"/>
          <w:lang w:val="zh-CN"/>
        </w:rPr>
      </w:pPr>
      <w:r>
        <w:rPr>
          <w:rFonts w:hint="eastAsia" w:ascii="黑体" w:hAnsi="宋体" w:eastAsia="黑体"/>
          <w:b/>
          <w:bCs/>
          <w:sz w:val="32"/>
          <w:szCs w:val="32"/>
          <w:lang w:val="zh-CN"/>
        </w:rPr>
        <w:t>一、部门（单位）概况</w:t>
      </w:r>
    </w:p>
    <w:p>
      <w:pPr>
        <w:spacing w:line="594"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（一）机构组成</w:t>
      </w:r>
    </w:p>
    <w:p>
      <w:pPr>
        <w:spacing w:line="594"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 w:eastAsia="仿宋_GB2312"/>
          <w:sz w:val="32"/>
          <w:szCs w:val="32"/>
        </w:rPr>
        <w:t>茂县市场监督管理局为县级独立的法人机构，下属二级预算单位0个，参照公务员法管理的事业单位0个，其他事业单位0个。</w:t>
      </w:r>
    </w:p>
    <w:p>
      <w:pPr>
        <w:spacing w:line="594"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（二）机构职能</w:t>
      </w:r>
    </w:p>
    <w:p>
      <w:pPr>
        <w:spacing w:line="594" w:lineRule="exact"/>
        <w:ind w:firstLine="640" w:firstLineChars="200"/>
        <w:rPr>
          <w:rFonts w:ascii="仿宋_GB2312" w:hAnsi="仿宋" w:eastAsia="仿宋_GB2312"/>
          <w:sz w:val="32"/>
          <w:szCs w:val="32"/>
        </w:rPr>
      </w:pPr>
      <w:r>
        <w:rPr>
          <w:rFonts w:hint="eastAsia" w:ascii="仿宋_GB2312" w:hAnsi="仿宋" w:eastAsia="仿宋_GB2312"/>
          <w:sz w:val="32"/>
          <w:szCs w:val="32"/>
        </w:rPr>
        <w:t>主要负责辖区工商企业、农民专业合作社和从事经营活动的单位、个人以及上级授权办理的其他市场主体的登记注册工作；负责辖区市场经济秩序监督管理；负责辖区商标和广告监督管理工作；负责辖区合同监督管理工作；负责辖区保护消费者合法权益工作；负责管理和指导辖区质量工作；负责辖区计量监督管理工作；负责辖区标准化管理工作；负责特种设备的安全监察工作；负责食品安全生产、流通、消费环节的行政许可和监督管理；承担县食品安全委员会的日常工作；负责辖区相关市场监管领域安全事故应急体系建设，组织和指导重大突发事件应对处置和调查处理工作，监督事故查处落实情况；承担茂县保护消费者权益委员会日常工作，组织指导个体私营经济协会的相关工作。</w:t>
      </w:r>
    </w:p>
    <w:p>
      <w:pPr>
        <w:spacing w:line="594"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（三）人员概况</w:t>
      </w:r>
    </w:p>
    <w:p>
      <w:pPr>
        <w:spacing w:line="594"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 w:eastAsia="仿宋_GB2312"/>
          <w:sz w:val="32"/>
          <w:szCs w:val="32"/>
        </w:rPr>
        <w:t>总编制52名,其中：行政编制23名,行政工勤人员3名,参照公务员管理人员19名,消委会事业人员7名。实有在职人员总数54人,其中：行政人员41人，其他事业人员3人，参公人员10人，财政补助人员0人；离休人员0人，退休人员15人。</w:t>
      </w:r>
    </w:p>
    <w:p>
      <w:pPr>
        <w:adjustRightInd w:val="0"/>
        <w:snapToGrid w:val="0"/>
        <w:spacing w:line="594" w:lineRule="exact"/>
        <w:ind w:firstLine="720"/>
        <w:rPr>
          <w:rFonts w:ascii="黑体" w:hAnsi="黑体" w:eastAsia="黑体" w:cs="黑体"/>
          <w:sz w:val="32"/>
          <w:szCs w:val="32"/>
          <w:lang w:val="zh-CN"/>
        </w:rPr>
      </w:pPr>
      <w:r>
        <w:rPr>
          <w:rFonts w:hint="eastAsia" w:ascii="黑体" w:hAnsi="黑体" w:eastAsia="黑体" w:cs="黑体"/>
          <w:sz w:val="32"/>
          <w:szCs w:val="32"/>
          <w:lang w:val="zh-CN"/>
        </w:rPr>
        <w:t>二、部门财政资金收支情况</w:t>
      </w:r>
    </w:p>
    <w:p>
      <w:pPr>
        <w:spacing w:line="594"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（一）部门财政资金收入情况</w:t>
      </w:r>
    </w:p>
    <w:p>
      <w:pPr>
        <w:spacing w:line="594" w:lineRule="exact"/>
        <w:ind w:firstLine="480" w:firstLineChars="150"/>
        <w:outlineLvl w:val="1"/>
        <w:rPr>
          <w:rFonts w:ascii="仿宋_GB2312" w:hAnsi="楷体" w:eastAsia="仿宋_GB2312"/>
          <w:color w:val="000000"/>
          <w:sz w:val="32"/>
          <w:szCs w:val="32"/>
        </w:rPr>
      </w:pPr>
      <w:bookmarkStart w:id="265" w:name="_Toc1092"/>
      <w:bookmarkStart w:id="266" w:name="_Toc51662627"/>
      <w:bookmarkStart w:id="267" w:name="_Toc51662815"/>
      <w:r>
        <w:rPr>
          <w:rFonts w:hint="eastAsia" w:ascii="仿宋_GB2312" w:hAnsi="楷体" w:eastAsia="仿宋_GB2312"/>
          <w:color w:val="000000"/>
          <w:sz w:val="32"/>
          <w:szCs w:val="32"/>
        </w:rPr>
        <w:t>2019年财政资金收入合计1126.32万元，与2018年相比上升19.07万元，主要原因是专项执法检查经费增加投入。</w:t>
      </w:r>
      <w:bookmarkEnd w:id="265"/>
      <w:bookmarkEnd w:id="266"/>
      <w:bookmarkEnd w:id="267"/>
    </w:p>
    <w:p>
      <w:pPr>
        <w:spacing w:line="594"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（二）部门财政资金支出情况</w:t>
      </w:r>
    </w:p>
    <w:p>
      <w:pPr>
        <w:spacing w:line="594" w:lineRule="exact"/>
        <w:ind w:firstLine="640" w:firstLineChars="200"/>
        <w:outlineLvl w:val="1"/>
        <w:rPr>
          <w:rFonts w:ascii="仿宋_GB2312" w:hAnsi="楷体" w:eastAsia="仿宋_GB2312"/>
          <w:color w:val="000000"/>
          <w:sz w:val="32"/>
          <w:szCs w:val="32"/>
        </w:rPr>
      </w:pPr>
      <w:bookmarkStart w:id="268" w:name="_Toc10431"/>
      <w:bookmarkStart w:id="269" w:name="_Toc51662816"/>
      <w:bookmarkStart w:id="270" w:name="_Toc51662628"/>
      <w:r>
        <w:rPr>
          <w:rFonts w:hint="eastAsia" w:ascii="仿宋_GB2312" w:hAnsi="楷体" w:eastAsia="仿宋_GB2312"/>
          <w:color w:val="000000"/>
          <w:sz w:val="32"/>
          <w:szCs w:val="32"/>
        </w:rPr>
        <w:t>2019年财政拨款支出合计1068.01万元，与2018年相比上升25.03万元，主要原因：一是人员工资增加，二是抽检和知识产权支出纳入预算。</w:t>
      </w:r>
      <w:bookmarkEnd w:id="268"/>
      <w:bookmarkEnd w:id="269"/>
      <w:bookmarkEnd w:id="270"/>
    </w:p>
    <w:p>
      <w:pPr>
        <w:adjustRightInd w:val="0"/>
        <w:snapToGrid w:val="0"/>
        <w:spacing w:line="594" w:lineRule="exact"/>
        <w:ind w:firstLine="720"/>
        <w:rPr>
          <w:rFonts w:ascii="黑体" w:hAnsi="黑体" w:eastAsia="黑体" w:cs="黑体"/>
          <w:b/>
          <w:bCs/>
          <w:sz w:val="32"/>
          <w:szCs w:val="32"/>
          <w:lang w:val="zh-CN"/>
        </w:rPr>
      </w:pPr>
      <w:r>
        <w:rPr>
          <w:rFonts w:hint="eastAsia" w:ascii="黑体" w:hAnsi="黑体" w:eastAsia="黑体" w:cs="黑体"/>
          <w:b/>
          <w:bCs/>
          <w:sz w:val="32"/>
          <w:szCs w:val="32"/>
          <w:lang w:val="zh-CN"/>
        </w:rPr>
        <w:t>三、部门整体预算绩效管理情况</w:t>
      </w:r>
    </w:p>
    <w:p>
      <w:pPr>
        <w:spacing w:line="594"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（一）部门预算管理</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我局根据职能职责，积极谋划，确定目标任务，推动落实监管工作。</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一是按照2019年部门预算编审要求，结合单位职能职责及中长期规划和年度工作计划，明确了年度工作任务和总体工作所要达到的目标，并认真填报了整体支出绩效目</w:t>
      </w:r>
      <w:r>
        <w:rPr>
          <w:rFonts w:hint="eastAsia" w:ascii="仿宋_GB2312" w:hAnsi="楷体" w:eastAsia="仿宋_GB2312"/>
          <w:color w:val="000000"/>
          <w:sz w:val="32"/>
          <w:szCs w:val="32"/>
        </w:rPr>
        <w:t>“</w:t>
      </w:r>
      <w:r>
        <w:rPr>
          <w:rFonts w:ascii="仿宋_GB2312" w:hAnsi="楷体" w:eastAsia="仿宋_GB2312"/>
          <w:color w:val="000000"/>
          <w:sz w:val="32"/>
          <w:szCs w:val="32"/>
        </w:rPr>
        <w:t>201</w:t>
      </w:r>
      <w:r>
        <w:rPr>
          <w:rFonts w:hint="eastAsia" w:ascii="仿宋_GB2312" w:hAnsi="楷体" w:eastAsia="仿宋_GB2312"/>
          <w:color w:val="000000"/>
          <w:sz w:val="32"/>
          <w:szCs w:val="32"/>
        </w:rPr>
        <w:t>9年药品不良应、药品综合监管及药品化妆品抽检项目”</w:t>
      </w:r>
      <w:r>
        <w:rPr>
          <w:rFonts w:hint="eastAsia" w:ascii="仿宋_GB2312" w:hAnsi="楷体" w:eastAsia="仿宋_GB2312" w:cs="仿宋_GB2312"/>
          <w:sz w:val="32"/>
          <w:szCs w:val="32"/>
        </w:rPr>
        <w:t>等3个项目的绩效目标。从数量指标、成本指标、效益指标等多个角度进行了自评。　</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二是根据实际工作开展情况，调整工作中的资金使用进度，尽量保障资金的高效运行及工作顺利开展。</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（二）专项预算管理</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2019年的专项预算由省、州工质商、质量技术、食品药品监督管理局预以编制。县级没有专项预算。</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（三）结果应用情况　</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我局对部门预算绩效管理工作情况认真进行了自查自评。将自评结果作为预算安排的重要依据。</w:t>
      </w:r>
    </w:p>
    <w:p>
      <w:pPr>
        <w:adjustRightInd w:val="0"/>
        <w:snapToGrid w:val="0"/>
        <w:spacing w:line="594" w:lineRule="exact"/>
        <w:ind w:firstLine="720"/>
        <w:rPr>
          <w:rFonts w:ascii="黑体" w:hAnsi="黑体" w:eastAsia="黑体" w:cs="黑体"/>
          <w:b/>
          <w:bCs/>
          <w:sz w:val="32"/>
          <w:szCs w:val="32"/>
          <w:lang w:val="zh-CN"/>
        </w:rPr>
      </w:pPr>
      <w:r>
        <w:rPr>
          <w:rFonts w:hint="eastAsia" w:ascii="黑体" w:hAnsi="黑体" w:eastAsia="黑体" w:cs="黑体"/>
          <w:b/>
          <w:bCs/>
          <w:sz w:val="32"/>
          <w:szCs w:val="32"/>
          <w:lang w:val="zh-CN"/>
        </w:rPr>
        <w:t>四、评价结论及建议</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94" w:lineRule="exact"/>
        <w:ind w:firstLine="640" w:firstLineChars="200"/>
        <w:rPr>
          <w:rFonts w:ascii="仿宋_GB2312" w:hAnsi="楷体" w:eastAsia="仿宋_GB2312" w:cs="仿宋_GB2312"/>
          <w:sz w:val="32"/>
          <w:szCs w:val="32"/>
        </w:rPr>
      </w:pPr>
      <w:r>
        <w:rPr>
          <w:rFonts w:ascii="仿宋_GB2312" w:hAnsi="楷体" w:eastAsia="仿宋_GB2312" w:cs="仿宋_GB2312"/>
          <w:sz w:val="32"/>
          <w:szCs w:val="32"/>
        </w:rPr>
        <w:t>201</w:t>
      </w:r>
      <w:r>
        <w:rPr>
          <w:rFonts w:hint="eastAsia" w:ascii="仿宋_GB2312" w:hAnsi="楷体" w:eastAsia="仿宋_GB2312" w:cs="仿宋_GB2312"/>
          <w:sz w:val="32"/>
          <w:szCs w:val="32"/>
        </w:rPr>
        <w:t xml:space="preserve">9年我局部门整体支出绩效评价自查自评结果良好，全年基本支出保证了部门的正常运行和日常工作的正常开展，项目支出保障了重点工作的开展，达到预期绩效目标。  </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（二）存在问题　</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一是支出进度慢，二是部门预算与实际工作有偏差。</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（三）改进建议　</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一是希望省州能够于每年初将专项预算拨付我局。二是加强资金的综合协调，提高资金使用进度。</w:t>
      </w:r>
    </w:p>
    <w:p>
      <w:pPr>
        <w:widowControl/>
        <w:adjustRightInd w:val="0"/>
        <w:snapToGrid w:val="0"/>
        <w:spacing w:line="594"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spacing w:line="594" w:lineRule="exact"/>
        <w:ind w:firstLine="640" w:firstLineChars="200"/>
        <w:rPr>
          <w:rFonts w:ascii="仿宋_GB2312" w:hAnsi="仿宋_GB2312" w:eastAsia="仿宋_GB2312" w:cs="仿宋_GB2312"/>
          <w:sz w:val="32"/>
          <w:szCs w:val="32"/>
        </w:rPr>
      </w:pPr>
    </w:p>
    <w:p>
      <w:pPr>
        <w:spacing w:line="594" w:lineRule="exact"/>
        <w:ind w:firstLine="640" w:firstLineChars="200"/>
        <w:rPr>
          <w:rFonts w:ascii="仿宋_GB2312" w:hAnsi="仿宋_GB2312" w:eastAsia="仿宋_GB2312" w:cs="仿宋_GB2312"/>
          <w:sz w:val="32"/>
          <w:szCs w:val="32"/>
        </w:rPr>
      </w:pPr>
    </w:p>
    <w:p>
      <w:pPr>
        <w:pStyle w:val="3"/>
        <w:spacing w:before="0" w:after="0" w:line="594" w:lineRule="exact"/>
        <w:rPr>
          <w:rFonts w:ascii="仿宋_GB2312" w:hAnsi="仿宋_GB2312" w:eastAsia="仿宋_GB2312" w:cs="仿宋_GB2312"/>
        </w:rPr>
      </w:pPr>
      <w:bookmarkStart w:id="271" w:name="_Toc2550"/>
      <w:bookmarkStart w:id="272" w:name="_Toc51662629"/>
      <w:bookmarkStart w:id="273" w:name="_Toc51662817"/>
      <w:r>
        <w:rPr>
          <w:rFonts w:hint="eastAsia" w:ascii="仿宋_GB2312" w:hAnsi="仿宋_GB2312" w:eastAsia="仿宋_GB2312" w:cs="仿宋_GB2312"/>
        </w:rPr>
        <w:t>附件2</w:t>
      </w:r>
      <w:bookmarkEnd w:id="271"/>
      <w:bookmarkEnd w:id="272"/>
      <w:bookmarkEnd w:id="273"/>
    </w:p>
    <w:p>
      <w:pPr>
        <w:spacing w:line="594" w:lineRule="exact"/>
        <w:jc w:val="center"/>
        <w:rPr>
          <w:rFonts w:ascii="方正小标宋简体" w:hAnsi="宋体" w:eastAsia="方正小标宋简体"/>
          <w:color w:val="000000"/>
          <w:kern w:val="0"/>
          <w:sz w:val="44"/>
          <w:szCs w:val="44"/>
          <w:lang w:val="zh-CN"/>
        </w:rPr>
      </w:pPr>
      <w:r>
        <w:rPr>
          <w:rFonts w:ascii="方正小标宋简体" w:hAnsi="宋体" w:eastAsia="方正小标宋简体"/>
          <w:color w:val="000000"/>
          <w:kern w:val="0"/>
          <w:sz w:val="44"/>
          <w:szCs w:val="44"/>
        </w:rPr>
        <w:t>“201</w:t>
      </w:r>
      <w:r>
        <w:rPr>
          <w:rFonts w:hint="eastAsia" w:ascii="方正小标宋简体" w:hAnsi="宋体" w:eastAsia="方正小标宋简体"/>
          <w:color w:val="000000"/>
          <w:kern w:val="0"/>
          <w:sz w:val="44"/>
          <w:szCs w:val="44"/>
        </w:rPr>
        <w:t>9年药品不良应、药品综合监管及药品化妆品抽检项目</w:t>
      </w:r>
      <w:r>
        <w:rPr>
          <w:rFonts w:ascii="方正小标宋简体" w:hAnsi="宋体" w:eastAsia="方正小标宋简体"/>
          <w:color w:val="000000"/>
          <w:kern w:val="0"/>
          <w:sz w:val="44"/>
          <w:szCs w:val="44"/>
        </w:rPr>
        <w:t>”</w:t>
      </w:r>
      <w:r>
        <w:rPr>
          <w:rFonts w:hint="eastAsia" w:ascii="方正小标宋简体" w:hAnsi="宋体" w:eastAsia="方正小标宋简体"/>
          <w:color w:val="000000"/>
          <w:kern w:val="0"/>
          <w:sz w:val="44"/>
          <w:szCs w:val="44"/>
          <w:lang w:val="zh-CN"/>
        </w:rPr>
        <w:t>绩效评价报告</w:t>
      </w:r>
    </w:p>
    <w:p>
      <w:pPr>
        <w:spacing w:line="594" w:lineRule="exact"/>
        <w:rPr>
          <w:rFonts w:ascii="宋体" w:hAnsi="宋体"/>
          <w:sz w:val="32"/>
          <w:szCs w:val="32"/>
          <w:lang w:val="zh-CN"/>
        </w:rPr>
      </w:pPr>
    </w:p>
    <w:p>
      <w:pPr>
        <w:adjustRightInd w:val="0"/>
        <w:snapToGrid w:val="0"/>
        <w:spacing w:line="594" w:lineRule="exact"/>
        <w:ind w:firstLine="720"/>
        <w:rPr>
          <w:rFonts w:ascii="黑体" w:hAnsi="宋体" w:eastAsia="黑体"/>
          <w:b/>
          <w:bCs/>
          <w:sz w:val="32"/>
          <w:szCs w:val="32"/>
          <w:lang w:val="zh-CN"/>
        </w:rPr>
      </w:pPr>
      <w:r>
        <w:rPr>
          <w:rFonts w:hint="eastAsia" w:ascii="黑体" w:hAnsi="宋体" w:eastAsia="黑体"/>
          <w:b/>
          <w:bCs/>
          <w:sz w:val="32"/>
          <w:szCs w:val="32"/>
        </w:rPr>
        <w:t>一、</w:t>
      </w:r>
      <w:r>
        <w:rPr>
          <w:rFonts w:hint="eastAsia" w:ascii="黑体" w:hAnsi="宋体" w:eastAsia="黑体"/>
          <w:b/>
          <w:bCs/>
          <w:sz w:val="32"/>
          <w:szCs w:val="32"/>
          <w:lang w:val="zh-CN"/>
        </w:rPr>
        <w:t>项目概况</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1．根据我局工作职能分，强化药品、化妆品等日常监管，做好药品不良反应及药品抽检工作。</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 阿坝州财政局、阿坝州市场监督管理局关于下达2019年中央药品监管补助资金的通知》（阿州财行〔2019〕56号）、《 阿坝州财政局、阿坝州市场监督管理局关于下达2019年省级药品监管专项资金的通知》（阿州财行〔2019〕54号）.</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3．严格按照中央、省专项资金项目管理办法实施各专项资金。</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4．2019年安排资金19.38万元。</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1．项目主要内容</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强化药品、化妆品等日常监管，对辖区内药品零售企业实施全覆盖检查，严厉打击无证经营药品、以非药品冒充药品销售、挂靠走票、经营回收药品等违法行为。开展中药饮牌、义齿、化妆品质量安全等专项整治。开展药品抽样工作，做好抽验结果处置。加强药械化不良反应和药物滥用监测工作。</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2．项目分别从项目完成指标、效益指标、满意度指标方面进行了分解。</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3．项目资金申报内容与具体实施内容相符、申报目标合理可行。</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对照绩效考评表内容逐项进行检查。</w:t>
      </w:r>
    </w:p>
    <w:p>
      <w:pPr>
        <w:adjustRightInd w:val="0"/>
        <w:snapToGrid w:val="0"/>
        <w:spacing w:line="594" w:lineRule="exact"/>
        <w:ind w:firstLine="720"/>
        <w:rPr>
          <w:rFonts w:ascii="黑体" w:hAnsi="宋体" w:eastAsia="黑体"/>
          <w:b/>
          <w:bCs/>
          <w:sz w:val="32"/>
          <w:szCs w:val="32"/>
        </w:rPr>
      </w:pPr>
      <w:r>
        <w:rPr>
          <w:rFonts w:hint="eastAsia" w:ascii="黑体" w:hAnsi="宋体" w:eastAsia="黑体"/>
          <w:b/>
          <w:bCs/>
          <w:sz w:val="32"/>
          <w:szCs w:val="32"/>
        </w:rPr>
        <w:t>二、项目资金申报及使用情况</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我局申请19.38万元，批复19.38万元</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1．资金计划。申请19.38万元。</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2．资金到位。</w:t>
      </w:r>
      <w:r>
        <w:rPr>
          <w:rFonts w:hint="eastAsia" w:ascii="仿宋_GB2312" w:hAnsi="宋体" w:eastAsia="仿宋_GB2312"/>
          <w:sz w:val="32"/>
          <w:szCs w:val="32"/>
          <w:lang w:val="zh-CN"/>
        </w:rPr>
        <w:t>2019年10月收到19.38万元。</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3．资金使用。</w:t>
      </w:r>
      <w:r>
        <w:rPr>
          <w:rFonts w:hint="eastAsia" w:ascii="仿宋_GB2312" w:hAnsi="宋体" w:eastAsia="仿宋_GB2312"/>
          <w:sz w:val="32"/>
          <w:szCs w:val="32"/>
          <w:lang w:val="zh-CN"/>
        </w:rPr>
        <w:t>到2019年12月31日支出4.59万元。</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经费制度正在不断健全，并能严格执行；项目的实际支出符合财经法规和财务管理制度，资金使用合理；各种账务处理及时准确，会计核算较为规范。做到了专款专用，支付范围、标准、进度、依据符合规定，开支合理合法，无虚列套取，无截留、挤占、挪用资金情况发生。</w:t>
      </w:r>
    </w:p>
    <w:p>
      <w:pPr>
        <w:adjustRightInd w:val="0"/>
        <w:snapToGrid w:val="0"/>
        <w:spacing w:line="594" w:lineRule="exact"/>
        <w:ind w:firstLine="720"/>
        <w:rPr>
          <w:rFonts w:ascii="仿宋_GB2312" w:hAnsi="宋体" w:eastAsia="仿宋_GB2312"/>
          <w:b/>
          <w:bCs/>
          <w:sz w:val="32"/>
          <w:szCs w:val="32"/>
          <w:lang w:val="zh-CN"/>
        </w:rPr>
      </w:pPr>
      <w:r>
        <w:rPr>
          <w:rFonts w:hint="eastAsia" w:ascii="黑体" w:hAnsi="宋体" w:eastAsia="黑体"/>
          <w:b/>
          <w:bCs/>
          <w:sz w:val="32"/>
          <w:szCs w:val="32"/>
        </w:rPr>
        <w:t>三、项目绩效情况</w:t>
      </w:r>
      <w:r>
        <w:rPr>
          <w:rFonts w:hint="eastAsia" w:ascii="仿宋_GB2312" w:hAnsi="宋体" w:eastAsia="仿宋_GB2312"/>
          <w:b/>
          <w:bCs/>
          <w:sz w:val="32"/>
          <w:szCs w:val="32"/>
          <w:lang w:val="zh-CN"/>
        </w:rPr>
        <w:tab/>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w:t>
      </w:r>
      <w:r>
        <w:rPr>
          <w:rFonts w:ascii="仿宋_GB2312" w:hAnsi="宋体" w:eastAsia="仿宋_GB2312"/>
          <w:sz w:val="32"/>
          <w:szCs w:val="32"/>
          <w:lang w:val="zh-CN"/>
        </w:rPr>
        <w:t>数量指标</w:t>
      </w:r>
      <w:r>
        <w:rPr>
          <w:rFonts w:hint="eastAsia" w:ascii="仿宋_GB2312" w:hAnsi="宋体" w:eastAsia="仿宋_GB2312"/>
          <w:sz w:val="32"/>
          <w:szCs w:val="32"/>
          <w:lang w:val="zh-CN"/>
        </w:rPr>
        <w:t>:新版GSP认证13家；风险信息收集211家；药品不良反应48例；抽检药品50批次、医疗器械抽检3批次、化妆品抽检11批次；药品、医疗器械类案件2件,处罚款6600.00元。</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w:t>
      </w:r>
      <w:r>
        <w:rPr>
          <w:rFonts w:ascii="仿宋_GB2312" w:hAnsi="宋体" w:eastAsia="仿宋_GB2312"/>
          <w:sz w:val="32"/>
          <w:szCs w:val="32"/>
          <w:lang w:val="zh-CN"/>
        </w:rPr>
        <w:t>质量指标：</w:t>
      </w:r>
      <w:r>
        <w:rPr>
          <w:rFonts w:hint="eastAsia" w:ascii="仿宋_GB2312" w:hAnsi="宋体" w:eastAsia="仿宋_GB2312"/>
          <w:sz w:val="32"/>
          <w:szCs w:val="32"/>
          <w:lang w:val="zh-CN"/>
        </w:rPr>
        <w:t>13家企业通过认证、风险信息分健全、药品不良反应报告完成、完成药品医疗器械及化妆品抽检工作、完成案件查处。</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w:t>
      </w:r>
      <w:r>
        <w:rPr>
          <w:rFonts w:ascii="仿宋_GB2312" w:hAnsi="宋体" w:eastAsia="仿宋_GB2312"/>
          <w:sz w:val="32"/>
          <w:szCs w:val="32"/>
          <w:lang w:val="zh-CN"/>
        </w:rPr>
        <w:t>时效指标</w:t>
      </w:r>
      <w:r>
        <w:rPr>
          <w:rFonts w:hint="eastAsia" w:ascii="仿宋_GB2312" w:hAnsi="宋体" w:eastAsia="仿宋_GB2312"/>
          <w:sz w:val="32"/>
          <w:szCs w:val="32"/>
          <w:lang w:val="zh-CN"/>
        </w:rPr>
        <w:t>:2019年12月底前完成。</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w:t>
      </w:r>
      <w:r>
        <w:rPr>
          <w:rFonts w:ascii="仿宋_GB2312" w:hAnsi="宋体" w:eastAsia="仿宋_GB2312"/>
          <w:sz w:val="32"/>
          <w:szCs w:val="32"/>
          <w:lang w:val="zh-CN"/>
        </w:rPr>
        <w:t>成本指标</w:t>
      </w:r>
      <w:r>
        <w:rPr>
          <w:rFonts w:hint="eastAsia" w:ascii="仿宋_GB2312" w:hAnsi="宋体" w:eastAsia="仿宋_GB2312"/>
          <w:sz w:val="32"/>
          <w:szCs w:val="32"/>
          <w:lang w:val="zh-CN"/>
        </w:rPr>
        <w:t>: 执法监管成本</w:t>
      </w:r>
      <w:r>
        <w:rPr>
          <w:rFonts w:ascii="仿宋_GB2312" w:hAnsi="宋体" w:eastAsia="仿宋_GB2312"/>
          <w:sz w:val="32"/>
          <w:szCs w:val="32"/>
          <w:lang w:val="zh-CN"/>
        </w:rPr>
        <w:t>≤</w:t>
      </w:r>
      <w:r>
        <w:rPr>
          <w:rFonts w:hint="eastAsia" w:ascii="仿宋_GB2312" w:hAnsi="宋体" w:eastAsia="仿宋_GB2312"/>
          <w:sz w:val="32"/>
          <w:szCs w:val="32"/>
          <w:lang w:val="zh-CN"/>
        </w:rPr>
        <w:t>100元/人.天；</w:t>
      </w:r>
      <w:r>
        <w:rPr>
          <w:rFonts w:ascii="仿宋_GB2312" w:hAnsi="宋体" w:eastAsia="仿宋_GB2312"/>
          <w:sz w:val="32"/>
          <w:szCs w:val="32"/>
          <w:lang w:val="zh-CN"/>
        </w:rPr>
        <w:t xml:space="preserve"> </w:t>
      </w:r>
      <w:r>
        <w:rPr>
          <w:rFonts w:hint="eastAsia" w:ascii="仿宋_GB2312" w:hAnsi="宋体" w:eastAsia="仿宋_GB2312"/>
          <w:sz w:val="32"/>
          <w:szCs w:val="32"/>
          <w:lang w:val="zh-CN"/>
        </w:rPr>
        <w:t>抽检成本</w:t>
      </w:r>
      <w:r>
        <w:rPr>
          <w:rFonts w:ascii="仿宋_GB2312" w:hAnsi="宋体" w:eastAsia="仿宋_GB2312"/>
          <w:sz w:val="32"/>
          <w:szCs w:val="32"/>
          <w:lang w:val="zh-CN"/>
        </w:rPr>
        <w:t>≤</w:t>
      </w:r>
      <w:r>
        <w:rPr>
          <w:rFonts w:hint="eastAsia" w:ascii="仿宋_GB2312" w:hAnsi="宋体" w:eastAsia="仿宋_GB2312"/>
          <w:sz w:val="32"/>
          <w:szCs w:val="32"/>
          <w:lang w:val="zh-CN"/>
        </w:rPr>
        <w:t>1500元/ 样。</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促进市场健康有序发展，提高了药品企业的社会责任感，提高了经营户的质量管理水平，促进经营户的发展，更好的保证了药品安全，提高了全民健康水平，同时营造了公平竞争的市场环境。</w:t>
      </w:r>
      <w:r>
        <w:rPr>
          <w:rFonts w:ascii="仿宋_GB2312" w:hAnsi="宋体" w:eastAsia="仿宋_GB2312"/>
          <w:sz w:val="32"/>
          <w:szCs w:val="32"/>
          <w:lang w:val="zh-CN"/>
        </w:rPr>
        <w:t xml:space="preserve"> </w:t>
      </w:r>
    </w:p>
    <w:p>
      <w:pPr>
        <w:adjustRightInd w:val="0"/>
        <w:snapToGrid w:val="0"/>
        <w:spacing w:line="594" w:lineRule="exact"/>
        <w:ind w:firstLine="720"/>
        <w:rPr>
          <w:rFonts w:ascii="黑体" w:hAnsi="宋体" w:eastAsia="黑体"/>
          <w:b/>
          <w:bCs/>
          <w:sz w:val="32"/>
          <w:szCs w:val="32"/>
        </w:rPr>
      </w:pPr>
      <w:r>
        <w:rPr>
          <w:rFonts w:hint="eastAsia" w:ascii="黑体" w:hAnsi="宋体" w:eastAsia="黑体"/>
          <w:b/>
          <w:bCs/>
          <w:sz w:val="32"/>
          <w:szCs w:val="32"/>
        </w:rPr>
        <w:t>五、评价结论及建议</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94" w:lineRule="exact"/>
        <w:ind w:firstLine="640" w:firstLineChars="200"/>
        <w:rPr>
          <w:rFonts w:ascii="仿宋_GB2312" w:hAnsi="楷体" w:eastAsia="仿宋_GB2312" w:cs="仿宋_GB2312"/>
          <w:sz w:val="32"/>
          <w:szCs w:val="32"/>
        </w:rPr>
      </w:pPr>
      <w:r>
        <w:rPr>
          <w:rFonts w:ascii="仿宋_GB2312" w:hAnsi="楷体" w:eastAsia="仿宋_GB2312" w:cs="仿宋_GB2312"/>
          <w:sz w:val="32"/>
          <w:szCs w:val="32"/>
        </w:rPr>
        <w:t>201</w:t>
      </w:r>
      <w:r>
        <w:rPr>
          <w:rFonts w:hint="eastAsia" w:ascii="仿宋_GB2312" w:hAnsi="楷体" w:eastAsia="仿宋_GB2312" w:cs="仿宋_GB2312"/>
          <w:sz w:val="32"/>
          <w:szCs w:val="32"/>
        </w:rPr>
        <w:t xml:space="preserve">9年我局部门整体支出绩效评价自查自评结果良好，全年基本支出保证了部门的正常运行和日常工作的正常开展，项目支出保障了重点工作的开展，达到预期绩效目标。  </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（二）存在问题　</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一是支出进度慢，二是部门预算与实际工作有偏差。</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（三）改进建议　</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一是希望省州能够于每年初将专项预算拨付我局。二是加强资金的综合协调，提高资金使用进度。</w:t>
      </w:r>
    </w:p>
    <w:p>
      <w:pPr>
        <w:spacing w:line="594" w:lineRule="exact"/>
        <w:ind w:firstLine="640"/>
        <w:rPr>
          <w:rFonts w:ascii="仿宋_GB2312" w:hAnsi="仿宋_GB2312" w:eastAsia="仿宋_GB2312" w:cs="仿宋_GB2312"/>
          <w:sz w:val="32"/>
          <w:szCs w:val="32"/>
        </w:rPr>
      </w:pPr>
    </w:p>
    <w:p>
      <w:pPr>
        <w:spacing w:line="594" w:lineRule="exact"/>
        <w:ind w:firstLine="640"/>
        <w:rPr>
          <w:rFonts w:ascii="仿宋_GB2312" w:hAnsi="仿宋_GB2312" w:eastAsia="仿宋_GB2312" w:cs="仿宋_GB2312"/>
          <w:sz w:val="32"/>
          <w:szCs w:val="32"/>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spacing w:line="594" w:lineRule="exact"/>
        <w:rPr>
          <w:rFonts w:ascii="方正小标宋简体" w:hAnsi="宋体" w:eastAsia="方正小标宋简体"/>
          <w:color w:val="000000"/>
          <w:kern w:val="0"/>
          <w:sz w:val="44"/>
          <w:szCs w:val="44"/>
          <w:lang w:val="zh-CN"/>
        </w:rPr>
      </w:pPr>
    </w:p>
    <w:p>
      <w:pPr>
        <w:pStyle w:val="3"/>
        <w:spacing w:before="0" w:after="0" w:line="594" w:lineRule="exact"/>
        <w:rPr>
          <w:rFonts w:hint="default" w:ascii="仿宋_GB2312" w:hAnsi="仿宋_GB2312" w:eastAsia="仿宋_GB2312" w:cs="仿宋_GB2312"/>
          <w:lang w:val="en-US" w:eastAsia="zh-CN"/>
        </w:rPr>
      </w:pPr>
      <w:r>
        <w:rPr>
          <w:rFonts w:hint="eastAsia" w:ascii="仿宋_GB2312" w:hAnsi="仿宋_GB2312" w:eastAsia="仿宋_GB2312" w:cs="仿宋_GB2312"/>
        </w:rPr>
        <w:t>附件</w:t>
      </w:r>
      <w:r>
        <w:rPr>
          <w:rFonts w:hint="eastAsia" w:ascii="仿宋_GB2312" w:hAnsi="仿宋_GB2312" w:eastAsia="仿宋_GB2312" w:cs="仿宋_GB2312"/>
          <w:lang w:val="en-US" w:eastAsia="zh-CN"/>
        </w:rPr>
        <w:t>3</w:t>
      </w:r>
    </w:p>
    <w:p>
      <w:pPr>
        <w:spacing w:line="594" w:lineRule="exact"/>
        <w:rPr>
          <w:rFonts w:ascii="方正小标宋简体" w:hAnsi="方正小标宋简体" w:eastAsia="方正小标宋简体" w:cs="方正小标宋简体"/>
          <w:b/>
          <w:bCs/>
          <w:color w:val="000000"/>
          <w:kern w:val="0"/>
          <w:sz w:val="44"/>
          <w:szCs w:val="44"/>
          <w:lang w:val="zh-CN"/>
        </w:rPr>
      </w:pPr>
      <w:r>
        <w:rPr>
          <w:rFonts w:hint="eastAsia" w:ascii="方正小标宋简体" w:hAnsi="方正小标宋简体" w:eastAsia="方正小标宋简体" w:cs="方正小标宋简体"/>
          <w:b/>
          <w:bCs/>
          <w:color w:val="000000"/>
          <w:kern w:val="0"/>
          <w:sz w:val="44"/>
          <w:szCs w:val="44"/>
          <w:lang w:val="zh-CN"/>
        </w:rPr>
        <w:t>“2019年食品、流通、餐饮安全监管</w:t>
      </w:r>
    </w:p>
    <w:p>
      <w:pPr>
        <w:spacing w:line="594" w:lineRule="exact"/>
        <w:jc w:val="center"/>
        <w:rPr>
          <w:rFonts w:ascii="方正小标宋简体" w:hAnsi="方正小标宋简体" w:eastAsia="方正小标宋简体" w:cs="方正小标宋简体"/>
          <w:b/>
          <w:bCs/>
          <w:color w:val="000000"/>
          <w:kern w:val="0"/>
          <w:sz w:val="44"/>
          <w:szCs w:val="44"/>
          <w:lang w:val="zh-CN"/>
        </w:rPr>
      </w:pPr>
      <w:r>
        <w:rPr>
          <w:rFonts w:hint="eastAsia" w:ascii="方正小标宋简体" w:hAnsi="方正小标宋简体" w:eastAsia="方正小标宋简体" w:cs="方正小标宋简体"/>
          <w:b/>
          <w:bCs/>
          <w:color w:val="000000"/>
          <w:kern w:val="0"/>
          <w:sz w:val="44"/>
          <w:szCs w:val="44"/>
          <w:lang w:val="zh-CN"/>
        </w:rPr>
        <w:t>及抽检项目</w:t>
      </w:r>
      <w:r>
        <w:rPr>
          <w:rFonts w:hint="eastAsia" w:ascii="方正小标宋简体" w:hAnsi="方正小标宋简体" w:eastAsia="方正小标宋简体" w:cs="方正小标宋简体"/>
          <w:b/>
          <w:bCs/>
          <w:color w:val="000000"/>
          <w:kern w:val="0"/>
          <w:sz w:val="44"/>
          <w:szCs w:val="44"/>
        </w:rPr>
        <w:t>”</w:t>
      </w:r>
      <w:r>
        <w:rPr>
          <w:rFonts w:hint="eastAsia" w:ascii="方正小标宋简体" w:hAnsi="方正小标宋简体" w:eastAsia="方正小标宋简体" w:cs="方正小标宋简体"/>
          <w:b/>
          <w:bCs/>
          <w:color w:val="000000"/>
          <w:kern w:val="0"/>
          <w:sz w:val="44"/>
          <w:szCs w:val="44"/>
          <w:lang w:val="zh-CN"/>
        </w:rPr>
        <w:t>绩效评价报告</w:t>
      </w:r>
    </w:p>
    <w:p>
      <w:pPr>
        <w:spacing w:line="594" w:lineRule="exact"/>
        <w:rPr>
          <w:rFonts w:ascii="宋体" w:hAnsi="宋体"/>
          <w:sz w:val="32"/>
          <w:szCs w:val="32"/>
          <w:lang w:val="zh-CN"/>
        </w:rPr>
      </w:pPr>
    </w:p>
    <w:p>
      <w:pPr>
        <w:adjustRightInd w:val="0"/>
        <w:snapToGrid w:val="0"/>
        <w:spacing w:line="594" w:lineRule="exact"/>
        <w:ind w:firstLine="720"/>
        <w:rPr>
          <w:rFonts w:ascii="黑体" w:hAnsi="宋体" w:eastAsia="黑体"/>
          <w:b/>
          <w:bCs/>
          <w:sz w:val="32"/>
          <w:szCs w:val="32"/>
          <w:lang w:val="zh-CN"/>
        </w:rPr>
      </w:pPr>
      <w:r>
        <w:rPr>
          <w:rFonts w:hint="eastAsia" w:ascii="黑体" w:hAnsi="宋体" w:eastAsia="黑体"/>
          <w:b/>
          <w:bCs/>
          <w:sz w:val="32"/>
          <w:szCs w:val="32"/>
        </w:rPr>
        <w:t>一、</w:t>
      </w:r>
      <w:r>
        <w:rPr>
          <w:rFonts w:hint="eastAsia" w:ascii="黑体" w:hAnsi="宋体" w:eastAsia="黑体"/>
          <w:b/>
          <w:bCs/>
          <w:sz w:val="32"/>
          <w:szCs w:val="32"/>
          <w:lang w:val="zh-CN"/>
        </w:rPr>
        <w:t>项目概况</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1．根据我局工作职能分工，做好食品、流通、餐饮安全等工作。</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 阿坝州财政局、阿坝州市场监督管理局关于下达2019年中央药品监管补助资金的通知》（阿州财行〔2019〕55号）、《 阿坝州财政局、阿坝州市场监督管理局关于下达2019年省级药品监管专项资金的通知》（阿州财行〔2019〕53号）.</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3．严格按照中央、省专项资金项目管理办法实施各专项资金。</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4．2019年安排资金18.97万元。</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1．项目主要内容</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通过食品监管、抽样检验、宣传活动、人员培训等工作任务，进一步提高我县食品监管水平，保障食品安全。</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2．项目分别从项目完成指标、效益指标、满意度指标方面进行了分解。</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3．项目资金申报内容与具体实施内容相符、申报目标合理可行。</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对照绩效考评表内容逐项进行检查。</w:t>
      </w:r>
    </w:p>
    <w:p>
      <w:pPr>
        <w:adjustRightInd w:val="0"/>
        <w:snapToGrid w:val="0"/>
        <w:spacing w:line="594" w:lineRule="exact"/>
        <w:ind w:firstLine="720"/>
        <w:rPr>
          <w:rFonts w:ascii="黑体" w:hAnsi="黑体" w:eastAsia="黑体" w:cs="黑体"/>
          <w:sz w:val="32"/>
          <w:szCs w:val="32"/>
        </w:rPr>
      </w:pPr>
      <w:r>
        <w:rPr>
          <w:rFonts w:hint="eastAsia" w:ascii="黑体" w:hAnsi="黑体" w:eastAsia="黑体" w:cs="黑体"/>
          <w:sz w:val="32"/>
          <w:szCs w:val="32"/>
        </w:rPr>
        <w:t>二、项目资金申报及使用情况</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我局申请18.97万元，批复18.97万元</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1．资金计划。申请18.97万元。</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2．资金到位。</w:t>
      </w:r>
      <w:r>
        <w:rPr>
          <w:rFonts w:hint="eastAsia" w:ascii="仿宋_GB2312" w:hAnsi="宋体" w:eastAsia="仿宋_GB2312"/>
          <w:sz w:val="32"/>
          <w:szCs w:val="32"/>
          <w:lang w:val="zh-CN"/>
        </w:rPr>
        <w:t>2019年10月收到18.97万元。</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3．资金使用。</w:t>
      </w:r>
      <w:r>
        <w:rPr>
          <w:rFonts w:hint="eastAsia" w:ascii="仿宋_GB2312" w:hAnsi="宋体" w:eastAsia="仿宋_GB2312"/>
          <w:sz w:val="32"/>
          <w:szCs w:val="32"/>
          <w:lang w:val="zh-CN"/>
        </w:rPr>
        <w:t>到2019年12月31日支出8.45万元。</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经费制度正在不断健全，并能严格执行；项目的实际支出符合财经法规和财务管理制度，资金使用合理；各种账务处理及时准确，会计核算较为规范。做到了专款专用，支付范围、标准、进度、依据符合规定，开支合理合法，无虚列套取，无截留、挤占、挪用资金情况发生。</w:t>
      </w:r>
    </w:p>
    <w:p>
      <w:pPr>
        <w:adjustRightInd w:val="0"/>
        <w:snapToGrid w:val="0"/>
        <w:spacing w:line="594" w:lineRule="exact"/>
        <w:ind w:firstLine="720"/>
        <w:rPr>
          <w:rFonts w:ascii="黑体" w:hAnsi="黑体" w:eastAsia="黑体" w:cs="黑体"/>
          <w:b/>
          <w:bCs/>
          <w:sz w:val="32"/>
          <w:szCs w:val="32"/>
          <w:lang w:val="zh-CN"/>
        </w:rPr>
      </w:pPr>
      <w:r>
        <w:rPr>
          <w:rFonts w:hint="eastAsia" w:ascii="黑体" w:hAnsi="黑体" w:eastAsia="黑体" w:cs="黑体"/>
          <w:b/>
          <w:bCs/>
          <w:sz w:val="32"/>
          <w:szCs w:val="32"/>
        </w:rPr>
        <w:t>三、项目绩效情况</w:t>
      </w:r>
      <w:r>
        <w:rPr>
          <w:rFonts w:hint="eastAsia" w:ascii="黑体" w:hAnsi="黑体" w:eastAsia="黑体" w:cs="黑体"/>
          <w:b/>
          <w:bCs/>
          <w:sz w:val="32"/>
          <w:szCs w:val="32"/>
          <w:lang w:val="zh-CN"/>
        </w:rPr>
        <w:tab/>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1.数量指标：</w:t>
      </w:r>
    </w:p>
    <w:p>
      <w:pPr>
        <w:adjustRightInd w:val="0"/>
        <w:snapToGrid w:val="0"/>
        <w:spacing w:line="594"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1）食品生产和流通监管:新办食品经营许可61户，换证68；与食品经营户签订了2019年食品安全责任书共568份；积极开展了校园及周边“五毛食品”专项整治工作，制作“五毛食品”宣传海报100份，分别在16个乡镇，15个学校张贴了“五毛食品”海报，截止现在共张贴海报50多份。</w:t>
      </w:r>
    </w:p>
    <w:p>
      <w:pPr>
        <w:adjustRightInd w:val="0"/>
        <w:snapToGrid w:val="0"/>
        <w:spacing w:line="594" w:lineRule="exact"/>
        <w:ind w:firstLine="480" w:firstLineChars="150"/>
        <w:rPr>
          <w:rFonts w:ascii="仿宋_GB2312" w:hAnsi="宋体" w:eastAsia="仿宋_GB2312"/>
          <w:sz w:val="32"/>
          <w:szCs w:val="32"/>
          <w:lang w:val="zh-CN"/>
        </w:rPr>
      </w:pPr>
      <w:r>
        <w:rPr>
          <w:rFonts w:hint="eastAsia" w:ascii="仿宋_GB2312" w:hAnsi="宋体" w:eastAsia="仿宋_GB2312"/>
          <w:sz w:val="32"/>
          <w:szCs w:val="32"/>
          <w:lang w:val="zh-CN"/>
        </w:rPr>
        <w:t>（2）餐饮服务监管：办理餐饮类食品经营许可证 185户，开展学校食堂检查及节假日检查5次。</w:t>
      </w:r>
    </w:p>
    <w:p>
      <w:pPr>
        <w:adjustRightInd w:val="0"/>
        <w:snapToGrid w:val="0"/>
        <w:spacing w:line="594" w:lineRule="exact"/>
        <w:ind w:firstLine="480" w:firstLineChars="150"/>
        <w:rPr>
          <w:rFonts w:ascii="仿宋_GB2312" w:hAnsi="宋体" w:eastAsia="仿宋_GB2312"/>
          <w:sz w:val="32"/>
          <w:szCs w:val="32"/>
          <w:lang w:val="zh-CN"/>
        </w:rPr>
      </w:pPr>
      <w:r>
        <w:rPr>
          <w:rFonts w:hint="eastAsia" w:ascii="仿宋_GB2312" w:hAnsi="宋体" w:eastAsia="仿宋_GB2312"/>
          <w:sz w:val="32"/>
          <w:szCs w:val="32"/>
          <w:lang w:val="zh-CN"/>
        </w:rPr>
        <w:t>（3）抽检工作：食品安全自组抽检100个批次，食用农产品200批次；农资抽检17个批次、成品油抽检10个批次。</w:t>
      </w:r>
    </w:p>
    <w:p>
      <w:pPr>
        <w:adjustRightInd w:val="0"/>
        <w:snapToGrid w:val="0"/>
        <w:spacing w:line="594" w:lineRule="exact"/>
        <w:ind w:firstLine="480" w:firstLineChars="150"/>
        <w:rPr>
          <w:rFonts w:ascii="仿宋_GB2312" w:hAnsi="宋体" w:eastAsia="仿宋_GB2312"/>
          <w:sz w:val="32"/>
          <w:szCs w:val="32"/>
          <w:lang w:val="zh-CN"/>
        </w:rPr>
      </w:pPr>
      <w:r>
        <w:rPr>
          <w:rFonts w:hint="eastAsia" w:ascii="仿宋_GB2312" w:hAnsi="宋体" w:eastAsia="仿宋_GB2312"/>
          <w:sz w:val="32"/>
          <w:szCs w:val="32"/>
          <w:lang w:val="zh-CN"/>
        </w:rPr>
        <w:t>（4）宣传工作: 结合法制宣传日、“3·15”、食品安全周、消费者权益保护日、质量月宣传活动等宣传活动，开展食品安全法律法规食品安全知识宣传活动。接受咨询1086余人次。</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2.质量指标：做好新办及食品经营许可证换证工作、签订食品安全责任书、开展学校食堂及节假日专项检查、开展至少1次宣传活动、完成省州下达抽检查任务及自行抽检工作。</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w:t>
      </w:r>
      <w:r>
        <w:rPr>
          <w:rFonts w:ascii="仿宋_GB2312" w:hAnsi="宋体" w:eastAsia="仿宋_GB2312"/>
          <w:sz w:val="32"/>
          <w:szCs w:val="32"/>
          <w:lang w:val="zh-CN"/>
        </w:rPr>
        <w:t>时效指标</w:t>
      </w:r>
      <w:r>
        <w:rPr>
          <w:rFonts w:hint="eastAsia" w:ascii="仿宋_GB2312" w:hAnsi="宋体" w:eastAsia="仿宋_GB2312"/>
          <w:sz w:val="32"/>
          <w:szCs w:val="32"/>
          <w:lang w:val="zh-CN"/>
        </w:rPr>
        <w:t>:2019年12月底前完成。</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w:t>
      </w:r>
      <w:r>
        <w:rPr>
          <w:rFonts w:ascii="仿宋_GB2312" w:hAnsi="宋体" w:eastAsia="仿宋_GB2312"/>
          <w:sz w:val="32"/>
          <w:szCs w:val="32"/>
          <w:lang w:val="zh-CN"/>
        </w:rPr>
        <w:t>成本指标</w:t>
      </w:r>
      <w:r>
        <w:rPr>
          <w:rFonts w:hint="eastAsia" w:ascii="仿宋_GB2312" w:hAnsi="宋体" w:eastAsia="仿宋_GB2312"/>
          <w:sz w:val="32"/>
          <w:szCs w:val="32"/>
          <w:lang w:val="zh-CN"/>
        </w:rPr>
        <w:t>: 执法监管成本</w:t>
      </w:r>
      <w:r>
        <w:rPr>
          <w:rFonts w:ascii="仿宋_GB2312" w:hAnsi="宋体" w:eastAsia="仿宋_GB2312"/>
          <w:sz w:val="32"/>
          <w:szCs w:val="32"/>
          <w:lang w:val="zh-CN"/>
        </w:rPr>
        <w:t>≤</w:t>
      </w:r>
      <w:r>
        <w:rPr>
          <w:rFonts w:hint="eastAsia" w:ascii="仿宋_GB2312" w:hAnsi="宋体" w:eastAsia="仿宋_GB2312"/>
          <w:sz w:val="32"/>
          <w:szCs w:val="32"/>
          <w:lang w:val="zh-CN"/>
        </w:rPr>
        <w:t>100元/人.天；食品抽检成本</w:t>
      </w:r>
      <w:r>
        <w:rPr>
          <w:rFonts w:ascii="仿宋_GB2312" w:hAnsi="宋体" w:eastAsia="仿宋_GB2312"/>
          <w:sz w:val="32"/>
          <w:szCs w:val="32"/>
          <w:lang w:val="zh-CN"/>
        </w:rPr>
        <w:t>≤</w:t>
      </w:r>
      <w:r>
        <w:rPr>
          <w:rFonts w:hint="eastAsia" w:ascii="仿宋_GB2312" w:hAnsi="宋体" w:eastAsia="仿宋_GB2312"/>
          <w:sz w:val="32"/>
          <w:szCs w:val="32"/>
          <w:lang w:val="zh-CN"/>
        </w:rPr>
        <w:t>1500元/样；宣传成本</w:t>
      </w:r>
      <w:r>
        <w:rPr>
          <w:rFonts w:ascii="仿宋_GB2312" w:hAnsi="宋体" w:eastAsia="仿宋_GB2312"/>
          <w:sz w:val="32"/>
          <w:szCs w:val="32"/>
          <w:lang w:val="zh-CN"/>
        </w:rPr>
        <w:t>≤</w:t>
      </w:r>
      <w:r>
        <w:rPr>
          <w:rFonts w:hint="eastAsia" w:ascii="仿宋_GB2312" w:hAnsi="宋体" w:eastAsia="仿宋_GB2312"/>
          <w:sz w:val="32"/>
          <w:szCs w:val="32"/>
          <w:lang w:val="zh-CN"/>
        </w:rPr>
        <w:t>10万元/年。</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促进市场健康有序发展，提高了食品企业的社会责任感，促进经营户的发展，更好的保证了食品安全，提高了全民健康水平，同时营造了公平</w:t>
      </w:r>
      <w:bookmarkStart w:id="319" w:name="_GoBack"/>
      <w:bookmarkEnd w:id="319"/>
      <w:r>
        <w:rPr>
          <w:rFonts w:hint="eastAsia" w:ascii="仿宋_GB2312" w:hAnsi="宋体" w:eastAsia="仿宋_GB2312"/>
          <w:sz w:val="32"/>
          <w:szCs w:val="32"/>
          <w:lang w:val="zh-CN"/>
        </w:rPr>
        <w:t>竞争的市场环境。</w:t>
      </w:r>
      <w:r>
        <w:rPr>
          <w:rFonts w:ascii="仿宋_GB2312" w:hAnsi="宋体" w:eastAsia="仿宋_GB2312"/>
          <w:sz w:val="32"/>
          <w:szCs w:val="32"/>
          <w:lang w:val="zh-CN"/>
        </w:rPr>
        <w:t xml:space="preserve"> </w:t>
      </w:r>
    </w:p>
    <w:p>
      <w:pPr>
        <w:adjustRightInd w:val="0"/>
        <w:snapToGrid w:val="0"/>
        <w:spacing w:line="594" w:lineRule="exact"/>
        <w:ind w:firstLine="720"/>
        <w:rPr>
          <w:rFonts w:ascii="黑体" w:hAnsi="黑体" w:eastAsia="黑体" w:cs="黑体"/>
          <w:b/>
          <w:bCs/>
          <w:sz w:val="32"/>
          <w:szCs w:val="32"/>
        </w:rPr>
      </w:pPr>
      <w:r>
        <w:rPr>
          <w:rFonts w:hint="eastAsia" w:ascii="黑体" w:hAnsi="黑体" w:eastAsia="黑体" w:cs="黑体"/>
          <w:b/>
          <w:bCs/>
          <w:sz w:val="32"/>
          <w:szCs w:val="32"/>
        </w:rPr>
        <w:t>五、评价结论及建议</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94" w:lineRule="exact"/>
        <w:ind w:firstLine="640" w:firstLineChars="200"/>
        <w:rPr>
          <w:rFonts w:ascii="仿宋_GB2312" w:hAnsi="楷体" w:eastAsia="仿宋_GB2312" w:cs="仿宋_GB2312"/>
          <w:sz w:val="32"/>
          <w:szCs w:val="32"/>
        </w:rPr>
      </w:pPr>
      <w:r>
        <w:rPr>
          <w:rFonts w:ascii="仿宋_GB2312" w:hAnsi="楷体" w:eastAsia="仿宋_GB2312" w:cs="仿宋_GB2312"/>
          <w:sz w:val="32"/>
          <w:szCs w:val="32"/>
        </w:rPr>
        <w:t>201</w:t>
      </w:r>
      <w:r>
        <w:rPr>
          <w:rFonts w:hint="eastAsia" w:ascii="仿宋_GB2312" w:hAnsi="楷体" w:eastAsia="仿宋_GB2312" w:cs="仿宋_GB2312"/>
          <w:sz w:val="32"/>
          <w:szCs w:val="32"/>
        </w:rPr>
        <w:t xml:space="preserve">9年我局部门整体支出绩效评价自查自评结果良好，全年基本支出保证了部门的正常运行和日常工作的正常开展，项目支出保障了重点工作的开展，达到预期绩效目标。  </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（二）存在问题　</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一是支出进度慢，二是部门预算与实际工作有偏差。</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（三）改进建议　</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一是希望省州能够于每年初将专项预算拨付我局。二是加强资金的综合协调，提高资金使用进度。</w:t>
      </w:r>
    </w:p>
    <w:p>
      <w:pPr>
        <w:spacing w:line="594" w:lineRule="exact"/>
        <w:ind w:firstLine="640"/>
        <w:rPr>
          <w:rFonts w:ascii="仿宋_GB2312" w:hAnsi="仿宋_GB2312" w:eastAsia="仿宋_GB2312" w:cs="仿宋_GB2312"/>
          <w:sz w:val="32"/>
          <w:szCs w:val="32"/>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pStyle w:val="3"/>
        <w:spacing w:before="0" w:after="0" w:line="594" w:lineRule="exact"/>
        <w:rPr>
          <w:rFonts w:ascii="方正小标宋简体" w:hAnsi="宋体" w:eastAsia="方正小标宋简体"/>
          <w:color w:val="000000"/>
          <w:kern w:val="0"/>
          <w:sz w:val="44"/>
          <w:szCs w:val="44"/>
          <w:lang w:val="zh-CN"/>
        </w:rPr>
      </w:pPr>
      <w:r>
        <w:rPr>
          <w:rFonts w:hint="eastAsia" w:ascii="仿宋_GB2312" w:hAnsi="仿宋_GB2312" w:eastAsia="仿宋_GB2312" w:cs="仿宋_GB2312"/>
        </w:rPr>
        <w:t>附件</w:t>
      </w:r>
      <w:r>
        <w:rPr>
          <w:rFonts w:hint="eastAsia" w:ascii="仿宋_GB2312" w:hAnsi="仿宋_GB2312" w:eastAsia="仿宋_GB2312" w:cs="仿宋_GB2312"/>
          <w:lang w:val="en-US" w:eastAsia="zh-CN"/>
        </w:rPr>
        <w:t>4</w:t>
      </w:r>
    </w:p>
    <w:p>
      <w:pPr>
        <w:spacing w:line="594" w:lineRule="exact"/>
        <w:jc w:val="center"/>
        <w:rPr>
          <w:rFonts w:ascii="方正小标宋简体" w:hAnsi="方正小标宋简体" w:eastAsia="方正小标宋简体" w:cs="方正小标宋简体"/>
          <w:b/>
          <w:bCs/>
          <w:color w:val="000000"/>
          <w:kern w:val="0"/>
          <w:sz w:val="44"/>
          <w:szCs w:val="44"/>
          <w:lang w:val="zh-CN"/>
        </w:rPr>
      </w:pPr>
      <w:r>
        <w:rPr>
          <w:rFonts w:hint="eastAsia" w:ascii="方正小标宋简体" w:hAnsi="方正小标宋简体" w:eastAsia="方正小标宋简体" w:cs="方正小标宋简体"/>
          <w:b/>
          <w:bCs/>
          <w:color w:val="000000"/>
          <w:kern w:val="0"/>
          <w:sz w:val="44"/>
          <w:szCs w:val="44"/>
          <w:lang w:val="zh-CN"/>
        </w:rPr>
        <w:t>“2019年市场秩序维护与监管、质量与安全、民营经营健康发展项目及应急处置项目”绩效评价报告</w:t>
      </w:r>
    </w:p>
    <w:p>
      <w:pPr>
        <w:spacing w:line="594" w:lineRule="exact"/>
        <w:rPr>
          <w:rFonts w:ascii="宋体" w:hAnsi="宋体"/>
          <w:color w:val="FF0000"/>
          <w:sz w:val="32"/>
          <w:szCs w:val="32"/>
          <w:lang w:val="zh-CN"/>
        </w:rPr>
      </w:pPr>
    </w:p>
    <w:p>
      <w:pPr>
        <w:adjustRightInd w:val="0"/>
        <w:snapToGrid w:val="0"/>
        <w:spacing w:line="594" w:lineRule="exact"/>
        <w:ind w:firstLine="720"/>
        <w:rPr>
          <w:rFonts w:ascii="黑体" w:hAnsi="宋体" w:eastAsia="黑体"/>
          <w:b/>
          <w:bCs/>
          <w:sz w:val="32"/>
          <w:szCs w:val="32"/>
          <w:lang w:val="zh-CN"/>
        </w:rPr>
      </w:pPr>
      <w:r>
        <w:rPr>
          <w:rFonts w:hint="eastAsia" w:ascii="黑体" w:hAnsi="宋体" w:eastAsia="黑体"/>
          <w:b/>
          <w:bCs/>
          <w:sz w:val="32"/>
          <w:szCs w:val="32"/>
        </w:rPr>
        <w:t>一、</w:t>
      </w:r>
      <w:r>
        <w:rPr>
          <w:rFonts w:hint="eastAsia" w:ascii="黑体" w:hAnsi="宋体" w:eastAsia="黑体"/>
          <w:b/>
          <w:bCs/>
          <w:sz w:val="32"/>
          <w:szCs w:val="32"/>
          <w:lang w:val="zh-CN"/>
        </w:rPr>
        <w:t>项目概况</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1．根据我局工作职能分工，做好市场主体、红盾春雷、市场综合检查、应急管理等工作。</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 阿坝州财政局、阿坝州市场监督管理局关于下达2019年省级药品监管补助资金的通知》（阿州财行〔2019〕56号）、《 阿坝州财政局、阿坝州市场监督管理局关于下达2019年四川省市场监督管理专项资金（第三批）的通知》（阿州财行〔2019〕61号）.</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3．严格按照中央、省专项资金项目管理办法实施各专项资金。</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4．2019年安排资金76万元。</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1．项目主要内容</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（1）全面提升质量安全保障能力，严守安全底线，依法加强食品安全、工业产品质量安全、特种设备安全监管。</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（2）结合“红盾春雷行动”打击不正当竞争行为，强化价格监管和收费行为治理，整治网络购物环境和助力放心舒心消费。</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（3）联合“双随机、一公开”，开展市场主体年报工作。</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2．项目分别从项目完成指标、效益指标、满意度指标方面进行了分解。</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3．项目资金申报内容与具体实施内容相符、申报目标合理可行。</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对照绩效考评表内容逐项进行检查。</w:t>
      </w:r>
    </w:p>
    <w:p>
      <w:pPr>
        <w:adjustRightInd w:val="0"/>
        <w:snapToGrid w:val="0"/>
        <w:spacing w:line="594" w:lineRule="exact"/>
        <w:ind w:firstLine="720"/>
        <w:rPr>
          <w:rFonts w:ascii="黑体" w:hAnsi="宋体" w:eastAsia="黑体"/>
          <w:b/>
          <w:bCs/>
          <w:sz w:val="32"/>
          <w:szCs w:val="32"/>
        </w:rPr>
      </w:pPr>
      <w:r>
        <w:rPr>
          <w:rFonts w:hint="eastAsia" w:ascii="黑体" w:hAnsi="宋体" w:eastAsia="黑体"/>
          <w:b/>
          <w:bCs/>
          <w:sz w:val="32"/>
          <w:szCs w:val="32"/>
        </w:rPr>
        <w:t>二、项目资金申报及使用情况</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我局申请76万元，批复76万元</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1．资金计划。申请76万元。</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2．资金到位。</w:t>
      </w:r>
      <w:r>
        <w:rPr>
          <w:rFonts w:hint="eastAsia" w:ascii="仿宋_GB2312" w:hAnsi="宋体" w:eastAsia="仿宋_GB2312"/>
          <w:sz w:val="32"/>
          <w:szCs w:val="32"/>
          <w:lang w:val="zh-CN"/>
        </w:rPr>
        <w:t>2019年10月收到76万元。</w:t>
      </w:r>
    </w:p>
    <w:p>
      <w:pPr>
        <w:adjustRightInd w:val="0"/>
        <w:snapToGrid w:val="0"/>
        <w:spacing w:line="594"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3．资金使用。</w:t>
      </w:r>
      <w:r>
        <w:rPr>
          <w:rFonts w:hint="eastAsia" w:ascii="仿宋_GB2312" w:hAnsi="宋体" w:eastAsia="仿宋_GB2312"/>
          <w:sz w:val="32"/>
          <w:szCs w:val="32"/>
          <w:lang w:val="zh-CN"/>
        </w:rPr>
        <w:t>到2019年12月31日支出15.55万元。</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经费制度正在不断健全，并能严格执行；项目的实际支出符合财经法规和财务管理制度，资金使用合理；各种账务处理及时准确，会计核算较为规范。做到了专款专用，支付范围、标准、进度、依据符合规定，开支合理合法，无虚列套取，无截留、挤占、挪用资金情况发生。</w:t>
      </w:r>
    </w:p>
    <w:p>
      <w:pPr>
        <w:adjustRightInd w:val="0"/>
        <w:snapToGrid w:val="0"/>
        <w:spacing w:line="594" w:lineRule="exact"/>
        <w:ind w:firstLine="720"/>
        <w:rPr>
          <w:rFonts w:ascii="仿宋_GB2312" w:hAnsi="宋体" w:eastAsia="仿宋_GB2312"/>
          <w:b/>
          <w:bCs/>
          <w:sz w:val="32"/>
          <w:szCs w:val="32"/>
          <w:lang w:val="zh-CN"/>
        </w:rPr>
      </w:pPr>
      <w:r>
        <w:rPr>
          <w:rFonts w:hint="eastAsia" w:ascii="黑体" w:hAnsi="宋体" w:eastAsia="黑体"/>
          <w:b/>
          <w:bCs/>
          <w:sz w:val="32"/>
          <w:szCs w:val="32"/>
        </w:rPr>
        <w:t>三、项目绩效情况</w:t>
      </w:r>
      <w:r>
        <w:rPr>
          <w:rFonts w:hint="eastAsia" w:ascii="仿宋_GB2312" w:hAnsi="宋体" w:eastAsia="仿宋_GB2312"/>
          <w:b/>
          <w:bCs/>
          <w:sz w:val="32"/>
          <w:szCs w:val="32"/>
          <w:lang w:val="zh-CN"/>
        </w:rPr>
        <w:tab/>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w:t>
      </w:r>
      <w:r>
        <w:rPr>
          <w:rFonts w:ascii="仿宋_GB2312" w:hAnsi="宋体" w:eastAsia="仿宋_GB2312"/>
          <w:sz w:val="32"/>
          <w:szCs w:val="32"/>
          <w:lang w:val="zh-CN"/>
        </w:rPr>
        <w:t>数量指标</w:t>
      </w:r>
      <w:r>
        <w:rPr>
          <w:rFonts w:hint="eastAsia" w:ascii="仿宋_GB2312" w:hAnsi="宋体" w:eastAsia="仿宋_GB2312"/>
          <w:sz w:val="32"/>
          <w:szCs w:val="32"/>
          <w:lang w:val="zh-CN"/>
        </w:rPr>
        <w:t xml:space="preserve">: </w:t>
      </w:r>
    </w:p>
    <w:p>
      <w:pPr>
        <w:adjustRightInd w:val="0"/>
        <w:snapToGrid w:val="0"/>
        <w:spacing w:line="594" w:lineRule="exact"/>
        <w:ind w:firstLine="480" w:firstLineChars="150"/>
        <w:rPr>
          <w:rFonts w:ascii="仿宋_GB2312" w:hAnsi="宋体" w:eastAsia="仿宋_GB2312"/>
          <w:sz w:val="32"/>
          <w:szCs w:val="32"/>
          <w:lang w:val="zh-CN"/>
        </w:rPr>
      </w:pPr>
      <w:r>
        <w:rPr>
          <w:rFonts w:hint="eastAsia" w:ascii="仿宋_GB2312" w:hAnsi="宋体" w:eastAsia="仿宋_GB2312"/>
          <w:sz w:val="32"/>
          <w:szCs w:val="32"/>
          <w:lang w:val="zh-CN"/>
        </w:rPr>
        <w:t>（1）年报工作：企业应报1222.实报1219，年报率99.75%；农专应报338，实报337，年报率99.7%；个体应报4133，实报4115，年报率99.56%。</w:t>
      </w:r>
    </w:p>
    <w:p>
      <w:pPr>
        <w:adjustRightInd w:val="0"/>
        <w:snapToGrid w:val="0"/>
        <w:spacing w:line="594"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（2）特种设备工作：对县辖区内53家电梯使用单位共计188台电梯进行了检查；对我县辖区内共5家充装企业，车用加气站两家开展了专项检查及2次日常巡查；组织我县这5家气体充装企业到汶川参加充装培训一次。</w:t>
      </w:r>
    </w:p>
    <w:p>
      <w:pPr>
        <w:adjustRightInd w:val="0"/>
        <w:snapToGrid w:val="0"/>
        <w:spacing w:line="594"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（3）计量工作：“视频标准创造全球舞台”主题，印制并张贴“标准日”宣传海报6张，向群众发放宣传标准化宣传资料300余份；茂县境内13家加油站开展了专项检查；</w:t>
      </w:r>
    </w:p>
    <w:p>
      <w:pPr>
        <w:adjustRightInd w:val="0"/>
        <w:snapToGrid w:val="0"/>
        <w:spacing w:line="594" w:lineRule="exact"/>
        <w:ind w:firstLine="480" w:firstLineChars="150"/>
        <w:jc w:val="left"/>
        <w:rPr>
          <w:rFonts w:ascii="仿宋_GB2312" w:hAnsi="宋体" w:eastAsia="仿宋_GB2312"/>
          <w:sz w:val="32"/>
          <w:szCs w:val="32"/>
          <w:lang w:val="zh-CN"/>
        </w:rPr>
      </w:pPr>
      <w:r>
        <w:rPr>
          <w:rFonts w:hint="eastAsia" w:ascii="仿宋_GB2312" w:hAnsi="宋体" w:eastAsia="仿宋_GB2312"/>
          <w:sz w:val="32"/>
          <w:szCs w:val="32"/>
          <w:lang w:val="zh-CN"/>
        </w:rPr>
        <w:t>（4）春蕾行动:立案查处案件27件，罚没金额8.59万元,其中大要案件（罚没金额1万元至10万元的案件）2件；受理投诉举报20起。本次检查共出动执法人员800人/次，检查经营户2000户/次，其中包括大型超市5家，集贸市场6个，旅游景区3个，保健品经营店36家，下达监督意见书14份，下达《特种设备安全监察指令书》5份。</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（5）消费维权：受理投诉举报共90余件，投诉举报回复率达 100%，挽回经济损失14余万元整，诉转案3件。</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6）案件查处：查处违法案件65件,罚没款28.45万元。其中工商案件32件，罚没款13.25万元；食品案件21件,罚没款6.07万元；餐饮案件4起，罚没金额1.68万元；药品、医疗器械类案件2件,处罚款0.66；质监类案件6件，罚没金额6.79万元。</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w:t>
      </w:r>
      <w:r>
        <w:rPr>
          <w:rFonts w:ascii="仿宋_GB2312" w:hAnsi="宋体" w:eastAsia="仿宋_GB2312"/>
          <w:sz w:val="32"/>
          <w:szCs w:val="32"/>
          <w:lang w:val="zh-CN"/>
        </w:rPr>
        <w:t>质量指标：开展年报工作、特种设备及计量工作、红盾春蕾工作、抽检工作及案件查处工作。</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w:t>
      </w:r>
      <w:r>
        <w:rPr>
          <w:rFonts w:ascii="仿宋_GB2312" w:hAnsi="宋体" w:eastAsia="仿宋_GB2312"/>
          <w:sz w:val="32"/>
          <w:szCs w:val="32"/>
          <w:lang w:val="zh-CN"/>
        </w:rPr>
        <w:t>时效指标</w:t>
      </w:r>
      <w:r>
        <w:rPr>
          <w:rFonts w:hint="eastAsia" w:ascii="仿宋_GB2312" w:hAnsi="宋体" w:eastAsia="仿宋_GB2312"/>
          <w:sz w:val="32"/>
          <w:szCs w:val="32"/>
          <w:lang w:val="zh-CN"/>
        </w:rPr>
        <w:t>:2019年12月底前完成。</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w:t>
      </w:r>
      <w:r>
        <w:rPr>
          <w:rFonts w:ascii="仿宋_GB2312" w:hAnsi="宋体" w:eastAsia="仿宋_GB2312"/>
          <w:sz w:val="32"/>
          <w:szCs w:val="32"/>
          <w:lang w:val="zh-CN"/>
        </w:rPr>
        <w:t>成本指标</w:t>
      </w:r>
      <w:r>
        <w:rPr>
          <w:rFonts w:hint="eastAsia" w:ascii="仿宋_GB2312" w:hAnsi="宋体" w:eastAsia="仿宋_GB2312"/>
          <w:sz w:val="32"/>
          <w:szCs w:val="32"/>
          <w:lang w:val="zh-CN"/>
        </w:rPr>
        <w:t>: 执法监管成本</w:t>
      </w:r>
      <w:r>
        <w:rPr>
          <w:rFonts w:ascii="仿宋_GB2312" w:hAnsi="宋体" w:eastAsia="仿宋_GB2312"/>
          <w:sz w:val="32"/>
          <w:szCs w:val="32"/>
          <w:lang w:val="zh-CN"/>
        </w:rPr>
        <w:t>≤</w:t>
      </w:r>
      <w:r>
        <w:rPr>
          <w:rFonts w:hint="eastAsia" w:ascii="仿宋_GB2312" w:hAnsi="宋体" w:eastAsia="仿宋_GB2312"/>
          <w:sz w:val="32"/>
          <w:szCs w:val="32"/>
          <w:lang w:val="zh-CN"/>
        </w:rPr>
        <w:t>100元/人.天；食品抽检成本</w:t>
      </w:r>
      <w:r>
        <w:rPr>
          <w:rFonts w:ascii="仿宋_GB2312" w:hAnsi="宋体" w:eastAsia="仿宋_GB2312"/>
          <w:sz w:val="32"/>
          <w:szCs w:val="32"/>
          <w:lang w:val="zh-CN"/>
        </w:rPr>
        <w:t>≤</w:t>
      </w:r>
      <w:r>
        <w:rPr>
          <w:rFonts w:hint="eastAsia" w:ascii="仿宋_GB2312" w:hAnsi="宋体" w:eastAsia="仿宋_GB2312"/>
          <w:sz w:val="32"/>
          <w:szCs w:val="32"/>
          <w:lang w:val="zh-CN"/>
        </w:rPr>
        <w:t>1500元/样；宣传成本</w:t>
      </w:r>
      <w:r>
        <w:rPr>
          <w:rFonts w:ascii="仿宋_GB2312" w:hAnsi="宋体" w:eastAsia="仿宋_GB2312"/>
          <w:sz w:val="32"/>
          <w:szCs w:val="32"/>
          <w:lang w:val="zh-CN"/>
        </w:rPr>
        <w:t>≤</w:t>
      </w:r>
      <w:r>
        <w:rPr>
          <w:rFonts w:hint="eastAsia" w:ascii="仿宋_GB2312" w:hAnsi="宋体" w:eastAsia="仿宋_GB2312"/>
          <w:sz w:val="32"/>
          <w:szCs w:val="32"/>
          <w:lang w:val="zh-CN"/>
        </w:rPr>
        <w:t>10万元/年。</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594"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全面提升质量安全保障能力，助力放心舒心消费，促进市场健康有序发展，构建统一开放、竞争有序的市场体系，推动市场健康有序发展。</w:t>
      </w:r>
    </w:p>
    <w:p>
      <w:pPr>
        <w:adjustRightInd w:val="0"/>
        <w:snapToGrid w:val="0"/>
        <w:spacing w:line="594" w:lineRule="exact"/>
        <w:ind w:firstLine="720"/>
        <w:rPr>
          <w:rFonts w:ascii="黑体" w:hAnsi="黑体" w:eastAsia="黑体" w:cs="黑体"/>
          <w:b/>
          <w:bCs/>
          <w:sz w:val="32"/>
          <w:szCs w:val="32"/>
        </w:rPr>
      </w:pPr>
      <w:r>
        <w:rPr>
          <w:rFonts w:hint="eastAsia" w:ascii="黑体" w:hAnsi="黑体" w:eastAsia="黑体" w:cs="黑体"/>
          <w:b/>
          <w:bCs/>
          <w:sz w:val="32"/>
          <w:szCs w:val="32"/>
        </w:rPr>
        <w:t>五、评价结论及建议</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94" w:lineRule="exact"/>
        <w:ind w:firstLine="640" w:firstLineChars="200"/>
        <w:rPr>
          <w:rFonts w:ascii="仿宋_GB2312" w:hAnsi="楷体" w:eastAsia="仿宋_GB2312" w:cs="仿宋_GB2312"/>
          <w:sz w:val="32"/>
          <w:szCs w:val="32"/>
        </w:rPr>
      </w:pPr>
      <w:r>
        <w:rPr>
          <w:rFonts w:ascii="仿宋_GB2312" w:hAnsi="楷体" w:eastAsia="仿宋_GB2312" w:cs="仿宋_GB2312"/>
          <w:sz w:val="32"/>
          <w:szCs w:val="32"/>
        </w:rPr>
        <w:t>201</w:t>
      </w:r>
      <w:r>
        <w:rPr>
          <w:rFonts w:hint="eastAsia" w:ascii="仿宋_GB2312" w:hAnsi="楷体" w:eastAsia="仿宋_GB2312" w:cs="仿宋_GB2312"/>
          <w:sz w:val="32"/>
          <w:szCs w:val="32"/>
        </w:rPr>
        <w:t xml:space="preserve">9年我局部门整体支出绩效评价自查自评结果良好，全年基本支出保证了部门的正常运行和日常工作的正常开展，项目支出保障了重点工作的开展，达到预期绩效目标。  </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（二）存在问题　</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一是支出进度慢，二是部门预算与实际工作有偏差。</w:t>
      </w:r>
    </w:p>
    <w:p>
      <w:pPr>
        <w:adjustRightInd w:val="0"/>
        <w:snapToGrid w:val="0"/>
        <w:spacing w:line="594"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（三）改进建议　</w:t>
      </w:r>
    </w:p>
    <w:p>
      <w:pPr>
        <w:spacing w:line="594"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一是希望省州能够于每年初将专项预算拨付我局。二是加强资金的综合协调，提高资金使用进度。</w:t>
      </w: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widowControl/>
        <w:spacing w:line="594" w:lineRule="exact"/>
        <w:jc w:val="left"/>
        <w:rPr>
          <w:rStyle w:val="23"/>
          <w:rFonts w:ascii="黑体" w:hAnsi="黑体" w:eastAsia="黑体"/>
          <w:b w:val="0"/>
        </w:rPr>
      </w:pPr>
    </w:p>
    <w:p>
      <w:pPr>
        <w:spacing w:line="594" w:lineRule="exact"/>
        <w:jc w:val="center"/>
        <w:outlineLvl w:val="0"/>
        <w:rPr>
          <w:rFonts w:ascii="方正小标宋简体" w:hAnsi="方正小标宋简体" w:eastAsia="方正小标宋简体" w:cs="方正小标宋简体"/>
          <w:b/>
          <w:bCs/>
          <w:kern w:val="44"/>
          <w:sz w:val="44"/>
          <w:szCs w:val="44"/>
        </w:rPr>
      </w:pPr>
      <w:bookmarkStart w:id="274" w:name="_Toc3403"/>
      <w:bookmarkStart w:id="275" w:name="_Toc51662630"/>
      <w:bookmarkStart w:id="276" w:name="_Toc51662818"/>
      <w:r>
        <w:rPr>
          <w:rFonts w:hint="eastAsia" w:ascii="方正小标宋简体" w:hAnsi="方正小标宋简体" w:eastAsia="方正小标宋简体" w:cs="方正小标宋简体"/>
          <w:b/>
          <w:bCs/>
          <w:color w:val="000000"/>
          <w:sz w:val="44"/>
          <w:szCs w:val="44"/>
        </w:rPr>
        <w:t>第</w:t>
      </w:r>
      <w:r>
        <w:rPr>
          <w:rStyle w:val="23"/>
          <w:rFonts w:hint="eastAsia" w:ascii="方正小标宋简体" w:hAnsi="方正小标宋简体" w:eastAsia="方正小标宋简体" w:cs="方正小标宋简体"/>
        </w:rPr>
        <w:t>五部分 附表</w:t>
      </w:r>
      <w:bookmarkEnd w:id="258"/>
      <w:bookmarkEnd w:id="274"/>
      <w:bookmarkEnd w:id="275"/>
      <w:bookmarkEnd w:id="276"/>
      <w:bookmarkStart w:id="277" w:name="_Toc51662819"/>
      <w:bookmarkStart w:id="278" w:name="_Toc5524"/>
      <w:bookmarkStart w:id="279" w:name="_Toc51662631"/>
    </w:p>
    <w:p>
      <w:pPr>
        <w:pStyle w:val="3"/>
        <w:spacing w:before="0" w:after="0" w:line="594" w:lineRule="exact"/>
        <w:rPr>
          <w:rFonts w:ascii="仿宋_GB2312" w:hAnsi="仿宋_GB2312" w:eastAsia="仿宋_GB2312" w:cs="仿宋_GB2312"/>
          <w:color w:val="000000"/>
        </w:rPr>
      </w:pPr>
      <w:r>
        <w:rPr>
          <w:rFonts w:hint="eastAsia" w:ascii="仿宋_GB2312" w:hAnsi="仿宋_GB2312" w:eastAsia="仿宋_GB2312" w:cs="仿宋_GB2312"/>
          <w:b w:val="0"/>
          <w:color w:val="000000"/>
        </w:rPr>
        <w:t>一、收</w:t>
      </w:r>
      <w:r>
        <w:rPr>
          <w:rStyle w:val="24"/>
          <w:rFonts w:hint="eastAsia" w:ascii="仿宋_GB2312" w:hAnsi="仿宋_GB2312" w:eastAsia="仿宋_GB2312" w:cs="仿宋_GB2312"/>
          <w:b w:val="0"/>
          <w:bCs w:val="0"/>
        </w:rPr>
        <w:t>入支出决算总表</w:t>
      </w:r>
      <w:bookmarkEnd w:id="277"/>
      <w:bookmarkEnd w:id="278"/>
      <w:bookmarkEnd w:id="279"/>
    </w:p>
    <w:p>
      <w:pPr>
        <w:pStyle w:val="3"/>
        <w:spacing w:before="0" w:after="0" w:line="594" w:lineRule="exact"/>
        <w:rPr>
          <w:rFonts w:ascii="仿宋_GB2312" w:hAnsi="仿宋_GB2312" w:eastAsia="仿宋_GB2312" w:cs="仿宋_GB2312"/>
          <w:color w:val="000000"/>
        </w:rPr>
      </w:pPr>
      <w:bookmarkStart w:id="280" w:name="_Toc51662820"/>
      <w:bookmarkStart w:id="281" w:name="_Toc51662632"/>
      <w:bookmarkStart w:id="282" w:name="_Toc28752"/>
      <w:r>
        <w:rPr>
          <w:rFonts w:hint="eastAsia" w:ascii="仿宋_GB2312" w:hAnsi="仿宋_GB2312" w:eastAsia="仿宋_GB2312" w:cs="仿宋_GB2312"/>
          <w:b w:val="0"/>
          <w:color w:val="000000"/>
        </w:rPr>
        <w:t>二、收</w:t>
      </w:r>
      <w:r>
        <w:rPr>
          <w:rStyle w:val="24"/>
          <w:rFonts w:hint="eastAsia" w:ascii="仿宋_GB2312" w:hAnsi="仿宋_GB2312" w:eastAsia="仿宋_GB2312" w:cs="仿宋_GB2312"/>
          <w:b w:val="0"/>
          <w:bCs w:val="0"/>
        </w:rPr>
        <w:t>入决算表</w:t>
      </w:r>
      <w:bookmarkEnd w:id="280"/>
      <w:bookmarkEnd w:id="281"/>
      <w:bookmarkEnd w:id="282"/>
    </w:p>
    <w:p>
      <w:pPr>
        <w:pStyle w:val="3"/>
        <w:spacing w:before="0" w:after="0" w:line="594" w:lineRule="exact"/>
        <w:rPr>
          <w:rFonts w:ascii="仿宋_GB2312" w:hAnsi="仿宋_GB2312" w:eastAsia="仿宋_GB2312" w:cs="仿宋_GB2312"/>
          <w:color w:val="000000"/>
        </w:rPr>
      </w:pPr>
      <w:bookmarkStart w:id="283" w:name="_Toc51662633"/>
      <w:bookmarkStart w:id="284" w:name="_Toc17922"/>
      <w:bookmarkStart w:id="285" w:name="_Toc51662821"/>
      <w:r>
        <w:rPr>
          <w:rStyle w:val="24"/>
          <w:rFonts w:hint="eastAsia" w:ascii="仿宋_GB2312" w:hAnsi="仿宋_GB2312" w:eastAsia="仿宋_GB2312" w:cs="仿宋_GB2312"/>
          <w:b w:val="0"/>
          <w:bCs w:val="0"/>
        </w:rPr>
        <w:t>三、</w:t>
      </w:r>
      <w:r>
        <w:rPr>
          <w:rFonts w:hint="eastAsia" w:ascii="仿宋_GB2312" w:hAnsi="仿宋_GB2312" w:eastAsia="仿宋_GB2312" w:cs="仿宋_GB2312"/>
          <w:b w:val="0"/>
          <w:color w:val="000000"/>
        </w:rPr>
        <w:t>支</w:t>
      </w:r>
      <w:r>
        <w:rPr>
          <w:rStyle w:val="24"/>
          <w:rFonts w:hint="eastAsia" w:ascii="仿宋_GB2312" w:hAnsi="仿宋_GB2312" w:eastAsia="仿宋_GB2312" w:cs="仿宋_GB2312"/>
          <w:b w:val="0"/>
          <w:bCs w:val="0"/>
        </w:rPr>
        <w:t>出决算表</w:t>
      </w:r>
      <w:bookmarkEnd w:id="283"/>
      <w:bookmarkEnd w:id="284"/>
      <w:bookmarkEnd w:id="285"/>
    </w:p>
    <w:p>
      <w:pPr>
        <w:pStyle w:val="3"/>
        <w:spacing w:before="0" w:after="0" w:line="594" w:lineRule="exact"/>
        <w:rPr>
          <w:rFonts w:ascii="仿宋_GB2312" w:hAnsi="仿宋_GB2312" w:eastAsia="仿宋_GB2312" w:cs="仿宋_GB2312"/>
          <w:b w:val="0"/>
          <w:color w:val="000000"/>
        </w:rPr>
      </w:pPr>
      <w:bookmarkStart w:id="286" w:name="_Toc51662822"/>
      <w:bookmarkStart w:id="287" w:name="_Toc51662634"/>
      <w:bookmarkStart w:id="288" w:name="_Toc4393"/>
      <w:r>
        <w:rPr>
          <w:rStyle w:val="24"/>
          <w:rFonts w:hint="eastAsia" w:ascii="仿宋_GB2312" w:hAnsi="仿宋_GB2312" w:eastAsia="仿宋_GB2312" w:cs="仿宋_GB2312"/>
          <w:b w:val="0"/>
          <w:bCs w:val="0"/>
        </w:rPr>
        <w:t>四、</w:t>
      </w:r>
      <w:r>
        <w:rPr>
          <w:rFonts w:hint="eastAsia" w:ascii="仿宋_GB2312" w:hAnsi="仿宋_GB2312" w:eastAsia="仿宋_GB2312" w:cs="仿宋_GB2312"/>
          <w:b w:val="0"/>
          <w:color w:val="000000"/>
        </w:rPr>
        <w:t>财</w:t>
      </w:r>
      <w:r>
        <w:rPr>
          <w:rStyle w:val="24"/>
          <w:rFonts w:hint="eastAsia" w:ascii="仿宋_GB2312" w:hAnsi="仿宋_GB2312" w:eastAsia="仿宋_GB2312" w:cs="仿宋_GB2312"/>
          <w:b w:val="0"/>
          <w:bCs w:val="0"/>
        </w:rPr>
        <w:t>政拨款收入支出决算总表</w:t>
      </w:r>
      <w:bookmarkEnd w:id="286"/>
      <w:bookmarkEnd w:id="287"/>
      <w:bookmarkEnd w:id="288"/>
    </w:p>
    <w:p>
      <w:pPr>
        <w:pStyle w:val="3"/>
        <w:spacing w:before="0" w:after="0" w:line="594" w:lineRule="exact"/>
        <w:rPr>
          <w:rStyle w:val="24"/>
          <w:rFonts w:ascii="仿宋_GB2312" w:hAnsi="仿宋_GB2312" w:eastAsia="仿宋_GB2312" w:cs="仿宋_GB2312"/>
          <w:b w:val="0"/>
          <w:bCs w:val="0"/>
        </w:rPr>
      </w:pPr>
      <w:bookmarkStart w:id="289" w:name="_Toc51662635"/>
      <w:bookmarkStart w:id="290" w:name="_Toc51662823"/>
      <w:bookmarkStart w:id="291" w:name="_Toc4399"/>
      <w:r>
        <w:rPr>
          <w:rStyle w:val="24"/>
          <w:rFonts w:hint="eastAsia" w:ascii="仿宋_GB2312" w:hAnsi="仿宋_GB2312" w:eastAsia="仿宋_GB2312" w:cs="仿宋_GB2312"/>
          <w:b w:val="0"/>
          <w:bCs w:val="0"/>
        </w:rPr>
        <w:t>五、</w:t>
      </w:r>
      <w:r>
        <w:rPr>
          <w:rFonts w:hint="eastAsia" w:ascii="仿宋_GB2312" w:hAnsi="仿宋_GB2312" w:eastAsia="仿宋_GB2312" w:cs="仿宋_GB2312"/>
          <w:b w:val="0"/>
          <w:color w:val="000000"/>
        </w:rPr>
        <w:t>财</w:t>
      </w:r>
      <w:r>
        <w:rPr>
          <w:rStyle w:val="24"/>
          <w:rFonts w:hint="eastAsia" w:ascii="仿宋_GB2312" w:hAnsi="仿宋_GB2312" w:eastAsia="仿宋_GB2312" w:cs="仿宋_GB2312"/>
          <w:b w:val="0"/>
          <w:bCs w:val="0"/>
        </w:rPr>
        <w:t>政拨款支出决算明细表</w:t>
      </w:r>
      <w:bookmarkEnd w:id="289"/>
      <w:bookmarkEnd w:id="290"/>
      <w:bookmarkEnd w:id="291"/>
    </w:p>
    <w:p>
      <w:pPr>
        <w:pStyle w:val="3"/>
        <w:spacing w:before="0" w:after="0" w:line="594" w:lineRule="exact"/>
        <w:rPr>
          <w:rFonts w:ascii="仿宋_GB2312" w:hAnsi="仿宋_GB2312" w:eastAsia="仿宋_GB2312" w:cs="仿宋_GB2312"/>
          <w:color w:val="000000"/>
        </w:rPr>
      </w:pPr>
      <w:bookmarkStart w:id="292" w:name="_Toc51662636"/>
      <w:bookmarkStart w:id="293" w:name="_Toc23064"/>
      <w:bookmarkStart w:id="294" w:name="_Toc51662824"/>
      <w:r>
        <w:rPr>
          <w:rStyle w:val="24"/>
          <w:rFonts w:hint="eastAsia" w:ascii="仿宋_GB2312" w:hAnsi="仿宋_GB2312" w:eastAsia="仿宋_GB2312" w:cs="仿宋_GB2312"/>
          <w:b w:val="0"/>
          <w:bCs w:val="0"/>
        </w:rPr>
        <w:t>六、</w:t>
      </w:r>
      <w:r>
        <w:rPr>
          <w:rFonts w:hint="eastAsia" w:ascii="仿宋_GB2312" w:hAnsi="仿宋_GB2312" w:eastAsia="仿宋_GB2312" w:cs="仿宋_GB2312"/>
          <w:b w:val="0"/>
          <w:color w:val="000000"/>
        </w:rPr>
        <w:t>一</w:t>
      </w:r>
      <w:r>
        <w:rPr>
          <w:rStyle w:val="24"/>
          <w:rFonts w:hint="eastAsia" w:ascii="仿宋_GB2312" w:hAnsi="仿宋_GB2312" w:eastAsia="仿宋_GB2312" w:cs="仿宋_GB2312"/>
          <w:b w:val="0"/>
          <w:bCs w:val="0"/>
        </w:rPr>
        <w:t>般公共预算财政拨款支出决算表</w:t>
      </w:r>
      <w:bookmarkEnd w:id="292"/>
      <w:bookmarkEnd w:id="293"/>
      <w:bookmarkEnd w:id="294"/>
    </w:p>
    <w:p>
      <w:pPr>
        <w:pStyle w:val="3"/>
        <w:spacing w:before="0" w:after="0" w:line="594" w:lineRule="exact"/>
        <w:rPr>
          <w:rFonts w:ascii="仿宋_GB2312" w:hAnsi="仿宋_GB2312" w:eastAsia="仿宋_GB2312" w:cs="仿宋_GB2312"/>
          <w:color w:val="000000"/>
        </w:rPr>
      </w:pPr>
      <w:bookmarkStart w:id="295" w:name="_Toc7199"/>
      <w:bookmarkStart w:id="296" w:name="_Toc51662637"/>
      <w:bookmarkStart w:id="297" w:name="_Toc51662825"/>
      <w:r>
        <w:rPr>
          <w:rStyle w:val="24"/>
          <w:rFonts w:hint="eastAsia" w:ascii="仿宋_GB2312" w:hAnsi="仿宋_GB2312" w:eastAsia="仿宋_GB2312" w:cs="仿宋_GB2312"/>
          <w:b w:val="0"/>
          <w:bCs w:val="0"/>
        </w:rPr>
        <w:t>七、</w:t>
      </w:r>
      <w:r>
        <w:rPr>
          <w:rFonts w:hint="eastAsia" w:ascii="仿宋_GB2312" w:hAnsi="仿宋_GB2312" w:eastAsia="仿宋_GB2312" w:cs="仿宋_GB2312"/>
          <w:b w:val="0"/>
          <w:color w:val="000000"/>
        </w:rPr>
        <w:t>一</w:t>
      </w:r>
      <w:r>
        <w:rPr>
          <w:rStyle w:val="24"/>
          <w:rFonts w:hint="eastAsia" w:ascii="仿宋_GB2312" w:hAnsi="仿宋_GB2312" w:eastAsia="仿宋_GB2312" w:cs="仿宋_GB2312"/>
          <w:b w:val="0"/>
          <w:bCs w:val="0"/>
        </w:rPr>
        <w:t>般公共预算财政拨款支出决算明细表</w:t>
      </w:r>
      <w:bookmarkEnd w:id="295"/>
      <w:bookmarkEnd w:id="296"/>
      <w:bookmarkEnd w:id="297"/>
    </w:p>
    <w:p>
      <w:pPr>
        <w:pStyle w:val="3"/>
        <w:spacing w:before="0" w:after="0" w:line="594" w:lineRule="exact"/>
        <w:rPr>
          <w:rFonts w:ascii="仿宋_GB2312" w:hAnsi="仿宋_GB2312" w:eastAsia="仿宋_GB2312" w:cs="仿宋_GB2312"/>
          <w:color w:val="000000"/>
        </w:rPr>
      </w:pPr>
      <w:bookmarkStart w:id="298" w:name="_Toc51662826"/>
      <w:bookmarkStart w:id="299" w:name="_Toc51662638"/>
      <w:bookmarkStart w:id="300" w:name="_Toc22710"/>
      <w:r>
        <w:rPr>
          <w:rStyle w:val="24"/>
          <w:rFonts w:hint="eastAsia" w:ascii="仿宋_GB2312" w:hAnsi="仿宋_GB2312" w:eastAsia="仿宋_GB2312" w:cs="仿宋_GB2312"/>
          <w:b w:val="0"/>
          <w:bCs w:val="0"/>
        </w:rPr>
        <w:t>八、</w:t>
      </w:r>
      <w:r>
        <w:rPr>
          <w:rFonts w:hint="eastAsia" w:ascii="仿宋_GB2312" w:hAnsi="仿宋_GB2312" w:eastAsia="仿宋_GB2312" w:cs="仿宋_GB2312"/>
          <w:b w:val="0"/>
          <w:color w:val="000000"/>
        </w:rPr>
        <w:t>一</w:t>
      </w:r>
      <w:r>
        <w:rPr>
          <w:rStyle w:val="24"/>
          <w:rFonts w:hint="eastAsia" w:ascii="仿宋_GB2312" w:hAnsi="仿宋_GB2312" w:eastAsia="仿宋_GB2312" w:cs="仿宋_GB2312"/>
          <w:b w:val="0"/>
          <w:bCs w:val="0"/>
        </w:rPr>
        <w:t>般公共预算财政拨款基本支出决算表</w:t>
      </w:r>
      <w:bookmarkEnd w:id="298"/>
      <w:bookmarkEnd w:id="299"/>
      <w:bookmarkEnd w:id="300"/>
    </w:p>
    <w:p>
      <w:pPr>
        <w:pStyle w:val="3"/>
        <w:spacing w:before="0" w:after="0" w:line="594" w:lineRule="exact"/>
        <w:rPr>
          <w:rFonts w:ascii="仿宋_GB2312" w:hAnsi="仿宋_GB2312" w:eastAsia="仿宋_GB2312" w:cs="仿宋_GB2312"/>
          <w:color w:val="000000"/>
        </w:rPr>
      </w:pPr>
      <w:bookmarkStart w:id="301" w:name="_Toc51662639"/>
      <w:bookmarkStart w:id="302" w:name="_Toc20509"/>
      <w:bookmarkStart w:id="303" w:name="_Toc51662827"/>
      <w:r>
        <w:rPr>
          <w:rStyle w:val="24"/>
          <w:rFonts w:hint="eastAsia" w:ascii="仿宋_GB2312" w:hAnsi="仿宋_GB2312" w:eastAsia="仿宋_GB2312" w:cs="仿宋_GB2312"/>
          <w:b w:val="0"/>
          <w:bCs w:val="0"/>
        </w:rPr>
        <w:t>九、</w:t>
      </w:r>
      <w:r>
        <w:rPr>
          <w:rFonts w:hint="eastAsia" w:ascii="仿宋_GB2312" w:hAnsi="仿宋_GB2312" w:eastAsia="仿宋_GB2312" w:cs="仿宋_GB2312"/>
          <w:b w:val="0"/>
          <w:color w:val="000000"/>
        </w:rPr>
        <w:t>一</w:t>
      </w:r>
      <w:r>
        <w:rPr>
          <w:rStyle w:val="24"/>
          <w:rFonts w:hint="eastAsia" w:ascii="仿宋_GB2312" w:hAnsi="仿宋_GB2312" w:eastAsia="仿宋_GB2312" w:cs="仿宋_GB2312"/>
          <w:b w:val="0"/>
          <w:bCs w:val="0"/>
        </w:rPr>
        <w:t>般公共预算财政拨款项目支出决算表</w:t>
      </w:r>
      <w:bookmarkEnd w:id="301"/>
      <w:bookmarkEnd w:id="302"/>
      <w:bookmarkEnd w:id="303"/>
    </w:p>
    <w:p>
      <w:pPr>
        <w:pStyle w:val="3"/>
        <w:spacing w:before="0" w:after="0" w:line="594" w:lineRule="exact"/>
        <w:rPr>
          <w:rFonts w:ascii="仿宋_GB2312" w:hAnsi="仿宋_GB2312" w:eastAsia="仿宋_GB2312" w:cs="仿宋_GB2312"/>
          <w:color w:val="000000"/>
        </w:rPr>
      </w:pPr>
      <w:bookmarkStart w:id="304" w:name="_Toc51662828"/>
      <w:bookmarkStart w:id="305" w:name="_Toc51662640"/>
      <w:bookmarkStart w:id="306" w:name="_Toc719"/>
      <w:r>
        <w:rPr>
          <w:rStyle w:val="24"/>
          <w:rFonts w:hint="eastAsia" w:ascii="仿宋_GB2312" w:hAnsi="仿宋_GB2312" w:eastAsia="仿宋_GB2312" w:cs="仿宋_GB2312"/>
          <w:b w:val="0"/>
          <w:bCs w:val="0"/>
        </w:rPr>
        <w:t>十、</w:t>
      </w:r>
      <w:r>
        <w:rPr>
          <w:rFonts w:hint="eastAsia" w:ascii="仿宋_GB2312" w:hAnsi="仿宋_GB2312" w:eastAsia="仿宋_GB2312" w:cs="仿宋_GB2312"/>
          <w:b w:val="0"/>
          <w:color w:val="000000"/>
        </w:rPr>
        <w:t>一</w:t>
      </w:r>
      <w:r>
        <w:rPr>
          <w:rStyle w:val="24"/>
          <w:rFonts w:hint="eastAsia" w:ascii="仿宋_GB2312" w:hAnsi="仿宋_GB2312" w:eastAsia="仿宋_GB2312" w:cs="仿宋_GB2312"/>
          <w:b w:val="0"/>
          <w:bCs w:val="0"/>
        </w:rPr>
        <w:t>般公共预算财政拨款“三公”经费支出决算表</w:t>
      </w:r>
      <w:bookmarkEnd w:id="304"/>
      <w:bookmarkEnd w:id="305"/>
      <w:bookmarkEnd w:id="306"/>
    </w:p>
    <w:p>
      <w:pPr>
        <w:pStyle w:val="3"/>
        <w:spacing w:before="0" w:after="0" w:line="594" w:lineRule="exact"/>
        <w:rPr>
          <w:rFonts w:ascii="仿宋_GB2312" w:hAnsi="仿宋_GB2312" w:eastAsia="仿宋_GB2312" w:cs="仿宋_GB2312"/>
          <w:color w:val="000000"/>
        </w:rPr>
      </w:pPr>
      <w:bookmarkStart w:id="307" w:name="_Toc32434"/>
      <w:bookmarkStart w:id="308" w:name="_Toc51662829"/>
      <w:bookmarkStart w:id="309" w:name="_Toc15396629"/>
      <w:bookmarkStart w:id="310" w:name="_Toc51662641"/>
      <w:r>
        <w:rPr>
          <w:rStyle w:val="24"/>
          <w:rFonts w:hint="eastAsia" w:ascii="仿宋_GB2312" w:hAnsi="仿宋_GB2312" w:eastAsia="仿宋_GB2312" w:cs="仿宋_GB2312"/>
          <w:b w:val="0"/>
          <w:bCs w:val="0"/>
        </w:rPr>
        <w:t>十一、</w:t>
      </w:r>
      <w:r>
        <w:rPr>
          <w:rFonts w:hint="eastAsia" w:ascii="仿宋_GB2312" w:hAnsi="仿宋_GB2312" w:eastAsia="仿宋_GB2312" w:cs="仿宋_GB2312"/>
          <w:b w:val="0"/>
          <w:color w:val="000000"/>
        </w:rPr>
        <w:t>政</w:t>
      </w:r>
      <w:r>
        <w:rPr>
          <w:rStyle w:val="24"/>
          <w:rFonts w:hint="eastAsia" w:ascii="仿宋_GB2312" w:hAnsi="仿宋_GB2312" w:eastAsia="仿宋_GB2312" w:cs="仿宋_GB2312"/>
          <w:b w:val="0"/>
          <w:bCs w:val="0"/>
        </w:rPr>
        <w:t>府性基金预算财政拨款收入支出决算表</w:t>
      </w:r>
      <w:bookmarkEnd w:id="307"/>
      <w:bookmarkEnd w:id="308"/>
      <w:bookmarkEnd w:id="309"/>
      <w:bookmarkEnd w:id="310"/>
    </w:p>
    <w:p>
      <w:pPr>
        <w:pStyle w:val="3"/>
        <w:spacing w:before="0" w:after="0" w:line="594" w:lineRule="exact"/>
        <w:rPr>
          <w:rFonts w:ascii="仿宋_GB2312" w:hAnsi="仿宋_GB2312" w:eastAsia="仿宋_GB2312" w:cs="仿宋_GB2312"/>
          <w:color w:val="000000"/>
        </w:rPr>
      </w:pPr>
      <w:bookmarkStart w:id="311" w:name="_Toc15396630"/>
      <w:bookmarkStart w:id="312" w:name="_Toc51662830"/>
      <w:bookmarkStart w:id="313" w:name="_Toc51662642"/>
      <w:bookmarkStart w:id="314" w:name="_Toc29457"/>
      <w:r>
        <w:rPr>
          <w:rStyle w:val="24"/>
          <w:rFonts w:hint="eastAsia" w:ascii="仿宋_GB2312" w:hAnsi="仿宋_GB2312" w:eastAsia="仿宋_GB2312" w:cs="仿宋_GB2312"/>
          <w:b w:val="0"/>
          <w:bCs w:val="0"/>
        </w:rPr>
        <w:t>十二、</w:t>
      </w:r>
      <w:r>
        <w:rPr>
          <w:rFonts w:hint="eastAsia" w:ascii="仿宋_GB2312" w:hAnsi="仿宋_GB2312" w:eastAsia="仿宋_GB2312" w:cs="仿宋_GB2312"/>
          <w:b w:val="0"/>
          <w:color w:val="000000"/>
        </w:rPr>
        <w:t>政</w:t>
      </w:r>
      <w:r>
        <w:rPr>
          <w:rStyle w:val="24"/>
          <w:rFonts w:hint="eastAsia" w:ascii="仿宋_GB2312" w:hAnsi="仿宋_GB2312" w:eastAsia="仿宋_GB2312" w:cs="仿宋_GB2312"/>
          <w:b w:val="0"/>
          <w:bCs w:val="0"/>
        </w:rPr>
        <w:t>府性基金预算财政拨款“三公”经费支出决算表</w:t>
      </w:r>
      <w:bookmarkEnd w:id="311"/>
      <w:bookmarkEnd w:id="312"/>
      <w:bookmarkEnd w:id="313"/>
      <w:bookmarkEnd w:id="314"/>
    </w:p>
    <w:p>
      <w:pPr>
        <w:pStyle w:val="3"/>
        <w:spacing w:before="0" w:after="0" w:line="594" w:lineRule="exact"/>
        <w:rPr>
          <w:rFonts w:ascii="仿宋_GB2312" w:hAnsi="仿宋_GB2312" w:eastAsia="仿宋_GB2312" w:cs="仿宋_GB2312"/>
          <w:color w:val="000000" w:themeColor="text1"/>
        </w:rPr>
      </w:pPr>
      <w:bookmarkStart w:id="315" w:name="_Toc51662831"/>
      <w:bookmarkStart w:id="316" w:name="_Toc51662643"/>
      <w:bookmarkStart w:id="317" w:name="_Toc12815"/>
      <w:bookmarkStart w:id="318" w:name="_Toc15396631"/>
      <w:r>
        <w:rPr>
          <w:rStyle w:val="24"/>
          <w:rFonts w:hint="eastAsia" w:ascii="仿宋_GB2312" w:hAnsi="仿宋_GB2312" w:eastAsia="仿宋_GB2312" w:cs="仿宋_GB2312"/>
          <w:b w:val="0"/>
          <w:bCs w:val="0"/>
        </w:rPr>
        <w:t>十三、</w:t>
      </w:r>
      <w:r>
        <w:rPr>
          <w:rFonts w:hint="eastAsia" w:ascii="仿宋_GB2312" w:hAnsi="仿宋_GB2312" w:eastAsia="仿宋_GB2312" w:cs="仿宋_GB2312"/>
          <w:b w:val="0"/>
          <w:color w:val="000000"/>
        </w:rPr>
        <w:t>国</w:t>
      </w:r>
      <w:r>
        <w:rPr>
          <w:rStyle w:val="24"/>
          <w:rFonts w:hint="eastAsia" w:ascii="仿宋_GB2312" w:hAnsi="仿宋_GB2312" w:eastAsia="仿宋_GB2312" w:cs="仿宋_GB2312"/>
          <w:b w:val="0"/>
          <w:bCs w:val="0"/>
        </w:rPr>
        <w:t>有资本经营预算支出决算表</w:t>
      </w:r>
      <w:bookmarkEnd w:id="315"/>
      <w:bookmarkEnd w:id="316"/>
      <w:bookmarkEnd w:id="317"/>
      <w:bookmarkEnd w:id="31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41</w:t>
        </w:r>
        <w:r>
          <w:rPr>
            <w:lang w:val="zh-CN"/>
          </w:rP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134FF"/>
    <w:rsid w:val="000222C6"/>
    <w:rsid w:val="0002549F"/>
    <w:rsid w:val="00043017"/>
    <w:rsid w:val="000468DB"/>
    <w:rsid w:val="00051CBE"/>
    <w:rsid w:val="0006487A"/>
    <w:rsid w:val="00065F8F"/>
    <w:rsid w:val="00070A43"/>
    <w:rsid w:val="000740D3"/>
    <w:rsid w:val="000768F2"/>
    <w:rsid w:val="0009184B"/>
    <w:rsid w:val="000941E7"/>
    <w:rsid w:val="00094236"/>
    <w:rsid w:val="0009593C"/>
    <w:rsid w:val="00097322"/>
    <w:rsid w:val="000A6A92"/>
    <w:rsid w:val="000B047F"/>
    <w:rsid w:val="000B5923"/>
    <w:rsid w:val="000B5A48"/>
    <w:rsid w:val="000B6FF3"/>
    <w:rsid w:val="000C3467"/>
    <w:rsid w:val="000C3CA6"/>
    <w:rsid w:val="000D1267"/>
    <w:rsid w:val="000D1D50"/>
    <w:rsid w:val="000D36E2"/>
    <w:rsid w:val="000D5782"/>
    <w:rsid w:val="000E6613"/>
    <w:rsid w:val="000E7119"/>
    <w:rsid w:val="00114E9B"/>
    <w:rsid w:val="0011649E"/>
    <w:rsid w:val="0013358B"/>
    <w:rsid w:val="00142216"/>
    <w:rsid w:val="00144D6A"/>
    <w:rsid w:val="0014729F"/>
    <w:rsid w:val="00157BAB"/>
    <w:rsid w:val="001654D1"/>
    <w:rsid w:val="00174518"/>
    <w:rsid w:val="0018106D"/>
    <w:rsid w:val="001877A7"/>
    <w:rsid w:val="00191536"/>
    <w:rsid w:val="00196687"/>
    <w:rsid w:val="001A7184"/>
    <w:rsid w:val="001B48DA"/>
    <w:rsid w:val="001C0962"/>
    <w:rsid w:val="001C250F"/>
    <w:rsid w:val="001D7531"/>
    <w:rsid w:val="001E737D"/>
    <w:rsid w:val="001F0592"/>
    <w:rsid w:val="001F23B6"/>
    <w:rsid w:val="001F7506"/>
    <w:rsid w:val="002006CD"/>
    <w:rsid w:val="00202B36"/>
    <w:rsid w:val="00204B7A"/>
    <w:rsid w:val="00204CDE"/>
    <w:rsid w:val="0021101A"/>
    <w:rsid w:val="00220536"/>
    <w:rsid w:val="00235629"/>
    <w:rsid w:val="002430AF"/>
    <w:rsid w:val="002523AD"/>
    <w:rsid w:val="00260C38"/>
    <w:rsid w:val="0026116A"/>
    <w:rsid w:val="002616C0"/>
    <w:rsid w:val="00265372"/>
    <w:rsid w:val="002662AA"/>
    <w:rsid w:val="00280496"/>
    <w:rsid w:val="00294DC9"/>
    <w:rsid w:val="00295495"/>
    <w:rsid w:val="002A31DE"/>
    <w:rsid w:val="002B2613"/>
    <w:rsid w:val="002C679C"/>
    <w:rsid w:val="002C6B40"/>
    <w:rsid w:val="002D19B0"/>
    <w:rsid w:val="002D6D05"/>
    <w:rsid w:val="002F1818"/>
    <w:rsid w:val="002F1D18"/>
    <w:rsid w:val="002F567B"/>
    <w:rsid w:val="00303BF2"/>
    <w:rsid w:val="003216A9"/>
    <w:rsid w:val="00323668"/>
    <w:rsid w:val="00325E37"/>
    <w:rsid w:val="003347AB"/>
    <w:rsid w:val="00335A74"/>
    <w:rsid w:val="00352946"/>
    <w:rsid w:val="0036561B"/>
    <w:rsid w:val="0037013F"/>
    <w:rsid w:val="00380C92"/>
    <w:rsid w:val="00393348"/>
    <w:rsid w:val="003A484F"/>
    <w:rsid w:val="003A4883"/>
    <w:rsid w:val="003A6029"/>
    <w:rsid w:val="003B0BE0"/>
    <w:rsid w:val="003B0C1B"/>
    <w:rsid w:val="003B20BB"/>
    <w:rsid w:val="003B688C"/>
    <w:rsid w:val="003C0291"/>
    <w:rsid w:val="003C39AE"/>
    <w:rsid w:val="003C7B60"/>
    <w:rsid w:val="003D0C0F"/>
    <w:rsid w:val="003D1FB2"/>
    <w:rsid w:val="003D66DA"/>
    <w:rsid w:val="003E1310"/>
    <w:rsid w:val="003E6631"/>
    <w:rsid w:val="003E6F55"/>
    <w:rsid w:val="003F6619"/>
    <w:rsid w:val="00403BFF"/>
    <w:rsid w:val="00406254"/>
    <w:rsid w:val="00416CD4"/>
    <w:rsid w:val="004223DE"/>
    <w:rsid w:val="00424CDF"/>
    <w:rsid w:val="0042599F"/>
    <w:rsid w:val="00434489"/>
    <w:rsid w:val="00436EA7"/>
    <w:rsid w:val="00437085"/>
    <w:rsid w:val="00437896"/>
    <w:rsid w:val="00442484"/>
    <w:rsid w:val="00443880"/>
    <w:rsid w:val="004464F4"/>
    <w:rsid w:val="00471401"/>
    <w:rsid w:val="00473F31"/>
    <w:rsid w:val="0048263A"/>
    <w:rsid w:val="00487E5D"/>
    <w:rsid w:val="004A711F"/>
    <w:rsid w:val="004B199D"/>
    <w:rsid w:val="004B24CA"/>
    <w:rsid w:val="004B4690"/>
    <w:rsid w:val="004D2F33"/>
    <w:rsid w:val="004E0A2D"/>
    <w:rsid w:val="004E206B"/>
    <w:rsid w:val="004E6DF7"/>
    <w:rsid w:val="004F0FBD"/>
    <w:rsid w:val="004F403E"/>
    <w:rsid w:val="00505A47"/>
    <w:rsid w:val="00512FDA"/>
    <w:rsid w:val="00520DA0"/>
    <w:rsid w:val="005252B4"/>
    <w:rsid w:val="005618E3"/>
    <w:rsid w:val="005664BB"/>
    <w:rsid w:val="00566FFA"/>
    <w:rsid w:val="00567F47"/>
    <w:rsid w:val="0057481D"/>
    <w:rsid w:val="00575F0B"/>
    <w:rsid w:val="0058486E"/>
    <w:rsid w:val="00585B33"/>
    <w:rsid w:val="0059014D"/>
    <w:rsid w:val="005A1EEA"/>
    <w:rsid w:val="005B5218"/>
    <w:rsid w:val="005B5C64"/>
    <w:rsid w:val="005C523A"/>
    <w:rsid w:val="005C6BD0"/>
    <w:rsid w:val="005C6C4C"/>
    <w:rsid w:val="005D1C8B"/>
    <w:rsid w:val="005D468D"/>
    <w:rsid w:val="005D5CED"/>
    <w:rsid w:val="005F1A4C"/>
    <w:rsid w:val="00605688"/>
    <w:rsid w:val="006070AF"/>
    <w:rsid w:val="00607E6C"/>
    <w:rsid w:val="006101B1"/>
    <w:rsid w:val="00614E44"/>
    <w:rsid w:val="00620547"/>
    <w:rsid w:val="0062270A"/>
    <w:rsid w:val="00622830"/>
    <w:rsid w:val="00623DA0"/>
    <w:rsid w:val="00630AEF"/>
    <w:rsid w:val="006325F8"/>
    <w:rsid w:val="00633463"/>
    <w:rsid w:val="00634C9A"/>
    <w:rsid w:val="006440E4"/>
    <w:rsid w:val="006442F0"/>
    <w:rsid w:val="00653008"/>
    <w:rsid w:val="00653CE8"/>
    <w:rsid w:val="00662704"/>
    <w:rsid w:val="0066343B"/>
    <w:rsid w:val="00664777"/>
    <w:rsid w:val="006748A4"/>
    <w:rsid w:val="00681A31"/>
    <w:rsid w:val="00683E73"/>
    <w:rsid w:val="0069307F"/>
    <w:rsid w:val="006A3141"/>
    <w:rsid w:val="006A5E34"/>
    <w:rsid w:val="006B2422"/>
    <w:rsid w:val="006B2B9A"/>
    <w:rsid w:val="006B2EC7"/>
    <w:rsid w:val="006C1937"/>
    <w:rsid w:val="006F020C"/>
    <w:rsid w:val="007127B7"/>
    <w:rsid w:val="0071798E"/>
    <w:rsid w:val="00727533"/>
    <w:rsid w:val="00731530"/>
    <w:rsid w:val="007416B6"/>
    <w:rsid w:val="00746F48"/>
    <w:rsid w:val="0075404D"/>
    <w:rsid w:val="0076182A"/>
    <w:rsid w:val="00763D89"/>
    <w:rsid w:val="00767B7E"/>
    <w:rsid w:val="007711EE"/>
    <w:rsid w:val="007770C3"/>
    <w:rsid w:val="00780007"/>
    <w:rsid w:val="00784D24"/>
    <w:rsid w:val="00785FBA"/>
    <w:rsid w:val="00786E4A"/>
    <w:rsid w:val="007875EB"/>
    <w:rsid w:val="0079426B"/>
    <w:rsid w:val="007B114E"/>
    <w:rsid w:val="007B772E"/>
    <w:rsid w:val="007D1682"/>
    <w:rsid w:val="007D312A"/>
    <w:rsid w:val="007D3F19"/>
    <w:rsid w:val="007E23B0"/>
    <w:rsid w:val="007F1991"/>
    <w:rsid w:val="007F2C2F"/>
    <w:rsid w:val="007F55FC"/>
    <w:rsid w:val="007F5665"/>
    <w:rsid w:val="00800112"/>
    <w:rsid w:val="008049A2"/>
    <w:rsid w:val="00813348"/>
    <w:rsid w:val="008253BB"/>
    <w:rsid w:val="00827E30"/>
    <w:rsid w:val="00833962"/>
    <w:rsid w:val="0083706E"/>
    <w:rsid w:val="008408F6"/>
    <w:rsid w:val="008423A5"/>
    <w:rsid w:val="00850625"/>
    <w:rsid w:val="0085363D"/>
    <w:rsid w:val="00853718"/>
    <w:rsid w:val="00855221"/>
    <w:rsid w:val="00860645"/>
    <w:rsid w:val="00871F71"/>
    <w:rsid w:val="00872FD8"/>
    <w:rsid w:val="00885AF4"/>
    <w:rsid w:val="008939CD"/>
    <w:rsid w:val="008B768C"/>
    <w:rsid w:val="008C4DB1"/>
    <w:rsid w:val="008C4EAF"/>
    <w:rsid w:val="008C5176"/>
    <w:rsid w:val="008C7FD0"/>
    <w:rsid w:val="008D5162"/>
    <w:rsid w:val="008E1DE7"/>
    <w:rsid w:val="008E707C"/>
    <w:rsid w:val="00900B08"/>
    <w:rsid w:val="00902155"/>
    <w:rsid w:val="00902FA3"/>
    <w:rsid w:val="0090352C"/>
    <w:rsid w:val="009041E3"/>
    <w:rsid w:val="00905457"/>
    <w:rsid w:val="00920DF4"/>
    <w:rsid w:val="00923564"/>
    <w:rsid w:val="0092392E"/>
    <w:rsid w:val="00930A20"/>
    <w:rsid w:val="009315F9"/>
    <w:rsid w:val="00933499"/>
    <w:rsid w:val="00935C98"/>
    <w:rsid w:val="00946945"/>
    <w:rsid w:val="00951248"/>
    <w:rsid w:val="0095152F"/>
    <w:rsid w:val="00954C49"/>
    <w:rsid w:val="00955E37"/>
    <w:rsid w:val="0097099F"/>
    <w:rsid w:val="00971997"/>
    <w:rsid w:val="00971FFC"/>
    <w:rsid w:val="00982CA0"/>
    <w:rsid w:val="0098660A"/>
    <w:rsid w:val="009931C3"/>
    <w:rsid w:val="009A34C9"/>
    <w:rsid w:val="009B2C43"/>
    <w:rsid w:val="009B4EAE"/>
    <w:rsid w:val="009B7573"/>
    <w:rsid w:val="009C22F4"/>
    <w:rsid w:val="009C2E98"/>
    <w:rsid w:val="009C37FB"/>
    <w:rsid w:val="009C6262"/>
    <w:rsid w:val="009C638D"/>
    <w:rsid w:val="009D3447"/>
    <w:rsid w:val="009D4711"/>
    <w:rsid w:val="009E240B"/>
    <w:rsid w:val="009F1185"/>
    <w:rsid w:val="009F18CD"/>
    <w:rsid w:val="009F2A13"/>
    <w:rsid w:val="009F7527"/>
    <w:rsid w:val="00A01CE6"/>
    <w:rsid w:val="00A039ED"/>
    <w:rsid w:val="00A04EB0"/>
    <w:rsid w:val="00A13CC1"/>
    <w:rsid w:val="00A16847"/>
    <w:rsid w:val="00A237D8"/>
    <w:rsid w:val="00A268C4"/>
    <w:rsid w:val="00A307CD"/>
    <w:rsid w:val="00A331C8"/>
    <w:rsid w:val="00A35117"/>
    <w:rsid w:val="00A40A00"/>
    <w:rsid w:val="00A4142F"/>
    <w:rsid w:val="00A422EB"/>
    <w:rsid w:val="00A4505E"/>
    <w:rsid w:val="00A45381"/>
    <w:rsid w:val="00A45BB7"/>
    <w:rsid w:val="00A56DF2"/>
    <w:rsid w:val="00A56E6E"/>
    <w:rsid w:val="00A65361"/>
    <w:rsid w:val="00A65A7E"/>
    <w:rsid w:val="00A67AB5"/>
    <w:rsid w:val="00A733B2"/>
    <w:rsid w:val="00A741C2"/>
    <w:rsid w:val="00A91760"/>
    <w:rsid w:val="00A93B00"/>
    <w:rsid w:val="00A93C21"/>
    <w:rsid w:val="00AB44D4"/>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22AF7"/>
    <w:rsid w:val="00B310B9"/>
    <w:rsid w:val="00B31761"/>
    <w:rsid w:val="00B35F3F"/>
    <w:rsid w:val="00B36CBB"/>
    <w:rsid w:val="00B425E0"/>
    <w:rsid w:val="00B440AA"/>
    <w:rsid w:val="00B44B70"/>
    <w:rsid w:val="00B53C56"/>
    <w:rsid w:val="00B57DAF"/>
    <w:rsid w:val="00B77EA6"/>
    <w:rsid w:val="00B81598"/>
    <w:rsid w:val="00B841F1"/>
    <w:rsid w:val="00B92096"/>
    <w:rsid w:val="00B944D6"/>
    <w:rsid w:val="00B954CC"/>
    <w:rsid w:val="00BB1D0E"/>
    <w:rsid w:val="00BB4DF0"/>
    <w:rsid w:val="00BC289F"/>
    <w:rsid w:val="00BC2D50"/>
    <w:rsid w:val="00BC5361"/>
    <w:rsid w:val="00BC5460"/>
    <w:rsid w:val="00BC6B50"/>
    <w:rsid w:val="00BD0E25"/>
    <w:rsid w:val="00BF5BD6"/>
    <w:rsid w:val="00C03E31"/>
    <w:rsid w:val="00C07185"/>
    <w:rsid w:val="00C25457"/>
    <w:rsid w:val="00C30192"/>
    <w:rsid w:val="00C30E69"/>
    <w:rsid w:val="00C33E72"/>
    <w:rsid w:val="00C354B2"/>
    <w:rsid w:val="00C35554"/>
    <w:rsid w:val="00C42709"/>
    <w:rsid w:val="00C52C65"/>
    <w:rsid w:val="00C533CC"/>
    <w:rsid w:val="00C5751C"/>
    <w:rsid w:val="00C61BFC"/>
    <w:rsid w:val="00C62B85"/>
    <w:rsid w:val="00C65438"/>
    <w:rsid w:val="00C86DDD"/>
    <w:rsid w:val="00C91CBB"/>
    <w:rsid w:val="00CA2331"/>
    <w:rsid w:val="00CB4E70"/>
    <w:rsid w:val="00CB732D"/>
    <w:rsid w:val="00CC09B6"/>
    <w:rsid w:val="00CC666F"/>
    <w:rsid w:val="00CD1E3F"/>
    <w:rsid w:val="00CE44F6"/>
    <w:rsid w:val="00CE49DA"/>
    <w:rsid w:val="00CE7B61"/>
    <w:rsid w:val="00D00095"/>
    <w:rsid w:val="00D01E3E"/>
    <w:rsid w:val="00D114F0"/>
    <w:rsid w:val="00D179F5"/>
    <w:rsid w:val="00D20620"/>
    <w:rsid w:val="00D2207C"/>
    <w:rsid w:val="00D254F7"/>
    <w:rsid w:val="00D26091"/>
    <w:rsid w:val="00D2685C"/>
    <w:rsid w:val="00D269DE"/>
    <w:rsid w:val="00D34E7C"/>
    <w:rsid w:val="00D35489"/>
    <w:rsid w:val="00D36AFE"/>
    <w:rsid w:val="00D429E3"/>
    <w:rsid w:val="00D51276"/>
    <w:rsid w:val="00D533EC"/>
    <w:rsid w:val="00D55019"/>
    <w:rsid w:val="00D7035F"/>
    <w:rsid w:val="00D739FA"/>
    <w:rsid w:val="00DA372A"/>
    <w:rsid w:val="00DA634F"/>
    <w:rsid w:val="00DA65AC"/>
    <w:rsid w:val="00DB1913"/>
    <w:rsid w:val="00DC410D"/>
    <w:rsid w:val="00DC5A81"/>
    <w:rsid w:val="00DC68CA"/>
    <w:rsid w:val="00DC7CBA"/>
    <w:rsid w:val="00DD73B7"/>
    <w:rsid w:val="00DF235C"/>
    <w:rsid w:val="00DF28BC"/>
    <w:rsid w:val="00DF34B9"/>
    <w:rsid w:val="00DF7548"/>
    <w:rsid w:val="00E01053"/>
    <w:rsid w:val="00E07ACF"/>
    <w:rsid w:val="00E331A1"/>
    <w:rsid w:val="00E33202"/>
    <w:rsid w:val="00E336A9"/>
    <w:rsid w:val="00E472B1"/>
    <w:rsid w:val="00E50624"/>
    <w:rsid w:val="00E568DF"/>
    <w:rsid w:val="00E64269"/>
    <w:rsid w:val="00E66797"/>
    <w:rsid w:val="00E75F87"/>
    <w:rsid w:val="00E82267"/>
    <w:rsid w:val="00E853CE"/>
    <w:rsid w:val="00E867B6"/>
    <w:rsid w:val="00E87F08"/>
    <w:rsid w:val="00EA010F"/>
    <w:rsid w:val="00EA14C9"/>
    <w:rsid w:val="00EA495F"/>
    <w:rsid w:val="00ED047C"/>
    <w:rsid w:val="00ED1B63"/>
    <w:rsid w:val="00ED3C1F"/>
    <w:rsid w:val="00ED4085"/>
    <w:rsid w:val="00ED420E"/>
    <w:rsid w:val="00ED6FBE"/>
    <w:rsid w:val="00ED73BD"/>
    <w:rsid w:val="00EE2F57"/>
    <w:rsid w:val="00EF4C34"/>
    <w:rsid w:val="00EF4FFB"/>
    <w:rsid w:val="00EF77C6"/>
    <w:rsid w:val="00F05438"/>
    <w:rsid w:val="00F07034"/>
    <w:rsid w:val="00F1361C"/>
    <w:rsid w:val="00F1479C"/>
    <w:rsid w:val="00F156F0"/>
    <w:rsid w:val="00F160C7"/>
    <w:rsid w:val="00F174E8"/>
    <w:rsid w:val="00F2408F"/>
    <w:rsid w:val="00F240E9"/>
    <w:rsid w:val="00F312BF"/>
    <w:rsid w:val="00F36D8F"/>
    <w:rsid w:val="00F417B1"/>
    <w:rsid w:val="00F456B6"/>
    <w:rsid w:val="00F45853"/>
    <w:rsid w:val="00F5040C"/>
    <w:rsid w:val="00F602DF"/>
    <w:rsid w:val="00F754A1"/>
    <w:rsid w:val="00F81FD9"/>
    <w:rsid w:val="00F841AA"/>
    <w:rsid w:val="00F84A94"/>
    <w:rsid w:val="00F87E96"/>
    <w:rsid w:val="00FA0B5A"/>
    <w:rsid w:val="00FA23E8"/>
    <w:rsid w:val="00FB168B"/>
    <w:rsid w:val="00FD3CC1"/>
    <w:rsid w:val="00FF1E02"/>
    <w:rsid w:val="00FF30B4"/>
    <w:rsid w:val="05F77E1D"/>
    <w:rsid w:val="068C2A96"/>
    <w:rsid w:val="10C055FF"/>
    <w:rsid w:val="16A639D5"/>
    <w:rsid w:val="16BB723D"/>
    <w:rsid w:val="1BF511D6"/>
    <w:rsid w:val="240371BF"/>
    <w:rsid w:val="24182210"/>
    <w:rsid w:val="29FD04D3"/>
    <w:rsid w:val="319F7F4E"/>
    <w:rsid w:val="340863E3"/>
    <w:rsid w:val="348D004E"/>
    <w:rsid w:val="473E6082"/>
    <w:rsid w:val="497664E7"/>
    <w:rsid w:val="4AE11DFE"/>
    <w:rsid w:val="4ECE2238"/>
    <w:rsid w:val="50226746"/>
    <w:rsid w:val="56C75B41"/>
    <w:rsid w:val="5CE53B93"/>
    <w:rsid w:val="7023229B"/>
    <w:rsid w:val="72734D90"/>
    <w:rsid w:val="75302155"/>
    <w:rsid w:val="7BADB367"/>
    <w:rsid w:val="7DC42C3D"/>
    <w:rsid w:val="7F39D66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5"/>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8">
    <w:name w:val="toc 3"/>
    <w:basedOn w:val="1"/>
    <w:next w:val="1"/>
    <w:unhideWhenUsed/>
    <w:qFormat/>
    <w:uiPriority w:val="39"/>
    <w:pPr>
      <w:tabs>
        <w:tab w:val="right" w:leader="dot" w:pos="8296"/>
      </w:tabs>
      <w:ind w:left="840" w:leftChars="400"/>
    </w:pPr>
  </w:style>
  <w:style w:type="paragraph" w:styleId="9">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10">
    <w:name w:val="Balloon Text"/>
    <w:basedOn w:val="1"/>
    <w:link w:val="27"/>
    <w:semiHidden/>
    <w:unhideWhenUsed/>
    <w:qFormat/>
    <w:uiPriority w:val="99"/>
    <w:rPr>
      <w:sz w:val="18"/>
      <w:szCs w:val="18"/>
    </w:rPr>
  </w:style>
  <w:style w:type="paragraph" w:styleId="11">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4"/>
    <w:basedOn w:val="1"/>
    <w:next w:val="1"/>
    <w:unhideWhenUsed/>
    <w:qFormat/>
    <w:uiPriority w:val="39"/>
    <w:pPr>
      <w:ind w:left="1260" w:leftChars="600"/>
    </w:pPr>
    <w:rPr>
      <w:rFonts w:asciiTheme="minorHAnsi" w:hAnsiTheme="minorHAnsi" w:eastAsiaTheme="minorEastAsia" w:cstheme="minorBidi"/>
      <w:szCs w:val="22"/>
    </w:rPr>
  </w:style>
  <w:style w:type="paragraph" w:styleId="15">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16">
    <w:name w:val="toc 2"/>
    <w:basedOn w:val="1"/>
    <w:next w:val="1"/>
    <w:unhideWhenUsed/>
    <w:qFormat/>
    <w:uiPriority w:val="39"/>
    <w:pPr>
      <w:tabs>
        <w:tab w:val="right" w:leader="dot" w:pos="8296"/>
      </w:tabs>
      <w:ind w:left="420" w:leftChars="200"/>
    </w:pPr>
  </w:style>
  <w:style w:type="paragraph" w:styleId="17">
    <w:name w:val="toc 9"/>
    <w:basedOn w:val="1"/>
    <w:next w:val="1"/>
    <w:unhideWhenUsed/>
    <w:qFormat/>
    <w:uiPriority w:val="39"/>
    <w:pPr>
      <w:ind w:left="3360" w:leftChars="1600"/>
    </w:pPr>
    <w:rPr>
      <w:rFonts w:asciiTheme="minorHAnsi" w:hAnsiTheme="minorHAnsi" w:eastAsiaTheme="minorEastAsia" w:cstheme="minorBidi"/>
      <w:szCs w:val="22"/>
    </w:rPr>
  </w:style>
  <w:style w:type="character" w:styleId="20">
    <w:name w:val="Strong"/>
    <w:basedOn w:val="19"/>
    <w:qFormat/>
    <w:uiPriority w:val="99"/>
    <w:rPr>
      <w:b/>
    </w:rPr>
  </w:style>
  <w:style w:type="character" w:styleId="21">
    <w:name w:val="FollowedHyperlink"/>
    <w:basedOn w:val="19"/>
    <w:semiHidden/>
    <w:unhideWhenUsed/>
    <w:qFormat/>
    <w:uiPriority w:val="99"/>
    <w:rPr>
      <w:color w:val="800080" w:themeColor="followedHyperlink"/>
      <w:u w:val="single"/>
    </w:rPr>
  </w:style>
  <w:style w:type="character" w:styleId="22">
    <w:name w:val="Hyperlink"/>
    <w:basedOn w:val="19"/>
    <w:unhideWhenUsed/>
    <w:qFormat/>
    <w:uiPriority w:val="99"/>
    <w:rPr>
      <w:color w:val="0000FF" w:themeColor="hyperlink"/>
      <w:u w:val="single"/>
    </w:rPr>
  </w:style>
  <w:style w:type="character" w:customStyle="1" w:styleId="23">
    <w:name w:val="标题 1 Char"/>
    <w:basedOn w:val="19"/>
    <w:link w:val="2"/>
    <w:qFormat/>
    <w:uiPriority w:val="9"/>
    <w:rPr>
      <w:rFonts w:ascii="Times New Roman" w:hAnsi="Times New Roman"/>
      <w:b/>
      <w:bCs/>
      <w:kern w:val="44"/>
      <w:sz w:val="44"/>
      <w:szCs w:val="44"/>
    </w:rPr>
  </w:style>
  <w:style w:type="character" w:customStyle="1" w:styleId="24">
    <w:name w:val="标题 2 Char"/>
    <w:basedOn w:val="19"/>
    <w:link w:val="3"/>
    <w:qFormat/>
    <w:uiPriority w:val="9"/>
    <w:rPr>
      <w:rFonts w:asciiTheme="majorHAnsi" w:hAnsiTheme="majorHAnsi" w:eastAsiaTheme="majorEastAsia" w:cstheme="majorBidi"/>
      <w:b/>
      <w:bCs/>
      <w:kern w:val="2"/>
      <w:sz w:val="32"/>
      <w:szCs w:val="32"/>
    </w:rPr>
  </w:style>
  <w:style w:type="character" w:customStyle="1" w:styleId="25">
    <w:name w:val="标题 3 Char"/>
    <w:basedOn w:val="19"/>
    <w:link w:val="4"/>
    <w:qFormat/>
    <w:uiPriority w:val="9"/>
    <w:rPr>
      <w:rFonts w:ascii="Times New Roman" w:hAnsi="Times New Roman"/>
      <w:b/>
      <w:bCs/>
      <w:kern w:val="2"/>
      <w:sz w:val="32"/>
      <w:szCs w:val="32"/>
    </w:rPr>
  </w:style>
  <w:style w:type="character" w:customStyle="1" w:styleId="26">
    <w:name w:val="正文文本 Char"/>
    <w:link w:val="6"/>
    <w:qFormat/>
    <w:locked/>
    <w:uiPriority w:val="99"/>
    <w:rPr>
      <w:rFonts w:ascii="仿宋_GB2312" w:hAnsi="Times New Roman" w:eastAsia="仿宋_GB2312"/>
      <w:sz w:val="24"/>
    </w:rPr>
  </w:style>
  <w:style w:type="character" w:customStyle="1" w:styleId="27">
    <w:name w:val="批注框文本 Char"/>
    <w:basedOn w:val="19"/>
    <w:link w:val="10"/>
    <w:semiHidden/>
    <w:qFormat/>
    <w:uiPriority w:val="99"/>
    <w:rPr>
      <w:rFonts w:ascii="Times New Roman" w:hAnsi="Times New Roman"/>
      <w:kern w:val="2"/>
      <w:sz w:val="18"/>
      <w:szCs w:val="18"/>
    </w:rPr>
  </w:style>
  <w:style w:type="character" w:customStyle="1" w:styleId="28">
    <w:name w:val="页脚 Char"/>
    <w:link w:val="11"/>
    <w:qFormat/>
    <w:locked/>
    <w:uiPriority w:val="99"/>
    <w:rPr>
      <w:sz w:val="18"/>
    </w:rPr>
  </w:style>
  <w:style w:type="character" w:customStyle="1" w:styleId="29">
    <w:name w:val="页眉 Char"/>
    <w:link w:val="12"/>
    <w:semiHidden/>
    <w:qFormat/>
    <w:locked/>
    <w:uiPriority w:val="99"/>
    <w:rPr>
      <w:sz w:val="18"/>
    </w:rPr>
  </w:style>
  <w:style w:type="character" w:customStyle="1" w:styleId="30">
    <w:name w:val="Header Char"/>
    <w:basedOn w:val="19"/>
    <w:semiHidden/>
    <w:qFormat/>
    <w:uiPriority w:val="99"/>
    <w:rPr>
      <w:rFonts w:ascii="Times New Roman" w:hAnsi="Times New Roman"/>
      <w:sz w:val="18"/>
      <w:szCs w:val="18"/>
    </w:rPr>
  </w:style>
  <w:style w:type="character" w:customStyle="1" w:styleId="31">
    <w:name w:val="Footer Char"/>
    <w:basedOn w:val="19"/>
    <w:semiHidden/>
    <w:qFormat/>
    <w:uiPriority w:val="99"/>
    <w:rPr>
      <w:rFonts w:ascii="Times New Roman" w:hAnsi="Times New Roman"/>
      <w:sz w:val="18"/>
      <w:szCs w:val="18"/>
    </w:rPr>
  </w:style>
  <w:style w:type="character" w:customStyle="1" w:styleId="32">
    <w:name w:val="Body Text Char"/>
    <w:basedOn w:val="19"/>
    <w:semiHidden/>
    <w:qFormat/>
    <w:uiPriority w:val="99"/>
    <w:rPr>
      <w:rFonts w:ascii="Times New Roman" w:hAnsi="Times New Roman"/>
      <w:szCs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4">
    <w:name w:val="List Paragraph"/>
    <w:basedOn w:val="1"/>
    <w:qFormat/>
    <w:uiPriority w:val="34"/>
    <w:pPr>
      <w:ind w:firstLine="420" w:firstLineChars="200"/>
    </w:pPr>
  </w:style>
  <w:style w:type="paragraph" w:customStyle="1" w:styleId="35">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6">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hart" Target="charts/chart9.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8.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9.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8.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9.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收入对比</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delete val="1"/>
          </c:dLbls>
          <c:cat>
            <c:strRef>
              <c:f>Sheet1!$A$2</c:f>
              <c:strCache>
                <c:ptCount val="1"/>
                <c:pt idx="0">
                  <c:v>收入</c:v>
                </c:pt>
              </c:strCache>
            </c:strRef>
          </c:cat>
          <c:val>
            <c:numRef>
              <c:f>Sheet1!$B$2</c:f>
              <c:numCache>
                <c:formatCode>General</c:formatCode>
                <c:ptCount val="1"/>
                <c:pt idx="0">
                  <c:v>1107.28</c:v>
                </c:pt>
              </c:numCache>
            </c:numRef>
          </c:val>
        </c:ser>
        <c:ser>
          <c:idx val="1"/>
          <c:order val="1"/>
          <c:tx>
            <c:strRef>
              <c:f>Sheet1!$C$1</c:f>
              <c:strCache>
                <c:ptCount val="1"/>
                <c:pt idx="0">
                  <c:v>2019年</c:v>
                </c:pt>
              </c:strCache>
            </c:strRef>
          </c:tx>
          <c:spPr>
            <a:solidFill>
              <a:schemeClr val="accent2"/>
            </a:solidFill>
            <a:ln>
              <a:noFill/>
            </a:ln>
            <a:effectLst/>
          </c:spPr>
          <c:invertIfNegative val="0"/>
          <c:dLbls>
            <c:delete val="1"/>
          </c:dLbls>
          <c:cat>
            <c:strRef>
              <c:f>Sheet1!$A$2</c:f>
              <c:strCache>
                <c:ptCount val="1"/>
                <c:pt idx="0">
                  <c:v>收入</c:v>
                </c:pt>
              </c:strCache>
            </c:strRef>
          </c:cat>
          <c:val>
            <c:numRef>
              <c:f>Sheet1!$C$2</c:f>
              <c:numCache>
                <c:formatCode>General</c:formatCode>
                <c:ptCount val="1"/>
                <c:pt idx="0">
                  <c:v>1126.32</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收入</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4460672"/>
        <c:axId val="75884800"/>
      </c:barChart>
      <c:catAx>
        <c:axId val="6446067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884800"/>
        <c:crosses val="autoZero"/>
        <c:auto val="1"/>
        <c:lblAlgn val="ctr"/>
        <c:lblOffset val="100"/>
        <c:noMultiLvlLbl val="0"/>
      </c:catAx>
      <c:valAx>
        <c:axId val="758848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46067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支出对比</a:t>
            </a:r>
          </a:p>
        </c:rich>
      </c:tx>
      <c:layout/>
      <c:overlay val="0"/>
      <c:spPr>
        <a:noFill/>
        <a:ln>
          <a:noFill/>
        </a:ln>
        <a:effectLst/>
      </c:spPr>
    </c:title>
    <c:autoTitleDeleted val="0"/>
    <c:plotArea>
      <c:layout>
        <c:manualLayout>
          <c:layoutTarget val="inner"/>
          <c:xMode val="edge"/>
          <c:yMode val="edge"/>
          <c:x val="0.122639533143798"/>
          <c:y val="0.109457293336387"/>
          <c:w val="0.872871464910968"/>
          <c:h val="0.611037325395008"/>
        </c:manualLayout>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delete val="1"/>
          </c:dLbls>
          <c:cat>
            <c:strRef>
              <c:f>Sheet1!$A$2</c:f>
              <c:strCache>
                <c:ptCount val="1"/>
                <c:pt idx="0">
                  <c:v>支出</c:v>
                </c:pt>
              </c:strCache>
            </c:strRef>
          </c:cat>
          <c:val>
            <c:numRef>
              <c:f>Sheet1!$B$2</c:f>
              <c:numCache>
                <c:formatCode>General</c:formatCode>
                <c:ptCount val="1"/>
                <c:pt idx="0">
                  <c:v>1042.98</c:v>
                </c:pt>
              </c:numCache>
            </c:numRef>
          </c:val>
        </c:ser>
        <c:ser>
          <c:idx val="1"/>
          <c:order val="1"/>
          <c:tx>
            <c:strRef>
              <c:f>Sheet1!$C$1</c:f>
              <c:strCache>
                <c:ptCount val="1"/>
                <c:pt idx="0">
                  <c:v>2019年</c:v>
                </c:pt>
              </c:strCache>
            </c:strRef>
          </c:tx>
          <c:spPr>
            <a:solidFill>
              <a:schemeClr val="accent2"/>
            </a:solidFill>
            <a:ln>
              <a:noFill/>
            </a:ln>
            <a:effectLst/>
          </c:spPr>
          <c:invertIfNegative val="0"/>
          <c:dLbls>
            <c:delete val="1"/>
          </c:dLbls>
          <c:cat>
            <c:strRef>
              <c:f>Sheet1!$A$2</c:f>
              <c:strCache>
                <c:ptCount val="1"/>
                <c:pt idx="0">
                  <c:v>支出</c:v>
                </c:pt>
              </c:strCache>
            </c:strRef>
          </c:cat>
          <c:val>
            <c:numRef>
              <c:f>Sheet1!$C$2</c:f>
              <c:numCache>
                <c:formatCode>General</c:formatCode>
                <c:ptCount val="1"/>
                <c:pt idx="0">
                  <c:v>1068.01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04080512"/>
        <c:axId val="104082048"/>
      </c:barChart>
      <c:catAx>
        <c:axId val="10408051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4082048"/>
        <c:crosses val="autoZero"/>
        <c:auto val="1"/>
        <c:lblAlgn val="ctr"/>
        <c:lblOffset val="100"/>
        <c:noMultiLvlLbl val="0"/>
      </c:catAx>
      <c:valAx>
        <c:axId val="10408204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408051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一般公共预算收入</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2018年</c:v>
                </c:pt>
                <c:pt idx="1">
                  <c:v>2019年</c:v>
                </c:pt>
              </c:strCache>
            </c:strRef>
          </c:cat>
          <c:val>
            <c:numRef>
              <c:f>Sheet1!$B$2:$B$3</c:f>
              <c:numCache>
                <c:formatCode>General</c:formatCode>
                <c:ptCount val="2"/>
                <c:pt idx="0">
                  <c:v>1107.25</c:v>
                </c:pt>
                <c:pt idx="1">
                  <c:v>1126.32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一般公共预算支出</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2018年</c:v>
                </c:pt>
                <c:pt idx="1">
                  <c:v>2019年</c:v>
                </c:pt>
              </c:strCache>
            </c:strRef>
          </c:cat>
          <c:val>
            <c:numRef>
              <c:f>Sheet1!$B$2:$B$3</c:f>
              <c:numCache>
                <c:formatCode>General</c:formatCode>
                <c:ptCount val="2"/>
                <c:pt idx="0">
                  <c:v>1042.98</c:v>
                </c:pt>
                <c:pt idx="1">
                  <c:v>1068.01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财政拨款收入对比</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delete val="1"/>
          </c:dLbls>
          <c:cat>
            <c:strRef>
              <c:f>Sheet1!$A$2</c:f>
              <c:strCache>
                <c:ptCount val="1"/>
                <c:pt idx="0">
                  <c:v>收入</c:v>
                </c:pt>
              </c:strCache>
            </c:strRef>
          </c:cat>
          <c:val>
            <c:numRef>
              <c:f>Sheet1!$B$2</c:f>
              <c:numCache>
                <c:formatCode>General</c:formatCode>
                <c:ptCount val="1"/>
                <c:pt idx="0">
                  <c:v>1107.28</c:v>
                </c:pt>
              </c:numCache>
            </c:numRef>
          </c:val>
        </c:ser>
        <c:ser>
          <c:idx val="1"/>
          <c:order val="1"/>
          <c:tx>
            <c:strRef>
              <c:f>Sheet1!$C$1</c:f>
              <c:strCache>
                <c:ptCount val="1"/>
                <c:pt idx="0">
                  <c:v>2019年</c:v>
                </c:pt>
              </c:strCache>
            </c:strRef>
          </c:tx>
          <c:spPr>
            <a:solidFill>
              <a:schemeClr val="accent2"/>
            </a:solidFill>
            <a:ln>
              <a:noFill/>
            </a:ln>
            <a:effectLst/>
          </c:spPr>
          <c:invertIfNegative val="0"/>
          <c:dLbls>
            <c:delete val="1"/>
          </c:dLbls>
          <c:cat>
            <c:strRef>
              <c:f>Sheet1!$A$2</c:f>
              <c:strCache>
                <c:ptCount val="1"/>
                <c:pt idx="0">
                  <c:v>收入</c:v>
                </c:pt>
              </c:strCache>
            </c:strRef>
          </c:cat>
          <c:val>
            <c:numRef>
              <c:f>Sheet1!$C$2</c:f>
              <c:numCache>
                <c:formatCode>General</c:formatCode>
                <c:ptCount val="1"/>
                <c:pt idx="0">
                  <c:v>1126.32</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收入</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4005248"/>
        <c:axId val="64006784"/>
      </c:barChart>
      <c:catAx>
        <c:axId val="6400524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006784"/>
        <c:crosses val="autoZero"/>
        <c:auto val="1"/>
        <c:lblAlgn val="ctr"/>
        <c:lblOffset val="100"/>
        <c:noMultiLvlLbl val="0"/>
      </c:catAx>
      <c:valAx>
        <c:axId val="6400678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00524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财政拨款支出对比</a:t>
            </a:r>
          </a:p>
        </c:rich>
      </c:tx>
      <c:layout/>
      <c:overlay val="0"/>
      <c:spPr>
        <a:noFill/>
        <a:ln>
          <a:noFill/>
        </a:ln>
        <a:effectLst/>
      </c:spPr>
    </c:title>
    <c:autoTitleDeleted val="0"/>
    <c:plotArea>
      <c:layout>
        <c:manualLayout>
          <c:layoutTarget val="inner"/>
          <c:xMode val="edge"/>
          <c:yMode val="edge"/>
          <c:x val="0.122639533143798"/>
          <c:y val="0.109457293336387"/>
          <c:w val="0.872871464910968"/>
          <c:h val="0.611037325395008"/>
        </c:manualLayout>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delete val="1"/>
          </c:dLbls>
          <c:cat>
            <c:strRef>
              <c:f>Sheet1!$A$2</c:f>
              <c:strCache>
                <c:ptCount val="1"/>
                <c:pt idx="0">
                  <c:v>支出</c:v>
                </c:pt>
              </c:strCache>
            </c:strRef>
          </c:cat>
          <c:val>
            <c:numRef>
              <c:f>Sheet1!$B$2</c:f>
              <c:numCache>
                <c:formatCode>General</c:formatCode>
                <c:ptCount val="1"/>
                <c:pt idx="0">
                  <c:v>1042.98</c:v>
                </c:pt>
              </c:numCache>
            </c:numRef>
          </c:val>
        </c:ser>
        <c:ser>
          <c:idx val="1"/>
          <c:order val="1"/>
          <c:tx>
            <c:strRef>
              <c:f>Sheet1!$C$1</c:f>
              <c:strCache>
                <c:ptCount val="1"/>
                <c:pt idx="0">
                  <c:v>2019年</c:v>
                </c:pt>
              </c:strCache>
            </c:strRef>
          </c:tx>
          <c:spPr>
            <a:solidFill>
              <a:schemeClr val="accent2"/>
            </a:solidFill>
            <a:ln>
              <a:noFill/>
            </a:ln>
            <a:effectLst/>
          </c:spPr>
          <c:invertIfNegative val="0"/>
          <c:dLbls>
            <c:delete val="1"/>
          </c:dLbls>
          <c:cat>
            <c:strRef>
              <c:f>Sheet1!$A$2</c:f>
              <c:strCache>
                <c:ptCount val="1"/>
                <c:pt idx="0">
                  <c:v>支出</c:v>
                </c:pt>
              </c:strCache>
            </c:strRef>
          </c:cat>
          <c:val>
            <c:numRef>
              <c:f>Sheet1!$C$2</c:f>
              <c:numCache>
                <c:formatCode>General</c:formatCode>
                <c:ptCount val="1"/>
                <c:pt idx="0">
                  <c:v>1068.01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4341120"/>
        <c:axId val="64342656"/>
      </c:barChart>
      <c:catAx>
        <c:axId val="6434112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342656"/>
        <c:crosses val="autoZero"/>
        <c:auto val="1"/>
        <c:lblAlgn val="ctr"/>
        <c:lblOffset val="100"/>
        <c:noMultiLvlLbl val="0"/>
      </c:catAx>
      <c:valAx>
        <c:axId val="6434265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34112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一般公共预算支出对比</a:t>
            </a:r>
          </a:p>
        </c:rich>
      </c:tx>
      <c:layout/>
      <c:overlay val="0"/>
      <c:spPr>
        <a:noFill/>
        <a:ln>
          <a:noFill/>
        </a:ln>
        <a:effectLst/>
      </c:spPr>
    </c:title>
    <c:autoTitleDeleted val="0"/>
    <c:plotArea>
      <c:layout>
        <c:manualLayout>
          <c:layoutTarget val="inner"/>
          <c:xMode val="edge"/>
          <c:yMode val="edge"/>
          <c:x val="0.122639533143798"/>
          <c:y val="0.109457293336387"/>
          <c:w val="0.872871464910968"/>
          <c:h val="0.611037325395008"/>
        </c:manualLayout>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delete val="1"/>
          </c:dLbls>
          <c:cat>
            <c:strRef>
              <c:f>Sheet1!$A$2</c:f>
              <c:strCache>
                <c:ptCount val="1"/>
                <c:pt idx="0">
                  <c:v>支出</c:v>
                </c:pt>
              </c:strCache>
            </c:strRef>
          </c:cat>
          <c:val>
            <c:numRef>
              <c:f>Sheet1!$B$2</c:f>
              <c:numCache>
                <c:formatCode>General</c:formatCode>
                <c:ptCount val="1"/>
                <c:pt idx="0">
                  <c:v>1042.98</c:v>
                </c:pt>
              </c:numCache>
            </c:numRef>
          </c:val>
        </c:ser>
        <c:ser>
          <c:idx val="1"/>
          <c:order val="1"/>
          <c:tx>
            <c:strRef>
              <c:f>Sheet1!$C$1</c:f>
              <c:strCache>
                <c:ptCount val="1"/>
                <c:pt idx="0">
                  <c:v>2019年</c:v>
                </c:pt>
              </c:strCache>
            </c:strRef>
          </c:tx>
          <c:spPr>
            <a:solidFill>
              <a:schemeClr val="accent2"/>
            </a:solidFill>
            <a:ln>
              <a:noFill/>
            </a:ln>
            <a:effectLst/>
          </c:spPr>
          <c:invertIfNegative val="0"/>
          <c:dLbls>
            <c:delete val="1"/>
          </c:dLbls>
          <c:cat>
            <c:strRef>
              <c:f>Sheet1!$A$2</c:f>
              <c:strCache>
                <c:ptCount val="1"/>
                <c:pt idx="0">
                  <c:v>支出</c:v>
                </c:pt>
              </c:strCache>
            </c:strRef>
          </c:cat>
          <c:val>
            <c:numRef>
              <c:f>Sheet1!$C$2</c:f>
              <c:numCache>
                <c:formatCode>General</c:formatCode>
                <c:ptCount val="1"/>
                <c:pt idx="0">
                  <c:v>1068.01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4455808"/>
        <c:axId val="64457344"/>
      </c:barChart>
      <c:catAx>
        <c:axId val="6445580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457344"/>
        <c:crosses val="autoZero"/>
        <c:auto val="1"/>
        <c:lblAlgn val="ctr"/>
        <c:lblOffset val="100"/>
        <c:noMultiLvlLbl val="0"/>
      </c:catAx>
      <c:valAx>
        <c:axId val="6445734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45580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一般公共预算支出决算结构</a:t>
            </a:r>
          </a:p>
        </c:rich>
      </c:tx>
      <c:layout/>
      <c:overlay val="0"/>
      <c:spPr>
        <a:noFill/>
        <a:ln>
          <a:noFill/>
        </a:ln>
        <a:effectLst/>
      </c:spPr>
    </c:title>
    <c:autoTitleDeleted val="0"/>
    <c:plotArea>
      <c:layout/>
      <c:pieChart>
        <c:varyColors val="1"/>
        <c:ser>
          <c:idx val="0"/>
          <c:order val="0"/>
          <c:tx>
            <c:strRef>
              <c:f>Sheet1!$B$1</c:f>
              <c:strCache>
                <c:ptCount val="1"/>
                <c:pt idx="0">
                  <c:v>一般公共预算收入</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一般公共服务支出</c:v>
                </c:pt>
                <c:pt idx="1">
                  <c:v>社会保障和就业支出</c:v>
                </c:pt>
                <c:pt idx="2">
                  <c:v>农林水支出</c:v>
                </c:pt>
                <c:pt idx="3">
                  <c:v>卫生健康支出</c:v>
                </c:pt>
                <c:pt idx="4">
                  <c:v>住房保障支出</c:v>
                </c:pt>
              </c:strCache>
            </c:strRef>
          </c:cat>
          <c:val>
            <c:numRef>
              <c:f>Sheet1!$B$2:$B$6</c:f>
              <c:numCache>
                <c:formatCode>General</c:formatCode>
                <c:ptCount val="5"/>
                <c:pt idx="0">
                  <c:v>820.74</c:v>
                </c:pt>
                <c:pt idx="1">
                  <c:v>109.96</c:v>
                </c:pt>
                <c:pt idx="2">
                  <c:v>1.58</c:v>
                </c:pt>
                <c:pt idx="3">
                  <c:v>64.61</c:v>
                </c:pt>
                <c:pt idx="4">
                  <c:v>71.12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a:t>
            </a:r>
            <a:r>
              <a:rPr lang="en-US" altLang="zh-CN"/>
              <a:t>”</a:t>
            </a:r>
            <a:r>
              <a:rPr altLang="en-US"/>
              <a:t>经费财政拨款支出</a:t>
            </a:r>
            <a:endParaRPr altLang="en-US"/>
          </a:p>
        </c:rich>
      </c:tx>
      <c:layout>
        <c:manualLayout>
          <c:xMode val="edge"/>
          <c:yMode val="edge"/>
          <c:x val="0.607901234567901"/>
          <c:y val="0.00606183067286321"/>
        </c:manualLayout>
      </c:layout>
      <c:overlay val="0"/>
      <c:spPr>
        <a:noFill/>
        <a:ln>
          <a:noFill/>
        </a:ln>
        <a:effectLst/>
      </c:spPr>
    </c:title>
    <c:autoTitleDeleted val="0"/>
    <c:plotArea>
      <c:layout/>
      <c:pieChart>
        <c:varyColors val="1"/>
        <c:ser>
          <c:idx val="0"/>
          <c:order val="0"/>
          <c:tx>
            <c:strRef>
              <c:f>Sheet1!$B$1</c:f>
              <c:strCache>
                <c:ptCount val="1"/>
                <c:pt idx="0">
                  <c:v>三公经费预算拨款支出</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公务用车购置及运行维护费支出</c:v>
                </c:pt>
                <c:pt idx="1">
                  <c:v>公务接待费支出</c:v>
                </c:pt>
              </c:strCache>
            </c:strRef>
          </c:cat>
          <c:val>
            <c:numRef>
              <c:f>Sheet1!$B$2:$B$3</c:f>
              <c:numCache>
                <c:formatCode>General</c:formatCode>
                <c:ptCount val="2"/>
                <c:pt idx="0">
                  <c:v>24.8</c:v>
                </c:pt>
                <c:pt idx="1">
                  <c:v>4.52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41</Pages>
  <Words>2982</Words>
  <Characters>16998</Characters>
  <Lines>141</Lines>
  <Paragraphs>39</Paragraphs>
  <TotalTime>8</TotalTime>
  <ScaleCrop>false</ScaleCrop>
  <LinksUpToDate>false</LinksUpToDate>
  <CharactersWithSpaces>19941</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2020-09-22T18:15:00Z</dcterms:created>
  <dc:creator>曹颖</dc:creator>
  <cp:lastModifiedBy>user</cp:lastModifiedBy>
  <cp:lastPrinted>2020-09-22T19:04:00Z</cp:lastPrinted>
  <dcterms:modified xsi:type="dcterms:W3CDTF">2023-07-13T22:09:40Z</dcterms:modified>
  <dc:title>四川省***</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2A4A3522AB6D457C8CE7C9568A040397</vt:lpwstr>
  </property>
</Properties>
</file>