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469" w:name="_GoBack"/>
      <w:bookmarkEnd w:id="469"/>
      <w:bookmarkStart w:id="0" w:name="_Toc15306267"/>
    </w:p>
    <w:p>
      <w:pPr>
        <w:spacing w:line="600" w:lineRule="exact"/>
        <w:jc w:val="center"/>
        <w:outlineLvl w:val="0"/>
        <w:rPr>
          <w:rFonts w:hint="eastAsia" w:ascii="方正小标宋简体" w:hAnsi="宋体" w:eastAsia="方正小标宋简体"/>
          <w:color w:val="000000"/>
          <w:sz w:val="72"/>
          <w:szCs w:val="72"/>
          <w:lang w:val="en-US" w:eastAsia="zh-CN"/>
        </w:rPr>
      </w:pPr>
    </w:p>
    <w:p>
      <w:pPr>
        <w:jc w:val="center"/>
        <w:rPr>
          <w:rFonts w:ascii="黑体" w:hAnsi="黑体" w:eastAsia="黑体"/>
          <w:spacing w:val="-20"/>
          <w:sz w:val="72"/>
          <w:szCs w:val="72"/>
        </w:rPr>
      </w:pPr>
      <w:bookmarkStart w:id="1" w:name="_Toc15378441"/>
      <w:bookmarkStart w:id="2" w:name="_Toc15396597"/>
      <w:bookmarkStart w:id="3" w:name="_Toc15377193"/>
      <w:bookmarkStart w:id="4" w:name="_Toc15377425"/>
      <w:bookmarkStart w:id="5" w:name="_Toc15396475"/>
      <w:r>
        <w:rPr>
          <w:rFonts w:ascii="黑体" w:hAnsi="黑体" w:eastAsia="黑体"/>
          <w:spacing w:val="-20"/>
          <w:sz w:val="72"/>
          <w:szCs w:val="72"/>
        </w:rPr>
        <w:t>2020</w:t>
      </w:r>
      <w:r>
        <w:rPr>
          <w:rFonts w:hint="eastAsia" w:ascii="黑体" w:hAnsi="黑体" w:eastAsia="黑体"/>
          <w:spacing w:val="-20"/>
          <w:sz w:val="72"/>
          <w:szCs w:val="72"/>
        </w:rPr>
        <w:t>年度</w:t>
      </w:r>
      <w:bookmarkEnd w:id="1"/>
      <w:bookmarkEnd w:id="2"/>
      <w:bookmarkEnd w:id="3"/>
      <w:bookmarkEnd w:id="4"/>
      <w:bookmarkEnd w:id="5"/>
    </w:p>
    <w:p>
      <w:pPr>
        <w:jc w:val="center"/>
        <w:rPr>
          <w:rFonts w:ascii="方正小标宋简体" w:eastAsia="方正小标宋简体"/>
          <w:spacing w:val="-20"/>
          <w:sz w:val="72"/>
          <w:szCs w:val="72"/>
        </w:rPr>
      </w:pPr>
      <w:bookmarkStart w:id="6" w:name="_Toc15396476"/>
      <w:bookmarkStart w:id="7" w:name="_Toc15396598"/>
      <w:bookmarkStart w:id="8" w:name="_Toc15377426"/>
      <w:bookmarkStart w:id="9" w:name="_Toc15377194"/>
      <w:bookmarkStart w:id="10" w:name="_Toc15378442"/>
      <w:r>
        <w:rPr>
          <w:rFonts w:hint="eastAsia" w:ascii="方正小标宋简体" w:eastAsia="方正小标宋简体"/>
          <w:spacing w:val="-20"/>
          <w:sz w:val="72"/>
          <w:szCs w:val="72"/>
        </w:rPr>
        <w:t>四川省茂县</w:t>
      </w:r>
      <w:bookmarkEnd w:id="0"/>
      <w:bookmarkStart w:id="11" w:name="_Toc15306268"/>
      <w:r>
        <w:rPr>
          <w:rFonts w:hint="eastAsia" w:ascii="方正小标宋简体" w:eastAsia="方正小标宋简体"/>
          <w:spacing w:val="-20"/>
          <w:sz w:val="72"/>
          <w:szCs w:val="72"/>
        </w:rPr>
        <w:t>市场监督管理局部门决算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公开时间：2021年9月</w:t>
      </w:r>
      <w:r>
        <w:rPr>
          <w:rFonts w:hint="eastAsia" w:hAnsiTheme="minorHAnsi"/>
          <w:b w:val="0"/>
          <w:bCs w:val="0"/>
          <w:sz w:val="24"/>
          <w:szCs w:val="24"/>
          <w:lang w:val="en-US" w:eastAsia="zh-CN"/>
        </w:rPr>
        <w:t>2</w:t>
      </w:r>
      <w:r>
        <w:rPr>
          <w:rFonts w:hint="eastAsia" w:hAnsiTheme="minorHAnsi"/>
          <w:b w:val="0"/>
          <w:bCs w:val="0"/>
          <w:sz w:val="24"/>
          <w:szCs w:val="24"/>
        </w:rPr>
        <w:t>7日</w:t>
      </w:r>
    </w:p>
    <w:p>
      <w:pPr>
        <w:pStyle w:val="13"/>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TOC \o "1-2" \h \u </w:instrText>
      </w:r>
      <w:r>
        <w:rPr>
          <w:rFonts w:hint="eastAsia" w:ascii="仿宋" w:hAnsi="仿宋" w:eastAsia="仿宋" w:cs="仿宋"/>
          <w:sz w:val="32"/>
          <w:szCs w:val="32"/>
        </w:rPr>
        <w:fldChar w:fldCharType="separate"/>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_Toc15062 </w:instrText>
      </w:r>
      <w:r>
        <w:rPr>
          <w:rFonts w:hint="eastAsia" w:ascii="仿宋" w:hAnsi="仿宋" w:eastAsia="仿宋" w:cs="仿宋"/>
          <w:sz w:val="32"/>
          <w:szCs w:val="32"/>
        </w:rPr>
        <w:fldChar w:fldCharType="separate"/>
      </w:r>
      <w:r>
        <w:rPr>
          <w:rFonts w:hint="eastAsia" w:ascii="仿宋" w:hAnsi="仿宋" w:eastAsia="仿宋" w:cs="仿宋"/>
          <w:sz w:val="32"/>
          <w:szCs w:val="32"/>
        </w:rPr>
        <w:t xml:space="preserve">第一部分 </w:t>
      </w:r>
      <w:r>
        <w:rPr>
          <w:rFonts w:hint="eastAsia" w:ascii="仿宋" w:hAnsi="仿宋" w:eastAsia="仿宋" w:cs="仿宋"/>
          <w:bCs w:val="0"/>
          <w:sz w:val="32"/>
          <w:szCs w:val="32"/>
        </w:rPr>
        <w:t>部门概况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_Toc15062 </w:instrText>
      </w:r>
      <w:r>
        <w:rPr>
          <w:rFonts w:hint="eastAsia" w:ascii="仿宋" w:hAnsi="仿宋" w:eastAsia="仿宋" w:cs="仿宋"/>
          <w:sz w:val="32"/>
          <w:szCs w:val="32"/>
        </w:rPr>
        <w:fldChar w:fldCharType="separate"/>
      </w:r>
      <w:r>
        <w:rPr>
          <w:rFonts w:hint="eastAsia" w:ascii="仿宋" w:hAnsi="仿宋" w:eastAsia="仿宋" w:cs="仿宋"/>
          <w:sz w:val="32"/>
          <w:szCs w:val="32"/>
        </w:rPr>
        <w:t>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_Toc19769 </w:instrText>
      </w:r>
      <w:r>
        <w:rPr>
          <w:rFonts w:hint="eastAsia" w:ascii="仿宋" w:hAnsi="仿宋" w:eastAsia="仿宋" w:cs="仿宋"/>
          <w:sz w:val="32"/>
          <w:szCs w:val="32"/>
        </w:rPr>
        <w:fldChar w:fldCharType="separate"/>
      </w:r>
      <w:r>
        <w:rPr>
          <w:rFonts w:hint="eastAsia" w:ascii="仿宋" w:hAnsi="仿宋" w:eastAsia="仿宋" w:cs="仿宋"/>
          <w:sz w:val="32"/>
          <w:szCs w:val="32"/>
        </w:rPr>
        <w:t>一、基</w:t>
      </w:r>
      <w:r>
        <w:rPr>
          <w:rFonts w:hint="eastAsia" w:ascii="仿宋" w:hAnsi="仿宋" w:eastAsia="仿宋" w:cs="仿宋"/>
          <w:bCs w:val="0"/>
          <w:sz w:val="32"/>
          <w:szCs w:val="32"/>
        </w:rPr>
        <w:t>本职能及主要工作</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_Toc19769 </w:instrText>
      </w:r>
      <w:r>
        <w:rPr>
          <w:rFonts w:hint="eastAsia" w:ascii="仿宋" w:hAnsi="仿宋" w:eastAsia="仿宋" w:cs="仿宋"/>
          <w:sz w:val="32"/>
          <w:szCs w:val="32"/>
        </w:rPr>
        <w:fldChar w:fldCharType="separate"/>
      </w:r>
      <w:r>
        <w:rPr>
          <w:rFonts w:hint="eastAsia" w:ascii="仿宋" w:hAnsi="仿宋" w:eastAsia="仿宋" w:cs="仿宋"/>
          <w:sz w:val="32"/>
          <w:szCs w:val="32"/>
        </w:rPr>
        <w:t>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_Toc19026 </w:instrText>
      </w:r>
      <w:r>
        <w:rPr>
          <w:rFonts w:hint="eastAsia" w:ascii="仿宋" w:hAnsi="仿宋" w:eastAsia="仿宋" w:cs="仿宋"/>
          <w:sz w:val="32"/>
          <w:szCs w:val="32"/>
        </w:rPr>
        <w:fldChar w:fldCharType="separate"/>
      </w:r>
      <w:r>
        <w:rPr>
          <w:rFonts w:hint="eastAsia" w:ascii="仿宋" w:hAnsi="仿宋" w:eastAsia="仿宋" w:cs="仿宋"/>
          <w:sz w:val="32"/>
          <w:szCs w:val="32"/>
        </w:rPr>
        <w:t>二、机</w:t>
      </w:r>
      <w:r>
        <w:rPr>
          <w:rFonts w:hint="eastAsia" w:ascii="仿宋" w:hAnsi="仿宋" w:eastAsia="仿宋" w:cs="仿宋"/>
          <w:bCs w:val="0"/>
          <w:sz w:val="32"/>
          <w:szCs w:val="32"/>
        </w:rPr>
        <w:t>构设置</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_Toc19026 </w:instrText>
      </w:r>
      <w:r>
        <w:rPr>
          <w:rFonts w:hint="eastAsia" w:ascii="仿宋" w:hAnsi="仿宋" w:eastAsia="仿宋" w:cs="仿宋"/>
          <w:sz w:val="32"/>
          <w:szCs w:val="32"/>
        </w:rPr>
        <w:fldChar w:fldCharType="separate"/>
      </w:r>
      <w:r>
        <w:rPr>
          <w:rFonts w:hint="eastAsia" w:ascii="仿宋" w:hAnsi="仿宋" w:eastAsia="仿宋" w:cs="仿宋"/>
          <w:sz w:val="32"/>
          <w:szCs w:val="32"/>
        </w:rPr>
        <w:t>6</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3"/>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_Toc28653 </w:instrText>
      </w:r>
      <w:r>
        <w:rPr>
          <w:rFonts w:hint="eastAsia" w:ascii="仿宋" w:hAnsi="仿宋" w:eastAsia="仿宋" w:cs="仿宋"/>
          <w:sz w:val="32"/>
          <w:szCs w:val="32"/>
        </w:rPr>
        <w:fldChar w:fldCharType="separate"/>
      </w:r>
      <w:r>
        <w:rPr>
          <w:rFonts w:hint="eastAsia" w:ascii="仿宋" w:hAnsi="仿宋" w:eastAsia="仿宋" w:cs="仿宋"/>
          <w:sz w:val="32"/>
          <w:szCs w:val="32"/>
        </w:rPr>
        <w:t xml:space="preserve">第二部分 </w:t>
      </w:r>
      <w:r>
        <w:rPr>
          <w:rFonts w:hint="eastAsia" w:ascii="仿宋" w:hAnsi="仿宋" w:eastAsia="仿宋" w:cs="仿宋"/>
          <w:bCs w:val="0"/>
          <w:sz w:val="32"/>
          <w:szCs w:val="32"/>
        </w:rPr>
        <w:t>2020年度部门决算情况说明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_Toc28653 </w:instrText>
      </w:r>
      <w:r>
        <w:rPr>
          <w:rFonts w:hint="eastAsia" w:ascii="仿宋" w:hAnsi="仿宋" w:eastAsia="仿宋" w:cs="仿宋"/>
          <w:sz w:val="32"/>
          <w:szCs w:val="32"/>
        </w:rPr>
        <w:fldChar w:fldCharType="separate"/>
      </w:r>
      <w:r>
        <w:rPr>
          <w:rFonts w:hint="eastAsia" w:ascii="仿宋" w:hAnsi="仿宋" w:eastAsia="仿宋" w:cs="仿宋"/>
          <w:sz w:val="32"/>
          <w:szCs w:val="32"/>
        </w:rPr>
        <w:t>6</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_Toc15189 </w:instrText>
      </w:r>
      <w:r>
        <w:rPr>
          <w:rFonts w:hint="eastAsia" w:ascii="仿宋" w:hAnsi="仿宋" w:eastAsia="仿宋" w:cs="仿宋"/>
          <w:sz w:val="32"/>
          <w:szCs w:val="32"/>
        </w:rPr>
        <w:fldChar w:fldCharType="separate"/>
      </w:r>
      <w:r>
        <w:rPr>
          <w:rFonts w:hint="eastAsia" w:ascii="仿宋" w:hAnsi="仿宋" w:eastAsia="仿宋" w:cs="仿宋"/>
          <w:sz w:val="32"/>
          <w:szCs w:val="32"/>
        </w:rPr>
        <w:t>一、 收入支出决算总体情况说明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_Toc15189 </w:instrText>
      </w:r>
      <w:r>
        <w:rPr>
          <w:rFonts w:hint="eastAsia" w:ascii="仿宋" w:hAnsi="仿宋" w:eastAsia="仿宋" w:cs="仿宋"/>
          <w:sz w:val="32"/>
          <w:szCs w:val="32"/>
        </w:rPr>
        <w:fldChar w:fldCharType="separate"/>
      </w:r>
      <w:r>
        <w:rPr>
          <w:rFonts w:hint="eastAsia" w:ascii="仿宋" w:hAnsi="仿宋" w:eastAsia="仿宋" w:cs="仿宋"/>
          <w:sz w:val="32"/>
          <w:szCs w:val="32"/>
        </w:rPr>
        <w:t>6</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_Toc3627 </w:instrText>
      </w:r>
      <w:r>
        <w:rPr>
          <w:rFonts w:hint="eastAsia" w:ascii="仿宋" w:hAnsi="仿宋" w:eastAsia="仿宋" w:cs="仿宋"/>
          <w:sz w:val="32"/>
          <w:szCs w:val="32"/>
        </w:rPr>
        <w:fldChar w:fldCharType="separate"/>
      </w:r>
      <w:r>
        <w:rPr>
          <w:rFonts w:hint="eastAsia" w:ascii="仿宋" w:hAnsi="仿宋" w:eastAsia="仿宋" w:cs="仿宋"/>
          <w:sz w:val="32"/>
          <w:szCs w:val="32"/>
        </w:rPr>
        <w:t>二、 收入决算情况说明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_Toc3627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_Toc18777 </w:instrText>
      </w:r>
      <w:r>
        <w:rPr>
          <w:rFonts w:hint="eastAsia" w:ascii="仿宋" w:hAnsi="仿宋" w:eastAsia="仿宋" w:cs="仿宋"/>
          <w:sz w:val="32"/>
          <w:szCs w:val="32"/>
        </w:rPr>
        <w:fldChar w:fldCharType="separate"/>
      </w:r>
      <w:r>
        <w:rPr>
          <w:rFonts w:hint="eastAsia" w:ascii="仿宋" w:hAnsi="仿宋" w:eastAsia="仿宋" w:cs="仿宋"/>
          <w:sz w:val="32"/>
          <w:szCs w:val="32"/>
        </w:rPr>
        <w:t>三、 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_Toc18777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_Toc25610 </w:instrText>
      </w:r>
      <w:r>
        <w:rPr>
          <w:rFonts w:hint="eastAsia" w:ascii="仿宋" w:hAnsi="仿宋" w:eastAsia="仿宋" w:cs="仿宋"/>
          <w:sz w:val="32"/>
          <w:szCs w:val="32"/>
        </w:rPr>
        <w:fldChar w:fldCharType="separate"/>
      </w:r>
      <w:r>
        <w:rPr>
          <w:rFonts w:hint="eastAsia" w:ascii="仿宋" w:hAnsi="仿宋" w:eastAsia="仿宋" w:cs="仿宋"/>
          <w:sz w:val="32"/>
          <w:szCs w:val="32"/>
        </w:rPr>
        <w:t>四、财政拨款收入支出决算总体情况说明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_Toc25610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_Toc27654 </w:instrText>
      </w:r>
      <w:r>
        <w:rPr>
          <w:rFonts w:hint="eastAsia" w:ascii="仿宋" w:hAnsi="仿宋" w:eastAsia="仿宋" w:cs="仿宋"/>
          <w:sz w:val="32"/>
          <w:szCs w:val="32"/>
        </w:rPr>
        <w:fldChar w:fldCharType="separate"/>
      </w:r>
      <w:r>
        <w:rPr>
          <w:rFonts w:hint="eastAsia" w:ascii="仿宋" w:hAnsi="仿宋" w:eastAsia="仿宋" w:cs="仿宋"/>
          <w:sz w:val="32"/>
          <w:szCs w:val="32"/>
        </w:rPr>
        <w:t>五、一般公共预算财政拨款支出决算情况说明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_Toc27654 </w:instrText>
      </w:r>
      <w:r>
        <w:rPr>
          <w:rFonts w:hint="eastAsia" w:ascii="仿宋" w:hAnsi="仿宋" w:eastAsia="仿宋" w:cs="仿宋"/>
          <w:sz w:val="32"/>
          <w:szCs w:val="32"/>
        </w:rPr>
        <w:fldChar w:fldCharType="separate"/>
      </w:r>
      <w:r>
        <w:rPr>
          <w:rFonts w:hint="eastAsia" w:ascii="仿宋" w:hAnsi="仿宋" w:eastAsia="仿宋" w:cs="仿宋"/>
          <w:sz w:val="32"/>
          <w:szCs w:val="32"/>
        </w:rPr>
        <w:t>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_Toc8660 </w:instrText>
      </w:r>
      <w:r>
        <w:rPr>
          <w:rFonts w:hint="eastAsia" w:ascii="仿宋" w:hAnsi="仿宋" w:eastAsia="仿宋" w:cs="仿宋"/>
          <w:sz w:val="32"/>
          <w:szCs w:val="32"/>
        </w:rPr>
        <w:fldChar w:fldCharType="separate"/>
      </w:r>
      <w:r>
        <w:rPr>
          <w:rFonts w:hint="eastAsia" w:ascii="仿宋" w:hAnsi="仿宋" w:eastAsia="仿宋" w:cs="仿宋"/>
          <w:sz w:val="32"/>
          <w:szCs w:val="32"/>
        </w:rPr>
        <w:t>六、一</w:t>
      </w:r>
      <w:r>
        <w:rPr>
          <w:rFonts w:hint="eastAsia" w:ascii="仿宋" w:hAnsi="仿宋" w:eastAsia="仿宋" w:cs="仿宋"/>
          <w:bCs w:val="0"/>
          <w:sz w:val="32"/>
          <w:szCs w:val="32"/>
        </w:rPr>
        <w:t>般公共预算财政拨款基本支出决算情况说明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_Toc8660 </w:instrText>
      </w:r>
      <w:r>
        <w:rPr>
          <w:rFonts w:hint="eastAsia" w:ascii="仿宋" w:hAnsi="仿宋" w:eastAsia="仿宋" w:cs="仿宋"/>
          <w:sz w:val="32"/>
          <w:szCs w:val="32"/>
        </w:rPr>
        <w:fldChar w:fldCharType="separate"/>
      </w:r>
      <w:r>
        <w:rPr>
          <w:rFonts w:hint="eastAsia" w:ascii="仿宋" w:hAnsi="仿宋" w:eastAsia="仿宋" w:cs="仿宋"/>
          <w:sz w:val="32"/>
          <w:szCs w:val="32"/>
        </w:rPr>
        <w:t>12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_Toc10622 </w:instrText>
      </w:r>
      <w:r>
        <w:rPr>
          <w:rFonts w:hint="eastAsia" w:ascii="仿宋" w:hAnsi="仿宋" w:eastAsia="仿宋" w:cs="仿宋"/>
          <w:sz w:val="32"/>
          <w:szCs w:val="32"/>
        </w:rPr>
        <w:fldChar w:fldCharType="separate"/>
      </w:r>
      <w:r>
        <w:rPr>
          <w:rFonts w:hint="eastAsia" w:ascii="仿宋" w:hAnsi="仿宋" w:eastAsia="仿宋" w:cs="仿宋"/>
          <w:sz w:val="32"/>
          <w:szCs w:val="32"/>
        </w:rPr>
        <w:t>七、“三公”经费财政拨款支出决算情况说明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_Toc10622 </w:instrText>
      </w:r>
      <w:r>
        <w:rPr>
          <w:rFonts w:hint="eastAsia" w:ascii="仿宋" w:hAnsi="仿宋" w:eastAsia="仿宋" w:cs="仿宋"/>
          <w:sz w:val="32"/>
          <w:szCs w:val="32"/>
        </w:rPr>
        <w:fldChar w:fldCharType="separate"/>
      </w:r>
      <w:r>
        <w:rPr>
          <w:rFonts w:hint="eastAsia" w:ascii="仿宋" w:hAnsi="仿宋" w:eastAsia="仿宋" w:cs="仿宋"/>
          <w:sz w:val="32"/>
          <w:szCs w:val="32"/>
        </w:rPr>
        <w:t>12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_Toc9152 </w:instrText>
      </w:r>
      <w:r>
        <w:rPr>
          <w:rFonts w:hint="eastAsia" w:ascii="仿宋" w:hAnsi="仿宋" w:eastAsia="仿宋" w:cs="仿宋"/>
          <w:sz w:val="32"/>
          <w:szCs w:val="32"/>
        </w:rPr>
        <w:fldChar w:fldCharType="separate"/>
      </w:r>
      <w:r>
        <w:rPr>
          <w:rFonts w:hint="eastAsia" w:ascii="仿宋" w:hAnsi="仿宋" w:eastAsia="仿宋" w:cs="仿宋"/>
          <w:sz w:val="32"/>
          <w:szCs w:val="32"/>
        </w:rPr>
        <w:t>八、政府性基金预算支出决算情况说明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_Toc9152 </w:instrText>
      </w:r>
      <w:r>
        <w:rPr>
          <w:rFonts w:hint="eastAsia" w:ascii="仿宋" w:hAnsi="仿宋" w:eastAsia="仿宋" w:cs="仿宋"/>
          <w:sz w:val="32"/>
          <w:szCs w:val="32"/>
        </w:rPr>
        <w:fldChar w:fldCharType="separate"/>
      </w:r>
      <w:r>
        <w:rPr>
          <w:rFonts w:hint="eastAsia" w:ascii="仿宋" w:hAnsi="仿宋" w:eastAsia="仿宋" w:cs="仿宋"/>
          <w:sz w:val="32"/>
          <w:szCs w:val="32"/>
        </w:rPr>
        <w:t>14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_Toc13031 </w:instrText>
      </w:r>
      <w:r>
        <w:rPr>
          <w:rFonts w:hint="eastAsia" w:ascii="仿宋" w:hAnsi="仿宋" w:eastAsia="仿宋" w:cs="仿宋"/>
          <w:sz w:val="32"/>
          <w:szCs w:val="32"/>
        </w:rPr>
        <w:fldChar w:fldCharType="separate"/>
      </w:r>
      <w:r>
        <w:rPr>
          <w:rFonts w:hint="eastAsia" w:ascii="仿宋" w:hAnsi="仿宋" w:eastAsia="仿宋" w:cs="仿宋"/>
          <w:sz w:val="32"/>
          <w:szCs w:val="32"/>
        </w:rPr>
        <w:t>九、 国有资本经营预算支出决算情况说明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_Toc13031 </w:instrText>
      </w:r>
      <w:r>
        <w:rPr>
          <w:rFonts w:hint="eastAsia" w:ascii="仿宋" w:hAnsi="仿宋" w:eastAsia="仿宋" w:cs="仿宋"/>
          <w:sz w:val="32"/>
          <w:szCs w:val="32"/>
        </w:rPr>
        <w:fldChar w:fldCharType="separate"/>
      </w:r>
      <w:r>
        <w:rPr>
          <w:rFonts w:hint="eastAsia" w:ascii="仿宋" w:hAnsi="仿宋" w:eastAsia="仿宋" w:cs="仿宋"/>
          <w:sz w:val="32"/>
          <w:szCs w:val="32"/>
        </w:rPr>
        <w:t>15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_Toc13976 </w:instrText>
      </w:r>
      <w:r>
        <w:rPr>
          <w:rFonts w:hint="eastAsia" w:ascii="仿宋" w:hAnsi="仿宋" w:eastAsia="仿宋" w:cs="仿宋"/>
          <w:sz w:val="32"/>
          <w:szCs w:val="32"/>
        </w:rPr>
        <w:fldChar w:fldCharType="separate"/>
      </w:r>
      <w:r>
        <w:rPr>
          <w:rFonts w:hint="eastAsia" w:ascii="仿宋" w:hAnsi="仿宋" w:eastAsia="仿宋" w:cs="仿宋"/>
          <w:sz w:val="32"/>
          <w:szCs w:val="32"/>
        </w:rPr>
        <w:t>十</w:t>
      </w:r>
      <w:r>
        <w:rPr>
          <w:rFonts w:hint="eastAsia" w:ascii="仿宋" w:hAnsi="仿宋" w:eastAsia="仿宋" w:cs="仿宋"/>
          <w:bCs w:val="0"/>
          <w:sz w:val="32"/>
          <w:szCs w:val="32"/>
        </w:rPr>
        <w:t>、其他重要事项的情况说明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_Toc13976 </w:instrText>
      </w:r>
      <w:r>
        <w:rPr>
          <w:rFonts w:hint="eastAsia" w:ascii="仿宋" w:hAnsi="仿宋" w:eastAsia="仿宋" w:cs="仿宋"/>
          <w:sz w:val="32"/>
          <w:szCs w:val="32"/>
        </w:rPr>
        <w:fldChar w:fldCharType="separate"/>
      </w:r>
      <w:r>
        <w:rPr>
          <w:rFonts w:hint="eastAsia" w:ascii="仿宋" w:hAnsi="仿宋" w:eastAsia="仿宋" w:cs="仿宋"/>
          <w:sz w:val="32"/>
          <w:szCs w:val="32"/>
        </w:rPr>
        <w:t>15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3"/>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_Toc22340 </w:instrText>
      </w:r>
      <w:r>
        <w:rPr>
          <w:rFonts w:hint="eastAsia" w:ascii="仿宋" w:hAnsi="仿宋" w:eastAsia="仿宋" w:cs="仿宋"/>
          <w:sz w:val="32"/>
          <w:szCs w:val="32"/>
        </w:rPr>
        <w:fldChar w:fldCharType="separate"/>
      </w:r>
      <w:r>
        <w:rPr>
          <w:rFonts w:hint="eastAsia" w:ascii="仿宋" w:hAnsi="仿宋" w:eastAsia="仿宋" w:cs="仿宋"/>
          <w:sz w:val="32"/>
          <w:szCs w:val="32"/>
        </w:rPr>
        <w:t>第三部分 名词解释</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_Toc22340 </w:instrText>
      </w:r>
      <w:r>
        <w:rPr>
          <w:rFonts w:hint="eastAsia" w:ascii="仿宋" w:hAnsi="仿宋" w:eastAsia="仿宋" w:cs="仿宋"/>
          <w:sz w:val="32"/>
          <w:szCs w:val="32"/>
        </w:rPr>
        <w:fldChar w:fldCharType="separate"/>
      </w:r>
      <w:r>
        <w:rPr>
          <w:rFonts w:hint="eastAsia" w:ascii="仿宋" w:hAnsi="仿宋" w:eastAsia="仿宋" w:cs="仿宋"/>
          <w:sz w:val="32"/>
          <w:szCs w:val="32"/>
        </w:rPr>
        <w:t>24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3"/>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_Toc29330 </w:instrText>
      </w:r>
      <w:r>
        <w:rPr>
          <w:rFonts w:hint="eastAsia" w:ascii="仿宋" w:hAnsi="仿宋" w:eastAsia="仿宋" w:cs="仿宋"/>
          <w:sz w:val="32"/>
          <w:szCs w:val="32"/>
        </w:rPr>
        <w:fldChar w:fldCharType="separate"/>
      </w:r>
      <w:r>
        <w:rPr>
          <w:rFonts w:hint="eastAsia" w:ascii="仿宋" w:hAnsi="仿宋" w:eastAsia="仿宋" w:cs="仿宋"/>
          <w:sz w:val="32"/>
          <w:szCs w:val="32"/>
        </w:rPr>
        <w:t>第四部分 附件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_Toc29330 </w:instrText>
      </w:r>
      <w:r>
        <w:rPr>
          <w:rFonts w:hint="eastAsia" w:ascii="仿宋" w:hAnsi="仿宋" w:eastAsia="仿宋" w:cs="仿宋"/>
          <w:sz w:val="32"/>
          <w:szCs w:val="32"/>
        </w:rPr>
        <w:fldChar w:fldCharType="separate"/>
      </w:r>
      <w:r>
        <w:rPr>
          <w:rFonts w:hint="eastAsia" w:ascii="仿宋" w:hAnsi="仿宋" w:eastAsia="仿宋" w:cs="仿宋"/>
          <w:sz w:val="32"/>
          <w:szCs w:val="32"/>
        </w:rPr>
        <w:t>28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bCs w:val="0"/>
          <w:sz w:val="32"/>
          <w:szCs w:val="32"/>
        </w:rPr>
      </w:pPr>
      <w:r>
        <w:rPr>
          <w:rFonts w:hint="eastAsia" w:ascii="仿宋" w:hAnsi="仿宋" w:eastAsia="仿宋" w:cs="仿宋"/>
          <w:bCs w:val="0"/>
          <w:sz w:val="32"/>
          <w:szCs w:val="32"/>
        </w:rPr>
        <w:fldChar w:fldCharType="begin"/>
      </w:r>
      <w:r>
        <w:rPr>
          <w:rFonts w:hint="eastAsia" w:ascii="仿宋" w:hAnsi="仿宋" w:eastAsia="仿宋" w:cs="仿宋"/>
          <w:bCs w:val="0"/>
          <w:sz w:val="32"/>
          <w:szCs w:val="32"/>
        </w:rPr>
        <w:instrText xml:space="preserve"> HYPERLINK \l _Toc8648 </w:instrText>
      </w:r>
      <w:r>
        <w:rPr>
          <w:rFonts w:hint="eastAsia" w:ascii="仿宋" w:hAnsi="仿宋" w:eastAsia="仿宋" w:cs="仿宋"/>
          <w:bCs w:val="0"/>
          <w:sz w:val="32"/>
          <w:szCs w:val="32"/>
        </w:rPr>
        <w:fldChar w:fldCharType="separate"/>
      </w:r>
      <w:r>
        <w:rPr>
          <w:rFonts w:hint="eastAsia" w:ascii="仿宋" w:hAnsi="仿宋" w:eastAsia="仿宋" w:cs="仿宋"/>
          <w:bCs w:val="0"/>
          <w:caps w:val="0"/>
          <w:smallCaps/>
          <w:spacing w:val="-28"/>
          <w:sz w:val="32"/>
          <w:szCs w:val="32"/>
        </w:rPr>
        <w:t>附件1</w:t>
      </w:r>
      <w:r>
        <w:rPr>
          <w:rFonts w:hint="eastAsia" w:ascii="仿宋" w:hAnsi="仿宋" w:eastAsia="仿宋" w:cs="仿宋"/>
          <w:bCs w:val="0"/>
          <w:caps w:val="0"/>
          <w:smallCaps/>
          <w:spacing w:val="-28"/>
          <w:sz w:val="32"/>
          <w:szCs w:val="32"/>
          <w:lang w:val="en-US" w:eastAsia="zh-CN"/>
        </w:rPr>
        <w:t xml:space="preserve"> 2020部门整体支出绩效报告</w:t>
      </w:r>
      <w:r>
        <w:rPr>
          <w:rFonts w:hint="eastAsia" w:ascii="仿宋" w:hAnsi="仿宋" w:eastAsia="仿宋" w:cs="仿宋"/>
          <w:bCs w:val="0"/>
          <w:sz w:val="32"/>
          <w:szCs w:val="32"/>
        </w:rPr>
        <w:tab/>
      </w:r>
      <w:r>
        <w:rPr>
          <w:rFonts w:hint="eastAsia" w:ascii="仿宋" w:hAnsi="仿宋" w:eastAsia="仿宋" w:cs="仿宋"/>
          <w:bCs w:val="0"/>
          <w:sz w:val="32"/>
          <w:szCs w:val="32"/>
        </w:rPr>
        <w:fldChar w:fldCharType="begin"/>
      </w:r>
      <w:r>
        <w:rPr>
          <w:rFonts w:hint="eastAsia" w:ascii="仿宋" w:hAnsi="仿宋" w:eastAsia="仿宋" w:cs="仿宋"/>
          <w:bCs w:val="0"/>
          <w:sz w:val="32"/>
          <w:szCs w:val="32"/>
        </w:rPr>
        <w:instrText xml:space="preserve"> PAGEREF _Toc8648 </w:instrText>
      </w:r>
      <w:r>
        <w:rPr>
          <w:rFonts w:hint="eastAsia" w:ascii="仿宋" w:hAnsi="仿宋" w:eastAsia="仿宋" w:cs="仿宋"/>
          <w:bCs w:val="0"/>
          <w:sz w:val="32"/>
          <w:szCs w:val="32"/>
        </w:rPr>
        <w:fldChar w:fldCharType="separate"/>
      </w:r>
      <w:r>
        <w:rPr>
          <w:rFonts w:hint="eastAsia" w:ascii="仿宋" w:hAnsi="仿宋" w:eastAsia="仿宋" w:cs="仿宋"/>
          <w:bCs w:val="0"/>
          <w:sz w:val="32"/>
          <w:szCs w:val="32"/>
        </w:rPr>
        <w:t>28</w:t>
      </w:r>
      <w:r>
        <w:rPr>
          <w:rFonts w:hint="eastAsia" w:ascii="仿宋" w:hAnsi="仿宋" w:eastAsia="仿宋" w:cs="仿宋"/>
          <w:bCs w:val="0"/>
          <w:sz w:val="32"/>
          <w:szCs w:val="32"/>
        </w:rPr>
        <w:fldChar w:fldCharType="end"/>
      </w:r>
      <w:r>
        <w:rPr>
          <w:rFonts w:hint="eastAsia" w:ascii="仿宋" w:hAnsi="仿宋" w:eastAsia="仿宋" w:cs="仿宋"/>
          <w:bCs w:val="0"/>
          <w:sz w:val="32"/>
          <w:szCs w:val="32"/>
        </w:rPr>
        <w:fldChar w:fldCharType="end"/>
      </w:r>
    </w:p>
    <w:p>
      <w:pPr>
        <w:pStyle w:val="16"/>
        <w:tabs>
          <w:tab w:val="right" w:leader="dot" w:pos="8306"/>
        </w:tabs>
        <w:rPr>
          <w:rFonts w:hint="eastAsia" w:ascii="仿宋" w:hAnsi="仿宋" w:eastAsia="仿宋" w:cs="仿宋"/>
          <w:bCs w:val="0"/>
          <w:sz w:val="32"/>
          <w:szCs w:val="32"/>
        </w:rPr>
      </w:pPr>
      <w:r>
        <w:rPr>
          <w:rFonts w:hint="eastAsia" w:ascii="仿宋" w:hAnsi="仿宋" w:eastAsia="仿宋" w:cs="仿宋"/>
          <w:bCs w:val="0"/>
          <w:sz w:val="32"/>
          <w:szCs w:val="32"/>
        </w:rPr>
        <w:fldChar w:fldCharType="begin"/>
      </w:r>
      <w:r>
        <w:rPr>
          <w:rFonts w:hint="eastAsia" w:ascii="仿宋" w:hAnsi="仿宋" w:eastAsia="仿宋" w:cs="仿宋"/>
          <w:bCs w:val="0"/>
          <w:sz w:val="32"/>
          <w:szCs w:val="32"/>
        </w:rPr>
        <w:instrText xml:space="preserve"> HYPERLINK \l _Toc20293 </w:instrText>
      </w:r>
      <w:r>
        <w:rPr>
          <w:rFonts w:hint="eastAsia" w:ascii="仿宋" w:hAnsi="仿宋" w:eastAsia="仿宋" w:cs="仿宋"/>
          <w:bCs w:val="0"/>
          <w:sz w:val="32"/>
          <w:szCs w:val="32"/>
        </w:rPr>
        <w:fldChar w:fldCharType="separate"/>
      </w:r>
      <w:r>
        <w:rPr>
          <w:rFonts w:hint="eastAsia" w:ascii="仿宋" w:hAnsi="仿宋" w:eastAsia="仿宋" w:cs="仿宋"/>
          <w:bCs w:val="0"/>
          <w:caps w:val="0"/>
          <w:smallCaps/>
          <w:spacing w:val="-28"/>
          <w:sz w:val="32"/>
          <w:szCs w:val="32"/>
        </w:rPr>
        <w:t>附件2中央药品监管补助资金项目2020年绩效评价报告</w:t>
      </w:r>
      <w:r>
        <w:rPr>
          <w:rFonts w:hint="eastAsia" w:ascii="仿宋" w:hAnsi="仿宋" w:eastAsia="仿宋" w:cs="仿宋"/>
          <w:bCs w:val="0"/>
          <w:sz w:val="32"/>
          <w:szCs w:val="32"/>
        </w:rPr>
        <w:tab/>
      </w:r>
      <w:r>
        <w:rPr>
          <w:rFonts w:hint="eastAsia" w:ascii="仿宋" w:hAnsi="仿宋" w:eastAsia="仿宋" w:cs="仿宋"/>
          <w:bCs w:val="0"/>
          <w:sz w:val="32"/>
          <w:szCs w:val="32"/>
        </w:rPr>
        <w:fldChar w:fldCharType="begin"/>
      </w:r>
      <w:r>
        <w:rPr>
          <w:rFonts w:hint="eastAsia" w:ascii="仿宋" w:hAnsi="仿宋" w:eastAsia="仿宋" w:cs="仿宋"/>
          <w:bCs w:val="0"/>
          <w:sz w:val="32"/>
          <w:szCs w:val="32"/>
        </w:rPr>
        <w:instrText xml:space="preserve"> PAGEREF _Toc20293 </w:instrText>
      </w:r>
      <w:r>
        <w:rPr>
          <w:rFonts w:hint="eastAsia" w:ascii="仿宋" w:hAnsi="仿宋" w:eastAsia="仿宋" w:cs="仿宋"/>
          <w:bCs w:val="0"/>
          <w:sz w:val="32"/>
          <w:szCs w:val="32"/>
        </w:rPr>
        <w:fldChar w:fldCharType="separate"/>
      </w:r>
      <w:r>
        <w:rPr>
          <w:rFonts w:hint="eastAsia" w:ascii="仿宋" w:hAnsi="仿宋" w:eastAsia="仿宋" w:cs="仿宋"/>
          <w:bCs w:val="0"/>
          <w:sz w:val="32"/>
          <w:szCs w:val="32"/>
        </w:rPr>
        <w:t>33</w:t>
      </w:r>
      <w:r>
        <w:rPr>
          <w:rFonts w:hint="eastAsia" w:ascii="仿宋" w:hAnsi="仿宋" w:eastAsia="仿宋" w:cs="仿宋"/>
          <w:bCs w:val="0"/>
          <w:sz w:val="32"/>
          <w:szCs w:val="32"/>
        </w:rPr>
        <w:fldChar w:fldCharType="end"/>
      </w:r>
      <w:r>
        <w:rPr>
          <w:rFonts w:hint="eastAsia" w:ascii="仿宋" w:hAnsi="仿宋" w:eastAsia="仿宋" w:cs="仿宋"/>
          <w:bCs w:val="0"/>
          <w:sz w:val="32"/>
          <w:szCs w:val="32"/>
        </w:rPr>
        <w:fldChar w:fldCharType="end"/>
      </w:r>
    </w:p>
    <w:p>
      <w:pPr>
        <w:pStyle w:val="16"/>
        <w:tabs>
          <w:tab w:val="right" w:leader="dot" w:pos="8306"/>
        </w:tabs>
        <w:rPr>
          <w:rFonts w:hint="eastAsia" w:ascii="仿宋" w:hAnsi="仿宋" w:eastAsia="仿宋" w:cs="仿宋"/>
          <w:bCs w:val="0"/>
          <w:sz w:val="32"/>
          <w:szCs w:val="32"/>
        </w:rPr>
      </w:pPr>
      <w:r>
        <w:rPr>
          <w:rFonts w:hint="eastAsia" w:ascii="仿宋" w:hAnsi="仿宋" w:eastAsia="仿宋" w:cs="仿宋"/>
          <w:bCs w:val="0"/>
          <w:sz w:val="32"/>
          <w:szCs w:val="32"/>
        </w:rPr>
        <w:fldChar w:fldCharType="begin"/>
      </w:r>
      <w:r>
        <w:rPr>
          <w:rFonts w:hint="eastAsia" w:ascii="仿宋" w:hAnsi="仿宋" w:eastAsia="仿宋" w:cs="仿宋"/>
          <w:bCs w:val="0"/>
          <w:sz w:val="32"/>
          <w:szCs w:val="32"/>
        </w:rPr>
        <w:instrText xml:space="preserve"> HYPERLINK \l _Toc12033 </w:instrText>
      </w:r>
      <w:r>
        <w:rPr>
          <w:rFonts w:hint="eastAsia" w:ascii="仿宋" w:hAnsi="仿宋" w:eastAsia="仿宋" w:cs="仿宋"/>
          <w:bCs w:val="0"/>
          <w:sz w:val="32"/>
          <w:szCs w:val="32"/>
        </w:rPr>
        <w:fldChar w:fldCharType="separate"/>
      </w:r>
      <w:r>
        <w:rPr>
          <w:rFonts w:hint="eastAsia" w:ascii="仿宋" w:hAnsi="仿宋" w:eastAsia="仿宋" w:cs="仿宋"/>
          <w:bCs w:val="0"/>
          <w:caps w:val="0"/>
          <w:smallCaps/>
          <w:spacing w:val="-28"/>
          <w:sz w:val="32"/>
          <w:szCs w:val="32"/>
        </w:rPr>
        <w:t>附件3中央食品监管补助资金项目2020年绩效评价报告</w:t>
      </w:r>
      <w:r>
        <w:rPr>
          <w:rFonts w:hint="eastAsia" w:ascii="仿宋" w:hAnsi="仿宋" w:eastAsia="仿宋" w:cs="仿宋"/>
          <w:bCs w:val="0"/>
          <w:sz w:val="32"/>
          <w:szCs w:val="32"/>
        </w:rPr>
        <w:tab/>
      </w:r>
      <w:r>
        <w:rPr>
          <w:rFonts w:hint="eastAsia" w:ascii="仿宋" w:hAnsi="仿宋" w:eastAsia="仿宋" w:cs="仿宋"/>
          <w:bCs w:val="0"/>
          <w:sz w:val="32"/>
          <w:szCs w:val="32"/>
        </w:rPr>
        <w:fldChar w:fldCharType="begin"/>
      </w:r>
      <w:r>
        <w:rPr>
          <w:rFonts w:hint="eastAsia" w:ascii="仿宋" w:hAnsi="仿宋" w:eastAsia="仿宋" w:cs="仿宋"/>
          <w:bCs w:val="0"/>
          <w:sz w:val="32"/>
          <w:szCs w:val="32"/>
        </w:rPr>
        <w:instrText xml:space="preserve"> PAGEREF _Toc12033 </w:instrText>
      </w:r>
      <w:r>
        <w:rPr>
          <w:rFonts w:hint="eastAsia" w:ascii="仿宋" w:hAnsi="仿宋" w:eastAsia="仿宋" w:cs="仿宋"/>
          <w:bCs w:val="0"/>
          <w:sz w:val="32"/>
          <w:szCs w:val="32"/>
        </w:rPr>
        <w:fldChar w:fldCharType="separate"/>
      </w:r>
      <w:r>
        <w:rPr>
          <w:rFonts w:hint="eastAsia" w:ascii="仿宋" w:hAnsi="仿宋" w:eastAsia="仿宋" w:cs="仿宋"/>
          <w:bCs w:val="0"/>
          <w:sz w:val="32"/>
          <w:szCs w:val="32"/>
        </w:rPr>
        <w:t>38</w:t>
      </w:r>
      <w:r>
        <w:rPr>
          <w:rFonts w:hint="eastAsia" w:ascii="仿宋" w:hAnsi="仿宋" w:eastAsia="仿宋" w:cs="仿宋"/>
          <w:bCs w:val="0"/>
          <w:sz w:val="32"/>
          <w:szCs w:val="32"/>
        </w:rPr>
        <w:fldChar w:fldCharType="end"/>
      </w:r>
      <w:r>
        <w:rPr>
          <w:rFonts w:hint="eastAsia" w:ascii="仿宋" w:hAnsi="仿宋" w:eastAsia="仿宋" w:cs="仿宋"/>
          <w:bCs w:val="0"/>
          <w:sz w:val="32"/>
          <w:szCs w:val="32"/>
        </w:rPr>
        <w:fldChar w:fldCharType="end"/>
      </w:r>
    </w:p>
    <w:p>
      <w:pPr>
        <w:pStyle w:val="16"/>
        <w:tabs>
          <w:tab w:val="right" w:leader="dot" w:pos="8306"/>
        </w:tabs>
        <w:rPr>
          <w:rFonts w:hint="eastAsia" w:ascii="仿宋" w:hAnsi="仿宋" w:eastAsia="仿宋" w:cs="仿宋"/>
          <w:bCs w:val="0"/>
          <w:sz w:val="32"/>
          <w:szCs w:val="32"/>
        </w:rPr>
      </w:pPr>
      <w:r>
        <w:rPr>
          <w:rFonts w:hint="eastAsia" w:ascii="仿宋" w:hAnsi="仿宋" w:eastAsia="仿宋" w:cs="仿宋"/>
          <w:bCs w:val="0"/>
          <w:sz w:val="32"/>
          <w:szCs w:val="32"/>
        </w:rPr>
        <w:fldChar w:fldCharType="begin"/>
      </w:r>
      <w:r>
        <w:rPr>
          <w:rFonts w:hint="eastAsia" w:ascii="仿宋" w:hAnsi="仿宋" w:eastAsia="仿宋" w:cs="仿宋"/>
          <w:bCs w:val="0"/>
          <w:sz w:val="32"/>
          <w:szCs w:val="32"/>
        </w:rPr>
        <w:instrText xml:space="preserve"> HYPERLINK \l _Toc24140 </w:instrText>
      </w:r>
      <w:r>
        <w:rPr>
          <w:rFonts w:hint="eastAsia" w:ascii="仿宋" w:hAnsi="仿宋" w:eastAsia="仿宋" w:cs="仿宋"/>
          <w:bCs w:val="0"/>
          <w:sz w:val="32"/>
          <w:szCs w:val="32"/>
        </w:rPr>
        <w:fldChar w:fldCharType="separate"/>
      </w:r>
      <w:r>
        <w:rPr>
          <w:rFonts w:hint="eastAsia" w:ascii="仿宋" w:hAnsi="仿宋" w:eastAsia="仿宋" w:cs="仿宋"/>
          <w:bCs w:val="0"/>
          <w:caps w:val="0"/>
          <w:smallCaps/>
          <w:spacing w:val="-28"/>
          <w:sz w:val="32"/>
          <w:szCs w:val="32"/>
        </w:rPr>
        <w:t>附件4食品检测项目2020年绩效评价报告</w:t>
      </w:r>
      <w:r>
        <w:rPr>
          <w:rFonts w:hint="eastAsia" w:ascii="仿宋" w:hAnsi="仿宋" w:eastAsia="仿宋" w:cs="仿宋"/>
          <w:bCs w:val="0"/>
          <w:sz w:val="32"/>
          <w:szCs w:val="32"/>
        </w:rPr>
        <w:tab/>
      </w:r>
      <w:r>
        <w:rPr>
          <w:rFonts w:hint="eastAsia" w:ascii="仿宋" w:hAnsi="仿宋" w:eastAsia="仿宋" w:cs="仿宋"/>
          <w:bCs w:val="0"/>
          <w:sz w:val="32"/>
          <w:szCs w:val="32"/>
        </w:rPr>
        <w:fldChar w:fldCharType="begin"/>
      </w:r>
      <w:r>
        <w:rPr>
          <w:rFonts w:hint="eastAsia" w:ascii="仿宋" w:hAnsi="仿宋" w:eastAsia="仿宋" w:cs="仿宋"/>
          <w:bCs w:val="0"/>
          <w:sz w:val="32"/>
          <w:szCs w:val="32"/>
        </w:rPr>
        <w:instrText xml:space="preserve"> PAGEREF _Toc24140 </w:instrText>
      </w:r>
      <w:r>
        <w:rPr>
          <w:rFonts w:hint="eastAsia" w:ascii="仿宋" w:hAnsi="仿宋" w:eastAsia="仿宋" w:cs="仿宋"/>
          <w:bCs w:val="0"/>
          <w:sz w:val="32"/>
          <w:szCs w:val="32"/>
        </w:rPr>
        <w:fldChar w:fldCharType="separate"/>
      </w:r>
      <w:r>
        <w:rPr>
          <w:rFonts w:hint="eastAsia" w:ascii="仿宋" w:hAnsi="仿宋" w:eastAsia="仿宋" w:cs="仿宋"/>
          <w:bCs w:val="0"/>
          <w:sz w:val="32"/>
          <w:szCs w:val="32"/>
        </w:rPr>
        <w:t>45</w:t>
      </w:r>
      <w:r>
        <w:rPr>
          <w:rFonts w:hint="eastAsia" w:ascii="仿宋" w:hAnsi="仿宋" w:eastAsia="仿宋" w:cs="仿宋"/>
          <w:bCs w:val="0"/>
          <w:sz w:val="32"/>
          <w:szCs w:val="32"/>
        </w:rPr>
        <w:fldChar w:fldCharType="end"/>
      </w:r>
      <w:r>
        <w:rPr>
          <w:rFonts w:hint="eastAsia" w:ascii="仿宋" w:hAnsi="仿宋" w:eastAsia="仿宋" w:cs="仿宋"/>
          <w:bCs w:val="0"/>
          <w:sz w:val="32"/>
          <w:szCs w:val="32"/>
        </w:rPr>
        <w:fldChar w:fldCharType="end"/>
      </w:r>
    </w:p>
    <w:p>
      <w:pPr>
        <w:pStyle w:val="16"/>
        <w:tabs>
          <w:tab w:val="right" w:leader="dot" w:pos="8306"/>
        </w:tabs>
        <w:rPr>
          <w:rFonts w:hint="eastAsia" w:ascii="仿宋" w:hAnsi="仿宋" w:eastAsia="仿宋" w:cs="仿宋"/>
          <w:bCs w:val="0"/>
          <w:sz w:val="32"/>
          <w:szCs w:val="32"/>
        </w:rPr>
      </w:pPr>
      <w:r>
        <w:rPr>
          <w:rFonts w:hint="eastAsia" w:ascii="仿宋" w:hAnsi="仿宋" w:eastAsia="仿宋" w:cs="仿宋"/>
          <w:bCs w:val="0"/>
          <w:sz w:val="32"/>
          <w:szCs w:val="32"/>
        </w:rPr>
        <w:fldChar w:fldCharType="begin"/>
      </w:r>
      <w:r>
        <w:rPr>
          <w:rFonts w:hint="eastAsia" w:ascii="仿宋" w:hAnsi="仿宋" w:eastAsia="仿宋" w:cs="仿宋"/>
          <w:bCs w:val="0"/>
          <w:sz w:val="32"/>
          <w:szCs w:val="32"/>
        </w:rPr>
        <w:instrText xml:space="preserve"> HYPERLINK \l _Toc32233 </w:instrText>
      </w:r>
      <w:r>
        <w:rPr>
          <w:rFonts w:hint="eastAsia" w:ascii="仿宋" w:hAnsi="仿宋" w:eastAsia="仿宋" w:cs="仿宋"/>
          <w:bCs w:val="0"/>
          <w:sz w:val="32"/>
          <w:szCs w:val="32"/>
        </w:rPr>
        <w:fldChar w:fldCharType="separate"/>
      </w:r>
      <w:r>
        <w:rPr>
          <w:rFonts w:hint="eastAsia" w:ascii="仿宋" w:hAnsi="仿宋" w:eastAsia="仿宋" w:cs="仿宋"/>
          <w:bCs w:val="0"/>
          <w:caps w:val="0"/>
          <w:smallCaps/>
          <w:spacing w:val="-28"/>
          <w:sz w:val="32"/>
          <w:szCs w:val="32"/>
        </w:rPr>
        <w:t>附件5新型冠状肺炎经费2020年绩效评价报告</w:t>
      </w:r>
      <w:r>
        <w:rPr>
          <w:rFonts w:hint="eastAsia" w:ascii="仿宋" w:hAnsi="仿宋" w:eastAsia="仿宋" w:cs="仿宋"/>
          <w:bCs w:val="0"/>
          <w:sz w:val="32"/>
          <w:szCs w:val="32"/>
        </w:rPr>
        <w:tab/>
      </w:r>
      <w:r>
        <w:rPr>
          <w:rFonts w:hint="eastAsia" w:ascii="仿宋" w:hAnsi="仿宋" w:eastAsia="仿宋" w:cs="仿宋"/>
          <w:bCs w:val="0"/>
          <w:sz w:val="32"/>
          <w:szCs w:val="32"/>
        </w:rPr>
        <w:fldChar w:fldCharType="begin"/>
      </w:r>
      <w:r>
        <w:rPr>
          <w:rFonts w:hint="eastAsia" w:ascii="仿宋" w:hAnsi="仿宋" w:eastAsia="仿宋" w:cs="仿宋"/>
          <w:bCs w:val="0"/>
          <w:sz w:val="32"/>
          <w:szCs w:val="32"/>
        </w:rPr>
        <w:instrText xml:space="preserve"> PAGEREF _Toc32233 </w:instrText>
      </w:r>
      <w:r>
        <w:rPr>
          <w:rFonts w:hint="eastAsia" w:ascii="仿宋" w:hAnsi="仿宋" w:eastAsia="仿宋" w:cs="仿宋"/>
          <w:bCs w:val="0"/>
          <w:sz w:val="32"/>
          <w:szCs w:val="32"/>
        </w:rPr>
        <w:fldChar w:fldCharType="separate"/>
      </w:r>
      <w:r>
        <w:rPr>
          <w:rFonts w:hint="eastAsia" w:ascii="仿宋" w:hAnsi="仿宋" w:eastAsia="仿宋" w:cs="仿宋"/>
          <w:bCs w:val="0"/>
          <w:sz w:val="32"/>
          <w:szCs w:val="32"/>
        </w:rPr>
        <w:t>49</w:t>
      </w:r>
      <w:r>
        <w:rPr>
          <w:rFonts w:hint="eastAsia" w:ascii="仿宋" w:hAnsi="仿宋" w:eastAsia="仿宋" w:cs="仿宋"/>
          <w:bCs w:val="0"/>
          <w:sz w:val="32"/>
          <w:szCs w:val="32"/>
        </w:rPr>
        <w:fldChar w:fldCharType="end"/>
      </w:r>
      <w:r>
        <w:rPr>
          <w:rFonts w:hint="eastAsia" w:ascii="仿宋" w:hAnsi="仿宋" w:eastAsia="仿宋" w:cs="仿宋"/>
          <w:bCs w:val="0"/>
          <w:sz w:val="32"/>
          <w:szCs w:val="32"/>
        </w:rPr>
        <w:fldChar w:fldCharType="end"/>
      </w:r>
    </w:p>
    <w:p>
      <w:pPr>
        <w:pStyle w:val="16"/>
        <w:tabs>
          <w:tab w:val="right" w:leader="dot" w:pos="8306"/>
        </w:tabs>
        <w:rPr>
          <w:rFonts w:hint="eastAsia" w:ascii="仿宋" w:hAnsi="仿宋" w:eastAsia="仿宋" w:cs="仿宋"/>
          <w:bCs w:val="0"/>
          <w:sz w:val="32"/>
          <w:szCs w:val="32"/>
        </w:rPr>
      </w:pPr>
      <w:r>
        <w:rPr>
          <w:rFonts w:hint="eastAsia" w:ascii="仿宋" w:hAnsi="仿宋" w:eastAsia="仿宋" w:cs="仿宋"/>
          <w:bCs w:val="0"/>
          <w:sz w:val="32"/>
          <w:szCs w:val="32"/>
        </w:rPr>
        <w:fldChar w:fldCharType="begin"/>
      </w:r>
      <w:r>
        <w:rPr>
          <w:rFonts w:hint="eastAsia" w:ascii="仿宋" w:hAnsi="仿宋" w:eastAsia="仿宋" w:cs="仿宋"/>
          <w:bCs w:val="0"/>
          <w:sz w:val="32"/>
          <w:szCs w:val="32"/>
        </w:rPr>
        <w:instrText xml:space="preserve"> HYPERLINK \l _Toc2106 </w:instrText>
      </w:r>
      <w:r>
        <w:rPr>
          <w:rFonts w:hint="eastAsia" w:ascii="仿宋" w:hAnsi="仿宋" w:eastAsia="仿宋" w:cs="仿宋"/>
          <w:bCs w:val="0"/>
          <w:sz w:val="32"/>
          <w:szCs w:val="32"/>
        </w:rPr>
        <w:fldChar w:fldCharType="separate"/>
      </w:r>
      <w:r>
        <w:rPr>
          <w:rFonts w:hint="eastAsia" w:ascii="仿宋" w:hAnsi="仿宋" w:eastAsia="仿宋" w:cs="仿宋"/>
          <w:bCs w:val="0"/>
          <w:caps w:val="0"/>
          <w:smallCaps/>
          <w:spacing w:val="-28"/>
          <w:sz w:val="32"/>
          <w:szCs w:val="32"/>
        </w:rPr>
        <w:t>附件6“宝石小镇”知识产权品牌创建项目2020年绩效评价报告</w:t>
      </w:r>
      <w:r>
        <w:rPr>
          <w:rFonts w:hint="eastAsia" w:ascii="仿宋" w:hAnsi="仿宋" w:eastAsia="仿宋" w:cs="仿宋"/>
          <w:bCs w:val="0"/>
          <w:sz w:val="32"/>
          <w:szCs w:val="32"/>
        </w:rPr>
        <w:tab/>
      </w:r>
      <w:r>
        <w:rPr>
          <w:rFonts w:hint="eastAsia" w:ascii="仿宋" w:hAnsi="仿宋" w:eastAsia="仿宋" w:cs="仿宋"/>
          <w:bCs w:val="0"/>
          <w:sz w:val="32"/>
          <w:szCs w:val="32"/>
        </w:rPr>
        <w:fldChar w:fldCharType="begin"/>
      </w:r>
      <w:r>
        <w:rPr>
          <w:rFonts w:hint="eastAsia" w:ascii="仿宋" w:hAnsi="仿宋" w:eastAsia="仿宋" w:cs="仿宋"/>
          <w:bCs w:val="0"/>
          <w:sz w:val="32"/>
          <w:szCs w:val="32"/>
        </w:rPr>
        <w:instrText xml:space="preserve"> PAGEREF _Toc2106 </w:instrText>
      </w:r>
      <w:r>
        <w:rPr>
          <w:rFonts w:hint="eastAsia" w:ascii="仿宋" w:hAnsi="仿宋" w:eastAsia="仿宋" w:cs="仿宋"/>
          <w:bCs w:val="0"/>
          <w:sz w:val="32"/>
          <w:szCs w:val="32"/>
        </w:rPr>
        <w:fldChar w:fldCharType="separate"/>
      </w:r>
      <w:r>
        <w:rPr>
          <w:rFonts w:hint="eastAsia" w:ascii="仿宋" w:hAnsi="仿宋" w:eastAsia="仿宋" w:cs="仿宋"/>
          <w:bCs w:val="0"/>
          <w:sz w:val="32"/>
          <w:szCs w:val="32"/>
        </w:rPr>
        <w:t>55</w:t>
      </w:r>
      <w:r>
        <w:rPr>
          <w:rFonts w:hint="eastAsia" w:ascii="仿宋" w:hAnsi="仿宋" w:eastAsia="仿宋" w:cs="仿宋"/>
          <w:bCs w:val="0"/>
          <w:sz w:val="32"/>
          <w:szCs w:val="32"/>
        </w:rPr>
        <w:fldChar w:fldCharType="end"/>
      </w:r>
      <w:r>
        <w:rPr>
          <w:rFonts w:hint="eastAsia" w:ascii="仿宋" w:hAnsi="仿宋" w:eastAsia="仿宋" w:cs="仿宋"/>
          <w:bCs w:val="0"/>
          <w:sz w:val="32"/>
          <w:szCs w:val="32"/>
        </w:rPr>
        <w:fldChar w:fldCharType="end"/>
      </w:r>
    </w:p>
    <w:p>
      <w:pPr>
        <w:pStyle w:val="13"/>
        <w:tabs>
          <w:tab w:val="right" w:leader="dot" w:pos="8306"/>
        </w:tabs>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_Toc3800 </w:instrText>
      </w:r>
      <w:r>
        <w:rPr>
          <w:rFonts w:hint="eastAsia" w:ascii="仿宋" w:hAnsi="仿宋" w:eastAsia="仿宋" w:cs="仿宋"/>
          <w:sz w:val="32"/>
          <w:szCs w:val="32"/>
        </w:rPr>
        <w:fldChar w:fldCharType="separate"/>
      </w:r>
      <w:r>
        <w:rPr>
          <w:rFonts w:hint="eastAsia" w:ascii="仿宋" w:hAnsi="仿宋" w:eastAsia="仿宋" w:cs="仿宋"/>
          <w:sz w:val="32"/>
          <w:szCs w:val="32"/>
        </w:rPr>
        <w:t>第五部分 附表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pPr>
        <w:pStyle w:val="16"/>
        <w:tabs>
          <w:tab w:val="right" w:leader="dot" w:pos="8306"/>
        </w:tabs>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_Toc25268 </w:instrText>
      </w:r>
      <w:r>
        <w:rPr>
          <w:rFonts w:hint="eastAsia" w:ascii="仿宋" w:hAnsi="仿宋" w:eastAsia="仿宋" w:cs="仿宋"/>
          <w:sz w:val="32"/>
          <w:szCs w:val="32"/>
        </w:rPr>
        <w:fldChar w:fldCharType="separate"/>
      </w:r>
      <w:r>
        <w:rPr>
          <w:rFonts w:hint="eastAsia" w:ascii="仿宋" w:hAnsi="仿宋" w:eastAsia="仿宋" w:cs="仿宋"/>
          <w:sz w:val="32"/>
          <w:szCs w:val="32"/>
        </w:rPr>
        <w:t>一、收</w:t>
      </w:r>
      <w:r>
        <w:rPr>
          <w:rFonts w:hint="eastAsia" w:ascii="仿宋" w:hAnsi="仿宋" w:eastAsia="仿宋" w:cs="仿宋"/>
          <w:bCs w:val="0"/>
          <w:sz w:val="32"/>
          <w:szCs w:val="32"/>
        </w:rPr>
        <w:t>入支出决算总表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pPr>
        <w:pStyle w:val="16"/>
        <w:tabs>
          <w:tab w:val="right" w:leader="dot" w:pos="8306"/>
        </w:tabs>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_Toc13879 </w:instrText>
      </w:r>
      <w:r>
        <w:rPr>
          <w:rFonts w:hint="eastAsia" w:ascii="仿宋" w:hAnsi="仿宋" w:eastAsia="仿宋" w:cs="仿宋"/>
          <w:sz w:val="32"/>
          <w:szCs w:val="32"/>
        </w:rPr>
        <w:fldChar w:fldCharType="separate"/>
      </w:r>
      <w:r>
        <w:rPr>
          <w:rFonts w:hint="eastAsia" w:ascii="仿宋" w:hAnsi="仿宋" w:eastAsia="仿宋" w:cs="仿宋"/>
          <w:sz w:val="32"/>
          <w:szCs w:val="32"/>
        </w:rPr>
        <w:t>二、收</w:t>
      </w:r>
      <w:r>
        <w:rPr>
          <w:rFonts w:hint="eastAsia" w:ascii="仿宋" w:hAnsi="仿宋" w:eastAsia="仿宋" w:cs="仿宋"/>
          <w:bCs w:val="0"/>
          <w:sz w:val="32"/>
          <w:szCs w:val="32"/>
        </w:rPr>
        <w:t>入决算表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pPr>
        <w:pStyle w:val="16"/>
        <w:tabs>
          <w:tab w:val="right" w:leader="dot" w:pos="8306"/>
        </w:tabs>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_Toc1176 </w:instrText>
      </w:r>
      <w:r>
        <w:rPr>
          <w:rFonts w:hint="eastAsia" w:ascii="仿宋" w:hAnsi="仿宋" w:eastAsia="仿宋" w:cs="仿宋"/>
          <w:sz w:val="32"/>
          <w:szCs w:val="32"/>
        </w:rPr>
        <w:fldChar w:fldCharType="separate"/>
      </w:r>
      <w:r>
        <w:rPr>
          <w:rFonts w:hint="eastAsia" w:ascii="仿宋" w:hAnsi="仿宋" w:eastAsia="仿宋" w:cs="仿宋"/>
          <w:bCs w:val="0"/>
          <w:sz w:val="32"/>
          <w:szCs w:val="32"/>
        </w:rPr>
        <w:t>三、</w:t>
      </w:r>
      <w:r>
        <w:rPr>
          <w:rFonts w:hint="eastAsia" w:ascii="仿宋" w:hAnsi="仿宋" w:eastAsia="仿宋" w:cs="仿宋"/>
          <w:sz w:val="32"/>
          <w:szCs w:val="32"/>
        </w:rPr>
        <w:t>支</w:t>
      </w:r>
      <w:r>
        <w:rPr>
          <w:rFonts w:hint="eastAsia" w:ascii="仿宋" w:hAnsi="仿宋" w:eastAsia="仿宋" w:cs="仿宋"/>
          <w:bCs w:val="0"/>
          <w:sz w:val="32"/>
          <w:szCs w:val="32"/>
        </w:rPr>
        <w:t>出决算表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pPr>
        <w:pStyle w:val="1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_Toc23595 </w:instrText>
      </w:r>
      <w:r>
        <w:rPr>
          <w:rFonts w:hint="eastAsia" w:ascii="仿宋" w:hAnsi="仿宋" w:eastAsia="仿宋" w:cs="仿宋"/>
          <w:sz w:val="32"/>
          <w:szCs w:val="32"/>
        </w:rPr>
        <w:fldChar w:fldCharType="separate"/>
      </w:r>
      <w:r>
        <w:rPr>
          <w:rFonts w:hint="eastAsia" w:ascii="仿宋" w:hAnsi="仿宋" w:eastAsia="仿宋" w:cs="仿宋"/>
          <w:bCs w:val="0"/>
          <w:sz w:val="32"/>
          <w:szCs w:val="32"/>
        </w:rPr>
        <w:t>四、</w:t>
      </w:r>
      <w:r>
        <w:rPr>
          <w:rFonts w:hint="eastAsia" w:ascii="仿宋" w:hAnsi="仿宋" w:eastAsia="仿宋" w:cs="仿宋"/>
          <w:sz w:val="32"/>
          <w:szCs w:val="32"/>
        </w:rPr>
        <w:t>财</w:t>
      </w:r>
      <w:r>
        <w:rPr>
          <w:rFonts w:hint="eastAsia" w:ascii="仿宋" w:hAnsi="仿宋" w:eastAsia="仿宋" w:cs="仿宋"/>
          <w:bCs w:val="0"/>
          <w:sz w:val="32"/>
          <w:szCs w:val="32"/>
        </w:rPr>
        <w:t>政拨款收入支出决算总表</w:t>
      </w:r>
      <w:r>
        <w:rPr>
          <w:rFonts w:hint="eastAsia" w:ascii="仿宋" w:hAnsi="仿宋" w:eastAsia="仿宋" w:cs="仿宋"/>
          <w:sz w:val="32"/>
          <w:szCs w:val="32"/>
        </w:rPr>
        <w:tab/>
      </w:r>
      <w:r>
        <w:rPr>
          <w:rFonts w:hint="eastAsia" w:ascii="仿宋" w:hAnsi="仿宋" w:eastAsia="仿宋" w:cs="仿宋"/>
          <w:sz w:val="32"/>
          <w:szCs w:val="32"/>
          <w:lang w:val="en-US" w:eastAsia="zh-CN"/>
        </w:rPr>
        <w:t>59</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_Toc29951 </w:instrText>
      </w:r>
      <w:r>
        <w:rPr>
          <w:rFonts w:hint="eastAsia" w:ascii="仿宋" w:hAnsi="仿宋" w:eastAsia="仿宋" w:cs="仿宋"/>
          <w:sz w:val="32"/>
          <w:szCs w:val="32"/>
        </w:rPr>
        <w:fldChar w:fldCharType="separate"/>
      </w:r>
      <w:r>
        <w:rPr>
          <w:rFonts w:hint="eastAsia" w:ascii="仿宋" w:hAnsi="仿宋" w:eastAsia="仿宋" w:cs="仿宋"/>
          <w:bCs w:val="0"/>
          <w:sz w:val="32"/>
          <w:szCs w:val="32"/>
        </w:rPr>
        <w:t>五、</w:t>
      </w:r>
      <w:r>
        <w:rPr>
          <w:rFonts w:hint="eastAsia" w:ascii="仿宋" w:hAnsi="仿宋" w:eastAsia="仿宋" w:cs="仿宋"/>
          <w:sz w:val="32"/>
          <w:szCs w:val="32"/>
        </w:rPr>
        <w:t>财</w:t>
      </w:r>
      <w:r>
        <w:rPr>
          <w:rFonts w:hint="eastAsia" w:ascii="仿宋" w:hAnsi="仿宋" w:eastAsia="仿宋" w:cs="仿宋"/>
          <w:bCs w:val="0"/>
          <w:sz w:val="32"/>
          <w:szCs w:val="32"/>
        </w:rPr>
        <w:t>政拨款支出决算明细表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pPr>
        <w:pStyle w:val="16"/>
        <w:tabs>
          <w:tab w:val="right" w:leader="dot" w:pos="8306"/>
        </w:tabs>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_Toc21707 </w:instrText>
      </w:r>
      <w:r>
        <w:rPr>
          <w:rFonts w:hint="eastAsia" w:ascii="仿宋" w:hAnsi="仿宋" w:eastAsia="仿宋" w:cs="仿宋"/>
          <w:sz w:val="32"/>
          <w:szCs w:val="32"/>
        </w:rPr>
        <w:fldChar w:fldCharType="separate"/>
      </w:r>
      <w:r>
        <w:rPr>
          <w:rFonts w:hint="eastAsia" w:ascii="仿宋" w:hAnsi="仿宋" w:eastAsia="仿宋" w:cs="仿宋"/>
          <w:bCs w:val="0"/>
          <w:sz w:val="32"/>
          <w:szCs w:val="32"/>
        </w:rPr>
        <w:t>六、</w:t>
      </w:r>
      <w:r>
        <w:rPr>
          <w:rFonts w:hint="eastAsia" w:ascii="仿宋" w:hAnsi="仿宋" w:eastAsia="仿宋" w:cs="仿宋"/>
          <w:sz w:val="32"/>
          <w:szCs w:val="32"/>
        </w:rPr>
        <w:t>一</w:t>
      </w:r>
      <w:r>
        <w:rPr>
          <w:rFonts w:hint="eastAsia" w:ascii="仿宋" w:hAnsi="仿宋" w:eastAsia="仿宋" w:cs="仿宋"/>
          <w:bCs w:val="0"/>
          <w:sz w:val="32"/>
          <w:szCs w:val="32"/>
        </w:rPr>
        <w:t>般公共预算财政拨款支出决算表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pPr>
        <w:pStyle w:val="16"/>
        <w:tabs>
          <w:tab w:val="right" w:leader="dot" w:pos="8306"/>
        </w:tabs>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_Toc23489 </w:instrText>
      </w:r>
      <w:r>
        <w:rPr>
          <w:rFonts w:hint="eastAsia" w:ascii="仿宋" w:hAnsi="仿宋" w:eastAsia="仿宋" w:cs="仿宋"/>
          <w:sz w:val="32"/>
          <w:szCs w:val="32"/>
        </w:rPr>
        <w:fldChar w:fldCharType="separate"/>
      </w:r>
      <w:r>
        <w:rPr>
          <w:rFonts w:hint="eastAsia" w:ascii="仿宋" w:hAnsi="仿宋" w:eastAsia="仿宋" w:cs="仿宋"/>
          <w:bCs w:val="0"/>
          <w:sz w:val="32"/>
          <w:szCs w:val="32"/>
        </w:rPr>
        <w:t>七、</w:t>
      </w:r>
      <w:r>
        <w:rPr>
          <w:rFonts w:hint="eastAsia" w:ascii="仿宋" w:hAnsi="仿宋" w:eastAsia="仿宋" w:cs="仿宋"/>
          <w:sz w:val="32"/>
          <w:szCs w:val="32"/>
        </w:rPr>
        <w:t>一</w:t>
      </w:r>
      <w:r>
        <w:rPr>
          <w:rFonts w:hint="eastAsia" w:ascii="仿宋" w:hAnsi="仿宋" w:eastAsia="仿宋" w:cs="仿宋"/>
          <w:bCs w:val="0"/>
          <w:sz w:val="32"/>
          <w:szCs w:val="32"/>
        </w:rPr>
        <w:t>般公共预算财政拨款支出决算明细表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pPr>
        <w:pStyle w:val="16"/>
        <w:tabs>
          <w:tab w:val="right" w:leader="dot" w:pos="8306"/>
        </w:tabs>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_Toc9282 </w:instrText>
      </w:r>
      <w:r>
        <w:rPr>
          <w:rFonts w:hint="eastAsia" w:ascii="仿宋" w:hAnsi="仿宋" w:eastAsia="仿宋" w:cs="仿宋"/>
          <w:sz w:val="32"/>
          <w:szCs w:val="32"/>
        </w:rPr>
        <w:fldChar w:fldCharType="separate"/>
      </w:r>
      <w:r>
        <w:rPr>
          <w:rFonts w:hint="eastAsia" w:ascii="仿宋" w:hAnsi="仿宋" w:eastAsia="仿宋" w:cs="仿宋"/>
          <w:bCs w:val="0"/>
          <w:sz w:val="32"/>
          <w:szCs w:val="32"/>
        </w:rPr>
        <w:t>八、</w:t>
      </w:r>
      <w:r>
        <w:rPr>
          <w:rFonts w:hint="eastAsia" w:ascii="仿宋" w:hAnsi="仿宋" w:eastAsia="仿宋" w:cs="仿宋"/>
          <w:sz w:val="32"/>
          <w:szCs w:val="32"/>
        </w:rPr>
        <w:t>一</w:t>
      </w:r>
      <w:r>
        <w:rPr>
          <w:rFonts w:hint="eastAsia" w:ascii="仿宋" w:hAnsi="仿宋" w:eastAsia="仿宋" w:cs="仿宋"/>
          <w:bCs w:val="0"/>
          <w:sz w:val="32"/>
          <w:szCs w:val="32"/>
        </w:rPr>
        <w:t>般公共预算财政拨款基本支出决算表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pPr>
        <w:pStyle w:val="16"/>
        <w:tabs>
          <w:tab w:val="right" w:leader="dot" w:pos="8306"/>
        </w:tabs>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_Toc323 </w:instrText>
      </w:r>
      <w:r>
        <w:rPr>
          <w:rFonts w:hint="eastAsia" w:ascii="仿宋" w:hAnsi="仿宋" w:eastAsia="仿宋" w:cs="仿宋"/>
          <w:sz w:val="32"/>
          <w:szCs w:val="32"/>
        </w:rPr>
        <w:fldChar w:fldCharType="separate"/>
      </w:r>
      <w:r>
        <w:rPr>
          <w:rFonts w:hint="eastAsia" w:ascii="仿宋" w:hAnsi="仿宋" w:eastAsia="仿宋" w:cs="仿宋"/>
          <w:bCs w:val="0"/>
          <w:sz w:val="32"/>
          <w:szCs w:val="32"/>
        </w:rPr>
        <w:t>九、</w:t>
      </w:r>
      <w:r>
        <w:rPr>
          <w:rFonts w:hint="eastAsia" w:ascii="仿宋" w:hAnsi="仿宋" w:eastAsia="仿宋" w:cs="仿宋"/>
          <w:sz w:val="32"/>
          <w:szCs w:val="32"/>
        </w:rPr>
        <w:t>一</w:t>
      </w:r>
      <w:r>
        <w:rPr>
          <w:rFonts w:hint="eastAsia" w:ascii="仿宋" w:hAnsi="仿宋" w:eastAsia="仿宋" w:cs="仿宋"/>
          <w:bCs w:val="0"/>
          <w:sz w:val="32"/>
          <w:szCs w:val="32"/>
        </w:rPr>
        <w:t>般公共预算财政拨款项目支出决算表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pPr>
        <w:pStyle w:val="16"/>
        <w:tabs>
          <w:tab w:val="right" w:leader="dot" w:pos="8306"/>
        </w:tabs>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_Toc6819 </w:instrText>
      </w:r>
      <w:r>
        <w:rPr>
          <w:rFonts w:hint="eastAsia" w:ascii="仿宋" w:hAnsi="仿宋" w:eastAsia="仿宋" w:cs="仿宋"/>
          <w:sz w:val="32"/>
          <w:szCs w:val="32"/>
        </w:rPr>
        <w:fldChar w:fldCharType="separate"/>
      </w:r>
      <w:r>
        <w:rPr>
          <w:rFonts w:hint="eastAsia" w:ascii="仿宋" w:hAnsi="仿宋" w:eastAsia="仿宋" w:cs="仿宋"/>
          <w:bCs w:val="0"/>
          <w:sz w:val="32"/>
          <w:szCs w:val="32"/>
        </w:rPr>
        <w:t>十、</w:t>
      </w:r>
      <w:r>
        <w:rPr>
          <w:rFonts w:hint="eastAsia" w:ascii="仿宋" w:hAnsi="仿宋" w:eastAsia="仿宋" w:cs="仿宋"/>
          <w:sz w:val="32"/>
          <w:szCs w:val="32"/>
        </w:rPr>
        <w:t>一</w:t>
      </w:r>
      <w:r>
        <w:rPr>
          <w:rFonts w:hint="eastAsia" w:ascii="仿宋" w:hAnsi="仿宋" w:eastAsia="仿宋" w:cs="仿宋"/>
          <w:bCs w:val="0"/>
          <w:sz w:val="32"/>
          <w:szCs w:val="32"/>
        </w:rPr>
        <w:t>般公共预算财政拨款“三公”经费支出决算表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pPr>
        <w:pStyle w:val="16"/>
        <w:tabs>
          <w:tab w:val="right" w:leader="dot" w:pos="8306"/>
        </w:tabs>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_Toc394 </w:instrText>
      </w:r>
      <w:r>
        <w:rPr>
          <w:rFonts w:hint="eastAsia" w:ascii="仿宋" w:hAnsi="仿宋" w:eastAsia="仿宋" w:cs="仿宋"/>
          <w:sz w:val="32"/>
          <w:szCs w:val="32"/>
        </w:rPr>
        <w:fldChar w:fldCharType="separate"/>
      </w:r>
      <w:r>
        <w:rPr>
          <w:rFonts w:hint="eastAsia" w:ascii="仿宋" w:hAnsi="仿宋" w:eastAsia="仿宋" w:cs="仿宋"/>
          <w:bCs w:val="0"/>
          <w:sz w:val="32"/>
          <w:szCs w:val="32"/>
        </w:rPr>
        <w:t>十一、</w:t>
      </w:r>
      <w:r>
        <w:rPr>
          <w:rFonts w:hint="eastAsia" w:ascii="仿宋" w:hAnsi="仿宋" w:eastAsia="仿宋" w:cs="仿宋"/>
          <w:sz w:val="32"/>
          <w:szCs w:val="32"/>
        </w:rPr>
        <w:t>政</w:t>
      </w:r>
      <w:r>
        <w:rPr>
          <w:rFonts w:hint="eastAsia" w:ascii="仿宋" w:hAnsi="仿宋" w:eastAsia="仿宋" w:cs="仿宋"/>
          <w:bCs w:val="0"/>
          <w:sz w:val="32"/>
          <w:szCs w:val="32"/>
        </w:rPr>
        <w:t>府性基金预算财政拨款收入支出决算表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pPr>
        <w:pStyle w:val="16"/>
        <w:tabs>
          <w:tab w:val="right" w:leader="dot" w:pos="8306"/>
        </w:tabs>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_Toc10033 </w:instrText>
      </w:r>
      <w:r>
        <w:rPr>
          <w:rFonts w:hint="eastAsia" w:ascii="仿宋" w:hAnsi="仿宋" w:eastAsia="仿宋" w:cs="仿宋"/>
          <w:sz w:val="32"/>
          <w:szCs w:val="32"/>
        </w:rPr>
        <w:fldChar w:fldCharType="separate"/>
      </w:r>
      <w:r>
        <w:rPr>
          <w:rFonts w:hint="eastAsia" w:ascii="仿宋" w:hAnsi="仿宋" w:eastAsia="仿宋" w:cs="仿宋"/>
          <w:bCs w:val="0"/>
          <w:sz w:val="32"/>
          <w:szCs w:val="32"/>
        </w:rPr>
        <w:t>十二、</w:t>
      </w:r>
      <w:r>
        <w:rPr>
          <w:rFonts w:hint="eastAsia" w:ascii="仿宋" w:hAnsi="仿宋" w:eastAsia="仿宋" w:cs="仿宋"/>
          <w:bCs w:val="0"/>
          <w:caps w:val="0"/>
          <w:smallCaps/>
          <w:spacing w:val="-28"/>
          <w:sz w:val="32"/>
          <w:szCs w:val="32"/>
        </w:rPr>
        <w:t>政府性基金预算财政拨款“三公”经费支出决算表</w:t>
      </w:r>
      <w:r>
        <w:rPr>
          <w:rFonts w:hint="eastAsia" w:ascii="仿宋" w:hAnsi="仿宋" w:eastAsia="仿宋" w:cs="仿宋"/>
          <w:bCs w:val="0"/>
          <w:caps w:val="0"/>
          <w:smallCaps/>
          <w:spacing w:val="-28"/>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pPr>
        <w:pStyle w:val="16"/>
        <w:tabs>
          <w:tab w:val="right" w:leader="dot" w:pos="8306"/>
        </w:tabs>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_Toc3285 </w:instrText>
      </w:r>
      <w:r>
        <w:rPr>
          <w:rFonts w:hint="eastAsia" w:ascii="仿宋" w:hAnsi="仿宋" w:eastAsia="仿宋" w:cs="仿宋"/>
          <w:sz w:val="32"/>
          <w:szCs w:val="32"/>
        </w:rPr>
        <w:fldChar w:fldCharType="separate"/>
      </w:r>
      <w:r>
        <w:rPr>
          <w:rFonts w:hint="eastAsia" w:ascii="仿宋" w:hAnsi="仿宋" w:eastAsia="仿宋" w:cs="仿宋"/>
          <w:bCs w:val="0"/>
          <w:sz w:val="32"/>
          <w:szCs w:val="32"/>
        </w:rPr>
        <w:t>十三、国有资本经营预算财政拨款收入支出决算表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pPr>
        <w:pStyle w:val="16"/>
        <w:tabs>
          <w:tab w:val="right" w:leader="dot" w:pos="8306"/>
        </w:tabs>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_Toc26388 </w:instrText>
      </w:r>
      <w:r>
        <w:rPr>
          <w:rFonts w:hint="eastAsia" w:ascii="仿宋" w:hAnsi="仿宋" w:eastAsia="仿宋" w:cs="仿宋"/>
          <w:sz w:val="32"/>
          <w:szCs w:val="32"/>
        </w:rPr>
        <w:fldChar w:fldCharType="separate"/>
      </w:r>
      <w:r>
        <w:rPr>
          <w:rFonts w:hint="eastAsia" w:ascii="仿宋" w:hAnsi="仿宋" w:eastAsia="仿宋" w:cs="仿宋"/>
          <w:bCs w:val="0"/>
          <w:sz w:val="32"/>
          <w:szCs w:val="32"/>
        </w:rPr>
        <w:t>十四、国有资本经营预算财政拨款支出决算表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pPr>
        <w:pStyle w:val="16"/>
        <w:tabs>
          <w:tab w:val="right" w:leader="dot" w:pos="8296"/>
        </w:tabs>
        <w:outlineLvl w:val="1"/>
        <w:rPr>
          <w:rFonts w:hint="eastAsia" w:ascii="仿宋" w:hAnsi="仿宋" w:eastAsia="仿宋" w:cs="仿宋"/>
          <w:sz w:val="32"/>
          <w:szCs w:val="32"/>
        </w:rPr>
      </w:pPr>
      <w:r>
        <w:rPr>
          <w:rFonts w:hint="eastAsia" w:ascii="仿宋" w:hAnsi="仿宋" w:eastAsia="仿宋" w:cs="仿宋"/>
          <w:sz w:val="32"/>
          <w:szCs w:val="32"/>
        </w:rPr>
        <w:fldChar w:fldCharType="end"/>
      </w:r>
    </w:p>
    <w:p>
      <w:pPr>
        <w:pStyle w:val="16"/>
        <w:tabs>
          <w:tab w:val="right" w:leader="dot" w:pos="8296"/>
        </w:tabs>
        <w:rPr>
          <w:rFonts w:ascii="仿宋" w:hAnsi="仿宋" w:eastAsia="仿宋"/>
          <w:sz w:val="32"/>
          <w:szCs w:val="32"/>
        </w:rPr>
      </w:pPr>
      <w:bookmarkStart w:id="12" w:name="_Toc15396599"/>
      <w:bookmarkStart w:id="13" w:name="_Toc15377196"/>
      <w:r>
        <w:rPr>
          <w:rFonts w:ascii="仿宋" w:hAnsi="仿宋" w:eastAsia="仿宋"/>
          <w:sz w:val="32"/>
          <w:szCs w:val="32"/>
        </w:rPr>
        <w:br w:type="page"/>
      </w:r>
    </w:p>
    <w:p>
      <w:pPr>
        <w:pStyle w:val="2"/>
        <w:jc w:val="center"/>
        <w:rPr>
          <w:rStyle w:val="23"/>
          <w:rFonts w:ascii="黑体" w:hAnsi="黑体" w:eastAsia="黑体"/>
          <w:b/>
          <w:bCs w:val="0"/>
        </w:rPr>
      </w:pPr>
      <w:bookmarkStart w:id="14" w:name="_Toc15062"/>
      <w:bookmarkStart w:id="15" w:name="_Toc32130"/>
      <w:bookmarkStart w:id="16" w:name="_Toc79163601"/>
      <w:bookmarkStart w:id="17" w:name="_Toc7374"/>
      <w:r>
        <w:rPr>
          <w:rFonts w:hint="eastAsia" w:ascii="黑体" w:hAnsi="黑体" w:eastAsia="黑体"/>
          <w:b w:val="0"/>
        </w:rPr>
        <w:t>第一部分</w:t>
      </w:r>
      <w:r>
        <w:rPr>
          <w:rFonts w:ascii="黑体" w:hAnsi="黑体" w:eastAsia="黑体"/>
          <w:b w:val="0"/>
        </w:rPr>
        <w:t xml:space="preserve"> </w:t>
      </w:r>
      <w:r>
        <w:rPr>
          <w:rStyle w:val="23"/>
          <w:rFonts w:hint="eastAsia" w:ascii="黑体" w:hAnsi="黑体" w:eastAsia="黑体"/>
          <w:b w:val="0"/>
          <w:bCs w:val="0"/>
        </w:rPr>
        <w:t>部门概况</w:t>
      </w:r>
      <w:bookmarkEnd w:id="12"/>
      <w:bookmarkEnd w:id="13"/>
      <w:bookmarkEnd w:id="14"/>
      <w:bookmarkEnd w:id="15"/>
      <w:bookmarkEnd w:id="16"/>
      <w:bookmarkEnd w:id="17"/>
    </w:p>
    <w:p>
      <w:pPr>
        <w:pStyle w:val="3"/>
        <w:rPr>
          <w:rStyle w:val="24"/>
          <w:rFonts w:ascii="仿宋" w:hAnsi="仿宋" w:eastAsia="仿宋"/>
          <w:b w:val="0"/>
          <w:bCs w:val="0"/>
        </w:rPr>
      </w:pPr>
      <w:bookmarkStart w:id="18" w:name="_Toc16296"/>
      <w:bookmarkStart w:id="19" w:name="_Toc12429"/>
      <w:bookmarkStart w:id="20" w:name="_Toc15377197"/>
      <w:bookmarkStart w:id="21" w:name="_Toc15396600"/>
      <w:bookmarkStart w:id="22" w:name="_Toc79163602"/>
      <w:bookmarkStart w:id="23" w:name="_Toc19769"/>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8"/>
      <w:bookmarkEnd w:id="19"/>
      <w:bookmarkEnd w:id="20"/>
      <w:bookmarkEnd w:id="21"/>
      <w:bookmarkEnd w:id="22"/>
      <w:bookmarkEnd w:id="23"/>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4" w:name="_Toc24526"/>
      <w:bookmarkStart w:id="25" w:name="_Toc79163603"/>
      <w:bookmarkStart w:id="26" w:name="_Toc15377198"/>
      <w:bookmarkStart w:id="27" w:name="_Toc15378445"/>
      <w:r>
        <w:rPr>
          <w:rFonts w:hint="eastAsia" w:ascii="仿宋" w:hAnsi="仿宋" w:eastAsia="仿宋"/>
          <w:bCs/>
          <w:color w:val="000000"/>
          <w:sz w:val="32"/>
          <w:szCs w:val="32"/>
        </w:rPr>
        <w:t>（一）主要职能</w:t>
      </w:r>
      <w:bookmarkEnd w:id="24"/>
      <w:bookmarkEnd w:id="25"/>
    </w:p>
    <w:bookmarkEnd w:id="26"/>
    <w:bookmarkEnd w:id="27"/>
    <w:p>
      <w:pPr>
        <w:spacing w:line="594" w:lineRule="exact"/>
        <w:ind w:firstLine="640" w:firstLineChars="200"/>
        <w:rPr>
          <w:rFonts w:ascii="仿宋_GB2312" w:eastAsia="仿宋_GB2312"/>
          <w:sz w:val="32"/>
          <w:szCs w:val="32"/>
        </w:rPr>
      </w:pPr>
      <w:bookmarkStart w:id="28" w:name="_Toc15377199"/>
      <w:bookmarkStart w:id="29" w:name="_Toc79163604"/>
      <w:bookmarkStart w:id="30" w:name="_Toc15378446"/>
      <w:r>
        <w:rPr>
          <w:rFonts w:hint="eastAsia" w:ascii="仿宋_GB2312" w:eastAsia="仿宋_GB2312"/>
          <w:sz w:val="32"/>
          <w:szCs w:val="32"/>
        </w:rPr>
        <w:t>1.负责全县市场综合监督管理工作。</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2.负责全县反垄断统一执法。</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3.负责监督管理全县市场秩序。</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4.负责全县宏观质量管理。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5.负责全县产品质量安全监督管理。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6.负责全县特种设备安全监督管理。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7.负责全县食品安全监督管理综合协调。</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8.负责全县食品安全监督管理。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9.负责全县药品、医疗器械和化妆品安全的方针政策和法律法规。</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10.负责监督全县药品、医疗器械和化妆品标准执行和分类管理。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11.负责全县药品、医疗器械和化妆品质量管理。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12.负责全县药品、医疗器械和化妆品监督管理。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13.负责全县药品、医疗器械和化妆品风险管理，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14.依法依授权贯彻执行执业药师相关管理制度。</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15.负责统一管理全县计量工作。</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16.负责统一管理全县标准化工作。</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17.负责统一管理全县认证认可工作。</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18.负责市场监督管理科技和信息化建设。</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19.负责促进全县民营经济发展。</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20.负责查处违反市场监督管理各类法律、法规、规章的行为。</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21.负责监督规范全县检验检测市场。</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22.负责全县市场主体统一登记注册。</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23.负责职责范围内的安全生产和职业健康、生态环境保护、应急联动、审批服务便民化等工作。</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24.完成县委、县政府交办的其他任务。</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31" w:name="_Toc8064"/>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8"/>
      <w:bookmarkEnd w:id="29"/>
      <w:bookmarkEnd w:id="30"/>
      <w:bookmarkEnd w:id="31"/>
    </w:p>
    <w:p>
      <w:pPr>
        <w:snapToGrid w:val="0"/>
        <w:spacing w:line="520" w:lineRule="exact"/>
        <w:ind w:firstLine="421" w:firstLineChars="200"/>
        <w:rPr>
          <w:rFonts w:ascii="仿宋_GB2312" w:hAnsi="仿宋" w:eastAsia="仿宋_GB2312"/>
          <w:sz w:val="32"/>
          <w:szCs w:val="32"/>
        </w:rPr>
      </w:pPr>
      <w:r>
        <w:rPr>
          <w:rFonts w:hint="eastAsia" w:ascii="楷体_GB2312" w:hAnsi="楷体_GB2312" w:eastAsia="楷体_GB2312" w:cs="楷体_GB2312"/>
          <w:b/>
          <w:bCs/>
          <w:szCs w:val="32"/>
          <w:lang w:val="zh-CN"/>
        </w:rPr>
        <w:t>　</w:t>
      </w:r>
      <w:r>
        <w:rPr>
          <w:rFonts w:hint="eastAsia" w:ascii="仿宋_GB2312" w:hAnsi="仿宋" w:eastAsia="仿宋_GB2312"/>
          <w:sz w:val="32"/>
          <w:szCs w:val="32"/>
        </w:rPr>
        <w:t>１</w:t>
      </w:r>
      <w:r>
        <w:rPr>
          <w:rFonts w:hint="eastAsia" w:ascii="仿宋_GB2312" w:hAnsi="仿宋" w:eastAsia="仿宋_GB2312"/>
          <w:sz w:val="32"/>
          <w:szCs w:val="32"/>
          <w:lang w:val="en-US" w:eastAsia="zh-CN"/>
        </w:rPr>
        <w:t>.</w:t>
      </w:r>
      <w:r>
        <w:rPr>
          <w:rFonts w:hint="eastAsia" w:ascii="仿宋_GB2312" w:hAnsi="仿宋" w:eastAsia="仿宋_GB2312"/>
          <w:sz w:val="32"/>
          <w:szCs w:val="32"/>
        </w:rPr>
        <w:t>继续做好市场准入和行政许可工作。</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２</w:t>
      </w:r>
      <w:r>
        <w:rPr>
          <w:rFonts w:hint="eastAsia" w:ascii="仿宋_GB2312" w:hAnsi="仿宋" w:eastAsia="仿宋_GB2312"/>
          <w:sz w:val="32"/>
          <w:szCs w:val="32"/>
          <w:lang w:val="en-US" w:eastAsia="zh-CN"/>
        </w:rPr>
        <w:t>.</w:t>
      </w:r>
      <w:r>
        <w:rPr>
          <w:rFonts w:hint="eastAsia" w:ascii="仿宋_GB2312" w:hAnsi="仿宋" w:eastAsia="仿宋_GB2312"/>
          <w:sz w:val="32"/>
          <w:szCs w:val="32"/>
        </w:rPr>
        <w:t>加大各类市场的监管力度。严厉打击虚假宣传及诱导消费行为，切实保护消费者合法权益。</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３</w:t>
      </w:r>
      <w:r>
        <w:rPr>
          <w:rFonts w:hint="eastAsia" w:ascii="仿宋_GB2312" w:hAnsi="仿宋" w:eastAsia="仿宋_GB2312"/>
          <w:sz w:val="32"/>
          <w:szCs w:val="32"/>
          <w:lang w:val="en-US" w:eastAsia="zh-CN"/>
        </w:rPr>
        <w:t>.</w:t>
      </w:r>
      <w:r>
        <w:rPr>
          <w:rFonts w:hint="eastAsia" w:ascii="仿宋_GB2312" w:hAnsi="仿宋" w:eastAsia="仿宋_GB2312"/>
          <w:sz w:val="32"/>
          <w:szCs w:val="32"/>
        </w:rPr>
        <w:t>切实做好旅游市场监管工作。</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４</w:t>
      </w:r>
      <w:r>
        <w:rPr>
          <w:rFonts w:hint="eastAsia" w:ascii="仿宋_GB2312" w:hAnsi="仿宋" w:eastAsia="仿宋_GB2312"/>
          <w:sz w:val="32"/>
          <w:szCs w:val="32"/>
          <w:lang w:val="en-US" w:eastAsia="zh-CN"/>
        </w:rPr>
        <w:t>.</w:t>
      </w:r>
      <w:r>
        <w:rPr>
          <w:rFonts w:hint="eastAsia" w:ascii="仿宋_GB2312" w:hAnsi="仿宋" w:eastAsia="仿宋_GB2312"/>
          <w:sz w:val="32"/>
          <w:szCs w:val="32"/>
        </w:rPr>
        <w:t>加强食品药品安全监管工作。</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５</w:t>
      </w:r>
      <w:r>
        <w:rPr>
          <w:rFonts w:hint="eastAsia" w:ascii="仿宋_GB2312" w:hAnsi="仿宋" w:eastAsia="仿宋_GB2312"/>
          <w:sz w:val="32"/>
          <w:szCs w:val="32"/>
          <w:lang w:val="en-US" w:eastAsia="zh-CN"/>
        </w:rPr>
        <w:t>.</w:t>
      </w:r>
      <w:r>
        <w:rPr>
          <w:rFonts w:hint="eastAsia" w:ascii="仿宋_GB2312" w:hAnsi="仿宋" w:eastAsia="仿宋_GB2312"/>
          <w:sz w:val="32"/>
          <w:szCs w:val="32"/>
        </w:rPr>
        <w:t>加强餐饮服务环节食品安全监管工作。</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６</w:t>
      </w:r>
      <w:r>
        <w:rPr>
          <w:rFonts w:hint="eastAsia" w:ascii="仿宋_GB2312" w:hAnsi="仿宋" w:eastAsia="仿宋_GB2312"/>
          <w:sz w:val="32"/>
          <w:szCs w:val="32"/>
          <w:lang w:val="en-US" w:eastAsia="zh-CN"/>
        </w:rPr>
        <w:t>.</w:t>
      </w:r>
      <w:r>
        <w:rPr>
          <w:rFonts w:hint="eastAsia" w:ascii="仿宋_GB2312" w:hAnsi="仿宋" w:eastAsia="仿宋_GB2312"/>
          <w:sz w:val="32"/>
          <w:szCs w:val="32"/>
        </w:rPr>
        <w:t>加强质量计量监督检查管理。</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７</w:t>
      </w:r>
      <w:r>
        <w:rPr>
          <w:rFonts w:hint="eastAsia" w:ascii="仿宋_GB2312" w:hAnsi="仿宋" w:eastAsia="仿宋_GB2312"/>
          <w:sz w:val="32"/>
          <w:szCs w:val="32"/>
          <w:lang w:val="en-US" w:eastAsia="zh-CN"/>
        </w:rPr>
        <w:t>.</w:t>
      </w:r>
      <w:r>
        <w:rPr>
          <w:rFonts w:hint="eastAsia" w:ascii="仿宋_GB2312" w:hAnsi="仿宋" w:eastAsia="仿宋_GB2312"/>
          <w:sz w:val="32"/>
          <w:szCs w:val="32"/>
        </w:rPr>
        <w:t>加强特种设备安全监管工作。</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８</w:t>
      </w:r>
      <w:r>
        <w:rPr>
          <w:rFonts w:hint="eastAsia" w:ascii="仿宋_GB2312" w:hAnsi="仿宋" w:eastAsia="仿宋_GB2312"/>
          <w:sz w:val="32"/>
          <w:szCs w:val="32"/>
          <w:lang w:val="en-US" w:eastAsia="zh-CN"/>
        </w:rPr>
        <w:t>.</w:t>
      </w:r>
      <w:r>
        <w:rPr>
          <w:rFonts w:hint="eastAsia" w:ascii="仿宋_GB2312" w:hAnsi="仿宋" w:eastAsia="仿宋_GB2312"/>
          <w:sz w:val="32"/>
          <w:szCs w:val="32"/>
        </w:rPr>
        <w:t>加强市场主体、网络监管及民营经济服务工作。</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9</w:t>
      </w:r>
      <w:r>
        <w:rPr>
          <w:rFonts w:hint="eastAsia" w:ascii="仿宋_GB2312" w:hAnsi="仿宋" w:eastAsia="仿宋_GB2312"/>
          <w:sz w:val="32"/>
          <w:szCs w:val="32"/>
          <w:lang w:val="en-US" w:eastAsia="zh-CN"/>
        </w:rPr>
        <w:t>.</w:t>
      </w:r>
      <w:r>
        <w:rPr>
          <w:rFonts w:hint="eastAsia" w:ascii="仿宋_GB2312" w:hAnsi="仿宋" w:eastAsia="仿宋_GB2312"/>
          <w:sz w:val="32"/>
          <w:szCs w:val="32"/>
        </w:rPr>
        <w:t>做好放心舒心、红盾春雷行动、消费者维权及扫黑除恶工作。</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10</w:t>
      </w:r>
      <w:r>
        <w:rPr>
          <w:rFonts w:hint="eastAsia" w:ascii="仿宋_GB2312" w:hAnsi="仿宋" w:eastAsia="仿宋_GB2312"/>
          <w:sz w:val="32"/>
          <w:szCs w:val="32"/>
          <w:lang w:val="en-US" w:eastAsia="zh-CN"/>
        </w:rPr>
        <w:t>.</w:t>
      </w:r>
      <w:r>
        <w:rPr>
          <w:rFonts w:hint="eastAsia" w:ascii="仿宋_GB2312" w:hAnsi="仿宋" w:eastAsia="仿宋_GB2312"/>
          <w:sz w:val="32"/>
          <w:szCs w:val="32"/>
        </w:rPr>
        <w:t>做好每年抽检工作。</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11</w:t>
      </w:r>
      <w:r>
        <w:rPr>
          <w:rFonts w:hint="eastAsia" w:ascii="仿宋_GB2312" w:hAnsi="仿宋" w:eastAsia="仿宋_GB2312"/>
          <w:sz w:val="32"/>
          <w:szCs w:val="32"/>
          <w:lang w:val="en-US" w:eastAsia="zh-CN"/>
        </w:rPr>
        <w:t>.</w:t>
      </w:r>
      <w:r>
        <w:rPr>
          <w:rFonts w:hint="eastAsia" w:ascii="仿宋_GB2312" w:hAnsi="仿宋" w:eastAsia="仿宋_GB2312"/>
          <w:sz w:val="32"/>
          <w:szCs w:val="32"/>
        </w:rPr>
        <w:t>做好疫情期间的相关工作。</w:t>
      </w:r>
    </w:p>
    <w:p>
      <w:pPr>
        <w:pStyle w:val="3"/>
        <w:rPr>
          <w:rStyle w:val="24"/>
          <w:b w:val="0"/>
          <w:bCs w:val="0"/>
        </w:rPr>
      </w:pPr>
      <w:bookmarkStart w:id="32" w:name="_Toc15377200"/>
      <w:bookmarkStart w:id="33" w:name="_Toc4412"/>
      <w:bookmarkStart w:id="34" w:name="_Toc19751"/>
      <w:bookmarkStart w:id="35" w:name="_Toc15396601"/>
      <w:bookmarkStart w:id="36" w:name="_Toc79163605"/>
      <w:bookmarkStart w:id="37" w:name="_Toc19026"/>
      <w:r>
        <w:rPr>
          <w:rFonts w:hint="eastAsia" w:ascii="黑体" w:eastAsia="黑体"/>
          <w:b w:val="0"/>
          <w:color w:val="000000"/>
        </w:rPr>
        <w:t>二、</w:t>
      </w:r>
      <w:r>
        <w:rPr>
          <w:rFonts w:hint="eastAsia" w:ascii="黑体" w:hAnsi="黑体" w:eastAsia="黑体"/>
          <w:b w:val="0"/>
          <w:color w:val="000000"/>
        </w:rPr>
        <w:t>机</w:t>
      </w:r>
      <w:r>
        <w:rPr>
          <w:rStyle w:val="24"/>
          <w:rFonts w:hint="eastAsia" w:ascii="黑体" w:hAnsi="黑体" w:eastAsia="黑体"/>
          <w:b w:val="0"/>
          <w:bCs w:val="0"/>
        </w:rPr>
        <w:t>构设置</w:t>
      </w:r>
      <w:bookmarkEnd w:id="32"/>
      <w:bookmarkEnd w:id="33"/>
      <w:bookmarkEnd w:id="34"/>
      <w:bookmarkEnd w:id="35"/>
      <w:bookmarkEnd w:id="36"/>
      <w:bookmarkEnd w:id="37"/>
    </w:p>
    <w:p>
      <w:pPr>
        <w:ind w:firstLine="640" w:firstLineChars="200"/>
        <w:rPr>
          <w:rFonts w:ascii="仿宋" w:hAnsi="仿宋" w:eastAsia="仿宋"/>
          <w:sz w:val="32"/>
          <w:szCs w:val="32"/>
        </w:rPr>
      </w:pPr>
      <w:r>
        <w:rPr>
          <w:rFonts w:hint="eastAsia" w:ascii="仿宋" w:hAnsi="仿宋" w:eastAsia="仿宋"/>
          <w:sz w:val="32"/>
          <w:szCs w:val="32"/>
        </w:rPr>
        <w:t>茂县市场监督管理局下属二级单位4个，其中参照公务员法管理的事业单位</w:t>
      </w:r>
      <w:r>
        <w:rPr>
          <w:rFonts w:hint="eastAsia" w:ascii="仿宋" w:hAnsi="仿宋" w:eastAsia="仿宋"/>
          <w:bCs/>
          <w:sz w:val="32"/>
          <w:szCs w:val="32"/>
        </w:rPr>
        <w:t>1</w:t>
      </w:r>
      <w:r>
        <w:rPr>
          <w:rFonts w:hint="eastAsia" w:ascii="仿宋" w:hAnsi="仿宋" w:eastAsia="仿宋"/>
          <w:sz w:val="32"/>
          <w:szCs w:val="32"/>
        </w:rPr>
        <w:t>个，其他事业单位3个。</w:t>
      </w:r>
    </w:p>
    <w:p>
      <w:pPr>
        <w:pStyle w:val="6"/>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纳入茂县市场监督管理局</w:t>
      </w:r>
      <w:r>
        <w:rPr>
          <w:rFonts w:ascii="仿宋" w:hAnsi="仿宋" w:eastAsia="仿宋"/>
          <w:color w:val="000000"/>
          <w:sz w:val="32"/>
          <w:szCs w:val="32"/>
        </w:rPr>
        <w:t>2020</w:t>
      </w:r>
      <w:r>
        <w:rPr>
          <w:rFonts w:hint="eastAsia" w:ascii="仿宋" w:hAnsi="仿宋" w:eastAsia="仿宋"/>
          <w:color w:val="000000"/>
          <w:sz w:val="32"/>
          <w:szCs w:val="32"/>
        </w:rPr>
        <w:t>年度部门决算编制范围的二级预算单位包括：</w:t>
      </w:r>
    </w:p>
    <w:p>
      <w:pPr>
        <w:pStyle w:val="6"/>
        <w:numPr>
          <w:ilvl w:val="0"/>
          <w:numId w:val="1"/>
        </w:numPr>
        <w:adjustRightInd w:val="0"/>
        <w:snapToGrid w:val="0"/>
        <w:spacing w:before="93" w:line="600" w:lineRule="exact"/>
        <w:outlineLvl w:val="2"/>
        <w:rPr>
          <w:rFonts w:ascii="仿宋" w:hAnsi="仿宋" w:eastAsia="仿宋"/>
          <w:color w:val="000000"/>
          <w:sz w:val="32"/>
          <w:szCs w:val="32"/>
        </w:rPr>
      </w:pPr>
      <w:bookmarkStart w:id="38" w:name="_Ref82792652"/>
      <w:bookmarkStart w:id="39" w:name="_Toc7680"/>
      <w:r>
        <w:rPr>
          <w:rFonts w:hint="eastAsia" w:ascii="仿宋" w:hAnsi="仿宋" w:eastAsia="仿宋"/>
          <w:color w:val="000000"/>
          <w:sz w:val="32"/>
          <w:szCs w:val="32"/>
        </w:rPr>
        <w:t>茂县消委会管理服务中心。</w:t>
      </w:r>
      <w:bookmarkEnd w:id="38"/>
      <w:bookmarkEnd w:id="39"/>
    </w:p>
    <w:p>
      <w:pPr>
        <w:pStyle w:val="2"/>
        <w:ind w:right="440"/>
        <w:jc w:val="right"/>
        <w:rPr>
          <w:rStyle w:val="23"/>
          <w:rFonts w:ascii="黑体" w:hAnsi="黑体" w:eastAsia="黑体"/>
          <w:b w:val="0"/>
          <w:bCs w:val="0"/>
        </w:rPr>
      </w:pPr>
      <w:bookmarkStart w:id="40" w:name="_Toc15396602"/>
      <w:bookmarkStart w:id="41" w:name="_Toc15377204"/>
      <w:bookmarkStart w:id="42" w:name="_Toc79163609"/>
      <w:bookmarkStart w:id="43" w:name="_Toc28653"/>
      <w:bookmarkStart w:id="44" w:name="_Toc15495"/>
      <w:bookmarkStart w:id="45" w:name="_Toc13434"/>
      <w:r>
        <w:rPr>
          <w:rFonts w:hint="eastAsia" w:ascii="黑体" w:hAnsi="黑体" w:eastAsia="黑体"/>
          <w:b w:val="0"/>
          <w:color w:val="000000"/>
        </w:rPr>
        <w:t>第二部分</w:t>
      </w:r>
      <w:r>
        <w:rPr>
          <w:rFonts w:ascii="黑体" w:hAnsi="黑体" w:eastAsia="黑体"/>
          <w:color w:val="000000"/>
        </w:rPr>
        <w:t xml:space="preserve"> </w:t>
      </w:r>
      <w:r>
        <w:rPr>
          <w:rStyle w:val="23"/>
          <w:rFonts w:ascii="黑体" w:hAnsi="黑体" w:eastAsia="黑体"/>
          <w:b w:val="0"/>
          <w:bCs w:val="0"/>
        </w:rPr>
        <w:t>2020</w:t>
      </w:r>
      <w:r>
        <w:rPr>
          <w:rStyle w:val="23"/>
          <w:rFonts w:hint="eastAsia" w:ascii="黑体" w:hAnsi="黑体" w:eastAsia="黑体"/>
          <w:b w:val="0"/>
          <w:bCs w:val="0"/>
        </w:rPr>
        <w:t>年度部门决算情况说明</w:t>
      </w:r>
      <w:bookmarkEnd w:id="40"/>
      <w:bookmarkEnd w:id="41"/>
      <w:bookmarkEnd w:id="42"/>
      <w:bookmarkEnd w:id="43"/>
      <w:bookmarkEnd w:id="44"/>
      <w:bookmarkEnd w:id="45"/>
    </w:p>
    <w:p/>
    <w:p>
      <w:pPr>
        <w:pStyle w:val="34"/>
        <w:numPr>
          <w:ilvl w:val="0"/>
          <w:numId w:val="2"/>
        </w:numPr>
        <w:spacing w:line="600" w:lineRule="exact"/>
        <w:ind w:firstLineChars="0"/>
        <w:outlineLvl w:val="1"/>
        <w:rPr>
          <w:rStyle w:val="24"/>
          <w:rFonts w:ascii="黑体" w:hAnsi="黑体" w:eastAsia="黑体"/>
          <w:b w:val="0"/>
        </w:rPr>
      </w:pPr>
      <w:bookmarkStart w:id="46" w:name="_Toc15396603"/>
      <w:bookmarkStart w:id="47" w:name="_Toc15377205"/>
      <w:bookmarkStart w:id="48" w:name="_Toc79163610"/>
      <w:bookmarkStart w:id="49" w:name="_Toc15189"/>
      <w:bookmarkStart w:id="50" w:name="_Toc21163"/>
      <w:bookmarkStart w:id="51" w:name="_Toc11202"/>
      <w:r>
        <w:rPr>
          <w:rFonts w:hint="eastAsia" w:ascii="黑体" w:hAnsi="黑体" w:eastAsia="黑体"/>
          <w:color w:val="000000"/>
          <w:sz w:val="32"/>
          <w:szCs w:val="32"/>
        </w:rPr>
        <w:t>收</w:t>
      </w:r>
      <w:r>
        <w:rPr>
          <w:rStyle w:val="24"/>
          <w:rFonts w:hint="eastAsia" w:ascii="黑体" w:hAnsi="黑体" w:eastAsia="黑体"/>
          <w:b w:val="0"/>
        </w:rPr>
        <w:t>入支出决算总体情况说明</w:t>
      </w:r>
      <w:bookmarkEnd w:id="46"/>
      <w:bookmarkEnd w:id="47"/>
      <w:bookmarkEnd w:id="48"/>
      <w:bookmarkEnd w:id="49"/>
      <w:bookmarkEnd w:id="50"/>
      <w:bookmarkEnd w:id="51"/>
    </w:p>
    <w:p>
      <w:pPr>
        <w:spacing w:line="594" w:lineRule="exact"/>
        <w:ind w:firstLine="640" w:firstLineChars="200"/>
        <w:outlineLvl w:val="1"/>
        <w:rPr>
          <w:rFonts w:ascii="仿宋_GB2312" w:hAnsi="楷体" w:eastAsia="仿宋_GB2312"/>
          <w:color w:val="000000"/>
          <w:sz w:val="32"/>
          <w:szCs w:val="32"/>
        </w:rPr>
      </w:pPr>
      <w:bookmarkStart w:id="52" w:name="_Toc19304"/>
      <w:bookmarkStart w:id="53" w:name="_Toc11173"/>
      <w:bookmarkStart w:id="54" w:name="_Toc9771"/>
      <w:bookmarkStart w:id="55" w:name="_Toc51662566"/>
      <w:bookmarkStart w:id="56" w:name="_Toc51662754"/>
      <w:bookmarkStart w:id="57" w:name="_Toc22319"/>
      <w:r>
        <w:rPr>
          <w:rFonts w:hint="eastAsia" w:ascii="仿宋_GB2312" w:hAnsi="楷体" w:eastAsia="仿宋_GB2312"/>
          <w:color w:val="000000"/>
          <w:sz w:val="32"/>
          <w:szCs w:val="32"/>
        </w:rPr>
        <w:t>2020年本年收入合计1060.26万元，与2019年相比下降66.06万元，</w:t>
      </w:r>
      <w:r>
        <w:rPr>
          <w:rFonts w:hint="eastAsia" w:ascii="仿宋_GB2312" w:hAnsi="楷体" w:eastAsia="仿宋_GB2312"/>
          <w:color w:val="000000"/>
          <w:sz w:val="32"/>
          <w:szCs w:val="32"/>
          <w:lang w:eastAsia="zh-CN"/>
        </w:rPr>
        <w:t>下降</w:t>
      </w:r>
      <w:r>
        <w:rPr>
          <w:rFonts w:hint="eastAsia" w:ascii="仿宋_GB2312" w:hAnsi="楷体" w:eastAsia="仿宋_GB2312"/>
          <w:color w:val="000000"/>
          <w:sz w:val="32"/>
          <w:szCs w:val="32"/>
          <w:lang w:val="en-US" w:eastAsia="zh-CN"/>
        </w:rPr>
        <w:t>5.87%，</w:t>
      </w:r>
      <w:r>
        <w:rPr>
          <w:rFonts w:hint="eastAsia" w:ascii="仿宋_GB2312" w:hAnsi="楷体" w:eastAsia="仿宋_GB2312"/>
          <w:color w:val="000000"/>
          <w:sz w:val="32"/>
          <w:szCs w:val="32"/>
        </w:rPr>
        <w:t>主要原因是机构改革，人员减少。</w:t>
      </w:r>
      <w:bookmarkEnd w:id="52"/>
      <w:bookmarkEnd w:id="53"/>
      <w:bookmarkEnd w:id="54"/>
      <w:bookmarkEnd w:id="55"/>
      <w:bookmarkEnd w:id="56"/>
      <w:bookmarkEnd w:id="57"/>
    </w:p>
    <w:p>
      <w:pPr>
        <w:spacing w:line="594" w:lineRule="exact"/>
        <w:ind w:firstLine="640" w:firstLineChars="200"/>
        <w:outlineLvl w:val="1"/>
        <w:rPr>
          <w:rFonts w:ascii="仿宋_GB2312" w:hAnsi="楷体" w:eastAsia="仿宋_GB2312"/>
          <w:color w:val="000000"/>
          <w:sz w:val="32"/>
          <w:szCs w:val="32"/>
        </w:rPr>
      </w:pPr>
      <w:r>
        <w:rPr>
          <w:rFonts w:hint="eastAsia" w:ascii="仿宋_GB2312" w:hAnsi="楷体" w:eastAsia="仿宋_GB2312"/>
          <w:color w:val="000000"/>
          <w:sz w:val="32"/>
          <w:szCs w:val="32"/>
        </w:rPr>
        <w:drawing>
          <wp:anchor distT="0" distB="0" distL="114300" distR="114300" simplePos="0" relativeHeight="251659264" behindDoc="0" locked="0" layoutInCell="1" allowOverlap="1">
            <wp:simplePos x="0" y="0"/>
            <wp:positionH relativeFrom="column">
              <wp:posOffset>253365</wp:posOffset>
            </wp:positionH>
            <wp:positionV relativeFrom="paragraph">
              <wp:posOffset>80645</wp:posOffset>
            </wp:positionV>
            <wp:extent cx="5060950" cy="2877185"/>
            <wp:effectExtent l="4445" t="4445" r="20955" b="1397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594" w:lineRule="exact"/>
        <w:ind w:firstLine="640" w:firstLineChars="200"/>
        <w:outlineLvl w:val="1"/>
        <w:rPr>
          <w:rFonts w:ascii="仿宋_GB2312" w:hAnsi="楷体" w:eastAsia="仿宋_GB2312"/>
          <w:color w:val="000000"/>
          <w:sz w:val="32"/>
          <w:szCs w:val="32"/>
        </w:rPr>
      </w:pPr>
    </w:p>
    <w:p>
      <w:pPr>
        <w:spacing w:line="594" w:lineRule="exact"/>
        <w:ind w:firstLine="640" w:firstLineChars="200"/>
        <w:outlineLvl w:val="1"/>
        <w:rPr>
          <w:rFonts w:ascii="仿宋_GB2312" w:hAnsi="楷体" w:eastAsia="仿宋_GB2312"/>
          <w:color w:val="000000"/>
          <w:sz w:val="32"/>
          <w:szCs w:val="32"/>
        </w:rPr>
      </w:pPr>
    </w:p>
    <w:p>
      <w:pPr>
        <w:spacing w:line="594" w:lineRule="exact"/>
        <w:ind w:firstLine="640" w:firstLineChars="200"/>
        <w:outlineLvl w:val="1"/>
        <w:rPr>
          <w:rFonts w:ascii="仿宋_GB2312" w:hAnsi="楷体" w:eastAsia="仿宋_GB2312"/>
          <w:color w:val="000000"/>
          <w:sz w:val="32"/>
          <w:szCs w:val="32"/>
        </w:rPr>
      </w:pPr>
    </w:p>
    <w:p>
      <w:pPr>
        <w:spacing w:line="594" w:lineRule="exact"/>
        <w:ind w:firstLine="640" w:firstLineChars="200"/>
        <w:outlineLvl w:val="1"/>
        <w:rPr>
          <w:rFonts w:ascii="仿宋_GB2312" w:hAnsi="楷体" w:eastAsia="仿宋_GB2312"/>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594" w:lineRule="exact"/>
        <w:ind w:firstLine="640" w:firstLineChars="200"/>
        <w:outlineLvl w:val="1"/>
        <w:rPr>
          <w:rFonts w:ascii="仿宋_GB2312" w:hAnsi="楷体" w:eastAsia="仿宋_GB2312"/>
          <w:color w:val="000000"/>
          <w:sz w:val="32"/>
          <w:szCs w:val="32"/>
        </w:rPr>
      </w:pPr>
      <w:bookmarkStart w:id="58" w:name="_Toc5623"/>
      <w:bookmarkStart w:id="59" w:name="_Toc51662755"/>
      <w:bookmarkStart w:id="60" w:name="_Toc29710"/>
      <w:bookmarkStart w:id="61" w:name="_Toc16053"/>
      <w:bookmarkStart w:id="62" w:name="_Toc51662567"/>
      <w:bookmarkStart w:id="63" w:name="_Toc3469"/>
      <w:r>
        <w:rPr>
          <w:rFonts w:hint="eastAsia" w:ascii="仿宋" w:hAnsi="仿宋" w:eastAsia="仿宋"/>
          <w:color w:val="000000"/>
          <w:sz w:val="32"/>
          <w:szCs w:val="32"/>
        </w:rPr>
        <w:drawing>
          <wp:anchor distT="0" distB="0" distL="114300" distR="114300" simplePos="0" relativeHeight="251660288" behindDoc="0" locked="0" layoutInCell="1" allowOverlap="1">
            <wp:simplePos x="0" y="0"/>
            <wp:positionH relativeFrom="column">
              <wp:posOffset>102235</wp:posOffset>
            </wp:positionH>
            <wp:positionV relativeFrom="paragraph">
              <wp:posOffset>1098550</wp:posOffset>
            </wp:positionV>
            <wp:extent cx="4883150" cy="2579370"/>
            <wp:effectExtent l="4445" t="4445" r="19685" b="698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hAnsi="楷体" w:eastAsia="仿宋_GB2312"/>
          <w:color w:val="000000"/>
          <w:sz w:val="32"/>
          <w:szCs w:val="32"/>
        </w:rPr>
        <w:t>2020年本年支出合计1034.27万元，与2019年相比下降33.74万元，</w:t>
      </w:r>
      <w:r>
        <w:rPr>
          <w:rFonts w:hint="eastAsia" w:ascii="仿宋_GB2312" w:hAnsi="楷体" w:eastAsia="仿宋_GB2312"/>
          <w:color w:val="000000"/>
          <w:sz w:val="32"/>
          <w:szCs w:val="32"/>
          <w:lang w:eastAsia="zh-CN"/>
        </w:rPr>
        <w:t>下降</w:t>
      </w:r>
      <w:r>
        <w:rPr>
          <w:rFonts w:hint="eastAsia" w:ascii="仿宋_GB2312" w:hAnsi="楷体" w:eastAsia="仿宋_GB2312"/>
          <w:color w:val="000000"/>
          <w:sz w:val="32"/>
          <w:szCs w:val="32"/>
          <w:lang w:val="en-US" w:eastAsia="zh-CN"/>
        </w:rPr>
        <w:t>3.16%，</w:t>
      </w:r>
      <w:r>
        <w:rPr>
          <w:rFonts w:hint="eastAsia" w:ascii="仿宋_GB2312" w:hAnsi="楷体" w:eastAsia="仿宋_GB2312"/>
          <w:color w:val="000000"/>
          <w:sz w:val="32"/>
          <w:szCs w:val="32"/>
        </w:rPr>
        <w:t>主要原因：机构改革，人员减少。</w:t>
      </w:r>
      <w:bookmarkEnd w:id="58"/>
      <w:bookmarkEnd w:id="59"/>
      <w:bookmarkEnd w:id="60"/>
      <w:bookmarkEnd w:id="61"/>
      <w:bookmarkEnd w:id="62"/>
      <w:bookmarkEnd w:id="63"/>
    </w:p>
    <w:p>
      <w:pPr>
        <w:spacing w:line="594" w:lineRule="exact"/>
        <w:ind w:firstLine="640" w:firstLineChars="200"/>
        <w:outlineLvl w:val="1"/>
        <w:rPr>
          <w:rFonts w:ascii="仿宋_GB2312" w:hAnsi="楷体" w:eastAsia="仿宋_GB2312"/>
          <w:color w:val="000000"/>
          <w:sz w:val="32"/>
          <w:szCs w:val="32"/>
        </w:rPr>
      </w:pPr>
    </w:p>
    <w:p>
      <w:pPr>
        <w:spacing w:line="594" w:lineRule="exact"/>
        <w:ind w:firstLine="640" w:firstLineChars="200"/>
        <w:outlineLvl w:val="1"/>
        <w:rPr>
          <w:rFonts w:ascii="仿宋_GB2312" w:hAnsi="楷体" w:eastAsia="仿宋_GB2312"/>
          <w:color w:val="000000"/>
          <w:sz w:val="32"/>
          <w:szCs w:val="32"/>
        </w:rPr>
      </w:pPr>
    </w:p>
    <w:p>
      <w:pPr>
        <w:spacing w:line="594" w:lineRule="exact"/>
        <w:ind w:firstLine="640" w:firstLineChars="200"/>
        <w:outlineLvl w:val="1"/>
        <w:rPr>
          <w:rFonts w:ascii="仿宋_GB2312" w:hAnsi="楷体" w:eastAsia="仿宋_GB2312"/>
          <w:color w:val="000000"/>
          <w:sz w:val="32"/>
          <w:szCs w:val="32"/>
        </w:rPr>
      </w:pPr>
    </w:p>
    <w:p>
      <w:pPr>
        <w:spacing w:line="594" w:lineRule="exact"/>
        <w:ind w:firstLine="640" w:firstLineChars="200"/>
        <w:outlineLvl w:val="1"/>
        <w:rPr>
          <w:rFonts w:ascii="仿宋_GB2312" w:hAnsi="楷体" w:eastAsia="仿宋_GB2312"/>
          <w:color w:val="000000"/>
          <w:sz w:val="32"/>
          <w:szCs w:val="32"/>
        </w:rPr>
      </w:pPr>
    </w:p>
    <w:p>
      <w:pPr>
        <w:spacing w:line="594" w:lineRule="exact"/>
        <w:ind w:firstLine="640" w:firstLineChars="200"/>
        <w:outlineLvl w:val="1"/>
        <w:rPr>
          <w:rFonts w:ascii="仿宋_GB2312" w:hAnsi="楷体" w:eastAsia="仿宋_GB2312"/>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pStyle w:val="34"/>
        <w:numPr>
          <w:ilvl w:val="0"/>
          <w:numId w:val="2"/>
        </w:numPr>
        <w:spacing w:line="600" w:lineRule="exact"/>
        <w:ind w:firstLineChars="0"/>
        <w:outlineLvl w:val="1"/>
        <w:rPr>
          <w:rStyle w:val="24"/>
          <w:rFonts w:ascii="黑体" w:hAnsi="黑体" w:eastAsia="黑体"/>
          <w:b w:val="0"/>
        </w:rPr>
      </w:pPr>
      <w:bookmarkStart w:id="64" w:name="_Toc79163611"/>
      <w:bookmarkStart w:id="65" w:name="_Toc15377206"/>
      <w:bookmarkStart w:id="66" w:name="_Toc15396604"/>
      <w:bookmarkStart w:id="67" w:name="_Toc24496"/>
      <w:bookmarkStart w:id="68" w:name="_Toc18690"/>
      <w:bookmarkStart w:id="69" w:name="_Toc3627"/>
      <w:r>
        <w:rPr>
          <w:rFonts w:hint="eastAsia" w:ascii="黑体" w:hAnsi="黑体" w:eastAsia="黑体"/>
          <w:color w:val="000000"/>
          <w:sz w:val="32"/>
          <w:szCs w:val="32"/>
        </w:rPr>
        <w:t>收</w:t>
      </w:r>
      <w:r>
        <w:rPr>
          <w:rStyle w:val="24"/>
          <w:rFonts w:hint="eastAsia" w:ascii="黑体" w:hAnsi="黑体" w:eastAsia="黑体"/>
          <w:b w:val="0"/>
        </w:rPr>
        <w:t>入决算情况说明</w:t>
      </w:r>
      <w:bookmarkEnd w:id="64"/>
      <w:bookmarkEnd w:id="65"/>
      <w:bookmarkEnd w:id="66"/>
      <w:bookmarkEnd w:id="67"/>
      <w:bookmarkEnd w:id="68"/>
      <w:bookmarkEnd w:id="6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年本年收入合计1060.26万元，其中：一般公共预算财政拨款收入1050.26万元，占99</w:t>
      </w:r>
      <w:r>
        <w:rPr>
          <w:rFonts w:ascii="仿宋" w:hAnsi="仿宋" w:eastAsia="仿宋"/>
          <w:color w:val="000000"/>
          <w:sz w:val="32"/>
          <w:szCs w:val="32"/>
        </w:rPr>
        <w:t>%</w:t>
      </w:r>
      <w:r>
        <w:rPr>
          <w:rFonts w:hint="eastAsia" w:ascii="仿宋" w:hAnsi="仿宋" w:eastAsia="仿宋"/>
          <w:color w:val="000000"/>
          <w:sz w:val="32"/>
          <w:szCs w:val="32"/>
        </w:rPr>
        <w:t>；政府性基金预算财政拨款收入10万元，占1</w:t>
      </w:r>
      <w:r>
        <w:rPr>
          <w:rFonts w:ascii="仿宋" w:hAnsi="仿宋" w:eastAsia="仿宋"/>
          <w:color w:val="000000"/>
          <w:sz w:val="32"/>
          <w:szCs w:val="32"/>
        </w:rPr>
        <w:t>%</w:t>
      </w:r>
      <w:r>
        <w:rPr>
          <w:rFonts w:hint="eastAsia" w:ascii="仿宋" w:hAnsi="仿宋" w:eastAsia="仿宋"/>
          <w:color w:val="000000"/>
          <w:sz w:val="32"/>
          <w:szCs w:val="32"/>
        </w:rPr>
        <w:t>；上级补助收入0万元；事业收入0万元；经营收入0万元；附属单位上缴收入0万元；其他收入0万元。</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78105</wp:posOffset>
            </wp:positionH>
            <wp:positionV relativeFrom="paragraph">
              <wp:posOffset>100965</wp:posOffset>
            </wp:positionV>
            <wp:extent cx="4887595" cy="2672080"/>
            <wp:effectExtent l="4445" t="4445" r="15240" b="5715"/>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pStyle w:val="34"/>
        <w:numPr>
          <w:ilvl w:val="0"/>
          <w:numId w:val="2"/>
        </w:numPr>
        <w:spacing w:line="600" w:lineRule="exact"/>
        <w:ind w:firstLineChars="0"/>
        <w:outlineLvl w:val="1"/>
        <w:rPr>
          <w:rStyle w:val="24"/>
          <w:rFonts w:ascii="黑体" w:hAnsi="黑体" w:eastAsia="黑体"/>
          <w:b w:val="0"/>
        </w:rPr>
      </w:pPr>
      <w:bookmarkStart w:id="70" w:name="_Toc15396605"/>
      <w:bookmarkStart w:id="71" w:name="_Toc18777"/>
      <w:bookmarkStart w:id="72" w:name="_Toc19267"/>
      <w:bookmarkStart w:id="73" w:name="_Toc79163612"/>
      <w:bookmarkStart w:id="74" w:name="_Toc30055"/>
      <w:bookmarkStart w:id="75" w:name="_Toc15377207"/>
      <w:r>
        <w:rPr>
          <w:rFonts w:hint="eastAsia" w:ascii="黑体" w:hAnsi="黑体" w:eastAsia="黑体"/>
          <w:color w:val="000000"/>
          <w:sz w:val="32"/>
          <w:szCs w:val="32"/>
        </w:rPr>
        <w:t>支</w:t>
      </w:r>
      <w:r>
        <w:rPr>
          <w:rStyle w:val="24"/>
          <w:rFonts w:hint="eastAsia" w:ascii="黑体" w:hAnsi="黑体" w:eastAsia="黑体"/>
          <w:b w:val="0"/>
        </w:rPr>
        <w:t>出决算情况说明</w:t>
      </w:r>
      <w:bookmarkEnd w:id="70"/>
      <w:bookmarkEnd w:id="71"/>
      <w:bookmarkEnd w:id="72"/>
      <w:bookmarkEnd w:id="73"/>
      <w:bookmarkEnd w:id="74"/>
      <w:bookmarkEnd w:id="75"/>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年本年支出合计1034.27万元，其中：基本支出895.83万元，占86.61</w:t>
      </w:r>
      <w:r>
        <w:rPr>
          <w:rFonts w:ascii="仿宋_GB2312" w:eastAsia="仿宋_GB2312"/>
          <w:sz w:val="32"/>
          <w:szCs w:val="32"/>
        </w:rPr>
        <w:t>%</w:t>
      </w:r>
      <w:r>
        <w:rPr>
          <w:rFonts w:hint="eastAsia" w:ascii="仿宋_GB2312" w:eastAsia="仿宋_GB2312"/>
          <w:sz w:val="32"/>
          <w:szCs w:val="32"/>
        </w:rPr>
        <w:t>；项目支出138.44万元，占13.39</w:t>
      </w:r>
      <w:r>
        <w:rPr>
          <w:rFonts w:ascii="仿宋_GB2312" w:eastAsia="仿宋_GB2312"/>
          <w:sz w:val="32"/>
          <w:szCs w:val="32"/>
        </w:rPr>
        <w:t>%</w:t>
      </w:r>
      <w:r>
        <w:rPr>
          <w:rFonts w:hint="eastAsia" w:ascii="仿宋_GB2312" w:eastAsia="仿宋_GB2312"/>
          <w:sz w:val="32"/>
          <w:szCs w:val="32"/>
        </w:rPr>
        <w:t>；上缴上级支出0万元；经营支出0万元；对附属单位补助支出0万元。</w:t>
      </w:r>
    </w:p>
    <w:p>
      <w:pPr>
        <w:spacing w:line="600" w:lineRule="exact"/>
        <w:ind w:firstLine="640" w:firstLineChars="200"/>
        <w:rPr>
          <w:rFonts w:ascii="仿宋_GB2312" w:eastAsia="仿宋_GB2312"/>
          <w:sz w:val="32"/>
          <w:szCs w:val="32"/>
        </w:rPr>
      </w:pPr>
      <w:r>
        <w:rPr>
          <w:rStyle w:val="24"/>
          <w:rFonts w:hint="eastAsia" w:ascii="黑体" w:hAnsi="黑体" w:eastAsia="黑体"/>
          <w:b w:val="0"/>
        </w:rPr>
        <w:drawing>
          <wp:anchor distT="0" distB="0" distL="114300" distR="114300" simplePos="0" relativeHeight="251662336" behindDoc="0" locked="0" layoutInCell="1" allowOverlap="1">
            <wp:simplePos x="0" y="0"/>
            <wp:positionH relativeFrom="column">
              <wp:posOffset>111760</wp:posOffset>
            </wp:positionH>
            <wp:positionV relativeFrom="paragraph">
              <wp:posOffset>149225</wp:posOffset>
            </wp:positionV>
            <wp:extent cx="5007610" cy="2491740"/>
            <wp:effectExtent l="4445" t="4445" r="17145" b="18415"/>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ascii="仿宋_GB2312" w:eastAsia="仿宋_GB2312"/>
          <w:sz w:val="32"/>
          <w:szCs w:val="32"/>
        </w:rPr>
      </w:pPr>
    </w:p>
    <w:p>
      <w:pPr>
        <w:spacing w:line="600" w:lineRule="exact"/>
        <w:ind w:firstLine="640"/>
        <w:rPr>
          <w:rFonts w:ascii="仿宋" w:hAnsi="仿宋" w:eastAsia="仿宋"/>
          <w:color w:val="000000"/>
          <w:sz w:val="32"/>
          <w:szCs w:val="32"/>
          <w:shd w:val="pct10" w:color="auto" w:fill="FFFFFF"/>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4"/>
          <w:rFonts w:ascii="黑体" w:hAnsi="黑体" w:eastAsia="黑体"/>
          <w:b w:val="0"/>
        </w:rPr>
      </w:pPr>
      <w:bookmarkStart w:id="76" w:name="_Toc79163613"/>
      <w:bookmarkStart w:id="77" w:name="_Toc17328"/>
      <w:bookmarkStart w:id="78" w:name="_Toc18596"/>
      <w:bookmarkStart w:id="79" w:name="_Toc25610"/>
      <w:bookmarkStart w:id="80" w:name="_Toc15377208"/>
      <w:bookmarkStart w:id="81" w:name="_Toc15396606"/>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76"/>
      <w:bookmarkEnd w:id="77"/>
      <w:bookmarkEnd w:id="78"/>
      <w:bookmarkEnd w:id="79"/>
      <w:bookmarkEnd w:id="80"/>
      <w:bookmarkEnd w:id="81"/>
    </w:p>
    <w:p>
      <w:pPr>
        <w:spacing w:line="594" w:lineRule="exact"/>
        <w:ind w:firstLine="640" w:firstLineChars="200"/>
        <w:outlineLvl w:val="1"/>
        <w:rPr>
          <w:rFonts w:ascii="仿宋_GB2312" w:hAnsi="楷体" w:eastAsia="仿宋_GB2312"/>
          <w:color w:val="000000"/>
          <w:sz w:val="32"/>
          <w:szCs w:val="32"/>
        </w:rPr>
      </w:pPr>
      <w:bookmarkStart w:id="82" w:name="_Toc9976"/>
      <w:bookmarkStart w:id="83" w:name="_Toc20711"/>
      <w:bookmarkStart w:id="84" w:name="_Toc28699"/>
      <w:r>
        <w:rPr>
          <w:rFonts w:hint="eastAsia" w:ascii="仿宋_GB2312" w:hAnsi="楷体" w:eastAsia="仿宋_GB2312"/>
          <w:color w:val="000000"/>
          <w:sz w:val="32"/>
          <w:szCs w:val="32"/>
        </w:rPr>
        <w:t>2020年财政拨款收入合计1060.26万元，与2019年相比下降66.06万元，</w:t>
      </w:r>
      <w:r>
        <w:rPr>
          <w:rFonts w:hint="eastAsia" w:ascii="仿宋_GB2312" w:hAnsi="楷体" w:eastAsia="仿宋_GB2312"/>
          <w:color w:val="000000"/>
          <w:sz w:val="32"/>
          <w:szCs w:val="32"/>
          <w:lang w:eastAsia="zh-CN"/>
        </w:rPr>
        <w:t>下降</w:t>
      </w:r>
      <w:r>
        <w:rPr>
          <w:rFonts w:hint="eastAsia" w:ascii="仿宋_GB2312" w:hAnsi="楷体" w:eastAsia="仿宋_GB2312"/>
          <w:color w:val="000000"/>
          <w:sz w:val="32"/>
          <w:szCs w:val="32"/>
          <w:lang w:val="en-US" w:eastAsia="zh-CN"/>
        </w:rPr>
        <w:t>5.87%，</w:t>
      </w:r>
      <w:r>
        <w:rPr>
          <w:rFonts w:hint="eastAsia" w:ascii="仿宋_GB2312" w:hAnsi="楷体" w:eastAsia="仿宋_GB2312"/>
          <w:color w:val="000000"/>
          <w:sz w:val="32"/>
          <w:szCs w:val="32"/>
        </w:rPr>
        <w:t>主要原因是机构改革，人员减少。</w:t>
      </w:r>
      <w:bookmarkEnd w:id="82"/>
      <w:bookmarkEnd w:id="83"/>
      <w:bookmarkEnd w:id="84"/>
    </w:p>
    <w:p>
      <w:pPr>
        <w:spacing w:line="594" w:lineRule="exact"/>
        <w:ind w:firstLine="640" w:firstLineChars="200"/>
        <w:outlineLvl w:val="1"/>
        <w:rPr>
          <w:rFonts w:ascii="仿宋_GB2312" w:hAnsi="楷体" w:eastAsia="仿宋_GB2312"/>
          <w:color w:val="000000"/>
          <w:sz w:val="32"/>
          <w:szCs w:val="32"/>
        </w:rPr>
      </w:pPr>
      <w:r>
        <w:rPr>
          <w:rFonts w:hint="eastAsia" w:ascii="仿宋_GB2312" w:hAnsi="楷体" w:eastAsia="仿宋_GB2312"/>
          <w:color w:val="000000"/>
          <w:sz w:val="32"/>
          <w:szCs w:val="32"/>
        </w:rPr>
        <w:drawing>
          <wp:anchor distT="0" distB="0" distL="114300" distR="114300" simplePos="0" relativeHeight="251663360" behindDoc="0" locked="0" layoutInCell="1" allowOverlap="1">
            <wp:simplePos x="0" y="0"/>
            <wp:positionH relativeFrom="column">
              <wp:posOffset>191135</wp:posOffset>
            </wp:positionH>
            <wp:positionV relativeFrom="paragraph">
              <wp:posOffset>31750</wp:posOffset>
            </wp:positionV>
            <wp:extent cx="4873625" cy="2549525"/>
            <wp:effectExtent l="4445" t="4445" r="17780" b="1778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594" w:lineRule="exact"/>
        <w:ind w:firstLine="640" w:firstLineChars="200"/>
        <w:outlineLvl w:val="1"/>
        <w:rPr>
          <w:rFonts w:ascii="仿宋_GB2312" w:hAnsi="楷体" w:eastAsia="仿宋_GB2312"/>
          <w:color w:val="000000"/>
          <w:sz w:val="32"/>
          <w:szCs w:val="32"/>
        </w:rPr>
      </w:pPr>
    </w:p>
    <w:p>
      <w:pPr>
        <w:spacing w:line="594" w:lineRule="exact"/>
        <w:ind w:firstLine="640" w:firstLineChars="200"/>
        <w:outlineLvl w:val="1"/>
        <w:rPr>
          <w:rFonts w:ascii="仿宋_GB2312" w:hAnsi="楷体" w:eastAsia="仿宋_GB2312"/>
          <w:color w:val="000000"/>
          <w:sz w:val="32"/>
          <w:szCs w:val="32"/>
        </w:rPr>
      </w:pPr>
    </w:p>
    <w:p>
      <w:pPr>
        <w:spacing w:line="594" w:lineRule="exact"/>
        <w:ind w:firstLine="640" w:firstLineChars="200"/>
        <w:outlineLvl w:val="1"/>
        <w:rPr>
          <w:rFonts w:ascii="仿宋_GB2312" w:hAnsi="楷体" w:eastAsia="仿宋_GB2312"/>
          <w:color w:val="000000"/>
          <w:sz w:val="32"/>
          <w:szCs w:val="32"/>
        </w:rPr>
      </w:pPr>
    </w:p>
    <w:p>
      <w:pPr>
        <w:spacing w:line="594" w:lineRule="exact"/>
        <w:ind w:firstLine="640" w:firstLineChars="200"/>
        <w:outlineLvl w:val="1"/>
        <w:rPr>
          <w:rFonts w:ascii="仿宋_GB2312" w:hAnsi="楷体" w:eastAsia="仿宋_GB2312"/>
          <w:color w:val="000000"/>
          <w:sz w:val="32"/>
          <w:szCs w:val="32"/>
        </w:rPr>
      </w:pPr>
    </w:p>
    <w:p>
      <w:pPr>
        <w:spacing w:line="594" w:lineRule="exact"/>
        <w:ind w:firstLine="640" w:firstLineChars="200"/>
        <w:outlineLvl w:val="1"/>
        <w:rPr>
          <w:rFonts w:ascii="仿宋_GB2312" w:hAnsi="楷体" w:eastAsia="仿宋_GB2312"/>
          <w:color w:val="000000"/>
          <w:sz w:val="32"/>
          <w:szCs w:val="32"/>
        </w:rPr>
      </w:pPr>
    </w:p>
    <w:p>
      <w:pPr>
        <w:spacing w:line="594" w:lineRule="exact"/>
        <w:ind w:firstLine="640" w:firstLineChars="200"/>
        <w:outlineLvl w:val="1"/>
        <w:rPr>
          <w:rFonts w:ascii="仿宋_GB2312" w:hAnsi="楷体" w:eastAsia="仿宋_GB2312"/>
          <w:color w:val="000000"/>
          <w:sz w:val="32"/>
          <w:szCs w:val="32"/>
        </w:rPr>
      </w:pPr>
    </w:p>
    <w:p>
      <w:pPr>
        <w:spacing w:line="594" w:lineRule="exact"/>
        <w:ind w:firstLine="640" w:firstLineChars="200"/>
        <w:outlineLvl w:val="1"/>
        <w:rPr>
          <w:rFonts w:ascii="仿宋_GB2312" w:hAnsi="楷体" w:eastAsia="仿宋_GB2312"/>
          <w:color w:val="000000"/>
          <w:sz w:val="32"/>
          <w:szCs w:val="32"/>
        </w:rPr>
      </w:pPr>
      <w:bookmarkStart w:id="85" w:name="_Toc16443"/>
      <w:bookmarkStart w:id="86" w:name="_Toc19996"/>
      <w:bookmarkStart w:id="87" w:name="_Toc22785"/>
      <w:r>
        <w:rPr>
          <w:rFonts w:hint="eastAsia" w:ascii="仿宋_GB2312" w:hAnsi="楷体" w:eastAsia="仿宋_GB2312"/>
          <w:color w:val="000000"/>
          <w:sz w:val="32"/>
          <w:szCs w:val="32"/>
        </w:rPr>
        <w:t>2020年财政拨款支出合计1034.27万元，与2019年相比下降33.74万元，</w:t>
      </w:r>
      <w:r>
        <w:rPr>
          <w:rFonts w:hint="eastAsia" w:ascii="仿宋_GB2312" w:hAnsi="楷体" w:eastAsia="仿宋_GB2312"/>
          <w:color w:val="000000"/>
          <w:sz w:val="32"/>
          <w:szCs w:val="32"/>
          <w:lang w:eastAsia="zh-CN"/>
        </w:rPr>
        <w:t>下降</w:t>
      </w:r>
      <w:r>
        <w:rPr>
          <w:rFonts w:hint="eastAsia" w:ascii="仿宋_GB2312" w:hAnsi="楷体" w:eastAsia="仿宋_GB2312"/>
          <w:color w:val="000000"/>
          <w:sz w:val="32"/>
          <w:szCs w:val="32"/>
          <w:lang w:val="en-US" w:eastAsia="zh-CN"/>
        </w:rPr>
        <w:t>3.16%，</w:t>
      </w:r>
      <w:r>
        <w:rPr>
          <w:rFonts w:hint="eastAsia" w:ascii="仿宋_GB2312" w:hAnsi="楷体" w:eastAsia="仿宋_GB2312"/>
          <w:color w:val="000000"/>
          <w:sz w:val="32"/>
          <w:szCs w:val="32"/>
        </w:rPr>
        <w:t>主要原因：机构改革，人员减少。</w:t>
      </w:r>
      <w:bookmarkEnd w:id="85"/>
      <w:bookmarkEnd w:id="86"/>
      <w:bookmarkEnd w:id="87"/>
    </w:p>
    <w:p>
      <w:pPr>
        <w:spacing w:line="594" w:lineRule="exact"/>
        <w:ind w:firstLine="640" w:firstLineChars="200"/>
        <w:outlineLvl w:val="1"/>
        <w:rPr>
          <w:rFonts w:ascii="仿宋_GB2312" w:hAnsi="楷体" w:eastAsia="仿宋_GB2312"/>
          <w:color w:val="000000"/>
          <w:sz w:val="32"/>
          <w:szCs w:val="32"/>
        </w:rPr>
      </w:pPr>
      <w:r>
        <w:rPr>
          <w:rFonts w:hint="eastAsia" w:ascii="仿宋" w:hAnsi="仿宋" w:eastAsia="仿宋"/>
          <w:color w:val="000000"/>
          <w:sz w:val="32"/>
          <w:szCs w:val="32"/>
        </w:rPr>
        <w:drawing>
          <wp:anchor distT="0" distB="0" distL="114300" distR="114300" simplePos="0" relativeHeight="251664384" behindDoc="0" locked="0" layoutInCell="1" allowOverlap="1">
            <wp:simplePos x="0" y="0"/>
            <wp:positionH relativeFrom="column">
              <wp:posOffset>422275</wp:posOffset>
            </wp:positionH>
            <wp:positionV relativeFrom="paragraph">
              <wp:posOffset>249555</wp:posOffset>
            </wp:positionV>
            <wp:extent cx="4883150" cy="2579370"/>
            <wp:effectExtent l="4445" t="4445" r="19685" b="698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594" w:lineRule="exact"/>
        <w:ind w:firstLine="640" w:firstLineChars="200"/>
        <w:outlineLvl w:val="1"/>
        <w:rPr>
          <w:rFonts w:ascii="仿宋_GB2312" w:hAnsi="楷体" w:eastAsia="仿宋_GB2312"/>
          <w:color w:val="000000"/>
          <w:sz w:val="32"/>
          <w:szCs w:val="32"/>
        </w:rPr>
      </w:pPr>
    </w:p>
    <w:p>
      <w:pPr>
        <w:spacing w:line="594" w:lineRule="exact"/>
        <w:ind w:firstLine="640" w:firstLineChars="200"/>
        <w:outlineLvl w:val="1"/>
        <w:rPr>
          <w:rFonts w:ascii="仿宋_GB2312" w:hAnsi="楷体" w:eastAsia="仿宋_GB2312"/>
          <w:color w:val="000000"/>
          <w:sz w:val="32"/>
          <w:szCs w:val="32"/>
        </w:rPr>
      </w:pPr>
    </w:p>
    <w:p>
      <w:pPr>
        <w:spacing w:line="594" w:lineRule="exact"/>
        <w:ind w:firstLine="640" w:firstLineChars="200"/>
        <w:outlineLvl w:val="1"/>
        <w:rPr>
          <w:rFonts w:ascii="仿宋_GB2312" w:hAnsi="楷体" w:eastAsia="仿宋_GB2312"/>
          <w:color w:val="000000"/>
          <w:sz w:val="32"/>
          <w:szCs w:val="32"/>
        </w:rPr>
      </w:pPr>
    </w:p>
    <w:p>
      <w:pPr>
        <w:spacing w:line="594" w:lineRule="exact"/>
        <w:ind w:firstLine="640" w:firstLineChars="200"/>
        <w:outlineLvl w:val="1"/>
        <w:rPr>
          <w:rFonts w:ascii="仿宋_GB2312" w:hAnsi="楷体" w:eastAsia="仿宋_GB2312"/>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firstLineChars="200"/>
        <w:outlineLvl w:val="1"/>
        <w:rPr>
          <w:rStyle w:val="24"/>
          <w:rFonts w:ascii="黑体" w:hAnsi="黑体" w:eastAsia="黑体"/>
          <w:b w:val="0"/>
        </w:rPr>
      </w:pPr>
      <w:bookmarkStart w:id="88" w:name="_Toc13892"/>
      <w:bookmarkStart w:id="89" w:name="_Toc15396607"/>
      <w:bookmarkStart w:id="90" w:name="_Toc27654"/>
      <w:bookmarkStart w:id="91" w:name="_Toc31714"/>
      <w:bookmarkStart w:id="92" w:name="_Toc79163614"/>
      <w:bookmarkStart w:id="9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88"/>
      <w:bookmarkEnd w:id="89"/>
      <w:bookmarkEnd w:id="90"/>
      <w:bookmarkEnd w:id="91"/>
      <w:bookmarkEnd w:id="92"/>
      <w:bookmarkEnd w:id="93"/>
    </w:p>
    <w:p>
      <w:pPr>
        <w:spacing w:line="600" w:lineRule="exact"/>
        <w:ind w:firstLine="642" w:firstLineChars="200"/>
        <w:outlineLvl w:val="2"/>
        <w:rPr>
          <w:rFonts w:ascii="仿宋" w:hAnsi="仿宋" w:eastAsia="仿宋"/>
          <w:b/>
          <w:color w:val="000000"/>
          <w:sz w:val="32"/>
          <w:szCs w:val="32"/>
        </w:rPr>
      </w:pPr>
      <w:bookmarkStart w:id="94" w:name="_Toc11431"/>
      <w:bookmarkStart w:id="95" w:name="_Toc15377210"/>
      <w:bookmarkStart w:id="96" w:name="_Toc79163615"/>
      <w:r>
        <w:rPr>
          <w:rFonts w:hint="eastAsia" w:ascii="仿宋" w:hAnsi="仿宋" w:eastAsia="仿宋"/>
          <w:b/>
          <w:color w:val="000000"/>
          <w:sz w:val="32"/>
          <w:szCs w:val="32"/>
        </w:rPr>
        <w:t>（一）一般公共预算财政拨款支出决算总体情况</w:t>
      </w:r>
      <w:bookmarkEnd w:id="94"/>
      <w:bookmarkEnd w:id="95"/>
      <w:bookmarkEnd w:id="96"/>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年一般公共预算财政拨款支出1024.27万元，占本年支出合计的99</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年相比，一般公共预算财政拨款减少43.74万元，下降4.1</w:t>
      </w:r>
      <w:r>
        <w:rPr>
          <w:rFonts w:ascii="仿宋" w:hAnsi="仿宋" w:eastAsia="仿宋"/>
          <w:color w:val="000000"/>
          <w:sz w:val="32"/>
          <w:szCs w:val="32"/>
        </w:rPr>
        <w:t>%</w:t>
      </w:r>
      <w:r>
        <w:rPr>
          <w:rFonts w:hint="eastAsia" w:ascii="仿宋" w:hAnsi="仿宋" w:eastAsia="仿宋"/>
          <w:color w:val="000000"/>
          <w:sz w:val="32"/>
          <w:szCs w:val="32"/>
        </w:rPr>
        <w:t>。主要变动原因是机构改革，人员减少。</w:t>
      </w:r>
    </w:p>
    <w:p>
      <w:pPr>
        <w:spacing w:line="600" w:lineRule="exact"/>
        <w:ind w:firstLine="640" w:firstLineChars="200"/>
        <w:rPr>
          <w:rFonts w:ascii="仿宋" w:hAnsi="仿宋" w:eastAsia="仿宋"/>
          <w:color w:val="000000"/>
          <w:sz w:val="32"/>
          <w:szCs w:val="32"/>
        </w:rPr>
      </w:pPr>
      <w:r>
        <w:rPr>
          <w:rFonts w:hint="eastAsia" w:ascii="仿宋_GB2312" w:hAnsi="楷体" w:eastAsia="仿宋_GB2312"/>
          <w:color w:val="000000"/>
          <w:sz w:val="32"/>
          <w:szCs w:val="32"/>
        </w:rPr>
        <w:drawing>
          <wp:anchor distT="0" distB="0" distL="114300" distR="114300" simplePos="0" relativeHeight="251665408" behindDoc="0" locked="0" layoutInCell="1" allowOverlap="1">
            <wp:simplePos x="0" y="0"/>
            <wp:positionH relativeFrom="column">
              <wp:posOffset>163195</wp:posOffset>
            </wp:positionH>
            <wp:positionV relativeFrom="paragraph">
              <wp:posOffset>91440</wp:posOffset>
            </wp:positionV>
            <wp:extent cx="4941570" cy="2747010"/>
            <wp:effectExtent l="4445" t="4445" r="6985" b="698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97" w:name="_Toc27947"/>
      <w:bookmarkStart w:id="98" w:name="_Toc15377211"/>
      <w:bookmarkStart w:id="99" w:name="_Toc79163616"/>
      <w:r>
        <w:rPr>
          <w:rFonts w:hint="eastAsia" w:ascii="仿宋" w:hAnsi="仿宋" w:eastAsia="仿宋"/>
          <w:b/>
          <w:color w:val="000000"/>
          <w:sz w:val="32"/>
          <w:szCs w:val="32"/>
        </w:rPr>
        <w:t>（二）一般公共预算财政拨款支出决算结构情况</w:t>
      </w:r>
      <w:bookmarkEnd w:id="97"/>
      <w:bookmarkEnd w:id="98"/>
      <w:bookmarkEnd w:id="9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年一般公共预算财政拨款支出1024.27万元，主要用于以下方面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支出836.79万元，占81.69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支出81.63万元，占7.97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43.67万元，占4.26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农林水支出</w:t>
      </w:r>
      <w:r>
        <w:rPr>
          <w:rFonts w:hint="eastAsia" w:ascii="仿宋" w:hAnsi="仿宋" w:eastAsia="仿宋"/>
          <w:color w:val="000000"/>
          <w:sz w:val="32"/>
          <w:szCs w:val="32"/>
        </w:rPr>
        <w:t>0.96万元，占0.1%。</w:t>
      </w:r>
      <w:r>
        <w:rPr>
          <w:rFonts w:hint="eastAsia" w:ascii="仿宋" w:hAnsi="仿宋" w:eastAsia="仿宋"/>
          <w:b/>
          <w:color w:val="000000"/>
          <w:sz w:val="32"/>
          <w:szCs w:val="32"/>
        </w:rPr>
        <w:t>住房保障支出</w:t>
      </w:r>
      <w:r>
        <w:rPr>
          <w:rFonts w:hint="eastAsia" w:ascii="仿宋" w:hAnsi="仿宋" w:eastAsia="仿宋"/>
          <w:color w:val="000000"/>
          <w:sz w:val="32"/>
          <w:szCs w:val="32"/>
        </w:rPr>
        <w:t>61.22万元，占5.98</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6432" behindDoc="0" locked="0" layoutInCell="1" allowOverlap="1">
            <wp:simplePos x="0" y="0"/>
            <wp:positionH relativeFrom="column">
              <wp:posOffset>220980</wp:posOffset>
            </wp:positionH>
            <wp:positionV relativeFrom="paragraph">
              <wp:posOffset>144145</wp:posOffset>
            </wp:positionV>
            <wp:extent cx="5080000" cy="3810000"/>
            <wp:effectExtent l="4445" t="4445" r="5715" b="10795"/>
            <wp:wrapNone/>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ascii="仿宋" w:hAnsi="仿宋" w:eastAsia="仿宋"/>
          <w:color w:val="000000"/>
          <w:sz w:val="32"/>
          <w:szCs w:val="32"/>
        </w:rPr>
        <w:t xml:space="preserve"> </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100" w:name="_Toc15377212"/>
      <w:bookmarkStart w:id="101" w:name="_Toc79163617"/>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102" w:name="_Toc24838"/>
      <w:r>
        <w:rPr>
          <w:rFonts w:hint="eastAsia" w:ascii="仿宋" w:hAnsi="仿宋" w:eastAsia="仿宋"/>
          <w:b/>
          <w:color w:val="000000"/>
          <w:sz w:val="32"/>
          <w:szCs w:val="32"/>
        </w:rPr>
        <w:t>（三）一般公共预算财政拨款支出决算具体情况</w:t>
      </w:r>
      <w:bookmarkEnd w:id="100"/>
      <w:bookmarkEnd w:id="101"/>
      <w:bookmarkEnd w:id="102"/>
    </w:p>
    <w:p>
      <w:pPr>
        <w:spacing w:line="594" w:lineRule="exact"/>
        <w:ind w:firstLine="640" w:firstLineChars="200"/>
        <w:outlineLvl w:val="1"/>
        <w:rPr>
          <w:rFonts w:ascii="仿宋_GB2312" w:hAnsi="楷体" w:eastAsia="仿宋_GB2312"/>
          <w:color w:val="000000"/>
          <w:sz w:val="32"/>
          <w:szCs w:val="32"/>
        </w:rPr>
      </w:pPr>
      <w:bookmarkStart w:id="103" w:name="_Toc9856"/>
      <w:bookmarkStart w:id="104" w:name="_Toc17804"/>
      <w:bookmarkStart w:id="105" w:name="_Toc19462"/>
      <w:bookmarkStart w:id="106" w:name="_Toc51662769"/>
      <w:bookmarkStart w:id="107" w:name="_Toc51662581"/>
      <w:bookmarkStart w:id="108" w:name="_Toc17391"/>
      <w:r>
        <w:rPr>
          <w:rFonts w:ascii="仿宋_GB2312" w:hAnsi="楷体" w:eastAsia="仿宋_GB2312"/>
          <w:color w:val="000000"/>
          <w:sz w:val="32"/>
          <w:szCs w:val="32"/>
        </w:rPr>
        <w:t>20</w:t>
      </w:r>
      <w:r>
        <w:rPr>
          <w:rFonts w:hint="eastAsia" w:ascii="仿宋_GB2312" w:hAnsi="楷体" w:eastAsia="仿宋_GB2312"/>
          <w:color w:val="000000"/>
          <w:sz w:val="32"/>
          <w:szCs w:val="32"/>
        </w:rPr>
        <w:t>20年般公共预算支出决算数为1024.27万元，完成预算99</w:t>
      </w:r>
      <w:r>
        <w:rPr>
          <w:rFonts w:ascii="仿宋_GB2312" w:hAnsi="楷体" w:eastAsia="仿宋_GB2312"/>
          <w:color w:val="000000"/>
          <w:sz w:val="32"/>
          <w:szCs w:val="32"/>
        </w:rPr>
        <w:t>%</w:t>
      </w:r>
      <w:r>
        <w:rPr>
          <w:rFonts w:hint="eastAsia" w:ascii="仿宋_GB2312" w:hAnsi="楷体" w:eastAsia="仿宋_GB2312"/>
          <w:color w:val="000000"/>
          <w:sz w:val="32"/>
          <w:szCs w:val="32"/>
        </w:rPr>
        <w:t>。其中：</w:t>
      </w:r>
      <w:bookmarkEnd w:id="103"/>
      <w:bookmarkEnd w:id="104"/>
      <w:bookmarkEnd w:id="105"/>
      <w:bookmarkEnd w:id="106"/>
      <w:bookmarkEnd w:id="107"/>
      <w:bookmarkEnd w:id="108"/>
    </w:p>
    <w:p>
      <w:pPr>
        <w:spacing w:line="594" w:lineRule="exact"/>
        <w:ind w:firstLine="640" w:firstLineChars="200"/>
        <w:outlineLvl w:val="1"/>
        <w:rPr>
          <w:rFonts w:ascii="仿宋_GB2312" w:hAnsi="楷体" w:eastAsia="仿宋_GB2312"/>
          <w:color w:val="000000"/>
          <w:sz w:val="32"/>
          <w:szCs w:val="32"/>
        </w:rPr>
      </w:pPr>
      <w:bookmarkStart w:id="109" w:name="_Toc955"/>
      <w:bookmarkStart w:id="110" w:name="_Toc4007"/>
      <w:bookmarkStart w:id="111" w:name="_Toc1118"/>
      <w:bookmarkStart w:id="112" w:name="_Toc51662770"/>
      <w:bookmarkStart w:id="113" w:name="_Toc51662582"/>
      <w:bookmarkStart w:id="114" w:name="_Toc9211"/>
      <w:r>
        <w:rPr>
          <w:rFonts w:ascii="仿宋_GB2312" w:hAnsi="楷体" w:eastAsia="仿宋_GB2312"/>
          <w:color w:val="000000"/>
          <w:sz w:val="32"/>
          <w:szCs w:val="32"/>
        </w:rPr>
        <w:t>1.</w:t>
      </w:r>
      <w:r>
        <w:rPr>
          <w:rFonts w:hint="eastAsia" w:ascii="仿宋_GB2312" w:hAnsi="楷体" w:eastAsia="仿宋_GB2312"/>
          <w:color w:val="000000"/>
          <w:sz w:val="32"/>
          <w:szCs w:val="32"/>
        </w:rPr>
        <w:t>一般公共服务（类）市场监督管理事务（款）行政运行（项）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支出决算为662.94万元，完成预算100</w:t>
      </w:r>
      <w:r>
        <w:rPr>
          <w:rFonts w:ascii="仿宋_GB2312" w:hAnsi="楷体" w:eastAsia="仿宋_GB2312"/>
          <w:color w:val="000000"/>
          <w:sz w:val="32"/>
          <w:szCs w:val="32"/>
        </w:rPr>
        <w:t>%</w:t>
      </w:r>
      <w:r>
        <w:rPr>
          <w:rFonts w:hint="eastAsia" w:ascii="仿宋_GB2312" w:hAnsi="楷体" w:eastAsia="仿宋_GB2312"/>
          <w:color w:val="000000"/>
          <w:sz w:val="32"/>
          <w:szCs w:val="32"/>
        </w:rPr>
        <w:t>。</w:t>
      </w:r>
      <w:bookmarkEnd w:id="109"/>
      <w:bookmarkEnd w:id="110"/>
      <w:bookmarkEnd w:id="111"/>
      <w:bookmarkEnd w:id="112"/>
      <w:bookmarkEnd w:id="113"/>
      <w:bookmarkEnd w:id="114"/>
    </w:p>
    <w:p>
      <w:pPr>
        <w:spacing w:line="594" w:lineRule="exact"/>
        <w:ind w:firstLine="640" w:firstLineChars="200"/>
        <w:outlineLvl w:val="1"/>
        <w:rPr>
          <w:rFonts w:ascii="仿宋_GB2312" w:hAnsi="楷体" w:eastAsia="仿宋_GB2312"/>
          <w:color w:val="000000"/>
          <w:sz w:val="32"/>
          <w:szCs w:val="32"/>
        </w:rPr>
      </w:pPr>
      <w:bookmarkStart w:id="115" w:name="_Toc5560"/>
      <w:bookmarkStart w:id="116" w:name="_Toc51662771"/>
      <w:bookmarkStart w:id="117" w:name="_Toc29674"/>
      <w:bookmarkStart w:id="118" w:name="_Toc24304"/>
      <w:bookmarkStart w:id="119" w:name="_Toc31710"/>
      <w:bookmarkStart w:id="120" w:name="_Toc51662583"/>
      <w:r>
        <w:rPr>
          <w:rFonts w:ascii="仿宋_GB2312" w:hAnsi="楷体" w:eastAsia="仿宋_GB2312"/>
          <w:color w:val="000000"/>
          <w:sz w:val="32"/>
          <w:szCs w:val="32"/>
        </w:rPr>
        <w:t xml:space="preserve">2. </w:t>
      </w:r>
      <w:r>
        <w:rPr>
          <w:rFonts w:hint="eastAsia" w:ascii="仿宋_GB2312" w:hAnsi="楷体" w:eastAsia="仿宋_GB2312"/>
          <w:color w:val="000000"/>
          <w:sz w:val="32"/>
          <w:szCs w:val="32"/>
        </w:rPr>
        <w:t>一般公共服务（类）市场监督管理事务（款）一般行政管理事务（项）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支出决算为6.99万元，完成预算100</w:t>
      </w:r>
      <w:r>
        <w:rPr>
          <w:rFonts w:ascii="仿宋_GB2312" w:hAnsi="楷体" w:eastAsia="仿宋_GB2312"/>
          <w:color w:val="000000"/>
          <w:sz w:val="32"/>
          <w:szCs w:val="32"/>
        </w:rPr>
        <w:t>%</w:t>
      </w:r>
      <w:r>
        <w:rPr>
          <w:rFonts w:hint="eastAsia" w:ascii="仿宋_GB2312" w:hAnsi="楷体" w:eastAsia="仿宋_GB2312"/>
          <w:color w:val="000000"/>
          <w:sz w:val="32"/>
          <w:szCs w:val="32"/>
        </w:rPr>
        <w:t>。</w:t>
      </w:r>
      <w:bookmarkEnd w:id="115"/>
      <w:bookmarkEnd w:id="116"/>
      <w:bookmarkEnd w:id="117"/>
      <w:bookmarkEnd w:id="118"/>
      <w:bookmarkEnd w:id="119"/>
      <w:bookmarkEnd w:id="120"/>
    </w:p>
    <w:p>
      <w:pPr>
        <w:spacing w:line="594" w:lineRule="exact"/>
        <w:ind w:firstLine="640" w:firstLineChars="200"/>
        <w:outlineLvl w:val="1"/>
        <w:rPr>
          <w:rFonts w:ascii="仿宋_GB2312" w:hAnsi="楷体" w:eastAsia="仿宋_GB2312"/>
          <w:color w:val="000000"/>
          <w:sz w:val="32"/>
          <w:szCs w:val="32"/>
        </w:rPr>
      </w:pPr>
      <w:bookmarkStart w:id="121" w:name="_Toc10294"/>
      <w:bookmarkStart w:id="122" w:name="_Toc27219"/>
      <w:bookmarkStart w:id="123" w:name="_Toc23784"/>
      <w:bookmarkStart w:id="124" w:name="_Toc51662772"/>
      <w:bookmarkStart w:id="125" w:name="_Toc16626"/>
      <w:bookmarkStart w:id="126" w:name="_Toc51662584"/>
      <w:r>
        <w:rPr>
          <w:rFonts w:hint="eastAsia" w:ascii="仿宋_GB2312" w:hAnsi="楷体" w:eastAsia="仿宋_GB2312"/>
          <w:color w:val="000000"/>
          <w:sz w:val="32"/>
          <w:szCs w:val="32"/>
        </w:rPr>
        <w:t>3.一般公共服务（类）市场监督管理事务（款）市场主体管理（项）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支出决算为12.29万元，完成预算100</w:t>
      </w:r>
      <w:r>
        <w:rPr>
          <w:rFonts w:ascii="仿宋_GB2312" w:hAnsi="楷体" w:eastAsia="仿宋_GB2312"/>
          <w:color w:val="000000"/>
          <w:sz w:val="32"/>
          <w:szCs w:val="32"/>
        </w:rPr>
        <w:t>%</w:t>
      </w:r>
      <w:r>
        <w:rPr>
          <w:rFonts w:hint="eastAsia" w:ascii="仿宋_GB2312" w:hAnsi="楷体" w:eastAsia="仿宋_GB2312"/>
          <w:color w:val="000000"/>
          <w:sz w:val="32"/>
          <w:szCs w:val="32"/>
        </w:rPr>
        <w:t>。</w:t>
      </w:r>
      <w:bookmarkEnd w:id="121"/>
      <w:bookmarkEnd w:id="122"/>
      <w:bookmarkEnd w:id="123"/>
      <w:bookmarkEnd w:id="124"/>
      <w:bookmarkEnd w:id="125"/>
      <w:bookmarkEnd w:id="126"/>
    </w:p>
    <w:p>
      <w:pPr>
        <w:spacing w:line="594" w:lineRule="exact"/>
        <w:ind w:firstLine="640" w:firstLineChars="200"/>
        <w:outlineLvl w:val="1"/>
        <w:rPr>
          <w:rFonts w:ascii="仿宋_GB2312" w:hAnsi="楷体" w:eastAsia="仿宋_GB2312"/>
          <w:color w:val="000000"/>
          <w:sz w:val="32"/>
          <w:szCs w:val="32"/>
        </w:rPr>
      </w:pPr>
      <w:bookmarkStart w:id="127" w:name="_Toc13752"/>
      <w:bookmarkStart w:id="128" w:name="_Toc16842"/>
      <w:bookmarkStart w:id="129" w:name="_Toc51662585"/>
      <w:bookmarkStart w:id="130" w:name="_Toc51662773"/>
      <w:bookmarkStart w:id="131" w:name="_Toc3463"/>
      <w:bookmarkStart w:id="132" w:name="_Toc31756"/>
      <w:r>
        <w:rPr>
          <w:rFonts w:hint="eastAsia" w:ascii="仿宋_GB2312" w:hAnsi="楷体" w:eastAsia="仿宋_GB2312"/>
          <w:color w:val="000000"/>
          <w:sz w:val="32"/>
          <w:szCs w:val="32"/>
        </w:rPr>
        <w:t>4. 一般公共服务（类）市场监督管理事务（款）市场秩序执法（项）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支出决算为37.10万元，完成预算88.4</w:t>
      </w:r>
      <w:r>
        <w:rPr>
          <w:rFonts w:ascii="仿宋_GB2312" w:hAnsi="楷体" w:eastAsia="仿宋_GB2312"/>
          <w:color w:val="000000"/>
          <w:sz w:val="32"/>
          <w:szCs w:val="32"/>
        </w:rPr>
        <w:t>%</w:t>
      </w:r>
      <w:r>
        <w:rPr>
          <w:rFonts w:hint="eastAsia" w:ascii="仿宋_GB2312" w:hAnsi="楷体" w:eastAsia="仿宋_GB2312"/>
          <w:color w:val="000000"/>
          <w:sz w:val="32"/>
          <w:szCs w:val="32"/>
        </w:rPr>
        <w:t>，决算数小于预算数的主要原因是部份工作需于</w:t>
      </w:r>
      <w:r>
        <w:rPr>
          <w:rFonts w:ascii="仿宋_GB2312" w:hAnsi="楷体" w:eastAsia="仿宋_GB2312"/>
          <w:color w:val="000000"/>
          <w:sz w:val="32"/>
          <w:szCs w:val="32"/>
        </w:rPr>
        <w:t>20</w:t>
      </w:r>
      <w:r>
        <w:rPr>
          <w:rFonts w:hint="eastAsia" w:ascii="仿宋_GB2312" w:hAnsi="楷体" w:eastAsia="仿宋_GB2312"/>
          <w:color w:val="000000"/>
          <w:sz w:val="32"/>
          <w:szCs w:val="32"/>
        </w:rPr>
        <w:t>21年完成。</w:t>
      </w:r>
      <w:bookmarkEnd w:id="127"/>
      <w:bookmarkEnd w:id="128"/>
      <w:bookmarkEnd w:id="129"/>
      <w:bookmarkEnd w:id="130"/>
      <w:bookmarkEnd w:id="131"/>
      <w:bookmarkEnd w:id="132"/>
    </w:p>
    <w:p>
      <w:pPr>
        <w:spacing w:line="594" w:lineRule="exact"/>
        <w:ind w:firstLine="640" w:firstLineChars="200"/>
        <w:outlineLvl w:val="1"/>
        <w:rPr>
          <w:rFonts w:ascii="仿宋_GB2312" w:hAnsi="楷体" w:eastAsia="仿宋_GB2312"/>
          <w:color w:val="000000"/>
          <w:sz w:val="32"/>
          <w:szCs w:val="32"/>
        </w:rPr>
      </w:pPr>
      <w:bookmarkStart w:id="133" w:name="_Toc9574"/>
      <w:bookmarkStart w:id="134" w:name="_Toc26102"/>
      <w:bookmarkStart w:id="135" w:name="_Toc51662586"/>
      <w:bookmarkStart w:id="136" w:name="_Toc460"/>
      <w:bookmarkStart w:id="137" w:name="_Toc20480"/>
      <w:bookmarkStart w:id="138" w:name="_Toc51662774"/>
      <w:r>
        <w:rPr>
          <w:rFonts w:hint="eastAsia" w:ascii="仿宋_GB2312" w:hAnsi="楷体" w:eastAsia="仿宋_GB2312"/>
          <w:color w:val="000000"/>
          <w:sz w:val="32"/>
          <w:szCs w:val="32"/>
        </w:rPr>
        <w:t>5.一般公共服务（类）市场监督管理事务（款）药品事务（项）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支出决算为12.69万元，完成预算100</w:t>
      </w:r>
      <w:r>
        <w:rPr>
          <w:rFonts w:ascii="仿宋_GB2312" w:hAnsi="楷体" w:eastAsia="仿宋_GB2312"/>
          <w:color w:val="000000"/>
          <w:sz w:val="32"/>
          <w:szCs w:val="32"/>
        </w:rPr>
        <w:t>%</w:t>
      </w:r>
      <w:r>
        <w:rPr>
          <w:rFonts w:hint="eastAsia" w:ascii="仿宋_GB2312" w:hAnsi="楷体" w:eastAsia="仿宋_GB2312"/>
          <w:color w:val="000000"/>
          <w:sz w:val="32"/>
          <w:szCs w:val="32"/>
        </w:rPr>
        <w:t>。</w:t>
      </w:r>
      <w:bookmarkEnd w:id="133"/>
      <w:bookmarkEnd w:id="134"/>
      <w:bookmarkEnd w:id="135"/>
      <w:bookmarkEnd w:id="136"/>
      <w:bookmarkEnd w:id="137"/>
      <w:bookmarkEnd w:id="138"/>
    </w:p>
    <w:p>
      <w:pPr>
        <w:spacing w:line="594" w:lineRule="exact"/>
        <w:ind w:firstLine="640" w:firstLineChars="200"/>
        <w:outlineLvl w:val="1"/>
        <w:rPr>
          <w:rFonts w:ascii="仿宋_GB2312" w:hAnsi="楷体" w:eastAsia="仿宋_GB2312"/>
          <w:color w:val="000000"/>
          <w:sz w:val="32"/>
          <w:szCs w:val="32"/>
        </w:rPr>
      </w:pPr>
      <w:bookmarkStart w:id="139" w:name="_Toc17204"/>
      <w:bookmarkStart w:id="140" w:name="_Toc12742"/>
      <w:bookmarkStart w:id="141" w:name="_Toc19645"/>
      <w:bookmarkStart w:id="142" w:name="_Toc22910"/>
      <w:bookmarkStart w:id="143" w:name="_Toc51662587"/>
      <w:bookmarkStart w:id="144" w:name="_Toc51662775"/>
      <w:r>
        <w:rPr>
          <w:rFonts w:hint="eastAsia" w:ascii="仿宋_GB2312" w:hAnsi="楷体" w:eastAsia="仿宋_GB2312"/>
          <w:color w:val="000000"/>
          <w:sz w:val="32"/>
          <w:szCs w:val="32"/>
        </w:rPr>
        <w:t>6. 一般公共服务（类）市场监督管理事务（款）食品安全监管（项）：支出决算为47.78万元，完成预算100%。</w:t>
      </w:r>
      <w:bookmarkEnd w:id="139"/>
      <w:bookmarkEnd w:id="140"/>
      <w:bookmarkEnd w:id="141"/>
    </w:p>
    <w:p>
      <w:pPr>
        <w:spacing w:line="594" w:lineRule="exact"/>
        <w:ind w:firstLine="640" w:firstLineChars="200"/>
        <w:outlineLvl w:val="1"/>
        <w:rPr>
          <w:rFonts w:ascii="仿宋_GB2312" w:hAnsi="楷体" w:eastAsia="仿宋_GB2312"/>
          <w:color w:val="000000"/>
          <w:sz w:val="32"/>
          <w:szCs w:val="32"/>
        </w:rPr>
      </w:pPr>
      <w:bookmarkStart w:id="145" w:name="_Toc17333"/>
      <w:bookmarkStart w:id="146" w:name="_Toc2130"/>
      <w:bookmarkStart w:id="147" w:name="_Toc18267"/>
      <w:r>
        <w:rPr>
          <w:rFonts w:hint="eastAsia" w:ascii="仿宋_GB2312" w:hAnsi="楷体" w:eastAsia="仿宋_GB2312"/>
          <w:color w:val="000000"/>
          <w:sz w:val="32"/>
          <w:szCs w:val="32"/>
        </w:rPr>
        <w:t>7.一般公共服务（类）市场监督管理事务（款）事业运行（项）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支出决算为46.36万元，完成预算100</w:t>
      </w:r>
      <w:r>
        <w:rPr>
          <w:rFonts w:ascii="仿宋_GB2312" w:hAnsi="楷体" w:eastAsia="仿宋_GB2312"/>
          <w:color w:val="000000"/>
          <w:sz w:val="32"/>
          <w:szCs w:val="32"/>
        </w:rPr>
        <w:t>%</w:t>
      </w:r>
      <w:r>
        <w:rPr>
          <w:rFonts w:hint="eastAsia" w:ascii="仿宋_GB2312" w:hAnsi="楷体" w:eastAsia="仿宋_GB2312"/>
          <w:color w:val="000000"/>
          <w:sz w:val="32"/>
          <w:szCs w:val="32"/>
        </w:rPr>
        <w:t>。</w:t>
      </w:r>
      <w:bookmarkEnd w:id="142"/>
      <w:bookmarkEnd w:id="143"/>
      <w:bookmarkEnd w:id="144"/>
      <w:bookmarkEnd w:id="145"/>
      <w:bookmarkEnd w:id="146"/>
      <w:bookmarkEnd w:id="147"/>
    </w:p>
    <w:p>
      <w:pPr>
        <w:spacing w:line="594" w:lineRule="exact"/>
        <w:ind w:firstLine="640" w:firstLineChars="200"/>
        <w:outlineLvl w:val="1"/>
        <w:rPr>
          <w:rFonts w:ascii="仿宋_GB2312" w:hAnsi="楷体" w:eastAsia="仿宋_GB2312"/>
          <w:color w:val="000000"/>
          <w:sz w:val="32"/>
          <w:szCs w:val="32"/>
        </w:rPr>
      </w:pPr>
      <w:bookmarkStart w:id="148" w:name="_Toc51662776"/>
      <w:bookmarkStart w:id="149" w:name="_Toc51662588"/>
      <w:bookmarkStart w:id="150" w:name="_Toc17036"/>
      <w:bookmarkStart w:id="151" w:name="_Toc32243"/>
      <w:bookmarkStart w:id="152" w:name="_Toc29289"/>
      <w:bookmarkStart w:id="153" w:name="_Toc8341"/>
      <w:r>
        <w:rPr>
          <w:rFonts w:hint="eastAsia" w:ascii="仿宋_GB2312" w:hAnsi="楷体" w:eastAsia="仿宋_GB2312"/>
          <w:color w:val="000000"/>
          <w:sz w:val="32"/>
          <w:szCs w:val="32"/>
        </w:rPr>
        <w:t>8. 一般公共服务（类）市场监督管理事务（款）其他市场监督管理事务（项）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支出决算为10.63万元，完成预算16.56</w:t>
      </w:r>
      <w:r>
        <w:rPr>
          <w:rFonts w:ascii="仿宋_GB2312" w:hAnsi="楷体" w:eastAsia="仿宋_GB2312"/>
          <w:color w:val="000000"/>
          <w:sz w:val="32"/>
          <w:szCs w:val="32"/>
        </w:rPr>
        <w:t>%</w:t>
      </w:r>
      <w:r>
        <w:rPr>
          <w:rFonts w:hint="eastAsia" w:ascii="仿宋_GB2312" w:hAnsi="楷体" w:eastAsia="仿宋_GB2312"/>
          <w:color w:val="000000"/>
          <w:sz w:val="32"/>
          <w:szCs w:val="32"/>
        </w:rPr>
        <w:t>，决算数小于预算数的主要原因是部份工作需于</w:t>
      </w:r>
      <w:r>
        <w:rPr>
          <w:rFonts w:ascii="仿宋_GB2312" w:hAnsi="楷体" w:eastAsia="仿宋_GB2312"/>
          <w:color w:val="000000"/>
          <w:sz w:val="32"/>
          <w:szCs w:val="32"/>
        </w:rPr>
        <w:t>20</w:t>
      </w:r>
      <w:r>
        <w:rPr>
          <w:rFonts w:hint="eastAsia" w:ascii="仿宋_GB2312" w:hAnsi="楷体" w:eastAsia="仿宋_GB2312"/>
          <w:color w:val="000000"/>
          <w:sz w:val="32"/>
          <w:szCs w:val="32"/>
        </w:rPr>
        <w:t>21年完成。</w:t>
      </w:r>
      <w:bookmarkEnd w:id="148"/>
      <w:bookmarkEnd w:id="149"/>
      <w:bookmarkEnd w:id="150"/>
      <w:bookmarkEnd w:id="151"/>
      <w:bookmarkEnd w:id="152"/>
      <w:bookmarkEnd w:id="153"/>
    </w:p>
    <w:p>
      <w:pPr>
        <w:spacing w:line="594" w:lineRule="exact"/>
        <w:ind w:firstLine="640" w:firstLineChars="200"/>
        <w:outlineLvl w:val="1"/>
        <w:rPr>
          <w:rFonts w:ascii="仿宋_GB2312" w:hAnsi="楷体" w:eastAsia="仿宋_GB2312"/>
          <w:color w:val="000000"/>
          <w:sz w:val="32"/>
          <w:szCs w:val="32"/>
        </w:rPr>
      </w:pPr>
      <w:bookmarkStart w:id="154" w:name="_Toc51662589"/>
      <w:bookmarkStart w:id="155" w:name="_Toc15905"/>
      <w:bookmarkStart w:id="156" w:name="_Toc51662777"/>
      <w:bookmarkStart w:id="157" w:name="_Toc24776"/>
      <w:bookmarkStart w:id="158" w:name="_Toc22240"/>
      <w:bookmarkStart w:id="159" w:name="_Toc6664"/>
      <w:r>
        <w:rPr>
          <w:rFonts w:hint="eastAsia" w:ascii="仿宋_GB2312" w:hAnsi="楷体" w:eastAsia="仿宋_GB2312"/>
          <w:color w:val="000000"/>
          <w:sz w:val="32"/>
          <w:szCs w:val="32"/>
        </w:rPr>
        <w:t>9</w:t>
      </w:r>
      <w:r>
        <w:rPr>
          <w:rFonts w:ascii="仿宋_GB2312" w:hAnsi="楷体" w:eastAsia="仿宋_GB2312"/>
          <w:color w:val="000000"/>
          <w:sz w:val="32"/>
          <w:szCs w:val="32"/>
        </w:rPr>
        <w:t>.</w:t>
      </w:r>
      <w:r>
        <w:rPr>
          <w:rFonts w:hint="eastAsia" w:ascii="仿宋_GB2312" w:hAnsi="楷体" w:eastAsia="仿宋_GB2312"/>
          <w:color w:val="000000"/>
          <w:sz w:val="32"/>
          <w:szCs w:val="32"/>
        </w:rPr>
        <w:t>社会保障和就业（类）行政事业单位离退休（款）机关事业单位基本养老保险缴费支出（项）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支出决算为54.42万元，完成预算</w:t>
      </w:r>
      <w:r>
        <w:rPr>
          <w:rFonts w:ascii="仿宋_GB2312" w:hAnsi="楷体" w:eastAsia="仿宋_GB2312"/>
          <w:color w:val="000000"/>
          <w:sz w:val="32"/>
          <w:szCs w:val="32"/>
        </w:rPr>
        <w:t>100%</w:t>
      </w:r>
      <w:r>
        <w:rPr>
          <w:rFonts w:hint="eastAsia" w:ascii="仿宋_GB2312" w:hAnsi="楷体" w:eastAsia="仿宋_GB2312"/>
          <w:color w:val="000000"/>
          <w:sz w:val="32"/>
          <w:szCs w:val="32"/>
        </w:rPr>
        <w:t>。</w:t>
      </w:r>
      <w:bookmarkEnd w:id="154"/>
      <w:bookmarkEnd w:id="155"/>
      <w:bookmarkEnd w:id="156"/>
      <w:bookmarkEnd w:id="157"/>
      <w:bookmarkEnd w:id="158"/>
      <w:bookmarkEnd w:id="159"/>
      <w:bookmarkStart w:id="160" w:name="_Toc51662778"/>
      <w:bookmarkStart w:id="161" w:name="_Toc51662590"/>
      <w:bookmarkStart w:id="162" w:name="_Toc24373"/>
    </w:p>
    <w:p>
      <w:pPr>
        <w:spacing w:line="594" w:lineRule="exact"/>
        <w:ind w:firstLine="640" w:firstLineChars="200"/>
        <w:outlineLvl w:val="1"/>
        <w:rPr>
          <w:rFonts w:ascii="仿宋_GB2312" w:hAnsi="楷体" w:eastAsia="仿宋_GB2312"/>
          <w:color w:val="000000"/>
          <w:sz w:val="32"/>
          <w:szCs w:val="32"/>
        </w:rPr>
      </w:pPr>
      <w:bookmarkStart w:id="163" w:name="_Toc2641"/>
      <w:bookmarkStart w:id="164" w:name="_Toc9285"/>
      <w:bookmarkStart w:id="165" w:name="_Toc29453"/>
      <w:r>
        <w:rPr>
          <w:rFonts w:hint="eastAsia" w:ascii="仿宋_GB2312" w:hAnsi="楷体" w:eastAsia="仿宋_GB2312"/>
          <w:color w:val="000000"/>
          <w:sz w:val="32"/>
          <w:szCs w:val="32"/>
        </w:rPr>
        <w:t>10</w:t>
      </w:r>
      <w:r>
        <w:rPr>
          <w:rFonts w:ascii="仿宋_GB2312" w:hAnsi="楷体" w:eastAsia="仿宋_GB2312"/>
          <w:color w:val="000000"/>
          <w:sz w:val="32"/>
          <w:szCs w:val="32"/>
        </w:rPr>
        <w:t>.</w:t>
      </w:r>
      <w:r>
        <w:rPr>
          <w:rFonts w:hint="eastAsia" w:ascii="仿宋_GB2312" w:hAnsi="楷体" w:eastAsia="仿宋_GB2312"/>
          <w:color w:val="000000"/>
          <w:sz w:val="32"/>
          <w:szCs w:val="32"/>
        </w:rPr>
        <w:t>社会保障和就业（类）行政事业单位离退休（款）机关事业单位职业年金缴费出（项）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支出决算为27.21万元，完成预算</w:t>
      </w:r>
      <w:r>
        <w:rPr>
          <w:rFonts w:ascii="仿宋_GB2312" w:hAnsi="楷体" w:eastAsia="仿宋_GB2312"/>
          <w:color w:val="000000"/>
          <w:sz w:val="32"/>
          <w:szCs w:val="32"/>
        </w:rPr>
        <w:t>100%</w:t>
      </w:r>
      <w:r>
        <w:rPr>
          <w:rFonts w:hint="eastAsia" w:ascii="仿宋_GB2312" w:hAnsi="楷体" w:eastAsia="仿宋_GB2312"/>
          <w:color w:val="000000"/>
          <w:sz w:val="32"/>
          <w:szCs w:val="32"/>
        </w:rPr>
        <w:t>。</w:t>
      </w:r>
      <w:bookmarkEnd w:id="160"/>
      <w:bookmarkEnd w:id="161"/>
      <w:bookmarkEnd w:id="162"/>
      <w:bookmarkEnd w:id="163"/>
      <w:bookmarkEnd w:id="164"/>
      <w:bookmarkEnd w:id="165"/>
    </w:p>
    <w:p>
      <w:pPr>
        <w:spacing w:line="594" w:lineRule="exact"/>
        <w:ind w:firstLine="640" w:firstLineChars="200"/>
        <w:outlineLvl w:val="1"/>
        <w:rPr>
          <w:rFonts w:ascii="仿宋_GB2312" w:hAnsi="楷体" w:eastAsia="仿宋_GB2312"/>
          <w:color w:val="000000"/>
          <w:sz w:val="32"/>
          <w:szCs w:val="32"/>
        </w:rPr>
      </w:pPr>
      <w:bookmarkStart w:id="166" w:name="_Toc51662779"/>
      <w:bookmarkStart w:id="167" w:name="_Toc51662591"/>
      <w:bookmarkStart w:id="168" w:name="_Toc26769"/>
      <w:bookmarkStart w:id="169" w:name="_Toc20470"/>
      <w:bookmarkStart w:id="170" w:name="_Toc27775"/>
      <w:bookmarkStart w:id="171" w:name="_Toc13125"/>
      <w:r>
        <w:rPr>
          <w:rFonts w:hint="eastAsia" w:ascii="仿宋_GB2312" w:hAnsi="楷体" w:eastAsia="仿宋_GB2312"/>
          <w:color w:val="000000"/>
          <w:sz w:val="32"/>
          <w:szCs w:val="32"/>
        </w:rPr>
        <w:t>11</w:t>
      </w:r>
      <w:bookmarkEnd w:id="166"/>
      <w:bookmarkEnd w:id="167"/>
      <w:bookmarkEnd w:id="168"/>
      <w:bookmarkStart w:id="172" w:name="_Toc14725"/>
      <w:bookmarkStart w:id="173" w:name="_Toc51662780"/>
      <w:bookmarkStart w:id="174" w:name="_Toc51662592"/>
      <w:r>
        <w:rPr>
          <w:rFonts w:ascii="仿宋_GB2312" w:hAnsi="楷体" w:eastAsia="仿宋_GB2312"/>
          <w:color w:val="000000"/>
          <w:sz w:val="32"/>
          <w:szCs w:val="32"/>
        </w:rPr>
        <w:t>.</w:t>
      </w:r>
      <w:r>
        <w:rPr>
          <w:rFonts w:hint="eastAsia" w:ascii="仿宋_GB2312" w:hAnsi="楷体" w:eastAsia="仿宋_GB2312"/>
          <w:color w:val="000000"/>
          <w:sz w:val="32"/>
          <w:szCs w:val="32"/>
        </w:rPr>
        <w:t>卫生健康（类）行政事业单位医疗（款）行政单位医疗（项）：支出决算为39.61万元，完成预算</w:t>
      </w:r>
      <w:r>
        <w:rPr>
          <w:rFonts w:ascii="仿宋_GB2312" w:hAnsi="楷体" w:eastAsia="仿宋_GB2312"/>
          <w:color w:val="000000"/>
          <w:sz w:val="32"/>
          <w:szCs w:val="32"/>
        </w:rPr>
        <w:t>100%</w:t>
      </w:r>
      <w:r>
        <w:rPr>
          <w:rFonts w:hint="eastAsia" w:ascii="仿宋_GB2312" w:hAnsi="楷体" w:eastAsia="仿宋_GB2312"/>
          <w:color w:val="000000"/>
          <w:sz w:val="32"/>
          <w:szCs w:val="32"/>
        </w:rPr>
        <w:t>。</w:t>
      </w:r>
      <w:bookmarkEnd w:id="169"/>
      <w:bookmarkEnd w:id="170"/>
      <w:bookmarkEnd w:id="171"/>
      <w:bookmarkEnd w:id="172"/>
      <w:bookmarkEnd w:id="173"/>
      <w:bookmarkEnd w:id="174"/>
    </w:p>
    <w:p>
      <w:pPr>
        <w:spacing w:line="594" w:lineRule="exact"/>
        <w:ind w:firstLine="640" w:firstLineChars="200"/>
        <w:outlineLvl w:val="1"/>
        <w:rPr>
          <w:rFonts w:ascii="仿宋_GB2312" w:hAnsi="楷体" w:eastAsia="仿宋_GB2312"/>
          <w:color w:val="000000"/>
          <w:sz w:val="32"/>
          <w:szCs w:val="32"/>
        </w:rPr>
      </w:pPr>
      <w:bookmarkStart w:id="175" w:name="_Toc51662781"/>
      <w:bookmarkStart w:id="176" w:name="_Toc51662593"/>
      <w:bookmarkStart w:id="177" w:name="_Toc17559"/>
      <w:bookmarkStart w:id="178" w:name="_Toc13516"/>
      <w:bookmarkStart w:id="179" w:name="_Toc18924"/>
      <w:bookmarkStart w:id="180" w:name="_Toc20156"/>
      <w:r>
        <w:rPr>
          <w:rFonts w:ascii="仿宋_GB2312" w:hAnsi="楷体" w:eastAsia="仿宋_GB2312"/>
          <w:color w:val="000000"/>
          <w:sz w:val="32"/>
          <w:szCs w:val="32"/>
        </w:rPr>
        <w:t>1</w:t>
      </w:r>
      <w:r>
        <w:rPr>
          <w:rFonts w:hint="eastAsia" w:ascii="仿宋_GB2312" w:hAnsi="楷体" w:eastAsia="仿宋_GB2312"/>
          <w:color w:val="000000"/>
          <w:sz w:val="32"/>
          <w:szCs w:val="32"/>
        </w:rPr>
        <w:t>2</w:t>
      </w:r>
      <w:r>
        <w:rPr>
          <w:rFonts w:ascii="仿宋_GB2312" w:hAnsi="楷体" w:eastAsia="仿宋_GB2312"/>
          <w:color w:val="000000"/>
          <w:sz w:val="32"/>
          <w:szCs w:val="32"/>
        </w:rPr>
        <w:t>.</w:t>
      </w:r>
      <w:r>
        <w:rPr>
          <w:rFonts w:hint="eastAsia" w:ascii="仿宋_GB2312" w:hAnsi="楷体" w:eastAsia="仿宋_GB2312"/>
          <w:color w:val="000000"/>
          <w:sz w:val="32"/>
          <w:szCs w:val="32"/>
        </w:rPr>
        <w:t>卫生健康（类）行政事业单位医疗（款）事业单位医疗（项）：支出决算为4.06万元，完成预算</w:t>
      </w:r>
      <w:r>
        <w:rPr>
          <w:rFonts w:ascii="仿宋_GB2312" w:hAnsi="楷体" w:eastAsia="仿宋_GB2312"/>
          <w:color w:val="000000"/>
          <w:sz w:val="32"/>
          <w:szCs w:val="32"/>
        </w:rPr>
        <w:t>100%</w:t>
      </w:r>
      <w:r>
        <w:rPr>
          <w:rFonts w:hint="eastAsia" w:ascii="仿宋_GB2312" w:hAnsi="楷体" w:eastAsia="仿宋_GB2312"/>
          <w:color w:val="000000"/>
          <w:sz w:val="32"/>
          <w:szCs w:val="32"/>
        </w:rPr>
        <w:t>。</w:t>
      </w:r>
      <w:bookmarkEnd w:id="175"/>
      <w:bookmarkEnd w:id="176"/>
      <w:bookmarkEnd w:id="177"/>
      <w:bookmarkEnd w:id="178"/>
      <w:bookmarkEnd w:id="179"/>
      <w:bookmarkEnd w:id="180"/>
    </w:p>
    <w:p>
      <w:pPr>
        <w:spacing w:line="594" w:lineRule="exact"/>
        <w:ind w:firstLine="640" w:firstLineChars="200"/>
        <w:outlineLvl w:val="1"/>
        <w:rPr>
          <w:rFonts w:ascii="仿宋_GB2312" w:hAnsi="楷体" w:eastAsia="仿宋_GB2312"/>
          <w:color w:val="000000"/>
          <w:sz w:val="32"/>
          <w:szCs w:val="32"/>
        </w:rPr>
      </w:pPr>
      <w:bookmarkStart w:id="181" w:name="_Toc51662594"/>
      <w:bookmarkStart w:id="182" w:name="_Toc31046"/>
      <w:bookmarkStart w:id="183" w:name="_Toc51662782"/>
      <w:bookmarkStart w:id="184" w:name="_Toc15046"/>
      <w:bookmarkStart w:id="185" w:name="_Toc3135"/>
      <w:bookmarkStart w:id="186" w:name="_Toc18770"/>
      <w:r>
        <w:rPr>
          <w:rFonts w:hint="eastAsia" w:ascii="仿宋_GB2312" w:hAnsi="楷体" w:eastAsia="仿宋_GB2312"/>
          <w:color w:val="000000"/>
          <w:sz w:val="32"/>
          <w:szCs w:val="32"/>
        </w:rPr>
        <w:t>13.农林水（类）扶贫（款）其他扶贫支出（项）：支出决算为0.96万元，完成预算100%。</w:t>
      </w:r>
      <w:bookmarkEnd w:id="181"/>
      <w:bookmarkEnd w:id="182"/>
      <w:bookmarkEnd w:id="183"/>
      <w:bookmarkEnd w:id="184"/>
      <w:bookmarkEnd w:id="185"/>
      <w:bookmarkEnd w:id="186"/>
    </w:p>
    <w:p>
      <w:pPr>
        <w:spacing w:line="594" w:lineRule="exact"/>
        <w:ind w:firstLine="640" w:firstLineChars="200"/>
        <w:outlineLvl w:val="1"/>
        <w:rPr>
          <w:rFonts w:ascii="仿宋_GB2312" w:hAnsi="楷体" w:eastAsia="仿宋_GB2312"/>
          <w:color w:val="000000"/>
          <w:sz w:val="32"/>
          <w:szCs w:val="32"/>
        </w:rPr>
      </w:pPr>
      <w:bookmarkStart w:id="187" w:name="_Toc27255"/>
      <w:bookmarkStart w:id="188" w:name="_Toc29583"/>
      <w:bookmarkStart w:id="189" w:name="_Toc51662595"/>
      <w:bookmarkStart w:id="190" w:name="_Toc51662783"/>
      <w:bookmarkStart w:id="191" w:name="_Toc15934"/>
      <w:bookmarkStart w:id="192" w:name="_Toc25985"/>
      <w:r>
        <w:rPr>
          <w:rFonts w:hint="eastAsia" w:ascii="仿宋_GB2312" w:hAnsi="楷体" w:eastAsia="仿宋_GB2312"/>
          <w:color w:val="000000"/>
          <w:sz w:val="32"/>
          <w:szCs w:val="32"/>
        </w:rPr>
        <w:t>14.住房保障支出（类）住房改革支出（款）住房公积金（项）：支出决算为58.18万元，完成预算</w:t>
      </w:r>
      <w:r>
        <w:rPr>
          <w:rFonts w:ascii="仿宋_GB2312" w:hAnsi="楷体" w:eastAsia="仿宋_GB2312"/>
          <w:color w:val="000000"/>
          <w:sz w:val="32"/>
          <w:szCs w:val="32"/>
        </w:rPr>
        <w:t>100%</w:t>
      </w:r>
      <w:r>
        <w:rPr>
          <w:rFonts w:hint="eastAsia" w:ascii="仿宋_GB2312" w:hAnsi="楷体" w:eastAsia="仿宋_GB2312"/>
          <w:color w:val="000000"/>
          <w:sz w:val="32"/>
          <w:szCs w:val="32"/>
        </w:rPr>
        <w:t>。</w:t>
      </w:r>
      <w:bookmarkEnd w:id="187"/>
      <w:bookmarkEnd w:id="188"/>
      <w:bookmarkEnd w:id="189"/>
      <w:bookmarkEnd w:id="190"/>
      <w:bookmarkEnd w:id="191"/>
      <w:bookmarkEnd w:id="192"/>
    </w:p>
    <w:p>
      <w:pPr>
        <w:spacing w:line="594" w:lineRule="exact"/>
        <w:ind w:firstLine="640" w:firstLineChars="200"/>
        <w:outlineLvl w:val="1"/>
        <w:rPr>
          <w:rFonts w:ascii="仿宋_GB2312" w:hAnsi="楷体" w:eastAsia="仿宋_GB2312"/>
          <w:color w:val="000000"/>
          <w:sz w:val="32"/>
          <w:szCs w:val="32"/>
        </w:rPr>
      </w:pPr>
      <w:bookmarkStart w:id="193" w:name="_Toc14683"/>
      <w:bookmarkStart w:id="194" w:name="_Toc32360"/>
      <w:bookmarkStart w:id="195" w:name="_Toc23019"/>
      <w:bookmarkStart w:id="196" w:name="_Toc3271"/>
      <w:bookmarkStart w:id="197" w:name="_Toc51662784"/>
      <w:bookmarkStart w:id="198" w:name="_Toc51662596"/>
      <w:r>
        <w:rPr>
          <w:rFonts w:hint="eastAsia" w:ascii="仿宋_GB2312" w:hAnsi="楷体" w:eastAsia="仿宋_GB2312"/>
          <w:color w:val="000000"/>
          <w:sz w:val="32"/>
          <w:szCs w:val="32"/>
        </w:rPr>
        <w:t>15. 住房保障支出（类）住房改革支出（款）购房补贴（项）：支出决算为3.05万元，完成预算</w:t>
      </w:r>
      <w:r>
        <w:rPr>
          <w:rFonts w:ascii="仿宋_GB2312" w:hAnsi="楷体" w:eastAsia="仿宋_GB2312"/>
          <w:color w:val="000000"/>
          <w:sz w:val="32"/>
          <w:szCs w:val="32"/>
        </w:rPr>
        <w:t>100%</w:t>
      </w:r>
      <w:r>
        <w:rPr>
          <w:rFonts w:hint="eastAsia" w:ascii="仿宋_GB2312" w:hAnsi="楷体" w:eastAsia="仿宋_GB2312"/>
          <w:color w:val="000000"/>
          <w:sz w:val="32"/>
          <w:szCs w:val="32"/>
        </w:rPr>
        <w:t>。</w:t>
      </w:r>
      <w:bookmarkEnd w:id="193"/>
      <w:bookmarkEnd w:id="194"/>
      <w:bookmarkEnd w:id="195"/>
      <w:bookmarkEnd w:id="196"/>
      <w:bookmarkEnd w:id="197"/>
      <w:bookmarkEnd w:id="198"/>
    </w:p>
    <w:p>
      <w:pPr>
        <w:spacing w:line="600" w:lineRule="exact"/>
        <w:ind w:firstLine="640"/>
        <w:outlineLvl w:val="1"/>
        <w:rPr>
          <w:rStyle w:val="24"/>
          <w:color w:val="7030A0"/>
        </w:rPr>
      </w:pPr>
      <w:bookmarkStart w:id="199" w:name="_Toc8660"/>
      <w:bookmarkStart w:id="200" w:name="_Toc30111"/>
      <w:bookmarkStart w:id="201" w:name="_Toc15377214"/>
      <w:bookmarkStart w:id="202" w:name="_Toc79163618"/>
      <w:bookmarkStart w:id="203" w:name="_Toc15396608"/>
      <w:bookmarkStart w:id="204" w:name="_Toc13496"/>
      <w:r>
        <w:rPr>
          <w:rStyle w:val="24"/>
          <w:rFonts w:hint="eastAsia" w:ascii="黑体" w:hAnsi="黑体" w:eastAsia="黑体"/>
        </w:rPr>
        <w:t>六、一</w:t>
      </w:r>
      <w:r>
        <w:rPr>
          <w:rStyle w:val="24"/>
          <w:rFonts w:hint="eastAsia" w:ascii="黑体" w:hAnsi="黑体" w:eastAsia="黑体"/>
          <w:bCs w:val="0"/>
        </w:rPr>
        <w:t>般公共预算财政拨款基本支出决算情况说明</w:t>
      </w:r>
      <w:bookmarkEnd w:id="199"/>
      <w:bookmarkEnd w:id="200"/>
      <w:bookmarkEnd w:id="201"/>
      <w:bookmarkEnd w:id="202"/>
      <w:bookmarkEnd w:id="203"/>
      <w:bookmarkEnd w:id="204"/>
      <w:r>
        <w:rPr>
          <w:rStyle w:val="24"/>
          <w:rFonts w:ascii="黑体" w:hAnsi="黑体" w:eastAsia="黑体"/>
          <w:bCs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年一般公共预算财政拨款基本支出895.83万元，其中：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851.31万元，主要包括：基本工资、津贴补贴、奖金、伙食补助费、绩效工资、机关事业单位基本养老保险缴费、职业年金缴费、其他社会保障缴费、其他工资福利支出、退休费、抚恤金、生活补助、医疗费补助、奖励金、住房公积金、其他对个人和家庭的补助支出等。</w:t>
      </w:r>
      <w:r>
        <w:rPr>
          <w:rFonts w:ascii="仿宋" w:hAnsi="仿宋" w:eastAsia="仿宋"/>
          <w:color w:val="7030A0"/>
          <w:sz w:val="32"/>
          <w:szCs w:val="32"/>
        </w:rPr>
        <w:br w:type="textWrapping"/>
      </w:r>
      <w:r>
        <w:rPr>
          <w:rFonts w:hint="eastAsia" w:ascii="仿宋" w:hAnsi="仿宋" w:eastAsia="仿宋"/>
          <w:color w:val="7030A0"/>
          <w:sz w:val="32"/>
          <w:szCs w:val="32"/>
        </w:rPr>
        <w:t>　　</w:t>
      </w:r>
      <w:r>
        <w:rPr>
          <w:rFonts w:hint="eastAsia" w:ascii="仿宋" w:hAnsi="仿宋" w:eastAsia="仿宋"/>
          <w:color w:val="000000"/>
          <w:sz w:val="32"/>
          <w:szCs w:val="32"/>
        </w:rPr>
        <w:t>日常公用经费44.52万元，主要包括：办公费、水费、电费、邮电费、差旅费、租赁费、培训费、公务接待费、劳务费、公务用车运行维护费、其他交通费、其他商品和服务支出、办公设备购置。</w:t>
      </w:r>
    </w:p>
    <w:p>
      <w:pPr>
        <w:spacing w:line="600" w:lineRule="exact"/>
        <w:ind w:firstLine="640"/>
        <w:outlineLvl w:val="1"/>
        <w:rPr>
          <w:rStyle w:val="24"/>
          <w:rFonts w:ascii="黑体" w:hAnsi="黑体" w:eastAsia="黑体"/>
          <w:b w:val="0"/>
        </w:rPr>
      </w:pPr>
      <w:bookmarkStart w:id="205" w:name="_Toc10622"/>
      <w:bookmarkStart w:id="206" w:name="_Toc31272"/>
      <w:bookmarkStart w:id="207" w:name="_Toc15396609"/>
      <w:bookmarkStart w:id="208" w:name="_Toc79163619"/>
      <w:bookmarkStart w:id="209" w:name="_Toc17591"/>
      <w:bookmarkStart w:id="210" w:name="_Toc15377215"/>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205"/>
      <w:bookmarkEnd w:id="206"/>
      <w:bookmarkEnd w:id="207"/>
      <w:bookmarkEnd w:id="208"/>
      <w:bookmarkEnd w:id="209"/>
      <w:bookmarkEnd w:id="210"/>
    </w:p>
    <w:p>
      <w:pPr>
        <w:spacing w:line="600" w:lineRule="exact"/>
        <w:ind w:firstLine="640"/>
        <w:outlineLvl w:val="2"/>
        <w:rPr>
          <w:rFonts w:ascii="仿宋" w:hAnsi="仿宋" w:eastAsia="仿宋"/>
          <w:b/>
          <w:color w:val="000000"/>
          <w:sz w:val="32"/>
          <w:szCs w:val="32"/>
        </w:rPr>
      </w:pPr>
      <w:bookmarkStart w:id="211" w:name="_Toc15377216"/>
      <w:bookmarkStart w:id="212" w:name="_Toc24115"/>
      <w:bookmarkStart w:id="213" w:name="_Toc79163620"/>
      <w:r>
        <w:rPr>
          <w:rFonts w:hint="eastAsia" w:ascii="仿宋" w:hAnsi="仿宋" w:eastAsia="仿宋"/>
          <w:b/>
          <w:color w:val="000000"/>
          <w:sz w:val="32"/>
          <w:szCs w:val="32"/>
        </w:rPr>
        <w:t>（一）“三公”经费财政拨款支出决算总体情况说明</w:t>
      </w:r>
      <w:bookmarkEnd w:id="211"/>
      <w:bookmarkEnd w:id="212"/>
      <w:bookmarkEnd w:id="21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年“三公”经费财政拨款支出决算为20.02万元，完成预算100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214" w:name="_Toc3217"/>
      <w:bookmarkStart w:id="215" w:name="_Toc79163621"/>
      <w:bookmarkStart w:id="216" w:name="_Toc15377217"/>
      <w:r>
        <w:rPr>
          <w:rFonts w:hint="eastAsia" w:ascii="仿宋" w:hAnsi="仿宋" w:eastAsia="仿宋"/>
          <w:b/>
          <w:color w:val="000000"/>
          <w:sz w:val="32"/>
          <w:szCs w:val="32"/>
        </w:rPr>
        <w:t>（二）“三公”经费财政拨款支出决算具体情况说明</w:t>
      </w:r>
      <w:bookmarkEnd w:id="214"/>
      <w:bookmarkEnd w:id="215"/>
      <w:bookmarkEnd w:id="216"/>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年“三公”经费财政拨款支出决算中，因公出国（境）费支出决算0万元；公务用车购置及运行维护费支出决算19.1万元，占95.40</w:t>
      </w:r>
      <w:r>
        <w:rPr>
          <w:rFonts w:ascii="仿宋" w:hAnsi="仿宋" w:eastAsia="仿宋"/>
          <w:color w:val="000000"/>
          <w:sz w:val="32"/>
          <w:szCs w:val="32"/>
        </w:rPr>
        <w:t>%</w:t>
      </w:r>
      <w:r>
        <w:rPr>
          <w:rFonts w:hint="eastAsia" w:ascii="仿宋" w:hAnsi="仿宋" w:eastAsia="仿宋"/>
          <w:color w:val="000000"/>
          <w:sz w:val="32"/>
          <w:szCs w:val="32"/>
        </w:rPr>
        <w:t>；公务接待费支出决算0.92万元，占4.60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7456" behindDoc="0" locked="0" layoutInCell="1" allowOverlap="1">
            <wp:simplePos x="0" y="0"/>
            <wp:positionH relativeFrom="column">
              <wp:posOffset>100965</wp:posOffset>
            </wp:positionH>
            <wp:positionV relativeFrom="paragraph">
              <wp:posOffset>128905</wp:posOffset>
            </wp:positionV>
            <wp:extent cx="5080000" cy="3810000"/>
            <wp:effectExtent l="4445" t="4445" r="20955" b="14605"/>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因公出国（境）经费支出0万元</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19.1万元</w:t>
      </w:r>
      <w:r>
        <w:rPr>
          <w:rFonts w:ascii="仿宋_GB2312" w:eastAsia="仿宋_GB2312"/>
          <w:color w:val="000000"/>
          <w:sz w:val="32"/>
          <w:szCs w:val="32"/>
        </w:rPr>
        <w:t>,</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9年减少5.7万元，下降22.98%。主要原因是疫情期间外县出差时间减少。</w:t>
      </w:r>
    </w:p>
    <w:p>
      <w:pPr>
        <w:spacing w:line="594" w:lineRule="exact"/>
        <w:ind w:firstLine="640" w:firstLineChars="200"/>
        <w:rPr>
          <w:rFonts w:ascii="仿宋_GB2312" w:hAnsi="楷体"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w:t>
      </w:r>
      <w:r>
        <w:rPr>
          <w:rFonts w:hint="eastAsia" w:ascii="仿宋_GB2312" w:hAnsi="楷体" w:eastAsia="仿宋_GB2312"/>
          <w:color w:val="000000"/>
          <w:sz w:val="32"/>
          <w:szCs w:val="32"/>
        </w:rPr>
        <w:t>共有公务用车</w:t>
      </w:r>
      <w:r>
        <w:rPr>
          <w:rFonts w:ascii="仿宋_GB2312" w:hAnsi="楷体" w:eastAsia="仿宋_GB2312"/>
          <w:color w:val="000000"/>
          <w:sz w:val="32"/>
          <w:szCs w:val="32"/>
        </w:rPr>
        <w:t>0</w:t>
      </w:r>
      <w:r>
        <w:rPr>
          <w:rFonts w:hint="eastAsia" w:ascii="仿宋_GB2312" w:hAnsi="楷体" w:eastAsia="仿宋_GB2312"/>
          <w:color w:val="000000"/>
          <w:sz w:val="32"/>
          <w:szCs w:val="32"/>
        </w:rPr>
        <w:t>辆，执法执勤</w:t>
      </w:r>
      <w:r>
        <w:rPr>
          <w:rFonts w:ascii="仿宋_GB2312" w:hAnsi="楷体" w:eastAsia="仿宋_GB2312"/>
          <w:color w:val="000000"/>
          <w:sz w:val="32"/>
          <w:szCs w:val="32"/>
        </w:rPr>
        <w:t>7</w:t>
      </w:r>
      <w:r>
        <w:rPr>
          <w:rFonts w:hint="eastAsia" w:ascii="仿宋_GB2312" w:hAnsi="楷体" w:eastAsia="仿宋_GB2312"/>
          <w:color w:val="000000"/>
          <w:sz w:val="32"/>
          <w:szCs w:val="32"/>
        </w:rPr>
        <w:t>辆，其他用车</w:t>
      </w:r>
      <w:r>
        <w:rPr>
          <w:rFonts w:ascii="仿宋_GB2312" w:hAnsi="楷体" w:eastAsia="仿宋_GB2312"/>
          <w:color w:val="000000"/>
          <w:sz w:val="32"/>
          <w:szCs w:val="32"/>
        </w:rPr>
        <w:t>5</w:t>
      </w:r>
      <w:r>
        <w:rPr>
          <w:rFonts w:hint="eastAsia" w:ascii="仿宋_GB2312" w:hAnsi="楷体" w:eastAsia="仿宋_GB2312"/>
          <w:color w:val="000000"/>
          <w:sz w:val="32"/>
          <w:szCs w:val="32"/>
        </w:rPr>
        <w:t>辆，其中：轿车</w:t>
      </w:r>
      <w:r>
        <w:rPr>
          <w:rFonts w:ascii="仿宋_GB2312" w:hAnsi="楷体" w:eastAsia="仿宋_GB2312"/>
          <w:color w:val="000000"/>
          <w:sz w:val="32"/>
          <w:szCs w:val="32"/>
        </w:rPr>
        <w:t>1</w:t>
      </w:r>
      <w:r>
        <w:rPr>
          <w:rFonts w:hint="eastAsia" w:ascii="仿宋_GB2312" w:hAnsi="楷体" w:eastAsia="仿宋_GB2312"/>
          <w:color w:val="000000"/>
          <w:sz w:val="32"/>
          <w:szCs w:val="32"/>
        </w:rPr>
        <w:t>辆、越野车</w:t>
      </w:r>
      <w:r>
        <w:rPr>
          <w:rFonts w:ascii="仿宋_GB2312" w:hAnsi="楷体" w:eastAsia="仿宋_GB2312"/>
          <w:color w:val="000000"/>
          <w:sz w:val="32"/>
          <w:szCs w:val="32"/>
        </w:rPr>
        <w:t>5</w:t>
      </w:r>
      <w:r>
        <w:rPr>
          <w:rFonts w:hint="eastAsia" w:ascii="仿宋_GB2312" w:hAnsi="楷体" w:eastAsia="仿宋_GB2312"/>
          <w:color w:val="000000"/>
          <w:sz w:val="32"/>
          <w:szCs w:val="32"/>
        </w:rPr>
        <w:t>辆、小型载客汽车</w:t>
      </w:r>
      <w:r>
        <w:rPr>
          <w:rFonts w:ascii="仿宋_GB2312" w:hAnsi="楷体" w:eastAsia="仿宋_GB2312"/>
          <w:color w:val="000000"/>
          <w:sz w:val="32"/>
          <w:szCs w:val="32"/>
        </w:rPr>
        <w:t>1</w:t>
      </w:r>
      <w:r>
        <w:rPr>
          <w:rFonts w:hint="eastAsia" w:ascii="仿宋_GB2312" w:hAnsi="楷体" w:eastAsia="仿宋_GB2312"/>
          <w:color w:val="000000"/>
          <w:sz w:val="32"/>
          <w:szCs w:val="32"/>
        </w:rPr>
        <w:t>辆，其他</w:t>
      </w:r>
      <w:r>
        <w:rPr>
          <w:rFonts w:ascii="仿宋_GB2312" w:hAnsi="楷体" w:eastAsia="仿宋_GB2312"/>
          <w:color w:val="000000"/>
          <w:sz w:val="32"/>
          <w:szCs w:val="32"/>
        </w:rPr>
        <w:t>5</w:t>
      </w:r>
      <w:r>
        <w:rPr>
          <w:rFonts w:hint="eastAsia" w:ascii="仿宋_GB2312" w:hAnsi="楷体" w:eastAsia="仿宋_GB2312"/>
          <w:color w:val="000000"/>
          <w:sz w:val="32"/>
          <w:szCs w:val="32"/>
        </w:rPr>
        <w:t>辆。</w:t>
      </w:r>
    </w:p>
    <w:p>
      <w:pPr>
        <w:spacing w:line="600" w:lineRule="exact"/>
        <w:ind w:firstLine="642" w:firstLineChars="200"/>
        <w:rPr>
          <w:rFonts w:ascii="仿宋_GB2312" w:hAnsi="楷体"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19.10万元。</w:t>
      </w:r>
      <w:r>
        <w:rPr>
          <w:rFonts w:hint="eastAsia" w:ascii="仿宋_GB2312" w:hAnsi="楷体" w:eastAsia="仿宋_GB2312"/>
          <w:color w:val="000000"/>
          <w:sz w:val="32"/>
          <w:szCs w:val="32"/>
        </w:rPr>
        <w:t>主要用于食品药品执法、质量特种设备执法、工商职能执法等所需的公务用车燃料费、维修费、过路过桥费、保险费等支出</w:t>
      </w:r>
    </w:p>
    <w:p>
      <w:pPr>
        <w:spacing w:line="600" w:lineRule="exact"/>
        <w:ind w:firstLine="642"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0.92万元，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年减少3.61万元，下降79.69</w:t>
      </w:r>
      <w:r>
        <w:rPr>
          <w:rFonts w:ascii="仿宋_GB2312" w:eastAsia="仿宋_GB2312"/>
          <w:color w:val="000000"/>
          <w:sz w:val="32"/>
          <w:szCs w:val="32"/>
        </w:rPr>
        <w:t>%</w:t>
      </w:r>
      <w:r>
        <w:rPr>
          <w:rFonts w:hint="eastAsia" w:ascii="仿宋_GB2312" w:eastAsia="仿宋_GB2312"/>
          <w:color w:val="000000"/>
          <w:sz w:val="32"/>
          <w:szCs w:val="32"/>
        </w:rPr>
        <w:t>。主要原因是：疫情期间公务接待减少，执行新的接待标准，同批次只接待一次。</w:t>
      </w:r>
    </w:p>
    <w:p>
      <w:pPr>
        <w:spacing w:line="594" w:lineRule="exact"/>
        <w:ind w:firstLine="642" w:firstLineChars="200"/>
        <w:rPr>
          <w:rFonts w:ascii="仿宋_GB2312" w:hAnsi="楷体"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0.92</w:t>
      </w:r>
      <w:r>
        <w:rPr>
          <w:rFonts w:hint="eastAsia" w:ascii="仿宋_GB2312" w:eastAsia="仿宋_GB2312"/>
          <w:color w:val="000000"/>
          <w:sz w:val="32"/>
          <w:szCs w:val="32"/>
        </w:rPr>
        <w:t>万元，</w:t>
      </w:r>
      <w:r>
        <w:rPr>
          <w:rFonts w:hint="eastAsia" w:ascii="仿宋_GB2312" w:hAnsi="楷体" w:eastAsia="仿宋_GB2312"/>
          <w:color w:val="000000"/>
          <w:sz w:val="32"/>
          <w:szCs w:val="32"/>
        </w:rPr>
        <w:t>主要原因是接待省、州专项检查、节假日及日常检查。国内公务接待14批次，92人次，共计支出0.92万元，具体内容包括：1.全省“地沟油”专项整治行动督查1106.00元；2.冷链食品疫情防控联合执法检查746.00元；3.危险化学品及特种设备监督工作1195.00元。4.乡镇卫生院计量器具检查380.00元。5.市场衡器和企业化验室检查730.00元。6.全省专利监管交叉督导调研1560.00元。7国庆、中秋旅游市场监督检查1075.00元。8.中小学校食品安全专项督查小组2410.00元。</w:t>
      </w:r>
    </w:p>
    <w:p>
      <w:pPr>
        <w:spacing w:line="600" w:lineRule="exact"/>
        <w:ind w:firstLine="642" w:firstLineChars="200"/>
        <w:rPr>
          <w:rFonts w:ascii="仿宋_GB2312" w:eastAsia="仿宋_GB2312"/>
          <w:color w:val="000000"/>
          <w:sz w:val="32"/>
          <w:szCs w:val="32"/>
        </w:rPr>
      </w:pPr>
      <w:r>
        <w:rPr>
          <w:rFonts w:hint="eastAsia" w:ascii="仿宋" w:hAnsi="仿宋" w:eastAsia="仿宋"/>
          <w:b/>
          <w:color w:val="000000"/>
          <w:sz w:val="32"/>
          <w:szCs w:val="32"/>
        </w:rPr>
        <w:t>外事接待支出0万元。</w:t>
      </w:r>
    </w:p>
    <w:p>
      <w:pPr>
        <w:spacing w:line="600" w:lineRule="exact"/>
        <w:ind w:firstLine="640"/>
        <w:outlineLvl w:val="1"/>
        <w:rPr>
          <w:rStyle w:val="24"/>
          <w:rFonts w:ascii="黑体" w:hAnsi="黑体" w:eastAsia="黑体"/>
        </w:rPr>
      </w:pPr>
      <w:bookmarkStart w:id="217" w:name="_Toc9152"/>
      <w:bookmarkStart w:id="218" w:name="_Toc9124"/>
      <w:bookmarkStart w:id="219" w:name="_Toc15377218"/>
      <w:bookmarkStart w:id="220" w:name="_Toc79163622"/>
      <w:bookmarkStart w:id="221" w:name="_Toc15396610"/>
      <w:bookmarkStart w:id="222" w:name="_Toc8169"/>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217"/>
      <w:bookmarkEnd w:id="218"/>
      <w:bookmarkEnd w:id="219"/>
      <w:bookmarkEnd w:id="220"/>
      <w:bookmarkEnd w:id="221"/>
      <w:bookmarkEnd w:id="22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年政府性基金预算拨款支出10万元。用于疫情期间办公及宣传费用。</w:t>
      </w:r>
    </w:p>
    <w:p>
      <w:pPr>
        <w:numPr>
          <w:ilvl w:val="0"/>
          <w:numId w:val="3"/>
        </w:numPr>
        <w:spacing w:line="600" w:lineRule="exact"/>
        <w:ind w:firstLine="640"/>
        <w:outlineLvl w:val="1"/>
        <w:rPr>
          <w:rStyle w:val="24"/>
          <w:rFonts w:ascii="黑体" w:hAnsi="黑体" w:eastAsia="黑体"/>
          <w:b w:val="0"/>
        </w:rPr>
      </w:pPr>
      <w:bookmarkStart w:id="223" w:name="_Toc79163623"/>
      <w:bookmarkStart w:id="224" w:name="_Toc15377219"/>
      <w:bookmarkStart w:id="225" w:name="_Toc8914"/>
      <w:bookmarkStart w:id="226" w:name="_Toc13031"/>
      <w:bookmarkStart w:id="227" w:name="_Toc30835"/>
      <w:bookmarkStart w:id="228" w:name="_Toc15396611"/>
      <w:r>
        <w:rPr>
          <w:rStyle w:val="24"/>
          <w:rFonts w:hint="eastAsia" w:ascii="黑体" w:hAnsi="黑体" w:eastAsia="黑体"/>
          <w:b w:val="0"/>
        </w:rPr>
        <w:t>国有资本经营预算支出决算情况说明</w:t>
      </w:r>
      <w:bookmarkEnd w:id="223"/>
      <w:bookmarkEnd w:id="224"/>
      <w:bookmarkEnd w:id="225"/>
      <w:bookmarkEnd w:id="226"/>
      <w:bookmarkEnd w:id="227"/>
      <w:bookmarkEnd w:id="22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年国有资本经营预算拨款支出0万元。</w:t>
      </w:r>
    </w:p>
    <w:p>
      <w:pPr>
        <w:spacing w:line="600" w:lineRule="exact"/>
        <w:ind w:firstLine="627" w:firstLineChars="196"/>
        <w:outlineLvl w:val="1"/>
        <w:rPr>
          <w:rStyle w:val="24"/>
          <w:rFonts w:ascii="黑体" w:hAnsi="黑体" w:eastAsia="黑体"/>
          <w:b w:val="0"/>
          <w:bCs w:val="0"/>
        </w:rPr>
      </w:pPr>
      <w:bookmarkStart w:id="229" w:name="_Toc5960"/>
      <w:bookmarkStart w:id="230" w:name="_Toc13976"/>
      <w:bookmarkStart w:id="231" w:name="_Toc15377221"/>
      <w:bookmarkStart w:id="232" w:name="_Toc15396612"/>
      <w:bookmarkStart w:id="233" w:name="_Toc79163624"/>
      <w:bookmarkStart w:id="234" w:name="_Toc19806"/>
      <w:r>
        <w:rPr>
          <w:rStyle w:val="24"/>
          <w:rFonts w:hint="eastAsia" w:ascii="黑体" w:hAnsi="黑体" w:eastAsia="黑体"/>
          <w:b w:val="0"/>
          <w:bCs w:val="0"/>
        </w:rPr>
        <w:t>十、其他重要事项的情况说明</w:t>
      </w:r>
      <w:bookmarkEnd w:id="229"/>
      <w:bookmarkEnd w:id="230"/>
      <w:bookmarkEnd w:id="231"/>
      <w:bookmarkEnd w:id="232"/>
      <w:bookmarkEnd w:id="233"/>
      <w:bookmarkEnd w:id="234"/>
    </w:p>
    <w:p>
      <w:pPr>
        <w:autoSpaceDE w:val="0"/>
        <w:autoSpaceDN w:val="0"/>
        <w:adjustRightInd w:val="0"/>
        <w:spacing w:line="600" w:lineRule="exact"/>
        <w:ind w:firstLine="642" w:firstLineChars="200"/>
        <w:jc w:val="left"/>
        <w:outlineLvl w:val="2"/>
        <w:rPr>
          <w:rFonts w:hint="eastAsia" w:ascii="仿宋" w:hAnsi="仿宋" w:eastAsia="仿宋"/>
          <w:b/>
          <w:color w:val="000000"/>
          <w:sz w:val="32"/>
          <w:szCs w:val="32"/>
        </w:rPr>
      </w:pPr>
      <w:bookmarkStart w:id="235" w:name="_Toc15377222"/>
      <w:bookmarkStart w:id="236" w:name="_Toc79163625"/>
      <w:r>
        <w:rPr>
          <w:rFonts w:hint="eastAsia" w:ascii="仿宋" w:hAnsi="仿宋" w:eastAsia="仿宋"/>
          <w:b/>
          <w:color w:val="000000"/>
          <w:sz w:val="32"/>
          <w:szCs w:val="32"/>
        </w:rPr>
        <w:t>（一）机关运行经费支出情况</w:t>
      </w:r>
      <w:bookmarkEnd w:id="235"/>
      <w:bookmarkEnd w:id="236"/>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年，茂县市场监督管理局机关运行经费支出42.11万元，比</w:t>
      </w:r>
      <w:r>
        <w:rPr>
          <w:rFonts w:ascii="仿宋_GB2312" w:eastAsia="仿宋_GB2312"/>
          <w:color w:val="000000"/>
          <w:sz w:val="32"/>
          <w:szCs w:val="32"/>
        </w:rPr>
        <w:t>2019</w:t>
      </w:r>
      <w:r>
        <w:rPr>
          <w:rFonts w:hint="eastAsia" w:ascii="仿宋_GB2312" w:eastAsia="仿宋_GB2312"/>
          <w:color w:val="000000"/>
          <w:sz w:val="32"/>
          <w:szCs w:val="32"/>
        </w:rPr>
        <w:t>年减少75.08万元，下降178</w:t>
      </w:r>
      <w:r>
        <w:rPr>
          <w:rFonts w:ascii="仿宋_GB2312" w:eastAsia="仿宋_GB2312"/>
          <w:color w:val="000000"/>
          <w:sz w:val="32"/>
          <w:szCs w:val="32"/>
        </w:rPr>
        <w:t>%</w:t>
      </w:r>
      <w:r>
        <w:rPr>
          <w:rFonts w:hint="eastAsia" w:ascii="仿宋_GB2312" w:eastAsia="仿宋_GB2312"/>
          <w:color w:val="000000"/>
          <w:sz w:val="32"/>
          <w:szCs w:val="32"/>
        </w:rPr>
        <w:t>（或与</w:t>
      </w:r>
      <w:r>
        <w:rPr>
          <w:rFonts w:ascii="仿宋_GB2312" w:eastAsia="仿宋_GB2312"/>
          <w:color w:val="000000"/>
          <w:sz w:val="32"/>
          <w:szCs w:val="32"/>
        </w:rPr>
        <w:t>2019</w:t>
      </w:r>
      <w:r>
        <w:rPr>
          <w:rFonts w:hint="eastAsia" w:ascii="仿宋_GB2312" w:eastAsia="仿宋_GB2312"/>
          <w:color w:val="000000"/>
          <w:sz w:val="32"/>
          <w:szCs w:val="32"/>
        </w:rPr>
        <w:t>年决算数持平）。主要原因是：一是人员减少，机构运行经费减少；二是2020年知识产权经费尚未支付完毕，需2021年支付。</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237" w:name="_Toc79163626"/>
      <w:bookmarkStart w:id="238" w:name="_Toc26204"/>
      <w:bookmarkStart w:id="239" w:name="_Toc15377223"/>
      <w:r>
        <w:rPr>
          <w:rFonts w:hint="eastAsia" w:ascii="仿宋" w:hAnsi="仿宋" w:eastAsia="仿宋"/>
          <w:b/>
          <w:color w:val="000000"/>
          <w:sz w:val="32"/>
          <w:szCs w:val="32"/>
        </w:rPr>
        <w:t>（二）政府采购支出情况</w:t>
      </w:r>
      <w:bookmarkEnd w:id="237"/>
      <w:bookmarkEnd w:id="238"/>
      <w:bookmarkEnd w:id="23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年，茂县市场监督管理局政府采购支出总额0.29万元，其中：政府采购货物支出0.29万元、政府采购工程支出0万元、政府采购服务支出0万元。主要用于:支付电脑质保金。</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240" w:name="_Toc15377224"/>
      <w:bookmarkStart w:id="241" w:name="_Toc11371"/>
      <w:bookmarkStart w:id="242" w:name="_Toc79163627"/>
      <w:r>
        <w:rPr>
          <w:rFonts w:hint="eastAsia" w:ascii="仿宋" w:hAnsi="仿宋" w:eastAsia="仿宋"/>
          <w:b/>
          <w:color w:val="000000"/>
          <w:sz w:val="32"/>
          <w:szCs w:val="32"/>
        </w:rPr>
        <w:t>（三）国有资产占有使用情况</w:t>
      </w:r>
      <w:bookmarkEnd w:id="240"/>
      <w:bookmarkEnd w:id="241"/>
      <w:bookmarkEnd w:id="242"/>
    </w:p>
    <w:p>
      <w:pPr>
        <w:autoSpaceDE w:val="0"/>
        <w:autoSpaceDN w:val="0"/>
        <w:adjustRightInd w:val="0"/>
        <w:spacing w:line="594"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日，我局共有车辆12辆，其中：主要领导干部用车0辆、机要通信用车0辆、应急保障用车0辆、执法执勤车辆7，其他用车5辆。</w:t>
      </w:r>
      <w:r>
        <w:rPr>
          <w:rFonts w:hint="eastAsia" w:ascii="仿宋_GB2312" w:eastAsia="仿宋_GB2312"/>
          <w:color w:val="000000" w:themeColor="text1"/>
          <w:sz w:val="32"/>
          <w:szCs w:val="32"/>
        </w:rPr>
        <w:t>其他用车主要是用于市场监督检查的电瓶车。单价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万元以上通用设备1台，单价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243" w:name="_Toc22088"/>
      <w:bookmarkStart w:id="244" w:name="_Toc79163628"/>
      <w:r>
        <w:rPr>
          <w:rFonts w:hint="eastAsia" w:ascii="仿宋" w:hAnsi="仿宋" w:eastAsia="仿宋"/>
          <w:b/>
          <w:color w:val="000000"/>
          <w:sz w:val="32"/>
          <w:szCs w:val="32"/>
        </w:rPr>
        <w:t>（四）预算绩效管理情况。</w:t>
      </w:r>
      <w:bookmarkEnd w:id="243"/>
      <w:bookmarkEnd w:id="244"/>
    </w:p>
    <w:p>
      <w:pPr>
        <w:spacing w:line="594"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根据预算绩效管理要求，市场监管局在年初预算编制阶段，组织对11个项目开展了预算事前绩效评估，对11个项目编制了绩效目标，预算执行过程中，选取5个项目开展绩效监控，年终执行完毕后，对5个项目开展了绩效目标完成情况梳理填报。</w:t>
      </w:r>
    </w:p>
    <w:p>
      <w:pPr>
        <w:spacing w:line="594"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我局按要求对</w:t>
      </w:r>
      <w:r>
        <w:rPr>
          <w:rFonts w:ascii="仿宋_GB2312" w:hAnsi="楷体" w:eastAsia="仿宋_GB2312"/>
          <w:color w:val="000000"/>
          <w:sz w:val="32"/>
          <w:szCs w:val="32"/>
        </w:rPr>
        <w:t>20</w:t>
      </w:r>
      <w:r>
        <w:rPr>
          <w:rFonts w:hint="eastAsia" w:ascii="仿宋_GB2312" w:hAnsi="楷体" w:eastAsia="仿宋_GB2312"/>
          <w:color w:val="000000"/>
          <w:sz w:val="32"/>
          <w:szCs w:val="32"/>
        </w:rPr>
        <w:t>20年部门整体支出开展绩效自评，从评价情况来整体运行情况良好，全年的基本支出保证了部门的正常运转和日常工作。本部门还自行组织了5个项目绩效评价，从评价情况来看项经费保障了重点工作开展，绩效目标得到了较好的实现，绩效管理水平不断提高。</w:t>
      </w:r>
    </w:p>
    <w:p>
      <w:pPr>
        <w:spacing w:line="594"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1.项目绩效目标完成情况。</w:t>
      </w:r>
      <w:r>
        <w:rPr>
          <w:rFonts w:hint="eastAsia" w:ascii="仿宋_GB2312" w:hAnsi="楷体" w:eastAsia="仿宋_GB2312"/>
          <w:color w:val="000000"/>
          <w:sz w:val="32"/>
          <w:szCs w:val="32"/>
        </w:rPr>
        <w:br w:type="textWrapping"/>
      </w:r>
      <w:r>
        <w:rPr>
          <w:rFonts w:hint="eastAsia" w:ascii="仿宋_GB2312" w:hAnsi="楷体" w:eastAsia="仿宋_GB2312"/>
          <w:color w:val="000000"/>
          <w:sz w:val="32"/>
          <w:szCs w:val="32"/>
        </w:rPr>
        <w:t xml:space="preserve">    本部门在2020年度部门决算中反映“2020年中央药品监管补助资金项目”、“2020年中央食品监管补助资金项目”“ 2020年食品检测项目”、“2020年红盾春雷项目”、“2020年‘宝石小镇’知识产权品牌创建项目”等5个项目绩效目标实际完成情况。</w:t>
      </w:r>
    </w:p>
    <w:p>
      <w:pPr>
        <w:spacing w:line="594"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1）2020年中央药品监管补助资金项目绩效目标完成情况综述。项目全年预算数12.4万元，执行数为12.31万元，完成预算的99.27%。通过项目实施，强化日常监管和专项整治执力度，加大对制售假冒伪劣药品违法犯罪活动的力度，进一步规范药品经营使用秩序。发现的主要问题：资金支付进度慢。下一步改进措施：2021年加快资金使用进度</w:t>
      </w:r>
    </w:p>
    <w:p>
      <w:pPr>
        <w:spacing w:line="594"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2）2020年中央食品监管补助资金项目绩效目标完成情况综述。项目全年预算数6万元，执行数为3.34万元，完成预算的55.67%。通过项目实施：1、提高食品风险隐患排查力度；2、强化食品抽查监督工作力度；3加强大案要案的查办力度；4、提高培训对象对培训工作满意度。</w:t>
      </w:r>
    </w:p>
    <w:p>
      <w:pPr>
        <w:spacing w:line="594"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3）2020年食品检测项目绩效目标完成情况综述。项目全年预算数47.78万元，执行数为47.78万元，完成预算的100%。通过项目实施，提升食品监管、抽样水平，推动了全县食品安全、重大活动安全工作开展，保证我县食品监管的水平和食品安全。</w:t>
      </w:r>
    </w:p>
    <w:p>
      <w:pPr>
        <w:spacing w:line="594"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（4）2020年新型冠状肺炎项目完成情况综述。项目全年预算数10万元，执行数为10万元，完成预算的100%。通过项目实施：保证在疫情期间我县人民群众在饮食用药安全有效。</w:t>
      </w:r>
    </w:p>
    <w:p>
      <w:pPr>
        <w:spacing w:line="594" w:lineRule="exact"/>
        <w:ind w:firstLine="640" w:firstLineChars="200"/>
        <w:rPr>
          <w:rFonts w:ascii="仿宋_GB2312" w:hAnsi="楷体" w:eastAsia="仿宋_GB2312"/>
          <w:color w:val="FF0000"/>
          <w:sz w:val="32"/>
          <w:szCs w:val="32"/>
        </w:rPr>
      </w:pPr>
      <w:r>
        <w:rPr>
          <w:rFonts w:hint="eastAsia" w:ascii="仿宋_GB2312" w:hAnsi="楷体" w:eastAsia="仿宋_GB2312"/>
          <w:color w:val="000000"/>
          <w:sz w:val="32"/>
          <w:szCs w:val="32"/>
        </w:rPr>
        <w:t xml:space="preserve">（5）2020年“宝石小镇”知识产权品牌创建项目绩效目标完成情况综述。项目全年预算数9.94万元，执行数9.94万元，完成预算100%，通过项目实施：1、有效提高品牌保护效果；2、促进农旅结合、工业产品与羌族传统文化结合，3、提高文化走廊的美誉度和影响力。          </w:t>
      </w:r>
    </w:p>
    <w:p>
      <w:pPr>
        <w:spacing w:line="576" w:lineRule="exact"/>
        <w:ind w:firstLine="640" w:firstLineChars="200"/>
        <w:rPr>
          <w:rFonts w:ascii="仿宋_GB2312" w:hAnsi="楷体" w:eastAsia="仿宋_GB2312"/>
          <w:color w:val="FF0000"/>
          <w:sz w:val="32"/>
          <w:szCs w:val="32"/>
        </w:rPr>
      </w:pPr>
      <w:r>
        <w:rPr>
          <w:rFonts w:hint="eastAsia" w:ascii="仿宋_GB2312" w:hAnsi="楷体" w:eastAsia="仿宋_GB2312"/>
          <w:color w:val="FF0000"/>
          <w:sz w:val="32"/>
          <w:szCs w:val="32"/>
        </w:rPr>
        <w:t xml:space="preserve">      </w:t>
      </w:r>
    </w:p>
    <w:p>
      <w:pPr>
        <w:spacing w:line="576" w:lineRule="exact"/>
        <w:ind w:firstLine="640" w:firstLineChars="200"/>
        <w:rPr>
          <w:rFonts w:ascii="仿宋_GB2312" w:hAnsi="楷体" w:eastAsia="仿宋_GB2312"/>
          <w:color w:val="FF0000"/>
          <w:sz w:val="32"/>
          <w:szCs w:val="32"/>
        </w:rPr>
      </w:pPr>
    </w:p>
    <w:p>
      <w:pPr>
        <w:spacing w:line="576" w:lineRule="exact"/>
        <w:ind w:firstLine="640" w:firstLineChars="200"/>
        <w:rPr>
          <w:rFonts w:ascii="仿宋_GB2312" w:hAnsi="楷体" w:eastAsia="仿宋_GB2312"/>
          <w:color w:val="FF0000"/>
          <w:sz w:val="32"/>
          <w:szCs w:val="32"/>
        </w:rPr>
      </w:pPr>
    </w:p>
    <w:p>
      <w:pPr>
        <w:spacing w:line="576" w:lineRule="exact"/>
        <w:ind w:firstLine="640" w:firstLineChars="200"/>
        <w:rPr>
          <w:rFonts w:ascii="仿宋_GB2312" w:hAnsi="楷体" w:eastAsia="仿宋_GB2312"/>
          <w:color w:val="FF0000"/>
          <w:sz w:val="32"/>
          <w:szCs w:val="32"/>
        </w:rPr>
      </w:pPr>
    </w:p>
    <w:p>
      <w:pPr>
        <w:spacing w:line="576" w:lineRule="exact"/>
        <w:ind w:firstLine="640" w:firstLineChars="200"/>
        <w:rPr>
          <w:rFonts w:ascii="仿宋_GB2312" w:hAnsi="楷体" w:eastAsia="仿宋_GB2312"/>
          <w:color w:val="FF0000"/>
          <w:sz w:val="32"/>
          <w:szCs w:val="32"/>
        </w:rPr>
      </w:pPr>
    </w:p>
    <w:p>
      <w:pPr>
        <w:spacing w:line="576" w:lineRule="exact"/>
        <w:ind w:firstLine="640" w:firstLineChars="200"/>
        <w:rPr>
          <w:rFonts w:ascii="仿宋_GB2312" w:hAnsi="楷体" w:eastAsia="仿宋_GB2312"/>
          <w:color w:val="FF0000"/>
          <w:sz w:val="32"/>
          <w:szCs w:val="32"/>
        </w:rPr>
      </w:pPr>
    </w:p>
    <w:p>
      <w:pPr>
        <w:spacing w:line="576" w:lineRule="exact"/>
        <w:ind w:firstLine="640" w:firstLineChars="200"/>
        <w:rPr>
          <w:rFonts w:ascii="仿宋_GB2312" w:hAnsi="楷体" w:eastAsia="仿宋_GB2312"/>
          <w:color w:val="FF0000"/>
          <w:sz w:val="32"/>
          <w:szCs w:val="32"/>
        </w:rPr>
      </w:pPr>
    </w:p>
    <w:tbl>
      <w:tblPr>
        <w:tblStyle w:val="19"/>
        <w:tblpPr w:leftFromText="180" w:rightFromText="180" w:vertAnchor="text" w:horzAnchor="page" w:tblpXSpec="center" w:tblpY="423"/>
        <w:tblOverlap w:val="never"/>
        <w:tblW w:w="10505" w:type="dxa"/>
        <w:jc w:val="center"/>
        <w:tblLayout w:type="fixed"/>
        <w:tblCellMar>
          <w:top w:w="0" w:type="dxa"/>
          <w:left w:w="0" w:type="dxa"/>
          <w:bottom w:w="0" w:type="dxa"/>
          <w:right w:w="0" w:type="dxa"/>
        </w:tblCellMar>
      </w:tblPr>
      <w:tblGrid>
        <w:gridCol w:w="582"/>
        <w:gridCol w:w="851"/>
        <w:gridCol w:w="709"/>
        <w:gridCol w:w="640"/>
        <w:gridCol w:w="1628"/>
        <w:gridCol w:w="2976"/>
        <w:gridCol w:w="993"/>
        <w:gridCol w:w="2126"/>
      </w:tblGrid>
      <w:tr>
        <w:tblPrEx>
          <w:tblCellMar>
            <w:top w:w="0" w:type="dxa"/>
            <w:left w:w="0" w:type="dxa"/>
            <w:bottom w:w="0" w:type="dxa"/>
            <w:right w:w="0" w:type="dxa"/>
          </w:tblCellMar>
        </w:tblPrEx>
        <w:trPr>
          <w:trHeight w:val="90" w:hRule="atLeast"/>
          <w:jc w:val="center"/>
        </w:trPr>
        <w:tc>
          <w:tcPr>
            <w:tcW w:w="10505"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项目名称</w:t>
            </w:r>
          </w:p>
        </w:tc>
        <w:tc>
          <w:tcPr>
            <w:tcW w:w="772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5"/>
                <w:szCs w:val="15"/>
              </w:rPr>
            </w:pPr>
            <w:r>
              <w:rPr>
                <w:rFonts w:ascii="宋体" w:hAnsi="宋体" w:cs="宋体"/>
                <w:color w:val="000000"/>
                <w:kern w:val="0"/>
                <w:sz w:val="15"/>
                <w:szCs w:val="15"/>
              </w:rPr>
              <w:t>20</w:t>
            </w:r>
            <w:r>
              <w:rPr>
                <w:rFonts w:hint="eastAsia" w:ascii="宋体" w:hAnsi="宋体" w:cs="宋体"/>
                <w:color w:val="000000"/>
                <w:kern w:val="0"/>
                <w:sz w:val="15"/>
                <w:szCs w:val="15"/>
              </w:rPr>
              <w:t>20年中央药品监管补助资金项目</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预算单位</w:t>
            </w:r>
          </w:p>
        </w:tc>
        <w:tc>
          <w:tcPr>
            <w:tcW w:w="772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5"/>
                <w:szCs w:val="15"/>
              </w:rPr>
            </w:pPr>
            <w:r>
              <w:rPr>
                <w:rFonts w:hint="eastAsia" w:ascii="宋体" w:hAnsi="宋体" w:cs="宋体"/>
                <w:color w:val="000000"/>
                <w:kern w:val="0"/>
                <w:sz w:val="15"/>
                <w:szCs w:val="15"/>
              </w:rPr>
              <w:t>茂县市场监督管理局</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预算执行情况</w:t>
            </w:r>
            <w:r>
              <w:rPr>
                <w:rFonts w:ascii="宋体" w:hAnsi="宋体" w:cs="宋体"/>
                <w:color w:val="000000"/>
                <w:kern w:val="0"/>
                <w:sz w:val="15"/>
                <w:szCs w:val="15"/>
              </w:rPr>
              <w:t>(</w:t>
            </w:r>
            <w:r>
              <w:rPr>
                <w:rFonts w:hint="eastAsia" w:ascii="宋体" w:hAnsi="宋体" w:cs="宋体"/>
                <w:color w:val="000000"/>
                <w:kern w:val="0"/>
                <w:sz w:val="15"/>
                <w:szCs w:val="15"/>
              </w:rPr>
              <w:t>万元</w:t>
            </w:r>
            <w:r>
              <w:rPr>
                <w:rFonts w:ascii="宋体" w:hAnsi="宋体" w:cs="宋体"/>
                <w:color w:val="000000"/>
                <w:kern w:val="0"/>
                <w:sz w:val="15"/>
                <w:szCs w:val="15"/>
              </w:rPr>
              <w:t>)</w:t>
            </w: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预算数</w:t>
            </w:r>
            <w:r>
              <w:rPr>
                <w:rFonts w:ascii="宋体" w:hAnsi="宋体" w:cs="宋体"/>
                <w:color w:val="000000"/>
                <w:kern w:val="0"/>
                <w:sz w:val="15"/>
                <w:szCs w:val="15"/>
              </w:rPr>
              <w:t>:</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12.4</w:t>
            </w:r>
          </w:p>
        </w:tc>
        <w:tc>
          <w:tcPr>
            <w:tcW w:w="396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执行数</w:t>
            </w:r>
            <w:r>
              <w:rPr>
                <w:rFonts w:ascii="宋体" w:hAns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12.31</w:t>
            </w:r>
          </w:p>
        </w:tc>
      </w:tr>
      <w:tr>
        <w:tblPrEx>
          <w:tblCellMar>
            <w:top w:w="0" w:type="dxa"/>
            <w:left w:w="0" w:type="dxa"/>
            <w:bottom w:w="0" w:type="dxa"/>
            <w:right w:w="0" w:type="dxa"/>
          </w:tblCellMar>
        </w:tblPrEx>
        <w:trPr>
          <w:trHeight w:val="276"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5"/>
                <w:szCs w:val="15"/>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其中</w:t>
            </w:r>
            <w:r>
              <w:rPr>
                <w:rFonts w:ascii="宋体" w:cs="宋体"/>
                <w:color w:val="000000"/>
                <w:kern w:val="0"/>
                <w:sz w:val="15"/>
                <w:szCs w:val="15"/>
              </w:rPr>
              <w:t>-</w:t>
            </w:r>
            <w:r>
              <w:rPr>
                <w:rFonts w:hint="eastAsia" w:ascii="宋体" w:hAnsi="宋体" w:cs="宋体"/>
                <w:color w:val="000000"/>
                <w:kern w:val="0"/>
                <w:sz w:val="15"/>
                <w:szCs w:val="15"/>
              </w:rPr>
              <w:t>财政拨款</w:t>
            </w:r>
            <w:r>
              <w:rPr>
                <w:rFonts w:ascii="宋体" w:hAnsi="宋体" w:cs="宋体"/>
                <w:color w:val="000000"/>
                <w:kern w:val="0"/>
                <w:sz w:val="15"/>
                <w:szCs w:val="15"/>
              </w:rPr>
              <w:t>:</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12.4</w:t>
            </w:r>
          </w:p>
        </w:tc>
        <w:tc>
          <w:tcPr>
            <w:tcW w:w="396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其中</w:t>
            </w:r>
            <w:r>
              <w:rPr>
                <w:rFonts w:ascii="宋体" w:cs="宋体"/>
                <w:color w:val="000000"/>
                <w:kern w:val="0"/>
                <w:sz w:val="15"/>
                <w:szCs w:val="15"/>
              </w:rPr>
              <w:t>-</w:t>
            </w:r>
            <w:r>
              <w:rPr>
                <w:rFonts w:hint="eastAsia" w:ascii="宋体" w:hAnsi="宋体" w:cs="宋体"/>
                <w:color w:val="000000"/>
                <w:kern w:val="0"/>
                <w:sz w:val="15"/>
                <w:szCs w:val="15"/>
              </w:rPr>
              <w:t>财政拨款</w:t>
            </w:r>
            <w:r>
              <w:rPr>
                <w:rFonts w:ascii="宋体" w:hAns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12.31</w:t>
            </w:r>
          </w:p>
        </w:tc>
      </w:tr>
      <w:tr>
        <w:tblPrEx>
          <w:tblCellMar>
            <w:top w:w="0" w:type="dxa"/>
            <w:left w:w="0" w:type="dxa"/>
            <w:bottom w:w="0" w:type="dxa"/>
            <w:right w:w="0" w:type="dxa"/>
          </w:tblCellMar>
        </w:tblPrEx>
        <w:trPr>
          <w:trHeight w:val="337"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5"/>
                <w:szCs w:val="15"/>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其它资金</w:t>
            </w:r>
            <w:r>
              <w:rPr>
                <w:rFonts w:ascii="宋体" w:hAnsi="宋体" w:cs="宋体"/>
                <w:color w:val="000000"/>
                <w:kern w:val="0"/>
                <w:sz w:val="15"/>
                <w:szCs w:val="15"/>
              </w:rPr>
              <w:t>:</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396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其它资金</w:t>
            </w:r>
            <w:r>
              <w:rPr>
                <w:rFonts w:ascii="宋体" w:hAns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5"/>
                <w:szCs w:val="15"/>
              </w:rPr>
            </w:pP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年度目标完成情况</w:t>
            </w:r>
          </w:p>
        </w:tc>
        <w:tc>
          <w:tcPr>
            <w:tcW w:w="3828"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预期目标</w:t>
            </w:r>
          </w:p>
        </w:tc>
        <w:tc>
          <w:tcPr>
            <w:tcW w:w="609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实际完成目标</w:t>
            </w:r>
          </w:p>
        </w:tc>
      </w:tr>
      <w:tr>
        <w:tblPrEx>
          <w:tblCellMar>
            <w:top w:w="0" w:type="dxa"/>
            <w:left w:w="0" w:type="dxa"/>
            <w:bottom w:w="0" w:type="dxa"/>
            <w:right w:w="0" w:type="dxa"/>
          </w:tblCellMar>
        </w:tblPrEx>
        <w:trPr>
          <w:trHeight w:val="908"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5"/>
                <w:szCs w:val="15"/>
              </w:rPr>
            </w:pPr>
          </w:p>
        </w:tc>
        <w:tc>
          <w:tcPr>
            <w:tcW w:w="3828"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kern w:val="0"/>
                <w:sz w:val="15"/>
                <w:szCs w:val="15"/>
              </w:rPr>
            </w:pPr>
            <w:r>
              <w:rPr>
                <w:rFonts w:hint="eastAsia" w:ascii="宋体" w:hAnsi="宋体" w:cs="宋体"/>
                <w:color w:val="000000"/>
                <w:kern w:val="0"/>
                <w:sz w:val="15"/>
                <w:szCs w:val="15"/>
              </w:rPr>
              <w:t>强化日常监管和专项整治执力度，加大对制售假冒伪劣药品违法犯罪活动的力度，进一步规范药品经营使用秩序。</w:t>
            </w:r>
          </w:p>
        </w:tc>
        <w:tc>
          <w:tcPr>
            <w:tcW w:w="609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5"/>
                <w:szCs w:val="15"/>
              </w:rPr>
            </w:pPr>
            <w:r>
              <w:rPr>
                <w:rFonts w:hint="eastAsia" w:ascii="宋体" w:hAnsi="宋体" w:cs="宋体"/>
                <w:color w:val="000000"/>
                <w:kern w:val="0"/>
                <w:sz w:val="15"/>
                <w:szCs w:val="15"/>
              </w:rPr>
              <w:t>强化了日常监管和专项整治执力度，加大对制售假冒伪劣药品违法犯罪活动的力度，进一步规范了药品经营使用秩序。</w:t>
            </w:r>
          </w:p>
        </w:tc>
      </w:tr>
      <w:tr>
        <w:tblPrEx>
          <w:tblCellMar>
            <w:top w:w="0" w:type="dxa"/>
            <w:left w:w="0" w:type="dxa"/>
            <w:bottom w:w="0" w:type="dxa"/>
            <w:right w:w="0" w:type="dxa"/>
          </w:tblCellMar>
        </w:tblPrEx>
        <w:trPr>
          <w:trHeight w:val="695" w:hRule="atLeast"/>
          <w:jc w:val="center"/>
        </w:trPr>
        <w:tc>
          <w:tcPr>
            <w:tcW w:w="5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sz w:val="15"/>
                <w:szCs w:val="15"/>
              </w:rPr>
              <w:t>绩效指标完成情况</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一级指标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二级指标</w:t>
            </w:r>
          </w:p>
        </w:tc>
        <w:tc>
          <w:tcPr>
            <w:tcW w:w="226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三级指标</w:t>
            </w:r>
          </w:p>
        </w:tc>
        <w:tc>
          <w:tcPr>
            <w:tcW w:w="29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预期指标值</w:t>
            </w:r>
            <w:r>
              <w:rPr>
                <w:rFonts w:ascii="宋体" w:hAnsi="宋体" w:cs="宋体"/>
                <w:color w:val="000000"/>
                <w:kern w:val="0"/>
                <w:sz w:val="15"/>
                <w:szCs w:val="15"/>
              </w:rPr>
              <w:t>(</w:t>
            </w:r>
            <w:r>
              <w:rPr>
                <w:rFonts w:hint="eastAsia" w:ascii="宋体" w:hAnsi="宋体" w:cs="宋体"/>
                <w:color w:val="000000"/>
                <w:kern w:val="0"/>
                <w:sz w:val="15"/>
                <w:szCs w:val="15"/>
              </w:rPr>
              <w:t>包含数字及文字描述</w:t>
            </w:r>
            <w:r>
              <w:rPr>
                <w:rFonts w:ascii="宋体" w:hAnsi="宋体" w:cs="宋体"/>
                <w:color w:val="000000"/>
                <w:kern w:val="0"/>
                <w:sz w:val="15"/>
                <w:szCs w:val="15"/>
              </w:rPr>
              <w:t>)</w:t>
            </w:r>
          </w:p>
        </w:tc>
        <w:tc>
          <w:tcPr>
            <w:tcW w:w="311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实际完成指标值</w:t>
            </w:r>
            <w:r>
              <w:rPr>
                <w:rFonts w:ascii="宋体" w:hAnsi="宋体" w:cs="宋体"/>
                <w:color w:val="000000"/>
                <w:kern w:val="0"/>
                <w:sz w:val="15"/>
                <w:szCs w:val="15"/>
              </w:rPr>
              <w:t>(</w:t>
            </w:r>
            <w:r>
              <w:rPr>
                <w:rFonts w:hint="eastAsia" w:ascii="宋体" w:hAnsi="宋体" w:cs="宋体"/>
                <w:color w:val="000000"/>
                <w:kern w:val="0"/>
                <w:sz w:val="15"/>
                <w:szCs w:val="15"/>
              </w:rPr>
              <w:t>包含数字及文字描述</w:t>
            </w:r>
            <w:r>
              <w:rPr>
                <w:rFonts w:ascii="宋体" w:hAnsi="宋体" w:cs="宋体"/>
                <w:color w:val="000000"/>
                <w:kern w:val="0"/>
                <w:sz w:val="15"/>
                <w:szCs w:val="15"/>
              </w:rPr>
              <w:t>)</w:t>
            </w:r>
          </w:p>
        </w:tc>
      </w:tr>
      <w:tr>
        <w:tblPrEx>
          <w:tblCellMar>
            <w:top w:w="0" w:type="dxa"/>
            <w:left w:w="0" w:type="dxa"/>
            <w:bottom w:w="0" w:type="dxa"/>
            <w:right w:w="0" w:type="dxa"/>
          </w:tblCellMar>
        </w:tblPrEx>
        <w:trPr>
          <w:trHeight w:val="953"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数量指标</w:t>
            </w:r>
          </w:p>
        </w:tc>
        <w:tc>
          <w:tcPr>
            <w:tcW w:w="226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1、药品监管企业数；2、化妆品监管企业数；3、医疗器械监管企业数；4、药品监管人员人员均培训学时；5、药物滥用常规监测任务数</w:t>
            </w:r>
          </w:p>
        </w:tc>
        <w:tc>
          <w:tcPr>
            <w:tcW w:w="29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1、药品监管企业数≥48家；</w:t>
            </w:r>
          </w:p>
          <w:p>
            <w:pPr>
              <w:widowControl/>
              <w:textAlignment w:val="center"/>
              <w:rPr>
                <w:rFonts w:ascii="宋体" w:cs="宋体"/>
                <w:color w:val="000000"/>
                <w:sz w:val="15"/>
                <w:szCs w:val="15"/>
              </w:rPr>
            </w:pPr>
            <w:r>
              <w:rPr>
                <w:rFonts w:hint="eastAsia" w:ascii="宋体" w:cs="宋体"/>
                <w:color w:val="000000"/>
                <w:sz w:val="15"/>
                <w:szCs w:val="15"/>
              </w:rPr>
              <w:t>2、化妆品监管企业数≥145家；</w:t>
            </w:r>
          </w:p>
          <w:p>
            <w:pPr>
              <w:widowControl/>
              <w:textAlignment w:val="center"/>
              <w:rPr>
                <w:rFonts w:ascii="宋体" w:cs="宋体"/>
                <w:color w:val="000000"/>
                <w:sz w:val="15"/>
                <w:szCs w:val="15"/>
              </w:rPr>
            </w:pPr>
            <w:r>
              <w:rPr>
                <w:rFonts w:hint="eastAsia" w:ascii="宋体" w:cs="宋体"/>
                <w:color w:val="000000"/>
                <w:sz w:val="15"/>
                <w:szCs w:val="15"/>
              </w:rPr>
              <w:t>3、医疗器械监管企业数≥37家；4、药品监管人员人员均培训学时≥90学时；</w:t>
            </w:r>
          </w:p>
          <w:p>
            <w:pPr>
              <w:widowControl/>
              <w:textAlignment w:val="center"/>
              <w:rPr>
                <w:rFonts w:ascii="宋体" w:cs="宋体"/>
                <w:color w:val="000000"/>
                <w:sz w:val="15"/>
                <w:szCs w:val="15"/>
              </w:rPr>
            </w:pPr>
            <w:r>
              <w:rPr>
                <w:rFonts w:hint="eastAsia" w:ascii="宋体" w:cs="宋体"/>
                <w:color w:val="000000"/>
                <w:sz w:val="15"/>
                <w:szCs w:val="15"/>
              </w:rPr>
              <w:t>5、药物滥用常规监测任务数≥8份</w:t>
            </w:r>
          </w:p>
        </w:tc>
        <w:tc>
          <w:tcPr>
            <w:tcW w:w="311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1、药品监管企业数44家；</w:t>
            </w:r>
          </w:p>
          <w:p>
            <w:pPr>
              <w:widowControl/>
              <w:textAlignment w:val="center"/>
              <w:rPr>
                <w:rFonts w:ascii="宋体" w:cs="宋体"/>
                <w:color w:val="000000"/>
                <w:sz w:val="15"/>
                <w:szCs w:val="15"/>
              </w:rPr>
            </w:pPr>
            <w:r>
              <w:rPr>
                <w:rFonts w:hint="eastAsia" w:ascii="宋体" w:cs="宋体"/>
                <w:color w:val="000000"/>
                <w:sz w:val="15"/>
                <w:szCs w:val="15"/>
              </w:rPr>
              <w:t>2、化妆品监管企业数145家；</w:t>
            </w:r>
          </w:p>
          <w:p>
            <w:pPr>
              <w:widowControl/>
              <w:textAlignment w:val="center"/>
              <w:rPr>
                <w:rFonts w:ascii="宋体" w:cs="宋体"/>
                <w:color w:val="000000"/>
                <w:sz w:val="15"/>
                <w:szCs w:val="15"/>
              </w:rPr>
            </w:pPr>
            <w:r>
              <w:rPr>
                <w:rFonts w:hint="eastAsia" w:ascii="宋体" w:cs="宋体"/>
                <w:color w:val="000000"/>
                <w:sz w:val="15"/>
                <w:szCs w:val="15"/>
              </w:rPr>
              <w:t>3、医疗器械监管企业数38家；</w:t>
            </w:r>
          </w:p>
          <w:p>
            <w:pPr>
              <w:widowControl/>
              <w:textAlignment w:val="center"/>
              <w:rPr>
                <w:rFonts w:ascii="宋体" w:cs="宋体"/>
                <w:color w:val="000000"/>
                <w:sz w:val="15"/>
                <w:szCs w:val="15"/>
              </w:rPr>
            </w:pPr>
            <w:r>
              <w:rPr>
                <w:rFonts w:hint="eastAsia" w:ascii="宋体" w:cs="宋体"/>
                <w:color w:val="000000"/>
                <w:sz w:val="15"/>
                <w:szCs w:val="15"/>
              </w:rPr>
              <w:t>4、药品监管人员人员均培训学时≥92学时；</w:t>
            </w:r>
          </w:p>
          <w:p>
            <w:pPr>
              <w:widowControl/>
              <w:textAlignment w:val="center"/>
              <w:rPr>
                <w:rFonts w:ascii="宋体" w:cs="宋体"/>
                <w:color w:val="000000"/>
                <w:sz w:val="15"/>
                <w:szCs w:val="15"/>
              </w:rPr>
            </w:pPr>
            <w:r>
              <w:rPr>
                <w:rFonts w:hint="eastAsia" w:ascii="宋体" w:cs="宋体"/>
                <w:color w:val="000000"/>
                <w:sz w:val="15"/>
                <w:szCs w:val="15"/>
              </w:rPr>
              <w:t>5、药物滥用常规监测任务数8份</w:t>
            </w:r>
          </w:p>
        </w:tc>
      </w:tr>
      <w:tr>
        <w:tblPrEx>
          <w:tblCellMar>
            <w:top w:w="0" w:type="dxa"/>
            <w:left w:w="0" w:type="dxa"/>
            <w:bottom w:w="0" w:type="dxa"/>
            <w:right w:w="0" w:type="dxa"/>
          </w:tblCellMar>
        </w:tblPrEx>
        <w:trPr>
          <w:trHeight w:val="129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质量指标</w:t>
            </w:r>
          </w:p>
        </w:tc>
        <w:tc>
          <w:tcPr>
            <w:tcW w:w="226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1、不合格产品处置率；2、药品不良反应每百万人口报告数；3、化妆品不良反应每百万人口报告数；4、医疗器械不良反应每百万人口报告数；5培训人员覆盖率；</w:t>
            </w:r>
          </w:p>
        </w:tc>
        <w:tc>
          <w:tcPr>
            <w:tcW w:w="29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1、不合格产品处置率100%；2、药品不良反应每百万人口报告数≥35份；3、化妆品不良反应每百万人口报告数≥4份；4、医疗器械不良反应每百万人口报告数≥6份；5培训人员覆盖率100%；</w:t>
            </w:r>
          </w:p>
        </w:tc>
        <w:tc>
          <w:tcPr>
            <w:tcW w:w="311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1、不合格产品处置率100%；2、药品不良反应每百万人口报告数37份；3、化妆品不良反应每百万人口报告数7份；4、医疗器械不良反应每百万人口报告数7份；5培训人员覆盖率100%；</w:t>
            </w:r>
          </w:p>
        </w:tc>
      </w:tr>
      <w:tr>
        <w:tblPrEx>
          <w:tblCellMar>
            <w:top w:w="0" w:type="dxa"/>
            <w:left w:w="0" w:type="dxa"/>
            <w:bottom w:w="0" w:type="dxa"/>
            <w:right w:w="0" w:type="dxa"/>
          </w:tblCellMar>
        </w:tblPrEx>
        <w:trPr>
          <w:trHeight w:val="599"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时效指标</w:t>
            </w:r>
          </w:p>
        </w:tc>
        <w:tc>
          <w:tcPr>
            <w:tcW w:w="226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任务完成时间</w:t>
            </w:r>
          </w:p>
        </w:tc>
        <w:tc>
          <w:tcPr>
            <w:tcW w:w="29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2020年12月</w:t>
            </w:r>
          </w:p>
        </w:tc>
        <w:tc>
          <w:tcPr>
            <w:tcW w:w="311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2020年12月</w:t>
            </w:r>
          </w:p>
        </w:tc>
      </w:tr>
      <w:tr>
        <w:tblPrEx>
          <w:tblCellMar>
            <w:top w:w="0" w:type="dxa"/>
            <w:left w:w="0" w:type="dxa"/>
            <w:bottom w:w="0" w:type="dxa"/>
            <w:right w:w="0" w:type="dxa"/>
          </w:tblCellMar>
        </w:tblPrEx>
        <w:trPr>
          <w:trHeight w:val="664"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hAns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成本指标</w:t>
            </w:r>
          </w:p>
        </w:tc>
        <w:tc>
          <w:tcPr>
            <w:tcW w:w="226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培训成本</w:t>
            </w:r>
          </w:p>
        </w:tc>
        <w:tc>
          <w:tcPr>
            <w:tcW w:w="29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≤400元/人，天</w:t>
            </w:r>
          </w:p>
        </w:tc>
        <w:tc>
          <w:tcPr>
            <w:tcW w:w="311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≤400元/人，天</w:t>
            </w:r>
          </w:p>
        </w:tc>
      </w:tr>
      <w:tr>
        <w:tblPrEx>
          <w:tblCellMar>
            <w:top w:w="0" w:type="dxa"/>
            <w:left w:w="0" w:type="dxa"/>
            <w:bottom w:w="0" w:type="dxa"/>
            <w:right w:w="0" w:type="dxa"/>
          </w:tblCellMar>
        </w:tblPrEx>
        <w:trPr>
          <w:trHeight w:val="1255"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社会效益指标</w:t>
            </w:r>
          </w:p>
        </w:tc>
        <w:tc>
          <w:tcPr>
            <w:tcW w:w="226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1、“两品一械”总体安全水平；2、提高“两品一械”安全科普知识宣传覆盖，公众自我保护意识不断提高；3、假冒伪劣产品制售行为。</w:t>
            </w:r>
          </w:p>
        </w:tc>
        <w:tc>
          <w:tcPr>
            <w:tcW w:w="29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不断提高</w:t>
            </w:r>
          </w:p>
        </w:tc>
        <w:tc>
          <w:tcPr>
            <w:tcW w:w="311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不断提高</w:t>
            </w:r>
          </w:p>
        </w:tc>
      </w:tr>
      <w:tr>
        <w:tblPrEx>
          <w:tblCellMar>
            <w:top w:w="0" w:type="dxa"/>
            <w:left w:w="0" w:type="dxa"/>
            <w:bottom w:w="0" w:type="dxa"/>
            <w:right w:w="0" w:type="dxa"/>
          </w:tblCellMar>
        </w:tblPrEx>
        <w:trPr>
          <w:trHeight w:val="649"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可持续影响指标</w:t>
            </w:r>
          </w:p>
        </w:tc>
        <w:tc>
          <w:tcPr>
            <w:tcW w:w="226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1、药品监管水平；2、化妆品监管水平；3医疗器械监管水平；4、队伍素质和装备配置水平。</w:t>
            </w:r>
          </w:p>
        </w:tc>
        <w:tc>
          <w:tcPr>
            <w:tcW w:w="29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不断提高</w:t>
            </w:r>
          </w:p>
        </w:tc>
        <w:tc>
          <w:tcPr>
            <w:tcW w:w="311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不断提高</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满意度指标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服务对象满意度指标</w:t>
            </w:r>
          </w:p>
        </w:tc>
        <w:tc>
          <w:tcPr>
            <w:tcW w:w="226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社会公众对药品安全满意度</w:t>
            </w:r>
          </w:p>
        </w:tc>
        <w:tc>
          <w:tcPr>
            <w:tcW w:w="29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等线" w:hAnsi="等线" w:eastAsia="等线" w:cs="宋体"/>
                <w:color w:val="444444"/>
                <w:sz w:val="15"/>
                <w:szCs w:val="15"/>
              </w:rPr>
            </w:pPr>
            <w:r>
              <w:rPr>
                <w:rFonts w:hint="eastAsia" w:ascii="等线" w:hAnsi="等线" w:eastAsia="等线"/>
                <w:color w:val="333333"/>
                <w:sz w:val="15"/>
                <w:szCs w:val="15"/>
              </w:rPr>
              <w:t>≥</w:t>
            </w:r>
            <w:r>
              <w:rPr>
                <w:rFonts w:hint="eastAsia" w:ascii="等线" w:hAnsi="等线" w:eastAsia="等线"/>
                <w:color w:val="444444"/>
                <w:sz w:val="15"/>
                <w:szCs w:val="15"/>
              </w:rPr>
              <w:t>70%</w:t>
            </w:r>
          </w:p>
        </w:tc>
        <w:tc>
          <w:tcPr>
            <w:tcW w:w="311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等线" w:hAnsi="等线" w:eastAsia="等线" w:cs="宋体"/>
                <w:color w:val="444444"/>
                <w:sz w:val="15"/>
                <w:szCs w:val="15"/>
              </w:rPr>
            </w:pPr>
            <w:r>
              <w:rPr>
                <w:rFonts w:hint="eastAsia" w:ascii="等线" w:hAnsi="等线" w:eastAsia="等线"/>
                <w:color w:val="333333"/>
                <w:sz w:val="15"/>
                <w:szCs w:val="15"/>
              </w:rPr>
              <w:t>≥</w:t>
            </w:r>
            <w:r>
              <w:rPr>
                <w:rFonts w:hint="eastAsia" w:ascii="等线" w:hAnsi="等线" w:eastAsia="等线"/>
                <w:color w:val="444444"/>
                <w:sz w:val="15"/>
                <w:szCs w:val="15"/>
              </w:rPr>
              <w:t>70%</w:t>
            </w:r>
          </w:p>
          <w:p>
            <w:pPr>
              <w:widowControl/>
              <w:jc w:val="center"/>
              <w:textAlignment w:val="center"/>
              <w:rPr>
                <w:rFonts w:ascii="宋体" w:cs="宋体"/>
                <w:color w:val="000000"/>
                <w:sz w:val="15"/>
                <w:szCs w:val="15"/>
              </w:rPr>
            </w:pPr>
          </w:p>
        </w:tc>
      </w:tr>
    </w:tbl>
    <w:p>
      <w:pPr>
        <w:spacing w:line="580" w:lineRule="exact"/>
        <w:rPr>
          <w:rFonts w:ascii="楷体_GB2312" w:hAnsi="楷体_GB2312" w:eastAsia="楷体_GB2312" w:cs="楷体_GB2312"/>
          <w:sz w:val="32"/>
          <w:szCs w:val="32"/>
        </w:rPr>
      </w:pPr>
    </w:p>
    <w:tbl>
      <w:tblPr>
        <w:tblStyle w:val="19"/>
        <w:tblpPr w:leftFromText="180" w:rightFromText="180" w:vertAnchor="text" w:horzAnchor="page" w:tblpXSpec="center" w:tblpY="423"/>
        <w:tblOverlap w:val="never"/>
        <w:tblW w:w="10505" w:type="dxa"/>
        <w:jc w:val="center"/>
        <w:tblLayout w:type="fixed"/>
        <w:tblCellMar>
          <w:top w:w="0" w:type="dxa"/>
          <w:left w:w="0" w:type="dxa"/>
          <w:bottom w:w="0" w:type="dxa"/>
          <w:right w:w="0" w:type="dxa"/>
        </w:tblCellMar>
      </w:tblPr>
      <w:tblGrid>
        <w:gridCol w:w="582"/>
        <w:gridCol w:w="851"/>
        <w:gridCol w:w="709"/>
        <w:gridCol w:w="640"/>
        <w:gridCol w:w="2053"/>
        <w:gridCol w:w="2693"/>
        <w:gridCol w:w="851"/>
        <w:gridCol w:w="2126"/>
      </w:tblGrid>
      <w:tr>
        <w:tblPrEx>
          <w:tblCellMar>
            <w:top w:w="0" w:type="dxa"/>
            <w:left w:w="0" w:type="dxa"/>
            <w:bottom w:w="0" w:type="dxa"/>
            <w:right w:w="0" w:type="dxa"/>
          </w:tblCellMar>
        </w:tblPrEx>
        <w:trPr>
          <w:trHeight w:val="1034" w:hRule="atLeast"/>
          <w:jc w:val="center"/>
        </w:trPr>
        <w:tc>
          <w:tcPr>
            <w:tcW w:w="10505"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项目名称</w:t>
            </w:r>
          </w:p>
        </w:tc>
        <w:tc>
          <w:tcPr>
            <w:tcW w:w="772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5"/>
                <w:szCs w:val="15"/>
              </w:rPr>
            </w:pPr>
            <w:r>
              <w:rPr>
                <w:rFonts w:ascii="宋体" w:hAnsi="宋体" w:cs="宋体"/>
                <w:color w:val="000000"/>
                <w:kern w:val="0"/>
                <w:sz w:val="15"/>
                <w:szCs w:val="15"/>
              </w:rPr>
              <w:t>20</w:t>
            </w:r>
            <w:r>
              <w:rPr>
                <w:rFonts w:hint="eastAsia" w:ascii="宋体" w:hAnsi="宋体" w:cs="宋体"/>
                <w:color w:val="000000"/>
                <w:kern w:val="0"/>
                <w:sz w:val="15"/>
                <w:szCs w:val="15"/>
              </w:rPr>
              <w:t>20年中央食品监管补助资金项目</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预算单位</w:t>
            </w:r>
          </w:p>
        </w:tc>
        <w:tc>
          <w:tcPr>
            <w:tcW w:w="772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5"/>
                <w:szCs w:val="15"/>
              </w:rPr>
            </w:pPr>
            <w:r>
              <w:rPr>
                <w:rFonts w:hint="eastAsia" w:ascii="宋体" w:hAnsi="宋体" w:cs="宋体"/>
                <w:color w:val="000000"/>
                <w:kern w:val="0"/>
                <w:sz w:val="15"/>
                <w:szCs w:val="15"/>
              </w:rPr>
              <w:t>茂县市场监督管理局</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预算执行情况</w:t>
            </w:r>
            <w:r>
              <w:rPr>
                <w:rFonts w:ascii="宋体" w:hAnsi="宋体" w:cs="宋体"/>
                <w:color w:val="000000"/>
                <w:kern w:val="0"/>
                <w:sz w:val="15"/>
                <w:szCs w:val="15"/>
              </w:rPr>
              <w:t>(</w:t>
            </w:r>
            <w:r>
              <w:rPr>
                <w:rFonts w:hint="eastAsia" w:ascii="宋体" w:hAnsi="宋体" w:cs="宋体"/>
                <w:color w:val="000000"/>
                <w:kern w:val="0"/>
                <w:sz w:val="15"/>
                <w:szCs w:val="15"/>
              </w:rPr>
              <w:t>万元</w:t>
            </w:r>
            <w:r>
              <w:rPr>
                <w:rFonts w:ascii="宋体" w:hAnsi="宋体" w:cs="宋体"/>
                <w:color w:val="000000"/>
                <w:kern w:val="0"/>
                <w:sz w:val="15"/>
                <w:szCs w:val="15"/>
              </w:rPr>
              <w:t>)</w:t>
            </w: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预算数</w:t>
            </w:r>
            <w:r>
              <w:rPr>
                <w:rFonts w:ascii="宋体" w:hAns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6</w:t>
            </w:r>
          </w:p>
        </w:tc>
        <w:tc>
          <w:tcPr>
            <w:tcW w:w="35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执行数</w:t>
            </w:r>
            <w:r>
              <w:rPr>
                <w:rFonts w:ascii="宋体" w:hAns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3.34</w:t>
            </w:r>
          </w:p>
        </w:tc>
      </w:tr>
      <w:tr>
        <w:tblPrEx>
          <w:tblCellMar>
            <w:top w:w="0" w:type="dxa"/>
            <w:left w:w="0" w:type="dxa"/>
            <w:bottom w:w="0" w:type="dxa"/>
            <w:right w:w="0" w:type="dxa"/>
          </w:tblCellMar>
        </w:tblPrEx>
        <w:trPr>
          <w:trHeight w:val="276"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5"/>
                <w:szCs w:val="15"/>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其中</w:t>
            </w:r>
            <w:r>
              <w:rPr>
                <w:rFonts w:ascii="宋体" w:cs="宋体"/>
                <w:color w:val="000000"/>
                <w:kern w:val="0"/>
                <w:sz w:val="15"/>
                <w:szCs w:val="15"/>
              </w:rPr>
              <w:t>-</w:t>
            </w:r>
            <w:r>
              <w:rPr>
                <w:rFonts w:hint="eastAsia" w:ascii="宋体" w:hAnsi="宋体" w:cs="宋体"/>
                <w:color w:val="000000"/>
                <w:kern w:val="0"/>
                <w:sz w:val="15"/>
                <w:szCs w:val="15"/>
              </w:rPr>
              <w:t>财政拨款</w:t>
            </w:r>
            <w:r>
              <w:rPr>
                <w:rFonts w:ascii="宋体" w:hAns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6</w:t>
            </w:r>
          </w:p>
        </w:tc>
        <w:tc>
          <w:tcPr>
            <w:tcW w:w="35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其中</w:t>
            </w:r>
            <w:r>
              <w:rPr>
                <w:rFonts w:ascii="宋体" w:cs="宋体"/>
                <w:color w:val="000000"/>
                <w:kern w:val="0"/>
                <w:sz w:val="15"/>
                <w:szCs w:val="15"/>
              </w:rPr>
              <w:t>-</w:t>
            </w:r>
            <w:r>
              <w:rPr>
                <w:rFonts w:hint="eastAsia" w:ascii="宋体" w:hAnsi="宋体" w:cs="宋体"/>
                <w:color w:val="000000"/>
                <w:kern w:val="0"/>
                <w:sz w:val="15"/>
                <w:szCs w:val="15"/>
              </w:rPr>
              <w:t>财政拨款</w:t>
            </w:r>
            <w:r>
              <w:rPr>
                <w:rFonts w:ascii="宋体" w:hAns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3.34</w:t>
            </w:r>
          </w:p>
        </w:tc>
      </w:tr>
      <w:tr>
        <w:tblPrEx>
          <w:tblCellMar>
            <w:top w:w="0" w:type="dxa"/>
            <w:left w:w="0" w:type="dxa"/>
            <w:bottom w:w="0" w:type="dxa"/>
            <w:right w:w="0" w:type="dxa"/>
          </w:tblCellMar>
        </w:tblPrEx>
        <w:trPr>
          <w:trHeight w:val="337"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5"/>
                <w:szCs w:val="15"/>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其它资金</w:t>
            </w:r>
            <w:r>
              <w:rPr>
                <w:rFonts w:ascii="宋体" w:hAns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35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其它资金</w:t>
            </w:r>
            <w:r>
              <w:rPr>
                <w:rFonts w:ascii="宋体" w:hAns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5"/>
                <w:szCs w:val="15"/>
              </w:rPr>
            </w:pP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年度目标完成情况</w:t>
            </w:r>
          </w:p>
        </w:tc>
        <w:tc>
          <w:tcPr>
            <w:tcW w:w="425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预期目标</w:t>
            </w:r>
          </w:p>
        </w:tc>
        <w:tc>
          <w:tcPr>
            <w:tcW w:w="56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实际完成目标</w:t>
            </w:r>
          </w:p>
        </w:tc>
      </w:tr>
      <w:tr>
        <w:tblPrEx>
          <w:tblCellMar>
            <w:top w:w="0" w:type="dxa"/>
            <w:left w:w="0" w:type="dxa"/>
            <w:bottom w:w="0" w:type="dxa"/>
            <w:right w:w="0" w:type="dxa"/>
          </w:tblCellMar>
        </w:tblPrEx>
        <w:trPr>
          <w:trHeight w:val="908"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5"/>
                <w:szCs w:val="15"/>
              </w:rPr>
            </w:pPr>
          </w:p>
        </w:tc>
        <w:tc>
          <w:tcPr>
            <w:tcW w:w="425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kern w:val="0"/>
                <w:sz w:val="15"/>
                <w:szCs w:val="15"/>
              </w:rPr>
            </w:pPr>
            <w:r>
              <w:rPr>
                <w:rFonts w:hint="eastAsia" w:ascii="宋体" w:hAnsi="宋体" w:cs="宋体"/>
                <w:color w:val="000000"/>
                <w:kern w:val="0"/>
                <w:sz w:val="15"/>
                <w:szCs w:val="15"/>
              </w:rPr>
              <w:t xml:space="preserve">目标1：深入开展食品风险隐患排查        </w:t>
            </w:r>
          </w:p>
          <w:p>
            <w:pPr>
              <w:widowControl/>
              <w:textAlignment w:val="center"/>
              <w:rPr>
                <w:rFonts w:ascii="宋体" w:hAnsi="宋体" w:cs="宋体"/>
                <w:color w:val="000000"/>
                <w:kern w:val="0"/>
                <w:sz w:val="15"/>
                <w:szCs w:val="15"/>
              </w:rPr>
            </w:pPr>
            <w:r>
              <w:rPr>
                <w:rFonts w:hint="eastAsia" w:ascii="宋体" w:hAnsi="宋体" w:cs="宋体"/>
                <w:color w:val="000000"/>
                <w:kern w:val="0"/>
                <w:sz w:val="15"/>
                <w:szCs w:val="15"/>
              </w:rPr>
              <w:t xml:space="preserve">目标2：继续强化食品抽查监督工作  </w:t>
            </w:r>
          </w:p>
          <w:p>
            <w:pPr>
              <w:widowControl/>
              <w:textAlignment w:val="center"/>
              <w:rPr>
                <w:rFonts w:ascii="宋体" w:hAnsi="宋体" w:cs="宋体"/>
                <w:color w:val="000000"/>
                <w:kern w:val="0"/>
                <w:sz w:val="15"/>
                <w:szCs w:val="15"/>
              </w:rPr>
            </w:pPr>
            <w:r>
              <w:rPr>
                <w:rFonts w:hint="eastAsia" w:ascii="宋体" w:hAnsi="宋体" w:cs="宋体"/>
                <w:color w:val="000000"/>
                <w:kern w:val="0"/>
                <w:sz w:val="15"/>
                <w:szCs w:val="15"/>
              </w:rPr>
              <w:t xml:space="preserve">  目标3：加大大案要案查办力度               。</w:t>
            </w:r>
          </w:p>
        </w:tc>
        <w:tc>
          <w:tcPr>
            <w:tcW w:w="56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5"/>
                <w:szCs w:val="15"/>
              </w:rPr>
            </w:pPr>
            <w:r>
              <w:rPr>
                <w:rFonts w:hint="eastAsia" w:ascii="宋体" w:hAnsi="宋体" w:cs="宋体"/>
                <w:color w:val="000000"/>
                <w:kern w:val="0"/>
                <w:sz w:val="15"/>
                <w:szCs w:val="15"/>
              </w:rPr>
              <w:t xml:space="preserve">目标1：深入开展食品风险隐患排查   </w:t>
            </w:r>
          </w:p>
          <w:p>
            <w:pPr>
              <w:widowControl/>
              <w:jc w:val="center"/>
              <w:textAlignment w:val="center"/>
              <w:rPr>
                <w:rFonts w:ascii="宋体" w:hAnsi="宋体" w:cs="宋体"/>
                <w:color w:val="000000"/>
                <w:kern w:val="0"/>
                <w:sz w:val="15"/>
                <w:szCs w:val="15"/>
              </w:rPr>
            </w:pPr>
            <w:r>
              <w:rPr>
                <w:rFonts w:hint="eastAsia" w:ascii="宋体" w:hAnsi="宋体" w:cs="宋体"/>
                <w:color w:val="000000"/>
                <w:kern w:val="0"/>
                <w:sz w:val="15"/>
                <w:szCs w:val="15"/>
              </w:rPr>
              <w:t xml:space="preserve"> 目标2：继续强化食品抽查监督工作      </w:t>
            </w:r>
          </w:p>
          <w:p>
            <w:pPr>
              <w:widowControl/>
              <w:ind w:firstLine="1875" w:firstLineChars="1250"/>
              <w:textAlignment w:val="center"/>
              <w:rPr>
                <w:rFonts w:ascii="宋体" w:hAnsi="宋体" w:cs="宋体"/>
                <w:color w:val="000000"/>
                <w:kern w:val="0"/>
                <w:sz w:val="15"/>
                <w:szCs w:val="15"/>
              </w:rPr>
            </w:pPr>
            <w:r>
              <w:rPr>
                <w:rFonts w:hint="eastAsia" w:ascii="宋体" w:hAnsi="宋体" w:cs="宋体"/>
                <w:color w:val="000000"/>
                <w:kern w:val="0"/>
                <w:sz w:val="15"/>
                <w:szCs w:val="15"/>
              </w:rPr>
              <w:t xml:space="preserve">目标3：加大大案要案查办力度               </w:t>
            </w:r>
          </w:p>
        </w:tc>
      </w:tr>
      <w:tr>
        <w:tblPrEx>
          <w:tblCellMar>
            <w:top w:w="0" w:type="dxa"/>
            <w:left w:w="0" w:type="dxa"/>
            <w:bottom w:w="0" w:type="dxa"/>
            <w:right w:w="0" w:type="dxa"/>
          </w:tblCellMar>
        </w:tblPrEx>
        <w:trPr>
          <w:trHeight w:val="695" w:hRule="atLeast"/>
          <w:jc w:val="center"/>
        </w:trPr>
        <w:tc>
          <w:tcPr>
            <w:tcW w:w="5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sz w:val="15"/>
                <w:szCs w:val="15"/>
              </w:rPr>
              <w:t>绩效指标完成情况</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一级指标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二级指标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三级指标</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预期指标值</w:t>
            </w:r>
            <w:r>
              <w:rPr>
                <w:rFonts w:ascii="宋体" w:hAnsi="宋体" w:cs="宋体"/>
                <w:color w:val="000000"/>
                <w:kern w:val="0"/>
                <w:sz w:val="15"/>
                <w:szCs w:val="15"/>
              </w:rPr>
              <w:t>(</w:t>
            </w:r>
            <w:r>
              <w:rPr>
                <w:rFonts w:hint="eastAsia" w:ascii="宋体" w:hAnsi="宋体" w:cs="宋体"/>
                <w:color w:val="000000"/>
                <w:kern w:val="0"/>
                <w:sz w:val="15"/>
                <w:szCs w:val="15"/>
              </w:rPr>
              <w:t>包含数字及文字描述</w:t>
            </w:r>
            <w:r>
              <w:rPr>
                <w:rFonts w:ascii="宋体" w:hAnsi="宋体" w:cs="宋体"/>
                <w:color w:val="000000"/>
                <w:kern w:val="0"/>
                <w:sz w:val="15"/>
                <w:szCs w:val="15"/>
              </w:rPr>
              <w:t>)</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实际完成指标值</w:t>
            </w:r>
            <w:r>
              <w:rPr>
                <w:rFonts w:ascii="宋体" w:hAnsi="宋体" w:cs="宋体"/>
                <w:color w:val="000000"/>
                <w:kern w:val="0"/>
                <w:sz w:val="15"/>
                <w:szCs w:val="15"/>
              </w:rPr>
              <w:t>(</w:t>
            </w:r>
            <w:r>
              <w:rPr>
                <w:rFonts w:hint="eastAsia" w:ascii="宋体" w:hAnsi="宋体" w:cs="宋体"/>
                <w:color w:val="000000"/>
                <w:kern w:val="0"/>
                <w:sz w:val="15"/>
                <w:szCs w:val="15"/>
              </w:rPr>
              <w:t>包含数字及文字描述</w:t>
            </w:r>
            <w:r>
              <w:rPr>
                <w:rFonts w:ascii="宋体" w:hAnsi="宋体" w:cs="宋体"/>
                <w:color w:val="000000"/>
                <w:kern w:val="0"/>
                <w:sz w:val="15"/>
                <w:szCs w:val="15"/>
              </w:rPr>
              <w:t>)</w:t>
            </w:r>
          </w:p>
        </w:tc>
      </w:tr>
      <w:tr>
        <w:tblPrEx>
          <w:tblCellMar>
            <w:top w:w="0" w:type="dxa"/>
            <w:left w:w="0" w:type="dxa"/>
            <w:bottom w:w="0" w:type="dxa"/>
            <w:right w:w="0" w:type="dxa"/>
          </w:tblCellMar>
        </w:tblPrEx>
        <w:trPr>
          <w:trHeight w:val="953"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数量指标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1：完成食品检测任务；</w:t>
            </w:r>
          </w:p>
          <w:p>
            <w:pPr>
              <w:widowControl/>
              <w:textAlignment w:val="center"/>
              <w:rPr>
                <w:rFonts w:ascii="宋体" w:cs="宋体"/>
                <w:color w:val="000000"/>
                <w:sz w:val="15"/>
                <w:szCs w:val="15"/>
              </w:rPr>
            </w:pPr>
            <w:r>
              <w:rPr>
                <w:rFonts w:hint="eastAsia" w:ascii="宋体" w:cs="宋体"/>
                <w:color w:val="000000"/>
                <w:sz w:val="15"/>
                <w:szCs w:val="15"/>
              </w:rPr>
              <w:t>2：重大活动食品安全保障</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1：完成食品检测任务≥180；</w:t>
            </w:r>
          </w:p>
          <w:p>
            <w:pPr>
              <w:widowControl/>
              <w:textAlignment w:val="center"/>
              <w:rPr>
                <w:rFonts w:ascii="宋体" w:cs="宋体"/>
                <w:color w:val="000000"/>
                <w:sz w:val="15"/>
                <w:szCs w:val="15"/>
              </w:rPr>
            </w:pPr>
            <w:r>
              <w:rPr>
                <w:rFonts w:hint="eastAsia" w:ascii="宋体" w:cs="宋体"/>
                <w:color w:val="000000"/>
                <w:sz w:val="15"/>
                <w:szCs w:val="15"/>
              </w:rPr>
              <w:t>2：重大活动食品安全保障≥2次</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1：完成食品检测任务≥376；</w:t>
            </w:r>
          </w:p>
          <w:p>
            <w:pPr>
              <w:widowControl/>
              <w:textAlignment w:val="center"/>
              <w:rPr>
                <w:rFonts w:ascii="宋体" w:cs="宋体"/>
                <w:color w:val="000000"/>
                <w:sz w:val="15"/>
                <w:szCs w:val="15"/>
              </w:rPr>
            </w:pPr>
            <w:r>
              <w:rPr>
                <w:rFonts w:hint="eastAsia" w:ascii="宋体" w:cs="宋体"/>
                <w:color w:val="000000"/>
                <w:sz w:val="15"/>
                <w:szCs w:val="15"/>
              </w:rPr>
              <w:t>2：重大活动食品安全保障21次</w:t>
            </w:r>
          </w:p>
        </w:tc>
      </w:tr>
      <w:tr>
        <w:tblPrEx>
          <w:tblCellMar>
            <w:top w:w="0" w:type="dxa"/>
            <w:left w:w="0" w:type="dxa"/>
            <w:bottom w:w="0" w:type="dxa"/>
            <w:right w:w="0" w:type="dxa"/>
          </w:tblCellMar>
        </w:tblPrEx>
        <w:trPr>
          <w:trHeight w:val="129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质量指标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1：食品安全</w:t>
            </w:r>
            <w:r>
              <w:rPr>
                <w:rFonts w:hint="eastAsia" w:ascii="宋体" w:cs="宋体"/>
                <w:color w:val="000000"/>
                <w:sz w:val="15"/>
                <w:szCs w:val="15"/>
                <w:lang w:eastAsia="zh-CN"/>
              </w:rPr>
              <w:t>投诉</w:t>
            </w:r>
            <w:r>
              <w:rPr>
                <w:rFonts w:hint="eastAsia" w:ascii="宋体" w:cs="宋体"/>
                <w:color w:val="000000"/>
                <w:sz w:val="15"/>
                <w:szCs w:val="15"/>
              </w:rPr>
              <w:t>举报率；</w:t>
            </w:r>
          </w:p>
          <w:p>
            <w:pPr>
              <w:widowControl/>
              <w:textAlignment w:val="center"/>
              <w:rPr>
                <w:rFonts w:ascii="宋体" w:cs="宋体"/>
                <w:color w:val="000000"/>
                <w:sz w:val="15"/>
                <w:szCs w:val="15"/>
              </w:rPr>
            </w:pPr>
            <w:r>
              <w:rPr>
                <w:rFonts w:hint="eastAsia" w:ascii="宋体" w:cs="宋体"/>
                <w:color w:val="000000"/>
                <w:sz w:val="15"/>
                <w:szCs w:val="15"/>
              </w:rPr>
              <w:t>2：食品抽检查应公布信息的公布率</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1：食品安全</w:t>
            </w:r>
            <w:r>
              <w:rPr>
                <w:rFonts w:hint="eastAsia" w:ascii="宋体" w:cs="宋体"/>
                <w:color w:val="000000"/>
                <w:sz w:val="15"/>
                <w:szCs w:val="15"/>
                <w:lang w:eastAsia="zh-CN"/>
              </w:rPr>
              <w:t>投诉</w:t>
            </w:r>
            <w:r>
              <w:rPr>
                <w:rFonts w:hint="eastAsia" w:ascii="宋体" w:cs="宋体"/>
                <w:color w:val="000000"/>
                <w:sz w:val="15"/>
                <w:szCs w:val="15"/>
              </w:rPr>
              <w:t>举报率100%；</w:t>
            </w:r>
          </w:p>
          <w:p>
            <w:pPr>
              <w:widowControl/>
              <w:textAlignment w:val="center"/>
              <w:rPr>
                <w:rFonts w:ascii="宋体" w:cs="宋体"/>
                <w:color w:val="000000"/>
                <w:sz w:val="15"/>
                <w:szCs w:val="15"/>
              </w:rPr>
            </w:pPr>
            <w:r>
              <w:rPr>
                <w:rFonts w:hint="eastAsia" w:ascii="宋体" w:cs="宋体"/>
                <w:color w:val="000000"/>
                <w:sz w:val="15"/>
                <w:szCs w:val="15"/>
              </w:rPr>
              <w:t>2：食品抽检查应公布信息的公布率100%</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1：食品安全</w:t>
            </w:r>
            <w:r>
              <w:rPr>
                <w:rFonts w:hint="eastAsia" w:ascii="宋体" w:cs="宋体"/>
                <w:color w:val="000000"/>
                <w:sz w:val="15"/>
                <w:szCs w:val="15"/>
                <w:lang w:eastAsia="zh-CN"/>
              </w:rPr>
              <w:t>投诉</w:t>
            </w:r>
            <w:r>
              <w:rPr>
                <w:rFonts w:hint="eastAsia" w:ascii="宋体" w:cs="宋体"/>
                <w:color w:val="000000"/>
                <w:sz w:val="15"/>
                <w:szCs w:val="15"/>
              </w:rPr>
              <w:t>举报率100%；</w:t>
            </w:r>
          </w:p>
          <w:p>
            <w:pPr>
              <w:widowControl/>
              <w:ind w:firstLine="75" w:firstLineChars="50"/>
              <w:textAlignment w:val="center"/>
              <w:rPr>
                <w:rFonts w:ascii="宋体" w:cs="宋体"/>
                <w:color w:val="000000"/>
                <w:sz w:val="15"/>
                <w:szCs w:val="15"/>
              </w:rPr>
            </w:pPr>
            <w:r>
              <w:rPr>
                <w:rFonts w:hint="eastAsia" w:ascii="宋体" w:cs="宋体"/>
                <w:color w:val="000000"/>
                <w:sz w:val="15"/>
                <w:szCs w:val="15"/>
              </w:rPr>
              <w:t>2：食品抽检查应公布信息的公布率100%</w:t>
            </w:r>
          </w:p>
        </w:tc>
      </w:tr>
      <w:tr>
        <w:tblPrEx>
          <w:tblCellMar>
            <w:top w:w="0" w:type="dxa"/>
            <w:left w:w="0" w:type="dxa"/>
            <w:bottom w:w="0" w:type="dxa"/>
            <w:right w:w="0" w:type="dxa"/>
          </w:tblCellMar>
        </w:tblPrEx>
        <w:trPr>
          <w:trHeight w:val="599"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时效指标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1：食品监管专项工作整全完成时间；</w:t>
            </w:r>
          </w:p>
          <w:p>
            <w:pPr>
              <w:widowControl/>
              <w:jc w:val="center"/>
              <w:textAlignment w:val="center"/>
              <w:rPr>
                <w:rFonts w:ascii="宋体" w:cs="宋体"/>
                <w:color w:val="000000"/>
                <w:sz w:val="15"/>
                <w:szCs w:val="15"/>
              </w:rPr>
            </w:pPr>
            <w:r>
              <w:rPr>
                <w:rFonts w:hint="eastAsia" w:ascii="宋体" w:cs="宋体"/>
                <w:color w:val="000000"/>
                <w:sz w:val="15"/>
                <w:szCs w:val="15"/>
              </w:rPr>
              <w:t>2：落实省、州局抽检任务要求时间频次</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2020年12月</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2020年12月</w:t>
            </w:r>
          </w:p>
        </w:tc>
      </w:tr>
      <w:tr>
        <w:tblPrEx>
          <w:tblCellMar>
            <w:top w:w="0" w:type="dxa"/>
            <w:left w:w="0" w:type="dxa"/>
            <w:bottom w:w="0" w:type="dxa"/>
            <w:right w:w="0" w:type="dxa"/>
          </w:tblCellMar>
        </w:tblPrEx>
        <w:trPr>
          <w:trHeight w:val="664"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hAns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成本指标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1：执法监管成本；</w:t>
            </w:r>
          </w:p>
          <w:p>
            <w:pPr>
              <w:widowControl/>
              <w:jc w:val="center"/>
              <w:textAlignment w:val="center"/>
              <w:rPr>
                <w:rFonts w:ascii="宋体" w:cs="宋体"/>
                <w:color w:val="000000"/>
                <w:sz w:val="15"/>
                <w:szCs w:val="15"/>
              </w:rPr>
            </w:pPr>
            <w:r>
              <w:rPr>
                <w:rFonts w:hint="eastAsia" w:ascii="宋体" w:cs="宋体"/>
                <w:color w:val="000000"/>
                <w:sz w:val="15"/>
                <w:szCs w:val="15"/>
              </w:rPr>
              <w:t>2：食品抽检成本</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1：执法监管成本不高于100元/人.天；</w:t>
            </w:r>
          </w:p>
          <w:p>
            <w:pPr>
              <w:widowControl/>
              <w:jc w:val="center"/>
              <w:textAlignment w:val="center"/>
              <w:rPr>
                <w:rFonts w:ascii="宋体" w:cs="宋体"/>
                <w:color w:val="000000"/>
                <w:sz w:val="15"/>
                <w:szCs w:val="15"/>
              </w:rPr>
            </w:pPr>
            <w:r>
              <w:rPr>
                <w:rFonts w:hint="eastAsia" w:ascii="宋体" w:cs="宋体"/>
                <w:color w:val="000000"/>
                <w:sz w:val="15"/>
                <w:szCs w:val="15"/>
              </w:rPr>
              <w:t>2：食品抽检成本不高于1500元/样</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1：执法监管成本未高于100元/人.天；</w:t>
            </w:r>
          </w:p>
          <w:p>
            <w:pPr>
              <w:widowControl/>
              <w:jc w:val="center"/>
              <w:textAlignment w:val="center"/>
              <w:rPr>
                <w:rFonts w:ascii="宋体" w:cs="宋体"/>
                <w:color w:val="000000"/>
                <w:sz w:val="15"/>
                <w:szCs w:val="15"/>
              </w:rPr>
            </w:pPr>
            <w:r>
              <w:rPr>
                <w:rFonts w:hint="eastAsia" w:ascii="宋体" w:cs="宋体"/>
                <w:color w:val="000000"/>
                <w:sz w:val="15"/>
                <w:szCs w:val="15"/>
              </w:rPr>
              <w:t>2：食品抽检成本未高于1500元/样</w:t>
            </w:r>
          </w:p>
        </w:tc>
      </w:tr>
      <w:tr>
        <w:tblPrEx>
          <w:tblCellMar>
            <w:top w:w="0" w:type="dxa"/>
            <w:left w:w="0" w:type="dxa"/>
            <w:bottom w:w="0" w:type="dxa"/>
            <w:right w:w="0" w:type="dxa"/>
          </w:tblCellMar>
        </w:tblPrEx>
        <w:trPr>
          <w:trHeight w:val="1255"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社会效益指标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1：辖区内补助资金相关的重大食品安全监督管责任事故发生数；</w:t>
            </w:r>
          </w:p>
          <w:p>
            <w:pPr>
              <w:widowControl/>
              <w:jc w:val="center"/>
              <w:textAlignment w:val="center"/>
              <w:rPr>
                <w:rFonts w:ascii="宋体" w:cs="宋体"/>
                <w:color w:val="000000"/>
                <w:sz w:val="15"/>
                <w:szCs w:val="15"/>
              </w:rPr>
            </w:pPr>
            <w:r>
              <w:rPr>
                <w:rFonts w:hint="eastAsia" w:ascii="宋体" w:cs="宋体"/>
                <w:color w:val="000000"/>
                <w:sz w:val="15"/>
                <w:szCs w:val="15"/>
              </w:rPr>
              <w:t>2：辖区内公众食品安全科普知识素养；</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1：辖区内补助资金相关的重大食品安全监督管责任事故发生数0次；</w:t>
            </w:r>
          </w:p>
          <w:p>
            <w:pPr>
              <w:widowControl/>
              <w:jc w:val="center"/>
              <w:textAlignment w:val="center"/>
              <w:rPr>
                <w:rFonts w:ascii="宋体" w:cs="宋体"/>
                <w:color w:val="000000"/>
                <w:sz w:val="15"/>
                <w:szCs w:val="15"/>
              </w:rPr>
            </w:pPr>
            <w:r>
              <w:rPr>
                <w:rFonts w:hint="eastAsia" w:ascii="宋体" w:cs="宋体"/>
                <w:color w:val="000000"/>
                <w:sz w:val="15"/>
                <w:szCs w:val="15"/>
              </w:rPr>
              <w:t>2：辖区内公众食品安全科普知识素养逐步提高；</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1：辖区内补助资金相关的重大食品安全监督管责任事故发生数0次；</w:t>
            </w:r>
          </w:p>
          <w:p>
            <w:pPr>
              <w:widowControl/>
              <w:jc w:val="center"/>
              <w:textAlignment w:val="center"/>
              <w:rPr>
                <w:rFonts w:ascii="宋体" w:cs="宋体"/>
                <w:color w:val="000000"/>
                <w:sz w:val="15"/>
                <w:szCs w:val="15"/>
              </w:rPr>
            </w:pPr>
            <w:r>
              <w:rPr>
                <w:rFonts w:hint="eastAsia" w:ascii="宋体" w:cs="宋体"/>
                <w:color w:val="000000"/>
                <w:sz w:val="15"/>
                <w:szCs w:val="15"/>
              </w:rPr>
              <w:t>2：辖区内公众食品安全科普知识素养逐步提高；</w:t>
            </w:r>
          </w:p>
        </w:tc>
      </w:tr>
      <w:tr>
        <w:tblPrEx>
          <w:tblCellMar>
            <w:top w:w="0" w:type="dxa"/>
            <w:left w:w="0" w:type="dxa"/>
            <w:bottom w:w="0" w:type="dxa"/>
            <w:right w:w="0" w:type="dxa"/>
          </w:tblCellMar>
        </w:tblPrEx>
        <w:trPr>
          <w:trHeight w:val="649"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可持续影响指标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1食品经营安全监管水平</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不断提高</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不断提高</w:t>
            </w:r>
          </w:p>
        </w:tc>
      </w:tr>
      <w:tr>
        <w:tblPrEx>
          <w:tblCellMar>
            <w:top w:w="0" w:type="dxa"/>
            <w:left w:w="0" w:type="dxa"/>
            <w:bottom w:w="0" w:type="dxa"/>
            <w:right w:w="0" w:type="dxa"/>
          </w:tblCellMar>
        </w:tblPrEx>
        <w:trPr>
          <w:trHeight w:val="2014" w:hRule="atLeast"/>
          <w:jc w:val="center"/>
        </w:trPr>
        <w:tc>
          <w:tcPr>
            <w:tcW w:w="582"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满意度指标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服务对象满意度指标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社会公众对药品安全满意度</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等线" w:hAnsi="等线" w:eastAsia="等线" w:cs="宋体"/>
                <w:color w:val="444444"/>
                <w:sz w:val="15"/>
                <w:szCs w:val="15"/>
              </w:rPr>
            </w:pPr>
            <w:r>
              <w:rPr>
                <w:rFonts w:hint="eastAsia" w:ascii="等线" w:hAnsi="等线" w:eastAsia="等线"/>
                <w:color w:val="333333"/>
                <w:sz w:val="15"/>
                <w:szCs w:val="15"/>
              </w:rPr>
              <w:t>≥</w:t>
            </w:r>
            <w:r>
              <w:rPr>
                <w:rFonts w:hint="eastAsia" w:ascii="等线" w:hAnsi="等线" w:eastAsia="等线"/>
                <w:color w:val="444444"/>
                <w:sz w:val="15"/>
                <w:szCs w:val="15"/>
              </w:rPr>
              <w:t>70%</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等线" w:hAnsi="等线" w:eastAsia="等线" w:cs="宋体"/>
                <w:color w:val="444444"/>
                <w:sz w:val="15"/>
                <w:szCs w:val="15"/>
              </w:rPr>
            </w:pPr>
            <w:r>
              <w:rPr>
                <w:rFonts w:hint="eastAsia" w:ascii="等线" w:hAnsi="等线" w:eastAsia="等线"/>
                <w:color w:val="333333"/>
                <w:sz w:val="15"/>
                <w:szCs w:val="15"/>
              </w:rPr>
              <w:t>≥</w:t>
            </w:r>
            <w:r>
              <w:rPr>
                <w:rFonts w:hint="eastAsia" w:ascii="等线" w:hAnsi="等线" w:eastAsia="等线"/>
                <w:color w:val="444444"/>
                <w:sz w:val="15"/>
                <w:szCs w:val="15"/>
              </w:rPr>
              <w:t>70%</w:t>
            </w:r>
          </w:p>
          <w:p>
            <w:pPr>
              <w:widowControl/>
              <w:jc w:val="center"/>
              <w:textAlignment w:val="center"/>
              <w:rPr>
                <w:rFonts w:ascii="宋体" w:cs="宋体"/>
                <w:color w:val="000000"/>
                <w:sz w:val="15"/>
                <w:szCs w:val="15"/>
              </w:rPr>
            </w:pPr>
          </w:p>
        </w:tc>
      </w:tr>
    </w:tbl>
    <w:p>
      <w:pPr>
        <w:spacing w:line="580" w:lineRule="exact"/>
        <w:rPr>
          <w:rFonts w:ascii="楷体_GB2312" w:hAnsi="楷体_GB2312" w:eastAsia="楷体_GB2312" w:cs="楷体_GB2312"/>
          <w:sz w:val="32"/>
          <w:szCs w:val="32"/>
        </w:rPr>
      </w:pPr>
    </w:p>
    <w:tbl>
      <w:tblPr>
        <w:tblStyle w:val="19"/>
        <w:tblpPr w:leftFromText="180" w:rightFromText="180" w:vertAnchor="text" w:horzAnchor="page" w:tblpXSpec="center" w:tblpY="423"/>
        <w:tblOverlap w:val="never"/>
        <w:tblW w:w="10505" w:type="dxa"/>
        <w:jc w:val="center"/>
        <w:tblLayout w:type="fixed"/>
        <w:tblCellMar>
          <w:top w:w="0" w:type="dxa"/>
          <w:left w:w="0" w:type="dxa"/>
          <w:bottom w:w="0" w:type="dxa"/>
          <w:right w:w="0" w:type="dxa"/>
        </w:tblCellMar>
      </w:tblPr>
      <w:tblGrid>
        <w:gridCol w:w="582"/>
        <w:gridCol w:w="851"/>
        <w:gridCol w:w="709"/>
        <w:gridCol w:w="640"/>
        <w:gridCol w:w="2053"/>
        <w:gridCol w:w="2693"/>
        <w:gridCol w:w="851"/>
        <w:gridCol w:w="2126"/>
      </w:tblGrid>
      <w:tr>
        <w:tblPrEx>
          <w:tblCellMar>
            <w:top w:w="0" w:type="dxa"/>
            <w:left w:w="0" w:type="dxa"/>
            <w:bottom w:w="0" w:type="dxa"/>
            <w:right w:w="0" w:type="dxa"/>
          </w:tblCellMar>
        </w:tblPrEx>
        <w:trPr>
          <w:trHeight w:val="1034" w:hRule="atLeast"/>
          <w:jc w:val="center"/>
        </w:trPr>
        <w:tc>
          <w:tcPr>
            <w:tcW w:w="10505"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5"/>
                <w:szCs w:val="15"/>
              </w:rPr>
            </w:pPr>
            <w:r>
              <w:rPr>
                <w:rFonts w:hint="eastAsia" w:ascii="宋体" w:hAnsi="宋体" w:cs="宋体"/>
                <w:color w:val="000000"/>
                <w:kern w:val="0"/>
                <w:sz w:val="15"/>
                <w:szCs w:val="15"/>
              </w:rPr>
              <w:t>项目名称</w:t>
            </w:r>
          </w:p>
        </w:tc>
        <w:tc>
          <w:tcPr>
            <w:tcW w:w="772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5"/>
                <w:szCs w:val="15"/>
              </w:rPr>
            </w:pPr>
            <w:r>
              <w:rPr>
                <w:rFonts w:ascii="宋体" w:hAnsi="宋体" w:cs="宋体"/>
                <w:color w:val="000000"/>
                <w:kern w:val="0"/>
                <w:sz w:val="15"/>
                <w:szCs w:val="15"/>
              </w:rPr>
              <w:t>20</w:t>
            </w:r>
            <w:r>
              <w:rPr>
                <w:rFonts w:hint="eastAsia" w:ascii="宋体" w:hAnsi="宋体" w:cs="宋体"/>
                <w:color w:val="000000"/>
                <w:kern w:val="0"/>
                <w:sz w:val="15"/>
                <w:szCs w:val="15"/>
              </w:rPr>
              <w:t>20年食品检测项目</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预算单位</w:t>
            </w:r>
          </w:p>
        </w:tc>
        <w:tc>
          <w:tcPr>
            <w:tcW w:w="772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5"/>
                <w:szCs w:val="15"/>
              </w:rPr>
            </w:pPr>
            <w:r>
              <w:rPr>
                <w:rFonts w:hint="eastAsia" w:ascii="宋体" w:hAnsi="宋体" w:cs="宋体"/>
                <w:color w:val="000000"/>
                <w:kern w:val="0"/>
                <w:sz w:val="15"/>
                <w:szCs w:val="15"/>
              </w:rPr>
              <w:t>茂县市场监督管理局</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预算执行情况</w:t>
            </w:r>
            <w:r>
              <w:rPr>
                <w:rFonts w:ascii="宋体" w:hAnsi="宋体" w:cs="宋体"/>
                <w:color w:val="000000"/>
                <w:kern w:val="0"/>
                <w:sz w:val="15"/>
                <w:szCs w:val="15"/>
              </w:rPr>
              <w:t>(</w:t>
            </w:r>
            <w:r>
              <w:rPr>
                <w:rFonts w:hint="eastAsia" w:ascii="宋体" w:hAnsi="宋体" w:cs="宋体"/>
                <w:color w:val="000000"/>
                <w:kern w:val="0"/>
                <w:sz w:val="15"/>
                <w:szCs w:val="15"/>
              </w:rPr>
              <w:t>万元</w:t>
            </w:r>
            <w:r>
              <w:rPr>
                <w:rFonts w:ascii="宋体" w:hAnsi="宋体" w:cs="宋体"/>
                <w:color w:val="000000"/>
                <w:kern w:val="0"/>
                <w:sz w:val="15"/>
                <w:szCs w:val="15"/>
              </w:rPr>
              <w:t>)</w:t>
            </w: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预算数</w:t>
            </w:r>
            <w:r>
              <w:rPr>
                <w:rFonts w:ascii="宋体" w:hAns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47.78</w:t>
            </w:r>
          </w:p>
        </w:tc>
        <w:tc>
          <w:tcPr>
            <w:tcW w:w="35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执行数</w:t>
            </w:r>
            <w:r>
              <w:rPr>
                <w:rFonts w:ascii="宋体" w:hAns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47.78</w:t>
            </w:r>
          </w:p>
        </w:tc>
      </w:tr>
      <w:tr>
        <w:tblPrEx>
          <w:tblCellMar>
            <w:top w:w="0" w:type="dxa"/>
            <w:left w:w="0" w:type="dxa"/>
            <w:bottom w:w="0" w:type="dxa"/>
            <w:right w:w="0" w:type="dxa"/>
          </w:tblCellMar>
        </w:tblPrEx>
        <w:trPr>
          <w:trHeight w:val="276"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5"/>
                <w:szCs w:val="15"/>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其中</w:t>
            </w:r>
            <w:r>
              <w:rPr>
                <w:rFonts w:ascii="宋体" w:cs="宋体"/>
                <w:color w:val="000000"/>
                <w:kern w:val="0"/>
                <w:sz w:val="15"/>
                <w:szCs w:val="15"/>
              </w:rPr>
              <w:t>-</w:t>
            </w:r>
            <w:r>
              <w:rPr>
                <w:rFonts w:hint="eastAsia" w:ascii="宋体" w:hAnsi="宋体" w:cs="宋体"/>
                <w:color w:val="000000"/>
                <w:kern w:val="0"/>
                <w:sz w:val="15"/>
                <w:szCs w:val="15"/>
              </w:rPr>
              <w:t>财政拨款</w:t>
            </w:r>
            <w:r>
              <w:rPr>
                <w:rFonts w:ascii="宋体" w:hAns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47.78</w:t>
            </w:r>
          </w:p>
        </w:tc>
        <w:tc>
          <w:tcPr>
            <w:tcW w:w="35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其中</w:t>
            </w:r>
            <w:r>
              <w:rPr>
                <w:rFonts w:ascii="宋体" w:cs="宋体"/>
                <w:color w:val="000000"/>
                <w:kern w:val="0"/>
                <w:sz w:val="15"/>
                <w:szCs w:val="15"/>
              </w:rPr>
              <w:t>-</w:t>
            </w:r>
            <w:r>
              <w:rPr>
                <w:rFonts w:hint="eastAsia" w:ascii="宋体" w:hAnsi="宋体" w:cs="宋体"/>
                <w:color w:val="000000"/>
                <w:kern w:val="0"/>
                <w:sz w:val="15"/>
                <w:szCs w:val="15"/>
              </w:rPr>
              <w:t>财政拨款</w:t>
            </w:r>
            <w:r>
              <w:rPr>
                <w:rFonts w:ascii="宋体" w:hAns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47.78</w:t>
            </w:r>
          </w:p>
        </w:tc>
      </w:tr>
      <w:tr>
        <w:tblPrEx>
          <w:tblCellMar>
            <w:top w:w="0" w:type="dxa"/>
            <w:left w:w="0" w:type="dxa"/>
            <w:bottom w:w="0" w:type="dxa"/>
            <w:right w:w="0" w:type="dxa"/>
          </w:tblCellMar>
        </w:tblPrEx>
        <w:trPr>
          <w:trHeight w:val="337"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5"/>
                <w:szCs w:val="15"/>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其它资金</w:t>
            </w:r>
            <w:r>
              <w:rPr>
                <w:rFonts w:ascii="宋体" w:hAns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35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其它资金</w:t>
            </w:r>
            <w:r>
              <w:rPr>
                <w:rFonts w:ascii="宋体" w:hAns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5"/>
                <w:szCs w:val="15"/>
              </w:rPr>
            </w:pP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年度目标完成情况</w:t>
            </w:r>
          </w:p>
        </w:tc>
        <w:tc>
          <w:tcPr>
            <w:tcW w:w="425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预期目标</w:t>
            </w:r>
          </w:p>
        </w:tc>
        <w:tc>
          <w:tcPr>
            <w:tcW w:w="56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实际完成目标</w:t>
            </w:r>
          </w:p>
        </w:tc>
      </w:tr>
      <w:tr>
        <w:tblPrEx>
          <w:tblCellMar>
            <w:top w:w="0" w:type="dxa"/>
            <w:left w:w="0" w:type="dxa"/>
            <w:bottom w:w="0" w:type="dxa"/>
            <w:right w:w="0" w:type="dxa"/>
          </w:tblCellMar>
        </w:tblPrEx>
        <w:trPr>
          <w:trHeight w:val="908"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5"/>
                <w:szCs w:val="15"/>
              </w:rPr>
            </w:pPr>
          </w:p>
        </w:tc>
        <w:tc>
          <w:tcPr>
            <w:tcW w:w="425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15"/>
                <w:szCs w:val="15"/>
              </w:rPr>
            </w:pPr>
            <w:r>
              <w:rPr>
                <w:rFonts w:hint="eastAsia" w:ascii="宋体" w:hAnsi="宋体" w:cs="宋体"/>
                <w:color w:val="000000"/>
                <w:kern w:val="0"/>
                <w:sz w:val="15"/>
                <w:szCs w:val="15"/>
              </w:rPr>
              <w:t xml:space="preserve">     全面加强食品质量抽检工作，及时发现食品安全隐患，督促生产经营企业落实主体责任，掌握产品质量状况，防范系统性、区域性食品安全风险</w:t>
            </w:r>
          </w:p>
        </w:tc>
        <w:tc>
          <w:tcPr>
            <w:tcW w:w="56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kern w:val="0"/>
                <w:sz w:val="15"/>
                <w:szCs w:val="15"/>
              </w:rPr>
            </w:pPr>
            <w:r>
              <w:rPr>
                <w:rFonts w:hint="eastAsia" w:ascii="宋体" w:hAnsi="宋体" w:cs="宋体"/>
                <w:color w:val="000000"/>
                <w:kern w:val="0"/>
                <w:sz w:val="15"/>
                <w:szCs w:val="15"/>
              </w:rPr>
              <w:t xml:space="preserve">提高了发现食品安全隐患的意识，落实主体责任，促进全县市场经济健康有序发展 。          </w:t>
            </w:r>
          </w:p>
        </w:tc>
      </w:tr>
      <w:tr>
        <w:tblPrEx>
          <w:tblCellMar>
            <w:top w:w="0" w:type="dxa"/>
            <w:left w:w="0" w:type="dxa"/>
            <w:bottom w:w="0" w:type="dxa"/>
            <w:right w:w="0" w:type="dxa"/>
          </w:tblCellMar>
        </w:tblPrEx>
        <w:trPr>
          <w:trHeight w:val="695" w:hRule="atLeast"/>
          <w:jc w:val="center"/>
        </w:trPr>
        <w:tc>
          <w:tcPr>
            <w:tcW w:w="5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sz w:val="15"/>
                <w:szCs w:val="15"/>
              </w:rPr>
              <w:t>绩效指标完成情况</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一级指标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二级指标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三级指标</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预期指标值</w:t>
            </w:r>
            <w:r>
              <w:rPr>
                <w:rFonts w:ascii="宋体" w:hAnsi="宋体" w:cs="宋体"/>
                <w:color w:val="000000"/>
                <w:kern w:val="0"/>
                <w:sz w:val="15"/>
                <w:szCs w:val="15"/>
              </w:rPr>
              <w:t>(</w:t>
            </w:r>
            <w:r>
              <w:rPr>
                <w:rFonts w:hint="eastAsia" w:ascii="宋体" w:hAnsi="宋体" w:cs="宋体"/>
                <w:color w:val="000000"/>
                <w:kern w:val="0"/>
                <w:sz w:val="15"/>
                <w:szCs w:val="15"/>
              </w:rPr>
              <w:t>包含数字及文字描述</w:t>
            </w:r>
            <w:r>
              <w:rPr>
                <w:rFonts w:ascii="宋体" w:hAnsi="宋体" w:cs="宋体"/>
                <w:color w:val="000000"/>
                <w:kern w:val="0"/>
                <w:sz w:val="15"/>
                <w:szCs w:val="15"/>
              </w:rPr>
              <w:t>)</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实际完成指标值</w:t>
            </w:r>
            <w:r>
              <w:rPr>
                <w:rFonts w:ascii="宋体" w:hAnsi="宋体" w:cs="宋体"/>
                <w:color w:val="000000"/>
                <w:kern w:val="0"/>
                <w:sz w:val="15"/>
                <w:szCs w:val="15"/>
              </w:rPr>
              <w:t>(</w:t>
            </w:r>
            <w:r>
              <w:rPr>
                <w:rFonts w:hint="eastAsia" w:ascii="宋体" w:hAnsi="宋体" w:cs="宋体"/>
                <w:color w:val="000000"/>
                <w:kern w:val="0"/>
                <w:sz w:val="15"/>
                <w:szCs w:val="15"/>
              </w:rPr>
              <w:t>包含数字及文字描述</w:t>
            </w:r>
            <w:r>
              <w:rPr>
                <w:rFonts w:ascii="宋体" w:hAnsi="宋体" w:cs="宋体"/>
                <w:color w:val="000000"/>
                <w:kern w:val="0"/>
                <w:sz w:val="15"/>
                <w:szCs w:val="15"/>
              </w:rPr>
              <w:t>)</w:t>
            </w:r>
          </w:p>
        </w:tc>
      </w:tr>
      <w:tr>
        <w:tblPrEx>
          <w:tblCellMar>
            <w:top w:w="0" w:type="dxa"/>
            <w:left w:w="0" w:type="dxa"/>
            <w:bottom w:w="0" w:type="dxa"/>
            <w:right w:w="0" w:type="dxa"/>
          </w:tblCellMar>
        </w:tblPrEx>
        <w:trPr>
          <w:trHeight w:val="953"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数量指标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样品批次</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≥180批次</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376批次</w:t>
            </w:r>
          </w:p>
        </w:tc>
      </w:tr>
      <w:tr>
        <w:tblPrEx>
          <w:tblCellMar>
            <w:top w:w="0" w:type="dxa"/>
            <w:left w:w="0" w:type="dxa"/>
            <w:bottom w:w="0" w:type="dxa"/>
            <w:right w:w="0" w:type="dxa"/>
          </w:tblCellMar>
        </w:tblPrEx>
        <w:trPr>
          <w:trHeight w:val="129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质量指标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检验数据的准确性</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检验结果无结论性差错</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检验结果无结论性差错</w:t>
            </w:r>
          </w:p>
        </w:tc>
      </w:tr>
      <w:tr>
        <w:tblPrEx>
          <w:tblCellMar>
            <w:top w:w="0" w:type="dxa"/>
            <w:left w:w="0" w:type="dxa"/>
            <w:bottom w:w="0" w:type="dxa"/>
            <w:right w:w="0" w:type="dxa"/>
          </w:tblCellMar>
        </w:tblPrEx>
        <w:trPr>
          <w:trHeight w:val="599"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时效指标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检查时效 </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所有检验任务在规定时间内完成检验任务。</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按要求完成检验任务。</w:t>
            </w:r>
          </w:p>
        </w:tc>
      </w:tr>
      <w:tr>
        <w:tblPrEx>
          <w:tblCellMar>
            <w:top w:w="0" w:type="dxa"/>
            <w:left w:w="0" w:type="dxa"/>
            <w:bottom w:w="0" w:type="dxa"/>
            <w:right w:w="0" w:type="dxa"/>
          </w:tblCellMar>
        </w:tblPrEx>
        <w:trPr>
          <w:trHeight w:val="664"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hAns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成本指标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检验成本</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成本不高于1500元/样</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食品抽检成本未高于1500元/样</w:t>
            </w:r>
          </w:p>
        </w:tc>
      </w:tr>
      <w:tr>
        <w:tblPrEx>
          <w:tblCellMar>
            <w:top w:w="0" w:type="dxa"/>
            <w:left w:w="0" w:type="dxa"/>
            <w:bottom w:w="0" w:type="dxa"/>
            <w:right w:w="0" w:type="dxa"/>
          </w:tblCellMar>
        </w:tblPrEx>
        <w:trPr>
          <w:trHeight w:val="1255"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社会效益指标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 为产品质量监管提供技术支撑</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 服务地方经济，为监管提供技术支撑。</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 为监管工作提高了技术支撑。</w:t>
            </w:r>
          </w:p>
        </w:tc>
      </w:tr>
      <w:tr>
        <w:tblPrEx>
          <w:tblCellMar>
            <w:top w:w="0" w:type="dxa"/>
            <w:left w:w="0" w:type="dxa"/>
            <w:bottom w:w="0" w:type="dxa"/>
            <w:right w:w="0" w:type="dxa"/>
          </w:tblCellMar>
        </w:tblPrEx>
        <w:trPr>
          <w:trHeight w:val="649"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可持续影响指标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 产品质量持续提高</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持续提高</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持续提高</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满意度指标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服务对象满意度指标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社会公众对药品安全满意度</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等线" w:hAnsi="等线" w:eastAsia="等线" w:cs="宋体"/>
                <w:color w:val="444444"/>
                <w:sz w:val="15"/>
                <w:szCs w:val="15"/>
              </w:rPr>
            </w:pPr>
            <w:r>
              <w:rPr>
                <w:rFonts w:hint="eastAsia" w:ascii="等线" w:hAnsi="等线" w:eastAsia="等线"/>
                <w:color w:val="333333"/>
                <w:sz w:val="15"/>
                <w:szCs w:val="15"/>
              </w:rPr>
              <w:t>≥</w:t>
            </w:r>
            <w:r>
              <w:rPr>
                <w:rFonts w:hint="eastAsia" w:ascii="等线" w:hAnsi="等线" w:eastAsia="等线"/>
                <w:color w:val="444444"/>
                <w:sz w:val="15"/>
                <w:szCs w:val="15"/>
              </w:rPr>
              <w:t>70%</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等线" w:hAnsi="等线" w:eastAsia="等线" w:cs="宋体"/>
                <w:color w:val="444444"/>
                <w:sz w:val="15"/>
                <w:szCs w:val="15"/>
              </w:rPr>
            </w:pPr>
            <w:r>
              <w:rPr>
                <w:rFonts w:hint="eastAsia" w:ascii="等线" w:hAnsi="等线" w:eastAsia="等线"/>
                <w:color w:val="333333"/>
                <w:sz w:val="15"/>
                <w:szCs w:val="15"/>
              </w:rPr>
              <w:t>≥</w:t>
            </w:r>
            <w:r>
              <w:rPr>
                <w:rFonts w:hint="eastAsia" w:ascii="等线" w:hAnsi="等线" w:eastAsia="等线"/>
                <w:color w:val="444444"/>
                <w:sz w:val="15"/>
                <w:szCs w:val="15"/>
              </w:rPr>
              <w:t>70%</w:t>
            </w:r>
          </w:p>
          <w:p>
            <w:pPr>
              <w:widowControl/>
              <w:jc w:val="center"/>
              <w:textAlignment w:val="center"/>
              <w:rPr>
                <w:rFonts w:ascii="宋体" w:cs="宋体"/>
                <w:color w:val="000000"/>
                <w:sz w:val="15"/>
                <w:szCs w:val="15"/>
              </w:rPr>
            </w:pPr>
          </w:p>
        </w:tc>
      </w:tr>
    </w:tbl>
    <w:p>
      <w:pPr>
        <w:spacing w:line="580" w:lineRule="exact"/>
        <w:rPr>
          <w:rFonts w:ascii="楷体_GB2312" w:hAnsi="楷体_GB2312" w:eastAsia="楷体_GB2312" w:cs="楷体_GB2312"/>
          <w:sz w:val="32"/>
          <w:szCs w:val="32"/>
        </w:rPr>
      </w:pPr>
    </w:p>
    <w:p>
      <w:pPr>
        <w:spacing w:line="580" w:lineRule="exact"/>
        <w:ind w:firstLine="640" w:firstLineChars="200"/>
        <w:rPr>
          <w:rFonts w:ascii="楷体_GB2312" w:hAnsi="楷体_GB2312" w:eastAsia="楷体_GB2312" w:cs="楷体_GB2312"/>
          <w:sz w:val="32"/>
          <w:szCs w:val="32"/>
        </w:rPr>
      </w:pPr>
    </w:p>
    <w:p>
      <w:pPr>
        <w:spacing w:line="580" w:lineRule="exact"/>
        <w:ind w:firstLine="640" w:firstLineChars="200"/>
        <w:rPr>
          <w:rFonts w:ascii="楷体_GB2312" w:hAnsi="楷体_GB2312" w:eastAsia="楷体_GB2312" w:cs="楷体_GB2312"/>
          <w:sz w:val="32"/>
          <w:szCs w:val="32"/>
        </w:rPr>
      </w:pPr>
    </w:p>
    <w:tbl>
      <w:tblPr>
        <w:tblStyle w:val="19"/>
        <w:tblpPr w:leftFromText="180" w:rightFromText="180" w:vertAnchor="text" w:horzAnchor="page" w:tblpXSpec="center" w:tblpY="423"/>
        <w:tblOverlap w:val="never"/>
        <w:tblW w:w="10505" w:type="dxa"/>
        <w:jc w:val="center"/>
        <w:tblLayout w:type="fixed"/>
        <w:tblCellMar>
          <w:top w:w="0" w:type="dxa"/>
          <w:left w:w="0" w:type="dxa"/>
          <w:bottom w:w="0" w:type="dxa"/>
          <w:right w:w="0" w:type="dxa"/>
        </w:tblCellMar>
      </w:tblPr>
      <w:tblGrid>
        <w:gridCol w:w="582"/>
        <w:gridCol w:w="851"/>
        <w:gridCol w:w="709"/>
        <w:gridCol w:w="640"/>
        <w:gridCol w:w="2053"/>
        <w:gridCol w:w="2693"/>
        <w:gridCol w:w="851"/>
        <w:gridCol w:w="2126"/>
      </w:tblGrid>
      <w:tr>
        <w:tblPrEx>
          <w:tblCellMar>
            <w:top w:w="0" w:type="dxa"/>
            <w:left w:w="0" w:type="dxa"/>
            <w:bottom w:w="0" w:type="dxa"/>
            <w:right w:w="0" w:type="dxa"/>
          </w:tblCellMar>
        </w:tblPrEx>
        <w:trPr>
          <w:trHeight w:val="1034" w:hRule="atLeast"/>
          <w:jc w:val="center"/>
        </w:trPr>
        <w:tc>
          <w:tcPr>
            <w:tcW w:w="10505"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项目名称</w:t>
            </w:r>
          </w:p>
        </w:tc>
        <w:tc>
          <w:tcPr>
            <w:tcW w:w="772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5"/>
                <w:szCs w:val="15"/>
              </w:rPr>
            </w:pPr>
            <w:r>
              <w:rPr>
                <w:rFonts w:hint="eastAsia" w:ascii="宋体" w:hAnsi="宋体" w:cs="宋体"/>
                <w:color w:val="000000"/>
                <w:kern w:val="0"/>
                <w:sz w:val="15"/>
                <w:szCs w:val="15"/>
              </w:rPr>
              <w:t>2020年新型冠状肺炎经费</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预算单位</w:t>
            </w:r>
          </w:p>
        </w:tc>
        <w:tc>
          <w:tcPr>
            <w:tcW w:w="772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5"/>
                <w:szCs w:val="15"/>
              </w:rPr>
            </w:pPr>
            <w:r>
              <w:rPr>
                <w:rFonts w:hint="eastAsia" w:ascii="宋体" w:hAnsi="宋体" w:cs="宋体"/>
                <w:color w:val="000000"/>
                <w:kern w:val="0"/>
                <w:sz w:val="15"/>
                <w:szCs w:val="15"/>
              </w:rPr>
              <w:t>茂县市场监督管理局</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预算执行情况</w:t>
            </w:r>
            <w:r>
              <w:rPr>
                <w:rFonts w:ascii="宋体" w:hAnsi="宋体" w:cs="宋体"/>
                <w:color w:val="000000"/>
                <w:kern w:val="0"/>
                <w:sz w:val="15"/>
                <w:szCs w:val="15"/>
              </w:rPr>
              <w:t>(</w:t>
            </w:r>
            <w:r>
              <w:rPr>
                <w:rFonts w:hint="eastAsia" w:ascii="宋体" w:hAnsi="宋体" w:cs="宋体"/>
                <w:color w:val="000000"/>
                <w:kern w:val="0"/>
                <w:sz w:val="15"/>
                <w:szCs w:val="15"/>
              </w:rPr>
              <w:t>万元</w:t>
            </w:r>
            <w:r>
              <w:rPr>
                <w:rFonts w:ascii="宋体" w:hAnsi="宋体" w:cs="宋体"/>
                <w:color w:val="000000"/>
                <w:kern w:val="0"/>
                <w:sz w:val="15"/>
                <w:szCs w:val="15"/>
              </w:rPr>
              <w:t>)</w:t>
            </w: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预算数</w:t>
            </w:r>
            <w:r>
              <w:rPr>
                <w:rFonts w:ascii="宋体" w:hAns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10</w:t>
            </w:r>
          </w:p>
        </w:tc>
        <w:tc>
          <w:tcPr>
            <w:tcW w:w="35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执行数</w:t>
            </w:r>
            <w:r>
              <w:rPr>
                <w:rFonts w:ascii="宋体" w:hAns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10</w:t>
            </w:r>
          </w:p>
        </w:tc>
      </w:tr>
      <w:tr>
        <w:tblPrEx>
          <w:tblCellMar>
            <w:top w:w="0" w:type="dxa"/>
            <w:left w:w="0" w:type="dxa"/>
            <w:bottom w:w="0" w:type="dxa"/>
            <w:right w:w="0" w:type="dxa"/>
          </w:tblCellMar>
        </w:tblPrEx>
        <w:trPr>
          <w:trHeight w:val="276"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5"/>
                <w:szCs w:val="15"/>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其中</w:t>
            </w:r>
            <w:r>
              <w:rPr>
                <w:rFonts w:ascii="宋体" w:cs="宋体"/>
                <w:color w:val="000000"/>
                <w:kern w:val="0"/>
                <w:sz w:val="15"/>
                <w:szCs w:val="15"/>
              </w:rPr>
              <w:t>-</w:t>
            </w:r>
            <w:r>
              <w:rPr>
                <w:rFonts w:hint="eastAsia" w:ascii="宋体" w:hAnsi="宋体" w:cs="宋体"/>
                <w:color w:val="000000"/>
                <w:kern w:val="0"/>
                <w:sz w:val="15"/>
                <w:szCs w:val="15"/>
              </w:rPr>
              <w:t>财政拨款</w:t>
            </w:r>
            <w:r>
              <w:rPr>
                <w:rFonts w:ascii="宋体" w:hAns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10</w:t>
            </w:r>
          </w:p>
        </w:tc>
        <w:tc>
          <w:tcPr>
            <w:tcW w:w="35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其中</w:t>
            </w:r>
            <w:r>
              <w:rPr>
                <w:rFonts w:ascii="宋体" w:cs="宋体"/>
                <w:color w:val="000000"/>
                <w:kern w:val="0"/>
                <w:sz w:val="15"/>
                <w:szCs w:val="15"/>
              </w:rPr>
              <w:t>-</w:t>
            </w:r>
            <w:r>
              <w:rPr>
                <w:rFonts w:hint="eastAsia" w:ascii="宋体" w:hAnsi="宋体" w:cs="宋体"/>
                <w:color w:val="000000"/>
                <w:kern w:val="0"/>
                <w:sz w:val="15"/>
                <w:szCs w:val="15"/>
              </w:rPr>
              <w:t>财政拨款</w:t>
            </w:r>
            <w:r>
              <w:rPr>
                <w:rFonts w:ascii="宋体" w:hAns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10</w:t>
            </w:r>
          </w:p>
        </w:tc>
      </w:tr>
      <w:tr>
        <w:tblPrEx>
          <w:tblCellMar>
            <w:top w:w="0" w:type="dxa"/>
            <w:left w:w="0" w:type="dxa"/>
            <w:bottom w:w="0" w:type="dxa"/>
            <w:right w:w="0" w:type="dxa"/>
          </w:tblCellMar>
        </w:tblPrEx>
        <w:trPr>
          <w:trHeight w:val="337"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5"/>
                <w:szCs w:val="15"/>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其它资金</w:t>
            </w:r>
            <w:r>
              <w:rPr>
                <w:rFonts w:ascii="宋体" w:hAns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35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其它资金</w:t>
            </w:r>
            <w:r>
              <w:rPr>
                <w:rFonts w:ascii="宋体" w:hAns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5"/>
                <w:szCs w:val="15"/>
              </w:rPr>
            </w:pP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年度目标完成情况</w:t>
            </w:r>
          </w:p>
        </w:tc>
        <w:tc>
          <w:tcPr>
            <w:tcW w:w="425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预期目标</w:t>
            </w:r>
          </w:p>
        </w:tc>
        <w:tc>
          <w:tcPr>
            <w:tcW w:w="56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实际完成目标</w:t>
            </w:r>
          </w:p>
        </w:tc>
      </w:tr>
      <w:tr>
        <w:tblPrEx>
          <w:tblCellMar>
            <w:top w:w="0" w:type="dxa"/>
            <w:left w:w="0" w:type="dxa"/>
            <w:bottom w:w="0" w:type="dxa"/>
            <w:right w:w="0" w:type="dxa"/>
          </w:tblCellMar>
        </w:tblPrEx>
        <w:trPr>
          <w:trHeight w:val="908"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5"/>
                <w:szCs w:val="15"/>
              </w:rPr>
            </w:pPr>
          </w:p>
        </w:tc>
        <w:tc>
          <w:tcPr>
            <w:tcW w:w="425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15"/>
                <w:szCs w:val="15"/>
              </w:rPr>
            </w:pPr>
            <w:r>
              <w:rPr>
                <w:rFonts w:hint="eastAsia" w:ascii="宋体" w:hAnsi="宋体" w:cs="宋体"/>
                <w:color w:val="000000"/>
                <w:kern w:val="0"/>
                <w:sz w:val="15"/>
                <w:szCs w:val="15"/>
              </w:rPr>
              <w:t xml:space="preserve"> 疫情期间市场检查，保证我县在疫情期间的饮食用药安全。</w:t>
            </w:r>
          </w:p>
        </w:tc>
        <w:tc>
          <w:tcPr>
            <w:tcW w:w="56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kern w:val="0"/>
                <w:sz w:val="15"/>
                <w:szCs w:val="15"/>
              </w:rPr>
            </w:pPr>
            <w:r>
              <w:rPr>
                <w:rFonts w:hint="eastAsia" w:ascii="宋体" w:hAnsi="宋体" w:cs="宋体"/>
                <w:color w:val="000000"/>
                <w:kern w:val="0"/>
                <w:sz w:val="15"/>
                <w:szCs w:val="15"/>
              </w:rPr>
              <w:t xml:space="preserve">通过疫情期间的检查，保证了我县在疫情期间的饮食用药安全，提高全民健康水平。          </w:t>
            </w:r>
          </w:p>
        </w:tc>
      </w:tr>
      <w:tr>
        <w:tblPrEx>
          <w:tblCellMar>
            <w:top w:w="0" w:type="dxa"/>
            <w:left w:w="0" w:type="dxa"/>
            <w:bottom w:w="0" w:type="dxa"/>
            <w:right w:w="0" w:type="dxa"/>
          </w:tblCellMar>
        </w:tblPrEx>
        <w:trPr>
          <w:trHeight w:val="695" w:hRule="atLeast"/>
          <w:jc w:val="center"/>
        </w:trPr>
        <w:tc>
          <w:tcPr>
            <w:tcW w:w="5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sz w:val="15"/>
                <w:szCs w:val="15"/>
              </w:rPr>
              <w:t>绩效指标完成情况</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一级指标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二级指标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三级指标</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预期指标值</w:t>
            </w:r>
            <w:r>
              <w:rPr>
                <w:rFonts w:ascii="宋体" w:hAnsi="宋体" w:cs="宋体"/>
                <w:color w:val="000000"/>
                <w:kern w:val="0"/>
                <w:sz w:val="15"/>
                <w:szCs w:val="15"/>
              </w:rPr>
              <w:t>(</w:t>
            </w:r>
            <w:r>
              <w:rPr>
                <w:rFonts w:hint="eastAsia" w:ascii="宋体" w:hAnsi="宋体" w:cs="宋体"/>
                <w:color w:val="000000"/>
                <w:kern w:val="0"/>
                <w:sz w:val="15"/>
                <w:szCs w:val="15"/>
              </w:rPr>
              <w:t>包含数字及文字描述</w:t>
            </w:r>
            <w:r>
              <w:rPr>
                <w:rFonts w:ascii="宋体" w:hAnsi="宋体" w:cs="宋体"/>
                <w:color w:val="000000"/>
                <w:kern w:val="0"/>
                <w:sz w:val="15"/>
                <w:szCs w:val="15"/>
              </w:rPr>
              <w:t>)</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实际完成指标值</w:t>
            </w:r>
            <w:r>
              <w:rPr>
                <w:rFonts w:ascii="宋体" w:hAnsi="宋体" w:cs="宋体"/>
                <w:color w:val="000000"/>
                <w:kern w:val="0"/>
                <w:sz w:val="15"/>
                <w:szCs w:val="15"/>
              </w:rPr>
              <w:t>(</w:t>
            </w:r>
            <w:r>
              <w:rPr>
                <w:rFonts w:hint="eastAsia" w:ascii="宋体" w:hAnsi="宋体" w:cs="宋体"/>
                <w:color w:val="000000"/>
                <w:kern w:val="0"/>
                <w:sz w:val="15"/>
                <w:szCs w:val="15"/>
              </w:rPr>
              <w:t>包含数字及文字描述</w:t>
            </w:r>
            <w:r>
              <w:rPr>
                <w:rFonts w:ascii="宋体" w:hAnsi="宋体" w:cs="宋体"/>
                <w:color w:val="000000"/>
                <w:kern w:val="0"/>
                <w:sz w:val="15"/>
                <w:szCs w:val="15"/>
              </w:rPr>
              <w:t>)</w:t>
            </w:r>
          </w:p>
        </w:tc>
      </w:tr>
      <w:tr>
        <w:tblPrEx>
          <w:tblCellMar>
            <w:top w:w="0" w:type="dxa"/>
            <w:left w:w="0" w:type="dxa"/>
            <w:bottom w:w="0" w:type="dxa"/>
            <w:right w:w="0" w:type="dxa"/>
          </w:tblCellMar>
        </w:tblPrEx>
        <w:trPr>
          <w:trHeight w:val="953"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数量指标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w:t>
            </w:r>
            <w:r>
              <w:rPr>
                <w:rFonts w:hint="eastAsia"/>
              </w:rPr>
              <w:t xml:space="preserve"> </w:t>
            </w:r>
            <w:r>
              <w:rPr>
                <w:rFonts w:hint="eastAsia" w:ascii="宋体" w:cs="宋体"/>
                <w:color w:val="000000"/>
                <w:sz w:val="15"/>
                <w:szCs w:val="15"/>
              </w:rPr>
              <w:t>1、巡查集贸市场；2、劝退群众性聚餐；3、查办案件；</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1、巡查集贸市场≥50次；2、劝退群众性聚餐≥100场次；3、查办案件≥0件.</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1、巡查集贸市场≥75次；2、劝退群众性聚餐≥316场次；3、查办案件≥2件。</w:t>
            </w:r>
          </w:p>
        </w:tc>
      </w:tr>
      <w:tr>
        <w:tblPrEx>
          <w:tblCellMar>
            <w:top w:w="0" w:type="dxa"/>
            <w:left w:w="0" w:type="dxa"/>
            <w:bottom w:w="0" w:type="dxa"/>
            <w:right w:w="0" w:type="dxa"/>
          </w:tblCellMar>
        </w:tblPrEx>
        <w:trPr>
          <w:trHeight w:val="129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质量指标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1、加强活畜禽交易巡查检查；2、经营单位覆盖面。</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1、加强活畜禽交易巡查检查≥50次；2、经营单位覆盖面≥90%</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1、加强活畜禽交易巡查检查75次；2、经营单位覆盖面95%。</w:t>
            </w:r>
          </w:p>
        </w:tc>
      </w:tr>
      <w:tr>
        <w:tblPrEx>
          <w:tblCellMar>
            <w:top w:w="0" w:type="dxa"/>
            <w:left w:w="0" w:type="dxa"/>
            <w:bottom w:w="0" w:type="dxa"/>
            <w:right w:w="0" w:type="dxa"/>
          </w:tblCellMar>
        </w:tblPrEx>
        <w:trPr>
          <w:trHeight w:val="599"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时效指标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任务完成时间</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2020年12月</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2020年12月</w:t>
            </w:r>
          </w:p>
        </w:tc>
      </w:tr>
      <w:tr>
        <w:tblPrEx>
          <w:tblCellMar>
            <w:top w:w="0" w:type="dxa"/>
            <w:left w:w="0" w:type="dxa"/>
            <w:bottom w:w="0" w:type="dxa"/>
            <w:right w:w="0" w:type="dxa"/>
          </w:tblCellMar>
        </w:tblPrEx>
        <w:trPr>
          <w:trHeight w:val="664"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hAns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成本指标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执法成本</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≤400元/人，天</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≤400元/人，天</w:t>
            </w:r>
          </w:p>
        </w:tc>
      </w:tr>
      <w:tr>
        <w:tblPrEx>
          <w:tblCellMar>
            <w:top w:w="0" w:type="dxa"/>
            <w:left w:w="0" w:type="dxa"/>
            <w:bottom w:w="0" w:type="dxa"/>
            <w:right w:w="0" w:type="dxa"/>
          </w:tblCellMar>
        </w:tblPrEx>
        <w:trPr>
          <w:trHeight w:val="1255"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社会效益指标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饮食用药总体安全水平</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 不断提高</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不断提高</w:t>
            </w:r>
          </w:p>
        </w:tc>
      </w:tr>
      <w:tr>
        <w:tblPrEx>
          <w:tblCellMar>
            <w:top w:w="0" w:type="dxa"/>
            <w:left w:w="0" w:type="dxa"/>
            <w:bottom w:w="0" w:type="dxa"/>
            <w:right w:w="0" w:type="dxa"/>
          </w:tblCellMar>
        </w:tblPrEx>
        <w:trPr>
          <w:trHeight w:val="649"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可持续影响指标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市场监管水平</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持续提高</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持续提高</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满意度指标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服务对象满意度指标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社会公众对药品安全满意度</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等线" w:hAnsi="等线" w:eastAsia="等线" w:cs="宋体"/>
                <w:color w:val="444444"/>
                <w:sz w:val="15"/>
                <w:szCs w:val="15"/>
              </w:rPr>
            </w:pPr>
            <w:r>
              <w:rPr>
                <w:rFonts w:hint="eastAsia" w:ascii="等线" w:hAnsi="等线" w:eastAsia="等线"/>
                <w:color w:val="333333"/>
                <w:sz w:val="15"/>
                <w:szCs w:val="15"/>
              </w:rPr>
              <w:t>≥</w:t>
            </w:r>
            <w:r>
              <w:rPr>
                <w:rFonts w:hint="eastAsia" w:ascii="等线" w:hAnsi="等线" w:eastAsia="等线"/>
                <w:color w:val="444444"/>
                <w:sz w:val="15"/>
                <w:szCs w:val="15"/>
              </w:rPr>
              <w:t>70%</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等线" w:hAnsi="等线" w:eastAsia="等线" w:cs="宋体"/>
                <w:color w:val="444444"/>
                <w:sz w:val="15"/>
                <w:szCs w:val="15"/>
              </w:rPr>
            </w:pPr>
            <w:r>
              <w:rPr>
                <w:rFonts w:hint="eastAsia" w:ascii="等线" w:hAnsi="等线" w:eastAsia="等线"/>
                <w:color w:val="333333"/>
                <w:sz w:val="15"/>
                <w:szCs w:val="15"/>
              </w:rPr>
              <w:t>≥</w:t>
            </w:r>
            <w:r>
              <w:rPr>
                <w:rFonts w:hint="eastAsia" w:ascii="等线" w:hAnsi="等线" w:eastAsia="等线"/>
                <w:color w:val="444444"/>
                <w:sz w:val="15"/>
                <w:szCs w:val="15"/>
              </w:rPr>
              <w:t>70%</w:t>
            </w:r>
          </w:p>
          <w:p>
            <w:pPr>
              <w:widowControl/>
              <w:jc w:val="center"/>
              <w:textAlignment w:val="center"/>
              <w:rPr>
                <w:rFonts w:ascii="宋体" w:cs="宋体"/>
                <w:color w:val="000000"/>
                <w:sz w:val="15"/>
                <w:szCs w:val="15"/>
              </w:rPr>
            </w:pPr>
          </w:p>
        </w:tc>
      </w:tr>
    </w:tbl>
    <w:p>
      <w:pPr>
        <w:spacing w:line="580" w:lineRule="exact"/>
        <w:rPr>
          <w:rFonts w:ascii="楷体_GB2312" w:hAnsi="楷体_GB2312" w:eastAsia="楷体_GB2312" w:cs="楷体_GB2312"/>
          <w:sz w:val="32"/>
          <w:szCs w:val="32"/>
        </w:rPr>
      </w:pPr>
    </w:p>
    <w:p>
      <w:pPr>
        <w:spacing w:line="580" w:lineRule="exact"/>
        <w:ind w:firstLine="640" w:firstLineChars="200"/>
        <w:rPr>
          <w:rFonts w:ascii="楷体_GB2312" w:hAnsi="楷体_GB2312" w:eastAsia="楷体_GB2312" w:cs="楷体_GB2312"/>
          <w:sz w:val="32"/>
          <w:szCs w:val="32"/>
        </w:rPr>
      </w:pPr>
    </w:p>
    <w:p>
      <w:pPr>
        <w:spacing w:line="580" w:lineRule="exact"/>
        <w:ind w:firstLine="640" w:firstLineChars="200"/>
        <w:rPr>
          <w:rFonts w:ascii="楷体_GB2312" w:hAnsi="楷体_GB2312" w:eastAsia="楷体_GB2312" w:cs="楷体_GB2312"/>
          <w:sz w:val="32"/>
          <w:szCs w:val="32"/>
        </w:rPr>
      </w:pPr>
    </w:p>
    <w:tbl>
      <w:tblPr>
        <w:tblStyle w:val="19"/>
        <w:tblpPr w:leftFromText="180" w:rightFromText="180" w:vertAnchor="text" w:horzAnchor="page" w:tblpXSpec="center" w:tblpY="423"/>
        <w:tblOverlap w:val="never"/>
        <w:tblW w:w="10505" w:type="dxa"/>
        <w:jc w:val="center"/>
        <w:tblLayout w:type="fixed"/>
        <w:tblCellMar>
          <w:top w:w="0" w:type="dxa"/>
          <w:left w:w="0" w:type="dxa"/>
          <w:bottom w:w="0" w:type="dxa"/>
          <w:right w:w="0" w:type="dxa"/>
        </w:tblCellMar>
      </w:tblPr>
      <w:tblGrid>
        <w:gridCol w:w="582"/>
        <w:gridCol w:w="851"/>
        <w:gridCol w:w="709"/>
        <w:gridCol w:w="640"/>
        <w:gridCol w:w="2053"/>
        <w:gridCol w:w="2693"/>
        <w:gridCol w:w="851"/>
        <w:gridCol w:w="2126"/>
      </w:tblGrid>
      <w:tr>
        <w:tblPrEx>
          <w:tblCellMar>
            <w:top w:w="0" w:type="dxa"/>
            <w:left w:w="0" w:type="dxa"/>
            <w:bottom w:w="0" w:type="dxa"/>
            <w:right w:w="0" w:type="dxa"/>
          </w:tblCellMar>
        </w:tblPrEx>
        <w:trPr>
          <w:trHeight w:val="1034" w:hRule="atLeast"/>
          <w:jc w:val="center"/>
        </w:trPr>
        <w:tc>
          <w:tcPr>
            <w:tcW w:w="10505"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项目名称</w:t>
            </w:r>
          </w:p>
        </w:tc>
        <w:tc>
          <w:tcPr>
            <w:tcW w:w="772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5"/>
                <w:szCs w:val="15"/>
              </w:rPr>
            </w:pPr>
            <w:r>
              <w:rPr>
                <w:rFonts w:hint="eastAsia" w:ascii="宋体" w:hAnsi="宋体" w:cs="宋体"/>
                <w:color w:val="000000"/>
                <w:kern w:val="0"/>
                <w:sz w:val="15"/>
                <w:szCs w:val="15"/>
              </w:rPr>
              <w:t>2020年“宝石小镇”知识产权品牌创建项目</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预算单位</w:t>
            </w:r>
          </w:p>
        </w:tc>
        <w:tc>
          <w:tcPr>
            <w:tcW w:w="772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5"/>
                <w:szCs w:val="15"/>
              </w:rPr>
            </w:pPr>
            <w:r>
              <w:rPr>
                <w:rFonts w:hint="eastAsia" w:ascii="宋体" w:hAnsi="宋体" w:cs="宋体"/>
                <w:color w:val="000000"/>
                <w:kern w:val="0"/>
                <w:sz w:val="15"/>
                <w:szCs w:val="15"/>
              </w:rPr>
              <w:t>茂县市场监督管理局</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预算执行情况</w:t>
            </w:r>
            <w:r>
              <w:rPr>
                <w:rFonts w:ascii="宋体" w:hAnsi="宋体" w:cs="宋体"/>
                <w:color w:val="000000"/>
                <w:kern w:val="0"/>
                <w:sz w:val="15"/>
                <w:szCs w:val="15"/>
              </w:rPr>
              <w:t>(</w:t>
            </w:r>
            <w:r>
              <w:rPr>
                <w:rFonts w:hint="eastAsia" w:ascii="宋体" w:hAnsi="宋体" w:cs="宋体"/>
                <w:color w:val="000000"/>
                <w:kern w:val="0"/>
                <w:sz w:val="15"/>
                <w:szCs w:val="15"/>
              </w:rPr>
              <w:t>万元</w:t>
            </w:r>
            <w:r>
              <w:rPr>
                <w:rFonts w:ascii="宋体" w:hAnsi="宋体" w:cs="宋体"/>
                <w:color w:val="000000"/>
                <w:kern w:val="0"/>
                <w:sz w:val="15"/>
                <w:szCs w:val="15"/>
              </w:rPr>
              <w:t>)</w:t>
            </w: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预算数</w:t>
            </w:r>
            <w:r>
              <w:rPr>
                <w:rFonts w:ascii="宋体" w:hAns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9.94</w:t>
            </w:r>
          </w:p>
        </w:tc>
        <w:tc>
          <w:tcPr>
            <w:tcW w:w="35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执行数</w:t>
            </w:r>
            <w:r>
              <w:rPr>
                <w:rFonts w:ascii="宋体" w:hAns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9.94</w:t>
            </w:r>
          </w:p>
        </w:tc>
      </w:tr>
      <w:tr>
        <w:tblPrEx>
          <w:tblCellMar>
            <w:top w:w="0" w:type="dxa"/>
            <w:left w:w="0" w:type="dxa"/>
            <w:bottom w:w="0" w:type="dxa"/>
            <w:right w:w="0" w:type="dxa"/>
          </w:tblCellMar>
        </w:tblPrEx>
        <w:trPr>
          <w:trHeight w:val="276"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5"/>
                <w:szCs w:val="15"/>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其中</w:t>
            </w:r>
            <w:r>
              <w:rPr>
                <w:rFonts w:ascii="宋体" w:cs="宋体"/>
                <w:color w:val="000000"/>
                <w:kern w:val="0"/>
                <w:sz w:val="15"/>
                <w:szCs w:val="15"/>
              </w:rPr>
              <w:t>-</w:t>
            </w:r>
            <w:r>
              <w:rPr>
                <w:rFonts w:hint="eastAsia" w:ascii="宋体" w:hAnsi="宋体" w:cs="宋体"/>
                <w:color w:val="000000"/>
                <w:kern w:val="0"/>
                <w:sz w:val="15"/>
                <w:szCs w:val="15"/>
              </w:rPr>
              <w:t>财政拨款</w:t>
            </w:r>
            <w:r>
              <w:rPr>
                <w:rFonts w:ascii="宋体" w:hAns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9.94</w:t>
            </w:r>
          </w:p>
        </w:tc>
        <w:tc>
          <w:tcPr>
            <w:tcW w:w="35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其中</w:t>
            </w:r>
            <w:r>
              <w:rPr>
                <w:rFonts w:ascii="宋体" w:cs="宋体"/>
                <w:color w:val="000000"/>
                <w:kern w:val="0"/>
                <w:sz w:val="15"/>
                <w:szCs w:val="15"/>
              </w:rPr>
              <w:t>-</w:t>
            </w:r>
            <w:r>
              <w:rPr>
                <w:rFonts w:hint="eastAsia" w:ascii="宋体" w:hAnsi="宋体" w:cs="宋体"/>
                <w:color w:val="000000"/>
                <w:kern w:val="0"/>
                <w:sz w:val="15"/>
                <w:szCs w:val="15"/>
              </w:rPr>
              <w:t>财政拨款</w:t>
            </w:r>
            <w:r>
              <w:rPr>
                <w:rFonts w:ascii="宋体" w:hAns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9.94</w:t>
            </w:r>
          </w:p>
        </w:tc>
      </w:tr>
      <w:tr>
        <w:tblPrEx>
          <w:tblCellMar>
            <w:top w:w="0" w:type="dxa"/>
            <w:left w:w="0" w:type="dxa"/>
            <w:bottom w:w="0" w:type="dxa"/>
            <w:right w:w="0" w:type="dxa"/>
          </w:tblCellMar>
        </w:tblPrEx>
        <w:trPr>
          <w:trHeight w:val="337"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5"/>
                <w:szCs w:val="15"/>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其它资金</w:t>
            </w:r>
            <w:r>
              <w:rPr>
                <w:rFonts w:ascii="宋体" w:hAns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35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其它资金</w:t>
            </w:r>
            <w:r>
              <w:rPr>
                <w:rFonts w:ascii="宋体" w:hAns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5"/>
                <w:szCs w:val="15"/>
              </w:rPr>
            </w:pP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年度目标完成情况</w:t>
            </w:r>
          </w:p>
        </w:tc>
        <w:tc>
          <w:tcPr>
            <w:tcW w:w="425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预期目标</w:t>
            </w:r>
          </w:p>
        </w:tc>
        <w:tc>
          <w:tcPr>
            <w:tcW w:w="56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实际完成目标</w:t>
            </w:r>
          </w:p>
        </w:tc>
      </w:tr>
      <w:tr>
        <w:tblPrEx>
          <w:tblCellMar>
            <w:top w:w="0" w:type="dxa"/>
            <w:left w:w="0" w:type="dxa"/>
            <w:bottom w:w="0" w:type="dxa"/>
            <w:right w:w="0" w:type="dxa"/>
          </w:tblCellMar>
        </w:tblPrEx>
        <w:trPr>
          <w:trHeight w:val="908"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5"/>
                <w:szCs w:val="15"/>
              </w:rPr>
            </w:pPr>
          </w:p>
        </w:tc>
        <w:tc>
          <w:tcPr>
            <w:tcW w:w="425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5"/>
                <w:szCs w:val="15"/>
              </w:rPr>
            </w:pPr>
            <w:r>
              <w:rPr>
                <w:rFonts w:hint="eastAsia" w:ascii="宋体" w:hAnsi="宋体" w:cs="宋体"/>
                <w:color w:val="000000"/>
                <w:kern w:val="0"/>
                <w:sz w:val="15"/>
                <w:szCs w:val="15"/>
              </w:rPr>
              <w:t xml:space="preserve">1、有效提高品牌保护效果；2、促进农旅结合、工业产品与羌族传统文化结合，3、提高文化走廊的美誉度和影响力。          </w:t>
            </w:r>
          </w:p>
        </w:tc>
        <w:tc>
          <w:tcPr>
            <w:tcW w:w="56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5"/>
                <w:szCs w:val="15"/>
              </w:rPr>
            </w:pPr>
            <w:r>
              <w:rPr>
                <w:rFonts w:hint="eastAsia" w:ascii="宋体" w:hAnsi="宋体" w:cs="宋体"/>
                <w:color w:val="000000"/>
                <w:kern w:val="0"/>
                <w:sz w:val="15"/>
                <w:szCs w:val="15"/>
              </w:rPr>
              <w:t xml:space="preserve">          1、有效提高了地方品牌保护效果；2、促进了农旅结合、工业产品与羌族传统文化结合，3、提高了文化走廊的美誉度和影响力。</w:t>
            </w:r>
          </w:p>
        </w:tc>
      </w:tr>
      <w:tr>
        <w:tblPrEx>
          <w:tblCellMar>
            <w:top w:w="0" w:type="dxa"/>
            <w:left w:w="0" w:type="dxa"/>
            <w:bottom w:w="0" w:type="dxa"/>
            <w:right w:w="0" w:type="dxa"/>
          </w:tblCellMar>
        </w:tblPrEx>
        <w:trPr>
          <w:trHeight w:val="695" w:hRule="atLeast"/>
          <w:jc w:val="center"/>
        </w:trPr>
        <w:tc>
          <w:tcPr>
            <w:tcW w:w="5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sz w:val="15"/>
                <w:szCs w:val="15"/>
              </w:rPr>
              <w:t>绩效指标完成情况</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一级指标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二级指标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三级指标</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预期指标值</w:t>
            </w:r>
            <w:r>
              <w:rPr>
                <w:rFonts w:ascii="宋体" w:hAnsi="宋体" w:cs="宋体"/>
                <w:color w:val="000000"/>
                <w:kern w:val="0"/>
                <w:sz w:val="15"/>
                <w:szCs w:val="15"/>
              </w:rPr>
              <w:t>(</w:t>
            </w:r>
            <w:r>
              <w:rPr>
                <w:rFonts w:hint="eastAsia" w:ascii="宋体" w:hAnsi="宋体" w:cs="宋体"/>
                <w:color w:val="000000"/>
                <w:kern w:val="0"/>
                <w:sz w:val="15"/>
                <w:szCs w:val="15"/>
              </w:rPr>
              <w:t>包含数字及文字描述</w:t>
            </w:r>
            <w:r>
              <w:rPr>
                <w:rFonts w:ascii="宋体" w:hAnsi="宋体" w:cs="宋体"/>
                <w:color w:val="000000"/>
                <w:kern w:val="0"/>
                <w:sz w:val="15"/>
                <w:szCs w:val="15"/>
              </w:rPr>
              <w:t>)</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实际完成指标值</w:t>
            </w:r>
            <w:r>
              <w:rPr>
                <w:rFonts w:ascii="宋体" w:hAnsi="宋体" w:cs="宋体"/>
                <w:color w:val="000000"/>
                <w:kern w:val="0"/>
                <w:sz w:val="15"/>
                <w:szCs w:val="15"/>
              </w:rPr>
              <w:t>(</w:t>
            </w:r>
            <w:r>
              <w:rPr>
                <w:rFonts w:hint="eastAsia" w:ascii="宋体" w:hAnsi="宋体" w:cs="宋体"/>
                <w:color w:val="000000"/>
                <w:kern w:val="0"/>
                <w:sz w:val="15"/>
                <w:szCs w:val="15"/>
              </w:rPr>
              <w:t>包含数字及文字描述</w:t>
            </w:r>
            <w:r>
              <w:rPr>
                <w:rFonts w:ascii="宋体" w:hAnsi="宋体" w:cs="宋体"/>
                <w:color w:val="000000"/>
                <w:kern w:val="0"/>
                <w:sz w:val="15"/>
                <w:szCs w:val="15"/>
              </w:rPr>
              <w:t>)</w:t>
            </w:r>
          </w:p>
        </w:tc>
      </w:tr>
      <w:tr>
        <w:tblPrEx>
          <w:tblCellMar>
            <w:top w:w="0" w:type="dxa"/>
            <w:left w:w="0" w:type="dxa"/>
            <w:bottom w:w="0" w:type="dxa"/>
            <w:right w:w="0" w:type="dxa"/>
          </w:tblCellMar>
        </w:tblPrEx>
        <w:trPr>
          <w:trHeight w:val="953"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数量指标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w:t>
            </w:r>
            <w:r>
              <w:rPr>
                <w:rFonts w:hint="eastAsia"/>
              </w:rPr>
              <w:t xml:space="preserve"> </w:t>
            </w:r>
            <w:r>
              <w:rPr>
                <w:rFonts w:hint="eastAsia" w:ascii="宋体" w:cs="宋体"/>
                <w:color w:val="000000"/>
                <w:sz w:val="15"/>
                <w:szCs w:val="15"/>
              </w:rPr>
              <w:t xml:space="preserve"> 图形文字10类、LOGO设计、VI系统建设、版权登记、互联网品牌保护</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图形文字10类、LOGO设计、VI系统建设、版权登记、互联网品牌保护</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225" w:firstLineChars="150"/>
              <w:textAlignment w:val="center"/>
              <w:rPr>
                <w:rFonts w:ascii="宋体" w:cs="宋体"/>
                <w:color w:val="000000"/>
                <w:sz w:val="15"/>
                <w:szCs w:val="15"/>
              </w:rPr>
            </w:pPr>
            <w:r>
              <w:rPr>
                <w:rFonts w:hint="eastAsia" w:ascii="宋体" w:cs="宋体"/>
                <w:color w:val="000000"/>
                <w:sz w:val="15"/>
                <w:szCs w:val="15"/>
              </w:rPr>
              <w:t>国知局下达商标注册申请公告通知书20份、完成VI系统建设1套、完成LOGO设计1份、国家版权局下发作品登记证书1份、域名注册证书2份</w:t>
            </w:r>
          </w:p>
        </w:tc>
      </w:tr>
      <w:tr>
        <w:tblPrEx>
          <w:tblCellMar>
            <w:top w:w="0" w:type="dxa"/>
            <w:left w:w="0" w:type="dxa"/>
            <w:bottom w:w="0" w:type="dxa"/>
            <w:right w:w="0" w:type="dxa"/>
          </w:tblCellMar>
        </w:tblPrEx>
        <w:trPr>
          <w:trHeight w:val="129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质量指标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完成商标重点类别保护、作品登记、域名注册、VI系统建设</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完成商标重点类别保护、作品登记、域名注册、VI系统建设</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ascii="宋体" w:cs="宋体"/>
                <w:color w:val="000000"/>
                <w:sz w:val="15"/>
                <w:szCs w:val="15"/>
              </w:rPr>
              <w:t>已完成作品登记</w:t>
            </w:r>
            <w:r>
              <w:rPr>
                <w:rFonts w:hint="eastAsia" w:ascii="宋体" w:cs="宋体"/>
                <w:color w:val="000000"/>
                <w:sz w:val="15"/>
                <w:szCs w:val="15"/>
              </w:rPr>
              <w:t>、域名注册、VI系统建设、LOGO注册；重点类别保护未下发注册证书</w:t>
            </w:r>
          </w:p>
        </w:tc>
      </w:tr>
      <w:tr>
        <w:tblPrEx>
          <w:tblCellMar>
            <w:top w:w="0" w:type="dxa"/>
            <w:left w:w="0" w:type="dxa"/>
            <w:bottom w:w="0" w:type="dxa"/>
            <w:right w:w="0" w:type="dxa"/>
          </w:tblCellMar>
        </w:tblPrEx>
        <w:trPr>
          <w:trHeight w:val="599"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时效指标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24个月</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24个月</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未下发注册证书</w:t>
            </w:r>
          </w:p>
        </w:tc>
      </w:tr>
      <w:tr>
        <w:tblPrEx>
          <w:tblCellMar>
            <w:top w:w="0" w:type="dxa"/>
            <w:left w:w="0" w:type="dxa"/>
            <w:bottom w:w="0" w:type="dxa"/>
            <w:right w:w="0" w:type="dxa"/>
          </w:tblCellMar>
        </w:tblPrEx>
        <w:trPr>
          <w:trHeight w:val="664"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hAns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成本指标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申报成本</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每份≤6000元</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5800元</w:t>
            </w:r>
          </w:p>
        </w:tc>
      </w:tr>
      <w:tr>
        <w:tblPrEx>
          <w:tblCellMar>
            <w:top w:w="0" w:type="dxa"/>
            <w:left w:w="0" w:type="dxa"/>
            <w:bottom w:w="0" w:type="dxa"/>
            <w:right w:w="0" w:type="dxa"/>
          </w:tblCellMar>
        </w:tblPrEx>
        <w:trPr>
          <w:trHeight w:val="1255"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社会效益指标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5"/>
                <w:szCs w:val="15"/>
              </w:rPr>
            </w:pPr>
            <w:r>
              <w:rPr>
                <w:rFonts w:hint="eastAsia" w:ascii="宋体" w:hAnsi="宋体" w:cs="仿宋_GB2312"/>
                <w:sz w:val="15"/>
                <w:szCs w:val="15"/>
              </w:rPr>
              <w:t>大力开发具有地方特色资源的旅游文化产品、手工艺品和文化创意产品，促进农旅结合、工业产品与羌族传统文化结合，提高文化走廊的美誉度和影响力</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仿宋_GB2312"/>
                <w:sz w:val="15"/>
                <w:szCs w:val="15"/>
              </w:rPr>
              <w:t>大力开发具有地方特色资源的旅游文化产品、手工艺品和文化创意产品，促进农旅结合、工业产品与羌族传统文化结合，提高文化走廊的美誉度和影响力</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仿宋_GB2312"/>
                <w:sz w:val="15"/>
                <w:szCs w:val="15"/>
              </w:rPr>
              <w:t>开发具有地方特色资源的旅游文化产品、手工艺品和文化创意产品</w:t>
            </w:r>
          </w:p>
        </w:tc>
      </w:tr>
      <w:tr>
        <w:tblPrEx>
          <w:tblCellMar>
            <w:top w:w="0" w:type="dxa"/>
            <w:left w:w="0" w:type="dxa"/>
            <w:bottom w:w="0" w:type="dxa"/>
            <w:right w:w="0" w:type="dxa"/>
          </w:tblCellMar>
        </w:tblPrEx>
        <w:trPr>
          <w:trHeight w:val="649"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仿宋_GB2312"/>
                <w:sz w:val="15"/>
                <w:szCs w:val="15"/>
              </w:rPr>
            </w:pPr>
            <w:r>
              <w:rPr>
                <w:rFonts w:hint="eastAsia" w:ascii="宋体" w:hAnsi="宋体" w:cs="仿宋_GB2312"/>
                <w:sz w:val="15"/>
                <w:szCs w:val="15"/>
              </w:rPr>
              <w:t>可持续影响指标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仿宋_GB2312"/>
                <w:sz w:val="15"/>
                <w:szCs w:val="15"/>
              </w:rPr>
            </w:pPr>
            <w:r>
              <w:rPr>
                <w:rFonts w:hint="eastAsia" w:ascii="宋体" w:hAnsi="宋体" w:cs="仿宋_GB2312"/>
                <w:sz w:val="15"/>
                <w:szCs w:val="15"/>
              </w:rPr>
              <w:t>对我县具有区域优势的产品进行商标抢注，更好地保护本县民族、特色品牌</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仿宋_GB2312"/>
                <w:sz w:val="15"/>
                <w:szCs w:val="15"/>
              </w:rPr>
            </w:pPr>
            <w:r>
              <w:rPr>
                <w:rFonts w:hint="eastAsia" w:ascii="宋体" w:hAnsi="宋体" w:cs="仿宋_GB2312"/>
                <w:sz w:val="15"/>
                <w:szCs w:val="15"/>
              </w:rPr>
              <w:t>实施品牌强县战略，对我县具有区域优势的产品进行商标抢注，更好地保护本县民族、特色品牌</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仿宋_GB2312"/>
                <w:sz w:val="15"/>
                <w:szCs w:val="15"/>
              </w:rPr>
            </w:pPr>
            <w:r>
              <w:rPr>
                <w:rFonts w:hint="eastAsia" w:ascii="宋体" w:hAnsi="宋体" w:cs="仿宋_GB2312"/>
                <w:sz w:val="15"/>
                <w:szCs w:val="15"/>
              </w:rPr>
              <w:t>注册优势区域品牌，提升传统优势产业</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p>
        </w:tc>
        <w:tc>
          <w:tcPr>
            <w:tcW w:w="851"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hAnsi="宋体" w:cs="宋体"/>
                <w:color w:val="000000"/>
                <w:kern w:val="0"/>
                <w:sz w:val="15"/>
                <w:szCs w:val="15"/>
              </w:rPr>
              <w:t>满意度指标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服务对象满意度指标</w:t>
            </w:r>
          </w:p>
        </w:tc>
        <w:tc>
          <w:tcPr>
            <w:tcW w:w="2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提高</w:t>
            </w:r>
            <w:r>
              <w:rPr>
                <w:rFonts w:ascii="宋体" w:cs="宋体"/>
                <w:color w:val="000000"/>
                <w:sz w:val="15"/>
                <w:szCs w:val="15"/>
              </w:rPr>
              <w:t>知识产权保护的重要性</w:t>
            </w:r>
          </w:p>
        </w:tc>
        <w:tc>
          <w:tcPr>
            <w:tcW w:w="2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等线" w:hAnsi="等线" w:eastAsia="等线" w:cs="宋体"/>
                <w:color w:val="444444"/>
                <w:sz w:val="15"/>
                <w:szCs w:val="15"/>
              </w:rPr>
            </w:pPr>
            <w:r>
              <w:rPr>
                <w:rFonts w:ascii="宋体" w:cs="宋体"/>
                <w:color w:val="000000"/>
                <w:sz w:val="15"/>
                <w:szCs w:val="15"/>
              </w:rPr>
              <w:t>让广大群众意识到知识产权保护的重大意义和作用</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5"/>
                <w:szCs w:val="15"/>
              </w:rPr>
            </w:pPr>
            <w:r>
              <w:rPr>
                <w:rFonts w:ascii="宋体" w:cs="宋体"/>
                <w:color w:val="000000"/>
                <w:sz w:val="15"/>
                <w:szCs w:val="15"/>
              </w:rPr>
              <w:t>让广大群众意识到知识产权保护的重大意义和作用</w:t>
            </w:r>
          </w:p>
        </w:tc>
      </w:tr>
    </w:tbl>
    <w:p>
      <w:pPr>
        <w:spacing w:line="580" w:lineRule="exact"/>
        <w:rPr>
          <w:rFonts w:ascii="楷体_GB2312" w:hAnsi="楷体_GB2312" w:eastAsia="楷体_GB2312" w:cs="楷体_GB2312"/>
          <w:sz w:val="32"/>
          <w:szCs w:val="32"/>
        </w:rPr>
      </w:pPr>
    </w:p>
    <w:p>
      <w:pPr>
        <w:spacing w:line="580" w:lineRule="exact"/>
        <w:ind w:firstLine="642" w:firstLineChars="200"/>
        <w:rPr>
          <w:rFonts w:ascii="楷体_GB2312" w:hAnsi="楷体_GB2312" w:eastAsia="楷体_GB2312" w:cs="楷体_GB2312"/>
          <w:b/>
          <w:sz w:val="32"/>
          <w:szCs w:val="32"/>
        </w:rPr>
      </w:pPr>
    </w:p>
    <w:p>
      <w:pPr>
        <w:spacing w:line="580" w:lineRule="exact"/>
        <w:ind w:firstLine="640" w:firstLineChars="20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年部门整体支出绩效评价情况开展自评，《茂县市场监督管理局</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20年中央药品监管补助资金项目”、“2020年中央食品监管补助资金项目”、“</w:t>
      </w:r>
      <w:r>
        <w:rPr>
          <w:rFonts w:ascii="仿宋_GB2312" w:hAnsi="仿宋_GB2312" w:eastAsia="仿宋_GB2312" w:cs="仿宋_GB2312"/>
          <w:sz w:val="32"/>
          <w:szCs w:val="32"/>
        </w:rPr>
        <w:t xml:space="preserve"> 20</w:t>
      </w:r>
      <w:r>
        <w:rPr>
          <w:rFonts w:hint="eastAsia" w:ascii="仿宋_GB2312" w:hAnsi="仿宋_GB2312" w:eastAsia="仿宋_GB2312" w:cs="仿宋_GB2312"/>
          <w:sz w:val="32"/>
          <w:szCs w:val="32"/>
        </w:rPr>
        <w:t>20年食品检测项目”、“2</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20年红盾春雷项目”、“2020年‘宝石小镇’知识产权品牌创建项目”开展了绩效评价，《“</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20年中央药品监管补助资金项目”绩效评价报告》、《“2020年中央食品监管补助资金项目”绩效评价报告》、《“</w:t>
      </w:r>
      <w:r>
        <w:rPr>
          <w:rFonts w:ascii="仿宋_GB2312" w:hAnsi="仿宋_GB2312" w:eastAsia="仿宋_GB2312" w:cs="仿宋_GB2312"/>
          <w:sz w:val="32"/>
          <w:szCs w:val="32"/>
        </w:rPr>
        <w:t xml:space="preserve"> 20</w:t>
      </w:r>
      <w:r>
        <w:rPr>
          <w:rFonts w:hint="eastAsia" w:ascii="仿宋_GB2312" w:hAnsi="仿宋_GB2312" w:eastAsia="仿宋_GB2312" w:cs="仿宋_GB2312"/>
          <w:sz w:val="32"/>
          <w:szCs w:val="32"/>
        </w:rPr>
        <w:t>20年食品检测项目”绩效评价报告》、《“2</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20年红盾春雷项目”绩效评价报告》、《“2020年‘宝石小镇’知识产权品牌创建项目”绩效评价报告》见附件（附件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23"/>
          <w:rFonts w:ascii="黑体" w:hAnsi="黑体" w:eastAsia="黑体"/>
          <w:b w:val="0"/>
        </w:rPr>
      </w:pPr>
      <w:bookmarkStart w:id="245" w:name="_Toc22340"/>
      <w:bookmarkStart w:id="246" w:name="_Toc15396613"/>
      <w:bookmarkStart w:id="247" w:name="_Toc7221"/>
      <w:bookmarkStart w:id="248" w:name="_Toc25284"/>
      <w:bookmarkStart w:id="249" w:name="_Toc79163629"/>
      <w:bookmarkStart w:id="250" w:name="_Toc15377225"/>
      <w:r>
        <w:rPr>
          <w:rFonts w:hint="eastAsia" w:ascii="黑体" w:hAnsi="黑体" w:eastAsia="黑体"/>
          <w:color w:val="000000"/>
          <w:sz w:val="44"/>
          <w:szCs w:val="44"/>
        </w:rPr>
        <w:t>名</w:t>
      </w:r>
      <w:r>
        <w:rPr>
          <w:rStyle w:val="23"/>
          <w:rFonts w:hint="eastAsia" w:ascii="黑体" w:hAnsi="黑体" w:eastAsia="黑体"/>
          <w:b w:val="0"/>
        </w:rPr>
        <w:t>词解释</w:t>
      </w:r>
      <w:bookmarkEnd w:id="245"/>
      <w:bookmarkEnd w:id="246"/>
      <w:bookmarkEnd w:id="247"/>
      <w:bookmarkEnd w:id="248"/>
      <w:bookmarkEnd w:id="249"/>
      <w:bookmarkEnd w:id="250"/>
    </w:p>
    <w:p>
      <w:pPr>
        <w:pStyle w:val="33"/>
        <w:spacing w:line="594" w:lineRule="exact"/>
        <w:ind w:firstLine="640" w:firstLineChars="200"/>
        <w:rPr>
          <w:rFonts w:ascii="仿宋_GB2312" w:eastAsia="仿宋_GB2312"/>
          <w:sz w:val="32"/>
          <w:szCs w:val="32"/>
        </w:rPr>
      </w:pPr>
      <w:bookmarkStart w:id="251" w:name="_Toc15396614"/>
      <w:bookmarkStart w:id="252" w:name="_Toc79163630"/>
      <w:bookmarkStart w:id="253"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3"/>
        <w:spacing w:line="594"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3"/>
        <w:spacing w:line="594"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3"/>
        <w:spacing w:line="594"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3"/>
        <w:spacing w:line="594"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33"/>
        <w:spacing w:line="594"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3"/>
        <w:spacing w:line="594"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3"/>
        <w:spacing w:line="594"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94" w:lineRule="exact"/>
        <w:ind w:firstLine="640" w:firstLineChars="200"/>
        <w:outlineLvl w:val="1"/>
        <w:rPr>
          <w:rFonts w:ascii="仿宋_GB2312" w:hAnsi="楷体" w:eastAsia="仿宋_GB2312"/>
          <w:color w:val="000000"/>
          <w:sz w:val="32"/>
          <w:szCs w:val="32"/>
        </w:rPr>
      </w:pPr>
      <w:bookmarkStart w:id="254" w:name="_Toc19292"/>
      <w:bookmarkStart w:id="255" w:name="_Toc25736"/>
      <w:bookmarkStart w:id="256" w:name="_Toc21729"/>
      <w:bookmarkStart w:id="257" w:name="_Toc51662798"/>
      <w:bookmarkStart w:id="258" w:name="_Toc29815"/>
      <w:bookmarkStart w:id="259" w:name="_Toc51662610"/>
      <w:r>
        <w:rPr>
          <w:rFonts w:hint="eastAsia" w:ascii="仿宋_GB2312" w:eastAsia="仿宋_GB2312"/>
          <w:color w:val="000000"/>
          <w:sz w:val="32"/>
          <w:szCs w:val="32"/>
        </w:rPr>
        <w:t>10</w:t>
      </w:r>
      <w:r>
        <w:rPr>
          <w:rFonts w:ascii="仿宋_GB2312" w:hAnsi="楷体" w:eastAsia="仿宋_GB2312"/>
          <w:color w:val="000000"/>
          <w:sz w:val="32"/>
          <w:szCs w:val="32"/>
        </w:rPr>
        <w:t>.</w:t>
      </w:r>
      <w:r>
        <w:rPr>
          <w:rFonts w:hint="eastAsia" w:ascii="仿宋_GB2312" w:hAnsi="楷体" w:eastAsia="仿宋_GB2312"/>
          <w:color w:val="000000"/>
          <w:sz w:val="32"/>
          <w:szCs w:val="32"/>
        </w:rPr>
        <w:t>一般公共服务（类）市场监督管理事务（款）行政运行（项）</w:t>
      </w:r>
      <w:r>
        <w:rPr>
          <w:rFonts w:ascii="仿宋_GB2312" w:hAnsi="楷体" w:eastAsia="仿宋_GB2312"/>
          <w:color w:val="000000"/>
          <w:sz w:val="32"/>
          <w:szCs w:val="32"/>
        </w:rPr>
        <w:t>:</w:t>
      </w:r>
      <w:r>
        <w:rPr>
          <w:rFonts w:hint="eastAsia" w:ascii="仿宋_GB2312" w:hAnsi="楷体" w:eastAsia="仿宋_GB2312"/>
          <w:color w:val="000000"/>
          <w:sz w:val="32"/>
          <w:szCs w:val="32"/>
        </w:rPr>
        <w:t>指市场监督管理事务中行政运行支出。</w:t>
      </w:r>
      <w:bookmarkEnd w:id="254"/>
      <w:bookmarkEnd w:id="255"/>
      <w:bookmarkEnd w:id="256"/>
      <w:bookmarkEnd w:id="257"/>
      <w:bookmarkEnd w:id="258"/>
      <w:bookmarkEnd w:id="259"/>
    </w:p>
    <w:p>
      <w:pPr>
        <w:spacing w:line="594" w:lineRule="exact"/>
        <w:ind w:firstLine="640" w:firstLineChars="200"/>
        <w:outlineLvl w:val="1"/>
        <w:rPr>
          <w:rFonts w:ascii="仿宋_GB2312" w:hAnsi="楷体" w:eastAsia="仿宋_GB2312"/>
          <w:color w:val="000000"/>
          <w:sz w:val="32"/>
          <w:szCs w:val="32"/>
        </w:rPr>
      </w:pPr>
      <w:bookmarkStart w:id="260" w:name="_Toc51662799"/>
      <w:bookmarkStart w:id="261" w:name="_Toc22505"/>
      <w:bookmarkStart w:id="262" w:name="_Toc1790"/>
      <w:bookmarkStart w:id="263" w:name="_Toc22853"/>
      <w:bookmarkStart w:id="264" w:name="_Toc7568"/>
      <w:bookmarkStart w:id="265" w:name="_Toc51662611"/>
      <w:r>
        <w:rPr>
          <w:rFonts w:hint="eastAsia" w:ascii="仿宋_GB2312" w:hAnsi="楷体" w:eastAsia="仿宋_GB2312"/>
          <w:color w:val="000000"/>
          <w:sz w:val="32"/>
          <w:szCs w:val="32"/>
        </w:rPr>
        <w:t>11</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一般公共服务（类）市场监督管理事务（款）一般行政管理事务（项）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指市场监督管理事务一般行政管理事务。</w:t>
      </w:r>
      <w:bookmarkEnd w:id="260"/>
      <w:bookmarkEnd w:id="261"/>
      <w:bookmarkEnd w:id="262"/>
      <w:bookmarkEnd w:id="263"/>
      <w:bookmarkEnd w:id="264"/>
      <w:bookmarkEnd w:id="265"/>
    </w:p>
    <w:p>
      <w:pPr>
        <w:spacing w:line="594" w:lineRule="exact"/>
        <w:ind w:firstLine="640" w:firstLineChars="200"/>
        <w:outlineLvl w:val="1"/>
        <w:rPr>
          <w:rFonts w:ascii="仿宋_GB2312" w:hAnsi="楷体" w:eastAsia="仿宋_GB2312"/>
          <w:color w:val="000000"/>
          <w:sz w:val="32"/>
          <w:szCs w:val="32"/>
        </w:rPr>
      </w:pPr>
      <w:bookmarkStart w:id="266" w:name="_Toc12264"/>
      <w:bookmarkStart w:id="267" w:name="_Toc4701"/>
      <w:bookmarkStart w:id="268" w:name="_Toc21578"/>
      <w:bookmarkStart w:id="269" w:name="_Toc51662612"/>
      <w:bookmarkStart w:id="270" w:name="_Toc32231"/>
      <w:bookmarkStart w:id="271" w:name="_Toc51662800"/>
      <w:r>
        <w:rPr>
          <w:rFonts w:hint="eastAsia" w:ascii="仿宋_GB2312" w:hAnsi="楷体" w:eastAsia="仿宋_GB2312"/>
          <w:color w:val="000000"/>
          <w:sz w:val="32"/>
          <w:szCs w:val="32"/>
        </w:rPr>
        <w:t>12.一般公共服务（类）市场监督管理事务（款）市场监督管理专项（项）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指市场监督管理中专项检查支出。</w:t>
      </w:r>
      <w:bookmarkEnd w:id="266"/>
      <w:bookmarkEnd w:id="267"/>
      <w:bookmarkEnd w:id="268"/>
      <w:bookmarkEnd w:id="269"/>
      <w:bookmarkEnd w:id="270"/>
      <w:bookmarkEnd w:id="271"/>
    </w:p>
    <w:p>
      <w:pPr>
        <w:spacing w:line="594" w:lineRule="exact"/>
        <w:ind w:firstLine="640" w:firstLineChars="200"/>
        <w:outlineLvl w:val="1"/>
        <w:rPr>
          <w:rFonts w:ascii="仿宋_GB2312" w:hAnsi="楷体" w:eastAsia="仿宋_GB2312"/>
          <w:color w:val="000000"/>
          <w:sz w:val="32"/>
          <w:szCs w:val="32"/>
        </w:rPr>
      </w:pPr>
      <w:bookmarkStart w:id="272" w:name="_Toc9780"/>
      <w:bookmarkStart w:id="273" w:name="_Toc29858"/>
      <w:bookmarkStart w:id="274" w:name="_Toc51662613"/>
      <w:bookmarkStart w:id="275" w:name="_Toc13014"/>
      <w:bookmarkStart w:id="276" w:name="_Toc16172"/>
      <w:bookmarkStart w:id="277" w:name="_Toc51662801"/>
      <w:r>
        <w:rPr>
          <w:rFonts w:hint="eastAsia" w:ascii="仿宋_GB2312" w:hAnsi="楷体" w:eastAsia="仿宋_GB2312"/>
          <w:color w:val="000000"/>
          <w:sz w:val="32"/>
          <w:szCs w:val="32"/>
        </w:rPr>
        <w:t>13. 一般公共服务（类）市场监督管理事务（款）市场监管执法（项）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指市场监督管理中执法监管支出。</w:t>
      </w:r>
      <w:bookmarkEnd w:id="272"/>
      <w:bookmarkEnd w:id="273"/>
      <w:bookmarkEnd w:id="274"/>
      <w:bookmarkEnd w:id="275"/>
      <w:bookmarkEnd w:id="276"/>
      <w:bookmarkEnd w:id="277"/>
    </w:p>
    <w:p>
      <w:pPr>
        <w:spacing w:line="594" w:lineRule="exact"/>
        <w:ind w:firstLine="640" w:firstLineChars="200"/>
        <w:outlineLvl w:val="1"/>
        <w:rPr>
          <w:rFonts w:ascii="仿宋_GB2312" w:hAnsi="楷体" w:eastAsia="仿宋_GB2312"/>
          <w:color w:val="000000"/>
          <w:sz w:val="32"/>
          <w:szCs w:val="32"/>
        </w:rPr>
      </w:pPr>
      <w:bookmarkStart w:id="278" w:name="_Toc23287"/>
      <w:bookmarkStart w:id="279" w:name="_Toc8902"/>
      <w:bookmarkStart w:id="280" w:name="_Toc51662614"/>
      <w:bookmarkStart w:id="281" w:name="_Toc10083"/>
      <w:bookmarkStart w:id="282" w:name="_Toc51662802"/>
      <w:bookmarkStart w:id="283" w:name="_Toc19750"/>
      <w:r>
        <w:rPr>
          <w:rFonts w:hint="eastAsia" w:ascii="仿宋_GB2312" w:hAnsi="楷体" w:eastAsia="仿宋_GB2312"/>
          <w:color w:val="000000"/>
          <w:sz w:val="32"/>
          <w:szCs w:val="32"/>
        </w:rPr>
        <w:t>14.一般公共服务（类）市场监督管理事务（款）药品事务（项）</w:t>
      </w:r>
      <w:r>
        <w:rPr>
          <w:rFonts w:ascii="仿宋_GB2312" w:hAnsi="楷体" w:eastAsia="仿宋_GB2312"/>
          <w:color w:val="000000"/>
          <w:sz w:val="32"/>
          <w:szCs w:val="32"/>
        </w:rPr>
        <w:t>:</w:t>
      </w:r>
      <w:r>
        <w:rPr>
          <w:rFonts w:hint="eastAsia" w:ascii="仿宋_GB2312" w:hAnsi="楷体" w:eastAsia="仿宋_GB2312"/>
          <w:color w:val="000000"/>
          <w:sz w:val="32"/>
          <w:szCs w:val="32"/>
        </w:rPr>
        <w:t>市场监督管理中药品及不良反应、执法检督支出。</w:t>
      </w:r>
      <w:bookmarkEnd w:id="278"/>
      <w:bookmarkEnd w:id="279"/>
      <w:bookmarkEnd w:id="280"/>
      <w:bookmarkEnd w:id="281"/>
      <w:bookmarkEnd w:id="282"/>
      <w:bookmarkEnd w:id="283"/>
    </w:p>
    <w:p>
      <w:pPr>
        <w:spacing w:line="594" w:lineRule="exact"/>
        <w:ind w:firstLine="640" w:firstLineChars="200"/>
        <w:outlineLvl w:val="1"/>
        <w:rPr>
          <w:rFonts w:ascii="仿宋_GB2312" w:hAnsi="楷体" w:eastAsia="仿宋_GB2312"/>
          <w:color w:val="000000"/>
          <w:sz w:val="32"/>
          <w:szCs w:val="32"/>
        </w:rPr>
      </w:pPr>
      <w:bookmarkStart w:id="284" w:name="_Toc51662615"/>
      <w:bookmarkStart w:id="285" w:name="_Toc8836"/>
      <w:bookmarkStart w:id="286" w:name="_Toc51662803"/>
      <w:bookmarkStart w:id="287" w:name="_Toc7960"/>
      <w:bookmarkStart w:id="288" w:name="_Toc6236"/>
      <w:bookmarkStart w:id="289" w:name="_Toc14210"/>
      <w:r>
        <w:rPr>
          <w:rFonts w:hint="eastAsia" w:ascii="仿宋_GB2312" w:hAnsi="楷体" w:eastAsia="仿宋_GB2312"/>
          <w:color w:val="000000"/>
          <w:sz w:val="32"/>
          <w:szCs w:val="32"/>
        </w:rPr>
        <w:t>15. 一般公共服务（类）市场监督管理事务（款）事业运行（项）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市场监督管理中事业支出。</w:t>
      </w:r>
      <w:bookmarkEnd w:id="284"/>
      <w:bookmarkEnd w:id="285"/>
      <w:bookmarkEnd w:id="286"/>
      <w:bookmarkEnd w:id="287"/>
      <w:bookmarkEnd w:id="288"/>
      <w:bookmarkEnd w:id="289"/>
    </w:p>
    <w:p>
      <w:pPr>
        <w:spacing w:line="594" w:lineRule="exact"/>
        <w:ind w:firstLine="640" w:firstLineChars="200"/>
        <w:outlineLvl w:val="1"/>
        <w:rPr>
          <w:rFonts w:ascii="仿宋_GB2312" w:hAnsi="楷体" w:eastAsia="仿宋_GB2312"/>
          <w:color w:val="000000"/>
          <w:sz w:val="32"/>
          <w:szCs w:val="32"/>
        </w:rPr>
      </w:pPr>
      <w:bookmarkStart w:id="290" w:name="_Toc51662616"/>
      <w:bookmarkStart w:id="291" w:name="_Toc51662804"/>
      <w:bookmarkStart w:id="292" w:name="_Toc6311"/>
      <w:bookmarkStart w:id="293" w:name="_Toc11966"/>
      <w:bookmarkStart w:id="294" w:name="_Toc10570"/>
      <w:bookmarkStart w:id="295" w:name="_Toc8948"/>
      <w:r>
        <w:rPr>
          <w:rFonts w:hint="eastAsia" w:ascii="仿宋_GB2312" w:hAnsi="楷体" w:eastAsia="仿宋_GB2312"/>
          <w:color w:val="000000"/>
          <w:sz w:val="32"/>
          <w:szCs w:val="32"/>
        </w:rPr>
        <w:t>16. 一般公共服务（类）市场监督管理事务（款）其他市场监督管理事务（项）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市场管理管理避其他支出，如抽检、餐饮、流通监管支出。</w:t>
      </w:r>
      <w:bookmarkEnd w:id="290"/>
      <w:bookmarkEnd w:id="291"/>
      <w:bookmarkEnd w:id="292"/>
      <w:bookmarkEnd w:id="293"/>
      <w:bookmarkEnd w:id="294"/>
      <w:bookmarkEnd w:id="295"/>
    </w:p>
    <w:p>
      <w:pPr>
        <w:spacing w:line="594" w:lineRule="exact"/>
        <w:ind w:firstLine="640" w:firstLineChars="200"/>
        <w:outlineLvl w:val="1"/>
        <w:rPr>
          <w:rFonts w:ascii="仿宋_GB2312" w:hAnsi="楷体" w:eastAsia="仿宋_GB2312"/>
          <w:color w:val="000000"/>
          <w:sz w:val="32"/>
          <w:szCs w:val="32"/>
        </w:rPr>
      </w:pPr>
      <w:bookmarkStart w:id="296" w:name="_Toc51662805"/>
      <w:bookmarkStart w:id="297" w:name="_Toc25784"/>
      <w:bookmarkStart w:id="298" w:name="_Toc16237"/>
      <w:bookmarkStart w:id="299" w:name="_Toc19411"/>
      <w:bookmarkStart w:id="300" w:name="_Toc4901"/>
      <w:bookmarkStart w:id="301" w:name="_Toc51662617"/>
      <w:r>
        <w:rPr>
          <w:rFonts w:hint="eastAsia" w:ascii="仿宋_GB2312" w:hAnsi="楷体" w:eastAsia="仿宋_GB2312"/>
          <w:color w:val="000000"/>
          <w:sz w:val="32"/>
          <w:szCs w:val="32"/>
        </w:rPr>
        <w:t>17</w:t>
      </w:r>
      <w:r>
        <w:rPr>
          <w:rFonts w:ascii="仿宋_GB2312" w:hAnsi="楷体" w:eastAsia="仿宋_GB2312"/>
          <w:color w:val="000000"/>
          <w:sz w:val="32"/>
          <w:szCs w:val="32"/>
        </w:rPr>
        <w:t>.</w:t>
      </w:r>
      <w:r>
        <w:rPr>
          <w:rFonts w:hint="eastAsia" w:ascii="仿宋_GB2312" w:hAnsi="楷体" w:eastAsia="仿宋_GB2312"/>
          <w:color w:val="000000"/>
          <w:sz w:val="32"/>
          <w:szCs w:val="32"/>
        </w:rPr>
        <w:t>社会保障和就业（类）行政事业单位离退休（款）机关事业单位基本养老保险缴费支出（项）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指机关中基本养老保险支出。</w:t>
      </w:r>
      <w:bookmarkEnd w:id="296"/>
      <w:bookmarkEnd w:id="297"/>
      <w:bookmarkEnd w:id="298"/>
      <w:bookmarkEnd w:id="299"/>
      <w:bookmarkEnd w:id="300"/>
      <w:bookmarkEnd w:id="301"/>
    </w:p>
    <w:p>
      <w:pPr>
        <w:spacing w:line="594" w:lineRule="exact"/>
        <w:ind w:firstLine="640" w:firstLineChars="200"/>
        <w:outlineLvl w:val="1"/>
        <w:rPr>
          <w:rFonts w:ascii="仿宋_GB2312" w:hAnsi="楷体" w:eastAsia="仿宋_GB2312"/>
          <w:color w:val="000000"/>
          <w:sz w:val="32"/>
          <w:szCs w:val="32"/>
        </w:rPr>
      </w:pPr>
      <w:bookmarkStart w:id="302" w:name="_Toc20634"/>
      <w:bookmarkStart w:id="303" w:name="_Toc51662618"/>
      <w:bookmarkStart w:id="304" w:name="_Toc51662806"/>
      <w:bookmarkStart w:id="305" w:name="_Toc8871"/>
      <w:bookmarkStart w:id="306" w:name="_Toc22452"/>
      <w:bookmarkStart w:id="307" w:name="_Toc18465"/>
      <w:r>
        <w:rPr>
          <w:rFonts w:hint="eastAsia" w:ascii="仿宋_GB2312" w:hAnsi="楷体" w:eastAsia="仿宋_GB2312"/>
          <w:color w:val="000000"/>
          <w:sz w:val="32"/>
          <w:szCs w:val="32"/>
        </w:rPr>
        <w:t>18</w:t>
      </w:r>
      <w:r>
        <w:rPr>
          <w:rFonts w:ascii="仿宋_GB2312" w:hAnsi="楷体" w:eastAsia="仿宋_GB2312"/>
          <w:color w:val="000000"/>
          <w:sz w:val="32"/>
          <w:szCs w:val="32"/>
        </w:rPr>
        <w:t>.</w:t>
      </w:r>
      <w:r>
        <w:rPr>
          <w:rFonts w:hint="eastAsia" w:ascii="仿宋_GB2312" w:hAnsi="楷体" w:eastAsia="仿宋_GB2312"/>
          <w:color w:val="000000"/>
          <w:sz w:val="32"/>
          <w:szCs w:val="32"/>
        </w:rPr>
        <w:t>社会保障和就业（类）行政事业单位离退休（款）机关事业单位职业年金缴费出（项）</w:t>
      </w:r>
      <w:r>
        <w:rPr>
          <w:rFonts w:ascii="仿宋_GB2312" w:hAnsi="楷体" w:eastAsia="仿宋_GB2312"/>
          <w:color w:val="000000"/>
          <w:sz w:val="32"/>
          <w:szCs w:val="32"/>
        </w:rPr>
        <w:t>:</w:t>
      </w:r>
      <w:r>
        <w:rPr>
          <w:rFonts w:hint="eastAsia" w:ascii="仿宋_GB2312" w:hAnsi="楷体" w:eastAsia="仿宋_GB2312"/>
          <w:color w:val="000000"/>
          <w:sz w:val="32"/>
          <w:szCs w:val="32"/>
        </w:rPr>
        <w:t>指职业年金支出。</w:t>
      </w:r>
      <w:bookmarkEnd w:id="302"/>
      <w:bookmarkEnd w:id="303"/>
      <w:bookmarkEnd w:id="304"/>
      <w:bookmarkEnd w:id="305"/>
      <w:bookmarkEnd w:id="306"/>
      <w:bookmarkEnd w:id="307"/>
    </w:p>
    <w:p>
      <w:pPr>
        <w:spacing w:line="594" w:lineRule="exact"/>
        <w:ind w:firstLine="640" w:firstLineChars="200"/>
        <w:outlineLvl w:val="1"/>
        <w:rPr>
          <w:rFonts w:ascii="仿宋_GB2312" w:hAnsi="楷体" w:eastAsia="仿宋_GB2312"/>
          <w:color w:val="000000"/>
          <w:sz w:val="32"/>
          <w:szCs w:val="32"/>
        </w:rPr>
      </w:pPr>
      <w:bookmarkStart w:id="308" w:name="_Toc30736"/>
      <w:bookmarkStart w:id="309" w:name="_Toc51662619"/>
      <w:bookmarkStart w:id="310" w:name="_Toc3577"/>
      <w:bookmarkStart w:id="311" w:name="_Toc4057"/>
      <w:bookmarkStart w:id="312" w:name="_Toc29015"/>
      <w:bookmarkStart w:id="313" w:name="_Toc51662807"/>
      <w:r>
        <w:rPr>
          <w:rFonts w:hint="eastAsia" w:ascii="仿宋_GB2312" w:hAnsi="楷体" w:eastAsia="仿宋_GB2312"/>
          <w:color w:val="000000"/>
          <w:sz w:val="32"/>
          <w:szCs w:val="32"/>
        </w:rPr>
        <w:t>19</w:t>
      </w:r>
      <w:r>
        <w:rPr>
          <w:rFonts w:ascii="仿宋_GB2312" w:hAnsi="楷体" w:eastAsia="仿宋_GB2312"/>
          <w:color w:val="000000"/>
          <w:sz w:val="32"/>
          <w:szCs w:val="32"/>
        </w:rPr>
        <w:t>.</w:t>
      </w:r>
      <w:r>
        <w:rPr>
          <w:rFonts w:hint="eastAsia" w:ascii="仿宋_GB2312" w:hAnsi="楷体" w:eastAsia="仿宋_GB2312"/>
          <w:color w:val="000000"/>
          <w:sz w:val="32"/>
          <w:szCs w:val="32"/>
        </w:rPr>
        <w:t>卫生健康（类）公共卫生（款）重大公共卫生专项（项）</w:t>
      </w:r>
      <w:r>
        <w:rPr>
          <w:rFonts w:ascii="仿宋_GB2312" w:hAnsi="楷体" w:eastAsia="仿宋_GB2312"/>
          <w:color w:val="000000"/>
          <w:sz w:val="32"/>
          <w:szCs w:val="32"/>
        </w:rPr>
        <w:t>:</w:t>
      </w:r>
      <w:r>
        <w:rPr>
          <w:rFonts w:hint="eastAsia" w:ascii="仿宋_GB2312" w:hAnsi="楷体" w:eastAsia="仿宋_GB2312"/>
          <w:color w:val="000000"/>
          <w:sz w:val="32"/>
          <w:szCs w:val="32"/>
        </w:rPr>
        <w:t>指重大公共卫生支出及基层能力建设。</w:t>
      </w:r>
      <w:bookmarkEnd w:id="308"/>
      <w:bookmarkEnd w:id="309"/>
      <w:bookmarkEnd w:id="310"/>
      <w:bookmarkEnd w:id="311"/>
      <w:bookmarkEnd w:id="312"/>
      <w:bookmarkEnd w:id="313"/>
    </w:p>
    <w:p>
      <w:pPr>
        <w:spacing w:line="594" w:lineRule="exact"/>
        <w:ind w:firstLine="640" w:firstLineChars="200"/>
        <w:outlineLvl w:val="1"/>
        <w:rPr>
          <w:rFonts w:ascii="仿宋_GB2312" w:hAnsi="楷体" w:eastAsia="仿宋_GB2312"/>
          <w:color w:val="000000"/>
          <w:sz w:val="32"/>
          <w:szCs w:val="32"/>
        </w:rPr>
      </w:pPr>
      <w:bookmarkStart w:id="314" w:name="_Toc25963"/>
      <w:bookmarkStart w:id="315" w:name="_Toc28223"/>
      <w:bookmarkStart w:id="316" w:name="_Toc51662620"/>
      <w:bookmarkStart w:id="317" w:name="_Toc16279"/>
      <w:bookmarkStart w:id="318" w:name="_Toc28074"/>
      <w:bookmarkStart w:id="319" w:name="_Toc51662808"/>
      <w:r>
        <w:rPr>
          <w:rFonts w:hint="eastAsia" w:ascii="仿宋_GB2312" w:hAnsi="楷体" w:eastAsia="仿宋_GB2312"/>
          <w:color w:val="000000"/>
          <w:sz w:val="32"/>
          <w:szCs w:val="32"/>
        </w:rPr>
        <w:t>20</w:t>
      </w:r>
      <w:r>
        <w:rPr>
          <w:rFonts w:ascii="仿宋_GB2312" w:hAnsi="楷体" w:eastAsia="仿宋_GB2312"/>
          <w:color w:val="000000"/>
          <w:sz w:val="32"/>
          <w:szCs w:val="32"/>
        </w:rPr>
        <w:t>.</w:t>
      </w:r>
      <w:r>
        <w:rPr>
          <w:rFonts w:hint="eastAsia" w:ascii="仿宋_GB2312" w:hAnsi="楷体" w:eastAsia="仿宋_GB2312"/>
          <w:color w:val="000000"/>
          <w:sz w:val="32"/>
          <w:szCs w:val="32"/>
        </w:rPr>
        <w:t>卫生健康（类）行政事业单位医疗（款）行政单位医疗（项）：指行政人员医疗保险支出。</w:t>
      </w:r>
      <w:bookmarkEnd w:id="314"/>
      <w:bookmarkEnd w:id="315"/>
      <w:bookmarkEnd w:id="316"/>
      <w:bookmarkEnd w:id="317"/>
      <w:bookmarkEnd w:id="318"/>
      <w:bookmarkEnd w:id="319"/>
    </w:p>
    <w:p>
      <w:pPr>
        <w:spacing w:line="594" w:lineRule="exact"/>
        <w:ind w:firstLine="640" w:firstLineChars="200"/>
        <w:outlineLvl w:val="1"/>
        <w:rPr>
          <w:rFonts w:ascii="仿宋_GB2312" w:hAnsi="楷体" w:eastAsia="仿宋_GB2312"/>
          <w:color w:val="000000"/>
          <w:sz w:val="32"/>
          <w:szCs w:val="32"/>
        </w:rPr>
      </w:pPr>
      <w:bookmarkStart w:id="320" w:name="_Toc30359"/>
      <w:bookmarkStart w:id="321" w:name="_Toc51662809"/>
      <w:bookmarkStart w:id="322" w:name="_Toc51662621"/>
      <w:bookmarkStart w:id="323" w:name="_Toc23601"/>
      <w:bookmarkStart w:id="324" w:name="_Toc8553"/>
      <w:bookmarkStart w:id="325" w:name="_Toc22157"/>
      <w:r>
        <w:rPr>
          <w:rFonts w:hint="eastAsia" w:ascii="仿宋_GB2312" w:hAnsi="楷体" w:eastAsia="仿宋_GB2312"/>
          <w:color w:val="000000"/>
          <w:sz w:val="32"/>
          <w:szCs w:val="32"/>
        </w:rPr>
        <w:t>21</w:t>
      </w:r>
      <w:r>
        <w:rPr>
          <w:rFonts w:ascii="仿宋_GB2312" w:hAnsi="楷体" w:eastAsia="仿宋_GB2312"/>
          <w:color w:val="000000"/>
          <w:sz w:val="32"/>
          <w:szCs w:val="32"/>
        </w:rPr>
        <w:t>.</w:t>
      </w:r>
      <w:r>
        <w:rPr>
          <w:rFonts w:hint="eastAsia" w:ascii="仿宋_GB2312" w:hAnsi="楷体" w:eastAsia="仿宋_GB2312"/>
          <w:color w:val="000000"/>
          <w:sz w:val="32"/>
          <w:szCs w:val="32"/>
        </w:rPr>
        <w:t>卫生健康（类）行政事业单位医疗（款）事业单位医疗（项）：指事业人员医疗保险支出。</w:t>
      </w:r>
      <w:bookmarkEnd w:id="320"/>
      <w:bookmarkEnd w:id="321"/>
      <w:bookmarkEnd w:id="322"/>
      <w:bookmarkEnd w:id="323"/>
      <w:bookmarkEnd w:id="324"/>
      <w:bookmarkEnd w:id="325"/>
    </w:p>
    <w:p>
      <w:pPr>
        <w:spacing w:line="594" w:lineRule="exact"/>
        <w:ind w:firstLine="640" w:firstLineChars="200"/>
        <w:outlineLvl w:val="1"/>
        <w:rPr>
          <w:rFonts w:ascii="仿宋_GB2312" w:hAnsi="楷体" w:eastAsia="仿宋_GB2312"/>
          <w:color w:val="000000"/>
          <w:sz w:val="32"/>
          <w:szCs w:val="32"/>
        </w:rPr>
      </w:pPr>
      <w:bookmarkStart w:id="326" w:name="_Toc51662622"/>
      <w:bookmarkStart w:id="327" w:name="_Toc7753"/>
      <w:bookmarkStart w:id="328" w:name="_Toc14988"/>
      <w:bookmarkStart w:id="329" w:name="_Toc21300"/>
      <w:bookmarkStart w:id="330" w:name="_Toc51662810"/>
      <w:bookmarkStart w:id="331" w:name="_Toc28869"/>
      <w:r>
        <w:rPr>
          <w:rFonts w:hint="eastAsia" w:ascii="仿宋_GB2312" w:hAnsi="楷体" w:eastAsia="仿宋_GB2312"/>
          <w:color w:val="000000"/>
          <w:sz w:val="32"/>
          <w:szCs w:val="32"/>
        </w:rPr>
        <w:t>22.农林水（类）扶贫（款）其他扶贫支出（项）：指第一书记经费支出。</w:t>
      </w:r>
      <w:bookmarkEnd w:id="326"/>
      <w:bookmarkEnd w:id="327"/>
      <w:bookmarkEnd w:id="328"/>
      <w:bookmarkEnd w:id="329"/>
      <w:bookmarkEnd w:id="330"/>
      <w:bookmarkEnd w:id="331"/>
    </w:p>
    <w:p>
      <w:pPr>
        <w:spacing w:line="594" w:lineRule="exact"/>
        <w:ind w:firstLine="640" w:firstLineChars="200"/>
        <w:outlineLvl w:val="1"/>
        <w:rPr>
          <w:rFonts w:ascii="仿宋_GB2312" w:hAnsi="楷体" w:eastAsia="仿宋_GB2312"/>
          <w:color w:val="000000"/>
          <w:sz w:val="32"/>
          <w:szCs w:val="32"/>
        </w:rPr>
      </w:pPr>
      <w:bookmarkStart w:id="332" w:name="_Toc16689"/>
      <w:bookmarkStart w:id="333" w:name="_Toc415"/>
      <w:bookmarkStart w:id="334" w:name="_Toc31718"/>
      <w:bookmarkStart w:id="335" w:name="_Toc51662811"/>
      <w:bookmarkStart w:id="336" w:name="_Toc23692"/>
      <w:bookmarkStart w:id="337" w:name="_Toc51662623"/>
      <w:r>
        <w:rPr>
          <w:rFonts w:hint="eastAsia" w:ascii="仿宋_GB2312" w:hAnsi="楷体" w:eastAsia="仿宋_GB2312"/>
          <w:color w:val="000000"/>
          <w:sz w:val="32"/>
          <w:szCs w:val="32"/>
        </w:rPr>
        <w:t>14.住房保障支出（类）住房改革支出（款）住房公积金（项）：指住房公积金支出。</w:t>
      </w:r>
      <w:bookmarkEnd w:id="332"/>
      <w:bookmarkEnd w:id="333"/>
      <w:bookmarkEnd w:id="334"/>
      <w:bookmarkEnd w:id="335"/>
      <w:bookmarkEnd w:id="336"/>
      <w:bookmarkEnd w:id="337"/>
    </w:p>
    <w:p>
      <w:pPr>
        <w:spacing w:line="594" w:lineRule="exact"/>
        <w:ind w:firstLine="640" w:firstLineChars="200"/>
        <w:outlineLvl w:val="1"/>
        <w:rPr>
          <w:rFonts w:ascii="仿宋_GB2312" w:hAnsi="楷体" w:eastAsia="仿宋_GB2312"/>
          <w:color w:val="000000"/>
          <w:sz w:val="32"/>
          <w:szCs w:val="32"/>
        </w:rPr>
      </w:pPr>
      <w:bookmarkStart w:id="338" w:name="_Toc18978"/>
      <w:bookmarkStart w:id="339" w:name="_Toc24656"/>
      <w:bookmarkStart w:id="340" w:name="_Toc3850"/>
      <w:bookmarkStart w:id="341" w:name="_Toc51662812"/>
      <w:bookmarkStart w:id="342" w:name="_Toc51662624"/>
      <w:bookmarkStart w:id="343" w:name="_Toc32431"/>
      <w:r>
        <w:rPr>
          <w:rFonts w:hint="eastAsia" w:ascii="仿宋_GB2312" w:hAnsi="楷体" w:eastAsia="仿宋_GB2312"/>
          <w:color w:val="000000"/>
          <w:sz w:val="32"/>
          <w:szCs w:val="32"/>
        </w:rPr>
        <w:t>15. 住房保障支出（类）住房改革支出（款）购房补贴（项）：指退休人员购房补贴。</w:t>
      </w:r>
      <w:bookmarkEnd w:id="338"/>
      <w:bookmarkEnd w:id="339"/>
      <w:bookmarkEnd w:id="340"/>
      <w:bookmarkEnd w:id="341"/>
      <w:bookmarkEnd w:id="342"/>
      <w:bookmarkEnd w:id="343"/>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18</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3"/>
        <w:spacing w:line="594"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94" w:lineRule="exact"/>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3"/>
          <w:rFonts w:ascii="黑体" w:hAnsi="黑体" w:eastAsia="黑体"/>
          <w:b w:val="0"/>
        </w:rPr>
      </w:pPr>
      <w:r>
        <w:rPr>
          <w:rFonts w:ascii="宋体"/>
          <w:color w:val="000000"/>
        </w:rPr>
        <w:br w:type="page"/>
      </w:r>
      <w:bookmarkStart w:id="344" w:name="_Toc16514"/>
      <w:bookmarkStart w:id="345" w:name="_Toc29330"/>
      <w:bookmarkStart w:id="346" w:name="_Toc14397"/>
      <w:r>
        <w:rPr>
          <w:rFonts w:hint="eastAsia" w:ascii="黑体" w:hAnsi="黑体" w:eastAsia="黑体"/>
          <w:color w:val="000000"/>
          <w:sz w:val="44"/>
          <w:szCs w:val="44"/>
        </w:rPr>
        <w:t>第</w:t>
      </w:r>
      <w:r>
        <w:rPr>
          <w:rStyle w:val="23"/>
          <w:rFonts w:hint="eastAsia" w:ascii="黑体" w:hAnsi="黑体" w:eastAsia="黑体"/>
          <w:b w:val="0"/>
        </w:rPr>
        <w:t>四部分</w:t>
      </w:r>
      <w:r>
        <w:rPr>
          <w:rStyle w:val="23"/>
          <w:rFonts w:ascii="黑体" w:hAnsi="黑体" w:eastAsia="黑体"/>
          <w:b w:val="0"/>
        </w:rPr>
        <w:t xml:space="preserve"> </w:t>
      </w:r>
      <w:r>
        <w:rPr>
          <w:rStyle w:val="23"/>
          <w:rFonts w:hint="eastAsia" w:ascii="黑体" w:hAnsi="黑体" w:eastAsia="黑体"/>
          <w:b w:val="0"/>
        </w:rPr>
        <w:t>附件</w:t>
      </w:r>
      <w:bookmarkEnd w:id="251"/>
      <w:bookmarkEnd w:id="252"/>
      <w:bookmarkEnd w:id="344"/>
      <w:bookmarkEnd w:id="345"/>
      <w:bookmarkEnd w:id="346"/>
    </w:p>
    <w:p>
      <w:pPr>
        <w:spacing w:line="600" w:lineRule="exact"/>
        <w:jc w:val="left"/>
        <w:outlineLvl w:val="0"/>
        <w:rPr>
          <w:rFonts w:ascii="方正小标宋简体" w:hAnsi="方正小标宋简体" w:eastAsia="方正小标宋简体" w:cs="方正小标宋简体"/>
          <w:sz w:val="32"/>
          <w:szCs w:val="32"/>
        </w:rPr>
      </w:pPr>
      <w:bookmarkStart w:id="347" w:name="_Toc8648"/>
      <w:bookmarkStart w:id="348" w:name="_Toc79163631"/>
      <w:bookmarkStart w:id="349" w:name="_Toc13788"/>
      <w:bookmarkStart w:id="350" w:name="_Toc10249"/>
      <w:r>
        <w:rPr>
          <w:rFonts w:hint="eastAsia" w:ascii="黑体" w:hAnsi="黑体" w:eastAsia="黑体" w:cs="黑体"/>
          <w:sz w:val="32"/>
          <w:szCs w:val="32"/>
        </w:rPr>
        <w:t>附件</w:t>
      </w:r>
      <w:r>
        <w:rPr>
          <w:rFonts w:ascii="黑体" w:hAnsi="黑体" w:eastAsia="黑体" w:cs="黑体"/>
          <w:sz w:val="32"/>
          <w:szCs w:val="32"/>
        </w:rPr>
        <w:t>1</w:t>
      </w:r>
      <w:bookmarkEnd w:id="347"/>
      <w:bookmarkEnd w:id="348"/>
      <w:bookmarkEnd w:id="349"/>
      <w:bookmarkEnd w:id="350"/>
    </w:p>
    <w:p>
      <w:pPr>
        <w:spacing w:line="580" w:lineRule="exact"/>
        <w:jc w:val="center"/>
        <w:rPr>
          <w:rFonts w:ascii="方正小标宋简体" w:hAnsi="方正小标宋简体" w:eastAsia="方正小标宋简体" w:cs="方正小标宋简体"/>
          <w:sz w:val="44"/>
          <w:szCs w:val="44"/>
        </w:rPr>
      </w:pPr>
    </w:p>
    <w:p>
      <w:pPr>
        <w:spacing w:line="560" w:lineRule="exact"/>
        <w:jc w:val="center"/>
        <w:rPr>
          <w:rFonts w:ascii="宋体" w:hAnsi="宋体" w:cs="宋体"/>
          <w:sz w:val="44"/>
          <w:szCs w:val="44"/>
        </w:rPr>
      </w:pPr>
      <w:r>
        <w:rPr>
          <w:rFonts w:hint="eastAsia" w:eastAsia="方正小标宋简体"/>
          <w:sz w:val="44"/>
          <w:szCs w:val="44"/>
        </w:rPr>
        <w:t>2020年部门整体支出绩效报告</w:t>
      </w:r>
    </w:p>
    <w:p>
      <w:pPr>
        <w:widowControl/>
        <w:adjustRightInd w:val="0"/>
        <w:snapToGrid w:val="0"/>
        <w:spacing w:line="540" w:lineRule="exact"/>
        <w:ind w:firstLine="720"/>
        <w:jc w:val="left"/>
        <w:rPr>
          <w:color w:val="000000"/>
          <w:kern w:val="0"/>
          <w:sz w:val="24"/>
          <w:szCs w:val="32"/>
          <w:shd w:val="clear" w:color="auto" w:fill="FFFFFF"/>
        </w:rPr>
      </w:pP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一、部门（单位）概况</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（一）机构组成</w:t>
      </w:r>
    </w:p>
    <w:p>
      <w:pPr>
        <w:spacing w:line="560" w:lineRule="exact"/>
        <w:ind w:firstLine="640" w:firstLineChars="200"/>
        <w:rPr>
          <w:rFonts w:hAnsi="仿宋" w:eastAsia="仿宋"/>
          <w:sz w:val="32"/>
          <w:szCs w:val="32"/>
        </w:rPr>
      </w:pPr>
      <w:r>
        <w:rPr>
          <w:rFonts w:hint="eastAsia" w:hAnsi="仿宋" w:eastAsia="仿宋"/>
          <w:sz w:val="32"/>
          <w:szCs w:val="32"/>
        </w:rPr>
        <w:t>茂县市场监督管理局为县级独立的法人机构，下属二级预算单位0个，参照公务员法管理的事业单位1个，其他事业单位</w:t>
      </w:r>
      <w:r>
        <w:rPr>
          <w:rFonts w:hint="eastAsia" w:hAnsi="仿宋" w:eastAsia="仿宋"/>
          <w:sz w:val="32"/>
          <w:szCs w:val="32"/>
          <w:lang w:val="en-US" w:eastAsia="zh-CN"/>
        </w:rPr>
        <w:t>3</w:t>
      </w:r>
      <w:r>
        <w:rPr>
          <w:rFonts w:hint="eastAsia" w:hAnsi="仿宋" w:eastAsia="仿宋"/>
          <w:sz w:val="32"/>
          <w:szCs w:val="32"/>
        </w:rPr>
        <w:t>个。</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（二）机构职能</w:t>
      </w:r>
    </w:p>
    <w:p>
      <w:pPr>
        <w:spacing w:line="560" w:lineRule="exact"/>
        <w:ind w:firstLine="640" w:firstLineChars="200"/>
        <w:rPr>
          <w:rFonts w:hAnsi="仿宋" w:eastAsia="仿宋"/>
          <w:sz w:val="32"/>
          <w:szCs w:val="32"/>
        </w:rPr>
      </w:pPr>
      <w:r>
        <w:rPr>
          <w:rFonts w:hint="eastAsia" w:hAnsi="仿宋" w:eastAsia="仿宋"/>
          <w:sz w:val="32"/>
          <w:szCs w:val="32"/>
        </w:rPr>
        <w:t>主要负责辖区工商企业、农民专业合作社和从事经营活动的单位、个人以及上级授权办理的其他市场主体的登记注册工作；负责辖区市场经济秩序监督管理；负责辖区商标和广告监督管理工作；负责辖区合同监督管理工作；负责辖区保护消费者合法权益工作；负责管理和指导辖区质量工作；负责辖区计量监督管理工作；负责辖区标准化管理工作；负责特种设备的安全监察工作；负责食品安全生产、流通、消费环节的行政许可和监督管理；承担县食品安全委员会的日常工作；负责辖区相关市场监管领域安全事故应急体系建设，组织和指导重大突发事件应对处置和调查处理工作，监督事故查处落实情况；承担茂县保护消费者权益委员会日常工作，组织指导个体私营经济协会的相关工作。</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（三）人员概况</w:t>
      </w:r>
    </w:p>
    <w:p>
      <w:pPr>
        <w:spacing w:line="560" w:lineRule="exact"/>
        <w:ind w:firstLine="640" w:firstLineChars="200"/>
        <w:rPr>
          <w:rFonts w:hAnsi="仿宋" w:eastAsia="仿宋"/>
          <w:sz w:val="32"/>
          <w:szCs w:val="32"/>
        </w:rPr>
      </w:pPr>
      <w:r>
        <w:rPr>
          <w:rFonts w:hint="eastAsia" w:hAnsi="仿宋" w:eastAsia="仿宋"/>
          <w:sz w:val="32"/>
          <w:szCs w:val="32"/>
        </w:rPr>
        <w:t>总编制40名,其中:行政编制23名,参照公务员法管理的事业编制7名，行政工勤编制3名，事业编制7名。在职人员总数36名，其中：行政人员23名，参照公务员法管理的事业人员4名，行政工勤人员4名；事业人员3名，事业工勤人员2名。离休人员0人，退休人员18人；人员减少主要原因是机构改革人员调动。</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二、部门财政资金收支情况</w:t>
      </w:r>
    </w:p>
    <w:p>
      <w:pPr>
        <w:spacing w:line="560" w:lineRule="exact"/>
        <w:ind w:firstLine="642" w:firstLineChars="200"/>
        <w:rPr>
          <w:rFonts w:ascii="楷体_GB2312" w:hAnsi="楷体_GB2312" w:eastAsia="楷体_GB2312" w:cs="楷体_GB2312"/>
          <w:sz w:val="32"/>
          <w:szCs w:val="32"/>
        </w:rPr>
      </w:pPr>
      <w:r>
        <w:rPr>
          <w:rFonts w:hint="eastAsia" w:ascii="楷体_GB2312" w:hAnsi="楷体_GB2312" w:eastAsia="楷体_GB2312" w:cs="楷体_GB2312"/>
          <w:b/>
          <w:bCs/>
          <w:sz w:val="32"/>
          <w:szCs w:val="32"/>
        </w:rPr>
        <w:t>（一）部门财政资金收入情况</w:t>
      </w:r>
    </w:p>
    <w:p>
      <w:pPr>
        <w:spacing w:line="560" w:lineRule="exact"/>
        <w:ind w:firstLine="640" w:firstLineChars="200"/>
        <w:rPr>
          <w:rFonts w:hAnsi="仿宋" w:eastAsia="仿宋"/>
          <w:sz w:val="32"/>
          <w:szCs w:val="32"/>
        </w:rPr>
      </w:pPr>
      <w:r>
        <w:rPr>
          <w:rFonts w:hint="eastAsia" w:hAnsi="仿宋" w:eastAsia="仿宋"/>
          <w:sz w:val="32"/>
          <w:szCs w:val="32"/>
        </w:rPr>
        <w:t>2020年收入1060.26元，其中：基本收入895.83元，项目收入164.43元。</w:t>
      </w:r>
    </w:p>
    <w:p>
      <w:pPr>
        <w:spacing w:line="560" w:lineRule="exact"/>
        <w:ind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（二）部门财政资金支出情况</w:t>
      </w:r>
    </w:p>
    <w:p>
      <w:pPr>
        <w:spacing w:line="560" w:lineRule="exact"/>
        <w:ind w:firstLine="640" w:firstLineChars="200"/>
        <w:rPr>
          <w:rFonts w:hAnsi="仿宋" w:eastAsia="仿宋"/>
          <w:sz w:val="32"/>
          <w:szCs w:val="32"/>
        </w:rPr>
      </w:pPr>
      <w:r>
        <w:rPr>
          <w:rFonts w:hint="eastAsia" w:hAnsi="仿宋" w:eastAsia="仿宋"/>
          <w:sz w:val="32"/>
          <w:szCs w:val="32"/>
        </w:rPr>
        <w:t>2020年支出1034.27元，其中：其中基本支出895.83元，项目支出138.44元。</w:t>
      </w:r>
    </w:p>
    <w:p>
      <w:pPr>
        <w:spacing w:line="560" w:lineRule="exact"/>
        <w:ind w:firstLine="640" w:firstLineChars="200"/>
        <w:rPr>
          <w:rFonts w:ascii="黑体" w:hAnsi="宋体" w:eastAsia="黑体" w:cs="宋体"/>
          <w:color w:val="000000"/>
          <w:kern w:val="0"/>
          <w:sz w:val="32"/>
          <w:szCs w:val="32"/>
          <w:shd w:val="clear" w:color="auto" w:fill="FFFFFF"/>
        </w:rPr>
      </w:pPr>
      <w:r>
        <w:rPr>
          <w:rFonts w:hint="eastAsia" w:ascii="黑体" w:hAnsi="黑体" w:eastAsia="黑体" w:cs="黑体"/>
          <w:sz w:val="32"/>
          <w:szCs w:val="32"/>
        </w:rPr>
        <w:t>三、部门整体预算绩效管理情况</w:t>
      </w:r>
    </w:p>
    <w:p>
      <w:pPr>
        <w:widowControl/>
        <w:adjustRightInd w:val="0"/>
        <w:snapToGrid w:val="0"/>
        <w:spacing w:line="580" w:lineRule="exact"/>
        <w:ind w:firstLine="642" w:firstLineChars="200"/>
        <w:contextualSpacing/>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（一）部门预算管理</w:t>
      </w:r>
    </w:p>
    <w:p>
      <w:pPr>
        <w:spacing w:line="560" w:lineRule="exact"/>
        <w:ind w:firstLine="642" w:firstLineChars="200"/>
        <w:rPr>
          <w:rFonts w:hAnsi="仿宋" w:eastAsia="仿宋"/>
          <w:b/>
          <w:bCs/>
          <w:sz w:val="32"/>
          <w:szCs w:val="32"/>
        </w:rPr>
      </w:pPr>
      <w:r>
        <w:rPr>
          <w:rFonts w:hint="eastAsia" w:hAnsi="仿宋" w:eastAsia="仿宋"/>
          <w:b/>
          <w:bCs/>
          <w:sz w:val="32"/>
          <w:szCs w:val="32"/>
        </w:rPr>
        <w:t>1、预决算编制情况</w:t>
      </w:r>
    </w:p>
    <w:p>
      <w:pPr>
        <w:spacing w:line="560" w:lineRule="exact"/>
        <w:ind w:firstLine="640" w:firstLineChars="200"/>
        <w:rPr>
          <w:rFonts w:hAnsi="仿宋" w:eastAsia="仿宋"/>
          <w:sz w:val="32"/>
          <w:szCs w:val="32"/>
        </w:rPr>
      </w:pPr>
      <w:r>
        <w:rPr>
          <w:rFonts w:hint="eastAsia" w:hAnsi="仿宋" w:eastAsia="仿宋"/>
          <w:sz w:val="32"/>
          <w:szCs w:val="32"/>
        </w:rPr>
        <w:t>茂县市场监督管理局2020年预算收入1060.26万元，支出1034.27元。对本年度相应用款进行及时清理和处理，账实相符、账证相符,先有预算再有支出的原则，及时处理相关事务；对绩效目标进行季度梳理和年度分析，及时上报相关报表；对专项预算提前细化，分科目上报。      </w:t>
      </w:r>
    </w:p>
    <w:p>
      <w:pPr>
        <w:spacing w:line="560" w:lineRule="exact"/>
        <w:ind w:firstLine="642" w:firstLineChars="200"/>
        <w:rPr>
          <w:rFonts w:hint="eastAsia" w:hAnsi="仿宋" w:eastAsia="仿宋"/>
          <w:b/>
          <w:bCs/>
          <w:sz w:val="32"/>
          <w:szCs w:val="32"/>
        </w:rPr>
      </w:pPr>
      <w:r>
        <w:rPr>
          <w:rFonts w:hint="eastAsia" w:hAnsi="仿宋" w:eastAsia="仿宋"/>
          <w:b/>
          <w:bCs/>
          <w:sz w:val="32"/>
          <w:szCs w:val="32"/>
        </w:rPr>
        <w:t>2、执行管理情况</w:t>
      </w:r>
    </w:p>
    <w:p>
      <w:pPr>
        <w:spacing w:line="560" w:lineRule="exact"/>
        <w:ind w:firstLine="640" w:firstLineChars="200"/>
        <w:rPr>
          <w:rFonts w:hAnsi="仿宋" w:eastAsia="仿宋"/>
          <w:sz w:val="32"/>
          <w:szCs w:val="32"/>
        </w:rPr>
      </w:pPr>
      <w:r>
        <w:rPr>
          <w:rFonts w:hint="eastAsia" w:hAnsi="仿宋" w:eastAsia="仿宋"/>
          <w:sz w:val="32"/>
          <w:szCs w:val="32"/>
        </w:rPr>
        <w:t>我局按照县财政的要求，认真总结经验，及时上报相关的用款计划，分月上报相应计划，待财政审核通过后，严格按计划执行，各月执行情况良好。</w:t>
      </w:r>
    </w:p>
    <w:p>
      <w:pPr>
        <w:spacing w:line="560" w:lineRule="exact"/>
        <w:ind w:firstLine="642" w:firstLineChars="200"/>
        <w:rPr>
          <w:rFonts w:hint="eastAsia" w:hAnsi="仿宋" w:eastAsia="仿宋"/>
          <w:b/>
          <w:bCs/>
          <w:sz w:val="32"/>
          <w:szCs w:val="32"/>
        </w:rPr>
      </w:pPr>
      <w:r>
        <w:rPr>
          <w:rFonts w:hint="eastAsia" w:hAnsi="仿宋" w:eastAsia="仿宋"/>
          <w:b/>
          <w:bCs/>
          <w:sz w:val="32"/>
          <w:szCs w:val="32"/>
        </w:rPr>
        <w:t>3、支出绩效情况</w:t>
      </w:r>
    </w:p>
    <w:p>
      <w:pPr>
        <w:spacing w:line="560" w:lineRule="exact"/>
        <w:ind w:firstLine="640" w:firstLineChars="200"/>
        <w:rPr>
          <w:rFonts w:hAnsi="仿宋" w:eastAsia="仿宋"/>
          <w:sz w:val="32"/>
          <w:szCs w:val="32"/>
        </w:rPr>
      </w:pPr>
      <w:r>
        <w:rPr>
          <w:rFonts w:hint="eastAsia" w:hAnsi="仿宋" w:eastAsia="仿宋"/>
          <w:sz w:val="32"/>
          <w:szCs w:val="32"/>
        </w:rPr>
        <w:t xml:space="preserve">2020年财政拨款安排支出主要用于保障： 1、积极推进商事制度改革。2、积极做好市场主体年报工作。3、深入开展打击传销、规范直销工作。4、红盾春雷行动，开展农资执法打假。5、积极开展违法广告及侵犯注册商标专用权专项整。6、认真无照经营综合治理工作。7、保障民生工程，大力开展消费维权.8、加强食品、药品安全监管，深入开展医疗机构使用药品，医疗器械日常监督工作。9、开展以液化器、电梯、锅炉特种设备安全监察工作。10、人员工资。11、食品抽检及品牌保护工作。13、单位正常工作运转。 </w:t>
      </w:r>
    </w:p>
    <w:p>
      <w:pPr>
        <w:spacing w:line="560" w:lineRule="exact"/>
        <w:ind w:firstLine="640" w:firstLineChars="200"/>
        <w:rPr>
          <w:rFonts w:hAnsi="仿宋" w:eastAsia="仿宋"/>
          <w:sz w:val="32"/>
          <w:szCs w:val="32"/>
        </w:rPr>
      </w:pPr>
      <w:r>
        <w:rPr>
          <w:rFonts w:hint="eastAsia" w:hAnsi="仿宋" w:eastAsia="仿宋"/>
          <w:sz w:val="32"/>
          <w:szCs w:val="32"/>
        </w:rPr>
        <w:t>基本支出和经营支出用于保障单位正常运转的日常支出，包括基本工资、津贴补贴等人员经费。其中：1、办公费主要用于我局行政办公用产生的办公用品支出及少量的打字复印费支出、报刊杂志订阅、办公大楼的零星维修支出以及在工作中产生的一些临时性支出。2、水电费支出主要是正常办公过程中产生的水费、电费支出。3、差旅费主要用于我局出县参加的业务学习培训、会议时产生的住宿、生活费、公杂费、交通费支出。4、接待费主要用于省、州工商、质监、食药监局来我县检查工作时发生的公务接待支出。5、公务车辆运行支出主要用于我局执法车辆中产生的燃油、维修、保养支出。6、其他支出主要用于我局在开展食品药品、质量、工商宣传工作中产生的费用等。</w:t>
      </w:r>
    </w:p>
    <w:p>
      <w:pPr>
        <w:spacing w:line="560" w:lineRule="exact"/>
        <w:ind w:firstLine="640" w:firstLineChars="200"/>
        <w:rPr>
          <w:rFonts w:hAnsi="仿宋" w:eastAsia="仿宋"/>
          <w:sz w:val="32"/>
          <w:szCs w:val="32"/>
        </w:rPr>
      </w:pPr>
      <w:r>
        <w:rPr>
          <w:rFonts w:hint="eastAsia" w:hAnsi="仿宋" w:eastAsia="仿宋"/>
          <w:sz w:val="32"/>
          <w:szCs w:val="32"/>
        </w:rPr>
        <w:t>项目支出，用于保障单位为完成特定的行政工作任务或事业发展目标，用于专项业务工作的经费支出。2020年我局主要开展了以下专项行动：红盾春雷行动、主体年报工作、食品药品抽检工作、特种设备专项检查、疫情物资检查、特种设备监管、野生动物保护、价格监管、网络商品交易监管、不正当竞争、侵犯商标、推进民营经济健康发展、放心舒心工作。主要支出为检查中产生的办公费、差旅费、公务车辆运行费及宣传经费等。</w:t>
      </w:r>
    </w:p>
    <w:p>
      <w:pPr>
        <w:spacing w:line="560" w:lineRule="exact"/>
        <w:ind w:firstLine="642" w:firstLineChars="200"/>
        <w:rPr>
          <w:rFonts w:hint="eastAsia" w:hAnsi="仿宋" w:eastAsia="仿宋"/>
          <w:b/>
          <w:bCs/>
          <w:sz w:val="32"/>
          <w:szCs w:val="32"/>
        </w:rPr>
      </w:pPr>
      <w:r>
        <w:rPr>
          <w:rFonts w:hint="eastAsia" w:hAnsi="仿宋" w:eastAsia="仿宋"/>
          <w:b/>
          <w:bCs/>
          <w:sz w:val="32"/>
          <w:szCs w:val="32"/>
        </w:rPr>
        <w:t>4、机关厉行节约</w:t>
      </w:r>
    </w:p>
    <w:p>
      <w:pPr>
        <w:spacing w:line="560" w:lineRule="exact"/>
        <w:ind w:firstLine="640" w:firstLineChars="200"/>
        <w:rPr>
          <w:rFonts w:hAnsi="仿宋" w:eastAsia="仿宋"/>
          <w:sz w:val="32"/>
          <w:szCs w:val="32"/>
        </w:rPr>
      </w:pPr>
      <w:r>
        <w:rPr>
          <w:rFonts w:hint="eastAsia" w:hAnsi="仿宋" w:eastAsia="仿宋"/>
          <w:sz w:val="32"/>
          <w:szCs w:val="32"/>
        </w:rPr>
        <w:t>2020年我局无机关人员因公出国计划，没有购置公务用车。车辆运行维护费支出19.10万元，用于日常检查及专项业务检查过程中所需的公务用车燃料费、维修费、保险费等支出。公务接待费0.92万元。主要用于接待上级领导到我局检查督导工作等所发生的费用。</w:t>
      </w:r>
    </w:p>
    <w:p>
      <w:pPr>
        <w:spacing w:line="560" w:lineRule="exact"/>
        <w:ind w:firstLine="642" w:firstLineChars="200"/>
        <w:rPr>
          <w:rFonts w:hint="eastAsia" w:hAnsi="仿宋" w:eastAsia="仿宋"/>
          <w:b/>
          <w:bCs/>
          <w:sz w:val="32"/>
          <w:szCs w:val="32"/>
        </w:rPr>
      </w:pPr>
      <w:r>
        <w:rPr>
          <w:rFonts w:hint="eastAsia" w:hAnsi="仿宋" w:eastAsia="仿宋"/>
          <w:b/>
          <w:bCs/>
          <w:sz w:val="32"/>
          <w:szCs w:val="32"/>
        </w:rPr>
        <w:t>5、机关节能降耗</w:t>
      </w:r>
    </w:p>
    <w:p>
      <w:pPr>
        <w:spacing w:line="560" w:lineRule="exact"/>
        <w:ind w:firstLine="640" w:firstLineChars="200"/>
        <w:rPr>
          <w:rFonts w:hAnsi="仿宋" w:eastAsia="仿宋"/>
          <w:sz w:val="32"/>
          <w:szCs w:val="32"/>
        </w:rPr>
      </w:pPr>
      <w:r>
        <w:rPr>
          <w:rFonts w:hint="eastAsia" w:hAnsi="仿宋" w:eastAsia="仿宋"/>
          <w:sz w:val="32"/>
          <w:szCs w:val="32"/>
        </w:rPr>
        <w:t>我局严格按照勤俭节约的原则，水、电节能降耗情况均处在合理区间。</w:t>
      </w:r>
    </w:p>
    <w:p>
      <w:pPr>
        <w:widowControl/>
        <w:adjustRightInd w:val="0"/>
        <w:snapToGrid w:val="0"/>
        <w:spacing w:line="580" w:lineRule="exact"/>
        <w:ind w:firstLine="642" w:firstLineChars="200"/>
        <w:contextualSpacing/>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（二）结果应用情况</w:t>
      </w:r>
    </w:p>
    <w:p>
      <w:pPr>
        <w:spacing w:line="560" w:lineRule="exact"/>
        <w:ind w:firstLine="640" w:firstLineChars="200"/>
        <w:rPr>
          <w:rFonts w:hAnsi="仿宋" w:eastAsia="仿宋"/>
          <w:sz w:val="32"/>
          <w:szCs w:val="32"/>
        </w:rPr>
      </w:pPr>
      <w:r>
        <w:rPr>
          <w:rFonts w:hint="eastAsia" w:hAnsi="仿宋" w:eastAsia="仿宋"/>
          <w:sz w:val="32"/>
          <w:szCs w:val="32"/>
        </w:rPr>
        <w:t xml:space="preserve"> 我局对部门预算绩效管理工作情况认真进行了自查自评。将自评结果作为预算安排的重要依据。同时绩效管理严格按照上级部门要求，开展自评工作，对评价结果及时总结上报。</w:t>
      </w:r>
    </w:p>
    <w:p>
      <w:pPr>
        <w:adjustRightInd w:val="0"/>
        <w:snapToGrid w:val="0"/>
        <w:spacing w:line="594" w:lineRule="exact"/>
        <w:ind w:firstLine="720"/>
        <w:rPr>
          <w:rFonts w:ascii="黑体" w:hAnsi="黑体" w:eastAsia="黑体" w:cs="黑体"/>
          <w:b/>
          <w:bCs/>
          <w:sz w:val="32"/>
          <w:szCs w:val="32"/>
          <w:lang w:val="zh-CN"/>
        </w:rPr>
      </w:pPr>
      <w:r>
        <w:rPr>
          <w:rFonts w:hint="eastAsia" w:ascii="黑体" w:hAnsi="黑体" w:eastAsia="黑体" w:cs="黑体"/>
          <w:b/>
          <w:bCs/>
          <w:sz w:val="32"/>
          <w:szCs w:val="32"/>
          <w:lang w:val="zh-CN"/>
        </w:rPr>
        <w:t>四、评价结论及建议</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94" w:lineRule="exact"/>
        <w:ind w:firstLine="640" w:firstLineChars="200"/>
        <w:rPr>
          <w:rFonts w:ascii="仿宋_GB2312" w:hAnsi="楷体" w:eastAsia="仿宋_GB2312" w:cs="仿宋_GB2312"/>
          <w:sz w:val="32"/>
          <w:szCs w:val="32"/>
        </w:rPr>
      </w:pPr>
      <w:r>
        <w:rPr>
          <w:rFonts w:ascii="仿宋_GB2312" w:hAnsi="楷体" w:eastAsia="仿宋_GB2312" w:cs="仿宋_GB2312"/>
          <w:sz w:val="32"/>
          <w:szCs w:val="32"/>
        </w:rPr>
        <w:t>20</w:t>
      </w:r>
      <w:r>
        <w:rPr>
          <w:rFonts w:hint="eastAsia" w:ascii="仿宋_GB2312" w:hAnsi="楷体" w:eastAsia="仿宋_GB2312" w:cs="仿宋_GB2312"/>
          <w:sz w:val="32"/>
          <w:szCs w:val="32"/>
        </w:rPr>
        <w:t xml:space="preserve">20年我局部门整体支出绩效评价自查自评结果良好，全年基本支出保证了部门的正常运行和日常工作的正常开展，项目支出保障了重点工作的开展，达到预期绩效目标。  </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（二）存在问题　</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一是支出进度慢，二是部门预算与实际工作有偏差。</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（三）改进建议　</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一是加强资金的综合协调，提高资金使用进度。</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二是进一步加大宣传力度，树立绩效管理理念。</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三是进一步优化工作流程，推进预算绩效全程管理。</w:t>
      </w:r>
    </w:p>
    <w:p>
      <w:pPr>
        <w:spacing w:line="594" w:lineRule="exact"/>
        <w:ind w:firstLine="640" w:firstLineChars="200"/>
        <w:rPr>
          <w:rFonts w:ascii="仿宋_GB2312" w:hAnsi="楷体" w:eastAsia="仿宋_GB2312" w:cs="仿宋_GB2312"/>
          <w:sz w:val="32"/>
          <w:szCs w:val="32"/>
        </w:rPr>
      </w:pPr>
    </w:p>
    <w:p>
      <w:pPr>
        <w:spacing w:line="594" w:lineRule="exact"/>
        <w:ind w:firstLine="640" w:firstLineChars="200"/>
        <w:rPr>
          <w:rFonts w:ascii="仿宋_GB2312" w:hAnsi="楷体" w:eastAsia="仿宋_GB2312" w:cs="仿宋_GB2312"/>
          <w:sz w:val="32"/>
          <w:szCs w:val="32"/>
        </w:rPr>
      </w:pPr>
    </w:p>
    <w:p>
      <w:pPr>
        <w:spacing w:line="594" w:lineRule="exact"/>
        <w:ind w:firstLine="640" w:firstLineChars="200"/>
        <w:rPr>
          <w:rFonts w:ascii="仿宋_GB2312" w:hAnsi="楷体" w:eastAsia="仿宋_GB2312" w:cs="仿宋_GB2312"/>
          <w:sz w:val="32"/>
          <w:szCs w:val="32"/>
        </w:rPr>
      </w:pPr>
    </w:p>
    <w:p>
      <w:pPr>
        <w:spacing w:line="594" w:lineRule="exact"/>
        <w:ind w:firstLine="640" w:firstLineChars="200"/>
        <w:rPr>
          <w:rFonts w:ascii="仿宋_GB2312" w:hAnsi="楷体" w:eastAsia="仿宋_GB2312" w:cs="仿宋_GB2312"/>
          <w:sz w:val="32"/>
          <w:szCs w:val="32"/>
        </w:rPr>
      </w:pPr>
    </w:p>
    <w:p>
      <w:pPr>
        <w:spacing w:line="594" w:lineRule="exact"/>
        <w:ind w:firstLine="640" w:firstLineChars="200"/>
        <w:rPr>
          <w:rFonts w:ascii="仿宋_GB2312" w:hAnsi="楷体" w:eastAsia="仿宋_GB2312" w:cs="仿宋_GB2312"/>
          <w:sz w:val="32"/>
          <w:szCs w:val="32"/>
        </w:rPr>
      </w:pPr>
    </w:p>
    <w:p>
      <w:pPr>
        <w:spacing w:line="594" w:lineRule="exact"/>
        <w:ind w:firstLine="640" w:firstLineChars="200"/>
        <w:rPr>
          <w:rFonts w:ascii="仿宋_GB2312" w:hAnsi="楷体" w:eastAsia="仿宋_GB2312" w:cs="仿宋_GB2312"/>
          <w:sz w:val="32"/>
          <w:szCs w:val="32"/>
        </w:rPr>
      </w:pPr>
    </w:p>
    <w:p>
      <w:pPr>
        <w:spacing w:line="594" w:lineRule="exact"/>
        <w:ind w:firstLine="640" w:firstLineChars="200"/>
        <w:rPr>
          <w:rFonts w:ascii="仿宋_GB2312" w:hAnsi="楷体" w:eastAsia="仿宋_GB2312" w:cs="仿宋_GB2312"/>
          <w:sz w:val="32"/>
          <w:szCs w:val="32"/>
        </w:rPr>
      </w:pPr>
    </w:p>
    <w:p>
      <w:pPr>
        <w:spacing w:line="594" w:lineRule="exact"/>
        <w:ind w:firstLine="640" w:firstLineChars="200"/>
        <w:rPr>
          <w:rFonts w:ascii="仿宋_GB2312" w:hAnsi="楷体" w:eastAsia="仿宋_GB2312" w:cs="仿宋_GB2312"/>
          <w:sz w:val="32"/>
          <w:szCs w:val="32"/>
        </w:rPr>
      </w:pPr>
    </w:p>
    <w:p>
      <w:pPr>
        <w:spacing w:line="594" w:lineRule="exact"/>
        <w:ind w:firstLine="640" w:firstLineChars="200"/>
        <w:rPr>
          <w:rFonts w:ascii="仿宋_GB2312" w:hAnsi="楷体" w:eastAsia="仿宋_GB2312" w:cs="仿宋_GB2312"/>
          <w:sz w:val="32"/>
          <w:szCs w:val="32"/>
        </w:rPr>
      </w:pPr>
    </w:p>
    <w:p>
      <w:pPr>
        <w:spacing w:line="594" w:lineRule="exact"/>
        <w:ind w:firstLine="640" w:firstLineChars="200"/>
        <w:rPr>
          <w:rFonts w:ascii="仿宋_GB2312" w:hAnsi="楷体" w:eastAsia="仿宋_GB2312" w:cs="仿宋_GB2312"/>
          <w:sz w:val="32"/>
          <w:szCs w:val="32"/>
        </w:rPr>
      </w:pPr>
    </w:p>
    <w:p>
      <w:pPr>
        <w:spacing w:line="594" w:lineRule="exact"/>
        <w:ind w:firstLine="640" w:firstLineChars="200"/>
        <w:rPr>
          <w:rFonts w:ascii="仿宋_GB2312" w:hAnsi="楷体" w:eastAsia="仿宋_GB2312" w:cs="仿宋_GB2312"/>
          <w:sz w:val="32"/>
          <w:szCs w:val="32"/>
        </w:rPr>
      </w:pPr>
    </w:p>
    <w:p>
      <w:pPr>
        <w:spacing w:line="594" w:lineRule="exact"/>
        <w:ind w:firstLine="640" w:firstLineChars="200"/>
        <w:rPr>
          <w:rFonts w:ascii="仿宋_GB2312" w:hAnsi="楷体" w:eastAsia="仿宋_GB2312" w:cs="仿宋_GB2312"/>
          <w:sz w:val="32"/>
          <w:szCs w:val="32"/>
        </w:rPr>
      </w:pPr>
    </w:p>
    <w:p>
      <w:pPr>
        <w:spacing w:line="594" w:lineRule="exact"/>
        <w:ind w:firstLine="640" w:firstLineChars="200"/>
        <w:rPr>
          <w:rFonts w:ascii="仿宋_GB2312" w:hAnsi="楷体" w:eastAsia="仿宋_GB2312" w:cs="仿宋_GB2312"/>
          <w:sz w:val="32"/>
          <w:szCs w:val="32"/>
        </w:rPr>
      </w:pPr>
    </w:p>
    <w:p>
      <w:pPr>
        <w:spacing w:line="594" w:lineRule="exact"/>
        <w:ind w:firstLine="640" w:firstLineChars="200"/>
        <w:rPr>
          <w:rFonts w:ascii="仿宋_GB2312" w:hAnsi="楷体"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left"/>
        <w:outlineLvl w:val="0"/>
        <w:rPr>
          <w:rFonts w:ascii="黑体" w:hAnsi="黑体" w:eastAsia="黑体" w:cs="黑体"/>
          <w:sz w:val="32"/>
          <w:szCs w:val="32"/>
        </w:rPr>
      </w:pPr>
      <w:bookmarkStart w:id="351" w:name="_Toc32009"/>
      <w:bookmarkStart w:id="352" w:name="_Toc79163633"/>
      <w:bookmarkStart w:id="353" w:name="_Toc2000"/>
      <w:bookmarkStart w:id="354" w:name="_Toc20293"/>
      <w:r>
        <w:rPr>
          <w:rFonts w:hint="eastAsia" w:ascii="黑体" w:hAnsi="黑体" w:eastAsia="黑体" w:cs="黑体"/>
          <w:sz w:val="32"/>
          <w:szCs w:val="32"/>
        </w:rPr>
        <w:t>附件</w:t>
      </w:r>
      <w:r>
        <w:rPr>
          <w:rFonts w:ascii="黑体" w:hAnsi="黑体" w:eastAsia="黑体" w:cs="黑体"/>
          <w:sz w:val="32"/>
          <w:szCs w:val="32"/>
        </w:rPr>
        <w:t>2</w:t>
      </w:r>
      <w:bookmarkEnd w:id="351"/>
      <w:bookmarkEnd w:id="352"/>
      <w:bookmarkEnd w:id="353"/>
      <w:bookmarkEnd w:id="354"/>
    </w:p>
    <w:p>
      <w:pPr>
        <w:spacing w:line="600" w:lineRule="exact"/>
        <w:jc w:val="center"/>
        <w:outlineLvl w:val="0"/>
        <w:rPr>
          <w:rFonts w:ascii="方正小标宋简体" w:hAnsi="黑体" w:eastAsia="方正小标宋简体" w:cs="黑体"/>
          <w:sz w:val="44"/>
          <w:szCs w:val="44"/>
        </w:rPr>
      </w:pPr>
      <w:bookmarkStart w:id="355" w:name="_Toc14176"/>
      <w:bookmarkStart w:id="356" w:name="_Toc9299"/>
      <w:bookmarkStart w:id="357" w:name="_Toc22870"/>
      <w:bookmarkStart w:id="358" w:name="_Toc79163634"/>
      <w:r>
        <w:rPr>
          <w:rFonts w:hint="eastAsia" w:ascii="方正小标宋简体" w:hAnsi="黑体" w:eastAsia="方正小标宋简体" w:cs="黑体"/>
          <w:sz w:val="44"/>
          <w:szCs w:val="44"/>
        </w:rPr>
        <w:t>中央药品监管补助资金</w:t>
      </w:r>
      <w:bookmarkEnd w:id="355"/>
      <w:bookmarkEnd w:id="356"/>
      <w:bookmarkEnd w:id="357"/>
    </w:p>
    <w:p>
      <w:pPr>
        <w:spacing w:line="600" w:lineRule="exact"/>
        <w:jc w:val="center"/>
        <w:outlineLvl w:val="0"/>
        <w:rPr>
          <w:rFonts w:ascii="方正小标宋简体" w:hAnsi="黑体" w:eastAsia="方正小标宋简体" w:cs="黑体"/>
          <w:sz w:val="44"/>
          <w:szCs w:val="44"/>
        </w:rPr>
      </w:pPr>
      <w:bookmarkStart w:id="359" w:name="_Toc16693"/>
      <w:bookmarkStart w:id="360" w:name="_Toc13922"/>
      <w:bookmarkStart w:id="361" w:name="_Toc1932"/>
      <w:r>
        <w:rPr>
          <w:rFonts w:hint="eastAsia" w:ascii="方正小标宋简体" w:hAnsi="黑体" w:eastAsia="方正小标宋简体" w:cs="黑体"/>
          <w:sz w:val="44"/>
          <w:szCs w:val="44"/>
        </w:rPr>
        <w:t>项目2020年绩效评价报告</w:t>
      </w:r>
      <w:bookmarkEnd w:id="358"/>
      <w:bookmarkEnd w:id="359"/>
      <w:bookmarkEnd w:id="360"/>
      <w:bookmarkEnd w:id="361"/>
    </w:p>
    <w:p>
      <w:pPr>
        <w:spacing w:line="600" w:lineRule="exact"/>
        <w:rPr>
          <w:rFonts w:asci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1．根据“三定”方案，我局工作职能为强化药品、化妆品、医疗器械等日常监管，做好药品不良反应及药品抽检工作。</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 阿坝州财政局、阿坝州市场监督管理局关于下达2020年中央药品监管补助资金的通知》（阿州财行〔2020〕27号）。</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3．严格按照中央、省专项资金项目管理办法实施各专项资金。</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4．2020年安排资金12.4万元。</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项目主要内容</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不断强化我县药品（含医疗器械、化妆品）安全监管工作，不断提升药品安全监管水平，强化日常监管和专项整治执法力度，加大对制售假冒伪劣药品违法犯罪活动的打击力度。</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项目分别从项目完成指标、效益指标、满意度指标方面进行了分解。</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3．项目资金申报内容与具体实施内容相符、申报目标合理可行。</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对照绩效考评表内容逐项进行检查。</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我局申请12.4万元，批复12.4万元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 xml:space="preserve">（二）资金计划、到位及使用情况 </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1．资金计划。申请12.4万元。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仿宋_GB2312" w:hAnsi="宋体" w:eastAsia="仿宋_GB2312"/>
          <w:sz w:val="32"/>
          <w:szCs w:val="32"/>
          <w:lang w:val="zh-CN"/>
        </w:rPr>
        <w:t>2020年10月收到12.4万元。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仿宋_GB2312" w:hAnsi="宋体" w:eastAsia="仿宋_GB2312"/>
          <w:sz w:val="32"/>
          <w:szCs w:val="32"/>
          <w:lang w:val="zh-CN"/>
        </w:rPr>
        <w:t>到2020年12月31日支出12.31万元。</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经费制度正在不断健全，并能严格执行；项目的实际支出符合财经法规和财务管理制度，资金使用合理；各种账务处理及时准确，会计核算较为规范。做到了专款专用，支付范围、标准、进度、依据符合规定，开支合理合法，无虚列套取，无截留、挤占、挪用资金情况发生。</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594" w:lineRule="exact"/>
        <w:ind w:firstLine="720"/>
        <w:rPr>
          <w:rFonts w:ascii="楷体_GB2312" w:hAnsi="宋体" w:eastAsia="楷体_GB2312"/>
          <w:b/>
          <w:color w:val="FF0000"/>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1.项目组织架构</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组 长：杨国乾</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副组长：张发艳、晏明耀、苟琪</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成 员：王维莲、邬昌菊、张林凤、卞文华、赵国栋、卢军、胡玲丽</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办公室设在财务室。</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2．实施流程</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（1）组长职责：审批绩效自评方案，监督、检查、核实绩效自评结果；</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（2）副组长职责：审核修改拟定的绩效自评方案，并提交考评工作组会议讨论通过；监督、部署、确认绩效自评过程及反馈意见的处理。</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小组成员职责：起草和修改绩效考评方案报自评领导工作组会议讨论通过，实施执行绩效自评方案；牵头组织并实施年度绩效自评，根据组长、副组长指示，对考评结果进行复核，完成绩效自核工作组安排的其他工作。</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我局每年会定期或不定期召开专题研究预算资金使用工作会议，明确各自的职责与分工，并将其作为部门日常性重要工作来抓。</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根据财政局预算资金绩效评价管理办法和一系列文件精神，做好事前预算、事中控制、事后总结。在项目实施过程中结合我局实际，明确项目支付范围支付进度，切实将项目资金支付与单位实际工作情况相结合。做到资金使用合法合规。</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ind w:firstLine="752" w:firstLineChars="235"/>
        <w:rPr>
          <w:rFonts w:eastAsia="仿宋_GB2312"/>
          <w:sz w:val="32"/>
          <w:szCs w:val="32"/>
        </w:rPr>
      </w:pPr>
      <w:r>
        <w:rPr>
          <w:rFonts w:hint="eastAsia" w:eastAsia="仿宋_GB2312"/>
          <w:sz w:val="32"/>
          <w:szCs w:val="32"/>
        </w:rPr>
        <w:t>1.</w:t>
      </w:r>
      <w:r>
        <w:rPr>
          <w:rFonts w:eastAsia="仿宋_GB2312"/>
          <w:sz w:val="32"/>
          <w:szCs w:val="32"/>
        </w:rPr>
        <w:t>数量指标:办结网上受理变更换证24家（其中变更7家、换证17家）；按照州局要求及新冠疫情，开展5次流通领域专项整治，共检查药店320家次，医疗机构82家次；清理不合格化妆品51批次假冒化妆品，3批次检出禁用物质化妆品，40批次不合格化妆品，31批次不合格化妆品和停止销售44批次假冒化妆品；评价不良反应事件药品</w:t>
      </w:r>
      <w:r>
        <w:rPr>
          <w:rFonts w:hint="eastAsia" w:eastAsia="仿宋_GB2312"/>
          <w:sz w:val="32"/>
          <w:szCs w:val="32"/>
        </w:rPr>
        <w:t>37</w:t>
      </w:r>
      <w:r>
        <w:rPr>
          <w:rFonts w:eastAsia="仿宋_GB2312"/>
          <w:sz w:val="32"/>
          <w:szCs w:val="32"/>
        </w:rPr>
        <w:t>例、医疗器械</w:t>
      </w:r>
      <w:r>
        <w:rPr>
          <w:rFonts w:hint="eastAsia" w:eastAsia="仿宋_GB2312"/>
          <w:sz w:val="32"/>
          <w:szCs w:val="32"/>
        </w:rPr>
        <w:t>7</w:t>
      </w:r>
      <w:r>
        <w:rPr>
          <w:rFonts w:eastAsia="仿宋_GB2312"/>
          <w:sz w:val="32"/>
          <w:szCs w:val="32"/>
        </w:rPr>
        <w:t>例、化妆品</w:t>
      </w:r>
      <w:r>
        <w:rPr>
          <w:rFonts w:hint="eastAsia" w:eastAsia="仿宋_GB2312"/>
          <w:sz w:val="32"/>
          <w:szCs w:val="32"/>
        </w:rPr>
        <w:t>7</w:t>
      </w:r>
      <w:r>
        <w:rPr>
          <w:rFonts w:eastAsia="仿宋_GB2312"/>
          <w:sz w:val="32"/>
          <w:szCs w:val="32"/>
        </w:rPr>
        <w:t>例。</w:t>
      </w:r>
    </w:p>
    <w:p>
      <w:pPr>
        <w:ind w:firstLine="752" w:firstLineChars="235"/>
        <w:rPr>
          <w:rFonts w:eastAsia="仿宋_GB2312"/>
          <w:sz w:val="32"/>
          <w:szCs w:val="32"/>
        </w:rPr>
      </w:pPr>
      <w:r>
        <w:rPr>
          <w:rFonts w:hint="eastAsia" w:eastAsia="仿宋_GB2312"/>
          <w:sz w:val="32"/>
          <w:szCs w:val="32"/>
        </w:rPr>
        <w:t>2.</w:t>
      </w:r>
      <w:r>
        <w:rPr>
          <w:rFonts w:eastAsia="仿宋_GB2312"/>
          <w:sz w:val="32"/>
          <w:szCs w:val="32"/>
        </w:rPr>
        <w:t>质量指标：开展中药饮片、网销药品、含麻黄碱药品、第二类精神药品经营使用环节、无菌类医疗器械、植入性医疗器械等专项行动；风险信息分健全、药品不良反应报告完成、完成药品医疗器械及化妆品抽检工作、完成案件查处。</w:t>
      </w:r>
    </w:p>
    <w:p>
      <w:pPr>
        <w:ind w:firstLine="752" w:firstLineChars="235"/>
        <w:rPr>
          <w:rFonts w:eastAsia="仿宋_GB2312"/>
          <w:sz w:val="32"/>
          <w:szCs w:val="32"/>
        </w:rPr>
      </w:pPr>
      <w:r>
        <w:rPr>
          <w:rFonts w:hint="eastAsia" w:eastAsia="仿宋_GB2312"/>
          <w:sz w:val="32"/>
          <w:szCs w:val="32"/>
        </w:rPr>
        <w:t>3.</w:t>
      </w:r>
      <w:r>
        <w:rPr>
          <w:rFonts w:eastAsia="仿宋_GB2312"/>
          <w:sz w:val="32"/>
          <w:szCs w:val="32"/>
        </w:rPr>
        <w:t>时效指标:2020年12月底前完成。</w:t>
      </w:r>
    </w:p>
    <w:p>
      <w:pPr>
        <w:ind w:firstLine="752" w:firstLineChars="235"/>
        <w:rPr>
          <w:rFonts w:eastAsia="仿宋_GB2312"/>
          <w:sz w:val="32"/>
          <w:szCs w:val="32"/>
        </w:rPr>
      </w:pPr>
      <w:r>
        <w:rPr>
          <w:rFonts w:hint="eastAsia" w:eastAsia="仿宋_GB2312"/>
          <w:sz w:val="32"/>
          <w:szCs w:val="32"/>
        </w:rPr>
        <w:t>4.</w:t>
      </w:r>
      <w:r>
        <w:rPr>
          <w:rFonts w:eastAsia="仿宋_GB2312"/>
          <w:sz w:val="32"/>
          <w:szCs w:val="32"/>
        </w:rPr>
        <w:t xml:space="preserve">成本指标: 执法监管成本≤100元/人.天； </w:t>
      </w:r>
    </w:p>
    <w:p>
      <w:pPr>
        <w:ind w:firstLine="754" w:firstLineChars="235"/>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促进市场健康有序发展，提高了药品企业的社会责任感，提高了经营户的质量管理水平，促进经营户的发展，更好的保证了药品安全，提高了全民健康水平，同时营造了公平竞争的市场环境。</w:t>
      </w:r>
      <w:r>
        <w:rPr>
          <w:rFonts w:ascii="仿宋_GB2312" w:hAnsi="宋体" w:eastAsia="仿宋_GB2312"/>
          <w:sz w:val="32"/>
          <w:szCs w:val="32"/>
          <w:lang w:val="zh-CN"/>
        </w:rPr>
        <w:t xml:space="preserve"> </w:t>
      </w:r>
    </w:p>
    <w:p>
      <w:pPr>
        <w:ind w:firstLine="752" w:firstLineChars="235"/>
        <w:rPr>
          <w:rFonts w:eastAsia="仿宋_GB2312"/>
          <w:sz w:val="32"/>
          <w:szCs w:val="32"/>
        </w:rPr>
      </w:pPr>
      <w:r>
        <w:rPr>
          <w:rFonts w:hint="eastAsia" w:eastAsia="仿宋_GB2312"/>
          <w:sz w:val="32"/>
          <w:szCs w:val="32"/>
        </w:rPr>
        <w:t>1.</w:t>
      </w:r>
      <w:r>
        <w:rPr>
          <w:rFonts w:eastAsia="仿宋_GB2312"/>
          <w:sz w:val="32"/>
          <w:szCs w:val="32"/>
        </w:rPr>
        <w:t>经济效益: 促进市场健康有序发展。</w:t>
      </w:r>
    </w:p>
    <w:p>
      <w:pPr>
        <w:ind w:firstLine="752" w:firstLineChars="235"/>
        <w:rPr>
          <w:rFonts w:eastAsia="仿宋_GB2312"/>
          <w:sz w:val="32"/>
          <w:szCs w:val="32"/>
        </w:rPr>
      </w:pPr>
      <w:r>
        <w:rPr>
          <w:rFonts w:hint="eastAsia" w:eastAsia="仿宋_GB2312"/>
          <w:sz w:val="32"/>
          <w:szCs w:val="32"/>
        </w:rPr>
        <w:t>2.</w:t>
      </w:r>
      <w:r>
        <w:rPr>
          <w:rFonts w:eastAsia="仿宋_GB2312"/>
          <w:sz w:val="32"/>
          <w:szCs w:val="32"/>
        </w:rPr>
        <w:t>社会效益：提高了药品企业的社会责任感，提高了经营户的质量管理水平，促进经营户的发展，更好的保证了药品安全，提高了全民健康水平，同时营造了公平</w:t>
      </w:r>
      <w:r>
        <w:rPr>
          <w:rFonts w:hint="eastAsia" w:eastAsia="仿宋_GB2312"/>
          <w:sz w:val="32"/>
          <w:szCs w:val="32"/>
          <w:lang w:eastAsia="zh-CN"/>
        </w:rPr>
        <w:t>竞争</w:t>
      </w:r>
      <w:r>
        <w:rPr>
          <w:rFonts w:eastAsia="仿宋_GB2312"/>
          <w:sz w:val="32"/>
          <w:szCs w:val="32"/>
        </w:rPr>
        <w:t xml:space="preserve">的市场环境。 </w:t>
      </w:r>
    </w:p>
    <w:p>
      <w:pPr>
        <w:ind w:firstLine="752" w:firstLineChars="235"/>
        <w:rPr>
          <w:rFonts w:eastAsia="仿宋_GB2312"/>
          <w:sz w:val="32"/>
          <w:szCs w:val="32"/>
        </w:rPr>
      </w:pPr>
      <w:r>
        <w:rPr>
          <w:rFonts w:hint="eastAsia" w:eastAsia="仿宋_GB2312"/>
          <w:sz w:val="32"/>
          <w:szCs w:val="32"/>
        </w:rPr>
        <w:t>3.持</w:t>
      </w:r>
      <w:r>
        <w:rPr>
          <w:rFonts w:eastAsia="仿宋_GB2312"/>
          <w:sz w:val="32"/>
          <w:szCs w:val="32"/>
        </w:rPr>
        <w:t>续影响：通过项目的实施，促进了药品、化妆品、保健品等的可持续发展。</w:t>
      </w:r>
    </w:p>
    <w:p>
      <w:pPr>
        <w:ind w:firstLine="752" w:firstLineChars="235"/>
        <w:rPr>
          <w:rFonts w:eastAsia="仿宋_GB2312"/>
          <w:sz w:val="32"/>
          <w:szCs w:val="32"/>
        </w:rPr>
      </w:pPr>
      <w:r>
        <w:rPr>
          <w:rFonts w:hint="eastAsia" w:eastAsia="仿宋_GB2312"/>
          <w:sz w:val="32"/>
          <w:szCs w:val="32"/>
        </w:rPr>
        <w:t>4.满意度指标：公众对药品监管满意度达70%以上。</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94" w:lineRule="exact"/>
        <w:ind w:firstLine="640" w:firstLineChars="200"/>
        <w:rPr>
          <w:rFonts w:ascii="仿宋_GB2312" w:hAnsi="楷体" w:eastAsia="仿宋_GB2312" w:cs="仿宋_GB2312"/>
          <w:sz w:val="32"/>
          <w:szCs w:val="32"/>
        </w:rPr>
      </w:pPr>
      <w:r>
        <w:rPr>
          <w:rFonts w:ascii="仿宋_GB2312" w:hAnsi="楷体" w:eastAsia="仿宋_GB2312" w:cs="仿宋_GB2312"/>
          <w:sz w:val="32"/>
          <w:szCs w:val="32"/>
        </w:rPr>
        <w:t>20</w:t>
      </w:r>
      <w:r>
        <w:rPr>
          <w:rFonts w:hint="eastAsia" w:ascii="仿宋_GB2312" w:hAnsi="楷体" w:eastAsia="仿宋_GB2312" w:cs="仿宋_GB2312"/>
          <w:sz w:val="32"/>
          <w:szCs w:val="32"/>
        </w:rPr>
        <w:t xml:space="preserve">20年我局部门项目支出绩效评价自查自评结果良好，全年项目支出保证了药品监管工作需要，项目支出保障了重点工作的开展，达到预期绩效目标。  </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（二）存在问题　</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部门预算与实际工作稍有偏差。</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（三）改进建议　</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一是进一步加大宣传力度，树立绩效管理理念。</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二是进一步优化工作流程，推进预算绩效全程管理。</w:t>
      </w:r>
    </w:p>
    <w:p>
      <w:pPr>
        <w:spacing w:line="594" w:lineRule="exact"/>
        <w:ind w:firstLine="640" w:firstLineChars="200"/>
        <w:rPr>
          <w:rFonts w:ascii="仿宋_GB2312" w:hAnsi="楷体" w:eastAsia="仿宋_GB2312" w:cs="仿宋_GB2312"/>
          <w:sz w:val="32"/>
          <w:szCs w:val="32"/>
        </w:rPr>
      </w:pPr>
    </w:p>
    <w:p>
      <w:pPr>
        <w:widowControl/>
        <w:jc w:val="left"/>
        <w:rPr>
          <w:rStyle w:val="23"/>
          <w:rFonts w:ascii="黑体" w:hAnsi="黑体" w:eastAsia="黑体"/>
          <w:b w:val="0"/>
        </w:rPr>
      </w:pPr>
      <w:r>
        <w:rPr>
          <w:rStyle w:val="23"/>
          <w:rFonts w:ascii="黑体" w:hAnsi="黑体" w:eastAsia="黑体"/>
          <w:b w:val="0"/>
        </w:rPr>
        <w:br w:type="page"/>
      </w:r>
    </w:p>
    <w:p>
      <w:pPr>
        <w:spacing w:line="600" w:lineRule="exact"/>
        <w:jc w:val="left"/>
        <w:outlineLvl w:val="0"/>
        <w:rPr>
          <w:rFonts w:ascii="黑体" w:hAnsi="黑体" w:eastAsia="黑体" w:cs="黑体"/>
          <w:sz w:val="32"/>
          <w:szCs w:val="32"/>
        </w:rPr>
      </w:pPr>
      <w:bookmarkStart w:id="362" w:name="茂县市场监督管理局2020年部门整体支出绩效报告"/>
      <w:bookmarkEnd w:id="362"/>
      <w:bookmarkStart w:id="363" w:name="_Toc22212"/>
      <w:bookmarkStart w:id="364" w:name="_Toc32213"/>
      <w:bookmarkStart w:id="365" w:name="_Toc12033"/>
      <w:bookmarkStart w:id="366" w:name="_Toc79163635"/>
      <w:bookmarkStart w:id="367" w:name="_Toc15396618"/>
      <w:r>
        <w:rPr>
          <w:rFonts w:hint="eastAsia" w:ascii="黑体" w:hAnsi="黑体" w:eastAsia="黑体" w:cs="黑体"/>
          <w:sz w:val="32"/>
          <w:szCs w:val="32"/>
        </w:rPr>
        <w:t>附件3</w:t>
      </w:r>
      <w:bookmarkEnd w:id="363"/>
      <w:bookmarkEnd w:id="364"/>
      <w:bookmarkEnd w:id="365"/>
    </w:p>
    <w:p>
      <w:pPr>
        <w:spacing w:line="600" w:lineRule="exact"/>
        <w:ind w:firstLine="1980" w:firstLineChars="450"/>
        <w:outlineLvl w:val="0"/>
        <w:rPr>
          <w:rFonts w:ascii="方正小标宋简体" w:hAnsi="黑体" w:eastAsia="方正小标宋简体" w:cs="黑体"/>
          <w:sz w:val="44"/>
          <w:szCs w:val="44"/>
        </w:rPr>
      </w:pPr>
      <w:bookmarkStart w:id="368" w:name="_Toc7276"/>
      <w:bookmarkStart w:id="369" w:name="_Toc9255"/>
      <w:bookmarkStart w:id="370" w:name="_Toc20842"/>
      <w:r>
        <w:rPr>
          <w:rFonts w:hint="eastAsia" w:ascii="方正小标宋简体" w:hAnsi="黑体" w:eastAsia="方正小标宋简体" w:cs="黑体"/>
          <w:sz w:val="44"/>
          <w:szCs w:val="44"/>
        </w:rPr>
        <w:t>中央食品监管补助资金</w:t>
      </w:r>
      <w:bookmarkEnd w:id="368"/>
      <w:bookmarkEnd w:id="369"/>
      <w:bookmarkEnd w:id="370"/>
    </w:p>
    <w:p>
      <w:pPr>
        <w:spacing w:line="600" w:lineRule="exact"/>
        <w:jc w:val="center"/>
        <w:outlineLvl w:val="0"/>
        <w:rPr>
          <w:rFonts w:ascii="方正小标宋简体" w:hAnsi="黑体" w:eastAsia="方正小标宋简体" w:cs="黑体"/>
          <w:sz w:val="44"/>
          <w:szCs w:val="44"/>
        </w:rPr>
      </w:pPr>
      <w:bookmarkStart w:id="371" w:name="_Toc26043"/>
      <w:bookmarkStart w:id="372" w:name="_Toc18382"/>
      <w:bookmarkStart w:id="373" w:name="_Toc22971"/>
      <w:r>
        <w:rPr>
          <w:rFonts w:hint="eastAsia" w:ascii="方正小标宋简体" w:hAnsi="黑体" w:eastAsia="方正小标宋简体" w:cs="黑体"/>
          <w:sz w:val="44"/>
          <w:szCs w:val="44"/>
        </w:rPr>
        <w:t>项目2020年绩效评价报告</w:t>
      </w:r>
      <w:bookmarkEnd w:id="371"/>
      <w:bookmarkEnd w:id="372"/>
      <w:bookmarkEnd w:id="373"/>
    </w:p>
    <w:p>
      <w:pPr>
        <w:spacing w:line="600" w:lineRule="exact"/>
        <w:rPr>
          <w:rFonts w:asci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spacing w:line="594" w:lineRule="exact"/>
        <w:ind w:firstLine="640" w:firstLineChars="200"/>
        <w:rPr>
          <w:rFonts w:ascii="仿宋_GB2312" w:eastAsia="仿宋_GB2312"/>
          <w:sz w:val="32"/>
          <w:szCs w:val="32"/>
        </w:rPr>
      </w:pPr>
      <w:r>
        <w:rPr>
          <w:rFonts w:hint="eastAsia" w:ascii="仿宋_GB2312" w:hAnsi="宋体" w:eastAsia="仿宋_GB2312"/>
          <w:sz w:val="32"/>
          <w:szCs w:val="32"/>
          <w:lang w:val="zh-CN"/>
        </w:rPr>
        <w:t>1．根据“三定”方案，</w:t>
      </w:r>
      <w:r>
        <w:rPr>
          <w:rFonts w:hint="eastAsia" w:ascii="仿宋_GB2312" w:eastAsia="仿宋_GB2312"/>
          <w:sz w:val="32"/>
          <w:szCs w:val="32"/>
        </w:rPr>
        <w:t>结合项目内容，职能主要为负责全县食品安全监督管理综合协调、全县食品安全监督管理。</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 阿坝州财政局、阿坝州市场监督管理局关于下达2020年中央食品监管补助资金的通知》（阿州财行〔2020〕39号）。</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3．严格按照中央、省专项资金项目管理办法实施各专项资金。</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4．2020年安排资金6万元。</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1．项目主要内容。不断提高食品风险隐患排查力度；强化食品抽查监督工作力度；加强大案要案的查办力度；提高培训对象对培训工作满意度。</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2．项目分别从项目完成指标、效益指标、满意度指标方面进行了分解。</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3．项目资金申报内容与具体实施内容相符、申报目标合理可行。</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对照绩效考评表内容逐项进行检查。</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我局申请6万元，批复6万元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 xml:space="preserve">（二）资金计划、到位及使用情况 </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1．资金计划。申请6万元。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仿宋_GB2312" w:hAnsi="宋体" w:eastAsia="仿宋_GB2312"/>
          <w:sz w:val="32"/>
          <w:szCs w:val="32"/>
          <w:lang w:val="zh-CN"/>
        </w:rPr>
        <w:t>2020年10月收到6万元。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仿宋_GB2312" w:hAnsi="宋体" w:eastAsia="仿宋_GB2312"/>
          <w:sz w:val="32"/>
          <w:szCs w:val="32"/>
          <w:lang w:val="zh-CN"/>
        </w:rPr>
        <w:t>到2020年12月31日支出3.34万元。</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经费制度正在不断健全，并能严格执行；项目的实际支出符合财经法规和财务管理制度，资金使用合理；各种账务处理及时准确，会计核算较为规范。做到了专款专用，支付范围、标准、进度、依据符合规定，开支合理合法，无虚列套取，无截留、挤占、挪用资金情况发生。</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594" w:lineRule="exact"/>
        <w:ind w:firstLine="720"/>
        <w:rPr>
          <w:rFonts w:ascii="楷体_GB2312" w:hAnsi="宋体" w:eastAsia="楷体_GB2312"/>
          <w:b/>
          <w:color w:val="FF0000"/>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1.项目组织架构</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组 长：杨国乾</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副组长：张发艳、晏明耀、苟琪</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成 员：王维莲、邬昌菊、张林凤、卞文华、赵国栋、卢军、胡玲丽</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办公室设在财务室。</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2．实施流程</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（1）组长职责：审批绩效自评方案，监督、检查、核实绩效自评结果；</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（2）副组长职责：审核修改拟定的绩效自评方案，并提交考评工作组会议讨论通过；监督、部署、确认绩效自评过程及反馈意见的处理。</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小组成员职责：起草和修改绩效考评方案报自评领导工作组会议讨论通过，实施执行绩效自评方案；牵头组织并实施年度绩效自评，根据组长、副组长指示，对考评结果进行复核，完成绩效自核工作组安排的其他工作。</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我局每年会定期或不定期召开专题研究预算资金使用工作会议，明确各自的职责与分工，并将其作为部门日常性重要工作来抓。</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根据财政局预算资金绩效评价管理办法和一系列文件精神，做好事前预算、事中控制、事后总结。在项目实施过程中结合我局实际，明确项目支付范围支付进度，切实将项目资金支付与单位实际工作情况相结合。做到资金使用合法合规。</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1.数量指标：</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（1）食品生产和流通监管: 一新办食品经营许可175户，变更26户，注销26户，共计924户。二认真落实农村家宴和食品摊贩登记监管工作，发放《四川省食品摊贩登记卡》500份。三下发《茂县食品安全委员会办公室关于进一步加强新冠疫情期间食品安全工作的通知》等10余份食品安全工作相关文件。四积极开展各类专项整治。开展了散装肉专项整治工作、校园及周边食品安全、非洲猪瘟等专项行动，累计出动执法人员60人次，报送专项行动简报5期。五强化生产企业监管工作。我县共有获证生产企业10家，其中肉制品生产企业2家、桶装水生产企业2家、酒类生产企业3家、土特产加工生产企业2家、粮油生产加工企业1家。继续完善食品生产企业档案，进一步加强对食品生产加工企业监管，对获证企业开展日常监督检查10余次，对1家申请食品生产企业进行多次现场指导，完成资料审核。组织食品生产企业复工复产培训1期，全县生产企业负责人和食品安全管理人员参训。六建立婴幼儿配方乳粉经营单位档案，开展不合格特殊食品排查工作，共排查20余家特殊食品经营单位，切实维护好特殊食品安全意识环境。七是完成申办食品经营许可证现场核查工作。全县共50余家流通领域经营户申办食品经营许可证，及时完成现场指导、核查。八完成小作坊初步调查。我县小作坊共有68余户建档。九积极开展食品风险评价工作。按照省州局要求完成全县食品经营户的75％。</w:t>
      </w:r>
      <w:r>
        <w:rPr>
          <w:rFonts w:hint="eastAsia" w:ascii="仿宋_GB2312" w:hAnsi="宋体" w:eastAsia="仿宋_GB2312"/>
          <w:sz w:val="32"/>
          <w:szCs w:val="32"/>
          <w:lang w:val="zh-CN"/>
        </w:rPr>
        <w:br w:type="textWrapping"/>
      </w:r>
      <w:r>
        <w:rPr>
          <w:rFonts w:hint="eastAsia" w:ascii="仿宋_GB2312" w:hAnsi="宋体" w:eastAsia="仿宋_GB2312"/>
          <w:sz w:val="32"/>
          <w:szCs w:val="32"/>
          <w:lang w:val="zh-CN"/>
        </w:rPr>
        <w:t xml:space="preserve">    （2）餐饮服务监管：</w:t>
      </w:r>
      <w:r>
        <w:rPr>
          <w:rFonts w:ascii="仿宋_GB2312" w:hAnsi="宋体" w:eastAsia="仿宋_GB2312"/>
          <w:sz w:val="32"/>
          <w:szCs w:val="32"/>
          <w:lang w:val="zh-CN"/>
        </w:rPr>
        <w:t>一是完成餐饮类食品经营许可证现场核查156户。二是认真做好“两会”等各类重大活动餐饮食品安全保障监管工作，努力实现“零事故、零投诉”,共完成重大活动食品安全保障共17次。</w:t>
      </w:r>
      <w:r>
        <w:rPr>
          <w:rFonts w:hint="eastAsia" w:ascii="仿宋_GB2312" w:hAnsi="宋体" w:eastAsia="仿宋_GB2312"/>
          <w:sz w:val="32"/>
          <w:szCs w:val="32"/>
          <w:lang w:val="zh-CN"/>
        </w:rPr>
        <w:t>三</w:t>
      </w:r>
      <w:r>
        <w:rPr>
          <w:rFonts w:ascii="仿宋_GB2312" w:hAnsi="宋体" w:eastAsia="仿宋_GB2312"/>
          <w:sz w:val="32"/>
          <w:szCs w:val="32"/>
          <w:lang w:val="zh-CN"/>
        </w:rPr>
        <w:t>是开展学校食堂食品安全专项检查</w:t>
      </w:r>
      <w:r>
        <w:rPr>
          <w:rFonts w:hint="eastAsia" w:ascii="仿宋_GB2312" w:hAnsi="宋体" w:eastAsia="仿宋_GB2312"/>
          <w:sz w:val="32"/>
          <w:szCs w:val="32"/>
          <w:lang w:val="zh-CN"/>
        </w:rPr>
        <w:t>，</w:t>
      </w:r>
      <w:r>
        <w:rPr>
          <w:rFonts w:ascii="仿宋_GB2312" w:hAnsi="宋体" w:eastAsia="仿宋_GB2312"/>
          <w:sz w:val="32"/>
          <w:szCs w:val="32"/>
          <w:lang w:val="zh-CN"/>
        </w:rPr>
        <w:t>共检查了学校（含托幼机构）90家次，检查校园周边餐饮单位65家次，对存在一般问题的15家学校，现场要求学校进行了整改，对存在较大安全隐患的3家学校食品安全相关负责人进行了行政约谈，对1家托幼机构进行了立案查处。</w:t>
      </w:r>
      <w:r>
        <w:rPr>
          <w:rFonts w:hint="eastAsia" w:ascii="仿宋_GB2312" w:hAnsi="宋体" w:eastAsia="仿宋_GB2312"/>
          <w:sz w:val="32"/>
          <w:szCs w:val="32"/>
          <w:lang w:val="zh-CN"/>
        </w:rPr>
        <w:t>四</w:t>
      </w:r>
      <w:r>
        <w:rPr>
          <w:rFonts w:ascii="仿宋_GB2312" w:hAnsi="宋体" w:eastAsia="仿宋_GB2312"/>
          <w:sz w:val="32"/>
          <w:szCs w:val="32"/>
          <w:lang w:val="zh-CN"/>
        </w:rPr>
        <w:t>是加强重点时段、重点区域、重点对象监管。重点以“元旦”“春节”“五一”、“国庆”等节假日为契机，有效规范餐饮服务食品加工经营行为，对全县餐饮服务单位按经营类型和规模大小分类，逐户开展监督检查，同时对县城内承接大型宴席的20余家酒店、农家乐开展专项检查。</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抽检工作：2020年全面抽检376批次。其中，食品安全自主抽检80个批次，食用农产品220批次；抽检药品29批次、医疗器械抽检5批次。流通领域商品抽检42个批次，积极配合上级部门和第三方完成国抽、省抽、州抽。并在“中国茂县”网站公示抽检结果。</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（4）宣传工作: 一结合法制宣传日、“3·15”、食品安全周、消费者权益保护日、质量月、“5.20”计量日、“6.9认证认可日”、化妆品“爱肤日”等宣传活动，销毁过期、假冒伪劣商品4余吨，结合疫情发放《疫情期间从事餐饮经营指南》、《机关食堂开办者落实食品安全的通知》、《疫情防控期间从事餐饮经营指南》等宣传资料1000余份。二是通过上门指导、现场咨询、食品安全app学习、食品安全知识培训等方式，加大食品生产经营管理人员和从业人员宣传教育力度，进一步增强食品生产经营者的守法经营意识。全年共开展了培训10场次，受训人员达到600余人，组织宣传活动12余次，发放宣传资料8500余份，</w:t>
      </w:r>
      <w:r>
        <w:rPr>
          <w:rFonts w:ascii="仿宋_GB2312" w:hAnsi="宋体" w:eastAsia="仿宋_GB2312"/>
          <w:sz w:val="32"/>
          <w:szCs w:val="32"/>
          <w:lang w:val="zh-CN"/>
        </w:rPr>
        <w:t>现场接受</w:t>
      </w:r>
      <w:r>
        <w:rPr>
          <w:rFonts w:hint="eastAsia" w:ascii="仿宋_GB2312" w:hAnsi="宋体" w:eastAsia="仿宋_GB2312"/>
          <w:sz w:val="32"/>
          <w:szCs w:val="32"/>
          <w:lang w:val="zh-CN"/>
        </w:rPr>
        <w:t>群众咨询500余人次。</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2.质量指标：做好新办及食品经营许可证换证工作、签订食品安全责任书、开展学校食堂及节假日专项检查、开展至少1次宣传活动、完成省州下达抽检查任务及自行抽检工作。</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w:t>
      </w:r>
      <w:r>
        <w:rPr>
          <w:rFonts w:ascii="仿宋_GB2312" w:hAnsi="宋体" w:eastAsia="仿宋_GB2312"/>
          <w:sz w:val="32"/>
          <w:szCs w:val="32"/>
          <w:lang w:val="zh-CN"/>
        </w:rPr>
        <w:t>时效指标</w:t>
      </w:r>
      <w:r>
        <w:rPr>
          <w:rFonts w:hint="eastAsia" w:ascii="仿宋_GB2312" w:hAnsi="宋体" w:eastAsia="仿宋_GB2312"/>
          <w:sz w:val="32"/>
          <w:szCs w:val="32"/>
          <w:lang w:val="zh-CN"/>
        </w:rPr>
        <w:t>:2020年12月底前完成。</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w:t>
      </w:r>
      <w:r>
        <w:rPr>
          <w:rFonts w:ascii="仿宋_GB2312" w:hAnsi="宋体" w:eastAsia="仿宋_GB2312"/>
          <w:sz w:val="32"/>
          <w:szCs w:val="32"/>
          <w:lang w:val="zh-CN"/>
        </w:rPr>
        <w:t>成本指标</w:t>
      </w:r>
      <w:r>
        <w:rPr>
          <w:rFonts w:hint="eastAsia" w:ascii="仿宋_GB2312" w:hAnsi="宋体" w:eastAsia="仿宋_GB2312"/>
          <w:sz w:val="32"/>
          <w:szCs w:val="32"/>
          <w:lang w:val="zh-CN"/>
        </w:rPr>
        <w:t>: 执法监管成本</w:t>
      </w:r>
      <w:r>
        <w:rPr>
          <w:rFonts w:ascii="仿宋_GB2312" w:hAnsi="宋体" w:eastAsia="仿宋_GB2312"/>
          <w:sz w:val="32"/>
          <w:szCs w:val="32"/>
          <w:lang w:val="zh-CN"/>
        </w:rPr>
        <w:t>≤</w:t>
      </w:r>
      <w:r>
        <w:rPr>
          <w:rFonts w:hint="eastAsia" w:ascii="仿宋_GB2312" w:hAnsi="宋体" w:eastAsia="仿宋_GB2312"/>
          <w:sz w:val="32"/>
          <w:szCs w:val="32"/>
          <w:lang w:val="zh-CN"/>
        </w:rPr>
        <w:t>100元/人.天；食品抽检成本</w:t>
      </w:r>
      <w:r>
        <w:rPr>
          <w:rFonts w:ascii="仿宋_GB2312" w:hAnsi="宋体" w:eastAsia="仿宋_GB2312"/>
          <w:sz w:val="32"/>
          <w:szCs w:val="32"/>
          <w:lang w:val="zh-CN"/>
        </w:rPr>
        <w:t>≤</w:t>
      </w:r>
      <w:r>
        <w:rPr>
          <w:rFonts w:hint="eastAsia" w:ascii="仿宋_GB2312" w:hAnsi="宋体" w:eastAsia="仿宋_GB2312"/>
          <w:sz w:val="32"/>
          <w:szCs w:val="32"/>
          <w:lang w:val="zh-CN"/>
        </w:rPr>
        <w:t>1500元/样；宣传成本</w:t>
      </w:r>
      <w:r>
        <w:rPr>
          <w:rFonts w:ascii="仿宋_GB2312" w:hAnsi="宋体" w:eastAsia="仿宋_GB2312"/>
          <w:sz w:val="32"/>
          <w:szCs w:val="32"/>
          <w:lang w:val="zh-CN"/>
        </w:rPr>
        <w:t>≤</w:t>
      </w:r>
      <w:r>
        <w:rPr>
          <w:rFonts w:hint="eastAsia" w:ascii="仿宋_GB2312" w:hAnsi="宋体" w:eastAsia="仿宋_GB2312"/>
          <w:sz w:val="32"/>
          <w:szCs w:val="32"/>
          <w:lang w:val="zh-CN"/>
        </w:rPr>
        <w:t>10万元/年。</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w:t>
      </w:r>
      <w:r>
        <w:rPr>
          <w:rFonts w:ascii="仿宋_GB2312" w:hAnsi="宋体" w:eastAsia="仿宋_GB2312"/>
          <w:sz w:val="32"/>
          <w:szCs w:val="32"/>
          <w:lang w:val="zh-CN"/>
        </w:rPr>
        <w:t>经济效益</w:t>
      </w:r>
      <w:r>
        <w:rPr>
          <w:rFonts w:hint="eastAsia" w:ascii="仿宋_GB2312" w:hAnsi="宋体" w:eastAsia="仿宋_GB2312"/>
          <w:sz w:val="32"/>
          <w:szCs w:val="32"/>
          <w:lang w:val="zh-CN"/>
        </w:rPr>
        <w:t>: 促进市场健康有序发展。</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w:t>
      </w:r>
      <w:r>
        <w:rPr>
          <w:rFonts w:ascii="仿宋_GB2312" w:hAnsi="宋体" w:eastAsia="仿宋_GB2312"/>
          <w:sz w:val="32"/>
          <w:szCs w:val="32"/>
          <w:lang w:val="zh-CN"/>
        </w:rPr>
        <w:t>社会效益：</w:t>
      </w:r>
      <w:r>
        <w:rPr>
          <w:rFonts w:hint="eastAsia" w:ascii="仿宋_GB2312" w:hAnsi="宋体" w:eastAsia="仿宋_GB2312"/>
          <w:sz w:val="32"/>
          <w:szCs w:val="32"/>
          <w:lang w:val="zh-CN"/>
        </w:rPr>
        <w:t>提高了食品企业的社会责任感，提高了经营户的质量管理水平，促进经营户的发展，更好的保证了食品 安全，提高了全民健康水平，同时营造了公平竞争的市场环境。</w:t>
      </w:r>
      <w:r>
        <w:rPr>
          <w:rFonts w:ascii="仿宋_GB2312" w:hAnsi="宋体" w:eastAsia="仿宋_GB2312"/>
          <w:sz w:val="32"/>
          <w:szCs w:val="32"/>
          <w:lang w:val="zh-CN"/>
        </w:rPr>
        <w:t xml:space="preserve"> </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w:t>
      </w:r>
      <w:r>
        <w:rPr>
          <w:rFonts w:ascii="仿宋_GB2312" w:hAnsi="宋体" w:eastAsia="仿宋_GB2312"/>
          <w:sz w:val="32"/>
          <w:szCs w:val="32"/>
          <w:lang w:val="zh-CN"/>
        </w:rPr>
        <w:t>可持续影响：</w:t>
      </w:r>
      <w:r>
        <w:rPr>
          <w:rFonts w:hint="eastAsia" w:ascii="仿宋_GB2312" w:hAnsi="宋体" w:eastAsia="仿宋_GB2312"/>
          <w:sz w:val="32"/>
          <w:szCs w:val="32"/>
          <w:lang w:val="zh-CN"/>
        </w:rPr>
        <w:t>通过项目的实施，促进了餐饮、食品生产流通企业等的可持续发展。</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w:t>
      </w:r>
      <w:r>
        <w:rPr>
          <w:rFonts w:ascii="仿宋_GB2312" w:hAnsi="宋体" w:eastAsia="仿宋_GB2312"/>
          <w:sz w:val="32"/>
          <w:szCs w:val="32"/>
          <w:lang w:val="zh-CN"/>
        </w:rPr>
        <w:t xml:space="preserve"> </w:t>
      </w:r>
      <w:r>
        <w:rPr>
          <w:rFonts w:hint="eastAsia" w:ascii="仿宋_GB2312" w:hAnsi="宋体" w:eastAsia="仿宋_GB2312"/>
          <w:sz w:val="32"/>
          <w:szCs w:val="32"/>
          <w:lang w:val="zh-CN"/>
        </w:rPr>
        <w:t>通过市场监督执法，市场满意度达到了70%以上。</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94" w:lineRule="exact"/>
        <w:ind w:firstLine="640" w:firstLineChars="200"/>
        <w:rPr>
          <w:rFonts w:ascii="仿宋_GB2312" w:hAnsi="楷体" w:eastAsia="仿宋_GB2312" w:cs="仿宋_GB2312"/>
          <w:sz w:val="32"/>
          <w:szCs w:val="32"/>
        </w:rPr>
      </w:pPr>
      <w:r>
        <w:rPr>
          <w:rFonts w:ascii="仿宋_GB2312" w:hAnsi="楷体" w:eastAsia="仿宋_GB2312" w:cs="仿宋_GB2312"/>
          <w:sz w:val="32"/>
          <w:szCs w:val="32"/>
        </w:rPr>
        <w:t>20</w:t>
      </w:r>
      <w:r>
        <w:rPr>
          <w:rFonts w:hint="eastAsia" w:ascii="仿宋_GB2312" w:hAnsi="楷体" w:eastAsia="仿宋_GB2312" w:cs="仿宋_GB2312"/>
          <w:sz w:val="32"/>
          <w:szCs w:val="32"/>
        </w:rPr>
        <w:t xml:space="preserve">20年我局部门项目支出绩效评价自查自评结果良好，全年项目支出保证了食品监管工作需要，项目支出保障了重点工作的开展，达到预期绩效目标。  </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（二）存在问题　</w:t>
      </w:r>
    </w:p>
    <w:p>
      <w:pPr>
        <w:spacing w:line="594" w:lineRule="exact"/>
        <w:ind w:firstLine="800" w:firstLineChars="250"/>
        <w:rPr>
          <w:rFonts w:ascii="仿宋_GB2312" w:hAnsi="楷体" w:eastAsia="仿宋_GB2312" w:cs="仿宋_GB2312"/>
          <w:sz w:val="32"/>
          <w:szCs w:val="32"/>
        </w:rPr>
      </w:pPr>
      <w:r>
        <w:rPr>
          <w:rFonts w:hint="eastAsia" w:ascii="仿宋_GB2312" w:hAnsi="楷体" w:eastAsia="仿宋_GB2312" w:cs="仿宋_GB2312"/>
          <w:sz w:val="32"/>
          <w:szCs w:val="32"/>
        </w:rPr>
        <w:t>支付进度较慢</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（三）改进建议　</w:t>
      </w:r>
    </w:p>
    <w:p>
      <w:pPr>
        <w:spacing w:line="594" w:lineRule="exact"/>
        <w:ind w:firstLine="800" w:firstLineChars="250"/>
        <w:rPr>
          <w:rFonts w:ascii="仿宋_GB2312" w:hAnsi="楷体" w:eastAsia="仿宋_GB2312" w:cs="仿宋_GB2312"/>
          <w:sz w:val="32"/>
          <w:szCs w:val="32"/>
        </w:rPr>
      </w:pPr>
      <w:r>
        <w:rPr>
          <w:rFonts w:hint="eastAsia" w:ascii="仿宋_GB2312" w:hAnsi="楷体" w:eastAsia="仿宋_GB2312" w:cs="仿宋_GB2312"/>
          <w:sz w:val="32"/>
          <w:szCs w:val="32"/>
        </w:rPr>
        <w:t>一是加强资金的综合协调，提高资金使用进度。</w:t>
      </w:r>
    </w:p>
    <w:p>
      <w:pPr>
        <w:spacing w:line="594" w:lineRule="exact"/>
        <w:ind w:firstLine="800" w:firstLineChars="250"/>
        <w:rPr>
          <w:rFonts w:ascii="仿宋_GB2312" w:hAnsi="楷体" w:eastAsia="仿宋_GB2312" w:cs="仿宋_GB2312"/>
          <w:sz w:val="32"/>
          <w:szCs w:val="32"/>
        </w:rPr>
      </w:pPr>
      <w:r>
        <w:rPr>
          <w:rFonts w:hint="eastAsia" w:ascii="仿宋_GB2312" w:hAnsi="楷体" w:eastAsia="仿宋_GB2312" w:cs="仿宋_GB2312"/>
          <w:sz w:val="32"/>
          <w:szCs w:val="32"/>
        </w:rPr>
        <w:t>二是进一步优化工作流程，推进预算绩效全程管理。</w:t>
      </w:r>
    </w:p>
    <w:p>
      <w:pPr>
        <w:spacing w:line="594" w:lineRule="exact"/>
        <w:ind w:firstLine="640" w:firstLineChars="200"/>
        <w:rPr>
          <w:rFonts w:ascii="仿宋_GB2312" w:hAnsi="楷体" w:eastAsia="仿宋_GB2312" w:cs="仿宋_GB2312"/>
          <w:sz w:val="32"/>
          <w:szCs w:val="32"/>
        </w:rPr>
      </w:pPr>
    </w:p>
    <w:p>
      <w:pPr>
        <w:widowControl/>
        <w:jc w:val="left"/>
        <w:rPr>
          <w:rStyle w:val="23"/>
          <w:rFonts w:ascii="黑体" w:hAnsi="黑体" w:eastAsia="黑体"/>
          <w:b w:val="0"/>
        </w:rPr>
      </w:pPr>
      <w:r>
        <w:rPr>
          <w:rStyle w:val="23"/>
          <w:rFonts w:ascii="黑体" w:hAnsi="黑体" w:eastAsia="黑体"/>
          <w:b w:val="0"/>
        </w:rPr>
        <w:br w:type="page"/>
      </w:r>
    </w:p>
    <w:p>
      <w:pPr>
        <w:spacing w:line="600" w:lineRule="exact"/>
        <w:jc w:val="left"/>
        <w:outlineLvl w:val="0"/>
        <w:rPr>
          <w:rFonts w:ascii="黑体" w:hAnsi="黑体" w:eastAsia="黑体" w:cs="黑体"/>
          <w:sz w:val="32"/>
          <w:szCs w:val="32"/>
        </w:rPr>
      </w:pPr>
      <w:bookmarkStart w:id="374" w:name="_Toc24140"/>
      <w:bookmarkStart w:id="375" w:name="_Toc1128"/>
      <w:bookmarkStart w:id="376" w:name="_Toc18426"/>
      <w:r>
        <w:rPr>
          <w:rFonts w:hint="eastAsia" w:ascii="黑体" w:hAnsi="黑体" w:eastAsia="黑体" w:cs="黑体"/>
          <w:sz w:val="32"/>
          <w:szCs w:val="32"/>
        </w:rPr>
        <w:t>附件4</w:t>
      </w:r>
      <w:bookmarkEnd w:id="374"/>
      <w:bookmarkEnd w:id="375"/>
      <w:bookmarkEnd w:id="376"/>
    </w:p>
    <w:p>
      <w:pPr>
        <w:spacing w:line="600" w:lineRule="exact"/>
        <w:jc w:val="center"/>
        <w:outlineLvl w:val="0"/>
        <w:rPr>
          <w:rFonts w:ascii="方正小标宋简体" w:hAnsi="黑体" w:eastAsia="方正小标宋简体" w:cs="黑体"/>
          <w:sz w:val="44"/>
          <w:szCs w:val="44"/>
        </w:rPr>
      </w:pPr>
      <w:bookmarkStart w:id="377" w:name="_Toc21941"/>
      <w:bookmarkStart w:id="378" w:name="_Toc22459"/>
      <w:bookmarkStart w:id="379" w:name="_Toc7053"/>
      <w:r>
        <w:rPr>
          <w:rFonts w:hint="eastAsia" w:ascii="方正小标宋简体" w:hAnsi="黑体" w:eastAsia="方正小标宋简体" w:cs="黑体"/>
          <w:sz w:val="44"/>
          <w:szCs w:val="44"/>
        </w:rPr>
        <w:t>食品检测项目</w:t>
      </w:r>
      <w:bookmarkEnd w:id="377"/>
      <w:bookmarkEnd w:id="378"/>
      <w:bookmarkEnd w:id="379"/>
    </w:p>
    <w:p>
      <w:pPr>
        <w:spacing w:line="600" w:lineRule="exact"/>
        <w:jc w:val="center"/>
        <w:outlineLvl w:val="0"/>
        <w:rPr>
          <w:rFonts w:ascii="方正小标宋简体" w:hAnsi="黑体" w:eastAsia="方正小标宋简体" w:cs="黑体"/>
          <w:sz w:val="44"/>
          <w:szCs w:val="44"/>
        </w:rPr>
      </w:pPr>
      <w:bookmarkStart w:id="380" w:name="_Toc16797"/>
      <w:bookmarkStart w:id="381" w:name="_Toc22829"/>
      <w:bookmarkStart w:id="382" w:name="_Toc17069"/>
      <w:r>
        <w:rPr>
          <w:rFonts w:hint="eastAsia" w:ascii="方正小标宋简体" w:hAnsi="黑体" w:eastAsia="方正小标宋简体" w:cs="黑体"/>
          <w:sz w:val="44"/>
          <w:szCs w:val="44"/>
        </w:rPr>
        <w:t>2020年绩效评价报告</w:t>
      </w:r>
      <w:bookmarkEnd w:id="380"/>
      <w:bookmarkEnd w:id="381"/>
      <w:bookmarkEnd w:id="382"/>
    </w:p>
    <w:p>
      <w:pPr>
        <w:spacing w:line="600" w:lineRule="exact"/>
        <w:rPr>
          <w:rFonts w:asci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spacing w:line="594" w:lineRule="exact"/>
        <w:ind w:firstLine="640" w:firstLineChars="200"/>
        <w:rPr>
          <w:rFonts w:ascii="仿宋_GB2312" w:eastAsia="仿宋_GB2312"/>
          <w:sz w:val="32"/>
          <w:szCs w:val="32"/>
        </w:rPr>
      </w:pPr>
      <w:r>
        <w:rPr>
          <w:rFonts w:hint="eastAsia" w:ascii="仿宋_GB2312" w:hAnsi="宋体" w:eastAsia="仿宋_GB2312"/>
          <w:sz w:val="32"/>
          <w:szCs w:val="32"/>
          <w:lang w:val="zh-CN"/>
        </w:rPr>
        <w:t>1．根据“三定”方案，</w:t>
      </w:r>
      <w:r>
        <w:rPr>
          <w:rFonts w:hint="eastAsia" w:ascii="仿宋_GB2312" w:eastAsia="仿宋_GB2312"/>
          <w:sz w:val="32"/>
          <w:szCs w:val="32"/>
        </w:rPr>
        <w:t>结合项目内容，职能主要为负责全县食品安全监督管理综合协调、全县食品安全监督管理。</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2．项目立项、资金申报的依据。《茂县市场监督管理局</w:t>
      </w:r>
      <w:r>
        <w:rPr>
          <w:rFonts w:ascii="仿宋_GB2312" w:hAnsi="宋体" w:eastAsia="仿宋_GB2312"/>
          <w:sz w:val="32"/>
          <w:szCs w:val="32"/>
          <w:lang w:val="zh-CN"/>
        </w:rPr>
        <w:t>关于解决2020年食品安全抽检经费的请示</w:t>
      </w:r>
      <w:r>
        <w:rPr>
          <w:rFonts w:hint="eastAsia" w:ascii="仿宋_GB2312" w:hAnsi="宋体" w:eastAsia="仿宋_GB2312"/>
          <w:sz w:val="32"/>
          <w:szCs w:val="32"/>
          <w:lang w:val="zh-CN"/>
        </w:rPr>
        <w:t>》(</w:t>
      </w:r>
      <w:r>
        <w:rPr>
          <w:rFonts w:ascii="仿宋_GB2312" w:hAnsi="宋体" w:eastAsia="仿宋_GB2312"/>
          <w:sz w:val="32"/>
          <w:szCs w:val="32"/>
          <w:lang w:val="zh-CN"/>
        </w:rPr>
        <w:t>茂市监〔2020〕7号</w:t>
      </w:r>
      <w:r>
        <w:rPr>
          <w:rFonts w:hint="eastAsia" w:ascii="仿宋_GB2312" w:hAnsi="宋体" w:eastAsia="仿宋_GB2312"/>
          <w:sz w:val="32"/>
          <w:szCs w:val="32"/>
          <w:lang w:val="zh-CN"/>
        </w:rPr>
        <w:t>）。</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3．严格按照专项资金项目管理办法实施各专项资金。</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4．2020年安排资金47.78万元。</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1．项目主要内容。全面加强食品质量抽检工作，及时发现食品安全隐患，督促生产经营企业落实主体责任，掌握产品质量状况，防范系统性、区域性食品安全风险</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2．项目分别从项目完成指标、效益指标、满意度指标方面进行了分解。</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3．项目资金申报内容与具体实施内容相符、申报目标合理可行。</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对照绩效考评表内容逐项进行检查。</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我局申请47.78万元，批复47.78万元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 xml:space="preserve">（二）资金计划、到位及使用情况 </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1．资金计划。申请47.78万元。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仿宋_GB2312" w:hAnsi="宋体" w:eastAsia="仿宋_GB2312"/>
          <w:sz w:val="32"/>
          <w:szCs w:val="32"/>
          <w:lang w:val="zh-CN"/>
        </w:rPr>
        <w:t>2020年6月收到47.78万元。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仿宋_GB2312" w:hAnsi="宋体" w:eastAsia="仿宋_GB2312"/>
          <w:sz w:val="32"/>
          <w:szCs w:val="32"/>
          <w:lang w:val="zh-CN"/>
        </w:rPr>
        <w:t>至2020年12月31日支出47.78万元。</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经费制度正在不断健全，并能严格执行；项目的实际支出符合财经法规和财务管理制度，资金使用合理；各种账务处理及时准确，会计核算较为规范。做到了专款专用，支付范围、标准、进度、依据符合规定，开支合理合法，无虚列套取，无截留、挤占、挪用资金情况发生。</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594" w:lineRule="exact"/>
        <w:ind w:firstLine="720"/>
        <w:rPr>
          <w:rFonts w:ascii="楷体_GB2312" w:hAnsi="宋体" w:eastAsia="楷体_GB2312"/>
          <w:b/>
          <w:color w:val="FF0000"/>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1.项目组织架构</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组 长：杨国乾</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副组长：张发艳、晏明耀、苟琪</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成 员：王维莲、邬昌菊、张林凤、卞文华、赵国栋、卢军、胡玲丽</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办公室设在财务室。</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2．实施流程</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（1）组长职责：审批绩效自评方案，监督、检查、核实绩效自评结果；</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（2）副组长职责：审核修改拟定的绩效自评方案，并提交考评工作组会议讨论通过；监督、部署、确认绩效自评过程及反馈意见的处理。</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小组成员职责：起草和修改绩效考评方案报自评领导工作组会议讨论通过，实施执行绩效自评方案；牵头组织并实施年度绩效自评，根据组长、副组长指示，对考评结果进行复核，完成绩效自核工作组安排的其他工作。</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我局每年会定期或不定期召开专题研究预算资金使用工作会议，明确各自的职责与分工，并将其作为部门日常性重要工作来抓。</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根据财政局预算资金绩效评价管理办法和一系列文件精神，做好事前预算、事中控制、事后总结。在项目实施过程中结合我局实际，明确项目支付范围支付进度，切实将项目资金支付与单位实际工作情况相结合。做到资金使用合法合规。</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1.数量指标：</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2020年全面抽检376批次。其中，食品安全自主抽检80个批次，食用农产品220批次；抽检药品29批次、医疗器械抽检5批次。流通领域商品抽检42个批次，积极配合上级部门和第三方完成国抽、省抽、州抽。并在“中国茂县”网站公示抽检结果。</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2.质量指标：检验数据准确。</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w:t>
      </w:r>
      <w:r>
        <w:rPr>
          <w:rFonts w:ascii="仿宋_GB2312" w:hAnsi="宋体" w:eastAsia="仿宋_GB2312"/>
          <w:sz w:val="32"/>
          <w:szCs w:val="32"/>
          <w:lang w:val="zh-CN"/>
        </w:rPr>
        <w:t>时效指标</w:t>
      </w:r>
      <w:r>
        <w:rPr>
          <w:rFonts w:hint="eastAsia" w:ascii="仿宋_GB2312" w:hAnsi="宋体" w:eastAsia="仿宋_GB2312"/>
          <w:sz w:val="32"/>
          <w:szCs w:val="32"/>
          <w:lang w:val="zh-CN"/>
        </w:rPr>
        <w:t>:2020年12月底前完成。</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w:t>
      </w:r>
      <w:r>
        <w:rPr>
          <w:rFonts w:ascii="仿宋_GB2312" w:hAnsi="宋体" w:eastAsia="仿宋_GB2312"/>
          <w:sz w:val="32"/>
          <w:szCs w:val="32"/>
          <w:lang w:val="zh-CN"/>
        </w:rPr>
        <w:t>成本指标</w:t>
      </w:r>
      <w:r>
        <w:rPr>
          <w:rFonts w:hint="eastAsia" w:ascii="仿宋_GB2312" w:hAnsi="宋体" w:eastAsia="仿宋_GB2312"/>
          <w:sz w:val="32"/>
          <w:szCs w:val="32"/>
          <w:lang w:val="zh-CN"/>
        </w:rPr>
        <w:t>:食品抽检成本</w:t>
      </w:r>
      <w:r>
        <w:rPr>
          <w:rFonts w:ascii="仿宋_GB2312" w:hAnsi="宋体" w:eastAsia="仿宋_GB2312"/>
          <w:sz w:val="32"/>
          <w:szCs w:val="32"/>
          <w:lang w:val="zh-CN"/>
        </w:rPr>
        <w:t>≤</w:t>
      </w:r>
      <w:r>
        <w:rPr>
          <w:rFonts w:hint="eastAsia" w:ascii="仿宋_GB2312" w:hAnsi="宋体" w:eastAsia="仿宋_GB2312"/>
          <w:sz w:val="32"/>
          <w:szCs w:val="32"/>
          <w:lang w:val="zh-CN"/>
        </w:rPr>
        <w:t>1500元/样。</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w:t>
      </w:r>
      <w:r>
        <w:rPr>
          <w:rFonts w:ascii="仿宋_GB2312" w:hAnsi="宋体" w:eastAsia="仿宋_GB2312"/>
          <w:sz w:val="32"/>
          <w:szCs w:val="32"/>
          <w:lang w:val="zh-CN"/>
        </w:rPr>
        <w:t>经济效益</w:t>
      </w:r>
      <w:r>
        <w:rPr>
          <w:rFonts w:hint="eastAsia" w:ascii="仿宋_GB2312" w:hAnsi="宋体" w:eastAsia="仿宋_GB2312"/>
          <w:sz w:val="32"/>
          <w:szCs w:val="32"/>
          <w:lang w:val="zh-CN"/>
        </w:rPr>
        <w:t>: 促进市场健康有序发展。</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w:t>
      </w:r>
      <w:r>
        <w:rPr>
          <w:rFonts w:ascii="仿宋_GB2312" w:hAnsi="宋体" w:eastAsia="仿宋_GB2312"/>
          <w:sz w:val="32"/>
          <w:szCs w:val="32"/>
          <w:lang w:val="zh-CN"/>
        </w:rPr>
        <w:t>社会效益：</w:t>
      </w:r>
      <w:r>
        <w:rPr>
          <w:rFonts w:hint="eastAsia" w:ascii="仿宋_GB2312" w:hAnsi="宋体" w:eastAsia="仿宋_GB2312"/>
          <w:sz w:val="32"/>
          <w:szCs w:val="32"/>
          <w:lang w:val="zh-CN"/>
        </w:rPr>
        <w:t>为产品质量监管提供技术支撑。</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w:t>
      </w:r>
      <w:r>
        <w:rPr>
          <w:rFonts w:ascii="仿宋_GB2312" w:hAnsi="宋体" w:eastAsia="仿宋_GB2312"/>
          <w:sz w:val="32"/>
          <w:szCs w:val="32"/>
          <w:lang w:val="zh-CN"/>
        </w:rPr>
        <w:t>可持续影响：</w:t>
      </w:r>
      <w:r>
        <w:rPr>
          <w:rFonts w:hint="eastAsia" w:ascii="仿宋_GB2312" w:hAnsi="宋体" w:eastAsia="仿宋_GB2312"/>
          <w:sz w:val="32"/>
          <w:szCs w:val="32"/>
          <w:lang w:val="zh-CN"/>
        </w:rPr>
        <w:t>通过项目的实施，促进了餐饮、食品生产流通企业等的可持续发展。</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w:t>
      </w:r>
      <w:r>
        <w:rPr>
          <w:rFonts w:ascii="仿宋_GB2312" w:hAnsi="宋体" w:eastAsia="仿宋_GB2312"/>
          <w:sz w:val="32"/>
          <w:szCs w:val="32"/>
          <w:lang w:val="zh-CN"/>
        </w:rPr>
        <w:t xml:space="preserve"> </w:t>
      </w:r>
      <w:r>
        <w:rPr>
          <w:rFonts w:hint="eastAsia" w:ascii="仿宋_GB2312" w:hAnsi="宋体" w:eastAsia="仿宋_GB2312"/>
          <w:sz w:val="32"/>
          <w:szCs w:val="32"/>
          <w:lang w:val="zh-CN"/>
        </w:rPr>
        <w:t>通过市场监督执法，市场满意度达到了70%以上。</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94" w:lineRule="exact"/>
        <w:ind w:firstLine="640" w:firstLineChars="200"/>
        <w:rPr>
          <w:rFonts w:ascii="仿宋_GB2312" w:hAnsi="楷体" w:eastAsia="仿宋_GB2312" w:cs="仿宋_GB2312"/>
          <w:sz w:val="32"/>
          <w:szCs w:val="32"/>
        </w:rPr>
      </w:pPr>
      <w:r>
        <w:rPr>
          <w:rFonts w:ascii="仿宋_GB2312" w:hAnsi="楷体" w:eastAsia="仿宋_GB2312" w:cs="仿宋_GB2312"/>
          <w:sz w:val="32"/>
          <w:szCs w:val="32"/>
        </w:rPr>
        <w:t>20</w:t>
      </w:r>
      <w:r>
        <w:rPr>
          <w:rFonts w:hint="eastAsia" w:ascii="仿宋_GB2312" w:hAnsi="楷体" w:eastAsia="仿宋_GB2312" w:cs="仿宋_GB2312"/>
          <w:sz w:val="32"/>
          <w:szCs w:val="32"/>
        </w:rPr>
        <w:t xml:space="preserve">20年我局部门项目支出绩效评价自查自评结果优，全年项目支出保证了产品抽检监管工作需要，项目支出保障了重点工作的开展，达到预期绩效目标。   </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（二）存在问题　</w:t>
      </w:r>
    </w:p>
    <w:p>
      <w:pPr>
        <w:spacing w:line="594" w:lineRule="exact"/>
        <w:ind w:firstLine="800" w:firstLineChars="250"/>
        <w:rPr>
          <w:rFonts w:ascii="仿宋_GB2312" w:hAnsi="楷体" w:eastAsia="仿宋_GB2312" w:cs="仿宋_GB2312"/>
          <w:sz w:val="32"/>
          <w:szCs w:val="32"/>
        </w:rPr>
      </w:pPr>
      <w:r>
        <w:rPr>
          <w:rFonts w:hint="eastAsia" w:ascii="仿宋_GB2312" w:hAnsi="楷体" w:eastAsia="仿宋_GB2312" w:cs="仿宋_GB2312"/>
          <w:sz w:val="32"/>
          <w:szCs w:val="32"/>
        </w:rPr>
        <w:t>无</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（三）改进建议　</w:t>
      </w:r>
    </w:p>
    <w:p>
      <w:pPr>
        <w:spacing w:line="594" w:lineRule="exact"/>
        <w:ind w:firstLine="800" w:firstLineChars="250"/>
        <w:rPr>
          <w:rFonts w:ascii="仿宋_GB2312" w:hAnsi="楷体" w:eastAsia="仿宋_GB2312" w:cs="仿宋_GB2312"/>
          <w:sz w:val="32"/>
          <w:szCs w:val="32"/>
        </w:rPr>
      </w:pPr>
      <w:r>
        <w:rPr>
          <w:rFonts w:hint="eastAsia" w:ascii="仿宋_GB2312" w:hAnsi="楷体" w:eastAsia="仿宋_GB2312" w:cs="仿宋_GB2312"/>
          <w:sz w:val="32"/>
          <w:szCs w:val="32"/>
        </w:rPr>
        <w:t>一是进一步优化工作流程，推进预算绩效全程管理。</w:t>
      </w:r>
    </w:p>
    <w:p>
      <w:pPr>
        <w:spacing w:line="594" w:lineRule="exact"/>
        <w:ind w:firstLine="800" w:firstLineChars="250"/>
        <w:rPr>
          <w:rFonts w:ascii="仿宋_GB2312" w:hAnsi="楷体" w:eastAsia="仿宋_GB2312" w:cs="仿宋_GB2312"/>
          <w:sz w:val="32"/>
          <w:szCs w:val="32"/>
        </w:rPr>
      </w:pPr>
      <w:r>
        <w:rPr>
          <w:rFonts w:hint="eastAsia" w:ascii="仿宋_GB2312" w:hAnsi="楷体" w:eastAsia="仿宋_GB2312" w:cs="仿宋_GB2312"/>
          <w:sz w:val="32"/>
          <w:szCs w:val="32"/>
        </w:rPr>
        <w:t>二是进一步加大宣传力度，树立绩效管理理念。。</w:t>
      </w:r>
    </w:p>
    <w:p>
      <w:pPr>
        <w:spacing w:line="594" w:lineRule="exact"/>
        <w:ind w:firstLine="640" w:firstLineChars="200"/>
        <w:rPr>
          <w:rFonts w:ascii="仿宋_GB2312" w:hAnsi="楷体" w:eastAsia="仿宋_GB2312" w:cs="仿宋_GB2312"/>
          <w:sz w:val="32"/>
          <w:szCs w:val="32"/>
        </w:rPr>
      </w:pPr>
    </w:p>
    <w:p>
      <w:pPr>
        <w:widowControl/>
        <w:jc w:val="left"/>
        <w:rPr>
          <w:rStyle w:val="23"/>
          <w:rFonts w:ascii="黑体" w:hAnsi="黑体" w:eastAsia="黑体"/>
          <w:b w:val="0"/>
        </w:rPr>
      </w:pPr>
      <w:r>
        <w:rPr>
          <w:rStyle w:val="23"/>
          <w:rFonts w:ascii="黑体" w:hAnsi="黑体" w:eastAsia="黑体"/>
          <w:b w:val="0"/>
        </w:rPr>
        <w:br w:type="page"/>
      </w:r>
    </w:p>
    <w:p>
      <w:pPr>
        <w:spacing w:line="600" w:lineRule="exact"/>
        <w:jc w:val="left"/>
        <w:outlineLvl w:val="0"/>
        <w:rPr>
          <w:rFonts w:ascii="黑体" w:hAnsi="黑体" w:eastAsia="黑体" w:cs="黑体"/>
          <w:sz w:val="32"/>
          <w:szCs w:val="32"/>
        </w:rPr>
      </w:pPr>
      <w:bookmarkStart w:id="383" w:name="_Toc32233"/>
      <w:bookmarkStart w:id="384" w:name="_Toc667"/>
      <w:bookmarkStart w:id="385" w:name="_Toc30251"/>
      <w:r>
        <w:rPr>
          <w:rFonts w:hint="eastAsia" w:ascii="黑体" w:hAnsi="黑体" w:eastAsia="黑体" w:cs="黑体"/>
          <w:sz w:val="32"/>
          <w:szCs w:val="32"/>
        </w:rPr>
        <w:t>附件5</w:t>
      </w:r>
      <w:bookmarkEnd w:id="383"/>
      <w:bookmarkEnd w:id="384"/>
      <w:bookmarkEnd w:id="385"/>
    </w:p>
    <w:p>
      <w:pPr>
        <w:spacing w:line="600" w:lineRule="exact"/>
        <w:jc w:val="center"/>
        <w:outlineLvl w:val="0"/>
        <w:rPr>
          <w:rFonts w:ascii="方正小标宋简体" w:hAnsi="黑体" w:eastAsia="方正小标宋简体" w:cs="黑体"/>
          <w:sz w:val="44"/>
          <w:szCs w:val="44"/>
        </w:rPr>
      </w:pPr>
      <w:bookmarkStart w:id="386" w:name="_Toc30181"/>
      <w:bookmarkStart w:id="387" w:name="_Toc9663"/>
      <w:bookmarkStart w:id="388" w:name="_Toc23807"/>
      <w:r>
        <w:rPr>
          <w:rFonts w:hint="eastAsia" w:ascii="方正小标宋简体" w:hAnsi="黑体" w:eastAsia="方正小标宋简体" w:cs="黑体"/>
          <w:sz w:val="44"/>
          <w:szCs w:val="44"/>
        </w:rPr>
        <w:t>新型冠状肺炎经费</w:t>
      </w:r>
      <w:bookmarkEnd w:id="386"/>
      <w:bookmarkEnd w:id="387"/>
      <w:bookmarkEnd w:id="388"/>
    </w:p>
    <w:p>
      <w:pPr>
        <w:spacing w:line="600" w:lineRule="exact"/>
        <w:jc w:val="center"/>
        <w:outlineLvl w:val="0"/>
        <w:rPr>
          <w:rFonts w:ascii="方正小标宋简体" w:hAnsi="黑体" w:eastAsia="方正小标宋简体" w:cs="黑体"/>
          <w:sz w:val="44"/>
          <w:szCs w:val="44"/>
        </w:rPr>
      </w:pPr>
      <w:bookmarkStart w:id="389" w:name="_Toc8060"/>
      <w:bookmarkStart w:id="390" w:name="_Toc13119"/>
      <w:bookmarkStart w:id="391" w:name="_Toc651"/>
      <w:r>
        <w:rPr>
          <w:rFonts w:hint="eastAsia" w:ascii="方正小标宋简体" w:hAnsi="黑体" w:eastAsia="方正小标宋简体" w:cs="黑体"/>
          <w:sz w:val="44"/>
          <w:szCs w:val="44"/>
        </w:rPr>
        <w:t>2020年绩效评价报告</w:t>
      </w:r>
      <w:bookmarkEnd w:id="389"/>
      <w:bookmarkEnd w:id="390"/>
      <w:bookmarkEnd w:id="391"/>
    </w:p>
    <w:p>
      <w:pPr>
        <w:spacing w:line="600" w:lineRule="exact"/>
        <w:rPr>
          <w:rFonts w:asci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spacing w:line="594" w:lineRule="exact"/>
        <w:ind w:firstLine="640" w:firstLineChars="200"/>
        <w:rPr>
          <w:rFonts w:ascii="仿宋_GB2312" w:eastAsia="仿宋_GB2312"/>
          <w:sz w:val="32"/>
          <w:szCs w:val="32"/>
        </w:rPr>
      </w:pPr>
      <w:r>
        <w:rPr>
          <w:rFonts w:hint="eastAsia" w:ascii="仿宋_GB2312" w:hAnsi="宋体" w:eastAsia="仿宋_GB2312"/>
          <w:sz w:val="32"/>
          <w:szCs w:val="32"/>
          <w:lang w:val="zh-CN"/>
        </w:rPr>
        <w:t>1．根据“三定”方案，</w:t>
      </w:r>
      <w:r>
        <w:rPr>
          <w:rFonts w:hint="eastAsia" w:ascii="仿宋_GB2312" w:eastAsia="仿宋_GB2312"/>
          <w:sz w:val="32"/>
          <w:szCs w:val="32"/>
        </w:rPr>
        <w:t>结合项目内容，职能主要是做好特殊时期市场监督管理工作、及时发现问题、控制监管风险</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2．项目立项、资金申报的依据。《关于下达2020年抗疫特别国债资金的通知》（茂财建</w:t>
      </w:r>
      <w:r>
        <w:rPr>
          <w:rFonts w:ascii="仿宋_GB2312" w:hAnsi="宋体" w:eastAsia="仿宋_GB2312"/>
          <w:sz w:val="32"/>
          <w:szCs w:val="32"/>
          <w:lang w:val="zh-CN"/>
        </w:rPr>
        <w:t>〔2020〕</w:t>
      </w:r>
      <w:r>
        <w:rPr>
          <w:rFonts w:hint="eastAsia" w:ascii="仿宋_GB2312" w:hAnsi="宋体" w:eastAsia="仿宋_GB2312"/>
          <w:sz w:val="32"/>
          <w:szCs w:val="32"/>
          <w:lang w:val="zh-CN"/>
        </w:rPr>
        <w:t>41号）</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3．严格按照专项资金项目管理办法实施各专项资金。</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4．2020年安排资金10万元。</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594" w:lineRule="exact"/>
        <w:ind w:firstLine="720"/>
        <w:rPr>
          <w:rFonts w:ascii="仿宋_GB2312" w:eastAsia="仿宋_GB2312"/>
          <w:sz w:val="32"/>
          <w:szCs w:val="32"/>
        </w:rPr>
      </w:pPr>
      <w:r>
        <w:rPr>
          <w:rFonts w:hint="eastAsia" w:ascii="仿宋_GB2312" w:hAnsi="宋体" w:eastAsia="仿宋_GB2312"/>
          <w:sz w:val="32"/>
          <w:szCs w:val="32"/>
          <w:lang w:val="zh-CN"/>
        </w:rPr>
        <w:t>1．项目主要内容。</w:t>
      </w:r>
      <w:r>
        <w:rPr>
          <w:rFonts w:hint="eastAsia" w:ascii="仿宋_GB2312" w:eastAsia="仿宋_GB2312"/>
          <w:sz w:val="32"/>
          <w:szCs w:val="32"/>
        </w:rPr>
        <w:t>疫情期间市场检查，保证我县在疫情期间的饮食用药安全。</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2．项目分别从项目完成指标、效益指标、满意度指标方面进行了分解。</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3．项目资金申报内容与具体实施内容相符、申报目标合理可行。</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对照绩效考评表内容逐项进行检查。</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我局申请10万元，批复10万元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 xml:space="preserve">（二）资金计划、到位及使用情况 </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1．资金计划。申请10万元。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仿宋_GB2312" w:hAnsi="宋体" w:eastAsia="仿宋_GB2312"/>
          <w:sz w:val="32"/>
          <w:szCs w:val="32"/>
          <w:lang w:val="zh-CN"/>
        </w:rPr>
        <w:t>2020年2月收到10万元。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仿宋_GB2312" w:hAnsi="宋体" w:eastAsia="仿宋_GB2312"/>
          <w:sz w:val="32"/>
          <w:szCs w:val="32"/>
          <w:lang w:val="zh-CN"/>
        </w:rPr>
        <w:t>至2020年12月31日支出10万元。</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经费制度正在不断健全，并能严格执行；项目的实际支出符合财经法规和财务管理制度，资金使用合理；各种账务处理及时准确，会计核算较为规范。做到了专款专用，支付范围、标准、进度、依据符合规定，开支合理合法，无虚列套取，无截留、挤占、挪用资金情况发生。</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594" w:lineRule="exact"/>
        <w:ind w:firstLine="720"/>
        <w:rPr>
          <w:rFonts w:ascii="楷体_GB2312" w:hAnsi="宋体" w:eastAsia="楷体_GB2312"/>
          <w:b/>
          <w:color w:val="FF0000"/>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1.项目组织架构</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组 长：杨国乾</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副组长：张发艳、晏明耀、苟琪</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成 员：王维莲、邬昌菊、张林凤、卞文华、赵国栋、卢军、胡玲丽</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办公室设在财务室。</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2．实施流程</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（1）组长职责：审批绩效自评方案，监督、检查、核实绩效自评结果；</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（2）副组长职责：审核修改拟定的绩效自评方案，并提交考评工作组会议讨论通过；监督、部署、确认绩效自评过程及反馈意见的处理。</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小组成员职责：起草和修改绩效考评方案报自评领导工作组会议讨论通过，实施执行绩效自评方案；牵头组织并实施年度绩效自评，根据组长、副组长指示，对考评结果进行复核，完成绩效自核工作组安排的其他工作。</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我局每年会定期或不定期召开专题研究预算资金使用工作会议，明确各自的职责与分工，并将其作为部门日常性重要工作来抓。</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根据财政局预算资金绩效评价管理办法和一系列文件精神，做好事前预算、事中控制、事后总结。在项目实施过程中结合我局实际，明确项目支付范围支付进度，切实将项目资金支付与单位实际工作情况相结合。做到资金使用合法合规。</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spacing w:line="560" w:lineRule="exact"/>
        <w:ind w:firstLine="640" w:firstLineChars="200"/>
        <w:rPr>
          <w:rFonts w:hAnsi="仿宋" w:eastAsia="仿宋"/>
          <w:sz w:val="32"/>
          <w:szCs w:val="32"/>
        </w:rPr>
      </w:pPr>
      <w:r>
        <w:rPr>
          <w:rFonts w:hint="eastAsia" w:hAnsi="仿宋" w:eastAsia="仿宋"/>
          <w:sz w:val="32"/>
          <w:szCs w:val="32"/>
        </w:rPr>
        <w:t>1.</w:t>
      </w:r>
      <w:r>
        <w:rPr>
          <w:rFonts w:hAnsi="仿宋" w:eastAsia="仿宋"/>
          <w:sz w:val="32"/>
          <w:szCs w:val="32"/>
        </w:rPr>
        <w:t>数量指标:</w:t>
      </w:r>
      <w:r>
        <w:rPr>
          <w:rFonts w:hint="eastAsia" w:hAnsi="仿宋" w:eastAsia="仿宋"/>
          <w:sz w:val="32"/>
          <w:szCs w:val="32"/>
        </w:rPr>
        <w:t xml:space="preserve"> 一是坚决禁止活禽交易行为，张贴公告12处，公示举报电话，鼓励群众对私自宰杀活禽和销售野生动物的举报，累计巡查集贸市场75个次，检查场内商户5126家次，下达责令整改书13份，指导督促农贸市场积极开展爱国卫生运动，加强环境卫生整治，每天消杀面积达3300平方米。发放、粘贴紧急通知单900余份。二是张贴发放省州四部门发布的《禁止群体性聚餐通告》和阿坝州应对新型冠状病毒肺炎疫情应急指挥部下发的《加强疫情防控期间农村群体性聚餐监管八条措施》766份，营造不聚餐，不聚集的氛围，检查各类餐厅、酒店、农家乐等餐饮单位99家次，关闭大中型餐饮单位216家，累积取消和延迟各类聚餐活动74场次，2162桌。继续做好对镇村取消农村坝坝宴工作督促检查，全县各镇累积劝退群众性聚餐316场次，共计6222桌。三是查处违法销售医用防疫物资案件2起，没收不合格口罩1340只，移交抖音平台散步虚假价格信息的治安案件1件。四是对开业的餐饮单位进行备案管理，复工复产期间共备案中小型餐饮单位342家，大型餐饮单位22家。</w:t>
      </w:r>
    </w:p>
    <w:p>
      <w:pPr>
        <w:spacing w:line="560" w:lineRule="exact"/>
        <w:ind w:firstLine="640" w:firstLineChars="200"/>
        <w:rPr>
          <w:rFonts w:hAnsi="仿宋" w:eastAsia="仿宋"/>
          <w:sz w:val="32"/>
          <w:szCs w:val="32"/>
        </w:rPr>
      </w:pPr>
      <w:r>
        <w:rPr>
          <w:rFonts w:hint="eastAsia" w:hAnsi="仿宋" w:eastAsia="仿宋"/>
          <w:sz w:val="32"/>
          <w:szCs w:val="32"/>
        </w:rPr>
        <w:t>2.</w:t>
      </w:r>
      <w:r>
        <w:rPr>
          <w:rFonts w:hAnsi="仿宋" w:eastAsia="仿宋"/>
          <w:sz w:val="32"/>
          <w:szCs w:val="32"/>
        </w:rPr>
        <w:t>质量指标：</w:t>
      </w:r>
      <w:r>
        <w:rPr>
          <w:rFonts w:hint="eastAsia" w:hAnsi="仿宋" w:eastAsia="仿宋"/>
          <w:sz w:val="32"/>
          <w:szCs w:val="32"/>
        </w:rPr>
        <w:t>一是按照防控要求及时关闭农贸市场上所有活畜禽交易场所，加强活畜禽交易巡查检查。二是继续开展禁止群体性聚餐工作。对全县餐饮单位落实禁止群体聚餐情况的每日巡查制度，采取发放通告，下达通知，作出承诺，张贴公告，电话通知等措施，分片排查核实，逐户上门，宣传政策，讲解法律普及疫病防控知识，最大限度动员餐饮经营商户配合疫病防控，自觉遵守法律法规和公共卫生应急要求，责成执行禁止群体聚餐要求，严禁承办任何形式的群体性聚餐活动，逐一明确取消或延期措施，积极协调做好预定金全额退款工作。三是强化质量价格监控，保证市场供应充足稳定。重点对各类商场超市加强监督检查，重点检查食品药品进购渠道，储存养护，从业人员健康资质，严禁不合格产品流入市场，严查假冒伪劣，过期变质，标识不全，商标侵权等违法违规行为，对猪肉市场，牛肉市场蔬菜等进行动态检查监测；及时判断疫情防控中药品医疗器械的需求变化，引导全体药店自觉遵守法律法规，督促及时开店营业，为广大群众提供便捷药品供应服务，按照防控要求对全体药品经营单位进行提前进行质量价格的警示告诫，要求严格执行药品分类规定，严格落实处方药凭处方销售，毒麻药品管控，自觉执行医疗器械备案制度，明码标价，不得价外加价，不得收取任何未予标明的费用;严禁相互串通，操纵市场价格，严禁捏造、散布医疗物资涨价信息，借机哄抬物价、囤积居奇。四是把握原则，精准施策，坚持疫情防控与复工复业同落实。按照省、州、县疫情分区、分级差异化防控工作指南，我局及时研究并制定复工复商工作方案。于</w:t>
      </w:r>
      <w:r>
        <w:rPr>
          <w:rFonts w:hAnsi="仿宋" w:eastAsia="仿宋"/>
          <w:sz w:val="32"/>
          <w:szCs w:val="32"/>
        </w:rPr>
        <w:t>3</w:t>
      </w:r>
      <w:r>
        <w:rPr>
          <w:rFonts w:hint="eastAsia" w:hAnsi="仿宋" w:eastAsia="仿宋"/>
          <w:sz w:val="32"/>
          <w:szCs w:val="32"/>
        </w:rPr>
        <w:t>月</w:t>
      </w:r>
      <w:r>
        <w:rPr>
          <w:rFonts w:hAnsi="仿宋" w:eastAsia="仿宋"/>
          <w:sz w:val="32"/>
          <w:szCs w:val="32"/>
        </w:rPr>
        <w:t>2</w:t>
      </w:r>
      <w:r>
        <w:rPr>
          <w:rFonts w:hint="eastAsia" w:hAnsi="仿宋" w:eastAsia="仿宋"/>
          <w:sz w:val="32"/>
          <w:szCs w:val="32"/>
        </w:rPr>
        <w:t>日组织召集市场监管组小组会议，各成员单位在通报工作情况的基础上对抓好疫情防控与推进复工复业提出工作建议措施，明确市场监管持续用劲做到市场商品供应不断、商品质量监管不松劲、打击价格违法不手软、市场规范秩序不反弹，制定三个落实和七个暂不营业复工复业管理措施，统筹做好防控与复工复产，在开门营业之初就以登记报备，现场检查等方式压实经营者在疫情防控、质量安全等方面的主体责任，严格要求各类商户必须经执法人员核查通过后方可营业。五是加强常态化监管。在疫情形势趋于平稳时，防控呈现常态化，各行各业复工复产正值高峰期。</w:t>
      </w:r>
    </w:p>
    <w:p>
      <w:pPr>
        <w:spacing w:line="560" w:lineRule="exact"/>
        <w:ind w:firstLine="640" w:firstLineChars="200"/>
        <w:rPr>
          <w:rFonts w:hAnsi="仿宋" w:eastAsia="仿宋"/>
          <w:sz w:val="32"/>
          <w:szCs w:val="32"/>
        </w:rPr>
      </w:pPr>
      <w:r>
        <w:rPr>
          <w:rFonts w:hint="eastAsia" w:hAnsi="仿宋" w:eastAsia="仿宋"/>
          <w:sz w:val="32"/>
          <w:szCs w:val="32"/>
        </w:rPr>
        <w:t>3.</w:t>
      </w:r>
      <w:r>
        <w:rPr>
          <w:rFonts w:hAnsi="仿宋" w:eastAsia="仿宋"/>
          <w:sz w:val="32"/>
          <w:szCs w:val="32"/>
        </w:rPr>
        <w:t>时效指标:2020年12月底前完成。</w:t>
      </w:r>
    </w:p>
    <w:p>
      <w:pPr>
        <w:spacing w:line="560" w:lineRule="exact"/>
        <w:ind w:firstLine="640" w:firstLineChars="200"/>
        <w:rPr>
          <w:rFonts w:hAnsi="仿宋" w:eastAsia="仿宋"/>
          <w:sz w:val="32"/>
          <w:szCs w:val="32"/>
        </w:rPr>
      </w:pPr>
      <w:r>
        <w:rPr>
          <w:rFonts w:hint="eastAsia" w:hAnsi="仿宋" w:eastAsia="仿宋"/>
          <w:sz w:val="32"/>
          <w:szCs w:val="32"/>
        </w:rPr>
        <w:t>4.</w:t>
      </w:r>
      <w:r>
        <w:rPr>
          <w:rFonts w:hAnsi="仿宋" w:eastAsia="仿宋"/>
          <w:sz w:val="32"/>
          <w:szCs w:val="32"/>
        </w:rPr>
        <w:t xml:space="preserve">成本指标: 执法监管成本≤100元/人.天； </w:t>
      </w:r>
    </w:p>
    <w:p>
      <w:pPr>
        <w:adjustRightInd w:val="0"/>
        <w:snapToGrid w:val="0"/>
        <w:spacing w:line="594" w:lineRule="exact"/>
        <w:ind w:firstLine="472" w:firstLineChars="147"/>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pacing w:line="560" w:lineRule="exact"/>
        <w:ind w:firstLine="640" w:firstLineChars="200"/>
        <w:rPr>
          <w:rFonts w:hAnsi="仿宋" w:eastAsia="仿宋"/>
          <w:sz w:val="32"/>
          <w:szCs w:val="32"/>
        </w:rPr>
      </w:pPr>
      <w:r>
        <w:rPr>
          <w:rFonts w:hint="eastAsia" w:hAnsi="仿宋" w:eastAsia="仿宋"/>
          <w:sz w:val="32"/>
          <w:szCs w:val="32"/>
        </w:rPr>
        <w:t>通过疫情期间的检查，保证了我县在疫情期间的饮食用药安全，提高全民健康水平。</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94" w:lineRule="exact"/>
        <w:ind w:firstLine="640" w:firstLineChars="200"/>
        <w:rPr>
          <w:rFonts w:ascii="仿宋_GB2312" w:hAnsi="楷体" w:eastAsia="仿宋_GB2312" w:cs="仿宋_GB2312"/>
          <w:sz w:val="32"/>
          <w:szCs w:val="32"/>
        </w:rPr>
      </w:pPr>
      <w:r>
        <w:rPr>
          <w:rFonts w:ascii="仿宋_GB2312" w:hAnsi="楷体" w:eastAsia="仿宋_GB2312" w:cs="仿宋_GB2312"/>
          <w:sz w:val="32"/>
          <w:szCs w:val="32"/>
        </w:rPr>
        <w:t>20</w:t>
      </w:r>
      <w:r>
        <w:rPr>
          <w:rFonts w:hint="eastAsia" w:ascii="仿宋_GB2312" w:hAnsi="楷体" w:eastAsia="仿宋_GB2312" w:cs="仿宋_GB2312"/>
          <w:sz w:val="32"/>
          <w:szCs w:val="32"/>
        </w:rPr>
        <w:t xml:space="preserve">20年我局部门项目支出绩效评价自查自评结果优，全年项目支出保证了疫情期间监管工作需要，项目支出保障了重点工作的开展，达到预期绩效目标。   </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（二）存在问题　</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无。</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（三）改进建议　</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一是进一步加大宣传力度，树立绩效管理理念。</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二是进一步优化工作流程，推进预算绩效全程管理。</w:t>
      </w:r>
    </w:p>
    <w:p>
      <w:pPr>
        <w:spacing w:line="594" w:lineRule="exact"/>
        <w:ind w:firstLine="640" w:firstLineChars="200"/>
        <w:rPr>
          <w:rFonts w:ascii="仿宋_GB2312" w:hAnsi="楷体" w:eastAsia="仿宋_GB2312" w:cs="仿宋_GB2312"/>
          <w:sz w:val="32"/>
          <w:szCs w:val="32"/>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left"/>
        <w:outlineLvl w:val="0"/>
        <w:rPr>
          <w:rFonts w:ascii="黑体" w:hAnsi="黑体" w:eastAsia="黑体" w:cs="黑体"/>
          <w:sz w:val="32"/>
          <w:szCs w:val="32"/>
        </w:rPr>
      </w:pPr>
      <w:bookmarkStart w:id="392" w:name="_Toc998"/>
      <w:bookmarkStart w:id="393" w:name="_Toc2106"/>
      <w:r>
        <w:rPr>
          <w:rFonts w:hint="eastAsia" w:ascii="黑体" w:hAnsi="黑体" w:eastAsia="黑体" w:cs="黑体"/>
          <w:sz w:val="32"/>
          <w:szCs w:val="32"/>
        </w:rPr>
        <w:t>附件6</w:t>
      </w:r>
      <w:bookmarkEnd w:id="392"/>
      <w:bookmarkEnd w:id="393"/>
    </w:p>
    <w:p>
      <w:pPr>
        <w:spacing w:line="600" w:lineRule="exact"/>
        <w:jc w:val="center"/>
        <w:outlineLvl w:val="0"/>
        <w:rPr>
          <w:rFonts w:ascii="方正小标宋简体" w:hAnsi="黑体" w:eastAsia="方正小标宋简体" w:cs="黑体"/>
          <w:sz w:val="44"/>
          <w:szCs w:val="44"/>
        </w:rPr>
      </w:pPr>
      <w:r>
        <w:rPr>
          <w:rFonts w:hint="eastAsia" w:ascii="方正小标宋简体" w:hAnsi="黑体" w:eastAsia="方正小标宋简体" w:cs="黑体"/>
          <w:sz w:val="44"/>
          <w:szCs w:val="44"/>
        </w:rPr>
        <w:t xml:space="preserve"> </w:t>
      </w:r>
      <w:bookmarkStart w:id="394" w:name="_Toc27084"/>
      <w:bookmarkStart w:id="395" w:name="_Toc19623"/>
      <w:bookmarkStart w:id="396" w:name="_Toc3859"/>
      <w:r>
        <w:rPr>
          <w:rFonts w:hint="eastAsia" w:ascii="方正小标宋简体" w:hAnsi="黑体" w:eastAsia="方正小标宋简体" w:cs="黑体"/>
          <w:sz w:val="44"/>
          <w:szCs w:val="44"/>
        </w:rPr>
        <w:t>“宝石小镇”知识产权品牌创建项目</w:t>
      </w:r>
      <w:bookmarkEnd w:id="394"/>
      <w:bookmarkEnd w:id="395"/>
      <w:bookmarkEnd w:id="396"/>
    </w:p>
    <w:p>
      <w:pPr>
        <w:spacing w:line="600" w:lineRule="exact"/>
        <w:jc w:val="center"/>
        <w:outlineLvl w:val="0"/>
        <w:rPr>
          <w:rFonts w:ascii="方正小标宋简体" w:hAnsi="黑体" w:eastAsia="方正小标宋简体" w:cs="黑体"/>
          <w:sz w:val="44"/>
          <w:szCs w:val="44"/>
        </w:rPr>
      </w:pPr>
      <w:bookmarkStart w:id="397" w:name="_Toc25457"/>
      <w:bookmarkStart w:id="398" w:name="_Toc14944"/>
      <w:bookmarkStart w:id="399" w:name="_Toc11899"/>
      <w:r>
        <w:rPr>
          <w:rFonts w:hint="eastAsia" w:ascii="方正小标宋简体" w:hAnsi="黑体" w:eastAsia="方正小标宋简体" w:cs="黑体"/>
          <w:sz w:val="44"/>
          <w:szCs w:val="44"/>
        </w:rPr>
        <w:t>2020年绩效评价报告</w:t>
      </w:r>
      <w:bookmarkEnd w:id="397"/>
      <w:bookmarkEnd w:id="398"/>
      <w:bookmarkEnd w:id="399"/>
    </w:p>
    <w:p>
      <w:pPr>
        <w:spacing w:line="600" w:lineRule="exact"/>
        <w:rPr>
          <w:rFonts w:asci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spacing w:line="594" w:lineRule="exact"/>
        <w:ind w:firstLine="640" w:firstLineChars="200"/>
        <w:rPr>
          <w:rFonts w:ascii="仿宋_GB2312" w:eastAsia="仿宋_GB2312"/>
          <w:sz w:val="32"/>
          <w:szCs w:val="32"/>
        </w:rPr>
      </w:pPr>
      <w:r>
        <w:rPr>
          <w:rFonts w:hint="eastAsia" w:ascii="仿宋_GB2312" w:hAnsi="宋体" w:eastAsia="仿宋_GB2312"/>
          <w:sz w:val="32"/>
          <w:szCs w:val="32"/>
          <w:lang w:val="zh-CN"/>
        </w:rPr>
        <w:t>1．根据“三定”方案，</w:t>
      </w:r>
      <w:r>
        <w:rPr>
          <w:rFonts w:hint="eastAsia" w:ascii="仿宋_GB2312" w:eastAsia="仿宋_GB2312"/>
          <w:sz w:val="32"/>
          <w:szCs w:val="32"/>
        </w:rPr>
        <w:t>结合项目内容，职能主要为保护区域品牌，</w:t>
      </w:r>
      <w:r>
        <w:rPr>
          <w:rFonts w:hint="eastAsia" w:ascii="仿宋_GB2312" w:hAnsi="仿宋_GB2312" w:eastAsia="仿宋_GB2312" w:cs="仿宋_GB2312"/>
          <w:sz w:val="32"/>
          <w:szCs w:val="32"/>
        </w:rPr>
        <w:t>提高文化走廊的美誉度和影响力</w:t>
      </w:r>
      <w:r>
        <w:rPr>
          <w:rFonts w:hint="eastAsia" w:ascii="仿宋_GB2312" w:eastAsia="仿宋_GB2312"/>
          <w:sz w:val="32"/>
          <w:szCs w:val="32"/>
        </w:rPr>
        <w:t>。</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w:t>
      </w:r>
      <w:r>
        <w:rPr>
          <w:rFonts w:ascii="仿宋_GB2312" w:hAnsi="宋体" w:eastAsia="仿宋_GB2312"/>
          <w:sz w:val="32"/>
          <w:szCs w:val="32"/>
          <w:lang w:val="zh-CN"/>
        </w:rPr>
        <w:t>茂县市场监督管理局关于注册宝石小镇等品牌保护的请示</w:t>
      </w:r>
      <w:r>
        <w:rPr>
          <w:rFonts w:hint="eastAsia" w:ascii="仿宋_GB2312" w:hAnsi="宋体" w:eastAsia="仿宋_GB2312"/>
          <w:sz w:val="32"/>
          <w:szCs w:val="32"/>
          <w:lang w:val="zh-CN"/>
        </w:rPr>
        <w:t>》(</w:t>
      </w:r>
      <w:r>
        <w:rPr>
          <w:rFonts w:ascii="仿宋_GB2312" w:hAnsi="宋体" w:eastAsia="仿宋_GB2312"/>
          <w:sz w:val="32"/>
          <w:szCs w:val="32"/>
          <w:lang w:val="zh-CN"/>
        </w:rPr>
        <w:t>茂市监〔2020〕</w:t>
      </w:r>
      <w:r>
        <w:rPr>
          <w:rFonts w:hint="eastAsia" w:ascii="仿宋_GB2312" w:hAnsi="宋体" w:eastAsia="仿宋_GB2312"/>
          <w:sz w:val="32"/>
          <w:szCs w:val="32"/>
          <w:lang w:val="zh-CN"/>
        </w:rPr>
        <w:t>9</w:t>
      </w:r>
      <w:r>
        <w:rPr>
          <w:rFonts w:ascii="仿宋_GB2312" w:hAnsi="宋体" w:eastAsia="仿宋_GB2312"/>
          <w:sz w:val="32"/>
          <w:szCs w:val="32"/>
          <w:lang w:val="zh-CN"/>
        </w:rPr>
        <w:t>号</w:t>
      </w:r>
      <w:r>
        <w:rPr>
          <w:rFonts w:hint="eastAsia" w:ascii="仿宋_GB2312" w:hAnsi="宋体" w:eastAsia="仿宋_GB2312"/>
          <w:sz w:val="32"/>
          <w:szCs w:val="32"/>
          <w:lang w:val="zh-CN"/>
        </w:rPr>
        <w:t>）。</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3．严格按照专项资金项目管理办法实施各专项资金。</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4．2020年安排资金9.94万元。</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 xml:space="preserve">1．项目主要内容。有效提高品牌保护效果；促进农旅结合、工业产品与羌族传统文化结合，提高文化走廊的美誉度和影响力。 </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2．项目分别从项目完成指标、效益指标、满意度指标方面进行了分解。</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3．项目资金申报内容与具体实施内容相符、申报目标合理可行。</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对照绩效考评表内容逐项进行检查。</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我局申请9.94万元，批复9.94万元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 xml:space="preserve">（二）资金计划、到位及使用情况 </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1．资金计划。申请9.94万元。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仿宋_GB2312" w:hAnsi="宋体" w:eastAsia="仿宋_GB2312"/>
          <w:sz w:val="32"/>
          <w:szCs w:val="32"/>
          <w:lang w:val="zh-CN"/>
        </w:rPr>
        <w:t>2020年6月收到9.94万元。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仿宋_GB2312" w:hAnsi="宋体" w:eastAsia="仿宋_GB2312"/>
          <w:sz w:val="32"/>
          <w:szCs w:val="32"/>
          <w:lang w:val="zh-CN"/>
        </w:rPr>
        <w:t>至2020年12月31日支出9.94万元。</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经费制度正在不断健全，并能严格执行；项目的实际支出符合财经法规和财务管理制度，资金使用合理；各种账务处理及时准确，会计核算较为规范。做到了专款专用，支付范围、标准、进度、依据符合规定，开支合理合法，无虚列套取，无截留、挤占、挪用资金情况发生。</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594" w:lineRule="exact"/>
        <w:ind w:firstLine="720"/>
        <w:rPr>
          <w:rFonts w:ascii="楷体_GB2312" w:hAnsi="宋体" w:eastAsia="楷体_GB2312"/>
          <w:b/>
          <w:color w:val="FF0000"/>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1.项目组织架构</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组 长：杨国乾</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副组长：张发艳、晏明耀、苟琪</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成 员：王维莲、邬昌菊、张林凤、卞文华、赵国栋、卢军、胡玲丽</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办公室设在财务室。</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2．实施流程</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（1）组长职责：审批绩效自评方案，监督、检查、核实绩效自评结果；</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（2）副组长职责：审核修改拟定的绩效自评方案，并提交考评工作组会议讨论通过；监督、部署、确认绩效自评过程及反馈意见的处理。</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小组成员职责：起草和修改绩效考评方案报自评领导工作组会议讨论通过，实施执行绩效自评方案；牵头组织并实施年度绩效自评，根据组长、副组长指示，对考评结果进行复核，完成绩效自核工作组安排的其他工作。</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我局每年会定期或不定期召开专题研究预算资金使用工作会议，明确各自的职责与分工，并将其作为部门日常性重要工作来抓。</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根据财政局预算资金绩效评价管理办法和一系列文件精神，做好事前预算、事中控制、事后总结。在项目实施过程中结合我局实际，明确项目支付范围支付进度，切实将项目资金支付与单位实际工作情况相结合。做到资金使用合法合规。</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1.数量指标：</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国知局下达商标注册申请公告通知书20份、完成VI系统建设1套、完成LOGO设计1份、国家版权局下发作品登记证书1份、域名注册证书2份</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2.质量指标：</w:t>
      </w:r>
      <w:r>
        <w:rPr>
          <w:rFonts w:ascii="仿宋_GB2312" w:hAnsi="宋体" w:eastAsia="仿宋_GB2312"/>
          <w:sz w:val="32"/>
          <w:szCs w:val="32"/>
          <w:lang w:val="zh-CN"/>
        </w:rPr>
        <w:t>完成作品登记</w:t>
      </w:r>
      <w:r>
        <w:rPr>
          <w:rFonts w:hint="eastAsia" w:ascii="仿宋_GB2312" w:hAnsi="宋体" w:eastAsia="仿宋_GB2312"/>
          <w:sz w:val="32"/>
          <w:szCs w:val="32"/>
          <w:lang w:val="zh-CN"/>
        </w:rPr>
        <w:t>、域名注册、VI系统建设、LOGO注册；重点类别保护未下发注册证书。</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w:t>
      </w:r>
      <w:r>
        <w:rPr>
          <w:rFonts w:ascii="仿宋_GB2312" w:hAnsi="宋体" w:eastAsia="仿宋_GB2312"/>
          <w:sz w:val="32"/>
          <w:szCs w:val="32"/>
          <w:lang w:val="zh-CN"/>
        </w:rPr>
        <w:t>时效指标</w:t>
      </w:r>
      <w:r>
        <w:rPr>
          <w:rFonts w:hint="eastAsia" w:ascii="仿宋_GB2312" w:hAnsi="宋体" w:eastAsia="仿宋_GB2312"/>
          <w:sz w:val="32"/>
          <w:szCs w:val="32"/>
          <w:lang w:val="zh-CN"/>
        </w:rPr>
        <w:t>:24个月内。</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w:t>
      </w:r>
      <w:r>
        <w:rPr>
          <w:rFonts w:ascii="仿宋_GB2312" w:hAnsi="宋体" w:eastAsia="仿宋_GB2312"/>
          <w:sz w:val="32"/>
          <w:szCs w:val="32"/>
          <w:lang w:val="zh-CN"/>
        </w:rPr>
        <w:t>成本指标</w:t>
      </w:r>
      <w:r>
        <w:rPr>
          <w:rFonts w:hint="eastAsia" w:ascii="仿宋_GB2312" w:hAnsi="宋体" w:eastAsia="仿宋_GB2312"/>
          <w:sz w:val="32"/>
          <w:szCs w:val="32"/>
          <w:lang w:val="zh-CN"/>
        </w:rPr>
        <w:t>:申报成本5800元/份。</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w:t>
      </w:r>
      <w:r>
        <w:rPr>
          <w:rFonts w:ascii="仿宋_GB2312" w:hAnsi="宋体" w:eastAsia="仿宋_GB2312"/>
          <w:sz w:val="32"/>
          <w:szCs w:val="32"/>
          <w:lang w:val="zh-CN"/>
        </w:rPr>
        <w:t>社会效益：</w:t>
      </w:r>
      <w:r>
        <w:rPr>
          <w:rFonts w:hint="eastAsia" w:ascii="仿宋_GB2312" w:hAnsi="宋体" w:eastAsia="仿宋_GB2312"/>
          <w:sz w:val="32"/>
          <w:szCs w:val="32"/>
          <w:lang w:val="zh-CN"/>
        </w:rPr>
        <w:t>开发具有地方特色资源的旅游文化产品、手工艺品和文化创意产品。</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w:t>
      </w:r>
      <w:r>
        <w:rPr>
          <w:rFonts w:ascii="仿宋_GB2312" w:hAnsi="宋体" w:eastAsia="仿宋_GB2312"/>
          <w:sz w:val="32"/>
          <w:szCs w:val="32"/>
          <w:lang w:val="zh-CN"/>
        </w:rPr>
        <w:t>可持续影响：注册优势区域品牌</w:t>
      </w:r>
      <w:r>
        <w:rPr>
          <w:rFonts w:hint="eastAsia" w:ascii="仿宋_GB2312" w:hAnsi="宋体" w:eastAsia="仿宋_GB2312"/>
          <w:sz w:val="32"/>
          <w:szCs w:val="32"/>
          <w:lang w:val="zh-CN"/>
        </w:rPr>
        <w:t>，</w:t>
      </w:r>
      <w:r>
        <w:rPr>
          <w:rFonts w:ascii="仿宋_GB2312" w:hAnsi="宋体" w:eastAsia="仿宋_GB2312"/>
          <w:sz w:val="32"/>
          <w:szCs w:val="32"/>
          <w:lang w:val="zh-CN"/>
        </w:rPr>
        <w:t>提升传统优势产业</w:t>
      </w:r>
      <w:r>
        <w:rPr>
          <w:rFonts w:hint="eastAsia" w:ascii="仿宋_GB2312" w:hAnsi="宋体" w:eastAsia="仿宋_GB2312"/>
          <w:sz w:val="32"/>
          <w:szCs w:val="32"/>
          <w:lang w:val="zh-CN"/>
        </w:rPr>
        <w:t>。</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3.通过市场监督执法，</w:t>
      </w:r>
      <w:r>
        <w:rPr>
          <w:rFonts w:ascii="仿宋_GB2312" w:hAnsi="宋体" w:eastAsia="仿宋_GB2312"/>
          <w:sz w:val="32"/>
          <w:szCs w:val="32"/>
          <w:lang w:val="zh-CN"/>
        </w:rPr>
        <w:t>让广大群众意识到知识产权保护的重大意义和作用</w:t>
      </w:r>
      <w:r>
        <w:rPr>
          <w:rFonts w:hint="eastAsia" w:ascii="仿宋_GB2312" w:hAnsi="宋体" w:eastAsia="仿宋_GB2312"/>
          <w:sz w:val="32"/>
          <w:szCs w:val="32"/>
          <w:lang w:val="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94" w:lineRule="exact"/>
        <w:ind w:firstLine="800" w:firstLineChars="250"/>
        <w:rPr>
          <w:rFonts w:ascii="仿宋_GB2312" w:hAnsi="楷体" w:eastAsia="仿宋_GB2312" w:cs="仿宋_GB2312"/>
          <w:sz w:val="32"/>
          <w:szCs w:val="32"/>
        </w:rPr>
      </w:pPr>
      <w:r>
        <w:rPr>
          <w:rFonts w:ascii="仿宋_GB2312" w:hAnsi="楷体" w:eastAsia="仿宋_GB2312" w:cs="仿宋_GB2312"/>
          <w:sz w:val="32"/>
          <w:szCs w:val="32"/>
        </w:rPr>
        <w:t>20</w:t>
      </w:r>
      <w:r>
        <w:rPr>
          <w:rFonts w:hint="eastAsia" w:ascii="仿宋_GB2312" w:hAnsi="楷体" w:eastAsia="仿宋_GB2312" w:cs="仿宋_GB2312"/>
          <w:sz w:val="32"/>
          <w:szCs w:val="32"/>
        </w:rPr>
        <w:t xml:space="preserve">20年我局部门项目支出绩效评价自查自评结果良好，全年项目支出保证了知识产权保护工作需要，项目支出保障了重点工作的开展，达到预期绩效目标。   </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（二）存在问题　</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部门预算与实际工作稍有偏差。</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（三）改进建议　</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一是加强资金的综合协调，提高资金使用进度。</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二是进一步加大宣传力度，树立绩效管理理念。</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三是进一步优化工作流程，推进预算绩效全程管理。</w:t>
      </w:r>
    </w:p>
    <w:p>
      <w:pPr>
        <w:spacing w:line="594" w:lineRule="exact"/>
        <w:ind w:firstLine="640" w:firstLineChars="200"/>
        <w:rPr>
          <w:rFonts w:ascii="仿宋_GB2312" w:hAnsi="楷体" w:eastAsia="仿宋_GB2312" w:cs="仿宋_GB2312"/>
          <w:sz w:val="32"/>
          <w:szCs w:val="32"/>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3"/>
          <w:rFonts w:ascii="黑体" w:hAnsi="黑体" w:eastAsia="黑体"/>
          <w:b w:val="0"/>
        </w:rPr>
      </w:pPr>
      <w:bookmarkStart w:id="400" w:name="_Toc27596"/>
      <w:bookmarkStart w:id="401" w:name="_Toc3800"/>
      <w:bookmarkStart w:id="402" w:name="_Toc10334"/>
      <w:r>
        <w:rPr>
          <w:rFonts w:hint="eastAsia" w:ascii="黑体" w:hAnsi="黑体" w:eastAsia="黑体"/>
          <w:color w:val="000000"/>
          <w:sz w:val="44"/>
          <w:szCs w:val="44"/>
        </w:rPr>
        <w:t>第</w:t>
      </w:r>
      <w:r>
        <w:rPr>
          <w:rStyle w:val="23"/>
          <w:rFonts w:hint="eastAsia" w:ascii="黑体" w:hAnsi="黑体" w:eastAsia="黑体"/>
          <w:b w:val="0"/>
        </w:rPr>
        <w:t>五部分</w:t>
      </w:r>
      <w:r>
        <w:rPr>
          <w:rStyle w:val="23"/>
          <w:rFonts w:ascii="黑体" w:hAnsi="黑体" w:eastAsia="黑体"/>
          <w:b w:val="0"/>
        </w:rPr>
        <w:t xml:space="preserve"> </w:t>
      </w:r>
      <w:r>
        <w:rPr>
          <w:rStyle w:val="23"/>
          <w:rFonts w:hint="eastAsia" w:ascii="黑体" w:hAnsi="黑体" w:eastAsia="黑体"/>
          <w:b w:val="0"/>
        </w:rPr>
        <w:t>附表</w:t>
      </w:r>
      <w:bookmarkEnd w:id="253"/>
      <w:bookmarkEnd w:id="366"/>
      <w:bookmarkEnd w:id="367"/>
      <w:bookmarkEnd w:id="400"/>
      <w:bookmarkEnd w:id="401"/>
      <w:bookmarkEnd w:id="402"/>
    </w:p>
    <w:p>
      <w:pPr>
        <w:pStyle w:val="3"/>
        <w:rPr>
          <w:rFonts w:ascii="仿宋" w:hAnsi="仿宋" w:eastAsia="仿宋"/>
          <w:color w:val="000000"/>
        </w:rPr>
      </w:pPr>
      <w:bookmarkStart w:id="403" w:name="_Toc26727"/>
      <w:bookmarkStart w:id="404" w:name="_Toc25268"/>
      <w:bookmarkStart w:id="405" w:name="_Toc15396619"/>
      <w:bookmarkStart w:id="406" w:name="_Toc79163636"/>
      <w:bookmarkStart w:id="407" w:name="_Toc2942"/>
      <w:r>
        <w:rPr>
          <w:rFonts w:hint="eastAsia" w:ascii="仿宋" w:hAnsi="仿宋" w:eastAsia="仿宋"/>
          <w:b w:val="0"/>
          <w:color w:val="000000"/>
        </w:rPr>
        <w:t>一、收</w:t>
      </w:r>
      <w:r>
        <w:rPr>
          <w:rStyle w:val="24"/>
          <w:rFonts w:hint="eastAsia" w:ascii="仿宋" w:hAnsi="仿宋" w:eastAsia="仿宋"/>
          <w:b w:val="0"/>
          <w:bCs w:val="0"/>
        </w:rPr>
        <w:t>入支出决算总表</w:t>
      </w:r>
      <w:bookmarkEnd w:id="403"/>
      <w:bookmarkEnd w:id="404"/>
      <w:bookmarkEnd w:id="405"/>
      <w:bookmarkEnd w:id="406"/>
      <w:bookmarkEnd w:id="407"/>
    </w:p>
    <w:p>
      <w:pPr>
        <w:pStyle w:val="3"/>
        <w:rPr>
          <w:rFonts w:ascii="仿宋" w:hAnsi="仿宋" w:eastAsia="仿宋"/>
          <w:color w:val="000000"/>
        </w:rPr>
      </w:pPr>
      <w:bookmarkStart w:id="408" w:name="_Toc13879"/>
      <w:bookmarkStart w:id="409" w:name="_Toc30775"/>
      <w:bookmarkStart w:id="410" w:name="_Toc15309"/>
      <w:bookmarkStart w:id="411" w:name="_Toc15396620"/>
      <w:bookmarkStart w:id="412" w:name="_Toc79163637"/>
      <w:r>
        <w:rPr>
          <w:rFonts w:hint="eastAsia" w:ascii="仿宋" w:hAnsi="仿宋" w:eastAsia="仿宋"/>
          <w:b w:val="0"/>
          <w:color w:val="000000"/>
        </w:rPr>
        <w:t>二、收</w:t>
      </w:r>
      <w:r>
        <w:rPr>
          <w:rStyle w:val="24"/>
          <w:rFonts w:hint="eastAsia" w:ascii="仿宋" w:hAnsi="仿宋" w:eastAsia="仿宋"/>
          <w:b w:val="0"/>
          <w:bCs w:val="0"/>
        </w:rPr>
        <w:t>入决算表</w:t>
      </w:r>
      <w:bookmarkEnd w:id="408"/>
      <w:bookmarkEnd w:id="409"/>
      <w:bookmarkEnd w:id="410"/>
      <w:bookmarkEnd w:id="411"/>
      <w:bookmarkEnd w:id="412"/>
    </w:p>
    <w:p>
      <w:pPr>
        <w:pStyle w:val="3"/>
        <w:rPr>
          <w:rFonts w:ascii="仿宋" w:hAnsi="仿宋" w:eastAsia="仿宋"/>
          <w:color w:val="000000"/>
        </w:rPr>
      </w:pPr>
      <w:bookmarkStart w:id="413" w:name="_Toc1861"/>
      <w:bookmarkStart w:id="414" w:name="_Toc1176"/>
      <w:bookmarkStart w:id="415" w:name="_Toc15396621"/>
      <w:bookmarkStart w:id="416" w:name="_Toc79163638"/>
      <w:bookmarkStart w:id="417" w:name="_Toc22418"/>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413"/>
      <w:bookmarkEnd w:id="414"/>
      <w:bookmarkEnd w:id="415"/>
      <w:bookmarkEnd w:id="416"/>
      <w:bookmarkEnd w:id="417"/>
    </w:p>
    <w:p>
      <w:pPr>
        <w:pStyle w:val="3"/>
        <w:rPr>
          <w:rFonts w:ascii="仿宋" w:hAnsi="仿宋" w:eastAsia="仿宋"/>
          <w:b w:val="0"/>
          <w:color w:val="000000"/>
        </w:rPr>
      </w:pPr>
      <w:bookmarkStart w:id="418" w:name="_Toc4946"/>
      <w:bookmarkStart w:id="419" w:name="_Toc28188"/>
      <w:bookmarkStart w:id="420" w:name="_Toc15396622"/>
      <w:bookmarkStart w:id="421" w:name="_Toc23595"/>
      <w:bookmarkStart w:id="422" w:name="_Toc79163639"/>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418"/>
      <w:bookmarkEnd w:id="419"/>
      <w:bookmarkEnd w:id="420"/>
      <w:bookmarkEnd w:id="421"/>
      <w:bookmarkEnd w:id="422"/>
    </w:p>
    <w:p>
      <w:pPr>
        <w:pStyle w:val="3"/>
        <w:rPr>
          <w:rStyle w:val="24"/>
          <w:rFonts w:ascii="仿宋" w:hAnsi="仿宋" w:eastAsia="仿宋"/>
          <w:b w:val="0"/>
          <w:bCs w:val="0"/>
        </w:rPr>
      </w:pPr>
      <w:bookmarkStart w:id="423" w:name="_Toc79163640"/>
      <w:bookmarkStart w:id="424" w:name="_Toc9597"/>
      <w:bookmarkStart w:id="425" w:name="_Toc29951"/>
      <w:bookmarkStart w:id="426" w:name="_Toc23840"/>
      <w:bookmarkStart w:id="427" w:name="_Toc15396623"/>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423"/>
      <w:bookmarkEnd w:id="424"/>
      <w:bookmarkEnd w:id="425"/>
      <w:bookmarkEnd w:id="426"/>
      <w:bookmarkEnd w:id="427"/>
      <w:bookmarkStart w:id="428" w:name="_Toc15396624"/>
    </w:p>
    <w:p>
      <w:pPr>
        <w:pStyle w:val="3"/>
        <w:rPr>
          <w:rFonts w:ascii="仿宋" w:hAnsi="仿宋" w:eastAsia="仿宋"/>
          <w:color w:val="000000"/>
        </w:rPr>
      </w:pPr>
      <w:bookmarkStart w:id="429" w:name="_Toc1783"/>
      <w:bookmarkStart w:id="430" w:name="_Toc21707"/>
      <w:bookmarkStart w:id="431" w:name="_Toc18136"/>
      <w:bookmarkStart w:id="432" w:name="_Toc79163641"/>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428"/>
      <w:bookmarkEnd w:id="429"/>
      <w:bookmarkEnd w:id="430"/>
      <w:bookmarkEnd w:id="431"/>
      <w:bookmarkEnd w:id="432"/>
    </w:p>
    <w:p>
      <w:pPr>
        <w:pStyle w:val="3"/>
        <w:rPr>
          <w:rFonts w:ascii="仿宋" w:hAnsi="仿宋" w:eastAsia="仿宋"/>
          <w:color w:val="000000"/>
        </w:rPr>
      </w:pPr>
      <w:bookmarkStart w:id="433" w:name="_Toc23489"/>
      <w:bookmarkStart w:id="434" w:name="_Toc14675"/>
      <w:bookmarkStart w:id="435" w:name="_Toc10699"/>
      <w:bookmarkStart w:id="436" w:name="_Toc79163642"/>
      <w:bookmarkStart w:id="437" w:name="_Toc15396625"/>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433"/>
      <w:bookmarkEnd w:id="434"/>
      <w:bookmarkEnd w:id="435"/>
      <w:bookmarkEnd w:id="436"/>
      <w:bookmarkEnd w:id="437"/>
    </w:p>
    <w:p>
      <w:pPr>
        <w:pStyle w:val="3"/>
        <w:rPr>
          <w:rFonts w:ascii="仿宋" w:hAnsi="仿宋" w:eastAsia="仿宋"/>
          <w:color w:val="000000"/>
        </w:rPr>
      </w:pPr>
      <w:bookmarkStart w:id="438" w:name="_Toc15396626"/>
      <w:bookmarkStart w:id="439" w:name="_Toc79163643"/>
      <w:bookmarkStart w:id="440" w:name="_Toc5928"/>
      <w:bookmarkStart w:id="441" w:name="_Toc9282"/>
      <w:bookmarkStart w:id="442" w:name="_Toc32248"/>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438"/>
      <w:bookmarkEnd w:id="439"/>
      <w:bookmarkEnd w:id="440"/>
      <w:bookmarkEnd w:id="441"/>
      <w:bookmarkEnd w:id="442"/>
    </w:p>
    <w:p>
      <w:pPr>
        <w:pStyle w:val="3"/>
        <w:rPr>
          <w:rFonts w:ascii="仿宋" w:hAnsi="仿宋" w:eastAsia="仿宋"/>
          <w:color w:val="000000"/>
        </w:rPr>
      </w:pPr>
      <w:bookmarkStart w:id="443" w:name="_Toc21538"/>
      <w:bookmarkStart w:id="444" w:name="_Toc79163644"/>
      <w:bookmarkStart w:id="445" w:name="_Toc15396627"/>
      <w:bookmarkStart w:id="446" w:name="_Toc20807"/>
      <w:bookmarkStart w:id="447" w:name="_Toc323"/>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443"/>
      <w:bookmarkEnd w:id="444"/>
      <w:bookmarkEnd w:id="445"/>
      <w:bookmarkEnd w:id="446"/>
      <w:bookmarkEnd w:id="447"/>
    </w:p>
    <w:p>
      <w:pPr>
        <w:pStyle w:val="3"/>
        <w:rPr>
          <w:rFonts w:ascii="仿宋" w:hAnsi="仿宋" w:eastAsia="仿宋"/>
          <w:color w:val="000000"/>
        </w:rPr>
      </w:pPr>
      <w:bookmarkStart w:id="448" w:name="_Toc79163645"/>
      <w:bookmarkStart w:id="449" w:name="_Toc6819"/>
      <w:bookmarkStart w:id="450" w:name="_Toc3523"/>
      <w:bookmarkStart w:id="451" w:name="_Toc32643"/>
      <w:bookmarkStart w:id="452" w:name="_Toc15396628"/>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448"/>
      <w:bookmarkEnd w:id="449"/>
      <w:bookmarkEnd w:id="450"/>
      <w:bookmarkEnd w:id="451"/>
      <w:bookmarkEnd w:id="452"/>
    </w:p>
    <w:p>
      <w:pPr>
        <w:pStyle w:val="3"/>
        <w:rPr>
          <w:rFonts w:ascii="仿宋" w:hAnsi="仿宋" w:eastAsia="仿宋"/>
          <w:color w:val="000000"/>
        </w:rPr>
      </w:pPr>
      <w:bookmarkStart w:id="453" w:name="_Toc9915"/>
      <w:bookmarkStart w:id="454" w:name="_Toc15396629"/>
      <w:bookmarkStart w:id="455" w:name="_Toc16885"/>
      <w:bookmarkStart w:id="456" w:name="_Toc79163646"/>
      <w:bookmarkStart w:id="457" w:name="_Toc394"/>
      <w:r>
        <w:rPr>
          <w:rStyle w:val="24"/>
          <w:rFonts w:hint="eastAsia" w:ascii="仿宋" w:hAnsi="仿宋" w:eastAsia="仿宋"/>
          <w:b w:val="0"/>
          <w:bCs w:val="0"/>
        </w:rPr>
        <w:t>十一、</w:t>
      </w:r>
      <w:r>
        <w:rPr>
          <w:rFonts w:hint="eastAsia" w:ascii="仿宋" w:hAnsi="仿宋" w:eastAsia="仿宋"/>
          <w:b w:val="0"/>
          <w:color w:val="000000"/>
        </w:rPr>
        <w:t>政</w:t>
      </w:r>
      <w:r>
        <w:rPr>
          <w:rStyle w:val="24"/>
          <w:rFonts w:hint="eastAsia" w:ascii="仿宋" w:hAnsi="仿宋" w:eastAsia="仿宋"/>
          <w:b w:val="0"/>
          <w:bCs w:val="0"/>
        </w:rPr>
        <w:t>府性基金预算财政拨款收入支出决算表</w:t>
      </w:r>
      <w:bookmarkEnd w:id="453"/>
      <w:bookmarkEnd w:id="454"/>
      <w:bookmarkEnd w:id="455"/>
      <w:bookmarkEnd w:id="456"/>
      <w:bookmarkEnd w:id="457"/>
    </w:p>
    <w:p>
      <w:pPr>
        <w:pStyle w:val="3"/>
        <w:rPr>
          <w:rStyle w:val="24"/>
          <w:rFonts w:ascii="仿宋" w:hAnsi="仿宋" w:eastAsia="仿宋"/>
          <w:b w:val="0"/>
          <w:bCs w:val="0"/>
        </w:rPr>
      </w:pPr>
      <w:bookmarkStart w:id="458" w:name="_Toc961"/>
      <w:bookmarkStart w:id="459" w:name="_Toc15396630"/>
      <w:bookmarkStart w:id="460" w:name="_Toc588"/>
      <w:bookmarkStart w:id="461" w:name="_Toc79163647"/>
      <w:bookmarkStart w:id="462" w:name="_Toc10033"/>
      <w:r>
        <w:rPr>
          <w:rStyle w:val="24"/>
          <w:rFonts w:hint="eastAsia" w:ascii="仿宋" w:hAnsi="仿宋" w:eastAsia="仿宋"/>
          <w:b w:val="0"/>
          <w:bCs w:val="0"/>
        </w:rPr>
        <w:t>十二、政府性基金预算财政拨款“三公”经费支出决算表</w:t>
      </w:r>
      <w:bookmarkEnd w:id="458"/>
      <w:bookmarkEnd w:id="459"/>
      <w:bookmarkEnd w:id="460"/>
      <w:bookmarkEnd w:id="461"/>
      <w:bookmarkEnd w:id="462"/>
    </w:p>
    <w:p>
      <w:pPr>
        <w:pStyle w:val="3"/>
        <w:rPr>
          <w:rStyle w:val="24"/>
          <w:rFonts w:ascii="仿宋" w:hAnsi="仿宋" w:eastAsia="仿宋"/>
          <w:b w:val="0"/>
          <w:bCs w:val="0"/>
        </w:rPr>
      </w:pPr>
      <w:bookmarkStart w:id="463" w:name="_Toc31569"/>
      <w:bookmarkStart w:id="464" w:name="_Toc3285"/>
      <w:bookmarkStart w:id="465" w:name="_Toc27123"/>
      <w:r>
        <w:rPr>
          <w:rStyle w:val="24"/>
          <w:rFonts w:hint="eastAsia" w:ascii="仿宋" w:hAnsi="仿宋" w:eastAsia="仿宋"/>
          <w:b w:val="0"/>
          <w:bCs w:val="0"/>
        </w:rPr>
        <w:t>十三、国有资本经营预算财政拨款收入支出决算表</w:t>
      </w:r>
      <w:bookmarkEnd w:id="463"/>
      <w:bookmarkEnd w:id="464"/>
      <w:bookmarkEnd w:id="465"/>
    </w:p>
    <w:p>
      <w:pPr>
        <w:pStyle w:val="3"/>
        <w:rPr>
          <w:rStyle w:val="24"/>
          <w:rFonts w:ascii="仿宋" w:hAnsi="仿宋" w:eastAsia="仿宋"/>
          <w:b w:val="0"/>
          <w:bCs w:val="0"/>
        </w:rPr>
      </w:pPr>
      <w:bookmarkStart w:id="466" w:name="_Toc26388"/>
      <w:bookmarkStart w:id="467" w:name="_Toc14828"/>
      <w:bookmarkStart w:id="468" w:name="_Toc5480"/>
      <w:r>
        <w:rPr>
          <w:rStyle w:val="24"/>
          <w:rFonts w:hint="eastAsia" w:ascii="仿宋" w:hAnsi="仿宋" w:eastAsia="仿宋"/>
          <w:b w:val="0"/>
          <w:bCs w:val="0"/>
        </w:rPr>
        <w:t>十四、国有资本经营预算财政拨款支出决算表</w:t>
      </w:r>
      <w:bookmarkEnd w:id="466"/>
      <w:bookmarkEnd w:id="467"/>
      <w:bookmarkEnd w:id="46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等线">
    <w:altName w:val="仿宋"/>
    <w:panose1 w:val="00000000000000000000"/>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Light">
    <w:altName w:val="仿宋"/>
    <w:panose1 w:val="000000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altName w:val="仿宋"/>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34</w:t>
    </w:r>
    <w:r>
      <w:rPr>
        <w:lang w:val="zh-CN"/>
      </w:rP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62621CDC"/>
    <w:multiLevelType w:val="multilevel"/>
    <w:tmpl w:val="62621CDC"/>
    <w:lvl w:ilvl="0" w:tentative="0">
      <w:start w:val="1"/>
      <w:numFmt w:val="decimal"/>
      <w:lvlText w:val="%1."/>
      <w:lvlJc w:val="left"/>
      <w:pPr>
        <w:ind w:left="1152" w:hanging="480"/>
      </w:pPr>
      <w:rPr>
        <w:rFonts w:hint="default" w:cs="Times New Roman"/>
      </w:rPr>
    </w:lvl>
    <w:lvl w:ilvl="1" w:tentative="0">
      <w:start w:val="1"/>
      <w:numFmt w:val="lowerLetter"/>
      <w:lvlText w:val="%2)"/>
      <w:lvlJc w:val="left"/>
      <w:pPr>
        <w:ind w:left="1512" w:hanging="420"/>
      </w:pPr>
      <w:rPr>
        <w:rFonts w:cs="Times New Roman"/>
      </w:rPr>
    </w:lvl>
    <w:lvl w:ilvl="2" w:tentative="0">
      <w:start w:val="1"/>
      <w:numFmt w:val="lowerRoman"/>
      <w:lvlText w:val="%3."/>
      <w:lvlJc w:val="right"/>
      <w:pPr>
        <w:ind w:left="1932" w:hanging="420"/>
      </w:pPr>
      <w:rPr>
        <w:rFonts w:cs="Times New Roman"/>
      </w:rPr>
    </w:lvl>
    <w:lvl w:ilvl="3" w:tentative="0">
      <w:start w:val="1"/>
      <w:numFmt w:val="decimal"/>
      <w:lvlText w:val="%4."/>
      <w:lvlJc w:val="left"/>
      <w:pPr>
        <w:ind w:left="2352" w:hanging="420"/>
      </w:pPr>
      <w:rPr>
        <w:rFonts w:cs="Times New Roman"/>
      </w:rPr>
    </w:lvl>
    <w:lvl w:ilvl="4" w:tentative="0">
      <w:start w:val="1"/>
      <w:numFmt w:val="lowerLetter"/>
      <w:lvlText w:val="%5)"/>
      <w:lvlJc w:val="left"/>
      <w:pPr>
        <w:ind w:left="2772" w:hanging="420"/>
      </w:pPr>
      <w:rPr>
        <w:rFonts w:cs="Times New Roman"/>
      </w:rPr>
    </w:lvl>
    <w:lvl w:ilvl="5" w:tentative="0">
      <w:start w:val="1"/>
      <w:numFmt w:val="lowerRoman"/>
      <w:lvlText w:val="%6."/>
      <w:lvlJc w:val="right"/>
      <w:pPr>
        <w:ind w:left="3192" w:hanging="420"/>
      </w:pPr>
      <w:rPr>
        <w:rFonts w:cs="Times New Roman"/>
      </w:rPr>
    </w:lvl>
    <w:lvl w:ilvl="6" w:tentative="0">
      <w:start w:val="1"/>
      <w:numFmt w:val="decimal"/>
      <w:lvlText w:val="%7."/>
      <w:lvlJc w:val="left"/>
      <w:pPr>
        <w:ind w:left="3612" w:hanging="420"/>
      </w:pPr>
      <w:rPr>
        <w:rFonts w:cs="Times New Roman"/>
      </w:rPr>
    </w:lvl>
    <w:lvl w:ilvl="7" w:tentative="0">
      <w:start w:val="1"/>
      <w:numFmt w:val="lowerLetter"/>
      <w:lvlText w:val="%8)"/>
      <w:lvlJc w:val="left"/>
      <w:pPr>
        <w:ind w:left="4032" w:hanging="420"/>
      </w:pPr>
      <w:rPr>
        <w:rFonts w:cs="Times New Roman"/>
      </w:rPr>
    </w:lvl>
    <w:lvl w:ilvl="8" w:tentative="0">
      <w:start w:val="1"/>
      <w:numFmt w:val="lowerRoman"/>
      <w:lvlText w:val="%9."/>
      <w:lvlJc w:val="right"/>
      <w:pPr>
        <w:ind w:left="4452" w:hanging="42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1748C"/>
    <w:rsid w:val="000222C6"/>
    <w:rsid w:val="0002549F"/>
    <w:rsid w:val="00032E03"/>
    <w:rsid w:val="000467A1"/>
    <w:rsid w:val="000468DB"/>
    <w:rsid w:val="0006487A"/>
    <w:rsid w:val="00065F8F"/>
    <w:rsid w:val="00070A43"/>
    <w:rsid w:val="000768F2"/>
    <w:rsid w:val="0009184B"/>
    <w:rsid w:val="00094236"/>
    <w:rsid w:val="0009593C"/>
    <w:rsid w:val="00097322"/>
    <w:rsid w:val="000973F2"/>
    <w:rsid w:val="000A6A92"/>
    <w:rsid w:val="000B047F"/>
    <w:rsid w:val="000B1EA3"/>
    <w:rsid w:val="000B5923"/>
    <w:rsid w:val="000B5A48"/>
    <w:rsid w:val="000B6FF3"/>
    <w:rsid w:val="000C3467"/>
    <w:rsid w:val="000C3CA6"/>
    <w:rsid w:val="000D1267"/>
    <w:rsid w:val="000D1643"/>
    <w:rsid w:val="000D1D50"/>
    <w:rsid w:val="000D5782"/>
    <w:rsid w:val="000E6613"/>
    <w:rsid w:val="000E7119"/>
    <w:rsid w:val="00102C22"/>
    <w:rsid w:val="0010410E"/>
    <w:rsid w:val="00114E9B"/>
    <w:rsid w:val="00115301"/>
    <w:rsid w:val="001319E1"/>
    <w:rsid w:val="00142216"/>
    <w:rsid w:val="00144D6A"/>
    <w:rsid w:val="0014729F"/>
    <w:rsid w:val="00157BAB"/>
    <w:rsid w:val="001654D1"/>
    <w:rsid w:val="00171B80"/>
    <w:rsid w:val="00174518"/>
    <w:rsid w:val="0018106D"/>
    <w:rsid w:val="001877A7"/>
    <w:rsid w:val="00191536"/>
    <w:rsid w:val="00196687"/>
    <w:rsid w:val="001A4183"/>
    <w:rsid w:val="001B32DA"/>
    <w:rsid w:val="001C0962"/>
    <w:rsid w:val="001D7531"/>
    <w:rsid w:val="001E737D"/>
    <w:rsid w:val="001F0592"/>
    <w:rsid w:val="001F7506"/>
    <w:rsid w:val="002006CD"/>
    <w:rsid w:val="00202B36"/>
    <w:rsid w:val="00204B7A"/>
    <w:rsid w:val="00204CDE"/>
    <w:rsid w:val="0021101A"/>
    <w:rsid w:val="00220536"/>
    <w:rsid w:val="00221F1E"/>
    <w:rsid w:val="00235629"/>
    <w:rsid w:val="00256262"/>
    <w:rsid w:val="00260C38"/>
    <w:rsid w:val="002616C0"/>
    <w:rsid w:val="00265372"/>
    <w:rsid w:val="002662AA"/>
    <w:rsid w:val="0027224D"/>
    <w:rsid w:val="00280496"/>
    <w:rsid w:val="00291118"/>
    <w:rsid w:val="00293DC8"/>
    <w:rsid w:val="00294DC9"/>
    <w:rsid w:val="00295495"/>
    <w:rsid w:val="002A1642"/>
    <w:rsid w:val="002A31DE"/>
    <w:rsid w:val="002A4769"/>
    <w:rsid w:val="002B2613"/>
    <w:rsid w:val="002C20EB"/>
    <w:rsid w:val="002C3C3D"/>
    <w:rsid w:val="002D6D05"/>
    <w:rsid w:val="002E7989"/>
    <w:rsid w:val="002F1818"/>
    <w:rsid w:val="002F567B"/>
    <w:rsid w:val="003216A9"/>
    <w:rsid w:val="00333E64"/>
    <w:rsid w:val="00335A74"/>
    <w:rsid w:val="00335DEF"/>
    <w:rsid w:val="00354E22"/>
    <w:rsid w:val="0036060E"/>
    <w:rsid w:val="0036561B"/>
    <w:rsid w:val="0037013F"/>
    <w:rsid w:val="003744B7"/>
    <w:rsid w:val="00380C92"/>
    <w:rsid w:val="0038142B"/>
    <w:rsid w:val="00387AE5"/>
    <w:rsid w:val="00391FB4"/>
    <w:rsid w:val="003A484F"/>
    <w:rsid w:val="003A4883"/>
    <w:rsid w:val="003B0BE0"/>
    <w:rsid w:val="003B0C1B"/>
    <w:rsid w:val="003B688C"/>
    <w:rsid w:val="003C0291"/>
    <w:rsid w:val="003C1644"/>
    <w:rsid w:val="003C39AE"/>
    <w:rsid w:val="003C7B60"/>
    <w:rsid w:val="003D0C0F"/>
    <w:rsid w:val="003D1FB2"/>
    <w:rsid w:val="003D66DA"/>
    <w:rsid w:val="003E1310"/>
    <w:rsid w:val="003E1F3F"/>
    <w:rsid w:val="003E6F55"/>
    <w:rsid w:val="003E6FE4"/>
    <w:rsid w:val="003F1A80"/>
    <w:rsid w:val="00406254"/>
    <w:rsid w:val="00413188"/>
    <w:rsid w:val="004223DE"/>
    <w:rsid w:val="00434489"/>
    <w:rsid w:val="00435A50"/>
    <w:rsid w:val="00437085"/>
    <w:rsid w:val="00443880"/>
    <w:rsid w:val="00445607"/>
    <w:rsid w:val="004464F4"/>
    <w:rsid w:val="004644D7"/>
    <w:rsid w:val="00471401"/>
    <w:rsid w:val="004729E1"/>
    <w:rsid w:val="00473F31"/>
    <w:rsid w:val="00480ED9"/>
    <w:rsid w:val="0048263A"/>
    <w:rsid w:val="00487E5D"/>
    <w:rsid w:val="0049595F"/>
    <w:rsid w:val="004A711F"/>
    <w:rsid w:val="004A7A4C"/>
    <w:rsid w:val="004B199D"/>
    <w:rsid w:val="004B4690"/>
    <w:rsid w:val="004D52C1"/>
    <w:rsid w:val="004D5479"/>
    <w:rsid w:val="004E0A2D"/>
    <w:rsid w:val="004E206B"/>
    <w:rsid w:val="004E6DF7"/>
    <w:rsid w:val="004F0FBD"/>
    <w:rsid w:val="00505A47"/>
    <w:rsid w:val="00510CEF"/>
    <w:rsid w:val="00512FDA"/>
    <w:rsid w:val="00520DA0"/>
    <w:rsid w:val="005269A7"/>
    <w:rsid w:val="005269D7"/>
    <w:rsid w:val="005664BB"/>
    <w:rsid w:val="00566FFA"/>
    <w:rsid w:val="0057481D"/>
    <w:rsid w:val="0058486E"/>
    <w:rsid w:val="00585B33"/>
    <w:rsid w:val="0059014D"/>
    <w:rsid w:val="005A7D21"/>
    <w:rsid w:val="005B033F"/>
    <w:rsid w:val="005B5C64"/>
    <w:rsid w:val="005C2D69"/>
    <w:rsid w:val="005C340B"/>
    <w:rsid w:val="005C5337"/>
    <w:rsid w:val="005C6BD0"/>
    <w:rsid w:val="005D18E5"/>
    <w:rsid w:val="005D1C8B"/>
    <w:rsid w:val="005D468D"/>
    <w:rsid w:val="005D5CED"/>
    <w:rsid w:val="005F177A"/>
    <w:rsid w:val="005F1A4C"/>
    <w:rsid w:val="00605688"/>
    <w:rsid w:val="006070AF"/>
    <w:rsid w:val="00607E6C"/>
    <w:rsid w:val="006101B1"/>
    <w:rsid w:val="00614E44"/>
    <w:rsid w:val="0062270A"/>
    <w:rsid w:val="00622830"/>
    <w:rsid w:val="00623DA0"/>
    <w:rsid w:val="00630AEF"/>
    <w:rsid w:val="006325F8"/>
    <w:rsid w:val="00633463"/>
    <w:rsid w:val="00633A94"/>
    <w:rsid w:val="00634C9A"/>
    <w:rsid w:val="006440E4"/>
    <w:rsid w:val="00645F81"/>
    <w:rsid w:val="0066343B"/>
    <w:rsid w:val="00664777"/>
    <w:rsid w:val="006748A4"/>
    <w:rsid w:val="00681A31"/>
    <w:rsid w:val="00683E73"/>
    <w:rsid w:val="00693B90"/>
    <w:rsid w:val="006A3141"/>
    <w:rsid w:val="006A41F1"/>
    <w:rsid w:val="006A5E34"/>
    <w:rsid w:val="006B2422"/>
    <w:rsid w:val="006B2B9A"/>
    <w:rsid w:val="006C1705"/>
    <w:rsid w:val="006C1937"/>
    <w:rsid w:val="006C2982"/>
    <w:rsid w:val="006E3D4A"/>
    <w:rsid w:val="006F020C"/>
    <w:rsid w:val="006F36E7"/>
    <w:rsid w:val="007127B7"/>
    <w:rsid w:val="00712B2E"/>
    <w:rsid w:val="0071798E"/>
    <w:rsid w:val="007360EF"/>
    <w:rsid w:val="007416B6"/>
    <w:rsid w:val="0074337D"/>
    <w:rsid w:val="00746F48"/>
    <w:rsid w:val="0075404D"/>
    <w:rsid w:val="0076182A"/>
    <w:rsid w:val="00767B7E"/>
    <w:rsid w:val="007744F5"/>
    <w:rsid w:val="007770C3"/>
    <w:rsid w:val="00784D24"/>
    <w:rsid w:val="00785FBA"/>
    <w:rsid w:val="00786E4A"/>
    <w:rsid w:val="007875EB"/>
    <w:rsid w:val="0079426B"/>
    <w:rsid w:val="007A1B0B"/>
    <w:rsid w:val="007A2DC1"/>
    <w:rsid w:val="007D1682"/>
    <w:rsid w:val="007D312A"/>
    <w:rsid w:val="007D3F19"/>
    <w:rsid w:val="007D71D3"/>
    <w:rsid w:val="007E23B0"/>
    <w:rsid w:val="007E23E5"/>
    <w:rsid w:val="007E361E"/>
    <w:rsid w:val="007F1991"/>
    <w:rsid w:val="007F2C2F"/>
    <w:rsid w:val="007F437A"/>
    <w:rsid w:val="007F55FC"/>
    <w:rsid w:val="007F5665"/>
    <w:rsid w:val="00800112"/>
    <w:rsid w:val="00813348"/>
    <w:rsid w:val="008253BB"/>
    <w:rsid w:val="0083706E"/>
    <w:rsid w:val="008408F6"/>
    <w:rsid w:val="00840C41"/>
    <w:rsid w:val="008423A5"/>
    <w:rsid w:val="00850625"/>
    <w:rsid w:val="00853718"/>
    <w:rsid w:val="00855221"/>
    <w:rsid w:val="00860645"/>
    <w:rsid w:val="00871F71"/>
    <w:rsid w:val="00872FD8"/>
    <w:rsid w:val="00885AF4"/>
    <w:rsid w:val="00885F42"/>
    <w:rsid w:val="00892977"/>
    <w:rsid w:val="008939CD"/>
    <w:rsid w:val="008B0BF1"/>
    <w:rsid w:val="008B34B6"/>
    <w:rsid w:val="008B768C"/>
    <w:rsid w:val="008C4DB1"/>
    <w:rsid w:val="008C4EAF"/>
    <w:rsid w:val="008C5176"/>
    <w:rsid w:val="008C7FD0"/>
    <w:rsid w:val="008E1DE7"/>
    <w:rsid w:val="008E707C"/>
    <w:rsid w:val="00900B08"/>
    <w:rsid w:val="00902155"/>
    <w:rsid w:val="00902FA3"/>
    <w:rsid w:val="00923564"/>
    <w:rsid w:val="0092392E"/>
    <w:rsid w:val="00925BF3"/>
    <w:rsid w:val="009315F9"/>
    <w:rsid w:val="00933499"/>
    <w:rsid w:val="009334D8"/>
    <w:rsid w:val="00935439"/>
    <w:rsid w:val="00935C98"/>
    <w:rsid w:val="00946945"/>
    <w:rsid w:val="00951248"/>
    <w:rsid w:val="0095152F"/>
    <w:rsid w:val="00954C49"/>
    <w:rsid w:val="00955E37"/>
    <w:rsid w:val="00962656"/>
    <w:rsid w:val="0097099F"/>
    <w:rsid w:val="00971997"/>
    <w:rsid w:val="00971FFC"/>
    <w:rsid w:val="00974A85"/>
    <w:rsid w:val="0097555F"/>
    <w:rsid w:val="00976ED2"/>
    <w:rsid w:val="00983F6A"/>
    <w:rsid w:val="0098660A"/>
    <w:rsid w:val="009931C3"/>
    <w:rsid w:val="00994E69"/>
    <w:rsid w:val="009A159D"/>
    <w:rsid w:val="009A548D"/>
    <w:rsid w:val="009A6785"/>
    <w:rsid w:val="009B2C43"/>
    <w:rsid w:val="009B4EAE"/>
    <w:rsid w:val="009B7573"/>
    <w:rsid w:val="009C22F4"/>
    <w:rsid w:val="009C2A4B"/>
    <w:rsid w:val="009C2E98"/>
    <w:rsid w:val="009C622E"/>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356FB"/>
    <w:rsid w:val="00A40A00"/>
    <w:rsid w:val="00A4142F"/>
    <w:rsid w:val="00A4144E"/>
    <w:rsid w:val="00A422EB"/>
    <w:rsid w:val="00A45BB7"/>
    <w:rsid w:val="00A46180"/>
    <w:rsid w:val="00A56DF2"/>
    <w:rsid w:val="00A56E6E"/>
    <w:rsid w:val="00A647DA"/>
    <w:rsid w:val="00A6787D"/>
    <w:rsid w:val="00A67AB5"/>
    <w:rsid w:val="00A7286A"/>
    <w:rsid w:val="00A733B2"/>
    <w:rsid w:val="00A741C2"/>
    <w:rsid w:val="00A91760"/>
    <w:rsid w:val="00A93B00"/>
    <w:rsid w:val="00A93C21"/>
    <w:rsid w:val="00AB0172"/>
    <w:rsid w:val="00AB64C9"/>
    <w:rsid w:val="00AC3C6A"/>
    <w:rsid w:val="00AD5620"/>
    <w:rsid w:val="00AD656B"/>
    <w:rsid w:val="00AD7C1B"/>
    <w:rsid w:val="00AE16BA"/>
    <w:rsid w:val="00AE1EBE"/>
    <w:rsid w:val="00B011E4"/>
    <w:rsid w:val="00B03C9D"/>
    <w:rsid w:val="00B060AE"/>
    <w:rsid w:val="00B10517"/>
    <w:rsid w:val="00B14E76"/>
    <w:rsid w:val="00B161B8"/>
    <w:rsid w:val="00B17621"/>
    <w:rsid w:val="00B2048C"/>
    <w:rsid w:val="00B310B9"/>
    <w:rsid w:val="00B35F3F"/>
    <w:rsid w:val="00B36CBB"/>
    <w:rsid w:val="00B425E0"/>
    <w:rsid w:val="00B440AA"/>
    <w:rsid w:val="00B44B70"/>
    <w:rsid w:val="00B53C56"/>
    <w:rsid w:val="00B563E7"/>
    <w:rsid w:val="00B57DAF"/>
    <w:rsid w:val="00B77EA6"/>
    <w:rsid w:val="00B81598"/>
    <w:rsid w:val="00B841F1"/>
    <w:rsid w:val="00B90E4E"/>
    <w:rsid w:val="00B944D6"/>
    <w:rsid w:val="00B965DC"/>
    <w:rsid w:val="00BB24A2"/>
    <w:rsid w:val="00BB4DF0"/>
    <w:rsid w:val="00BC289F"/>
    <w:rsid w:val="00BC2D50"/>
    <w:rsid w:val="00BC5361"/>
    <w:rsid w:val="00BC5460"/>
    <w:rsid w:val="00BC6B50"/>
    <w:rsid w:val="00BD0E25"/>
    <w:rsid w:val="00BF5BD6"/>
    <w:rsid w:val="00C03E31"/>
    <w:rsid w:val="00C14B46"/>
    <w:rsid w:val="00C33E72"/>
    <w:rsid w:val="00C354B2"/>
    <w:rsid w:val="00C35554"/>
    <w:rsid w:val="00C42709"/>
    <w:rsid w:val="00C533CC"/>
    <w:rsid w:val="00C5751C"/>
    <w:rsid w:val="00C602CF"/>
    <w:rsid w:val="00C61BFC"/>
    <w:rsid w:val="00C62B85"/>
    <w:rsid w:val="00C65438"/>
    <w:rsid w:val="00C87FD8"/>
    <w:rsid w:val="00C91381"/>
    <w:rsid w:val="00C91CBB"/>
    <w:rsid w:val="00CB4E70"/>
    <w:rsid w:val="00CC09B6"/>
    <w:rsid w:val="00CC666F"/>
    <w:rsid w:val="00CD0D49"/>
    <w:rsid w:val="00CD1E3F"/>
    <w:rsid w:val="00CD3A6E"/>
    <w:rsid w:val="00CE44F6"/>
    <w:rsid w:val="00CE49DA"/>
    <w:rsid w:val="00CE7B61"/>
    <w:rsid w:val="00CF11E3"/>
    <w:rsid w:val="00D00095"/>
    <w:rsid w:val="00D02143"/>
    <w:rsid w:val="00D05532"/>
    <w:rsid w:val="00D114F0"/>
    <w:rsid w:val="00D164B4"/>
    <w:rsid w:val="00D167E7"/>
    <w:rsid w:val="00D20620"/>
    <w:rsid w:val="00D254F7"/>
    <w:rsid w:val="00D26091"/>
    <w:rsid w:val="00D2685C"/>
    <w:rsid w:val="00D31409"/>
    <w:rsid w:val="00D34E7C"/>
    <w:rsid w:val="00D35489"/>
    <w:rsid w:val="00D36AFE"/>
    <w:rsid w:val="00D47DCF"/>
    <w:rsid w:val="00D51276"/>
    <w:rsid w:val="00D5299B"/>
    <w:rsid w:val="00D7035F"/>
    <w:rsid w:val="00D81A47"/>
    <w:rsid w:val="00D86DA0"/>
    <w:rsid w:val="00DA634F"/>
    <w:rsid w:val="00DA65AC"/>
    <w:rsid w:val="00DB1913"/>
    <w:rsid w:val="00DC410D"/>
    <w:rsid w:val="00DC5A81"/>
    <w:rsid w:val="00DC68CA"/>
    <w:rsid w:val="00DC74B0"/>
    <w:rsid w:val="00DC7CBA"/>
    <w:rsid w:val="00DD73B7"/>
    <w:rsid w:val="00DE3170"/>
    <w:rsid w:val="00DF28BC"/>
    <w:rsid w:val="00DF34B9"/>
    <w:rsid w:val="00E01053"/>
    <w:rsid w:val="00E07ACF"/>
    <w:rsid w:val="00E26117"/>
    <w:rsid w:val="00E32CAD"/>
    <w:rsid w:val="00E331A1"/>
    <w:rsid w:val="00E33202"/>
    <w:rsid w:val="00E336A9"/>
    <w:rsid w:val="00E33CE0"/>
    <w:rsid w:val="00E40451"/>
    <w:rsid w:val="00E472B1"/>
    <w:rsid w:val="00E50624"/>
    <w:rsid w:val="00E568DF"/>
    <w:rsid w:val="00E62EEE"/>
    <w:rsid w:val="00E64269"/>
    <w:rsid w:val="00E64F4E"/>
    <w:rsid w:val="00E70975"/>
    <w:rsid w:val="00E82267"/>
    <w:rsid w:val="00E82395"/>
    <w:rsid w:val="00E853CE"/>
    <w:rsid w:val="00E867B6"/>
    <w:rsid w:val="00E93DDA"/>
    <w:rsid w:val="00E945F5"/>
    <w:rsid w:val="00EA010F"/>
    <w:rsid w:val="00EA25B7"/>
    <w:rsid w:val="00EC418F"/>
    <w:rsid w:val="00ED1B63"/>
    <w:rsid w:val="00ED3C1F"/>
    <w:rsid w:val="00ED4085"/>
    <w:rsid w:val="00ED420E"/>
    <w:rsid w:val="00ED6FBE"/>
    <w:rsid w:val="00EE2F57"/>
    <w:rsid w:val="00EF4C34"/>
    <w:rsid w:val="00EF60EF"/>
    <w:rsid w:val="00EF6A58"/>
    <w:rsid w:val="00EF77C6"/>
    <w:rsid w:val="00F05438"/>
    <w:rsid w:val="00F07955"/>
    <w:rsid w:val="00F1361C"/>
    <w:rsid w:val="00F156F0"/>
    <w:rsid w:val="00F160C7"/>
    <w:rsid w:val="00F2408F"/>
    <w:rsid w:val="00F240E9"/>
    <w:rsid w:val="00F30AD2"/>
    <w:rsid w:val="00F36D8F"/>
    <w:rsid w:val="00F417B1"/>
    <w:rsid w:val="00F45853"/>
    <w:rsid w:val="00F46857"/>
    <w:rsid w:val="00F602DF"/>
    <w:rsid w:val="00F611D1"/>
    <w:rsid w:val="00F72883"/>
    <w:rsid w:val="00F754A1"/>
    <w:rsid w:val="00F81FD9"/>
    <w:rsid w:val="00F841AA"/>
    <w:rsid w:val="00F84A94"/>
    <w:rsid w:val="00F87E96"/>
    <w:rsid w:val="00FA23E8"/>
    <w:rsid w:val="00FC2607"/>
    <w:rsid w:val="00FD3CC1"/>
    <w:rsid w:val="00FD738F"/>
    <w:rsid w:val="00FE5EEB"/>
    <w:rsid w:val="00FF1E02"/>
    <w:rsid w:val="00FF30B4"/>
    <w:rsid w:val="043C2CC0"/>
    <w:rsid w:val="05372D53"/>
    <w:rsid w:val="0A2032A3"/>
    <w:rsid w:val="10C055FF"/>
    <w:rsid w:val="111C393E"/>
    <w:rsid w:val="118107EC"/>
    <w:rsid w:val="16BB723D"/>
    <w:rsid w:val="1D155CEE"/>
    <w:rsid w:val="1DCE6379"/>
    <w:rsid w:val="1EA3115A"/>
    <w:rsid w:val="2037109C"/>
    <w:rsid w:val="240371BF"/>
    <w:rsid w:val="2920634A"/>
    <w:rsid w:val="29FD04D3"/>
    <w:rsid w:val="2AD82074"/>
    <w:rsid w:val="2F314B21"/>
    <w:rsid w:val="319F7F4E"/>
    <w:rsid w:val="34930111"/>
    <w:rsid w:val="39895582"/>
    <w:rsid w:val="39B62B83"/>
    <w:rsid w:val="44466CA0"/>
    <w:rsid w:val="4D2E7D47"/>
    <w:rsid w:val="4ECE2238"/>
    <w:rsid w:val="522B4FCF"/>
    <w:rsid w:val="6C4A05C8"/>
    <w:rsid w:val="6DFE1FAD"/>
    <w:rsid w:val="72734D90"/>
    <w:rsid w:val="731A4382"/>
    <w:rsid w:val="73FFD8A7"/>
    <w:rsid w:val="79C734BA"/>
    <w:rsid w:val="7A5406E5"/>
    <w:rsid w:val="7BFB5773"/>
    <w:rsid w:val="7D664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2"/>
    <w:qFormat/>
    <w:uiPriority w:val="99"/>
    <w:pPr>
      <w:spacing w:beforeLines="30"/>
    </w:pPr>
    <w:rPr>
      <w:rFonts w:ascii="仿宋_GB2312" w:eastAsia="仿宋_GB2312"/>
      <w:kern w:val="0"/>
      <w:sz w:val="24"/>
      <w:szCs w:val="20"/>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7"/>
    <w:semiHidden/>
    <w:unhideWhenUsed/>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paragraph" w:styleId="18">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Char"/>
    <w:basedOn w:val="20"/>
    <w:link w:val="2"/>
    <w:qFormat/>
    <w:locked/>
    <w:uiPriority w:val="9"/>
    <w:rPr>
      <w:rFonts w:ascii="Times New Roman" w:hAnsi="Times New Roman" w:cs="Times New Roman"/>
      <w:b/>
      <w:bCs/>
      <w:kern w:val="44"/>
      <w:sz w:val="44"/>
      <w:szCs w:val="44"/>
    </w:rPr>
  </w:style>
  <w:style w:type="character" w:customStyle="1" w:styleId="24">
    <w:name w:val="标题 2 Char"/>
    <w:basedOn w:val="20"/>
    <w:link w:val="3"/>
    <w:qFormat/>
    <w:locked/>
    <w:uiPriority w:val="9"/>
    <w:rPr>
      <w:rFonts w:ascii="Cambria" w:hAnsi="Cambria" w:eastAsia="宋体" w:cs="Times New Roman"/>
      <w:b/>
      <w:bCs/>
      <w:kern w:val="2"/>
      <w:sz w:val="32"/>
      <w:szCs w:val="32"/>
    </w:rPr>
  </w:style>
  <w:style w:type="character" w:customStyle="1" w:styleId="25">
    <w:name w:val="标题 3 Char"/>
    <w:basedOn w:val="20"/>
    <w:link w:val="4"/>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Char"/>
    <w:basedOn w:val="20"/>
    <w:link w:val="10"/>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Char"/>
    <w:link w:val="12"/>
    <w:semiHidden/>
    <w:qFormat/>
    <w:locked/>
    <w:uiPriority w:val="99"/>
    <w:rPr>
      <w:sz w:val="18"/>
    </w:rPr>
  </w:style>
  <w:style w:type="character" w:customStyle="1" w:styleId="31">
    <w:name w:val="页脚 Char"/>
    <w:link w:val="11"/>
    <w:qFormat/>
    <w:locked/>
    <w:uiPriority w:val="99"/>
    <w:rPr>
      <w:sz w:val="18"/>
    </w:rPr>
  </w:style>
  <w:style w:type="character" w:customStyle="1" w:styleId="32">
    <w:name w:val="正文文本 Char"/>
    <w:link w:val="6"/>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paragraph" w:styleId="38">
    <w:name w:val="List Paragraph"/>
    <w:basedOn w:val="1"/>
    <w:qFormat/>
    <w:uiPriority w:val="34"/>
    <w:pPr>
      <w:ind w:firstLine="420" w:firstLineChars="200"/>
    </w:pPr>
  </w:style>
  <w:style w:type="paragraph" w:customStyle="1" w:styleId="39">
    <w:name w:val="18"/>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hart" Target="charts/chart9.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package" Target="../embeddings/Workbook9.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8.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package" Target="../embeddings/Workbook8.xlsx"/></Relationships>
</file>

<file path=word/charts/_rels/chart9.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7741530740276"/>
          <c:y val="0.0549148650674239"/>
          <c:w val="0.92605"/>
          <c:h val="0.7084"/>
        </c:manualLayout>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delete val="1"/>
          </c:dLbls>
          <c:cat>
            <c:strRef>
              <c:extLst>
                <c:ext xmlns:c15="http://schemas.microsoft.com/office/drawing/2012/chart" uri="{02D57815-91ED-43cb-92C2-25804820EDAC}">
                  <c15:fullRef>
                    <c15:sqref>Sheet1!$A$2:$A$5</c15:sqref>
                  </c15:fullRef>
                </c:ext>
              </c:extLst>
              <c:f>Sheet1!$A$2</c:f>
              <c:strCache>
                <c:ptCount val="1"/>
                <c:pt idx="0">
                  <c:v>收入</c:v>
                </c:pt>
              </c:strCache>
            </c:strRef>
          </c:cat>
          <c:val>
            <c:numRef>
              <c:extLst>
                <c:ext xmlns:c15="http://schemas.microsoft.com/office/drawing/2012/chart" uri="{02D57815-91ED-43cb-92C2-25804820EDAC}">
                  <c15:fullRef>
                    <c15:sqref>Sheet1!$B$2:$B$5</c15:sqref>
                  </c15:fullRef>
                </c:ext>
              </c:extLst>
              <c:f>Sheet1!$B$2</c:f>
              <c:numCache>
                <c:formatCode>General</c:formatCode>
                <c:ptCount val="1"/>
                <c:pt idx="0">
                  <c:v>1126.32</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extLst>
                <c:ext xmlns:c15="http://schemas.microsoft.com/office/drawing/2012/chart" uri="{02D57815-91ED-43cb-92C2-25804820EDAC}">
                  <c15:fullRef>
                    <c15:sqref>Sheet1!$A$2:$A$5</c15:sqref>
                  </c15:fullRef>
                </c:ext>
              </c:extLst>
              <c:f>Sheet1!$A$2</c:f>
              <c:strCache>
                <c:ptCount val="1"/>
                <c:pt idx="0">
                  <c:v>收入</c:v>
                </c:pt>
              </c:strCache>
            </c:strRef>
          </c:cat>
          <c:val>
            <c:numRef>
              <c:extLst>
                <c:ext xmlns:c15="http://schemas.microsoft.com/office/drawing/2012/chart" uri="{02D57815-91ED-43cb-92C2-25804820EDAC}">
                  <c15:fullRef>
                    <c15:sqref>Sheet1!$C$2:$C$5</c15:sqref>
                  </c15:fullRef>
                </c:ext>
              </c:extLst>
              <c:f>Sheet1!$C$2</c:f>
              <c:numCache>
                <c:formatCode>General</c:formatCode>
                <c:ptCount val="1"/>
                <c:pt idx="0">
                  <c:v>1060.26</c:v>
                </c:pt>
              </c:numCache>
            </c:numRef>
          </c:val>
        </c:ser>
        <c:dLbls>
          <c:showLegendKey val="0"/>
          <c:showVal val="0"/>
          <c:showCatName val="0"/>
          <c:showSerName val="0"/>
          <c:showPercent val="0"/>
          <c:showBubbleSize val="0"/>
        </c:dLbls>
        <c:gapWidth val="219"/>
        <c:overlap val="-27"/>
        <c:axId val="66566784"/>
        <c:axId val="66576768"/>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系列 3</c:v>
                      </c:pt>
                    </c:strCache>
                  </c:strRef>
                </c:tx>
                <c:spPr>
                  <a:solidFill>
                    <a:schemeClr val="accent3"/>
                  </a:solidFill>
                  <a:ln>
                    <a:noFill/>
                  </a:ln>
                  <a:effectLst/>
                </c:spPr>
                <c:invertIfNegative val="0"/>
                <c:dLbls>
                  <c:delete val="1"/>
                </c:dLbls>
                <c:cat>
                  <c:strRef>
                    <c:extLst>
                      <c:ext uri="{02D57815-91ED-43cb-92C2-25804820EDAC}">
                        <c15:fullRef>
                          <c15:sqref>Sheet1!$A$2:$A$5</c15:sqref>
                        </c15:fullRef>
                        <c15:formulaRef>
                          <c15:sqref>Sheet1!$A$2</c15:sqref>
                        </c15:formulaRef>
                      </c:ext>
                    </c:extLst>
                    <c:strCache>
                      <c:ptCount val="1"/>
                      <c:pt idx="0">
                        <c:v>收入</c:v>
                      </c:pt>
                    </c:strCache>
                  </c:strRef>
                </c:cat>
                <c:val>
                  <c:numRef>
                    <c:extLst>
                      <c:ext uri="{02D57815-91ED-43cb-92C2-25804820EDAC}">
                        <c15:fullRef>
                          <c15:sqref>Sheet1!$D$2:$D$5</c15:sqref>
                        </c15:fullRef>
                        <c15:formulaRef>
                          <c15:sqref>Sheet1!$D$2</c15:sqref>
                        </c15:formulaRef>
                      </c:ext>
                    </c:extLst>
                    <c:numCache>
                      <c:formatCode>General</c:formatCode>
                      <c:ptCount val="1"/>
                      <c:pt idx="0">
                        <c:v>2</c:v>
                      </c:pt>
                    </c:numCache>
                  </c:numRef>
                </c:val>
              </c15:ser>
            </c15:filteredBarSeries>
          </c:ext>
        </c:extLst>
      </c:barChart>
      <c:catAx>
        <c:axId val="665667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576768"/>
        <c:crosses val="autoZero"/>
        <c:auto val="1"/>
        <c:lblAlgn val="ctr"/>
        <c:lblOffset val="100"/>
        <c:noMultiLvlLbl val="0"/>
      </c:catAx>
      <c:valAx>
        <c:axId val="66576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56678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delete val="1"/>
          </c:dLbls>
          <c:cat>
            <c:strRef>
              <c:extLst>
                <c:ext xmlns:c15="http://schemas.microsoft.com/office/drawing/2012/chart" uri="{02D57815-91ED-43cb-92C2-25804820EDAC}">
                  <c15:fullRef>
                    <c15:sqref>Sheet1!$A$2:$A$5</c15:sqref>
                  </c15:fullRef>
                </c:ext>
              </c:extLst>
              <c:f>Sheet1!$A$2</c:f>
              <c:strCache>
                <c:ptCount val="1"/>
                <c:pt idx="0">
                  <c:v>支出</c:v>
                </c:pt>
              </c:strCache>
            </c:strRef>
          </c:cat>
          <c:val>
            <c:numRef>
              <c:extLst>
                <c:ext xmlns:c15="http://schemas.microsoft.com/office/drawing/2012/chart" uri="{02D57815-91ED-43cb-92C2-25804820EDAC}">
                  <c15:fullRef>
                    <c15:sqref>Sheet1!$B$2:$B$5</c15:sqref>
                  </c15:fullRef>
                </c:ext>
              </c:extLst>
              <c:f>Sheet1!$B$2</c:f>
              <c:numCache>
                <c:formatCode>General</c:formatCode>
                <c:ptCount val="1"/>
                <c:pt idx="0">
                  <c:v>1068.01</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extLst>
                <c:ext xmlns:c15="http://schemas.microsoft.com/office/drawing/2012/chart" uri="{02D57815-91ED-43cb-92C2-25804820EDAC}">
                  <c15:fullRef>
                    <c15:sqref>Sheet1!$A$2:$A$5</c15:sqref>
                  </c15:fullRef>
                </c:ext>
              </c:extLst>
              <c:f>Sheet1!$A$2</c:f>
              <c:strCache>
                <c:ptCount val="1"/>
                <c:pt idx="0">
                  <c:v>支出</c:v>
                </c:pt>
              </c:strCache>
            </c:strRef>
          </c:cat>
          <c:val>
            <c:numRef>
              <c:extLst>
                <c:ext xmlns:c15="http://schemas.microsoft.com/office/drawing/2012/chart" uri="{02D57815-91ED-43cb-92C2-25804820EDAC}">
                  <c15:fullRef>
                    <c15:sqref>Sheet1!$C$2:$C$5</c15:sqref>
                  </c15:fullRef>
                </c:ext>
              </c:extLst>
              <c:f>Sheet1!$C$2</c:f>
              <c:numCache>
                <c:formatCode>General</c:formatCode>
                <c:ptCount val="1"/>
                <c:pt idx="0">
                  <c:v>1034.27</c:v>
                </c:pt>
              </c:numCache>
            </c:numRef>
          </c:val>
        </c:ser>
        <c:dLbls>
          <c:showLegendKey val="0"/>
          <c:showVal val="0"/>
          <c:showCatName val="0"/>
          <c:showSerName val="0"/>
          <c:showPercent val="0"/>
          <c:showBubbleSize val="0"/>
        </c:dLbls>
        <c:gapWidth val="219"/>
        <c:overlap val="-27"/>
        <c:axId val="42973440"/>
        <c:axId val="42979328"/>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系列 3</c:v>
                      </c:pt>
                    </c:strCache>
                  </c:strRef>
                </c:tx>
                <c:spPr>
                  <a:solidFill>
                    <a:schemeClr val="accent3"/>
                  </a:solidFill>
                  <a:ln>
                    <a:noFill/>
                  </a:ln>
                  <a:effectLst/>
                </c:spPr>
                <c:invertIfNegative val="0"/>
                <c:dLbls>
                  <c:delete val="1"/>
                </c:dLbls>
                <c:cat>
                  <c:strRef>
                    <c:extLst>
                      <c:ext uri="{02D57815-91ED-43cb-92C2-25804820EDAC}">
                        <c15:fullRef>
                          <c15:sqref>Sheet1!$A$2:$A$5</c15:sqref>
                        </c15:fullRef>
                        <c15:formulaRef>
                          <c15:sqref>Sheet1!$A$2</c15:sqref>
                        </c15:formulaRef>
                      </c:ext>
                    </c:extLst>
                    <c:strCache>
                      <c:ptCount val="1"/>
                      <c:pt idx="0">
                        <c:v>支出</c:v>
                      </c:pt>
                    </c:strCache>
                  </c:strRef>
                </c:cat>
                <c:val>
                  <c:numRef>
                    <c:extLst>
                      <c:ext uri="{02D57815-91ED-43cb-92C2-25804820EDAC}">
                        <c15:fullRef>
                          <c15:sqref>Sheet1!$D$2:$D$5</c15:sqref>
                        </c15:fullRef>
                        <c15:formulaRef>
                          <c15:sqref>Sheet1!$D$2</c15:sqref>
                        </c15:formulaRef>
                      </c:ext>
                    </c:extLst>
                    <c:numCache>
                      <c:formatCode>General</c:formatCode>
                      <c:ptCount val="1"/>
                      <c:pt idx="0">
                        <c:v>2</c:v>
                      </c:pt>
                    </c:numCache>
                  </c:numRef>
                </c:val>
              </c15:ser>
            </c15:filteredBarSeries>
          </c:ext>
        </c:extLst>
      </c:barChart>
      <c:catAx>
        <c:axId val="429734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979328"/>
        <c:crosses val="autoZero"/>
        <c:auto val="1"/>
        <c:lblAlgn val="ctr"/>
        <c:lblOffset val="100"/>
        <c:noMultiLvlLbl val="0"/>
      </c:catAx>
      <c:valAx>
        <c:axId val="42979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97344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extLst>
                <c:ext xmlns:c15="http://schemas.microsoft.com/office/drawing/2012/chart" uri="{02D57815-91ED-43cb-92C2-25804820EDAC}">
                  <c15:fullRef>
                    <c15:sqref>Sheet1!$A$2:$A$5</c15:sqref>
                  </c15:fullRef>
                </c:ext>
              </c:extLst>
              <c:f>Sheet1!$A$2:$A$3</c:f>
              <c:strCache>
                <c:ptCount val="2"/>
                <c:pt idx="0">
                  <c:v>一般公共预算财政拨款收入</c:v>
                </c:pt>
                <c:pt idx="1">
                  <c:v>政府性基金预算财政拨款收入</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1050.26</c:v>
                </c:pt>
                <c:pt idx="1">
                  <c:v>3.2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a:t>
            </a:r>
          </a:p>
        </c:rich>
      </c:tx>
      <c:layout>
        <c:manualLayout>
          <c:xMode val="edge"/>
          <c:yMode val="edge"/>
          <c:x val="0.48034491503931"/>
          <c:y val="0.0305810397553517"/>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基本支出</c:v>
                </c:pt>
                <c:pt idx="1">
                  <c:v>项目支出</c:v>
                </c:pt>
              </c:strCache>
            </c:strRef>
          </c:cat>
          <c:val>
            <c:numRef>
              <c:f>Sheet1!$B$2:$B$5</c:f>
              <c:numCache>
                <c:formatCode>General</c:formatCode>
                <c:ptCount val="4"/>
                <c:pt idx="0">
                  <c:v>895.82</c:v>
                </c:pt>
                <c:pt idx="1">
                  <c:v>138.45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345358863809282"/>
          <c:y val="0.87538226299694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377"/>
          <c:y val="0.02425"/>
          <c:w val="0.92605"/>
          <c:h val="0.7084"/>
        </c:manualLayout>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delete val="1"/>
          </c:dLbls>
          <c:cat>
            <c:strRef>
              <c:extLst>
                <c:ext xmlns:c15="http://schemas.microsoft.com/office/drawing/2012/chart" uri="{02D57815-91ED-43cb-92C2-25804820EDAC}">
                  <c15:fullRef>
                    <c15:sqref>Sheet1!$A$2:$A$5</c15:sqref>
                  </c15:fullRef>
                </c:ext>
              </c:extLst>
              <c:f>Sheet1!$A$2</c:f>
              <c:strCache>
                <c:ptCount val="1"/>
                <c:pt idx="0">
                  <c:v>收入</c:v>
                </c:pt>
              </c:strCache>
            </c:strRef>
          </c:cat>
          <c:val>
            <c:numRef>
              <c:extLst>
                <c:ext xmlns:c15="http://schemas.microsoft.com/office/drawing/2012/chart" uri="{02D57815-91ED-43cb-92C2-25804820EDAC}">
                  <c15:fullRef>
                    <c15:sqref>Sheet1!$B$2:$B$5</c15:sqref>
                  </c15:fullRef>
                </c:ext>
              </c:extLst>
              <c:f>Sheet1!$B$2</c:f>
              <c:numCache>
                <c:formatCode>General</c:formatCode>
                <c:ptCount val="1"/>
                <c:pt idx="0">
                  <c:v>1126.32</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extLst>
                <c:ext xmlns:c15="http://schemas.microsoft.com/office/drawing/2012/chart" uri="{02D57815-91ED-43cb-92C2-25804820EDAC}">
                  <c15:fullRef>
                    <c15:sqref>Sheet1!$A$2:$A$5</c15:sqref>
                  </c15:fullRef>
                </c:ext>
              </c:extLst>
              <c:f>Sheet1!$A$2</c:f>
              <c:strCache>
                <c:ptCount val="1"/>
                <c:pt idx="0">
                  <c:v>收入</c:v>
                </c:pt>
              </c:strCache>
            </c:strRef>
          </c:cat>
          <c:val>
            <c:numRef>
              <c:extLst>
                <c:ext xmlns:c15="http://schemas.microsoft.com/office/drawing/2012/chart" uri="{02D57815-91ED-43cb-92C2-25804820EDAC}">
                  <c15:fullRef>
                    <c15:sqref>Sheet1!$C$2:$C$5</c15:sqref>
                  </c15:fullRef>
                </c:ext>
              </c:extLst>
              <c:f>Sheet1!$C$2</c:f>
              <c:numCache>
                <c:formatCode>General</c:formatCode>
                <c:ptCount val="1"/>
                <c:pt idx="0">
                  <c:v>1060.26</c:v>
                </c:pt>
              </c:numCache>
            </c:numRef>
          </c:val>
        </c:ser>
        <c:dLbls>
          <c:showLegendKey val="0"/>
          <c:showVal val="0"/>
          <c:showCatName val="0"/>
          <c:showSerName val="0"/>
          <c:showPercent val="0"/>
          <c:showBubbleSize val="0"/>
        </c:dLbls>
        <c:gapWidth val="219"/>
        <c:overlap val="-27"/>
        <c:axId val="84203008"/>
        <c:axId val="84204544"/>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系列 3</c:v>
                      </c:pt>
                    </c:strCache>
                  </c:strRef>
                </c:tx>
                <c:spPr>
                  <a:solidFill>
                    <a:schemeClr val="accent3"/>
                  </a:solidFill>
                  <a:ln>
                    <a:noFill/>
                  </a:ln>
                  <a:effectLst/>
                </c:spPr>
                <c:invertIfNegative val="0"/>
                <c:dLbls>
                  <c:delete val="1"/>
                </c:dLbls>
                <c:cat>
                  <c:strRef>
                    <c:extLst>
                      <c:ext uri="{02D57815-91ED-43cb-92C2-25804820EDAC}">
                        <c15:fullRef>
                          <c15:sqref>Sheet1!$A$2:$A$5</c15:sqref>
                        </c15:fullRef>
                        <c15:formulaRef>
                          <c15:sqref>Sheet1!$A$2</c15:sqref>
                        </c15:formulaRef>
                      </c:ext>
                    </c:extLst>
                    <c:strCache>
                      <c:ptCount val="1"/>
                      <c:pt idx="0">
                        <c:v>收入</c:v>
                      </c:pt>
                    </c:strCache>
                  </c:strRef>
                </c:cat>
                <c:val>
                  <c:numRef>
                    <c:extLst>
                      <c:ext uri="{02D57815-91ED-43cb-92C2-25804820EDAC}">
                        <c15:fullRef>
                          <c15:sqref>Sheet1!$D$2:$D$5</c15:sqref>
                        </c15:fullRef>
                        <c15:formulaRef>
                          <c15:sqref>Sheet1!$D$2</c15:sqref>
                        </c15:formulaRef>
                      </c:ext>
                    </c:extLst>
                    <c:numCache>
                      <c:formatCode>General</c:formatCode>
                      <c:ptCount val="1"/>
                      <c:pt idx="0">
                        <c:v>2</c:v>
                      </c:pt>
                    </c:numCache>
                  </c:numRef>
                </c:val>
              </c15:ser>
            </c15:filteredBarSeries>
          </c:ext>
        </c:extLst>
      </c:barChart>
      <c:catAx>
        <c:axId val="842030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204544"/>
        <c:crosses val="autoZero"/>
        <c:auto val="1"/>
        <c:lblAlgn val="ctr"/>
        <c:lblOffset val="100"/>
        <c:noMultiLvlLbl val="0"/>
      </c:catAx>
      <c:valAx>
        <c:axId val="84204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20300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delete val="1"/>
          </c:dLbls>
          <c:cat>
            <c:strRef>
              <c:extLst>
                <c:ext xmlns:c15="http://schemas.microsoft.com/office/drawing/2012/chart" uri="{02D57815-91ED-43cb-92C2-25804820EDAC}">
                  <c15:fullRef>
                    <c15:sqref>Sheet1!$A$2:$A$5</c15:sqref>
                  </c15:fullRef>
                </c:ext>
              </c:extLst>
              <c:f>Sheet1!$A$2</c:f>
              <c:strCache>
                <c:ptCount val="1"/>
                <c:pt idx="0">
                  <c:v>支出</c:v>
                </c:pt>
              </c:strCache>
            </c:strRef>
          </c:cat>
          <c:val>
            <c:numRef>
              <c:extLst>
                <c:ext xmlns:c15="http://schemas.microsoft.com/office/drawing/2012/chart" uri="{02D57815-91ED-43cb-92C2-25804820EDAC}">
                  <c15:fullRef>
                    <c15:sqref>Sheet1!$B$2:$B$5</c15:sqref>
                  </c15:fullRef>
                </c:ext>
              </c:extLst>
              <c:f>Sheet1!$B$2</c:f>
              <c:numCache>
                <c:formatCode>General</c:formatCode>
                <c:ptCount val="1"/>
                <c:pt idx="0">
                  <c:v>1068.01</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extLst>
                <c:ext xmlns:c15="http://schemas.microsoft.com/office/drawing/2012/chart" uri="{02D57815-91ED-43cb-92C2-25804820EDAC}">
                  <c15:fullRef>
                    <c15:sqref>Sheet1!$A$2:$A$5</c15:sqref>
                  </c15:fullRef>
                </c:ext>
              </c:extLst>
              <c:f>Sheet1!$A$2</c:f>
              <c:strCache>
                <c:ptCount val="1"/>
                <c:pt idx="0">
                  <c:v>支出</c:v>
                </c:pt>
              </c:strCache>
            </c:strRef>
          </c:cat>
          <c:val>
            <c:numRef>
              <c:extLst>
                <c:ext xmlns:c15="http://schemas.microsoft.com/office/drawing/2012/chart" uri="{02D57815-91ED-43cb-92C2-25804820EDAC}">
                  <c15:fullRef>
                    <c15:sqref>Sheet1!$C$2:$C$5</c15:sqref>
                  </c15:fullRef>
                </c:ext>
              </c:extLst>
              <c:f>Sheet1!$C$2</c:f>
              <c:numCache>
                <c:formatCode>General</c:formatCode>
                <c:ptCount val="1"/>
                <c:pt idx="0">
                  <c:v>1034.27</c:v>
                </c:pt>
              </c:numCache>
            </c:numRef>
          </c:val>
        </c:ser>
        <c:dLbls>
          <c:showLegendKey val="0"/>
          <c:showVal val="0"/>
          <c:showCatName val="0"/>
          <c:showSerName val="0"/>
          <c:showPercent val="0"/>
          <c:showBubbleSize val="0"/>
        </c:dLbls>
        <c:gapWidth val="219"/>
        <c:overlap val="-27"/>
        <c:axId val="84079360"/>
        <c:axId val="84080896"/>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系列 3</c:v>
                      </c:pt>
                    </c:strCache>
                  </c:strRef>
                </c:tx>
                <c:spPr>
                  <a:solidFill>
                    <a:schemeClr val="accent3"/>
                  </a:solidFill>
                  <a:ln>
                    <a:noFill/>
                  </a:ln>
                  <a:effectLst/>
                </c:spPr>
                <c:invertIfNegative val="0"/>
                <c:dLbls>
                  <c:delete val="1"/>
                </c:dLbls>
                <c:cat>
                  <c:strRef>
                    <c:extLst>
                      <c:ext uri="{02D57815-91ED-43cb-92C2-25804820EDAC}">
                        <c15:fullRef>
                          <c15:sqref>Sheet1!$A$2:$A$5</c15:sqref>
                        </c15:fullRef>
                        <c15:formulaRef>
                          <c15:sqref>Sheet1!$A$2</c15:sqref>
                        </c15:formulaRef>
                      </c:ext>
                    </c:extLst>
                    <c:strCache>
                      <c:ptCount val="1"/>
                      <c:pt idx="0">
                        <c:v>支出</c:v>
                      </c:pt>
                    </c:strCache>
                  </c:strRef>
                </c:cat>
                <c:val>
                  <c:numRef>
                    <c:extLst>
                      <c:ext uri="{02D57815-91ED-43cb-92C2-25804820EDAC}">
                        <c15:fullRef>
                          <c15:sqref>Sheet1!$D$2:$D$5</c15:sqref>
                        </c15:fullRef>
                        <c15:formulaRef>
                          <c15:sqref>Sheet1!$D$2</c15:sqref>
                        </c15:formulaRef>
                      </c:ext>
                    </c:extLst>
                    <c:numCache>
                      <c:formatCode>General</c:formatCode>
                      <c:ptCount val="1"/>
                      <c:pt idx="0">
                        <c:v>2</c:v>
                      </c:pt>
                    </c:numCache>
                  </c:numRef>
                </c:val>
              </c15:ser>
            </c15:filteredBarSeries>
          </c:ext>
        </c:extLst>
      </c:barChart>
      <c:catAx>
        <c:axId val="840793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080896"/>
        <c:crosses val="autoZero"/>
        <c:auto val="1"/>
        <c:lblAlgn val="ctr"/>
        <c:lblOffset val="100"/>
        <c:noMultiLvlLbl val="0"/>
      </c:catAx>
      <c:valAx>
        <c:axId val="84080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07936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377"/>
          <c:y val="0.02425"/>
          <c:w val="0.92605"/>
          <c:h val="0.7084"/>
        </c:manualLayout>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delete val="1"/>
          </c:dLbls>
          <c:cat>
            <c:strRef>
              <c:extLst>
                <c:ext xmlns:c15="http://schemas.microsoft.com/office/drawing/2012/chart" uri="{02D57815-91ED-43cb-92C2-25804820EDAC}">
                  <c15:fullRef>
                    <c15:sqref>Sheet1!$A$2:$A$5</c15:sqref>
                  </c15:fullRef>
                </c:ext>
              </c:extLst>
              <c:f>Sheet1!$A$2</c:f>
              <c:strCache>
                <c:ptCount val="1"/>
                <c:pt idx="0">
                  <c:v>2020年一般公共预算财政拨款</c:v>
                </c:pt>
              </c:strCache>
            </c:strRef>
          </c:cat>
          <c:val>
            <c:numRef>
              <c:extLst>
                <c:ext xmlns:c15="http://schemas.microsoft.com/office/drawing/2012/chart" uri="{02D57815-91ED-43cb-92C2-25804820EDAC}">
                  <c15:fullRef>
                    <c15:sqref>Sheet1!$B$2:$B$5</c15:sqref>
                  </c15:fullRef>
                </c:ext>
              </c:extLst>
              <c:f>Sheet1!$B$2</c:f>
              <c:numCache>
                <c:formatCode>General</c:formatCode>
                <c:ptCount val="1"/>
                <c:pt idx="0">
                  <c:v>1068.01</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extLst>
                <c:ext xmlns:c15="http://schemas.microsoft.com/office/drawing/2012/chart" uri="{02D57815-91ED-43cb-92C2-25804820EDAC}">
                  <c15:fullRef>
                    <c15:sqref>Sheet1!$A$2:$A$5</c15:sqref>
                  </c15:fullRef>
                </c:ext>
              </c:extLst>
              <c:f>Sheet1!$A$2</c:f>
              <c:strCache>
                <c:ptCount val="1"/>
                <c:pt idx="0">
                  <c:v>2020年一般公共预算财政拨款</c:v>
                </c:pt>
              </c:strCache>
            </c:strRef>
          </c:cat>
          <c:val>
            <c:numRef>
              <c:extLst>
                <c:ext xmlns:c15="http://schemas.microsoft.com/office/drawing/2012/chart" uri="{02D57815-91ED-43cb-92C2-25804820EDAC}">
                  <c15:fullRef>
                    <c15:sqref>Sheet1!$C$2:$C$5</c15:sqref>
                  </c15:fullRef>
                </c:ext>
              </c:extLst>
              <c:f>Sheet1!$C$2</c:f>
              <c:numCache>
                <c:formatCode>General</c:formatCode>
                <c:ptCount val="1"/>
                <c:pt idx="0">
                  <c:v>1024.27</c:v>
                </c:pt>
              </c:numCache>
            </c:numRef>
          </c:val>
        </c:ser>
        <c:dLbls>
          <c:showLegendKey val="0"/>
          <c:showVal val="0"/>
          <c:showCatName val="0"/>
          <c:showSerName val="0"/>
          <c:showPercent val="0"/>
          <c:showBubbleSize val="0"/>
        </c:dLbls>
        <c:gapWidth val="219"/>
        <c:overlap val="-27"/>
        <c:axId val="84320640"/>
        <c:axId val="84322176"/>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系列 3</c:v>
                      </c:pt>
                    </c:strCache>
                  </c:strRef>
                </c:tx>
                <c:spPr>
                  <a:solidFill>
                    <a:schemeClr val="accent3"/>
                  </a:solidFill>
                  <a:ln>
                    <a:noFill/>
                  </a:ln>
                  <a:effectLst/>
                </c:spPr>
                <c:invertIfNegative val="0"/>
                <c:dLbls>
                  <c:delete val="1"/>
                </c:dLbls>
                <c:cat>
                  <c:strRef>
                    <c:extLst>
                      <c:ext uri="{02D57815-91ED-43cb-92C2-25804820EDAC}">
                        <c15:fullRef>
                          <c15:sqref>Sheet1!$A$2:$A$5</c15:sqref>
                        </c15:fullRef>
                        <c15:formulaRef>
                          <c15:sqref>Sheet1!$A$2</c15:sqref>
                        </c15:formulaRef>
                      </c:ext>
                    </c:extLst>
                    <c:strCache>
                      <c:ptCount val="1"/>
                      <c:pt idx="0">
                        <c:v>2020年一般公共预算财政拨款</c:v>
                      </c:pt>
                    </c:strCache>
                  </c:strRef>
                </c:cat>
                <c:val>
                  <c:numRef>
                    <c:extLst>
                      <c:ext uri="{02D57815-91ED-43cb-92C2-25804820EDAC}">
                        <c15:fullRef>
                          <c15:sqref>Sheet1!$D$2:$D$5</c15:sqref>
                        </c15:fullRef>
                        <c15:formulaRef>
                          <c15:sqref>Sheet1!$D$2</c15:sqref>
                        </c15:formulaRef>
                      </c:ext>
                    </c:extLst>
                    <c:numCache>
                      <c:formatCode>General</c:formatCode>
                      <c:ptCount val="1"/>
                      <c:pt idx="0">
                        <c:v>2</c:v>
                      </c:pt>
                    </c:numCache>
                  </c:numRef>
                </c:val>
              </c15:ser>
            </c15:filteredBarSeries>
          </c:ext>
        </c:extLst>
      </c:barChart>
      <c:catAx>
        <c:axId val="843206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322176"/>
        <c:crosses val="autoZero"/>
        <c:auto val="1"/>
        <c:lblAlgn val="ctr"/>
        <c:lblOffset val="100"/>
        <c:noMultiLvlLbl val="0"/>
      </c:catAx>
      <c:valAx>
        <c:axId val="84322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32064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1"/>
          <c:order val="1"/>
          <c:tx>
            <c:strRef>
              <c:f>Sheet1!$B$1</c:f>
              <c:strCache>
                <c:ptCount val="1"/>
                <c:pt idx="0">
                  <c:v>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一般公共服务</c:v>
                </c:pt>
                <c:pt idx="1">
                  <c:v>社会保障和就业</c:v>
                </c:pt>
                <c:pt idx="2">
                  <c:v>卫生健康支出</c:v>
                </c:pt>
                <c:pt idx="3">
                  <c:v>农林水支出</c:v>
                </c:pt>
                <c:pt idx="4">
                  <c:v>住房保障支出</c:v>
                </c:pt>
              </c:strCache>
            </c:strRef>
          </c:cat>
          <c:val>
            <c:numRef>
              <c:f>Sheet1!$B$2:$B$6</c:f>
              <c:numCache>
                <c:formatCode>General</c:formatCode>
                <c:ptCount val="5"/>
                <c:pt idx="0">
                  <c:v>836.79</c:v>
                </c:pt>
                <c:pt idx="1">
                  <c:v>81.63</c:v>
                </c:pt>
                <c:pt idx="2">
                  <c:v>43.67</c:v>
                </c:pt>
                <c:pt idx="3">
                  <c:v>0.96</c:v>
                </c:pt>
                <c:pt idx="4">
                  <c:v>61.22</c:v>
                </c:pt>
              </c:numCache>
            </c:numRef>
          </c:val>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0"/>
                <c:order val="0"/>
                <c:tx>
                  <c:strRef>
                    <c:extLst>
                      <c:ext uri="{02D57815-91ED-43cb-92C2-25804820EDAC}">
                        <c15:formulaRef>
                          <c15:sqref>Sheet1!$A$1</c15:sqref>
                        </c15:formulaRef>
                      </c:ext>
                    </c:extLst>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extLst>
                      <c:ext uri="{02D57815-91ED-43cb-92C2-25804820EDAC}">
                        <c15:fullRef>
                          <c15:sqref/>
                        </c15:fullRef>
                        <c15:formulaRef>
                          <c15:sqref>Sheet1!$A$2:$A$6</c15:sqref>
                        </c15:formulaRef>
                      </c:ext>
                    </c:extLst>
                    <c:strCache>
                      <c:ptCount val="5"/>
                      <c:pt idx="0">
                        <c:v>一般公共服务</c:v>
                      </c:pt>
                      <c:pt idx="1">
                        <c:v>社会保障和就业</c:v>
                      </c:pt>
                      <c:pt idx="2">
                        <c:v>卫生健康支出</c:v>
                      </c:pt>
                      <c:pt idx="3">
                        <c:v>农林水支出</c:v>
                      </c:pt>
                      <c:pt idx="4">
                        <c:v>住房保障支出</c:v>
                      </c:pt>
                    </c:strCache>
                  </c:strRef>
                </c:cat>
                <c:val>
                  <c:numRef>
                    <c:extLst>
                      <c:ext uri="{02D57815-91ED-43cb-92C2-25804820EDAC}">
                        <c15:formulaRef>
                          <c15:sqref>Sheet1!$A$2:$A$6</c15:sqref>
                        </c15:formulaRef>
                      </c:ext>
                    </c:extLst>
                    <c:numCache>
                      <c:formatCode>General</c:formatCode>
                      <c:ptCount val="5"/>
                      <c:pt idx="0">
                        <c:v>0</c:v>
                      </c:pt>
                      <c:pt idx="1">
                        <c:v>0</c:v>
                      </c:pt>
                      <c:pt idx="2">
                        <c:v>0</c:v>
                      </c:pt>
                      <c:pt idx="3">
                        <c:v>0</c:v>
                      </c:pt>
                      <c:pt idx="4">
                        <c:v>0</c:v>
                      </c:pt>
                    </c:numCache>
                  </c:numRef>
                </c:val>
              </c15:ser>
            </c15:filteredPieSeries>
          </c:ext>
        </c:extLst>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1933125"/>
          <c:y val="0.08"/>
          <c:w val="0.565875"/>
          <c:h val="0.7545"/>
        </c:manualLayout>
      </c:layout>
      <c:pieChart>
        <c:varyColors val="1"/>
        <c:ser>
          <c:idx val="0"/>
          <c:order val="0"/>
          <c:tx>
            <c:strRef>
              <c:f>Sheet1!$B$1</c:f>
              <c:strCache>
                <c:ptCount val="1"/>
                <c:pt idx="0">
                  <c:v>“三公”经费</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公务用车购置及运行维护费支出</c:v>
                </c:pt>
                <c:pt idx="1">
                  <c:v>公务接待费支出</c:v>
                </c:pt>
              </c:strCache>
            </c:strRef>
          </c:cat>
          <c:val>
            <c:numRef>
              <c:f>Sheet1!$B$2:$B$5</c:f>
              <c:numCache>
                <c:formatCode>General</c:formatCode>
                <c:ptCount val="4"/>
                <c:pt idx="0">
                  <c:v>19.1</c:v>
                </c:pt>
                <c:pt idx="1">
                  <c:v>0.92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60</Pages>
  <Words>23159</Words>
  <Characters>3845</Characters>
  <Lines>32</Lines>
  <Paragraphs>53</Paragraphs>
  <TotalTime>21</TotalTime>
  <ScaleCrop>false</ScaleCrop>
  <LinksUpToDate>false</LinksUpToDate>
  <CharactersWithSpaces>26951</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2021-08-07T01:38:00Z</dcterms:created>
  <dc:creator>曹颖</dc:creator>
  <cp:lastModifiedBy>user</cp:lastModifiedBy>
  <cp:lastPrinted>2021-09-23T00:44:00Z</cp:lastPrinted>
  <dcterms:modified xsi:type="dcterms:W3CDTF">2023-07-13T19:06:54Z</dcterms:modified>
  <dc:title>阿坝州部门决算说明</dc:title>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52BFEF4666E8462FB1AB36532B7D0DD9</vt:lpwstr>
  </property>
</Properties>
</file>