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widowControl/>
        <w:ind w:firstLine="2160" w:firstLineChars="300"/>
        <w:jc w:val="left"/>
        <w:rPr>
          <w:rFonts w:ascii="黑体" w:hAnsi="宋体" w:eastAsia="黑体"/>
          <w:color w:val="000000"/>
          <w:kern w:val="0"/>
          <w:sz w:val="72"/>
          <w:szCs w:val="72"/>
        </w:rPr>
      </w:pPr>
    </w:p>
    <w:p>
      <w:pPr>
        <w:widowControl/>
        <w:ind w:firstLine="2160" w:firstLineChars="300"/>
        <w:jc w:val="left"/>
        <w:rPr>
          <w:rFonts w:ascii="黑体" w:hAnsi="宋体" w:eastAsia="黑体"/>
          <w:color w:val="000000"/>
          <w:kern w:val="0"/>
          <w:sz w:val="72"/>
          <w:szCs w:val="72"/>
        </w:rPr>
      </w:pPr>
    </w:p>
    <w:p>
      <w:pPr>
        <w:widowControl/>
        <w:spacing w:line="576" w:lineRule="exact"/>
        <w:ind w:firstLine="1440" w:firstLineChars="200"/>
        <w:jc w:val="left"/>
        <w:rPr>
          <w:rFonts w:ascii="黑体" w:hAnsi="宋体" w:eastAsia="黑体"/>
          <w:color w:val="000000"/>
          <w:kern w:val="0"/>
          <w:sz w:val="72"/>
          <w:szCs w:val="72"/>
        </w:rPr>
      </w:pPr>
    </w:p>
    <w:p>
      <w:pPr>
        <w:widowControl/>
        <w:spacing w:line="576" w:lineRule="exact"/>
        <w:jc w:val="center"/>
        <w:rPr>
          <w:rFonts w:hint="eastAsia" w:ascii="方正小标宋简体" w:hAnsi="方正小标宋简体" w:eastAsia="方正小标宋简体" w:cs="方正小标宋简体"/>
          <w:color w:val="000000"/>
          <w:kern w:val="0"/>
          <w:sz w:val="44"/>
          <w:szCs w:val="44"/>
        </w:rPr>
      </w:pPr>
      <w:r>
        <w:rPr>
          <w:rFonts w:ascii="方正小标宋简体" w:hAnsi="宋体" w:eastAsia="方正小标宋简体" w:cs="方正小标宋简体"/>
          <w:color w:val="000000"/>
          <w:kern w:val="0"/>
          <w:sz w:val="44"/>
          <w:szCs w:val="44"/>
        </w:rPr>
        <w:t>201</w:t>
      </w:r>
      <w:r>
        <w:rPr>
          <w:rFonts w:hint="eastAsia" w:ascii="方正小标宋简体" w:hAnsi="宋体" w:eastAsia="方正小标宋简体" w:cs="方正小标宋简体"/>
          <w:color w:val="000000"/>
          <w:kern w:val="0"/>
          <w:sz w:val="44"/>
          <w:szCs w:val="44"/>
          <w:lang w:val="en-US" w:eastAsia="zh-CN"/>
        </w:rPr>
        <w:t>9</w:t>
      </w:r>
      <w:r>
        <w:rPr>
          <w:rFonts w:hint="eastAsia" w:ascii="方正小标宋简体" w:hAnsi="方正小标宋简体" w:eastAsia="方正小标宋简体" w:cs="方正小标宋简体"/>
          <w:color w:val="000000"/>
          <w:kern w:val="0"/>
          <w:sz w:val="44"/>
          <w:szCs w:val="44"/>
        </w:rPr>
        <w:t>年度四川省茂县统计</w:t>
      </w:r>
    </w:p>
    <w:p>
      <w:pPr>
        <w:widowControl/>
        <w:spacing w:line="576"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color w:val="000000"/>
          <w:kern w:val="0"/>
          <w:sz w:val="44"/>
          <w:szCs w:val="44"/>
        </w:rPr>
        <w:t>部门决算</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jc w:val="both"/>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hAnsi="Calibri" w:eastAsia="仿宋_GB2312" w:cs="仿宋_GB2312"/>
          <w:sz w:val="32"/>
          <w:szCs w:val="32"/>
        </w:rPr>
        <w:t>保密审查情况：</w:t>
      </w: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eastAsia="仿宋_GB2312" w:cs="仿宋_GB2312"/>
          <w:sz w:val="32"/>
          <w:szCs w:val="32"/>
        </w:rPr>
        <w:t>部门主要负责人审签情况：</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仿宋_GB2312" w:eastAsia="仿宋_GB2312"/>
          <w:sz w:val="32"/>
          <w:szCs w:val="32"/>
        </w:rPr>
      </w:pPr>
      <w:r>
        <w:rPr>
          <w:rFonts w:hint="eastAsia" w:ascii="方正小标宋简体" w:hAnsi="黑体" w:eastAsia="方正小标宋简体" w:cs="方正小标宋简体"/>
          <w:color w:val="000000"/>
          <w:sz w:val="44"/>
          <w:szCs w:val="44"/>
        </w:rPr>
        <w:t>目</w:t>
      </w:r>
      <w:r>
        <w:rPr>
          <w:rFonts w:hint="eastAsia" w:ascii="方正小标宋简体" w:hAnsi="黑体" w:eastAsia="方正小标宋简体" w:cs="方正小标宋简体"/>
          <w:color w:val="000000"/>
          <w:sz w:val="44"/>
          <w:szCs w:val="44"/>
          <w:lang w:val="en-US" w:eastAsia="zh-CN"/>
        </w:rPr>
        <w:t xml:space="preserve">  </w:t>
      </w:r>
      <w:r>
        <w:rPr>
          <w:rFonts w:hint="eastAsia" w:ascii="方正小标宋简体" w:hAnsi="黑体" w:eastAsia="方正小标宋简体" w:cs="方正小标宋简体"/>
          <w:color w:val="000000"/>
          <w:sz w:val="44"/>
          <w:szCs w:val="44"/>
        </w:rPr>
        <w:t>录</w:t>
      </w:r>
      <w:r>
        <w:rPr>
          <w:rFonts w:ascii="黑体" w:hAnsi="黑体" w:eastAsia="黑体" w:cs="黑体"/>
          <w:color w:val="000000"/>
          <w:sz w:val="44"/>
          <w:szCs w:val="44"/>
        </w:rPr>
        <w:fldChar w:fldCharType="begin"/>
      </w:r>
      <w:r>
        <w:rPr>
          <w:rFonts w:ascii="黑体" w:hAnsi="黑体" w:eastAsia="黑体" w:cs="黑体"/>
          <w:color w:val="000000"/>
          <w:sz w:val="44"/>
          <w:szCs w:val="44"/>
        </w:rPr>
        <w:instrText xml:space="preserve"> TOC \o "1-2" \h \z \u </w:instrText>
      </w:r>
      <w:r>
        <w:rPr>
          <w:rFonts w:ascii="黑体" w:hAnsi="黑体" w:eastAsia="黑体" w:cs="黑体"/>
          <w:color w:val="000000"/>
          <w:sz w:val="44"/>
          <w:szCs w:val="44"/>
        </w:rPr>
        <w:fldChar w:fldCharType="separate"/>
      </w:r>
    </w:p>
    <w:p>
      <w:pPr>
        <w:pStyle w:val="10"/>
        <w:spacing w:line="576" w:lineRule="exact"/>
        <w:jc w:val="both"/>
        <w:rPr>
          <w:rFonts w:ascii="仿宋_GB2312" w:eastAsia="仿宋_GB2312" w:cs="Times New Roman"/>
          <w:sz w:val="32"/>
          <w:szCs w:val="32"/>
        </w:rPr>
      </w:pPr>
      <w:r>
        <w:fldChar w:fldCharType="begin"/>
      </w:r>
      <w:r>
        <w:instrText xml:space="preserve"> HYPERLINK \l "_Toc15396599" </w:instrText>
      </w:r>
      <w:r>
        <w:fldChar w:fldCharType="separate"/>
      </w:r>
      <w:r>
        <w:rPr>
          <w:rStyle w:val="15"/>
          <w:rFonts w:hint="eastAsia" w:ascii="仿宋_GB2312" w:eastAsia="仿宋_GB2312" w:cs="仿宋_GB2312"/>
          <w:sz w:val="32"/>
          <w:szCs w:val="32"/>
        </w:rPr>
        <w:t>第一部分</w:t>
      </w:r>
      <w:r>
        <w:rPr>
          <w:rStyle w:val="15"/>
          <w:rFonts w:hint="eastAsia" w:ascii="仿宋_GB2312" w:eastAsia="仿宋_GB2312" w:cs="仿宋_GB2312"/>
          <w:sz w:val="32"/>
          <w:szCs w:val="32"/>
          <w:lang w:val="en-US" w:eastAsia="zh-CN"/>
        </w:rPr>
        <w:t xml:space="preserve"> </w:t>
      </w:r>
      <w:r>
        <w:rPr>
          <w:rStyle w:val="15"/>
          <w:rFonts w:hint="eastAsia" w:ascii="仿宋_GB2312" w:eastAsia="仿宋_GB2312" w:cs="仿宋_GB2312"/>
          <w:sz w:val="32"/>
          <w:szCs w:val="32"/>
        </w:rPr>
        <w:t>部门概况</w:t>
      </w:r>
      <w:r>
        <w:rPr>
          <w:rFonts w:ascii="仿宋_GB2312" w:eastAsia="仿宋_GB2312" w:cs="Times New Roman"/>
          <w:sz w:val="32"/>
          <w:szCs w:val="32"/>
        </w:rPr>
        <w:tab/>
      </w:r>
      <w:r>
        <w:rPr>
          <w:rFonts w:ascii="仿宋_GB2312" w:eastAsia="仿宋_GB2312" w:cs="Times New Roman"/>
          <w:sz w:val="32"/>
          <w:szCs w:val="32"/>
        </w:rPr>
        <w:fldChar w:fldCharType="end"/>
      </w:r>
      <w:r>
        <w:rPr>
          <w:rFonts w:ascii="仿宋_GB2312" w:eastAsia="仿宋_GB2312" w:cs="仿宋_GB2312"/>
          <w:sz w:val="32"/>
          <w:szCs w:val="32"/>
        </w:rPr>
        <w:t>4</w:t>
      </w:r>
    </w:p>
    <w:p>
      <w:pPr>
        <w:pStyle w:val="11"/>
        <w:spacing w:line="576" w:lineRule="exact"/>
        <w:rPr>
          <w:rFonts w:ascii="仿宋_GB2312" w:hAnsi="仿宋" w:eastAsia="仿宋_GB2312"/>
          <w:sz w:val="32"/>
          <w:szCs w:val="32"/>
        </w:rPr>
      </w:pPr>
      <w:r>
        <w:fldChar w:fldCharType="begin"/>
      </w:r>
      <w:r>
        <w:instrText xml:space="preserve"> HYPERLINK \l "_Toc15396600" </w:instrText>
      </w:r>
      <w:r>
        <w:fldChar w:fldCharType="separate"/>
      </w:r>
      <w:r>
        <w:rPr>
          <w:rStyle w:val="15"/>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rPr>
          <w:rFonts w:ascii="仿宋_GB2312" w:hAnsi="仿宋" w:eastAsia="仿宋_GB2312"/>
          <w:sz w:val="32"/>
          <w:szCs w:val="32"/>
        </w:rPr>
      </w:pPr>
      <w:r>
        <w:fldChar w:fldCharType="begin"/>
      </w:r>
      <w:r>
        <w:instrText xml:space="preserve"> HYPERLINK \l "_Toc15396601" </w:instrText>
      </w:r>
      <w:r>
        <w:fldChar w:fldCharType="separate"/>
      </w:r>
      <w:r>
        <w:rPr>
          <w:rStyle w:val="15"/>
          <w:rFonts w:hint="eastAsia" w:ascii="仿宋_GB2312" w:hAnsi="仿宋" w:eastAsia="仿宋_GB2312" w:cs="仿宋_GB2312"/>
          <w:sz w:val="32"/>
          <w:szCs w:val="32"/>
        </w:rPr>
        <w:t>二、机构设置</w:t>
      </w:r>
      <w:r>
        <w:rPr>
          <w:rFonts w:ascii="仿宋_GB2312" w:hAnsi="仿宋" w:eastAsia="仿宋_GB2312"/>
          <w:sz w:val="32"/>
          <w:szCs w:val="32"/>
        </w:rPr>
        <w:tab/>
      </w:r>
      <w:r>
        <w:rPr>
          <w:rFonts w:hint="eastAsia" w:ascii="仿宋_GB2312" w:hAnsi="仿宋" w:eastAsia="仿宋_GB2312" w:cs="仿宋_GB2312"/>
          <w:sz w:val="32"/>
          <w:szCs w:val="32"/>
          <w:lang w:val="en-US" w:eastAsia="zh-CN"/>
        </w:rPr>
        <w:t>6</w:t>
      </w:r>
      <w:r>
        <w:rPr>
          <w:rFonts w:ascii="仿宋_GB2312" w:hAnsi="仿宋" w:eastAsia="仿宋_GB2312" w:cs="仿宋_GB2312"/>
          <w:sz w:val="32"/>
          <w:szCs w:val="32"/>
        </w:rPr>
        <w:fldChar w:fldCharType="end"/>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"_Toc15396602" </w:instrText>
      </w:r>
      <w:r>
        <w:fldChar w:fldCharType="separate"/>
      </w:r>
      <w:r>
        <w:rPr>
          <w:rStyle w:val="15"/>
          <w:rFonts w:hint="eastAsia" w:ascii="仿宋_GB2312" w:eastAsia="仿宋_GB2312" w:cs="仿宋_GB2312"/>
          <w:sz w:val="32"/>
          <w:szCs w:val="32"/>
        </w:rPr>
        <w:t>第二部分</w:t>
      </w:r>
      <w:r>
        <w:rPr>
          <w:rStyle w:val="15"/>
          <w:rFonts w:ascii="仿宋_GB2312" w:eastAsia="仿宋_GB2312" w:cs="仿宋_GB2312"/>
          <w:sz w:val="32"/>
          <w:szCs w:val="32"/>
        </w:rPr>
        <w:t xml:space="preserve"> 201</w:t>
      </w:r>
      <w:r>
        <w:rPr>
          <w:rStyle w:val="15"/>
          <w:rFonts w:hint="eastAsia" w:ascii="仿宋_GB2312" w:eastAsia="仿宋_GB2312" w:cs="仿宋_GB2312"/>
          <w:sz w:val="32"/>
          <w:szCs w:val="32"/>
          <w:lang w:val="en-US" w:eastAsia="zh-CN"/>
        </w:rPr>
        <w:t>9</w:t>
      </w:r>
      <w:r>
        <w:rPr>
          <w:rStyle w:val="15"/>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Times New Roman"/>
          <w:sz w:val="32"/>
          <w:szCs w:val="32"/>
        </w:rPr>
        <w:fldChar w:fldCharType="end"/>
      </w:r>
      <w:r>
        <w:rPr>
          <w:rFonts w:hint="eastAsia" w:ascii="仿宋_GB2312" w:eastAsia="仿宋_GB2312" w:cs="仿宋_GB2312"/>
          <w:sz w:val="32"/>
          <w:szCs w:val="32"/>
          <w:lang w:val="en-US" w:eastAsia="zh-CN"/>
        </w:rPr>
        <w:t>8</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"_Toc15396603" </w:instrText>
      </w:r>
      <w:r>
        <w:fldChar w:fldCharType="separate"/>
      </w:r>
      <w:r>
        <w:rPr>
          <w:rStyle w:val="15"/>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8</w:t>
      </w:r>
    </w:p>
    <w:p>
      <w:pPr>
        <w:pStyle w:val="11"/>
        <w:spacing w:line="576" w:lineRule="exact"/>
        <w:rPr>
          <w:rFonts w:ascii="仿宋_GB2312" w:hAnsi="仿宋" w:eastAsia="仿宋_GB2312"/>
          <w:sz w:val="32"/>
          <w:szCs w:val="32"/>
        </w:rPr>
      </w:pPr>
      <w:r>
        <w:fldChar w:fldCharType="begin"/>
      </w:r>
      <w:r>
        <w:instrText xml:space="preserve"> HYPERLINK \l "_Toc15396604" </w:instrText>
      </w:r>
      <w:r>
        <w:fldChar w:fldCharType="separate"/>
      </w:r>
      <w:r>
        <w:rPr>
          <w:rStyle w:val="15"/>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8</w:t>
      </w:r>
      <w:r>
        <w:rPr>
          <w:rFonts w:ascii="仿宋_GB2312" w:hAnsi="仿宋" w:eastAsia="仿宋_GB2312" w:cs="仿宋_GB2312"/>
          <w:sz w:val="32"/>
          <w:szCs w:val="32"/>
        </w:rPr>
        <w:fldChar w:fldCharType="end"/>
      </w:r>
    </w:p>
    <w:p>
      <w:pPr>
        <w:pStyle w:val="11"/>
        <w:spacing w:line="576" w:lineRule="exact"/>
        <w:rPr>
          <w:rFonts w:ascii="仿宋_GB2312" w:hAnsi="仿宋" w:eastAsia="仿宋_GB2312"/>
          <w:sz w:val="32"/>
          <w:szCs w:val="32"/>
        </w:rPr>
      </w:pPr>
      <w:r>
        <w:fldChar w:fldCharType="begin"/>
      </w:r>
      <w:r>
        <w:instrText xml:space="preserve"> HYPERLINK \l "_Toc15396605" </w:instrText>
      </w:r>
      <w:r>
        <w:fldChar w:fldCharType="separate"/>
      </w:r>
      <w:r>
        <w:rPr>
          <w:rStyle w:val="15"/>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9</w:t>
      </w:r>
      <w:r>
        <w:rPr>
          <w:rFonts w:ascii="仿宋_GB2312" w:hAnsi="仿宋" w:eastAsia="仿宋_GB2312" w:cs="仿宋_GB2312"/>
          <w:sz w:val="32"/>
          <w:szCs w:val="32"/>
        </w:rPr>
        <w:fldChar w:fldCharType="end"/>
      </w:r>
    </w:p>
    <w:p>
      <w:pPr>
        <w:pStyle w:val="11"/>
        <w:spacing w:line="576" w:lineRule="exact"/>
        <w:rPr>
          <w:rFonts w:hint="eastAsia" w:ascii="仿宋_GB2312" w:hAnsi="仿宋" w:eastAsia="仿宋_GB2312"/>
          <w:sz w:val="32"/>
          <w:szCs w:val="32"/>
          <w:lang w:val="en-US" w:eastAsia="zh-CN"/>
        </w:rPr>
      </w:pPr>
      <w:r>
        <w:fldChar w:fldCharType="begin"/>
      </w:r>
      <w:r>
        <w:instrText xml:space="preserve"> HYPERLINK \l "_Toc15396606" </w:instrText>
      </w:r>
      <w:r>
        <w:fldChar w:fldCharType="separate"/>
      </w:r>
      <w:r>
        <w:rPr>
          <w:rStyle w:val="15"/>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0</w:t>
      </w:r>
    </w:p>
    <w:p>
      <w:pPr>
        <w:pStyle w:val="11"/>
        <w:spacing w:line="576" w:lineRule="exact"/>
        <w:rPr>
          <w:rFonts w:hint="eastAsia" w:ascii="仿宋_GB2312" w:hAnsi="仿宋" w:eastAsia="仿宋_GB2312"/>
          <w:sz w:val="32"/>
          <w:szCs w:val="32"/>
          <w:lang w:val="en-US" w:eastAsia="zh-CN"/>
        </w:rPr>
      </w:pPr>
      <w:r>
        <w:fldChar w:fldCharType="begin"/>
      </w:r>
      <w:r>
        <w:instrText xml:space="preserve"> HYPERLINK \l "_Toc15396607" </w:instrText>
      </w:r>
      <w:r>
        <w:fldChar w:fldCharType="separate"/>
      </w:r>
      <w:r>
        <w:rPr>
          <w:rStyle w:val="15"/>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0</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"_Toc15396608" </w:instrText>
      </w:r>
      <w:r>
        <w:fldChar w:fldCharType="separate"/>
      </w:r>
      <w:r>
        <w:rPr>
          <w:rStyle w:val="15"/>
          <w:rFonts w:hint="eastAsia" w:ascii="仿宋_GB2312" w:hAnsi="仿宋" w:eastAsia="仿宋_GB2312" w:cs="仿宋_GB2312"/>
          <w:sz w:val="32"/>
          <w:szCs w:val="32"/>
        </w:rPr>
        <w:t>六、一般公共预算财政拨款基本支出决算情况说</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2</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"_Toc15396609" </w:instrText>
      </w:r>
      <w:r>
        <w:fldChar w:fldCharType="separate"/>
      </w:r>
      <w:r>
        <w:rPr>
          <w:rStyle w:val="15"/>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3</w:t>
      </w:r>
    </w:p>
    <w:p>
      <w:pPr>
        <w:pStyle w:val="11"/>
        <w:spacing w:line="576" w:lineRule="exact"/>
        <w:rPr>
          <w:rFonts w:ascii="仿宋_GB2312" w:hAnsi="仿宋" w:eastAsia="仿宋_GB2312"/>
          <w:sz w:val="32"/>
          <w:szCs w:val="32"/>
        </w:rPr>
      </w:pPr>
      <w:r>
        <w:fldChar w:fldCharType="begin"/>
      </w:r>
      <w:r>
        <w:instrText xml:space="preserve"> HYPERLINK \l "_Toc15396610" </w:instrText>
      </w:r>
      <w:r>
        <w:fldChar w:fldCharType="separate"/>
      </w:r>
      <w:r>
        <w:rPr>
          <w:rStyle w:val="15"/>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十、其他重要事项的情况说明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"_Toc15396613" </w:instrText>
      </w:r>
      <w:r>
        <w:fldChar w:fldCharType="separate"/>
      </w:r>
      <w:r>
        <w:rPr>
          <w:rStyle w:val="15"/>
          <w:rFonts w:hint="eastAsia" w:ascii="仿宋_GB2312" w:eastAsia="仿宋_GB2312" w:cs="仿宋_GB2312"/>
          <w:kern w:val="44"/>
          <w:sz w:val="32"/>
          <w:szCs w:val="32"/>
        </w:rPr>
        <w:t>第三部分</w:t>
      </w:r>
      <w:r>
        <w:rPr>
          <w:rStyle w:val="15"/>
          <w:rFonts w:hint="eastAsia" w:ascii="仿宋_GB2312" w:eastAsia="仿宋_GB2312" w:cs="仿宋_GB2312"/>
          <w:kern w:val="44"/>
          <w:sz w:val="32"/>
          <w:szCs w:val="32"/>
          <w:lang w:val="en-US" w:eastAsia="zh-CN"/>
        </w:rPr>
        <w:t xml:space="preserve"> </w:t>
      </w:r>
      <w:r>
        <w:rPr>
          <w:rStyle w:val="15"/>
          <w:rFonts w:hint="eastAsia" w:ascii="仿宋_GB2312" w:eastAsia="仿宋_GB2312" w:cs="仿宋_GB2312"/>
          <w:sz w:val="32"/>
          <w:szCs w:val="32"/>
        </w:rPr>
        <w:t>名</w:t>
      </w:r>
      <w:r>
        <w:rPr>
          <w:rStyle w:val="15"/>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0</w:t>
      </w:r>
    </w:p>
    <w:p>
      <w:pPr>
        <w:pStyle w:val="10"/>
        <w:spacing w:line="576" w:lineRule="exact"/>
        <w:jc w:val="both"/>
        <w:rPr>
          <w:rFonts w:hint="eastAsia"/>
          <w:lang w:val="en-US" w:eastAsia="zh-CN"/>
        </w:rPr>
      </w:pPr>
      <w:r>
        <w:fldChar w:fldCharType="begin"/>
      </w:r>
      <w:r>
        <w:instrText xml:space="preserve"> HYPERLINK \l "_Toc15396614"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四部分</w:t>
      </w:r>
      <w:r>
        <w:rPr>
          <w:rStyle w:val="15"/>
          <w:rFonts w:hint="eastAsia" w:ascii="仿宋_GB2312" w:eastAsia="仿宋_GB2312" w:cs="仿宋_GB2312"/>
          <w:kern w:val="44"/>
          <w:sz w:val="32"/>
          <w:szCs w:val="32"/>
          <w:lang w:val="en-US" w:eastAsia="zh-CN"/>
        </w:rPr>
        <w:t xml:space="preserve"> 附件</w:t>
      </w:r>
      <w:r>
        <w:rPr>
          <w:rFonts w:cs="Times New Roman"/>
        </w:rPr>
        <w:tab/>
      </w:r>
      <w:r>
        <w:rPr>
          <w:rFonts w:hint="eastAsia"/>
          <w:lang w:val="en-US" w:eastAsia="zh-CN"/>
        </w:rPr>
        <w:t>2</w:t>
      </w:r>
      <w:r>
        <w:fldChar w:fldCharType="end"/>
      </w:r>
      <w:r>
        <w:rPr>
          <w:rFonts w:hint="eastAsia"/>
          <w:lang w:val="en-US" w:eastAsia="zh-CN"/>
        </w:rPr>
        <w:t>3</w:t>
      </w:r>
    </w:p>
    <w:p>
      <w:pPr>
        <w:pStyle w:val="11"/>
        <w:spacing w:line="576" w:lineRule="exact"/>
        <w:rPr>
          <w:rFonts w:hint="default" w:eastAsia="宋体"/>
          <w:lang w:val="en-US" w:eastAsia="zh-CN"/>
        </w:rPr>
      </w:pPr>
      <w:r>
        <w:rPr>
          <w:rStyle w:val="15"/>
          <w:rFonts w:hint="eastAsia" w:ascii="仿宋_GB2312" w:hAnsi="仿宋" w:eastAsia="仿宋_GB2312" w:cs="仿宋_GB2312"/>
          <w:sz w:val="32"/>
          <w:szCs w:val="32"/>
          <w:lang w:val="en-US" w:eastAsia="zh-CN"/>
        </w:rPr>
        <w:t>本部门2019年部门整体支出绩效评价报告</w:t>
      </w:r>
      <w:r>
        <w:fldChar w:fldCharType="begin"/>
      </w:r>
      <w:r>
        <w:instrText xml:space="preserve"> HYPERLINK \l "_Toc15396630" </w:instrText>
      </w:r>
      <w:r>
        <w:fldChar w:fldCharType="separate"/>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23</w:t>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"_Toc15396618"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五部分附表</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widowControl/>
        <w:spacing w:line="576" w:lineRule="exact"/>
        <w:ind w:firstLine="880" w:firstLineChars="200"/>
        <w:jc w:val="center"/>
        <w:rPr>
          <w:rFonts w:ascii="黑体" w:hAnsi="黑体" w:eastAsia="黑体"/>
          <w:color w:val="000000"/>
          <w:sz w:val="44"/>
          <w:szCs w:val="44"/>
        </w:rPr>
      </w:pPr>
      <w:r>
        <w:rPr>
          <w:rFonts w:ascii="黑体" w:hAnsi="黑体" w:eastAsia="黑体" w:cs="黑体"/>
          <w:color w:val="000000"/>
          <w:sz w:val="44"/>
          <w:szCs w:val="44"/>
        </w:rPr>
        <w:fldChar w:fldCharType="end"/>
      </w:r>
      <w:bookmarkStart w:id="1" w:name="_Toc15377196"/>
      <w:bookmarkStart w:id="2" w:name="_Toc15396599"/>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jc w:val="center"/>
        <w:rPr>
          <w:rFonts w:ascii="黑体" w:hAnsi="黑体" w:eastAsia="黑体"/>
          <w:color w:val="000000"/>
          <w:sz w:val="44"/>
          <w:szCs w:val="44"/>
        </w:rPr>
      </w:pPr>
      <w:r>
        <w:rPr>
          <w:rFonts w:hint="eastAsia" w:ascii="方正小标宋简体" w:hAnsi="黑体" w:eastAsia="方正小标宋简体" w:cs="方正小标宋简体"/>
          <w:sz w:val="44"/>
          <w:szCs w:val="44"/>
        </w:rPr>
        <w:t>第一部分</w:t>
      </w:r>
      <w:r>
        <w:rPr>
          <w:rFonts w:hint="eastAsia" w:ascii="方正小标宋简体" w:hAnsi="黑体" w:eastAsia="方正小标宋简体" w:cs="方正小标宋简体"/>
          <w:sz w:val="44"/>
          <w:szCs w:val="44"/>
          <w:lang w:val="en-US" w:eastAsia="zh-CN"/>
        </w:rPr>
        <w:t xml:space="preserve">  </w:t>
      </w:r>
      <w:r>
        <w:rPr>
          <w:rStyle w:val="16"/>
          <w:rFonts w:hint="eastAsia" w:ascii="方正小标宋简体" w:hAnsi="黑体" w:eastAsia="方正小标宋简体" w:cs="方正小标宋简体"/>
          <w:b w:val="0"/>
          <w:bCs w:val="0"/>
        </w:rPr>
        <w:t>部门概况</w:t>
      </w:r>
      <w:bookmarkEnd w:id="1"/>
      <w:bookmarkEnd w:id="2"/>
    </w:p>
    <w:p>
      <w:pPr>
        <w:widowControl/>
        <w:spacing w:line="576" w:lineRule="exact"/>
        <w:ind w:firstLine="640" w:firstLineChars="200"/>
        <w:jc w:val="left"/>
        <w:rPr>
          <w:rFonts w:ascii="黑体" w:eastAsia="黑体"/>
          <w:color w:val="000000"/>
          <w:sz w:val="32"/>
          <w:szCs w:val="32"/>
        </w:rPr>
      </w:pPr>
    </w:p>
    <w:p>
      <w:pPr>
        <w:pStyle w:val="3"/>
        <w:spacing w:before="0" w:after="0" w:line="576" w:lineRule="exact"/>
        <w:ind w:firstLine="640" w:firstLineChars="200"/>
        <w:rPr>
          <w:rFonts w:ascii="仿宋" w:hAnsi="仿宋" w:eastAsia="仿宋" w:cs="Times New Roman"/>
          <w:color w:val="000000"/>
        </w:rPr>
      </w:pPr>
      <w:bookmarkStart w:id="3" w:name="_Toc15377197"/>
      <w:bookmarkStart w:id="4" w:name="_Toc15396600"/>
      <w:r>
        <w:rPr>
          <w:rFonts w:hint="eastAsia" w:ascii="黑体" w:hAnsi="黑体" w:eastAsia="黑体" w:cs="黑体"/>
          <w:b w:val="0"/>
          <w:bCs w:val="0"/>
          <w:color w:val="000000"/>
        </w:rPr>
        <w:t>一、基</w:t>
      </w:r>
      <w:r>
        <w:rPr>
          <w:rStyle w:val="17"/>
          <w:rFonts w:hint="eastAsia" w:ascii="黑体" w:hAnsi="黑体" w:eastAsia="黑体" w:cs="黑体"/>
          <w:b w:val="0"/>
          <w:bCs w:val="0"/>
        </w:rPr>
        <w:t>本职能及主要工作</w:t>
      </w:r>
      <w:bookmarkEnd w:id="3"/>
      <w:bookmarkEnd w:id="4"/>
      <w:bookmarkStart w:id="5" w:name="_Toc15378445"/>
      <w:bookmarkStart w:id="6" w:name="_Toc15377198"/>
    </w:p>
    <w:p>
      <w:pPr>
        <w:spacing w:line="576" w:lineRule="exact"/>
        <w:ind w:firstLine="642" w:firstLineChars="200"/>
        <w:rPr>
          <w:rFonts w:ascii="仿宋" w:hAnsi="仿宋" w:eastAsia="仿宋"/>
          <w:color w:val="000000"/>
          <w:sz w:val="32"/>
          <w:szCs w:val="32"/>
        </w:rPr>
      </w:pPr>
      <w:r>
        <w:rPr>
          <w:rFonts w:hint="eastAsia" w:ascii="楷体" w:hAnsi="楷体" w:eastAsia="楷体" w:cs="楷体"/>
          <w:b/>
          <w:bCs/>
          <w:color w:val="000000"/>
          <w:sz w:val="32"/>
          <w:szCs w:val="32"/>
        </w:rPr>
        <w:t>（一）基本职能</w:t>
      </w:r>
      <w:bookmarkEnd w:id="5"/>
      <w:bookmarkEnd w:id="6"/>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w:t>
      </w:r>
      <w:r>
        <w:rPr>
          <w:rFonts w:hint="eastAsia" w:ascii="仿宋" w:hAnsi="仿宋" w:eastAsia="仿宋" w:cs="仿宋"/>
          <w:kern w:val="2"/>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2.</w:t>
      </w:r>
      <w:r>
        <w:rPr>
          <w:rFonts w:hint="eastAsia" w:ascii="仿宋" w:hAnsi="仿宋" w:eastAsia="仿宋" w:cs="仿宋"/>
          <w:kern w:val="2"/>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镇、各部门的统计调查计划、调查方案和统计报表。</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负责组织实施全县重大的国情国力普查和专项统计调查；汇总、整理全县的基本统计资料；对国民经济运行、科技进步和社会发展情况进行统计分析、预测、监督；向县委、</w:t>
      </w:r>
      <w:r>
        <w:rPr>
          <w:rFonts w:hint="eastAsia" w:ascii="仿宋" w:hAnsi="仿宋" w:eastAsia="仿宋" w:cs="仿宋"/>
          <w:kern w:val="2"/>
          <w:sz w:val="32"/>
          <w:szCs w:val="32"/>
          <w:lang w:eastAsia="zh-CN"/>
        </w:rPr>
        <w:t>县</w:t>
      </w:r>
      <w:r>
        <w:rPr>
          <w:rFonts w:hint="eastAsia" w:ascii="仿宋" w:hAnsi="仿宋" w:eastAsia="仿宋" w:cs="仿宋"/>
          <w:kern w:val="2"/>
          <w:sz w:val="32"/>
          <w:szCs w:val="32"/>
        </w:rPr>
        <w:t>政府及有关部门提供统计信息和咨询建议。</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5.</w:t>
      </w:r>
      <w:r>
        <w:rPr>
          <w:rFonts w:hint="eastAsia" w:ascii="仿宋" w:hAnsi="仿宋" w:eastAsia="仿宋" w:cs="仿宋"/>
          <w:kern w:val="2"/>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7.</w:t>
      </w:r>
      <w:r>
        <w:rPr>
          <w:rFonts w:hint="eastAsia" w:ascii="仿宋" w:hAnsi="仿宋" w:eastAsia="仿宋" w:cs="仿宋"/>
          <w:kern w:val="2"/>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8.</w:t>
      </w:r>
      <w:r>
        <w:rPr>
          <w:rFonts w:hint="eastAsia" w:ascii="仿宋" w:hAnsi="仿宋" w:eastAsia="仿宋" w:cs="仿宋"/>
          <w:kern w:val="2"/>
          <w:sz w:val="32"/>
          <w:szCs w:val="32"/>
        </w:rPr>
        <w:t>建立健全和管理全县统计信息自动化系统和统计数据库体系；制定全县各镇、各部门统计数据库网络的基本标准和运行规则。</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9.</w:t>
      </w:r>
      <w:r>
        <w:rPr>
          <w:rFonts w:hint="eastAsia" w:ascii="仿宋" w:hAnsi="仿宋" w:eastAsia="仿宋" w:cs="仿宋"/>
          <w:kern w:val="2"/>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10.</w:t>
      </w:r>
      <w:r>
        <w:rPr>
          <w:rFonts w:hint="eastAsia" w:ascii="仿宋" w:hAnsi="仿宋" w:eastAsia="仿宋" w:cs="仿宋"/>
          <w:kern w:val="2"/>
          <w:sz w:val="32"/>
          <w:szCs w:val="32"/>
        </w:rPr>
        <w:t>承担县政府公布的有关行政审批事项。</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11.</w:t>
      </w:r>
      <w:r>
        <w:rPr>
          <w:rFonts w:hint="eastAsia" w:ascii="仿宋" w:hAnsi="仿宋" w:eastAsia="仿宋" w:cs="仿宋"/>
          <w:kern w:val="2"/>
          <w:sz w:val="32"/>
          <w:szCs w:val="32"/>
        </w:rPr>
        <w:t>承办县政府交办的其他事项。</w:t>
      </w:r>
    </w:p>
    <w:p>
      <w:pPr>
        <w:spacing w:line="576" w:lineRule="exact"/>
        <w:ind w:firstLine="642"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（二）201</w:t>
      </w:r>
      <w:r>
        <w:rPr>
          <w:rFonts w:hint="eastAsia" w:ascii="楷体" w:hAnsi="楷体" w:eastAsia="楷体" w:cs="楷体"/>
          <w:b/>
          <w:bCs/>
          <w:color w:val="000000"/>
          <w:sz w:val="32"/>
          <w:szCs w:val="32"/>
          <w:lang w:val="en-US" w:eastAsia="zh-CN"/>
        </w:rPr>
        <w:t>9</w:t>
      </w:r>
      <w:r>
        <w:rPr>
          <w:rFonts w:hint="eastAsia" w:ascii="楷体" w:hAnsi="楷体" w:eastAsia="楷体" w:cs="楷体"/>
          <w:b/>
          <w:bCs/>
          <w:color w:val="000000"/>
          <w:sz w:val="32"/>
          <w:szCs w:val="32"/>
        </w:rPr>
        <w:t>年重点工作完成情况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提高基层统计能力，提升全县统计队伍业务素质；</w:t>
      </w:r>
    </w:p>
    <w:p>
      <w:pPr>
        <w:spacing w:line="576"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深入开展城乡居民住户抽样调查工作；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注重质量，开展统计造假专项整治工作；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扎实开展第四次全国经济普查工作；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积极落实</w:t>
      </w:r>
      <w:r>
        <w:rPr>
          <w:rFonts w:hint="eastAsia" w:ascii="仿宋" w:hAnsi="仿宋" w:eastAsia="仿宋" w:cs="仿宋"/>
          <w:sz w:val="32"/>
          <w:szCs w:val="32"/>
          <w:lang w:eastAsia="zh-CN"/>
        </w:rPr>
        <w:t>项目</w:t>
      </w:r>
      <w:r>
        <w:rPr>
          <w:rFonts w:hint="eastAsia" w:ascii="仿宋" w:hAnsi="仿宋" w:eastAsia="仿宋" w:cs="仿宋"/>
          <w:sz w:val="32"/>
          <w:szCs w:val="32"/>
        </w:rPr>
        <w:t>入库申报工作；</w:t>
      </w:r>
    </w:p>
    <w:p>
      <w:pPr>
        <w:pStyle w:val="29"/>
        <w:spacing w:before="0" w:beforeAutospacing="0" w:after="0" w:afterAutospacing="0" w:line="576" w:lineRule="exact"/>
        <w:ind w:firstLine="640" w:firstLineChars="200"/>
        <w:jc w:val="both"/>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大力开展统计法律法规宣传和统计执法工作；</w:t>
      </w:r>
    </w:p>
    <w:p>
      <w:pPr>
        <w:spacing w:line="576" w:lineRule="exact"/>
        <w:ind w:firstLine="640" w:firstLineChars="200"/>
        <w:jc w:val="lef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加大精准扶贫力度，确保脱贫成效；</w:t>
      </w:r>
    </w:p>
    <w:p>
      <w:pPr>
        <w:spacing w:line="576" w:lineRule="exact"/>
        <w:ind w:firstLine="640" w:firstLineChars="200"/>
        <w:rPr>
          <w:rFonts w:hint="eastAsia" w:ascii="仿宋" w:hAnsi="仿宋" w:eastAsia="仿宋" w:cs="仿宋"/>
          <w:sz w:val="32"/>
          <w:szCs w:val="32"/>
          <w:lang w:val="en-US" w:eastAsia="zh-CN"/>
        </w:rPr>
      </w:pPr>
      <w:r>
        <w:rPr>
          <w:rFonts w:ascii="仿宋" w:hAnsi="仿宋" w:eastAsia="仿宋" w:cs="仿宋"/>
          <w:sz w:val="32"/>
          <w:szCs w:val="32"/>
        </w:rPr>
        <w:t>8.</w:t>
      </w:r>
      <w:r>
        <w:rPr>
          <w:rFonts w:hint="eastAsia" w:ascii="仿宋" w:hAnsi="仿宋" w:eastAsia="仿宋" w:cs="仿宋"/>
          <w:sz w:val="32"/>
          <w:szCs w:val="32"/>
        </w:rPr>
        <w:t>完成全县平安建设问卷调查工作</w:t>
      </w:r>
      <w:bookmarkStart w:id="7" w:name="_Toc15396601"/>
      <w:bookmarkStart w:id="8" w:name="_Toc15377200"/>
      <w:r>
        <w:rPr>
          <w:rFonts w:hint="eastAsia" w:ascii="仿宋" w:hAnsi="仿宋" w:eastAsia="仿宋" w:cs="仿宋"/>
          <w:sz w:val="32"/>
          <w:szCs w:val="32"/>
          <w:lang w:val="en-US" w:eastAsia="zh-CN"/>
        </w:rPr>
        <w:t>;</w:t>
      </w:r>
    </w:p>
    <w:p>
      <w:pPr>
        <w:spacing w:line="576"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深入推进深化统计管理体制改革工作</w:t>
      </w:r>
      <w:r>
        <w:rPr>
          <w:rFonts w:hint="eastAsia" w:ascii="仿宋" w:hAnsi="仿宋" w:eastAsia="仿宋" w:cs="仿宋"/>
          <w:sz w:val="32"/>
          <w:szCs w:val="32"/>
          <w:lang w:eastAsia="zh-CN"/>
        </w:rPr>
        <w:t>。</w:t>
      </w:r>
    </w:p>
    <w:p>
      <w:pPr>
        <w:pStyle w:val="3"/>
        <w:spacing w:before="0" w:after="0" w:line="576" w:lineRule="exact"/>
        <w:ind w:firstLine="640" w:firstLineChars="200"/>
        <w:rPr>
          <w:rFonts w:ascii="黑体" w:eastAsia="黑体" w:cs="Times New Roman"/>
          <w:b w:val="0"/>
          <w:bCs w:val="0"/>
          <w:color w:val="000000"/>
        </w:rPr>
      </w:pPr>
    </w:p>
    <w:p/>
    <w:p>
      <w:pPr>
        <w:pStyle w:val="3"/>
        <w:spacing w:before="0" w:after="0" w:line="576" w:lineRule="exact"/>
        <w:ind w:firstLine="640" w:firstLineChars="200"/>
        <w:rPr>
          <w:rStyle w:val="17"/>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7"/>
      <w:bookmarkEnd w:id="8"/>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茂县统计局属一级预算单位，内设</w:t>
      </w:r>
      <w:r>
        <w:rPr>
          <w:rFonts w:hint="eastAsia" w:ascii="仿宋" w:hAnsi="仿宋" w:eastAsia="仿宋" w:cs="仿宋"/>
          <w:sz w:val="32"/>
          <w:szCs w:val="32"/>
          <w:lang w:val="en-US" w:eastAsia="zh-CN"/>
        </w:rPr>
        <w:t>4</w:t>
      </w:r>
      <w:r>
        <w:rPr>
          <w:rFonts w:hint="eastAsia" w:ascii="仿宋" w:hAnsi="仿宋" w:eastAsia="仿宋" w:cs="仿宋"/>
          <w:sz w:val="32"/>
          <w:szCs w:val="32"/>
        </w:rPr>
        <w:t>个机构，分别为办公室、综合统计股、专业统计股、城乡社会经济抽样调查队。</w:t>
      </w:r>
    </w:p>
    <w:p>
      <w:pPr>
        <w:numPr>
          <w:ilvl w:val="0"/>
          <w:numId w:val="0"/>
        </w:numPr>
        <w:spacing w:line="576" w:lineRule="exact"/>
        <w:ind w:firstLine="642" w:firstLineChars="200"/>
        <w:rPr>
          <w:rFonts w:hint="eastAsia" w:ascii="仿宋" w:hAnsi="仿宋" w:eastAsia="仿宋" w:cs="仿宋"/>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办公室</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协助局领导处理日常工作，综合协调局机关行政工作，承担文秘、政务信息、目标管理、保密、安全、档案、内外收发等工作，统一管理统计事业费，负责局机关后勤保障，干部人事，机构编制，统计系统人员培训工作，负责离退休人员的管理和服务工作，配合有关部门组织管理本系统专业资格考试和职称评审工作，组织单位内政治、业务学习和精神文明建设，负责全县统计系统岗位培训和继续教育工作。 </w:t>
      </w:r>
    </w:p>
    <w:p>
      <w:pPr>
        <w:numPr>
          <w:ilvl w:val="0"/>
          <w:numId w:val="0"/>
        </w:numPr>
        <w:spacing w:line="576" w:lineRule="exact"/>
        <w:ind w:firstLine="642" w:firstLineChars="200"/>
        <w:rPr>
          <w:rFonts w:hint="eastAsia" w:ascii="仿宋" w:hAnsi="仿宋" w:eastAsia="仿宋" w:cs="仿宋"/>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综合统计股</w:t>
      </w:r>
      <w:r>
        <w:rPr>
          <w:rFonts w:hint="eastAsia" w:ascii="仿宋" w:hAnsi="仿宋" w:eastAsia="仿宋" w:cs="仿宋"/>
          <w:sz w:val="32"/>
          <w:szCs w:val="32"/>
        </w:rPr>
        <w:t xml:space="preserve">（茂县统计执法队） 负责对全县经济、社会、科技运行情况进行监测、分析和预测，组织实施全县国民经济核算体系，对统计数据的使用和提供进行管理、审查、汇总整理全县及各乡镇的经济、科技、社会综合性统计资料，承担国内生产总值、投入产出、资金流量、国际收支、资产负债和资源环境核算工作。提供全县国民经济核算资料及有关综合平衡状况分析研究报告。研究改革调查方法，负责全县统计业务目标管理考核工作；归口管理教育、文化、卫生、体育、广播、档案、环保、民政、司法、公用事业等部门统计；负责全县乡镇信息系统建设，组织实施《中国妇女纲要》，《中国儿童发展纲要》的收集评估工作。 草拟全县性统计法规、规章和重要统计工作文件，组织统计法律、法规的宣传贯彻和执法检查监督工作，会同有关部门检查处理违法统计法律、法规的案件和事件。 </w:t>
      </w:r>
    </w:p>
    <w:p>
      <w:pPr>
        <w:numPr>
          <w:ilvl w:val="0"/>
          <w:numId w:val="0"/>
        </w:numPr>
        <w:spacing w:line="576" w:lineRule="exact"/>
        <w:ind w:firstLine="642" w:firstLineChars="200"/>
        <w:rPr>
          <w:rFonts w:hint="eastAsia" w:ascii="仿宋" w:hAnsi="仿宋" w:eastAsia="仿宋" w:cs="仿宋"/>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专业统计股</w:t>
      </w:r>
      <w:r>
        <w:rPr>
          <w:rFonts w:hint="eastAsia" w:ascii="仿宋" w:hAnsi="仿宋" w:eastAsia="仿宋" w:cs="仿宋"/>
          <w:sz w:val="32"/>
          <w:szCs w:val="32"/>
        </w:rPr>
        <w:t xml:space="preserve"> 负责组织实施工业、交通运输、邮电、能源、农牧业生产、农村工、商、运、建、服务业的生产经营和农业机械、水利及农村固定资产结构、农村自然灾害、农业总产值、增加值等各项农村经济调查；负责组织实施全县固定资产投资、建筑施工企业、贸易餐饮企业、服务企业、劳动就业和从业人员企业生产经营活动、服务业、外经外贸、旅游等调查统计数据。负责对工业、交通、运输邮电、农村基础统计、商贸、服务、行政事业单位基础工作进行指导，并对相关专业数据质量检查、评估分析经济发展中的问题，开展统计分析，提供目标考核资料。 </w:t>
      </w:r>
    </w:p>
    <w:p>
      <w:pPr>
        <w:numPr>
          <w:ilvl w:val="0"/>
          <w:numId w:val="0"/>
        </w:numPr>
        <w:spacing w:line="576" w:lineRule="exact"/>
        <w:ind w:firstLine="642" w:firstLineChars="200"/>
        <w:rPr>
          <w:rFonts w:hint="eastAsia" w:ascii="仿宋" w:hAnsi="仿宋" w:eastAsia="仿宋" w:cs="仿宋"/>
          <w:sz w:val="32"/>
          <w:szCs w:val="32"/>
        </w:rPr>
      </w:pPr>
      <w:r>
        <w:rPr>
          <w:rFonts w:hint="eastAsia" w:ascii="楷体" w:hAnsi="楷体" w:eastAsia="楷体" w:cs="楷体"/>
          <w:b/>
          <w:bCs/>
          <w:sz w:val="32"/>
          <w:szCs w:val="32"/>
        </w:rPr>
        <w:t>（四）城乡社会经济抽样调查队</w:t>
      </w:r>
      <w:r>
        <w:rPr>
          <w:rFonts w:hint="eastAsia" w:ascii="仿宋" w:hAnsi="仿宋" w:eastAsia="仿宋" w:cs="仿宋"/>
          <w:sz w:val="32"/>
          <w:szCs w:val="32"/>
        </w:rPr>
        <w:t xml:space="preserve"> 城乡社会经济抽样调查队由省人民政府确定的，是阿坝州唯一一个反映县镇居民生活收支和物价水平的调查机构，是在行政上受县统计局领导，业务上直接受省城调队指导的行政统计调查机构，负责农民收支统计调查和物价调查点的选定，代表规格品种选择，权数确定，直接调查采价登记、消费及零售物价指数编算以及市场价格变动趋势分析、预测，负责城镇居民家庭收支调查中样本轮换、调查户的抽选、培训，按月入户收发账本和审核、编码、录入、汇总上报工作，并对物价变动、市场运行情况及居民生活收支情况进行分析。</w:t>
      </w:r>
    </w:p>
    <w:p>
      <w:pPr>
        <w:spacing w:line="576" w:lineRule="exact"/>
        <w:ind w:firstLine="640" w:firstLineChars="200"/>
        <w:rPr>
          <w:rFonts w:ascii="仿宋_GB2312" w:eastAsia="仿宋_GB2312"/>
          <w:sz w:val="32"/>
          <w:szCs w:val="32"/>
        </w:rPr>
      </w:pPr>
    </w:p>
    <w:p>
      <w:pPr>
        <w:widowControl/>
        <w:spacing w:line="576" w:lineRule="exact"/>
        <w:rPr>
          <w:rStyle w:val="16"/>
          <w:rFonts w:ascii="方正小标宋简体" w:hAnsi="黑体" w:eastAsia="方正小标宋简体"/>
          <w:b w:val="0"/>
          <w:bCs w:val="0"/>
        </w:rPr>
      </w:pPr>
      <w:bookmarkStart w:id="9" w:name="_Toc15377204"/>
      <w:bookmarkStart w:id="10" w:name="_Toc15396602"/>
    </w:p>
    <w:p>
      <w:pPr>
        <w:widowControl/>
        <w:spacing w:line="576" w:lineRule="exact"/>
        <w:rPr>
          <w:rStyle w:val="16"/>
          <w:rFonts w:ascii="方正小标宋简体" w:hAnsi="黑体" w:eastAsia="方正小标宋简体"/>
          <w:b w:val="0"/>
          <w:bCs w:val="0"/>
        </w:rPr>
      </w:pPr>
    </w:p>
    <w:p>
      <w:pPr>
        <w:widowControl/>
        <w:spacing w:line="576" w:lineRule="exact"/>
        <w:jc w:val="center"/>
        <w:rPr>
          <w:rStyle w:val="16"/>
          <w:rFonts w:ascii="方正小标宋简体" w:hAnsi="黑体" w:eastAsia="方正小标宋简体"/>
          <w:b w:val="0"/>
          <w:bCs w:val="0"/>
        </w:rPr>
      </w:pPr>
      <w:r>
        <w:rPr>
          <w:rStyle w:val="16"/>
          <w:rFonts w:hint="eastAsia" w:ascii="方正小标宋简体" w:hAnsi="黑体" w:eastAsia="方正小标宋简体" w:cs="方正小标宋简体"/>
          <w:b w:val="0"/>
          <w:bCs w:val="0"/>
        </w:rPr>
        <w:t>第二部分</w:t>
      </w:r>
      <w:r>
        <w:rPr>
          <w:rStyle w:val="16"/>
          <w:rFonts w:ascii="方正小标宋简体" w:hAnsi="黑体" w:eastAsia="方正小标宋简体" w:cs="方正小标宋简体"/>
          <w:b w:val="0"/>
          <w:bCs w:val="0"/>
        </w:rPr>
        <w:t>201</w:t>
      </w:r>
      <w:r>
        <w:rPr>
          <w:rStyle w:val="16"/>
          <w:rFonts w:hint="eastAsia" w:ascii="方正小标宋简体" w:hAnsi="黑体" w:eastAsia="方正小标宋简体" w:cs="方正小标宋简体"/>
          <w:b w:val="0"/>
          <w:bCs w:val="0"/>
          <w:lang w:val="en-US" w:eastAsia="zh-CN"/>
        </w:rPr>
        <w:t>9</w:t>
      </w:r>
      <w:r>
        <w:rPr>
          <w:rStyle w:val="16"/>
          <w:rFonts w:hint="eastAsia" w:ascii="方正小标宋简体" w:hAnsi="黑体" w:eastAsia="方正小标宋简体" w:cs="方正小标宋简体"/>
          <w:b w:val="0"/>
          <w:bCs w:val="0"/>
        </w:rPr>
        <w:t>年度部门决算情况说明</w:t>
      </w:r>
      <w:bookmarkEnd w:id="9"/>
      <w:bookmarkEnd w:id="10"/>
    </w:p>
    <w:p>
      <w:pPr>
        <w:spacing w:line="576" w:lineRule="exact"/>
        <w:ind w:firstLine="420" w:firstLineChars="200"/>
      </w:pPr>
    </w:p>
    <w:p>
      <w:pPr>
        <w:pStyle w:val="27"/>
        <w:spacing w:line="576" w:lineRule="exact"/>
        <w:ind w:firstLine="640"/>
        <w:jc w:val="left"/>
        <w:outlineLvl w:val="1"/>
        <w:rPr>
          <w:rStyle w:val="17"/>
          <w:rFonts w:ascii="黑体" w:hAnsi="黑体" w:eastAsia="黑体" w:cs="Times New Roman"/>
          <w:b w:val="0"/>
          <w:bCs w:val="0"/>
        </w:rPr>
      </w:pPr>
      <w:bookmarkStart w:id="11" w:name="_Toc15396603"/>
      <w:bookmarkStart w:id="12" w:name="_Toc15377205"/>
      <w:r>
        <w:rPr>
          <w:rFonts w:hint="eastAsia" w:ascii="黑体" w:hAnsi="黑体" w:eastAsia="黑体" w:cs="黑体"/>
          <w:color w:val="000000"/>
          <w:sz w:val="32"/>
          <w:szCs w:val="32"/>
        </w:rPr>
        <w:t>一、收</w:t>
      </w:r>
      <w:r>
        <w:rPr>
          <w:rStyle w:val="17"/>
          <w:rFonts w:hint="eastAsia" w:ascii="黑体" w:hAnsi="黑体" w:eastAsia="黑体" w:cs="黑体"/>
          <w:b w:val="0"/>
          <w:bCs w:val="0"/>
        </w:rPr>
        <w:t>入支出决算总体情况说明</w:t>
      </w:r>
      <w:bookmarkEnd w:id="11"/>
      <w:bookmarkEnd w:id="12"/>
    </w:p>
    <w:p>
      <w:pPr>
        <w:spacing w:line="60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90.67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32.28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widowControl/>
        <w:spacing w:line="576" w:lineRule="exact"/>
        <w:ind w:firstLine="560" w:firstLineChars="200"/>
        <w:jc w:val="left"/>
        <w:rPr>
          <w:rFonts w:hint="eastAsia" w:ascii="楷体_GB2312" w:hAnsi="楷体" w:eastAsia="楷体_GB2312"/>
          <w:b/>
          <w:bCs/>
          <w:color w:val="000000"/>
          <w:sz w:val="32"/>
          <w:szCs w:val="32"/>
          <w:lang w:eastAsia="zh-CN"/>
        </w:rPr>
      </w:pPr>
      <w:r>
        <w:rPr>
          <w:rFonts w:hint="eastAsia" w:ascii="宋体" w:hAnsi="宋体" w:cs="宋体"/>
          <w:color w:val="000000"/>
          <w:kern w:val="0"/>
          <w:sz w:val="28"/>
          <w:szCs w:val="28"/>
        </w:rPr>
        <w:t>图</w:t>
      </w:r>
      <w:r>
        <w:rPr>
          <w:rFonts w:ascii="宋体" w:hAnsi="宋体" w:cs="宋体"/>
          <w:color w:val="000000"/>
          <w:kern w:val="0"/>
          <w:sz w:val="28"/>
          <w:szCs w:val="28"/>
        </w:rPr>
        <w:t xml:space="preserve"> 1</w:t>
      </w:r>
      <w:r>
        <w:rPr>
          <w:rFonts w:hint="eastAsia" w:ascii="宋体" w:hAnsi="宋体" w:cs="宋体"/>
          <w:color w:val="000000"/>
          <w:kern w:val="0"/>
          <w:sz w:val="28"/>
          <w:szCs w:val="28"/>
        </w:rPr>
        <w:t>：收、支决算总计变动情况图（单位：万元）</w:t>
      </w:r>
      <w:bookmarkStart w:id="13" w:name="_Toc15377206"/>
      <w:bookmarkStart w:id="14" w:name="_Toc15396604"/>
    </w:p>
    <w:p>
      <w:pPr>
        <w:jc w:val="left"/>
        <w:rPr>
          <w:rFonts w:hint="eastAsia" w:ascii="楷体_GB2312" w:hAnsi="楷体" w:eastAsia="楷体_GB2312"/>
          <w:b/>
          <w:bCs/>
          <w:color w:val="000000"/>
          <w:sz w:val="32"/>
          <w:szCs w:val="32"/>
          <w:lang w:eastAsia="zh-CN"/>
        </w:rPr>
      </w:pPr>
      <w:r>
        <w:rPr>
          <w:rFonts w:hint="eastAsia" w:ascii="楷体_GB2312" w:hAnsi="楷体" w:eastAsia="楷体_GB2312"/>
          <w:b/>
          <w:bCs/>
          <w:color w:val="000000"/>
          <w:sz w:val="32"/>
          <w:szCs w:val="32"/>
          <w:lang w:eastAsia="zh-CN"/>
        </w:rPr>
        <w:object>
          <v:shape id="_x0000_i1025" o:spt="75" type="#_x0000_t75" style="height:231.75pt;width:396.75pt;" o:ole="t" filled="f" o:preferrelative="t" stroked="f" coordsize="21600,21600">
            <v:path/>
            <v:fill on="f" focussize="0,0"/>
            <v:stroke on="f"/>
            <v:imagedata r:id="rId7" o:title=""/>
            <o:lock v:ext="edit" aspectratio="t"/>
            <w10:wrap type="none"/>
            <w10:anchorlock/>
          </v:shape>
          <o:OLEObject Type="Embed" ProgID="Excel.Chart.8" ShapeID="_x0000_i1025" DrawAspect="Content" ObjectID="_1468075725" r:id="rId6">
            <o:LockedField>false</o:LockedField>
          </o:OLEObject>
        </w:object>
      </w:r>
    </w:p>
    <w:p>
      <w:pPr>
        <w:spacing w:line="576" w:lineRule="exact"/>
        <w:ind w:firstLine="629" w:firstLineChars="196"/>
        <w:jc w:val="left"/>
        <w:rPr>
          <w:rStyle w:val="17"/>
          <w:rFonts w:ascii="楷体_GB2312" w:hAnsi="楷体" w:eastAsia="楷体_GB2312" w:cs="Times New Roman"/>
        </w:rPr>
      </w:pPr>
      <w:r>
        <w:rPr>
          <w:rFonts w:hint="eastAsia" w:ascii="楷体_GB2312" w:hAnsi="楷体" w:eastAsia="楷体_GB2312" w:cs="楷体_GB2312"/>
          <w:b/>
          <w:bCs/>
          <w:color w:val="000000"/>
          <w:sz w:val="32"/>
          <w:szCs w:val="32"/>
        </w:rPr>
        <w:t>二、收</w:t>
      </w:r>
      <w:r>
        <w:rPr>
          <w:rStyle w:val="17"/>
          <w:rFonts w:hint="eastAsia" w:ascii="楷体_GB2312" w:hAnsi="楷体" w:eastAsia="楷体_GB2312" w:cs="楷体_GB2312"/>
        </w:rPr>
        <w:t>入决算情况说明</w:t>
      </w:r>
      <w:bookmarkEnd w:id="13"/>
      <w:bookmarkEnd w:id="14"/>
    </w:p>
    <w:p>
      <w:pPr>
        <w:spacing w:line="576" w:lineRule="exact"/>
        <w:ind w:firstLine="640" w:firstLineChars="200"/>
        <w:outlineLvl w:val="1"/>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widowControl/>
        <w:spacing w:line="576" w:lineRule="exact"/>
        <w:ind w:firstLine="686" w:firstLineChars="245"/>
        <w:jc w:val="left"/>
      </w:pPr>
      <w:r>
        <w:rPr>
          <w:rFonts w:hint="eastAsia" w:ascii="宋体" w:hAnsi="宋体" w:cs="宋体"/>
          <w:color w:val="000000"/>
          <w:kern w:val="0"/>
          <w:sz w:val="28"/>
          <w:szCs w:val="28"/>
        </w:rPr>
        <w:t>图</w:t>
      </w:r>
      <w:r>
        <w:rPr>
          <w:rFonts w:ascii="宋体" w:hAnsi="宋体" w:cs="宋体"/>
          <w:color w:val="000000"/>
          <w:kern w:val="0"/>
          <w:sz w:val="28"/>
          <w:szCs w:val="28"/>
        </w:rPr>
        <w:t xml:space="preserve"> 2</w:t>
      </w:r>
      <w:r>
        <w:rPr>
          <w:rFonts w:hint="eastAsia" w:ascii="宋体" w:hAnsi="宋体" w:cs="宋体"/>
          <w:color w:val="000000"/>
          <w:kern w:val="0"/>
          <w:sz w:val="28"/>
          <w:szCs w:val="28"/>
        </w:rPr>
        <w:t>：收入决算结构图（单位：万元）</w:t>
      </w:r>
    </w:p>
    <w:p>
      <w:pPr>
        <w:spacing w:line="360" w:lineRule="auto"/>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6" o:spt="75" type="#_x0000_t75" style="height:231.75pt;width:396.75pt;" o:ole="t" filled="f" o:preferrelative="t" stroked="f" coordsize="21600,21600">
            <v:path/>
            <v:fill on="f" focussize="0,0"/>
            <v:stroke on="f"/>
            <v:imagedata r:id="rId9" o:title=""/>
            <o:lock v:ext="edit" aspectratio="t"/>
            <w10:wrap type="none"/>
            <w10:anchorlock/>
          </v:shape>
          <o:OLEObject Type="Embed" ProgID="Excel.Chart.8" ShapeID="_x0000_i1026" DrawAspect="Content" ObjectID="_1468075726" r:id="rId8">
            <o:LockedField>false</o:LockedField>
          </o:OLEObject>
        </w:object>
      </w:r>
    </w:p>
    <w:p>
      <w:pPr>
        <w:pStyle w:val="27"/>
        <w:spacing w:line="576" w:lineRule="exact"/>
        <w:ind w:left="640" w:firstLine="0" w:firstLineChars="0"/>
        <w:outlineLvl w:val="1"/>
        <w:rPr>
          <w:rStyle w:val="17"/>
          <w:rFonts w:ascii="黑体" w:hAnsi="黑体" w:eastAsia="黑体" w:cs="Times New Roman"/>
          <w:b w:val="0"/>
          <w:bCs w:val="0"/>
        </w:rPr>
      </w:pPr>
      <w:bookmarkStart w:id="15" w:name="_Toc15377207"/>
      <w:bookmarkStart w:id="16" w:name="_Toc15396605"/>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15"/>
      <w:bookmarkEnd w:id="16"/>
    </w:p>
    <w:p>
      <w:pPr>
        <w:spacing w:line="600" w:lineRule="exact"/>
        <w:ind w:firstLine="640" w:firstLineChars="200"/>
        <w:outlineLvl w:val="1"/>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275.14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80.74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65.64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19.26</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widowControl/>
        <w:spacing w:line="576" w:lineRule="exact"/>
        <w:ind w:firstLine="1280" w:firstLineChars="400"/>
        <w:jc w:val="lef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宋体" w:hAnsi="宋体" w:cs="宋体"/>
          <w:color w:val="000000"/>
          <w:kern w:val="0"/>
          <w:sz w:val="28"/>
          <w:szCs w:val="28"/>
        </w:rPr>
        <w:t>（单位：万元）</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7" o:spt="75" type="#_x0000_t75" style="height:231.75pt;width:366pt;" o:ole="t" filled="f" o:preferrelative="t" stroked="f" coordsize="21600,21600">
            <v:path/>
            <v:fill on="f" focussize="0,0"/>
            <v:stroke on="f"/>
            <v:imagedata r:id="rId11" o:title=""/>
            <o:lock v:ext="edit" aspectratio="t"/>
            <w10:wrap type="none"/>
            <w10:anchorlock/>
          </v:shape>
          <o:OLEObject Type="Embed" ProgID="Excel.Chart.8" ShapeID="_x0000_i1027" DrawAspect="Content" ObjectID="_1468075727" r:id="rId10">
            <o:LockedField>false</o:LockedField>
          </o:OLEObject>
        </w:object>
      </w:r>
    </w:p>
    <w:p>
      <w:pPr>
        <w:pStyle w:val="3"/>
        <w:ind w:firstLine="640" w:firstLineChars="200"/>
        <w:rPr>
          <w:rStyle w:val="17"/>
          <w:rFonts w:ascii="黑体" w:hAnsi="黑体" w:eastAsia="黑体" w:cs="Times New Roman"/>
          <w:b w:val="0"/>
          <w:bCs w:val="0"/>
        </w:rPr>
      </w:pPr>
      <w:bookmarkStart w:id="17" w:name="_Toc15377208"/>
      <w:bookmarkStart w:id="18" w:name="_Toc15396606"/>
      <w:r>
        <w:rPr>
          <w:rFonts w:hint="eastAsia" w:ascii="黑体" w:hAnsi="黑体" w:eastAsia="黑体" w:cs="黑体"/>
          <w:b w:val="0"/>
          <w:bCs w:val="0"/>
          <w:color w:val="000000"/>
        </w:rPr>
        <w:t>四、财</w:t>
      </w:r>
      <w:r>
        <w:rPr>
          <w:rStyle w:val="17"/>
          <w:rFonts w:hint="eastAsia" w:ascii="黑体" w:hAnsi="黑体" w:eastAsia="黑体" w:cs="黑体"/>
          <w:b w:val="0"/>
          <w:bCs w:val="0"/>
        </w:rPr>
        <w:t>政拨款收入支出决算总体情况说明</w:t>
      </w:r>
      <w:bookmarkEnd w:id="17"/>
      <w:bookmarkEnd w:id="18"/>
    </w:p>
    <w:p>
      <w:pPr>
        <w:spacing w:line="576" w:lineRule="exact"/>
        <w:ind w:firstLine="640" w:firstLineChars="200"/>
        <w:rPr>
          <w:rFonts w:hint="eastAsia" w:ascii="仿宋_GB2312" w:hAnsi="仿宋_GB2312" w:eastAsia="仿宋_GB2312" w:cs="仿宋_GB2312"/>
          <w:color w:val="000000"/>
          <w:sz w:val="32"/>
          <w:szCs w:val="32"/>
          <w:lang w:eastAsia="zh-CN"/>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90.67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32.28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spacing w:line="576" w:lineRule="exact"/>
        <w:ind w:firstLine="320" w:firstLineChars="100"/>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r>
        <w:rPr>
          <w:rFonts w:hint="eastAsia" w:ascii="宋体" w:hAnsi="宋体" w:cs="宋体"/>
          <w:color w:val="000000"/>
          <w:kern w:val="0"/>
          <w:sz w:val="28"/>
          <w:szCs w:val="28"/>
        </w:rPr>
        <w:t>（单位：万元）</w:t>
      </w:r>
    </w:p>
    <w:p>
      <w:pPr>
        <w:spacing w:line="600" w:lineRule="exact"/>
        <w:ind w:firstLine="640" w:firstLineChars="200"/>
        <w:rPr>
          <w:rFonts w:ascii="仿宋" w:hAnsi="仿宋" w:eastAsia="仿宋"/>
          <w:color w:val="000000"/>
          <w:sz w:val="32"/>
          <w:szCs w:val="32"/>
        </w:rPr>
      </w:pPr>
    </w:p>
    <w:p>
      <w:pPr>
        <w:rPr>
          <w:rFonts w:hint="eastAsia" w:ascii="仿宋" w:hAnsi="仿宋" w:eastAsia="仿宋"/>
          <w:b/>
          <w:bCs/>
          <w:color w:val="00B050"/>
          <w:sz w:val="32"/>
          <w:szCs w:val="32"/>
          <w:lang w:eastAsia="zh-CN"/>
        </w:rPr>
      </w:pPr>
      <w:bookmarkStart w:id="19" w:name="_Toc15396607"/>
      <w:bookmarkStart w:id="20" w:name="_Toc15377209"/>
      <w:r>
        <w:rPr>
          <w:rFonts w:hint="eastAsia" w:ascii="仿宋" w:hAnsi="仿宋" w:eastAsia="仿宋"/>
          <w:b/>
          <w:bCs/>
          <w:color w:val="00B050"/>
          <w:sz w:val="32"/>
          <w:szCs w:val="32"/>
          <w:lang w:eastAsia="zh-CN"/>
        </w:rPr>
        <w:object>
          <v:shape id="_x0000_i1028" o:spt="75" type="#_x0000_t75" style="height:231.75pt;width:396.75pt;" o:ole="t" filled="f" o:preferrelative="t" stroked="f" coordsize="21600,21600">
            <v:path/>
            <v:fill on="f" focussize="0,0"/>
            <v:stroke on="f"/>
            <v:imagedata r:id="rId13" o:title=""/>
            <o:lock v:ext="edit" aspectratio="t"/>
            <w10:wrap type="none"/>
            <w10:anchorlock/>
          </v:shape>
          <o:OLEObject Type="Embed" ProgID="Excel.Chart.8" ShapeID="_x0000_i1028" DrawAspect="Content" ObjectID="_1468075728" r:id="rId12">
            <o:LockedField>false</o:LockedField>
          </o:OLEObject>
        </w:object>
      </w:r>
    </w:p>
    <w:p>
      <w:pPr>
        <w:spacing w:line="576" w:lineRule="exact"/>
        <w:ind w:firstLine="640" w:firstLineChars="200"/>
        <w:rPr>
          <w:rFonts w:ascii="仿宋" w:hAnsi="仿宋" w:eastAsia="仿宋"/>
          <w:color w:val="000000"/>
          <w:sz w:val="32"/>
          <w:szCs w:val="32"/>
        </w:rPr>
      </w:pPr>
      <w:r>
        <w:rPr>
          <w:rFonts w:hint="eastAsia" w:ascii="黑体" w:hAnsi="黑体" w:eastAsia="黑体" w:cs="黑体"/>
          <w:color w:val="000000"/>
          <w:sz w:val="32"/>
          <w:szCs w:val="32"/>
        </w:rPr>
        <w:t>五、一</w:t>
      </w:r>
      <w:r>
        <w:rPr>
          <w:rStyle w:val="17"/>
          <w:rFonts w:hint="eastAsia" w:ascii="黑体" w:hAnsi="黑体" w:eastAsia="黑体" w:cs="黑体"/>
          <w:b w:val="0"/>
          <w:bCs w:val="0"/>
        </w:rPr>
        <w:t>般公共预算财政拨款支出决算情况说明</w:t>
      </w:r>
      <w:bookmarkEnd w:id="19"/>
      <w:bookmarkEnd w:id="20"/>
      <w:bookmarkStart w:id="21" w:name="_Toc15377210"/>
    </w:p>
    <w:p>
      <w:pPr>
        <w:spacing w:line="576" w:lineRule="exact"/>
        <w:ind w:firstLine="642" w:firstLineChars="200"/>
        <w:outlineLvl w:val="1"/>
        <w:rPr>
          <w:rFonts w:ascii="仿宋" w:hAnsi="仿宋" w:eastAsia="仿宋"/>
          <w:b/>
          <w:bCs/>
          <w:color w:val="000000"/>
          <w:sz w:val="32"/>
          <w:szCs w:val="32"/>
        </w:rPr>
      </w:pPr>
      <w:r>
        <w:rPr>
          <w:rFonts w:hint="eastAsia" w:ascii="楷体_GB2312" w:hAnsi="楷体" w:eastAsia="楷体_GB2312" w:cs="楷体_GB2312"/>
          <w:b/>
          <w:bCs/>
          <w:color w:val="000000"/>
          <w:sz w:val="32"/>
          <w:szCs w:val="32"/>
        </w:rPr>
        <w:t>（一）一般公共预算财政拨款支出决算总体情况</w:t>
      </w:r>
      <w:bookmarkEnd w:id="21"/>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59.91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21.33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spacing w:line="576" w:lineRule="exac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w:t>
      </w:r>
      <w:r>
        <w:rPr>
          <w:rFonts w:hint="eastAsia" w:ascii="仿宋" w:hAnsi="仿宋" w:eastAsia="仿宋" w:cs="仿宋"/>
          <w:color w:val="000000"/>
          <w:sz w:val="32"/>
          <w:szCs w:val="32"/>
          <w:lang w:eastAsia="zh-CN"/>
        </w:rPr>
        <w:t>变动</w:t>
      </w:r>
      <w:r>
        <w:rPr>
          <w:rFonts w:hint="eastAsia" w:ascii="仿宋" w:hAnsi="仿宋" w:eastAsia="仿宋" w:cs="仿宋"/>
          <w:color w:val="000000"/>
          <w:sz w:val="32"/>
          <w:szCs w:val="32"/>
        </w:rPr>
        <w:t>情况</w:t>
      </w:r>
      <w:r>
        <w:rPr>
          <w:rFonts w:hint="eastAsia" w:ascii="宋体" w:hAnsi="宋体" w:cs="宋体"/>
          <w:color w:val="000000"/>
          <w:kern w:val="0"/>
          <w:sz w:val="28"/>
          <w:szCs w:val="28"/>
        </w:rPr>
        <w:t>（单位：万元）</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29" o:spt="75" type="#_x0000_t75" style="height:231.75pt;width:396.75pt;" o:ole="t" filled="f" o:preferrelative="t" stroked="f" coordsize="21600,21600">
            <v:path/>
            <v:fill on="f" focussize="0,0"/>
            <v:stroke on="f"/>
            <v:imagedata r:id="rId15" o:title=""/>
            <o:lock v:ext="edit" aspectratio="t"/>
            <w10:wrap type="none"/>
            <w10:anchorlock/>
          </v:shape>
          <o:OLEObject Type="Embed" ProgID="Excel.Chart.8" ShapeID="_x0000_i1029" DrawAspect="Content" ObjectID="_1468075729" r:id="rId14">
            <o:LockedField>false</o:LockedField>
          </o:OLEObject>
        </w:object>
      </w:r>
    </w:p>
    <w:p>
      <w:pPr>
        <w:spacing w:line="576" w:lineRule="exact"/>
        <w:ind w:firstLine="642" w:firstLineChars="200"/>
        <w:outlineLvl w:val="1"/>
        <w:rPr>
          <w:rFonts w:ascii="仿宋" w:hAnsi="仿宋" w:eastAsia="仿宋"/>
          <w:b/>
          <w:bCs/>
          <w:color w:val="000000"/>
          <w:sz w:val="32"/>
          <w:szCs w:val="32"/>
        </w:rPr>
      </w:pPr>
      <w:bookmarkStart w:id="22" w:name="_Toc15377211"/>
      <w:r>
        <w:rPr>
          <w:rFonts w:hint="eastAsia" w:ascii="楷体_GB2312" w:hAnsi="仿宋" w:eastAsia="楷体_GB2312" w:cs="楷体_GB2312"/>
          <w:b/>
          <w:bCs/>
          <w:color w:val="000000"/>
          <w:sz w:val="32"/>
          <w:szCs w:val="32"/>
        </w:rPr>
        <w:t>（二）一般公共预算财政拨款支出决算结构情况</w:t>
      </w:r>
      <w:bookmarkEnd w:id="22"/>
    </w:p>
    <w:p>
      <w:pPr>
        <w:spacing w:line="600"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269.58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val="en-US" w:eastAsia="zh-CN"/>
        </w:rPr>
        <w:t>9.10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33.52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9.84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；医疗卫生（</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16.14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21.54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6.32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30" o:spt="75" type="#_x0000_t75" style="height:231.75pt;width:366pt;" o:ole="t" filled="f" o:preferrelative="t" stroked="f" coordsize="21600,21600">
            <v:path/>
            <v:fill on="f" focussize="0,0"/>
            <v:stroke on="f"/>
            <v:imagedata r:id="rId17" o:title=""/>
            <o:lock v:ext="edit" aspectratio="t"/>
            <w10:wrap type="none"/>
            <w10:anchorlock/>
          </v:shape>
          <o:OLEObject Type="Embed" ProgID="Excel.Chart.8" ShapeID="_x0000_i1030" DrawAspect="Content" ObjectID="_1468075730" r:id="rId16">
            <o:LockedField>false</o:LockedField>
          </o:OLEObject>
        </w:object>
      </w:r>
    </w:p>
    <w:p>
      <w:pPr>
        <w:spacing w:line="576" w:lineRule="exact"/>
        <w:ind w:firstLine="642" w:firstLineChars="200"/>
        <w:outlineLvl w:val="1"/>
        <w:rPr>
          <w:rFonts w:ascii="仿宋" w:hAnsi="仿宋" w:eastAsia="仿宋"/>
          <w:b/>
          <w:bCs/>
          <w:color w:val="000000"/>
          <w:sz w:val="32"/>
          <w:szCs w:val="32"/>
        </w:rPr>
      </w:pPr>
      <w:bookmarkStart w:id="23" w:name="_Toc15377212"/>
      <w:r>
        <w:rPr>
          <w:rFonts w:hint="eastAsia" w:ascii="楷体_GB2312" w:hAnsi="仿宋" w:eastAsia="楷体_GB2312" w:cs="楷体_GB2312"/>
          <w:b/>
          <w:bCs/>
          <w:color w:val="000000"/>
          <w:sz w:val="32"/>
          <w:szCs w:val="32"/>
        </w:rPr>
        <w:t>（三）一般公共预算财政拨款支出决算具体情况</w:t>
      </w:r>
      <w:bookmarkEnd w:id="23"/>
    </w:p>
    <w:p>
      <w:pPr>
        <w:spacing w:line="576" w:lineRule="exact"/>
        <w:ind w:firstLine="640" w:firstLineChars="200"/>
        <w:outlineLvl w:val="2"/>
        <w:rPr>
          <w:rFonts w:ascii="仿宋_GB2312" w:hAnsi="仿宋_GB2312" w:eastAsia="仿宋_GB2312"/>
          <w:color w:val="FF0000"/>
          <w:sz w:val="32"/>
          <w:szCs w:val="32"/>
        </w:rPr>
      </w:pPr>
      <w:bookmarkStart w:id="24" w:name="_Toc15377444"/>
      <w:bookmarkStart w:id="25" w:name="_Toc15377213"/>
      <w:bookmarkStart w:id="26" w:name="_Toc15378460"/>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般公共预算支出决算数为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val="0"/>
          <w:color w:val="000000"/>
          <w:sz w:val="32"/>
          <w:szCs w:val="32"/>
        </w:rPr>
        <w:t>完成预算</w:t>
      </w:r>
      <w:r>
        <w:rPr>
          <w:rStyle w:val="14"/>
          <w:rFonts w:hint="eastAsia" w:ascii="仿宋_GB2312" w:hAnsi="仿宋_GB2312" w:eastAsia="仿宋_GB2312" w:cs="仿宋_GB2312"/>
          <w:b w:val="0"/>
          <w:bCs w:val="0"/>
          <w:color w:val="000000"/>
          <w:sz w:val="32"/>
          <w:szCs w:val="32"/>
          <w:lang w:val="en-US" w:eastAsia="zh-CN"/>
        </w:rPr>
        <w:t>91.72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。其中：</w:t>
      </w:r>
      <w:bookmarkEnd w:id="24"/>
      <w:bookmarkEnd w:id="25"/>
      <w:bookmarkEnd w:id="26"/>
    </w:p>
    <w:p>
      <w:pPr>
        <w:numPr>
          <w:ilvl w:val="0"/>
          <w:numId w:val="2"/>
        </w:numPr>
        <w:spacing w:line="576" w:lineRule="exact"/>
        <w:ind w:firstLine="640" w:firstLineChars="200"/>
        <w:rPr>
          <w:rStyle w:val="14"/>
          <w:rFonts w:hint="eastAsia" w:ascii="仿宋_GB2312" w:hAnsi="仿宋_GB2312" w:eastAsia="仿宋_GB2312" w:cs="仿宋_GB2312"/>
          <w:b w:val="0"/>
          <w:bCs w:val="0"/>
          <w:sz w:val="32"/>
          <w:szCs w:val="32"/>
        </w:rPr>
      </w:pPr>
      <w:r>
        <w:rPr>
          <w:rStyle w:val="14"/>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4"/>
          <w:rFonts w:hint="eastAsia" w:ascii="仿宋_GB2312" w:hAnsi="仿宋_GB2312" w:eastAsia="仿宋_GB2312" w:cs="仿宋_GB2312"/>
          <w:b w:val="0"/>
          <w:bCs w:val="0"/>
          <w:sz w:val="32"/>
          <w:szCs w:val="32"/>
        </w:rPr>
        <w:t>）统计信息事务（</w:t>
      </w:r>
      <w:r>
        <w:rPr>
          <w:rStyle w:val="14"/>
          <w:rFonts w:hint="eastAsia" w:ascii="仿宋_GB2312" w:hAnsi="仿宋_GB2312" w:eastAsia="仿宋_GB2312" w:cs="仿宋_GB2312"/>
          <w:b w:val="0"/>
          <w:bCs w:val="0"/>
          <w:sz w:val="32"/>
          <w:szCs w:val="32"/>
          <w:lang w:val="en-US" w:eastAsia="zh-CN"/>
        </w:rPr>
        <w:t>款</w:t>
      </w:r>
      <w:r>
        <w:rPr>
          <w:rStyle w:val="14"/>
          <w:rFonts w:hint="eastAsia" w:ascii="仿宋_GB2312" w:hAnsi="仿宋_GB2312" w:eastAsia="仿宋_GB2312" w:cs="仿宋_GB2312"/>
          <w:b w:val="0"/>
          <w:bCs w:val="0"/>
          <w:sz w:val="32"/>
          <w:szCs w:val="32"/>
        </w:rPr>
        <w:t>）行政运行（</w:t>
      </w:r>
      <w:r>
        <w:rPr>
          <w:rStyle w:val="14"/>
          <w:rFonts w:hint="eastAsia" w:ascii="仿宋_GB2312" w:hAnsi="仿宋_GB2312" w:eastAsia="仿宋_GB2312" w:cs="仿宋_GB2312"/>
          <w:b w:val="0"/>
          <w:bCs w:val="0"/>
          <w:sz w:val="32"/>
          <w:szCs w:val="32"/>
          <w:lang w:val="en-US" w:eastAsia="zh-CN"/>
        </w:rPr>
        <w:t>项</w:t>
      </w:r>
      <w:r>
        <w:rPr>
          <w:rStyle w:val="14"/>
          <w:rFonts w:hint="eastAsia" w:ascii="仿宋_GB2312" w:hAnsi="仿宋_GB2312" w:eastAsia="仿宋_GB2312" w:cs="仿宋_GB2312"/>
          <w:b w:val="0"/>
          <w:bCs w:val="0"/>
          <w:sz w:val="32"/>
          <w:szCs w:val="32"/>
        </w:rPr>
        <w:t>）</w:t>
      </w:r>
      <w:r>
        <w:rPr>
          <w:rStyle w:val="14"/>
          <w:rFonts w:ascii="仿宋_GB2312" w:hAnsi="仿宋_GB2312" w:eastAsia="仿宋_GB2312" w:cs="仿宋_GB2312"/>
          <w:b w:val="0"/>
          <w:bCs w:val="0"/>
          <w:sz w:val="32"/>
          <w:szCs w:val="32"/>
        </w:rPr>
        <w:t xml:space="preserve">: </w:t>
      </w:r>
      <w:r>
        <w:rPr>
          <w:rStyle w:val="14"/>
          <w:rFonts w:hint="eastAsia" w:ascii="仿宋_GB2312" w:hAnsi="仿宋_GB2312" w:eastAsia="仿宋_GB2312" w:cs="仿宋_GB2312"/>
          <w:b w:val="0"/>
          <w:bCs w:val="0"/>
          <w:sz w:val="32"/>
          <w:szCs w:val="32"/>
        </w:rPr>
        <w:t>支出决算为</w:t>
      </w:r>
      <w:r>
        <w:rPr>
          <w:rStyle w:val="14"/>
          <w:rFonts w:hint="eastAsia" w:ascii="仿宋_GB2312" w:hAnsi="仿宋_GB2312" w:eastAsia="仿宋_GB2312" w:cs="仿宋_GB2312"/>
          <w:b w:val="0"/>
          <w:bCs w:val="0"/>
          <w:sz w:val="32"/>
          <w:szCs w:val="32"/>
          <w:lang w:val="en-US" w:eastAsia="zh-CN"/>
        </w:rPr>
        <w:t>203.94</w:t>
      </w:r>
      <w:r>
        <w:rPr>
          <w:rStyle w:val="14"/>
          <w:rFonts w:hint="eastAsia" w:ascii="仿宋_GB2312" w:hAnsi="仿宋_GB2312" w:eastAsia="仿宋_GB2312" w:cs="仿宋_GB2312"/>
          <w:b w:val="0"/>
          <w:bCs w:val="0"/>
          <w:sz w:val="32"/>
          <w:szCs w:val="32"/>
        </w:rPr>
        <w:t>万元，完成预算</w:t>
      </w:r>
      <w:r>
        <w:rPr>
          <w:rStyle w:val="14"/>
          <w:rFonts w:hint="eastAsia" w:ascii="仿宋_GB2312" w:hAnsi="仿宋_GB2312" w:eastAsia="仿宋_GB2312" w:cs="仿宋_GB2312"/>
          <w:b w:val="0"/>
          <w:bCs w:val="0"/>
          <w:sz w:val="32"/>
          <w:szCs w:val="32"/>
          <w:lang w:val="en-US" w:eastAsia="zh-CN"/>
        </w:rPr>
        <w:t>100</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决算数与预算数持平</w:t>
      </w:r>
      <w:r>
        <w:rPr>
          <w:rStyle w:val="14"/>
          <w:rFonts w:hint="eastAsia" w:ascii="仿宋_GB2312" w:hAnsi="仿宋_GB2312" w:eastAsia="仿宋_GB2312" w:cs="仿宋_GB2312"/>
          <w:b w:val="0"/>
          <w:bCs w:val="0"/>
          <w:color w:val="000000"/>
          <w:sz w:val="32"/>
          <w:szCs w:val="32"/>
          <w:lang w:eastAsia="zh-CN"/>
        </w:rPr>
        <w:t>。</w:t>
      </w:r>
    </w:p>
    <w:p>
      <w:pPr>
        <w:spacing w:line="576" w:lineRule="exact"/>
        <w:ind w:firstLine="640" w:firstLineChars="200"/>
        <w:rPr>
          <w:rStyle w:val="14"/>
          <w:rFonts w:hint="eastAsia" w:ascii="仿宋_GB2312" w:hAnsi="仿宋_GB2312" w:eastAsia="仿宋_GB2312" w:cs="仿宋_GB2312"/>
          <w:b w:val="0"/>
          <w:bCs w:val="0"/>
          <w:sz w:val="32"/>
          <w:szCs w:val="32"/>
        </w:rPr>
      </w:pPr>
      <w:r>
        <w:rPr>
          <w:rStyle w:val="14"/>
          <w:rFonts w:hint="eastAsia" w:ascii="仿宋_GB2312" w:hAnsi="仿宋_GB2312" w:eastAsia="仿宋_GB2312" w:cs="仿宋_GB2312"/>
          <w:b w:val="0"/>
          <w:bCs w:val="0"/>
          <w:sz w:val="32"/>
          <w:szCs w:val="32"/>
          <w:lang w:val="en-US" w:eastAsia="zh-CN"/>
        </w:rPr>
        <w:t>2</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4"/>
          <w:rFonts w:hint="eastAsia" w:ascii="仿宋_GB2312" w:hAnsi="仿宋_GB2312" w:eastAsia="仿宋_GB2312" w:cs="仿宋_GB2312"/>
          <w:b w:val="0"/>
          <w:bCs w:val="0"/>
          <w:sz w:val="32"/>
          <w:szCs w:val="32"/>
        </w:rPr>
        <w:t>）统计信息事务（</w:t>
      </w:r>
      <w:r>
        <w:rPr>
          <w:rStyle w:val="14"/>
          <w:rFonts w:hint="eastAsia" w:ascii="仿宋_GB2312" w:hAnsi="仿宋_GB2312" w:eastAsia="仿宋_GB2312" w:cs="仿宋_GB2312"/>
          <w:b w:val="0"/>
          <w:bCs w:val="0"/>
          <w:sz w:val="32"/>
          <w:szCs w:val="32"/>
          <w:lang w:val="en-US" w:eastAsia="zh-CN"/>
        </w:rPr>
        <w:t>款</w:t>
      </w:r>
      <w:r>
        <w:rPr>
          <w:rStyle w:val="14"/>
          <w:rFonts w:hint="eastAsia" w:ascii="仿宋_GB2312" w:hAnsi="仿宋_GB2312" w:eastAsia="仿宋_GB2312" w:cs="仿宋_GB2312"/>
          <w:b w:val="0"/>
          <w:bCs w:val="0"/>
          <w:sz w:val="32"/>
          <w:szCs w:val="32"/>
        </w:rPr>
        <w:t>）行政运行（</w:t>
      </w:r>
      <w:r>
        <w:rPr>
          <w:rStyle w:val="14"/>
          <w:rFonts w:hint="eastAsia" w:ascii="仿宋_GB2312" w:hAnsi="仿宋_GB2312" w:eastAsia="仿宋_GB2312" w:cs="仿宋_GB2312"/>
          <w:b w:val="0"/>
          <w:bCs w:val="0"/>
          <w:sz w:val="32"/>
          <w:szCs w:val="32"/>
          <w:lang w:val="en-US" w:eastAsia="zh-CN"/>
        </w:rPr>
        <w:t>项</w:t>
      </w:r>
      <w:r>
        <w:rPr>
          <w:rStyle w:val="14"/>
          <w:rFonts w:hint="eastAsia" w:ascii="仿宋_GB2312" w:hAnsi="仿宋_GB2312" w:eastAsia="仿宋_GB2312" w:cs="仿宋_GB2312"/>
          <w:b w:val="0"/>
          <w:bCs w:val="0"/>
          <w:sz w:val="32"/>
          <w:szCs w:val="32"/>
        </w:rPr>
        <w:t>）</w:t>
      </w:r>
      <w:r>
        <w:rPr>
          <w:rStyle w:val="14"/>
          <w:rFonts w:ascii="仿宋_GB2312" w:hAnsi="仿宋_GB2312" w:eastAsia="仿宋_GB2312" w:cs="仿宋_GB2312"/>
          <w:b w:val="0"/>
          <w:bCs w:val="0"/>
          <w:sz w:val="32"/>
          <w:szCs w:val="32"/>
        </w:rPr>
        <w:t xml:space="preserve">: </w:t>
      </w:r>
      <w:r>
        <w:rPr>
          <w:rStyle w:val="14"/>
          <w:rFonts w:hint="eastAsia" w:ascii="仿宋_GB2312" w:hAnsi="仿宋_GB2312" w:eastAsia="仿宋_GB2312" w:cs="仿宋_GB2312"/>
          <w:b w:val="0"/>
          <w:bCs w:val="0"/>
          <w:sz w:val="32"/>
          <w:szCs w:val="32"/>
        </w:rPr>
        <w:t>支出决算为</w:t>
      </w:r>
      <w:r>
        <w:rPr>
          <w:rStyle w:val="14"/>
          <w:rFonts w:hint="eastAsia" w:ascii="仿宋_GB2312" w:hAnsi="仿宋_GB2312" w:eastAsia="仿宋_GB2312" w:cs="仿宋_GB2312"/>
          <w:b w:val="0"/>
          <w:bCs w:val="0"/>
          <w:sz w:val="32"/>
          <w:szCs w:val="32"/>
          <w:lang w:val="en-US" w:eastAsia="zh-CN"/>
        </w:rPr>
        <w:t>65.64</w:t>
      </w:r>
      <w:r>
        <w:rPr>
          <w:rStyle w:val="14"/>
          <w:rFonts w:hint="eastAsia" w:ascii="仿宋_GB2312" w:hAnsi="仿宋_GB2312" w:eastAsia="仿宋_GB2312" w:cs="仿宋_GB2312"/>
          <w:b w:val="0"/>
          <w:bCs w:val="0"/>
          <w:sz w:val="32"/>
          <w:szCs w:val="32"/>
        </w:rPr>
        <w:t>万元，完成预算</w:t>
      </w:r>
      <w:r>
        <w:rPr>
          <w:rStyle w:val="14"/>
          <w:rFonts w:hint="eastAsia" w:ascii="仿宋_GB2312" w:hAnsi="仿宋_GB2312" w:eastAsia="仿宋_GB2312" w:cs="仿宋_GB2312"/>
          <w:b w:val="0"/>
          <w:bCs w:val="0"/>
          <w:sz w:val="32"/>
          <w:szCs w:val="32"/>
          <w:lang w:val="en-US" w:eastAsia="zh-CN"/>
        </w:rPr>
        <w:t>68.09</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比</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减少</w:t>
      </w:r>
      <w:r>
        <w:rPr>
          <w:rStyle w:val="14"/>
          <w:rFonts w:hint="eastAsia" w:ascii="仿宋_GB2312" w:hAnsi="仿宋_GB2312" w:eastAsia="仿宋_GB2312" w:cs="仿宋_GB2312"/>
          <w:b w:val="0"/>
          <w:bCs w:val="0"/>
          <w:color w:val="000000"/>
          <w:sz w:val="32"/>
          <w:szCs w:val="32"/>
          <w:lang w:val="en-US" w:eastAsia="zh-CN"/>
        </w:rPr>
        <w:t>30.76万元。主要变动原因是年末结转下年继续使用</w:t>
      </w:r>
      <w:r>
        <w:rPr>
          <w:rStyle w:val="14"/>
          <w:rFonts w:hint="eastAsia" w:ascii="仿宋_GB2312" w:hAnsi="仿宋_GB2312" w:eastAsia="仿宋_GB2312" w:cs="仿宋_GB2312"/>
          <w:b w:val="0"/>
          <w:bCs w:val="0"/>
          <w:sz w:val="32"/>
          <w:szCs w:val="32"/>
        </w:rPr>
        <w:t>。</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sz w:val="32"/>
          <w:szCs w:val="32"/>
          <w:lang w:val="en-US" w:eastAsia="zh-CN"/>
        </w:rPr>
        <w:t>3</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）养老保险（</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22.94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）职业年金（</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10.58</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16.14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6</w:t>
      </w:r>
      <w:r>
        <w:rPr>
          <w:rStyle w:val="14"/>
          <w:rFonts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住房保障</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住房改革</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住房公积金</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21.54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pStyle w:val="3"/>
        <w:spacing w:before="0" w:after="0" w:line="576" w:lineRule="exact"/>
        <w:ind w:firstLine="640" w:firstLineChars="200"/>
        <w:rPr>
          <w:rStyle w:val="17"/>
          <w:rFonts w:cs="Times New Roman"/>
          <w:b w:val="0"/>
          <w:bCs w:val="0"/>
        </w:rPr>
      </w:pPr>
      <w:bookmarkStart w:id="27" w:name="_Toc15377214"/>
      <w:bookmarkStart w:id="28" w:name="_Toc15396608"/>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27"/>
      <w:bookmarkEnd w:id="28"/>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万元，其中：</w:t>
      </w:r>
    </w:p>
    <w:p>
      <w:pPr>
        <w:spacing w:line="576" w:lineRule="exact"/>
        <w:ind w:firstLine="645"/>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257.62</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抚恤金、生活补助、医疗费、奖励金、住房公积金、其他对个人和家庭的补助支出等。</w:t>
      </w:r>
      <w:r>
        <w:rPr>
          <w:rFonts w:ascii="仿宋_GB2312" w:hAnsi="仿宋_GB2312" w:eastAsia="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hint="eastAsia" w:ascii="仿宋_GB2312" w:hAnsi="仿宋_GB2312" w:eastAsia="仿宋_GB2312" w:cs="仿宋_GB2312"/>
          <w:color w:val="000000"/>
          <w:sz w:val="32"/>
          <w:szCs w:val="32"/>
          <w:lang w:val="en-US" w:eastAsia="zh-CN"/>
        </w:rPr>
        <w:t>17.54</w:t>
      </w:r>
      <w:r>
        <w:rPr>
          <w:rFonts w:hint="eastAsia" w:ascii="仿宋_GB2312" w:hAnsi="仿宋_GB2312" w:eastAsia="仿宋_GB2312" w:cs="仿宋_GB2312"/>
          <w:color w:val="000000"/>
          <w:sz w:val="32"/>
          <w:szCs w:val="32"/>
        </w:rPr>
        <w:t>万元，主要包括：办公费、邮电费、差旅费、培训费、公务接待费、公务用车运行维护费等。</w:t>
      </w:r>
    </w:p>
    <w:p>
      <w:pPr>
        <w:pStyle w:val="3"/>
        <w:spacing w:before="0" w:after="0" w:line="576" w:lineRule="exact"/>
        <w:ind w:firstLine="704" w:firstLineChars="220"/>
        <w:rPr>
          <w:rStyle w:val="17"/>
          <w:rFonts w:ascii="黑体" w:hAnsi="黑体" w:eastAsia="黑体" w:cs="Times New Roman"/>
          <w:b w:val="0"/>
          <w:bCs w:val="0"/>
        </w:rPr>
      </w:pPr>
      <w:bookmarkStart w:id="29" w:name="_Toc15396609"/>
      <w:bookmarkStart w:id="30" w:name="_Toc15377215"/>
      <w:r>
        <w:rPr>
          <w:rFonts w:hint="eastAsia" w:ascii="黑体" w:eastAsia="黑体" w:cs="黑体"/>
          <w:b w:val="0"/>
          <w:bCs w:val="0"/>
          <w:color w:val="000000"/>
        </w:rPr>
        <w:t>七、</w:t>
      </w:r>
      <w:r>
        <w:rPr>
          <w:rStyle w:val="17"/>
          <w:rFonts w:hint="eastAsia" w:ascii="黑体" w:hAnsi="黑体" w:eastAsia="黑体" w:cs="黑体"/>
          <w:b w:val="0"/>
          <w:bCs w:val="0"/>
        </w:rPr>
        <w:t>“三公”经费财政拨款支出决算情况说明</w:t>
      </w:r>
      <w:bookmarkEnd w:id="29"/>
      <w:bookmarkEnd w:id="30"/>
    </w:p>
    <w:p>
      <w:pPr>
        <w:spacing w:line="576" w:lineRule="exact"/>
        <w:ind w:firstLine="642" w:firstLineChars="200"/>
        <w:outlineLvl w:val="1"/>
        <w:rPr>
          <w:rFonts w:ascii="仿宋" w:hAnsi="仿宋" w:eastAsia="仿宋"/>
          <w:b/>
          <w:bCs/>
          <w:color w:val="000000"/>
          <w:sz w:val="32"/>
          <w:szCs w:val="32"/>
        </w:rPr>
      </w:pPr>
      <w:bookmarkStart w:id="31" w:name="_Toc15377216"/>
      <w:r>
        <w:rPr>
          <w:rFonts w:hint="eastAsia" w:ascii="楷体_GB2312" w:hAnsi="仿宋" w:eastAsia="楷体_GB2312" w:cs="楷体_GB2312"/>
          <w:b/>
          <w:bCs/>
          <w:color w:val="000000"/>
          <w:sz w:val="32"/>
          <w:szCs w:val="32"/>
        </w:rPr>
        <w:t>（一）“三公”经费财政拨款支出决算总体情况说明</w:t>
      </w:r>
      <w:bookmarkEnd w:id="31"/>
    </w:p>
    <w:p>
      <w:pPr>
        <w:spacing w:line="576" w:lineRule="exact"/>
        <w:ind w:firstLine="640" w:firstLineChars="200"/>
        <w:rPr>
          <w:rFonts w:ascii="仿宋_GB2312" w:hAnsi="仿宋_GB2312" w:eastAsia="仿宋_GB2312"/>
          <w:b/>
          <w:bCs/>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7.62</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2" w:firstLineChars="200"/>
        <w:outlineLvl w:val="1"/>
        <w:rPr>
          <w:rFonts w:ascii="仿宋" w:hAnsi="仿宋" w:eastAsia="仿宋"/>
          <w:b/>
          <w:bCs/>
          <w:color w:val="000000"/>
          <w:sz w:val="32"/>
          <w:szCs w:val="32"/>
        </w:rPr>
      </w:pPr>
      <w:bookmarkStart w:id="32" w:name="_Toc15377217"/>
      <w:r>
        <w:rPr>
          <w:rFonts w:hint="eastAsia" w:ascii="楷体_GB2312" w:hAnsi="仿宋" w:eastAsia="楷体_GB2312" w:cs="楷体_GB2312"/>
          <w:b/>
          <w:bCs/>
          <w:color w:val="000000"/>
          <w:sz w:val="32"/>
          <w:szCs w:val="32"/>
        </w:rPr>
        <w:t>（二）“三公”经费财政拨款支出决算具体情况说明</w:t>
      </w:r>
      <w:bookmarkEnd w:id="32"/>
    </w:p>
    <w:p>
      <w:pPr>
        <w:spacing w:line="576" w:lineRule="exact"/>
        <w:ind w:firstLine="640"/>
        <w:rPr>
          <w:rFonts w:ascii="仿宋" w:hAnsi="仿宋" w:eastAsia="仿宋"/>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color w:val="000000"/>
          <w:sz w:val="32"/>
          <w:szCs w:val="32"/>
          <w:lang w:val="en-US" w:eastAsia="zh-CN"/>
        </w:rPr>
        <w:t>5.62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73.75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26.25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pPr>
        <w:spacing w:line="576" w:lineRule="exact"/>
        <w:ind w:firstLine="640"/>
        <w:rPr>
          <w:rFonts w:ascii="宋体"/>
          <w:color w:val="000000"/>
          <w:kern w:val="0"/>
          <w:sz w:val="28"/>
          <w:szCs w:val="28"/>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：“三公”经费财政拨款支出结构图</w:t>
      </w:r>
      <w:r>
        <w:rPr>
          <w:rFonts w:hint="eastAsia" w:ascii="宋体" w:hAnsi="宋体" w:cs="宋体"/>
          <w:color w:val="000000"/>
          <w:kern w:val="0"/>
          <w:sz w:val="28"/>
          <w:szCs w:val="28"/>
        </w:rPr>
        <w:t>（单位：万元）</w:t>
      </w:r>
    </w:p>
    <w:p/>
    <w:p>
      <w:pPr>
        <w:rPr>
          <w:rFonts w:ascii="仿宋" w:hAnsi="仿宋" w:eastAsia="仿宋"/>
          <w:color w:val="000000"/>
          <w:sz w:val="32"/>
          <w:szCs w:val="32"/>
        </w:rPr>
      </w:pPr>
      <w:r>
        <w:object>
          <v:shape id="_x0000_i1031" o:spt="75" type="#_x0000_t75" style="height:231.75pt;width:366pt;" o:ole="t" filled="f" o:preferrelative="t" stroked="f" coordsize="21600,21600">
            <v:path/>
            <v:fill on="f" focussize="0,0"/>
            <v:stroke on="f"/>
            <v:imagedata r:id="rId19" o:title=""/>
            <o:lock v:ext="edit" aspectratio="t"/>
            <w10:wrap type="none"/>
            <w10:anchorlock/>
          </v:shape>
          <o:OLEObject Type="Embed" ProgID="Excel.Chart.8" ShapeID="_x0000_i1031" DrawAspect="Content" ObjectID="_1468075731" r:id="rId18">
            <o:LockedField>false</o:LockedField>
          </o:OLEObject>
        </w:object>
      </w:r>
    </w:p>
    <w:p>
      <w:pPr>
        <w:spacing w:line="576" w:lineRule="exact"/>
        <w:ind w:firstLine="642" w:firstLineChars="200"/>
        <w:rPr>
          <w:rFonts w:ascii="仿宋_GB2312" w:eastAsia="仿宋_GB2312"/>
          <w:color w:val="000000"/>
          <w:sz w:val="32"/>
          <w:szCs w:val="32"/>
        </w:rPr>
      </w:pPr>
      <w:r>
        <w:rPr>
          <w:rFonts w:hint="eastAsia" w:ascii="仿宋_GB2312" w:eastAsia="仿宋_GB2312" w:cs="仿宋_GB2312"/>
          <w:b/>
          <w:bCs/>
          <w:color w:val="000000"/>
          <w:sz w:val="32"/>
          <w:szCs w:val="32"/>
        </w:rPr>
        <w:t>1.因公出国（境）经费支出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576" w:lineRule="exact"/>
        <w:ind w:firstLine="642" w:firstLineChars="200"/>
        <w:rPr>
          <w:rFonts w:ascii="仿宋_GB2312" w:eastAsia="仿宋_GB2312"/>
          <w:b/>
          <w:bCs/>
          <w:color w:val="000000"/>
          <w:sz w:val="32"/>
          <w:szCs w:val="32"/>
        </w:rPr>
      </w:pPr>
      <w:r>
        <w:rPr>
          <w:rFonts w:hint="eastAsia" w:ascii="仿宋_GB2312" w:eastAsia="仿宋_GB2312" w:cs="仿宋_GB2312"/>
          <w:b/>
          <w:bCs/>
          <w:color w:val="000000"/>
          <w:sz w:val="32"/>
          <w:szCs w:val="32"/>
        </w:rPr>
        <w:t>2.公务用车购置及运行维护费支出</w:t>
      </w:r>
      <w:r>
        <w:rPr>
          <w:rFonts w:hint="eastAsia" w:ascii="仿宋_GB2312" w:eastAsia="仿宋_GB2312" w:cs="仿宋_GB2312"/>
          <w:color w:val="000000"/>
          <w:sz w:val="32"/>
          <w:szCs w:val="32"/>
          <w:lang w:val="en-US" w:eastAsia="zh-CN"/>
        </w:rPr>
        <w:t>5.62</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1.58</w:t>
      </w:r>
      <w:r>
        <w:rPr>
          <w:rFonts w:hint="eastAsia" w:ascii="仿宋_GB2312" w:eastAsia="仿宋_GB2312" w:cs="仿宋_GB2312"/>
          <w:color w:val="000000"/>
          <w:sz w:val="32"/>
          <w:szCs w:val="32"/>
        </w:rPr>
        <w:t>万元，主要原因是公务用车运行维护费增加。</w:t>
      </w:r>
    </w:p>
    <w:p>
      <w:pPr>
        <w:widowControl/>
        <w:spacing w:line="576" w:lineRule="exact"/>
        <w:ind w:firstLine="640" w:firstLineChars="200"/>
        <w:jc w:val="left"/>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w:t>
      </w:r>
      <w:r>
        <w:rPr>
          <w:rFonts w:hint="eastAsia" w:ascii="仿宋" w:hAnsi="仿宋" w:eastAsia="仿宋" w:cs="仿宋"/>
          <w:color w:val="000000"/>
          <w:kern w:val="0"/>
          <w:sz w:val="31"/>
          <w:szCs w:val="31"/>
        </w:rPr>
        <w:t>截至</w:t>
      </w:r>
      <w:r>
        <w:rPr>
          <w:rFonts w:ascii="仿宋" w:hAnsi="仿宋" w:eastAsia="仿宋" w:cs="仿宋"/>
          <w:color w:val="000000"/>
          <w:kern w:val="0"/>
          <w:sz w:val="31"/>
          <w:szCs w:val="31"/>
        </w:rPr>
        <w:t xml:space="preserve"> 201</w:t>
      </w:r>
      <w:r>
        <w:rPr>
          <w:rFonts w:hint="eastAsia" w:ascii="仿宋" w:hAnsi="仿宋" w:eastAsia="仿宋" w:cs="仿宋"/>
          <w:color w:val="000000"/>
          <w:kern w:val="0"/>
          <w:sz w:val="31"/>
          <w:szCs w:val="31"/>
          <w:lang w:val="en-US" w:eastAsia="zh-CN"/>
        </w:rPr>
        <w:t>9</w:t>
      </w:r>
      <w:r>
        <w:rPr>
          <w:rFonts w:ascii="仿宋" w:hAnsi="仿宋" w:eastAsia="仿宋" w:cs="仿宋"/>
          <w:color w:val="000000"/>
          <w:kern w:val="0"/>
          <w:sz w:val="31"/>
          <w:szCs w:val="31"/>
        </w:rPr>
        <w:t xml:space="preserve"> </w:t>
      </w:r>
      <w:r>
        <w:rPr>
          <w:rFonts w:hint="eastAsia" w:ascii="仿宋" w:hAnsi="仿宋" w:eastAsia="仿宋" w:cs="仿宋"/>
          <w:color w:val="000000"/>
          <w:kern w:val="0"/>
          <w:sz w:val="31"/>
          <w:szCs w:val="31"/>
        </w:rPr>
        <w:t>年</w:t>
      </w:r>
      <w:r>
        <w:rPr>
          <w:rFonts w:ascii="仿宋" w:hAnsi="仿宋" w:eastAsia="仿宋" w:cs="仿宋"/>
          <w:color w:val="000000"/>
          <w:kern w:val="0"/>
          <w:sz w:val="31"/>
          <w:szCs w:val="31"/>
        </w:rPr>
        <w:t xml:space="preserve"> 12 </w:t>
      </w:r>
      <w:r>
        <w:rPr>
          <w:rFonts w:hint="eastAsia" w:ascii="仿宋" w:hAnsi="仿宋" w:eastAsia="仿宋" w:cs="仿宋"/>
          <w:color w:val="000000"/>
          <w:kern w:val="0"/>
          <w:sz w:val="31"/>
          <w:szCs w:val="31"/>
        </w:rPr>
        <w:t>月底，本部门共有公务用车</w:t>
      </w:r>
      <w:r>
        <w:rPr>
          <w:rFonts w:ascii="仿宋" w:hAnsi="仿宋" w:eastAsia="仿宋" w:cs="仿宋"/>
          <w:color w:val="000000"/>
          <w:kern w:val="0"/>
          <w:sz w:val="31"/>
          <w:szCs w:val="31"/>
        </w:rPr>
        <w:t>2</w:t>
      </w:r>
      <w:r>
        <w:rPr>
          <w:rFonts w:hint="eastAsia" w:ascii="仿宋" w:hAnsi="仿宋" w:eastAsia="仿宋" w:cs="仿宋"/>
          <w:color w:val="000000"/>
          <w:kern w:val="0"/>
          <w:sz w:val="31"/>
          <w:szCs w:val="31"/>
        </w:rPr>
        <w:t>辆、其中：轿车</w:t>
      </w:r>
      <w:r>
        <w:rPr>
          <w:rFonts w:ascii="仿宋" w:hAnsi="仿宋" w:eastAsia="仿宋" w:cs="仿宋"/>
          <w:color w:val="000000"/>
          <w:kern w:val="0"/>
          <w:sz w:val="31"/>
          <w:szCs w:val="31"/>
        </w:rPr>
        <w:t>1</w:t>
      </w:r>
      <w:r>
        <w:rPr>
          <w:rFonts w:hint="eastAsia" w:ascii="仿宋" w:hAnsi="仿宋" w:eastAsia="仿宋" w:cs="仿宋"/>
          <w:color w:val="000000"/>
          <w:kern w:val="0"/>
          <w:sz w:val="31"/>
          <w:szCs w:val="31"/>
        </w:rPr>
        <w:t>辆、越野车</w:t>
      </w:r>
      <w:r>
        <w:rPr>
          <w:rFonts w:ascii="仿宋" w:hAnsi="仿宋" w:eastAsia="仿宋" w:cs="仿宋"/>
          <w:color w:val="000000"/>
          <w:kern w:val="0"/>
          <w:sz w:val="31"/>
          <w:szCs w:val="31"/>
        </w:rPr>
        <w:t xml:space="preserve"> 1</w:t>
      </w:r>
      <w:r>
        <w:rPr>
          <w:rFonts w:hint="eastAsia" w:ascii="仿宋" w:hAnsi="仿宋" w:eastAsia="仿宋" w:cs="仿宋"/>
          <w:color w:val="000000"/>
          <w:kern w:val="0"/>
          <w:sz w:val="31"/>
          <w:szCs w:val="31"/>
        </w:rPr>
        <w:t>辆、载客汽车</w:t>
      </w:r>
      <w:r>
        <w:rPr>
          <w:rFonts w:ascii="仿宋" w:hAnsi="仿宋" w:eastAsia="仿宋" w:cs="仿宋"/>
          <w:color w:val="000000"/>
          <w:kern w:val="0"/>
          <w:sz w:val="31"/>
          <w:szCs w:val="31"/>
        </w:rPr>
        <w:t xml:space="preserve">0 </w:t>
      </w:r>
      <w:r>
        <w:rPr>
          <w:rFonts w:hint="eastAsia" w:ascii="仿宋" w:hAnsi="仿宋" w:eastAsia="仿宋" w:cs="仿宋"/>
          <w:color w:val="000000"/>
          <w:kern w:val="0"/>
          <w:sz w:val="31"/>
          <w:szCs w:val="31"/>
        </w:rPr>
        <w:t>辆。</w:t>
      </w:r>
    </w:p>
    <w:p>
      <w:pPr>
        <w:spacing w:line="576" w:lineRule="exact"/>
        <w:ind w:firstLine="642" w:firstLineChars="200"/>
        <w:rPr>
          <w:rFonts w:ascii="仿宋_GB2312" w:eastAsia="仿宋_GB2312" w:cs="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lang w:val="en-US" w:eastAsia="zh-CN"/>
        </w:rPr>
        <w:t>5.62</w:t>
      </w:r>
      <w:r>
        <w:rPr>
          <w:rFonts w:hint="eastAsia" w:ascii="仿宋_GB2312" w:eastAsia="仿宋_GB2312" w:cs="仿宋_GB2312"/>
          <w:color w:val="000000"/>
          <w:sz w:val="32"/>
          <w:szCs w:val="32"/>
        </w:rPr>
        <w:t>万元。主要用于本单位所需的公务用车燃料费、维修费、过路过桥费、保险费等支出。</w:t>
      </w:r>
    </w:p>
    <w:p>
      <w:pPr>
        <w:spacing w:line="576" w:lineRule="exact"/>
        <w:ind w:firstLine="642" w:firstLineChars="2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1.52</w:t>
      </w:r>
      <w:r>
        <w:rPr>
          <w:rFonts w:hint="eastAsia" w:ascii="仿宋_GB2312" w:eastAsia="仿宋_GB2312" w:cs="仿宋_GB2312"/>
          <w:color w:val="000000"/>
          <w:sz w:val="32"/>
          <w:szCs w:val="32"/>
        </w:rPr>
        <w:t>万元，主要原因是接待人员增加。</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主要用于本单位执行公务、开展业务活动开支的交通费、住宿费、用餐费等。国内公务接待</w:t>
      </w: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60</w:t>
      </w:r>
      <w:r>
        <w:rPr>
          <w:rFonts w:hint="eastAsia" w:ascii="仿宋_GB2312" w:eastAsia="仿宋_GB2312" w:cs="仿宋_GB2312"/>
          <w:color w:val="000000"/>
          <w:sz w:val="32"/>
          <w:szCs w:val="32"/>
        </w:rPr>
        <w:t>人次（不包括陪同人员），共计支出</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33" w:name="_Toc15396610"/>
      <w:bookmarkStart w:id="34" w:name="_Toc15377218"/>
      <w:r>
        <w:rPr>
          <w:rFonts w:hint="eastAsia" w:ascii="仿宋_GB2312" w:eastAsia="仿宋_GB2312" w:cs="仿宋_GB2312"/>
          <w:color w:val="000000"/>
          <w:sz w:val="32"/>
          <w:szCs w:val="32"/>
        </w:rPr>
        <w:t>。</w:t>
      </w:r>
    </w:p>
    <w:p>
      <w:pPr>
        <w:spacing w:line="576" w:lineRule="exact"/>
        <w:ind w:firstLine="640"/>
        <w:rPr>
          <w:rFonts w:ascii="仿宋" w:hAnsi="仿宋" w:eastAsia="仿宋"/>
          <w:color w:val="000000"/>
          <w:sz w:val="32"/>
          <w:szCs w:val="32"/>
        </w:rPr>
      </w:pPr>
      <w:r>
        <w:rPr>
          <w:rFonts w:hint="eastAsia" w:ascii="黑体" w:eastAsia="黑体" w:cs="黑体"/>
          <w:color w:val="000000"/>
          <w:sz w:val="32"/>
          <w:szCs w:val="32"/>
        </w:rPr>
        <w:t>八、无</w:t>
      </w:r>
      <w:r>
        <w:rPr>
          <w:rStyle w:val="17"/>
          <w:rFonts w:hint="eastAsia" w:ascii="黑体" w:hAnsi="黑体" w:eastAsia="黑体" w:cs="黑体"/>
          <w:b w:val="0"/>
          <w:bCs w:val="0"/>
        </w:rPr>
        <w:t>政府性基金预算支出决算情况说明</w:t>
      </w:r>
      <w:bookmarkEnd w:id="33"/>
      <w:bookmarkEnd w:id="3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茂县统计局</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年无政府性基金预算拨款支出。</w:t>
      </w:r>
      <w:bookmarkStart w:id="35" w:name="_Toc15396611"/>
      <w:bookmarkStart w:id="36" w:name="_Toc15377219"/>
    </w:p>
    <w:p>
      <w:pPr>
        <w:spacing w:line="576" w:lineRule="exact"/>
        <w:ind w:firstLine="640" w:firstLineChars="200"/>
        <w:rPr>
          <w:rStyle w:val="17"/>
          <w:rFonts w:ascii="黑体" w:hAnsi="黑体" w:eastAsia="黑体" w:cs="Times New Roman"/>
          <w:b w:val="0"/>
          <w:bCs w:val="0"/>
        </w:rPr>
      </w:pPr>
      <w:r>
        <w:rPr>
          <w:rStyle w:val="17"/>
          <w:rFonts w:hint="eastAsia" w:ascii="黑体" w:hAnsi="黑体" w:eastAsia="黑体" w:cs="黑体"/>
          <w:b w:val="0"/>
          <w:bCs w:val="0"/>
        </w:rPr>
        <w:t>九、无国有资本经营预算支出决算情况说明</w:t>
      </w:r>
      <w:bookmarkEnd w:id="35"/>
      <w:bookmarkEnd w:id="36"/>
    </w:p>
    <w:p>
      <w:pPr>
        <w:spacing w:line="576"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统计局</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年无国有资本经营预算拨款支出。</w:t>
      </w:r>
    </w:p>
    <w:p>
      <w:pPr>
        <w:spacing w:line="600" w:lineRule="exact"/>
        <w:ind w:firstLine="800" w:firstLineChars="250"/>
        <w:outlineLvl w:val="1"/>
        <w:rPr>
          <w:rStyle w:val="17"/>
          <w:rFonts w:ascii="黑体" w:hAnsi="黑体" w:eastAsia="黑体"/>
        </w:rPr>
      </w:pPr>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p>
    <w:p>
      <w:pPr>
        <w:spacing w:line="576" w:lineRule="exact"/>
        <w:ind w:firstLine="642" w:firstLineChars="200"/>
        <w:outlineLvl w:val="2"/>
        <w:rPr>
          <w:rFonts w:ascii="楷体_GB2312" w:hAnsi="仿宋" w:eastAsia="楷体_GB2312"/>
          <w:color w:val="000000"/>
          <w:sz w:val="32"/>
          <w:szCs w:val="32"/>
        </w:rPr>
      </w:pPr>
      <w:r>
        <w:rPr>
          <w:rFonts w:hint="eastAsia" w:ascii="楷体_GB2312" w:hAnsi="仿宋" w:eastAsia="楷体_GB2312" w:cs="楷体_GB2312"/>
          <w:b/>
          <w:bCs/>
          <w:color w:val="000000"/>
          <w:sz w:val="32"/>
          <w:szCs w:val="32"/>
        </w:rPr>
        <w:t>（一）机关运行经费支出情况</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年，本部门机关运行经费支出</w:t>
      </w:r>
      <w:r>
        <w:rPr>
          <w:rFonts w:hint="eastAsia" w:ascii="仿宋_GB2312" w:eastAsia="仿宋_GB2312" w:cs="仿宋_GB2312"/>
          <w:color w:val="000000"/>
          <w:sz w:val="32"/>
          <w:szCs w:val="32"/>
          <w:lang w:val="en-US" w:eastAsia="zh-CN"/>
        </w:rPr>
        <w:t>17.54</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0.98</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增长</w:t>
      </w:r>
      <w:r>
        <w:rPr>
          <w:rFonts w:hint="eastAsia" w:ascii="仿宋_GB2312" w:eastAsia="仿宋_GB2312" w:cs="仿宋_GB2312"/>
          <w:color w:val="000000"/>
          <w:sz w:val="32"/>
          <w:szCs w:val="32"/>
          <w:lang w:val="en-US" w:eastAsia="zh-CN"/>
        </w:rPr>
        <w:t>5.92</w:t>
      </w:r>
      <w:r>
        <w:rPr>
          <w:rFonts w:ascii="仿宋_GB2312" w:eastAsia="仿宋_GB2312" w:cs="仿宋_GB2312"/>
          <w:color w:val="000000"/>
          <w:sz w:val="32"/>
          <w:szCs w:val="32"/>
        </w:rPr>
        <w:t>%</w:t>
      </w:r>
      <w:r>
        <w:rPr>
          <w:rFonts w:hint="eastAsia" w:ascii="仿宋_GB2312" w:eastAsia="仿宋_GB2312" w:cs="仿宋_GB2312"/>
          <w:color w:val="000000"/>
          <w:sz w:val="32"/>
          <w:szCs w:val="32"/>
        </w:rPr>
        <w:t>，是主要原因其他商品和服务</w:t>
      </w:r>
      <w:r>
        <w:rPr>
          <w:rFonts w:hint="eastAsia" w:ascii="仿宋_GB2312" w:eastAsia="仿宋_GB2312" w:cs="仿宋_GB2312"/>
          <w:color w:val="000000"/>
          <w:sz w:val="32"/>
          <w:szCs w:val="32"/>
          <w:lang w:eastAsia="zh-CN"/>
        </w:rPr>
        <w:t>增加</w:t>
      </w:r>
      <w:r>
        <w:rPr>
          <w:rFonts w:hint="eastAsia" w:ascii="仿宋_GB2312" w:eastAsia="仿宋_GB2312" w:cs="仿宋_GB2312"/>
          <w:color w:val="000000"/>
          <w:sz w:val="32"/>
          <w:szCs w:val="32"/>
        </w:rPr>
        <w:t>。</w:t>
      </w:r>
    </w:p>
    <w:p>
      <w:pPr>
        <w:spacing w:line="576"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年，本部门政府采购支出总额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万元。主要用于</w:t>
      </w:r>
      <w:r>
        <w:rPr>
          <w:rFonts w:hint="eastAsia" w:ascii="仿宋_GB2312" w:eastAsia="仿宋_GB2312" w:cs="仿宋_GB2312"/>
          <w:color w:val="000000"/>
          <w:sz w:val="32"/>
          <w:szCs w:val="32"/>
          <w:lang w:eastAsia="zh-CN"/>
        </w:rPr>
        <w:t>第四次经济普查</w:t>
      </w:r>
      <w:r>
        <w:rPr>
          <w:rFonts w:hint="eastAsia" w:ascii="仿宋_GB2312" w:eastAsia="仿宋_GB2312" w:cs="仿宋_GB2312"/>
          <w:color w:val="000000"/>
          <w:sz w:val="32"/>
          <w:szCs w:val="32"/>
        </w:rPr>
        <w:t>。授予中小企业合同金额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%，其中：授予小微企业合同金额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olor w:val="000000"/>
          <w:sz w:val="32"/>
          <w:szCs w:val="32"/>
        </w:rPr>
        <w:t>。</w:t>
      </w:r>
    </w:p>
    <w:p>
      <w:pPr>
        <w:spacing w:line="576" w:lineRule="exact"/>
        <w:ind w:firstLine="642" w:firstLineChars="200"/>
        <w:outlineLvl w:val="1"/>
        <w:rPr>
          <w:rFonts w:ascii="仿宋" w:hAnsi="仿宋" w:eastAsia="仿宋"/>
          <w:b/>
          <w:bCs/>
          <w:color w:val="000000"/>
          <w:sz w:val="32"/>
          <w:szCs w:val="32"/>
        </w:rPr>
      </w:pPr>
      <w:r>
        <w:rPr>
          <w:rFonts w:hint="eastAsia" w:ascii="楷体_GB2312" w:hAnsi="仿宋" w:eastAsia="楷体_GB2312" w:cs="楷体_GB2312"/>
          <w:b/>
          <w:bCs/>
          <w:color w:val="000000"/>
          <w:sz w:val="32"/>
          <w:szCs w:val="32"/>
        </w:rPr>
        <w:t>（三）国有资产占有使用情况</w:t>
      </w:r>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日，本部门共有车辆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576" w:lineRule="exact"/>
        <w:ind w:firstLine="642" w:firstLineChars="200"/>
        <w:outlineLvl w:val="1"/>
        <w:rPr>
          <w:rFonts w:hint="eastAsia" w:ascii="楷体_GB2312" w:hAnsi="仿宋" w:eastAsia="楷体_GB2312" w:cs="楷体_GB2312"/>
          <w:b/>
          <w:bCs/>
          <w:color w:val="000000"/>
          <w:sz w:val="32"/>
          <w:szCs w:val="32"/>
          <w:lang w:eastAsia="zh-CN"/>
        </w:rPr>
      </w:pPr>
      <w:r>
        <w:rPr>
          <w:rFonts w:hint="eastAsia" w:ascii="楷体_GB2312" w:hAnsi="仿宋" w:eastAsia="楷体_GB2312" w:cs="楷体_GB2312"/>
          <w:b/>
          <w:bCs/>
          <w:color w:val="000000"/>
          <w:sz w:val="32"/>
          <w:szCs w:val="32"/>
        </w:rPr>
        <w:t>（四）预算绩效管理情况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根据预算绩效管理要求，本单位在年初预算编制阶段，组织对第四次经济普查项目开展了预算事前绩效评估，预算执行过程中，选取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 xml:space="preserve"> 201</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年部门整体支出开展绩效自评，</w:t>
      </w:r>
    </w:p>
    <w:p>
      <w:pPr>
        <w:spacing w:line="576" w:lineRule="exact"/>
        <w:rPr>
          <w:rFonts w:ascii="仿宋_GB2312" w:hAnsi="仿宋_GB2312" w:eastAsia="仿宋_GB2312"/>
          <w:sz w:val="32"/>
          <w:szCs w:val="32"/>
        </w:rPr>
      </w:pPr>
      <w:r>
        <w:rPr>
          <w:rFonts w:hint="eastAsia" w:ascii="仿宋_GB2312" w:hAnsi="仿宋_GB2312" w:eastAsia="仿宋_GB2312" w:cs="仿宋_GB2312"/>
          <w:sz w:val="32"/>
          <w:szCs w:val="32"/>
        </w:rPr>
        <w:t>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ascii="仿宋_GB2312" w:hAnsi="仿宋_GB2312" w:eastAsia="仿宋_GB2312" w:cs="仿宋_GB2312"/>
          <w:sz w:val="32"/>
          <w:szCs w:val="32"/>
        </w:rPr>
        <w:t xml:space="preserve"> </w:t>
      </w:r>
    </w:p>
    <w:p>
      <w:pPr>
        <w:numPr>
          <w:ilvl w:val="0"/>
          <w:numId w:val="3"/>
        </w:numPr>
        <w:spacing w:line="576" w:lineRule="exact"/>
        <w:ind w:left="638" w:leftChars="304" w:firstLine="0" w:firstLineChars="0"/>
        <w:outlineLvl w:val="1"/>
        <w:rPr>
          <w:rFonts w:hint="eastAsia" w:ascii="楷体_GB2312" w:hAnsi="仿宋" w:eastAsia="楷体_GB2312" w:cs="楷体_GB2312"/>
          <w:b w:val="0"/>
          <w:bCs w:val="0"/>
          <w:sz w:val="32"/>
          <w:szCs w:val="32"/>
        </w:rPr>
      </w:pPr>
      <w:r>
        <w:rPr>
          <w:rFonts w:hint="eastAsia" w:ascii="楷体_GB2312" w:hAnsi="仿宋" w:eastAsia="楷体_GB2312" w:cs="楷体_GB2312"/>
          <w:b w:val="0"/>
          <w:bCs w:val="0"/>
          <w:sz w:val="32"/>
          <w:szCs w:val="32"/>
        </w:rPr>
        <w:t>项目绩效目标完成情况</w:t>
      </w:r>
    </w:p>
    <w:p>
      <w:pPr>
        <w:numPr>
          <w:ilvl w:val="0"/>
          <w:numId w:val="0"/>
        </w:numPr>
        <w:spacing w:line="576" w:lineRule="exact"/>
        <w:ind w:firstLine="640" w:firstLineChars="200"/>
        <w:outlineLvl w:val="1"/>
        <w:rPr>
          <w:rFonts w:ascii="仿宋_GB2312" w:hAnsi="仿宋_GB2312" w:eastAsia="仿宋_GB2312"/>
          <w:sz w:val="32"/>
          <w:szCs w:val="32"/>
          <w:highlight w:val="yellow"/>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年度部门决算中反映“茂县第四次经济普查</w:t>
      </w:r>
      <w:r>
        <w:rPr>
          <w:rFonts w:hint="eastAsia" w:ascii="仿宋_GB2312" w:hAnsi="仿宋_GB2312" w:eastAsia="仿宋_GB2312" w:cs="仿宋_GB2312"/>
          <w:kern w:val="0"/>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个项目绩效目标有效完成，顺利达到推广价值大、收益人群多、公益性强等目的。</w:t>
      </w:r>
    </w:p>
    <w:p>
      <w:pPr>
        <w:widowControl/>
        <w:shd w:val="clear" w:color="auto" w:fill="FFFFFF"/>
        <w:spacing w:line="520" w:lineRule="exact"/>
        <w:ind w:firstLine="640" w:firstLineChars="200"/>
        <w:jc w:val="left"/>
        <w:rPr>
          <w:rFonts w:ascii="仿宋_GB2312" w:hAnsi="仿宋_GB2312" w:eastAsia="仿宋_GB2312"/>
          <w:sz w:val="32"/>
          <w:szCs w:val="32"/>
          <w:lang w:val="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经普活动项目绩效目标完成情况综述。</w:t>
      </w:r>
      <w:r>
        <w:rPr>
          <w:rFonts w:hint="eastAsia" w:ascii="仿宋_GB2312" w:hAnsi="宋体" w:eastAsia="仿宋_GB2312" w:cs="宋体"/>
          <w:kern w:val="0"/>
          <w:sz w:val="32"/>
          <w:szCs w:val="32"/>
          <w:lang w:val="en"/>
        </w:rPr>
        <w:t>一是组织落实、思想认识、经费落实、人员落实、物资准备、责任落实等“六个到位”为普查实施提供保障。二是重视培训，多次召开经普工作暨培训会议，统筹协调工作进度，为普查登记打下了坚实基础。三是加强宣传，制定了《第四次经普宣传工作实施方案》，以横幅、标语、张贴宣传画、上街流动宣传咨询、发放经济普查操作手册和告知书等形式开展“宣传日”、“宣传周”、“宣传月”活动，为普查营造了良好氛围。四是</w:t>
      </w:r>
      <w:r>
        <w:rPr>
          <w:rFonts w:hint="eastAsia" w:ascii="仿宋_GB2312" w:eastAsia="仿宋_GB2312"/>
          <w:sz w:val="32"/>
        </w:rPr>
        <w:t>在普查单位底册清查整理期间对县工商局、县税务局、县编办、县市场监管局、县民政局提供的单位个数进行核实,对单位个数（包括个体经营</w:t>
      </w:r>
      <w:r>
        <w:rPr>
          <w:rFonts w:hint="eastAsia" w:ascii="仿宋_GB2312" w:eastAsia="仿宋_GB2312"/>
          <w:sz w:val="32"/>
          <w:lang w:eastAsia="zh-CN"/>
        </w:rPr>
        <w:t>户</w:t>
      </w:r>
      <w:r>
        <w:rPr>
          <w:rFonts w:hint="eastAsia" w:ascii="仿宋_GB2312" w:eastAsia="仿宋_GB2312"/>
          <w:sz w:val="32"/>
        </w:rPr>
        <w:t>）实行“拉网式”的清查，摸清全部单位个数。</w:t>
      </w:r>
      <w:r>
        <w:rPr>
          <w:rFonts w:hint="eastAsia" w:ascii="仿宋_GB2312" w:eastAsia="仿宋_GB2312" w:cs="仿宋_GB2312"/>
          <w:sz w:val="32"/>
          <w:szCs w:val="32"/>
        </w:rPr>
        <w:t>经省、州以及部门登记资料比对，P</w:t>
      </w:r>
      <w:r>
        <w:rPr>
          <w:rFonts w:ascii="仿宋_GB2312" w:eastAsia="仿宋_GB2312" w:cs="仿宋_GB2312"/>
          <w:sz w:val="32"/>
          <w:szCs w:val="32"/>
        </w:rPr>
        <w:t>AD</w:t>
      </w:r>
      <w:r>
        <w:rPr>
          <w:rFonts w:hint="eastAsia" w:ascii="仿宋_GB2312" w:eastAsia="仿宋_GB2312" w:cs="仿宋_GB2312"/>
          <w:sz w:val="32"/>
          <w:szCs w:val="32"/>
        </w:rPr>
        <w:t>实地入户清查，全县共清查单位</w:t>
      </w:r>
      <w:r>
        <w:rPr>
          <w:rFonts w:ascii="仿宋_GB2312" w:eastAsia="仿宋_GB2312" w:cs="仿宋_GB2312"/>
          <w:sz w:val="32"/>
          <w:szCs w:val="32"/>
        </w:rPr>
        <w:t>2217</w:t>
      </w:r>
      <w:r>
        <w:rPr>
          <w:rFonts w:hint="eastAsia" w:ascii="仿宋_GB2312" w:eastAsia="仿宋_GB2312" w:cs="仿宋_GB2312"/>
          <w:sz w:val="32"/>
          <w:szCs w:val="32"/>
        </w:rPr>
        <w:t>个，个体3</w:t>
      </w:r>
      <w:r>
        <w:rPr>
          <w:rFonts w:ascii="仿宋_GB2312" w:eastAsia="仿宋_GB2312" w:cs="仿宋_GB2312"/>
          <w:sz w:val="32"/>
          <w:szCs w:val="32"/>
        </w:rPr>
        <w:t>716</w:t>
      </w:r>
      <w:r>
        <w:rPr>
          <w:rFonts w:hint="eastAsia" w:ascii="仿宋_GB2312" w:eastAsia="仿宋_GB2312" w:cs="仿宋_GB2312"/>
          <w:sz w:val="32"/>
          <w:szCs w:val="32"/>
        </w:rPr>
        <w:t>个。</w:t>
      </w:r>
      <w:r>
        <w:rPr>
          <w:rFonts w:hint="eastAsia" w:ascii="仿宋_GB2312" w:hAnsi="宋体" w:eastAsia="仿宋_GB2312"/>
          <w:sz w:val="32"/>
          <w:szCs w:val="32"/>
        </w:rPr>
        <w:t>全县</w:t>
      </w:r>
      <w:r>
        <w:rPr>
          <w:rFonts w:hint="eastAsia" w:ascii="仿宋_GB2312" w:hAnsi="宋体" w:eastAsia="仿宋_GB2312" w:cs="宋体"/>
          <w:kern w:val="0"/>
          <w:sz w:val="32"/>
          <w:szCs w:val="32"/>
        </w:rPr>
        <w:t>普查单位1329个</w:t>
      </w:r>
      <w:r>
        <w:rPr>
          <w:rFonts w:ascii="仿宋_GB2312" w:hAnsi="宋体" w:eastAsia="仿宋_GB2312" w:cs="宋体"/>
          <w:kern w:val="0"/>
          <w:sz w:val="32"/>
          <w:szCs w:val="32"/>
        </w:rPr>
        <w:t>，其中</w:t>
      </w:r>
      <w:r>
        <w:rPr>
          <w:rFonts w:hint="eastAsia" w:ascii="仿宋_GB2312" w:hAnsi="宋体" w:eastAsia="仿宋_GB2312" w:cs="宋体"/>
          <w:kern w:val="0"/>
          <w:sz w:val="32"/>
          <w:szCs w:val="32"/>
        </w:rPr>
        <w:t>非一套</w:t>
      </w:r>
      <w:r>
        <w:rPr>
          <w:rFonts w:ascii="仿宋_GB2312" w:hAnsi="宋体" w:eastAsia="仿宋_GB2312" w:cs="宋体"/>
          <w:kern w:val="0"/>
          <w:sz w:val="32"/>
          <w:szCs w:val="32"/>
        </w:rPr>
        <w:t>表</w:t>
      </w:r>
      <w:r>
        <w:rPr>
          <w:rFonts w:ascii="仿宋_GB2312" w:hAnsi="方正小标宋简体" w:eastAsia="仿宋_GB2312" w:cs="方正小标宋简体"/>
          <w:bCs/>
          <w:sz w:val="32"/>
          <w:szCs w:val="32"/>
        </w:rPr>
        <w:t>法人单位共计873</w:t>
      </w:r>
      <w:r>
        <w:rPr>
          <w:rFonts w:hint="eastAsia" w:ascii="仿宋_GB2312" w:hAnsi="方正小标宋简体" w:eastAsia="仿宋_GB2312" w:cs="方正小标宋简体"/>
          <w:bCs/>
          <w:sz w:val="32"/>
          <w:szCs w:val="32"/>
        </w:rPr>
        <w:t>个，一</w:t>
      </w:r>
      <w:r>
        <w:rPr>
          <w:rFonts w:ascii="仿宋_GB2312" w:hAnsi="方正小标宋简体" w:eastAsia="仿宋_GB2312" w:cs="方正小标宋简体"/>
          <w:bCs/>
          <w:sz w:val="32"/>
          <w:szCs w:val="32"/>
        </w:rPr>
        <w:t>套表</w:t>
      </w:r>
      <w:r>
        <w:rPr>
          <w:rFonts w:hint="eastAsia" w:ascii="仿宋_GB2312" w:hAnsi="方正小标宋简体" w:eastAsia="仿宋_GB2312" w:cs="方正小标宋简体"/>
          <w:bCs/>
          <w:sz w:val="32"/>
          <w:szCs w:val="32"/>
        </w:rPr>
        <w:t>法人</w:t>
      </w:r>
      <w:r>
        <w:rPr>
          <w:rFonts w:ascii="仿宋_GB2312" w:hAnsi="方正小标宋简体" w:eastAsia="仿宋_GB2312" w:cs="方正小标宋简体"/>
          <w:bCs/>
          <w:sz w:val="32"/>
          <w:szCs w:val="32"/>
        </w:rPr>
        <w:t>单位</w:t>
      </w:r>
      <w:r>
        <w:rPr>
          <w:rFonts w:hint="eastAsia" w:ascii="仿宋_GB2312" w:hAnsi="方正小标宋简体" w:eastAsia="仿宋_GB2312" w:cs="方正小标宋简体"/>
          <w:bCs/>
          <w:sz w:val="32"/>
          <w:szCs w:val="32"/>
        </w:rPr>
        <w:t>54个</w:t>
      </w:r>
      <w:r>
        <w:rPr>
          <w:rFonts w:ascii="仿宋_GB2312" w:hAnsi="方正小标宋简体" w:eastAsia="仿宋_GB2312" w:cs="方正小标宋简体"/>
          <w:bCs/>
          <w:sz w:val="32"/>
          <w:szCs w:val="32"/>
        </w:rPr>
        <w:t>，产业活动单位402</w:t>
      </w:r>
      <w:r>
        <w:rPr>
          <w:rFonts w:hint="eastAsia" w:ascii="仿宋_GB2312" w:hAnsi="方正小标宋简体" w:eastAsia="仿宋_GB2312" w:cs="方正小标宋简体"/>
          <w:bCs/>
          <w:sz w:val="32"/>
          <w:szCs w:val="32"/>
        </w:rPr>
        <w:t>个</w:t>
      </w:r>
      <w:r>
        <w:rPr>
          <w:rFonts w:ascii="仿宋_GB2312" w:hAnsi="方正小标宋简体" w:eastAsia="仿宋_GB2312" w:cs="方正小标宋简体"/>
          <w:bCs/>
          <w:sz w:val="32"/>
          <w:szCs w:val="32"/>
        </w:rPr>
        <w:t>。工商登记注册个体户3700</w:t>
      </w:r>
      <w:r>
        <w:rPr>
          <w:rFonts w:hint="eastAsia" w:ascii="仿宋_GB2312" w:hAnsi="方正小标宋简体" w:eastAsia="仿宋_GB2312" w:cs="方正小标宋简体"/>
          <w:bCs/>
          <w:sz w:val="32"/>
          <w:szCs w:val="32"/>
        </w:rPr>
        <w:t>余户，其中</w:t>
      </w:r>
      <w:r>
        <w:rPr>
          <w:rFonts w:ascii="仿宋_GB2312" w:hAnsi="方正小标宋简体" w:eastAsia="仿宋_GB2312" w:cs="方正小标宋简体"/>
          <w:bCs/>
          <w:sz w:val="32"/>
          <w:szCs w:val="32"/>
        </w:rPr>
        <w:t>抽查</w:t>
      </w:r>
      <w:r>
        <w:rPr>
          <w:rFonts w:hint="eastAsia" w:ascii="仿宋_GB2312" w:hAnsi="方正小标宋简体" w:eastAsia="仿宋_GB2312" w:cs="方正小标宋简体"/>
          <w:bCs/>
          <w:sz w:val="32"/>
          <w:szCs w:val="32"/>
        </w:rPr>
        <w:t>个体</w:t>
      </w:r>
      <w:r>
        <w:rPr>
          <w:rFonts w:ascii="仿宋_GB2312" w:hAnsi="方正小标宋简体" w:eastAsia="仿宋_GB2312" w:cs="方正小标宋简体"/>
          <w:bCs/>
          <w:sz w:val="32"/>
          <w:szCs w:val="32"/>
        </w:rPr>
        <w:t>户</w:t>
      </w:r>
      <w:r>
        <w:rPr>
          <w:rFonts w:hint="eastAsia" w:ascii="仿宋_GB2312" w:hAnsi="方正小标宋简体" w:eastAsia="仿宋_GB2312" w:cs="方正小标宋简体"/>
          <w:bCs/>
          <w:sz w:val="32"/>
          <w:szCs w:val="32"/>
        </w:rPr>
        <w:t>4</w:t>
      </w:r>
      <w:r>
        <w:rPr>
          <w:rFonts w:ascii="仿宋_GB2312" w:hAnsi="方正小标宋简体" w:eastAsia="仿宋_GB2312" w:cs="方正小标宋简体"/>
          <w:bCs/>
          <w:sz w:val="32"/>
          <w:szCs w:val="32"/>
        </w:rPr>
        <w:t>9</w:t>
      </w:r>
      <w:r>
        <w:rPr>
          <w:rFonts w:hint="eastAsia" w:ascii="仿宋_GB2312" w:hAnsi="方正小标宋简体" w:eastAsia="仿宋_GB2312" w:cs="方正小标宋简体"/>
          <w:bCs/>
          <w:sz w:val="32"/>
          <w:szCs w:val="32"/>
        </w:rPr>
        <w:t>2户</w:t>
      </w:r>
      <w:r>
        <w:rPr>
          <w:rFonts w:hint="eastAsia" w:ascii="仿宋_GB2312" w:hAnsi="方正小标宋简体" w:eastAsia="仿宋_GB2312" w:cs="方正小标宋简体"/>
          <w:bCs/>
          <w:sz w:val="32"/>
          <w:szCs w:val="32"/>
          <w:lang w:eastAsia="zh-CN"/>
        </w:rPr>
        <w:t>。</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通过普查，完善覆盖国民经济各行业的基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准确的统计信息支持。</w:t>
      </w:r>
      <w:r>
        <w:rPr>
          <w:rFonts w:ascii="仿宋_GB2312" w:hAnsi="仿宋_GB2312" w:eastAsia="仿宋_GB2312"/>
          <w:sz w:val="32"/>
          <w:szCs w:val="32"/>
          <w:lang w:val="zh-CN"/>
        </w:rPr>
        <w:t> </w:t>
      </w:r>
    </w:p>
    <w:p>
      <w:pPr>
        <w:widowControl/>
        <w:shd w:val="clear" w:color="auto" w:fill="FFFFFF"/>
        <w:spacing w:line="520" w:lineRule="exact"/>
        <w:ind w:firstLine="640" w:firstLineChars="200"/>
        <w:jc w:val="left"/>
        <w:rPr>
          <w:rFonts w:hint="eastAsia" w:ascii="仿宋_GB2312" w:hAnsi="方正小标宋简体" w:eastAsia="仿宋_GB2312" w:cs="方正小标宋简体"/>
          <w:bCs/>
          <w:sz w:val="32"/>
          <w:szCs w:val="32"/>
        </w:rPr>
      </w:pPr>
    </w:p>
    <w:tbl>
      <w:tblPr>
        <w:tblStyle w:val="12"/>
        <w:tblpPr w:leftFromText="180" w:rightFromText="180" w:vertAnchor="text" w:horzAnchor="page" w:tblpX="1108" w:tblpY="-1323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7"/>
              <w:widowControl/>
              <w:ind w:left="4178" w:leftChars="1310" w:hanging="1427" w:hangingChars="395"/>
              <w:textAlignment w:val="center"/>
              <w:rPr>
                <w:rFonts w:ascii="宋体"/>
                <w:b/>
                <w:bCs/>
                <w:color w:val="000000"/>
                <w:kern w:val="0"/>
                <w:sz w:val="36"/>
                <w:szCs w:val="36"/>
              </w:rPr>
            </w:pPr>
          </w:p>
          <w:p>
            <w:pPr>
              <w:pStyle w:val="27"/>
              <w:widowControl/>
              <w:ind w:left="4173" w:leftChars="1310" w:hanging="1422" w:hangingChars="395"/>
              <w:textAlignment w:val="center"/>
              <w:rPr>
                <w:rFonts w:ascii="宋体"/>
                <w:color w:val="000000"/>
                <w:kern w:val="0"/>
                <w:sz w:val="36"/>
                <w:szCs w:val="36"/>
              </w:rPr>
            </w:pPr>
          </w:p>
          <w:p>
            <w:pPr>
              <w:pStyle w:val="27"/>
              <w:widowControl/>
              <w:ind w:firstLine="3960" w:firstLineChars="1100"/>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全国第四次经济普查项目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茂县统计局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预算执行情况</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万元</w:t>
            </w:r>
            <w:r>
              <w:rPr>
                <w:rFonts w:ascii="仿宋_GB2312" w:hAnsi="宋体"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执行数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hAnsi="宋体" w:eastAsia="仿宋_GB2312" w:cs="仿宋_GB2312"/>
                <w:color w:val="000000"/>
                <w:sz w:val="24"/>
                <w:szCs w:val="24"/>
                <w:lang w:val="en-US" w:eastAsia="zh-CN"/>
              </w:rPr>
              <w:t>22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eastAsia="仿宋_GB2312" w:cs="仿宋_GB2312"/>
                <w:color w:val="000000"/>
                <w:sz w:val="24"/>
                <w:szCs w:val="24"/>
                <w:lang w:val="en-US" w:eastAsia="zh-CN"/>
              </w:rPr>
              <w:t>22</w:t>
            </w:r>
          </w:p>
        </w:tc>
      </w:tr>
      <w:tr>
        <w:tblPrEx>
          <w:tblCellMar>
            <w:top w:w="0" w:type="dxa"/>
            <w:left w:w="0" w:type="dxa"/>
            <w:bottom w:w="0" w:type="dxa"/>
            <w:right w:w="0" w:type="dxa"/>
          </w:tblCellMar>
        </w:tblPrEx>
        <w:trPr>
          <w:trHeight w:val="12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lang w:val="en"/>
              </w:rPr>
              <w:t>一是组织落实、思想认识、经费落实、人员落实、物资准备、责任落实等“六个到位”为普查实施提供保障。二是重视培训，多次召开经普工作暨培训会议，统筹协调工作进度，为普查登记打下了坚实基础。三是加强宣传，制定了《第四次经普宣传工作实施方案》，以横幅、标语、张贴宣传画、上街流动宣传咨询、发放经济普查操作手册和告知书等形式开展“宣传日”、“宣传周”、“宣传月”活动，为普查营造了良好氛围。四是</w:t>
            </w:r>
            <w:r>
              <w:rPr>
                <w:rFonts w:hint="eastAsia" w:ascii="仿宋_GB2312" w:hAnsi="宋体" w:eastAsia="仿宋_GB2312" w:cs="仿宋_GB2312"/>
                <w:color w:val="000000"/>
                <w:kern w:val="0"/>
                <w:sz w:val="24"/>
                <w:szCs w:val="24"/>
              </w:rPr>
              <w:t>在普查单位底册清查整理期间对县工商局、县税务局、县编办、县市场监管局、县民政局提供的单位个数进行核实,对单位个数（包括个体经营</w:t>
            </w:r>
            <w:r>
              <w:rPr>
                <w:rFonts w:hint="eastAsia" w:ascii="仿宋_GB2312" w:hAnsi="宋体" w:eastAsia="仿宋_GB2312" w:cs="仿宋_GB2312"/>
                <w:color w:val="000000"/>
                <w:kern w:val="0"/>
                <w:sz w:val="24"/>
                <w:szCs w:val="24"/>
                <w:lang w:eastAsia="zh-CN"/>
              </w:rPr>
              <w:t>户</w:t>
            </w:r>
            <w:r>
              <w:rPr>
                <w:rFonts w:hint="eastAsia" w:ascii="仿宋_GB2312" w:hAnsi="宋体" w:eastAsia="仿宋_GB2312" w:cs="仿宋_GB2312"/>
                <w:color w:val="000000"/>
                <w:kern w:val="0"/>
                <w:sz w:val="24"/>
                <w:szCs w:val="24"/>
              </w:rPr>
              <w:t>）实行“拉网式”的清查，摸清全部单位个数。经省、州以及部门登记资料比对，PAD实地入户清查，全县共清查单位2217个，个体3716个。全县普查单位1329个，其中非一套表法人单位共计873个，一套表法人单位54个，产业活动单位402个。工商登记注册个体户3700余户，其中抽查个体户492户。</w:t>
            </w:r>
          </w:p>
          <w:p>
            <w:pPr>
              <w:widowControl/>
              <w:jc w:val="center"/>
              <w:textAlignment w:val="center"/>
              <w:rPr>
                <w:rFonts w:hint="eastAsia" w:ascii="仿宋_GB2312" w:hAnsi="宋体" w:eastAsia="仿宋_GB2312" w:cs="仿宋_GB2312"/>
                <w:color w:val="000000"/>
                <w:kern w:val="0"/>
                <w:sz w:val="24"/>
                <w:szCs w:val="24"/>
                <w:lang w:val="zh-CN"/>
              </w:rPr>
            </w:pPr>
            <w:r>
              <w:rPr>
                <w:rFonts w:hint="eastAsia" w:ascii="仿宋_GB2312" w:hAnsi="宋体" w:eastAsia="仿宋_GB2312" w:cs="仿宋_GB2312"/>
                <w:color w:val="000000"/>
                <w:kern w:val="0"/>
                <w:sz w:val="24"/>
                <w:szCs w:val="24"/>
                <w:lang w:val="zh-CN"/>
              </w:rPr>
              <w:t> </w:t>
            </w:r>
          </w:p>
          <w:p>
            <w:pPr>
              <w:widowControl/>
              <w:jc w:val="center"/>
              <w:textAlignment w:val="center"/>
              <w:rPr>
                <w:rFonts w:ascii="仿宋_GB2312" w:eastAsia="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lang w:val="en"/>
              </w:rPr>
            </w:pPr>
            <w:r>
              <w:rPr>
                <w:rFonts w:hint="eastAsia" w:ascii="仿宋_GB2312" w:hAnsi="宋体" w:eastAsia="仿宋_GB2312" w:cs="仿宋_GB2312"/>
                <w:color w:val="000000"/>
                <w:kern w:val="0"/>
                <w:sz w:val="24"/>
                <w:szCs w:val="24"/>
                <w:lang w:val="en"/>
              </w:rPr>
              <w:t>至201</w:t>
            </w:r>
            <w:r>
              <w:rPr>
                <w:rFonts w:hint="eastAsia" w:ascii="仿宋_GB2312" w:hAnsi="宋体" w:eastAsia="仿宋_GB2312" w:cs="仿宋_GB2312"/>
                <w:color w:val="000000"/>
                <w:kern w:val="0"/>
                <w:sz w:val="24"/>
                <w:szCs w:val="24"/>
                <w:lang w:val="en-US" w:eastAsia="zh-CN"/>
              </w:rPr>
              <w:t>9</w:t>
            </w:r>
            <w:r>
              <w:rPr>
                <w:rFonts w:hint="eastAsia" w:ascii="仿宋_GB2312" w:hAnsi="宋体" w:eastAsia="仿宋_GB2312" w:cs="仿宋_GB2312"/>
                <w:color w:val="000000"/>
                <w:kern w:val="0"/>
                <w:sz w:val="24"/>
                <w:szCs w:val="24"/>
                <w:lang w:val="en"/>
              </w:rPr>
              <w:t>年末，全县第四次经济普查工作取得了阶段性的胜利，经济普查宣传、综合试点、两员培训、正式入户登记、数据改错、数据处理、数据核实等各阶段工作都受到了州领导高度肯定；通过开展清查，全面摸清了全县单位及个体经营户数量、各行业分布状况；全面掌握了全县经济基本情况，为州、县政府科学制定经济政策提供了参考依据。</w:t>
            </w:r>
          </w:p>
          <w:p>
            <w:pPr>
              <w:widowControl/>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清查单位数量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PAD实地入户清查，全县共清查单位2217个，个体3716个。全县普查单位1329个，其中非一套表法人单位共计873个，一套表法人单位54个，产业活动单位402个。工商登记注册个体户3700余户，其中抽查个体户492户。</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已摸清全县单位个数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通过普查拟达成效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通过普查，全面摸清了全县及个体经营户数量、各行业分布状况；全面掌握了全县经济基本情况，为州、县政府科学制定经济政策提供了参考依据。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已达到逾期目标</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群众满意度指标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r>
    </w:tbl>
    <w:p>
      <w:pPr>
        <w:tabs>
          <w:tab w:val="left" w:pos="312"/>
        </w:tabs>
        <w:spacing w:line="576"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部门2019年部门整体支出绩效评价报告》见附件。</w:t>
      </w: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widowControl/>
        <w:jc w:val="center"/>
        <w:rPr>
          <w:rStyle w:val="16"/>
          <w:rFonts w:ascii="方正小标宋简体" w:hAnsi="黑体" w:eastAsia="方正小标宋简体"/>
          <w:b w:val="0"/>
          <w:bCs w:val="0"/>
        </w:rPr>
      </w:pPr>
      <w:bookmarkStart w:id="37" w:name="_Toc15396613"/>
      <w:bookmarkStart w:id="38" w:name="_Toc15377225"/>
      <w:r>
        <w:rPr>
          <w:rFonts w:hint="eastAsia" w:ascii="方正小标宋简体" w:hAnsi="黑体" w:eastAsia="方正小标宋简体" w:cs="方正小标宋简体"/>
          <w:color w:val="000000"/>
          <w:sz w:val="44"/>
          <w:szCs w:val="44"/>
        </w:rPr>
        <w:t>第三部分名</w:t>
      </w:r>
      <w:r>
        <w:rPr>
          <w:rStyle w:val="16"/>
          <w:rFonts w:hint="eastAsia" w:ascii="方正小标宋简体" w:hAnsi="黑体" w:eastAsia="方正小标宋简体" w:cs="方正小标宋简体"/>
          <w:b w:val="0"/>
          <w:bCs w:val="0"/>
        </w:rPr>
        <w:t>词解释</w:t>
      </w:r>
      <w:bookmarkEnd w:id="37"/>
      <w:bookmarkEnd w:id="38"/>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财政拨款收入：指省级财政当年拨付的资金。</w:t>
      </w:r>
    </w:p>
    <w:p>
      <w:pPr>
        <w:widowControl/>
        <w:spacing w:line="576" w:lineRule="exact"/>
        <w:ind w:firstLine="707" w:firstLineChars="221"/>
        <w:jc w:val="left"/>
        <w:rPr>
          <w:rFonts w:hint="eastAsia"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其他收入：指除上述“财政拨款收入”、“事业收入”、“经营收入”等以外的收入。</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widowControl/>
        <w:spacing w:line="576" w:lineRule="exact"/>
        <w:ind w:firstLine="707" w:firstLineChars="221"/>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w:t>
      </w:r>
      <w:r>
        <w:rPr>
          <w:rFonts w:hint="eastAsia" w:ascii="仿宋_GB2312" w:hAnsi="仿宋" w:eastAsia="仿宋_GB2312" w:cs="仿宋_GB2312"/>
          <w:color w:val="000000"/>
          <w:kern w:val="0"/>
          <w:sz w:val="32"/>
          <w:szCs w:val="32"/>
          <w:lang w:eastAsia="zh-CN"/>
        </w:rPr>
        <w:t>统计信息事务</w:t>
      </w:r>
      <w:r>
        <w:rPr>
          <w:rFonts w:hint="eastAsia" w:ascii="仿宋_GB2312" w:hAnsi="仿宋" w:eastAsia="仿宋_GB2312" w:cs="仿宋_GB2312"/>
          <w:color w:val="000000"/>
          <w:kern w:val="0"/>
          <w:sz w:val="32"/>
          <w:szCs w:val="32"/>
        </w:rPr>
        <w:t>（款）行政运行（项）：</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指机关及参公管理事业单位用于保障机构正常运行、开展</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日常工作的基本支出。</w:t>
      </w:r>
    </w:p>
    <w:p>
      <w:pPr>
        <w:widowControl/>
        <w:spacing w:line="576" w:lineRule="exact"/>
        <w:ind w:firstLine="640" w:firstLineChars="200"/>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6</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一般公共服务（类）财政事务（款）一般行政管理事务（项）：指机关及参公管理事业单位开展财政综合业务、</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预决算编审等未单独设置项级科目的专门性财政管理工作</w:t>
      </w:r>
    </w:p>
    <w:p>
      <w:pPr>
        <w:widowControl/>
        <w:spacing w:line="576" w:lineRule="exact"/>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的项目支出。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9</w:t>
      </w:r>
      <w:r>
        <w:rPr>
          <w:rFonts w:ascii="仿宋_GB2312" w:eastAsia="仿宋_GB2312" w:cs="仿宋_GB2312"/>
          <w:color w:val="000000"/>
          <w:sz w:val="32"/>
          <w:szCs w:val="32"/>
        </w:rPr>
        <w:t>.</w:t>
      </w:r>
      <w:r>
        <w:rPr>
          <w:rFonts w:hint="eastAsia" w:ascii="仿宋_GB2312" w:eastAsia="仿宋_GB2312" w:cs="仿宋_GB2312"/>
          <w:color w:val="000000"/>
          <w:sz w:val="32"/>
          <w:szCs w:val="32"/>
        </w:rPr>
        <w:t>医疗卫生与计划生育（类）行政事业单位医疗（款）行政单位医疗（项）：指</w:t>
      </w:r>
      <w:r>
        <w:rPr>
          <w:rFonts w:hint="eastAsia" w:ascii="仿宋_GB2312" w:eastAsia="仿宋_GB2312" w:cs="仿宋_GB2312"/>
          <w:sz w:val="32"/>
          <w:szCs w:val="32"/>
        </w:rPr>
        <w:t>行政单位医疗，反映用于医疗保障方面的支出，指财政部门集中安排的行政单位的公费医疗经费，按国家规定享受离休人员、红军老战士待遇人员的医疗经费。</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10</w:t>
      </w:r>
      <w:r>
        <w:rPr>
          <w:rFonts w:ascii="仿宋_GB2312" w:eastAsia="仿宋_GB2312" w:cs="仿宋_GB2312"/>
          <w:sz w:val="32"/>
          <w:szCs w:val="32"/>
        </w:rPr>
        <w:t>.</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11</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lang w:val="en-US" w:eastAsia="zh-CN"/>
        </w:rPr>
        <w:t>12</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r>
        <w:rPr>
          <w:rFonts w:hint="eastAsia" w:ascii="仿宋_GB2312" w:eastAsia="仿宋_GB2312" w:cs="仿宋_GB2312"/>
          <w:color w:val="000000"/>
          <w:sz w:val="32"/>
          <w:szCs w:val="32"/>
        </w:rPr>
        <w:t>。</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13</w:t>
      </w:r>
      <w:r>
        <w:rPr>
          <w:rFonts w:ascii="仿宋_GB2312" w:eastAsia="仿宋_GB2312" w:cs="仿宋_GB2312"/>
          <w:color w:val="000000"/>
          <w:sz w:val="32"/>
          <w:szCs w:val="32"/>
        </w:rPr>
        <w:t>.</w:t>
      </w:r>
      <w:r>
        <w:rPr>
          <w:rFonts w:hint="eastAsia" w:ascii="仿宋_GB2312" w:eastAsia="仿宋_GB2312" w:cs="仿宋_GB2312"/>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4</w:t>
      </w:r>
      <w:r>
        <w:rPr>
          <w:rFonts w:ascii="仿宋_GB2312" w:eastAsia="仿宋_GB2312" w:cs="仿宋_GB2312"/>
          <w:sz w:val="32"/>
          <w:szCs w:val="32"/>
        </w:rPr>
        <w:t>.</w:t>
      </w:r>
      <w:r>
        <w:rPr>
          <w:rFonts w:hint="eastAsia" w:ascii="仿宋_GB2312" w:eastAsia="仿宋_GB2312" w:cs="仿宋_GB2312"/>
          <w:sz w:val="32"/>
          <w:szCs w:val="32"/>
        </w:rPr>
        <w:t>项目支出：指在基本支出之外为完成特定行政任务动之外开展非独立核算经营活动发生的支出。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5</w:t>
      </w:r>
      <w:r>
        <w:rPr>
          <w:rFonts w:ascii="仿宋_GB2312" w:eastAsia="仿宋_GB2312" w:cs="仿宋_GB2312"/>
          <w:sz w:val="32"/>
          <w:szCs w:val="32"/>
        </w:rPr>
        <w:t>.</w:t>
      </w:r>
      <w:r>
        <w:rPr>
          <w:rFonts w:hint="eastAsia" w:asci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6</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rPr>
          <w:rFonts w:ascii="仿宋_GB2312" w:eastAsia="仿宋_GB2312" w:cs="Times New Roman"/>
          <w:sz w:val="32"/>
          <w:szCs w:val="32"/>
        </w:rPr>
      </w:pPr>
    </w:p>
    <w:p>
      <w:pPr>
        <w:spacing w:line="600" w:lineRule="exact"/>
        <w:jc w:val="center"/>
        <w:outlineLvl w:val="0"/>
        <w:rPr>
          <w:rStyle w:val="16"/>
          <w:rFonts w:ascii="黑体" w:hAnsi="黑体" w:eastAsia="黑体"/>
          <w:b w:val="0"/>
        </w:rPr>
      </w:pPr>
      <w:bookmarkStart w:id="39" w:name="_Toc15396614"/>
      <w:bookmarkStart w:id="40" w:name="_Toc15377226"/>
      <w:r>
        <w:rPr>
          <w:rFonts w:hint="eastAsia" w:ascii="黑体" w:hAnsi="黑体" w:eastAsia="黑体"/>
          <w:color w:val="000000"/>
          <w:sz w:val="44"/>
          <w:szCs w:val="44"/>
        </w:rPr>
        <w:t>第</w:t>
      </w:r>
      <w:r>
        <w:rPr>
          <w:rStyle w:val="16"/>
          <w:rFonts w:hint="eastAsia" w:ascii="黑体" w:hAnsi="黑体" w:eastAsia="黑体"/>
          <w:b w:val="0"/>
        </w:rPr>
        <w:t>四部分 附件</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本</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bookmarkEnd w:id="39"/>
    <w:p>
      <w:pPr>
        <w:pStyle w:val="3"/>
        <w:spacing w:before="0" w:after="0" w:line="576" w:lineRule="exact"/>
        <w:ind w:firstLine="800" w:firstLineChars="250"/>
        <w:rPr>
          <w:rFonts w:ascii="黑体" w:hAnsi="黑体" w:eastAsia="黑体" w:cs="Times New Roman"/>
        </w:rPr>
      </w:pPr>
      <w:r>
        <w:rPr>
          <w:rFonts w:hint="eastAsia" w:ascii="黑体" w:hAnsi="黑体" w:eastAsia="黑体" w:cs="黑体"/>
          <w:b w:val="0"/>
          <w:bCs w:val="0"/>
        </w:rPr>
        <w:t>一、部门（单位）概况</w:t>
      </w:r>
    </w:p>
    <w:p>
      <w:pPr>
        <w:widowControl/>
        <w:numPr>
          <w:ilvl w:val="0"/>
          <w:numId w:val="4"/>
        </w:numPr>
        <w:spacing w:line="576" w:lineRule="exact"/>
        <w:ind w:firstLine="706" w:firstLineChars="220"/>
        <w:jc w:val="left"/>
        <w:rPr>
          <w:rFonts w:ascii="楷体_GB2312" w:hAnsi="仿宋" w:eastAsia="楷体_GB2312"/>
          <w:b/>
          <w:bCs/>
          <w:sz w:val="32"/>
          <w:szCs w:val="32"/>
        </w:rPr>
      </w:pPr>
      <w:r>
        <w:rPr>
          <w:rFonts w:hint="eastAsia" w:ascii="楷体_GB2312" w:hAnsi="仿宋" w:eastAsia="楷体_GB2312" w:cs="楷体_GB2312"/>
          <w:b/>
          <w:bCs/>
          <w:sz w:val="32"/>
          <w:szCs w:val="32"/>
        </w:rPr>
        <w:t>机构组成</w:t>
      </w:r>
    </w:p>
    <w:p>
      <w:pPr>
        <w:widowControl/>
        <w:adjustRightInd w:val="0"/>
        <w:snapToGrid w:val="0"/>
        <w:spacing w:line="540" w:lineRule="exact"/>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茂县统计局属一级预算单位，内设</w:t>
      </w:r>
      <w:r>
        <w:rPr>
          <w:rFonts w:hint="eastAsia" w:ascii="仿宋_GB2312" w:hAnsi="仿宋" w:eastAsia="仿宋_GB2312" w:cs="仿宋_GB2312"/>
          <w:sz w:val="32"/>
          <w:szCs w:val="32"/>
          <w:lang w:val="en-US" w:eastAsia="zh-CN"/>
        </w:rPr>
        <w:t>4</w:t>
      </w:r>
      <w:r>
        <w:rPr>
          <w:rFonts w:hint="eastAsia" w:ascii="仿宋_GB2312" w:hAnsi="仿宋" w:eastAsia="仿宋_GB2312" w:cs="仿宋_GB2312"/>
          <w:sz w:val="32"/>
          <w:szCs w:val="32"/>
        </w:rPr>
        <w:t>个机构，分别为办公室、综合统计股、专业统计股、城乡社会经济抽样调查队。</w:t>
      </w:r>
    </w:p>
    <w:p>
      <w:pPr>
        <w:numPr>
          <w:ilvl w:val="0"/>
          <w:numId w:val="4"/>
        </w:numPr>
        <w:spacing w:line="576" w:lineRule="exact"/>
        <w:ind w:firstLine="706" w:firstLineChars="220"/>
        <w:rPr>
          <w:rFonts w:ascii="楷体_GB2312" w:hAnsi="仿宋" w:eastAsia="楷体_GB2312"/>
          <w:b/>
          <w:bCs/>
          <w:sz w:val="32"/>
          <w:szCs w:val="32"/>
        </w:rPr>
      </w:pPr>
      <w:r>
        <w:rPr>
          <w:rFonts w:hint="eastAsia" w:ascii="楷体_GB2312" w:hAnsi="仿宋" w:eastAsia="楷体_GB2312" w:cs="楷体_GB2312"/>
          <w:b/>
          <w:bCs/>
          <w:sz w:val="32"/>
          <w:szCs w:val="32"/>
        </w:rPr>
        <w:t>机构职能</w:t>
      </w:r>
    </w:p>
    <w:p>
      <w:pPr>
        <w:pStyle w:val="5"/>
        <w:adjustRightInd w:val="0"/>
        <w:snapToGrid w:val="0"/>
        <w:spacing w:beforeLines="0" w:line="576" w:lineRule="exact"/>
        <w:ind w:firstLine="640" w:firstLineChars="200"/>
        <w:rPr>
          <w:rFonts w:cs="Times New Roman"/>
          <w:sz w:val="32"/>
          <w:szCs w:val="32"/>
        </w:rPr>
      </w:pPr>
      <w:r>
        <w:rPr>
          <w:sz w:val="32"/>
          <w:szCs w:val="32"/>
        </w:rPr>
        <w:t>1.</w:t>
      </w:r>
      <w:r>
        <w:rPr>
          <w:rFonts w:hint="eastAsia"/>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cs="Times New Roman"/>
          <w:sz w:val="32"/>
          <w:szCs w:val="32"/>
        </w:rPr>
      </w:pPr>
      <w:r>
        <w:rPr>
          <w:sz w:val="32"/>
          <w:szCs w:val="32"/>
        </w:rPr>
        <w:t>2.</w:t>
      </w:r>
      <w:r>
        <w:rPr>
          <w:rFonts w:hint="eastAsia"/>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负责组织实施全县重大的国情国力普查和专项统计调查；汇总、整理全县的基本统计资料；对国民经济运行、科技进步和社会发展情况进行统计分析、预测、监督；向县委、</w:t>
      </w:r>
      <w:r>
        <w:rPr>
          <w:rFonts w:hint="eastAsia"/>
          <w:sz w:val="32"/>
          <w:szCs w:val="32"/>
          <w:lang w:eastAsia="zh-CN"/>
        </w:rPr>
        <w:t>县</w:t>
      </w:r>
      <w:r>
        <w:rPr>
          <w:rFonts w:hint="eastAsia"/>
          <w:sz w:val="32"/>
          <w:szCs w:val="32"/>
        </w:rPr>
        <w:t>政府及有关部门提供统计信息和咨询建议。</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统一核定、管理、公布、出版全县的基本统计资料，定期发布全县国民经济和社会发展情况的统计信息，积极培育和发展县内信息咨询服务市场。</w:t>
      </w:r>
      <w:bookmarkStart w:id="55" w:name="_GoBack"/>
      <w:bookmarkEnd w:id="55"/>
    </w:p>
    <w:p>
      <w:pPr>
        <w:pStyle w:val="5"/>
        <w:adjustRightInd w:val="0"/>
        <w:snapToGrid w:val="0"/>
        <w:spacing w:beforeLines="0" w:line="576" w:lineRule="exact"/>
        <w:ind w:firstLine="640" w:firstLineChars="200"/>
        <w:rPr>
          <w:rFonts w:cs="Times New Roman"/>
          <w:sz w:val="32"/>
          <w:szCs w:val="32"/>
        </w:rPr>
      </w:pPr>
      <w:r>
        <w:rPr>
          <w:sz w:val="32"/>
          <w:szCs w:val="32"/>
        </w:rPr>
        <w:t>5.</w:t>
      </w:r>
      <w:r>
        <w:rPr>
          <w:rFonts w:hint="eastAsia"/>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cs="Times New Roman"/>
          <w:sz w:val="32"/>
          <w:szCs w:val="32"/>
        </w:rPr>
      </w:pPr>
      <w:r>
        <w:rPr>
          <w:sz w:val="32"/>
          <w:szCs w:val="32"/>
        </w:rPr>
        <w:t>6.</w:t>
      </w:r>
      <w:r>
        <w:rPr>
          <w:rFonts w:hint="eastAsia"/>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cs="Times New Roman"/>
          <w:sz w:val="32"/>
          <w:szCs w:val="32"/>
        </w:rPr>
      </w:pPr>
      <w:r>
        <w:rPr>
          <w:sz w:val="32"/>
          <w:szCs w:val="32"/>
        </w:rPr>
        <w:t>7.</w:t>
      </w:r>
      <w:r>
        <w:rPr>
          <w:rFonts w:hint="eastAsia"/>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cs="Times New Roman"/>
          <w:sz w:val="32"/>
          <w:szCs w:val="32"/>
        </w:rPr>
      </w:pPr>
      <w:r>
        <w:rPr>
          <w:sz w:val="32"/>
          <w:szCs w:val="32"/>
        </w:rPr>
        <w:t>8.</w:t>
      </w:r>
      <w:r>
        <w:rPr>
          <w:rFonts w:hint="eastAsia"/>
          <w:sz w:val="32"/>
          <w:szCs w:val="32"/>
        </w:rPr>
        <w:t>建立健全和管理全县统计信息自动化系统和统计数据库体系；制定全县各乡镇、各部门统计数据库网络的基本标准和运行规则。</w:t>
      </w:r>
    </w:p>
    <w:p>
      <w:pPr>
        <w:pStyle w:val="5"/>
        <w:adjustRightInd w:val="0"/>
        <w:snapToGrid w:val="0"/>
        <w:spacing w:beforeLines="0" w:line="576" w:lineRule="exact"/>
        <w:ind w:firstLine="640" w:firstLineChars="200"/>
        <w:rPr>
          <w:rFonts w:cs="Times New Roman"/>
          <w:sz w:val="32"/>
          <w:szCs w:val="32"/>
        </w:rPr>
      </w:pPr>
      <w:r>
        <w:rPr>
          <w:sz w:val="32"/>
          <w:szCs w:val="32"/>
        </w:rPr>
        <w:t>9.</w:t>
      </w:r>
      <w:r>
        <w:rPr>
          <w:rFonts w:hint="eastAsia"/>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cs="Times New Roman"/>
          <w:sz w:val="32"/>
          <w:szCs w:val="32"/>
        </w:rPr>
      </w:pPr>
      <w:r>
        <w:rPr>
          <w:sz w:val="32"/>
          <w:szCs w:val="32"/>
        </w:rPr>
        <w:t>10.</w:t>
      </w:r>
      <w:r>
        <w:rPr>
          <w:rFonts w:hint="eastAsia"/>
          <w:sz w:val="32"/>
          <w:szCs w:val="32"/>
        </w:rPr>
        <w:t>承担县政府公布的有关行政审批事项。</w:t>
      </w:r>
    </w:p>
    <w:p>
      <w:pPr>
        <w:pStyle w:val="5"/>
        <w:adjustRightInd w:val="0"/>
        <w:snapToGrid w:val="0"/>
        <w:spacing w:beforeLines="0" w:line="576" w:lineRule="exact"/>
        <w:ind w:firstLine="640" w:firstLineChars="200"/>
        <w:rPr>
          <w:rFonts w:cs="Times New Roman"/>
          <w:color w:val="000000"/>
          <w:sz w:val="32"/>
          <w:szCs w:val="32"/>
        </w:rPr>
      </w:pPr>
      <w:r>
        <w:rPr>
          <w:sz w:val="32"/>
          <w:szCs w:val="32"/>
        </w:rPr>
        <w:t>11.</w:t>
      </w:r>
      <w:r>
        <w:rPr>
          <w:rFonts w:hint="eastAsia"/>
          <w:sz w:val="32"/>
          <w:szCs w:val="32"/>
        </w:rPr>
        <w:t>承办县政府交办的其他事项。</w:t>
      </w:r>
    </w:p>
    <w:p>
      <w:pPr>
        <w:numPr>
          <w:ilvl w:val="0"/>
          <w:numId w:val="4"/>
        </w:numPr>
        <w:spacing w:line="576" w:lineRule="exact"/>
        <w:ind w:firstLine="709" w:firstLineChars="221"/>
        <w:rPr>
          <w:rFonts w:ascii="楷体_GB2312" w:hAnsi="仿宋" w:eastAsia="楷体_GB2312"/>
          <w:b/>
          <w:bCs/>
          <w:sz w:val="32"/>
          <w:szCs w:val="32"/>
        </w:rPr>
      </w:pPr>
      <w:r>
        <w:rPr>
          <w:rFonts w:hint="eastAsia" w:ascii="楷体_GB2312" w:hAnsi="仿宋" w:eastAsia="楷体_GB2312" w:cs="楷体_GB2312"/>
          <w:b/>
          <w:bCs/>
          <w:sz w:val="32"/>
          <w:szCs w:val="32"/>
        </w:rPr>
        <w:t>人员概况</w:t>
      </w:r>
    </w:p>
    <w:p>
      <w:pPr>
        <w:snapToGrid w:val="0"/>
        <w:spacing w:line="588" w:lineRule="exact"/>
        <w:ind w:firstLine="640" w:firstLineChars="200"/>
        <w:rPr>
          <w:rFonts w:ascii="黑体" w:hAnsi="宋体" w:eastAsia="黑体"/>
          <w:color w:val="000000"/>
          <w:kern w:val="0"/>
          <w:shd w:val="clear" w:color="auto" w:fill="FFFFFF"/>
        </w:rPr>
      </w:pP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lang w:val="en-US" w:eastAsia="zh-CN"/>
        </w:rPr>
        <w:t>16</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hint="eastAsia" w:ascii="仿宋_GB2312" w:hAnsi="宋体" w:eastAsia="仿宋_GB2312" w:cs="仿宋_GB2312"/>
          <w:kern w:val="0"/>
          <w:sz w:val="32"/>
          <w:szCs w:val="32"/>
          <w:lang w:val="en-US" w:eastAsia="zh-CN"/>
        </w:rPr>
        <w:t>9</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参照公务员法管理的事业编制</w:t>
      </w:r>
      <w:r>
        <w:rPr>
          <w:rFonts w:ascii="仿宋_GB2312" w:hAnsi="宋体" w:eastAsia="仿宋_GB2312" w:cs="仿宋_GB2312"/>
          <w:kern w:val="0"/>
          <w:sz w:val="32"/>
          <w:szCs w:val="32"/>
        </w:rPr>
        <w:t xml:space="preserve">  7</w:t>
      </w:r>
      <w:r>
        <w:rPr>
          <w:rFonts w:hint="eastAsia" w:ascii="仿宋_GB2312" w:hAnsi="宋体" w:eastAsia="仿宋_GB2312" w:cs="仿宋_GB2312"/>
          <w:kern w:val="0"/>
          <w:sz w:val="32"/>
          <w:szCs w:val="32"/>
        </w:rPr>
        <w:t>名，行政工勤编制</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lang w:val="en-US" w:eastAsia="zh-CN"/>
        </w:rPr>
        <w:t>17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rPr>
        <w:t xml:space="preserve"> 12</w:t>
      </w:r>
      <w:r>
        <w:rPr>
          <w:rFonts w:hint="eastAsia" w:ascii="仿宋_GB2312" w:hAnsi="宋体" w:eastAsia="仿宋_GB2312" w:cs="仿宋_GB2312"/>
          <w:kern w:val="0"/>
          <w:sz w:val="32"/>
          <w:szCs w:val="32"/>
        </w:rPr>
        <w:t>名，参照公务员法管理的事业人员</w:t>
      </w:r>
      <w:r>
        <w:rPr>
          <w:rFonts w:hint="eastAsia" w:ascii="仿宋_GB2312" w:hAnsi="宋体" w:eastAsia="仿宋_GB2312" w:cs="仿宋_GB2312"/>
          <w:kern w:val="0"/>
          <w:sz w:val="32"/>
          <w:szCs w:val="32"/>
          <w:lang w:val="en-US" w:eastAsia="zh-CN"/>
        </w:rPr>
        <w:t>5</w:t>
      </w:r>
      <w:r>
        <w:rPr>
          <w:rFonts w:hint="eastAsia" w:ascii="仿宋_GB2312" w:hAnsi="宋体" w:eastAsia="仿宋_GB2312" w:cs="仿宋_GB2312"/>
          <w:kern w:val="0"/>
          <w:sz w:val="32"/>
          <w:szCs w:val="32"/>
        </w:rPr>
        <w:t>名，行政工勤人员</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名；退休人员</w:t>
      </w:r>
      <w:r>
        <w:rPr>
          <w:rFonts w:ascii="仿宋_GB2312" w:hAnsi="宋体" w:cs="仿宋_GB2312"/>
          <w:kern w:val="0"/>
          <w:sz w:val="32"/>
          <w:szCs w:val="32"/>
        </w:rPr>
        <w:t>0</w:t>
      </w:r>
      <w:r>
        <w:rPr>
          <w:rFonts w:hint="eastAsia" w:ascii="仿宋_GB2312" w:hAnsi="宋体" w:eastAsia="仿宋_GB2312" w:cs="仿宋_GB2312"/>
          <w:kern w:val="0"/>
          <w:sz w:val="32"/>
          <w:szCs w:val="32"/>
        </w:rPr>
        <w:t>人。</w:t>
      </w:r>
    </w:p>
    <w:p>
      <w:pPr>
        <w:pStyle w:val="3"/>
        <w:spacing w:before="0" w:after="0" w:line="576" w:lineRule="exact"/>
        <w:ind w:firstLine="627" w:firstLineChars="196"/>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widowControl/>
        <w:spacing w:line="576" w:lineRule="exact"/>
        <w:ind w:firstLine="481" w:firstLineChars="150"/>
        <w:jc w:val="left"/>
        <w:rPr>
          <w:rFonts w:ascii="楷体_GB2312" w:hAnsi="仿宋" w:eastAsia="楷体_GB2312"/>
          <w:b/>
          <w:bCs/>
          <w:sz w:val="32"/>
          <w:szCs w:val="32"/>
        </w:rPr>
      </w:pPr>
      <w:r>
        <w:rPr>
          <w:rFonts w:hint="eastAsia" w:ascii="楷体_GB2312" w:hAnsi="仿宋" w:eastAsia="楷体_GB2312" w:cs="楷体_GB2312"/>
          <w:b/>
          <w:bCs/>
          <w:sz w:val="32"/>
          <w:szCs w:val="32"/>
        </w:rPr>
        <w:t>（一）部门财政资金收入情况</w:t>
      </w:r>
    </w:p>
    <w:p>
      <w:pPr>
        <w:widowControl/>
        <w:spacing w:line="576" w:lineRule="exact"/>
        <w:ind w:firstLine="640" w:firstLineChars="200"/>
        <w:jc w:val="left"/>
        <w:rPr>
          <w:rFonts w:ascii="仿宋" w:hAnsi="仿宋" w:eastAsia="仿宋"/>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年本部门财政拨款收入决算总额为</w:t>
      </w:r>
      <w:r>
        <w:rPr>
          <w:rFonts w:hint="eastAsia" w:ascii="仿宋" w:hAnsi="仿宋" w:eastAsia="仿宋" w:cs="仿宋"/>
          <w:color w:val="000000"/>
          <w:kern w:val="0"/>
          <w:sz w:val="32"/>
          <w:szCs w:val="32"/>
          <w:lang w:val="en-US" w:eastAsia="zh-CN"/>
        </w:rPr>
        <w:t>371.54</w:t>
      </w:r>
      <w:r>
        <w:rPr>
          <w:rFonts w:hint="eastAsia" w:ascii="仿宋" w:hAnsi="仿宋" w:eastAsia="仿宋" w:cs="仿宋"/>
          <w:color w:val="000000"/>
          <w:kern w:val="0"/>
          <w:sz w:val="32"/>
          <w:szCs w:val="32"/>
        </w:rPr>
        <w:t>万元，其中：当年财政拨款收入</w:t>
      </w:r>
      <w:r>
        <w:rPr>
          <w:rFonts w:hint="eastAsia" w:ascii="仿宋" w:hAnsi="仿宋" w:eastAsia="仿宋" w:cs="仿宋"/>
          <w:color w:val="000000"/>
          <w:kern w:val="0"/>
          <w:sz w:val="32"/>
          <w:szCs w:val="32"/>
          <w:lang w:val="en-US" w:eastAsia="zh-CN"/>
        </w:rPr>
        <w:t>371.54</w:t>
      </w:r>
      <w:r>
        <w:rPr>
          <w:rFonts w:hint="eastAsia" w:ascii="仿宋" w:hAnsi="仿宋" w:eastAsia="仿宋" w:cs="仿宋"/>
          <w:color w:val="000000"/>
          <w:kern w:val="0"/>
          <w:sz w:val="32"/>
          <w:szCs w:val="32"/>
        </w:rPr>
        <w:t>万元</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均为一般公共预算财政拨款。</w:t>
      </w:r>
    </w:p>
    <w:p>
      <w:pPr>
        <w:widowControl/>
        <w:numPr>
          <w:ilvl w:val="0"/>
          <w:numId w:val="5"/>
        </w:numPr>
        <w:spacing w:line="576" w:lineRule="exact"/>
        <w:ind w:firstLine="568" w:firstLineChars="177"/>
        <w:jc w:val="left"/>
        <w:rPr>
          <w:rFonts w:ascii="楷体_GB2312" w:hAnsi="仿宋" w:eastAsia="楷体_GB2312"/>
          <w:b/>
          <w:bCs/>
          <w:sz w:val="32"/>
          <w:szCs w:val="32"/>
        </w:rPr>
      </w:pPr>
      <w:r>
        <w:rPr>
          <w:rFonts w:hint="eastAsia" w:ascii="楷体_GB2312" w:hAnsi="仿宋" w:eastAsia="楷体_GB2312" w:cs="楷体_GB2312"/>
          <w:b/>
          <w:bCs/>
          <w:sz w:val="32"/>
          <w:szCs w:val="32"/>
        </w:rPr>
        <w:t>部门财政资金支出情况</w:t>
      </w:r>
    </w:p>
    <w:p>
      <w:pPr>
        <w:widowControl/>
        <w:spacing w:line="576" w:lineRule="exact"/>
        <w:ind w:firstLine="640" w:firstLineChars="200"/>
        <w:rPr>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年本部门财政拨款支出决算总额</w:t>
      </w:r>
      <w:r>
        <w:rPr>
          <w:rFonts w:hint="eastAsia" w:ascii="仿宋" w:hAnsi="仿宋" w:eastAsia="仿宋" w:cs="仿宋"/>
          <w:color w:val="000000"/>
          <w:kern w:val="0"/>
          <w:sz w:val="32"/>
          <w:szCs w:val="32"/>
          <w:lang w:val="en-US" w:eastAsia="zh-CN"/>
        </w:rPr>
        <w:t>340.78</w:t>
      </w:r>
      <w:r>
        <w:rPr>
          <w:rFonts w:hint="eastAsia" w:ascii="仿宋" w:hAnsi="仿宋" w:eastAsia="仿宋" w:cs="仿宋"/>
          <w:color w:val="000000"/>
          <w:kern w:val="0"/>
          <w:sz w:val="32"/>
          <w:szCs w:val="32"/>
        </w:rPr>
        <w:t>万元。其中按功能分类，一般公共服务支出</w:t>
      </w:r>
      <w:r>
        <w:rPr>
          <w:rFonts w:hint="eastAsia" w:ascii="仿宋" w:hAnsi="仿宋" w:eastAsia="仿宋" w:cs="仿宋"/>
          <w:color w:val="000000"/>
          <w:kern w:val="0"/>
          <w:sz w:val="32"/>
          <w:szCs w:val="32"/>
          <w:lang w:val="en-US" w:eastAsia="zh-CN"/>
        </w:rPr>
        <w:t>269.58</w:t>
      </w:r>
      <w:r>
        <w:rPr>
          <w:rFonts w:hint="eastAsia" w:ascii="仿宋" w:hAnsi="仿宋" w:eastAsia="仿宋" w:cs="仿宋"/>
          <w:color w:val="000000"/>
          <w:kern w:val="0"/>
          <w:sz w:val="32"/>
          <w:szCs w:val="32"/>
        </w:rPr>
        <w:t>万元、社会保障和就业支出</w:t>
      </w:r>
      <w:r>
        <w:rPr>
          <w:rFonts w:hint="eastAsia" w:ascii="仿宋" w:hAnsi="仿宋" w:eastAsia="仿宋" w:cs="仿宋"/>
          <w:color w:val="000000"/>
          <w:kern w:val="0"/>
          <w:sz w:val="32"/>
          <w:szCs w:val="32"/>
          <w:lang w:val="en-US" w:eastAsia="zh-CN"/>
        </w:rPr>
        <w:t>33.52</w:t>
      </w:r>
      <w:r>
        <w:rPr>
          <w:rFonts w:hint="eastAsia" w:ascii="仿宋" w:hAnsi="仿宋" w:eastAsia="仿宋" w:cs="仿宋"/>
          <w:color w:val="000000"/>
          <w:kern w:val="0"/>
          <w:sz w:val="32"/>
          <w:szCs w:val="32"/>
        </w:rPr>
        <w:t>万元、医疗卫生与计划生育支出</w:t>
      </w:r>
      <w:r>
        <w:rPr>
          <w:rFonts w:hint="eastAsia" w:ascii="仿宋" w:hAnsi="仿宋" w:eastAsia="仿宋" w:cs="仿宋"/>
          <w:color w:val="000000"/>
          <w:kern w:val="0"/>
          <w:sz w:val="32"/>
          <w:szCs w:val="32"/>
          <w:lang w:val="en-US" w:eastAsia="zh-CN"/>
        </w:rPr>
        <w:t>16.14</w:t>
      </w:r>
      <w:r>
        <w:rPr>
          <w:rFonts w:hint="eastAsia" w:ascii="仿宋" w:hAnsi="仿宋" w:eastAsia="仿宋" w:cs="仿宋"/>
          <w:color w:val="000000"/>
          <w:kern w:val="0"/>
          <w:sz w:val="32"/>
          <w:szCs w:val="32"/>
        </w:rPr>
        <w:t>万元、住房保障支出</w:t>
      </w:r>
      <w:r>
        <w:rPr>
          <w:rFonts w:hint="eastAsia" w:ascii="仿宋" w:hAnsi="仿宋" w:eastAsia="仿宋" w:cs="仿宋"/>
          <w:color w:val="000000"/>
          <w:kern w:val="0"/>
          <w:sz w:val="32"/>
          <w:szCs w:val="32"/>
          <w:lang w:val="en-US" w:eastAsia="zh-CN"/>
        </w:rPr>
        <w:t>21.54</w:t>
      </w:r>
      <w:r>
        <w:rPr>
          <w:rFonts w:hint="eastAsia" w:ascii="仿宋" w:hAnsi="仿宋" w:eastAsia="仿宋" w:cs="仿宋"/>
          <w:color w:val="000000"/>
          <w:kern w:val="0"/>
          <w:sz w:val="32"/>
          <w:szCs w:val="32"/>
        </w:rPr>
        <w:t>万元；按支出性质分类，基本支出</w:t>
      </w:r>
      <w:r>
        <w:rPr>
          <w:rFonts w:hint="eastAsia" w:ascii="仿宋" w:hAnsi="仿宋" w:eastAsia="仿宋" w:cs="仿宋"/>
          <w:color w:val="000000"/>
          <w:kern w:val="0"/>
          <w:sz w:val="32"/>
          <w:szCs w:val="32"/>
          <w:lang w:val="en-US" w:eastAsia="zh-CN"/>
        </w:rPr>
        <w:t>275.14</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，项目支出</w:t>
      </w:r>
      <w:r>
        <w:rPr>
          <w:rFonts w:hint="eastAsia" w:ascii="仿宋" w:hAnsi="仿宋" w:eastAsia="仿宋" w:cs="仿宋"/>
          <w:color w:val="000000"/>
          <w:kern w:val="0"/>
          <w:sz w:val="32"/>
          <w:szCs w:val="32"/>
          <w:lang w:val="en-US" w:eastAsia="zh-CN"/>
        </w:rPr>
        <w:t>65.64万元</w:t>
      </w:r>
      <w:r>
        <w:rPr>
          <w:rFonts w:hint="eastAsia" w:ascii="仿宋" w:hAnsi="仿宋" w:eastAsia="仿宋" w:cs="仿宋"/>
          <w:color w:val="000000"/>
          <w:kern w:val="0"/>
          <w:sz w:val="32"/>
          <w:szCs w:val="32"/>
        </w:rPr>
        <w:t>；按经济分类，工资福利支出</w:t>
      </w:r>
      <w:r>
        <w:rPr>
          <w:rFonts w:hint="eastAsia" w:ascii="仿宋" w:hAnsi="仿宋" w:eastAsia="仿宋" w:cs="仿宋"/>
          <w:color w:val="000000"/>
          <w:kern w:val="0"/>
          <w:sz w:val="32"/>
          <w:szCs w:val="32"/>
          <w:lang w:val="en-US" w:eastAsia="zh-CN"/>
        </w:rPr>
        <w:t>246.72</w:t>
      </w:r>
      <w:r>
        <w:rPr>
          <w:rFonts w:hint="eastAsia" w:ascii="仿宋" w:hAnsi="仿宋" w:eastAsia="仿宋" w:cs="仿宋"/>
          <w:color w:val="000000"/>
          <w:kern w:val="0"/>
          <w:sz w:val="32"/>
          <w:szCs w:val="32"/>
        </w:rPr>
        <w:t>万元，商品服务支出</w:t>
      </w:r>
      <w:r>
        <w:rPr>
          <w:rFonts w:hint="eastAsia" w:ascii="仿宋" w:hAnsi="仿宋" w:eastAsia="仿宋" w:cs="仿宋"/>
          <w:color w:val="000000"/>
          <w:kern w:val="0"/>
          <w:sz w:val="32"/>
          <w:szCs w:val="32"/>
          <w:lang w:val="en-US" w:eastAsia="zh-CN"/>
        </w:rPr>
        <w:t>17.54</w:t>
      </w:r>
      <w:r>
        <w:rPr>
          <w:rFonts w:hint="eastAsia" w:ascii="仿宋" w:hAnsi="仿宋" w:eastAsia="仿宋" w:cs="仿宋"/>
          <w:color w:val="000000"/>
          <w:kern w:val="0"/>
          <w:sz w:val="32"/>
          <w:szCs w:val="32"/>
        </w:rPr>
        <w:t>万元，个人及家庭补助支出</w:t>
      </w:r>
      <w:r>
        <w:rPr>
          <w:rFonts w:hint="eastAsia" w:ascii="仿宋" w:hAnsi="仿宋" w:eastAsia="仿宋" w:cs="仿宋"/>
          <w:color w:val="000000"/>
          <w:kern w:val="0"/>
          <w:sz w:val="32"/>
          <w:szCs w:val="32"/>
          <w:lang w:val="en-US" w:eastAsia="zh-CN"/>
        </w:rPr>
        <w:t>10.9</w:t>
      </w:r>
      <w:r>
        <w:rPr>
          <w:rFonts w:hint="eastAsia" w:ascii="仿宋" w:hAnsi="仿宋" w:eastAsia="仿宋" w:cs="仿宋"/>
          <w:color w:val="000000"/>
          <w:kern w:val="0"/>
          <w:sz w:val="32"/>
          <w:szCs w:val="32"/>
        </w:rPr>
        <w:t>万元。</w:t>
      </w:r>
    </w:p>
    <w:p>
      <w:pPr>
        <w:pStyle w:val="3"/>
        <w:spacing w:before="0" w:after="0" w:line="576" w:lineRule="exact"/>
        <w:ind w:firstLine="704" w:firstLineChars="220"/>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spacing w:before="0" w:after="0" w:line="576" w:lineRule="exact"/>
        <w:ind w:firstLine="478" w:firstLineChars="149"/>
        <w:rPr>
          <w:rFonts w:ascii="仿宋" w:hAnsi="仿宋" w:eastAsia="仿宋" w:cs="Times New Roman"/>
          <w:color w:val="000000"/>
        </w:rPr>
      </w:pPr>
      <w:r>
        <w:rPr>
          <w:rFonts w:hint="eastAsia" w:ascii="楷体_GB2312" w:hAnsi="仿宋" w:eastAsia="楷体_GB2312" w:cs="楷体_GB2312"/>
        </w:rPr>
        <w:t>（一）部门预算管理</w:t>
      </w:r>
    </w:p>
    <w:p>
      <w:pPr>
        <w:widowControl/>
        <w:spacing w:line="576"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单位认真学习贯彻党的十九大、省第十一次党代会和省委十一届三次、四次全会精神，以习近平新时代中国特色社会主义思想为指导，根据职能职责积极谋划，确定目标任务，积极发挥公共财政职能作用，推动落实稳增长、促改革、调结构、惠民生、防风险各项工作。</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一是按照 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 xml:space="preserve"> 年部门预算编审要求，根据我单位职能职责，结合中长期规划和年度工作计划，明确了年度主要工作任务及年度内履职所要达到的总体产出和效果，认真填报了我单位整体支出绩效目标第四次经济普查项目</w:t>
      </w:r>
      <w:r>
        <w:rPr>
          <w:rFonts w:ascii="仿宋" w:hAnsi="仿宋" w:eastAsia="仿宋" w:cs="仿宋"/>
          <w:color w:val="000000"/>
          <w:kern w:val="0"/>
          <w:sz w:val="32"/>
          <w:szCs w:val="32"/>
        </w:rPr>
        <w:t>22</w:t>
      </w:r>
      <w:r>
        <w:rPr>
          <w:rFonts w:hint="eastAsia" w:ascii="仿宋" w:hAnsi="仿宋" w:eastAsia="仿宋" w:cs="仿宋"/>
          <w:color w:val="000000"/>
          <w:kern w:val="0"/>
          <w:sz w:val="32"/>
          <w:szCs w:val="32"/>
        </w:rPr>
        <w:t>万元以上专用项目绩效目标，具体说明了项目概况，设定了年度绩效数量指标、成本指标效益指标等，详细反映了相应项目工作任务、达成的效果。</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成目标可能性及时间。有效使用财政资金，提高财政资金使用效益，保障了本单位工作顺利开展。</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三是按照财政部门统一部署，本单位于</w:t>
      </w:r>
      <w:r>
        <w:rPr>
          <w:rFonts w:ascii="仿宋" w:hAnsi="仿宋" w:eastAsia="仿宋" w:cs="仿宋"/>
          <w:color w:val="000000"/>
          <w:kern w:val="0"/>
          <w:sz w:val="32"/>
          <w:szCs w:val="32"/>
        </w:rPr>
        <w:t xml:space="preserve"> 2019</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w:t>
      </w:r>
      <w:r>
        <w:rPr>
          <w:rFonts w:ascii="仿宋" w:hAnsi="仿宋" w:eastAsia="仿宋" w:cs="仿宋"/>
          <w:color w:val="000000"/>
          <w:kern w:val="0"/>
          <w:sz w:val="32"/>
          <w:szCs w:val="32"/>
        </w:rPr>
        <w:t>25</w:t>
      </w:r>
      <w:r>
        <w:rPr>
          <w:rFonts w:hint="eastAsia" w:ascii="仿宋" w:hAnsi="仿宋" w:eastAsia="仿宋" w:cs="仿宋"/>
          <w:color w:val="000000"/>
          <w:kern w:val="0"/>
          <w:sz w:val="32"/>
          <w:szCs w:val="32"/>
        </w:rPr>
        <w:t>日按要求公开绩效目标管理情况及部门整体支出绩效自评开展情况。</w:t>
      </w:r>
    </w:p>
    <w:p>
      <w:pPr>
        <w:widowControl/>
        <w:spacing w:line="576" w:lineRule="exact"/>
        <w:ind w:firstLine="706" w:firstLineChars="220"/>
        <w:jc w:val="left"/>
        <w:rPr>
          <w:rStyle w:val="17"/>
          <w:rFonts w:ascii="黑体" w:hAnsi="黑体" w:eastAsia="黑体" w:cs="Times New Roman"/>
          <w:b w:val="0"/>
          <w:bCs w:val="0"/>
        </w:rPr>
      </w:pPr>
      <w:r>
        <w:rPr>
          <w:rFonts w:hint="eastAsia" w:ascii="楷体" w:hAnsi="楷体" w:eastAsia="楷体" w:cs="楷体"/>
          <w:b/>
          <w:bCs/>
          <w:color w:val="000000"/>
          <w:kern w:val="0"/>
          <w:sz w:val="32"/>
          <w:szCs w:val="32"/>
        </w:rPr>
        <w:t>（二）专项预算管理</w:t>
      </w:r>
    </w:p>
    <w:p>
      <w:pPr>
        <w:widowControl/>
        <w:spacing w:line="576" w:lineRule="exact"/>
        <w:ind w:firstLine="640" w:firstLineChars="200"/>
        <w:jc w:val="left"/>
        <w:rPr>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年度本部门无专项预算。</w:t>
      </w:r>
    </w:p>
    <w:p>
      <w:pPr>
        <w:pStyle w:val="3"/>
        <w:spacing w:before="0" w:after="0" w:line="576" w:lineRule="exact"/>
        <w:ind w:firstLine="629" w:firstLineChars="196"/>
        <w:rPr>
          <w:rFonts w:ascii="仿宋" w:hAnsi="仿宋" w:eastAsia="仿宋" w:cs="Times New Roman"/>
        </w:rPr>
      </w:pPr>
      <w:r>
        <w:rPr>
          <w:rFonts w:hint="eastAsia" w:ascii="楷体_GB2312" w:hAnsi="仿宋" w:eastAsia="楷体_GB2312" w:cs="楷体_GB2312"/>
        </w:rPr>
        <w:t>（三）结果应用情况</w:t>
      </w:r>
    </w:p>
    <w:p>
      <w:pPr>
        <w:widowControl/>
        <w:spacing w:line="576" w:lineRule="exact"/>
        <w:ind w:firstLine="640" w:firstLineChars="200"/>
        <w:rPr>
          <w:sz w:val="32"/>
          <w:szCs w:val="32"/>
        </w:rPr>
      </w:pPr>
      <w:r>
        <w:rPr>
          <w:rFonts w:hint="eastAsia" w:ascii="仿宋" w:hAnsi="仿宋" w:eastAsia="仿宋" w:cs="仿宋"/>
          <w:color w:val="000000"/>
          <w:kern w:val="0"/>
          <w:sz w:val="32"/>
          <w:szCs w:val="32"/>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numPr>
          <w:ilvl w:val="0"/>
          <w:numId w:val="6"/>
        </w:numPr>
        <w:spacing w:before="0" w:after="0" w:line="576" w:lineRule="exact"/>
        <w:rPr>
          <w:rStyle w:val="17"/>
          <w:rFonts w:ascii="黑体" w:hAnsi="黑体" w:eastAsia="黑体" w:cs="Times New Roman"/>
          <w:b w:val="0"/>
          <w:bCs w:val="0"/>
        </w:rPr>
      </w:pPr>
      <w:r>
        <w:rPr>
          <w:rFonts w:hint="eastAsia" w:ascii="黑体" w:hAnsi="黑体" w:eastAsia="黑体" w:cs="黑体"/>
          <w:b w:val="0"/>
          <w:bCs w:val="0"/>
        </w:rPr>
        <w:t>评价结论及建议</w:t>
      </w:r>
    </w:p>
    <w:p>
      <w:pPr>
        <w:widowControl/>
        <w:numPr>
          <w:ilvl w:val="0"/>
          <w:numId w:val="7"/>
        </w:numPr>
        <w:spacing w:line="576" w:lineRule="exact"/>
        <w:ind w:firstLine="706" w:firstLineChars="220"/>
        <w:jc w:val="left"/>
        <w:rPr>
          <w:sz w:val="32"/>
          <w:szCs w:val="32"/>
        </w:rPr>
      </w:pPr>
      <w:r>
        <w:rPr>
          <w:rFonts w:hint="eastAsia" w:ascii="楷体_GB2312" w:hAnsi="仿宋" w:eastAsia="楷体_GB2312" w:cs="楷体_GB2312"/>
          <w:b/>
          <w:bCs/>
          <w:sz w:val="32"/>
          <w:szCs w:val="32"/>
        </w:rPr>
        <w:t>评价结论</w:t>
      </w:r>
    </w:p>
    <w:p>
      <w:pPr>
        <w:widowControl/>
        <w:spacing w:line="576" w:lineRule="exact"/>
        <w:ind w:firstLine="640" w:firstLineChars="200"/>
        <w:jc w:val="left"/>
        <w:rPr>
          <w:rFonts w:ascii="仿宋" w:hAnsi="仿宋" w:eastAsia="仿宋"/>
          <w:color w:val="000000"/>
          <w:kern w:val="0"/>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年我部门整体支出绩效评价自查自评结果良好，全年基本支出保证了部门的正常运行和日常工作的正常开展，项目支出保障了重点工作的开展，达到预期绩效目标，按照</w:t>
      </w: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年部门整体支出绩效评价指标体系自评得分</w:t>
      </w:r>
      <w:r>
        <w:rPr>
          <w:rFonts w:ascii="仿宋" w:hAnsi="仿宋" w:eastAsia="仿宋" w:cs="仿宋"/>
          <w:color w:val="000000"/>
          <w:kern w:val="0"/>
          <w:sz w:val="32"/>
          <w:szCs w:val="32"/>
        </w:rPr>
        <w:t>97</w:t>
      </w:r>
      <w:r>
        <w:rPr>
          <w:rFonts w:hint="eastAsia" w:ascii="仿宋" w:hAnsi="仿宋" w:eastAsia="仿宋" w:cs="仿宋"/>
          <w:color w:val="000000"/>
          <w:kern w:val="0"/>
          <w:sz w:val="32"/>
          <w:szCs w:val="32"/>
        </w:rPr>
        <w:t>分。</w:t>
      </w:r>
    </w:p>
    <w:p>
      <w:pPr>
        <w:widowControl/>
        <w:spacing w:line="576" w:lineRule="exact"/>
        <w:ind w:firstLine="642" w:firstLineChars="200"/>
        <w:jc w:val="left"/>
        <w:rPr>
          <w:rStyle w:val="17"/>
          <w:rFonts w:ascii="楷体_GB2312" w:hAnsi="黑体" w:eastAsia="楷体_GB2312" w:cs="Times New Roman"/>
          <w:b w:val="0"/>
          <w:bCs w:val="0"/>
        </w:rPr>
      </w:pPr>
      <w:r>
        <w:rPr>
          <w:rFonts w:hint="eastAsia" w:ascii="楷体_GB2312" w:hAnsi="仿宋" w:eastAsia="楷体_GB2312" w:cs="楷体_GB2312"/>
          <w:b/>
          <w:bCs/>
          <w:sz w:val="32"/>
          <w:szCs w:val="32"/>
        </w:rPr>
        <w:t>（二）存在问题</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绩效目标设定有待更科学更合理。</w:t>
      </w:r>
    </w:p>
    <w:p>
      <w:pPr>
        <w:widowControl/>
        <w:spacing w:line="576" w:lineRule="exact"/>
        <w:ind w:firstLine="629" w:firstLineChars="196"/>
        <w:jc w:val="left"/>
        <w:rPr>
          <w:rStyle w:val="17"/>
          <w:rFonts w:ascii="楷体_GB2312" w:hAnsi="楷体" w:eastAsia="楷体_GB2312" w:cs="Times New Roman"/>
          <w:b w:val="0"/>
          <w:bCs w:val="0"/>
        </w:rPr>
      </w:pPr>
      <w:r>
        <w:rPr>
          <w:rFonts w:hint="eastAsia" w:ascii="楷体_GB2312" w:hAnsi="仿宋" w:eastAsia="楷体_GB2312" w:cs="楷体_GB2312"/>
          <w:b/>
          <w:bCs/>
          <w:sz w:val="32"/>
          <w:szCs w:val="32"/>
        </w:rPr>
        <w:t>（三）改进建议</w:t>
      </w:r>
    </w:p>
    <w:p>
      <w:pPr>
        <w:widowControl/>
        <w:spacing w:line="576" w:lineRule="exact"/>
        <w:ind w:firstLine="800" w:firstLineChars="250"/>
        <w:jc w:val="left"/>
      </w:pPr>
      <w:r>
        <w:rPr>
          <w:rFonts w:hint="eastAsia" w:ascii="仿宋" w:hAnsi="仿宋" w:eastAsia="仿宋" w:cs="仿宋"/>
          <w:color w:val="000000"/>
          <w:kern w:val="0"/>
          <w:sz w:val="32"/>
          <w:szCs w:val="32"/>
        </w:rPr>
        <w:t>针对存在的问题，我们将进一步科学设定绩效目标，加</w:t>
      </w:r>
      <w:r>
        <w:rPr>
          <w:rFonts w:hint="eastAsia" w:ascii="仿宋_GB2312" w:hAnsi="仿宋" w:eastAsia="仿宋_GB2312" w:cs="仿宋_GB2312"/>
          <w:color w:val="000000"/>
          <w:kern w:val="0"/>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widowControl/>
        <w:jc w:val="left"/>
      </w:pPr>
    </w:p>
    <w:p>
      <w:pPr>
        <w:widowControl/>
        <w:jc w:val="left"/>
      </w:pPr>
    </w:p>
    <w:p>
      <w:pPr>
        <w:spacing w:line="580" w:lineRule="exact"/>
        <w:jc w:val="center"/>
        <w:rPr>
          <w:rFonts w:ascii="方正小标宋简体" w:hAnsi="黑体" w:eastAsia="方正小标宋简体"/>
          <w:color w:val="000000"/>
          <w:sz w:val="44"/>
          <w:szCs w:val="44"/>
        </w:rPr>
      </w:pPr>
      <w:bookmarkStart w:id="41" w:name="_Toc15396618"/>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Style w:val="16"/>
          <w:rFonts w:ascii="方正小标宋简体" w:hAnsi="黑体" w:eastAsia="方正小标宋简体"/>
          <w:b w:val="0"/>
          <w:bCs w:val="0"/>
        </w:rPr>
      </w:pPr>
      <w:r>
        <w:rPr>
          <w:rFonts w:hint="eastAsia" w:ascii="方正小标宋简体" w:hAnsi="黑体" w:eastAsia="方正小标宋简体" w:cs="方正小标宋简体"/>
          <w:color w:val="000000"/>
          <w:sz w:val="44"/>
          <w:szCs w:val="44"/>
        </w:rPr>
        <w:t>第</w:t>
      </w:r>
      <w:r>
        <w:rPr>
          <w:rStyle w:val="16"/>
          <w:rFonts w:hint="eastAsia" w:ascii="方正小标宋简体" w:hAnsi="黑体" w:eastAsia="方正小标宋简体" w:cs="方正小标宋简体"/>
          <w:b w:val="0"/>
          <w:bCs w:val="0"/>
        </w:rPr>
        <w:t>五部分附表</w:t>
      </w:r>
      <w:bookmarkEnd w:id="40"/>
      <w:bookmarkEnd w:id="41"/>
    </w:p>
    <w:p>
      <w:pPr>
        <w:spacing w:line="580" w:lineRule="exact"/>
        <w:jc w:val="center"/>
        <w:rPr>
          <w:rStyle w:val="16"/>
          <w:rFonts w:ascii="方正小标宋简体" w:hAnsi="黑体" w:eastAsia="方正小标宋简体"/>
          <w:b w:val="0"/>
          <w:bCs w:val="0"/>
        </w:rPr>
      </w:pPr>
    </w:p>
    <w:p>
      <w:pPr>
        <w:pStyle w:val="3"/>
        <w:spacing w:before="0" w:after="0" w:line="576" w:lineRule="exact"/>
        <w:rPr>
          <w:rFonts w:ascii="仿宋_GB2312" w:hAnsi="黑体" w:eastAsia="仿宋_GB2312" w:cs="Times New Roman"/>
          <w:color w:val="000000"/>
        </w:rPr>
      </w:pPr>
      <w:bookmarkStart w:id="42" w:name="_Toc15396619"/>
      <w:r>
        <w:rPr>
          <w:rFonts w:hint="eastAsia" w:ascii="仿宋_GB2312" w:hAnsi="黑体" w:eastAsia="仿宋_GB2312" w:cs="仿宋_GB2312"/>
          <w:b w:val="0"/>
          <w:bCs w:val="0"/>
          <w:color w:val="000000"/>
        </w:rPr>
        <w:t>一、收</w:t>
      </w:r>
      <w:r>
        <w:rPr>
          <w:rStyle w:val="17"/>
          <w:rFonts w:hint="eastAsia" w:ascii="仿宋_GB2312" w:hAnsi="黑体" w:eastAsia="仿宋_GB2312" w:cs="仿宋_GB2312"/>
          <w:b w:val="0"/>
          <w:bCs w:val="0"/>
        </w:rPr>
        <w:t>入支出决算总表</w:t>
      </w:r>
      <w:bookmarkEnd w:id="42"/>
    </w:p>
    <w:p>
      <w:pPr>
        <w:pStyle w:val="3"/>
        <w:spacing w:before="0" w:after="0" w:line="576" w:lineRule="exact"/>
        <w:rPr>
          <w:rFonts w:ascii="仿宋_GB2312" w:hAnsi="黑体" w:eastAsia="仿宋_GB2312" w:cs="Times New Roman"/>
          <w:color w:val="000000"/>
        </w:rPr>
      </w:pPr>
      <w:bookmarkStart w:id="43" w:name="_Toc15396620"/>
      <w:r>
        <w:rPr>
          <w:rFonts w:hint="eastAsia" w:ascii="仿宋_GB2312" w:hAnsi="黑体" w:eastAsia="仿宋_GB2312" w:cs="仿宋_GB2312"/>
          <w:b w:val="0"/>
          <w:bCs w:val="0"/>
          <w:color w:val="000000"/>
        </w:rPr>
        <w:t>二、收</w:t>
      </w:r>
      <w:r>
        <w:rPr>
          <w:rStyle w:val="17"/>
          <w:rFonts w:hint="eastAsia" w:ascii="仿宋_GB2312" w:hAnsi="黑体" w:eastAsia="仿宋_GB2312" w:cs="仿宋_GB2312"/>
          <w:b w:val="0"/>
          <w:bCs w:val="0"/>
        </w:rPr>
        <w:t>入总表</w:t>
      </w:r>
      <w:bookmarkEnd w:id="43"/>
    </w:p>
    <w:p>
      <w:pPr>
        <w:pStyle w:val="3"/>
        <w:spacing w:before="0" w:after="0" w:line="576" w:lineRule="exact"/>
        <w:rPr>
          <w:rFonts w:ascii="仿宋_GB2312" w:hAnsi="黑体" w:eastAsia="仿宋_GB2312" w:cs="Times New Roman"/>
          <w:color w:val="000000"/>
        </w:rPr>
      </w:pPr>
      <w:bookmarkStart w:id="44" w:name="_Toc15396621"/>
      <w:r>
        <w:rPr>
          <w:rStyle w:val="17"/>
          <w:rFonts w:hint="eastAsia" w:ascii="仿宋_GB2312" w:hAnsi="黑体" w:eastAsia="仿宋_GB2312" w:cs="仿宋_GB2312"/>
          <w:b w:val="0"/>
          <w:bCs w:val="0"/>
        </w:rPr>
        <w:t>三、</w:t>
      </w:r>
      <w:r>
        <w:rPr>
          <w:rFonts w:hint="eastAsia" w:ascii="仿宋_GB2312" w:hAnsi="黑体" w:eastAsia="仿宋_GB2312" w:cs="仿宋_GB2312"/>
          <w:b w:val="0"/>
          <w:bCs w:val="0"/>
          <w:color w:val="000000"/>
        </w:rPr>
        <w:t>支</w:t>
      </w:r>
      <w:r>
        <w:rPr>
          <w:rStyle w:val="17"/>
          <w:rFonts w:hint="eastAsia" w:ascii="仿宋_GB2312" w:hAnsi="黑体" w:eastAsia="仿宋_GB2312" w:cs="仿宋_GB2312"/>
          <w:b w:val="0"/>
          <w:bCs w:val="0"/>
        </w:rPr>
        <w:t>出总表</w:t>
      </w:r>
      <w:bookmarkEnd w:id="44"/>
    </w:p>
    <w:p>
      <w:pPr>
        <w:pStyle w:val="3"/>
        <w:spacing w:before="0" w:after="0" w:line="576" w:lineRule="exact"/>
        <w:rPr>
          <w:rFonts w:ascii="仿宋_GB2312" w:hAnsi="黑体" w:eastAsia="仿宋_GB2312" w:cs="Times New Roman"/>
          <w:b w:val="0"/>
          <w:bCs w:val="0"/>
          <w:color w:val="000000"/>
        </w:rPr>
      </w:pPr>
      <w:bookmarkStart w:id="45" w:name="_Toc15396622"/>
      <w:r>
        <w:rPr>
          <w:rStyle w:val="17"/>
          <w:rFonts w:hint="eastAsia" w:ascii="仿宋_GB2312" w:hAnsi="黑体" w:eastAsia="仿宋_GB2312" w:cs="仿宋_GB2312"/>
          <w:b w:val="0"/>
          <w:bCs w:val="0"/>
        </w:rPr>
        <w:t>四、</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政拨款收入支出决算总表</w:t>
      </w:r>
      <w:bookmarkEnd w:id="45"/>
    </w:p>
    <w:p>
      <w:pPr>
        <w:pStyle w:val="3"/>
        <w:spacing w:before="0" w:after="0" w:line="576" w:lineRule="exact"/>
        <w:rPr>
          <w:rFonts w:ascii="仿宋_GB2312" w:hAnsi="黑体" w:eastAsia="仿宋_GB2312" w:cs="Times New Roman"/>
          <w:color w:val="000000"/>
        </w:rPr>
      </w:pPr>
      <w:bookmarkStart w:id="46" w:name="_Toc15396623"/>
      <w:r>
        <w:rPr>
          <w:rStyle w:val="17"/>
          <w:rFonts w:hint="eastAsia" w:ascii="仿宋_GB2312" w:hAnsi="黑体" w:eastAsia="仿宋_GB2312" w:cs="仿宋_GB2312"/>
          <w:b w:val="0"/>
          <w:bCs w:val="0"/>
        </w:rPr>
        <w:t>五、</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政拨款支出决算明细表（政府经济分类科目）</w:t>
      </w:r>
      <w:bookmarkEnd w:id="46"/>
    </w:p>
    <w:p>
      <w:pPr>
        <w:pStyle w:val="3"/>
        <w:spacing w:before="0" w:after="0" w:line="576" w:lineRule="exact"/>
        <w:rPr>
          <w:rFonts w:ascii="仿宋_GB2312" w:hAnsi="黑体" w:eastAsia="仿宋_GB2312" w:cs="Times New Roman"/>
          <w:color w:val="000000"/>
        </w:rPr>
      </w:pPr>
      <w:bookmarkStart w:id="47" w:name="_Toc15396624"/>
      <w:r>
        <w:rPr>
          <w:rStyle w:val="17"/>
          <w:rFonts w:hint="eastAsia" w:ascii="仿宋_GB2312" w:hAnsi="黑体" w:eastAsia="仿宋_GB2312" w:cs="仿宋_GB2312"/>
          <w:b w:val="0"/>
          <w:bCs w:val="0"/>
        </w:rPr>
        <w:t>六、</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般公共预算财政拨款支出决算表</w:t>
      </w:r>
      <w:bookmarkEnd w:id="47"/>
    </w:p>
    <w:p>
      <w:pPr>
        <w:pStyle w:val="3"/>
        <w:spacing w:before="0" w:after="0" w:line="576" w:lineRule="exact"/>
        <w:rPr>
          <w:rFonts w:ascii="仿宋_GB2312" w:hAnsi="黑体" w:eastAsia="仿宋_GB2312" w:cs="Times New Roman"/>
          <w:color w:val="000000"/>
        </w:rPr>
      </w:pPr>
      <w:bookmarkStart w:id="48" w:name="_Toc15396625"/>
      <w:r>
        <w:rPr>
          <w:rStyle w:val="17"/>
          <w:rFonts w:hint="eastAsia" w:ascii="仿宋_GB2312" w:hAnsi="黑体" w:eastAsia="仿宋_GB2312" w:cs="仿宋_GB2312"/>
          <w:b w:val="0"/>
          <w:bCs w:val="0"/>
        </w:rPr>
        <w:t>七、</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般公共预算财政拨款支出决算明细表</w:t>
      </w:r>
      <w:bookmarkEnd w:id="48"/>
    </w:p>
    <w:p>
      <w:pPr>
        <w:pStyle w:val="3"/>
        <w:spacing w:before="0" w:after="0" w:line="576" w:lineRule="exact"/>
        <w:rPr>
          <w:rFonts w:ascii="仿宋_GB2312" w:hAnsi="黑体" w:eastAsia="仿宋_GB2312" w:cs="Times New Roman"/>
          <w:color w:val="000000"/>
        </w:rPr>
      </w:pPr>
      <w:bookmarkStart w:id="49" w:name="_Toc15396626"/>
      <w:r>
        <w:rPr>
          <w:rStyle w:val="17"/>
          <w:rFonts w:hint="eastAsia" w:ascii="仿宋_GB2312" w:hAnsi="黑体" w:eastAsia="仿宋_GB2312" w:cs="仿宋_GB2312"/>
          <w:b w:val="0"/>
          <w:bCs w:val="0"/>
        </w:rPr>
        <w:t>八、</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般公共预算财政拨款基本支出决算表</w:t>
      </w:r>
      <w:bookmarkEnd w:id="49"/>
    </w:p>
    <w:p>
      <w:pPr>
        <w:pStyle w:val="3"/>
        <w:spacing w:before="0" w:after="0" w:line="576" w:lineRule="exact"/>
        <w:rPr>
          <w:rFonts w:ascii="仿宋_GB2312" w:hAnsi="黑体" w:eastAsia="仿宋_GB2312" w:cs="Times New Roman"/>
          <w:color w:val="000000"/>
        </w:rPr>
      </w:pPr>
      <w:bookmarkStart w:id="50" w:name="_Toc15396627"/>
      <w:r>
        <w:rPr>
          <w:rStyle w:val="17"/>
          <w:rFonts w:hint="eastAsia" w:ascii="仿宋_GB2312" w:hAnsi="黑体" w:eastAsia="仿宋_GB2312" w:cs="仿宋_GB2312"/>
          <w:b w:val="0"/>
          <w:bCs w:val="0"/>
        </w:rPr>
        <w:t>九、</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般公共预算财政拨款项目支出决算表</w:t>
      </w:r>
      <w:bookmarkEnd w:id="50"/>
    </w:p>
    <w:p>
      <w:pPr>
        <w:pStyle w:val="3"/>
        <w:spacing w:before="0" w:after="0" w:line="576" w:lineRule="exact"/>
        <w:rPr>
          <w:rFonts w:ascii="仿宋_GB2312" w:hAnsi="黑体" w:eastAsia="仿宋_GB2312" w:cs="Times New Roman"/>
          <w:color w:val="000000"/>
        </w:rPr>
      </w:pPr>
      <w:bookmarkStart w:id="51" w:name="_Toc15396628"/>
      <w:r>
        <w:rPr>
          <w:rStyle w:val="17"/>
          <w:rFonts w:hint="eastAsia" w:ascii="仿宋_GB2312" w:hAnsi="黑体" w:eastAsia="仿宋_GB2312" w:cs="仿宋_GB2312"/>
          <w:b w:val="0"/>
          <w:bCs w:val="0"/>
        </w:rPr>
        <w:t>十、</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般公共预算财政拨款“三公”经费支出决算表</w:t>
      </w:r>
      <w:bookmarkEnd w:id="51"/>
    </w:p>
    <w:p>
      <w:pPr>
        <w:pStyle w:val="3"/>
        <w:spacing w:before="0" w:after="0" w:line="576" w:lineRule="exact"/>
        <w:rPr>
          <w:rFonts w:ascii="仿宋_GB2312" w:hAnsi="黑体" w:eastAsia="仿宋_GB2312" w:cs="Times New Roman"/>
          <w:color w:val="000000"/>
        </w:rPr>
      </w:pPr>
      <w:bookmarkStart w:id="52" w:name="_Toc15396629"/>
      <w:r>
        <w:rPr>
          <w:rStyle w:val="17"/>
          <w:rFonts w:hint="eastAsia" w:ascii="仿宋_GB2312" w:hAnsi="黑体" w:eastAsia="仿宋_GB2312" w:cs="仿宋_GB2312"/>
          <w:b w:val="0"/>
          <w:bCs w:val="0"/>
        </w:rPr>
        <w:t>十一、</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府性基金预算财政拨款收入支出决算表</w:t>
      </w:r>
      <w:bookmarkEnd w:id="52"/>
    </w:p>
    <w:p>
      <w:pPr>
        <w:pStyle w:val="3"/>
        <w:spacing w:before="0" w:after="0" w:line="576" w:lineRule="exact"/>
        <w:rPr>
          <w:rFonts w:ascii="仿宋_GB2312" w:hAnsi="黑体" w:eastAsia="仿宋_GB2312" w:cs="Times New Roman"/>
          <w:color w:val="000000"/>
        </w:rPr>
      </w:pPr>
      <w:bookmarkStart w:id="53" w:name="_Toc15396630"/>
      <w:r>
        <w:rPr>
          <w:rStyle w:val="17"/>
          <w:rFonts w:hint="eastAsia" w:ascii="仿宋_GB2312" w:hAnsi="黑体" w:eastAsia="仿宋_GB2312" w:cs="仿宋_GB2312"/>
          <w:b w:val="0"/>
          <w:bCs w:val="0"/>
        </w:rPr>
        <w:t>十二、</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府性基金预算财政拨款“三公”经费支出决算表</w:t>
      </w:r>
      <w:bookmarkEnd w:id="53"/>
    </w:p>
    <w:p>
      <w:pPr>
        <w:pStyle w:val="3"/>
        <w:spacing w:before="0" w:after="0" w:line="576" w:lineRule="exact"/>
        <w:rPr>
          <w:rStyle w:val="17"/>
          <w:rFonts w:ascii="仿宋_GB2312" w:hAnsi="黑体" w:eastAsia="仿宋_GB2312" w:cs="Times New Roman"/>
          <w:b w:val="0"/>
          <w:bCs w:val="0"/>
        </w:rPr>
      </w:pPr>
      <w:bookmarkStart w:id="54" w:name="_Toc15396631"/>
      <w:r>
        <w:rPr>
          <w:rStyle w:val="17"/>
          <w:rFonts w:hint="eastAsia" w:ascii="仿宋_GB2312" w:hAnsi="黑体" w:eastAsia="仿宋_GB2312" w:cs="仿宋_GB2312"/>
          <w:b w:val="0"/>
          <w:bCs w:val="0"/>
        </w:rPr>
        <w:t>十三、</w:t>
      </w:r>
      <w:r>
        <w:rPr>
          <w:rFonts w:hint="eastAsia" w:ascii="仿宋_GB2312" w:hAnsi="黑体" w:eastAsia="仿宋_GB2312" w:cs="仿宋_GB2312"/>
          <w:b w:val="0"/>
          <w:bCs w:val="0"/>
          <w:color w:val="000000"/>
        </w:rPr>
        <w:t>国</w:t>
      </w:r>
      <w:r>
        <w:rPr>
          <w:rStyle w:val="17"/>
          <w:rFonts w:hint="eastAsia" w:ascii="仿宋_GB2312" w:hAnsi="黑体" w:eastAsia="仿宋_GB2312" w:cs="仿宋_GB2312"/>
          <w:b w:val="0"/>
          <w:bCs w:val="0"/>
        </w:rPr>
        <w:t>有资本经营预算支出决算表</w:t>
      </w:r>
      <w:bookmarkEnd w:id="54"/>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27887"/>
    <w:multiLevelType w:val="singleLevel"/>
    <w:tmpl w:val="83F27887"/>
    <w:lvl w:ilvl="0" w:tentative="0">
      <w:start w:val="1"/>
      <w:numFmt w:val="decimal"/>
      <w:lvlText w:val="%1."/>
      <w:lvlJc w:val="left"/>
      <w:pPr>
        <w:tabs>
          <w:tab w:val="left" w:pos="312"/>
        </w:tabs>
      </w:pPr>
    </w:lvl>
  </w:abstractNum>
  <w:abstractNum w:abstractNumId="1">
    <w:nsid w:val="C80F7508"/>
    <w:multiLevelType w:val="singleLevel"/>
    <w:tmpl w:val="C80F7508"/>
    <w:lvl w:ilvl="0" w:tentative="0">
      <w:start w:val="1"/>
      <w:numFmt w:val="decimal"/>
      <w:lvlText w:val="%1."/>
      <w:lvlJc w:val="left"/>
      <w:pPr>
        <w:tabs>
          <w:tab w:val="left" w:pos="312"/>
        </w:tabs>
      </w:pPr>
    </w:lvl>
  </w:abstractNum>
  <w:abstractNum w:abstractNumId="2">
    <w:nsid w:val="F9E1C314"/>
    <w:multiLevelType w:val="singleLevel"/>
    <w:tmpl w:val="F9E1C314"/>
    <w:lvl w:ilvl="0" w:tentative="0">
      <w:start w:val="1"/>
      <w:numFmt w:val="chineseCounting"/>
      <w:suff w:val="nothing"/>
      <w:lvlText w:val="（%1）"/>
      <w:lvlJc w:val="left"/>
      <w:rPr>
        <w:rFonts w:hint="eastAsia"/>
      </w:rPr>
    </w:lvl>
  </w:abstractNum>
  <w:abstractNum w:abstractNumId="3">
    <w:nsid w:val="07C80167"/>
    <w:multiLevelType w:val="singleLevel"/>
    <w:tmpl w:val="07C80167"/>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2BE1651"/>
    <w:multiLevelType w:val="singleLevel"/>
    <w:tmpl w:val="22BE1651"/>
    <w:lvl w:ilvl="0" w:tentative="0">
      <w:start w:val="1"/>
      <w:numFmt w:val="chineseCounting"/>
      <w:suff w:val="nothing"/>
      <w:lvlText w:val="（%1）"/>
      <w:lvlJc w:val="left"/>
      <w:rPr>
        <w:rFonts w:hint="eastAsia" w:ascii="楷体_GB2312" w:eastAsia="楷体_GB2312"/>
        <w:b/>
        <w:bCs/>
        <w:sz w:val="32"/>
        <w:szCs w:val="32"/>
      </w:rPr>
    </w:lvl>
  </w:abstractNum>
  <w:abstractNum w:abstractNumId="6">
    <w:nsid w:val="59BF8E2E"/>
    <w:multiLevelType w:val="singleLevel"/>
    <w:tmpl w:val="59BF8E2E"/>
    <w:lvl w:ilvl="0" w:tentative="0">
      <w:start w:val="3"/>
      <w:numFmt w:val="decimal"/>
      <w:suff w:val="nothing"/>
      <w:lvlText w:val="%1."/>
      <w:lvlJc w:val="left"/>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15C2"/>
    <w:rsid w:val="000222C6"/>
    <w:rsid w:val="0002549F"/>
    <w:rsid w:val="000605AF"/>
    <w:rsid w:val="0006487A"/>
    <w:rsid w:val="00065F8F"/>
    <w:rsid w:val="000768F2"/>
    <w:rsid w:val="0009184B"/>
    <w:rsid w:val="0009593C"/>
    <w:rsid w:val="000B047F"/>
    <w:rsid w:val="000B3A0E"/>
    <w:rsid w:val="000B5923"/>
    <w:rsid w:val="000B5A48"/>
    <w:rsid w:val="000B6FF3"/>
    <w:rsid w:val="000C3467"/>
    <w:rsid w:val="000C3CA6"/>
    <w:rsid w:val="000D1267"/>
    <w:rsid w:val="000D1D50"/>
    <w:rsid w:val="000D5782"/>
    <w:rsid w:val="000E6613"/>
    <w:rsid w:val="000E68EC"/>
    <w:rsid w:val="000E7119"/>
    <w:rsid w:val="000E749A"/>
    <w:rsid w:val="00114E9B"/>
    <w:rsid w:val="0014729F"/>
    <w:rsid w:val="00157BAB"/>
    <w:rsid w:val="001654D1"/>
    <w:rsid w:val="00165E27"/>
    <w:rsid w:val="0018106D"/>
    <w:rsid w:val="001877A7"/>
    <w:rsid w:val="00191536"/>
    <w:rsid w:val="00196687"/>
    <w:rsid w:val="001C0962"/>
    <w:rsid w:val="001D434E"/>
    <w:rsid w:val="001D7531"/>
    <w:rsid w:val="001E737D"/>
    <w:rsid w:val="001F0592"/>
    <w:rsid w:val="001F7506"/>
    <w:rsid w:val="002006CD"/>
    <w:rsid w:val="00202B36"/>
    <w:rsid w:val="00204B7A"/>
    <w:rsid w:val="0021101A"/>
    <w:rsid w:val="00213492"/>
    <w:rsid w:val="00220536"/>
    <w:rsid w:val="00224AD2"/>
    <w:rsid w:val="00235629"/>
    <w:rsid w:val="00260C38"/>
    <w:rsid w:val="002616C0"/>
    <w:rsid w:val="002662AA"/>
    <w:rsid w:val="00280496"/>
    <w:rsid w:val="00295495"/>
    <w:rsid w:val="002964D9"/>
    <w:rsid w:val="002B2613"/>
    <w:rsid w:val="002C797D"/>
    <w:rsid w:val="002F1818"/>
    <w:rsid w:val="002F567B"/>
    <w:rsid w:val="0031366B"/>
    <w:rsid w:val="003216A9"/>
    <w:rsid w:val="0034474F"/>
    <w:rsid w:val="00366AFD"/>
    <w:rsid w:val="00367B45"/>
    <w:rsid w:val="0037013F"/>
    <w:rsid w:val="00380C92"/>
    <w:rsid w:val="00394DC4"/>
    <w:rsid w:val="003A484F"/>
    <w:rsid w:val="003B0BE0"/>
    <w:rsid w:val="003B0C1B"/>
    <w:rsid w:val="003B688C"/>
    <w:rsid w:val="003C0291"/>
    <w:rsid w:val="003C39AE"/>
    <w:rsid w:val="003C5734"/>
    <w:rsid w:val="003C7B60"/>
    <w:rsid w:val="003D1FB2"/>
    <w:rsid w:val="003D66DA"/>
    <w:rsid w:val="003E1310"/>
    <w:rsid w:val="003E6F55"/>
    <w:rsid w:val="00406254"/>
    <w:rsid w:val="004223DE"/>
    <w:rsid w:val="00434489"/>
    <w:rsid w:val="00437085"/>
    <w:rsid w:val="00443880"/>
    <w:rsid w:val="004464F4"/>
    <w:rsid w:val="00453FD1"/>
    <w:rsid w:val="00457D41"/>
    <w:rsid w:val="00462B01"/>
    <w:rsid w:val="00465778"/>
    <w:rsid w:val="00471401"/>
    <w:rsid w:val="0047202A"/>
    <w:rsid w:val="00473F31"/>
    <w:rsid w:val="0048263A"/>
    <w:rsid w:val="0048358B"/>
    <w:rsid w:val="00487E5D"/>
    <w:rsid w:val="004A711F"/>
    <w:rsid w:val="004B199D"/>
    <w:rsid w:val="004B4690"/>
    <w:rsid w:val="004B487D"/>
    <w:rsid w:val="004C6A8F"/>
    <w:rsid w:val="004D434D"/>
    <w:rsid w:val="004E0A2D"/>
    <w:rsid w:val="004E206B"/>
    <w:rsid w:val="004E6DF7"/>
    <w:rsid w:val="004F0FBD"/>
    <w:rsid w:val="00505A47"/>
    <w:rsid w:val="00512FDA"/>
    <w:rsid w:val="0051470F"/>
    <w:rsid w:val="00520DA0"/>
    <w:rsid w:val="00543913"/>
    <w:rsid w:val="005664BB"/>
    <w:rsid w:val="0057481D"/>
    <w:rsid w:val="005844A5"/>
    <w:rsid w:val="0058486E"/>
    <w:rsid w:val="005A7383"/>
    <w:rsid w:val="005D1C8B"/>
    <w:rsid w:val="005D5CED"/>
    <w:rsid w:val="005F18E0"/>
    <w:rsid w:val="005F1A4C"/>
    <w:rsid w:val="005F218C"/>
    <w:rsid w:val="00605688"/>
    <w:rsid w:val="006070AF"/>
    <w:rsid w:val="00607E6C"/>
    <w:rsid w:val="006101B1"/>
    <w:rsid w:val="00614E44"/>
    <w:rsid w:val="00622830"/>
    <w:rsid w:val="00630AEF"/>
    <w:rsid w:val="006325F8"/>
    <w:rsid w:val="00634C9A"/>
    <w:rsid w:val="006416CE"/>
    <w:rsid w:val="006419F4"/>
    <w:rsid w:val="006440E4"/>
    <w:rsid w:val="0064496F"/>
    <w:rsid w:val="0066343B"/>
    <w:rsid w:val="00664777"/>
    <w:rsid w:val="006748A4"/>
    <w:rsid w:val="00683E73"/>
    <w:rsid w:val="00696EFC"/>
    <w:rsid w:val="006A3141"/>
    <w:rsid w:val="006A5E34"/>
    <w:rsid w:val="006B2422"/>
    <w:rsid w:val="006B2B9A"/>
    <w:rsid w:val="006B68BA"/>
    <w:rsid w:val="006C1937"/>
    <w:rsid w:val="006F020C"/>
    <w:rsid w:val="007127B7"/>
    <w:rsid w:val="00714453"/>
    <w:rsid w:val="007177E8"/>
    <w:rsid w:val="00735F03"/>
    <w:rsid w:val="007416B6"/>
    <w:rsid w:val="00746F48"/>
    <w:rsid w:val="0075404D"/>
    <w:rsid w:val="0076182A"/>
    <w:rsid w:val="00767B7E"/>
    <w:rsid w:val="007740B3"/>
    <w:rsid w:val="007770C3"/>
    <w:rsid w:val="00784D24"/>
    <w:rsid w:val="00785FBA"/>
    <w:rsid w:val="00786E4A"/>
    <w:rsid w:val="007875EB"/>
    <w:rsid w:val="0079426B"/>
    <w:rsid w:val="007D312A"/>
    <w:rsid w:val="007D3F19"/>
    <w:rsid w:val="007E23B0"/>
    <w:rsid w:val="007E543D"/>
    <w:rsid w:val="007F1991"/>
    <w:rsid w:val="007F2C2F"/>
    <w:rsid w:val="007F55FC"/>
    <w:rsid w:val="007F5665"/>
    <w:rsid w:val="00800112"/>
    <w:rsid w:val="00805C31"/>
    <w:rsid w:val="0081731B"/>
    <w:rsid w:val="00822135"/>
    <w:rsid w:val="00822FF0"/>
    <w:rsid w:val="008248C5"/>
    <w:rsid w:val="008253BB"/>
    <w:rsid w:val="0082587E"/>
    <w:rsid w:val="0083253D"/>
    <w:rsid w:val="008345AD"/>
    <w:rsid w:val="0083706E"/>
    <w:rsid w:val="008423A5"/>
    <w:rsid w:val="008478F4"/>
    <w:rsid w:val="00850625"/>
    <w:rsid w:val="00853718"/>
    <w:rsid w:val="00855221"/>
    <w:rsid w:val="008603F5"/>
    <w:rsid w:val="00860645"/>
    <w:rsid w:val="008662FF"/>
    <w:rsid w:val="00871F71"/>
    <w:rsid w:val="00885AF4"/>
    <w:rsid w:val="008939CD"/>
    <w:rsid w:val="008A3501"/>
    <w:rsid w:val="008A43FE"/>
    <w:rsid w:val="008B0288"/>
    <w:rsid w:val="008B768C"/>
    <w:rsid w:val="008C3659"/>
    <w:rsid w:val="008C4DB1"/>
    <w:rsid w:val="008C4EAF"/>
    <w:rsid w:val="008C5176"/>
    <w:rsid w:val="008C7FD0"/>
    <w:rsid w:val="008E1DE7"/>
    <w:rsid w:val="008E707C"/>
    <w:rsid w:val="00900B08"/>
    <w:rsid w:val="00902155"/>
    <w:rsid w:val="00902FA3"/>
    <w:rsid w:val="00923564"/>
    <w:rsid w:val="0092392E"/>
    <w:rsid w:val="009315F9"/>
    <w:rsid w:val="00934D24"/>
    <w:rsid w:val="009363C7"/>
    <w:rsid w:val="00946945"/>
    <w:rsid w:val="00951248"/>
    <w:rsid w:val="0095152F"/>
    <w:rsid w:val="00954C49"/>
    <w:rsid w:val="0097099F"/>
    <w:rsid w:val="00971997"/>
    <w:rsid w:val="00971FFC"/>
    <w:rsid w:val="00972C95"/>
    <w:rsid w:val="0098660A"/>
    <w:rsid w:val="009931C3"/>
    <w:rsid w:val="009967CB"/>
    <w:rsid w:val="0099783A"/>
    <w:rsid w:val="009B097F"/>
    <w:rsid w:val="009B2C43"/>
    <w:rsid w:val="009B4EAE"/>
    <w:rsid w:val="009B7573"/>
    <w:rsid w:val="009C22F4"/>
    <w:rsid w:val="009C2E98"/>
    <w:rsid w:val="009C5D0D"/>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274F"/>
    <w:rsid w:val="00A734D5"/>
    <w:rsid w:val="00A91760"/>
    <w:rsid w:val="00A93B00"/>
    <w:rsid w:val="00A93C21"/>
    <w:rsid w:val="00AC3C6A"/>
    <w:rsid w:val="00AD5620"/>
    <w:rsid w:val="00AD7C1B"/>
    <w:rsid w:val="00AE16BA"/>
    <w:rsid w:val="00AE1EBE"/>
    <w:rsid w:val="00AE707A"/>
    <w:rsid w:val="00B03C9D"/>
    <w:rsid w:val="00B060AE"/>
    <w:rsid w:val="00B10517"/>
    <w:rsid w:val="00B14E62"/>
    <w:rsid w:val="00B14E76"/>
    <w:rsid w:val="00B161B8"/>
    <w:rsid w:val="00B2048C"/>
    <w:rsid w:val="00B310B9"/>
    <w:rsid w:val="00B35F3F"/>
    <w:rsid w:val="00B36CBB"/>
    <w:rsid w:val="00B425E0"/>
    <w:rsid w:val="00B440AA"/>
    <w:rsid w:val="00B44B70"/>
    <w:rsid w:val="00B53C56"/>
    <w:rsid w:val="00B77EA6"/>
    <w:rsid w:val="00B81598"/>
    <w:rsid w:val="00B841F1"/>
    <w:rsid w:val="00B90FBA"/>
    <w:rsid w:val="00B944D6"/>
    <w:rsid w:val="00BB4DF0"/>
    <w:rsid w:val="00BB5A68"/>
    <w:rsid w:val="00BC289F"/>
    <w:rsid w:val="00BC5361"/>
    <w:rsid w:val="00BC5460"/>
    <w:rsid w:val="00BC68DD"/>
    <w:rsid w:val="00BC6B50"/>
    <w:rsid w:val="00BD0E25"/>
    <w:rsid w:val="00BF5BD6"/>
    <w:rsid w:val="00C01B3D"/>
    <w:rsid w:val="00C02867"/>
    <w:rsid w:val="00C03050"/>
    <w:rsid w:val="00C03E31"/>
    <w:rsid w:val="00C10D23"/>
    <w:rsid w:val="00C33E72"/>
    <w:rsid w:val="00C354B2"/>
    <w:rsid w:val="00C35554"/>
    <w:rsid w:val="00C42709"/>
    <w:rsid w:val="00C533CC"/>
    <w:rsid w:val="00C5751C"/>
    <w:rsid w:val="00C61BFC"/>
    <w:rsid w:val="00C62B85"/>
    <w:rsid w:val="00C65438"/>
    <w:rsid w:val="00C72140"/>
    <w:rsid w:val="00C74BA7"/>
    <w:rsid w:val="00C91CBB"/>
    <w:rsid w:val="00CA26B2"/>
    <w:rsid w:val="00CB22D0"/>
    <w:rsid w:val="00CC09B6"/>
    <w:rsid w:val="00CC666F"/>
    <w:rsid w:val="00CD1E3F"/>
    <w:rsid w:val="00CE44F6"/>
    <w:rsid w:val="00CE49DA"/>
    <w:rsid w:val="00CE7B61"/>
    <w:rsid w:val="00D00095"/>
    <w:rsid w:val="00D16781"/>
    <w:rsid w:val="00D20620"/>
    <w:rsid w:val="00D22217"/>
    <w:rsid w:val="00D26091"/>
    <w:rsid w:val="00D34E7C"/>
    <w:rsid w:val="00D35489"/>
    <w:rsid w:val="00D50B9B"/>
    <w:rsid w:val="00D51276"/>
    <w:rsid w:val="00D57419"/>
    <w:rsid w:val="00D7035F"/>
    <w:rsid w:val="00D83332"/>
    <w:rsid w:val="00D92EB2"/>
    <w:rsid w:val="00DA65AC"/>
    <w:rsid w:val="00DB1913"/>
    <w:rsid w:val="00DB7BE6"/>
    <w:rsid w:val="00DC410D"/>
    <w:rsid w:val="00DC68CA"/>
    <w:rsid w:val="00DC7CBA"/>
    <w:rsid w:val="00DD007E"/>
    <w:rsid w:val="00DD73B7"/>
    <w:rsid w:val="00DF28BC"/>
    <w:rsid w:val="00DF34B9"/>
    <w:rsid w:val="00E01053"/>
    <w:rsid w:val="00E07ACF"/>
    <w:rsid w:val="00E331A1"/>
    <w:rsid w:val="00E33202"/>
    <w:rsid w:val="00E336A9"/>
    <w:rsid w:val="00E417E0"/>
    <w:rsid w:val="00E463BF"/>
    <w:rsid w:val="00E50624"/>
    <w:rsid w:val="00E568DF"/>
    <w:rsid w:val="00E64269"/>
    <w:rsid w:val="00E727C4"/>
    <w:rsid w:val="00E82267"/>
    <w:rsid w:val="00E87827"/>
    <w:rsid w:val="00EA010F"/>
    <w:rsid w:val="00EB6BA5"/>
    <w:rsid w:val="00EC7B7B"/>
    <w:rsid w:val="00ED1B63"/>
    <w:rsid w:val="00ED3C1F"/>
    <w:rsid w:val="00ED4085"/>
    <w:rsid w:val="00ED420E"/>
    <w:rsid w:val="00EE2F57"/>
    <w:rsid w:val="00EF4C34"/>
    <w:rsid w:val="00EF77C6"/>
    <w:rsid w:val="00F05438"/>
    <w:rsid w:val="00F12B08"/>
    <w:rsid w:val="00F1361C"/>
    <w:rsid w:val="00F160C7"/>
    <w:rsid w:val="00F36D8F"/>
    <w:rsid w:val="00F417B1"/>
    <w:rsid w:val="00F602DF"/>
    <w:rsid w:val="00F81FD9"/>
    <w:rsid w:val="00F841AA"/>
    <w:rsid w:val="00FA0A78"/>
    <w:rsid w:val="00FA23E8"/>
    <w:rsid w:val="00FC1C52"/>
    <w:rsid w:val="00FD2F96"/>
    <w:rsid w:val="00FD3CC1"/>
    <w:rsid w:val="00FF091D"/>
    <w:rsid w:val="00FF1E02"/>
    <w:rsid w:val="00FF30B4"/>
    <w:rsid w:val="018F3F50"/>
    <w:rsid w:val="01CD7CEC"/>
    <w:rsid w:val="01FA2A7C"/>
    <w:rsid w:val="022E41F9"/>
    <w:rsid w:val="026C645D"/>
    <w:rsid w:val="02812366"/>
    <w:rsid w:val="02CC32F1"/>
    <w:rsid w:val="02F838D8"/>
    <w:rsid w:val="03352E6E"/>
    <w:rsid w:val="0426064F"/>
    <w:rsid w:val="044846BB"/>
    <w:rsid w:val="04871E4C"/>
    <w:rsid w:val="057431D1"/>
    <w:rsid w:val="05AF39DA"/>
    <w:rsid w:val="05B56C2D"/>
    <w:rsid w:val="05F335B1"/>
    <w:rsid w:val="05F727ED"/>
    <w:rsid w:val="06477F0D"/>
    <w:rsid w:val="07E63ADF"/>
    <w:rsid w:val="090F513B"/>
    <w:rsid w:val="0A125149"/>
    <w:rsid w:val="0A534620"/>
    <w:rsid w:val="0C35664C"/>
    <w:rsid w:val="0D3A1331"/>
    <w:rsid w:val="0E1F27AA"/>
    <w:rsid w:val="0E3E70DD"/>
    <w:rsid w:val="0F366DD5"/>
    <w:rsid w:val="0F89534F"/>
    <w:rsid w:val="10C055FF"/>
    <w:rsid w:val="11927A8D"/>
    <w:rsid w:val="11E34C22"/>
    <w:rsid w:val="11E86664"/>
    <w:rsid w:val="120E3C39"/>
    <w:rsid w:val="130B447F"/>
    <w:rsid w:val="132F736C"/>
    <w:rsid w:val="137C5C30"/>
    <w:rsid w:val="14F71224"/>
    <w:rsid w:val="15100F31"/>
    <w:rsid w:val="165836EA"/>
    <w:rsid w:val="1688077D"/>
    <w:rsid w:val="16BB723D"/>
    <w:rsid w:val="172A6474"/>
    <w:rsid w:val="17387632"/>
    <w:rsid w:val="180262F0"/>
    <w:rsid w:val="18104758"/>
    <w:rsid w:val="183D46AF"/>
    <w:rsid w:val="18777D79"/>
    <w:rsid w:val="19010DDB"/>
    <w:rsid w:val="19A37AFF"/>
    <w:rsid w:val="19CD421F"/>
    <w:rsid w:val="1B4D7FE1"/>
    <w:rsid w:val="1C5E330F"/>
    <w:rsid w:val="1CAA02D3"/>
    <w:rsid w:val="1DDB6D68"/>
    <w:rsid w:val="1E612827"/>
    <w:rsid w:val="1E857A71"/>
    <w:rsid w:val="1F4915BA"/>
    <w:rsid w:val="204B7A95"/>
    <w:rsid w:val="20667BFB"/>
    <w:rsid w:val="21344DBD"/>
    <w:rsid w:val="215D787D"/>
    <w:rsid w:val="21915655"/>
    <w:rsid w:val="22283C3C"/>
    <w:rsid w:val="226A29A8"/>
    <w:rsid w:val="228609EE"/>
    <w:rsid w:val="22E968C4"/>
    <w:rsid w:val="235C2783"/>
    <w:rsid w:val="240371BF"/>
    <w:rsid w:val="242D0635"/>
    <w:rsid w:val="24CA4507"/>
    <w:rsid w:val="250E55C8"/>
    <w:rsid w:val="25933B76"/>
    <w:rsid w:val="25F9218C"/>
    <w:rsid w:val="2641139D"/>
    <w:rsid w:val="26AA10F7"/>
    <w:rsid w:val="275A42EF"/>
    <w:rsid w:val="27801C16"/>
    <w:rsid w:val="27DA2866"/>
    <w:rsid w:val="289A09A2"/>
    <w:rsid w:val="28C534C6"/>
    <w:rsid w:val="28E4702A"/>
    <w:rsid w:val="295B6AD9"/>
    <w:rsid w:val="29B711BB"/>
    <w:rsid w:val="29D21AD9"/>
    <w:rsid w:val="29D23E1C"/>
    <w:rsid w:val="29F43989"/>
    <w:rsid w:val="29FD04D3"/>
    <w:rsid w:val="2A14657F"/>
    <w:rsid w:val="2A4776E3"/>
    <w:rsid w:val="2A92498E"/>
    <w:rsid w:val="2B07497D"/>
    <w:rsid w:val="2B2A20FF"/>
    <w:rsid w:val="2C11481E"/>
    <w:rsid w:val="2CDD49B5"/>
    <w:rsid w:val="2CFF3102"/>
    <w:rsid w:val="2D4E55AF"/>
    <w:rsid w:val="2E7A35F0"/>
    <w:rsid w:val="2F424FB5"/>
    <w:rsid w:val="30A73371"/>
    <w:rsid w:val="319F7F4E"/>
    <w:rsid w:val="31C54519"/>
    <w:rsid w:val="31CE5AC6"/>
    <w:rsid w:val="323C0349"/>
    <w:rsid w:val="333B4639"/>
    <w:rsid w:val="33DA2988"/>
    <w:rsid w:val="345A7FA4"/>
    <w:rsid w:val="34720C24"/>
    <w:rsid w:val="36794BEF"/>
    <w:rsid w:val="370E51AD"/>
    <w:rsid w:val="37444266"/>
    <w:rsid w:val="374D761C"/>
    <w:rsid w:val="378A3E47"/>
    <w:rsid w:val="3811658C"/>
    <w:rsid w:val="38561508"/>
    <w:rsid w:val="3878313E"/>
    <w:rsid w:val="394115DA"/>
    <w:rsid w:val="39974A19"/>
    <w:rsid w:val="3A632573"/>
    <w:rsid w:val="3B5C7650"/>
    <w:rsid w:val="3B8F7CAC"/>
    <w:rsid w:val="3BC97A64"/>
    <w:rsid w:val="3C0E2663"/>
    <w:rsid w:val="3D071D98"/>
    <w:rsid w:val="3E0C4677"/>
    <w:rsid w:val="3E3E759D"/>
    <w:rsid w:val="3EB761AD"/>
    <w:rsid w:val="3EB85E92"/>
    <w:rsid w:val="3EC209CC"/>
    <w:rsid w:val="3EF31474"/>
    <w:rsid w:val="3FBA2B4C"/>
    <w:rsid w:val="409224CB"/>
    <w:rsid w:val="448E214F"/>
    <w:rsid w:val="44C9282E"/>
    <w:rsid w:val="453C7B8C"/>
    <w:rsid w:val="45442103"/>
    <w:rsid w:val="45783ECB"/>
    <w:rsid w:val="46B26C70"/>
    <w:rsid w:val="479C3FCE"/>
    <w:rsid w:val="480B3EFC"/>
    <w:rsid w:val="48530D57"/>
    <w:rsid w:val="492B34C5"/>
    <w:rsid w:val="49C92B3B"/>
    <w:rsid w:val="4A33307E"/>
    <w:rsid w:val="4AFC0623"/>
    <w:rsid w:val="4BCF28B3"/>
    <w:rsid w:val="4C8E63D9"/>
    <w:rsid w:val="4C9F1692"/>
    <w:rsid w:val="4CAF55C3"/>
    <w:rsid w:val="4CE82477"/>
    <w:rsid w:val="4D1B5616"/>
    <w:rsid w:val="4D441873"/>
    <w:rsid w:val="4DE1496A"/>
    <w:rsid w:val="4DFE2EA1"/>
    <w:rsid w:val="4E563D27"/>
    <w:rsid w:val="4EBD7E21"/>
    <w:rsid w:val="4EFA2E86"/>
    <w:rsid w:val="4F2D26A2"/>
    <w:rsid w:val="4F4845EF"/>
    <w:rsid w:val="50C0270E"/>
    <w:rsid w:val="50C86AA1"/>
    <w:rsid w:val="513710C8"/>
    <w:rsid w:val="515F669B"/>
    <w:rsid w:val="52161CF4"/>
    <w:rsid w:val="52946CF5"/>
    <w:rsid w:val="52974C96"/>
    <w:rsid w:val="532C2785"/>
    <w:rsid w:val="53E30500"/>
    <w:rsid w:val="54604096"/>
    <w:rsid w:val="54660959"/>
    <w:rsid w:val="54E71403"/>
    <w:rsid w:val="5519707D"/>
    <w:rsid w:val="57D36A4B"/>
    <w:rsid w:val="57D5502C"/>
    <w:rsid w:val="5AE3245B"/>
    <w:rsid w:val="5AF85155"/>
    <w:rsid w:val="5D2C1231"/>
    <w:rsid w:val="5DD30D26"/>
    <w:rsid w:val="5E2270FF"/>
    <w:rsid w:val="6048695C"/>
    <w:rsid w:val="60765CBC"/>
    <w:rsid w:val="61036DBA"/>
    <w:rsid w:val="611E4BB2"/>
    <w:rsid w:val="61670BBB"/>
    <w:rsid w:val="62924387"/>
    <w:rsid w:val="62DC76DC"/>
    <w:rsid w:val="63234524"/>
    <w:rsid w:val="646E70AE"/>
    <w:rsid w:val="66262F5C"/>
    <w:rsid w:val="666E3B6F"/>
    <w:rsid w:val="66C81D91"/>
    <w:rsid w:val="68360290"/>
    <w:rsid w:val="686F65E2"/>
    <w:rsid w:val="68A61631"/>
    <w:rsid w:val="68D9087C"/>
    <w:rsid w:val="6AD521BD"/>
    <w:rsid w:val="6C1A523B"/>
    <w:rsid w:val="6C20210D"/>
    <w:rsid w:val="6D9E4013"/>
    <w:rsid w:val="6DBA61E5"/>
    <w:rsid w:val="6E787714"/>
    <w:rsid w:val="6EE44265"/>
    <w:rsid w:val="6EFE2836"/>
    <w:rsid w:val="6F143DE8"/>
    <w:rsid w:val="707C0998"/>
    <w:rsid w:val="708517F8"/>
    <w:rsid w:val="708D7028"/>
    <w:rsid w:val="70B63580"/>
    <w:rsid w:val="71FA5587"/>
    <w:rsid w:val="730A0F40"/>
    <w:rsid w:val="731A2D7B"/>
    <w:rsid w:val="74124D2A"/>
    <w:rsid w:val="74306C9C"/>
    <w:rsid w:val="74520B3B"/>
    <w:rsid w:val="745C7CCB"/>
    <w:rsid w:val="74980CDE"/>
    <w:rsid w:val="74EE06CC"/>
    <w:rsid w:val="772B0C76"/>
    <w:rsid w:val="774A3C52"/>
    <w:rsid w:val="77720BDB"/>
    <w:rsid w:val="78836139"/>
    <w:rsid w:val="78877A87"/>
    <w:rsid w:val="797D5D02"/>
    <w:rsid w:val="7A881F8E"/>
    <w:rsid w:val="7B645A31"/>
    <w:rsid w:val="7BA507BE"/>
    <w:rsid w:val="7BAB52B6"/>
    <w:rsid w:val="7BB164AD"/>
    <w:rsid w:val="7BC87994"/>
    <w:rsid w:val="7CAD000C"/>
    <w:rsid w:val="7D134399"/>
    <w:rsid w:val="7D610767"/>
    <w:rsid w:val="7D8276D9"/>
    <w:rsid w:val="7DB20606"/>
    <w:rsid w:val="7E7B2EC4"/>
    <w:rsid w:val="7E8F6FBE"/>
    <w:rsid w:val="7E996FD4"/>
    <w:rsid w:val="7FA03D96"/>
    <w:rsid w:val="7FFC0028"/>
    <w:rsid w:val="F94A90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qFormat/>
    <w:uiPriority w:val="99"/>
    <w:rPr>
      <w:b/>
      <w:bCs/>
    </w:rPr>
  </w:style>
  <w:style w:type="character" w:styleId="15">
    <w:name w:val="Hyperlink"/>
    <w:qFormat/>
    <w:uiPriority w:val="99"/>
    <w:rPr>
      <w:color w:val="0000FF"/>
      <w:u w:val="single"/>
    </w:rPr>
  </w:style>
  <w:style w:type="character" w:customStyle="1" w:styleId="16">
    <w:name w:val="标题 1 字符"/>
    <w:basedOn w:val="13"/>
    <w:link w:val="2"/>
    <w:qFormat/>
    <w:locked/>
    <w:uiPriority w:val="99"/>
    <w:rPr>
      <w:rFonts w:ascii="Times New Roman" w:hAnsi="Times New Roman" w:cs="Times New Roman"/>
      <w:b/>
      <w:bCs/>
      <w:kern w:val="44"/>
      <w:sz w:val="44"/>
      <w:szCs w:val="44"/>
    </w:rPr>
  </w:style>
  <w:style w:type="character" w:customStyle="1" w:styleId="17">
    <w:name w:val="标题 2 字符"/>
    <w:basedOn w:val="13"/>
    <w:link w:val="3"/>
    <w:qFormat/>
    <w:locked/>
    <w:uiPriority w:val="99"/>
    <w:rPr>
      <w:rFonts w:ascii="Cambria" w:hAnsi="Cambria" w:eastAsia="宋体" w:cs="Cambria"/>
      <w:b/>
      <w:bCs/>
      <w:kern w:val="2"/>
      <w:sz w:val="32"/>
      <w:szCs w:val="32"/>
    </w:rPr>
  </w:style>
  <w:style w:type="character" w:customStyle="1" w:styleId="18">
    <w:name w:val="标题 3 字符"/>
    <w:link w:val="4"/>
    <w:qFormat/>
    <w:locked/>
    <w:uiPriority w:val="99"/>
    <w:rPr>
      <w:rFonts w:ascii="Times New Roman" w:hAnsi="Times New Roman" w:cs="Times New Roman"/>
      <w:b/>
      <w:bCs/>
      <w:kern w:val="2"/>
      <w:sz w:val="32"/>
      <w:szCs w:val="32"/>
    </w:rPr>
  </w:style>
  <w:style w:type="character" w:customStyle="1" w:styleId="19">
    <w:name w:val="Body Text Char"/>
    <w:semiHidden/>
    <w:qFormat/>
    <w:uiPriority w:val="99"/>
    <w:rPr>
      <w:rFonts w:ascii="Times New Roman" w:hAnsi="Times New Roman" w:cs="Times New Roman"/>
      <w:sz w:val="24"/>
      <w:szCs w:val="24"/>
    </w:rPr>
  </w:style>
  <w:style w:type="character" w:customStyle="1" w:styleId="20">
    <w:name w:val="批注框文本 字符"/>
    <w:link w:val="7"/>
    <w:semiHidden/>
    <w:qFormat/>
    <w:locked/>
    <w:uiPriority w:val="99"/>
    <w:rPr>
      <w:rFonts w:ascii="Times New Roman" w:hAnsi="Times New Roman" w:cs="Times New Roman"/>
      <w:kern w:val="2"/>
      <w:sz w:val="18"/>
      <w:szCs w:val="18"/>
    </w:rPr>
  </w:style>
  <w:style w:type="character" w:customStyle="1" w:styleId="21">
    <w:name w:val="Footer Char"/>
    <w:semiHidden/>
    <w:qFormat/>
    <w:uiPriority w:val="99"/>
    <w:rPr>
      <w:rFonts w:ascii="Times New Roman" w:hAnsi="Times New Roman" w:cs="Times New Roman"/>
      <w:sz w:val="18"/>
      <w:szCs w:val="18"/>
    </w:rPr>
  </w:style>
  <w:style w:type="character" w:customStyle="1" w:styleId="22">
    <w:name w:val="Header Char"/>
    <w:semiHidden/>
    <w:qFormat/>
    <w:uiPriority w:val="99"/>
    <w:rPr>
      <w:rFonts w:ascii="Times New Roman" w:hAnsi="Times New Roman" w:cs="Times New Roman"/>
      <w:sz w:val="18"/>
      <w:szCs w:val="18"/>
    </w:rPr>
  </w:style>
  <w:style w:type="character" w:customStyle="1" w:styleId="23">
    <w:name w:val="页眉 字符"/>
    <w:link w:val="9"/>
    <w:semiHidden/>
    <w:qFormat/>
    <w:locked/>
    <w:uiPriority w:val="99"/>
    <w:rPr>
      <w:sz w:val="18"/>
      <w:szCs w:val="18"/>
    </w:rPr>
  </w:style>
  <w:style w:type="character" w:customStyle="1" w:styleId="24">
    <w:name w:val="页脚 字符"/>
    <w:link w:val="8"/>
    <w:qFormat/>
    <w:locked/>
    <w:uiPriority w:val="99"/>
    <w:rPr>
      <w:sz w:val="18"/>
      <w:szCs w:val="18"/>
    </w:rPr>
  </w:style>
  <w:style w:type="character" w:customStyle="1" w:styleId="25">
    <w:name w:val="正文文本 字符"/>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pa-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1954</Words>
  <Characters>11142</Characters>
  <Lines>92</Lines>
  <Paragraphs>26</Paragraphs>
  <TotalTime>11</TotalTime>
  <ScaleCrop>false</ScaleCrop>
  <LinksUpToDate>false</LinksUpToDate>
  <CharactersWithSpaces>13070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2019-09-23T17:37:00Z</dcterms:created>
  <dc:creator>张彬茜</dc:creator>
  <cp:lastModifiedBy>user</cp:lastModifiedBy>
  <cp:lastPrinted>2020-09-23T15:16:00Z</cp:lastPrinted>
  <dcterms:modified xsi:type="dcterms:W3CDTF">2025-05-12T16:03:40Z</dcterms:modified>
  <dc:title>四川省***</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0B739B16647FD4385CAB21688243A941</vt:lpwstr>
  </property>
</Properties>
</file>