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ageBreakBefore w:val="0"/>
        <w:kinsoku/>
        <w:wordWrap/>
        <w:overflowPunct/>
        <w:topLinePunct w:val="0"/>
        <w:bidi w:val="0"/>
        <w:spacing w:line="576" w:lineRule="exact"/>
        <w:ind w:left="0" w:leftChars="0" w:right="0"/>
        <w:jc w:val="both"/>
        <w:textAlignment w:val="auto"/>
        <w:outlineLvl w:val="0"/>
        <w:rPr>
          <w:rFonts w:hint="default" w:ascii="Times New Roman" w:hAnsi="Times New Roman" w:eastAsia="方正小标宋简体" w:cs="Times New Roman"/>
          <w:color w:val="000000"/>
          <w:sz w:val="72"/>
          <w:szCs w:val="72"/>
        </w:rPr>
      </w:pPr>
      <w:bookmarkStart w:id="0" w:name="_Toc15306267"/>
    </w:p>
    <w:p>
      <w:pPr>
        <w:keepNext w:val="0"/>
        <w:keepLines w:val="0"/>
        <w:pageBreakBefore w:val="0"/>
        <w:widowControl w:val="0"/>
        <w:kinsoku/>
        <w:wordWrap/>
        <w:overflowPunct/>
        <w:topLinePunct w:val="0"/>
        <w:autoSpaceDE/>
        <w:autoSpaceDN/>
        <w:bidi w:val="0"/>
        <w:adjustRightInd/>
        <w:snapToGrid/>
        <w:spacing w:line="240" w:lineRule="auto"/>
        <w:ind w:left="0" w:leftChars="0" w:right="0"/>
        <w:jc w:val="both"/>
        <w:textAlignment w:val="auto"/>
        <w:outlineLvl w:val="0"/>
        <w:rPr>
          <w:rFonts w:hint="default" w:ascii="Times New Roman" w:hAnsi="Times New Roman" w:eastAsia="方正小标宋简体" w:cs="Times New Roman"/>
          <w:color w:val="000000"/>
          <w:sz w:val="72"/>
          <w:szCs w:val="72"/>
        </w:rPr>
      </w:pPr>
    </w:p>
    <w:p>
      <w:pPr>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方正小标宋简体" w:cs="Times New Roman"/>
          <w:b w:val="0"/>
          <w:bCs/>
          <w:color w:val="000000"/>
          <w:kern w:val="0"/>
          <w:sz w:val="72"/>
          <w:szCs w:val="72"/>
          <w:lang w:val="en-US" w:eastAsia="zh-CN" w:bidi="ar-SA"/>
        </w:rPr>
      </w:pPr>
      <w:bookmarkStart w:id="1" w:name="_Toc15396597"/>
      <w:bookmarkStart w:id="2" w:name="_Toc15378441"/>
      <w:bookmarkStart w:id="3" w:name="_Toc15377193"/>
      <w:bookmarkStart w:id="4" w:name="_Toc15377425"/>
      <w:bookmarkStart w:id="5" w:name="_Toc15396475"/>
      <w:r>
        <w:rPr>
          <w:rFonts w:hint="default" w:ascii="Times New Roman" w:hAnsi="Times New Roman" w:eastAsia="方正小标宋简体" w:cs="Times New Roman"/>
          <w:b w:val="0"/>
          <w:bCs/>
          <w:color w:val="000000"/>
          <w:kern w:val="0"/>
          <w:sz w:val="72"/>
          <w:szCs w:val="72"/>
          <w:lang w:val="en-US" w:eastAsia="zh-CN" w:bidi="ar-SA"/>
        </w:rPr>
        <w:t>2021年度</w:t>
      </w:r>
      <w:bookmarkEnd w:id="1"/>
      <w:bookmarkEnd w:id="2"/>
      <w:bookmarkEnd w:id="3"/>
      <w:bookmarkEnd w:id="4"/>
      <w:bookmarkEnd w:id="5"/>
    </w:p>
    <w:p>
      <w:pPr>
        <w:keepNext w:val="0"/>
        <w:keepLines w:val="0"/>
        <w:pageBreakBefore w:val="0"/>
        <w:widowControl w:val="0"/>
        <w:kinsoku/>
        <w:wordWrap/>
        <w:overflowPunct/>
        <w:topLinePunct w:val="0"/>
        <w:autoSpaceDE/>
        <w:autoSpaceDN/>
        <w:bidi w:val="0"/>
        <w:adjustRightInd/>
        <w:snapToGrid/>
        <w:spacing w:line="240" w:lineRule="auto"/>
        <w:ind w:left="0" w:leftChars="0" w:right="0"/>
        <w:jc w:val="center"/>
        <w:textAlignment w:val="auto"/>
        <w:rPr>
          <w:rFonts w:hint="default" w:ascii="Times New Roman" w:hAnsi="Times New Roman" w:eastAsia="方正小标宋简体" w:cs="Times New Roman"/>
          <w:b w:val="0"/>
          <w:bCs/>
          <w:color w:val="000000"/>
          <w:kern w:val="0"/>
          <w:sz w:val="72"/>
          <w:szCs w:val="72"/>
          <w:lang w:val="en-US" w:eastAsia="zh-CN" w:bidi="ar-SA"/>
        </w:rPr>
      </w:pPr>
      <w:bookmarkStart w:id="6" w:name="_Toc15377194"/>
      <w:bookmarkStart w:id="7" w:name="_Toc15396476"/>
      <w:bookmarkStart w:id="8" w:name="_Toc15377426"/>
      <w:bookmarkStart w:id="9" w:name="_Toc15378442"/>
      <w:bookmarkStart w:id="10" w:name="_Toc15396598"/>
      <w:r>
        <w:rPr>
          <w:rFonts w:hint="default" w:ascii="Times New Roman" w:hAnsi="Times New Roman" w:eastAsia="方正小标宋简体" w:cs="Times New Roman"/>
          <w:b w:val="0"/>
          <w:bCs/>
          <w:color w:val="000000"/>
          <w:kern w:val="0"/>
          <w:sz w:val="72"/>
          <w:szCs w:val="72"/>
          <w:lang w:val="en-US" w:eastAsia="zh-CN" w:bidi="ar-SA"/>
        </w:rPr>
        <w:t>四川省茂县</w:t>
      </w:r>
      <w:bookmarkEnd w:id="0"/>
      <w:bookmarkStart w:id="11" w:name="_Toc15306268"/>
      <w:r>
        <w:rPr>
          <w:rFonts w:hint="default" w:ascii="Times New Roman" w:hAnsi="Times New Roman" w:eastAsia="方正小标宋简体" w:cs="Times New Roman"/>
          <w:b w:val="0"/>
          <w:bCs/>
          <w:color w:val="000000"/>
          <w:kern w:val="0"/>
          <w:sz w:val="72"/>
          <w:szCs w:val="72"/>
          <w:lang w:val="en-US" w:eastAsia="zh-CN" w:bidi="ar-SA"/>
        </w:rPr>
        <w:t>统计局决算</w:t>
      </w:r>
      <w:bookmarkEnd w:id="6"/>
      <w:bookmarkEnd w:id="7"/>
      <w:bookmarkEnd w:id="8"/>
      <w:bookmarkEnd w:id="9"/>
      <w:bookmarkEnd w:id="10"/>
      <w:bookmarkEnd w:id="11"/>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52"/>
          <w:szCs w:val="52"/>
        </w:rPr>
      </w:pP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color w:val="000000"/>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方正小标宋简体" w:cs="Times New Roman"/>
          <w:sz w:val="36"/>
          <w:szCs w:val="36"/>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sz w:val="36"/>
          <w:szCs w:val="36"/>
        </w:rPr>
      </w:pPr>
    </w:p>
    <w:p>
      <w:pPr>
        <w:pStyle w:val="2"/>
        <w:jc w:val="both"/>
        <w:rPr>
          <w:rFonts w:hint="default" w:ascii="Times New Roman" w:hAnsi="Times New Roman" w:eastAsia="仿宋_GB2312" w:cs="Times New Roman"/>
          <w:sz w:val="36"/>
          <w:szCs w:val="36"/>
        </w:rPr>
      </w:pPr>
    </w:p>
    <w:p>
      <w:pPr>
        <w:pStyle w:val="2"/>
        <w:jc w:val="both"/>
        <w:rPr>
          <w:rFonts w:hint="default" w:ascii="Times New Roman" w:hAnsi="Times New Roman" w:cs="Times New Roman"/>
        </w:rPr>
      </w:pPr>
    </w:p>
    <w:p>
      <w:pPr>
        <w:pageBreakBefore w:val="0"/>
        <w:kinsoku/>
        <w:wordWrap/>
        <w:overflowPunct/>
        <w:topLinePunct w:val="0"/>
        <w:autoSpaceDE w:val="0"/>
        <w:autoSpaceDN w:val="0"/>
        <w:bidi w:val="0"/>
        <w:adjustRightInd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保密审查情况：已审查，内容审定</w:t>
      </w: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部门主要负责人审签情况：</w:t>
      </w:r>
      <w:r>
        <w:rPr>
          <w:rFonts w:hint="eastAsia" w:eastAsia="仿宋_GB2312" w:cs="Times New Roman"/>
          <w:sz w:val="32"/>
          <w:szCs w:val="32"/>
          <w:lang w:eastAsia="zh-CN"/>
        </w:rPr>
        <w:t>已审，同意对外公开</w:t>
      </w:r>
      <w:r>
        <w:rPr>
          <w:rFonts w:hint="default" w:ascii="Times New Roman" w:hAnsi="Times New Roman" w:eastAsia="方正小标宋简体" w:cs="Times New Roman"/>
          <w:sz w:val="36"/>
          <w:szCs w:val="36"/>
        </w:rPr>
        <w:br w:type="page"/>
      </w:r>
      <w:bookmarkStart w:id="12" w:name="_Toc15396599"/>
      <w:bookmarkStart w:id="13" w:name="_Toc15377196"/>
      <w:r>
        <w:rPr>
          <w:rFonts w:hint="default" w:ascii="Times New Roman" w:hAnsi="Times New Roman" w:eastAsia="方正小标宋简体" w:cs="Times New Roman"/>
          <w:color w:val="000000"/>
          <w:sz w:val="44"/>
          <w:szCs w:val="44"/>
        </w:rPr>
        <w:t>目录</w:t>
      </w:r>
      <w:r>
        <w:rPr>
          <w:rFonts w:hint="default" w:ascii="Times New Roman" w:hAnsi="Times New Roman" w:eastAsia="黑体" w:cs="Times New Roman"/>
          <w:color w:val="000000"/>
          <w:sz w:val="44"/>
          <w:szCs w:val="44"/>
        </w:rPr>
        <w:fldChar w:fldCharType="begin"/>
      </w:r>
      <w:r>
        <w:rPr>
          <w:rFonts w:hint="default" w:ascii="Times New Roman" w:hAnsi="Times New Roman" w:eastAsia="黑体" w:cs="Times New Roman"/>
          <w:color w:val="000000"/>
          <w:sz w:val="44"/>
          <w:szCs w:val="44"/>
        </w:rPr>
        <w:instrText xml:space="preserve"> TOC \o "1-2" \h \z \u </w:instrText>
      </w:r>
      <w:r>
        <w:rPr>
          <w:rFonts w:hint="default" w:ascii="Times New Roman" w:hAnsi="Times New Roman" w:eastAsia="黑体" w:cs="Times New Roman"/>
          <w:color w:val="000000"/>
          <w:sz w:val="44"/>
          <w:szCs w:val="44"/>
        </w:rPr>
        <w:fldChar w:fldCharType="separate"/>
      </w:r>
    </w:p>
    <w:p>
      <w:pPr>
        <w:pStyle w:val="15"/>
        <w:pageBreakBefore w:val="0"/>
        <w:tabs>
          <w:tab w:val="right" w:leader="dot" w:pos="8296"/>
        </w:tabs>
        <w:kinsoku/>
        <w:wordWrap/>
        <w:overflowPunct/>
        <w:topLinePunct w:val="0"/>
        <w:bidi w:val="0"/>
        <w:spacing w:before="0" w:after="0" w:line="576" w:lineRule="exact"/>
        <w:ind w:left="0" w:leftChars="0" w:right="0" w:firstLine="401" w:firstLineChars="2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"_Toc15396599"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第一部分部门概况</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rPr>
        <w:t>4</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"_Toc15396600"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一、基本职能及主要工作</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fldChar w:fldCharType="end"/>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"_Toc15396601"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二、机构设置</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fldChar w:fldCharType="end"/>
      </w:r>
    </w:p>
    <w:p>
      <w:pPr>
        <w:pStyle w:val="15"/>
        <w:pageBreakBefore w:val="0"/>
        <w:tabs>
          <w:tab w:val="right" w:leader="dot" w:pos="8296"/>
        </w:tabs>
        <w:kinsoku/>
        <w:wordWrap/>
        <w:overflowPunct/>
        <w:topLinePunct w:val="0"/>
        <w:bidi w:val="0"/>
        <w:spacing w:before="0" w:after="0" w:line="576" w:lineRule="exact"/>
        <w:ind w:left="0" w:leftChars="0" w:right="0" w:firstLine="401"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"_Toc15396602"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第二部分 20</w:t>
      </w:r>
      <w:r>
        <w:rPr>
          <w:rStyle w:val="23"/>
          <w:rFonts w:hint="default" w:ascii="Times New Roman" w:hAnsi="Times New Roman" w:eastAsia="仿宋_GB2312" w:cs="Times New Roman"/>
          <w:sz w:val="32"/>
          <w:szCs w:val="32"/>
          <w:lang w:val="en-US" w:eastAsia="zh-CN"/>
        </w:rPr>
        <w:t>20</w:t>
      </w:r>
      <w:r>
        <w:rPr>
          <w:rStyle w:val="23"/>
          <w:rFonts w:hint="default" w:ascii="Times New Roman" w:hAnsi="Times New Roman" w:eastAsia="仿宋_GB2312" w:cs="Times New Roman"/>
          <w:sz w:val="32"/>
          <w:szCs w:val="32"/>
        </w:rPr>
        <w:t>年度部门决算情况说明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8</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"_Toc15396603"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8</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"_Toc15396604"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二、收入决算情况说明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fldChar w:fldCharType="end"/>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"_Toc15396605"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三、支出决算情况说明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fldChar w:fldCharType="end"/>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"_Toc15396606"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四、财政拨款收入支出决算总体情况说明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0</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"_Toc15396607"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五、一般公共预算财政拨款支出决算情况说明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1</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"_Toc15396608"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六、一般公共预算财政拨款基本支出决算情况说</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4</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"_Toc15396609"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七、“三公”经费财政拨款支出决算情况说明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5</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"_Toc15396610"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八、政府性基金预算支出决算情况说明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fldChar w:fldCharType="end"/>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"_Toc15396611"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九、国有资本经营预算支出决算情况说明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6</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"_Toc15396611"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十、其他重要事项的情况说明</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7</w:t>
      </w:r>
    </w:p>
    <w:p>
      <w:pPr>
        <w:pStyle w:val="15"/>
        <w:pageBreakBefore w:val="0"/>
        <w:tabs>
          <w:tab w:val="right" w:leader="dot" w:pos="8296"/>
        </w:tabs>
        <w:kinsoku/>
        <w:wordWrap/>
        <w:overflowPunct/>
        <w:topLinePunct w:val="0"/>
        <w:bidi w:val="0"/>
        <w:spacing w:before="0" w:after="0" w:line="576" w:lineRule="exact"/>
        <w:ind w:left="0" w:leftChars="0" w:right="0" w:firstLine="401"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"_Toc15396613" </w:instrText>
      </w:r>
      <w:r>
        <w:rPr>
          <w:rFonts w:hint="default" w:ascii="Times New Roman" w:hAnsi="Times New Roman" w:cs="Times New Roman"/>
        </w:rPr>
        <w:fldChar w:fldCharType="separate"/>
      </w:r>
      <w:r>
        <w:rPr>
          <w:rStyle w:val="23"/>
          <w:rFonts w:hint="default" w:ascii="Times New Roman" w:hAnsi="Times New Roman" w:eastAsia="仿宋_GB2312" w:cs="Times New Roman"/>
          <w:kern w:val="44"/>
          <w:sz w:val="32"/>
          <w:szCs w:val="32"/>
        </w:rPr>
        <w:t>第三部分</w:t>
      </w:r>
      <w:r>
        <w:rPr>
          <w:rStyle w:val="23"/>
          <w:rFonts w:hint="default" w:ascii="Times New Roman" w:hAnsi="Times New Roman" w:eastAsia="仿宋_GB2312" w:cs="Times New Roman"/>
          <w:sz w:val="32"/>
          <w:szCs w:val="32"/>
        </w:rPr>
        <w:t>名</w:t>
      </w:r>
      <w:r>
        <w:rPr>
          <w:rStyle w:val="23"/>
          <w:rFonts w:hint="default" w:ascii="Times New Roman" w:hAnsi="Times New Roman" w:eastAsia="仿宋_GB2312" w:cs="Times New Roman"/>
          <w:kern w:val="44"/>
          <w:sz w:val="32"/>
          <w:szCs w:val="32"/>
        </w:rPr>
        <w:t>词解释</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9</w:t>
      </w:r>
    </w:p>
    <w:p>
      <w:pPr>
        <w:pStyle w:val="15"/>
        <w:pageBreakBefore w:val="0"/>
        <w:tabs>
          <w:tab w:val="right" w:leader="dot" w:pos="8296"/>
        </w:tabs>
        <w:kinsoku/>
        <w:wordWrap/>
        <w:overflowPunct/>
        <w:topLinePunct w:val="0"/>
        <w:bidi w:val="0"/>
        <w:spacing w:before="0" w:after="0" w:line="576" w:lineRule="exact"/>
        <w:ind w:left="0" w:leftChars="0" w:right="0" w:firstLine="401" w:firstLineChars="200"/>
        <w:jc w:val="both"/>
        <w:textAlignment w:val="auto"/>
        <w:rPr>
          <w:rFonts w:hint="default" w:ascii="Times New Roman" w:hAnsi="Times New Roman" w:eastAsia="仿宋" w:cs="Times New Roman"/>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"_Toc15396614"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第</w:t>
      </w:r>
      <w:r>
        <w:rPr>
          <w:rStyle w:val="23"/>
          <w:rFonts w:hint="default" w:ascii="Times New Roman" w:hAnsi="Times New Roman" w:eastAsia="仿宋_GB2312" w:cs="Times New Roman"/>
          <w:kern w:val="44"/>
          <w:sz w:val="32"/>
          <w:szCs w:val="32"/>
        </w:rPr>
        <w:t>四部分</w:t>
      </w:r>
      <w:r>
        <w:rPr>
          <w:rFonts w:hint="default" w:ascii="Times New Roman" w:hAnsi="Times New Roman" w:cs="Times New Roman"/>
        </w:rPr>
        <w:tab/>
      </w:r>
      <w:r>
        <w:rPr>
          <w:rFonts w:hint="default" w:ascii="Times New Roman" w:hAnsi="Times New Roman" w:cs="Times New Roman"/>
          <w:lang w:val="en-US" w:eastAsia="zh-CN"/>
        </w:rPr>
        <w:t>2</w:t>
      </w:r>
      <w:r>
        <w:rPr>
          <w:rFonts w:hint="default" w:ascii="Times New Roman" w:hAnsi="Times New Roman" w:cs="Times New Roman"/>
        </w:rPr>
        <w:fldChar w:fldCharType="end"/>
      </w:r>
      <w:r>
        <w:rPr>
          <w:rFonts w:hint="default" w:ascii="Times New Roman" w:hAnsi="Times New Roman" w:cs="Times New Roman"/>
          <w:lang w:val="en-US" w:eastAsia="zh-CN"/>
        </w:rPr>
        <w:t>2</w:t>
      </w:r>
    </w:p>
    <w:p>
      <w:pPr>
        <w:pStyle w:val="18"/>
        <w:pageBreakBefore w:val="0"/>
        <w:tabs>
          <w:tab w:val="right" w:leader="dot" w:pos="8296"/>
        </w:tabs>
        <w:kinsoku/>
        <w:wordWrap/>
        <w:overflowPunct/>
        <w:topLinePunct w:val="0"/>
        <w:bidi w:val="0"/>
        <w:spacing w:line="576" w:lineRule="exact"/>
        <w:ind w:left="0" w:leftChars="0" w:right="0" w:firstLine="600" w:firstLineChars="300"/>
        <w:jc w:val="both"/>
        <w:textAlignment w:val="auto"/>
        <w:rPr>
          <w:rFonts w:hint="default" w:ascii="Times New Roman" w:hAnsi="Times New Roman" w:eastAsia="宋体" w:cs="Times New Roman"/>
          <w:lang w:val="en-US" w:eastAsia="zh-CN"/>
        </w:rPr>
      </w:pPr>
      <w:r>
        <w:rPr>
          <w:rFonts w:hint="default" w:ascii="Times New Roman" w:hAnsi="Times New Roman" w:cs="Times New Roman"/>
          <w:lang w:val="en-US" w:eastAsia="zh-CN"/>
        </w:rPr>
        <w:t xml:space="preserve"> </w:t>
      </w:r>
      <w:r>
        <w:rPr>
          <w:rStyle w:val="23"/>
          <w:rFonts w:hint="default" w:ascii="Times New Roman" w:hAnsi="Times New Roman" w:eastAsia="仿宋_GB2312" w:cs="Times New Roman"/>
          <w:sz w:val="32"/>
          <w:szCs w:val="32"/>
          <w:lang w:val="en-US" w:eastAsia="zh-CN"/>
        </w:rPr>
        <w:t>附件茂县统计局2021年部门整体支出绩效评价报告</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"_Toc15396630"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22</w:t>
      </w:r>
    </w:p>
    <w:p>
      <w:pPr>
        <w:pStyle w:val="15"/>
        <w:pageBreakBefore w:val="0"/>
        <w:tabs>
          <w:tab w:val="right" w:leader="dot" w:pos="8296"/>
        </w:tabs>
        <w:kinsoku/>
        <w:wordWrap/>
        <w:overflowPunct/>
        <w:topLinePunct w:val="0"/>
        <w:bidi w:val="0"/>
        <w:spacing w:before="0" w:after="0" w:line="576" w:lineRule="exact"/>
        <w:ind w:left="0" w:leftChars="0" w:right="0" w:firstLine="401"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cs="Times New Roman"/>
        </w:rPr>
        <w:fldChar w:fldCharType="begin"/>
      </w:r>
      <w:r>
        <w:rPr>
          <w:rFonts w:hint="default" w:ascii="Times New Roman" w:hAnsi="Times New Roman" w:cs="Times New Roman"/>
        </w:rPr>
        <w:instrText xml:space="preserve"> HYPERLINK \l "_Toc15396618"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第</w:t>
      </w:r>
      <w:r>
        <w:rPr>
          <w:rStyle w:val="23"/>
          <w:rFonts w:hint="default" w:ascii="Times New Roman" w:hAnsi="Times New Roman" w:eastAsia="仿宋_GB2312" w:cs="Times New Roman"/>
          <w:kern w:val="44"/>
          <w:sz w:val="32"/>
          <w:szCs w:val="32"/>
        </w:rPr>
        <w:t>五部分附表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一、</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"_Toc15396619"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收入支出决算总表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二、</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"_Toc15396620"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收入总表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三、</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"_Toc15396621"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支出总表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四、</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"_Toc15396622"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财政拨款收入支出决算总表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五、</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"_Toc15396623" </w:instrText>
      </w:r>
      <w:r>
        <w:rPr>
          <w:rFonts w:hint="default" w:ascii="Times New Roman" w:hAnsi="Times New Roman" w:cs="Times New Roman"/>
        </w:rPr>
        <w:fldChar w:fldCharType="separate"/>
      </w:r>
      <w:r>
        <w:rPr>
          <w:rFonts w:hint="default" w:ascii="Times New Roman" w:hAnsi="Times New Roman" w:eastAsia="仿宋_GB2312" w:cs="Times New Roman"/>
          <w:sz w:val="32"/>
          <w:szCs w:val="32"/>
        </w:rPr>
        <w:t>财政拨款支出决算明细表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六、</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"_Toc15396624"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一般公共预算财政拨款支出决算表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七、</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"_Toc15396625"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一般公共预算财政拨款支出决算明细表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八、</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"_Toc15396626"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一般公共预算财政拨款基本支出决算表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九、</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"_Toc15396627"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一般公共预算财政拨款项目支出决算表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"_Toc15396628"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一般公共预算财政拨款“三公”经费支出决算表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十一、</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"_Toc15396629"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政府性基金预算财政拨款收入支出决算表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十二、</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"_Toc15396630"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政府性基金预算财政拨款“三公”经费支出决算表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Style w:val="18"/>
        <w:pageBreakBefore w:val="0"/>
        <w:tabs>
          <w:tab w:val="right" w:leader="dot" w:pos="8296"/>
        </w:tabs>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十三、</w:t>
      </w:r>
      <w:r>
        <w:rPr>
          <w:rFonts w:hint="default" w:ascii="Times New Roman" w:hAnsi="Times New Roman" w:cs="Times New Roman"/>
        </w:rPr>
        <w:fldChar w:fldCharType="begin"/>
      </w:r>
      <w:r>
        <w:rPr>
          <w:rFonts w:hint="default" w:ascii="Times New Roman" w:hAnsi="Times New Roman" w:cs="Times New Roman"/>
        </w:rPr>
        <w:instrText xml:space="preserve"> HYPERLINK \l "_Toc15396631" </w:instrText>
      </w:r>
      <w:r>
        <w:rPr>
          <w:rFonts w:hint="default" w:ascii="Times New Roman" w:hAnsi="Times New Roman" w:cs="Times New Roman"/>
        </w:rPr>
        <w:fldChar w:fldCharType="separate"/>
      </w:r>
      <w:r>
        <w:rPr>
          <w:rStyle w:val="23"/>
          <w:rFonts w:hint="default" w:ascii="Times New Roman" w:hAnsi="Times New Roman" w:eastAsia="仿宋_GB2312" w:cs="Times New Roman"/>
          <w:sz w:val="32"/>
          <w:szCs w:val="32"/>
        </w:rPr>
        <w:t>国有资本经营预算支出决算表</w:t>
      </w:r>
      <w:r>
        <w:rPr>
          <w:rFonts w:hint="default" w:ascii="Times New Roman" w:hAnsi="Times New Roman" w:eastAsia="仿宋_GB2312" w:cs="Times New Roman"/>
          <w:sz w:val="32"/>
          <w:szCs w:val="32"/>
        </w:rPr>
        <w:tab/>
      </w:r>
      <w:r>
        <w:rPr>
          <w:rFonts w:hint="default" w:ascii="Times New Roman" w:hAnsi="Times New Roman" w:eastAsia="仿宋_GB2312" w:cs="Times New Roman"/>
          <w:sz w:val="32"/>
          <w:szCs w:val="32"/>
        </w:rPr>
        <w:fldChar w:fldCharType="end"/>
      </w:r>
      <w:r>
        <w:rPr>
          <w:rFonts w:hint="default" w:ascii="Times New Roman" w:hAnsi="Times New Roman" w:eastAsia="仿宋_GB2312" w:cs="Times New Roman"/>
          <w:sz w:val="32"/>
          <w:szCs w:val="32"/>
          <w:lang w:val="en-US" w:eastAsia="zh-CN"/>
        </w:rPr>
        <w:t>27</w:t>
      </w: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r>
        <w:rPr>
          <w:rFonts w:hint="default" w:ascii="Times New Roman" w:hAnsi="Times New Roman" w:eastAsia="黑体" w:cs="Times New Roman"/>
          <w:color w:val="000000"/>
          <w:sz w:val="44"/>
          <w:szCs w:val="44"/>
        </w:rPr>
        <w:fldChar w:fldCharType="end"/>
      </w: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firstLine="880" w:firstLineChars="200"/>
        <w:jc w:val="both"/>
        <w:textAlignment w:val="auto"/>
        <w:rPr>
          <w:rFonts w:hint="default" w:ascii="Times New Roman" w:hAnsi="Times New Roman" w:eastAsia="黑体" w:cs="Times New Roman"/>
          <w:color w:val="000000"/>
          <w:sz w:val="44"/>
          <w:szCs w:val="44"/>
        </w:rPr>
      </w:pP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 w:cs="Times New Roman"/>
          <w:bCs/>
          <w:kern w:val="44"/>
          <w:sz w:val="24"/>
        </w:rPr>
      </w:pPr>
    </w:p>
    <w:p>
      <w:pPr>
        <w:pStyle w:val="2"/>
        <w:jc w:val="both"/>
        <w:rPr>
          <w:rFonts w:hint="default" w:ascii="Times New Roman" w:hAnsi="Times New Roman" w:cs="Times New Roman"/>
        </w:rPr>
      </w:pPr>
    </w:p>
    <w:bookmarkEnd w:id="12"/>
    <w:bookmarkEnd w:id="13"/>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lang w:eastAsia="zh-CN"/>
        </w:rPr>
      </w:pPr>
      <w:bookmarkStart w:id="14" w:name="_Toc79163603"/>
      <w:bookmarkStart w:id="15" w:name="_Toc79163853"/>
      <w:bookmarkStart w:id="16" w:name="_Toc15378445"/>
      <w:bookmarkStart w:id="17" w:name="_Toc15377198"/>
    </w:p>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lang w:eastAsia="zh-CN"/>
        </w:rPr>
      </w:pPr>
    </w:p>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lang w:eastAsia="zh-CN"/>
        </w:rPr>
      </w:pPr>
    </w:p>
    <w:p>
      <w:pPr>
        <w:pStyle w:val="8"/>
        <w:pageBreakBefore w:val="0"/>
        <w:kinsoku/>
        <w:wordWrap/>
        <w:overflowPunct/>
        <w:topLinePunct w:val="0"/>
        <w:bidi w:val="0"/>
        <w:adjustRightInd w:val="0"/>
        <w:snapToGrid w:val="0"/>
        <w:spacing w:before="0" w:beforeLines="0" w:line="576" w:lineRule="exact"/>
        <w:ind w:right="0"/>
        <w:jc w:val="center"/>
        <w:textAlignment w:val="auto"/>
        <w:outlineLvl w:val="2"/>
        <w:rPr>
          <w:rFonts w:hint="default" w:ascii="Times New Roman" w:hAnsi="Times New Roman" w:eastAsia="方正小标宋简体" w:cs="Times New Roman"/>
          <w:b w:val="0"/>
          <w:bCs/>
          <w:color w:val="000000"/>
          <w:sz w:val="44"/>
          <w:szCs w:val="44"/>
          <w:lang w:val="en-US" w:eastAsia="zh-CN"/>
        </w:rPr>
      </w:pPr>
      <w:r>
        <w:rPr>
          <w:rFonts w:hint="default" w:ascii="Times New Roman" w:hAnsi="Times New Roman" w:eastAsia="方正小标宋简体" w:cs="Times New Roman"/>
          <w:b w:val="0"/>
          <w:bCs/>
          <w:color w:val="000000"/>
          <w:sz w:val="44"/>
          <w:szCs w:val="44"/>
          <w:lang w:eastAsia="zh-CN"/>
        </w:rPr>
        <w:t>第一部分</w:t>
      </w:r>
      <w:r>
        <w:rPr>
          <w:rFonts w:hint="default" w:ascii="Times New Roman" w:hAnsi="Times New Roman" w:eastAsia="方正小标宋简体" w:cs="Times New Roman"/>
          <w:b w:val="0"/>
          <w:bCs/>
          <w:color w:val="000000"/>
          <w:sz w:val="44"/>
          <w:szCs w:val="44"/>
          <w:lang w:val="en-US" w:eastAsia="zh-CN"/>
        </w:rPr>
        <w:t xml:space="preserve"> 部门概括</w:t>
      </w:r>
    </w:p>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lang w:val="en-US" w:eastAsia="zh-CN"/>
        </w:rPr>
      </w:pPr>
    </w:p>
    <w:p>
      <w:pPr>
        <w:pStyle w:val="8"/>
        <w:pageBreakBefore w:val="0"/>
        <w:kinsoku/>
        <w:wordWrap/>
        <w:overflowPunct/>
        <w:topLinePunct w:val="0"/>
        <w:bidi w:val="0"/>
        <w:adjustRightInd w:val="0"/>
        <w:snapToGrid w:val="0"/>
        <w:spacing w:before="0" w:beforeLines="0" w:line="576" w:lineRule="exact"/>
        <w:ind w:left="0" w:leftChars="0" w:right="0" w:firstLine="668" w:firstLineChars="209"/>
        <w:jc w:val="both"/>
        <w:textAlignment w:val="auto"/>
        <w:outlineLvl w:val="2"/>
        <w:rPr>
          <w:rFonts w:hint="default" w:ascii="Times New Roman" w:hAnsi="Times New Roman" w:eastAsia="黑体" w:cs="Times New Roman"/>
          <w:b w:val="0"/>
          <w:bCs/>
          <w:color w:val="000000"/>
          <w:sz w:val="32"/>
          <w:szCs w:val="32"/>
          <w:lang w:val="en-US" w:eastAsia="zh-CN"/>
        </w:rPr>
      </w:pPr>
      <w:r>
        <w:rPr>
          <w:rFonts w:hint="default" w:ascii="Times New Roman" w:hAnsi="Times New Roman" w:eastAsia="黑体" w:cs="Times New Roman"/>
          <w:b w:val="0"/>
          <w:bCs/>
          <w:color w:val="000000"/>
          <w:sz w:val="32"/>
          <w:szCs w:val="32"/>
          <w:lang w:val="en-US" w:eastAsia="zh-CN"/>
        </w:rPr>
        <w:t>一、基本职能及主要工作</w:t>
      </w:r>
    </w:p>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rPr>
      </w:pPr>
      <w:r>
        <w:rPr>
          <w:rFonts w:hint="default" w:ascii="Times New Roman" w:hAnsi="Times New Roman" w:eastAsia="楷体_GB2312" w:cs="Times New Roman"/>
          <w:b/>
          <w:bCs w:val="0"/>
          <w:color w:val="000000"/>
          <w:sz w:val="32"/>
          <w:szCs w:val="32"/>
        </w:rPr>
        <w:t>（一）主要职能</w:t>
      </w:r>
      <w:bookmarkEnd w:id="14"/>
      <w:bookmarkEnd w:id="15"/>
    </w:p>
    <w:bookmarkEnd w:id="16"/>
    <w:bookmarkEnd w:id="17"/>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bookmarkStart w:id="18" w:name="_Toc79163604"/>
      <w:bookmarkStart w:id="19" w:name="_Toc79163854"/>
      <w:bookmarkStart w:id="20" w:name="_Toc15378446"/>
      <w:bookmarkStart w:id="21" w:name="_Toc15377199"/>
      <w:r>
        <w:rPr>
          <w:rFonts w:hint="default" w:ascii="Times New Roman" w:hAnsi="Times New Roman" w:eastAsia="仿宋_GB2312" w:cs="Times New Roman"/>
          <w:kern w:val="2"/>
          <w:sz w:val="32"/>
          <w:szCs w:val="32"/>
        </w:rPr>
        <w:t>1.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2.根据全县宏观管理和科学决策的要求，建立健全全县国民经济核算体系和统计指标体系，制定和管理全县统一的基本报表制度；制定与有关部门共同制定全县统计标准，审定部门统计标准；管理全县统计调查项目，审批全县各镇、各部门的统计调查计划、调查方案和统计报表。</w:t>
      </w:r>
    </w:p>
    <w:p>
      <w:pPr>
        <w:pStyle w:val="8"/>
        <w:pageBreakBefore w:val="0"/>
        <w:numPr>
          <w:ilvl w:val="0"/>
          <w:numId w:val="1"/>
        </w:numPr>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负责组织实施全县重大的国情国力普查和专项统计调查；汇总、整理全县的基本统计资料；对国民经济运行、科技进步和社会发展情况进行统计分析、预测、监督；向县委、</w:t>
      </w:r>
      <w:r>
        <w:rPr>
          <w:rFonts w:hint="default" w:ascii="Times New Roman" w:hAnsi="Times New Roman" w:eastAsia="仿宋_GB2312" w:cs="Times New Roman"/>
          <w:kern w:val="2"/>
          <w:sz w:val="32"/>
          <w:szCs w:val="32"/>
          <w:lang w:eastAsia="zh-CN"/>
        </w:rPr>
        <w:t>县</w:t>
      </w:r>
      <w:r>
        <w:rPr>
          <w:rFonts w:hint="default" w:ascii="Times New Roman" w:hAnsi="Times New Roman" w:eastAsia="仿宋_GB2312" w:cs="Times New Roman"/>
          <w:kern w:val="2"/>
          <w:sz w:val="32"/>
          <w:szCs w:val="32"/>
        </w:rPr>
        <w:t>政府及有关部门提供统计信息和咨询建议。</w:t>
      </w:r>
    </w:p>
    <w:p>
      <w:pPr>
        <w:pStyle w:val="8"/>
        <w:pageBreakBefore w:val="0"/>
        <w:numPr>
          <w:ilvl w:val="0"/>
          <w:numId w:val="1"/>
        </w:numPr>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统一核定、管理、公布、出版全县的基本统计资料，定期发布全县国民经济和社会发展情况的统计信息，积极培育和发展县内信息咨询服务市场。</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5.负责收集、整理、提供全县性的基本统计资料和全县居民的年度主要统计资料，并对国民经济社会发展和科技进步情况进行分析、预测，向县政府提供统计建议。</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6.调查、编算、提供消费及零售物价指数资料，进行市场物价分析、预测、监控工作。</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7.调查、编算、提供城乡居民家庭收支抽样调查资料，适时反映居民生活消费情况。</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8.建立健全和管理全县统计信息自动化系统和统计数据库体系；制定全县各镇、各部门统计数据库网络的基本标准和运行规则。</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9.根据州统计局的安排负责组织全县统计系统专业技术资格考试和职务评审，统计人员的统计专业技术岗位培训和继续教育工作。</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10.承担县政府公布的有关行政审批事项。</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11.承办县政府交办的其他事项。</w:t>
      </w:r>
    </w:p>
    <w:p>
      <w:pPr>
        <w:pStyle w:val="8"/>
        <w:pageBreakBefore w:val="0"/>
        <w:kinsoku/>
        <w:wordWrap/>
        <w:overflowPunct/>
        <w:topLinePunct w:val="0"/>
        <w:bidi w:val="0"/>
        <w:adjustRightInd w:val="0"/>
        <w:snapToGrid w:val="0"/>
        <w:spacing w:before="0" w:beforeLines="0" w:line="576" w:lineRule="exact"/>
        <w:ind w:left="0" w:leftChars="0" w:right="0" w:firstLine="671" w:firstLineChars="209"/>
        <w:jc w:val="both"/>
        <w:textAlignment w:val="auto"/>
        <w:outlineLvl w:val="2"/>
        <w:rPr>
          <w:rFonts w:hint="default" w:ascii="Times New Roman" w:hAnsi="Times New Roman" w:eastAsia="楷体_GB2312" w:cs="Times New Roman"/>
          <w:b/>
          <w:bCs w:val="0"/>
          <w:color w:val="000000"/>
          <w:sz w:val="32"/>
          <w:szCs w:val="32"/>
        </w:rPr>
      </w:pPr>
      <w:r>
        <w:rPr>
          <w:rFonts w:hint="default" w:ascii="Times New Roman" w:hAnsi="Times New Roman" w:eastAsia="楷体_GB2312" w:cs="Times New Roman"/>
          <w:b/>
          <w:bCs w:val="0"/>
          <w:color w:val="000000"/>
          <w:sz w:val="32"/>
          <w:szCs w:val="32"/>
        </w:rPr>
        <w:t>（二）2021年重点工作完成情况</w:t>
      </w:r>
      <w:bookmarkEnd w:id="18"/>
      <w:bookmarkEnd w:id="19"/>
      <w:bookmarkEnd w:id="20"/>
      <w:bookmarkEnd w:id="21"/>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1.</w:t>
      </w:r>
      <w:r>
        <w:rPr>
          <w:rFonts w:hint="default" w:ascii="Times New Roman" w:hAnsi="Times New Roman" w:eastAsia="仿宋_GB2312" w:cs="Times New Roman"/>
          <w:kern w:val="2"/>
          <w:sz w:val="32"/>
          <w:szCs w:val="32"/>
        </w:rPr>
        <w:t>扎实开展茂县脱贫攻坚普查工作</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2.</w:t>
      </w:r>
      <w:r>
        <w:rPr>
          <w:rFonts w:hint="default" w:ascii="Times New Roman" w:hAnsi="Times New Roman" w:eastAsia="仿宋_GB2312" w:cs="Times New Roman"/>
          <w:kern w:val="2"/>
          <w:sz w:val="32"/>
          <w:szCs w:val="32"/>
        </w:rPr>
        <w:t>依法治统，不断提升源头数据质量</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3.</w:t>
      </w:r>
      <w:r>
        <w:rPr>
          <w:rFonts w:hint="default" w:ascii="Times New Roman" w:hAnsi="Times New Roman" w:eastAsia="仿宋_GB2312" w:cs="Times New Roman"/>
          <w:kern w:val="2"/>
          <w:sz w:val="32"/>
          <w:szCs w:val="32"/>
        </w:rPr>
        <w:t>多措并举确保工业上台阶</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4.</w:t>
      </w:r>
      <w:r>
        <w:rPr>
          <w:rFonts w:hint="default" w:ascii="Times New Roman" w:hAnsi="Times New Roman" w:eastAsia="仿宋_GB2312" w:cs="Times New Roman"/>
          <w:kern w:val="2"/>
          <w:sz w:val="32"/>
          <w:szCs w:val="32"/>
        </w:rPr>
        <w:t>夯实基础，严把质量，圆满完成固定资产投资统计</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5.</w:t>
      </w:r>
      <w:r>
        <w:rPr>
          <w:rFonts w:hint="default" w:ascii="Times New Roman" w:hAnsi="Times New Roman" w:eastAsia="仿宋_GB2312" w:cs="Times New Roman"/>
          <w:kern w:val="2"/>
          <w:sz w:val="32"/>
          <w:szCs w:val="32"/>
        </w:rPr>
        <w:t>精益求精完成贸经统计任务</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6.</w:t>
      </w:r>
      <w:r>
        <w:rPr>
          <w:rFonts w:hint="default" w:ascii="Times New Roman" w:hAnsi="Times New Roman" w:eastAsia="仿宋_GB2312" w:cs="Times New Roman"/>
          <w:kern w:val="2"/>
          <w:sz w:val="32"/>
          <w:szCs w:val="32"/>
        </w:rPr>
        <w:t>加强名录库维护，做好企业升规入统</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cs="Times New Roman"/>
          <w:kern w:val="2"/>
          <w:sz w:val="32"/>
          <w:szCs w:val="32"/>
          <w:lang w:val="en-US" w:eastAsia="zh-CN"/>
        </w:rPr>
        <w:t>7.</w:t>
      </w:r>
      <w:r>
        <w:rPr>
          <w:rFonts w:hint="default" w:ascii="Times New Roman" w:hAnsi="Times New Roman" w:eastAsia="仿宋_GB2312" w:cs="Times New Roman"/>
          <w:kern w:val="2"/>
          <w:sz w:val="32"/>
          <w:szCs w:val="32"/>
        </w:rPr>
        <w:t>做好农业农村统计工作，服务乡村振兴战略</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cs="Times New Roman"/>
          <w:kern w:val="2"/>
          <w:sz w:val="32"/>
          <w:szCs w:val="32"/>
          <w:lang w:val="en-US" w:eastAsia="zh-CN"/>
        </w:rPr>
        <w:t>8.</w:t>
      </w:r>
      <w:r>
        <w:rPr>
          <w:rFonts w:hint="default" w:ascii="Times New Roman" w:hAnsi="Times New Roman" w:eastAsia="仿宋_GB2312" w:cs="Times New Roman"/>
          <w:kern w:val="2"/>
          <w:sz w:val="32"/>
          <w:szCs w:val="32"/>
        </w:rPr>
        <w:t>持续抓好疫情防控工作不放松</w:t>
      </w:r>
      <w:r>
        <w:rPr>
          <w:rFonts w:hint="default" w:ascii="Times New Roman" w:hAnsi="Times New Roman" w:eastAsia="仿宋_GB2312" w:cs="Times New Roman"/>
          <w:kern w:val="2"/>
          <w:sz w:val="32"/>
          <w:szCs w:val="32"/>
          <w:lang w:eastAsia="zh-CN"/>
        </w:rPr>
        <w:t>。</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黑体" w:cs="Times New Roman"/>
          <w:kern w:val="2"/>
          <w:sz w:val="32"/>
          <w:szCs w:val="32"/>
          <w:lang w:eastAsia="zh-CN"/>
        </w:rPr>
      </w:pPr>
      <w:r>
        <w:rPr>
          <w:rFonts w:hint="default" w:ascii="Times New Roman" w:hAnsi="Times New Roman" w:eastAsia="黑体" w:cs="Times New Roman"/>
          <w:kern w:val="2"/>
          <w:sz w:val="32"/>
          <w:szCs w:val="32"/>
          <w:lang w:eastAsia="zh-CN"/>
        </w:rPr>
        <w:t>二、机构设置</w:t>
      </w:r>
    </w:p>
    <w:p>
      <w:pPr>
        <w:pStyle w:val="8"/>
        <w:pageBreakBefore w:val="0"/>
        <w:kinsoku/>
        <w:wordWrap/>
        <w:overflowPunct/>
        <w:topLinePunct w:val="0"/>
        <w:bidi w:val="0"/>
        <w:adjustRightInd w:val="0"/>
        <w:snapToGrid w:val="0"/>
        <w:spacing w:before="0" w:beforeLines="0" w:line="576" w:lineRule="exact"/>
        <w:ind w:left="0" w:leftChars="0" w:right="0" w:firstLine="640"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茂县统计局属一级预算单位，内设</w:t>
      </w:r>
      <w:r>
        <w:rPr>
          <w:rFonts w:hint="default" w:ascii="Times New Roman" w:hAnsi="Times New Roman" w:eastAsia="仿宋_GB2312" w:cs="Times New Roman"/>
          <w:kern w:val="2"/>
          <w:sz w:val="32"/>
          <w:szCs w:val="32"/>
          <w:lang w:val="en-US" w:eastAsia="zh-CN"/>
        </w:rPr>
        <w:t>4</w:t>
      </w:r>
      <w:r>
        <w:rPr>
          <w:rFonts w:hint="default" w:ascii="Times New Roman" w:hAnsi="Times New Roman" w:eastAsia="仿宋_GB2312" w:cs="Times New Roman"/>
          <w:kern w:val="2"/>
          <w:sz w:val="32"/>
          <w:szCs w:val="32"/>
        </w:rPr>
        <w:t>个机构，分别为办公室、综合统计股、专业统计股、城乡社会经济抽样调查队。</w:t>
      </w:r>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lang w:eastAsia="zh-CN"/>
        </w:rPr>
        <w:t>（一）</w:t>
      </w:r>
      <w:r>
        <w:rPr>
          <w:rFonts w:hint="default" w:ascii="Times New Roman" w:hAnsi="Times New Roman" w:eastAsia="楷体_GB2312" w:cs="Times New Roman"/>
          <w:b/>
          <w:bCs/>
          <w:sz w:val="32"/>
          <w:szCs w:val="32"/>
        </w:rPr>
        <w:t>办公室</w:t>
      </w:r>
      <w:r>
        <w:rPr>
          <w:rFonts w:hint="default" w:ascii="Times New Roman" w:hAnsi="Times New Roman" w:eastAsia="仿宋_GB2312" w:cs="Times New Roman"/>
          <w:kern w:val="2"/>
          <w:sz w:val="32"/>
          <w:szCs w:val="32"/>
          <w:lang w:val="en-US" w:eastAsia="zh-CN" w:bidi="ar-SA"/>
        </w:rPr>
        <w:t xml:space="preserve">协助局领导处理日常工作,综合协调局机关行政工作，承担文秘、政务信息、目标管理、保密、安全、档案、内外收发等工作，统一管理统计事业费，负责局机关后勤保障，干部人事，机构编制，统计系统人员培训工作，负责离退休人员的管理和服务工作，配合有关部门组织管理本系统专业资格考试和职称评审工作，组织单位内政治、业务学习和精神文明建设，负责全县统计系统岗位培训和继续教育工作。 </w:t>
      </w:r>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 w:cs="Times New Roman"/>
          <w:sz w:val="32"/>
          <w:szCs w:val="32"/>
        </w:rPr>
      </w:pPr>
      <w:r>
        <w:rPr>
          <w:rFonts w:hint="default" w:ascii="Times New Roman" w:hAnsi="Times New Roman" w:eastAsia="楷体_GB2312" w:cs="Times New Roman"/>
          <w:b/>
          <w:bCs/>
          <w:sz w:val="32"/>
          <w:szCs w:val="32"/>
          <w:lang w:eastAsia="zh-CN"/>
        </w:rPr>
        <w:t>（二）综合统计股（茂县统计执法队）</w:t>
      </w:r>
      <w:r>
        <w:rPr>
          <w:rFonts w:hint="default" w:ascii="Times New Roman" w:hAnsi="Times New Roman" w:eastAsia="仿宋_GB2312" w:cs="Times New Roman"/>
          <w:kern w:val="2"/>
          <w:sz w:val="32"/>
          <w:szCs w:val="32"/>
          <w:lang w:val="en-US" w:eastAsia="zh-CN" w:bidi="ar-SA"/>
        </w:rPr>
        <w:t>负责对全县经济、社会、科技运行情况进行监测、分析和预测，组织实施全县国民经济核算体系，对统计数据的使用和提供进行管理、审查、汇总整理全县及各乡镇的经济、科技、社会综合性统计资料，承担国内生产总值、投入产出、资金流量、国际收支、资产负债和资源环境核算工作。提供全县国民经济核算资料及有关综合平衡状况分析研究报告。研究改革调查方法，负责全县统计业务目标管理考核工作；归口管理教育、文化、卫生、体育、广播、档案、环保、民政、司法、公用事业等部门统计；负责全县乡镇信息系统建设，组织实施《中国妇女纲要》，《中国儿童发展纲要》的收集评估工作。草拟全县性统计法规、规章和重要统计工作文件，组织统计法律、法规的宣传贯彻和执法检查监督工作，会同有关部门检查处理违法统计法律、法规的案件和事件。</w:t>
      </w:r>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sz w:val="32"/>
          <w:szCs w:val="32"/>
          <w:lang w:eastAsia="zh-CN"/>
        </w:rPr>
        <w:t>（三）专业统计股</w:t>
      </w:r>
      <w:r>
        <w:rPr>
          <w:rFonts w:hint="default" w:ascii="Times New Roman" w:hAnsi="Times New Roman" w:eastAsia="仿宋_GB2312" w:cs="Times New Roman"/>
          <w:kern w:val="2"/>
          <w:sz w:val="32"/>
          <w:szCs w:val="32"/>
          <w:lang w:val="en-US" w:eastAsia="zh-CN" w:bidi="ar-SA"/>
        </w:rPr>
        <w:t xml:space="preserve">负责组织实施工业、交通运输、邮电、能源、农牧业生产、农村工、商、运、建、服务业的生产经营和农业机械、水利及农村固定资产结构、农村自然灾害、农业总产值、增加值等各项农村经济调查；负责组织实施全县固定资产投资、建筑施工企业、贸易餐饮企业、服务企业、劳动就业和从业人员企业生产经营活动、服务业、外经外贸、旅游等调查统计数据。负责对工业、交通、运输邮电、农村基础统计、商贸、服务、行政事业单位基础工作进行指导，并对相关专业数据质量检查、评估分析经济发展中的问题，开展统计分析，提供目标考核资料。 </w:t>
      </w:r>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楷体_GB2312" w:cs="Times New Roman"/>
          <w:b/>
          <w:bCs/>
          <w:sz w:val="32"/>
          <w:szCs w:val="32"/>
          <w:lang w:eastAsia="zh-CN"/>
        </w:rPr>
        <w:t>（四）城乡社会经济抽样调查队</w:t>
      </w:r>
      <w:bookmarkStart w:id="159" w:name="_GoBack"/>
      <w:bookmarkEnd w:id="159"/>
      <w:r>
        <w:rPr>
          <w:rFonts w:hint="default" w:ascii="Times New Roman" w:hAnsi="Times New Roman" w:eastAsia="仿宋_GB2312" w:cs="Times New Roman"/>
          <w:kern w:val="2"/>
          <w:sz w:val="32"/>
          <w:szCs w:val="32"/>
          <w:lang w:val="en-US" w:eastAsia="zh-CN" w:bidi="ar-SA"/>
        </w:rPr>
        <w:t>城乡社会经济抽样调查队由省人民政府确定的，是阿坝州唯一一个反映县镇居民生活收支和物价水平的调查机构，是在行政上受县统计局领导，业务上直接受省城调队指导的行政统计调查机构，负责农民收支统计调查和物价调查点的选定，代表规格品种选择，权数确定，直接调查采价登记、消费及零售物价指数编算以及市场价格变动趋势分析、预测，负责城镇居民家庭收支调查中样本轮换、调查户的抽选、培训，按月入户收发账本和审核、编码、录入、汇总上报工作，并对物价变动、市场运行情况及居民生活收支情况进行分析。</w:t>
      </w: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 w:cs="Times New Roman"/>
          <w:color w:val="000000"/>
          <w:kern w:val="0"/>
          <w:sz w:val="32"/>
          <w:szCs w:val="32"/>
        </w:rPr>
      </w:pPr>
    </w:p>
    <w:p>
      <w:pPr>
        <w:pageBreakBefore w:val="0"/>
        <w:kinsoku/>
        <w:wordWrap/>
        <w:overflowPunct/>
        <w:topLinePunct w:val="0"/>
        <w:bidi w:val="0"/>
        <w:spacing w:line="576" w:lineRule="exact"/>
        <w:ind w:left="0" w:leftChars="0" w:right="0"/>
        <w:jc w:val="both"/>
        <w:textAlignment w:val="auto"/>
        <w:rPr>
          <w:rFonts w:hint="default" w:ascii="Times New Roman" w:hAnsi="Times New Roman" w:cs="Times New Roman"/>
        </w:rPr>
      </w:pPr>
    </w:p>
    <w:p>
      <w:pPr>
        <w:pStyle w:val="2"/>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lang w:eastAsia="zh-CN"/>
        </w:rPr>
        <w:t>第二部分</w:t>
      </w:r>
      <w:r>
        <w:rPr>
          <w:rFonts w:hint="default" w:ascii="Times New Roman" w:hAnsi="Times New Roman" w:eastAsia="方正小标宋简体" w:cs="Times New Roman"/>
          <w:sz w:val="44"/>
          <w:szCs w:val="44"/>
          <w:lang w:val="en-US" w:eastAsia="zh-CN"/>
        </w:rPr>
        <w:t xml:space="preserve"> 2021年度部门决算情况说明</w:t>
      </w:r>
      <w:bookmarkStart w:id="22" w:name="_Toc79163610"/>
      <w:bookmarkStart w:id="23" w:name="_Toc79163860"/>
      <w:bookmarkStart w:id="24" w:name="_Toc15377205"/>
      <w:bookmarkStart w:id="25" w:name="_Toc15396603"/>
    </w:p>
    <w:p>
      <w:pPr>
        <w:pStyle w:val="2"/>
        <w:keepNext w:val="0"/>
        <w:keepLines w:val="0"/>
        <w:pageBreakBefore w:val="0"/>
        <w:kinsoku/>
        <w:wordWrap/>
        <w:overflowPunct/>
        <w:topLinePunct w:val="0"/>
        <w:autoSpaceDE/>
        <w:autoSpaceDN/>
        <w:bidi w:val="0"/>
        <w:adjustRightInd/>
        <w:snapToGrid/>
        <w:spacing w:line="576" w:lineRule="exact"/>
        <w:textAlignment w:val="auto"/>
        <w:rPr>
          <w:rStyle w:val="25"/>
          <w:rFonts w:hint="default" w:ascii="Times New Roman" w:hAnsi="Times New Roman" w:eastAsia="黑体" w:cs="Times New Roman"/>
          <w:b w:val="0"/>
          <w:sz w:val="32"/>
          <w:szCs w:val="32"/>
        </w:rPr>
      </w:pPr>
      <w:r>
        <w:rPr>
          <w:rFonts w:hint="default" w:ascii="Times New Roman" w:hAnsi="Times New Roman" w:eastAsia="黑体" w:cs="Times New Roman"/>
          <w:sz w:val="32"/>
          <w:szCs w:val="32"/>
          <w:lang w:val="en-US" w:eastAsia="zh-CN"/>
        </w:rPr>
        <w:t>一、</w:t>
      </w:r>
      <w:r>
        <w:rPr>
          <w:rFonts w:hint="default" w:ascii="Times New Roman" w:hAnsi="Times New Roman" w:eastAsia="黑体" w:cs="Times New Roman"/>
          <w:color w:val="000000"/>
          <w:sz w:val="32"/>
          <w:szCs w:val="32"/>
        </w:rPr>
        <w:t>收</w:t>
      </w:r>
      <w:r>
        <w:rPr>
          <w:rStyle w:val="25"/>
          <w:rFonts w:hint="default" w:ascii="Times New Roman" w:hAnsi="Times New Roman" w:eastAsia="黑体" w:cs="Times New Roman"/>
          <w:b w:val="0"/>
          <w:sz w:val="32"/>
          <w:szCs w:val="32"/>
        </w:rPr>
        <w:t>入支出决算总体情况说明</w:t>
      </w:r>
      <w:bookmarkEnd w:id="22"/>
      <w:bookmarkEnd w:id="23"/>
      <w:bookmarkEnd w:id="24"/>
      <w:bookmarkEnd w:id="25"/>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2021年度收、支总计</w:t>
      </w:r>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万元。与2020年相比，收、支总计各减少</w:t>
      </w:r>
      <w:r>
        <w:rPr>
          <w:rFonts w:hint="default" w:ascii="Times New Roman" w:hAnsi="Times New Roman" w:eastAsia="仿宋_GB2312" w:cs="Times New Roman"/>
          <w:color w:val="000000"/>
          <w:sz w:val="32"/>
          <w:szCs w:val="32"/>
          <w:lang w:val="en-US" w:eastAsia="zh-CN"/>
        </w:rPr>
        <w:t>139.24</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lang w:val="en-US" w:eastAsia="zh-CN"/>
        </w:rPr>
        <w:t>31</w:t>
      </w:r>
      <w:r>
        <w:rPr>
          <w:rFonts w:hint="default" w:ascii="Times New Roman" w:hAnsi="Times New Roman" w:eastAsia="仿宋_GB2312" w:cs="Times New Roman"/>
          <w:color w:val="000000"/>
          <w:sz w:val="32"/>
          <w:szCs w:val="32"/>
        </w:rPr>
        <w:t>%。主要变动原因是</w:t>
      </w:r>
      <w:r>
        <w:rPr>
          <w:rFonts w:hint="default" w:ascii="Times New Roman" w:hAnsi="Times New Roman" w:eastAsia="仿宋_GB2312" w:cs="Times New Roman"/>
          <w:color w:val="000000"/>
          <w:sz w:val="32"/>
          <w:szCs w:val="32"/>
          <w:lang w:eastAsia="zh-CN"/>
        </w:rPr>
        <w:t>去年</w:t>
      </w:r>
      <w:r>
        <w:rPr>
          <w:rFonts w:hint="default" w:ascii="Times New Roman" w:hAnsi="Times New Roman" w:eastAsia="仿宋_GB2312" w:cs="Times New Roman"/>
          <w:color w:val="000000"/>
          <w:sz w:val="32"/>
          <w:szCs w:val="32"/>
        </w:rPr>
        <w:t>年初结转结余增加，项目支出增加</w:t>
      </w:r>
      <w:r>
        <w:rPr>
          <w:rFonts w:hint="default" w:ascii="Times New Roman" w:hAnsi="Times New Roman" w:eastAsia="仿宋_GB2312" w:cs="Times New Roman"/>
          <w:color w:val="000000"/>
          <w:sz w:val="32"/>
          <w:szCs w:val="32"/>
          <w:lang w:eastAsia="zh-CN"/>
        </w:rPr>
        <w:t>，今年无结转结余和项目支出。</w:t>
      </w:r>
    </w:p>
    <w:p>
      <w:pPr>
        <w:keepNext w:val="0"/>
        <w:keepLines w:val="0"/>
        <w:pageBreakBefore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sz w:val="32"/>
          <w:szCs w:val="32"/>
        </w:rPr>
      </w:pPr>
      <w:r>
        <w:rPr>
          <w:rFonts w:hint="default" w:ascii="Times New Roman" w:hAnsi="Times New Roman" w:eastAsia="楷体_GB2312" w:cs="Times New Roman"/>
          <w:color w:val="000000"/>
          <w:kern w:val="0"/>
          <w:sz w:val="32"/>
          <w:szCs w:val="32"/>
        </w:rPr>
        <w:t>图1：收、支决算总计变动情况图（单位：万元）</w:t>
      </w: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宋体" w:cs="Times New Roman"/>
          <w:lang w:eastAsia="zh-CN"/>
        </w:rPr>
        <w:drawing>
          <wp:anchor distT="0" distB="0" distL="114300" distR="114300" simplePos="0" relativeHeight="251661312" behindDoc="1" locked="0" layoutInCell="1" allowOverlap="1">
            <wp:simplePos x="0" y="0"/>
            <wp:positionH relativeFrom="column">
              <wp:posOffset>345440</wp:posOffset>
            </wp:positionH>
            <wp:positionV relativeFrom="paragraph">
              <wp:posOffset>81280</wp:posOffset>
            </wp:positionV>
            <wp:extent cx="5080000" cy="3810000"/>
            <wp:effectExtent l="4445" t="4445" r="20955" b="14605"/>
            <wp:wrapTight wrapText="bothSides">
              <wp:wrapPolygon>
                <wp:start x="-19" y="-25"/>
                <wp:lineTo x="-19" y="21575"/>
                <wp:lineTo x="21527" y="21575"/>
                <wp:lineTo x="21527" y="-25"/>
                <wp:lineTo x="-19" y="-25"/>
              </wp:wrapPolygon>
            </wp:wrapTight>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bookmarkStart w:id="26" w:name="_Toc79163861"/>
      <w:bookmarkStart w:id="27" w:name="_Toc79163611"/>
      <w:bookmarkStart w:id="28" w:name="_Toc15377206"/>
      <w:bookmarkStart w:id="29" w:name="_Toc15396604"/>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pageBreakBefore w:val="0"/>
        <w:numPr>
          <w:ilvl w:val="0"/>
          <w:numId w:val="0"/>
        </w:numPr>
        <w:kinsoku/>
        <w:wordWrap/>
        <w:overflowPunct/>
        <w:topLinePunct w:val="0"/>
        <w:bidi w:val="0"/>
        <w:spacing w:line="576" w:lineRule="exact"/>
        <w:ind w:left="-720" w:leftChars="0" w:right="0" w:rightChars="0"/>
        <w:jc w:val="both"/>
        <w:textAlignment w:val="auto"/>
        <w:outlineLvl w:val="1"/>
        <w:rPr>
          <w:rFonts w:hint="default" w:ascii="Times New Roman" w:hAnsi="Times New Roman" w:eastAsia="黑体" w:cs="Times New Roman"/>
          <w:color w:val="000000"/>
          <w:sz w:val="32"/>
          <w:szCs w:val="32"/>
        </w:rPr>
      </w:pPr>
    </w:p>
    <w:p>
      <w:pPr>
        <w:pStyle w:val="30"/>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right="0" w:rightChars="0" w:firstLine="640" w:firstLineChars="200"/>
        <w:jc w:val="both"/>
        <w:textAlignment w:val="auto"/>
        <w:outlineLvl w:val="1"/>
        <w:rPr>
          <w:rStyle w:val="25"/>
          <w:rFonts w:hint="default" w:ascii="Times New Roman" w:hAnsi="Times New Roman" w:eastAsia="黑体" w:cs="Times New Roman"/>
          <w:b w:val="0"/>
        </w:rPr>
      </w:pPr>
      <w:r>
        <w:rPr>
          <w:rFonts w:hint="default" w:ascii="Times New Roman" w:hAnsi="Times New Roman" w:eastAsia="黑体" w:cs="Times New Roman"/>
          <w:color w:val="000000"/>
          <w:sz w:val="32"/>
          <w:szCs w:val="32"/>
          <w:lang w:eastAsia="zh-CN"/>
        </w:rPr>
        <w:t>二、</w:t>
      </w:r>
      <w:r>
        <w:rPr>
          <w:rFonts w:hint="default" w:ascii="Times New Roman" w:hAnsi="Times New Roman" w:eastAsia="黑体" w:cs="Times New Roman"/>
          <w:color w:val="000000"/>
          <w:sz w:val="32"/>
          <w:szCs w:val="32"/>
        </w:rPr>
        <w:t>收</w:t>
      </w:r>
      <w:r>
        <w:rPr>
          <w:rStyle w:val="25"/>
          <w:rFonts w:hint="default" w:ascii="Times New Roman" w:hAnsi="Times New Roman" w:eastAsia="黑体" w:cs="Times New Roman"/>
          <w:b w:val="0"/>
        </w:rPr>
        <w:t>入决算情况说明</w:t>
      </w:r>
      <w:bookmarkEnd w:id="26"/>
      <w:bookmarkEnd w:id="27"/>
      <w:bookmarkEnd w:id="28"/>
      <w:bookmarkEnd w:id="29"/>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2021年本年收入合计</w:t>
      </w:r>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万元，其中：</w:t>
      </w:r>
      <w:bookmarkStart w:id="30" w:name="OLE_LINK1"/>
      <w:r>
        <w:rPr>
          <w:rFonts w:hint="default" w:ascii="Times New Roman" w:hAnsi="Times New Roman" w:eastAsia="仿宋_GB2312" w:cs="Times New Roman"/>
          <w:color w:val="000000"/>
          <w:sz w:val="32"/>
          <w:szCs w:val="32"/>
        </w:rPr>
        <w:t>一般公共预算财政拨款收入</w:t>
      </w:r>
      <w:bookmarkEnd w:id="30"/>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w:t>
      </w:r>
      <w:bookmarkStart w:id="31" w:name="OLE_LINK2"/>
      <w:r>
        <w:rPr>
          <w:rFonts w:hint="default" w:ascii="Times New Roman" w:hAnsi="Times New Roman" w:eastAsia="仿宋_GB2312" w:cs="Times New Roman"/>
          <w:color w:val="000000"/>
          <w:sz w:val="32"/>
          <w:szCs w:val="32"/>
        </w:rPr>
        <w:t>政府性基金预算财政拨款收入</w:t>
      </w:r>
      <w:bookmarkEnd w:id="31"/>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%；上级补助收入</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bookmarkStart w:id="32" w:name="OLE_LINK3"/>
      <w:r>
        <w:rPr>
          <w:rFonts w:hint="default" w:ascii="Times New Roman" w:hAnsi="Times New Roman" w:eastAsia="仿宋_GB2312" w:cs="Times New Roman"/>
          <w:color w:val="000000"/>
          <w:sz w:val="32"/>
          <w:szCs w:val="32"/>
        </w:rPr>
        <w:t>事业收入</w:t>
      </w:r>
      <w:bookmarkEnd w:id="32"/>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%；经营收入</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%；附属单位上缴收入</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%；其他收入</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w:t>
      </w:r>
    </w:p>
    <w:p>
      <w:pPr>
        <w:keepNext w:val="0"/>
        <w:keepLines w:val="0"/>
        <w:pageBreakBefore w:val="0"/>
        <w:widowControl w:val="0"/>
        <w:kinsoku/>
        <w:wordWrap/>
        <w:overflowPunct/>
        <w:topLinePunct w:val="0"/>
        <w:autoSpaceDE/>
        <w:autoSpaceDN/>
        <w:bidi w:val="0"/>
        <w:adjustRightInd/>
        <w:snapToGrid/>
        <w:spacing w:line="576" w:lineRule="exact"/>
        <w:ind w:left="0" w:leftChars="0" w:right="0" w:firstLine="640" w:firstLineChars="200"/>
        <w:jc w:val="both"/>
        <w:textAlignment w:val="auto"/>
        <w:rPr>
          <w:rFonts w:hint="default" w:ascii="Times New Roman" w:hAnsi="Times New Roman" w:eastAsia="楷体_GB2312" w:cs="Times New Roman"/>
          <w:color w:val="FF0000"/>
          <w:sz w:val="32"/>
          <w:szCs w:val="32"/>
        </w:rPr>
      </w:pPr>
      <w:r>
        <w:rPr>
          <w:rFonts w:hint="default" w:ascii="Times New Roman" w:hAnsi="Times New Roman" w:eastAsia="楷体_GB2312" w:cs="Times New Roman"/>
          <w:color w:val="000000"/>
          <w:kern w:val="0"/>
          <w:sz w:val="32"/>
          <w:szCs w:val="32"/>
        </w:rPr>
        <w:t>图 2：收入决算结构图</w:t>
      </w:r>
    </w:p>
    <w:p>
      <w:pPr>
        <w:pStyle w:val="2"/>
        <w:pageBreakBefore w:val="0"/>
        <w:kinsoku/>
        <w:wordWrap/>
        <w:overflowPunct/>
        <w:topLinePunct w:val="0"/>
        <w:bidi w:val="0"/>
        <w:spacing w:line="576" w:lineRule="exact"/>
        <w:ind w:left="0" w:leftChars="0" w:right="0"/>
        <w:jc w:val="both"/>
        <w:textAlignment w:val="auto"/>
        <w:rPr>
          <w:rStyle w:val="25"/>
          <w:rFonts w:hint="default" w:ascii="Times New Roman" w:hAnsi="Times New Roman" w:eastAsia="黑体" w:cs="Times New Roman"/>
          <w:b w:val="0"/>
        </w:rPr>
      </w:pPr>
      <w:bookmarkStart w:id="33" w:name="_Toc79163862"/>
      <w:bookmarkStart w:id="34" w:name="_Toc15396605"/>
      <w:bookmarkStart w:id="35" w:name="_Toc15377207"/>
      <w:bookmarkStart w:id="36" w:name="_Toc79163612"/>
      <w:r>
        <w:rPr>
          <w:rStyle w:val="25"/>
          <w:rFonts w:hint="default" w:ascii="Times New Roman" w:hAnsi="Times New Roman" w:eastAsia="黑体" w:cs="Times New Roman"/>
          <w:b w:val="0"/>
          <w:lang w:eastAsia="zh-CN"/>
        </w:rPr>
        <w:drawing>
          <wp:anchor distT="0" distB="0" distL="114300" distR="114300" simplePos="0" relativeHeight="251662336" behindDoc="1" locked="0" layoutInCell="1" allowOverlap="1">
            <wp:simplePos x="0" y="0"/>
            <wp:positionH relativeFrom="column">
              <wp:posOffset>410845</wp:posOffset>
            </wp:positionH>
            <wp:positionV relativeFrom="paragraph">
              <wp:posOffset>10160</wp:posOffset>
            </wp:positionV>
            <wp:extent cx="5253990" cy="2912745"/>
            <wp:effectExtent l="4445" t="4445" r="18415" b="73660"/>
            <wp:wrapTight wrapText="bothSides">
              <wp:wrapPolygon>
                <wp:start x="-18" y="-33"/>
                <wp:lineTo x="-18" y="21440"/>
                <wp:lineTo x="21519" y="21440"/>
                <wp:lineTo x="21519" y="-33"/>
                <wp:lineTo x="-18" y="-33"/>
              </wp:wrapPolygon>
            </wp:wrapTight>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w:rPr>
          <w:rStyle w:val="25"/>
          <w:rFonts w:hint="default" w:ascii="Times New Roman" w:hAnsi="Times New Roman" w:eastAsia="黑体" w:cs="Times New Roman"/>
          <w:b w:val="0"/>
          <w:lang w:eastAsia="zh-CN"/>
        </w:rPr>
        <w:t>三、</w:t>
      </w:r>
      <w:r>
        <w:rPr>
          <w:rStyle w:val="25"/>
          <w:rFonts w:hint="default" w:ascii="Times New Roman" w:hAnsi="Times New Roman" w:eastAsia="黑体" w:cs="Times New Roman"/>
          <w:b w:val="0"/>
        </w:rPr>
        <w:t>支出决算情况说明</w:t>
      </w:r>
      <w:bookmarkEnd w:id="33"/>
      <w:bookmarkEnd w:id="34"/>
      <w:bookmarkEnd w:id="35"/>
      <w:bookmarkEnd w:id="36"/>
    </w:p>
    <w:p>
      <w:pPr>
        <w:pageBreakBefore w:val="0"/>
        <w:kinsoku/>
        <w:wordWrap/>
        <w:overflowPunct/>
        <w:topLinePunct w:val="0"/>
        <w:bidi w:val="0"/>
        <w:spacing w:line="576" w:lineRule="exact"/>
        <w:ind w:left="0" w:leftChars="0" w:right="0" w:firstLine="42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 w:cs="Times New Roman"/>
          <w:lang w:eastAsia="zh-CN"/>
        </w:rPr>
        <w:drawing>
          <wp:anchor distT="0" distB="0" distL="114300" distR="114300" simplePos="0" relativeHeight="251663360" behindDoc="1" locked="0" layoutInCell="1" allowOverlap="1">
            <wp:simplePos x="0" y="0"/>
            <wp:positionH relativeFrom="column">
              <wp:posOffset>250825</wp:posOffset>
            </wp:positionH>
            <wp:positionV relativeFrom="paragraph">
              <wp:posOffset>1925320</wp:posOffset>
            </wp:positionV>
            <wp:extent cx="5080000" cy="2215515"/>
            <wp:effectExtent l="4445" t="4445" r="20955" b="8890"/>
            <wp:wrapTight wrapText="bothSides">
              <wp:wrapPolygon>
                <wp:start x="-19" y="-43"/>
                <wp:lineTo x="-19" y="21501"/>
                <wp:lineTo x="21527" y="21501"/>
                <wp:lineTo x="21527" y="-43"/>
                <wp:lineTo x="-19" y="-43"/>
              </wp:wrapPolygon>
            </wp:wrapTight>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default" w:ascii="Times New Roman" w:hAnsi="Times New Roman" w:eastAsia="仿宋_GB2312" w:cs="Times New Roman"/>
          <w:sz w:val="32"/>
          <w:szCs w:val="32"/>
        </w:rPr>
        <w:t>2021年本年支出合计</w:t>
      </w:r>
      <w:r>
        <w:rPr>
          <w:rFonts w:hint="default" w:ascii="Times New Roman" w:hAnsi="Times New Roman" w:eastAsia="仿宋_GB2312" w:cs="Times New Roman"/>
          <w:sz w:val="32"/>
          <w:szCs w:val="32"/>
          <w:lang w:val="en-US" w:eastAsia="zh-CN"/>
        </w:rPr>
        <w:t>305.86</w:t>
      </w:r>
      <w:r>
        <w:rPr>
          <w:rFonts w:hint="default" w:ascii="Times New Roman" w:hAnsi="Times New Roman" w:eastAsia="仿宋_GB2312" w:cs="Times New Roman"/>
          <w:sz w:val="32"/>
          <w:szCs w:val="32"/>
        </w:rPr>
        <w:t>万元，其中：</w:t>
      </w:r>
      <w:bookmarkStart w:id="37" w:name="OLE_LINK5"/>
      <w:r>
        <w:rPr>
          <w:rFonts w:hint="default" w:ascii="Times New Roman" w:hAnsi="Times New Roman" w:eastAsia="仿宋_GB2312" w:cs="Times New Roman"/>
          <w:sz w:val="32"/>
          <w:szCs w:val="32"/>
        </w:rPr>
        <w:t>基本支出</w:t>
      </w:r>
      <w:bookmarkEnd w:id="37"/>
      <w:r>
        <w:rPr>
          <w:rFonts w:hint="default" w:ascii="Times New Roman" w:hAnsi="Times New Roman" w:eastAsia="仿宋_GB2312" w:cs="Times New Roman"/>
          <w:sz w:val="32"/>
          <w:szCs w:val="32"/>
          <w:lang w:val="en-US" w:eastAsia="zh-CN"/>
        </w:rPr>
        <w:t>304.91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99.6</w:t>
      </w:r>
      <w:r>
        <w:rPr>
          <w:rFonts w:hint="default" w:ascii="Times New Roman" w:hAnsi="Times New Roman" w:eastAsia="仿宋_GB2312" w:cs="Times New Roman"/>
          <w:sz w:val="32"/>
          <w:szCs w:val="32"/>
        </w:rPr>
        <w:t>%；</w:t>
      </w:r>
      <w:bookmarkStart w:id="38" w:name="OLE_LINK6"/>
      <w:r>
        <w:rPr>
          <w:rFonts w:hint="default" w:ascii="Times New Roman" w:hAnsi="Times New Roman" w:eastAsia="仿宋_GB2312" w:cs="Times New Roman"/>
          <w:sz w:val="32"/>
          <w:szCs w:val="32"/>
        </w:rPr>
        <w:t>项目支出</w:t>
      </w:r>
      <w:bookmarkEnd w:id="38"/>
      <w:r>
        <w:rPr>
          <w:rFonts w:hint="default" w:ascii="Times New Roman" w:hAnsi="Times New Roman" w:eastAsia="仿宋_GB2312" w:cs="Times New Roman"/>
          <w:sz w:val="32"/>
          <w:szCs w:val="32"/>
          <w:lang w:val="en-US" w:eastAsia="zh-CN"/>
        </w:rPr>
        <w:t>0.98</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0.4</w:t>
      </w:r>
      <w:r>
        <w:rPr>
          <w:rFonts w:hint="default" w:ascii="Times New Roman" w:hAnsi="Times New Roman" w:eastAsia="仿宋_GB2312" w:cs="Times New Roman"/>
          <w:sz w:val="32"/>
          <w:szCs w:val="32"/>
        </w:rPr>
        <w:t>%；上缴上级支出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%；经营支出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%；对附属单位补助支出</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图3：</w:t>
      </w:r>
      <w:bookmarkStart w:id="39" w:name="OLE_LINK4"/>
      <w:r>
        <w:rPr>
          <w:rFonts w:hint="default" w:ascii="Times New Roman" w:hAnsi="Times New Roman" w:eastAsia="楷体_GB2312" w:cs="Times New Roman"/>
          <w:color w:val="000000"/>
          <w:sz w:val="32"/>
          <w:szCs w:val="32"/>
        </w:rPr>
        <w:t>支出决算结构图</w:t>
      </w:r>
      <w:bookmarkEnd w:id="39"/>
    </w:p>
    <w:p>
      <w:pPr>
        <w:pStyle w:val="2"/>
        <w:rPr>
          <w:rFonts w:hint="default" w:ascii="Times New Roman" w:hAnsi="Times New Roman" w:eastAsia="楷体_GB2312" w:cs="Times New Roman"/>
          <w:color w:val="000000"/>
          <w:sz w:val="32"/>
          <w:szCs w:val="32"/>
        </w:rPr>
      </w:pPr>
    </w:p>
    <w:p>
      <w:pPr>
        <w:rPr>
          <w:rFonts w:hint="default" w:ascii="Times New Roman" w:hAnsi="Times New Roman" w:eastAsia="楷体_GB2312" w:cs="Times New Roman"/>
          <w:color w:val="000000"/>
          <w:sz w:val="32"/>
          <w:szCs w:val="32"/>
        </w:rPr>
      </w:pPr>
    </w:p>
    <w:p>
      <w:pPr>
        <w:pStyle w:val="2"/>
        <w:rPr>
          <w:rFonts w:hint="default" w:ascii="Times New Roman" w:hAnsi="Times New Roman" w:eastAsia="楷体_GB2312" w:cs="Times New Roman"/>
          <w:color w:val="000000"/>
          <w:sz w:val="32"/>
          <w:szCs w:val="32"/>
        </w:rPr>
      </w:pPr>
    </w:p>
    <w:p>
      <w:pPr>
        <w:rPr>
          <w:rFonts w:hint="default" w:ascii="Times New Roman" w:hAnsi="Times New Roman" w:eastAsia="楷体_GB2312" w:cs="Times New Roman"/>
          <w:color w:val="000000"/>
          <w:sz w:val="32"/>
          <w:szCs w:val="32"/>
        </w:rPr>
      </w:pPr>
    </w:p>
    <w:p>
      <w:pPr>
        <w:pStyle w:val="2"/>
        <w:rPr>
          <w:rFonts w:hint="default" w:ascii="Times New Roman" w:hAnsi="Times New Roman" w:cs="Times New Roman"/>
        </w:rPr>
      </w:pPr>
    </w:p>
    <w:p>
      <w:pPr>
        <w:pageBreakBefore w:val="0"/>
        <w:kinsoku/>
        <w:wordWrap/>
        <w:overflowPunct/>
        <w:topLinePunct w:val="0"/>
        <w:bidi w:val="0"/>
        <w:spacing w:line="576" w:lineRule="exact"/>
        <w:ind w:left="0" w:leftChars="0" w:right="0" w:firstLine="640" w:firstLineChars="200"/>
        <w:jc w:val="both"/>
        <w:textAlignment w:val="auto"/>
        <w:outlineLvl w:val="1"/>
        <w:rPr>
          <w:rStyle w:val="25"/>
          <w:rFonts w:hint="default" w:ascii="Times New Roman" w:hAnsi="Times New Roman" w:eastAsia="黑体" w:cs="Times New Roman"/>
          <w:b w:val="0"/>
        </w:rPr>
      </w:pPr>
      <w:bookmarkStart w:id="40" w:name="_Toc79163613"/>
      <w:bookmarkStart w:id="41" w:name="_Toc15396606"/>
      <w:bookmarkStart w:id="42" w:name="_Toc79163863"/>
      <w:bookmarkStart w:id="43" w:name="_Toc15377208"/>
      <w:r>
        <w:rPr>
          <w:rFonts w:hint="default" w:ascii="Times New Roman" w:hAnsi="Times New Roman" w:eastAsia="黑体" w:cs="Times New Roman"/>
          <w:color w:val="000000"/>
          <w:sz w:val="32"/>
          <w:szCs w:val="32"/>
        </w:rPr>
        <w:t>四、财</w:t>
      </w:r>
      <w:r>
        <w:rPr>
          <w:rStyle w:val="25"/>
          <w:rFonts w:hint="default" w:ascii="Times New Roman" w:hAnsi="Times New Roman" w:eastAsia="黑体" w:cs="Times New Roman"/>
          <w:b w:val="0"/>
        </w:rPr>
        <w:t>政拨款收入支出决算总体情况说明</w:t>
      </w:r>
      <w:bookmarkEnd w:id="40"/>
      <w:bookmarkEnd w:id="41"/>
      <w:bookmarkEnd w:id="42"/>
      <w:bookmarkEnd w:id="43"/>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rPr>
        <w:t>2021年财政拨款收、支总计</w:t>
      </w:r>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万元。与2020年相比，收、支总计各减少</w:t>
      </w:r>
      <w:r>
        <w:rPr>
          <w:rFonts w:hint="default" w:ascii="Times New Roman" w:hAnsi="Times New Roman" w:eastAsia="仿宋_GB2312" w:cs="Times New Roman"/>
          <w:color w:val="000000"/>
          <w:sz w:val="32"/>
          <w:szCs w:val="32"/>
          <w:lang w:val="en-US" w:eastAsia="zh-CN"/>
        </w:rPr>
        <w:t>139.24</w:t>
      </w:r>
      <w:r>
        <w:rPr>
          <w:rFonts w:hint="default" w:ascii="Times New Roman" w:hAnsi="Times New Roman" w:eastAsia="仿宋_GB2312" w:cs="Times New Roman"/>
          <w:color w:val="000000"/>
          <w:sz w:val="32"/>
          <w:szCs w:val="32"/>
        </w:rPr>
        <w:t>万元，下降</w:t>
      </w:r>
      <w:r>
        <w:rPr>
          <w:rFonts w:hint="default" w:ascii="Times New Roman" w:hAnsi="Times New Roman" w:eastAsia="仿宋_GB2312" w:cs="Times New Roman"/>
          <w:color w:val="000000"/>
          <w:sz w:val="32"/>
          <w:szCs w:val="32"/>
          <w:lang w:val="en-US" w:eastAsia="zh-CN"/>
        </w:rPr>
        <w:t>31</w:t>
      </w:r>
      <w:r>
        <w:rPr>
          <w:rFonts w:hint="default" w:ascii="Times New Roman" w:hAnsi="Times New Roman" w:eastAsia="仿宋_GB2312" w:cs="Times New Roman"/>
          <w:color w:val="000000"/>
          <w:sz w:val="32"/>
          <w:szCs w:val="32"/>
        </w:rPr>
        <w:t>%。主要变动原因是</w:t>
      </w:r>
      <w:r>
        <w:rPr>
          <w:rFonts w:hint="default" w:ascii="Times New Roman" w:hAnsi="Times New Roman" w:eastAsia="仿宋_GB2312" w:cs="Times New Roman"/>
          <w:color w:val="000000"/>
          <w:sz w:val="32"/>
          <w:szCs w:val="32"/>
          <w:lang w:eastAsia="zh-CN"/>
        </w:rPr>
        <w:t>去年</w:t>
      </w:r>
      <w:r>
        <w:rPr>
          <w:rFonts w:hint="default" w:ascii="Times New Roman" w:hAnsi="Times New Roman" w:eastAsia="仿宋_GB2312" w:cs="Times New Roman"/>
          <w:color w:val="000000"/>
          <w:sz w:val="32"/>
          <w:szCs w:val="32"/>
        </w:rPr>
        <w:t>年初结转结余增加，项目支出增加</w:t>
      </w:r>
      <w:r>
        <w:rPr>
          <w:rFonts w:hint="default" w:ascii="Times New Roman" w:hAnsi="Times New Roman" w:eastAsia="仿宋_GB2312" w:cs="Times New Roman"/>
          <w:color w:val="000000"/>
          <w:sz w:val="32"/>
          <w:szCs w:val="32"/>
          <w:lang w:eastAsia="zh-CN"/>
        </w:rPr>
        <w:t>，今年无结转结余和项目支出。</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图4：财政拨款收、支决算总计变动情况</w:t>
      </w:r>
    </w:p>
    <w:p>
      <w:pPr>
        <w:pageBreakBefore w:val="0"/>
        <w:kinsoku/>
        <w:wordWrap/>
        <w:overflowPunct/>
        <w:topLinePunct w:val="0"/>
        <w:bidi w:val="0"/>
        <w:spacing w:line="576" w:lineRule="exact"/>
        <w:ind w:left="0" w:leftChars="0" w:right="0"/>
        <w:jc w:val="both"/>
        <w:textAlignment w:val="auto"/>
        <w:rPr>
          <w:rFonts w:hint="default" w:ascii="Times New Roman" w:hAnsi="Times New Roman" w:eastAsia="宋体" w:cs="Times New Roman"/>
          <w:lang w:eastAsia="zh-CN"/>
        </w:rPr>
      </w:pPr>
    </w:p>
    <w:p>
      <w:pPr>
        <w:pStyle w:val="2"/>
        <w:pageBreakBefore w:val="0"/>
        <w:kinsoku/>
        <w:wordWrap/>
        <w:overflowPunct/>
        <w:topLinePunct w:val="0"/>
        <w:bidi w:val="0"/>
        <w:spacing w:line="576" w:lineRule="exact"/>
        <w:ind w:left="0" w:leftChars="0" w:right="0"/>
        <w:jc w:val="both"/>
        <w:textAlignment w:val="auto"/>
        <w:rPr>
          <w:rFonts w:hint="default" w:ascii="Times New Roman" w:hAnsi="Times New Roman"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宋体" w:cs="Times New Roman"/>
          <w:lang w:eastAsia="zh-CN"/>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 w:cs="Times New Roman"/>
          <w:b/>
          <w:color w:val="00B050"/>
          <w:sz w:val="32"/>
          <w:szCs w:val="32"/>
        </w:rPr>
      </w:pPr>
      <w:r>
        <w:rPr>
          <w:rFonts w:hint="default" w:ascii="Times New Roman" w:hAnsi="Times New Roman" w:eastAsia="宋体" w:cs="Times New Roman"/>
          <w:lang w:eastAsia="zh-CN"/>
        </w:rPr>
        <w:drawing>
          <wp:anchor distT="0" distB="0" distL="114300" distR="114300" simplePos="0" relativeHeight="251660288" behindDoc="0" locked="0" layoutInCell="1" allowOverlap="1">
            <wp:simplePos x="0" y="0"/>
            <wp:positionH relativeFrom="column">
              <wp:posOffset>410845</wp:posOffset>
            </wp:positionH>
            <wp:positionV relativeFrom="paragraph">
              <wp:posOffset>-3519805</wp:posOffset>
            </wp:positionV>
            <wp:extent cx="4554220" cy="3810000"/>
            <wp:effectExtent l="4445" t="4445" r="13335" b="14605"/>
            <wp:wrapSquare wrapText="bothSides"/>
            <wp:docPr id="4"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p>
    <w:p>
      <w:pPr>
        <w:keepNext w:val="0"/>
        <w:keepLines w:val="0"/>
        <w:pageBreakBefore w:val="0"/>
        <w:widowControl w:val="0"/>
        <w:kinsoku/>
        <w:wordWrap/>
        <w:overflowPunct/>
        <w:topLinePunct w:val="0"/>
        <w:autoSpaceDE/>
        <w:autoSpaceDN/>
        <w:bidi w:val="0"/>
        <w:adjustRightInd/>
        <w:snapToGrid/>
        <w:spacing w:line="576" w:lineRule="exact"/>
        <w:ind w:left="0" w:leftChars="0" w:right="0" w:firstLine="640" w:firstLineChars="200"/>
        <w:jc w:val="both"/>
        <w:textAlignment w:val="auto"/>
        <w:outlineLvl w:val="1"/>
        <w:rPr>
          <w:rStyle w:val="25"/>
          <w:rFonts w:hint="default" w:ascii="Times New Roman" w:hAnsi="Times New Roman" w:eastAsia="黑体" w:cs="Times New Roman"/>
          <w:b w:val="0"/>
        </w:rPr>
      </w:pPr>
      <w:bookmarkStart w:id="44" w:name="_Toc79163614"/>
      <w:bookmarkStart w:id="45" w:name="_Toc15396607"/>
      <w:bookmarkStart w:id="46" w:name="_Toc79163864"/>
      <w:bookmarkStart w:id="47" w:name="_Toc15377209"/>
      <w:r>
        <w:rPr>
          <w:rFonts w:hint="default" w:ascii="Times New Roman" w:hAnsi="Times New Roman" w:eastAsia="黑体" w:cs="Times New Roman"/>
          <w:color w:val="000000"/>
          <w:sz w:val="32"/>
          <w:szCs w:val="32"/>
        </w:rPr>
        <w:t>五、</w:t>
      </w:r>
      <w:r>
        <w:rPr>
          <w:rFonts w:hint="default" w:ascii="Times New Roman" w:hAnsi="Times New Roman" w:eastAsia="黑体" w:cs="Times New Roman"/>
          <w:color w:val="000000"/>
          <w:sz w:val="32"/>
          <w:szCs w:val="32"/>
          <w:lang w:eastAsia="zh-CN"/>
        </w:rPr>
        <w:t>一</w:t>
      </w:r>
      <w:r>
        <w:rPr>
          <w:rStyle w:val="25"/>
          <w:rFonts w:hint="default" w:ascii="Times New Roman" w:hAnsi="Times New Roman" w:eastAsia="黑体" w:cs="Times New Roman"/>
          <w:b w:val="0"/>
        </w:rPr>
        <w:t>般公共预算财政拨款支出决算情况说明</w:t>
      </w:r>
      <w:bookmarkEnd w:id="44"/>
      <w:bookmarkEnd w:id="45"/>
      <w:bookmarkEnd w:id="46"/>
      <w:bookmarkEnd w:id="47"/>
      <w:bookmarkStart w:id="48" w:name="_Toc79163615"/>
      <w:bookmarkStart w:id="49" w:name="_Toc79163865"/>
      <w:bookmarkStart w:id="50" w:name="_Toc15377210"/>
    </w:p>
    <w:p>
      <w:pPr>
        <w:keepNext w:val="0"/>
        <w:keepLines w:val="0"/>
        <w:pageBreakBefore w:val="0"/>
        <w:widowControl w:val="0"/>
        <w:kinsoku/>
        <w:wordWrap/>
        <w:overflowPunct/>
        <w:topLinePunct w:val="0"/>
        <w:autoSpaceDE/>
        <w:autoSpaceDN/>
        <w:bidi w:val="0"/>
        <w:adjustRightInd/>
        <w:snapToGrid/>
        <w:spacing w:line="576" w:lineRule="exact"/>
        <w:ind w:left="0" w:leftChars="0" w:right="0" w:firstLine="642" w:firstLineChars="200"/>
        <w:jc w:val="both"/>
        <w:textAlignment w:val="auto"/>
        <w:outlineLvl w:val="1"/>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rPr>
        <w:t>（一）一般公共预算财政拨款支出决算总体情况</w:t>
      </w:r>
      <w:bookmarkEnd w:id="48"/>
      <w:bookmarkEnd w:id="49"/>
      <w:bookmarkEnd w:id="50"/>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2021年一般公共预算财政拨款支出</w:t>
      </w:r>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万元，占本年支出合计的</w:t>
      </w:r>
      <w:r>
        <w:rPr>
          <w:rFonts w:hint="default" w:ascii="Times New Roman" w:hAnsi="Times New Roman" w:eastAsia="仿宋_GB2312" w:cs="Times New Roman"/>
          <w:color w:val="000000"/>
          <w:sz w:val="32"/>
          <w:szCs w:val="32"/>
          <w:lang w:val="en-US" w:eastAsia="zh-CN"/>
        </w:rPr>
        <w:t>100</w:t>
      </w:r>
      <w:r>
        <w:rPr>
          <w:rFonts w:hint="default" w:ascii="Times New Roman" w:hAnsi="Times New Roman" w:eastAsia="仿宋_GB2312" w:cs="Times New Roman"/>
          <w:color w:val="000000"/>
          <w:sz w:val="32"/>
          <w:szCs w:val="32"/>
        </w:rPr>
        <w:t>%。与2020年相比，一般公共预算财政拨款减少139.24万元，下降31%。主要变动原因是去年</w:t>
      </w:r>
      <w:r>
        <w:rPr>
          <w:rFonts w:hint="default" w:ascii="Times New Roman" w:hAnsi="Times New Roman" w:eastAsia="仿宋_GB2312" w:cs="Times New Roman"/>
          <w:color w:val="000000"/>
          <w:sz w:val="32"/>
          <w:szCs w:val="32"/>
          <w:lang w:eastAsia="zh-CN"/>
        </w:rPr>
        <w:t>有</w:t>
      </w:r>
      <w:r>
        <w:rPr>
          <w:rFonts w:hint="default" w:ascii="Times New Roman" w:hAnsi="Times New Roman" w:eastAsia="仿宋_GB2312" w:cs="Times New Roman"/>
          <w:color w:val="000000"/>
          <w:sz w:val="32"/>
          <w:szCs w:val="32"/>
        </w:rPr>
        <w:t>年初结转结余，项目支出增加，今年无结转结余和项目支出。</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图5：一般公共预算财政拨款支出决算变动情况</w:t>
      </w:r>
    </w:p>
    <w:p>
      <w:pPr>
        <w:pStyle w:val="2"/>
        <w:pageBreakBefore w:val="0"/>
        <w:kinsoku/>
        <w:wordWrap/>
        <w:overflowPunct/>
        <w:topLinePunct w:val="0"/>
        <w:bidi w:val="0"/>
        <w:spacing w:line="576" w:lineRule="exact"/>
        <w:ind w:left="0" w:leftChars="0" w:right="0"/>
        <w:jc w:val="both"/>
        <w:textAlignment w:val="auto"/>
        <w:rPr>
          <w:rFonts w:hint="default" w:ascii="Times New Roman" w:hAnsi="Times New Roman" w:cs="Times New Roman"/>
        </w:rPr>
      </w:pPr>
      <w:r>
        <w:rPr>
          <w:rFonts w:hint="default" w:ascii="Times New Roman" w:hAnsi="Times New Roman" w:eastAsia="宋体" w:cs="Times New Roman"/>
          <w:lang w:eastAsia="zh-CN"/>
        </w:rPr>
        <w:drawing>
          <wp:anchor distT="0" distB="0" distL="114300" distR="114300" simplePos="0" relativeHeight="251664384" behindDoc="0" locked="0" layoutInCell="1" allowOverlap="1">
            <wp:simplePos x="0" y="0"/>
            <wp:positionH relativeFrom="column">
              <wp:posOffset>544830</wp:posOffset>
            </wp:positionH>
            <wp:positionV relativeFrom="paragraph">
              <wp:posOffset>107315</wp:posOffset>
            </wp:positionV>
            <wp:extent cx="4554220" cy="3810000"/>
            <wp:effectExtent l="4445" t="4445" r="13335" b="14605"/>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bookmarkStart w:id="51" w:name="_Toc15377211"/>
      <w:bookmarkStart w:id="52" w:name="_Toc79163616"/>
      <w:bookmarkStart w:id="53" w:name="_Toc79163866"/>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right="0"/>
        <w:jc w:val="both"/>
        <w:textAlignment w:val="auto"/>
        <w:outlineLvl w:val="2"/>
        <w:rPr>
          <w:rFonts w:hint="default" w:ascii="Times New Roman" w:hAnsi="Times New Roman" w:eastAsia="楷体_GB2312"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firstLine="642" w:firstLineChars="200"/>
        <w:jc w:val="both"/>
        <w:textAlignment w:val="auto"/>
        <w:outlineLvl w:val="2"/>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rPr>
        <w:t>（二）一般公共预算财政拨款支出决算结构情况</w:t>
      </w:r>
      <w:bookmarkEnd w:id="51"/>
      <w:bookmarkEnd w:id="52"/>
      <w:bookmarkEnd w:id="53"/>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2021年一般公共预算财政拨款支出</w:t>
      </w:r>
      <w:r>
        <w:rPr>
          <w:rFonts w:hint="default" w:ascii="Times New Roman" w:hAnsi="Times New Roman" w:eastAsia="仿宋_GB2312" w:cs="Times New Roman"/>
          <w:color w:val="000000"/>
          <w:sz w:val="32"/>
          <w:szCs w:val="32"/>
          <w:lang w:val="en-US" w:eastAsia="zh-CN"/>
        </w:rPr>
        <w:t>305.89</w:t>
      </w:r>
      <w:r>
        <w:rPr>
          <w:rFonts w:hint="default" w:ascii="Times New Roman" w:hAnsi="Times New Roman" w:eastAsia="仿宋_GB2312" w:cs="Times New Roman"/>
          <w:color w:val="000000"/>
          <w:sz w:val="32"/>
          <w:szCs w:val="32"/>
        </w:rPr>
        <w:t>万元，主要用于以下方面:</w:t>
      </w:r>
      <w:bookmarkStart w:id="54" w:name="OLE_LINK7"/>
      <w:r>
        <w:rPr>
          <w:rFonts w:hint="default" w:ascii="Times New Roman" w:hAnsi="Times New Roman" w:eastAsia="仿宋_GB2312" w:cs="Times New Roman"/>
          <w:b/>
          <w:color w:val="000000"/>
          <w:sz w:val="32"/>
          <w:szCs w:val="32"/>
        </w:rPr>
        <w:t>一般公共服务（类）</w:t>
      </w:r>
      <w:bookmarkEnd w:id="54"/>
      <w:r>
        <w:rPr>
          <w:rFonts w:hint="default" w:ascii="Times New Roman" w:hAnsi="Times New Roman" w:eastAsia="仿宋_GB2312" w:cs="Times New Roman"/>
          <w:b w:val="0"/>
          <w:bCs/>
          <w:color w:val="000000"/>
          <w:sz w:val="32"/>
          <w:szCs w:val="32"/>
        </w:rPr>
        <w:t>支出</w:t>
      </w:r>
      <w:r>
        <w:rPr>
          <w:rFonts w:hint="default" w:ascii="Times New Roman" w:hAnsi="Times New Roman" w:eastAsia="仿宋_GB2312" w:cs="Times New Roman"/>
          <w:b w:val="0"/>
          <w:bCs/>
          <w:color w:val="000000"/>
          <w:sz w:val="32"/>
          <w:szCs w:val="32"/>
          <w:lang w:val="en-US" w:eastAsia="zh-CN"/>
        </w:rPr>
        <w:t>248.72</w:t>
      </w:r>
      <w:r>
        <w:rPr>
          <w:rFonts w:hint="default" w:ascii="Times New Roman" w:hAnsi="Times New Roman" w:eastAsia="仿宋_GB2312" w:cs="Times New Roman"/>
          <w:b w:val="0"/>
          <w:bCs/>
          <w:color w:val="000000"/>
          <w:sz w:val="32"/>
          <w:szCs w:val="32"/>
        </w:rPr>
        <w:t>万元，占</w:t>
      </w:r>
      <w:r>
        <w:rPr>
          <w:rFonts w:hint="default" w:ascii="Times New Roman" w:hAnsi="Times New Roman" w:eastAsia="仿宋_GB2312" w:cs="Times New Roman"/>
          <w:b w:val="0"/>
          <w:bCs/>
          <w:color w:val="000000"/>
          <w:sz w:val="32"/>
          <w:szCs w:val="32"/>
          <w:lang w:val="en-US" w:eastAsia="zh-CN"/>
        </w:rPr>
        <w:t>81.3</w:t>
      </w:r>
      <w:r>
        <w:rPr>
          <w:rFonts w:hint="default" w:ascii="Times New Roman" w:hAnsi="Times New Roman" w:eastAsia="仿宋_GB2312" w:cs="Times New Roman"/>
          <w:b w:val="0"/>
          <w:bCs/>
          <w:color w:val="000000"/>
          <w:sz w:val="32"/>
          <w:szCs w:val="32"/>
        </w:rPr>
        <w:t>%；</w:t>
      </w:r>
      <w:bookmarkStart w:id="55" w:name="OLE_LINK8"/>
      <w:r>
        <w:rPr>
          <w:rFonts w:hint="default" w:ascii="Times New Roman" w:hAnsi="Times New Roman" w:eastAsia="仿宋_GB2312" w:cs="Times New Roman"/>
          <w:b/>
          <w:color w:val="000000"/>
          <w:sz w:val="32"/>
          <w:szCs w:val="32"/>
        </w:rPr>
        <w:t>社会保障和就业（类）</w:t>
      </w:r>
      <w:bookmarkEnd w:id="55"/>
      <w:r>
        <w:rPr>
          <w:rFonts w:hint="default" w:ascii="Times New Roman" w:hAnsi="Times New Roman" w:eastAsia="仿宋_GB2312" w:cs="Times New Roman"/>
          <w:b w:val="0"/>
          <w:bCs/>
          <w:color w:val="000000"/>
          <w:sz w:val="32"/>
          <w:szCs w:val="32"/>
        </w:rPr>
        <w:t>支出</w:t>
      </w:r>
      <w:r>
        <w:rPr>
          <w:rFonts w:hint="default" w:ascii="Times New Roman" w:hAnsi="Times New Roman" w:eastAsia="仿宋_GB2312" w:cs="Times New Roman"/>
          <w:b w:val="0"/>
          <w:bCs/>
          <w:color w:val="000000"/>
          <w:sz w:val="32"/>
          <w:szCs w:val="32"/>
          <w:lang w:val="en-US" w:eastAsia="zh-CN"/>
        </w:rPr>
        <w:t>26.44</w:t>
      </w:r>
      <w:r>
        <w:rPr>
          <w:rFonts w:hint="default" w:ascii="Times New Roman" w:hAnsi="Times New Roman" w:eastAsia="仿宋_GB2312" w:cs="Times New Roman"/>
          <w:b w:val="0"/>
          <w:bCs/>
          <w:color w:val="000000"/>
          <w:sz w:val="32"/>
          <w:szCs w:val="32"/>
        </w:rPr>
        <w:t>万元，占</w:t>
      </w:r>
      <w:r>
        <w:rPr>
          <w:rFonts w:hint="default" w:ascii="Times New Roman" w:hAnsi="Times New Roman" w:eastAsia="仿宋_GB2312" w:cs="Times New Roman"/>
          <w:b w:val="0"/>
          <w:bCs/>
          <w:color w:val="000000"/>
          <w:sz w:val="32"/>
          <w:szCs w:val="32"/>
          <w:lang w:val="en-US" w:eastAsia="zh-CN"/>
        </w:rPr>
        <w:t>8.6</w:t>
      </w:r>
      <w:r>
        <w:rPr>
          <w:rFonts w:hint="default" w:ascii="Times New Roman" w:hAnsi="Times New Roman" w:eastAsia="仿宋_GB2312" w:cs="Times New Roman"/>
          <w:b w:val="0"/>
          <w:bCs/>
          <w:color w:val="000000"/>
          <w:sz w:val="32"/>
          <w:szCs w:val="32"/>
        </w:rPr>
        <w:t>%；</w:t>
      </w:r>
      <w:bookmarkStart w:id="56" w:name="OLE_LINK9"/>
      <w:r>
        <w:rPr>
          <w:rFonts w:hint="default" w:ascii="Times New Roman" w:hAnsi="Times New Roman" w:eastAsia="仿宋_GB2312" w:cs="Times New Roman"/>
          <w:b/>
          <w:color w:val="000000"/>
          <w:sz w:val="32"/>
          <w:szCs w:val="32"/>
          <w:lang w:eastAsia="zh-CN"/>
        </w:rPr>
        <w:t>卫生健康</w:t>
      </w:r>
      <w:r>
        <w:rPr>
          <w:rFonts w:hint="default" w:ascii="Times New Roman" w:hAnsi="Times New Roman" w:eastAsia="仿宋_GB2312" w:cs="Times New Roman"/>
          <w:b/>
          <w:color w:val="000000"/>
          <w:sz w:val="32"/>
          <w:szCs w:val="32"/>
        </w:rPr>
        <w:t>（类）</w:t>
      </w:r>
      <w:bookmarkEnd w:id="56"/>
      <w:r>
        <w:rPr>
          <w:rFonts w:hint="default" w:ascii="Times New Roman" w:hAnsi="Times New Roman" w:eastAsia="仿宋_GB2312" w:cs="Times New Roman"/>
          <w:b w:val="0"/>
          <w:bCs/>
          <w:color w:val="000000"/>
          <w:sz w:val="32"/>
          <w:szCs w:val="32"/>
        </w:rPr>
        <w:t>支出</w:t>
      </w:r>
      <w:r>
        <w:rPr>
          <w:rFonts w:hint="default" w:ascii="Times New Roman" w:hAnsi="Times New Roman" w:eastAsia="仿宋_GB2312" w:cs="Times New Roman"/>
          <w:b w:val="0"/>
          <w:bCs/>
          <w:color w:val="000000"/>
          <w:sz w:val="32"/>
          <w:szCs w:val="32"/>
          <w:lang w:val="en-US" w:eastAsia="zh-CN"/>
        </w:rPr>
        <w:t>13.04</w:t>
      </w:r>
      <w:r>
        <w:rPr>
          <w:rFonts w:hint="default" w:ascii="Times New Roman" w:hAnsi="Times New Roman" w:eastAsia="仿宋_GB2312" w:cs="Times New Roman"/>
          <w:b w:val="0"/>
          <w:bCs/>
          <w:color w:val="000000"/>
          <w:sz w:val="32"/>
          <w:szCs w:val="32"/>
        </w:rPr>
        <w:t>万元，占</w:t>
      </w:r>
      <w:r>
        <w:rPr>
          <w:rFonts w:hint="default" w:ascii="Times New Roman" w:hAnsi="Times New Roman" w:eastAsia="仿宋_GB2312" w:cs="Times New Roman"/>
          <w:b w:val="0"/>
          <w:bCs/>
          <w:color w:val="000000"/>
          <w:sz w:val="32"/>
          <w:szCs w:val="32"/>
          <w:lang w:val="en-US" w:eastAsia="zh-CN"/>
        </w:rPr>
        <w:t>4.3</w:t>
      </w:r>
      <w:r>
        <w:rPr>
          <w:rFonts w:hint="default" w:ascii="Times New Roman" w:hAnsi="Times New Roman" w:eastAsia="仿宋_GB2312" w:cs="Times New Roman"/>
          <w:b w:val="0"/>
          <w:bCs/>
          <w:color w:val="000000"/>
          <w:sz w:val="32"/>
          <w:szCs w:val="32"/>
        </w:rPr>
        <w:t>%；</w:t>
      </w:r>
      <w:bookmarkStart w:id="57" w:name="OLE_LINK10"/>
      <w:r>
        <w:rPr>
          <w:rFonts w:hint="default" w:ascii="Times New Roman" w:hAnsi="Times New Roman" w:eastAsia="仿宋_GB2312" w:cs="Times New Roman"/>
          <w:b/>
          <w:color w:val="000000"/>
          <w:sz w:val="32"/>
          <w:szCs w:val="32"/>
        </w:rPr>
        <w:t>住房保障（类）</w:t>
      </w:r>
      <w:bookmarkEnd w:id="57"/>
      <w:r>
        <w:rPr>
          <w:rFonts w:hint="default" w:ascii="Times New Roman" w:hAnsi="Times New Roman" w:eastAsia="仿宋_GB2312" w:cs="Times New Roman"/>
          <w:b w:val="0"/>
          <w:bCs/>
          <w:color w:val="000000"/>
          <w:sz w:val="32"/>
          <w:szCs w:val="32"/>
        </w:rPr>
        <w:t>支出</w:t>
      </w:r>
      <w:r>
        <w:rPr>
          <w:rFonts w:hint="default" w:ascii="Times New Roman" w:hAnsi="Times New Roman" w:eastAsia="仿宋_GB2312" w:cs="Times New Roman"/>
          <w:b w:val="0"/>
          <w:bCs/>
          <w:color w:val="000000"/>
          <w:sz w:val="32"/>
          <w:szCs w:val="32"/>
          <w:lang w:val="en-US" w:eastAsia="zh-CN"/>
        </w:rPr>
        <w:t>17.69</w:t>
      </w:r>
      <w:r>
        <w:rPr>
          <w:rFonts w:hint="default" w:ascii="Times New Roman" w:hAnsi="Times New Roman" w:eastAsia="仿宋_GB2312" w:cs="Times New Roman"/>
          <w:b w:val="0"/>
          <w:bCs/>
          <w:color w:val="000000"/>
          <w:sz w:val="32"/>
          <w:szCs w:val="32"/>
        </w:rPr>
        <w:t>万元，占</w:t>
      </w:r>
      <w:r>
        <w:rPr>
          <w:rFonts w:hint="default" w:ascii="Times New Roman" w:hAnsi="Times New Roman" w:eastAsia="仿宋_GB2312" w:cs="Times New Roman"/>
          <w:b w:val="0"/>
          <w:bCs/>
          <w:color w:val="000000"/>
          <w:sz w:val="32"/>
          <w:szCs w:val="32"/>
          <w:lang w:val="en-US" w:eastAsia="zh-CN"/>
        </w:rPr>
        <w:t>5.8</w:t>
      </w:r>
      <w:r>
        <w:rPr>
          <w:rFonts w:hint="default" w:ascii="Times New Roman" w:hAnsi="Times New Roman" w:eastAsia="仿宋_GB2312" w:cs="Times New Roman"/>
          <w:b w:val="0"/>
          <w:bCs/>
          <w:color w:val="000000"/>
          <w:sz w:val="32"/>
          <w:szCs w:val="32"/>
        </w:rPr>
        <w:t>%。</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 w:cs="Times New Roman"/>
          <w:color w:val="000000"/>
          <w:sz w:val="32"/>
          <w:szCs w:val="32"/>
        </w:rPr>
      </w:pP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图6：一般公共预算财政拨款支出决算结构</w:t>
      </w:r>
    </w:p>
    <w:p>
      <w:pPr>
        <w:pStyle w:val="2"/>
        <w:pageBreakBefore w:val="0"/>
        <w:kinsoku/>
        <w:wordWrap/>
        <w:overflowPunct/>
        <w:topLinePunct w:val="0"/>
        <w:bidi w:val="0"/>
        <w:spacing w:line="576" w:lineRule="exact"/>
        <w:ind w:left="0" w:leftChars="0" w:right="0"/>
        <w:jc w:val="both"/>
        <w:textAlignment w:val="auto"/>
        <w:rPr>
          <w:rFonts w:hint="default" w:ascii="Times New Roman" w:hAnsi="Times New Roman" w:eastAsia="仿宋" w:cs="Times New Roman"/>
          <w:color w:val="000000"/>
          <w:sz w:val="32"/>
          <w:szCs w:val="32"/>
        </w:rPr>
      </w:pPr>
      <w:r>
        <w:rPr>
          <w:rFonts w:hint="default" w:ascii="Times New Roman" w:hAnsi="Times New Roman" w:eastAsia="仿宋" w:cs="Times New Roman"/>
          <w:lang w:eastAsia="zh-CN"/>
        </w:rPr>
        <w:drawing>
          <wp:anchor distT="0" distB="0" distL="114300" distR="114300" simplePos="0" relativeHeight="251665408" behindDoc="0" locked="0" layoutInCell="1" allowOverlap="1">
            <wp:simplePos x="0" y="0"/>
            <wp:positionH relativeFrom="column">
              <wp:posOffset>353695</wp:posOffset>
            </wp:positionH>
            <wp:positionV relativeFrom="paragraph">
              <wp:posOffset>116205</wp:posOffset>
            </wp:positionV>
            <wp:extent cx="5080000" cy="2627630"/>
            <wp:effectExtent l="4445" t="4445" r="20955" b="15875"/>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bookmarkStart w:id="58" w:name="_Toc79163617"/>
      <w:bookmarkStart w:id="59" w:name="_Toc15377212"/>
      <w:bookmarkStart w:id="60" w:name="_Toc79163867"/>
      <w:r>
        <w:rPr>
          <w:rFonts w:hint="default" w:ascii="Times New Roman" w:hAnsi="Times New Roman" w:eastAsia="仿宋" w:cs="Times New Roman"/>
          <w:b/>
          <w:color w:val="000000"/>
          <w:sz w:val="32"/>
          <w:szCs w:val="32"/>
        </w:rPr>
        <w:t>（</w:t>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仿宋" w:cs="Times New Roman"/>
          <w:b/>
          <w:color w:val="000000"/>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right="0" w:firstLine="642" w:firstLineChars="200"/>
        <w:jc w:val="both"/>
        <w:textAlignment w:val="auto"/>
        <w:outlineLvl w:val="2"/>
        <w:rPr>
          <w:rFonts w:hint="default" w:ascii="Times New Roman" w:hAnsi="Times New Roman" w:eastAsia="楷体_GB2312" w:cs="Times New Roman"/>
          <w:b/>
          <w:color w:val="000000"/>
          <w:sz w:val="32"/>
          <w:szCs w:val="32"/>
        </w:rPr>
      </w:pPr>
      <w:r>
        <w:rPr>
          <w:rFonts w:hint="default" w:ascii="Times New Roman" w:hAnsi="Times New Roman" w:eastAsia="楷体_GB2312" w:cs="Times New Roman"/>
          <w:b/>
          <w:color w:val="000000"/>
          <w:sz w:val="32"/>
          <w:szCs w:val="32"/>
          <w:lang w:eastAsia="zh-CN"/>
        </w:rPr>
        <w:t>（</w:t>
      </w:r>
      <w:r>
        <w:rPr>
          <w:rFonts w:hint="default" w:ascii="Times New Roman" w:hAnsi="Times New Roman" w:eastAsia="楷体_GB2312" w:cs="Times New Roman"/>
          <w:b/>
          <w:color w:val="000000"/>
          <w:sz w:val="32"/>
          <w:szCs w:val="32"/>
        </w:rPr>
        <w:t>三）一般公共预算财政拨款支出决算具体情况</w:t>
      </w:r>
      <w:bookmarkEnd w:id="58"/>
      <w:bookmarkEnd w:id="59"/>
      <w:bookmarkEnd w:id="60"/>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_GB2312" w:cs="Times New Roman"/>
          <w:b/>
          <w:bCs/>
          <w:sz w:val="32"/>
          <w:szCs w:val="32"/>
        </w:rPr>
      </w:pPr>
      <w:bookmarkStart w:id="61" w:name="_Toc15378460"/>
      <w:bookmarkStart w:id="62" w:name="_Toc15377444"/>
      <w:bookmarkStart w:id="63" w:name="_Toc15377213"/>
      <w:r>
        <w:rPr>
          <w:rFonts w:hint="default" w:ascii="Times New Roman" w:hAnsi="Times New Roman" w:eastAsia="仿宋_GB2312" w:cs="Times New Roman"/>
          <w:b/>
          <w:bCs/>
          <w:sz w:val="32"/>
          <w:szCs w:val="32"/>
        </w:rPr>
        <w:t>2021年一般公共预算支出决算数为</w:t>
      </w:r>
      <w:r>
        <w:rPr>
          <w:rFonts w:hint="default" w:ascii="Times New Roman" w:hAnsi="Times New Roman" w:eastAsia="仿宋_GB2312" w:cs="Times New Roman"/>
          <w:b/>
          <w:bCs/>
          <w:sz w:val="32"/>
          <w:szCs w:val="32"/>
          <w:lang w:val="en-US" w:eastAsia="zh-CN"/>
        </w:rPr>
        <w:t>305.89</w:t>
      </w:r>
      <w:r>
        <w:rPr>
          <w:rFonts w:hint="eastAsia" w:eastAsia="仿宋_GB2312" w:cs="Times New Roman"/>
          <w:b/>
          <w:bCs/>
          <w:sz w:val="32"/>
          <w:szCs w:val="32"/>
          <w:lang w:val="en-US" w:eastAsia="zh-CN"/>
        </w:rPr>
        <w:t>万元</w:t>
      </w:r>
      <w:r>
        <w:rPr>
          <w:rFonts w:hint="default" w:ascii="Times New Roman" w:hAnsi="Times New Roman" w:eastAsia="仿宋_GB2312" w:cs="Times New Roman"/>
          <w:b/>
          <w:bCs/>
          <w:sz w:val="32"/>
          <w:szCs w:val="32"/>
        </w:rPr>
        <w:t>，完成预算</w:t>
      </w:r>
      <w:r>
        <w:rPr>
          <w:rFonts w:hint="default" w:ascii="Times New Roman" w:hAnsi="Times New Roman" w:eastAsia="仿宋_GB2312" w:cs="Times New Roman"/>
          <w:b/>
          <w:bCs/>
          <w:sz w:val="32"/>
          <w:szCs w:val="32"/>
          <w:lang w:val="en-US" w:eastAsia="zh-CN"/>
        </w:rPr>
        <w:t>100</w:t>
      </w:r>
      <w:r>
        <w:rPr>
          <w:rFonts w:hint="default" w:ascii="Times New Roman" w:hAnsi="Times New Roman" w:eastAsia="仿宋_GB2312" w:cs="Times New Roman"/>
          <w:b/>
          <w:bCs/>
          <w:sz w:val="32"/>
          <w:szCs w:val="32"/>
        </w:rPr>
        <w:t>%。其中：</w:t>
      </w:r>
      <w:bookmarkEnd w:id="61"/>
      <w:bookmarkEnd w:id="62"/>
      <w:bookmarkEnd w:id="63"/>
    </w:p>
    <w:p>
      <w:pPr>
        <w:pageBreakBefore w:val="0"/>
        <w:kinsoku/>
        <w:wordWrap/>
        <w:overflowPunct/>
        <w:topLinePunct w:val="0"/>
        <w:bidi w:val="0"/>
        <w:spacing w:line="576" w:lineRule="exact"/>
        <w:ind w:left="0" w:leftChars="0" w:right="0" w:firstLine="642" w:firstLineChars="200"/>
        <w:jc w:val="both"/>
        <w:textAlignment w:val="auto"/>
        <w:rPr>
          <w:rStyle w:val="22"/>
          <w:rFonts w:hint="default" w:ascii="Times New Roman" w:hAnsi="Times New Roman" w:eastAsia="仿宋_GB2312" w:cs="Times New Roman"/>
          <w:b w:val="0"/>
          <w:bCs w:val="0"/>
          <w:color w:val="000000"/>
          <w:sz w:val="32"/>
          <w:szCs w:val="32"/>
          <w:lang w:eastAsia="zh-CN"/>
        </w:rPr>
      </w:pPr>
      <w:r>
        <w:rPr>
          <w:rStyle w:val="22"/>
          <w:rFonts w:hint="default" w:ascii="Times New Roman" w:hAnsi="Times New Roman" w:eastAsia="仿宋_GB2312" w:cs="Times New Roman"/>
          <w:bCs/>
          <w:color w:val="000000"/>
          <w:sz w:val="32"/>
          <w:szCs w:val="32"/>
          <w:lang w:val="en-US" w:eastAsia="zh-CN"/>
        </w:rPr>
        <w:t>1.</w:t>
      </w:r>
      <w:r>
        <w:rPr>
          <w:rStyle w:val="22"/>
          <w:rFonts w:hint="default" w:ascii="Times New Roman" w:hAnsi="Times New Roman" w:eastAsia="仿宋_GB2312" w:cs="Times New Roman"/>
          <w:bCs/>
          <w:color w:val="000000"/>
          <w:sz w:val="32"/>
          <w:szCs w:val="32"/>
        </w:rPr>
        <w:t>一般公共服务（类）统计信息事务（款）行政运行（项）: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247.74</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kinsoku/>
        <w:wordWrap/>
        <w:overflowPunct/>
        <w:topLinePunct w:val="0"/>
        <w:bidi w:val="0"/>
        <w:spacing w:line="576" w:lineRule="exact"/>
        <w:ind w:left="0" w:leftChars="0" w:right="0" w:firstLine="642" w:firstLineChars="200"/>
        <w:jc w:val="both"/>
        <w:textAlignment w:val="auto"/>
        <w:rPr>
          <w:rStyle w:val="22"/>
          <w:rFonts w:hint="default" w:ascii="Times New Roman" w:hAnsi="Times New Roman" w:eastAsia="仿宋_GB2312" w:cs="Times New Roman"/>
          <w:b w:val="0"/>
          <w:bCs w:val="0"/>
          <w:color w:val="000000"/>
          <w:sz w:val="32"/>
          <w:szCs w:val="32"/>
          <w:lang w:eastAsia="zh-CN"/>
        </w:rPr>
      </w:pPr>
      <w:r>
        <w:rPr>
          <w:rStyle w:val="22"/>
          <w:rFonts w:hint="default" w:ascii="Times New Roman" w:hAnsi="Times New Roman" w:eastAsia="仿宋_GB2312" w:cs="Times New Roman"/>
          <w:bCs/>
          <w:color w:val="000000"/>
          <w:sz w:val="32"/>
          <w:szCs w:val="32"/>
          <w:lang w:val="en-US" w:eastAsia="zh-CN"/>
        </w:rPr>
        <w:t>2.</w:t>
      </w:r>
      <w:r>
        <w:rPr>
          <w:rStyle w:val="22"/>
          <w:rFonts w:hint="default" w:ascii="Times New Roman" w:hAnsi="Times New Roman" w:eastAsia="仿宋_GB2312" w:cs="Times New Roman"/>
          <w:bCs/>
          <w:color w:val="000000"/>
          <w:sz w:val="32"/>
          <w:szCs w:val="32"/>
        </w:rPr>
        <w:t>一般公共服务（类）统计信息事务（款）</w:t>
      </w:r>
      <w:r>
        <w:rPr>
          <w:rStyle w:val="22"/>
          <w:rFonts w:hint="default" w:ascii="Times New Roman" w:hAnsi="Times New Roman" w:eastAsia="仿宋_GB2312" w:cs="Times New Roman"/>
          <w:bCs/>
          <w:color w:val="000000"/>
          <w:sz w:val="32"/>
          <w:szCs w:val="32"/>
          <w:lang w:eastAsia="zh-CN"/>
        </w:rPr>
        <w:t>其他统计信息事务支出</w:t>
      </w:r>
      <w:r>
        <w:rPr>
          <w:rStyle w:val="22"/>
          <w:rFonts w:hint="default" w:ascii="Times New Roman" w:hAnsi="Times New Roman" w:eastAsia="仿宋_GB2312" w:cs="Times New Roman"/>
          <w:bCs/>
          <w:color w:val="000000"/>
          <w:sz w:val="32"/>
          <w:szCs w:val="32"/>
        </w:rPr>
        <w:t>（项）: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0.98</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kinsoku/>
        <w:wordWrap/>
        <w:overflowPunct/>
        <w:topLinePunct w:val="0"/>
        <w:bidi w:val="0"/>
        <w:spacing w:line="576" w:lineRule="exact"/>
        <w:ind w:left="0" w:leftChars="0" w:right="0" w:firstLine="642" w:firstLineChars="200"/>
        <w:jc w:val="both"/>
        <w:textAlignment w:val="auto"/>
        <w:rPr>
          <w:rStyle w:val="22"/>
          <w:rFonts w:hint="default" w:ascii="Times New Roman" w:hAnsi="Times New Roman" w:eastAsia="仿宋_GB2312" w:cs="Times New Roman"/>
          <w:b w:val="0"/>
          <w:bCs w:val="0"/>
          <w:color w:val="000000"/>
          <w:sz w:val="32"/>
          <w:szCs w:val="32"/>
          <w:lang w:val="en-US" w:eastAsia="zh-CN"/>
        </w:rPr>
      </w:pPr>
      <w:r>
        <w:rPr>
          <w:rStyle w:val="22"/>
          <w:rFonts w:hint="default" w:ascii="Times New Roman" w:hAnsi="Times New Roman" w:eastAsia="仿宋_GB2312" w:cs="Times New Roman"/>
          <w:bCs/>
          <w:color w:val="000000"/>
          <w:sz w:val="32"/>
          <w:szCs w:val="32"/>
          <w:lang w:val="en-US" w:eastAsia="zh-CN"/>
        </w:rPr>
        <w:t>3.</w:t>
      </w:r>
      <w:r>
        <w:rPr>
          <w:rStyle w:val="22"/>
          <w:rFonts w:hint="default" w:ascii="Times New Roman" w:hAnsi="Times New Roman" w:eastAsia="仿宋_GB2312" w:cs="Times New Roman"/>
          <w:bCs/>
          <w:color w:val="000000"/>
          <w:sz w:val="32"/>
          <w:szCs w:val="32"/>
        </w:rPr>
        <w:t>社会保障和就业（类）行政事业单位养老</w:t>
      </w:r>
      <w:r>
        <w:rPr>
          <w:rStyle w:val="22"/>
          <w:rFonts w:hint="default" w:ascii="Times New Roman" w:hAnsi="Times New Roman" w:eastAsia="仿宋_GB2312" w:cs="Times New Roman"/>
          <w:bCs/>
          <w:color w:val="000000"/>
          <w:sz w:val="32"/>
          <w:szCs w:val="32"/>
          <w:lang w:eastAsia="zh-CN"/>
        </w:rPr>
        <w:t>支出（款）机关事业单位基本养老保险</w:t>
      </w:r>
      <w:r>
        <w:rPr>
          <w:rStyle w:val="22"/>
          <w:rFonts w:hint="default" w:ascii="Times New Roman" w:hAnsi="Times New Roman" w:eastAsia="仿宋_GB2312" w:cs="Times New Roman"/>
          <w:bCs/>
          <w:color w:val="000000"/>
          <w:sz w:val="32"/>
          <w:szCs w:val="32"/>
        </w:rPr>
        <w:t>（项）: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17.63</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kinsoku/>
        <w:wordWrap/>
        <w:overflowPunct/>
        <w:topLinePunct w:val="0"/>
        <w:bidi w:val="0"/>
        <w:spacing w:line="576" w:lineRule="exact"/>
        <w:ind w:left="0" w:leftChars="0" w:right="0" w:firstLine="642" w:firstLineChars="200"/>
        <w:jc w:val="both"/>
        <w:textAlignment w:val="auto"/>
        <w:rPr>
          <w:rStyle w:val="22"/>
          <w:rFonts w:hint="default" w:ascii="Times New Roman" w:hAnsi="Times New Roman" w:eastAsia="仿宋_GB2312" w:cs="Times New Roman"/>
          <w:b w:val="0"/>
          <w:bCs w:val="0"/>
          <w:color w:val="000000"/>
          <w:sz w:val="32"/>
          <w:szCs w:val="32"/>
          <w:lang w:eastAsia="zh-CN"/>
        </w:rPr>
      </w:pPr>
      <w:r>
        <w:rPr>
          <w:rStyle w:val="22"/>
          <w:rFonts w:hint="default" w:ascii="Times New Roman" w:hAnsi="Times New Roman" w:eastAsia="仿宋_GB2312" w:cs="Times New Roman"/>
          <w:bCs/>
          <w:color w:val="000000"/>
          <w:sz w:val="32"/>
          <w:szCs w:val="32"/>
          <w:lang w:val="en-US" w:eastAsia="zh-CN"/>
        </w:rPr>
        <w:t>4.</w:t>
      </w:r>
      <w:r>
        <w:rPr>
          <w:rStyle w:val="22"/>
          <w:rFonts w:hint="default" w:ascii="Times New Roman" w:hAnsi="Times New Roman" w:eastAsia="仿宋_GB2312" w:cs="Times New Roman"/>
          <w:bCs/>
          <w:color w:val="000000"/>
          <w:sz w:val="32"/>
          <w:szCs w:val="32"/>
        </w:rPr>
        <w:t>会保障和就业（类）行政事业单位养老支出（款）机关事业单位</w:t>
      </w:r>
      <w:r>
        <w:rPr>
          <w:rStyle w:val="22"/>
          <w:rFonts w:hint="default" w:ascii="Times New Roman" w:hAnsi="Times New Roman" w:eastAsia="仿宋_GB2312" w:cs="Times New Roman"/>
          <w:bCs/>
          <w:color w:val="000000"/>
          <w:sz w:val="32"/>
          <w:szCs w:val="32"/>
          <w:lang w:eastAsia="zh-CN"/>
        </w:rPr>
        <w:t>职业年金</w:t>
      </w:r>
      <w:r>
        <w:rPr>
          <w:rStyle w:val="22"/>
          <w:rFonts w:hint="default" w:ascii="Times New Roman" w:hAnsi="Times New Roman" w:eastAsia="仿宋_GB2312" w:cs="Times New Roman"/>
          <w:bCs/>
          <w:color w:val="000000"/>
          <w:sz w:val="32"/>
          <w:szCs w:val="32"/>
        </w:rPr>
        <w:t>（项）: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8.81</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kinsoku/>
        <w:wordWrap/>
        <w:overflowPunct/>
        <w:topLinePunct w:val="0"/>
        <w:bidi w:val="0"/>
        <w:spacing w:line="576" w:lineRule="exact"/>
        <w:ind w:left="0" w:leftChars="0" w:right="0" w:firstLine="642" w:firstLineChars="200"/>
        <w:jc w:val="both"/>
        <w:textAlignment w:val="auto"/>
        <w:rPr>
          <w:rStyle w:val="22"/>
          <w:rFonts w:hint="default" w:ascii="Times New Roman" w:hAnsi="Times New Roman" w:eastAsia="仿宋_GB2312" w:cs="Times New Roman"/>
          <w:b w:val="0"/>
          <w:bCs w:val="0"/>
          <w:color w:val="000000"/>
          <w:sz w:val="32"/>
          <w:szCs w:val="32"/>
          <w:lang w:eastAsia="zh-CN"/>
        </w:rPr>
      </w:pPr>
      <w:r>
        <w:rPr>
          <w:rStyle w:val="22"/>
          <w:rFonts w:hint="default" w:ascii="Times New Roman" w:hAnsi="Times New Roman" w:eastAsia="仿宋_GB2312" w:cs="Times New Roman"/>
          <w:b/>
          <w:bCs/>
          <w:color w:val="000000"/>
          <w:sz w:val="32"/>
          <w:szCs w:val="32"/>
          <w:lang w:val="en-US" w:eastAsia="zh-CN"/>
        </w:rPr>
        <w:t>5.</w:t>
      </w:r>
      <w:r>
        <w:rPr>
          <w:rFonts w:hint="default" w:ascii="Times New Roman" w:hAnsi="Times New Roman" w:eastAsia="仿宋_GB2312" w:cs="Times New Roman"/>
          <w:b/>
          <w:bCs/>
          <w:color w:val="000000"/>
          <w:sz w:val="32"/>
          <w:szCs w:val="32"/>
        </w:rPr>
        <w:t>卫生健康</w:t>
      </w:r>
      <w:r>
        <w:rPr>
          <w:rStyle w:val="22"/>
          <w:rFonts w:hint="default" w:ascii="Times New Roman" w:hAnsi="Times New Roman" w:eastAsia="仿宋_GB2312" w:cs="Times New Roman"/>
          <w:bCs/>
          <w:color w:val="000000"/>
          <w:sz w:val="32"/>
          <w:szCs w:val="32"/>
        </w:rPr>
        <w:t>（类）</w:t>
      </w:r>
      <w:r>
        <w:rPr>
          <w:rStyle w:val="22"/>
          <w:rFonts w:hint="default" w:ascii="Times New Roman" w:hAnsi="Times New Roman" w:eastAsia="仿宋_GB2312" w:cs="Times New Roman"/>
          <w:bCs/>
          <w:color w:val="000000"/>
          <w:sz w:val="32"/>
          <w:szCs w:val="32"/>
          <w:lang w:eastAsia="zh-CN"/>
        </w:rPr>
        <w:t>行政事业单位医疗</w:t>
      </w:r>
      <w:r>
        <w:rPr>
          <w:rStyle w:val="22"/>
          <w:rFonts w:hint="default" w:ascii="Times New Roman" w:hAnsi="Times New Roman" w:eastAsia="仿宋_GB2312" w:cs="Times New Roman"/>
          <w:bCs/>
          <w:color w:val="000000"/>
          <w:sz w:val="32"/>
          <w:szCs w:val="32"/>
        </w:rPr>
        <w:t>（款）</w:t>
      </w:r>
      <w:r>
        <w:rPr>
          <w:rStyle w:val="22"/>
          <w:rFonts w:hint="default" w:ascii="Times New Roman" w:hAnsi="Times New Roman" w:eastAsia="仿宋_GB2312" w:cs="Times New Roman"/>
          <w:bCs/>
          <w:color w:val="000000"/>
          <w:sz w:val="32"/>
          <w:szCs w:val="32"/>
          <w:lang w:eastAsia="zh-CN"/>
        </w:rPr>
        <w:t>行政单位医疗</w:t>
      </w:r>
      <w:r>
        <w:rPr>
          <w:rStyle w:val="22"/>
          <w:rFonts w:hint="default" w:ascii="Times New Roman" w:hAnsi="Times New Roman" w:eastAsia="仿宋_GB2312" w:cs="Times New Roman"/>
          <w:bCs/>
          <w:color w:val="000000"/>
          <w:sz w:val="32"/>
          <w:szCs w:val="32"/>
        </w:rPr>
        <w:t>（项）: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13.04</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kinsoku/>
        <w:wordWrap/>
        <w:overflowPunct/>
        <w:topLinePunct w:val="0"/>
        <w:bidi w:val="0"/>
        <w:spacing w:line="576" w:lineRule="exact"/>
        <w:ind w:left="0" w:leftChars="0" w:right="0" w:firstLine="642" w:firstLineChars="20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bCs/>
          <w:color w:val="000000"/>
          <w:sz w:val="32"/>
          <w:szCs w:val="32"/>
          <w:lang w:val="en-US" w:eastAsia="zh-CN"/>
        </w:rPr>
        <w:t>6.</w:t>
      </w:r>
      <w:r>
        <w:rPr>
          <w:rFonts w:hint="default" w:ascii="Times New Roman" w:hAnsi="Times New Roman" w:eastAsia="仿宋_GB2312" w:cs="Times New Roman"/>
          <w:b/>
          <w:bCs/>
          <w:color w:val="000000"/>
          <w:sz w:val="32"/>
          <w:szCs w:val="32"/>
          <w:lang w:eastAsia="zh-CN"/>
        </w:rPr>
        <w:t>住房保障</w:t>
      </w:r>
      <w:r>
        <w:rPr>
          <w:rStyle w:val="22"/>
          <w:rFonts w:hint="default" w:ascii="Times New Roman" w:hAnsi="Times New Roman" w:eastAsia="仿宋_GB2312" w:cs="Times New Roman"/>
          <w:bCs/>
          <w:color w:val="000000"/>
          <w:sz w:val="32"/>
          <w:szCs w:val="32"/>
        </w:rPr>
        <w:t>（类）</w:t>
      </w:r>
      <w:r>
        <w:rPr>
          <w:rStyle w:val="22"/>
          <w:rFonts w:hint="default" w:ascii="Times New Roman" w:hAnsi="Times New Roman" w:eastAsia="仿宋_GB2312" w:cs="Times New Roman"/>
          <w:bCs/>
          <w:color w:val="000000"/>
          <w:sz w:val="32"/>
          <w:szCs w:val="32"/>
          <w:lang w:eastAsia="zh-CN"/>
        </w:rPr>
        <w:t>住房改造</w:t>
      </w:r>
      <w:r>
        <w:rPr>
          <w:rStyle w:val="22"/>
          <w:rFonts w:hint="default" w:ascii="Times New Roman" w:hAnsi="Times New Roman" w:eastAsia="仿宋_GB2312" w:cs="Times New Roman"/>
          <w:bCs/>
          <w:color w:val="000000"/>
          <w:sz w:val="32"/>
          <w:szCs w:val="32"/>
        </w:rPr>
        <w:t>（款）</w:t>
      </w:r>
      <w:r>
        <w:rPr>
          <w:rStyle w:val="22"/>
          <w:rFonts w:hint="default" w:ascii="Times New Roman" w:hAnsi="Times New Roman" w:eastAsia="仿宋_GB2312" w:cs="Times New Roman"/>
          <w:bCs/>
          <w:color w:val="000000"/>
          <w:sz w:val="32"/>
          <w:szCs w:val="32"/>
          <w:lang w:eastAsia="zh-CN"/>
        </w:rPr>
        <w:t>住房公积金</w:t>
      </w:r>
      <w:r>
        <w:rPr>
          <w:rStyle w:val="22"/>
          <w:rFonts w:hint="default" w:ascii="Times New Roman" w:hAnsi="Times New Roman" w:eastAsia="仿宋_GB2312" w:cs="Times New Roman"/>
          <w:bCs/>
          <w:color w:val="000000"/>
          <w:sz w:val="32"/>
          <w:szCs w:val="32"/>
        </w:rPr>
        <w:t>（项）:</w:t>
      </w:r>
      <w:r>
        <w:rPr>
          <w:rStyle w:val="22"/>
          <w:rFonts w:hint="default" w:ascii="Times New Roman" w:hAnsi="Times New Roman" w:eastAsia="仿宋_GB2312" w:cs="Times New Roman"/>
          <w:b w:val="0"/>
          <w:bCs/>
          <w:color w:val="000000"/>
          <w:sz w:val="32"/>
          <w:szCs w:val="32"/>
        </w:rPr>
        <w:t>支出决算为</w:t>
      </w:r>
      <w:r>
        <w:rPr>
          <w:rStyle w:val="22"/>
          <w:rFonts w:hint="default" w:ascii="Times New Roman" w:hAnsi="Times New Roman" w:eastAsia="仿宋_GB2312" w:cs="Times New Roman"/>
          <w:b w:val="0"/>
          <w:bCs/>
          <w:color w:val="000000"/>
          <w:sz w:val="32"/>
          <w:szCs w:val="32"/>
          <w:lang w:val="en-US" w:eastAsia="zh-CN"/>
        </w:rPr>
        <w:t>17.69</w:t>
      </w:r>
      <w:r>
        <w:rPr>
          <w:rStyle w:val="22"/>
          <w:rFonts w:hint="default" w:ascii="Times New Roman" w:hAnsi="Times New Roman" w:eastAsia="仿宋_GB2312" w:cs="Times New Roman"/>
          <w:b w:val="0"/>
          <w:bCs/>
          <w:color w:val="000000"/>
          <w:sz w:val="32"/>
          <w:szCs w:val="32"/>
        </w:rPr>
        <w:t>万元，完成预算</w:t>
      </w:r>
      <w:r>
        <w:rPr>
          <w:rStyle w:val="22"/>
          <w:rFonts w:hint="default" w:ascii="Times New Roman" w:hAnsi="Times New Roman" w:eastAsia="仿宋_GB2312" w:cs="Times New Roman"/>
          <w:b w:val="0"/>
          <w:bCs/>
          <w:color w:val="000000"/>
          <w:sz w:val="32"/>
          <w:szCs w:val="32"/>
          <w:lang w:val="en-US" w:eastAsia="zh-CN"/>
        </w:rPr>
        <w:t>100</w:t>
      </w:r>
      <w:r>
        <w:rPr>
          <w:rStyle w:val="22"/>
          <w:rFonts w:hint="default" w:ascii="Times New Roman" w:hAnsi="Times New Roman" w:eastAsia="仿宋_GB2312" w:cs="Times New Roman"/>
          <w:b w:val="0"/>
          <w:bCs/>
          <w:color w:val="000000"/>
          <w:sz w:val="32"/>
          <w:szCs w:val="32"/>
        </w:rPr>
        <w:t>%，</w:t>
      </w:r>
      <w:r>
        <w:rPr>
          <w:rStyle w:val="22"/>
          <w:rFonts w:hint="default" w:ascii="Times New Roman" w:hAnsi="Times New Roman" w:eastAsia="仿宋_GB2312" w:cs="Times New Roman"/>
          <w:b w:val="0"/>
          <w:bCs w:val="0"/>
          <w:color w:val="000000"/>
          <w:sz w:val="32"/>
          <w:szCs w:val="32"/>
        </w:rPr>
        <w:t>决算数与预算数持平</w:t>
      </w:r>
      <w:r>
        <w:rPr>
          <w:rStyle w:val="22"/>
          <w:rFonts w:hint="default" w:ascii="Times New Roman" w:hAnsi="Times New Roman" w:eastAsia="仿宋_GB2312" w:cs="Times New Roman"/>
          <w:b w:val="0"/>
          <w:bCs w:val="0"/>
          <w:color w:val="000000"/>
          <w:sz w:val="32"/>
          <w:szCs w:val="32"/>
          <w:lang w:eastAsia="zh-CN"/>
        </w:rPr>
        <w:t>。</w:t>
      </w:r>
    </w:p>
    <w:p>
      <w:pPr>
        <w:pageBreakBefore w:val="0"/>
        <w:tabs>
          <w:tab w:val="right" w:pos="8306"/>
        </w:tabs>
        <w:kinsoku/>
        <w:wordWrap/>
        <w:overflowPunct/>
        <w:topLinePunct w:val="0"/>
        <w:bidi w:val="0"/>
        <w:spacing w:line="576" w:lineRule="exact"/>
        <w:ind w:left="0" w:leftChars="0" w:right="0" w:firstLine="640"/>
        <w:jc w:val="both"/>
        <w:textAlignment w:val="auto"/>
        <w:outlineLvl w:val="1"/>
        <w:rPr>
          <w:rStyle w:val="25"/>
          <w:rFonts w:hint="default" w:ascii="Times New Roman" w:hAnsi="Times New Roman" w:eastAsia="黑体" w:cs="Times New Roman"/>
        </w:rPr>
      </w:pPr>
      <w:bookmarkStart w:id="64" w:name="_Toc79163868"/>
      <w:bookmarkStart w:id="65" w:name="_Toc79163618"/>
      <w:bookmarkStart w:id="66" w:name="_Toc15396608"/>
      <w:bookmarkStart w:id="67" w:name="_Toc15377214"/>
      <w:r>
        <w:rPr>
          <w:rFonts w:hint="default" w:ascii="Times New Roman" w:hAnsi="Times New Roman" w:eastAsia="黑体" w:cs="Times New Roman"/>
          <w:color w:val="000000"/>
          <w:sz w:val="32"/>
          <w:szCs w:val="32"/>
        </w:rPr>
        <w:t>六</w:t>
      </w:r>
      <w:r>
        <w:rPr>
          <w:rFonts w:hint="default" w:ascii="Times New Roman" w:hAnsi="Times New Roman" w:eastAsia="黑体" w:cs="Times New Roman"/>
          <w:color w:val="000000"/>
          <w:sz w:val="32"/>
          <w:szCs w:val="32"/>
          <w:lang w:eastAsia="zh-CN"/>
        </w:rPr>
        <w:t>、一</w:t>
      </w:r>
      <w:r>
        <w:rPr>
          <w:rStyle w:val="25"/>
          <w:rFonts w:hint="default" w:ascii="Times New Roman" w:hAnsi="Times New Roman" w:eastAsia="黑体" w:cs="Times New Roman"/>
          <w:b w:val="0"/>
        </w:rPr>
        <w:t>般公共预算财政拨款基本支出决算情况说明</w:t>
      </w:r>
      <w:bookmarkEnd w:id="64"/>
      <w:bookmarkEnd w:id="65"/>
      <w:bookmarkEnd w:id="66"/>
      <w:bookmarkEnd w:id="67"/>
      <w:r>
        <w:rPr>
          <w:rStyle w:val="25"/>
          <w:rFonts w:hint="default" w:ascii="Times New Roman" w:hAnsi="Times New Roman" w:eastAsia="黑体" w:cs="Times New Roman"/>
          <w:b w:val="0"/>
        </w:rPr>
        <w:tab/>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2021年一般公共预算财政拨款基本支出</w:t>
      </w:r>
      <w:r>
        <w:rPr>
          <w:rFonts w:hint="default" w:ascii="Times New Roman" w:hAnsi="Times New Roman" w:eastAsia="仿宋_GB2312" w:cs="Times New Roman"/>
          <w:b w:val="0"/>
          <w:bCs w:val="0"/>
          <w:sz w:val="32"/>
          <w:szCs w:val="32"/>
          <w:lang w:val="en-US" w:eastAsia="zh-CN"/>
        </w:rPr>
        <w:t>305.89</w:t>
      </w:r>
      <w:r>
        <w:rPr>
          <w:rFonts w:hint="default" w:ascii="Times New Roman" w:hAnsi="Times New Roman" w:eastAsia="仿宋_GB2312" w:cs="Times New Roman"/>
          <w:b w:val="0"/>
          <w:bCs w:val="0"/>
          <w:sz w:val="32"/>
          <w:szCs w:val="32"/>
        </w:rPr>
        <w:t>万元，其中：</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rPr>
        <w:t>人员经费</w:t>
      </w:r>
      <w:r>
        <w:rPr>
          <w:rFonts w:hint="default" w:ascii="Times New Roman" w:hAnsi="Times New Roman" w:eastAsia="仿宋_GB2312" w:cs="Times New Roman"/>
          <w:b w:val="0"/>
          <w:bCs w:val="0"/>
          <w:sz w:val="32"/>
          <w:szCs w:val="32"/>
          <w:lang w:val="en-US" w:eastAsia="zh-CN"/>
        </w:rPr>
        <w:t>291.09</w:t>
      </w:r>
      <w:r>
        <w:rPr>
          <w:rFonts w:hint="default" w:ascii="Times New Roman" w:hAnsi="Times New Roman" w:eastAsia="仿宋_GB2312" w:cs="Times New Roman"/>
          <w:b w:val="0"/>
          <w:bCs w:val="0"/>
          <w:sz w:val="32"/>
          <w:szCs w:val="32"/>
        </w:rPr>
        <w:t>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日常公用经费</w:t>
      </w:r>
      <w:r>
        <w:rPr>
          <w:rFonts w:hint="default" w:ascii="Times New Roman" w:hAnsi="Times New Roman" w:eastAsia="仿宋_GB2312" w:cs="Times New Roman"/>
          <w:b w:val="0"/>
          <w:bCs w:val="0"/>
          <w:sz w:val="32"/>
          <w:szCs w:val="32"/>
          <w:lang w:val="en-US" w:eastAsia="zh-CN"/>
        </w:rPr>
        <w:t>14.8</w:t>
      </w:r>
      <w:r>
        <w:rPr>
          <w:rFonts w:hint="default" w:ascii="Times New Roman" w:hAnsi="Times New Roman" w:eastAsia="仿宋_GB2312" w:cs="Times New Roman"/>
          <w:b w:val="0"/>
          <w:bCs w:val="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pageBreakBefore w:val="0"/>
        <w:kinsoku/>
        <w:wordWrap/>
        <w:overflowPunct/>
        <w:topLinePunct w:val="0"/>
        <w:bidi w:val="0"/>
        <w:spacing w:line="576" w:lineRule="exact"/>
        <w:ind w:left="0" w:leftChars="0" w:right="0" w:firstLine="640"/>
        <w:jc w:val="both"/>
        <w:textAlignment w:val="auto"/>
        <w:outlineLvl w:val="1"/>
        <w:rPr>
          <w:rStyle w:val="25"/>
          <w:rFonts w:hint="default" w:ascii="Times New Roman" w:hAnsi="Times New Roman" w:eastAsia="黑体" w:cs="Times New Roman"/>
          <w:b w:val="0"/>
        </w:rPr>
      </w:pPr>
      <w:bookmarkStart w:id="68" w:name="_Toc79163869"/>
      <w:bookmarkStart w:id="69" w:name="_Toc15396609"/>
      <w:bookmarkStart w:id="70" w:name="_Toc79163619"/>
      <w:bookmarkStart w:id="71" w:name="_Toc15377215"/>
      <w:r>
        <w:rPr>
          <w:rFonts w:hint="default" w:ascii="Times New Roman" w:hAnsi="Times New Roman" w:eastAsia="黑体" w:cs="Times New Roman"/>
          <w:color w:val="000000"/>
          <w:sz w:val="32"/>
          <w:szCs w:val="32"/>
        </w:rPr>
        <w:t>七、</w:t>
      </w:r>
      <w:r>
        <w:rPr>
          <w:rStyle w:val="25"/>
          <w:rFonts w:hint="default" w:ascii="Times New Roman" w:hAnsi="Times New Roman" w:eastAsia="黑体" w:cs="Times New Roman"/>
        </w:rPr>
        <w:t>“</w:t>
      </w:r>
      <w:r>
        <w:rPr>
          <w:rStyle w:val="25"/>
          <w:rFonts w:hint="default" w:ascii="Times New Roman" w:hAnsi="Times New Roman" w:eastAsia="黑体" w:cs="Times New Roman"/>
          <w:b w:val="0"/>
        </w:rPr>
        <w:t>三公”经费财政拨款支出决算情况说明</w:t>
      </w:r>
      <w:bookmarkEnd w:id="68"/>
      <w:bookmarkEnd w:id="69"/>
      <w:bookmarkEnd w:id="70"/>
      <w:bookmarkEnd w:id="71"/>
    </w:p>
    <w:p>
      <w:pPr>
        <w:pageBreakBefore w:val="0"/>
        <w:kinsoku/>
        <w:wordWrap/>
        <w:overflowPunct/>
        <w:topLinePunct w:val="0"/>
        <w:bidi w:val="0"/>
        <w:spacing w:line="576" w:lineRule="exact"/>
        <w:ind w:left="0" w:leftChars="0" w:right="0" w:firstLine="640"/>
        <w:jc w:val="both"/>
        <w:textAlignment w:val="auto"/>
        <w:outlineLvl w:val="2"/>
        <w:rPr>
          <w:rFonts w:hint="default" w:ascii="Times New Roman" w:hAnsi="Times New Roman" w:eastAsia="楷体_GB2312" w:cs="Times New Roman"/>
          <w:b/>
          <w:color w:val="000000"/>
          <w:sz w:val="32"/>
          <w:szCs w:val="32"/>
        </w:rPr>
      </w:pPr>
      <w:bookmarkStart w:id="72" w:name="_Toc15377216"/>
      <w:bookmarkStart w:id="73" w:name="_Toc79163620"/>
      <w:bookmarkStart w:id="74" w:name="_Toc79163870"/>
      <w:r>
        <w:rPr>
          <w:rFonts w:hint="default" w:ascii="Times New Roman" w:hAnsi="Times New Roman" w:eastAsia="楷体_GB2312" w:cs="Times New Roman"/>
          <w:b/>
          <w:color w:val="000000"/>
          <w:sz w:val="32"/>
          <w:szCs w:val="32"/>
        </w:rPr>
        <w:t>（一）“三公”经费财政拨款支出决算总体情况说明</w:t>
      </w:r>
      <w:bookmarkEnd w:id="72"/>
      <w:bookmarkEnd w:id="73"/>
      <w:bookmarkEnd w:id="74"/>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b w:val="0"/>
          <w:bCs w:val="0"/>
          <w:sz w:val="32"/>
          <w:szCs w:val="32"/>
        </w:rPr>
      </w:pPr>
      <w:r>
        <w:rPr>
          <w:rFonts w:hint="default" w:ascii="Times New Roman" w:hAnsi="Times New Roman" w:eastAsia="仿宋_GB2312" w:cs="Times New Roman"/>
          <w:b w:val="0"/>
          <w:bCs w:val="0"/>
          <w:sz w:val="32"/>
          <w:szCs w:val="32"/>
        </w:rPr>
        <w:t>2021年“三公”经费财政拨款支出决算为</w:t>
      </w:r>
      <w:r>
        <w:rPr>
          <w:rFonts w:hint="default" w:ascii="Times New Roman" w:hAnsi="Times New Roman" w:eastAsia="仿宋_GB2312" w:cs="Times New Roman"/>
          <w:b w:val="0"/>
          <w:bCs w:val="0"/>
          <w:sz w:val="32"/>
          <w:szCs w:val="32"/>
          <w:lang w:val="en-US" w:eastAsia="zh-CN"/>
        </w:rPr>
        <w:t>6</w:t>
      </w:r>
      <w:r>
        <w:rPr>
          <w:rFonts w:hint="default" w:ascii="Times New Roman" w:hAnsi="Times New Roman" w:eastAsia="仿宋_GB2312" w:cs="Times New Roman"/>
          <w:b w:val="0"/>
          <w:bCs w:val="0"/>
          <w:sz w:val="32"/>
          <w:szCs w:val="32"/>
        </w:rPr>
        <w:t>万元，完成预算</w:t>
      </w:r>
      <w:r>
        <w:rPr>
          <w:rFonts w:hint="default" w:ascii="Times New Roman" w:hAnsi="Times New Roman" w:eastAsia="仿宋_GB2312" w:cs="Times New Roman"/>
          <w:b w:val="0"/>
          <w:bCs w:val="0"/>
          <w:sz w:val="32"/>
          <w:szCs w:val="32"/>
          <w:lang w:val="en-US" w:eastAsia="zh-CN"/>
        </w:rPr>
        <w:t>100</w:t>
      </w:r>
      <w:r>
        <w:rPr>
          <w:rFonts w:hint="default" w:ascii="Times New Roman" w:hAnsi="Times New Roman" w:eastAsia="仿宋_GB2312" w:cs="Times New Roman"/>
          <w:b w:val="0"/>
          <w:bCs w:val="0"/>
          <w:sz w:val="32"/>
          <w:szCs w:val="32"/>
        </w:rPr>
        <w:t>%。</w:t>
      </w:r>
    </w:p>
    <w:p>
      <w:pPr>
        <w:pageBreakBefore w:val="0"/>
        <w:kinsoku/>
        <w:wordWrap/>
        <w:overflowPunct/>
        <w:topLinePunct w:val="0"/>
        <w:bidi w:val="0"/>
        <w:spacing w:line="576" w:lineRule="exact"/>
        <w:ind w:left="0" w:leftChars="0" w:right="0" w:firstLine="640"/>
        <w:jc w:val="both"/>
        <w:textAlignment w:val="auto"/>
        <w:outlineLvl w:val="2"/>
        <w:rPr>
          <w:rFonts w:hint="default" w:ascii="Times New Roman" w:hAnsi="Times New Roman" w:eastAsia="楷体_GB2312" w:cs="Times New Roman"/>
          <w:b/>
          <w:color w:val="000000"/>
          <w:sz w:val="32"/>
          <w:szCs w:val="32"/>
        </w:rPr>
      </w:pPr>
      <w:bookmarkStart w:id="75" w:name="_Toc79163871"/>
      <w:bookmarkStart w:id="76" w:name="_Toc79163621"/>
      <w:bookmarkStart w:id="77" w:name="_Toc15377217"/>
      <w:r>
        <w:rPr>
          <w:rFonts w:hint="default" w:ascii="Times New Roman" w:hAnsi="Times New Roman" w:eastAsia="楷体_GB2312" w:cs="Times New Roman"/>
          <w:b/>
          <w:color w:val="000000"/>
          <w:sz w:val="32"/>
          <w:szCs w:val="32"/>
        </w:rPr>
        <w:t>（二）“三公”经费财政拨款支出决算具体情况说明</w:t>
      </w:r>
      <w:bookmarkEnd w:id="75"/>
      <w:bookmarkEnd w:id="76"/>
      <w:bookmarkEnd w:id="77"/>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2021年“三公”经费财政拨款支出决算中，因公出国（境）费支出决算</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bookmarkStart w:id="78" w:name="OLE_LINK11"/>
      <w:r>
        <w:rPr>
          <w:rFonts w:hint="default" w:ascii="Times New Roman" w:hAnsi="Times New Roman" w:eastAsia="仿宋_GB2312" w:cs="Times New Roman"/>
          <w:color w:val="000000"/>
          <w:sz w:val="32"/>
          <w:szCs w:val="32"/>
        </w:rPr>
        <w:t>公务用车购置及运行维护费支出</w:t>
      </w:r>
      <w:bookmarkEnd w:id="78"/>
      <w:r>
        <w:rPr>
          <w:rFonts w:hint="default" w:ascii="Times New Roman" w:hAnsi="Times New Roman" w:eastAsia="仿宋_GB2312" w:cs="Times New Roman"/>
          <w:color w:val="000000"/>
          <w:sz w:val="32"/>
          <w:szCs w:val="32"/>
        </w:rPr>
        <w:t>决算</w:t>
      </w:r>
      <w:r>
        <w:rPr>
          <w:rFonts w:hint="default" w:ascii="Times New Roman" w:hAnsi="Times New Roman" w:eastAsia="仿宋_GB2312" w:cs="Times New Roman"/>
          <w:color w:val="000000"/>
          <w:sz w:val="32"/>
          <w:szCs w:val="32"/>
          <w:lang w:val="en-US" w:eastAsia="zh-CN"/>
        </w:rPr>
        <w:t>4.39</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73</w:t>
      </w:r>
      <w:r>
        <w:rPr>
          <w:rFonts w:hint="default" w:ascii="Times New Roman" w:hAnsi="Times New Roman" w:eastAsia="仿宋_GB2312" w:cs="Times New Roman"/>
          <w:color w:val="000000"/>
          <w:sz w:val="32"/>
          <w:szCs w:val="32"/>
        </w:rPr>
        <w:t>%；</w:t>
      </w:r>
      <w:bookmarkStart w:id="79" w:name="OLE_LINK12"/>
      <w:r>
        <w:rPr>
          <w:rFonts w:hint="default" w:ascii="Times New Roman" w:hAnsi="Times New Roman" w:eastAsia="仿宋_GB2312" w:cs="Times New Roman"/>
          <w:color w:val="000000"/>
          <w:sz w:val="32"/>
          <w:szCs w:val="32"/>
        </w:rPr>
        <w:t>公务接待费支出</w:t>
      </w:r>
      <w:bookmarkEnd w:id="79"/>
      <w:r>
        <w:rPr>
          <w:rFonts w:hint="default" w:ascii="Times New Roman" w:hAnsi="Times New Roman" w:eastAsia="仿宋_GB2312" w:cs="Times New Roman"/>
          <w:color w:val="000000"/>
          <w:sz w:val="32"/>
          <w:szCs w:val="32"/>
        </w:rPr>
        <w:t>决算</w:t>
      </w:r>
      <w:r>
        <w:rPr>
          <w:rFonts w:hint="default" w:ascii="Times New Roman" w:hAnsi="Times New Roman" w:eastAsia="仿宋_GB2312" w:cs="Times New Roman"/>
          <w:color w:val="000000"/>
          <w:sz w:val="32"/>
          <w:szCs w:val="32"/>
          <w:lang w:val="en-US" w:eastAsia="zh-CN"/>
        </w:rPr>
        <w:t>1.61</w:t>
      </w:r>
      <w:r>
        <w:rPr>
          <w:rFonts w:hint="default" w:ascii="Times New Roman" w:hAnsi="Times New Roman" w:eastAsia="仿宋_GB2312" w:cs="Times New Roman"/>
          <w:color w:val="000000"/>
          <w:sz w:val="32"/>
          <w:szCs w:val="32"/>
        </w:rPr>
        <w:t>万元，占</w:t>
      </w:r>
      <w:r>
        <w:rPr>
          <w:rFonts w:hint="default" w:ascii="Times New Roman" w:hAnsi="Times New Roman" w:eastAsia="仿宋_GB2312" w:cs="Times New Roman"/>
          <w:color w:val="000000"/>
          <w:sz w:val="32"/>
          <w:szCs w:val="32"/>
          <w:lang w:val="en-US" w:eastAsia="zh-CN"/>
        </w:rPr>
        <w:t>27</w:t>
      </w:r>
      <w:r>
        <w:rPr>
          <w:rFonts w:hint="default" w:ascii="Times New Roman" w:hAnsi="Times New Roman" w:eastAsia="仿宋_GB2312" w:cs="Times New Roman"/>
          <w:color w:val="000000"/>
          <w:sz w:val="32"/>
          <w:szCs w:val="32"/>
        </w:rPr>
        <w:t>%。具体情况如下：</w:t>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楷体_GB2312" w:cs="Times New Roman"/>
          <w:color w:val="000000"/>
          <w:sz w:val="32"/>
          <w:szCs w:val="32"/>
        </w:rPr>
      </w:pPr>
      <w:r>
        <w:rPr>
          <w:rFonts w:hint="default" w:ascii="Times New Roman" w:hAnsi="Times New Roman" w:eastAsia="楷体_GB2312" w:cs="Times New Roman"/>
          <w:color w:val="000000"/>
          <w:sz w:val="32"/>
          <w:szCs w:val="32"/>
        </w:rPr>
        <w:t>图7：“三公”经费财政拨款支出结构</w:t>
      </w:r>
    </w:p>
    <w:p>
      <w:pPr>
        <w:pStyle w:val="2"/>
        <w:pageBreakBefore w:val="0"/>
        <w:kinsoku/>
        <w:wordWrap/>
        <w:overflowPunct/>
        <w:topLinePunct w:val="0"/>
        <w:bidi w:val="0"/>
        <w:spacing w:line="576" w:lineRule="exact"/>
        <w:ind w:left="0" w:leftChars="0" w:right="0"/>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lang w:eastAsia="zh-CN"/>
        </w:rPr>
        <w:drawing>
          <wp:anchor distT="0" distB="0" distL="114300" distR="114300" simplePos="0" relativeHeight="251666432" behindDoc="0" locked="0" layoutInCell="1" allowOverlap="1">
            <wp:simplePos x="0" y="0"/>
            <wp:positionH relativeFrom="column">
              <wp:posOffset>480695</wp:posOffset>
            </wp:positionH>
            <wp:positionV relativeFrom="paragraph">
              <wp:posOffset>43815</wp:posOffset>
            </wp:positionV>
            <wp:extent cx="5080000" cy="2787015"/>
            <wp:effectExtent l="4445" t="4445" r="20955" b="889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1.因公出国（境）经费支出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Style w:val="22"/>
          <w:rFonts w:hint="default" w:ascii="Times New Roman" w:hAnsi="Times New Roman" w:eastAsia="仿宋" w:cs="Times New Roman"/>
          <w:b w:val="0"/>
          <w:bCs/>
          <w:color w:val="000000"/>
          <w:sz w:val="32"/>
          <w:szCs w:val="32"/>
        </w:rPr>
        <w:t>完成预算</w:t>
      </w:r>
      <w:r>
        <w:rPr>
          <w:rStyle w:val="22"/>
          <w:rFonts w:hint="default" w:ascii="Times New Roman" w:hAnsi="Times New Roman" w:eastAsia="仿宋" w:cs="Times New Roman"/>
          <w:b w:val="0"/>
          <w:bCs/>
          <w:color w:val="000000"/>
          <w:sz w:val="32"/>
          <w:szCs w:val="32"/>
          <w:lang w:val="en-US" w:eastAsia="zh-CN"/>
        </w:rPr>
        <w:t>0</w:t>
      </w:r>
      <w:r>
        <w:rPr>
          <w:rStyle w:val="22"/>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全年安排因公出国（境）团组</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次，出国（境）</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w:t>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b/>
          <w:color w:val="000000"/>
          <w:sz w:val="32"/>
          <w:szCs w:val="32"/>
        </w:rPr>
        <w:t>2.公务用车购置及运行维护费支出</w:t>
      </w:r>
      <w:r>
        <w:rPr>
          <w:rFonts w:hint="default" w:ascii="Times New Roman" w:hAnsi="Times New Roman" w:eastAsia="仿宋_GB2312" w:cs="Times New Roman"/>
          <w:color w:val="000000"/>
          <w:sz w:val="32"/>
          <w:szCs w:val="32"/>
          <w:lang w:val="en-US" w:eastAsia="zh-CN"/>
        </w:rPr>
        <w:t>4.39</w:t>
      </w:r>
      <w:r>
        <w:rPr>
          <w:rFonts w:hint="default" w:ascii="Times New Roman" w:hAnsi="Times New Roman" w:eastAsia="仿宋_GB2312" w:cs="Times New Roman"/>
          <w:color w:val="000000"/>
          <w:sz w:val="32"/>
          <w:szCs w:val="32"/>
        </w:rPr>
        <w:t>万元,</w:t>
      </w:r>
      <w:r>
        <w:rPr>
          <w:rStyle w:val="22"/>
          <w:rFonts w:hint="default" w:ascii="Times New Roman" w:hAnsi="Times New Roman" w:eastAsia="仿宋" w:cs="Times New Roman"/>
          <w:b w:val="0"/>
          <w:bCs/>
          <w:color w:val="000000"/>
          <w:sz w:val="32"/>
          <w:szCs w:val="32"/>
        </w:rPr>
        <w:t>完成预算</w:t>
      </w:r>
      <w:r>
        <w:rPr>
          <w:rStyle w:val="22"/>
          <w:rFonts w:hint="default" w:ascii="Times New Roman" w:hAnsi="Times New Roman" w:eastAsia="仿宋" w:cs="Times New Roman"/>
          <w:b w:val="0"/>
          <w:bCs/>
          <w:color w:val="000000"/>
          <w:sz w:val="32"/>
          <w:szCs w:val="32"/>
          <w:lang w:val="en-US" w:eastAsia="zh-CN"/>
        </w:rPr>
        <w:t>100</w:t>
      </w:r>
      <w:r>
        <w:rPr>
          <w:rStyle w:val="22"/>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公务用车购置及运行维护费支出决算比2020年增加</w:t>
      </w:r>
      <w:r>
        <w:rPr>
          <w:rFonts w:hint="default" w:ascii="Times New Roman" w:hAnsi="Times New Roman" w:eastAsia="仿宋_GB2312" w:cs="Times New Roman"/>
          <w:color w:val="000000"/>
          <w:sz w:val="32"/>
          <w:szCs w:val="32"/>
          <w:lang w:val="en-US" w:eastAsia="zh-CN"/>
        </w:rPr>
        <w:t>0.06</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color w:val="000000"/>
          <w:sz w:val="32"/>
          <w:szCs w:val="32"/>
        </w:rPr>
        <w:t>其中：</w:t>
      </w:r>
      <w:r>
        <w:rPr>
          <w:rFonts w:hint="default" w:ascii="Times New Roman" w:hAnsi="Times New Roman" w:eastAsia="仿宋_GB2312" w:cs="Times New Roman"/>
          <w:b/>
          <w:color w:val="000000"/>
          <w:sz w:val="32"/>
          <w:szCs w:val="32"/>
        </w:rPr>
        <w:t>公务用车购置支出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万元。截至2021年12月底，单位共有公务用车</w:t>
      </w:r>
      <w:r>
        <w:rPr>
          <w:rFonts w:hint="default" w:ascii="Times New Roman" w:hAnsi="Times New Roman" w:eastAsia="仿宋_GB2312" w:cs="Times New Roman"/>
          <w:color w:val="000000"/>
          <w:sz w:val="32"/>
          <w:szCs w:val="32"/>
          <w:lang w:val="en-US" w:eastAsia="zh-CN"/>
        </w:rPr>
        <w:t>2</w:t>
      </w:r>
      <w:r>
        <w:rPr>
          <w:rFonts w:hint="default" w:ascii="Times New Roman" w:hAnsi="Times New Roman" w:eastAsia="仿宋_GB2312" w:cs="Times New Roman"/>
          <w:color w:val="000000"/>
          <w:sz w:val="32"/>
          <w:szCs w:val="32"/>
        </w:rPr>
        <w:t>辆，其中：轿车</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辆、越野车</w:t>
      </w:r>
      <w:r>
        <w:rPr>
          <w:rFonts w:hint="default" w:ascii="Times New Roman" w:hAnsi="Times New Roman" w:eastAsia="仿宋_GB2312" w:cs="Times New Roman"/>
          <w:color w:val="000000"/>
          <w:sz w:val="32"/>
          <w:szCs w:val="32"/>
          <w:lang w:val="en-US" w:eastAsia="zh-CN"/>
        </w:rPr>
        <w:t>1</w:t>
      </w:r>
      <w:r>
        <w:rPr>
          <w:rFonts w:hint="default" w:ascii="Times New Roman" w:hAnsi="Times New Roman" w:eastAsia="仿宋_GB2312" w:cs="Times New Roman"/>
          <w:color w:val="000000"/>
          <w:sz w:val="32"/>
          <w:szCs w:val="32"/>
        </w:rPr>
        <w:t>辆、载客汽车</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辆。</w:t>
      </w:r>
      <w:r>
        <w:rPr>
          <w:rFonts w:hint="default" w:ascii="Times New Roman" w:hAnsi="Times New Roman" w:eastAsia="仿宋_GB2312" w:cs="Times New Roman"/>
          <w:b/>
          <w:color w:val="000000"/>
          <w:sz w:val="32"/>
          <w:szCs w:val="32"/>
        </w:rPr>
        <w:t>公务用车运行维护费支出</w:t>
      </w:r>
      <w:r>
        <w:rPr>
          <w:rFonts w:hint="default" w:ascii="Times New Roman" w:hAnsi="Times New Roman" w:eastAsia="仿宋_GB2312" w:cs="Times New Roman"/>
          <w:color w:val="000000"/>
          <w:sz w:val="32"/>
          <w:szCs w:val="32"/>
          <w:lang w:val="en-US" w:eastAsia="zh-CN"/>
        </w:rPr>
        <w:t>4.39</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eastAsia="zh-CN"/>
        </w:rPr>
        <w:t>本单位开展统计工作</w:t>
      </w:r>
      <w:r>
        <w:rPr>
          <w:rFonts w:hint="default" w:ascii="Times New Roman" w:hAnsi="Times New Roman" w:eastAsia="仿宋_GB2312" w:cs="Times New Roman"/>
          <w:color w:val="000000"/>
          <w:sz w:val="32"/>
          <w:szCs w:val="32"/>
        </w:rPr>
        <w:t>所需的公务用车燃料费、维修费、过路过桥费、保险费等支出。</w:t>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b/>
          <w:color w:val="000000"/>
          <w:sz w:val="32"/>
          <w:szCs w:val="32"/>
        </w:rPr>
        <w:t>3.公务接待费支出</w:t>
      </w:r>
      <w:r>
        <w:rPr>
          <w:rFonts w:hint="default" w:ascii="Times New Roman" w:hAnsi="Times New Roman" w:eastAsia="仿宋_GB2312" w:cs="Times New Roman"/>
          <w:color w:val="000000"/>
          <w:sz w:val="32"/>
          <w:szCs w:val="32"/>
          <w:lang w:val="en-US" w:eastAsia="zh-CN"/>
        </w:rPr>
        <w:t>1.61</w:t>
      </w:r>
      <w:r>
        <w:rPr>
          <w:rFonts w:hint="default" w:ascii="Times New Roman" w:hAnsi="Times New Roman" w:eastAsia="仿宋_GB2312" w:cs="Times New Roman"/>
          <w:color w:val="000000"/>
          <w:sz w:val="32"/>
          <w:szCs w:val="32"/>
        </w:rPr>
        <w:t>万元，</w:t>
      </w:r>
      <w:r>
        <w:rPr>
          <w:rStyle w:val="22"/>
          <w:rFonts w:hint="default" w:ascii="Times New Roman" w:hAnsi="Times New Roman" w:eastAsia="仿宋" w:cs="Times New Roman"/>
          <w:b w:val="0"/>
          <w:bCs/>
          <w:color w:val="000000"/>
          <w:sz w:val="32"/>
          <w:szCs w:val="32"/>
        </w:rPr>
        <w:t>完成预算</w:t>
      </w:r>
      <w:r>
        <w:rPr>
          <w:rStyle w:val="22"/>
          <w:rFonts w:hint="default" w:ascii="Times New Roman" w:hAnsi="Times New Roman" w:eastAsia="仿宋" w:cs="Times New Roman"/>
          <w:b w:val="0"/>
          <w:bCs/>
          <w:color w:val="000000"/>
          <w:sz w:val="32"/>
          <w:szCs w:val="32"/>
          <w:lang w:val="en-US" w:eastAsia="zh-CN"/>
        </w:rPr>
        <w:t>100</w:t>
      </w:r>
      <w:r>
        <w:rPr>
          <w:rStyle w:val="22"/>
          <w:rFonts w:hint="default" w:ascii="Times New Roman" w:hAnsi="Times New Roman" w:eastAsia="仿宋" w:cs="Times New Roman"/>
          <w:b w:val="0"/>
          <w:bCs/>
          <w:color w:val="000000"/>
          <w:sz w:val="32"/>
          <w:szCs w:val="32"/>
        </w:rPr>
        <w:t>%。</w:t>
      </w:r>
      <w:r>
        <w:rPr>
          <w:rFonts w:hint="default" w:ascii="Times New Roman" w:hAnsi="Times New Roman" w:eastAsia="仿宋_GB2312" w:cs="Times New Roman"/>
          <w:color w:val="000000"/>
          <w:sz w:val="32"/>
          <w:szCs w:val="32"/>
        </w:rPr>
        <w:t>公务接待费支出决算比2020年增加</w:t>
      </w:r>
      <w:r>
        <w:rPr>
          <w:rFonts w:hint="default" w:ascii="Times New Roman" w:hAnsi="Times New Roman" w:eastAsia="仿宋_GB2312" w:cs="Times New Roman"/>
          <w:color w:val="000000"/>
          <w:sz w:val="32"/>
          <w:szCs w:val="32"/>
          <w:lang w:val="en-US" w:eastAsia="zh-CN"/>
        </w:rPr>
        <w:t>0.72</w:t>
      </w:r>
      <w:r>
        <w:rPr>
          <w:rFonts w:hint="default" w:ascii="Times New Roman" w:hAnsi="Times New Roman" w:eastAsia="仿宋_GB2312" w:cs="Times New Roman"/>
          <w:color w:val="000000"/>
          <w:sz w:val="32"/>
          <w:szCs w:val="32"/>
        </w:rPr>
        <w:t>万元，增长</w:t>
      </w:r>
      <w:r>
        <w:rPr>
          <w:rFonts w:hint="default" w:ascii="Times New Roman" w:hAnsi="Times New Roman" w:eastAsia="仿宋_GB2312" w:cs="Times New Roman"/>
          <w:color w:val="000000"/>
          <w:sz w:val="32"/>
          <w:szCs w:val="32"/>
          <w:lang w:val="en-US" w:eastAsia="zh-CN"/>
        </w:rPr>
        <w:t>80</w:t>
      </w:r>
      <w:r>
        <w:rPr>
          <w:rFonts w:hint="default" w:ascii="Times New Roman" w:hAnsi="Times New Roman" w:eastAsia="仿宋_GB2312" w:cs="Times New Roman"/>
          <w:color w:val="000000"/>
          <w:sz w:val="32"/>
          <w:szCs w:val="32"/>
        </w:rPr>
        <w:t>%。主要原因是</w:t>
      </w:r>
      <w:r>
        <w:rPr>
          <w:rFonts w:hint="default" w:ascii="Times New Roman" w:hAnsi="Times New Roman" w:eastAsia="仿宋_GB2312" w:cs="Times New Roman"/>
          <w:color w:val="000000"/>
          <w:sz w:val="32"/>
          <w:szCs w:val="32"/>
          <w:lang w:val="en-US" w:eastAsia="zh-CN"/>
        </w:rPr>
        <w:t>2020年疫情防控的原因，上级部门到茂县开展检查、指导等工作次数较2021年少</w:t>
      </w:r>
      <w:r>
        <w:rPr>
          <w:rFonts w:hint="default" w:ascii="Times New Roman" w:hAnsi="Times New Roman" w:eastAsia="仿宋_GB2312" w:cs="Times New Roman"/>
          <w:color w:val="000000"/>
          <w:sz w:val="32"/>
          <w:szCs w:val="32"/>
        </w:rPr>
        <w:t>。</w:t>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eastAsia="zh-CN"/>
        </w:rPr>
      </w:pPr>
      <w:r>
        <w:rPr>
          <w:rFonts w:hint="default" w:ascii="Times New Roman" w:hAnsi="Times New Roman" w:eastAsia="仿宋_GB2312" w:cs="Times New Roman"/>
          <w:color w:val="000000"/>
          <w:sz w:val="32"/>
          <w:szCs w:val="32"/>
        </w:rPr>
        <w:t>其中：</w:t>
      </w:r>
      <w:r>
        <w:rPr>
          <w:rFonts w:hint="default" w:ascii="Times New Roman" w:hAnsi="Times New Roman" w:eastAsia="仿宋" w:cs="Times New Roman"/>
          <w:b/>
          <w:color w:val="000000"/>
          <w:sz w:val="32"/>
          <w:szCs w:val="32"/>
        </w:rPr>
        <w:t>国内公务接待支出</w:t>
      </w:r>
      <w:r>
        <w:rPr>
          <w:rFonts w:hint="default" w:ascii="Times New Roman" w:hAnsi="Times New Roman" w:eastAsia="仿宋" w:cs="Times New Roman"/>
          <w:b/>
          <w:color w:val="000000"/>
          <w:sz w:val="32"/>
          <w:szCs w:val="32"/>
          <w:lang w:val="en-US" w:eastAsia="zh-CN"/>
        </w:rPr>
        <w:t>1.61</w:t>
      </w:r>
      <w:r>
        <w:rPr>
          <w:rFonts w:hint="default" w:ascii="Times New Roman" w:hAnsi="Times New Roman" w:eastAsia="仿宋_GB2312" w:cs="Times New Roman"/>
          <w:color w:val="000000"/>
          <w:sz w:val="32"/>
          <w:szCs w:val="32"/>
        </w:rPr>
        <w:t>万元，主要用于</w:t>
      </w:r>
      <w:r>
        <w:rPr>
          <w:rFonts w:hint="default" w:ascii="Times New Roman" w:hAnsi="Times New Roman" w:eastAsia="仿宋_GB2312" w:cs="Times New Roman"/>
          <w:color w:val="000000"/>
          <w:sz w:val="32"/>
          <w:szCs w:val="32"/>
          <w:lang w:eastAsia="zh-CN"/>
        </w:rPr>
        <w:t>本单位</w:t>
      </w:r>
      <w:r>
        <w:rPr>
          <w:rFonts w:hint="default" w:ascii="Times New Roman" w:hAnsi="Times New Roman" w:eastAsia="仿宋_GB2312" w:cs="Times New Roman"/>
          <w:color w:val="000000"/>
          <w:sz w:val="32"/>
          <w:szCs w:val="32"/>
        </w:rPr>
        <w:t>执行公务、开展业务活动开支的交通费、住宿费、用餐费等。国内公务接待</w:t>
      </w: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125</w:t>
      </w:r>
      <w:r>
        <w:rPr>
          <w:rFonts w:hint="default" w:ascii="Times New Roman" w:hAnsi="Times New Roman" w:eastAsia="仿宋_GB2312" w:cs="Times New Roman"/>
          <w:color w:val="000000"/>
          <w:sz w:val="32"/>
          <w:szCs w:val="32"/>
        </w:rPr>
        <w:t>人次（不包括陪同人员），共计支出</w:t>
      </w:r>
      <w:r>
        <w:rPr>
          <w:rFonts w:hint="default" w:ascii="Times New Roman" w:hAnsi="Times New Roman" w:eastAsia="仿宋_GB2312" w:cs="Times New Roman"/>
          <w:color w:val="000000"/>
          <w:sz w:val="32"/>
          <w:szCs w:val="32"/>
          <w:lang w:val="en-US" w:eastAsia="zh-CN"/>
        </w:rPr>
        <w:t>1.61</w:t>
      </w:r>
      <w:r>
        <w:rPr>
          <w:rFonts w:hint="default" w:ascii="Times New Roman" w:hAnsi="Times New Roman" w:eastAsia="仿宋_GB2312" w:cs="Times New Roman"/>
          <w:color w:val="000000"/>
          <w:sz w:val="32"/>
          <w:szCs w:val="32"/>
        </w:rPr>
        <w:t>万元。</w:t>
      </w:r>
      <w:r>
        <w:rPr>
          <w:rFonts w:hint="default" w:ascii="Times New Roman" w:hAnsi="Times New Roman" w:eastAsia="仿宋" w:cs="Times New Roman"/>
          <w:b/>
          <w:color w:val="000000"/>
          <w:sz w:val="32"/>
          <w:szCs w:val="32"/>
        </w:rPr>
        <w:t>外事接待支出</w:t>
      </w:r>
      <w:r>
        <w:rPr>
          <w:rFonts w:hint="default" w:ascii="Times New Roman" w:hAnsi="Times New Roman" w:eastAsia="仿宋" w:cs="Times New Roman"/>
          <w:color w:val="000000"/>
          <w:sz w:val="32"/>
          <w:szCs w:val="32"/>
          <w:lang w:val="en-US" w:eastAsia="zh-CN"/>
        </w:rPr>
        <w:t>0</w:t>
      </w:r>
      <w:r>
        <w:rPr>
          <w:rFonts w:hint="default" w:ascii="Times New Roman" w:hAnsi="Times New Roman" w:eastAsia="仿宋_GB2312" w:cs="Times New Roman"/>
          <w:color w:val="000000"/>
          <w:sz w:val="32"/>
          <w:szCs w:val="32"/>
        </w:rPr>
        <w:t>万元，外事接待</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批次，</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人，共计支出</w:t>
      </w:r>
      <w:r>
        <w:rPr>
          <w:rFonts w:hint="default" w:ascii="Times New Roman" w:hAnsi="Times New Roman" w:eastAsia="仿宋_GB2312" w:cs="Times New Roman"/>
          <w:color w:val="000000"/>
          <w:sz w:val="32"/>
          <w:szCs w:val="32"/>
          <w:lang w:val="en-US" w:eastAsia="zh-CN"/>
        </w:rPr>
        <w:t>0</w:t>
      </w:r>
      <w:r>
        <w:rPr>
          <w:rFonts w:hint="default" w:ascii="Times New Roman" w:hAnsi="Times New Roman" w:eastAsia="仿宋_GB2312" w:cs="Times New Roman"/>
          <w:color w:val="000000"/>
          <w:sz w:val="32"/>
          <w:szCs w:val="32"/>
        </w:rPr>
        <w:t>万元</w:t>
      </w:r>
      <w:r>
        <w:rPr>
          <w:rFonts w:hint="default" w:ascii="Times New Roman" w:hAnsi="Times New Roman" w:eastAsia="仿宋_GB2312" w:cs="Times New Roman"/>
          <w:color w:val="000000"/>
          <w:sz w:val="32"/>
          <w:szCs w:val="32"/>
          <w:lang w:eastAsia="zh-CN"/>
        </w:rPr>
        <w:t>。</w:t>
      </w:r>
      <w:bookmarkStart w:id="80" w:name="_Toc79163622"/>
      <w:bookmarkStart w:id="81" w:name="_Toc79163872"/>
      <w:bookmarkStart w:id="82" w:name="_Toc15377218"/>
      <w:bookmarkStart w:id="83" w:name="_Toc15396610"/>
    </w:p>
    <w:p>
      <w:pPr>
        <w:pageBreakBefore w:val="0"/>
        <w:kinsoku/>
        <w:wordWrap/>
        <w:overflowPunct/>
        <w:topLinePunct w:val="0"/>
        <w:bidi w:val="0"/>
        <w:spacing w:line="576" w:lineRule="exact"/>
        <w:ind w:left="0" w:leftChars="0" w:right="0" w:firstLine="640"/>
        <w:jc w:val="both"/>
        <w:textAlignment w:val="auto"/>
        <w:rPr>
          <w:rStyle w:val="25"/>
          <w:rFonts w:hint="default" w:ascii="Times New Roman" w:hAnsi="Times New Roman" w:eastAsia="黑体" w:cs="Times New Roman"/>
        </w:rPr>
      </w:pPr>
      <w:r>
        <w:rPr>
          <w:rFonts w:hint="default" w:ascii="Times New Roman" w:hAnsi="Times New Roman" w:eastAsia="黑体" w:cs="Times New Roman"/>
          <w:color w:val="000000"/>
          <w:sz w:val="32"/>
          <w:szCs w:val="32"/>
        </w:rPr>
        <w:t>八、</w:t>
      </w:r>
      <w:r>
        <w:rPr>
          <w:rStyle w:val="25"/>
          <w:rFonts w:hint="default" w:ascii="Times New Roman" w:hAnsi="Times New Roman" w:eastAsia="黑体" w:cs="Times New Roman"/>
          <w:b w:val="0"/>
        </w:rPr>
        <w:t>政府性基金预算支出决算情况说明</w:t>
      </w:r>
      <w:bookmarkEnd w:id="80"/>
      <w:bookmarkEnd w:id="81"/>
      <w:bookmarkEnd w:id="82"/>
      <w:bookmarkEnd w:id="83"/>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2021年政府性基金预算拨款支出0万元。</w:t>
      </w:r>
      <w:bookmarkStart w:id="84" w:name="_Toc15396611"/>
      <w:bookmarkStart w:id="85" w:name="_Toc79163623"/>
      <w:bookmarkStart w:id="86" w:name="_Toc79163873"/>
      <w:bookmarkStart w:id="87" w:name="_Toc15377219"/>
    </w:p>
    <w:p>
      <w:pPr>
        <w:pageBreakBefore w:val="0"/>
        <w:kinsoku/>
        <w:wordWrap/>
        <w:overflowPunct/>
        <w:topLinePunct w:val="0"/>
        <w:bidi w:val="0"/>
        <w:spacing w:line="576" w:lineRule="exact"/>
        <w:ind w:left="0" w:leftChars="0" w:right="0" w:firstLine="640"/>
        <w:jc w:val="both"/>
        <w:textAlignment w:val="auto"/>
        <w:rPr>
          <w:rStyle w:val="25"/>
          <w:rFonts w:hint="default" w:ascii="Times New Roman" w:hAnsi="Times New Roman" w:eastAsia="黑体" w:cs="Times New Roman"/>
          <w:b w:val="0"/>
        </w:rPr>
      </w:pPr>
      <w:r>
        <w:rPr>
          <w:rFonts w:hint="default" w:ascii="Times New Roman" w:hAnsi="Times New Roman" w:eastAsia="仿宋_GB2312" w:cs="Times New Roman"/>
          <w:color w:val="000000"/>
          <w:sz w:val="32"/>
          <w:szCs w:val="32"/>
          <w:lang w:val="en-US" w:eastAsia="zh-CN"/>
        </w:rPr>
        <w:t>九</w:t>
      </w:r>
      <w:r>
        <w:rPr>
          <w:rStyle w:val="25"/>
          <w:rFonts w:hint="default" w:ascii="Times New Roman" w:hAnsi="Times New Roman" w:eastAsia="黑体" w:cs="Times New Roman"/>
          <w:b w:val="0"/>
        </w:rPr>
        <w:t>国有资本经营预算支出决算情况说明</w:t>
      </w:r>
      <w:bookmarkEnd w:id="84"/>
      <w:bookmarkEnd w:id="85"/>
      <w:bookmarkEnd w:id="86"/>
      <w:bookmarkEnd w:id="87"/>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2021年国有资本经营预算拨款支出0万元。</w:t>
      </w:r>
      <w:bookmarkStart w:id="88" w:name="_Toc79163874"/>
      <w:bookmarkStart w:id="89" w:name="_Toc79163624"/>
      <w:bookmarkStart w:id="90" w:name="_Toc15377221"/>
      <w:bookmarkStart w:id="91" w:name="_Toc15396612"/>
    </w:p>
    <w:p>
      <w:pPr>
        <w:pageBreakBefore w:val="0"/>
        <w:kinsoku/>
        <w:wordWrap/>
        <w:overflowPunct/>
        <w:topLinePunct w:val="0"/>
        <w:bidi w:val="0"/>
        <w:spacing w:line="576" w:lineRule="exact"/>
        <w:ind w:left="0" w:leftChars="0" w:right="0" w:firstLine="640"/>
        <w:jc w:val="both"/>
        <w:textAlignment w:val="auto"/>
        <w:rPr>
          <w:rStyle w:val="25"/>
          <w:rFonts w:hint="default" w:ascii="Times New Roman" w:hAnsi="Times New Roman" w:eastAsia="黑体" w:cs="Times New Roman"/>
        </w:rPr>
      </w:pPr>
      <w:r>
        <w:rPr>
          <w:rFonts w:hint="default" w:ascii="Times New Roman" w:hAnsi="Times New Roman" w:eastAsia="黑体" w:cs="Times New Roman"/>
          <w:color w:val="000000"/>
          <w:sz w:val="32"/>
          <w:szCs w:val="32"/>
        </w:rPr>
        <w:t>十</w:t>
      </w:r>
      <w:r>
        <w:rPr>
          <w:rFonts w:hint="default" w:ascii="Times New Roman" w:hAnsi="Times New Roman" w:eastAsia="黑体" w:cs="Times New Roman"/>
          <w:color w:val="000000"/>
          <w:sz w:val="32"/>
          <w:szCs w:val="32"/>
          <w:lang w:eastAsia="zh-CN"/>
        </w:rPr>
        <w:t>、</w:t>
      </w:r>
      <w:r>
        <w:rPr>
          <w:rStyle w:val="25"/>
          <w:rFonts w:hint="default" w:ascii="Times New Roman" w:hAnsi="Times New Roman" w:eastAsia="黑体" w:cs="Times New Roman"/>
          <w:b w:val="0"/>
        </w:rPr>
        <w:t>其他重要事项的情况说明</w:t>
      </w:r>
      <w:bookmarkEnd w:id="88"/>
      <w:bookmarkEnd w:id="89"/>
      <w:bookmarkEnd w:id="90"/>
      <w:bookmarkEnd w:id="91"/>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楷体_GB2312" w:cs="Times New Roman"/>
          <w:color w:val="000000"/>
          <w:sz w:val="32"/>
          <w:szCs w:val="32"/>
        </w:rPr>
      </w:pPr>
      <w:bookmarkStart w:id="92" w:name="_Toc79163875"/>
      <w:bookmarkStart w:id="93" w:name="_Toc15377222"/>
      <w:bookmarkStart w:id="94" w:name="_Toc79163625"/>
      <w:r>
        <w:rPr>
          <w:rFonts w:hint="default" w:ascii="Times New Roman" w:hAnsi="Times New Roman" w:eastAsia="楷体_GB2312" w:cs="Times New Roman"/>
          <w:b/>
          <w:color w:val="000000"/>
          <w:sz w:val="32"/>
          <w:szCs w:val="32"/>
        </w:rPr>
        <w:t>（一）机关运行经费支出情况</w:t>
      </w:r>
      <w:bookmarkEnd w:id="92"/>
      <w:bookmarkEnd w:id="93"/>
      <w:bookmarkEnd w:id="94"/>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2021年，茂县统计局机关运行经费支出14.8万元，比2020年减少0.01万元，较去年基本持平。</w:t>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楷体_GB2312" w:cs="Times New Roman"/>
          <w:b/>
          <w:color w:val="000000"/>
          <w:sz w:val="32"/>
          <w:szCs w:val="32"/>
        </w:rPr>
      </w:pPr>
      <w:bookmarkStart w:id="95" w:name="_Toc15377223"/>
      <w:bookmarkStart w:id="96" w:name="_Toc79163876"/>
      <w:bookmarkStart w:id="97" w:name="_Toc79163626"/>
      <w:r>
        <w:rPr>
          <w:rFonts w:hint="default" w:ascii="Times New Roman" w:hAnsi="Times New Roman" w:eastAsia="楷体_GB2312" w:cs="Times New Roman"/>
          <w:b/>
          <w:color w:val="000000"/>
          <w:sz w:val="32"/>
          <w:szCs w:val="32"/>
        </w:rPr>
        <w:t>（二）政府采购支出情况</w:t>
      </w:r>
      <w:bookmarkEnd w:id="95"/>
      <w:bookmarkEnd w:id="96"/>
      <w:bookmarkEnd w:id="97"/>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茂县统计局2021年无政府采购支出。</w:t>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楷体_GB2312" w:cs="Times New Roman"/>
          <w:b/>
          <w:color w:val="000000"/>
          <w:sz w:val="32"/>
          <w:szCs w:val="32"/>
        </w:rPr>
      </w:pPr>
      <w:bookmarkStart w:id="98" w:name="_Toc15377224"/>
      <w:bookmarkStart w:id="99" w:name="_Toc79163627"/>
      <w:bookmarkStart w:id="100" w:name="_Toc79163877"/>
      <w:r>
        <w:rPr>
          <w:rFonts w:hint="default" w:ascii="Times New Roman" w:hAnsi="Times New Roman" w:eastAsia="楷体_GB2312" w:cs="Times New Roman"/>
          <w:b/>
          <w:color w:val="000000"/>
          <w:sz w:val="32"/>
          <w:szCs w:val="32"/>
        </w:rPr>
        <w:t>（三）国有资产占有使用情况</w:t>
      </w:r>
      <w:bookmarkEnd w:id="98"/>
      <w:bookmarkEnd w:id="99"/>
      <w:bookmarkEnd w:id="100"/>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截至2021年12月31日，茂县统计局共有车辆2辆，其中：主要领导干部用车0辆、机要通信用车0辆、应急保障用车0辆、其他用车2辆。其他用车主要是用于本单位开展日常统计工作需要。单价50万元以上通用设备0台（套），单价100万元以上专用设备0台（套）。</w:t>
      </w:r>
    </w:p>
    <w:p>
      <w:pPr>
        <w:pageBreakBefore w:val="0"/>
        <w:kinsoku/>
        <w:wordWrap/>
        <w:overflowPunct/>
        <w:topLinePunct w:val="0"/>
        <w:bidi w:val="0"/>
        <w:spacing w:line="576" w:lineRule="exact"/>
        <w:ind w:left="0" w:leftChars="0" w:right="0" w:firstLine="642" w:firstLineChars="200"/>
        <w:jc w:val="both"/>
        <w:textAlignment w:val="auto"/>
        <w:outlineLvl w:val="2"/>
        <w:rPr>
          <w:rFonts w:hint="default" w:ascii="Times New Roman" w:hAnsi="Times New Roman" w:eastAsia="楷体_GB2312" w:cs="Times New Roman"/>
          <w:b/>
          <w:color w:val="000000"/>
          <w:sz w:val="32"/>
          <w:szCs w:val="32"/>
        </w:rPr>
      </w:pPr>
      <w:bookmarkStart w:id="101" w:name="_Toc79163878"/>
      <w:bookmarkStart w:id="102" w:name="_Toc79163628"/>
      <w:r>
        <w:rPr>
          <w:rFonts w:hint="default" w:ascii="Times New Roman" w:hAnsi="Times New Roman" w:eastAsia="楷体_GB2312" w:cs="Times New Roman"/>
          <w:b/>
          <w:color w:val="000000"/>
          <w:sz w:val="32"/>
          <w:szCs w:val="32"/>
        </w:rPr>
        <w:t>（四）预算绩效管理情况。</w:t>
      </w:r>
      <w:bookmarkEnd w:id="101"/>
      <w:bookmarkEnd w:id="102"/>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color w:val="000000"/>
          <w:sz w:val="32"/>
          <w:szCs w:val="32"/>
          <w:lang w:val="en-US" w:eastAsia="zh-CN"/>
        </w:rPr>
      </w:pPr>
      <w:r>
        <w:rPr>
          <w:rFonts w:hint="default" w:ascii="Times New Roman" w:hAnsi="Times New Roman" w:eastAsia="仿宋_GB2312" w:cs="Times New Roman"/>
          <w:color w:val="000000"/>
          <w:sz w:val="32"/>
          <w:szCs w:val="32"/>
          <w:lang w:val="en-US" w:eastAsia="zh-CN"/>
        </w:rPr>
        <w:t>根据预算绩效管理要求，本部门（单位）在年初预算编制阶段，本单位2021年无项目支出，因此未组织开展项目支出绩效评价。本部门按要求对2021年部门整体支出开展绩效自评，从评价情况来看自查自评结果良好，全年基本支出保证了部门的正常运行和日常工作的正常开展，达到预期绩效目标，按照2021年部门整体支出绩效评价指标体系自评得分86分。</w:t>
      </w:r>
    </w:p>
    <w:p>
      <w:pPr>
        <w:pageBreakBefore w:val="0"/>
        <w:kinsoku/>
        <w:wordWrap/>
        <w:overflowPunct/>
        <w:topLinePunct w:val="0"/>
        <w:bidi w:val="0"/>
        <w:spacing w:line="576" w:lineRule="exact"/>
        <w:ind w:left="0" w:leftChars="0" w:right="0" w:firstLine="64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.部门绩效评价结果。</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本部门按要求对2021年部门整体支出绩效评价情况开展自评，《</w:t>
      </w:r>
      <w:r>
        <w:rPr>
          <w:rFonts w:hint="default" w:ascii="Times New Roman" w:hAnsi="Times New Roman" w:eastAsia="仿宋_GB2312" w:cs="Times New Roman"/>
          <w:sz w:val="32"/>
          <w:szCs w:val="32"/>
          <w:lang w:eastAsia="zh-CN"/>
        </w:rPr>
        <w:t>茂县统计局</w:t>
      </w:r>
      <w:r>
        <w:rPr>
          <w:rFonts w:hint="default" w:ascii="Times New Roman" w:hAnsi="Times New Roman" w:eastAsia="仿宋_GB2312" w:cs="Times New Roman"/>
          <w:sz w:val="32"/>
          <w:szCs w:val="32"/>
        </w:rPr>
        <w:t>2021年部门整体支出绩效评价报告》见附件（附件1）。</w:t>
      </w: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Style w:val="2"/>
        <w:rPr>
          <w:rFonts w:hint="default" w:ascii="Times New Roman" w:hAnsi="Times New Roman" w:eastAsia="仿宋_GB2312" w:cs="Times New Roman"/>
          <w:sz w:val="32"/>
          <w:szCs w:val="32"/>
        </w:rPr>
      </w:pPr>
    </w:p>
    <w:p>
      <w:pPr>
        <w:rPr>
          <w:rFonts w:hint="default" w:ascii="Times New Roman" w:hAnsi="Times New Roman" w:eastAsia="仿宋_GB2312" w:cs="Times New Roman"/>
          <w:sz w:val="32"/>
          <w:szCs w:val="32"/>
        </w:rPr>
      </w:pPr>
    </w:p>
    <w:p>
      <w:pPr>
        <w:pageBreakBefore w:val="0"/>
        <w:numPr>
          <w:ilvl w:val="0"/>
          <w:numId w:val="0"/>
        </w:numPr>
        <w:kinsoku/>
        <w:wordWrap/>
        <w:overflowPunct/>
        <w:topLinePunct w:val="0"/>
        <w:bidi w:val="0"/>
        <w:spacing w:line="576" w:lineRule="exact"/>
        <w:ind w:right="0" w:rightChars="0"/>
        <w:jc w:val="center"/>
        <w:textAlignment w:val="auto"/>
        <w:outlineLvl w:val="0"/>
        <w:rPr>
          <w:rStyle w:val="24"/>
          <w:rFonts w:hint="default" w:ascii="Times New Roman" w:hAnsi="Times New Roman" w:eastAsia="方正小标宋简体" w:cs="Times New Roman"/>
          <w:b w:val="0"/>
        </w:rPr>
      </w:pPr>
      <w:bookmarkStart w:id="103" w:name="_Toc79163879"/>
      <w:bookmarkStart w:id="104" w:name="_Toc79163629"/>
      <w:bookmarkStart w:id="105" w:name="_Toc15377225"/>
      <w:bookmarkStart w:id="106" w:name="_Toc15396613"/>
      <w:r>
        <w:rPr>
          <w:rFonts w:hint="default" w:ascii="Times New Roman" w:hAnsi="Times New Roman" w:eastAsia="方正小标宋简体" w:cs="Times New Roman"/>
          <w:color w:val="000000"/>
          <w:sz w:val="44"/>
          <w:szCs w:val="44"/>
          <w:lang w:eastAsia="zh-CN"/>
        </w:rPr>
        <w:t>第三部分</w:t>
      </w:r>
      <w:r>
        <w:rPr>
          <w:rFonts w:hint="default" w:ascii="Times New Roman" w:hAnsi="Times New Roman" w:eastAsia="方正小标宋简体" w:cs="Times New Roman"/>
          <w:color w:val="000000"/>
          <w:sz w:val="44"/>
          <w:szCs w:val="44"/>
          <w:lang w:val="en-US" w:eastAsia="zh-CN"/>
        </w:rPr>
        <w:t xml:space="preserve"> </w:t>
      </w:r>
      <w:r>
        <w:rPr>
          <w:rFonts w:hint="default" w:ascii="Times New Roman" w:hAnsi="Times New Roman" w:eastAsia="方正小标宋简体" w:cs="Times New Roman"/>
          <w:color w:val="000000"/>
          <w:sz w:val="44"/>
          <w:szCs w:val="44"/>
        </w:rPr>
        <w:t>名</w:t>
      </w:r>
      <w:r>
        <w:rPr>
          <w:rStyle w:val="24"/>
          <w:rFonts w:hint="default" w:ascii="Times New Roman" w:hAnsi="Times New Roman" w:eastAsia="方正小标宋简体" w:cs="Times New Roman"/>
          <w:b w:val="0"/>
        </w:rPr>
        <w:t>词解释</w:t>
      </w:r>
      <w:bookmarkEnd w:id="103"/>
      <w:bookmarkEnd w:id="104"/>
      <w:bookmarkEnd w:id="105"/>
      <w:bookmarkEnd w:id="106"/>
    </w:p>
    <w:p>
      <w:pPr>
        <w:pStyle w:val="2"/>
        <w:rPr>
          <w:rFonts w:hint="default" w:ascii="Times New Roman" w:hAnsi="Times New Roman" w:cs="Times New Roman"/>
        </w:rPr>
      </w:pPr>
    </w:p>
    <w:p>
      <w:pPr>
        <w:pageBreakBefore w:val="0"/>
        <w:widowControl/>
        <w:kinsoku/>
        <w:wordWrap/>
        <w:overflowPunct/>
        <w:topLinePunct w:val="0"/>
        <w:bidi w:val="0"/>
        <w:spacing w:line="576" w:lineRule="exact"/>
        <w:ind w:left="0" w:leftChars="0" w:right="0" w:firstLine="707" w:firstLineChars="221"/>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1.财政拨款收入：指省级财政当年拨付的资金。</w:t>
      </w:r>
    </w:p>
    <w:p>
      <w:pPr>
        <w:pageBreakBefore w:val="0"/>
        <w:widowControl/>
        <w:kinsoku/>
        <w:wordWrap/>
        <w:overflowPunct/>
        <w:topLinePunct w:val="0"/>
        <w:bidi w:val="0"/>
        <w:spacing w:line="576" w:lineRule="exact"/>
        <w:ind w:left="0" w:leftChars="0" w:right="0" w:firstLine="707" w:firstLineChars="221"/>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2.其他收入：指除上述“财政拨款收入”、“事业收入”、“经营收入”等以外的收入。</w:t>
      </w:r>
    </w:p>
    <w:p>
      <w:pPr>
        <w:pStyle w:val="29"/>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Style w:val="29"/>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、年末结转和结余：指单位按有关规定结转到下年或以后年度继续使用的资金。</w:t>
      </w:r>
    </w:p>
    <w:p>
      <w:pPr>
        <w:pageBreakBefore w:val="0"/>
        <w:widowControl/>
        <w:kinsoku/>
        <w:wordWrap/>
        <w:overflowPunct/>
        <w:topLinePunct w:val="0"/>
        <w:bidi w:val="0"/>
        <w:spacing w:line="576" w:lineRule="exact"/>
        <w:ind w:left="0" w:leftChars="0" w:right="0" w:firstLine="707" w:firstLineChars="221"/>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rPr>
        <w:t>5</w:t>
      </w:r>
      <w:r>
        <w:rPr>
          <w:rFonts w:hint="default" w:ascii="Times New Roman" w:hAnsi="Times New Roman" w:eastAsia="仿宋_GB2312" w:cs="Times New Roman"/>
          <w:color w:val="000000"/>
          <w:kern w:val="0"/>
          <w:sz w:val="32"/>
          <w:szCs w:val="32"/>
        </w:rPr>
        <w:t>.一般公共服务（类）</w:t>
      </w:r>
      <w:r>
        <w:rPr>
          <w:rFonts w:hint="default" w:ascii="Times New Roman" w:hAnsi="Times New Roman" w:eastAsia="仿宋_GB2312" w:cs="Times New Roman"/>
          <w:color w:val="000000"/>
          <w:kern w:val="0"/>
          <w:sz w:val="32"/>
          <w:szCs w:val="32"/>
          <w:lang w:eastAsia="zh-CN"/>
        </w:rPr>
        <w:t>统计信息事务</w:t>
      </w:r>
      <w:r>
        <w:rPr>
          <w:rFonts w:hint="default" w:ascii="Times New Roman" w:hAnsi="Times New Roman" w:eastAsia="仿宋_GB2312" w:cs="Times New Roman"/>
          <w:color w:val="000000"/>
          <w:kern w:val="0"/>
          <w:sz w:val="32"/>
          <w:szCs w:val="32"/>
        </w:rPr>
        <w:t>（款）行政运行（项）：</w:t>
      </w: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指机关及参公管理事业单位用于保障机构正常运行、开展</w:t>
      </w: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日常工作的基本支出。</w:t>
      </w:r>
    </w:p>
    <w:p>
      <w:pPr>
        <w:pageBreakBefore w:val="0"/>
        <w:widowControl/>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lang w:val="en-US" w:eastAsia="zh-CN"/>
        </w:rPr>
        <w:t>6</w:t>
      </w:r>
      <w:r>
        <w:rPr>
          <w:rFonts w:hint="default" w:ascii="Times New Roman" w:hAnsi="Times New Roman" w:eastAsia="仿宋_GB2312" w:cs="Times New Roman"/>
          <w:color w:val="000000"/>
          <w:kern w:val="0"/>
          <w:sz w:val="32"/>
          <w:szCs w:val="32"/>
        </w:rPr>
        <w:t>.一般公共服务（类）财政事务（款）一般行政管理事务（项）：指机关及参公管理事业单位开展财政综合业务、</w:t>
      </w: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kern w:val="0"/>
          <w:sz w:val="32"/>
          <w:szCs w:val="32"/>
        </w:rPr>
        <w:t>预决算编审等未单独设置项级科目的专门性财政管理工作</w:t>
      </w:r>
    </w:p>
    <w:p>
      <w:pPr>
        <w:pageBreakBefore w:val="0"/>
        <w:widowControl/>
        <w:kinsoku/>
        <w:wordWrap/>
        <w:overflowPunct/>
        <w:topLinePunct w:val="0"/>
        <w:bidi w:val="0"/>
        <w:spacing w:line="576" w:lineRule="exact"/>
        <w:ind w:left="0" w:leftChars="0" w:right="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的项目支出。</w:t>
      </w:r>
    </w:p>
    <w:p>
      <w:pPr>
        <w:pStyle w:val="29"/>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xml:space="preserve">.年初结转和结余：指以前年度尚未完成、结转到本年按有关规定继续使用的资金。 </w:t>
      </w:r>
    </w:p>
    <w:p>
      <w:pPr>
        <w:pStyle w:val="29"/>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、年末结转和结余：指单位按有关规定结转到下年或以后年度继续使用的资金。</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9</w:t>
      </w:r>
      <w:r>
        <w:rPr>
          <w:rFonts w:hint="default" w:ascii="Times New Roman" w:hAnsi="Times New Roman" w:eastAsia="仿宋_GB2312" w:cs="Times New Roman"/>
          <w:color w:val="000000"/>
          <w:sz w:val="32"/>
          <w:szCs w:val="32"/>
        </w:rPr>
        <w:t>.医疗卫生与计划生育（类）行政事业单位医疗（款）行政单位医疗（项）：指</w:t>
      </w:r>
      <w:r>
        <w:rPr>
          <w:rFonts w:hint="default" w:ascii="Times New Roman" w:hAnsi="Times New Roman" w:eastAsia="仿宋_GB2312" w:cs="Times New Roman"/>
          <w:sz w:val="32"/>
          <w:szCs w:val="32"/>
        </w:rPr>
        <w:t>行政单位医疗，反映用于医疗保障方面的支出，指财政部门集中安排的行政单位的公费医疗经费，按国家规定享受离休人员、红军老战士待遇人员的医疗经费。</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.住房保障支出（类）住房改革支出（款）住房公积金（项）：住房改革支出，反映行政事业单位按人力资源和社会保障部、财政部规定的基本工资和津贴补贴以及规定比例为职工缴纳的住房公积金。</w:t>
      </w:r>
    </w:p>
    <w:p>
      <w:pPr>
        <w:pageBreakBefore w:val="0"/>
        <w:kinsoku/>
        <w:wordWrap/>
        <w:overflowPunct/>
        <w:topLinePunct w:val="0"/>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11</w:t>
      </w:r>
      <w:r>
        <w:rPr>
          <w:rFonts w:hint="default" w:ascii="Times New Roman" w:hAnsi="Times New Roman" w:eastAsia="仿宋_GB2312" w:cs="Times New Roman"/>
          <w:sz w:val="32"/>
          <w:szCs w:val="32"/>
        </w:rPr>
        <w:t>.社会保障和就业（类）行政事业单位离退休（款）养老保险（项）：机关事业单位基本养老保险缴费支出，反映机关事业单位实施养老保险制度由单位缴纳的基本养老保险费支出。</w:t>
      </w:r>
    </w:p>
    <w:p>
      <w:pPr>
        <w:pageBreakBefore w:val="0"/>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color w:val="000000"/>
          <w:sz w:val="32"/>
          <w:szCs w:val="32"/>
        </w:rPr>
      </w:pP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.社会保障和就业（类）行政事业单位离退休（款）职业年金（项）：机关事业单位职业年金缴费支出，反映机关事业单位实施养老保险制度由单位实际缴纳的职业年金支出</w:t>
      </w:r>
      <w:r>
        <w:rPr>
          <w:rFonts w:hint="default" w:ascii="Times New Roman" w:hAnsi="Times New Roman" w:eastAsia="仿宋_GB2312" w:cs="Times New Roman"/>
          <w:color w:val="000000"/>
          <w:sz w:val="32"/>
          <w:szCs w:val="32"/>
        </w:rPr>
        <w:t>。</w:t>
      </w:r>
    </w:p>
    <w:p>
      <w:pPr>
        <w:pageBreakBefore w:val="0"/>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13</w:t>
      </w:r>
      <w:r>
        <w:rPr>
          <w:rFonts w:hint="default" w:ascii="Times New Roman" w:hAnsi="Times New Roman" w:eastAsia="仿宋_GB2312" w:cs="Times New Roman"/>
          <w:color w:val="000000"/>
          <w:sz w:val="32"/>
          <w:szCs w:val="32"/>
        </w:rPr>
        <w:t>.</w:t>
      </w:r>
      <w:r>
        <w:rPr>
          <w:rFonts w:hint="default" w:ascii="Times New Roman" w:hAnsi="Times New Roman" w:eastAsia="仿宋_GB2312" w:cs="Times New Roman"/>
          <w:sz w:val="32"/>
          <w:szCs w:val="32"/>
        </w:rPr>
        <w:t>基本支出：指为保障机构正常运转、完成日常工作任务而发生的人员支出和公用支出。人员经费支出主要包括基本工资；津贴补贴；）奖金；绩效工资；）机关事业单位基本养老保险缴费；职业年金缴费；其他社会保障缴费；奖励金；住房公积金；医疗费。</w:t>
      </w:r>
    </w:p>
    <w:p>
      <w:pPr>
        <w:pageBreakBefore w:val="0"/>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.项目支出：指在基本支出之外为完成特定行政任务动之外开展非独立核算经营活动发生的支出。</w:t>
      </w:r>
    </w:p>
    <w:p>
      <w:pPr>
        <w:pStyle w:val="2"/>
        <w:pageBreakBefore w:val="0"/>
        <w:kinsoku/>
        <w:wordWrap/>
        <w:overflowPunct/>
        <w:topLinePunct w:val="0"/>
        <w:autoSpaceDE/>
        <w:autoSpaceDN/>
        <w:bidi w:val="0"/>
        <w:spacing w:line="576" w:lineRule="exact"/>
        <w:ind w:left="0" w:leftChars="0" w:right="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000000"/>
          <w:sz w:val="32"/>
          <w:szCs w:val="32"/>
          <w:lang w:val="en-US" w:eastAsia="zh-CN"/>
        </w:rPr>
        <w:t>15</w:t>
      </w:r>
      <w:r>
        <w:rPr>
          <w:rFonts w:hint="default" w:ascii="Times New Roman" w:hAnsi="Times New Roman" w:eastAsia="仿宋_GB2312" w:cs="Times New Roman"/>
          <w:color w:val="000000"/>
          <w:sz w:val="32"/>
          <w:szCs w:val="32"/>
        </w:rPr>
        <w:t>.经营支出：指事业单位在专业业务活动及其辅助活动之外开展非独立核算经营活动发生的支出。</w:t>
      </w:r>
    </w:p>
    <w:p>
      <w:pPr>
        <w:pageBreakBefore w:val="0"/>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三公”经费：纳入县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pageBreakBefore w:val="0"/>
        <w:kinsoku/>
        <w:wordWrap/>
        <w:overflowPunct/>
        <w:topLinePunct w:val="0"/>
        <w:autoSpaceDE/>
        <w:autoSpaceDN/>
        <w:bidi w:val="0"/>
        <w:spacing w:line="576" w:lineRule="exact"/>
        <w:ind w:left="0" w:leftChars="0" w:right="0" w:firstLine="640"/>
        <w:jc w:val="both"/>
        <w:textAlignment w:val="auto"/>
        <w:rPr>
          <w:rFonts w:hint="default" w:ascii="Times New Roman" w:hAnsi="Times New Roman" w:eastAsia="仿宋_GB2312" w:cs="Times New Roman"/>
          <w:b/>
          <w:color w:val="000000"/>
          <w:sz w:val="32"/>
          <w:szCs w:val="32"/>
        </w:rPr>
      </w:pPr>
      <w:r>
        <w:rPr>
          <w:rFonts w:hint="default" w:ascii="Times New Roman" w:hAnsi="Times New Roman" w:eastAsia="仿宋_GB2312" w:cs="Times New Roman"/>
          <w:sz w:val="32"/>
          <w:szCs w:val="32"/>
        </w:rPr>
        <w:t>1</w:t>
      </w: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办公费；）邮电费；）差旅费；培训费；租赁费；其他商品和服务支出。</w:t>
      </w: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bookmarkStart w:id="107" w:name="_Toc15396614"/>
      <w:bookmarkStart w:id="108" w:name="_Toc79163630"/>
      <w:bookmarkStart w:id="109" w:name="_Toc79163880"/>
      <w:bookmarkStart w:id="110" w:name="_Toc15377226"/>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黑体" w:cs="Times New Roman"/>
          <w:color w:val="000000"/>
          <w:sz w:val="44"/>
          <w:szCs w:val="44"/>
        </w:rPr>
      </w:pPr>
    </w:p>
    <w:p>
      <w:pPr>
        <w:pageBreakBefore w:val="0"/>
        <w:kinsoku/>
        <w:wordWrap/>
        <w:overflowPunct/>
        <w:topLinePunct w:val="0"/>
        <w:autoSpaceDE/>
        <w:autoSpaceDN/>
        <w:bidi w:val="0"/>
        <w:spacing w:line="576" w:lineRule="exact"/>
        <w:ind w:left="0" w:leftChars="0" w:right="0"/>
        <w:jc w:val="center"/>
        <w:textAlignment w:val="auto"/>
        <w:outlineLvl w:val="0"/>
        <w:rPr>
          <w:rStyle w:val="24"/>
          <w:rFonts w:hint="default" w:ascii="Times New Roman" w:hAnsi="Times New Roman" w:eastAsia="方正小标宋简体" w:cs="Times New Roman"/>
          <w:b w:val="0"/>
        </w:rPr>
      </w:pPr>
      <w:r>
        <w:rPr>
          <w:rFonts w:hint="default" w:ascii="Times New Roman" w:hAnsi="Times New Roman" w:eastAsia="方正小标宋简体" w:cs="Times New Roman"/>
          <w:color w:val="000000"/>
          <w:sz w:val="44"/>
          <w:szCs w:val="44"/>
        </w:rPr>
        <w:t>第</w:t>
      </w:r>
      <w:r>
        <w:rPr>
          <w:rStyle w:val="24"/>
          <w:rFonts w:hint="default" w:ascii="Times New Roman" w:hAnsi="Times New Roman" w:eastAsia="方正小标宋简体" w:cs="Times New Roman"/>
          <w:b w:val="0"/>
        </w:rPr>
        <w:t>四部分 附件</w:t>
      </w:r>
      <w:bookmarkEnd w:id="107"/>
      <w:bookmarkEnd w:id="108"/>
      <w:bookmarkEnd w:id="109"/>
    </w:p>
    <w:p>
      <w:pPr>
        <w:pageBreakBefore w:val="0"/>
        <w:kinsoku/>
        <w:wordWrap/>
        <w:overflowPunct/>
        <w:topLinePunct w:val="0"/>
        <w:autoSpaceDE/>
        <w:autoSpaceDN/>
        <w:bidi w:val="0"/>
        <w:spacing w:line="576" w:lineRule="exact"/>
        <w:ind w:left="0" w:leftChars="0" w:right="0"/>
        <w:jc w:val="both"/>
        <w:textAlignment w:val="auto"/>
        <w:outlineLvl w:val="0"/>
        <w:rPr>
          <w:rFonts w:hint="default" w:ascii="Times New Roman" w:hAnsi="Times New Roman" w:eastAsia="方正小标宋简体" w:cs="Times New Roman"/>
          <w:sz w:val="32"/>
          <w:szCs w:val="32"/>
        </w:rPr>
      </w:pPr>
      <w:bookmarkStart w:id="111" w:name="_Toc79163631"/>
      <w:bookmarkStart w:id="112" w:name="_Toc79163881"/>
      <w:r>
        <w:rPr>
          <w:rFonts w:hint="default" w:ascii="Times New Roman" w:hAnsi="Times New Roman" w:eastAsia="黑体" w:cs="Times New Roman"/>
          <w:sz w:val="32"/>
          <w:szCs w:val="32"/>
        </w:rPr>
        <w:t>附件1</w:t>
      </w:r>
      <w:bookmarkEnd w:id="111"/>
      <w:bookmarkEnd w:id="112"/>
    </w:p>
    <w:p>
      <w:pPr>
        <w:pageBreakBefore w:val="0"/>
        <w:kinsoku/>
        <w:wordWrap/>
        <w:overflowPunct/>
        <w:topLinePunct w:val="0"/>
        <w:autoSpaceDE/>
        <w:autoSpaceDN/>
        <w:bidi w:val="0"/>
        <w:spacing w:line="576" w:lineRule="exact"/>
        <w:ind w:left="0" w:leftChars="0" w:right="0"/>
        <w:jc w:val="center"/>
        <w:textAlignment w:val="auto"/>
        <w:rPr>
          <w:rFonts w:hint="default" w:ascii="Times New Roman" w:hAnsi="Times New Roman" w:eastAsia="方正小标宋简体" w:cs="Times New Roman"/>
          <w:sz w:val="44"/>
          <w:szCs w:val="44"/>
        </w:rPr>
      </w:pPr>
    </w:p>
    <w:p>
      <w:pPr>
        <w:pageBreakBefore w:val="0"/>
        <w:kinsoku/>
        <w:wordWrap/>
        <w:overflowPunct/>
        <w:topLinePunct w:val="0"/>
        <w:autoSpaceDE/>
        <w:autoSpaceDN/>
        <w:bidi w:val="0"/>
        <w:spacing w:line="576" w:lineRule="exact"/>
        <w:ind w:left="0" w:leftChars="0" w:right="0"/>
        <w:jc w:val="center"/>
        <w:textAlignment w:val="auto"/>
        <w:outlineLvl w:val="0"/>
        <w:rPr>
          <w:rFonts w:hint="default" w:ascii="Times New Roman" w:hAnsi="Times New Roman" w:eastAsia="方正小标宋简体" w:cs="Times New Roman"/>
          <w:sz w:val="44"/>
          <w:szCs w:val="44"/>
        </w:rPr>
      </w:pPr>
      <w:bookmarkStart w:id="113" w:name="_Toc79163632"/>
      <w:bookmarkStart w:id="114" w:name="_Toc79163882"/>
      <w:r>
        <w:rPr>
          <w:rFonts w:hint="default" w:ascii="Times New Roman" w:hAnsi="Times New Roman" w:eastAsia="方正小标宋简体" w:cs="Times New Roman"/>
          <w:sz w:val="44"/>
          <w:szCs w:val="44"/>
          <w:lang w:eastAsia="zh-CN"/>
        </w:rPr>
        <w:t>茂县统计局</w:t>
      </w:r>
      <w:r>
        <w:rPr>
          <w:rFonts w:hint="default" w:ascii="Times New Roman" w:hAnsi="Times New Roman" w:eastAsia="方正小标宋简体" w:cs="Times New Roman"/>
          <w:sz w:val="44"/>
          <w:szCs w:val="44"/>
        </w:rPr>
        <w:t>2021年</w:t>
      </w:r>
    </w:p>
    <w:p>
      <w:pPr>
        <w:pageBreakBefore w:val="0"/>
        <w:kinsoku/>
        <w:wordWrap/>
        <w:overflowPunct/>
        <w:topLinePunct w:val="0"/>
        <w:autoSpaceDE/>
        <w:autoSpaceDN/>
        <w:bidi w:val="0"/>
        <w:spacing w:line="576" w:lineRule="exact"/>
        <w:ind w:left="0" w:leftChars="0" w:right="0"/>
        <w:jc w:val="center"/>
        <w:textAlignment w:val="auto"/>
        <w:outlineLvl w:val="0"/>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部门整体支出绩效评价报告</w:t>
      </w:r>
      <w:bookmarkEnd w:id="113"/>
      <w:bookmarkEnd w:id="114"/>
    </w:p>
    <w:p>
      <w:pPr>
        <w:pageBreakBefore w:val="0"/>
        <w:widowControl/>
        <w:kinsoku/>
        <w:wordWrap/>
        <w:overflowPunct/>
        <w:topLinePunct w:val="0"/>
        <w:autoSpaceDE/>
        <w:autoSpaceDN/>
        <w:bidi w:val="0"/>
        <w:adjustRightInd w:val="0"/>
        <w:snapToGrid w:val="0"/>
        <w:spacing w:line="576" w:lineRule="exact"/>
        <w:ind w:left="0" w:leftChars="0" w:right="0" w:firstLine="480" w:firstLineChars="200"/>
        <w:contextualSpacing/>
        <w:jc w:val="both"/>
        <w:textAlignment w:val="auto"/>
        <w:rPr>
          <w:rFonts w:hint="default" w:ascii="Times New Roman" w:hAnsi="Times New Roman" w:eastAsia="黑体" w:cs="Times New Roman"/>
          <w:color w:val="000000"/>
          <w:kern w:val="0"/>
          <w:sz w:val="24"/>
          <w:szCs w:val="32"/>
          <w:shd w:val="clear" w:color="auto" w:fill="FFFFFF"/>
        </w:rPr>
      </w:pPr>
    </w:p>
    <w:p>
      <w:pPr>
        <w:pStyle w:val="2"/>
        <w:pageBreakBefore w:val="0"/>
        <w:kinsoku/>
        <w:overflowPunct/>
        <w:topLinePunct w:val="0"/>
        <w:autoSpaceDE/>
        <w:autoSpaceDN/>
        <w:bidi w:val="0"/>
        <w:spacing w:line="576" w:lineRule="exact"/>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color w:val="000000"/>
          <w:kern w:val="0"/>
          <w:sz w:val="32"/>
          <w:szCs w:val="32"/>
          <w:shd w:val="clear" w:color="auto" w:fill="FFFFFF"/>
          <w:lang w:eastAsia="zh-CN"/>
        </w:rPr>
        <w:t>一、部门（单位）概况</w:t>
      </w:r>
    </w:p>
    <w:p>
      <w:pPr>
        <w:pageBreakBefore w:val="0"/>
        <w:widowControl/>
        <w:numPr>
          <w:ilvl w:val="0"/>
          <w:numId w:val="2"/>
        </w:numPr>
        <w:kinsoku/>
        <w:wordWrap/>
        <w:overflowPunct/>
        <w:topLinePunct w:val="0"/>
        <w:autoSpaceDE/>
        <w:autoSpaceDN/>
        <w:bidi w:val="0"/>
        <w:spacing w:line="576" w:lineRule="exact"/>
        <w:ind w:left="0" w:leftChars="0" w:right="0" w:firstLine="706" w:firstLineChars="22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机构组成</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茂县统计局属一级预算单位，内设4个机构，分别为办公室、综合统计股、专业统计股、城乡社会经济抽样调查队。</w:t>
      </w:r>
    </w:p>
    <w:p>
      <w:pPr>
        <w:pageBreakBefore w:val="0"/>
        <w:numPr>
          <w:ilvl w:val="0"/>
          <w:numId w:val="2"/>
        </w:numPr>
        <w:kinsoku/>
        <w:wordWrap/>
        <w:overflowPunct/>
        <w:topLinePunct w:val="0"/>
        <w:autoSpaceDE/>
        <w:autoSpaceDN/>
        <w:bidi w:val="0"/>
        <w:spacing w:line="576" w:lineRule="exact"/>
        <w:ind w:left="0" w:leftChars="0" w:right="0" w:firstLine="706" w:firstLineChars="22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机构职能</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依照国家法律、法规、规章、组织领导和综合协调全县各乡镇、各部门的统计和国民经济核算工作，准确、及时、全面地反映县情县力，反映社会经济发展的基本情况，为茂县制定政策、计划、指导经济和社会发展提供依据；监督检查统计法律、法规的实施，查处统计违法案件。</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2.根据全县宏观管理和科学决策的要求，建立健全全县国民经济核算体系和统计指标体系，制定和管理全县统一的基本报表制度；制定与有关部门共同制定全县统计标准，审定部门统计标准；管理全县统计调查项目，审批全县各乡镇、各部门的统计调查计划、调查方案和统计报表。负责组织实施全县重大的国情国力普查和专项统计调查；汇总、整理全县的基本统计资料；对国民经济运行、科技进步和社会发展情况进行统计分析、预测、监督；向县委、政府及有关部门提供统计信息和咨询建议。统一核定、管理、公布、出版全县的基本统计资料，定期发布全县国民经济和社会发展情况的统计信息，积极培育和发展县内信息咨询服务市场。</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5.负责收集、整理、提供全县性的基本统计资料和全县居民的年度主要统计资料，并对国民经济社会发展和科技进步情况进行分析、预测，向县政府提供统计建议。</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6.调查、编算、提供消费及零售物价指数资料，进行市场物价分析、预测、监控工作。</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7.调查、编算、提供城乡居民家庭收支抽样调查资料，适时反映居民生活消费情况。</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8.建立健全和管理全县统计信息自动化系统和统计数据库体系；制定全县各乡镇、各部门统计数据库网络的基本标准和运行规则。</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9.根据州统计局的安排负责组织全县统计系统专业技术资格考试和职务评审，统计人员的统计专业技术岗位培训和继续教育工作。</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10.承担县政府公布的有关行政审批事项。</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11.承办县政府交办的其他事项。</w:t>
      </w:r>
    </w:p>
    <w:p>
      <w:pPr>
        <w:pageBreakBefore w:val="0"/>
        <w:numPr>
          <w:ilvl w:val="0"/>
          <w:numId w:val="2"/>
        </w:numPr>
        <w:kinsoku/>
        <w:wordWrap/>
        <w:overflowPunct/>
        <w:topLinePunct w:val="0"/>
        <w:autoSpaceDE/>
        <w:autoSpaceDN/>
        <w:bidi w:val="0"/>
        <w:spacing w:line="576" w:lineRule="exact"/>
        <w:ind w:left="0" w:leftChars="0" w:right="0" w:firstLine="709" w:firstLineChars="221"/>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人员概况</w:t>
      </w:r>
    </w:p>
    <w:p>
      <w:pPr>
        <w:pageBreakBefore w:val="0"/>
        <w:kinsoku/>
        <w:wordWrap/>
        <w:overflowPunct/>
        <w:topLinePunct w:val="0"/>
        <w:autoSpaceDE/>
        <w:autoSpaceDN/>
        <w:bidi w:val="0"/>
        <w:snapToGrid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kern w:val="0"/>
          <w:sz w:val="32"/>
          <w:szCs w:val="32"/>
        </w:rPr>
        <w:t xml:space="preserve">总编制16名,其中:行政编制9名,参照公务员法管理的事业编制7名，行政工勤编制 </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名。在职人员总数1</w:t>
      </w:r>
      <w:r>
        <w:rPr>
          <w:rFonts w:hint="default" w:ascii="Times New Roman" w:hAnsi="Times New Roman" w:eastAsia="仿宋_GB2312" w:cs="Times New Roman"/>
          <w:kern w:val="0"/>
          <w:sz w:val="32"/>
          <w:szCs w:val="32"/>
          <w:lang w:val="en-US" w:eastAsia="zh-CN"/>
        </w:rPr>
        <w:t>3</w:t>
      </w:r>
      <w:r>
        <w:rPr>
          <w:rFonts w:hint="default" w:ascii="Times New Roman" w:hAnsi="Times New Roman" w:eastAsia="仿宋_GB2312" w:cs="Times New Roman"/>
          <w:kern w:val="0"/>
          <w:sz w:val="32"/>
          <w:szCs w:val="32"/>
        </w:rPr>
        <w:t>名，其中：行政人员</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名，参照公务员法管理的事业人员</w:t>
      </w:r>
      <w:r>
        <w:rPr>
          <w:rFonts w:hint="default" w:ascii="Times New Roman" w:hAnsi="Times New Roman" w:eastAsia="仿宋_GB2312" w:cs="Times New Roman"/>
          <w:kern w:val="0"/>
          <w:sz w:val="32"/>
          <w:szCs w:val="32"/>
          <w:lang w:val="en-US" w:eastAsia="zh-CN"/>
        </w:rPr>
        <w:t>6</w:t>
      </w:r>
      <w:r>
        <w:rPr>
          <w:rFonts w:hint="default" w:ascii="Times New Roman" w:hAnsi="Times New Roman" w:eastAsia="仿宋_GB2312" w:cs="Times New Roman"/>
          <w:kern w:val="0"/>
          <w:sz w:val="32"/>
          <w:szCs w:val="32"/>
        </w:rPr>
        <w:t>名，行政工勤人员</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名；退休人员9人。</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黑体" w:cs="Times New Roman"/>
          <w:color w:val="auto"/>
          <w:kern w:val="0"/>
          <w:sz w:val="32"/>
          <w:szCs w:val="32"/>
          <w:shd w:val="clear" w:color="auto" w:fill="FFFFFF"/>
        </w:rPr>
      </w:pPr>
      <w:r>
        <w:rPr>
          <w:rFonts w:hint="default" w:ascii="Times New Roman" w:hAnsi="Times New Roman" w:eastAsia="黑体" w:cs="Times New Roman"/>
          <w:color w:val="auto"/>
          <w:kern w:val="0"/>
          <w:sz w:val="32"/>
          <w:szCs w:val="32"/>
          <w:shd w:val="clear" w:color="auto" w:fill="FFFFFF"/>
        </w:rPr>
        <w:t>二、部门财政资金收支情况</w:t>
      </w:r>
    </w:p>
    <w:p>
      <w:pPr>
        <w:pageBreakBefore w:val="0"/>
        <w:widowControl/>
        <w:kinsoku/>
        <w:wordWrap/>
        <w:overflowPunct/>
        <w:topLinePunct w:val="0"/>
        <w:autoSpaceDE/>
        <w:autoSpaceDN/>
        <w:bidi w:val="0"/>
        <w:adjustRightInd w:val="0"/>
        <w:snapToGrid w:val="0"/>
        <w:spacing w:line="576" w:lineRule="exact"/>
        <w:ind w:left="0" w:leftChars="0" w:right="0" w:firstLine="642" w:firstLineChars="200"/>
        <w:contextualSpacing/>
        <w:jc w:val="both"/>
        <w:textAlignment w:val="auto"/>
        <w:rPr>
          <w:rFonts w:hint="default" w:ascii="Times New Roman" w:hAnsi="Times New Roman" w:eastAsia="楷体_GB2312" w:cs="Times New Roman"/>
          <w:b/>
          <w:bCs/>
          <w:color w:val="auto"/>
          <w:kern w:val="0"/>
          <w:sz w:val="32"/>
          <w:szCs w:val="32"/>
          <w:shd w:val="clear" w:color="auto" w:fill="FFFFFF"/>
          <w:lang w:val="zh-CN"/>
        </w:rPr>
      </w:pPr>
      <w:r>
        <w:rPr>
          <w:rFonts w:hint="default" w:ascii="Times New Roman" w:hAnsi="Times New Roman" w:eastAsia="楷体_GB2312" w:cs="Times New Roman"/>
          <w:b/>
          <w:bCs/>
          <w:color w:val="auto"/>
          <w:kern w:val="0"/>
          <w:sz w:val="32"/>
          <w:szCs w:val="32"/>
          <w:shd w:val="clear" w:color="auto" w:fill="FFFFFF"/>
          <w:lang w:val="zh-CN"/>
        </w:rPr>
        <w:t>（一）部门财政资金收入情况。</w:t>
      </w:r>
    </w:p>
    <w:p>
      <w:pPr>
        <w:pageBreakBefore w:val="0"/>
        <w:kinsoku/>
        <w:wordWrap/>
        <w:overflowPunct/>
        <w:topLinePunct w:val="0"/>
        <w:autoSpaceDE/>
        <w:autoSpaceDN/>
        <w:bidi w:val="0"/>
        <w:snapToGrid w:val="0"/>
        <w:spacing w:line="576" w:lineRule="exact"/>
        <w:ind w:left="0" w:leftChars="0" w:right="0" w:firstLine="640"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年本部门财政拨款收入决算总额为</w:t>
      </w:r>
      <w:r>
        <w:rPr>
          <w:rFonts w:hint="default" w:ascii="Times New Roman" w:hAnsi="Times New Roman" w:eastAsia="仿宋_GB2312" w:cs="Times New Roman"/>
          <w:kern w:val="0"/>
          <w:sz w:val="32"/>
          <w:szCs w:val="32"/>
          <w:lang w:val="en-US" w:eastAsia="zh-CN"/>
        </w:rPr>
        <w:t>305.89</w:t>
      </w:r>
      <w:r>
        <w:rPr>
          <w:rFonts w:hint="default" w:ascii="Times New Roman" w:hAnsi="Times New Roman" w:eastAsia="仿宋_GB2312" w:cs="Times New Roman"/>
          <w:kern w:val="0"/>
          <w:sz w:val="32"/>
          <w:szCs w:val="32"/>
        </w:rPr>
        <w:t>万元，其中：当年财政拨款收入</w:t>
      </w:r>
      <w:r>
        <w:rPr>
          <w:rFonts w:hint="default" w:ascii="Times New Roman" w:hAnsi="Times New Roman" w:eastAsia="仿宋_GB2312" w:cs="Times New Roman"/>
          <w:kern w:val="0"/>
          <w:sz w:val="32"/>
          <w:szCs w:val="32"/>
          <w:lang w:val="en-US" w:eastAsia="zh-CN"/>
        </w:rPr>
        <w:t>305.89</w:t>
      </w:r>
      <w:r>
        <w:rPr>
          <w:rFonts w:hint="default" w:ascii="Times New Roman" w:hAnsi="Times New Roman" w:eastAsia="仿宋_GB2312" w:cs="Times New Roman"/>
          <w:kern w:val="0"/>
          <w:sz w:val="32"/>
          <w:szCs w:val="32"/>
        </w:rPr>
        <w:t>万元,均为一般公共预算财政拨款。</w:t>
      </w:r>
      <w:r>
        <w:rPr>
          <w:rFonts w:hint="default" w:ascii="Times New Roman" w:hAnsi="Times New Roman" w:eastAsia="仿宋_GB2312" w:cs="Times New Roman"/>
          <w:kern w:val="0"/>
          <w:sz w:val="32"/>
          <w:szCs w:val="32"/>
          <w:lang w:val="en-US" w:eastAsia="zh-CN"/>
        </w:rPr>
        <w:t>2022年1-6月</w:t>
      </w:r>
      <w:r>
        <w:rPr>
          <w:rFonts w:hint="default" w:ascii="Times New Roman" w:hAnsi="Times New Roman" w:eastAsia="仿宋_GB2312" w:cs="Times New Roman"/>
          <w:kern w:val="0"/>
          <w:sz w:val="32"/>
          <w:szCs w:val="32"/>
        </w:rPr>
        <w:t>本部门财政拨款收入</w:t>
      </w:r>
      <w:r>
        <w:rPr>
          <w:rFonts w:hint="default" w:ascii="Times New Roman" w:hAnsi="Times New Roman" w:eastAsia="仿宋_GB2312" w:cs="Times New Roman"/>
          <w:kern w:val="0"/>
          <w:sz w:val="32"/>
          <w:szCs w:val="32"/>
          <w:lang w:val="en-US" w:eastAsia="zh-CN"/>
        </w:rPr>
        <w:t>总额为209.56万元。</w:t>
      </w:r>
    </w:p>
    <w:p>
      <w:pPr>
        <w:pageBreakBefore w:val="0"/>
        <w:widowControl/>
        <w:kinsoku/>
        <w:wordWrap/>
        <w:overflowPunct/>
        <w:topLinePunct w:val="0"/>
        <w:autoSpaceDE/>
        <w:autoSpaceDN/>
        <w:bidi w:val="0"/>
        <w:adjustRightInd w:val="0"/>
        <w:snapToGrid w:val="0"/>
        <w:spacing w:line="576" w:lineRule="exact"/>
        <w:ind w:left="0" w:leftChars="0" w:right="0" w:firstLine="642" w:firstLineChars="200"/>
        <w:contextualSpacing/>
        <w:jc w:val="both"/>
        <w:textAlignment w:val="auto"/>
        <w:rPr>
          <w:rFonts w:hint="default" w:ascii="Times New Roman" w:hAnsi="Times New Roman" w:eastAsia="楷体_GB2312" w:cs="Times New Roman"/>
          <w:b/>
          <w:bCs/>
          <w:color w:val="auto"/>
          <w:kern w:val="0"/>
          <w:sz w:val="32"/>
          <w:szCs w:val="32"/>
          <w:shd w:val="clear" w:color="auto" w:fill="FFFFFF"/>
          <w:lang w:val="zh-CN"/>
        </w:rPr>
      </w:pPr>
      <w:r>
        <w:rPr>
          <w:rFonts w:hint="default" w:ascii="Times New Roman" w:hAnsi="Times New Roman" w:eastAsia="楷体_GB2312" w:cs="Times New Roman"/>
          <w:b/>
          <w:bCs/>
          <w:color w:val="auto"/>
          <w:kern w:val="0"/>
          <w:sz w:val="32"/>
          <w:szCs w:val="32"/>
          <w:shd w:val="clear" w:color="auto" w:fill="FFFFFF"/>
          <w:lang w:val="zh-CN"/>
        </w:rPr>
        <w:t>（二）部门财政资金支出情况。</w:t>
      </w:r>
    </w:p>
    <w:p>
      <w:pPr>
        <w:pageBreakBefore w:val="0"/>
        <w:kinsoku/>
        <w:wordWrap/>
        <w:overflowPunct/>
        <w:topLinePunct w:val="0"/>
        <w:autoSpaceDE/>
        <w:autoSpaceDN/>
        <w:bidi w:val="0"/>
        <w:snapToGrid w:val="0"/>
        <w:spacing w:line="576" w:lineRule="exact"/>
        <w:ind w:left="0" w:leftChars="0" w:right="0" w:firstLine="640"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rPr>
        <w:t>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rPr>
        <w:t>年本部门财政拨款支出决算总额</w:t>
      </w:r>
      <w:r>
        <w:rPr>
          <w:rFonts w:hint="default" w:ascii="Times New Roman" w:hAnsi="Times New Roman" w:eastAsia="仿宋_GB2312" w:cs="Times New Roman"/>
          <w:kern w:val="0"/>
          <w:sz w:val="32"/>
          <w:szCs w:val="32"/>
          <w:lang w:val="en-US" w:eastAsia="zh-CN"/>
        </w:rPr>
        <w:t>305.89</w:t>
      </w:r>
      <w:r>
        <w:rPr>
          <w:rFonts w:hint="default" w:ascii="Times New Roman" w:hAnsi="Times New Roman" w:eastAsia="仿宋_GB2312" w:cs="Times New Roman"/>
          <w:kern w:val="0"/>
          <w:sz w:val="32"/>
          <w:szCs w:val="32"/>
        </w:rPr>
        <w:t>万元。其中按功能分类，一般公共服务支出</w:t>
      </w:r>
      <w:r>
        <w:rPr>
          <w:rFonts w:hint="default" w:ascii="Times New Roman" w:hAnsi="Times New Roman" w:eastAsia="仿宋_GB2312" w:cs="Times New Roman"/>
          <w:kern w:val="0"/>
          <w:sz w:val="32"/>
          <w:szCs w:val="32"/>
          <w:lang w:val="en-US" w:eastAsia="zh-CN"/>
        </w:rPr>
        <w:t>248.71</w:t>
      </w:r>
      <w:r>
        <w:rPr>
          <w:rFonts w:hint="default" w:ascii="Times New Roman" w:hAnsi="Times New Roman" w:eastAsia="仿宋_GB2312" w:cs="Times New Roman"/>
          <w:kern w:val="0"/>
          <w:sz w:val="32"/>
          <w:szCs w:val="32"/>
        </w:rPr>
        <w:t>万元、社会保障和就业支出</w:t>
      </w:r>
      <w:r>
        <w:rPr>
          <w:rFonts w:hint="default" w:ascii="Times New Roman" w:hAnsi="Times New Roman" w:eastAsia="仿宋_GB2312" w:cs="Times New Roman"/>
          <w:kern w:val="0"/>
          <w:sz w:val="32"/>
          <w:szCs w:val="32"/>
          <w:lang w:val="en-US" w:eastAsia="zh-CN"/>
        </w:rPr>
        <w:t>26.44</w:t>
      </w:r>
      <w:r>
        <w:rPr>
          <w:rFonts w:hint="default" w:ascii="Times New Roman" w:hAnsi="Times New Roman" w:eastAsia="仿宋_GB2312" w:cs="Times New Roman"/>
          <w:kern w:val="0"/>
          <w:sz w:val="32"/>
          <w:szCs w:val="32"/>
        </w:rPr>
        <w:t>万元、医疗卫生与计划生育支出</w:t>
      </w:r>
      <w:r>
        <w:rPr>
          <w:rFonts w:hint="default" w:ascii="Times New Roman" w:hAnsi="Times New Roman" w:eastAsia="仿宋_GB2312" w:cs="Times New Roman"/>
          <w:kern w:val="0"/>
          <w:sz w:val="32"/>
          <w:szCs w:val="32"/>
          <w:lang w:val="en-US" w:eastAsia="zh-CN"/>
        </w:rPr>
        <w:t>13.04</w:t>
      </w:r>
      <w:r>
        <w:rPr>
          <w:rFonts w:hint="default" w:ascii="Times New Roman" w:hAnsi="Times New Roman" w:eastAsia="仿宋_GB2312" w:cs="Times New Roman"/>
          <w:kern w:val="0"/>
          <w:sz w:val="32"/>
          <w:szCs w:val="32"/>
        </w:rPr>
        <w:t>万元、住房保障支出</w:t>
      </w:r>
      <w:r>
        <w:rPr>
          <w:rFonts w:hint="default" w:ascii="Times New Roman" w:hAnsi="Times New Roman" w:eastAsia="仿宋_GB2312" w:cs="Times New Roman"/>
          <w:kern w:val="0"/>
          <w:sz w:val="32"/>
          <w:szCs w:val="32"/>
          <w:lang w:val="en-US" w:eastAsia="zh-CN"/>
        </w:rPr>
        <w:t>17.69</w:t>
      </w:r>
      <w:r>
        <w:rPr>
          <w:rFonts w:hint="default" w:ascii="Times New Roman" w:hAnsi="Times New Roman" w:eastAsia="仿宋_GB2312" w:cs="Times New Roman"/>
          <w:kern w:val="0"/>
          <w:sz w:val="32"/>
          <w:szCs w:val="32"/>
        </w:rPr>
        <w:t>万元；按支出性质分类，基本支出</w:t>
      </w:r>
      <w:r>
        <w:rPr>
          <w:rFonts w:hint="default" w:ascii="Times New Roman" w:hAnsi="Times New Roman" w:eastAsia="仿宋_GB2312" w:cs="Times New Roman"/>
          <w:kern w:val="0"/>
          <w:sz w:val="32"/>
          <w:szCs w:val="32"/>
          <w:lang w:val="en-US" w:eastAsia="zh-CN"/>
        </w:rPr>
        <w:t>304.91</w:t>
      </w:r>
      <w:r>
        <w:rPr>
          <w:rFonts w:hint="default" w:ascii="Times New Roman" w:hAnsi="Times New Roman" w:eastAsia="仿宋_GB2312" w:cs="Times New Roman"/>
          <w:kern w:val="0"/>
          <w:sz w:val="32"/>
          <w:szCs w:val="32"/>
        </w:rPr>
        <w:t>万元，项目支出</w:t>
      </w:r>
      <w:r>
        <w:rPr>
          <w:rFonts w:hint="default" w:ascii="Times New Roman" w:hAnsi="Times New Roman" w:eastAsia="仿宋_GB2312" w:cs="Times New Roman"/>
          <w:kern w:val="0"/>
          <w:sz w:val="32"/>
          <w:szCs w:val="32"/>
          <w:lang w:val="en-US" w:eastAsia="zh-CN"/>
        </w:rPr>
        <w:t>0.98</w:t>
      </w:r>
      <w:r>
        <w:rPr>
          <w:rFonts w:hint="default" w:ascii="Times New Roman" w:hAnsi="Times New Roman" w:eastAsia="仿宋_GB2312" w:cs="Times New Roman"/>
          <w:kern w:val="0"/>
          <w:sz w:val="32"/>
          <w:szCs w:val="32"/>
        </w:rPr>
        <w:t>万元；按经济分类，工资福利支出</w:t>
      </w:r>
      <w:r>
        <w:rPr>
          <w:rFonts w:hint="default" w:ascii="Times New Roman" w:hAnsi="Times New Roman" w:eastAsia="仿宋_GB2312" w:cs="Times New Roman"/>
          <w:kern w:val="0"/>
          <w:sz w:val="32"/>
          <w:szCs w:val="32"/>
          <w:lang w:val="en-US" w:eastAsia="zh-CN"/>
        </w:rPr>
        <w:t>243.71</w:t>
      </w:r>
      <w:r>
        <w:rPr>
          <w:rFonts w:hint="default" w:ascii="Times New Roman" w:hAnsi="Times New Roman" w:eastAsia="仿宋_GB2312" w:cs="Times New Roman"/>
          <w:kern w:val="0"/>
          <w:sz w:val="32"/>
          <w:szCs w:val="32"/>
        </w:rPr>
        <w:t>万元，商品服务支出</w:t>
      </w:r>
      <w:r>
        <w:rPr>
          <w:rFonts w:hint="default" w:ascii="Times New Roman" w:hAnsi="Times New Roman" w:eastAsia="仿宋_GB2312" w:cs="Times New Roman"/>
          <w:kern w:val="0"/>
          <w:sz w:val="32"/>
          <w:szCs w:val="32"/>
          <w:lang w:val="en-US" w:eastAsia="zh-CN"/>
        </w:rPr>
        <w:t>14.8</w:t>
      </w:r>
      <w:r>
        <w:rPr>
          <w:rFonts w:hint="default" w:ascii="Times New Roman" w:hAnsi="Times New Roman" w:eastAsia="仿宋_GB2312" w:cs="Times New Roman"/>
          <w:kern w:val="0"/>
          <w:sz w:val="32"/>
          <w:szCs w:val="32"/>
        </w:rPr>
        <w:t>万元，个人及家庭补助支出</w:t>
      </w:r>
      <w:r>
        <w:rPr>
          <w:rFonts w:hint="default" w:ascii="Times New Roman" w:hAnsi="Times New Roman" w:eastAsia="仿宋_GB2312" w:cs="Times New Roman"/>
          <w:kern w:val="0"/>
          <w:sz w:val="32"/>
          <w:szCs w:val="32"/>
          <w:lang w:val="en-US" w:eastAsia="zh-CN"/>
        </w:rPr>
        <w:t>47.38</w:t>
      </w:r>
      <w:r>
        <w:rPr>
          <w:rFonts w:hint="default" w:ascii="Times New Roman" w:hAnsi="Times New Roman" w:eastAsia="仿宋_GB2312" w:cs="Times New Roman"/>
          <w:kern w:val="0"/>
          <w:sz w:val="32"/>
          <w:szCs w:val="32"/>
        </w:rPr>
        <w:t>万元。</w:t>
      </w:r>
      <w:r>
        <w:rPr>
          <w:rFonts w:hint="default" w:ascii="Times New Roman" w:hAnsi="Times New Roman" w:eastAsia="仿宋_GB2312" w:cs="Times New Roman"/>
          <w:kern w:val="0"/>
          <w:sz w:val="32"/>
          <w:szCs w:val="32"/>
          <w:lang w:val="en-US" w:eastAsia="zh-CN"/>
        </w:rPr>
        <w:t>2022年1-6月</w:t>
      </w:r>
      <w:r>
        <w:rPr>
          <w:rFonts w:hint="default" w:ascii="Times New Roman" w:hAnsi="Times New Roman" w:eastAsia="仿宋_GB2312" w:cs="Times New Roman"/>
          <w:kern w:val="0"/>
          <w:sz w:val="32"/>
          <w:szCs w:val="32"/>
        </w:rPr>
        <w:t>本部门财政拨款支出</w:t>
      </w:r>
      <w:r>
        <w:rPr>
          <w:rFonts w:hint="default" w:ascii="Times New Roman" w:hAnsi="Times New Roman" w:eastAsia="仿宋_GB2312" w:cs="Times New Roman"/>
          <w:kern w:val="0"/>
          <w:sz w:val="32"/>
          <w:szCs w:val="32"/>
          <w:lang w:eastAsia="zh-CN"/>
        </w:rPr>
        <w:t>总额为</w:t>
      </w:r>
      <w:r>
        <w:rPr>
          <w:rFonts w:hint="default" w:ascii="Times New Roman" w:hAnsi="Times New Roman" w:eastAsia="仿宋_GB2312" w:cs="Times New Roman"/>
          <w:kern w:val="0"/>
          <w:sz w:val="32"/>
          <w:szCs w:val="32"/>
          <w:lang w:val="en-US" w:eastAsia="zh-CN"/>
        </w:rPr>
        <w:t>209.56万元。</w:t>
      </w:r>
    </w:p>
    <w:p>
      <w:pPr>
        <w:pageBreakBefore w:val="0"/>
        <w:widowControl/>
        <w:numPr>
          <w:ilvl w:val="0"/>
          <w:numId w:val="3"/>
        </w:numPr>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黑体" w:cs="Times New Roman"/>
          <w:color w:val="auto"/>
          <w:kern w:val="0"/>
          <w:sz w:val="32"/>
          <w:szCs w:val="32"/>
          <w:shd w:val="clear" w:color="auto" w:fill="FFFFFF"/>
        </w:rPr>
      </w:pPr>
      <w:r>
        <w:rPr>
          <w:rFonts w:hint="default" w:ascii="Times New Roman" w:hAnsi="Times New Roman" w:eastAsia="黑体" w:cs="Times New Roman"/>
          <w:color w:val="auto"/>
          <w:kern w:val="0"/>
          <w:sz w:val="32"/>
          <w:szCs w:val="32"/>
          <w:shd w:val="clear" w:color="auto" w:fill="FFFFFF"/>
        </w:rPr>
        <w:t>部门整体预算绩效管理情况</w:t>
      </w:r>
    </w:p>
    <w:p>
      <w:pPr>
        <w:pageBreakBefore w:val="0"/>
        <w:widowControl/>
        <w:kinsoku/>
        <w:wordWrap/>
        <w:overflowPunct/>
        <w:topLinePunct w:val="0"/>
        <w:autoSpaceDE/>
        <w:autoSpaceDN/>
        <w:bidi w:val="0"/>
        <w:adjustRightInd w:val="0"/>
        <w:snapToGrid w:val="0"/>
        <w:spacing w:line="576" w:lineRule="exact"/>
        <w:ind w:left="0" w:leftChars="0" w:right="0" w:firstLine="642" w:firstLineChars="200"/>
        <w:contextualSpacing/>
        <w:jc w:val="both"/>
        <w:textAlignment w:val="auto"/>
        <w:rPr>
          <w:rFonts w:hint="default" w:ascii="Times New Roman" w:hAnsi="Times New Roman" w:eastAsia="楷体_GB2312" w:cs="Times New Roman"/>
          <w:b/>
          <w:bCs/>
          <w:color w:val="auto"/>
          <w:kern w:val="0"/>
          <w:sz w:val="32"/>
          <w:szCs w:val="32"/>
          <w:shd w:val="clear" w:color="auto" w:fill="FFFFFF"/>
          <w:lang w:val="zh-CN"/>
        </w:rPr>
      </w:pPr>
      <w:r>
        <w:rPr>
          <w:rFonts w:hint="default" w:ascii="Times New Roman" w:hAnsi="Times New Roman" w:eastAsia="楷体_GB2312" w:cs="Times New Roman"/>
          <w:b/>
          <w:bCs/>
          <w:color w:val="auto"/>
          <w:kern w:val="0"/>
          <w:sz w:val="32"/>
          <w:szCs w:val="32"/>
          <w:shd w:val="clear" w:color="auto" w:fill="FFFFFF"/>
          <w:lang w:val="zh-CN"/>
        </w:rPr>
        <w:t>（一）部门预算项目绩效管理。</w:t>
      </w:r>
    </w:p>
    <w:p>
      <w:pPr>
        <w:pageBreakBefore w:val="0"/>
        <w:kinsoku/>
        <w:wordWrap/>
        <w:overflowPunct/>
        <w:topLinePunct w:val="0"/>
        <w:autoSpaceDE/>
        <w:autoSpaceDN/>
        <w:bidi w:val="0"/>
        <w:snapToGrid w:val="0"/>
        <w:spacing w:line="576" w:lineRule="exact"/>
        <w:ind w:left="0" w:leftChars="0" w:right="0" w:firstLine="640"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我单位认真学习贯彻党的十九大和省委相关重要会议精神，以习近平新时代中国特色社会主义思想为指导，根据职能职责积极谋划，确定目标任务，积极发挥公共财政职能作用，推动落实稳增长、促改革、调结构、惠民生、防风险各项工作。</w:t>
      </w:r>
    </w:p>
    <w:p>
      <w:pPr>
        <w:pageBreakBefore w:val="0"/>
        <w:kinsoku/>
        <w:wordWrap/>
        <w:overflowPunct/>
        <w:topLinePunct w:val="0"/>
        <w:autoSpaceDE/>
        <w:autoSpaceDN/>
        <w:bidi w:val="0"/>
        <w:snapToGrid w:val="0"/>
        <w:spacing w:line="576" w:lineRule="exact"/>
        <w:ind w:left="0" w:leftChars="0" w:right="0" w:firstLine="642"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b/>
          <w:bCs/>
          <w:kern w:val="0"/>
          <w:sz w:val="32"/>
          <w:szCs w:val="32"/>
          <w:lang w:val="zh-CN"/>
        </w:rPr>
        <w:t>一是</w:t>
      </w:r>
      <w:r>
        <w:rPr>
          <w:rFonts w:hint="default" w:ascii="Times New Roman" w:hAnsi="Times New Roman" w:eastAsia="仿宋_GB2312" w:cs="Times New Roman"/>
          <w:kern w:val="0"/>
          <w:sz w:val="32"/>
          <w:szCs w:val="32"/>
          <w:lang w:val="zh-CN"/>
        </w:rPr>
        <w:t>按照 202</w:t>
      </w:r>
      <w:r>
        <w:rPr>
          <w:rFonts w:hint="default" w:ascii="Times New Roman" w:hAnsi="Times New Roman" w:eastAsia="仿宋_GB2312" w:cs="Times New Roman"/>
          <w:kern w:val="0"/>
          <w:sz w:val="32"/>
          <w:szCs w:val="32"/>
          <w:lang w:val="en-US" w:eastAsia="zh-CN"/>
        </w:rPr>
        <w:t>1</w:t>
      </w:r>
      <w:r>
        <w:rPr>
          <w:rFonts w:hint="default" w:ascii="Times New Roman" w:hAnsi="Times New Roman" w:eastAsia="仿宋_GB2312" w:cs="Times New Roman"/>
          <w:kern w:val="0"/>
          <w:sz w:val="32"/>
          <w:szCs w:val="32"/>
          <w:lang w:val="zh-CN"/>
        </w:rPr>
        <w:t>年部门预算编审要求，根据我单位职能职责，结合中长期规划和年度工作计划，明确了年度主要工作任务及年度内履职所要达到的总体产出和效果，设定了年度绩效数量指标、成本指标效益指标等。</w:t>
      </w:r>
    </w:p>
    <w:p>
      <w:pPr>
        <w:pageBreakBefore w:val="0"/>
        <w:kinsoku/>
        <w:wordWrap/>
        <w:overflowPunct/>
        <w:topLinePunct w:val="0"/>
        <w:autoSpaceDE/>
        <w:autoSpaceDN/>
        <w:bidi w:val="0"/>
        <w:snapToGrid w:val="0"/>
        <w:spacing w:line="576" w:lineRule="exact"/>
        <w:ind w:left="0" w:leftChars="0" w:right="0" w:firstLine="642"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b/>
          <w:bCs/>
          <w:kern w:val="0"/>
          <w:sz w:val="32"/>
          <w:szCs w:val="32"/>
          <w:lang w:val="zh-CN"/>
        </w:rPr>
        <w:t>二是</w:t>
      </w:r>
      <w:r>
        <w:rPr>
          <w:rFonts w:hint="default" w:ascii="Times New Roman" w:hAnsi="Times New Roman" w:eastAsia="仿宋_GB2312" w:cs="Times New Roman"/>
          <w:kern w:val="0"/>
          <w:sz w:val="32"/>
          <w:szCs w:val="32"/>
          <w:lang w:val="zh-CN"/>
        </w:rPr>
        <w:t>按照《四川省省级预算绩效运行监控管理暂行办法》要求，认真组织开展所属单位的绩效监控工作，对项目进度预算执行、投入产出、各项效益的阶段完成情况进行动态跟踪监控，填报《项目预算绩效监控分析表》，进一步明确项成目标可能性及时间。有效使用财政资金，提高财政资金使用效益，保障了本单位工作顺利开展。</w:t>
      </w:r>
    </w:p>
    <w:p>
      <w:pPr>
        <w:pageBreakBefore w:val="0"/>
        <w:kinsoku/>
        <w:wordWrap/>
        <w:overflowPunct/>
        <w:topLinePunct w:val="0"/>
        <w:autoSpaceDE/>
        <w:autoSpaceDN/>
        <w:bidi w:val="0"/>
        <w:snapToGrid w:val="0"/>
        <w:spacing w:line="576" w:lineRule="exact"/>
        <w:ind w:left="0" w:leftChars="0" w:right="0" w:firstLine="642" w:firstLineChars="200"/>
        <w:jc w:val="both"/>
        <w:textAlignment w:val="auto"/>
        <w:rPr>
          <w:rFonts w:hint="default" w:ascii="Times New Roman" w:hAnsi="Times New Roman" w:eastAsia="仿宋_GB2312" w:cs="Times New Roman"/>
          <w:color w:val="000000"/>
          <w:kern w:val="0"/>
          <w:sz w:val="32"/>
          <w:szCs w:val="32"/>
          <w:shd w:val="clear" w:color="auto" w:fill="FFFFFF"/>
          <w:lang w:val="en-US" w:eastAsia="zh-CN"/>
        </w:rPr>
      </w:pPr>
      <w:r>
        <w:rPr>
          <w:rFonts w:hint="default" w:ascii="Times New Roman" w:hAnsi="Times New Roman" w:eastAsia="仿宋_GB2312" w:cs="Times New Roman"/>
          <w:b/>
          <w:bCs/>
          <w:kern w:val="0"/>
          <w:sz w:val="32"/>
          <w:szCs w:val="32"/>
          <w:lang w:val="zh-CN"/>
        </w:rPr>
        <w:t>三是</w:t>
      </w:r>
      <w:r>
        <w:rPr>
          <w:rFonts w:hint="default" w:ascii="Times New Roman" w:hAnsi="Times New Roman" w:eastAsia="仿宋_GB2312" w:cs="Times New Roman"/>
          <w:kern w:val="0"/>
          <w:sz w:val="32"/>
          <w:szCs w:val="32"/>
          <w:lang w:val="zh-CN"/>
        </w:rPr>
        <w:t>按照财政部门统一部署，本单位于 202</w:t>
      </w:r>
      <w:r>
        <w:rPr>
          <w:rFonts w:hint="default" w:ascii="Times New Roman" w:hAnsi="Times New Roman" w:eastAsia="仿宋_GB2312" w:cs="Times New Roman"/>
          <w:kern w:val="0"/>
          <w:sz w:val="32"/>
          <w:szCs w:val="32"/>
          <w:lang w:val="en-US" w:eastAsia="zh-CN"/>
        </w:rPr>
        <w:t>2</w:t>
      </w:r>
      <w:r>
        <w:rPr>
          <w:rFonts w:hint="default" w:ascii="Times New Roman" w:hAnsi="Times New Roman" w:eastAsia="仿宋_GB2312" w:cs="Times New Roman"/>
          <w:kern w:val="0"/>
          <w:sz w:val="32"/>
          <w:szCs w:val="32"/>
          <w:lang w:val="zh-CN"/>
        </w:rPr>
        <w:t>年</w:t>
      </w:r>
      <w:r>
        <w:rPr>
          <w:rFonts w:hint="default" w:ascii="Times New Roman" w:hAnsi="Times New Roman" w:eastAsia="仿宋_GB2312" w:cs="Times New Roman"/>
          <w:kern w:val="0"/>
          <w:sz w:val="32"/>
          <w:szCs w:val="32"/>
          <w:lang w:val="en-US" w:eastAsia="zh-CN"/>
        </w:rPr>
        <w:t>8</w:t>
      </w:r>
      <w:r>
        <w:rPr>
          <w:rFonts w:hint="default" w:ascii="Times New Roman" w:hAnsi="Times New Roman" w:eastAsia="仿宋_GB2312" w:cs="Times New Roman"/>
          <w:kern w:val="0"/>
          <w:sz w:val="32"/>
          <w:szCs w:val="32"/>
          <w:lang w:val="zh-CN"/>
        </w:rPr>
        <w:t>月</w:t>
      </w:r>
      <w:r>
        <w:rPr>
          <w:rFonts w:hint="default" w:ascii="Times New Roman" w:hAnsi="Times New Roman" w:eastAsia="仿宋_GB2312" w:cs="Times New Roman"/>
          <w:kern w:val="0"/>
          <w:sz w:val="32"/>
          <w:szCs w:val="32"/>
          <w:lang w:val="en-US" w:eastAsia="zh-CN"/>
        </w:rPr>
        <w:t>17</w:t>
      </w:r>
      <w:r>
        <w:rPr>
          <w:rFonts w:hint="default" w:ascii="Times New Roman" w:hAnsi="Times New Roman" w:eastAsia="仿宋_GB2312" w:cs="Times New Roman"/>
          <w:kern w:val="0"/>
          <w:sz w:val="32"/>
          <w:szCs w:val="32"/>
          <w:lang w:val="zh-CN"/>
        </w:rPr>
        <w:t>日按要求公开绩效目标管理情况及部门整体支出绩效自评开展情况。</w:t>
      </w:r>
      <w:r>
        <w:rPr>
          <w:rFonts w:hint="default" w:ascii="Times New Roman" w:hAnsi="Times New Roman" w:eastAsia="仿宋_GB2312" w:cs="Times New Roman"/>
          <w:color w:val="000000"/>
          <w:kern w:val="0"/>
          <w:sz w:val="32"/>
          <w:szCs w:val="32"/>
          <w:shd w:val="clear" w:color="auto" w:fill="FFFFFF"/>
          <w:lang w:val="en-US" w:eastAsia="zh-CN"/>
        </w:rPr>
        <w:t xml:space="preserve">      </w:t>
      </w:r>
    </w:p>
    <w:p>
      <w:pPr>
        <w:pageBreakBefore w:val="0"/>
        <w:kinsoku/>
        <w:wordWrap/>
        <w:overflowPunct/>
        <w:topLinePunct w:val="0"/>
        <w:autoSpaceDE/>
        <w:autoSpaceDN/>
        <w:bidi w:val="0"/>
        <w:snapToGrid w:val="0"/>
        <w:spacing w:line="576" w:lineRule="exact"/>
        <w:ind w:left="0" w:leftChars="0" w:right="0" w:firstLine="642" w:firstLineChars="200"/>
        <w:jc w:val="both"/>
        <w:textAlignment w:val="auto"/>
        <w:rPr>
          <w:rFonts w:hint="default" w:ascii="Times New Roman" w:hAnsi="Times New Roman" w:eastAsia="仿宋" w:cs="Times New Roman"/>
          <w:b/>
          <w:bCs/>
          <w:kern w:val="2"/>
          <w:sz w:val="32"/>
          <w:szCs w:val="32"/>
          <w:lang w:val="en-US" w:eastAsia="zh-CN" w:bidi="ar-SA"/>
        </w:rPr>
      </w:pPr>
      <w:r>
        <w:rPr>
          <w:rFonts w:hint="default" w:ascii="Times New Roman" w:hAnsi="Times New Roman" w:eastAsia="楷体_GB2312" w:cs="Times New Roman"/>
          <w:b/>
          <w:bCs/>
          <w:kern w:val="2"/>
          <w:sz w:val="32"/>
          <w:szCs w:val="32"/>
          <w:lang w:val="en-US" w:eastAsia="zh-CN" w:bidi="ar-SA"/>
        </w:rPr>
        <w:t>（二）结果应用情况</w:t>
      </w:r>
    </w:p>
    <w:p>
      <w:pPr>
        <w:pageBreakBefore w:val="0"/>
        <w:kinsoku/>
        <w:wordWrap/>
        <w:overflowPunct/>
        <w:topLinePunct w:val="0"/>
        <w:autoSpaceDE/>
        <w:autoSpaceDN/>
        <w:bidi w:val="0"/>
        <w:snapToGrid w:val="0"/>
        <w:spacing w:line="576" w:lineRule="exact"/>
        <w:ind w:left="0" w:leftChars="0" w:right="0" w:firstLine="640" w:firstLineChars="200"/>
        <w:jc w:val="both"/>
        <w:textAlignment w:val="auto"/>
        <w:rPr>
          <w:rFonts w:hint="default" w:ascii="Times New Roman" w:hAnsi="Times New Roman" w:eastAsia="仿宋_GB2312" w:cs="Times New Roman"/>
          <w:kern w:val="0"/>
          <w:sz w:val="32"/>
          <w:szCs w:val="32"/>
          <w:lang w:val="zh-CN"/>
        </w:rPr>
      </w:pPr>
      <w:r>
        <w:rPr>
          <w:rFonts w:hint="default" w:ascii="Times New Roman" w:hAnsi="Times New Roman" w:eastAsia="仿宋_GB2312" w:cs="Times New Roman"/>
          <w:kern w:val="0"/>
          <w:sz w:val="32"/>
          <w:szCs w:val="32"/>
          <w:lang w:val="zh-CN"/>
        </w:rPr>
        <w:t>我单位对部门预算绩效管理工作开展情况认真进行了自评。绩效评价自查开展覆盖全单位及重点支出，将评价结果作为预算安排的重要依据，参照项目年度预算执行情况“三年滚动规划”执行情况统筹项目支出需求，保障重点支出调整支出结构，优化财政资金配置，不断强化绩效理念，推动本部门整体绩效管理水平不断提升。</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黑体" w:cs="Times New Roman"/>
          <w:color w:val="000000"/>
          <w:kern w:val="0"/>
          <w:sz w:val="32"/>
          <w:szCs w:val="32"/>
          <w:shd w:val="clear" w:color="auto" w:fill="FFFFFF"/>
        </w:rPr>
      </w:pPr>
      <w:r>
        <w:rPr>
          <w:rFonts w:hint="default" w:ascii="Times New Roman" w:hAnsi="Times New Roman" w:eastAsia="黑体" w:cs="Times New Roman"/>
          <w:color w:val="000000"/>
          <w:kern w:val="0"/>
          <w:sz w:val="32"/>
          <w:szCs w:val="32"/>
          <w:shd w:val="clear" w:color="auto" w:fill="FFFFFF"/>
        </w:rPr>
        <w:t>四、评价结论及建议</w:t>
      </w:r>
    </w:p>
    <w:p>
      <w:pPr>
        <w:pageBreakBefore w:val="0"/>
        <w:widowControl/>
        <w:kinsoku/>
        <w:wordWrap/>
        <w:overflowPunct/>
        <w:topLinePunct w:val="0"/>
        <w:autoSpaceDE/>
        <w:autoSpaceDN/>
        <w:bidi w:val="0"/>
        <w:spacing w:line="576" w:lineRule="exact"/>
        <w:ind w:left="0" w:leftChars="0" w:right="0" w:firstLine="642" w:firstLineChars="200"/>
        <w:jc w:val="both"/>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（一）评价结论</w:t>
      </w:r>
    </w:p>
    <w:p>
      <w:pPr>
        <w:pageBreakBefore w:val="0"/>
        <w:widowControl/>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color w:val="000000"/>
          <w:kern w:val="0"/>
          <w:sz w:val="32"/>
          <w:szCs w:val="32"/>
        </w:rPr>
        <w:t>202</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年我部门整体支出绩效评价自查自评结果良好，全年基本支出保证了部门的正常运行和日常工作的正常开展，达到预期绩效目标，按照202</w:t>
      </w:r>
      <w:r>
        <w:rPr>
          <w:rFonts w:hint="default" w:ascii="Times New Roman" w:hAnsi="Times New Roman" w:eastAsia="仿宋_GB2312" w:cs="Times New Roman"/>
          <w:color w:val="000000"/>
          <w:kern w:val="0"/>
          <w:sz w:val="32"/>
          <w:szCs w:val="32"/>
          <w:lang w:val="en-US" w:eastAsia="zh-CN"/>
        </w:rPr>
        <w:t>1</w:t>
      </w:r>
      <w:r>
        <w:rPr>
          <w:rFonts w:hint="default" w:ascii="Times New Roman" w:hAnsi="Times New Roman" w:eastAsia="仿宋_GB2312" w:cs="Times New Roman"/>
          <w:color w:val="000000"/>
          <w:kern w:val="0"/>
          <w:sz w:val="32"/>
          <w:szCs w:val="32"/>
        </w:rPr>
        <w:t>年部门整体支出绩效评价指标体系自评得分86分。</w:t>
      </w:r>
    </w:p>
    <w:p>
      <w:pPr>
        <w:pageBreakBefore w:val="0"/>
        <w:widowControl/>
        <w:kinsoku/>
        <w:wordWrap/>
        <w:overflowPunct/>
        <w:topLinePunct w:val="0"/>
        <w:autoSpaceDE/>
        <w:autoSpaceDN/>
        <w:bidi w:val="0"/>
        <w:spacing w:line="576" w:lineRule="exact"/>
        <w:ind w:left="0" w:leftChars="0" w:right="0" w:firstLine="642" w:firstLineChars="200"/>
        <w:jc w:val="both"/>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（二）存在问题</w:t>
      </w:r>
    </w:p>
    <w:p>
      <w:pPr>
        <w:pageBreakBefore w:val="0"/>
        <w:widowControl/>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lang w:val="zh-CN"/>
        </w:rPr>
      </w:pPr>
      <w:r>
        <w:rPr>
          <w:rFonts w:hint="default" w:ascii="Times New Roman" w:hAnsi="Times New Roman" w:eastAsia="仿宋_GB2312" w:cs="Times New Roman"/>
          <w:color w:val="000000"/>
          <w:kern w:val="0"/>
          <w:sz w:val="32"/>
          <w:szCs w:val="32"/>
        </w:rPr>
        <w:t>绩效目标设定有待更科学更合理。</w:t>
      </w:r>
    </w:p>
    <w:p>
      <w:pPr>
        <w:pageBreakBefore w:val="0"/>
        <w:widowControl/>
        <w:kinsoku/>
        <w:wordWrap/>
        <w:overflowPunct/>
        <w:topLinePunct w:val="0"/>
        <w:autoSpaceDE/>
        <w:autoSpaceDN/>
        <w:bidi w:val="0"/>
        <w:spacing w:line="576" w:lineRule="exact"/>
        <w:ind w:left="0" w:leftChars="0" w:right="0" w:firstLine="642" w:firstLineChars="200"/>
        <w:jc w:val="both"/>
        <w:textAlignment w:val="auto"/>
        <w:rPr>
          <w:rFonts w:hint="default" w:ascii="Times New Roman" w:hAnsi="Times New Roman" w:eastAsia="楷体_GB2312" w:cs="Times New Roman"/>
          <w:b/>
          <w:bCs/>
          <w:color w:val="000000"/>
          <w:kern w:val="0"/>
          <w:sz w:val="32"/>
          <w:szCs w:val="32"/>
          <w:shd w:val="clear" w:color="auto" w:fill="FFFFFF"/>
          <w:lang w:val="zh-CN"/>
        </w:rPr>
      </w:pPr>
      <w:r>
        <w:rPr>
          <w:rFonts w:hint="default" w:ascii="Times New Roman" w:hAnsi="Times New Roman" w:eastAsia="楷体_GB2312" w:cs="Times New Roman"/>
          <w:b/>
          <w:bCs/>
          <w:color w:val="000000"/>
          <w:kern w:val="0"/>
          <w:sz w:val="32"/>
          <w:szCs w:val="32"/>
          <w:shd w:val="clear" w:color="auto" w:fill="FFFFFF"/>
          <w:lang w:val="zh-CN"/>
        </w:rPr>
        <w:t>（三）改进建议</w:t>
      </w:r>
    </w:p>
    <w:p>
      <w:pPr>
        <w:pageBreakBefore w:val="0"/>
        <w:widowControl/>
        <w:kinsoku/>
        <w:wordWrap/>
        <w:overflowPunct/>
        <w:topLinePunct w:val="0"/>
        <w:autoSpaceDE/>
        <w:autoSpaceDN/>
        <w:bidi w:val="0"/>
        <w:spacing w:line="576" w:lineRule="exact"/>
        <w:ind w:left="0" w:leftChars="0" w:right="0" w:firstLine="640" w:firstLineChars="200"/>
        <w:jc w:val="both"/>
        <w:textAlignment w:val="auto"/>
        <w:rPr>
          <w:rFonts w:hint="default" w:ascii="Times New Roman" w:hAnsi="Times New Roman" w:eastAsia="仿宋_GB2312" w:cs="Times New Roman"/>
          <w:color w:val="000000"/>
          <w:kern w:val="0"/>
          <w:sz w:val="32"/>
          <w:szCs w:val="32"/>
        </w:rPr>
      </w:pPr>
      <w:r>
        <w:rPr>
          <w:rFonts w:hint="default" w:ascii="Times New Roman" w:hAnsi="Times New Roman" w:eastAsia="仿宋_GB2312" w:cs="Times New Roman"/>
          <w:color w:val="000000"/>
          <w:kern w:val="0"/>
          <w:sz w:val="32"/>
          <w:szCs w:val="32"/>
        </w:rPr>
        <w:t>针对存在的问题，我们将进一步科学设定绩效目标，加强预算执行管理。一是改进部门收支预算编制，夯实预算基础工作，提高预算编制质量；二是认真研究政策，加强项目绩效目标审核，力求科学合理；三是认真研究重点项目的执行，特别是涉及政府采购的项目，提早规划，提前实施，确保项目顺利实施，提高财政资金的使用效益。</w:t>
      </w: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仿宋_GB2312" w:cs="Times New Roman"/>
          <w:color w:val="000000"/>
          <w:kern w:val="0"/>
          <w:sz w:val="32"/>
          <w:szCs w:val="32"/>
          <w:shd w:val="clear" w:color="auto" w:fill="FFFFFF"/>
          <w:lang w:val="zh-CN"/>
        </w:rPr>
      </w:pP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仿宋_GB2312" w:cs="Times New Roman"/>
          <w:color w:val="000000"/>
          <w:kern w:val="0"/>
          <w:sz w:val="32"/>
          <w:szCs w:val="32"/>
          <w:shd w:val="clear" w:color="auto" w:fill="FFFFFF"/>
          <w:lang w:val="zh-CN"/>
        </w:rPr>
      </w:pPr>
    </w:p>
    <w:p>
      <w:pPr>
        <w:pageBreakBefore w:val="0"/>
        <w:widowControl/>
        <w:kinsoku/>
        <w:wordWrap/>
        <w:overflowPunct/>
        <w:topLinePunct w:val="0"/>
        <w:autoSpaceDE/>
        <w:autoSpaceDN/>
        <w:bidi w:val="0"/>
        <w:adjustRightInd w:val="0"/>
        <w:snapToGrid w:val="0"/>
        <w:spacing w:line="576" w:lineRule="exact"/>
        <w:ind w:left="0" w:leftChars="0" w:right="0" w:firstLine="640" w:firstLineChars="200"/>
        <w:contextualSpacing/>
        <w:jc w:val="both"/>
        <w:textAlignment w:val="auto"/>
        <w:rPr>
          <w:rFonts w:hint="default" w:ascii="Times New Roman" w:hAnsi="Times New Roman" w:eastAsia="仿宋_GB2312" w:cs="Times New Roman"/>
          <w:color w:val="000000"/>
          <w:kern w:val="0"/>
          <w:sz w:val="32"/>
          <w:szCs w:val="32"/>
          <w:shd w:val="clear" w:color="auto" w:fill="FFFFFF"/>
          <w:lang w:val="zh-CN"/>
        </w:rPr>
      </w:pPr>
    </w:p>
    <w:p>
      <w:pPr>
        <w:pageBreakBefore w:val="0"/>
        <w:kinsoku/>
        <w:wordWrap w:val="0"/>
        <w:overflowPunct/>
        <w:topLinePunct w:val="0"/>
        <w:autoSpaceDE/>
        <w:autoSpaceDN/>
        <w:bidi w:val="0"/>
        <w:spacing w:line="576" w:lineRule="exact"/>
        <w:ind w:left="0" w:leftChars="0" w:right="0" w:firstLine="5760" w:firstLineChars="1800"/>
        <w:jc w:val="right"/>
        <w:textAlignment w:val="auto"/>
        <w:rPr>
          <w:rFonts w:hint="default" w:ascii="Times New Roman" w:hAnsi="Times New Roman" w:eastAsia="仿宋_GB2312" w:cs="Times New Roman"/>
          <w:sz w:val="32"/>
          <w:lang w:val="en-US" w:eastAsia="zh-CN"/>
        </w:rPr>
      </w:pPr>
      <w:r>
        <w:rPr>
          <w:rFonts w:hint="default" w:ascii="Times New Roman" w:hAnsi="Times New Roman" w:eastAsia="仿宋_GB2312" w:cs="Times New Roman"/>
          <w:sz w:val="32"/>
        </w:rPr>
        <w:t>茂县统计局</w:t>
      </w:r>
      <w:r>
        <w:rPr>
          <w:rFonts w:hint="eastAsia" w:ascii="Times New Roman" w:hAnsi="Times New Roman" w:eastAsia="仿宋_GB2312" w:cs="Times New Roman"/>
          <w:sz w:val="32"/>
          <w:lang w:val="en-US" w:eastAsia="zh-CN"/>
        </w:rPr>
        <w:t xml:space="preserve">     </w:t>
      </w:r>
    </w:p>
    <w:p>
      <w:pPr>
        <w:pageBreakBefore w:val="0"/>
        <w:widowControl/>
        <w:kinsoku/>
        <w:wordWrap/>
        <w:overflowPunct/>
        <w:topLinePunct w:val="0"/>
        <w:autoSpaceDE/>
        <w:autoSpaceDN/>
        <w:bidi w:val="0"/>
        <w:adjustRightInd w:val="0"/>
        <w:snapToGrid w:val="0"/>
        <w:spacing w:line="576" w:lineRule="exact"/>
        <w:ind w:left="0" w:leftChars="0" w:right="0"/>
        <w:contextualSpacing/>
        <w:jc w:val="both"/>
        <w:textAlignment w:val="auto"/>
        <w:rPr>
          <w:rFonts w:hint="default" w:ascii="Times New Roman" w:hAnsi="Times New Roman" w:eastAsia="仿宋_GB2312" w:cs="Times New Roman"/>
          <w:color w:val="000000"/>
          <w:kern w:val="0"/>
          <w:sz w:val="32"/>
          <w:szCs w:val="32"/>
          <w:shd w:val="clear" w:color="auto" w:fill="FFFFFF"/>
          <w:lang w:val="zh-CN"/>
        </w:rPr>
      </w:pPr>
      <w:r>
        <w:rPr>
          <w:rFonts w:hint="default" w:ascii="Times New Roman" w:hAnsi="Times New Roman" w:eastAsia="仿宋_GB2312" w:cs="Times New Roman"/>
          <w:sz w:val="32"/>
          <w:lang w:val="en-US" w:eastAsia="zh-CN"/>
        </w:rPr>
        <w:t xml:space="preserve">                                </w:t>
      </w:r>
      <w:r>
        <w:rPr>
          <w:rFonts w:hint="eastAsia"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lang w:val="en-US" w:eastAsia="zh-CN"/>
        </w:rPr>
        <w:t xml:space="preserve"> </w:t>
      </w:r>
      <w:r>
        <w:rPr>
          <w:rFonts w:hint="default" w:ascii="Times New Roman" w:hAnsi="Times New Roman" w:eastAsia="仿宋_GB2312" w:cs="Times New Roman"/>
          <w:sz w:val="32"/>
        </w:rPr>
        <w:t>202</w:t>
      </w:r>
      <w:r>
        <w:rPr>
          <w:rFonts w:hint="default" w:ascii="Times New Roman" w:hAnsi="Times New Roman" w:eastAsia="仿宋_GB2312" w:cs="Times New Roman"/>
          <w:sz w:val="32"/>
          <w:lang w:val="en-US" w:eastAsia="zh-CN"/>
        </w:rPr>
        <w:t>2</w:t>
      </w:r>
      <w:r>
        <w:rPr>
          <w:rFonts w:hint="default" w:ascii="Times New Roman" w:hAnsi="Times New Roman" w:eastAsia="仿宋_GB2312" w:cs="Times New Roman"/>
          <w:sz w:val="32"/>
        </w:rPr>
        <w:t>年</w:t>
      </w:r>
      <w:r>
        <w:rPr>
          <w:rFonts w:hint="default" w:ascii="Times New Roman" w:hAnsi="Times New Roman" w:eastAsia="仿宋_GB2312" w:cs="Times New Roman"/>
          <w:sz w:val="32"/>
          <w:lang w:val="en-US" w:eastAsia="zh-CN"/>
        </w:rPr>
        <w:t>8</w:t>
      </w:r>
      <w:r>
        <w:rPr>
          <w:rFonts w:hint="default" w:ascii="Times New Roman" w:hAnsi="Times New Roman" w:eastAsia="仿宋_GB2312" w:cs="Times New Roman"/>
          <w:sz w:val="32"/>
        </w:rPr>
        <w:t>月2</w:t>
      </w:r>
      <w:r>
        <w:rPr>
          <w:rFonts w:hint="default" w:ascii="Times New Roman" w:hAnsi="Times New Roman" w:eastAsia="仿宋_GB2312" w:cs="Times New Roman"/>
          <w:sz w:val="32"/>
          <w:lang w:val="en-US" w:eastAsia="zh-CN"/>
        </w:rPr>
        <w:t>0</w:t>
      </w:r>
      <w:r>
        <w:rPr>
          <w:rFonts w:hint="default" w:ascii="Times New Roman" w:hAnsi="Times New Roman" w:eastAsia="仿宋_GB2312" w:cs="Times New Roman"/>
          <w:sz w:val="32"/>
        </w:rPr>
        <w:t>日</w:t>
      </w:r>
    </w:p>
    <w:p>
      <w:pPr>
        <w:pageBreakBefore w:val="0"/>
        <w:widowControl/>
        <w:kinsoku/>
        <w:wordWrap/>
        <w:overflowPunct/>
        <w:topLinePunct w:val="0"/>
        <w:autoSpaceDE/>
        <w:autoSpaceDN/>
        <w:bidi w:val="0"/>
        <w:adjustRightInd w:val="0"/>
        <w:snapToGrid w:val="0"/>
        <w:spacing w:line="576" w:lineRule="exact"/>
        <w:ind w:left="0" w:leftChars="0" w:right="0"/>
        <w:contextualSpacing/>
        <w:jc w:val="both"/>
        <w:textAlignment w:val="auto"/>
        <w:rPr>
          <w:rFonts w:hint="default" w:ascii="Times New Roman" w:hAnsi="Times New Roman" w:eastAsia="仿宋_GB2312" w:cs="Times New Roman"/>
          <w:color w:val="000000"/>
          <w:kern w:val="0"/>
          <w:sz w:val="32"/>
          <w:szCs w:val="32"/>
          <w:shd w:val="clear" w:color="auto" w:fill="FFFFFF"/>
        </w:rPr>
      </w:pPr>
    </w:p>
    <w:p>
      <w:pPr>
        <w:pStyle w:val="2"/>
        <w:pageBreakBefore w:val="0"/>
        <w:kinsoku/>
        <w:wordWrap/>
        <w:overflowPunct/>
        <w:topLinePunct w:val="0"/>
        <w:autoSpaceDE/>
        <w:autoSpaceDN/>
        <w:bidi w:val="0"/>
        <w:spacing w:line="576" w:lineRule="exact"/>
        <w:ind w:left="0" w:leftChars="0" w:right="0"/>
        <w:jc w:val="both"/>
        <w:textAlignment w:val="auto"/>
        <w:rPr>
          <w:rFonts w:hint="default" w:ascii="Times New Roman" w:hAnsi="Times New Roman" w:cs="Times New Roman"/>
        </w:rPr>
      </w:pPr>
    </w:p>
    <w:p>
      <w:pPr>
        <w:rPr>
          <w:rFonts w:hint="default" w:ascii="Times New Roman" w:hAnsi="Times New Roman" w:cs="Times New Roman"/>
        </w:rPr>
      </w:pPr>
    </w:p>
    <w:p>
      <w:pPr>
        <w:pStyle w:val="2"/>
        <w:rPr>
          <w:rFonts w:hint="default"/>
        </w:rPr>
      </w:pPr>
    </w:p>
    <w:p>
      <w:pPr>
        <w:pageBreakBefore w:val="0"/>
        <w:kinsoku/>
        <w:wordWrap/>
        <w:overflowPunct/>
        <w:topLinePunct w:val="0"/>
        <w:autoSpaceDE/>
        <w:autoSpaceDN/>
        <w:bidi w:val="0"/>
        <w:spacing w:line="576" w:lineRule="exact"/>
        <w:ind w:left="0" w:leftChars="0" w:right="0"/>
        <w:jc w:val="center"/>
        <w:textAlignment w:val="auto"/>
        <w:outlineLvl w:val="0"/>
        <w:rPr>
          <w:rStyle w:val="24"/>
          <w:rFonts w:hint="eastAsia" w:ascii="方正小标宋简体" w:hAnsi="方正小标宋简体" w:eastAsia="方正小标宋简体" w:cs="方正小标宋简体"/>
          <w:b w:val="0"/>
        </w:rPr>
      </w:pPr>
      <w:bookmarkStart w:id="115" w:name="_Toc15396618"/>
      <w:bookmarkStart w:id="116" w:name="_Toc79163635"/>
      <w:bookmarkStart w:id="117" w:name="_Toc79163885"/>
      <w:r>
        <w:rPr>
          <w:rFonts w:hint="eastAsia" w:ascii="方正小标宋简体" w:hAnsi="方正小标宋简体" w:eastAsia="方正小标宋简体" w:cs="方正小标宋简体"/>
          <w:color w:val="000000"/>
          <w:sz w:val="44"/>
          <w:szCs w:val="44"/>
        </w:rPr>
        <w:t>第</w:t>
      </w:r>
      <w:r>
        <w:rPr>
          <w:rStyle w:val="24"/>
          <w:rFonts w:hint="eastAsia" w:ascii="方正小标宋简体" w:hAnsi="方正小标宋简体" w:eastAsia="方正小标宋简体" w:cs="方正小标宋简体"/>
          <w:b w:val="0"/>
        </w:rPr>
        <w:t>五部分 附表</w:t>
      </w:r>
      <w:bookmarkEnd w:id="110"/>
      <w:bookmarkEnd w:id="115"/>
      <w:bookmarkEnd w:id="116"/>
      <w:bookmarkEnd w:id="117"/>
    </w:p>
    <w:p>
      <w:pPr>
        <w:pStyle w:val="5"/>
        <w:pageBreakBefore w:val="0"/>
        <w:kinsoku/>
        <w:wordWrap/>
        <w:overflowPunct/>
        <w:topLinePunct w:val="0"/>
        <w:autoSpaceDE/>
        <w:autoSpaceDN/>
        <w:bidi w:val="0"/>
        <w:spacing w:before="0" w:after="0" w:line="576" w:lineRule="exact"/>
        <w:ind w:left="0" w:leftChars="0" w:right="0"/>
        <w:jc w:val="both"/>
        <w:textAlignment w:val="auto"/>
        <w:rPr>
          <w:rFonts w:hint="default" w:ascii="Times New Roman" w:hAnsi="Times New Roman" w:eastAsia="仿宋" w:cs="Times New Roman"/>
          <w:b w:val="0"/>
          <w:color w:val="000000"/>
        </w:rPr>
      </w:pPr>
      <w:bookmarkStart w:id="118" w:name="_Toc15396619"/>
      <w:bookmarkStart w:id="119" w:name="_Toc79163636"/>
      <w:bookmarkStart w:id="120" w:name="_Toc79163886"/>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r>
        <w:rPr>
          <w:rFonts w:hint="eastAsia" w:ascii="仿宋_GB2312" w:hAnsi="仿宋_GB2312" w:eastAsia="仿宋_GB2312" w:cs="仿宋_GB2312"/>
          <w:b w:val="0"/>
          <w:color w:val="000000"/>
        </w:rPr>
        <w:t>一、收</w:t>
      </w:r>
      <w:r>
        <w:rPr>
          <w:rStyle w:val="25"/>
          <w:rFonts w:hint="eastAsia" w:ascii="仿宋_GB2312" w:hAnsi="仿宋_GB2312" w:eastAsia="仿宋_GB2312" w:cs="仿宋_GB2312"/>
          <w:b w:val="0"/>
          <w:bCs w:val="0"/>
        </w:rPr>
        <w:t>入支出决算总表</w:t>
      </w:r>
      <w:bookmarkEnd w:id="118"/>
      <w:bookmarkEnd w:id="119"/>
      <w:bookmarkEnd w:id="120"/>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21" w:name="_Toc15396620"/>
      <w:bookmarkStart w:id="122" w:name="_Toc79163637"/>
      <w:bookmarkStart w:id="123" w:name="_Toc79163887"/>
      <w:r>
        <w:rPr>
          <w:rFonts w:hint="eastAsia" w:ascii="仿宋_GB2312" w:hAnsi="仿宋_GB2312" w:eastAsia="仿宋_GB2312" w:cs="仿宋_GB2312"/>
          <w:b w:val="0"/>
          <w:color w:val="000000"/>
        </w:rPr>
        <w:t>二、收</w:t>
      </w:r>
      <w:r>
        <w:rPr>
          <w:rStyle w:val="25"/>
          <w:rFonts w:hint="eastAsia" w:ascii="仿宋_GB2312" w:hAnsi="仿宋_GB2312" w:eastAsia="仿宋_GB2312" w:cs="仿宋_GB2312"/>
          <w:b w:val="0"/>
          <w:bCs w:val="0"/>
        </w:rPr>
        <w:t>入决算表</w:t>
      </w:r>
      <w:bookmarkEnd w:id="121"/>
      <w:bookmarkEnd w:id="122"/>
      <w:bookmarkEnd w:id="123"/>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24" w:name="_Toc15396621"/>
      <w:bookmarkStart w:id="125" w:name="_Toc79163638"/>
      <w:bookmarkStart w:id="126" w:name="_Toc79163888"/>
      <w:r>
        <w:rPr>
          <w:rStyle w:val="25"/>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5"/>
          <w:rFonts w:hint="eastAsia" w:ascii="仿宋_GB2312" w:hAnsi="仿宋_GB2312" w:eastAsia="仿宋_GB2312" w:cs="仿宋_GB2312"/>
          <w:b w:val="0"/>
          <w:bCs w:val="0"/>
        </w:rPr>
        <w:t>出决算表</w:t>
      </w:r>
      <w:bookmarkEnd w:id="124"/>
      <w:bookmarkEnd w:id="125"/>
      <w:bookmarkEnd w:id="126"/>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b w:val="0"/>
          <w:color w:val="000000"/>
        </w:rPr>
      </w:pPr>
      <w:bookmarkStart w:id="127" w:name="_Toc15396622"/>
      <w:bookmarkStart w:id="128" w:name="_Toc79163639"/>
      <w:bookmarkStart w:id="129" w:name="_Toc79163889"/>
      <w:r>
        <w:rPr>
          <w:rStyle w:val="25"/>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政拨款收入支出决算总表</w:t>
      </w:r>
      <w:bookmarkEnd w:id="127"/>
      <w:bookmarkEnd w:id="128"/>
      <w:bookmarkEnd w:id="129"/>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Style w:val="25"/>
          <w:rFonts w:hint="eastAsia" w:ascii="仿宋_GB2312" w:hAnsi="仿宋_GB2312" w:eastAsia="仿宋_GB2312" w:cs="仿宋_GB2312"/>
          <w:b w:val="0"/>
          <w:bCs w:val="0"/>
        </w:rPr>
      </w:pPr>
      <w:bookmarkStart w:id="130" w:name="_Toc15396623"/>
      <w:bookmarkStart w:id="131" w:name="_Toc79163640"/>
      <w:bookmarkStart w:id="132" w:name="_Toc79163890"/>
      <w:r>
        <w:rPr>
          <w:rStyle w:val="25"/>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5"/>
          <w:rFonts w:hint="eastAsia" w:ascii="仿宋_GB2312" w:hAnsi="仿宋_GB2312" w:eastAsia="仿宋_GB2312" w:cs="仿宋_GB2312"/>
          <w:b w:val="0"/>
          <w:bCs w:val="0"/>
        </w:rPr>
        <w:t>政拨款支出决算明细表</w:t>
      </w:r>
      <w:bookmarkEnd w:id="130"/>
      <w:bookmarkEnd w:id="131"/>
      <w:bookmarkEnd w:id="132"/>
      <w:bookmarkStart w:id="133" w:name="_Toc15396624"/>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34" w:name="_Toc79163641"/>
      <w:bookmarkStart w:id="135" w:name="_Toc79163891"/>
      <w:r>
        <w:rPr>
          <w:rStyle w:val="25"/>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般公共预算财政拨款支出决算表</w:t>
      </w:r>
      <w:bookmarkEnd w:id="133"/>
      <w:bookmarkEnd w:id="134"/>
      <w:bookmarkEnd w:id="135"/>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36" w:name="_Toc15396625"/>
      <w:bookmarkStart w:id="137" w:name="_Toc79163642"/>
      <w:bookmarkStart w:id="138" w:name="_Toc79163892"/>
      <w:r>
        <w:rPr>
          <w:rStyle w:val="25"/>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般公共预算财政拨款支出决算明细表</w:t>
      </w:r>
      <w:bookmarkEnd w:id="136"/>
      <w:bookmarkEnd w:id="137"/>
      <w:bookmarkEnd w:id="138"/>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39" w:name="_Toc15396626"/>
      <w:bookmarkStart w:id="140" w:name="_Toc79163643"/>
      <w:bookmarkStart w:id="141" w:name="_Toc79163893"/>
      <w:r>
        <w:rPr>
          <w:rStyle w:val="25"/>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般公共预算财政拨款基本支出决算表</w:t>
      </w:r>
      <w:bookmarkEnd w:id="139"/>
      <w:bookmarkEnd w:id="140"/>
      <w:bookmarkEnd w:id="141"/>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42" w:name="_Toc15396627"/>
      <w:bookmarkStart w:id="143" w:name="_Toc79163644"/>
      <w:bookmarkStart w:id="144" w:name="_Toc79163894"/>
      <w:r>
        <w:rPr>
          <w:rStyle w:val="25"/>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般公共预算财政拨款项目支出决算表</w:t>
      </w:r>
      <w:bookmarkEnd w:id="142"/>
      <w:bookmarkEnd w:id="143"/>
      <w:bookmarkEnd w:id="144"/>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45" w:name="_Toc15396628"/>
      <w:bookmarkStart w:id="146" w:name="_Toc79163645"/>
      <w:bookmarkStart w:id="147" w:name="_Toc79163895"/>
      <w:r>
        <w:rPr>
          <w:rStyle w:val="25"/>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5"/>
          <w:rFonts w:hint="eastAsia" w:ascii="仿宋_GB2312" w:hAnsi="仿宋_GB2312" w:eastAsia="仿宋_GB2312" w:cs="仿宋_GB2312"/>
          <w:b w:val="0"/>
          <w:bCs w:val="0"/>
        </w:rPr>
        <w:t>般公共预算财政拨款“三公”经费支出决算表</w:t>
      </w:r>
      <w:bookmarkEnd w:id="145"/>
      <w:bookmarkEnd w:id="146"/>
      <w:bookmarkEnd w:id="147"/>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48" w:name="_Toc79163896"/>
      <w:bookmarkStart w:id="149" w:name="_Toc79163646"/>
      <w:bookmarkStart w:id="150" w:name="_Toc15396629"/>
      <w:r>
        <w:rPr>
          <w:rStyle w:val="25"/>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府性基金预算财政拨款收入支出决算表</w:t>
      </w:r>
      <w:bookmarkEnd w:id="148"/>
      <w:bookmarkEnd w:id="149"/>
      <w:bookmarkEnd w:id="150"/>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Fonts w:hint="eastAsia" w:ascii="仿宋_GB2312" w:hAnsi="仿宋_GB2312" w:eastAsia="仿宋_GB2312" w:cs="仿宋_GB2312"/>
          <w:color w:val="000000"/>
        </w:rPr>
      </w:pPr>
      <w:bookmarkStart w:id="151" w:name="_Toc15396630"/>
      <w:bookmarkStart w:id="152" w:name="_Toc79163647"/>
      <w:bookmarkStart w:id="153" w:name="_Toc79163897"/>
      <w:r>
        <w:rPr>
          <w:rStyle w:val="25"/>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5"/>
          <w:rFonts w:hint="eastAsia" w:ascii="仿宋_GB2312" w:hAnsi="仿宋_GB2312" w:eastAsia="仿宋_GB2312" w:cs="仿宋_GB2312"/>
          <w:b w:val="0"/>
          <w:bCs w:val="0"/>
        </w:rPr>
        <w:t>府性基金预算财政拨款“三公”经费支出决算表</w:t>
      </w:r>
      <w:bookmarkEnd w:id="151"/>
      <w:bookmarkEnd w:id="152"/>
      <w:bookmarkEnd w:id="153"/>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Style w:val="25"/>
          <w:rFonts w:hint="eastAsia" w:ascii="仿宋_GB2312" w:hAnsi="仿宋_GB2312" w:eastAsia="仿宋_GB2312" w:cs="仿宋_GB2312"/>
          <w:b w:val="0"/>
          <w:bCs w:val="0"/>
        </w:rPr>
      </w:pPr>
      <w:bookmarkStart w:id="154" w:name="_Toc15396631"/>
      <w:bookmarkStart w:id="155" w:name="_Toc79163648"/>
      <w:bookmarkStart w:id="156" w:name="_Toc79163898"/>
      <w:r>
        <w:rPr>
          <w:rStyle w:val="25"/>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5"/>
          <w:rFonts w:hint="eastAsia" w:ascii="仿宋_GB2312" w:hAnsi="仿宋_GB2312" w:eastAsia="仿宋_GB2312" w:cs="仿宋_GB2312"/>
          <w:b w:val="0"/>
          <w:bCs w:val="0"/>
        </w:rPr>
        <w:t>有资本经营预算财政拨款支出决算表</w:t>
      </w:r>
      <w:bookmarkEnd w:id="154"/>
      <w:bookmarkEnd w:id="155"/>
      <w:bookmarkEnd w:id="156"/>
    </w:p>
    <w:p>
      <w:pPr>
        <w:pStyle w:val="5"/>
        <w:keepNext/>
        <w:keepLines/>
        <w:pageBreakBefore w:val="0"/>
        <w:widowControl w:val="0"/>
        <w:kinsoku/>
        <w:wordWrap/>
        <w:overflowPunct/>
        <w:topLinePunct w:val="0"/>
        <w:autoSpaceDE/>
        <w:autoSpaceDN/>
        <w:bidi w:val="0"/>
        <w:adjustRightInd/>
        <w:snapToGrid/>
        <w:spacing w:before="0" w:after="0" w:line="576" w:lineRule="exact"/>
        <w:ind w:left="0" w:leftChars="0" w:right="0" w:firstLine="640" w:firstLineChars="200"/>
        <w:jc w:val="both"/>
        <w:textAlignment w:val="auto"/>
        <w:rPr>
          <w:rStyle w:val="25"/>
          <w:rFonts w:hint="eastAsia" w:ascii="仿宋_GB2312" w:hAnsi="仿宋_GB2312" w:eastAsia="仿宋_GB2312" w:cs="仿宋_GB2312"/>
          <w:b w:val="0"/>
          <w:bCs w:val="0"/>
        </w:rPr>
      </w:pPr>
      <w:bookmarkStart w:id="157" w:name="_Toc79163649"/>
      <w:bookmarkStart w:id="158" w:name="_Toc79163899"/>
      <w:r>
        <w:rPr>
          <w:rStyle w:val="25"/>
          <w:rFonts w:hint="eastAsia" w:ascii="仿宋_GB2312" w:hAnsi="仿宋_GB2312" w:eastAsia="仿宋_GB2312" w:cs="仿宋_GB2312"/>
          <w:b w:val="0"/>
          <w:bCs w:val="0"/>
        </w:rPr>
        <w:t>十四、国有资本经营预算财政拨款支出决算表</w:t>
      </w:r>
      <w:bookmarkEnd w:id="157"/>
      <w:bookmarkEnd w:id="158"/>
    </w:p>
    <w:sectPr>
      <w:headerReference r:id="rId3" w:type="default"/>
      <w:footerReference r:id="rId4" w:type="default"/>
      <w:pgSz w:w="11906" w:h="16838"/>
      <w:pgMar w:top="2098" w:right="1474" w:bottom="1984" w:left="1587" w:header="851" w:footer="992" w:gutter="0"/>
      <w:pgNumType w:fmt="decimal"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等线">
    <w:altName w:val="仿宋_GB2312"/>
    <w:panose1 w:val="00000000000000000000"/>
    <w:charset w:val="86"/>
    <w:family w:val="auto"/>
    <w:pitch w:val="default"/>
    <w:sig w:usb0="00000000" w:usb1="00000000"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等线 Light">
    <w:altName w:val="仿宋_GB2312"/>
    <w:panose1 w:val="00000000000000000000"/>
    <w:charset w:val="86"/>
    <w:family w:val="auto"/>
    <w:pitch w:val="default"/>
    <w:sig w:usb0="00000000" w:usb1="00000000" w:usb2="00000016" w:usb3="00000000" w:csb0="0004000F" w:csb1="00000000"/>
  </w:font>
  <w:font w:name="方正小标宋简体">
    <w:altName w:val="仿宋_GB2312"/>
    <w:panose1 w:val="02010601030101010101"/>
    <w:charset w:val="86"/>
    <w:family w:val="script"/>
    <w:pitch w:val="default"/>
    <w:sig w:usb0="00000000" w:usb1="00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A00002BF" w:usb1="38CF7CFA" w:usb2="00082016" w:usb3="00000000" w:csb0="00040001" w:csb1="00000000"/>
  </w:font>
  <w:font w:name="方正仿宋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13"/>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2</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p>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9E1C314"/>
    <w:multiLevelType w:val="singleLevel"/>
    <w:tmpl w:val="F9E1C314"/>
    <w:lvl w:ilvl="0" w:tentative="0">
      <w:start w:val="1"/>
      <w:numFmt w:val="chineseCounting"/>
      <w:suff w:val="nothing"/>
      <w:lvlText w:val="（%1）"/>
      <w:lvlJc w:val="left"/>
      <w:rPr>
        <w:rFonts w:hint="eastAsia"/>
      </w:rPr>
    </w:lvl>
  </w:abstractNum>
  <w:abstractNum w:abstractNumId="1">
    <w:nsid w:val="53BF8B56"/>
    <w:multiLevelType w:val="singleLevel"/>
    <w:tmpl w:val="53BF8B56"/>
    <w:lvl w:ilvl="0" w:tentative="0">
      <w:start w:val="3"/>
      <w:numFmt w:val="chineseCounting"/>
      <w:suff w:val="nothing"/>
      <w:lvlText w:val="%1、"/>
      <w:lvlJc w:val="left"/>
      <w:rPr>
        <w:rFonts w:hint="eastAsia"/>
      </w:rPr>
    </w:lvl>
  </w:abstractNum>
  <w:abstractNum w:abstractNumId="2">
    <w:nsid w:val="59BF8E2E"/>
    <w:multiLevelType w:val="singleLevel"/>
    <w:tmpl w:val="59BF8E2E"/>
    <w:lvl w:ilvl="0" w:tentative="0">
      <w:start w:val="3"/>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true"/>
  <w:bordersDoNotSurroundFooter w:val="true"/>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docVars>
    <w:docVar w:name="commondata" w:val="eyJoZGlkIjoiODI5M2IyY2RlNzBhOTRkNjliMWUxNjU2MzQzNjZmNWMifQ=="/>
  </w:docVars>
  <w:rsids>
    <w:rsidRoot w:val="00000000"/>
    <w:rsid w:val="29F22B55"/>
    <w:rsid w:val="3E3F735D"/>
    <w:rsid w:val="4A9C63B3"/>
    <w:rsid w:val="57417954"/>
    <w:rsid w:val="5CAC213D"/>
    <w:rsid w:val="5CCF6EDB"/>
    <w:rsid w:val="647768F0"/>
    <w:rsid w:val="76217F4B"/>
    <w:rsid w:val="77F572FC"/>
    <w:rsid w:val="7DFE585A"/>
    <w:rsid w:val="7DFF76F0"/>
    <w:rsid w:val="7EFC5D5F"/>
    <w:rsid w:val="7FEF4470"/>
    <w:rsid w:val="92FBE8BF"/>
    <w:rsid w:val="ADFD7048"/>
    <w:rsid w:val="AFB99D37"/>
    <w:rsid w:val="BE2F17A9"/>
    <w:rsid w:val="BEBF5760"/>
    <w:rsid w:val="FB4EFD6C"/>
    <w:rsid w:val="FD7FB0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4"/>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5"/>
    <w:qFormat/>
    <w:uiPriority w:val="0"/>
    <w:pPr>
      <w:keepNext/>
      <w:keepLines/>
      <w:widowControl w:val="0"/>
      <w:spacing w:before="260" w:after="260" w:line="415" w:lineRule="auto"/>
      <w:outlineLvl w:val="1"/>
    </w:pPr>
    <w:rPr>
      <w:rFonts w:ascii="Cambria" w:hAnsi="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21">
    <w:name w:val="Default Paragraph Font"/>
    <w:qFormat/>
    <w:uiPriority w:val="0"/>
  </w:style>
  <w:style w:type="table" w:default="1" w:styleId="2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rPr>
      <w:rFonts w:ascii="Calibri" w:hAnsi="Calibri"/>
    </w:rPr>
  </w:style>
  <w:style w:type="paragraph" w:styleId="3">
    <w:name w:val="Body Text Indent"/>
    <w:basedOn w:val="1"/>
    <w:qFormat/>
    <w:uiPriority w:val="0"/>
    <w:pPr>
      <w:ind w:firstLine="720" w:firstLineChars="240"/>
    </w:pPr>
    <w:rPr>
      <w:sz w:val="30"/>
    </w:rPr>
  </w:style>
  <w:style w:type="paragraph" w:styleId="7">
    <w:name w:val="toc 7"/>
    <w:basedOn w:val="1"/>
    <w:next w:val="1"/>
    <w:qFormat/>
    <w:uiPriority w:val="0"/>
    <w:pPr>
      <w:ind w:left="1260"/>
      <w:jc w:val="left"/>
    </w:pPr>
    <w:rPr>
      <w:rFonts w:ascii="等线" w:eastAsia="等线"/>
      <w:sz w:val="18"/>
      <w:szCs w:val="18"/>
    </w:r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5"/>
    <w:basedOn w:val="1"/>
    <w:next w:val="1"/>
    <w:qFormat/>
    <w:uiPriority w:val="0"/>
    <w:pPr>
      <w:ind w:left="840"/>
      <w:jc w:val="left"/>
    </w:pPr>
    <w:rPr>
      <w:rFonts w:ascii="等线" w:eastAsia="等线"/>
      <w:sz w:val="18"/>
      <w:szCs w:val="18"/>
    </w:rPr>
  </w:style>
  <w:style w:type="paragraph" w:styleId="10">
    <w:name w:val="toc 3"/>
    <w:basedOn w:val="1"/>
    <w:next w:val="1"/>
    <w:qFormat/>
    <w:uiPriority w:val="0"/>
    <w:pPr>
      <w:ind w:left="420"/>
      <w:jc w:val="left"/>
    </w:pPr>
    <w:rPr>
      <w:rFonts w:ascii="等线" w:eastAsia="等线"/>
      <w:i/>
      <w:iCs/>
      <w:sz w:val="20"/>
      <w:szCs w:val="20"/>
    </w:rPr>
  </w:style>
  <w:style w:type="paragraph" w:styleId="11">
    <w:name w:val="toc 8"/>
    <w:basedOn w:val="1"/>
    <w:next w:val="1"/>
    <w:qFormat/>
    <w:uiPriority w:val="0"/>
    <w:pPr>
      <w:ind w:left="1470"/>
      <w:jc w:val="left"/>
    </w:pPr>
    <w:rPr>
      <w:rFonts w:ascii="等线" w:eastAsia="等线"/>
      <w:sz w:val="18"/>
      <w:szCs w:val="18"/>
    </w:rPr>
  </w:style>
  <w:style w:type="paragraph" w:styleId="12">
    <w:name w:val="Balloon Text"/>
    <w:basedOn w:val="1"/>
    <w:qFormat/>
    <w:uiPriority w:val="0"/>
    <w:rPr>
      <w:sz w:val="18"/>
      <w:szCs w:val="18"/>
    </w:rPr>
  </w:style>
  <w:style w:type="paragraph" w:styleId="1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5">
    <w:name w:val="toc 1"/>
    <w:basedOn w:val="1"/>
    <w:next w:val="1"/>
    <w:qFormat/>
    <w:uiPriority w:val="0"/>
    <w:pPr>
      <w:spacing w:before="120" w:after="120"/>
      <w:jc w:val="left"/>
    </w:pPr>
    <w:rPr>
      <w:rFonts w:ascii="等线" w:eastAsia="等线"/>
      <w:b/>
      <w:bCs/>
      <w:caps/>
      <w:sz w:val="20"/>
      <w:szCs w:val="20"/>
    </w:rPr>
  </w:style>
  <w:style w:type="paragraph" w:styleId="16">
    <w:name w:val="toc 4"/>
    <w:basedOn w:val="1"/>
    <w:next w:val="1"/>
    <w:qFormat/>
    <w:uiPriority w:val="0"/>
    <w:pPr>
      <w:ind w:left="630"/>
      <w:jc w:val="left"/>
    </w:pPr>
    <w:rPr>
      <w:rFonts w:ascii="等线" w:eastAsia="等线"/>
      <w:sz w:val="18"/>
      <w:szCs w:val="18"/>
    </w:rPr>
  </w:style>
  <w:style w:type="paragraph" w:styleId="17">
    <w:name w:val="toc 6"/>
    <w:basedOn w:val="1"/>
    <w:next w:val="1"/>
    <w:qFormat/>
    <w:uiPriority w:val="0"/>
    <w:pPr>
      <w:ind w:left="1050"/>
      <w:jc w:val="left"/>
    </w:pPr>
    <w:rPr>
      <w:rFonts w:ascii="等线" w:eastAsia="等线"/>
      <w:sz w:val="18"/>
      <w:szCs w:val="18"/>
    </w:rPr>
  </w:style>
  <w:style w:type="paragraph" w:styleId="18">
    <w:name w:val="toc 2"/>
    <w:basedOn w:val="1"/>
    <w:next w:val="1"/>
    <w:qFormat/>
    <w:uiPriority w:val="0"/>
    <w:pPr>
      <w:ind w:left="210"/>
      <w:jc w:val="left"/>
    </w:pPr>
    <w:rPr>
      <w:rFonts w:ascii="等线" w:eastAsia="等线"/>
      <w:smallCaps/>
      <w:sz w:val="20"/>
      <w:szCs w:val="20"/>
    </w:rPr>
  </w:style>
  <w:style w:type="paragraph" w:styleId="19">
    <w:name w:val="toc 9"/>
    <w:basedOn w:val="1"/>
    <w:next w:val="1"/>
    <w:qFormat/>
    <w:uiPriority w:val="0"/>
    <w:pPr>
      <w:ind w:left="1680"/>
      <w:jc w:val="left"/>
    </w:pPr>
    <w:rPr>
      <w:rFonts w:ascii="等线" w:eastAsia="等线"/>
      <w:sz w:val="18"/>
      <w:szCs w:val="18"/>
    </w:rPr>
  </w:style>
  <w:style w:type="character" w:styleId="22">
    <w:name w:val="Strong"/>
    <w:basedOn w:val="21"/>
    <w:qFormat/>
    <w:uiPriority w:val="0"/>
    <w:rPr>
      <w:rFonts w:cs="Times New Roman"/>
      <w:b/>
    </w:rPr>
  </w:style>
  <w:style w:type="character" w:styleId="23">
    <w:name w:val="Hyperlink"/>
    <w:basedOn w:val="21"/>
    <w:qFormat/>
    <w:uiPriority w:val="0"/>
    <w:rPr>
      <w:rFonts w:cs="Times New Roman"/>
      <w:color w:val="0000FF"/>
      <w:u w:val="single"/>
    </w:rPr>
  </w:style>
  <w:style w:type="character" w:customStyle="1" w:styleId="24">
    <w:name w:val="heading 1 Char"/>
    <w:basedOn w:val="21"/>
    <w:link w:val="4"/>
    <w:qFormat/>
    <w:uiPriority w:val="0"/>
    <w:rPr>
      <w:rFonts w:ascii="Times New Roman" w:hAnsi="Times New Roman" w:eastAsia="宋体" w:cs="Times New Roman"/>
      <w:b/>
      <w:bCs/>
      <w:kern w:val="44"/>
      <w:sz w:val="44"/>
      <w:szCs w:val="44"/>
      <w:lang w:val="en-US" w:eastAsia="zh-CN" w:bidi="ar-SA"/>
    </w:rPr>
  </w:style>
  <w:style w:type="character" w:customStyle="1" w:styleId="25">
    <w:name w:val="heading 2 Char"/>
    <w:basedOn w:val="21"/>
    <w:link w:val="5"/>
    <w:qFormat/>
    <w:uiPriority w:val="0"/>
    <w:rPr>
      <w:rFonts w:ascii="Cambria" w:hAnsi="Cambria" w:eastAsia="宋体" w:cs="Times New Roman"/>
      <w:b/>
      <w:bCs/>
      <w:kern w:val="2"/>
      <w:sz w:val="32"/>
      <w:szCs w:val="32"/>
      <w:lang w:val="en-US" w:eastAsia="zh-CN" w:bidi="ar-SA"/>
    </w:rPr>
  </w:style>
  <w:style w:type="character" w:customStyle="1" w:styleId="26">
    <w:name w:val="Body Text Char"/>
    <w:basedOn w:val="21"/>
    <w:qFormat/>
    <w:uiPriority w:val="0"/>
    <w:rPr>
      <w:rFonts w:ascii="Times New Roman" w:hAnsi="Times New Roman" w:cs="Times New Roman"/>
      <w:sz w:val="24"/>
      <w:szCs w:val="24"/>
    </w:rPr>
  </w:style>
  <w:style w:type="character" w:customStyle="1" w:styleId="27">
    <w:name w:val="Footer Char"/>
    <w:basedOn w:val="21"/>
    <w:qFormat/>
    <w:uiPriority w:val="0"/>
    <w:rPr>
      <w:rFonts w:ascii="Times New Roman" w:hAnsi="Times New Roman" w:cs="Times New Roman"/>
      <w:sz w:val="18"/>
      <w:szCs w:val="18"/>
    </w:rPr>
  </w:style>
  <w:style w:type="character" w:customStyle="1" w:styleId="28">
    <w:name w:val="Header Char"/>
    <w:basedOn w:val="21"/>
    <w:qFormat/>
    <w:uiPriority w:val="0"/>
    <w:rPr>
      <w:rFonts w:ascii="Times New Roman" w:hAnsi="Times New Roman" w:cs="Times New Roman"/>
      <w:sz w:val="18"/>
      <w:szCs w:val="18"/>
    </w:rPr>
  </w:style>
  <w:style w:type="paragraph" w:customStyle="1" w:styleId="29">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customStyle="1" w:styleId="30">
    <w:name w:val="列表段落1"/>
    <w:basedOn w:val="1"/>
    <w:qFormat/>
    <w:uiPriority w:val="0"/>
    <w:pPr>
      <w:ind w:firstLine="200" w:firstLineChars="200"/>
    </w:pPr>
  </w:style>
  <w:style w:type="paragraph" w:customStyle="1" w:styleId="31">
    <w:name w:val="TOC 标题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2">
    <w:name w:val="TOC Heading1"/>
    <w:basedOn w:val="4"/>
    <w:next w:val="1"/>
    <w:qFormat/>
    <w:uiPriority w:val="0"/>
    <w:pPr>
      <w:keepNext/>
      <w:keepLines/>
      <w:widowControl/>
      <w:spacing w:before="480" w:after="0" w:line="276" w:lineRule="auto"/>
      <w:jc w:val="left"/>
      <w:outlineLvl w:val="9"/>
    </w:pPr>
    <w:rPr>
      <w:rFonts w:ascii="Cambria" w:hAnsi="Cambria"/>
      <w:color w:val="365F91"/>
      <w:kern w:val="0"/>
      <w:sz w:val="28"/>
      <w:szCs w:val="28"/>
    </w:rPr>
  </w:style>
  <w:style w:type="paragraph" w:customStyle="1" w:styleId="33">
    <w:name w:val="TOC Heading"/>
    <w:basedOn w:val="4"/>
    <w:next w:val="1"/>
    <w:qFormat/>
    <w:uiPriority w:val="0"/>
    <w:pPr>
      <w:keepNext/>
      <w:keepLines/>
      <w:widowControl/>
      <w:spacing w:before="240" w:after="0" w:line="259" w:lineRule="auto"/>
      <w:jc w:val="left"/>
      <w:outlineLvl w:val="9"/>
    </w:pPr>
    <w:rPr>
      <w:rFonts w:ascii="等线 Light" w:eastAsia="等线 Light" w:cs="Times New Roman"/>
      <w:b w:val="0"/>
      <w:bCs w:val="0"/>
      <w:color w:val="2F5496"/>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收入决算统计表</a:t>
            </a:r>
          </a:p>
        </c:rich>
      </c:tx>
      <c:layout/>
      <c:overlay val="false"/>
      <c:spPr>
        <a:noFill/>
        <a:ln>
          <a:noFill/>
        </a:ln>
        <a:effectLst/>
      </c:spPr>
    </c:title>
    <c:autoTitleDeleted val="false"/>
    <c:plotArea>
      <c:layout>
        <c:manualLayout>
          <c:layoutTarget val="inner"/>
          <c:xMode val="edge"/>
          <c:yMode val="edge"/>
          <c:x val="0.052575"/>
          <c:y val="0.149833333333333"/>
          <c:w val="0.896175"/>
          <c:h val="0.717233333333333"/>
        </c:manualLayout>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445.13</c:v>
                </c:pt>
                <c:pt idx="1">
                  <c:v>305.89</c:v>
                </c:pt>
              </c:numCache>
            </c:numRef>
          </c:val>
        </c:ser>
        <c:dLbls>
          <c:showLegendKey val="false"/>
          <c:showVal val="false"/>
          <c:showCatName val="false"/>
          <c:showSerName val="false"/>
          <c:showPercent val="false"/>
          <c:showBubbleSize val="false"/>
        </c:dLbls>
        <c:gapWidth val="219"/>
        <c:overlap val="-27"/>
        <c:axId val="10693669"/>
        <c:axId val="521927727"/>
      </c:barChart>
      <c:lineChart>
        <c:grouping val="standard"/>
        <c:varyColors val="false"/>
        <c:ser>
          <c:idx val="1"/>
          <c:order val="1"/>
          <c:tx>
            <c:strRef>
              <c:f>Sheet1!$C$1</c:f>
              <c:strCache>
                <c:ptCount val="1"/>
                <c:pt idx="0">
                  <c:v>支出</c:v>
                </c:pt>
              </c:strCache>
            </c:strRef>
          </c:tx>
          <c:spPr>
            <a:ln w="28575" cap="rnd">
              <a:solidFill>
                <a:schemeClr val="accent2"/>
              </a:solidFill>
              <a:round/>
            </a:ln>
            <a:effectLst/>
          </c:spPr>
          <c:marker>
            <c:symbol val="none"/>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445.13</c:v>
                </c:pt>
                <c:pt idx="1">
                  <c:v>305.89</c:v>
                </c:pt>
              </c:numCache>
            </c:numRef>
          </c:val>
          <c:smooth val="false"/>
        </c:ser>
        <c:dLbls>
          <c:showLegendKey val="false"/>
          <c:showVal val="true"/>
          <c:showCatName val="false"/>
          <c:showSerName val="false"/>
          <c:showPercent val="false"/>
          <c:showBubbleSize val="false"/>
        </c:dLbls>
        <c:marker val="false"/>
        <c:smooth val="false"/>
        <c:axId val="10693669"/>
        <c:axId val="521927727"/>
      </c:lineChart>
      <c:catAx>
        <c:axId val="106936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21927727"/>
        <c:crosses val="autoZero"/>
        <c:auto val="true"/>
        <c:lblAlgn val="ctr"/>
        <c:lblOffset val="100"/>
        <c:noMultiLvlLbl val="false"/>
      </c:catAx>
      <c:valAx>
        <c:axId val="521927727"/>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9366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收入决算结构图</a:t>
            </a:r>
          </a:p>
        </c:rich>
      </c:tx>
      <c:layout/>
      <c:overlay val="false"/>
      <c:spPr>
        <a:noFill/>
        <a:ln>
          <a:noFill/>
        </a:ln>
        <a:effectLst/>
      </c:spPr>
    </c:title>
    <c:autoTitleDeleted val="false"/>
    <c:plotArea>
      <c:layout/>
      <c:pieChart>
        <c:varyColors val="true"/>
        <c:ser>
          <c:idx val="0"/>
          <c:order val="0"/>
          <c:tx>
            <c:strRef>
              <c:f>Sheet1!$B$1</c:f>
              <c:strCache>
                <c:ptCount val="1"/>
                <c:pt idx="0">
                  <c:v>全年收入占比</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一般公共预算财政拨款收入</c:v>
                </c:pt>
                <c:pt idx="1">
                  <c:v>政府性基金预算财政拨款收入</c:v>
                </c:pt>
                <c:pt idx="2">
                  <c:v>上级补助收入</c:v>
                </c:pt>
                <c:pt idx="3">
                  <c:v>事业收入</c:v>
                </c:pt>
              </c:strCache>
            </c:strRef>
          </c:cat>
          <c:val>
            <c:numRef>
              <c:f>Sheet1!$B$2:$B$5</c:f>
              <c:numCache>
                <c:formatCode>0%</c:formatCode>
                <c:ptCount val="4"/>
                <c:pt idx="0">
                  <c:v>1</c:v>
                </c:pt>
                <c:pt idx="1" c:formatCode="General">
                  <c:v>0</c:v>
                </c:pt>
                <c:pt idx="2" c:formatCode="General">
                  <c:v>0</c:v>
                </c:pt>
                <c:pt idx="3" c:formatCode="General">
                  <c:v>0</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manualLayout>
          <c:xMode val="edge"/>
          <c:yMode val="edge"/>
          <c:x val="0.0438125"/>
          <c:y val="0.9395"/>
        </c:manualLayout>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支出决算占比</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0.996</c:v>
                </c:pt>
                <c:pt idx="1">
                  <c:v>0.004</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收入决算统计表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收入</c:v>
                </c:pt>
              </c:strCache>
            </c:strRef>
          </c:tx>
          <c:spPr>
            <a:solidFill>
              <a:schemeClr val="accent1"/>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445.13</c:v>
                </c:pt>
                <c:pt idx="1">
                  <c:v>305.89</c:v>
                </c:pt>
              </c:numCache>
            </c:numRef>
          </c:val>
        </c:ser>
        <c:dLbls>
          <c:showLegendKey val="false"/>
          <c:showVal val="false"/>
          <c:showCatName val="false"/>
          <c:showSerName val="false"/>
          <c:showPercent val="false"/>
          <c:showBubbleSize val="false"/>
        </c:dLbls>
        <c:gapWidth val="219"/>
        <c:overlap val="-27"/>
        <c:axId val="10693669"/>
        <c:axId val="521927727"/>
      </c:barChart>
      <c:lineChart>
        <c:grouping val="standard"/>
        <c:varyColors val="false"/>
        <c:ser>
          <c:idx val="1"/>
          <c:order val="1"/>
          <c:tx>
            <c:strRef>
              <c:f>Sheet1!$C$1</c:f>
              <c:strCache>
                <c:ptCount val="1"/>
                <c:pt idx="0">
                  <c:v>支出</c:v>
                </c:pt>
              </c:strCache>
            </c:strRef>
          </c:tx>
          <c:spPr>
            <a:ln w="28575" cap="rnd">
              <a:solidFill>
                <a:schemeClr val="accent2"/>
              </a:solidFill>
              <a:round/>
            </a:ln>
            <a:effectLst/>
          </c:spPr>
          <c:marker>
            <c:symbol val="none"/>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Sheet1!$C$2:$C$3</c:f>
              <c:numCache>
                <c:formatCode>General</c:formatCode>
                <c:ptCount val="2"/>
                <c:pt idx="0">
                  <c:v>445.13</c:v>
                </c:pt>
                <c:pt idx="1">
                  <c:v>305.89</c:v>
                </c:pt>
              </c:numCache>
            </c:numRef>
          </c:val>
          <c:smooth val="false"/>
        </c:ser>
        <c:dLbls>
          <c:showLegendKey val="false"/>
          <c:showVal val="true"/>
          <c:showCatName val="false"/>
          <c:showSerName val="false"/>
          <c:showPercent val="false"/>
          <c:showBubbleSize val="false"/>
        </c:dLbls>
        <c:marker val="false"/>
        <c:smooth val="false"/>
        <c:axId val="10693669"/>
        <c:axId val="521927727"/>
      </c:lineChart>
      <c:catAx>
        <c:axId val="106936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21927727"/>
        <c:crosses val="autoZero"/>
        <c:auto val="true"/>
        <c:lblAlgn val="ctr"/>
        <c:lblOffset val="100"/>
        <c:noMultiLvlLbl val="false"/>
      </c:catAx>
      <c:valAx>
        <c:axId val="521927727"/>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9366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true"/>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一般公共预算财政拨款支出决算统计表</a:t>
            </a:r>
          </a:p>
        </c:rich>
      </c:tx>
      <c:layout/>
      <c:overlay val="false"/>
      <c:spPr>
        <a:noFill/>
        <a:ln>
          <a:noFill/>
        </a:ln>
        <a:effectLst/>
      </c:spPr>
    </c:title>
    <c:autoTitleDeleted val="false"/>
    <c:plotArea>
      <c:layout/>
      <c:barChart>
        <c:barDir val="col"/>
        <c:grouping val="clustered"/>
        <c:varyColors val="false"/>
        <c:ser>
          <c:idx val="0"/>
          <c:order val="0"/>
          <c:tx>
            <c:strRef>
              <c:f>Sheet1!$B$1</c:f>
              <c:strCache>
                <c:ptCount val="1"/>
                <c:pt idx="0">
                  <c:v>一般公共预算财政拨款支出决算</c:v>
                </c:pt>
              </c:strCache>
            </c:strRef>
          </c:tx>
          <c:spPr>
            <a:solidFill>
              <a:schemeClr val="accent1"/>
            </a:solidFill>
            <a:ln>
              <a:noFill/>
            </a:ln>
            <a:effectLst/>
          </c:spPr>
          <c:invertIfNegative val="false"/>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Sheet1!$A$2:$A$3</c:f>
              <c:strCache>
                <c:ptCount val="2"/>
                <c:pt idx="0">
                  <c:v>2020年</c:v>
                </c:pt>
                <c:pt idx="1">
                  <c:v>2021年</c:v>
                </c:pt>
              </c:strCache>
            </c:strRef>
          </c:cat>
          <c:val>
            <c:numRef>
              <c:f>Sheet1!$B$2:$B$3</c:f>
              <c:numCache>
                <c:formatCode>General</c:formatCode>
                <c:ptCount val="2"/>
                <c:pt idx="0">
                  <c:v>445.13</c:v>
                </c:pt>
                <c:pt idx="1">
                  <c:v>305.89</c:v>
                </c:pt>
              </c:numCache>
            </c:numRef>
          </c:val>
        </c:ser>
        <c:dLbls>
          <c:showLegendKey val="false"/>
          <c:showVal val="false"/>
          <c:showCatName val="false"/>
          <c:showSerName val="false"/>
          <c:showPercent val="false"/>
          <c:showBubbleSize val="false"/>
        </c:dLbls>
        <c:gapWidth val="219"/>
        <c:overlap val="-27"/>
        <c:axId val="10693669"/>
        <c:axId val="521927727"/>
      </c:barChart>
      <c:lineChart>
        <c:grouping val="standard"/>
        <c:varyColors val="false"/>
        <c:dLbls>
          <c:showLegendKey val="false"/>
          <c:showVal val="true"/>
          <c:showCatName val="false"/>
          <c:showSerName val="false"/>
          <c:showPercent val="false"/>
          <c:showBubbleSize val="false"/>
        </c:dLbls>
        <c:marker val="false"/>
        <c:smooth val="false"/>
        <c:axId val="10693669"/>
        <c:axId val="521927727"/>
        <c:extLst>
          <c:ext xmlns:c15="http://schemas.microsoft.com/office/drawing/2012/chart" uri="{02D57815-91ED-43cb-92C2-25804820EDAC}">
            <c15:filteredLineSeries>
              <c15:ser>
                <c:idx val="1"/>
                <c:order val="1"/>
                <c:tx>
                  <c:strRef>
                    <c:extLst>
                      <c:ext uri="{02D57815-91ED-43cb-92C2-25804820EDAC}">
                        <c15:formulaRef>
                          <c15:sqref>Sheet1!#REF!</c15:sqref>
                        </c15:formulaRef>
                      </c:ext>
                    </c:extLst>
                    <c:strCache>
                      <c:ptCount val="1"/>
                      <c:pt idx="0">
                        <c:v/>
                      </c:pt>
                    </c:strCache>
                  </c:strRef>
                </c:tx>
                <c:spPr>
                  <a:ln w="28575" cap="rnd">
                    <a:solidFill>
                      <a:schemeClr val="accent2"/>
                    </a:solidFill>
                    <a:round/>
                  </a:ln>
                  <a:effectLst/>
                </c:spPr>
                <c:marker>
                  <c:symbol val="none"/>
                </c:marker>
                <c:dLbls>
                  <c:numFmt formatCode="General" sourceLinked="true"/>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r"/>
                  <c:showLegendKey val="false"/>
                  <c:showVal val="true"/>
                  <c:showCatName val="false"/>
                  <c:showSerName val="false"/>
                  <c:showPercent val="false"/>
                  <c:showBubbleSize val="false"/>
                  <c:showLeaderLines val="fals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numRef>
                    <c:extLst>
                      <c:ext uri="{02D57815-91ED-43cb-92C2-25804820EDAC}">
                        <c15:fullRef>
                          <c15:sqref/>
                        </c15:fullRef>
                        <c15:formulaRef>
                          <c15:sqref>Sheet1!$A$2:$A$3</c15:sqref>
                        </c15:formulaRef>
                      </c:ext>
                    </c:extLst>
                    <c:numCache>
                      <c:ptCount val="0"/>
                    </c:numCache>
                  </c:numRef>
                </c:cat>
                <c:val>
                  <c:numRef>
                    <c:extLst>
                      <c:ext uri="{02D57815-91ED-43cb-92C2-25804820EDAC}">
                        <c15:formulaRef>
                          <c15:sqref>Sheet1!#REF!</c15:sqref>
                        </c15:formulaRef>
                      </c:ext>
                    </c:extLst>
                    <c:numCache>
                      <c:formatCode>General</c:formatCode>
                      <c:ptCount val="1"/>
                      <c:pt idx="0">
                        <c:v>1</c:v>
                      </c:pt>
                    </c:numCache>
                  </c:numRef>
                </c:val>
                <c:smooth val="false"/>
              </c15:ser>
            </c15:filteredLineSeries>
          </c:ext>
        </c:extLst>
      </c:lineChart>
      <c:catAx>
        <c:axId val="10693669"/>
        <c:scaling>
          <c:orientation val="minMax"/>
        </c:scaling>
        <c:delete val="false"/>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521927727"/>
        <c:crosses val="autoZero"/>
        <c:auto val="true"/>
        <c:lblAlgn val="ctr"/>
        <c:lblOffset val="100"/>
        <c:noMultiLvlLbl val="false"/>
      </c:catAx>
      <c:valAx>
        <c:axId val="521927727"/>
        <c:scaling>
          <c:orientation val="minMax"/>
        </c:scaling>
        <c:delete val="false"/>
        <c:axPos val="l"/>
        <c:majorGridlines>
          <c:spPr>
            <a:ln w="9525" cap="flat" cmpd="sng" algn="ctr">
              <a:solidFill>
                <a:schemeClr val="tx1">
                  <a:lumMod val="15000"/>
                  <a:lumOff val="85000"/>
                </a:schemeClr>
              </a:solidFill>
              <a:round/>
            </a:ln>
            <a:effectLst/>
          </c:spPr>
        </c:majorGridlines>
        <c:numFmt formatCode="General" sourceLinked="true"/>
        <c:majorTickMark val="none"/>
        <c:minorTickMark val="none"/>
        <c:tickLblPos val="nextTo"/>
        <c:spPr>
          <a:noFill/>
          <a:ln>
            <a:noFill/>
          </a:ln>
          <a:effectLst/>
        </c:spPr>
        <c:txPr>
          <a:bodyPr rot="-6000000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crossAx val="10693669"/>
        <c:crosses val="autoZero"/>
        <c:crossBetween val="between"/>
      </c:valAx>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支出结构占比</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Pt>
            <c:idx val="2"/>
            <c:bubble3D val="false"/>
            <c:spPr>
              <a:solidFill>
                <a:schemeClr val="accent3"/>
              </a:solidFill>
              <a:ln w="19050">
                <a:solidFill>
                  <a:schemeClr val="lt1"/>
                </a:solidFill>
              </a:ln>
              <a:effectLst/>
            </c:spPr>
          </c:dPt>
          <c:dPt>
            <c:idx val="3"/>
            <c:bubble3D val="false"/>
            <c:spPr>
              <a:solidFill>
                <a:schemeClr val="accent4"/>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一般公共服务（类）</c:v>
                </c:pt>
                <c:pt idx="1">
                  <c:v>社会保障和就业（类）</c:v>
                </c:pt>
                <c:pt idx="2">
                  <c:v>卫生健康（类）</c:v>
                </c:pt>
                <c:pt idx="3">
                  <c:v>住房保障（类）</c:v>
                </c:pt>
              </c:strCache>
            </c:strRef>
          </c:cat>
          <c:val>
            <c:numRef>
              <c:f>Sheet1!$B$2:$B$5</c:f>
              <c:numCache>
                <c:formatCode>0.00%</c:formatCode>
                <c:ptCount val="4"/>
                <c:pt idx="0">
                  <c:v>0.813</c:v>
                </c:pt>
                <c:pt idx="1">
                  <c:v>0.086</c:v>
                </c:pt>
                <c:pt idx="2">
                  <c:v>0.043</c:v>
                </c:pt>
                <c:pt idx="3">
                  <c:v>0.058</c:v>
                </c:pt>
              </c:numCache>
            </c:numRef>
          </c:val>
        </c:ser>
        <c:dLbls>
          <c:showLegendKey val="false"/>
          <c:showVal val="fals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false"/>
  <c:lang val="zh-CN"/>
  <c:roundedCorners val="false"/>
  <mc:AlternateContent xmlns:mc="http://schemas.openxmlformats.org/markup-compatibility/2006">
    <mc:Choice xmlns:c14="http://schemas.microsoft.com/office/drawing/2007/8/2/chart" Requires="c14">
      <c14:style val="102"/>
    </mc:Choice>
    <mc:Fallback>
      <c:style val="2"/>
    </mc:Fallback>
  </mc:AlternateContent>
  <c:chart>
    <c:title>
      <c:layout/>
      <c:overlay val="false"/>
      <c:spPr>
        <a:noFill/>
        <a:ln>
          <a:noFill/>
        </a:ln>
        <a:effectLst/>
      </c:spPr>
      <c:txPr>
        <a:bodyPr rot="0" spcFirstLastPara="0" vertOverflow="ellipsis" vert="horz" wrap="square" anchor="ctr" anchorCtr="true"/>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false"/>
    <c:plotArea>
      <c:layout/>
      <c:pieChart>
        <c:varyColors val="true"/>
        <c:ser>
          <c:idx val="0"/>
          <c:order val="0"/>
          <c:tx>
            <c:strRef>
              <c:f>Sheet1!$B$1</c:f>
              <c:strCache>
                <c:ptCount val="1"/>
                <c:pt idx="0">
                  <c:v>“三公”经费占比</c:v>
                </c:pt>
              </c:strCache>
            </c:strRef>
          </c:tx>
          <c:spPr/>
          <c:explosion val="0"/>
          <c:dPt>
            <c:idx val="0"/>
            <c:bubble3D val="false"/>
            <c:spPr>
              <a:solidFill>
                <a:schemeClr val="accent1"/>
              </a:solidFill>
              <a:ln w="19050">
                <a:solidFill>
                  <a:schemeClr val="lt1"/>
                </a:solidFill>
              </a:ln>
              <a:effectLst/>
            </c:spPr>
          </c:dPt>
          <c:dPt>
            <c:idx val="1"/>
            <c:bubble3D val="false"/>
            <c:spPr>
              <a:solidFill>
                <a:schemeClr val="accent2"/>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true"/>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false"/>
            <c:showVal val="true"/>
            <c:showCatName val="false"/>
            <c:showSerName val="false"/>
            <c:showPercent val="false"/>
            <c:showBubbleSize val="false"/>
            <c:showLeaderLines val="true"/>
            <c:extLst>
              <c:ext xmlns:c15="http://schemas.microsoft.com/office/drawing/2012/chart" uri="{CE6537A1-D6FC-4f65-9D91-7224C49458BB}">
                <c15:layout/>
                <c15:showLeaderLines val="true"/>
                <c15:leaderLines>
                  <c:spPr>
                    <a:ln w="9525" cap="flat" cmpd="sng" algn="ctr">
                      <a:solidFill>
                        <a:schemeClr val="tx1">
                          <a:lumMod val="35000"/>
                          <a:lumOff val="65000"/>
                        </a:schemeClr>
                      </a:solidFill>
                      <a:round/>
                    </a:ln>
                    <a:effectLst/>
                  </c:spPr>
                </c15:leaderLines>
              </c:ext>
            </c:extLst>
          </c:dLbls>
          <c:cat>
            <c:strRef>
              <c:extLst>
                <c:ext xmlns:c15="http://schemas.microsoft.com/office/drawing/2012/chart" uri="{02D57815-91ED-43cb-92C2-25804820EDAC}">
                  <c15:fullRef>
                    <c15:sqref>Sheet1!$A$2:$A$5</c15:sqref>
                  </c15:fullRef>
                </c:ext>
              </c:extLst>
              <c:f>Sheet1!$A$2:$A$3</c:f>
              <c:strCache>
                <c:ptCount val="2"/>
                <c:pt idx="0">
                  <c:v>公务用车购置及运行维护费支出</c:v>
                </c:pt>
                <c:pt idx="1">
                  <c:v>公务接待费支出</c:v>
                </c:pt>
              </c:strCache>
            </c:strRef>
          </c:cat>
          <c:val>
            <c:numRef>
              <c:extLst>
                <c:ext xmlns:c15="http://schemas.microsoft.com/office/drawing/2012/chart" uri="{02D57815-91ED-43cb-92C2-25804820EDAC}">
                  <c15:fullRef>
                    <c15:sqref>Sheet1!$B$2:$B$5</c15:sqref>
                  </c15:fullRef>
                </c:ext>
              </c:extLst>
              <c:f>Sheet1!$B$2:$B$3</c:f>
              <c:numCache>
                <c:formatCode>0%</c:formatCode>
                <c:ptCount val="2"/>
                <c:pt idx="0">
                  <c:v>0.73</c:v>
                </c:pt>
                <c:pt idx="1">
                  <c:v>0.27</c:v>
                </c:pt>
              </c:numCache>
            </c:numRef>
          </c:val>
        </c:ser>
        <c:dLbls>
          <c:showLegendKey val="false"/>
          <c:showVal val="true"/>
          <c:showCatName val="false"/>
          <c:showSerName val="false"/>
          <c:showPercent val="false"/>
          <c:showBubbleSize val="false"/>
          <c:showLeaderLines val="true"/>
        </c:dLbls>
        <c:firstSliceAng val="0"/>
      </c:pieChart>
      <c:spPr>
        <a:noFill/>
        <a:ln>
          <a:noFill/>
        </a:ln>
        <a:effectLst/>
      </c:spPr>
    </c:plotArea>
    <c:legend>
      <c:legendPos val="b"/>
      <c:layout/>
      <c:overlay val="false"/>
      <c:spPr>
        <a:noFill/>
        <a:ln>
          <a:noFill/>
        </a:ln>
        <a:effectLst/>
      </c:spPr>
      <c:txPr>
        <a:bodyPr rot="0" spcFirstLastPara="0" vertOverflow="ellipsis" vert="horz" wrap="square" anchor="ctr" anchorCtr="true"/>
        <a:lstStyle/>
        <a:p>
          <a:pPr>
            <a:defRPr lang="zh-CN" sz="900" b="0" i="0" u="none" strike="noStrike" kern="1200" baseline="0">
              <a:solidFill>
                <a:schemeClr val="tx1">
                  <a:lumMod val="65000"/>
                  <a:lumOff val="35000"/>
                </a:schemeClr>
              </a:solidFill>
              <a:latin typeface="+mn-lt"/>
              <a:ea typeface="+mn-ea"/>
              <a:cs typeface="+mn-cs"/>
            </a:defRPr>
          </a:pPr>
        </a:p>
      </c:txPr>
    </c:legend>
    <c:plotVisOnly val="true"/>
    <c:dispBlanksAs val="gap"/>
    <c:showDLblsOverMax val="false"/>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false"/>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true">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8652</Words>
  <Characters>9181</Characters>
  <Lines>596</Lines>
  <Paragraphs>286</Paragraphs>
  <TotalTime>18</TotalTime>
  <ScaleCrop>false</ScaleCrop>
  <LinksUpToDate>false</LinksUpToDate>
  <CharactersWithSpaces>9276</CharactersWithSpaces>
  <Application>WPS Office_11.1.0.10161_F1E327BC-269C-435d-A152-05C5408002CA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2021-08-07T01:38:00Z</dcterms:created>
  <dc:creator>曹颖</dc:creator>
  <cp:lastModifiedBy>军魂不变</cp:lastModifiedBy>
  <cp:lastPrinted>2021-07-29T19:56:00Z</cp:lastPrinted>
  <dcterms:modified xsi:type="dcterms:W3CDTF">2022-09-27T11:05:53Z</dcterms:modified>
  <dc:title>阿坝州部门决算说明</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169623F6A0C64950A7F6173BCBACBD90</vt:lpwstr>
  </property>
</Properties>
</file>