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600" w:lineRule="exact"/>
        <w:jc w:val="center"/>
        <w:outlineLvl w:val="0"/>
        <w:rPr>
          <w:rFonts w:ascii="方正小标宋简体" w:hAnsi="宋体" w:eastAsia="方正小标宋简体"/>
          <w:color w:val="000000"/>
          <w:sz w:val="72"/>
          <w:szCs w:val="72"/>
        </w:rPr>
      </w:pPr>
      <w:bookmarkStart w:id="0" w:name="_Toc15377196"/>
      <w:bookmarkStart w:id="1" w:name="_Toc15396599"/>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2" w:name="_Toc15377193"/>
      <w:bookmarkStart w:id="3" w:name="_Toc15378441"/>
      <w:bookmarkStart w:id="4" w:name="_Toc15377425"/>
      <w:bookmarkStart w:id="5" w:name="_Toc15396475"/>
      <w:bookmarkStart w:id="6" w:name="_Toc15396597"/>
      <w:r>
        <w:rPr>
          <w:rFonts w:ascii="黑体" w:hAnsi="黑体" w:eastAsia="黑体"/>
          <w:color w:val="000000"/>
          <w:sz w:val="72"/>
          <w:szCs w:val="72"/>
        </w:rPr>
        <w:t>20</w:t>
      </w:r>
      <w:r>
        <w:rPr>
          <w:rFonts w:hint="eastAsia" w:ascii="黑体" w:hAnsi="黑体" w:eastAsia="黑体"/>
          <w:color w:val="000000"/>
          <w:sz w:val="72"/>
          <w:szCs w:val="72"/>
          <w:lang w:val="en-US" w:eastAsia="zh-CN"/>
        </w:rPr>
        <w:t>20</w:t>
      </w:r>
      <w:r>
        <w:rPr>
          <w:rFonts w:hint="eastAsia" w:ascii="方正小标宋简体" w:hAnsi="宋体" w:eastAsia="方正小标宋简体"/>
          <w:color w:val="000000"/>
          <w:sz w:val="72"/>
          <w:szCs w:val="72"/>
        </w:rPr>
        <w:t>年度</w:t>
      </w:r>
      <w:bookmarkEnd w:id="2"/>
      <w:bookmarkEnd w:id="3"/>
      <w:bookmarkEnd w:id="4"/>
      <w:bookmarkEnd w:id="5"/>
      <w:bookmarkEnd w:id="6"/>
    </w:p>
    <w:p>
      <w:pPr>
        <w:adjustRightInd w:val="0"/>
        <w:snapToGrid w:val="0"/>
        <w:spacing w:line="360" w:lineRule="auto"/>
        <w:jc w:val="center"/>
        <w:outlineLvl w:val="0"/>
        <w:rPr>
          <w:rFonts w:hint="eastAsia" w:ascii="方正小标宋简体" w:hAnsi="宋体" w:eastAsia="方正小标宋简体"/>
          <w:color w:val="000000"/>
          <w:sz w:val="72"/>
          <w:szCs w:val="72"/>
          <w:lang w:eastAsia="zh-CN"/>
        </w:rPr>
      </w:pPr>
      <w:bookmarkStart w:id="7" w:name="_Toc15378442"/>
      <w:bookmarkStart w:id="8" w:name="_Toc15377426"/>
      <w:bookmarkStart w:id="9" w:name="_Toc15377194"/>
      <w:bookmarkStart w:id="10" w:name="_Toc15396598"/>
      <w:bookmarkStart w:id="11" w:name="_Toc15396476"/>
      <w:r>
        <w:rPr>
          <w:rFonts w:hint="eastAsia" w:ascii="方正小标宋简体" w:hAnsi="宋体" w:eastAsia="方正小标宋简体"/>
          <w:color w:val="000000"/>
          <w:sz w:val="72"/>
          <w:szCs w:val="72"/>
        </w:rPr>
        <w:t>四川省阿坝州</w:t>
      </w:r>
      <w:bookmarkStart w:id="12" w:name="_Toc15306268"/>
      <w:r>
        <w:rPr>
          <w:rFonts w:hint="eastAsia" w:ascii="方正小标宋简体" w:hAnsi="宋体" w:eastAsia="方正小标宋简体"/>
          <w:color w:val="000000"/>
          <w:sz w:val="72"/>
          <w:szCs w:val="72"/>
          <w:lang w:eastAsia="zh-CN"/>
        </w:rPr>
        <w:t>茂县信访局</w:t>
      </w:r>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lang w:eastAsia="zh-CN"/>
        </w:rPr>
        <w:t>部门</w:t>
      </w:r>
      <w:r>
        <w:rPr>
          <w:rFonts w:hint="eastAsia" w:ascii="方正小标宋简体" w:hAnsi="宋体" w:eastAsia="方正小标宋简体"/>
          <w:color w:val="000000"/>
          <w:sz w:val="72"/>
          <w:szCs w:val="72"/>
        </w:rPr>
        <w:t>决算</w:t>
      </w:r>
      <w:bookmarkEnd w:id="7"/>
      <w:bookmarkEnd w:id="8"/>
      <w:bookmarkEnd w:id="9"/>
      <w:bookmarkEnd w:id="10"/>
      <w:bookmarkEnd w:id="11"/>
      <w:bookmarkEnd w:id="12"/>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jc w:val="left"/>
        <w:rPr>
          <w:rFonts w:eastAsia="仿宋_GB2312"/>
          <w:sz w:val="32"/>
          <w:szCs w:val="32"/>
        </w:rPr>
      </w:pPr>
      <w:r>
        <w:rPr>
          <w:rFonts w:hint="eastAsia" w:ascii="仿宋_GB2312" w:hAnsi="Calibri" w:eastAsia="仿宋_GB2312" w:cs="仿宋_GB2312"/>
          <w:sz w:val="32"/>
          <w:szCs w:val="32"/>
          <w:lang w:val="en-US" w:eastAsia="zh-CN"/>
        </w:rPr>
        <w:t xml:space="preserve">  </w:t>
      </w:r>
      <w:r>
        <w:rPr>
          <w:rFonts w:hint="eastAsia" w:ascii="仿宋_GB2312" w:hAnsi="Calibri" w:eastAsia="仿宋_GB2312" w:cs="仿宋_GB2312"/>
          <w:sz w:val="32"/>
          <w:szCs w:val="32"/>
        </w:rPr>
        <w:t>保密审查情况：</w:t>
      </w:r>
    </w:p>
    <w:p>
      <w:pPr>
        <w:autoSpaceDE w:val="0"/>
        <w:autoSpaceDN w:val="0"/>
        <w:adjustRightInd w:val="0"/>
        <w:jc w:val="left"/>
        <w:rPr>
          <w:rFonts w:eastAsia="仿宋_GB2312"/>
          <w:sz w:val="32"/>
          <w:szCs w:val="32"/>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部门主要负责人审签情况：</w:t>
      </w:r>
    </w:p>
    <w:p>
      <w:pPr>
        <w:widowControl/>
        <w:jc w:val="left"/>
        <w:rPr>
          <w:rFonts w:ascii="方正小标宋简体" w:hAnsi="宋体" w:eastAsia="方正小标宋简体"/>
          <w:sz w:val="36"/>
          <w:szCs w:val="36"/>
        </w:rPr>
      </w:pPr>
    </w:p>
    <w:p>
      <w:pPr>
        <w:widowControl/>
        <w:jc w:val="center"/>
        <w:rPr>
          <w:rFonts w:hint="eastAsia"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hint="eastAsia" w:ascii="黑体" w:hAnsi="黑体" w:eastAsia="黑体"/>
          <w:color w:val="000000"/>
          <w:sz w:val="48"/>
          <w:szCs w:val="48"/>
          <w:lang w:val="en-US" w:eastAsia="zh-CN"/>
        </w:rPr>
      </w:pPr>
    </w:p>
    <w:p>
      <w:pPr>
        <w:pStyle w:val="10"/>
        <w:keepNext w:val="0"/>
        <w:keepLines w:val="0"/>
        <w:pageBreakBefore w:val="0"/>
        <w:widowControl w:val="0"/>
        <w:kinsoku/>
        <w:wordWrap/>
        <w:overflowPunct/>
        <w:topLinePunct w:val="0"/>
        <w:autoSpaceDE/>
        <w:autoSpaceDN/>
        <w:bidi w:val="0"/>
        <w:adjustRightInd w:val="0"/>
        <w:snapToGrid w:val="0"/>
        <w:spacing w:before="0" w:line="520" w:lineRule="exact"/>
        <w:ind w:right="0" w:rightChars="0"/>
        <w:jc w:val="left"/>
        <w:textAlignment w:val="auto"/>
        <w:outlineLvl w:val="9"/>
        <w:rPr>
          <w:rFonts w:hint="eastAsia" w:ascii="仿宋" w:hAnsi="仿宋" w:eastAsia="仿宋" w:cs="Times New Roman"/>
          <w:bCs/>
          <w:color w:val="000000"/>
          <w:kern w:val="0"/>
          <w:sz w:val="28"/>
          <w:szCs w:val="28"/>
          <w:lang w:val="en-US" w:eastAsia="zh-CN" w:bidi="ar-SA"/>
        </w:rPr>
      </w:pPr>
      <w:r>
        <w:rPr>
          <w:rFonts w:hint="eastAsia" w:ascii="仿宋" w:hAnsi="仿宋" w:eastAsia="仿宋" w:cs="Times New Roman"/>
          <w:bCs/>
          <w:color w:val="000000"/>
          <w:kern w:val="0"/>
          <w:sz w:val="28"/>
          <w:szCs w:val="28"/>
          <w:lang w:val="en-US" w:eastAsia="zh-CN" w:bidi="ar-SA"/>
        </w:rPr>
        <w:t>第一部分 部门概况</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rightChars="0"/>
        <w:jc w:val="left"/>
        <w:textAlignment w:val="auto"/>
        <w:outlineLvl w:val="9"/>
        <w:rPr>
          <w:rFonts w:hint="eastAsia" w:ascii="仿宋" w:hAnsi="仿宋" w:eastAsia="仿宋" w:cs="Times New Roman"/>
          <w:bCs/>
          <w:color w:val="000000"/>
          <w:kern w:val="0"/>
          <w:sz w:val="28"/>
          <w:szCs w:val="28"/>
          <w:lang w:val="en-US" w:eastAsia="zh-CN" w:bidi="ar-SA"/>
        </w:rPr>
      </w:pPr>
      <w:r>
        <w:rPr>
          <w:rFonts w:hint="eastAsia" w:ascii="仿宋" w:hAnsi="仿宋" w:eastAsia="仿宋" w:cs="Times New Roman"/>
          <w:bCs/>
          <w:color w:val="000000"/>
          <w:kern w:val="0"/>
          <w:sz w:val="28"/>
          <w:szCs w:val="28"/>
          <w:lang w:val="en-US" w:eastAsia="zh-CN" w:bidi="ar-SA"/>
        </w:rPr>
        <w:t xml:space="preserve"> 一、基本职能及主要工作...........................4</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rightChars="0"/>
        <w:jc w:val="left"/>
        <w:textAlignment w:val="auto"/>
        <w:outlineLvl w:val="9"/>
        <w:rPr>
          <w:rFonts w:hint="eastAsia" w:ascii="仿宋" w:hAnsi="仿宋" w:eastAsia="仿宋" w:cs="Times New Roman"/>
          <w:bCs/>
          <w:color w:val="000000"/>
          <w:kern w:val="0"/>
          <w:sz w:val="28"/>
          <w:szCs w:val="28"/>
          <w:lang w:val="en-US" w:eastAsia="zh-CN" w:bidi="ar-SA"/>
        </w:rPr>
      </w:pPr>
      <w:r>
        <w:rPr>
          <w:rFonts w:hint="eastAsia" w:ascii="仿宋" w:hAnsi="仿宋" w:eastAsia="仿宋" w:cs="Times New Roman"/>
          <w:bCs/>
          <w:color w:val="000000"/>
          <w:kern w:val="0"/>
          <w:sz w:val="28"/>
          <w:szCs w:val="28"/>
          <w:lang w:val="en-US" w:eastAsia="zh-CN" w:bidi="ar-SA"/>
        </w:rPr>
        <w:t xml:space="preserve"> 二、机构设置.....................................6</w:t>
      </w:r>
    </w:p>
    <w:p>
      <w:pPr>
        <w:pStyle w:val="10"/>
        <w:keepNext w:val="0"/>
        <w:keepLines w:val="0"/>
        <w:pageBreakBefore w:val="0"/>
        <w:widowControl w:val="0"/>
        <w:kinsoku/>
        <w:wordWrap/>
        <w:overflowPunct/>
        <w:topLinePunct w:val="0"/>
        <w:autoSpaceDE/>
        <w:autoSpaceDN/>
        <w:bidi w:val="0"/>
        <w:adjustRightInd w:val="0"/>
        <w:snapToGrid w:val="0"/>
        <w:spacing w:before="0" w:line="520" w:lineRule="exact"/>
        <w:ind w:right="0" w:rightChars="0"/>
        <w:jc w:val="left"/>
        <w:textAlignment w:val="auto"/>
        <w:outlineLvl w:val="9"/>
        <w:rPr>
          <w:rFonts w:hint="eastAsia" w:ascii="仿宋" w:hAnsi="仿宋" w:eastAsia="仿宋" w:cs="Times New Roman"/>
          <w:bCs/>
          <w:color w:val="000000"/>
          <w:kern w:val="0"/>
          <w:sz w:val="28"/>
          <w:szCs w:val="28"/>
          <w:lang w:val="en-US" w:eastAsia="zh-CN" w:bidi="ar-SA"/>
        </w:rPr>
      </w:pPr>
      <w:r>
        <w:rPr>
          <w:rFonts w:hint="eastAsia" w:ascii="仿宋" w:hAnsi="仿宋" w:eastAsia="仿宋" w:cs="Times New Roman"/>
          <w:bCs/>
          <w:color w:val="000000"/>
          <w:kern w:val="0"/>
          <w:sz w:val="28"/>
          <w:szCs w:val="28"/>
          <w:lang w:val="en-US" w:eastAsia="zh-CN" w:bidi="ar-SA"/>
        </w:rPr>
        <w:t>第二部分</w:t>
      </w:r>
      <w:r>
        <w:rPr>
          <w:rFonts w:hint="eastAsia" w:cs="Times New Roman"/>
          <w:bCs/>
          <w:color w:val="000000"/>
          <w:kern w:val="0"/>
          <w:sz w:val="28"/>
          <w:szCs w:val="28"/>
          <w:lang w:val="en-US" w:eastAsia="zh-CN" w:bidi="ar-SA"/>
        </w:rPr>
        <w:t xml:space="preserve"> </w:t>
      </w:r>
      <w:r>
        <w:rPr>
          <w:rFonts w:hint="eastAsia" w:ascii="仿宋" w:hAnsi="仿宋" w:eastAsia="仿宋" w:cs="Times New Roman"/>
          <w:bCs/>
          <w:color w:val="000000"/>
          <w:kern w:val="0"/>
          <w:sz w:val="28"/>
          <w:szCs w:val="28"/>
          <w:lang w:val="en-US" w:eastAsia="zh-CN" w:bidi="ar-SA"/>
        </w:rPr>
        <w:t>部门决算情况说明</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rightChars="0"/>
        <w:jc w:val="left"/>
        <w:textAlignment w:val="auto"/>
        <w:outlineLvl w:val="9"/>
        <w:rPr>
          <w:rFonts w:hint="eastAsia" w:ascii="仿宋" w:hAnsi="仿宋" w:eastAsia="仿宋" w:cs="Times New Roman"/>
          <w:bCs/>
          <w:color w:val="000000"/>
          <w:kern w:val="0"/>
          <w:sz w:val="28"/>
          <w:szCs w:val="28"/>
          <w:lang w:val="en-US" w:eastAsia="zh-CN" w:bidi="ar-SA"/>
        </w:rPr>
      </w:pPr>
      <w:r>
        <w:rPr>
          <w:rFonts w:hint="eastAsia" w:ascii="仿宋" w:hAnsi="仿宋" w:eastAsia="仿宋" w:cs="Times New Roman"/>
          <w:bCs/>
          <w:color w:val="000000"/>
          <w:kern w:val="0"/>
          <w:sz w:val="28"/>
          <w:szCs w:val="28"/>
          <w:lang w:val="en-US" w:eastAsia="zh-CN" w:bidi="ar-SA"/>
        </w:rPr>
        <w:t xml:space="preserve"> 一、收入支出决算总体情况说明.....................7</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rightChars="0"/>
        <w:jc w:val="left"/>
        <w:textAlignment w:val="auto"/>
        <w:outlineLvl w:val="9"/>
        <w:rPr>
          <w:rFonts w:hint="eastAsia" w:ascii="仿宋" w:hAnsi="仿宋" w:eastAsia="仿宋" w:cs="Times New Roman"/>
          <w:bCs/>
          <w:color w:val="000000"/>
          <w:kern w:val="0"/>
          <w:sz w:val="28"/>
          <w:szCs w:val="28"/>
          <w:lang w:val="en-US" w:eastAsia="zh-CN" w:bidi="ar-SA"/>
        </w:rPr>
      </w:pPr>
      <w:r>
        <w:rPr>
          <w:rFonts w:hint="eastAsia" w:ascii="仿宋" w:hAnsi="仿宋" w:eastAsia="仿宋" w:cs="Times New Roman"/>
          <w:bCs/>
          <w:color w:val="000000"/>
          <w:kern w:val="0"/>
          <w:sz w:val="28"/>
          <w:szCs w:val="28"/>
          <w:lang w:val="en-US" w:eastAsia="zh-CN" w:bidi="ar-SA"/>
        </w:rPr>
        <w:t xml:space="preserve"> 二、收入决算情况说明.............................7</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rightChars="0"/>
        <w:jc w:val="left"/>
        <w:textAlignment w:val="auto"/>
        <w:outlineLvl w:val="9"/>
        <w:rPr>
          <w:rFonts w:hint="eastAsia" w:ascii="仿宋" w:hAnsi="仿宋" w:eastAsia="仿宋" w:cs="Times New Roman"/>
          <w:bCs/>
          <w:color w:val="000000"/>
          <w:kern w:val="0"/>
          <w:sz w:val="28"/>
          <w:szCs w:val="28"/>
          <w:lang w:val="en-US" w:eastAsia="zh-CN" w:bidi="ar-SA"/>
        </w:rPr>
      </w:pPr>
      <w:r>
        <w:rPr>
          <w:rFonts w:hint="eastAsia" w:ascii="仿宋" w:hAnsi="仿宋" w:eastAsia="仿宋" w:cs="Times New Roman"/>
          <w:bCs/>
          <w:color w:val="000000"/>
          <w:kern w:val="0"/>
          <w:sz w:val="28"/>
          <w:szCs w:val="28"/>
          <w:lang w:val="en-US" w:eastAsia="zh-CN" w:bidi="ar-SA"/>
        </w:rPr>
        <w:t xml:space="preserve"> 三、支出决算情况说明.............................8          </w:t>
      </w:r>
    </w:p>
    <w:p>
      <w:pPr>
        <w:pStyle w:val="11"/>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0" w:firstLineChars="0"/>
        <w:jc w:val="left"/>
        <w:textAlignment w:val="auto"/>
        <w:outlineLvl w:val="9"/>
        <w:rPr>
          <w:rFonts w:hint="eastAsia" w:ascii="仿宋" w:hAnsi="仿宋" w:eastAsia="仿宋" w:cs="Times New Roman"/>
          <w:bCs/>
          <w:color w:val="000000"/>
          <w:kern w:val="0"/>
          <w:sz w:val="28"/>
          <w:szCs w:val="28"/>
          <w:lang w:val="en-US" w:eastAsia="zh-CN" w:bidi="ar-SA"/>
        </w:rPr>
      </w:pPr>
      <w:r>
        <w:rPr>
          <w:rFonts w:hint="eastAsia" w:ascii="仿宋" w:hAnsi="仿宋" w:eastAsia="仿宋" w:cs="Times New Roman"/>
          <w:bCs/>
          <w:color w:val="000000"/>
          <w:kern w:val="0"/>
          <w:sz w:val="28"/>
          <w:szCs w:val="28"/>
          <w:lang w:val="en-US" w:eastAsia="zh-CN" w:bidi="ar-SA"/>
        </w:rPr>
        <w:t xml:space="preserve">    四、财政拨款收入支出决算总体情况说明.............8</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rightChars="0"/>
        <w:jc w:val="left"/>
        <w:textAlignment w:val="auto"/>
        <w:outlineLvl w:val="9"/>
        <w:rPr>
          <w:rFonts w:hint="eastAsia" w:ascii="仿宋" w:hAnsi="仿宋" w:eastAsia="仿宋" w:cs="Times New Roman"/>
          <w:bCs/>
          <w:color w:val="000000"/>
          <w:kern w:val="0"/>
          <w:sz w:val="28"/>
          <w:szCs w:val="28"/>
          <w:lang w:val="en-US" w:eastAsia="zh-CN" w:bidi="ar-SA"/>
        </w:rPr>
      </w:pPr>
      <w:r>
        <w:rPr>
          <w:rFonts w:hint="eastAsia" w:ascii="仿宋" w:hAnsi="仿宋" w:eastAsia="仿宋" w:cs="Times New Roman"/>
          <w:bCs/>
          <w:color w:val="000000"/>
          <w:kern w:val="0"/>
          <w:sz w:val="28"/>
          <w:szCs w:val="28"/>
          <w:lang w:val="en-US" w:eastAsia="zh-CN" w:bidi="ar-SA"/>
        </w:rPr>
        <w:t xml:space="preserve"> 五、一般公共预算财政拨款支出决算情况说明.........9                        </w:t>
      </w:r>
    </w:p>
    <w:p>
      <w:pPr>
        <w:pStyle w:val="11"/>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0" w:firstLineChars="0"/>
        <w:jc w:val="left"/>
        <w:textAlignment w:val="auto"/>
        <w:outlineLvl w:val="9"/>
        <w:rPr>
          <w:rFonts w:hint="eastAsia" w:ascii="仿宋" w:hAnsi="仿宋" w:eastAsia="仿宋" w:cs="Times New Roman"/>
          <w:bCs/>
          <w:color w:val="000000"/>
          <w:kern w:val="0"/>
          <w:sz w:val="28"/>
          <w:szCs w:val="28"/>
          <w:lang w:val="en-US" w:eastAsia="zh-CN" w:bidi="ar-SA"/>
        </w:rPr>
      </w:pPr>
      <w:r>
        <w:rPr>
          <w:rFonts w:hint="eastAsia" w:ascii="仿宋" w:hAnsi="仿宋" w:eastAsia="仿宋" w:cs="Times New Roman"/>
          <w:bCs/>
          <w:color w:val="000000"/>
          <w:kern w:val="0"/>
          <w:sz w:val="28"/>
          <w:szCs w:val="28"/>
          <w:lang w:val="en-US" w:eastAsia="zh-CN" w:bidi="ar-SA"/>
        </w:rPr>
        <w:t xml:space="preserve">    六、一般公共预算财政拨款基本支出决算情况说明.....11</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rightChars="0"/>
        <w:jc w:val="left"/>
        <w:textAlignment w:val="auto"/>
        <w:outlineLvl w:val="9"/>
        <w:rPr>
          <w:rFonts w:hint="eastAsia" w:ascii="仿宋" w:hAnsi="仿宋" w:eastAsia="仿宋" w:cs="Times New Roman"/>
          <w:bCs/>
          <w:color w:val="000000"/>
          <w:kern w:val="0"/>
          <w:sz w:val="28"/>
          <w:szCs w:val="28"/>
          <w:lang w:val="en-US" w:eastAsia="zh-CN" w:bidi="ar-SA"/>
        </w:rPr>
      </w:pPr>
      <w:r>
        <w:rPr>
          <w:rFonts w:hint="eastAsia" w:ascii="仿宋" w:hAnsi="仿宋" w:eastAsia="仿宋" w:cs="Times New Roman"/>
          <w:bCs/>
          <w:color w:val="000000"/>
          <w:kern w:val="0"/>
          <w:sz w:val="28"/>
          <w:szCs w:val="28"/>
          <w:lang w:val="en-US" w:eastAsia="zh-CN" w:bidi="ar-SA"/>
        </w:rPr>
        <w:t xml:space="preserve"> 七、“三公”经费财政拨款支出决算情况说明.........11  </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rightChars="0"/>
        <w:jc w:val="left"/>
        <w:textAlignment w:val="auto"/>
        <w:outlineLvl w:val="9"/>
        <w:rPr>
          <w:rFonts w:hint="eastAsia" w:ascii="仿宋" w:hAnsi="仿宋" w:eastAsia="仿宋" w:cs="Times New Roman"/>
          <w:bCs/>
          <w:color w:val="000000"/>
          <w:kern w:val="0"/>
          <w:sz w:val="28"/>
          <w:szCs w:val="28"/>
          <w:lang w:val="en-US" w:eastAsia="zh-CN" w:bidi="ar-SA"/>
        </w:rPr>
      </w:pPr>
      <w:r>
        <w:rPr>
          <w:rFonts w:hint="eastAsia" w:ascii="仿宋" w:hAnsi="仿宋" w:eastAsia="仿宋" w:cs="Times New Roman"/>
          <w:bCs/>
          <w:color w:val="000000"/>
          <w:kern w:val="0"/>
          <w:sz w:val="28"/>
          <w:szCs w:val="28"/>
          <w:lang w:val="en-US" w:eastAsia="zh-CN" w:bidi="ar-SA"/>
        </w:rPr>
        <w:t xml:space="preserve"> 八、政府性基金预算支出决算情况说明...............13</w:t>
      </w:r>
    </w:p>
    <w:p>
      <w:pPr>
        <w:pStyle w:val="11"/>
        <w:keepNext w:val="0"/>
        <w:keepLines w:val="0"/>
        <w:pageBreakBefore w:val="0"/>
        <w:widowControl w:val="0"/>
        <w:kinsoku/>
        <w:wordWrap/>
        <w:overflowPunct/>
        <w:topLinePunct w:val="0"/>
        <w:autoSpaceDE/>
        <w:autoSpaceDN/>
        <w:bidi w:val="0"/>
        <w:adjustRightInd w:val="0"/>
        <w:snapToGrid w:val="0"/>
        <w:spacing w:line="520" w:lineRule="exact"/>
        <w:ind w:leftChars="0" w:right="0" w:rightChars="0"/>
        <w:jc w:val="left"/>
        <w:textAlignment w:val="auto"/>
        <w:outlineLvl w:val="9"/>
        <w:rPr>
          <w:rFonts w:hint="eastAsia" w:ascii="仿宋" w:hAnsi="仿宋" w:eastAsia="仿宋" w:cs="Times New Roman"/>
          <w:bCs/>
          <w:color w:val="000000"/>
          <w:kern w:val="0"/>
          <w:sz w:val="28"/>
          <w:szCs w:val="28"/>
          <w:lang w:val="en-US" w:eastAsia="zh-CN" w:bidi="ar-SA"/>
        </w:rPr>
      </w:pPr>
      <w:r>
        <w:rPr>
          <w:rFonts w:hint="eastAsia" w:ascii="仿宋" w:hAnsi="仿宋" w:eastAsia="仿宋" w:cs="Times New Roman"/>
          <w:bCs/>
          <w:color w:val="000000"/>
          <w:kern w:val="0"/>
          <w:sz w:val="28"/>
          <w:szCs w:val="28"/>
          <w:lang w:val="en-US" w:eastAsia="zh-CN" w:bidi="ar-SA"/>
        </w:rPr>
        <w:t xml:space="preserve"> 九、 国有资本经营预算支出决算情况说明............13</w:t>
      </w:r>
    </w:p>
    <w:p>
      <w:pPr>
        <w:keepNext w:val="0"/>
        <w:keepLines w:val="0"/>
        <w:pageBreakBefore w:val="0"/>
        <w:widowControl w:val="0"/>
        <w:kinsoku/>
        <w:wordWrap/>
        <w:overflowPunct/>
        <w:topLinePunct w:val="0"/>
        <w:autoSpaceDE/>
        <w:autoSpaceDN/>
        <w:bidi w:val="0"/>
        <w:adjustRightInd w:val="0"/>
        <w:snapToGrid w:val="0"/>
        <w:spacing w:line="520" w:lineRule="exact"/>
        <w:ind w:right="0" w:rightChars="0" w:firstLine="560" w:firstLineChars="200"/>
        <w:jc w:val="left"/>
        <w:textAlignment w:val="auto"/>
        <w:outlineLvl w:val="9"/>
        <w:rPr>
          <w:rFonts w:hint="eastAsia" w:ascii="仿宋" w:hAnsi="仿宋" w:eastAsia="仿宋" w:cs="Times New Roman"/>
          <w:bCs/>
          <w:color w:val="000000"/>
          <w:kern w:val="0"/>
          <w:sz w:val="28"/>
          <w:szCs w:val="28"/>
          <w:lang w:val="en-US" w:eastAsia="zh-CN" w:bidi="ar-SA"/>
        </w:rPr>
      </w:pPr>
      <w:r>
        <w:rPr>
          <w:rFonts w:hint="eastAsia" w:ascii="仿宋" w:hAnsi="仿宋" w:eastAsia="仿宋" w:cs="Times New Roman"/>
          <w:bCs/>
          <w:color w:val="000000"/>
          <w:kern w:val="0"/>
          <w:sz w:val="28"/>
          <w:szCs w:val="28"/>
          <w:lang w:val="en-US" w:eastAsia="zh-CN" w:bidi="ar-SA"/>
        </w:rPr>
        <w:t>十、其他重要事项的情况说明.......................13</w:t>
      </w:r>
    </w:p>
    <w:p>
      <w:pPr>
        <w:pStyle w:val="10"/>
        <w:keepNext w:val="0"/>
        <w:keepLines w:val="0"/>
        <w:pageBreakBefore w:val="0"/>
        <w:widowControl w:val="0"/>
        <w:kinsoku/>
        <w:wordWrap/>
        <w:overflowPunct/>
        <w:topLinePunct w:val="0"/>
        <w:autoSpaceDE/>
        <w:autoSpaceDN/>
        <w:bidi w:val="0"/>
        <w:adjustRightInd w:val="0"/>
        <w:snapToGrid w:val="0"/>
        <w:spacing w:before="0" w:line="520" w:lineRule="exact"/>
        <w:ind w:right="0" w:rightChars="0"/>
        <w:jc w:val="left"/>
        <w:textAlignment w:val="auto"/>
        <w:outlineLvl w:val="9"/>
        <w:rPr>
          <w:rFonts w:hint="default" w:cs="Times New Roman"/>
          <w:bCs/>
          <w:color w:val="000000"/>
          <w:kern w:val="0"/>
          <w:sz w:val="28"/>
          <w:szCs w:val="28"/>
          <w:lang w:val="en-US" w:eastAsia="zh-CN" w:bidi="ar-SA"/>
        </w:rPr>
      </w:pPr>
      <w:r>
        <w:rPr>
          <w:rFonts w:hint="eastAsia" w:ascii="仿宋" w:hAnsi="仿宋" w:eastAsia="仿宋" w:cs="Times New Roman"/>
          <w:bCs/>
          <w:color w:val="000000"/>
          <w:kern w:val="0"/>
          <w:sz w:val="28"/>
          <w:szCs w:val="28"/>
          <w:lang w:val="en-US" w:eastAsia="zh-CN" w:bidi="ar-SA"/>
        </w:rPr>
        <w:t>第三部分 名词解释</w:t>
      </w:r>
      <w:r>
        <w:rPr>
          <w:rFonts w:hint="eastAsia" w:cs="Times New Roman"/>
          <w:bCs/>
          <w:color w:val="000000"/>
          <w:kern w:val="0"/>
          <w:sz w:val="28"/>
          <w:szCs w:val="28"/>
          <w:lang w:val="en-US" w:eastAsia="zh-CN" w:bidi="ar-SA"/>
        </w:rPr>
        <w:t>....................................18</w:t>
      </w:r>
    </w:p>
    <w:p>
      <w:pPr>
        <w:pStyle w:val="10"/>
        <w:keepNext w:val="0"/>
        <w:keepLines w:val="0"/>
        <w:pageBreakBefore w:val="0"/>
        <w:widowControl w:val="0"/>
        <w:kinsoku/>
        <w:wordWrap/>
        <w:overflowPunct/>
        <w:topLinePunct w:val="0"/>
        <w:autoSpaceDE/>
        <w:autoSpaceDN/>
        <w:bidi w:val="0"/>
        <w:adjustRightInd w:val="0"/>
        <w:snapToGrid w:val="0"/>
        <w:spacing w:before="0" w:line="520" w:lineRule="exact"/>
        <w:ind w:right="0" w:rightChars="0"/>
        <w:jc w:val="left"/>
        <w:textAlignment w:val="auto"/>
        <w:outlineLvl w:val="9"/>
        <w:rPr>
          <w:rFonts w:hint="eastAsia" w:cs="Times New Roman"/>
          <w:bCs/>
          <w:color w:val="000000"/>
          <w:kern w:val="0"/>
          <w:sz w:val="28"/>
          <w:szCs w:val="28"/>
          <w:lang w:val="en-US" w:eastAsia="zh-CN" w:bidi="ar-SA"/>
        </w:rPr>
      </w:pPr>
      <w:r>
        <w:rPr>
          <w:rFonts w:hint="eastAsia" w:ascii="仿宋" w:hAnsi="仿宋" w:eastAsia="仿宋" w:cs="Times New Roman"/>
          <w:bCs/>
          <w:color w:val="000000"/>
          <w:kern w:val="0"/>
          <w:sz w:val="28"/>
          <w:szCs w:val="28"/>
          <w:lang w:val="en-US" w:eastAsia="zh-CN" w:bidi="ar-SA"/>
        </w:rPr>
        <w:t>第四部分 附件......................</w:t>
      </w:r>
      <w:r>
        <w:rPr>
          <w:rFonts w:hint="eastAsia" w:cs="Times New Roman"/>
          <w:bCs/>
          <w:color w:val="000000"/>
          <w:kern w:val="0"/>
          <w:sz w:val="28"/>
          <w:szCs w:val="28"/>
          <w:lang w:val="en-US" w:eastAsia="zh-CN" w:bidi="ar-SA"/>
        </w:rPr>
        <w:t>....</w:t>
      </w:r>
      <w:r>
        <w:rPr>
          <w:rFonts w:hint="eastAsia" w:ascii="仿宋" w:hAnsi="仿宋" w:eastAsia="仿宋" w:cs="Times New Roman"/>
          <w:bCs/>
          <w:color w:val="000000"/>
          <w:kern w:val="0"/>
          <w:sz w:val="28"/>
          <w:szCs w:val="28"/>
          <w:lang w:val="en-US" w:eastAsia="zh-CN" w:bidi="ar-SA"/>
        </w:rPr>
        <w:t>.....</w:t>
      </w:r>
      <w:r>
        <w:rPr>
          <w:rFonts w:hint="eastAsia" w:cs="Times New Roman"/>
          <w:bCs/>
          <w:color w:val="000000"/>
          <w:kern w:val="0"/>
          <w:sz w:val="28"/>
          <w:szCs w:val="28"/>
          <w:lang w:val="en-US" w:eastAsia="zh-CN" w:bidi="ar-SA"/>
        </w:rPr>
        <w:t>.</w:t>
      </w:r>
      <w:r>
        <w:rPr>
          <w:rFonts w:hint="eastAsia" w:ascii="仿宋" w:hAnsi="仿宋" w:eastAsia="仿宋" w:cs="Times New Roman"/>
          <w:bCs/>
          <w:color w:val="000000"/>
          <w:kern w:val="0"/>
          <w:sz w:val="28"/>
          <w:szCs w:val="28"/>
          <w:lang w:val="en-US" w:eastAsia="zh-CN" w:bidi="ar-SA"/>
        </w:rPr>
        <w:t>....</w:t>
      </w:r>
      <w:r>
        <w:rPr>
          <w:rFonts w:hint="eastAsia" w:cs="Times New Roman"/>
          <w:bCs/>
          <w:color w:val="000000"/>
          <w:kern w:val="0"/>
          <w:sz w:val="28"/>
          <w:szCs w:val="28"/>
          <w:lang w:val="en-US" w:eastAsia="zh-CN" w:bidi="ar-SA"/>
        </w:rPr>
        <w:t>.</w:t>
      </w:r>
      <w:r>
        <w:rPr>
          <w:rFonts w:hint="eastAsia" w:ascii="仿宋" w:hAnsi="仿宋" w:eastAsia="仿宋" w:cs="Times New Roman"/>
          <w:bCs/>
          <w:color w:val="000000"/>
          <w:kern w:val="0"/>
          <w:sz w:val="28"/>
          <w:szCs w:val="28"/>
          <w:lang w:val="en-US" w:eastAsia="zh-CN" w:bidi="ar-SA"/>
        </w:rPr>
        <w:t>..</w:t>
      </w:r>
      <w:r>
        <w:rPr>
          <w:rFonts w:hint="eastAsia" w:cs="Times New Roman"/>
          <w:bCs/>
          <w:color w:val="000000"/>
          <w:kern w:val="0"/>
          <w:sz w:val="28"/>
          <w:szCs w:val="28"/>
          <w:lang w:val="en-US" w:eastAsia="zh-CN" w:bidi="ar-SA"/>
        </w:rPr>
        <w:t xml:space="preserve">.21   </w:t>
      </w:r>
    </w:p>
    <w:p>
      <w:pPr>
        <w:pStyle w:val="10"/>
        <w:keepNext w:val="0"/>
        <w:keepLines w:val="0"/>
        <w:pageBreakBefore w:val="0"/>
        <w:widowControl w:val="0"/>
        <w:kinsoku/>
        <w:wordWrap/>
        <w:overflowPunct/>
        <w:topLinePunct w:val="0"/>
        <w:autoSpaceDE/>
        <w:autoSpaceDN/>
        <w:bidi w:val="0"/>
        <w:adjustRightInd w:val="0"/>
        <w:snapToGrid w:val="0"/>
        <w:spacing w:before="0" w:line="520" w:lineRule="exact"/>
        <w:ind w:right="0" w:rightChars="0"/>
        <w:jc w:val="left"/>
        <w:textAlignment w:val="auto"/>
        <w:outlineLvl w:val="9"/>
        <w:rPr>
          <w:rFonts w:hint="eastAsia" w:ascii="仿宋" w:hAnsi="仿宋" w:eastAsia="仿宋" w:cs="Times New Roman"/>
          <w:bCs/>
          <w:color w:val="000000"/>
          <w:kern w:val="0"/>
          <w:sz w:val="28"/>
          <w:szCs w:val="28"/>
          <w:lang w:val="en-US" w:eastAsia="zh-CN" w:bidi="ar-SA"/>
        </w:rPr>
      </w:pPr>
      <w:r>
        <w:rPr>
          <w:rFonts w:hint="eastAsia" w:cs="Times New Roman"/>
          <w:bCs/>
          <w:color w:val="000000"/>
          <w:kern w:val="0"/>
          <w:sz w:val="28"/>
          <w:szCs w:val="28"/>
          <w:lang w:val="en-US" w:eastAsia="zh-CN" w:bidi="ar-SA"/>
        </w:rPr>
        <w:t xml:space="preserve">         茂县信访局2020年部门整体支出绩效评价报告</w:t>
      </w:r>
    </w:p>
    <w:p>
      <w:pPr>
        <w:pStyle w:val="10"/>
        <w:keepNext w:val="0"/>
        <w:keepLines w:val="0"/>
        <w:pageBreakBefore w:val="0"/>
        <w:widowControl w:val="0"/>
        <w:kinsoku/>
        <w:wordWrap/>
        <w:overflowPunct/>
        <w:topLinePunct w:val="0"/>
        <w:autoSpaceDE/>
        <w:autoSpaceDN/>
        <w:bidi w:val="0"/>
        <w:adjustRightInd w:val="0"/>
        <w:snapToGrid w:val="0"/>
        <w:spacing w:before="0" w:line="520" w:lineRule="exact"/>
        <w:ind w:right="0" w:rightChars="0"/>
        <w:jc w:val="left"/>
        <w:textAlignment w:val="auto"/>
        <w:outlineLvl w:val="9"/>
        <w:rPr>
          <w:rFonts w:hint="default" w:ascii="仿宋" w:hAnsi="仿宋" w:eastAsia="仿宋" w:cs="Times New Roman"/>
          <w:bCs/>
          <w:color w:val="000000"/>
          <w:kern w:val="0"/>
          <w:sz w:val="28"/>
          <w:szCs w:val="28"/>
          <w:lang w:val="en-US" w:eastAsia="zh-CN" w:bidi="ar-SA"/>
        </w:rPr>
      </w:pPr>
      <w:r>
        <w:rPr>
          <w:rFonts w:hint="eastAsia" w:ascii="仿宋" w:hAnsi="仿宋" w:eastAsia="仿宋" w:cs="Times New Roman"/>
          <w:bCs/>
          <w:color w:val="000000"/>
          <w:kern w:val="0"/>
          <w:sz w:val="28"/>
          <w:szCs w:val="28"/>
          <w:lang w:val="en-US" w:eastAsia="zh-CN" w:bidi="ar-SA"/>
        </w:rPr>
        <w:t>第五部分 附表</w:t>
      </w:r>
      <w:r>
        <w:rPr>
          <w:rFonts w:hint="eastAsia" w:cs="Times New Roman"/>
          <w:bCs/>
          <w:color w:val="000000"/>
          <w:kern w:val="0"/>
          <w:sz w:val="28"/>
          <w:szCs w:val="28"/>
          <w:lang w:val="en-US" w:eastAsia="zh-CN" w:bidi="ar-SA"/>
        </w:rPr>
        <w:t>........................................26</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rightChars="0"/>
        <w:jc w:val="left"/>
        <w:textAlignment w:val="auto"/>
        <w:outlineLvl w:val="9"/>
        <w:rPr>
          <w:rFonts w:hint="default" w:ascii="仿宋" w:hAnsi="仿宋" w:eastAsia="仿宋" w:cs="Times New Roman"/>
          <w:bCs/>
          <w:color w:val="000000"/>
          <w:kern w:val="0"/>
          <w:sz w:val="28"/>
          <w:szCs w:val="28"/>
          <w:lang w:val="en-US" w:eastAsia="zh-CN" w:bidi="ar-SA"/>
        </w:rPr>
      </w:pPr>
      <w:r>
        <w:rPr>
          <w:rFonts w:hint="eastAsia" w:ascii="仿宋" w:hAnsi="仿宋" w:eastAsia="仿宋" w:cs="Times New Roman"/>
          <w:bCs/>
          <w:color w:val="000000"/>
          <w:kern w:val="0"/>
          <w:sz w:val="28"/>
          <w:szCs w:val="28"/>
          <w:lang w:val="en-US" w:eastAsia="zh-CN" w:bidi="ar-SA"/>
        </w:rPr>
        <w:t xml:space="preserve"> 一、收入支出决算总表.............................26</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rightChars="0"/>
        <w:jc w:val="left"/>
        <w:textAlignment w:val="auto"/>
        <w:outlineLvl w:val="9"/>
        <w:rPr>
          <w:rFonts w:hint="default" w:ascii="仿宋" w:hAnsi="仿宋" w:eastAsia="仿宋" w:cs="Times New Roman"/>
          <w:bCs/>
          <w:color w:val="000000"/>
          <w:kern w:val="0"/>
          <w:sz w:val="28"/>
          <w:szCs w:val="28"/>
          <w:lang w:val="en-US" w:eastAsia="zh-CN" w:bidi="ar-SA"/>
        </w:rPr>
      </w:pPr>
      <w:r>
        <w:rPr>
          <w:rFonts w:hint="eastAsia" w:ascii="仿宋" w:hAnsi="仿宋" w:eastAsia="仿宋" w:cs="Times New Roman"/>
          <w:bCs/>
          <w:color w:val="000000"/>
          <w:kern w:val="0"/>
          <w:sz w:val="28"/>
          <w:szCs w:val="28"/>
          <w:lang w:val="en-US" w:eastAsia="zh-CN" w:bidi="ar-SA"/>
        </w:rPr>
        <w:t xml:space="preserve"> 二、收入决算表...................................26</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rightChars="0"/>
        <w:jc w:val="left"/>
        <w:textAlignment w:val="auto"/>
        <w:outlineLvl w:val="9"/>
        <w:rPr>
          <w:rFonts w:hint="default" w:ascii="仿宋" w:hAnsi="仿宋" w:eastAsia="仿宋" w:cs="Times New Roman"/>
          <w:bCs/>
          <w:color w:val="000000"/>
          <w:kern w:val="0"/>
          <w:sz w:val="28"/>
          <w:szCs w:val="28"/>
          <w:lang w:val="en-US" w:eastAsia="zh-CN" w:bidi="ar-SA"/>
        </w:rPr>
      </w:pPr>
      <w:r>
        <w:rPr>
          <w:rFonts w:hint="eastAsia" w:ascii="仿宋" w:hAnsi="仿宋" w:eastAsia="仿宋" w:cs="Times New Roman"/>
          <w:bCs/>
          <w:color w:val="000000"/>
          <w:kern w:val="0"/>
          <w:sz w:val="28"/>
          <w:szCs w:val="28"/>
          <w:lang w:val="en-US" w:eastAsia="zh-CN" w:bidi="ar-SA"/>
        </w:rPr>
        <w:t xml:space="preserve"> 三、支出决算表....................................26</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rightChars="0"/>
        <w:jc w:val="left"/>
        <w:textAlignment w:val="auto"/>
        <w:outlineLvl w:val="9"/>
        <w:rPr>
          <w:rFonts w:hint="default" w:ascii="仿宋" w:hAnsi="仿宋" w:eastAsia="仿宋" w:cs="Times New Roman"/>
          <w:bCs/>
          <w:color w:val="000000"/>
          <w:kern w:val="0"/>
          <w:sz w:val="28"/>
          <w:szCs w:val="28"/>
          <w:lang w:val="en-US" w:eastAsia="zh-CN" w:bidi="ar-SA"/>
        </w:rPr>
      </w:pPr>
      <w:r>
        <w:rPr>
          <w:rFonts w:hint="eastAsia" w:ascii="仿宋" w:hAnsi="仿宋" w:eastAsia="仿宋" w:cs="Times New Roman"/>
          <w:bCs/>
          <w:color w:val="000000"/>
          <w:kern w:val="0"/>
          <w:sz w:val="28"/>
          <w:szCs w:val="28"/>
          <w:lang w:val="en-US" w:eastAsia="zh-CN" w:bidi="ar-SA"/>
        </w:rPr>
        <w:t xml:space="preserve"> 四、财政拨款收入支出决算总表.......................26</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rightChars="0"/>
        <w:jc w:val="left"/>
        <w:textAlignment w:val="auto"/>
        <w:outlineLvl w:val="9"/>
        <w:rPr>
          <w:rFonts w:hint="default" w:ascii="仿宋" w:hAnsi="仿宋" w:eastAsia="仿宋" w:cs="Times New Roman"/>
          <w:bCs/>
          <w:color w:val="000000"/>
          <w:kern w:val="0"/>
          <w:sz w:val="28"/>
          <w:szCs w:val="28"/>
          <w:lang w:val="en-US" w:eastAsia="zh-CN" w:bidi="ar-SA"/>
        </w:rPr>
      </w:pPr>
      <w:r>
        <w:rPr>
          <w:rFonts w:hint="eastAsia" w:ascii="仿宋" w:hAnsi="仿宋" w:eastAsia="仿宋" w:cs="Times New Roman"/>
          <w:bCs/>
          <w:color w:val="000000"/>
          <w:kern w:val="0"/>
          <w:sz w:val="28"/>
          <w:szCs w:val="28"/>
          <w:lang w:val="en-US" w:eastAsia="zh-CN" w:bidi="ar-SA"/>
        </w:rPr>
        <w:t xml:space="preserve"> 五、财政拨款支出决算明细表.........................26</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rightChars="0"/>
        <w:jc w:val="left"/>
        <w:textAlignment w:val="auto"/>
        <w:outlineLvl w:val="9"/>
        <w:rPr>
          <w:rFonts w:hint="default" w:ascii="仿宋" w:hAnsi="仿宋" w:eastAsia="仿宋" w:cs="Times New Roman"/>
          <w:bCs/>
          <w:color w:val="000000"/>
          <w:kern w:val="0"/>
          <w:sz w:val="28"/>
          <w:szCs w:val="28"/>
          <w:lang w:val="en-US" w:eastAsia="zh-CN" w:bidi="ar-SA"/>
        </w:rPr>
      </w:pPr>
      <w:r>
        <w:rPr>
          <w:rFonts w:hint="eastAsia" w:ascii="仿宋" w:hAnsi="仿宋" w:eastAsia="仿宋" w:cs="Times New Roman"/>
          <w:bCs/>
          <w:color w:val="000000"/>
          <w:kern w:val="0"/>
          <w:sz w:val="28"/>
          <w:szCs w:val="28"/>
          <w:lang w:val="en-US" w:eastAsia="zh-CN" w:bidi="ar-SA"/>
        </w:rPr>
        <w:t xml:space="preserve"> 六、一般公共预算财政拨款支出决算表..................26</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rightChars="0"/>
        <w:jc w:val="left"/>
        <w:textAlignment w:val="auto"/>
        <w:outlineLvl w:val="9"/>
        <w:rPr>
          <w:rFonts w:hint="default" w:ascii="仿宋" w:hAnsi="仿宋" w:eastAsia="仿宋" w:cs="Times New Roman"/>
          <w:bCs/>
          <w:color w:val="000000"/>
          <w:kern w:val="0"/>
          <w:sz w:val="28"/>
          <w:szCs w:val="28"/>
          <w:lang w:val="en-US" w:eastAsia="zh-CN" w:bidi="ar-SA"/>
        </w:rPr>
      </w:pPr>
      <w:r>
        <w:rPr>
          <w:rFonts w:hint="eastAsia" w:ascii="仿宋" w:hAnsi="仿宋" w:eastAsia="仿宋" w:cs="Times New Roman"/>
          <w:bCs/>
          <w:color w:val="000000"/>
          <w:kern w:val="0"/>
          <w:sz w:val="28"/>
          <w:szCs w:val="28"/>
          <w:lang w:val="en-US" w:eastAsia="zh-CN" w:bidi="ar-SA"/>
        </w:rPr>
        <w:t xml:space="preserve"> 七、一般公共预算财政拨款支出决算明细表.......26</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rightChars="0"/>
        <w:jc w:val="left"/>
        <w:textAlignment w:val="auto"/>
        <w:outlineLvl w:val="9"/>
        <w:rPr>
          <w:rFonts w:hint="default" w:ascii="仿宋" w:hAnsi="仿宋" w:eastAsia="仿宋" w:cs="Times New Roman"/>
          <w:bCs/>
          <w:color w:val="000000"/>
          <w:kern w:val="0"/>
          <w:sz w:val="28"/>
          <w:szCs w:val="28"/>
          <w:lang w:val="en-US" w:eastAsia="zh-CN" w:bidi="ar-SA"/>
        </w:rPr>
      </w:pPr>
      <w:r>
        <w:rPr>
          <w:rFonts w:hint="eastAsia" w:ascii="仿宋" w:hAnsi="仿宋" w:eastAsia="仿宋" w:cs="Times New Roman"/>
          <w:bCs/>
          <w:color w:val="000000"/>
          <w:kern w:val="0"/>
          <w:sz w:val="28"/>
          <w:szCs w:val="28"/>
          <w:lang w:val="en-US" w:eastAsia="zh-CN" w:bidi="ar-SA"/>
        </w:rPr>
        <w:t xml:space="preserve"> 八、一般公共预算财政拨款基本支出决算表.......26</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rightChars="0"/>
        <w:jc w:val="left"/>
        <w:textAlignment w:val="auto"/>
        <w:outlineLvl w:val="9"/>
        <w:rPr>
          <w:rFonts w:hint="default" w:ascii="仿宋" w:hAnsi="仿宋" w:eastAsia="仿宋" w:cs="Times New Roman"/>
          <w:bCs/>
          <w:color w:val="000000"/>
          <w:kern w:val="0"/>
          <w:sz w:val="28"/>
          <w:szCs w:val="28"/>
          <w:lang w:val="en-US" w:eastAsia="zh-CN" w:bidi="ar-SA"/>
        </w:rPr>
      </w:pPr>
      <w:r>
        <w:rPr>
          <w:rFonts w:hint="eastAsia" w:ascii="仿宋" w:hAnsi="仿宋" w:eastAsia="仿宋" w:cs="Times New Roman"/>
          <w:bCs/>
          <w:color w:val="000000"/>
          <w:kern w:val="0"/>
          <w:sz w:val="28"/>
          <w:szCs w:val="28"/>
          <w:lang w:val="en-US" w:eastAsia="zh-CN" w:bidi="ar-SA"/>
        </w:rPr>
        <w:t xml:space="preserve"> 九、一般公共预算财政拨款项目支出决算表........26</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rightChars="0"/>
        <w:jc w:val="left"/>
        <w:textAlignment w:val="auto"/>
        <w:outlineLvl w:val="9"/>
        <w:rPr>
          <w:rFonts w:hint="default" w:ascii="仿宋" w:hAnsi="仿宋" w:eastAsia="仿宋" w:cs="Times New Roman"/>
          <w:bCs/>
          <w:color w:val="000000"/>
          <w:kern w:val="0"/>
          <w:sz w:val="28"/>
          <w:szCs w:val="28"/>
          <w:lang w:val="en-US" w:eastAsia="zh-CN" w:bidi="ar-SA"/>
        </w:rPr>
      </w:pPr>
      <w:r>
        <w:rPr>
          <w:rFonts w:hint="eastAsia" w:ascii="仿宋" w:hAnsi="仿宋" w:eastAsia="仿宋" w:cs="Times New Roman"/>
          <w:bCs/>
          <w:color w:val="000000"/>
          <w:kern w:val="0"/>
          <w:sz w:val="28"/>
          <w:szCs w:val="28"/>
          <w:lang w:val="en-US" w:eastAsia="zh-CN" w:bidi="ar-SA"/>
        </w:rPr>
        <w:t xml:space="preserve"> 十、一般公共预算财政拨款“三公”经费支出决算表...26</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rightChars="0"/>
        <w:jc w:val="left"/>
        <w:textAlignment w:val="auto"/>
        <w:outlineLvl w:val="9"/>
        <w:rPr>
          <w:rFonts w:hint="default" w:ascii="仿宋" w:hAnsi="仿宋" w:eastAsia="仿宋" w:cs="Times New Roman"/>
          <w:bCs/>
          <w:color w:val="000000"/>
          <w:kern w:val="0"/>
          <w:sz w:val="28"/>
          <w:szCs w:val="28"/>
          <w:lang w:val="en-US" w:eastAsia="zh-CN" w:bidi="ar-SA"/>
        </w:rPr>
      </w:pPr>
      <w:r>
        <w:rPr>
          <w:rFonts w:hint="eastAsia" w:ascii="仿宋" w:hAnsi="仿宋" w:eastAsia="仿宋" w:cs="Times New Roman"/>
          <w:bCs/>
          <w:color w:val="000000"/>
          <w:kern w:val="0"/>
          <w:sz w:val="28"/>
          <w:szCs w:val="28"/>
          <w:lang w:val="en-US" w:eastAsia="zh-CN" w:bidi="ar-SA"/>
        </w:rPr>
        <w:t xml:space="preserve"> 十一、政府性基金预算财政拨款收入支出决算表......26</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rightChars="0"/>
        <w:jc w:val="left"/>
        <w:textAlignment w:val="auto"/>
        <w:outlineLvl w:val="9"/>
        <w:rPr>
          <w:rFonts w:hint="default" w:ascii="仿宋" w:hAnsi="仿宋" w:eastAsia="仿宋" w:cs="Times New Roman"/>
          <w:bCs/>
          <w:color w:val="000000"/>
          <w:kern w:val="0"/>
          <w:sz w:val="28"/>
          <w:szCs w:val="28"/>
          <w:lang w:val="en-US" w:eastAsia="zh-CN" w:bidi="ar-SA"/>
        </w:rPr>
      </w:pPr>
      <w:r>
        <w:rPr>
          <w:rFonts w:hint="eastAsia" w:ascii="仿宋" w:hAnsi="仿宋" w:eastAsia="仿宋" w:cs="Times New Roman"/>
          <w:bCs/>
          <w:color w:val="000000"/>
          <w:kern w:val="0"/>
          <w:sz w:val="28"/>
          <w:szCs w:val="28"/>
          <w:lang w:val="en-US" w:eastAsia="zh-CN" w:bidi="ar-SA"/>
        </w:rPr>
        <w:t xml:space="preserve"> 十二、政府性基金预算财政拨款“三公”经费支出决算表..26</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rightChars="0"/>
        <w:jc w:val="left"/>
        <w:textAlignment w:val="auto"/>
        <w:outlineLvl w:val="9"/>
        <w:rPr>
          <w:rFonts w:hint="default" w:ascii="仿宋" w:hAnsi="仿宋" w:eastAsia="仿宋" w:cs="Times New Roman"/>
          <w:bCs/>
          <w:color w:val="000000"/>
          <w:kern w:val="0"/>
          <w:sz w:val="28"/>
          <w:szCs w:val="28"/>
          <w:lang w:val="en-US" w:eastAsia="zh-CN" w:bidi="ar-SA"/>
        </w:rPr>
      </w:pPr>
      <w:r>
        <w:rPr>
          <w:rFonts w:hint="eastAsia" w:ascii="仿宋" w:hAnsi="仿宋" w:eastAsia="仿宋" w:cs="Times New Roman"/>
          <w:bCs/>
          <w:color w:val="000000"/>
          <w:kern w:val="0"/>
          <w:sz w:val="28"/>
          <w:szCs w:val="28"/>
          <w:lang w:val="en-US" w:eastAsia="zh-CN" w:bidi="ar-SA"/>
        </w:rPr>
        <w:t xml:space="preserve"> 十三、国有资本经营预算财政拨款收入支出决算表.......26</w:t>
      </w:r>
    </w:p>
    <w:p>
      <w:pPr>
        <w:ind w:firstLine="560" w:firstLineChars="200"/>
        <w:rPr>
          <w:rFonts w:hint="default"/>
          <w:lang w:val="en-US"/>
        </w:rPr>
      </w:pPr>
      <w:r>
        <w:rPr>
          <w:rFonts w:hint="eastAsia" w:ascii="仿宋" w:hAnsi="仿宋" w:eastAsia="仿宋" w:cs="Times New Roman"/>
          <w:bCs/>
          <w:color w:val="000000"/>
          <w:kern w:val="0"/>
          <w:sz w:val="28"/>
          <w:szCs w:val="28"/>
          <w:lang w:val="en-US" w:eastAsia="zh-CN" w:bidi="ar-SA"/>
        </w:rPr>
        <w:t>十四、国有资本经营预算财政拨款支出决算表..........26</w:t>
      </w:r>
    </w:p>
    <w:p>
      <w:pPr>
        <w:pStyle w:val="2"/>
        <w:jc w:val="center"/>
        <w:rPr>
          <w:rFonts w:hint="eastAsia" w:ascii="黑体" w:hAnsi="黑体" w:eastAsia="黑体"/>
          <w:b w:val="0"/>
        </w:rPr>
      </w:pPr>
    </w:p>
    <w:p>
      <w:pPr>
        <w:pStyle w:val="2"/>
        <w:jc w:val="center"/>
        <w:rPr>
          <w:rFonts w:hint="eastAsia" w:ascii="黑体" w:hAnsi="黑体" w:eastAsia="黑体"/>
          <w:b w:val="0"/>
        </w:rPr>
      </w:pPr>
    </w:p>
    <w:p>
      <w:pPr>
        <w:pStyle w:val="2"/>
        <w:jc w:val="center"/>
        <w:rPr>
          <w:rFonts w:hint="eastAsia" w:ascii="黑体" w:hAnsi="黑体" w:eastAsia="黑体"/>
          <w:b w:val="0"/>
        </w:rPr>
      </w:pPr>
    </w:p>
    <w:p>
      <w:pPr>
        <w:pStyle w:val="2"/>
        <w:jc w:val="both"/>
        <w:rPr>
          <w:rFonts w:hint="eastAsia" w:ascii="黑体" w:hAnsi="黑体" w:eastAsia="黑体"/>
          <w:b w:val="0"/>
        </w:rPr>
      </w:pPr>
    </w:p>
    <w:p>
      <w:pPr>
        <w:pStyle w:val="2"/>
        <w:jc w:val="center"/>
        <w:rPr>
          <w:rFonts w:hint="eastAsia" w:ascii="黑体" w:hAnsi="黑体" w:eastAsia="黑体"/>
          <w:b w:val="0"/>
        </w:rPr>
      </w:pPr>
    </w:p>
    <w:p>
      <w:pPr>
        <w:rPr>
          <w:rFonts w:hint="eastAsia" w:ascii="黑体" w:hAnsi="黑体" w:eastAsia="黑体"/>
          <w:b w:val="0"/>
        </w:rPr>
      </w:pPr>
    </w:p>
    <w:p>
      <w:pPr>
        <w:rPr>
          <w:rFonts w:hint="eastAsia" w:ascii="黑体" w:hAnsi="黑体" w:eastAsia="黑体"/>
          <w:b w:val="0"/>
        </w:rPr>
      </w:pPr>
    </w:p>
    <w:p>
      <w:pPr>
        <w:rPr>
          <w:rFonts w:hint="eastAsia" w:ascii="黑体" w:hAnsi="黑体" w:eastAsia="黑体"/>
          <w:b w:val="0"/>
        </w:rPr>
      </w:pPr>
    </w:p>
    <w:p>
      <w:pPr>
        <w:rPr>
          <w:rFonts w:hint="eastAsia" w:ascii="黑体" w:hAnsi="黑体" w:eastAsia="黑体"/>
          <w:b w:val="0"/>
        </w:rPr>
      </w:pPr>
    </w:p>
    <w:p>
      <w:pPr>
        <w:pStyle w:val="2"/>
        <w:jc w:val="both"/>
        <w:rPr>
          <w:rFonts w:hint="eastAsia" w:ascii="黑体" w:hAnsi="黑体" w:eastAsia="黑体"/>
          <w:b w:val="0"/>
        </w:rPr>
      </w:pPr>
    </w:p>
    <w:p>
      <w:pPr>
        <w:rPr>
          <w:rFonts w:hint="eastAsia"/>
        </w:rPr>
      </w:pPr>
    </w:p>
    <w:p>
      <w:pPr>
        <w:pStyle w:val="2"/>
        <w:jc w:val="center"/>
        <w:rPr>
          <w:rStyle w:val="33"/>
          <w:rFonts w:hint="eastAsia" w:ascii="黑体" w:hAnsi="黑体" w:eastAsia="黑体"/>
          <w:b w:val="0"/>
          <w:bCs w:val="0"/>
        </w:rPr>
      </w:pPr>
      <w:r>
        <w:rPr>
          <w:rFonts w:hint="eastAsia" w:ascii="黑体" w:hAnsi="黑体" w:eastAsia="黑体"/>
          <w:b w:val="0"/>
        </w:rPr>
        <w:t xml:space="preserve">第一部分 </w:t>
      </w:r>
      <w:r>
        <w:rPr>
          <w:rStyle w:val="33"/>
          <w:rFonts w:hint="eastAsia" w:ascii="黑体" w:hAnsi="黑体" w:eastAsia="黑体"/>
          <w:b w:val="0"/>
          <w:bCs w:val="0"/>
        </w:rPr>
        <w:t>部门概况</w:t>
      </w:r>
      <w:bookmarkEnd w:id="0"/>
      <w:bookmarkEnd w:id="1"/>
    </w:p>
    <w:p>
      <w:pPr>
        <w:rPr>
          <w:rFonts w:hint="eastAsia" w:ascii="黑体" w:hAnsi="黑体" w:eastAsia="黑体" w:cs="黑体"/>
          <w:sz w:val="32"/>
          <w:szCs w:val="32"/>
        </w:rPr>
      </w:pPr>
      <w:r>
        <w:rPr>
          <w:rFonts w:hint="eastAsia" w:ascii="仿宋_GB2312" w:hAnsi="仿宋_GB2312" w:eastAsia="仿宋_GB2312" w:cs="仿宋_GB2312"/>
          <w:sz w:val="32"/>
          <w:szCs w:val="32"/>
          <w:lang w:val="en-US" w:eastAsia="zh-CN"/>
        </w:rPr>
        <w:t xml:space="preserve">   </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一、基本职能及主要工作</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楷体_GB2312" w:hAnsi="楷体_GB2312" w:eastAsia="楷体_GB2312" w:cs="楷体_GB2312"/>
          <w:b/>
          <w:bCs/>
          <w:sz w:val="32"/>
          <w:szCs w:val="32"/>
        </w:rPr>
        <w:t>（一）主要职能</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1.起草有关信访工作的规范性文件草案。制定信访问题排查化解、风险评估等制度并组织实施，提出改进和加强信访工作的意见和建议。负责本部门依法行政工作。</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2.负责向县委、县人民政府反映来信来电来访中提出的重要建议、意见和问题，综合研判信访信息，开展调查研究，提出相关建议。</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3.综合协调指导全县信访工作，推动建立健全信访工作的协调配合机制。督促检查县直各部门（单位）和乡镇信访工作，总结推广信访工作先进经验，协调信访工作宣传和信息发布。</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4.负责处理县内外群众、境外人士、法人及其他组织通过信访渠道给县委、县人民政府及领导同志的来信来电，接待来访。</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5.承担协调处理群众进京到省去州来县集体上访和非正常上访的责任，综合协调处理跨地区、跨部门的重要信访问题。</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6.负责落实国家、省、州、县领导批示交办信访事项，受理、交办、转办（送）群众来信、来电、来访、网上信访提出的信访事项，督促检查重要信访事项的处理和落实。</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7.加强对信访问题排查化解和社情民意汇集分析，重点开展法律法规政策宣传和思想教育疏导，将信访工作的重点由事后处理转移到事前排查化解，增强信访工作的预见性和针对性。</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8.加强对重大信访事项的督查督办，完善信访诉求表达方式，进一步畅通信访渠道，确保信访工作决策部署得到贯彻落实，推动群众信访问题得到妥善解决。</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9.建立和完善信访信息汇集分析机制，指导信访信息系统建设和应用。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10.开展网上信访工作，探索“互联网+信访”新模式，推动信访信息化建设。</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11.承担县信访工作联席会议、县人民政府信访事项复查复核委员会日常工作，督促落实有关事项。</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12.完成县委、县人民政府交办的其他任务。</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楷体_GB2312" w:hAnsi="楷体_GB2312" w:eastAsia="楷体_GB2312" w:cs="楷体_GB2312"/>
          <w:b/>
          <w:bCs/>
          <w:sz w:val="32"/>
          <w:szCs w:val="32"/>
        </w:rPr>
        <w:t>（二）20</w:t>
      </w:r>
      <w:r>
        <w:rPr>
          <w:rFonts w:hint="eastAsia" w:ascii="楷体_GB2312" w:hAnsi="楷体_GB2312" w:eastAsia="楷体_GB2312" w:cs="楷体_GB2312"/>
          <w:b/>
          <w:bCs/>
          <w:sz w:val="32"/>
          <w:szCs w:val="32"/>
          <w:lang w:val="en-US" w:eastAsia="zh-CN"/>
        </w:rPr>
        <w:t>20</w:t>
      </w:r>
      <w:r>
        <w:rPr>
          <w:rFonts w:hint="eastAsia" w:ascii="楷体_GB2312" w:hAnsi="楷体_GB2312" w:eastAsia="楷体_GB2312" w:cs="楷体_GB2312"/>
          <w:b/>
          <w:bCs/>
          <w:sz w:val="32"/>
          <w:szCs w:val="32"/>
        </w:rPr>
        <w:t>年重点工作完成情况</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eastAsia="仿宋_GB2312"/>
          <w:sz w:val="32"/>
          <w:szCs w:val="32"/>
        </w:rPr>
        <w:t>2020年，在县委、县政府的高度重视和各部门的配合下，信访局领导班子带领机关全体干部狠抓源头防范，加大矛盾排查化解，信访工作取得明显成效，实现了信访总量、非访量、集体访“三个下降”。一是加强源头预防，积极开展矛盾纠纷排查化解。全年排查化解各类矛盾纠纷68件。二是深化信访改革，扎实开展信访基础业务提升活动。对11个镇分管信访工作领导进行全员跟班学习培训，组织县级相关部门信访工作人员参加3期四川省信访业务大讲堂培训。信访事项及时受理率、按期办结率均为100%，群众满意率为97.5%，群众参评率为100%，圆满完成了州局下达的目标任务。三是畅通信访渠道，扎实推进领导干部接访包案工作。县级领导接访常态化，现场接待群众来访，协调处理群众信访事项。今年县级领导共接待群众来访41人次，召开信访联席会议12次、信访协调会议24次，协调处理重要信访问题18件。四是全力化解矛盾，深入推进信访矛盾化解攻坚。紧盯重点领域、重点群体、重点问题、重点人员方面的突出信访问题，关注百姓问政，综合运用法律、政策、经济、行政四种手段和教育、调解、疏导三个办法，积极整合社会资源，多措并举化解信访矛盾。州交办信访攻坚事项1件办结，并息诉息访。五是管控越级上访，全力做好重大活动、重要会议期间信访保障工作。全国、省“两会”、国庆、十九届五中全会等重要会议和重大活动期间，我县均无重点人员失控，无进京、赴省越级访，无媒体炒作，无群体性上访事件，工作成效明显。六是加强督查通报，推动工作落实。不断加强信访督查通报工作，定期编印《重要信访摘报》，通报重点信访问题；对发生越级到省、赴州访，由县信访联席办进行专项通报。七是强化法治引领。加强信访法治宣传教育，把法治宣传教育贯穿于信访工作全过程，引导群众从“信访”向“信法”转变，对在信访活动中的违法犯罪行为，坚持依法处理，防止以闹取利，以访牟利，缠访闹访现象发生。坚持法定途径优先，严格落实诉访分离，积极推进依法分类处理信访诉求，依法按政策解决问题，化解矛盾，强化法律在解决矛盾纠纷中的权威地位。</w:t>
      </w:r>
    </w:p>
    <w:p>
      <w:pPr>
        <w:rPr>
          <w:rFonts w:hint="eastAsia" w:ascii="黑体" w:hAnsi="黑体" w:eastAsia="黑体" w:cs="黑体"/>
          <w:sz w:val="32"/>
          <w:szCs w:val="32"/>
        </w:rPr>
      </w:pPr>
      <w:r>
        <w:rPr>
          <w:rFonts w:hint="eastAsia" w:ascii="仿宋_GB2312" w:hAnsi="仿宋_GB2312" w:eastAsia="仿宋_GB2312" w:cs="仿宋_GB2312"/>
          <w:sz w:val="32"/>
          <w:szCs w:val="32"/>
          <w:lang w:val="en-US" w:eastAsia="zh-CN"/>
        </w:rPr>
        <w:t xml:space="preserve">    </w:t>
      </w:r>
      <w:r>
        <w:rPr>
          <w:rFonts w:hint="eastAsia" w:ascii="黑体" w:hAnsi="黑体" w:eastAsia="黑体" w:cs="黑体"/>
          <w:sz w:val="32"/>
          <w:szCs w:val="32"/>
        </w:rPr>
        <w:t>二、机构设置</w:t>
      </w:r>
    </w:p>
    <w:p>
      <w:pPr>
        <w:rPr>
          <w:rStyle w:val="33"/>
          <w:rFonts w:hint="eastAsia" w:ascii="黑体" w:hAnsi="黑体" w:eastAsia="黑体"/>
          <w:b w:val="0"/>
          <w:bCs w:val="0"/>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茂县信访局下属二级单位1个，其中行政单位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个，参照公务员法管理的事业单位0个，其他事业单位1个。</w:t>
      </w:r>
      <w:bookmarkStart w:id="13" w:name="_Toc15377204"/>
      <w:bookmarkStart w:id="14" w:name="_Toc15396602"/>
    </w:p>
    <w:p>
      <w:pPr>
        <w:widowControl/>
        <w:jc w:val="center"/>
        <w:rPr>
          <w:rStyle w:val="33"/>
          <w:rFonts w:ascii="黑体" w:hAnsi="黑体" w:eastAsia="黑体"/>
          <w:b w:val="0"/>
          <w:bCs w:val="0"/>
        </w:rPr>
      </w:pPr>
      <w:r>
        <w:rPr>
          <w:rStyle w:val="33"/>
          <w:rFonts w:hint="eastAsia" w:ascii="黑体" w:hAnsi="黑体" w:eastAsia="黑体"/>
          <w:b w:val="0"/>
          <w:bCs w:val="0"/>
        </w:rPr>
        <w:t>第二部分 20</w:t>
      </w:r>
      <w:r>
        <w:rPr>
          <w:rStyle w:val="33"/>
          <w:rFonts w:hint="eastAsia" w:ascii="黑体" w:hAnsi="黑体" w:eastAsia="黑体"/>
          <w:b w:val="0"/>
          <w:bCs w:val="0"/>
          <w:lang w:val="en-US" w:eastAsia="zh-CN"/>
        </w:rPr>
        <w:t>20</w:t>
      </w:r>
      <w:r>
        <w:rPr>
          <w:rStyle w:val="33"/>
          <w:rFonts w:hint="eastAsia" w:ascii="黑体" w:hAnsi="黑体" w:eastAsia="黑体"/>
          <w:b w:val="0"/>
          <w:bCs w:val="0"/>
        </w:rPr>
        <w:t>年度部门决算情况说明</w:t>
      </w:r>
      <w:bookmarkEnd w:id="13"/>
      <w:bookmarkEnd w:id="14"/>
    </w:p>
    <w:p/>
    <w:p>
      <w:pPr>
        <w:pStyle w:val="32"/>
        <w:numPr>
          <w:ilvl w:val="0"/>
          <w:numId w:val="1"/>
        </w:numPr>
        <w:spacing w:line="600" w:lineRule="exact"/>
        <w:ind w:firstLineChars="0"/>
        <w:outlineLvl w:val="1"/>
        <w:rPr>
          <w:rStyle w:val="34"/>
          <w:rFonts w:ascii="黑体" w:hAnsi="黑体" w:eastAsia="黑体"/>
          <w:b w:val="0"/>
        </w:rPr>
      </w:pPr>
      <w:bookmarkStart w:id="15" w:name="_Toc15396603"/>
      <w:bookmarkStart w:id="16" w:name="_Toc15377205"/>
      <w:r>
        <w:rPr>
          <w:rFonts w:hint="eastAsia" w:ascii="黑体" w:hAnsi="黑体" w:eastAsia="黑体"/>
          <w:color w:val="000000"/>
          <w:sz w:val="32"/>
          <w:szCs w:val="32"/>
        </w:rPr>
        <w:t>收</w:t>
      </w:r>
      <w:r>
        <w:rPr>
          <w:rStyle w:val="34"/>
          <w:rFonts w:hint="eastAsia" w:ascii="黑体" w:hAnsi="黑体" w:eastAsia="黑体"/>
          <w:b w:val="0"/>
        </w:rPr>
        <w:t>入支出决算总体情况说明</w:t>
      </w:r>
      <w:bookmarkEnd w:id="15"/>
      <w:bookmarkEnd w:id="16"/>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年度收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249.18</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，支出总计</w:t>
      </w:r>
      <w:r>
        <w:rPr>
          <w:rFonts w:hint="eastAsia" w:ascii="仿宋" w:hAnsi="仿宋" w:eastAsia="仿宋"/>
          <w:color w:val="000000"/>
          <w:sz w:val="32"/>
          <w:szCs w:val="32"/>
          <w:lang w:val="en-US" w:eastAsia="zh-CN"/>
        </w:rPr>
        <w:t>248.74万元，年末结转和结余0.44万元</w:t>
      </w:r>
      <w:r>
        <w:rPr>
          <w:rFonts w:hint="eastAsia" w:ascii="仿宋" w:hAnsi="仿宋" w:eastAsia="仿宋"/>
          <w:color w:val="000000"/>
          <w:sz w:val="32"/>
          <w:szCs w:val="32"/>
        </w:rPr>
        <w:t>。与20</w:t>
      </w:r>
      <w:r>
        <w:rPr>
          <w:rFonts w:hint="eastAsia" w:ascii="仿宋" w:hAnsi="仿宋" w:eastAsia="仿宋"/>
          <w:color w:val="000000"/>
          <w:sz w:val="32"/>
          <w:szCs w:val="32"/>
          <w:lang w:val="en-US" w:eastAsia="zh-CN"/>
        </w:rPr>
        <w:t>19</w:t>
      </w:r>
      <w:r>
        <w:rPr>
          <w:rFonts w:hint="eastAsia" w:ascii="仿宋" w:hAnsi="仿宋" w:eastAsia="仿宋"/>
          <w:color w:val="000000"/>
          <w:sz w:val="32"/>
          <w:szCs w:val="32"/>
        </w:rPr>
        <w:t>年相比，收</w:t>
      </w:r>
      <w:r>
        <w:rPr>
          <w:rFonts w:hint="eastAsia" w:ascii="仿宋" w:hAnsi="仿宋" w:eastAsia="仿宋"/>
          <w:color w:val="000000"/>
          <w:sz w:val="32"/>
          <w:szCs w:val="32"/>
          <w:lang w:eastAsia="zh-CN"/>
        </w:rPr>
        <w:t>入总计减少</w:t>
      </w:r>
      <w:r>
        <w:rPr>
          <w:rFonts w:hint="eastAsia" w:ascii="仿宋" w:hAnsi="仿宋" w:eastAsia="仿宋"/>
          <w:color w:val="000000"/>
          <w:sz w:val="32"/>
          <w:szCs w:val="32"/>
          <w:lang w:val="en-US" w:eastAsia="zh-CN"/>
        </w:rPr>
        <w:t>133.13</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，下降</w:t>
      </w:r>
      <w:r>
        <w:rPr>
          <w:rFonts w:hint="eastAsia" w:ascii="仿宋" w:hAnsi="仿宋" w:eastAsia="仿宋"/>
          <w:color w:val="000000"/>
          <w:sz w:val="32"/>
          <w:szCs w:val="32"/>
          <w:lang w:val="en-US" w:eastAsia="zh-CN"/>
        </w:rPr>
        <w:t>34.82</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133.57</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下降</w:t>
      </w:r>
      <w:r>
        <w:rPr>
          <w:rFonts w:hint="eastAsia" w:ascii="仿宋" w:hAnsi="仿宋" w:eastAsia="仿宋"/>
          <w:color w:val="000000"/>
          <w:sz w:val="32"/>
          <w:szCs w:val="32"/>
          <w:lang w:val="en-US" w:eastAsia="zh-CN"/>
        </w:rPr>
        <w:t>34.94</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人员减少。</w:t>
      </w:r>
    </w:p>
    <w:p>
      <w:pPr>
        <w:spacing w:line="600" w:lineRule="exact"/>
        <w:ind w:firstLine="640" w:firstLineChars="200"/>
        <w:rPr>
          <w:rFonts w:hint="eastAsia" w:ascii="仿宋" w:hAnsi="仿宋" w:eastAsia="仿宋"/>
          <w:color w:val="000000"/>
          <w:sz w:val="32"/>
          <w:szCs w:val="32"/>
          <w:lang w:eastAsia="zh-CN"/>
        </w:rPr>
      </w:pPr>
      <w:r>
        <w:rPr>
          <w:rFonts w:hint="eastAsia" w:ascii="仿宋_GB2312" w:eastAsia="仿宋_GB2312"/>
          <w:color w:val="000000"/>
          <w:sz w:val="32"/>
          <w:szCs w:val="32"/>
        </w:rPr>
        <w:pict>
          <v:shape id="_x0000_s1027" o:spid="_x0000_s1027" o:spt="75" type="#_x0000_t75" style="position:absolute;left:0pt;margin-left:40.1pt;margin-top:20.75pt;height:197.35pt;width:341.75pt;mso-wrap-distance-bottom:0pt;mso-wrap-distance-left:9pt;mso-wrap-distance-right:9pt;mso-wrap-distance-top:0pt;z-index:251661312;mso-width-relative:page;mso-height-relative:page;" o:ole="t" filled="f" o:preferrelative="t" stroked="f" coordsize="21600,21600">
            <v:path/>
            <v:fill on="f" focussize="0,0"/>
            <v:stroke on="f"/>
            <v:imagedata r:id="rId9" o:title=""/>
            <o:lock v:ext="edit" aspectratio="t"/>
            <w10:wrap type="square"/>
          </v:shape>
          <o:OLEObject Type="Embed" ProgID="Excel.Chart.8" ShapeID="_x0000_s1027" DrawAspect="Content" ObjectID="_1468075725" r:id="rId8">
            <o:LockedField>false</o:LockedField>
          </o:OLEObject>
        </w:pict>
      </w: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640" w:firstLineChars="200"/>
        <w:rPr>
          <w:rStyle w:val="34"/>
          <w:rFonts w:ascii="黑体" w:hAnsi="黑体" w:eastAsia="黑体"/>
          <w:b w:val="0"/>
        </w:rPr>
      </w:pPr>
      <w:bookmarkStart w:id="17" w:name="_Toc15396604"/>
      <w:bookmarkStart w:id="18" w:name="_Toc15377206"/>
    </w:p>
    <w:p>
      <w:pPr>
        <w:pStyle w:val="32"/>
        <w:numPr>
          <w:ilvl w:val="0"/>
          <w:numId w:val="0"/>
        </w:numPr>
        <w:spacing w:line="600" w:lineRule="exact"/>
        <w:ind w:firstLine="640" w:firstLineChars="200"/>
        <w:outlineLvl w:val="1"/>
        <w:rPr>
          <w:rStyle w:val="34"/>
          <w:rFonts w:ascii="黑体" w:hAnsi="黑体" w:eastAsia="黑体"/>
          <w:b w:val="0"/>
        </w:rPr>
      </w:pPr>
      <w:r>
        <w:rPr>
          <w:rFonts w:hint="eastAsia" w:ascii="黑体" w:hAnsi="黑体" w:eastAsia="黑体"/>
          <w:color w:val="000000"/>
          <w:sz w:val="32"/>
          <w:szCs w:val="32"/>
          <w:lang w:eastAsia="zh-CN"/>
        </w:rPr>
        <w:t>二、</w:t>
      </w:r>
      <w:r>
        <w:rPr>
          <w:rFonts w:hint="eastAsia" w:ascii="黑体" w:hAnsi="黑体" w:eastAsia="黑体"/>
          <w:color w:val="000000"/>
          <w:sz w:val="32"/>
          <w:szCs w:val="32"/>
        </w:rPr>
        <w:t>收</w:t>
      </w:r>
      <w:r>
        <w:rPr>
          <w:rStyle w:val="34"/>
          <w:rFonts w:hint="eastAsia" w:ascii="黑体" w:hAnsi="黑体" w:eastAsia="黑体"/>
          <w:b w:val="0"/>
        </w:rPr>
        <w:t>入决算情况说明</w:t>
      </w:r>
      <w:bookmarkEnd w:id="17"/>
      <w:bookmarkEnd w:id="18"/>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249.18</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249.18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0.00</w:t>
      </w:r>
      <w:r>
        <w:rPr>
          <w:rFonts w:hint="eastAsia" w:ascii="仿宋" w:hAnsi="仿宋" w:eastAsia="仿宋"/>
          <w:color w:val="000000"/>
          <w:sz w:val="32"/>
          <w:szCs w:val="32"/>
        </w:rPr>
        <w:t>万元；</w:t>
      </w:r>
      <w:r>
        <w:rPr>
          <w:rFonts w:hint="eastAsia" w:ascii="仿宋" w:hAnsi="仿宋" w:eastAsia="仿宋"/>
          <w:color w:val="000000" w:themeColor="text1"/>
          <w:sz w:val="32"/>
          <w:szCs w:val="32"/>
        </w:rPr>
        <w:t>上级补助收入</w:t>
      </w:r>
      <w:r>
        <w:rPr>
          <w:rFonts w:hint="eastAsia" w:ascii="仿宋" w:hAnsi="仿宋" w:eastAsia="仿宋"/>
          <w:color w:val="000000" w:themeColor="text1"/>
          <w:sz w:val="32"/>
          <w:szCs w:val="32"/>
          <w:lang w:val="en-US" w:eastAsia="zh-CN"/>
        </w:rPr>
        <w:t>0.00</w:t>
      </w:r>
      <w:r>
        <w:rPr>
          <w:rFonts w:hint="eastAsia" w:ascii="仿宋" w:hAnsi="仿宋" w:eastAsia="仿宋"/>
          <w:color w:val="000000"/>
          <w:sz w:val="32"/>
          <w:szCs w:val="32"/>
        </w:rPr>
        <w:t>万元；事业收入</w:t>
      </w:r>
      <w:r>
        <w:rPr>
          <w:rFonts w:hint="eastAsia" w:ascii="仿宋" w:hAnsi="仿宋" w:eastAsia="仿宋"/>
          <w:color w:val="000000"/>
          <w:sz w:val="32"/>
          <w:szCs w:val="32"/>
          <w:lang w:val="en-US" w:eastAsia="zh-CN"/>
        </w:rPr>
        <w:t>0.00</w:t>
      </w:r>
      <w:r>
        <w:rPr>
          <w:rFonts w:hint="eastAsia" w:ascii="仿宋" w:hAnsi="仿宋" w:eastAsia="仿宋"/>
          <w:color w:val="000000"/>
          <w:sz w:val="32"/>
          <w:szCs w:val="32"/>
        </w:rPr>
        <w:t>万元；经营收入</w:t>
      </w:r>
      <w:r>
        <w:rPr>
          <w:rFonts w:hint="eastAsia" w:ascii="仿宋" w:hAnsi="仿宋" w:eastAsia="仿宋"/>
          <w:color w:val="000000"/>
          <w:sz w:val="32"/>
          <w:szCs w:val="32"/>
          <w:lang w:val="en-US" w:eastAsia="zh-CN"/>
        </w:rPr>
        <w:t>0.00</w:t>
      </w:r>
      <w:r>
        <w:rPr>
          <w:rFonts w:hint="eastAsia" w:ascii="仿宋" w:hAnsi="仿宋" w:eastAsia="仿宋"/>
          <w:color w:val="000000"/>
          <w:sz w:val="32"/>
          <w:szCs w:val="32"/>
        </w:rPr>
        <w:t>万元；附属单位上缴收入</w:t>
      </w:r>
      <w:r>
        <w:rPr>
          <w:rFonts w:hint="eastAsia" w:ascii="仿宋" w:hAnsi="仿宋" w:eastAsia="仿宋"/>
          <w:color w:val="000000"/>
          <w:sz w:val="32"/>
          <w:szCs w:val="32"/>
          <w:lang w:val="en-US" w:eastAsia="zh-CN"/>
        </w:rPr>
        <w:t>0.00</w:t>
      </w:r>
      <w:r>
        <w:rPr>
          <w:rFonts w:hint="eastAsia" w:ascii="仿宋" w:hAnsi="仿宋" w:eastAsia="仿宋"/>
          <w:color w:val="000000"/>
          <w:sz w:val="32"/>
          <w:szCs w:val="32"/>
        </w:rPr>
        <w:t>万元；其他收入</w:t>
      </w:r>
      <w:r>
        <w:rPr>
          <w:rFonts w:hint="eastAsia" w:ascii="仿宋" w:hAnsi="仿宋" w:eastAsia="仿宋"/>
          <w:color w:val="000000"/>
          <w:sz w:val="32"/>
          <w:szCs w:val="32"/>
          <w:lang w:val="en-US" w:eastAsia="zh-CN"/>
        </w:rPr>
        <w:t>0.00</w:t>
      </w:r>
      <w:r>
        <w:rPr>
          <w:rFonts w:hint="eastAsia" w:ascii="仿宋" w:hAnsi="仿宋" w:eastAsia="仿宋"/>
          <w:color w:val="000000"/>
          <w:sz w:val="32"/>
          <w:szCs w:val="32"/>
        </w:rPr>
        <w:t>万元。</w:t>
      </w:r>
    </w:p>
    <w:p>
      <w:pPr>
        <w:spacing w:line="600" w:lineRule="exact"/>
        <w:ind w:firstLine="640" w:firstLineChars="200"/>
        <w:outlineLvl w:val="1"/>
        <w:rPr>
          <w:rFonts w:ascii="仿宋" w:hAnsi="仿宋" w:eastAsia="仿宋"/>
          <w:color w:val="000000"/>
          <w:sz w:val="32"/>
          <w:szCs w:val="32"/>
        </w:rPr>
      </w:pPr>
    </w:p>
    <w:p>
      <w:pPr>
        <w:spacing w:line="600" w:lineRule="exact"/>
        <w:ind w:firstLine="640" w:firstLineChars="200"/>
        <w:rPr>
          <w:rFonts w:ascii="仿宋_GB2312" w:eastAsia="仿宋_GB2312"/>
          <w:color w:val="FF0000"/>
          <w:sz w:val="32"/>
          <w:szCs w:val="32"/>
        </w:rPr>
      </w:pPr>
      <w:r>
        <w:rPr>
          <w:rFonts w:ascii="仿宋_GB2312" w:eastAsia="仿宋_GB2312"/>
          <w:color w:val="000000"/>
          <w:sz w:val="32"/>
          <w:szCs w:val="32"/>
        </w:rPr>
        <w:drawing>
          <wp:anchor distT="0" distB="0" distL="114300" distR="114300" simplePos="0" relativeHeight="251662336" behindDoc="0" locked="0" layoutInCell="1" allowOverlap="1">
            <wp:simplePos x="0" y="0"/>
            <wp:positionH relativeFrom="column">
              <wp:posOffset>596900</wp:posOffset>
            </wp:positionH>
            <wp:positionV relativeFrom="paragraph">
              <wp:posOffset>-8709660</wp:posOffset>
            </wp:positionV>
            <wp:extent cx="4260850" cy="2072005"/>
            <wp:effectExtent l="0" t="0" r="6350" b="4445"/>
            <wp:wrapSquare wrapText="bothSides"/>
            <wp:docPr id="3" name="图片 1" descr="01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01_副本"/>
                    <pic:cNvPicPr>
                      <a:picLocks noChangeAspect="1"/>
                    </pic:cNvPicPr>
                  </pic:nvPicPr>
                  <pic:blipFill>
                    <a:blip r:embed="rId10"/>
                    <a:stretch>
                      <a:fillRect/>
                    </a:stretch>
                  </pic:blipFill>
                  <pic:spPr>
                    <a:xfrm>
                      <a:off x="0" y="0"/>
                      <a:ext cx="4260850" cy="2072005"/>
                    </a:xfrm>
                    <a:prstGeom prst="rect">
                      <a:avLst/>
                    </a:prstGeom>
                    <a:noFill/>
                    <a:ln>
                      <a:noFill/>
                    </a:ln>
                  </pic:spPr>
                </pic:pic>
              </a:graphicData>
            </a:graphic>
          </wp:anchor>
        </w:drawing>
      </w:r>
    </w:p>
    <w:p>
      <w:pPr>
        <w:pStyle w:val="32"/>
        <w:numPr>
          <w:ilvl w:val="0"/>
          <w:numId w:val="0"/>
        </w:numPr>
        <w:spacing w:line="600" w:lineRule="exact"/>
        <w:ind w:firstLine="640" w:firstLineChars="200"/>
        <w:outlineLvl w:val="1"/>
        <w:rPr>
          <w:rFonts w:hint="eastAsia" w:ascii="黑体" w:hAnsi="黑体" w:eastAsia="黑体"/>
          <w:color w:val="000000"/>
          <w:sz w:val="32"/>
          <w:szCs w:val="32"/>
          <w:lang w:eastAsia="zh-CN"/>
        </w:rPr>
      </w:pPr>
      <w:bookmarkStart w:id="19" w:name="_Toc15377207"/>
      <w:bookmarkStart w:id="20" w:name="_Toc15396605"/>
    </w:p>
    <w:p>
      <w:pPr>
        <w:pStyle w:val="32"/>
        <w:numPr>
          <w:ilvl w:val="0"/>
          <w:numId w:val="0"/>
        </w:numPr>
        <w:spacing w:line="600" w:lineRule="exact"/>
        <w:outlineLvl w:val="1"/>
        <w:rPr>
          <w:rFonts w:hint="eastAsia" w:ascii="黑体" w:hAnsi="黑体" w:eastAsia="黑体"/>
          <w:color w:val="000000"/>
          <w:sz w:val="32"/>
          <w:szCs w:val="32"/>
          <w:lang w:val="en-US" w:eastAsia="zh-CN"/>
        </w:rPr>
      </w:pPr>
      <w:r>
        <w:rPr>
          <w:rFonts w:hint="eastAsia" w:ascii="黑体" w:hAnsi="黑体" w:eastAsia="黑体"/>
          <w:color w:val="000000"/>
          <w:sz w:val="32"/>
          <w:szCs w:val="32"/>
          <w:lang w:val="en-US" w:eastAsia="zh-CN"/>
        </w:rPr>
        <w:t xml:space="preserve">    </w:t>
      </w:r>
    </w:p>
    <w:p>
      <w:pPr>
        <w:pStyle w:val="32"/>
        <w:numPr>
          <w:ilvl w:val="0"/>
          <w:numId w:val="0"/>
        </w:numPr>
        <w:spacing w:line="600" w:lineRule="exact"/>
        <w:outlineLvl w:val="1"/>
        <w:rPr>
          <w:rFonts w:hint="eastAsia" w:ascii="黑体" w:hAnsi="黑体" w:eastAsia="黑体"/>
          <w:color w:val="000000"/>
          <w:sz w:val="32"/>
          <w:szCs w:val="32"/>
          <w:lang w:val="en-US" w:eastAsia="zh-CN"/>
        </w:rPr>
      </w:pPr>
    </w:p>
    <w:p>
      <w:pPr>
        <w:pStyle w:val="32"/>
        <w:numPr>
          <w:ilvl w:val="0"/>
          <w:numId w:val="0"/>
        </w:numPr>
        <w:spacing w:line="600" w:lineRule="exact"/>
        <w:ind w:firstLine="640" w:firstLineChars="200"/>
        <w:outlineLvl w:val="1"/>
        <w:rPr>
          <w:rStyle w:val="34"/>
          <w:rFonts w:ascii="黑体" w:hAnsi="黑体" w:eastAsia="黑体"/>
          <w:b w:val="0"/>
        </w:rPr>
      </w:pPr>
      <w:r>
        <w:rPr>
          <w:rFonts w:hint="eastAsia" w:ascii="黑体" w:hAnsi="黑体" w:eastAsia="黑体"/>
          <w:color w:val="000000"/>
          <w:sz w:val="32"/>
          <w:szCs w:val="32"/>
          <w:lang w:eastAsia="zh-CN"/>
        </w:rPr>
        <w:t>三、</w:t>
      </w:r>
      <w:r>
        <w:rPr>
          <w:rFonts w:hint="eastAsia" w:ascii="黑体" w:hAnsi="黑体" w:eastAsia="黑体"/>
          <w:color w:val="000000"/>
          <w:sz w:val="32"/>
          <w:szCs w:val="32"/>
        </w:rPr>
        <w:t>支</w:t>
      </w:r>
      <w:r>
        <w:rPr>
          <w:rStyle w:val="34"/>
          <w:rFonts w:hint="eastAsia" w:ascii="黑体" w:hAnsi="黑体" w:eastAsia="黑体"/>
          <w:b w:val="0"/>
        </w:rPr>
        <w:t>出决算情况说明</w:t>
      </w:r>
      <w:bookmarkEnd w:id="19"/>
      <w:bookmarkEnd w:id="20"/>
    </w:p>
    <w:p>
      <w:pPr>
        <w:spacing w:line="600" w:lineRule="exact"/>
        <w:ind w:firstLine="640" w:firstLineChars="200"/>
        <w:outlineLvl w:val="1"/>
        <w:rPr>
          <w:rFonts w:hint="eastAsia"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年支出合计</w:t>
      </w:r>
      <w:r>
        <w:rPr>
          <w:rFonts w:hint="eastAsia" w:ascii="仿宋" w:hAnsi="仿宋" w:eastAsia="仿宋"/>
          <w:color w:val="000000"/>
          <w:sz w:val="32"/>
          <w:szCs w:val="32"/>
          <w:lang w:val="en-US" w:eastAsia="zh-CN"/>
        </w:rPr>
        <w:t>248.74</w:t>
      </w:r>
      <w:r>
        <w:rPr>
          <w:rFonts w:hint="eastAsia" w:ascii="仿宋" w:hAnsi="仿宋" w:eastAsia="仿宋"/>
          <w:color w:val="000000"/>
          <w:sz w:val="32"/>
          <w:szCs w:val="32"/>
        </w:rPr>
        <w:t>万元，</w:t>
      </w:r>
      <w:r>
        <w:rPr>
          <w:rFonts w:hint="eastAsia" w:ascii="仿宋_GB2312" w:hAnsi="仿宋_GB2312" w:eastAsia="仿宋_GB2312" w:cs="仿宋_GB2312"/>
          <w:sz w:val="32"/>
          <w:szCs w:val="32"/>
          <w:lang w:eastAsia="zh-CN"/>
        </w:rPr>
        <w:t>年末结转和结余</w:t>
      </w:r>
      <w:r>
        <w:rPr>
          <w:rFonts w:hint="eastAsia" w:ascii="仿宋_GB2312" w:hAnsi="仿宋_GB2312" w:eastAsia="仿宋_GB2312" w:cs="仿宋_GB2312"/>
          <w:sz w:val="32"/>
          <w:szCs w:val="32"/>
          <w:lang w:val="en-US" w:eastAsia="zh-CN"/>
        </w:rPr>
        <w:t>0.44万元。</w:t>
      </w:r>
      <w:r>
        <w:rPr>
          <w:rFonts w:hint="eastAsia" w:ascii="仿宋" w:hAnsi="仿宋" w:eastAsia="仿宋"/>
          <w:color w:val="000000"/>
          <w:sz w:val="32"/>
          <w:szCs w:val="32"/>
        </w:rPr>
        <w:t>其中：基本支出</w:t>
      </w:r>
      <w:r>
        <w:rPr>
          <w:rFonts w:hint="eastAsia" w:ascii="仿宋" w:hAnsi="仿宋" w:eastAsia="仿宋"/>
          <w:color w:val="000000"/>
          <w:sz w:val="32"/>
          <w:szCs w:val="32"/>
          <w:lang w:val="en-US" w:eastAsia="zh-CN"/>
        </w:rPr>
        <w:t>246.11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98.94</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2.64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1.06</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0.00</w:t>
      </w:r>
      <w:r>
        <w:rPr>
          <w:rFonts w:hint="eastAsia" w:ascii="仿宋" w:hAnsi="仿宋" w:eastAsia="仿宋"/>
          <w:color w:val="000000"/>
          <w:sz w:val="32"/>
          <w:szCs w:val="32"/>
        </w:rPr>
        <w:t>万元；经营支出</w:t>
      </w:r>
      <w:r>
        <w:rPr>
          <w:rFonts w:hint="eastAsia" w:ascii="仿宋" w:hAnsi="仿宋" w:eastAsia="仿宋"/>
          <w:color w:val="000000"/>
          <w:sz w:val="32"/>
          <w:szCs w:val="32"/>
          <w:lang w:val="en-US" w:eastAsia="zh-CN"/>
        </w:rPr>
        <w:t>0.00</w:t>
      </w:r>
      <w:r>
        <w:rPr>
          <w:rFonts w:hint="eastAsia" w:ascii="仿宋" w:hAnsi="仿宋" w:eastAsia="仿宋"/>
          <w:color w:val="000000"/>
          <w:sz w:val="32"/>
          <w:szCs w:val="32"/>
        </w:rPr>
        <w:t>万元；对附属单位补助支出</w:t>
      </w:r>
      <w:r>
        <w:rPr>
          <w:rFonts w:hint="eastAsia" w:ascii="仿宋" w:hAnsi="仿宋" w:eastAsia="仿宋"/>
          <w:color w:val="000000"/>
          <w:sz w:val="32"/>
          <w:szCs w:val="32"/>
          <w:lang w:val="en-US" w:eastAsia="zh-CN"/>
        </w:rPr>
        <w:t>0.00</w:t>
      </w:r>
      <w:r>
        <w:rPr>
          <w:rFonts w:hint="eastAsia" w:ascii="仿宋" w:hAnsi="仿宋" w:eastAsia="仿宋"/>
          <w:color w:val="000000"/>
          <w:sz w:val="32"/>
          <w:szCs w:val="32"/>
        </w:rPr>
        <w:t>万元。</w:t>
      </w:r>
    </w:p>
    <w:p>
      <w:pPr>
        <w:spacing w:line="600" w:lineRule="exact"/>
        <w:ind w:firstLine="640" w:firstLineChars="200"/>
        <w:outlineLvl w:val="1"/>
        <w:rPr>
          <w:rFonts w:hint="eastAsia" w:ascii="仿宋" w:hAnsi="仿宋" w:eastAsia="仿宋"/>
          <w:color w:val="000000"/>
          <w:sz w:val="32"/>
          <w:szCs w:val="32"/>
        </w:rPr>
      </w:pPr>
    </w:p>
    <w:p>
      <w:pPr>
        <w:spacing w:line="600" w:lineRule="exact"/>
        <w:ind w:firstLine="640" w:firstLineChars="200"/>
        <w:outlineLvl w:val="1"/>
        <w:rPr>
          <w:rFonts w:hint="eastAsia" w:ascii="仿宋" w:hAnsi="仿宋" w:eastAsia="仿宋"/>
          <w:color w:val="000000"/>
          <w:sz w:val="32"/>
          <w:szCs w:val="32"/>
        </w:rPr>
      </w:pPr>
    </w:p>
    <w:p>
      <w:pPr>
        <w:spacing w:line="600" w:lineRule="exact"/>
        <w:ind w:firstLine="640" w:firstLineChars="200"/>
        <w:outlineLvl w:val="1"/>
        <w:rPr>
          <w:rFonts w:hint="eastAsia" w:ascii="仿宋" w:hAnsi="仿宋" w:eastAsia="仿宋"/>
          <w:color w:val="000000"/>
          <w:sz w:val="32"/>
          <w:szCs w:val="32"/>
        </w:rPr>
      </w:pPr>
    </w:p>
    <w:p>
      <w:pPr>
        <w:spacing w:line="600" w:lineRule="exact"/>
        <w:ind w:firstLine="640" w:firstLineChars="200"/>
        <w:outlineLvl w:val="1"/>
        <w:rPr>
          <w:rFonts w:hint="eastAsia" w:ascii="仿宋" w:hAnsi="仿宋" w:eastAsia="仿宋"/>
          <w:color w:val="000000"/>
          <w:sz w:val="32"/>
          <w:szCs w:val="32"/>
        </w:rPr>
      </w:pPr>
      <w:r>
        <w:rPr>
          <w:rFonts w:hint="eastAsia" w:ascii="仿宋" w:hAnsi="仿宋" w:eastAsia="仿宋"/>
          <w:color w:val="000000" w:themeColor="text1"/>
          <w:sz w:val="32"/>
          <w:szCs w:val="32"/>
          <w:lang w:eastAsia="zh-CN"/>
        </w:rPr>
        <w:drawing>
          <wp:anchor distT="0" distB="0" distL="114300" distR="114300" simplePos="0" relativeHeight="251663360" behindDoc="0" locked="0" layoutInCell="1" allowOverlap="1">
            <wp:simplePos x="0" y="0"/>
            <wp:positionH relativeFrom="column">
              <wp:posOffset>401320</wp:posOffset>
            </wp:positionH>
            <wp:positionV relativeFrom="paragraph">
              <wp:posOffset>-909955</wp:posOffset>
            </wp:positionV>
            <wp:extent cx="4717415" cy="1782445"/>
            <wp:effectExtent l="4445" t="4445" r="21590" b="22860"/>
            <wp:wrapSquare wrapText="bothSides"/>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outlineLvl w:val="1"/>
        <w:rPr>
          <w:rStyle w:val="34"/>
          <w:rFonts w:ascii="黑体" w:hAnsi="黑体" w:eastAsia="黑体"/>
          <w:b w:val="0"/>
        </w:rPr>
      </w:pPr>
      <w:bookmarkStart w:id="21" w:name="_Toc15396606"/>
      <w:bookmarkStart w:id="22" w:name="_Toc15377208"/>
      <w:r>
        <w:rPr>
          <w:rFonts w:hint="eastAsia" w:ascii="黑体" w:hAnsi="黑体" w:eastAsia="黑体"/>
          <w:color w:val="000000"/>
          <w:sz w:val="32"/>
          <w:szCs w:val="32"/>
        </w:rPr>
        <w:t>四、财</w:t>
      </w:r>
      <w:r>
        <w:rPr>
          <w:rStyle w:val="34"/>
          <w:rFonts w:hint="eastAsia" w:ascii="黑体" w:hAnsi="黑体" w:eastAsia="黑体"/>
          <w:b w:val="0"/>
        </w:rPr>
        <w:t>政拨款收入支出决算总体情况说明</w:t>
      </w:r>
      <w:bookmarkEnd w:id="21"/>
      <w:bookmarkEnd w:id="22"/>
    </w:p>
    <w:p>
      <w:pPr>
        <w:spacing w:line="600" w:lineRule="exact"/>
        <w:ind w:firstLine="640" w:firstLineChars="200"/>
        <w:rPr>
          <w:rFonts w:hint="default" w:ascii="仿宋" w:hAnsi="仿宋" w:eastAsia="仿宋"/>
          <w:color w:val="000000"/>
          <w:sz w:val="32"/>
          <w:szCs w:val="32"/>
          <w:lang w:val="en-US"/>
        </w:rPr>
      </w:pPr>
      <w:r>
        <w:rPr>
          <w:rFonts w:hint="eastAsia"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年度</w:t>
      </w:r>
      <w:r>
        <w:rPr>
          <w:rFonts w:hint="eastAsia" w:ascii="仿宋" w:hAnsi="仿宋" w:eastAsia="仿宋"/>
          <w:color w:val="000000"/>
          <w:sz w:val="32"/>
          <w:szCs w:val="32"/>
          <w:lang w:eastAsia="zh-CN"/>
        </w:rPr>
        <w:t>财政拨款</w:t>
      </w:r>
      <w:r>
        <w:rPr>
          <w:rFonts w:hint="eastAsia" w:ascii="仿宋" w:hAnsi="仿宋" w:eastAsia="仿宋"/>
          <w:color w:val="000000"/>
          <w:sz w:val="32"/>
          <w:szCs w:val="32"/>
        </w:rPr>
        <w:t>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249.18</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，支出总计</w:t>
      </w:r>
      <w:r>
        <w:rPr>
          <w:rFonts w:hint="eastAsia" w:ascii="仿宋" w:hAnsi="仿宋" w:eastAsia="仿宋"/>
          <w:color w:val="000000"/>
          <w:sz w:val="32"/>
          <w:szCs w:val="32"/>
          <w:lang w:val="en-US" w:eastAsia="zh-CN"/>
        </w:rPr>
        <w:t>248.74万元，年末结转和结余0.44万元</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lang w:val="en-US" w:eastAsia="zh-CN"/>
        </w:rPr>
        <w:t>19</w:t>
      </w:r>
      <w:r>
        <w:rPr>
          <w:rFonts w:hint="eastAsia" w:ascii="仿宋" w:hAnsi="仿宋" w:eastAsia="仿宋"/>
          <w:color w:val="000000"/>
          <w:sz w:val="32"/>
          <w:szCs w:val="32"/>
        </w:rPr>
        <w:t>年相比，财政拨款收</w:t>
      </w:r>
      <w:r>
        <w:rPr>
          <w:rFonts w:hint="eastAsia" w:ascii="仿宋" w:hAnsi="仿宋" w:eastAsia="仿宋"/>
          <w:color w:val="000000"/>
          <w:sz w:val="32"/>
          <w:szCs w:val="32"/>
          <w:lang w:eastAsia="zh-CN"/>
        </w:rPr>
        <w:t>入总计减少</w:t>
      </w:r>
      <w:r>
        <w:rPr>
          <w:rFonts w:hint="eastAsia" w:ascii="仿宋" w:hAnsi="仿宋" w:eastAsia="仿宋"/>
          <w:color w:val="000000"/>
          <w:sz w:val="32"/>
          <w:szCs w:val="32"/>
          <w:lang w:val="en-US" w:eastAsia="zh-CN"/>
        </w:rPr>
        <w:t>133.13万元</w:t>
      </w:r>
      <w:r>
        <w:rPr>
          <w:rFonts w:hint="eastAsia" w:ascii="仿宋" w:hAnsi="仿宋" w:eastAsia="仿宋"/>
          <w:color w:val="000000"/>
          <w:sz w:val="32"/>
          <w:szCs w:val="32"/>
          <w:lang w:eastAsia="zh-CN"/>
        </w:rPr>
        <w:t>，下降</w:t>
      </w:r>
      <w:r>
        <w:rPr>
          <w:rFonts w:hint="eastAsia" w:ascii="仿宋" w:hAnsi="仿宋" w:eastAsia="仿宋"/>
          <w:color w:val="000000"/>
          <w:sz w:val="32"/>
          <w:szCs w:val="32"/>
          <w:lang w:val="en-US" w:eastAsia="zh-CN"/>
        </w:rPr>
        <w:t>34.82</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133.57</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下降</w:t>
      </w:r>
      <w:r>
        <w:rPr>
          <w:rFonts w:hint="eastAsia" w:ascii="仿宋" w:hAnsi="仿宋" w:eastAsia="仿宋"/>
          <w:color w:val="000000"/>
          <w:sz w:val="32"/>
          <w:szCs w:val="32"/>
          <w:lang w:val="en-US" w:eastAsia="zh-CN"/>
        </w:rPr>
        <w:t>34.94</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人员减少。</w:t>
      </w:r>
    </w:p>
    <w:p>
      <w:pPr>
        <w:spacing w:line="600" w:lineRule="exact"/>
        <w:rPr>
          <w:rFonts w:ascii="仿宋" w:hAnsi="仿宋" w:eastAsia="仿宋"/>
          <w:b/>
          <w:color w:val="00B050"/>
          <w:sz w:val="32"/>
          <w:szCs w:val="32"/>
        </w:rPr>
      </w:pPr>
      <w:r>
        <w:rPr>
          <w:rFonts w:hint="eastAsia" w:ascii="仿宋_GB2312" w:eastAsia="仿宋_GB2312"/>
          <w:color w:val="000000"/>
          <w:sz w:val="32"/>
          <w:szCs w:val="32"/>
        </w:rPr>
        <w:pict>
          <v:shape id="_x0000_s1028" o:spid="_x0000_s1028" o:spt="75" type="#_x0000_t75" style="position:absolute;left:0pt;margin-left:33pt;margin-top:5.1pt;height:176.75pt;width:369pt;mso-wrap-distance-bottom:0pt;mso-wrap-distance-left:9pt;mso-wrap-distance-right:9pt;mso-wrap-distance-top:0pt;z-index:251664384;mso-width-relative:page;mso-height-relative:page;" o:ole="t" filled="f" o:preferrelative="t" stroked="f" coordsize="21600,21600">
            <v:path/>
            <v:fill on="f" focussize="0,0"/>
            <v:stroke on="f"/>
            <v:imagedata r:id="rId13" o:title=""/>
            <o:lock v:ext="edit" aspectratio="t"/>
            <w10:wrap type="square"/>
          </v:shape>
          <o:OLEObject Type="Embed" ProgID="Excel.Chart.8" ShapeID="_x0000_s1028" DrawAspect="Content" ObjectID="_1468075726" r:id="rId12">
            <o:LockedField>false</o:LockedField>
          </o:OLEObject>
        </w:pict>
      </w:r>
    </w:p>
    <w:p>
      <w:pPr>
        <w:spacing w:line="600" w:lineRule="exact"/>
        <w:ind w:firstLine="640" w:firstLineChars="200"/>
        <w:outlineLvl w:val="1"/>
        <w:rPr>
          <w:rStyle w:val="34"/>
          <w:rFonts w:ascii="黑体" w:hAnsi="黑体" w:eastAsia="黑体"/>
          <w:b w:val="0"/>
        </w:rPr>
      </w:pPr>
      <w:bookmarkStart w:id="23" w:name="_Toc15396607"/>
      <w:bookmarkStart w:id="24"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34"/>
          <w:rFonts w:hint="eastAsia" w:ascii="黑体" w:hAnsi="黑体" w:eastAsia="黑体"/>
          <w:b w:val="0"/>
        </w:rPr>
        <w:t>般公共预算财政拨款支出决算情况说明</w:t>
      </w:r>
      <w:bookmarkEnd w:id="23"/>
      <w:bookmarkEnd w:id="24"/>
    </w:p>
    <w:p>
      <w:pPr>
        <w:spacing w:line="600" w:lineRule="exact"/>
        <w:ind w:firstLine="642" w:firstLineChars="200"/>
        <w:outlineLvl w:val="2"/>
        <w:rPr>
          <w:rFonts w:ascii="仿宋" w:hAnsi="仿宋" w:eastAsia="仿宋"/>
          <w:b/>
          <w:color w:val="000000"/>
          <w:sz w:val="32"/>
          <w:szCs w:val="32"/>
        </w:rPr>
      </w:pPr>
      <w:bookmarkStart w:id="25" w:name="_Toc15377210"/>
      <w:r>
        <w:rPr>
          <w:rFonts w:hint="eastAsia" w:ascii="仿宋" w:hAnsi="仿宋" w:eastAsia="仿宋"/>
          <w:b/>
          <w:color w:val="000000"/>
          <w:sz w:val="32"/>
          <w:szCs w:val="32"/>
        </w:rPr>
        <w:t>（一）一般公共预算财政拨款支出决算总体情况</w:t>
      </w:r>
      <w:bookmarkEnd w:id="25"/>
    </w:p>
    <w:p>
      <w:pPr>
        <w:spacing w:line="600" w:lineRule="exact"/>
        <w:ind w:firstLine="640" w:firstLineChars="200"/>
        <w:rPr>
          <w:rFonts w:hint="eastAsia" w:ascii="仿宋" w:hAnsi="仿宋" w:eastAsia="仿宋"/>
          <w:b/>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248.74</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lang w:val="en-US" w:eastAsia="zh-CN"/>
        </w:rPr>
        <w:t>19</w:t>
      </w:r>
      <w:r>
        <w:rPr>
          <w:rFonts w:hint="eastAsia" w:ascii="仿宋" w:hAnsi="仿宋" w:eastAsia="仿宋"/>
          <w:color w:val="000000"/>
          <w:sz w:val="32"/>
          <w:szCs w:val="32"/>
        </w:rPr>
        <w:t>年相比，一般公共预算财政拨款</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133.57</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下降</w:t>
      </w:r>
      <w:r>
        <w:rPr>
          <w:rFonts w:hint="eastAsia" w:ascii="仿宋" w:hAnsi="仿宋" w:eastAsia="仿宋"/>
          <w:color w:val="000000"/>
          <w:sz w:val="32"/>
          <w:szCs w:val="32"/>
          <w:lang w:val="en-US" w:eastAsia="zh-CN"/>
        </w:rPr>
        <w:t>34.94</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人员减少。</w:t>
      </w:r>
      <w:bookmarkStart w:id="26" w:name="_Toc15377211"/>
    </w:p>
    <w:p>
      <w:pPr>
        <w:spacing w:line="600" w:lineRule="exact"/>
        <w:ind w:firstLine="640" w:firstLineChars="200"/>
        <w:outlineLvl w:val="2"/>
        <w:rPr>
          <w:rFonts w:hint="eastAsia" w:ascii="仿宋" w:hAnsi="仿宋" w:eastAsia="仿宋"/>
          <w:b/>
          <w:color w:val="000000"/>
          <w:sz w:val="32"/>
          <w:szCs w:val="32"/>
        </w:rPr>
      </w:pPr>
      <w:r>
        <w:rPr>
          <w:rFonts w:hint="eastAsia" w:ascii="仿宋_GB2312" w:eastAsia="仿宋_GB2312"/>
          <w:color w:val="000000"/>
          <w:sz w:val="32"/>
          <w:szCs w:val="32"/>
        </w:rPr>
        <w:pict>
          <v:shape id="_x0000_s1029" o:spid="_x0000_s1029" o:spt="75" type="#_x0000_t75" style="position:absolute;left:0pt;margin-left:35pt;margin-top:4.4pt;height:160.1pt;width:345.1pt;mso-wrap-distance-left:9pt;mso-wrap-distance-right:9pt;z-index:-251651072;mso-width-relative:page;mso-height-relative:page;" o:ole="t" filled="f" o:preferrelative="t" stroked="f" coordsize="21600,21600" wrapcoords="21592 -2 0 0 0 21599 21592 21601 8 21601 21600 21599 21600 0 8 -2 21592 -2">
            <v:path/>
            <v:fill on="f" focussize="0,0"/>
            <v:stroke on="f"/>
            <v:imagedata r:id="rId15" o:title=""/>
            <o:lock v:ext="edit" aspectratio="t"/>
            <w10:wrap type="tight"/>
          </v:shape>
          <o:OLEObject Type="Embed" ProgID="Excel.Chart.8" ShapeID="_x0000_s1029" DrawAspect="Content" ObjectID="_1468075727" r:id="rId14">
            <o:LockedField>false</o:LockedField>
          </o:OLEObject>
        </w:pict>
      </w:r>
    </w:p>
    <w:p>
      <w:pPr>
        <w:spacing w:line="600" w:lineRule="exact"/>
        <w:ind w:firstLine="642" w:firstLineChars="200"/>
        <w:outlineLvl w:val="2"/>
        <w:rPr>
          <w:rFonts w:hint="eastAsia" w:ascii="仿宋" w:hAnsi="仿宋" w:eastAsia="仿宋"/>
          <w:b/>
          <w:color w:val="000000"/>
          <w:sz w:val="32"/>
          <w:szCs w:val="32"/>
        </w:rPr>
      </w:pPr>
    </w:p>
    <w:p>
      <w:pPr>
        <w:spacing w:line="600" w:lineRule="exact"/>
        <w:ind w:firstLine="642" w:firstLineChars="200"/>
        <w:outlineLvl w:val="2"/>
        <w:rPr>
          <w:rFonts w:hint="eastAsia" w:ascii="仿宋" w:hAnsi="仿宋" w:eastAsia="仿宋"/>
          <w:b/>
          <w:color w:val="000000"/>
          <w:sz w:val="32"/>
          <w:szCs w:val="32"/>
        </w:rPr>
      </w:pPr>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26"/>
    </w:p>
    <w:p>
      <w:pPr>
        <w:spacing w:line="600" w:lineRule="exact"/>
        <w:ind w:firstLine="640" w:firstLineChars="200"/>
        <w:rPr>
          <w:rFonts w:hint="eastAsia" w:ascii="仿宋" w:hAnsi="仿宋" w:eastAsia="仿宋"/>
          <w:color w:val="000000" w:themeColor="text1"/>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rPr>
        <w:t>政拨款支出</w:t>
      </w:r>
      <w:r>
        <w:rPr>
          <w:rFonts w:hint="eastAsia" w:ascii="仿宋" w:hAnsi="仿宋" w:eastAsia="仿宋"/>
          <w:color w:val="000000"/>
          <w:sz w:val="32"/>
          <w:szCs w:val="32"/>
          <w:lang w:val="en-US" w:eastAsia="zh-CN"/>
        </w:rPr>
        <w:t>248.74</w:t>
      </w:r>
      <w:r>
        <w:rPr>
          <w:rFonts w:hint="eastAsia" w:ascii="仿宋" w:hAnsi="仿宋" w:eastAsia="仿宋"/>
          <w:color w:val="000000" w:themeColor="text1"/>
          <w:sz w:val="32"/>
          <w:szCs w:val="32"/>
        </w:rPr>
        <w:t>万元</w:t>
      </w:r>
      <w:r>
        <w:rPr>
          <w:rFonts w:hint="eastAsia" w:ascii="仿宋_GB2312" w:hAnsi="仿宋_GB2312" w:eastAsia="仿宋_GB2312" w:cs="仿宋_GB2312"/>
          <w:sz w:val="32"/>
          <w:szCs w:val="32"/>
          <w:lang w:val="en-US" w:eastAsia="zh-CN"/>
        </w:rPr>
        <w:t>。</w:t>
      </w:r>
      <w:r>
        <w:rPr>
          <w:rFonts w:hint="eastAsia" w:ascii="仿宋" w:hAnsi="仿宋" w:eastAsia="仿宋"/>
          <w:color w:val="000000" w:themeColor="text1"/>
          <w:sz w:val="32"/>
          <w:szCs w:val="32"/>
        </w:rPr>
        <w:t>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一般公共服务（类）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193.01</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77.6</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24.11</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9.7</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w:t>
      </w:r>
      <w:r>
        <w:rPr>
          <w:rFonts w:hint="eastAsia" w:ascii="仿宋" w:hAnsi="仿宋" w:eastAsia="仿宋"/>
          <w:b/>
          <w:bCs/>
          <w:color w:val="000000" w:themeColor="text1"/>
          <w:sz w:val="32"/>
          <w:szCs w:val="32"/>
          <w:lang w:val="en-US" w:eastAsia="zh-CN"/>
        </w:rPr>
        <w:t>(类)</w:t>
      </w:r>
      <w:r>
        <w:rPr>
          <w:rFonts w:hint="eastAsia" w:ascii="仿宋" w:hAnsi="仿宋" w:eastAsia="仿宋"/>
          <w:b/>
          <w:bCs/>
          <w:color w:val="000000" w:themeColor="text1"/>
          <w:sz w:val="32"/>
          <w:szCs w:val="32"/>
        </w:rPr>
        <w:t>支出</w:t>
      </w:r>
      <w:r>
        <w:rPr>
          <w:rFonts w:hint="eastAsia" w:ascii="仿宋" w:hAnsi="仿宋" w:eastAsia="仿宋"/>
          <w:color w:val="000000" w:themeColor="text1"/>
          <w:sz w:val="32"/>
          <w:szCs w:val="32"/>
          <w:lang w:val="en-US" w:eastAsia="zh-CN"/>
        </w:rPr>
        <w:t>12.10</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4.86</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住房保障</w:t>
      </w:r>
      <w:r>
        <w:rPr>
          <w:rFonts w:hint="eastAsia" w:ascii="仿宋" w:hAnsi="仿宋" w:eastAsia="仿宋"/>
          <w:b/>
          <w:bCs/>
          <w:color w:val="000000" w:themeColor="text1"/>
          <w:sz w:val="32"/>
          <w:szCs w:val="32"/>
          <w:lang w:eastAsia="zh-CN"/>
        </w:rPr>
        <w:t>（类）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18.44</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7.41</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lang w:eastAsia="zh-CN"/>
        </w:rPr>
        <w:t>农林水（类）支出</w:t>
      </w:r>
      <w:r>
        <w:rPr>
          <w:rFonts w:hint="eastAsia" w:ascii="仿宋" w:hAnsi="仿宋" w:eastAsia="仿宋"/>
          <w:color w:val="000000" w:themeColor="text1"/>
          <w:sz w:val="32"/>
          <w:szCs w:val="32"/>
          <w:lang w:val="en-US" w:eastAsia="zh-CN"/>
        </w:rPr>
        <w:t>1.08</w:t>
      </w:r>
      <w:r>
        <w:rPr>
          <w:rFonts w:hint="eastAsia" w:ascii="仿宋" w:hAnsi="仿宋" w:eastAsia="仿宋"/>
          <w:color w:val="000000" w:themeColor="text1"/>
          <w:sz w:val="32"/>
          <w:szCs w:val="32"/>
          <w:lang w:eastAsia="zh-CN"/>
        </w:rPr>
        <w:t>万元，占</w:t>
      </w:r>
      <w:r>
        <w:rPr>
          <w:rFonts w:hint="eastAsia" w:ascii="仿宋" w:hAnsi="仿宋" w:eastAsia="仿宋"/>
          <w:color w:val="000000" w:themeColor="text1"/>
          <w:sz w:val="32"/>
          <w:szCs w:val="32"/>
          <w:lang w:val="en-US" w:eastAsia="zh-CN"/>
        </w:rPr>
        <w:t>0.43</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p>
    <w:p>
      <w:pPr>
        <w:spacing w:line="600" w:lineRule="exact"/>
        <w:ind w:firstLine="640" w:firstLineChars="200"/>
        <w:outlineLvl w:val="2"/>
        <w:rPr>
          <w:rFonts w:hint="eastAsia" w:ascii="仿宋" w:hAnsi="仿宋" w:eastAsia="仿宋"/>
          <w:b/>
          <w:color w:val="000000"/>
          <w:sz w:val="32"/>
          <w:szCs w:val="32"/>
        </w:rPr>
      </w:pPr>
      <w:bookmarkStart w:id="27" w:name="_Toc15377212"/>
      <w:r>
        <w:rPr>
          <w:rFonts w:hint="eastAsia" w:ascii="仿宋_GB2312" w:eastAsia="仿宋_GB2312"/>
          <w:color w:val="000000"/>
          <w:sz w:val="32"/>
          <w:szCs w:val="32"/>
        </w:rPr>
        <w:pict>
          <v:shape id="_x0000_s1031" o:spid="_x0000_s1031" o:spt="75" type="#_x0000_t75" style="position:absolute;left:0pt;margin-left:44.75pt;margin-top:6.65pt;height:141.5pt;width:327.5pt;mso-wrap-distance-bottom:0pt;mso-wrap-distance-left:9pt;mso-wrap-distance-right:9pt;mso-wrap-distance-top:0pt;z-index:251666432;mso-width-relative:page;mso-height-relative:page;" o:ole="t" filled="f" o:preferrelative="t" stroked="f" coordsize="21600,21600">
            <v:path/>
            <v:fill on="f" focussize="0,0"/>
            <v:stroke on="f"/>
            <v:imagedata r:id="rId17" o:title=""/>
            <o:lock v:ext="edit" aspectratio="t"/>
            <w10:wrap type="square"/>
          </v:shape>
          <o:OLEObject Type="Embed" ProgID="Excel.Chart.8" ShapeID="_x0000_s1031" DrawAspect="Content" ObjectID="_1468075728" r:id="rId16">
            <o:LockedField>false</o:LockedField>
          </o:OLEObject>
        </w:pict>
      </w:r>
    </w:p>
    <w:p>
      <w:pPr>
        <w:spacing w:line="600" w:lineRule="exact"/>
        <w:ind w:firstLine="642" w:firstLineChars="200"/>
        <w:outlineLvl w:val="2"/>
        <w:rPr>
          <w:rFonts w:hint="eastAsia" w:ascii="仿宋" w:hAnsi="仿宋" w:eastAsia="仿宋"/>
          <w:b/>
          <w:color w:val="000000"/>
          <w:sz w:val="32"/>
          <w:szCs w:val="32"/>
        </w:rPr>
      </w:pPr>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27"/>
    </w:p>
    <w:p>
      <w:pPr>
        <w:spacing w:line="600" w:lineRule="exact"/>
        <w:ind w:firstLine="640" w:firstLineChars="200"/>
        <w:rPr>
          <w:rStyle w:val="16"/>
          <w:rFonts w:hint="eastAsia" w:ascii="仿宋" w:hAnsi="仿宋" w:eastAsia="仿宋"/>
          <w:b w:val="0"/>
          <w:bCs/>
          <w:color w:val="000000"/>
          <w:sz w:val="32"/>
          <w:szCs w:val="32"/>
        </w:rPr>
      </w:pPr>
      <w:bookmarkStart w:id="28" w:name="_Toc15377213"/>
      <w:bookmarkStart w:id="29" w:name="_Toc15378460"/>
      <w:bookmarkStart w:id="30" w:name="_Toc15377444"/>
      <w:r>
        <w:rPr>
          <w:rFonts w:hint="eastAsia" w:ascii="仿宋" w:hAnsi="仿宋" w:eastAsia="仿宋"/>
          <w:b w:val="0"/>
          <w:bCs/>
          <w:color w:val="000000" w:themeColor="text1"/>
          <w:sz w:val="32"/>
          <w:szCs w:val="32"/>
        </w:rPr>
        <w:t>20</w:t>
      </w:r>
      <w:r>
        <w:rPr>
          <w:rFonts w:hint="eastAsia" w:ascii="仿宋" w:hAnsi="仿宋" w:eastAsia="仿宋"/>
          <w:b w:val="0"/>
          <w:bCs/>
          <w:color w:val="000000" w:themeColor="text1"/>
          <w:sz w:val="32"/>
          <w:szCs w:val="32"/>
          <w:lang w:val="en-US" w:eastAsia="zh-CN"/>
        </w:rPr>
        <w:t>20</w:t>
      </w:r>
      <w:r>
        <w:rPr>
          <w:rFonts w:hint="eastAsia" w:ascii="仿宋" w:hAnsi="仿宋" w:eastAsia="仿宋"/>
          <w:b w:val="0"/>
          <w:bCs/>
          <w:color w:val="000000" w:themeColor="text1"/>
          <w:sz w:val="32"/>
          <w:szCs w:val="32"/>
        </w:rPr>
        <w:t>年</w:t>
      </w:r>
      <w:r>
        <w:rPr>
          <w:rFonts w:hint="eastAsia" w:ascii="仿宋" w:hAnsi="仿宋" w:eastAsia="仿宋"/>
          <w:b w:val="0"/>
          <w:bCs/>
          <w:color w:val="000000" w:themeColor="text1"/>
          <w:sz w:val="32"/>
          <w:szCs w:val="32"/>
          <w:lang w:eastAsia="zh-CN"/>
        </w:rPr>
        <w:t>一</w:t>
      </w:r>
      <w:r>
        <w:rPr>
          <w:rFonts w:hint="eastAsia" w:ascii="仿宋" w:hAnsi="仿宋" w:eastAsia="仿宋"/>
          <w:b w:val="0"/>
          <w:bCs/>
          <w:color w:val="000000" w:themeColor="text1"/>
          <w:sz w:val="32"/>
          <w:szCs w:val="32"/>
        </w:rPr>
        <w:t>般公共预算支出决算数为</w:t>
      </w:r>
      <w:r>
        <w:rPr>
          <w:rFonts w:hint="eastAsia" w:ascii="仿宋" w:hAnsi="仿宋" w:eastAsia="仿宋"/>
          <w:b w:val="0"/>
          <w:bCs/>
          <w:color w:val="000000" w:themeColor="text1"/>
          <w:sz w:val="32"/>
          <w:szCs w:val="32"/>
          <w:lang w:val="en-US" w:eastAsia="zh-CN"/>
        </w:rPr>
        <w:t>248.74万元</w:t>
      </w:r>
      <w:r>
        <w:rPr>
          <w:rFonts w:hint="eastAsia" w:ascii="仿宋_GB2312" w:hAnsi="仿宋_GB2312" w:eastAsia="仿宋_GB2312" w:cs="仿宋_GB2312"/>
          <w:sz w:val="32"/>
          <w:szCs w:val="32"/>
          <w:lang w:val="en-US" w:eastAsia="zh-CN"/>
        </w:rPr>
        <w:t>。</w:t>
      </w:r>
      <w:r>
        <w:rPr>
          <w:rStyle w:val="16"/>
          <w:rFonts w:hint="eastAsia" w:ascii="仿宋" w:hAnsi="仿宋" w:eastAsia="仿宋"/>
          <w:b w:val="0"/>
          <w:bCs/>
          <w:color w:val="000000" w:themeColor="text1"/>
          <w:sz w:val="32"/>
          <w:szCs w:val="32"/>
        </w:rPr>
        <w:t>完成</w:t>
      </w:r>
      <w:r>
        <w:rPr>
          <w:rStyle w:val="16"/>
          <w:rFonts w:hint="eastAsia" w:ascii="仿宋" w:hAnsi="仿宋" w:eastAsia="仿宋"/>
          <w:b w:val="0"/>
          <w:bCs/>
          <w:color w:val="000000"/>
          <w:sz w:val="32"/>
          <w:szCs w:val="32"/>
        </w:rPr>
        <w:t>预算</w:t>
      </w:r>
      <w:r>
        <w:rPr>
          <w:rStyle w:val="16"/>
          <w:rFonts w:hint="eastAsia" w:ascii="仿宋" w:hAnsi="仿宋" w:eastAsia="仿宋"/>
          <w:b w:val="0"/>
          <w:bCs/>
          <w:color w:val="000000"/>
          <w:sz w:val="32"/>
          <w:szCs w:val="32"/>
          <w:lang w:val="en-US" w:eastAsia="zh-CN"/>
        </w:rPr>
        <w:t>99.8</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。其中：</w:t>
      </w:r>
      <w:bookmarkEnd w:id="28"/>
      <w:bookmarkEnd w:id="29"/>
      <w:bookmarkEnd w:id="30"/>
    </w:p>
    <w:p>
      <w:pPr>
        <w:numPr>
          <w:ilvl w:val="0"/>
          <w:numId w:val="0"/>
        </w:numPr>
        <w:spacing w:line="600" w:lineRule="exact"/>
        <w:ind w:firstLine="642"/>
        <w:rPr>
          <w:rStyle w:val="16"/>
          <w:rFonts w:hint="eastAsia" w:ascii="仿宋" w:hAnsi="仿宋" w:eastAsia="仿宋"/>
          <w:b w:val="0"/>
          <w:bCs/>
          <w:color w:val="000000"/>
          <w:sz w:val="32"/>
          <w:szCs w:val="32"/>
        </w:rPr>
      </w:pPr>
      <w:r>
        <w:rPr>
          <w:rStyle w:val="16"/>
          <w:rFonts w:hint="eastAsia" w:ascii="仿宋" w:hAnsi="仿宋" w:eastAsia="仿宋"/>
          <w:bCs/>
          <w:color w:val="000000"/>
          <w:sz w:val="32"/>
          <w:szCs w:val="32"/>
          <w:lang w:val="en-US" w:eastAsia="zh-CN"/>
        </w:rPr>
        <w:t>1.</w:t>
      </w:r>
      <w:r>
        <w:rPr>
          <w:rStyle w:val="16"/>
          <w:rFonts w:hint="eastAsia" w:ascii="仿宋" w:hAnsi="仿宋" w:eastAsia="仿宋"/>
          <w:bCs/>
          <w:color w:val="000000"/>
          <w:sz w:val="32"/>
          <w:szCs w:val="32"/>
        </w:rPr>
        <w:t>一般公共服务（</w:t>
      </w:r>
      <w:r>
        <w:rPr>
          <w:rStyle w:val="16"/>
          <w:rFonts w:hint="eastAsia" w:ascii="仿宋" w:hAnsi="仿宋" w:eastAsia="仿宋"/>
          <w:bCs/>
          <w:color w:val="000000"/>
          <w:sz w:val="32"/>
          <w:szCs w:val="32"/>
          <w:lang w:val="en-US" w:eastAsia="zh-CN"/>
        </w:rPr>
        <w:t>类</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eastAsia="zh-CN"/>
        </w:rPr>
        <w:t>政府办公厅（室）及相关机构事务）</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款</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eastAsia="zh-CN"/>
        </w:rPr>
        <w:t>行政运行</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项</w:t>
      </w:r>
      <w:r>
        <w:rPr>
          <w:rStyle w:val="16"/>
          <w:rFonts w:hint="eastAsia" w:ascii="仿宋" w:hAnsi="仿宋" w:eastAsia="仿宋"/>
          <w:bCs/>
          <w:color w:val="000000"/>
          <w:sz w:val="32"/>
          <w:szCs w:val="32"/>
        </w:rPr>
        <w:t>）</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115.59</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numPr>
          <w:ilvl w:val="0"/>
          <w:numId w:val="0"/>
        </w:numPr>
        <w:spacing w:line="600" w:lineRule="exact"/>
        <w:rPr>
          <w:rStyle w:val="16"/>
          <w:rFonts w:hint="eastAsia" w:ascii="仿宋" w:hAnsi="仿宋" w:eastAsia="仿宋"/>
          <w:b w:val="0"/>
          <w:bCs/>
          <w:color w:val="000000"/>
          <w:sz w:val="32"/>
          <w:szCs w:val="32"/>
        </w:rPr>
      </w:pPr>
      <w:r>
        <w:rPr>
          <w:rStyle w:val="16"/>
          <w:rFonts w:hint="eastAsia" w:ascii="仿宋" w:hAnsi="仿宋" w:eastAsia="仿宋"/>
          <w:bCs/>
          <w:color w:val="000000"/>
          <w:sz w:val="32"/>
          <w:szCs w:val="32"/>
          <w:lang w:val="en-US" w:eastAsia="zh-CN"/>
        </w:rPr>
        <w:t xml:space="preserve">    2.</w:t>
      </w:r>
      <w:r>
        <w:rPr>
          <w:rStyle w:val="16"/>
          <w:rFonts w:hint="eastAsia" w:ascii="仿宋" w:hAnsi="仿宋" w:eastAsia="仿宋"/>
          <w:bCs/>
          <w:color w:val="000000"/>
          <w:sz w:val="32"/>
          <w:szCs w:val="32"/>
        </w:rPr>
        <w:t>一般公共服务（</w:t>
      </w:r>
      <w:r>
        <w:rPr>
          <w:rStyle w:val="16"/>
          <w:rFonts w:hint="eastAsia" w:ascii="仿宋" w:hAnsi="仿宋" w:eastAsia="仿宋"/>
          <w:bCs/>
          <w:color w:val="000000"/>
          <w:sz w:val="32"/>
          <w:szCs w:val="32"/>
          <w:lang w:val="en-US" w:eastAsia="zh-CN"/>
        </w:rPr>
        <w:t>类</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eastAsia="zh-CN"/>
        </w:rPr>
        <w:t>政府办公厅（室）及相关机构事务）</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款</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eastAsia="zh-CN"/>
        </w:rPr>
        <w:t>一般行政管理事务</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项</w:t>
      </w:r>
      <w:r>
        <w:rPr>
          <w:rStyle w:val="16"/>
          <w:rFonts w:hint="eastAsia" w:ascii="仿宋" w:hAnsi="仿宋" w:eastAsia="仿宋"/>
          <w:bCs/>
          <w:color w:val="000000"/>
          <w:sz w:val="32"/>
          <w:szCs w:val="32"/>
        </w:rPr>
        <w:t>）</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1.56</w:t>
      </w:r>
      <w:r>
        <w:rPr>
          <w:rStyle w:val="16"/>
          <w:rFonts w:hint="eastAsia" w:ascii="仿宋" w:hAnsi="仿宋" w:eastAsia="仿宋"/>
          <w:b w:val="0"/>
          <w:bCs/>
          <w:color w:val="000000"/>
          <w:sz w:val="32"/>
          <w:szCs w:val="32"/>
        </w:rPr>
        <w:t>万元</w:t>
      </w:r>
      <w:r>
        <w:rPr>
          <w:rFonts w:hint="eastAsia" w:ascii="仿宋_GB2312" w:hAnsi="仿宋_GB2312" w:eastAsia="仿宋_GB2312" w:cs="仿宋_GB2312"/>
          <w:sz w:val="32"/>
          <w:szCs w:val="32"/>
          <w:lang w:val="en-US" w:eastAsia="zh-CN"/>
        </w:rPr>
        <w:t>。</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78</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numPr>
          <w:ilvl w:val="0"/>
          <w:numId w:val="0"/>
        </w:numPr>
        <w:spacing w:line="600" w:lineRule="exact"/>
        <w:rPr>
          <w:rStyle w:val="16"/>
          <w:rFonts w:hint="eastAsia" w:ascii="仿宋" w:hAnsi="仿宋" w:eastAsia="仿宋"/>
          <w:b w:val="0"/>
          <w:bCs/>
          <w:color w:val="000000"/>
          <w:sz w:val="32"/>
          <w:szCs w:val="32"/>
        </w:rPr>
      </w:pPr>
      <w:r>
        <w:rPr>
          <w:rStyle w:val="16"/>
          <w:rFonts w:hint="eastAsia" w:ascii="仿宋" w:hAnsi="仿宋" w:eastAsia="仿宋"/>
          <w:bCs/>
          <w:color w:val="000000"/>
          <w:sz w:val="32"/>
          <w:szCs w:val="32"/>
          <w:lang w:val="en-US" w:eastAsia="zh-CN"/>
        </w:rPr>
        <w:t xml:space="preserve">    3.</w:t>
      </w:r>
      <w:r>
        <w:rPr>
          <w:rStyle w:val="16"/>
          <w:rFonts w:hint="eastAsia" w:ascii="仿宋" w:hAnsi="仿宋" w:eastAsia="仿宋"/>
          <w:bCs/>
          <w:color w:val="000000"/>
          <w:sz w:val="32"/>
          <w:szCs w:val="32"/>
        </w:rPr>
        <w:t>一般公共服务（</w:t>
      </w:r>
      <w:r>
        <w:rPr>
          <w:rStyle w:val="16"/>
          <w:rFonts w:hint="eastAsia" w:ascii="仿宋" w:hAnsi="仿宋" w:eastAsia="仿宋"/>
          <w:bCs/>
          <w:color w:val="000000"/>
          <w:sz w:val="32"/>
          <w:szCs w:val="32"/>
          <w:lang w:val="en-US" w:eastAsia="zh-CN"/>
        </w:rPr>
        <w:t>类</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eastAsia="zh-CN"/>
        </w:rPr>
        <w:t>政府办公厅（室）及相关机构事务）</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款</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eastAsia="zh-CN"/>
        </w:rPr>
        <w:t>事业运行</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项</w:t>
      </w:r>
      <w:r>
        <w:rPr>
          <w:rStyle w:val="16"/>
          <w:rFonts w:hint="eastAsia" w:ascii="仿宋" w:hAnsi="仿宋" w:eastAsia="仿宋"/>
          <w:bCs/>
          <w:color w:val="000000"/>
          <w:sz w:val="32"/>
          <w:szCs w:val="32"/>
        </w:rPr>
        <w:t>）</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75.86</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spacing w:line="600" w:lineRule="exact"/>
        <w:ind w:firstLine="642"/>
        <w:rPr>
          <w:rStyle w:val="16"/>
          <w:rFonts w:hint="eastAsia" w:ascii="仿宋" w:hAnsi="仿宋" w:eastAsia="仿宋"/>
          <w:b w:val="0"/>
          <w:bCs/>
          <w:color w:val="000000"/>
          <w:sz w:val="32"/>
          <w:szCs w:val="32"/>
        </w:rPr>
      </w:pPr>
      <w:r>
        <w:rPr>
          <w:rStyle w:val="16"/>
          <w:rFonts w:hint="eastAsia" w:ascii="仿宋" w:hAnsi="仿宋" w:eastAsia="仿宋"/>
          <w:bCs/>
          <w:color w:val="000000"/>
          <w:sz w:val="32"/>
          <w:szCs w:val="32"/>
          <w:lang w:val="en-US" w:eastAsia="zh-CN"/>
        </w:rPr>
        <w:t>4</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社会保障和就业（</w:t>
      </w:r>
      <w:r>
        <w:rPr>
          <w:rStyle w:val="16"/>
          <w:rFonts w:hint="eastAsia" w:ascii="仿宋" w:hAnsi="仿宋" w:eastAsia="仿宋"/>
          <w:bCs/>
          <w:color w:val="000000"/>
          <w:sz w:val="32"/>
          <w:szCs w:val="32"/>
          <w:lang w:val="en-US" w:eastAsia="zh-CN"/>
        </w:rPr>
        <w:t>类</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eastAsia="zh-CN"/>
        </w:rPr>
        <w:t>行政事业单位离退休</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款</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eastAsia="zh-CN"/>
        </w:rPr>
        <w:t>机关事业单位基本养老保险缴费支出</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项</w:t>
      </w:r>
      <w:r>
        <w:rPr>
          <w:rStyle w:val="16"/>
          <w:rFonts w:hint="eastAsia" w:ascii="仿宋" w:hAnsi="仿宋" w:eastAsia="仿宋"/>
          <w:bCs/>
          <w:color w:val="000000"/>
          <w:sz w:val="32"/>
          <w:szCs w:val="32"/>
        </w:rPr>
        <w:t>）</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16.09</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spacing w:line="600" w:lineRule="exact"/>
        <w:ind w:firstLine="642"/>
        <w:rPr>
          <w:rStyle w:val="16"/>
          <w:rFonts w:hint="eastAsia" w:ascii="仿宋" w:hAnsi="仿宋" w:eastAsia="仿宋"/>
          <w:b w:val="0"/>
          <w:bCs/>
          <w:color w:val="000000"/>
          <w:sz w:val="32"/>
          <w:szCs w:val="32"/>
        </w:rPr>
      </w:pPr>
      <w:r>
        <w:rPr>
          <w:rStyle w:val="16"/>
          <w:rFonts w:hint="eastAsia" w:ascii="仿宋" w:hAnsi="仿宋" w:eastAsia="仿宋"/>
          <w:bCs/>
          <w:color w:val="000000"/>
          <w:sz w:val="32"/>
          <w:szCs w:val="32"/>
          <w:lang w:val="en-US" w:eastAsia="zh-CN"/>
        </w:rPr>
        <w:t>5</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社会保障和就业（</w:t>
      </w:r>
      <w:r>
        <w:rPr>
          <w:rStyle w:val="16"/>
          <w:rFonts w:hint="eastAsia" w:ascii="仿宋" w:hAnsi="仿宋" w:eastAsia="仿宋"/>
          <w:bCs/>
          <w:color w:val="000000"/>
          <w:sz w:val="32"/>
          <w:szCs w:val="32"/>
          <w:lang w:val="en-US" w:eastAsia="zh-CN"/>
        </w:rPr>
        <w:t>类</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eastAsia="zh-CN"/>
        </w:rPr>
        <w:t>行政事业单位离退休</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款</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eastAsia="zh-CN"/>
        </w:rPr>
        <w:t>机关事业单位职业年金缴费支出（</w:t>
      </w:r>
      <w:r>
        <w:rPr>
          <w:rStyle w:val="16"/>
          <w:rFonts w:hint="eastAsia" w:ascii="仿宋" w:hAnsi="仿宋" w:eastAsia="仿宋"/>
          <w:bCs/>
          <w:color w:val="000000"/>
          <w:sz w:val="32"/>
          <w:szCs w:val="32"/>
          <w:lang w:val="en-US" w:eastAsia="zh-CN"/>
        </w:rPr>
        <w:t>项</w:t>
      </w:r>
      <w:r>
        <w:rPr>
          <w:rStyle w:val="16"/>
          <w:rFonts w:hint="eastAsia" w:ascii="仿宋" w:hAnsi="仿宋" w:eastAsia="仿宋"/>
          <w:bCs/>
          <w:color w:val="000000"/>
          <w:sz w:val="32"/>
          <w:szCs w:val="32"/>
          <w:lang w:eastAsia="zh-CN"/>
        </w:rPr>
        <w:t>）</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8.02</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numPr>
          <w:ilvl w:val="0"/>
          <w:numId w:val="0"/>
        </w:numPr>
        <w:spacing w:line="600" w:lineRule="exact"/>
        <w:rPr>
          <w:rStyle w:val="16"/>
          <w:rFonts w:hint="eastAsia" w:ascii="仿宋" w:hAnsi="仿宋" w:eastAsia="仿宋"/>
          <w:b w:val="0"/>
          <w:bCs/>
          <w:color w:val="000000"/>
          <w:sz w:val="32"/>
          <w:szCs w:val="32"/>
        </w:rPr>
      </w:pPr>
      <w:r>
        <w:rPr>
          <w:rFonts w:hint="eastAsia" w:ascii="仿宋" w:hAnsi="仿宋" w:eastAsia="仿宋"/>
          <w:b/>
          <w:bCs/>
          <w:color w:val="000000" w:themeColor="text1"/>
          <w:sz w:val="32"/>
          <w:szCs w:val="32"/>
          <w:lang w:val="en-US" w:eastAsia="zh-CN"/>
        </w:rPr>
        <w:t xml:space="preserve">    6.</w:t>
      </w:r>
      <w:r>
        <w:rPr>
          <w:rFonts w:hint="eastAsia" w:ascii="仿宋" w:hAnsi="仿宋" w:eastAsia="仿宋"/>
          <w:b/>
          <w:bCs/>
          <w:color w:val="000000" w:themeColor="text1"/>
          <w:sz w:val="32"/>
          <w:szCs w:val="32"/>
        </w:rPr>
        <w:t>卫生健康</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类</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eastAsia="zh-CN"/>
        </w:rPr>
        <w:t>行政事业单位医疗</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款</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eastAsia="zh-CN"/>
        </w:rPr>
        <w:t>行政单位医疗</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项</w:t>
      </w:r>
      <w:r>
        <w:rPr>
          <w:rStyle w:val="16"/>
          <w:rFonts w:hint="eastAsia" w:ascii="仿宋" w:hAnsi="仿宋" w:eastAsia="仿宋"/>
          <w:bCs/>
          <w:color w:val="000000"/>
          <w:sz w:val="32"/>
          <w:szCs w:val="32"/>
        </w:rPr>
        <w:t>）</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6.86</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numPr>
          <w:ilvl w:val="0"/>
          <w:numId w:val="0"/>
        </w:numPr>
        <w:spacing w:line="600" w:lineRule="exact"/>
        <w:rPr>
          <w:rStyle w:val="16"/>
          <w:rFonts w:hint="eastAsia" w:ascii="仿宋" w:hAnsi="仿宋" w:eastAsia="仿宋"/>
          <w:b w:val="0"/>
          <w:bCs/>
          <w:color w:val="000000"/>
          <w:sz w:val="32"/>
          <w:szCs w:val="32"/>
        </w:rPr>
      </w:pPr>
      <w:r>
        <w:rPr>
          <w:rFonts w:hint="eastAsia" w:ascii="仿宋" w:hAnsi="仿宋" w:eastAsia="仿宋"/>
          <w:b/>
          <w:bCs/>
          <w:color w:val="000000" w:themeColor="text1"/>
          <w:sz w:val="32"/>
          <w:szCs w:val="32"/>
          <w:lang w:val="en-US" w:eastAsia="zh-CN"/>
        </w:rPr>
        <w:t xml:space="preserve">    7.</w:t>
      </w:r>
      <w:r>
        <w:rPr>
          <w:rFonts w:hint="eastAsia" w:ascii="仿宋" w:hAnsi="仿宋" w:eastAsia="仿宋"/>
          <w:b/>
          <w:bCs/>
          <w:color w:val="000000" w:themeColor="text1"/>
          <w:sz w:val="32"/>
          <w:szCs w:val="32"/>
        </w:rPr>
        <w:t>卫生健康</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类</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eastAsia="zh-CN"/>
        </w:rPr>
        <w:t>行政事业单位医疗</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款</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eastAsia="zh-CN"/>
        </w:rPr>
        <w:t>事业单位医疗（</w:t>
      </w:r>
      <w:r>
        <w:rPr>
          <w:rStyle w:val="16"/>
          <w:rFonts w:hint="eastAsia" w:ascii="仿宋" w:hAnsi="仿宋" w:eastAsia="仿宋"/>
          <w:bCs/>
          <w:color w:val="000000"/>
          <w:sz w:val="32"/>
          <w:szCs w:val="32"/>
          <w:lang w:val="en-US" w:eastAsia="zh-CN"/>
        </w:rPr>
        <w:t>项</w:t>
      </w:r>
      <w:r>
        <w:rPr>
          <w:rStyle w:val="16"/>
          <w:rFonts w:hint="eastAsia" w:ascii="仿宋" w:hAnsi="仿宋" w:eastAsia="仿宋"/>
          <w:bCs/>
          <w:color w:val="000000"/>
          <w:sz w:val="32"/>
          <w:szCs w:val="32"/>
          <w:lang w:eastAsia="zh-CN"/>
        </w:rPr>
        <w:t>）</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5.24</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numPr>
          <w:ilvl w:val="0"/>
          <w:numId w:val="0"/>
        </w:numPr>
        <w:spacing w:line="600" w:lineRule="exact"/>
        <w:rPr>
          <w:rStyle w:val="16"/>
          <w:rFonts w:hint="eastAsia" w:ascii="仿宋" w:hAnsi="仿宋" w:eastAsia="仿宋"/>
          <w:b w:val="0"/>
          <w:bCs/>
          <w:color w:val="000000"/>
          <w:sz w:val="32"/>
          <w:szCs w:val="32"/>
        </w:rPr>
      </w:pPr>
      <w:r>
        <w:rPr>
          <w:rStyle w:val="16"/>
          <w:rFonts w:hint="eastAsia" w:ascii="仿宋" w:hAnsi="仿宋" w:eastAsia="仿宋"/>
          <w:bCs/>
          <w:color w:val="000000"/>
          <w:sz w:val="32"/>
          <w:szCs w:val="32"/>
          <w:lang w:val="en-US" w:eastAsia="zh-CN"/>
        </w:rPr>
        <w:t xml:space="preserve">    8.</w:t>
      </w:r>
      <w:r>
        <w:rPr>
          <w:rStyle w:val="16"/>
          <w:rFonts w:hint="eastAsia" w:ascii="仿宋" w:hAnsi="仿宋" w:eastAsia="仿宋"/>
          <w:bCs/>
          <w:color w:val="000000"/>
          <w:sz w:val="32"/>
          <w:szCs w:val="32"/>
          <w:lang w:eastAsia="zh-CN"/>
        </w:rPr>
        <w:t>住房保障支出</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类</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eastAsia="zh-CN"/>
        </w:rPr>
        <w:t>住房改革支出</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款</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eastAsia="zh-CN"/>
        </w:rPr>
        <w:t>住房公积金</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项</w:t>
      </w:r>
      <w:r>
        <w:rPr>
          <w:rStyle w:val="16"/>
          <w:rFonts w:hint="eastAsia" w:ascii="仿宋" w:hAnsi="仿宋" w:eastAsia="仿宋"/>
          <w:bCs/>
          <w:color w:val="000000"/>
          <w:sz w:val="32"/>
          <w:szCs w:val="32"/>
        </w:rPr>
        <w:t>）</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17.22</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numPr>
          <w:ilvl w:val="0"/>
          <w:numId w:val="0"/>
        </w:numPr>
        <w:spacing w:line="600" w:lineRule="exact"/>
        <w:rPr>
          <w:rStyle w:val="16"/>
          <w:rFonts w:hint="eastAsia" w:ascii="仿宋" w:hAnsi="仿宋" w:eastAsia="仿宋"/>
          <w:b w:val="0"/>
          <w:bCs/>
          <w:color w:val="000000"/>
          <w:sz w:val="32"/>
          <w:szCs w:val="32"/>
        </w:rPr>
      </w:pPr>
      <w:r>
        <w:rPr>
          <w:rStyle w:val="16"/>
          <w:rFonts w:hint="eastAsia" w:ascii="仿宋" w:hAnsi="仿宋" w:eastAsia="仿宋"/>
          <w:bCs/>
          <w:color w:val="000000"/>
          <w:sz w:val="32"/>
          <w:szCs w:val="32"/>
          <w:lang w:val="en-US" w:eastAsia="zh-CN"/>
        </w:rPr>
        <w:t xml:space="preserve">    9.</w:t>
      </w:r>
      <w:r>
        <w:rPr>
          <w:rStyle w:val="16"/>
          <w:rFonts w:hint="eastAsia" w:ascii="仿宋" w:hAnsi="仿宋" w:eastAsia="仿宋"/>
          <w:bCs/>
          <w:color w:val="000000"/>
          <w:sz w:val="32"/>
          <w:szCs w:val="32"/>
          <w:lang w:eastAsia="zh-CN"/>
        </w:rPr>
        <w:t>住房保障支出</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类</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eastAsia="zh-CN"/>
        </w:rPr>
        <w:t>住房改革支出</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eastAsia="zh-CN"/>
        </w:rPr>
        <w:t>款</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eastAsia="zh-CN"/>
        </w:rPr>
        <w:t>住房补贴</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项</w:t>
      </w:r>
      <w:r>
        <w:rPr>
          <w:rStyle w:val="16"/>
          <w:rFonts w:hint="eastAsia" w:ascii="仿宋" w:hAnsi="仿宋" w:eastAsia="仿宋"/>
          <w:bCs/>
          <w:color w:val="000000"/>
          <w:sz w:val="32"/>
          <w:szCs w:val="32"/>
        </w:rPr>
        <w:t>）</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1.22</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spacing w:line="600" w:lineRule="exact"/>
        <w:ind w:firstLine="642" w:firstLineChars="200"/>
        <w:rPr>
          <w:rStyle w:val="16"/>
          <w:rFonts w:hint="default" w:ascii="仿宋" w:hAnsi="仿宋" w:eastAsia="仿宋"/>
          <w:b w:val="0"/>
          <w:bCs/>
          <w:color w:val="000000"/>
          <w:sz w:val="32"/>
          <w:szCs w:val="32"/>
          <w:lang w:val="en-US" w:eastAsia="zh-CN"/>
        </w:rPr>
      </w:pPr>
      <w:r>
        <w:rPr>
          <w:rStyle w:val="16"/>
          <w:rFonts w:hint="eastAsia" w:ascii="仿宋" w:hAnsi="仿宋" w:eastAsia="仿宋"/>
          <w:bCs/>
          <w:color w:val="000000"/>
          <w:sz w:val="32"/>
          <w:szCs w:val="32"/>
          <w:lang w:val="en-US" w:eastAsia="zh-CN"/>
        </w:rPr>
        <w:t>10.农林水支出（类）扶贫（款）其他扶贫支出（项）：</w:t>
      </w:r>
      <w:r>
        <w:rPr>
          <w:rStyle w:val="16"/>
          <w:rFonts w:hint="eastAsia" w:ascii="仿宋" w:hAnsi="仿宋" w:eastAsia="仿宋"/>
          <w:b w:val="0"/>
          <w:bCs/>
          <w:color w:val="000000"/>
          <w:sz w:val="32"/>
          <w:szCs w:val="32"/>
          <w:lang w:val="en-US" w:eastAsia="zh-CN"/>
        </w:rPr>
        <w:t>支出决算为1.08万元，完成预算100%。</w:t>
      </w:r>
    </w:p>
    <w:p>
      <w:pPr>
        <w:tabs>
          <w:tab w:val="right" w:pos="8306"/>
        </w:tabs>
        <w:spacing w:line="600" w:lineRule="exact"/>
        <w:ind w:firstLine="640" w:firstLineChars="200"/>
        <w:outlineLvl w:val="1"/>
        <w:rPr>
          <w:rStyle w:val="34"/>
        </w:rPr>
      </w:pPr>
      <w:bookmarkStart w:id="31" w:name="_Toc15396608"/>
      <w:bookmarkStart w:id="32"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34"/>
          <w:rFonts w:hint="eastAsia" w:ascii="黑体" w:hAnsi="黑体" w:eastAsia="黑体"/>
          <w:b w:val="0"/>
        </w:rPr>
        <w:t>般公共预算财政拨款基本支出决算情况说明</w:t>
      </w:r>
      <w:bookmarkEnd w:id="31"/>
      <w:bookmarkEnd w:id="32"/>
      <w:r>
        <w:rPr>
          <w:rStyle w:val="34"/>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246.11</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sz w:val="32"/>
          <w:szCs w:val="32"/>
        </w:rPr>
      </w:pPr>
      <w:r>
        <w:rPr>
          <w:rFonts w:hint="eastAsia" w:ascii="仿宋" w:hAnsi="仿宋" w:eastAsia="仿宋"/>
          <w:b/>
          <w:bCs/>
          <w:color w:val="000000"/>
          <w:sz w:val="32"/>
          <w:szCs w:val="32"/>
        </w:rPr>
        <w:t>人员经费</w:t>
      </w:r>
      <w:r>
        <w:rPr>
          <w:rFonts w:hint="eastAsia" w:ascii="仿宋" w:hAnsi="仿宋" w:eastAsia="仿宋"/>
          <w:b/>
          <w:bCs/>
          <w:color w:val="000000"/>
          <w:sz w:val="32"/>
          <w:szCs w:val="32"/>
          <w:lang w:val="en-US" w:eastAsia="zh-CN"/>
        </w:rPr>
        <w:t>204.67</w:t>
      </w:r>
      <w:r>
        <w:rPr>
          <w:rFonts w:hint="eastAsia" w:ascii="仿宋" w:hAnsi="仿宋" w:eastAsia="仿宋"/>
          <w:b/>
          <w:bCs/>
          <w:color w:val="000000"/>
          <w:sz w:val="32"/>
          <w:szCs w:val="32"/>
        </w:rPr>
        <w:t>万元</w:t>
      </w:r>
      <w:r>
        <w:rPr>
          <w:rFonts w:hint="eastAsia" w:ascii="仿宋" w:hAnsi="仿宋" w:eastAsia="仿宋"/>
          <w:b/>
          <w:bCs/>
          <w:color w:val="000000"/>
          <w:sz w:val="32"/>
          <w:szCs w:val="32"/>
          <w:lang w:eastAsia="zh-CN"/>
        </w:rPr>
        <w:t>。</w:t>
      </w:r>
      <w:r>
        <w:rPr>
          <w:rFonts w:hint="eastAsia" w:ascii="仿宋" w:hAnsi="仿宋" w:eastAsia="仿宋"/>
          <w:color w:val="000000"/>
          <w:sz w:val="32"/>
          <w:szCs w:val="32"/>
        </w:rPr>
        <w:t>主要包括：基本工资、津贴补贴、奖金、绩效工资、机关事业单位基本养老保险缴费、职业年金缴费、</w:t>
      </w:r>
      <w:r>
        <w:rPr>
          <w:rFonts w:hint="eastAsia" w:ascii="仿宋" w:hAnsi="仿宋" w:eastAsia="仿宋"/>
          <w:color w:val="000000"/>
          <w:sz w:val="32"/>
          <w:szCs w:val="32"/>
          <w:lang w:eastAsia="zh-CN"/>
        </w:rPr>
        <w:t>职工基本医疗保险缴费、</w:t>
      </w:r>
      <w:r>
        <w:rPr>
          <w:rFonts w:hint="eastAsia" w:ascii="仿宋" w:hAnsi="仿宋" w:eastAsia="仿宋"/>
          <w:color w:val="000000"/>
          <w:sz w:val="32"/>
          <w:szCs w:val="32"/>
        </w:rPr>
        <w:t>其他社会保障缴费、住房公积金、</w:t>
      </w:r>
      <w:r>
        <w:rPr>
          <w:rFonts w:hint="eastAsia" w:ascii="仿宋" w:hAnsi="仿宋" w:eastAsia="仿宋"/>
          <w:color w:val="000000"/>
          <w:sz w:val="32"/>
          <w:szCs w:val="32"/>
          <w:lang w:eastAsia="zh-CN"/>
        </w:rPr>
        <w:t>医疗费、生活补助等</w:t>
      </w:r>
      <w:r>
        <w:rPr>
          <w:rFonts w:hint="eastAsia" w:ascii="仿宋" w:hAnsi="仿宋" w:eastAsia="仿宋"/>
          <w:color w:val="000000"/>
          <w:sz w:val="32"/>
          <w:szCs w:val="32"/>
        </w:rPr>
        <w:t>。</w:t>
      </w:r>
    </w:p>
    <w:p>
      <w:pPr>
        <w:spacing w:line="600" w:lineRule="exact"/>
        <w:ind w:firstLine="645"/>
        <w:rPr>
          <w:rFonts w:ascii="仿宋" w:hAnsi="仿宋" w:eastAsia="仿宋"/>
          <w:color w:val="000000"/>
          <w:sz w:val="32"/>
          <w:szCs w:val="32"/>
        </w:rPr>
      </w:pPr>
      <w:r>
        <w:rPr>
          <w:rFonts w:hint="eastAsia" w:ascii="仿宋" w:hAnsi="仿宋" w:eastAsia="仿宋"/>
          <w:b/>
          <w:bCs/>
          <w:color w:val="000000"/>
          <w:sz w:val="32"/>
          <w:szCs w:val="32"/>
        </w:rPr>
        <w:t>日常公用经费</w:t>
      </w:r>
      <w:r>
        <w:rPr>
          <w:rFonts w:hint="eastAsia" w:ascii="仿宋" w:hAnsi="仿宋" w:eastAsia="仿宋"/>
          <w:b/>
          <w:bCs/>
          <w:color w:val="000000"/>
          <w:sz w:val="32"/>
          <w:szCs w:val="32"/>
          <w:lang w:val="en-US" w:eastAsia="zh-CN"/>
        </w:rPr>
        <w:t>41.44</w:t>
      </w:r>
      <w:r>
        <w:rPr>
          <w:rFonts w:hint="eastAsia" w:ascii="仿宋" w:hAnsi="仿宋" w:eastAsia="仿宋"/>
          <w:b/>
          <w:bCs/>
          <w:color w:val="000000"/>
          <w:sz w:val="32"/>
          <w:szCs w:val="32"/>
        </w:rPr>
        <w:t>万元</w:t>
      </w:r>
      <w:r>
        <w:rPr>
          <w:rFonts w:hint="eastAsia" w:ascii="仿宋" w:hAnsi="仿宋" w:eastAsia="仿宋"/>
          <w:b/>
          <w:bCs/>
          <w:color w:val="000000"/>
          <w:sz w:val="32"/>
          <w:szCs w:val="32"/>
          <w:lang w:eastAsia="zh-CN"/>
        </w:rPr>
        <w:t>。</w:t>
      </w:r>
      <w:r>
        <w:rPr>
          <w:rFonts w:hint="eastAsia" w:ascii="仿宋" w:hAnsi="仿宋" w:eastAsia="仿宋"/>
          <w:color w:val="000000"/>
          <w:sz w:val="32"/>
          <w:szCs w:val="32"/>
        </w:rPr>
        <w:t>主要包括：办公费、印刷费、电费、邮电费、差旅费、维修（护）费、租赁费、培训费、公务接待费、劳务费、公务用车运行维护费、其他交通费。</w:t>
      </w:r>
    </w:p>
    <w:p>
      <w:pPr>
        <w:spacing w:line="600" w:lineRule="exact"/>
        <w:ind w:firstLine="640"/>
        <w:outlineLvl w:val="1"/>
        <w:rPr>
          <w:rStyle w:val="34"/>
          <w:rFonts w:ascii="黑体" w:hAnsi="黑体" w:eastAsia="黑体"/>
          <w:b w:val="0"/>
        </w:rPr>
      </w:pPr>
      <w:bookmarkStart w:id="33" w:name="_Toc15377215"/>
      <w:bookmarkStart w:id="34" w:name="_Toc15396609"/>
      <w:r>
        <w:rPr>
          <w:rFonts w:hint="eastAsia" w:ascii="黑体" w:eastAsia="黑体"/>
          <w:color w:val="000000"/>
          <w:sz w:val="32"/>
          <w:szCs w:val="32"/>
        </w:rPr>
        <w:t>七、</w:t>
      </w:r>
      <w:r>
        <w:rPr>
          <w:rStyle w:val="34"/>
          <w:rFonts w:hint="eastAsia" w:ascii="黑体" w:hAnsi="黑体" w:eastAsia="黑体"/>
        </w:rPr>
        <w:t>“</w:t>
      </w:r>
      <w:r>
        <w:rPr>
          <w:rStyle w:val="34"/>
          <w:rFonts w:hint="eastAsia" w:ascii="黑体" w:hAnsi="黑体" w:eastAsia="黑体"/>
          <w:b w:val="0"/>
        </w:rPr>
        <w:t>三公”经费财政拨款支出决算情况说明</w:t>
      </w:r>
      <w:bookmarkEnd w:id="33"/>
      <w:bookmarkEnd w:id="34"/>
    </w:p>
    <w:p>
      <w:pPr>
        <w:spacing w:line="600" w:lineRule="exact"/>
        <w:ind w:firstLine="640"/>
        <w:outlineLvl w:val="2"/>
        <w:rPr>
          <w:rFonts w:ascii="仿宋" w:hAnsi="仿宋" w:eastAsia="仿宋"/>
          <w:b/>
          <w:color w:val="000000"/>
          <w:sz w:val="32"/>
          <w:szCs w:val="32"/>
        </w:rPr>
      </w:pPr>
      <w:bookmarkStart w:id="35" w:name="_Toc15377216"/>
      <w:r>
        <w:rPr>
          <w:rFonts w:hint="eastAsia" w:ascii="仿宋" w:hAnsi="仿宋" w:eastAsia="仿宋"/>
          <w:b/>
          <w:color w:val="000000"/>
          <w:sz w:val="32"/>
          <w:szCs w:val="32"/>
        </w:rPr>
        <w:t>（一）“三公”经费财政拨款支出决算总体情况说明</w:t>
      </w:r>
      <w:bookmarkEnd w:id="3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3.18</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36" w:name="_Toc15377217"/>
      <w:r>
        <w:rPr>
          <w:rFonts w:hint="eastAsia" w:ascii="仿宋" w:hAnsi="仿宋" w:eastAsia="仿宋"/>
          <w:b/>
          <w:color w:val="000000"/>
          <w:sz w:val="32"/>
          <w:szCs w:val="32"/>
        </w:rPr>
        <w:t>（二）“三公”经费财政拨款支出决算具体情况说明</w:t>
      </w:r>
      <w:bookmarkEnd w:id="36"/>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年“三公”经费财政拨款支出决算</w:t>
      </w:r>
      <w:r>
        <w:rPr>
          <w:rFonts w:hint="eastAsia" w:ascii="仿宋" w:hAnsi="仿宋" w:eastAsia="仿宋"/>
          <w:color w:val="000000"/>
          <w:sz w:val="32"/>
          <w:szCs w:val="32"/>
          <w:lang w:eastAsia="zh-CN"/>
        </w:rPr>
        <w:t>数</w:t>
      </w:r>
      <w:r>
        <w:rPr>
          <w:rFonts w:hint="eastAsia" w:ascii="仿宋" w:hAnsi="仿宋" w:eastAsia="仿宋"/>
          <w:color w:val="000000"/>
          <w:sz w:val="32"/>
          <w:szCs w:val="32"/>
        </w:rPr>
        <w:t>，因公出国（境）费支出决算</w:t>
      </w:r>
      <w:r>
        <w:rPr>
          <w:rFonts w:hint="eastAsia" w:ascii="仿宋" w:hAnsi="仿宋" w:eastAsia="仿宋"/>
          <w:color w:val="000000"/>
          <w:sz w:val="32"/>
          <w:szCs w:val="32"/>
          <w:lang w:val="en-US" w:eastAsia="zh-CN"/>
        </w:rPr>
        <w:t>0.00</w:t>
      </w:r>
      <w:r>
        <w:rPr>
          <w:rFonts w:hint="eastAsia" w:ascii="仿宋" w:hAnsi="仿宋" w:eastAsia="仿宋"/>
          <w:color w:val="000000"/>
          <w:sz w:val="32"/>
          <w:szCs w:val="32"/>
        </w:rPr>
        <w:t>万元；公务用车购置及运行维护费支出决算</w:t>
      </w:r>
      <w:r>
        <w:rPr>
          <w:rFonts w:hint="eastAsia" w:ascii="仿宋" w:hAnsi="仿宋" w:eastAsia="仿宋"/>
          <w:color w:val="000000"/>
          <w:sz w:val="32"/>
          <w:szCs w:val="32"/>
          <w:lang w:val="en-US" w:eastAsia="zh-CN"/>
        </w:rPr>
        <w:t>3.00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94.3</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0.18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5.7</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left="638" w:leftChars="304" w:firstLine="329" w:firstLineChars="103"/>
        <w:rPr>
          <w:rFonts w:hint="eastAsia" w:ascii="仿宋_GB2312" w:eastAsia="仿宋_GB2312"/>
          <w:b/>
          <w:color w:val="000000"/>
          <w:sz w:val="32"/>
          <w:szCs w:val="32"/>
          <w:lang w:val="en-US" w:eastAsia="zh-CN"/>
        </w:rPr>
      </w:pPr>
      <w:r>
        <w:rPr>
          <w:rFonts w:hint="eastAsia" w:ascii="仿宋_GB2312" w:eastAsia="仿宋_GB2312"/>
          <w:color w:val="000000"/>
          <w:sz w:val="32"/>
          <w:szCs w:val="32"/>
        </w:rPr>
        <w:pict>
          <v:shape id="_x0000_s1036" o:spid="_x0000_s1036" o:spt="75" type="#_x0000_t75" style="position:absolute;left:0pt;margin-left:24.55pt;margin-top:9.7pt;height:172.3pt;width:387.05pt;mso-wrap-distance-bottom:0pt;mso-wrap-distance-left:9pt;mso-wrap-distance-right:9pt;mso-wrap-distance-top:0pt;z-index:251667456;mso-width-relative:page;mso-height-relative:page;" o:ole="t" filled="f" o:preferrelative="t" stroked="f" coordsize="21600,21600">
            <v:path/>
            <v:fill on="f" focussize="0,0"/>
            <v:stroke on="f"/>
            <v:imagedata r:id="rId19" o:title=""/>
            <o:lock v:ext="edit" aspectratio="t"/>
            <w10:wrap type="square"/>
          </v:shape>
          <o:OLEObject Type="Embed" ProgID="Excel.Chart.8" ShapeID="_x0000_s1036" DrawAspect="Content" ObjectID="_1468075729" r:id="rId18">
            <o:LockedField>false</o:LockedField>
          </o:OLEObject>
        </w:pict>
      </w:r>
      <w:r>
        <w:rPr>
          <w:rFonts w:hint="eastAsia" w:ascii="仿宋_GB2312" w:eastAsia="仿宋_GB2312"/>
          <w:b/>
          <w:color w:val="000000"/>
          <w:sz w:val="32"/>
          <w:szCs w:val="32"/>
          <w:lang w:val="en-US" w:eastAsia="zh-CN"/>
        </w:rPr>
        <w:t xml:space="preserve">                                                                                                               </w:t>
      </w:r>
    </w:p>
    <w:p>
      <w:pPr>
        <w:spacing w:line="600" w:lineRule="exact"/>
        <w:rPr>
          <w:rFonts w:ascii="仿宋_GB2312" w:eastAsia="仿宋_GB2312"/>
          <w:b/>
          <w:color w:val="000000"/>
          <w:sz w:val="32"/>
          <w:szCs w:val="32"/>
        </w:rPr>
      </w:pPr>
      <w:r>
        <w:rPr>
          <w:rFonts w:hint="eastAsia" w:ascii="仿宋_GB2312" w:eastAsia="仿宋_GB2312"/>
          <w:b/>
          <w:color w:val="000000"/>
          <w:sz w:val="32"/>
          <w:szCs w:val="32"/>
          <w:lang w:val="en-US" w:eastAsia="zh-CN"/>
        </w:rPr>
        <w:t xml:space="preserve">    </w:t>
      </w:r>
      <w:r>
        <w:rPr>
          <w:rFonts w:hint="eastAsia" w:ascii="仿宋_GB2312" w:hAnsi="Times New Roman" w:eastAsia="仿宋_GB2312" w:cs="仿宋_GB2312"/>
          <w:b/>
          <w:bCs w:val="0"/>
          <w:color w:val="000000"/>
          <w:kern w:val="2"/>
          <w:sz w:val="32"/>
          <w:szCs w:val="32"/>
          <w:lang w:val="en-US" w:eastAsia="zh-CN" w:bidi="ar"/>
        </w:rPr>
        <w:t>1.因公出国（境）经费支出0</w:t>
      </w:r>
      <w:r>
        <w:rPr>
          <w:rFonts w:hint="eastAsia" w:ascii="仿宋_GB2312" w:eastAsia="仿宋_GB2312" w:cs="仿宋_GB2312"/>
          <w:b/>
          <w:bCs w:val="0"/>
          <w:color w:val="000000"/>
          <w:kern w:val="2"/>
          <w:sz w:val="32"/>
          <w:szCs w:val="32"/>
          <w:lang w:val="en-US" w:eastAsia="zh-CN" w:bidi="ar"/>
        </w:rPr>
        <w:t>.00</w:t>
      </w:r>
      <w:r>
        <w:rPr>
          <w:rFonts w:hint="eastAsia" w:ascii="仿宋_GB2312" w:hAnsi="Times New Roman" w:eastAsia="仿宋_GB2312" w:cs="仿宋_GB2312"/>
          <w:b/>
          <w:bCs w:val="0"/>
          <w:color w:val="000000"/>
          <w:kern w:val="2"/>
          <w:sz w:val="32"/>
          <w:szCs w:val="32"/>
          <w:lang w:val="en-US" w:eastAsia="zh-CN" w:bidi="ar"/>
        </w:rPr>
        <w:t>万元，</w:t>
      </w:r>
      <w:r>
        <w:rPr>
          <w:rFonts w:hint="eastAsia" w:ascii="仿宋_GB2312" w:hAnsi="Times New Roman" w:eastAsia="仿宋_GB2312" w:cs="仿宋_GB2312"/>
          <w:color w:val="000000"/>
          <w:kern w:val="2"/>
          <w:sz w:val="32"/>
          <w:szCs w:val="32"/>
          <w:lang w:val="en-US" w:eastAsia="zh-CN" w:bidi="ar"/>
        </w:rPr>
        <w:t>全年安排因公出国（境）团组0次，出国（境）0人。</w:t>
      </w:r>
      <w:r>
        <w:rPr>
          <w:rFonts w:hint="eastAsia" w:ascii="仿宋_GB2312" w:eastAsia="仿宋_GB2312"/>
          <w:b/>
          <w:color w:val="000000"/>
          <w:sz w:val="32"/>
          <w:szCs w:val="32"/>
          <w:lang w:val="en-US" w:eastAsia="zh-CN"/>
        </w:rPr>
        <w:t xml:space="preserve">                                                       </w:t>
      </w:r>
    </w:p>
    <w:p>
      <w:pPr>
        <w:spacing w:line="600" w:lineRule="exact"/>
        <w:ind w:firstLine="640"/>
        <w:rPr>
          <w:rFonts w:hint="eastAsia" w:ascii="仿宋_GB2312" w:eastAsia="仿宋_GB2312"/>
          <w:b/>
          <w:color w:val="000000"/>
          <w:sz w:val="32"/>
          <w:szCs w:val="32"/>
          <w:lang w:eastAsia="zh-CN"/>
        </w:rPr>
      </w:pPr>
      <w:r>
        <w:rPr>
          <w:rFonts w:ascii="仿宋_GB2312" w:eastAsia="仿宋_GB2312"/>
          <w:b/>
          <w:bCs w:val="0"/>
          <w:color w:val="000000"/>
          <w:sz w:val="32"/>
          <w:szCs w:val="32"/>
        </w:rPr>
        <w:t>2.</w:t>
      </w:r>
      <w:r>
        <w:rPr>
          <w:rFonts w:hint="eastAsia" w:ascii="仿宋_GB2312" w:eastAsia="仿宋_GB2312"/>
          <w:b/>
          <w:bCs w:val="0"/>
          <w:color w:val="000000"/>
          <w:sz w:val="32"/>
          <w:szCs w:val="32"/>
        </w:rPr>
        <w:t>公务用车购置及运行维护费支出</w:t>
      </w:r>
      <w:r>
        <w:rPr>
          <w:rFonts w:hint="eastAsia" w:ascii="仿宋_GB2312" w:eastAsia="仿宋_GB2312"/>
          <w:b/>
          <w:bCs w:val="0"/>
          <w:color w:val="000000"/>
          <w:sz w:val="32"/>
          <w:szCs w:val="32"/>
          <w:lang w:val="en-US" w:eastAsia="zh-CN"/>
        </w:rPr>
        <w:t>3.00</w:t>
      </w:r>
      <w:r>
        <w:rPr>
          <w:rFonts w:hint="eastAsia" w:ascii="仿宋_GB2312" w:eastAsia="仿宋_GB2312"/>
          <w:b/>
          <w:bCs w:val="0"/>
          <w:color w:val="000000"/>
          <w:sz w:val="32"/>
          <w:szCs w:val="32"/>
        </w:rPr>
        <w:t>万元,</w:t>
      </w:r>
      <w:r>
        <w:rPr>
          <w:rStyle w:val="16"/>
          <w:rFonts w:hint="eastAsia" w:ascii="仿宋" w:hAnsi="仿宋" w:eastAsia="仿宋"/>
          <w:b/>
          <w:bCs w:val="0"/>
          <w:color w:val="000000"/>
          <w:sz w:val="32"/>
          <w:szCs w:val="32"/>
        </w:rPr>
        <w:t>完成预算</w:t>
      </w:r>
      <w:r>
        <w:rPr>
          <w:rStyle w:val="16"/>
          <w:rFonts w:hint="eastAsia" w:ascii="仿宋" w:hAnsi="仿宋" w:eastAsia="仿宋"/>
          <w:b/>
          <w:bCs w:val="0"/>
          <w:color w:val="000000"/>
          <w:sz w:val="32"/>
          <w:szCs w:val="32"/>
          <w:lang w:val="en-US" w:eastAsia="zh-CN"/>
        </w:rPr>
        <w:t>94.3</w:t>
      </w:r>
      <w:r>
        <w:rPr>
          <w:rStyle w:val="16"/>
          <w:rFonts w:ascii="仿宋" w:hAnsi="仿宋" w:eastAsia="仿宋"/>
          <w:b/>
          <w:bCs w:val="0"/>
          <w:color w:val="000000"/>
          <w:sz w:val="32"/>
          <w:szCs w:val="32"/>
        </w:rPr>
        <w:t>%</w:t>
      </w:r>
      <w:r>
        <w:rPr>
          <w:rStyle w:val="16"/>
          <w:rFonts w:hint="eastAsia" w:ascii="仿宋" w:hAnsi="仿宋" w:eastAsia="仿宋"/>
          <w:b/>
          <w:bCs w:val="0"/>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0.22</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人员减少。</w:t>
      </w:r>
    </w:p>
    <w:p>
      <w:pPr>
        <w:spacing w:line="600"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val="0"/>
          <w:bCs/>
          <w:color w:val="000000"/>
          <w:sz w:val="32"/>
          <w:szCs w:val="32"/>
        </w:rPr>
        <w:t>公务用车购置支出</w:t>
      </w:r>
      <w:r>
        <w:rPr>
          <w:rFonts w:hint="eastAsia" w:ascii="仿宋_GB2312" w:eastAsia="仿宋_GB2312"/>
          <w:b w:val="0"/>
          <w:bCs/>
          <w:color w:val="000000"/>
          <w:sz w:val="32"/>
          <w:szCs w:val="32"/>
          <w:lang w:val="en-US" w:eastAsia="zh-CN"/>
        </w:rPr>
        <w:t>0.00</w:t>
      </w:r>
      <w:r>
        <w:rPr>
          <w:rFonts w:hint="eastAsia" w:ascii="仿宋_GB2312" w:eastAsia="仿宋_GB2312"/>
          <w:b w:val="0"/>
          <w:bCs/>
          <w:color w:val="000000"/>
          <w:sz w:val="32"/>
          <w:szCs w:val="32"/>
        </w:rPr>
        <w:t>万元。</w:t>
      </w:r>
      <w:r>
        <w:rPr>
          <w:rFonts w:hint="eastAsia" w:ascii="仿宋_GB2312" w:eastAsia="仿宋_GB2312"/>
          <w:color w:val="000000"/>
          <w:sz w:val="32"/>
          <w:szCs w:val="32"/>
        </w:rPr>
        <w:t>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0.00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val="0"/>
          <w:bCs/>
          <w:color w:val="000000"/>
          <w:sz w:val="32"/>
          <w:szCs w:val="32"/>
        </w:rPr>
        <w:t>公务用车运行维护费支出</w:t>
      </w:r>
      <w:r>
        <w:rPr>
          <w:rFonts w:hint="eastAsia" w:ascii="仿宋_GB2312" w:eastAsia="仿宋_GB2312"/>
          <w:b w:val="0"/>
          <w:bCs/>
          <w:color w:val="000000"/>
          <w:sz w:val="32"/>
          <w:szCs w:val="32"/>
          <w:lang w:val="en-US" w:eastAsia="zh-CN"/>
        </w:rPr>
        <w:t>3.00</w:t>
      </w:r>
      <w:r>
        <w:rPr>
          <w:rFonts w:hint="eastAsia" w:ascii="仿宋_GB2312" w:eastAsia="仿宋_GB2312"/>
          <w:b w:val="0"/>
          <w:bCs/>
          <w:color w:val="000000"/>
          <w:sz w:val="32"/>
          <w:szCs w:val="32"/>
        </w:rPr>
        <w:t>万元。</w:t>
      </w:r>
      <w:r>
        <w:rPr>
          <w:rFonts w:hint="eastAsia" w:ascii="仿宋_GB2312" w:eastAsia="仿宋_GB2312"/>
          <w:color w:val="000000"/>
          <w:sz w:val="32"/>
          <w:szCs w:val="32"/>
        </w:rPr>
        <w:t>主要用于</w:t>
      </w:r>
      <w:r>
        <w:rPr>
          <w:rFonts w:hint="eastAsia" w:ascii="仿宋_GB2312" w:eastAsia="仿宋_GB2312"/>
          <w:color w:val="000000"/>
          <w:sz w:val="32"/>
          <w:szCs w:val="32"/>
          <w:lang w:eastAsia="zh-CN"/>
        </w:rPr>
        <w:t>矛盾纠纷排查化解、协调处理信访事项、维稳</w:t>
      </w:r>
      <w:r>
        <w:rPr>
          <w:rFonts w:hint="eastAsia" w:ascii="仿宋_GB2312" w:eastAsia="仿宋_GB2312"/>
          <w:color w:val="000000"/>
          <w:sz w:val="32"/>
          <w:szCs w:val="32"/>
        </w:rPr>
        <w:t>等所需的公务用车燃料费、维修费、过路过桥费、保险费等支出。</w:t>
      </w:r>
    </w:p>
    <w:p>
      <w:pPr>
        <w:rPr>
          <w:rFonts w:hint="eastAsia" w:ascii="仿宋_GB2312" w:hAnsi="仿宋_GB2312" w:eastAsia="仿宋_GB2312" w:cs="仿宋_GB2312"/>
          <w:sz w:val="32"/>
          <w:szCs w:val="32"/>
        </w:rPr>
      </w:pPr>
      <w:bookmarkStart w:id="37" w:name="_Toc15396612"/>
      <w:bookmarkStart w:id="38" w:name="_Toc15377221"/>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rPr>
        <w:t>3.公务接待费支出</w:t>
      </w:r>
      <w:r>
        <w:rPr>
          <w:rFonts w:hint="eastAsia" w:ascii="仿宋_GB2312" w:hAnsi="仿宋_GB2312" w:eastAsia="仿宋_GB2312" w:cs="仿宋_GB2312"/>
          <w:b/>
          <w:bCs/>
          <w:sz w:val="32"/>
          <w:szCs w:val="32"/>
          <w:lang w:val="en-US" w:eastAsia="zh-CN"/>
        </w:rPr>
        <w:t>0.18</w:t>
      </w:r>
      <w:r>
        <w:rPr>
          <w:rFonts w:hint="eastAsia" w:ascii="仿宋_GB2312" w:hAnsi="仿宋_GB2312" w:eastAsia="仿宋_GB2312" w:cs="仿宋_GB2312"/>
          <w:b/>
          <w:bCs/>
          <w:sz w:val="32"/>
          <w:szCs w:val="32"/>
        </w:rPr>
        <w:t>万元，完成预算</w:t>
      </w:r>
      <w:r>
        <w:rPr>
          <w:rFonts w:hint="eastAsia" w:ascii="仿宋_GB2312" w:hAnsi="仿宋_GB2312" w:eastAsia="仿宋_GB2312" w:cs="仿宋_GB2312"/>
          <w:b/>
          <w:bCs/>
          <w:sz w:val="32"/>
          <w:szCs w:val="32"/>
          <w:lang w:val="en-US" w:eastAsia="zh-CN"/>
        </w:rPr>
        <w:t>5.7</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公务接待费支出决算比20</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年减少</w:t>
      </w:r>
      <w:r>
        <w:rPr>
          <w:rFonts w:hint="eastAsia" w:ascii="仿宋_GB2312" w:hAnsi="仿宋_GB2312" w:eastAsia="仿宋_GB2312" w:cs="仿宋_GB2312"/>
          <w:sz w:val="32"/>
          <w:szCs w:val="32"/>
          <w:lang w:val="en-US" w:eastAsia="zh-CN"/>
        </w:rPr>
        <w:t>1.67</w:t>
      </w:r>
      <w:r>
        <w:rPr>
          <w:rFonts w:hint="eastAsia" w:ascii="仿宋_GB2312" w:hAnsi="仿宋_GB2312" w:eastAsia="仿宋_GB2312" w:cs="仿宋_GB2312"/>
          <w:sz w:val="32"/>
          <w:szCs w:val="32"/>
        </w:rPr>
        <w:t>万元，下降</w:t>
      </w:r>
      <w:r>
        <w:rPr>
          <w:rFonts w:hint="eastAsia" w:ascii="仿宋_GB2312" w:hAnsi="仿宋_GB2312" w:eastAsia="仿宋_GB2312" w:cs="仿宋_GB2312"/>
          <w:sz w:val="32"/>
          <w:szCs w:val="32"/>
          <w:lang w:val="en-US" w:eastAsia="zh-CN"/>
        </w:rPr>
        <w:t>90</w:t>
      </w:r>
      <w:r>
        <w:rPr>
          <w:rFonts w:hint="eastAsia" w:ascii="仿宋_GB2312" w:hAnsi="仿宋_GB2312" w:eastAsia="仿宋_GB2312" w:cs="仿宋_GB2312"/>
          <w:sz w:val="32"/>
          <w:szCs w:val="32"/>
        </w:rPr>
        <w:t>%。主要原因是进一步落实</w:t>
      </w:r>
      <w:r>
        <w:rPr>
          <w:rFonts w:hint="eastAsia" w:ascii="仿宋_GB2312" w:hAnsi="仿宋_GB2312" w:eastAsia="仿宋_GB2312" w:cs="仿宋_GB2312"/>
          <w:sz w:val="32"/>
          <w:szCs w:val="32"/>
          <w:lang w:eastAsia="zh-CN"/>
        </w:rPr>
        <w:t>中央</w:t>
      </w:r>
      <w:bookmarkStart w:id="60" w:name="_GoBack"/>
      <w:bookmarkEnd w:id="60"/>
      <w:r>
        <w:rPr>
          <w:rFonts w:hint="eastAsia" w:ascii="仿宋_GB2312" w:hAnsi="仿宋_GB2312" w:eastAsia="仿宋_GB2312" w:cs="仿宋_GB2312"/>
          <w:sz w:val="32"/>
          <w:szCs w:val="32"/>
        </w:rPr>
        <w:t>八项规定要求，严格控制接待标准，厉行节约，减少公务接待支出。其中：</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国内公务接待支出</w:t>
      </w:r>
      <w:r>
        <w:rPr>
          <w:rFonts w:hint="eastAsia" w:ascii="仿宋_GB2312" w:hAnsi="仿宋_GB2312" w:eastAsia="仿宋_GB2312" w:cs="仿宋_GB2312"/>
          <w:sz w:val="32"/>
          <w:szCs w:val="32"/>
          <w:lang w:val="en-US" w:eastAsia="zh-CN"/>
        </w:rPr>
        <w:t>0.18</w:t>
      </w:r>
      <w:r>
        <w:rPr>
          <w:rFonts w:hint="eastAsia" w:ascii="仿宋_GB2312" w:hAnsi="仿宋_GB2312" w:eastAsia="仿宋_GB2312" w:cs="仿宋_GB2312"/>
          <w:sz w:val="32"/>
          <w:szCs w:val="32"/>
        </w:rPr>
        <w:t>万元，主要用于执行公务、开展业务活动开支</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餐费。国内公务接待</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批次，</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人次（不包括陪同人员），共计支出</w:t>
      </w:r>
      <w:r>
        <w:rPr>
          <w:rFonts w:hint="eastAsia" w:ascii="仿宋_GB2312" w:hAnsi="仿宋_GB2312" w:eastAsia="仿宋_GB2312" w:cs="仿宋_GB2312"/>
          <w:sz w:val="32"/>
          <w:szCs w:val="32"/>
          <w:lang w:val="en-US" w:eastAsia="zh-CN"/>
        </w:rPr>
        <w:t>0.18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，接待上级部门调研、督查、业务指导等。</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外事接待支出0</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sz w:val="32"/>
          <w:szCs w:val="32"/>
        </w:rPr>
        <w:t>万元，外事接待0批次，0人，共计支出0</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sz w:val="32"/>
          <w:szCs w:val="32"/>
        </w:rPr>
        <w:t>万元。</w:t>
      </w:r>
    </w:p>
    <w:p>
      <w:pPr>
        <w:rPr>
          <w:rFonts w:hint="eastAsia" w:ascii="黑体" w:hAnsi="黑体" w:eastAsia="黑体" w:cs="黑体"/>
          <w:sz w:val="32"/>
          <w:szCs w:val="32"/>
        </w:rPr>
      </w:pPr>
      <w:r>
        <w:rPr>
          <w:rFonts w:hint="eastAsia" w:ascii="仿宋_GB2312" w:hAnsi="仿宋_GB2312" w:eastAsia="仿宋_GB2312" w:cs="仿宋_GB2312"/>
          <w:sz w:val="32"/>
          <w:szCs w:val="32"/>
          <w:lang w:val="en-US" w:eastAsia="zh-CN"/>
        </w:rPr>
        <w:t xml:space="preserve">    </w:t>
      </w:r>
      <w:r>
        <w:rPr>
          <w:rFonts w:hint="eastAsia" w:ascii="黑体" w:hAnsi="黑体" w:eastAsia="黑体" w:cs="黑体"/>
          <w:sz w:val="32"/>
          <w:szCs w:val="32"/>
        </w:rPr>
        <w:t>八、政府性基金预算支出决算情况说明</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年政府性基金预算拨款支出0</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sz w:val="32"/>
          <w:szCs w:val="32"/>
        </w:rPr>
        <w:t>万元。</w:t>
      </w:r>
    </w:p>
    <w:p>
      <w:pPr>
        <w:rPr>
          <w:rFonts w:hint="eastAsia" w:ascii="黑体" w:hAnsi="黑体" w:eastAsia="黑体" w:cs="黑体"/>
          <w:b w:val="0"/>
          <w:bCs w:val="0"/>
          <w:sz w:val="32"/>
          <w:szCs w:val="32"/>
        </w:rPr>
      </w:pPr>
      <w:r>
        <w:rPr>
          <w:rFonts w:hint="eastAsia" w:ascii="仿宋_GB2312" w:hAnsi="仿宋_GB2312" w:eastAsia="仿宋_GB2312" w:cs="仿宋_GB2312"/>
          <w:sz w:val="32"/>
          <w:szCs w:val="32"/>
          <w:lang w:val="en-US" w:eastAsia="zh-CN"/>
        </w:rPr>
        <w:t xml:space="preserve">    </w:t>
      </w:r>
      <w:r>
        <w:rPr>
          <w:rFonts w:hint="eastAsia" w:ascii="黑体" w:hAnsi="黑体" w:eastAsia="黑体" w:cs="黑体"/>
          <w:b w:val="0"/>
          <w:bCs w:val="0"/>
          <w:sz w:val="32"/>
          <w:szCs w:val="32"/>
        </w:rPr>
        <w:t>九、国有资本经营预算支出决算情况说明</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年国有资本经营预算拨款支出</w:t>
      </w:r>
      <w:r>
        <w:rPr>
          <w:rFonts w:hint="eastAsia" w:ascii="仿宋_GB2312" w:hAnsi="仿宋_GB2312" w:eastAsia="仿宋_GB2312" w:cs="仿宋_GB2312"/>
          <w:sz w:val="32"/>
          <w:szCs w:val="32"/>
          <w:lang w:val="en-US" w:eastAsia="zh-CN"/>
        </w:rPr>
        <w:t>0.00</w:t>
      </w:r>
      <w:r>
        <w:rPr>
          <w:rFonts w:hint="eastAsia" w:ascii="仿宋_GB2312" w:hAnsi="仿宋_GB2312" w:eastAsia="仿宋_GB2312" w:cs="仿宋_GB2312"/>
          <w:sz w:val="32"/>
          <w:szCs w:val="32"/>
        </w:rPr>
        <w:t>万元。</w:t>
      </w:r>
    </w:p>
    <w:p>
      <w:pPr>
        <w:spacing w:line="600" w:lineRule="exact"/>
        <w:ind w:firstLine="640" w:firstLineChars="200"/>
        <w:outlineLvl w:val="1"/>
        <w:rPr>
          <w:rStyle w:val="34"/>
          <w:rFonts w:ascii="黑体" w:hAnsi="黑体" w:eastAsia="黑体"/>
        </w:rPr>
      </w:pPr>
      <w:r>
        <w:rPr>
          <w:rFonts w:hint="eastAsia" w:ascii="黑体" w:hAnsi="黑体" w:eastAsia="黑体"/>
          <w:color w:val="000000"/>
          <w:sz w:val="32"/>
          <w:szCs w:val="32"/>
        </w:rPr>
        <w:t>十</w:t>
      </w:r>
      <w:r>
        <w:rPr>
          <w:rStyle w:val="34"/>
          <w:rFonts w:hint="eastAsia" w:ascii="黑体" w:hAnsi="黑体" w:eastAsia="黑体"/>
        </w:rPr>
        <w:t>、</w:t>
      </w:r>
      <w:r>
        <w:rPr>
          <w:rStyle w:val="34"/>
          <w:rFonts w:hint="eastAsia" w:ascii="黑体" w:hAnsi="黑体" w:eastAsia="黑体"/>
          <w:b w:val="0"/>
        </w:rPr>
        <w:t>其他重要事项的情况说明</w:t>
      </w:r>
      <w:bookmarkEnd w:id="37"/>
      <w:bookmarkEnd w:id="38"/>
    </w:p>
    <w:p>
      <w:pPr>
        <w:spacing w:line="600" w:lineRule="exact"/>
        <w:ind w:firstLine="642" w:firstLineChars="200"/>
        <w:outlineLvl w:val="2"/>
        <w:rPr>
          <w:rFonts w:hint="eastAsia" w:ascii="楷体_GB2312" w:hAnsi="楷体_GB2312" w:eastAsia="楷体_GB2312" w:cs="楷体_GB2312"/>
          <w:color w:val="000000"/>
          <w:sz w:val="32"/>
          <w:szCs w:val="32"/>
        </w:rPr>
      </w:pPr>
      <w:bookmarkStart w:id="39" w:name="_Toc15377222"/>
      <w:r>
        <w:rPr>
          <w:rFonts w:hint="eastAsia" w:ascii="楷体_GB2312" w:hAnsi="楷体_GB2312" w:eastAsia="楷体_GB2312" w:cs="楷体_GB2312"/>
          <w:b/>
          <w:color w:val="000000"/>
          <w:sz w:val="32"/>
          <w:szCs w:val="32"/>
        </w:rPr>
        <w:t>（一）机关运行经费支出情况</w:t>
      </w:r>
      <w:bookmarkEnd w:id="39"/>
    </w:p>
    <w:p>
      <w:pPr>
        <w:spacing w:line="600" w:lineRule="exact"/>
        <w:ind w:firstLine="640" w:firstLineChars="200"/>
        <w:rPr>
          <w:rFonts w:hint="eastAsia" w:ascii="仿宋_GB2312" w:eastAsia="仿宋_GB2312"/>
          <w:color w:val="000000" w:themeColor="text1"/>
          <w:sz w:val="32"/>
          <w:szCs w:val="32"/>
          <w:lang w:eastAsia="zh-CN"/>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信访局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41.44</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1.72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下降</w:t>
      </w:r>
      <w:r>
        <w:rPr>
          <w:rFonts w:hint="eastAsia" w:ascii="仿宋_GB2312" w:eastAsia="仿宋_GB2312"/>
          <w:color w:val="000000"/>
          <w:sz w:val="32"/>
          <w:szCs w:val="32"/>
          <w:lang w:val="en-US" w:eastAsia="zh-CN"/>
        </w:rPr>
        <w:t>4</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w:t>
      </w:r>
      <w:r>
        <w:rPr>
          <w:rFonts w:hint="eastAsia" w:ascii="仿宋_GB2312" w:eastAsia="仿宋_GB2312"/>
          <w:color w:val="000000" w:themeColor="text1"/>
          <w:sz w:val="32"/>
          <w:szCs w:val="32"/>
          <w:lang w:eastAsia="zh-CN"/>
        </w:rPr>
        <w:t>人员减少。</w:t>
      </w:r>
    </w:p>
    <w:p>
      <w:pPr>
        <w:autoSpaceDE w:val="0"/>
        <w:autoSpaceDN w:val="0"/>
        <w:adjustRightInd w:val="0"/>
        <w:spacing w:line="600" w:lineRule="exact"/>
        <w:ind w:firstLine="642" w:firstLineChars="200"/>
        <w:jc w:val="left"/>
        <w:outlineLvl w:val="2"/>
        <w:rPr>
          <w:rFonts w:hint="eastAsia" w:ascii="楷体_GB2312" w:hAnsi="楷体_GB2312" w:eastAsia="楷体_GB2312" w:cs="楷体_GB2312"/>
          <w:b/>
          <w:color w:val="000000"/>
          <w:sz w:val="32"/>
          <w:szCs w:val="32"/>
        </w:rPr>
      </w:pPr>
      <w:bookmarkStart w:id="40" w:name="_Toc15377223"/>
      <w:r>
        <w:rPr>
          <w:rFonts w:hint="eastAsia" w:ascii="楷体_GB2312" w:hAnsi="楷体_GB2312" w:eastAsia="楷体_GB2312" w:cs="楷体_GB2312"/>
          <w:b/>
          <w:color w:val="000000"/>
          <w:sz w:val="32"/>
          <w:szCs w:val="32"/>
        </w:rPr>
        <w:t>（二）政府采购支出情况</w:t>
      </w:r>
      <w:bookmarkEnd w:id="40"/>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信访局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0.00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0.00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0.00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0.00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0.00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0.00</w:t>
      </w:r>
      <w:r>
        <w:rPr>
          <w:rFonts w:hint="eastAsia" w:ascii="仿宋_GB2312" w:eastAsia="仿宋_GB2312"/>
          <w:color w:val="000000"/>
          <w:sz w:val="32"/>
          <w:szCs w:val="32"/>
        </w:rPr>
        <w:t>万元。</w:t>
      </w:r>
    </w:p>
    <w:p>
      <w:pPr>
        <w:autoSpaceDE w:val="0"/>
        <w:autoSpaceDN w:val="0"/>
        <w:adjustRightInd w:val="0"/>
        <w:spacing w:line="600" w:lineRule="exact"/>
        <w:ind w:firstLine="642" w:firstLineChars="200"/>
        <w:jc w:val="left"/>
        <w:outlineLvl w:val="2"/>
        <w:rPr>
          <w:rFonts w:hint="eastAsia" w:ascii="楷体_GB2312" w:hAnsi="楷体_GB2312" w:eastAsia="楷体_GB2312" w:cs="楷体_GB2312"/>
          <w:b/>
          <w:color w:val="000000"/>
          <w:sz w:val="32"/>
          <w:szCs w:val="32"/>
        </w:rPr>
      </w:pPr>
      <w:bookmarkStart w:id="41" w:name="_Toc15377224"/>
      <w:r>
        <w:rPr>
          <w:rFonts w:hint="eastAsia" w:ascii="楷体_GB2312" w:hAnsi="楷体_GB2312" w:eastAsia="楷体_GB2312" w:cs="楷体_GB2312"/>
          <w:b/>
          <w:color w:val="000000"/>
          <w:sz w:val="32"/>
          <w:szCs w:val="32"/>
        </w:rPr>
        <w:t>（三）国有资产占有使用情况</w:t>
      </w:r>
      <w:bookmarkEnd w:id="41"/>
    </w:p>
    <w:p>
      <w:pPr>
        <w:autoSpaceDE w:val="0"/>
        <w:autoSpaceDN w:val="0"/>
        <w:adjustRightInd w:val="0"/>
        <w:spacing w:line="600" w:lineRule="exact"/>
        <w:ind w:firstLine="640" w:firstLineChars="200"/>
        <w:jc w:val="left"/>
        <w:rPr>
          <w:rFonts w:hint="eastAsia" w:ascii="仿宋_GB2312" w:eastAsia="仿宋_GB2312"/>
          <w:color w:val="000000"/>
          <w:sz w:val="32"/>
          <w:szCs w:val="32"/>
          <w:lang w:val="en-US" w:eastAsia="zh-CN"/>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信访局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rPr>
        <w:t>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r>
        <w:rPr>
          <w:rFonts w:hint="eastAsia" w:ascii="仿宋_GB2312" w:eastAsia="仿宋_GB2312"/>
          <w:color w:val="000000"/>
          <w:sz w:val="32"/>
          <w:szCs w:val="32"/>
          <w:lang w:val="en-US" w:eastAsia="zh-CN"/>
        </w:rPr>
        <w:t xml:space="preserve"> </w:t>
      </w:r>
    </w:p>
    <w:p>
      <w:pPr>
        <w:autoSpaceDE w:val="0"/>
        <w:autoSpaceDN w:val="0"/>
        <w:adjustRightInd w:val="0"/>
        <w:spacing w:line="600" w:lineRule="exact"/>
        <w:ind w:firstLine="642" w:firstLineChars="200"/>
        <w:jc w:val="left"/>
        <w:rPr>
          <w:rFonts w:hint="eastAsia" w:ascii="仿宋" w:hAnsi="仿宋" w:eastAsia="仿宋"/>
          <w:b/>
          <w:bCs/>
          <w:color w:val="000000"/>
          <w:sz w:val="32"/>
          <w:szCs w:val="32"/>
        </w:rPr>
      </w:pPr>
      <w:r>
        <w:rPr>
          <w:rFonts w:hint="eastAsia" w:ascii="楷体_GB2312" w:hAnsi="楷体_GB2312" w:eastAsia="楷体_GB2312" w:cs="楷体_GB2312"/>
          <w:b/>
          <w:bCs/>
          <w:color w:val="000000"/>
          <w:sz w:val="32"/>
          <w:szCs w:val="32"/>
          <w:lang w:val="en-US" w:eastAsia="zh-CN"/>
        </w:rPr>
        <w:t>（四）</w:t>
      </w:r>
      <w:r>
        <w:rPr>
          <w:rFonts w:hint="eastAsia" w:ascii="楷体_GB2312" w:hAnsi="楷体_GB2312" w:eastAsia="楷体_GB2312" w:cs="楷体_GB2312"/>
          <w:b/>
          <w:bCs/>
          <w:color w:val="000000"/>
          <w:sz w:val="32"/>
          <w:szCs w:val="32"/>
        </w:rPr>
        <w:t>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根据预算绩效管理要求，本部门在年初预算编制阶段，组织对</w:t>
      </w:r>
      <w:r>
        <w:rPr>
          <w:rFonts w:hint="eastAsia" w:ascii="仿宋_GB2312" w:hAnsi="仿宋_GB2312" w:eastAsia="仿宋_GB2312" w:cs="仿宋_GB2312"/>
          <w:sz w:val="32"/>
          <w:szCs w:val="32"/>
          <w:lang w:val="en-US" w:eastAsia="zh-CN"/>
        </w:rPr>
        <w:t>1个</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驻村工作队员临岗补贴和乡镇工作补贴</w:t>
      </w:r>
      <w:r>
        <w:rPr>
          <w:rFonts w:hint="eastAsia" w:ascii="仿宋_GB2312" w:hAnsi="仿宋_GB2312" w:eastAsia="仿宋_GB2312" w:cs="仿宋_GB2312"/>
          <w:sz w:val="32"/>
          <w:szCs w:val="32"/>
        </w:rPr>
        <w:t>）开展了预算事前绩效评估，对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sz w:val="32"/>
          <w:szCs w:val="32"/>
          <w:lang w:eastAsia="zh-CN"/>
        </w:rPr>
        <w:t>，</w:t>
      </w:r>
      <w:r>
        <w:rPr>
          <w:rFonts w:hint="eastAsia" w:ascii="仿宋_GB2312" w:hAnsi="宋体" w:eastAsia="仿宋_GB2312" w:cs="宋体"/>
          <w:color w:val="000000"/>
          <w:kern w:val="0"/>
          <w:sz w:val="32"/>
          <w:szCs w:val="32"/>
          <w:shd w:val="clear" w:color="auto" w:fill="FFFFFF"/>
          <w:lang w:val="zh-CN"/>
        </w:rPr>
        <w:t>一是严格按照年度预算执行；二是进一步完善了财经管理各项规章制度，严格按照资金的使用范围、禁止事项、管理和监督事项开展落实；三是严格按照资金的用途使用，严把支出关，支出总额控制在预算总额以内；四是专项资金的使用做到了做到一案一卷，专项资金的报批、拨付、使用由县信访工作联席会议主要召集人负责审核把关。</w:t>
      </w:r>
    </w:p>
    <w:p>
      <w:pPr>
        <w:numPr>
          <w:ilvl w:val="0"/>
          <w:numId w:val="0"/>
        </w:numPr>
        <w:spacing w:line="580" w:lineRule="exact"/>
        <w:rPr>
          <w:rFonts w:hint="eastAsia" w:ascii="仿宋_GB2312" w:hAnsi="仿宋_GB2312" w:eastAsia="仿宋_GB2312" w:cs="仿宋_GB2312"/>
          <w:b/>
          <w:bCs/>
          <w:sz w:val="32"/>
          <w:szCs w:val="32"/>
          <w:lang w:eastAsia="zh-CN"/>
        </w:rPr>
      </w:pP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项目绩效目标完成情况</w:t>
      </w:r>
    </w:p>
    <w:p>
      <w:pPr>
        <w:numPr>
          <w:ilvl w:val="0"/>
          <w:numId w:val="0"/>
        </w:numPr>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本部门在</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eastAsia="zh-CN"/>
        </w:rPr>
        <w:t>“驻村工作队员临岗补贴和乡镇工作补贴”</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个项目绩效目标实际完成情况。</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驻村工作队员临岗补贴和乡镇工作补贴项目</w:t>
      </w:r>
      <w:r>
        <w:rPr>
          <w:rFonts w:hint="eastAsia" w:ascii="仿宋_GB2312" w:hAnsi="仿宋_GB2312" w:eastAsia="仿宋_GB2312" w:cs="仿宋_GB2312"/>
          <w:sz w:val="32"/>
          <w:szCs w:val="32"/>
        </w:rPr>
        <w:t>绩效目标完成情况综述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项目全年预算数</w:t>
      </w:r>
      <w:r>
        <w:rPr>
          <w:rFonts w:hint="eastAsia" w:ascii="仿宋_GB2312" w:hAnsi="仿宋_GB2312" w:eastAsia="仿宋_GB2312" w:cs="仿宋_GB2312"/>
          <w:sz w:val="32"/>
          <w:szCs w:val="32"/>
          <w:lang w:val="en-US" w:eastAsia="zh-CN"/>
        </w:rPr>
        <w:t>1.08</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1.08</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落实了省委、省政府和州委、州政府要求，</w:t>
      </w:r>
      <w:r>
        <w:rPr>
          <w:rFonts w:hint="eastAsia" w:ascii="仿宋_GB2312" w:hAnsi="仿宋_GB2312" w:eastAsia="仿宋_GB2312" w:cs="仿宋_GB2312"/>
          <w:sz w:val="32"/>
          <w:szCs w:val="32"/>
          <w:lang w:val="en-US" w:eastAsia="zh-CN"/>
        </w:rPr>
        <w:t>聚焦决战脱贫攻坚工作、巩固脱贫攻坚成果</w:t>
      </w:r>
      <w:r>
        <w:rPr>
          <w:rFonts w:hint="eastAsia" w:ascii="仿宋_GB2312" w:hAnsi="仿宋_GB2312" w:eastAsia="仿宋_GB2312" w:cs="仿宋_GB2312"/>
          <w:sz w:val="32"/>
          <w:szCs w:val="32"/>
          <w:lang w:eastAsia="zh-CN"/>
        </w:rPr>
        <w:t>。</w:t>
      </w: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413"/>
        <w:gridCol w:w="667"/>
        <w:gridCol w:w="218"/>
        <w:gridCol w:w="1484"/>
        <w:gridCol w:w="488"/>
        <w:gridCol w:w="1733"/>
        <w:gridCol w:w="2310"/>
        <w:gridCol w:w="2647"/>
      </w:tblGrid>
      <w:tr>
        <w:tblPrEx>
          <w:tblCellMar>
            <w:top w:w="0" w:type="dxa"/>
            <w:left w:w="0" w:type="dxa"/>
            <w:bottom w:w="0" w:type="dxa"/>
            <w:right w:w="0" w:type="dxa"/>
          </w:tblCellMar>
        </w:tblPrEx>
        <w:trPr>
          <w:trHeight w:val="1034" w:hRule="atLeast"/>
          <w:jc w:val="center"/>
        </w:trPr>
        <w:tc>
          <w:tcPr>
            <w:tcW w:w="9960" w:type="dxa"/>
            <w:gridSpan w:val="8"/>
            <w:tcBorders>
              <w:top w:val="nil"/>
              <w:left w:val="nil"/>
              <w:bottom w:val="nil"/>
              <w:right w:val="nil"/>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color w:val="000000"/>
                <w:kern w:val="0"/>
                <w:sz w:val="32"/>
                <w:szCs w:val="32"/>
              </w:rPr>
            </w:pPr>
          </w:p>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color w:val="000000"/>
                <w:kern w:val="0"/>
                <w:sz w:val="32"/>
                <w:szCs w:val="32"/>
              </w:rPr>
            </w:pPr>
          </w:p>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color w:val="000000"/>
                <w:kern w:val="0"/>
                <w:sz w:val="32"/>
                <w:szCs w:val="32"/>
              </w:rPr>
            </w:pPr>
          </w:p>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color w:val="000000"/>
                <w:kern w:val="0"/>
                <w:sz w:val="32"/>
                <w:szCs w:val="32"/>
              </w:rPr>
            </w:pPr>
          </w:p>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color w:val="000000"/>
                <w:kern w:val="0"/>
                <w:sz w:val="32"/>
                <w:szCs w:val="32"/>
              </w:rPr>
            </w:pPr>
          </w:p>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color w:val="000000"/>
                <w:kern w:val="0"/>
                <w:sz w:val="32"/>
                <w:szCs w:val="32"/>
              </w:rPr>
            </w:pPr>
          </w:p>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color w:val="000000"/>
                <w:kern w:val="0"/>
                <w:sz w:val="32"/>
                <w:szCs w:val="32"/>
              </w:rPr>
            </w:pPr>
          </w:p>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color w:val="000000"/>
                <w:kern w:val="0"/>
                <w:sz w:val="32"/>
                <w:szCs w:val="32"/>
              </w:rPr>
            </w:pPr>
          </w:p>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color w:val="000000"/>
                <w:kern w:val="0"/>
                <w:sz w:val="32"/>
                <w:szCs w:val="32"/>
              </w:rPr>
            </w:pPr>
          </w:p>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color w:val="000000"/>
                <w:kern w:val="0"/>
                <w:sz w:val="32"/>
                <w:szCs w:val="32"/>
              </w:rPr>
            </w:pPr>
          </w:p>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color w:val="000000"/>
                <w:kern w:val="0"/>
                <w:sz w:val="32"/>
                <w:szCs w:val="32"/>
              </w:rPr>
            </w:pPr>
          </w:p>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color w:val="000000"/>
                <w:kern w:val="0"/>
                <w:sz w:val="32"/>
                <w:szCs w:val="32"/>
              </w:rPr>
            </w:pPr>
          </w:p>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color w:val="000000"/>
                <w:kern w:val="0"/>
                <w:sz w:val="32"/>
                <w:szCs w:val="32"/>
              </w:rPr>
            </w:pPr>
          </w:p>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color w:val="000000"/>
                <w:kern w:val="0"/>
                <w:sz w:val="32"/>
                <w:szCs w:val="32"/>
              </w:rPr>
            </w:pPr>
          </w:p>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color w:val="000000"/>
                <w:kern w:val="0"/>
                <w:sz w:val="32"/>
                <w:szCs w:val="32"/>
              </w:rPr>
            </w:pPr>
          </w:p>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color w:val="000000"/>
                <w:kern w:val="0"/>
                <w:sz w:val="32"/>
                <w:szCs w:val="32"/>
              </w:rPr>
            </w:pPr>
          </w:p>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color w:val="000000"/>
                <w:kern w:val="0"/>
                <w:sz w:val="32"/>
                <w:szCs w:val="32"/>
              </w:rPr>
            </w:pPr>
          </w:p>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color w:val="000000"/>
                <w:kern w:val="0"/>
                <w:sz w:val="32"/>
                <w:szCs w:val="32"/>
                <w:lang w:eastAsia="zh-CN"/>
              </w:rPr>
            </w:pPr>
            <w:r>
              <w:rPr>
                <w:rFonts w:hint="eastAsia" w:ascii="仿宋_GB2312" w:hAnsi="仿宋_GB2312" w:eastAsia="仿宋_GB2312" w:cs="仿宋_GB2312"/>
                <w:b/>
                <w:bCs/>
                <w:color w:val="000000"/>
                <w:kern w:val="0"/>
                <w:sz w:val="32"/>
                <w:szCs w:val="32"/>
              </w:rPr>
              <w:t>项目绩效目标完成情况表</w:t>
            </w:r>
          </w:p>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(20</w:t>
            </w:r>
            <w:r>
              <w:rPr>
                <w:rFonts w:hint="eastAsia" w:ascii="仿宋_GB2312" w:hAnsi="仿宋_GB2312" w:eastAsia="仿宋_GB2312" w:cs="仿宋_GB2312"/>
                <w:color w:val="000000"/>
                <w:kern w:val="0"/>
                <w:sz w:val="32"/>
                <w:szCs w:val="32"/>
                <w:lang w:val="en-US" w:eastAsia="zh-CN"/>
              </w:rPr>
              <w:t>20</w:t>
            </w:r>
            <w:r>
              <w:rPr>
                <w:rFonts w:hint="eastAsia" w:ascii="仿宋_GB2312" w:hAnsi="仿宋_GB2312" w:eastAsia="仿宋_GB2312" w:cs="仿宋_GB2312"/>
                <w:color w:val="000000"/>
                <w:kern w:val="0"/>
                <w:sz w:val="32"/>
                <w:szCs w:val="32"/>
              </w:rPr>
              <w:t>年度)</w:t>
            </w:r>
          </w:p>
        </w:tc>
      </w:tr>
      <w:tr>
        <w:tblPrEx>
          <w:tblCellMar>
            <w:top w:w="0" w:type="dxa"/>
            <w:left w:w="0" w:type="dxa"/>
            <w:bottom w:w="0" w:type="dxa"/>
            <w:right w:w="0" w:type="dxa"/>
          </w:tblCellMar>
        </w:tblPrEx>
        <w:trPr>
          <w:trHeight w:val="479" w:hRule="atLeast"/>
          <w:jc w:val="center"/>
        </w:trPr>
        <w:tc>
          <w:tcPr>
            <w:tcW w:w="3270"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项目名称</w:t>
            </w:r>
          </w:p>
        </w:tc>
        <w:tc>
          <w:tcPr>
            <w:tcW w:w="669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sz w:val="32"/>
                <w:szCs w:val="32"/>
                <w:lang w:eastAsia="zh-CN"/>
              </w:rPr>
              <w:t>驻村工作队员临岗补贴和乡镇工作补贴</w:t>
            </w:r>
          </w:p>
        </w:tc>
      </w:tr>
      <w:tr>
        <w:tblPrEx>
          <w:tblCellMar>
            <w:top w:w="0" w:type="dxa"/>
            <w:left w:w="0" w:type="dxa"/>
            <w:bottom w:w="0" w:type="dxa"/>
            <w:right w:w="0" w:type="dxa"/>
          </w:tblCellMar>
        </w:tblPrEx>
        <w:trPr>
          <w:trHeight w:val="276" w:hRule="atLeast"/>
          <w:jc w:val="center"/>
        </w:trPr>
        <w:tc>
          <w:tcPr>
            <w:tcW w:w="3270"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预算单位</w:t>
            </w:r>
          </w:p>
        </w:tc>
        <w:tc>
          <w:tcPr>
            <w:tcW w:w="669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rPr>
              <w:t>茂县信访局</w:t>
            </w:r>
          </w:p>
        </w:tc>
      </w:tr>
      <w:tr>
        <w:tblPrEx>
          <w:tblCellMar>
            <w:top w:w="0" w:type="dxa"/>
            <w:left w:w="0" w:type="dxa"/>
            <w:bottom w:w="0" w:type="dxa"/>
            <w:right w:w="0" w:type="dxa"/>
          </w:tblCellMar>
        </w:tblPrEx>
        <w:trPr>
          <w:trHeight w:val="276" w:hRule="atLeast"/>
          <w:jc w:val="center"/>
        </w:trPr>
        <w:tc>
          <w:tcPr>
            <w:tcW w:w="1080"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预算执行情况(万元)</w:t>
            </w:r>
          </w:p>
        </w:tc>
        <w:tc>
          <w:tcPr>
            <w:tcW w:w="219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预算数:</w:t>
            </w:r>
          </w:p>
        </w:tc>
        <w:tc>
          <w:tcPr>
            <w:tcW w:w="17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1.08</w:t>
            </w:r>
          </w:p>
        </w:tc>
        <w:tc>
          <w:tcPr>
            <w:tcW w:w="23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执行数:</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1.08</w:t>
            </w:r>
          </w:p>
        </w:tc>
      </w:tr>
      <w:tr>
        <w:tblPrEx>
          <w:tblCellMar>
            <w:top w:w="0" w:type="dxa"/>
            <w:left w:w="0" w:type="dxa"/>
            <w:bottom w:w="0" w:type="dxa"/>
            <w:right w:w="0" w:type="dxa"/>
          </w:tblCellMar>
        </w:tblPrEx>
        <w:trPr>
          <w:trHeight w:val="90" w:hRule="atLeast"/>
          <w:jc w:val="center"/>
        </w:trPr>
        <w:tc>
          <w:tcPr>
            <w:tcW w:w="108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sz w:val="28"/>
                <w:szCs w:val="28"/>
              </w:rPr>
            </w:pPr>
          </w:p>
        </w:tc>
        <w:tc>
          <w:tcPr>
            <w:tcW w:w="219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其中-财政拨款:</w:t>
            </w:r>
          </w:p>
        </w:tc>
        <w:tc>
          <w:tcPr>
            <w:tcW w:w="17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1.08</w:t>
            </w:r>
          </w:p>
        </w:tc>
        <w:tc>
          <w:tcPr>
            <w:tcW w:w="23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其中-财政拨款:</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1.08</w:t>
            </w:r>
          </w:p>
        </w:tc>
      </w:tr>
      <w:tr>
        <w:tblPrEx>
          <w:tblCellMar>
            <w:top w:w="0" w:type="dxa"/>
            <w:left w:w="0" w:type="dxa"/>
            <w:bottom w:w="0" w:type="dxa"/>
            <w:right w:w="0" w:type="dxa"/>
          </w:tblCellMar>
        </w:tblPrEx>
        <w:trPr>
          <w:trHeight w:val="572" w:hRule="atLeast"/>
          <w:jc w:val="center"/>
        </w:trPr>
        <w:tc>
          <w:tcPr>
            <w:tcW w:w="108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sz w:val="28"/>
                <w:szCs w:val="28"/>
              </w:rPr>
            </w:pPr>
          </w:p>
        </w:tc>
        <w:tc>
          <w:tcPr>
            <w:tcW w:w="219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其它资金:</w:t>
            </w:r>
          </w:p>
        </w:tc>
        <w:tc>
          <w:tcPr>
            <w:tcW w:w="17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0</w:t>
            </w:r>
          </w:p>
        </w:tc>
        <w:tc>
          <w:tcPr>
            <w:tcW w:w="23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其它资金:</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0</w:t>
            </w:r>
          </w:p>
        </w:tc>
      </w:tr>
      <w:tr>
        <w:tblPrEx>
          <w:tblCellMar>
            <w:top w:w="0" w:type="dxa"/>
            <w:left w:w="0" w:type="dxa"/>
            <w:bottom w:w="0" w:type="dxa"/>
            <w:right w:w="0" w:type="dxa"/>
          </w:tblCellMar>
        </w:tblPrEx>
        <w:trPr>
          <w:trHeight w:val="509" w:hRule="atLeast"/>
          <w:jc w:val="center"/>
        </w:trPr>
        <w:tc>
          <w:tcPr>
            <w:tcW w:w="1080"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年度目标完成情况</w:t>
            </w:r>
          </w:p>
        </w:tc>
        <w:tc>
          <w:tcPr>
            <w:tcW w:w="3923"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预期目标</w:t>
            </w:r>
          </w:p>
        </w:tc>
        <w:tc>
          <w:tcPr>
            <w:tcW w:w="495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实际完成目标</w:t>
            </w:r>
          </w:p>
        </w:tc>
      </w:tr>
      <w:tr>
        <w:tblPrEx>
          <w:tblCellMar>
            <w:top w:w="0" w:type="dxa"/>
            <w:left w:w="0" w:type="dxa"/>
            <w:bottom w:w="0" w:type="dxa"/>
            <w:right w:w="0" w:type="dxa"/>
          </w:tblCellMar>
        </w:tblPrEx>
        <w:trPr>
          <w:trHeight w:val="90" w:hRule="atLeast"/>
          <w:jc w:val="center"/>
        </w:trPr>
        <w:tc>
          <w:tcPr>
            <w:tcW w:w="108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sz w:val="28"/>
                <w:szCs w:val="28"/>
              </w:rPr>
            </w:pPr>
          </w:p>
        </w:tc>
        <w:tc>
          <w:tcPr>
            <w:tcW w:w="3923"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 xml:space="preserve"> 聚焦决战脱贫攻坚工作、巩固脱贫攻坚成果</w:t>
            </w:r>
          </w:p>
        </w:tc>
        <w:tc>
          <w:tcPr>
            <w:tcW w:w="495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完成了脱贫攻坚目标，帮扶成效显著</w:t>
            </w:r>
          </w:p>
        </w:tc>
      </w:tr>
      <w:tr>
        <w:tblPrEx>
          <w:tblCellMar>
            <w:top w:w="0" w:type="dxa"/>
            <w:left w:w="0" w:type="dxa"/>
            <w:bottom w:w="0" w:type="dxa"/>
            <w:right w:w="0" w:type="dxa"/>
          </w:tblCellMar>
        </w:tblPrEx>
        <w:trPr>
          <w:trHeight w:val="90" w:hRule="atLeast"/>
          <w:jc w:val="center"/>
        </w:trPr>
        <w:tc>
          <w:tcPr>
            <w:tcW w:w="413"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绩效指标完成情况</w:t>
            </w:r>
          </w:p>
        </w:tc>
        <w:tc>
          <w:tcPr>
            <w:tcW w:w="8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一级</w:t>
            </w:r>
          </w:p>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指标</w:t>
            </w:r>
          </w:p>
        </w:tc>
        <w:tc>
          <w:tcPr>
            <w:tcW w:w="14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二级指标</w:t>
            </w:r>
          </w:p>
        </w:tc>
        <w:tc>
          <w:tcPr>
            <w:tcW w:w="222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三级指标</w:t>
            </w:r>
          </w:p>
        </w:tc>
        <w:tc>
          <w:tcPr>
            <w:tcW w:w="23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预期指标值(包含数字及文字描述)</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实际完成指标值(包含数字及文字描述)</w:t>
            </w:r>
          </w:p>
        </w:tc>
      </w:tr>
      <w:tr>
        <w:tblPrEx>
          <w:tblCellMar>
            <w:top w:w="0" w:type="dxa"/>
            <w:left w:w="0" w:type="dxa"/>
            <w:bottom w:w="0" w:type="dxa"/>
            <w:right w:w="0" w:type="dxa"/>
          </w:tblCellMar>
        </w:tblPrEx>
        <w:trPr>
          <w:trHeight w:val="1627" w:hRule="atLeast"/>
          <w:jc w:val="center"/>
        </w:trPr>
        <w:tc>
          <w:tcPr>
            <w:tcW w:w="413"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rPr>
            </w:pPr>
          </w:p>
        </w:tc>
        <w:tc>
          <w:tcPr>
            <w:tcW w:w="885" w:type="dxa"/>
            <w:gridSpan w:val="2"/>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项目完成指标</w:t>
            </w:r>
          </w:p>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rPr>
            </w:pPr>
          </w:p>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rPr>
            </w:pPr>
          </w:p>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kern w:val="0"/>
                <w:sz w:val="28"/>
                <w:szCs w:val="28"/>
              </w:rPr>
            </w:pPr>
          </w:p>
        </w:tc>
        <w:tc>
          <w:tcPr>
            <w:tcW w:w="1484" w:type="dxa"/>
            <w:tcBorders>
              <w:top w:val="single" w:color="000000" w:sz="4" w:space="0"/>
              <w:left w:val="single" w:color="000000" w:sz="4" w:space="0"/>
              <w:right w:val="single" w:color="000000" w:sz="4" w:space="0"/>
            </w:tcBorders>
            <w:tcMar>
              <w:top w:w="15" w:type="dxa"/>
              <w:left w:w="15" w:type="dxa"/>
              <w:right w:w="15" w:type="dxa"/>
            </w:tcMar>
            <w:vAlign w:val="bottom"/>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rPr>
              <w:t>数量指标</w:t>
            </w:r>
          </w:p>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lang w:eastAsia="zh-CN"/>
              </w:rPr>
            </w:pPr>
          </w:p>
        </w:tc>
        <w:tc>
          <w:tcPr>
            <w:tcW w:w="222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rPr>
              <w:t>驻村工作队员数量</w:t>
            </w:r>
          </w:p>
        </w:tc>
        <w:tc>
          <w:tcPr>
            <w:tcW w:w="23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1人</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1人</w:t>
            </w:r>
          </w:p>
        </w:tc>
      </w:tr>
      <w:tr>
        <w:tblPrEx>
          <w:tblCellMar>
            <w:top w:w="0" w:type="dxa"/>
            <w:left w:w="0" w:type="dxa"/>
            <w:bottom w:w="0" w:type="dxa"/>
            <w:right w:w="0" w:type="dxa"/>
          </w:tblCellMar>
        </w:tblPrEx>
        <w:trPr>
          <w:trHeight w:val="1042" w:hRule="atLeast"/>
          <w:jc w:val="center"/>
        </w:trPr>
        <w:tc>
          <w:tcPr>
            <w:tcW w:w="413"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rPr>
            </w:pPr>
          </w:p>
        </w:tc>
        <w:tc>
          <w:tcPr>
            <w:tcW w:w="885" w:type="dxa"/>
            <w:gridSpan w:val="2"/>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rPr>
            </w:pPr>
          </w:p>
        </w:tc>
        <w:tc>
          <w:tcPr>
            <w:tcW w:w="14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rPr>
              <w:t>质量指标</w:t>
            </w:r>
          </w:p>
        </w:tc>
        <w:tc>
          <w:tcPr>
            <w:tcW w:w="222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sz w:val="32"/>
                <w:szCs w:val="32"/>
                <w:lang w:eastAsia="zh-CN"/>
              </w:rPr>
              <w:t>临岗补贴和乡镇工作补贴发放率</w:t>
            </w:r>
          </w:p>
        </w:tc>
        <w:tc>
          <w:tcPr>
            <w:tcW w:w="23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100%</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100%</w:t>
            </w:r>
          </w:p>
        </w:tc>
      </w:tr>
      <w:tr>
        <w:tblPrEx>
          <w:tblCellMar>
            <w:top w:w="0" w:type="dxa"/>
            <w:left w:w="0" w:type="dxa"/>
            <w:bottom w:w="0" w:type="dxa"/>
            <w:right w:w="0" w:type="dxa"/>
          </w:tblCellMar>
        </w:tblPrEx>
        <w:trPr>
          <w:trHeight w:val="462" w:hRule="atLeast"/>
          <w:jc w:val="center"/>
        </w:trPr>
        <w:tc>
          <w:tcPr>
            <w:tcW w:w="413"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rPr>
            </w:pPr>
          </w:p>
        </w:tc>
        <w:tc>
          <w:tcPr>
            <w:tcW w:w="885" w:type="dxa"/>
            <w:gridSpan w:val="2"/>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kern w:val="0"/>
                <w:sz w:val="28"/>
                <w:szCs w:val="28"/>
              </w:rPr>
            </w:pPr>
          </w:p>
        </w:tc>
        <w:tc>
          <w:tcPr>
            <w:tcW w:w="14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rPr>
              <w:t>时效指标</w:t>
            </w:r>
          </w:p>
        </w:tc>
        <w:tc>
          <w:tcPr>
            <w:tcW w:w="222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rPr>
              <w:t>发放时间</w:t>
            </w:r>
          </w:p>
        </w:tc>
        <w:tc>
          <w:tcPr>
            <w:tcW w:w="23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按月发放</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按月发放</w:t>
            </w:r>
          </w:p>
        </w:tc>
      </w:tr>
      <w:tr>
        <w:tblPrEx>
          <w:tblCellMar>
            <w:top w:w="0" w:type="dxa"/>
            <w:left w:w="0" w:type="dxa"/>
            <w:bottom w:w="0" w:type="dxa"/>
            <w:right w:w="0" w:type="dxa"/>
          </w:tblCellMar>
        </w:tblPrEx>
        <w:trPr>
          <w:trHeight w:val="1103" w:hRule="atLeast"/>
          <w:jc w:val="center"/>
        </w:trPr>
        <w:tc>
          <w:tcPr>
            <w:tcW w:w="413"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rPr>
            </w:pPr>
          </w:p>
        </w:tc>
        <w:tc>
          <w:tcPr>
            <w:tcW w:w="8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满意度指标</w:t>
            </w:r>
          </w:p>
        </w:tc>
        <w:tc>
          <w:tcPr>
            <w:tcW w:w="14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满意度指标</w:t>
            </w:r>
          </w:p>
        </w:tc>
        <w:tc>
          <w:tcPr>
            <w:tcW w:w="222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rPr>
              <w:t>群众满意度</w:t>
            </w:r>
          </w:p>
        </w:tc>
        <w:tc>
          <w:tcPr>
            <w:tcW w:w="23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lang w:val="en-US" w:eastAsia="zh-CN"/>
              </w:rPr>
              <w:t>95%</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lang w:val="en-US" w:eastAsia="zh-CN"/>
              </w:rPr>
              <w:t>95%</w:t>
            </w:r>
          </w:p>
        </w:tc>
      </w:tr>
    </w:tbl>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仿宋" w:hAnsi="仿宋" w:eastAsia="仿宋" w:cs="Times New Roman"/>
          <w:b/>
          <w:color w:val="00000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ascii="仿宋_GB2312" w:hAnsi="仿宋_GB2312" w:eastAsia="仿宋_GB2312" w:cs="仿宋_GB2312"/>
          <w:sz w:val="32"/>
          <w:szCs w:val="32"/>
        </w:rPr>
      </w:pPr>
      <w:r>
        <w:rPr>
          <w:rFonts w:hint="eastAsia" w:ascii="仿宋" w:hAnsi="仿宋" w:eastAsia="仿宋" w:cs="Times New Roman"/>
          <w:b/>
          <w:color w:val="000000"/>
          <w:kern w:val="0"/>
          <w:sz w:val="32"/>
          <w:szCs w:val="32"/>
          <w:lang w:val="en-US" w:eastAsia="zh-CN" w:bidi="ar"/>
        </w:rPr>
        <w:t>2.部门绩效评价结果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茂县信访局</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年部门整体支出绩效评价报告》见附件（附件1）。</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p>
    <w:p>
      <w:pPr>
        <w:numPr>
          <w:ilvl w:val="0"/>
          <w:numId w:val="0"/>
        </w:numPr>
        <w:spacing w:line="600" w:lineRule="exact"/>
        <w:jc w:val="both"/>
        <w:outlineLvl w:val="0"/>
        <w:rPr>
          <w:rFonts w:hint="eastAsia" w:ascii="黑体" w:hAnsi="黑体" w:eastAsia="黑体"/>
          <w:color w:val="000000"/>
          <w:sz w:val="44"/>
          <w:szCs w:val="44"/>
          <w:lang w:eastAsia="zh-CN"/>
        </w:rPr>
      </w:pPr>
      <w:bookmarkStart w:id="42" w:name="_Toc15377225"/>
      <w:bookmarkStart w:id="43" w:name="_Toc15396613"/>
    </w:p>
    <w:p>
      <w:pPr>
        <w:numPr>
          <w:ilvl w:val="0"/>
          <w:numId w:val="0"/>
        </w:numPr>
        <w:spacing w:line="600" w:lineRule="exact"/>
        <w:jc w:val="both"/>
        <w:outlineLvl w:val="0"/>
        <w:rPr>
          <w:rFonts w:hint="eastAsia" w:ascii="黑体" w:hAnsi="黑体" w:eastAsia="黑体"/>
          <w:color w:val="000000"/>
          <w:sz w:val="44"/>
          <w:szCs w:val="44"/>
          <w:lang w:eastAsia="zh-CN"/>
        </w:rPr>
      </w:pPr>
    </w:p>
    <w:p>
      <w:pPr>
        <w:numPr>
          <w:ilvl w:val="0"/>
          <w:numId w:val="0"/>
        </w:numPr>
        <w:spacing w:line="600" w:lineRule="exact"/>
        <w:jc w:val="both"/>
        <w:outlineLvl w:val="0"/>
        <w:rPr>
          <w:rFonts w:hint="eastAsia" w:ascii="黑体" w:hAnsi="黑体" w:eastAsia="黑体"/>
          <w:color w:val="000000"/>
          <w:sz w:val="44"/>
          <w:szCs w:val="44"/>
          <w:lang w:eastAsia="zh-CN"/>
        </w:rPr>
      </w:pPr>
    </w:p>
    <w:p>
      <w:pPr>
        <w:numPr>
          <w:ilvl w:val="0"/>
          <w:numId w:val="0"/>
        </w:numPr>
        <w:spacing w:line="600" w:lineRule="exact"/>
        <w:jc w:val="both"/>
        <w:outlineLvl w:val="0"/>
        <w:rPr>
          <w:rFonts w:hint="eastAsia" w:ascii="黑体" w:hAnsi="黑体" w:eastAsia="黑体"/>
          <w:color w:val="000000"/>
          <w:sz w:val="44"/>
          <w:szCs w:val="44"/>
          <w:lang w:eastAsia="zh-CN"/>
        </w:rPr>
      </w:pPr>
    </w:p>
    <w:p>
      <w:pPr>
        <w:numPr>
          <w:ilvl w:val="0"/>
          <w:numId w:val="0"/>
        </w:numPr>
        <w:spacing w:line="600" w:lineRule="exact"/>
        <w:jc w:val="both"/>
        <w:outlineLvl w:val="0"/>
        <w:rPr>
          <w:rFonts w:hint="eastAsia" w:ascii="黑体" w:hAnsi="黑体" w:eastAsia="黑体"/>
          <w:color w:val="000000"/>
          <w:sz w:val="44"/>
          <w:szCs w:val="44"/>
          <w:lang w:eastAsia="zh-CN"/>
        </w:rPr>
      </w:pPr>
    </w:p>
    <w:p>
      <w:pPr>
        <w:numPr>
          <w:ilvl w:val="0"/>
          <w:numId w:val="0"/>
        </w:numPr>
        <w:spacing w:line="600" w:lineRule="exact"/>
        <w:jc w:val="both"/>
        <w:outlineLvl w:val="0"/>
        <w:rPr>
          <w:rFonts w:hint="eastAsia" w:ascii="黑体" w:hAnsi="黑体" w:eastAsia="黑体"/>
          <w:color w:val="000000"/>
          <w:sz w:val="44"/>
          <w:szCs w:val="44"/>
          <w:lang w:eastAsia="zh-CN"/>
        </w:rPr>
      </w:pPr>
    </w:p>
    <w:p>
      <w:pPr>
        <w:numPr>
          <w:ilvl w:val="0"/>
          <w:numId w:val="0"/>
        </w:numPr>
        <w:spacing w:line="600" w:lineRule="exact"/>
        <w:jc w:val="both"/>
        <w:outlineLvl w:val="0"/>
        <w:rPr>
          <w:rFonts w:hint="eastAsia" w:ascii="黑体" w:hAnsi="黑体" w:eastAsia="黑体"/>
          <w:color w:val="000000"/>
          <w:sz w:val="44"/>
          <w:szCs w:val="44"/>
          <w:lang w:eastAsia="zh-CN"/>
        </w:rPr>
      </w:pPr>
    </w:p>
    <w:p>
      <w:pPr>
        <w:numPr>
          <w:ilvl w:val="0"/>
          <w:numId w:val="0"/>
        </w:numPr>
        <w:spacing w:line="600" w:lineRule="exact"/>
        <w:jc w:val="both"/>
        <w:outlineLvl w:val="0"/>
        <w:rPr>
          <w:rFonts w:hint="eastAsia" w:ascii="黑体" w:hAnsi="黑体" w:eastAsia="黑体"/>
          <w:color w:val="000000"/>
          <w:sz w:val="44"/>
          <w:szCs w:val="44"/>
          <w:lang w:eastAsia="zh-CN"/>
        </w:rPr>
      </w:pPr>
    </w:p>
    <w:p>
      <w:pPr>
        <w:numPr>
          <w:ilvl w:val="0"/>
          <w:numId w:val="0"/>
        </w:numPr>
        <w:spacing w:line="600" w:lineRule="exact"/>
        <w:jc w:val="both"/>
        <w:outlineLvl w:val="0"/>
        <w:rPr>
          <w:rFonts w:hint="eastAsia" w:ascii="黑体" w:hAnsi="黑体" w:eastAsia="黑体"/>
          <w:color w:val="000000"/>
          <w:sz w:val="44"/>
          <w:szCs w:val="44"/>
          <w:lang w:eastAsia="zh-CN"/>
        </w:rPr>
      </w:pPr>
    </w:p>
    <w:p>
      <w:pPr>
        <w:numPr>
          <w:ilvl w:val="0"/>
          <w:numId w:val="0"/>
        </w:numPr>
        <w:spacing w:line="600" w:lineRule="exact"/>
        <w:jc w:val="both"/>
        <w:outlineLvl w:val="0"/>
        <w:rPr>
          <w:rFonts w:hint="eastAsia" w:ascii="黑体" w:hAnsi="黑体" w:eastAsia="黑体"/>
          <w:color w:val="000000"/>
          <w:sz w:val="44"/>
          <w:szCs w:val="44"/>
          <w:lang w:eastAsia="zh-CN"/>
        </w:rPr>
      </w:pPr>
    </w:p>
    <w:p>
      <w:pPr>
        <w:numPr>
          <w:ilvl w:val="0"/>
          <w:numId w:val="0"/>
        </w:numPr>
        <w:spacing w:line="600" w:lineRule="exact"/>
        <w:jc w:val="both"/>
        <w:outlineLvl w:val="0"/>
        <w:rPr>
          <w:rFonts w:hint="eastAsia" w:ascii="黑体" w:hAnsi="黑体" w:eastAsia="黑体"/>
          <w:color w:val="000000"/>
          <w:sz w:val="44"/>
          <w:szCs w:val="44"/>
          <w:lang w:eastAsia="zh-CN"/>
        </w:rPr>
      </w:pPr>
    </w:p>
    <w:p>
      <w:pPr>
        <w:numPr>
          <w:ilvl w:val="0"/>
          <w:numId w:val="0"/>
        </w:numPr>
        <w:spacing w:line="600" w:lineRule="exact"/>
        <w:jc w:val="both"/>
        <w:outlineLvl w:val="0"/>
        <w:rPr>
          <w:rFonts w:hint="eastAsia" w:ascii="黑体" w:hAnsi="黑体" w:eastAsia="黑体"/>
          <w:color w:val="000000"/>
          <w:sz w:val="44"/>
          <w:szCs w:val="44"/>
          <w:lang w:eastAsia="zh-CN"/>
        </w:rPr>
      </w:pPr>
    </w:p>
    <w:p>
      <w:pPr>
        <w:numPr>
          <w:ilvl w:val="0"/>
          <w:numId w:val="0"/>
        </w:numPr>
        <w:spacing w:line="600" w:lineRule="exact"/>
        <w:jc w:val="both"/>
        <w:outlineLvl w:val="0"/>
        <w:rPr>
          <w:rFonts w:hint="eastAsia" w:ascii="黑体" w:hAnsi="黑体" w:eastAsia="黑体"/>
          <w:color w:val="000000"/>
          <w:sz w:val="44"/>
          <w:szCs w:val="44"/>
          <w:lang w:eastAsia="zh-CN"/>
        </w:rPr>
      </w:pPr>
    </w:p>
    <w:p>
      <w:pPr>
        <w:numPr>
          <w:ilvl w:val="0"/>
          <w:numId w:val="0"/>
        </w:numPr>
        <w:spacing w:line="600" w:lineRule="exact"/>
        <w:jc w:val="both"/>
        <w:outlineLvl w:val="0"/>
        <w:rPr>
          <w:rFonts w:hint="eastAsia" w:ascii="黑体" w:hAnsi="黑体" w:eastAsia="黑体"/>
          <w:color w:val="000000"/>
          <w:sz w:val="44"/>
          <w:szCs w:val="44"/>
          <w:lang w:eastAsia="zh-CN"/>
        </w:rPr>
      </w:pPr>
    </w:p>
    <w:p>
      <w:pPr>
        <w:numPr>
          <w:ilvl w:val="0"/>
          <w:numId w:val="0"/>
        </w:numPr>
        <w:spacing w:line="600" w:lineRule="exact"/>
        <w:jc w:val="both"/>
        <w:outlineLvl w:val="0"/>
        <w:rPr>
          <w:rFonts w:hint="eastAsia" w:ascii="黑体" w:hAnsi="黑体" w:eastAsia="黑体"/>
          <w:color w:val="000000"/>
          <w:sz w:val="44"/>
          <w:szCs w:val="44"/>
          <w:lang w:eastAsia="zh-CN"/>
        </w:rPr>
      </w:pPr>
    </w:p>
    <w:p>
      <w:pPr>
        <w:numPr>
          <w:ilvl w:val="0"/>
          <w:numId w:val="0"/>
        </w:numPr>
        <w:spacing w:line="600" w:lineRule="exact"/>
        <w:jc w:val="both"/>
        <w:outlineLvl w:val="0"/>
        <w:rPr>
          <w:rFonts w:hint="eastAsia" w:ascii="黑体" w:hAnsi="黑体" w:eastAsia="黑体"/>
          <w:color w:val="000000"/>
          <w:sz w:val="44"/>
          <w:szCs w:val="44"/>
          <w:lang w:eastAsia="zh-CN"/>
        </w:rPr>
      </w:pPr>
    </w:p>
    <w:p>
      <w:pPr>
        <w:numPr>
          <w:ilvl w:val="0"/>
          <w:numId w:val="0"/>
        </w:numPr>
        <w:spacing w:line="600" w:lineRule="exact"/>
        <w:jc w:val="both"/>
        <w:outlineLvl w:val="0"/>
        <w:rPr>
          <w:rFonts w:hint="eastAsia" w:ascii="黑体" w:hAnsi="黑体" w:eastAsia="黑体"/>
          <w:color w:val="000000"/>
          <w:sz w:val="44"/>
          <w:szCs w:val="44"/>
          <w:lang w:eastAsia="zh-CN"/>
        </w:rPr>
      </w:pPr>
    </w:p>
    <w:p>
      <w:pPr>
        <w:numPr>
          <w:ilvl w:val="0"/>
          <w:numId w:val="0"/>
        </w:numPr>
        <w:spacing w:line="600" w:lineRule="exact"/>
        <w:jc w:val="both"/>
        <w:outlineLvl w:val="0"/>
        <w:rPr>
          <w:rFonts w:hint="eastAsia" w:ascii="黑体" w:hAnsi="黑体" w:eastAsia="黑体"/>
          <w:color w:val="000000"/>
          <w:sz w:val="44"/>
          <w:szCs w:val="44"/>
          <w:lang w:eastAsia="zh-CN"/>
        </w:rPr>
      </w:pPr>
    </w:p>
    <w:p>
      <w:pPr>
        <w:numPr>
          <w:ilvl w:val="0"/>
          <w:numId w:val="0"/>
        </w:numPr>
        <w:spacing w:line="600" w:lineRule="exact"/>
        <w:jc w:val="center"/>
        <w:outlineLvl w:val="0"/>
        <w:rPr>
          <w:rStyle w:val="33"/>
          <w:rFonts w:ascii="黑体" w:hAnsi="黑体" w:eastAsia="黑体"/>
          <w:b w:val="0"/>
        </w:rPr>
      </w:pPr>
      <w:r>
        <w:rPr>
          <w:rFonts w:hint="eastAsia" w:ascii="黑体" w:hAnsi="黑体" w:eastAsia="黑体"/>
          <w:color w:val="000000"/>
          <w:sz w:val="44"/>
          <w:szCs w:val="44"/>
          <w:lang w:eastAsia="zh-CN"/>
        </w:rPr>
        <w:t>第三部分</w:t>
      </w:r>
      <w:r>
        <w:rPr>
          <w:rFonts w:hint="eastAsia" w:ascii="黑体" w:hAnsi="黑体" w:eastAsia="黑体"/>
          <w:color w:val="000000"/>
          <w:sz w:val="44"/>
          <w:szCs w:val="44"/>
          <w:lang w:val="en-US" w:eastAsia="zh-CN"/>
        </w:rPr>
        <w:t xml:space="preserve"> </w:t>
      </w:r>
      <w:r>
        <w:rPr>
          <w:rFonts w:hint="eastAsia" w:ascii="黑体" w:hAnsi="黑体" w:eastAsia="黑体"/>
          <w:color w:val="000000"/>
          <w:sz w:val="44"/>
          <w:szCs w:val="44"/>
        </w:rPr>
        <w:t>名</w:t>
      </w:r>
      <w:r>
        <w:rPr>
          <w:rStyle w:val="33"/>
          <w:rFonts w:hint="eastAsia" w:ascii="黑体" w:hAnsi="黑体" w:eastAsia="黑体"/>
          <w:b w:val="0"/>
        </w:rPr>
        <w:t>词解释</w:t>
      </w:r>
      <w:bookmarkEnd w:id="42"/>
      <w:bookmarkEnd w:id="43"/>
    </w:p>
    <w:p>
      <w:pPr>
        <w:spacing w:line="600" w:lineRule="exact"/>
        <w:jc w:val="left"/>
        <w:rPr>
          <w:rFonts w:ascii="宋体"/>
          <w:b/>
          <w:color w:val="000000"/>
          <w:sz w:val="44"/>
          <w:szCs w:val="44"/>
        </w:rPr>
      </w:pPr>
    </w:p>
    <w:p>
      <w:pPr>
        <w:pStyle w:val="31"/>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1"/>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1"/>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其他收入：指单位取得的除上述收入以外的各项收入。</w:t>
      </w:r>
    </w:p>
    <w:p>
      <w:pPr>
        <w:pStyle w:val="31"/>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1"/>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31"/>
        <w:spacing w:line="560" w:lineRule="exact"/>
        <w:ind w:firstLine="640" w:firstLineChars="200"/>
        <w:jc w:val="both"/>
        <w:rPr>
          <w:rFonts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、年末结转和结余：指单位按有关规定结转到下年或以后年度继续使用的资金。</w:t>
      </w:r>
    </w:p>
    <w:p>
      <w:p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rPr>
        <w:t>一般公共服务（类）</w:t>
      </w:r>
      <w:r>
        <w:rPr>
          <w:rFonts w:hint="eastAsia" w:ascii="仿宋_GB2312" w:eastAsia="仿宋_GB2312"/>
          <w:color w:val="000000"/>
          <w:sz w:val="32"/>
          <w:szCs w:val="32"/>
          <w:lang w:eastAsia="zh-CN"/>
        </w:rPr>
        <w:t>政府办公厅（室）及相关机构事务</w:t>
      </w:r>
      <w:r>
        <w:rPr>
          <w:rFonts w:hint="eastAsia" w:ascii="仿宋_GB2312" w:eastAsia="仿宋_GB2312"/>
          <w:color w:val="000000"/>
          <w:sz w:val="32"/>
          <w:szCs w:val="32"/>
        </w:rPr>
        <w:t>（款）</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一般行政运行支出</w:t>
      </w:r>
      <w:r>
        <w:rPr>
          <w:rFonts w:hint="eastAsia" w:ascii="仿宋_GB2312" w:eastAsia="仿宋_GB2312"/>
          <w:color w:val="000000"/>
          <w:sz w:val="32"/>
          <w:szCs w:val="32"/>
        </w:rPr>
        <w:t>。</w:t>
      </w:r>
    </w:p>
    <w:p>
      <w:pPr>
        <w:ind w:firstLine="640" w:firstLineChars="200"/>
        <w:jc w:val="both"/>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政府办公厅（室）及相关机构事务）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一般行政管理事务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指一般行政管理事务支出。</w:t>
      </w:r>
    </w:p>
    <w:p>
      <w:pPr>
        <w:ind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政府办公厅（室）及相关机构事务）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事业运行</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w:t>
      </w:r>
      <w:r>
        <w:rPr>
          <w:rFonts w:hint="eastAsia" w:ascii="仿宋_GB2312" w:eastAsia="仿宋_GB2312"/>
          <w:color w:val="000000"/>
          <w:sz w:val="32"/>
          <w:szCs w:val="32"/>
          <w:lang w:eastAsia="zh-CN"/>
        </w:rPr>
        <w:t>指事业运行支出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 xml:space="preserve">                                                                                    </w:t>
      </w:r>
    </w:p>
    <w:p>
      <w:pPr>
        <w:ind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10.社会保障和就业（类）行政事业单位离退休（款）机关事业单位基本养老保险缴费支出（项）:指机关事业单位基本养老保险缴费支出</w:t>
      </w:r>
    </w:p>
    <w:p>
      <w:pPr>
        <w:ind w:firstLine="640" w:firstLineChars="200"/>
        <w:jc w:val="both"/>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行政事业单位离退休</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机关事业单位职业年金缴费支出（</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lang w:eastAsia="zh-CN"/>
        </w:rPr>
        <w:t>）</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指机关事业单位职业年金缴费支出</w:t>
      </w:r>
    </w:p>
    <w:p>
      <w:p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卫生健康（</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行政事业单位医疗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w:t>
      </w:r>
      <w:r>
        <w:rPr>
          <w:rFonts w:hint="eastAsia" w:ascii="仿宋_GB2312" w:eastAsia="仿宋_GB2312"/>
          <w:color w:val="000000"/>
          <w:sz w:val="32"/>
          <w:szCs w:val="32"/>
          <w:lang w:eastAsia="zh-CN"/>
        </w:rPr>
        <w:t>指行政单位医疗支出</w:t>
      </w:r>
      <w:r>
        <w:rPr>
          <w:rFonts w:hint="eastAsia" w:ascii="仿宋_GB2312" w:eastAsia="仿宋_GB2312"/>
          <w:color w:val="000000"/>
          <w:sz w:val="32"/>
          <w:szCs w:val="32"/>
        </w:rPr>
        <w:t>。</w:t>
      </w:r>
    </w:p>
    <w:p>
      <w:p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卫生健康（</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行政事业单位医疗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事业单位医疗（</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lang w:eastAsia="zh-CN"/>
        </w:rPr>
        <w:t>）</w:t>
      </w:r>
      <w:r>
        <w:rPr>
          <w:rFonts w:hint="eastAsia" w:ascii="仿宋_GB2312" w:eastAsia="仿宋_GB2312"/>
          <w:color w:val="000000"/>
          <w:sz w:val="32"/>
          <w:szCs w:val="32"/>
        </w:rPr>
        <w:t>:</w:t>
      </w:r>
      <w:r>
        <w:rPr>
          <w:rFonts w:hint="eastAsia" w:ascii="仿宋_GB2312" w:eastAsia="仿宋_GB2312"/>
          <w:color w:val="000000"/>
          <w:sz w:val="32"/>
          <w:szCs w:val="32"/>
          <w:lang w:eastAsia="zh-CN"/>
        </w:rPr>
        <w:t>指事业单位医疗支出</w:t>
      </w:r>
      <w:r>
        <w:rPr>
          <w:rFonts w:hint="eastAsia" w:ascii="仿宋_GB2312" w:eastAsia="仿宋_GB2312"/>
          <w:color w:val="000000"/>
          <w:sz w:val="32"/>
          <w:szCs w:val="32"/>
        </w:rPr>
        <w:t>。</w:t>
      </w:r>
    </w:p>
    <w:p>
      <w:p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14.</w:t>
      </w:r>
      <w:r>
        <w:rPr>
          <w:rFonts w:hint="eastAsia" w:ascii="仿宋_GB2312" w:eastAsia="仿宋_GB2312"/>
          <w:color w:val="000000"/>
          <w:sz w:val="32"/>
          <w:szCs w:val="32"/>
          <w:lang w:eastAsia="zh-CN"/>
        </w:rPr>
        <w:t>住房保障支出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住房改革支出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住房公积金</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指住房公积金支出</w:t>
      </w:r>
      <w:r>
        <w:rPr>
          <w:rFonts w:hint="eastAsia" w:ascii="仿宋_GB2312" w:eastAsia="仿宋_GB2312"/>
          <w:color w:val="000000"/>
          <w:sz w:val="32"/>
          <w:szCs w:val="32"/>
        </w:rPr>
        <w:t>。</w:t>
      </w:r>
    </w:p>
    <w:p>
      <w:p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15.</w:t>
      </w:r>
      <w:r>
        <w:rPr>
          <w:rFonts w:hint="eastAsia" w:ascii="仿宋_GB2312" w:eastAsia="仿宋_GB2312"/>
          <w:color w:val="000000"/>
          <w:sz w:val="32"/>
          <w:szCs w:val="32"/>
          <w:lang w:eastAsia="zh-CN"/>
        </w:rPr>
        <w:t>住房保障支出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住房改革支出</w:t>
      </w:r>
      <w:r>
        <w:rPr>
          <w:rFonts w:hint="eastAsia" w:ascii="仿宋_GB2312" w:eastAsia="仿宋_GB2312"/>
          <w:color w:val="000000"/>
          <w:sz w:val="32"/>
          <w:szCs w:val="32"/>
        </w:rPr>
        <w:t>（</w:t>
      </w:r>
      <w:r>
        <w:rPr>
          <w:rFonts w:hint="eastAsia" w:ascii="仿宋_GB2312" w:eastAsia="仿宋_GB2312"/>
          <w:color w:val="000000"/>
          <w:sz w:val="32"/>
          <w:szCs w:val="32"/>
          <w:lang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住房补贴</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指住房补贴支出</w:t>
      </w:r>
      <w:r>
        <w:rPr>
          <w:rFonts w:hint="eastAsia" w:ascii="仿宋_GB2312" w:eastAsia="仿宋_GB2312"/>
          <w:color w:val="000000"/>
          <w:sz w:val="32"/>
          <w:szCs w:val="32"/>
        </w:rPr>
        <w:t>。</w:t>
      </w:r>
    </w:p>
    <w:p>
      <w:pPr>
        <w:ind w:firstLine="640" w:firstLineChars="200"/>
        <w:jc w:val="both"/>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农林水（类）</w:t>
      </w:r>
      <w:r>
        <w:rPr>
          <w:rFonts w:hint="eastAsia" w:ascii="仿宋_GB2312" w:eastAsia="仿宋_GB2312"/>
          <w:color w:val="000000"/>
          <w:sz w:val="32"/>
          <w:szCs w:val="32"/>
          <w:lang w:eastAsia="zh-CN"/>
        </w:rPr>
        <w:t>农林水</w:t>
      </w:r>
      <w:r>
        <w:rPr>
          <w:rFonts w:hint="eastAsia" w:ascii="仿宋_GB2312" w:eastAsia="仿宋_GB2312"/>
          <w:color w:val="000000"/>
          <w:sz w:val="32"/>
          <w:szCs w:val="32"/>
        </w:rPr>
        <w:t>（款）</w:t>
      </w:r>
      <w:r>
        <w:rPr>
          <w:rFonts w:hint="eastAsia" w:ascii="仿宋_GB2312" w:eastAsia="仿宋_GB2312"/>
          <w:color w:val="000000"/>
          <w:sz w:val="32"/>
          <w:szCs w:val="32"/>
          <w:lang w:eastAsia="zh-CN"/>
        </w:rPr>
        <w:t>扶贫</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其他扶贫支出</w:t>
      </w:r>
      <w:r>
        <w:rPr>
          <w:rFonts w:hint="eastAsia" w:ascii="仿宋_GB2312" w:eastAsia="仿宋_GB2312"/>
          <w:color w:val="000000"/>
          <w:sz w:val="32"/>
          <w:szCs w:val="32"/>
        </w:rPr>
        <w:t>。</w:t>
      </w:r>
    </w:p>
    <w:p>
      <w:pPr>
        <w:ind w:firstLine="640" w:firstLineChars="200"/>
        <w:jc w:val="both"/>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pStyle w:val="31"/>
        <w:spacing w:line="560" w:lineRule="exact"/>
        <w:ind w:firstLine="640" w:firstLineChars="200"/>
        <w:jc w:val="both"/>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1"/>
        <w:spacing w:line="560" w:lineRule="exact"/>
        <w:ind w:firstLine="640" w:firstLineChars="200"/>
        <w:jc w:val="both"/>
        <w:rPr>
          <w:rFonts w:ascii="仿宋_GB2312" w:eastAsia="仿宋_GB2312" w:cs="黑体"/>
          <w:sz w:val="32"/>
          <w:szCs w:val="32"/>
        </w:rPr>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1"/>
        <w:spacing w:line="560" w:lineRule="exact"/>
        <w:ind w:firstLine="640" w:firstLineChars="200"/>
        <w:rPr>
          <w:rFonts w:ascii="仿宋_GB2312" w:eastAsia="仿宋_GB2312" w:cs="黑体"/>
          <w:sz w:val="32"/>
          <w:szCs w:val="32"/>
        </w:rPr>
      </w:pPr>
    </w:p>
    <w:p>
      <w:pPr>
        <w:spacing w:line="600" w:lineRule="exact"/>
        <w:jc w:val="center"/>
        <w:outlineLvl w:val="0"/>
        <w:rPr>
          <w:rFonts w:hint="eastAsia" w:ascii="黑体" w:hAnsi="黑体" w:eastAsia="黑体"/>
          <w:color w:val="000000"/>
          <w:sz w:val="44"/>
          <w:szCs w:val="44"/>
        </w:rPr>
      </w:pPr>
      <w:bookmarkStart w:id="44" w:name="_Toc15396614"/>
      <w:bookmarkStart w:id="45" w:name="_Toc15377226"/>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33"/>
          <w:rFonts w:ascii="黑体" w:hAnsi="黑体" w:eastAsia="黑体"/>
          <w:b w:val="0"/>
        </w:rPr>
      </w:pPr>
      <w:r>
        <w:rPr>
          <w:rFonts w:hint="eastAsia" w:ascii="黑体" w:hAnsi="黑体" w:eastAsia="黑体"/>
          <w:color w:val="000000"/>
          <w:sz w:val="44"/>
          <w:szCs w:val="44"/>
        </w:rPr>
        <w:t>第</w:t>
      </w:r>
      <w:r>
        <w:rPr>
          <w:rStyle w:val="33"/>
          <w:rFonts w:hint="eastAsia" w:ascii="黑体" w:hAnsi="黑体" w:eastAsia="黑体"/>
          <w:b w:val="0"/>
        </w:rPr>
        <w:t>四部分 附件</w:t>
      </w:r>
      <w:bookmarkEnd w:id="44"/>
    </w:p>
    <w:p>
      <w:pPr>
        <w:spacing w:line="600" w:lineRule="exact"/>
        <w:jc w:val="center"/>
        <w:rPr>
          <w:rFonts w:hint="eastAsia" w:ascii="方正小标宋简体" w:hAnsi="宋体" w:eastAsia="方正小标宋简体"/>
          <w:color w:val="000000"/>
          <w:kern w:val="0"/>
          <w:sz w:val="40"/>
          <w:szCs w:val="44"/>
          <w:lang w:eastAsia="zh-CN"/>
        </w:rPr>
      </w:pPr>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eastAsia="zh-CN"/>
        </w:rPr>
        <w:t>茂县信访局</w:t>
      </w:r>
      <w:r>
        <w:rPr>
          <w:rFonts w:ascii="方正小标宋简体" w:hAnsi="宋体" w:eastAsia="方正小标宋简体"/>
          <w:color w:val="000000"/>
          <w:kern w:val="0"/>
          <w:sz w:val="40"/>
          <w:szCs w:val="44"/>
        </w:rPr>
        <w:t>20</w:t>
      </w:r>
      <w:r>
        <w:rPr>
          <w:rFonts w:hint="eastAsia" w:ascii="方正小标宋简体" w:hAnsi="宋体" w:eastAsia="方正小标宋简体"/>
          <w:color w:val="000000"/>
          <w:kern w:val="0"/>
          <w:sz w:val="40"/>
          <w:szCs w:val="44"/>
          <w:lang w:val="en-US" w:eastAsia="zh-CN"/>
        </w:rPr>
        <w:t>20</w:t>
      </w:r>
      <w:r>
        <w:rPr>
          <w:rFonts w:ascii="方正小标宋简体" w:hAnsi="宋体" w:eastAsia="方正小标宋简体"/>
          <w:color w:val="000000"/>
          <w:kern w:val="0"/>
          <w:sz w:val="40"/>
          <w:szCs w:val="44"/>
        </w:rPr>
        <w:t>年部门</w:t>
      </w:r>
      <w:r>
        <w:rPr>
          <w:rFonts w:hint="eastAsia" w:ascii="方正小标宋简体" w:hAnsi="宋体" w:eastAsia="方正小标宋简体"/>
          <w:color w:val="000000"/>
          <w:kern w:val="0"/>
          <w:sz w:val="40"/>
          <w:szCs w:val="44"/>
          <w:lang w:val="zh-CN"/>
        </w:rPr>
        <w:t>整体支出绩效评价报告</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lang w:val="en-US" w:eastAsia="zh-CN"/>
        </w:rPr>
        <w:t xml:space="preserve">    </w:t>
      </w: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2" w:firstLineChars="2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（一）机构组成</w:t>
      </w:r>
    </w:p>
    <w:p>
      <w:pPr>
        <w:widowControl/>
        <w:spacing w:line="560" w:lineRule="exact"/>
        <w:ind w:left="210" w:leftChars="100"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茂县信访局下属二级预算单位</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个，其中内设机构</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个</w:t>
      </w:r>
      <w:r>
        <w:rPr>
          <w:rFonts w:hint="eastAsia" w:ascii="仿宋_GB2312" w:hAnsi="仿宋_GB2312" w:eastAsia="仿宋_GB2312" w:cs="仿宋_GB2312"/>
          <w:kern w:val="0"/>
          <w:sz w:val="32"/>
          <w:szCs w:val="32"/>
          <w:lang w:val="en-US" w:eastAsia="zh-CN"/>
        </w:rPr>
        <w:t>。</w:t>
      </w:r>
    </w:p>
    <w:p>
      <w:pPr>
        <w:widowControl/>
        <w:spacing w:line="560" w:lineRule="exact"/>
        <w:jc w:val="left"/>
        <w:rPr>
          <w:rFonts w:hint="eastAsia" w:ascii="仿宋_GB2312" w:hAnsi="宋体" w:eastAsia="仿宋_GB2312" w:cs="宋体"/>
          <w:color w:val="000000"/>
          <w:kern w:val="0"/>
          <w:sz w:val="32"/>
          <w:szCs w:val="32"/>
          <w:shd w:val="clear" w:color="auto" w:fill="FFFFFF"/>
          <w:lang w:val="zh-CN"/>
        </w:rPr>
      </w:pPr>
      <w:r>
        <w:rPr>
          <w:rFonts w:hint="eastAsia" w:ascii="楷体_GB2312" w:hAnsi="楷体_GB2312" w:eastAsia="楷体_GB2312" w:cs="楷体_GB2312"/>
          <w:b/>
          <w:bCs/>
          <w:kern w:val="0"/>
          <w:sz w:val="32"/>
          <w:szCs w:val="32"/>
          <w:lang w:val="en-US" w:eastAsia="zh-CN"/>
        </w:rPr>
        <w:t xml:space="preserve">    （二）</w:t>
      </w:r>
      <w:r>
        <w:rPr>
          <w:rFonts w:hint="eastAsia" w:ascii="楷体_GB2312" w:hAnsi="楷体_GB2312" w:eastAsia="楷体_GB2312" w:cs="楷体_GB2312"/>
          <w:b/>
          <w:bCs/>
          <w:color w:val="000000"/>
          <w:kern w:val="0"/>
          <w:sz w:val="32"/>
          <w:szCs w:val="32"/>
          <w:shd w:val="clear" w:color="auto" w:fill="FFFFFF"/>
          <w:lang w:val="zh-CN"/>
        </w:rPr>
        <w:t>机构职能</w:t>
      </w:r>
    </w:p>
    <w:p>
      <w:pPr>
        <w:widowControl/>
        <w:numPr>
          <w:ilvl w:val="0"/>
          <w:numId w:val="0"/>
        </w:numPr>
        <w:adjustRightInd w:val="0"/>
        <w:snapToGrid w:val="0"/>
        <w:spacing w:line="580" w:lineRule="exact"/>
        <w:contextualSpacing/>
        <w:jc w:val="left"/>
        <w:rPr>
          <w:rFonts w:hint="eastAsia" w:ascii="仿宋" w:hAnsi="仿宋" w:eastAsia="仿宋"/>
          <w:bCs/>
          <w:color w:val="000000"/>
          <w:sz w:val="32"/>
          <w:szCs w:val="32"/>
          <w:lang w:eastAsia="zh-CN"/>
        </w:rPr>
      </w:pPr>
      <w:r>
        <w:rPr>
          <w:rFonts w:hint="eastAsia" w:ascii="仿宋" w:hAnsi="仿宋" w:eastAsia="仿宋"/>
          <w:bCs/>
          <w:color w:val="000000"/>
          <w:sz w:val="32"/>
          <w:szCs w:val="32"/>
          <w:lang w:val="en-US" w:eastAsia="zh-CN"/>
        </w:rPr>
        <w:t xml:space="preserve">    1.</w:t>
      </w:r>
      <w:r>
        <w:rPr>
          <w:rFonts w:hint="eastAsia" w:ascii="仿宋" w:hAnsi="仿宋" w:eastAsia="仿宋"/>
          <w:bCs/>
          <w:color w:val="000000"/>
          <w:sz w:val="32"/>
          <w:szCs w:val="32"/>
        </w:rPr>
        <w:t>起草有关信访工作的规范性文件草案。制定信访问题排查化解、风险评估等制度并组织实施，提出改进和加强信访工作的意见和建议。负责本部门依法行政工作。</w:t>
      </w:r>
    </w:p>
    <w:p>
      <w:pPr>
        <w:widowControl/>
        <w:numPr>
          <w:ilvl w:val="0"/>
          <w:numId w:val="0"/>
        </w:numPr>
        <w:adjustRightInd w:val="0"/>
        <w:snapToGrid w:val="0"/>
        <w:spacing w:line="580" w:lineRule="exact"/>
        <w:contextualSpacing/>
        <w:jc w:val="left"/>
        <w:rPr>
          <w:rFonts w:hint="eastAsia" w:ascii="仿宋" w:hAnsi="仿宋" w:eastAsia="仿宋"/>
          <w:bCs/>
          <w:color w:val="000000"/>
          <w:sz w:val="32"/>
          <w:szCs w:val="32"/>
          <w:lang w:eastAsia="zh-CN"/>
        </w:rPr>
      </w:pPr>
      <w:r>
        <w:rPr>
          <w:rFonts w:hint="eastAsia" w:ascii="仿宋" w:hAnsi="仿宋" w:eastAsia="仿宋"/>
          <w:bCs/>
          <w:color w:val="000000"/>
          <w:sz w:val="32"/>
          <w:szCs w:val="32"/>
          <w:lang w:val="en-US" w:eastAsia="zh-CN"/>
        </w:rPr>
        <w:t xml:space="preserve">    2.</w:t>
      </w:r>
      <w:r>
        <w:rPr>
          <w:rFonts w:hint="eastAsia" w:ascii="仿宋" w:hAnsi="仿宋" w:eastAsia="仿宋"/>
          <w:bCs/>
          <w:color w:val="000000"/>
          <w:sz w:val="32"/>
          <w:szCs w:val="32"/>
        </w:rPr>
        <w:t>负责向县委、县人民政府反映来信来电来访中提出的重要建议、意见和问题，综合研判信访信息，开展调查研究，提出相关建议。</w:t>
      </w:r>
    </w:p>
    <w:p>
      <w:pPr>
        <w:widowControl/>
        <w:numPr>
          <w:ilvl w:val="0"/>
          <w:numId w:val="0"/>
        </w:numPr>
        <w:adjustRightInd w:val="0"/>
        <w:snapToGrid w:val="0"/>
        <w:spacing w:line="580" w:lineRule="exact"/>
        <w:contextualSpacing/>
        <w:jc w:val="left"/>
        <w:rPr>
          <w:rFonts w:hint="eastAsia" w:ascii="仿宋" w:hAnsi="仿宋" w:eastAsia="仿宋"/>
          <w:bCs/>
          <w:color w:val="000000"/>
          <w:sz w:val="32"/>
          <w:szCs w:val="32"/>
          <w:lang w:eastAsia="zh-CN"/>
        </w:rPr>
      </w:pPr>
      <w:r>
        <w:rPr>
          <w:rFonts w:hint="eastAsia" w:ascii="仿宋" w:hAnsi="仿宋" w:eastAsia="仿宋"/>
          <w:bCs/>
          <w:color w:val="000000"/>
          <w:sz w:val="32"/>
          <w:szCs w:val="32"/>
          <w:lang w:val="en-US" w:eastAsia="zh-CN"/>
        </w:rPr>
        <w:t xml:space="preserve">    3.</w:t>
      </w:r>
      <w:r>
        <w:rPr>
          <w:rFonts w:hint="eastAsia" w:ascii="仿宋" w:hAnsi="仿宋" w:eastAsia="仿宋"/>
          <w:bCs/>
          <w:color w:val="000000"/>
          <w:sz w:val="32"/>
          <w:szCs w:val="32"/>
        </w:rPr>
        <w:t>综合协调指导全县信访工作，推动建立健全信访工作的协调配合机制。督促检查县直各部门（单位）和乡镇信访工作，总结推广信访工作先进经验，协调信访工作宣传和信息发布。</w:t>
      </w:r>
    </w:p>
    <w:p>
      <w:pPr>
        <w:widowControl/>
        <w:numPr>
          <w:ilvl w:val="0"/>
          <w:numId w:val="0"/>
        </w:numPr>
        <w:adjustRightInd w:val="0"/>
        <w:snapToGrid w:val="0"/>
        <w:spacing w:line="580" w:lineRule="exact"/>
        <w:contextualSpacing/>
        <w:jc w:val="left"/>
        <w:rPr>
          <w:rFonts w:hint="eastAsia" w:ascii="仿宋" w:hAnsi="仿宋" w:eastAsia="仿宋"/>
          <w:bCs/>
          <w:color w:val="000000"/>
          <w:sz w:val="32"/>
          <w:szCs w:val="32"/>
          <w:lang w:eastAsia="zh-CN"/>
        </w:rPr>
      </w:pPr>
      <w:r>
        <w:rPr>
          <w:rFonts w:hint="eastAsia" w:ascii="仿宋" w:hAnsi="仿宋" w:eastAsia="仿宋"/>
          <w:bCs/>
          <w:color w:val="000000"/>
          <w:sz w:val="32"/>
          <w:szCs w:val="32"/>
          <w:lang w:val="en-US" w:eastAsia="zh-CN"/>
        </w:rPr>
        <w:t xml:space="preserve">    4.</w:t>
      </w:r>
      <w:r>
        <w:rPr>
          <w:rFonts w:hint="eastAsia" w:ascii="仿宋" w:hAnsi="仿宋" w:eastAsia="仿宋"/>
          <w:bCs/>
          <w:color w:val="000000"/>
          <w:sz w:val="32"/>
          <w:szCs w:val="32"/>
        </w:rPr>
        <w:t>负责处理县内外群众、境外人士、法人及其他组织通过信访渠道给县委、县人民政府及领导同志的来信来电，接待来访。</w:t>
      </w:r>
    </w:p>
    <w:p>
      <w:pPr>
        <w:widowControl/>
        <w:numPr>
          <w:ilvl w:val="0"/>
          <w:numId w:val="0"/>
        </w:numPr>
        <w:adjustRightInd w:val="0"/>
        <w:snapToGrid w:val="0"/>
        <w:spacing w:line="580" w:lineRule="exact"/>
        <w:contextualSpacing/>
        <w:jc w:val="left"/>
        <w:rPr>
          <w:rFonts w:hint="eastAsia" w:ascii="仿宋" w:hAnsi="仿宋" w:eastAsia="仿宋"/>
          <w:bCs/>
          <w:color w:val="000000"/>
          <w:sz w:val="32"/>
          <w:szCs w:val="32"/>
          <w:lang w:eastAsia="zh-CN"/>
        </w:rPr>
      </w:pPr>
      <w:r>
        <w:rPr>
          <w:rFonts w:hint="eastAsia" w:ascii="仿宋" w:hAnsi="仿宋" w:eastAsia="仿宋"/>
          <w:bCs/>
          <w:color w:val="000000"/>
          <w:sz w:val="32"/>
          <w:szCs w:val="32"/>
          <w:lang w:val="en-US" w:eastAsia="zh-CN"/>
        </w:rPr>
        <w:t xml:space="preserve">    5.</w:t>
      </w:r>
      <w:r>
        <w:rPr>
          <w:rFonts w:hint="eastAsia" w:ascii="仿宋" w:hAnsi="仿宋" w:eastAsia="仿宋"/>
          <w:bCs/>
          <w:color w:val="000000"/>
          <w:sz w:val="32"/>
          <w:szCs w:val="32"/>
        </w:rPr>
        <w:t>承担协调处理群众进京到省去州来县集体上访和非正常上访的责任，综合协调处理跨地区、跨部门的重要信访问题。</w:t>
      </w:r>
    </w:p>
    <w:p>
      <w:pPr>
        <w:widowControl/>
        <w:numPr>
          <w:ilvl w:val="0"/>
          <w:numId w:val="0"/>
        </w:numPr>
        <w:adjustRightInd w:val="0"/>
        <w:snapToGrid w:val="0"/>
        <w:spacing w:line="580" w:lineRule="exact"/>
        <w:contextualSpacing/>
        <w:jc w:val="left"/>
        <w:rPr>
          <w:rFonts w:hint="eastAsia" w:ascii="仿宋" w:hAnsi="仿宋" w:eastAsia="仿宋"/>
          <w:bCs/>
          <w:color w:val="000000"/>
          <w:sz w:val="32"/>
          <w:szCs w:val="32"/>
          <w:lang w:eastAsia="zh-CN"/>
        </w:rPr>
      </w:pPr>
      <w:r>
        <w:rPr>
          <w:rFonts w:hint="eastAsia" w:ascii="仿宋" w:hAnsi="仿宋" w:eastAsia="仿宋"/>
          <w:bCs/>
          <w:color w:val="000000"/>
          <w:sz w:val="32"/>
          <w:szCs w:val="32"/>
          <w:lang w:val="en-US" w:eastAsia="zh-CN"/>
        </w:rPr>
        <w:t xml:space="preserve">    6.</w:t>
      </w:r>
      <w:r>
        <w:rPr>
          <w:rFonts w:hint="eastAsia" w:ascii="仿宋" w:hAnsi="仿宋" w:eastAsia="仿宋"/>
          <w:bCs/>
          <w:color w:val="000000"/>
          <w:sz w:val="32"/>
          <w:szCs w:val="32"/>
        </w:rPr>
        <w:t>负责落实国家、省、州、县领导批示交办信访事项，受理、交办、转办（送）群众来信、来电、来访、网上信访提出的信访事项，督促检查重要信访事项的处理和落实。</w:t>
      </w:r>
    </w:p>
    <w:p>
      <w:pPr>
        <w:widowControl/>
        <w:numPr>
          <w:ilvl w:val="0"/>
          <w:numId w:val="0"/>
        </w:numPr>
        <w:adjustRightInd w:val="0"/>
        <w:snapToGrid w:val="0"/>
        <w:spacing w:line="580" w:lineRule="exact"/>
        <w:contextualSpacing/>
        <w:jc w:val="left"/>
        <w:rPr>
          <w:rFonts w:hint="eastAsia" w:ascii="仿宋" w:hAnsi="仿宋" w:eastAsia="仿宋"/>
          <w:bCs/>
          <w:color w:val="000000"/>
          <w:sz w:val="32"/>
          <w:szCs w:val="32"/>
          <w:lang w:eastAsia="zh-CN"/>
        </w:rPr>
      </w:pPr>
      <w:r>
        <w:rPr>
          <w:rFonts w:hint="eastAsia" w:ascii="仿宋" w:hAnsi="仿宋" w:eastAsia="仿宋"/>
          <w:bCs/>
          <w:color w:val="000000"/>
          <w:sz w:val="32"/>
          <w:szCs w:val="32"/>
          <w:lang w:val="en-US" w:eastAsia="zh-CN"/>
        </w:rPr>
        <w:t xml:space="preserve">    7.</w:t>
      </w:r>
      <w:r>
        <w:rPr>
          <w:rFonts w:hint="eastAsia" w:ascii="仿宋" w:hAnsi="仿宋" w:eastAsia="仿宋"/>
          <w:bCs/>
          <w:color w:val="000000"/>
          <w:sz w:val="32"/>
          <w:szCs w:val="32"/>
        </w:rPr>
        <w:t>加强对信访问题排查化解和社情民意汇集分析，重点开展法律法规政策宣传和思想教育疏导，将信访工作的重点由事后处理转移到事前排查化解，增强信访工作的预见性和针对性。</w:t>
      </w:r>
    </w:p>
    <w:p>
      <w:pPr>
        <w:widowControl/>
        <w:numPr>
          <w:ilvl w:val="0"/>
          <w:numId w:val="0"/>
        </w:numPr>
        <w:adjustRightInd w:val="0"/>
        <w:snapToGrid w:val="0"/>
        <w:spacing w:line="580" w:lineRule="exact"/>
        <w:contextualSpacing/>
        <w:jc w:val="left"/>
        <w:rPr>
          <w:rFonts w:hint="eastAsia" w:ascii="仿宋" w:hAnsi="仿宋" w:eastAsia="仿宋"/>
          <w:bCs/>
          <w:color w:val="000000"/>
          <w:sz w:val="32"/>
          <w:szCs w:val="32"/>
          <w:lang w:eastAsia="zh-CN"/>
        </w:rPr>
      </w:pPr>
      <w:r>
        <w:rPr>
          <w:rFonts w:hint="eastAsia" w:ascii="仿宋" w:hAnsi="仿宋" w:eastAsia="仿宋"/>
          <w:bCs/>
          <w:color w:val="000000"/>
          <w:sz w:val="32"/>
          <w:szCs w:val="32"/>
          <w:lang w:val="en-US" w:eastAsia="zh-CN"/>
        </w:rPr>
        <w:t xml:space="preserve">    8.</w:t>
      </w:r>
      <w:r>
        <w:rPr>
          <w:rFonts w:hint="eastAsia" w:ascii="仿宋" w:hAnsi="仿宋" w:eastAsia="仿宋"/>
          <w:bCs/>
          <w:color w:val="000000"/>
          <w:sz w:val="32"/>
          <w:szCs w:val="32"/>
        </w:rPr>
        <w:t>加强对重大信访事项的督查督办，完善信访诉求表达方式，进一步畅通信访渠道，确保信访工作决策部署得到贯彻落实，推动群众信访问题得到妥善解决。</w:t>
      </w:r>
    </w:p>
    <w:p>
      <w:pPr>
        <w:widowControl/>
        <w:numPr>
          <w:ilvl w:val="0"/>
          <w:numId w:val="0"/>
        </w:numPr>
        <w:adjustRightInd w:val="0"/>
        <w:snapToGrid w:val="0"/>
        <w:spacing w:line="580" w:lineRule="exact"/>
        <w:contextualSpacing/>
        <w:jc w:val="left"/>
        <w:rPr>
          <w:rFonts w:hint="eastAsia" w:ascii="仿宋" w:hAnsi="仿宋" w:eastAsia="仿宋"/>
          <w:bCs/>
          <w:color w:val="000000"/>
          <w:sz w:val="32"/>
          <w:szCs w:val="32"/>
          <w:lang w:eastAsia="zh-CN"/>
        </w:rPr>
      </w:pPr>
      <w:r>
        <w:rPr>
          <w:rFonts w:hint="eastAsia" w:ascii="仿宋" w:hAnsi="仿宋" w:eastAsia="仿宋"/>
          <w:bCs/>
          <w:color w:val="000000"/>
          <w:sz w:val="32"/>
          <w:szCs w:val="32"/>
          <w:lang w:val="en-US" w:eastAsia="zh-CN"/>
        </w:rPr>
        <w:t xml:space="preserve">    9.</w:t>
      </w:r>
      <w:r>
        <w:rPr>
          <w:rFonts w:hint="eastAsia" w:ascii="仿宋" w:hAnsi="仿宋" w:eastAsia="仿宋"/>
          <w:bCs/>
          <w:color w:val="000000"/>
          <w:sz w:val="32"/>
          <w:szCs w:val="32"/>
        </w:rPr>
        <w:t>建立和完善信访信息汇集分析机制，指导信访信息系统建设和应用。</w:t>
      </w:r>
    </w:p>
    <w:p>
      <w:pPr>
        <w:widowControl/>
        <w:numPr>
          <w:ilvl w:val="0"/>
          <w:numId w:val="0"/>
        </w:numPr>
        <w:adjustRightInd w:val="0"/>
        <w:snapToGrid w:val="0"/>
        <w:spacing w:line="580" w:lineRule="exact"/>
        <w:contextualSpacing/>
        <w:jc w:val="left"/>
        <w:rPr>
          <w:rFonts w:hint="eastAsia" w:ascii="仿宋" w:hAnsi="仿宋" w:eastAsia="仿宋"/>
          <w:bCs/>
          <w:color w:val="000000"/>
          <w:sz w:val="32"/>
          <w:szCs w:val="32"/>
          <w:lang w:eastAsia="zh-CN"/>
        </w:rPr>
      </w:pPr>
      <w:r>
        <w:rPr>
          <w:rFonts w:hint="eastAsia" w:ascii="仿宋" w:hAnsi="仿宋" w:eastAsia="仿宋"/>
          <w:bCs/>
          <w:color w:val="000000"/>
          <w:sz w:val="32"/>
          <w:szCs w:val="32"/>
          <w:lang w:val="en-US" w:eastAsia="zh-CN"/>
        </w:rPr>
        <w:t xml:space="preserve">    10.</w:t>
      </w:r>
      <w:r>
        <w:rPr>
          <w:rFonts w:hint="eastAsia" w:ascii="仿宋" w:hAnsi="仿宋" w:eastAsia="仿宋"/>
          <w:bCs/>
          <w:color w:val="000000"/>
          <w:sz w:val="32"/>
          <w:szCs w:val="32"/>
        </w:rPr>
        <w:t>开展网上信访工作，探索“互联网+信访”新模式，推动信访信息化建设。</w:t>
      </w:r>
    </w:p>
    <w:p>
      <w:pPr>
        <w:widowControl/>
        <w:numPr>
          <w:ilvl w:val="0"/>
          <w:numId w:val="0"/>
        </w:numPr>
        <w:adjustRightInd w:val="0"/>
        <w:snapToGrid w:val="0"/>
        <w:spacing w:line="580" w:lineRule="exact"/>
        <w:contextualSpacing/>
        <w:jc w:val="left"/>
        <w:rPr>
          <w:rFonts w:hint="eastAsia" w:ascii="仿宋" w:hAnsi="仿宋" w:eastAsia="仿宋"/>
          <w:bCs/>
          <w:color w:val="000000"/>
          <w:sz w:val="32"/>
          <w:szCs w:val="32"/>
          <w:lang w:eastAsia="zh-CN"/>
        </w:rPr>
      </w:pPr>
      <w:r>
        <w:rPr>
          <w:rFonts w:hint="eastAsia" w:ascii="仿宋" w:hAnsi="仿宋" w:eastAsia="仿宋"/>
          <w:bCs/>
          <w:color w:val="000000"/>
          <w:sz w:val="32"/>
          <w:szCs w:val="32"/>
          <w:lang w:val="en-US" w:eastAsia="zh-CN"/>
        </w:rPr>
        <w:t xml:space="preserve">    11.</w:t>
      </w:r>
      <w:r>
        <w:rPr>
          <w:rFonts w:hint="eastAsia" w:ascii="仿宋" w:hAnsi="仿宋" w:eastAsia="仿宋"/>
          <w:bCs/>
          <w:color w:val="000000"/>
          <w:sz w:val="32"/>
          <w:szCs w:val="32"/>
        </w:rPr>
        <w:t>承担县信访工作联席会议、县人民政府信访事项复查复核委员会日常工作，督促落实有关事项。</w:t>
      </w:r>
    </w:p>
    <w:p>
      <w:pPr>
        <w:widowControl/>
        <w:numPr>
          <w:ilvl w:val="0"/>
          <w:numId w:val="0"/>
        </w:numPr>
        <w:adjustRightInd w:val="0"/>
        <w:snapToGrid w:val="0"/>
        <w:spacing w:line="580" w:lineRule="exact"/>
        <w:contextualSpacing/>
        <w:jc w:val="left"/>
        <w:rPr>
          <w:rFonts w:hint="eastAsia" w:ascii="仿宋" w:hAnsi="仿宋" w:eastAsia="仿宋"/>
          <w:bCs/>
          <w:color w:val="000000"/>
          <w:sz w:val="32"/>
          <w:szCs w:val="32"/>
          <w:lang w:eastAsia="zh-CN"/>
        </w:rPr>
      </w:pPr>
      <w:r>
        <w:rPr>
          <w:rFonts w:hint="eastAsia" w:ascii="仿宋" w:hAnsi="仿宋" w:eastAsia="仿宋"/>
          <w:bCs/>
          <w:color w:val="000000"/>
          <w:sz w:val="32"/>
          <w:szCs w:val="32"/>
          <w:lang w:val="en-US" w:eastAsia="zh-CN"/>
        </w:rPr>
        <w:t xml:space="preserve">    12.</w:t>
      </w:r>
      <w:r>
        <w:rPr>
          <w:rFonts w:hint="eastAsia" w:ascii="仿宋" w:hAnsi="仿宋" w:eastAsia="仿宋"/>
          <w:bCs/>
          <w:color w:val="000000"/>
          <w:sz w:val="32"/>
          <w:szCs w:val="32"/>
        </w:rPr>
        <w:t>完成县委、县人民政府交办的其他任务。</w:t>
      </w:r>
    </w:p>
    <w:p>
      <w:pPr>
        <w:widowControl/>
        <w:numPr>
          <w:ilvl w:val="0"/>
          <w:numId w:val="0"/>
        </w:numPr>
        <w:adjustRightInd w:val="0"/>
        <w:snapToGrid w:val="0"/>
        <w:spacing w:line="580" w:lineRule="exact"/>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 w:hAnsi="仿宋" w:eastAsia="仿宋"/>
          <w:bCs/>
          <w:color w:val="000000"/>
          <w:sz w:val="32"/>
          <w:szCs w:val="32"/>
          <w:lang w:val="en-US" w:eastAsia="zh-CN"/>
        </w:rPr>
        <w:t xml:space="preserve">    </w:t>
      </w:r>
      <w:r>
        <w:rPr>
          <w:rFonts w:hint="eastAsia" w:ascii="楷体_GB2312" w:hAnsi="楷体_GB2312" w:eastAsia="楷体_GB2312" w:cs="楷体_GB2312"/>
          <w:b/>
          <w:bCs/>
          <w:color w:val="000000"/>
          <w:kern w:val="0"/>
          <w:sz w:val="32"/>
          <w:szCs w:val="32"/>
          <w:shd w:val="clear" w:color="auto" w:fill="FFFFFF"/>
          <w:lang w:val="zh-CN"/>
        </w:rPr>
        <w:t>（三）人员概况</w:t>
      </w:r>
    </w:p>
    <w:p>
      <w:pPr>
        <w:widowControl/>
        <w:spacing w:line="560" w:lineRule="exact"/>
        <w:ind w:left="210" w:leftChars="100" w:firstLine="640" w:firstLineChars="200"/>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kern w:val="0"/>
          <w:sz w:val="32"/>
          <w:szCs w:val="32"/>
        </w:rPr>
        <w:t>总编制13名,其中:行政编制6名,机关工勤编制1名，事业编制6名。在职人员总数</w:t>
      </w:r>
      <w:r>
        <w:rPr>
          <w:rFonts w:hint="eastAsia" w:ascii="仿宋_GB2312" w:hAnsi="仿宋_GB2312" w:eastAsia="仿宋_GB2312" w:cs="仿宋_GB2312"/>
          <w:kern w:val="0"/>
          <w:sz w:val="32"/>
          <w:szCs w:val="32"/>
          <w:u w:val="single"/>
          <w:lang w:val="en-US" w:eastAsia="zh-CN"/>
        </w:rPr>
        <w:t>13</w:t>
      </w:r>
      <w:r>
        <w:rPr>
          <w:rFonts w:hint="eastAsia" w:ascii="仿宋_GB2312" w:hAnsi="仿宋_GB2312" w:eastAsia="仿宋_GB2312" w:cs="仿宋_GB2312"/>
          <w:kern w:val="0"/>
          <w:sz w:val="32"/>
          <w:szCs w:val="32"/>
        </w:rPr>
        <w:t>名，其中：行政人员</w:t>
      </w:r>
      <w:r>
        <w:rPr>
          <w:rFonts w:hint="eastAsia" w:ascii="仿宋_GB2312" w:hAnsi="仿宋_GB2312" w:eastAsia="仿宋_GB2312" w:cs="仿宋_GB2312"/>
          <w:kern w:val="0"/>
          <w:sz w:val="32"/>
          <w:szCs w:val="32"/>
          <w:u w:val="single"/>
          <w:lang w:val="en-US" w:eastAsia="zh-CN"/>
        </w:rPr>
        <w:t>6</w:t>
      </w:r>
      <w:r>
        <w:rPr>
          <w:rFonts w:hint="eastAsia" w:ascii="仿宋_GB2312" w:hAnsi="仿宋_GB2312" w:eastAsia="仿宋_GB2312" w:cs="仿宋_GB2312"/>
          <w:kern w:val="0"/>
          <w:sz w:val="32"/>
          <w:szCs w:val="32"/>
        </w:rPr>
        <w:t>名，行政工勤</w:t>
      </w:r>
      <w:r>
        <w:rPr>
          <w:rFonts w:hint="eastAsia" w:ascii="仿宋_GB2312" w:hAnsi="仿宋_GB2312" w:eastAsia="仿宋_GB2312" w:cs="仿宋_GB2312"/>
          <w:kern w:val="0"/>
          <w:sz w:val="32"/>
          <w:szCs w:val="32"/>
          <w:u w:val="single"/>
        </w:rPr>
        <w:t>1</w:t>
      </w:r>
      <w:r>
        <w:rPr>
          <w:rFonts w:hint="eastAsia" w:ascii="仿宋_GB2312" w:hAnsi="仿宋_GB2312" w:eastAsia="仿宋_GB2312" w:cs="仿宋_GB2312"/>
          <w:kern w:val="0"/>
          <w:sz w:val="32"/>
          <w:szCs w:val="32"/>
        </w:rPr>
        <w:t>名，事业人员</w:t>
      </w:r>
      <w:r>
        <w:rPr>
          <w:rFonts w:hint="eastAsia" w:ascii="仿宋_GB2312" w:hAnsi="仿宋_GB2312" w:eastAsia="仿宋_GB2312" w:cs="仿宋_GB2312"/>
          <w:kern w:val="0"/>
          <w:sz w:val="32"/>
          <w:szCs w:val="32"/>
          <w:u w:val="single"/>
          <w:lang w:val="en-US" w:eastAsia="zh-CN"/>
        </w:rPr>
        <w:t>6</w:t>
      </w:r>
      <w:r>
        <w:rPr>
          <w:rFonts w:hint="eastAsia" w:ascii="仿宋_GB2312" w:hAnsi="仿宋_GB2312" w:eastAsia="仿宋_GB2312" w:cs="仿宋_GB2312"/>
          <w:kern w:val="0"/>
          <w:sz w:val="32"/>
          <w:szCs w:val="32"/>
        </w:rPr>
        <w:t>名。离退休人员</w:t>
      </w:r>
      <w:r>
        <w:rPr>
          <w:rFonts w:hint="eastAsia" w:ascii="仿宋_GB2312" w:hAnsi="仿宋_GB2312" w:eastAsia="仿宋_GB2312" w:cs="仿宋_GB2312"/>
          <w:kern w:val="0"/>
          <w:sz w:val="32"/>
          <w:szCs w:val="32"/>
          <w:u w:val="single"/>
          <w:lang w:val="en-US" w:eastAsia="zh-CN"/>
        </w:rPr>
        <w:t>2</w:t>
      </w:r>
      <w:r>
        <w:rPr>
          <w:rFonts w:hint="eastAsia" w:ascii="仿宋_GB2312" w:hAnsi="仿宋_GB2312" w:eastAsia="仿宋_GB2312" w:cs="仿宋_GB2312"/>
          <w:kern w:val="0"/>
          <w:sz w:val="32"/>
          <w:szCs w:val="32"/>
        </w:rPr>
        <w:t>名；编外长期聘用人员</w:t>
      </w:r>
      <w:r>
        <w:rPr>
          <w:rFonts w:hint="eastAsia" w:ascii="仿宋_GB2312" w:hAnsi="仿宋_GB2312" w:eastAsia="仿宋_GB2312" w:cs="仿宋_GB2312"/>
          <w:kern w:val="0"/>
          <w:sz w:val="32"/>
          <w:szCs w:val="32"/>
          <w:u w:val="single"/>
          <w:lang w:val="en-US" w:eastAsia="zh-CN"/>
        </w:rPr>
        <w:t>0</w:t>
      </w:r>
      <w:r>
        <w:rPr>
          <w:rFonts w:hint="eastAsia" w:ascii="仿宋_GB2312" w:hAnsi="仿宋_GB2312" w:eastAsia="仿宋_GB2312" w:cs="仿宋_GB2312"/>
          <w:kern w:val="0"/>
          <w:sz w:val="32"/>
          <w:szCs w:val="32"/>
        </w:rPr>
        <w:t>名。</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lang w:val="en-US" w:eastAsia="zh-CN"/>
        </w:rPr>
        <w:t xml:space="preserve"> </w:t>
      </w:r>
      <w:r>
        <w:rPr>
          <w:rFonts w:hint="eastAsia" w:ascii="黑体" w:hAnsi="宋体" w:eastAsia="黑体" w:cs="宋体"/>
          <w:color w:val="000000"/>
          <w:kern w:val="0"/>
          <w:sz w:val="32"/>
          <w:szCs w:val="32"/>
          <w:shd w:val="clear" w:color="auto" w:fill="FFFFFF"/>
        </w:rPr>
        <w:t>二、部门财政资金收支情况</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320" w:firstLineChars="100"/>
        <w:contextualSpacing/>
        <w:jc w:val="left"/>
        <w:textAlignment w:val="auto"/>
        <w:outlineLvl w:val="9"/>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 xml:space="preserve">  </w:t>
      </w:r>
      <w:r>
        <w:rPr>
          <w:rFonts w:hint="eastAsia" w:ascii="楷体_GB2312" w:hAnsi="楷体_GB2312" w:eastAsia="楷体_GB2312" w:cs="楷体_GB2312"/>
          <w:b/>
          <w:bCs/>
          <w:color w:val="000000"/>
          <w:kern w:val="0"/>
          <w:sz w:val="32"/>
          <w:szCs w:val="32"/>
          <w:shd w:val="clear" w:color="auto" w:fill="FFFFFF"/>
          <w:lang w:val="zh-CN"/>
        </w:rPr>
        <w:t>（一）部门财政资金收入情况</w:t>
      </w:r>
    </w:p>
    <w:p>
      <w:pPr>
        <w:spacing w:line="600" w:lineRule="exact"/>
        <w:ind w:firstLine="640"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全年财政拨款</w:t>
      </w:r>
      <w:r>
        <w:rPr>
          <w:rFonts w:hint="eastAsia" w:ascii="仿宋_GB2312" w:hAnsi="仿宋_GB2312" w:eastAsia="仿宋_GB2312" w:cs="仿宋_GB2312"/>
          <w:sz w:val="32"/>
          <w:szCs w:val="32"/>
          <w:lang w:val="en-US" w:eastAsia="zh-CN"/>
        </w:rPr>
        <w:t>249.18万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r>
        <w:rPr>
          <w:rFonts w:hint="eastAsia" w:ascii="仿宋" w:hAnsi="仿宋" w:eastAsia="仿宋"/>
          <w:color w:val="000000"/>
          <w:sz w:val="32"/>
          <w:szCs w:val="32"/>
        </w:rPr>
        <w:t>其中：一般公共预算财政拨款收入</w:t>
      </w:r>
      <w:r>
        <w:rPr>
          <w:rFonts w:hint="eastAsia" w:ascii="仿宋" w:hAnsi="仿宋" w:eastAsia="仿宋"/>
          <w:color w:val="000000"/>
          <w:sz w:val="32"/>
          <w:szCs w:val="32"/>
          <w:lang w:val="en-US" w:eastAsia="zh-CN"/>
        </w:rPr>
        <w:t>249.18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pPr>
        <w:widowControl/>
        <w:numPr>
          <w:ilvl w:val="0"/>
          <w:numId w:val="0"/>
        </w:numPr>
        <w:adjustRightInd w:val="0"/>
        <w:snapToGrid w:val="0"/>
        <w:spacing w:line="580" w:lineRule="exact"/>
        <w:ind w:firstLine="320" w:firstLineChars="1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 xml:space="preserve"> </w:t>
      </w:r>
      <w:r>
        <w:rPr>
          <w:rFonts w:hint="eastAsia" w:ascii="楷体_GB2312" w:hAnsi="楷体_GB2312" w:eastAsia="楷体_GB2312" w:cs="楷体_GB2312"/>
          <w:b/>
          <w:bCs/>
          <w:color w:val="000000"/>
          <w:kern w:val="0"/>
          <w:sz w:val="32"/>
          <w:szCs w:val="32"/>
          <w:shd w:val="clear" w:color="auto" w:fill="FFFFFF"/>
          <w:lang w:val="zh-CN"/>
        </w:rPr>
        <w:t>（二）部门财政资金支出情况</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全年总支出：</w:t>
      </w:r>
      <w:r>
        <w:rPr>
          <w:rFonts w:hint="eastAsia" w:ascii="仿宋_GB2312" w:hAnsi="仿宋_GB2312" w:eastAsia="仿宋_GB2312" w:cs="仿宋_GB2312"/>
          <w:sz w:val="32"/>
          <w:szCs w:val="32"/>
          <w:lang w:val="en-US" w:eastAsia="zh-CN"/>
        </w:rPr>
        <w:t>248.74万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其中，</w:t>
      </w:r>
      <w:r>
        <w:rPr>
          <w:rFonts w:hint="eastAsia" w:ascii="仿宋_GB2312" w:hAnsi="仿宋_GB2312" w:eastAsia="仿宋_GB2312" w:cs="仿宋_GB2312"/>
          <w:sz w:val="32"/>
          <w:szCs w:val="32"/>
          <w:lang w:eastAsia="zh-CN"/>
        </w:rPr>
        <w:t>一般公共服务支出</w:t>
      </w:r>
      <w:r>
        <w:rPr>
          <w:rFonts w:hint="eastAsia" w:ascii="仿宋_GB2312" w:hAnsi="仿宋_GB2312" w:eastAsia="仿宋_GB2312" w:cs="仿宋_GB2312"/>
          <w:sz w:val="32"/>
          <w:szCs w:val="32"/>
          <w:lang w:val="en-US" w:eastAsia="zh-CN"/>
        </w:rPr>
        <w:t>193.01万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val="en-US" w:eastAsia="zh-CN"/>
        </w:rPr>
        <w:t>24.11万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卫生健康支出</w:t>
      </w:r>
      <w:r>
        <w:rPr>
          <w:rFonts w:hint="eastAsia" w:ascii="仿宋_GB2312" w:hAnsi="仿宋_GB2312" w:eastAsia="仿宋_GB2312" w:cs="仿宋_GB2312"/>
          <w:sz w:val="32"/>
          <w:szCs w:val="32"/>
          <w:lang w:val="en-US" w:eastAsia="zh-CN"/>
        </w:rPr>
        <w:t>12.10万</w:t>
      </w:r>
      <w:r>
        <w:rPr>
          <w:rFonts w:hint="eastAsia" w:ascii="仿宋_GB2312" w:hAnsi="仿宋_GB2312" w:eastAsia="仿宋_GB2312" w:cs="仿宋_GB2312"/>
          <w:sz w:val="32"/>
          <w:szCs w:val="32"/>
        </w:rPr>
        <w:t>元，住房</w:t>
      </w:r>
      <w:r>
        <w:rPr>
          <w:rFonts w:hint="eastAsia" w:ascii="仿宋_GB2312" w:hAnsi="仿宋_GB2312" w:eastAsia="仿宋_GB2312" w:cs="仿宋_GB2312"/>
          <w:sz w:val="32"/>
          <w:szCs w:val="32"/>
          <w:lang w:eastAsia="zh-CN"/>
        </w:rPr>
        <w:t>保障</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18.44万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，农林水支出</w:t>
      </w:r>
      <w:r>
        <w:rPr>
          <w:rFonts w:hint="eastAsia" w:ascii="仿宋_GB2312" w:hAnsi="仿宋_GB2312" w:eastAsia="仿宋_GB2312" w:cs="仿宋_GB2312"/>
          <w:sz w:val="32"/>
          <w:szCs w:val="32"/>
          <w:lang w:val="en-US" w:eastAsia="zh-CN"/>
        </w:rPr>
        <w:t>1.08万元</w:t>
      </w:r>
      <w:r>
        <w:rPr>
          <w:rFonts w:hint="eastAsia" w:ascii="仿宋_GB2312" w:hAnsi="仿宋_GB2312" w:eastAsia="仿宋_GB2312" w:cs="仿宋_GB2312"/>
          <w:sz w:val="32"/>
          <w:szCs w:val="32"/>
        </w:rPr>
        <w:t>。</w:t>
      </w:r>
    </w:p>
    <w:p>
      <w:pPr>
        <w:spacing w:line="560" w:lineRule="exact"/>
        <w:ind w:firstLine="640" w:firstLineChars="200"/>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320" w:firstLineChars="1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 xml:space="preserve"> </w:t>
      </w:r>
      <w:r>
        <w:rPr>
          <w:rFonts w:hint="eastAsia" w:ascii="楷体_GB2312" w:hAnsi="楷体_GB2312" w:eastAsia="楷体_GB2312" w:cs="楷体_GB2312"/>
          <w:b/>
          <w:bCs/>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我局严格按照年度预算执行，进一步完善了财经管理各项规章制度，严格按照资金的使用范围、禁止事项、管理和监督事项开展落实，在收到财政下达的各类款项后，严格按照资金的用途使用，严把支出关，支出总额控制在预算总额以内。专项资金的使用做到了一案一卷，专项资金的报批、拨付、使用由县信访工作联席会议主要召集人负责审核把关。</w:t>
      </w:r>
    </w:p>
    <w:p>
      <w:pPr>
        <w:widowControl/>
        <w:adjustRightInd w:val="0"/>
        <w:snapToGrid w:val="0"/>
        <w:spacing w:line="580" w:lineRule="exact"/>
        <w:ind w:firstLine="642" w:firstLineChars="2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（二）执行管理情况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我局建立科学、公开、透明的资金分配机制，严格执行财经纪律，在单位“三公”经费中没有违规进行资产购置、处置等现象存在，将监督机制进行常态化治理。严格执行财政预算，无隐瞒、挤占、挪用和截留 “三公”经费、会议费、培训费及其他专项经费的现象。严格执行州级公务卡强制结算目录，严格保证资金支付凭证的真实性、合法性。</w:t>
      </w:r>
    </w:p>
    <w:p>
      <w:pPr>
        <w:widowControl/>
        <w:adjustRightInd w:val="0"/>
        <w:snapToGrid w:val="0"/>
        <w:spacing w:line="580" w:lineRule="exact"/>
        <w:ind w:firstLine="640" w:firstLineChars="2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 xml:space="preserve"> </w:t>
      </w:r>
      <w:r>
        <w:rPr>
          <w:rFonts w:hint="eastAsia" w:ascii="楷体_GB2312" w:hAnsi="楷体_GB2312" w:eastAsia="楷体_GB2312" w:cs="楷体_GB2312"/>
          <w:b/>
          <w:bCs/>
          <w:color w:val="000000"/>
          <w:kern w:val="0"/>
          <w:sz w:val="32"/>
          <w:szCs w:val="32"/>
          <w:shd w:val="clear" w:color="auto" w:fill="FFFFFF"/>
          <w:lang w:val="en-US" w:eastAsia="zh-CN"/>
        </w:rPr>
        <w:t>(三)</w:t>
      </w:r>
      <w:r>
        <w:rPr>
          <w:rFonts w:hint="eastAsia" w:ascii="楷体_GB2312" w:hAnsi="楷体_GB2312" w:eastAsia="楷体_GB2312" w:cs="楷体_GB2312"/>
          <w:b/>
          <w:bCs/>
          <w:color w:val="000000"/>
          <w:kern w:val="0"/>
          <w:sz w:val="32"/>
          <w:szCs w:val="32"/>
          <w:shd w:val="clear" w:color="auto" w:fill="FFFFFF"/>
          <w:lang w:val="zh-CN"/>
        </w:rPr>
        <w:t>综合管理情况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right="0" w:rightChars="0"/>
        <w:contextualSpacing/>
        <w:jc w:val="left"/>
        <w:textAlignment w:val="auto"/>
        <w:outlineLvl w:val="9"/>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 xml:space="preserve">    </w:t>
      </w:r>
      <w:r>
        <w:rPr>
          <w:rFonts w:hint="eastAsia" w:ascii="仿宋_GB2312" w:hAnsi="宋体" w:eastAsia="仿宋_GB2312" w:cs="宋体"/>
          <w:color w:val="000000"/>
          <w:kern w:val="0"/>
          <w:sz w:val="32"/>
          <w:szCs w:val="32"/>
          <w:shd w:val="clear" w:color="auto" w:fill="FFFFFF"/>
          <w:lang w:val="zh-CN"/>
        </w:rPr>
        <w:t>一是切实加强组织领导，合理配置人员力量，统筹兼顾。建立健全财政工作管理制度。合理预算财政资金，保障我局日常工作的正常运行，为更好的履行各项职能职责做好了准备工作。</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是严格执行财经纪律、严格执行津贴补贴发放标准，无超标准、超范围发放的行为，在单位“三公”经费中没有违规进行资产购置、处置等现象存在，将监督机制进行常态化治理。严格执行财政预算，无隐瞒、挤占、挪用和截留 “三公”经费、会议费、培训费及其他专项经费的现象，严禁以会议和培训名义列支公务接待费用。</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三是健全完善有关规章制度，强化工作措施，抓好工作落实。机关工作人员必须从点滴做起，从身边小事做起，从节约“一张纸、一度电、一滴水”做起，形成“厉行节约光荣、奢侈浪费可耻”的良好风尚。</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四是严格执行信访工作专项资金的调配和使用，严格实行专款专用、专账管理。规范操作，切实加强信访疑难资金的管理，严格按程序操作，做到一案一卷。专项资金的报批、拨付、使用由县信访工作联席会议主要召集人负责审核把关。同时建立了日常的监督检查机制，按照“谁用谁负责”的原则，严格资金管理，真正把解决特殊疑难信访问题专项资金用于解决特殊疑难信访个案，做到不挤占、不挪用，确保所解决的信访问题“案结事了”。</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2" w:firstLineChars="2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（一）评价结论</w:t>
      </w:r>
    </w:p>
    <w:p>
      <w:pPr>
        <w:widowControl/>
        <w:adjustRightInd w:val="0"/>
        <w:snapToGrid w:val="0"/>
        <w:spacing w:line="580" w:lineRule="exact"/>
        <w:ind w:firstLine="640" w:firstLineChars="200"/>
        <w:contextualSpacing/>
        <w:jc w:val="left"/>
        <w:rPr>
          <w:rFonts w:hint="default"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zh-CN"/>
        </w:rPr>
        <w:t>我局严格按照省、州、县财政局下发各项文件精神执行，严格执行财政支出管理制度，控制一般性支出，严格预算支出管理。厉行节约，进一步降低了行政运行成本。认真开展自查活动。通过认真自查我局的各项经费开支情况，全局没有出现违纪违规现象和行为，取得了良好的效果。自我评价为</w:t>
      </w:r>
      <w:r>
        <w:rPr>
          <w:rFonts w:hint="eastAsia" w:ascii="仿宋_GB2312" w:hAnsi="宋体" w:eastAsia="仿宋_GB2312" w:cs="宋体"/>
          <w:color w:val="000000"/>
          <w:kern w:val="0"/>
          <w:sz w:val="32"/>
          <w:szCs w:val="32"/>
          <w:shd w:val="clear" w:color="auto" w:fill="FFFFFF"/>
          <w:lang w:val="en-US" w:eastAsia="zh-CN"/>
        </w:rPr>
        <w:t>86分。</w:t>
      </w:r>
    </w:p>
    <w:p>
      <w:pPr>
        <w:widowControl/>
        <w:adjustRightInd w:val="0"/>
        <w:snapToGrid w:val="0"/>
        <w:spacing w:line="580" w:lineRule="exact"/>
        <w:ind w:firstLine="642" w:firstLineChars="2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en-US" w:eastAsia="zh-CN"/>
        </w:rPr>
        <w:t>(二)</w:t>
      </w:r>
      <w:r>
        <w:rPr>
          <w:rFonts w:hint="eastAsia" w:ascii="楷体_GB2312" w:hAnsi="楷体_GB2312" w:eastAsia="楷体_GB2312" w:cs="楷体_GB2312"/>
          <w:b/>
          <w:bCs/>
          <w:color w:val="000000"/>
          <w:kern w:val="0"/>
          <w:sz w:val="32"/>
          <w:szCs w:val="32"/>
          <w:shd w:val="clear" w:color="auto" w:fill="FFFFFF"/>
          <w:lang w:val="zh-CN"/>
        </w:rPr>
        <w:t>存在问题</w:t>
      </w:r>
    </w:p>
    <w:p>
      <w:pPr>
        <w:spacing w:line="560" w:lineRule="exact"/>
        <w:ind w:firstLine="640" w:firstLineChars="200"/>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虽然我局在财务工作中严格执行各项规定，没有出现违规违纪的情况，但财务人员对会计电算化业务还有待提高，主要是对金财大平台业务办理还不够精通，财务制度不够完善，在今后的工作中，应加强业务学习，提高能力水平。</w:t>
      </w:r>
    </w:p>
    <w:p>
      <w:pPr>
        <w:spacing w:line="560" w:lineRule="exact"/>
        <w:ind w:firstLine="642" w:firstLineChars="200"/>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en-US" w:eastAsia="zh-CN"/>
        </w:rPr>
        <w:t>（三）</w:t>
      </w:r>
      <w:r>
        <w:rPr>
          <w:rFonts w:hint="eastAsia" w:ascii="楷体_GB2312" w:hAnsi="楷体_GB2312" w:eastAsia="楷体_GB2312" w:cs="楷体_GB2312"/>
          <w:b/>
          <w:bCs/>
          <w:color w:val="000000"/>
          <w:kern w:val="0"/>
          <w:sz w:val="32"/>
          <w:szCs w:val="32"/>
          <w:shd w:val="clear" w:color="auto" w:fill="FFFFFF"/>
          <w:lang w:val="zh-CN"/>
        </w:rPr>
        <w:t>改进建议</w:t>
      </w:r>
    </w:p>
    <w:p>
      <w:pPr>
        <w:widowControl/>
        <w:numPr>
          <w:ilvl w:val="0"/>
          <w:numId w:val="0"/>
        </w:numPr>
        <w:adjustRightInd w:val="0"/>
        <w:snapToGrid w:val="0"/>
        <w:spacing w:line="580" w:lineRule="exact"/>
        <w:ind w:firstLine="640"/>
        <w:contextualSpacing/>
        <w:jc w:val="left"/>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加强会计电算化业务学习，进一步提高财会业务水平。在财务制度方面，查漏补缺，完善财务制度，健全长效机制，着力提高规范化管理水平，以“廉洁、节俭、增效”为目标，充分发挥内部控制领导小组作用，推进我单位财务工作更上一个台阶。</w:t>
      </w:r>
    </w:p>
    <w:p>
      <w:pPr>
        <w:widowControl/>
        <w:numPr>
          <w:ilvl w:val="0"/>
          <w:numId w:val="0"/>
        </w:numPr>
        <w:adjustRightInd w:val="0"/>
        <w:snapToGrid w:val="0"/>
        <w:spacing w:line="580" w:lineRule="exact"/>
        <w:ind w:firstLine="640"/>
        <w:contextualSpacing/>
        <w:jc w:val="left"/>
        <w:rPr>
          <w:rFonts w:hint="eastAsia" w:ascii="仿宋_GB2312" w:hAnsi="宋体" w:eastAsia="仿宋_GB2312" w:cs="宋体"/>
          <w:color w:val="000000"/>
          <w:kern w:val="0"/>
          <w:sz w:val="32"/>
          <w:szCs w:val="32"/>
          <w:shd w:val="clear" w:color="auto" w:fill="FFFFFF"/>
          <w:lang w:val="en-US" w:eastAsia="zh-CN"/>
        </w:rPr>
      </w:pPr>
    </w:p>
    <w:p>
      <w:pPr>
        <w:widowControl/>
        <w:numPr>
          <w:ilvl w:val="0"/>
          <w:numId w:val="0"/>
        </w:numPr>
        <w:adjustRightInd w:val="0"/>
        <w:snapToGrid w:val="0"/>
        <w:spacing w:line="580" w:lineRule="exact"/>
        <w:ind w:firstLine="640"/>
        <w:contextualSpacing/>
        <w:jc w:val="left"/>
        <w:rPr>
          <w:rFonts w:hint="eastAsia" w:ascii="仿宋_GB2312" w:hAnsi="宋体" w:eastAsia="仿宋_GB2312" w:cs="宋体"/>
          <w:color w:val="000000"/>
          <w:kern w:val="0"/>
          <w:sz w:val="32"/>
          <w:szCs w:val="32"/>
          <w:shd w:val="clear" w:color="auto" w:fill="FFFFFF"/>
          <w:lang w:val="en-US" w:eastAsia="zh-CN"/>
        </w:rPr>
      </w:pPr>
    </w:p>
    <w:p>
      <w:pPr>
        <w:widowControl/>
        <w:numPr>
          <w:ilvl w:val="0"/>
          <w:numId w:val="0"/>
        </w:numPr>
        <w:adjustRightInd w:val="0"/>
        <w:snapToGrid w:val="0"/>
        <w:spacing w:line="580" w:lineRule="exact"/>
        <w:ind w:firstLine="640"/>
        <w:contextualSpacing/>
        <w:jc w:val="left"/>
        <w:rPr>
          <w:rFonts w:hint="eastAsia" w:ascii="仿宋_GB2312" w:hAnsi="宋体" w:eastAsia="仿宋_GB2312" w:cs="宋体"/>
          <w:color w:val="000000"/>
          <w:kern w:val="0"/>
          <w:sz w:val="32"/>
          <w:szCs w:val="32"/>
          <w:shd w:val="clear" w:color="auto" w:fill="FFFFFF"/>
          <w:lang w:val="en-US" w:eastAsia="zh-CN"/>
        </w:rPr>
      </w:pPr>
    </w:p>
    <w:p>
      <w:pPr>
        <w:widowControl/>
        <w:numPr>
          <w:ilvl w:val="0"/>
          <w:numId w:val="0"/>
        </w:numPr>
        <w:adjustRightInd w:val="0"/>
        <w:snapToGrid w:val="0"/>
        <w:spacing w:line="580" w:lineRule="exact"/>
        <w:ind w:firstLine="640"/>
        <w:contextualSpacing/>
        <w:jc w:val="left"/>
        <w:rPr>
          <w:rFonts w:hint="eastAsia" w:ascii="仿宋_GB2312" w:hAnsi="宋体" w:eastAsia="仿宋_GB2312" w:cs="宋体"/>
          <w:color w:val="000000"/>
          <w:kern w:val="0"/>
          <w:sz w:val="32"/>
          <w:szCs w:val="32"/>
          <w:shd w:val="clear" w:color="auto" w:fill="FFFFFF"/>
          <w:lang w:val="en-US" w:eastAsia="zh-CN"/>
        </w:rPr>
      </w:pPr>
    </w:p>
    <w:p>
      <w:pPr>
        <w:widowControl/>
        <w:numPr>
          <w:ilvl w:val="0"/>
          <w:numId w:val="0"/>
        </w:numPr>
        <w:adjustRightInd w:val="0"/>
        <w:snapToGrid w:val="0"/>
        <w:spacing w:line="580" w:lineRule="exact"/>
        <w:ind w:firstLine="640"/>
        <w:contextualSpacing/>
        <w:jc w:val="left"/>
        <w:rPr>
          <w:rFonts w:hint="eastAsia" w:ascii="仿宋_GB2312" w:hAnsi="宋体" w:eastAsia="仿宋_GB2312" w:cs="宋体"/>
          <w:color w:val="000000"/>
          <w:kern w:val="0"/>
          <w:sz w:val="32"/>
          <w:szCs w:val="32"/>
          <w:shd w:val="clear" w:color="auto" w:fill="FFFFFF"/>
          <w:lang w:val="en-US" w:eastAsia="zh-CN"/>
        </w:rPr>
      </w:pPr>
    </w:p>
    <w:p>
      <w:pPr>
        <w:widowControl/>
        <w:numPr>
          <w:ilvl w:val="0"/>
          <w:numId w:val="0"/>
        </w:numPr>
        <w:adjustRightInd w:val="0"/>
        <w:snapToGrid w:val="0"/>
        <w:spacing w:line="580" w:lineRule="exact"/>
        <w:ind w:firstLine="640"/>
        <w:contextualSpacing/>
        <w:jc w:val="left"/>
        <w:rPr>
          <w:rFonts w:hint="eastAsia" w:ascii="仿宋_GB2312" w:hAnsi="宋体" w:eastAsia="仿宋_GB2312" w:cs="宋体"/>
          <w:color w:val="000000"/>
          <w:kern w:val="0"/>
          <w:sz w:val="32"/>
          <w:szCs w:val="32"/>
          <w:shd w:val="clear" w:color="auto" w:fill="FFFFFF"/>
          <w:lang w:val="en-US" w:eastAsia="zh-CN"/>
        </w:rPr>
      </w:pPr>
    </w:p>
    <w:p>
      <w:pPr>
        <w:widowControl/>
        <w:numPr>
          <w:ilvl w:val="0"/>
          <w:numId w:val="0"/>
        </w:numPr>
        <w:adjustRightInd w:val="0"/>
        <w:snapToGrid w:val="0"/>
        <w:spacing w:line="580" w:lineRule="exact"/>
        <w:contextualSpacing/>
        <w:jc w:val="left"/>
        <w:rPr>
          <w:rFonts w:hint="eastAsia" w:ascii="仿宋_GB2312" w:hAnsi="宋体" w:eastAsia="仿宋_GB2312" w:cs="宋体"/>
          <w:color w:val="000000"/>
          <w:kern w:val="0"/>
          <w:sz w:val="32"/>
          <w:szCs w:val="32"/>
          <w:shd w:val="clear" w:color="auto" w:fill="FFFFFF"/>
          <w:lang w:val="en-US" w:eastAsia="zh-CN"/>
        </w:rPr>
      </w:pPr>
    </w:p>
    <w:p>
      <w:pPr>
        <w:spacing w:line="600" w:lineRule="exact"/>
        <w:jc w:val="center"/>
        <w:outlineLvl w:val="0"/>
        <w:rPr>
          <w:rFonts w:hint="eastAsia" w:ascii="黑体" w:hAnsi="黑体" w:eastAsia="黑体"/>
          <w:color w:val="000000"/>
          <w:sz w:val="44"/>
          <w:szCs w:val="44"/>
        </w:rPr>
      </w:pPr>
      <w:bookmarkStart w:id="46" w:name="_Toc15396618"/>
    </w:p>
    <w:p>
      <w:pPr>
        <w:spacing w:line="600" w:lineRule="exact"/>
        <w:jc w:val="center"/>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spacing w:line="600" w:lineRule="exact"/>
        <w:jc w:val="center"/>
        <w:outlineLvl w:val="0"/>
        <w:rPr>
          <w:rStyle w:val="33"/>
          <w:rFonts w:ascii="黑体" w:hAnsi="黑体" w:eastAsia="黑体"/>
          <w:b w:val="0"/>
        </w:rPr>
      </w:pPr>
      <w:r>
        <w:rPr>
          <w:rFonts w:hint="eastAsia" w:ascii="黑体" w:hAnsi="黑体" w:eastAsia="黑体"/>
          <w:color w:val="000000"/>
          <w:sz w:val="44"/>
          <w:szCs w:val="44"/>
        </w:rPr>
        <w:t>第</w:t>
      </w:r>
      <w:r>
        <w:rPr>
          <w:rStyle w:val="33"/>
          <w:rFonts w:hint="eastAsia" w:ascii="黑体" w:hAnsi="黑体" w:eastAsia="黑体"/>
          <w:b w:val="0"/>
        </w:rPr>
        <w:t>五部分 附表</w:t>
      </w:r>
      <w:bookmarkEnd w:id="45"/>
      <w:bookmarkEnd w:id="46"/>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47" w:name="_Toc15396619"/>
      <w:r>
        <w:rPr>
          <w:rFonts w:hint="eastAsia" w:ascii="仿宋" w:hAnsi="仿宋" w:eastAsia="仿宋"/>
          <w:b w:val="0"/>
          <w:color w:val="000000"/>
        </w:rPr>
        <w:t>一、收</w:t>
      </w:r>
      <w:r>
        <w:rPr>
          <w:rStyle w:val="34"/>
          <w:rFonts w:hint="eastAsia" w:ascii="仿宋" w:hAnsi="仿宋" w:eastAsia="仿宋"/>
          <w:b w:val="0"/>
          <w:bCs w:val="0"/>
        </w:rPr>
        <w:t>入支出决算总表</w:t>
      </w:r>
      <w:bookmarkEnd w:id="47"/>
    </w:p>
    <w:p>
      <w:pPr>
        <w:pStyle w:val="3"/>
        <w:rPr>
          <w:rFonts w:ascii="仿宋" w:hAnsi="仿宋" w:eastAsia="仿宋"/>
          <w:color w:val="000000"/>
        </w:rPr>
      </w:pPr>
      <w:bookmarkStart w:id="48" w:name="_Toc15396620"/>
      <w:r>
        <w:rPr>
          <w:rFonts w:hint="eastAsia" w:ascii="仿宋" w:hAnsi="仿宋" w:eastAsia="仿宋"/>
          <w:b w:val="0"/>
          <w:color w:val="000000"/>
        </w:rPr>
        <w:t>二、收</w:t>
      </w:r>
      <w:r>
        <w:rPr>
          <w:rStyle w:val="34"/>
          <w:rFonts w:hint="eastAsia" w:ascii="仿宋" w:hAnsi="仿宋" w:eastAsia="仿宋"/>
          <w:b w:val="0"/>
          <w:bCs w:val="0"/>
        </w:rPr>
        <w:t>入决算表</w:t>
      </w:r>
      <w:bookmarkEnd w:id="48"/>
    </w:p>
    <w:p>
      <w:pPr>
        <w:pStyle w:val="3"/>
        <w:rPr>
          <w:rFonts w:ascii="仿宋" w:hAnsi="仿宋" w:eastAsia="仿宋"/>
          <w:color w:val="000000"/>
        </w:rPr>
      </w:pPr>
      <w:bookmarkStart w:id="49" w:name="_Toc15396621"/>
      <w:r>
        <w:rPr>
          <w:rStyle w:val="34"/>
          <w:rFonts w:hint="eastAsia" w:ascii="仿宋" w:hAnsi="仿宋" w:eastAsia="仿宋"/>
          <w:b w:val="0"/>
          <w:bCs w:val="0"/>
        </w:rPr>
        <w:t>三、</w:t>
      </w:r>
      <w:r>
        <w:rPr>
          <w:rFonts w:hint="eastAsia" w:ascii="仿宋" w:hAnsi="仿宋" w:eastAsia="仿宋"/>
          <w:b w:val="0"/>
          <w:color w:val="000000"/>
        </w:rPr>
        <w:t>支</w:t>
      </w:r>
      <w:r>
        <w:rPr>
          <w:rStyle w:val="34"/>
          <w:rFonts w:hint="eastAsia" w:ascii="仿宋" w:hAnsi="仿宋" w:eastAsia="仿宋"/>
          <w:b w:val="0"/>
          <w:bCs w:val="0"/>
        </w:rPr>
        <w:t>出决算表</w:t>
      </w:r>
      <w:bookmarkEnd w:id="49"/>
    </w:p>
    <w:p>
      <w:pPr>
        <w:pStyle w:val="3"/>
        <w:rPr>
          <w:rFonts w:ascii="仿宋" w:hAnsi="仿宋" w:eastAsia="仿宋"/>
          <w:b w:val="0"/>
          <w:color w:val="000000"/>
        </w:rPr>
      </w:pPr>
      <w:bookmarkStart w:id="50" w:name="_Toc15396622"/>
      <w:r>
        <w:rPr>
          <w:rStyle w:val="34"/>
          <w:rFonts w:hint="eastAsia" w:ascii="仿宋" w:hAnsi="仿宋" w:eastAsia="仿宋"/>
          <w:b w:val="0"/>
          <w:bCs w:val="0"/>
        </w:rPr>
        <w:t>四、</w:t>
      </w:r>
      <w:r>
        <w:rPr>
          <w:rFonts w:hint="eastAsia" w:ascii="仿宋" w:hAnsi="仿宋" w:eastAsia="仿宋"/>
          <w:b w:val="0"/>
          <w:color w:val="000000"/>
        </w:rPr>
        <w:t>财</w:t>
      </w:r>
      <w:r>
        <w:rPr>
          <w:rStyle w:val="34"/>
          <w:rFonts w:hint="eastAsia" w:ascii="仿宋" w:hAnsi="仿宋" w:eastAsia="仿宋"/>
          <w:b w:val="0"/>
          <w:bCs w:val="0"/>
        </w:rPr>
        <w:t>政拨款收入支出决算总表</w:t>
      </w:r>
      <w:bookmarkEnd w:id="50"/>
    </w:p>
    <w:p>
      <w:pPr>
        <w:pStyle w:val="3"/>
        <w:rPr>
          <w:rStyle w:val="34"/>
          <w:rFonts w:ascii="仿宋" w:hAnsi="仿宋" w:eastAsia="仿宋"/>
          <w:b w:val="0"/>
          <w:bCs w:val="0"/>
        </w:rPr>
      </w:pPr>
      <w:bookmarkStart w:id="51" w:name="_Toc15396623"/>
      <w:r>
        <w:rPr>
          <w:rStyle w:val="34"/>
          <w:rFonts w:hint="eastAsia" w:ascii="仿宋" w:hAnsi="仿宋" w:eastAsia="仿宋"/>
          <w:b w:val="0"/>
          <w:bCs w:val="0"/>
        </w:rPr>
        <w:t>五、</w:t>
      </w:r>
      <w:r>
        <w:rPr>
          <w:rFonts w:hint="eastAsia" w:ascii="仿宋" w:hAnsi="仿宋" w:eastAsia="仿宋"/>
          <w:b w:val="0"/>
          <w:color w:val="000000"/>
        </w:rPr>
        <w:t>财</w:t>
      </w:r>
      <w:r>
        <w:rPr>
          <w:rStyle w:val="34"/>
          <w:rFonts w:hint="eastAsia" w:ascii="仿宋" w:hAnsi="仿宋" w:eastAsia="仿宋"/>
          <w:b w:val="0"/>
          <w:bCs w:val="0"/>
        </w:rPr>
        <w:t>政拨款支出决算明细表</w:t>
      </w:r>
      <w:bookmarkEnd w:id="51"/>
      <w:bookmarkStart w:id="52" w:name="_Toc15396624"/>
    </w:p>
    <w:p>
      <w:pPr>
        <w:pStyle w:val="3"/>
        <w:rPr>
          <w:rFonts w:ascii="仿宋" w:hAnsi="仿宋" w:eastAsia="仿宋"/>
          <w:color w:val="000000"/>
        </w:rPr>
      </w:pPr>
      <w:r>
        <w:rPr>
          <w:rStyle w:val="34"/>
          <w:rFonts w:hint="eastAsia" w:ascii="仿宋" w:hAnsi="仿宋" w:eastAsia="仿宋"/>
          <w:b w:val="0"/>
          <w:bCs w:val="0"/>
        </w:rPr>
        <w:t>六、</w:t>
      </w:r>
      <w:r>
        <w:rPr>
          <w:rFonts w:hint="eastAsia" w:ascii="仿宋" w:hAnsi="仿宋" w:eastAsia="仿宋"/>
          <w:b w:val="0"/>
          <w:color w:val="000000"/>
        </w:rPr>
        <w:t>一</w:t>
      </w:r>
      <w:r>
        <w:rPr>
          <w:rStyle w:val="34"/>
          <w:rFonts w:hint="eastAsia" w:ascii="仿宋" w:hAnsi="仿宋" w:eastAsia="仿宋"/>
          <w:b w:val="0"/>
          <w:bCs w:val="0"/>
        </w:rPr>
        <w:t>般公共预算财政拨款支出决算表</w:t>
      </w:r>
      <w:bookmarkEnd w:id="52"/>
    </w:p>
    <w:p>
      <w:pPr>
        <w:pStyle w:val="3"/>
        <w:rPr>
          <w:rFonts w:ascii="仿宋" w:hAnsi="仿宋" w:eastAsia="仿宋"/>
          <w:color w:val="000000"/>
        </w:rPr>
      </w:pPr>
      <w:bookmarkStart w:id="53" w:name="_Toc15396625"/>
      <w:r>
        <w:rPr>
          <w:rStyle w:val="34"/>
          <w:rFonts w:hint="eastAsia" w:ascii="仿宋" w:hAnsi="仿宋" w:eastAsia="仿宋"/>
          <w:b w:val="0"/>
          <w:bCs w:val="0"/>
        </w:rPr>
        <w:t>七、</w:t>
      </w:r>
      <w:r>
        <w:rPr>
          <w:rFonts w:hint="eastAsia" w:ascii="仿宋" w:hAnsi="仿宋" w:eastAsia="仿宋"/>
          <w:b w:val="0"/>
          <w:color w:val="000000"/>
        </w:rPr>
        <w:t>一</w:t>
      </w:r>
      <w:r>
        <w:rPr>
          <w:rStyle w:val="34"/>
          <w:rFonts w:hint="eastAsia" w:ascii="仿宋" w:hAnsi="仿宋" w:eastAsia="仿宋"/>
          <w:b w:val="0"/>
          <w:bCs w:val="0"/>
        </w:rPr>
        <w:t>般公共预算财政拨款支出决算明细表</w:t>
      </w:r>
      <w:bookmarkEnd w:id="53"/>
    </w:p>
    <w:p>
      <w:pPr>
        <w:pStyle w:val="3"/>
        <w:rPr>
          <w:rFonts w:ascii="仿宋" w:hAnsi="仿宋" w:eastAsia="仿宋"/>
          <w:color w:val="000000"/>
        </w:rPr>
      </w:pPr>
      <w:bookmarkStart w:id="54" w:name="_Toc15396626"/>
      <w:r>
        <w:rPr>
          <w:rStyle w:val="34"/>
          <w:rFonts w:hint="eastAsia" w:ascii="仿宋" w:hAnsi="仿宋" w:eastAsia="仿宋"/>
          <w:b w:val="0"/>
          <w:bCs w:val="0"/>
        </w:rPr>
        <w:t>八、</w:t>
      </w:r>
      <w:r>
        <w:rPr>
          <w:rFonts w:hint="eastAsia" w:ascii="仿宋" w:hAnsi="仿宋" w:eastAsia="仿宋"/>
          <w:b w:val="0"/>
          <w:color w:val="000000"/>
        </w:rPr>
        <w:t>一</w:t>
      </w:r>
      <w:r>
        <w:rPr>
          <w:rStyle w:val="34"/>
          <w:rFonts w:hint="eastAsia" w:ascii="仿宋" w:hAnsi="仿宋" w:eastAsia="仿宋"/>
          <w:b w:val="0"/>
          <w:bCs w:val="0"/>
        </w:rPr>
        <w:t>般公共预算财政拨款基本支出决算表</w:t>
      </w:r>
      <w:bookmarkEnd w:id="54"/>
    </w:p>
    <w:p>
      <w:pPr>
        <w:pStyle w:val="3"/>
        <w:rPr>
          <w:rFonts w:ascii="仿宋" w:hAnsi="仿宋" w:eastAsia="仿宋"/>
          <w:color w:val="000000"/>
        </w:rPr>
      </w:pPr>
      <w:bookmarkStart w:id="55" w:name="_Toc15396627"/>
      <w:r>
        <w:rPr>
          <w:rStyle w:val="34"/>
          <w:rFonts w:hint="eastAsia" w:ascii="仿宋" w:hAnsi="仿宋" w:eastAsia="仿宋"/>
          <w:b w:val="0"/>
          <w:bCs w:val="0"/>
        </w:rPr>
        <w:t>九、</w:t>
      </w:r>
      <w:r>
        <w:rPr>
          <w:rFonts w:hint="eastAsia" w:ascii="仿宋" w:hAnsi="仿宋" w:eastAsia="仿宋"/>
          <w:b w:val="0"/>
          <w:color w:val="000000"/>
        </w:rPr>
        <w:t>一</w:t>
      </w:r>
      <w:r>
        <w:rPr>
          <w:rStyle w:val="34"/>
          <w:rFonts w:hint="eastAsia" w:ascii="仿宋" w:hAnsi="仿宋" w:eastAsia="仿宋"/>
          <w:b w:val="0"/>
          <w:bCs w:val="0"/>
        </w:rPr>
        <w:t>般公共预算财政拨款项目支出决算表</w:t>
      </w:r>
      <w:bookmarkEnd w:id="55"/>
    </w:p>
    <w:p>
      <w:pPr>
        <w:pStyle w:val="3"/>
        <w:rPr>
          <w:rFonts w:ascii="仿宋" w:hAnsi="仿宋" w:eastAsia="仿宋"/>
          <w:color w:val="000000"/>
        </w:rPr>
      </w:pPr>
      <w:bookmarkStart w:id="56" w:name="_Toc15396628"/>
      <w:r>
        <w:rPr>
          <w:rStyle w:val="34"/>
          <w:rFonts w:hint="eastAsia" w:ascii="仿宋" w:hAnsi="仿宋" w:eastAsia="仿宋"/>
          <w:b w:val="0"/>
          <w:bCs w:val="0"/>
        </w:rPr>
        <w:t>十、</w:t>
      </w:r>
      <w:r>
        <w:rPr>
          <w:rFonts w:hint="eastAsia" w:ascii="仿宋" w:hAnsi="仿宋" w:eastAsia="仿宋"/>
          <w:b w:val="0"/>
          <w:color w:val="000000"/>
        </w:rPr>
        <w:t>一</w:t>
      </w:r>
      <w:r>
        <w:rPr>
          <w:rStyle w:val="34"/>
          <w:rFonts w:hint="eastAsia" w:ascii="仿宋" w:hAnsi="仿宋" w:eastAsia="仿宋"/>
          <w:b w:val="0"/>
          <w:bCs w:val="0"/>
        </w:rPr>
        <w:t>般公共预算财政拨款“三公”经费支出决算表</w:t>
      </w:r>
      <w:bookmarkEnd w:id="56"/>
    </w:p>
    <w:p>
      <w:pPr>
        <w:pStyle w:val="3"/>
        <w:rPr>
          <w:rFonts w:ascii="仿宋" w:hAnsi="仿宋" w:eastAsia="仿宋"/>
          <w:color w:val="000000"/>
        </w:rPr>
      </w:pPr>
      <w:bookmarkStart w:id="57" w:name="_Toc15396629"/>
      <w:r>
        <w:rPr>
          <w:rStyle w:val="34"/>
          <w:rFonts w:hint="eastAsia" w:ascii="仿宋" w:hAnsi="仿宋" w:eastAsia="仿宋"/>
          <w:b w:val="0"/>
          <w:bCs w:val="0"/>
        </w:rPr>
        <w:t>十一、</w:t>
      </w:r>
      <w:r>
        <w:rPr>
          <w:rFonts w:hint="eastAsia" w:ascii="仿宋" w:hAnsi="仿宋" w:eastAsia="仿宋"/>
          <w:b w:val="0"/>
          <w:color w:val="000000"/>
        </w:rPr>
        <w:t>政</w:t>
      </w:r>
      <w:r>
        <w:rPr>
          <w:rStyle w:val="34"/>
          <w:rFonts w:hint="eastAsia" w:ascii="仿宋" w:hAnsi="仿宋" w:eastAsia="仿宋"/>
          <w:b w:val="0"/>
          <w:bCs w:val="0"/>
        </w:rPr>
        <w:t>府性基金预算财政拨款收入支出决算表</w:t>
      </w:r>
      <w:bookmarkEnd w:id="57"/>
    </w:p>
    <w:p>
      <w:pPr>
        <w:pStyle w:val="3"/>
        <w:rPr>
          <w:rFonts w:ascii="仿宋" w:hAnsi="仿宋" w:eastAsia="仿宋"/>
          <w:color w:val="000000"/>
        </w:rPr>
      </w:pPr>
      <w:bookmarkStart w:id="58" w:name="_Toc15396630"/>
      <w:r>
        <w:rPr>
          <w:rStyle w:val="34"/>
          <w:rFonts w:hint="eastAsia" w:ascii="仿宋" w:hAnsi="仿宋" w:eastAsia="仿宋"/>
          <w:b w:val="0"/>
          <w:bCs w:val="0"/>
        </w:rPr>
        <w:t>十二、</w:t>
      </w:r>
      <w:r>
        <w:rPr>
          <w:rFonts w:hint="eastAsia" w:ascii="仿宋" w:hAnsi="仿宋" w:eastAsia="仿宋"/>
          <w:b w:val="0"/>
          <w:color w:val="000000"/>
        </w:rPr>
        <w:t>政</w:t>
      </w:r>
      <w:r>
        <w:rPr>
          <w:rStyle w:val="34"/>
          <w:rFonts w:hint="eastAsia" w:ascii="仿宋" w:hAnsi="仿宋" w:eastAsia="仿宋"/>
          <w:b w:val="0"/>
          <w:bCs w:val="0"/>
        </w:rPr>
        <w:t>府性基金预算财政拨款“三公”经费支出决算表</w:t>
      </w:r>
      <w:bookmarkEnd w:id="58"/>
    </w:p>
    <w:p>
      <w:pPr>
        <w:pStyle w:val="3"/>
        <w:rPr>
          <w:rStyle w:val="34"/>
          <w:rFonts w:hint="eastAsia" w:ascii="仿宋" w:hAnsi="仿宋" w:eastAsia="仿宋"/>
          <w:b w:val="0"/>
          <w:bCs w:val="0"/>
        </w:rPr>
      </w:pPr>
      <w:bookmarkStart w:id="59" w:name="_Toc15396631"/>
      <w:r>
        <w:rPr>
          <w:rStyle w:val="34"/>
          <w:rFonts w:hint="eastAsia" w:ascii="仿宋" w:hAnsi="仿宋" w:eastAsia="仿宋"/>
          <w:b w:val="0"/>
          <w:bCs w:val="0"/>
        </w:rPr>
        <w:t>十三、</w:t>
      </w:r>
      <w:r>
        <w:rPr>
          <w:rFonts w:hint="eastAsia" w:ascii="仿宋" w:hAnsi="仿宋" w:eastAsia="仿宋"/>
          <w:b w:val="0"/>
          <w:color w:val="000000"/>
        </w:rPr>
        <w:t>国</w:t>
      </w:r>
      <w:r>
        <w:rPr>
          <w:rStyle w:val="34"/>
          <w:rFonts w:hint="eastAsia" w:ascii="仿宋" w:hAnsi="仿宋" w:eastAsia="仿宋"/>
          <w:b w:val="0"/>
          <w:bCs w:val="0"/>
        </w:rPr>
        <w:t>有资本经营预算</w:t>
      </w:r>
      <w:r>
        <w:rPr>
          <w:rStyle w:val="34"/>
          <w:rFonts w:hint="eastAsia" w:ascii="仿宋" w:hAnsi="仿宋" w:eastAsia="仿宋"/>
          <w:b w:val="0"/>
          <w:bCs w:val="0"/>
          <w:lang w:eastAsia="zh-CN"/>
        </w:rPr>
        <w:t>财政拨款收入</w:t>
      </w:r>
      <w:r>
        <w:rPr>
          <w:rStyle w:val="34"/>
          <w:rFonts w:hint="eastAsia" w:ascii="仿宋" w:hAnsi="仿宋" w:eastAsia="仿宋"/>
          <w:b w:val="0"/>
          <w:bCs w:val="0"/>
        </w:rPr>
        <w:t>支出决算表</w:t>
      </w:r>
      <w:bookmarkEnd w:id="59"/>
    </w:p>
    <w:p>
      <w:pPr>
        <w:rPr>
          <w:rFonts w:hint="eastAsia" w:eastAsia="仿宋"/>
          <w:lang w:eastAsia="zh-CN"/>
        </w:rPr>
      </w:pPr>
      <w:r>
        <w:rPr>
          <w:rStyle w:val="34"/>
          <w:rFonts w:hint="eastAsia" w:ascii="仿宋" w:hAnsi="仿宋" w:eastAsia="仿宋"/>
          <w:b w:val="0"/>
          <w:bCs w:val="0"/>
          <w:lang w:eastAsia="zh-CN"/>
        </w:rPr>
        <w:t>十四、国有资本经营预算财政拨款支出决算表</w:t>
      </w:r>
    </w:p>
    <w:p/>
    <w:sectPr>
      <w:headerReference r:id="rId4" w:type="first"/>
      <w:footerReference r:id="rId6" w:type="first"/>
      <w:headerReference r:id="rId3" w:type="default"/>
      <w:footerReference r:id="rId5" w:type="default"/>
      <w:pgSz w:w="11906" w:h="16838"/>
      <w:pgMar w:top="1440" w:right="1576" w:bottom="1440" w:left="1576" w:header="851" w:footer="992" w:gutter="0"/>
      <w:pgNumType w:start="1"/>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sdt>
                <w:sdtPr>
                  <w:id w:val="-1994781956"/>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txbxContent>
          </v:textbox>
        </v:shape>
      </w:pict>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w:pict>
        <v:shape id="_x0000_s2050" o:spid="_x0000_s205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1811"/>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97174"/>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615"/>
    <w:rsid w:val="009B2C43"/>
    <w:rsid w:val="009B4EAE"/>
    <w:rsid w:val="009B7573"/>
    <w:rsid w:val="009C22F4"/>
    <w:rsid w:val="009C2B3C"/>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76061"/>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05DE"/>
    <w:rsid w:val="00F754A1"/>
    <w:rsid w:val="00F81FD9"/>
    <w:rsid w:val="00F841AA"/>
    <w:rsid w:val="00F84A94"/>
    <w:rsid w:val="00F87E96"/>
    <w:rsid w:val="00FA23E8"/>
    <w:rsid w:val="00FD3CC1"/>
    <w:rsid w:val="00FF1E02"/>
    <w:rsid w:val="00FF30B4"/>
    <w:rsid w:val="0105307D"/>
    <w:rsid w:val="01361A4F"/>
    <w:rsid w:val="018C2BE4"/>
    <w:rsid w:val="02183F99"/>
    <w:rsid w:val="025E747A"/>
    <w:rsid w:val="027C4BF0"/>
    <w:rsid w:val="02FA3CCB"/>
    <w:rsid w:val="02FB00C7"/>
    <w:rsid w:val="030634DA"/>
    <w:rsid w:val="039B2125"/>
    <w:rsid w:val="03CC2DD8"/>
    <w:rsid w:val="040D0B08"/>
    <w:rsid w:val="04292A7C"/>
    <w:rsid w:val="0458174F"/>
    <w:rsid w:val="046A2F95"/>
    <w:rsid w:val="0488097B"/>
    <w:rsid w:val="048A0AF7"/>
    <w:rsid w:val="04933557"/>
    <w:rsid w:val="049D2F2C"/>
    <w:rsid w:val="050E51D1"/>
    <w:rsid w:val="05212E82"/>
    <w:rsid w:val="053F5ABE"/>
    <w:rsid w:val="05553651"/>
    <w:rsid w:val="0561216A"/>
    <w:rsid w:val="05BA14EF"/>
    <w:rsid w:val="05C9788D"/>
    <w:rsid w:val="05CF69AE"/>
    <w:rsid w:val="06161023"/>
    <w:rsid w:val="061833C6"/>
    <w:rsid w:val="0666242A"/>
    <w:rsid w:val="066F5C5A"/>
    <w:rsid w:val="0673538A"/>
    <w:rsid w:val="06752D54"/>
    <w:rsid w:val="07BF3713"/>
    <w:rsid w:val="07C2225D"/>
    <w:rsid w:val="07D46EFA"/>
    <w:rsid w:val="08061578"/>
    <w:rsid w:val="081A15DD"/>
    <w:rsid w:val="08BE183E"/>
    <w:rsid w:val="090819F0"/>
    <w:rsid w:val="0910325A"/>
    <w:rsid w:val="093C5DA9"/>
    <w:rsid w:val="0961737A"/>
    <w:rsid w:val="09D162C9"/>
    <w:rsid w:val="0A724FED"/>
    <w:rsid w:val="0A770FB0"/>
    <w:rsid w:val="0A860E48"/>
    <w:rsid w:val="0A8C6A79"/>
    <w:rsid w:val="0A923183"/>
    <w:rsid w:val="0BEF4B80"/>
    <w:rsid w:val="0C5A0B0C"/>
    <w:rsid w:val="0CA22FCA"/>
    <w:rsid w:val="0CD65AFC"/>
    <w:rsid w:val="0CF71BB4"/>
    <w:rsid w:val="0D480ADF"/>
    <w:rsid w:val="0D5A29DF"/>
    <w:rsid w:val="0E0434D3"/>
    <w:rsid w:val="0E8241AC"/>
    <w:rsid w:val="0F2D37C8"/>
    <w:rsid w:val="0F5758DB"/>
    <w:rsid w:val="0F8B0D97"/>
    <w:rsid w:val="0FA6107C"/>
    <w:rsid w:val="0FA921A4"/>
    <w:rsid w:val="0FB03EF5"/>
    <w:rsid w:val="0FBF4ACE"/>
    <w:rsid w:val="0FCC1D7B"/>
    <w:rsid w:val="10121F8A"/>
    <w:rsid w:val="101621AE"/>
    <w:rsid w:val="10976688"/>
    <w:rsid w:val="10C055FF"/>
    <w:rsid w:val="10C836C5"/>
    <w:rsid w:val="10DB64E0"/>
    <w:rsid w:val="11016CA2"/>
    <w:rsid w:val="111440F3"/>
    <w:rsid w:val="122836AA"/>
    <w:rsid w:val="12403EDF"/>
    <w:rsid w:val="124317B8"/>
    <w:rsid w:val="12934FB0"/>
    <w:rsid w:val="12B72C21"/>
    <w:rsid w:val="130D17F2"/>
    <w:rsid w:val="13906ACF"/>
    <w:rsid w:val="13BE7BF1"/>
    <w:rsid w:val="142B2EB0"/>
    <w:rsid w:val="14455DA3"/>
    <w:rsid w:val="146A66EE"/>
    <w:rsid w:val="14D1126A"/>
    <w:rsid w:val="1506230E"/>
    <w:rsid w:val="152221A2"/>
    <w:rsid w:val="15462525"/>
    <w:rsid w:val="154928FE"/>
    <w:rsid w:val="15513FE4"/>
    <w:rsid w:val="15EE6AE9"/>
    <w:rsid w:val="16877618"/>
    <w:rsid w:val="169A14D5"/>
    <w:rsid w:val="16BB723D"/>
    <w:rsid w:val="17115171"/>
    <w:rsid w:val="173E2608"/>
    <w:rsid w:val="17810D11"/>
    <w:rsid w:val="17F96729"/>
    <w:rsid w:val="1844245A"/>
    <w:rsid w:val="185D1A12"/>
    <w:rsid w:val="18673898"/>
    <w:rsid w:val="189353D3"/>
    <w:rsid w:val="18B04D41"/>
    <w:rsid w:val="19297A74"/>
    <w:rsid w:val="19BF70B9"/>
    <w:rsid w:val="19CF4233"/>
    <w:rsid w:val="19DC3525"/>
    <w:rsid w:val="1AAA3789"/>
    <w:rsid w:val="1B323F16"/>
    <w:rsid w:val="1BC668E5"/>
    <w:rsid w:val="1C104BC0"/>
    <w:rsid w:val="1C3427EA"/>
    <w:rsid w:val="1C40645D"/>
    <w:rsid w:val="1C6B49E7"/>
    <w:rsid w:val="1CEB0CD6"/>
    <w:rsid w:val="1D6A2D32"/>
    <w:rsid w:val="1E2E24AA"/>
    <w:rsid w:val="1E58746C"/>
    <w:rsid w:val="1E710FF4"/>
    <w:rsid w:val="1E80451A"/>
    <w:rsid w:val="1ECA420A"/>
    <w:rsid w:val="1ED5081B"/>
    <w:rsid w:val="1EE4349E"/>
    <w:rsid w:val="1EEB6EEA"/>
    <w:rsid w:val="1EF063C0"/>
    <w:rsid w:val="1EF1637E"/>
    <w:rsid w:val="1F2E0A2F"/>
    <w:rsid w:val="1F654865"/>
    <w:rsid w:val="1F900EB4"/>
    <w:rsid w:val="1FA83E6E"/>
    <w:rsid w:val="1FB4552E"/>
    <w:rsid w:val="1FF04E78"/>
    <w:rsid w:val="201D56F5"/>
    <w:rsid w:val="20EA12FE"/>
    <w:rsid w:val="20F171F9"/>
    <w:rsid w:val="212219F2"/>
    <w:rsid w:val="21AB3B4A"/>
    <w:rsid w:val="21B02253"/>
    <w:rsid w:val="21D708B8"/>
    <w:rsid w:val="21DF4337"/>
    <w:rsid w:val="22683B8F"/>
    <w:rsid w:val="233E78C3"/>
    <w:rsid w:val="234008BC"/>
    <w:rsid w:val="234524F2"/>
    <w:rsid w:val="240371BF"/>
    <w:rsid w:val="245D238F"/>
    <w:rsid w:val="248F05BC"/>
    <w:rsid w:val="24A45BF8"/>
    <w:rsid w:val="24EB4FD6"/>
    <w:rsid w:val="250470A2"/>
    <w:rsid w:val="25840950"/>
    <w:rsid w:val="25A55D74"/>
    <w:rsid w:val="260D3108"/>
    <w:rsid w:val="261062EF"/>
    <w:rsid w:val="26174EF5"/>
    <w:rsid w:val="2643400C"/>
    <w:rsid w:val="26641A4C"/>
    <w:rsid w:val="26913CFC"/>
    <w:rsid w:val="26CD730C"/>
    <w:rsid w:val="26E51B1F"/>
    <w:rsid w:val="275416F2"/>
    <w:rsid w:val="27AD78FA"/>
    <w:rsid w:val="27D20010"/>
    <w:rsid w:val="27E27D41"/>
    <w:rsid w:val="287826FB"/>
    <w:rsid w:val="28A42C61"/>
    <w:rsid w:val="2902454B"/>
    <w:rsid w:val="299578DB"/>
    <w:rsid w:val="29AD0282"/>
    <w:rsid w:val="29AF011C"/>
    <w:rsid w:val="29FD04D3"/>
    <w:rsid w:val="2A344D71"/>
    <w:rsid w:val="2A3B6128"/>
    <w:rsid w:val="2A43584F"/>
    <w:rsid w:val="2AE05EB1"/>
    <w:rsid w:val="2B0778A8"/>
    <w:rsid w:val="2B7A5051"/>
    <w:rsid w:val="2BA346DA"/>
    <w:rsid w:val="2BA529A7"/>
    <w:rsid w:val="2BE857DD"/>
    <w:rsid w:val="2BEE12E7"/>
    <w:rsid w:val="2C173498"/>
    <w:rsid w:val="2C451A6A"/>
    <w:rsid w:val="2C6506B1"/>
    <w:rsid w:val="2C6B7A29"/>
    <w:rsid w:val="2C6E767C"/>
    <w:rsid w:val="2C7D0A69"/>
    <w:rsid w:val="2C9372A8"/>
    <w:rsid w:val="2CFB7EDC"/>
    <w:rsid w:val="2D1D4349"/>
    <w:rsid w:val="2D2F2AC5"/>
    <w:rsid w:val="2D4E2148"/>
    <w:rsid w:val="2D7112C5"/>
    <w:rsid w:val="2E797E1B"/>
    <w:rsid w:val="2E9918E2"/>
    <w:rsid w:val="2F26639D"/>
    <w:rsid w:val="2F525D42"/>
    <w:rsid w:val="2F6C00C2"/>
    <w:rsid w:val="2F7656B9"/>
    <w:rsid w:val="2FB359FF"/>
    <w:rsid w:val="2FDA0E62"/>
    <w:rsid w:val="2FEC0BAB"/>
    <w:rsid w:val="2FFB62EA"/>
    <w:rsid w:val="3026732F"/>
    <w:rsid w:val="309E3963"/>
    <w:rsid w:val="30A93A3E"/>
    <w:rsid w:val="30B72DA7"/>
    <w:rsid w:val="31244C11"/>
    <w:rsid w:val="312C3E62"/>
    <w:rsid w:val="313562E7"/>
    <w:rsid w:val="319F51DA"/>
    <w:rsid w:val="319F7F4E"/>
    <w:rsid w:val="31D41C6F"/>
    <w:rsid w:val="320A498C"/>
    <w:rsid w:val="321B144C"/>
    <w:rsid w:val="323C0A90"/>
    <w:rsid w:val="32900044"/>
    <w:rsid w:val="32F56C53"/>
    <w:rsid w:val="33013E2F"/>
    <w:rsid w:val="333C1A60"/>
    <w:rsid w:val="33AC0AD5"/>
    <w:rsid w:val="33BC2BDA"/>
    <w:rsid w:val="33CB0E87"/>
    <w:rsid w:val="3428502B"/>
    <w:rsid w:val="34340D4C"/>
    <w:rsid w:val="343E7C7F"/>
    <w:rsid w:val="34674086"/>
    <w:rsid w:val="347F40B2"/>
    <w:rsid w:val="34921EA8"/>
    <w:rsid w:val="34CC6F05"/>
    <w:rsid w:val="34D7536C"/>
    <w:rsid w:val="35226488"/>
    <w:rsid w:val="35804967"/>
    <w:rsid w:val="35BE418E"/>
    <w:rsid w:val="3610266B"/>
    <w:rsid w:val="36196459"/>
    <w:rsid w:val="363E22BD"/>
    <w:rsid w:val="36573339"/>
    <w:rsid w:val="367976B8"/>
    <w:rsid w:val="36CF2714"/>
    <w:rsid w:val="36F11474"/>
    <w:rsid w:val="36F3C0F0"/>
    <w:rsid w:val="376210B9"/>
    <w:rsid w:val="37793850"/>
    <w:rsid w:val="37FF3B45"/>
    <w:rsid w:val="3819383B"/>
    <w:rsid w:val="38270747"/>
    <w:rsid w:val="382F6C16"/>
    <w:rsid w:val="385B3754"/>
    <w:rsid w:val="387C3F19"/>
    <w:rsid w:val="38E774D6"/>
    <w:rsid w:val="39055D59"/>
    <w:rsid w:val="3A5D4839"/>
    <w:rsid w:val="3A641510"/>
    <w:rsid w:val="3A642C58"/>
    <w:rsid w:val="3A725571"/>
    <w:rsid w:val="3AA936CD"/>
    <w:rsid w:val="3B7504B6"/>
    <w:rsid w:val="3B7C7C64"/>
    <w:rsid w:val="3BC15BEB"/>
    <w:rsid w:val="3BEC73DC"/>
    <w:rsid w:val="3C360089"/>
    <w:rsid w:val="3C3E737A"/>
    <w:rsid w:val="3C6F360E"/>
    <w:rsid w:val="3CA36925"/>
    <w:rsid w:val="3D270E4A"/>
    <w:rsid w:val="3D54473B"/>
    <w:rsid w:val="3D6072B3"/>
    <w:rsid w:val="3DCE719A"/>
    <w:rsid w:val="3DEE031B"/>
    <w:rsid w:val="3DEE6C74"/>
    <w:rsid w:val="3E0E1ACB"/>
    <w:rsid w:val="3E236C10"/>
    <w:rsid w:val="3E3858D7"/>
    <w:rsid w:val="3E5A4963"/>
    <w:rsid w:val="3E902C23"/>
    <w:rsid w:val="3EC6305E"/>
    <w:rsid w:val="3FB9257E"/>
    <w:rsid w:val="409B3641"/>
    <w:rsid w:val="410B325E"/>
    <w:rsid w:val="417A432D"/>
    <w:rsid w:val="417A7EDF"/>
    <w:rsid w:val="419C1982"/>
    <w:rsid w:val="419C43E9"/>
    <w:rsid w:val="41B0701C"/>
    <w:rsid w:val="420E6858"/>
    <w:rsid w:val="428E2F2A"/>
    <w:rsid w:val="42960D61"/>
    <w:rsid w:val="42F572D7"/>
    <w:rsid w:val="432F155B"/>
    <w:rsid w:val="43C2239B"/>
    <w:rsid w:val="44012C57"/>
    <w:rsid w:val="44356656"/>
    <w:rsid w:val="44433A35"/>
    <w:rsid w:val="44773C8D"/>
    <w:rsid w:val="45435F33"/>
    <w:rsid w:val="454D5426"/>
    <w:rsid w:val="457E42BE"/>
    <w:rsid w:val="45ED3819"/>
    <w:rsid w:val="46457CC6"/>
    <w:rsid w:val="46AB2EF2"/>
    <w:rsid w:val="46CC7FF6"/>
    <w:rsid w:val="480E34EC"/>
    <w:rsid w:val="483D4BB9"/>
    <w:rsid w:val="48AC3061"/>
    <w:rsid w:val="48FF412B"/>
    <w:rsid w:val="49276009"/>
    <w:rsid w:val="4A1F7452"/>
    <w:rsid w:val="4A750BDE"/>
    <w:rsid w:val="4ABB2AC5"/>
    <w:rsid w:val="4AFB2031"/>
    <w:rsid w:val="4B210FAC"/>
    <w:rsid w:val="4B3015A0"/>
    <w:rsid w:val="4B537F47"/>
    <w:rsid w:val="4B5B79DF"/>
    <w:rsid w:val="4BD13956"/>
    <w:rsid w:val="4BD14499"/>
    <w:rsid w:val="4BE7047B"/>
    <w:rsid w:val="4C3F4660"/>
    <w:rsid w:val="4C452CC4"/>
    <w:rsid w:val="4C834D47"/>
    <w:rsid w:val="4CAE12EB"/>
    <w:rsid w:val="4CBD5FD6"/>
    <w:rsid w:val="4CF86111"/>
    <w:rsid w:val="4D064EAC"/>
    <w:rsid w:val="4D0A3720"/>
    <w:rsid w:val="4D44695B"/>
    <w:rsid w:val="4D5803D3"/>
    <w:rsid w:val="4DB669A4"/>
    <w:rsid w:val="4DBA1441"/>
    <w:rsid w:val="4E4E055C"/>
    <w:rsid w:val="4E4F7497"/>
    <w:rsid w:val="4ECE2238"/>
    <w:rsid w:val="4EF51BDB"/>
    <w:rsid w:val="4F6F6574"/>
    <w:rsid w:val="504C6387"/>
    <w:rsid w:val="505A2FB5"/>
    <w:rsid w:val="507D7B68"/>
    <w:rsid w:val="509764A9"/>
    <w:rsid w:val="51066A0A"/>
    <w:rsid w:val="519B64F6"/>
    <w:rsid w:val="5217385D"/>
    <w:rsid w:val="523A1BCD"/>
    <w:rsid w:val="528317CA"/>
    <w:rsid w:val="52EF2D2B"/>
    <w:rsid w:val="544E0BFF"/>
    <w:rsid w:val="54B03F47"/>
    <w:rsid w:val="55A51C83"/>
    <w:rsid w:val="55C06ACD"/>
    <w:rsid w:val="55FE0551"/>
    <w:rsid w:val="56AD31F2"/>
    <w:rsid w:val="56B3784A"/>
    <w:rsid w:val="56BE4A05"/>
    <w:rsid w:val="57323856"/>
    <w:rsid w:val="5765177B"/>
    <w:rsid w:val="578913BC"/>
    <w:rsid w:val="57ED3E23"/>
    <w:rsid w:val="582A49F6"/>
    <w:rsid w:val="58373925"/>
    <w:rsid w:val="5884154B"/>
    <w:rsid w:val="58943E9E"/>
    <w:rsid w:val="58A24193"/>
    <w:rsid w:val="58AB3CA8"/>
    <w:rsid w:val="58BA5F81"/>
    <w:rsid w:val="58C02208"/>
    <w:rsid w:val="58F45CDA"/>
    <w:rsid w:val="5985520D"/>
    <w:rsid w:val="59DA221E"/>
    <w:rsid w:val="59DE0766"/>
    <w:rsid w:val="5A887FE1"/>
    <w:rsid w:val="5B0324EB"/>
    <w:rsid w:val="5B292B1A"/>
    <w:rsid w:val="5B7B084A"/>
    <w:rsid w:val="5BCD2A8C"/>
    <w:rsid w:val="5BEF2EB3"/>
    <w:rsid w:val="5C006386"/>
    <w:rsid w:val="5C391E81"/>
    <w:rsid w:val="5C4C1045"/>
    <w:rsid w:val="5C65672C"/>
    <w:rsid w:val="5CD227A1"/>
    <w:rsid w:val="5D046564"/>
    <w:rsid w:val="5D437CEA"/>
    <w:rsid w:val="5D5A65B9"/>
    <w:rsid w:val="5D5F04E5"/>
    <w:rsid w:val="5D5F69A6"/>
    <w:rsid w:val="5DA24380"/>
    <w:rsid w:val="5DCA6F3E"/>
    <w:rsid w:val="5E3F32AE"/>
    <w:rsid w:val="5E8969EC"/>
    <w:rsid w:val="5E9422CA"/>
    <w:rsid w:val="5E9C0128"/>
    <w:rsid w:val="5EA8454B"/>
    <w:rsid w:val="5FB32BA2"/>
    <w:rsid w:val="5FC14973"/>
    <w:rsid w:val="5FE86F6E"/>
    <w:rsid w:val="601C149F"/>
    <w:rsid w:val="603D53E3"/>
    <w:rsid w:val="60F239E7"/>
    <w:rsid w:val="610507B1"/>
    <w:rsid w:val="61284C28"/>
    <w:rsid w:val="616E652F"/>
    <w:rsid w:val="61C6502D"/>
    <w:rsid w:val="61FB4476"/>
    <w:rsid w:val="62054CBB"/>
    <w:rsid w:val="62763D35"/>
    <w:rsid w:val="62B728C5"/>
    <w:rsid w:val="63035B7B"/>
    <w:rsid w:val="631D6B0B"/>
    <w:rsid w:val="63363AB7"/>
    <w:rsid w:val="63437DE8"/>
    <w:rsid w:val="638F6C88"/>
    <w:rsid w:val="63E523AA"/>
    <w:rsid w:val="63EE7FFD"/>
    <w:rsid w:val="646109E4"/>
    <w:rsid w:val="64DB2D29"/>
    <w:rsid w:val="65663C7C"/>
    <w:rsid w:val="659B160C"/>
    <w:rsid w:val="65E934A0"/>
    <w:rsid w:val="660A6873"/>
    <w:rsid w:val="661F090E"/>
    <w:rsid w:val="66245966"/>
    <w:rsid w:val="66CD61CB"/>
    <w:rsid w:val="671D40B3"/>
    <w:rsid w:val="67570E11"/>
    <w:rsid w:val="67660C17"/>
    <w:rsid w:val="6766663F"/>
    <w:rsid w:val="68982395"/>
    <w:rsid w:val="68BF1462"/>
    <w:rsid w:val="69360EB0"/>
    <w:rsid w:val="697A4BF3"/>
    <w:rsid w:val="698D2691"/>
    <w:rsid w:val="69D618CB"/>
    <w:rsid w:val="69D92069"/>
    <w:rsid w:val="69FB18A8"/>
    <w:rsid w:val="6A096BA0"/>
    <w:rsid w:val="6A811364"/>
    <w:rsid w:val="6AAD5463"/>
    <w:rsid w:val="6AC864A2"/>
    <w:rsid w:val="6AD708AB"/>
    <w:rsid w:val="6B1312F4"/>
    <w:rsid w:val="6B3662A4"/>
    <w:rsid w:val="6B777424"/>
    <w:rsid w:val="6B9910A0"/>
    <w:rsid w:val="6BA96B98"/>
    <w:rsid w:val="6BBF2DB5"/>
    <w:rsid w:val="6BEE10A6"/>
    <w:rsid w:val="6C132F33"/>
    <w:rsid w:val="6C3C4D32"/>
    <w:rsid w:val="6C546C69"/>
    <w:rsid w:val="6CED6D5C"/>
    <w:rsid w:val="6CEE119C"/>
    <w:rsid w:val="6D656AD5"/>
    <w:rsid w:val="6D790B58"/>
    <w:rsid w:val="6D9F3EE3"/>
    <w:rsid w:val="6DDA1BF5"/>
    <w:rsid w:val="6E3708D1"/>
    <w:rsid w:val="6E59194C"/>
    <w:rsid w:val="6E986AB4"/>
    <w:rsid w:val="6ECF3196"/>
    <w:rsid w:val="6F5C49F6"/>
    <w:rsid w:val="70303440"/>
    <w:rsid w:val="70367A48"/>
    <w:rsid w:val="705E240C"/>
    <w:rsid w:val="709A4E2D"/>
    <w:rsid w:val="70C36F2D"/>
    <w:rsid w:val="70CD6EEA"/>
    <w:rsid w:val="717021EE"/>
    <w:rsid w:val="717C323F"/>
    <w:rsid w:val="71BA2558"/>
    <w:rsid w:val="72093EDC"/>
    <w:rsid w:val="72734D90"/>
    <w:rsid w:val="72D4027A"/>
    <w:rsid w:val="733D4FE7"/>
    <w:rsid w:val="736B1904"/>
    <w:rsid w:val="743266F5"/>
    <w:rsid w:val="74506791"/>
    <w:rsid w:val="74A87AD2"/>
    <w:rsid w:val="750A5748"/>
    <w:rsid w:val="75501641"/>
    <w:rsid w:val="757C55C6"/>
    <w:rsid w:val="75BB69B2"/>
    <w:rsid w:val="75DB33B9"/>
    <w:rsid w:val="763A5BF3"/>
    <w:rsid w:val="764E129D"/>
    <w:rsid w:val="76AE1B10"/>
    <w:rsid w:val="770D697F"/>
    <w:rsid w:val="77B44BFE"/>
    <w:rsid w:val="77BF44E8"/>
    <w:rsid w:val="77DF521B"/>
    <w:rsid w:val="782C21E5"/>
    <w:rsid w:val="78330E23"/>
    <w:rsid w:val="784B11C7"/>
    <w:rsid w:val="786001E1"/>
    <w:rsid w:val="786D7198"/>
    <w:rsid w:val="78FA58C4"/>
    <w:rsid w:val="793D5557"/>
    <w:rsid w:val="79470B46"/>
    <w:rsid w:val="797C1F12"/>
    <w:rsid w:val="79B53F54"/>
    <w:rsid w:val="79E33D31"/>
    <w:rsid w:val="7A2F6329"/>
    <w:rsid w:val="7A8A4621"/>
    <w:rsid w:val="7C25520F"/>
    <w:rsid w:val="7C3B68C6"/>
    <w:rsid w:val="7D20105A"/>
    <w:rsid w:val="7D371ECC"/>
    <w:rsid w:val="7D5077E4"/>
    <w:rsid w:val="7D5F1D5A"/>
    <w:rsid w:val="7D7B4187"/>
    <w:rsid w:val="7DDA0092"/>
    <w:rsid w:val="7E081092"/>
    <w:rsid w:val="7E183E2D"/>
    <w:rsid w:val="7EC91EB9"/>
    <w:rsid w:val="7F202EE9"/>
    <w:rsid w:val="7FA618CA"/>
    <w:rsid w:val="7FC211F6"/>
    <w:rsid w:val="7FD706F0"/>
    <w:rsid w:val="7FFE308C"/>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uiPriority="99" w:name="HTML Preformatted"/>
    <w:lsdException w:uiPriority="99" w:name="HTML Sample"/>
    <w:lsdException w:uiPriority="99" w:name="HTML Typewriter"/>
    <w:lsdException w:qFormat="1" w:uiPriority="99" w:semiHidden="0"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7"/>
    <w:unhideWhenUsed/>
    <w:qFormat/>
    <w:uiPriority w:val="9"/>
    <w:pPr>
      <w:keepNext/>
      <w:keepLines/>
      <w:spacing w:before="260" w:after="260" w:line="416" w:lineRule="auto"/>
      <w:outlineLvl w:val="2"/>
    </w:pPr>
    <w:rPr>
      <w:b/>
      <w:bCs/>
      <w:sz w:val="32"/>
      <w:szCs w:val="32"/>
    </w:rPr>
  </w:style>
  <w:style w:type="character" w:default="1" w:styleId="15">
    <w:name w:val="Default Paragraph Font"/>
    <w:unhideWhenUsed/>
    <w:qFormat/>
    <w:uiPriority w:val="1"/>
  </w:style>
  <w:style w:type="table" w:default="1" w:styleId="13">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5">
    <w:name w:val="Body Text"/>
    <w:basedOn w:val="1"/>
    <w:link w:val="30"/>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36"/>
    <w:unhideWhenUsed/>
    <w:qFormat/>
    <w:uiPriority w:val="99"/>
    <w:rPr>
      <w:sz w:val="18"/>
      <w:szCs w:val="18"/>
    </w:rPr>
  </w:style>
  <w:style w:type="paragraph" w:styleId="8">
    <w:name w:val="footer"/>
    <w:basedOn w:val="1"/>
    <w:link w:val="28"/>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26"/>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99"/>
    <w:rPr>
      <w:b/>
    </w:rPr>
  </w:style>
  <w:style w:type="character" w:styleId="17">
    <w:name w:val="FollowedHyperlink"/>
    <w:basedOn w:val="15"/>
    <w:unhideWhenUsed/>
    <w:qFormat/>
    <w:uiPriority w:val="99"/>
    <w:rPr>
      <w:color w:val="000000"/>
      <w:u w:val="none"/>
    </w:rPr>
  </w:style>
  <w:style w:type="character" w:styleId="18">
    <w:name w:val="Emphasis"/>
    <w:basedOn w:val="15"/>
    <w:qFormat/>
    <w:uiPriority w:val="20"/>
  </w:style>
  <w:style w:type="character" w:styleId="19">
    <w:name w:val="HTML Definition"/>
    <w:basedOn w:val="15"/>
    <w:unhideWhenUsed/>
    <w:qFormat/>
    <w:uiPriority w:val="99"/>
  </w:style>
  <w:style w:type="character" w:styleId="20">
    <w:name w:val="HTML Acronym"/>
    <w:basedOn w:val="15"/>
    <w:unhideWhenUsed/>
    <w:qFormat/>
    <w:uiPriority w:val="99"/>
  </w:style>
  <w:style w:type="character" w:styleId="21">
    <w:name w:val="HTML Variable"/>
    <w:basedOn w:val="15"/>
    <w:unhideWhenUsed/>
    <w:qFormat/>
    <w:uiPriority w:val="99"/>
  </w:style>
  <w:style w:type="character" w:styleId="22">
    <w:name w:val="Hyperlink"/>
    <w:basedOn w:val="15"/>
    <w:unhideWhenUsed/>
    <w:qFormat/>
    <w:uiPriority w:val="99"/>
    <w:rPr>
      <w:color w:val="0000FF" w:themeColor="hyperlink"/>
      <w:u w:val="single"/>
    </w:rPr>
  </w:style>
  <w:style w:type="character" w:styleId="23">
    <w:name w:val="HTML Code"/>
    <w:basedOn w:val="15"/>
    <w:unhideWhenUsed/>
    <w:qFormat/>
    <w:uiPriority w:val="99"/>
    <w:rPr>
      <w:rFonts w:ascii="Courier New" w:hAnsi="Courier New"/>
      <w:sz w:val="20"/>
      <w:u w:val="single"/>
    </w:rPr>
  </w:style>
  <w:style w:type="character" w:styleId="24">
    <w:name w:val="HTML Cite"/>
    <w:basedOn w:val="15"/>
    <w:unhideWhenUsed/>
    <w:qFormat/>
    <w:uiPriority w:val="99"/>
  </w:style>
  <w:style w:type="character" w:customStyle="1" w:styleId="25">
    <w:name w:val="Header Char"/>
    <w:basedOn w:val="15"/>
    <w:semiHidden/>
    <w:qFormat/>
    <w:uiPriority w:val="99"/>
    <w:rPr>
      <w:rFonts w:ascii="Times New Roman" w:hAnsi="Times New Roman"/>
      <w:sz w:val="18"/>
      <w:szCs w:val="18"/>
    </w:rPr>
  </w:style>
  <w:style w:type="character" w:customStyle="1" w:styleId="26">
    <w:name w:val="页眉 字符"/>
    <w:link w:val="9"/>
    <w:semiHidden/>
    <w:qFormat/>
    <w:locked/>
    <w:uiPriority w:val="99"/>
    <w:rPr>
      <w:sz w:val="18"/>
    </w:rPr>
  </w:style>
  <w:style w:type="character" w:customStyle="1" w:styleId="27">
    <w:name w:val="Footer Char"/>
    <w:basedOn w:val="15"/>
    <w:semiHidden/>
    <w:qFormat/>
    <w:uiPriority w:val="99"/>
    <w:rPr>
      <w:rFonts w:ascii="Times New Roman" w:hAnsi="Times New Roman"/>
      <w:sz w:val="18"/>
      <w:szCs w:val="18"/>
    </w:rPr>
  </w:style>
  <w:style w:type="character" w:customStyle="1" w:styleId="28">
    <w:name w:val="页脚 字符"/>
    <w:link w:val="8"/>
    <w:qFormat/>
    <w:locked/>
    <w:uiPriority w:val="99"/>
    <w:rPr>
      <w:sz w:val="18"/>
    </w:rPr>
  </w:style>
  <w:style w:type="character" w:customStyle="1" w:styleId="29">
    <w:name w:val="Body Text Char"/>
    <w:basedOn w:val="15"/>
    <w:semiHidden/>
    <w:qFormat/>
    <w:uiPriority w:val="99"/>
    <w:rPr>
      <w:rFonts w:ascii="Times New Roman" w:hAnsi="Times New Roman"/>
      <w:szCs w:val="24"/>
    </w:rPr>
  </w:style>
  <w:style w:type="character" w:customStyle="1" w:styleId="30">
    <w:name w:val="正文文本 字符"/>
    <w:link w:val="5"/>
    <w:qFormat/>
    <w:locked/>
    <w:uiPriority w:val="99"/>
    <w:rPr>
      <w:rFonts w:ascii="仿宋_GB2312" w:hAnsi="Times New Roman" w:eastAsia="仿宋_GB2312"/>
      <w:sz w:val="24"/>
    </w:rPr>
  </w:style>
  <w:style w:type="paragraph" w:customStyle="1" w:styleId="31">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2">
    <w:name w:val="List Paragraph"/>
    <w:basedOn w:val="1"/>
    <w:qFormat/>
    <w:uiPriority w:val="34"/>
    <w:pPr>
      <w:ind w:firstLine="420" w:firstLineChars="200"/>
    </w:pPr>
  </w:style>
  <w:style w:type="character" w:customStyle="1" w:styleId="33">
    <w:name w:val="标题 1 字符"/>
    <w:basedOn w:val="15"/>
    <w:link w:val="2"/>
    <w:qFormat/>
    <w:uiPriority w:val="9"/>
    <w:rPr>
      <w:rFonts w:ascii="Times New Roman" w:hAnsi="Times New Roman"/>
      <w:b/>
      <w:bCs/>
      <w:kern w:val="44"/>
      <w:sz w:val="44"/>
      <w:szCs w:val="44"/>
    </w:rPr>
  </w:style>
  <w:style w:type="character" w:customStyle="1" w:styleId="34">
    <w:name w:val="标题 2 字符"/>
    <w:basedOn w:val="15"/>
    <w:link w:val="3"/>
    <w:qFormat/>
    <w:uiPriority w:val="9"/>
    <w:rPr>
      <w:rFonts w:asciiTheme="majorHAnsi" w:hAnsiTheme="majorHAnsi" w:eastAsiaTheme="majorEastAsia" w:cstheme="majorBidi"/>
      <w:b/>
      <w:bCs/>
      <w:kern w:val="2"/>
      <w:sz w:val="32"/>
      <w:szCs w:val="32"/>
    </w:rPr>
  </w:style>
  <w:style w:type="paragraph" w:customStyle="1" w:styleId="35">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6">
    <w:name w:val="批注框文本 字符"/>
    <w:basedOn w:val="15"/>
    <w:link w:val="7"/>
    <w:semiHidden/>
    <w:qFormat/>
    <w:uiPriority w:val="99"/>
    <w:rPr>
      <w:rFonts w:ascii="Times New Roman" w:hAnsi="Times New Roman"/>
      <w:kern w:val="2"/>
      <w:sz w:val="18"/>
      <w:szCs w:val="18"/>
    </w:rPr>
  </w:style>
  <w:style w:type="character" w:customStyle="1" w:styleId="37">
    <w:name w:val="标题 3 字符"/>
    <w:basedOn w:val="15"/>
    <w:link w:val="4"/>
    <w:qFormat/>
    <w:uiPriority w:val="9"/>
    <w:rPr>
      <w:rFonts w:ascii="Times New Roman" w:hAnsi="Times New Roman"/>
      <w:b/>
      <w:bCs/>
      <w:kern w:val="2"/>
      <w:sz w:val="32"/>
      <w:szCs w:val="32"/>
    </w:rPr>
  </w:style>
  <w:style w:type="paragraph" w:customStyle="1" w:styleId="38">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9">
    <w:name w:val="apple-converted-space"/>
    <w:basedOn w:val="15"/>
    <w:qFormat/>
    <w:uiPriority w:val="0"/>
  </w:style>
  <w:style w:type="paragraph" w:customStyle="1" w:styleId="40">
    <w:name w:val="_Style 32"/>
    <w:basedOn w:val="1"/>
    <w:next w:val="1"/>
    <w:qFormat/>
    <w:uiPriority w:val="0"/>
    <w:pPr>
      <w:pBdr>
        <w:bottom w:val="single" w:color="auto" w:sz="6" w:space="1"/>
      </w:pBdr>
      <w:jc w:val="center"/>
    </w:pPr>
    <w:rPr>
      <w:rFonts w:ascii="Arial" w:eastAsia="宋体"/>
      <w:vanish/>
      <w:sz w:val="16"/>
    </w:rPr>
  </w:style>
  <w:style w:type="paragraph" w:customStyle="1" w:styleId="41">
    <w:name w:val="_Style 33"/>
    <w:basedOn w:val="1"/>
    <w:next w:val="1"/>
    <w:qFormat/>
    <w:uiPriority w:val="0"/>
    <w:pPr>
      <w:pBdr>
        <w:top w:val="single" w:color="auto" w:sz="6" w:space="1"/>
      </w:pBdr>
      <w:jc w:val="center"/>
    </w:pPr>
    <w:rPr>
      <w:rFonts w:ascii="Arial" w:eastAsia="宋体"/>
      <w:vanish/>
      <w:sz w:val="16"/>
    </w:rPr>
  </w:style>
  <w:style w:type="character" w:customStyle="1" w:styleId="42">
    <w:name w:val="hover17"/>
    <w:basedOn w:val="15"/>
    <w:qFormat/>
    <w:uiPriority w:val="0"/>
    <w:rPr>
      <w:color w:val="FFFFFF"/>
    </w:rPr>
  </w:style>
  <w:style w:type="character" w:customStyle="1" w:styleId="43">
    <w:name w:val="active"/>
    <w:basedOn w:val="15"/>
    <w:qFormat/>
    <w:uiPriority w:val="0"/>
    <w:rPr>
      <w:color w:val="FFFFFF"/>
    </w:rPr>
  </w:style>
  <w:style w:type="character" w:customStyle="1" w:styleId="44">
    <w:name w:val="page_next"/>
    <w:basedOn w:val="15"/>
    <w:qFormat/>
    <w:uiPriority w:val="0"/>
  </w:style>
  <w:style w:type="character" w:customStyle="1" w:styleId="45">
    <w:name w:val="page_prev"/>
    <w:basedOn w:val="15"/>
    <w:qFormat/>
    <w:uiPriority w:val="0"/>
  </w:style>
  <w:style w:type="character" w:customStyle="1" w:styleId="46">
    <w:name w:val="white"/>
    <w:basedOn w:val="15"/>
    <w:qFormat/>
    <w:uiPriority w:val="0"/>
    <w:rPr>
      <w:rFonts w:ascii="黑体" w:hAnsi="黑体" w:eastAsia="黑体" w:cs="黑体"/>
    </w:rPr>
  </w:style>
  <w:style w:type="character" w:customStyle="1" w:styleId="47">
    <w:name w:val="hover15"/>
    <w:basedOn w:val="15"/>
    <w:qFormat/>
    <w:uiPriority w:val="0"/>
    <w:rPr>
      <w:color w:val="FFFFFF"/>
    </w:rPr>
  </w:style>
  <w:style w:type="character" w:customStyle="1" w:styleId="48">
    <w:name w:val="15"/>
    <w:basedOn w:val="15"/>
    <w:qFormat/>
    <w:uiPriority w:val="0"/>
    <w:rPr>
      <w:rFonts w:hint="default" w:ascii="Calibri" w:hAnsi="Calibri" w:cs="Calibri"/>
      <w:b/>
    </w:rPr>
  </w:style>
  <w:style w:type="paragraph" w:customStyle="1" w:styleId="49">
    <w:name w:val="_Style 48"/>
    <w:basedOn w:val="1"/>
    <w:next w:val="1"/>
    <w:qFormat/>
    <w:uiPriority w:val="0"/>
    <w:pPr>
      <w:pBdr>
        <w:bottom w:val="single" w:color="auto" w:sz="6" w:space="1"/>
      </w:pBdr>
      <w:jc w:val="center"/>
    </w:pPr>
    <w:rPr>
      <w:rFonts w:ascii="Arial" w:eastAsia="宋体"/>
      <w:vanish/>
      <w:sz w:val="16"/>
    </w:rPr>
  </w:style>
  <w:style w:type="paragraph" w:customStyle="1" w:styleId="50">
    <w:name w:val="_Style 49"/>
    <w:basedOn w:val="1"/>
    <w:next w:val="1"/>
    <w:qFormat/>
    <w:uiPriority w:val="0"/>
    <w:pPr>
      <w:pBdr>
        <w:top w:val="single" w:color="auto" w:sz="6" w:space="1"/>
      </w:pBdr>
      <w:jc w:val="center"/>
    </w:pPr>
    <w:rPr>
      <w:rFonts w:ascii="Arial" w:eastAsia="宋体"/>
      <w:vanish/>
      <w:sz w:val="16"/>
    </w:rPr>
  </w:style>
  <w:style w:type="character" w:customStyle="1" w:styleId="51">
    <w:name w:val="first-child1"/>
    <w:basedOn w:val="15"/>
    <w:qFormat/>
    <w:uiPriority w:val="0"/>
  </w:style>
  <w:style w:type="character" w:customStyle="1" w:styleId="52">
    <w:name w:val="layui-layer-tabnow"/>
    <w:basedOn w:val="15"/>
    <w:qFormat/>
    <w:uiPriority w:val="0"/>
    <w:rPr>
      <w:bdr w:val="single" w:color="CCCCCC" w:sz="6" w:space="0"/>
      <w:shd w:val="clear" w:fill="FFFFFF"/>
    </w:rPr>
  </w:style>
  <w:style w:type="character" w:customStyle="1" w:styleId="53">
    <w:name w:val="first-child"/>
    <w:basedOn w:val="15"/>
    <w:qFormat/>
    <w:uiPriority w:val="0"/>
  </w:style>
  <w:style w:type="character" w:customStyle="1" w:styleId="54">
    <w:name w:val="time"/>
    <w:basedOn w:val="15"/>
    <w:qFormat/>
    <w:uiPriority w:val="0"/>
    <w:rPr>
      <w:color w:val="999999"/>
      <w:sz w:val="18"/>
      <w:szCs w:val="18"/>
    </w:rPr>
  </w:style>
  <w:style w:type="character" w:customStyle="1" w:styleId="55">
    <w:name w:val="time1"/>
    <w:basedOn w:val="15"/>
    <w:qFormat/>
    <w:uiPriority w:val="0"/>
    <w:rPr>
      <w:shd w:val="clear" w:fill="F5F7FB"/>
    </w:rPr>
  </w:style>
  <w:style w:type="character" w:customStyle="1" w:styleId="56">
    <w:name w:val="time2"/>
    <w:basedOn w:val="15"/>
    <w:qFormat/>
    <w:uiPriority w:val="0"/>
    <w:rPr>
      <w:color w:val="888888"/>
    </w:rPr>
  </w:style>
  <w:style w:type="character" w:customStyle="1" w:styleId="57">
    <w:name w:val="time3"/>
    <w:basedOn w:val="15"/>
    <w:qFormat/>
    <w:uiPriority w:val="0"/>
    <w:rPr>
      <w:color w:val="888888"/>
    </w:rPr>
  </w:style>
  <w:style w:type="character" w:customStyle="1" w:styleId="58">
    <w:name w:val="time4"/>
    <w:basedOn w:val="15"/>
    <w:qFormat/>
    <w:uiPriority w:val="0"/>
    <w:rPr>
      <w:color w:val="888888"/>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6.emf"/><Relationship Id="rId18" Type="http://schemas.openxmlformats.org/officeDocument/2006/relationships/oleObject" Target="embeddings/oleObject5.bin"/><Relationship Id="rId17" Type="http://schemas.openxmlformats.org/officeDocument/2006/relationships/image" Target="media/image5.emf"/><Relationship Id="rId16" Type="http://schemas.openxmlformats.org/officeDocument/2006/relationships/oleObject" Target="embeddings/oleObject4.bin"/><Relationship Id="rId15" Type="http://schemas.openxmlformats.org/officeDocument/2006/relationships/image" Target="media/image4.emf"/><Relationship Id="rId14" Type="http://schemas.openxmlformats.org/officeDocument/2006/relationships/oleObject" Target="embeddings/oleObject3.bin"/><Relationship Id="rId13" Type="http://schemas.openxmlformats.org/officeDocument/2006/relationships/image" Target="media/image3.emf"/><Relationship Id="rId12" Type="http://schemas.openxmlformats.org/officeDocument/2006/relationships/oleObject" Target="embeddings/oleObject2.bin"/><Relationship Id="rId11" Type="http://schemas.openxmlformats.org/officeDocument/2006/relationships/chart" Target="charts/chart1.xml"/><Relationship Id="rId10" Type="http://schemas.openxmlformats.org/officeDocument/2006/relationships/image" Target="media/image2.jpe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horzOverflow="overflow"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基本支出</c:v>
                </c:pt>
              </c:strCache>
            </c:strRef>
          </c:tx>
          <c:spPr>
            <a:effectLst/>
          </c:spPr>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0.00%</c:formatCode>
                <c:ptCount val="2"/>
                <c:pt idx="0">
                  <c:v>0.9894</c:v>
                </c:pt>
                <c:pt idx="1">
                  <c:v>0.0106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Info spid="_x0000_s2050" textRotate="1"/>
    <customShpInfo spid="_x0000_s1027"/>
    <customShpInfo spid="_x0000_s1028"/>
    <customShpInfo spid="_x0000_s1029"/>
    <customShpInfo spid="_x0000_s1031"/>
    <customShpInfo spid="_x0000_s103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84</TotalTime>
  <ScaleCrop>false</ScaleCrop>
  <LinksUpToDate>false</LinksUpToDate>
  <CharactersWithSpaces>8587</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user</cp:lastModifiedBy>
  <cp:lastPrinted>2021-09-23T11:35:00Z</cp:lastPrinted>
  <dcterms:modified xsi:type="dcterms:W3CDTF">2023-07-13T18:11:48Z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6DBF3A325DD9470AACCBA6937D224F67</vt:lpwstr>
  </property>
</Properties>
</file>