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77196"/>
      <w:bookmarkStart w:id="1" w:name="_Toc15396599"/>
    </w:p>
    <w:p>
      <w:pPr>
        <w:spacing w:line="600" w:lineRule="exact"/>
        <w:jc w:val="center"/>
        <w:outlineLvl w:val="0"/>
        <w:rPr>
          <w:rFonts w:ascii="方正小标宋简体" w:eastAsia="方正小标宋简体"/>
          <w:color w:val="000000"/>
          <w:sz w:val="72"/>
          <w:szCs w:val="72"/>
        </w:rPr>
      </w:pPr>
    </w:p>
    <w:p>
      <w:pPr>
        <w:pStyle w:val="8"/>
        <w:jc w:val="center"/>
        <w:rPr>
          <w:rFonts w:hint="eastAsia" w:ascii="方正小标宋简体" w:hAnsi="宋体" w:eastAsia="方正小标宋简体" w:cs="Times New Roman"/>
          <w:color w:val="auto"/>
          <w:kern w:val="2"/>
          <w:sz w:val="44"/>
          <w:szCs w:val="44"/>
          <w:highlight w:val="none"/>
          <w:lang w:val="en-US" w:eastAsia="zh-CN" w:bidi="ar-SA"/>
        </w:rPr>
      </w:pPr>
      <w:bookmarkStart w:id="2" w:name="_Toc15377193"/>
      <w:bookmarkStart w:id="3" w:name="_Toc15396597"/>
      <w:bookmarkStart w:id="4" w:name="_Toc15377425"/>
      <w:bookmarkStart w:id="5" w:name="_Toc15396475"/>
      <w:bookmarkStart w:id="6" w:name="_Toc15378441"/>
      <w:r>
        <w:rPr>
          <w:rFonts w:hint="eastAsia" w:ascii="方正小标宋简体" w:hAnsi="宋体" w:eastAsia="方正小标宋简体" w:cs="Times New Roman"/>
          <w:color w:val="auto"/>
          <w:kern w:val="2"/>
          <w:sz w:val="44"/>
          <w:szCs w:val="44"/>
          <w:highlight w:val="none"/>
          <w:lang w:val="en-US" w:eastAsia="zh-CN" w:bidi="ar-SA"/>
        </w:rPr>
        <w:t>2023年度</w:t>
      </w:r>
      <w:bookmarkEnd w:id="2"/>
      <w:bookmarkEnd w:id="3"/>
      <w:bookmarkEnd w:id="4"/>
      <w:bookmarkEnd w:id="5"/>
      <w:bookmarkEnd w:id="6"/>
    </w:p>
    <w:p>
      <w:pPr>
        <w:pStyle w:val="8"/>
        <w:jc w:val="center"/>
        <w:rPr>
          <w:rFonts w:hint="eastAsia" w:ascii="方正小标宋简体" w:hAnsi="宋体" w:eastAsia="方正小标宋简体" w:cs="Times New Roman"/>
          <w:color w:val="auto"/>
          <w:kern w:val="2"/>
          <w:sz w:val="44"/>
          <w:szCs w:val="44"/>
          <w:highlight w:val="none"/>
          <w:lang w:val="en-US" w:eastAsia="zh-CN" w:bidi="ar-SA"/>
        </w:rPr>
      </w:pPr>
      <w:bookmarkStart w:id="7" w:name="_Toc15396598"/>
      <w:bookmarkStart w:id="8" w:name="_Toc15377426"/>
      <w:bookmarkStart w:id="9" w:name="_Toc15396476"/>
      <w:bookmarkStart w:id="10" w:name="_Toc15378442"/>
      <w:bookmarkStart w:id="11" w:name="_Toc15377194"/>
      <w:r>
        <w:rPr>
          <w:rFonts w:hint="eastAsia" w:ascii="方正小标宋简体" w:hAnsi="宋体" w:eastAsia="方正小标宋简体" w:cs="Times New Roman"/>
          <w:color w:val="auto"/>
          <w:kern w:val="2"/>
          <w:sz w:val="44"/>
          <w:szCs w:val="44"/>
          <w:highlight w:val="none"/>
          <w:lang w:val="en-US" w:eastAsia="zh-CN" w:bidi="ar-SA"/>
        </w:rPr>
        <w:t>四川省阿坝州</w:t>
      </w:r>
      <w:bookmarkStart w:id="12" w:name="_Toc15306268"/>
      <w:r>
        <w:rPr>
          <w:rFonts w:hint="eastAsia" w:ascii="方正小标宋简体" w:hAnsi="宋体" w:eastAsia="方正小标宋简体" w:cs="Times New Roman"/>
          <w:color w:val="auto"/>
          <w:kern w:val="2"/>
          <w:sz w:val="44"/>
          <w:szCs w:val="44"/>
          <w:highlight w:val="none"/>
          <w:lang w:val="en-US" w:eastAsia="zh-CN" w:bidi="ar-SA"/>
        </w:rPr>
        <w:t>茂县信访接待中心</w:t>
      </w:r>
    </w:p>
    <w:p>
      <w:pPr>
        <w:pStyle w:val="8"/>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单位决算</w:t>
      </w:r>
    </w:p>
    <w:bookmarkEnd w:id="7"/>
    <w:bookmarkEnd w:id="8"/>
    <w:bookmarkEnd w:id="9"/>
    <w:bookmarkEnd w:id="10"/>
    <w:bookmarkEnd w:id="11"/>
    <w:bookmarkEnd w:id="12"/>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both"/>
        <w:rPr>
          <w:rFonts w:hint="eastAsia" w:ascii="仿宋_GB2312" w:eastAsia="仿宋_GB2312" w:cs="仿宋_GB2312"/>
          <w:sz w:val="32"/>
          <w:szCs w:val="32"/>
          <w:lang w:val="en-US" w:eastAsia="zh-CN"/>
        </w:rPr>
      </w:pPr>
    </w:p>
    <w:p>
      <w:pPr>
        <w:autoSpaceDE w:val="0"/>
        <w:autoSpaceDN w:val="0"/>
        <w:adjustRightInd w:val="0"/>
        <w:jc w:val="left"/>
        <w:rPr>
          <w:rFonts w:hint="eastAsia" w:eastAsia="仿宋_GB2312"/>
          <w:sz w:val="32"/>
          <w:szCs w:val="32"/>
          <w:lang w:eastAsia="zh-CN"/>
        </w:rPr>
      </w:pPr>
    </w:p>
    <w:p>
      <w:pPr>
        <w:widowControl/>
        <w:jc w:val="left"/>
        <w:rPr>
          <w:rFonts w:ascii="方正小标宋简体" w:eastAsia="方正小标宋简体"/>
          <w:sz w:val="36"/>
          <w:szCs w:val="36"/>
        </w:rPr>
      </w:pPr>
    </w:p>
    <w:p>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pageBreakBefore w:val="0"/>
        <w:widowControl w:val="0"/>
        <w:kinsoku/>
        <w:wordWrap/>
        <w:overflowPunct/>
        <w:topLinePunct w:val="0"/>
        <w:bidi w:val="0"/>
        <w:spacing w:line="576" w:lineRule="exact"/>
        <w:jc w:val="center"/>
        <w:textAlignment w:val="auto"/>
        <w:rPr>
          <w:rFonts w:hint="eastAsia" w:ascii="仿宋_GB2312" w:eastAsia="仿宋_GB2312" w:cs="仿宋_GB2312"/>
          <w:bCs/>
          <w:sz w:val="28"/>
          <w:szCs w:val="28"/>
        </w:rPr>
      </w:pPr>
      <w:r>
        <w:rPr>
          <w:rFonts w:hint="eastAsia" w:ascii="仿宋_GB2312" w:eastAsia="仿宋_GB2312" w:cs="仿宋_GB2312"/>
          <w:bCs/>
          <w:sz w:val="28"/>
          <w:szCs w:val="28"/>
        </w:rPr>
        <w:t>公开时间：202</w:t>
      </w:r>
      <w:r>
        <w:rPr>
          <w:rFonts w:hint="eastAsia" w:ascii="仿宋_GB2312" w:eastAsia="仿宋_GB2312" w:cs="仿宋_GB2312"/>
          <w:bCs/>
          <w:sz w:val="28"/>
          <w:szCs w:val="28"/>
          <w:lang w:val="en-US" w:eastAsia="zh-CN"/>
        </w:rPr>
        <w:t>4</w:t>
      </w:r>
      <w:r>
        <w:rPr>
          <w:rFonts w:hint="eastAsia" w:ascii="仿宋_GB2312" w:eastAsia="仿宋_GB2312" w:cs="仿宋_GB2312"/>
          <w:bCs/>
          <w:sz w:val="28"/>
          <w:szCs w:val="28"/>
        </w:rPr>
        <w:t>年</w:t>
      </w:r>
      <w:r>
        <w:rPr>
          <w:rFonts w:hint="eastAsia" w:ascii="仿宋_GB2312" w:eastAsia="仿宋_GB2312" w:cs="仿宋_GB2312"/>
          <w:bCs/>
          <w:sz w:val="28"/>
          <w:szCs w:val="28"/>
          <w:lang w:val="en-US" w:eastAsia="zh-CN"/>
        </w:rPr>
        <w:t>9</w:t>
      </w:r>
      <w:r>
        <w:rPr>
          <w:rFonts w:hint="eastAsia" w:ascii="仿宋_GB2312" w:eastAsia="仿宋_GB2312" w:cs="仿宋_GB2312"/>
          <w:bCs/>
          <w:sz w:val="28"/>
          <w:szCs w:val="28"/>
        </w:rPr>
        <w:t>月</w:t>
      </w:r>
      <w:r>
        <w:rPr>
          <w:rFonts w:hint="eastAsia" w:ascii="仿宋_GB2312" w:eastAsia="仿宋_GB2312" w:cs="仿宋_GB2312"/>
          <w:bCs/>
          <w:sz w:val="28"/>
          <w:szCs w:val="28"/>
          <w:lang w:val="en-US" w:eastAsia="zh-CN"/>
        </w:rPr>
        <w:t>25</w:t>
      </w:r>
      <w:r>
        <w:rPr>
          <w:rFonts w:hint="eastAsia" w:ascii="仿宋_GB2312" w:eastAsia="仿宋_GB2312" w:cs="仿宋_GB2312"/>
          <w:bCs/>
          <w:sz w:val="28"/>
          <w:szCs w:val="28"/>
        </w:rPr>
        <w:t>日</w:t>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TOC \o "1-3" \h \u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_Toc23324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第一部分 单位概况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_Toc14656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一、主要职责</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_Toc30733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_Toc10669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二、机构设置</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4</w:t>
      </w:r>
      <w:r>
        <w:rPr>
          <w:rFonts w:hint="eastAsia" w:ascii="仿宋_GB2312" w:eastAsia="仿宋_GB2312" w:cs="仿宋_GB2312"/>
          <w:sz w:val="28"/>
          <w:szCs w:val="28"/>
        </w:rPr>
        <w:fldChar w:fldCharType="end"/>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_Toc26951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第二部分 202</w:t>
      </w:r>
      <w:r>
        <w:rPr>
          <w:rFonts w:hint="eastAsia" w:ascii="仿宋_GB2312" w:eastAsia="仿宋_GB2312" w:cs="仿宋_GB2312"/>
          <w:sz w:val="28"/>
          <w:szCs w:val="28"/>
          <w:lang w:val="en-US" w:eastAsia="zh-CN" w:bidi="ar-SA"/>
        </w:rPr>
        <w:t>3</w:t>
      </w:r>
      <w:r>
        <w:rPr>
          <w:rFonts w:hint="eastAsia" w:ascii="仿宋_GB2312" w:eastAsia="仿宋_GB2312" w:cs="仿宋_GB2312"/>
          <w:sz w:val="28"/>
          <w:szCs w:val="28"/>
          <w:lang w:bidi="ar-SA"/>
        </w:rPr>
        <w:t>年度单位决算情况说明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_Toc12554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 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_Toc11583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 收入决算情况说明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_Toc18578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 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_Toc26488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 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_Toc5657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五、 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_Toc3691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（一）一般公共预算财政拨款支出决算总体情况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_Toc26183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（二）一般公共预算财政拨款支出决算结构情况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_Toc29675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（三）一般公共预算财政拨款支出决算具体情况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_Toc17476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六、一般公共预算财政拨款基本支出决算情况说明 </w:t>
      </w:r>
      <w:r>
        <w:rPr>
          <w:rFonts w:hint="eastAsia" w:ascii="仿宋_GB2312" w:eastAsia="仿宋_GB2312" w:cs="仿宋_GB2312"/>
          <w:sz w:val="28"/>
          <w:szCs w:val="28"/>
        </w:rPr>
        <w:tab/>
      </w:r>
      <w:r>
        <w:rPr>
          <w:rFonts w:hint="eastAsia" w:ascii="仿宋_GB2312" w:eastAsia="仿宋_GB2312" w:cs="仿宋_GB2312"/>
          <w:sz w:val="28"/>
          <w:szCs w:val="28"/>
        </w:rPr>
        <w:t>  </w:t>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_Toc31902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_Toc22479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（一）“三公”经费财政拨款支出决算总体情况说明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_Toc30765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（二）“三公”经费财政拨款支出决算具体情况说明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_Toc1331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_Toc18417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_Toc26033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val="en-US" w:eastAsia="zh-CN" w:bidi="ar-SA"/>
        </w:rPr>
        <w:t>十、其他重要事项的情况说明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_Toc12341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（一）机关运行经费支出情况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_Toc9297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（二）政府采购支出情况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_Toc20536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（三）国有资产占有使用情况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_Toc27201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（四）预算绩效管理情况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_Toc24473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pPr>
        <w:pStyle w:val="57"/>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_Toc9504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w:t>
      </w:r>
      <w:r>
        <w:rPr>
          <w:rFonts w:hint="eastAsia" w:ascii="仿宋_GB2312" w:eastAsia="仿宋_GB2312" w:cs="仿宋_GB2312"/>
          <w:sz w:val="28"/>
          <w:szCs w:val="28"/>
          <w:lang w:eastAsia="zh-CN"/>
        </w:rPr>
        <w:t>四</w:t>
      </w:r>
      <w:r>
        <w:rPr>
          <w:rFonts w:hint="eastAsia" w:ascii="仿宋_GB2312" w:eastAsia="仿宋_GB2312" w:cs="仿宋_GB2312"/>
          <w:sz w:val="28"/>
          <w:szCs w:val="28"/>
        </w:rPr>
        <w:t>部分 附表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4</w:t>
      </w:r>
    </w:p>
    <w:p>
      <w:pPr>
        <w:rPr>
          <w:rFonts w:hint="eastAsia" w:ascii="仿宋_GB2312" w:eastAsia="仿宋_GB2312" w:cs="仿宋_GB2312"/>
          <w:sz w:val="28"/>
          <w:szCs w:val="28"/>
        </w:rPr>
      </w:pPr>
    </w:p>
    <w:p>
      <w:pPr>
        <w:rPr>
          <w:rFonts w:hint="eastAsia" w:ascii="仿宋_GB2312" w:eastAsia="仿宋_GB2312" w:cs="仿宋_GB2312"/>
          <w:sz w:val="28"/>
          <w:szCs w:val="28"/>
        </w:rPr>
      </w:pPr>
      <w:r>
        <w:rPr>
          <w:rFonts w:hint="eastAsia" w:ascii="仿宋_GB2312" w:eastAsia="仿宋_GB2312" w:cs="仿宋_GB2312"/>
          <w:sz w:val="28"/>
          <w:szCs w:val="28"/>
        </w:rPr>
        <w:fldChar w:fldCharType="end"/>
      </w:r>
    </w:p>
    <w:p>
      <w:pPr>
        <w:pStyle w:val="2"/>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rPr>
      </w:pPr>
    </w:p>
    <w:p>
      <w:pPr>
        <w:pStyle w:val="3"/>
        <w:rPr>
          <w:rFonts w:hint="eastAsia" w:ascii="仿宋_GB2312" w:eastAsia="仿宋_GB2312" w:cs="仿宋_GB2312"/>
          <w:sz w:val="28"/>
          <w:szCs w:val="28"/>
          <w:lang w:val="en-US"/>
        </w:rPr>
      </w:pPr>
      <w:bookmarkStart w:id="74" w:name="_GoBack"/>
      <w:bookmarkEnd w:id="74"/>
    </w:p>
    <w:p>
      <w:pPr>
        <w:pStyle w:val="5"/>
        <w:jc w:val="both"/>
        <w:rPr>
          <w:rFonts w:hint="eastAsia" w:ascii="黑体" w:eastAsia="黑体"/>
          <w:b w:val="0"/>
        </w:rPr>
      </w:pPr>
    </w:p>
    <w:p>
      <w:pPr>
        <w:rPr>
          <w:rFonts w:hint="eastAsia" w:ascii="黑体" w:eastAsia="黑体"/>
          <w:b w:val="0"/>
        </w:rPr>
      </w:pPr>
    </w:p>
    <w:p>
      <w:pPr>
        <w:pStyle w:val="2"/>
        <w:rPr>
          <w:rFonts w:hint="eastAsia"/>
        </w:rPr>
      </w:pPr>
    </w:p>
    <w:p>
      <w:pPr>
        <w:pStyle w:val="5"/>
        <w:jc w:val="center"/>
        <w:rPr>
          <w:rStyle w:val="28"/>
          <w:rFonts w:hint="eastAsia" w:ascii="黑体" w:eastAsia="黑体"/>
          <w:b w:val="0"/>
          <w:bCs w:val="0"/>
        </w:rPr>
      </w:pPr>
      <w:r>
        <w:rPr>
          <w:rFonts w:hint="eastAsia" w:ascii="黑体" w:eastAsia="黑体"/>
          <w:b w:val="0"/>
        </w:rPr>
        <w:t xml:space="preserve">第一部分 </w:t>
      </w:r>
      <w:r>
        <w:rPr>
          <w:rFonts w:hint="eastAsia" w:ascii="黑体" w:eastAsia="黑体"/>
          <w:b w:val="0"/>
          <w:lang w:eastAsia="zh-CN"/>
        </w:rPr>
        <w:t>单位</w:t>
      </w:r>
      <w:r>
        <w:rPr>
          <w:rStyle w:val="28"/>
          <w:rFonts w:hint="eastAsia" w:ascii="黑体" w:eastAsia="黑体"/>
          <w:b w:val="0"/>
          <w:bCs w:val="0"/>
        </w:rPr>
        <w:t>概况</w:t>
      </w:r>
      <w:bookmarkEnd w:id="0"/>
      <w:bookmarkEnd w:id="1"/>
    </w:p>
    <w:p>
      <w:pPr>
        <w:ind w:firstLine="640" w:firstLineChars="200"/>
        <w:rPr>
          <w:rFonts w:hint="eastAsia" w:ascii="黑体" w:eastAsia="黑体" w:cs="黑体"/>
          <w:sz w:val="32"/>
          <w:szCs w:val="32"/>
          <w:lang w:eastAsia="zh-CN"/>
        </w:rPr>
      </w:pPr>
      <w:r>
        <w:rPr>
          <w:rFonts w:hint="eastAsia" w:ascii="黑体" w:eastAsia="黑体" w:cs="黑体"/>
          <w:sz w:val="32"/>
          <w:szCs w:val="32"/>
        </w:rPr>
        <w:t>一、主要</w:t>
      </w:r>
      <w:r>
        <w:rPr>
          <w:rFonts w:hint="eastAsia" w:ascii="黑体" w:eastAsia="黑体" w:cs="黑体"/>
          <w:sz w:val="32"/>
          <w:szCs w:val="32"/>
          <w:lang w:eastAsia="zh-CN"/>
        </w:rPr>
        <w:t>职责</w:t>
      </w:r>
    </w:p>
    <w:p>
      <w:pPr>
        <w:ind w:firstLine="642" w:firstLineChars="200"/>
        <w:rPr>
          <w:rFonts w:hint="eastAsia" w:ascii="仿宋_GB2312" w:eastAsia="仿宋_GB2312" w:cs="仿宋_GB2312"/>
          <w:sz w:val="32"/>
          <w:szCs w:val="32"/>
        </w:rPr>
      </w:pP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w:t>
      </w:r>
      <w:r>
        <w:rPr>
          <w:rFonts w:hint="eastAsia" w:ascii="仿宋_GB2312" w:eastAsia="仿宋_GB2312" w:cs="仿宋_GB2312"/>
          <w:sz w:val="32"/>
          <w:szCs w:val="32"/>
          <w:lang w:eastAsia="zh-CN"/>
        </w:rPr>
        <w:t>接待中心</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13" w:name="_Toc15377204"/>
      <w:bookmarkStart w:id="14" w:name="_Toc15396602"/>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widowControl/>
        <w:jc w:val="center"/>
        <w:rPr>
          <w:rStyle w:val="28"/>
          <w:rFonts w:hint="eastAsia" w:ascii="黑体" w:eastAsia="黑体"/>
          <w:b w:val="0"/>
          <w:bCs w:val="0"/>
          <w:lang w:val="en-US" w:eastAsia="zh-CN"/>
        </w:rPr>
      </w:pPr>
    </w:p>
    <w:p>
      <w:pPr>
        <w:pStyle w:val="2"/>
        <w:rPr>
          <w:rStyle w:val="28"/>
          <w:rFonts w:hint="eastAsia" w:ascii="黑体" w:eastAsia="黑体"/>
          <w:b w:val="0"/>
          <w:bCs w:val="0"/>
          <w:lang w:val="en-US" w:eastAsia="zh-CN"/>
        </w:rPr>
      </w:pPr>
    </w:p>
    <w:p>
      <w:pPr>
        <w:widowControl/>
        <w:jc w:val="both"/>
        <w:rPr>
          <w:rStyle w:val="28"/>
          <w:rFonts w:hint="eastAsia" w:ascii="黑体" w:eastAsia="黑体"/>
          <w:b w:val="0"/>
          <w:bCs w:val="0"/>
          <w:lang w:val="en-US" w:eastAsia="zh-CN"/>
        </w:rPr>
      </w:pPr>
    </w:p>
    <w:p>
      <w:pPr>
        <w:widowControl/>
        <w:jc w:val="center"/>
        <w:rPr>
          <w:rStyle w:val="28"/>
          <w:rFonts w:ascii="黑体" w:eastAsia="黑体"/>
          <w:b w:val="0"/>
          <w:bCs w:val="0"/>
        </w:rPr>
      </w:pPr>
      <w:r>
        <w:rPr>
          <w:rStyle w:val="28"/>
          <w:rFonts w:hint="eastAsia" w:ascii="黑体" w:eastAsia="黑体"/>
          <w:b w:val="0"/>
          <w:bCs w:val="0"/>
        </w:rPr>
        <w:t>第二部分 20</w:t>
      </w:r>
      <w:r>
        <w:rPr>
          <w:rStyle w:val="28"/>
          <w:rFonts w:hint="eastAsia" w:ascii="黑体" w:eastAsia="黑体"/>
          <w:b w:val="0"/>
          <w:bCs w:val="0"/>
          <w:lang w:val="en-US" w:eastAsia="zh-CN"/>
        </w:rPr>
        <w:t>23</w:t>
      </w:r>
      <w:r>
        <w:rPr>
          <w:rStyle w:val="28"/>
          <w:rFonts w:hint="eastAsia" w:ascii="黑体" w:eastAsia="黑体"/>
          <w:b w:val="0"/>
          <w:bCs w:val="0"/>
        </w:rPr>
        <w:t>年度</w:t>
      </w:r>
      <w:r>
        <w:rPr>
          <w:rStyle w:val="28"/>
          <w:rFonts w:hint="eastAsia" w:ascii="黑体" w:eastAsia="黑体"/>
          <w:b w:val="0"/>
          <w:bCs w:val="0"/>
          <w:lang w:eastAsia="zh-CN"/>
        </w:rPr>
        <w:t>单位</w:t>
      </w:r>
      <w:r>
        <w:rPr>
          <w:rStyle w:val="28"/>
          <w:rFonts w:hint="eastAsia" w:ascii="黑体" w:eastAsia="黑体"/>
          <w:b w:val="0"/>
          <w:bCs w:val="0"/>
        </w:rPr>
        <w:t>决算情况说明</w:t>
      </w:r>
      <w:bookmarkEnd w:id="13"/>
      <w:bookmarkEnd w:id="14"/>
    </w:p>
    <w:p>
      <w:pPr>
        <w:jc w:val="center"/>
      </w:pPr>
    </w:p>
    <w:p>
      <w:pPr>
        <w:pStyle w:val="34"/>
        <w:spacing w:line="600" w:lineRule="exact"/>
        <w:ind w:left="0" w:firstLine="640" w:firstLineChars="200"/>
        <w:outlineLvl w:val="1"/>
        <w:rPr>
          <w:rStyle w:val="29"/>
          <w:rFonts w:ascii="黑体" w:eastAsia="黑体"/>
          <w:b w:val="0"/>
        </w:rPr>
      </w:pPr>
      <w:bookmarkStart w:id="15" w:name="_Toc15377205"/>
      <w:bookmarkStart w:id="16"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29"/>
          <w:rFonts w:hint="eastAsia" w:ascii="黑体" w:eastAsia="黑体"/>
          <w:b w:val="0"/>
        </w:rPr>
        <w:t>入支出决算总体情况说明</w:t>
      </w:r>
      <w:bookmarkEnd w:id="15"/>
      <w:bookmarkEnd w:id="16"/>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年度收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eastAsia="zh-CN"/>
        </w:rPr>
        <w:t>均为</w:t>
      </w:r>
      <w:r>
        <w:rPr>
          <w:rFonts w:hint="eastAsia" w:ascii="仿宋" w:eastAsia="仿宋"/>
          <w:color w:val="000000"/>
          <w:sz w:val="32"/>
          <w:szCs w:val="32"/>
          <w:lang w:val="en-US" w:eastAsia="zh-CN"/>
        </w:rPr>
        <w:t>120.42</w:t>
      </w:r>
      <w:r>
        <w:rPr>
          <w:rFonts w:hint="eastAsia" w:ascii="仿宋" w:eastAsia="仿宋"/>
          <w:color w:val="000000"/>
          <w:sz w:val="32"/>
          <w:szCs w:val="32"/>
        </w:rPr>
        <w:t>万元。与20</w:t>
      </w:r>
      <w:r>
        <w:rPr>
          <w:rFonts w:hint="eastAsia" w:ascii="仿宋" w:eastAsia="仿宋"/>
          <w:color w:val="000000"/>
          <w:sz w:val="32"/>
          <w:szCs w:val="32"/>
          <w:lang w:val="en-US" w:eastAsia="zh-CN"/>
        </w:rPr>
        <w:t>22</w:t>
      </w:r>
      <w:r>
        <w:rPr>
          <w:rFonts w:hint="eastAsia" w:ascii="仿宋" w:eastAsia="仿宋"/>
          <w:color w:val="000000"/>
          <w:sz w:val="32"/>
          <w:szCs w:val="32"/>
        </w:rPr>
        <w:t>年相比，收</w:t>
      </w:r>
      <w:r>
        <w:rPr>
          <w:rFonts w:hint="eastAsia" w:ascii="仿宋" w:eastAsia="仿宋"/>
          <w:color w:val="000000"/>
          <w:sz w:val="32"/>
          <w:szCs w:val="32"/>
          <w:lang w:eastAsia="zh-CN"/>
        </w:rPr>
        <w:t>、支总计各增加</w:t>
      </w:r>
      <w:r>
        <w:rPr>
          <w:rFonts w:hint="eastAsia" w:ascii="仿宋" w:eastAsia="仿宋"/>
          <w:color w:val="000000"/>
          <w:sz w:val="32"/>
          <w:szCs w:val="32"/>
          <w:lang w:val="en-US" w:eastAsia="zh-CN"/>
        </w:rPr>
        <w:t>11.11</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10.16</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人员工资、保险、公积金正常增长。</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alt="image1"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9"/>
          <w:rFonts w:ascii="黑体" w:eastAsia="黑体"/>
          <w:b w:val="0"/>
        </w:rPr>
      </w:pPr>
      <w:bookmarkStart w:id="17" w:name="_Toc15396604"/>
      <w:bookmarkStart w:id="18" w:name="_Toc15377206"/>
    </w:p>
    <w:p>
      <w:pPr>
        <w:pStyle w:val="34"/>
        <w:spacing w:line="600" w:lineRule="exact"/>
        <w:ind w:left="0" w:firstLine="640" w:firstLineChars="200"/>
        <w:outlineLvl w:val="1"/>
        <w:rPr>
          <w:rStyle w:val="29"/>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9"/>
          <w:rFonts w:hint="eastAsia" w:ascii="黑体" w:eastAsia="黑体"/>
          <w:b w:val="0"/>
        </w:rPr>
        <w:t>入决算情况说明</w:t>
      </w:r>
      <w:bookmarkEnd w:id="17"/>
      <w:bookmarkEnd w:id="1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年本年收入合计</w:t>
      </w:r>
      <w:r>
        <w:rPr>
          <w:rFonts w:hint="eastAsia" w:ascii="仿宋" w:eastAsia="仿宋"/>
          <w:color w:val="000000"/>
          <w:sz w:val="32"/>
          <w:szCs w:val="32"/>
          <w:lang w:val="en-US" w:eastAsia="zh-CN"/>
        </w:rPr>
        <w:t>120.42</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120.42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Style w:val="34"/>
        <w:spacing w:line="600" w:lineRule="exact"/>
        <w:outlineLvl w:val="1"/>
        <w:rPr>
          <w:rFonts w:hint="eastAsia" w:ascii="黑体" w:eastAsia="黑体"/>
          <w:color w:val="000000"/>
          <w:sz w:val="32"/>
          <w:szCs w:val="32"/>
          <w:lang w:val="en-US" w:eastAsia="zh-CN"/>
        </w:rPr>
      </w:pPr>
      <w:bookmarkStart w:id="19" w:name="_Toc15396605"/>
      <w:bookmarkStart w:id="20" w:name="_Toc15377207"/>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103505</wp:posOffset>
            </wp:positionH>
            <wp:positionV relativeFrom="paragraph">
              <wp:posOffset>452755</wp:posOffset>
            </wp:positionV>
            <wp:extent cx="5344160" cy="1744980"/>
            <wp:effectExtent l="0" t="0" r="45" b="27"/>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344160" cy="1744980"/>
                    </a:xfrm>
                    <a:prstGeom prst="rect">
                      <a:avLst/>
                    </a:prstGeom>
                    <a:noFill/>
                    <a:ln w="9525" cap="flat" cmpd="sng">
                      <a:noFill/>
                      <a:prstDash val="solid"/>
                      <a:round/>
                    </a:ln>
                  </pic:spPr>
                </pic:pic>
              </a:graphicData>
            </a:graphic>
          </wp:anchor>
        </w:drawing>
      </w:r>
    </w:p>
    <w:p>
      <w:pPr>
        <w:pStyle w:val="34"/>
        <w:spacing w:line="600" w:lineRule="exact"/>
        <w:ind w:left="638" w:leftChars="304" w:firstLine="0" w:firstLineChars="0"/>
        <w:outlineLvl w:val="1"/>
        <w:rPr>
          <w:rStyle w:val="29"/>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9"/>
          <w:rFonts w:hint="eastAsia" w:ascii="黑体" w:eastAsia="黑体"/>
          <w:b w:val="0"/>
        </w:rPr>
        <w:t>出决算情况说明</w:t>
      </w:r>
      <w:bookmarkEnd w:id="19"/>
      <w:bookmarkEnd w:id="20"/>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年支出合计</w:t>
      </w:r>
      <w:r>
        <w:rPr>
          <w:rFonts w:hint="eastAsia" w:ascii="仿宋" w:eastAsia="仿宋"/>
          <w:color w:val="000000"/>
          <w:sz w:val="32"/>
          <w:szCs w:val="32"/>
          <w:lang w:val="en-US" w:eastAsia="zh-CN"/>
        </w:rPr>
        <w:t>120.42</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其中：基本支出</w:t>
      </w:r>
      <w:r>
        <w:rPr>
          <w:rFonts w:hint="eastAsia" w:ascii="仿宋" w:eastAsia="仿宋"/>
          <w:color w:val="000000"/>
          <w:sz w:val="32"/>
          <w:szCs w:val="32"/>
          <w:lang w:val="en-US" w:eastAsia="zh-CN"/>
        </w:rPr>
        <w:t>120.42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412115</wp:posOffset>
            </wp:positionH>
            <wp:positionV relativeFrom="paragraph">
              <wp:posOffset>264160</wp:posOffset>
            </wp:positionV>
            <wp:extent cx="4717415" cy="1782445"/>
            <wp:effectExtent l="0" t="0" r="40" b="36"/>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Style w:val="29"/>
          <w:rFonts w:ascii="黑体" w:eastAsia="黑体"/>
          <w:b w:val="0"/>
        </w:rPr>
      </w:pPr>
      <w:bookmarkStart w:id="21" w:name="_Toc15396606"/>
      <w:bookmarkStart w:id="22" w:name="_Toc15377208"/>
      <w:r>
        <w:rPr>
          <w:rFonts w:hint="eastAsia" w:ascii="黑体" w:eastAsia="黑体"/>
          <w:color w:val="000000"/>
          <w:sz w:val="32"/>
          <w:szCs w:val="32"/>
        </w:rPr>
        <w:t>四、财</w:t>
      </w:r>
      <w:r>
        <w:rPr>
          <w:rStyle w:val="29"/>
          <w:rFonts w:hint="eastAsia" w:ascii="黑体" w:eastAsia="黑体"/>
          <w:b w:val="0"/>
        </w:rPr>
        <w:t>政拨款收入支出决算总体情况说明</w:t>
      </w:r>
      <w:bookmarkEnd w:id="21"/>
      <w:bookmarkEnd w:id="22"/>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、支</w:t>
      </w:r>
      <w:r>
        <w:rPr>
          <w:rFonts w:hint="eastAsia" w:ascii="仿宋" w:eastAsia="仿宋"/>
          <w:color w:val="000000"/>
          <w:sz w:val="32"/>
          <w:szCs w:val="32"/>
        </w:rPr>
        <w:t>总计</w:t>
      </w:r>
      <w:r>
        <w:rPr>
          <w:rFonts w:hint="eastAsia" w:ascii="仿宋" w:eastAsia="仿宋"/>
          <w:color w:val="000000"/>
          <w:sz w:val="32"/>
          <w:szCs w:val="32"/>
          <w:lang w:eastAsia="zh-CN"/>
        </w:rPr>
        <w:t>均为</w:t>
      </w:r>
      <w:r>
        <w:rPr>
          <w:rFonts w:hint="eastAsia" w:ascii="仿宋" w:eastAsia="仿宋"/>
          <w:color w:val="000000"/>
          <w:sz w:val="32"/>
          <w:szCs w:val="32"/>
          <w:lang w:val="en-US" w:eastAsia="zh-CN"/>
        </w:rPr>
        <w:t>120.42</w:t>
      </w:r>
      <w:r>
        <w:rPr>
          <w:rFonts w:hint="eastAsia" w:ascii="仿宋" w:eastAsia="仿宋"/>
          <w:color w:val="000000"/>
          <w:sz w:val="32"/>
          <w:szCs w:val="32"/>
        </w:rPr>
        <w:t>万元。与</w:t>
      </w: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年相比，财政拨款收</w:t>
      </w:r>
      <w:r>
        <w:rPr>
          <w:rFonts w:hint="eastAsia" w:ascii="仿宋" w:eastAsia="仿宋"/>
          <w:color w:val="000000"/>
          <w:sz w:val="32"/>
          <w:szCs w:val="32"/>
          <w:lang w:eastAsia="zh-CN"/>
        </w:rPr>
        <w:t>、支总计各增加</w:t>
      </w:r>
      <w:r>
        <w:rPr>
          <w:rFonts w:hint="eastAsia" w:ascii="仿宋" w:eastAsia="仿宋"/>
          <w:color w:val="000000"/>
          <w:sz w:val="32"/>
          <w:szCs w:val="32"/>
          <w:lang w:val="en-US" w:eastAsia="zh-CN"/>
        </w:rPr>
        <w:t>11.11万元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10.16</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人员工资、保险、公积金正常增长。</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alt="image3" type="#_x0000_t75" style="position:absolute;left:0pt;margin-left:33pt;margin-top:5.1pt;height:176.75pt;width:369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Style w:val="29"/>
          <w:rFonts w:ascii="黑体" w:eastAsia="黑体"/>
          <w:b w:val="0"/>
        </w:rPr>
      </w:pPr>
      <w:bookmarkStart w:id="23" w:name="_Toc15396607"/>
      <w:bookmarkStart w:id="24" w:name="_Toc15377209"/>
      <w:r>
        <w:rPr>
          <w:rFonts w:hint="eastAsia" w:ascii="黑体" w:eastAsia="黑体"/>
          <w:color w:val="000000"/>
          <w:sz w:val="32"/>
          <w:szCs w:val="32"/>
        </w:rPr>
        <w:t>五、</w:t>
      </w:r>
      <w:r>
        <w:rPr>
          <w:rFonts w:hint="eastAsia" w:ascii="黑体" w:eastAsia="黑体"/>
          <w:b/>
          <w:color w:val="000000"/>
          <w:sz w:val="32"/>
          <w:szCs w:val="32"/>
        </w:rPr>
        <w:t>一</w:t>
      </w:r>
      <w:r>
        <w:rPr>
          <w:rStyle w:val="29"/>
          <w:rFonts w:hint="eastAsia" w:ascii="黑体" w:eastAsia="黑体"/>
          <w:b w:val="0"/>
        </w:rPr>
        <w:t>般公共预算财政拨款支出决算情况说明</w:t>
      </w:r>
      <w:bookmarkEnd w:id="23"/>
      <w:bookmarkEnd w:id="24"/>
    </w:p>
    <w:p>
      <w:pPr>
        <w:spacing w:line="600" w:lineRule="exact"/>
        <w:ind w:firstLine="642" w:firstLineChars="200"/>
        <w:outlineLvl w:val="2"/>
        <w:rPr>
          <w:rFonts w:ascii="仿宋" w:eastAsia="仿宋"/>
          <w:b/>
          <w:color w:val="000000"/>
          <w:sz w:val="32"/>
          <w:szCs w:val="32"/>
        </w:rPr>
      </w:pPr>
      <w:bookmarkStart w:id="25" w:name="_Toc15377210"/>
      <w:r>
        <w:rPr>
          <w:rFonts w:hint="eastAsia" w:asci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120.42</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11.11</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10.16</w:t>
      </w:r>
      <w:r>
        <w:rPr>
          <w:rFonts w:ascii="仿宋" w:eastAsia="仿宋"/>
          <w:color w:val="000000"/>
          <w:sz w:val="32"/>
          <w:szCs w:val="32"/>
        </w:rPr>
        <w:t>%</w:t>
      </w:r>
      <w:r>
        <w:rPr>
          <w:rFonts w:hint="eastAsia" w:ascii="仿宋" w:eastAsia="仿宋"/>
          <w:color w:val="000000"/>
          <w:sz w:val="32"/>
          <w:szCs w:val="32"/>
        </w:rPr>
        <w:t>。主要变动原因是</w:t>
      </w:r>
      <w:bookmarkStart w:id="26" w:name="_Toc15377211"/>
      <w:r>
        <w:rPr>
          <w:rFonts w:hint="eastAsia" w:ascii="仿宋" w:eastAsia="仿宋"/>
          <w:color w:val="000000"/>
          <w:sz w:val="32"/>
          <w:szCs w:val="32"/>
          <w:lang w:eastAsia="zh-CN"/>
        </w:rPr>
        <w:t>人员工资、保险、公积金正常增长。</w:t>
      </w:r>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alt="image4"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v:imagedata r:id="rId15" o:title=""/>
            <o:lock v:ext="edit" aspectratio="t"/>
            <w10:wrap type="tight"/>
          </v:shape>
          <o:OLEObject Type="Embed" ProgID="Package" ShapeID="_x0000_s1028" DrawAspect="Content" ObjectID="_1468075727" r:id="rId14">
            <o:LockedField>false</o:LockedField>
          </o:OLEObject>
        </w:pict>
      </w:r>
    </w:p>
    <w:p>
      <w:pPr>
        <w:spacing w:line="600" w:lineRule="exact"/>
        <w:ind w:firstLine="642" w:firstLineChars="200"/>
        <w:outlineLvl w:val="2"/>
        <w:rPr>
          <w:rFonts w:hint="eastAsia" w:ascii="仿宋" w:eastAsia="仿宋"/>
          <w:b/>
          <w:color w:val="000000"/>
          <w:sz w:val="32"/>
          <w:szCs w:val="32"/>
        </w:rPr>
      </w:pPr>
    </w:p>
    <w:p>
      <w:pPr>
        <w:spacing w:line="600" w:lineRule="exact"/>
        <w:ind w:firstLine="642" w:firstLineChars="200"/>
        <w:outlineLvl w:val="2"/>
        <w:rPr>
          <w:rFonts w:hint="eastAsia"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120.42</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90.21</w:t>
      </w:r>
      <w:r>
        <w:rPr>
          <w:rFonts w:hint="eastAsia" w:ascii="仿宋" w:eastAsia="仿宋"/>
          <w:color w:val="000000"/>
          <w:sz w:val="32"/>
          <w:szCs w:val="32"/>
        </w:rPr>
        <w:t>万元，占</w:t>
      </w:r>
      <w:r>
        <w:rPr>
          <w:rFonts w:hint="eastAsia" w:ascii="仿宋" w:eastAsia="仿宋"/>
          <w:color w:val="000000"/>
          <w:sz w:val="32"/>
          <w:szCs w:val="32"/>
          <w:lang w:val="en-US" w:eastAsia="zh-CN"/>
        </w:rPr>
        <w:t>74.91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15.88</w:t>
      </w:r>
      <w:r>
        <w:rPr>
          <w:rFonts w:hint="eastAsia" w:ascii="仿宋" w:eastAsia="仿宋"/>
          <w:color w:val="000000"/>
          <w:sz w:val="32"/>
          <w:szCs w:val="32"/>
        </w:rPr>
        <w:t>万元，占</w:t>
      </w:r>
      <w:r>
        <w:rPr>
          <w:rFonts w:hint="eastAsia" w:ascii="仿宋" w:eastAsia="仿宋"/>
          <w:color w:val="000000"/>
          <w:sz w:val="32"/>
          <w:szCs w:val="32"/>
          <w:lang w:val="en-US" w:eastAsia="zh-CN"/>
        </w:rPr>
        <w:t>13.19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6.37</w:t>
      </w:r>
      <w:r>
        <w:rPr>
          <w:rFonts w:hint="eastAsia" w:ascii="仿宋" w:eastAsia="仿宋"/>
          <w:color w:val="000000"/>
          <w:sz w:val="32"/>
          <w:szCs w:val="32"/>
        </w:rPr>
        <w:t>万元，占</w:t>
      </w:r>
      <w:r>
        <w:rPr>
          <w:rFonts w:hint="eastAsia" w:ascii="仿宋" w:eastAsia="仿宋"/>
          <w:color w:val="000000"/>
          <w:sz w:val="32"/>
          <w:szCs w:val="32"/>
          <w:lang w:val="en-US" w:eastAsia="zh-CN"/>
        </w:rPr>
        <w:t>5.29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7.97</w:t>
      </w:r>
      <w:r>
        <w:rPr>
          <w:rFonts w:hint="eastAsia" w:ascii="仿宋" w:eastAsia="仿宋"/>
          <w:color w:val="000000"/>
          <w:sz w:val="32"/>
          <w:szCs w:val="32"/>
        </w:rPr>
        <w:t>万元，占</w:t>
      </w:r>
      <w:r>
        <w:rPr>
          <w:rFonts w:hint="eastAsia" w:ascii="仿宋" w:eastAsia="仿宋"/>
          <w:color w:val="000000"/>
          <w:sz w:val="32"/>
          <w:szCs w:val="32"/>
          <w:lang w:val="en-US" w:eastAsia="zh-CN"/>
        </w:rPr>
        <w:t>6.61</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alt="image5" type="#_x0000_t75" style="position:absolute;left:0pt;margin-left:43.1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v:imagedata r:id="rId17" o:title=""/>
            <o:lock v:ext="edit" aspectratio="t"/>
            <w10:wrap type="square"/>
          </v:shape>
          <o:OLEObject Type="Embed" ProgID="Package" ShapeID="_x0000_s1029" DrawAspect="Content" ObjectID="_1468075728" r:id="rId16">
            <o:LockedField>false</o:LockedField>
          </o:OLEObject>
        </w:pict>
      </w:r>
    </w:p>
    <w:p>
      <w:pPr>
        <w:spacing w:line="600" w:lineRule="exact"/>
        <w:ind w:firstLine="642" w:firstLineChars="200"/>
        <w:outlineLvl w:val="2"/>
        <w:rPr>
          <w:rFonts w:hint="eastAsia"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27"/>
    </w:p>
    <w:p>
      <w:pPr>
        <w:spacing w:line="600" w:lineRule="exact"/>
        <w:ind w:firstLine="640" w:firstLineChars="200"/>
        <w:rPr>
          <w:rStyle w:val="18"/>
          <w:rFonts w:hint="eastAsia" w:ascii="仿宋" w:eastAsia="仿宋"/>
          <w:b w:val="0"/>
          <w:bCs/>
          <w:color w:val="000000"/>
          <w:sz w:val="32"/>
          <w:szCs w:val="32"/>
        </w:rPr>
      </w:pPr>
      <w:bookmarkStart w:id="28" w:name="_Toc15378460"/>
      <w:bookmarkStart w:id="29" w:name="_Toc15377213"/>
      <w:bookmarkStart w:id="30" w:name="_Toc15377444"/>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23</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120.42万元</w:t>
      </w:r>
      <w:r>
        <w:rPr>
          <w:rFonts w:hint="eastAsia" w:ascii="仿宋_GB2312" w:eastAsia="仿宋_GB2312" w:cs="仿宋_GB2312"/>
          <w:sz w:val="32"/>
          <w:szCs w:val="32"/>
          <w:lang w:val="en-US" w:eastAsia="zh-CN"/>
        </w:rPr>
        <w:t>。</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。其中：</w:t>
      </w:r>
      <w:bookmarkEnd w:id="28"/>
      <w:bookmarkEnd w:id="29"/>
      <w:bookmarkEnd w:id="30"/>
    </w:p>
    <w:p>
      <w:pPr>
        <w:spacing w:line="600" w:lineRule="exact"/>
        <w:ind w:left="0" w:firstLine="642"/>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1.</w:t>
      </w:r>
      <w:r>
        <w:rPr>
          <w:rStyle w:val="18"/>
          <w:rFonts w:hint="eastAsia" w:ascii="仿宋" w:eastAsia="仿宋"/>
          <w:bCs/>
          <w:color w:val="000000"/>
          <w:sz w:val="32"/>
          <w:szCs w:val="32"/>
        </w:rPr>
        <w:t>一般公共服务（</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政府办公厅（室）及相关机构事务</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事业运行</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90.21</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42"/>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2</w:t>
      </w:r>
      <w:r>
        <w:rPr>
          <w:rStyle w:val="18"/>
          <w:rFonts w:ascii="仿宋" w:eastAsia="仿宋"/>
          <w:bCs/>
          <w:color w:val="000000"/>
          <w:sz w:val="32"/>
          <w:szCs w:val="32"/>
        </w:rPr>
        <w:t>.</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行政事业单位养老支出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机关事业单位基本养老保险缴费支出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10.58</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42"/>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3</w:t>
      </w:r>
      <w:r>
        <w:rPr>
          <w:rStyle w:val="18"/>
          <w:rFonts w:ascii="仿宋" w:eastAsia="仿宋"/>
          <w:bCs/>
          <w:color w:val="000000"/>
          <w:sz w:val="32"/>
          <w:szCs w:val="32"/>
        </w:rPr>
        <w:t>.</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行政事业单位养老支出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机关事业单位职业年金缴费支出（</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lang w:eastAsia="zh-CN"/>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5.29</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rPr>
          <w:rStyle w:val="18"/>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4.</w:t>
      </w:r>
      <w:r>
        <w:rPr>
          <w:rFonts w:hint="eastAsia" w:ascii="仿宋" w:eastAsia="仿宋"/>
          <w:b/>
          <w:bCs/>
          <w:color w:val="000000"/>
          <w:sz w:val="32"/>
          <w:szCs w:val="32"/>
        </w:rPr>
        <w:t>卫生健康</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行政事业单位医疗</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事业单位医疗</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6.37</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 xml:space="preserve">    5.</w:t>
      </w:r>
      <w:r>
        <w:rPr>
          <w:rStyle w:val="18"/>
          <w:rFonts w:hint="eastAsia" w:ascii="仿宋" w:eastAsia="仿宋"/>
          <w:bCs/>
          <w:color w:val="000000"/>
          <w:sz w:val="32"/>
          <w:szCs w:val="32"/>
          <w:lang w:eastAsia="zh-CN"/>
        </w:rPr>
        <w:t>住房保障支出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类</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住房改革支出</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款</w:t>
      </w:r>
      <w:r>
        <w:rPr>
          <w:rStyle w:val="18"/>
          <w:rFonts w:hint="eastAsia" w:ascii="仿宋" w:eastAsia="仿宋"/>
          <w:bCs/>
          <w:color w:val="000000"/>
          <w:sz w:val="32"/>
          <w:szCs w:val="32"/>
        </w:rPr>
        <w:t>）</w:t>
      </w:r>
      <w:r>
        <w:rPr>
          <w:rStyle w:val="18"/>
          <w:rFonts w:hint="eastAsia" w:ascii="仿宋" w:eastAsia="仿宋"/>
          <w:bCs/>
          <w:color w:val="000000"/>
          <w:sz w:val="32"/>
          <w:szCs w:val="32"/>
          <w:lang w:eastAsia="zh-CN"/>
        </w:rPr>
        <w:t>住房公积金</w:t>
      </w:r>
      <w:r>
        <w:rPr>
          <w:rStyle w:val="18"/>
          <w:rFonts w:hint="eastAsia" w:ascii="仿宋" w:eastAsia="仿宋"/>
          <w:bCs/>
          <w:color w:val="000000"/>
          <w:sz w:val="32"/>
          <w:szCs w:val="32"/>
        </w:rPr>
        <w:t>（</w:t>
      </w:r>
      <w:r>
        <w:rPr>
          <w:rStyle w:val="18"/>
          <w:rFonts w:hint="eastAsia" w:ascii="仿宋" w:eastAsia="仿宋"/>
          <w:bCs/>
          <w:color w:val="000000"/>
          <w:sz w:val="32"/>
          <w:szCs w:val="32"/>
          <w:lang w:val="en-US" w:eastAsia="zh-CN"/>
        </w:rPr>
        <w:t>项</w:t>
      </w:r>
      <w:r>
        <w:rPr>
          <w:rStyle w:val="18"/>
          <w:rFonts w:hint="eastAsia" w:ascii="仿宋" w:eastAsia="仿宋"/>
          <w:bCs/>
          <w:color w:val="000000"/>
          <w:sz w:val="32"/>
          <w:szCs w:val="32"/>
        </w:rPr>
        <w:t>）</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7.97</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tabs>
          <w:tab w:val="right" w:pos="8306"/>
        </w:tabs>
        <w:spacing w:line="600" w:lineRule="exact"/>
        <w:ind w:firstLine="640" w:firstLineChars="200"/>
        <w:outlineLvl w:val="1"/>
        <w:rPr>
          <w:rStyle w:val="29"/>
        </w:rPr>
      </w:pPr>
      <w:bookmarkStart w:id="31" w:name="_Toc15396608"/>
      <w:bookmarkStart w:id="32" w:name="_Toc15377214"/>
      <w:r>
        <w:rPr>
          <w:rFonts w:hint="eastAsia" w:ascii="黑体" w:eastAsia="黑体"/>
          <w:color w:val="000000"/>
          <w:sz w:val="32"/>
          <w:szCs w:val="32"/>
        </w:rPr>
        <w:t>六</w:t>
      </w:r>
      <w:r>
        <w:rPr>
          <w:rFonts w:hint="eastAsia" w:ascii="黑体" w:eastAsia="黑体"/>
          <w:b/>
          <w:color w:val="000000"/>
          <w:sz w:val="32"/>
          <w:szCs w:val="32"/>
        </w:rPr>
        <w:t>、一</w:t>
      </w:r>
      <w:r>
        <w:rPr>
          <w:rStyle w:val="29"/>
          <w:rFonts w:hint="eastAsia" w:ascii="黑体" w:eastAsia="黑体"/>
          <w:b w:val="0"/>
        </w:rPr>
        <w:t>般公共预算财政拨款基本支出决算情况说明</w:t>
      </w:r>
      <w:bookmarkEnd w:id="31"/>
      <w:bookmarkEnd w:id="32"/>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120.42</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107.99</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医疗费、对个人和家庭的补助</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12.43</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w:t>
      </w:r>
      <w:r>
        <w:rPr>
          <w:rFonts w:hint="eastAsia" w:ascii="仿宋" w:eastAsia="仿宋"/>
          <w:color w:val="000000"/>
          <w:sz w:val="32"/>
          <w:szCs w:val="32"/>
          <w:lang w:eastAsia="zh-CN"/>
        </w:rPr>
        <w:t>咨询费</w:t>
      </w:r>
      <w:r>
        <w:rPr>
          <w:rFonts w:hint="eastAsia" w:ascii="仿宋" w:eastAsia="仿宋"/>
          <w:color w:val="000000"/>
          <w:sz w:val="32"/>
          <w:szCs w:val="32"/>
        </w:rPr>
        <w:t>、电费、邮电费、差旅费、培训费、劳务费。</w:t>
      </w:r>
    </w:p>
    <w:p>
      <w:pPr>
        <w:spacing w:line="600" w:lineRule="exact"/>
        <w:ind w:firstLine="640"/>
        <w:outlineLvl w:val="1"/>
        <w:rPr>
          <w:rStyle w:val="29"/>
          <w:rFonts w:ascii="黑体" w:eastAsia="黑体"/>
          <w:b w:val="0"/>
        </w:rPr>
      </w:pPr>
      <w:bookmarkStart w:id="33" w:name="_Toc15396609"/>
      <w:bookmarkStart w:id="34" w:name="_Toc15377215"/>
      <w:r>
        <w:rPr>
          <w:rFonts w:hint="eastAsia" w:ascii="黑体" w:eastAsia="黑体"/>
          <w:color w:val="000000"/>
          <w:sz w:val="32"/>
          <w:szCs w:val="32"/>
        </w:rPr>
        <w:t>七、</w:t>
      </w:r>
      <w:r>
        <w:rPr>
          <w:rStyle w:val="29"/>
          <w:rFonts w:hint="eastAsia" w:ascii="黑体" w:eastAsia="黑体"/>
        </w:rPr>
        <w:t>“</w:t>
      </w:r>
      <w:r>
        <w:rPr>
          <w:rStyle w:val="29"/>
          <w:rFonts w:hint="eastAsia" w:ascii="黑体" w:eastAsia="黑体"/>
          <w:b w:val="0"/>
        </w:rPr>
        <w:t>三公”经费财政拨款支出决算情况说明</w:t>
      </w:r>
      <w:bookmarkEnd w:id="33"/>
      <w:bookmarkEnd w:id="34"/>
    </w:p>
    <w:p>
      <w:pPr>
        <w:spacing w:line="600" w:lineRule="exact"/>
        <w:ind w:firstLine="640"/>
        <w:outlineLvl w:val="2"/>
        <w:rPr>
          <w:rFonts w:ascii="仿宋" w:eastAsia="仿宋"/>
          <w:b/>
          <w:color w:val="000000"/>
          <w:sz w:val="32"/>
          <w:szCs w:val="32"/>
        </w:rPr>
      </w:pPr>
      <w:bookmarkStart w:id="35" w:name="_Toc15377216"/>
      <w:r>
        <w:rPr>
          <w:rFonts w:hint="eastAsia" w:ascii="仿宋" w:eastAsia="仿宋"/>
          <w:b/>
          <w:color w:val="000000"/>
          <w:sz w:val="32"/>
          <w:szCs w:val="32"/>
        </w:rPr>
        <w:t>（一）“三公”经费财政拨款支出决算总体情况说明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,其原因是茂县信访接待中心是茂县信访局下属事业单位，“三公”经费支出在茂县信访局（本级）列支</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pPr>
        <w:spacing w:line="600" w:lineRule="exact"/>
        <w:ind w:firstLine="640"/>
        <w:rPr>
          <w:rFonts w:hint="eastAsia" w:ascii="仿宋_GB2312" w:eastAsia="仿宋_GB2312" w:cs="仿宋_GB2312"/>
          <w:b/>
          <w:bCs w:val="0"/>
          <w:color w:val="000000"/>
          <w:kern w:val="2"/>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w:t>
      </w:r>
      <w:r>
        <w:rPr>
          <w:rFonts w:hint="eastAsia" w:ascii="仿宋" w:eastAsia="仿宋"/>
          <w:color w:val="000000"/>
          <w:sz w:val="32"/>
          <w:szCs w:val="32"/>
          <w:lang w:eastAsia="zh-CN"/>
        </w:rPr>
        <w:t>费</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eastAsia="zh-CN"/>
        </w:rPr>
        <w:t>公务用车</w:t>
      </w:r>
      <w:r>
        <w:rPr>
          <w:rFonts w:hint="eastAsia" w:ascii="仿宋" w:eastAsia="仿宋"/>
          <w:color w:val="000000"/>
          <w:sz w:val="32"/>
          <w:szCs w:val="32"/>
        </w:rPr>
        <w:t>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r>
        <w:rPr>
          <w:rFonts w:hint="eastAsia" w:ascii="仿宋_GB2312" w:eastAsia="仿宋_GB2312"/>
          <w:b/>
          <w:color w:val="000000"/>
          <w:sz w:val="32"/>
          <w:szCs w:val="32"/>
          <w:lang w:val="en-US" w:eastAsia="zh-CN"/>
        </w:rPr>
        <w:t xml:space="preserve">                                                                                                              </w:t>
      </w:r>
    </w:p>
    <w:p>
      <w:pPr>
        <w:spacing w:line="600" w:lineRule="exact"/>
        <w:ind w:firstLine="642" w:firstLineChars="200"/>
        <w:rPr>
          <w:rFonts w:ascii="仿宋_GB2312" w:eastAsia="仿宋_GB2312"/>
          <w:b/>
          <w:color w:val="000000"/>
          <w:sz w:val="32"/>
          <w:szCs w:val="32"/>
        </w:rPr>
      </w:pPr>
      <w:r>
        <w:rPr>
          <w:rFonts w:hint="eastAsia" w:ascii="仿宋_GB2312" w:eastAsia="仿宋_GB2312" w:cs="仿宋_GB2312"/>
          <w:b/>
          <w:bCs w:val="0"/>
          <w:color w:val="000000"/>
          <w:kern w:val="2"/>
          <w:sz w:val="32"/>
          <w:szCs w:val="32"/>
          <w:lang w:val="en-US" w:eastAsia="zh-CN"/>
        </w:rPr>
        <w:t>1.因公出国（境）经费支出0万元，</w:t>
      </w:r>
      <w:r>
        <w:rPr>
          <w:rFonts w:hint="eastAsia" w:ascii="仿宋_GB2312" w:eastAsia="仿宋_GB2312" w:cs="仿宋_GB2312"/>
          <w:b w:val="0"/>
          <w:bCs/>
          <w:color w:val="000000"/>
          <w:kern w:val="2"/>
          <w:sz w:val="32"/>
          <w:szCs w:val="32"/>
          <w:lang w:val="en-US" w:eastAsia="zh-CN"/>
        </w:rPr>
        <w:t>较2022年无变化，</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w:t>
      </w:r>
      <w:r>
        <w:rPr>
          <w:rFonts w:hint="eastAsia" w:ascii="仿宋_GB2312" w:eastAsia="仿宋_GB2312"/>
          <w:b/>
          <w:bCs w:val="0"/>
          <w:color w:val="000000"/>
          <w:sz w:val="32"/>
          <w:szCs w:val="32"/>
          <w:lang w:eastAsia="zh-CN"/>
        </w:rPr>
        <w:t>费</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r>
        <w:rPr>
          <w:rFonts w:hint="eastAsia" w:ascii="仿宋_GB2312" w:eastAsia="仿宋_GB2312"/>
          <w:b/>
          <w:bCs w:val="0"/>
          <w:color w:val="000000"/>
          <w:sz w:val="32"/>
          <w:szCs w:val="32"/>
          <w:lang w:eastAsia="zh-CN"/>
        </w:rPr>
        <w:t>，</w:t>
      </w:r>
      <w:r>
        <w:rPr>
          <w:rStyle w:val="18"/>
          <w:rFonts w:hint="eastAsia" w:ascii="仿宋" w:eastAsia="仿宋"/>
          <w:b/>
          <w:bCs w:val="0"/>
          <w:color w:val="000000"/>
          <w:sz w:val="32"/>
          <w:szCs w:val="32"/>
        </w:rPr>
        <w:t>完成预算</w:t>
      </w:r>
      <w:r>
        <w:rPr>
          <w:rStyle w:val="18"/>
          <w:rFonts w:hint="eastAsia" w:ascii="仿宋" w:eastAsia="仿宋"/>
          <w:b/>
          <w:bCs w:val="0"/>
          <w:color w:val="000000"/>
          <w:sz w:val="32"/>
          <w:szCs w:val="32"/>
          <w:lang w:val="en-US" w:eastAsia="zh-CN"/>
        </w:rPr>
        <w:t>0</w:t>
      </w:r>
      <w:r>
        <w:rPr>
          <w:rStyle w:val="18"/>
          <w:rFonts w:ascii="仿宋" w:eastAsia="仿宋"/>
          <w:b/>
          <w:bCs w:val="0"/>
          <w:color w:val="000000"/>
          <w:sz w:val="32"/>
          <w:szCs w:val="32"/>
        </w:rPr>
        <w:t>%</w:t>
      </w:r>
      <w:r>
        <w:rPr>
          <w:rStyle w:val="18"/>
          <w:rFonts w:hint="eastAsia" w:ascii="仿宋" w:eastAsia="仿宋"/>
          <w:b/>
          <w:bCs w:val="0"/>
          <w:color w:val="000000"/>
          <w:sz w:val="32"/>
          <w:szCs w:val="32"/>
          <w:lang w:eastAsia="zh-CN"/>
        </w:rPr>
        <w:t>；</w:t>
      </w:r>
      <w:r>
        <w:rPr>
          <w:rFonts w:hint="eastAsia" w:ascii="仿宋_GB2312" w:eastAsia="仿宋_GB2312"/>
          <w:color w:val="000000"/>
          <w:sz w:val="32"/>
          <w:szCs w:val="32"/>
        </w:rPr>
        <w:t>公务用车购置</w:t>
      </w:r>
      <w:r>
        <w:rPr>
          <w:rFonts w:hint="eastAsia" w:ascii="仿宋_GB2312" w:eastAsia="仿宋_GB2312"/>
          <w:color w:val="000000"/>
          <w:sz w:val="32"/>
          <w:szCs w:val="32"/>
          <w:lang w:eastAsia="zh-CN"/>
        </w:rPr>
        <w:t>费</w:t>
      </w:r>
      <w:r>
        <w:rPr>
          <w:rFonts w:hint="eastAsia" w:ascii="仿宋_GB2312" w:eastAsia="仿宋_GB2312"/>
          <w:color w:val="000000"/>
          <w:sz w:val="32"/>
          <w:szCs w:val="32"/>
        </w:rPr>
        <w:t>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r>
        <w:rPr>
          <w:rFonts w:hint="eastAsia" w:ascii="仿宋_GB2312" w:eastAsia="仿宋_GB2312"/>
          <w:b/>
          <w:bCs w:val="0"/>
          <w:color w:val="000000"/>
          <w:sz w:val="32"/>
          <w:szCs w:val="32"/>
          <w:lang w:eastAsia="zh-CN"/>
        </w:rPr>
        <w:t>公务用车</w:t>
      </w:r>
      <w:r>
        <w:rPr>
          <w:rFonts w:hint="eastAsia" w:ascii="仿宋_GB2312" w:eastAsia="仿宋_GB2312"/>
          <w:b/>
          <w:bCs w:val="0"/>
          <w:color w:val="000000"/>
          <w:sz w:val="32"/>
          <w:szCs w:val="32"/>
        </w:rPr>
        <w:t>运行维护费支出</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r>
        <w:rPr>
          <w:rStyle w:val="18"/>
          <w:rFonts w:hint="eastAsia" w:ascii="仿宋" w:eastAsia="仿宋"/>
          <w:b/>
          <w:bCs w:val="0"/>
          <w:color w:val="000000"/>
          <w:sz w:val="32"/>
          <w:szCs w:val="32"/>
        </w:rPr>
        <w:t>完成预算</w:t>
      </w:r>
      <w:r>
        <w:rPr>
          <w:rStyle w:val="18"/>
          <w:rFonts w:hint="eastAsia" w:ascii="仿宋" w:eastAsia="仿宋"/>
          <w:b/>
          <w:bCs w:val="0"/>
          <w:color w:val="000000"/>
          <w:sz w:val="32"/>
          <w:szCs w:val="32"/>
          <w:lang w:val="en-US" w:eastAsia="zh-CN"/>
        </w:rPr>
        <w:t>0</w:t>
      </w:r>
      <w:r>
        <w:rPr>
          <w:rStyle w:val="18"/>
          <w:rFonts w:ascii="仿宋" w:eastAsia="仿宋"/>
          <w:b/>
          <w:bCs w:val="0"/>
          <w:color w:val="000000"/>
          <w:sz w:val="32"/>
          <w:szCs w:val="32"/>
        </w:rPr>
        <w:t>%</w:t>
      </w:r>
      <w:r>
        <w:rPr>
          <w:rStyle w:val="18"/>
          <w:rFonts w:hint="eastAsia" w:ascii="仿宋" w:eastAsia="仿宋"/>
          <w:b/>
          <w:bCs w:val="0"/>
          <w:color w:val="000000"/>
          <w:sz w:val="32"/>
          <w:szCs w:val="32"/>
          <w:lang w:eastAsia="zh-CN"/>
        </w:rPr>
        <w:t>，</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rPr>
        <w:t>运行维护费比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p>
    <w:p>
      <w:pPr>
        <w:rPr>
          <w:rFonts w:hint="eastAsia" w:ascii="仿宋_GB2312" w:eastAsia="仿宋_GB2312" w:cs="仿宋_GB2312"/>
          <w:sz w:val="32"/>
          <w:szCs w:val="32"/>
        </w:rPr>
      </w:pPr>
      <w:bookmarkStart w:id="37" w:name="_Toc15377221"/>
      <w:bookmarkStart w:id="38" w:name="_Toc15396612"/>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0</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万元。其中：</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万元，国内公务接待</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万元，外事接待0批次，0人，共计支出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年政府性基金预算拨款支出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年国有资本经营预算拨款支出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pPr>
        <w:spacing w:line="600" w:lineRule="exact"/>
        <w:ind w:firstLine="640" w:firstLineChars="200"/>
        <w:outlineLvl w:val="1"/>
        <w:rPr>
          <w:rStyle w:val="29"/>
          <w:rFonts w:ascii="黑体" w:eastAsia="黑体"/>
        </w:rPr>
      </w:pPr>
      <w:r>
        <w:rPr>
          <w:rFonts w:hint="eastAsia" w:ascii="黑体" w:eastAsia="黑体"/>
          <w:color w:val="000000"/>
          <w:sz w:val="32"/>
          <w:szCs w:val="32"/>
        </w:rPr>
        <w:t>十</w:t>
      </w:r>
      <w:r>
        <w:rPr>
          <w:rStyle w:val="29"/>
          <w:rFonts w:hint="eastAsia" w:ascii="黑体" w:eastAsia="黑体"/>
        </w:rPr>
        <w:t>、</w:t>
      </w:r>
      <w:r>
        <w:rPr>
          <w:rStyle w:val="29"/>
          <w:rFonts w:hint="eastAsia" w:ascii="黑体" w:eastAsia="黑体"/>
          <w:b w:val="0"/>
        </w:rPr>
        <w:t>其他重要事项的情况说明</w:t>
      </w:r>
      <w:bookmarkEnd w:id="37"/>
      <w:bookmarkEnd w:id="38"/>
    </w:p>
    <w:p>
      <w:pPr>
        <w:spacing w:line="600" w:lineRule="exact"/>
        <w:ind w:firstLine="642"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12.43</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2.81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开展勤俭节约，创建节约型机关。</w:t>
      </w:r>
    </w:p>
    <w:p>
      <w:pPr>
        <w:autoSpaceDE w:val="0"/>
        <w:autoSpaceDN w:val="0"/>
        <w:adjustRightInd w:val="0"/>
        <w:spacing w:line="600" w:lineRule="exact"/>
        <w:ind w:firstLine="642"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2"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widowControl/>
        <w:adjustRightInd w:val="0"/>
        <w:snapToGrid w:val="0"/>
        <w:spacing w:line="580" w:lineRule="exact"/>
        <w:ind w:firstLine="640" w:firstLineChars="200"/>
        <w:contextualSpacing/>
        <w:jc w:val="left"/>
        <w:rPr>
          <w:rFonts w:hint="eastAsia" w:ascii="黑体" w:eastAsia="黑体"/>
          <w:color w:val="000000"/>
          <w:sz w:val="44"/>
          <w:szCs w:val="44"/>
          <w:lang w:eastAsia="zh-CN"/>
        </w:rPr>
      </w:pPr>
      <w:bookmarkStart w:id="42" w:name="_Toc15377225"/>
      <w:bookmarkStart w:id="43" w:name="_Toc15396613"/>
      <w:r>
        <w:rPr>
          <w:rFonts w:hint="eastAsia" w:ascii="仿宋_GB2312" w:hAnsi="宋体" w:eastAsia="仿宋_GB2312" w:cs="宋体"/>
          <w:color w:val="000000"/>
          <w:kern w:val="0"/>
          <w:sz w:val="32"/>
          <w:szCs w:val="32"/>
          <w:shd w:val="clear" w:color="auto" w:fill="FFFFFF"/>
          <w:lang w:val="zh-CN"/>
        </w:rPr>
        <w:t>茂县信访接待中心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根据</w:t>
      </w:r>
      <w:r>
        <w:rPr>
          <w:rFonts w:hint="eastAsia" w:ascii="仿宋_GB2312" w:hAnsi="宋体" w:eastAsia="仿宋_GB2312" w:cs="宋体"/>
          <w:color w:val="000000"/>
          <w:kern w:val="0"/>
          <w:sz w:val="32"/>
          <w:szCs w:val="32"/>
          <w:shd w:val="clear" w:color="auto" w:fill="FFFFFF"/>
          <w:lang w:val="en-US" w:eastAsia="zh-CN"/>
        </w:rPr>
        <w:t>2023年度县级</w:t>
      </w:r>
      <w:r>
        <w:rPr>
          <w:rFonts w:hint="eastAsia" w:ascii="仿宋_GB2312" w:hAnsi="宋体" w:eastAsia="仿宋_GB2312" w:cs="宋体"/>
          <w:color w:val="000000"/>
          <w:kern w:val="0"/>
          <w:sz w:val="32"/>
          <w:szCs w:val="32"/>
          <w:shd w:val="clear" w:color="auto" w:fill="FFFFFF"/>
          <w:lang w:val="zh-CN"/>
        </w:rPr>
        <w:t>部门整体支出绩效评价指标体系，自评综合得分</w:t>
      </w:r>
      <w:r>
        <w:rPr>
          <w:rFonts w:hint="eastAsia" w:ascii="仿宋_GB2312" w:hAnsi="宋体" w:eastAsia="仿宋_GB2312" w:cs="宋体"/>
          <w:color w:val="000000"/>
          <w:kern w:val="0"/>
          <w:sz w:val="32"/>
          <w:szCs w:val="32"/>
          <w:shd w:val="clear" w:color="auto" w:fill="FFFFFF"/>
          <w:lang w:val="en-US" w:eastAsia="zh-CN"/>
        </w:rPr>
        <w:t>97分。</w:t>
      </w:r>
    </w:p>
    <w:p>
      <w:pPr>
        <w:spacing w:line="600" w:lineRule="exact"/>
        <w:jc w:val="center"/>
        <w:outlineLvl w:val="0"/>
        <w:rPr>
          <w:rStyle w:val="28"/>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8"/>
          <w:rFonts w:hint="eastAsia" w:ascii="黑体" w:eastAsia="黑体"/>
          <w:b w:val="0"/>
        </w:rPr>
        <w:t>词解释</w:t>
      </w:r>
      <w:bookmarkEnd w:id="42"/>
      <w:bookmarkEnd w:id="43"/>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3"/>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3"/>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44" w:name="_Toc15396614"/>
      <w:bookmarkStart w:id="45"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bookmarkEnd w:id="44"/>
    <w:bookmarkEnd w:id="45"/>
    <w:p>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bookmarkStart w:id="46" w:name="_Toc6196"/>
      <w:bookmarkStart w:id="47" w:name="_Toc9504"/>
      <w:r>
        <w:rPr>
          <w:rFonts w:hint="eastAsia" w:ascii="黑体" w:eastAsia="黑体" w:cs="Times New Roman"/>
          <w:color w:val="000000"/>
          <w:sz w:val="44"/>
          <w:szCs w:val="44"/>
        </w:rPr>
        <w:t>第</w:t>
      </w:r>
      <w:r>
        <w:rPr>
          <w:rFonts w:hint="eastAsia" w:ascii="黑体" w:eastAsia="黑体" w:cs="Times New Roman"/>
          <w:color w:val="000000"/>
          <w:sz w:val="44"/>
          <w:szCs w:val="44"/>
          <w:lang w:eastAsia="zh-CN"/>
        </w:rPr>
        <w:t>四</w:t>
      </w:r>
      <w:r>
        <w:rPr>
          <w:rFonts w:hint="eastAsia" w:ascii="黑体" w:eastAsia="黑体" w:cs="Times New Roman"/>
          <w:color w:val="000000"/>
          <w:sz w:val="44"/>
          <w:szCs w:val="44"/>
        </w:rPr>
        <w:t>部分 附表</w:t>
      </w:r>
      <w:bookmarkEnd w:id="46"/>
      <w:bookmarkEnd w:id="47"/>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48" w:name="_Toc12986"/>
      <w:bookmarkStart w:id="49" w:name="_Toc26370"/>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r>
        <w:rPr>
          <w:rFonts w:hint="eastAsia" w:ascii="仿宋" w:eastAsia="仿宋" w:cs="Times New Roman"/>
          <w:b w:val="0"/>
          <w:color w:val="000000"/>
          <w:kern w:val="2"/>
          <w:sz w:val="32"/>
          <w:szCs w:val="32"/>
          <w:lang w:bidi="ar-SA"/>
        </w:rPr>
        <w:t>一、收入支出决算总表</w:t>
      </w:r>
      <w:bookmarkEnd w:id="48"/>
      <w:bookmarkEnd w:id="49"/>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0" w:name="_Toc13062"/>
      <w:bookmarkStart w:id="51" w:name="_Toc13591"/>
      <w:r>
        <w:rPr>
          <w:rFonts w:hint="eastAsia" w:ascii="仿宋" w:eastAsia="仿宋" w:cs="Times New Roman"/>
          <w:b w:val="0"/>
          <w:color w:val="000000"/>
          <w:kern w:val="2"/>
          <w:sz w:val="32"/>
          <w:szCs w:val="32"/>
          <w:lang w:bidi="ar-SA"/>
        </w:rPr>
        <w:t>二、收入决算表</w:t>
      </w:r>
      <w:bookmarkEnd w:id="50"/>
      <w:bookmarkEnd w:id="51"/>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2" w:name="_Toc16600"/>
      <w:bookmarkStart w:id="53" w:name="_Toc29688"/>
      <w:r>
        <w:rPr>
          <w:rFonts w:hint="eastAsia" w:ascii="仿宋" w:eastAsia="仿宋" w:cs="Times New Roman"/>
          <w:b w:val="0"/>
          <w:color w:val="000000"/>
          <w:kern w:val="2"/>
          <w:sz w:val="32"/>
          <w:szCs w:val="32"/>
          <w:lang w:bidi="ar-SA"/>
        </w:rPr>
        <w:t>三、支出决算表</w:t>
      </w:r>
      <w:bookmarkEnd w:id="52"/>
      <w:bookmarkEnd w:id="53"/>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4" w:name="_Toc26630"/>
      <w:bookmarkStart w:id="55" w:name="_Toc5964"/>
      <w:r>
        <w:rPr>
          <w:rFonts w:hint="eastAsia" w:ascii="仿宋" w:eastAsia="仿宋" w:cs="Times New Roman"/>
          <w:b w:val="0"/>
          <w:color w:val="000000"/>
          <w:kern w:val="2"/>
          <w:sz w:val="32"/>
          <w:szCs w:val="32"/>
          <w:lang w:bidi="ar-SA"/>
        </w:rPr>
        <w:t>四、财政拨款收入支出决算总表</w:t>
      </w:r>
      <w:bookmarkEnd w:id="54"/>
      <w:bookmarkEnd w:id="55"/>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6" w:name="_Toc14273"/>
      <w:bookmarkStart w:id="57" w:name="_Toc19934"/>
      <w:r>
        <w:rPr>
          <w:rFonts w:hint="eastAsia" w:ascii="仿宋" w:eastAsia="仿宋" w:cs="Times New Roman"/>
          <w:b w:val="0"/>
          <w:color w:val="000000"/>
          <w:kern w:val="2"/>
          <w:sz w:val="32"/>
          <w:szCs w:val="32"/>
          <w:lang w:bidi="ar-SA"/>
        </w:rPr>
        <w:t>五、财政拨款支出决算明细表</w:t>
      </w:r>
      <w:bookmarkEnd w:id="56"/>
      <w:bookmarkEnd w:id="57"/>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8" w:name="_Toc6686"/>
      <w:bookmarkStart w:id="59" w:name="_Toc16449"/>
      <w:r>
        <w:rPr>
          <w:rFonts w:hint="eastAsia" w:ascii="仿宋" w:eastAsia="仿宋" w:cs="Times New Roman"/>
          <w:b w:val="0"/>
          <w:color w:val="000000"/>
          <w:kern w:val="2"/>
          <w:sz w:val="32"/>
          <w:szCs w:val="32"/>
          <w:lang w:bidi="ar-SA"/>
        </w:rPr>
        <w:t>六、一般公共预算财政拨款支出决算表</w:t>
      </w:r>
      <w:bookmarkEnd w:id="58"/>
      <w:bookmarkEnd w:id="59"/>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0" w:name="_Toc3478"/>
      <w:bookmarkStart w:id="61" w:name="_Toc19514"/>
      <w:r>
        <w:rPr>
          <w:rFonts w:hint="eastAsia" w:ascii="仿宋" w:eastAsia="仿宋" w:cs="Times New Roman"/>
          <w:b w:val="0"/>
          <w:color w:val="000000"/>
          <w:kern w:val="2"/>
          <w:sz w:val="32"/>
          <w:szCs w:val="32"/>
          <w:lang w:bidi="ar-SA"/>
        </w:rPr>
        <w:t>七、一般公共预算财政拨款支出决算明细表</w:t>
      </w:r>
      <w:bookmarkEnd w:id="60"/>
      <w:bookmarkEnd w:id="61"/>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2" w:name="_Toc191"/>
      <w:bookmarkStart w:id="63" w:name="_Toc17352"/>
      <w:r>
        <w:rPr>
          <w:rFonts w:hint="eastAsia" w:ascii="仿宋" w:eastAsia="仿宋" w:cs="Times New Roman"/>
          <w:b w:val="0"/>
          <w:color w:val="000000"/>
          <w:kern w:val="2"/>
          <w:sz w:val="32"/>
          <w:szCs w:val="32"/>
          <w:lang w:bidi="ar-SA"/>
        </w:rPr>
        <w:t>八、一般公共预算财政拨款基本支出决算表</w:t>
      </w:r>
      <w:bookmarkEnd w:id="62"/>
      <w:bookmarkEnd w:id="63"/>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4" w:name="_Toc3726"/>
      <w:bookmarkStart w:id="65" w:name="_Toc5204"/>
      <w:r>
        <w:rPr>
          <w:rFonts w:hint="eastAsia" w:ascii="仿宋" w:eastAsia="仿宋" w:cs="Times New Roman"/>
          <w:b w:val="0"/>
          <w:color w:val="000000"/>
          <w:kern w:val="2"/>
          <w:sz w:val="32"/>
          <w:szCs w:val="32"/>
          <w:lang w:bidi="ar-SA"/>
        </w:rPr>
        <w:t>九、一般公共预算财政拨款项目支出决算表</w:t>
      </w:r>
      <w:bookmarkEnd w:id="64"/>
      <w:bookmarkEnd w:id="65"/>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6" w:name="_Toc20056"/>
      <w:bookmarkStart w:id="67" w:name="_Toc20756"/>
      <w:r>
        <w:rPr>
          <w:rFonts w:hint="eastAsia" w:ascii="仿宋" w:eastAsia="仿宋" w:cs="Times New Roman"/>
          <w:b w:val="0"/>
          <w:color w:val="000000"/>
          <w:kern w:val="2"/>
          <w:sz w:val="32"/>
          <w:szCs w:val="32"/>
          <w:lang w:bidi="ar-SA"/>
        </w:rPr>
        <w:t>十、政府性基金预算财政拨款收入支出决算表</w:t>
      </w:r>
      <w:bookmarkEnd w:id="66"/>
      <w:bookmarkEnd w:id="67"/>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8" w:name="_Toc13849"/>
      <w:bookmarkStart w:id="69" w:name="_Toc21387"/>
      <w:r>
        <w:rPr>
          <w:rFonts w:hint="eastAsia" w:ascii="仿宋" w:eastAsia="仿宋" w:cs="Times New Roman"/>
          <w:b w:val="0"/>
          <w:color w:val="000000"/>
          <w:kern w:val="2"/>
          <w:sz w:val="32"/>
          <w:szCs w:val="32"/>
          <w:lang w:bidi="ar-SA"/>
        </w:rPr>
        <w:t>十一、国有资本经营预算财政拨款收入支出决算表</w:t>
      </w:r>
      <w:bookmarkEnd w:id="68"/>
      <w:bookmarkEnd w:id="69"/>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0" w:name="_Toc13099"/>
      <w:bookmarkStart w:id="71" w:name="_Toc1140"/>
      <w:r>
        <w:rPr>
          <w:rFonts w:hint="eastAsia" w:ascii="仿宋" w:eastAsia="仿宋" w:cs="Times New Roman"/>
          <w:b w:val="0"/>
          <w:color w:val="000000"/>
          <w:kern w:val="2"/>
          <w:sz w:val="32"/>
          <w:szCs w:val="32"/>
          <w:lang w:bidi="ar-SA"/>
        </w:rPr>
        <w:t>十二、国有资本经营预算财政拨款支出决算表</w:t>
      </w:r>
      <w:bookmarkEnd w:id="70"/>
      <w:bookmarkEnd w:id="71"/>
    </w:p>
    <w:p>
      <w:pPr>
        <w:pStyle w:val="6"/>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2" w:name="_Toc24957"/>
      <w:bookmarkStart w:id="73" w:name="_Toc25065"/>
      <w:r>
        <w:rPr>
          <w:rFonts w:hint="eastAsia" w:ascii="仿宋" w:eastAsia="仿宋" w:cs="Times New Roman"/>
          <w:b w:val="0"/>
          <w:color w:val="000000"/>
          <w:kern w:val="2"/>
          <w:sz w:val="32"/>
          <w:szCs w:val="32"/>
          <w:lang w:bidi="ar-SA"/>
        </w:rPr>
        <w:t>十三、财政拨款“三公”经费支出决算表</w:t>
      </w:r>
      <w:bookmarkEnd w:id="72"/>
      <w:bookmarkEnd w:id="73"/>
    </w:p>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Lucida Sans">
    <w:altName w:val="仿宋"/>
    <w:panose1 w:val="00000000000000000000"/>
    <w:charset w:val="01"/>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pBdr>
        <w:top w:val="none" w:color="auto" w:sz="0" w:space="0"/>
        <w:left w:val="none" w:color="auto" w:sz="0" w:space="0"/>
        <w:bottom w:val="none" w:color="auto" w:sz="0" w:space="0"/>
        <w:right w:val="none" w:color="auto" w:sz="0" w:space="0"/>
      </w:pBdr>
      <w:rPr>
        <w:b/>
        <w:sz w:val="28"/>
      </w:rPr>
    </w:pPr>
    <w:r>
      <w:rPr>
        <w:rStyle w:val="19"/>
        <w:b/>
        <w:sz w:val="28"/>
      </w:rPr>
      <w:fldChar w:fldCharType="begin"/>
    </w:r>
    <w:r>
      <w:rPr>
        <w:rStyle w:val="19"/>
        <w:b/>
        <w:sz w:val="28"/>
      </w:rPr>
      <w:instrText xml:space="preserve">Page</w:instrText>
    </w:r>
    <w:r>
      <w:rPr>
        <w:rStyle w:val="19"/>
        <w:b/>
        <w:sz w:val="28"/>
      </w:rPr>
      <w:fldChar w:fldCharType="separate"/>
    </w:r>
    <w:r>
      <w:rPr>
        <w:rStyle w:val="19"/>
        <w:rFonts w:hint="eastAsia"/>
        <w:b/>
        <w:sz w:val="28"/>
      </w:rPr>
      <w:t>— 4 —</w:t>
    </w:r>
    <w:r>
      <w:rPr>
        <w:rStyle w:val="19"/>
        <w:b/>
        <w:sz w:val="28"/>
      </w:rPr>
      <w:fldChar w:fldCharType="end"/>
    </w:r>
  </w:p>
  <w:p>
    <w:pPr>
      <w:pStyle w:val="11"/>
      <w:ind w:left="0"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pBdr>
        <w:top w:val="none" w:color="auto" w:sz="0" w:space="0"/>
        <w:left w:val="none" w:color="auto" w:sz="0" w:space="0"/>
        <w:bottom w:val="none" w:color="auto" w:sz="0" w:space="0"/>
        <w:right w:val="none" w:color="auto" w:sz="0" w:space="0"/>
      </w:pBdr>
    </w:pPr>
    <w:r>
      <w:rPr>
        <w:rStyle w:val="19"/>
      </w:rPr>
      <w:fldChar w:fldCharType="begin"/>
    </w:r>
    <w:r>
      <w:rPr>
        <w:rStyle w:val="19"/>
      </w:rPr>
      <w:instrText xml:space="preserve">Page</w:instrText>
    </w:r>
    <w:r>
      <w:rPr>
        <w:rStyle w:val="19"/>
      </w:rPr>
      <w:fldChar w:fldCharType="separate"/>
    </w:r>
    <w:r>
      <w:rPr>
        <w:rStyle w:val="19"/>
        <w:rFonts w:hint="eastAsia"/>
      </w:rPr>
      <w:t>— 3 —</w:t>
    </w:r>
    <w:r>
      <w:rPr>
        <w:rStyle w:val="19"/>
      </w:rPr>
      <w:fldChar w:fldCharType="end"/>
    </w:r>
  </w:p>
  <w:p>
    <w:pPr>
      <w:pStyle w:val="11"/>
      <w:framePr w:wrap="around" w:vAnchor="text" w:hAnchor="margin" w:xAlign="outside" w:y="1"/>
      <w:pBdr>
        <w:top w:val="none" w:color="auto" w:sz="0" w:space="0"/>
        <w:left w:val="none" w:color="auto" w:sz="0" w:space="0"/>
        <w:bottom w:val="none" w:color="auto" w:sz="0" w:space="0"/>
        <w:right w:val="none" w:color="auto" w:sz="0" w:space="0"/>
      </w:pBdr>
      <w:ind w:right="360" w:firstLine="360"/>
    </w:pPr>
    <w:r>
      <w:rPr>
        <w:rStyle w:val="19"/>
      </w:rPr>
      <w:fldChar w:fldCharType="begin"/>
    </w:r>
    <w:r>
      <w:rPr>
        <w:rStyle w:val="19"/>
      </w:rPr>
      <w:instrText xml:space="preserve">Page</w:instrText>
    </w:r>
    <w:r>
      <w:rPr>
        <w:rStyle w:val="19"/>
      </w:rPr>
      <w:fldChar w:fldCharType="separate"/>
    </w:r>
    <w:r>
      <w:rPr>
        <w:rStyle w:val="19"/>
      </w:rPr>
      <w:t>1</w:t>
    </w:r>
    <w:r>
      <w:rPr>
        <w:rStyle w:val="19"/>
      </w:rPr>
      <w:fldChar w:fldCharType="end"/>
    </w:r>
  </w:p>
  <w:p>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0DD0316"/>
    <w:rsid w:val="02543D5F"/>
    <w:rsid w:val="02AE0F75"/>
    <w:rsid w:val="03F04E05"/>
    <w:rsid w:val="03FB03BA"/>
    <w:rsid w:val="05AA7659"/>
    <w:rsid w:val="06E95DE7"/>
    <w:rsid w:val="079061F5"/>
    <w:rsid w:val="09E23546"/>
    <w:rsid w:val="0B3C4A7C"/>
    <w:rsid w:val="0B7B1FE3"/>
    <w:rsid w:val="0C7015F6"/>
    <w:rsid w:val="0CB97065"/>
    <w:rsid w:val="0D3216B4"/>
    <w:rsid w:val="0F8F6F95"/>
    <w:rsid w:val="1697741D"/>
    <w:rsid w:val="187512F1"/>
    <w:rsid w:val="1B7A59A1"/>
    <w:rsid w:val="1C577A1E"/>
    <w:rsid w:val="1C8D7DE8"/>
    <w:rsid w:val="1CEE1106"/>
    <w:rsid w:val="1E764DB5"/>
    <w:rsid w:val="1F3E5153"/>
    <w:rsid w:val="1F455AB4"/>
    <w:rsid w:val="21386C61"/>
    <w:rsid w:val="220620E3"/>
    <w:rsid w:val="23834AD2"/>
    <w:rsid w:val="23AE5B30"/>
    <w:rsid w:val="253D7326"/>
    <w:rsid w:val="32992A91"/>
    <w:rsid w:val="34AC6C79"/>
    <w:rsid w:val="364D2448"/>
    <w:rsid w:val="3A9315A8"/>
    <w:rsid w:val="3C2B5E46"/>
    <w:rsid w:val="3D900F90"/>
    <w:rsid w:val="3F63308A"/>
    <w:rsid w:val="3F6525B0"/>
    <w:rsid w:val="3F7C1A35"/>
    <w:rsid w:val="455C49D9"/>
    <w:rsid w:val="48E32CA1"/>
    <w:rsid w:val="4C835716"/>
    <w:rsid w:val="4CCB138D"/>
    <w:rsid w:val="4E901F73"/>
    <w:rsid w:val="4EA25710"/>
    <w:rsid w:val="50F54C60"/>
    <w:rsid w:val="53A31046"/>
    <w:rsid w:val="54E35FFA"/>
    <w:rsid w:val="59DF307F"/>
    <w:rsid w:val="5AE16125"/>
    <w:rsid w:val="5B243716"/>
    <w:rsid w:val="5B47134C"/>
    <w:rsid w:val="5BFE1639"/>
    <w:rsid w:val="5DFE3E44"/>
    <w:rsid w:val="60195438"/>
    <w:rsid w:val="612D3C7B"/>
    <w:rsid w:val="621D1385"/>
    <w:rsid w:val="65E43CBA"/>
    <w:rsid w:val="686A5976"/>
    <w:rsid w:val="6B014FD4"/>
    <w:rsid w:val="6C465F32"/>
    <w:rsid w:val="6C705F6D"/>
    <w:rsid w:val="6EA0700B"/>
    <w:rsid w:val="735C194C"/>
    <w:rsid w:val="766146C3"/>
    <w:rsid w:val="76A032AE"/>
    <w:rsid w:val="7DDB2C8C"/>
    <w:rsid w:val="7E8631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rPr>
  </w:style>
  <w:style w:type="character" w:styleId="18">
    <w:name w:val="Strong"/>
    <w:basedOn w:val="17"/>
    <w:qFormat/>
    <w:uiPriority w:val="0"/>
    <w:rPr>
      <w:b/>
    </w:rPr>
  </w:style>
  <w:style w:type="character" w:styleId="19">
    <w:name w:val="page number"/>
    <w:basedOn w:val="17"/>
    <w:qFormat/>
    <w:uiPriority w:val="0"/>
  </w:style>
  <w:style w:type="character" w:styleId="20">
    <w:name w:val="FollowedHyperlink"/>
    <w:basedOn w:val="17"/>
    <w:qFormat/>
    <w:uiPriority w:val="0"/>
    <w:rPr>
      <w:color w:val="000000"/>
      <w:u w:val="none"/>
    </w:rPr>
  </w:style>
  <w:style w:type="character" w:styleId="21">
    <w:name w:val="Emphasis"/>
    <w:basedOn w:val="17"/>
    <w:qFormat/>
    <w:uiPriority w:val="0"/>
  </w:style>
  <w:style w:type="character" w:styleId="22">
    <w:name w:val="HTML Definition"/>
    <w:basedOn w:val="17"/>
    <w:qFormat/>
    <w:uiPriority w:val="0"/>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FF"/>
      <w:u w:val="single"/>
    </w:rPr>
  </w:style>
  <w:style w:type="character" w:styleId="26">
    <w:name w:val="HTML Code"/>
    <w:basedOn w:val="17"/>
    <w:qFormat/>
    <w:uiPriority w:val="0"/>
    <w:rPr>
      <w:rFonts w:ascii="Courier New" w:hAnsi="Courier New"/>
      <w:sz w:val="20"/>
      <w:u w:val="single"/>
    </w:rPr>
  </w:style>
  <w:style w:type="character" w:styleId="27">
    <w:name w:val="HTML Cite"/>
    <w:basedOn w:val="17"/>
    <w:qFormat/>
    <w:uiPriority w:val="0"/>
  </w:style>
  <w:style w:type="character" w:customStyle="1" w:styleId="28">
    <w:name w:val="heading 1 Char"/>
    <w:basedOn w:val="17"/>
    <w:link w:val="5"/>
    <w:qFormat/>
    <w:uiPriority w:val="0"/>
    <w:rPr>
      <w:rFonts w:ascii="Times New Roman" w:hAnsi="Times New Roman" w:eastAsia="宋体" w:cs="Times New Roman"/>
      <w:b/>
      <w:bCs/>
      <w:kern w:val="44"/>
      <w:sz w:val="44"/>
      <w:szCs w:val="44"/>
      <w:lang w:val="en-US" w:eastAsia="zh-CN" w:bidi="ar-SA"/>
    </w:rPr>
  </w:style>
  <w:style w:type="character" w:customStyle="1" w:styleId="29">
    <w:name w:val="heading 2 Char"/>
    <w:basedOn w:val="17"/>
    <w:link w:val="6"/>
    <w:qFormat/>
    <w:uiPriority w:val="0"/>
    <w:rPr>
      <w:rFonts w:ascii="Cambria" w:hAnsi="Cambria" w:eastAsia="宋体" w:cs="Times New Roman"/>
      <w:b/>
      <w:bCs/>
      <w:kern w:val="2"/>
      <w:sz w:val="32"/>
      <w:szCs w:val="32"/>
      <w:lang w:val="en-US" w:eastAsia="zh-CN" w:bidi="ar-SA"/>
    </w:rPr>
  </w:style>
  <w:style w:type="character" w:customStyle="1" w:styleId="30">
    <w:name w:val="Header Char"/>
    <w:basedOn w:val="17"/>
    <w:qFormat/>
    <w:uiPriority w:val="0"/>
    <w:rPr>
      <w:rFonts w:ascii="Times New Roman" w:hAnsi="Times New Roman"/>
      <w:sz w:val="18"/>
      <w:szCs w:val="18"/>
    </w:rPr>
  </w:style>
  <w:style w:type="character" w:customStyle="1" w:styleId="31">
    <w:name w:val="Footer Char"/>
    <w:basedOn w:val="17"/>
    <w:qFormat/>
    <w:uiPriority w:val="0"/>
    <w:rPr>
      <w:rFonts w:ascii="Times New Roman" w:hAnsi="Times New Roman"/>
      <w:sz w:val="18"/>
      <w:szCs w:val="18"/>
    </w:rPr>
  </w:style>
  <w:style w:type="character" w:customStyle="1" w:styleId="32">
    <w:name w:val="Body Text Char"/>
    <w:basedOn w:val="17"/>
    <w:qFormat/>
    <w:uiPriority w:val="0"/>
    <w:rPr>
      <w:rFonts w:ascii="Times New Roman" w:hAnsi="Times New Roman"/>
      <w:szCs w:val="24"/>
    </w:rPr>
  </w:style>
  <w:style w:type="paragraph" w:customStyle="1" w:styleId="3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4">
    <w:name w:val="List Paragraph"/>
    <w:basedOn w:val="1"/>
    <w:qFormat/>
    <w:uiPriority w:val="0"/>
    <w:pPr>
      <w:ind w:firstLine="200" w:firstLineChars="200"/>
    </w:pPr>
  </w:style>
  <w:style w:type="paragraph" w:customStyle="1" w:styleId="35">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6">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7">
    <w:name w:val="apple-converted-space"/>
    <w:basedOn w:val="17"/>
    <w:qFormat/>
    <w:uiPriority w:val="0"/>
  </w:style>
  <w:style w:type="paragraph" w:customStyle="1" w:styleId="38">
    <w:name w:val="_Style 32"/>
    <w:basedOn w:val="1"/>
    <w:next w:val="1"/>
    <w:qFormat/>
    <w:uiPriority w:val="0"/>
    <w:pPr>
      <w:pBdr>
        <w:bottom w:val="single" w:color="auto" w:sz="6" w:space="1"/>
      </w:pBdr>
      <w:jc w:val="center"/>
    </w:pPr>
    <w:rPr>
      <w:rFonts w:ascii="Arial" w:hAnsi="Arial" w:eastAsia="宋体"/>
      <w:vanish/>
      <w:sz w:val="16"/>
    </w:rPr>
  </w:style>
  <w:style w:type="paragraph" w:customStyle="1" w:styleId="39">
    <w:name w:val="_Style 33"/>
    <w:basedOn w:val="1"/>
    <w:next w:val="1"/>
    <w:qFormat/>
    <w:uiPriority w:val="0"/>
    <w:pPr>
      <w:pBdr>
        <w:top w:val="single" w:color="auto" w:sz="6" w:space="1"/>
      </w:pBdr>
      <w:jc w:val="center"/>
    </w:pPr>
    <w:rPr>
      <w:rFonts w:ascii="Arial" w:hAnsi="Arial" w:eastAsia="宋体"/>
      <w:vanish/>
      <w:sz w:val="16"/>
    </w:rPr>
  </w:style>
  <w:style w:type="character" w:customStyle="1" w:styleId="40">
    <w:name w:val="hover17"/>
    <w:basedOn w:val="17"/>
    <w:qFormat/>
    <w:uiPriority w:val="0"/>
    <w:rPr>
      <w:color w:val="FFFFFF"/>
    </w:rPr>
  </w:style>
  <w:style w:type="character" w:customStyle="1" w:styleId="41">
    <w:name w:val="active"/>
    <w:basedOn w:val="17"/>
    <w:qFormat/>
    <w:uiPriority w:val="0"/>
    <w:rPr>
      <w:color w:val="FFFFFF"/>
    </w:rPr>
  </w:style>
  <w:style w:type="character" w:customStyle="1" w:styleId="42">
    <w:name w:val="page_next"/>
    <w:basedOn w:val="17"/>
    <w:qFormat/>
    <w:uiPriority w:val="0"/>
  </w:style>
  <w:style w:type="character" w:customStyle="1" w:styleId="43">
    <w:name w:val="page_prev"/>
    <w:basedOn w:val="17"/>
    <w:qFormat/>
    <w:uiPriority w:val="0"/>
  </w:style>
  <w:style w:type="character" w:customStyle="1" w:styleId="44">
    <w:name w:val="white"/>
    <w:basedOn w:val="17"/>
    <w:qFormat/>
    <w:uiPriority w:val="0"/>
    <w:rPr>
      <w:rFonts w:ascii="黑体" w:eastAsia="黑体" w:cs="黑体"/>
    </w:rPr>
  </w:style>
  <w:style w:type="character" w:customStyle="1" w:styleId="45">
    <w:name w:val="hover15"/>
    <w:basedOn w:val="17"/>
    <w:qFormat/>
    <w:uiPriority w:val="0"/>
    <w:rPr>
      <w:color w:val="FFFFFF"/>
    </w:rPr>
  </w:style>
  <w:style w:type="character" w:customStyle="1" w:styleId="46">
    <w:name w:val="15"/>
    <w:basedOn w:val="17"/>
    <w:qFormat/>
    <w:uiPriority w:val="0"/>
    <w:rPr>
      <w:rFonts w:ascii="Calibri" w:hAnsi="Calibri" w:cs="Calibri"/>
      <w:b/>
    </w:rPr>
  </w:style>
  <w:style w:type="paragraph" w:customStyle="1" w:styleId="47">
    <w:name w:val="_Style 48"/>
    <w:basedOn w:val="1"/>
    <w:next w:val="1"/>
    <w:qFormat/>
    <w:uiPriority w:val="0"/>
    <w:pPr>
      <w:pBdr>
        <w:bottom w:val="single" w:color="auto" w:sz="6" w:space="1"/>
      </w:pBdr>
      <w:jc w:val="center"/>
    </w:pPr>
    <w:rPr>
      <w:rFonts w:ascii="Arial" w:hAnsi="Arial" w:eastAsia="宋体"/>
      <w:vanish/>
      <w:sz w:val="16"/>
    </w:rPr>
  </w:style>
  <w:style w:type="paragraph" w:customStyle="1" w:styleId="48">
    <w:name w:val="_Style 49"/>
    <w:basedOn w:val="1"/>
    <w:next w:val="1"/>
    <w:qFormat/>
    <w:uiPriority w:val="0"/>
    <w:pPr>
      <w:pBdr>
        <w:top w:val="single" w:color="auto" w:sz="6" w:space="1"/>
      </w:pBdr>
      <w:jc w:val="center"/>
    </w:pPr>
    <w:rPr>
      <w:rFonts w:ascii="Arial" w:hAnsi="Arial" w:eastAsia="宋体"/>
      <w:vanish/>
      <w:sz w:val="16"/>
    </w:rPr>
  </w:style>
  <w:style w:type="character" w:customStyle="1" w:styleId="49">
    <w:name w:val="first-child1"/>
    <w:basedOn w:val="17"/>
    <w:qFormat/>
    <w:uiPriority w:val="0"/>
  </w:style>
  <w:style w:type="character" w:customStyle="1" w:styleId="50">
    <w:name w:val="layui-layer-tabnow"/>
    <w:basedOn w:val="17"/>
    <w:qFormat/>
    <w:uiPriority w:val="0"/>
    <w:rPr>
      <w:bdr w:val="single" w:color="CCCCCC" w:sz="6" w:space="0"/>
      <w:shd w:val="clear" w:color="auto" w:fill="FFFFFF"/>
    </w:rPr>
  </w:style>
  <w:style w:type="character" w:customStyle="1" w:styleId="51">
    <w:name w:val="first-child"/>
    <w:basedOn w:val="17"/>
    <w:qFormat/>
    <w:uiPriority w:val="0"/>
  </w:style>
  <w:style w:type="character" w:customStyle="1" w:styleId="52">
    <w:name w:val="time"/>
    <w:basedOn w:val="17"/>
    <w:qFormat/>
    <w:uiPriority w:val="0"/>
    <w:rPr>
      <w:color w:val="999999"/>
      <w:sz w:val="18"/>
      <w:szCs w:val="18"/>
    </w:rPr>
  </w:style>
  <w:style w:type="character" w:customStyle="1" w:styleId="53">
    <w:name w:val="time1"/>
    <w:basedOn w:val="17"/>
    <w:qFormat/>
    <w:uiPriority w:val="0"/>
    <w:rPr>
      <w:shd w:val="clear" w:color="auto" w:fill="F5F7FB"/>
    </w:rPr>
  </w:style>
  <w:style w:type="character" w:customStyle="1" w:styleId="54">
    <w:name w:val="time2"/>
    <w:basedOn w:val="17"/>
    <w:qFormat/>
    <w:uiPriority w:val="0"/>
    <w:rPr>
      <w:color w:val="888888"/>
    </w:rPr>
  </w:style>
  <w:style w:type="character" w:customStyle="1" w:styleId="55">
    <w:name w:val="time3"/>
    <w:basedOn w:val="17"/>
    <w:qFormat/>
    <w:uiPriority w:val="0"/>
    <w:rPr>
      <w:color w:val="888888"/>
    </w:rPr>
  </w:style>
  <w:style w:type="character" w:customStyle="1" w:styleId="56">
    <w:name w:val="time4"/>
    <w:basedOn w:val="17"/>
    <w:qFormat/>
    <w:uiPriority w:val="0"/>
    <w:rPr>
      <w:color w:val="888888"/>
    </w:rPr>
  </w:style>
  <w:style w:type="paragraph" w:customStyle="1" w:styleId="57">
    <w:name w:val="WPSOffice手动目录 1"/>
    <w:qFormat/>
    <w:uiPriority w:val="0"/>
    <w:rPr>
      <w:rFonts w:ascii="Times New Roman" w:hAnsi="Times New Roman" w:eastAsia="宋体" w:cs="Times New Roman"/>
      <w:sz w:val="20"/>
      <w:szCs w:val="20"/>
      <w:lang w:val="en-US" w:eastAsia="zh-CN" w:bidi="ar-SA"/>
    </w:rPr>
  </w:style>
  <w:style w:type="paragraph" w:customStyle="1" w:styleId="58">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59">
    <w:name w:val="WPSOffice手动目录 3"/>
    <w:qFormat/>
    <w:uiPriority w:val="0"/>
    <w:pPr>
      <w:ind w:left="400" w:leftChars="4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支出决算</a:t>
            </a:r>
            <a:endParaRPr lang="zh-CN"/>
          </a:p>
        </c:rich>
      </c:tx>
      <c:layout/>
      <c:overlay val="0"/>
      <c:spPr>
        <a:noFill/>
        <a:ln>
          <a:noFill/>
        </a:ln>
      </c:spPr>
    </c:title>
    <c:autoTitleDeleted val="0"/>
    <c:plotArea>
      <c:layout>
        <c:manualLayout>
          <c:layoutTarget val="inner"/>
          <c:xMode val="edge"/>
          <c:yMode val="edge"/>
          <c:x val="0.41210124"/>
          <c:y val="0.2714642"/>
          <c:w val="0.18468165"/>
          <c:h val="0.48877805"/>
        </c:manualLayout>
      </c:layout>
      <c:pieChart>
        <c:varyColors val="1"/>
        <c:ser>
          <c:idx val="0"/>
          <c:order val="0"/>
          <c:tx>
            <c:strRef>
              <c:f>'Sheet1'!$B$1</c:f>
              <c:strCache>
                <c:ptCount val="1"/>
                <c:pt idx="0">
                  <c:v>基本支出</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基本支出</c:v>
                </c:pt>
                <c:pt idx="1">
                  <c:v>项目支出</c:v>
                </c:pt>
              </c:strCache>
            </c:strRef>
          </c:cat>
          <c:val>
            <c:numRef>
              <c:f>'Sheet1'!$B$2:$B$3</c:f>
              <c:numCache>
                <c:formatCode>0.00%</c:formatCode>
                <c:ptCount val="2"/>
                <c:pt idx="0">
                  <c:v>0.9894</c:v>
                </c:pt>
                <c:pt idx="1">
                  <c:v>0.0106</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egendEntry>
        <c:idx val="1"/>
        <c:delete val="1"/>
      </c:legendEntry>
      <c:layout>
        <c:manualLayout>
          <c:xMode val="edge"/>
          <c:yMode val="edge"/>
          <c:x val="0.40045768"/>
          <c:y val="0.77876735"/>
          <c:w val="0.18333557"/>
          <c:h val="0.17491984"/>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2.xml><?xml version="1.0" encoding="utf-8"?>
<customData xmlns="http://www.yozosoft.com.cn/officeDocument/2016/customData">
  <customProps xmlns="http://www.yozosoft.com.cn/officeDocument/2016/customData">
    <docPr xmlns="http://www.yozosoft.com.cn/officeDocument/2016/customData"/>
    <sectPr xmlns="http://www.yozosoft.com.cn/officeDocument/2016/customData"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7B916-4E61-4B4B-8820-E31D1DC4982B}">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17</Pages>
  <Words>5620</Words>
  <Characters>5997</Characters>
  <Lines>344</Lines>
  <Paragraphs>150</Paragraphs>
  <TotalTime>25</TotalTime>
  <ScaleCrop>false</ScaleCrop>
  <LinksUpToDate>false</LinksUpToDate>
  <CharactersWithSpaces>6413</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2024-09-23T10:51:00Z</cp:lastPrinted>
  <dcterms:modified xsi:type="dcterms:W3CDTF">2024-09-23T17:49:19Z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6BA508FFCB4740988491E2DBB697641F</vt:lpwstr>
  </property>
</Properties>
</file>