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96599"/>
      <w:bookmarkStart w:id="1" w:name="_Toc15377196"/>
    </w:p>
    <w:p>
      <w:pPr>
        <w:spacing w:line="600" w:lineRule="exact"/>
        <w:jc w:val="center"/>
        <w:outlineLvl w:val="0"/>
        <w:rPr>
          <w:rFonts w:ascii="方正小标宋简体" w:eastAsia="方正小标宋简体"/>
          <w:color w:val="000000"/>
          <w:sz w:val="72"/>
          <w:szCs w:val="72"/>
        </w:rPr>
      </w:pPr>
    </w:p>
    <w:p>
      <w:pPr>
        <w:pStyle w:val="8"/>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2023年度</w:t>
      </w:r>
    </w:p>
    <w:p>
      <w:pPr>
        <w:pStyle w:val="8"/>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四川省阿坝州茂县信访局</w:t>
      </w:r>
    </w:p>
    <w:p>
      <w:pPr>
        <w:pStyle w:val="8"/>
        <w:jc w:val="center"/>
        <w:rPr>
          <w:rFonts w:hint="default"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单位决算(本级)</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ascii="仿宋_GB2312" w:eastAsia="仿宋_GB2312" w:cs="仿宋_GB2312"/>
          <w:sz w:val="32"/>
          <w:szCs w:val="32"/>
          <w:lang w:eastAsia="zh-CN"/>
        </w:rPr>
      </w:pPr>
    </w:p>
    <w:p>
      <w:pPr>
        <w:autoSpaceDE w:val="0"/>
        <w:autoSpaceDN w:val="0"/>
        <w:adjustRightInd w:val="0"/>
        <w:ind w:firstLine="1280" w:firstLineChars="400"/>
        <w:jc w:val="left"/>
        <w:rPr>
          <w:rFonts w:hint="eastAsia" w:ascii="仿宋_GB2312" w:eastAsia="仿宋_GB2312" w:cs="仿宋_GB2312"/>
          <w:sz w:val="32"/>
          <w:szCs w:val="32"/>
          <w:lang w:eastAsia="zh-CN"/>
        </w:rPr>
      </w:pPr>
    </w:p>
    <w:p>
      <w:pPr>
        <w:autoSpaceDE w:val="0"/>
        <w:autoSpaceDN w:val="0"/>
        <w:adjustRightInd w:val="0"/>
        <w:jc w:val="both"/>
        <w:rPr>
          <w:rFonts w:hint="eastAsia" w:eastAsia="仿宋_GB2312"/>
          <w:sz w:val="32"/>
          <w:szCs w:val="32"/>
          <w:lang w:eastAsia="zh-CN"/>
        </w:rPr>
      </w:pPr>
    </w:p>
    <w:p>
      <w:pPr>
        <w:widowControl/>
        <w:jc w:val="left"/>
        <w:rPr>
          <w:rFonts w:ascii="方正小标宋简体" w:eastAsia="方正小标宋简体"/>
          <w:sz w:val="36"/>
          <w:szCs w:val="36"/>
        </w:rPr>
      </w:pP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pageBreakBefore w:val="0"/>
        <w:widowControl w:val="0"/>
        <w:kinsoku/>
        <w:wordWrap/>
        <w:overflowPunct/>
        <w:topLinePunct w:val="0"/>
        <w:bidi w:val="0"/>
        <w:spacing w:line="576" w:lineRule="exact"/>
        <w:jc w:val="center"/>
        <w:textAlignment w:val="auto"/>
        <w:rPr>
          <w:rFonts w:hint="eastAsia" w:ascii="仿宋_GB2312" w:eastAsia="仿宋_GB2312" w:cs="仿宋_GB2312"/>
          <w:bCs/>
          <w:sz w:val="28"/>
          <w:szCs w:val="28"/>
        </w:rPr>
      </w:pPr>
      <w:r>
        <w:rPr>
          <w:rFonts w:hint="eastAsia" w:ascii="仿宋_GB2312" w:eastAsia="仿宋_GB2312" w:cs="仿宋_GB2312"/>
          <w:bCs/>
          <w:sz w:val="28"/>
          <w:szCs w:val="28"/>
        </w:rPr>
        <w:t>公开时间：202</w:t>
      </w:r>
      <w:r>
        <w:rPr>
          <w:rFonts w:hint="eastAsia" w:ascii="仿宋_GB2312" w:eastAsia="仿宋_GB2312" w:cs="仿宋_GB2312"/>
          <w:bCs/>
          <w:sz w:val="28"/>
          <w:szCs w:val="28"/>
          <w:lang w:val="en-US" w:eastAsia="zh-CN"/>
        </w:rPr>
        <w:t>4</w:t>
      </w:r>
      <w:r>
        <w:rPr>
          <w:rFonts w:hint="eastAsia" w:ascii="仿宋_GB2312" w:eastAsia="仿宋_GB2312" w:cs="仿宋_GB2312"/>
          <w:bCs/>
          <w:sz w:val="28"/>
          <w:szCs w:val="28"/>
        </w:rPr>
        <w:t>年</w:t>
      </w:r>
      <w:r>
        <w:rPr>
          <w:rFonts w:hint="eastAsia" w:ascii="仿宋_GB2312" w:eastAsia="仿宋_GB2312" w:cs="仿宋_GB2312"/>
          <w:bCs/>
          <w:sz w:val="28"/>
          <w:szCs w:val="28"/>
          <w:lang w:val="en-US" w:eastAsia="zh-CN"/>
        </w:rPr>
        <w:t>9</w:t>
      </w:r>
      <w:r>
        <w:rPr>
          <w:rFonts w:hint="eastAsia" w:ascii="仿宋_GB2312" w:eastAsia="仿宋_GB2312" w:cs="仿宋_GB2312"/>
          <w:bCs/>
          <w:sz w:val="28"/>
          <w:szCs w:val="28"/>
        </w:rPr>
        <w:t>月</w:t>
      </w:r>
      <w:r>
        <w:rPr>
          <w:rFonts w:hint="eastAsia" w:ascii="仿宋_GB2312" w:eastAsia="仿宋_GB2312" w:cs="仿宋_GB2312"/>
          <w:bCs/>
          <w:sz w:val="28"/>
          <w:szCs w:val="28"/>
          <w:lang w:val="en-US" w:eastAsia="zh-CN"/>
        </w:rPr>
        <w:t>25</w:t>
      </w:r>
      <w:r>
        <w:rPr>
          <w:rFonts w:hint="eastAsia" w:ascii="仿宋_GB2312" w:eastAsia="仿宋_GB2312" w:cs="仿宋_GB2312"/>
          <w:bCs/>
          <w:sz w:val="28"/>
          <w:szCs w:val="28"/>
        </w:rPr>
        <w:t>日</w:t>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TOC \o "1-3" \h \u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_Toc23324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第一部分 单位概况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_Toc14656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一、主要职责</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_Toc30733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_Toc10669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二、机构设置</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fldChar w:fldCharType="end"/>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_Toc26951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第二部分 202</w:t>
      </w:r>
      <w:r>
        <w:rPr>
          <w:rFonts w:hint="eastAsia" w:ascii="仿宋_GB2312" w:eastAsia="仿宋_GB2312" w:cs="仿宋_GB2312"/>
          <w:sz w:val="28"/>
          <w:szCs w:val="28"/>
          <w:lang w:val="en-US" w:eastAsia="zh-CN" w:bidi="ar-SA"/>
        </w:rPr>
        <w:t>3</w:t>
      </w:r>
      <w:r>
        <w:rPr>
          <w:rFonts w:hint="eastAsia" w:ascii="仿宋_GB2312" w:eastAsia="仿宋_GB2312" w:cs="仿宋_GB2312"/>
          <w:sz w:val="28"/>
          <w:szCs w:val="28"/>
          <w:lang w:bidi="ar-SA"/>
        </w:rPr>
        <w:t>年度单位决算情况说明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_Toc12554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 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_Toc11583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 收入决算情况说明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_Toc18578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 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_Toc26488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 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_Toc5657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五、 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_Toc3691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（一）一般公共预算财政拨款支出决算总体情况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_Toc26183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（二）一般公共预算财政拨款支出决算结构情况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_Toc29675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（三）一般公共预算财政拨款支出决算具体情况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_Toc17476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六、一般公共预算财政拨款基本支出决算情况说明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_Toc31902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_Toc22479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（一）“三公”经费财政拨款支出决算总体情况说明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_Toc30765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（二）“三公”经费财政拨款支出决算具体情况说明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9</w:t>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_Toc1331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_Toc18417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_Toc26033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val="en-US" w:eastAsia="zh-CN" w:bidi="ar-SA"/>
        </w:rPr>
        <w:t>十、其他重要事项的情况说明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_Toc12341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（一）机关运行经费支出情况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_Toc9297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（二）政府采购支出情况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_Toc20536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（三）国有资产占有使用情况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_Toc27201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（四）预算绩效管理情况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_Toc24473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2</w:t>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_Toc9504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w:t>
      </w:r>
      <w:r>
        <w:rPr>
          <w:rFonts w:hint="eastAsia" w:ascii="仿宋_GB2312" w:eastAsia="仿宋_GB2312" w:cs="仿宋_GB2312"/>
          <w:sz w:val="28"/>
          <w:szCs w:val="28"/>
          <w:lang w:eastAsia="zh-CN"/>
        </w:rPr>
        <w:t>四</w:t>
      </w:r>
      <w:r>
        <w:rPr>
          <w:rFonts w:hint="eastAsia" w:ascii="仿宋_GB2312" w:eastAsia="仿宋_GB2312" w:cs="仿宋_GB2312"/>
          <w:sz w:val="28"/>
          <w:szCs w:val="28"/>
        </w:rPr>
        <w:t>部分 附表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4</w:t>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bookmarkStart w:id="61" w:name="_GoBack"/>
      <w:bookmarkEnd w:id="61"/>
    </w:p>
    <w:p>
      <w:pPr>
        <w:pageBreakBefore w:val="0"/>
        <w:widowControl w:val="0"/>
        <w:kinsoku/>
        <w:wordWrap/>
        <w:overflowPunct/>
        <w:topLinePunct w:val="0"/>
        <w:bidi w:val="0"/>
        <w:spacing w:line="576" w:lineRule="exact"/>
        <w:textAlignment w:val="auto"/>
        <w:rPr>
          <w:rFonts w:hint="eastAsia" w:ascii="仿宋_GB2312" w:eastAsia="仿宋_GB2312" w:cs="仿宋_GB2312"/>
          <w:sz w:val="24"/>
          <w:szCs w:val="24"/>
        </w:rPr>
      </w:pPr>
      <w:r>
        <w:rPr>
          <w:rFonts w:hint="eastAsia" w:ascii="仿宋_GB2312" w:eastAsia="仿宋_GB2312" w:cs="仿宋_GB2312"/>
          <w:sz w:val="28"/>
          <w:szCs w:val="28"/>
        </w:rPr>
        <w:fldChar w:fldCharType="end"/>
      </w:r>
    </w:p>
    <w:p>
      <w:pPr>
        <w:pStyle w:val="5"/>
        <w:jc w:val="both"/>
        <w:rPr>
          <w:rFonts w:hint="eastAsia" w:ascii="黑体" w:eastAsia="黑体"/>
          <w:b w:val="0"/>
        </w:rPr>
      </w:pPr>
    </w:p>
    <w:p>
      <w:pPr>
        <w:rPr>
          <w:rFonts w:hint="eastAsia"/>
        </w:rPr>
      </w:pPr>
    </w:p>
    <w:p>
      <w:pPr>
        <w:pStyle w:val="5"/>
        <w:jc w:val="center"/>
        <w:rPr>
          <w:rStyle w:val="28"/>
          <w:rFonts w:hint="eastAsia" w:ascii="黑体" w:eastAsia="黑体"/>
          <w:b w:val="0"/>
          <w:bCs w:val="0"/>
        </w:rPr>
      </w:pPr>
      <w:r>
        <w:rPr>
          <w:rFonts w:hint="eastAsia" w:ascii="黑体" w:eastAsia="黑体"/>
          <w:b w:val="0"/>
        </w:rPr>
        <w:t xml:space="preserve">第一部分 </w:t>
      </w:r>
      <w:r>
        <w:rPr>
          <w:rStyle w:val="28"/>
          <w:rFonts w:hint="eastAsia" w:ascii="黑体" w:eastAsia="黑体"/>
          <w:b w:val="0"/>
          <w:bCs w:val="0"/>
        </w:rPr>
        <w:t>单位概况</w:t>
      </w:r>
      <w:bookmarkEnd w:id="0"/>
      <w:bookmarkEnd w:id="1"/>
    </w:p>
    <w:p>
      <w:pPr>
        <w:rPr>
          <w:rFonts w:hint="eastAsia" w:ascii="黑体" w:eastAsia="黑体" w:cs="黑体"/>
          <w:sz w:val="32"/>
          <w:szCs w:val="32"/>
          <w:lang w:eastAsia="zh-CN"/>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一、主要</w:t>
      </w:r>
      <w:r>
        <w:rPr>
          <w:rFonts w:hint="eastAsia" w:ascii="黑体" w:eastAsia="黑体" w:cs="黑体"/>
          <w:sz w:val="32"/>
          <w:szCs w:val="32"/>
          <w:lang w:eastAsia="zh-CN"/>
        </w:rPr>
        <w:t>职责</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茂县信访局</w:t>
      </w:r>
      <w:r>
        <w:rPr>
          <w:rFonts w:hint="eastAsia" w:ascii="仿宋_GB2312" w:eastAsia="仿宋_GB2312" w:cs="仿宋_GB2312"/>
          <w:sz w:val="32"/>
          <w:szCs w:val="32"/>
          <w:lang w:eastAsia="zh-CN"/>
        </w:rPr>
        <w:t>本级</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2" w:name="_Toc15377204"/>
      <w:bookmarkStart w:id="3" w:name="_Toc15396602"/>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both"/>
        <w:rPr>
          <w:rStyle w:val="28"/>
          <w:rFonts w:hint="eastAsia" w:ascii="黑体" w:eastAsia="黑体"/>
          <w:b w:val="0"/>
          <w:bCs w:val="0"/>
          <w:lang w:val="en-US" w:eastAsia="zh-CN"/>
        </w:rPr>
      </w:pPr>
    </w:p>
    <w:p>
      <w:pPr>
        <w:widowControl/>
        <w:jc w:val="both"/>
        <w:rPr>
          <w:rStyle w:val="28"/>
          <w:rFonts w:hint="eastAsia" w:ascii="黑体" w:eastAsia="黑体"/>
          <w:b w:val="0"/>
          <w:bCs w:val="0"/>
          <w:lang w:val="en-US" w:eastAsia="zh-CN"/>
        </w:rPr>
      </w:pPr>
    </w:p>
    <w:p>
      <w:pPr>
        <w:widowControl/>
        <w:jc w:val="center"/>
        <w:rPr>
          <w:rStyle w:val="28"/>
          <w:rFonts w:ascii="黑体" w:eastAsia="黑体"/>
          <w:b w:val="0"/>
          <w:bCs w:val="0"/>
        </w:rPr>
      </w:pPr>
      <w:r>
        <w:rPr>
          <w:rStyle w:val="28"/>
          <w:rFonts w:hint="eastAsia" w:ascii="黑体" w:eastAsia="黑体"/>
          <w:b w:val="0"/>
          <w:bCs w:val="0"/>
        </w:rPr>
        <w:t>第二部分 20</w:t>
      </w:r>
      <w:r>
        <w:rPr>
          <w:rStyle w:val="28"/>
          <w:rFonts w:hint="eastAsia" w:ascii="黑体" w:eastAsia="黑体"/>
          <w:b w:val="0"/>
          <w:bCs w:val="0"/>
          <w:lang w:val="en-US" w:eastAsia="zh-CN"/>
        </w:rPr>
        <w:t>23</w:t>
      </w:r>
      <w:r>
        <w:rPr>
          <w:rStyle w:val="28"/>
          <w:rFonts w:hint="eastAsia" w:ascii="黑体" w:eastAsia="黑体"/>
          <w:b w:val="0"/>
          <w:bCs w:val="0"/>
        </w:rPr>
        <w:t>年度</w:t>
      </w:r>
      <w:r>
        <w:rPr>
          <w:rStyle w:val="28"/>
          <w:rFonts w:hint="eastAsia" w:ascii="黑体" w:eastAsia="黑体"/>
          <w:b w:val="0"/>
          <w:bCs w:val="0"/>
          <w:lang w:eastAsia="zh-CN"/>
        </w:rPr>
        <w:t>单位</w:t>
      </w:r>
      <w:r>
        <w:rPr>
          <w:rStyle w:val="28"/>
          <w:rFonts w:hint="eastAsia" w:ascii="黑体" w:eastAsia="黑体"/>
          <w:b w:val="0"/>
          <w:bCs w:val="0"/>
        </w:rPr>
        <w:t>决算情况说明</w:t>
      </w:r>
      <w:bookmarkEnd w:id="2"/>
      <w:bookmarkEnd w:id="3"/>
    </w:p>
    <w:p>
      <w:pPr>
        <w:jc w:val="center"/>
      </w:pPr>
    </w:p>
    <w:p>
      <w:pPr>
        <w:pStyle w:val="34"/>
        <w:spacing w:line="600" w:lineRule="exact"/>
        <w:ind w:left="0" w:firstLine="640" w:firstLineChars="200"/>
        <w:outlineLvl w:val="1"/>
        <w:rPr>
          <w:rStyle w:val="29"/>
          <w:rFonts w:ascii="黑体" w:eastAsia="黑体"/>
          <w:b w:val="0"/>
        </w:rPr>
      </w:pPr>
      <w:bookmarkStart w:id="4" w:name="_Toc15396603"/>
      <w:bookmarkStart w:id="5"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29"/>
          <w:rFonts w:hint="eastAsia" w:ascii="黑体" w:eastAsia="黑体"/>
          <w:b w:val="0"/>
        </w:rPr>
        <w:t>入支出决算总体情况说明</w:t>
      </w:r>
      <w:bookmarkEnd w:id="4"/>
      <w:bookmarkEnd w:id="5"/>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年度收</w:t>
      </w:r>
      <w:r>
        <w:rPr>
          <w:rFonts w:hint="eastAsia" w:ascii="仿宋" w:eastAsia="仿宋"/>
          <w:color w:val="000000"/>
          <w:sz w:val="32"/>
          <w:szCs w:val="32"/>
          <w:lang w:eastAsia="zh-CN"/>
        </w:rPr>
        <w:t>、支</w:t>
      </w:r>
      <w:r>
        <w:rPr>
          <w:rFonts w:hint="eastAsia" w:ascii="仿宋" w:eastAsia="仿宋"/>
          <w:color w:val="000000"/>
          <w:sz w:val="32"/>
          <w:szCs w:val="32"/>
        </w:rPr>
        <w:t>总</w:t>
      </w:r>
      <w:r>
        <w:rPr>
          <w:rFonts w:hint="eastAsia" w:ascii="仿宋" w:eastAsia="仿宋"/>
          <w:color w:val="000000"/>
          <w:sz w:val="32"/>
          <w:szCs w:val="32"/>
          <w:lang w:eastAsia="zh-CN"/>
        </w:rPr>
        <w:t>计均为</w:t>
      </w:r>
      <w:r>
        <w:rPr>
          <w:rFonts w:hint="eastAsia" w:ascii="仿宋" w:eastAsia="仿宋"/>
          <w:color w:val="000000"/>
          <w:sz w:val="32"/>
          <w:szCs w:val="32"/>
          <w:lang w:val="en-US" w:eastAsia="zh-CN"/>
        </w:rPr>
        <w:t>163.28</w:t>
      </w:r>
      <w:r>
        <w:rPr>
          <w:rFonts w:hint="eastAsia" w:ascii="仿宋" w:eastAsia="仿宋"/>
          <w:color w:val="000000"/>
          <w:sz w:val="32"/>
          <w:szCs w:val="32"/>
        </w:rPr>
        <w:t>万元。与20</w:t>
      </w:r>
      <w:r>
        <w:rPr>
          <w:rFonts w:hint="eastAsia" w:ascii="仿宋" w:eastAsia="仿宋"/>
          <w:color w:val="000000"/>
          <w:sz w:val="32"/>
          <w:szCs w:val="32"/>
          <w:lang w:val="en-US" w:eastAsia="zh-CN"/>
        </w:rPr>
        <w:t>22</w:t>
      </w:r>
      <w:r>
        <w:rPr>
          <w:rFonts w:hint="eastAsia" w:ascii="仿宋" w:eastAsia="仿宋"/>
          <w:color w:val="000000"/>
          <w:sz w:val="32"/>
          <w:szCs w:val="32"/>
        </w:rPr>
        <w:t>年相比，收</w:t>
      </w:r>
      <w:r>
        <w:rPr>
          <w:rFonts w:hint="eastAsia" w:ascii="仿宋" w:eastAsia="仿宋"/>
          <w:color w:val="000000"/>
          <w:sz w:val="32"/>
          <w:szCs w:val="32"/>
          <w:lang w:eastAsia="zh-CN"/>
        </w:rPr>
        <w:t>支总计各增加</w:t>
      </w:r>
      <w:r>
        <w:rPr>
          <w:rFonts w:hint="eastAsia" w:ascii="仿宋" w:eastAsia="仿宋"/>
          <w:color w:val="000000"/>
          <w:sz w:val="32"/>
          <w:szCs w:val="32"/>
          <w:lang w:val="en-US" w:eastAsia="zh-CN"/>
        </w:rPr>
        <w:t>7.89</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5.08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人员结构调整和工资正常增长。</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9"/>
          <w:rFonts w:ascii="黑体" w:eastAsia="黑体"/>
          <w:b w:val="0"/>
        </w:rPr>
      </w:pPr>
      <w:bookmarkStart w:id="6" w:name="_Toc15377206"/>
      <w:bookmarkStart w:id="7" w:name="_Toc15396604"/>
    </w:p>
    <w:p>
      <w:pPr>
        <w:pStyle w:val="34"/>
        <w:spacing w:line="600" w:lineRule="exact"/>
        <w:ind w:left="0" w:firstLine="640" w:firstLineChars="200"/>
        <w:outlineLvl w:val="1"/>
        <w:rPr>
          <w:rStyle w:val="29"/>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9"/>
          <w:rFonts w:hint="eastAsia" w:ascii="黑体" w:eastAsia="黑体"/>
          <w:b w:val="0"/>
        </w:rPr>
        <w:t>入决算情况说明</w:t>
      </w:r>
      <w:bookmarkEnd w:id="6"/>
      <w:bookmarkEnd w:id="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年本年收入合计</w:t>
      </w:r>
      <w:r>
        <w:rPr>
          <w:rFonts w:hint="eastAsia" w:ascii="仿宋" w:eastAsia="仿宋"/>
          <w:color w:val="000000"/>
          <w:sz w:val="32"/>
          <w:szCs w:val="32"/>
          <w:lang w:val="en-US" w:eastAsia="zh-CN"/>
        </w:rPr>
        <w:t>163.28</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163.28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Style w:val="34"/>
        <w:spacing w:line="600" w:lineRule="exact"/>
        <w:outlineLvl w:val="1"/>
        <w:rPr>
          <w:rFonts w:hint="eastAsia" w:ascii="黑体" w:eastAsia="黑体"/>
          <w:color w:val="000000"/>
          <w:sz w:val="32"/>
          <w:szCs w:val="32"/>
          <w:lang w:val="en-US" w:eastAsia="zh-CN"/>
        </w:rPr>
      </w:pPr>
      <w:bookmarkStart w:id="8" w:name="_Toc15377207"/>
      <w:bookmarkStart w:id="9" w:name="_Toc15396605"/>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pPr>
        <w:pStyle w:val="34"/>
        <w:spacing w:line="600" w:lineRule="exact"/>
        <w:ind w:left="638" w:leftChars="304" w:firstLine="0" w:firstLineChars="0"/>
        <w:outlineLvl w:val="1"/>
        <w:rPr>
          <w:rStyle w:val="29"/>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9"/>
          <w:rFonts w:hint="eastAsia" w:ascii="黑体" w:eastAsia="黑体"/>
          <w:b w:val="0"/>
        </w:rPr>
        <w:t>出决算情况说明</w:t>
      </w:r>
      <w:bookmarkEnd w:id="8"/>
      <w:bookmarkEnd w:id="9"/>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年支出合计</w:t>
      </w:r>
      <w:r>
        <w:rPr>
          <w:rFonts w:hint="eastAsia" w:ascii="仿宋" w:eastAsia="仿宋"/>
          <w:color w:val="000000"/>
          <w:sz w:val="32"/>
          <w:szCs w:val="32"/>
          <w:lang w:val="en-US" w:eastAsia="zh-CN"/>
        </w:rPr>
        <w:t>163.28</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159.28</w:t>
      </w:r>
      <w:r>
        <w:rPr>
          <w:rFonts w:hint="eastAsia" w:ascii="仿宋" w:eastAsia="仿宋"/>
          <w:color w:val="000000"/>
          <w:sz w:val="32"/>
          <w:szCs w:val="32"/>
        </w:rPr>
        <w:t>万元，占</w:t>
      </w:r>
      <w:r>
        <w:rPr>
          <w:rFonts w:hint="eastAsia" w:ascii="仿宋" w:eastAsia="仿宋"/>
          <w:color w:val="000000"/>
          <w:sz w:val="32"/>
          <w:szCs w:val="32"/>
          <w:lang w:val="en-US" w:eastAsia="zh-CN"/>
        </w:rPr>
        <w:t>97.55</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4.00</w:t>
      </w:r>
      <w:r>
        <w:rPr>
          <w:rFonts w:hint="eastAsia" w:ascii="仿宋" w:eastAsia="仿宋"/>
          <w:color w:val="000000"/>
          <w:sz w:val="32"/>
          <w:szCs w:val="32"/>
        </w:rPr>
        <w:t>万元，占</w:t>
      </w:r>
      <w:r>
        <w:rPr>
          <w:rFonts w:hint="eastAsia" w:ascii="仿宋" w:eastAsia="仿宋"/>
          <w:color w:val="000000"/>
          <w:sz w:val="32"/>
          <w:szCs w:val="32"/>
          <w:lang w:val="en-US" w:eastAsia="zh-CN"/>
        </w:rPr>
        <w:t>2.45</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464185</wp:posOffset>
            </wp:positionH>
            <wp:positionV relativeFrom="paragraph">
              <wp:posOffset>144145</wp:posOffset>
            </wp:positionV>
            <wp:extent cx="4576445" cy="1674495"/>
            <wp:effectExtent l="0" t="0" r="39" b="2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240" w:lineRule="auto"/>
        <w:ind w:firstLine="0"/>
        <w:jc w:val="center"/>
        <w:outlineLvl w:val="1"/>
        <w:rPr>
          <w:rFonts w:hint="eastAsia" w:ascii="仿宋" w:eastAsia="仿宋"/>
          <w:color w:val="000000"/>
          <w:sz w:val="32"/>
          <w:szCs w:val="32"/>
        </w:rPr>
      </w:pPr>
    </w:p>
    <w:p>
      <w:pPr>
        <w:spacing w:line="600" w:lineRule="exact"/>
        <w:outlineLvl w:val="1"/>
        <w:rPr>
          <w:rFonts w:ascii="黑体" w:eastAsia="黑体"/>
          <w:color w:val="000000"/>
          <w:sz w:val="32"/>
          <w:szCs w:val="32"/>
        </w:rPr>
      </w:pPr>
      <w:bookmarkStart w:id="10" w:name="_Toc15396606"/>
      <w:bookmarkStart w:id="11" w:name="_Toc15377208"/>
    </w:p>
    <w:p>
      <w:pPr>
        <w:spacing w:line="600" w:lineRule="exact"/>
        <w:ind w:firstLine="640" w:firstLineChars="200"/>
        <w:outlineLvl w:val="1"/>
        <w:rPr>
          <w:rStyle w:val="29"/>
          <w:rFonts w:ascii="黑体" w:eastAsia="黑体"/>
          <w:b w:val="0"/>
        </w:rPr>
      </w:pPr>
      <w:r>
        <w:rPr>
          <w:rFonts w:hint="eastAsia" w:ascii="黑体" w:eastAsia="黑体"/>
          <w:color w:val="000000"/>
          <w:sz w:val="32"/>
          <w:szCs w:val="32"/>
        </w:rPr>
        <w:t>四、财</w:t>
      </w:r>
      <w:r>
        <w:rPr>
          <w:rStyle w:val="29"/>
          <w:rFonts w:hint="eastAsia" w:ascii="黑体" w:eastAsia="黑体"/>
          <w:b w:val="0"/>
        </w:rPr>
        <w:t>政拨款收入支出决算总体情况说明</w:t>
      </w:r>
      <w:bookmarkEnd w:id="10"/>
      <w:bookmarkEnd w:id="11"/>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eastAsia="zh-CN"/>
        </w:rPr>
        <w:t>均为</w:t>
      </w:r>
      <w:r>
        <w:rPr>
          <w:rFonts w:hint="eastAsia" w:ascii="仿宋" w:eastAsia="仿宋"/>
          <w:color w:val="000000"/>
          <w:sz w:val="32"/>
          <w:szCs w:val="32"/>
          <w:lang w:val="en-US" w:eastAsia="zh-CN"/>
        </w:rPr>
        <w:t>163.28</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年相比，</w:t>
      </w:r>
      <w:r>
        <w:rPr>
          <w:rFonts w:hint="eastAsia" w:ascii="仿宋" w:hAnsi="仿宋" w:eastAsia="仿宋"/>
          <w:color w:val="auto"/>
          <w:sz w:val="32"/>
          <w:szCs w:val="32"/>
          <w:highlight w:val="none"/>
        </w:rPr>
        <w:t>财政拨款收、支总计各增加</w:t>
      </w:r>
      <w:r>
        <w:rPr>
          <w:rFonts w:hint="eastAsia" w:ascii="仿宋" w:hAnsi="仿宋" w:eastAsia="仿宋"/>
          <w:color w:val="auto"/>
          <w:sz w:val="32"/>
          <w:szCs w:val="32"/>
          <w:highlight w:val="none"/>
          <w:lang w:val="en-US" w:eastAsia="zh-CN"/>
        </w:rPr>
        <w:t>7.89</w:t>
      </w:r>
      <w:r>
        <w:rPr>
          <w:rFonts w:hint="eastAsia" w:ascii="仿宋" w:eastAsia="仿宋"/>
          <w:color w:val="000000"/>
          <w:sz w:val="32"/>
          <w:szCs w:val="32"/>
          <w:lang w:val="en-US" w:eastAsia="zh-CN"/>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5.08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人员结构调整和工资正常增长。</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41.35pt;margin-top:10.95pt;height:176.75pt;width:369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Style w:val="29"/>
          <w:rFonts w:ascii="黑体" w:eastAsia="黑体"/>
          <w:b w:val="0"/>
        </w:rPr>
      </w:pPr>
      <w:bookmarkStart w:id="12" w:name="_Toc15396607"/>
      <w:bookmarkStart w:id="13" w:name="_Toc15377209"/>
      <w:r>
        <w:rPr>
          <w:rFonts w:hint="eastAsia" w:ascii="黑体" w:eastAsia="黑体"/>
          <w:color w:val="000000"/>
          <w:sz w:val="32"/>
          <w:szCs w:val="32"/>
        </w:rPr>
        <w:t>五、</w:t>
      </w:r>
      <w:r>
        <w:rPr>
          <w:rFonts w:hint="eastAsia" w:ascii="黑体" w:eastAsia="黑体"/>
          <w:b/>
          <w:color w:val="000000"/>
          <w:sz w:val="32"/>
          <w:szCs w:val="32"/>
        </w:rPr>
        <w:t>一</w:t>
      </w:r>
      <w:r>
        <w:rPr>
          <w:rStyle w:val="29"/>
          <w:rFonts w:hint="eastAsia" w:ascii="黑体" w:eastAsia="黑体"/>
          <w:b w:val="0"/>
        </w:rPr>
        <w:t>般公共预算财政拨款支出决算情况说明</w:t>
      </w:r>
      <w:bookmarkEnd w:id="12"/>
      <w:bookmarkEnd w:id="13"/>
    </w:p>
    <w:p>
      <w:pPr>
        <w:spacing w:line="600" w:lineRule="exact"/>
        <w:ind w:firstLine="642" w:firstLineChars="200"/>
        <w:outlineLvl w:val="2"/>
        <w:rPr>
          <w:rFonts w:ascii="仿宋" w:eastAsia="仿宋"/>
          <w:b/>
          <w:color w:val="000000"/>
          <w:sz w:val="32"/>
          <w:szCs w:val="32"/>
        </w:rPr>
      </w:pPr>
      <w:bookmarkStart w:id="14" w:name="_Toc15377210"/>
      <w:r>
        <w:rPr>
          <w:rFonts w:hint="eastAsia" w:ascii="仿宋" w:eastAsia="仿宋"/>
          <w:b/>
          <w:color w:val="000000"/>
          <w:sz w:val="32"/>
          <w:szCs w:val="32"/>
        </w:rPr>
        <w:t>（一）一般公共预算财政拨款支出决算总体情况</w:t>
      </w:r>
      <w:bookmarkEnd w:id="14"/>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163.28</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支出增加</w:t>
      </w:r>
      <w:r>
        <w:rPr>
          <w:rFonts w:hint="eastAsia" w:ascii="仿宋" w:eastAsia="仿宋"/>
          <w:color w:val="000000"/>
          <w:sz w:val="32"/>
          <w:szCs w:val="32"/>
          <w:lang w:val="en-US" w:eastAsia="zh-CN"/>
        </w:rPr>
        <w:t>7.89</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5.08</w:t>
      </w:r>
      <w:r>
        <w:rPr>
          <w:rFonts w:ascii="仿宋" w:eastAsia="仿宋"/>
          <w:color w:val="000000"/>
          <w:sz w:val="32"/>
          <w:szCs w:val="32"/>
        </w:rPr>
        <w:t>%</w:t>
      </w:r>
      <w:r>
        <w:rPr>
          <w:rFonts w:hint="eastAsia" w:ascii="仿宋" w:eastAsia="仿宋"/>
          <w:color w:val="000000"/>
          <w:sz w:val="32"/>
          <w:szCs w:val="32"/>
        </w:rPr>
        <w:t>。主要变动原因是</w:t>
      </w:r>
      <w:bookmarkStart w:id="15" w:name="_Toc15377211"/>
      <w:r>
        <w:rPr>
          <w:rFonts w:hint="eastAsia" w:ascii="仿宋" w:eastAsia="仿宋"/>
          <w:color w:val="000000"/>
          <w:sz w:val="32"/>
          <w:szCs w:val="32"/>
          <w:lang w:eastAsia="zh-CN"/>
        </w:rPr>
        <w:t>人员结构调整和工资正常增长。</w:t>
      </w:r>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v:imagedata r:id="rId15" o:title=""/>
            <o:lock v:ext="edit" aspectratio="t"/>
            <w10:wrap type="tight"/>
          </v:shape>
          <o:OLEObject Type="Embed" ProgID="Package" ShapeID="_x0000_s1028" DrawAspect="Content" ObjectID="_1468075727" r:id="rId14">
            <o:LockedField>false</o:LockedField>
          </o:OLEObject>
        </w:pict>
      </w:r>
    </w:p>
    <w:p>
      <w:pPr>
        <w:spacing w:line="600" w:lineRule="exact"/>
        <w:ind w:firstLine="642" w:firstLineChars="200"/>
        <w:outlineLvl w:val="2"/>
        <w:rPr>
          <w:rFonts w:hint="eastAsia" w:ascii="仿宋" w:eastAsia="仿宋"/>
          <w:b/>
          <w:color w:val="000000"/>
          <w:sz w:val="32"/>
          <w:szCs w:val="32"/>
        </w:rPr>
      </w:pPr>
    </w:p>
    <w:p>
      <w:pPr>
        <w:spacing w:line="600" w:lineRule="exact"/>
        <w:ind w:firstLine="642" w:firstLineChars="200"/>
        <w:outlineLvl w:val="2"/>
        <w:rPr>
          <w:rFonts w:hint="eastAsia"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15"/>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163.28</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b/>
          <w:color w:val="000000"/>
          <w:sz w:val="32"/>
          <w:szCs w:val="32"/>
          <w:lang w:eastAsia="zh-CN"/>
        </w:rPr>
        <w:t>支出</w:t>
      </w:r>
      <w:r>
        <w:rPr>
          <w:rFonts w:hint="eastAsia" w:ascii="仿宋" w:eastAsia="仿宋"/>
          <w:color w:val="000000"/>
          <w:sz w:val="32"/>
          <w:szCs w:val="32"/>
          <w:lang w:val="en-US" w:eastAsia="zh-CN"/>
        </w:rPr>
        <w:t>123.69</w:t>
      </w:r>
      <w:r>
        <w:rPr>
          <w:rFonts w:hint="eastAsia" w:ascii="仿宋" w:eastAsia="仿宋"/>
          <w:color w:val="000000"/>
          <w:sz w:val="32"/>
          <w:szCs w:val="32"/>
        </w:rPr>
        <w:t>万元，占</w:t>
      </w:r>
      <w:r>
        <w:rPr>
          <w:rFonts w:hint="eastAsia" w:ascii="仿宋" w:eastAsia="仿宋"/>
          <w:color w:val="000000"/>
          <w:sz w:val="32"/>
          <w:szCs w:val="32"/>
          <w:lang w:val="en-US" w:eastAsia="zh-CN"/>
        </w:rPr>
        <w:t>75.75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color w:val="000000"/>
          <w:sz w:val="32"/>
          <w:szCs w:val="32"/>
          <w:lang w:eastAsia="zh-CN"/>
        </w:rPr>
        <w:t>支出</w:t>
      </w:r>
      <w:r>
        <w:rPr>
          <w:rFonts w:hint="eastAsia" w:ascii="仿宋" w:eastAsia="仿宋"/>
          <w:color w:val="000000"/>
          <w:sz w:val="32"/>
          <w:szCs w:val="32"/>
          <w:lang w:val="en-US" w:eastAsia="zh-CN"/>
        </w:rPr>
        <w:t>20.37</w:t>
      </w:r>
      <w:r>
        <w:rPr>
          <w:rFonts w:hint="eastAsia" w:ascii="仿宋" w:eastAsia="仿宋"/>
          <w:color w:val="000000"/>
          <w:sz w:val="32"/>
          <w:szCs w:val="32"/>
        </w:rPr>
        <w:t>万元，占</w:t>
      </w:r>
      <w:r>
        <w:rPr>
          <w:rFonts w:hint="eastAsia" w:ascii="仿宋" w:eastAsia="仿宋"/>
          <w:color w:val="000000"/>
          <w:sz w:val="32"/>
          <w:szCs w:val="32"/>
          <w:lang w:val="en-US" w:eastAsia="zh-CN"/>
        </w:rPr>
        <w:t>12.48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8.80</w:t>
      </w:r>
      <w:r>
        <w:rPr>
          <w:rFonts w:hint="eastAsia" w:ascii="仿宋" w:eastAsia="仿宋"/>
          <w:color w:val="000000"/>
          <w:sz w:val="32"/>
          <w:szCs w:val="32"/>
        </w:rPr>
        <w:t>万元，占</w:t>
      </w:r>
      <w:r>
        <w:rPr>
          <w:rFonts w:hint="eastAsia" w:ascii="仿宋" w:eastAsia="仿宋"/>
          <w:color w:val="000000"/>
          <w:sz w:val="32"/>
          <w:szCs w:val="32"/>
          <w:lang w:val="en-US" w:eastAsia="zh-CN"/>
        </w:rPr>
        <w:t>5.39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支出</w:t>
      </w:r>
      <w:r>
        <w:rPr>
          <w:rFonts w:hint="eastAsia" w:ascii="仿宋" w:eastAsia="仿宋"/>
          <w:color w:val="000000"/>
          <w:sz w:val="32"/>
          <w:szCs w:val="32"/>
          <w:lang w:val="en-US" w:eastAsia="zh-CN"/>
        </w:rPr>
        <w:t>10.41</w:t>
      </w:r>
      <w:r>
        <w:rPr>
          <w:rFonts w:hint="eastAsia" w:ascii="仿宋" w:eastAsia="仿宋"/>
          <w:color w:val="000000"/>
          <w:sz w:val="32"/>
          <w:szCs w:val="32"/>
        </w:rPr>
        <w:t>万元，占</w:t>
      </w:r>
      <w:r>
        <w:rPr>
          <w:rFonts w:hint="eastAsia" w:ascii="仿宋" w:eastAsia="仿宋"/>
          <w:color w:val="000000"/>
          <w:sz w:val="32"/>
          <w:szCs w:val="32"/>
          <w:lang w:val="en-US" w:eastAsia="zh-CN"/>
        </w:rPr>
        <w:t>6.38</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16" w:name="_Toc15377212"/>
      <w:r>
        <w:rPr>
          <w:rFonts w:hint="eastAsia" w:ascii="仿宋_GB2312" w:eastAsia="仿宋_GB2312"/>
          <w:color w:val="000000"/>
          <w:sz w:val="32"/>
          <w:szCs w:val="32"/>
        </w:rPr>
        <w:pict>
          <v:shape id="_x0000_s1029" o:spid="_x0000_s1029" o:spt="75" alt="image5" type="#_x0000_t75" style="position:absolute;left:0pt;margin-left:44.75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v:imagedata r:id="rId17" o:title=""/>
            <o:lock v:ext="edit" aspectratio="t"/>
            <w10:wrap type="square"/>
          </v:shape>
          <o:OLEObject Type="Embed" ProgID="Package" ShapeID="_x0000_s1029" DrawAspect="Content" ObjectID="_1468075728" r:id="rId16">
            <o:LockedField>false</o:LockedField>
          </o:OLEObject>
        </w:pict>
      </w:r>
    </w:p>
    <w:p>
      <w:pPr>
        <w:spacing w:line="600" w:lineRule="exact"/>
        <w:ind w:firstLine="642" w:firstLineChars="200"/>
        <w:outlineLvl w:val="2"/>
        <w:rPr>
          <w:rFonts w:hint="eastAsia"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16"/>
    </w:p>
    <w:p>
      <w:pPr>
        <w:spacing w:line="600" w:lineRule="exact"/>
        <w:ind w:firstLine="640" w:firstLineChars="200"/>
        <w:rPr>
          <w:rStyle w:val="18"/>
          <w:rFonts w:hint="eastAsia" w:ascii="仿宋" w:eastAsia="仿宋"/>
          <w:b w:val="0"/>
          <w:bCs/>
          <w:color w:val="000000"/>
          <w:sz w:val="32"/>
          <w:szCs w:val="32"/>
        </w:rPr>
      </w:pPr>
      <w:bookmarkStart w:id="17" w:name="_Toc15377444"/>
      <w:bookmarkStart w:id="18" w:name="_Toc15378460"/>
      <w:bookmarkStart w:id="19" w:name="_Toc15377213"/>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23</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163.28万元</w:t>
      </w:r>
      <w:r>
        <w:rPr>
          <w:rFonts w:hint="eastAsia" w:ascii="仿宋_GB2312" w:eastAsia="仿宋_GB2312" w:cs="仿宋_GB2312"/>
          <w:sz w:val="32"/>
          <w:szCs w:val="32"/>
          <w:lang w:val="en-US" w:eastAsia="zh-CN"/>
        </w:rPr>
        <w:t>。</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。其中：</w:t>
      </w:r>
      <w:bookmarkEnd w:id="17"/>
      <w:bookmarkEnd w:id="18"/>
      <w:bookmarkEnd w:id="19"/>
    </w:p>
    <w:p>
      <w:pPr>
        <w:spacing w:line="600" w:lineRule="exact"/>
        <w:ind w:left="0"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1.</w:t>
      </w:r>
      <w:r>
        <w:rPr>
          <w:rStyle w:val="18"/>
          <w:rFonts w:hint="eastAsia" w:ascii="仿宋" w:eastAsia="仿宋"/>
          <w:bCs/>
          <w:color w:val="000000"/>
          <w:sz w:val="32"/>
          <w:szCs w:val="32"/>
        </w:rPr>
        <w:t>一般公共服务（</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政府办公厅（室）及相关机构事务</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行政运行</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119.69</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left="0"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2.</w:t>
      </w:r>
      <w:r>
        <w:rPr>
          <w:rStyle w:val="18"/>
          <w:rFonts w:hint="eastAsia" w:ascii="仿宋" w:eastAsia="仿宋"/>
          <w:bCs/>
          <w:color w:val="000000"/>
          <w:sz w:val="32"/>
          <w:szCs w:val="32"/>
        </w:rPr>
        <w:t>一般公共服务（</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政府办公厅（室）及相关机构事务</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一般行政管理事务</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4.00</w:t>
      </w:r>
      <w:r>
        <w:rPr>
          <w:rStyle w:val="18"/>
          <w:rFonts w:hint="eastAsia" w:ascii="仿宋" w:eastAsia="仿宋"/>
          <w:b w:val="0"/>
          <w:bCs/>
          <w:color w:val="000000"/>
          <w:sz w:val="32"/>
          <w:szCs w:val="32"/>
        </w:rPr>
        <w:t>万元</w:t>
      </w:r>
      <w:r>
        <w:rPr>
          <w:rStyle w:val="18"/>
          <w:rFonts w:hint="eastAsia" w:ascii="仿宋" w:eastAsia="仿宋"/>
          <w:b w:val="0"/>
          <w:bCs/>
          <w:color w:val="000000"/>
          <w:sz w:val="32"/>
          <w:szCs w:val="32"/>
          <w:lang w:eastAsia="zh-CN"/>
        </w:rPr>
        <w:t>，</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3</w:t>
      </w:r>
      <w:r>
        <w:rPr>
          <w:rStyle w:val="18"/>
          <w:rFonts w:ascii="仿宋" w:eastAsia="仿宋"/>
          <w:bCs/>
          <w:color w:val="000000"/>
          <w:sz w:val="32"/>
          <w:szCs w:val="32"/>
        </w:rPr>
        <w:t>.</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行政事业单位养老支出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机关事业单位基本养老保险缴费支出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13.58</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4</w:t>
      </w:r>
      <w:r>
        <w:rPr>
          <w:rStyle w:val="18"/>
          <w:rFonts w:ascii="仿宋" w:eastAsia="仿宋"/>
          <w:bCs/>
          <w:color w:val="000000"/>
          <w:sz w:val="32"/>
          <w:szCs w:val="32"/>
        </w:rPr>
        <w:t>.</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行政事业单位养老支出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机关事业单位职业年金缴费支出（</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lang w:eastAsia="zh-CN"/>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6.79</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rPr>
          <w:rStyle w:val="18"/>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5.</w:t>
      </w:r>
      <w:r>
        <w:rPr>
          <w:rFonts w:hint="eastAsia" w:ascii="仿宋" w:eastAsia="仿宋"/>
          <w:b/>
          <w:bCs/>
          <w:color w:val="000000"/>
          <w:sz w:val="32"/>
          <w:szCs w:val="32"/>
        </w:rPr>
        <w:t>卫生健康</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行政事业单位医疗</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行政单位医疗</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8.80</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 xml:space="preserve">    6.</w:t>
      </w:r>
      <w:r>
        <w:rPr>
          <w:rStyle w:val="18"/>
          <w:rFonts w:hint="eastAsia" w:ascii="仿宋" w:eastAsia="仿宋"/>
          <w:bCs/>
          <w:color w:val="000000"/>
          <w:sz w:val="32"/>
          <w:szCs w:val="32"/>
          <w:lang w:eastAsia="zh-CN"/>
        </w:rPr>
        <w:t>住房保障支出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住房改革支出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住房公积金</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10.41</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tabs>
          <w:tab w:val="right" w:pos="8306"/>
        </w:tabs>
        <w:spacing w:line="600" w:lineRule="exact"/>
        <w:ind w:firstLine="640" w:firstLineChars="200"/>
        <w:outlineLvl w:val="1"/>
        <w:rPr>
          <w:rStyle w:val="29"/>
        </w:rPr>
      </w:pPr>
      <w:bookmarkStart w:id="20" w:name="_Toc15377214"/>
      <w:bookmarkStart w:id="21" w:name="_Toc15396608"/>
      <w:r>
        <w:rPr>
          <w:rFonts w:hint="eastAsia" w:ascii="黑体" w:eastAsia="黑体"/>
          <w:color w:val="000000"/>
          <w:sz w:val="32"/>
          <w:szCs w:val="32"/>
        </w:rPr>
        <w:t>六</w:t>
      </w:r>
      <w:r>
        <w:rPr>
          <w:rFonts w:hint="eastAsia" w:ascii="黑体" w:eastAsia="黑体"/>
          <w:b/>
          <w:color w:val="000000"/>
          <w:sz w:val="32"/>
          <w:szCs w:val="32"/>
        </w:rPr>
        <w:t>、一</w:t>
      </w:r>
      <w:r>
        <w:rPr>
          <w:rStyle w:val="29"/>
          <w:rFonts w:hint="eastAsia" w:ascii="黑体" w:eastAsia="黑体"/>
          <w:b w:val="0"/>
        </w:rPr>
        <w:t>般公共预算财政拨款基本支出决算情况说明</w:t>
      </w:r>
      <w:bookmarkEnd w:id="20"/>
      <w:bookmarkEnd w:id="21"/>
      <w:r>
        <w:rPr>
          <w:rStyle w:val="2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159.28</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144.56</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医疗费、对个人和家庭的补助、生活补助支出</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14.72</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主要包括：办公费、电费、邮电费、差旅费、公务接待费、公务用车运行维护费。</w:t>
      </w:r>
    </w:p>
    <w:p>
      <w:pPr>
        <w:spacing w:line="600" w:lineRule="exact"/>
        <w:ind w:firstLine="640"/>
        <w:outlineLvl w:val="1"/>
        <w:rPr>
          <w:rStyle w:val="29"/>
          <w:rFonts w:ascii="黑体" w:eastAsia="黑体"/>
          <w:b w:val="0"/>
        </w:rPr>
      </w:pPr>
      <w:bookmarkStart w:id="22" w:name="_Toc15377215"/>
      <w:bookmarkStart w:id="23" w:name="_Toc15396609"/>
      <w:r>
        <w:rPr>
          <w:rFonts w:hint="eastAsia" w:ascii="黑体" w:eastAsia="黑体"/>
          <w:color w:val="000000"/>
          <w:sz w:val="32"/>
          <w:szCs w:val="32"/>
        </w:rPr>
        <w:t>七、</w:t>
      </w:r>
      <w:r>
        <w:rPr>
          <w:rStyle w:val="29"/>
          <w:rFonts w:hint="eastAsia" w:ascii="黑体" w:eastAsia="黑体"/>
        </w:rPr>
        <w:t>“</w:t>
      </w:r>
      <w:r>
        <w:rPr>
          <w:rStyle w:val="29"/>
          <w:rFonts w:hint="eastAsia" w:ascii="黑体" w:eastAsia="黑体"/>
          <w:b w:val="0"/>
        </w:rPr>
        <w:t>三公”经费财政拨款支出决算情况说明</w:t>
      </w:r>
      <w:bookmarkEnd w:id="22"/>
      <w:bookmarkEnd w:id="23"/>
    </w:p>
    <w:p>
      <w:pPr>
        <w:spacing w:line="600" w:lineRule="exact"/>
        <w:ind w:firstLine="640"/>
        <w:outlineLvl w:val="2"/>
        <w:rPr>
          <w:rFonts w:ascii="仿宋" w:eastAsia="仿宋"/>
          <w:b/>
          <w:color w:val="000000"/>
          <w:sz w:val="32"/>
          <w:szCs w:val="32"/>
        </w:rPr>
      </w:pPr>
      <w:bookmarkStart w:id="24" w:name="_Toc15377216"/>
      <w:r>
        <w:rPr>
          <w:rFonts w:hint="eastAsia" w:ascii="仿宋" w:eastAsia="仿宋"/>
          <w:b/>
          <w:color w:val="000000"/>
          <w:sz w:val="32"/>
          <w:szCs w:val="32"/>
        </w:rPr>
        <w:t>（一）“三公”经费财政拨款支出决算总体情况说明</w:t>
      </w:r>
      <w:bookmarkEnd w:id="24"/>
    </w:p>
    <w:p>
      <w:pPr>
        <w:pageBreakBefore w:val="0"/>
        <w:kinsoku/>
        <w:wordWrap/>
        <w:overflowPunct/>
        <w:topLinePunct w:val="0"/>
        <w:bidi w:val="0"/>
        <w:spacing w:line="560" w:lineRule="exact"/>
        <w:ind w:firstLine="640"/>
        <w:textAlignment w:val="auto"/>
        <w:rPr>
          <w:rFonts w:ascii="仿宋" w:hAnsi="仿宋" w:eastAsia="仿宋"/>
          <w:color w:val="auto"/>
          <w:sz w:val="32"/>
          <w:szCs w:val="32"/>
          <w:highlight w:val="none"/>
        </w:rPr>
      </w:pPr>
      <w:bookmarkStart w:id="25" w:name="_Toc15377217"/>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2.77</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0.95万元，增长52.2%。</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25"/>
    </w:p>
    <w:p>
      <w:pPr>
        <w:pageBreakBefore w:val="0"/>
        <w:kinsoku/>
        <w:wordWrap/>
        <w:overflowPunct/>
        <w:topLinePunct w:val="0"/>
        <w:bidi w:val="0"/>
        <w:spacing w:line="560" w:lineRule="exact"/>
        <w:ind w:firstLine="640"/>
        <w:textAlignment w:val="auto"/>
        <w:rPr>
          <w:rFonts w:hint="eastAsia" w:ascii="仿宋" w:hAnsi="仿宋" w:eastAsia="仿宋"/>
          <w:color w:val="auto"/>
          <w:sz w:val="32"/>
          <w:szCs w:val="32"/>
          <w:highlight w:val="none"/>
        </w:rPr>
      </w:pPr>
      <w:r>
        <w:rPr>
          <w:rFonts w:hint="eastAsia" w:ascii="仿宋_GB2312" w:eastAsia="仿宋_GB2312"/>
          <w:color w:val="000000"/>
          <w:sz w:val="32"/>
          <w:szCs w:val="32"/>
        </w:rPr>
        <w:pict>
          <v:shape id="Object 20" o:spid="_x0000_s1031" o:spt="75" alt="image6" type="#_x0000_t75" style="position:absolute;left:0pt;margin-top:131.45pt;height:150.2pt;width:408.3pt;mso-position-horizontal:center;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Object 20" DrawAspect="Content" ObjectID="_1468075729" r:id="rId18">
            <o:LockedField>false</o:LockedField>
          </o:OLEObject>
        </w:pict>
      </w: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2.62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94.58</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0.15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5.42</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left="638" w:leftChars="304" w:firstLine="330" w:firstLineChars="103"/>
        <w:rPr>
          <w:rFonts w:hint="eastAsia" w:ascii="仿宋_GB2312" w:eastAsia="仿宋_GB2312" w:cs="仿宋_GB2312"/>
          <w:b/>
          <w:bCs w:val="0"/>
          <w:color w:val="000000"/>
          <w:kern w:val="2"/>
          <w:sz w:val="32"/>
          <w:szCs w:val="32"/>
          <w:lang w:val="en-US" w:eastAsia="zh-CN"/>
        </w:rPr>
      </w:pPr>
      <w:r>
        <w:rPr>
          <w:rFonts w:hint="eastAsia" w:ascii="仿宋_GB2312" w:eastAsia="仿宋_GB2312"/>
          <w:b/>
          <w:color w:val="000000"/>
          <w:sz w:val="32"/>
          <w:szCs w:val="32"/>
          <w:lang w:val="en-US" w:eastAsia="zh-CN"/>
        </w:rPr>
        <w:t xml:space="preserve">                                                                                                               </w:t>
      </w:r>
      <w:r>
        <w:rPr>
          <w:rFonts w:hint="eastAsia" w:ascii="仿宋_GB2312" w:eastAsia="仿宋_GB2312" w:cs="仿宋_GB2312"/>
          <w:b/>
          <w:bCs w:val="0"/>
          <w:color w:val="000000"/>
          <w:kern w:val="2"/>
          <w:sz w:val="32"/>
          <w:szCs w:val="32"/>
          <w:lang w:val="en-US" w:eastAsia="zh-CN"/>
        </w:rPr>
        <w:t xml:space="preserve">                            </w:t>
      </w:r>
    </w:p>
    <w:p>
      <w:pPr>
        <w:pageBreakBefore w:val="0"/>
        <w:kinsoku/>
        <w:wordWrap/>
        <w:overflowPunct/>
        <w:topLinePunct w:val="0"/>
        <w:bidi w:val="0"/>
        <w:spacing w:line="560" w:lineRule="exact"/>
        <w:ind w:firstLine="642" w:firstLineChars="200"/>
        <w:textAlignment w:val="auto"/>
        <w:rPr>
          <w:rFonts w:hint="eastAsia" w:ascii="仿宋_GB2312" w:eastAsia="仿宋_GB2312"/>
          <w:color w:val="auto"/>
          <w:sz w:val="32"/>
          <w:szCs w:val="32"/>
          <w:highlight w:val="none"/>
          <w:lang w:eastAsia="zh-CN"/>
        </w:rPr>
      </w:pPr>
      <w:bookmarkStart w:id="26" w:name="_Toc15377221"/>
      <w:bookmarkStart w:id="27" w:name="_Toc15396612"/>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无变化。</w:t>
      </w:r>
    </w:p>
    <w:p>
      <w:pPr>
        <w:pageBreakBefore w:val="0"/>
        <w:kinsoku/>
        <w:wordWrap/>
        <w:overflowPunct/>
        <w:topLinePunct w:val="0"/>
        <w:bidi w:val="0"/>
        <w:spacing w:line="560"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2.62</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0.87</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49.71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公务车年限较长，维修费用增加</w:t>
      </w:r>
      <w:r>
        <w:rPr>
          <w:rFonts w:hint="eastAsia" w:ascii="仿宋_GB2312" w:eastAsia="仿宋_GB2312"/>
          <w:color w:val="auto"/>
          <w:sz w:val="32"/>
          <w:szCs w:val="32"/>
          <w:highlight w:val="none"/>
        </w:rPr>
        <w:t>。</w:t>
      </w:r>
    </w:p>
    <w:p>
      <w:pPr>
        <w:pageBreakBefore w:val="0"/>
        <w:kinsoku/>
        <w:wordWrap/>
        <w:overflowPunct/>
        <w:topLinePunct w:val="0"/>
        <w:bidi w:val="0"/>
        <w:spacing w:line="560"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2.62</w:t>
      </w:r>
      <w:r>
        <w:rPr>
          <w:rFonts w:hint="eastAsia" w:ascii="仿宋_GB2312" w:eastAsia="仿宋_GB2312"/>
          <w:color w:val="auto"/>
          <w:sz w:val="32"/>
          <w:szCs w:val="32"/>
          <w:highlight w:val="none"/>
        </w:rPr>
        <w:t>万元。主要用于</w:t>
      </w:r>
      <w:r>
        <w:rPr>
          <w:rFonts w:hint="eastAsia" w:ascii="仿宋_GB2312" w:eastAsia="仿宋_GB2312"/>
          <w:color w:val="000000"/>
          <w:sz w:val="32"/>
          <w:szCs w:val="32"/>
          <w:lang w:eastAsia="zh-CN"/>
        </w:rPr>
        <w:t>矛盾纠纷排查化解、协调处理信访事项、信访维稳</w:t>
      </w:r>
      <w:r>
        <w:rPr>
          <w:rFonts w:hint="eastAsia" w:ascii="仿宋_GB2312" w:eastAsia="仿宋_GB2312"/>
          <w:color w:val="auto"/>
          <w:sz w:val="32"/>
          <w:szCs w:val="32"/>
          <w:highlight w:val="none"/>
        </w:rPr>
        <w:t>等所需的公务用车燃料费、维修费、过路过桥费、保险费等支出。</w:t>
      </w:r>
    </w:p>
    <w:p>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0.15</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100.14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开展“治重化积”专项行动，上级调研督导次数增加</w:t>
      </w:r>
      <w:r>
        <w:rPr>
          <w:rFonts w:hint="eastAsia" w:ascii="仿宋_GB2312" w:eastAsia="仿宋_GB2312"/>
          <w:color w:val="auto"/>
          <w:sz w:val="32"/>
          <w:szCs w:val="32"/>
          <w:highlight w:val="none"/>
        </w:rPr>
        <w:t>。其中：</w:t>
      </w:r>
    </w:p>
    <w:p>
      <w:pPr>
        <w:pageBreakBefore w:val="0"/>
        <w:kinsoku/>
        <w:wordWrap/>
        <w:overflowPunct/>
        <w:topLinePunct w:val="0"/>
        <w:bidi w:val="0"/>
        <w:spacing w:line="560" w:lineRule="exact"/>
        <w:ind w:firstLine="642"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0.15</w:t>
      </w:r>
      <w:r>
        <w:rPr>
          <w:rFonts w:hint="eastAsia" w:ascii="仿宋_GB2312" w:eastAsia="仿宋_GB2312"/>
          <w:color w:val="auto"/>
          <w:sz w:val="32"/>
          <w:szCs w:val="32"/>
          <w:highlight w:val="none"/>
        </w:rPr>
        <w:t>万元，主要用</w:t>
      </w:r>
      <w:r>
        <w:rPr>
          <w:rFonts w:hint="eastAsia" w:ascii="仿宋_GB2312" w:eastAsia="仿宋_GB2312"/>
          <w:color w:val="auto"/>
          <w:sz w:val="32"/>
          <w:szCs w:val="32"/>
          <w:highlight w:val="none"/>
          <w:lang w:eastAsia="zh-CN"/>
        </w:rPr>
        <w:t>于</w:t>
      </w:r>
      <w:r>
        <w:rPr>
          <w:rFonts w:hint="eastAsia" w:ascii="仿宋_GB2312" w:eastAsia="仿宋_GB2312"/>
          <w:color w:val="auto"/>
          <w:sz w:val="32"/>
          <w:szCs w:val="32"/>
          <w:highlight w:val="none"/>
        </w:rPr>
        <w:t>执行开展业务活动开支的餐费。国内公务接待</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0.15</w:t>
      </w:r>
      <w:r>
        <w:rPr>
          <w:rFonts w:hint="eastAsia" w:ascii="仿宋_GB2312" w:eastAsia="仿宋_GB2312"/>
          <w:color w:val="auto"/>
          <w:sz w:val="32"/>
          <w:szCs w:val="32"/>
          <w:highlight w:val="none"/>
        </w:rPr>
        <w:t>万元，具体内容包括：</w:t>
      </w:r>
      <w:r>
        <w:rPr>
          <w:rFonts w:hint="eastAsia" w:ascii="仿宋_GB2312" w:eastAsia="仿宋_GB2312" w:cs="仿宋_GB2312"/>
          <w:sz w:val="32"/>
          <w:szCs w:val="32"/>
          <w:lang w:eastAsia="zh-CN"/>
        </w:rPr>
        <w:t>接待上级部门调研、督导、业务指导餐费。</w:t>
      </w:r>
    </w:p>
    <w:p>
      <w:pPr>
        <w:pageBreakBefore w:val="0"/>
        <w:kinsoku/>
        <w:wordWrap/>
        <w:overflowPunct/>
        <w:topLinePunct w:val="0"/>
        <w:bidi w:val="0"/>
        <w:spacing w:line="560" w:lineRule="exact"/>
        <w:ind w:firstLine="642" w:firstLineChars="200"/>
        <w:textAlignment w:val="auto"/>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pageBreakBefore w:val="0"/>
        <w:kinsoku/>
        <w:wordWrap/>
        <w:overflowPunct/>
        <w:topLinePunct w:val="0"/>
        <w:bidi w:val="0"/>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firstLineChars="200"/>
        <w:outlineLvl w:val="1"/>
        <w:rPr>
          <w:rStyle w:val="29"/>
          <w:rFonts w:ascii="黑体" w:eastAsia="黑体"/>
        </w:rPr>
      </w:pPr>
      <w:r>
        <w:rPr>
          <w:rFonts w:hint="eastAsia" w:ascii="黑体" w:eastAsia="黑体"/>
          <w:color w:val="000000"/>
          <w:sz w:val="32"/>
          <w:szCs w:val="32"/>
        </w:rPr>
        <w:t>十</w:t>
      </w:r>
      <w:r>
        <w:rPr>
          <w:rStyle w:val="29"/>
          <w:rFonts w:hint="eastAsia" w:ascii="黑体" w:eastAsia="黑体"/>
        </w:rPr>
        <w:t>、</w:t>
      </w:r>
      <w:r>
        <w:rPr>
          <w:rStyle w:val="29"/>
          <w:rFonts w:hint="eastAsia" w:ascii="黑体" w:eastAsia="黑体"/>
          <w:b w:val="0"/>
        </w:rPr>
        <w:t>其他重要事项的情况说明</w:t>
      </w:r>
      <w:bookmarkEnd w:id="26"/>
      <w:bookmarkEnd w:id="27"/>
    </w:p>
    <w:p>
      <w:pPr>
        <w:spacing w:line="600" w:lineRule="exact"/>
        <w:ind w:firstLine="642" w:firstLineChars="200"/>
        <w:outlineLvl w:val="2"/>
        <w:rPr>
          <w:rFonts w:hint="eastAsia" w:ascii="楷体_GB2312" w:eastAsia="楷体_GB2312" w:cs="楷体_GB2312"/>
          <w:color w:val="000000"/>
          <w:sz w:val="32"/>
          <w:szCs w:val="32"/>
        </w:rPr>
      </w:pPr>
      <w:bookmarkStart w:id="28" w:name="_Toc15377222"/>
      <w:r>
        <w:rPr>
          <w:rFonts w:hint="eastAsia" w:ascii="楷体_GB2312" w:eastAsia="楷体_GB2312" w:cs="楷体_GB2312"/>
          <w:b/>
          <w:color w:val="000000"/>
          <w:sz w:val="32"/>
          <w:szCs w:val="32"/>
        </w:rPr>
        <w:t>（一）机关运行经费支出情况</w:t>
      </w:r>
      <w:bookmarkEnd w:id="28"/>
    </w:p>
    <w:p>
      <w:pPr>
        <w:pageBreakBefore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14.72</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1.23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9.12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auto"/>
          <w:sz w:val="32"/>
          <w:szCs w:val="32"/>
          <w:highlight w:val="none"/>
          <w:lang w:eastAsia="zh-CN"/>
        </w:rPr>
        <w:t>工作任务增加。</w:t>
      </w:r>
    </w:p>
    <w:p>
      <w:pPr>
        <w:autoSpaceDE w:val="0"/>
        <w:autoSpaceDN w:val="0"/>
        <w:adjustRightInd w:val="0"/>
        <w:spacing w:line="600" w:lineRule="exact"/>
        <w:ind w:firstLine="642" w:firstLineChars="200"/>
        <w:jc w:val="left"/>
        <w:outlineLvl w:val="2"/>
        <w:rPr>
          <w:rFonts w:hint="eastAsia" w:ascii="楷体_GB2312" w:eastAsia="楷体_GB2312" w:cs="楷体_GB2312"/>
          <w:b/>
          <w:color w:val="000000"/>
          <w:sz w:val="32"/>
          <w:szCs w:val="32"/>
        </w:rPr>
      </w:pPr>
      <w:bookmarkStart w:id="29" w:name="_Toc15377223"/>
      <w:r>
        <w:rPr>
          <w:rFonts w:hint="eastAsia" w:ascii="楷体_GB2312" w:eastAsia="楷体_GB2312" w:cs="楷体_GB2312"/>
          <w:b/>
          <w:color w:val="000000"/>
          <w:sz w:val="32"/>
          <w:szCs w:val="32"/>
        </w:rPr>
        <w:t>（二）政府采购支出情况</w:t>
      </w:r>
      <w:bookmarkEnd w:id="29"/>
    </w:p>
    <w:p>
      <w:pPr>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bookmarkStart w:id="30" w:name="_Toc15377224"/>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茂县信访局</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autoSpaceDE w:val="0"/>
        <w:autoSpaceDN w:val="0"/>
        <w:adjustRightInd w:val="0"/>
        <w:spacing w:line="600" w:lineRule="exact"/>
        <w:ind w:firstLine="642" w:firstLineChars="200"/>
        <w:jc w:val="left"/>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（三）国有资产占有使用情况</w:t>
      </w:r>
      <w:bookmarkEnd w:id="30"/>
    </w:p>
    <w:p>
      <w:pPr>
        <w:pageBreakBefore w:val="0"/>
        <w:kinsoku/>
        <w:wordWrap/>
        <w:overflowPunct/>
        <w:topLinePunct w:val="0"/>
        <w:autoSpaceDE w:val="0"/>
        <w:autoSpaceDN w:val="0"/>
        <w:bidi w:val="0"/>
        <w:adjustRightInd w:val="0"/>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茂县信访局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万元以上设备</w:t>
      </w:r>
      <w:r>
        <w:rPr>
          <w:rFonts w:hint="eastAsia" w:ascii="仿宋_GB2312" w:eastAsia="仿宋_GB2312"/>
          <w:color w:val="auto"/>
          <w:sz w:val="32"/>
          <w:szCs w:val="32"/>
          <w:highlight w:val="none"/>
          <w:lang w:eastAsia="zh-CN"/>
        </w:rPr>
        <w:t>（不含车辆）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2"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bookmarkStart w:id="31" w:name="_Toc15377225"/>
      <w:bookmarkStart w:id="32" w:name="_Toc15396613"/>
      <w:r>
        <w:rPr>
          <w:rFonts w:hint="eastAsia" w:ascii="仿宋_GB2312" w:hAnsi="宋体" w:eastAsia="仿宋_GB2312" w:cs="宋体"/>
          <w:color w:val="000000"/>
          <w:kern w:val="0"/>
          <w:sz w:val="32"/>
          <w:szCs w:val="32"/>
          <w:shd w:val="clear" w:color="auto" w:fill="FFFFFF"/>
          <w:lang w:val="zh-CN"/>
        </w:rPr>
        <w:t>茂县信访局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2023年度县级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97分。</w:t>
      </w: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center"/>
        <w:outlineLvl w:val="0"/>
        <w:rPr>
          <w:rStyle w:val="28"/>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8"/>
          <w:rFonts w:hint="eastAsia" w:ascii="黑体" w:eastAsia="黑体"/>
          <w:b w:val="0"/>
        </w:rPr>
        <w:t>词解释</w:t>
      </w:r>
      <w:bookmarkEnd w:id="31"/>
      <w:bookmarkEnd w:id="32"/>
    </w:p>
    <w:p>
      <w:pPr>
        <w:spacing w:line="600" w:lineRule="exact"/>
        <w:jc w:val="left"/>
        <w:rPr>
          <w:rFonts w:ascii="宋体"/>
          <w:b/>
          <w:color w:val="000000"/>
          <w:sz w:val="44"/>
          <w:szCs w:val="44"/>
        </w:rPr>
      </w:pPr>
    </w:p>
    <w:p>
      <w:pPr>
        <w:pStyle w:val="33"/>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3"/>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pageBreakBefore w:val="0"/>
        <w:kinsoku/>
        <w:wordWrap/>
        <w:overflowPunct/>
        <w:topLinePunct w:val="0"/>
        <w:bidi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10.社会保障和就业支出（类）行政事业单位养老支出（款）机关事业单位基本养老保险缴费支出（项）:指机关事业单位基本养老保险缴费支出</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3"/>
        <w:pageBreakBefore w:val="0"/>
        <w:kinsoku/>
        <w:wordWrap/>
        <w:overflowPunct/>
        <w:topLinePunct w:val="0"/>
        <w:bidi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pageBreakBefore w:val="0"/>
        <w:kinsoku/>
        <w:wordWrap/>
        <w:overflowPunct/>
        <w:topLinePunct w:val="0"/>
        <w:bidi w:val="0"/>
        <w:spacing w:line="560" w:lineRule="exact"/>
        <w:ind w:firstLine="640" w:firstLineChars="200"/>
        <w:jc w:val="both"/>
        <w:textAlignment w:val="auto"/>
        <w:rPr>
          <w:rFonts w:ascii="仿宋_GB2312" w:eastAsia="仿宋_GB2312" w:cs="黑体"/>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3"/>
        <w:spacing w:line="560" w:lineRule="exact"/>
        <w:ind w:firstLine="640" w:firstLineChars="200"/>
        <w:rPr>
          <w:rFonts w:ascii="仿宋_GB2312" w:eastAsia="仿宋_GB2312" w:cs="黑体"/>
          <w:sz w:val="32"/>
          <w:szCs w:val="32"/>
        </w:rPr>
      </w:pPr>
    </w:p>
    <w:p>
      <w:pPr>
        <w:pageBreakBefore w:val="0"/>
        <w:widowControl w:val="0"/>
        <w:kinsoku/>
        <w:wordWrap/>
        <w:overflowPunct/>
        <w:topLinePunct w:val="0"/>
        <w:bidi w:val="0"/>
        <w:spacing w:line="576" w:lineRule="exact"/>
        <w:jc w:val="both"/>
        <w:textAlignment w:val="auto"/>
        <w:outlineLvl w:val="0"/>
        <w:rPr>
          <w:rFonts w:hint="eastAsia" w:ascii="黑体" w:eastAsia="黑体" w:cs="Times New Roman"/>
          <w:color w:val="000000"/>
          <w:sz w:val="44"/>
          <w:szCs w:val="44"/>
        </w:rPr>
      </w:pPr>
      <w:bookmarkStart w:id="33" w:name="_Toc9504"/>
      <w:bookmarkStart w:id="34" w:name="_Toc6196"/>
    </w:p>
    <w:p>
      <w:pPr>
        <w:pageBreakBefore w:val="0"/>
        <w:widowControl w:val="0"/>
        <w:kinsoku/>
        <w:wordWrap/>
        <w:overflowPunct/>
        <w:topLinePunct w:val="0"/>
        <w:bidi w:val="0"/>
        <w:spacing w:line="576" w:lineRule="exact"/>
        <w:jc w:val="center"/>
        <w:textAlignment w:val="auto"/>
        <w:outlineLvl w:val="0"/>
        <w:rPr>
          <w:rFonts w:hint="eastAsia" w:ascii="仿宋" w:eastAsia="仿宋" w:cs="Times New Roman"/>
          <w:b w:val="0"/>
          <w:color w:val="000000"/>
          <w:kern w:val="2"/>
          <w:sz w:val="32"/>
          <w:szCs w:val="32"/>
          <w:lang w:bidi="ar-SA"/>
        </w:rPr>
      </w:pPr>
      <w:r>
        <w:rPr>
          <w:rFonts w:hint="eastAsia" w:ascii="黑体" w:eastAsia="黑体" w:cs="Times New Roman"/>
          <w:color w:val="000000"/>
          <w:sz w:val="44"/>
          <w:szCs w:val="44"/>
        </w:rPr>
        <w:t>第</w:t>
      </w:r>
      <w:r>
        <w:rPr>
          <w:rFonts w:hint="eastAsia" w:ascii="黑体" w:eastAsia="黑体" w:cs="Times New Roman"/>
          <w:color w:val="000000"/>
          <w:sz w:val="44"/>
          <w:szCs w:val="44"/>
          <w:lang w:eastAsia="zh-CN"/>
        </w:rPr>
        <w:t>四</w:t>
      </w:r>
      <w:r>
        <w:rPr>
          <w:rFonts w:hint="eastAsia" w:ascii="黑体" w:eastAsia="黑体" w:cs="Times New Roman"/>
          <w:color w:val="000000"/>
          <w:sz w:val="44"/>
          <w:szCs w:val="44"/>
        </w:rPr>
        <w:t>部分 附表</w:t>
      </w:r>
      <w:bookmarkEnd w:id="33"/>
      <w:bookmarkEnd w:id="34"/>
      <w:bookmarkStart w:id="35" w:name="_Toc12986"/>
      <w:bookmarkStart w:id="36" w:name="_Toc26370"/>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35"/>
      <w:bookmarkEnd w:id="36"/>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37" w:name="_Toc13591"/>
      <w:bookmarkStart w:id="38" w:name="_Toc13062"/>
      <w:r>
        <w:rPr>
          <w:rFonts w:hint="eastAsia" w:ascii="仿宋" w:eastAsia="仿宋" w:cs="Times New Roman"/>
          <w:b w:val="0"/>
          <w:color w:val="000000"/>
          <w:kern w:val="2"/>
          <w:sz w:val="32"/>
          <w:szCs w:val="32"/>
          <w:lang w:bidi="ar-SA"/>
        </w:rPr>
        <w:t>二、收入决算表</w:t>
      </w:r>
      <w:bookmarkEnd w:id="37"/>
      <w:bookmarkEnd w:id="38"/>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39" w:name="_Toc16600"/>
      <w:bookmarkStart w:id="40" w:name="_Toc29688"/>
      <w:r>
        <w:rPr>
          <w:rFonts w:hint="eastAsia" w:ascii="仿宋" w:eastAsia="仿宋" w:cs="Times New Roman"/>
          <w:b w:val="0"/>
          <w:color w:val="000000"/>
          <w:kern w:val="2"/>
          <w:sz w:val="32"/>
          <w:szCs w:val="32"/>
          <w:lang w:bidi="ar-SA"/>
        </w:rPr>
        <w:t>三、支出决算表</w:t>
      </w:r>
      <w:bookmarkEnd w:id="39"/>
      <w:bookmarkEnd w:id="40"/>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1" w:name="_Toc26630"/>
      <w:bookmarkStart w:id="42" w:name="_Toc5964"/>
      <w:r>
        <w:rPr>
          <w:rFonts w:hint="eastAsia" w:ascii="仿宋" w:eastAsia="仿宋" w:cs="Times New Roman"/>
          <w:b w:val="0"/>
          <w:color w:val="000000"/>
          <w:kern w:val="2"/>
          <w:sz w:val="32"/>
          <w:szCs w:val="32"/>
          <w:lang w:bidi="ar-SA"/>
        </w:rPr>
        <w:t>四、财政拨款收入支出决算总表</w:t>
      </w:r>
      <w:bookmarkEnd w:id="41"/>
      <w:bookmarkEnd w:id="42"/>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3" w:name="_Toc19934"/>
      <w:bookmarkStart w:id="44" w:name="_Toc14273"/>
      <w:r>
        <w:rPr>
          <w:rFonts w:hint="eastAsia" w:ascii="仿宋" w:eastAsia="仿宋" w:cs="Times New Roman"/>
          <w:b w:val="0"/>
          <w:color w:val="000000"/>
          <w:kern w:val="2"/>
          <w:sz w:val="32"/>
          <w:szCs w:val="32"/>
          <w:lang w:bidi="ar-SA"/>
        </w:rPr>
        <w:t>五、财政拨款支出决算明细表</w:t>
      </w:r>
      <w:bookmarkEnd w:id="43"/>
      <w:bookmarkEnd w:id="44"/>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5" w:name="_Toc16449"/>
      <w:bookmarkStart w:id="46" w:name="_Toc6686"/>
      <w:r>
        <w:rPr>
          <w:rFonts w:hint="eastAsia" w:ascii="仿宋" w:eastAsia="仿宋" w:cs="Times New Roman"/>
          <w:b w:val="0"/>
          <w:color w:val="000000"/>
          <w:kern w:val="2"/>
          <w:sz w:val="32"/>
          <w:szCs w:val="32"/>
          <w:lang w:bidi="ar-SA"/>
        </w:rPr>
        <w:t>六、一般公共预算财政拨款支出决算表</w:t>
      </w:r>
      <w:bookmarkEnd w:id="45"/>
      <w:bookmarkEnd w:id="46"/>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7" w:name="_Toc3478"/>
      <w:bookmarkStart w:id="48" w:name="_Toc19514"/>
      <w:r>
        <w:rPr>
          <w:rFonts w:hint="eastAsia" w:ascii="仿宋" w:eastAsia="仿宋" w:cs="Times New Roman"/>
          <w:b w:val="0"/>
          <w:color w:val="000000"/>
          <w:kern w:val="2"/>
          <w:sz w:val="32"/>
          <w:szCs w:val="32"/>
          <w:lang w:bidi="ar-SA"/>
        </w:rPr>
        <w:t>七、一般公共预算财政拨款支出决算明细表</w:t>
      </w:r>
      <w:bookmarkEnd w:id="47"/>
      <w:bookmarkEnd w:id="48"/>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9" w:name="_Toc191"/>
      <w:bookmarkStart w:id="50" w:name="_Toc17352"/>
      <w:r>
        <w:rPr>
          <w:rFonts w:hint="eastAsia" w:ascii="仿宋" w:eastAsia="仿宋" w:cs="Times New Roman"/>
          <w:b w:val="0"/>
          <w:color w:val="000000"/>
          <w:kern w:val="2"/>
          <w:sz w:val="32"/>
          <w:szCs w:val="32"/>
          <w:lang w:bidi="ar-SA"/>
        </w:rPr>
        <w:t>八、一般公共预算财政拨款基本支出决算表</w:t>
      </w:r>
      <w:bookmarkEnd w:id="49"/>
      <w:bookmarkEnd w:id="50"/>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1" w:name="_Toc5204"/>
      <w:bookmarkStart w:id="52" w:name="_Toc3726"/>
      <w:r>
        <w:rPr>
          <w:rFonts w:hint="eastAsia" w:ascii="仿宋" w:eastAsia="仿宋" w:cs="Times New Roman"/>
          <w:b w:val="0"/>
          <w:color w:val="000000"/>
          <w:kern w:val="2"/>
          <w:sz w:val="32"/>
          <w:szCs w:val="32"/>
          <w:lang w:bidi="ar-SA"/>
        </w:rPr>
        <w:t>九、一般公共预算财政拨款项目支出决算表</w:t>
      </w:r>
      <w:bookmarkEnd w:id="51"/>
      <w:bookmarkEnd w:id="52"/>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3" w:name="_Toc20756"/>
      <w:bookmarkStart w:id="54" w:name="_Toc20056"/>
      <w:r>
        <w:rPr>
          <w:rFonts w:hint="eastAsia" w:ascii="仿宋" w:eastAsia="仿宋" w:cs="Times New Roman"/>
          <w:b w:val="0"/>
          <w:color w:val="000000"/>
          <w:kern w:val="2"/>
          <w:sz w:val="32"/>
          <w:szCs w:val="32"/>
          <w:lang w:bidi="ar-SA"/>
        </w:rPr>
        <w:t>十、政府性基金预算财政拨款收入支出决算表</w:t>
      </w:r>
      <w:bookmarkEnd w:id="53"/>
      <w:bookmarkEnd w:id="54"/>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5" w:name="_Toc13849"/>
      <w:bookmarkStart w:id="56" w:name="_Toc21387"/>
      <w:r>
        <w:rPr>
          <w:rFonts w:hint="eastAsia" w:ascii="仿宋" w:eastAsia="仿宋" w:cs="Times New Roman"/>
          <w:b w:val="0"/>
          <w:color w:val="000000"/>
          <w:kern w:val="2"/>
          <w:sz w:val="32"/>
          <w:szCs w:val="32"/>
          <w:lang w:bidi="ar-SA"/>
        </w:rPr>
        <w:t>十一、国有资本经营预算财政拨款收入支出决算表</w:t>
      </w:r>
      <w:bookmarkEnd w:id="55"/>
      <w:bookmarkEnd w:id="56"/>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7" w:name="_Toc13099"/>
      <w:bookmarkStart w:id="58" w:name="_Toc1140"/>
      <w:r>
        <w:rPr>
          <w:rFonts w:hint="eastAsia" w:ascii="仿宋" w:eastAsia="仿宋" w:cs="Times New Roman"/>
          <w:b w:val="0"/>
          <w:color w:val="000000"/>
          <w:kern w:val="2"/>
          <w:sz w:val="32"/>
          <w:szCs w:val="32"/>
          <w:lang w:bidi="ar-SA"/>
        </w:rPr>
        <w:t>十二、国有资本经营预算财政拨款支出决算表</w:t>
      </w:r>
      <w:bookmarkEnd w:id="57"/>
      <w:bookmarkEnd w:id="58"/>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9" w:name="_Toc24957"/>
      <w:bookmarkStart w:id="60" w:name="_Toc25065"/>
      <w:r>
        <w:rPr>
          <w:rFonts w:hint="eastAsia" w:ascii="仿宋" w:eastAsia="仿宋" w:cs="Times New Roman"/>
          <w:b w:val="0"/>
          <w:color w:val="000000"/>
          <w:kern w:val="2"/>
          <w:sz w:val="32"/>
          <w:szCs w:val="32"/>
          <w:lang w:bidi="ar-SA"/>
        </w:rPr>
        <w:t>十三、财政拨款“三公”经费支出决算表</w:t>
      </w:r>
      <w:bookmarkEnd w:id="59"/>
      <w:bookmarkEnd w:id="60"/>
    </w:p>
    <w:p>
      <w:pPr>
        <w:bidi w:val="0"/>
        <w:rPr>
          <w:lang w:val="en-US" w:eastAsia="zh-CN"/>
        </w:rPr>
      </w:pPr>
    </w:p>
    <w:p>
      <w:pPr>
        <w:bidi w:val="0"/>
        <w:rPr>
          <w:lang w:val="en-US" w:eastAsia="zh-CN"/>
        </w:rPr>
      </w:pPr>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Lucida Sans">
    <w:altName w:val="仿宋"/>
    <w:panose1 w:val="00000000000000000000"/>
    <w:charset w:val="01"/>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pBdr>
        <w:top w:val="none" w:color="auto" w:sz="0" w:space="0"/>
        <w:left w:val="none" w:color="auto" w:sz="0" w:space="0"/>
        <w:bottom w:val="none" w:color="auto" w:sz="0" w:space="0"/>
        <w:right w:val="none" w:color="auto" w:sz="0" w:space="0"/>
      </w:pBdr>
      <w:tabs>
        <w:tab w:val="center" w:pos="4220"/>
      </w:tabs>
      <w:rPr>
        <w:b/>
        <w:sz w:val="28"/>
      </w:rPr>
    </w:pPr>
    <w:r>
      <w:rPr>
        <w:rStyle w:val="19"/>
        <w:b/>
        <w:sz w:val="28"/>
      </w:rPr>
      <w:fldChar w:fldCharType="begin"/>
    </w:r>
    <w:r>
      <w:rPr>
        <w:rStyle w:val="19"/>
        <w:b/>
        <w:sz w:val="28"/>
      </w:rPr>
      <w:instrText xml:space="preserve">Page</w:instrText>
    </w:r>
    <w:r>
      <w:rPr>
        <w:rStyle w:val="19"/>
        <w:b/>
        <w:sz w:val="28"/>
      </w:rPr>
      <w:fldChar w:fldCharType="separate"/>
    </w:r>
    <w:r>
      <w:rPr>
        <w:rStyle w:val="19"/>
        <w:rFonts w:hint="eastAsia"/>
        <w:b/>
        <w:sz w:val="28"/>
      </w:rPr>
      <w:t>— 1 —</w:t>
    </w:r>
    <w:r>
      <w:rPr>
        <w:rStyle w:val="19"/>
        <w:b/>
        <w:sz w:val="28"/>
      </w:rPr>
      <w:fldChar w:fldCharType="end"/>
    </w:r>
  </w:p>
  <w:p>
    <w:pPr>
      <w:pStyle w:val="11"/>
      <w:tabs>
        <w:tab w:val="center" w:pos="4220"/>
        <w:tab w:val="clear" w:pos="4153"/>
        <w:tab w:val="clear" w:pos="8306"/>
      </w:tabs>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pBdr>
        <w:top w:val="none" w:color="auto" w:sz="0" w:space="0"/>
        <w:left w:val="none" w:color="auto" w:sz="0" w:space="0"/>
        <w:bottom w:val="none" w:color="auto" w:sz="0" w:space="0"/>
        <w:right w:val="none" w:color="auto" w:sz="0" w:space="0"/>
      </w:pBdr>
    </w:pPr>
    <w:r>
      <w:rPr>
        <w:rStyle w:val="19"/>
      </w:rPr>
      <w:fldChar w:fldCharType="begin"/>
    </w:r>
    <w:r>
      <w:rPr>
        <w:rStyle w:val="19"/>
      </w:rPr>
      <w:instrText xml:space="preserve">Page</w:instrText>
    </w:r>
    <w:r>
      <w:rPr>
        <w:rStyle w:val="19"/>
      </w:rPr>
      <w:fldChar w:fldCharType="separate"/>
    </w:r>
    <w:r>
      <w:rPr>
        <w:rStyle w:val="19"/>
      </w:rPr>
      <w:t>0</w:t>
    </w:r>
    <w:r>
      <w:rPr>
        <w:rStyle w:val="19"/>
      </w:rPr>
      <w:fldChar w:fldCharType="end"/>
    </w:r>
  </w:p>
  <w:p>
    <w:pPr>
      <w:pStyle w:val="11"/>
      <w:framePr w:wrap="around" w:vAnchor="text" w:hAnchor="margin" w:xAlign="right" w:y="1"/>
      <w:pBdr>
        <w:top w:val="none" w:color="auto" w:sz="0" w:space="0"/>
        <w:left w:val="none" w:color="auto" w:sz="0" w:space="0"/>
        <w:bottom w:val="none" w:color="auto" w:sz="0" w:space="0"/>
        <w:right w:val="none" w:color="auto" w:sz="0" w:space="0"/>
      </w:pBdr>
      <w:ind w:right="360" w:firstLine="360"/>
    </w:pPr>
    <w:r>
      <w:rPr>
        <w:rStyle w:val="19"/>
      </w:rPr>
      <w:fldChar w:fldCharType="begin"/>
    </w:r>
    <w:r>
      <w:rPr>
        <w:rStyle w:val="19"/>
      </w:rPr>
      <w:instrText xml:space="preserve">Page</w:instrText>
    </w:r>
    <w:r>
      <w:rPr>
        <w:rStyle w:val="19"/>
      </w:rPr>
      <w:fldChar w:fldCharType="separate"/>
    </w:r>
    <w:r>
      <w:rPr>
        <w:rStyle w:val="19"/>
        <w:rFonts w:hint="eastAsia"/>
      </w:rPr>
      <w:t>— 1 —</w:t>
    </w:r>
    <w:r>
      <w:rPr>
        <w:rStyle w:val="19"/>
      </w:rP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10E72CB"/>
    <w:rsid w:val="030E6A10"/>
    <w:rsid w:val="03F6348B"/>
    <w:rsid w:val="05854E9B"/>
    <w:rsid w:val="07780B7B"/>
    <w:rsid w:val="09461CD6"/>
    <w:rsid w:val="09EF4328"/>
    <w:rsid w:val="0C9927BA"/>
    <w:rsid w:val="0CA534EF"/>
    <w:rsid w:val="0FAB4813"/>
    <w:rsid w:val="0FC64EF0"/>
    <w:rsid w:val="11F8610A"/>
    <w:rsid w:val="12907582"/>
    <w:rsid w:val="1CB763CB"/>
    <w:rsid w:val="1CEC7E01"/>
    <w:rsid w:val="1D6A72FB"/>
    <w:rsid w:val="1E5E47E0"/>
    <w:rsid w:val="1F4315DA"/>
    <w:rsid w:val="20841BE6"/>
    <w:rsid w:val="209C728D"/>
    <w:rsid w:val="20AD28F4"/>
    <w:rsid w:val="20B44934"/>
    <w:rsid w:val="217A6C7B"/>
    <w:rsid w:val="22731412"/>
    <w:rsid w:val="283C7D9D"/>
    <w:rsid w:val="289B6C0E"/>
    <w:rsid w:val="28DA5593"/>
    <w:rsid w:val="28E44026"/>
    <w:rsid w:val="2A7A723E"/>
    <w:rsid w:val="2B447F8C"/>
    <w:rsid w:val="2DB3100A"/>
    <w:rsid w:val="2E612427"/>
    <w:rsid w:val="2F494923"/>
    <w:rsid w:val="30740B8E"/>
    <w:rsid w:val="32EF1E88"/>
    <w:rsid w:val="33F203F2"/>
    <w:rsid w:val="342112C0"/>
    <w:rsid w:val="34F160E8"/>
    <w:rsid w:val="359C74CB"/>
    <w:rsid w:val="35E022B4"/>
    <w:rsid w:val="36E942D2"/>
    <w:rsid w:val="380037ED"/>
    <w:rsid w:val="3A7909FE"/>
    <w:rsid w:val="3AF52546"/>
    <w:rsid w:val="3DDF0D0F"/>
    <w:rsid w:val="41595743"/>
    <w:rsid w:val="431E79AD"/>
    <w:rsid w:val="440469A6"/>
    <w:rsid w:val="454D7D6F"/>
    <w:rsid w:val="4652002D"/>
    <w:rsid w:val="4A1F04AA"/>
    <w:rsid w:val="4FCE7CFE"/>
    <w:rsid w:val="52E00CE4"/>
    <w:rsid w:val="555B0286"/>
    <w:rsid w:val="55CC1950"/>
    <w:rsid w:val="56C66CC8"/>
    <w:rsid w:val="5969563F"/>
    <w:rsid w:val="596E1AC6"/>
    <w:rsid w:val="5A712B2E"/>
    <w:rsid w:val="5C2C6147"/>
    <w:rsid w:val="5EA26B50"/>
    <w:rsid w:val="5EAC2CE3"/>
    <w:rsid w:val="5F1E20CE"/>
    <w:rsid w:val="5F615C89"/>
    <w:rsid w:val="6056529D"/>
    <w:rsid w:val="60DF7FBD"/>
    <w:rsid w:val="616D4A65"/>
    <w:rsid w:val="64D92F75"/>
    <w:rsid w:val="69EE6CD8"/>
    <w:rsid w:val="6AD83C99"/>
    <w:rsid w:val="6B5A7319"/>
    <w:rsid w:val="6B874966"/>
    <w:rsid w:val="6BE04F09"/>
    <w:rsid w:val="6DDE6F4D"/>
    <w:rsid w:val="6E8421A4"/>
    <w:rsid w:val="73AD1C57"/>
    <w:rsid w:val="73C4767E"/>
    <w:rsid w:val="755E0069"/>
    <w:rsid w:val="75A3300B"/>
    <w:rsid w:val="76DC406F"/>
    <w:rsid w:val="78C45B73"/>
    <w:rsid w:val="791B013F"/>
    <w:rsid w:val="7CF03F88"/>
    <w:rsid w:val="7EB92052"/>
    <w:rsid w:val="7FED3B30"/>
    <w:rsid w:val="BE37A6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61"/>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rPr>
  </w:style>
  <w:style w:type="character" w:styleId="18">
    <w:name w:val="Strong"/>
    <w:basedOn w:val="17"/>
    <w:qFormat/>
    <w:uiPriority w:val="0"/>
    <w:rPr>
      <w:b/>
    </w:rPr>
  </w:style>
  <w:style w:type="character" w:styleId="19">
    <w:name w:val="page number"/>
    <w:basedOn w:val="17"/>
    <w:qFormat/>
    <w:uiPriority w:val="0"/>
  </w:style>
  <w:style w:type="character" w:styleId="20">
    <w:name w:val="FollowedHyperlink"/>
    <w:basedOn w:val="17"/>
    <w:qFormat/>
    <w:uiPriority w:val="0"/>
    <w:rPr>
      <w:color w:val="000000"/>
      <w:u w:val="none"/>
    </w:rPr>
  </w:style>
  <w:style w:type="character" w:styleId="21">
    <w:name w:val="Emphasis"/>
    <w:basedOn w:val="17"/>
    <w:qFormat/>
    <w:uiPriority w:val="0"/>
  </w:style>
  <w:style w:type="character" w:styleId="22">
    <w:name w:val="HTML Definition"/>
    <w:basedOn w:val="17"/>
    <w:qFormat/>
    <w:uiPriority w:val="0"/>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single"/>
    </w:rPr>
  </w:style>
  <w:style w:type="character" w:styleId="26">
    <w:name w:val="HTML Code"/>
    <w:basedOn w:val="17"/>
    <w:qFormat/>
    <w:uiPriority w:val="0"/>
    <w:rPr>
      <w:rFonts w:ascii="Courier New" w:hAnsi="Courier New"/>
      <w:sz w:val="20"/>
      <w:u w:val="single"/>
    </w:rPr>
  </w:style>
  <w:style w:type="character" w:styleId="27">
    <w:name w:val="HTML Cite"/>
    <w:basedOn w:val="17"/>
    <w:qFormat/>
    <w:uiPriority w:val="0"/>
  </w:style>
  <w:style w:type="character" w:customStyle="1" w:styleId="28">
    <w:name w:val="heading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9">
    <w:name w:val="heading 2 Char"/>
    <w:basedOn w:val="17"/>
    <w:link w:val="6"/>
    <w:qFormat/>
    <w:uiPriority w:val="0"/>
    <w:rPr>
      <w:rFonts w:ascii="Cambria" w:hAnsi="Cambria" w:eastAsia="宋体" w:cs="Times New Roman"/>
      <w:b/>
      <w:bCs/>
      <w:kern w:val="2"/>
      <w:sz w:val="32"/>
      <w:szCs w:val="32"/>
      <w:lang w:val="en-US" w:eastAsia="zh-CN" w:bidi="ar-SA"/>
    </w:rPr>
  </w:style>
  <w:style w:type="character" w:customStyle="1" w:styleId="30">
    <w:name w:val="Header Char"/>
    <w:basedOn w:val="17"/>
    <w:qFormat/>
    <w:uiPriority w:val="0"/>
    <w:rPr>
      <w:rFonts w:ascii="Times New Roman" w:hAnsi="Times New Roman"/>
      <w:sz w:val="18"/>
      <w:szCs w:val="18"/>
    </w:rPr>
  </w:style>
  <w:style w:type="character" w:customStyle="1" w:styleId="31">
    <w:name w:val="Footer Char"/>
    <w:basedOn w:val="17"/>
    <w:qFormat/>
    <w:uiPriority w:val="0"/>
    <w:rPr>
      <w:rFonts w:ascii="Times New Roman" w:hAnsi="Times New Roman"/>
      <w:sz w:val="18"/>
      <w:szCs w:val="18"/>
    </w:rPr>
  </w:style>
  <w:style w:type="character" w:customStyle="1" w:styleId="32">
    <w:name w:val="Body Text Char"/>
    <w:basedOn w:val="17"/>
    <w:qFormat/>
    <w:uiPriority w:val="0"/>
    <w:rPr>
      <w:rFonts w:ascii="Times New Roman" w:hAnsi="Times New Roman"/>
      <w:szCs w:val="24"/>
    </w:rPr>
  </w:style>
  <w:style w:type="paragraph" w:customStyle="1" w:styleId="3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4">
    <w:name w:val="List Paragraph"/>
    <w:basedOn w:val="1"/>
    <w:qFormat/>
    <w:uiPriority w:val="0"/>
    <w:pPr>
      <w:ind w:firstLine="200" w:firstLineChars="200"/>
    </w:pPr>
  </w:style>
  <w:style w:type="paragraph" w:customStyle="1" w:styleId="35">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6">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7">
    <w:name w:val="apple-converted-space"/>
    <w:basedOn w:val="17"/>
    <w:qFormat/>
    <w:uiPriority w:val="0"/>
  </w:style>
  <w:style w:type="paragraph" w:customStyle="1" w:styleId="38">
    <w:name w:val="_Style 32"/>
    <w:basedOn w:val="1"/>
    <w:next w:val="1"/>
    <w:qFormat/>
    <w:uiPriority w:val="0"/>
    <w:pPr>
      <w:pBdr>
        <w:bottom w:val="single" w:color="auto" w:sz="6" w:space="1"/>
      </w:pBdr>
      <w:jc w:val="center"/>
    </w:pPr>
    <w:rPr>
      <w:rFonts w:ascii="Arial" w:hAnsi="Arial" w:eastAsia="宋体"/>
      <w:vanish/>
      <w:sz w:val="16"/>
    </w:rPr>
  </w:style>
  <w:style w:type="paragraph" w:customStyle="1" w:styleId="39">
    <w:name w:val="_Style 33"/>
    <w:basedOn w:val="1"/>
    <w:next w:val="1"/>
    <w:qFormat/>
    <w:uiPriority w:val="0"/>
    <w:pPr>
      <w:pBdr>
        <w:top w:val="single" w:color="auto" w:sz="6" w:space="1"/>
      </w:pBdr>
      <w:jc w:val="center"/>
    </w:pPr>
    <w:rPr>
      <w:rFonts w:ascii="Arial" w:hAnsi="Arial" w:eastAsia="宋体"/>
      <w:vanish/>
      <w:sz w:val="16"/>
    </w:rPr>
  </w:style>
  <w:style w:type="character" w:customStyle="1" w:styleId="40">
    <w:name w:val="hover17"/>
    <w:basedOn w:val="17"/>
    <w:qFormat/>
    <w:uiPriority w:val="0"/>
    <w:rPr>
      <w:color w:val="FFFFFF"/>
    </w:rPr>
  </w:style>
  <w:style w:type="character" w:customStyle="1" w:styleId="41">
    <w:name w:val="active"/>
    <w:basedOn w:val="17"/>
    <w:qFormat/>
    <w:uiPriority w:val="0"/>
    <w:rPr>
      <w:color w:val="FFFFFF"/>
    </w:rPr>
  </w:style>
  <w:style w:type="character" w:customStyle="1" w:styleId="42">
    <w:name w:val="page_next"/>
    <w:basedOn w:val="17"/>
    <w:qFormat/>
    <w:uiPriority w:val="0"/>
  </w:style>
  <w:style w:type="character" w:customStyle="1" w:styleId="43">
    <w:name w:val="page_prev"/>
    <w:basedOn w:val="17"/>
    <w:qFormat/>
    <w:uiPriority w:val="0"/>
  </w:style>
  <w:style w:type="character" w:customStyle="1" w:styleId="44">
    <w:name w:val="white"/>
    <w:basedOn w:val="17"/>
    <w:qFormat/>
    <w:uiPriority w:val="0"/>
    <w:rPr>
      <w:rFonts w:ascii="黑体" w:eastAsia="黑体" w:cs="黑体"/>
    </w:rPr>
  </w:style>
  <w:style w:type="character" w:customStyle="1" w:styleId="45">
    <w:name w:val="hover15"/>
    <w:basedOn w:val="17"/>
    <w:qFormat/>
    <w:uiPriority w:val="0"/>
    <w:rPr>
      <w:color w:val="FFFFFF"/>
    </w:rPr>
  </w:style>
  <w:style w:type="character" w:customStyle="1" w:styleId="46">
    <w:name w:val="15"/>
    <w:basedOn w:val="17"/>
    <w:qFormat/>
    <w:uiPriority w:val="0"/>
    <w:rPr>
      <w:rFonts w:ascii="Calibri" w:hAnsi="Calibri" w:cs="Calibri"/>
      <w:b/>
    </w:rPr>
  </w:style>
  <w:style w:type="paragraph" w:customStyle="1" w:styleId="47">
    <w:name w:val="_Style 48"/>
    <w:basedOn w:val="1"/>
    <w:next w:val="1"/>
    <w:qFormat/>
    <w:uiPriority w:val="0"/>
    <w:pPr>
      <w:pBdr>
        <w:bottom w:val="single" w:color="auto" w:sz="6" w:space="1"/>
      </w:pBdr>
      <w:jc w:val="center"/>
    </w:pPr>
    <w:rPr>
      <w:rFonts w:ascii="Arial" w:hAnsi="Arial" w:eastAsia="宋体"/>
      <w:vanish/>
      <w:sz w:val="16"/>
    </w:rPr>
  </w:style>
  <w:style w:type="paragraph" w:customStyle="1" w:styleId="48">
    <w:name w:val="_Style 49"/>
    <w:basedOn w:val="1"/>
    <w:next w:val="1"/>
    <w:qFormat/>
    <w:uiPriority w:val="0"/>
    <w:pPr>
      <w:pBdr>
        <w:top w:val="single" w:color="auto" w:sz="6" w:space="1"/>
      </w:pBdr>
      <w:jc w:val="center"/>
    </w:pPr>
    <w:rPr>
      <w:rFonts w:ascii="Arial" w:hAnsi="Arial" w:eastAsia="宋体"/>
      <w:vanish/>
      <w:sz w:val="16"/>
    </w:rPr>
  </w:style>
  <w:style w:type="character" w:customStyle="1" w:styleId="49">
    <w:name w:val="first-child1"/>
    <w:basedOn w:val="17"/>
    <w:qFormat/>
    <w:uiPriority w:val="0"/>
  </w:style>
  <w:style w:type="character" w:customStyle="1" w:styleId="50">
    <w:name w:val="layui-layer-tabnow"/>
    <w:basedOn w:val="17"/>
    <w:qFormat/>
    <w:uiPriority w:val="0"/>
    <w:rPr>
      <w:bdr w:val="single" w:color="CCCCCC" w:sz="6" w:space="0"/>
      <w:shd w:val="clear" w:color="auto" w:fill="FFFFFF"/>
    </w:rPr>
  </w:style>
  <w:style w:type="character" w:customStyle="1" w:styleId="51">
    <w:name w:val="first-child"/>
    <w:basedOn w:val="17"/>
    <w:qFormat/>
    <w:uiPriority w:val="0"/>
  </w:style>
  <w:style w:type="character" w:customStyle="1" w:styleId="52">
    <w:name w:val="time"/>
    <w:basedOn w:val="17"/>
    <w:qFormat/>
    <w:uiPriority w:val="0"/>
    <w:rPr>
      <w:color w:val="999999"/>
      <w:sz w:val="18"/>
      <w:szCs w:val="18"/>
    </w:rPr>
  </w:style>
  <w:style w:type="character" w:customStyle="1" w:styleId="53">
    <w:name w:val="time1"/>
    <w:basedOn w:val="17"/>
    <w:qFormat/>
    <w:uiPriority w:val="0"/>
    <w:rPr>
      <w:shd w:val="clear" w:color="auto" w:fill="F5F7FB"/>
    </w:rPr>
  </w:style>
  <w:style w:type="character" w:customStyle="1" w:styleId="54">
    <w:name w:val="time2"/>
    <w:basedOn w:val="17"/>
    <w:qFormat/>
    <w:uiPriority w:val="0"/>
    <w:rPr>
      <w:color w:val="888888"/>
    </w:rPr>
  </w:style>
  <w:style w:type="character" w:customStyle="1" w:styleId="55">
    <w:name w:val="time3"/>
    <w:basedOn w:val="17"/>
    <w:qFormat/>
    <w:uiPriority w:val="0"/>
    <w:rPr>
      <w:color w:val="888888"/>
    </w:rPr>
  </w:style>
  <w:style w:type="character" w:customStyle="1" w:styleId="56">
    <w:name w:val="time4"/>
    <w:basedOn w:val="17"/>
    <w:qFormat/>
    <w:uiPriority w:val="0"/>
    <w:rPr>
      <w:color w:val="888888"/>
    </w:rPr>
  </w:style>
  <w:style w:type="paragraph" w:customStyle="1" w:styleId="57">
    <w:name w:val="WPSOffice手动目录 1"/>
    <w:qFormat/>
    <w:uiPriority w:val="0"/>
    <w:rPr>
      <w:rFonts w:ascii="Times New Roman" w:hAnsi="Times New Roman" w:eastAsia="宋体" w:cs="Times New Roman"/>
      <w:sz w:val="20"/>
      <w:szCs w:val="20"/>
      <w:lang w:val="en-US" w:eastAsia="zh-CN" w:bidi="ar-SA"/>
    </w:rPr>
  </w:style>
  <w:style w:type="paragraph" w:customStyle="1" w:styleId="58">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59">
    <w:name w:val="WPSOffice手动目录 3"/>
    <w:qFormat/>
    <w:uiPriority w:val="0"/>
    <w:pPr>
      <w:ind w:left="400" w:leftChars="400"/>
    </w:pPr>
    <w:rPr>
      <w:rFonts w:ascii="Times New Roman" w:hAnsi="Times New Roman" w:eastAsia="宋体" w:cs="Times New Roman"/>
      <w:sz w:val="20"/>
      <w:szCs w:val="20"/>
      <w:lang w:val="en-US" w:eastAsia="zh-CN" w:bidi="ar-SA"/>
    </w:rPr>
  </w:style>
  <w:style w:type="paragraph" w:customStyle="1" w:styleId="6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61">
    <w:name w:val="标题 1 Char"/>
    <w:basedOn w:val="17"/>
    <w:link w:val="5"/>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a:t>
            </a:r>
            <a:endParaRPr lang="zh-CN"/>
          </a:p>
        </c:rich>
      </c:tx>
      <c:layout/>
      <c:overlay val="0"/>
      <c:spPr>
        <a:noFill/>
        <a:ln>
          <a:noFill/>
        </a:ln>
      </c:spPr>
    </c:title>
    <c:autoTitleDeleted val="0"/>
    <c:plotArea>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en-US" altLang="zh-CN" sz="900" b="0" i="0" u="none" strike="noStrike" baseline="0">
                        <a:solidFill>
                          <a:srgbClr val="404040"/>
                        </a:solidFill>
                        <a:latin typeface="Times New Roman" panose="02020603050405020304"/>
                        <a:ea typeface="宋体" panose="02010600030101010101" charset="-122"/>
                        <a:cs typeface="Lucida Sans"/>
                      </a:rPr>
                      <a:t>97.55</a:t>
                    </a:r>
                    <a:r>
                      <a:rPr lang="zh-CN" sz="900" b="0" i="0" u="none" strike="noStrike" baseline="0">
                        <a:solidFill>
                          <a:srgbClr val="404040"/>
                        </a:solidFill>
                        <a:latin typeface="Times New Roman" panose="02020603050405020304"/>
                        <a:ea typeface="宋体" panose="02010600030101010101" charset="-122"/>
                        <a:cs typeface="Lucida Sans"/>
                      </a:rPr>
                      <a:t>%</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en-US" altLang="zh-CN" sz="900" b="0" i="0" u="none" strike="noStrike" baseline="0">
                        <a:solidFill>
                          <a:srgbClr val="404040"/>
                        </a:solidFill>
                        <a:latin typeface="Times New Roman" panose="02020603050405020304"/>
                        <a:ea typeface="宋体" panose="02010600030101010101" charset="-122"/>
                        <a:cs typeface="Lucida Sans"/>
                      </a:rPr>
                      <a:t>2.45</a:t>
                    </a:r>
                    <a:r>
                      <a:rPr lang="zh-CN" sz="900" b="0" i="0" u="none" strike="noStrike" baseline="0">
                        <a:solidFill>
                          <a:srgbClr val="404040"/>
                        </a:solidFill>
                        <a:latin typeface="Times New Roman" panose="02020603050405020304"/>
                        <a:ea typeface="宋体" panose="02010600030101010101" charset="-122"/>
                        <a:cs typeface="Lucida Sans"/>
                      </a:rPr>
                      <a:t>%</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0.9344</c:v>
                </c:pt>
                <c:pt idx="1">
                  <c:v>0.0656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1"/>
  </customShpExts>
</s:customData>
</file>

<file path=customXml/item2.xml><?xml version="1.0" encoding="utf-8"?>
<customData xmlns="http://www.yozosoft.com.cn/officeDocument/2016/customData">
  <customProps xmlns="http://www.yozosoft.com.cn/officeDocument/2016/customData">
    <docPr xmlns="http://www.yozosoft.com.cn/officeDocument/2016/customData"/>
    <sectPr xmlns="http://www.yozosoft.com.cn/officeDocument/2016/customData"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30F596-B437-442A-A532-8ED397237CCF}">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6110</Words>
  <Characters>6602</Characters>
  <Lines>374</Lines>
  <Paragraphs>155</Paragraphs>
  <TotalTime>0</TotalTime>
  <ScaleCrop>false</ScaleCrop>
  <LinksUpToDate>false</LinksUpToDate>
  <CharactersWithSpaces>7055</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2024-09-23T10:54:00Z</cp:lastPrinted>
  <dcterms:modified xsi:type="dcterms:W3CDTF">2024-09-23T17:48:11Z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A89CCA93B5EF493184873443FFD72BB1</vt:lpwstr>
  </property>
</Properties>
</file>