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7193"/>
      <w:bookmarkStart w:id="4" w:name="_Toc15377425"/>
      <w:bookmarkStart w:id="5" w:name="_Toc15378441"/>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96476"/>
      <w:bookmarkStart w:id="7" w:name="_Toc15378442"/>
      <w:bookmarkStart w:id="8" w:name="_Toc15377194"/>
      <w:bookmarkStart w:id="9" w:name="_Toc15396598"/>
      <w:bookmarkStart w:id="10" w:name="_Toc1537742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茂县林业和草原局部门决算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hint="eastAsia" w:ascii="黑体" w:hAnsi="黑体" w:eastAsia="黑体"/>
          <w:color w:val="000000"/>
          <w:sz w:val="48"/>
          <w:szCs w:val="48"/>
        </w:rPr>
      </w:pPr>
    </w:p>
    <w:p>
      <w:pPr>
        <w:pStyle w:val="10"/>
        <w:adjustRightInd w:val="0"/>
        <w:snapToGrid w:val="0"/>
        <w:spacing w:before="0" w:line="440" w:lineRule="exact"/>
        <w:jc w:val="left"/>
        <w:rPr>
          <w:rFonts w:hint="default" w:ascii="仿宋_GB2312" w:eastAsia="仿宋_GB2312" w:cstheme="minorBidi"/>
          <w:sz w:val="32"/>
          <w:szCs w:val="32"/>
          <w:lang w:val="en-US" w:eastAsia="zh-CN"/>
        </w:rPr>
      </w:pPr>
      <w:r>
        <w:rPr>
          <w:rFonts w:hint="eastAsia" w:ascii="仿宋_GB2312" w:eastAsia="仿宋_GB2312"/>
          <w:sz w:val="32"/>
          <w:szCs w:val="32"/>
        </w:rPr>
        <w:t>第一部分 部门概况</w:t>
      </w:r>
      <w:r>
        <w:rPr>
          <w:rFonts w:hint="eastAsia" w:ascii="仿宋_GB2312" w:eastAsia="仿宋_GB2312"/>
          <w:sz w:val="32"/>
          <w:szCs w:val="32"/>
          <w:lang w:val="en-US" w:eastAsia="zh-CN"/>
        </w:rPr>
        <w:t>.................................4</w:t>
      </w:r>
    </w:p>
    <w:p>
      <w:pPr>
        <w:pStyle w:val="11"/>
        <w:adjustRightInd w:val="0"/>
        <w:snapToGrid w:val="0"/>
        <w:spacing w:line="440" w:lineRule="exact"/>
        <w:jc w:val="left"/>
        <w:rPr>
          <w:rFonts w:hint="default" w:ascii="仿宋_GB2312" w:hAnsi="仿宋" w:eastAsia="仿宋_GB2312"/>
          <w:sz w:val="32"/>
          <w:szCs w:val="32"/>
          <w:lang w:val="en-US" w:eastAsia="zh-CN"/>
        </w:rPr>
      </w:pPr>
      <w:r>
        <w:rPr>
          <w:rFonts w:hint="eastAsia" w:ascii="仿宋_GB2312" w:eastAsia="仿宋_GB2312"/>
          <w:sz w:val="32"/>
          <w:szCs w:val="32"/>
        </w:rPr>
        <w:t>一、基本职能及主要工作</w:t>
      </w:r>
      <w:r>
        <w:rPr>
          <w:rFonts w:hint="eastAsia" w:ascii="仿宋_GB2312" w:eastAsia="仿宋_GB2312"/>
          <w:sz w:val="32"/>
          <w:szCs w:val="32"/>
          <w:lang w:val="en-US" w:eastAsia="zh-CN"/>
        </w:rPr>
        <w:t>.........................4</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二、机构设置</w:t>
      </w:r>
      <w:r>
        <w:rPr>
          <w:rFonts w:hint="eastAsia" w:ascii="仿宋_GB2312" w:eastAsia="仿宋_GB2312"/>
          <w:sz w:val="32"/>
          <w:szCs w:val="32"/>
          <w:lang w:val="en-US" w:eastAsia="zh-CN"/>
        </w:rPr>
        <w:t>...................................8</w:t>
      </w:r>
    </w:p>
    <w:p>
      <w:pPr>
        <w:pStyle w:val="10"/>
        <w:adjustRightInd w:val="0"/>
        <w:snapToGrid w:val="0"/>
        <w:spacing w:before="0" w:line="440" w:lineRule="exact"/>
        <w:jc w:val="left"/>
        <w:rPr>
          <w:rFonts w:hint="default" w:ascii="仿宋_GB2312" w:eastAsia="仿宋_GB2312"/>
          <w:sz w:val="32"/>
          <w:szCs w:val="32"/>
          <w:lang w:val="en-US" w:eastAsia="zh-CN"/>
        </w:rPr>
      </w:pPr>
      <w:r>
        <w:rPr>
          <w:rFonts w:hint="eastAsia" w:ascii="仿宋_GB2312" w:eastAsia="仿宋_GB2312"/>
          <w:sz w:val="32"/>
          <w:szCs w:val="32"/>
        </w:rPr>
        <w:t>第二部分度部门决算情况说明</w:t>
      </w:r>
      <w:r>
        <w:rPr>
          <w:rFonts w:hint="eastAsia" w:ascii="仿宋_GB2312" w:eastAsia="仿宋_GB2312"/>
          <w:sz w:val="32"/>
          <w:szCs w:val="32"/>
          <w:lang w:val="en-US" w:eastAsia="zh-CN"/>
        </w:rPr>
        <w:t>........................9</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一、收入支出决算总体情况说明</w:t>
      </w:r>
      <w:r>
        <w:rPr>
          <w:rFonts w:hint="eastAsia" w:ascii="仿宋_GB2312" w:eastAsia="仿宋_GB2312"/>
          <w:sz w:val="32"/>
          <w:szCs w:val="32"/>
          <w:lang w:val="en-US" w:eastAsia="zh-CN"/>
        </w:rPr>
        <w:t>...................9</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二、收入决算情况说明</w:t>
      </w:r>
      <w:r>
        <w:rPr>
          <w:rFonts w:hint="eastAsia" w:ascii="仿宋_GB2312" w:eastAsia="仿宋_GB2312"/>
          <w:sz w:val="32"/>
          <w:szCs w:val="32"/>
          <w:lang w:val="en-US" w:eastAsia="zh-CN"/>
        </w:rPr>
        <w:t>...........................9</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三、支出决算情况说明</w:t>
      </w:r>
      <w:r>
        <w:rPr>
          <w:rFonts w:hint="eastAsia" w:ascii="仿宋_GB2312" w:eastAsia="仿宋_GB2312"/>
          <w:sz w:val="32"/>
          <w:szCs w:val="32"/>
          <w:lang w:val="en-US" w:eastAsia="zh-CN"/>
        </w:rPr>
        <w:t>...........................10</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四、财政拨款收入支出决算总体情况说明</w:t>
      </w:r>
      <w:r>
        <w:rPr>
          <w:rFonts w:hint="eastAsia" w:ascii="仿宋_GB2312" w:eastAsia="仿宋_GB2312"/>
          <w:sz w:val="32"/>
          <w:szCs w:val="32"/>
          <w:lang w:val="en-US" w:eastAsia="zh-CN"/>
        </w:rPr>
        <w:t>...........11</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五、一般公共预算财政拨款支出决算情况说明</w:t>
      </w:r>
      <w:r>
        <w:rPr>
          <w:rFonts w:hint="eastAsia" w:ascii="仿宋_GB2312" w:eastAsia="仿宋_GB2312"/>
          <w:sz w:val="32"/>
          <w:szCs w:val="32"/>
          <w:lang w:val="en-US" w:eastAsia="zh-CN"/>
        </w:rPr>
        <w:t>.......11</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六、一般公共预算财政拨款基本支出决算情况说明</w:t>
      </w:r>
      <w:r>
        <w:rPr>
          <w:rFonts w:hint="eastAsia" w:ascii="仿宋_GB2312" w:eastAsia="仿宋_GB2312"/>
          <w:sz w:val="32"/>
          <w:szCs w:val="32"/>
          <w:lang w:val="en-US" w:eastAsia="zh-CN"/>
        </w:rPr>
        <w:t>...14</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七、“三公”经费财政拨款支出决算情况说明</w:t>
      </w:r>
      <w:r>
        <w:rPr>
          <w:rFonts w:hint="eastAsia" w:ascii="仿宋_GB2312" w:eastAsia="仿宋_GB2312"/>
          <w:sz w:val="32"/>
          <w:szCs w:val="32"/>
          <w:lang w:val="en-US" w:eastAsia="zh-CN"/>
        </w:rPr>
        <w:t>........15</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eastAsia="仿宋_GB2312"/>
          <w:sz w:val="32"/>
          <w:szCs w:val="32"/>
        </w:rPr>
        <w:t>八、政府性基金预算支出决算情况说明</w:t>
      </w:r>
      <w:r>
        <w:rPr>
          <w:rFonts w:hint="eastAsia" w:ascii="仿宋_GB2312" w:eastAsia="仿宋_GB2312"/>
          <w:sz w:val="32"/>
          <w:szCs w:val="32"/>
          <w:lang w:val="en-US" w:eastAsia="zh-CN"/>
        </w:rPr>
        <w:t>.............16</w:t>
      </w:r>
    </w:p>
    <w:p>
      <w:pPr>
        <w:pStyle w:val="11"/>
        <w:adjustRightInd w:val="0"/>
        <w:snapToGrid w:val="0"/>
        <w:spacing w:line="440" w:lineRule="exact"/>
        <w:ind w:leftChars="0"/>
        <w:jc w:val="left"/>
        <w:rPr>
          <w:rFonts w:hint="default" w:ascii="仿宋_GB2312" w:hAnsi="仿宋" w:eastAsia="仿宋_GB2312"/>
          <w:sz w:val="32"/>
          <w:szCs w:val="32"/>
          <w:lang w:val="en-US" w:eastAsia="zh-CN"/>
        </w:rPr>
      </w:pPr>
      <w:r>
        <w:rPr>
          <w:rFonts w:hint="eastAsia" w:ascii="仿宋_GB2312" w:hAnsi="仿宋" w:eastAsia="仿宋_GB2312"/>
          <w:sz w:val="32"/>
          <w:szCs w:val="32"/>
        </w:rPr>
        <w:t>九、</w:t>
      </w:r>
      <w:r>
        <w:rPr>
          <w:rFonts w:hint="eastAsia" w:ascii="仿宋_GB2312" w:eastAsia="仿宋_GB2312"/>
          <w:sz w:val="32"/>
          <w:szCs w:val="32"/>
        </w:rPr>
        <w:t>国有资本经营预算支出决算情况说明</w:t>
      </w:r>
      <w:r>
        <w:rPr>
          <w:rFonts w:hint="eastAsia" w:ascii="仿宋_GB2312" w:eastAsia="仿宋_GB2312"/>
          <w:sz w:val="32"/>
          <w:szCs w:val="32"/>
          <w:lang w:val="en-US" w:eastAsia="zh-CN"/>
        </w:rPr>
        <w:t>..........16</w:t>
      </w:r>
    </w:p>
    <w:p>
      <w:pPr>
        <w:adjustRightInd w:val="0"/>
        <w:snapToGrid w:val="0"/>
        <w:spacing w:line="440" w:lineRule="exact"/>
        <w:ind w:firstLine="320" w:firstLineChars="100"/>
        <w:jc w:val="left"/>
        <w:rPr>
          <w:rFonts w:hint="eastAsia" w:ascii="仿宋_GB2312" w:hAnsi="仿宋" w:eastAsia="仿宋_GB2312" w:cstheme="minorBidi"/>
          <w:sz w:val="32"/>
          <w:szCs w:val="32"/>
        </w:rPr>
      </w:pPr>
      <w:r>
        <w:rPr>
          <w:rStyle w:val="15"/>
          <w:rFonts w:hint="eastAsia" w:ascii="仿宋_GB2312" w:hAnsi="仿宋" w:eastAsia="仿宋_GB2312"/>
          <w:color w:val="000000" w:themeColor="text1"/>
          <w:sz w:val="32"/>
          <w:szCs w:val="32"/>
          <w:u w:val="none"/>
        </w:rPr>
        <w:t>十、</w:t>
      </w:r>
      <w:r>
        <w:rPr>
          <w:rFonts w:hint="eastAsia" w:ascii="仿宋_GB2312" w:eastAsia="仿宋_GB2312"/>
          <w:sz w:val="32"/>
          <w:szCs w:val="32"/>
        </w:rPr>
        <w:t>其他重要事项的情况说明</w:t>
      </w:r>
      <w:r>
        <w:rPr>
          <w:rFonts w:hint="eastAsia" w:ascii="仿宋_GB2312" w:eastAsia="仿宋_GB2312"/>
          <w:sz w:val="32"/>
          <w:szCs w:val="32"/>
          <w:lang w:val="en-US" w:eastAsia="zh-CN"/>
        </w:rPr>
        <w:t>.....................17</w:t>
      </w:r>
    </w:p>
    <w:p>
      <w:pPr>
        <w:pStyle w:val="10"/>
        <w:adjustRightInd w:val="0"/>
        <w:snapToGrid w:val="0"/>
        <w:spacing w:before="0" w:line="440" w:lineRule="exact"/>
        <w:jc w:val="left"/>
        <w:rPr>
          <w:rFonts w:hint="default" w:ascii="仿宋_GB2312" w:eastAsia="仿宋_GB2312" w:cstheme="minorBidi"/>
          <w:sz w:val="32"/>
          <w:szCs w:val="32"/>
          <w:lang w:val="en-US" w:eastAsia="zh-CN"/>
        </w:rPr>
      </w:pPr>
      <w:r>
        <w:rPr>
          <w:rFonts w:hint="eastAsia" w:ascii="仿宋_GB2312" w:eastAsia="仿宋_GB2312"/>
          <w:sz w:val="32"/>
          <w:szCs w:val="32"/>
        </w:rPr>
        <w:t>第三部分 名词解释</w:t>
      </w:r>
      <w:r>
        <w:rPr>
          <w:rFonts w:hint="eastAsia" w:ascii="仿宋_GB2312" w:eastAsia="仿宋_GB2312"/>
          <w:sz w:val="32"/>
          <w:szCs w:val="32"/>
          <w:lang w:val="en-US" w:eastAsia="zh-CN"/>
        </w:rPr>
        <w:t>................................27</w:t>
      </w:r>
    </w:p>
    <w:p>
      <w:pPr>
        <w:pStyle w:val="10"/>
        <w:adjustRightInd w:val="0"/>
        <w:snapToGrid w:val="0"/>
        <w:spacing w:before="0" w:line="440" w:lineRule="exact"/>
        <w:ind w:left="320" w:hanging="320" w:hangingChars="100"/>
        <w:jc w:val="left"/>
        <w:rPr>
          <w:rFonts w:hint="eastAsia" w:ascii="仿宋_GB2312" w:eastAsia="仿宋_GB2312"/>
          <w:sz w:val="32"/>
          <w:szCs w:val="32"/>
          <w:lang w:val="en-US" w:eastAsia="zh-CN"/>
        </w:rPr>
      </w:pPr>
      <w:r>
        <w:rPr>
          <w:rFonts w:hint="eastAsia" w:ascii="仿宋_GB2312" w:eastAsia="仿宋_GB2312"/>
          <w:sz w:val="32"/>
          <w:szCs w:val="32"/>
        </w:rPr>
        <w:t>第四部分 附件</w:t>
      </w:r>
      <w:r>
        <w:rPr>
          <w:rFonts w:hint="eastAsia" w:ascii="仿宋_GB2312" w:eastAsia="仿宋_GB2312"/>
          <w:sz w:val="32"/>
          <w:szCs w:val="32"/>
          <w:lang w:val="en-US" w:eastAsia="zh-CN"/>
        </w:rPr>
        <w:t>....................................30</w:t>
      </w:r>
      <w:r>
        <w:rPr>
          <w:rFonts w:hint="eastAsia" w:ascii="仿宋_GB2312" w:eastAsia="仿宋_GB2312"/>
          <w:sz w:val="32"/>
          <w:szCs w:val="32"/>
        </w:rPr>
        <w:t>附件1</w:t>
      </w:r>
      <w:r>
        <w:rPr>
          <w:rFonts w:hint="eastAsia" w:ascii="仿宋_GB2312" w:eastAsia="仿宋_GB2312"/>
          <w:sz w:val="32"/>
          <w:szCs w:val="32"/>
          <w:lang w:eastAsia="zh-CN"/>
        </w:rPr>
        <w:t>：</w:t>
      </w:r>
      <w:r>
        <w:rPr>
          <w:rFonts w:hint="eastAsia" w:ascii="仿宋_GB2312" w:eastAsia="仿宋_GB2312"/>
          <w:sz w:val="32"/>
          <w:szCs w:val="32"/>
          <w:lang w:val="en-US" w:eastAsia="zh-CN"/>
        </w:rPr>
        <w:t>茂县林业和草原局2019年部门整体支出绩效评价报告...........................................30</w:t>
      </w:r>
    </w:p>
    <w:p>
      <w:pPr>
        <w:pStyle w:val="10"/>
        <w:adjustRightInd w:val="0"/>
        <w:snapToGrid w:val="0"/>
        <w:spacing w:before="0" w:line="440" w:lineRule="exact"/>
        <w:ind w:left="319" w:leftChars="152" w:firstLine="0" w:firstLineChars="0"/>
        <w:jc w:val="left"/>
        <w:rPr>
          <w:rFonts w:hint="default" w:ascii="仿宋_GB2312" w:eastAsia="仿宋_GB2312"/>
          <w:sz w:val="32"/>
          <w:szCs w:val="32"/>
          <w:lang w:val="en-US" w:eastAsia="zh-CN"/>
        </w:rPr>
      </w:pPr>
      <w:r>
        <w:rPr>
          <w:rFonts w:hint="eastAsia" w:ascii="仿宋_GB2312" w:eastAsia="仿宋_GB2312"/>
          <w:sz w:val="32"/>
          <w:szCs w:val="32"/>
        </w:rPr>
        <w:t>附件2</w:t>
      </w:r>
      <w:r>
        <w:rPr>
          <w:rFonts w:hint="eastAsia" w:ascii="仿宋_GB2312" w:eastAsia="仿宋_GB2312"/>
          <w:sz w:val="32"/>
          <w:szCs w:val="32"/>
          <w:lang w:eastAsia="zh-CN"/>
        </w:rPr>
        <w:t>：草原管护补助项目</w:t>
      </w:r>
      <w:r>
        <w:rPr>
          <w:rFonts w:hint="eastAsia" w:ascii="仿宋_GB2312" w:eastAsia="仿宋_GB2312"/>
          <w:sz w:val="32"/>
          <w:szCs w:val="32"/>
          <w:lang w:val="en-US" w:eastAsia="zh-CN"/>
        </w:rPr>
        <w:t>2019年绩效评价报告.....36</w:t>
      </w:r>
      <w:r>
        <w:rPr>
          <w:rFonts w:hint="eastAsia" w:ascii="仿宋_GB2312" w:hAnsi="Times New Roman" w:eastAsia="仿宋_GB2312" w:cs="Times New Roman"/>
          <w:spacing w:val="-6"/>
          <w:kern w:val="2"/>
          <w:sz w:val="32"/>
          <w:szCs w:val="32"/>
          <w:lang w:val="en-US" w:eastAsia="zh-CN" w:bidi="ar-SA"/>
        </w:rPr>
        <w:t>附件</w:t>
      </w:r>
      <w:r>
        <w:rPr>
          <w:rFonts w:hint="eastAsia" w:ascii="仿宋_GB2312" w:eastAsia="仿宋_GB2312" w:cs="Times New Roman"/>
          <w:spacing w:val="-6"/>
          <w:kern w:val="2"/>
          <w:sz w:val="32"/>
          <w:szCs w:val="32"/>
          <w:lang w:val="en-US" w:eastAsia="zh-CN" w:bidi="ar-SA"/>
        </w:rPr>
        <w:t>3：</w:t>
      </w:r>
      <w:r>
        <w:rPr>
          <w:rFonts w:hint="eastAsia" w:ascii="仿宋_GB2312" w:eastAsia="仿宋_GB2312"/>
          <w:spacing w:val="-6"/>
          <w:sz w:val="32"/>
          <w:szCs w:val="32"/>
          <w:lang w:val="en-US" w:eastAsia="zh-CN"/>
        </w:rPr>
        <w:t>天然林停伐管护补助项目2019年绩效评价报告.40</w:t>
      </w:r>
    </w:p>
    <w:p>
      <w:pP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附件</w:t>
      </w:r>
      <w:r>
        <w:rPr>
          <w:rFonts w:hint="eastAsia" w:ascii="仿宋_GB2312" w:eastAsia="仿宋_GB2312"/>
          <w:sz w:val="32"/>
          <w:szCs w:val="32"/>
          <w:lang w:val="en-US" w:eastAsia="zh-CN"/>
        </w:rPr>
        <w:t>4：生态护林员补助项目2019年绩效评价报告....45</w:t>
      </w:r>
    </w:p>
    <w:p>
      <w:pP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z w:val="32"/>
          <w:szCs w:val="32"/>
        </w:rPr>
        <w:t>附件</w:t>
      </w:r>
      <w:r>
        <w:rPr>
          <w:rFonts w:hint="eastAsia" w:ascii="仿宋_GB2312" w:eastAsia="仿宋_GB2312"/>
          <w:sz w:val="32"/>
          <w:szCs w:val="32"/>
          <w:lang w:val="en-US" w:eastAsia="zh-CN"/>
        </w:rPr>
        <w:t>5：集体和个人所有国家级公益林项目2019年绩效评价报告...........................................49</w:t>
      </w:r>
    </w:p>
    <w:p>
      <w:pPr>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spacing w:val="-6"/>
          <w:sz w:val="32"/>
          <w:szCs w:val="32"/>
        </w:rPr>
        <w:t>附件</w:t>
      </w:r>
      <w:r>
        <w:rPr>
          <w:rFonts w:hint="eastAsia" w:ascii="仿宋_GB2312" w:eastAsia="仿宋_GB2312"/>
          <w:spacing w:val="-6"/>
          <w:sz w:val="32"/>
          <w:szCs w:val="32"/>
          <w:lang w:val="en-US" w:eastAsia="zh-CN"/>
        </w:rPr>
        <w:t>6：天保工程区管护补助项目2019年绩效评价报告</w:t>
      </w:r>
      <w:r>
        <w:rPr>
          <w:rFonts w:hint="eastAsia" w:ascii="仿宋_GB2312" w:eastAsia="仿宋_GB2312"/>
          <w:sz w:val="32"/>
          <w:szCs w:val="32"/>
          <w:lang w:val="en-US" w:eastAsia="zh-CN"/>
        </w:rPr>
        <w:t>..53</w:t>
      </w:r>
    </w:p>
    <w:p>
      <w:pPr>
        <w:rPr>
          <w:rFonts w:hint="default" w:ascii="仿宋_GB2312" w:eastAsia="仿宋_GB2312" w:cstheme="minorBidi"/>
          <w:sz w:val="32"/>
          <w:szCs w:val="32"/>
          <w:lang w:val="en-US" w:eastAsia="zh-CN"/>
        </w:rPr>
      </w:pPr>
      <w:r>
        <w:rPr>
          <w:rFonts w:hint="eastAsia" w:ascii="仿宋_GB2312" w:eastAsia="仿宋_GB2312"/>
          <w:sz w:val="32"/>
          <w:szCs w:val="32"/>
        </w:rPr>
        <w:t>第五部分 附表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一、</w:t>
      </w:r>
      <w:r>
        <w:rPr>
          <w:rFonts w:hint="eastAsia" w:ascii="仿宋_GB2312" w:eastAsia="仿宋_GB2312"/>
          <w:sz w:val="32"/>
          <w:szCs w:val="32"/>
        </w:rPr>
        <w:t>收入支出决算总表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二、</w:t>
      </w:r>
      <w:r>
        <w:rPr>
          <w:rFonts w:hint="eastAsia" w:ascii="仿宋_GB2312" w:eastAsia="仿宋_GB2312"/>
          <w:sz w:val="32"/>
          <w:szCs w:val="32"/>
        </w:rPr>
        <w:t>收入</w:t>
      </w:r>
      <w:r>
        <w:rPr>
          <w:rFonts w:hint="eastAsia" w:ascii="仿宋_GB2312" w:hAnsi="仿宋" w:eastAsia="仿宋_GB2312"/>
          <w:sz w:val="32"/>
          <w:szCs w:val="32"/>
        </w:rPr>
        <w:t>决算</w:t>
      </w:r>
      <w:r>
        <w:rPr>
          <w:rFonts w:hint="eastAsia" w:ascii="仿宋_GB2312" w:eastAsia="仿宋_GB2312"/>
          <w:sz w:val="32"/>
          <w:szCs w:val="32"/>
        </w:rPr>
        <w:t>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三、</w:t>
      </w:r>
      <w:r>
        <w:rPr>
          <w:rFonts w:hint="eastAsia" w:ascii="仿宋_GB2312" w:eastAsia="仿宋_GB2312"/>
          <w:sz w:val="32"/>
          <w:szCs w:val="32"/>
        </w:rPr>
        <w:t>支出</w:t>
      </w:r>
      <w:r>
        <w:rPr>
          <w:rFonts w:hint="eastAsia" w:ascii="仿宋_GB2312" w:hAnsi="仿宋" w:eastAsia="仿宋_GB2312"/>
          <w:sz w:val="32"/>
          <w:szCs w:val="32"/>
        </w:rPr>
        <w:t>决算</w:t>
      </w:r>
      <w:r>
        <w:rPr>
          <w:rFonts w:hint="eastAsia" w:ascii="仿宋_GB2312" w:eastAsia="仿宋_GB2312"/>
          <w:sz w:val="32"/>
          <w:szCs w:val="32"/>
        </w:rPr>
        <w:t>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四、</w:t>
      </w:r>
      <w:r>
        <w:rPr>
          <w:rFonts w:hint="eastAsia" w:ascii="仿宋_GB2312" w:eastAsia="仿宋_GB2312"/>
          <w:sz w:val="32"/>
          <w:szCs w:val="32"/>
        </w:rPr>
        <w:t>财政拨款收入支出决算总表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sz w:val="32"/>
          <w:szCs w:val="32"/>
          <w:lang w:val="en-US" w:eastAsia="zh-CN"/>
        </w:rPr>
      </w:pPr>
      <w:r>
        <w:rPr>
          <w:rFonts w:hint="eastAsia" w:ascii="仿宋_GB2312" w:hAnsi="仿宋" w:eastAsia="仿宋_GB2312"/>
          <w:sz w:val="32"/>
          <w:szCs w:val="32"/>
        </w:rPr>
        <w:t>五、财政拨款支出决算明细表</w:t>
      </w:r>
      <w:r>
        <w:rPr>
          <w:rFonts w:hint="eastAsia" w:ascii="仿宋_GB2312" w:hAnsi="仿宋"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六、</w:t>
      </w:r>
      <w:r>
        <w:rPr>
          <w:rFonts w:hint="eastAsia" w:ascii="仿宋_GB2312" w:eastAsia="仿宋_GB2312"/>
          <w:sz w:val="32"/>
          <w:szCs w:val="32"/>
        </w:rPr>
        <w:t>一般公共预算财政拨款支出决算表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七、</w:t>
      </w:r>
      <w:r>
        <w:rPr>
          <w:rFonts w:hint="eastAsia" w:ascii="仿宋_GB2312" w:eastAsia="仿宋_GB2312"/>
          <w:sz w:val="32"/>
          <w:szCs w:val="32"/>
        </w:rPr>
        <w:t>一般公共预算财政拨款支出决算明细表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八、</w:t>
      </w:r>
      <w:r>
        <w:rPr>
          <w:rFonts w:hint="eastAsia" w:ascii="仿宋_GB2312" w:eastAsia="仿宋_GB2312"/>
          <w:sz w:val="32"/>
          <w:szCs w:val="32"/>
        </w:rPr>
        <w:t>一般公共预算财政拨款基本支出决算表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九、</w:t>
      </w:r>
      <w:r>
        <w:rPr>
          <w:rFonts w:hint="eastAsia" w:ascii="仿宋_GB2312" w:eastAsia="仿宋_GB2312"/>
          <w:sz w:val="32"/>
          <w:szCs w:val="32"/>
        </w:rPr>
        <w:t>一般公共预算财政拨款项目支出决算表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十、</w:t>
      </w:r>
      <w:r>
        <w:rPr>
          <w:rFonts w:hint="eastAsia" w:ascii="仿宋_GB2312" w:eastAsia="仿宋_GB2312"/>
          <w:sz w:val="32"/>
          <w:szCs w:val="32"/>
        </w:rPr>
        <w:t>一般公共预算财政拨款“三公”经费支出决算表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十一、</w:t>
      </w:r>
      <w:r>
        <w:rPr>
          <w:rFonts w:hint="eastAsia" w:ascii="仿宋_GB2312" w:eastAsia="仿宋_GB2312"/>
          <w:sz w:val="32"/>
          <w:szCs w:val="32"/>
        </w:rPr>
        <w:t>政府性基金预算财政拨款收入支出决算表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十二、</w:t>
      </w:r>
      <w:r>
        <w:rPr>
          <w:rFonts w:hint="eastAsia" w:ascii="仿宋_GB2312" w:eastAsia="仿宋_GB2312"/>
          <w:sz w:val="32"/>
          <w:szCs w:val="32"/>
        </w:rPr>
        <w:t>政府性基金预算财政拨款“三公”经费支出决算表</w:t>
      </w:r>
      <w:r>
        <w:rPr>
          <w:rFonts w:hint="eastAsia" w:ascii="仿宋_GB2312" w:eastAsia="仿宋_GB2312"/>
          <w:sz w:val="32"/>
          <w:szCs w:val="32"/>
          <w:lang w:val="en-US" w:eastAsia="zh-CN"/>
        </w:rPr>
        <w:t>.............................................58</w:t>
      </w:r>
    </w:p>
    <w:p>
      <w:pPr>
        <w:pStyle w:val="11"/>
        <w:adjustRightInd w:val="0"/>
        <w:snapToGrid w:val="0"/>
        <w:spacing w:line="440" w:lineRule="exact"/>
        <w:jc w:val="left"/>
        <w:rPr>
          <w:rFonts w:hint="default" w:ascii="仿宋_GB2312" w:hAnsi="仿宋" w:eastAsia="仿宋_GB2312" w:cstheme="minorBidi"/>
          <w:sz w:val="32"/>
          <w:szCs w:val="32"/>
          <w:lang w:val="en-US" w:eastAsia="zh-CN"/>
        </w:rPr>
      </w:pPr>
      <w:r>
        <w:rPr>
          <w:rFonts w:hint="eastAsia" w:ascii="仿宋_GB2312" w:hAnsi="仿宋" w:eastAsia="仿宋_GB2312"/>
          <w:sz w:val="32"/>
          <w:szCs w:val="32"/>
        </w:rPr>
        <w:t>十三、</w:t>
      </w:r>
      <w:r>
        <w:rPr>
          <w:rFonts w:hint="eastAsia" w:ascii="仿宋_GB2312" w:eastAsia="仿宋_GB2312"/>
          <w:sz w:val="32"/>
          <w:szCs w:val="32"/>
        </w:rPr>
        <w:t>国有资本经营预算支出决算表</w:t>
      </w:r>
      <w:r>
        <w:rPr>
          <w:rFonts w:hint="eastAsia" w:ascii="仿宋_GB2312" w:eastAsia="仿宋_GB2312"/>
          <w:sz w:val="32"/>
          <w:szCs w:val="32"/>
          <w:lang w:val="en-US" w:eastAsia="zh-CN"/>
        </w:rPr>
        <w:t>...............58</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spacing w:line="560" w:lineRule="atLeast"/>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560" w:lineRule="atLeast"/>
        <w:ind w:firstLine="643" w:firstLineChars="200"/>
        <w:outlineLvl w:val="2"/>
        <w:rPr>
          <w:rFonts w:ascii="楷体" w:hAnsi="楷体" w:eastAsia="楷体"/>
          <w:b/>
          <w:bCs/>
          <w:color w:val="000000"/>
          <w:sz w:val="32"/>
          <w:szCs w:val="32"/>
        </w:rPr>
      </w:pPr>
      <w:bookmarkStart w:id="16" w:name="_Toc15378445"/>
      <w:bookmarkStart w:id="17" w:name="_Toc15377198"/>
      <w:r>
        <w:rPr>
          <w:rFonts w:hint="eastAsia" w:ascii="楷体" w:hAnsi="楷体" w:eastAsia="楷体"/>
          <w:b/>
          <w:bCs/>
          <w:color w:val="000000"/>
          <w:sz w:val="32"/>
          <w:szCs w:val="32"/>
        </w:rPr>
        <w:t>（一）主要</w:t>
      </w:r>
      <w:bookmarkEnd w:id="16"/>
      <w:bookmarkEnd w:id="17"/>
      <w:r>
        <w:rPr>
          <w:rFonts w:hint="eastAsia" w:ascii="楷体" w:hAnsi="楷体" w:eastAsia="楷体"/>
          <w:b/>
          <w:bCs/>
          <w:color w:val="000000"/>
          <w:sz w:val="32"/>
          <w:szCs w:val="32"/>
        </w:rPr>
        <w:t>职能</w:t>
      </w:r>
    </w:p>
    <w:p>
      <w:pPr>
        <w:pStyle w:val="5"/>
        <w:adjustRightInd w:val="0"/>
        <w:snapToGrid w:val="0"/>
        <w:spacing w:before="93" w:line="560" w:lineRule="exact"/>
        <w:ind w:firstLine="640" w:firstLineChars="200"/>
        <w:rPr>
          <w:bCs/>
          <w:sz w:val="32"/>
          <w:szCs w:val="32"/>
        </w:rPr>
      </w:pPr>
      <w:r>
        <w:rPr>
          <w:rFonts w:hint="eastAsia"/>
          <w:bCs/>
          <w:sz w:val="32"/>
          <w:szCs w:val="32"/>
        </w:rPr>
        <w:t>1.贯彻执行党和国家的林业方针、政策、法律、法规、规章和有关决议、决定，结合我县的实际和国民经济发展的需要，制定相应的实施办法并组织实施，完善林业政策和管理制度。</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2.</w:t>
      </w:r>
      <w:r>
        <w:rPr>
          <w:rFonts w:hint="eastAsia" w:ascii="仿宋_GB2312" w:eastAsia="仿宋_GB2312"/>
          <w:sz w:val="32"/>
          <w:szCs w:val="32"/>
        </w:rPr>
        <w:t>编制全县林业发展的中长期规划和年度计划，负责林业信息的收集整理，指导、协调林业生产建设总体布局，林业产业结构调整，森林资源和规划计划的实施，并指导林业企业产权制度改革和林业经济体制改革。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5.负责全县野生动物、植物资源的保护管理和合理开发利用，对宝顶沟自然保护区管理处工作进行指导；负责森林公园的规划、审批和上报审批、立项等工作。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6.指导和调控全县林业生产的发展，负责全县木材生产、采伐、运输、加工、综合利用，林产林化、森林旅游、木本药材等林业产业实行宏观管理、指导和监督；管理好林产品市场。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7.指导、监督全县林业系统财务工作；组织编制、上报或转报林业基本建设、多种经营、技术改造、转产项目并指导实施或直接组织实施。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10.负责规划、指导、实施山区林业综合开发，配合有关部门做好水土保持、林业扶贫等组织实施工作。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11.深入研究生态建设特别是自然保护区建设问题，稳步推进自然保护区体制创新。落实生态保护和建设的主体责任创新项目实施方式，全面推进川西藏区生态保护与建设工程、湿地保护、防沙治沙等项目建设。</w:t>
      </w:r>
    </w:p>
    <w:p>
      <w:pPr>
        <w:spacing w:line="560" w:lineRule="exact"/>
        <w:ind w:firstLine="640" w:firstLineChars="200"/>
        <w:rPr>
          <w:rFonts w:ascii="楷体_GB2312" w:eastAsia="楷体_GB2312"/>
          <w:sz w:val="32"/>
          <w:szCs w:val="32"/>
        </w:rPr>
      </w:pPr>
      <w:r>
        <w:rPr>
          <w:rFonts w:hint="eastAsia" w:ascii="仿宋_GB2312" w:eastAsia="仿宋_GB2312"/>
          <w:sz w:val="32"/>
          <w:szCs w:val="32"/>
        </w:rPr>
        <w:t>12.负责有关林业方面的涉外工作、承担县政府公布的有关行政审批事项、承办县政府交办的其他事项</w:t>
      </w:r>
      <w:r>
        <w:rPr>
          <w:rFonts w:hint="eastAsia" w:ascii="楷体_GB2312" w:eastAsia="楷体_GB2312"/>
          <w:sz w:val="32"/>
          <w:szCs w:val="32"/>
        </w:rPr>
        <w:t>。</w:t>
      </w:r>
    </w:p>
    <w:p>
      <w:pPr>
        <w:pStyle w:val="5"/>
        <w:adjustRightInd w:val="0"/>
        <w:snapToGrid w:val="0"/>
        <w:spacing w:before="93" w:line="560" w:lineRule="exact"/>
        <w:ind w:firstLine="643" w:firstLineChars="200"/>
        <w:outlineLvl w:val="2"/>
        <w:rPr>
          <w:rFonts w:ascii="楷体" w:hAnsi="楷体" w:eastAsia="楷体"/>
          <w:b/>
          <w:bCs/>
          <w:color w:val="000000"/>
          <w:sz w:val="32"/>
          <w:szCs w:val="32"/>
        </w:rPr>
      </w:pPr>
      <w:bookmarkStart w:id="18" w:name="_Toc15377199"/>
      <w:bookmarkStart w:id="19" w:name="_Toc15378446"/>
      <w:r>
        <w:rPr>
          <w:rFonts w:hint="eastAsia" w:ascii="楷体" w:hAnsi="楷体" w:eastAsia="楷体"/>
          <w:b/>
          <w:bCs/>
          <w:color w:val="000000"/>
          <w:sz w:val="32"/>
          <w:szCs w:val="32"/>
        </w:rPr>
        <w:t>（二）</w:t>
      </w:r>
      <w:r>
        <w:rPr>
          <w:rFonts w:ascii="楷体" w:hAnsi="楷体" w:eastAsia="楷体"/>
          <w:b/>
          <w:bCs/>
          <w:color w:val="000000"/>
          <w:sz w:val="32"/>
          <w:szCs w:val="32"/>
        </w:rPr>
        <w:t>201</w:t>
      </w:r>
      <w:r>
        <w:rPr>
          <w:rFonts w:hint="eastAsia" w:ascii="楷体" w:hAnsi="楷体" w:eastAsia="楷体"/>
          <w:b/>
          <w:bCs/>
          <w:color w:val="000000"/>
          <w:sz w:val="32"/>
          <w:szCs w:val="32"/>
        </w:rPr>
        <w:t>9年重点工作完成情况</w:t>
      </w:r>
      <w:bookmarkEnd w:id="18"/>
      <w:bookmarkEnd w:id="19"/>
    </w:p>
    <w:p>
      <w:pPr>
        <w:adjustRightInd w:val="0"/>
        <w:snapToGrid w:val="0"/>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前期工作。一是完成四个提升实验项目可研立项、预算、财评、物资采购、监理、施工工作。分别是：茂县凤仪镇小庙山绿化提升试验项目、茂县飞虹乡深沟村干旱河谷治理提升试验项目、茂县回龙乡小牛儿村干旱河谷治理提升试验项目、茂县石大关乡桃花村干旱河谷治理提升试验项目；二是完成两个干旱河谷综合治理植被恢复项目可研立项准备工作</w:t>
      </w:r>
      <w:r>
        <w:rPr>
          <w:rFonts w:hint="eastAsia" w:ascii="仿宋_GB2312" w:hAnsi="宋体" w:eastAsia="仿宋_GB2312" w:cs="宋体"/>
          <w:b/>
          <w:sz w:val="32"/>
          <w:szCs w:val="32"/>
        </w:rPr>
        <w:t>。</w:t>
      </w:r>
      <w:r>
        <w:rPr>
          <w:rFonts w:hint="eastAsia" w:ascii="仿宋_GB2312" w:hAnsi="宋体" w:eastAsia="仿宋_GB2312" w:cs="宋体"/>
          <w:sz w:val="32"/>
          <w:szCs w:val="32"/>
        </w:rPr>
        <w:t>分别是茂县沟口乡干旱河谷综合治理植被恢复项目、茂县白溪乡干旱河谷综合治理植被恢复项目。</w:t>
      </w:r>
    </w:p>
    <w:p>
      <w:pPr>
        <w:adjustRightInd w:val="0"/>
        <w:snapToGri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2.补植补造及管护</w:t>
      </w:r>
    </w:p>
    <w:p>
      <w:pPr>
        <w:adjustRightInd w:val="0"/>
        <w:snapToGrid w:val="0"/>
        <w:spacing w:line="560" w:lineRule="exact"/>
        <w:ind w:firstLine="640" w:firstLineChars="200"/>
        <w:rPr>
          <w:rFonts w:ascii="仿宋_GB2312" w:hAnsi="宋体" w:eastAsia="仿宋_GB2312" w:cs="宋体"/>
          <w:b/>
          <w:bCs/>
          <w:snapToGrid w:val="0"/>
          <w:sz w:val="32"/>
          <w:szCs w:val="32"/>
        </w:rPr>
      </w:pPr>
      <w:r>
        <w:rPr>
          <w:rFonts w:hint="eastAsia" w:ascii="仿宋_GB2312" w:hAnsi="宋体" w:eastAsia="仿宋_GB2312" w:cs="宋体"/>
          <w:bCs/>
          <w:sz w:val="32"/>
          <w:szCs w:val="32"/>
        </w:rPr>
        <w:t>(1)</w:t>
      </w:r>
      <w:r>
        <w:rPr>
          <w:rFonts w:hint="eastAsia" w:ascii="仿宋_GB2312" w:hAnsi="宋体" w:eastAsia="仿宋_GB2312" w:cs="宋体"/>
          <w:bCs/>
          <w:snapToGrid w:val="0"/>
          <w:sz w:val="32"/>
          <w:szCs w:val="32"/>
        </w:rPr>
        <w:t>补植补造</w:t>
      </w:r>
      <w:r>
        <w:rPr>
          <w:rFonts w:hint="eastAsia" w:ascii="仿宋_GB2312" w:hAnsi="宋体" w:eastAsia="仿宋_GB2312" w:cs="宋体"/>
          <w:b/>
          <w:bCs/>
          <w:snapToGrid w:val="0"/>
          <w:sz w:val="32"/>
          <w:szCs w:val="32"/>
        </w:rPr>
        <w:t>。</w:t>
      </w:r>
      <w:r>
        <w:rPr>
          <w:rFonts w:hint="eastAsia" w:ascii="仿宋_GB2312" w:hAnsi="宋体" w:eastAsia="仿宋_GB2312" w:cs="宋体"/>
          <w:bCs/>
          <w:sz w:val="32"/>
          <w:szCs w:val="32"/>
        </w:rPr>
        <w:t>造林次年开始连续2年对缺窝死苗进行补植补造，补植时间为造林后第二、第三年的3-5月。今年共计四个项目</w:t>
      </w:r>
      <w:r>
        <w:rPr>
          <w:rFonts w:hint="eastAsia" w:ascii="仿宋_GB2312" w:hAnsi="宋体" w:eastAsia="仿宋_GB2312" w:cs="宋体"/>
          <w:bCs/>
          <w:snapToGrid w:val="0"/>
          <w:sz w:val="32"/>
          <w:szCs w:val="32"/>
        </w:rPr>
        <w:t>补植补造工作已完成，即</w:t>
      </w:r>
      <w:r>
        <w:rPr>
          <w:rFonts w:hint="eastAsia" w:ascii="仿宋_GB2312" w:hAnsi="宋体" w:eastAsia="仿宋_GB2312" w:cs="宋体"/>
          <w:snapToGrid w:val="0"/>
          <w:kern w:val="0"/>
          <w:sz w:val="32"/>
          <w:szCs w:val="32"/>
        </w:rPr>
        <w:t>茂县石大关乡桃花村植被恢复项目、茂县2017年度国家重点生态功能区转移支付州统筹资金植被恢复项目及茂县叠溪镇新磨村植被恢复项目。</w:t>
      </w:r>
    </w:p>
    <w:p>
      <w:pPr>
        <w:adjustRightInd w:val="0"/>
        <w:snapToGrid w:val="0"/>
        <w:spacing w:line="560" w:lineRule="exact"/>
        <w:ind w:firstLine="640" w:firstLineChars="200"/>
        <w:rPr>
          <w:rFonts w:ascii="仿宋_GB2312" w:hAnsi="宋体" w:eastAsia="仿宋_GB2312" w:cs="宋体"/>
          <w:bCs/>
          <w:snapToGrid w:val="0"/>
          <w:sz w:val="32"/>
          <w:szCs w:val="32"/>
        </w:rPr>
      </w:pPr>
      <w:r>
        <w:rPr>
          <w:rFonts w:hint="eastAsia" w:ascii="仿宋_GB2312" w:hAnsi="宋体" w:eastAsia="仿宋_GB2312" w:cs="宋体"/>
          <w:snapToGrid w:val="0"/>
          <w:kern w:val="0"/>
          <w:sz w:val="32"/>
          <w:szCs w:val="32"/>
        </w:rPr>
        <w:t>(2)</w:t>
      </w:r>
      <w:r>
        <w:rPr>
          <w:rFonts w:hint="eastAsia" w:ascii="仿宋_GB2312" w:hAnsi="宋体" w:eastAsia="仿宋_GB2312" w:cs="宋体"/>
          <w:bCs/>
          <w:snapToGrid w:val="0"/>
          <w:sz w:val="32"/>
          <w:szCs w:val="32"/>
        </w:rPr>
        <w:t>抚育管护。2019年度进入管护阶段</w:t>
      </w:r>
      <w:r>
        <w:rPr>
          <w:rFonts w:hint="eastAsia" w:ascii="仿宋_GB2312" w:hAnsi="宋体" w:eastAsia="仿宋_GB2312" w:cs="宋体"/>
          <w:snapToGrid w:val="0"/>
          <w:sz w:val="32"/>
          <w:szCs w:val="32"/>
        </w:rPr>
        <w:t>共计七个项目，</w:t>
      </w:r>
      <w:r>
        <w:rPr>
          <w:rFonts w:hint="eastAsia" w:ascii="仿宋_GB2312" w:hAnsi="宋体" w:eastAsia="仿宋_GB2312" w:cs="宋体"/>
          <w:snapToGrid w:val="0"/>
          <w:kern w:val="0"/>
          <w:sz w:val="32"/>
          <w:szCs w:val="32"/>
        </w:rPr>
        <w:t>累计管护</w:t>
      </w:r>
      <w:r>
        <w:rPr>
          <w:rFonts w:hint="eastAsia" w:ascii="仿宋_GB2312" w:hAnsi="宋体" w:eastAsia="仿宋_GB2312" w:cs="宋体"/>
          <w:snapToGrid w:val="0"/>
          <w:sz w:val="32"/>
          <w:szCs w:val="32"/>
        </w:rPr>
        <w:t>面积</w:t>
      </w:r>
      <w:r>
        <w:rPr>
          <w:rFonts w:hint="eastAsia" w:ascii="仿宋_GB2312" w:hAnsi="宋体" w:eastAsia="仿宋_GB2312" w:cs="宋体"/>
          <w:sz w:val="32"/>
          <w:szCs w:val="32"/>
        </w:rPr>
        <w:t>7179</w:t>
      </w:r>
      <w:r>
        <w:rPr>
          <w:rFonts w:hint="eastAsia" w:ascii="仿宋_GB2312" w:hAnsi="宋体" w:eastAsia="仿宋_GB2312" w:cs="宋体"/>
          <w:snapToGrid w:val="0"/>
          <w:sz w:val="32"/>
          <w:szCs w:val="32"/>
        </w:rPr>
        <w:t>亩，管护费98.69万元。其中：</w:t>
      </w:r>
      <w:r>
        <w:rPr>
          <w:rFonts w:hint="eastAsia" w:ascii="仿宋_GB2312" w:hAnsi="宋体" w:eastAsia="仿宋_GB2312" w:cs="宋体"/>
          <w:snapToGrid w:val="0"/>
          <w:kern w:val="0"/>
          <w:sz w:val="32"/>
          <w:szCs w:val="32"/>
        </w:rPr>
        <w:t>茂县绿色生态长廊建设项目管护折合有效面积160亩，茂县凤仪镇水西村大沟水生态修复项目管护折合有效面积36亩，</w:t>
      </w:r>
      <w:r>
        <w:rPr>
          <w:rFonts w:hint="eastAsia" w:ascii="仿宋_GB2312" w:hAnsi="宋体" w:eastAsia="仿宋_GB2312" w:cs="宋体"/>
          <w:kern w:val="0"/>
          <w:sz w:val="32"/>
          <w:szCs w:val="32"/>
        </w:rPr>
        <w:t>2016年低效防护林改造建设项目</w:t>
      </w:r>
      <w:r>
        <w:rPr>
          <w:rFonts w:hint="eastAsia" w:ascii="仿宋_GB2312" w:hAnsi="宋体" w:eastAsia="仿宋_GB2312" w:cs="宋体"/>
          <w:snapToGrid w:val="0"/>
          <w:kern w:val="0"/>
          <w:sz w:val="32"/>
          <w:szCs w:val="32"/>
        </w:rPr>
        <w:t>管护面积586亩，茂县飞虹乡深沟村干旱河谷综合治理项目管护面积2000亩，茂县石大关乡桃花村植被恢复项目管护面积1455亩，茂县2017年度国家重点生态功能区转移支付州统筹资金植被恢复项目管护面积2840亩，茂县叠溪镇新磨村植被恢复项目管护面积102亩。</w:t>
      </w:r>
    </w:p>
    <w:p>
      <w:pPr>
        <w:adjustRightInd w:val="0"/>
        <w:snapToGrid w:val="0"/>
        <w:spacing w:line="560" w:lineRule="exact"/>
        <w:ind w:firstLine="640" w:firstLineChars="200"/>
        <w:rPr>
          <w:rFonts w:ascii="仿宋_GB2312" w:hAnsi="黑体" w:eastAsia="仿宋_GB2312" w:cs="宋体"/>
          <w:bCs/>
          <w:kern w:val="0"/>
          <w:sz w:val="32"/>
          <w:szCs w:val="32"/>
        </w:rPr>
      </w:pPr>
      <w:r>
        <w:rPr>
          <w:rFonts w:hint="eastAsia" w:ascii="仿宋_GB2312" w:hAnsi="黑体" w:eastAsia="仿宋_GB2312" w:cs="宋体"/>
          <w:bCs/>
          <w:kern w:val="0"/>
          <w:sz w:val="32"/>
          <w:szCs w:val="32"/>
        </w:rPr>
        <w:t>3.全县绿化工作</w:t>
      </w:r>
    </w:p>
    <w:p>
      <w:pPr>
        <w:adjustRightInd w:val="0"/>
        <w:snapToGrid w:val="0"/>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以“3.12”植树节、“3.21”国际森林日等为契机，动员和引导广大人民群众投身茂县国土绿化，积极开展全民义务植树活动，掀起春季植树造林高潮。3月至4月，茂县各企事业单位积极响应，根据实际情况开展形式多样、各具特色的春季义务植树活动。本年度参加义务植树5.48万人，栽植李子、岷江柏、侧柏、刺槐、云杉等苗木27.73万株，尽责率93%。</w:t>
      </w:r>
    </w:p>
    <w:p>
      <w:pPr>
        <w:adjustRightInd w:val="0"/>
        <w:snapToGrid w:val="0"/>
        <w:spacing w:line="560" w:lineRule="exact"/>
        <w:ind w:firstLine="640" w:firstLineChars="200"/>
        <w:rPr>
          <w:rFonts w:ascii="仿宋_GB2312" w:hAnsi="黑体" w:eastAsia="仿宋_GB2312" w:cs="宋体"/>
          <w:bCs/>
          <w:kern w:val="0"/>
          <w:sz w:val="32"/>
          <w:szCs w:val="32"/>
        </w:rPr>
      </w:pPr>
      <w:r>
        <w:rPr>
          <w:rFonts w:hint="eastAsia" w:ascii="仿宋_GB2312" w:hAnsi="黑体" w:eastAsia="仿宋_GB2312" w:cs="宋体"/>
          <w:bCs/>
          <w:kern w:val="0"/>
          <w:sz w:val="32"/>
          <w:szCs w:val="32"/>
        </w:rPr>
        <w:t>4.</w:t>
      </w:r>
      <w:r>
        <w:rPr>
          <w:rFonts w:hint="eastAsia" w:ascii="仿宋_GB2312" w:hAnsi="黑体" w:eastAsia="仿宋_GB2312" w:cs="宋体"/>
          <w:bCs/>
          <w:kern w:val="0"/>
          <w:sz w:val="32"/>
          <w:szCs w:val="32"/>
          <w:lang w:eastAsia="zh-CN"/>
        </w:rPr>
        <w:t>购买</w:t>
      </w:r>
      <w:r>
        <w:rPr>
          <w:rFonts w:hint="eastAsia" w:ascii="仿宋_GB2312" w:hAnsi="黑体" w:eastAsia="仿宋_GB2312" w:cs="宋体"/>
          <w:bCs/>
          <w:kern w:val="0"/>
          <w:sz w:val="32"/>
          <w:szCs w:val="32"/>
        </w:rPr>
        <w:t>种苗</w:t>
      </w:r>
    </w:p>
    <w:p>
      <w:pPr>
        <w:adjustRightInd w:val="0"/>
        <w:snapToGrid w:val="0"/>
        <w:spacing w:line="560" w:lineRule="exact"/>
        <w:ind w:firstLine="640" w:firstLineChars="200"/>
        <w:rPr>
          <w:rFonts w:ascii="仿宋_GB2312" w:hAnsi="宋体" w:eastAsia="仿宋_GB2312" w:cs="宋体"/>
          <w:bCs/>
          <w:kern w:val="0"/>
          <w:sz w:val="32"/>
          <w:szCs w:val="32"/>
        </w:rPr>
      </w:pPr>
      <w:r>
        <w:rPr>
          <w:rFonts w:hint="eastAsia" w:ascii="仿宋_GB2312" w:hAnsi="宋体" w:eastAsia="仿宋_GB2312" w:cs="宋体"/>
          <w:bCs/>
          <w:kern w:val="0"/>
          <w:sz w:val="32"/>
          <w:szCs w:val="32"/>
          <w:lang w:val="en-US" w:eastAsia="zh-CN"/>
        </w:rPr>
        <w:t>2019</w:t>
      </w:r>
      <w:r>
        <w:rPr>
          <w:rFonts w:hint="eastAsia" w:ascii="仿宋_GB2312" w:hAnsi="宋体" w:eastAsia="仿宋_GB2312" w:cs="宋体"/>
          <w:bCs/>
          <w:kern w:val="0"/>
          <w:sz w:val="32"/>
          <w:szCs w:val="32"/>
        </w:rPr>
        <w:t>年度新育苗面积12亩，苗木17万株。其中：柏树5亩，9万株；嫁接花椒5亩，6万株；青花椒2亩，2万株。</w:t>
      </w:r>
    </w:p>
    <w:p>
      <w:pPr>
        <w:spacing w:line="576" w:lineRule="exact"/>
        <w:ind w:firstLine="640" w:firstLineChars="200"/>
        <w:outlineLvl w:val="1"/>
        <w:rPr>
          <w:rFonts w:ascii="仿宋_GB2312" w:hAnsi="仿宋" w:eastAsia="仿宋_GB2312" w:cs="仿宋"/>
          <w:color w:val="000000"/>
          <w:sz w:val="32"/>
          <w:szCs w:val="32"/>
        </w:rPr>
      </w:pPr>
      <w:r>
        <w:rPr>
          <w:rFonts w:hint="eastAsia" w:ascii="仿宋_GB2312" w:hAnsi="黑体" w:eastAsia="仿宋_GB2312" w:cs="宋体"/>
          <w:bCs/>
          <w:kern w:val="0"/>
          <w:sz w:val="32"/>
          <w:szCs w:val="32"/>
        </w:rPr>
        <w:t>5.</w:t>
      </w:r>
      <w:bookmarkStart w:id="20" w:name="_Toc15377200"/>
      <w:bookmarkStart w:id="21" w:name="_Toc15396601"/>
      <w:r>
        <w:rPr>
          <w:rFonts w:hint="eastAsia" w:ascii="仿宋_GB2312" w:hAnsi="仿宋" w:eastAsia="仿宋_GB2312" w:cs="仿宋"/>
          <w:color w:val="000000"/>
          <w:sz w:val="32"/>
          <w:szCs w:val="32"/>
        </w:rPr>
        <w:t>狠抓护林防火工作</w:t>
      </w:r>
    </w:p>
    <w:p>
      <w:pPr>
        <w:spacing w:line="576" w:lineRule="exact"/>
        <w:ind w:firstLine="640" w:firstLineChars="200"/>
        <w:outlineLvl w:val="1"/>
        <w:rPr>
          <w:rFonts w:ascii="仿宋_GB2312" w:hAnsi="仿宋" w:eastAsia="仿宋_GB2312" w:cs="仿宋"/>
          <w:color w:val="000000"/>
          <w:sz w:val="32"/>
          <w:szCs w:val="32"/>
        </w:rPr>
      </w:pPr>
      <w:r>
        <w:rPr>
          <w:rFonts w:hint="eastAsia" w:ascii="仿宋_GB2312" w:hAnsi="仿宋" w:eastAsia="仿宋_GB2312" w:cs="仿宋"/>
          <w:color w:val="000000"/>
          <w:sz w:val="32"/>
          <w:szCs w:val="32"/>
        </w:rPr>
        <w:t>一是层层签订责任书，分级落实。签订森林防火责任书178份，户主森林防火公约22000余份，智障人员监护责任书149份。二是强化宣传,出动防火宣传车200余台次;召开乡镇会议150次,村民会议436次;建立宣传标牌,刷新和更换陈旧破损宣传标牌;粘贴森林草原防火戒严令700余份、发放森林防火宣传画2万份、宣传挂历4700份,发送森林防火短信2万余条。三是健全森林防火网络。建立县级应急扑火队1支,26人;扑火预备队1支,25人;各乡镇建立以基干民兵为主的应急扑火队21支,539人;村民兵义务扑火队145支,2519人。四是建立健全森林火险预警机制。重点防火期内,县森林防火指挥部及时确定防火戒严期,发布戒严令,县森林防火指挥部办公室及乡镇防火值班室在防火期内实行24小时值班和领导带班制,所有扑救队员全部到岗在位,一旦发生森林火灾,能迅速出动,实施扑救。五是加大野外火源管理力度。森林防火高发时期,以乡镇为单位组织护林员进山巡查,在重点区域、重要地段、坟山墓区、林区主要进出道口设立临时火源检查站，加派流动巡查人员,落实巡护责任,进行重点监控,对进入林区的火种和燃烧物品一律收缴,做到见烟就查,违章就纠,把火源堵在山下林外。</w:t>
      </w:r>
    </w:p>
    <w:p>
      <w:pPr>
        <w:widowControl/>
        <w:shd w:val="clear" w:color="auto" w:fill="FFFFFF"/>
        <w:adjustRightInd w:val="0"/>
        <w:snapToGrid w:val="0"/>
        <w:spacing w:line="560" w:lineRule="exact"/>
        <w:ind w:firstLine="643" w:firstLineChars="200"/>
        <w:rPr>
          <w:rStyle w:val="25"/>
        </w:rPr>
      </w:pPr>
      <w:r>
        <w:rPr>
          <w:rStyle w:val="25"/>
          <w:rFonts w:hint="eastAsia" w:ascii="黑体" w:hAnsi="黑体" w:eastAsia="黑体"/>
        </w:rPr>
        <w:t>二、机构设置</w:t>
      </w:r>
      <w:bookmarkEnd w:id="20"/>
      <w:bookmarkEnd w:id="21"/>
    </w:p>
    <w:p>
      <w:pPr>
        <w:spacing w:line="560" w:lineRule="exact"/>
        <w:ind w:left="105" w:leftChars="50" w:firstLine="640" w:firstLineChars="200"/>
        <w:rPr>
          <w:rFonts w:ascii="仿宋_GB2312" w:eastAsia="仿宋_GB2312"/>
          <w:sz w:val="32"/>
          <w:szCs w:val="32"/>
        </w:rPr>
      </w:pPr>
      <w:r>
        <w:rPr>
          <w:rFonts w:hint="eastAsia" w:ascii="仿宋_GB2312" w:eastAsia="仿宋_GB2312"/>
          <w:sz w:val="32"/>
          <w:szCs w:val="32"/>
        </w:rPr>
        <w:t>茂县林业和草原局属一级预算单位，下属二级预算单位 0 个,其中：行政单位0个，参照公务员法管理的事业单位 0个,其他事业单位 0个;参照公务员法管理的事业单位是:0个;其他事业单位分别是:0个。</w:t>
      </w:r>
    </w:p>
    <w:p>
      <w:pPr>
        <w:widowControl/>
        <w:spacing w:line="560" w:lineRule="exact"/>
        <w:ind w:firstLine="640" w:firstLineChars="200"/>
        <w:jc w:val="left"/>
        <w:rPr>
          <w:rFonts w:ascii="仿宋" w:hAnsi="仿宋" w:eastAsia="仿宋"/>
          <w:color w:val="000000"/>
          <w:kern w:val="0"/>
          <w:sz w:val="32"/>
          <w:szCs w:val="32"/>
        </w:rPr>
      </w:pPr>
      <w:r>
        <w:rPr>
          <w:rFonts w:hint="eastAsia" w:ascii="仿宋_GB2312" w:eastAsia="仿宋_GB2312"/>
          <w:sz w:val="32"/>
          <w:szCs w:val="32"/>
        </w:rPr>
        <w:t>纳入茂县林业和草原局201</w:t>
      </w:r>
      <w:r>
        <w:rPr>
          <w:rFonts w:hint="eastAsia" w:ascii="仿宋_GB2312" w:eastAsia="仿宋_GB2312"/>
          <w:sz w:val="32"/>
          <w:szCs w:val="32"/>
          <w:lang w:val="en-US" w:eastAsia="zh-CN"/>
        </w:rPr>
        <w:t>9</w:t>
      </w:r>
      <w:r>
        <w:rPr>
          <w:rFonts w:hint="eastAsia" w:ascii="仿宋_GB2312" w:eastAsia="仿宋_GB2312"/>
          <w:sz w:val="32"/>
          <w:szCs w:val="32"/>
        </w:rPr>
        <w:t>年度部门决算编制范围的二级预算单位包括0个。</w:t>
      </w:r>
      <w:r>
        <w:rPr>
          <w:rFonts w:ascii="仿宋" w:hAnsi="仿宋" w:eastAsia="仿宋"/>
          <w:color w:val="000000"/>
          <w:sz w:val="32"/>
          <w:szCs w:val="32"/>
        </w:rPr>
        <w:br w:type="page"/>
      </w:r>
    </w:p>
    <w:p>
      <w:pPr>
        <w:pStyle w:val="2"/>
        <w:spacing w:line="560" w:lineRule="exact"/>
        <w:ind w:right="440"/>
        <w:jc w:val="right"/>
        <w:rPr>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2"/>
      <w:bookmarkEnd w:id="23"/>
    </w:p>
    <w:p>
      <w:pPr>
        <w:pStyle w:val="23"/>
        <w:numPr>
          <w:ilvl w:val="0"/>
          <w:numId w:val="1"/>
        </w:numPr>
        <w:spacing w:line="560" w:lineRule="exact"/>
        <w:ind w:firstLineChars="0"/>
        <w:outlineLvl w:val="1"/>
        <w:rPr>
          <w:rStyle w:val="25"/>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4"/>
      <w:bookmarkEnd w:id="25"/>
    </w:p>
    <w:p>
      <w:pPr>
        <w:spacing w:line="560" w:lineRule="exact"/>
        <w:ind w:firstLine="640" w:firstLineChars="200"/>
        <w:rPr>
          <w:rFonts w:ascii="仿宋_GB2312" w:hAnsi="仿宋" w:eastAsia="仿宋_GB2312"/>
          <w:color w:val="000000"/>
          <w:sz w:val="32"/>
          <w:szCs w:val="32"/>
        </w:rPr>
      </w:pPr>
      <w:r>
        <w:rPr>
          <w:rFonts w:hint="eastAsia" w:ascii="仿宋" w:hAnsi="仿宋" w:eastAsia="仿宋"/>
          <w:color w:val="000000"/>
          <w:sz w:val="32"/>
          <w:szCs w:val="32"/>
        </w:rPr>
        <w:t>2019年度收、支总计14428.92万元。与2018年相比，收、支总计各增加997.53万元，增长7.43</w:t>
      </w:r>
      <w:r>
        <w:rPr>
          <w:rFonts w:ascii="仿宋" w:hAnsi="仿宋" w:eastAsia="仿宋"/>
          <w:color w:val="000000"/>
          <w:sz w:val="32"/>
          <w:szCs w:val="32"/>
        </w:rPr>
        <w:t>%</w:t>
      </w:r>
      <w:r>
        <w:rPr>
          <w:rFonts w:hint="eastAsia" w:ascii="仿宋" w:hAnsi="仿宋" w:eastAsia="仿宋"/>
          <w:color w:val="000000"/>
          <w:sz w:val="32"/>
          <w:szCs w:val="32"/>
        </w:rPr>
        <w:t>。主要变动原因是2019</w:t>
      </w:r>
      <w:r>
        <w:rPr>
          <w:rFonts w:hint="eastAsia" w:ascii="仿宋_GB2312" w:hAnsi="仿宋" w:eastAsia="仿宋_GB2312"/>
          <w:color w:val="000000"/>
          <w:sz w:val="32"/>
          <w:szCs w:val="32"/>
        </w:rPr>
        <w:t>年新增项目拨款数。</w:t>
      </w:r>
    </w:p>
    <w:p>
      <w:pPr>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drawing>
          <wp:anchor distT="0" distB="0" distL="114300" distR="114300" simplePos="0" relativeHeight="251658240" behindDoc="0" locked="0" layoutInCell="1" allowOverlap="1">
            <wp:simplePos x="0" y="0"/>
            <wp:positionH relativeFrom="column">
              <wp:posOffset>142875</wp:posOffset>
            </wp:positionH>
            <wp:positionV relativeFrom="paragraph">
              <wp:posOffset>229870</wp:posOffset>
            </wp:positionV>
            <wp:extent cx="4886325" cy="2819400"/>
            <wp:effectExtent l="19050" t="0" r="9525"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：收、支决算总计变动情况图（单位：万元）</w:t>
      </w:r>
    </w:p>
    <w:p>
      <w:pPr>
        <w:pStyle w:val="23"/>
        <w:numPr>
          <w:ilvl w:val="0"/>
          <w:numId w:val="1"/>
        </w:numPr>
        <w:spacing w:line="560"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spacing w:line="56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9年本年收入合计13294.65万元，其中：一般公共预算财政拨款收入12468.11万元，占93.78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；政府性基金预算财政拨款收入826.54万元，占6.22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59264" behindDoc="0" locked="0" layoutInCell="1" allowOverlap="1">
            <wp:simplePos x="0" y="0"/>
            <wp:positionH relativeFrom="column">
              <wp:posOffset>542925</wp:posOffset>
            </wp:positionH>
            <wp:positionV relativeFrom="paragraph">
              <wp:posOffset>200025</wp:posOffset>
            </wp:positionV>
            <wp:extent cx="4295775" cy="2543175"/>
            <wp:effectExtent l="19050" t="0" r="9525" b="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560" w:lineRule="exact"/>
        <w:ind w:firstLine="1760" w:firstLineChars="550"/>
        <w:rPr>
          <w:rFonts w:ascii="仿宋" w:hAnsi="仿宋" w:eastAsia="仿宋"/>
          <w:color w:val="000000" w:themeColor="text1"/>
          <w:sz w:val="32"/>
          <w:szCs w:val="32"/>
        </w:rPr>
      </w:pPr>
      <w:r>
        <w:rPr>
          <w:rFonts w:hint="eastAsia" w:ascii="仿宋" w:hAnsi="仿宋" w:eastAsia="仿宋"/>
          <w:color w:val="000000" w:themeColor="text1"/>
          <w:sz w:val="32"/>
          <w:szCs w:val="32"/>
        </w:rPr>
        <w:t>图2：收入决算结构图（单位：万元）</w:t>
      </w:r>
    </w:p>
    <w:p>
      <w:pPr>
        <w:spacing w:line="560" w:lineRule="exact"/>
        <w:ind w:firstLine="640" w:firstLineChars="200"/>
        <w:rPr>
          <w:rFonts w:ascii="仿宋_GB2312" w:eastAsia="仿宋_GB2312"/>
          <w:color w:val="FF0000"/>
          <w:sz w:val="32"/>
          <w:szCs w:val="32"/>
        </w:rPr>
      </w:pPr>
    </w:p>
    <w:p>
      <w:pPr>
        <w:pStyle w:val="23"/>
        <w:numPr>
          <w:ilvl w:val="0"/>
          <w:numId w:val="1"/>
        </w:numPr>
        <w:spacing w:line="560" w:lineRule="exact"/>
        <w:ind w:firstLine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spacing w:line="56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9年本年支出合计11220.58万元，其中：基本支出1929.5  万元，占17.2</w:t>
      </w:r>
      <w:r>
        <w:rPr>
          <w:rFonts w:ascii="仿宋" w:hAnsi="仿宋" w:eastAsia="仿宋"/>
          <w:color w:val="000000"/>
          <w:sz w:val="32"/>
          <w:szCs w:val="32"/>
        </w:rPr>
        <w:t>%</w:t>
      </w:r>
      <w:r>
        <w:rPr>
          <w:rFonts w:hint="eastAsia" w:ascii="仿宋" w:hAnsi="仿宋" w:eastAsia="仿宋"/>
          <w:color w:val="000000"/>
          <w:sz w:val="32"/>
          <w:szCs w:val="32"/>
        </w:rPr>
        <w:t>；项目支出9291.08万元，占82.8</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0" locked="0" layoutInCell="1" allowOverlap="1">
            <wp:simplePos x="0" y="0"/>
            <wp:positionH relativeFrom="column">
              <wp:posOffset>371475</wp:posOffset>
            </wp:positionH>
            <wp:positionV relativeFrom="paragraph">
              <wp:posOffset>63500</wp:posOffset>
            </wp:positionV>
            <wp:extent cx="4219575" cy="2143125"/>
            <wp:effectExtent l="19050" t="0" r="9525"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1280" w:firstLineChars="400"/>
        <w:rPr>
          <w:rFonts w:ascii="仿宋" w:hAnsi="仿宋" w:eastAsia="仿宋"/>
          <w:color w:val="000000" w:themeColor="text1"/>
          <w:sz w:val="32"/>
          <w:szCs w:val="32"/>
        </w:rPr>
      </w:pPr>
      <w:r>
        <w:rPr>
          <w:rFonts w:hint="eastAsia" w:ascii="仿宋" w:hAnsi="仿宋" w:eastAsia="仿宋"/>
          <w:color w:val="000000" w:themeColor="text1"/>
          <w:sz w:val="32"/>
          <w:szCs w:val="32"/>
        </w:rPr>
        <w:t>图3：支出决算结构图（单位：万元）</w:t>
      </w:r>
    </w:p>
    <w:p>
      <w:pPr>
        <w:spacing w:line="600" w:lineRule="exact"/>
        <w:ind w:firstLine="640" w:firstLineChars="200"/>
        <w:rPr>
          <w:rFonts w:ascii="仿宋_GB2312" w:eastAsia="仿宋_GB2312"/>
          <w:color w:val="FF0000"/>
          <w:sz w:val="32"/>
          <w:szCs w:val="32"/>
        </w:rPr>
      </w:pPr>
    </w:p>
    <w:p>
      <w:pPr>
        <w:spacing w:line="560" w:lineRule="exact"/>
        <w:ind w:firstLine="640" w:firstLineChars="200"/>
        <w:outlineLvl w:val="1"/>
        <w:rPr>
          <w:rStyle w:val="25"/>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0"/>
      <w:bookmarkEnd w:id="31"/>
    </w:p>
    <w:p>
      <w:pPr>
        <w:spacing w:line="560" w:lineRule="exact"/>
        <w:ind w:firstLine="640" w:firstLineChars="200"/>
        <w:rPr>
          <w:rFonts w:ascii="仿宋_GB2312" w:hAnsi="仿宋" w:eastAsia="仿宋_GB2312"/>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9年财政拨款收、支总计14428.92万元。与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8年相比，财政拨款收、支总计各增加997.53万元，增长7.43</w:t>
      </w:r>
      <w:r>
        <w:rPr>
          <w:rFonts w:ascii="仿宋" w:hAnsi="仿宋" w:eastAsia="仿宋"/>
          <w:color w:val="000000"/>
          <w:sz w:val="32"/>
          <w:szCs w:val="32"/>
        </w:rPr>
        <w:t>%</w:t>
      </w:r>
      <w:r>
        <w:rPr>
          <w:rFonts w:hint="eastAsia" w:ascii="仿宋" w:hAnsi="仿宋" w:eastAsia="仿宋"/>
          <w:color w:val="000000"/>
          <w:sz w:val="32"/>
          <w:szCs w:val="32"/>
        </w:rPr>
        <w:t>。主要变动原因是2019</w:t>
      </w:r>
      <w:r>
        <w:rPr>
          <w:rFonts w:hint="eastAsia" w:ascii="仿宋_GB2312" w:hAnsi="仿宋" w:eastAsia="仿宋_GB2312"/>
          <w:color w:val="000000"/>
          <w:sz w:val="32"/>
          <w:szCs w:val="32"/>
        </w:rPr>
        <w:t>年新增项目拨款数。</w:t>
      </w:r>
    </w:p>
    <w:p>
      <w:pPr>
        <w:spacing w:line="600" w:lineRule="exact"/>
        <w:rPr>
          <w:rFonts w:ascii="仿宋_GB2312" w:hAnsi="仿宋" w:eastAsia="仿宋_GB2312"/>
          <w:color w:val="000000"/>
          <w:sz w:val="32"/>
          <w:szCs w:val="32"/>
        </w:rPr>
      </w:pPr>
      <w:r>
        <w:rPr>
          <w:rFonts w:hint="eastAsia" w:ascii="仿宋_GB2312" w:hAnsi="仿宋" w:eastAsia="仿宋_GB2312"/>
          <w:color w:val="000000"/>
          <w:sz w:val="32"/>
          <w:szCs w:val="32"/>
        </w:rPr>
        <w:drawing>
          <wp:anchor distT="0" distB="0" distL="114300" distR="114300" simplePos="0" relativeHeight="251661312" behindDoc="0" locked="0" layoutInCell="1" allowOverlap="1">
            <wp:simplePos x="0" y="0"/>
            <wp:positionH relativeFrom="column">
              <wp:posOffset>428625</wp:posOffset>
            </wp:positionH>
            <wp:positionV relativeFrom="paragraph">
              <wp:posOffset>228600</wp:posOffset>
            </wp:positionV>
            <wp:extent cx="4524375" cy="3276600"/>
            <wp:effectExtent l="19050" t="0" r="9525" b="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hAnsi="仿宋" w:eastAsia="仿宋_GB2312"/>
          <w:color w:val="000000"/>
          <w:sz w:val="32"/>
          <w:szCs w:val="32"/>
        </w:rPr>
      </w:pPr>
    </w:p>
    <w:p>
      <w:pPr>
        <w:spacing w:line="600" w:lineRule="exact"/>
        <w:ind w:firstLine="640" w:firstLineChars="200"/>
        <w:rPr>
          <w:rFonts w:ascii="仿宋_GB2312" w:hAnsi="仿宋" w:eastAsia="仿宋_GB2312"/>
          <w:color w:val="000000"/>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480" w:firstLineChars="150"/>
        <w:rPr>
          <w:rFonts w:ascii="仿宋" w:hAnsi="仿宋" w:eastAsia="仿宋"/>
          <w:color w:val="000000" w:themeColor="text1"/>
          <w:sz w:val="32"/>
          <w:szCs w:val="32"/>
        </w:rPr>
      </w:pPr>
    </w:p>
    <w:p>
      <w:pPr>
        <w:spacing w:line="600" w:lineRule="exact"/>
        <w:ind w:firstLine="480" w:firstLineChars="150"/>
        <w:rPr>
          <w:rFonts w:ascii="仿宋" w:hAnsi="仿宋" w:eastAsia="仿宋"/>
          <w:color w:val="000000" w:themeColor="text1"/>
          <w:sz w:val="32"/>
          <w:szCs w:val="32"/>
        </w:rPr>
      </w:pPr>
    </w:p>
    <w:p>
      <w:pPr>
        <w:spacing w:line="600" w:lineRule="exact"/>
        <w:ind w:firstLine="480" w:firstLineChars="150"/>
        <w:rPr>
          <w:rFonts w:ascii="仿宋" w:hAnsi="仿宋" w:eastAsia="仿宋"/>
          <w:color w:val="000000" w:themeColor="text1"/>
          <w:sz w:val="32"/>
          <w:szCs w:val="32"/>
        </w:rPr>
      </w:pPr>
    </w:p>
    <w:p>
      <w:pPr>
        <w:spacing w:line="560" w:lineRule="exact"/>
        <w:ind w:firstLine="480" w:firstLineChars="150"/>
        <w:rPr>
          <w:rFonts w:ascii="仿宋" w:hAnsi="仿宋" w:eastAsia="仿宋"/>
          <w:color w:val="000000" w:themeColor="text1"/>
          <w:sz w:val="32"/>
          <w:szCs w:val="32"/>
        </w:rPr>
      </w:pPr>
      <w:r>
        <w:rPr>
          <w:rFonts w:hint="eastAsia" w:ascii="仿宋" w:hAnsi="仿宋" w:eastAsia="仿宋"/>
          <w:color w:val="000000" w:themeColor="text1"/>
          <w:sz w:val="32"/>
          <w:szCs w:val="32"/>
        </w:rPr>
        <w:t>图4：财政拨款收、支决算总计变动情况（单位：万元）</w:t>
      </w:r>
    </w:p>
    <w:p>
      <w:pPr>
        <w:spacing w:line="560" w:lineRule="exact"/>
        <w:ind w:firstLine="800" w:firstLineChars="250"/>
        <w:rPr>
          <w:rStyle w:val="25"/>
          <w:rFonts w:ascii="仿宋" w:hAnsi="仿宋" w:eastAsia="仿宋" w:cs="Times New Roman"/>
          <w:b w:val="0"/>
          <w:bCs w:val="0"/>
          <w:color w:val="000000" w:themeColor="text1"/>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2"/>
      <w:bookmarkEnd w:id="33"/>
    </w:p>
    <w:p>
      <w:pPr>
        <w:spacing w:line="560" w:lineRule="exact"/>
        <w:ind w:firstLine="643" w:firstLineChars="200"/>
        <w:outlineLvl w:val="2"/>
        <w:rPr>
          <w:rFonts w:ascii="仿宋" w:hAnsi="仿宋" w:eastAsia="仿宋"/>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9年一般公共预算财政拨款支出10394.03万元，占本年支出合计的92.63</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8年相比，一般公共预算财政拨款减少824.98万元，下降7.35</w:t>
      </w:r>
      <w:r>
        <w:rPr>
          <w:rFonts w:ascii="仿宋" w:hAnsi="仿宋" w:eastAsia="仿宋"/>
          <w:color w:val="000000"/>
          <w:sz w:val="32"/>
          <w:szCs w:val="32"/>
        </w:rPr>
        <w:t>%</w:t>
      </w:r>
      <w:r>
        <w:rPr>
          <w:rFonts w:hint="eastAsia" w:ascii="仿宋" w:hAnsi="仿宋" w:eastAsia="仿宋"/>
          <w:color w:val="000000"/>
          <w:sz w:val="32"/>
          <w:szCs w:val="32"/>
        </w:rPr>
        <w:t>。主要变动原因是政府性基金预算财政拨款收入增加。</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560" w:lineRule="exact"/>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2336" behindDoc="0" locked="0" layoutInCell="1" allowOverlap="1">
            <wp:simplePos x="0" y="0"/>
            <wp:positionH relativeFrom="column">
              <wp:posOffset>257175</wp:posOffset>
            </wp:positionH>
            <wp:positionV relativeFrom="paragraph">
              <wp:posOffset>332740</wp:posOffset>
            </wp:positionV>
            <wp:extent cx="4819650" cy="3114675"/>
            <wp:effectExtent l="19050" t="0" r="19050" b="0"/>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rPr>
        <w:t>图5：一般公共预算财政拨款支出决算变动情况（单位：万元）</w:t>
      </w:r>
    </w:p>
    <w:p>
      <w:pPr>
        <w:spacing w:line="560" w:lineRule="exact"/>
        <w:ind w:firstLine="482" w:firstLineChars="150"/>
        <w:outlineLvl w:val="2"/>
        <w:rPr>
          <w:rFonts w:ascii="仿宋" w:hAnsi="仿宋" w:eastAsia="仿宋"/>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56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政拨款支出10394.03万元，主要用于以下方面</w:t>
      </w:r>
      <w:r>
        <w:rPr>
          <w:rFonts w:ascii="仿宋" w:hAnsi="仿宋" w:eastAsia="仿宋"/>
          <w:color w:val="000000" w:themeColor="text1"/>
          <w:sz w:val="32"/>
          <w:szCs w:val="32"/>
        </w:rPr>
        <w:t>:</w:t>
      </w:r>
      <w:r>
        <w:rPr>
          <w:rFonts w:hint="eastAsia" w:ascii="仿宋" w:hAnsi="仿宋" w:eastAsia="仿宋"/>
          <w:color w:val="000000" w:themeColor="text1"/>
          <w:sz w:val="32"/>
          <w:szCs w:val="32"/>
        </w:rPr>
        <w:t>一般公共服务（类）支出0万元，占0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；教育支出（类）0万元，占0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；科学技术（类）支出0万元，占0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；文化旅游体育与传媒（类）支出556.85万元，占5.36</w:t>
      </w:r>
      <w:r>
        <w:rPr>
          <w:rFonts w:ascii="仿宋" w:hAnsi="仿宋" w:eastAsia="仿宋"/>
          <w:color w:val="000000" w:themeColor="text1"/>
          <w:sz w:val="32"/>
          <w:szCs w:val="32"/>
        </w:rPr>
        <w:t>%</w:t>
      </w:r>
      <w:r>
        <w:rPr>
          <w:rFonts w:hint="eastAsia" w:ascii="仿宋" w:hAnsi="仿宋" w:eastAsia="仿宋"/>
          <w:color w:val="000000" w:themeColor="text1"/>
          <w:sz w:val="32"/>
          <w:szCs w:val="32"/>
        </w:rPr>
        <w:t>；社会保障和就业（类）支出222.38万元，占2.14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Cs/>
          <w:color w:val="000000" w:themeColor="text1"/>
          <w:sz w:val="32"/>
          <w:szCs w:val="32"/>
        </w:rPr>
        <w:t>卫生健康支出</w:t>
      </w:r>
      <w:r>
        <w:rPr>
          <w:rFonts w:hint="eastAsia" w:ascii="仿宋" w:hAnsi="仿宋" w:eastAsia="仿宋"/>
          <w:color w:val="000000" w:themeColor="text1"/>
          <w:sz w:val="32"/>
          <w:szCs w:val="32"/>
        </w:rPr>
        <w:t>86.59万元，占0.83</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；住房保障支出138.34万元，占1.33</w:t>
      </w:r>
      <w:r>
        <w:rPr>
          <w:rFonts w:ascii="仿宋" w:hAnsi="仿宋" w:eastAsia="仿宋"/>
          <w:color w:val="000000" w:themeColor="text1"/>
          <w:sz w:val="32"/>
          <w:szCs w:val="32"/>
        </w:rPr>
        <w:t>%</w:t>
      </w:r>
      <w:r>
        <w:rPr>
          <w:rFonts w:hint="eastAsia" w:ascii="仿宋" w:hAnsi="仿宋" w:eastAsia="仿宋"/>
          <w:color w:val="000000" w:themeColor="text1"/>
          <w:sz w:val="32"/>
          <w:szCs w:val="32"/>
        </w:rPr>
        <w:t>；农林水（类）支出</w:t>
      </w:r>
      <w:r>
        <w:rPr>
          <w:rFonts w:ascii="仿宋" w:hAnsi="仿宋" w:eastAsia="仿宋"/>
          <w:color w:val="000000" w:themeColor="text1"/>
          <w:sz w:val="32"/>
          <w:szCs w:val="32"/>
        </w:rPr>
        <w:t xml:space="preserve"> </w:t>
      </w:r>
      <w:r>
        <w:rPr>
          <w:rFonts w:hint="eastAsia" w:ascii="仿宋" w:hAnsi="仿宋" w:eastAsia="仿宋"/>
          <w:color w:val="000000" w:themeColor="text1"/>
          <w:sz w:val="32"/>
          <w:szCs w:val="32"/>
        </w:rPr>
        <w:t>6942.17万元，占66.79%;节能环保(类)支出2447.71万元，占23.55%。</w:t>
      </w:r>
    </w:p>
    <w:p>
      <w:pPr>
        <w:spacing w:line="560" w:lineRule="exact"/>
        <w:ind w:firstLine="640" w:firstLineChars="200"/>
        <w:rPr>
          <w:rFonts w:ascii="仿宋" w:hAnsi="仿宋" w:eastAsia="仿宋"/>
          <w:color w:val="000000"/>
          <w:sz w:val="32"/>
          <w:szCs w:val="32"/>
        </w:rPr>
      </w:pPr>
    </w:p>
    <w:p>
      <w:pPr>
        <w:spacing w:line="56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428625</wp:posOffset>
            </wp:positionH>
            <wp:positionV relativeFrom="paragraph">
              <wp:posOffset>-1952625</wp:posOffset>
            </wp:positionV>
            <wp:extent cx="4514850" cy="2257425"/>
            <wp:effectExtent l="19050" t="0" r="19050" b="0"/>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6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图6：一般公共预算财政拨款支出决算结构（单位：万元）</w:t>
      </w:r>
    </w:p>
    <w:p>
      <w:pPr>
        <w:spacing w:line="560" w:lineRule="exact"/>
        <w:ind w:firstLine="482" w:firstLineChars="150"/>
        <w:outlineLvl w:val="2"/>
        <w:rPr>
          <w:rFonts w:hint="eastAsia"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560" w:lineRule="exact"/>
        <w:ind w:firstLine="640"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color w:val="000000" w:themeColor="text1"/>
          <w:sz w:val="32"/>
          <w:szCs w:val="32"/>
        </w:rPr>
        <w:t>2019年一般公共预算支出决算数为10394.0</w:t>
      </w:r>
      <w:r>
        <w:rPr>
          <w:rFonts w:hint="eastAsia" w:ascii="仿宋" w:hAnsi="仿宋" w:eastAsia="仿宋"/>
          <w:color w:val="000000" w:themeColor="text1"/>
          <w:sz w:val="32"/>
          <w:szCs w:val="32"/>
          <w:lang w:val="en-US" w:eastAsia="zh-CN"/>
        </w:rPr>
        <w:t>3</w:t>
      </w:r>
      <w:r>
        <w:rPr>
          <w:rFonts w:hint="eastAsia" w:ascii="仿宋" w:hAnsi="仿宋" w:eastAsia="仿宋"/>
          <w:color w:val="000000" w:themeColor="text1"/>
          <w:sz w:val="32"/>
          <w:szCs w:val="32"/>
        </w:rPr>
        <w:t>，</w:t>
      </w:r>
      <w:r>
        <w:rPr>
          <w:rStyle w:val="14"/>
          <w:rFonts w:hint="eastAsia" w:ascii="仿宋" w:hAnsi="仿宋" w:eastAsia="仿宋"/>
          <w:b w:val="0"/>
          <w:bCs/>
          <w:color w:val="000000" w:themeColor="text1"/>
          <w:sz w:val="32"/>
          <w:szCs w:val="32"/>
        </w:rPr>
        <w:t>完成</w:t>
      </w:r>
      <w:r>
        <w:rPr>
          <w:rStyle w:val="14"/>
          <w:rFonts w:hint="eastAsia" w:ascii="仿宋" w:hAnsi="仿宋" w:eastAsia="仿宋"/>
          <w:b w:val="0"/>
          <w:bCs/>
          <w:color w:val="000000"/>
          <w:sz w:val="32"/>
          <w:szCs w:val="32"/>
        </w:rPr>
        <w:t>预算76.41</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。其中：</w:t>
      </w:r>
      <w:bookmarkEnd w:id="37"/>
      <w:bookmarkEnd w:id="38"/>
      <w:bookmarkEnd w:id="39"/>
      <w:bookmarkStart w:id="73" w:name="_GoBack"/>
      <w:bookmarkEnd w:id="73"/>
    </w:p>
    <w:p>
      <w:pPr>
        <w:spacing w:line="560" w:lineRule="exact"/>
        <w:ind w:firstLine="640" w:firstLineChars="200"/>
        <w:rPr>
          <w:rFonts w:ascii="仿宋" w:hAnsi="仿宋" w:eastAsia="仿宋"/>
          <w:color w:val="000000"/>
          <w:sz w:val="32"/>
          <w:szCs w:val="32"/>
        </w:rPr>
      </w:pPr>
      <w:r>
        <w:rPr>
          <w:rStyle w:val="14"/>
          <w:rFonts w:hint="eastAsia" w:ascii="仿宋" w:hAnsi="仿宋" w:eastAsia="仿宋"/>
          <w:b w:val="0"/>
          <w:bCs/>
          <w:color w:val="000000"/>
          <w:sz w:val="32"/>
          <w:szCs w:val="32"/>
        </w:rPr>
        <w:t>1</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文化旅游体育与传媒（类）文化和旅游（款）其他文化和旅游支出（项）</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支出决算为556.85万元，完成预算35.79</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，决算数小于预算数的主要原因是项目正在实施中，资金还未支付完成。</w:t>
      </w:r>
    </w:p>
    <w:p>
      <w:pPr>
        <w:spacing w:line="560" w:lineRule="exact"/>
        <w:ind w:firstLine="640" w:firstLineChars="200"/>
        <w:rPr>
          <w:rFonts w:ascii="仿宋" w:hAnsi="仿宋" w:eastAsia="仿宋"/>
          <w:color w:val="000000"/>
          <w:sz w:val="32"/>
          <w:szCs w:val="32"/>
        </w:rPr>
      </w:pPr>
      <w:r>
        <w:rPr>
          <w:rStyle w:val="14"/>
          <w:rFonts w:hint="eastAsia" w:ascii="仿宋" w:hAnsi="仿宋" w:eastAsia="仿宋"/>
          <w:b w:val="0"/>
          <w:bCs/>
          <w:color w:val="000000"/>
          <w:sz w:val="32"/>
          <w:szCs w:val="32"/>
        </w:rPr>
        <w:t>2</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社会保障和就业（类）行政事业单位离退休（款）机关事业单位基本养老保险缴费支出（项）机关事业单位职业年金缴费支出（项）</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支出决算为222.38万元，完成预算100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560" w:lineRule="exact"/>
        <w:ind w:firstLine="640" w:firstLineChars="200"/>
        <w:rPr>
          <w:rFonts w:ascii="仿宋" w:hAnsi="仿宋" w:eastAsia="仿宋"/>
          <w:color w:val="000000"/>
          <w:sz w:val="32"/>
          <w:szCs w:val="32"/>
        </w:rPr>
      </w:pPr>
      <w:r>
        <w:rPr>
          <w:rStyle w:val="14"/>
          <w:rFonts w:hint="eastAsia" w:ascii="仿宋" w:hAnsi="仿宋" w:eastAsia="仿宋"/>
          <w:b w:val="0"/>
          <w:bCs/>
          <w:color w:val="000000"/>
          <w:sz w:val="32"/>
          <w:szCs w:val="32"/>
        </w:rPr>
        <w:t>3</w:t>
      </w:r>
      <w:r>
        <w:rPr>
          <w:rStyle w:val="14"/>
          <w:rFonts w:ascii="仿宋" w:hAnsi="仿宋" w:eastAsia="仿宋"/>
          <w:b w:val="0"/>
          <w:bCs/>
          <w:color w:val="000000"/>
          <w:sz w:val="32"/>
          <w:szCs w:val="32"/>
        </w:rPr>
        <w:t>.</w:t>
      </w:r>
      <w:r>
        <w:rPr>
          <w:rFonts w:hint="eastAsia" w:ascii="仿宋" w:hAnsi="仿宋" w:eastAsia="仿宋"/>
          <w:bCs/>
          <w:color w:val="000000" w:themeColor="text1"/>
          <w:sz w:val="32"/>
          <w:szCs w:val="32"/>
        </w:rPr>
        <w:t>卫生健康</w:t>
      </w:r>
      <w:r>
        <w:rPr>
          <w:rStyle w:val="14"/>
          <w:rFonts w:hint="eastAsia" w:ascii="仿宋" w:hAnsi="仿宋" w:eastAsia="仿宋"/>
          <w:b w:val="0"/>
          <w:bCs/>
          <w:color w:val="000000"/>
          <w:sz w:val="32"/>
          <w:szCs w:val="32"/>
        </w:rPr>
        <w:t>（类）行政事业单位医疗（款）行政单位医疗（项）事业单位医疗（项）</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支出决算为86.59万元，完成预算100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560" w:lineRule="exact"/>
        <w:ind w:firstLine="640" w:firstLineChars="200"/>
        <w:rPr>
          <w:rFonts w:ascii="仿宋" w:hAnsi="仿宋" w:eastAsia="仿宋"/>
          <w:b/>
          <w:color w:val="000000"/>
          <w:sz w:val="32"/>
          <w:szCs w:val="32"/>
        </w:rPr>
      </w:pPr>
      <w:r>
        <w:rPr>
          <w:rFonts w:hint="eastAsia" w:ascii="仿宋" w:hAnsi="仿宋" w:eastAsia="仿宋"/>
          <w:color w:val="000000"/>
          <w:sz w:val="32"/>
          <w:szCs w:val="32"/>
        </w:rPr>
        <w:t>4.节能环保（类）自然生态保护（款）生态保护(项)天然林保护（款）社会保险补助（项）退耕还林（款）退耕现金（项）其他节能环保支出（款）其他节能环保支出（项）：支出决算数为2447.71万元，</w:t>
      </w:r>
      <w:r>
        <w:rPr>
          <w:rStyle w:val="14"/>
          <w:rFonts w:hint="eastAsia" w:ascii="仿宋" w:hAnsi="仿宋" w:eastAsia="仿宋"/>
          <w:b w:val="0"/>
          <w:bCs/>
          <w:color w:val="000000"/>
          <w:sz w:val="32"/>
          <w:szCs w:val="32"/>
        </w:rPr>
        <w:t>完成预算64.58</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，决算数小于预算数的主要原因是项目正在实施中，资金还未支付完成。</w:t>
      </w:r>
    </w:p>
    <w:p>
      <w:pPr>
        <w:spacing w:line="560" w:lineRule="exact"/>
        <w:ind w:firstLine="640" w:firstLineChars="200"/>
        <w:rPr>
          <w:rStyle w:val="14"/>
          <w:rFonts w:ascii="仿宋" w:hAnsi="仿宋" w:eastAsia="仿宋"/>
          <w:b w:val="0"/>
          <w:bCs/>
          <w:color w:val="000000"/>
          <w:sz w:val="32"/>
          <w:szCs w:val="32"/>
        </w:rPr>
      </w:pPr>
      <w:r>
        <w:rPr>
          <w:rFonts w:hint="eastAsia" w:ascii="仿宋" w:hAnsi="仿宋" w:eastAsia="仿宋"/>
          <w:color w:val="000000"/>
          <w:sz w:val="32"/>
          <w:szCs w:val="32"/>
        </w:rPr>
        <w:t>5.住房保障（类）住房改革支出（款）住房公积金（项）购房补贴（项）：支出决算数为138.34万元，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560" w:lineRule="exact"/>
        <w:ind w:firstLine="640" w:firstLineChars="200"/>
        <w:rPr>
          <w:rFonts w:ascii="仿宋" w:hAnsi="仿宋" w:eastAsia="仿宋"/>
          <w:b/>
          <w:color w:val="000000"/>
          <w:sz w:val="32"/>
          <w:szCs w:val="32"/>
        </w:rPr>
      </w:pPr>
      <w:r>
        <w:rPr>
          <w:rStyle w:val="14"/>
          <w:rFonts w:hint="eastAsia" w:ascii="仿宋" w:hAnsi="仿宋" w:eastAsia="仿宋"/>
          <w:b w:val="0"/>
          <w:bCs/>
          <w:color w:val="000000"/>
          <w:sz w:val="32"/>
          <w:szCs w:val="32"/>
        </w:rPr>
        <w:t>6.农林水支出（类）林业和草原（款）行政运行（项）一般行政管理事务（项）事业机构（项）森林培育（项）森林资源管理（项）森林生态效益补偿（项）自然保护区等管理（项）动植物保护（项）防灾减灾（项）草原管理（项）其他林业和草原支出（项）扶贫（款）生产发展（项）其他扶贫支出（项）:</w:t>
      </w:r>
      <w:r>
        <w:rPr>
          <w:rFonts w:hint="eastAsia" w:ascii="仿宋" w:hAnsi="仿宋" w:eastAsia="仿宋"/>
          <w:color w:val="000000"/>
          <w:sz w:val="32"/>
          <w:szCs w:val="32"/>
        </w:rPr>
        <w:t xml:space="preserve"> 支出决算数为6942.17万元，</w:t>
      </w:r>
      <w:r>
        <w:rPr>
          <w:rStyle w:val="14"/>
          <w:rFonts w:hint="eastAsia" w:ascii="仿宋" w:hAnsi="仿宋" w:eastAsia="仿宋"/>
          <w:b w:val="0"/>
          <w:bCs/>
          <w:color w:val="000000"/>
          <w:sz w:val="32"/>
          <w:szCs w:val="32"/>
        </w:rPr>
        <w:t>完成预算88.9</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，决算数小于预算数的主要原因是项目正在实施中，资金还未支付完成。</w:t>
      </w:r>
    </w:p>
    <w:p>
      <w:pPr>
        <w:tabs>
          <w:tab w:val="right" w:pos="8306"/>
        </w:tabs>
        <w:spacing w:line="560" w:lineRule="exact"/>
        <w:ind w:firstLine="640"/>
        <w:outlineLvl w:val="1"/>
        <w:rPr>
          <w:rStyle w:val="25"/>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0"/>
      <w:bookmarkEnd w:id="41"/>
      <w:r>
        <w:rPr>
          <w:rStyle w:val="25"/>
          <w:rFonts w:ascii="黑体" w:hAnsi="黑体" w:eastAsia="黑体"/>
          <w:b w:val="0"/>
        </w:rPr>
        <w:tab/>
      </w:r>
    </w:p>
    <w:p>
      <w:pPr>
        <w:spacing w:line="56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9年一般公共预算财政拨款基本支出1929.5万元，其中：</w:t>
      </w:r>
    </w:p>
    <w:p>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人员经费1838.27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91.23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60" w:lineRule="exact"/>
        <w:ind w:firstLine="640"/>
        <w:outlineLvl w:val="1"/>
        <w:rPr>
          <w:rStyle w:val="25"/>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2"/>
      <w:bookmarkEnd w:id="43"/>
    </w:p>
    <w:p>
      <w:pPr>
        <w:spacing w:line="560" w:lineRule="exact"/>
        <w:ind w:firstLine="482" w:firstLineChars="150"/>
        <w:outlineLvl w:val="2"/>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56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9年“三公”经费财政拨款支出决算为9.97万元，完成预算100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560" w:lineRule="exact"/>
        <w:ind w:firstLine="482" w:firstLineChars="150"/>
        <w:outlineLvl w:val="2"/>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56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；公务用车购置及运行维护费支出决算8.86万元，占88.87</w:t>
      </w:r>
      <w:r>
        <w:rPr>
          <w:rFonts w:ascii="仿宋" w:hAnsi="仿宋" w:eastAsia="仿宋"/>
          <w:color w:val="000000"/>
          <w:sz w:val="32"/>
          <w:szCs w:val="32"/>
        </w:rPr>
        <w:t>%</w:t>
      </w:r>
      <w:r>
        <w:rPr>
          <w:rFonts w:hint="eastAsia" w:ascii="仿宋" w:hAnsi="仿宋" w:eastAsia="仿宋"/>
          <w:color w:val="000000"/>
          <w:sz w:val="32"/>
          <w:szCs w:val="32"/>
        </w:rPr>
        <w:t>；公务接待费支出决算1.11万元，占11.13</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560" w:lineRule="exact"/>
        <w:ind w:firstLine="640"/>
        <w:rPr>
          <w:rFonts w:ascii="仿宋" w:hAnsi="仿宋" w:eastAsia="仿宋"/>
          <w:color w:val="000000"/>
          <w:sz w:val="32"/>
          <w:szCs w:val="32"/>
        </w:rPr>
      </w:pPr>
    </w:p>
    <w:p>
      <w:pPr>
        <w:spacing w:line="560" w:lineRule="exact"/>
        <w:ind w:firstLine="640"/>
        <w:rPr>
          <w:rFonts w:ascii="仿宋" w:hAnsi="仿宋" w:eastAsia="仿宋"/>
          <w:color w:val="000000"/>
          <w:sz w:val="32"/>
          <w:szCs w:val="32"/>
        </w:rPr>
      </w:pPr>
    </w:p>
    <w:p>
      <w:pPr>
        <w:spacing w:line="560" w:lineRule="exact"/>
        <w:ind w:firstLine="640"/>
        <w:rPr>
          <w:rFonts w:ascii="仿宋" w:hAnsi="仿宋" w:eastAsia="仿宋"/>
          <w:color w:val="000000"/>
          <w:sz w:val="32"/>
          <w:szCs w:val="32"/>
        </w:rPr>
      </w:pPr>
    </w:p>
    <w:p>
      <w:pPr>
        <w:spacing w:line="560" w:lineRule="exact"/>
        <w:ind w:firstLine="640"/>
        <w:rPr>
          <w:rFonts w:ascii="仿宋" w:hAnsi="仿宋" w:eastAsia="仿宋"/>
          <w:color w:val="000000"/>
          <w:sz w:val="32"/>
          <w:szCs w:val="32"/>
        </w:rPr>
      </w:pPr>
    </w:p>
    <w:p>
      <w:pPr>
        <w:spacing w:line="560" w:lineRule="exact"/>
        <w:ind w:firstLine="640"/>
        <w:rPr>
          <w:rFonts w:ascii="仿宋" w:hAnsi="仿宋" w:eastAsia="仿宋"/>
          <w:color w:val="000000"/>
          <w:sz w:val="32"/>
          <w:szCs w:val="32"/>
        </w:rPr>
      </w:pPr>
    </w:p>
    <w:p>
      <w:pPr>
        <w:spacing w:line="560" w:lineRule="exact"/>
        <w:ind w:firstLine="640"/>
        <w:rPr>
          <w:rFonts w:ascii="仿宋" w:hAnsi="仿宋" w:eastAsia="仿宋"/>
          <w:color w:val="000000"/>
          <w:sz w:val="32"/>
          <w:szCs w:val="32"/>
        </w:rPr>
      </w:pPr>
    </w:p>
    <w:p>
      <w:pPr>
        <w:spacing w:line="560" w:lineRule="exact"/>
        <w:ind w:firstLine="64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428625</wp:posOffset>
            </wp:positionH>
            <wp:positionV relativeFrom="paragraph">
              <wp:posOffset>-2060575</wp:posOffset>
            </wp:positionV>
            <wp:extent cx="4552950" cy="2343150"/>
            <wp:effectExtent l="19050" t="0" r="1905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560" w:lineRule="exact"/>
        <w:ind w:firstLine="641"/>
        <w:rPr>
          <w:rFonts w:ascii="仿宋" w:hAnsi="仿宋" w:eastAsia="仿宋"/>
          <w:color w:val="000000"/>
          <w:sz w:val="32"/>
          <w:szCs w:val="32"/>
        </w:rPr>
      </w:pPr>
      <w:r>
        <w:rPr>
          <w:rFonts w:hint="eastAsia" w:ascii="仿宋" w:hAnsi="仿宋" w:eastAsia="仿宋"/>
          <w:color w:val="000000"/>
          <w:sz w:val="32"/>
          <w:szCs w:val="32"/>
        </w:rPr>
        <w:t>图7：“三公”经费财政拨款支出结构（单位：万元）</w:t>
      </w:r>
    </w:p>
    <w:p>
      <w:pPr>
        <w:spacing w:line="560" w:lineRule="exact"/>
        <w:ind w:firstLine="641"/>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因公出国（境）经费支出0万元，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。主要原因是无因公出国（境）经费支出。</w:t>
      </w:r>
    </w:p>
    <w:p>
      <w:pPr>
        <w:spacing w:line="560" w:lineRule="exact"/>
        <w:ind w:firstLine="641"/>
        <w:rPr>
          <w:rFonts w:ascii="仿宋_GB2312" w:eastAsia="仿宋_GB2312"/>
          <w:b/>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公务用车购置及运行维护费支出8.86万元,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8年减少7.55万元，下降46</w:t>
      </w:r>
      <w:r>
        <w:rPr>
          <w:rFonts w:ascii="仿宋_GB2312" w:eastAsia="仿宋_GB2312"/>
          <w:color w:val="000000"/>
          <w:sz w:val="32"/>
          <w:szCs w:val="32"/>
        </w:rPr>
        <w:t>%</w:t>
      </w:r>
      <w:r>
        <w:rPr>
          <w:rFonts w:hint="eastAsia" w:ascii="仿宋_GB2312" w:eastAsia="仿宋_GB2312"/>
          <w:color w:val="000000"/>
          <w:sz w:val="32"/>
          <w:szCs w:val="32"/>
        </w:rPr>
        <w:t>。主要原因是压缩三公经费支出。</w:t>
      </w:r>
    </w:p>
    <w:p>
      <w:pPr>
        <w:spacing w:line="560" w:lineRule="exact"/>
        <w:ind w:firstLine="641"/>
        <w:rPr>
          <w:rFonts w:ascii="仿宋_GB2312" w:eastAsia="仿宋_GB2312"/>
          <w:color w:val="000000"/>
          <w:sz w:val="32"/>
          <w:szCs w:val="32"/>
        </w:rPr>
      </w:pPr>
      <w:r>
        <w:rPr>
          <w:rFonts w:hint="eastAsia" w:ascii="仿宋_GB2312" w:eastAsia="仿宋_GB2312"/>
          <w:color w:val="000000"/>
          <w:sz w:val="32"/>
          <w:szCs w:val="32"/>
        </w:rPr>
        <w:t>其中：公务用车购置支出0万元。全年按规定更新购置公务用车0辆，金额0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月底，单位共有公务用车22辆，其中：主要领导干部用车0辆、机要通信用车0辆、应急保障用车0辆、 执法执勤用车10辆、其他用车12辆。</w:t>
      </w:r>
    </w:p>
    <w:p>
      <w:pPr>
        <w:spacing w:line="560" w:lineRule="exact"/>
        <w:ind w:firstLine="641"/>
        <w:rPr>
          <w:rFonts w:ascii="仿宋_GB2312" w:eastAsia="仿宋_GB2312"/>
          <w:color w:val="000000"/>
          <w:sz w:val="32"/>
          <w:szCs w:val="32"/>
        </w:rPr>
      </w:pPr>
      <w:r>
        <w:rPr>
          <w:rFonts w:hint="eastAsia" w:ascii="仿宋_GB2312" w:eastAsia="仿宋_GB2312"/>
          <w:color w:val="000000"/>
          <w:sz w:val="32"/>
          <w:szCs w:val="32"/>
        </w:rPr>
        <w:t>公务用车运行维护费支出8.86万元。主要用于单位职工开展业务活动等所需的公务用车燃料费、维修费、过路过桥费、保险费等支出。</w:t>
      </w:r>
    </w:p>
    <w:p>
      <w:pPr>
        <w:spacing w:line="560" w:lineRule="exact"/>
        <w:ind w:firstLine="641"/>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公务接待费支出1.11万元，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8年减少0.7万元，下降38.67</w:t>
      </w:r>
      <w:r>
        <w:rPr>
          <w:rFonts w:ascii="仿宋_GB2312" w:eastAsia="仿宋_GB2312"/>
          <w:color w:val="000000"/>
          <w:sz w:val="32"/>
          <w:szCs w:val="32"/>
        </w:rPr>
        <w:t>%</w:t>
      </w:r>
      <w:r>
        <w:rPr>
          <w:rFonts w:hint="eastAsia" w:ascii="仿宋_GB2312" w:eastAsia="仿宋_GB2312"/>
          <w:color w:val="000000"/>
          <w:sz w:val="32"/>
          <w:szCs w:val="32"/>
        </w:rPr>
        <w:t>。主要原因是压缩三公经费支付。其中：</w:t>
      </w:r>
    </w:p>
    <w:p>
      <w:pPr>
        <w:spacing w:line="560" w:lineRule="exact"/>
        <w:ind w:firstLine="641"/>
        <w:rPr>
          <w:rFonts w:ascii="仿宋_GB2312" w:eastAsia="仿宋_GB2312"/>
          <w:color w:val="000000"/>
          <w:sz w:val="32"/>
          <w:szCs w:val="32"/>
        </w:rPr>
      </w:pPr>
      <w:r>
        <w:rPr>
          <w:rFonts w:hint="eastAsia" w:ascii="仿宋" w:hAnsi="仿宋" w:eastAsia="仿宋"/>
          <w:color w:val="000000"/>
          <w:sz w:val="32"/>
          <w:szCs w:val="32"/>
        </w:rPr>
        <w:t>国内公务接待支出1.11</w:t>
      </w:r>
      <w:r>
        <w:rPr>
          <w:rFonts w:hint="eastAsia" w:ascii="仿宋_GB2312" w:eastAsia="仿宋_GB2312"/>
          <w:color w:val="000000"/>
          <w:sz w:val="32"/>
          <w:szCs w:val="32"/>
        </w:rPr>
        <w:t>万元，主要用于执行公务、开展业务活动开支的交通费、住宿费、用餐费等。国内公务接待14批次，220人次（不包括陪同人员），共计支出1.11万元。</w:t>
      </w:r>
    </w:p>
    <w:p>
      <w:pPr>
        <w:spacing w:line="560" w:lineRule="exact"/>
        <w:ind w:firstLine="641"/>
        <w:rPr>
          <w:rFonts w:ascii="黑体" w:eastAsia="黑体"/>
          <w:color w:val="000000"/>
          <w:sz w:val="32"/>
          <w:szCs w:val="32"/>
        </w:rPr>
      </w:pPr>
      <w:r>
        <w:rPr>
          <w:rFonts w:hint="eastAsia" w:ascii="仿宋" w:hAnsi="仿宋" w:eastAsia="仿宋"/>
          <w:color w:val="000000"/>
          <w:sz w:val="32"/>
          <w:szCs w:val="32"/>
        </w:rPr>
        <w:t>外事接待支出0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bookmarkStart w:id="46" w:name="_Toc15396610"/>
      <w:bookmarkStart w:id="47" w:name="_Toc15377218"/>
      <w:r>
        <w:rPr>
          <w:rFonts w:hint="eastAsia" w:ascii="仿宋_GB2312" w:eastAsia="仿宋_GB2312"/>
          <w:color w:val="000000" w:themeColor="text1"/>
          <w:sz w:val="32"/>
          <w:szCs w:val="32"/>
        </w:rPr>
        <w:t>。</w:t>
      </w:r>
    </w:p>
    <w:p>
      <w:pPr>
        <w:spacing w:line="56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6"/>
      <w:bookmarkEnd w:id="47"/>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9年政府性基金预算拨款支出826.54万元。</w:t>
      </w:r>
    </w:p>
    <w:p>
      <w:pPr>
        <w:numPr>
          <w:ilvl w:val="0"/>
          <w:numId w:val="2"/>
        </w:numPr>
        <w:spacing w:line="560" w:lineRule="exact"/>
        <w:ind w:firstLine="640"/>
        <w:outlineLvl w:val="1"/>
        <w:rPr>
          <w:rStyle w:val="25"/>
          <w:rFonts w:ascii="黑体" w:hAnsi="黑体" w:eastAsia="黑体"/>
          <w:b w:val="0"/>
        </w:rPr>
      </w:pPr>
      <w:bookmarkStart w:id="48" w:name="_Toc15396611"/>
      <w:bookmarkStart w:id="49" w:name="_Toc15377219"/>
      <w:r>
        <w:rPr>
          <w:rStyle w:val="25"/>
          <w:rFonts w:hint="eastAsia" w:ascii="黑体" w:hAnsi="黑体" w:eastAsia="黑体"/>
          <w:b w:val="0"/>
        </w:rPr>
        <w:t>国有资本经营预算支出决算情况说明</w:t>
      </w:r>
      <w:bookmarkEnd w:id="48"/>
      <w:bookmarkEnd w:id="49"/>
    </w:p>
    <w:p>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560" w:lineRule="exact"/>
        <w:ind w:firstLine="640" w:firstLineChars="200"/>
        <w:outlineLvl w:val="1"/>
        <w:rPr>
          <w:rStyle w:val="25"/>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0"/>
      <w:bookmarkEnd w:id="51"/>
    </w:p>
    <w:p>
      <w:pPr>
        <w:spacing w:line="560" w:lineRule="exact"/>
        <w:ind w:firstLine="643" w:firstLineChars="200"/>
        <w:outlineLvl w:val="2"/>
        <w:rPr>
          <w:rFonts w:hint="eastAsia" w:ascii="楷体" w:hAnsi="楷体" w:eastAsia="楷体" w:cs="楷体"/>
          <w:color w:val="000000"/>
          <w:sz w:val="32"/>
          <w:szCs w:val="32"/>
        </w:rPr>
      </w:pPr>
      <w:bookmarkStart w:id="52" w:name="_Toc15377222"/>
      <w:r>
        <w:rPr>
          <w:rFonts w:hint="eastAsia" w:ascii="楷体" w:hAnsi="楷体" w:eastAsia="楷体" w:cs="楷体"/>
          <w:b/>
          <w:color w:val="000000"/>
          <w:sz w:val="32"/>
          <w:szCs w:val="32"/>
        </w:rPr>
        <w:t>（一）机关运行经费支出情况</w:t>
      </w:r>
      <w:bookmarkEnd w:id="52"/>
    </w:p>
    <w:p>
      <w:pPr>
        <w:spacing w:line="56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9年，茂县林业和草原局机关运行经费支出19.98万元，比</w:t>
      </w:r>
      <w:r>
        <w:rPr>
          <w:rFonts w:ascii="仿宋_GB2312" w:eastAsia="仿宋_GB2312"/>
          <w:color w:val="000000"/>
          <w:sz w:val="32"/>
          <w:szCs w:val="32"/>
        </w:rPr>
        <w:t>201</w:t>
      </w:r>
      <w:r>
        <w:rPr>
          <w:rFonts w:hint="eastAsia" w:ascii="仿宋_GB2312" w:eastAsia="仿宋_GB2312"/>
          <w:color w:val="000000"/>
          <w:sz w:val="32"/>
          <w:szCs w:val="32"/>
        </w:rPr>
        <w:t>8年减少0.81万元，下降3.9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主要原因是压缩经费支出。</w:t>
      </w:r>
    </w:p>
    <w:p>
      <w:pPr>
        <w:spacing w:line="560" w:lineRule="exact"/>
        <w:ind w:firstLine="643" w:firstLineChars="200"/>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9年，茂县林业和草原局政府采购支出总额0万元，其中：政府采购货物支出0万元、政府采购工程支出0万元、政府采购服务支出0万元。授予中小企业合同金额0万元，占政府采购支出总额的0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spacing w:line="560" w:lineRule="exact"/>
        <w:ind w:firstLine="643" w:firstLineChars="200"/>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autoSpaceDE w:val="0"/>
        <w:autoSpaceDN w:val="0"/>
        <w:adjustRightInd w:val="0"/>
        <w:spacing w:line="56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日，茂县林业和草原局共有车辆22辆，其中：主要领导干部用车0辆、机要通信用车0辆、应急保障用车0辆、其他用车12辆、执法执勤用车10辆，</w:t>
      </w:r>
      <w:r>
        <w:rPr>
          <w:rFonts w:hint="eastAsia" w:ascii="仿宋_GB2312" w:eastAsia="仿宋_GB2312"/>
          <w:color w:val="000000" w:themeColor="text1"/>
          <w:sz w:val="32"/>
          <w:szCs w:val="32"/>
        </w:rPr>
        <w:t>其他用车主要是用于单价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spacing w:line="56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茂县林业和草原局在年初预算编制阶段，组织对5项目开展了预算事前绩效评估，对5个项目编制了绩效目标，预算执行过程中，选取5个项目开展绩效监控，年终执行完毕后，对5个项目开展了绩效目标完成情况自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本部门按要求对2019年部门整体支出开展绩效自评，本部门还自行组织了5个项目支出绩效评价，从评价情况来看</w:t>
      </w:r>
      <w:r>
        <w:rPr>
          <w:rFonts w:hint="eastAsia" w:ascii="仿宋_GB2312" w:eastAsia="仿宋_GB2312"/>
          <w:sz w:val="32"/>
          <w:szCs w:val="32"/>
        </w:rPr>
        <w:t>2019年我单位整体支出绩效评价自查自评结果良好,全年基本支出保证了单位的正常运行和日常工作的正常开展,项目支出保障了重点工作的开展,绩效目标得到较好实现,绩效管理水平不断提高,绩效指标体系逐渐丰富和完善</w:t>
      </w:r>
      <w:r>
        <w:rPr>
          <w:rFonts w:hint="eastAsia" w:ascii="仿宋_GB2312" w:hAnsi="仿宋_GB2312" w:eastAsia="仿宋_GB2312" w:cs="仿宋_GB2312"/>
          <w:sz w:val="32"/>
          <w:szCs w:val="32"/>
        </w:rPr>
        <w:t>。</w:t>
      </w:r>
    </w:p>
    <w:p>
      <w:pPr>
        <w:spacing w:line="560" w:lineRule="exact"/>
        <w:ind w:firstLine="643" w:firstLineChars="200"/>
        <w:rPr>
          <w:rFonts w:ascii="仿宋_GB2312" w:hAnsi="仿宋_GB2312" w:eastAsia="仿宋_GB2312" w:cs="仿宋_GB2312"/>
          <w:sz w:val="32"/>
          <w:szCs w:val="32"/>
        </w:rPr>
      </w:pPr>
      <w:r>
        <w:rPr>
          <w:rFonts w:hint="eastAsia" w:ascii="楷体" w:hAnsi="楷体" w:eastAsia="楷体" w:cs="楷体"/>
          <w:b/>
          <w:color w:val="000000"/>
          <w:sz w:val="32"/>
          <w:szCs w:val="32"/>
        </w:rPr>
        <w:t>（五）项目绩效目标完成情况</w:t>
      </w:r>
      <w:r>
        <w:rPr>
          <w:rFonts w:hint="eastAsia" w:ascii="楷体" w:hAnsi="楷体" w:eastAsia="楷体" w:cs="楷体_GB2312"/>
          <w:sz w:val="32"/>
          <w:szCs w:val="32"/>
        </w:rPr>
        <w:br w:type="textWrapping"/>
      </w:r>
      <w:r>
        <w:rPr>
          <w:rFonts w:hint="eastAsia" w:ascii="仿宋_GB2312" w:hAnsi="仿宋_GB2312" w:eastAsia="仿宋_GB2312" w:cs="仿宋_GB2312"/>
          <w:sz w:val="32"/>
          <w:szCs w:val="32"/>
        </w:rPr>
        <w:t xml:space="preserve">    本部门在2019年度部门决算中反映“草原管护补助项目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“天然林停伐管护补助项目”“生态护林员项目”“集体和个人所有国家及公益林项目”“天保工程区管护补助项目”等5个项目绩效目标实际完成情况。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1.草原管护补助项目项目绩效目标完成情况综述。项目全年预算数30万元，执行数为12.1444万元，完成预算的40.48%。通过项目实施，</w:t>
      </w:r>
      <w:r>
        <w:rPr>
          <w:rFonts w:ascii="仿宋_GB2312" w:hAnsi="仿宋_GB2312" w:eastAsia="仿宋_GB2312" w:cs="仿宋_GB2312"/>
          <w:sz w:val="32"/>
          <w:szCs w:val="32"/>
        </w:rPr>
        <w:t>由于草地植被盖度增加，生态环境得到改善，土壤涵蓄水能力增强，一方面可以减少旱灾和洪涝灾害的发生频率，另一方面，随着土壤和空气中的含水量增加，相对湿度加大，对项目区小气候环境亦具有改善作用，还可减少草原地区雪灾、冻害的发生频率，对保障人畜安全亦具有重要作用</w:t>
      </w:r>
      <w:r>
        <w:rPr>
          <w:rFonts w:hint="eastAsia" w:ascii="仿宋_GB2312" w:hAnsi="仿宋_GB2312" w:eastAsia="仿宋_GB2312" w:cs="仿宋_GB2312"/>
          <w:sz w:val="32"/>
          <w:szCs w:val="32"/>
        </w:rPr>
        <w:t>。发现的主要问题：无。下一步改进措施：草原生态修复治理</w:t>
      </w:r>
      <w:r>
        <w:rPr>
          <w:rFonts w:ascii="仿宋_GB2312" w:hAnsi="仿宋_GB2312" w:eastAsia="仿宋_GB2312" w:cs="仿宋_GB2312"/>
          <w:sz w:val="32"/>
          <w:szCs w:val="32"/>
        </w:rPr>
        <w:t>建设与管理具有是社会性、长期性、艰巨性的工作，为进一步做好</w:t>
      </w:r>
      <w:r>
        <w:rPr>
          <w:rFonts w:hint="eastAsia" w:ascii="仿宋_GB2312" w:hAnsi="仿宋_GB2312" w:eastAsia="仿宋_GB2312" w:cs="仿宋_GB2312"/>
          <w:sz w:val="32"/>
          <w:szCs w:val="32"/>
        </w:rPr>
        <w:t>草原生态修复治理</w:t>
      </w:r>
      <w:r>
        <w:rPr>
          <w:rFonts w:ascii="仿宋_GB2312" w:hAnsi="仿宋_GB2312" w:eastAsia="仿宋_GB2312" w:cs="仿宋_GB2312"/>
          <w:sz w:val="32"/>
          <w:szCs w:val="32"/>
        </w:rPr>
        <w:t>保护工作，建议上级必须硬性规定县级林业主管部门设置专门的机构和增配专职人员。</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2.天然林停伐管护补助项目项目绩效目标完成情况综述。项目全年预算数115.55万元，执行数为115.55万元，完成预算的100%。通过项目实施</w:t>
      </w:r>
      <w:r>
        <w:rPr>
          <w:rFonts w:ascii="仿宋_GB2312" w:hAnsi="仿宋_GB2312" w:eastAsia="仿宋_GB2312" w:cs="仿宋_GB2312"/>
          <w:sz w:val="32"/>
          <w:szCs w:val="32"/>
        </w:rPr>
        <w:t>，最大限度地满足维护国家生态安全和经济社会发展的需要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增强了水源涵养能力，保护了生态环境和生物多样性，为建设长江上游重要生态屏障作了巨大贡献</w:t>
      </w:r>
      <w:r>
        <w:rPr>
          <w:rFonts w:hint="eastAsia" w:ascii="仿宋_GB2312" w:hAnsi="仿宋_GB2312" w:eastAsia="仿宋_GB2312" w:cs="仿宋_GB2312"/>
          <w:sz w:val="32"/>
          <w:szCs w:val="32"/>
        </w:rPr>
        <w:t>。发现的主要问题:资金补助标准过低。下一步改进措施:向上级主管部门争取政策支持。</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3.生态护林员项目项目绩效目标完成情况综述。项目全年预算数301万元，执行数为301万元，完成预算的100%。通过项目实施，</w:t>
      </w:r>
      <w:r>
        <w:rPr>
          <w:rFonts w:ascii="仿宋_GB2312" w:hAnsi="仿宋_GB2312" w:eastAsia="仿宋_GB2312" w:cs="仿宋_GB2312"/>
          <w:sz w:val="32"/>
          <w:szCs w:val="32"/>
        </w:rPr>
        <w:t>通过生态护林员实施，进一步扩大了护林管护队伍，加强了生态保护建设，林草综合覆盖率逐步提高，森林面积蓄积实现双增长，持续改善和优化生态环境</w:t>
      </w:r>
      <w:r>
        <w:rPr>
          <w:rFonts w:hint="eastAsia" w:ascii="仿宋_GB2312" w:hAnsi="仿宋_GB2312" w:eastAsia="仿宋_GB2312" w:cs="仿宋_GB2312"/>
          <w:sz w:val="32"/>
          <w:szCs w:val="32"/>
        </w:rPr>
        <w:t>。发现的主要问题：生态护林员文化水平低,政策理解不到位。下一步改进措施:加强生态护林员的培训。</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4.集体和个人所有国家级公益林项目项目绩效目标完成情况综述。项目全年预算数3160.37万元，执行数为3160.37万元，完成预算的100%。</w:t>
      </w:r>
      <w:r>
        <w:rPr>
          <w:rFonts w:ascii="仿宋_GB2312" w:hAnsi="仿宋_GB2312" w:eastAsia="仿宋_GB2312" w:cs="仿宋_GB2312"/>
          <w:sz w:val="32"/>
          <w:szCs w:val="32"/>
        </w:rPr>
        <w:t>项目</w:t>
      </w:r>
      <w:r>
        <w:rPr>
          <w:rFonts w:hint="eastAsia" w:ascii="仿宋_GB2312" w:hAnsi="仿宋_GB2312" w:eastAsia="仿宋_GB2312" w:cs="仿宋_GB2312"/>
          <w:sz w:val="32"/>
          <w:szCs w:val="32"/>
        </w:rPr>
        <w:t>实施</w:t>
      </w:r>
      <w:r>
        <w:rPr>
          <w:rFonts w:ascii="仿宋_GB2312" w:hAnsi="仿宋_GB2312" w:eastAsia="仿宋_GB2312" w:cs="仿宋_GB2312"/>
          <w:sz w:val="32"/>
          <w:szCs w:val="32"/>
        </w:rPr>
        <w:t>后，增强了水源涵养能力，保护了生态环境和生物多样性，为建设长江上游重要生态屏障作了巨大贡献。</w:t>
      </w:r>
      <w:r>
        <w:rPr>
          <w:rFonts w:hint="eastAsia" w:ascii="仿宋_GB2312" w:hAnsi="仿宋_GB2312" w:eastAsia="仿宋_GB2312" w:cs="仿宋_GB2312"/>
          <w:sz w:val="32"/>
          <w:szCs w:val="32"/>
        </w:rPr>
        <w:t>集体和个人所有国家级公益林项目</w:t>
      </w:r>
      <w:r>
        <w:rPr>
          <w:rFonts w:ascii="仿宋_GB2312" w:hAnsi="仿宋_GB2312" w:eastAsia="仿宋_GB2312" w:cs="仿宋_GB2312"/>
          <w:sz w:val="32"/>
          <w:szCs w:val="32"/>
        </w:rPr>
        <w:t>的实施，搭建起比较完备的森林生态体系结构，为促进我县生态建设起到极为重要的作用。</w:t>
      </w:r>
      <w:r>
        <w:rPr>
          <w:rFonts w:hint="eastAsia" w:ascii="仿宋_GB2312" w:hAnsi="仿宋_GB2312" w:eastAsia="仿宋_GB2312" w:cs="仿宋_GB2312"/>
          <w:sz w:val="32"/>
          <w:szCs w:val="32"/>
        </w:rPr>
        <w:t>发现的主要问题：人畜践踏比较多。下一步改进措施:加强宣传,提供老百姓的生态保护意识。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5.天保工程区管护补助项目项目绩效目标完成情况综述。项目全年预算数921.75万元，执行数为880.576306万元，完成预算的95.53%。</w:t>
      </w:r>
      <w:r>
        <w:rPr>
          <w:rFonts w:ascii="仿宋_GB2312" w:hAnsi="仿宋_GB2312" w:eastAsia="仿宋_GB2312" w:cs="仿宋_GB2312"/>
          <w:sz w:val="32"/>
          <w:szCs w:val="32"/>
        </w:rPr>
        <w:t>项目实施后，</w:t>
      </w:r>
      <w:r>
        <w:rPr>
          <w:rFonts w:hint="eastAsia" w:ascii="仿宋_GB2312" w:hAnsi="仿宋_GB2312" w:eastAsia="仿宋_GB2312" w:cs="仿宋_GB2312"/>
          <w:sz w:val="32"/>
          <w:szCs w:val="32"/>
        </w:rPr>
        <w:t>保障森林资源从恢复性增长进一步向质量提高转变。主要问题：造林地区立地条件差,建设周期长,管护难度高。下一步改进措施:优化造林模式,加大管护资金投入。</w:t>
      </w: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735" w:type="dxa"/>
        <w:jc w:val="center"/>
        <w:tblLayout w:type="fixed"/>
        <w:tblCellMar>
          <w:top w:w="0" w:type="dxa"/>
          <w:left w:w="0" w:type="dxa"/>
          <w:bottom w:w="0" w:type="dxa"/>
          <w:right w:w="0" w:type="dxa"/>
        </w:tblCellMar>
      </w:tblPr>
      <w:tblGrid>
        <w:gridCol w:w="708"/>
        <w:gridCol w:w="1009"/>
        <w:gridCol w:w="1002"/>
        <w:gridCol w:w="2338"/>
        <w:gridCol w:w="2340"/>
        <w:gridCol w:w="2338"/>
      </w:tblGrid>
      <w:tr>
        <w:tblPrEx>
          <w:tblCellMar>
            <w:top w:w="0" w:type="dxa"/>
            <w:left w:w="0" w:type="dxa"/>
            <w:bottom w:w="0" w:type="dxa"/>
            <w:right w:w="0" w:type="dxa"/>
          </w:tblCellMar>
        </w:tblPrEx>
        <w:trPr>
          <w:trHeight w:val="1016" w:hRule="atLeast"/>
          <w:jc w:val="center"/>
        </w:trPr>
        <w:tc>
          <w:tcPr>
            <w:tcW w:w="9735" w:type="dxa"/>
            <w:gridSpan w:val="6"/>
            <w:tcBorders>
              <w:top w:val="nil"/>
              <w:left w:val="nil"/>
              <w:bottom w:val="nil"/>
              <w:right w:val="nil"/>
            </w:tcBorders>
            <w:tcMar>
              <w:top w:w="15" w:type="dxa"/>
              <w:left w:w="15" w:type="dxa"/>
              <w:right w:w="15" w:type="dxa"/>
            </w:tcMar>
            <w:vAlign w:val="center"/>
          </w:tcPr>
          <w:p>
            <w:pPr>
              <w:widowControl/>
              <w:spacing w:line="560"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60" w:lineRule="exact"/>
              <w:jc w:val="center"/>
              <w:textAlignment w:val="center"/>
              <w:rPr>
                <w:rFonts w:ascii="宋体" w:hAnsi="宋体" w:cs="宋体"/>
                <w:color w:val="000000"/>
                <w:sz w:val="36"/>
                <w:szCs w:val="36"/>
              </w:rPr>
            </w:pP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1" w:hRule="atLeast"/>
          <w:jc w:val="center"/>
        </w:trPr>
        <w:tc>
          <w:tcPr>
            <w:tcW w:w="2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0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草原管护补助项目</w:t>
            </w:r>
          </w:p>
        </w:tc>
      </w:tr>
      <w:tr>
        <w:tblPrEx>
          <w:tblCellMar>
            <w:top w:w="0" w:type="dxa"/>
            <w:left w:w="0" w:type="dxa"/>
            <w:bottom w:w="0" w:type="dxa"/>
            <w:right w:w="0" w:type="dxa"/>
          </w:tblCellMar>
        </w:tblPrEx>
        <w:trPr>
          <w:trHeight w:val="271" w:hRule="atLeast"/>
          <w:jc w:val="center"/>
        </w:trPr>
        <w:tc>
          <w:tcPr>
            <w:tcW w:w="27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01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茂县林业和草原局</w:t>
            </w:r>
          </w:p>
        </w:tc>
      </w:tr>
      <w:tr>
        <w:tblPrEx>
          <w:tblCellMar>
            <w:top w:w="0" w:type="dxa"/>
            <w:left w:w="0" w:type="dxa"/>
            <w:bottom w:w="0" w:type="dxa"/>
            <w:right w:w="0" w:type="dxa"/>
          </w:tblCellMar>
        </w:tblPrEx>
        <w:trPr>
          <w:trHeight w:val="271" w:hRule="atLeast"/>
          <w:jc w:val="center"/>
        </w:trPr>
        <w:tc>
          <w:tcPr>
            <w:tcW w:w="7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4"/>
              </w:rPr>
              <w:t>预算执行情况(万元</w:t>
            </w:r>
            <w:r>
              <w:rPr>
                <w:rFonts w:hint="eastAsia" w:ascii="宋体" w:hAnsi="宋体" w:cs="宋体"/>
                <w:color w:val="000000"/>
                <w:kern w:val="0"/>
                <w:sz w:val="24"/>
              </w:rPr>
              <w:t>)</w:t>
            </w:r>
          </w:p>
        </w:tc>
        <w:tc>
          <w:tcPr>
            <w:tcW w:w="201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30</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12.1444</w:t>
            </w:r>
          </w:p>
        </w:tc>
      </w:tr>
      <w:tr>
        <w:tblPrEx>
          <w:tblCellMar>
            <w:top w:w="0" w:type="dxa"/>
            <w:left w:w="0" w:type="dxa"/>
            <w:bottom w:w="0" w:type="dxa"/>
            <w:right w:w="0" w:type="dxa"/>
          </w:tblCellMar>
        </w:tblPrEx>
        <w:trPr>
          <w:trHeight w:val="271" w:hRule="atLeast"/>
          <w:jc w:val="center"/>
        </w:trPr>
        <w:tc>
          <w:tcPr>
            <w:tcW w:w="7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01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30</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12.1444</w:t>
            </w:r>
          </w:p>
        </w:tc>
      </w:tr>
      <w:tr>
        <w:tblPrEx>
          <w:tblCellMar>
            <w:top w:w="0" w:type="dxa"/>
            <w:left w:w="0" w:type="dxa"/>
            <w:bottom w:w="0" w:type="dxa"/>
            <w:right w:w="0" w:type="dxa"/>
          </w:tblCellMar>
        </w:tblPrEx>
        <w:trPr>
          <w:trHeight w:val="1292" w:hRule="atLeast"/>
          <w:jc w:val="center"/>
        </w:trPr>
        <w:tc>
          <w:tcPr>
            <w:tcW w:w="7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201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1" w:hRule="atLeast"/>
          <w:jc w:val="center"/>
        </w:trPr>
        <w:tc>
          <w:tcPr>
            <w:tcW w:w="70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34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6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28" w:hRule="atLeast"/>
          <w:jc w:val="center"/>
        </w:trPr>
        <w:tc>
          <w:tcPr>
            <w:tcW w:w="70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34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420" w:firstLineChars="200"/>
              <w:jc w:val="left"/>
              <w:textAlignment w:val="center"/>
              <w:rPr>
                <w:rFonts w:ascii="宋体" w:hAnsi="宋体" w:cs="宋体"/>
                <w:color w:val="000000"/>
                <w:sz w:val="24"/>
              </w:rPr>
            </w:pPr>
            <w:r>
              <w:t>用于全县164.24万亩草地的防火、监理执法、支持禁牧、草畜平衡两项制度落实和草原监测等相关工作</w:t>
            </w:r>
          </w:p>
        </w:tc>
        <w:tc>
          <w:tcPr>
            <w:tcW w:w="467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ind w:firstLine="315" w:firstLineChars="150"/>
              <w:jc w:val="left"/>
              <w:textAlignment w:val="center"/>
              <w:rPr>
                <w:rFonts w:ascii="宋体" w:hAnsi="宋体" w:cs="宋体"/>
                <w:color w:val="000000"/>
                <w:sz w:val="24"/>
              </w:rPr>
            </w:pPr>
            <w:r>
              <w:rPr>
                <w:rFonts w:hint="eastAsia"/>
              </w:rPr>
              <w:t>完成了</w:t>
            </w:r>
            <w:r>
              <w:t>全县164.24万亩草地的防火、监理执法、支持禁牧、草畜平衡两项制度落实和草原监测等相关工作</w:t>
            </w:r>
          </w:p>
        </w:tc>
      </w:tr>
      <w:tr>
        <w:tblPrEx>
          <w:tblCellMar>
            <w:top w:w="0" w:type="dxa"/>
            <w:left w:w="0" w:type="dxa"/>
            <w:bottom w:w="0" w:type="dxa"/>
            <w:right w:w="0" w:type="dxa"/>
          </w:tblCellMar>
        </w:tblPrEx>
        <w:trPr>
          <w:trHeight w:val="755" w:hRule="atLeast"/>
          <w:jc w:val="center"/>
        </w:trPr>
        <w:tc>
          <w:tcPr>
            <w:tcW w:w="70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807" w:hRule="atLeast"/>
          <w:jc w:val="center"/>
        </w:trPr>
        <w:tc>
          <w:tcPr>
            <w:tcW w:w="708"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数量指标</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完成数量</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t>开展草原监测工作</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t>完成2019年草原监测工作</w:t>
            </w:r>
          </w:p>
        </w:tc>
      </w:tr>
      <w:tr>
        <w:tblPrEx>
          <w:tblCellMar>
            <w:top w:w="0" w:type="dxa"/>
            <w:left w:w="0" w:type="dxa"/>
            <w:bottom w:w="0" w:type="dxa"/>
            <w:right w:w="0" w:type="dxa"/>
          </w:tblCellMar>
        </w:tblPrEx>
        <w:trPr>
          <w:trHeight w:val="583" w:hRule="atLeast"/>
          <w:jc w:val="center"/>
        </w:trPr>
        <w:tc>
          <w:tcPr>
            <w:tcW w:w="708"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可持续影响指标</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持续发挥生态效益显著</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持续发挥生态效益</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持续发挥生态效益显著</w:t>
            </w:r>
          </w:p>
        </w:tc>
      </w:tr>
      <w:tr>
        <w:tblPrEx>
          <w:tblCellMar>
            <w:top w:w="0" w:type="dxa"/>
            <w:left w:w="0" w:type="dxa"/>
            <w:bottom w:w="0" w:type="dxa"/>
            <w:right w:w="0" w:type="dxa"/>
          </w:tblCellMar>
        </w:tblPrEx>
        <w:trPr>
          <w:trHeight w:val="984" w:hRule="atLeast"/>
          <w:jc w:val="center"/>
        </w:trPr>
        <w:tc>
          <w:tcPr>
            <w:tcW w:w="708"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生态效益指标</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拟达成效</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减少水土流水</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减少水土流水</w:t>
            </w:r>
          </w:p>
        </w:tc>
      </w:tr>
      <w:tr>
        <w:tblPrEx>
          <w:tblCellMar>
            <w:top w:w="0" w:type="dxa"/>
            <w:left w:w="0" w:type="dxa"/>
            <w:bottom w:w="0" w:type="dxa"/>
            <w:right w:w="0" w:type="dxa"/>
          </w:tblCellMar>
        </w:tblPrEx>
        <w:trPr>
          <w:trHeight w:val="1031" w:hRule="atLeast"/>
          <w:jc w:val="center"/>
        </w:trPr>
        <w:tc>
          <w:tcPr>
            <w:tcW w:w="708"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10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0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ascii="宋体" w:hAnsi="宋体" w:cs="宋体"/>
                <w:color w:val="000000"/>
                <w:sz w:val="24"/>
              </w:rPr>
            </w:pPr>
            <w:r>
              <w:rPr>
                <w:rFonts w:hint="eastAsia" w:ascii="宋体" w:hAnsi="宋体" w:cs="宋体"/>
                <w:color w:val="000000"/>
                <w:sz w:val="24"/>
              </w:rPr>
              <w:t>满意度指标</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社会公众满意度</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满意</w:t>
            </w:r>
          </w:p>
        </w:tc>
        <w:tc>
          <w:tcPr>
            <w:tcW w:w="23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满意</w:t>
            </w:r>
          </w:p>
        </w:tc>
      </w:tr>
    </w:tbl>
    <w:p>
      <w:pPr>
        <w:spacing w:line="56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866"/>
        <w:gridCol w:w="891"/>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天然林停伐管护补助项目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茂县林业和草原局</w:t>
            </w:r>
          </w:p>
        </w:tc>
      </w:tr>
      <w:tr>
        <w:tblPrEx>
          <w:tblCellMar>
            <w:top w:w="0" w:type="dxa"/>
            <w:left w:w="0" w:type="dxa"/>
            <w:bottom w:w="0" w:type="dxa"/>
            <w:right w:w="0" w:type="dxa"/>
          </w:tblCellMar>
        </w:tblPrEx>
        <w:trPr>
          <w:trHeight w:val="276" w:hRule="atLeast"/>
          <w:jc w:val="center"/>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115.55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115.55</w:t>
            </w:r>
          </w:p>
        </w:tc>
      </w:tr>
      <w:tr>
        <w:tblPrEx>
          <w:tblCellMar>
            <w:top w:w="0" w:type="dxa"/>
            <w:left w:w="0" w:type="dxa"/>
            <w:bottom w:w="0" w:type="dxa"/>
            <w:right w:w="0" w:type="dxa"/>
          </w:tblCellMar>
        </w:tblPrEx>
        <w:trPr>
          <w:trHeight w:val="276" w:hRule="atLeast"/>
          <w:jc w:val="center"/>
        </w:trPr>
        <w:tc>
          <w:tcPr>
            <w:tcW w:w="86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115.55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115.55</w:t>
            </w:r>
          </w:p>
        </w:tc>
      </w:tr>
      <w:tr>
        <w:tblPrEx>
          <w:tblCellMar>
            <w:top w:w="0" w:type="dxa"/>
            <w:left w:w="0" w:type="dxa"/>
            <w:bottom w:w="0" w:type="dxa"/>
            <w:right w:w="0" w:type="dxa"/>
          </w:tblCellMar>
        </w:tblPrEx>
        <w:trPr>
          <w:trHeight w:val="905" w:hRule="atLeast"/>
          <w:jc w:val="center"/>
        </w:trPr>
        <w:tc>
          <w:tcPr>
            <w:tcW w:w="86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19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3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17" w:hRule="atLeast"/>
          <w:jc w:val="center"/>
        </w:trPr>
        <w:tc>
          <w:tcPr>
            <w:tcW w:w="86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hAnsi="宋体" w:cs="宋体"/>
                <w:color w:val="000000"/>
                <w:sz w:val="24"/>
              </w:rPr>
            </w:pPr>
          </w:p>
        </w:tc>
        <w:tc>
          <w:tcPr>
            <w:tcW w:w="43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ascii="宋体" w:hAnsi="宋体" w:cs="宋体"/>
                <w:color w:val="000000"/>
                <w:sz w:val="24"/>
              </w:rPr>
            </w:pPr>
            <w:r>
              <w:rPr>
                <w:rFonts w:hint="eastAsia" w:ascii="宋体" w:hAnsi="宋体" w:cs="宋体"/>
                <w:color w:val="000000"/>
                <w:sz w:val="24"/>
              </w:rPr>
              <w:t>完成项目,资金兑现农户,达到生态保护目的。</w:t>
            </w:r>
          </w:p>
          <w:p>
            <w:pPr>
              <w:widowControl/>
              <w:spacing w:line="560" w:lineRule="exact"/>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ascii="宋体" w:hAnsi="宋体" w:cs="宋体"/>
                <w:color w:val="000000"/>
                <w:sz w:val="24"/>
              </w:rPr>
            </w:pPr>
            <w:r>
              <w:rPr>
                <w:rFonts w:hint="eastAsia" w:ascii="宋体" w:hAnsi="宋体" w:cs="宋体"/>
                <w:color w:val="000000"/>
                <w:sz w:val="24"/>
              </w:rPr>
              <w:t>完成了项目,资金兑现农户,达到生态保护目的。</w:t>
            </w:r>
          </w:p>
          <w:p>
            <w:pPr>
              <w:widowControl/>
              <w:spacing w:line="560" w:lineRule="exact"/>
              <w:jc w:val="center"/>
              <w:textAlignment w:val="center"/>
              <w:rPr>
                <w:rFonts w:ascii="宋体" w:hAnsi="宋体" w:cs="宋体"/>
                <w:color w:val="000000"/>
                <w:sz w:val="24"/>
              </w:rPr>
            </w:pPr>
            <w:r>
              <w:t>。</w:t>
            </w:r>
          </w:p>
        </w:tc>
      </w:tr>
      <w:tr>
        <w:tblPrEx>
          <w:tblCellMar>
            <w:top w:w="0" w:type="dxa"/>
            <w:left w:w="0" w:type="dxa"/>
            <w:bottom w:w="0" w:type="dxa"/>
            <w:right w:w="0" w:type="dxa"/>
          </w:tblCellMar>
        </w:tblPrEx>
        <w:trPr>
          <w:trHeight w:val="769" w:hRule="atLeast"/>
          <w:jc w:val="center"/>
        </w:trPr>
        <w:tc>
          <w:tcPr>
            <w:tcW w:w="866"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822"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完成数量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spacing w:line="560" w:lineRule="exact"/>
            </w:pPr>
            <w:r>
              <w:rPr>
                <w:rFonts w:hint="eastAsia"/>
              </w:rPr>
              <w:t>补偿天然商品林管护面积</w:t>
            </w:r>
            <w:r>
              <w:t>18.7004</w:t>
            </w:r>
            <w:r>
              <w:rPr>
                <w:rFonts w:hint="eastAsia"/>
              </w:rPr>
              <w:t>万亩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spacing w:line="560" w:lineRule="exact"/>
            </w:pPr>
            <w:r>
              <w:rPr>
                <w:rFonts w:hint="eastAsia"/>
              </w:rPr>
              <w:t>补偿天然商品林管护面积</w:t>
            </w:r>
            <w:r>
              <w:t>18.7004</w:t>
            </w:r>
            <w:r>
              <w:rPr>
                <w:rFonts w:hint="eastAsia"/>
              </w:rPr>
              <w:t>万亩</w:t>
            </w:r>
          </w:p>
        </w:tc>
      </w:tr>
      <w:tr>
        <w:tblPrEx>
          <w:tblCellMar>
            <w:top w:w="0" w:type="dxa"/>
            <w:left w:w="0" w:type="dxa"/>
            <w:bottom w:w="0" w:type="dxa"/>
            <w:right w:w="0" w:type="dxa"/>
          </w:tblCellMar>
        </w:tblPrEx>
        <w:trPr>
          <w:trHeight w:val="834"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宋体" w:hAnsi="宋体" w:cs="Arial"/>
                <w:color w:val="000000"/>
                <w:sz w:val="24"/>
              </w:rPr>
            </w:pPr>
            <w:r>
              <w:rPr>
                <w:rFonts w:hint="eastAsia" w:cs="Arial"/>
                <w:color w:val="000000"/>
                <w:sz w:val="24"/>
              </w:rPr>
              <w:t>天然林资源管护生态环境改善情况明显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rPr>
                <w:rFonts w:ascii="宋体" w:hAnsi="宋体" w:cs="Arial"/>
                <w:color w:val="000000"/>
                <w:sz w:val="24"/>
              </w:rPr>
            </w:pPr>
            <w:r>
              <w:rPr>
                <w:rFonts w:hint="eastAsia" w:cs="Arial"/>
                <w:color w:val="000000"/>
                <w:sz w:val="24"/>
              </w:rPr>
              <w:t>天然林资源管护生态环境改善情况明显</w:t>
            </w:r>
          </w:p>
        </w:tc>
      </w:tr>
      <w:tr>
        <w:tblPrEx>
          <w:tblCellMar>
            <w:top w:w="0" w:type="dxa"/>
            <w:left w:w="0" w:type="dxa"/>
            <w:bottom w:w="0" w:type="dxa"/>
            <w:right w:w="0" w:type="dxa"/>
          </w:tblCellMar>
        </w:tblPrEx>
        <w:trPr>
          <w:trHeight w:val="1042"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spacing w:line="560" w:lineRule="exact"/>
            </w:pPr>
            <w:r>
              <w:rPr>
                <w:rFonts w:hint="eastAsia"/>
              </w:rPr>
              <w:t>农民收入水平提高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spacing w:line="560" w:lineRule="exact"/>
            </w:pPr>
            <w:r>
              <w:rPr>
                <w:rFonts w:hint="eastAsia"/>
              </w:rPr>
              <w:t>农民收入水平提高</w:t>
            </w:r>
          </w:p>
        </w:tc>
      </w:tr>
      <w:tr>
        <w:tblPrEx>
          <w:tblCellMar>
            <w:top w:w="0" w:type="dxa"/>
            <w:left w:w="0" w:type="dxa"/>
            <w:bottom w:w="0" w:type="dxa"/>
            <w:right w:w="0" w:type="dxa"/>
          </w:tblCellMar>
        </w:tblPrEx>
        <w:trPr>
          <w:trHeight w:val="593" w:hRule="atLeast"/>
          <w:jc w:val="center"/>
        </w:trPr>
        <w:tc>
          <w:tcPr>
            <w:tcW w:w="866" w:type="dxa"/>
            <w:vMerge w:val="continue"/>
            <w:tcBorders>
              <w:left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p>
        </w:tc>
        <w:tc>
          <w:tcPr>
            <w:tcW w:w="8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 xml:space="preserve">  满意指标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hint="eastAsia" w:ascii="宋体" w:hAnsi="宋体" w:cs="宋体"/>
                <w:color w:val="000000"/>
                <w:sz w:val="24"/>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&gt;</w:t>
            </w:r>
            <w:r>
              <w:rPr>
                <w:rFonts w:hint="eastAsia" w:ascii="宋体" w:hAnsi="宋体" w:cs="宋体"/>
                <w:color w:val="000000"/>
                <w:sz w:val="24"/>
              </w:rPr>
              <w:t>90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hAnsi="宋体" w:cs="宋体"/>
                <w:color w:val="000000"/>
                <w:sz w:val="24"/>
              </w:rPr>
            </w:pPr>
            <w:r>
              <w:rPr>
                <w:rFonts w:ascii="宋体" w:hAnsi="宋体" w:cs="宋体"/>
                <w:color w:val="000000"/>
                <w:sz w:val="24"/>
              </w:rPr>
              <w:t>&gt;</w:t>
            </w:r>
            <w:r>
              <w:rPr>
                <w:rFonts w:hint="eastAsia" w:ascii="宋体" w:hAnsi="宋体" w:cs="宋体"/>
                <w:color w:val="000000"/>
                <w:sz w:val="24"/>
              </w:rPr>
              <w:t>90</w:t>
            </w:r>
            <w:r>
              <w:rPr>
                <w:rFonts w:ascii="宋体" w:hAnsi="宋体" w:cs="宋体"/>
                <w:color w:val="000000"/>
                <w:sz w:val="24"/>
              </w:rPr>
              <w:t>%</w:t>
            </w:r>
          </w:p>
        </w:tc>
      </w:tr>
    </w:tbl>
    <w:p>
      <w:pPr>
        <w:spacing w:line="580" w:lineRule="exact"/>
        <w:rPr>
          <w:rFonts w:ascii="楷体_GB2312" w:hAnsi="楷体_GB2312" w:eastAsia="楷体_GB2312" w:cs="楷体_GB2312"/>
          <w:sz w:val="32"/>
          <w:szCs w:val="32"/>
        </w:rPr>
      </w:pP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334"/>
        <w:gridCol w:w="1033"/>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生态护林员项目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茂县林业和草原局</w:t>
            </w:r>
          </w:p>
        </w:tc>
      </w:tr>
      <w:tr>
        <w:tblPrEx>
          <w:tblCellMar>
            <w:top w:w="0" w:type="dxa"/>
            <w:left w:w="0" w:type="dxa"/>
            <w:bottom w:w="0" w:type="dxa"/>
            <w:right w:w="0" w:type="dxa"/>
          </w:tblCellMar>
        </w:tblPrEx>
        <w:trPr>
          <w:trHeight w:val="276" w:hRule="atLeast"/>
          <w:jc w:val="center"/>
        </w:trPr>
        <w:tc>
          <w:tcPr>
            <w:tcW w:w="72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301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301</w:t>
            </w:r>
          </w:p>
        </w:tc>
      </w:tr>
      <w:tr>
        <w:tblPrEx>
          <w:tblCellMar>
            <w:top w:w="0" w:type="dxa"/>
            <w:left w:w="0" w:type="dxa"/>
            <w:bottom w:w="0" w:type="dxa"/>
            <w:right w:w="0" w:type="dxa"/>
          </w:tblCellMar>
        </w:tblPrEx>
        <w:trPr>
          <w:trHeight w:val="276" w:hRule="atLeast"/>
          <w:jc w:val="center"/>
        </w:trPr>
        <w:tc>
          <w:tcPr>
            <w:tcW w:w="72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301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301</w:t>
            </w:r>
          </w:p>
        </w:tc>
      </w:tr>
      <w:tr>
        <w:tblPrEx>
          <w:tblCellMar>
            <w:top w:w="0" w:type="dxa"/>
            <w:left w:w="0" w:type="dxa"/>
            <w:bottom w:w="0" w:type="dxa"/>
            <w:right w:w="0" w:type="dxa"/>
          </w:tblCellMar>
        </w:tblPrEx>
        <w:trPr>
          <w:trHeight w:val="1329" w:hRule="atLeast"/>
          <w:jc w:val="center"/>
        </w:trPr>
        <w:tc>
          <w:tcPr>
            <w:tcW w:w="72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0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72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17" w:hRule="atLeast"/>
          <w:jc w:val="center"/>
        </w:trPr>
        <w:tc>
          <w:tcPr>
            <w:tcW w:w="72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4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完成项目,通过参与森林资源管护获得劳务收入,使贫困户每户增收,实现了生态文明建设与贫困群众脱贫增收同步谋划、同步推进、同步落实,全面推进我县脱贫奔康。</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完成项目,通过参与森林资源管护获得劳务收入,使401户贫困户每户增收7500元/年,实现了生态文明建设与贫困群众脱贫增收同步划、同步推进、同步落实，全面推进我县脱贫奔康。</w:t>
            </w:r>
          </w:p>
        </w:tc>
      </w:tr>
      <w:tr>
        <w:tblPrEx>
          <w:tblCellMar>
            <w:top w:w="0" w:type="dxa"/>
            <w:left w:w="0" w:type="dxa"/>
            <w:bottom w:w="0" w:type="dxa"/>
            <w:right w:w="0" w:type="dxa"/>
          </w:tblCellMar>
        </w:tblPrEx>
        <w:trPr>
          <w:trHeight w:val="769" w:hRule="atLeast"/>
          <w:jc w:val="center"/>
        </w:trPr>
        <w:tc>
          <w:tcPr>
            <w:tcW w:w="724"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942" w:hRule="atLeast"/>
          <w:jc w:val="center"/>
        </w:trPr>
        <w:tc>
          <w:tcPr>
            <w:tcW w:w="724"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heme="minorEastAsia" w:hAnsiTheme="minorEastAsia" w:eastAsiaTheme="minorEastAsia"/>
                <w:sz w:val="24"/>
              </w:rPr>
            </w:pPr>
            <w:r>
              <w:rPr>
                <w:rFonts w:hint="eastAsia" w:asciiTheme="minorEastAsia" w:hAnsiTheme="minorEastAsia" w:eastAsiaTheme="minorEastAsia"/>
                <w:bCs/>
                <w:color w:val="000000"/>
                <w:sz w:val="24"/>
              </w:rPr>
              <w:t>聘用生态护护林员</w:t>
            </w:r>
            <w:r>
              <w:rPr>
                <w:rFonts w:hint="eastAsia" w:asciiTheme="minorEastAsia" w:hAnsiTheme="minorEastAsia" w:eastAsiaTheme="minorEastAsia"/>
                <w:color w:val="000000"/>
                <w:sz w:val="24"/>
              </w:rPr>
              <w:t>,让</w:t>
            </w:r>
            <w:r>
              <w:rPr>
                <w:rFonts w:hint="eastAsia" w:cs="仿宋" w:asciiTheme="minorEastAsia" w:hAnsiTheme="minorEastAsia" w:eastAsiaTheme="minorEastAsia"/>
                <w:sz w:val="24"/>
              </w:rPr>
              <w:t>受益贫困户,每年每户平均获得收入7500元以上。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asciiTheme="minorEastAsia" w:hAnsiTheme="minorEastAsia" w:eastAsiaTheme="minorEastAsia"/>
                <w:sz w:val="24"/>
              </w:rPr>
            </w:pPr>
            <w:r>
              <w:rPr>
                <w:rFonts w:hint="eastAsia" w:asciiTheme="minorEastAsia" w:hAnsiTheme="minorEastAsia" w:eastAsiaTheme="minorEastAsia"/>
                <w:color w:val="000000"/>
                <w:sz w:val="24"/>
              </w:rPr>
              <w:t>聘用401名贫困人员参与森林管护,资金按月支付,目前已支付管护补助115.2875万元。</w:t>
            </w:r>
            <w:r>
              <w:rPr>
                <w:rFonts w:hint="eastAsia" w:cs="仿宋" w:asciiTheme="minorEastAsia" w:hAnsiTheme="minorEastAsia" w:eastAsiaTheme="minorEastAsia"/>
                <w:sz w:val="24"/>
              </w:rPr>
              <w:t>受益贫困户401人,每年每户平均获得收入7500元以上。</w:t>
            </w:r>
          </w:p>
        </w:tc>
      </w:tr>
      <w:tr>
        <w:tblPrEx>
          <w:tblCellMar>
            <w:top w:w="0" w:type="dxa"/>
            <w:left w:w="0" w:type="dxa"/>
            <w:bottom w:w="0" w:type="dxa"/>
            <w:right w:w="0" w:type="dxa"/>
          </w:tblCellMar>
        </w:tblPrEx>
        <w:trPr>
          <w:trHeight w:val="834" w:hRule="atLeast"/>
          <w:jc w:val="center"/>
        </w:trPr>
        <w:tc>
          <w:tcPr>
            <w:tcW w:w="724" w:type="dxa"/>
            <w:gridSpan w:val="2"/>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pPr>
            <w:r>
              <w:rPr>
                <w:rFonts w:hint="eastAsia"/>
              </w:rPr>
              <w:t>农民收入水平明显提高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pPr>
            <w:r>
              <w:rPr>
                <w:rFonts w:hint="eastAsia"/>
              </w:rPr>
              <w:t>农民收入水平明显提高</w:t>
            </w:r>
          </w:p>
        </w:tc>
      </w:tr>
      <w:tr>
        <w:tblPrEx>
          <w:tblCellMar>
            <w:top w:w="0" w:type="dxa"/>
            <w:left w:w="0" w:type="dxa"/>
            <w:bottom w:w="0" w:type="dxa"/>
            <w:right w:w="0" w:type="dxa"/>
          </w:tblCellMar>
        </w:tblPrEx>
        <w:trPr>
          <w:trHeight w:val="1042" w:hRule="atLeast"/>
          <w:jc w:val="center"/>
        </w:trPr>
        <w:tc>
          <w:tcPr>
            <w:tcW w:w="724" w:type="dxa"/>
            <w:gridSpan w:val="2"/>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33"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 xml:space="preserve">  满意指标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w:t>
            </w:r>
            <w:r>
              <w:rPr>
                <w:rFonts w:hint="eastAsia" w:ascii="宋体" w:hAnsi="宋体" w:cs="宋体"/>
                <w:color w:val="000000"/>
                <w:sz w:val="24"/>
              </w:rPr>
              <w:t>80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w:t>
            </w:r>
            <w:r>
              <w:rPr>
                <w:rFonts w:hint="eastAsia" w:ascii="宋体" w:hAnsi="宋体" w:cs="宋体"/>
                <w:color w:val="000000"/>
                <w:sz w:val="24"/>
              </w:rPr>
              <w:t>80</w:t>
            </w:r>
            <w:r>
              <w:rPr>
                <w:rFonts w:ascii="宋体" w:hAnsi="宋体" w:cs="宋体"/>
                <w:color w:val="000000"/>
                <w:sz w:val="24"/>
              </w:rPr>
              <w:t>%</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集体和个人所有国家及公益林项目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茂县林业和草原局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3160.37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3160.37</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3160.37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3160.37</w:t>
            </w:r>
          </w:p>
        </w:tc>
      </w:tr>
      <w:tr>
        <w:tblPrEx>
          <w:tblCellMar>
            <w:top w:w="0" w:type="dxa"/>
            <w:left w:w="0" w:type="dxa"/>
            <w:bottom w:w="0" w:type="dxa"/>
            <w:right w:w="0" w:type="dxa"/>
          </w:tblCellMar>
        </w:tblPrEx>
        <w:trPr>
          <w:trHeight w:val="132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1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完成项目,资金兑现农户,达到生态保护目的</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完成项目,资金兑现农户,达到生态保护目的</w:t>
            </w:r>
          </w:p>
        </w:tc>
      </w:tr>
      <w:tr>
        <w:tblPrEx>
          <w:tblCellMar>
            <w:top w:w="0" w:type="dxa"/>
            <w:left w:w="0" w:type="dxa"/>
            <w:bottom w:w="0" w:type="dxa"/>
            <w:right w:w="0" w:type="dxa"/>
          </w:tblCellMar>
        </w:tblPrEx>
        <w:trPr>
          <w:trHeight w:val="769"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82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补偿全县集体公益林面积214.26万亩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补偿全县集体公益林面积214.26万亩</w:t>
            </w:r>
          </w:p>
        </w:tc>
      </w:tr>
      <w:tr>
        <w:tblPrEx>
          <w:tblCellMar>
            <w:top w:w="0" w:type="dxa"/>
            <w:left w:w="0" w:type="dxa"/>
            <w:bottom w:w="0" w:type="dxa"/>
            <w:right w:w="0" w:type="dxa"/>
          </w:tblCellMar>
        </w:tblPrEx>
        <w:trPr>
          <w:trHeight w:val="59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保障工作的顺利开展,推动生态环境更好的发展。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完成了生态保护工作</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t>≥</w:t>
            </w: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t>≥</w:t>
            </w:r>
            <w:r>
              <w:rPr>
                <w:rFonts w:hint="eastAsia" w:ascii="宋体" w:hAnsi="宋体" w:cs="宋体"/>
                <w:color w:val="000000"/>
                <w:sz w:val="24"/>
              </w:rPr>
              <w:t>90%</w:t>
            </w:r>
          </w:p>
        </w:tc>
      </w:tr>
      <w:tr>
        <w:tblPrEx>
          <w:tblCellMar>
            <w:top w:w="0" w:type="dxa"/>
            <w:left w:w="0" w:type="dxa"/>
            <w:bottom w:w="0" w:type="dxa"/>
            <w:right w:w="0" w:type="dxa"/>
          </w:tblCellMar>
        </w:tblPrEx>
        <w:trPr>
          <w:trHeight w:val="1034" w:hRule="atLeast"/>
          <w:jc w:val="center"/>
        </w:trPr>
        <w:tc>
          <w:tcPr>
            <w:tcW w:w="996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天保工程区管护补助项目</w:t>
            </w:r>
          </w:p>
        </w:tc>
      </w:tr>
      <w:tr>
        <w:tblPrEx>
          <w:tblCellMar>
            <w:top w:w="0" w:type="dxa"/>
            <w:left w:w="0" w:type="dxa"/>
            <w:bottom w:w="0" w:type="dxa"/>
            <w:right w:w="0" w:type="dxa"/>
          </w:tblCellMar>
        </w:tblPrEx>
        <w:trPr>
          <w:trHeight w:val="276" w:hRule="atLeast"/>
          <w:jc w:val="center"/>
        </w:trPr>
        <w:tc>
          <w:tcPr>
            <w:tcW w:w="278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茂县林业和草原局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921.75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880.576306</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921.75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880.576306</w:t>
            </w:r>
          </w:p>
        </w:tc>
      </w:tr>
      <w:tr>
        <w:tblPrEx>
          <w:tblCellMar>
            <w:top w:w="0" w:type="dxa"/>
            <w:left w:w="0" w:type="dxa"/>
            <w:bottom w:w="0" w:type="dxa"/>
            <w:right w:w="0" w:type="dxa"/>
          </w:tblCellMar>
        </w:tblPrEx>
        <w:trPr>
          <w:trHeight w:val="132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1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完成项目,支付天保职工工资和公务费,让天保管护人员更好地投入工作。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完成项目,支付天保职工工资和公务费。</w:t>
            </w:r>
          </w:p>
        </w:tc>
      </w:tr>
      <w:tr>
        <w:tblPrEx>
          <w:tblCellMar>
            <w:top w:w="0" w:type="dxa"/>
            <w:left w:w="0" w:type="dxa"/>
            <w:bottom w:w="0" w:type="dxa"/>
            <w:right w:w="0" w:type="dxa"/>
          </w:tblCellMar>
        </w:tblPrEx>
        <w:trPr>
          <w:trHeight w:val="769"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82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rPr>
              <w:t>天保工程区国有林管护面积（万亩）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r>
              <w:rPr>
                <w:rFonts w:hint="eastAsia"/>
              </w:rPr>
              <w:t>天保工程区国有林管护面积（万亩）</w:t>
            </w:r>
          </w:p>
        </w:tc>
      </w:tr>
      <w:tr>
        <w:tblPrEx>
          <w:tblCellMar>
            <w:top w:w="0" w:type="dxa"/>
            <w:left w:w="0" w:type="dxa"/>
            <w:bottom w:w="0" w:type="dxa"/>
            <w:right w:w="0" w:type="dxa"/>
          </w:tblCellMar>
        </w:tblPrEx>
        <w:trPr>
          <w:trHeight w:val="834"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Arial"/>
                <w:color w:val="000000"/>
                <w:sz w:val="24"/>
              </w:rPr>
            </w:pPr>
            <w:r>
              <w:rPr>
                <w:rFonts w:hint="eastAsia" w:cs="Arial"/>
                <w:color w:val="000000"/>
                <w:sz w:val="24"/>
              </w:rPr>
              <w:t>天然林资源管护生态环境改善情况明显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Arial"/>
                <w:color w:val="000000"/>
                <w:sz w:val="24"/>
              </w:rPr>
            </w:pPr>
            <w:r>
              <w:rPr>
                <w:rFonts w:hint="eastAsia" w:cs="Arial"/>
                <w:color w:val="000000"/>
                <w:sz w:val="24"/>
              </w:rPr>
              <w:t>天然林资源管护生态环境改善情况明显</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 xml:space="preserve">  满意指标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w:t>
            </w:r>
            <w:r>
              <w:rPr>
                <w:rFonts w:hint="eastAsia" w:ascii="宋体" w:hAnsi="宋体" w:cs="宋体"/>
                <w:color w:val="000000"/>
                <w:sz w:val="24"/>
              </w:rPr>
              <w:t>5</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&gt;9</w:t>
            </w:r>
            <w:r>
              <w:rPr>
                <w:rFonts w:hint="eastAsia" w:ascii="宋体" w:hAnsi="宋体" w:cs="宋体"/>
                <w:color w:val="000000"/>
                <w:sz w:val="24"/>
              </w:rPr>
              <w:t>5</w:t>
            </w:r>
            <w:r>
              <w:rPr>
                <w:rFonts w:ascii="宋体" w:hAnsi="宋体" w:cs="宋体"/>
                <w:color w:val="000000"/>
                <w:sz w:val="24"/>
              </w:rPr>
              <w:t>%</w:t>
            </w:r>
          </w:p>
        </w:tc>
      </w:tr>
    </w:tbl>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楷体_GB2312" w:hAnsi="楷体_GB2312" w:eastAsia="楷体_GB2312" w:cs="楷体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本部门按要求对2019年部门整体支出绩效评价情况开展自评，《茂县林业和草原局2019年部门整体支出绩效评价报告》见附件（附件1）。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本部门自行组织对“草原管护补助项目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天然林停伐管护补助项目”“生态护林员项目”“集体和个人所有国家及公益林项目”“天保工程区管护补助项目”开展了绩效评价，《茂县林业和草原局项目2019年绩效评价报告》见附件（附件2、附件3、附件4、附件5、附件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4"/>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4"/>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一般公共服务（类）财政事务（款）其他财政事务支出（项）:指反映政府提供一般公共服务的支出。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教育（类）进修及培训（款）培训支出（项）:指反映政府教育事务的支出。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文化体育与传媒（类）文化和旅游（款）其他文化体育与传媒支出（项）:指反映政府在文化、旅游、文物、体育、广播电视、电影、新闻出版等方面的支出。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社会保障和就业（类）行政事业单位离退休（款）机关事业单位基本养老保险缴费支出（项）机关事业单位职业年金缴费支出（项）:指反映政府在社会保障与就业方面的支出。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Fonts w:hint="eastAsia" w:ascii="仿宋_GB2312" w:eastAsia="仿宋_GB2312"/>
          <w:color w:val="000000"/>
          <w:sz w:val="32"/>
          <w:szCs w:val="32"/>
        </w:rPr>
        <w:t>卫生健康支出（类）行政事业单位医疗（款）事业单位医疗（项）行政单位医疗（项）:指反映政府卫生健康和计划生育方面的支出。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节能环保（类）自然生态保护（款）生态保护（项）</w:t>
      </w:r>
      <w:r>
        <w:rPr>
          <w:rFonts w:hint="eastAsia" w:ascii="仿宋" w:hAnsi="仿宋" w:eastAsia="仿宋"/>
          <w:color w:val="000000"/>
          <w:sz w:val="32"/>
          <w:szCs w:val="32"/>
        </w:rPr>
        <w:t>天然林保护（款）社会保险补助（项）退耕还林（款）退耕现金（项）其他节能环保支出（款）其他节能环保支出（项）</w:t>
      </w:r>
      <w:r>
        <w:rPr>
          <w:rFonts w:hint="eastAsia" w:ascii="仿宋_GB2312" w:eastAsia="仿宋_GB2312"/>
          <w:color w:val="000000"/>
          <w:sz w:val="32"/>
          <w:szCs w:val="32"/>
        </w:rPr>
        <w:t>:指反映政府节能环保的支出。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5</w:t>
      </w:r>
      <w:r>
        <w:rPr>
          <w:rFonts w:ascii="仿宋_GB2312" w:eastAsia="仿宋_GB2312"/>
          <w:color w:val="000000"/>
          <w:sz w:val="32"/>
          <w:szCs w:val="32"/>
        </w:rPr>
        <w:t>.</w:t>
      </w:r>
      <w:r>
        <w:rPr>
          <w:rStyle w:val="14"/>
          <w:rFonts w:hint="eastAsia" w:ascii="仿宋" w:hAnsi="仿宋" w:eastAsia="仿宋"/>
          <w:b w:val="0"/>
          <w:bCs/>
          <w:color w:val="000000"/>
          <w:sz w:val="32"/>
          <w:szCs w:val="32"/>
        </w:rPr>
        <w:t>农林水支出（类）林业和草原（款）行政运行（项）一般行政管理事务（项）事业机构（项）森林培育（项）森林资源管理（项）森林生态效益补偿（项）自然保护区等管理（项）动植物保护（项）防灾减灾（项）草原管理（项）其他林业和草原支出（项）扶贫（款）生产发展（项）其他扶贫支出（项）</w:t>
      </w:r>
      <w:r>
        <w:rPr>
          <w:rFonts w:hint="eastAsia" w:ascii="仿宋_GB2312" w:eastAsia="仿宋_GB2312"/>
          <w:color w:val="000000"/>
          <w:sz w:val="32"/>
          <w:szCs w:val="32"/>
        </w:rPr>
        <w:t>:指反映政府农林水事务的支出。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 xml:space="preserve">住房保障（类）住房改革支出（款）住房公积金（项）购房补贴（项）:指反映政府用于住房方面的支出，根据房改政策的标准,向符合条件的职工发放用于购买住房的补贴。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19.经营支出:指事业单位在专业业务活动及其辅助活动之外开展非独立核算经营活动发生的支出。</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bookmarkStart w:id="57" w:name="_Toc15396614"/>
      <w:bookmarkStart w:id="58" w:name="_Toc15377226"/>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四部分 附件</w:t>
      </w:r>
      <w:bookmarkEnd w:id="57"/>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茂县林业和草原局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w:t>
      </w:r>
    </w:p>
    <w:p>
      <w:pPr>
        <w:spacing w:line="600" w:lineRule="exact"/>
        <w:jc w:val="center"/>
        <w:rPr>
          <w:rFonts w:hint="eastAsia"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绩效评价报告</w:t>
      </w:r>
    </w:p>
    <w:p>
      <w:pPr>
        <w:spacing w:line="600" w:lineRule="exact"/>
        <w:jc w:val="center"/>
        <w:rPr>
          <w:rFonts w:hint="eastAsia" w:ascii="方正小标宋简体" w:hAnsi="宋体" w:eastAsia="方正小标宋简体"/>
          <w:color w:val="000000"/>
          <w:kern w:val="0"/>
          <w:sz w:val="40"/>
          <w:szCs w:val="44"/>
          <w:lang w:val="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60" w:lineRule="exact"/>
        <w:ind w:firstLine="643" w:firstLineChars="20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（一）机构组成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茂县林业和草原局单位下属二级预算单位 0 个，行政单位1个，参照公务员法管理的事业单位 0 个，其他事业单位0个。</w:t>
      </w:r>
    </w:p>
    <w:p>
      <w:pPr>
        <w:widowControl/>
        <w:adjustRightInd w:val="0"/>
        <w:snapToGrid w:val="0"/>
        <w:spacing w:line="560" w:lineRule="exact"/>
        <w:ind w:firstLine="643" w:firstLineChars="20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（二）机构职能</w:t>
      </w:r>
    </w:p>
    <w:p>
      <w:pPr>
        <w:spacing w:line="560" w:lineRule="exact"/>
        <w:ind w:firstLine="640" w:firstLineChars="200"/>
        <w:rPr>
          <w:rFonts w:ascii="仿宋_GB2312" w:hAnsi="仿宋" w:eastAsia="仿宋_GB2312" w:cs="仿宋_GB2312"/>
          <w:bCs/>
          <w:sz w:val="32"/>
          <w:szCs w:val="32"/>
        </w:rPr>
      </w:pPr>
      <w:r>
        <w:rPr>
          <w:rFonts w:hint="eastAsia" w:ascii="仿宋_GB2312" w:hAnsi="仿宋" w:eastAsia="仿宋_GB2312" w:cs="仿宋_GB2312"/>
          <w:bCs/>
          <w:sz w:val="32"/>
          <w:szCs w:val="32"/>
        </w:rPr>
        <w:t>1.贯彻执行党和国家的林业方针、政策、法律、法规、规章和有关决议、决定，结合我县的实际和国民经济发展的需要，制定相应的实施办法并组织实施，完善林业政策和管理制度。</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bCs/>
          <w:sz w:val="32"/>
          <w:szCs w:val="32"/>
        </w:rPr>
        <w:t>2.</w:t>
      </w:r>
      <w:r>
        <w:rPr>
          <w:rFonts w:hint="eastAsia" w:ascii="仿宋_GB2312" w:hAnsi="仿宋" w:eastAsia="仿宋_GB2312" w:cs="仿宋_GB2312"/>
          <w:sz w:val="32"/>
          <w:szCs w:val="32"/>
        </w:rPr>
        <w:t>编制全县林业发展的中长期规划和年度计划，负责林业信息的收集整理，指导、协调林业生产建设总体布局，林业产业结构调整，森林资源和规划计划的实施，并指导林业企业产权制度改革和林业经济体制改革。</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5.负责全县野生动物、植物资源的保护管理和合理开发利用，对宝顶沟自然保护区管理处工作进行指导；负责森林公园的规划、审批和上报审批、立项等工作。</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6.指导和调控全县林业生产的发展，负责全县木材生产、采伐、运输、加工、综合利用，林产林化、森林旅游、木本药材等林业产业实行宏观管理、指导和监督；管理好林产品市场。</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7.指导、监督全县林业系统财务工作；组织编制、上报或转报林业基本建设、多种经营、技术改造、转产项目并指导实施或直接组织实施。</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10.负责规划、指导、实施山区林业综合开发，配合有关部门做好水土保持、农村能源发展、农业综合开发、林业扶贫等组织实施工作。</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11.深入研究生态建设特别是自然保护区建设问题，稳步推进自然保护区体制创新。落实生态保护和建设的主体责任，创新项目实施方式，全面推进川西藏区生态保护与建设工程、湿地保护、防沙治沙等项目建设。</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12.负责有关林业方面的涉外工作、承担县政府公布的有关行政审批事项、承办县政府交办的其他事项。</w:t>
      </w:r>
    </w:p>
    <w:p>
      <w:pPr>
        <w:widowControl/>
        <w:adjustRightInd w:val="0"/>
        <w:snapToGrid w:val="0"/>
        <w:spacing w:line="560" w:lineRule="exact"/>
        <w:ind w:firstLine="482" w:firstLineChars="15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（三）人员概况</w:t>
      </w:r>
    </w:p>
    <w:p>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茂县林业和草原局作为一个独立的核算机构。政府机关编制人数13名（其中工勤人员2名）、事业编制人数111名。年末实有人数行政人员22名（其中参公人员4名,工勤人员4名）、事业人员90名。</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60" w:lineRule="exact"/>
        <w:ind w:firstLine="643" w:firstLineChars="20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（一）部门财政资金收入情况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2019年本单位年初收入支出</w:t>
      </w:r>
      <w:r>
        <w:rPr>
          <w:rFonts w:hint="eastAsia" w:ascii="仿宋_GB2312" w:eastAsia="仿宋_GB2312"/>
          <w:color w:val="000000" w:themeColor="text1"/>
          <w:sz w:val="32"/>
          <w:szCs w:val="32"/>
        </w:rPr>
        <w:t>金额</w:t>
      </w:r>
      <w:r>
        <w:rPr>
          <w:rFonts w:hint="eastAsia" w:ascii="仿宋_GB2312" w:eastAsia="仿宋_GB2312"/>
          <w:sz w:val="32"/>
          <w:szCs w:val="32"/>
        </w:rPr>
        <w:t>为</w:t>
      </w:r>
      <w:r>
        <w:rPr>
          <w:rFonts w:hint="eastAsia" w:ascii="仿宋_GB2312" w:eastAsia="仿宋_GB2312"/>
          <w:color w:val="000000" w:themeColor="text1"/>
          <w:sz w:val="32"/>
          <w:szCs w:val="32"/>
        </w:rPr>
        <w:t>14428.92</w:t>
      </w:r>
      <w:r>
        <w:rPr>
          <w:rFonts w:hint="eastAsia" w:ascii="仿宋_GB2312" w:eastAsia="仿宋_GB2312"/>
          <w:sz w:val="32"/>
          <w:szCs w:val="32"/>
        </w:rPr>
        <w:t>万元，分别为卫生健康支出86.59元、农林水支出6942.17万元、住房保障支出138.43万元、社会保障和就业支出222.38万元、节能环保支出2447.71万元，比上年增加</w:t>
      </w:r>
      <w:r>
        <w:rPr>
          <w:rFonts w:hint="eastAsia" w:ascii="仿宋" w:hAnsi="仿宋" w:eastAsia="仿宋"/>
          <w:color w:val="000000"/>
          <w:sz w:val="32"/>
          <w:szCs w:val="32"/>
        </w:rPr>
        <w:t>997.53</w:t>
      </w:r>
      <w:r>
        <w:rPr>
          <w:rFonts w:hint="eastAsia" w:ascii="仿宋_GB2312" w:eastAsia="仿宋_GB2312"/>
          <w:sz w:val="32"/>
          <w:szCs w:val="32"/>
        </w:rPr>
        <w:t>万元，主要原因是新增项目拨款数。</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2019年度部门决算财政拨款收入为13294.65万元，其中：政府性基金预算财政拨款收入826.54万元，上年度财政拨款收入为10831.29万元，其中：政府性基金预算财政拨款0元，比上年度财政拨款增加2463.36万元，主要原因是新增项目资金。</w:t>
      </w:r>
    </w:p>
    <w:p>
      <w:pPr>
        <w:widowControl/>
        <w:adjustRightInd w:val="0"/>
        <w:snapToGrid w:val="0"/>
        <w:spacing w:line="560" w:lineRule="exact"/>
        <w:ind w:firstLine="321" w:firstLineChars="10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（二）部门财政资金支出情况</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2019年度部门决算总支出为11220.57万元，其中：基本支出1929.5万元，项目支出9291.1万元。上年度部门决算总支出为11219.01万元，其中:基本支出1475.21万元，项目支出9743.80万元。比上年度支出增加了1.56万元，主要原因是加快推进项目完成，完成进度达到资金支付要求。</w:t>
      </w:r>
    </w:p>
    <w:p>
      <w:pPr>
        <w:widowControl/>
        <w:adjustRightInd w:val="0"/>
        <w:snapToGrid w:val="0"/>
        <w:spacing w:line="560" w:lineRule="exact"/>
        <w:ind w:firstLine="480" w:firstLineChars="15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60" w:lineRule="exact"/>
        <w:ind w:firstLine="643" w:firstLineChars="20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（一）部门预算管理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我单位认真学习贯彻党的十九大、省第十一次党代会和省委十一届三次、四次全会精神，以习近平新时代中国特色社会主义思想为指导，紧紧围绕构建“一干多支、五区协同” 的发展战略目标，自觉践行新发展理念，根据职能职责积极 谋划，确定目标任务，积极发挥公共财政职能作用，推动落 实稳增长、促改革、调结构、惠民生、防风险各项工作。 一是按照 2019年部门预算编审要求，根据我单位职能职责，结合中长期规划和年度工作计划，明确了年度主要工作任务及年度内履职所要达到的总体产出和效果，认真填报了我单位整体支出绩效目标，具体说明了项目概况，设定了年度绩效数量指标、成本指标、效益指标等，详细反映了相应项目工作任务、达成的效果。二是按照《四川省省级预算绩效运行监控管理暂行办法》要求，认真组织开展我单位的绩效监控工作，对项目进度、预算执行、投入产出、各项效益的阶段完成情况进行动态跟踪监控。</w:t>
      </w:r>
    </w:p>
    <w:p>
      <w:pPr>
        <w:widowControl/>
        <w:adjustRightInd w:val="0"/>
        <w:snapToGrid w:val="0"/>
        <w:spacing w:line="560" w:lineRule="exact"/>
        <w:ind w:firstLine="643" w:firstLineChars="20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（二）结果应用情况</w:t>
      </w:r>
    </w:p>
    <w:p>
      <w:pPr>
        <w:widowControl/>
        <w:adjustRightInd w:val="0"/>
        <w:snapToGrid w:val="0"/>
        <w:spacing w:line="560"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我单位对部门预算绩效管理工作开展情况认真进行了自查自评。将评价结果作为预算安排的重要依据，参照项目年度预算执行情况，保障重点支出，调整支出结构，优化财政资金配置，不断强化绩效理念，推动我单位整体绩效管理水平不断提升。</w:t>
      </w:r>
    </w:p>
    <w:p>
      <w:pPr>
        <w:widowControl/>
        <w:adjustRightInd w:val="0"/>
        <w:snapToGrid w:val="0"/>
        <w:spacing w:line="56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60" w:lineRule="exact"/>
        <w:ind w:firstLine="643" w:firstLineChars="20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（一）评价结论</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2019年,根据我局年初工作规划，积极履职，强化管理，较好的完成了上年度工作目标。通过加强预算收支管理，不断建立健全内部管理制度，梳理内部管理流程，单位整体支出管理情况得到提升。在资金的使用过程中依法依规，严格审核监管，做到有据可依实事求是。</w:t>
      </w:r>
    </w:p>
    <w:p>
      <w:pPr>
        <w:widowControl/>
        <w:adjustRightInd w:val="0"/>
        <w:snapToGrid w:val="0"/>
        <w:spacing w:line="560" w:lineRule="exact"/>
        <w:ind w:firstLine="643" w:firstLineChars="200"/>
        <w:contextualSpacing/>
        <w:jc w:val="left"/>
        <w:rPr>
          <w:rFonts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（二）存在问题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在预算资金的使用过程中支付进度不足，在会计的账务处理过程中，由于支付资金笔数较多，会计资料多而杂，但在平时自查自纠的过程中，有所改正，保证账务的正确性。</w:t>
      </w:r>
    </w:p>
    <w:p>
      <w:pPr>
        <w:widowControl/>
        <w:adjustRightInd w:val="0"/>
        <w:snapToGrid w:val="0"/>
        <w:spacing w:line="560" w:lineRule="exact"/>
        <w:ind w:firstLine="643" w:firstLineChars="200"/>
        <w:contextualSpacing/>
        <w:jc w:val="left"/>
        <w:rPr>
          <w:rFonts w:hint="eastAsia" w:ascii="楷体" w:hAnsi="楷体" w:eastAsia="楷体" w:cs="宋体"/>
          <w:b/>
          <w:color w:val="000000"/>
          <w:kern w:val="0"/>
          <w:sz w:val="32"/>
          <w:szCs w:val="32"/>
          <w:shd w:val="clear" w:color="auto" w:fill="FFFFFF"/>
          <w:lang w:val="zh-CN"/>
        </w:rPr>
      </w:pPr>
      <w:r>
        <w:rPr>
          <w:rFonts w:hint="eastAsia" w:ascii="楷体" w:hAnsi="楷体" w:eastAsia="楷体" w:cs="宋体"/>
          <w:b/>
          <w:color w:val="000000"/>
          <w:kern w:val="0"/>
          <w:sz w:val="32"/>
          <w:szCs w:val="32"/>
          <w:shd w:val="clear" w:color="auto" w:fill="FFFFFF"/>
          <w:lang w:val="zh-CN"/>
        </w:rPr>
        <w:t>（三）改进建议</w:t>
      </w:r>
    </w:p>
    <w:p>
      <w:pPr>
        <w:widowControl/>
        <w:adjustRightInd w:val="0"/>
        <w:snapToGrid w:val="0"/>
        <w:spacing w:line="56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在今后资金支付的过程中及时联系项目责任股室及人员及时拿报账资料来进行报账处理，及时报账提高资金的支付进度，经常开展财务人员再学习，努力提高自己的业务水平,提高工作效率。</w:t>
      </w: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p>
    <w:p>
      <w:pPr>
        <w:spacing w:line="56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草原管护补助项目2019年</w:t>
      </w:r>
      <w:r>
        <w:rPr>
          <w:rFonts w:hint="eastAsia" w:ascii="方正小标宋简体" w:hAnsi="宋体" w:eastAsia="方正小标宋简体"/>
          <w:color w:val="000000"/>
          <w:kern w:val="0"/>
          <w:sz w:val="44"/>
          <w:szCs w:val="44"/>
          <w:lang w:val="zh-CN"/>
        </w:rPr>
        <w:t>绩效评价报告</w:t>
      </w:r>
    </w:p>
    <w:p>
      <w:pPr>
        <w:adjustRightInd w:val="0"/>
        <w:snapToGrid w:val="0"/>
        <w:spacing w:line="560" w:lineRule="exact"/>
        <w:ind w:firstLine="800" w:firstLineChars="250"/>
        <w:rPr>
          <w:rFonts w:hint="eastAsia" w:ascii="黑体" w:hAnsi="宋体" w:eastAsia="黑体"/>
          <w:sz w:val="32"/>
          <w:szCs w:val="32"/>
        </w:rPr>
      </w:pPr>
    </w:p>
    <w:p>
      <w:pPr>
        <w:adjustRightInd w:val="0"/>
        <w:snapToGrid w:val="0"/>
        <w:spacing w:line="560" w:lineRule="exact"/>
        <w:ind w:firstLine="800" w:firstLineChars="25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1.项目主管单位在该项目管理中的职能。</w:t>
      </w:r>
    </w:p>
    <w:p>
      <w:pPr>
        <w:pStyle w:val="23"/>
        <w:tabs>
          <w:tab w:val="left" w:pos="1380"/>
        </w:tabs>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林业和草原局对项目建设工作负总责，各级各部门要按照县林业局的统一安排各负其责、相互协调。各级各部门要高度重视，认真谋划，从组织上保障项目建设工作的顺利开展；成立项目建设领导小组，下设生态修复保护股，生态修复保护股保证上传下达，定期向领导小组汇报工程进度、质量，及时报告实施中遇到的新情况新问题，负责办公室的日常事务工作。加强与当地乡镇和相关部门的沟通协调，及时抽调精干力量搭建工作班子，具体负责制定工作计划、协调落实用地，将任务、质量、进度落实到人，切实做到领导到位、措施到位、责任到位。</w:t>
      </w:r>
    </w:p>
    <w:p>
      <w:pPr>
        <w:adjustRightInd w:val="0"/>
        <w:snapToGrid w:val="0"/>
        <w:spacing w:line="560" w:lineRule="exact"/>
        <w:ind w:firstLine="800" w:firstLineChars="25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adjustRightInd w:val="0"/>
        <w:snapToGrid w:val="0"/>
        <w:spacing w:line="560" w:lineRule="exact"/>
        <w:ind w:firstLine="640" w:firstLineChars="200"/>
        <w:rPr>
          <w:rFonts w:ascii="仿宋_GB2312" w:hAnsi="宋体" w:eastAsia="仿宋_GB2312"/>
          <w:sz w:val="32"/>
          <w:szCs w:val="32"/>
          <w:lang w:val="zh-CN"/>
        </w:rPr>
      </w:pPr>
      <w:r>
        <w:rPr>
          <w:rFonts w:ascii="仿宋_GB2312" w:hAnsi="仿宋_GB2312" w:eastAsia="仿宋_GB2312" w:cs="仿宋_GB2312"/>
          <w:color w:val="000000"/>
          <w:sz w:val="32"/>
          <w:szCs w:val="32"/>
        </w:rPr>
        <w:t>《阿坝州财政局阿坝州林业和草原局关于下达2019年中央财政林业生态保护恢复资金预算（第二批）的通知》（阿州财农〔2019〕57号）安排、分解下达预算我县草原生态修复治理项目中的草原管护工作资金30万元</w:t>
      </w:r>
      <w:r>
        <w:rPr>
          <w:rFonts w:hint="eastAsia" w:ascii="仿宋_GB2312" w:hAnsi="仿宋_GB2312" w:eastAsia="仿宋_GB2312" w:cs="仿宋_GB2312"/>
          <w:color w:val="000000"/>
          <w:sz w:val="32"/>
          <w:szCs w:val="32"/>
        </w:rPr>
        <w:t>。</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3.资金管理办法制定情况，资金支持具体项目的条件、范围与支持方式概况。</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建设资金实行集中统一管理，专款专用、单独建帐、单独核算，在资金使用中严格执行国家财务管理制度，编制专项报表，严格资金的审批和使用制度，随时接受上级财政、审计部门的检查、监督，发现问题必须及时纠正。</w:t>
      </w:r>
    </w:p>
    <w:p>
      <w:pPr>
        <w:adjustRightInd w:val="0"/>
        <w:snapToGrid w:val="0"/>
        <w:spacing w:line="560" w:lineRule="exact"/>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adjustRightInd w:val="0"/>
        <w:snapToGrid w:val="0"/>
        <w:spacing w:line="560" w:lineRule="exact"/>
        <w:ind w:firstLine="640" w:firstLineChars="200"/>
        <w:rPr>
          <w:rFonts w:ascii="仿宋_GB2312" w:hAnsi="宋体" w:eastAsia="仿宋_GB2312"/>
          <w:sz w:val="32"/>
          <w:szCs w:val="32"/>
          <w:lang w:val="zh-CN"/>
        </w:rPr>
      </w:pPr>
      <w:r>
        <w:rPr>
          <w:rFonts w:ascii="仿宋_GB2312" w:hAnsi="宋体" w:eastAsia="仿宋_GB2312"/>
          <w:sz w:val="32"/>
          <w:szCs w:val="32"/>
        </w:rPr>
        <w:t>用于全县164.24万亩草地的防火、监理执法、支持禁牧、草畜平衡两项制度落实和草原监测等相关工作。</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560" w:lineRule="exact"/>
        <w:ind w:firstLine="640" w:firstLineChars="200"/>
        <w:rPr>
          <w:rFonts w:ascii="仿宋_GB2312" w:hAnsi="宋体" w:eastAsia="仿宋_GB2312"/>
          <w:sz w:val="32"/>
          <w:szCs w:val="32"/>
          <w:lang w:val="zh-CN"/>
        </w:rPr>
      </w:pPr>
      <w:r>
        <w:rPr>
          <w:rFonts w:ascii="仿宋_GB2312" w:hAnsi="宋体" w:eastAsia="仿宋_GB2312"/>
          <w:sz w:val="32"/>
          <w:szCs w:val="32"/>
        </w:rPr>
        <w:t>用于全县164.24万亩草地的防火、监理执法、支持禁牧、草畜平衡两项制度落实和草原监测等相关工作。</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项目资金执行情况：已使用资金12.1444万元，结余资金17.8556万元，执行率</w:t>
      </w:r>
      <w:r>
        <w:rPr>
          <w:rFonts w:hint="eastAsia" w:ascii="仿宋_GB2312" w:hAnsi="仿宋_GB2312" w:eastAsia="仿宋_GB2312" w:cs="仿宋_GB2312"/>
          <w:color w:val="000000"/>
          <w:sz w:val="32"/>
          <w:szCs w:val="32"/>
        </w:rPr>
        <w:t>40.48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申报内容与实际相符，申报目标合理可行。</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60" w:lineRule="exact"/>
        <w:ind w:firstLine="72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项目资金到位情况：到位资金30万元</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已使用资金12.1444万元，结余资金17.8556万元，执行率</w:t>
      </w:r>
      <w:r>
        <w:rPr>
          <w:rFonts w:hint="eastAsia" w:ascii="仿宋_GB2312" w:hAnsi="仿宋_GB2312" w:eastAsia="仿宋_GB2312" w:cs="仿宋_GB2312"/>
          <w:color w:val="000000"/>
          <w:sz w:val="32"/>
          <w:szCs w:val="32"/>
        </w:rPr>
        <w:t>40.48</w:t>
      </w:r>
      <w:r>
        <w:rPr>
          <w:rFonts w:ascii="仿宋_GB2312" w:hAnsi="仿宋_GB2312" w:eastAsia="仿宋_GB2312" w:cs="仿宋_GB2312"/>
          <w:color w:val="000000"/>
          <w:sz w:val="32"/>
          <w:szCs w:val="32"/>
        </w:rPr>
        <w:t>%。</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56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1．资金计划。</w:t>
      </w:r>
    </w:p>
    <w:p>
      <w:pPr>
        <w:adjustRightInd w:val="0"/>
        <w:snapToGrid w:val="0"/>
        <w:spacing w:line="560" w:lineRule="exact"/>
        <w:ind w:firstLine="720"/>
        <w:rPr>
          <w:rFonts w:ascii="楷体_GB2312" w:hAnsi="宋体" w:eastAsia="楷体_GB2312"/>
          <w:sz w:val="32"/>
          <w:szCs w:val="32"/>
          <w:lang w:val="zh-CN"/>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阿坝州财政局阿坝州林业和草原局关于下达2019年中央财政林业生态保护恢复资金预算（第二批）的通知》（阿州财农〔2019〕57号）安排、分解下达预算我县草原生态修复治理项目中的草原管护工作资金30万元</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2.资金到位。</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计划投资额30万元，财政批复投资额30万元，实际到位资金30万元，资金到位及时。</w:t>
      </w:r>
    </w:p>
    <w:p>
      <w:pPr>
        <w:adjustRightInd w:val="0"/>
        <w:snapToGrid w:val="0"/>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3.资金使用。</w:t>
      </w:r>
    </w:p>
    <w:p>
      <w:pPr>
        <w:adjustRightInd w:val="0"/>
        <w:snapToGrid w:val="0"/>
        <w:spacing w:line="560" w:lineRule="exact"/>
        <w:ind w:firstLine="720"/>
        <w:rPr>
          <w:rFonts w:ascii="楷体_GB2312" w:hAnsi="宋体" w:eastAsia="楷体_GB2312"/>
          <w:sz w:val="32"/>
          <w:szCs w:val="32"/>
          <w:lang w:val="zh-CN"/>
        </w:rPr>
      </w:pPr>
      <w:r>
        <w:rPr>
          <w:rFonts w:ascii="仿宋_GB2312" w:hAnsi="仿宋_GB2312" w:eastAsia="仿宋_GB2312" w:cs="仿宋_GB2312"/>
          <w:color w:val="000000"/>
          <w:sz w:val="32"/>
          <w:szCs w:val="32"/>
        </w:rPr>
        <w:t>已使用资金12.1444万元，结余资金17.8556万元</w:t>
      </w:r>
      <w:r>
        <w:rPr>
          <w:rFonts w:hint="eastAsia" w:ascii="仿宋_GB2312" w:hAnsi="仿宋_GB2312" w:eastAsia="仿宋_GB2312" w:cs="仿宋_GB2312"/>
          <w:color w:val="000000"/>
          <w:sz w:val="32"/>
          <w:szCs w:val="32"/>
        </w:rPr>
        <w:t>。</w:t>
      </w:r>
    </w:p>
    <w:p>
      <w:pPr>
        <w:adjustRightInd w:val="0"/>
        <w:snapToGrid w:val="0"/>
        <w:spacing w:line="560" w:lineRule="exact"/>
        <w:rPr>
          <w:rFonts w:ascii="仿宋_GB2312" w:hAnsi="宋体" w:eastAsia="仿宋_GB2312"/>
          <w:sz w:val="32"/>
          <w:szCs w:val="32"/>
          <w:lang w:val="zh-CN"/>
        </w:rPr>
      </w:pPr>
      <w:r>
        <w:rPr>
          <w:rFonts w:hint="eastAsia" w:ascii="仿宋_GB2312" w:hAnsi="宋体" w:eastAsia="仿宋_GB2312"/>
          <w:sz w:val="32"/>
          <w:szCs w:val="32"/>
          <w:lang w:val="zh-CN"/>
        </w:rPr>
        <w:t>资金支付范围、支付标准、支付进度、支付依据等合规合法、与预算相符。</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单位财务管理制度健全，严格执行财务管理制度，账务处理及时，会计核算规等。</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560" w:lineRule="exact"/>
        <w:ind w:firstLine="720"/>
        <w:rPr>
          <w:rFonts w:ascii="仿宋_GB2312" w:hAnsi="宋体" w:eastAsia="仿宋_GB2312"/>
          <w:sz w:val="32"/>
          <w:szCs w:val="32"/>
        </w:rPr>
      </w:pPr>
      <w:r>
        <w:rPr>
          <w:rFonts w:ascii="仿宋_GB2312" w:hAnsi="宋体" w:eastAsia="仿宋_GB2312"/>
          <w:sz w:val="32"/>
          <w:szCs w:val="32"/>
        </w:rPr>
        <w:t>林业和草原局财务部门做好报账资料的审核工作，接受监察审计等部门对资金管理使用情况的监督检查，杜绝不合理的开支，做到专款专用，保证经费的使用效益。</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rPr>
      </w:pPr>
      <w:r>
        <w:rPr>
          <w:rFonts w:hint="eastAsia" w:ascii="仿宋_GB2312" w:hAnsi="宋体" w:eastAsia="仿宋_GB2312"/>
          <w:sz w:val="32"/>
          <w:szCs w:val="32"/>
        </w:rPr>
        <w:t>1.</w:t>
      </w:r>
      <w:r>
        <w:rPr>
          <w:rFonts w:ascii="仿宋_GB2312" w:hAnsi="宋体" w:eastAsia="仿宋_GB2312"/>
          <w:sz w:val="32"/>
          <w:szCs w:val="32"/>
        </w:rPr>
        <w:t>数量指标。共计资金30万元用于全县164.24万亩草地的防火、监理执法、支持禁牧、草畜平衡两项制度落实和草原监测等相关工作。</w:t>
      </w:r>
      <w:r>
        <w:rPr>
          <w:rFonts w:ascii="仿宋_GB2312" w:hAnsi="宋体" w:eastAsia="仿宋_GB2312"/>
          <w:sz w:val="32"/>
          <w:szCs w:val="32"/>
        </w:rPr>
        <w:br w:type="textWrapping"/>
      </w:r>
      <w:r>
        <w:rPr>
          <w:rFonts w:hint="eastAsia" w:ascii="仿宋_GB2312" w:hAnsi="宋体" w:eastAsia="仿宋_GB2312"/>
          <w:sz w:val="32"/>
          <w:szCs w:val="32"/>
        </w:rPr>
        <w:t xml:space="preserve">    2.</w:t>
      </w:r>
      <w:r>
        <w:rPr>
          <w:rFonts w:ascii="仿宋_GB2312" w:hAnsi="宋体" w:eastAsia="仿宋_GB2312"/>
          <w:sz w:val="32"/>
          <w:szCs w:val="32"/>
        </w:rPr>
        <w:t>质量指标。通过草原修复治理工作的开展增强了农牧民群众保护草原、维护草原生态环境的意识，增强了企事业单位、基层干部和广大农牧民群众的法律意识，使草原法律法规不断深入人心，为依法保护草原、建设生态文明，起到了积极作用。</w:t>
      </w:r>
      <w:r>
        <w:rPr>
          <w:rFonts w:ascii="仿宋_GB2312" w:hAnsi="宋体" w:eastAsia="仿宋_GB2312"/>
          <w:sz w:val="32"/>
          <w:szCs w:val="32"/>
        </w:rPr>
        <w:br w:type="textWrapping"/>
      </w:r>
      <w:r>
        <w:rPr>
          <w:rFonts w:hint="eastAsia" w:ascii="仿宋_GB2312" w:hAnsi="宋体" w:eastAsia="仿宋_GB2312"/>
          <w:sz w:val="32"/>
          <w:szCs w:val="32"/>
        </w:rPr>
        <w:t xml:space="preserve">   3.</w:t>
      </w:r>
      <w:r>
        <w:rPr>
          <w:rFonts w:ascii="仿宋_GB2312" w:hAnsi="宋体" w:eastAsia="仿宋_GB2312"/>
          <w:sz w:val="32"/>
          <w:szCs w:val="32"/>
        </w:rPr>
        <w:t>时效指标。该项目结余资金17.8556万元，严格按照上级主管部门要求预计在2020年6月30日前完成，完成实效100%。</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w:t>
      </w:r>
      <w:r>
        <w:rPr>
          <w:rFonts w:ascii="仿宋_GB2312" w:hAnsi="宋体" w:eastAsia="仿宋_GB2312"/>
          <w:sz w:val="32"/>
          <w:szCs w:val="32"/>
        </w:rPr>
        <w:t>经济效益。项目建成后，草原植被盖度增加，牧草高度增加，产草量得到提高。同时还增加其景观效应，吸引游客驻足观光，从而带动当地生态景观旅游业快速发展，增加旅游业收入，其间接经济效益亦十分显著。</w:t>
      </w:r>
      <w:r>
        <w:rPr>
          <w:rFonts w:ascii="仿宋_GB2312" w:hAnsi="宋体" w:eastAsia="仿宋_GB2312"/>
          <w:sz w:val="32"/>
          <w:szCs w:val="32"/>
        </w:rPr>
        <w:br w:type="textWrapping"/>
      </w:r>
      <w:r>
        <w:rPr>
          <w:rFonts w:hint="eastAsia" w:ascii="仿宋_GB2312" w:hAnsi="宋体" w:eastAsia="仿宋_GB2312"/>
          <w:sz w:val="32"/>
          <w:szCs w:val="32"/>
        </w:rPr>
        <w:t xml:space="preserve">    2.</w:t>
      </w:r>
      <w:r>
        <w:rPr>
          <w:rFonts w:ascii="仿宋_GB2312" w:hAnsi="宋体" w:eastAsia="仿宋_GB2312"/>
          <w:sz w:val="32"/>
          <w:szCs w:val="32"/>
        </w:rPr>
        <w:t>社会效益。项目的实施，草地生产力得到大幅度提高，农牧民可在人工饲草地刈割青草，进行冬草贮备，从而增强示范区农牧民抗灾救灾能力，减少牲畜的掉膘和死亡，增加牧业收入，维护民族地区的社会稳定。</w:t>
      </w:r>
      <w:r>
        <w:rPr>
          <w:rFonts w:ascii="仿宋_GB2312" w:hAnsi="宋体" w:eastAsia="仿宋_GB2312"/>
          <w:sz w:val="32"/>
          <w:szCs w:val="32"/>
        </w:rPr>
        <w:br w:type="textWrapping"/>
      </w:r>
      <w:r>
        <w:rPr>
          <w:rFonts w:hint="eastAsia" w:ascii="仿宋_GB2312" w:hAnsi="宋体" w:eastAsia="仿宋_GB2312"/>
          <w:sz w:val="32"/>
          <w:szCs w:val="32"/>
        </w:rPr>
        <w:t xml:space="preserve">    3.</w:t>
      </w:r>
      <w:r>
        <w:rPr>
          <w:rFonts w:ascii="仿宋_GB2312" w:hAnsi="宋体" w:eastAsia="仿宋_GB2312"/>
          <w:sz w:val="32"/>
          <w:szCs w:val="32"/>
        </w:rPr>
        <w:t>生态效益。由于草地植被盖度增加，生态环境得到改善，土壤涵蓄水能力增强，一方面可以减少旱灾和洪涝灾害的发生频率，另一方面，随着土壤和空气中的含水量增加，相对湿度加大，对项目区小气候环境亦具有改善作用，还可减少草原地区雪灾、冻害的发生频率，对保障人畜安全亦具有重要作用。</w:t>
      </w:r>
      <w:r>
        <w:rPr>
          <w:rFonts w:ascii="仿宋_GB2312" w:hAnsi="宋体" w:eastAsia="仿宋_GB2312"/>
          <w:sz w:val="32"/>
          <w:szCs w:val="32"/>
        </w:rPr>
        <w:br w:type="textWrapping"/>
      </w:r>
      <w:r>
        <w:rPr>
          <w:rFonts w:hint="eastAsia" w:ascii="仿宋_GB2312" w:hAnsi="宋体" w:eastAsia="仿宋_GB2312"/>
          <w:sz w:val="32"/>
          <w:szCs w:val="32"/>
        </w:rPr>
        <w:t xml:space="preserve">    4.</w:t>
      </w:r>
      <w:r>
        <w:rPr>
          <w:rFonts w:ascii="仿宋_GB2312" w:hAnsi="宋体" w:eastAsia="仿宋_GB2312"/>
          <w:sz w:val="32"/>
          <w:szCs w:val="32"/>
        </w:rPr>
        <w:t>可持续影响。草地生态系统中的植物、调落物、土壤腐殖质构成了系统的三大碳库，是碳循环中的重要环节，对气候变化具有重大影响。开展本项目可有效地保护和恢复退化草地植被，增强草地的碳汇功能，对减轻全球气候变暖带来的生态灾难，维护国家生态安全将发挥重要作用。</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560" w:lineRule="exact"/>
        <w:ind w:firstLine="640" w:firstLineChars="200"/>
        <w:rPr>
          <w:rFonts w:ascii="仿宋_GB2312" w:hAnsi="宋体" w:eastAsia="仿宋_GB2312"/>
          <w:sz w:val="32"/>
          <w:szCs w:val="32"/>
          <w:bdr w:val="single" w:color="auto" w:sz="4" w:space="0"/>
          <w:lang w:val="zh-CN"/>
        </w:rPr>
      </w:pPr>
      <w:r>
        <w:rPr>
          <w:rFonts w:ascii="仿宋_GB2312" w:hAnsi="宋体" w:eastAsia="仿宋_GB2312"/>
          <w:sz w:val="32"/>
          <w:szCs w:val="32"/>
        </w:rPr>
        <w:t>综合评价良好，我县草原生态修复治理资金在使用和管理中，实际支出与规定的用途一致，资金收支平衡，资金使用都能做到公开、公平、程序到位，严格执行财务制度，无截留、挤占、挪用补偿基金等违规行为。</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560" w:lineRule="exact"/>
        <w:ind w:firstLine="720"/>
        <w:rPr>
          <w:rFonts w:ascii="仿宋_GB2312" w:hAnsi="宋体" w:eastAsia="仿宋_GB2312"/>
          <w:sz w:val="32"/>
          <w:szCs w:val="32"/>
        </w:rPr>
      </w:pPr>
      <w:r>
        <w:rPr>
          <w:rFonts w:ascii="仿宋_GB2312" w:hAnsi="宋体" w:eastAsia="仿宋_GB2312"/>
          <w:sz w:val="32"/>
          <w:szCs w:val="32"/>
        </w:rPr>
        <w:t>草原生态修复治理建设与管理，是社会性、长期性、艰巨性的工作，为进一步做好生该工作，建议上级必须硬性规定县级林业主管部门设置专门的机构和增配专职人员。</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60" w:lineRule="exact"/>
        <w:ind w:firstLine="640"/>
        <w:rPr>
          <w:rFonts w:ascii="仿宋_GB2312" w:hAnsi="仿宋_GB2312" w:eastAsia="仿宋_GB2312" w:cs="仿宋_GB2312"/>
          <w:sz w:val="32"/>
          <w:szCs w:val="32"/>
        </w:rPr>
      </w:pPr>
      <w:r>
        <w:rPr>
          <w:rFonts w:hint="eastAsia" w:ascii="仿宋_GB2312" w:hAnsi="宋体" w:eastAsia="仿宋_GB2312"/>
          <w:sz w:val="32"/>
          <w:szCs w:val="32"/>
        </w:rPr>
        <w:t>无。</w:t>
      </w:r>
    </w:p>
    <w:p>
      <w:pPr>
        <w:spacing w:line="580" w:lineRule="exact"/>
        <w:ind w:firstLine="640"/>
        <w:rPr>
          <w:rFonts w:ascii="仿宋_GB2312" w:hAnsi="仿宋_GB2312" w:eastAsia="仿宋_GB2312" w:cs="仿宋_GB2312"/>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spacing w:line="576" w:lineRule="exact"/>
        <w:textAlignment w:val="auto"/>
        <w:rPr>
          <w:rFonts w:ascii="仿宋_GB2312" w:hAnsi="仿宋_GB2312" w:eastAsia="仿宋_GB2312" w:cs="仿宋_GB2312"/>
          <w:sz w:val="32"/>
          <w:szCs w:val="32"/>
        </w:rPr>
      </w:pPr>
      <w:r>
        <w:rPr>
          <w:rFonts w:hint="eastAsia" w:ascii="黑体" w:hAnsi="黑体" w:eastAsia="黑体" w:cs="黑体"/>
          <w:sz w:val="32"/>
          <w:szCs w:val="32"/>
        </w:rPr>
        <w:t>附件3</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spacing w:line="576" w:lineRule="exact"/>
        <w:jc w:val="center"/>
        <w:textAlignment w:val="auto"/>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天然林停伐管护补助项目2019年</w:t>
      </w:r>
      <w:r>
        <w:rPr>
          <w:rFonts w:hint="eastAsia" w:ascii="方正小标宋简体" w:hAnsi="宋体" w:eastAsia="方正小标宋简体"/>
          <w:color w:val="000000"/>
          <w:kern w:val="0"/>
          <w:sz w:val="44"/>
          <w:szCs w:val="44"/>
          <w:lang w:val="zh-CN"/>
        </w:rPr>
        <w:t>绩效评价报告</w:t>
      </w:r>
    </w:p>
    <w:p>
      <w:pPr>
        <w:keepNext w:val="0"/>
        <w:keepLines w:val="0"/>
        <w:pageBreakBefore w:val="0"/>
        <w:widowControl w:val="0"/>
        <w:kinsoku/>
        <w:wordWrap/>
        <w:overflowPunct/>
        <w:topLinePunct w:val="0"/>
        <w:autoSpaceDE/>
        <w:autoSpaceDN/>
        <w:bidi w:val="0"/>
        <w:adjustRightInd w:val="0"/>
        <w:snapToGrid w:val="0"/>
        <w:spacing w:line="576" w:lineRule="exact"/>
        <w:ind w:firstLine="800" w:firstLineChars="250"/>
        <w:textAlignment w:val="auto"/>
        <w:rPr>
          <w:rFonts w:hint="eastAsia" w:ascii="黑体" w:hAnsi="宋体" w:eastAsia="黑体"/>
          <w:sz w:val="32"/>
          <w:szCs w:val="32"/>
        </w:rPr>
      </w:pPr>
    </w:p>
    <w:p>
      <w:pPr>
        <w:keepNext w:val="0"/>
        <w:keepLines w:val="0"/>
        <w:pageBreakBefore w:val="0"/>
        <w:widowControl w:val="0"/>
        <w:kinsoku/>
        <w:wordWrap/>
        <w:overflowPunct/>
        <w:topLinePunct w:val="0"/>
        <w:autoSpaceDE/>
        <w:autoSpaceDN/>
        <w:bidi w:val="0"/>
        <w:adjustRightInd w:val="0"/>
        <w:snapToGrid w:val="0"/>
        <w:spacing w:line="576" w:lineRule="exact"/>
        <w:ind w:firstLine="800" w:firstLineChars="250"/>
        <w:textAlignment w:val="auto"/>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1.项目主管单位在该项目管理中的职能。</w:t>
      </w:r>
    </w:p>
    <w:p>
      <w:pPr>
        <w:pStyle w:val="23"/>
        <w:keepNext w:val="0"/>
        <w:keepLines w:val="0"/>
        <w:pageBreakBefore w:val="0"/>
        <w:widowControl w:val="0"/>
        <w:tabs>
          <w:tab w:val="left" w:pos="1380"/>
        </w:tabs>
        <w:kinsoku/>
        <w:wordWrap/>
        <w:overflowPunct/>
        <w:topLinePunct w:val="0"/>
        <w:autoSpaceDE/>
        <w:autoSpaceDN/>
        <w:bidi w:val="0"/>
        <w:spacing w:line="576" w:lineRule="exact"/>
        <w:ind w:firstLine="800" w:firstLineChars="25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林业和草原局对项目建设工作负总责，各级各部门要按照县林业局的统一安排各负其责、相互协调。各级各部门要高度重视，认真谋划，从组织上保障项目建设工作的顺利开展；成立项目建设领导小组，下设生态修复保护股，生态修复保护股保证上传下达，定期向领导小组汇报工程进度、质量，及时报告实施中遇到的新情况新问题，负责办公室的日常事务工作。加强与当地乡镇和相关部门的沟通协调，及时抽调精干力量搭建工作班子，具体负责制定工作计划、协调落实用地，将任务、质量、进度落实到人，切实做到领导到位、措施到位、责任到位。</w:t>
      </w:r>
    </w:p>
    <w:p>
      <w:pPr>
        <w:keepNext w:val="0"/>
        <w:keepLines w:val="0"/>
        <w:pageBreakBefore w:val="0"/>
        <w:widowControl w:val="0"/>
        <w:kinsoku/>
        <w:wordWrap/>
        <w:overflowPunct/>
        <w:topLinePunct w:val="0"/>
        <w:autoSpaceDE/>
        <w:autoSpaceDN/>
        <w:bidi w:val="0"/>
        <w:adjustRightInd w:val="0"/>
        <w:snapToGrid w:val="0"/>
        <w:spacing w:line="576" w:lineRule="exact"/>
        <w:ind w:firstLine="480" w:firstLineChars="150"/>
        <w:textAlignment w:val="auto"/>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ascii="仿宋_GB2312" w:hAnsi="仿宋_GB2312" w:eastAsia="仿宋_GB2312" w:cs="仿宋_GB2312"/>
          <w:color w:val="000000"/>
          <w:sz w:val="32"/>
          <w:szCs w:val="32"/>
        </w:rPr>
        <w:t>《阿坝州财政局阿坝州林业和草原局关于下达2019年中央财政林业生态保护恢复资金预算（第二批）的通知》（阿州财农〔2019〕57号）安排、分解下达预算我县</w:t>
      </w:r>
      <w:r>
        <w:rPr>
          <w:rFonts w:hint="eastAsia" w:ascii="仿宋_GB2312" w:hAnsi="仿宋_GB2312" w:eastAsia="仿宋_GB2312" w:cs="仿宋_GB2312"/>
          <w:color w:val="000000"/>
          <w:sz w:val="32"/>
          <w:szCs w:val="32"/>
        </w:rPr>
        <w:t>天然林停伐补助</w:t>
      </w:r>
      <w:r>
        <w:rPr>
          <w:rFonts w:ascii="仿宋_GB2312" w:hAnsi="仿宋_GB2312" w:eastAsia="仿宋_GB2312" w:cs="仿宋_GB2312"/>
          <w:color w:val="000000"/>
          <w:sz w:val="32"/>
          <w:szCs w:val="32"/>
        </w:rPr>
        <w:t>项目资金</w:t>
      </w:r>
      <w:r>
        <w:rPr>
          <w:rFonts w:hint="eastAsia" w:ascii="仿宋_GB2312" w:hAnsi="仿宋_GB2312" w:eastAsia="仿宋_GB2312" w:cs="仿宋_GB2312"/>
          <w:color w:val="000000"/>
          <w:sz w:val="32"/>
          <w:szCs w:val="32"/>
        </w:rPr>
        <w:t>115.55</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3．资金管理办法制定情况，资金支持具体项目的条件、范围与支持方式概况。</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建设资金实行集中统一管理，专款专用、单独建帐、单独核算，在资金使用中严格执行国家财务管理制度，编制专项报表，严格资金的审批和使用制度，随时接受上级财政、审计部门的检查、监督，发现问题必须及时纠正。</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sz w:val="32"/>
          <w:szCs w:val="32"/>
        </w:rPr>
      </w:pPr>
      <w:r>
        <w:rPr>
          <w:rFonts w:ascii="仿宋_GB2312" w:hAnsi="宋体" w:eastAsia="仿宋_GB2312"/>
          <w:sz w:val="32"/>
          <w:szCs w:val="32"/>
        </w:rPr>
        <w:t>用于</w:t>
      </w:r>
      <w:r>
        <w:rPr>
          <w:rFonts w:hint="eastAsia" w:ascii="仿宋_GB2312" w:hAnsi="宋体" w:eastAsia="仿宋_GB2312"/>
          <w:sz w:val="32"/>
          <w:szCs w:val="32"/>
        </w:rPr>
        <w:t>兑现给农户,实现农民的生活水平提高。</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rPr>
      </w:pPr>
      <w:r>
        <w:rPr>
          <w:rFonts w:hint="eastAsia" w:ascii="仿宋_GB2312" w:hAnsi="宋体" w:eastAsia="仿宋_GB2312"/>
          <w:sz w:val="32"/>
          <w:szCs w:val="32"/>
        </w:rPr>
        <w:t>兑现给农户,实现农民的生活水平提高。</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项目资金执行情况：已使用资金</w:t>
      </w:r>
      <w:r>
        <w:rPr>
          <w:rFonts w:hint="eastAsia" w:ascii="仿宋_GB2312" w:hAnsi="仿宋_GB2312" w:eastAsia="仿宋_GB2312" w:cs="仿宋_GB2312"/>
          <w:color w:val="000000"/>
          <w:sz w:val="32"/>
          <w:szCs w:val="32"/>
        </w:rPr>
        <w:t>115.55</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115.55</w:t>
      </w:r>
      <w:r>
        <w:rPr>
          <w:rFonts w:ascii="仿宋_GB2312" w:hAnsi="仿宋_GB2312" w:eastAsia="仿宋_GB2312" w:cs="仿宋_GB2312"/>
          <w:color w:val="000000"/>
          <w:sz w:val="32"/>
          <w:szCs w:val="32"/>
        </w:rPr>
        <w:t>万元，执行率</w:t>
      </w:r>
      <w:r>
        <w:rPr>
          <w:rFonts w:hint="eastAsia" w:ascii="仿宋_GB2312" w:hAnsi="仿宋_GB2312" w:eastAsia="仿宋_GB2312" w:cs="仿宋_GB2312"/>
          <w:color w:val="000000"/>
          <w:sz w:val="32"/>
          <w:szCs w:val="32"/>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申报内容与实际相符，申报目标合理可行。</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rPr>
      </w:pPr>
      <w:r>
        <w:rPr>
          <w:rFonts w:hint="eastAsia" w:ascii="黑体" w:hAnsi="宋体" w:eastAsia="黑体"/>
          <w:sz w:val="32"/>
          <w:szCs w:val="32"/>
        </w:rPr>
        <w:t>二、项目资金申报及使用情况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项目资金到位情况：到位资金</w:t>
      </w:r>
      <w:r>
        <w:rPr>
          <w:rFonts w:hint="eastAsia" w:ascii="仿宋_GB2312" w:hAnsi="仿宋_GB2312" w:eastAsia="仿宋_GB2312" w:cs="仿宋_GB2312"/>
          <w:color w:val="000000"/>
          <w:sz w:val="32"/>
          <w:szCs w:val="32"/>
        </w:rPr>
        <w:t>115.55</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已使用资金</w:t>
      </w:r>
      <w:r>
        <w:rPr>
          <w:rFonts w:hint="eastAsia" w:ascii="仿宋_GB2312" w:hAnsi="仿宋_GB2312" w:eastAsia="仿宋_GB2312" w:cs="仿宋_GB2312"/>
          <w:color w:val="000000"/>
          <w:sz w:val="32"/>
          <w:szCs w:val="32"/>
        </w:rPr>
        <w:t>115.55</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万元，执行率</w:t>
      </w:r>
      <w:r>
        <w:rPr>
          <w:rFonts w:hint="eastAsia" w:ascii="仿宋_GB2312" w:hAnsi="仿宋_GB2312" w:eastAsia="仿宋_GB2312" w:cs="仿宋_GB2312"/>
          <w:color w:val="000000"/>
          <w:sz w:val="32"/>
          <w:szCs w:val="32"/>
        </w:rPr>
        <w:t>100</w:t>
      </w:r>
      <w:r>
        <w:rPr>
          <w:rFonts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hint="eastAsia" w:ascii="仿宋_GB2312" w:hAnsi="宋体" w:eastAsia="仿宋_GB2312"/>
          <w:sz w:val="32"/>
          <w:szCs w:val="32"/>
          <w:lang w:val="zh-CN"/>
        </w:rPr>
      </w:pPr>
      <w:r>
        <w:rPr>
          <w:rFonts w:hint="eastAsia" w:ascii="仿宋_GB2312" w:hAnsi="宋体" w:eastAsia="仿宋_GB2312"/>
          <w:sz w:val="32"/>
          <w:szCs w:val="32"/>
          <w:lang w:val="zh-CN"/>
        </w:rPr>
        <w:t>1.资金计划。</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sz w:val="32"/>
          <w:szCs w:val="32"/>
          <w:lang w:val="zh-CN"/>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阿坝州财政局</w:t>
      </w:r>
      <w:r>
        <w:rPr>
          <w:rFonts w:hint="eastAsia" w:ascii="宋体" w:hAnsi="宋体" w:cs="宋体"/>
          <w:color w:val="000000"/>
          <w:sz w:val="32"/>
          <w:szCs w:val="32"/>
        </w:rPr>
        <w:t> </w:t>
      </w:r>
      <w:r>
        <w:rPr>
          <w:rFonts w:ascii="仿宋_GB2312" w:hAnsi="仿宋_GB2312" w:eastAsia="仿宋_GB2312" w:cs="仿宋_GB2312"/>
          <w:color w:val="000000"/>
          <w:sz w:val="32"/>
          <w:szCs w:val="32"/>
        </w:rPr>
        <w:t>阿坝州</w:t>
      </w:r>
      <w:r>
        <w:rPr>
          <w:rFonts w:hint="eastAsia" w:ascii="仿宋_GB2312" w:hAnsi="仿宋_GB2312" w:eastAsia="仿宋_GB2312" w:cs="仿宋_GB2312"/>
          <w:color w:val="000000"/>
          <w:sz w:val="32"/>
          <w:szCs w:val="32"/>
        </w:rPr>
        <w:t>环境保护</w:t>
      </w:r>
      <w:r>
        <w:rPr>
          <w:rFonts w:ascii="仿宋_GB2312" w:hAnsi="仿宋_GB2312" w:eastAsia="仿宋_GB2312" w:cs="仿宋_GB2312"/>
          <w:color w:val="000000"/>
          <w:sz w:val="32"/>
          <w:szCs w:val="32"/>
        </w:rPr>
        <w:t>和草原局关于</w:t>
      </w:r>
      <w:r>
        <w:rPr>
          <w:rFonts w:hint="eastAsia" w:ascii="仿宋_GB2312" w:hAnsi="仿宋_GB2312" w:eastAsia="仿宋_GB2312" w:cs="仿宋_GB2312"/>
          <w:color w:val="000000"/>
          <w:sz w:val="32"/>
          <w:szCs w:val="32"/>
        </w:rPr>
        <w:t>提前</w:t>
      </w:r>
      <w:r>
        <w:rPr>
          <w:rFonts w:ascii="仿宋_GB2312" w:hAnsi="仿宋_GB2312" w:eastAsia="仿宋_GB2312" w:cs="仿宋_GB2312"/>
          <w:color w:val="000000"/>
          <w:sz w:val="32"/>
          <w:szCs w:val="32"/>
        </w:rPr>
        <w:t>下达2019年中央财政林业</w:t>
      </w:r>
      <w:r>
        <w:rPr>
          <w:rFonts w:hint="eastAsia" w:ascii="仿宋_GB2312" w:hAnsi="仿宋_GB2312" w:eastAsia="仿宋_GB2312" w:cs="仿宋_GB2312"/>
          <w:color w:val="000000"/>
          <w:sz w:val="32"/>
          <w:szCs w:val="32"/>
        </w:rPr>
        <w:t>改革发展资金的通知</w:t>
      </w:r>
      <w:r>
        <w:rPr>
          <w:rFonts w:ascii="仿宋_GB2312" w:hAnsi="仿宋_GB2312" w:eastAsia="仿宋_GB2312" w:cs="仿宋_GB2312"/>
          <w:color w:val="000000"/>
          <w:sz w:val="32"/>
          <w:szCs w:val="32"/>
        </w:rPr>
        <w:t>》（阿州财农〔201</w:t>
      </w:r>
      <w:r>
        <w:rPr>
          <w:rFonts w:hint="eastAsia" w:ascii="仿宋_GB2312" w:hAnsi="仿宋_GB2312" w:eastAsia="仿宋_GB2312" w:cs="仿宋_GB2312"/>
          <w:color w:val="000000"/>
          <w:sz w:val="32"/>
          <w:szCs w:val="32"/>
        </w:rPr>
        <w:t>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151</w:t>
      </w:r>
      <w:r>
        <w:rPr>
          <w:rFonts w:ascii="仿宋_GB2312" w:hAnsi="仿宋_GB2312" w:eastAsia="仿宋_GB2312" w:cs="仿宋_GB2312"/>
          <w:color w:val="000000"/>
          <w:sz w:val="32"/>
          <w:szCs w:val="32"/>
        </w:rPr>
        <w:t>号）安排、分解下达预算我县</w:t>
      </w:r>
      <w:r>
        <w:rPr>
          <w:rFonts w:hint="eastAsia" w:ascii="仿宋_GB2312" w:hAnsi="仿宋_GB2312" w:eastAsia="仿宋_GB2312" w:cs="仿宋_GB2312"/>
          <w:color w:val="000000"/>
          <w:sz w:val="32"/>
          <w:szCs w:val="32"/>
        </w:rPr>
        <w:t>集体和个人天然商品林停伐管护补助</w:t>
      </w:r>
      <w:r>
        <w:rPr>
          <w:rFonts w:ascii="仿宋_GB2312" w:hAnsi="仿宋_GB2312" w:eastAsia="仿宋_GB2312" w:cs="仿宋_GB2312"/>
          <w:color w:val="000000"/>
          <w:sz w:val="32"/>
          <w:szCs w:val="32"/>
        </w:rPr>
        <w:t>资金</w:t>
      </w:r>
      <w:r>
        <w:rPr>
          <w:rFonts w:hint="eastAsia" w:ascii="仿宋_GB2312" w:hAnsi="仿宋_GB2312" w:eastAsia="仿宋_GB2312" w:cs="仿宋_GB2312"/>
          <w:color w:val="000000"/>
          <w:sz w:val="32"/>
          <w:szCs w:val="32"/>
        </w:rPr>
        <w:t>115.55</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宋体" w:eastAsia="仿宋_GB2312"/>
          <w:sz w:val="32"/>
          <w:szCs w:val="32"/>
          <w:lang w:val="zh-CN"/>
        </w:rPr>
      </w:pPr>
      <w:r>
        <w:rPr>
          <w:rFonts w:hint="eastAsia" w:ascii="仿宋_GB2312" w:hAnsi="宋体" w:eastAsia="仿宋_GB2312"/>
          <w:sz w:val="32"/>
          <w:szCs w:val="32"/>
          <w:lang w:val="zh-CN"/>
        </w:rPr>
        <w:t>2.资金到位。</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计划投资额115.55万元，财政批复投资额115.55万元，实际到位资金115.55万元，资金到位及时。</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sz w:val="32"/>
          <w:szCs w:val="32"/>
          <w:lang w:val="zh-CN"/>
        </w:rPr>
      </w:pPr>
      <w:r>
        <w:rPr>
          <w:rFonts w:hint="eastAsia" w:ascii="仿宋_GB2312" w:hAnsi="宋体" w:eastAsia="仿宋_GB2312"/>
          <w:sz w:val="32"/>
          <w:szCs w:val="32"/>
          <w:lang w:val="zh-CN"/>
        </w:rPr>
        <w:t>3.资金使用。</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sz w:val="32"/>
          <w:szCs w:val="32"/>
          <w:lang w:val="zh-CN"/>
        </w:rPr>
      </w:pPr>
      <w:r>
        <w:rPr>
          <w:rFonts w:ascii="仿宋_GB2312" w:hAnsi="仿宋_GB2312" w:eastAsia="仿宋_GB2312" w:cs="仿宋_GB2312"/>
          <w:color w:val="000000"/>
          <w:sz w:val="32"/>
          <w:szCs w:val="32"/>
        </w:rPr>
        <w:t>已使用资金</w:t>
      </w:r>
      <w:r>
        <w:rPr>
          <w:rFonts w:hint="eastAsia" w:ascii="仿宋_GB2312" w:hAnsi="仿宋_GB2312" w:eastAsia="仿宋_GB2312" w:cs="仿宋_GB2312"/>
          <w:color w:val="000000"/>
          <w:sz w:val="32"/>
          <w:szCs w:val="32"/>
        </w:rPr>
        <w:t>115.55</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hint="eastAsia" w:ascii="仿宋_GB2312" w:hAnsi="宋体" w:eastAsia="仿宋_GB2312"/>
          <w:sz w:val="32"/>
          <w:szCs w:val="32"/>
          <w:lang w:val="zh-CN"/>
        </w:rPr>
        <w:t>资金支付范围、支付标准、支付进度、支付依据等合规合法、与预算相符。</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仿宋_GB2312" w:hAnsi="宋体" w:eastAsia="仿宋_GB2312"/>
          <w:sz w:val="32"/>
          <w:szCs w:val="32"/>
          <w:lang w:val="zh-CN"/>
        </w:rPr>
        <w:t>单位财务管理制度健全，严格执行财务管理制度，账务处理及时，会计核算规等。</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rPr>
      </w:pPr>
      <w:r>
        <w:rPr>
          <w:rFonts w:hint="eastAsia" w:ascii="黑体" w:hAnsi="宋体" w:eastAsia="黑体"/>
          <w:sz w:val="32"/>
          <w:szCs w:val="32"/>
        </w:rPr>
        <w:t>三、项目实施及管理情况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rPr>
      </w:pPr>
      <w:r>
        <w:rPr>
          <w:rFonts w:ascii="仿宋_GB2312" w:hAnsi="宋体" w:eastAsia="仿宋_GB2312"/>
          <w:sz w:val="32"/>
          <w:szCs w:val="32"/>
        </w:rPr>
        <w:t>林业和草原局财务部门做好报账资料的审核工作，接受监察审计等部门对资金管理使用情况的监督检查，杜绝不合理的开支，做到专款专用，保证经费的使用效益。</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019年兑现我县集体和个人所有天然商品林停伐补助总面积为18.7004万亩，全县资金兑现涉及19个乡镇，113个村，农户1.7万余户，受益人口5万余人。建立和完善管护机制。制定了《茂县集体林管护制度》、《茂县集体林管护人员考核办法》；各乡镇成立集体林管护机构领导小组，制定了集体林管护制度、明确了管护职责</w:t>
      </w:r>
      <w:r>
        <w:rPr>
          <w:rFonts w:hint="eastAsia" w:ascii="仿宋_GB2312" w:hAnsi="宋体"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社会经济效益。通过实施集体和个人所有天然商品林停伐补助，使全县19个乡镇113个村</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1.7万户，5万人受益</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增加了群众收入，提高当地群众生活生产水平和改善了生活生产条件</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促进持续增收稳定脱贫。</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ascii="仿宋_GB2312" w:hAnsi="仿宋_GB2312" w:eastAsia="仿宋_GB2312" w:cs="仿宋_GB2312"/>
          <w:color w:val="000000"/>
          <w:sz w:val="32"/>
          <w:szCs w:val="32"/>
        </w:rPr>
        <w:t>受益群众满意度。通过实施集体和个人所有天然商品林停伐补助，改善了当地农牧业的生产条件，为增产增收提供了一定的条件，创造了一些就业机会，对维护社会稳定和提高人民生活水平起到了良好的促进作用，因此深受广大受益群众的好评</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黑体" w:hAnsi="宋体" w:eastAsia="黑体"/>
          <w:sz w:val="32"/>
          <w:szCs w:val="32"/>
        </w:rPr>
      </w:pPr>
      <w:r>
        <w:rPr>
          <w:rFonts w:hint="eastAsia" w:ascii="黑体" w:hAnsi="宋体" w:eastAsia="黑体"/>
          <w:sz w:val="32"/>
          <w:szCs w:val="32"/>
        </w:rPr>
        <w:t>五、评价结论及建议</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sz w:val="32"/>
          <w:szCs w:val="32"/>
          <w:bdr w:val="single" w:color="auto" w:sz="4" w:space="0"/>
          <w:lang w:val="zh-CN"/>
        </w:rPr>
      </w:pPr>
      <w:r>
        <w:rPr>
          <w:rFonts w:ascii="仿宋_GB2312" w:hAnsi="宋体" w:eastAsia="仿宋_GB2312"/>
          <w:sz w:val="32"/>
          <w:szCs w:val="32"/>
        </w:rPr>
        <w:t>综合评价良好，我县集体和个人所有天然商品林停伐补助在使用和管理中，实际支出与规定的用途一致，资金收支平衡，资金使用都能做到公开、公平、程序到位，严格执行财务制度，无截留、挤占、挪用补偿基金等违规行为。</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仿宋_GB2312" w:hAnsi="宋体" w:eastAsia="仿宋_GB2312"/>
          <w:sz w:val="32"/>
          <w:szCs w:val="32"/>
        </w:rPr>
      </w:pPr>
      <w:r>
        <w:rPr>
          <w:rFonts w:hint="eastAsia" w:ascii="仿宋_GB2312" w:hAnsi="宋体" w:eastAsia="仿宋_GB2312"/>
          <w:sz w:val="32"/>
          <w:szCs w:val="32"/>
        </w:rPr>
        <w:t>无</w:t>
      </w:r>
    </w:p>
    <w:p>
      <w:pPr>
        <w:keepNext w:val="0"/>
        <w:keepLines w:val="0"/>
        <w:pageBreakBefore w:val="0"/>
        <w:widowControl w:val="0"/>
        <w:kinsoku/>
        <w:wordWrap/>
        <w:overflowPunct/>
        <w:topLinePunct w:val="0"/>
        <w:autoSpaceDE/>
        <w:autoSpaceDN/>
        <w:bidi w:val="0"/>
        <w:adjustRightInd w:val="0"/>
        <w:snapToGrid w:val="0"/>
        <w:spacing w:line="576" w:lineRule="exact"/>
        <w:ind w:firstLine="720"/>
        <w:textAlignment w:val="auto"/>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keepNext w:val="0"/>
        <w:keepLines w:val="0"/>
        <w:pageBreakBefore w:val="0"/>
        <w:widowControl w:val="0"/>
        <w:kinsoku/>
        <w:wordWrap/>
        <w:overflowPunct/>
        <w:topLinePunct w:val="0"/>
        <w:autoSpaceDE/>
        <w:autoSpaceDN/>
        <w:bidi w:val="0"/>
        <w:spacing w:line="576" w:lineRule="exact"/>
        <w:ind w:firstLine="640"/>
        <w:textAlignment w:val="auto"/>
        <w:rPr>
          <w:rFonts w:ascii="仿宋_GB2312" w:hAnsi="仿宋_GB2312" w:eastAsia="仿宋_GB2312" w:cs="仿宋_GB2312"/>
          <w:sz w:val="32"/>
          <w:szCs w:val="32"/>
        </w:rPr>
      </w:pPr>
      <w:r>
        <w:rPr>
          <w:rFonts w:hint="eastAsia" w:ascii="仿宋_GB2312" w:hAnsi="宋体" w:eastAsia="仿宋_GB2312"/>
          <w:sz w:val="32"/>
          <w:szCs w:val="32"/>
        </w:rPr>
        <w:t>无</w:t>
      </w:r>
    </w:p>
    <w:p>
      <w:pPr>
        <w:widowControl/>
        <w:jc w:val="left"/>
        <w:rPr>
          <w:rStyle w:val="24"/>
          <w:rFonts w:ascii="黑体" w:hAnsi="黑体" w:eastAsia="黑体"/>
          <w:b w:val="0"/>
        </w:rPr>
      </w:pPr>
    </w:p>
    <w:p>
      <w:pPr>
        <w:spacing w:line="580" w:lineRule="exact"/>
        <w:rPr>
          <w:rFonts w:ascii="仿宋_GB2312" w:hAnsi="仿宋_GB2312" w:eastAsia="仿宋_GB2312" w:cs="仿宋_GB2312"/>
          <w:sz w:val="32"/>
          <w:szCs w:val="32"/>
        </w:rPr>
      </w:pPr>
      <w:r>
        <w:rPr>
          <w:rStyle w:val="24"/>
          <w:rFonts w:ascii="黑体" w:hAnsi="黑体" w:eastAsia="黑体"/>
          <w:b w:val="0"/>
        </w:rPr>
        <w:br w:type="page"/>
      </w:r>
      <w:r>
        <w:rPr>
          <w:rFonts w:hint="eastAsia" w:ascii="黑体" w:hAnsi="黑体" w:eastAsia="黑体" w:cs="黑体"/>
          <w:sz w:val="32"/>
          <w:szCs w:val="32"/>
        </w:rPr>
        <w:t>附件4</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生态护林员补助项目2019年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560" w:lineRule="exact"/>
        <w:ind w:firstLine="800" w:firstLineChars="250"/>
        <w:rPr>
          <w:rFonts w:ascii="仿宋_GB2312" w:hAnsi="宋体" w:eastAsia="仿宋_GB2312"/>
          <w:sz w:val="32"/>
          <w:szCs w:val="32"/>
          <w:lang w:val="zh-CN"/>
        </w:rPr>
      </w:pPr>
      <w:r>
        <w:rPr>
          <w:rFonts w:hint="eastAsia" w:ascii="仿宋_GB2312" w:hAnsi="宋体" w:eastAsia="仿宋_GB2312"/>
          <w:sz w:val="32"/>
          <w:szCs w:val="32"/>
          <w:lang w:val="zh-CN"/>
        </w:rPr>
        <w:t>1.项目主管单位在该项目管理中的职能。</w:t>
      </w:r>
    </w:p>
    <w:p>
      <w:pPr>
        <w:pStyle w:val="23"/>
        <w:tabs>
          <w:tab w:val="left" w:pos="1380"/>
        </w:tabs>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林业和草原局对项目建设工作负总责，各级各部门要按照县林业局的统一安排各负其责、相互协调。各级各部门要高度重视，认真谋划，从组织上保障项目建设工作的顺利开展；成立项目建设领导小组，下设生态修复保护股，生态修复保护股保证上传下达，定期向领导小组汇报工程进度、质量，及时报告实施中遇到的新情况新问题，负责办公室的日常事务工作。加强与当地乡镇和相关部门的沟通协调，及时抽调精干力量搭建工作班子，具体负责制定工作计划、协调落实用地，将任务、质量、进度落实到人，切实做到领导到位、措施到位、责任到位。</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adjustRightInd w:val="0"/>
        <w:snapToGrid w:val="0"/>
        <w:spacing w:line="560" w:lineRule="exact"/>
        <w:ind w:firstLine="720"/>
        <w:rPr>
          <w:rFonts w:ascii="楷体_GB2312" w:hAnsi="宋体" w:eastAsia="楷体_GB2312"/>
          <w:sz w:val="32"/>
          <w:szCs w:val="32"/>
          <w:lang w:val="zh-CN"/>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阿坝州财政局阿坝州</w:t>
      </w:r>
      <w:r>
        <w:rPr>
          <w:rFonts w:hint="eastAsia" w:ascii="仿宋_GB2312" w:hAnsi="仿宋_GB2312" w:eastAsia="仿宋_GB2312" w:cs="仿宋_GB2312"/>
          <w:color w:val="000000"/>
          <w:sz w:val="32"/>
          <w:szCs w:val="32"/>
        </w:rPr>
        <w:t>环境保护</w:t>
      </w:r>
      <w:r>
        <w:rPr>
          <w:rFonts w:ascii="仿宋_GB2312" w:hAnsi="仿宋_GB2312" w:eastAsia="仿宋_GB2312" w:cs="仿宋_GB2312"/>
          <w:color w:val="000000"/>
          <w:sz w:val="32"/>
          <w:szCs w:val="32"/>
        </w:rPr>
        <w:t>和草原局关于</w:t>
      </w:r>
      <w:r>
        <w:rPr>
          <w:rFonts w:hint="eastAsia" w:ascii="仿宋_GB2312" w:hAnsi="仿宋_GB2312" w:eastAsia="仿宋_GB2312" w:cs="仿宋_GB2312"/>
          <w:color w:val="000000"/>
          <w:sz w:val="32"/>
          <w:szCs w:val="32"/>
        </w:rPr>
        <w:t>提前</w:t>
      </w:r>
      <w:r>
        <w:rPr>
          <w:rFonts w:ascii="仿宋_GB2312" w:hAnsi="仿宋_GB2312" w:eastAsia="仿宋_GB2312" w:cs="仿宋_GB2312"/>
          <w:color w:val="000000"/>
          <w:sz w:val="32"/>
          <w:szCs w:val="32"/>
        </w:rPr>
        <w:t>下达2019年中央财政林业</w:t>
      </w:r>
      <w:r>
        <w:rPr>
          <w:rFonts w:hint="eastAsia" w:ascii="仿宋_GB2312" w:hAnsi="仿宋_GB2312" w:eastAsia="仿宋_GB2312" w:cs="仿宋_GB2312"/>
          <w:color w:val="000000"/>
          <w:sz w:val="32"/>
          <w:szCs w:val="32"/>
        </w:rPr>
        <w:t>改革发展资金的通知</w:t>
      </w:r>
      <w:r>
        <w:rPr>
          <w:rFonts w:ascii="仿宋_GB2312" w:hAnsi="仿宋_GB2312" w:eastAsia="仿宋_GB2312" w:cs="仿宋_GB2312"/>
          <w:color w:val="000000"/>
          <w:sz w:val="32"/>
          <w:szCs w:val="32"/>
        </w:rPr>
        <w:t>》（阿州财农〔201</w:t>
      </w:r>
      <w:r>
        <w:rPr>
          <w:rFonts w:hint="eastAsia" w:ascii="仿宋_GB2312" w:hAnsi="仿宋_GB2312" w:eastAsia="仿宋_GB2312" w:cs="仿宋_GB2312"/>
          <w:color w:val="000000"/>
          <w:sz w:val="32"/>
          <w:szCs w:val="32"/>
        </w:rPr>
        <w:t>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151</w:t>
      </w:r>
      <w:r>
        <w:rPr>
          <w:rFonts w:ascii="仿宋_GB2312" w:hAnsi="仿宋_GB2312" w:eastAsia="仿宋_GB2312" w:cs="仿宋_GB2312"/>
          <w:color w:val="000000"/>
          <w:sz w:val="32"/>
          <w:szCs w:val="32"/>
        </w:rPr>
        <w:t>号）安排、分解下达预算我县</w:t>
      </w:r>
      <w:r>
        <w:rPr>
          <w:rFonts w:hint="eastAsia" w:ascii="仿宋_GB2312" w:hAnsi="仿宋_GB2312" w:eastAsia="仿宋_GB2312" w:cs="仿宋_GB2312"/>
          <w:color w:val="000000"/>
          <w:sz w:val="32"/>
          <w:szCs w:val="32"/>
        </w:rPr>
        <w:t>生态护林员补助</w:t>
      </w:r>
      <w:r>
        <w:rPr>
          <w:rFonts w:ascii="仿宋_GB2312" w:hAnsi="仿宋_GB2312" w:eastAsia="仿宋_GB2312" w:cs="仿宋_GB2312"/>
          <w:color w:val="000000"/>
          <w:sz w:val="32"/>
          <w:szCs w:val="32"/>
        </w:rPr>
        <w:t>资金</w:t>
      </w:r>
      <w:r>
        <w:rPr>
          <w:rFonts w:hint="eastAsia" w:ascii="仿宋_GB2312" w:hAnsi="仿宋_GB2312" w:eastAsia="仿宋_GB2312" w:cs="仿宋_GB2312"/>
          <w:color w:val="000000"/>
          <w:sz w:val="32"/>
          <w:szCs w:val="32"/>
        </w:rPr>
        <w:t>301</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资金管理办法制定情况，资金支持具体项目的条件、范围与支持方式概况。</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建设资金实行集中统一管理，专款专用、单独建帐、单独核算，在资金使用中严格执行国家财务管理制度，编制专项报表，严格资金的审批和使用制度，随时接受上级财政、审计部门的检查、监督，发现问题必须及时纠正。</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adjustRightInd w:val="0"/>
        <w:snapToGrid w:val="0"/>
        <w:spacing w:line="560" w:lineRule="exact"/>
        <w:ind w:firstLine="640" w:firstLineChars="200"/>
        <w:rPr>
          <w:rFonts w:ascii="仿宋_GB2312" w:hAnsi="宋体" w:eastAsia="仿宋_GB2312"/>
          <w:sz w:val="32"/>
          <w:szCs w:val="32"/>
          <w:lang w:val="zh-CN"/>
        </w:rPr>
      </w:pPr>
      <w:r>
        <w:rPr>
          <w:rFonts w:ascii="仿宋_GB2312" w:hAnsi="宋体" w:eastAsia="仿宋_GB2312"/>
          <w:sz w:val="32"/>
          <w:szCs w:val="32"/>
        </w:rPr>
        <w:t>用于建档立卡贫困户担任生态护林员管护补助。</w:t>
      </w:r>
    </w:p>
    <w:p>
      <w:pPr>
        <w:adjustRightInd w:val="0"/>
        <w:snapToGrid w:val="0"/>
        <w:spacing w:line="560" w:lineRule="exact"/>
        <w:ind w:firstLine="20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560" w:lineRule="exact"/>
        <w:ind w:firstLine="640" w:firstLineChars="200"/>
        <w:rPr>
          <w:rFonts w:ascii="仿宋_GB2312" w:hAnsi="宋体" w:eastAsia="仿宋_GB2312"/>
          <w:sz w:val="32"/>
          <w:szCs w:val="32"/>
          <w:lang w:val="zh-CN"/>
        </w:rPr>
      </w:pPr>
      <w:r>
        <w:rPr>
          <w:rFonts w:ascii="仿宋_GB2312" w:hAnsi="宋体" w:eastAsia="仿宋_GB2312"/>
          <w:sz w:val="32"/>
          <w:szCs w:val="32"/>
        </w:rPr>
        <w:t>2019年生态护林员管护补助标准调整为8150元/年，全县生态护林员管护集体公益林面积不低于500亩，补助资金301万元，涉及21个乡镇369名建档立卡贫困户。资金兑现计划按月支付。</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项目资金执行情况：已使用资金</w:t>
      </w:r>
      <w:r>
        <w:rPr>
          <w:rFonts w:hint="eastAsia" w:ascii="仿宋_GB2312" w:hAnsi="仿宋_GB2312" w:eastAsia="仿宋_GB2312" w:cs="仿宋_GB2312"/>
          <w:color w:val="000000"/>
          <w:sz w:val="32"/>
          <w:szCs w:val="32"/>
        </w:rPr>
        <w:t>301</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万元，执行率</w:t>
      </w:r>
      <w:r>
        <w:rPr>
          <w:rFonts w:hint="eastAsia" w:ascii="仿宋_GB2312" w:hAnsi="仿宋_GB2312" w:eastAsia="仿宋_GB2312" w:cs="仿宋_GB2312"/>
          <w:color w:val="000000"/>
          <w:sz w:val="32"/>
          <w:szCs w:val="32"/>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申报内容与实际相符，申报目标合理可行。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项目资金到位情况：到位资金</w:t>
      </w:r>
      <w:r>
        <w:rPr>
          <w:rFonts w:hint="eastAsia" w:ascii="仿宋_GB2312" w:hAnsi="仿宋_GB2312" w:eastAsia="仿宋_GB2312" w:cs="仿宋_GB2312"/>
          <w:color w:val="000000"/>
          <w:sz w:val="32"/>
          <w:szCs w:val="32"/>
        </w:rPr>
        <w:t>301</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已使用资金</w:t>
      </w:r>
      <w:r>
        <w:rPr>
          <w:rFonts w:hint="eastAsia" w:ascii="仿宋_GB2312" w:hAnsi="仿宋_GB2312" w:eastAsia="仿宋_GB2312" w:cs="仿宋_GB2312"/>
          <w:color w:val="000000"/>
          <w:sz w:val="32"/>
          <w:szCs w:val="32"/>
        </w:rPr>
        <w:t>301</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万元，执行率</w:t>
      </w:r>
      <w:r>
        <w:rPr>
          <w:rFonts w:hint="eastAsia" w:ascii="仿宋_GB2312" w:hAnsi="仿宋_GB2312" w:eastAsia="仿宋_GB2312" w:cs="仿宋_GB2312"/>
          <w:color w:val="000000"/>
          <w:sz w:val="32"/>
          <w:szCs w:val="32"/>
        </w:rPr>
        <w:t>100</w:t>
      </w:r>
      <w:r>
        <w:rPr>
          <w:rFonts w:ascii="仿宋_GB2312" w:hAnsi="仿宋_GB2312" w:eastAsia="仿宋_GB2312" w:cs="仿宋_GB2312"/>
          <w:color w:val="000000"/>
          <w:sz w:val="32"/>
          <w:szCs w:val="32"/>
        </w:rPr>
        <w:t>%。</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1.资金计划。</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阿坝州财政局</w:t>
      </w:r>
      <w:r>
        <w:rPr>
          <w:rFonts w:hint="eastAsia" w:ascii="宋体" w:hAnsi="宋体" w:cs="宋体"/>
          <w:color w:val="000000"/>
          <w:sz w:val="32"/>
          <w:szCs w:val="32"/>
        </w:rPr>
        <w:t> </w:t>
      </w:r>
      <w:r>
        <w:rPr>
          <w:rFonts w:ascii="仿宋_GB2312" w:hAnsi="仿宋_GB2312" w:eastAsia="仿宋_GB2312" w:cs="仿宋_GB2312"/>
          <w:color w:val="000000"/>
          <w:sz w:val="32"/>
          <w:szCs w:val="32"/>
        </w:rPr>
        <w:t>阿坝州</w:t>
      </w:r>
      <w:r>
        <w:rPr>
          <w:rFonts w:hint="eastAsia" w:ascii="仿宋_GB2312" w:hAnsi="仿宋_GB2312" w:eastAsia="仿宋_GB2312" w:cs="仿宋_GB2312"/>
          <w:color w:val="000000"/>
          <w:sz w:val="32"/>
          <w:szCs w:val="32"/>
        </w:rPr>
        <w:t>环境保护</w:t>
      </w:r>
      <w:r>
        <w:rPr>
          <w:rFonts w:ascii="仿宋_GB2312" w:hAnsi="仿宋_GB2312" w:eastAsia="仿宋_GB2312" w:cs="仿宋_GB2312"/>
          <w:color w:val="000000"/>
          <w:sz w:val="32"/>
          <w:szCs w:val="32"/>
        </w:rPr>
        <w:t>和草原局关于</w:t>
      </w:r>
      <w:r>
        <w:rPr>
          <w:rFonts w:hint="eastAsia" w:ascii="仿宋_GB2312" w:hAnsi="仿宋_GB2312" w:eastAsia="仿宋_GB2312" w:cs="仿宋_GB2312"/>
          <w:color w:val="000000"/>
          <w:sz w:val="32"/>
          <w:szCs w:val="32"/>
        </w:rPr>
        <w:t>提前</w:t>
      </w:r>
      <w:r>
        <w:rPr>
          <w:rFonts w:ascii="仿宋_GB2312" w:hAnsi="仿宋_GB2312" w:eastAsia="仿宋_GB2312" w:cs="仿宋_GB2312"/>
          <w:color w:val="000000"/>
          <w:sz w:val="32"/>
          <w:szCs w:val="32"/>
        </w:rPr>
        <w:t>下达2019年中央财政林业</w:t>
      </w:r>
      <w:r>
        <w:rPr>
          <w:rFonts w:hint="eastAsia" w:ascii="仿宋_GB2312" w:hAnsi="仿宋_GB2312" w:eastAsia="仿宋_GB2312" w:cs="仿宋_GB2312"/>
          <w:color w:val="000000"/>
          <w:sz w:val="32"/>
          <w:szCs w:val="32"/>
        </w:rPr>
        <w:t>改革发展资金的通知</w:t>
      </w:r>
      <w:r>
        <w:rPr>
          <w:rFonts w:ascii="仿宋_GB2312" w:hAnsi="仿宋_GB2312" w:eastAsia="仿宋_GB2312" w:cs="仿宋_GB2312"/>
          <w:color w:val="000000"/>
          <w:sz w:val="32"/>
          <w:szCs w:val="32"/>
        </w:rPr>
        <w:t>》（阿州财农〔201</w:t>
      </w:r>
      <w:r>
        <w:rPr>
          <w:rFonts w:hint="eastAsia" w:ascii="仿宋_GB2312" w:hAnsi="仿宋_GB2312" w:eastAsia="仿宋_GB2312" w:cs="仿宋_GB2312"/>
          <w:color w:val="000000"/>
          <w:sz w:val="32"/>
          <w:szCs w:val="32"/>
        </w:rPr>
        <w:t>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151</w:t>
      </w:r>
      <w:r>
        <w:rPr>
          <w:rFonts w:ascii="仿宋_GB2312" w:hAnsi="仿宋_GB2312" w:eastAsia="仿宋_GB2312" w:cs="仿宋_GB2312"/>
          <w:color w:val="000000"/>
          <w:sz w:val="32"/>
          <w:szCs w:val="32"/>
        </w:rPr>
        <w:t>号）安排、分解下达预算我县</w:t>
      </w:r>
      <w:r>
        <w:rPr>
          <w:rFonts w:hint="eastAsia" w:ascii="仿宋_GB2312" w:hAnsi="仿宋_GB2312" w:eastAsia="仿宋_GB2312" w:cs="仿宋_GB2312"/>
          <w:color w:val="000000"/>
          <w:sz w:val="32"/>
          <w:szCs w:val="32"/>
        </w:rPr>
        <w:t>生态护林员补助</w:t>
      </w:r>
      <w:r>
        <w:rPr>
          <w:rFonts w:ascii="仿宋_GB2312" w:hAnsi="仿宋_GB2312" w:eastAsia="仿宋_GB2312" w:cs="仿宋_GB2312"/>
          <w:color w:val="000000"/>
          <w:sz w:val="32"/>
          <w:szCs w:val="32"/>
        </w:rPr>
        <w:t>资金</w:t>
      </w:r>
      <w:r>
        <w:rPr>
          <w:rFonts w:hint="eastAsia" w:ascii="仿宋_GB2312" w:hAnsi="仿宋_GB2312" w:eastAsia="仿宋_GB2312" w:cs="仿宋_GB2312"/>
          <w:color w:val="000000"/>
          <w:sz w:val="32"/>
          <w:szCs w:val="32"/>
        </w:rPr>
        <w:t>301</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2.资金到位。</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计划投资额301万元，财政批复投资额301万元，实际到位资金301万元，资金到位及时。</w:t>
      </w:r>
    </w:p>
    <w:p>
      <w:p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3.资金使用。</w:t>
      </w:r>
    </w:p>
    <w:p>
      <w:pPr>
        <w:adjustRightInd w:val="0"/>
        <w:snapToGrid w:val="0"/>
        <w:spacing w:line="600" w:lineRule="exact"/>
        <w:ind w:firstLine="720"/>
        <w:rPr>
          <w:rFonts w:ascii="楷体_GB2312" w:hAnsi="宋体" w:eastAsia="楷体_GB2312"/>
          <w:sz w:val="32"/>
          <w:szCs w:val="32"/>
          <w:lang w:val="zh-CN"/>
        </w:rPr>
      </w:pPr>
      <w:r>
        <w:rPr>
          <w:rFonts w:ascii="仿宋_GB2312" w:hAnsi="仿宋_GB2312" w:eastAsia="仿宋_GB2312" w:cs="仿宋_GB2312"/>
          <w:color w:val="000000"/>
          <w:sz w:val="32"/>
          <w:szCs w:val="32"/>
        </w:rPr>
        <w:t>已使用资金</w:t>
      </w:r>
      <w:r>
        <w:rPr>
          <w:rFonts w:hint="eastAsia" w:ascii="仿宋_GB2312" w:hAnsi="仿宋_GB2312" w:eastAsia="仿宋_GB2312" w:cs="仿宋_GB2312"/>
          <w:color w:val="000000"/>
          <w:sz w:val="32"/>
          <w:szCs w:val="32"/>
        </w:rPr>
        <w:t>301</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结余资金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hint="eastAsia" w:ascii="仿宋_GB2312" w:hAnsi="宋体" w:eastAsia="仿宋_GB2312"/>
          <w:sz w:val="32"/>
          <w:szCs w:val="32"/>
          <w:lang w:val="zh-CN"/>
        </w:rPr>
        <w:t>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单位财务管理制度健全，严格执行财务管理制度，账务处理及时，会计核算规等。</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rPr>
      </w:pPr>
      <w:r>
        <w:rPr>
          <w:rFonts w:ascii="仿宋_GB2312" w:hAnsi="宋体" w:eastAsia="仿宋_GB2312"/>
          <w:sz w:val="32"/>
          <w:szCs w:val="32"/>
        </w:rPr>
        <w:t>林业和草原局财务部门做好报账资料的审核工作，接受监察审计等部门对资金管理使用情况的监督检查，杜绝不合理的开支，做到专款专用，保证经费的使用效益。</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hint="eastAsia" w:ascii="仿宋_GB2312" w:hAnsi="宋体" w:eastAsia="仿宋_GB2312"/>
          <w:sz w:val="32"/>
          <w:szCs w:val="32"/>
          <w:lang w:eastAsia="zh-CN"/>
        </w:rPr>
      </w:pPr>
      <w:r>
        <w:rPr>
          <w:rFonts w:hint="eastAsia" w:ascii="仿宋_GB2312" w:hAnsi="宋体" w:eastAsia="仿宋_GB2312"/>
          <w:sz w:val="32"/>
          <w:szCs w:val="32"/>
        </w:rPr>
        <w:t>1.</w:t>
      </w:r>
      <w:r>
        <w:rPr>
          <w:rFonts w:ascii="仿宋_GB2312" w:hAnsi="宋体" w:eastAsia="仿宋_GB2312"/>
          <w:sz w:val="32"/>
          <w:szCs w:val="32"/>
        </w:rPr>
        <w:t>数量指标。共计资金30</w:t>
      </w:r>
      <w:r>
        <w:rPr>
          <w:rFonts w:hint="eastAsia" w:ascii="仿宋_GB2312" w:hAnsi="宋体" w:eastAsia="仿宋_GB2312"/>
          <w:sz w:val="32"/>
          <w:szCs w:val="32"/>
        </w:rPr>
        <w:t>1</w:t>
      </w:r>
      <w:r>
        <w:rPr>
          <w:rFonts w:ascii="仿宋_GB2312" w:hAnsi="宋体" w:eastAsia="仿宋_GB2312"/>
          <w:sz w:val="32"/>
          <w:szCs w:val="32"/>
        </w:rPr>
        <w:t>万元用于全县涉及21个乡镇369名建档立卡贫困户</w:t>
      </w:r>
      <w:r>
        <w:rPr>
          <w:rFonts w:hint="eastAsia" w:ascii="仿宋_GB2312" w:hAnsi="宋体" w:eastAsia="仿宋_GB2312"/>
          <w:sz w:val="32"/>
          <w:szCs w:val="32"/>
          <w:lang w:eastAsia="zh-CN"/>
        </w:rPr>
        <w:t>。</w:t>
      </w:r>
    </w:p>
    <w:p>
      <w:pPr>
        <w:adjustRightInd w:val="0"/>
        <w:snapToGrid w:val="0"/>
        <w:spacing w:line="600" w:lineRule="exact"/>
        <w:rPr>
          <w:rFonts w:ascii="仿宋_GB2312" w:hAnsi="宋体" w:eastAsia="仿宋_GB2312"/>
          <w:sz w:val="32"/>
          <w:szCs w:val="32"/>
        </w:rPr>
      </w:pPr>
      <w:r>
        <w:rPr>
          <w:rFonts w:hint="eastAsia" w:ascii="仿宋_GB2312" w:hAnsi="宋体" w:eastAsia="仿宋_GB2312"/>
          <w:sz w:val="32"/>
          <w:szCs w:val="32"/>
        </w:rPr>
        <w:t xml:space="preserve">     2.</w:t>
      </w:r>
      <w:r>
        <w:rPr>
          <w:rFonts w:ascii="仿宋_GB2312" w:hAnsi="宋体" w:eastAsia="仿宋_GB2312"/>
          <w:sz w:val="32"/>
          <w:szCs w:val="32"/>
        </w:rPr>
        <w:t>时效指标。该项目结余资金</w:t>
      </w:r>
      <w:r>
        <w:rPr>
          <w:rFonts w:hint="eastAsia" w:ascii="仿宋_GB2312" w:hAnsi="宋体" w:eastAsia="仿宋_GB2312"/>
          <w:sz w:val="32"/>
          <w:szCs w:val="32"/>
        </w:rPr>
        <w:t>0</w:t>
      </w:r>
      <w:r>
        <w:rPr>
          <w:rFonts w:ascii="仿宋_GB2312" w:hAnsi="宋体" w:eastAsia="仿宋_GB2312"/>
          <w:sz w:val="32"/>
          <w:szCs w:val="32"/>
        </w:rPr>
        <w:t>万元，该年度生态护林员已按照相关要求全面完成支付完成实效100%。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w:t>
      </w:r>
      <w:r>
        <w:rPr>
          <w:rFonts w:ascii="仿宋_GB2312" w:hAnsi="宋体" w:eastAsia="仿宋_GB2312"/>
          <w:sz w:val="32"/>
          <w:szCs w:val="32"/>
        </w:rPr>
        <w:t>经济效益。增加了群众收入，提高当地群众生活生产水平和改善了生活生产条件；促进持续增收稳定脱贫。按照省州部署，通过开展生态脱贫，稳步建立增收机制，逐步提高每个生态保护建设岗位劳务报酬</w:t>
      </w:r>
      <w:r>
        <w:rPr>
          <w:rFonts w:hint="eastAsia" w:ascii="仿宋_GB2312" w:hAnsi="宋体" w:eastAsia="仿宋_GB2312"/>
          <w:sz w:val="32"/>
          <w:szCs w:val="32"/>
        </w:rPr>
        <w:t>，</w:t>
      </w:r>
      <w:r>
        <w:rPr>
          <w:rFonts w:ascii="仿宋_GB2312" w:hAnsi="宋体" w:eastAsia="仿宋_GB2312"/>
          <w:sz w:val="32"/>
          <w:szCs w:val="32"/>
        </w:rPr>
        <w:t>2019年分别实现8150元的增收目标。</w:t>
      </w:r>
      <w:r>
        <w:rPr>
          <w:rFonts w:ascii="仿宋_GB2312" w:hAnsi="宋体" w:eastAsia="仿宋_GB2312"/>
          <w:sz w:val="32"/>
          <w:szCs w:val="32"/>
        </w:rPr>
        <w:br w:type="textWrapping"/>
      </w:r>
      <w:r>
        <w:rPr>
          <w:rFonts w:hint="eastAsia" w:ascii="仿宋_GB2312" w:hAnsi="宋体" w:eastAsia="仿宋_GB2312"/>
          <w:sz w:val="32"/>
          <w:szCs w:val="32"/>
        </w:rPr>
        <w:t xml:space="preserve">    2.</w:t>
      </w:r>
      <w:r>
        <w:rPr>
          <w:rFonts w:ascii="仿宋_GB2312" w:hAnsi="宋体" w:eastAsia="仿宋_GB2312"/>
          <w:sz w:val="32"/>
          <w:szCs w:val="32"/>
        </w:rPr>
        <w:t>生态效益。通过生态护林员实施，进一步扩大了护林管护队伍，加强了生态保护建设，林草综合覆盖率逐步提高，森林面积蓄积实现双增长，持续改善和优化生态环境；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ascii="仿宋_GB2312" w:hAnsi="宋体" w:eastAsia="仿宋_GB2312"/>
          <w:sz w:val="32"/>
          <w:szCs w:val="32"/>
        </w:rPr>
        <w:t>综合评价良好，我县</w:t>
      </w:r>
      <w:r>
        <w:rPr>
          <w:rFonts w:hint="eastAsia" w:ascii="仿宋_GB2312" w:hAnsi="宋体" w:eastAsia="仿宋_GB2312"/>
          <w:sz w:val="32"/>
          <w:szCs w:val="32"/>
        </w:rPr>
        <w:t>生态护林员管护</w:t>
      </w:r>
      <w:r>
        <w:rPr>
          <w:rFonts w:ascii="仿宋_GB2312" w:hAnsi="宋体" w:eastAsia="仿宋_GB2312"/>
          <w:sz w:val="32"/>
          <w:szCs w:val="32"/>
        </w:rPr>
        <w:t>资金在使用和管理中，实际支出与规定的用途一致，资金收支平衡，资金使用都能做到公开、公平、程序到位，严格执行财务制度，无截留、挤占、挪用补偿基金等违规行为。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ascii="仿宋_GB2312" w:hAnsi="宋体" w:eastAsia="仿宋_GB2312"/>
          <w:sz w:val="32"/>
          <w:szCs w:val="32"/>
        </w:rPr>
      </w:pPr>
      <w:r>
        <w:rPr>
          <w:rFonts w:ascii="仿宋_GB2312" w:hAnsi="宋体" w:eastAsia="仿宋_GB2312"/>
          <w:sz w:val="32"/>
          <w:szCs w:val="32"/>
        </w:rPr>
        <w:t>生态护林员还是存在履职尽责不到位的情况，如发生林政案件不报告或不及时报告，造成了较大的森林资源损失；生态护林员队伍工作素质普遍偏低。</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加强对生态护林员的培训，提高业务素质。</w:t>
      </w:r>
    </w:p>
    <w:p>
      <w:pPr>
        <w:spacing w:line="600" w:lineRule="exact"/>
        <w:jc w:val="both"/>
        <w:rPr>
          <w:rFonts w:ascii="方正小标宋简体" w:hAnsi="宋体" w:eastAsia="方正小标宋简体"/>
          <w:color w:val="000000"/>
          <w:kern w:val="0"/>
          <w:sz w:val="44"/>
          <w:szCs w:val="44"/>
        </w:rPr>
      </w:pPr>
    </w:p>
    <w:p>
      <w:pPr>
        <w:spacing w:line="600" w:lineRule="exact"/>
        <w:rPr>
          <w:rFonts w:hint="eastAsia" w:ascii="方正小标宋简体" w:hAnsi="宋体" w:eastAsia="方正小标宋简体"/>
          <w:color w:val="000000"/>
          <w:kern w:val="0"/>
          <w:sz w:val="44"/>
          <w:szCs w:val="44"/>
        </w:rPr>
      </w:pPr>
      <w:r>
        <w:rPr>
          <w:rFonts w:hint="eastAsia" w:ascii="黑体" w:hAnsi="黑体" w:eastAsia="黑体" w:cs="黑体"/>
          <w:sz w:val="32"/>
          <w:szCs w:val="32"/>
        </w:rPr>
        <w:t>附件5</w:t>
      </w:r>
    </w:p>
    <w:p>
      <w:pPr>
        <w:spacing w:line="600" w:lineRule="exact"/>
        <w:jc w:val="center"/>
        <w:rPr>
          <w:rFonts w:hint="eastAsia" w:ascii="方正小标宋简体" w:hAnsi="宋体" w:eastAsia="方正小标宋简体"/>
          <w:color w:val="000000"/>
          <w:kern w:val="0"/>
          <w:sz w:val="44"/>
          <w:szCs w:val="44"/>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集体和个人所有国家</w:t>
      </w:r>
      <w:r>
        <w:rPr>
          <w:rFonts w:hint="eastAsia" w:ascii="方正小标宋简体" w:hAnsi="宋体" w:eastAsia="方正小标宋简体"/>
          <w:color w:val="000000"/>
          <w:kern w:val="0"/>
          <w:sz w:val="44"/>
          <w:szCs w:val="44"/>
          <w:lang w:eastAsia="zh-CN"/>
        </w:rPr>
        <w:t>级</w:t>
      </w:r>
      <w:r>
        <w:rPr>
          <w:rFonts w:hint="eastAsia" w:ascii="方正小标宋简体" w:hAnsi="宋体" w:eastAsia="方正小标宋简体"/>
          <w:color w:val="000000"/>
          <w:kern w:val="0"/>
          <w:sz w:val="44"/>
          <w:szCs w:val="44"/>
        </w:rPr>
        <w:t>公益林项目2019年</w:t>
      </w:r>
      <w:r>
        <w:rPr>
          <w:rFonts w:hint="eastAsia" w:ascii="方正小标宋简体" w:hAnsi="宋体" w:eastAsia="方正小标宋简体"/>
          <w:color w:val="000000"/>
          <w:kern w:val="0"/>
          <w:sz w:val="44"/>
          <w:szCs w:val="44"/>
          <w:lang w:val="zh-CN"/>
        </w:rPr>
        <w:t>绩效评价报告</w:t>
      </w:r>
    </w:p>
    <w:p>
      <w:pPr>
        <w:adjustRightInd w:val="0"/>
        <w:snapToGrid w:val="0"/>
        <w:spacing w:line="600" w:lineRule="exact"/>
        <w:ind w:firstLine="800" w:firstLineChars="250"/>
        <w:rPr>
          <w:rFonts w:hint="eastAsia" w:ascii="黑体" w:hAnsi="宋体" w:eastAsia="黑体"/>
          <w:sz w:val="32"/>
          <w:szCs w:val="32"/>
        </w:rPr>
      </w:pPr>
    </w:p>
    <w:p>
      <w:pPr>
        <w:adjustRightInd w:val="0"/>
        <w:snapToGrid w:val="0"/>
        <w:spacing w:line="600" w:lineRule="exact"/>
        <w:ind w:firstLine="800" w:firstLineChars="25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560" w:lineRule="exact"/>
        <w:ind w:firstLine="640" w:firstLineChars="200"/>
        <w:rPr>
          <w:rFonts w:ascii="楷体_GB2312" w:hAnsi="宋体" w:eastAsia="楷体_GB2312"/>
          <w:b/>
          <w:sz w:val="32"/>
          <w:szCs w:val="32"/>
          <w:lang w:val="zh-CN"/>
        </w:rPr>
      </w:pPr>
      <w:r>
        <w:rPr>
          <w:rFonts w:hint="eastAsia" w:ascii="仿宋_GB2312" w:hAnsi="宋体" w:eastAsia="仿宋_GB2312"/>
          <w:sz w:val="32"/>
          <w:szCs w:val="32"/>
          <w:lang w:val="zh-CN"/>
        </w:rPr>
        <w:t>1.项目主管单位在该项目管理中的职能。</w:t>
      </w:r>
    </w:p>
    <w:p>
      <w:pPr>
        <w:pStyle w:val="23"/>
        <w:tabs>
          <w:tab w:val="left" w:pos="1380"/>
        </w:tabs>
        <w:spacing w:line="560" w:lineRule="exact"/>
        <w:ind w:firstLine="800" w:firstLineChars="25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林业和草原局对项目建设工作负总责，各级各部门要按照县林业局的统一安排各负其责、相互协调。各级各部门要高度重视，认真谋划，从组织上保障项目建设工作的顺利开展；成立项目建设领导小组，下设生态修复保护股，生态修复保护股保证上传下达，定期向领导小组汇报工程进度、质量，及时报告实施中遇到的新情况新问题，负责办公室的日常事务工作。加强与当地乡镇和相关部门的沟通协调，及时抽调精干力量搭建工作班子，具体负责制定工作计划、协调落实用地，将任务、质量、进度落实到人，切实做到领导到位、措施到位、责任到位。</w:t>
      </w:r>
    </w:p>
    <w:p>
      <w:pPr>
        <w:tabs>
          <w:tab w:val="left" w:pos="1380"/>
        </w:tabs>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宋体" w:eastAsia="仿宋_GB2312"/>
          <w:sz w:val="32"/>
          <w:szCs w:val="32"/>
          <w:lang w:val="zh-CN"/>
        </w:rPr>
        <w:t>2.项目立项、资金申报的依据。</w:t>
      </w:r>
    </w:p>
    <w:p>
      <w:pPr>
        <w:tabs>
          <w:tab w:val="left" w:pos="1380"/>
        </w:tabs>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《阿坝州财政局阿坝州林业局关于下达2019年</w:t>
      </w:r>
      <w:r>
        <w:rPr>
          <w:rFonts w:hint="eastAsia" w:ascii="仿宋_GB2312" w:hAnsi="仿宋_GB2312" w:eastAsia="仿宋_GB2312" w:cs="仿宋_GB2312"/>
          <w:color w:val="000000"/>
          <w:sz w:val="32"/>
          <w:szCs w:val="32"/>
        </w:rPr>
        <w:t>森林生态效益补偿</w:t>
      </w:r>
      <w:r>
        <w:rPr>
          <w:rFonts w:ascii="仿宋_GB2312" w:hAnsi="仿宋_GB2312" w:eastAsia="仿宋_GB2312" w:cs="仿宋_GB2312"/>
          <w:color w:val="000000"/>
          <w:sz w:val="32"/>
          <w:szCs w:val="32"/>
        </w:rPr>
        <w:t>资金的通知》（阿州财农〔2019〕</w:t>
      </w:r>
      <w:r>
        <w:rPr>
          <w:rFonts w:hint="eastAsia" w:ascii="仿宋_GB2312" w:hAnsi="仿宋_GB2312" w:eastAsia="仿宋_GB2312" w:cs="仿宋_GB2312"/>
          <w:color w:val="000000"/>
          <w:sz w:val="32"/>
          <w:szCs w:val="32"/>
        </w:rPr>
        <w:t>146</w:t>
      </w:r>
      <w:r>
        <w:rPr>
          <w:rFonts w:ascii="仿宋_GB2312" w:hAnsi="仿宋_GB2312" w:eastAsia="仿宋_GB2312" w:cs="仿宋_GB2312"/>
          <w:color w:val="000000"/>
          <w:sz w:val="32"/>
          <w:szCs w:val="32"/>
        </w:rPr>
        <w:t>号）安排、分解下达预算我县</w:t>
      </w:r>
      <w:r>
        <w:rPr>
          <w:rFonts w:hint="eastAsia" w:ascii="仿宋_GB2312" w:hAnsi="仿宋_GB2312" w:eastAsia="仿宋_GB2312" w:cs="仿宋_GB2312"/>
          <w:color w:val="000000"/>
          <w:sz w:val="32"/>
          <w:szCs w:val="32"/>
        </w:rPr>
        <w:t>集体和个人所有国家级公益林</w:t>
      </w:r>
      <w:r>
        <w:rPr>
          <w:rFonts w:ascii="仿宋_GB2312" w:hAnsi="仿宋_GB2312" w:eastAsia="仿宋_GB2312" w:cs="仿宋_GB2312"/>
          <w:color w:val="000000"/>
          <w:sz w:val="32"/>
          <w:szCs w:val="32"/>
        </w:rPr>
        <w:t>资金</w:t>
      </w:r>
      <w:r>
        <w:rPr>
          <w:rFonts w:hint="eastAsia" w:ascii="仿宋_GB2312" w:hAnsi="仿宋_GB2312" w:eastAsia="仿宋_GB2312" w:cs="仿宋_GB2312"/>
          <w:color w:val="000000"/>
          <w:sz w:val="32"/>
          <w:szCs w:val="32"/>
        </w:rPr>
        <w:t>3160.37</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3．资金管理办法制定情况，资金支持具体项目的条件、范围与支持方式概况。</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建设资金实行集中统一管理，专款专用、单独建帐、单独核算，在资金使用中严格执行国家财务管理制度，编制专项报表，严格资金的审批和使用制度，随时接受上级财政、审计部门的检查、监督，发现问题必须及时纠正。</w:t>
      </w:r>
    </w:p>
    <w:p>
      <w:pPr>
        <w:adjustRightInd w:val="0"/>
        <w:snapToGrid w:val="0"/>
        <w:spacing w:line="560" w:lineRule="exact"/>
        <w:ind w:firstLine="800" w:firstLineChars="250"/>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adjustRightInd w:val="0"/>
        <w:snapToGrid w:val="0"/>
        <w:spacing w:line="560" w:lineRule="exact"/>
        <w:ind w:firstLine="720"/>
        <w:rPr>
          <w:rFonts w:ascii="仿宋_GB2312" w:hAnsi="宋体" w:eastAsia="仿宋_GB2312"/>
          <w:sz w:val="32"/>
          <w:szCs w:val="32"/>
        </w:rPr>
      </w:pPr>
      <w:r>
        <w:rPr>
          <w:rFonts w:ascii="仿宋_GB2312" w:hAnsi="宋体" w:eastAsia="仿宋_GB2312"/>
          <w:sz w:val="32"/>
          <w:szCs w:val="32"/>
        </w:rPr>
        <w:t>用于集体和个人所有国家级公益林生态效益补偿。</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p>
    <w:p>
      <w:pPr>
        <w:adjustRightInd w:val="0"/>
        <w:snapToGrid w:val="0"/>
        <w:spacing w:line="560" w:lineRule="exact"/>
        <w:ind w:firstLine="720"/>
        <w:rPr>
          <w:rFonts w:ascii="仿宋_GB2312" w:hAnsi="宋体" w:eastAsia="仿宋_GB2312"/>
          <w:sz w:val="32"/>
          <w:szCs w:val="32"/>
        </w:rPr>
      </w:pPr>
      <w:r>
        <w:rPr>
          <w:rFonts w:ascii="仿宋_GB2312" w:hAnsi="宋体" w:eastAsia="仿宋_GB2312"/>
          <w:sz w:val="32"/>
          <w:szCs w:val="32"/>
        </w:rPr>
        <w:t>用于集体和个人所有国家级公益林生态效益补偿</w:t>
      </w:r>
      <w:r>
        <w:rPr>
          <w:rFonts w:hint="eastAsia" w:ascii="仿宋_GB2312" w:hAnsi="宋体" w:eastAsia="仿宋_GB2312"/>
          <w:sz w:val="32"/>
          <w:szCs w:val="32"/>
        </w:rPr>
        <w:t>，</w:t>
      </w:r>
      <w:r>
        <w:rPr>
          <w:rFonts w:ascii="仿宋_GB2312" w:hAnsi="宋体" w:eastAsia="仿宋_GB2312"/>
          <w:sz w:val="32"/>
          <w:szCs w:val="32"/>
        </w:rPr>
        <w:t>2019年集体公益林管护补助标准调整为15.75元/亩，全县集体公益林总面积为214.26万亩，补助资金</w:t>
      </w:r>
      <w:r>
        <w:rPr>
          <w:rFonts w:hint="eastAsia" w:ascii="仿宋_GB2312" w:hAnsi="宋体" w:eastAsia="仿宋_GB2312"/>
          <w:sz w:val="32"/>
          <w:szCs w:val="32"/>
        </w:rPr>
        <w:t>3160.37</w:t>
      </w:r>
      <w:r>
        <w:rPr>
          <w:rFonts w:ascii="仿宋_GB2312" w:hAnsi="宋体" w:eastAsia="仿宋_GB2312"/>
          <w:sz w:val="32"/>
          <w:szCs w:val="32"/>
        </w:rPr>
        <w:t>万元，涉及21个乡镇，145个村，农户2万余户，受益人口8万余人</w:t>
      </w:r>
      <w:r>
        <w:rPr>
          <w:rFonts w:hint="eastAsia" w:ascii="仿宋_GB2312" w:hAnsi="宋体" w:eastAsia="仿宋_GB2312"/>
          <w:sz w:val="32"/>
          <w:szCs w:val="32"/>
        </w:rPr>
        <w:t>。</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项目资金执行情况：已使用资金</w:t>
      </w:r>
      <w:r>
        <w:rPr>
          <w:rFonts w:hint="eastAsia" w:ascii="仿宋_GB2312" w:hAnsi="仿宋_GB2312" w:eastAsia="仿宋_GB2312" w:cs="仿宋_GB2312"/>
          <w:color w:val="000000"/>
          <w:sz w:val="32"/>
          <w:szCs w:val="32"/>
        </w:rPr>
        <w:t>3160.37</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万元，执行率</w:t>
      </w:r>
      <w:r>
        <w:rPr>
          <w:rFonts w:hint="eastAsia" w:ascii="仿宋_GB2312" w:hAnsi="仿宋_GB2312" w:eastAsia="仿宋_GB2312" w:cs="仿宋_GB2312"/>
          <w:color w:val="000000"/>
          <w:sz w:val="32"/>
          <w:szCs w:val="32"/>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adjustRightInd w:val="0"/>
        <w:snapToGrid w:val="0"/>
        <w:spacing w:line="56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申报内容与实际相符，申报目标合理可行。</w:t>
      </w:r>
    </w:p>
    <w:p>
      <w:pPr>
        <w:adjustRightInd w:val="0"/>
        <w:snapToGrid w:val="0"/>
        <w:spacing w:line="56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56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560" w:lineRule="exact"/>
        <w:ind w:firstLine="72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项目资金到位情况：到位资金</w:t>
      </w:r>
      <w:r>
        <w:rPr>
          <w:rFonts w:hint="eastAsia" w:ascii="仿宋_GB2312" w:hAnsi="仿宋_GB2312" w:eastAsia="仿宋_GB2312" w:cs="仿宋_GB2312"/>
          <w:color w:val="000000"/>
          <w:sz w:val="32"/>
          <w:szCs w:val="32"/>
        </w:rPr>
        <w:t>3160.37</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已使用资金</w:t>
      </w:r>
      <w:r>
        <w:rPr>
          <w:rFonts w:hint="eastAsia" w:ascii="仿宋_GB2312" w:hAnsi="仿宋_GB2312" w:eastAsia="仿宋_GB2312" w:cs="仿宋_GB2312"/>
          <w:color w:val="000000"/>
          <w:sz w:val="32"/>
          <w:szCs w:val="32"/>
        </w:rPr>
        <w:t>3160.37</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元，执行率</w:t>
      </w:r>
      <w:r>
        <w:rPr>
          <w:rFonts w:hint="eastAsia" w:ascii="仿宋_GB2312" w:hAnsi="仿宋_GB2312" w:eastAsia="仿宋_GB2312" w:cs="仿宋_GB2312"/>
          <w:color w:val="000000"/>
          <w:sz w:val="32"/>
          <w:szCs w:val="32"/>
        </w:rPr>
        <w:t>100</w:t>
      </w:r>
      <w:r>
        <w:rPr>
          <w:rFonts w:ascii="仿宋_GB2312" w:hAnsi="仿宋_GB2312" w:eastAsia="仿宋_GB2312" w:cs="仿宋_GB2312"/>
          <w:color w:val="000000"/>
          <w:sz w:val="32"/>
          <w:szCs w:val="32"/>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1.资金计划。</w:t>
      </w:r>
    </w:p>
    <w:p>
      <w:pPr>
        <w:adjustRightInd w:val="0"/>
        <w:snapToGrid w:val="0"/>
        <w:spacing w:line="600" w:lineRule="exact"/>
        <w:ind w:firstLine="720"/>
        <w:rPr>
          <w:rFonts w:ascii="楷体_GB2312" w:hAnsi="宋体" w:eastAsia="楷体_GB2312"/>
          <w:sz w:val="32"/>
          <w:szCs w:val="32"/>
          <w:lang w:val="zh-CN"/>
        </w:rPr>
      </w:pPr>
      <w:r>
        <w:rPr>
          <w:rFonts w:ascii="仿宋_GB2312" w:hAnsi="仿宋_GB2312" w:eastAsia="仿宋_GB2312" w:cs="仿宋_GB2312"/>
          <w:color w:val="000000"/>
          <w:sz w:val="32"/>
          <w:szCs w:val="32"/>
        </w:rPr>
        <w:t>《阿坝州财政局阿坝州林业局关于下达2019年</w:t>
      </w:r>
      <w:r>
        <w:rPr>
          <w:rFonts w:hint="eastAsia" w:ascii="仿宋_GB2312" w:hAnsi="仿宋_GB2312" w:eastAsia="仿宋_GB2312" w:cs="仿宋_GB2312"/>
          <w:color w:val="000000"/>
          <w:sz w:val="32"/>
          <w:szCs w:val="32"/>
        </w:rPr>
        <w:t>森林生态效益补偿</w:t>
      </w:r>
      <w:r>
        <w:rPr>
          <w:rFonts w:ascii="仿宋_GB2312" w:hAnsi="仿宋_GB2312" w:eastAsia="仿宋_GB2312" w:cs="仿宋_GB2312"/>
          <w:color w:val="000000"/>
          <w:sz w:val="32"/>
          <w:szCs w:val="32"/>
        </w:rPr>
        <w:t>资金的通知》（阿州财农〔2019〕</w:t>
      </w:r>
      <w:r>
        <w:rPr>
          <w:rFonts w:hint="eastAsia" w:ascii="仿宋_GB2312" w:hAnsi="仿宋_GB2312" w:eastAsia="仿宋_GB2312" w:cs="仿宋_GB2312"/>
          <w:color w:val="000000"/>
          <w:sz w:val="32"/>
          <w:szCs w:val="32"/>
        </w:rPr>
        <w:t>146</w:t>
      </w:r>
      <w:r>
        <w:rPr>
          <w:rFonts w:ascii="仿宋_GB2312" w:hAnsi="仿宋_GB2312" w:eastAsia="仿宋_GB2312" w:cs="仿宋_GB2312"/>
          <w:color w:val="000000"/>
          <w:sz w:val="32"/>
          <w:szCs w:val="32"/>
        </w:rPr>
        <w:t>号）安排、分解下达预算我县</w:t>
      </w:r>
      <w:r>
        <w:rPr>
          <w:rFonts w:hint="eastAsia" w:ascii="仿宋_GB2312" w:hAnsi="仿宋_GB2312" w:eastAsia="仿宋_GB2312" w:cs="仿宋_GB2312"/>
          <w:color w:val="000000"/>
          <w:sz w:val="32"/>
          <w:szCs w:val="32"/>
        </w:rPr>
        <w:t>集体和个人所有国家级公益林</w:t>
      </w:r>
      <w:r>
        <w:rPr>
          <w:rFonts w:ascii="仿宋_GB2312" w:hAnsi="仿宋_GB2312" w:eastAsia="仿宋_GB2312" w:cs="仿宋_GB2312"/>
          <w:color w:val="000000"/>
          <w:sz w:val="32"/>
          <w:szCs w:val="32"/>
        </w:rPr>
        <w:t>项目资金</w:t>
      </w:r>
      <w:r>
        <w:rPr>
          <w:rFonts w:hint="eastAsia" w:ascii="仿宋_GB2312" w:hAnsi="仿宋_GB2312" w:eastAsia="仿宋_GB2312" w:cs="仿宋_GB2312"/>
          <w:color w:val="000000"/>
          <w:sz w:val="32"/>
          <w:szCs w:val="32"/>
        </w:rPr>
        <w:t>3160.37</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2.资金到位。</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计划投资额3160.37万元，财政批复投资额3160.37万元，实际到位资金3160.37万元，资金到位及时。</w:t>
      </w:r>
    </w:p>
    <w:p>
      <w:p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3.资金使用。</w:t>
      </w:r>
    </w:p>
    <w:p>
      <w:pPr>
        <w:adjustRightInd w:val="0"/>
        <w:snapToGrid w:val="0"/>
        <w:spacing w:line="600" w:lineRule="exact"/>
        <w:ind w:firstLine="720"/>
        <w:rPr>
          <w:rFonts w:ascii="楷体_GB2312" w:hAnsi="宋体" w:eastAsia="楷体_GB2312"/>
          <w:sz w:val="32"/>
          <w:szCs w:val="32"/>
          <w:lang w:val="zh-CN"/>
        </w:rPr>
      </w:pPr>
      <w:r>
        <w:rPr>
          <w:rFonts w:ascii="仿宋_GB2312" w:hAnsi="仿宋_GB2312" w:eastAsia="仿宋_GB2312" w:cs="仿宋_GB2312"/>
          <w:color w:val="000000"/>
          <w:sz w:val="32"/>
          <w:szCs w:val="32"/>
        </w:rPr>
        <w:t>已使用资金</w:t>
      </w:r>
      <w:r>
        <w:rPr>
          <w:rFonts w:hint="eastAsia" w:ascii="仿宋_GB2312" w:hAnsi="仿宋_GB2312" w:eastAsia="仿宋_GB2312" w:cs="仿宋_GB2312"/>
          <w:color w:val="000000"/>
          <w:sz w:val="32"/>
          <w:szCs w:val="32"/>
        </w:rPr>
        <w:t>3160.37</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0</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p>
    <w:p>
      <w:pPr>
        <w:adjustRightInd w:val="0"/>
        <w:snapToGrid w:val="0"/>
        <w:spacing w:line="600" w:lineRule="exact"/>
        <w:rPr>
          <w:rFonts w:ascii="仿宋_GB2312" w:hAnsi="宋体" w:eastAsia="仿宋_GB2312"/>
          <w:sz w:val="32"/>
          <w:szCs w:val="32"/>
          <w:lang w:val="zh-CN"/>
        </w:rPr>
      </w:pPr>
      <w:r>
        <w:rPr>
          <w:rFonts w:hint="eastAsia" w:ascii="仿宋_GB2312" w:hAnsi="宋体" w:eastAsia="仿宋_GB2312"/>
          <w:sz w:val="32"/>
          <w:szCs w:val="32"/>
          <w:lang w:val="zh-CN"/>
        </w:rPr>
        <w:t>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单位财务管理制度健全，严格执行财务管理制度，账务处理及时，会计核算规等。</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rPr>
      </w:pPr>
      <w:r>
        <w:rPr>
          <w:rFonts w:ascii="仿宋_GB2312" w:hAnsi="宋体" w:eastAsia="仿宋_GB2312"/>
          <w:sz w:val="32"/>
          <w:szCs w:val="32"/>
        </w:rPr>
        <w:t>林业和草原局财务部门做好报账资料的审核工作，接受监察审计等部门对资金管理使用情况的监督检查，杜绝不合理的开支，做到专款专用，保证经费的使用效益。</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ascii="仿宋_GB2312" w:hAnsi="宋体" w:eastAsia="仿宋_GB2312"/>
          <w:sz w:val="32"/>
          <w:szCs w:val="32"/>
        </w:rPr>
      </w:pPr>
      <w:r>
        <w:rPr>
          <w:rFonts w:hint="eastAsia" w:ascii="仿宋_GB2312" w:hAnsi="宋体" w:eastAsia="仿宋_GB2312"/>
          <w:sz w:val="32"/>
          <w:szCs w:val="32"/>
        </w:rPr>
        <w:t>1.</w:t>
      </w:r>
      <w:r>
        <w:rPr>
          <w:rFonts w:ascii="仿宋_GB2312" w:hAnsi="宋体" w:eastAsia="仿宋_GB2312"/>
          <w:sz w:val="32"/>
          <w:szCs w:val="32"/>
        </w:rPr>
        <w:t>数量指标。共计资金</w:t>
      </w:r>
      <w:r>
        <w:rPr>
          <w:rFonts w:hint="eastAsia" w:ascii="仿宋_GB2312" w:hAnsi="宋体" w:eastAsia="仿宋_GB2312"/>
          <w:sz w:val="32"/>
          <w:szCs w:val="32"/>
        </w:rPr>
        <w:t>3160.37</w:t>
      </w:r>
      <w:r>
        <w:rPr>
          <w:rFonts w:ascii="仿宋_GB2312" w:hAnsi="宋体" w:eastAsia="仿宋_GB2312"/>
          <w:sz w:val="32"/>
          <w:szCs w:val="32"/>
        </w:rPr>
        <w:t>万元用于用于集体和个人所有国家级公益林生态效益补偿。</w:t>
      </w:r>
    </w:p>
    <w:p>
      <w:pPr>
        <w:adjustRightInd w:val="0"/>
        <w:snapToGrid w:val="0"/>
        <w:spacing w:line="600" w:lineRule="exact"/>
        <w:ind w:firstLine="720"/>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时效指标。截止2019年12月31日，该年度集体</w:t>
      </w:r>
      <w:r>
        <w:rPr>
          <w:rFonts w:hint="eastAsia" w:ascii="仿宋_GB2312" w:hAnsi="宋体" w:eastAsia="仿宋_GB2312"/>
          <w:sz w:val="32"/>
          <w:szCs w:val="32"/>
        </w:rPr>
        <w:t>和个人所有国家级公益林</w:t>
      </w:r>
      <w:r>
        <w:rPr>
          <w:rFonts w:ascii="仿宋_GB2312" w:hAnsi="宋体" w:eastAsia="仿宋_GB2312"/>
          <w:sz w:val="32"/>
          <w:szCs w:val="32"/>
        </w:rPr>
        <w:t>项目已按照相关要求全面完成，并通过了县级林业主管部门验收合格</w:t>
      </w:r>
      <w:r>
        <w:rPr>
          <w:rFonts w:hint="eastAsia" w:ascii="仿宋_GB2312" w:hAnsi="宋体" w:eastAsia="仿宋_GB2312"/>
          <w:sz w:val="32"/>
          <w:szCs w:val="32"/>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w:t>
      </w:r>
      <w:r>
        <w:rPr>
          <w:rFonts w:ascii="仿宋_GB2312" w:hAnsi="宋体" w:eastAsia="仿宋_GB2312"/>
          <w:sz w:val="32"/>
          <w:szCs w:val="32"/>
        </w:rPr>
        <w:t>经济效益。通过实施天保工程二期集体公益林生态效益补偿，使全县21个乡镇144个村。2.2万户，8.9万人受益。平均人均增收月379元，增加了群众收入，提高当地群众生活生产水平和改善了生活生产条件。为茂县精准扶贫、精准脱贫打下了坚实的基础，有效地改善民生，有力地促进林区社会的和谐稳定。</w:t>
      </w:r>
    </w:p>
    <w:p>
      <w:pPr>
        <w:adjustRightInd w:val="0"/>
        <w:snapToGrid w:val="0"/>
        <w:spacing w:line="560" w:lineRule="exact"/>
        <w:ind w:firstLine="645"/>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受益群众满意度。通过实施天保工程二期公益林生态效益补偿，改善了当地农牧业的生产条件，为增产增收提供了一定的条件，创造了一些就业机会，对维护社会稳定和提高人民生活水平起到了良好的促进作用，因此深受广大受益群众的好评。森林生态效益补偿政策的实施，搭建起比较完备的森林生态体系结构，为促进我县生态建设起到极为重要的作用。</w:t>
      </w:r>
    </w:p>
    <w:p>
      <w:pPr>
        <w:adjustRightInd w:val="0"/>
        <w:snapToGrid w:val="0"/>
        <w:spacing w:line="560" w:lineRule="exact"/>
        <w:ind w:firstLine="645"/>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ascii="仿宋_GB2312" w:hAnsi="宋体" w:eastAsia="仿宋_GB2312"/>
          <w:sz w:val="32"/>
          <w:szCs w:val="32"/>
        </w:rPr>
        <w:t>综合评价良好，我县</w:t>
      </w:r>
      <w:r>
        <w:rPr>
          <w:rFonts w:hint="eastAsia" w:ascii="仿宋_GB2312" w:hAnsi="宋体" w:eastAsia="仿宋_GB2312"/>
          <w:sz w:val="32"/>
          <w:szCs w:val="32"/>
        </w:rPr>
        <w:t>集体和个人国家级公益林</w:t>
      </w:r>
      <w:r>
        <w:rPr>
          <w:rFonts w:ascii="仿宋_GB2312" w:hAnsi="宋体" w:eastAsia="仿宋_GB2312"/>
          <w:sz w:val="32"/>
          <w:szCs w:val="32"/>
        </w:rPr>
        <w:t>资金在使用和管理中，实际支出与规定的用途一致，资金收支平衡，资金使用都能做到公开、公平、程序到位，严格执行财务制度，无截留、挤占、挪用补偿基金等违规行为。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楷体_GB2312" w:hAnsi="宋体" w:eastAsia="楷体_GB2312"/>
          <w:b/>
          <w:sz w:val="32"/>
          <w:szCs w:val="32"/>
          <w:lang w:val="zh-CN"/>
        </w:rPr>
      </w:pPr>
      <w:r>
        <w:rPr>
          <w:rFonts w:ascii="仿宋_GB2312" w:hAnsi="宋体" w:eastAsia="仿宋_GB2312"/>
          <w:sz w:val="32"/>
          <w:szCs w:val="32"/>
        </w:rPr>
        <w:t>补偿标准较低，补偿所获得的收入远远低于林农发展经济林果的收入，会诱发林农铤而走险开林种植经济林木或作物。因此为切实保障提升生态功能，保障提高林农收益，国家还应加大对集体公益林建设投入，提高生态效益补偿标准。</w:t>
      </w:r>
      <w:r>
        <w:rPr>
          <w:rFonts w:hint="eastAsia" w:ascii="仿宋_GB2312" w:hAnsi="宋体" w:eastAsia="仿宋_GB2312"/>
          <w:sz w:val="32"/>
          <w:szCs w:val="32"/>
        </w:rPr>
        <w:t xml:space="preserve">                </w:t>
      </w:r>
      <w:r>
        <w:rPr>
          <w:rFonts w:hint="eastAsia" w:ascii="楷体_GB2312" w:hAnsi="宋体" w:eastAsia="楷体_GB2312"/>
          <w:b/>
          <w:sz w:val="32"/>
          <w:szCs w:val="32"/>
          <w:lang w:val="zh-CN"/>
        </w:rPr>
        <w:t xml:space="preserve">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生态公益林建设与管理具有是社会性、长期性、艰巨性的工作，为进一步做好生态公益林保护与利用工作，建议上级必须硬性规定县级林业主管部门设置专门的机构和增配专职人员。</w:t>
      </w:r>
      <w:bookmarkStart w:id="59" w:name="_Toc15396618"/>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rPr>
          <w:rFonts w:ascii="方正小标宋简体" w:hAnsi="宋体" w:eastAsia="方正小标宋简体"/>
          <w:color w:val="000000"/>
          <w:kern w:val="0"/>
          <w:sz w:val="44"/>
          <w:szCs w:val="44"/>
        </w:rPr>
      </w:pPr>
      <w:r>
        <w:rPr>
          <w:rFonts w:hint="eastAsia" w:ascii="黑体" w:hAnsi="黑体" w:eastAsia="黑体" w:cs="黑体"/>
          <w:sz w:val="32"/>
          <w:szCs w:val="32"/>
        </w:rPr>
        <w:t>附件6</w:t>
      </w:r>
    </w:p>
    <w:p>
      <w:pPr>
        <w:spacing w:line="600" w:lineRule="exact"/>
        <w:jc w:val="center"/>
        <w:rPr>
          <w:rFonts w:ascii="方正小标宋简体" w:hAnsi="宋体" w:eastAsia="方正小标宋简体"/>
          <w:color w:val="000000"/>
          <w:kern w:val="0"/>
          <w:sz w:val="44"/>
          <w:szCs w:val="44"/>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天保工程区管护补助项目2019年</w:t>
      </w:r>
      <w:r>
        <w:rPr>
          <w:rFonts w:hint="eastAsia" w:ascii="方正小标宋简体" w:hAnsi="宋体" w:eastAsia="方正小标宋简体"/>
          <w:color w:val="000000"/>
          <w:kern w:val="0"/>
          <w:sz w:val="44"/>
          <w:szCs w:val="44"/>
          <w:lang w:val="zh-CN"/>
        </w:rPr>
        <w:t>绩效评价报告</w:t>
      </w:r>
    </w:p>
    <w:p>
      <w:pPr>
        <w:adjustRightInd w:val="0"/>
        <w:snapToGrid w:val="0"/>
        <w:spacing w:line="600" w:lineRule="exact"/>
        <w:ind w:firstLine="800" w:firstLineChars="250"/>
        <w:rPr>
          <w:rFonts w:hint="eastAsia" w:ascii="黑体" w:hAnsi="宋体" w:eastAsia="黑体"/>
          <w:sz w:val="32"/>
          <w:szCs w:val="32"/>
        </w:rPr>
      </w:pPr>
    </w:p>
    <w:p>
      <w:pPr>
        <w:adjustRightInd w:val="0"/>
        <w:snapToGrid w:val="0"/>
        <w:spacing w:line="600" w:lineRule="exact"/>
        <w:ind w:firstLine="800" w:firstLineChars="25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1.项目主管单位在该项目管理中的职能。</w:t>
      </w:r>
    </w:p>
    <w:p>
      <w:pPr>
        <w:pStyle w:val="23"/>
        <w:tabs>
          <w:tab w:val="left" w:pos="1380"/>
        </w:tabs>
        <w:spacing w:line="560" w:lineRule="exact"/>
        <w:ind w:firstLine="800" w:firstLineChars="2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林业和草原局对项目建设工作负总责，各级各部门要按照县林业局的统一安排各负其责、相互协调。各级各部门要高度重视，认真谋划，从组织上保障项目建设工作的顺利开展；成立项目建设领导小组，下设生态修复保护股，生态修复保护股保证上传下达，定期向领导小组汇报工程进度、质量，及时报告实施中遇到的新情况新问题，负责办公室的日常事务工作。加强与当地乡镇和相关部门的沟通协调，及时抽调精干力量搭建工作班子，具体负责制定工作计划、协调落实用地，将任务、质量、进度落实到人，切实做到领导到位、措施到位、责任到位。</w:t>
      </w:r>
    </w:p>
    <w:p>
      <w:pPr>
        <w:adjustRightInd w:val="0"/>
        <w:snapToGrid w:val="0"/>
        <w:spacing w:line="600" w:lineRule="exact"/>
        <w:ind w:firstLine="480" w:firstLineChars="15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项目立项、资金申报的依据。</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阿坝州财政局</w:t>
      </w:r>
      <w:r>
        <w:rPr>
          <w:rFonts w:hint="eastAsia" w:ascii="宋体" w:hAnsi="宋体" w:cs="宋体"/>
          <w:color w:val="000000"/>
          <w:sz w:val="32"/>
          <w:szCs w:val="32"/>
        </w:rPr>
        <w:t> </w:t>
      </w:r>
      <w:r>
        <w:rPr>
          <w:rFonts w:ascii="仿宋_GB2312" w:hAnsi="仿宋_GB2312" w:eastAsia="仿宋_GB2312" w:cs="仿宋_GB2312"/>
          <w:color w:val="000000"/>
          <w:sz w:val="32"/>
          <w:szCs w:val="32"/>
        </w:rPr>
        <w:t>阿坝州</w:t>
      </w:r>
      <w:r>
        <w:rPr>
          <w:rFonts w:hint="eastAsia" w:ascii="仿宋_GB2312" w:hAnsi="仿宋_GB2312" w:eastAsia="仿宋_GB2312" w:cs="仿宋_GB2312"/>
          <w:color w:val="000000"/>
          <w:sz w:val="32"/>
          <w:szCs w:val="32"/>
        </w:rPr>
        <w:t>环境保护</w:t>
      </w:r>
      <w:r>
        <w:rPr>
          <w:rFonts w:ascii="仿宋_GB2312" w:hAnsi="仿宋_GB2312" w:eastAsia="仿宋_GB2312" w:cs="仿宋_GB2312"/>
          <w:color w:val="000000"/>
          <w:sz w:val="32"/>
          <w:szCs w:val="32"/>
        </w:rPr>
        <w:t>和草原局关于</w:t>
      </w:r>
      <w:r>
        <w:rPr>
          <w:rFonts w:hint="eastAsia" w:ascii="仿宋_GB2312" w:hAnsi="仿宋_GB2312" w:eastAsia="仿宋_GB2312" w:cs="仿宋_GB2312"/>
          <w:color w:val="000000"/>
          <w:sz w:val="32"/>
          <w:szCs w:val="32"/>
        </w:rPr>
        <w:t>提前</w:t>
      </w:r>
      <w:r>
        <w:rPr>
          <w:rFonts w:ascii="仿宋_GB2312" w:hAnsi="仿宋_GB2312" w:eastAsia="仿宋_GB2312" w:cs="仿宋_GB2312"/>
          <w:color w:val="000000"/>
          <w:sz w:val="32"/>
          <w:szCs w:val="32"/>
        </w:rPr>
        <w:t>下达2019年中央财政林业</w:t>
      </w:r>
      <w:r>
        <w:rPr>
          <w:rFonts w:hint="eastAsia" w:ascii="仿宋_GB2312" w:hAnsi="仿宋_GB2312" w:eastAsia="仿宋_GB2312" w:cs="仿宋_GB2312"/>
          <w:color w:val="000000"/>
          <w:sz w:val="32"/>
          <w:szCs w:val="32"/>
        </w:rPr>
        <w:t>改革发展资金的通知</w:t>
      </w:r>
      <w:r>
        <w:rPr>
          <w:rFonts w:ascii="仿宋_GB2312" w:hAnsi="仿宋_GB2312" w:eastAsia="仿宋_GB2312" w:cs="仿宋_GB2312"/>
          <w:color w:val="000000"/>
          <w:sz w:val="32"/>
          <w:szCs w:val="32"/>
        </w:rPr>
        <w:t>》（阿州财农〔201</w:t>
      </w:r>
      <w:r>
        <w:rPr>
          <w:rFonts w:hint="eastAsia" w:ascii="仿宋_GB2312" w:hAnsi="仿宋_GB2312" w:eastAsia="仿宋_GB2312" w:cs="仿宋_GB2312"/>
          <w:color w:val="000000"/>
          <w:sz w:val="32"/>
          <w:szCs w:val="32"/>
        </w:rPr>
        <w:t>8</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151</w:t>
      </w:r>
      <w:r>
        <w:rPr>
          <w:rFonts w:ascii="仿宋_GB2312" w:hAnsi="仿宋_GB2312" w:eastAsia="仿宋_GB2312" w:cs="仿宋_GB2312"/>
          <w:color w:val="000000"/>
          <w:sz w:val="32"/>
          <w:szCs w:val="32"/>
        </w:rPr>
        <w:t>号）安排、分解下达预算我县</w:t>
      </w:r>
      <w:r>
        <w:rPr>
          <w:rFonts w:hint="eastAsia" w:ascii="仿宋_GB2312" w:hAnsi="仿宋_GB2312" w:eastAsia="仿宋_GB2312" w:cs="仿宋_GB2312"/>
          <w:color w:val="000000"/>
          <w:sz w:val="32"/>
          <w:szCs w:val="32"/>
        </w:rPr>
        <w:t>天保工程区管护补助</w:t>
      </w:r>
      <w:r>
        <w:rPr>
          <w:rFonts w:ascii="仿宋_GB2312" w:hAnsi="仿宋_GB2312" w:eastAsia="仿宋_GB2312" w:cs="仿宋_GB2312"/>
          <w:color w:val="000000"/>
          <w:sz w:val="32"/>
          <w:szCs w:val="32"/>
        </w:rPr>
        <w:t>资金</w:t>
      </w:r>
      <w:r>
        <w:rPr>
          <w:rFonts w:hint="eastAsia" w:ascii="仿宋_GB2312" w:hAnsi="仿宋_GB2312" w:eastAsia="仿宋_GB2312" w:cs="仿宋_GB2312"/>
          <w:color w:val="000000"/>
          <w:sz w:val="32"/>
          <w:szCs w:val="32"/>
        </w:rPr>
        <w:t>921.75</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资金管理办法制定情况，资金支持具体项目的条件、范围与支持方式概况。</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建设资金实行集中统一管理，专款专用、单独建帐、单独核算，在资金使用中严格执行国家财务管理制度，编制专项报表，严格资金的审批和使用制度，随时接受上级财政、审计部门的检查、监督，发现问题必须及时纠正。</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4</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资金分配的原则及考虑因素。</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用于支付天保职工工资和公务费,让天保管护人员更好地投入工作。</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lang w:val="en-US" w:eastAsia="zh-CN"/>
        </w:rPr>
        <w:t>.</w:t>
      </w:r>
      <w:r>
        <w:rPr>
          <w:rFonts w:hint="eastAsia" w:ascii="仿宋_GB2312" w:hAnsi="宋体" w:eastAsia="仿宋_GB2312"/>
          <w:sz w:val="32"/>
          <w:szCs w:val="32"/>
          <w:lang w:val="zh-CN"/>
        </w:rPr>
        <w:t>项目主要内容。</w:t>
      </w:r>
    </w:p>
    <w:p>
      <w:pPr>
        <w:adjustRightInd w:val="0"/>
        <w:snapToGrid w:val="0"/>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rPr>
        <w:t>用于</w:t>
      </w:r>
      <w:r>
        <w:rPr>
          <w:rFonts w:ascii="仿宋_GB2312" w:hAnsi="宋体" w:eastAsia="仿宋_GB2312"/>
          <w:sz w:val="32"/>
          <w:szCs w:val="32"/>
        </w:rPr>
        <w:t>天保工程区管护补助主要用于天保职工工资、住房公积金等支出。</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2.项目应实现的具体绩效目标，包括目标的量化、细化情况以及项目实施进度计划等。</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项目资金执行情况：已使用资金</w:t>
      </w:r>
      <w:r>
        <w:rPr>
          <w:rFonts w:hint="eastAsia" w:ascii="仿宋_GB2312" w:hAnsi="仿宋_GB2312" w:eastAsia="仿宋_GB2312" w:cs="仿宋_GB2312"/>
          <w:color w:val="000000"/>
          <w:sz w:val="32"/>
          <w:szCs w:val="32"/>
        </w:rPr>
        <w:t>880.576306</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41.173694</w:t>
      </w:r>
      <w:r>
        <w:rPr>
          <w:rFonts w:ascii="仿宋_GB2312" w:hAnsi="仿宋_GB2312" w:eastAsia="仿宋_GB2312" w:cs="仿宋_GB2312"/>
          <w:color w:val="000000"/>
          <w:sz w:val="32"/>
          <w:szCs w:val="32"/>
        </w:rPr>
        <w:t>万元，执行率</w:t>
      </w:r>
      <w:r>
        <w:rPr>
          <w:rFonts w:hint="eastAsia" w:ascii="仿宋_GB2312" w:hAnsi="仿宋_GB2312" w:eastAsia="仿宋_GB2312" w:cs="仿宋_GB2312"/>
          <w:color w:val="000000"/>
          <w:sz w:val="32"/>
          <w:szCs w:val="32"/>
        </w:rPr>
        <w:t>95.53</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申报内容与实际相符，申报目标合理可行。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项目资金到位情况：到位资金</w:t>
      </w:r>
      <w:r>
        <w:rPr>
          <w:rFonts w:hint="eastAsia" w:ascii="仿宋_GB2312" w:hAnsi="仿宋_GB2312" w:eastAsia="仿宋_GB2312" w:cs="仿宋_GB2312"/>
          <w:color w:val="000000"/>
          <w:sz w:val="32"/>
          <w:szCs w:val="32"/>
        </w:rPr>
        <w:t>921.75</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已使用资金</w:t>
      </w:r>
      <w:r>
        <w:rPr>
          <w:rFonts w:hint="eastAsia" w:ascii="仿宋_GB2312" w:hAnsi="仿宋_GB2312" w:eastAsia="仿宋_GB2312" w:cs="仿宋_GB2312"/>
          <w:color w:val="000000"/>
          <w:sz w:val="32"/>
          <w:szCs w:val="32"/>
        </w:rPr>
        <w:t>880.576306</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41.173694</w:t>
      </w:r>
      <w:r>
        <w:rPr>
          <w:rFonts w:ascii="仿宋_GB2312" w:hAnsi="仿宋_GB2312" w:eastAsia="仿宋_GB2312" w:cs="仿宋_GB2312"/>
          <w:color w:val="000000"/>
          <w:sz w:val="32"/>
          <w:szCs w:val="32"/>
        </w:rPr>
        <w:t>万元，执行率</w:t>
      </w:r>
      <w:r>
        <w:rPr>
          <w:rFonts w:hint="eastAsia" w:ascii="仿宋_GB2312" w:hAnsi="仿宋_GB2312" w:eastAsia="仿宋_GB2312" w:cs="仿宋_GB2312"/>
          <w:color w:val="000000"/>
          <w:sz w:val="32"/>
          <w:szCs w:val="32"/>
        </w:rPr>
        <w:t>95.53</w:t>
      </w:r>
      <w:r>
        <w:rPr>
          <w:rFonts w:ascii="仿宋_GB2312" w:hAnsi="仿宋_GB2312" w:eastAsia="仿宋_GB2312" w:cs="仿宋_GB2312"/>
          <w:color w:val="000000"/>
          <w:sz w:val="32"/>
          <w:szCs w:val="32"/>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hint="eastAsia" w:ascii="仿宋_GB2312" w:hAnsi="宋体" w:eastAsia="仿宋_GB2312"/>
          <w:sz w:val="32"/>
          <w:szCs w:val="32"/>
          <w:lang w:val="zh-CN"/>
        </w:rPr>
      </w:pPr>
      <w:r>
        <w:rPr>
          <w:rFonts w:hint="eastAsia" w:ascii="仿宋_GB2312" w:hAnsi="宋体" w:eastAsia="仿宋_GB2312"/>
          <w:sz w:val="32"/>
          <w:szCs w:val="32"/>
          <w:lang w:val="zh-CN"/>
        </w:rPr>
        <w:t>1.资金计划。</w:t>
      </w:r>
    </w:p>
    <w:p>
      <w:pPr>
        <w:adjustRightInd w:val="0"/>
        <w:snapToGrid w:val="0"/>
        <w:spacing w:line="600" w:lineRule="exact"/>
        <w:ind w:firstLine="7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《阿坝州财政局</w:t>
      </w:r>
      <w:r>
        <w:rPr>
          <w:rFonts w:hint="eastAsia" w:ascii="宋体" w:hAnsi="宋体" w:eastAsia="仿宋_GB2312" w:cs="宋体"/>
          <w:color w:val="000000"/>
          <w:sz w:val="32"/>
          <w:szCs w:val="32"/>
        </w:rPr>
        <w:t> </w:t>
      </w:r>
      <w:r>
        <w:rPr>
          <w:rFonts w:hint="eastAsia" w:ascii="仿宋_GB2312" w:hAnsi="仿宋_GB2312" w:eastAsia="仿宋_GB2312" w:cs="仿宋_GB2312"/>
          <w:color w:val="000000"/>
          <w:sz w:val="32"/>
          <w:szCs w:val="32"/>
        </w:rPr>
        <w:t>阿坝州环境保护和草原局关于提前下达2019年中央财政林业改革发展资金的通知》（阿州财农〔2018〕151号）安排、分解下达预算我县天保工程区管护补助资金921.75万元。</w:t>
      </w:r>
    </w:p>
    <w:p>
      <w:pPr>
        <w:spacing w:line="56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2.资金到位。</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计划投资额921.75万元，财政批复投资额921.75万元，实际到位资金921.75万元，资金到位及时。</w:t>
      </w:r>
    </w:p>
    <w:p>
      <w:pPr>
        <w:adjustRightInd w:val="0"/>
        <w:snapToGrid w:val="0"/>
        <w:spacing w:line="600" w:lineRule="exact"/>
        <w:ind w:firstLine="640" w:firstLineChars="200"/>
        <w:rPr>
          <w:rFonts w:hint="eastAsia" w:ascii="仿宋_GB2312" w:hAnsi="宋体" w:eastAsia="仿宋_GB2312"/>
          <w:sz w:val="32"/>
          <w:szCs w:val="32"/>
          <w:lang w:val="zh-CN"/>
        </w:rPr>
      </w:pPr>
      <w:r>
        <w:rPr>
          <w:rFonts w:hint="eastAsia" w:ascii="仿宋_GB2312" w:hAnsi="宋体" w:eastAsia="仿宋_GB2312"/>
          <w:sz w:val="32"/>
          <w:szCs w:val="32"/>
          <w:lang w:val="zh-CN"/>
        </w:rPr>
        <w:t>3.资金使用。</w:t>
      </w:r>
    </w:p>
    <w:p>
      <w:pPr>
        <w:adjustRightInd w:val="0"/>
        <w:snapToGrid w:val="0"/>
        <w:spacing w:line="600" w:lineRule="exact"/>
        <w:ind w:firstLine="720"/>
        <w:rPr>
          <w:rFonts w:ascii="楷体_GB2312" w:hAnsi="宋体" w:eastAsia="楷体_GB2312"/>
          <w:sz w:val="32"/>
          <w:szCs w:val="32"/>
          <w:lang w:val="zh-CN"/>
        </w:rPr>
      </w:pPr>
      <w:r>
        <w:rPr>
          <w:rFonts w:ascii="仿宋_GB2312" w:hAnsi="仿宋_GB2312" w:eastAsia="仿宋_GB2312" w:cs="仿宋_GB2312"/>
          <w:color w:val="000000"/>
          <w:sz w:val="32"/>
          <w:szCs w:val="32"/>
        </w:rPr>
        <w:t>已使用资金</w:t>
      </w:r>
      <w:r>
        <w:rPr>
          <w:rFonts w:hint="eastAsia" w:ascii="仿宋_GB2312" w:hAnsi="仿宋_GB2312" w:eastAsia="仿宋_GB2312" w:cs="仿宋_GB2312"/>
          <w:color w:val="000000"/>
          <w:sz w:val="32"/>
          <w:szCs w:val="32"/>
        </w:rPr>
        <w:t>880.576306</w:t>
      </w:r>
      <w:r>
        <w:rPr>
          <w:rFonts w:ascii="仿宋_GB2312" w:hAnsi="仿宋_GB2312" w:eastAsia="仿宋_GB2312" w:cs="仿宋_GB2312"/>
          <w:color w:val="000000"/>
          <w:sz w:val="32"/>
          <w:szCs w:val="32"/>
        </w:rPr>
        <w:t>万元，结余资金</w:t>
      </w:r>
      <w:r>
        <w:rPr>
          <w:rFonts w:hint="eastAsia" w:ascii="仿宋_GB2312" w:hAnsi="仿宋_GB2312" w:eastAsia="仿宋_GB2312" w:cs="仿宋_GB2312"/>
          <w:color w:val="000000"/>
          <w:sz w:val="32"/>
          <w:szCs w:val="32"/>
        </w:rPr>
        <w:t>41.173694</w:t>
      </w:r>
      <w:r>
        <w:rPr>
          <w:rFonts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rPr>
        <w:t>。</w:t>
      </w:r>
      <w:r>
        <w:rPr>
          <w:rFonts w:hint="eastAsia" w:ascii="仿宋_GB2312" w:hAnsi="宋体" w:eastAsia="仿宋_GB2312"/>
          <w:sz w:val="32"/>
          <w:szCs w:val="32"/>
          <w:lang w:val="zh-CN"/>
        </w:rPr>
        <w:t>资金支付范围、支付标准、支付进度、支付依据等合规合法、与预算相符。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单位财务管理制度健全，严格执行财务管理制度，账务处理及时，会计核算规等。</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rPr>
      </w:pPr>
      <w:r>
        <w:rPr>
          <w:rFonts w:ascii="仿宋_GB2312" w:hAnsi="宋体" w:eastAsia="仿宋_GB2312"/>
          <w:sz w:val="32"/>
          <w:szCs w:val="32"/>
        </w:rPr>
        <w:t>严格按照《天然林资源保护工程财政专项资金管理办法》(财农〔2011〕38号)、《四川省天然林保护工程财政专项资金管理实施细则》(川财农〔2011〕357号)管理使用天保资金和会计核算的有关规定执行。无转移、转存资金、账外设账、私设“小金库”等问题；无伪造、变造会计凭证、做假账，编造、篡改财务报告，故意毁损账簿和其他会计信息资料等问题。无违规整合，无滞拨、缓拨现象，是按规定使用资金，是按要求进行招投标和政府采购，无虚报冒领、骗取套取、截留侵占、挪用贪污私分、违规提取、公款私存等问题。</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djustRightInd w:val="0"/>
        <w:snapToGrid w:val="0"/>
        <w:spacing w:line="600" w:lineRule="exact"/>
        <w:ind w:firstLine="720"/>
        <w:rPr>
          <w:rFonts w:cs="Arial"/>
          <w:color w:val="000000"/>
          <w:sz w:val="24"/>
        </w:rPr>
      </w:pPr>
      <w:r>
        <w:rPr>
          <w:rFonts w:hint="eastAsia" w:ascii="仿宋_GB2312" w:hAnsi="宋体" w:eastAsia="仿宋_GB2312"/>
          <w:sz w:val="32"/>
          <w:szCs w:val="32"/>
        </w:rPr>
        <w:t>1.</w:t>
      </w:r>
      <w:r>
        <w:rPr>
          <w:rFonts w:ascii="仿宋_GB2312" w:hAnsi="宋体" w:eastAsia="仿宋_GB2312"/>
          <w:sz w:val="32"/>
          <w:szCs w:val="32"/>
        </w:rPr>
        <w:t>数量指标。天保工程区管护补助主要用于天保职工工资、住房公积金等支出相关工作。</w:t>
      </w:r>
      <w:r>
        <w:rPr>
          <w:rFonts w:ascii="仿宋_GB2312" w:hAnsi="宋体" w:eastAsia="仿宋_GB2312"/>
          <w:sz w:val="32"/>
          <w:szCs w:val="32"/>
        </w:rPr>
        <w:br w:type="textWrapping"/>
      </w:r>
      <w:r>
        <w:rPr>
          <w:rFonts w:hint="eastAsia" w:ascii="仿宋_GB2312" w:hAnsi="宋体" w:eastAsia="仿宋_GB2312"/>
          <w:sz w:val="32"/>
          <w:szCs w:val="32"/>
        </w:rPr>
        <w:t xml:space="preserve">    2.生态</w:t>
      </w:r>
      <w:r>
        <w:rPr>
          <w:rFonts w:ascii="仿宋_GB2312" w:hAnsi="宋体" w:eastAsia="仿宋_GB2312"/>
          <w:sz w:val="32"/>
          <w:szCs w:val="32"/>
        </w:rPr>
        <w:t>指标。</w:t>
      </w:r>
      <w:r>
        <w:rPr>
          <w:rFonts w:hint="eastAsia" w:ascii="仿宋_GB2312" w:hAnsi="宋体" w:eastAsia="仿宋_GB2312"/>
          <w:sz w:val="32"/>
          <w:szCs w:val="32"/>
        </w:rPr>
        <w:t>天然林资源管护生态环境改善情况明显。</w:t>
      </w:r>
    </w:p>
    <w:p>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1.生态</w:t>
      </w:r>
      <w:r>
        <w:rPr>
          <w:rFonts w:ascii="仿宋_GB2312" w:hAnsi="宋体" w:eastAsia="仿宋_GB2312"/>
          <w:sz w:val="32"/>
          <w:szCs w:val="32"/>
        </w:rPr>
        <w:t>效益。</w:t>
      </w:r>
      <w:r>
        <w:rPr>
          <w:rFonts w:hint="eastAsia" w:ascii="仿宋_GB2312" w:hAnsi="宋体" w:eastAsia="仿宋_GB2312"/>
          <w:sz w:val="32"/>
          <w:szCs w:val="32"/>
        </w:rPr>
        <w:t>天然林资源管护生态环境改善情况明显</w:t>
      </w:r>
      <w:r>
        <w:rPr>
          <w:rFonts w:ascii="仿宋_GB2312" w:hAnsi="宋体" w:eastAsia="仿宋_GB2312"/>
          <w:sz w:val="32"/>
          <w:szCs w:val="32"/>
        </w:rPr>
        <w:t>。</w:t>
      </w:r>
      <w:r>
        <w:rPr>
          <w:rFonts w:ascii="仿宋_GB2312" w:hAnsi="宋体" w:eastAsia="仿宋_GB2312"/>
          <w:sz w:val="32"/>
          <w:szCs w:val="32"/>
        </w:rPr>
        <w:br w:type="textWrapping"/>
      </w:r>
      <w:r>
        <w:rPr>
          <w:rFonts w:hint="eastAsia" w:ascii="仿宋_GB2312" w:hAnsi="宋体" w:eastAsia="仿宋_GB2312"/>
          <w:sz w:val="32"/>
          <w:szCs w:val="32"/>
        </w:rPr>
        <w:t xml:space="preserve">    2.可持续影响</w:t>
      </w:r>
      <w:r>
        <w:rPr>
          <w:rFonts w:ascii="仿宋_GB2312" w:hAnsi="宋体" w:eastAsia="仿宋_GB2312"/>
          <w:sz w:val="32"/>
          <w:szCs w:val="32"/>
        </w:rPr>
        <w:t>效益。</w:t>
      </w:r>
      <w:r>
        <w:rPr>
          <w:rFonts w:hint="eastAsia" w:ascii="仿宋_GB2312" w:hAnsi="宋体" w:eastAsia="仿宋_GB2312"/>
          <w:sz w:val="32"/>
          <w:szCs w:val="32"/>
        </w:rPr>
        <w:t>天保工程区国有林管护面积有万亩，天然林资源管护生态环境得到明显改善，减少了土流失。</w:t>
      </w:r>
      <w:r>
        <w:rPr>
          <w:rFonts w:ascii="仿宋_GB2312" w:hAnsi="宋体" w:eastAsia="仿宋_GB2312"/>
          <w:sz w:val="32"/>
          <w:szCs w:val="32"/>
        </w:rPr>
        <w:t>对减轻全球气候变暖带来的生态灾难，维护国家生态安全将发挥重要作用。</w:t>
      </w:r>
    </w:p>
    <w:p>
      <w:pPr>
        <w:adjustRightInd w:val="0"/>
        <w:snapToGrid w:val="0"/>
        <w:spacing w:line="560" w:lineRule="exact"/>
        <w:ind w:firstLine="640" w:firstLineChars="200"/>
        <w:rPr>
          <w:rFonts w:ascii="仿宋_GB2312" w:hAnsi="宋体" w:eastAsia="仿宋_GB2312"/>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rPr>
      </w:pPr>
      <w:r>
        <w:rPr>
          <w:rFonts w:ascii="仿宋_GB2312" w:hAnsi="宋体" w:eastAsia="仿宋_GB2312"/>
          <w:sz w:val="32"/>
          <w:szCs w:val="32"/>
        </w:rPr>
        <w:t>综合评价良好，我县</w:t>
      </w:r>
      <w:r>
        <w:rPr>
          <w:rFonts w:hint="eastAsia" w:ascii="仿宋_GB2312" w:hAnsi="宋体" w:eastAsia="仿宋_GB2312"/>
          <w:sz w:val="32"/>
          <w:szCs w:val="32"/>
        </w:rPr>
        <w:t>天保工程区管护补助资金在管理和使用中</w:t>
      </w:r>
      <w:r>
        <w:rPr>
          <w:rFonts w:ascii="仿宋_GB2312" w:hAnsi="宋体" w:eastAsia="仿宋_GB2312"/>
          <w:sz w:val="32"/>
          <w:szCs w:val="32"/>
        </w:rPr>
        <w:t>，实际支出与规定的用途一致，资金收支平衡，资金使用都能做到公开、公平、程序到位，严格执行财务制度，无截留、挤占、挪用补偿基金等违规行为。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720"/>
        <w:rPr>
          <w:rFonts w:ascii="仿宋_GB2312" w:hAnsi="宋体" w:eastAsia="仿宋_GB2312"/>
          <w:sz w:val="32"/>
          <w:szCs w:val="32"/>
        </w:rPr>
      </w:pPr>
      <w:r>
        <w:rPr>
          <w:rFonts w:hint="eastAsia" w:ascii="仿宋_GB2312" w:hAnsi="宋体" w:eastAsia="仿宋_GB2312"/>
          <w:sz w:val="32"/>
          <w:szCs w:val="32"/>
        </w:rPr>
        <w:t>无</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宋体" w:eastAsia="仿宋_GB2312"/>
          <w:sz w:val="32"/>
          <w:szCs w:val="32"/>
        </w:rPr>
        <w:t>无。</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jc w:val="center"/>
        <w:outlineLvl w:val="0"/>
        <w:rPr>
          <w:rFonts w:ascii="黑体" w:hAnsi="黑体" w:eastAsia="黑体"/>
          <w:bCs/>
          <w:kern w:val="44"/>
          <w:sz w:val="44"/>
          <w:szCs w:val="44"/>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58"/>
      <w:bookmarkEnd w:id="59"/>
    </w:p>
    <w:p>
      <w:pPr>
        <w:pStyle w:val="3"/>
        <w:rPr>
          <w:rFonts w:hint="eastAsia" w:ascii="仿宋" w:hAnsi="仿宋" w:eastAsia="仿宋"/>
          <w:b w:val="0"/>
          <w:color w:val="000000"/>
        </w:rPr>
      </w:pPr>
      <w:bookmarkStart w:id="60" w:name="_Toc15396619"/>
    </w:p>
    <w:p>
      <w:pPr>
        <w:pStyle w:val="3"/>
        <w:rPr>
          <w:rFonts w:ascii="仿宋" w:hAnsi="仿宋" w:eastAsia="仿宋"/>
          <w:color w:val="000000"/>
        </w:rPr>
      </w:pPr>
      <w:r>
        <w:rPr>
          <w:rFonts w:hint="eastAsia" w:ascii="仿宋" w:hAnsi="仿宋" w:eastAsia="仿宋"/>
          <w:b w:val="0"/>
          <w:color w:val="000000"/>
        </w:rPr>
        <w:t>一、收</w:t>
      </w:r>
      <w:r>
        <w:rPr>
          <w:rStyle w:val="25"/>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3"/>
    </w:p>
    <w:p>
      <w:pPr>
        <w:pStyle w:val="3"/>
        <w:rPr>
          <w:rStyle w:val="25"/>
          <w:rFonts w:ascii="仿宋" w:hAnsi="仿宋" w:eastAsia="仿宋"/>
          <w:b w:val="0"/>
          <w:bCs w:val="0"/>
        </w:rPr>
      </w:pPr>
      <w:bookmarkStart w:id="64"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rPr>
      </w:pPr>
      <w:bookmarkStart w:id="72"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3114"/>
    <w:rsid w:val="0001449A"/>
    <w:rsid w:val="000222C6"/>
    <w:rsid w:val="00023943"/>
    <w:rsid w:val="0002549F"/>
    <w:rsid w:val="00037CC3"/>
    <w:rsid w:val="00040A09"/>
    <w:rsid w:val="00042D47"/>
    <w:rsid w:val="000444CD"/>
    <w:rsid w:val="000468DB"/>
    <w:rsid w:val="0006487A"/>
    <w:rsid w:val="00065F8F"/>
    <w:rsid w:val="00070A43"/>
    <w:rsid w:val="000768F2"/>
    <w:rsid w:val="0009184B"/>
    <w:rsid w:val="00094236"/>
    <w:rsid w:val="00094DF5"/>
    <w:rsid w:val="0009593C"/>
    <w:rsid w:val="00097322"/>
    <w:rsid w:val="000A6A92"/>
    <w:rsid w:val="000B047F"/>
    <w:rsid w:val="000B5923"/>
    <w:rsid w:val="000B5A48"/>
    <w:rsid w:val="000B6FF3"/>
    <w:rsid w:val="000C3467"/>
    <w:rsid w:val="000C3CA6"/>
    <w:rsid w:val="000D1267"/>
    <w:rsid w:val="000D1D50"/>
    <w:rsid w:val="000D5782"/>
    <w:rsid w:val="000E6613"/>
    <w:rsid w:val="000E7119"/>
    <w:rsid w:val="000E7637"/>
    <w:rsid w:val="000F2C40"/>
    <w:rsid w:val="000F60CE"/>
    <w:rsid w:val="001042FA"/>
    <w:rsid w:val="00114E9B"/>
    <w:rsid w:val="00120C62"/>
    <w:rsid w:val="00135791"/>
    <w:rsid w:val="00142216"/>
    <w:rsid w:val="00144D6A"/>
    <w:rsid w:val="0014729F"/>
    <w:rsid w:val="00157411"/>
    <w:rsid w:val="00157BAB"/>
    <w:rsid w:val="001654D1"/>
    <w:rsid w:val="00174518"/>
    <w:rsid w:val="0018057C"/>
    <w:rsid w:val="0018106D"/>
    <w:rsid w:val="00185E33"/>
    <w:rsid w:val="001877A7"/>
    <w:rsid w:val="00187E10"/>
    <w:rsid w:val="00191536"/>
    <w:rsid w:val="00193792"/>
    <w:rsid w:val="00196687"/>
    <w:rsid w:val="001A5CB4"/>
    <w:rsid w:val="001B0586"/>
    <w:rsid w:val="001B20FF"/>
    <w:rsid w:val="001B4235"/>
    <w:rsid w:val="001C0962"/>
    <w:rsid w:val="001C2D51"/>
    <w:rsid w:val="001C66B8"/>
    <w:rsid w:val="001D3F71"/>
    <w:rsid w:val="001D45DC"/>
    <w:rsid w:val="001D4932"/>
    <w:rsid w:val="001D49CC"/>
    <w:rsid w:val="001D7531"/>
    <w:rsid w:val="001E737D"/>
    <w:rsid w:val="001F0592"/>
    <w:rsid w:val="001F0C06"/>
    <w:rsid w:val="001F7506"/>
    <w:rsid w:val="002006CD"/>
    <w:rsid w:val="00202311"/>
    <w:rsid w:val="00202B36"/>
    <w:rsid w:val="00204B7A"/>
    <w:rsid w:val="00204CDE"/>
    <w:rsid w:val="00207C4D"/>
    <w:rsid w:val="0021101A"/>
    <w:rsid w:val="00220536"/>
    <w:rsid w:val="00224B30"/>
    <w:rsid w:val="00232D29"/>
    <w:rsid w:val="00235629"/>
    <w:rsid w:val="00236E66"/>
    <w:rsid w:val="002376E3"/>
    <w:rsid w:val="00251315"/>
    <w:rsid w:val="00260C38"/>
    <w:rsid w:val="002616C0"/>
    <w:rsid w:val="00265372"/>
    <w:rsid w:val="002662AA"/>
    <w:rsid w:val="00270DEE"/>
    <w:rsid w:val="00274BA0"/>
    <w:rsid w:val="00280496"/>
    <w:rsid w:val="00283CA8"/>
    <w:rsid w:val="00293E16"/>
    <w:rsid w:val="00294DC9"/>
    <w:rsid w:val="00295495"/>
    <w:rsid w:val="002A31DE"/>
    <w:rsid w:val="002B1BC6"/>
    <w:rsid w:val="002B2134"/>
    <w:rsid w:val="002B2613"/>
    <w:rsid w:val="002B7D4E"/>
    <w:rsid w:val="002C1CDC"/>
    <w:rsid w:val="002C1E2C"/>
    <w:rsid w:val="002C21CA"/>
    <w:rsid w:val="002D19B0"/>
    <w:rsid w:val="002D68CD"/>
    <w:rsid w:val="002D6D05"/>
    <w:rsid w:val="002E5689"/>
    <w:rsid w:val="002F1818"/>
    <w:rsid w:val="002F4D89"/>
    <w:rsid w:val="002F567B"/>
    <w:rsid w:val="003013D2"/>
    <w:rsid w:val="003216A9"/>
    <w:rsid w:val="003264A4"/>
    <w:rsid w:val="00330328"/>
    <w:rsid w:val="00335A74"/>
    <w:rsid w:val="0033735A"/>
    <w:rsid w:val="0034476E"/>
    <w:rsid w:val="003469FD"/>
    <w:rsid w:val="003576D9"/>
    <w:rsid w:val="0036561B"/>
    <w:rsid w:val="0037013F"/>
    <w:rsid w:val="00370193"/>
    <w:rsid w:val="00380C92"/>
    <w:rsid w:val="003839EF"/>
    <w:rsid w:val="00396B8B"/>
    <w:rsid w:val="003A484F"/>
    <w:rsid w:val="003A4883"/>
    <w:rsid w:val="003B0BE0"/>
    <w:rsid w:val="003B0C1B"/>
    <w:rsid w:val="003B324F"/>
    <w:rsid w:val="003B51F4"/>
    <w:rsid w:val="003B5310"/>
    <w:rsid w:val="003B67CC"/>
    <w:rsid w:val="003B688C"/>
    <w:rsid w:val="003C0291"/>
    <w:rsid w:val="003C39AE"/>
    <w:rsid w:val="003C7B60"/>
    <w:rsid w:val="003D0C0F"/>
    <w:rsid w:val="003D1FB2"/>
    <w:rsid w:val="003D3087"/>
    <w:rsid w:val="003D519C"/>
    <w:rsid w:val="003D66DA"/>
    <w:rsid w:val="003D7165"/>
    <w:rsid w:val="003E1310"/>
    <w:rsid w:val="003E58D2"/>
    <w:rsid w:val="003E6280"/>
    <w:rsid w:val="003E6F55"/>
    <w:rsid w:val="003F3386"/>
    <w:rsid w:val="003F6619"/>
    <w:rsid w:val="00406254"/>
    <w:rsid w:val="00416CD4"/>
    <w:rsid w:val="00417421"/>
    <w:rsid w:val="00421B2D"/>
    <w:rsid w:val="004223DE"/>
    <w:rsid w:val="00434489"/>
    <w:rsid w:val="00437085"/>
    <w:rsid w:val="00442F39"/>
    <w:rsid w:val="00443880"/>
    <w:rsid w:val="004464F4"/>
    <w:rsid w:val="00453768"/>
    <w:rsid w:val="00463B67"/>
    <w:rsid w:val="0046666B"/>
    <w:rsid w:val="0046753A"/>
    <w:rsid w:val="00471401"/>
    <w:rsid w:val="00471952"/>
    <w:rsid w:val="00473F31"/>
    <w:rsid w:val="0048263A"/>
    <w:rsid w:val="004836C1"/>
    <w:rsid w:val="00487E5D"/>
    <w:rsid w:val="00493DAE"/>
    <w:rsid w:val="0049468B"/>
    <w:rsid w:val="004A3061"/>
    <w:rsid w:val="004A711F"/>
    <w:rsid w:val="004B076E"/>
    <w:rsid w:val="004B199D"/>
    <w:rsid w:val="004B2D5C"/>
    <w:rsid w:val="004B4690"/>
    <w:rsid w:val="004B613E"/>
    <w:rsid w:val="004C6BD6"/>
    <w:rsid w:val="004E0A2D"/>
    <w:rsid w:val="004E206B"/>
    <w:rsid w:val="004E6DF7"/>
    <w:rsid w:val="004F0FBD"/>
    <w:rsid w:val="004F2582"/>
    <w:rsid w:val="004F403E"/>
    <w:rsid w:val="004F661F"/>
    <w:rsid w:val="005017B9"/>
    <w:rsid w:val="00505A47"/>
    <w:rsid w:val="005110FE"/>
    <w:rsid w:val="00512FDA"/>
    <w:rsid w:val="00520DA0"/>
    <w:rsid w:val="0054391E"/>
    <w:rsid w:val="0055465D"/>
    <w:rsid w:val="00554AF5"/>
    <w:rsid w:val="00561376"/>
    <w:rsid w:val="00562D80"/>
    <w:rsid w:val="005664BB"/>
    <w:rsid w:val="00566FFA"/>
    <w:rsid w:val="0057481D"/>
    <w:rsid w:val="00575F0B"/>
    <w:rsid w:val="00583DF0"/>
    <w:rsid w:val="0058486E"/>
    <w:rsid w:val="005852B8"/>
    <w:rsid w:val="00585B33"/>
    <w:rsid w:val="0059014D"/>
    <w:rsid w:val="00591ACB"/>
    <w:rsid w:val="005932A1"/>
    <w:rsid w:val="005B1672"/>
    <w:rsid w:val="005B1885"/>
    <w:rsid w:val="005B5C64"/>
    <w:rsid w:val="005C6BD0"/>
    <w:rsid w:val="005C6C4C"/>
    <w:rsid w:val="005D1C8B"/>
    <w:rsid w:val="005D37CF"/>
    <w:rsid w:val="005D468D"/>
    <w:rsid w:val="005D5CED"/>
    <w:rsid w:val="005D6D60"/>
    <w:rsid w:val="005F1A4C"/>
    <w:rsid w:val="005F7BE7"/>
    <w:rsid w:val="00605688"/>
    <w:rsid w:val="00606455"/>
    <w:rsid w:val="006070AF"/>
    <w:rsid w:val="00607E6C"/>
    <w:rsid w:val="006101B1"/>
    <w:rsid w:val="00614E44"/>
    <w:rsid w:val="006168AB"/>
    <w:rsid w:val="00617749"/>
    <w:rsid w:val="0062270A"/>
    <w:rsid w:val="00622830"/>
    <w:rsid w:val="00623DA0"/>
    <w:rsid w:val="00630AEF"/>
    <w:rsid w:val="006325F8"/>
    <w:rsid w:val="00633463"/>
    <w:rsid w:val="0063479A"/>
    <w:rsid w:val="00634C9A"/>
    <w:rsid w:val="006440E4"/>
    <w:rsid w:val="006473C8"/>
    <w:rsid w:val="00656BAF"/>
    <w:rsid w:val="0066343B"/>
    <w:rsid w:val="00664777"/>
    <w:rsid w:val="006748A4"/>
    <w:rsid w:val="0067570A"/>
    <w:rsid w:val="006763AF"/>
    <w:rsid w:val="00681A31"/>
    <w:rsid w:val="00683E73"/>
    <w:rsid w:val="006A3141"/>
    <w:rsid w:val="006A5E34"/>
    <w:rsid w:val="006A7089"/>
    <w:rsid w:val="006B2422"/>
    <w:rsid w:val="006B2B9A"/>
    <w:rsid w:val="006B7E11"/>
    <w:rsid w:val="006B7EC5"/>
    <w:rsid w:val="006C1937"/>
    <w:rsid w:val="006E095B"/>
    <w:rsid w:val="006F020C"/>
    <w:rsid w:val="006F57AC"/>
    <w:rsid w:val="006F6E22"/>
    <w:rsid w:val="00703529"/>
    <w:rsid w:val="00707BB5"/>
    <w:rsid w:val="007127B7"/>
    <w:rsid w:val="0071625C"/>
    <w:rsid w:val="0071798E"/>
    <w:rsid w:val="00727533"/>
    <w:rsid w:val="007403E1"/>
    <w:rsid w:val="007416B6"/>
    <w:rsid w:val="00742DFB"/>
    <w:rsid w:val="00746F48"/>
    <w:rsid w:val="0075404D"/>
    <w:rsid w:val="0076182A"/>
    <w:rsid w:val="007675C0"/>
    <w:rsid w:val="00767B7E"/>
    <w:rsid w:val="00775446"/>
    <w:rsid w:val="007770C3"/>
    <w:rsid w:val="007820FF"/>
    <w:rsid w:val="00784D24"/>
    <w:rsid w:val="00785FBA"/>
    <w:rsid w:val="00786E4A"/>
    <w:rsid w:val="007875EB"/>
    <w:rsid w:val="0079426B"/>
    <w:rsid w:val="007A342E"/>
    <w:rsid w:val="007B47F4"/>
    <w:rsid w:val="007C4715"/>
    <w:rsid w:val="007C55EC"/>
    <w:rsid w:val="007C635B"/>
    <w:rsid w:val="007D1682"/>
    <w:rsid w:val="007D312A"/>
    <w:rsid w:val="007D3F19"/>
    <w:rsid w:val="007E23B0"/>
    <w:rsid w:val="007F1991"/>
    <w:rsid w:val="007F2C2F"/>
    <w:rsid w:val="007F55FC"/>
    <w:rsid w:val="007F5665"/>
    <w:rsid w:val="007F7661"/>
    <w:rsid w:val="00800112"/>
    <w:rsid w:val="00803870"/>
    <w:rsid w:val="00813348"/>
    <w:rsid w:val="008211B2"/>
    <w:rsid w:val="00821D44"/>
    <w:rsid w:val="00821DB2"/>
    <w:rsid w:val="008253BB"/>
    <w:rsid w:val="00832108"/>
    <w:rsid w:val="00833962"/>
    <w:rsid w:val="00835722"/>
    <w:rsid w:val="0083706E"/>
    <w:rsid w:val="008408F6"/>
    <w:rsid w:val="008423A5"/>
    <w:rsid w:val="00844C4E"/>
    <w:rsid w:val="00850625"/>
    <w:rsid w:val="00853718"/>
    <w:rsid w:val="00855221"/>
    <w:rsid w:val="00855D6B"/>
    <w:rsid w:val="00860645"/>
    <w:rsid w:val="00861E65"/>
    <w:rsid w:val="00871F71"/>
    <w:rsid w:val="00872FD8"/>
    <w:rsid w:val="0088295D"/>
    <w:rsid w:val="00885AF4"/>
    <w:rsid w:val="008939CD"/>
    <w:rsid w:val="008951CA"/>
    <w:rsid w:val="0089687E"/>
    <w:rsid w:val="008A11BD"/>
    <w:rsid w:val="008A65FE"/>
    <w:rsid w:val="008B73F9"/>
    <w:rsid w:val="008B768C"/>
    <w:rsid w:val="008C4DB1"/>
    <w:rsid w:val="008C4EAF"/>
    <w:rsid w:val="008C5176"/>
    <w:rsid w:val="008C7FD0"/>
    <w:rsid w:val="008E1DE7"/>
    <w:rsid w:val="008E707C"/>
    <w:rsid w:val="00900B08"/>
    <w:rsid w:val="00902155"/>
    <w:rsid w:val="00902FA3"/>
    <w:rsid w:val="00906A91"/>
    <w:rsid w:val="00923564"/>
    <w:rsid w:val="0092392E"/>
    <w:rsid w:val="0092765C"/>
    <w:rsid w:val="009305AE"/>
    <w:rsid w:val="009315F9"/>
    <w:rsid w:val="00933499"/>
    <w:rsid w:val="00935C98"/>
    <w:rsid w:val="00941207"/>
    <w:rsid w:val="00942038"/>
    <w:rsid w:val="009445D8"/>
    <w:rsid w:val="00946945"/>
    <w:rsid w:val="0095027D"/>
    <w:rsid w:val="00951248"/>
    <w:rsid w:val="0095152F"/>
    <w:rsid w:val="00954C49"/>
    <w:rsid w:val="00955E37"/>
    <w:rsid w:val="009627B4"/>
    <w:rsid w:val="0097099F"/>
    <w:rsid w:val="00971997"/>
    <w:rsid w:val="00971FFC"/>
    <w:rsid w:val="009733B0"/>
    <w:rsid w:val="0097358C"/>
    <w:rsid w:val="0098660A"/>
    <w:rsid w:val="009931C3"/>
    <w:rsid w:val="00997C03"/>
    <w:rsid w:val="009A195B"/>
    <w:rsid w:val="009B2C43"/>
    <w:rsid w:val="009B4EAE"/>
    <w:rsid w:val="009B7573"/>
    <w:rsid w:val="009C22F4"/>
    <w:rsid w:val="009C2E98"/>
    <w:rsid w:val="009C37FB"/>
    <w:rsid w:val="009D3447"/>
    <w:rsid w:val="009D3944"/>
    <w:rsid w:val="009D4711"/>
    <w:rsid w:val="009D710A"/>
    <w:rsid w:val="009E28DF"/>
    <w:rsid w:val="009E4087"/>
    <w:rsid w:val="009E5003"/>
    <w:rsid w:val="009F1185"/>
    <w:rsid w:val="009F18CD"/>
    <w:rsid w:val="009F2A13"/>
    <w:rsid w:val="009F7527"/>
    <w:rsid w:val="00A039ED"/>
    <w:rsid w:val="00A04EB0"/>
    <w:rsid w:val="00A13CC1"/>
    <w:rsid w:val="00A145A6"/>
    <w:rsid w:val="00A16847"/>
    <w:rsid w:val="00A216AA"/>
    <w:rsid w:val="00A237D8"/>
    <w:rsid w:val="00A268C4"/>
    <w:rsid w:val="00A2697E"/>
    <w:rsid w:val="00A307CD"/>
    <w:rsid w:val="00A31ACE"/>
    <w:rsid w:val="00A331C8"/>
    <w:rsid w:val="00A35117"/>
    <w:rsid w:val="00A40A00"/>
    <w:rsid w:val="00A4142F"/>
    <w:rsid w:val="00A422EB"/>
    <w:rsid w:val="00A4578B"/>
    <w:rsid w:val="00A45BB7"/>
    <w:rsid w:val="00A56DF2"/>
    <w:rsid w:val="00A56E6E"/>
    <w:rsid w:val="00A61D91"/>
    <w:rsid w:val="00A66176"/>
    <w:rsid w:val="00A67AB5"/>
    <w:rsid w:val="00A733B2"/>
    <w:rsid w:val="00A741C2"/>
    <w:rsid w:val="00A91760"/>
    <w:rsid w:val="00A93B00"/>
    <w:rsid w:val="00A93C21"/>
    <w:rsid w:val="00AA7AFA"/>
    <w:rsid w:val="00AB64C9"/>
    <w:rsid w:val="00AC3C6A"/>
    <w:rsid w:val="00AD0699"/>
    <w:rsid w:val="00AD0F83"/>
    <w:rsid w:val="00AD5620"/>
    <w:rsid w:val="00AD656B"/>
    <w:rsid w:val="00AD7921"/>
    <w:rsid w:val="00AD7C1B"/>
    <w:rsid w:val="00AE16BA"/>
    <w:rsid w:val="00AE1EBE"/>
    <w:rsid w:val="00AE7251"/>
    <w:rsid w:val="00AF37A0"/>
    <w:rsid w:val="00B03C9D"/>
    <w:rsid w:val="00B060AE"/>
    <w:rsid w:val="00B10517"/>
    <w:rsid w:val="00B14E76"/>
    <w:rsid w:val="00B161B8"/>
    <w:rsid w:val="00B2048C"/>
    <w:rsid w:val="00B310B9"/>
    <w:rsid w:val="00B35F3F"/>
    <w:rsid w:val="00B36CBB"/>
    <w:rsid w:val="00B425E0"/>
    <w:rsid w:val="00B440AA"/>
    <w:rsid w:val="00B44B70"/>
    <w:rsid w:val="00B4648E"/>
    <w:rsid w:val="00B53C56"/>
    <w:rsid w:val="00B55057"/>
    <w:rsid w:val="00B57DAF"/>
    <w:rsid w:val="00B71E76"/>
    <w:rsid w:val="00B75146"/>
    <w:rsid w:val="00B77EA6"/>
    <w:rsid w:val="00B81495"/>
    <w:rsid w:val="00B81598"/>
    <w:rsid w:val="00B81C61"/>
    <w:rsid w:val="00B841F1"/>
    <w:rsid w:val="00B91951"/>
    <w:rsid w:val="00B91D03"/>
    <w:rsid w:val="00B934A4"/>
    <w:rsid w:val="00B944D6"/>
    <w:rsid w:val="00BA0E1E"/>
    <w:rsid w:val="00BB4DF0"/>
    <w:rsid w:val="00BB59D5"/>
    <w:rsid w:val="00BC289F"/>
    <w:rsid w:val="00BC2D50"/>
    <w:rsid w:val="00BC5361"/>
    <w:rsid w:val="00BC5460"/>
    <w:rsid w:val="00BC6B50"/>
    <w:rsid w:val="00BD0E25"/>
    <w:rsid w:val="00BD263A"/>
    <w:rsid w:val="00BD716D"/>
    <w:rsid w:val="00BF4287"/>
    <w:rsid w:val="00BF5BD6"/>
    <w:rsid w:val="00C03E31"/>
    <w:rsid w:val="00C30E69"/>
    <w:rsid w:val="00C33E72"/>
    <w:rsid w:val="00C354B2"/>
    <w:rsid w:val="00C35554"/>
    <w:rsid w:val="00C41C19"/>
    <w:rsid w:val="00C42709"/>
    <w:rsid w:val="00C533CC"/>
    <w:rsid w:val="00C5751C"/>
    <w:rsid w:val="00C60D2F"/>
    <w:rsid w:val="00C61BFC"/>
    <w:rsid w:val="00C62B85"/>
    <w:rsid w:val="00C63782"/>
    <w:rsid w:val="00C65438"/>
    <w:rsid w:val="00C667AD"/>
    <w:rsid w:val="00C770CB"/>
    <w:rsid w:val="00C91CBB"/>
    <w:rsid w:val="00CA202B"/>
    <w:rsid w:val="00CA3CF3"/>
    <w:rsid w:val="00CB4E70"/>
    <w:rsid w:val="00CC09B6"/>
    <w:rsid w:val="00CC31F0"/>
    <w:rsid w:val="00CC4BAF"/>
    <w:rsid w:val="00CC666F"/>
    <w:rsid w:val="00CD1E3F"/>
    <w:rsid w:val="00CE44F6"/>
    <w:rsid w:val="00CE49DA"/>
    <w:rsid w:val="00CE4BA9"/>
    <w:rsid w:val="00CE7B61"/>
    <w:rsid w:val="00D00095"/>
    <w:rsid w:val="00D05703"/>
    <w:rsid w:val="00D114F0"/>
    <w:rsid w:val="00D179F5"/>
    <w:rsid w:val="00D20063"/>
    <w:rsid w:val="00D20620"/>
    <w:rsid w:val="00D2207C"/>
    <w:rsid w:val="00D254F7"/>
    <w:rsid w:val="00D26091"/>
    <w:rsid w:val="00D2685C"/>
    <w:rsid w:val="00D311B5"/>
    <w:rsid w:val="00D34D49"/>
    <w:rsid w:val="00D34E7C"/>
    <w:rsid w:val="00D35489"/>
    <w:rsid w:val="00D36AFE"/>
    <w:rsid w:val="00D43C3C"/>
    <w:rsid w:val="00D45B9D"/>
    <w:rsid w:val="00D51276"/>
    <w:rsid w:val="00D52B5F"/>
    <w:rsid w:val="00D540F4"/>
    <w:rsid w:val="00D7035F"/>
    <w:rsid w:val="00D743F1"/>
    <w:rsid w:val="00D74C1A"/>
    <w:rsid w:val="00D8343B"/>
    <w:rsid w:val="00D841EB"/>
    <w:rsid w:val="00D91A31"/>
    <w:rsid w:val="00DA634F"/>
    <w:rsid w:val="00DA65AC"/>
    <w:rsid w:val="00DB1913"/>
    <w:rsid w:val="00DC2901"/>
    <w:rsid w:val="00DC410D"/>
    <w:rsid w:val="00DC5A81"/>
    <w:rsid w:val="00DC68CA"/>
    <w:rsid w:val="00DC7CBA"/>
    <w:rsid w:val="00DD73B7"/>
    <w:rsid w:val="00DE37E1"/>
    <w:rsid w:val="00DE40E8"/>
    <w:rsid w:val="00DF049B"/>
    <w:rsid w:val="00DF28BC"/>
    <w:rsid w:val="00DF34B9"/>
    <w:rsid w:val="00DF5AD0"/>
    <w:rsid w:val="00DF7548"/>
    <w:rsid w:val="00E01053"/>
    <w:rsid w:val="00E05B00"/>
    <w:rsid w:val="00E06A04"/>
    <w:rsid w:val="00E07ACF"/>
    <w:rsid w:val="00E10CDD"/>
    <w:rsid w:val="00E13D14"/>
    <w:rsid w:val="00E1614C"/>
    <w:rsid w:val="00E270B2"/>
    <w:rsid w:val="00E331A1"/>
    <w:rsid w:val="00E33202"/>
    <w:rsid w:val="00E336A9"/>
    <w:rsid w:val="00E422D2"/>
    <w:rsid w:val="00E4272C"/>
    <w:rsid w:val="00E466AC"/>
    <w:rsid w:val="00E472B1"/>
    <w:rsid w:val="00E50624"/>
    <w:rsid w:val="00E568DF"/>
    <w:rsid w:val="00E64269"/>
    <w:rsid w:val="00E66797"/>
    <w:rsid w:val="00E72F5D"/>
    <w:rsid w:val="00E7456D"/>
    <w:rsid w:val="00E7626E"/>
    <w:rsid w:val="00E8190A"/>
    <w:rsid w:val="00E82267"/>
    <w:rsid w:val="00E840A1"/>
    <w:rsid w:val="00E853CE"/>
    <w:rsid w:val="00E865B8"/>
    <w:rsid w:val="00E867B6"/>
    <w:rsid w:val="00E87F08"/>
    <w:rsid w:val="00E937C0"/>
    <w:rsid w:val="00E94B2E"/>
    <w:rsid w:val="00EA010F"/>
    <w:rsid w:val="00EA5C2A"/>
    <w:rsid w:val="00EB5AEB"/>
    <w:rsid w:val="00ED1B63"/>
    <w:rsid w:val="00ED35B5"/>
    <w:rsid w:val="00ED3C1F"/>
    <w:rsid w:val="00ED4085"/>
    <w:rsid w:val="00ED420E"/>
    <w:rsid w:val="00ED5741"/>
    <w:rsid w:val="00ED5A01"/>
    <w:rsid w:val="00ED5BDE"/>
    <w:rsid w:val="00ED6FBE"/>
    <w:rsid w:val="00ED7812"/>
    <w:rsid w:val="00EE2F57"/>
    <w:rsid w:val="00EF4C34"/>
    <w:rsid w:val="00EF77C6"/>
    <w:rsid w:val="00F05438"/>
    <w:rsid w:val="00F1361C"/>
    <w:rsid w:val="00F156F0"/>
    <w:rsid w:val="00F160C7"/>
    <w:rsid w:val="00F200D6"/>
    <w:rsid w:val="00F2408F"/>
    <w:rsid w:val="00F240E9"/>
    <w:rsid w:val="00F25A70"/>
    <w:rsid w:val="00F26A43"/>
    <w:rsid w:val="00F344C2"/>
    <w:rsid w:val="00F36D8F"/>
    <w:rsid w:val="00F417B1"/>
    <w:rsid w:val="00F45853"/>
    <w:rsid w:val="00F45F8E"/>
    <w:rsid w:val="00F47B86"/>
    <w:rsid w:val="00F602DF"/>
    <w:rsid w:val="00F65407"/>
    <w:rsid w:val="00F754A1"/>
    <w:rsid w:val="00F81FD9"/>
    <w:rsid w:val="00F841AA"/>
    <w:rsid w:val="00F84A94"/>
    <w:rsid w:val="00F87E96"/>
    <w:rsid w:val="00FA23E8"/>
    <w:rsid w:val="00FA3F1B"/>
    <w:rsid w:val="00FB4B2E"/>
    <w:rsid w:val="00FC099F"/>
    <w:rsid w:val="00FD3CC1"/>
    <w:rsid w:val="00FF1E02"/>
    <w:rsid w:val="00FF30B4"/>
    <w:rsid w:val="04B2127E"/>
    <w:rsid w:val="06C03D3B"/>
    <w:rsid w:val="10C055FF"/>
    <w:rsid w:val="112E65A4"/>
    <w:rsid w:val="16BB723D"/>
    <w:rsid w:val="1F4A4D54"/>
    <w:rsid w:val="23BE7F90"/>
    <w:rsid w:val="240371BF"/>
    <w:rsid w:val="26C43949"/>
    <w:rsid w:val="29FD04D3"/>
    <w:rsid w:val="2DF54740"/>
    <w:rsid w:val="319F7F4E"/>
    <w:rsid w:val="399C5DDF"/>
    <w:rsid w:val="4ECE2238"/>
    <w:rsid w:val="612B51C5"/>
    <w:rsid w:val="72734D90"/>
    <w:rsid w:val="76CD1A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0"/>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c:v>
                </c:pt>
                <c:pt idx="1">
                  <c:v>20119年</c:v>
                </c:pt>
              </c:strCache>
            </c:strRef>
          </c:cat>
          <c:val>
            <c:numRef>
              <c:f>Sheet1!$B$2:$B$3</c:f>
              <c:numCache>
                <c:formatCode>General</c:formatCode>
                <c:ptCount val="2"/>
                <c:pt idx="0">
                  <c:v>13431.39</c:v>
                </c:pt>
                <c:pt idx="1">
                  <c:v>14428.92</c:v>
                </c:pt>
              </c:numCache>
            </c:numRef>
          </c:val>
        </c:ser>
        <c:dLbls>
          <c:showLegendKey val="0"/>
          <c:showVal val="1"/>
          <c:showCatName val="0"/>
          <c:showSerName val="0"/>
          <c:showPercent val="0"/>
          <c:showBubbleSize val="0"/>
        </c:dLbls>
        <c:gapWidth val="75"/>
        <c:axId val="60139776"/>
        <c:axId val="60160256"/>
      </c:barChart>
      <c:catAx>
        <c:axId val="60139776"/>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60256"/>
        <c:crosses val="autoZero"/>
        <c:auto val="1"/>
        <c:lblAlgn val="ctr"/>
        <c:lblOffset val="100"/>
        <c:noMultiLvlLbl val="0"/>
      </c:catAx>
      <c:valAx>
        <c:axId val="60160256"/>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013977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12468.11</c:v>
                </c:pt>
                <c:pt idx="1">
                  <c:v>826.54</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1929.49</c:v>
                </c:pt>
                <c:pt idx="1">
                  <c:v>9291.08</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 </c:v>
                </c:pt>
                <c:pt idx="1">
                  <c:v>2019年</c:v>
                </c:pt>
              </c:strCache>
            </c:strRef>
          </c:cat>
          <c:val>
            <c:numRef>
              <c:f>Sheet1!$B$2:$B$3</c:f>
              <c:numCache>
                <c:formatCode>General</c:formatCode>
                <c:ptCount val="2"/>
                <c:pt idx="0">
                  <c:v>13431.39</c:v>
                </c:pt>
                <c:pt idx="1">
                  <c:v>14428.92</c:v>
                </c:pt>
              </c:numCache>
            </c:numRef>
          </c:val>
        </c:ser>
        <c:dLbls>
          <c:showLegendKey val="0"/>
          <c:showVal val="1"/>
          <c:showCatName val="0"/>
          <c:showSerName val="0"/>
          <c:showPercent val="0"/>
          <c:showBubbleSize val="0"/>
        </c:dLbls>
        <c:gapWidth val="75"/>
        <c:axId val="99517184"/>
        <c:axId val="99528704"/>
      </c:barChart>
      <c:catAx>
        <c:axId val="9951718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9528704"/>
        <c:crosses val="autoZero"/>
        <c:auto val="1"/>
        <c:lblAlgn val="ctr"/>
        <c:lblOffset val="100"/>
        <c:noMultiLvlLbl val="0"/>
      </c:catAx>
      <c:valAx>
        <c:axId val="9952870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951718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金额</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c:v>
                </c:pt>
                <c:pt idx="1">
                  <c:v>2019年</c:v>
                </c:pt>
              </c:strCache>
            </c:strRef>
          </c:cat>
          <c:val>
            <c:numRef>
              <c:f>Sheet1!$B$2:$B$3</c:f>
              <c:numCache>
                <c:formatCode>General</c:formatCode>
                <c:ptCount val="2"/>
                <c:pt idx="0">
                  <c:v>11219.01</c:v>
                </c:pt>
                <c:pt idx="1">
                  <c:v>10394.03</c:v>
                </c:pt>
              </c:numCache>
            </c:numRef>
          </c:val>
        </c:ser>
        <c:dLbls>
          <c:showLegendKey val="0"/>
          <c:showVal val="1"/>
          <c:showCatName val="0"/>
          <c:showSerName val="0"/>
          <c:showPercent val="0"/>
          <c:showBubbleSize val="0"/>
        </c:dLbls>
        <c:gapWidth val="75"/>
        <c:axId val="120062720"/>
        <c:axId val="120064640"/>
      </c:barChart>
      <c:catAx>
        <c:axId val="120062720"/>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0064640"/>
        <c:crosses val="autoZero"/>
        <c:auto val="1"/>
        <c:lblAlgn val="ctr"/>
        <c:lblOffset val="100"/>
        <c:noMultiLvlLbl val="0"/>
      </c:catAx>
      <c:valAx>
        <c:axId val="120064640"/>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006272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Sheet1!$A$2:$A$7</c:f>
              <c:strCache>
                <c:ptCount val="6"/>
                <c:pt idx="0">
                  <c:v>文化旅游体育与传媒支出</c:v>
                </c:pt>
                <c:pt idx="1">
                  <c:v>社会保障和就业支出</c:v>
                </c:pt>
                <c:pt idx="2">
                  <c:v>卫生健康支出</c:v>
                </c:pt>
                <c:pt idx="3">
                  <c:v>住房保障支出</c:v>
                </c:pt>
                <c:pt idx="4">
                  <c:v>农林水支出</c:v>
                </c:pt>
                <c:pt idx="5">
                  <c:v>节能环保支出</c:v>
                </c:pt>
              </c:strCache>
            </c:strRef>
          </c:cat>
          <c:val>
            <c:numRef>
              <c:f>Sheet1!$B$2:$B$7</c:f>
              <c:numCache>
                <c:formatCode>General</c:formatCode>
                <c:ptCount val="6"/>
                <c:pt idx="0">
                  <c:v>556.849999999999</c:v>
                </c:pt>
                <c:pt idx="1">
                  <c:v>222.38</c:v>
                </c:pt>
                <c:pt idx="2">
                  <c:v>86.59</c:v>
                </c:pt>
                <c:pt idx="3">
                  <c:v>138.34</c:v>
                </c:pt>
                <c:pt idx="4">
                  <c:v>6942.17</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金额</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8.86</c:v>
                </c:pt>
                <c:pt idx="1">
                  <c:v>1.11</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356C89-9C82-4539-815D-2CAF4BD359A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58</Pages>
  <Words>3752</Words>
  <Characters>21390</Characters>
  <Lines>178</Lines>
  <Paragraphs>50</Paragraphs>
  <TotalTime>30</TotalTime>
  <ScaleCrop>false</ScaleCrop>
  <LinksUpToDate>false</LinksUpToDate>
  <CharactersWithSpaces>25092</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2020-09-21T09:04:00Z</dcterms:created>
  <dc:creator>曹颖</dc:creator>
  <cp:lastModifiedBy>Administrator</cp:lastModifiedBy>
  <cp:lastPrinted>2020-07-23T02:58:00Z</cp:lastPrinted>
  <dcterms:modified xsi:type="dcterms:W3CDTF">2021-06-05T03:21:53Z</dcterms:modified>
  <dc:title>四川省***</dc:title>
  <cp:revision>293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